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4D01" w14:textId="77777777" w:rsidR="00A85417" w:rsidRPr="002E3E2A" w:rsidRDefault="00A85417" w:rsidP="002E3E2A">
      <w:pPr>
        <w:pStyle w:val="Cabealho"/>
        <w:spacing w:line="276" w:lineRule="auto"/>
        <w:jc w:val="center"/>
        <w:rPr>
          <w:rFonts w:ascii="Arial" w:hAnsi="Arial" w:cs="Arial"/>
          <w:b/>
          <w:sz w:val="20"/>
          <w:szCs w:val="20"/>
        </w:rPr>
      </w:pPr>
    </w:p>
    <w:p w14:paraId="74470A82" w14:textId="77777777" w:rsidR="0038012F" w:rsidRPr="002E3E2A" w:rsidRDefault="00AA5DFA" w:rsidP="002E3E2A">
      <w:pPr>
        <w:pStyle w:val="Cabealho"/>
        <w:spacing w:line="276" w:lineRule="auto"/>
        <w:jc w:val="center"/>
        <w:rPr>
          <w:rFonts w:ascii="Arial" w:hAnsi="Arial" w:cs="Arial"/>
          <w:color w:val="800000"/>
          <w:sz w:val="20"/>
          <w:szCs w:val="20"/>
        </w:rPr>
      </w:pPr>
      <w:r w:rsidRPr="002E3E2A">
        <w:rPr>
          <w:rFonts w:ascii="Arial" w:hAnsi="Arial" w:cs="Arial"/>
          <w:b/>
          <w:color w:val="800000"/>
          <w:sz w:val="20"/>
          <w:szCs w:val="20"/>
        </w:rPr>
        <w:t xml:space="preserve">BOLETIM DE JURISPRUDÊNCIA INTERNACIONAL </w:t>
      </w:r>
    </w:p>
    <w:p w14:paraId="646B13B0" w14:textId="77777777" w:rsidR="00814325" w:rsidRPr="002E3E2A" w:rsidRDefault="00814325" w:rsidP="002E3E2A">
      <w:pPr>
        <w:jc w:val="center"/>
        <w:rPr>
          <w:rFonts w:ascii="Arial" w:hAnsi="Arial" w:cs="Arial"/>
          <w:b/>
          <w:sz w:val="20"/>
          <w:szCs w:val="20"/>
        </w:rPr>
      </w:pPr>
    </w:p>
    <w:p w14:paraId="7ADF2784" w14:textId="013C4FBA" w:rsidR="00AA5DFA" w:rsidRPr="002E3E2A" w:rsidRDefault="001B5F7A" w:rsidP="002E3E2A">
      <w:pPr>
        <w:jc w:val="center"/>
        <w:rPr>
          <w:rFonts w:ascii="Arial" w:hAnsi="Arial" w:cs="Arial"/>
          <w:b/>
          <w:color w:val="404040" w:themeColor="text1" w:themeTint="BF"/>
          <w:sz w:val="20"/>
          <w:szCs w:val="20"/>
        </w:rPr>
      </w:pPr>
      <w:r w:rsidRPr="002E3E2A">
        <w:rPr>
          <w:rFonts w:ascii="Arial" w:hAnsi="Arial" w:cs="Arial"/>
          <w:b/>
          <w:color w:val="404040" w:themeColor="text1" w:themeTint="BF"/>
          <w:sz w:val="20"/>
          <w:szCs w:val="20"/>
        </w:rPr>
        <w:t xml:space="preserve">Número </w:t>
      </w:r>
      <w:r w:rsidR="006D229B">
        <w:rPr>
          <w:rFonts w:ascii="Arial" w:hAnsi="Arial" w:cs="Arial"/>
          <w:b/>
          <w:color w:val="404040" w:themeColor="text1" w:themeTint="BF"/>
          <w:sz w:val="20"/>
          <w:szCs w:val="20"/>
        </w:rPr>
        <w:t>1</w:t>
      </w:r>
      <w:r w:rsidR="00C31EFB">
        <w:rPr>
          <w:rFonts w:ascii="Arial" w:hAnsi="Arial" w:cs="Arial"/>
          <w:b/>
          <w:color w:val="404040" w:themeColor="text1" w:themeTint="BF"/>
          <w:sz w:val="20"/>
          <w:szCs w:val="20"/>
        </w:rPr>
        <w:t>1</w:t>
      </w:r>
    </w:p>
    <w:p w14:paraId="5DFBF853" w14:textId="77777777" w:rsidR="00DE79B1" w:rsidRPr="002E3E2A" w:rsidRDefault="00DE79B1" w:rsidP="002E3E2A">
      <w:pPr>
        <w:jc w:val="both"/>
        <w:rPr>
          <w:rFonts w:ascii="Arial" w:hAnsi="Arial" w:cs="Arial"/>
          <w:sz w:val="20"/>
          <w:szCs w:val="20"/>
        </w:rPr>
      </w:pPr>
    </w:p>
    <w:p w14:paraId="26726E48" w14:textId="7765D2B9" w:rsidR="00D01404" w:rsidRPr="002E3E2A" w:rsidRDefault="00FE7B14" w:rsidP="002E3E2A">
      <w:pPr>
        <w:jc w:val="both"/>
        <w:rPr>
          <w:rFonts w:ascii="Arial" w:hAnsi="Arial" w:cs="Arial"/>
          <w:sz w:val="20"/>
          <w:szCs w:val="20"/>
        </w:rPr>
      </w:pPr>
      <w:r w:rsidRPr="002E3E2A">
        <w:rPr>
          <w:rFonts w:ascii="Arial" w:hAnsi="Arial" w:cs="Arial"/>
          <w:sz w:val="20"/>
          <w:szCs w:val="20"/>
        </w:rPr>
        <w:t xml:space="preserve">Este Boletim contém </w:t>
      </w:r>
      <w:r w:rsidR="00D01404" w:rsidRPr="002E3E2A">
        <w:rPr>
          <w:rFonts w:ascii="Arial" w:hAnsi="Arial" w:cs="Arial"/>
          <w:sz w:val="20"/>
          <w:szCs w:val="20"/>
        </w:rPr>
        <w:t>informações sintéticas de decisões proferidas pelas Entidades Fiscalizadoras regionais e respectivos Estados-membros filiados à</w:t>
      </w:r>
      <w:r w:rsidR="00D01404" w:rsidRPr="002E3E2A">
        <w:rPr>
          <w:rFonts w:ascii="Arial" w:hAnsi="Arial" w:cs="Arial"/>
          <w:b/>
          <w:sz w:val="20"/>
          <w:szCs w:val="20"/>
        </w:rPr>
        <w:t xml:space="preserve"> </w:t>
      </w:r>
      <w:hyperlink r:id="rId8" w:history="1">
        <w:r w:rsidR="00D01404" w:rsidRPr="002E3E2A">
          <w:rPr>
            <w:rStyle w:val="Hyperlink"/>
            <w:rFonts w:ascii="Arial" w:hAnsi="Arial" w:cs="Arial"/>
            <w:b/>
            <w:sz w:val="20"/>
            <w:szCs w:val="20"/>
          </w:rPr>
          <w:t>INTOSAI</w:t>
        </w:r>
      </w:hyperlink>
      <w:r w:rsidR="00D01404" w:rsidRPr="002E3E2A">
        <w:rPr>
          <w:rFonts w:ascii="Arial" w:hAnsi="Arial" w:cs="Arial"/>
          <w:sz w:val="20"/>
          <w:szCs w:val="20"/>
        </w:rPr>
        <w:t xml:space="preserve"> </w:t>
      </w:r>
      <w:r w:rsidR="00D01404" w:rsidRPr="002E3E2A">
        <w:rPr>
          <w:rFonts w:ascii="Arial" w:hAnsi="Arial" w:cs="Arial"/>
          <w:i/>
          <w:sz w:val="20"/>
          <w:szCs w:val="20"/>
        </w:rPr>
        <w:t>(</w:t>
      </w:r>
      <w:r w:rsidR="00926E84" w:rsidRPr="002E3E2A">
        <w:rPr>
          <w:rFonts w:ascii="Arial" w:hAnsi="Arial" w:cs="Arial"/>
          <w:i/>
          <w:sz w:val="20"/>
          <w:szCs w:val="20"/>
          <w:shd w:val="clear" w:color="auto" w:fill="FFFFFF"/>
        </w:rPr>
        <w:t>The International Organiz</w:t>
      </w:r>
      <w:r w:rsidR="00D01404" w:rsidRPr="002E3E2A">
        <w:rPr>
          <w:rFonts w:ascii="Arial" w:hAnsi="Arial" w:cs="Arial"/>
          <w:i/>
          <w:sz w:val="20"/>
          <w:szCs w:val="20"/>
          <w:shd w:val="clear" w:color="auto" w:fill="FFFFFF"/>
        </w:rPr>
        <w:t>ation of Supreme Audit Institutions</w:t>
      </w:r>
      <w:r w:rsidR="00D01404" w:rsidRPr="002E3E2A">
        <w:rPr>
          <w:rFonts w:ascii="Arial" w:hAnsi="Arial" w:cs="Arial"/>
          <w:i/>
          <w:sz w:val="20"/>
          <w:szCs w:val="20"/>
        </w:rPr>
        <w:t>)</w:t>
      </w:r>
      <w:r w:rsidR="00D01404" w:rsidRPr="002E3E2A">
        <w:rPr>
          <w:rFonts w:ascii="Arial" w:hAnsi="Arial" w:cs="Arial"/>
          <w:sz w:val="20"/>
          <w:szCs w:val="20"/>
        </w:rPr>
        <w:t xml:space="preserve"> </w:t>
      </w:r>
      <w:r w:rsidR="008E31EE">
        <w:rPr>
          <w:rFonts w:ascii="Arial" w:hAnsi="Arial" w:cs="Arial"/>
          <w:sz w:val="20"/>
          <w:szCs w:val="20"/>
        </w:rPr>
        <w:t>acerca de</w:t>
      </w:r>
      <w:r w:rsidR="00D01404" w:rsidRPr="002E3E2A">
        <w:rPr>
          <w:rFonts w:ascii="Arial" w:hAnsi="Arial" w:cs="Arial"/>
          <w:sz w:val="20"/>
          <w:szCs w:val="20"/>
        </w:rPr>
        <w:t xml:space="preserve"> temas relacionados ao controle externo evidenciando sobretudo boas práticas de gestão administrativa.</w:t>
      </w:r>
    </w:p>
    <w:p w14:paraId="0EFD89BD" w14:textId="77777777" w:rsidR="00D01404" w:rsidRPr="002E3E2A" w:rsidRDefault="00D01404" w:rsidP="002E3E2A">
      <w:pPr>
        <w:jc w:val="both"/>
        <w:rPr>
          <w:rFonts w:ascii="Arial" w:hAnsi="Arial" w:cs="Arial"/>
          <w:sz w:val="20"/>
          <w:szCs w:val="20"/>
        </w:rPr>
      </w:pPr>
    </w:p>
    <w:p w14:paraId="2F99D960" w14:textId="2ACD80A8" w:rsidR="00E95A8E" w:rsidRDefault="007D6A5B" w:rsidP="002E3E2A">
      <w:pPr>
        <w:jc w:val="both"/>
        <w:rPr>
          <w:rFonts w:ascii="Arial" w:hAnsi="Arial" w:cs="Arial"/>
          <w:sz w:val="20"/>
          <w:szCs w:val="20"/>
        </w:rPr>
      </w:pPr>
      <w:r w:rsidRPr="002E3E2A">
        <w:rPr>
          <w:rFonts w:ascii="Arial" w:hAnsi="Arial" w:cs="Arial"/>
          <w:sz w:val="20"/>
          <w:szCs w:val="20"/>
        </w:rPr>
        <w:t>A seleção das decisões leva em consideração os aspectos</w:t>
      </w:r>
      <w:r w:rsidR="007E786E" w:rsidRPr="002E3E2A">
        <w:rPr>
          <w:rFonts w:ascii="Arial" w:hAnsi="Arial" w:cs="Arial"/>
          <w:sz w:val="20"/>
          <w:szCs w:val="20"/>
        </w:rPr>
        <w:t xml:space="preserve"> de auditoria financeira, de conformidade e de resultado, por eixo temático: meio ambiente</w:t>
      </w:r>
      <w:r w:rsidR="008C26E1" w:rsidRPr="002E3E2A">
        <w:rPr>
          <w:rFonts w:ascii="Arial" w:hAnsi="Arial" w:cs="Arial"/>
          <w:sz w:val="20"/>
          <w:szCs w:val="20"/>
        </w:rPr>
        <w:t>,</w:t>
      </w:r>
      <w:r w:rsidR="007E786E" w:rsidRPr="002E3E2A">
        <w:rPr>
          <w:rFonts w:ascii="Arial" w:hAnsi="Arial" w:cs="Arial"/>
          <w:sz w:val="20"/>
          <w:szCs w:val="20"/>
        </w:rPr>
        <w:t xml:space="preserve"> saúde</w:t>
      </w:r>
      <w:r w:rsidR="008C26E1" w:rsidRPr="002E3E2A">
        <w:rPr>
          <w:rFonts w:ascii="Arial" w:hAnsi="Arial" w:cs="Arial"/>
          <w:sz w:val="20"/>
          <w:szCs w:val="20"/>
        </w:rPr>
        <w:t>,</w:t>
      </w:r>
      <w:r w:rsidR="007E786E" w:rsidRPr="002E3E2A">
        <w:rPr>
          <w:rFonts w:ascii="Arial" w:hAnsi="Arial" w:cs="Arial"/>
          <w:sz w:val="20"/>
          <w:szCs w:val="20"/>
        </w:rPr>
        <w:t xml:space="preserve"> gestão pública</w:t>
      </w:r>
      <w:r w:rsidR="008C26E1" w:rsidRPr="002E3E2A">
        <w:rPr>
          <w:rFonts w:ascii="Arial" w:hAnsi="Arial" w:cs="Arial"/>
          <w:sz w:val="20"/>
          <w:szCs w:val="20"/>
        </w:rPr>
        <w:t>,</w:t>
      </w:r>
      <w:r w:rsidR="00926E84" w:rsidRPr="002E3E2A">
        <w:rPr>
          <w:rFonts w:ascii="Arial" w:hAnsi="Arial" w:cs="Arial"/>
          <w:sz w:val="20"/>
          <w:szCs w:val="20"/>
        </w:rPr>
        <w:t xml:space="preserve"> finanças</w:t>
      </w:r>
      <w:r w:rsidR="008C26E1" w:rsidRPr="002E3E2A">
        <w:rPr>
          <w:rFonts w:ascii="Arial" w:hAnsi="Arial" w:cs="Arial"/>
          <w:sz w:val="20"/>
          <w:szCs w:val="20"/>
        </w:rPr>
        <w:t>,</w:t>
      </w:r>
      <w:r w:rsidR="00926E84" w:rsidRPr="002E3E2A">
        <w:rPr>
          <w:rFonts w:ascii="Arial" w:hAnsi="Arial" w:cs="Arial"/>
          <w:sz w:val="20"/>
          <w:szCs w:val="20"/>
        </w:rPr>
        <w:t xml:space="preserve"> educação</w:t>
      </w:r>
      <w:r w:rsidR="008C26E1" w:rsidRPr="002E3E2A">
        <w:rPr>
          <w:rFonts w:ascii="Arial" w:hAnsi="Arial" w:cs="Arial"/>
          <w:sz w:val="20"/>
          <w:szCs w:val="20"/>
        </w:rPr>
        <w:t>,</w:t>
      </w:r>
      <w:r w:rsidR="00926E84" w:rsidRPr="002E3E2A">
        <w:rPr>
          <w:rFonts w:ascii="Arial" w:hAnsi="Arial" w:cs="Arial"/>
          <w:sz w:val="20"/>
          <w:szCs w:val="20"/>
        </w:rPr>
        <w:t xml:space="preserve"> segurança</w:t>
      </w:r>
      <w:r w:rsidR="008C26E1" w:rsidRPr="002E3E2A">
        <w:rPr>
          <w:rFonts w:ascii="Arial" w:hAnsi="Arial" w:cs="Arial"/>
          <w:sz w:val="20"/>
          <w:szCs w:val="20"/>
        </w:rPr>
        <w:t>,</w:t>
      </w:r>
      <w:r w:rsidR="007E786E" w:rsidRPr="002E3E2A">
        <w:rPr>
          <w:rFonts w:ascii="Arial" w:hAnsi="Arial" w:cs="Arial"/>
          <w:sz w:val="20"/>
          <w:szCs w:val="20"/>
        </w:rPr>
        <w:t xml:space="preserve"> infraestrutura</w:t>
      </w:r>
      <w:r w:rsidR="008C26E1" w:rsidRPr="002E3E2A">
        <w:rPr>
          <w:rFonts w:ascii="Arial" w:hAnsi="Arial" w:cs="Arial"/>
          <w:sz w:val="20"/>
          <w:szCs w:val="20"/>
        </w:rPr>
        <w:t>,</w:t>
      </w:r>
      <w:r w:rsidR="007E786E" w:rsidRPr="002E3E2A">
        <w:rPr>
          <w:rFonts w:ascii="Arial" w:hAnsi="Arial" w:cs="Arial"/>
          <w:sz w:val="20"/>
          <w:szCs w:val="20"/>
        </w:rPr>
        <w:t xml:space="preserve"> transporte entre outros temas. O conteúdo será proveniente </w:t>
      </w:r>
      <w:r w:rsidR="00F923CE" w:rsidRPr="002E3E2A">
        <w:rPr>
          <w:rFonts w:ascii="Arial" w:hAnsi="Arial" w:cs="Arial"/>
          <w:sz w:val="20"/>
          <w:szCs w:val="20"/>
        </w:rPr>
        <w:t xml:space="preserve">de julgados e relatórios </w:t>
      </w:r>
      <w:r w:rsidR="007E786E" w:rsidRPr="002E3E2A">
        <w:rPr>
          <w:rFonts w:ascii="Arial" w:hAnsi="Arial" w:cs="Arial"/>
          <w:sz w:val="20"/>
          <w:szCs w:val="20"/>
        </w:rPr>
        <w:t>das entidades regionais de fiscalização e respectivos membros, a saber:</w:t>
      </w:r>
      <w:r w:rsidR="00AE798E" w:rsidRPr="002E3E2A">
        <w:rPr>
          <w:rFonts w:ascii="Arial" w:hAnsi="Arial" w:cs="Arial"/>
          <w:sz w:val="20"/>
          <w:szCs w:val="20"/>
        </w:rPr>
        <w:t xml:space="preserve"> </w:t>
      </w:r>
    </w:p>
    <w:p w14:paraId="28CD67C7" w14:textId="77777777" w:rsidR="008E31EE" w:rsidRPr="002E3E2A" w:rsidRDefault="008E31EE" w:rsidP="002E3E2A">
      <w:pPr>
        <w:jc w:val="both"/>
        <w:rPr>
          <w:rFonts w:ascii="Arial" w:hAnsi="Arial" w:cs="Arial"/>
          <w:sz w:val="20"/>
          <w:szCs w:val="20"/>
        </w:rPr>
      </w:pPr>
    </w:p>
    <w:tbl>
      <w:tblPr>
        <w:tblStyle w:val="SombreamentoClaro-nfase2"/>
        <w:tblW w:w="0" w:type="auto"/>
        <w:tblLook w:val="04A0" w:firstRow="1" w:lastRow="0" w:firstColumn="1" w:lastColumn="0" w:noHBand="0" w:noVBand="1"/>
      </w:tblPr>
      <w:tblGrid>
        <w:gridCol w:w="8494"/>
      </w:tblGrid>
      <w:tr w:rsidR="00A21641" w:rsidRPr="008E31EE" w14:paraId="06DE1363"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C34F6D1" w14:textId="77777777" w:rsidR="00A21641" w:rsidRPr="002E3E2A" w:rsidRDefault="001B3C94" w:rsidP="002E3E2A">
            <w:pPr>
              <w:spacing w:line="276" w:lineRule="auto"/>
              <w:jc w:val="center"/>
              <w:rPr>
                <w:rFonts w:ascii="Arial" w:hAnsi="Arial" w:cs="Arial"/>
                <w:sz w:val="20"/>
                <w:szCs w:val="20"/>
                <w:lang w:val="es-ES_tradnl"/>
              </w:rPr>
            </w:pPr>
            <w:hyperlink r:id="rId9" w:history="1">
              <w:r w:rsidR="00A21641" w:rsidRPr="002E3E2A">
                <w:rPr>
                  <w:rStyle w:val="Hyperlink"/>
                  <w:rFonts w:ascii="Arial" w:hAnsi="Arial" w:cs="Arial"/>
                  <w:bCs w:val="0"/>
                  <w:sz w:val="20"/>
                  <w:szCs w:val="20"/>
                  <w:lang w:val="es-ES_tradnl"/>
                </w:rPr>
                <w:t>OLACEFS</w:t>
              </w:r>
            </w:hyperlink>
          </w:p>
          <w:p w14:paraId="56ED7994" w14:textId="77777777" w:rsidR="00A21641" w:rsidRPr="002E3E2A" w:rsidRDefault="00A21641" w:rsidP="002E3E2A">
            <w:pPr>
              <w:spacing w:line="276" w:lineRule="auto"/>
              <w:jc w:val="center"/>
              <w:rPr>
                <w:rFonts w:ascii="Arial" w:hAnsi="Arial" w:cs="Arial"/>
                <w:b w:val="0"/>
                <w:i/>
                <w:sz w:val="20"/>
                <w:szCs w:val="20"/>
                <w:lang w:val="es-ES_tradnl"/>
              </w:rPr>
            </w:pPr>
            <w:r w:rsidRPr="002E3E2A">
              <w:rPr>
                <w:rFonts w:ascii="Arial" w:hAnsi="Arial" w:cs="Arial"/>
                <w:b w:val="0"/>
                <w:i/>
                <w:sz w:val="20"/>
                <w:szCs w:val="20"/>
                <w:lang w:val="es-ES_tradnl"/>
              </w:rPr>
              <w:t>(Organization of Latin American and Caribbean Supreme Audit Institutions)</w:t>
            </w:r>
          </w:p>
          <w:p w14:paraId="6F5E11CF" w14:textId="77777777" w:rsidR="00A21641" w:rsidRPr="002E3E2A" w:rsidRDefault="00A21641" w:rsidP="002E3E2A">
            <w:pPr>
              <w:spacing w:line="276" w:lineRule="auto"/>
              <w:jc w:val="both"/>
              <w:rPr>
                <w:rFonts w:ascii="Arial" w:hAnsi="Arial" w:cs="Arial"/>
                <w:sz w:val="20"/>
                <w:szCs w:val="20"/>
                <w:lang w:val="es-ES_tradnl"/>
              </w:rPr>
            </w:pPr>
          </w:p>
        </w:tc>
      </w:tr>
      <w:tr w:rsidR="00A21641" w:rsidRPr="008E31EE" w14:paraId="1592EB3B"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09A60B5" w14:textId="77777777" w:rsidR="00A21641" w:rsidRPr="002E3E2A" w:rsidRDefault="0004014E" w:rsidP="002E3E2A">
            <w:pPr>
              <w:spacing w:line="276" w:lineRule="auto"/>
              <w:jc w:val="center"/>
              <w:rPr>
                <w:rFonts w:ascii="Arial" w:hAnsi="Arial" w:cs="Arial"/>
                <w:sz w:val="20"/>
                <w:szCs w:val="20"/>
                <w:lang w:val="en-US"/>
              </w:rPr>
            </w:pPr>
            <w:hyperlink r:id="rId10" w:history="1">
              <w:r w:rsidR="00A21641" w:rsidRPr="002E3E2A">
                <w:rPr>
                  <w:rStyle w:val="Hyperlink"/>
                  <w:rFonts w:ascii="Arial" w:hAnsi="Arial" w:cs="Arial"/>
                  <w:bCs w:val="0"/>
                  <w:sz w:val="20"/>
                  <w:szCs w:val="20"/>
                  <w:lang w:val="en-US"/>
                </w:rPr>
                <w:t>AFROSAI</w:t>
              </w:r>
            </w:hyperlink>
          </w:p>
          <w:p w14:paraId="0D7CCBE2"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(African Organization of Supreme Audit Institutions)</w:t>
            </w:r>
          </w:p>
          <w:p w14:paraId="07A66590"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1DF26BD3"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4056E677" w14:textId="77777777" w:rsidR="00A21641" w:rsidRPr="002E3E2A" w:rsidRDefault="0004014E" w:rsidP="002E3E2A">
            <w:pPr>
              <w:spacing w:line="276" w:lineRule="auto"/>
              <w:jc w:val="center"/>
              <w:rPr>
                <w:rFonts w:ascii="Arial" w:hAnsi="Arial" w:cs="Arial"/>
                <w:sz w:val="20"/>
                <w:szCs w:val="20"/>
                <w:lang w:val="en-US"/>
              </w:rPr>
            </w:pPr>
            <w:hyperlink r:id="rId11" w:history="1">
              <w:r w:rsidR="00A21641" w:rsidRPr="002E3E2A">
                <w:rPr>
                  <w:rStyle w:val="Hyperlink"/>
                  <w:rFonts w:ascii="Arial" w:hAnsi="Arial" w:cs="Arial"/>
                  <w:bCs w:val="0"/>
                  <w:sz w:val="20"/>
                  <w:szCs w:val="20"/>
                  <w:lang w:val="en-US"/>
                </w:rPr>
                <w:t>ARABOSAI</w:t>
              </w:r>
            </w:hyperlink>
          </w:p>
          <w:p w14:paraId="60D42744"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(Arab Organization of Supreme Audit Institutions)</w:t>
            </w:r>
          </w:p>
          <w:p w14:paraId="45F332D8"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3BEF320F"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1F51F2" w14:textId="77777777" w:rsidR="00A21641" w:rsidRPr="002E3E2A" w:rsidRDefault="0004014E" w:rsidP="002E3E2A">
            <w:pPr>
              <w:spacing w:line="276" w:lineRule="auto"/>
              <w:jc w:val="center"/>
              <w:rPr>
                <w:rFonts w:ascii="Arial" w:hAnsi="Arial" w:cs="Arial"/>
                <w:sz w:val="20"/>
                <w:szCs w:val="20"/>
                <w:lang w:val="en-US"/>
              </w:rPr>
            </w:pPr>
            <w:hyperlink r:id="rId12" w:history="1">
              <w:r w:rsidR="00A21641" w:rsidRPr="002E3E2A">
                <w:rPr>
                  <w:rStyle w:val="Hyperlink"/>
                  <w:rFonts w:ascii="Arial" w:hAnsi="Arial" w:cs="Arial"/>
                  <w:bCs w:val="0"/>
                  <w:sz w:val="20"/>
                  <w:szCs w:val="20"/>
                  <w:lang w:val="en-US"/>
                </w:rPr>
                <w:t>ASOSAI</w:t>
              </w:r>
            </w:hyperlink>
          </w:p>
          <w:p w14:paraId="64979803"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(Asian Organization of Supreme Audit Institutions)</w:t>
            </w:r>
          </w:p>
          <w:p w14:paraId="26AFA8E5" w14:textId="77777777" w:rsidR="00A21641" w:rsidRPr="002E3E2A" w:rsidRDefault="00A21641" w:rsidP="002E3E2A">
            <w:pPr>
              <w:spacing w:line="276" w:lineRule="auto"/>
              <w:jc w:val="center"/>
              <w:rPr>
                <w:rFonts w:ascii="Arial" w:hAnsi="Arial" w:cs="Arial"/>
                <w:sz w:val="20"/>
                <w:szCs w:val="20"/>
                <w:lang w:val="en-US"/>
              </w:rPr>
            </w:pPr>
          </w:p>
        </w:tc>
      </w:tr>
      <w:tr w:rsidR="00A21641" w:rsidRPr="008E31EE" w14:paraId="1AFA406F"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62602D42" w14:textId="77777777" w:rsidR="00A21641" w:rsidRPr="002E3E2A" w:rsidRDefault="0004014E" w:rsidP="002E3E2A">
            <w:pPr>
              <w:spacing w:line="276" w:lineRule="auto"/>
              <w:jc w:val="center"/>
              <w:rPr>
                <w:rFonts w:ascii="Arial" w:hAnsi="Arial" w:cs="Arial"/>
                <w:sz w:val="20"/>
                <w:szCs w:val="20"/>
                <w:lang w:val="en-US"/>
              </w:rPr>
            </w:pPr>
            <w:hyperlink r:id="rId13" w:history="1">
              <w:r w:rsidR="00A21641" w:rsidRPr="002E3E2A">
                <w:rPr>
                  <w:rStyle w:val="Hyperlink"/>
                  <w:rFonts w:ascii="Arial" w:hAnsi="Arial" w:cs="Arial"/>
                  <w:bCs w:val="0"/>
                  <w:sz w:val="20"/>
                  <w:szCs w:val="20"/>
                  <w:lang w:val="en-US"/>
                </w:rPr>
                <w:t>PASAI</w:t>
              </w:r>
            </w:hyperlink>
          </w:p>
          <w:p w14:paraId="1EB52594"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(Pacific Association of Supreme Audit Institutions)</w:t>
            </w:r>
          </w:p>
          <w:p w14:paraId="266F681F" w14:textId="77777777" w:rsidR="00A21641" w:rsidRPr="002E3E2A" w:rsidRDefault="00A21641" w:rsidP="002E3E2A">
            <w:pPr>
              <w:spacing w:line="276" w:lineRule="auto"/>
              <w:jc w:val="center"/>
              <w:rPr>
                <w:rFonts w:ascii="Arial" w:hAnsi="Arial" w:cs="Arial"/>
                <w:sz w:val="20"/>
                <w:szCs w:val="20"/>
                <w:lang w:val="en-US"/>
              </w:rPr>
            </w:pPr>
          </w:p>
        </w:tc>
      </w:tr>
      <w:tr w:rsidR="00A21641" w:rsidRPr="008E31EE" w14:paraId="6B98F115"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D86ADA1" w14:textId="77777777" w:rsidR="00A21641" w:rsidRPr="002E3E2A" w:rsidRDefault="0004014E" w:rsidP="002E3E2A">
            <w:pPr>
              <w:spacing w:line="276" w:lineRule="auto"/>
              <w:jc w:val="center"/>
              <w:rPr>
                <w:rFonts w:ascii="Arial" w:hAnsi="Arial" w:cs="Arial"/>
                <w:sz w:val="20"/>
                <w:szCs w:val="20"/>
                <w:lang w:val="en-US"/>
              </w:rPr>
            </w:pPr>
            <w:hyperlink r:id="rId14" w:history="1">
              <w:r w:rsidR="00A21641" w:rsidRPr="002E3E2A">
                <w:rPr>
                  <w:rStyle w:val="Hyperlink"/>
                  <w:rFonts w:ascii="Arial" w:hAnsi="Arial" w:cs="Arial"/>
                  <w:bCs w:val="0"/>
                  <w:sz w:val="20"/>
                  <w:szCs w:val="20"/>
                  <w:lang w:val="en-US"/>
                </w:rPr>
                <w:t>CAROSAI</w:t>
              </w:r>
            </w:hyperlink>
          </w:p>
          <w:p w14:paraId="02BFC206"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(Caribbean Organization of Supreme Audit Institutions)</w:t>
            </w:r>
          </w:p>
          <w:p w14:paraId="11830D11"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6BB1B60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6565B467" w14:textId="77777777" w:rsidR="00A21641" w:rsidRPr="002E3E2A" w:rsidRDefault="0004014E" w:rsidP="002E3E2A">
            <w:pPr>
              <w:spacing w:line="276" w:lineRule="auto"/>
              <w:jc w:val="center"/>
              <w:rPr>
                <w:rFonts w:ascii="Arial" w:hAnsi="Arial" w:cs="Arial"/>
                <w:sz w:val="20"/>
                <w:szCs w:val="20"/>
                <w:lang w:val="en-US"/>
              </w:rPr>
            </w:pPr>
            <w:hyperlink r:id="rId15" w:history="1">
              <w:r w:rsidR="00A21641" w:rsidRPr="002E3E2A">
                <w:rPr>
                  <w:rStyle w:val="Hyperlink"/>
                  <w:rFonts w:ascii="Arial" w:hAnsi="Arial" w:cs="Arial"/>
                  <w:bCs w:val="0"/>
                  <w:sz w:val="20"/>
                  <w:szCs w:val="20"/>
                  <w:lang w:val="en-US"/>
                </w:rPr>
                <w:t>EUROSAI</w:t>
              </w:r>
            </w:hyperlink>
          </w:p>
          <w:p w14:paraId="09C6C457"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(European Organization of Supreme Audit Institutions)</w:t>
            </w:r>
          </w:p>
          <w:p w14:paraId="2966E6D1" w14:textId="77777777" w:rsidR="00A21641" w:rsidRPr="002E3E2A" w:rsidRDefault="00A21641" w:rsidP="002E3E2A">
            <w:pPr>
              <w:spacing w:line="276" w:lineRule="auto"/>
              <w:jc w:val="both"/>
              <w:rPr>
                <w:rFonts w:ascii="Arial" w:hAnsi="Arial" w:cs="Arial"/>
                <w:color w:val="FF0000"/>
                <w:sz w:val="20"/>
                <w:szCs w:val="20"/>
                <w:lang w:val="en-US"/>
              </w:rPr>
            </w:pPr>
          </w:p>
        </w:tc>
      </w:tr>
    </w:tbl>
    <w:p w14:paraId="53016C56" w14:textId="77777777" w:rsidR="008E31EE" w:rsidRDefault="00725BBB" w:rsidP="002E3E2A">
      <w:pPr>
        <w:jc w:val="both"/>
        <w:rPr>
          <w:rFonts w:ascii="Arial" w:hAnsi="Arial" w:cs="Arial"/>
          <w:sz w:val="20"/>
          <w:szCs w:val="20"/>
          <w:lang w:val="en-US"/>
        </w:rPr>
      </w:pPr>
      <w:r w:rsidRPr="007143C3">
        <w:rPr>
          <w:rFonts w:ascii="Arial" w:hAnsi="Arial" w:cs="Arial"/>
          <w:sz w:val="20"/>
          <w:szCs w:val="20"/>
          <w:lang w:val="en-US"/>
        </w:rPr>
        <w:tab/>
      </w:r>
    </w:p>
    <w:p w14:paraId="1BA0AC58" w14:textId="6B13005A" w:rsidR="00AE798E" w:rsidRPr="002E3E2A" w:rsidRDefault="00AE798E" w:rsidP="002E3E2A">
      <w:pPr>
        <w:jc w:val="both"/>
        <w:rPr>
          <w:rFonts w:ascii="Arial" w:hAnsi="Arial" w:cs="Arial"/>
          <w:sz w:val="20"/>
          <w:szCs w:val="20"/>
        </w:rPr>
      </w:pPr>
      <w:r w:rsidRPr="002E3E2A">
        <w:rPr>
          <w:rFonts w:ascii="Arial" w:hAnsi="Arial" w:cs="Arial"/>
          <w:sz w:val="20"/>
          <w:szCs w:val="20"/>
        </w:rPr>
        <w:t>A tradução e adaptação dos trechos considerados mais relevantes para fins de divulgação dos precedentes internacionais</w:t>
      </w:r>
      <w:r w:rsidR="00F923CE" w:rsidRPr="002E3E2A">
        <w:rPr>
          <w:rFonts w:ascii="Arial" w:hAnsi="Arial" w:cs="Arial"/>
          <w:sz w:val="20"/>
          <w:szCs w:val="20"/>
        </w:rPr>
        <w:t>, feitas pelos integrantes da Escola de Gestão Pública (Áreas: Capacitação e Jurisprudência),</w:t>
      </w:r>
      <w:r w:rsidRPr="002E3E2A">
        <w:rPr>
          <w:rFonts w:ascii="Arial" w:hAnsi="Arial" w:cs="Arial"/>
          <w:sz w:val="20"/>
          <w:szCs w:val="20"/>
        </w:rPr>
        <w:t xml:space="preserve"> dar-se-á </w:t>
      </w:r>
      <w:r w:rsidR="00F923CE" w:rsidRPr="002E3E2A">
        <w:rPr>
          <w:rFonts w:ascii="Arial" w:hAnsi="Arial" w:cs="Arial"/>
          <w:sz w:val="20"/>
          <w:szCs w:val="20"/>
        </w:rPr>
        <w:t>a partir d</w:t>
      </w:r>
      <w:r w:rsidRPr="002E3E2A">
        <w:rPr>
          <w:rFonts w:ascii="Arial" w:hAnsi="Arial" w:cs="Arial"/>
          <w:sz w:val="20"/>
          <w:szCs w:val="20"/>
        </w:rPr>
        <w:t>os</w:t>
      </w:r>
      <w:r w:rsidRPr="002E3E2A">
        <w:rPr>
          <w:rFonts w:ascii="Arial" w:hAnsi="Arial" w:cs="Arial"/>
          <w:color w:val="FF0000"/>
          <w:sz w:val="20"/>
          <w:szCs w:val="20"/>
        </w:rPr>
        <w:t xml:space="preserve"> </w:t>
      </w:r>
      <w:r w:rsidRPr="002E3E2A">
        <w:rPr>
          <w:rFonts w:ascii="Arial" w:hAnsi="Arial" w:cs="Arial"/>
          <w:sz w:val="20"/>
          <w:szCs w:val="20"/>
        </w:rPr>
        <w:t>respectivos idiomas: inglês, espanhol, francês, italiano e russo.</w:t>
      </w:r>
    </w:p>
    <w:p w14:paraId="5C05F336" w14:textId="77777777" w:rsidR="008E31EE" w:rsidRDefault="008E31EE" w:rsidP="002E3E2A">
      <w:pPr>
        <w:jc w:val="both"/>
        <w:rPr>
          <w:rFonts w:ascii="Arial" w:hAnsi="Arial" w:cs="Arial"/>
          <w:sz w:val="20"/>
          <w:szCs w:val="20"/>
        </w:rPr>
      </w:pPr>
    </w:p>
    <w:p w14:paraId="7E006D3A" w14:textId="160BC15E" w:rsidR="006009F5" w:rsidRPr="002E3E2A" w:rsidRDefault="00FE7B14" w:rsidP="002E3E2A">
      <w:pPr>
        <w:jc w:val="both"/>
        <w:rPr>
          <w:rFonts w:ascii="Arial" w:hAnsi="Arial" w:cs="Arial"/>
          <w:sz w:val="20"/>
          <w:szCs w:val="20"/>
        </w:rPr>
      </w:pPr>
      <w:r w:rsidRPr="002E3E2A">
        <w:rPr>
          <w:rFonts w:ascii="Arial" w:hAnsi="Arial" w:cs="Arial"/>
          <w:sz w:val="20"/>
          <w:szCs w:val="20"/>
        </w:rPr>
        <w:t xml:space="preserve">O objetivo é </w:t>
      </w:r>
      <w:r w:rsidR="007E786E" w:rsidRPr="002E3E2A">
        <w:rPr>
          <w:rFonts w:ascii="Arial" w:hAnsi="Arial" w:cs="Arial"/>
          <w:sz w:val="20"/>
          <w:szCs w:val="20"/>
        </w:rPr>
        <w:t xml:space="preserve">estimular </w:t>
      </w:r>
      <w:r w:rsidR="00F923CE" w:rsidRPr="002E3E2A">
        <w:rPr>
          <w:rFonts w:ascii="Arial" w:hAnsi="Arial" w:cs="Arial"/>
          <w:sz w:val="20"/>
          <w:szCs w:val="20"/>
        </w:rPr>
        <w:t xml:space="preserve">a disseminação de </w:t>
      </w:r>
      <w:r w:rsidR="007E786E" w:rsidRPr="002E3E2A">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7E6C5EDD" w14:textId="77777777" w:rsidR="008E31EE" w:rsidRDefault="008E31EE" w:rsidP="002E3E2A">
      <w:pPr>
        <w:jc w:val="both"/>
        <w:rPr>
          <w:rFonts w:ascii="Arial" w:hAnsi="Arial" w:cs="Arial"/>
          <w:sz w:val="20"/>
          <w:szCs w:val="20"/>
        </w:rPr>
      </w:pPr>
    </w:p>
    <w:p w14:paraId="716B524A" w14:textId="198A36D1" w:rsidR="00FE7B14" w:rsidRDefault="00FE7B14" w:rsidP="002E3E2A">
      <w:pPr>
        <w:jc w:val="both"/>
        <w:rPr>
          <w:rFonts w:ascii="Arial" w:hAnsi="Arial" w:cs="Arial"/>
          <w:sz w:val="20"/>
          <w:szCs w:val="20"/>
        </w:rPr>
      </w:pPr>
      <w:r w:rsidRPr="002E3E2A">
        <w:rPr>
          <w:rFonts w:ascii="Arial" w:hAnsi="Arial" w:cs="Arial"/>
          <w:sz w:val="20"/>
          <w:szCs w:val="20"/>
        </w:rPr>
        <w:t>Para aprofundamento, o leitor pode acessar o inteiro teor das deliberações por meio dos links disponíveis.</w:t>
      </w:r>
      <w:r w:rsidRPr="002E3E2A">
        <w:rPr>
          <w:rFonts w:ascii="Arial" w:hAnsi="Arial" w:cs="Arial"/>
          <w:color w:val="212121"/>
          <w:sz w:val="20"/>
          <w:szCs w:val="20"/>
        </w:rPr>
        <w:t xml:space="preserve"> </w:t>
      </w:r>
      <w:r w:rsidRPr="002E3E2A">
        <w:rPr>
          <w:rFonts w:ascii="Arial" w:hAnsi="Arial" w:cs="Arial"/>
          <w:sz w:val="20"/>
          <w:szCs w:val="20"/>
        </w:rPr>
        <w:t>As informações aqui apresentadas não são repositórios oficiais de jurisprudência.</w:t>
      </w:r>
    </w:p>
    <w:p w14:paraId="6665BE60" w14:textId="68454988" w:rsidR="003A360B" w:rsidRDefault="003A360B" w:rsidP="002E3E2A">
      <w:pPr>
        <w:jc w:val="both"/>
        <w:rPr>
          <w:rFonts w:ascii="Arial" w:hAnsi="Arial" w:cs="Arial"/>
          <w:sz w:val="20"/>
          <w:szCs w:val="20"/>
        </w:rPr>
      </w:pPr>
    </w:p>
    <w:p w14:paraId="4522CC62" w14:textId="6307AD9B" w:rsidR="003A360B" w:rsidRDefault="003A360B" w:rsidP="002E3E2A">
      <w:pPr>
        <w:jc w:val="both"/>
        <w:rPr>
          <w:rFonts w:ascii="Arial" w:hAnsi="Arial" w:cs="Arial"/>
          <w:sz w:val="20"/>
          <w:szCs w:val="20"/>
        </w:rPr>
      </w:pPr>
    </w:p>
    <w:p w14:paraId="389C03A0" w14:textId="77777777" w:rsidR="003A360B" w:rsidRPr="002E3E2A" w:rsidRDefault="003A360B" w:rsidP="002E3E2A">
      <w:pPr>
        <w:jc w:val="both"/>
        <w:rPr>
          <w:rFonts w:ascii="Arial" w:hAnsi="Arial" w:cs="Arial"/>
          <w:sz w:val="20"/>
          <w:szCs w:val="20"/>
        </w:rPr>
      </w:pPr>
    </w:p>
    <w:p w14:paraId="2FAAAA93" w14:textId="77777777" w:rsidR="00320FCE" w:rsidRPr="002E3E2A" w:rsidRDefault="00320FCE" w:rsidP="002E3E2A">
      <w:pPr>
        <w:jc w:val="both"/>
        <w:rPr>
          <w:rFonts w:ascii="Arial" w:hAnsi="Arial" w:cs="Arial"/>
          <w:sz w:val="20"/>
          <w:szCs w:val="20"/>
        </w:rPr>
      </w:pPr>
    </w:p>
    <w:p w14:paraId="415E898B" w14:textId="77777777" w:rsidR="00FE7B14" w:rsidRPr="002E3E2A" w:rsidRDefault="001B3C94" w:rsidP="002E3E2A">
      <w:pPr>
        <w:jc w:val="both"/>
        <w:rPr>
          <w:rFonts w:ascii="Arial" w:hAnsi="Arial" w:cs="Arial"/>
          <w:sz w:val="20"/>
          <w:szCs w:val="20"/>
        </w:rPr>
      </w:pPr>
      <w:r>
        <w:rPr>
          <w:noProof/>
        </w:rPr>
        <w:pict w14:anchorId="0F79F3BB">
          <v:line id="Conector reto 1" o:spid="_x0000_s2051" style="position:absolute;left:0;text-align:left;z-index:25166080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" strokecolor="maroon" strokeweight="2pt">
            <v:shadow on="t" color="black" opacity="24903f" origin=",.5" offset="0,.55556mm"/>
            <w10:wrap anchorx="margin"/>
          </v:line>
        </w:pict>
      </w:r>
    </w:p>
    <w:p w14:paraId="62CF5F8D" w14:textId="77777777" w:rsidR="00AE4F42" w:rsidRPr="002E3E2A" w:rsidRDefault="00AE4F42" w:rsidP="002E3E2A">
      <w:pPr>
        <w:jc w:val="center"/>
        <w:rPr>
          <w:rFonts w:ascii="Arial" w:hAnsi="Arial" w:cs="Arial"/>
          <w:b/>
          <w:color w:val="800000"/>
          <w:sz w:val="20"/>
          <w:szCs w:val="20"/>
        </w:rPr>
      </w:pPr>
      <w:r w:rsidRPr="002E3E2A">
        <w:rPr>
          <w:rFonts w:ascii="Arial" w:hAnsi="Arial" w:cs="Arial"/>
          <w:b/>
          <w:color w:val="800000"/>
          <w:sz w:val="20"/>
          <w:szCs w:val="20"/>
        </w:rPr>
        <w:t>S</w:t>
      </w:r>
      <w:r w:rsidR="00221D15" w:rsidRPr="002E3E2A">
        <w:rPr>
          <w:rFonts w:ascii="Arial" w:hAnsi="Arial" w:cs="Arial"/>
          <w:b/>
          <w:color w:val="800000"/>
          <w:sz w:val="20"/>
          <w:szCs w:val="20"/>
        </w:rPr>
        <w:t>U</w:t>
      </w:r>
      <w:r w:rsidRPr="002E3E2A">
        <w:rPr>
          <w:rFonts w:ascii="Arial" w:hAnsi="Arial" w:cs="Arial"/>
          <w:b/>
          <w:color w:val="800000"/>
          <w:sz w:val="20"/>
          <w:szCs w:val="20"/>
        </w:rPr>
        <w:t>MÁRIO</w:t>
      </w:r>
    </w:p>
    <w:p w14:paraId="48919E0E" w14:textId="77777777" w:rsidR="004429A2" w:rsidRPr="002E3E2A" w:rsidRDefault="004429A2" w:rsidP="002E3E2A">
      <w:pPr>
        <w:jc w:val="both"/>
        <w:rPr>
          <w:rStyle w:val="Hyperlink"/>
          <w:rFonts w:ascii="Arial" w:hAnsi="Arial" w:cs="Arial"/>
          <w:b/>
          <w:color w:val="000000" w:themeColor="text1"/>
          <w:sz w:val="20"/>
          <w:szCs w:val="20"/>
          <w:u w:val="none"/>
        </w:rPr>
      </w:pPr>
    </w:p>
    <w:p w14:paraId="197431B2" w14:textId="34ABF601" w:rsidR="008E31EE" w:rsidRPr="008E31EE" w:rsidRDefault="008E31EE" w:rsidP="008E31EE">
      <w:pPr>
        <w:autoSpaceDE w:val="0"/>
        <w:autoSpaceDN w:val="0"/>
        <w:adjustRightInd w:val="0"/>
        <w:jc w:val="both"/>
        <w:rPr>
          <w:rFonts w:ascii="Arial" w:hAnsi="Arial" w:cs="Arial"/>
          <w:sz w:val="20"/>
          <w:szCs w:val="20"/>
          <w:shd w:val="clear" w:color="auto" w:fill="FFFFFF"/>
        </w:rPr>
      </w:pPr>
      <w:r w:rsidRPr="008E31EE">
        <w:rPr>
          <w:rFonts w:ascii="Arial" w:hAnsi="Arial" w:cs="Arial"/>
          <w:b/>
          <w:bCs/>
          <w:sz w:val="20"/>
          <w:szCs w:val="20"/>
          <w:shd w:val="clear" w:color="auto" w:fill="FFFFFF"/>
        </w:rPr>
        <w:t xml:space="preserve">1. </w:t>
      </w:r>
      <w:r w:rsidR="0011430B">
        <w:rPr>
          <w:rFonts w:ascii="Arial" w:hAnsi="Arial" w:cs="Arial"/>
          <w:b/>
          <w:bCs/>
          <w:sz w:val="20"/>
          <w:szCs w:val="20"/>
          <w:shd w:val="clear" w:color="auto" w:fill="FFFFFF"/>
        </w:rPr>
        <w:t>Malta</w:t>
      </w:r>
      <w:r w:rsidRPr="008E31EE">
        <w:rPr>
          <w:rFonts w:ascii="Arial" w:hAnsi="Arial" w:cs="Arial"/>
          <w:b/>
          <w:bCs/>
          <w:sz w:val="20"/>
          <w:szCs w:val="20"/>
          <w:shd w:val="clear" w:color="auto" w:fill="FFFFFF"/>
        </w:rPr>
        <w:t xml:space="preserve"> </w:t>
      </w:r>
      <w:r w:rsidRPr="008E31EE">
        <w:rPr>
          <w:rFonts w:ascii="Arial" w:hAnsi="Arial" w:cs="Arial"/>
          <w:b/>
          <w:bCs/>
          <w:sz w:val="20"/>
          <w:szCs w:val="20"/>
          <w:shd w:val="clear" w:color="auto" w:fill="FFFFFF"/>
        </w:rPr>
        <w:t xml:space="preserve">– </w:t>
      </w:r>
      <w:r w:rsidR="008635B2">
        <w:rPr>
          <w:rFonts w:ascii="Arial" w:hAnsi="Arial" w:cs="Arial"/>
          <w:sz w:val="20"/>
          <w:szCs w:val="20"/>
          <w:shd w:val="clear" w:color="auto" w:fill="FFFFFF"/>
        </w:rPr>
        <w:t>Escritório Nacional de Auditorias</w:t>
      </w:r>
      <w:r w:rsidRPr="008E31EE">
        <w:rPr>
          <w:rFonts w:ascii="Arial" w:hAnsi="Arial" w:cs="Arial"/>
          <w:sz w:val="20"/>
          <w:szCs w:val="20"/>
          <w:shd w:val="clear" w:color="auto" w:fill="FFFFFF"/>
        </w:rPr>
        <w:t xml:space="preserve"> – </w:t>
      </w:r>
      <w:r w:rsidR="009302F9">
        <w:rPr>
          <w:rFonts w:ascii="Arial" w:hAnsi="Arial" w:cs="Arial"/>
          <w:sz w:val="20"/>
          <w:szCs w:val="20"/>
          <w:shd w:val="clear" w:color="auto" w:fill="FFFFFF"/>
          <w:lang w:val="pt-PT"/>
        </w:rPr>
        <w:t>Efetividade do gerenciamento de resíduos plásticos, 2021</w:t>
      </w:r>
      <w:r w:rsidRPr="008E31EE">
        <w:rPr>
          <w:rFonts w:ascii="Arial" w:hAnsi="Arial" w:cs="Arial"/>
          <w:sz w:val="20"/>
          <w:szCs w:val="20"/>
          <w:shd w:val="clear" w:color="auto" w:fill="FFFFFF"/>
          <w:lang w:val="pt-PT"/>
        </w:rPr>
        <w:t>.</w:t>
      </w:r>
    </w:p>
    <w:p w14:paraId="0784F6C1" w14:textId="77777777" w:rsidR="00F234D8" w:rsidRPr="002E3E2A" w:rsidRDefault="00F234D8" w:rsidP="002E3E2A">
      <w:pPr>
        <w:autoSpaceDE w:val="0"/>
        <w:autoSpaceDN w:val="0"/>
        <w:adjustRightInd w:val="0"/>
        <w:jc w:val="both"/>
        <w:rPr>
          <w:rFonts w:ascii="Arial" w:hAnsi="Arial" w:cs="Arial"/>
          <w:sz w:val="20"/>
          <w:szCs w:val="20"/>
          <w:shd w:val="clear" w:color="auto" w:fill="FFFFFF"/>
        </w:rPr>
      </w:pPr>
    </w:p>
    <w:p w14:paraId="0261D9C4" w14:textId="19406A64" w:rsidR="003129B0" w:rsidRPr="006D229B" w:rsidRDefault="008E31EE" w:rsidP="002E3E2A">
      <w:pPr>
        <w:autoSpaceDE w:val="0"/>
        <w:autoSpaceDN w:val="0"/>
        <w:adjustRightInd w:val="0"/>
        <w:jc w:val="both"/>
        <w:rPr>
          <w:rFonts w:ascii="Arial" w:hAnsi="Arial" w:cs="Arial"/>
          <w:bCs/>
          <w:sz w:val="20"/>
          <w:szCs w:val="20"/>
        </w:rPr>
      </w:pPr>
      <w:r w:rsidRPr="008E31EE">
        <w:rPr>
          <w:rFonts w:ascii="Arial" w:hAnsi="Arial" w:cs="Arial"/>
          <w:b/>
          <w:sz w:val="20"/>
          <w:szCs w:val="20"/>
        </w:rPr>
        <w:t xml:space="preserve">2. Portugal </w:t>
      </w:r>
      <w:r w:rsidRPr="008E31EE">
        <w:rPr>
          <w:rFonts w:ascii="Arial" w:hAnsi="Arial" w:cs="Arial"/>
          <w:b/>
          <w:sz w:val="20"/>
          <w:szCs w:val="20"/>
        </w:rPr>
        <w:t xml:space="preserve">– </w:t>
      </w:r>
      <w:r w:rsidRPr="008E31EE">
        <w:rPr>
          <w:rFonts w:ascii="Arial" w:hAnsi="Arial" w:cs="Arial"/>
          <w:bCs/>
          <w:sz w:val="20"/>
          <w:szCs w:val="20"/>
        </w:rPr>
        <w:t>Tribunal</w:t>
      </w:r>
      <w:r w:rsidRPr="008E31EE">
        <w:rPr>
          <w:rFonts w:ascii="Arial" w:hAnsi="Arial" w:cs="Arial"/>
          <w:bCs/>
          <w:sz w:val="20"/>
          <w:szCs w:val="20"/>
        </w:rPr>
        <w:t xml:space="preserve"> de Contas – </w:t>
      </w:r>
      <w:r w:rsidR="00BA2EEA">
        <w:rPr>
          <w:rFonts w:ascii="Arial" w:hAnsi="Arial" w:cs="Arial"/>
          <w:bCs/>
          <w:sz w:val="20"/>
          <w:szCs w:val="20"/>
        </w:rPr>
        <w:t>Relatório de auditoria</w:t>
      </w:r>
      <w:r w:rsidR="00BA2EEA">
        <w:rPr>
          <w:rFonts w:ascii="Arial" w:hAnsi="Arial" w:cs="Arial"/>
          <w:bCs/>
          <w:sz w:val="20"/>
          <w:szCs w:val="20"/>
          <w:lang w:val="pt-PT"/>
        </w:rPr>
        <w:t xml:space="preserve"> “</w:t>
      </w:r>
      <w:r w:rsidR="00BA2EEA" w:rsidRPr="00BA2EEA">
        <w:rPr>
          <w:rFonts w:ascii="Arial" w:eastAsiaTheme="minorHAnsi" w:hAnsi="Arial" w:cs="Arial"/>
          <w:bCs/>
          <w:sz w:val="20"/>
          <w:szCs w:val="20"/>
          <w:lang w:eastAsia="en-US"/>
        </w:rPr>
        <w:t xml:space="preserve">Ensino a </w:t>
      </w:r>
      <w:r w:rsidR="00BA2EEA" w:rsidRPr="00BA2EEA">
        <w:rPr>
          <w:rFonts w:ascii="Arial" w:hAnsi="Arial" w:cs="Arial"/>
          <w:bCs/>
          <w:sz w:val="20"/>
          <w:szCs w:val="20"/>
        </w:rPr>
        <w:t>distância</w:t>
      </w:r>
      <w:r w:rsidR="00BA2EEA" w:rsidRPr="00BA2EEA">
        <w:rPr>
          <w:rFonts w:ascii="Arial" w:eastAsiaTheme="minorHAnsi" w:hAnsi="Arial" w:cs="Arial"/>
          <w:bCs/>
          <w:sz w:val="20"/>
          <w:szCs w:val="20"/>
          <w:lang w:eastAsia="en-US"/>
        </w:rPr>
        <w:t xml:space="preserve"> e </w:t>
      </w:r>
      <w:r w:rsidR="00BA2EEA" w:rsidRPr="00BA2EEA">
        <w:rPr>
          <w:rFonts w:ascii="Arial" w:hAnsi="Arial" w:cs="Arial"/>
          <w:bCs/>
          <w:sz w:val="20"/>
          <w:szCs w:val="20"/>
        </w:rPr>
        <w:t xml:space="preserve">digitalização </w:t>
      </w:r>
      <w:r w:rsidR="00BA2EEA">
        <w:rPr>
          <w:rFonts w:ascii="Arial" w:hAnsi="Arial" w:cs="Arial"/>
          <w:bCs/>
          <w:sz w:val="20"/>
          <w:szCs w:val="20"/>
        </w:rPr>
        <w:t>nas</w:t>
      </w:r>
      <w:r w:rsidR="00BA2EEA" w:rsidRPr="00BA2EEA">
        <w:rPr>
          <w:rFonts w:ascii="Arial" w:hAnsi="Arial" w:cs="Arial"/>
          <w:bCs/>
          <w:sz w:val="20"/>
          <w:szCs w:val="20"/>
        </w:rPr>
        <w:t xml:space="preserve"> escolas durante a pandemia: Uma resposta </w:t>
      </w:r>
      <w:r w:rsidR="00BA2EEA" w:rsidRPr="00BA2EEA">
        <w:rPr>
          <w:rFonts w:ascii="Arial" w:hAnsi="Arial" w:cs="Arial"/>
          <w:bCs/>
          <w:sz w:val="20"/>
          <w:szCs w:val="20"/>
        </w:rPr>
        <w:t>rápida</w:t>
      </w:r>
      <w:r w:rsidR="00BA2EEA" w:rsidRPr="00BA2EEA">
        <w:rPr>
          <w:rFonts w:ascii="Arial" w:hAnsi="Arial" w:cs="Arial"/>
          <w:bCs/>
          <w:sz w:val="20"/>
          <w:szCs w:val="20"/>
        </w:rPr>
        <w:t xml:space="preserve"> e adaptada à pandemia, mas limitada pela </w:t>
      </w:r>
      <w:r w:rsidR="00BA2EEA" w:rsidRPr="00BA2EEA">
        <w:rPr>
          <w:rFonts w:ascii="Arial" w:hAnsi="Arial" w:cs="Arial"/>
          <w:bCs/>
          <w:sz w:val="20"/>
          <w:szCs w:val="20"/>
        </w:rPr>
        <w:t>insuficiência</w:t>
      </w:r>
      <w:r w:rsidR="00BA2EEA" w:rsidRPr="00BA2EEA">
        <w:rPr>
          <w:rFonts w:ascii="Arial" w:hAnsi="Arial" w:cs="Arial"/>
          <w:bCs/>
          <w:sz w:val="20"/>
          <w:szCs w:val="20"/>
        </w:rPr>
        <w:t xml:space="preserve"> de </w:t>
      </w:r>
      <w:r w:rsidR="00BA2EEA" w:rsidRPr="00BA2EEA">
        <w:rPr>
          <w:rFonts w:ascii="Arial" w:hAnsi="Arial" w:cs="Arial"/>
          <w:bCs/>
          <w:sz w:val="20"/>
          <w:szCs w:val="20"/>
        </w:rPr>
        <w:t>competências</w:t>
      </w:r>
      <w:r w:rsidR="00BA2EEA" w:rsidRPr="00BA2EEA">
        <w:rPr>
          <w:rFonts w:ascii="Arial" w:hAnsi="Arial" w:cs="Arial"/>
          <w:bCs/>
          <w:sz w:val="20"/>
          <w:szCs w:val="20"/>
        </w:rPr>
        <w:t xml:space="preserve"> e meios digitais a requerer investimentos</w:t>
      </w:r>
      <w:r w:rsidR="00BA2EEA">
        <w:rPr>
          <w:rFonts w:ascii="Arial" w:hAnsi="Arial" w:cs="Arial"/>
          <w:bCs/>
          <w:sz w:val="20"/>
          <w:szCs w:val="20"/>
        </w:rPr>
        <w:t>”</w:t>
      </w:r>
      <w:r w:rsidRPr="008E31EE">
        <w:rPr>
          <w:rFonts w:ascii="Arial" w:hAnsi="Arial" w:cs="Arial"/>
          <w:bCs/>
          <w:sz w:val="20"/>
          <w:szCs w:val="20"/>
        </w:rPr>
        <w:t>.</w:t>
      </w:r>
    </w:p>
    <w:p w14:paraId="7EEBE2E1" w14:textId="77777777" w:rsidR="00E23446" w:rsidRPr="002E3E2A" w:rsidRDefault="00E23446" w:rsidP="002E3E2A">
      <w:pPr>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6"/>
        <w:gridCol w:w="744"/>
      </w:tblGrid>
      <w:tr w:rsidR="00E23446" w:rsidRPr="002E3E2A" w14:paraId="6A93FD30" w14:textId="77777777" w:rsidTr="000F39A5">
        <w:tc>
          <w:tcPr>
            <w:tcW w:w="8075" w:type="dxa"/>
          </w:tcPr>
          <w:p w14:paraId="3A6BD82A" w14:textId="2BEEE5EA" w:rsidR="00E23446" w:rsidRPr="00D7162B" w:rsidRDefault="0011430B" w:rsidP="00D7162B">
            <w:r>
              <w:rPr>
                <w:rFonts w:ascii="Arial" w:hAnsi="Arial" w:cs="Arial"/>
                <w:b/>
                <w:sz w:val="20"/>
                <w:szCs w:val="20"/>
                <w:shd w:val="clear" w:color="auto" w:fill="FFFFFF"/>
              </w:rPr>
              <w:t>MALTA</w:t>
            </w:r>
          </w:p>
        </w:tc>
        <w:tc>
          <w:tcPr>
            <w:tcW w:w="419" w:type="dxa"/>
          </w:tcPr>
          <w:p w14:paraId="56508891" w14:textId="1BF80091" w:rsidR="00E23446" w:rsidRPr="002E3E2A" w:rsidRDefault="0011430B" w:rsidP="002E3E2A">
            <w:pPr>
              <w:autoSpaceDE w:val="0"/>
              <w:autoSpaceDN w:val="0"/>
              <w:adjustRightInd w:val="0"/>
              <w:spacing w:line="276" w:lineRule="auto"/>
              <w:jc w:val="both"/>
              <w:rPr>
                <w:rFonts w:ascii="Arial" w:hAnsi="Arial" w:cs="Arial"/>
                <w:b/>
                <w:sz w:val="20"/>
                <w:szCs w:val="20"/>
                <w:shd w:val="clear" w:color="auto" w:fill="FFFFFF"/>
              </w:rPr>
            </w:pPr>
            <w:r>
              <w:fldChar w:fldCharType="begin"/>
            </w:r>
            <w:r>
              <w:instrText xml:space="preserve"> INCLUDEPICTURE "/var/folders/hn/bsg63jbd6y52jpl1l5d007vw0000gn/T/com.microsoft.Word/WebArchiveCopyPasteTempFiles/SkAAAAASUVORK5CYII=" \* MERGEFORMATINET </w:instrText>
            </w:r>
            <w:r>
              <w:fldChar w:fldCharType="separate"/>
            </w:r>
            <w:r w:rsidR="001B3C94">
              <w:rPr>
                <w:noProof/>
              </w:rPr>
              <w:pict w14:anchorId="143A7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ndeira de Malta – Wikipédia, a enciclopédia livre" style="width:26.4pt;height:17.8pt;mso-width-percent:0;mso-height-percent:0;mso-width-percent:0;mso-height-percent:0">
                  <v:imagedata r:id="rId16" r:href="rId17"/>
                </v:shape>
              </w:pict>
            </w:r>
            <w:r>
              <w:fldChar w:fldCharType="end"/>
            </w:r>
          </w:p>
        </w:tc>
      </w:tr>
    </w:tbl>
    <w:p w14:paraId="4A650476" w14:textId="77777777" w:rsidR="003129B0" w:rsidRPr="002E3E2A" w:rsidRDefault="003129B0" w:rsidP="002E3E2A">
      <w:pPr>
        <w:autoSpaceDE w:val="0"/>
        <w:autoSpaceDN w:val="0"/>
        <w:adjustRightInd w:val="0"/>
        <w:jc w:val="both"/>
        <w:rPr>
          <w:rFonts w:ascii="Arial" w:hAnsi="Arial" w:cs="Arial"/>
          <w:bCs/>
          <w:sz w:val="20"/>
          <w:szCs w:val="20"/>
          <w:shd w:val="clear" w:color="auto" w:fill="FFFFFF"/>
        </w:rPr>
      </w:pPr>
    </w:p>
    <w:p w14:paraId="2068FD88" w14:textId="1A3363CA" w:rsidR="003129B0" w:rsidRPr="002E3E2A" w:rsidRDefault="003129B0" w:rsidP="002E3E2A">
      <w:pPr>
        <w:pBdr>
          <w:bottom w:val="double" w:sz="4" w:space="1" w:color="800000"/>
        </w:pBdr>
        <w:rPr>
          <w:rFonts w:ascii="Arial" w:hAnsi="Arial" w:cs="Arial"/>
          <w:b/>
          <w:sz w:val="20"/>
          <w:szCs w:val="20"/>
        </w:rPr>
      </w:pPr>
      <w:r w:rsidRPr="002E3E2A">
        <w:rPr>
          <w:rFonts w:ascii="Arial" w:hAnsi="Arial" w:cs="Arial"/>
          <w:b/>
          <w:sz w:val="20"/>
          <w:szCs w:val="20"/>
        </w:rPr>
        <w:t>1</w:t>
      </w:r>
      <w:r w:rsidR="00D75C06" w:rsidRPr="002E3E2A">
        <w:rPr>
          <w:rFonts w:ascii="Arial" w:hAnsi="Arial" w:cs="Arial"/>
          <w:b/>
          <w:sz w:val="20"/>
          <w:szCs w:val="20"/>
        </w:rPr>
        <w:t>.</w:t>
      </w:r>
      <w:r w:rsidRPr="002E3E2A">
        <w:rPr>
          <w:rFonts w:ascii="Arial" w:hAnsi="Arial" w:cs="Arial"/>
          <w:b/>
          <w:sz w:val="20"/>
          <w:szCs w:val="20"/>
        </w:rPr>
        <w:t xml:space="preserve">   </w:t>
      </w:r>
      <w:r w:rsidR="008635B2">
        <w:rPr>
          <w:rFonts w:ascii="Arial" w:hAnsi="Arial" w:cs="Arial"/>
          <w:b/>
          <w:sz w:val="20"/>
          <w:szCs w:val="20"/>
        </w:rPr>
        <w:t>ESCRITÓRIO NACIONAL DE AUDITORIAS</w:t>
      </w:r>
      <w:r w:rsidRPr="002E3E2A">
        <w:rPr>
          <w:rFonts w:ascii="Arial" w:hAnsi="Arial" w:cs="Arial"/>
          <w:b/>
          <w:sz w:val="20"/>
          <w:szCs w:val="20"/>
        </w:rPr>
        <w:t xml:space="preserve">  </w:t>
      </w:r>
    </w:p>
    <w:p w14:paraId="1BE624C9" w14:textId="40D8A377" w:rsidR="000F39A5" w:rsidRPr="002E3E2A" w:rsidRDefault="000F39A5" w:rsidP="00DB743A">
      <w:pPr>
        <w:autoSpaceDE w:val="0"/>
        <w:autoSpaceDN w:val="0"/>
        <w:adjustRightInd w:val="0"/>
        <w:spacing w:after="120"/>
        <w:jc w:val="both"/>
        <w:rPr>
          <w:rFonts w:ascii="Arial" w:hAnsi="Arial" w:cs="Arial"/>
          <w:sz w:val="20"/>
          <w:szCs w:val="20"/>
          <w:u w:val="single"/>
          <w:shd w:val="clear" w:color="auto" w:fill="FFFFFF"/>
        </w:rPr>
      </w:pPr>
      <w:r w:rsidRPr="002E3E2A">
        <w:rPr>
          <w:rFonts w:ascii="Arial" w:hAnsi="Arial" w:cs="Arial"/>
          <w:sz w:val="20"/>
          <w:szCs w:val="20"/>
          <w:shd w:val="clear" w:color="auto" w:fill="FFFFFF"/>
        </w:rPr>
        <w:t xml:space="preserve">Publicação original acessível em: </w:t>
      </w:r>
    </w:p>
    <w:p w14:paraId="588F3BCD" w14:textId="5203DF2D" w:rsidR="0011430B" w:rsidRPr="00DB743A" w:rsidRDefault="0011430B" w:rsidP="00DB743A">
      <w:pPr>
        <w:autoSpaceDE w:val="0"/>
        <w:autoSpaceDN w:val="0"/>
        <w:adjustRightInd w:val="0"/>
        <w:spacing w:after="120"/>
        <w:jc w:val="both"/>
      </w:pPr>
      <w:hyperlink r:id="rId18" w:history="1">
        <w:r w:rsidRPr="0043738A">
          <w:rPr>
            <w:rStyle w:val="Hyperlink"/>
          </w:rPr>
          <w:t>https://nao.gov.mt/en/press-releases/4/1274/performance-audit-the-effectiveness-of-plasti</w:t>
        </w:r>
      </w:hyperlink>
    </w:p>
    <w:p w14:paraId="06A95699" w14:textId="79959E1B" w:rsidR="008635B2" w:rsidRDefault="008635B2" w:rsidP="00DB743A">
      <w:pPr>
        <w:autoSpaceDE w:val="0"/>
        <w:autoSpaceDN w:val="0"/>
        <w:adjustRightInd w:val="0"/>
        <w:spacing w:after="12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 auditoria operacional procurou avaliar a extensão da eficiência do governo local em gerenciar os resíduos sólidos plásticos, especialmente as embalagens. Os objetivos foram:</w:t>
      </w:r>
    </w:p>
    <w:p w14:paraId="434639E3" w14:textId="6433A094" w:rsidR="008635B2" w:rsidRDefault="008635B2" w:rsidP="00DB743A">
      <w:pPr>
        <w:pStyle w:val="PargrafodaLista"/>
        <w:numPr>
          <w:ilvl w:val="0"/>
          <w:numId w:val="18"/>
        </w:numPr>
        <w:autoSpaceDE w:val="0"/>
        <w:autoSpaceDN w:val="0"/>
        <w:adjustRightInd w:val="0"/>
        <w:spacing w:after="12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Determinar se o gerenciamento de resíduos plásticos</w:t>
      </w:r>
      <w:r w:rsidR="00D7162B">
        <w:rPr>
          <w:rFonts w:ascii="Arial" w:hAnsi="Arial" w:cs="Arial"/>
          <w:sz w:val="20"/>
          <w:szCs w:val="20"/>
          <w:shd w:val="clear" w:color="auto" w:fill="FFFFFF"/>
          <w:lang w:val="pt-PT"/>
        </w:rPr>
        <w:t xml:space="preserve"> é amplo e confiável;</w:t>
      </w:r>
    </w:p>
    <w:p w14:paraId="351B55D9" w14:textId="53394E66" w:rsidR="00D7162B" w:rsidRDefault="00D7162B" w:rsidP="00DB743A">
      <w:pPr>
        <w:pStyle w:val="PargrafodaLista"/>
        <w:numPr>
          <w:ilvl w:val="0"/>
          <w:numId w:val="18"/>
        </w:numPr>
        <w:autoSpaceDE w:val="0"/>
        <w:autoSpaceDN w:val="0"/>
        <w:adjustRightInd w:val="0"/>
        <w:spacing w:after="12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Analisar se o regime jurídico e políticas em vigor são adequadas para fornecer um gerenciamento de resíduos plásticos adequado e efetivo no contexto dos objetivos propostos;</w:t>
      </w:r>
    </w:p>
    <w:p w14:paraId="607E03D6" w14:textId="388D0284" w:rsidR="00D7162B" w:rsidRDefault="00D7162B" w:rsidP="00DB743A">
      <w:pPr>
        <w:pStyle w:val="PargrafodaLista"/>
        <w:numPr>
          <w:ilvl w:val="0"/>
          <w:numId w:val="18"/>
        </w:numPr>
        <w:autoSpaceDE w:val="0"/>
        <w:autoSpaceDN w:val="0"/>
        <w:adjustRightInd w:val="0"/>
        <w:spacing w:after="12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Analisar se a implantação, monitoramento e cumprimento são efetivas.</w:t>
      </w:r>
    </w:p>
    <w:p w14:paraId="14A643E5" w14:textId="77777777" w:rsidR="00DB743A" w:rsidRPr="00DB743A" w:rsidRDefault="00DB743A" w:rsidP="00DB743A">
      <w:pPr>
        <w:pStyle w:val="PargrafodaLista"/>
        <w:autoSpaceDE w:val="0"/>
        <w:autoSpaceDN w:val="0"/>
        <w:adjustRightInd w:val="0"/>
        <w:spacing w:after="120"/>
        <w:jc w:val="both"/>
        <w:rPr>
          <w:rFonts w:ascii="Arial" w:hAnsi="Arial" w:cs="Arial"/>
          <w:sz w:val="20"/>
          <w:szCs w:val="20"/>
          <w:shd w:val="clear" w:color="auto" w:fill="FFFFFF"/>
          <w:lang w:val="pt-PT"/>
        </w:rPr>
      </w:pPr>
    </w:p>
    <w:p w14:paraId="653E28AC" w14:textId="67EE8B23" w:rsidR="00D7162B" w:rsidRDefault="00D7162B"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r w:rsidRPr="00D7162B">
        <w:rPr>
          <w:rFonts w:ascii="Arial" w:hAnsi="Arial" w:cs="Arial"/>
          <w:sz w:val="20"/>
          <w:szCs w:val="20"/>
          <w:shd w:val="clear" w:color="auto" w:fill="FFFFFF"/>
          <w:lang w:val="pt-PT"/>
        </w:rPr>
        <w:t xml:space="preserve">Malta está ficando para trás no cumprimento das metas de gestão de resíduos nacionais e da União Europeia (UE), incluindo aquelas relacionadas aos resíduos </w:t>
      </w:r>
      <w:r>
        <w:rPr>
          <w:rFonts w:ascii="Arial" w:hAnsi="Arial" w:cs="Arial"/>
          <w:sz w:val="20"/>
          <w:szCs w:val="20"/>
          <w:shd w:val="clear" w:color="auto" w:fill="FFFFFF"/>
          <w:lang w:val="pt-PT"/>
        </w:rPr>
        <w:t>plásticos</w:t>
      </w:r>
      <w:r w:rsidRPr="00D7162B">
        <w:rPr>
          <w:rFonts w:ascii="Arial" w:hAnsi="Arial" w:cs="Arial"/>
          <w:sz w:val="20"/>
          <w:szCs w:val="20"/>
          <w:shd w:val="clear" w:color="auto" w:fill="FFFFFF"/>
          <w:lang w:val="pt-PT"/>
        </w:rPr>
        <w:t xml:space="preserve">. As práticas inadequadas de separação de resíduos na origem resultam em resíduos potencialmente recicláveis ​​que são depositados em aterro, que é de longe a solução mais cara em termos financeiros e ambientais. As estratégias nacionais de resíduos e o quadro legislativo defendem o princípio do poluidor-pagador, mas, na prática, o Governo </w:t>
      </w:r>
      <w:r>
        <w:rPr>
          <w:rFonts w:ascii="Arial" w:hAnsi="Arial" w:cs="Arial"/>
          <w:sz w:val="20"/>
          <w:szCs w:val="20"/>
          <w:shd w:val="clear" w:color="auto" w:fill="FFFFFF"/>
          <w:lang w:val="pt-PT"/>
        </w:rPr>
        <w:t>arca</w:t>
      </w:r>
      <w:r w:rsidRPr="00D7162B">
        <w:rPr>
          <w:rFonts w:ascii="Arial" w:hAnsi="Arial" w:cs="Arial"/>
          <w:sz w:val="20"/>
          <w:szCs w:val="20"/>
          <w:shd w:val="clear" w:color="auto" w:fill="FFFFFF"/>
          <w:lang w:val="pt-PT"/>
        </w:rPr>
        <w:t xml:space="preserve"> com a maior parte dos custos relacionados com a gestão de resíduos. Vários fatores contribuem para essa situação.</w:t>
      </w:r>
    </w:p>
    <w:p w14:paraId="455CADE2" w14:textId="77777777" w:rsidR="00DB743A" w:rsidRDefault="00DB743A"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p>
    <w:p w14:paraId="5815D404" w14:textId="3C6497F7" w:rsidR="00087A0F" w:rsidRDefault="00D7162B"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r w:rsidRPr="00D7162B">
        <w:rPr>
          <w:rFonts w:ascii="Arial" w:hAnsi="Arial" w:cs="Arial"/>
          <w:sz w:val="20"/>
          <w:szCs w:val="20"/>
          <w:shd w:val="clear" w:color="auto" w:fill="FFFFFF"/>
          <w:lang w:val="pt-PT"/>
        </w:rPr>
        <w:t xml:space="preserve">Os custos de gestão de resíduos, incluindo os relacionados com resíduos de plástico, são principalmente suportados pelo Governo, </w:t>
      </w:r>
      <w:r w:rsidR="00087A0F">
        <w:rPr>
          <w:rFonts w:ascii="Arial" w:hAnsi="Arial" w:cs="Arial"/>
          <w:sz w:val="20"/>
          <w:szCs w:val="20"/>
          <w:shd w:val="clear" w:color="auto" w:fill="FFFFFF"/>
          <w:lang w:val="pt-PT"/>
        </w:rPr>
        <w:t>particularmente por meio</w:t>
      </w:r>
      <w:r w:rsidRPr="00D7162B">
        <w:rPr>
          <w:rFonts w:ascii="Arial" w:hAnsi="Arial" w:cs="Arial"/>
          <w:sz w:val="20"/>
          <w:szCs w:val="20"/>
          <w:shd w:val="clear" w:color="auto" w:fill="FFFFFF"/>
          <w:lang w:val="pt-PT"/>
        </w:rPr>
        <w:t xml:space="preserve"> da subvenção anual de cerca de € 25 milhões à WasteServ. Isso se desvia do princípio do poluidor-pagador. Mas também está sendo reconhecido que os princípios socioeconômicos entram em jogo. O repasse integral dos custos aos poluidores implica que estes serão repassados ​​aos consumidores, o que teria um efeito inflacionário. Além disso, as deseconomias de escala aumentam significativamente o custo por unidade. Além disso, o recente colapso do mercado de recicláveis ​​e as dificuldades operacionais causadas pelo incidente na Estação de Tratamento de Resíduos de Sant’Antnin significaram que as receitas da WasteServ diminuíram desproporcionalmente e, portanto, a entidade permaneceu longe de recuperar seus custos de tratamento de resíduos. Estas circunstâncias também levantam questões </w:t>
      </w:r>
      <w:r w:rsidR="00087A0F">
        <w:rPr>
          <w:rFonts w:ascii="Arial" w:hAnsi="Arial" w:cs="Arial"/>
          <w:sz w:val="20"/>
          <w:szCs w:val="20"/>
          <w:shd w:val="clear" w:color="auto" w:fill="FFFFFF"/>
          <w:lang w:val="pt-PT"/>
        </w:rPr>
        <w:t>acerca d</w:t>
      </w:r>
      <w:r w:rsidRPr="00D7162B">
        <w:rPr>
          <w:rFonts w:ascii="Arial" w:hAnsi="Arial" w:cs="Arial"/>
          <w:sz w:val="20"/>
          <w:szCs w:val="20"/>
          <w:shd w:val="clear" w:color="auto" w:fill="FFFFFF"/>
          <w:lang w:val="pt-PT"/>
        </w:rPr>
        <w:t>o justo</w:t>
      </w:r>
      <w:r w:rsidR="00087A0F">
        <w:rPr>
          <w:rFonts w:ascii="Arial" w:hAnsi="Arial" w:cs="Arial"/>
          <w:sz w:val="20"/>
          <w:szCs w:val="20"/>
          <w:shd w:val="clear" w:color="auto" w:fill="FFFFFF"/>
          <w:lang w:val="pt-PT"/>
        </w:rPr>
        <w:t xml:space="preserve"> </w:t>
      </w:r>
      <w:r w:rsidR="00087A0F" w:rsidRPr="00087A0F">
        <w:rPr>
          <w:rFonts w:ascii="Arial" w:hAnsi="Arial" w:cs="Arial"/>
          <w:sz w:val="20"/>
          <w:szCs w:val="20"/>
          <w:shd w:val="clear" w:color="auto" w:fill="FFFFFF"/>
          <w:lang w:val="pt-PT"/>
        </w:rPr>
        <w:t xml:space="preserve">compartilhamento de riscos e responsabilidades por meio do acordo da WasteServ com os </w:t>
      </w:r>
      <w:r w:rsidR="00087A0F">
        <w:rPr>
          <w:rFonts w:ascii="Arial" w:hAnsi="Arial" w:cs="Arial"/>
          <w:sz w:val="20"/>
          <w:szCs w:val="20"/>
          <w:shd w:val="clear" w:color="auto" w:fill="FFFFFF"/>
          <w:lang w:val="pt-PT"/>
        </w:rPr>
        <w:t>e</w:t>
      </w:r>
      <w:r w:rsidR="00087A0F" w:rsidRPr="00087A0F">
        <w:rPr>
          <w:rFonts w:ascii="Arial" w:hAnsi="Arial" w:cs="Arial"/>
          <w:sz w:val="20"/>
          <w:szCs w:val="20"/>
          <w:shd w:val="clear" w:color="auto" w:fill="FFFFFF"/>
          <w:lang w:val="pt-PT"/>
        </w:rPr>
        <w:t xml:space="preserve">squemas de </w:t>
      </w:r>
      <w:r w:rsidR="00087A0F">
        <w:rPr>
          <w:rFonts w:ascii="Arial" w:hAnsi="Arial" w:cs="Arial"/>
          <w:sz w:val="20"/>
          <w:szCs w:val="20"/>
          <w:shd w:val="clear" w:color="auto" w:fill="FFFFFF"/>
          <w:lang w:val="pt-PT"/>
        </w:rPr>
        <w:t>r</w:t>
      </w:r>
      <w:r w:rsidR="00087A0F" w:rsidRPr="00087A0F">
        <w:rPr>
          <w:rFonts w:ascii="Arial" w:hAnsi="Arial" w:cs="Arial"/>
          <w:sz w:val="20"/>
          <w:szCs w:val="20"/>
          <w:shd w:val="clear" w:color="auto" w:fill="FFFFFF"/>
          <w:lang w:val="pt-PT"/>
        </w:rPr>
        <w:t xml:space="preserve">ecuperação de </w:t>
      </w:r>
      <w:r w:rsidR="00087A0F">
        <w:rPr>
          <w:rFonts w:ascii="Arial" w:hAnsi="Arial" w:cs="Arial"/>
          <w:sz w:val="20"/>
          <w:szCs w:val="20"/>
          <w:shd w:val="clear" w:color="auto" w:fill="FFFFFF"/>
          <w:lang w:val="pt-PT"/>
        </w:rPr>
        <w:t>r</w:t>
      </w:r>
      <w:r w:rsidR="00087A0F" w:rsidRPr="00087A0F">
        <w:rPr>
          <w:rFonts w:ascii="Arial" w:hAnsi="Arial" w:cs="Arial"/>
          <w:sz w:val="20"/>
          <w:szCs w:val="20"/>
          <w:shd w:val="clear" w:color="auto" w:fill="FFFFFF"/>
          <w:lang w:val="pt-PT"/>
        </w:rPr>
        <w:t xml:space="preserve">esíduos de </w:t>
      </w:r>
      <w:r w:rsidR="00087A0F">
        <w:rPr>
          <w:rFonts w:ascii="Arial" w:hAnsi="Arial" w:cs="Arial"/>
          <w:sz w:val="20"/>
          <w:szCs w:val="20"/>
          <w:shd w:val="clear" w:color="auto" w:fill="FFFFFF"/>
          <w:lang w:val="pt-PT"/>
        </w:rPr>
        <w:t>e</w:t>
      </w:r>
      <w:r w:rsidR="00087A0F" w:rsidRPr="00087A0F">
        <w:rPr>
          <w:rFonts w:ascii="Arial" w:hAnsi="Arial" w:cs="Arial"/>
          <w:sz w:val="20"/>
          <w:szCs w:val="20"/>
          <w:shd w:val="clear" w:color="auto" w:fill="FFFFFF"/>
          <w:lang w:val="pt-PT"/>
        </w:rPr>
        <w:t>mbalagem.</w:t>
      </w:r>
    </w:p>
    <w:p w14:paraId="7A26B771" w14:textId="3A586CA7" w:rsidR="00087A0F" w:rsidRDefault="00087A0F"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p>
    <w:p w14:paraId="525A9BEA" w14:textId="77777777" w:rsidR="003A360B" w:rsidRDefault="00087A0F"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r w:rsidRPr="00087A0F">
        <w:rPr>
          <w:rFonts w:ascii="Arial" w:hAnsi="Arial" w:cs="Arial"/>
          <w:sz w:val="20"/>
          <w:szCs w:val="20"/>
          <w:shd w:val="clear" w:color="auto" w:fill="FFFFFF"/>
          <w:lang w:val="pt-PT"/>
        </w:rPr>
        <w:t xml:space="preserve">As oportunidades de separação na fonte permanecem não totalmente exploradas, visto que as diretrizes de separação não são estritamente cumpridas pelos geradores de resíduos - outra variável que aumenta os custos de tratamento de resíduos e aumenta a quantidade de rejeitos em detrimento das oportunidades de reciclagem. As raízes dessa situação estão em dois fatores. Em primeiro lugar, os regulamentos atuais não encorajam uma separação mais rigorosa por fluxos de resíduos, o que torna o tratamento de resíduos mais complexo e caro. </w:t>
      </w:r>
      <w:r w:rsidRPr="00087A0F">
        <w:rPr>
          <w:rFonts w:ascii="Arial" w:hAnsi="Arial" w:cs="Arial"/>
          <w:sz w:val="20"/>
          <w:szCs w:val="20"/>
          <w:shd w:val="clear" w:color="auto" w:fill="FFFFFF"/>
          <w:lang w:val="pt-PT"/>
        </w:rPr>
        <w:lastRenderedPageBreak/>
        <w:t>Em segundo lugar, as práticas de separação inadequada de resíduos na origem contaminam o material potencialmente reciclável.</w:t>
      </w:r>
    </w:p>
    <w:p w14:paraId="012E16D0" w14:textId="77777777" w:rsidR="003A360B" w:rsidRDefault="003A360B"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r w:rsidRPr="003A360B">
        <w:rPr>
          <w:rFonts w:ascii="Arial" w:hAnsi="Arial" w:cs="Arial"/>
          <w:sz w:val="20"/>
          <w:szCs w:val="20"/>
          <w:shd w:val="clear" w:color="auto" w:fill="FFFFFF"/>
          <w:lang w:val="pt-PT"/>
        </w:rPr>
        <w:t xml:space="preserve">As operações de gestão de resíduos de Malta são realizadas dentro de uma infraestrutura que carece da capacidade adequada. Nos últimos anos, as coisas tornaram-se mais exacerbadas com o incidente </w:t>
      </w:r>
      <w:r w:rsidRPr="00D7162B">
        <w:rPr>
          <w:rFonts w:ascii="Arial" w:hAnsi="Arial" w:cs="Arial"/>
          <w:sz w:val="20"/>
          <w:szCs w:val="20"/>
          <w:shd w:val="clear" w:color="auto" w:fill="FFFFFF"/>
          <w:lang w:val="pt-PT"/>
        </w:rPr>
        <w:t>na Estação de Tratamento de Resíduos de Sant’Antnin</w:t>
      </w:r>
      <w:r w:rsidRPr="003A360B">
        <w:rPr>
          <w:rFonts w:ascii="Arial" w:hAnsi="Arial" w:cs="Arial"/>
          <w:sz w:val="20"/>
          <w:szCs w:val="20"/>
          <w:shd w:val="clear" w:color="auto" w:fill="FFFFFF"/>
          <w:lang w:val="pt-PT"/>
        </w:rPr>
        <w:t>. O governo reconhece isso e tem havido um forte compromisso político de alocar cerca de € 500 milhões para ampliar e modernizar as instalações de tratamento de resíduos de Malta.</w:t>
      </w:r>
    </w:p>
    <w:p w14:paraId="5C2C274B" w14:textId="77777777" w:rsidR="003A360B" w:rsidRDefault="003A360B"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p>
    <w:p w14:paraId="52F6E71C" w14:textId="5E54A4C8" w:rsidR="003A360B" w:rsidRDefault="003A360B" w:rsidP="00DB743A">
      <w:pPr>
        <w:pStyle w:val="PargrafodaLista"/>
        <w:autoSpaceDE w:val="0"/>
        <w:autoSpaceDN w:val="0"/>
        <w:adjustRightInd w:val="0"/>
        <w:spacing w:after="120"/>
        <w:ind w:left="0"/>
        <w:jc w:val="both"/>
        <w:rPr>
          <w:rFonts w:ascii="Arial" w:hAnsi="Arial" w:cs="Arial"/>
          <w:sz w:val="20"/>
          <w:szCs w:val="20"/>
          <w:shd w:val="clear" w:color="auto" w:fill="FFFFFF"/>
          <w:lang w:val="pt-PT"/>
        </w:rPr>
      </w:pPr>
      <w:r w:rsidRPr="003A360B">
        <w:rPr>
          <w:rFonts w:ascii="Arial" w:hAnsi="Arial" w:cs="Arial"/>
          <w:sz w:val="20"/>
          <w:szCs w:val="20"/>
          <w:shd w:val="clear" w:color="auto" w:fill="FFFFFF"/>
          <w:lang w:val="pt-PT"/>
        </w:rPr>
        <w:t>Não há dúvida sobre o investimento necessário nas instalações de gestão de resíduos de Malta. Tal investimento, no entanto, não atingirá todo o seu potencial a menos que seja complementado com a maior adoção dos princípios da economia circular, o que, por sua vez, facilitará o cumprimento das metas dos Objetivos de Desenvolvimento Sustentável. Os riscos para a saúde e o meio ambiente do plástico só podem ser mitigados por meio de um esforço consorciado de todas as partes interessadas, incluindo políticas, administrativas, da indústria e dos consumidores, bem como um esforço para reduzir sua produção desde o início.</w:t>
      </w:r>
    </w:p>
    <w:p w14:paraId="4B37A2D9" w14:textId="0F878DB9" w:rsidR="006D229B" w:rsidRPr="004A16E4" w:rsidRDefault="006D229B" w:rsidP="00DB743A">
      <w:pPr>
        <w:autoSpaceDE w:val="0"/>
        <w:autoSpaceDN w:val="0"/>
        <w:adjustRightInd w:val="0"/>
        <w:spacing w:after="120"/>
        <w:jc w:val="both"/>
        <w:rPr>
          <w:rFonts w:ascii="Arial" w:hAnsi="Arial" w:cs="Arial"/>
          <w:sz w:val="20"/>
          <w:szCs w:val="20"/>
        </w:rPr>
      </w:pPr>
      <w:r w:rsidRPr="004A16E4">
        <w:rPr>
          <w:rFonts w:ascii="Arial" w:hAnsi="Arial" w:cs="Arial"/>
          <w:sz w:val="20"/>
          <w:szCs w:val="20"/>
        </w:rPr>
        <w:t xml:space="preserve">Informe Executivo do Relatório/Acórdão/Decisão disponível em língua </w:t>
      </w:r>
      <w:r w:rsidR="008635B2">
        <w:rPr>
          <w:rFonts w:ascii="Arial" w:hAnsi="Arial" w:cs="Arial"/>
          <w:sz w:val="20"/>
          <w:szCs w:val="20"/>
        </w:rPr>
        <w:t>inglesa</w:t>
      </w:r>
      <w:r w:rsidRPr="004A16E4">
        <w:rPr>
          <w:rFonts w:ascii="Arial" w:hAnsi="Arial" w:cs="Arial"/>
          <w:sz w:val="20"/>
          <w:szCs w:val="20"/>
        </w:rPr>
        <w:t>:</w:t>
      </w:r>
    </w:p>
    <w:p w14:paraId="4F3F905F" w14:textId="156A7D77" w:rsidR="005F6B20" w:rsidRDefault="008635B2" w:rsidP="00DB743A">
      <w:pPr>
        <w:autoSpaceDE w:val="0"/>
        <w:autoSpaceDN w:val="0"/>
        <w:adjustRightInd w:val="0"/>
        <w:spacing w:after="120"/>
        <w:jc w:val="both"/>
        <w:rPr>
          <w:rFonts w:ascii="Arial" w:hAnsi="Arial" w:cs="Arial"/>
          <w:sz w:val="20"/>
          <w:szCs w:val="20"/>
        </w:rPr>
      </w:pPr>
      <w:hyperlink r:id="rId19" w:history="1">
        <w:r w:rsidRPr="0043738A">
          <w:rPr>
            <w:rStyle w:val="Hyperlink"/>
            <w:rFonts w:ascii="Arial" w:hAnsi="Arial" w:cs="Arial"/>
            <w:sz w:val="20"/>
            <w:szCs w:val="20"/>
          </w:rPr>
          <w:t>https://nao.gov.mt//loadfile/ca45dd08-657c-4154-8d77-6db7433814ff</w:t>
        </w:r>
      </w:hyperlink>
    </w:p>
    <w:p w14:paraId="31068AE6" w14:textId="77777777" w:rsidR="008635B2" w:rsidRPr="002E3E2A" w:rsidRDefault="008635B2" w:rsidP="002E3E2A">
      <w:pPr>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1"/>
        <w:gridCol w:w="899"/>
      </w:tblGrid>
      <w:tr w:rsidR="00E23446" w:rsidRPr="002E3E2A" w14:paraId="003F73E6" w14:textId="77777777" w:rsidTr="00D75C06">
        <w:tc>
          <w:tcPr>
            <w:tcW w:w="8075" w:type="dxa"/>
          </w:tcPr>
          <w:p w14:paraId="10C92CB9" w14:textId="72D0AD85" w:rsidR="00E23446" w:rsidRPr="002E3E2A" w:rsidRDefault="00D75C06" w:rsidP="002E3E2A">
            <w:pPr>
              <w:autoSpaceDE w:val="0"/>
              <w:autoSpaceDN w:val="0"/>
              <w:adjustRightInd w:val="0"/>
              <w:spacing w:line="276" w:lineRule="auto"/>
              <w:jc w:val="both"/>
              <w:rPr>
                <w:rFonts w:ascii="Arial" w:hAnsi="Arial" w:cs="Arial"/>
                <w:b/>
                <w:sz w:val="20"/>
                <w:szCs w:val="20"/>
                <w:shd w:val="clear" w:color="auto" w:fill="FFFFFF"/>
              </w:rPr>
            </w:pPr>
            <w:r w:rsidRPr="002E3E2A">
              <w:rPr>
                <w:rFonts w:ascii="Arial" w:hAnsi="Arial" w:cs="Arial"/>
                <w:b/>
                <w:sz w:val="20"/>
                <w:szCs w:val="20"/>
                <w:shd w:val="clear" w:color="auto" w:fill="FFFFFF"/>
              </w:rPr>
              <w:t xml:space="preserve">REPÚBLICA </w:t>
            </w:r>
            <w:r w:rsidR="006D229B">
              <w:rPr>
                <w:rFonts w:ascii="Arial" w:hAnsi="Arial" w:cs="Arial"/>
                <w:b/>
                <w:sz w:val="20"/>
                <w:szCs w:val="20"/>
                <w:shd w:val="clear" w:color="auto" w:fill="FFFFFF"/>
              </w:rPr>
              <w:t>DE PORTUGAL</w:t>
            </w:r>
            <w:r w:rsidR="00E23446" w:rsidRPr="002E3E2A">
              <w:rPr>
                <w:rFonts w:ascii="Arial" w:hAnsi="Arial" w:cs="Arial"/>
                <w:b/>
                <w:sz w:val="20"/>
                <w:szCs w:val="20"/>
              </w:rPr>
              <w:t xml:space="preserve">                                                                                                                          </w:t>
            </w:r>
          </w:p>
        </w:tc>
        <w:tc>
          <w:tcPr>
            <w:tcW w:w="419" w:type="dxa"/>
          </w:tcPr>
          <w:p w14:paraId="10C56850" w14:textId="1C0A1F95" w:rsidR="00E23446" w:rsidRPr="002E3E2A" w:rsidRDefault="006D229B" w:rsidP="002E3E2A">
            <w:pPr>
              <w:autoSpaceDE w:val="0"/>
              <w:autoSpaceDN w:val="0"/>
              <w:adjustRightInd w:val="0"/>
              <w:spacing w:line="276" w:lineRule="auto"/>
              <w:jc w:val="both"/>
              <w:rPr>
                <w:rFonts w:ascii="Arial" w:hAnsi="Arial" w:cs="Arial"/>
                <w:b/>
                <w:sz w:val="20"/>
                <w:szCs w:val="20"/>
                <w:shd w:val="clear" w:color="auto" w:fill="FFFFFF"/>
              </w:rPr>
            </w:pPr>
            <w:r>
              <w:fldChar w:fldCharType="begin"/>
            </w:r>
            <w:r>
              <w:instrText xml:space="preserve"> INCLUDEPICTURE "/var/folders/hn/bsg63jbd6y52jpl1l5d007vw0000gn/T/com.microsoft.Word/WebArchiveCopyPasteTempFiles/wP1VwE7n6H8AQAAAABJRU5ErkJggg==" \* MERGEFORMATINET </w:instrText>
            </w:r>
            <w:r>
              <w:fldChar w:fldCharType="separate"/>
            </w:r>
            <w:r w:rsidR="001B3C94">
              <w:rPr>
                <w:noProof/>
              </w:rPr>
              <w:pict w14:anchorId="4B6A66ED">
                <v:shape id="_x0000_i1025" type="#_x0000_t75" alt="Significado da Bandeira de Portugal (cores, esfera armilar, escudo,...) -  Significados" style="width:34.2pt;height:22.1pt;mso-width-percent:0;mso-height-percent:0;mso-width-percent:0;mso-height-percent:0">
                  <v:imagedata r:id="rId20" r:href="rId21"/>
                </v:shape>
              </w:pict>
            </w:r>
            <w:r>
              <w:fldChar w:fldCharType="end"/>
            </w:r>
          </w:p>
        </w:tc>
      </w:tr>
    </w:tbl>
    <w:p w14:paraId="1D4DDFD3" w14:textId="77777777" w:rsidR="00E23446" w:rsidRPr="002E3E2A" w:rsidRDefault="00E23446" w:rsidP="002E3E2A">
      <w:pPr>
        <w:autoSpaceDE w:val="0"/>
        <w:autoSpaceDN w:val="0"/>
        <w:adjustRightInd w:val="0"/>
        <w:jc w:val="both"/>
        <w:rPr>
          <w:rFonts w:ascii="Arial" w:hAnsi="Arial" w:cs="Arial"/>
          <w:bCs/>
          <w:sz w:val="20"/>
          <w:szCs w:val="20"/>
          <w:shd w:val="clear" w:color="auto" w:fill="FFFFFF"/>
        </w:rPr>
      </w:pPr>
    </w:p>
    <w:p w14:paraId="4F906E01" w14:textId="19CBC6AC" w:rsidR="00E23446" w:rsidRPr="002E3E2A" w:rsidRDefault="000A7F5C" w:rsidP="002E3E2A">
      <w:pPr>
        <w:pBdr>
          <w:bottom w:val="double" w:sz="4" w:space="1" w:color="800000"/>
        </w:pBdr>
        <w:rPr>
          <w:rFonts w:ascii="Arial" w:hAnsi="Arial" w:cs="Arial"/>
          <w:b/>
          <w:sz w:val="20"/>
          <w:szCs w:val="20"/>
        </w:rPr>
      </w:pPr>
      <w:r w:rsidRPr="002E3E2A">
        <w:rPr>
          <w:rFonts w:ascii="Arial" w:hAnsi="Arial" w:cs="Arial"/>
          <w:b/>
          <w:sz w:val="20"/>
          <w:szCs w:val="20"/>
        </w:rPr>
        <w:t>2</w:t>
      </w:r>
      <w:r w:rsidR="00D75C06" w:rsidRPr="002E3E2A">
        <w:rPr>
          <w:rFonts w:ascii="Arial" w:hAnsi="Arial" w:cs="Arial"/>
          <w:b/>
          <w:sz w:val="20"/>
          <w:szCs w:val="20"/>
        </w:rPr>
        <w:t>.</w:t>
      </w:r>
      <w:r w:rsidR="00E23446" w:rsidRPr="002E3E2A">
        <w:rPr>
          <w:rFonts w:ascii="Arial" w:hAnsi="Arial" w:cs="Arial"/>
          <w:b/>
          <w:sz w:val="20"/>
          <w:szCs w:val="20"/>
        </w:rPr>
        <w:t xml:space="preserve">  </w:t>
      </w:r>
      <w:r w:rsidR="00D75C06" w:rsidRPr="002E3E2A">
        <w:rPr>
          <w:rFonts w:ascii="Arial" w:hAnsi="Arial" w:cs="Arial"/>
          <w:b/>
          <w:sz w:val="20"/>
          <w:szCs w:val="20"/>
        </w:rPr>
        <w:t xml:space="preserve">TRIBUNAL DE CONTAS </w:t>
      </w:r>
      <w:r w:rsidR="006D229B">
        <w:rPr>
          <w:rFonts w:ascii="Arial" w:hAnsi="Arial" w:cs="Arial"/>
          <w:b/>
          <w:sz w:val="20"/>
          <w:szCs w:val="20"/>
        </w:rPr>
        <w:t>DE PORTUGAL</w:t>
      </w:r>
      <w:r w:rsidR="00E23446" w:rsidRPr="002E3E2A">
        <w:rPr>
          <w:rFonts w:ascii="Arial" w:hAnsi="Arial" w:cs="Arial"/>
          <w:b/>
          <w:sz w:val="20"/>
          <w:szCs w:val="20"/>
        </w:rPr>
        <w:t xml:space="preserve"> </w:t>
      </w:r>
    </w:p>
    <w:p w14:paraId="0B18FBA8" w14:textId="15A5B72D" w:rsidR="0020136E" w:rsidRPr="006D229B" w:rsidRDefault="00E23446" w:rsidP="002E3E2A">
      <w:pPr>
        <w:autoSpaceDE w:val="0"/>
        <w:autoSpaceDN w:val="0"/>
        <w:adjustRightInd w:val="0"/>
        <w:jc w:val="both"/>
        <w:rPr>
          <w:rStyle w:val="Hyperlink"/>
          <w:rFonts w:ascii="Arial" w:hAnsi="Arial" w:cs="Arial"/>
          <w:color w:val="auto"/>
          <w:sz w:val="20"/>
          <w:szCs w:val="20"/>
          <w:u w:val="none"/>
          <w:shd w:val="clear" w:color="auto" w:fill="FFFFFF"/>
        </w:rPr>
      </w:pPr>
      <w:r w:rsidRPr="002E3E2A">
        <w:rPr>
          <w:rFonts w:ascii="Arial" w:hAnsi="Arial" w:cs="Arial"/>
          <w:sz w:val="20"/>
          <w:szCs w:val="20"/>
          <w:shd w:val="clear" w:color="auto" w:fill="FFFFFF"/>
        </w:rPr>
        <w:t xml:space="preserve">Publicação original acessível em: </w:t>
      </w:r>
    </w:p>
    <w:p w14:paraId="46A1D021" w14:textId="77777777" w:rsidR="006D229B" w:rsidRDefault="006D229B" w:rsidP="006D229B">
      <w:pPr>
        <w:autoSpaceDE w:val="0"/>
        <w:autoSpaceDN w:val="0"/>
        <w:adjustRightInd w:val="0"/>
        <w:jc w:val="both"/>
        <w:rPr>
          <w:b/>
          <w:sz w:val="20"/>
          <w:szCs w:val="20"/>
        </w:rPr>
      </w:pPr>
    </w:p>
    <w:p w14:paraId="05E06AF4" w14:textId="09D16E7E" w:rsidR="0020136E" w:rsidRDefault="00BA2EEA" w:rsidP="002E3E2A">
      <w:pPr>
        <w:autoSpaceDE w:val="0"/>
        <w:autoSpaceDN w:val="0"/>
        <w:adjustRightInd w:val="0"/>
        <w:jc w:val="both"/>
      </w:pPr>
      <w:hyperlink r:id="rId22" w:history="1">
        <w:r w:rsidRPr="0043738A">
          <w:rPr>
            <w:rStyle w:val="Hyperlink"/>
          </w:rPr>
          <w:t>https://www.tcontas.pt/pt-pt/ProdutosTC/Relatorios/RelatoriosAuditoria/Documents/2021/rel009-2021-2s.pdf</w:t>
        </w:r>
      </w:hyperlink>
    </w:p>
    <w:p w14:paraId="4CFC40B7" w14:textId="77777777" w:rsidR="00BA2EEA" w:rsidRPr="002E3E2A" w:rsidRDefault="00BA2EEA" w:rsidP="002E3E2A">
      <w:pPr>
        <w:autoSpaceDE w:val="0"/>
        <w:autoSpaceDN w:val="0"/>
        <w:adjustRightInd w:val="0"/>
        <w:jc w:val="both"/>
        <w:rPr>
          <w:rFonts w:ascii="Arial" w:hAnsi="Arial" w:cs="Arial"/>
          <w:sz w:val="20"/>
          <w:szCs w:val="20"/>
        </w:rPr>
      </w:pPr>
    </w:p>
    <w:p w14:paraId="72C552A9" w14:textId="6B68375A" w:rsidR="00BA2EEA" w:rsidRPr="00BA2EEA" w:rsidRDefault="00BA2EEA" w:rsidP="00BA2EEA">
      <w:pPr>
        <w:autoSpaceDE w:val="0"/>
        <w:autoSpaceDN w:val="0"/>
        <w:adjustRightInd w:val="0"/>
        <w:spacing w:line="276" w:lineRule="auto"/>
        <w:jc w:val="both"/>
        <w:rPr>
          <w:rFonts w:ascii="Arial" w:eastAsiaTheme="minorHAnsi" w:hAnsi="Arial" w:cs="Arial"/>
          <w:sz w:val="20"/>
          <w:szCs w:val="20"/>
          <w:lang w:eastAsia="en-US"/>
        </w:rPr>
      </w:pPr>
      <w:r>
        <w:rPr>
          <w:rFonts w:ascii="Arial" w:hAnsi="Arial" w:cs="Arial"/>
          <w:sz w:val="20"/>
          <w:szCs w:val="20"/>
        </w:rPr>
        <w:t>“</w:t>
      </w:r>
      <w:r w:rsidRPr="00BA2EEA">
        <w:rPr>
          <w:rFonts w:ascii="Arial" w:eastAsiaTheme="minorHAnsi" w:hAnsi="Arial" w:cs="Arial"/>
          <w:sz w:val="20"/>
          <w:szCs w:val="20"/>
          <w:lang w:eastAsia="en-US"/>
        </w:rPr>
        <w:t xml:space="preserve">O recurso ao Ensino a Distância (E@D) em substituição das atividades educativas e letivas presenciais foi a medida mais impactante no âmbito da Educação para mitigar os efeitos da pandemia por COVID-19 que afetou os anos letivos 2019/20 e 2020/21. </w:t>
      </w:r>
    </w:p>
    <w:p w14:paraId="5CB15CD7" w14:textId="77777777" w:rsidR="00BA2EEA" w:rsidRDefault="00BA2EEA" w:rsidP="00BA2EEA">
      <w:pPr>
        <w:autoSpaceDE w:val="0"/>
        <w:autoSpaceDN w:val="0"/>
        <w:adjustRightInd w:val="0"/>
        <w:jc w:val="both"/>
        <w:rPr>
          <w:rFonts w:ascii="Arial" w:hAnsi="Arial" w:cs="Arial"/>
          <w:sz w:val="20"/>
          <w:szCs w:val="20"/>
        </w:rPr>
      </w:pPr>
    </w:p>
    <w:p w14:paraId="17011668" w14:textId="1AB63F91"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O Tribunal realizou a auditoria com o objetivo de examinar se o Ministério da Educação assegurou que todos os alunos dos ensinos básico e secundário (1,2 milhões) tivessem acesso ao E@D, procedeu ao respetivo acompanhamento e controlo e corrigiu as deficiências e insuficiências, entretanto, detetadas. </w:t>
      </w:r>
    </w:p>
    <w:p w14:paraId="07F89671" w14:textId="77777777" w:rsidR="00BA2EEA" w:rsidRDefault="00BA2EEA" w:rsidP="00BA2EEA">
      <w:pPr>
        <w:autoSpaceDE w:val="0"/>
        <w:autoSpaceDN w:val="0"/>
        <w:adjustRightInd w:val="0"/>
        <w:jc w:val="both"/>
        <w:rPr>
          <w:rFonts w:ascii="Arial" w:hAnsi="Arial" w:cs="Arial"/>
          <w:sz w:val="20"/>
          <w:szCs w:val="20"/>
        </w:rPr>
      </w:pPr>
    </w:p>
    <w:p w14:paraId="1FC554BF" w14:textId="1B4382AB"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Em síntese, o Tribunal concluiu que o E@D foi implementado em todas as escolas e anos de escolaridade e exigiu um significativo esforço de todos os envolvidos, em especial dos alunos e professores com a rápida adaptação e inovação em meios e métodos. Sublinhou, também, que esta implementação foi conseguida sem experiência ou tempo de preparação. </w:t>
      </w:r>
    </w:p>
    <w:p w14:paraId="7050E95E" w14:textId="77777777"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Todavia, não estavam reunidas todas as condições para a eficácia do E@D, havendo alunos e professores com carências em competências digitais, sem computadores (4 em 5 alunos) e dificuldades no acesso à Internet e as escolas tinham meios digitais obsoletos. </w:t>
      </w:r>
    </w:p>
    <w:p w14:paraId="0F217E1B" w14:textId="77777777" w:rsidR="00BA2EEA" w:rsidRDefault="00BA2EEA" w:rsidP="00BA2EEA">
      <w:pPr>
        <w:autoSpaceDE w:val="0"/>
        <w:autoSpaceDN w:val="0"/>
        <w:adjustRightInd w:val="0"/>
        <w:jc w:val="both"/>
        <w:rPr>
          <w:rFonts w:ascii="Arial" w:hAnsi="Arial" w:cs="Arial"/>
          <w:sz w:val="20"/>
          <w:szCs w:val="20"/>
        </w:rPr>
      </w:pPr>
    </w:p>
    <w:p w14:paraId="6B15AE03" w14:textId="66B028FE"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A falta de meios digitais, o obstáculo mais significativo ao E@D, beneficiou da solidariedade da sociedade em geral e da crescente adaptação e sofisticação dos procedimentos de suporte adotados. Embora essa falta tenha sido mitigada por apoios (doação/empréstimo) de autarquias locais, associações e entidades privadas, não foi solucionada, subsistindo um número não quantificado de alunos sem os meios apropriados. Foram, ainda, identificadas insuficiências na recolha de informação sobre o impacto da pandemia no regime de ensino presencial, misto ou em E@D em cada escola (e.g. número de alunos sem um ou mais </w:t>
      </w:r>
      <w:r w:rsidRPr="00BA2EEA">
        <w:rPr>
          <w:rFonts w:ascii="Arial" w:hAnsi="Arial" w:cs="Arial"/>
          <w:sz w:val="20"/>
          <w:szCs w:val="20"/>
        </w:rPr>
        <w:lastRenderedPageBreak/>
        <w:t xml:space="preserve">professores e sem meios digitais; número de professores em E@D; horas letivas previstas mas não lecionadas). </w:t>
      </w:r>
    </w:p>
    <w:p w14:paraId="08FBBD27" w14:textId="77777777" w:rsidR="00BA2EEA" w:rsidRDefault="00BA2EEA" w:rsidP="00BA2EEA">
      <w:pPr>
        <w:autoSpaceDE w:val="0"/>
        <w:autoSpaceDN w:val="0"/>
        <w:adjustRightInd w:val="0"/>
        <w:jc w:val="both"/>
        <w:rPr>
          <w:rFonts w:ascii="Arial" w:hAnsi="Arial" w:cs="Arial"/>
          <w:sz w:val="20"/>
          <w:szCs w:val="20"/>
        </w:rPr>
      </w:pPr>
    </w:p>
    <w:p w14:paraId="39C19476" w14:textId="12EF7F85"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O E@D, como expectável, foi menos favorável aos alunos de contextos familiares mais frágeis e de grupos mais marginalizados, menos capacitados para o trabalho autónomo, com necessidades especiais e em situação de risco, expondo as fragilidades já existentes no sistema e afetando as aprendizagens dos alunos. Mas o impacto transversalmente mais negativo do E@D foi a perda de aprendizagens, cuja recuperação constitui, atualmente, a preocupação central entretanto refletida no “Plano de Recuperação das Aprendizagens 21/23 Escola +”. </w:t>
      </w:r>
    </w:p>
    <w:p w14:paraId="1E32BE6A" w14:textId="77777777" w:rsidR="00BA2EEA" w:rsidRDefault="00BA2EEA" w:rsidP="00BA2EEA">
      <w:pPr>
        <w:autoSpaceDE w:val="0"/>
        <w:autoSpaceDN w:val="0"/>
        <w:adjustRightInd w:val="0"/>
        <w:jc w:val="both"/>
        <w:rPr>
          <w:rFonts w:ascii="Arial" w:hAnsi="Arial" w:cs="Arial"/>
          <w:sz w:val="20"/>
          <w:szCs w:val="20"/>
        </w:rPr>
      </w:pPr>
    </w:p>
    <w:p w14:paraId="526957F2" w14:textId="3C943E9C"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O Tribunal concluiu, ainda, que as despesas orçamentais da Educação com a pandemia respeitaram, essencialmente, a equipamentos de proteção individual (2019/20: 3,5 M€; 2020/21: 11,5M€ até 20/01/2021) e que a autorização para a aquisição de 386 M€ em meios digitais para as escolas foi tardia, já só no final do ano letivo 2019/20, e condicionada à aprovação de fundos comunitários. Esses meios só começaram a chegar aos alunos no ano letivo 2020/21 e a mais de 60% só chegará no ano letivo seguinte. Para o futuro, o Plano de Recuperação e Resiliência para Portugal (2021-2026) prevê investimentos de 559 M€ na componente Escola Digital. </w:t>
      </w:r>
    </w:p>
    <w:p w14:paraId="24D7D5CB" w14:textId="77777777" w:rsidR="00BA2EEA" w:rsidRDefault="00BA2EEA" w:rsidP="00BA2EEA">
      <w:pPr>
        <w:autoSpaceDE w:val="0"/>
        <w:autoSpaceDN w:val="0"/>
        <w:adjustRightInd w:val="0"/>
        <w:jc w:val="both"/>
        <w:rPr>
          <w:rFonts w:ascii="Arial" w:hAnsi="Arial" w:cs="Arial"/>
          <w:sz w:val="20"/>
          <w:szCs w:val="20"/>
        </w:rPr>
      </w:pPr>
    </w:p>
    <w:p w14:paraId="2E5FBA07" w14:textId="1BBFB6E3"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 xml:space="preserve">Finalmente, o Tribunal observou que, para evitar o desinvestimento a médio prazo, não existia um plano estratégico para a substituição dos meios digitais (vida útil limitada) adquiridos para as escolas e que não foram implementados procedimentos centralizados de controlo preventivo da duplicação de apoios em meios digitais, o que retira eficácia à sua distribuição prioritária aos alunos mais carenciados e aumenta o risco de desperdício de dinheiros públicos. </w:t>
      </w:r>
    </w:p>
    <w:p w14:paraId="29707397" w14:textId="0F8C3B36" w:rsidR="00BA2EEA" w:rsidRPr="00BA2EEA" w:rsidRDefault="00BA2EEA" w:rsidP="00BA2EEA">
      <w:pPr>
        <w:autoSpaceDE w:val="0"/>
        <w:autoSpaceDN w:val="0"/>
        <w:adjustRightInd w:val="0"/>
        <w:spacing w:line="276" w:lineRule="auto"/>
        <w:jc w:val="both"/>
        <w:rPr>
          <w:rFonts w:ascii="Arial" w:hAnsi="Arial" w:cs="Arial"/>
          <w:sz w:val="20"/>
          <w:szCs w:val="20"/>
        </w:rPr>
      </w:pPr>
      <w:r w:rsidRPr="00BA2EEA">
        <w:rPr>
          <w:rFonts w:ascii="Arial" w:hAnsi="Arial" w:cs="Arial"/>
          <w:sz w:val="20"/>
          <w:szCs w:val="20"/>
        </w:rPr>
        <w:t>Neste contexto, as conclusões do Relatório suscitaram a formulação de recomendações dirigidas ao Ministro Educação para: a) concretizar o programa de investimentos para a digitalização das escolas; b) elaborar um plano estratégico de substituição dos meios digitais; c) aperfeiçoar o sistema de gestão escolar prevenindo o reporte tempestivo de informação em situações de emergência; d) aperfeiçoar o sistema de gestão e controlo de meios digitais prevenindo a duplicação de apoios</w:t>
      </w:r>
      <w:r>
        <w:rPr>
          <w:rFonts w:ascii="Arial" w:hAnsi="Arial" w:cs="Arial"/>
          <w:sz w:val="20"/>
          <w:szCs w:val="20"/>
        </w:rPr>
        <w:t>”</w:t>
      </w:r>
      <w:r w:rsidRPr="00BA2EEA">
        <w:rPr>
          <w:rFonts w:ascii="Arial" w:hAnsi="Arial" w:cs="Arial"/>
          <w:sz w:val="20"/>
          <w:szCs w:val="20"/>
        </w:rPr>
        <w:t xml:space="preserve">. </w:t>
      </w:r>
    </w:p>
    <w:p w14:paraId="7580A06D" w14:textId="5A0F218D" w:rsidR="00E23446" w:rsidRPr="002E3E2A" w:rsidRDefault="00E23446" w:rsidP="00BA2EEA">
      <w:pPr>
        <w:autoSpaceDE w:val="0"/>
        <w:autoSpaceDN w:val="0"/>
        <w:adjustRightInd w:val="0"/>
        <w:jc w:val="both"/>
        <w:rPr>
          <w:rFonts w:ascii="Arial" w:hAnsi="Arial" w:cs="Arial"/>
          <w:sz w:val="20"/>
          <w:szCs w:val="20"/>
        </w:rPr>
      </w:pPr>
    </w:p>
    <w:p w14:paraId="62977C2B" w14:textId="4E6C203C" w:rsidR="00E23446" w:rsidRPr="002E3E2A" w:rsidRDefault="00E23446" w:rsidP="002E3E2A">
      <w:pPr>
        <w:autoSpaceDE w:val="0"/>
        <w:autoSpaceDN w:val="0"/>
        <w:adjustRightInd w:val="0"/>
        <w:jc w:val="both"/>
        <w:rPr>
          <w:rFonts w:ascii="Arial" w:hAnsi="Arial" w:cs="Arial"/>
          <w:sz w:val="20"/>
          <w:szCs w:val="20"/>
        </w:rPr>
      </w:pPr>
      <w:r w:rsidRPr="002E3E2A">
        <w:rPr>
          <w:rFonts w:ascii="Arial" w:hAnsi="Arial" w:cs="Arial"/>
          <w:sz w:val="20"/>
          <w:szCs w:val="20"/>
        </w:rPr>
        <w:t xml:space="preserve">Informe Executivo do Relatório/Acórdão/Decisão disponível em língua </w:t>
      </w:r>
      <w:r w:rsidR="006D229B">
        <w:rPr>
          <w:rFonts w:ascii="Arial" w:hAnsi="Arial" w:cs="Arial"/>
          <w:sz w:val="20"/>
          <w:szCs w:val="20"/>
        </w:rPr>
        <w:t>portuguesa</w:t>
      </w:r>
      <w:r w:rsidRPr="002E3E2A">
        <w:rPr>
          <w:rFonts w:ascii="Arial" w:hAnsi="Arial" w:cs="Arial"/>
          <w:sz w:val="20"/>
          <w:szCs w:val="20"/>
        </w:rPr>
        <w:t>:</w:t>
      </w:r>
    </w:p>
    <w:p w14:paraId="68836026" w14:textId="77777777" w:rsidR="00DF3666" w:rsidRPr="002E3E2A" w:rsidRDefault="00DF3666" w:rsidP="002E3E2A">
      <w:pPr>
        <w:jc w:val="both"/>
        <w:rPr>
          <w:rFonts w:ascii="Arial" w:hAnsi="Arial" w:cs="Arial"/>
          <w:sz w:val="20"/>
          <w:szCs w:val="20"/>
        </w:rPr>
      </w:pPr>
    </w:p>
    <w:p w14:paraId="337BA0CB" w14:textId="77777777" w:rsidR="00BA2EEA" w:rsidRDefault="00BA2EEA" w:rsidP="00BA2EEA">
      <w:pPr>
        <w:autoSpaceDE w:val="0"/>
        <w:autoSpaceDN w:val="0"/>
        <w:adjustRightInd w:val="0"/>
        <w:jc w:val="both"/>
      </w:pPr>
      <w:hyperlink r:id="rId23" w:history="1">
        <w:r w:rsidRPr="0043738A">
          <w:rPr>
            <w:rStyle w:val="Hyperlink"/>
          </w:rPr>
          <w:t>https://www.tcontas.pt/pt-pt/ProdutosTC/Relatorios/RelatoriosAuditoria/Documents/2021/rel009-2021-2s.pdf</w:t>
        </w:r>
      </w:hyperlink>
    </w:p>
    <w:p w14:paraId="7FC01E1D" w14:textId="77777777" w:rsidR="004773BD" w:rsidRPr="002E3E2A" w:rsidRDefault="004773BD" w:rsidP="002E3E2A">
      <w:pPr>
        <w:jc w:val="both"/>
        <w:rPr>
          <w:rFonts w:ascii="Arial" w:hAnsi="Arial" w:cs="Arial"/>
          <w:color w:val="000000"/>
          <w:sz w:val="20"/>
          <w:szCs w:val="20"/>
        </w:rPr>
      </w:pPr>
    </w:p>
    <w:p w14:paraId="08503D51" w14:textId="77777777" w:rsidR="00543DF0" w:rsidRPr="002E3E2A" w:rsidRDefault="00543DF0" w:rsidP="002E3E2A">
      <w:pPr>
        <w:pStyle w:val="Default"/>
        <w:spacing w:line="276" w:lineRule="auto"/>
        <w:jc w:val="both"/>
        <w:rPr>
          <w:b/>
          <w:sz w:val="20"/>
          <w:szCs w:val="20"/>
        </w:rPr>
      </w:pPr>
      <w:r w:rsidRPr="002E3E2A">
        <w:rPr>
          <w:b/>
          <w:sz w:val="20"/>
          <w:szCs w:val="20"/>
        </w:rPr>
        <w:t xml:space="preserve">Acesse também: </w:t>
      </w:r>
    </w:p>
    <w:p w14:paraId="094D0CCB" w14:textId="77777777" w:rsidR="00270E2F" w:rsidRPr="002E3E2A" w:rsidRDefault="001B3C94" w:rsidP="002E3E2A">
      <w:pPr>
        <w:pStyle w:val="Default"/>
        <w:spacing w:line="276" w:lineRule="auto"/>
        <w:jc w:val="center"/>
        <w:rPr>
          <w:rStyle w:val="Hyperlink"/>
          <w:b/>
          <w:sz w:val="20"/>
          <w:szCs w:val="20"/>
        </w:rPr>
      </w:pPr>
      <w:hyperlink r:id="rId24" w:history="1">
        <w:r w:rsidR="00270E2F" w:rsidRPr="002E3E2A">
          <w:rPr>
            <w:rStyle w:val="Hyperlink"/>
            <w:b/>
            <w:sz w:val="20"/>
            <w:szCs w:val="20"/>
          </w:rPr>
          <w:t>Pesquisas Prontas</w:t>
        </w:r>
      </w:hyperlink>
    </w:p>
    <w:p w14:paraId="6BF07C58" w14:textId="77777777" w:rsidR="00E3262F" w:rsidRPr="002E3E2A" w:rsidRDefault="00E3262F" w:rsidP="002E3E2A">
      <w:pPr>
        <w:pStyle w:val="Default"/>
        <w:spacing w:line="276" w:lineRule="auto"/>
        <w:jc w:val="center"/>
        <w:rPr>
          <w:rStyle w:val="Hyperlink"/>
          <w:b/>
          <w:sz w:val="20"/>
          <w:szCs w:val="20"/>
        </w:rPr>
      </w:pPr>
    </w:p>
    <w:p w14:paraId="03DF2971" w14:textId="77777777" w:rsidR="00E3262F" w:rsidRPr="002E3E2A" w:rsidRDefault="001B3C94" w:rsidP="002E3E2A">
      <w:pPr>
        <w:pStyle w:val="Default"/>
        <w:spacing w:line="276" w:lineRule="auto"/>
        <w:jc w:val="center"/>
        <w:rPr>
          <w:b/>
          <w:sz w:val="20"/>
          <w:szCs w:val="20"/>
        </w:rPr>
      </w:pPr>
      <w:hyperlink r:id="rId25" w:history="1">
        <w:r w:rsidR="00E3262F" w:rsidRPr="002E3E2A">
          <w:rPr>
            <w:rStyle w:val="Hyperlink"/>
            <w:b/>
            <w:sz w:val="20"/>
            <w:szCs w:val="20"/>
          </w:rPr>
          <w:t>Teses Ambientais</w:t>
        </w:r>
      </w:hyperlink>
    </w:p>
    <w:p w14:paraId="23459611" w14:textId="77777777" w:rsidR="00270E2F" w:rsidRPr="002E3E2A" w:rsidRDefault="00270E2F" w:rsidP="002E3E2A">
      <w:pPr>
        <w:pStyle w:val="Default"/>
        <w:spacing w:line="276" w:lineRule="auto"/>
        <w:jc w:val="center"/>
        <w:rPr>
          <w:sz w:val="20"/>
          <w:szCs w:val="20"/>
        </w:rPr>
      </w:pPr>
    </w:p>
    <w:p w14:paraId="3F9ABEA0" w14:textId="77777777" w:rsidR="00270E2F" w:rsidRPr="002E3E2A" w:rsidRDefault="001B3C94" w:rsidP="002E3E2A">
      <w:pPr>
        <w:pStyle w:val="Default"/>
        <w:spacing w:line="276" w:lineRule="auto"/>
        <w:jc w:val="center"/>
        <w:rPr>
          <w:rStyle w:val="Hyperlink"/>
          <w:b/>
          <w:sz w:val="20"/>
          <w:szCs w:val="20"/>
        </w:rPr>
      </w:pPr>
      <w:hyperlink r:id="rId26" w:history="1">
        <w:r w:rsidR="00270E2F" w:rsidRPr="002E3E2A">
          <w:rPr>
            <w:rStyle w:val="Hyperlink"/>
            <w:b/>
            <w:sz w:val="20"/>
            <w:szCs w:val="20"/>
          </w:rPr>
          <w:t>Repercussão Geral do Supremo Tribunal Federal - STF e os Tribunais de Contas</w:t>
        </w:r>
      </w:hyperlink>
    </w:p>
    <w:p w14:paraId="2E8FDFA9" w14:textId="77777777" w:rsidR="00270E2F" w:rsidRPr="002E3E2A" w:rsidRDefault="00270E2F" w:rsidP="002E3E2A">
      <w:pPr>
        <w:pStyle w:val="Default"/>
        <w:spacing w:line="276" w:lineRule="auto"/>
        <w:jc w:val="center"/>
        <w:rPr>
          <w:rStyle w:val="Hyperlink"/>
          <w:b/>
          <w:sz w:val="20"/>
          <w:szCs w:val="20"/>
        </w:rPr>
      </w:pPr>
    </w:p>
    <w:p w14:paraId="60842092" w14:textId="77777777" w:rsidR="003E297C" w:rsidRPr="002E3E2A" w:rsidRDefault="001B3C94" w:rsidP="002E3E2A">
      <w:pPr>
        <w:pStyle w:val="Default"/>
        <w:spacing w:line="276" w:lineRule="auto"/>
        <w:jc w:val="center"/>
        <w:rPr>
          <w:rStyle w:val="Hyperlink"/>
          <w:b/>
          <w:sz w:val="20"/>
          <w:szCs w:val="20"/>
        </w:rPr>
      </w:pPr>
      <w:hyperlink r:id="rId27" w:history="1">
        <w:r w:rsidR="003E297C" w:rsidRPr="002E3E2A">
          <w:rPr>
            <w:rStyle w:val="Hyperlink"/>
            <w:b/>
            <w:sz w:val="20"/>
            <w:szCs w:val="20"/>
          </w:rPr>
          <w:t>Boletim Informativo de Jurisprudência</w:t>
        </w:r>
      </w:hyperlink>
    </w:p>
    <w:p w14:paraId="47E27A7F" w14:textId="77777777" w:rsidR="003E297C" w:rsidRPr="002E3E2A" w:rsidRDefault="003E297C" w:rsidP="002E3E2A">
      <w:pPr>
        <w:pStyle w:val="Default"/>
        <w:spacing w:line="276" w:lineRule="auto"/>
        <w:jc w:val="center"/>
        <w:rPr>
          <w:rStyle w:val="Hyperlink"/>
          <w:b/>
          <w:sz w:val="20"/>
          <w:szCs w:val="20"/>
        </w:rPr>
      </w:pPr>
    </w:p>
    <w:p w14:paraId="568244D5" w14:textId="77777777" w:rsidR="003E297C" w:rsidRPr="002E3E2A" w:rsidRDefault="001B3C94" w:rsidP="002E3E2A">
      <w:pPr>
        <w:pStyle w:val="Default"/>
        <w:spacing w:line="276" w:lineRule="auto"/>
        <w:jc w:val="center"/>
        <w:rPr>
          <w:rStyle w:val="Hyperlink"/>
          <w:b/>
          <w:sz w:val="20"/>
          <w:szCs w:val="20"/>
        </w:rPr>
      </w:pPr>
      <w:hyperlink r:id="rId28" w:history="1">
        <w:r w:rsidR="003E297C" w:rsidRPr="002E3E2A">
          <w:rPr>
            <w:rStyle w:val="Hyperlink"/>
            <w:b/>
            <w:sz w:val="20"/>
            <w:szCs w:val="20"/>
          </w:rPr>
          <w:t>Súmulas Selecionadas</w:t>
        </w:r>
      </w:hyperlink>
    </w:p>
    <w:p w14:paraId="5E979264" w14:textId="77777777" w:rsidR="00270E2F" w:rsidRPr="002E3E2A" w:rsidRDefault="001B3C94" w:rsidP="002E3E2A">
      <w:pPr>
        <w:pStyle w:val="TCU-Epgrafe"/>
        <w:spacing w:line="276" w:lineRule="auto"/>
        <w:ind w:left="0"/>
        <w:rPr>
          <w:rFonts w:ascii="Arial" w:hAnsi="Arial" w:cs="Arial"/>
          <w:sz w:val="20"/>
        </w:rPr>
      </w:pPr>
      <w:r>
        <w:rPr>
          <w:noProof/>
        </w:rPr>
        <w:pict w14:anchorId="0F3454D5">
          <v:line id="Conector reto 59" o:spid="_x0000_s2050" style="position:absolute;left:0;text-align:left;z-index:251664896;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" strokecolor="maroon" strokeweight="2pt">
            <v:shadow on="t" color="black" opacity="24903f" origin=",.5" offset="0,.55556mm"/>
            <w10:wrap anchorx="margin"/>
          </v:line>
        </w:pict>
      </w:r>
    </w:p>
    <w:p w14:paraId="77D7FF8F" w14:textId="77777777" w:rsidR="00984E8B" w:rsidRPr="002E3E2A" w:rsidRDefault="00984E8B" w:rsidP="002E3E2A">
      <w:pPr>
        <w:jc w:val="center"/>
        <w:rPr>
          <w:rStyle w:val="Hyperlink"/>
          <w:rFonts w:ascii="Arial" w:hAnsi="Arial" w:cs="Arial"/>
          <w:i/>
          <w:color w:val="000000" w:themeColor="text1"/>
          <w:sz w:val="20"/>
          <w:szCs w:val="20"/>
          <w:u w:val="none"/>
        </w:rPr>
      </w:pPr>
    </w:p>
    <w:p w14:paraId="34740D1B" w14:textId="77777777" w:rsidR="00E01524" w:rsidRPr="002E3E2A" w:rsidRDefault="00DB558E" w:rsidP="002E3E2A">
      <w:pPr>
        <w:jc w:val="center"/>
        <w:rPr>
          <w:rFonts w:ascii="Arial" w:hAnsi="Arial" w:cs="Arial"/>
          <w:b/>
          <w:sz w:val="20"/>
          <w:szCs w:val="20"/>
        </w:rPr>
      </w:pPr>
      <w:r w:rsidRPr="002E3E2A">
        <w:rPr>
          <w:rStyle w:val="Hyperlink"/>
          <w:rFonts w:ascii="Arial" w:hAnsi="Arial" w:cs="Arial"/>
          <w:i/>
          <w:color w:val="000000" w:themeColor="text1"/>
          <w:sz w:val="20"/>
          <w:szCs w:val="20"/>
          <w:u w:val="none"/>
        </w:rPr>
        <w:t>Elaboração: Escola de Gestão Pública - Jurisprudência</w:t>
      </w:r>
    </w:p>
    <w:sectPr w:rsidR="00E01524" w:rsidRPr="002E3E2A" w:rsidSect="004B42BB">
      <w:headerReference w:type="default" r:id="rId29"/>
      <w:footerReference w:type="default" r:id="rId30"/>
      <w:pgSz w:w="11906" w:h="16838"/>
      <w:pgMar w:top="549"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2AB3" w14:textId="77777777" w:rsidR="001B3C94" w:rsidRDefault="001B3C94" w:rsidP="00350CC2">
      <w:r>
        <w:separator/>
      </w:r>
    </w:p>
  </w:endnote>
  <w:endnote w:type="continuationSeparator" w:id="0">
    <w:p w14:paraId="0E0E6B4B" w14:textId="77777777" w:rsidR="001B3C94" w:rsidRDefault="001B3C94" w:rsidP="003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248F" w14:textId="77777777" w:rsidR="000A4E5F" w:rsidRDefault="000A4E5F" w:rsidP="002245DE">
    <w:pPr>
      <w:pStyle w:val="Rodap"/>
      <w:jc w:val="center"/>
      <w:rPr>
        <w:sz w:val="16"/>
        <w:szCs w:val="16"/>
      </w:rPr>
    </w:pPr>
  </w:p>
  <w:p w14:paraId="237C733E"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rPr>
      <w:drawing>
        <wp:anchor distT="0" distB="0" distL="114300" distR="114300" simplePos="0" relativeHeight="251659264" behindDoc="1" locked="0" layoutInCell="1" allowOverlap="1" wp14:anchorId="19C5E883" wp14:editId="5875AFB9">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anchor>
      </w:drawing>
    </w:r>
    <w:r w:rsidR="0004014E"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0004014E" w:rsidRPr="00AD1CE8">
      <w:rPr>
        <w:rFonts w:ascii="Arial" w:hAnsi="Arial"/>
        <w:b/>
        <w:color w:val="FFFFFF" w:themeColor="background1"/>
        <w:sz w:val="20"/>
        <w:szCs w:val="20"/>
      </w:rPr>
      <w:fldChar w:fldCharType="separate"/>
    </w:r>
    <w:r w:rsidR="007143C3">
      <w:rPr>
        <w:rFonts w:ascii="Arial" w:hAnsi="Arial"/>
        <w:b/>
        <w:noProof/>
        <w:color w:val="FFFFFF" w:themeColor="background1"/>
        <w:sz w:val="20"/>
        <w:szCs w:val="20"/>
      </w:rPr>
      <w:t>6</w:t>
    </w:r>
    <w:r w:rsidR="0004014E"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741E" w14:textId="77777777" w:rsidR="001B3C94" w:rsidRDefault="001B3C94" w:rsidP="00350CC2">
      <w:r>
        <w:separator/>
      </w:r>
    </w:p>
  </w:footnote>
  <w:footnote w:type="continuationSeparator" w:id="0">
    <w:p w14:paraId="69C31EA1" w14:textId="77777777" w:rsidR="001B3C94" w:rsidRDefault="001B3C94" w:rsidP="0035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7B44" w14:textId="77777777" w:rsidR="000A4E5F" w:rsidRDefault="000A4E5F" w:rsidP="00F14CCC">
    <w:pPr>
      <w:pStyle w:val="Cabealho"/>
      <w:spacing w:after="100" w:afterAutospacing="1"/>
      <w:jc w:val="center"/>
      <w:rPr>
        <w:b/>
      </w:rPr>
    </w:pPr>
    <w:r>
      <w:rPr>
        <w:b/>
        <w:noProof/>
      </w:rPr>
      <w:drawing>
        <wp:anchor distT="0" distB="0" distL="114300" distR="114300" simplePos="0" relativeHeight="251658240" behindDoc="1" locked="0" layoutInCell="1" allowOverlap="1" wp14:anchorId="571CE629" wp14:editId="0AB696DA">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anchor>
      </w:drawing>
    </w:r>
  </w:p>
  <w:p w14:paraId="1765A1DE" w14:textId="7777777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9569EB"/>
    <w:multiLevelType w:val="hybridMultilevel"/>
    <w:tmpl w:val="76287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8A726FC"/>
    <w:multiLevelType w:val="multilevel"/>
    <w:tmpl w:val="9AB6C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773DBD"/>
    <w:multiLevelType w:val="hybridMultilevel"/>
    <w:tmpl w:val="3D0EA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6"/>
  </w:num>
  <w:num w:numId="5">
    <w:abstractNumId w:val="18"/>
  </w:num>
  <w:num w:numId="6">
    <w:abstractNumId w:val="10"/>
  </w:num>
  <w:num w:numId="7">
    <w:abstractNumId w:val="0"/>
  </w:num>
  <w:num w:numId="8">
    <w:abstractNumId w:val="1"/>
  </w:num>
  <w:num w:numId="9">
    <w:abstractNumId w:val="6"/>
  </w:num>
  <w:num w:numId="10">
    <w:abstractNumId w:val="2"/>
  </w:num>
  <w:num w:numId="11">
    <w:abstractNumId w:val="3"/>
  </w:num>
  <w:num w:numId="12">
    <w:abstractNumId w:val="9"/>
  </w:num>
  <w:num w:numId="13">
    <w:abstractNumId w:val="13"/>
  </w:num>
  <w:num w:numId="14">
    <w:abstractNumId w:val="12"/>
  </w:num>
  <w:num w:numId="15">
    <w:abstractNumId w:val="11"/>
  </w:num>
  <w:num w:numId="16">
    <w:abstractNumId w:val="4"/>
  </w:num>
  <w:num w:numId="17">
    <w:abstractNumId w:val="7"/>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30CD"/>
    <w:rsid w:val="00025971"/>
    <w:rsid w:val="000262AD"/>
    <w:rsid w:val="00027A03"/>
    <w:rsid w:val="00027FAB"/>
    <w:rsid w:val="000300F4"/>
    <w:rsid w:val="00032A26"/>
    <w:rsid w:val="00033422"/>
    <w:rsid w:val="00033E69"/>
    <w:rsid w:val="0004014E"/>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87A0F"/>
    <w:rsid w:val="0009260D"/>
    <w:rsid w:val="000926D4"/>
    <w:rsid w:val="00092E5D"/>
    <w:rsid w:val="0009482D"/>
    <w:rsid w:val="0009711C"/>
    <w:rsid w:val="0009762F"/>
    <w:rsid w:val="00097B00"/>
    <w:rsid w:val="000A05C5"/>
    <w:rsid w:val="000A0748"/>
    <w:rsid w:val="000A0E48"/>
    <w:rsid w:val="000A250D"/>
    <w:rsid w:val="000A29BE"/>
    <w:rsid w:val="000A3C2D"/>
    <w:rsid w:val="000A3E63"/>
    <w:rsid w:val="000A47FD"/>
    <w:rsid w:val="000A4E5F"/>
    <w:rsid w:val="000A4EB6"/>
    <w:rsid w:val="000A5F01"/>
    <w:rsid w:val="000A71D1"/>
    <w:rsid w:val="000A7F5C"/>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7B8"/>
    <w:rsid w:val="000E0E50"/>
    <w:rsid w:val="000E1F93"/>
    <w:rsid w:val="000E300B"/>
    <w:rsid w:val="000E3ACE"/>
    <w:rsid w:val="000E3FC6"/>
    <w:rsid w:val="000E464B"/>
    <w:rsid w:val="000E485E"/>
    <w:rsid w:val="000E5AC8"/>
    <w:rsid w:val="000F04ED"/>
    <w:rsid w:val="000F18DA"/>
    <w:rsid w:val="000F1FFA"/>
    <w:rsid w:val="000F255B"/>
    <w:rsid w:val="000F314C"/>
    <w:rsid w:val="000F39A5"/>
    <w:rsid w:val="000F639D"/>
    <w:rsid w:val="000F7C1B"/>
    <w:rsid w:val="00100B9C"/>
    <w:rsid w:val="0010674D"/>
    <w:rsid w:val="00106AA9"/>
    <w:rsid w:val="00106B27"/>
    <w:rsid w:val="00110517"/>
    <w:rsid w:val="00110554"/>
    <w:rsid w:val="00110B0B"/>
    <w:rsid w:val="00110BD6"/>
    <w:rsid w:val="001119DC"/>
    <w:rsid w:val="00111B86"/>
    <w:rsid w:val="00111C26"/>
    <w:rsid w:val="00112B60"/>
    <w:rsid w:val="0011394D"/>
    <w:rsid w:val="00113EF1"/>
    <w:rsid w:val="0011430B"/>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3C94"/>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6E"/>
    <w:rsid w:val="002013D1"/>
    <w:rsid w:val="0020195B"/>
    <w:rsid w:val="00202E6D"/>
    <w:rsid w:val="00202F4B"/>
    <w:rsid w:val="002036C8"/>
    <w:rsid w:val="002056F4"/>
    <w:rsid w:val="002100EE"/>
    <w:rsid w:val="00211A49"/>
    <w:rsid w:val="00213BD0"/>
    <w:rsid w:val="002147AC"/>
    <w:rsid w:val="00215BFE"/>
    <w:rsid w:val="00215EF3"/>
    <w:rsid w:val="00216825"/>
    <w:rsid w:val="00217E86"/>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6D9"/>
    <w:rsid w:val="002B6BA0"/>
    <w:rsid w:val="002C05FF"/>
    <w:rsid w:val="002C19EA"/>
    <w:rsid w:val="002C3EA5"/>
    <w:rsid w:val="002C480F"/>
    <w:rsid w:val="002C56C9"/>
    <w:rsid w:val="002C7487"/>
    <w:rsid w:val="002D1923"/>
    <w:rsid w:val="002D48D1"/>
    <w:rsid w:val="002D5B56"/>
    <w:rsid w:val="002D6612"/>
    <w:rsid w:val="002D7650"/>
    <w:rsid w:val="002D7F74"/>
    <w:rsid w:val="002E09B1"/>
    <w:rsid w:val="002E0A60"/>
    <w:rsid w:val="002E3394"/>
    <w:rsid w:val="002E3E2A"/>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29B0"/>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1E4D"/>
    <w:rsid w:val="00373E05"/>
    <w:rsid w:val="00375692"/>
    <w:rsid w:val="00375DB6"/>
    <w:rsid w:val="0038012F"/>
    <w:rsid w:val="00380BAB"/>
    <w:rsid w:val="00381783"/>
    <w:rsid w:val="00381A0E"/>
    <w:rsid w:val="0038751C"/>
    <w:rsid w:val="0038778B"/>
    <w:rsid w:val="0039081D"/>
    <w:rsid w:val="00394451"/>
    <w:rsid w:val="0039584A"/>
    <w:rsid w:val="0039625A"/>
    <w:rsid w:val="00396E93"/>
    <w:rsid w:val="003A18B4"/>
    <w:rsid w:val="003A360B"/>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53D6"/>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773BD"/>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0E7"/>
    <w:rsid w:val="004A22CF"/>
    <w:rsid w:val="004A5804"/>
    <w:rsid w:val="004A794E"/>
    <w:rsid w:val="004B142E"/>
    <w:rsid w:val="004B1C0F"/>
    <w:rsid w:val="004B25CD"/>
    <w:rsid w:val="004B3D26"/>
    <w:rsid w:val="004B42BB"/>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6B20"/>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3E8D"/>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229B"/>
    <w:rsid w:val="006D3590"/>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3C3"/>
    <w:rsid w:val="00714CF1"/>
    <w:rsid w:val="00715CEB"/>
    <w:rsid w:val="00717A58"/>
    <w:rsid w:val="00722924"/>
    <w:rsid w:val="00723D30"/>
    <w:rsid w:val="00723F1A"/>
    <w:rsid w:val="00725BBB"/>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35B2"/>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563"/>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31EE"/>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02F9"/>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3DD7"/>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100"/>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48"/>
    <w:rsid w:val="00AA5AE9"/>
    <w:rsid w:val="00AA5DFA"/>
    <w:rsid w:val="00AA6276"/>
    <w:rsid w:val="00AA68F3"/>
    <w:rsid w:val="00AA6D45"/>
    <w:rsid w:val="00AA6EE2"/>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088E"/>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2EEA"/>
    <w:rsid w:val="00BA3317"/>
    <w:rsid w:val="00BA5A9D"/>
    <w:rsid w:val="00BA5D32"/>
    <w:rsid w:val="00BA6363"/>
    <w:rsid w:val="00BA79D0"/>
    <w:rsid w:val="00BB2571"/>
    <w:rsid w:val="00BB2D9C"/>
    <w:rsid w:val="00BB3512"/>
    <w:rsid w:val="00BB5D1E"/>
    <w:rsid w:val="00BB62CC"/>
    <w:rsid w:val="00BB7ED6"/>
    <w:rsid w:val="00BC0937"/>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1EFB"/>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57BED"/>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0E39"/>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183F"/>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4A31"/>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62B"/>
    <w:rsid w:val="00D71A7E"/>
    <w:rsid w:val="00D7297C"/>
    <w:rsid w:val="00D74DB8"/>
    <w:rsid w:val="00D75C06"/>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3A"/>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446"/>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2B95"/>
    <w:rsid w:val="00EA34E2"/>
    <w:rsid w:val="00EA52D1"/>
    <w:rsid w:val="00EA703E"/>
    <w:rsid w:val="00EA791F"/>
    <w:rsid w:val="00EB671F"/>
    <w:rsid w:val="00EB70E7"/>
    <w:rsid w:val="00EB76D6"/>
    <w:rsid w:val="00EC02E8"/>
    <w:rsid w:val="00EC1139"/>
    <w:rsid w:val="00EC2F5C"/>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453"/>
    <w:rsid w:val="00F20C09"/>
    <w:rsid w:val="00F217DF"/>
    <w:rsid w:val="00F21CAE"/>
    <w:rsid w:val="00F22AE0"/>
    <w:rsid w:val="00F234D8"/>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248"/>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B32"/>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64E6AFF"/>
  <w15:docId w15:val="{D1C23D4A-D707-594D-856F-87F5FCB1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0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135D5F"/>
    <w:pPr>
      <w:widowControl w:val="0"/>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pPr>
    <w:rPr>
      <w:sz w:val="20"/>
      <w:szCs w:val="20"/>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p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p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ind w:left="2835"/>
      <w:jc w:val="both"/>
    </w:pPr>
    <w:rPr>
      <w:szCs w:val="20"/>
    </w:rPr>
  </w:style>
  <w:style w:type="paragraph" w:styleId="NormalWeb">
    <w:name w:val="Normal (Web)"/>
    <w:basedOn w:val="Normal"/>
    <w:uiPriority w:val="99"/>
    <w:semiHidden/>
    <w:unhideWhenUsed/>
    <w:rsid w:val="00D23DE4"/>
    <w:pPr>
      <w:spacing w:before="100" w:beforeAutospacing="1" w:after="100" w:afterAutospacing="1"/>
    </w:p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p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p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enoPendente2">
    <w:name w:val="Menção Pendente2"/>
    <w:basedOn w:val="Fontepargpadro"/>
    <w:uiPriority w:val="99"/>
    <w:semiHidden/>
    <w:unhideWhenUsed/>
    <w:rsid w:val="000B5152"/>
    <w:rPr>
      <w:color w:val="605E5C"/>
      <w:shd w:val="clear" w:color="auto" w:fill="E1DFDD"/>
    </w:rPr>
  </w:style>
  <w:style w:type="paragraph" w:styleId="Pr-formataoHTML">
    <w:name w:val="HTML Preformatted"/>
    <w:basedOn w:val="Normal"/>
    <w:link w:val="Pr-formataoHTMLChar"/>
    <w:uiPriority w:val="99"/>
    <w:unhideWhenUsed/>
    <w:rsid w:val="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B42BB"/>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4B42BB"/>
    <w:rPr>
      <w:color w:val="605E5C"/>
      <w:shd w:val="clear" w:color="auto" w:fill="E1DFDD"/>
    </w:rPr>
  </w:style>
  <w:style w:type="character" w:styleId="MenoPendente">
    <w:name w:val="Unresolved Mention"/>
    <w:basedOn w:val="Fontepargpadro"/>
    <w:uiPriority w:val="99"/>
    <w:semiHidden/>
    <w:unhideWhenUsed/>
    <w:rsid w:val="00BA2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052">
      <w:bodyDiv w:val="1"/>
      <w:marLeft w:val="0"/>
      <w:marRight w:val="0"/>
      <w:marTop w:val="0"/>
      <w:marBottom w:val="0"/>
      <w:divBdr>
        <w:top w:val="none" w:sz="0" w:space="0" w:color="auto"/>
        <w:left w:val="none" w:sz="0" w:space="0" w:color="auto"/>
        <w:bottom w:val="none" w:sz="0" w:space="0" w:color="auto"/>
        <w:right w:val="none" w:sz="0" w:space="0" w:color="auto"/>
      </w:divBdr>
    </w:div>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5527490">
      <w:bodyDiv w:val="1"/>
      <w:marLeft w:val="0"/>
      <w:marRight w:val="0"/>
      <w:marTop w:val="0"/>
      <w:marBottom w:val="0"/>
      <w:divBdr>
        <w:top w:val="none" w:sz="0" w:space="0" w:color="auto"/>
        <w:left w:val="none" w:sz="0" w:space="0" w:color="auto"/>
        <w:bottom w:val="none" w:sz="0" w:space="0" w:color="auto"/>
        <w:right w:val="none" w:sz="0" w:space="0" w:color="auto"/>
      </w:divBdr>
    </w:div>
    <w:div w:id="297035071">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20487753">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75222642">
      <w:bodyDiv w:val="1"/>
      <w:marLeft w:val="0"/>
      <w:marRight w:val="0"/>
      <w:marTop w:val="0"/>
      <w:marBottom w:val="0"/>
      <w:divBdr>
        <w:top w:val="none" w:sz="0" w:space="0" w:color="auto"/>
        <w:left w:val="none" w:sz="0" w:space="0" w:color="auto"/>
        <w:bottom w:val="none" w:sz="0" w:space="0" w:color="auto"/>
        <w:right w:val="none" w:sz="0" w:space="0" w:color="auto"/>
      </w:divBdr>
    </w:div>
    <w:div w:id="528565456">
      <w:bodyDiv w:val="1"/>
      <w:marLeft w:val="0"/>
      <w:marRight w:val="0"/>
      <w:marTop w:val="0"/>
      <w:marBottom w:val="0"/>
      <w:divBdr>
        <w:top w:val="none" w:sz="0" w:space="0" w:color="auto"/>
        <w:left w:val="none" w:sz="0" w:space="0" w:color="auto"/>
        <w:bottom w:val="none" w:sz="0" w:space="0" w:color="auto"/>
        <w:right w:val="none" w:sz="0" w:space="0" w:color="auto"/>
      </w:divBdr>
    </w:div>
    <w:div w:id="5625654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659965585">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60182882">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208688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49022314">
      <w:bodyDiv w:val="1"/>
      <w:marLeft w:val="0"/>
      <w:marRight w:val="0"/>
      <w:marTop w:val="0"/>
      <w:marBottom w:val="0"/>
      <w:divBdr>
        <w:top w:val="none" w:sz="0" w:space="0" w:color="auto"/>
        <w:left w:val="none" w:sz="0" w:space="0" w:color="auto"/>
        <w:bottom w:val="none" w:sz="0" w:space="0" w:color="auto"/>
        <w:right w:val="none" w:sz="0" w:space="0" w:color="auto"/>
      </w:divBdr>
    </w:div>
    <w:div w:id="1357462598">
      <w:bodyDiv w:val="1"/>
      <w:marLeft w:val="0"/>
      <w:marRight w:val="0"/>
      <w:marTop w:val="0"/>
      <w:marBottom w:val="0"/>
      <w:divBdr>
        <w:top w:val="none" w:sz="0" w:space="0" w:color="auto"/>
        <w:left w:val="none" w:sz="0" w:space="0" w:color="auto"/>
        <w:bottom w:val="none" w:sz="0" w:space="0" w:color="auto"/>
        <w:right w:val="none" w:sz="0" w:space="0" w:color="auto"/>
      </w:divBdr>
    </w:div>
    <w:div w:id="1382442834">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9271288">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37888704">
      <w:bodyDiv w:val="1"/>
      <w:marLeft w:val="0"/>
      <w:marRight w:val="0"/>
      <w:marTop w:val="0"/>
      <w:marBottom w:val="0"/>
      <w:divBdr>
        <w:top w:val="none" w:sz="0" w:space="0" w:color="auto"/>
        <w:left w:val="none" w:sz="0" w:space="0" w:color="auto"/>
        <w:bottom w:val="none" w:sz="0" w:space="0" w:color="auto"/>
        <w:right w:val="none" w:sz="0" w:space="0" w:color="auto"/>
      </w:divBdr>
    </w:div>
    <w:div w:id="1622761705">
      <w:bodyDiv w:val="1"/>
      <w:marLeft w:val="0"/>
      <w:marRight w:val="0"/>
      <w:marTop w:val="0"/>
      <w:marBottom w:val="0"/>
      <w:divBdr>
        <w:top w:val="none" w:sz="0" w:space="0" w:color="auto"/>
        <w:left w:val="none" w:sz="0" w:space="0" w:color="auto"/>
        <w:bottom w:val="none" w:sz="0" w:space="0" w:color="auto"/>
        <w:right w:val="none" w:sz="0" w:space="0" w:color="auto"/>
      </w:divBdr>
    </w:div>
    <w:div w:id="1660033240">
      <w:bodyDiv w:val="1"/>
      <w:marLeft w:val="0"/>
      <w:marRight w:val="0"/>
      <w:marTop w:val="0"/>
      <w:marBottom w:val="0"/>
      <w:divBdr>
        <w:top w:val="none" w:sz="0" w:space="0" w:color="auto"/>
        <w:left w:val="none" w:sz="0" w:space="0" w:color="auto"/>
        <w:bottom w:val="none" w:sz="0" w:space="0" w:color="auto"/>
        <w:right w:val="none" w:sz="0" w:space="0" w:color="auto"/>
      </w:divBdr>
    </w:div>
    <w:div w:id="1661695730">
      <w:bodyDiv w:val="1"/>
      <w:marLeft w:val="0"/>
      <w:marRight w:val="0"/>
      <w:marTop w:val="0"/>
      <w:marBottom w:val="0"/>
      <w:divBdr>
        <w:top w:val="none" w:sz="0" w:space="0" w:color="auto"/>
        <w:left w:val="none" w:sz="0" w:space="0" w:color="auto"/>
        <w:bottom w:val="none" w:sz="0" w:space="0" w:color="auto"/>
        <w:right w:val="none" w:sz="0" w:space="0" w:color="auto"/>
      </w:divBdr>
      <w:divsChild>
        <w:div w:id="939992626">
          <w:marLeft w:val="0"/>
          <w:marRight w:val="0"/>
          <w:marTop w:val="0"/>
          <w:marBottom w:val="0"/>
          <w:divBdr>
            <w:top w:val="none" w:sz="0" w:space="0" w:color="auto"/>
            <w:left w:val="none" w:sz="0" w:space="0" w:color="auto"/>
            <w:bottom w:val="none" w:sz="0" w:space="0" w:color="auto"/>
            <w:right w:val="none" w:sz="0" w:space="0" w:color="auto"/>
          </w:divBdr>
          <w:divsChild>
            <w:div w:id="582493862">
              <w:marLeft w:val="0"/>
              <w:marRight w:val="0"/>
              <w:marTop w:val="0"/>
              <w:marBottom w:val="0"/>
              <w:divBdr>
                <w:top w:val="none" w:sz="0" w:space="0" w:color="auto"/>
                <w:left w:val="none" w:sz="0" w:space="0" w:color="auto"/>
                <w:bottom w:val="none" w:sz="0" w:space="0" w:color="auto"/>
                <w:right w:val="none" w:sz="0" w:space="0" w:color="auto"/>
              </w:divBdr>
              <w:divsChild>
                <w:div w:id="18655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284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0692319">
      <w:bodyDiv w:val="1"/>
      <w:marLeft w:val="0"/>
      <w:marRight w:val="0"/>
      <w:marTop w:val="0"/>
      <w:marBottom w:val="0"/>
      <w:divBdr>
        <w:top w:val="none" w:sz="0" w:space="0" w:color="auto"/>
        <w:left w:val="none" w:sz="0" w:space="0" w:color="auto"/>
        <w:bottom w:val="none" w:sz="0" w:space="0" w:color="auto"/>
        <w:right w:val="none" w:sz="0" w:space="0" w:color="auto"/>
      </w:divBdr>
      <w:divsChild>
        <w:div w:id="51079758">
          <w:marLeft w:val="0"/>
          <w:marRight w:val="0"/>
          <w:marTop w:val="0"/>
          <w:marBottom w:val="0"/>
          <w:divBdr>
            <w:top w:val="none" w:sz="0" w:space="0" w:color="auto"/>
            <w:left w:val="none" w:sz="0" w:space="0" w:color="auto"/>
            <w:bottom w:val="none" w:sz="0" w:space="0" w:color="auto"/>
            <w:right w:val="none" w:sz="0" w:space="0" w:color="auto"/>
          </w:divBdr>
          <w:divsChild>
            <w:div w:id="1370495221">
              <w:marLeft w:val="0"/>
              <w:marRight w:val="0"/>
              <w:marTop w:val="0"/>
              <w:marBottom w:val="0"/>
              <w:divBdr>
                <w:top w:val="none" w:sz="0" w:space="0" w:color="auto"/>
                <w:left w:val="none" w:sz="0" w:space="0" w:color="auto"/>
                <w:bottom w:val="none" w:sz="0" w:space="0" w:color="auto"/>
                <w:right w:val="none" w:sz="0" w:space="0" w:color="auto"/>
              </w:divBdr>
              <w:divsChild>
                <w:div w:id="185605835">
                  <w:marLeft w:val="0"/>
                  <w:marRight w:val="0"/>
                  <w:marTop w:val="0"/>
                  <w:marBottom w:val="0"/>
                  <w:divBdr>
                    <w:top w:val="none" w:sz="0" w:space="0" w:color="auto"/>
                    <w:left w:val="none" w:sz="0" w:space="0" w:color="auto"/>
                    <w:bottom w:val="none" w:sz="0" w:space="0" w:color="auto"/>
                    <w:right w:val="none" w:sz="0" w:space="0" w:color="auto"/>
                  </w:divBdr>
                  <w:divsChild>
                    <w:div w:id="15763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61022268">
      <w:bodyDiv w:val="1"/>
      <w:marLeft w:val="0"/>
      <w:marRight w:val="0"/>
      <w:marTop w:val="0"/>
      <w:marBottom w:val="0"/>
      <w:divBdr>
        <w:top w:val="none" w:sz="0" w:space="0" w:color="auto"/>
        <w:left w:val="none" w:sz="0" w:space="0" w:color="auto"/>
        <w:bottom w:val="none" w:sz="0" w:space="0" w:color="auto"/>
        <w:right w:val="none" w:sz="0" w:space="0" w:color="auto"/>
      </w:divBdr>
    </w:div>
    <w:div w:id="176910911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20347105">
      <w:bodyDiv w:val="1"/>
      <w:marLeft w:val="0"/>
      <w:marRight w:val="0"/>
      <w:marTop w:val="0"/>
      <w:marBottom w:val="0"/>
      <w:divBdr>
        <w:top w:val="none" w:sz="0" w:space="0" w:color="auto"/>
        <w:left w:val="none" w:sz="0" w:space="0" w:color="auto"/>
        <w:bottom w:val="none" w:sz="0" w:space="0" w:color="auto"/>
        <w:right w:val="none" w:sz="0" w:space="0" w:color="auto"/>
      </w:divBdr>
    </w:div>
    <w:div w:id="1887595333">
      <w:bodyDiv w:val="1"/>
      <w:marLeft w:val="0"/>
      <w:marRight w:val="0"/>
      <w:marTop w:val="0"/>
      <w:marBottom w:val="0"/>
      <w:divBdr>
        <w:top w:val="none" w:sz="0" w:space="0" w:color="auto"/>
        <w:left w:val="none" w:sz="0" w:space="0" w:color="auto"/>
        <w:bottom w:val="none" w:sz="0" w:space="0" w:color="auto"/>
        <w:right w:val="none" w:sz="0" w:space="0" w:color="auto"/>
      </w:divBdr>
    </w:div>
    <w:div w:id="1907063141">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1985889973">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32222933">
      <w:bodyDiv w:val="1"/>
      <w:marLeft w:val="0"/>
      <w:marRight w:val="0"/>
      <w:marTop w:val="0"/>
      <w:marBottom w:val="0"/>
      <w:divBdr>
        <w:top w:val="none" w:sz="0" w:space="0" w:color="auto"/>
        <w:left w:val="none" w:sz="0" w:space="0" w:color="auto"/>
        <w:bottom w:val="none" w:sz="0" w:space="0" w:color="auto"/>
        <w:right w:val="none" w:sz="0" w:space="0" w:color="auto"/>
      </w:divBdr>
    </w:div>
    <w:div w:id="2047093646">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01096054">
      <w:bodyDiv w:val="1"/>
      <w:marLeft w:val="0"/>
      <w:marRight w:val="0"/>
      <w:marTop w:val="0"/>
      <w:marBottom w:val="0"/>
      <w:divBdr>
        <w:top w:val="none" w:sz="0" w:space="0" w:color="auto"/>
        <w:left w:val="none" w:sz="0" w:space="0" w:color="auto"/>
        <w:bottom w:val="none" w:sz="0" w:space="0" w:color="auto"/>
        <w:right w:val="none" w:sz="0" w:space="0" w:color="auto"/>
      </w:divBdr>
    </w:div>
    <w:div w:id="2116241412">
      <w:bodyDiv w:val="1"/>
      <w:marLeft w:val="0"/>
      <w:marRight w:val="0"/>
      <w:marTop w:val="0"/>
      <w:marBottom w:val="0"/>
      <w:divBdr>
        <w:top w:val="none" w:sz="0" w:space="0" w:color="auto"/>
        <w:left w:val="none" w:sz="0" w:space="0" w:color="auto"/>
        <w:bottom w:val="none" w:sz="0" w:space="0" w:color="auto"/>
        <w:right w:val="none" w:sz="0" w:space="0" w:color="auto"/>
      </w:divBdr>
      <w:divsChild>
        <w:div w:id="274675552">
          <w:marLeft w:val="0"/>
          <w:marRight w:val="0"/>
          <w:marTop w:val="0"/>
          <w:marBottom w:val="0"/>
          <w:divBdr>
            <w:top w:val="none" w:sz="0" w:space="0" w:color="auto"/>
            <w:left w:val="none" w:sz="0" w:space="0" w:color="auto"/>
            <w:bottom w:val="none" w:sz="0" w:space="0" w:color="auto"/>
            <w:right w:val="none" w:sz="0" w:space="0" w:color="auto"/>
          </w:divBdr>
          <w:divsChild>
            <w:div w:id="1992978170">
              <w:marLeft w:val="0"/>
              <w:marRight w:val="0"/>
              <w:marTop w:val="0"/>
              <w:marBottom w:val="0"/>
              <w:divBdr>
                <w:top w:val="none" w:sz="0" w:space="0" w:color="auto"/>
                <w:left w:val="none" w:sz="0" w:space="0" w:color="auto"/>
                <w:bottom w:val="none" w:sz="0" w:space="0" w:color="auto"/>
                <w:right w:val="none" w:sz="0" w:space="0" w:color="auto"/>
              </w:divBdr>
              <w:divsChild>
                <w:div w:id="18257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nao.gov.mt/en/press-releases/4/1274/performance-audit-the-effectiveness-of-plasti"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image" Target="file:////var/folders/hn/bsg63jbd6y52jpl1l5d007vw0000gn/T/com.microsoft.Word/WebArchiveCopyPasteTempFiles/wP1VwE7n6H8AQAAAABJRU5ErkJggg==" TargetMode="External"/><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image" Target="file:////var/folders/hn/bsg63jbd6y52jpl1l5d007vw0000gn/T/com.microsoft.Word/WebArchiveCopyPasteTempFiles/SkAAAAASUVORK5CYII=" TargetMode="External"/><Relationship Id="rId25"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s://www.tcontas.pt/pt-pt/ProdutosTC/Relatorios/RelatoriosAuditoria/Documents/2021/rel009-2021-2s.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hyperlink" Target="http://www.afrosai.org/" TargetMode="External"/><Relationship Id="rId19" Type="http://schemas.openxmlformats.org/officeDocument/2006/relationships/hyperlink" Target="https://nao.gov.mt//loadfile/ca45dd08-657c-4154-8d77-6db7433814f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hyperlink" Target="https://www.tcontas.pt/pt-pt/ProdutosTC/Relatorios/RelatoriosAuditoria/Documents/2021/rel009-2021-2s.pdf" TargetMode="External"/><Relationship Id="rId27" Type="http://schemas.openxmlformats.org/officeDocument/2006/relationships/hyperlink" Target="http://www1.tce.pr.gov.br/conteudo/boletim-informativo-de-jurisprudencia/280400/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471-CEBD-4089-BAB0-CECAA991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Barros</cp:lastModifiedBy>
  <cp:revision>3</cp:revision>
  <cp:lastPrinted>2021-10-18T00:28:00Z</cp:lastPrinted>
  <dcterms:created xsi:type="dcterms:W3CDTF">2021-10-18T00:28:00Z</dcterms:created>
  <dcterms:modified xsi:type="dcterms:W3CDTF">2021-10-18T00:43:00Z</dcterms:modified>
</cp:coreProperties>
</file>