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C9610" w14:textId="77777777" w:rsidR="00A85417" w:rsidRDefault="00A85417" w:rsidP="00736503">
      <w:pPr>
        <w:pStyle w:val="Cabealho"/>
        <w:spacing w:line="276" w:lineRule="auto"/>
        <w:jc w:val="center"/>
        <w:rPr>
          <w:rFonts w:ascii="Arial" w:hAnsi="Arial" w:cs="Arial"/>
          <w:b/>
          <w:sz w:val="28"/>
          <w:szCs w:val="28"/>
        </w:rPr>
      </w:pPr>
    </w:p>
    <w:p w14:paraId="12E59E09" w14:textId="77777777" w:rsidR="0038012F" w:rsidRPr="000A4E5F" w:rsidRDefault="00AA5DFA" w:rsidP="00736503">
      <w:pPr>
        <w:pStyle w:val="Cabealho"/>
        <w:spacing w:line="276" w:lineRule="auto"/>
        <w:jc w:val="center"/>
        <w:rPr>
          <w:rFonts w:ascii="Arial" w:hAnsi="Arial" w:cs="Arial"/>
          <w:color w:val="800000"/>
          <w:sz w:val="26"/>
          <w:szCs w:val="26"/>
        </w:rPr>
      </w:pPr>
      <w:r w:rsidRPr="000A4E5F">
        <w:rPr>
          <w:rFonts w:ascii="Arial" w:hAnsi="Arial" w:cs="Arial"/>
          <w:b/>
          <w:color w:val="800000"/>
          <w:sz w:val="26"/>
          <w:szCs w:val="26"/>
        </w:rPr>
        <w:t xml:space="preserve">BOLETIM DE JURISPRUDÊNCIA INTERNACIONAL </w:t>
      </w:r>
    </w:p>
    <w:p w14:paraId="0DEC77EB" w14:textId="77777777" w:rsidR="00814325" w:rsidRDefault="00814325" w:rsidP="00736503">
      <w:pPr>
        <w:spacing w:after="0"/>
        <w:jc w:val="center"/>
        <w:rPr>
          <w:rFonts w:ascii="Arial" w:hAnsi="Arial" w:cs="Arial"/>
          <w:b/>
          <w:sz w:val="20"/>
          <w:szCs w:val="20"/>
        </w:rPr>
      </w:pPr>
    </w:p>
    <w:p w14:paraId="43C13223" w14:textId="07298A56" w:rsidR="00AA5DFA" w:rsidRPr="00A85417" w:rsidRDefault="001B5F7A" w:rsidP="00736503">
      <w:pPr>
        <w:spacing w:after="0"/>
        <w:jc w:val="center"/>
        <w:rPr>
          <w:rFonts w:ascii="Arial" w:hAnsi="Arial" w:cs="Arial"/>
          <w:b/>
          <w:color w:val="404040" w:themeColor="text1" w:themeTint="BF"/>
          <w:sz w:val="20"/>
          <w:szCs w:val="20"/>
        </w:rPr>
      </w:pPr>
      <w:r w:rsidRPr="00A85417">
        <w:rPr>
          <w:rFonts w:ascii="Arial" w:hAnsi="Arial" w:cs="Arial"/>
          <w:b/>
          <w:color w:val="404040" w:themeColor="text1" w:themeTint="BF"/>
          <w:sz w:val="20"/>
          <w:szCs w:val="20"/>
        </w:rPr>
        <w:t xml:space="preserve">Número </w:t>
      </w:r>
      <w:r w:rsidR="000D560C" w:rsidRPr="00A85417">
        <w:rPr>
          <w:rFonts w:ascii="Arial" w:hAnsi="Arial" w:cs="Arial"/>
          <w:b/>
          <w:color w:val="404040" w:themeColor="text1" w:themeTint="BF"/>
          <w:sz w:val="20"/>
          <w:szCs w:val="20"/>
        </w:rPr>
        <w:t>0</w:t>
      </w:r>
      <w:r w:rsidR="004B42BB">
        <w:rPr>
          <w:rFonts w:ascii="Arial" w:hAnsi="Arial" w:cs="Arial"/>
          <w:b/>
          <w:color w:val="404040" w:themeColor="text1" w:themeTint="BF"/>
          <w:sz w:val="20"/>
          <w:szCs w:val="20"/>
        </w:rPr>
        <w:t>7</w:t>
      </w:r>
    </w:p>
    <w:p w14:paraId="65AD324B" w14:textId="77777777" w:rsidR="00DE79B1" w:rsidRDefault="00DE79B1" w:rsidP="00736503">
      <w:pPr>
        <w:spacing w:after="0"/>
        <w:jc w:val="both"/>
        <w:rPr>
          <w:rFonts w:ascii="Arial" w:hAnsi="Arial" w:cs="Arial"/>
          <w:sz w:val="20"/>
          <w:szCs w:val="20"/>
        </w:rPr>
      </w:pPr>
    </w:p>
    <w:p w14:paraId="406F4F52" w14:textId="77777777" w:rsidR="00D01404" w:rsidRDefault="00FE7B14" w:rsidP="00736503">
      <w:pPr>
        <w:spacing w:after="0"/>
        <w:jc w:val="both"/>
        <w:rPr>
          <w:rFonts w:ascii="Arial" w:hAnsi="Arial" w:cs="Arial"/>
          <w:sz w:val="20"/>
          <w:szCs w:val="20"/>
        </w:rPr>
      </w:pPr>
      <w:r w:rsidRPr="00D01404">
        <w:rPr>
          <w:rFonts w:ascii="Arial" w:hAnsi="Arial" w:cs="Arial"/>
          <w:sz w:val="20"/>
          <w:szCs w:val="20"/>
        </w:rPr>
        <w:t xml:space="preserve">Este Boletim contém </w:t>
      </w:r>
      <w:r w:rsidR="00D01404" w:rsidRPr="00D01404">
        <w:rPr>
          <w:rFonts w:ascii="Arial" w:hAnsi="Arial" w:cs="Arial"/>
          <w:sz w:val="20"/>
          <w:szCs w:val="20"/>
        </w:rPr>
        <w:t>informações sintéticas de decisões proferidas pelas Entidades Fiscalizadoras regionais e respectivos Estados-membros filiados à</w:t>
      </w:r>
      <w:r w:rsidR="00D01404" w:rsidRPr="00015B58">
        <w:rPr>
          <w:rFonts w:ascii="Arial" w:hAnsi="Arial" w:cs="Arial"/>
          <w:b/>
          <w:sz w:val="20"/>
          <w:szCs w:val="20"/>
        </w:rPr>
        <w:t xml:space="preserve"> </w:t>
      </w:r>
      <w:hyperlink r:id="rId8" w:history="1">
        <w:r w:rsidR="00D01404" w:rsidRPr="00015B58">
          <w:rPr>
            <w:rStyle w:val="Hyperlink"/>
            <w:rFonts w:ascii="Arial" w:hAnsi="Arial" w:cs="Arial"/>
            <w:b/>
            <w:sz w:val="20"/>
            <w:szCs w:val="20"/>
          </w:rPr>
          <w:t>INTOSAI</w:t>
        </w:r>
      </w:hyperlink>
      <w:r w:rsidR="00D01404" w:rsidRPr="00D01404">
        <w:rPr>
          <w:rFonts w:ascii="Arial" w:hAnsi="Arial" w:cs="Arial"/>
          <w:sz w:val="20"/>
          <w:szCs w:val="20"/>
        </w:rPr>
        <w:t xml:space="preserve"> </w:t>
      </w:r>
      <w:r w:rsidR="00D01404" w:rsidRPr="00D01404">
        <w:rPr>
          <w:rFonts w:ascii="Arial" w:hAnsi="Arial" w:cs="Arial"/>
          <w:i/>
          <w:sz w:val="20"/>
          <w:szCs w:val="20"/>
        </w:rPr>
        <w:t>(</w:t>
      </w:r>
      <w:r w:rsidR="00926E84">
        <w:rPr>
          <w:rFonts w:ascii="Arial" w:hAnsi="Arial" w:cs="Arial"/>
          <w:i/>
          <w:sz w:val="20"/>
          <w:szCs w:val="20"/>
          <w:shd w:val="clear" w:color="auto" w:fill="FFFFFF"/>
        </w:rPr>
        <w:t xml:space="preserve">The </w:t>
      </w:r>
      <w:proofErr w:type="spellStart"/>
      <w:r w:rsidR="00926E84">
        <w:rPr>
          <w:rFonts w:ascii="Arial" w:hAnsi="Arial" w:cs="Arial"/>
          <w:i/>
          <w:sz w:val="20"/>
          <w:szCs w:val="20"/>
          <w:shd w:val="clear" w:color="auto" w:fill="FFFFFF"/>
        </w:rPr>
        <w:t>International</w:t>
      </w:r>
      <w:proofErr w:type="spellEnd"/>
      <w:r w:rsidR="00926E84">
        <w:rPr>
          <w:rFonts w:ascii="Arial" w:hAnsi="Arial" w:cs="Arial"/>
          <w:i/>
          <w:sz w:val="20"/>
          <w:szCs w:val="20"/>
          <w:shd w:val="clear" w:color="auto" w:fill="FFFFFF"/>
        </w:rPr>
        <w:t xml:space="preserve"> </w:t>
      </w:r>
      <w:proofErr w:type="spellStart"/>
      <w:r w:rsidR="00926E84">
        <w:rPr>
          <w:rFonts w:ascii="Arial" w:hAnsi="Arial" w:cs="Arial"/>
          <w:i/>
          <w:sz w:val="20"/>
          <w:szCs w:val="20"/>
          <w:shd w:val="clear" w:color="auto" w:fill="FFFFFF"/>
        </w:rPr>
        <w:t>Organiz</w:t>
      </w:r>
      <w:r w:rsidR="00D01404" w:rsidRPr="00D01404">
        <w:rPr>
          <w:rFonts w:ascii="Arial" w:hAnsi="Arial" w:cs="Arial"/>
          <w:i/>
          <w:sz w:val="20"/>
          <w:szCs w:val="20"/>
          <w:shd w:val="clear" w:color="auto" w:fill="FFFFFF"/>
        </w:rPr>
        <w:t>ation</w:t>
      </w:r>
      <w:proofErr w:type="spellEnd"/>
      <w:r w:rsidR="00D01404" w:rsidRPr="00D01404">
        <w:rPr>
          <w:rFonts w:ascii="Arial" w:hAnsi="Arial" w:cs="Arial"/>
          <w:i/>
          <w:sz w:val="20"/>
          <w:szCs w:val="20"/>
          <w:shd w:val="clear" w:color="auto" w:fill="FFFFFF"/>
        </w:rPr>
        <w:t xml:space="preserve"> </w:t>
      </w:r>
      <w:proofErr w:type="spellStart"/>
      <w:r w:rsidR="00D01404" w:rsidRPr="00D01404">
        <w:rPr>
          <w:rFonts w:ascii="Arial" w:hAnsi="Arial" w:cs="Arial"/>
          <w:i/>
          <w:sz w:val="20"/>
          <w:szCs w:val="20"/>
          <w:shd w:val="clear" w:color="auto" w:fill="FFFFFF"/>
        </w:rPr>
        <w:t>of</w:t>
      </w:r>
      <w:proofErr w:type="spellEnd"/>
      <w:r w:rsidR="00D01404" w:rsidRPr="00D01404">
        <w:rPr>
          <w:rFonts w:ascii="Arial" w:hAnsi="Arial" w:cs="Arial"/>
          <w:i/>
          <w:sz w:val="20"/>
          <w:szCs w:val="20"/>
          <w:shd w:val="clear" w:color="auto" w:fill="FFFFFF"/>
        </w:rPr>
        <w:t xml:space="preserve"> </w:t>
      </w:r>
      <w:proofErr w:type="spellStart"/>
      <w:r w:rsidR="00D01404" w:rsidRPr="00D01404">
        <w:rPr>
          <w:rFonts w:ascii="Arial" w:hAnsi="Arial" w:cs="Arial"/>
          <w:i/>
          <w:sz w:val="20"/>
          <w:szCs w:val="20"/>
          <w:shd w:val="clear" w:color="auto" w:fill="FFFFFF"/>
        </w:rPr>
        <w:t>Supreme</w:t>
      </w:r>
      <w:proofErr w:type="spellEnd"/>
      <w:r w:rsidR="00D01404" w:rsidRPr="00D01404">
        <w:rPr>
          <w:rFonts w:ascii="Arial" w:hAnsi="Arial" w:cs="Arial"/>
          <w:i/>
          <w:sz w:val="20"/>
          <w:szCs w:val="20"/>
          <w:shd w:val="clear" w:color="auto" w:fill="FFFFFF"/>
        </w:rPr>
        <w:t xml:space="preserve"> </w:t>
      </w:r>
      <w:proofErr w:type="spellStart"/>
      <w:r w:rsidR="00D01404" w:rsidRPr="00D01404">
        <w:rPr>
          <w:rFonts w:ascii="Arial" w:hAnsi="Arial" w:cs="Arial"/>
          <w:i/>
          <w:sz w:val="20"/>
          <w:szCs w:val="20"/>
          <w:shd w:val="clear" w:color="auto" w:fill="FFFFFF"/>
        </w:rPr>
        <w:t>Audit</w:t>
      </w:r>
      <w:proofErr w:type="spellEnd"/>
      <w:r w:rsidR="00D01404" w:rsidRPr="00D01404">
        <w:rPr>
          <w:rFonts w:ascii="Arial" w:hAnsi="Arial" w:cs="Arial"/>
          <w:i/>
          <w:sz w:val="20"/>
          <w:szCs w:val="20"/>
          <w:shd w:val="clear" w:color="auto" w:fill="FFFFFF"/>
        </w:rPr>
        <w:t xml:space="preserve"> </w:t>
      </w:r>
      <w:proofErr w:type="spellStart"/>
      <w:r w:rsidR="00D01404" w:rsidRPr="00D01404">
        <w:rPr>
          <w:rFonts w:ascii="Arial" w:hAnsi="Arial" w:cs="Arial"/>
          <w:i/>
          <w:sz w:val="20"/>
          <w:szCs w:val="20"/>
          <w:shd w:val="clear" w:color="auto" w:fill="FFFFFF"/>
        </w:rPr>
        <w:t>Institutions</w:t>
      </w:r>
      <w:proofErr w:type="spellEnd"/>
      <w:r w:rsidR="00D01404" w:rsidRPr="00D01404">
        <w:rPr>
          <w:rFonts w:ascii="Arial" w:hAnsi="Arial" w:cs="Arial"/>
          <w:i/>
          <w:sz w:val="20"/>
          <w:szCs w:val="20"/>
        </w:rPr>
        <w:t>)</w:t>
      </w:r>
      <w:r w:rsidR="00D01404">
        <w:rPr>
          <w:rFonts w:ascii="Arial" w:hAnsi="Arial" w:cs="Arial"/>
          <w:sz w:val="20"/>
          <w:szCs w:val="20"/>
        </w:rPr>
        <w:t xml:space="preserve"> sobre temas relacionados ao controle externo evidenciando sobretudo boas práticas de gestão administrativa.</w:t>
      </w:r>
    </w:p>
    <w:p w14:paraId="0942E219" w14:textId="77777777" w:rsidR="00D01404" w:rsidRDefault="00D01404" w:rsidP="00736503">
      <w:pPr>
        <w:spacing w:after="0"/>
        <w:jc w:val="both"/>
        <w:rPr>
          <w:rFonts w:ascii="Arial" w:hAnsi="Arial" w:cs="Arial"/>
          <w:sz w:val="20"/>
          <w:szCs w:val="20"/>
        </w:rPr>
      </w:pPr>
    </w:p>
    <w:p w14:paraId="65E87C5F" w14:textId="4212E0F3" w:rsidR="00E95A8E" w:rsidRDefault="007D6A5B" w:rsidP="00736503">
      <w:pPr>
        <w:spacing w:after="0"/>
        <w:jc w:val="both"/>
        <w:rPr>
          <w:rFonts w:ascii="Arial" w:hAnsi="Arial" w:cs="Arial"/>
          <w:sz w:val="20"/>
          <w:szCs w:val="20"/>
        </w:rPr>
      </w:pPr>
      <w:r>
        <w:rPr>
          <w:rFonts w:ascii="Arial" w:hAnsi="Arial" w:cs="Arial"/>
          <w:sz w:val="20"/>
          <w:szCs w:val="20"/>
        </w:rPr>
        <w:t>A seleção das decisões leva em consideração os aspectos</w:t>
      </w:r>
      <w:r w:rsidR="007E786E">
        <w:rPr>
          <w:rFonts w:ascii="Arial" w:hAnsi="Arial" w:cs="Arial"/>
          <w:sz w:val="20"/>
          <w:szCs w:val="20"/>
        </w:rPr>
        <w:t xml:space="preserve"> de auditoria financeira, de conformidade e de resultado, por eixo temático: meio ambiente</w:t>
      </w:r>
      <w:r w:rsidR="008C26E1">
        <w:rPr>
          <w:rFonts w:ascii="Arial" w:hAnsi="Arial" w:cs="Arial"/>
          <w:sz w:val="20"/>
          <w:szCs w:val="20"/>
        </w:rPr>
        <w:t>,</w:t>
      </w:r>
      <w:r w:rsidR="007E786E">
        <w:rPr>
          <w:rFonts w:ascii="Arial" w:hAnsi="Arial" w:cs="Arial"/>
          <w:sz w:val="20"/>
          <w:szCs w:val="20"/>
        </w:rPr>
        <w:t xml:space="preserve"> saúde</w:t>
      </w:r>
      <w:r w:rsidR="008C26E1">
        <w:rPr>
          <w:rFonts w:ascii="Arial" w:hAnsi="Arial" w:cs="Arial"/>
          <w:sz w:val="20"/>
          <w:szCs w:val="20"/>
        </w:rPr>
        <w:t>,</w:t>
      </w:r>
      <w:r w:rsidR="007E786E">
        <w:rPr>
          <w:rFonts w:ascii="Arial" w:hAnsi="Arial" w:cs="Arial"/>
          <w:sz w:val="20"/>
          <w:szCs w:val="20"/>
        </w:rPr>
        <w:t xml:space="preserve"> gestão pública</w:t>
      </w:r>
      <w:r w:rsidR="008C26E1">
        <w:rPr>
          <w:rFonts w:ascii="Arial" w:hAnsi="Arial" w:cs="Arial"/>
          <w:sz w:val="20"/>
          <w:szCs w:val="20"/>
        </w:rPr>
        <w:t>,</w:t>
      </w:r>
      <w:r w:rsidR="00926E84">
        <w:rPr>
          <w:rFonts w:ascii="Arial" w:hAnsi="Arial" w:cs="Arial"/>
          <w:sz w:val="20"/>
          <w:szCs w:val="20"/>
        </w:rPr>
        <w:t xml:space="preserve"> finanças</w:t>
      </w:r>
      <w:r w:rsidR="008C26E1">
        <w:rPr>
          <w:rFonts w:ascii="Arial" w:hAnsi="Arial" w:cs="Arial"/>
          <w:sz w:val="20"/>
          <w:szCs w:val="20"/>
        </w:rPr>
        <w:t>,</w:t>
      </w:r>
      <w:r w:rsidR="00926E84">
        <w:rPr>
          <w:rFonts w:ascii="Arial" w:hAnsi="Arial" w:cs="Arial"/>
          <w:sz w:val="20"/>
          <w:szCs w:val="20"/>
        </w:rPr>
        <w:t xml:space="preserve"> educação</w:t>
      </w:r>
      <w:r w:rsidR="008C26E1">
        <w:rPr>
          <w:rFonts w:ascii="Arial" w:hAnsi="Arial" w:cs="Arial"/>
          <w:sz w:val="20"/>
          <w:szCs w:val="20"/>
        </w:rPr>
        <w:t>,</w:t>
      </w:r>
      <w:r w:rsidR="00926E84">
        <w:rPr>
          <w:rFonts w:ascii="Arial" w:hAnsi="Arial" w:cs="Arial"/>
          <w:sz w:val="20"/>
          <w:szCs w:val="20"/>
        </w:rPr>
        <w:t xml:space="preserve"> segurança</w:t>
      </w:r>
      <w:r w:rsidR="008C26E1">
        <w:rPr>
          <w:rFonts w:ascii="Arial" w:hAnsi="Arial" w:cs="Arial"/>
          <w:sz w:val="20"/>
          <w:szCs w:val="20"/>
        </w:rPr>
        <w:t>,</w:t>
      </w:r>
      <w:r w:rsidR="007E786E">
        <w:rPr>
          <w:rFonts w:ascii="Arial" w:hAnsi="Arial" w:cs="Arial"/>
          <w:sz w:val="20"/>
          <w:szCs w:val="20"/>
        </w:rPr>
        <w:t xml:space="preserve"> infraestrutura</w:t>
      </w:r>
      <w:r w:rsidR="008C26E1">
        <w:rPr>
          <w:rFonts w:ascii="Arial" w:hAnsi="Arial" w:cs="Arial"/>
          <w:sz w:val="20"/>
          <w:szCs w:val="20"/>
        </w:rPr>
        <w:t>,</w:t>
      </w:r>
      <w:r w:rsidR="007E786E">
        <w:rPr>
          <w:rFonts w:ascii="Arial" w:hAnsi="Arial" w:cs="Arial"/>
          <w:sz w:val="20"/>
          <w:szCs w:val="20"/>
        </w:rPr>
        <w:t xml:space="preserve"> transporte entre outros temas. O conteúdo será proveniente </w:t>
      </w:r>
      <w:r w:rsidR="00F923CE">
        <w:rPr>
          <w:rFonts w:ascii="Arial" w:hAnsi="Arial" w:cs="Arial"/>
          <w:sz w:val="20"/>
          <w:szCs w:val="20"/>
        </w:rPr>
        <w:t xml:space="preserve">de julgados e relatórios </w:t>
      </w:r>
      <w:r w:rsidR="007E786E">
        <w:rPr>
          <w:rFonts w:ascii="Arial" w:hAnsi="Arial" w:cs="Arial"/>
          <w:sz w:val="20"/>
          <w:szCs w:val="20"/>
        </w:rPr>
        <w:t>das entidades regionais de fiscalização e respectivos membros, a saber:</w:t>
      </w:r>
      <w:r w:rsidR="00AE798E">
        <w:rPr>
          <w:rFonts w:ascii="Arial" w:hAnsi="Arial" w:cs="Arial"/>
          <w:sz w:val="20"/>
          <w:szCs w:val="20"/>
        </w:rPr>
        <w:t xml:space="preserve"> </w:t>
      </w:r>
    </w:p>
    <w:tbl>
      <w:tblPr>
        <w:tblStyle w:val="SombreamentoClaro-nfase2"/>
        <w:tblW w:w="0" w:type="auto"/>
        <w:tblLook w:val="04A0" w:firstRow="1" w:lastRow="0" w:firstColumn="1" w:lastColumn="0" w:noHBand="0" w:noVBand="1"/>
      </w:tblPr>
      <w:tblGrid>
        <w:gridCol w:w="8494"/>
      </w:tblGrid>
      <w:tr w:rsidR="00A21641" w:rsidRPr="004B42BB" w14:paraId="0D66E0BF" w14:textId="77777777" w:rsidTr="007A3F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22F8378F" w14:textId="77777777" w:rsidR="00A21641" w:rsidRPr="00237FAE" w:rsidRDefault="00D44A31" w:rsidP="00736503">
            <w:pPr>
              <w:spacing w:line="276" w:lineRule="auto"/>
              <w:jc w:val="center"/>
              <w:rPr>
                <w:rFonts w:ascii="Arial" w:hAnsi="Arial" w:cs="Arial"/>
                <w:sz w:val="18"/>
                <w:szCs w:val="18"/>
                <w:lang w:val="es-ES_tradnl"/>
              </w:rPr>
            </w:pPr>
            <w:hyperlink r:id="rId9" w:history="1">
              <w:r w:rsidR="00A21641" w:rsidRPr="00237FAE">
                <w:rPr>
                  <w:rStyle w:val="Hyperlink"/>
                  <w:rFonts w:ascii="Arial" w:hAnsi="Arial" w:cs="Arial"/>
                  <w:bCs w:val="0"/>
                  <w:sz w:val="18"/>
                  <w:szCs w:val="18"/>
                  <w:lang w:val="es-ES_tradnl"/>
                </w:rPr>
                <w:t>OLACEFS</w:t>
              </w:r>
            </w:hyperlink>
          </w:p>
          <w:p w14:paraId="277823C5" w14:textId="77777777" w:rsidR="00A21641" w:rsidRPr="00237FAE" w:rsidRDefault="00A21641" w:rsidP="00736503">
            <w:pPr>
              <w:spacing w:line="276" w:lineRule="auto"/>
              <w:jc w:val="center"/>
              <w:rPr>
                <w:rFonts w:ascii="Arial" w:hAnsi="Arial" w:cs="Arial"/>
                <w:b w:val="0"/>
                <w:i/>
                <w:sz w:val="16"/>
                <w:szCs w:val="16"/>
                <w:lang w:val="es-ES_tradnl"/>
              </w:rPr>
            </w:pPr>
            <w:r w:rsidRPr="00237FAE">
              <w:rPr>
                <w:rFonts w:ascii="Arial" w:hAnsi="Arial" w:cs="Arial"/>
                <w:b w:val="0"/>
                <w:i/>
                <w:sz w:val="16"/>
                <w:szCs w:val="16"/>
                <w:lang w:val="es-ES_tradnl"/>
              </w:rPr>
              <w:t>(</w:t>
            </w:r>
            <w:proofErr w:type="spellStart"/>
            <w:r w:rsidRPr="00237FAE">
              <w:rPr>
                <w:rFonts w:ascii="Arial" w:hAnsi="Arial" w:cs="Arial"/>
                <w:b w:val="0"/>
                <w:i/>
                <w:sz w:val="16"/>
                <w:szCs w:val="16"/>
                <w:lang w:val="es-ES_tradnl"/>
              </w:rPr>
              <w:t>Organization</w:t>
            </w:r>
            <w:proofErr w:type="spellEnd"/>
            <w:r w:rsidRPr="00237FAE">
              <w:rPr>
                <w:rFonts w:ascii="Arial" w:hAnsi="Arial" w:cs="Arial"/>
                <w:b w:val="0"/>
                <w:i/>
                <w:sz w:val="16"/>
                <w:szCs w:val="16"/>
                <w:lang w:val="es-ES_tradnl"/>
              </w:rPr>
              <w:t xml:space="preserve"> of </w:t>
            </w:r>
            <w:proofErr w:type="spellStart"/>
            <w:r w:rsidRPr="00237FAE">
              <w:rPr>
                <w:rFonts w:ascii="Arial" w:hAnsi="Arial" w:cs="Arial"/>
                <w:b w:val="0"/>
                <w:i/>
                <w:sz w:val="16"/>
                <w:szCs w:val="16"/>
                <w:lang w:val="es-ES_tradnl"/>
              </w:rPr>
              <w:t>Latin</w:t>
            </w:r>
            <w:proofErr w:type="spellEnd"/>
            <w:r w:rsidRPr="00237FAE">
              <w:rPr>
                <w:rFonts w:ascii="Arial" w:hAnsi="Arial" w:cs="Arial"/>
                <w:b w:val="0"/>
                <w:i/>
                <w:sz w:val="16"/>
                <w:szCs w:val="16"/>
                <w:lang w:val="es-ES_tradnl"/>
              </w:rPr>
              <w:t xml:space="preserve"> American and </w:t>
            </w:r>
            <w:proofErr w:type="spellStart"/>
            <w:r w:rsidRPr="00237FAE">
              <w:rPr>
                <w:rFonts w:ascii="Arial" w:hAnsi="Arial" w:cs="Arial"/>
                <w:b w:val="0"/>
                <w:i/>
                <w:sz w:val="16"/>
                <w:szCs w:val="16"/>
                <w:lang w:val="es-ES_tradnl"/>
              </w:rPr>
              <w:t>Caribbean</w:t>
            </w:r>
            <w:proofErr w:type="spellEnd"/>
            <w:r w:rsidRPr="00237FAE">
              <w:rPr>
                <w:rFonts w:ascii="Arial" w:hAnsi="Arial" w:cs="Arial"/>
                <w:b w:val="0"/>
                <w:i/>
                <w:sz w:val="16"/>
                <w:szCs w:val="16"/>
                <w:lang w:val="es-ES_tradnl"/>
              </w:rPr>
              <w:t xml:space="preserve"> </w:t>
            </w:r>
            <w:proofErr w:type="spellStart"/>
            <w:r w:rsidRPr="00237FAE">
              <w:rPr>
                <w:rFonts w:ascii="Arial" w:hAnsi="Arial" w:cs="Arial"/>
                <w:b w:val="0"/>
                <w:i/>
                <w:sz w:val="16"/>
                <w:szCs w:val="16"/>
                <w:lang w:val="es-ES_tradnl"/>
              </w:rPr>
              <w:t>Supreme</w:t>
            </w:r>
            <w:proofErr w:type="spellEnd"/>
            <w:r w:rsidRPr="00237FAE">
              <w:rPr>
                <w:rFonts w:ascii="Arial" w:hAnsi="Arial" w:cs="Arial"/>
                <w:b w:val="0"/>
                <w:i/>
                <w:sz w:val="16"/>
                <w:szCs w:val="16"/>
                <w:lang w:val="es-ES_tradnl"/>
              </w:rPr>
              <w:t xml:space="preserve"> </w:t>
            </w:r>
            <w:proofErr w:type="spellStart"/>
            <w:r w:rsidRPr="00237FAE">
              <w:rPr>
                <w:rFonts w:ascii="Arial" w:hAnsi="Arial" w:cs="Arial"/>
                <w:b w:val="0"/>
                <w:i/>
                <w:sz w:val="16"/>
                <w:szCs w:val="16"/>
                <w:lang w:val="es-ES_tradnl"/>
              </w:rPr>
              <w:t>Audit</w:t>
            </w:r>
            <w:proofErr w:type="spellEnd"/>
            <w:r w:rsidRPr="00237FAE">
              <w:rPr>
                <w:rFonts w:ascii="Arial" w:hAnsi="Arial" w:cs="Arial"/>
                <w:b w:val="0"/>
                <w:i/>
                <w:sz w:val="16"/>
                <w:szCs w:val="16"/>
                <w:lang w:val="es-ES_tradnl"/>
              </w:rPr>
              <w:t xml:space="preserve"> </w:t>
            </w:r>
            <w:proofErr w:type="spellStart"/>
            <w:r w:rsidRPr="00237FAE">
              <w:rPr>
                <w:rFonts w:ascii="Arial" w:hAnsi="Arial" w:cs="Arial"/>
                <w:b w:val="0"/>
                <w:i/>
                <w:sz w:val="16"/>
                <w:szCs w:val="16"/>
                <w:lang w:val="es-ES_tradnl"/>
              </w:rPr>
              <w:t>Institutions</w:t>
            </w:r>
            <w:proofErr w:type="spellEnd"/>
            <w:r w:rsidRPr="00237FAE">
              <w:rPr>
                <w:rFonts w:ascii="Arial" w:hAnsi="Arial" w:cs="Arial"/>
                <w:b w:val="0"/>
                <w:i/>
                <w:sz w:val="16"/>
                <w:szCs w:val="16"/>
                <w:lang w:val="es-ES_tradnl"/>
              </w:rPr>
              <w:t>)</w:t>
            </w:r>
          </w:p>
          <w:p w14:paraId="47010698" w14:textId="77777777" w:rsidR="00A21641" w:rsidRPr="00237FAE" w:rsidRDefault="00A21641" w:rsidP="00736503">
            <w:pPr>
              <w:spacing w:line="276" w:lineRule="auto"/>
              <w:jc w:val="both"/>
              <w:rPr>
                <w:rFonts w:ascii="Arial" w:hAnsi="Arial" w:cs="Arial"/>
                <w:sz w:val="18"/>
                <w:szCs w:val="18"/>
                <w:lang w:val="es-ES_tradnl"/>
              </w:rPr>
            </w:pPr>
          </w:p>
        </w:tc>
      </w:tr>
      <w:tr w:rsidR="00A21641" w:rsidRPr="004B42BB" w14:paraId="5C38EE07" w14:textId="77777777" w:rsidTr="007A3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3EC8A59A" w14:textId="77777777" w:rsidR="00A21641" w:rsidRPr="003129B0" w:rsidRDefault="00D44A31" w:rsidP="00736503">
            <w:pPr>
              <w:spacing w:line="276" w:lineRule="auto"/>
              <w:jc w:val="center"/>
              <w:rPr>
                <w:rFonts w:ascii="Arial" w:hAnsi="Arial" w:cs="Arial"/>
                <w:sz w:val="18"/>
                <w:szCs w:val="18"/>
                <w:lang w:val="en-US"/>
              </w:rPr>
            </w:pPr>
            <w:hyperlink r:id="rId10" w:history="1">
              <w:r w:rsidR="00A21641" w:rsidRPr="003129B0">
                <w:rPr>
                  <w:rStyle w:val="Hyperlink"/>
                  <w:rFonts w:ascii="Arial" w:hAnsi="Arial" w:cs="Arial"/>
                  <w:bCs w:val="0"/>
                  <w:sz w:val="18"/>
                  <w:szCs w:val="18"/>
                  <w:lang w:val="en-US"/>
                </w:rPr>
                <w:t>AFROSAI</w:t>
              </w:r>
            </w:hyperlink>
          </w:p>
          <w:p w14:paraId="3285D0D9" w14:textId="77777777" w:rsidR="00A21641" w:rsidRPr="003129B0" w:rsidRDefault="00A21641" w:rsidP="00736503">
            <w:pPr>
              <w:spacing w:line="276" w:lineRule="auto"/>
              <w:jc w:val="center"/>
              <w:rPr>
                <w:rFonts w:ascii="Arial" w:hAnsi="Arial" w:cs="Arial"/>
                <w:b w:val="0"/>
                <w:i/>
                <w:sz w:val="16"/>
                <w:szCs w:val="16"/>
                <w:lang w:val="en-US"/>
              </w:rPr>
            </w:pPr>
            <w:r w:rsidRPr="003129B0">
              <w:rPr>
                <w:rFonts w:ascii="Arial" w:hAnsi="Arial" w:cs="Arial"/>
                <w:b w:val="0"/>
                <w:i/>
                <w:sz w:val="16"/>
                <w:szCs w:val="16"/>
                <w:lang w:val="en-US"/>
              </w:rPr>
              <w:t>(African Organization of Supreme Audit Institutions)</w:t>
            </w:r>
          </w:p>
          <w:p w14:paraId="52A9EEBF" w14:textId="77777777" w:rsidR="00A21641" w:rsidRPr="003129B0" w:rsidRDefault="00A21641" w:rsidP="00736503">
            <w:pPr>
              <w:spacing w:line="276" w:lineRule="auto"/>
              <w:jc w:val="both"/>
              <w:rPr>
                <w:rFonts w:ascii="Arial" w:hAnsi="Arial" w:cs="Arial"/>
                <w:sz w:val="18"/>
                <w:szCs w:val="18"/>
                <w:lang w:val="en-US"/>
              </w:rPr>
            </w:pPr>
          </w:p>
        </w:tc>
      </w:tr>
      <w:tr w:rsidR="00A21641" w:rsidRPr="004B42BB" w14:paraId="5D427D25" w14:textId="77777777" w:rsidTr="007A3F8C">
        <w:tc>
          <w:tcPr>
            <w:cnfStyle w:val="001000000000" w:firstRow="0" w:lastRow="0" w:firstColumn="1" w:lastColumn="0" w:oddVBand="0" w:evenVBand="0" w:oddHBand="0" w:evenHBand="0" w:firstRowFirstColumn="0" w:firstRowLastColumn="0" w:lastRowFirstColumn="0" w:lastRowLastColumn="0"/>
            <w:tcW w:w="8494" w:type="dxa"/>
          </w:tcPr>
          <w:p w14:paraId="0F1057D1" w14:textId="77777777" w:rsidR="00A21641" w:rsidRPr="003129B0" w:rsidRDefault="00D44A31" w:rsidP="00736503">
            <w:pPr>
              <w:spacing w:line="276" w:lineRule="auto"/>
              <w:jc w:val="center"/>
              <w:rPr>
                <w:rFonts w:ascii="Arial" w:hAnsi="Arial" w:cs="Arial"/>
                <w:sz w:val="18"/>
                <w:szCs w:val="18"/>
                <w:lang w:val="en-US"/>
              </w:rPr>
            </w:pPr>
            <w:hyperlink r:id="rId11" w:history="1">
              <w:r w:rsidR="00A21641" w:rsidRPr="003129B0">
                <w:rPr>
                  <w:rStyle w:val="Hyperlink"/>
                  <w:rFonts w:ascii="Arial" w:hAnsi="Arial" w:cs="Arial"/>
                  <w:bCs w:val="0"/>
                  <w:sz w:val="18"/>
                  <w:szCs w:val="18"/>
                  <w:lang w:val="en-US"/>
                </w:rPr>
                <w:t>ARABOSAI</w:t>
              </w:r>
            </w:hyperlink>
          </w:p>
          <w:p w14:paraId="0105952B" w14:textId="77777777" w:rsidR="00A21641" w:rsidRPr="003129B0" w:rsidRDefault="00A21641" w:rsidP="00736503">
            <w:pPr>
              <w:spacing w:line="276" w:lineRule="auto"/>
              <w:jc w:val="center"/>
              <w:rPr>
                <w:rFonts w:ascii="Arial" w:hAnsi="Arial" w:cs="Arial"/>
                <w:b w:val="0"/>
                <w:i/>
                <w:sz w:val="16"/>
                <w:szCs w:val="16"/>
                <w:lang w:val="en-US"/>
              </w:rPr>
            </w:pPr>
            <w:r w:rsidRPr="003129B0">
              <w:rPr>
                <w:rFonts w:ascii="Arial" w:hAnsi="Arial" w:cs="Arial"/>
                <w:b w:val="0"/>
                <w:i/>
                <w:sz w:val="16"/>
                <w:szCs w:val="16"/>
                <w:lang w:val="en-US"/>
              </w:rPr>
              <w:t>(Arab Organization of Supreme Audit Institutions)</w:t>
            </w:r>
          </w:p>
          <w:p w14:paraId="4E38347D" w14:textId="77777777" w:rsidR="00A21641" w:rsidRPr="003129B0" w:rsidRDefault="00A21641" w:rsidP="00736503">
            <w:pPr>
              <w:spacing w:line="276" w:lineRule="auto"/>
              <w:jc w:val="both"/>
              <w:rPr>
                <w:rFonts w:ascii="Arial" w:hAnsi="Arial" w:cs="Arial"/>
                <w:sz w:val="18"/>
                <w:szCs w:val="18"/>
                <w:lang w:val="en-US"/>
              </w:rPr>
            </w:pPr>
          </w:p>
        </w:tc>
      </w:tr>
      <w:tr w:rsidR="00A21641" w:rsidRPr="004B42BB" w14:paraId="1BA9BA29" w14:textId="77777777" w:rsidTr="007A3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5AC7E2A9" w14:textId="77777777" w:rsidR="00A21641" w:rsidRPr="003129B0" w:rsidRDefault="00D44A31" w:rsidP="00736503">
            <w:pPr>
              <w:spacing w:line="276" w:lineRule="auto"/>
              <w:jc w:val="center"/>
              <w:rPr>
                <w:rFonts w:ascii="Arial" w:hAnsi="Arial" w:cs="Arial"/>
                <w:sz w:val="18"/>
                <w:szCs w:val="18"/>
                <w:lang w:val="en-US"/>
              </w:rPr>
            </w:pPr>
            <w:hyperlink r:id="rId12" w:history="1">
              <w:r w:rsidR="00A21641" w:rsidRPr="003129B0">
                <w:rPr>
                  <w:rStyle w:val="Hyperlink"/>
                  <w:rFonts w:ascii="Arial" w:hAnsi="Arial" w:cs="Arial"/>
                  <w:bCs w:val="0"/>
                  <w:sz w:val="18"/>
                  <w:szCs w:val="18"/>
                  <w:lang w:val="en-US"/>
                </w:rPr>
                <w:t>ASOSAI</w:t>
              </w:r>
            </w:hyperlink>
          </w:p>
          <w:p w14:paraId="414F4EA7" w14:textId="77777777" w:rsidR="00A21641" w:rsidRPr="003129B0" w:rsidRDefault="00A21641" w:rsidP="00736503">
            <w:pPr>
              <w:spacing w:line="276" w:lineRule="auto"/>
              <w:jc w:val="center"/>
              <w:rPr>
                <w:rFonts w:ascii="Arial" w:hAnsi="Arial" w:cs="Arial"/>
                <w:b w:val="0"/>
                <w:i/>
                <w:sz w:val="16"/>
                <w:szCs w:val="16"/>
                <w:lang w:val="en-US"/>
              </w:rPr>
            </w:pPr>
            <w:r w:rsidRPr="003129B0">
              <w:rPr>
                <w:rFonts w:ascii="Arial" w:hAnsi="Arial" w:cs="Arial"/>
                <w:b w:val="0"/>
                <w:i/>
                <w:sz w:val="16"/>
                <w:szCs w:val="16"/>
                <w:lang w:val="en-US"/>
              </w:rPr>
              <w:t>(Asian Organization of Supreme Audit Institutions)</w:t>
            </w:r>
          </w:p>
          <w:p w14:paraId="1A892DAB" w14:textId="77777777" w:rsidR="00A21641" w:rsidRPr="003129B0" w:rsidRDefault="00A21641" w:rsidP="00736503">
            <w:pPr>
              <w:spacing w:line="276" w:lineRule="auto"/>
              <w:jc w:val="center"/>
              <w:rPr>
                <w:rFonts w:ascii="Arial" w:hAnsi="Arial" w:cs="Arial"/>
                <w:sz w:val="18"/>
                <w:szCs w:val="18"/>
                <w:lang w:val="en-US"/>
              </w:rPr>
            </w:pPr>
          </w:p>
        </w:tc>
      </w:tr>
      <w:tr w:rsidR="00A21641" w:rsidRPr="004B42BB" w14:paraId="61A40C65" w14:textId="77777777" w:rsidTr="007A3F8C">
        <w:tc>
          <w:tcPr>
            <w:cnfStyle w:val="001000000000" w:firstRow="0" w:lastRow="0" w:firstColumn="1" w:lastColumn="0" w:oddVBand="0" w:evenVBand="0" w:oddHBand="0" w:evenHBand="0" w:firstRowFirstColumn="0" w:firstRowLastColumn="0" w:lastRowFirstColumn="0" w:lastRowLastColumn="0"/>
            <w:tcW w:w="8494" w:type="dxa"/>
          </w:tcPr>
          <w:p w14:paraId="595783D8" w14:textId="77777777" w:rsidR="00A21641" w:rsidRPr="003129B0" w:rsidRDefault="00D44A31" w:rsidP="00736503">
            <w:pPr>
              <w:spacing w:line="276" w:lineRule="auto"/>
              <w:jc w:val="center"/>
              <w:rPr>
                <w:rFonts w:ascii="Arial" w:hAnsi="Arial" w:cs="Arial"/>
                <w:sz w:val="18"/>
                <w:szCs w:val="18"/>
                <w:lang w:val="en-US"/>
              </w:rPr>
            </w:pPr>
            <w:hyperlink r:id="rId13" w:history="1">
              <w:r w:rsidR="00A21641" w:rsidRPr="003129B0">
                <w:rPr>
                  <w:rStyle w:val="Hyperlink"/>
                  <w:rFonts w:ascii="Arial" w:hAnsi="Arial" w:cs="Arial"/>
                  <w:bCs w:val="0"/>
                  <w:sz w:val="18"/>
                  <w:szCs w:val="18"/>
                  <w:lang w:val="en-US"/>
                </w:rPr>
                <w:t>PASAI</w:t>
              </w:r>
            </w:hyperlink>
          </w:p>
          <w:p w14:paraId="0D69E437" w14:textId="77777777" w:rsidR="00A21641" w:rsidRPr="003129B0" w:rsidRDefault="00A21641" w:rsidP="00736503">
            <w:pPr>
              <w:spacing w:line="276" w:lineRule="auto"/>
              <w:jc w:val="center"/>
              <w:rPr>
                <w:rFonts w:ascii="Arial" w:hAnsi="Arial" w:cs="Arial"/>
                <w:b w:val="0"/>
                <w:i/>
                <w:sz w:val="16"/>
                <w:szCs w:val="16"/>
                <w:lang w:val="en-US"/>
              </w:rPr>
            </w:pPr>
            <w:r w:rsidRPr="003129B0">
              <w:rPr>
                <w:rFonts w:ascii="Arial" w:hAnsi="Arial" w:cs="Arial"/>
                <w:b w:val="0"/>
                <w:i/>
                <w:sz w:val="16"/>
                <w:szCs w:val="16"/>
                <w:lang w:val="en-US"/>
              </w:rPr>
              <w:t>(Pacific Association of Supreme Audit Institutions)</w:t>
            </w:r>
          </w:p>
          <w:p w14:paraId="3264D74A" w14:textId="77777777" w:rsidR="00A21641" w:rsidRPr="003129B0" w:rsidRDefault="00A21641" w:rsidP="00736503">
            <w:pPr>
              <w:spacing w:line="276" w:lineRule="auto"/>
              <w:jc w:val="center"/>
              <w:rPr>
                <w:rFonts w:ascii="Arial" w:hAnsi="Arial" w:cs="Arial"/>
                <w:sz w:val="18"/>
                <w:szCs w:val="18"/>
                <w:lang w:val="en-US"/>
              </w:rPr>
            </w:pPr>
          </w:p>
        </w:tc>
      </w:tr>
      <w:tr w:rsidR="00A21641" w:rsidRPr="004B42BB" w14:paraId="3F46A1CC" w14:textId="77777777" w:rsidTr="007A3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6D7C68B6" w14:textId="77777777" w:rsidR="00A21641" w:rsidRPr="003129B0" w:rsidRDefault="00D44A31" w:rsidP="00736503">
            <w:pPr>
              <w:spacing w:line="276" w:lineRule="auto"/>
              <w:jc w:val="center"/>
              <w:rPr>
                <w:rFonts w:ascii="Arial" w:hAnsi="Arial" w:cs="Arial"/>
                <w:sz w:val="18"/>
                <w:szCs w:val="18"/>
                <w:lang w:val="en-US"/>
              </w:rPr>
            </w:pPr>
            <w:hyperlink r:id="rId14" w:history="1">
              <w:r w:rsidR="00A21641" w:rsidRPr="003129B0">
                <w:rPr>
                  <w:rStyle w:val="Hyperlink"/>
                  <w:rFonts w:ascii="Arial" w:hAnsi="Arial" w:cs="Arial"/>
                  <w:bCs w:val="0"/>
                  <w:sz w:val="18"/>
                  <w:szCs w:val="18"/>
                  <w:lang w:val="en-US"/>
                </w:rPr>
                <w:t>CAROSAI</w:t>
              </w:r>
            </w:hyperlink>
          </w:p>
          <w:p w14:paraId="58CA0F24" w14:textId="77777777" w:rsidR="00A21641" w:rsidRPr="003129B0" w:rsidRDefault="00A21641" w:rsidP="00736503">
            <w:pPr>
              <w:spacing w:line="276" w:lineRule="auto"/>
              <w:jc w:val="center"/>
              <w:rPr>
                <w:rFonts w:ascii="Arial" w:hAnsi="Arial" w:cs="Arial"/>
                <w:b w:val="0"/>
                <w:i/>
                <w:sz w:val="16"/>
                <w:szCs w:val="16"/>
                <w:lang w:val="en-US"/>
              </w:rPr>
            </w:pPr>
            <w:r w:rsidRPr="003129B0">
              <w:rPr>
                <w:rFonts w:ascii="Arial" w:hAnsi="Arial" w:cs="Arial"/>
                <w:b w:val="0"/>
                <w:i/>
                <w:sz w:val="16"/>
                <w:szCs w:val="16"/>
                <w:lang w:val="en-US"/>
              </w:rPr>
              <w:t>(Caribbean Organization of Supreme Audit Institutions)</w:t>
            </w:r>
          </w:p>
          <w:p w14:paraId="5AB3D030" w14:textId="77777777" w:rsidR="00A21641" w:rsidRPr="003129B0" w:rsidRDefault="00A21641" w:rsidP="00736503">
            <w:pPr>
              <w:spacing w:line="276" w:lineRule="auto"/>
              <w:jc w:val="both"/>
              <w:rPr>
                <w:rFonts w:ascii="Arial" w:hAnsi="Arial" w:cs="Arial"/>
                <w:sz w:val="18"/>
                <w:szCs w:val="18"/>
                <w:lang w:val="en-US"/>
              </w:rPr>
            </w:pPr>
          </w:p>
        </w:tc>
      </w:tr>
      <w:tr w:rsidR="00A21641" w:rsidRPr="004B42BB" w14:paraId="267BD5C4" w14:textId="77777777" w:rsidTr="007A3F8C">
        <w:tc>
          <w:tcPr>
            <w:cnfStyle w:val="001000000000" w:firstRow="0" w:lastRow="0" w:firstColumn="1" w:lastColumn="0" w:oddVBand="0" w:evenVBand="0" w:oddHBand="0" w:evenHBand="0" w:firstRowFirstColumn="0" w:firstRowLastColumn="0" w:lastRowFirstColumn="0" w:lastRowLastColumn="0"/>
            <w:tcW w:w="8494" w:type="dxa"/>
          </w:tcPr>
          <w:p w14:paraId="13B9D937" w14:textId="77777777" w:rsidR="00A21641" w:rsidRPr="003129B0" w:rsidRDefault="00D44A31" w:rsidP="00736503">
            <w:pPr>
              <w:spacing w:line="276" w:lineRule="auto"/>
              <w:jc w:val="center"/>
              <w:rPr>
                <w:rFonts w:ascii="Arial" w:hAnsi="Arial" w:cs="Arial"/>
                <w:sz w:val="18"/>
                <w:szCs w:val="18"/>
                <w:lang w:val="en-US"/>
              </w:rPr>
            </w:pPr>
            <w:hyperlink r:id="rId15" w:history="1">
              <w:r w:rsidR="00A21641" w:rsidRPr="003129B0">
                <w:rPr>
                  <w:rStyle w:val="Hyperlink"/>
                  <w:rFonts w:ascii="Arial" w:hAnsi="Arial" w:cs="Arial"/>
                  <w:bCs w:val="0"/>
                  <w:sz w:val="18"/>
                  <w:szCs w:val="18"/>
                  <w:lang w:val="en-US"/>
                </w:rPr>
                <w:t>EUROSAI</w:t>
              </w:r>
            </w:hyperlink>
          </w:p>
          <w:p w14:paraId="5BCEDF1B" w14:textId="77777777" w:rsidR="00A21641" w:rsidRPr="003129B0" w:rsidRDefault="00A21641" w:rsidP="00736503">
            <w:pPr>
              <w:spacing w:line="276" w:lineRule="auto"/>
              <w:jc w:val="center"/>
              <w:rPr>
                <w:rFonts w:ascii="Arial" w:hAnsi="Arial" w:cs="Arial"/>
                <w:b w:val="0"/>
                <w:i/>
                <w:sz w:val="16"/>
                <w:szCs w:val="16"/>
                <w:lang w:val="en-US"/>
              </w:rPr>
            </w:pPr>
            <w:r w:rsidRPr="003129B0">
              <w:rPr>
                <w:rFonts w:ascii="Arial" w:hAnsi="Arial" w:cs="Arial"/>
                <w:b w:val="0"/>
                <w:i/>
                <w:sz w:val="16"/>
                <w:szCs w:val="16"/>
                <w:lang w:val="en-US"/>
              </w:rPr>
              <w:t>(European Organization of Supreme Audit Institutions)</w:t>
            </w:r>
          </w:p>
          <w:p w14:paraId="2A51FDA1" w14:textId="77777777" w:rsidR="00A21641" w:rsidRPr="003129B0" w:rsidRDefault="00A21641" w:rsidP="00736503">
            <w:pPr>
              <w:spacing w:line="276" w:lineRule="auto"/>
              <w:jc w:val="both"/>
              <w:rPr>
                <w:rFonts w:ascii="Arial" w:hAnsi="Arial" w:cs="Arial"/>
                <w:color w:val="FF0000"/>
                <w:sz w:val="18"/>
                <w:szCs w:val="18"/>
                <w:lang w:val="en-US"/>
              </w:rPr>
            </w:pPr>
          </w:p>
        </w:tc>
      </w:tr>
    </w:tbl>
    <w:p w14:paraId="77C49698" w14:textId="77777777" w:rsidR="00AE798E" w:rsidRDefault="00AE798E" w:rsidP="00736503">
      <w:pPr>
        <w:spacing w:after="0"/>
        <w:jc w:val="both"/>
        <w:rPr>
          <w:rFonts w:ascii="Arial" w:hAnsi="Arial" w:cs="Arial"/>
          <w:sz w:val="20"/>
          <w:szCs w:val="20"/>
        </w:rPr>
      </w:pPr>
      <w:r>
        <w:rPr>
          <w:rFonts w:ascii="Arial" w:hAnsi="Arial" w:cs="Arial"/>
          <w:sz w:val="20"/>
          <w:szCs w:val="20"/>
        </w:rPr>
        <w:t>A tradução e adaptação dos trechos considerados mais relevantes para fins de divulgação dos precedentes internacionais</w:t>
      </w:r>
      <w:r w:rsidR="00F923CE">
        <w:rPr>
          <w:rFonts w:ascii="Arial" w:hAnsi="Arial" w:cs="Arial"/>
          <w:sz w:val="20"/>
          <w:szCs w:val="20"/>
        </w:rPr>
        <w:t>, feitas pelos integrantes da Escola de Gestão Pública (Áreas: Capacitação e Jurisprudência),</w:t>
      </w:r>
      <w:r>
        <w:rPr>
          <w:rFonts w:ascii="Arial" w:hAnsi="Arial" w:cs="Arial"/>
          <w:sz w:val="20"/>
          <w:szCs w:val="20"/>
        </w:rPr>
        <w:t xml:space="preserve"> dar-se-á </w:t>
      </w:r>
      <w:r w:rsidR="00F923CE">
        <w:rPr>
          <w:rFonts w:ascii="Arial" w:hAnsi="Arial" w:cs="Arial"/>
          <w:sz w:val="20"/>
          <w:szCs w:val="20"/>
        </w:rPr>
        <w:t>a partir d</w:t>
      </w:r>
      <w:r w:rsidRPr="00A21641">
        <w:rPr>
          <w:rFonts w:ascii="Arial" w:hAnsi="Arial" w:cs="Arial"/>
          <w:sz w:val="20"/>
          <w:szCs w:val="20"/>
        </w:rPr>
        <w:t>os</w:t>
      </w:r>
      <w:r w:rsidRPr="00E95A8E">
        <w:rPr>
          <w:rFonts w:ascii="Arial" w:hAnsi="Arial" w:cs="Arial"/>
          <w:color w:val="FF0000"/>
          <w:sz w:val="20"/>
          <w:szCs w:val="20"/>
        </w:rPr>
        <w:t xml:space="preserve"> </w:t>
      </w:r>
      <w:r>
        <w:rPr>
          <w:rFonts w:ascii="Arial" w:hAnsi="Arial" w:cs="Arial"/>
          <w:sz w:val="20"/>
          <w:szCs w:val="20"/>
        </w:rPr>
        <w:t>respectivos idiomas: inglês, espanhol, francês, italiano e russo.</w:t>
      </w:r>
    </w:p>
    <w:p w14:paraId="4BD22F9E" w14:textId="77777777" w:rsidR="006009F5" w:rsidRDefault="00FE7B14" w:rsidP="00736503">
      <w:pPr>
        <w:spacing w:after="0"/>
        <w:jc w:val="both"/>
        <w:rPr>
          <w:rFonts w:ascii="Arial" w:hAnsi="Arial" w:cs="Arial"/>
          <w:sz w:val="20"/>
          <w:szCs w:val="20"/>
        </w:rPr>
      </w:pPr>
      <w:r w:rsidRPr="0022060B">
        <w:rPr>
          <w:rFonts w:ascii="Arial" w:hAnsi="Arial" w:cs="Arial"/>
          <w:sz w:val="20"/>
          <w:szCs w:val="20"/>
        </w:rPr>
        <w:t xml:space="preserve">O objetivo é </w:t>
      </w:r>
      <w:r w:rsidR="007E786E">
        <w:rPr>
          <w:rFonts w:ascii="Arial" w:hAnsi="Arial" w:cs="Arial"/>
          <w:sz w:val="20"/>
          <w:szCs w:val="20"/>
        </w:rPr>
        <w:t xml:space="preserve">estimular </w:t>
      </w:r>
      <w:r w:rsidR="00F923CE">
        <w:rPr>
          <w:rFonts w:ascii="Arial" w:hAnsi="Arial" w:cs="Arial"/>
          <w:sz w:val="20"/>
          <w:szCs w:val="20"/>
        </w:rPr>
        <w:t xml:space="preserve">a disseminação de </w:t>
      </w:r>
      <w:r w:rsidR="007E786E">
        <w:rPr>
          <w:rFonts w:ascii="Arial" w:hAnsi="Arial" w:cs="Arial"/>
          <w:sz w:val="20"/>
          <w:szCs w:val="20"/>
        </w:rPr>
        <w:t xml:space="preserve">estudos e trabalhos periódicos na área de auditoria (conformidade e/ou operacional) que possam servir como inspiração e/ou subsídio para a aplicação de técnicas e práticas de controle externo internacional na realidade nacional e/ou local. </w:t>
      </w:r>
    </w:p>
    <w:p w14:paraId="1FC9CBB5" w14:textId="72A48DA4" w:rsidR="00FE7B14" w:rsidRDefault="00FE7B14" w:rsidP="00736503">
      <w:pPr>
        <w:spacing w:after="0"/>
        <w:jc w:val="both"/>
        <w:rPr>
          <w:rFonts w:ascii="Arial" w:hAnsi="Arial" w:cs="Arial"/>
          <w:sz w:val="20"/>
          <w:szCs w:val="20"/>
        </w:rPr>
      </w:pPr>
      <w:r w:rsidRPr="0022060B">
        <w:rPr>
          <w:rFonts w:ascii="Arial" w:hAnsi="Arial" w:cs="Arial"/>
          <w:sz w:val="20"/>
          <w:szCs w:val="20"/>
        </w:rPr>
        <w:t>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As informações aqui apresentadas não são repositórios oficiais de jurisprudência.</w:t>
      </w:r>
    </w:p>
    <w:p w14:paraId="2DDAC451" w14:textId="3CAA1518" w:rsidR="00320FCE" w:rsidRDefault="00320FCE" w:rsidP="00736503">
      <w:pPr>
        <w:spacing w:after="0"/>
        <w:jc w:val="both"/>
        <w:rPr>
          <w:rFonts w:ascii="Arial" w:hAnsi="Arial" w:cs="Arial"/>
          <w:sz w:val="20"/>
          <w:szCs w:val="20"/>
        </w:rPr>
      </w:pPr>
    </w:p>
    <w:p w14:paraId="63F80000" w14:textId="3C24E860" w:rsidR="00320FCE" w:rsidRDefault="00320FCE" w:rsidP="00736503">
      <w:pPr>
        <w:spacing w:after="0"/>
        <w:jc w:val="both"/>
        <w:rPr>
          <w:rFonts w:ascii="Arial" w:hAnsi="Arial" w:cs="Arial"/>
          <w:sz w:val="20"/>
          <w:szCs w:val="20"/>
        </w:rPr>
      </w:pPr>
    </w:p>
    <w:p w14:paraId="6EF385B0" w14:textId="0F5C9079" w:rsidR="00320FCE" w:rsidRDefault="00320FCE" w:rsidP="00736503">
      <w:pPr>
        <w:spacing w:after="0"/>
        <w:jc w:val="both"/>
        <w:rPr>
          <w:rFonts w:ascii="Arial" w:hAnsi="Arial" w:cs="Arial"/>
          <w:sz w:val="20"/>
          <w:szCs w:val="20"/>
        </w:rPr>
      </w:pPr>
    </w:p>
    <w:p w14:paraId="6D1F3C35" w14:textId="6255BDAE" w:rsidR="00320FCE" w:rsidRDefault="00320FCE" w:rsidP="00736503">
      <w:pPr>
        <w:spacing w:after="0"/>
        <w:jc w:val="both"/>
        <w:rPr>
          <w:rFonts w:ascii="Arial" w:hAnsi="Arial" w:cs="Arial"/>
          <w:sz w:val="20"/>
          <w:szCs w:val="20"/>
        </w:rPr>
      </w:pPr>
    </w:p>
    <w:p w14:paraId="0E5AA2F1" w14:textId="4629AC27" w:rsidR="00320FCE" w:rsidRDefault="00320FCE" w:rsidP="00736503">
      <w:pPr>
        <w:spacing w:after="0"/>
        <w:jc w:val="both"/>
        <w:rPr>
          <w:rFonts w:ascii="Arial" w:hAnsi="Arial" w:cs="Arial"/>
          <w:sz w:val="20"/>
          <w:szCs w:val="20"/>
        </w:rPr>
      </w:pPr>
    </w:p>
    <w:p w14:paraId="47BE1B46" w14:textId="77777777" w:rsidR="00320FCE" w:rsidRDefault="00320FCE" w:rsidP="00736503">
      <w:pPr>
        <w:spacing w:after="0"/>
        <w:jc w:val="both"/>
        <w:rPr>
          <w:rFonts w:ascii="Arial" w:hAnsi="Arial" w:cs="Arial"/>
          <w:sz w:val="20"/>
          <w:szCs w:val="20"/>
        </w:rPr>
      </w:pPr>
    </w:p>
    <w:p w14:paraId="1B989F7F" w14:textId="77777777" w:rsidR="00FE7B14" w:rsidRPr="0022060B" w:rsidRDefault="00FE7B14" w:rsidP="00736503">
      <w:pPr>
        <w:spacing w:after="0"/>
        <w:jc w:val="both"/>
        <w:rPr>
          <w:rFonts w:ascii="Arial" w:hAnsi="Arial" w:cs="Arial"/>
          <w:sz w:val="20"/>
          <w:szCs w:val="20"/>
        </w:rPr>
      </w:pPr>
      <w:r w:rsidRPr="0022060B">
        <w:rPr>
          <w:rFonts w:ascii="Arial" w:hAnsi="Arial" w:cs="Arial"/>
          <w:noProof/>
          <w:sz w:val="20"/>
          <w:szCs w:val="20"/>
          <w:lang w:eastAsia="pt-BR"/>
        </w:rPr>
        <w:lastRenderedPageBreak/>
        <mc:AlternateContent>
          <mc:Choice Requires="wps">
            <w:drawing>
              <wp:anchor distT="0" distB="0" distL="114300" distR="114300" simplePos="0" relativeHeight="251660800" behindDoc="0" locked="0" layoutInCell="1" allowOverlap="1" wp14:anchorId="2A156099" wp14:editId="11279CEF">
                <wp:simplePos x="0" y="0"/>
                <wp:positionH relativeFrom="margin">
                  <wp:posOffset>-635</wp:posOffset>
                </wp:positionH>
                <wp:positionV relativeFrom="paragraph">
                  <wp:posOffset>29845</wp:posOffset>
                </wp:positionV>
                <wp:extent cx="5397500" cy="0"/>
                <wp:effectExtent l="0" t="0" r="12700" b="5080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rgbClr val="8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ADEAB2E"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" strokecolor="maroon" strokeweight="2pt">
                <v:shadow on="t" color="black" opacity="24903f" origin=",.5" offset="0,.55556mm"/>
                <w10:wrap anchorx="margin"/>
              </v:line>
            </w:pict>
          </mc:Fallback>
        </mc:AlternateContent>
      </w:r>
    </w:p>
    <w:p w14:paraId="492B7C37" w14:textId="77777777" w:rsidR="00AE4F42" w:rsidRPr="000A4E5F" w:rsidRDefault="00AE4F42" w:rsidP="00736503">
      <w:pPr>
        <w:spacing w:after="0"/>
        <w:jc w:val="center"/>
        <w:rPr>
          <w:rFonts w:ascii="Arial" w:hAnsi="Arial" w:cs="Arial"/>
          <w:b/>
          <w:color w:val="800000"/>
          <w:sz w:val="24"/>
          <w:szCs w:val="24"/>
        </w:rPr>
      </w:pPr>
      <w:r w:rsidRPr="000A4E5F">
        <w:rPr>
          <w:rFonts w:ascii="Arial" w:hAnsi="Arial" w:cs="Arial"/>
          <w:b/>
          <w:color w:val="800000"/>
          <w:sz w:val="24"/>
          <w:szCs w:val="24"/>
        </w:rPr>
        <w:t>S</w:t>
      </w:r>
      <w:r w:rsidR="00221D15" w:rsidRPr="000A4E5F">
        <w:rPr>
          <w:rFonts w:ascii="Arial" w:hAnsi="Arial" w:cs="Arial"/>
          <w:b/>
          <w:color w:val="800000"/>
          <w:sz w:val="24"/>
          <w:szCs w:val="24"/>
        </w:rPr>
        <w:t>U</w:t>
      </w:r>
      <w:r w:rsidRPr="000A4E5F">
        <w:rPr>
          <w:rFonts w:ascii="Arial" w:hAnsi="Arial" w:cs="Arial"/>
          <w:b/>
          <w:color w:val="800000"/>
          <w:sz w:val="24"/>
          <w:szCs w:val="24"/>
        </w:rPr>
        <w:t>MÁRIO</w:t>
      </w:r>
    </w:p>
    <w:p w14:paraId="244922D9" w14:textId="77777777" w:rsidR="004429A2" w:rsidRPr="0070237D" w:rsidRDefault="004429A2" w:rsidP="00736503">
      <w:pPr>
        <w:spacing w:after="0"/>
        <w:jc w:val="both"/>
        <w:rPr>
          <w:rStyle w:val="Hyperlink"/>
          <w:rFonts w:ascii="Arial" w:hAnsi="Arial" w:cs="Arial"/>
          <w:b/>
          <w:color w:val="000000" w:themeColor="text1"/>
          <w:sz w:val="20"/>
          <w:szCs w:val="20"/>
          <w:u w:val="none"/>
        </w:rPr>
      </w:pPr>
    </w:p>
    <w:p w14:paraId="355D1267" w14:textId="15BD45B8" w:rsidR="004B42BB" w:rsidRPr="00DD2220" w:rsidRDefault="004B42BB" w:rsidP="004B42BB">
      <w:pPr>
        <w:autoSpaceDE w:val="0"/>
        <w:autoSpaceDN w:val="0"/>
        <w:adjustRightInd w:val="0"/>
        <w:spacing w:after="0"/>
        <w:jc w:val="both"/>
        <w:rPr>
          <w:rFonts w:ascii="Arial" w:hAnsi="Arial" w:cs="Arial"/>
          <w:sz w:val="20"/>
          <w:szCs w:val="20"/>
        </w:rPr>
      </w:pPr>
      <w:r w:rsidRPr="004B42BB">
        <w:rPr>
          <w:rFonts w:ascii="Arial" w:hAnsi="Arial" w:cs="Arial"/>
          <w:b/>
          <w:bCs/>
          <w:sz w:val="20"/>
          <w:szCs w:val="20"/>
          <w:shd w:val="clear" w:color="auto" w:fill="FFFFFF"/>
        </w:rPr>
        <w:t>1.</w:t>
      </w:r>
      <w:r w:rsidRPr="00DD2220">
        <w:rPr>
          <w:rFonts w:ascii="Arial" w:hAnsi="Arial" w:cs="Arial"/>
          <w:b/>
          <w:sz w:val="20"/>
          <w:szCs w:val="20"/>
          <w:shd w:val="clear" w:color="auto" w:fill="FFFFFF"/>
        </w:rPr>
        <w:t xml:space="preserve"> OLACEFS </w:t>
      </w:r>
      <w:r w:rsidRPr="00DD2220">
        <w:rPr>
          <w:rFonts w:ascii="Arial" w:hAnsi="Arial" w:cs="Arial"/>
          <w:sz w:val="20"/>
          <w:szCs w:val="20"/>
          <w:shd w:val="clear" w:color="auto" w:fill="FFFFFF"/>
        </w:rPr>
        <w:t xml:space="preserve">– Auditoria </w:t>
      </w:r>
      <w:proofErr w:type="spellStart"/>
      <w:r w:rsidRPr="00DD2220">
        <w:rPr>
          <w:rFonts w:ascii="Arial" w:hAnsi="Arial" w:cs="Arial"/>
          <w:sz w:val="20"/>
          <w:szCs w:val="20"/>
          <w:shd w:val="clear" w:color="auto" w:fill="FFFFFF"/>
        </w:rPr>
        <w:t>Iberoamericana</w:t>
      </w:r>
      <w:proofErr w:type="spellEnd"/>
      <w:r w:rsidRPr="00DD2220">
        <w:rPr>
          <w:rFonts w:ascii="Arial" w:hAnsi="Arial" w:cs="Arial"/>
          <w:sz w:val="20"/>
          <w:szCs w:val="20"/>
          <w:shd w:val="clear" w:color="auto" w:fill="FFFFFF"/>
        </w:rPr>
        <w:t xml:space="preserve"> sobre o Objetivo de Desenvolvimento Sustentável 5: Igualdade de Gênero (2019).</w:t>
      </w:r>
    </w:p>
    <w:p w14:paraId="421AFCFC" w14:textId="77777777" w:rsidR="00F234D8" w:rsidRPr="00F234D8" w:rsidRDefault="00F234D8" w:rsidP="00F234D8">
      <w:pPr>
        <w:autoSpaceDE w:val="0"/>
        <w:autoSpaceDN w:val="0"/>
        <w:adjustRightInd w:val="0"/>
        <w:spacing w:after="0"/>
        <w:jc w:val="both"/>
        <w:rPr>
          <w:rFonts w:ascii="Arial" w:hAnsi="Arial" w:cs="Arial"/>
          <w:sz w:val="20"/>
          <w:szCs w:val="20"/>
          <w:shd w:val="clear" w:color="auto" w:fill="FFFFFF"/>
        </w:rPr>
      </w:pPr>
    </w:p>
    <w:p w14:paraId="5144BDB7" w14:textId="77777777" w:rsidR="004B42BB" w:rsidRPr="00DD2220" w:rsidRDefault="004B42BB" w:rsidP="004B42BB">
      <w:pPr>
        <w:autoSpaceDE w:val="0"/>
        <w:autoSpaceDN w:val="0"/>
        <w:adjustRightInd w:val="0"/>
        <w:spacing w:after="0"/>
        <w:jc w:val="both"/>
        <w:rPr>
          <w:rFonts w:ascii="Arial" w:hAnsi="Arial" w:cs="Arial"/>
          <w:sz w:val="20"/>
          <w:szCs w:val="20"/>
        </w:rPr>
      </w:pPr>
      <w:r w:rsidRPr="00DD2220">
        <w:rPr>
          <w:rFonts w:ascii="Arial" w:hAnsi="Arial" w:cs="Arial"/>
          <w:b/>
          <w:sz w:val="20"/>
          <w:szCs w:val="20"/>
        </w:rPr>
        <w:t xml:space="preserve">2. OLACEFS – </w:t>
      </w:r>
      <w:r w:rsidRPr="00DD2220">
        <w:rPr>
          <w:rFonts w:ascii="Arial" w:hAnsi="Arial" w:cs="Arial"/>
          <w:sz w:val="20"/>
          <w:szCs w:val="20"/>
        </w:rPr>
        <w:t>Auditoria Coordenada em áreas protegidas da América Latina</w:t>
      </w:r>
      <w:r w:rsidRPr="00DD2220">
        <w:rPr>
          <w:rFonts w:ascii="Arial" w:hAnsi="Arial" w:cs="Arial"/>
          <w:b/>
          <w:sz w:val="20"/>
          <w:szCs w:val="20"/>
        </w:rPr>
        <w:t xml:space="preserve"> </w:t>
      </w:r>
      <w:r w:rsidRPr="00DD2220">
        <w:rPr>
          <w:rFonts w:ascii="Arial" w:hAnsi="Arial" w:cs="Arial"/>
          <w:sz w:val="20"/>
          <w:szCs w:val="20"/>
        </w:rPr>
        <w:t>- 2015.</w:t>
      </w:r>
    </w:p>
    <w:p w14:paraId="6A891B58" w14:textId="77777777" w:rsidR="00A0576E" w:rsidRDefault="00A0576E" w:rsidP="00736503">
      <w:pPr>
        <w:autoSpaceDE w:val="0"/>
        <w:autoSpaceDN w:val="0"/>
        <w:adjustRightInd w:val="0"/>
        <w:spacing w:after="0"/>
        <w:jc w:val="both"/>
        <w:rPr>
          <w:rFonts w:ascii="Arial" w:hAnsi="Arial" w:cs="Arial"/>
          <w:bCs/>
          <w:sz w:val="20"/>
          <w:szCs w:val="20"/>
          <w:shd w:val="clear" w:color="auto" w:fill="FFFFFF"/>
        </w:rPr>
      </w:pPr>
    </w:p>
    <w:p w14:paraId="213223A2" w14:textId="4E27CCA6" w:rsidR="00A0576E" w:rsidRPr="00736503" w:rsidRDefault="00A0576E" w:rsidP="00EA2B95">
      <w:pPr>
        <w:autoSpaceDE w:val="0"/>
        <w:autoSpaceDN w:val="0"/>
        <w:adjustRightInd w:val="0"/>
        <w:spacing w:after="0"/>
        <w:jc w:val="both"/>
        <w:rPr>
          <w:rFonts w:ascii="Arial" w:hAnsi="Arial" w:cs="Arial"/>
          <w:sz w:val="20"/>
          <w:szCs w:val="20"/>
          <w:shd w:val="clear" w:color="auto" w:fill="FFFFFF"/>
        </w:rPr>
      </w:pPr>
      <w:r w:rsidRPr="00EA2B95">
        <w:rPr>
          <w:rFonts w:ascii="Arial" w:hAnsi="Arial" w:cs="Arial"/>
          <w:b/>
          <w:sz w:val="20"/>
          <w:szCs w:val="20"/>
          <w:shd w:val="clear" w:color="auto" w:fill="FFFFFF"/>
        </w:rPr>
        <w:t xml:space="preserve">3. </w:t>
      </w:r>
      <w:r w:rsidR="004B42BB">
        <w:rPr>
          <w:rStyle w:val="Hyperlink"/>
          <w:rFonts w:ascii="Arial" w:hAnsi="Arial" w:cs="Arial"/>
          <w:b/>
          <w:color w:val="000000" w:themeColor="text1"/>
          <w:sz w:val="20"/>
          <w:szCs w:val="20"/>
          <w:u w:val="none"/>
        </w:rPr>
        <w:t>Espanha</w:t>
      </w:r>
      <w:r w:rsidR="00EA2B95">
        <w:rPr>
          <w:rStyle w:val="Hyperlink"/>
          <w:rFonts w:ascii="Arial" w:hAnsi="Arial" w:cs="Arial"/>
          <w:color w:val="000000" w:themeColor="text1"/>
          <w:sz w:val="20"/>
          <w:szCs w:val="20"/>
          <w:u w:val="none"/>
        </w:rPr>
        <w:t xml:space="preserve"> – Auditoria no gerenciamento e repasses aos Parques Nacionais, assim como das ações desenvolvidas pelo Ministério do Meio Ambiente na gestão dessas unidades.</w:t>
      </w:r>
    </w:p>
    <w:p w14:paraId="09FD6695" w14:textId="77777777" w:rsidR="003129B0" w:rsidRDefault="003129B0" w:rsidP="003129B0">
      <w:pPr>
        <w:autoSpaceDE w:val="0"/>
        <w:autoSpaceDN w:val="0"/>
        <w:adjustRightInd w:val="0"/>
        <w:spacing w:after="0"/>
        <w:jc w:val="both"/>
        <w:rPr>
          <w:rFonts w:ascii="Arial" w:hAnsi="Arial" w:cs="Arial"/>
          <w:b/>
          <w:sz w:val="20"/>
          <w:szCs w:val="20"/>
          <w:shd w:val="clear" w:color="auto" w:fill="FFFFFF"/>
        </w:rPr>
      </w:pPr>
    </w:p>
    <w:p w14:paraId="08A0AF40" w14:textId="77777777" w:rsidR="004B42BB" w:rsidRDefault="004B42BB" w:rsidP="003129B0">
      <w:pPr>
        <w:autoSpaceDE w:val="0"/>
        <w:autoSpaceDN w:val="0"/>
        <w:adjustRightInd w:val="0"/>
        <w:spacing w:after="0" w:line="240" w:lineRule="auto"/>
        <w:jc w:val="both"/>
        <w:rPr>
          <w:rFonts w:ascii="Arial" w:hAnsi="Arial" w:cs="Arial"/>
          <w:b/>
          <w:sz w:val="20"/>
          <w:szCs w:val="20"/>
          <w:shd w:val="clear" w:color="auto" w:fill="FFFFFF"/>
        </w:rPr>
      </w:pPr>
    </w:p>
    <w:p w14:paraId="0FCC5650" w14:textId="77777777" w:rsidR="004B42BB" w:rsidRPr="00DD2220" w:rsidRDefault="004B42BB" w:rsidP="004B42BB">
      <w:pPr>
        <w:pBdr>
          <w:bottom w:val="double" w:sz="4" w:space="1" w:color="800000"/>
        </w:pBdr>
        <w:rPr>
          <w:rFonts w:ascii="Arial" w:hAnsi="Arial" w:cs="Arial"/>
          <w:b/>
          <w:sz w:val="20"/>
          <w:szCs w:val="20"/>
        </w:rPr>
      </w:pPr>
      <w:r w:rsidRPr="00DD2220">
        <w:rPr>
          <w:rFonts w:ascii="Arial" w:hAnsi="Arial" w:cs="Arial"/>
          <w:b/>
          <w:sz w:val="20"/>
          <w:szCs w:val="20"/>
        </w:rPr>
        <w:t xml:space="preserve">1 -   AUDITORIA IBEROAMERICANA SOBRE IGUALDADE DE GÊNERO  </w:t>
      </w:r>
    </w:p>
    <w:p w14:paraId="2D17FE93" w14:textId="77777777" w:rsidR="004B42BB" w:rsidRPr="00DD2220" w:rsidRDefault="004B42BB" w:rsidP="004B42BB">
      <w:pPr>
        <w:autoSpaceDE w:val="0"/>
        <w:autoSpaceDN w:val="0"/>
        <w:adjustRightInd w:val="0"/>
        <w:spacing w:after="0"/>
        <w:jc w:val="both"/>
        <w:rPr>
          <w:rFonts w:ascii="Arial" w:hAnsi="Arial" w:cs="Arial"/>
          <w:sz w:val="20"/>
          <w:szCs w:val="20"/>
          <w:shd w:val="clear" w:color="auto" w:fill="FFFFFF"/>
        </w:rPr>
      </w:pPr>
    </w:p>
    <w:p w14:paraId="0C8E1A22" w14:textId="77777777" w:rsidR="004B42BB" w:rsidRPr="00FE5BCB" w:rsidRDefault="004B42BB" w:rsidP="004B42BB">
      <w:pPr>
        <w:autoSpaceDE w:val="0"/>
        <w:autoSpaceDN w:val="0"/>
        <w:adjustRightInd w:val="0"/>
        <w:spacing w:after="0"/>
        <w:jc w:val="both"/>
        <w:rPr>
          <w:rFonts w:ascii="Arial" w:hAnsi="Arial" w:cs="Arial"/>
          <w:sz w:val="20"/>
          <w:szCs w:val="20"/>
          <w:shd w:val="clear" w:color="auto" w:fill="FFFFFF"/>
        </w:rPr>
      </w:pPr>
      <w:r w:rsidRPr="00FE5BCB">
        <w:rPr>
          <w:rFonts w:ascii="Arial" w:hAnsi="Arial" w:cs="Arial"/>
          <w:sz w:val="20"/>
          <w:szCs w:val="20"/>
          <w:shd w:val="clear" w:color="auto" w:fill="FFFFFF"/>
        </w:rPr>
        <w:t xml:space="preserve">Publicação original acessível em: </w:t>
      </w:r>
      <w:hyperlink r:id="rId16" w:history="1">
        <w:r w:rsidRPr="00FE5BCB">
          <w:rPr>
            <w:rStyle w:val="Hyperlink"/>
            <w:rFonts w:ascii="Arial" w:hAnsi="Arial" w:cs="Arial"/>
            <w:sz w:val="20"/>
            <w:szCs w:val="20"/>
            <w:shd w:val="clear" w:color="auto" w:fill="FFFFFF"/>
          </w:rPr>
          <w:t>https://www.olacefs.com/auditorias-coordinadas/</w:t>
        </w:r>
      </w:hyperlink>
    </w:p>
    <w:p w14:paraId="428D3DD4" w14:textId="77777777" w:rsidR="004B42BB" w:rsidRPr="00FE5BCB" w:rsidRDefault="004B42BB" w:rsidP="004B42BB">
      <w:pPr>
        <w:autoSpaceDE w:val="0"/>
        <w:autoSpaceDN w:val="0"/>
        <w:adjustRightInd w:val="0"/>
        <w:spacing w:after="0"/>
        <w:jc w:val="both"/>
        <w:rPr>
          <w:rFonts w:ascii="Arial" w:hAnsi="Arial" w:cs="Arial"/>
          <w:sz w:val="20"/>
          <w:szCs w:val="20"/>
          <w:shd w:val="clear" w:color="auto" w:fill="FFFFFF"/>
        </w:rPr>
      </w:pPr>
    </w:p>
    <w:p w14:paraId="3F89BFB0" w14:textId="77777777" w:rsidR="004B42BB" w:rsidRPr="00FE5BCB" w:rsidRDefault="004B42BB" w:rsidP="004B42BB">
      <w:pPr>
        <w:autoSpaceDE w:val="0"/>
        <w:autoSpaceDN w:val="0"/>
        <w:adjustRightInd w:val="0"/>
        <w:spacing w:after="0"/>
        <w:jc w:val="both"/>
        <w:rPr>
          <w:rFonts w:ascii="Arial" w:hAnsi="Arial" w:cs="Arial"/>
          <w:sz w:val="20"/>
          <w:szCs w:val="20"/>
        </w:rPr>
      </w:pPr>
      <w:r w:rsidRPr="00FE5BCB">
        <w:rPr>
          <w:rFonts w:ascii="Arial" w:hAnsi="Arial" w:cs="Arial"/>
          <w:sz w:val="20"/>
          <w:szCs w:val="20"/>
        </w:rPr>
        <w:t xml:space="preserve">Esta auditoria é fruto do esforço conjunto de diversas Entidades Fiscalizadoras Superiores (EFS) membros da Organização </w:t>
      </w:r>
      <w:proofErr w:type="spellStart"/>
      <w:r w:rsidRPr="00FE5BCB">
        <w:rPr>
          <w:rFonts w:ascii="Arial" w:hAnsi="Arial" w:cs="Arial"/>
          <w:sz w:val="20"/>
          <w:szCs w:val="20"/>
        </w:rPr>
        <w:t>Latinoamericana</w:t>
      </w:r>
      <w:proofErr w:type="spellEnd"/>
      <w:r w:rsidRPr="00FE5BCB">
        <w:rPr>
          <w:rFonts w:ascii="Arial" w:hAnsi="Arial" w:cs="Arial"/>
          <w:sz w:val="20"/>
          <w:szCs w:val="20"/>
        </w:rPr>
        <w:t xml:space="preserve"> e do Caribe de Entidades Superiores (OLACEFS), para incorporar a perspectiva de gênero entre as EFS da Região, e surge como resultado de uma série de ações iniciadas em 2012, derivadas do encontro “Gênero e Transparência na Fiscalização Superior”, celebrado em Santo Domingo, República Dominicana. Naquela oportunidade foram aprovadas recomendações relacionadas com o tema gênero e se firmou a “Declaração de Santo Domingo”, que reafirma a necessidade de que as Entidades Fiscalizadoras Superiores incorporem a dimensão relacionada a igualdade de gênero, tanto dentro das próprias EFS, quanto na execução das auditorias governamentais.</w:t>
      </w:r>
    </w:p>
    <w:p w14:paraId="228B9C54" w14:textId="77777777" w:rsidR="004B42BB" w:rsidRPr="00FE5BCB" w:rsidRDefault="004B42BB" w:rsidP="004B42BB">
      <w:pPr>
        <w:autoSpaceDE w:val="0"/>
        <w:autoSpaceDN w:val="0"/>
        <w:adjustRightInd w:val="0"/>
        <w:spacing w:after="0"/>
        <w:jc w:val="both"/>
        <w:rPr>
          <w:rFonts w:ascii="Arial" w:hAnsi="Arial" w:cs="Arial"/>
          <w:sz w:val="20"/>
          <w:szCs w:val="20"/>
        </w:rPr>
      </w:pPr>
    </w:p>
    <w:p w14:paraId="60F910BD" w14:textId="77777777" w:rsidR="004B42BB" w:rsidRPr="00FE5BCB" w:rsidRDefault="004B42BB" w:rsidP="004B42BB">
      <w:pPr>
        <w:autoSpaceDE w:val="0"/>
        <w:autoSpaceDN w:val="0"/>
        <w:adjustRightInd w:val="0"/>
        <w:spacing w:after="0"/>
        <w:jc w:val="both"/>
        <w:rPr>
          <w:rFonts w:ascii="Arial" w:hAnsi="Arial" w:cs="Arial"/>
          <w:sz w:val="20"/>
          <w:szCs w:val="20"/>
        </w:rPr>
      </w:pPr>
      <w:r w:rsidRPr="00FE5BCB">
        <w:rPr>
          <w:rFonts w:ascii="Arial" w:hAnsi="Arial" w:cs="Arial"/>
          <w:sz w:val="20"/>
          <w:szCs w:val="20"/>
        </w:rPr>
        <w:t>Como consequência desta declaração, em 2013 foi realizado um workshop para elaborar um plano de curto e médio prazo sobre gênero e transparência em auditorias superiores na Costa Rica, cujas conclusões foram posteriormente aprovadas pela XXIII Assembleia Geral Ordinária da OLACEFS, realizada no Chile em dezembro daquele ano. Como resultado, a Comissão de Participação do Cidadão (CPC) foi incumbida de incorporar, como parte de seus planos de trabalho anuais, uma série de atividades destinadas a promover a inserção de uma perspectiva de gênero no nível OLACEFS.</w:t>
      </w:r>
    </w:p>
    <w:p w14:paraId="4E0414C7" w14:textId="77777777" w:rsidR="004B42BB" w:rsidRPr="00FE5BCB" w:rsidRDefault="004B42BB" w:rsidP="004B42BB">
      <w:pPr>
        <w:autoSpaceDE w:val="0"/>
        <w:autoSpaceDN w:val="0"/>
        <w:adjustRightInd w:val="0"/>
        <w:spacing w:after="0"/>
        <w:jc w:val="both"/>
        <w:rPr>
          <w:rFonts w:ascii="Arial" w:hAnsi="Arial" w:cs="Arial"/>
          <w:sz w:val="20"/>
          <w:szCs w:val="20"/>
        </w:rPr>
      </w:pPr>
    </w:p>
    <w:p w14:paraId="0D9DE246" w14:textId="77777777" w:rsidR="004B42BB" w:rsidRPr="00FE5BCB" w:rsidRDefault="004B42BB" w:rsidP="004B42BB">
      <w:pPr>
        <w:autoSpaceDE w:val="0"/>
        <w:autoSpaceDN w:val="0"/>
        <w:adjustRightInd w:val="0"/>
        <w:spacing w:after="0"/>
        <w:jc w:val="both"/>
        <w:rPr>
          <w:rFonts w:ascii="Arial" w:hAnsi="Arial" w:cs="Arial"/>
          <w:sz w:val="20"/>
          <w:szCs w:val="20"/>
        </w:rPr>
      </w:pPr>
      <w:r w:rsidRPr="00FE5BCB">
        <w:rPr>
          <w:rFonts w:ascii="Arial" w:hAnsi="Arial" w:cs="Arial"/>
          <w:sz w:val="20"/>
          <w:szCs w:val="20"/>
        </w:rPr>
        <w:t xml:space="preserve">Posteriormente, a XXVI </w:t>
      </w:r>
      <w:proofErr w:type="spellStart"/>
      <w:r w:rsidRPr="00FE5BCB">
        <w:rPr>
          <w:rFonts w:ascii="Arial" w:hAnsi="Arial" w:cs="Arial"/>
          <w:sz w:val="20"/>
          <w:szCs w:val="20"/>
        </w:rPr>
        <w:t>Assembléia</w:t>
      </w:r>
      <w:proofErr w:type="spellEnd"/>
      <w:r w:rsidRPr="00FE5BCB">
        <w:rPr>
          <w:rFonts w:ascii="Arial" w:hAnsi="Arial" w:cs="Arial"/>
          <w:sz w:val="20"/>
          <w:szCs w:val="20"/>
        </w:rPr>
        <w:t xml:space="preserve"> Geral da OLACEFS, em 2016, aprovou a proposta do CPC (liderado pela ISC do Paraguai) de realizar uma nova auditoria de gênero. Ao mesmo tempo, coincidentemente, no nível global, o IDI estava preparando o desenvolvimento de uma auditoria para avaliar a prontidão dos governos para enfrentar os desafios da Agenda 2030. Nesse Contexto, no nível OLACEFS, decidiu-se trabalhar em conjunto com o IDI, adaptando o modelo de auditoria em que eles trabalharam (em conjunto com várias entidades, públicas e privadas em todo o mundo, incluindo a Fundação Canadense para Auditoria e Prestação de Contas – então a CCAF, agora CAAF - ) com foco exclusivo no ODS 5. </w:t>
      </w:r>
    </w:p>
    <w:p w14:paraId="7CFE51F2" w14:textId="77777777" w:rsidR="004B42BB" w:rsidRPr="00FE5BCB" w:rsidRDefault="004B42BB" w:rsidP="004B42BB">
      <w:pPr>
        <w:autoSpaceDE w:val="0"/>
        <w:autoSpaceDN w:val="0"/>
        <w:adjustRightInd w:val="0"/>
        <w:spacing w:after="0"/>
        <w:jc w:val="both"/>
        <w:rPr>
          <w:rFonts w:ascii="Arial" w:hAnsi="Arial" w:cs="Arial"/>
          <w:sz w:val="20"/>
          <w:szCs w:val="20"/>
        </w:rPr>
      </w:pPr>
    </w:p>
    <w:p w14:paraId="439AABCC" w14:textId="77777777" w:rsidR="004B42BB" w:rsidRPr="00FE5BCB" w:rsidRDefault="004B42BB" w:rsidP="004B42BB">
      <w:pPr>
        <w:pStyle w:val="Pr-formataoHTML"/>
        <w:spacing w:line="276" w:lineRule="auto"/>
        <w:jc w:val="both"/>
        <w:rPr>
          <w:rFonts w:ascii="Arial" w:hAnsi="Arial" w:cs="Arial"/>
          <w:color w:val="222222"/>
          <w:lang w:val="pt-PT"/>
        </w:rPr>
      </w:pPr>
      <w:r w:rsidRPr="00FE5BCB">
        <w:rPr>
          <w:rFonts w:ascii="Arial" w:hAnsi="Arial" w:cs="Arial"/>
          <w:color w:val="222222"/>
          <w:lang w:val="pt-PT"/>
        </w:rPr>
        <w:t xml:space="preserve">Os Objetivos de Desenvolvimento Sustentável (ODS) apresentam um desafio e uma oportunidade especial para as Instituições Superiores de Auditoria (EFS). Estes foram convocados pelas Nações Unidas (ONU) por sua reputação de entidades independentes e altamente profissionais, para acompanhar a implementação da Agenda e garantir o sucesso dos objetivos. </w:t>
      </w:r>
    </w:p>
    <w:p w14:paraId="1FBD86C1" w14:textId="77777777" w:rsidR="004B42BB" w:rsidRPr="00FE5BCB" w:rsidRDefault="004B42BB" w:rsidP="004B42BB">
      <w:pPr>
        <w:pStyle w:val="Pr-formataoHTML"/>
        <w:spacing w:line="276" w:lineRule="auto"/>
        <w:jc w:val="both"/>
        <w:rPr>
          <w:rFonts w:ascii="Arial" w:hAnsi="Arial" w:cs="Arial"/>
          <w:color w:val="222222"/>
          <w:lang w:val="pt-PT"/>
        </w:rPr>
      </w:pPr>
    </w:p>
    <w:p w14:paraId="44E76531" w14:textId="77777777" w:rsidR="004B42BB" w:rsidRPr="00FE5BCB" w:rsidRDefault="004B42BB" w:rsidP="004B42BB">
      <w:pPr>
        <w:pStyle w:val="Pr-formataoHTML"/>
        <w:spacing w:line="276" w:lineRule="auto"/>
        <w:jc w:val="both"/>
        <w:rPr>
          <w:rFonts w:ascii="Arial" w:hAnsi="Arial" w:cs="Arial"/>
          <w:color w:val="222222"/>
          <w:lang w:val="pt-PT"/>
        </w:rPr>
      </w:pPr>
      <w:r w:rsidRPr="00FE5BCB">
        <w:rPr>
          <w:rFonts w:ascii="Arial" w:hAnsi="Arial" w:cs="Arial"/>
          <w:color w:val="222222"/>
          <w:lang w:val="pt-PT"/>
        </w:rPr>
        <w:t xml:space="preserve">Este documento reflete a apropriação que os membros das EFS da OLACEFS assumiram dos compromissos mencionados, na medida em que apresenta os resultados da auditoria coordenada sobre a preparação dos governos da Ibero-América para a implementação do ODS 5 e também expõe à comunidade a resultados da pesquisa de </w:t>
      </w:r>
      <w:proofErr w:type="spellStart"/>
      <w:r w:rsidRPr="00FE5BCB">
        <w:rPr>
          <w:rFonts w:ascii="Arial" w:hAnsi="Arial" w:cs="Arial"/>
          <w:color w:val="222222"/>
          <w:lang w:val="pt-PT"/>
        </w:rPr>
        <w:t>auto-avaliação</w:t>
      </w:r>
      <w:proofErr w:type="spellEnd"/>
      <w:r w:rsidRPr="00FE5BCB">
        <w:rPr>
          <w:rFonts w:ascii="Arial" w:hAnsi="Arial" w:cs="Arial"/>
          <w:color w:val="222222"/>
          <w:lang w:val="pt-PT"/>
        </w:rPr>
        <w:t xml:space="preserve"> sobre a situação de gênero nas EFS dessa organização regional.</w:t>
      </w:r>
    </w:p>
    <w:p w14:paraId="7C21E2C9" w14:textId="77777777" w:rsidR="004B42BB" w:rsidRPr="00FE5BCB" w:rsidRDefault="004B42BB" w:rsidP="004B42BB">
      <w:pPr>
        <w:pStyle w:val="Pr-formataoHTML"/>
        <w:spacing w:line="276" w:lineRule="auto"/>
        <w:jc w:val="both"/>
        <w:rPr>
          <w:rFonts w:ascii="Arial" w:hAnsi="Arial" w:cs="Arial"/>
          <w:color w:val="222222"/>
          <w:lang w:val="pt-PT"/>
        </w:rPr>
      </w:pPr>
    </w:p>
    <w:p w14:paraId="3B063EFE" w14:textId="77777777" w:rsidR="004B42BB" w:rsidRPr="00FE5BCB" w:rsidRDefault="004B42BB" w:rsidP="004B42BB">
      <w:pPr>
        <w:pStyle w:val="Pr-formataoHTML"/>
        <w:spacing w:line="276" w:lineRule="auto"/>
        <w:jc w:val="both"/>
        <w:rPr>
          <w:rFonts w:ascii="Arial" w:hAnsi="Arial" w:cs="Arial"/>
          <w:color w:val="222222"/>
        </w:rPr>
      </w:pPr>
      <w:r w:rsidRPr="00FE5BCB">
        <w:rPr>
          <w:rFonts w:ascii="Arial" w:hAnsi="Arial" w:cs="Arial"/>
          <w:color w:val="222222"/>
          <w:lang w:val="pt-PT"/>
        </w:rPr>
        <w:t xml:space="preserve">Os resultados refletem um apelo às autoridades para reconhecer a importância de incorporar, validar e reconhecer o valor do trabalho das mulheres nas </w:t>
      </w:r>
      <w:proofErr w:type="spellStart"/>
      <w:r w:rsidRPr="00FE5BCB">
        <w:rPr>
          <w:rFonts w:ascii="Arial" w:hAnsi="Arial" w:cs="Arial"/>
          <w:color w:val="222222"/>
          <w:lang w:val="pt-PT"/>
        </w:rPr>
        <w:t>SAIs</w:t>
      </w:r>
      <w:proofErr w:type="spellEnd"/>
      <w:r w:rsidRPr="00FE5BCB">
        <w:rPr>
          <w:rFonts w:ascii="Arial" w:hAnsi="Arial" w:cs="Arial"/>
          <w:color w:val="222222"/>
          <w:lang w:val="pt-PT"/>
        </w:rPr>
        <w:t>. É claro que existem várias questões em que há possibilidades de melhoria; no entanto, o importante foi instalar o debate no OLACEFS, do mais abstrato e pessoal ao mais concreto e generalizado, com uma longa pesquisa de 33 perguntas, dando espaço para várias variáveis ​​neste tema complexo.</w:t>
      </w:r>
    </w:p>
    <w:p w14:paraId="79AB676B" w14:textId="77777777" w:rsidR="004B42BB" w:rsidRPr="00FE5BCB" w:rsidRDefault="004B42BB" w:rsidP="004B42BB">
      <w:pPr>
        <w:autoSpaceDE w:val="0"/>
        <w:autoSpaceDN w:val="0"/>
        <w:adjustRightInd w:val="0"/>
        <w:spacing w:after="0"/>
        <w:jc w:val="both"/>
        <w:rPr>
          <w:rFonts w:ascii="Arial" w:hAnsi="Arial" w:cs="Arial"/>
          <w:sz w:val="20"/>
          <w:szCs w:val="20"/>
        </w:rPr>
      </w:pPr>
    </w:p>
    <w:p w14:paraId="3FAB6936" w14:textId="77777777" w:rsidR="004B42BB" w:rsidRPr="00FE5BCB" w:rsidRDefault="004B42BB" w:rsidP="004B42BB">
      <w:pPr>
        <w:pStyle w:val="Pr-formataoHTML"/>
        <w:spacing w:line="276" w:lineRule="auto"/>
        <w:jc w:val="both"/>
        <w:rPr>
          <w:rFonts w:ascii="Arial" w:hAnsi="Arial" w:cs="Arial"/>
          <w:color w:val="222222"/>
          <w:lang w:val="pt-PT"/>
        </w:rPr>
      </w:pPr>
      <w:r w:rsidRPr="00FE5BCB">
        <w:rPr>
          <w:rFonts w:ascii="Arial" w:hAnsi="Arial" w:cs="Arial"/>
          <w:color w:val="222222"/>
          <w:lang w:val="pt-PT"/>
        </w:rPr>
        <w:t xml:space="preserve">Com uma pontuação média no índice regional de 66,5, a América Latina e o Caribe são a segunda região com a classificação mais alta no Índice de Gênero dos ODS de 2019. Os países com melhor desempenho na região, Chile, Costa Rica e O Uruguai está entre os 50 principais países do índice e, juntamente com Argentina, Jamaica e Trinidad e Tobago, recebe pontuação "média" geral no índice. </w:t>
      </w:r>
      <w:proofErr w:type="spellStart"/>
      <w:r w:rsidRPr="00FE5BCB">
        <w:rPr>
          <w:rFonts w:ascii="Arial" w:hAnsi="Arial" w:cs="Arial"/>
          <w:color w:val="222222"/>
          <w:lang w:val="pt-PT"/>
        </w:rPr>
        <w:t>Quatorze</w:t>
      </w:r>
      <w:proofErr w:type="spellEnd"/>
      <w:r w:rsidRPr="00FE5BCB">
        <w:rPr>
          <w:rFonts w:ascii="Arial" w:hAnsi="Arial" w:cs="Arial"/>
          <w:color w:val="222222"/>
          <w:lang w:val="pt-PT"/>
        </w:rPr>
        <w:t xml:space="preserve"> países recebem notas "ruins" e um (Guatemala) recebe uma pontuação "muito ruim" no geral. No entanto, a região da América Latina e do Caribe compartilha com a Europa e a América do Norte o fato de serem as únicas duas regiões em que nenhum país cai no último quartil da pontuação geral no índice.</w:t>
      </w:r>
    </w:p>
    <w:p w14:paraId="2DF0017A" w14:textId="77777777" w:rsidR="004B42BB" w:rsidRPr="00FE5BCB" w:rsidRDefault="004B42BB" w:rsidP="004B42BB">
      <w:pPr>
        <w:autoSpaceDE w:val="0"/>
        <w:autoSpaceDN w:val="0"/>
        <w:adjustRightInd w:val="0"/>
        <w:spacing w:after="0"/>
        <w:jc w:val="both"/>
        <w:rPr>
          <w:rFonts w:ascii="Arial" w:hAnsi="Arial" w:cs="Arial"/>
          <w:color w:val="222222"/>
          <w:sz w:val="20"/>
          <w:szCs w:val="20"/>
          <w:lang w:val="pt-PT"/>
        </w:rPr>
      </w:pPr>
      <w:r w:rsidRPr="00FE5BCB">
        <w:rPr>
          <w:rFonts w:ascii="Arial" w:hAnsi="Arial" w:cs="Arial"/>
          <w:sz w:val="20"/>
          <w:szCs w:val="20"/>
        </w:rPr>
        <w:br/>
      </w:r>
      <w:r w:rsidRPr="00FE5BCB">
        <w:rPr>
          <w:rFonts w:ascii="Arial" w:hAnsi="Arial" w:cs="Arial"/>
          <w:color w:val="222222"/>
          <w:sz w:val="20"/>
          <w:szCs w:val="20"/>
          <w:lang w:val="pt-PT"/>
        </w:rPr>
        <w:t xml:space="preserve">O único indicador em que um país latino-americano está no final do ranking global é sobre a questão da violência contra as mulheres. Como região, a América Latina e o Caribe têm melhor desempenho em relação a outras regiões e em termos de proximidade para atingir as metas, no ODS 2: Fome e Nutrição ODS 3: Saúde, ODS 4 Educação, ODS 6: Água e Saneamento e ODS 7: Energia. A região fica abaixo das médias globais do ODS 10: Desigualdade, ODS 11: Cidades e Comunidades, ODS 16: Paz e Instituições e ODS 17: Alianças. Embora todas as regiões estejam muito atrás do Objetivo 17: metas de parceria, a América Latina e o Caribe são a região com a menor pontuação, com os países enfrentando muitos desafios para alcançar as metas de gastos sociais como </w:t>
      </w:r>
      <w:proofErr w:type="spellStart"/>
      <w:r w:rsidRPr="00FE5BCB">
        <w:rPr>
          <w:rFonts w:ascii="Arial" w:hAnsi="Arial" w:cs="Arial"/>
          <w:color w:val="222222"/>
          <w:sz w:val="20"/>
          <w:szCs w:val="20"/>
          <w:lang w:val="pt-PT"/>
        </w:rPr>
        <w:t>porcentagem</w:t>
      </w:r>
      <w:proofErr w:type="spellEnd"/>
      <w:r w:rsidRPr="00FE5BCB">
        <w:rPr>
          <w:rFonts w:ascii="Arial" w:hAnsi="Arial" w:cs="Arial"/>
          <w:color w:val="222222"/>
          <w:sz w:val="20"/>
          <w:szCs w:val="20"/>
          <w:lang w:val="pt-PT"/>
        </w:rPr>
        <w:t xml:space="preserve"> do PIB e a abertura de estatísticas de gênero. Alguns padrões são observados nas pontuações: em média, os países da América do Sul têm melhor desempenho do que os da América Central, embora a Costa Rica ocupe o 3º lugar na região em geral.</w:t>
      </w:r>
    </w:p>
    <w:p w14:paraId="6B757C62" w14:textId="77777777" w:rsidR="004B42BB" w:rsidRPr="00FE5BCB" w:rsidRDefault="004B42BB" w:rsidP="004B42BB">
      <w:pPr>
        <w:pStyle w:val="Pr-formataoHTML"/>
        <w:spacing w:line="276" w:lineRule="auto"/>
        <w:jc w:val="both"/>
        <w:rPr>
          <w:rFonts w:ascii="Arial" w:hAnsi="Arial" w:cs="Arial"/>
          <w:color w:val="222222"/>
          <w:lang w:val="pt-PT"/>
        </w:rPr>
      </w:pPr>
    </w:p>
    <w:p w14:paraId="1531BE5B" w14:textId="77777777" w:rsidR="004B42BB" w:rsidRPr="00FE5BCB" w:rsidRDefault="004B42BB" w:rsidP="004B42BB">
      <w:pPr>
        <w:pStyle w:val="Pr-formataoHTML"/>
        <w:spacing w:line="276" w:lineRule="auto"/>
        <w:jc w:val="both"/>
        <w:rPr>
          <w:rFonts w:ascii="Arial" w:hAnsi="Arial" w:cs="Arial"/>
          <w:color w:val="222222"/>
        </w:rPr>
      </w:pPr>
      <w:r w:rsidRPr="00FE5BCB">
        <w:rPr>
          <w:rFonts w:ascii="Arial" w:hAnsi="Arial" w:cs="Arial"/>
          <w:color w:val="222222"/>
          <w:lang w:val="pt-PT"/>
        </w:rPr>
        <w:t xml:space="preserve">O desempenho varia dentro da região no ODS 4: Educação, ODS 5: Igualdade de Gênero e ODS 16: Paz e Instituições. No ODS 4: Educação, por exemplo, quase todos os países das regiões estão a dez pontos da meta de alfabetização feminina e a retenção na escola primária é geralmente alta; mas a Nicarágua está 20 pontos abaixo do próximo país mais baixo em progressão do ensino fundamental para meninas; e Guatemala e Nicarágua estão perto de dez pontos abaixo do próximo país com o menor nível de alfabetização. E há uma grande variação no indicador 4b: </w:t>
      </w:r>
      <w:proofErr w:type="spellStart"/>
      <w:r w:rsidRPr="00FE5BCB">
        <w:rPr>
          <w:rFonts w:ascii="Arial" w:hAnsi="Arial" w:cs="Arial"/>
          <w:color w:val="222222"/>
          <w:lang w:val="pt-PT"/>
        </w:rPr>
        <w:t>porcentagem</w:t>
      </w:r>
      <w:proofErr w:type="spellEnd"/>
      <w:r w:rsidRPr="00FE5BCB">
        <w:rPr>
          <w:rFonts w:ascii="Arial" w:hAnsi="Arial" w:cs="Arial"/>
          <w:color w:val="222222"/>
          <w:lang w:val="pt-PT"/>
        </w:rPr>
        <w:t xml:space="preserve"> de mulheres jovens de 3 a 5 anos acima da idade de conclusão do ensino médio que concluíram o ensino médio, onde apenas o Chile, a Jamaica e o Peru estão dentro dos 20 anos. pontos de gol; O Brasil é o país com a classificação mais baixa no indicador e, surpreendentemente, o Uruguai, o país com a maior pontuação geral na região, é a quarta mais baixa nesse indicador.</w:t>
      </w:r>
    </w:p>
    <w:p w14:paraId="30605B30" w14:textId="77777777" w:rsidR="004B42BB" w:rsidRPr="00FE5BCB" w:rsidRDefault="004B42BB" w:rsidP="004B42BB">
      <w:pPr>
        <w:autoSpaceDE w:val="0"/>
        <w:autoSpaceDN w:val="0"/>
        <w:adjustRightInd w:val="0"/>
        <w:spacing w:after="0"/>
        <w:jc w:val="both"/>
        <w:rPr>
          <w:rFonts w:ascii="Arial" w:hAnsi="Arial" w:cs="Arial"/>
          <w:sz w:val="20"/>
          <w:szCs w:val="20"/>
        </w:rPr>
      </w:pPr>
    </w:p>
    <w:p w14:paraId="7B9707C4" w14:textId="77777777" w:rsidR="004B42BB" w:rsidRPr="00FE5BCB" w:rsidRDefault="004B42BB" w:rsidP="004B42BB">
      <w:pPr>
        <w:pStyle w:val="Pr-formataoHTML"/>
        <w:spacing w:line="276" w:lineRule="auto"/>
        <w:jc w:val="both"/>
        <w:rPr>
          <w:rFonts w:ascii="Arial" w:hAnsi="Arial" w:cs="Arial"/>
          <w:color w:val="222222"/>
        </w:rPr>
      </w:pPr>
      <w:r w:rsidRPr="00FE5BCB">
        <w:rPr>
          <w:rFonts w:ascii="Arial" w:hAnsi="Arial" w:cs="Arial"/>
          <w:color w:val="222222"/>
          <w:lang w:val="pt-PT"/>
        </w:rPr>
        <w:t xml:space="preserve">A região tem um desempenho relativamente bom em comparação com outras regiões em termos de indicadores de casamento precoce e </w:t>
      </w:r>
      <w:proofErr w:type="spellStart"/>
      <w:r w:rsidRPr="00FE5BCB">
        <w:rPr>
          <w:rFonts w:ascii="Arial" w:hAnsi="Arial" w:cs="Arial"/>
          <w:color w:val="222222"/>
          <w:lang w:val="pt-PT"/>
        </w:rPr>
        <w:t>percepções</w:t>
      </w:r>
      <w:proofErr w:type="spellEnd"/>
      <w:r w:rsidRPr="00FE5BCB">
        <w:rPr>
          <w:rFonts w:ascii="Arial" w:hAnsi="Arial" w:cs="Arial"/>
          <w:color w:val="222222"/>
          <w:lang w:val="pt-PT"/>
        </w:rPr>
        <w:t xml:space="preserve"> de violência por parceiro íntimo, com </w:t>
      </w:r>
      <w:r w:rsidRPr="00FE5BCB">
        <w:rPr>
          <w:rFonts w:ascii="Arial" w:hAnsi="Arial" w:cs="Arial"/>
          <w:color w:val="222222"/>
          <w:lang w:val="pt-PT"/>
        </w:rPr>
        <w:lastRenderedPageBreak/>
        <w:t>exceções como altas taxas de casamento precoce na República Dominicana, Honduras e Nicarágua, bem como altas taxas de aceitação de violência por parceiro íntimo no Equador e no Peru. A região está se saindo muito bem em comparação com outras regiões em termos de indicadores relacionados à participação das mulheres no governo - vários países da América Latina e do Caribe atingiram ou excederam a paridade nos parlamentos nacionais - mas, em média, todas as regiões estão bem abaixo da paridade. No entanto, a região fica para trás com o indicador 5c: grau em que existem motivos para o aborto legal (pontuação), com 16 países da região com restrições legais significativas ao aborto; a região é a mais baixa em desempenho no mundo nessa medida fundamental para a saúde da mulher e a capacidade de tomada de decisão.</w:t>
      </w:r>
    </w:p>
    <w:p w14:paraId="6C11E768" w14:textId="77777777" w:rsidR="004B42BB" w:rsidRPr="00FE5BCB" w:rsidRDefault="004B42BB" w:rsidP="004B42BB">
      <w:pPr>
        <w:autoSpaceDE w:val="0"/>
        <w:autoSpaceDN w:val="0"/>
        <w:adjustRightInd w:val="0"/>
        <w:spacing w:after="0"/>
        <w:jc w:val="both"/>
        <w:rPr>
          <w:rFonts w:ascii="Arial" w:hAnsi="Arial" w:cs="Arial"/>
          <w:sz w:val="20"/>
          <w:szCs w:val="20"/>
          <w:shd w:val="clear" w:color="auto" w:fill="FFFFFF"/>
        </w:rPr>
      </w:pPr>
    </w:p>
    <w:p w14:paraId="05E76EB4" w14:textId="77777777" w:rsidR="004B42BB" w:rsidRPr="00FE5BCB" w:rsidRDefault="004B42BB" w:rsidP="004B42BB">
      <w:pPr>
        <w:autoSpaceDE w:val="0"/>
        <w:autoSpaceDN w:val="0"/>
        <w:adjustRightInd w:val="0"/>
        <w:spacing w:after="0"/>
        <w:jc w:val="both"/>
        <w:rPr>
          <w:rFonts w:ascii="Arial" w:hAnsi="Arial" w:cs="Arial"/>
          <w:sz w:val="20"/>
          <w:szCs w:val="20"/>
        </w:rPr>
      </w:pPr>
      <w:r w:rsidRPr="00FE5BCB">
        <w:rPr>
          <w:rFonts w:ascii="Arial" w:hAnsi="Arial" w:cs="Arial"/>
          <w:sz w:val="20"/>
          <w:szCs w:val="20"/>
        </w:rPr>
        <w:t>Informe Executivo do Relatório/Acórdão/Decisão disponível em língua espanhola:</w:t>
      </w:r>
    </w:p>
    <w:p w14:paraId="1A8EB4DA" w14:textId="77777777" w:rsidR="004B42BB" w:rsidRPr="00FE5BCB" w:rsidRDefault="004B42BB" w:rsidP="004B42BB">
      <w:pPr>
        <w:autoSpaceDE w:val="0"/>
        <w:autoSpaceDN w:val="0"/>
        <w:adjustRightInd w:val="0"/>
        <w:spacing w:after="0"/>
        <w:jc w:val="both"/>
        <w:rPr>
          <w:rFonts w:ascii="Arial" w:hAnsi="Arial" w:cs="Arial"/>
          <w:sz w:val="20"/>
          <w:szCs w:val="20"/>
        </w:rPr>
      </w:pPr>
    </w:p>
    <w:p w14:paraId="6FBCD148" w14:textId="77777777" w:rsidR="004B42BB" w:rsidRPr="00FE5BCB" w:rsidRDefault="004B42BB" w:rsidP="004B42BB">
      <w:pPr>
        <w:autoSpaceDE w:val="0"/>
        <w:autoSpaceDN w:val="0"/>
        <w:adjustRightInd w:val="0"/>
        <w:spacing w:after="0"/>
        <w:jc w:val="both"/>
        <w:rPr>
          <w:rFonts w:ascii="Arial" w:hAnsi="Arial" w:cs="Arial"/>
          <w:sz w:val="20"/>
          <w:szCs w:val="20"/>
        </w:rPr>
      </w:pPr>
      <w:hyperlink r:id="rId17" w:history="1">
        <w:r w:rsidRPr="00FE5BCB">
          <w:rPr>
            <w:rStyle w:val="Hyperlink"/>
            <w:rFonts w:ascii="Arial" w:hAnsi="Arial" w:cs="Arial"/>
            <w:sz w:val="20"/>
            <w:szCs w:val="20"/>
          </w:rPr>
          <w:t>https://www.olacefs.com/wp-content/uploads/2019/09/INFORME-ODS-5.pdf</w:t>
        </w:r>
      </w:hyperlink>
    </w:p>
    <w:p w14:paraId="39B598F0" w14:textId="77777777" w:rsidR="004B42BB" w:rsidRPr="00FE5BCB" w:rsidRDefault="004B42BB" w:rsidP="004B42BB">
      <w:pPr>
        <w:autoSpaceDE w:val="0"/>
        <w:autoSpaceDN w:val="0"/>
        <w:adjustRightInd w:val="0"/>
        <w:spacing w:after="0"/>
        <w:jc w:val="both"/>
        <w:rPr>
          <w:rFonts w:ascii="Arial" w:hAnsi="Arial" w:cs="Arial"/>
          <w:sz w:val="20"/>
          <w:szCs w:val="20"/>
        </w:rPr>
      </w:pPr>
    </w:p>
    <w:p w14:paraId="142BC533" w14:textId="77777777" w:rsidR="004B42BB" w:rsidRPr="00FE5BCB" w:rsidRDefault="004B42BB" w:rsidP="004B42BB">
      <w:pPr>
        <w:pBdr>
          <w:bottom w:val="double" w:sz="4" w:space="1" w:color="800000"/>
        </w:pBdr>
        <w:rPr>
          <w:rFonts w:ascii="Arial" w:hAnsi="Arial" w:cs="Arial"/>
          <w:b/>
          <w:sz w:val="20"/>
          <w:szCs w:val="20"/>
        </w:rPr>
      </w:pPr>
      <w:r w:rsidRPr="00FE5BCB">
        <w:rPr>
          <w:rFonts w:ascii="Arial" w:hAnsi="Arial" w:cs="Arial"/>
          <w:b/>
          <w:sz w:val="20"/>
          <w:szCs w:val="20"/>
        </w:rPr>
        <w:t xml:space="preserve">2 -   </w:t>
      </w:r>
      <w:r w:rsidRPr="00FE5BCB">
        <w:rPr>
          <w:rFonts w:ascii="Arial" w:hAnsi="Arial" w:cs="Arial"/>
          <w:b/>
          <w:sz w:val="20"/>
          <w:szCs w:val="20"/>
          <w:shd w:val="clear" w:color="auto" w:fill="FFFFFF"/>
        </w:rPr>
        <w:t xml:space="preserve">AUDITORIA COORDENADA – </w:t>
      </w:r>
      <w:r>
        <w:rPr>
          <w:rFonts w:ascii="Arial" w:hAnsi="Arial" w:cs="Arial"/>
          <w:b/>
          <w:sz w:val="20"/>
          <w:szCs w:val="20"/>
          <w:shd w:val="clear" w:color="auto" w:fill="FFFFFF"/>
        </w:rPr>
        <w:t>Á</w:t>
      </w:r>
      <w:r w:rsidRPr="00FE5BCB">
        <w:rPr>
          <w:rFonts w:ascii="Arial" w:hAnsi="Arial" w:cs="Arial"/>
          <w:b/>
          <w:sz w:val="20"/>
          <w:szCs w:val="20"/>
          <w:shd w:val="clear" w:color="auto" w:fill="FFFFFF"/>
        </w:rPr>
        <w:t>REAS PROTEGIDAS DA AMERICA LATINA</w:t>
      </w:r>
      <w:r w:rsidRPr="00FE5BCB">
        <w:rPr>
          <w:rFonts w:ascii="Arial" w:hAnsi="Arial" w:cs="Arial"/>
          <w:b/>
          <w:sz w:val="20"/>
          <w:szCs w:val="20"/>
        </w:rPr>
        <w:t xml:space="preserve">  </w:t>
      </w:r>
    </w:p>
    <w:p w14:paraId="6E390087" w14:textId="77777777" w:rsidR="004B42BB" w:rsidRPr="00DD2220" w:rsidRDefault="004B42BB" w:rsidP="004B42BB">
      <w:pPr>
        <w:autoSpaceDE w:val="0"/>
        <w:autoSpaceDN w:val="0"/>
        <w:adjustRightInd w:val="0"/>
        <w:spacing w:after="0"/>
        <w:jc w:val="both"/>
        <w:rPr>
          <w:rFonts w:ascii="Arial" w:hAnsi="Arial" w:cs="Arial"/>
          <w:sz w:val="20"/>
          <w:szCs w:val="20"/>
          <w:shd w:val="clear" w:color="auto" w:fill="FFFFFF"/>
        </w:rPr>
      </w:pPr>
    </w:p>
    <w:p w14:paraId="1BD6346E" w14:textId="77777777" w:rsidR="004B42BB" w:rsidRPr="00FE5BCB" w:rsidRDefault="004B42BB" w:rsidP="004B42BB">
      <w:pPr>
        <w:autoSpaceDE w:val="0"/>
        <w:autoSpaceDN w:val="0"/>
        <w:adjustRightInd w:val="0"/>
        <w:spacing w:after="0"/>
        <w:jc w:val="both"/>
        <w:rPr>
          <w:rFonts w:ascii="Arial" w:hAnsi="Arial" w:cs="Arial"/>
          <w:sz w:val="20"/>
          <w:szCs w:val="20"/>
        </w:rPr>
      </w:pPr>
      <w:r w:rsidRPr="00FE5BCB">
        <w:rPr>
          <w:rFonts w:ascii="Arial" w:hAnsi="Arial" w:cs="Arial"/>
          <w:sz w:val="20"/>
          <w:szCs w:val="20"/>
          <w:shd w:val="clear" w:color="auto" w:fill="FFFFFF"/>
        </w:rPr>
        <w:t xml:space="preserve">Publicação original acessível em:  </w:t>
      </w:r>
      <w:hyperlink r:id="rId18" w:history="1">
        <w:r w:rsidRPr="00FE5BCB">
          <w:rPr>
            <w:rStyle w:val="Hyperlink"/>
            <w:rFonts w:ascii="Arial" w:hAnsi="Arial" w:cs="Arial"/>
            <w:sz w:val="20"/>
            <w:szCs w:val="20"/>
          </w:rPr>
          <w:t>https://www.olacefs.com/auditorias-coordinadas/</w:t>
        </w:r>
      </w:hyperlink>
    </w:p>
    <w:p w14:paraId="03A61D55" w14:textId="77777777" w:rsidR="004B42BB" w:rsidRPr="00FE5BCB" w:rsidRDefault="004B42BB" w:rsidP="004B42BB">
      <w:pPr>
        <w:autoSpaceDE w:val="0"/>
        <w:autoSpaceDN w:val="0"/>
        <w:adjustRightInd w:val="0"/>
        <w:spacing w:after="0"/>
        <w:jc w:val="both"/>
        <w:rPr>
          <w:rFonts w:ascii="Arial" w:hAnsi="Arial" w:cs="Arial"/>
          <w:sz w:val="20"/>
          <w:szCs w:val="20"/>
        </w:rPr>
      </w:pPr>
    </w:p>
    <w:p w14:paraId="16BFF04B" w14:textId="07A02362" w:rsidR="004B42BB" w:rsidRDefault="004B42BB" w:rsidP="004B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color w:val="222222"/>
          <w:sz w:val="20"/>
          <w:szCs w:val="20"/>
          <w:lang w:val="pt-PT" w:eastAsia="pt-BR"/>
        </w:rPr>
      </w:pPr>
      <w:r w:rsidRPr="003741AD">
        <w:rPr>
          <w:rFonts w:ascii="Arial" w:eastAsia="Times New Roman" w:hAnsi="Arial" w:cs="Arial"/>
          <w:color w:val="222222"/>
          <w:sz w:val="20"/>
          <w:szCs w:val="20"/>
          <w:lang w:val="pt-PT" w:eastAsia="pt-BR"/>
        </w:rPr>
        <w:t>As auditorias coordenadas têm</w:t>
      </w:r>
      <w:r w:rsidRPr="00FE5BCB">
        <w:rPr>
          <w:rFonts w:ascii="Arial" w:eastAsia="Times New Roman" w:hAnsi="Arial" w:cs="Arial"/>
          <w:color w:val="222222"/>
          <w:sz w:val="20"/>
          <w:szCs w:val="20"/>
          <w:lang w:val="pt-PT" w:eastAsia="pt-BR"/>
        </w:rPr>
        <w:t xml:space="preserve"> sido </w:t>
      </w:r>
      <w:r w:rsidR="00FA1B32" w:rsidRPr="003741AD">
        <w:rPr>
          <w:rFonts w:ascii="Arial" w:eastAsia="Times New Roman" w:hAnsi="Arial" w:cs="Arial"/>
          <w:color w:val="222222"/>
          <w:sz w:val="20"/>
          <w:szCs w:val="20"/>
          <w:lang w:val="pt-PT" w:eastAsia="pt-BR"/>
        </w:rPr>
        <w:t>utilizad</w:t>
      </w:r>
      <w:r w:rsidR="00FA1B32" w:rsidRPr="00FE5BCB">
        <w:rPr>
          <w:rFonts w:ascii="Arial" w:eastAsia="Times New Roman" w:hAnsi="Arial" w:cs="Arial"/>
          <w:color w:val="222222"/>
          <w:sz w:val="20"/>
          <w:szCs w:val="20"/>
          <w:lang w:val="pt-PT" w:eastAsia="pt-BR"/>
        </w:rPr>
        <w:t>as</w:t>
      </w:r>
      <w:r w:rsidRPr="003741AD">
        <w:rPr>
          <w:rFonts w:ascii="Arial" w:eastAsia="Times New Roman" w:hAnsi="Arial" w:cs="Arial"/>
          <w:color w:val="222222"/>
          <w:sz w:val="20"/>
          <w:szCs w:val="20"/>
          <w:lang w:val="pt-PT" w:eastAsia="pt-BR"/>
        </w:rPr>
        <w:t xml:space="preserve"> pelas </w:t>
      </w:r>
      <w:r w:rsidRPr="00FE5BCB">
        <w:rPr>
          <w:rFonts w:ascii="Arial" w:eastAsia="Times New Roman" w:hAnsi="Arial" w:cs="Arial"/>
          <w:color w:val="222222"/>
          <w:sz w:val="20"/>
          <w:szCs w:val="20"/>
          <w:lang w:val="pt-PT" w:eastAsia="pt-BR"/>
        </w:rPr>
        <w:t>E</w:t>
      </w:r>
      <w:r w:rsidRPr="003741AD">
        <w:rPr>
          <w:rFonts w:ascii="Arial" w:eastAsia="Times New Roman" w:hAnsi="Arial" w:cs="Arial"/>
          <w:color w:val="222222"/>
          <w:sz w:val="20"/>
          <w:szCs w:val="20"/>
          <w:lang w:val="pt-PT" w:eastAsia="pt-BR"/>
        </w:rPr>
        <w:t>ntidades de Fis</w:t>
      </w:r>
      <w:r w:rsidRPr="00FE5BCB">
        <w:rPr>
          <w:rFonts w:ascii="Arial" w:eastAsia="Times New Roman" w:hAnsi="Arial" w:cs="Arial"/>
          <w:color w:val="222222"/>
          <w:sz w:val="20"/>
          <w:szCs w:val="20"/>
          <w:lang w:val="pt-PT" w:eastAsia="pt-BR"/>
        </w:rPr>
        <w:t>calização Superior (</w:t>
      </w:r>
      <w:r w:rsidRPr="003741AD">
        <w:rPr>
          <w:rFonts w:ascii="Arial" w:eastAsia="Times New Roman" w:hAnsi="Arial" w:cs="Arial"/>
          <w:color w:val="222222"/>
          <w:sz w:val="20"/>
          <w:szCs w:val="20"/>
          <w:lang w:val="pt-PT" w:eastAsia="pt-BR"/>
        </w:rPr>
        <w:t>EFS) como um</w:t>
      </w:r>
      <w:r w:rsidRPr="00FE5BCB">
        <w:rPr>
          <w:rFonts w:ascii="Arial" w:eastAsia="Times New Roman" w:hAnsi="Arial" w:cs="Arial"/>
          <w:color w:val="222222"/>
          <w:sz w:val="20"/>
          <w:szCs w:val="20"/>
          <w:lang w:val="pt-PT" w:eastAsia="pt-BR"/>
        </w:rPr>
        <w:t>a</w:t>
      </w:r>
      <w:r w:rsidRPr="003741AD">
        <w:rPr>
          <w:rFonts w:ascii="Arial" w:eastAsia="Times New Roman" w:hAnsi="Arial" w:cs="Arial"/>
          <w:color w:val="222222"/>
          <w:sz w:val="20"/>
          <w:szCs w:val="20"/>
          <w:lang w:val="pt-PT" w:eastAsia="pt-BR"/>
        </w:rPr>
        <w:t xml:space="preserve"> das ferramentas para contribuir para o</w:t>
      </w:r>
      <w:r w:rsidRPr="00FE5BCB">
        <w:rPr>
          <w:rFonts w:ascii="Arial" w:eastAsia="Times New Roman" w:hAnsi="Arial" w:cs="Arial"/>
          <w:color w:val="222222"/>
          <w:sz w:val="20"/>
          <w:szCs w:val="20"/>
          <w:lang w:val="pt-PT" w:eastAsia="pt-BR"/>
        </w:rPr>
        <w:t xml:space="preserve"> melhoramento d</w:t>
      </w:r>
      <w:r w:rsidRPr="003741AD">
        <w:rPr>
          <w:rFonts w:ascii="Arial" w:eastAsia="Times New Roman" w:hAnsi="Arial" w:cs="Arial"/>
          <w:color w:val="222222"/>
          <w:sz w:val="20"/>
          <w:szCs w:val="20"/>
          <w:lang w:val="pt-PT" w:eastAsia="pt-BR"/>
        </w:rPr>
        <w:t>a gestão e governança do</w:t>
      </w:r>
      <w:r w:rsidRPr="00FE5BCB">
        <w:rPr>
          <w:rFonts w:ascii="Arial" w:eastAsia="Times New Roman" w:hAnsi="Arial" w:cs="Arial"/>
          <w:color w:val="222222"/>
          <w:sz w:val="20"/>
          <w:szCs w:val="20"/>
          <w:lang w:val="pt-PT" w:eastAsia="pt-BR"/>
        </w:rPr>
        <w:t xml:space="preserve"> </w:t>
      </w:r>
      <w:r w:rsidRPr="003741AD">
        <w:rPr>
          <w:rFonts w:ascii="Arial" w:eastAsia="Times New Roman" w:hAnsi="Arial" w:cs="Arial"/>
          <w:color w:val="222222"/>
          <w:sz w:val="20"/>
          <w:szCs w:val="20"/>
          <w:lang w:val="pt-PT" w:eastAsia="pt-BR"/>
        </w:rPr>
        <w:t>setor público</w:t>
      </w:r>
      <w:r w:rsidRPr="00FE5BCB">
        <w:rPr>
          <w:rFonts w:ascii="Arial" w:eastAsia="Times New Roman" w:hAnsi="Arial" w:cs="Arial"/>
          <w:color w:val="222222"/>
          <w:sz w:val="20"/>
          <w:szCs w:val="20"/>
          <w:lang w:val="pt-PT" w:eastAsia="pt-BR"/>
        </w:rPr>
        <w:t xml:space="preserve">. </w:t>
      </w:r>
      <w:r w:rsidRPr="001A5146">
        <w:rPr>
          <w:rFonts w:ascii="Arial" w:eastAsia="Times New Roman" w:hAnsi="Arial" w:cs="Arial"/>
          <w:color w:val="222222"/>
          <w:sz w:val="20"/>
          <w:szCs w:val="20"/>
          <w:lang w:val="pt-PT" w:eastAsia="pt-BR"/>
        </w:rPr>
        <w:t>Dessa forma, as atividades coor</w:t>
      </w:r>
      <w:r w:rsidRPr="00FE5BCB">
        <w:rPr>
          <w:rFonts w:ascii="Arial" w:eastAsia="Times New Roman" w:hAnsi="Arial" w:cs="Arial"/>
          <w:color w:val="222222"/>
          <w:sz w:val="20"/>
          <w:szCs w:val="20"/>
          <w:lang w:val="pt-PT" w:eastAsia="pt-BR"/>
        </w:rPr>
        <w:t xml:space="preserve">denadas de fiscalização </w:t>
      </w:r>
      <w:r w:rsidRPr="001A5146">
        <w:rPr>
          <w:rFonts w:ascii="Arial" w:eastAsia="Times New Roman" w:hAnsi="Arial" w:cs="Arial"/>
          <w:color w:val="222222"/>
          <w:sz w:val="20"/>
          <w:szCs w:val="20"/>
          <w:lang w:val="pt-PT" w:eastAsia="pt-BR"/>
        </w:rPr>
        <w:t>são apresentadas</w:t>
      </w:r>
      <w:r w:rsidRPr="00FE5BCB">
        <w:rPr>
          <w:rFonts w:ascii="Arial" w:eastAsia="Times New Roman" w:hAnsi="Arial" w:cs="Arial"/>
          <w:color w:val="222222"/>
          <w:sz w:val="20"/>
          <w:szCs w:val="20"/>
          <w:lang w:val="pt-PT" w:eastAsia="pt-BR"/>
        </w:rPr>
        <w:t xml:space="preserve"> </w:t>
      </w:r>
      <w:r w:rsidRPr="001A5146">
        <w:rPr>
          <w:rFonts w:ascii="Arial" w:eastAsia="Times New Roman" w:hAnsi="Arial" w:cs="Arial"/>
          <w:color w:val="222222"/>
          <w:sz w:val="20"/>
          <w:szCs w:val="20"/>
          <w:lang w:val="pt-PT" w:eastAsia="pt-BR"/>
        </w:rPr>
        <w:t>como alternativa para induzir o aprimoramento de políticas públicas, em</w:t>
      </w:r>
      <w:r w:rsidRPr="00FE5BCB">
        <w:rPr>
          <w:rFonts w:ascii="Arial" w:eastAsia="Times New Roman" w:hAnsi="Arial" w:cs="Arial"/>
          <w:color w:val="222222"/>
          <w:sz w:val="20"/>
          <w:szCs w:val="20"/>
          <w:lang w:val="pt-PT" w:eastAsia="pt-BR"/>
        </w:rPr>
        <w:t xml:space="preserve"> </w:t>
      </w:r>
      <w:r w:rsidRPr="001A5146">
        <w:rPr>
          <w:rFonts w:ascii="Arial" w:eastAsia="Times New Roman" w:hAnsi="Arial" w:cs="Arial"/>
          <w:color w:val="222222"/>
          <w:sz w:val="20"/>
          <w:szCs w:val="20"/>
          <w:lang w:val="pt-PT" w:eastAsia="pt-BR"/>
        </w:rPr>
        <w:t>questões ambientais especiais que</w:t>
      </w:r>
      <w:r w:rsidRPr="00FE5BCB">
        <w:rPr>
          <w:rFonts w:ascii="Arial" w:eastAsia="Times New Roman" w:hAnsi="Arial" w:cs="Arial"/>
          <w:color w:val="222222"/>
          <w:sz w:val="20"/>
          <w:szCs w:val="20"/>
          <w:lang w:val="pt-PT" w:eastAsia="pt-BR"/>
        </w:rPr>
        <w:t xml:space="preserve"> </w:t>
      </w:r>
      <w:r w:rsidRPr="001A5146">
        <w:rPr>
          <w:rFonts w:ascii="Arial" w:eastAsia="Times New Roman" w:hAnsi="Arial" w:cs="Arial"/>
          <w:color w:val="222222"/>
          <w:sz w:val="20"/>
          <w:szCs w:val="20"/>
          <w:lang w:val="pt-PT" w:eastAsia="pt-BR"/>
        </w:rPr>
        <w:t xml:space="preserve">são </w:t>
      </w:r>
      <w:proofErr w:type="spellStart"/>
      <w:r w:rsidRPr="001A5146">
        <w:rPr>
          <w:rFonts w:ascii="Arial" w:eastAsia="Times New Roman" w:hAnsi="Arial" w:cs="Arial"/>
          <w:color w:val="222222"/>
          <w:sz w:val="20"/>
          <w:szCs w:val="20"/>
          <w:lang w:val="pt-PT" w:eastAsia="pt-BR"/>
        </w:rPr>
        <w:t>intersetoriais</w:t>
      </w:r>
      <w:proofErr w:type="spellEnd"/>
      <w:r w:rsidRPr="001A5146">
        <w:rPr>
          <w:rFonts w:ascii="Arial" w:eastAsia="Times New Roman" w:hAnsi="Arial" w:cs="Arial"/>
          <w:color w:val="222222"/>
          <w:sz w:val="20"/>
          <w:szCs w:val="20"/>
          <w:lang w:val="pt-PT" w:eastAsia="pt-BR"/>
        </w:rPr>
        <w:t xml:space="preserve"> e transfronteiriços,</w:t>
      </w:r>
      <w:r w:rsidRPr="00FE5BCB">
        <w:rPr>
          <w:rFonts w:ascii="Arial" w:eastAsia="Times New Roman" w:hAnsi="Arial" w:cs="Arial"/>
          <w:color w:val="222222"/>
          <w:sz w:val="20"/>
          <w:szCs w:val="20"/>
          <w:lang w:val="pt-PT" w:eastAsia="pt-BR"/>
        </w:rPr>
        <w:t xml:space="preserve"> </w:t>
      </w:r>
      <w:r w:rsidRPr="001A5146">
        <w:rPr>
          <w:rFonts w:ascii="Arial" w:eastAsia="Times New Roman" w:hAnsi="Arial" w:cs="Arial"/>
          <w:color w:val="222222"/>
          <w:sz w:val="20"/>
          <w:szCs w:val="20"/>
          <w:lang w:val="pt-PT" w:eastAsia="pt-BR"/>
        </w:rPr>
        <w:t>que requer a conclusão do trabalho</w:t>
      </w:r>
      <w:r w:rsidRPr="00FE5BCB">
        <w:rPr>
          <w:rFonts w:ascii="Arial" w:eastAsia="Times New Roman" w:hAnsi="Arial" w:cs="Arial"/>
          <w:color w:val="222222"/>
          <w:sz w:val="20"/>
          <w:szCs w:val="20"/>
          <w:lang w:val="pt-PT" w:eastAsia="pt-BR"/>
        </w:rPr>
        <w:t xml:space="preserve"> con</w:t>
      </w:r>
      <w:r w:rsidRPr="001A5146">
        <w:rPr>
          <w:rFonts w:ascii="Arial" w:eastAsia="Times New Roman" w:hAnsi="Arial" w:cs="Arial"/>
          <w:color w:val="222222"/>
          <w:sz w:val="20"/>
          <w:szCs w:val="20"/>
          <w:lang w:val="pt-PT" w:eastAsia="pt-BR"/>
        </w:rPr>
        <w:t>juntamente com diferentes países e</w:t>
      </w:r>
      <w:r w:rsidRPr="00FE5BCB">
        <w:rPr>
          <w:rFonts w:ascii="Arial" w:eastAsia="Times New Roman" w:hAnsi="Arial" w:cs="Arial"/>
          <w:color w:val="222222"/>
          <w:sz w:val="20"/>
          <w:szCs w:val="20"/>
          <w:lang w:val="pt-PT" w:eastAsia="pt-BR"/>
        </w:rPr>
        <w:t xml:space="preserve"> </w:t>
      </w:r>
      <w:r w:rsidRPr="001A5146">
        <w:rPr>
          <w:rFonts w:ascii="Arial" w:eastAsia="Times New Roman" w:hAnsi="Arial" w:cs="Arial"/>
          <w:color w:val="222222"/>
          <w:sz w:val="20"/>
          <w:szCs w:val="20"/>
          <w:lang w:val="pt-PT" w:eastAsia="pt-BR"/>
        </w:rPr>
        <w:t>regiões.</w:t>
      </w:r>
    </w:p>
    <w:p w14:paraId="5C721961" w14:textId="77777777" w:rsidR="004B42BB" w:rsidRPr="001A5146" w:rsidRDefault="004B42BB" w:rsidP="004B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color w:val="222222"/>
          <w:sz w:val="20"/>
          <w:szCs w:val="20"/>
          <w:lang w:eastAsia="pt-BR"/>
        </w:rPr>
      </w:pPr>
    </w:p>
    <w:p w14:paraId="2044778E" w14:textId="77777777" w:rsidR="004B42BB" w:rsidRPr="009867B9" w:rsidRDefault="004B42BB" w:rsidP="004B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color w:val="222222"/>
          <w:sz w:val="20"/>
          <w:szCs w:val="20"/>
          <w:lang w:val="pt-PT" w:eastAsia="pt-BR"/>
        </w:rPr>
      </w:pPr>
      <w:r w:rsidRPr="009867B9">
        <w:rPr>
          <w:rFonts w:ascii="Arial" w:eastAsia="Times New Roman" w:hAnsi="Arial" w:cs="Arial"/>
          <w:color w:val="222222"/>
          <w:sz w:val="20"/>
          <w:szCs w:val="20"/>
          <w:lang w:val="pt-PT" w:eastAsia="pt-BR"/>
        </w:rPr>
        <w:t xml:space="preserve">Nesse contexto, </w:t>
      </w:r>
      <w:r w:rsidRPr="00FE5BCB">
        <w:rPr>
          <w:rFonts w:ascii="Arial" w:eastAsia="Times New Roman" w:hAnsi="Arial" w:cs="Arial"/>
          <w:color w:val="222222"/>
          <w:sz w:val="20"/>
          <w:szCs w:val="20"/>
          <w:lang w:val="pt-PT" w:eastAsia="pt-BR"/>
        </w:rPr>
        <w:t xml:space="preserve">surge </w:t>
      </w:r>
      <w:r w:rsidRPr="009867B9">
        <w:rPr>
          <w:rFonts w:ascii="Arial" w:eastAsia="Times New Roman" w:hAnsi="Arial" w:cs="Arial"/>
          <w:color w:val="222222"/>
          <w:sz w:val="20"/>
          <w:szCs w:val="20"/>
          <w:lang w:val="pt-PT" w:eastAsia="pt-BR"/>
        </w:rPr>
        <w:t>a auditoria</w:t>
      </w:r>
      <w:r w:rsidRPr="00FE5BCB">
        <w:rPr>
          <w:rFonts w:ascii="Arial" w:eastAsia="Times New Roman" w:hAnsi="Arial" w:cs="Arial"/>
          <w:color w:val="222222"/>
          <w:sz w:val="20"/>
          <w:szCs w:val="20"/>
          <w:lang w:val="pt-PT" w:eastAsia="pt-BR"/>
        </w:rPr>
        <w:t xml:space="preserve"> coordenada em</w:t>
      </w:r>
      <w:r w:rsidRPr="009867B9">
        <w:rPr>
          <w:rFonts w:ascii="Arial" w:eastAsia="Times New Roman" w:hAnsi="Arial" w:cs="Arial"/>
          <w:color w:val="222222"/>
          <w:sz w:val="20"/>
          <w:szCs w:val="20"/>
          <w:lang w:val="pt-PT" w:eastAsia="pt-BR"/>
        </w:rPr>
        <w:t xml:space="preserve"> áreas protegidas,</w:t>
      </w:r>
      <w:r w:rsidRPr="00FE5BCB">
        <w:rPr>
          <w:rFonts w:ascii="Arial" w:eastAsia="Times New Roman" w:hAnsi="Arial" w:cs="Arial"/>
          <w:color w:val="222222"/>
          <w:sz w:val="20"/>
          <w:szCs w:val="20"/>
          <w:lang w:val="pt-PT" w:eastAsia="pt-BR"/>
        </w:rPr>
        <w:t xml:space="preserve"> </w:t>
      </w:r>
      <w:r w:rsidRPr="009867B9">
        <w:rPr>
          <w:rFonts w:ascii="Arial" w:eastAsia="Times New Roman" w:hAnsi="Arial" w:cs="Arial"/>
          <w:color w:val="222222"/>
          <w:sz w:val="20"/>
          <w:szCs w:val="20"/>
          <w:lang w:val="pt-PT" w:eastAsia="pt-BR"/>
        </w:rPr>
        <w:t xml:space="preserve">colaboração entre o </w:t>
      </w:r>
      <w:r w:rsidRPr="00FE5BCB">
        <w:rPr>
          <w:rFonts w:ascii="Arial" w:eastAsia="Times New Roman" w:hAnsi="Arial" w:cs="Arial"/>
          <w:color w:val="222222"/>
          <w:sz w:val="20"/>
          <w:szCs w:val="20"/>
          <w:lang w:val="pt-PT" w:eastAsia="pt-BR"/>
        </w:rPr>
        <w:t>T</w:t>
      </w:r>
      <w:r w:rsidRPr="009867B9">
        <w:rPr>
          <w:rFonts w:ascii="Arial" w:eastAsia="Times New Roman" w:hAnsi="Arial" w:cs="Arial"/>
          <w:color w:val="222222"/>
          <w:sz w:val="20"/>
          <w:szCs w:val="20"/>
          <w:lang w:val="pt-PT" w:eastAsia="pt-BR"/>
        </w:rPr>
        <w:t>ribunal</w:t>
      </w:r>
    </w:p>
    <w:p w14:paraId="7DAB49D7" w14:textId="77777777" w:rsidR="004B42BB" w:rsidRPr="00FE5BCB" w:rsidRDefault="004B42BB" w:rsidP="004B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color w:val="222222"/>
          <w:sz w:val="20"/>
          <w:szCs w:val="20"/>
          <w:lang w:val="pt-PT" w:eastAsia="pt-BR"/>
        </w:rPr>
      </w:pPr>
      <w:r w:rsidRPr="009867B9">
        <w:rPr>
          <w:rFonts w:ascii="Arial" w:eastAsia="Times New Roman" w:hAnsi="Arial" w:cs="Arial"/>
          <w:color w:val="222222"/>
          <w:sz w:val="20"/>
          <w:szCs w:val="20"/>
          <w:lang w:val="pt-PT" w:eastAsia="pt-BR"/>
        </w:rPr>
        <w:t>Contas da União (TCU / Brasil) e</w:t>
      </w:r>
      <w:r w:rsidRPr="00FE5BCB">
        <w:rPr>
          <w:rFonts w:ascii="Arial" w:eastAsia="Times New Roman" w:hAnsi="Arial" w:cs="Arial"/>
          <w:color w:val="222222"/>
          <w:sz w:val="20"/>
          <w:szCs w:val="20"/>
          <w:lang w:val="pt-PT" w:eastAsia="pt-BR"/>
        </w:rPr>
        <w:t xml:space="preserve"> </w:t>
      </w:r>
      <w:r w:rsidRPr="009867B9">
        <w:rPr>
          <w:rFonts w:ascii="Arial" w:eastAsia="Times New Roman" w:hAnsi="Arial" w:cs="Arial"/>
          <w:color w:val="222222"/>
          <w:sz w:val="20"/>
          <w:szCs w:val="20"/>
          <w:lang w:val="pt-PT" w:eastAsia="pt-BR"/>
        </w:rPr>
        <w:t xml:space="preserve">onze </w:t>
      </w:r>
      <w:proofErr w:type="spellStart"/>
      <w:r w:rsidRPr="009867B9">
        <w:rPr>
          <w:rFonts w:ascii="Arial" w:eastAsia="Times New Roman" w:hAnsi="Arial" w:cs="Arial"/>
          <w:color w:val="222222"/>
          <w:sz w:val="20"/>
          <w:szCs w:val="20"/>
          <w:lang w:val="pt-PT" w:eastAsia="pt-BR"/>
        </w:rPr>
        <w:t>SAIs</w:t>
      </w:r>
      <w:proofErr w:type="spellEnd"/>
      <w:r w:rsidRPr="009867B9">
        <w:rPr>
          <w:rFonts w:ascii="Arial" w:eastAsia="Times New Roman" w:hAnsi="Arial" w:cs="Arial"/>
          <w:color w:val="222222"/>
          <w:sz w:val="20"/>
          <w:szCs w:val="20"/>
          <w:lang w:val="pt-PT" w:eastAsia="pt-BR"/>
        </w:rPr>
        <w:t xml:space="preserve"> da América Latina: Argentina,</w:t>
      </w:r>
      <w:r w:rsidRPr="00FE5BCB">
        <w:rPr>
          <w:rFonts w:ascii="Arial" w:eastAsia="Times New Roman" w:hAnsi="Arial" w:cs="Arial"/>
          <w:color w:val="222222"/>
          <w:sz w:val="20"/>
          <w:szCs w:val="20"/>
          <w:lang w:val="pt-PT" w:eastAsia="pt-BR"/>
        </w:rPr>
        <w:t xml:space="preserve"> </w:t>
      </w:r>
      <w:r w:rsidRPr="009867B9">
        <w:rPr>
          <w:rFonts w:ascii="Arial" w:eastAsia="Times New Roman" w:hAnsi="Arial" w:cs="Arial"/>
          <w:color w:val="222222"/>
          <w:sz w:val="20"/>
          <w:szCs w:val="20"/>
          <w:lang w:val="pt-PT" w:eastAsia="pt-BR"/>
        </w:rPr>
        <w:t>Bolívia, Colômbia, Costa Rica, Equador,</w:t>
      </w:r>
      <w:r w:rsidRPr="00FE5BCB">
        <w:rPr>
          <w:rFonts w:ascii="Arial" w:eastAsia="Times New Roman" w:hAnsi="Arial" w:cs="Arial"/>
          <w:color w:val="222222"/>
          <w:sz w:val="20"/>
          <w:szCs w:val="20"/>
          <w:lang w:val="pt-PT" w:eastAsia="pt-BR"/>
        </w:rPr>
        <w:t xml:space="preserve"> </w:t>
      </w:r>
      <w:r w:rsidRPr="009867B9">
        <w:rPr>
          <w:rFonts w:ascii="Arial" w:eastAsia="Times New Roman" w:hAnsi="Arial" w:cs="Arial"/>
          <w:color w:val="222222"/>
          <w:sz w:val="20"/>
          <w:szCs w:val="20"/>
          <w:lang w:val="pt-PT" w:eastAsia="pt-BR"/>
        </w:rPr>
        <w:t>El Salvador, Honduras, México, Paraguai,</w:t>
      </w:r>
      <w:r w:rsidRPr="00FE5BCB">
        <w:rPr>
          <w:rFonts w:ascii="Arial" w:eastAsia="Times New Roman" w:hAnsi="Arial" w:cs="Arial"/>
          <w:color w:val="222222"/>
          <w:sz w:val="20"/>
          <w:szCs w:val="20"/>
          <w:lang w:val="pt-PT" w:eastAsia="pt-BR"/>
        </w:rPr>
        <w:t xml:space="preserve"> </w:t>
      </w:r>
      <w:r w:rsidRPr="009867B9">
        <w:rPr>
          <w:rFonts w:ascii="Arial" w:eastAsia="Times New Roman" w:hAnsi="Arial" w:cs="Arial"/>
          <w:color w:val="222222"/>
          <w:sz w:val="20"/>
          <w:szCs w:val="20"/>
          <w:lang w:val="pt-PT" w:eastAsia="pt-BR"/>
        </w:rPr>
        <w:t>Peru e Venezuela</w:t>
      </w:r>
      <w:r w:rsidRPr="00FE5BCB">
        <w:rPr>
          <w:rFonts w:ascii="Arial" w:eastAsia="Times New Roman" w:hAnsi="Arial" w:cs="Arial"/>
          <w:color w:val="222222"/>
          <w:sz w:val="20"/>
          <w:szCs w:val="20"/>
          <w:lang w:val="pt-PT" w:eastAsia="pt-BR"/>
        </w:rPr>
        <w:t xml:space="preserve">. </w:t>
      </w:r>
    </w:p>
    <w:p w14:paraId="2F3CB358" w14:textId="77777777" w:rsidR="004B42BB" w:rsidRPr="00FE5BCB" w:rsidRDefault="004B42BB" w:rsidP="004B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color w:val="222222"/>
          <w:sz w:val="20"/>
          <w:szCs w:val="20"/>
          <w:lang w:val="pt-PT" w:eastAsia="pt-BR"/>
        </w:rPr>
      </w:pPr>
    </w:p>
    <w:p w14:paraId="46B902B9" w14:textId="77777777" w:rsidR="004B42BB" w:rsidRPr="00FE5BCB" w:rsidRDefault="004B42BB" w:rsidP="004B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color w:val="222222"/>
          <w:sz w:val="20"/>
          <w:szCs w:val="20"/>
          <w:lang w:val="pt-PT" w:eastAsia="pt-BR"/>
        </w:rPr>
      </w:pPr>
      <w:r w:rsidRPr="004C65D9">
        <w:rPr>
          <w:rFonts w:ascii="Arial" w:eastAsia="Times New Roman" w:hAnsi="Arial" w:cs="Arial"/>
          <w:color w:val="222222"/>
          <w:sz w:val="20"/>
          <w:szCs w:val="20"/>
          <w:lang w:val="pt-PT" w:eastAsia="pt-BR"/>
        </w:rPr>
        <w:t>Este trabalho foi realizado dentro da estrutura</w:t>
      </w:r>
      <w:r w:rsidRPr="00FE5BCB">
        <w:rPr>
          <w:rFonts w:ascii="Arial" w:eastAsia="Times New Roman" w:hAnsi="Arial" w:cs="Arial"/>
          <w:color w:val="222222"/>
          <w:sz w:val="20"/>
          <w:szCs w:val="20"/>
          <w:lang w:val="pt-PT" w:eastAsia="pt-BR"/>
        </w:rPr>
        <w:t xml:space="preserve"> </w:t>
      </w:r>
      <w:r w:rsidRPr="004C65D9">
        <w:rPr>
          <w:rFonts w:ascii="Arial" w:eastAsia="Times New Roman" w:hAnsi="Arial" w:cs="Arial"/>
          <w:color w:val="222222"/>
          <w:sz w:val="20"/>
          <w:szCs w:val="20"/>
          <w:lang w:val="pt-PT" w:eastAsia="pt-BR"/>
        </w:rPr>
        <w:t xml:space="preserve">da </w:t>
      </w:r>
      <w:r w:rsidRPr="00FE5BCB">
        <w:rPr>
          <w:rFonts w:ascii="Arial" w:eastAsia="Times New Roman" w:hAnsi="Arial" w:cs="Arial"/>
          <w:color w:val="222222"/>
          <w:sz w:val="20"/>
          <w:szCs w:val="20"/>
          <w:lang w:val="pt-PT" w:eastAsia="pt-BR"/>
        </w:rPr>
        <w:t xml:space="preserve">Comissão Técnica Especial de </w:t>
      </w:r>
      <w:r w:rsidRPr="004C65D9">
        <w:rPr>
          <w:rFonts w:ascii="Arial" w:eastAsia="Times New Roman" w:hAnsi="Arial" w:cs="Arial"/>
          <w:color w:val="222222"/>
          <w:sz w:val="20"/>
          <w:szCs w:val="20"/>
          <w:lang w:val="pt-PT" w:eastAsia="pt-BR"/>
        </w:rPr>
        <w:t xml:space="preserve">Meio Ambiente (COMTEMA) e teve apoio do </w:t>
      </w:r>
      <w:proofErr w:type="spellStart"/>
      <w:r w:rsidRPr="004C65D9">
        <w:rPr>
          <w:rFonts w:ascii="Arial" w:eastAsia="Times New Roman" w:hAnsi="Arial" w:cs="Arial"/>
          <w:color w:val="222222"/>
          <w:sz w:val="20"/>
          <w:szCs w:val="20"/>
          <w:lang w:val="pt-PT" w:eastAsia="pt-BR"/>
        </w:rPr>
        <w:t>Deutsche</w:t>
      </w:r>
      <w:proofErr w:type="spellEnd"/>
      <w:r w:rsidRPr="004C65D9">
        <w:rPr>
          <w:rFonts w:ascii="Arial" w:eastAsia="Times New Roman" w:hAnsi="Arial" w:cs="Arial"/>
          <w:color w:val="222222"/>
          <w:sz w:val="20"/>
          <w:szCs w:val="20"/>
          <w:lang w:val="pt-PT" w:eastAsia="pt-BR"/>
        </w:rPr>
        <w:t xml:space="preserve"> </w:t>
      </w:r>
      <w:proofErr w:type="spellStart"/>
      <w:r w:rsidRPr="004C65D9">
        <w:rPr>
          <w:rFonts w:ascii="Arial" w:eastAsia="Times New Roman" w:hAnsi="Arial" w:cs="Arial"/>
          <w:color w:val="222222"/>
          <w:sz w:val="20"/>
          <w:szCs w:val="20"/>
          <w:lang w:val="pt-PT" w:eastAsia="pt-BR"/>
        </w:rPr>
        <w:t>Gesellschaft</w:t>
      </w:r>
      <w:proofErr w:type="spellEnd"/>
      <w:r w:rsidRPr="004C65D9">
        <w:rPr>
          <w:rFonts w:ascii="Arial" w:eastAsia="Times New Roman" w:hAnsi="Arial" w:cs="Arial"/>
          <w:color w:val="222222"/>
          <w:sz w:val="20"/>
          <w:szCs w:val="20"/>
          <w:lang w:val="pt-PT" w:eastAsia="pt-BR"/>
        </w:rPr>
        <w:t xml:space="preserve"> </w:t>
      </w:r>
      <w:proofErr w:type="spellStart"/>
      <w:r w:rsidRPr="004C65D9">
        <w:rPr>
          <w:rFonts w:ascii="Arial" w:eastAsia="Times New Roman" w:hAnsi="Arial" w:cs="Arial"/>
          <w:color w:val="222222"/>
          <w:sz w:val="20"/>
          <w:szCs w:val="20"/>
          <w:lang w:val="pt-PT" w:eastAsia="pt-BR"/>
        </w:rPr>
        <w:t>für</w:t>
      </w:r>
      <w:proofErr w:type="spellEnd"/>
      <w:r w:rsidRPr="00FE5BCB">
        <w:rPr>
          <w:rFonts w:ascii="Arial" w:eastAsia="Times New Roman" w:hAnsi="Arial" w:cs="Arial"/>
          <w:color w:val="222222"/>
          <w:sz w:val="20"/>
          <w:szCs w:val="20"/>
          <w:lang w:val="pt-PT" w:eastAsia="pt-BR"/>
        </w:rPr>
        <w:t xml:space="preserve"> </w:t>
      </w:r>
      <w:proofErr w:type="spellStart"/>
      <w:r w:rsidRPr="004C65D9">
        <w:rPr>
          <w:rFonts w:ascii="Arial" w:eastAsia="Times New Roman" w:hAnsi="Arial" w:cs="Arial"/>
          <w:color w:val="222222"/>
          <w:sz w:val="20"/>
          <w:szCs w:val="20"/>
          <w:lang w:val="pt-PT" w:eastAsia="pt-BR"/>
        </w:rPr>
        <w:t>Internationale</w:t>
      </w:r>
      <w:proofErr w:type="spellEnd"/>
      <w:r w:rsidRPr="004C65D9">
        <w:rPr>
          <w:rFonts w:ascii="Arial" w:eastAsia="Times New Roman" w:hAnsi="Arial" w:cs="Arial"/>
          <w:color w:val="222222"/>
          <w:sz w:val="20"/>
          <w:szCs w:val="20"/>
          <w:lang w:val="pt-PT" w:eastAsia="pt-BR"/>
        </w:rPr>
        <w:t xml:space="preserve"> </w:t>
      </w:r>
      <w:proofErr w:type="spellStart"/>
      <w:r w:rsidRPr="004C65D9">
        <w:rPr>
          <w:rFonts w:ascii="Arial" w:eastAsia="Times New Roman" w:hAnsi="Arial" w:cs="Arial"/>
          <w:color w:val="222222"/>
          <w:sz w:val="20"/>
          <w:szCs w:val="20"/>
          <w:lang w:val="pt-PT" w:eastAsia="pt-BR"/>
        </w:rPr>
        <w:t>Zusammenarbeit</w:t>
      </w:r>
      <w:proofErr w:type="spellEnd"/>
      <w:r w:rsidRPr="004C65D9">
        <w:rPr>
          <w:rFonts w:ascii="Arial" w:eastAsia="Times New Roman" w:hAnsi="Arial" w:cs="Arial"/>
          <w:color w:val="222222"/>
          <w:sz w:val="20"/>
          <w:szCs w:val="20"/>
          <w:lang w:val="pt-PT" w:eastAsia="pt-BR"/>
        </w:rPr>
        <w:t xml:space="preserve"> (GIZ) e</w:t>
      </w:r>
      <w:r w:rsidRPr="00FE5BCB">
        <w:rPr>
          <w:rFonts w:ascii="Arial" w:eastAsia="Times New Roman" w:hAnsi="Arial" w:cs="Arial"/>
          <w:color w:val="222222"/>
          <w:sz w:val="20"/>
          <w:szCs w:val="20"/>
          <w:lang w:val="pt-PT" w:eastAsia="pt-BR"/>
        </w:rPr>
        <w:t xml:space="preserve"> </w:t>
      </w:r>
      <w:r w:rsidRPr="004C65D9">
        <w:rPr>
          <w:rFonts w:ascii="Arial" w:eastAsia="Times New Roman" w:hAnsi="Arial" w:cs="Arial"/>
          <w:color w:val="222222"/>
          <w:sz w:val="20"/>
          <w:szCs w:val="20"/>
          <w:lang w:val="pt-PT" w:eastAsia="pt-BR"/>
        </w:rPr>
        <w:t>do Comitê de Capacitação</w:t>
      </w:r>
      <w:r w:rsidRPr="00FE5BCB">
        <w:rPr>
          <w:rFonts w:ascii="Arial" w:eastAsia="Times New Roman" w:hAnsi="Arial" w:cs="Arial"/>
          <w:color w:val="222222"/>
          <w:sz w:val="20"/>
          <w:szCs w:val="20"/>
          <w:lang w:val="pt-PT" w:eastAsia="pt-BR"/>
        </w:rPr>
        <w:t xml:space="preserve"> </w:t>
      </w:r>
      <w:r w:rsidRPr="004C65D9">
        <w:rPr>
          <w:rFonts w:ascii="Arial" w:eastAsia="Times New Roman" w:hAnsi="Arial" w:cs="Arial"/>
          <w:color w:val="222222"/>
          <w:sz w:val="20"/>
          <w:szCs w:val="20"/>
          <w:lang w:val="pt-PT" w:eastAsia="pt-BR"/>
        </w:rPr>
        <w:t>(CCC) da Organização Latino-Americana</w:t>
      </w:r>
      <w:r w:rsidRPr="00FE5BCB">
        <w:rPr>
          <w:rFonts w:ascii="Arial" w:eastAsia="Times New Roman" w:hAnsi="Arial" w:cs="Arial"/>
          <w:color w:val="222222"/>
          <w:sz w:val="20"/>
          <w:szCs w:val="20"/>
          <w:lang w:val="pt-PT" w:eastAsia="pt-BR"/>
        </w:rPr>
        <w:t xml:space="preserve"> e do Caribe de </w:t>
      </w:r>
      <w:r w:rsidRPr="004C65D9">
        <w:rPr>
          <w:rFonts w:ascii="Arial" w:eastAsia="Times New Roman" w:hAnsi="Arial" w:cs="Arial"/>
          <w:color w:val="222222"/>
          <w:sz w:val="20"/>
          <w:szCs w:val="20"/>
          <w:lang w:val="pt-PT" w:eastAsia="pt-BR"/>
        </w:rPr>
        <w:t xml:space="preserve">Entidades </w:t>
      </w:r>
      <w:r w:rsidRPr="00FE5BCB">
        <w:rPr>
          <w:rFonts w:ascii="Arial" w:eastAsia="Times New Roman" w:hAnsi="Arial" w:cs="Arial"/>
          <w:color w:val="222222"/>
          <w:sz w:val="20"/>
          <w:szCs w:val="20"/>
          <w:lang w:val="pt-PT" w:eastAsia="pt-BR"/>
        </w:rPr>
        <w:t xml:space="preserve">Fiscalizadoras </w:t>
      </w:r>
      <w:r w:rsidRPr="004C65D9">
        <w:rPr>
          <w:rFonts w:ascii="Arial" w:eastAsia="Times New Roman" w:hAnsi="Arial" w:cs="Arial"/>
          <w:color w:val="222222"/>
          <w:sz w:val="20"/>
          <w:szCs w:val="20"/>
          <w:lang w:val="pt-PT" w:eastAsia="pt-BR"/>
        </w:rPr>
        <w:t>Superior</w:t>
      </w:r>
      <w:r w:rsidRPr="00FE5BCB">
        <w:rPr>
          <w:rFonts w:ascii="Arial" w:eastAsia="Times New Roman" w:hAnsi="Arial" w:cs="Arial"/>
          <w:color w:val="222222"/>
          <w:sz w:val="20"/>
          <w:szCs w:val="20"/>
          <w:lang w:val="pt-PT" w:eastAsia="pt-BR"/>
        </w:rPr>
        <w:t>es</w:t>
      </w:r>
      <w:r w:rsidRPr="004C65D9">
        <w:rPr>
          <w:rFonts w:ascii="Arial" w:eastAsia="Times New Roman" w:hAnsi="Arial" w:cs="Arial"/>
          <w:color w:val="222222"/>
          <w:sz w:val="20"/>
          <w:szCs w:val="20"/>
          <w:lang w:val="pt-PT" w:eastAsia="pt-BR"/>
        </w:rPr>
        <w:t xml:space="preserve"> (OLACEFS).</w:t>
      </w:r>
    </w:p>
    <w:p w14:paraId="42AA3F2F" w14:textId="77777777" w:rsidR="004B42BB" w:rsidRPr="004C65D9" w:rsidRDefault="004B42BB" w:rsidP="004B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color w:val="222222"/>
          <w:sz w:val="20"/>
          <w:szCs w:val="20"/>
          <w:lang w:eastAsia="pt-BR"/>
        </w:rPr>
      </w:pPr>
    </w:p>
    <w:p w14:paraId="1846CEF6" w14:textId="60539D37" w:rsidR="004B42BB" w:rsidRPr="00AB1D5D" w:rsidRDefault="004B42BB" w:rsidP="004B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color w:val="222222"/>
          <w:sz w:val="20"/>
          <w:szCs w:val="20"/>
          <w:lang w:eastAsia="pt-BR"/>
        </w:rPr>
      </w:pPr>
      <w:r w:rsidRPr="00F15CA9">
        <w:rPr>
          <w:rFonts w:ascii="Arial" w:eastAsia="Times New Roman" w:hAnsi="Arial" w:cs="Arial"/>
          <w:color w:val="222222"/>
          <w:sz w:val="20"/>
          <w:szCs w:val="20"/>
          <w:lang w:val="pt-PT" w:eastAsia="pt-BR"/>
        </w:rPr>
        <w:t xml:space="preserve">As áreas protegidas fazem parte </w:t>
      </w:r>
      <w:r w:rsidR="00FA1B32" w:rsidRPr="00F15CA9">
        <w:rPr>
          <w:rFonts w:ascii="Arial" w:eastAsia="Times New Roman" w:hAnsi="Arial" w:cs="Arial"/>
          <w:color w:val="222222"/>
          <w:sz w:val="20"/>
          <w:szCs w:val="20"/>
          <w:lang w:val="pt-PT" w:eastAsia="pt-BR"/>
        </w:rPr>
        <w:t>da estratégia internacional</w:t>
      </w:r>
      <w:r w:rsidRPr="00F15CA9">
        <w:rPr>
          <w:rFonts w:ascii="Arial" w:eastAsia="Times New Roman" w:hAnsi="Arial" w:cs="Arial"/>
          <w:color w:val="222222"/>
          <w:sz w:val="20"/>
          <w:szCs w:val="20"/>
          <w:lang w:val="pt-PT" w:eastAsia="pt-BR"/>
        </w:rPr>
        <w:t xml:space="preserve"> de conservação da biodiversidade e constituir</w:t>
      </w:r>
      <w:r w:rsidRPr="00FE5BCB">
        <w:rPr>
          <w:rFonts w:ascii="Arial" w:eastAsia="Times New Roman" w:hAnsi="Arial" w:cs="Arial"/>
          <w:color w:val="222222"/>
          <w:sz w:val="20"/>
          <w:szCs w:val="20"/>
          <w:lang w:val="pt-PT" w:eastAsia="pt-BR"/>
        </w:rPr>
        <w:t xml:space="preserve"> </w:t>
      </w:r>
      <w:r w:rsidRPr="00F15CA9">
        <w:rPr>
          <w:rFonts w:ascii="Arial" w:eastAsia="Times New Roman" w:hAnsi="Arial" w:cs="Arial"/>
          <w:color w:val="222222"/>
          <w:sz w:val="20"/>
          <w:szCs w:val="20"/>
          <w:lang w:val="pt-PT" w:eastAsia="pt-BR"/>
        </w:rPr>
        <w:t>parte importante do patrimônio ambiental da humanidade</w:t>
      </w:r>
      <w:r w:rsidRPr="00FE5BCB">
        <w:rPr>
          <w:rFonts w:ascii="Arial" w:eastAsia="Times New Roman" w:hAnsi="Arial" w:cs="Arial"/>
          <w:color w:val="222222"/>
          <w:sz w:val="20"/>
          <w:szCs w:val="20"/>
          <w:lang w:val="pt-PT" w:eastAsia="pt-BR"/>
        </w:rPr>
        <w:t xml:space="preserve">. </w:t>
      </w:r>
      <w:r w:rsidRPr="00AB1D5D">
        <w:rPr>
          <w:rFonts w:ascii="Arial" w:eastAsia="Times New Roman" w:hAnsi="Arial" w:cs="Arial"/>
          <w:color w:val="222222"/>
          <w:sz w:val="20"/>
          <w:szCs w:val="20"/>
          <w:lang w:val="pt-PT" w:eastAsia="pt-BR"/>
        </w:rPr>
        <w:t>Portanto, a Convenção das Nações Unidas sobre Diversidade Biológica (CDB) estabeleceu que os 193 países</w:t>
      </w:r>
      <w:r w:rsidRPr="00FE5BCB">
        <w:rPr>
          <w:rFonts w:ascii="Arial" w:eastAsia="Times New Roman" w:hAnsi="Arial" w:cs="Arial"/>
          <w:color w:val="222222"/>
          <w:sz w:val="20"/>
          <w:szCs w:val="20"/>
          <w:lang w:val="pt-PT" w:eastAsia="pt-BR"/>
        </w:rPr>
        <w:t xml:space="preserve"> </w:t>
      </w:r>
      <w:r w:rsidRPr="00AB1D5D">
        <w:rPr>
          <w:rFonts w:ascii="Arial" w:eastAsia="Times New Roman" w:hAnsi="Arial" w:cs="Arial"/>
          <w:color w:val="222222"/>
          <w:sz w:val="20"/>
          <w:szCs w:val="20"/>
          <w:lang w:val="pt-PT" w:eastAsia="pt-BR"/>
        </w:rPr>
        <w:t>signatários do acordo, devem</w:t>
      </w:r>
      <w:r w:rsidRPr="00FE5BCB">
        <w:rPr>
          <w:rFonts w:ascii="Arial" w:eastAsia="Times New Roman" w:hAnsi="Arial" w:cs="Arial"/>
          <w:color w:val="222222"/>
          <w:sz w:val="20"/>
          <w:szCs w:val="20"/>
          <w:lang w:val="pt-PT" w:eastAsia="pt-BR"/>
        </w:rPr>
        <w:t xml:space="preserve"> até </w:t>
      </w:r>
      <w:r w:rsidRPr="00AB1D5D">
        <w:rPr>
          <w:rFonts w:ascii="Arial" w:eastAsia="Times New Roman" w:hAnsi="Arial" w:cs="Arial"/>
          <w:color w:val="222222"/>
          <w:sz w:val="20"/>
          <w:szCs w:val="20"/>
          <w:lang w:val="pt-PT" w:eastAsia="pt-BR"/>
        </w:rPr>
        <w:t>2020 proteger pelo menos 17% das áreas</w:t>
      </w:r>
      <w:r w:rsidRPr="00FE5BCB">
        <w:rPr>
          <w:rFonts w:ascii="Arial" w:eastAsia="Times New Roman" w:hAnsi="Arial" w:cs="Arial"/>
          <w:color w:val="222222"/>
          <w:sz w:val="20"/>
          <w:szCs w:val="20"/>
          <w:lang w:val="pt-PT" w:eastAsia="pt-BR"/>
        </w:rPr>
        <w:t xml:space="preserve"> </w:t>
      </w:r>
      <w:r w:rsidRPr="00AB1D5D">
        <w:rPr>
          <w:rFonts w:ascii="Arial" w:eastAsia="Times New Roman" w:hAnsi="Arial" w:cs="Arial"/>
          <w:color w:val="222222"/>
          <w:sz w:val="20"/>
          <w:szCs w:val="20"/>
          <w:lang w:val="pt-PT" w:eastAsia="pt-BR"/>
        </w:rPr>
        <w:t>terrestres e 10% das áreas marinhas,</w:t>
      </w:r>
      <w:r w:rsidRPr="00FE5BCB">
        <w:rPr>
          <w:rFonts w:ascii="Arial" w:eastAsia="Times New Roman" w:hAnsi="Arial" w:cs="Arial"/>
          <w:color w:val="222222"/>
          <w:sz w:val="20"/>
          <w:szCs w:val="20"/>
          <w:lang w:val="pt-PT" w:eastAsia="pt-BR"/>
        </w:rPr>
        <w:t xml:space="preserve"> </w:t>
      </w:r>
      <w:r w:rsidRPr="00AB1D5D">
        <w:rPr>
          <w:rFonts w:ascii="Arial" w:eastAsia="Times New Roman" w:hAnsi="Arial" w:cs="Arial"/>
          <w:color w:val="222222"/>
          <w:sz w:val="20"/>
          <w:szCs w:val="20"/>
          <w:lang w:val="pt-PT" w:eastAsia="pt-BR"/>
        </w:rPr>
        <w:t>através de sistemas de áreas protegidas que dependem de gerenciamento eficiente.</w:t>
      </w:r>
    </w:p>
    <w:p w14:paraId="6F7E6185" w14:textId="77777777" w:rsidR="004B42BB" w:rsidRPr="00FE5BCB" w:rsidRDefault="004B42BB" w:rsidP="004B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color w:val="222222"/>
          <w:sz w:val="20"/>
          <w:szCs w:val="20"/>
          <w:lang w:val="pt-PT" w:eastAsia="pt-BR"/>
        </w:rPr>
      </w:pPr>
    </w:p>
    <w:p w14:paraId="5E702752" w14:textId="77777777" w:rsidR="004B42BB" w:rsidRPr="00AB1D5D" w:rsidRDefault="004B42BB" w:rsidP="004B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color w:val="222222"/>
          <w:sz w:val="20"/>
          <w:szCs w:val="20"/>
          <w:lang w:eastAsia="pt-BR"/>
        </w:rPr>
      </w:pPr>
      <w:r w:rsidRPr="00AB1D5D">
        <w:rPr>
          <w:rFonts w:ascii="Arial" w:eastAsia="Times New Roman" w:hAnsi="Arial" w:cs="Arial"/>
          <w:color w:val="222222"/>
          <w:sz w:val="20"/>
          <w:szCs w:val="20"/>
          <w:lang w:val="pt-PT" w:eastAsia="pt-BR"/>
        </w:rPr>
        <w:t>Nesse contexto, as Instituições Superiores de Auditoria (ISC) dos 12 países</w:t>
      </w:r>
      <w:r w:rsidRPr="00FE5BCB">
        <w:rPr>
          <w:rFonts w:ascii="Arial" w:eastAsia="Times New Roman" w:hAnsi="Arial" w:cs="Arial"/>
          <w:color w:val="222222"/>
          <w:sz w:val="20"/>
          <w:szCs w:val="20"/>
          <w:lang w:val="pt-PT" w:eastAsia="pt-BR"/>
        </w:rPr>
        <w:t xml:space="preserve"> </w:t>
      </w:r>
      <w:r w:rsidRPr="00AB1D5D">
        <w:rPr>
          <w:rFonts w:ascii="Arial" w:eastAsia="Times New Roman" w:hAnsi="Arial" w:cs="Arial"/>
          <w:color w:val="222222"/>
          <w:sz w:val="20"/>
          <w:szCs w:val="20"/>
          <w:lang w:val="pt-PT" w:eastAsia="pt-BR"/>
        </w:rPr>
        <w:t>da América Latina, ao analisar o cumprimento do compromisso internacional,</w:t>
      </w:r>
      <w:r w:rsidRPr="00FE5BCB">
        <w:rPr>
          <w:rFonts w:ascii="Arial" w:eastAsia="Times New Roman" w:hAnsi="Arial" w:cs="Arial"/>
          <w:color w:val="222222"/>
          <w:sz w:val="20"/>
          <w:szCs w:val="20"/>
          <w:lang w:val="pt-PT" w:eastAsia="pt-BR"/>
        </w:rPr>
        <w:t xml:space="preserve"> </w:t>
      </w:r>
      <w:proofErr w:type="gramStart"/>
      <w:r w:rsidRPr="00AB1D5D">
        <w:rPr>
          <w:rFonts w:ascii="Arial" w:eastAsia="Times New Roman" w:hAnsi="Arial" w:cs="Arial"/>
          <w:color w:val="222222"/>
          <w:sz w:val="20"/>
          <w:szCs w:val="20"/>
          <w:lang w:val="pt-PT" w:eastAsia="pt-BR"/>
        </w:rPr>
        <w:t>Foram</w:t>
      </w:r>
      <w:proofErr w:type="gramEnd"/>
      <w:r w:rsidRPr="00AB1D5D">
        <w:rPr>
          <w:rFonts w:ascii="Arial" w:eastAsia="Times New Roman" w:hAnsi="Arial" w:cs="Arial"/>
          <w:color w:val="222222"/>
          <w:sz w:val="20"/>
          <w:szCs w:val="20"/>
          <w:lang w:val="pt-PT" w:eastAsia="pt-BR"/>
        </w:rPr>
        <w:t xml:space="preserve"> avaliadas 1.120 áreas protegidas nacionais, o que permitiu o desenvolvimento de um</w:t>
      </w:r>
      <w:r w:rsidRPr="00FE5BCB">
        <w:rPr>
          <w:rFonts w:ascii="Arial" w:eastAsia="Times New Roman" w:hAnsi="Arial" w:cs="Arial"/>
          <w:color w:val="222222"/>
          <w:sz w:val="20"/>
          <w:szCs w:val="20"/>
          <w:lang w:val="pt-PT" w:eastAsia="pt-BR"/>
        </w:rPr>
        <w:t xml:space="preserve"> </w:t>
      </w:r>
      <w:r w:rsidRPr="00AB1D5D">
        <w:rPr>
          <w:rFonts w:ascii="Arial" w:eastAsia="Times New Roman" w:hAnsi="Arial" w:cs="Arial"/>
          <w:color w:val="222222"/>
          <w:sz w:val="20"/>
          <w:szCs w:val="20"/>
          <w:lang w:val="pt-PT" w:eastAsia="pt-BR"/>
        </w:rPr>
        <w:t>diagnóstico de nível regional sem precedentes em relação às políticas públicas</w:t>
      </w:r>
      <w:r w:rsidRPr="00FE5BCB">
        <w:rPr>
          <w:rFonts w:ascii="Arial" w:eastAsia="Times New Roman" w:hAnsi="Arial" w:cs="Arial"/>
          <w:color w:val="222222"/>
          <w:sz w:val="20"/>
          <w:szCs w:val="20"/>
          <w:lang w:val="pt-PT" w:eastAsia="pt-BR"/>
        </w:rPr>
        <w:t xml:space="preserve"> </w:t>
      </w:r>
      <w:r w:rsidRPr="00AB1D5D">
        <w:rPr>
          <w:rFonts w:ascii="Arial" w:eastAsia="Times New Roman" w:hAnsi="Arial" w:cs="Arial"/>
          <w:color w:val="222222"/>
          <w:sz w:val="20"/>
          <w:szCs w:val="20"/>
          <w:lang w:val="pt-PT" w:eastAsia="pt-BR"/>
        </w:rPr>
        <w:t>para a conservação da biodiversidade.</w:t>
      </w:r>
    </w:p>
    <w:p w14:paraId="0FA1664F" w14:textId="77777777" w:rsidR="004B42BB" w:rsidRPr="00FE5BCB" w:rsidRDefault="004B42BB" w:rsidP="004B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color w:val="222222"/>
          <w:sz w:val="20"/>
          <w:szCs w:val="20"/>
          <w:lang w:val="pt-PT" w:eastAsia="pt-BR"/>
        </w:rPr>
      </w:pPr>
    </w:p>
    <w:p w14:paraId="3DDE9F4B" w14:textId="77777777" w:rsidR="004B42BB" w:rsidRPr="00C53250" w:rsidRDefault="004B42BB" w:rsidP="004B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color w:val="222222"/>
          <w:sz w:val="20"/>
          <w:szCs w:val="20"/>
          <w:lang w:eastAsia="pt-BR"/>
        </w:rPr>
      </w:pPr>
      <w:r w:rsidRPr="00C53250">
        <w:rPr>
          <w:rFonts w:ascii="Arial" w:eastAsia="Times New Roman" w:hAnsi="Arial" w:cs="Arial"/>
          <w:color w:val="222222"/>
          <w:sz w:val="20"/>
          <w:szCs w:val="20"/>
          <w:lang w:val="pt-PT" w:eastAsia="pt-BR"/>
        </w:rPr>
        <w:t>Verificou-se que o objetivo de proteger</w:t>
      </w:r>
      <w:r w:rsidRPr="00FE5BCB">
        <w:rPr>
          <w:rFonts w:ascii="Arial" w:eastAsia="Times New Roman" w:hAnsi="Arial" w:cs="Arial"/>
          <w:color w:val="222222"/>
          <w:sz w:val="20"/>
          <w:szCs w:val="20"/>
          <w:lang w:val="pt-PT" w:eastAsia="pt-BR"/>
        </w:rPr>
        <w:t xml:space="preserve"> </w:t>
      </w:r>
      <w:r w:rsidRPr="00C53250">
        <w:rPr>
          <w:rFonts w:ascii="Arial" w:eastAsia="Times New Roman" w:hAnsi="Arial" w:cs="Arial"/>
          <w:color w:val="222222"/>
          <w:sz w:val="20"/>
          <w:szCs w:val="20"/>
          <w:lang w:val="pt-PT" w:eastAsia="pt-BR"/>
        </w:rPr>
        <w:t>áreas continentais foi atingido</w:t>
      </w:r>
      <w:r w:rsidRPr="00FE5BCB">
        <w:rPr>
          <w:rFonts w:ascii="Arial" w:eastAsia="Times New Roman" w:hAnsi="Arial" w:cs="Arial"/>
          <w:color w:val="222222"/>
          <w:sz w:val="20"/>
          <w:szCs w:val="20"/>
          <w:lang w:val="pt-PT" w:eastAsia="pt-BR"/>
        </w:rPr>
        <w:t xml:space="preserve"> </w:t>
      </w:r>
      <w:r w:rsidRPr="00C53250">
        <w:rPr>
          <w:rFonts w:ascii="Arial" w:eastAsia="Times New Roman" w:hAnsi="Arial" w:cs="Arial"/>
          <w:color w:val="222222"/>
          <w:sz w:val="20"/>
          <w:szCs w:val="20"/>
          <w:lang w:val="pt-PT" w:eastAsia="pt-BR"/>
        </w:rPr>
        <w:t xml:space="preserve">por oito países, enquanto a </w:t>
      </w:r>
      <w:proofErr w:type="spellStart"/>
      <w:r w:rsidRPr="00C53250">
        <w:rPr>
          <w:rFonts w:ascii="Arial" w:eastAsia="Times New Roman" w:hAnsi="Arial" w:cs="Arial"/>
          <w:color w:val="222222"/>
          <w:sz w:val="20"/>
          <w:szCs w:val="20"/>
          <w:lang w:val="pt-PT" w:eastAsia="pt-BR"/>
        </w:rPr>
        <w:t>porcentagem</w:t>
      </w:r>
      <w:proofErr w:type="spellEnd"/>
      <w:r w:rsidRPr="00C53250">
        <w:rPr>
          <w:rFonts w:ascii="Arial" w:eastAsia="Times New Roman" w:hAnsi="Arial" w:cs="Arial"/>
          <w:color w:val="222222"/>
          <w:sz w:val="20"/>
          <w:szCs w:val="20"/>
          <w:lang w:val="pt-PT" w:eastAsia="pt-BR"/>
        </w:rPr>
        <w:t xml:space="preserve"> de proteção de áreas marinhas ainda está longe de ser alcançada.</w:t>
      </w:r>
      <w:r w:rsidRPr="00FE5BCB">
        <w:rPr>
          <w:rFonts w:ascii="Arial" w:eastAsia="Times New Roman" w:hAnsi="Arial" w:cs="Arial"/>
          <w:color w:val="222222"/>
          <w:sz w:val="20"/>
          <w:szCs w:val="20"/>
          <w:lang w:val="pt-PT" w:eastAsia="pt-BR"/>
        </w:rPr>
        <w:t xml:space="preserve"> </w:t>
      </w:r>
      <w:r w:rsidRPr="00C53250">
        <w:rPr>
          <w:rFonts w:ascii="Arial" w:eastAsia="Times New Roman" w:hAnsi="Arial" w:cs="Arial"/>
          <w:color w:val="222222"/>
          <w:sz w:val="20"/>
          <w:szCs w:val="20"/>
          <w:lang w:val="pt-PT" w:eastAsia="pt-BR"/>
        </w:rPr>
        <w:t xml:space="preserve">No entanto, </w:t>
      </w:r>
      <w:r w:rsidRPr="00C53250">
        <w:rPr>
          <w:rFonts w:ascii="Arial" w:eastAsia="Times New Roman" w:hAnsi="Arial" w:cs="Arial"/>
          <w:color w:val="222222"/>
          <w:sz w:val="20"/>
          <w:szCs w:val="20"/>
          <w:lang w:val="pt-PT" w:eastAsia="pt-BR"/>
        </w:rPr>
        <w:lastRenderedPageBreak/>
        <w:t>tão importante quanto</w:t>
      </w:r>
      <w:r w:rsidRPr="00FE5BCB">
        <w:rPr>
          <w:rFonts w:ascii="Arial" w:eastAsia="Times New Roman" w:hAnsi="Arial" w:cs="Arial"/>
          <w:color w:val="222222"/>
          <w:sz w:val="20"/>
          <w:szCs w:val="20"/>
          <w:lang w:val="pt-PT" w:eastAsia="pt-BR"/>
        </w:rPr>
        <w:t xml:space="preserve"> </w:t>
      </w:r>
      <w:r w:rsidRPr="00C53250">
        <w:rPr>
          <w:rFonts w:ascii="Arial" w:eastAsia="Times New Roman" w:hAnsi="Arial" w:cs="Arial"/>
          <w:color w:val="222222"/>
          <w:sz w:val="20"/>
          <w:szCs w:val="20"/>
          <w:lang w:val="pt-PT" w:eastAsia="pt-BR"/>
        </w:rPr>
        <w:t>criar essas áreas é a necessidade</w:t>
      </w:r>
      <w:r w:rsidRPr="00FE5BCB">
        <w:rPr>
          <w:rFonts w:ascii="Arial" w:eastAsia="Times New Roman" w:hAnsi="Arial" w:cs="Arial"/>
          <w:color w:val="222222"/>
          <w:sz w:val="20"/>
          <w:szCs w:val="20"/>
          <w:lang w:val="pt-PT" w:eastAsia="pt-BR"/>
        </w:rPr>
        <w:t xml:space="preserve"> </w:t>
      </w:r>
      <w:r w:rsidRPr="00C53250">
        <w:rPr>
          <w:rFonts w:ascii="Arial" w:eastAsia="Times New Roman" w:hAnsi="Arial" w:cs="Arial"/>
          <w:color w:val="222222"/>
          <w:sz w:val="20"/>
          <w:szCs w:val="20"/>
          <w:lang w:val="pt-PT" w:eastAsia="pt-BR"/>
        </w:rPr>
        <w:t>implementá-los e gerenciá-los com eficiência, para que eles possam alcançar</w:t>
      </w:r>
      <w:r w:rsidRPr="00FE5BCB">
        <w:rPr>
          <w:rFonts w:ascii="Arial" w:eastAsia="Times New Roman" w:hAnsi="Arial" w:cs="Arial"/>
          <w:color w:val="222222"/>
          <w:sz w:val="20"/>
          <w:szCs w:val="20"/>
          <w:lang w:val="pt-PT" w:eastAsia="pt-BR"/>
        </w:rPr>
        <w:t xml:space="preserve"> </w:t>
      </w:r>
      <w:r w:rsidRPr="00C53250">
        <w:rPr>
          <w:rFonts w:ascii="Arial" w:eastAsia="Times New Roman" w:hAnsi="Arial" w:cs="Arial"/>
          <w:color w:val="222222"/>
          <w:sz w:val="20"/>
          <w:szCs w:val="20"/>
          <w:lang w:val="pt-PT" w:eastAsia="pt-BR"/>
        </w:rPr>
        <w:t>objetivos para os quais foram criados</w:t>
      </w:r>
      <w:r w:rsidRPr="00FE5BCB">
        <w:rPr>
          <w:rFonts w:ascii="Arial" w:eastAsia="Times New Roman" w:hAnsi="Arial" w:cs="Arial"/>
          <w:color w:val="222222"/>
          <w:sz w:val="20"/>
          <w:szCs w:val="20"/>
          <w:lang w:val="pt-PT" w:eastAsia="pt-BR"/>
        </w:rPr>
        <w:t xml:space="preserve"> </w:t>
      </w:r>
      <w:r w:rsidRPr="00C53250">
        <w:rPr>
          <w:rFonts w:ascii="Arial" w:eastAsia="Times New Roman" w:hAnsi="Arial" w:cs="Arial"/>
          <w:color w:val="222222"/>
          <w:sz w:val="20"/>
          <w:szCs w:val="20"/>
          <w:lang w:val="pt-PT" w:eastAsia="pt-BR"/>
        </w:rPr>
        <w:t>referidos territórios.</w:t>
      </w:r>
    </w:p>
    <w:p w14:paraId="2091DBBC" w14:textId="77777777" w:rsidR="004B42BB" w:rsidRPr="00FE5BCB" w:rsidRDefault="004B42BB" w:rsidP="004B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color w:val="222222"/>
          <w:sz w:val="20"/>
          <w:szCs w:val="20"/>
          <w:lang w:val="pt-PT" w:eastAsia="pt-BR"/>
        </w:rPr>
      </w:pPr>
    </w:p>
    <w:p w14:paraId="16A78CD2" w14:textId="77777777" w:rsidR="004B42BB" w:rsidRPr="00C8345E" w:rsidRDefault="004B42BB" w:rsidP="004B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color w:val="222222"/>
          <w:sz w:val="20"/>
          <w:szCs w:val="20"/>
          <w:lang w:eastAsia="pt-BR"/>
        </w:rPr>
      </w:pPr>
      <w:r w:rsidRPr="00C8345E">
        <w:rPr>
          <w:rFonts w:ascii="Arial" w:eastAsia="Times New Roman" w:hAnsi="Arial" w:cs="Arial"/>
          <w:color w:val="222222"/>
          <w:sz w:val="20"/>
          <w:szCs w:val="20"/>
          <w:lang w:val="pt-PT" w:eastAsia="pt-BR"/>
        </w:rPr>
        <w:t xml:space="preserve">Consequentemente, os resultados consolidados da avaliação da ISA mostram que mais da metade </w:t>
      </w:r>
      <w:proofErr w:type="gramStart"/>
      <w:r w:rsidRPr="00C8345E">
        <w:rPr>
          <w:rFonts w:ascii="Arial" w:eastAsia="Times New Roman" w:hAnsi="Arial" w:cs="Arial"/>
          <w:color w:val="222222"/>
          <w:sz w:val="20"/>
          <w:szCs w:val="20"/>
          <w:lang w:val="pt-PT" w:eastAsia="pt-BR"/>
        </w:rPr>
        <w:t>dos</w:t>
      </w:r>
      <w:r w:rsidRPr="00FE5BCB">
        <w:rPr>
          <w:rFonts w:ascii="Arial" w:eastAsia="Times New Roman" w:hAnsi="Arial" w:cs="Arial"/>
          <w:color w:val="222222"/>
          <w:sz w:val="20"/>
          <w:szCs w:val="20"/>
          <w:lang w:val="pt-PT" w:eastAsia="pt-BR"/>
        </w:rPr>
        <w:t xml:space="preserve"> </w:t>
      </w:r>
      <w:r w:rsidRPr="00C8345E">
        <w:rPr>
          <w:rFonts w:ascii="Arial" w:eastAsia="Times New Roman" w:hAnsi="Arial" w:cs="Arial"/>
          <w:color w:val="222222"/>
          <w:sz w:val="20"/>
          <w:szCs w:val="20"/>
          <w:lang w:val="pt-PT" w:eastAsia="pt-BR"/>
        </w:rPr>
        <w:t>áreas protegidas</w:t>
      </w:r>
      <w:proofErr w:type="gramEnd"/>
      <w:r w:rsidRPr="00C8345E">
        <w:rPr>
          <w:rFonts w:ascii="Arial" w:eastAsia="Times New Roman" w:hAnsi="Arial" w:cs="Arial"/>
          <w:color w:val="222222"/>
          <w:sz w:val="20"/>
          <w:szCs w:val="20"/>
          <w:lang w:val="pt-PT" w:eastAsia="pt-BR"/>
        </w:rPr>
        <w:t xml:space="preserve"> apresenta um</w:t>
      </w:r>
      <w:r w:rsidRPr="00FE5BCB">
        <w:rPr>
          <w:rFonts w:ascii="Arial" w:eastAsia="Times New Roman" w:hAnsi="Arial" w:cs="Arial"/>
          <w:color w:val="222222"/>
          <w:sz w:val="20"/>
          <w:szCs w:val="20"/>
          <w:lang w:val="pt-PT" w:eastAsia="pt-BR"/>
        </w:rPr>
        <w:t xml:space="preserve"> grau médio</w:t>
      </w:r>
      <w:r w:rsidRPr="00C8345E">
        <w:rPr>
          <w:rFonts w:ascii="Arial" w:eastAsia="Times New Roman" w:hAnsi="Arial" w:cs="Arial"/>
          <w:color w:val="222222"/>
          <w:sz w:val="20"/>
          <w:szCs w:val="20"/>
          <w:lang w:val="pt-PT" w:eastAsia="pt-BR"/>
        </w:rPr>
        <w:t xml:space="preserve"> de implementação e gerenciamento. Para</w:t>
      </w:r>
      <w:r w:rsidRPr="00FE5BCB">
        <w:rPr>
          <w:rFonts w:ascii="Arial" w:eastAsia="Times New Roman" w:hAnsi="Arial" w:cs="Arial"/>
          <w:color w:val="222222"/>
          <w:sz w:val="20"/>
          <w:szCs w:val="20"/>
          <w:lang w:val="pt-PT" w:eastAsia="pt-BR"/>
        </w:rPr>
        <w:t xml:space="preserve"> </w:t>
      </w:r>
      <w:r w:rsidRPr="00C8345E">
        <w:rPr>
          <w:rFonts w:ascii="Arial" w:eastAsia="Times New Roman" w:hAnsi="Arial" w:cs="Arial"/>
          <w:color w:val="222222"/>
          <w:sz w:val="20"/>
          <w:szCs w:val="20"/>
          <w:lang w:val="pt-PT" w:eastAsia="pt-BR"/>
        </w:rPr>
        <w:t>por sua vez, 19% dos territórios foram classificados com o mais alto grau de implementação</w:t>
      </w:r>
    </w:p>
    <w:p w14:paraId="34D21FBE" w14:textId="77777777" w:rsidR="004B42BB" w:rsidRPr="00FE5BCB" w:rsidRDefault="004B42BB" w:rsidP="004B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color w:val="222222"/>
          <w:sz w:val="20"/>
          <w:szCs w:val="20"/>
          <w:lang w:val="pt-PT" w:eastAsia="pt-BR"/>
        </w:rPr>
      </w:pPr>
    </w:p>
    <w:p w14:paraId="7C18927D" w14:textId="77777777" w:rsidR="004B42BB" w:rsidRPr="00FE5BCB" w:rsidRDefault="004B42BB" w:rsidP="004B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color w:val="222222"/>
          <w:sz w:val="20"/>
          <w:szCs w:val="20"/>
          <w:lang w:val="pt-PT" w:eastAsia="pt-BR"/>
        </w:rPr>
      </w:pPr>
      <w:r w:rsidRPr="00C8345E">
        <w:rPr>
          <w:rFonts w:ascii="Arial" w:eastAsia="Times New Roman" w:hAnsi="Arial" w:cs="Arial"/>
          <w:color w:val="222222"/>
          <w:sz w:val="20"/>
          <w:szCs w:val="20"/>
          <w:lang w:val="pt-PT" w:eastAsia="pt-BR"/>
        </w:rPr>
        <w:t>Já na faixa de avaliação mais baixa</w:t>
      </w:r>
      <w:r w:rsidRPr="00FE5BCB">
        <w:rPr>
          <w:rFonts w:ascii="Arial" w:eastAsia="Times New Roman" w:hAnsi="Arial" w:cs="Arial"/>
          <w:color w:val="222222"/>
          <w:sz w:val="20"/>
          <w:szCs w:val="20"/>
          <w:lang w:val="pt-PT" w:eastAsia="pt-BR"/>
        </w:rPr>
        <w:t xml:space="preserve"> </w:t>
      </w:r>
      <w:r w:rsidRPr="00C8345E">
        <w:rPr>
          <w:rFonts w:ascii="Arial" w:eastAsia="Times New Roman" w:hAnsi="Arial" w:cs="Arial"/>
          <w:color w:val="222222"/>
          <w:sz w:val="20"/>
          <w:szCs w:val="20"/>
          <w:lang w:val="pt-PT" w:eastAsia="pt-BR"/>
        </w:rPr>
        <w:t>existem quase 30% do PA, o que indica</w:t>
      </w:r>
      <w:r w:rsidRPr="00FE5BCB">
        <w:rPr>
          <w:rFonts w:ascii="Arial" w:eastAsia="Times New Roman" w:hAnsi="Arial" w:cs="Arial"/>
          <w:color w:val="222222"/>
          <w:sz w:val="20"/>
          <w:szCs w:val="20"/>
          <w:lang w:val="pt-PT" w:eastAsia="pt-BR"/>
        </w:rPr>
        <w:t xml:space="preserve"> </w:t>
      </w:r>
      <w:r w:rsidRPr="00C8345E">
        <w:rPr>
          <w:rFonts w:ascii="Arial" w:eastAsia="Times New Roman" w:hAnsi="Arial" w:cs="Arial"/>
          <w:color w:val="222222"/>
          <w:sz w:val="20"/>
          <w:szCs w:val="20"/>
          <w:lang w:val="pt-PT" w:eastAsia="pt-BR"/>
        </w:rPr>
        <w:t xml:space="preserve">a existência de deficiências estruturais na gestão das </w:t>
      </w:r>
      <w:proofErr w:type="spellStart"/>
      <w:r w:rsidRPr="00C8345E">
        <w:rPr>
          <w:rFonts w:ascii="Arial" w:eastAsia="Times New Roman" w:hAnsi="Arial" w:cs="Arial"/>
          <w:color w:val="222222"/>
          <w:sz w:val="20"/>
          <w:szCs w:val="20"/>
          <w:lang w:val="pt-PT" w:eastAsia="pt-BR"/>
        </w:rPr>
        <w:t>UCs</w:t>
      </w:r>
      <w:proofErr w:type="spellEnd"/>
      <w:r w:rsidRPr="00C8345E">
        <w:rPr>
          <w:rFonts w:ascii="Arial" w:eastAsia="Times New Roman" w:hAnsi="Arial" w:cs="Arial"/>
          <w:color w:val="222222"/>
          <w:sz w:val="20"/>
          <w:szCs w:val="20"/>
          <w:lang w:val="pt-PT" w:eastAsia="pt-BR"/>
        </w:rPr>
        <w:t xml:space="preserve"> ​​latino-americanas, como</w:t>
      </w:r>
      <w:r w:rsidRPr="00FE5BCB">
        <w:rPr>
          <w:rFonts w:ascii="Arial" w:eastAsia="Times New Roman" w:hAnsi="Arial" w:cs="Arial"/>
          <w:color w:val="222222"/>
          <w:sz w:val="20"/>
          <w:szCs w:val="20"/>
          <w:lang w:val="pt-PT" w:eastAsia="pt-BR"/>
        </w:rPr>
        <w:t xml:space="preserve"> por exemplo:</w:t>
      </w:r>
    </w:p>
    <w:p w14:paraId="55B8B6C7" w14:textId="77777777" w:rsidR="004B42BB" w:rsidRPr="00FE5BCB" w:rsidRDefault="004B42BB" w:rsidP="004B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color w:val="222222"/>
          <w:sz w:val="20"/>
          <w:szCs w:val="20"/>
          <w:lang w:val="pt-PT" w:eastAsia="pt-BR"/>
        </w:rPr>
      </w:pPr>
    </w:p>
    <w:p w14:paraId="2A48C364" w14:textId="77777777" w:rsidR="004B42BB" w:rsidRPr="00C8345E" w:rsidRDefault="004B42BB" w:rsidP="004B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color w:val="222222"/>
          <w:sz w:val="20"/>
          <w:szCs w:val="20"/>
          <w:lang w:val="pt-PT" w:eastAsia="pt-BR"/>
        </w:rPr>
      </w:pPr>
      <w:r w:rsidRPr="00C8345E">
        <w:rPr>
          <w:rFonts w:ascii="Arial" w:eastAsia="Times New Roman" w:hAnsi="Arial" w:cs="Arial"/>
          <w:color w:val="222222"/>
          <w:sz w:val="20"/>
          <w:szCs w:val="20"/>
          <w:lang w:val="pt-PT" w:eastAsia="pt-BR"/>
        </w:rPr>
        <w:t>• Falta de plano de gerenciamento em 47% dos</w:t>
      </w:r>
      <w:r w:rsidRPr="00FE5BCB">
        <w:rPr>
          <w:rFonts w:ascii="Arial" w:eastAsia="Times New Roman" w:hAnsi="Arial" w:cs="Arial"/>
          <w:color w:val="222222"/>
          <w:sz w:val="20"/>
          <w:szCs w:val="20"/>
          <w:lang w:val="pt-PT" w:eastAsia="pt-BR"/>
        </w:rPr>
        <w:t xml:space="preserve"> </w:t>
      </w:r>
      <w:r w:rsidRPr="00C8345E">
        <w:rPr>
          <w:rFonts w:ascii="Arial" w:eastAsia="Times New Roman" w:hAnsi="Arial" w:cs="Arial"/>
          <w:color w:val="222222"/>
          <w:sz w:val="20"/>
          <w:szCs w:val="20"/>
          <w:lang w:val="pt-PT" w:eastAsia="pt-BR"/>
        </w:rPr>
        <w:t>as áreas avaliadas;</w:t>
      </w:r>
    </w:p>
    <w:p w14:paraId="447C97AA" w14:textId="77777777" w:rsidR="004B42BB" w:rsidRPr="00C8345E" w:rsidRDefault="004B42BB" w:rsidP="004B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color w:val="222222"/>
          <w:sz w:val="20"/>
          <w:szCs w:val="20"/>
          <w:lang w:val="pt-PT" w:eastAsia="pt-BR"/>
        </w:rPr>
      </w:pPr>
      <w:r w:rsidRPr="00C8345E">
        <w:rPr>
          <w:rFonts w:ascii="Arial" w:eastAsia="Times New Roman" w:hAnsi="Arial" w:cs="Arial"/>
          <w:color w:val="222222"/>
          <w:sz w:val="20"/>
          <w:szCs w:val="20"/>
          <w:lang w:val="pt-PT" w:eastAsia="pt-BR"/>
        </w:rPr>
        <w:t>• Ausência do gerente em 13% dos</w:t>
      </w:r>
      <w:r w:rsidRPr="00FE5BCB">
        <w:rPr>
          <w:rFonts w:ascii="Arial" w:eastAsia="Times New Roman" w:hAnsi="Arial" w:cs="Arial"/>
          <w:color w:val="222222"/>
          <w:sz w:val="20"/>
          <w:szCs w:val="20"/>
          <w:lang w:val="pt-PT" w:eastAsia="pt-BR"/>
        </w:rPr>
        <w:t xml:space="preserve"> </w:t>
      </w:r>
      <w:r w:rsidRPr="00C8345E">
        <w:rPr>
          <w:rFonts w:ascii="Arial" w:eastAsia="Times New Roman" w:hAnsi="Arial" w:cs="Arial"/>
          <w:color w:val="222222"/>
          <w:sz w:val="20"/>
          <w:szCs w:val="20"/>
          <w:lang w:val="pt-PT" w:eastAsia="pt-BR"/>
        </w:rPr>
        <w:t>territórios;</w:t>
      </w:r>
    </w:p>
    <w:p w14:paraId="7AD32168" w14:textId="77777777" w:rsidR="004B42BB" w:rsidRPr="00C8345E" w:rsidRDefault="004B42BB" w:rsidP="004B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color w:val="222222"/>
          <w:sz w:val="20"/>
          <w:szCs w:val="20"/>
          <w:lang w:val="pt-PT" w:eastAsia="pt-BR"/>
        </w:rPr>
      </w:pPr>
      <w:r w:rsidRPr="00C8345E">
        <w:rPr>
          <w:rFonts w:ascii="Arial" w:eastAsia="Times New Roman" w:hAnsi="Arial" w:cs="Arial"/>
          <w:color w:val="222222"/>
          <w:sz w:val="20"/>
          <w:szCs w:val="20"/>
          <w:lang w:val="pt-PT" w:eastAsia="pt-BR"/>
        </w:rPr>
        <w:t xml:space="preserve">• Falha ao monitorar </w:t>
      </w:r>
      <w:proofErr w:type="gramStart"/>
      <w:r w:rsidRPr="00C8345E">
        <w:rPr>
          <w:rFonts w:ascii="Arial" w:eastAsia="Times New Roman" w:hAnsi="Arial" w:cs="Arial"/>
          <w:color w:val="222222"/>
          <w:sz w:val="20"/>
          <w:szCs w:val="20"/>
          <w:lang w:val="pt-PT" w:eastAsia="pt-BR"/>
        </w:rPr>
        <w:t>o</w:t>
      </w:r>
      <w:r w:rsidRPr="00FE5BCB">
        <w:rPr>
          <w:rFonts w:ascii="Arial" w:eastAsia="Times New Roman" w:hAnsi="Arial" w:cs="Arial"/>
          <w:color w:val="222222"/>
          <w:sz w:val="20"/>
          <w:szCs w:val="20"/>
          <w:lang w:val="pt-PT" w:eastAsia="pt-BR"/>
        </w:rPr>
        <w:t xml:space="preserve"> </w:t>
      </w:r>
      <w:r w:rsidRPr="00C8345E">
        <w:rPr>
          <w:rFonts w:ascii="Arial" w:eastAsia="Times New Roman" w:hAnsi="Arial" w:cs="Arial"/>
          <w:color w:val="222222"/>
          <w:sz w:val="20"/>
          <w:szCs w:val="20"/>
          <w:lang w:val="pt-PT" w:eastAsia="pt-BR"/>
        </w:rPr>
        <w:t>biodive</w:t>
      </w:r>
      <w:r w:rsidRPr="00FE5BCB">
        <w:rPr>
          <w:rFonts w:ascii="Arial" w:eastAsia="Times New Roman" w:hAnsi="Arial" w:cs="Arial"/>
          <w:color w:val="222222"/>
          <w:sz w:val="20"/>
          <w:szCs w:val="20"/>
          <w:lang w:val="pt-PT" w:eastAsia="pt-BR"/>
        </w:rPr>
        <w:t>rsidade</w:t>
      </w:r>
      <w:proofErr w:type="gramEnd"/>
      <w:r w:rsidRPr="00FE5BCB">
        <w:rPr>
          <w:rFonts w:ascii="Arial" w:eastAsia="Times New Roman" w:hAnsi="Arial" w:cs="Arial"/>
          <w:color w:val="222222"/>
          <w:sz w:val="20"/>
          <w:szCs w:val="20"/>
          <w:lang w:val="pt-PT" w:eastAsia="pt-BR"/>
        </w:rPr>
        <w:t xml:space="preserve"> em 44% da AF avaliada; </w:t>
      </w:r>
    </w:p>
    <w:p w14:paraId="10B58C05" w14:textId="77777777" w:rsidR="004B42BB" w:rsidRPr="00C8345E" w:rsidRDefault="004B42BB" w:rsidP="004B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color w:val="222222"/>
          <w:sz w:val="20"/>
          <w:szCs w:val="20"/>
          <w:lang w:eastAsia="pt-BR"/>
        </w:rPr>
      </w:pPr>
      <w:r w:rsidRPr="00C8345E">
        <w:rPr>
          <w:rFonts w:ascii="Arial" w:eastAsia="Times New Roman" w:hAnsi="Arial" w:cs="Arial"/>
          <w:color w:val="222222"/>
          <w:sz w:val="20"/>
          <w:szCs w:val="20"/>
          <w:lang w:val="pt-PT" w:eastAsia="pt-BR"/>
        </w:rPr>
        <w:t>• Dificuldades na consolidação territorial, como regularização agrária</w:t>
      </w:r>
      <w:r w:rsidRPr="00FE5BCB">
        <w:rPr>
          <w:rFonts w:ascii="Arial" w:eastAsia="Times New Roman" w:hAnsi="Arial" w:cs="Arial"/>
          <w:color w:val="222222"/>
          <w:sz w:val="20"/>
          <w:szCs w:val="20"/>
          <w:lang w:val="pt-PT" w:eastAsia="pt-BR"/>
        </w:rPr>
        <w:t xml:space="preserve"> </w:t>
      </w:r>
      <w:r w:rsidRPr="00C8345E">
        <w:rPr>
          <w:rFonts w:ascii="Arial" w:eastAsia="Times New Roman" w:hAnsi="Arial" w:cs="Arial"/>
          <w:color w:val="222222"/>
          <w:sz w:val="20"/>
          <w:szCs w:val="20"/>
          <w:lang w:val="pt-PT" w:eastAsia="pt-BR"/>
        </w:rPr>
        <w:t>em 54% das áreas.</w:t>
      </w:r>
    </w:p>
    <w:p w14:paraId="085E48A6" w14:textId="77777777" w:rsidR="004B42BB" w:rsidRPr="00FE5BCB" w:rsidRDefault="004B42BB" w:rsidP="004B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color w:val="222222"/>
          <w:sz w:val="20"/>
          <w:szCs w:val="20"/>
          <w:shd w:val="clear" w:color="auto" w:fill="F8F9FA"/>
        </w:rPr>
      </w:pPr>
      <w:r w:rsidRPr="00FE5BCB">
        <w:rPr>
          <w:rFonts w:ascii="Arial" w:hAnsi="Arial" w:cs="Arial"/>
          <w:sz w:val="20"/>
          <w:szCs w:val="20"/>
        </w:rPr>
        <w:br/>
      </w:r>
      <w:r w:rsidRPr="004B42BB">
        <w:rPr>
          <w:rFonts w:ascii="Arial" w:hAnsi="Arial" w:cs="Arial"/>
          <w:color w:val="222222"/>
          <w:sz w:val="20"/>
          <w:szCs w:val="20"/>
        </w:rPr>
        <w:t>Além disso, problemas de articulação entre as partes envolvidas na gestão também contribuiu para o nível atual da implementação de AP na América Latina.</w:t>
      </w:r>
    </w:p>
    <w:p w14:paraId="2415AB73" w14:textId="77777777" w:rsidR="004B42BB" w:rsidRPr="00DD2220" w:rsidRDefault="004B42BB" w:rsidP="004B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hAnsi="Arial" w:cs="Arial"/>
          <w:sz w:val="20"/>
          <w:szCs w:val="20"/>
        </w:rPr>
      </w:pPr>
      <w:r w:rsidRPr="00DD2220">
        <w:rPr>
          <w:rFonts w:ascii="Arial" w:hAnsi="Arial" w:cs="Arial"/>
          <w:sz w:val="20"/>
          <w:szCs w:val="20"/>
        </w:rPr>
        <w:t>Informe Executivo do Relatório/Acórdão/Decisão disponível em língua espanhola:</w:t>
      </w:r>
    </w:p>
    <w:p w14:paraId="6E5F1585" w14:textId="77777777" w:rsidR="004B42BB" w:rsidRPr="00DD2220" w:rsidRDefault="004B42BB" w:rsidP="004B42BB">
      <w:pPr>
        <w:autoSpaceDE w:val="0"/>
        <w:autoSpaceDN w:val="0"/>
        <w:adjustRightInd w:val="0"/>
        <w:spacing w:after="0"/>
        <w:jc w:val="both"/>
        <w:rPr>
          <w:rFonts w:ascii="Arial" w:hAnsi="Arial" w:cs="Arial"/>
        </w:rPr>
      </w:pPr>
    </w:p>
    <w:p w14:paraId="50C978BD" w14:textId="77777777" w:rsidR="004B42BB" w:rsidRPr="00FE5BCB" w:rsidRDefault="004B42BB" w:rsidP="004B42BB">
      <w:pPr>
        <w:autoSpaceDE w:val="0"/>
        <w:autoSpaceDN w:val="0"/>
        <w:adjustRightInd w:val="0"/>
        <w:spacing w:after="0"/>
        <w:jc w:val="both"/>
        <w:rPr>
          <w:rFonts w:ascii="Arial" w:hAnsi="Arial" w:cs="Arial"/>
          <w:sz w:val="20"/>
          <w:szCs w:val="20"/>
        </w:rPr>
      </w:pPr>
      <w:hyperlink r:id="rId19" w:history="1">
        <w:r w:rsidRPr="00FE5BCB">
          <w:rPr>
            <w:rStyle w:val="Hyperlink"/>
            <w:rFonts w:ascii="Arial" w:hAnsi="Arial" w:cs="Arial"/>
            <w:sz w:val="20"/>
            <w:szCs w:val="20"/>
          </w:rPr>
          <w:t>https://www.olacefs.com/wp-content/uploads/2015/10/Resumen-ejecutivo-Auditoria-en-Areas-Protegidas-de-America-Latina-web.pdf</w:t>
        </w:r>
      </w:hyperlink>
    </w:p>
    <w:p w14:paraId="08BD1984" w14:textId="4613388D" w:rsidR="003129B0" w:rsidRPr="006513E0" w:rsidRDefault="003129B0" w:rsidP="003129B0">
      <w:pPr>
        <w:autoSpaceDE w:val="0"/>
        <w:autoSpaceDN w:val="0"/>
        <w:adjustRightInd w:val="0"/>
        <w:spacing w:after="0"/>
        <w:jc w:val="both"/>
        <w:rPr>
          <w:rFonts w:ascii="Arial" w:hAnsi="Arial" w:cs="Arial"/>
          <w:sz w:val="20"/>
          <w:szCs w:val="20"/>
        </w:rPr>
      </w:pPr>
    </w:p>
    <w:p w14:paraId="5988900E" w14:textId="7E20F190" w:rsidR="003129B0" w:rsidRPr="006513E0" w:rsidRDefault="003129B0" w:rsidP="003129B0">
      <w:pPr>
        <w:autoSpaceDE w:val="0"/>
        <w:autoSpaceDN w:val="0"/>
        <w:adjustRightInd w:val="0"/>
        <w:spacing w:after="0"/>
        <w:jc w:val="both"/>
        <w:rPr>
          <w:rFonts w:ascii="Arial" w:hAnsi="Arial" w:cs="Arial"/>
          <w:bCs/>
          <w:sz w:val="20"/>
          <w:szCs w:val="20"/>
          <w:shd w:val="clear" w:color="auto" w:fill="FFFFFF"/>
        </w:rPr>
      </w:pPr>
      <w:r w:rsidRPr="003129B0">
        <w:rPr>
          <w:rFonts w:ascii="Arial" w:hAnsi="Arial" w:cs="Arial"/>
          <w:b/>
          <w:sz w:val="20"/>
          <w:szCs w:val="20"/>
          <w:shd w:val="clear" w:color="auto" w:fill="FFFFFF"/>
        </w:rPr>
        <w:t>ESPANHA</w:t>
      </w:r>
      <w:r w:rsidRPr="006513E0">
        <w:rPr>
          <w:rFonts w:ascii="Arial" w:hAnsi="Arial" w:cs="Arial"/>
          <w:b/>
          <w:sz w:val="20"/>
          <w:szCs w:val="20"/>
        </w:rPr>
        <w:t xml:space="preserve">                                                                                                         </w:t>
      </w:r>
      <w:r>
        <w:rPr>
          <w:rFonts w:ascii="Arial" w:hAnsi="Arial" w:cs="Arial"/>
          <w:b/>
          <w:sz w:val="20"/>
          <w:szCs w:val="20"/>
        </w:rPr>
        <w:t xml:space="preserve">                </w:t>
      </w:r>
      <w:r w:rsidRPr="006513E0">
        <w:rPr>
          <w:rFonts w:ascii="Arial" w:hAnsi="Arial" w:cs="Arial"/>
          <w:b/>
          <w:sz w:val="20"/>
          <w:szCs w:val="20"/>
        </w:rPr>
        <w:t xml:space="preserve">  </w:t>
      </w:r>
      <w:r>
        <w:rPr>
          <w:rFonts w:ascii="Arial" w:hAnsi="Arial" w:cs="Arial"/>
          <w:noProof/>
          <w:sz w:val="20"/>
          <w:szCs w:val="20"/>
          <w:lang w:eastAsia="pt-BR"/>
        </w:rPr>
        <w:drawing>
          <wp:inline distT="0" distB="0" distL="0" distR="0" wp14:anchorId="41CD9704" wp14:editId="52F16AB3">
            <wp:extent cx="382630" cy="256612"/>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4b462fbecf767d884a286bf1236c054.jpg"/>
                    <pic:cNvPicPr/>
                  </pic:nvPicPr>
                  <pic:blipFill>
                    <a:blip r:embed="rId20"/>
                    <a:stretch>
                      <a:fillRect/>
                    </a:stretch>
                  </pic:blipFill>
                  <pic:spPr>
                    <a:xfrm>
                      <a:off x="0" y="0"/>
                      <a:ext cx="414811" cy="278194"/>
                    </a:xfrm>
                    <a:prstGeom prst="rect">
                      <a:avLst/>
                    </a:prstGeom>
                  </pic:spPr>
                </pic:pic>
              </a:graphicData>
            </a:graphic>
          </wp:inline>
        </w:drawing>
      </w:r>
    </w:p>
    <w:p w14:paraId="670B3E47" w14:textId="77777777" w:rsidR="003129B0" w:rsidRPr="006513E0" w:rsidRDefault="003129B0" w:rsidP="003129B0">
      <w:pPr>
        <w:autoSpaceDE w:val="0"/>
        <w:autoSpaceDN w:val="0"/>
        <w:adjustRightInd w:val="0"/>
        <w:spacing w:after="0"/>
        <w:jc w:val="both"/>
        <w:rPr>
          <w:rFonts w:ascii="Arial" w:hAnsi="Arial" w:cs="Arial"/>
          <w:bCs/>
          <w:sz w:val="20"/>
          <w:szCs w:val="20"/>
          <w:shd w:val="clear" w:color="auto" w:fill="FFFFFF"/>
        </w:rPr>
      </w:pPr>
    </w:p>
    <w:p w14:paraId="68DA6CBC" w14:textId="7797DB9B" w:rsidR="003129B0" w:rsidRPr="00522368" w:rsidRDefault="003129B0" w:rsidP="00522368">
      <w:pPr>
        <w:pBdr>
          <w:bottom w:val="double" w:sz="4" w:space="1" w:color="800000"/>
        </w:pBdr>
        <w:rPr>
          <w:rFonts w:ascii="Arial" w:hAnsi="Arial" w:cs="Arial"/>
          <w:b/>
          <w:sz w:val="20"/>
          <w:szCs w:val="20"/>
        </w:rPr>
      </w:pPr>
      <w:r w:rsidRPr="006513E0">
        <w:rPr>
          <w:rFonts w:ascii="Arial" w:hAnsi="Arial" w:cs="Arial"/>
          <w:b/>
          <w:sz w:val="20"/>
          <w:szCs w:val="20"/>
        </w:rPr>
        <w:t xml:space="preserve">1 -   TRIBUNAL DE CUENTAS  </w:t>
      </w:r>
    </w:p>
    <w:p w14:paraId="1E8A45A9" w14:textId="77777777" w:rsidR="003129B0" w:rsidRPr="006513E0" w:rsidRDefault="003129B0" w:rsidP="003129B0">
      <w:pPr>
        <w:autoSpaceDE w:val="0"/>
        <w:autoSpaceDN w:val="0"/>
        <w:adjustRightInd w:val="0"/>
        <w:spacing w:after="0"/>
        <w:jc w:val="both"/>
        <w:rPr>
          <w:rFonts w:ascii="Arial" w:hAnsi="Arial" w:cs="Arial"/>
          <w:sz w:val="20"/>
          <w:szCs w:val="20"/>
          <w:shd w:val="clear" w:color="auto" w:fill="FFFFFF"/>
        </w:rPr>
      </w:pPr>
      <w:r w:rsidRPr="006513E0">
        <w:rPr>
          <w:rFonts w:ascii="Arial" w:hAnsi="Arial" w:cs="Arial"/>
          <w:sz w:val="20"/>
          <w:szCs w:val="20"/>
          <w:shd w:val="clear" w:color="auto" w:fill="FFFFFF"/>
        </w:rPr>
        <w:t xml:space="preserve">Publicação original acessível em: </w:t>
      </w:r>
    </w:p>
    <w:p w14:paraId="399F244F" w14:textId="77777777" w:rsidR="003129B0" w:rsidRPr="006513E0" w:rsidRDefault="003129B0" w:rsidP="003129B0">
      <w:pPr>
        <w:autoSpaceDE w:val="0"/>
        <w:autoSpaceDN w:val="0"/>
        <w:adjustRightInd w:val="0"/>
        <w:spacing w:after="0"/>
        <w:jc w:val="both"/>
        <w:rPr>
          <w:rFonts w:ascii="Arial" w:hAnsi="Arial" w:cs="Arial"/>
          <w:sz w:val="20"/>
          <w:szCs w:val="20"/>
        </w:rPr>
      </w:pPr>
    </w:p>
    <w:p w14:paraId="346797D1" w14:textId="1FFB5373" w:rsidR="003129B0" w:rsidRDefault="004B42BB" w:rsidP="003129B0">
      <w:pPr>
        <w:spacing w:after="0"/>
        <w:rPr>
          <w:rFonts w:ascii="Arial" w:hAnsi="Arial" w:cs="Arial"/>
          <w:b/>
          <w:sz w:val="20"/>
          <w:szCs w:val="20"/>
        </w:rPr>
      </w:pPr>
      <w:hyperlink r:id="rId21" w:history="1">
        <w:r w:rsidRPr="00EE441F">
          <w:rPr>
            <w:rStyle w:val="Hyperlink"/>
            <w:rFonts w:ascii="Arial" w:hAnsi="Arial" w:cs="Arial"/>
            <w:b/>
            <w:sz w:val="20"/>
            <w:szCs w:val="20"/>
          </w:rPr>
          <w:t>https://www.tcu.es/tribunal-de-cuentas/es/sala-de-prensa/noticias/El-Tribunal-de-Cuentas-aprueba-el-Informe-de-fiscalizacion-sobre-el-control-sanitario-del-agua-ejercido-por-el-Ministerio-de-Sanidad-Servicios-Sociales-e-Igualdad-ejercicio-2017/</w:t>
        </w:r>
      </w:hyperlink>
      <w:r>
        <w:rPr>
          <w:rFonts w:ascii="Arial" w:hAnsi="Arial" w:cs="Arial"/>
          <w:b/>
          <w:sz w:val="20"/>
          <w:szCs w:val="20"/>
        </w:rPr>
        <w:t xml:space="preserve"> </w:t>
      </w:r>
    </w:p>
    <w:p w14:paraId="00DACC72" w14:textId="77777777" w:rsidR="004B42BB" w:rsidRPr="006513E0" w:rsidRDefault="004B42BB" w:rsidP="003129B0">
      <w:pPr>
        <w:spacing w:after="0"/>
        <w:rPr>
          <w:rFonts w:ascii="Arial" w:hAnsi="Arial" w:cs="Arial"/>
          <w:b/>
          <w:sz w:val="20"/>
          <w:szCs w:val="20"/>
        </w:rPr>
      </w:pPr>
    </w:p>
    <w:p w14:paraId="689B01D6" w14:textId="01BB383B" w:rsidR="00FA1B32" w:rsidRDefault="00522368" w:rsidP="00FA1B32">
      <w:pPr>
        <w:spacing w:after="0" w:line="360" w:lineRule="auto"/>
        <w:jc w:val="both"/>
        <w:rPr>
          <w:rFonts w:ascii="Arial" w:eastAsia="Times New Roman" w:hAnsi="Arial" w:cs="Arial"/>
          <w:sz w:val="20"/>
          <w:szCs w:val="20"/>
          <w:lang w:val="pt-PT" w:eastAsia="pt-BR"/>
        </w:rPr>
      </w:pPr>
      <w:r w:rsidRPr="00522368">
        <w:rPr>
          <w:rFonts w:ascii="Arial" w:eastAsia="Times New Roman" w:hAnsi="Arial" w:cs="Arial"/>
          <w:sz w:val="20"/>
          <w:szCs w:val="20"/>
          <w:lang w:val="pt-PT" w:eastAsia="pt-BR"/>
        </w:rPr>
        <w:t xml:space="preserve">Trata-se de uma auditoria de desempenho realizada por iniciativa do Tribunal de Contas da Espanha, </w:t>
      </w:r>
      <w:r>
        <w:rPr>
          <w:rFonts w:ascii="Arial" w:eastAsia="Times New Roman" w:hAnsi="Arial" w:cs="Arial"/>
          <w:sz w:val="20"/>
          <w:szCs w:val="20"/>
          <w:lang w:val="pt-PT" w:eastAsia="pt-BR"/>
        </w:rPr>
        <w:t>cujos</w:t>
      </w:r>
      <w:r w:rsidRPr="00522368">
        <w:rPr>
          <w:rFonts w:ascii="Arial" w:eastAsia="Times New Roman" w:hAnsi="Arial" w:cs="Arial"/>
          <w:sz w:val="20"/>
          <w:szCs w:val="20"/>
          <w:lang w:val="pt-PT" w:eastAsia="pt-BR"/>
        </w:rPr>
        <w:t xml:space="preserve"> objetivos</w:t>
      </w:r>
      <w:r>
        <w:rPr>
          <w:rFonts w:ascii="Arial" w:eastAsia="Times New Roman" w:hAnsi="Arial" w:cs="Arial"/>
          <w:sz w:val="20"/>
          <w:szCs w:val="20"/>
          <w:lang w:val="pt-PT" w:eastAsia="pt-BR"/>
        </w:rPr>
        <w:t xml:space="preserve"> foram</w:t>
      </w:r>
      <w:r w:rsidRPr="00522368">
        <w:rPr>
          <w:rFonts w:ascii="Arial" w:eastAsia="Times New Roman" w:hAnsi="Arial" w:cs="Arial"/>
          <w:sz w:val="20"/>
          <w:szCs w:val="20"/>
          <w:lang w:val="pt-PT" w:eastAsia="pt-BR"/>
        </w:rPr>
        <w:t>: analisar os sistemas e procedimentos aplicados pelo Ministério da Saúde, Serviços Sociais, Consumo e Bem-Estar Social para o controle sanitário da qualidade da água</w:t>
      </w:r>
      <w:r>
        <w:rPr>
          <w:rFonts w:ascii="Arial" w:eastAsia="Times New Roman" w:hAnsi="Arial" w:cs="Arial"/>
          <w:sz w:val="20"/>
          <w:szCs w:val="20"/>
          <w:lang w:val="pt-PT" w:eastAsia="pt-BR"/>
        </w:rPr>
        <w:t xml:space="preserve"> quanto a</w:t>
      </w:r>
      <w:r w:rsidRPr="00522368">
        <w:rPr>
          <w:rFonts w:ascii="Arial" w:eastAsia="Times New Roman" w:hAnsi="Arial" w:cs="Arial"/>
          <w:sz w:val="20"/>
          <w:szCs w:val="20"/>
          <w:lang w:val="pt-PT" w:eastAsia="pt-BR"/>
        </w:rPr>
        <w:t>os princípios da legalidade, eficácia, eficiência e economia, e da sustentabilidade ambiental; analisar as ações de coordenação entre o Ministério e o Instituto de Saúde Carlos III em relação à vigilância epidemiológica das doenças transmitidas pela água; analisar as medidas para melhorar a qualidade da água planejadas e implementadas, quando apropriado, pelo Ministério em relação ao Objetivo de Desenvolvimento Sustentável 6.</w:t>
      </w:r>
    </w:p>
    <w:p w14:paraId="0668CE88" w14:textId="77777777" w:rsidR="00FA1B32" w:rsidRDefault="00FA1B32" w:rsidP="00FA1B32">
      <w:pPr>
        <w:spacing w:after="0" w:line="360" w:lineRule="auto"/>
        <w:jc w:val="both"/>
        <w:rPr>
          <w:rFonts w:ascii="Arial" w:eastAsia="Times New Roman" w:hAnsi="Arial" w:cs="Arial"/>
          <w:sz w:val="20"/>
          <w:szCs w:val="20"/>
          <w:lang w:val="pt-PT" w:eastAsia="pt-BR"/>
        </w:rPr>
      </w:pPr>
    </w:p>
    <w:p w14:paraId="3CD42970" w14:textId="7DC7F97E" w:rsidR="00522368" w:rsidRDefault="00522368" w:rsidP="00FA1B32">
      <w:pPr>
        <w:spacing w:after="0" w:line="360" w:lineRule="auto"/>
        <w:jc w:val="both"/>
        <w:rPr>
          <w:rFonts w:ascii="Arial" w:eastAsia="Times New Roman" w:hAnsi="Arial" w:cs="Arial"/>
          <w:sz w:val="20"/>
          <w:szCs w:val="20"/>
          <w:lang w:val="pt-PT" w:eastAsia="pt-BR"/>
        </w:rPr>
      </w:pPr>
      <w:r w:rsidRPr="00522368">
        <w:rPr>
          <w:rFonts w:ascii="Arial" w:eastAsia="Times New Roman" w:hAnsi="Arial" w:cs="Arial"/>
          <w:sz w:val="20"/>
          <w:szCs w:val="20"/>
          <w:lang w:val="pt-PT" w:eastAsia="pt-BR"/>
        </w:rPr>
        <w:lastRenderedPageBreak/>
        <w:t>Da mesma forma,</w:t>
      </w:r>
      <w:r w:rsidR="00FA1B32">
        <w:rPr>
          <w:rFonts w:ascii="Arial" w:eastAsia="Times New Roman" w:hAnsi="Arial" w:cs="Arial"/>
          <w:sz w:val="20"/>
          <w:szCs w:val="20"/>
          <w:lang w:val="pt-PT" w:eastAsia="pt-BR"/>
        </w:rPr>
        <w:t xml:space="preserve"> a auditoria analisou todas essas informações em conjunto a</w:t>
      </w:r>
      <w:r w:rsidRPr="00522368">
        <w:rPr>
          <w:rFonts w:ascii="Arial" w:eastAsia="Times New Roman" w:hAnsi="Arial" w:cs="Arial"/>
          <w:sz w:val="20"/>
          <w:szCs w:val="20"/>
          <w:lang w:val="pt-PT" w:eastAsia="pt-BR"/>
        </w:rPr>
        <w:t>o cumprimento das regras para a igualdade efetiva de mulheres e homens, bem como para a transparência, o acesso ao público</w:t>
      </w:r>
      <w:r w:rsidR="00FA1B32">
        <w:rPr>
          <w:rFonts w:ascii="Arial" w:eastAsia="Times New Roman" w:hAnsi="Arial" w:cs="Arial"/>
          <w:sz w:val="20"/>
          <w:szCs w:val="20"/>
          <w:lang w:val="pt-PT" w:eastAsia="pt-BR"/>
        </w:rPr>
        <w:t xml:space="preserve"> de</w:t>
      </w:r>
      <w:r w:rsidRPr="00522368">
        <w:rPr>
          <w:rFonts w:ascii="Arial" w:eastAsia="Times New Roman" w:hAnsi="Arial" w:cs="Arial"/>
          <w:sz w:val="20"/>
          <w:szCs w:val="20"/>
          <w:lang w:val="pt-PT" w:eastAsia="pt-BR"/>
        </w:rPr>
        <w:t xml:space="preserve"> informações e governança.</w:t>
      </w:r>
    </w:p>
    <w:p w14:paraId="7BBB4F8C" w14:textId="5BE7976F" w:rsidR="00FA1B32" w:rsidRDefault="00FA1B32" w:rsidP="00FA1B32">
      <w:pPr>
        <w:spacing w:after="0" w:line="360" w:lineRule="auto"/>
        <w:jc w:val="both"/>
        <w:rPr>
          <w:rFonts w:ascii="Arial" w:eastAsia="Times New Roman" w:hAnsi="Arial" w:cs="Arial"/>
          <w:sz w:val="20"/>
          <w:szCs w:val="20"/>
          <w:lang w:val="pt-PT" w:eastAsia="pt-BR"/>
        </w:rPr>
      </w:pPr>
    </w:p>
    <w:p w14:paraId="5EA9549D" w14:textId="77F6EBBE" w:rsidR="00FA1B32" w:rsidRDefault="00FA1B32" w:rsidP="00FA1B32">
      <w:pPr>
        <w:spacing w:after="0" w:line="360" w:lineRule="auto"/>
        <w:jc w:val="both"/>
        <w:rPr>
          <w:rFonts w:ascii="Arial" w:eastAsia="Times New Roman" w:hAnsi="Arial" w:cs="Arial"/>
          <w:sz w:val="20"/>
          <w:szCs w:val="20"/>
          <w:lang w:val="pt-PT" w:eastAsia="pt-BR"/>
        </w:rPr>
      </w:pPr>
      <w:r>
        <w:rPr>
          <w:rFonts w:ascii="Arial" w:eastAsia="Times New Roman" w:hAnsi="Arial" w:cs="Arial"/>
          <w:sz w:val="20"/>
          <w:szCs w:val="20"/>
          <w:lang w:val="pt-PT" w:eastAsia="pt-BR"/>
        </w:rPr>
        <w:t>A auditoria</w:t>
      </w:r>
      <w:r w:rsidR="00D0183F">
        <w:rPr>
          <w:rFonts w:ascii="Arial" w:eastAsia="Times New Roman" w:hAnsi="Arial" w:cs="Arial"/>
          <w:sz w:val="20"/>
          <w:szCs w:val="20"/>
          <w:lang w:val="pt-PT" w:eastAsia="pt-BR"/>
        </w:rPr>
        <w:t>, que analisou as atividades referentes ao exercício do ano de 2017, utilizou-se de dados secundários para avaliar cada um dos objetivos, cujas principais conclusões foram:</w:t>
      </w:r>
    </w:p>
    <w:p w14:paraId="56BED18E" w14:textId="717A2666" w:rsidR="00D0183F" w:rsidRDefault="00D0183F" w:rsidP="00FA1B32">
      <w:pPr>
        <w:spacing w:after="0" w:line="360" w:lineRule="auto"/>
        <w:jc w:val="both"/>
        <w:rPr>
          <w:rFonts w:ascii="Arial" w:eastAsia="Times New Roman" w:hAnsi="Arial" w:cs="Arial"/>
          <w:sz w:val="20"/>
          <w:szCs w:val="20"/>
          <w:lang w:val="pt-PT" w:eastAsia="pt-BR"/>
        </w:rPr>
      </w:pPr>
    </w:p>
    <w:p w14:paraId="78694E6D" w14:textId="77777777" w:rsidR="00D7297C" w:rsidRDefault="00D0183F" w:rsidP="00D0183F">
      <w:pPr>
        <w:pStyle w:val="PargrafodaLista"/>
        <w:numPr>
          <w:ilvl w:val="0"/>
          <w:numId w:val="17"/>
        </w:numPr>
        <w:spacing w:after="0" w:line="360" w:lineRule="auto"/>
        <w:jc w:val="both"/>
        <w:rPr>
          <w:rFonts w:ascii="Arial" w:eastAsia="Times New Roman" w:hAnsi="Arial" w:cs="Arial"/>
          <w:sz w:val="20"/>
          <w:szCs w:val="20"/>
          <w:lang w:val="pt-PT" w:eastAsia="pt-BR"/>
        </w:rPr>
      </w:pPr>
      <w:r>
        <w:rPr>
          <w:rFonts w:ascii="Arial" w:eastAsia="Times New Roman" w:hAnsi="Arial" w:cs="Arial"/>
          <w:sz w:val="20"/>
          <w:szCs w:val="20"/>
          <w:lang w:val="pt-PT" w:eastAsia="pt-BR"/>
        </w:rPr>
        <w:t xml:space="preserve">Ao analisar o marco regulatório da água, verificou que o Ministério </w:t>
      </w:r>
      <w:r w:rsidR="00D7297C">
        <w:rPr>
          <w:rFonts w:ascii="Arial" w:eastAsia="Times New Roman" w:hAnsi="Arial" w:cs="Arial"/>
          <w:sz w:val="20"/>
          <w:szCs w:val="20"/>
          <w:lang w:val="pt-PT" w:eastAsia="pt-BR"/>
        </w:rPr>
        <w:t>não regulamentou alguns itens essenciais para a qualidade da água das piscinas públicas espanholas, tais como a falta de atualização de critérios técnico-sanitários gerais de manutenção dessas áreas, assim como a forma de certificação dos técnicos capacitados para a limpeza dos equipamentos e instalações;</w:t>
      </w:r>
    </w:p>
    <w:p w14:paraId="762013E2" w14:textId="7DA2E179" w:rsidR="00D0183F" w:rsidRPr="00D0183F" w:rsidRDefault="00D7297C" w:rsidP="00D0183F">
      <w:pPr>
        <w:pStyle w:val="PargrafodaLista"/>
        <w:numPr>
          <w:ilvl w:val="0"/>
          <w:numId w:val="17"/>
        </w:numPr>
        <w:spacing w:after="0" w:line="360" w:lineRule="auto"/>
        <w:jc w:val="both"/>
        <w:rPr>
          <w:rFonts w:ascii="Arial" w:eastAsia="Times New Roman" w:hAnsi="Arial" w:cs="Arial"/>
          <w:sz w:val="20"/>
          <w:szCs w:val="20"/>
          <w:lang w:val="pt-PT" w:eastAsia="pt-BR"/>
        </w:rPr>
      </w:pPr>
      <w:r>
        <w:rPr>
          <w:rFonts w:ascii="Arial" w:eastAsia="Times New Roman" w:hAnsi="Arial" w:cs="Arial"/>
          <w:sz w:val="20"/>
          <w:szCs w:val="20"/>
          <w:lang w:val="pt-PT" w:eastAsia="pt-BR"/>
        </w:rPr>
        <w:t xml:space="preserve">Foi observada uma ampla subnotificação dos dados de controle da água, tanto pelos órgãos sanitários quanto pelos gestores das zonas de abastecimento. Além da subnotificação, foram observados grandes atrasos na atualização das informações, o que compromete a confiabilidade dos dados da água fornecidos pelo Ministério;  </w:t>
      </w:r>
    </w:p>
    <w:p w14:paraId="76AA6395" w14:textId="6CB0ECB8" w:rsidR="00FA1B32" w:rsidRDefault="00FA1B32" w:rsidP="00FA1B32">
      <w:pPr>
        <w:spacing w:after="0" w:line="360" w:lineRule="auto"/>
        <w:jc w:val="both"/>
        <w:rPr>
          <w:rFonts w:ascii="Arial" w:eastAsia="Times New Roman" w:hAnsi="Arial" w:cs="Arial"/>
          <w:sz w:val="20"/>
          <w:szCs w:val="20"/>
          <w:lang w:val="pt-PT" w:eastAsia="pt-BR"/>
        </w:rPr>
      </w:pPr>
    </w:p>
    <w:p w14:paraId="2F8B7B97" w14:textId="5AB0FD8D" w:rsidR="003129B0" w:rsidRDefault="00D7297C" w:rsidP="002B66D9">
      <w:pPr>
        <w:spacing w:after="0" w:line="360" w:lineRule="auto"/>
        <w:jc w:val="both"/>
        <w:rPr>
          <w:rFonts w:ascii="Arial" w:eastAsia="Times New Roman" w:hAnsi="Arial" w:cs="Arial"/>
          <w:sz w:val="20"/>
          <w:szCs w:val="20"/>
          <w:lang w:val="pt-PT" w:eastAsia="pt-BR"/>
        </w:rPr>
      </w:pPr>
      <w:r>
        <w:rPr>
          <w:rFonts w:ascii="Arial" w:eastAsia="Times New Roman" w:hAnsi="Arial" w:cs="Arial"/>
          <w:sz w:val="20"/>
          <w:szCs w:val="20"/>
          <w:lang w:val="pt-PT" w:eastAsia="pt-BR"/>
        </w:rPr>
        <w:t>Diante desse quadro, recomendou-se ao Ministério que procedesse a um amplo processo de revisão dos procedimentos de coleta e disponibilização de informações. Mais ainda, sugeriu que o acesso a esse banco de dados fosse realizado da forma mais ampla possível, estimulando o controle da qualidade da água pela sociedade civil.</w:t>
      </w:r>
    </w:p>
    <w:p w14:paraId="52FBEF4D" w14:textId="77777777" w:rsidR="002B66D9" w:rsidRPr="002B66D9" w:rsidRDefault="002B66D9" w:rsidP="002B66D9">
      <w:pPr>
        <w:spacing w:after="0" w:line="360" w:lineRule="auto"/>
        <w:jc w:val="both"/>
        <w:rPr>
          <w:rFonts w:ascii="Arial" w:eastAsia="Times New Roman" w:hAnsi="Arial" w:cs="Arial"/>
          <w:sz w:val="20"/>
          <w:szCs w:val="20"/>
          <w:lang w:val="pt-PT" w:eastAsia="pt-BR"/>
        </w:rPr>
      </w:pPr>
    </w:p>
    <w:p w14:paraId="1511116C" w14:textId="361E2D9B" w:rsidR="003129B0" w:rsidRDefault="003129B0" w:rsidP="003129B0">
      <w:pPr>
        <w:autoSpaceDE w:val="0"/>
        <w:autoSpaceDN w:val="0"/>
        <w:adjustRightInd w:val="0"/>
        <w:spacing w:after="0"/>
        <w:jc w:val="both"/>
        <w:rPr>
          <w:rFonts w:ascii="Arial" w:hAnsi="Arial" w:cs="Arial"/>
          <w:sz w:val="20"/>
          <w:szCs w:val="20"/>
        </w:rPr>
      </w:pPr>
      <w:proofErr w:type="spellStart"/>
      <w:r w:rsidRPr="006513E0">
        <w:rPr>
          <w:rFonts w:ascii="Arial" w:hAnsi="Arial" w:cs="Arial"/>
          <w:sz w:val="20"/>
          <w:szCs w:val="20"/>
        </w:rPr>
        <w:t>In</w:t>
      </w:r>
      <w:proofErr w:type="spellEnd"/>
      <w:r w:rsidRPr="006513E0">
        <w:rPr>
          <w:rFonts w:ascii="Arial" w:hAnsi="Arial" w:cs="Arial"/>
          <w:sz w:val="20"/>
          <w:szCs w:val="20"/>
        </w:rPr>
        <w:t>forme Executivo do Relatório disponível em língua espanhola:</w:t>
      </w:r>
    </w:p>
    <w:p w14:paraId="4AD60D3D" w14:textId="77777777" w:rsidR="003129B0" w:rsidRPr="006513E0" w:rsidRDefault="003129B0" w:rsidP="003129B0">
      <w:pPr>
        <w:autoSpaceDE w:val="0"/>
        <w:autoSpaceDN w:val="0"/>
        <w:adjustRightInd w:val="0"/>
        <w:spacing w:after="0"/>
        <w:jc w:val="both"/>
        <w:rPr>
          <w:rFonts w:ascii="Arial" w:hAnsi="Arial" w:cs="Arial"/>
          <w:sz w:val="20"/>
          <w:szCs w:val="20"/>
        </w:rPr>
      </w:pPr>
    </w:p>
    <w:p w14:paraId="411C5A94" w14:textId="26429BA7" w:rsidR="003129B0" w:rsidRPr="006513E0" w:rsidRDefault="004B42BB" w:rsidP="003129B0">
      <w:pPr>
        <w:spacing w:after="0"/>
        <w:rPr>
          <w:rFonts w:ascii="Arial" w:hAnsi="Arial" w:cs="Arial"/>
          <w:b/>
          <w:sz w:val="20"/>
          <w:szCs w:val="20"/>
        </w:rPr>
      </w:pPr>
      <w:hyperlink r:id="rId22" w:history="1">
        <w:r w:rsidRPr="00EE441F">
          <w:rPr>
            <w:rStyle w:val="Hyperlink"/>
            <w:rFonts w:ascii="Arial" w:hAnsi="Arial" w:cs="Arial"/>
            <w:b/>
            <w:sz w:val="20"/>
            <w:szCs w:val="20"/>
          </w:rPr>
          <w:t>https://www.tcu.es/repositorio/55ecb4f7-ff07-4e5d-8ef1-e5e46b4969de/I1344.pdf</w:t>
        </w:r>
      </w:hyperlink>
      <w:r>
        <w:rPr>
          <w:rFonts w:ascii="Arial" w:hAnsi="Arial" w:cs="Arial"/>
          <w:b/>
          <w:sz w:val="20"/>
          <w:szCs w:val="20"/>
        </w:rPr>
        <w:t xml:space="preserve"> </w:t>
      </w:r>
    </w:p>
    <w:p w14:paraId="31369A62" w14:textId="77777777" w:rsidR="003129B0" w:rsidRPr="006513E0" w:rsidRDefault="003129B0" w:rsidP="003129B0">
      <w:pPr>
        <w:spacing w:after="0"/>
        <w:rPr>
          <w:rFonts w:ascii="Arial" w:hAnsi="Arial" w:cs="Arial"/>
          <w:b/>
          <w:sz w:val="20"/>
          <w:szCs w:val="20"/>
        </w:rPr>
      </w:pPr>
    </w:p>
    <w:p w14:paraId="40A5A238" w14:textId="77777777" w:rsidR="00DF3666" w:rsidRPr="00FD3999" w:rsidRDefault="00DF3666" w:rsidP="00736503">
      <w:pPr>
        <w:spacing w:after="0"/>
        <w:jc w:val="both"/>
        <w:rPr>
          <w:rFonts w:ascii="Arial" w:hAnsi="Arial" w:cs="Arial"/>
          <w:color w:val="000000"/>
          <w:sz w:val="20"/>
          <w:szCs w:val="20"/>
        </w:rPr>
      </w:pPr>
    </w:p>
    <w:p w14:paraId="2D4D0BD2" w14:textId="77777777" w:rsidR="00543DF0" w:rsidRDefault="00543DF0" w:rsidP="00736503">
      <w:pPr>
        <w:pStyle w:val="Default"/>
        <w:spacing w:line="276" w:lineRule="auto"/>
        <w:jc w:val="both"/>
        <w:rPr>
          <w:b/>
          <w:sz w:val="20"/>
          <w:szCs w:val="20"/>
        </w:rPr>
      </w:pPr>
      <w:r>
        <w:rPr>
          <w:b/>
          <w:sz w:val="20"/>
          <w:szCs w:val="20"/>
        </w:rPr>
        <w:t xml:space="preserve">Acesse também: </w:t>
      </w:r>
    </w:p>
    <w:p w14:paraId="7FCB4A15" w14:textId="77777777" w:rsidR="00270E2F" w:rsidRDefault="00D44A31" w:rsidP="00736503">
      <w:pPr>
        <w:pStyle w:val="Default"/>
        <w:spacing w:line="276" w:lineRule="auto"/>
        <w:jc w:val="center"/>
        <w:rPr>
          <w:rStyle w:val="Hyperlink"/>
          <w:b/>
          <w:sz w:val="20"/>
          <w:szCs w:val="20"/>
        </w:rPr>
      </w:pPr>
      <w:hyperlink r:id="rId23" w:history="1">
        <w:r w:rsidR="00270E2F" w:rsidRPr="00BC4C07">
          <w:rPr>
            <w:rStyle w:val="Hyperlink"/>
            <w:b/>
            <w:sz w:val="20"/>
            <w:szCs w:val="20"/>
          </w:rPr>
          <w:t>Pesquisas Prontas</w:t>
        </w:r>
      </w:hyperlink>
    </w:p>
    <w:p w14:paraId="34E5FCD1" w14:textId="77777777" w:rsidR="00E3262F" w:rsidRDefault="00E3262F" w:rsidP="00736503">
      <w:pPr>
        <w:pStyle w:val="Default"/>
        <w:spacing w:line="276" w:lineRule="auto"/>
        <w:jc w:val="center"/>
        <w:rPr>
          <w:rStyle w:val="Hyperlink"/>
          <w:b/>
          <w:sz w:val="20"/>
          <w:szCs w:val="20"/>
        </w:rPr>
      </w:pPr>
    </w:p>
    <w:p w14:paraId="7620BB0F" w14:textId="77777777" w:rsidR="00E3262F" w:rsidRPr="00BC4C07" w:rsidRDefault="00D44A31" w:rsidP="00736503">
      <w:pPr>
        <w:pStyle w:val="Default"/>
        <w:spacing w:line="276" w:lineRule="auto"/>
        <w:jc w:val="center"/>
        <w:rPr>
          <w:b/>
          <w:sz w:val="20"/>
          <w:szCs w:val="20"/>
        </w:rPr>
      </w:pPr>
      <w:hyperlink r:id="rId24" w:history="1">
        <w:r w:rsidR="00E3262F" w:rsidRPr="00E3262F">
          <w:rPr>
            <w:rStyle w:val="Hyperlink"/>
            <w:b/>
            <w:sz w:val="20"/>
            <w:szCs w:val="20"/>
          </w:rPr>
          <w:t>Teses Ambientais</w:t>
        </w:r>
      </w:hyperlink>
    </w:p>
    <w:p w14:paraId="60B5262F" w14:textId="77777777" w:rsidR="00270E2F" w:rsidRDefault="00270E2F" w:rsidP="00736503">
      <w:pPr>
        <w:pStyle w:val="Default"/>
        <w:spacing w:line="276" w:lineRule="auto"/>
        <w:jc w:val="center"/>
      </w:pPr>
    </w:p>
    <w:p w14:paraId="2086BD1B" w14:textId="77777777" w:rsidR="00270E2F" w:rsidRDefault="00D44A31" w:rsidP="00736503">
      <w:pPr>
        <w:pStyle w:val="Default"/>
        <w:spacing w:line="276" w:lineRule="auto"/>
        <w:jc w:val="center"/>
        <w:rPr>
          <w:rStyle w:val="Hyperlink"/>
          <w:b/>
          <w:sz w:val="20"/>
          <w:szCs w:val="20"/>
        </w:rPr>
      </w:pPr>
      <w:hyperlink r:id="rId25" w:history="1">
        <w:r w:rsidR="00270E2F">
          <w:rPr>
            <w:rStyle w:val="Hyperlink"/>
            <w:b/>
            <w:sz w:val="20"/>
            <w:szCs w:val="20"/>
          </w:rPr>
          <w:t>Repercussão Geral do Supremo Tribunal Federal - STF e os Tribunais de Contas</w:t>
        </w:r>
      </w:hyperlink>
    </w:p>
    <w:p w14:paraId="6C117B17" w14:textId="77777777" w:rsidR="00270E2F" w:rsidRPr="00DD265A" w:rsidRDefault="00270E2F" w:rsidP="00736503">
      <w:pPr>
        <w:pStyle w:val="Default"/>
        <w:spacing w:line="276" w:lineRule="auto"/>
        <w:jc w:val="center"/>
        <w:rPr>
          <w:rStyle w:val="Hyperlink"/>
          <w:b/>
          <w:sz w:val="20"/>
          <w:szCs w:val="20"/>
        </w:rPr>
      </w:pPr>
    </w:p>
    <w:p w14:paraId="75AC09BA" w14:textId="77777777" w:rsidR="003E297C" w:rsidRDefault="00D44A31" w:rsidP="00736503">
      <w:pPr>
        <w:pStyle w:val="Default"/>
        <w:spacing w:line="276" w:lineRule="auto"/>
        <w:jc w:val="center"/>
        <w:rPr>
          <w:rStyle w:val="Hyperlink"/>
          <w:b/>
          <w:sz w:val="20"/>
          <w:szCs w:val="20"/>
        </w:rPr>
      </w:pPr>
      <w:hyperlink r:id="rId26" w:history="1">
        <w:r w:rsidR="003E297C">
          <w:rPr>
            <w:rStyle w:val="Hyperlink"/>
            <w:b/>
            <w:sz w:val="20"/>
            <w:szCs w:val="20"/>
          </w:rPr>
          <w:t>Boletim Informativo de Jurisprudência</w:t>
        </w:r>
      </w:hyperlink>
    </w:p>
    <w:p w14:paraId="63FE25D2" w14:textId="77777777" w:rsidR="003E297C" w:rsidRDefault="003E297C" w:rsidP="00736503">
      <w:pPr>
        <w:pStyle w:val="Default"/>
        <w:spacing w:line="276" w:lineRule="auto"/>
        <w:jc w:val="center"/>
        <w:rPr>
          <w:rStyle w:val="Hyperlink"/>
          <w:b/>
          <w:sz w:val="20"/>
          <w:szCs w:val="20"/>
        </w:rPr>
      </w:pPr>
    </w:p>
    <w:p w14:paraId="27FDCFDE" w14:textId="77777777" w:rsidR="003E297C" w:rsidRDefault="00D44A31" w:rsidP="00736503">
      <w:pPr>
        <w:pStyle w:val="Default"/>
        <w:spacing w:line="276" w:lineRule="auto"/>
        <w:jc w:val="center"/>
        <w:rPr>
          <w:rStyle w:val="Hyperlink"/>
          <w:b/>
          <w:sz w:val="20"/>
          <w:szCs w:val="20"/>
        </w:rPr>
      </w:pPr>
      <w:hyperlink r:id="rId27" w:history="1">
        <w:r w:rsidR="003E297C">
          <w:rPr>
            <w:rStyle w:val="Hyperlink"/>
            <w:b/>
            <w:sz w:val="20"/>
            <w:szCs w:val="20"/>
          </w:rPr>
          <w:t>Súmulas Selecionadas</w:t>
        </w:r>
      </w:hyperlink>
    </w:p>
    <w:p w14:paraId="4F1C44AD" w14:textId="77777777" w:rsidR="00270E2F" w:rsidRDefault="00270E2F" w:rsidP="00736503">
      <w:pPr>
        <w:pStyle w:val="TCU-Epgrafe"/>
        <w:spacing w:line="276" w:lineRule="auto"/>
        <w:ind w:left="0"/>
        <w:rPr>
          <w:sz w:val="22"/>
          <w:szCs w:val="22"/>
        </w:rPr>
      </w:pPr>
      <w:r w:rsidRPr="0022060B">
        <w:rPr>
          <w:rFonts w:ascii="Arial" w:hAnsi="Arial" w:cs="Arial"/>
          <w:noProof/>
          <w:sz w:val="20"/>
        </w:rPr>
        <mc:AlternateContent>
          <mc:Choice Requires="wps">
            <w:drawing>
              <wp:anchor distT="0" distB="0" distL="114300" distR="114300" simplePos="0" relativeHeight="251664896" behindDoc="0" locked="0" layoutInCell="1" allowOverlap="1" wp14:anchorId="27981347" wp14:editId="10284970">
                <wp:simplePos x="0" y="0"/>
                <wp:positionH relativeFrom="margin">
                  <wp:posOffset>-18205</wp:posOffset>
                </wp:positionH>
                <wp:positionV relativeFrom="paragraph">
                  <wp:posOffset>117229</wp:posOffset>
                </wp:positionV>
                <wp:extent cx="5518150" cy="0"/>
                <wp:effectExtent l="0" t="0" r="19050" b="5080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rgbClr val="8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3F25251"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" strokecolor="maroon" strokeweight="2pt">
                <v:shadow on="t" color="black" opacity="24903f" origin=",.5" offset="0,.55556mm"/>
                <w10:wrap anchorx="margin"/>
              </v:line>
            </w:pict>
          </mc:Fallback>
        </mc:AlternateContent>
      </w:r>
    </w:p>
    <w:p w14:paraId="0A837033" w14:textId="77777777" w:rsidR="00984E8B" w:rsidRDefault="00984E8B" w:rsidP="00736503">
      <w:pPr>
        <w:spacing w:after="0"/>
        <w:jc w:val="center"/>
        <w:rPr>
          <w:rStyle w:val="Hyperlink"/>
          <w:rFonts w:ascii="Arial" w:hAnsi="Arial" w:cs="Arial"/>
          <w:i/>
          <w:color w:val="000000" w:themeColor="text1"/>
          <w:sz w:val="20"/>
          <w:szCs w:val="20"/>
          <w:u w:val="none"/>
        </w:rPr>
      </w:pPr>
    </w:p>
    <w:p w14:paraId="53EC44B9" w14:textId="3057A4AB" w:rsidR="00E01524" w:rsidRPr="0022060B" w:rsidRDefault="00DB558E" w:rsidP="00736503">
      <w:pPr>
        <w:spacing w:after="0"/>
        <w:jc w:val="center"/>
        <w:rPr>
          <w:rFonts w:ascii="Arial" w:hAnsi="Arial" w:cs="Arial"/>
          <w:b/>
          <w:sz w:val="20"/>
        </w:rPr>
      </w:pPr>
      <w:r>
        <w:rPr>
          <w:rStyle w:val="Hyperlink"/>
          <w:rFonts w:ascii="Arial" w:hAnsi="Arial" w:cs="Arial"/>
          <w:i/>
          <w:color w:val="000000" w:themeColor="text1"/>
          <w:sz w:val="20"/>
          <w:szCs w:val="20"/>
          <w:u w:val="none"/>
        </w:rPr>
        <w:t>Elaboração: Escola de Gestão Pública - Jurisprudência</w:t>
      </w:r>
    </w:p>
    <w:sectPr w:rsidR="00E01524" w:rsidRPr="0022060B" w:rsidSect="004B42BB">
      <w:headerReference w:type="default" r:id="rId28"/>
      <w:footerReference w:type="default" r:id="rId29"/>
      <w:pgSz w:w="11906" w:h="16838"/>
      <w:pgMar w:top="549" w:right="1701" w:bottom="1417" w:left="1701" w:header="851"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88925" w14:textId="77777777" w:rsidR="00D44A31" w:rsidRDefault="00D44A31" w:rsidP="00350CC2">
      <w:pPr>
        <w:spacing w:after="0" w:line="240" w:lineRule="auto"/>
      </w:pPr>
      <w:r>
        <w:separator/>
      </w:r>
    </w:p>
  </w:endnote>
  <w:endnote w:type="continuationSeparator" w:id="0">
    <w:p w14:paraId="28B90534" w14:textId="77777777" w:rsidR="00D44A31" w:rsidRDefault="00D44A31"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Bold">
    <w:altName w:val="Arial"/>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1C8A0" w14:textId="77777777" w:rsidR="000A4E5F" w:rsidRDefault="000A4E5F" w:rsidP="002245DE">
    <w:pPr>
      <w:pStyle w:val="Rodap"/>
      <w:jc w:val="center"/>
      <w:rPr>
        <w:sz w:val="16"/>
        <w:szCs w:val="16"/>
      </w:rPr>
    </w:pPr>
  </w:p>
  <w:p w14:paraId="70AA9D74" w14:textId="77777777" w:rsidR="000A4E5F" w:rsidRPr="00AD1CE8" w:rsidRDefault="000A4E5F" w:rsidP="007A3F8C">
    <w:pPr>
      <w:pStyle w:val="Rodap"/>
      <w:jc w:val="right"/>
      <w:rPr>
        <w:rFonts w:ascii="Arial" w:hAnsi="Arial"/>
        <w:b/>
        <w:color w:val="FFFFFF" w:themeColor="background1"/>
        <w:sz w:val="20"/>
        <w:szCs w:val="20"/>
      </w:rPr>
    </w:pPr>
    <w:r w:rsidRPr="00AD1CE8">
      <w:rPr>
        <w:rFonts w:ascii="Arial" w:hAnsi="Arial"/>
        <w:b/>
        <w:noProof/>
        <w:color w:val="FFFFFF" w:themeColor="background1"/>
        <w:sz w:val="20"/>
        <w:szCs w:val="20"/>
        <w:lang w:eastAsia="pt-BR"/>
      </w:rPr>
      <w:drawing>
        <wp:anchor distT="0" distB="0" distL="114300" distR="114300" simplePos="0" relativeHeight="251659264" behindDoc="1" locked="0" layoutInCell="1" allowOverlap="1" wp14:anchorId="44F7400E" wp14:editId="675ABE0B">
          <wp:simplePos x="0" y="0"/>
          <wp:positionH relativeFrom="column">
            <wp:posOffset>-1121410</wp:posOffset>
          </wp:positionH>
          <wp:positionV relativeFrom="paragraph">
            <wp:posOffset>-393065</wp:posOffset>
          </wp:positionV>
          <wp:extent cx="7643495" cy="704850"/>
          <wp:effectExtent l="0" t="0" r="1905" b="635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o Rodapé Boletim Internacional-03.png"/>
                  <pic:cNvPicPr/>
                </pic:nvPicPr>
                <pic:blipFill>
                  <a:blip r:embed="rId1">
                    <a:extLst>
                      <a:ext uri="{28A0092B-C50C-407E-A947-70E740481C1C}">
                        <a14:useLocalDpi xmlns:a14="http://schemas.microsoft.com/office/drawing/2010/main" val="0"/>
                      </a:ext>
                    </a:extLst>
                  </a:blip>
                  <a:stretch>
                    <a:fillRect/>
                  </a:stretch>
                </pic:blipFill>
                <pic:spPr>
                  <a:xfrm>
                    <a:off x="0" y="0"/>
                    <a:ext cx="7643495" cy="704850"/>
                  </a:xfrm>
                  <a:prstGeom prst="rect">
                    <a:avLst/>
                  </a:prstGeom>
                </pic:spPr>
              </pic:pic>
            </a:graphicData>
          </a:graphic>
          <wp14:sizeRelH relativeFrom="page">
            <wp14:pctWidth>0</wp14:pctWidth>
          </wp14:sizeRelH>
          <wp14:sizeRelV relativeFrom="page">
            <wp14:pctHeight>0</wp14:pctHeight>
          </wp14:sizeRelV>
        </wp:anchor>
      </w:drawing>
    </w:r>
    <w:r w:rsidRPr="00AD1CE8">
      <w:rPr>
        <w:rFonts w:ascii="Arial" w:hAnsi="Arial"/>
        <w:b/>
        <w:color w:val="FFFFFF" w:themeColor="background1"/>
        <w:sz w:val="20"/>
        <w:szCs w:val="20"/>
      </w:rPr>
      <w:fldChar w:fldCharType="begin"/>
    </w:r>
    <w:r w:rsidRPr="00AD1CE8">
      <w:rPr>
        <w:rFonts w:ascii="Arial" w:hAnsi="Arial"/>
        <w:b/>
        <w:color w:val="FFFFFF" w:themeColor="background1"/>
        <w:sz w:val="20"/>
        <w:szCs w:val="20"/>
      </w:rPr>
      <w:instrText xml:space="preserve"> PAGE   \* MERGEFORMAT </w:instrText>
    </w:r>
    <w:r w:rsidRPr="00AD1CE8">
      <w:rPr>
        <w:rFonts w:ascii="Arial" w:hAnsi="Arial"/>
        <w:b/>
        <w:color w:val="FFFFFF" w:themeColor="background1"/>
        <w:sz w:val="20"/>
        <w:szCs w:val="20"/>
      </w:rPr>
      <w:fldChar w:fldCharType="separate"/>
    </w:r>
    <w:r w:rsidR="00AA5A48">
      <w:rPr>
        <w:rFonts w:ascii="Arial" w:hAnsi="Arial"/>
        <w:b/>
        <w:noProof/>
        <w:color w:val="FFFFFF" w:themeColor="background1"/>
        <w:sz w:val="20"/>
        <w:szCs w:val="20"/>
      </w:rPr>
      <w:t>1</w:t>
    </w:r>
    <w:r w:rsidRPr="00AD1CE8">
      <w:rPr>
        <w:rFonts w:ascii="Arial" w:hAnsi="Arial"/>
        <w:b/>
        <w:color w:val="FFFFFF" w:themeColor="background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A252E" w14:textId="77777777" w:rsidR="00D44A31" w:rsidRDefault="00D44A31" w:rsidP="00350CC2">
      <w:pPr>
        <w:spacing w:after="0" w:line="240" w:lineRule="auto"/>
      </w:pPr>
      <w:r>
        <w:separator/>
      </w:r>
    </w:p>
  </w:footnote>
  <w:footnote w:type="continuationSeparator" w:id="0">
    <w:p w14:paraId="2DFFFFE0" w14:textId="77777777" w:rsidR="00D44A31" w:rsidRDefault="00D44A31"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F1763" w14:textId="0476978E" w:rsidR="000A4E5F" w:rsidRDefault="000A4E5F" w:rsidP="00F14CCC">
    <w:pPr>
      <w:pStyle w:val="Cabealho"/>
      <w:spacing w:after="100" w:afterAutospacing="1"/>
      <w:jc w:val="center"/>
      <w:rPr>
        <w:b/>
      </w:rPr>
    </w:pPr>
    <w:r>
      <w:rPr>
        <w:b/>
        <w:noProof/>
        <w:lang w:eastAsia="pt-BR"/>
      </w:rPr>
      <w:drawing>
        <wp:anchor distT="0" distB="0" distL="114300" distR="114300" simplePos="0" relativeHeight="251658240" behindDoc="1" locked="0" layoutInCell="1" allowOverlap="1" wp14:anchorId="3D3289EF" wp14:editId="445A48C8">
          <wp:simplePos x="0" y="0"/>
          <wp:positionH relativeFrom="margin">
            <wp:posOffset>-1156335</wp:posOffset>
          </wp:positionH>
          <wp:positionV relativeFrom="margin">
            <wp:posOffset>-1261110</wp:posOffset>
          </wp:positionV>
          <wp:extent cx="7713345" cy="1442085"/>
          <wp:effectExtent l="0" t="0" r="8255" b="571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o Rodapé Boletim Internacional-02.png"/>
                  <pic:cNvPicPr/>
                </pic:nvPicPr>
                <pic:blipFill>
                  <a:blip r:embed="rId1">
                    <a:extLst>
                      <a:ext uri="{28A0092B-C50C-407E-A947-70E740481C1C}">
                        <a14:useLocalDpi xmlns:a14="http://schemas.microsoft.com/office/drawing/2010/main" val="0"/>
                      </a:ext>
                    </a:extLst>
                  </a:blip>
                  <a:stretch>
                    <a:fillRect/>
                  </a:stretch>
                </pic:blipFill>
                <pic:spPr>
                  <a:xfrm>
                    <a:off x="0" y="0"/>
                    <a:ext cx="7713345" cy="1442085"/>
                  </a:xfrm>
                  <a:prstGeom prst="rect">
                    <a:avLst/>
                  </a:prstGeom>
                </pic:spPr>
              </pic:pic>
            </a:graphicData>
          </a:graphic>
          <wp14:sizeRelH relativeFrom="page">
            <wp14:pctWidth>0</wp14:pctWidth>
          </wp14:sizeRelH>
          <wp14:sizeRelV relativeFrom="page">
            <wp14:pctHeight>0</wp14:pctHeight>
          </wp14:sizeRelV>
        </wp:anchor>
      </w:drawing>
    </w:r>
  </w:p>
  <w:p w14:paraId="5180E5CA" w14:textId="4F5B8127" w:rsidR="000A4E5F" w:rsidRDefault="000A4E5F" w:rsidP="00F14CCC">
    <w:pPr>
      <w:pStyle w:val="Cabealho"/>
      <w:spacing w:after="100" w:afterAutospacing="1"/>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04E3137"/>
    <w:multiLevelType w:val="hybridMultilevel"/>
    <w:tmpl w:val="13B44D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19569EB"/>
    <w:multiLevelType w:val="hybridMultilevel"/>
    <w:tmpl w:val="76287E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B4B539B"/>
    <w:multiLevelType w:val="hybridMultilevel"/>
    <w:tmpl w:val="0A9ED2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03546F5"/>
    <w:multiLevelType w:val="hybridMultilevel"/>
    <w:tmpl w:val="9D228F5A"/>
    <w:lvl w:ilvl="0" w:tplc="04160001">
      <w:start w:val="1"/>
      <w:numFmt w:val="bullet"/>
      <w:lvlText w:val=""/>
      <w:lvlJc w:val="left"/>
      <w:pPr>
        <w:ind w:left="720" w:hanging="360"/>
      </w:pPr>
      <w:rPr>
        <w:rFonts w:ascii="Symbol" w:hAnsi="Symbol" w:hint="default"/>
      </w:rPr>
    </w:lvl>
    <w:lvl w:ilvl="1" w:tplc="5670665C">
      <w:numFmt w:val="bullet"/>
      <w:lvlText w:val="•"/>
      <w:lvlJc w:val="left"/>
      <w:pPr>
        <w:ind w:left="1440" w:hanging="360"/>
      </w:pPr>
      <w:rPr>
        <w:rFonts w:ascii="Arial" w:eastAsia="Times New Roman" w:hAnsi="Aria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0F634A4"/>
    <w:multiLevelType w:val="hybridMultilevel"/>
    <w:tmpl w:val="78C833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8"/>
  </w:num>
  <w:num w:numId="3">
    <w:abstractNumId w:val="14"/>
  </w:num>
  <w:num w:numId="4">
    <w:abstractNumId w:val="15"/>
  </w:num>
  <w:num w:numId="5">
    <w:abstractNumId w:val="16"/>
  </w:num>
  <w:num w:numId="6">
    <w:abstractNumId w:val="10"/>
  </w:num>
  <w:num w:numId="7">
    <w:abstractNumId w:val="0"/>
  </w:num>
  <w:num w:numId="8">
    <w:abstractNumId w:val="1"/>
  </w:num>
  <w:num w:numId="9">
    <w:abstractNumId w:val="6"/>
  </w:num>
  <w:num w:numId="10">
    <w:abstractNumId w:val="2"/>
  </w:num>
  <w:num w:numId="11">
    <w:abstractNumId w:val="3"/>
  </w:num>
  <w:num w:numId="12">
    <w:abstractNumId w:val="9"/>
  </w:num>
  <w:num w:numId="13">
    <w:abstractNumId w:val="13"/>
  </w:num>
  <w:num w:numId="14">
    <w:abstractNumId w:val="12"/>
  </w:num>
  <w:num w:numId="15">
    <w:abstractNumId w:val="11"/>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5B58"/>
    <w:rsid w:val="00015FB0"/>
    <w:rsid w:val="00017352"/>
    <w:rsid w:val="00017EBA"/>
    <w:rsid w:val="00021B0A"/>
    <w:rsid w:val="00022D68"/>
    <w:rsid w:val="00025971"/>
    <w:rsid w:val="000262AD"/>
    <w:rsid w:val="00027A03"/>
    <w:rsid w:val="00027FAB"/>
    <w:rsid w:val="000300F4"/>
    <w:rsid w:val="00032A26"/>
    <w:rsid w:val="00033422"/>
    <w:rsid w:val="00033E69"/>
    <w:rsid w:val="00040EBA"/>
    <w:rsid w:val="00042502"/>
    <w:rsid w:val="00042DF3"/>
    <w:rsid w:val="00043184"/>
    <w:rsid w:val="000433EC"/>
    <w:rsid w:val="000439FD"/>
    <w:rsid w:val="00045700"/>
    <w:rsid w:val="00046191"/>
    <w:rsid w:val="00046E21"/>
    <w:rsid w:val="00047EF1"/>
    <w:rsid w:val="00051DC8"/>
    <w:rsid w:val="00052862"/>
    <w:rsid w:val="00053B72"/>
    <w:rsid w:val="0005447E"/>
    <w:rsid w:val="00056686"/>
    <w:rsid w:val="00056E6F"/>
    <w:rsid w:val="000572CE"/>
    <w:rsid w:val="000617CF"/>
    <w:rsid w:val="00062521"/>
    <w:rsid w:val="00062737"/>
    <w:rsid w:val="00067E01"/>
    <w:rsid w:val="00070009"/>
    <w:rsid w:val="00070B14"/>
    <w:rsid w:val="000713DD"/>
    <w:rsid w:val="00071DE3"/>
    <w:rsid w:val="0007200C"/>
    <w:rsid w:val="00073305"/>
    <w:rsid w:val="00073F9F"/>
    <w:rsid w:val="00074287"/>
    <w:rsid w:val="000747BF"/>
    <w:rsid w:val="00074FAB"/>
    <w:rsid w:val="000759E5"/>
    <w:rsid w:val="00076184"/>
    <w:rsid w:val="000800D1"/>
    <w:rsid w:val="00081051"/>
    <w:rsid w:val="00085557"/>
    <w:rsid w:val="00086299"/>
    <w:rsid w:val="0009260D"/>
    <w:rsid w:val="000926D4"/>
    <w:rsid w:val="00092E5D"/>
    <w:rsid w:val="0009482D"/>
    <w:rsid w:val="0009711C"/>
    <w:rsid w:val="0009762F"/>
    <w:rsid w:val="00097B00"/>
    <w:rsid w:val="000A05C5"/>
    <w:rsid w:val="000A0748"/>
    <w:rsid w:val="000A0E48"/>
    <w:rsid w:val="000A29BE"/>
    <w:rsid w:val="000A3C2D"/>
    <w:rsid w:val="000A3E63"/>
    <w:rsid w:val="000A47FD"/>
    <w:rsid w:val="000A4E5F"/>
    <w:rsid w:val="000A4EB6"/>
    <w:rsid w:val="000A5F01"/>
    <w:rsid w:val="000A71D1"/>
    <w:rsid w:val="000B04A0"/>
    <w:rsid w:val="000B11D2"/>
    <w:rsid w:val="000B1E10"/>
    <w:rsid w:val="000B2FD9"/>
    <w:rsid w:val="000B311A"/>
    <w:rsid w:val="000B31B6"/>
    <w:rsid w:val="000B47C0"/>
    <w:rsid w:val="000B5152"/>
    <w:rsid w:val="000C2948"/>
    <w:rsid w:val="000C3582"/>
    <w:rsid w:val="000C4F73"/>
    <w:rsid w:val="000C5093"/>
    <w:rsid w:val="000C5460"/>
    <w:rsid w:val="000C5EB3"/>
    <w:rsid w:val="000C63BC"/>
    <w:rsid w:val="000C654E"/>
    <w:rsid w:val="000C7D67"/>
    <w:rsid w:val="000D2D5B"/>
    <w:rsid w:val="000D357D"/>
    <w:rsid w:val="000D4DE6"/>
    <w:rsid w:val="000D560C"/>
    <w:rsid w:val="000D5CB1"/>
    <w:rsid w:val="000D6D01"/>
    <w:rsid w:val="000E0E50"/>
    <w:rsid w:val="000E1F93"/>
    <w:rsid w:val="000E300B"/>
    <w:rsid w:val="000E3ACE"/>
    <w:rsid w:val="000E3FC6"/>
    <w:rsid w:val="000E464B"/>
    <w:rsid w:val="000E485E"/>
    <w:rsid w:val="000E5AC8"/>
    <w:rsid w:val="000F04ED"/>
    <w:rsid w:val="000F18DA"/>
    <w:rsid w:val="000F1FFA"/>
    <w:rsid w:val="000F255B"/>
    <w:rsid w:val="000F314C"/>
    <w:rsid w:val="000F639D"/>
    <w:rsid w:val="000F7C1B"/>
    <w:rsid w:val="00100B9C"/>
    <w:rsid w:val="0010674D"/>
    <w:rsid w:val="00106AA9"/>
    <w:rsid w:val="00106B27"/>
    <w:rsid w:val="00110517"/>
    <w:rsid w:val="00110554"/>
    <w:rsid w:val="00110BD6"/>
    <w:rsid w:val="001119DC"/>
    <w:rsid w:val="00111B86"/>
    <w:rsid w:val="00111C26"/>
    <w:rsid w:val="00112B60"/>
    <w:rsid w:val="0011394D"/>
    <w:rsid w:val="00113EF1"/>
    <w:rsid w:val="00114B62"/>
    <w:rsid w:val="001159C9"/>
    <w:rsid w:val="00120862"/>
    <w:rsid w:val="00121A99"/>
    <w:rsid w:val="0012211A"/>
    <w:rsid w:val="00122E13"/>
    <w:rsid w:val="00123D02"/>
    <w:rsid w:val="0012498C"/>
    <w:rsid w:val="00124A0F"/>
    <w:rsid w:val="00126447"/>
    <w:rsid w:val="00127DF2"/>
    <w:rsid w:val="00130717"/>
    <w:rsid w:val="0013298B"/>
    <w:rsid w:val="0013396B"/>
    <w:rsid w:val="001342E3"/>
    <w:rsid w:val="0013514C"/>
    <w:rsid w:val="0013583F"/>
    <w:rsid w:val="00135D5F"/>
    <w:rsid w:val="00140CF6"/>
    <w:rsid w:val="001411E6"/>
    <w:rsid w:val="001415BA"/>
    <w:rsid w:val="00142D10"/>
    <w:rsid w:val="00144712"/>
    <w:rsid w:val="001472C1"/>
    <w:rsid w:val="00150844"/>
    <w:rsid w:val="001529D8"/>
    <w:rsid w:val="00156185"/>
    <w:rsid w:val="00156F74"/>
    <w:rsid w:val="00157806"/>
    <w:rsid w:val="00157D64"/>
    <w:rsid w:val="0016028F"/>
    <w:rsid w:val="00161AA2"/>
    <w:rsid w:val="0016670D"/>
    <w:rsid w:val="00166A96"/>
    <w:rsid w:val="001675C3"/>
    <w:rsid w:val="00170F9D"/>
    <w:rsid w:val="00171401"/>
    <w:rsid w:val="001720EB"/>
    <w:rsid w:val="00172248"/>
    <w:rsid w:val="0017455D"/>
    <w:rsid w:val="001770AF"/>
    <w:rsid w:val="001800A9"/>
    <w:rsid w:val="001823E7"/>
    <w:rsid w:val="0018272D"/>
    <w:rsid w:val="0018361F"/>
    <w:rsid w:val="001878C0"/>
    <w:rsid w:val="00187E56"/>
    <w:rsid w:val="00190B94"/>
    <w:rsid w:val="001930D1"/>
    <w:rsid w:val="001942C5"/>
    <w:rsid w:val="00196437"/>
    <w:rsid w:val="001975AB"/>
    <w:rsid w:val="001A087B"/>
    <w:rsid w:val="001A16DE"/>
    <w:rsid w:val="001A233D"/>
    <w:rsid w:val="001A5D2D"/>
    <w:rsid w:val="001A73A2"/>
    <w:rsid w:val="001B096B"/>
    <w:rsid w:val="001B5B65"/>
    <w:rsid w:val="001B5F7A"/>
    <w:rsid w:val="001B6AFE"/>
    <w:rsid w:val="001B6E08"/>
    <w:rsid w:val="001C0F23"/>
    <w:rsid w:val="001C46A8"/>
    <w:rsid w:val="001C535A"/>
    <w:rsid w:val="001C6148"/>
    <w:rsid w:val="001D0693"/>
    <w:rsid w:val="001D0DD1"/>
    <w:rsid w:val="001D4D9A"/>
    <w:rsid w:val="001D51BD"/>
    <w:rsid w:val="001D6665"/>
    <w:rsid w:val="001D684B"/>
    <w:rsid w:val="001D6ADC"/>
    <w:rsid w:val="001D7E4B"/>
    <w:rsid w:val="001E1817"/>
    <w:rsid w:val="001E2777"/>
    <w:rsid w:val="001E2E5A"/>
    <w:rsid w:val="001E5F2E"/>
    <w:rsid w:val="001E6CAA"/>
    <w:rsid w:val="001E73FF"/>
    <w:rsid w:val="001E75A7"/>
    <w:rsid w:val="001F7A25"/>
    <w:rsid w:val="002013D1"/>
    <w:rsid w:val="0020195B"/>
    <w:rsid w:val="00202E6D"/>
    <w:rsid w:val="00202F4B"/>
    <w:rsid w:val="002036C8"/>
    <w:rsid w:val="002056F4"/>
    <w:rsid w:val="002100EE"/>
    <w:rsid w:val="00211A49"/>
    <w:rsid w:val="00213BD0"/>
    <w:rsid w:val="002147AC"/>
    <w:rsid w:val="00215BFE"/>
    <w:rsid w:val="00215EF3"/>
    <w:rsid w:val="00216825"/>
    <w:rsid w:val="0022060B"/>
    <w:rsid w:val="00220BB1"/>
    <w:rsid w:val="00221D15"/>
    <w:rsid w:val="00223A59"/>
    <w:rsid w:val="00223F1C"/>
    <w:rsid w:val="002245DE"/>
    <w:rsid w:val="00224904"/>
    <w:rsid w:val="00232878"/>
    <w:rsid w:val="0023318C"/>
    <w:rsid w:val="00234AE0"/>
    <w:rsid w:val="00235F82"/>
    <w:rsid w:val="00236689"/>
    <w:rsid w:val="00237C21"/>
    <w:rsid w:val="00237FAE"/>
    <w:rsid w:val="0024200E"/>
    <w:rsid w:val="0024221D"/>
    <w:rsid w:val="002426C3"/>
    <w:rsid w:val="002450AA"/>
    <w:rsid w:val="002456AD"/>
    <w:rsid w:val="00245F7B"/>
    <w:rsid w:val="002478B9"/>
    <w:rsid w:val="00251273"/>
    <w:rsid w:val="00251BED"/>
    <w:rsid w:val="00252A2A"/>
    <w:rsid w:val="00252AA5"/>
    <w:rsid w:val="00253ADA"/>
    <w:rsid w:val="00254615"/>
    <w:rsid w:val="00255360"/>
    <w:rsid w:val="00256A12"/>
    <w:rsid w:val="00256CEA"/>
    <w:rsid w:val="002571B4"/>
    <w:rsid w:val="00260758"/>
    <w:rsid w:val="00260D58"/>
    <w:rsid w:val="0026477F"/>
    <w:rsid w:val="00264D08"/>
    <w:rsid w:val="00264F10"/>
    <w:rsid w:val="0026510B"/>
    <w:rsid w:val="002659BA"/>
    <w:rsid w:val="0026729F"/>
    <w:rsid w:val="00270E2F"/>
    <w:rsid w:val="00271154"/>
    <w:rsid w:val="00271655"/>
    <w:rsid w:val="0027569C"/>
    <w:rsid w:val="002805F1"/>
    <w:rsid w:val="00282C4C"/>
    <w:rsid w:val="00286EB4"/>
    <w:rsid w:val="002874A2"/>
    <w:rsid w:val="002921E2"/>
    <w:rsid w:val="00295591"/>
    <w:rsid w:val="0029566D"/>
    <w:rsid w:val="00295F4B"/>
    <w:rsid w:val="002A00AC"/>
    <w:rsid w:val="002A00E8"/>
    <w:rsid w:val="002A0792"/>
    <w:rsid w:val="002A1D5F"/>
    <w:rsid w:val="002A2E6C"/>
    <w:rsid w:val="002B070A"/>
    <w:rsid w:val="002B0F20"/>
    <w:rsid w:val="002B14B7"/>
    <w:rsid w:val="002B297F"/>
    <w:rsid w:val="002B38A8"/>
    <w:rsid w:val="002B5300"/>
    <w:rsid w:val="002B5E9F"/>
    <w:rsid w:val="002B5F5B"/>
    <w:rsid w:val="002B66D9"/>
    <w:rsid w:val="002B6BA0"/>
    <w:rsid w:val="002C05FF"/>
    <w:rsid w:val="002C19EA"/>
    <w:rsid w:val="002C3EA5"/>
    <w:rsid w:val="002C480F"/>
    <w:rsid w:val="002C56C9"/>
    <w:rsid w:val="002C7487"/>
    <w:rsid w:val="002D1923"/>
    <w:rsid w:val="002D48D1"/>
    <w:rsid w:val="002D5B56"/>
    <w:rsid w:val="002D6612"/>
    <w:rsid w:val="002D7650"/>
    <w:rsid w:val="002D7F74"/>
    <w:rsid w:val="002E09B1"/>
    <w:rsid w:val="002E0A60"/>
    <w:rsid w:val="002E3394"/>
    <w:rsid w:val="002E4277"/>
    <w:rsid w:val="002E5303"/>
    <w:rsid w:val="002E6626"/>
    <w:rsid w:val="002E72FA"/>
    <w:rsid w:val="002E7DFF"/>
    <w:rsid w:val="002F0BE9"/>
    <w:rsid w:val="002F0E1D"/>
    <w:rsid w:val="002F13A0"/>
    <w:rsid w:val="002F1634"/>
    <w:rsid w:val="002F1848"/>
    <w:rsid w:val="002F1D70"/>
    <w:rsid w:val="002F22FA"/>
    <w:rsid w:val="002F5374"/>
    <w:rsid w:val="002F73BA"/>
    <w:rsid w:val="003005B3"/>
    <w:rsid w:val="0030165B"/>
    <w:rsid w:val="00302340"/>
    <w:rsid w:val="00303C9C"/>
    <w:rsid w:val="00305A67"/>
    <w:rsid w:val="00306B80"/>
    <w:rsid w:val="00307038"/>
    <w:rsid w:val="003129B0"/>
    <w:rsid w:val="00313238"/>
    <w:rsid w:val="003132BE"/>
    <w:rsid w:val="00320577"/>
    <w:rsid w:val="00320FCE"/>
    <w:rsid w:val="0032266D"/>
    <w:rsid w:val="00325E2F"/>
    <w:rsid w:val="003265DB"/>
    <w:rsid w:val="003269A9"/>
    <w:rsid w:val="00327DF9"/>
    <w:rsid w:val="0033073E"/>
    <w:rsid w:val="00331533"/>
    <w:rsid w:val="0033240F"/>
    <w:rsid w:val="00333875"/>
    <w:rsid w:val="0033604C"/>
    <w:rsid w:val="0034001F"/>
    <w:rsid w:val="003407F0"/>
    <w:rsid w:val="00342B5C"/>
    <w:rsid w:val="00343C28"/>
    <w:rsid w:val="00344A3D"/>
    <w:rsid w:val="00344A41"/>
    <w:rsid w:val="0034575E"/>
    <w:rsid w:val="00345C65"/>
    <w:rsid w:val="00350CC2"/>
    <w:rsid w:val="00351206"/>
    <w:rsid w:val="0035203F"/>
    <w:rsid w:val="003528A1"/>
    <w:rsid w:val="00352A72"/>
    <w:rsid w:val="0035371B"/>
    <w:rsid w:val="00353FEB"/>
    <w:rsid w:val="00356987"/>
    <w:rsid w:val="00356FB0"/>
    <w:rsid w:val="00360429"/>
    <w:rsid w:val="00361DA5"/>
    <w:rsid w:val="00361F1D"/>
    <w:rsid w:val="00364392"/>
    <w:rsid w:val="00365E61"/>
    <w:rsid w:val="00365EFF"/>
    <w:rsid w:val="00365F51"/>
    <w:rsid w:val="00373E05"/>
    <w:rsid w:val="00375692"/>
    <w:rsid w:val="00375DB6"/>
    <w:rsid w:val="0038012F"/>
    <w:rsid w:val="00380BAB"/>
    <w:rsid w:val="00381783"/>
    <w:rsid w:val="00381A0E"/>
    <w:rsid w:val="0038751C"/>
    <w:rsid w:val="0038778B"/>
    <w:rsid w:val="00394451"/>
    <w:rsid w:val="0039584A"/>
    <w:rsid w:val="0039625A"/>
    <w:rsid w:val="00396E93"/>
    <w:rsid w:val="003A18B4"/>
    <w:rsid w:val="003A4828"/>
    <w:rsid w:val="003A64CB"/>
    <w:rsid w:val="003A6622"/>
    <w:rsid w:val="003A673F"/>
    <w:rsid w:val="003B145D"/>
    <w:rsid w:val="003B1A1F"/>
    <w:rsid w:val="003B4678"/>
    <w:rsid w:val="003B4F77"/>
    <w:rsid w:val="003B502C"/>
    <w:rsid w:val="003B5992"/>
    <w:rsid w:val="003C0E8B"/>
    <w:rsid w:val="003C6B35"/>
    <w:rsid w:val="003C7C21"/>
    <w:rsid w:val="003D0632"/>
    <w:rsid w:val="003D650C"/>
    <w:rsid w:val="003D6713"/>
    <w:rsid w:val="003D6E90"/>
    <w:rsid w:val="003D7C37"/>
    <w:rsid w:val="003E110D"/>
    <w:rsid w:val="003E1B24"/>
    <w:rsid w:val="003E297C"/>
    <w:rsid w:val="003E3529"/>
    <w:rsid w:val="003E3D02"/>
    <w:rsid w:val="003E3E6A"/>
    <w:rsid w:val="003E55BC"/>
    <w:rsid w:val="003E58B9"/>
    <w:rsid w:val="003E5D10"/>
    <w:rsid w:val="003E6EAF"/>
    <w:rsid w:val="003F0088"/>
    <w:rsid w:val="003F03C6"/>
    <w:rsid w:val="003F2DDE"/>
    <w:rsid w:val="003F314F"/>
    <w:rsid w:val="003F4721"/>
    <w:rsid w:val="003F5060"/>
    <w:rsid w:val="003F5829"/>
    <w:rsid w:val="003F63DA"/>
    <w:rsid w:val="003F677C"/>
    <w:rsid w:val="003F7090"/>
    <w:rsid w:val="00401EE0"/>
    <w:rsid w:val="004043AD"/>
    <w:rsid w:val="00405A6A"/>
    <w:rsid w:val="00406D2C"/>
    <w:rsid w:val="0041120A"/>
    <w:rsid w:val="00411935"/>
    <w:rsid w:val="0041337A"/>
    <w:rsid w:val="00416A72"/>
    <w:rsid w:val="00420AE1"/>
    <w:rsid w:val="00424D0F"/>
    <w:rsid w:val="0042728A"/>
    <w:rsid w:val="004276DC"/>
    <w:rsid w:val="0042779B"/>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68CE"/>
    <w:rsid w:val="00457317"/>
    <w:rsid w:val="004611E1"/>
    <w:rsid w:val="0046165B"/>
    <w:rsid w:val="00462460"/>
    <w:rsid w:val="004624E9"/>
    <w:rsid w:val="00462A13"/>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4E6E"/>
    <w:rsid w:val="00485819"/>
    <w:rsid w:val="00487D31"/>
    <w:rsid w:val="00490000"/>
    <w:rsid w:val="00491F60"/>
    <w:rsid w:val="00492026"/>
    <w:rsid w:val="004920C5"/>
    <w:rsid w:val="004927D6"/>
    <w:rsid w:val="00492E16"/>
    <w:rsid w:val="004949D1"/>
    <w:rsid w:val="00494AE3"/>
    <w:rsid w:val="00494C04"/>
    <w:rsid w:val="0049557F"/>
    <w:rsid w:val="004960DE"/>
    <w:rsid w:val="004965C3"/>
    <w:rsid w:val="00497639"/>
    <w:rsid w:val="004A0574"/>
    <w:rsid w:val="004A0A41"/>
    <w:rsid w:val="004A22CF"/>
    <w:rsid w:val="004A5804"/>
    <w:rsid w:val="004A794E"/>
    <w:rsid w:val="004B142E"/>
    <w:rsid w:val="004B1C0F"/>
    <w:rsid w:val="004B25CD"/>
    <w:rsid w:val="004B3D26"/>
    <w:rsid w:val="004B42BB"/>
    <w:rsid w:val="004B44C1"/>
    <w:rsid w:val="004B623F"/>
    <w:rsid w:val="004B6EA7"/>
    <w:rsid w:val="004C11DE"/>
    <w:rsid w:val="004C13DB"/>
    <w:rsid w:val="004D00EF"/>
    <w:rsid w:val="004D14AD"/>
    <w:rsid w:val="004D376C"/>
    <w:rsid w:val="004D3864"/>
    <w:rsid w:val="004D4CBA"/>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10B62"/>
    <w:rsid w:val="00511F85"/>
    <w:rsid w:val="00516673"/>
    <w:rsid w:val="00517B69"/>
    <w:rsid w:val="00520368"/>
    <w:rsid w:val="00522368"/>
    <w:rsid w:val="00523227"/>
    <w:rsid w:val="00523246"/>
    <w:rsid w:val="005237FD"/>
    <w:rsid w:val="005246B4"/>
    <w:rsid w:val="005252F8"/>
    <w:rsid w:val="00525561"/>
    <w:rsid w:val="00525F8B"/>
    <w:rsid w:val="0052651B"/>
    <w:rsid w:val="00530F1E"/>
    <w:rsid w:val="00532F0D"/>
    <w:rsid w:val="00533C06"/>
    <w:rsid w:val="00533E30"/>
    <w:rsid w:val="0053401E"/>
    <w:rsid w:val="00535AAB"/>
    <w:rsid w:val="00540B8E"/>
    <w:rsid w:val="00542636"/>
    <w:rsid w:val="00543DF0"/>
    <w:rsid w:val="00544AB5"/>
    <w:rsid w:val="00546D89"/>
    <w:rsid w:val="00547AFC"/>
    <w:rsid w:val="0055022A"/>
    <w:rsid w:val="005503E5"/>
    <w:rsid w:val="005513B0"/>
    <w:rsid w:val="00551E3C"/>
    <w:rsid w:val="00556F73"/>
    <w:rsid w:val="005576BE"/>
    <w:rsid w:val="005603B3"/>
    <w:rsid w:val="00561787"/>
    <w:rsid w:val="0056193C"/>
    <w:rsid w:val="00561EF9"/>
    <w:rsid w:val="00564587"/>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70B"/>
    <w:rsid w:val="00590FA0"/>
    <w:rsid w:val="00593EFC"/>
    <w:rsid w:val="00594F73"/>
    <w:rsid w:val="0059537A"/>
    <w:rsid w:val="005957D1"/>
    <w:rsid w:val="00597215"/>
    <w:rsid w:val="005A0FD0"/>
    <w:rsid w:val="005A1468"/>
    <w:rsid w:val="005A4536"/>
    <w:rsid w:val="005A578C"/>
    <w:rsid w:val="005A5AF2"/>
    <w:rsid w:val="005A742F"/>
    <w:rsid w:val="005A7C78"/>
    <w:rsid w:val="005B0589"/>
    <w:rsid w:val="005B1A0A"/>
    <w:rsid w:val="005B4F6C"/>
    <w:rsid w:val="005B5AA9"/>
    <w:rsid w:val="005B7055"/>
    <w:rsid w:val="005B7D51"/>
    <w:rsid w:val="005C4763"/>
    <w:rsid w:val="005C4DB7"/>
    <w:rsid w:val="005C5144"/>
    <w:rsid w:val="005C5DC8"/>
    <w:rsid w:val="005C6564"/>
    <w:rsid w:val="005C661E"/>
    <w:rsid w:val="005C7258"/>
    <w:rsid w:val="005D1E9E"/>
    <w:rsid w:val="005D48C8"/>
    <w:rsid w:val="005D55A6"/>
    <w:rsid w:val="005D58CE"/>
    <w:rsid w:val="005D6DB4"/>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6CC"/>
    <w:rsid w:val="005F7DEC"/>
    <w:rsid w:val="005F7E35"/>
    <w:rsid w:val="006009F5"/>
    <w:rsid w:val="00600AA5"/>
    <w:rsid w:val="0060126D"/>
    <w:rsid w:val="0060146A"/>
    <w:rsid w:val="00601974"/>
    <w:rsid w:val="00601CE8"/>
    <w:rsid w:val="00602DA5"/>
    <w:rsid w:val="006045AF"/>
    <w:rsid w:val="00606B1E"/>
    <w:rsid w:val="00607152"/>
    <w:rsid w:val="006105E3"/>
    <w:rsid w:val="006115E2"/>
    <w:rsid w:val="006121F2"/>
    <w:rsid w:val="00613D08"/>
    <w:rsid w:val="0061491F"/>
    <w:rsid w:val="00615FC7"/>
    <w:rsid w:val="00620DEF"/>
    <w:rsid w:val="00621C33"/>
    <w:rsid w:val="0062204C"/>
    <w:rsid w:val="00623188"/>
    <w:rsid w:val="00626DD6"/>
    <w:rsid w:val="0062719D"/>
    <w:rsid w:val="00627FDF"/>
    <w:rsid w:val="00630296"/>
    <w:rsid w:val="006331E3"/>
    <w:rsid w:val="00633776"/>
    <w:rsid w:val="00633C62"/>
    <w:rsid w:val="006361F0"/>
    <w:rsid w:val="006372A4"/>
    <w:rsid w:val="006375ED"/>
    <w:rsid w:val="0064029E"/>
    <w:rsid w:val="00640861"/>
    <w:rsid w:val="00640A36"/>
    <w:rsid w:val="00640BDC"/>
    <w:rsid w:val="0064171C"/>
    <w:rsid w:val="00646004"/>
    <w:rsid w:val="00646AD1"/>
    <w:rsid w:val="006473BA"/>
    <w:rsid w:val="00650E4E"/>
    <w:rsid w:val="00654D9D"/>
    <w:rsid w:val="00654FCC"/>
    <w:rsid w:val="00660C02"/>
    <w:rsid w:val="0066104E"/>
    <w:rsid w:val="0066130F"/>
    <w:rsid w:val="0066184E"/>
    <w:rsid w:val="006637FF"/>
    <w:rsid w:val="006641F4"/>
    <w:rsid w:val="006645D9"/>
    <w:rsid w:val="00665EBC"/>
    <w:rsid w:val="00667637"/>
    <w:rsid w:val="00667BE8"/>
    <w:rsid w:val="0067150D"/>
    <w:rsid w:val="00673A29"/>
    <w:rsid w:val="00673AD9"/>
    <w:rsid w:val="00675371"/>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5488"/>
    <w:rsid w:val="00697D60"/>
    <w:rsid w:val="006A27BC"/>
    <w:rsid w:val="006A27D6"/>
    <w:rsid w:val="006A3A42"/>
    <w:rsid w:val="006A41B4"/>
    <w:rsid w:val="006A4A70"/>
    <w:rsid w:val="006A5FD7"/>
    <w:rsid w:val="006A62B0"/>
    <w:rsid w:val="006A681E"/>
    <w:rsid w:val="006B143E"/>
    <w:rsid w:val="006B30E3"/>
    <w:rsid w:val="006B4AF8"/>
    <w:rsid w:val="006B5E72"/>
    <w:rsid w:val="006B6205"/>
    <w:rsid w:val="006C058F"/>
    <w:rsid w:val="006C3252"/>
    <w:rsid w:val="006C7A04"/>
    <w:rsid w:val="006D158F"/>
    <w:rsid w:val="006D1B83"/>
    <w:rsid w:val="006D1BE7"/>
    <w:rsid w:val="006D3590"/>
    <w:rsid w:val="006D5C98"/>
    <w:rsid w:val="006D6FCC"/>
    <w:rsid w:val="006E0A9F"/>
    <w:rsid w:val="006E12D5"/>
    <w:rsid w:val="006E1EDC"/>
    <w:rsid w:val="006E26E8"/>
    <w:rsid w:val="006E4493"/>
    <w:rsid w:val="006E76B0"/>
    <w:rsid w:val="006F08D4"/>
    <w:rsid w:val="006F1E4D"/>
    <w:rsid w:val="006F3318"/>
    <w:rsid w:val="006F39CF"/>
    <w:rsid w:val="006F4894"/>
    <w:rsid w:val="006F58F5"/>
    <w:rsid w:val="006F676D"/>
    <w:rsid w:val="00700672"/>
    <w:rsid w:val="00701319"/>
    <w:rsid w:val="00701A95"/>
    <w:rsid w:val="0070237D"/>
    <w:rsid w:val="00702F7C"/>
    <w:rsid w:val="00706127"/>
    <w:rsid w:val="007077CD"/>
    <w:rsid w:val="00710EDD"/>
    <w:rsid w:val="00712A93"/>
    <w:rsid w:val="00714CF1"/>
    <w:rsid w:val="00715CEB"/>
    <w:rsid w:val="00717A58"/>
    <w:rsid w:val="00722924"/>
    <w:rsid w:val="00723D30"/>
    <w:rsid w:val="00723F1A"/>
    <w:rsid w:val="00726974"/>
    <w:rsid w:val="007306BB"/>
    <w:rsid w:val="007319AD"/>
    <w:rsid w:val="00732257"/>
    <w:rsid w:val="00736503"/>
    <w:rsid w:val="00740240"/>
    <w:rsid w:val="0074037C"/>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57E7C"/>
    <w:rsid w:val="007608F0"/>
    <w:rsid w:val="00762976"/>
    <w:rsid w:val="00766360"/>
    <w:rsid w:val="00766752"/>
    <w:rsid w:val="00766834"/>
    <w:rsid w:val="00766EC7"/>
    <w:rsid w:val="00767911"/>
    <w:rsid w:val="0077082D"/>
    <w:rsid w:val="0077181C"/>
    <w:rsid w:val="00771AF0"/>
    <w:rsid w:val="0077499E"/>
    <w:rsid w:val="0077508F"/>
    <w:rsid w:val="007752E2"/>
    <w:rsid w:val="00780406"/>
    <w:rsid w:val="00781F5F"/>
    <w:rsid w:val="00783479"/>
    <w:rsid w:val="00783696"/>
    <w:rsid w:val="00783D3E"/>
    <w:rsid w:val="007849A7"/>
    <w:rsid w:val="00784B5D"/>
    <w:rsid w:val="00785DB0"/>
    <w:rsid w:val="00791384"/>
    <w:rsid w:val="00791D74"/>
    <w:rsid w:val="00791E5B"/>
    <w:rsid w:val="007931D7"/>
    <w:rsid w:val="00793B03"/>
    <w:rsid w:val="007949B4"/>
    <w:rsid w:val="0079708B"/>
    <w:rsid w:val="0079779E"/>
    <w:rsid w:val="007A3F8C"/>
    <w:rsid w:val="007A6DC9"/>
    <w:rsid w:val="007A71B5"/>
    <w:rsid w:val="007A797E"/>
    <w:rsid w:val="007B1216"/>
    <w:rsid w:val="007B255F"/>
    <w:rsid w:val="007B55C5"/>
    <w:rsid w:val="007C0579"/>
    <w:rsid w:val="007C0E7E"/>
    <w:rsid w:val="007C10CC"/>
    <w:rsid w:val="007C220C"/>
    <w:rsid w:val="007C250E"/>
    <w:rsid w:val="007C2CD7"/>
    <w:rsid w:val="007C4826"/>
    <w:rsid w:val="007D009C"/>
    <w:rsid w:val="007D2162"/>
    <w:rsid w:val="007D369F"/>
    <w:rsid w:val="007D5A53"/>
    <w:rsid w:val="007D62D9"/>
    <w:rsid w:val="007D6A5B"/>
    <w:rsid w:val="007D73C9"/>
    <w:rsid w:val="007D79DF"/>
    <w:rsid w:val="007E04AB"/>
    <w:rsid w:val="007E1FB4"/>
    <w:rsid w:val="007E28C1"/>
    <w:rsid w:val="007E786E"/>
    <w:rsid w:val="007F0840"/>
    <w:rsid w:val="007F2086"/>
    <w:rsid w:val="007F67A7"/>
    <w:rsid w:val="007F6F0A"/>
    <w:rsid w:val="00800773"/>
    <w:rsid w:val="00801004"/>
    <w:rsid w:val="0080111C"/>
    <w:rsid w:val="00801DAE"/>
    <w:rsid w:val="00801EFD"/>
    <w:rsid w:val="008058BC"/>
    <w:rsid w:val="00806D7C"/>
    <w:rsid w:val="00807854"/>
    <w:rsid w:val="00811012"/>
    <w:rsid w:val="00811A90"/>
    <w:rsid w:val="00813846"/>
    <w:rsid w:val="00814325"/>
    <w:rsid w:val="00815C4F"/>
    <w:rsid w:val="008161C2"/>
    <w:rsid w:val="00816942"/>
    <w:rsid w:val="00816D1F"/>
    <w:rsid w:val="0081738B"/>
    <w:rsid w:val="0082026A"/>
    <w:rsid w:val="008219BA"/>
    <w:rsid w:val="00824136"/>
    <w:rsid w:val="00825736"/>
    <w:rsid w:val="00826075"/>
    <w:rsid w:val="008267CA"/>
    <w:rsid w:val="00826A19"/>
    <w:rsid w:val="008312D4"/>
    <w:rsid w:val="008317C8"/>
    <w:rsid w:val="00831915"/>
    <w:rsid w:val="0083209C"/>
    <w:rsid w:val="0083305B"/>
    <w:rsid w:val="00834578"/>
    <w:rsid w:val="0083648B"/>
    <w:rsid w:val="00836500"/>
    <w:rsid w:val="00841EAB"/>
    <w:rsid w:val="00844977"/>
    <w:rsid w:val="00844B97"/>
    <w:rsid w:val="00845BB4"/>
    <w:rsid w:val="008464F9"/>
    <w:rsid w:val="00847302"/>
    <w:rsid w:val="00847BF3"/>
    <w:rsid w:val="00852A15"/>
    <w:rsid w:val="00853D0B"/>
    <w:rsid w:val="00854B16"/>
    <w:rsid w:val="00854BCA"/>
    <w:rsid w:val="00855A43"/>
    <w:rsid w:val="008561BF"/>
    <w:rsid w:val="00861E25"/>
    <w:rsid w:val="008633B6"/>
    <w:rsid w:val="0086402F"/>
    <w:rsid w:val="00866481"/>
    <w:rsid w:val="00867F35"/>
    <w:rsid w:val="0087076A"/>
    <w:rsid w:val="00870853"/>
    <w:rsid w:val="00870B9F"/>
    <w:rsid w:val="008731E4"/>
    <w:rsid w:val="008745D6"/>
    <w:rsid w:val="00874DCA"/>
    <w:rsid w:val="00875D64"/>
    <w:rsid w:val="00875E32"/>
    <w:rsid w:val="0087668E"/>
    <w:rsid w:val="008800F4"/>
    <w:rsid w:val="0088277A"/>
    <w:rsid w:val="0088297B"/>
    <w:rsid w:val="00885D7C"/>
    <w:rsid w:val="0088762D"/>
    <w:rsid w:val="00890235"/>
    <w:rsid w:val="00890563"/>
    <w:rsid w:val="00890A70"/>
    <w:rsid w:val="00890DDC"/>
    <w:rsid w:val="00890F9C"/>
    <w:rsid w:val="00892559"/>
    <w:rsid w:val="008928B6"/>
    <w:rsid w:val="00894CA0"/>
    <w:rsid w:val="00895461"/>
    <w:rsid w:val="008957B1"/>
    <w:rsid w:val="00895B3E"/>
    <w:rsid w:val="00896190"/>
    <w:rsid w:val="00897C5E"/>
    <w:rsid w:val="008A1517"/>
    <w:rsid w:val="008A2307"/>
    <w:rsid w:val="008A2B8F"/>
    <w:rsid w:val="008A2BB7"/>
    <w:rsid w:val="008A4000"/>
    <w:rsid w:val="008A4A65"/>
    <w:rsid w:val="008A6621"/>
    <w:rsid w:val="008A679F"/>
    <w:rsid w:val="008A70A5"/>
    <w:rsid w:val="008B178D"/>
    <w:rsid w:val="008B201B"/>
    <w:rsid w:val="008B2D64"/>
    <w:rsid w:val="008B368E"/>
    <w:rsid w:val="008B38A4"/>
    <w:rsid w:val="008B38EE"/>
    <w:rsid w:val="008B4F2F"/>
    <w:rsid w:val="008B55B4"/>
    <w:rsid w:val="008B6A00"/>
    <w:rsid w:val="008C0269"/>
    <w:rsid w:val="008C076F"/>
    <w:rsid w:val="008C257C"/>
    <w:rsid w:val="008C26E1"/>
    <w:rsid w:val="008D0FDE"/>
    <w:rsid w:val="008D1051"/>
    <w:rsid w:val="008D22BE"/>
    <w:rsid w:val="008D321B"/>
    <w:rsid w:val="008D48D6"/>
    <w:rsid w:val="008D7542"/>
    <w:rsid w:val="008D7F7C"/>
    <w:rsid w:val="008E0835"/>
    <w:rsid w:val="008E16ED"/>
    <w:rsid w:val="008E280E"/>
    <w:rsid w:val="008E2BA7"/>
    <w:rsid w:val="008E5642"/>
    <w:rsid w:val="008E5CC2"/>
    <w:rsid w:val="008E7B35"/>
    <w:rsid w:val="008F2E20"/>
    <w:rsid w:val="00900BC5"/>
    <w:rsid w:val="00901036"/>
    <w:rsid w:val="00903BED"/>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20480"/>
    <w:rsid w:val="00920D01"/>
    <w:rsid w:val="00920E07"/>
    <w:rsid w:val="00923B20"/>
    <w:rsid w:val="009263DF"/>
    <w:rsid w:val="00926BD2"/>
    <w:rsid w:val="00926E84"/>
    <w:rsid w:val="00927338"/>
    <w:rsid w:val="0093018E"/>
    <w:rsid w:val="0093167C"/>
    <w:rsid w:val="0093208B"/>
    <w:rsid w:val="00932A3A"/>
    <w:rsid w:val="00934143"/>
    <w:rsid w:val="00934679"/>
    <w:rsid w:val="00935444"/>
    <w:rsid w:val="009378F0"/>
    <w:rsid w:val="00942696"/>
    <w:rsid w:val="00942EB6"/>
    <w:rsid w:val="0094307C"/>
    <w:rsid w:val="00944802"/>
    <w:rsid w:val="009470DD"/>
    <w:rsid w:val="009518D9"/>
    <w:rsid w:val="0095236F"/>
    <w:rsid w:val="00952404"/>
    <w:rsid w:val="00953350"/>
    <w:rsid w:val="00955BDA"/>
    <w:rsid w:val="0096328F"/>
    <w:rsid w:val="00965F52"/>
    <w:rsid w:val="0096737A"/>
    <w:rsid w:val="009674C6"/>
    <w:rsid w:val="0097392A"/>
    <w:rsid w:val="009749C0"/>
    <w:rsid w:val="00977C0A"/>
    <w:rsid w:val="00982FF8"/>
    <w:rsid w:val="00984E8B"/>
    <w:rsid w:val="0098512F"/>
    <w:rsid w:val="0098550A"/>
    <w:rsid w:val="00985728"/>
    <w:rsid w:val="009857DD"/>
    <w:rsid w:val="009859AB"/>
    <w:rsid w:val="00987A4E"/>
    <w:rsid w:val="009907A9"/>
    <w:rsid w:val="00993DE4"/>
    <w:rsid w:val="00993F38"/>
    <w:rsid w:val="00994A4B"/>
    <w:rsid w:val="00996D25"/>
    <w:rsid w:val="009972A6"/>
    <w:rsid w:val="009A043C"/>
    <w:rsid w:val="009A12ED"/>
    <w:rsid w:val="009A201F"/>
    <w:rsid w:val="009A62FC"/>
    <w:rsid w:val="009A6989"/>
    <w:rsid w:val="009A6DA7"/>
    <w:rsid w:val="009A72EB"/>
    <w:rsid w:val="009B105E"/>
    <w:rsid w:val="009B2B4E"/>
    <w:rsid w:val="009B396E"/>
    <w:rsid w:val="009B39A2"/>
    <w:rsid w:val="009B3B97"/>
    <w:rsid w:val="009B49F3"/>
    <w:rsid w:val="009B4E5D"/>
    <w:rsid w:val="009B567A"/>
    <w:rsid w:val="009C29C5"/>
    <w:rsid w:val="009C5C75"/>
    <w:rsid w:val="009D1C23"/>
    <w:rsid w:val="009D2A29"/>
    <w:rsid w:val="009D4CEE"/>
    <w:rsid w:val="009D59DE"/>
    <w:rsid w:val="009E1362"/>
    <w:rsid w:val="009E1848"/>
    <w:rsid w:val="009E1BC1"/>
    <w:rsid w:val="009E1F6B"/>
    <w:rsid w:val="009E3502"/>
    <w:rsid w:val="009E3E77"/>
    <w:rsid w:val="009E4DF2"/>
    <w:rsid w:val="009E6D60"/>
    <w:rsid w:val="009F12F3"/>
    <w:rsid w:val="009F1918"/>
    <w:rsid w:val="009F2D0A"/>
    <w:rsid w:val="009F3962"/>
    <w:rsid w:val="009F6ED7"/>
    <w:rsid w:val="009F7401"/>
    <w:rsid w:val="009F78F2"/>
    <w:rsid w:val="00A01C9B"/>
    <w:rsid w:val="00A0576E"/>
    <w:rsid w:val="00A065F5"/>
    <w:rsid w:val="00A10857"/>
    <w:rsid w:val="00A1221A"/>
    <w:rsid w:val="00A1269B"/>
    <w:rsid w:val="00A130F9"/>
    <w:rsid w:val="00A13B17"/>
    <w:rsid w:val="00A1585F"/>
    <w:rsid w:val="00A16000"/>
    <w:rsid w:val="00A16398"/>
    <w:rsid w:val="00A20EBA"/>
    <w:rsid w:val="00A20F2F"/>
    <w:rsid w:val="00A211A3"/>
    <w:rsid w:val="00A21641"/>
    <w:rsid w:val="00A2357E"/>
    <w:rsid w:val="00A24629"/>
    <w:rsid w:val="00A25A27"/>
    <w:rsid w:val="00A25FE9"/>
    <w:rsid w:val="00A27485"/>
    <w:rsid w:val="00A30038"/>
    <w:rsid w:val="00A309E8"/>
    <w:rsid w:val="00A3514D"/>
    <w:rsid w:val="00A35318"/>
    <w:rsid w:val="00A40F98"/>
    <w:rsid w:val="00A41EF2"/>
    <w:rsid w:val="00A42619"/>
    <w:rsid w:val="00A4267D"/>
    <w:rsid w:val="00A427B2"/>
    <w:rsid w:val="00A43DEB"/>
    <w:rsid w:val="00A44DDA"/>
    <w:rsid w:val="00A45BB5"/>
    <w:rsid w:val="00A47D62"/>
    <w:rsid w:val="00A53CDD"/>
    <w:rsid w:val="00A53EE6"/>
    <w:rsid w:val="00A5538A"/>
    <w:rsid w:val="00A564AE"/>
    <w:rsid w:val="00A57A4A"/>
    <w:rsid w:val="00A57C0E"/>
    <w:rsid w:val="00A60380"/>
    <w:rsid w:val="00A614EB"/>
    <w:rsid w:val="00A62886"/>
    <w:rsid w:val="00A6356E"/>
    <w:rsid w:val="00A63E79"/>
    <w:rsid w:val="00A6719E"/>
    <w:rsid w:val="00A672B2"/>
    <w:rsid w:val="00A74151"/>
    <w:rsid w:val="00A74C51"/>
    <w:rsid w:val="00A77682"/>
    <w:rsid w:val="00A80C19"/>
    <w:rsid w:val="00A83279"/>
    <w:rsid w:val="00A83750"/>
    <w:rsid w:val="00A84631"/>
    <w:rsid w:val="00A85417"/>
    <w:rsid w:val="00A86498"/>
    <w:rsid w:val="00A86A0A"/>
    <w:rsid w:val="00A9067C"/>
    <w:rsid w:val="00A90A24"/>
    <w:rsid w:val="00A90BD3"/>
    <w:rsid w:val="00A91402"/>
    <w:rsid w:val="00A92FBB"/>
    <w:rsid w:val="00A93C1C"/>
    <w:rsid w:val="00A96790"/>
    <w:rsid w:val="00A97543"/>
    <w:rsid w:val="00AA0DFE"/>
    <w:rsid w:val="00AA2502"/>
    <w:rsid w:val="00AA262E"/>
    <w:rsid w:val="00AA2AC5"/>
    <w:rsid w:val="00AA3174"/>
    <w:rsid w:val="00AA3A41"/>
    <w:rsid w:val="00AA5A48"/>
    <w:rsid w:val="00AA5AE9"/>
    <w:rsid w:val="00AA5DFA"/>
    <w:rsid w:val="00AA6276"/>
    <w:rsid w:val="00AA6D45"/>
    <w:rsid w:val="00AA7585"/>
    <w:rsid w:val="00AA7DED"/>
    <w:rsid w:val="00AB031D"/>
    <w:rsid w:val="00AB08A6"/>
    <w:rsid w:val="00AB18B3"/>
    <w:rsid w:val="00AB1A1E"/>
    <w:rsid w:val="00AB236C"/>
    <w:rsid w:val="00AB58AD"/>
    <w:rsid w:val="00AB79DB"/>
    <w:rsid w:val="00AC06B6"/>
    <w:rsid w:val="00AC1A7F"/>
    <w:rsid w:val="00AC45BA"/>
    <w:rsid w:val="00AC769F"/>
    <w:rsid w:val="00AC7830"/>
    <w:rsid w:val="00AD0466"/>
    <w:rsid w:val="00AD1557"/>
    <w:rsid w:val="00AD1CE8"/>
    <w:rsid w:val="00AD35F3"/>
    <w:rsid w:val="00AD44E9"/>
    <w:rsid w:val="00AD4CAC"/>
    <w:rsid w:val="00AD528F"/>
    <w:rsid w:val="00AD6760"/>
    <w:rsid w:val="00AD6EB3"/>
    <w:rsid w:val="00AD741D"/>
    <w:rsid w:val="00AD751D"/>
    <w:rsid w:val="00AD791C"/>
    <w:rsid w:val="00AE1C60"/>
    <w:rsid w:val="00AE20D0"/>
    <w:rsid w:val="00AE4F42"/>
    <w:rsid w:val="00AE728D"/>
    <w:rsid w:val="00AE7589"/>
    <w:rsid w:val="00AE798E"/>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104C5"/>
    <w:rsid w:val="00B10F47"/>
    <w:rsid w:val="00B1385B"/>
    <w:rsid w:val="00B13B1B"/>
    <w:rsid w:val="00B15DBF"/>
    <w:rsid w:val="00B165C9"/>
    <w:rsid w:val="00B17D70"/>
    <w:rsid w:val="00B22AD7"/>
    <w:rsid w:val="00B22D31"/>
    <w:rsid w:val="00B22E46"/>
    <w:rsid w:val="00B27853"/>
    <w:rsid w:val="00B30291"/>
    <w:rsid w:val="00B306F7"/>
    <w:rsid w:val="00B30BB8"/>
    <w:rsid w:val="00B30FE2"/>
    <w:rsid w:val="00B3272E"/>
    <w:rsid w:val="00B32C71"/>
    <w:rsid w:val="00B330C4"/>
    <w:rsid w:val="00B37580"/>
    <w:rsid w:val="00B377A2"/>
    <w:rsid w:val="00B4137A"/>
    <w:rsid w:val="00B442AC"/>
    <w:rsid w:val="00B50B77"/>
    <w:rsid w:val="00B51290"/>
    <w:rsid w:val="00B51769"/>
    <w:rsid w:val="00B52215"/>
    <w:rsid w:val="00B530CA"/>
    <w:rsid w:val="00B53AC4"/>
    <w:rsid w:val="00B54527"/>
    <w:rsid w:val="00B57638"/>
    <w:rsid w:val="00B57ADA"/>
    <w:rsid w:val="00B61EE9"/>
    <w:rsid w:val="00B6496C"/>
    <w:rsid w:val="00B65962"/>
    <w:rsid w:val="00B66B6C"/>
    <w:rsid w:val="00B66D0B"/>
    <w:rsid w:val="00B7033E"/>
    <w:rsid w:val="00B7071A"/>
    <w:rsid w:val="00B71858"/>
    <w:rsid w:val="00B71A39"/>
    <w:rsid w:val="00B721DC"/>
    <w:rsid w:val="00B74715"/>
    <w:rsid w:val="00B75EBA"/>
    <w:rsid w:val="00B7669D"/>
    <w:rsid w:val="00B766D9"/>
    <w:rsid w:val="00B76E03"/>
    <w:rsid w:val="00B80A28"/>
    <w:rsid w:val="00B82D73"/>
    <w:rsid w:val="00B84A2C"/>
    <w:rsid w:val="00B871D6"/>
    <w:rsid w:val="00B87A02"/>
    <w:rsid w:val="00B96204"/>
    <w:rsid w:val="00BA0DCC"/>
    <w:rsid w:val="00BA12A2"/>
    <w:rsid w:val="00BA1667"/>
    <w:rsid w:val="00BA16EF"/>
    <w:rsid w:val="00BA1737"/>
    <w:rsid w:val="00BA18D0"/>
    <w:rsid w:val="00BA242E"/>
    <w:rsid w:val="00BA2ABF"/>
    <w:rsid w:val="00BA3317"/>
    <w:rsid w:val="00BA5A9D"/>
    <w:rsid w:val="00BA6363"/>
    <w:rsid w:val="00BA79D0"/>
    <w:rsid w:val="00BB2571"/>
    <w:rsid w:val="00BB2D9C"/>
    <w:rsid w:val="00BB3512"/>
    <w:rsid w:val="00BB5D1E"/>
    <w:rsid w:val="00BB62CC"/>
    <w:rsid w:val="00BB7ED6"/>
    <w:rsid w:val="00BC137A"/>
    <w:rsid w:val="00BC4347"/>
    <w:rsid w:val="00BC45E0"/>
    <w:rsid w:val="00BC54B5"/>
    <w:rsid w:val="00BC5D9D"/>
    <w:rsid w:val="00BC60E1"/>
    <w:rsid w:val="00BC6803"/>
    <w:rsid w:val="00BC7BCB"/>
    <w:rsid w:val="00BD109B"/>
    <w:rsid w:val="00BD1101"/>
    <w:rsid w:val="00BD11A7"/>
    <w:rsid w:val="00BD2944"/>
    <w:rsid w:val="00BD2B5E"/>
    <w:rsid w:val="00BD3AFF"/>
    <w:rsid w:val="00BD42CB"/>
    <w:rsid w:val="00BD4E7A"/>
    <w:rsid w:val="00BD531B"/>
    <w:rsid w:val="00BE00E5"/>
    <w:rsid w:val="00BE2E5A"/>
    <w:rsid w:val="00BE3A10"/>
    <w:rsid w:val="00BE4A21"/>
    <w:rsid w:val="00BE5859"/>
    <w:rsid w:val="00BE717E"/>
    <w:rsid w:val="00BE7E27"/>
    <w:rsid w:val="00BF0B0C"/>
    <w:rsid w:val="00BF183C"/>
    <w:rsid w:val="00BF4C15"/>
    <w:rsid w:val="00C0277D"/>
    <w:rsid w:val="00C0782F"/>
    <w:rsid w:val="00C11F50"/>
    <w:rsid w:val="00C12603"/>
    <w:rsid w:val="00C12C7C"/>
    <w:rsid w:val="00C131FD"/>
    <w:rsid w:val="00C15322"/>
    <w:rsid w:val="00C16DA8"/>
    <w:rsid w:val="00C17352"/>
    <w:rsid w:val="00C2022B"/>
    <w:rsid w:val="00C21959"/>
    <w:rsid w:val="00C30A7D"/>
    <w:rsid w:val="00C31169"/>
    <w:rsid w:val="00C3169F"/>
    <w:rsid w:val="00C318F6"/>
    <w:rsid w:val="00C345A4"/>
    <w:rsid w:val="00C37522"/>
    <w:rsid w:val="00C422A4"/>
    <w:rsid w:val="00C42EFD"/>
    <w:rsid w:val="00C43D8B"/>
    <w:rsid w:val="00C44042"/>
    <w:rsid w:val="00C46AF0"/>
    <w:rsid w:val="00C52956"/>
    <w:rsid w:val="00C53AE1"/>
    <w:rsid w:val="00C53CAD"/>
    <w:rsid w:val="00C54893"/>
    <w:rsid w:val="00C560A1"/>
    <w:rsid w:val="00C56E9E"/>
    <w:rsid w:val="00C56EB6"/>
    <w:rsid w:val="00C571E2"/>
    <w:rsid w:val="00C63603"/>
    <w:rsid w:val="00C63FC8"/>
    <w:rsid w:val="00C64F57"/>
    <w:rsid w:val="00C65D21"/>
    <w:rsid w:val="00C66E11"/>
    <w:rsid w:val="00C6789D"/>
    <w:rsid w:val="00C70E5B"/>
    <w:rsid w:val="00C71848"/>
    <w:rsid w:val="00C71A97"/>
    <w:rsid w:val="00C72FFE"/>
    <w:rsid w:val="00C7314D"/>
    <w:rsid w:val="00C73FFD"/>
    <w:rsid w:val="00C74512"/>
    <w:rsid w:val="00C75071"/>
    <w:rsid w:val="00C76970"/>
    <w:rsid w:val="00C77540"/>
    <w:rsid w:val="00C84F07"/>
    <w:rsid w:val="00C851A6"/>
    <w:rsid w:val="00C855D4"/>
    <w:rsid w:val="00C87639"/>
    <w:rsid w:val="00C90685"/>
    <w:rsid w:val="00C9099A"/>
    <w:rsid w:val="00C91A6B"/>
    <w:rsid w:val="00C9240A"/>
    <w:rsid w:val="00C92CCF"/>
    <w:rsid w:val="00C93D5B"/>
    <w:rsid w:val="00C9442C"/>
    <w:rsid w:val="00C94657"/>
    <w:rsid w:val="00C9532C"/>
    <w:rsid w:val="00C95BCF"/>
    <w:rsid w:val="00C95D16"/>
    <w:rsid w:val="00C95DCF"/>
    <w:rsid w:val="00CA184E"/>
    <w:rsid w:val="00CA23C4"/>
    <w:rsid w:val="00CA575F"/>
    <w:rsid w:val="00CA5AEC"/>
    <w:rsid w:val="00CA6114"/>
    <w:rsid w:val="00CA704A"/>
    <w:rsid w:val="00CB0797"/>
    <w:rsid w:val="00CB1236"/>
    <w:rsid w:val="00CB1E54"/>
    <w:rsid w:val="00CB21FF"/>
    <w:rsid w:val="00CB5CAE"/>
    <w:rsid w:val="00CB621F"/>
    <w:rsid w:val="00CB644C"/>
    <w:rsid w:val="00CB78ED"/>
    <w:rsid w:val="00CC0004"/>
    <w:rsid w:val="00CC2202"/>
    <w:rsid w:val="00CC4E55"/>
    <w:rsid w:val="00CC550E"/>
    <w:rsid w:val="00CC5AC6"/>
    <w:rsid w:val="00CD0DCE"/>
    <w:rsid w:val="00CD1628"/>
    <w:rsid w:val="00CD1D27"/>
    <w:rsid w:val="00CD27B7"/>
    <w:rsid w:val="00CD3807"/>
    <w:rsid w:val="00CD3AE7"/>
    <w:rsid w:val="00CD3C10"/>
    <w:rsid w:val="00CD5194"/>
    <w:rsid w:val="00CD5981"/>
    <w:rsid w:val="00CD5D25"/>
    <w:rsid w:val="00CD79FA"/>
    <w:rsid w:val="00CE02E6"/>
    <w:rsid w:val="00CE10E6"/>
    <w:rsid w:val="00CE59A8"/>
    <w:rsid w:val="00CE657B"/>
    <w:rsid w:val="00CF0873"/>
    <w:rsid w:val="00CF237E"/>
    <w:rsid w:val="00CF3FB0"/>
    <w:rsid w:val="00CF515D"/>
    <w:rsid w:val="00CF53F5"/>
    <w:rsid w:val="00CF6B3F"/>
    <w:rsid w:val="00D002B4"/>
    <w:rsid w:val="00D0031B"/>
    <w:rsid w:val="00D01404"/>
    <w:rsid w:val="00D0183F"/>
    <w:rsid w:val="00D02C52"/>
    <w:rsid w:val="00D03845"/>
    <w:rsid w:val="00D03DCB"/>
    <w:rsid w:val="00D05257"/>
    <w:rsid w:val="00D054DF"/>
    <w:rsid w:val="00D057A5"/>
    <w:rsid w:val="00D05D1F"/>
    <w:rsid w:val="00D133B8"/>
    <w:rsid w:val="00D144D0"/>
    <w:rsid w:val="00D14FC0"/>
    <w:rsid w:val="00D163A3"/>
    <w:rsid w:val="00D1656D"/>
    <w:rsid w:val="00D167CC"/>
    <w:rsid w:val="00D16943"/>
    <w:rsid w:val="00D211AE"/>
    <w:rsid w:val="00D21662"/>
    <w:rsid w:val="00D235AE"/>
    <w:rsid w:val="00D23DE4"/>
    <w:rsid w:val="00D23F50"/>
    <w:rsid w:val="00D24867"/>
    <w:rsid w:val="00D318E3"/>
    <w:rsid w:val="00D323A7"/>
    <w:rsid w:val="00D346BF"/>
    <w:rsid w:val="00D34A4B"/>
    <w:rsid w:val="00D416EB"/>
    <w:rsid w:val="00D41B20"/>
    <w:rsid w:val="00D44615"/>
    <w:rsid w:val="00D44A31"/>
    <w:rsid w:val="00D45321"/>
    <w:rsid w:val="00D50324"/>
    <w:rsid w:val="00D5202B"/>
    <w:rsid w:val="00D551ED"/>
    <w:rsid w:val="00D55A28"/>
    <w:rsid w:val="00D5605F"/>
    <w:rsid w:val="00D57BC9"/>
    <w:rsid w:val="00D61FBD"/>
    <w:rsid w:val="00D62519"/>
    <w:rsid w:val="00D625AA"/>
    <w:rsid w:val="00D63CBD"/>
    <w:rsid w:val="00D6500C"/>
    <w:rsid w:val="00D66392"/>
    <w:rsid w:val="00D66959"/>
    <w:rsid w:val="00D66D9D"/>
    <w:rsid w:val="00D70A39"/>
    <w:rsid w:val="00D71A7E"/>
    <w:rsid w:val="00D7297C"/>
    <w:rsid w:val="00D74DB8"/>
    <w:rsid w:val="00D7643D"/>
    <w:rsid w:val="00D76671"/>
    <w:rsid w:val="00D76DE0"/>
    <w:rsid w:val="00D80DF0"/>
    <w:rsid w:val="00D83ED5"/>
    <w:rsid w:val="00D86043"/>
    <w:rsid w:val="00D870D4"/>
    <w:rsid w:val="00D90B97"/>
    <w:rsid w:val="00D9398E"/>
    <w:rsid w:val="00D9464E"/>
    <w:rsid w:val="00D954E0"/>
    <w:rsid w:val="00D97059"/>
    <w:rsid w:val="00D97A1D"/>
    <w:rsid w:val="00DA0181"/>
    <w:rsid w:val="00DA2411"/>
    <w:rsid w:val="00DA2C81"/>
    <w:rsid w:val="00DA65C4"/>
    <w:rsid w:val="00DA7899"/>
    <w:rsid w:val="00DB0923"/>
    <w:rsid w:val="00DB29CA"/>
    <w:rsid w:val="00DB30C8"/>
    <w:rsid w:val="00DB558E"/>
    <w:rsid w:val="00DB5F2B"/>
    <w:rsid w:val="00DB74AF"/>
    <w:rsid w:val="00DB7D79"/>
    <w:rsid w:val="00DC00E0"/>
    <w:rsid w:val="00DC1AB8"/>
    <w:rsid w:val="00DC5C19"/>
    <w:rsid w:val="00DC7068"/>
    <w:rsid w:val="00DD0411"/>
    <w:rsid w:val="00DD265A"/>
    <w:rsid w:val="00DD3A78"/>
    <w:rsid w:val="00DD6B9B"/>
    <w:rsid w:val="00DE07A1"/>
    <w:rsid w:val="00DE21A2"/>
    <w:rsid w:val="00DE2776"/>
    <w:rsid w:val="00DE3B11"/>
    <w:rsid w:val="00DE48E8"/>
    <w:rsid w:val="00DE7183"/>
    <w:rsid w:val="00DE79B1"/>
    <w:rsid w:val="00DF1DAC"/>
    <w:rsid w:val="00DF2165"/>
    <w:rsid w:val="00DF3666"/>
    <w:rsid w:val="00DF5A24"/>
    <w:rsid w:val="00DF60E6"/>
    <w:rsid w:val="00DF6105"/>
    <w:rsid w:val="00DF659E"/>
    <w:rsid w:val="00DF76E9"/>
    <w:rsid w:val="00E01524"/>
    <w:rsid w:val="00E05801"/>
    <w:rsid w:val="00E07C16"/>
    <w:rsid w:val="00E1021D"/>
    <w:rsid w:val="00E1428E"/>
    <w:rsid w:val="00E14900"/>
    <w:rsid w:val="00E218D3"/>
    <w:rsid w:val="00E22321"/>
    <w:rsid w:val="00E229ED"/>
    <w:rsid w:val="00E23091"/>
    <w:rsid w:val="00E2334F"/>
    <w:rsid w:val="00E23E21"/>
    <w:rsid w:val="00E245A0"/>
    <w:rsid w:val="00E25964"/>
    <w:rsid w:val="00E25E9F"/>
    <w:rsid w:val="00E2658F"/>
    <w:rsid w:val="00E27565"/>
    <w:rsid w:val="00E30DE6"/>
    <w:rsid w:val="00E31944"/>
    <w:rsid w:val="00E32395"/>
    <w:rsid w:val="00E3262F"/>
    <w:rsid w:val="00E32E0D"/>
    <w:rsid w:val="00E332E3"/>
    <w:rsid w:val="00E35435"/>
    <w:rsid w:val="00E37194"/>
    <w:rsid w:val="00E3788B"/>
    <w:rsid w:val="00E37F90"/>
    <w:rsid w:val="00E40C6A"/>
    <w:rsid w:val="00E410B7"/>
    <w:rsid w:val="00E43977"/>
    <w:rsid w:val="00E4415D"/>
    <w:rsid w:val="00E444BD"/>
    <w:rsid w:val="00E44AB1"/>
    <w:rsid w:val="00E44AB8"/>
    <w:rsid w:val="00E465C1"/>
    <w:rsid w:val="00E47BD8"/>
    <w:rsid w:val="00E50D3F"/>
    <w:rsid w:val="00E520BE"/>
    <w:rsid w:val="00E53AF0"/>
    <w:rsid w:val="00E5484A"/>
    <w:rsid w:val="00E54E17"/>
    <w:rsid w:val="00E56A7A"/>
    <w:rsid w:val="00E60419"/>
    <w:rsid w:val="00E60E01"/>
    <w:rsid w:val="00E61574"/>
    <w:rsid w:val="00E617D3"/>
    <w:rsid w:val="00E61E36"/>
    <w:rsid w:val="00E624C7"/>
    <w:rsid w:val="00E633C1"/>
    <w:rsid w:val="00E667B0"/>
    <w:rsid w:val="00E67390"/>
    <w:rsid w:val="00E71365"/>
    <w:rsid w:val="00E74904"/>
    <w:rsid w:val="00E770A4"/>
    <w:rsid w:val="00E7797D"/>
    <w:rsid w:val="00E8097A"/>
    <w:rsid w:val="00E81192"/>
    <w:rsid w:val="00E83B51"/>
    <w:rsid w:val="00E855CC"/>
    <w:rsid w:val="00E8626C"/>
    <w:rsid w:val="00E8663B"/>
    <w:rsid w:val="00E86BDE"/>
    <w:rsid w:val="00E8762F"/>
    <w:rsid w:val="00E90AB8"/>
    <w:rsid w:val="00E90C01"/>
    <w:rsid w:val="00E919D9"/>
    <w:rsid w:val="00E921C1"/>
    <w:rsid w:val="00E93C8B"/>
    <w:rsid w:val="00E93D8F"/>
    <w:rsid w:val="00E9531E"/>
    <w:rsid w:val="00E95A8E"/>
    <w:rsid w:val="00E95E41"/>
    <w:rsid w:val="00E95E4C"/>
    <w:rsid w:val="00E977CE"/>
    <w:rsid w:val="00E97E05"/>
    <w:rsid w:val="00EA1370"/>
    <w:rsid w:val="00EA2B95"/>
    <w:rsid w:val="00EA34E2"/>
    <w:rsid w:val="00EA52D1"/>
    <w:rsid w:val="00EA703E"/>
    <w:rsid w:val="00EA791F"/>
    <w:rsid w:val="00EB671F"/>
    <w:rsid w:val="00EB70E7"/>
    <w:rsid w:val="00EB76D6"/>
    <w:rsid w:val="00EC02E8"/>
    <w:rsid w:val="00EC1139"/>
    <w:rsid w:val="00EC3842"/>
    <w:rsid w:val="00EC4299"/>
    <w:rsid w:val="00EC4D4D"/>
    <w:rsid w:val="00EC5D5D"/>
    <w:rsid w:val="00EC7908"/>
    <w:rsid w:val="00EC7C2B"/>
    <w:rsid w:val="00ED1F02"/>
    <w:rsid w:val="00ED213D"/>
    <w:rsid w:val="00ED2C69"/>
    <w:rsid w:val="00EE15B5"/>
    <w:rsid w:val="00EE2087"/>
    <w:rsid w:val="00EE20A1"/>
    <w:rsid w:val="00EE74AF"/>
    <w:rsid w:val="00EF0053"/>
    <w:rsid w:val="00EF1F0E"/>
    <w:rsid w:val="00EF29F6"/>
    <w:rsid w:val="00EF4FBF"/>
    <w:rsid w:val="00EF518E"/>
    <w:rsid w:val="00EF5DF0"/>
    <w:rsid w:val="00EF5F2A"/>
    <w:rsid w:val="00EF69AE"/>
    <w:rsid w:val="00EF6E2C"/>
    <w:rsid w:val="00EF7106"/>
    <w:rsid w:val="00F001A6"/>
    <w:rsid w:val="00F00253"/>
    <w:rsid w:val="00F0070A"/>
    <w:rsid w:val="00F01660"/>
    <w:rsid w:val="00F01C16"/>
    <w:rsid w:val="00F0782D"/>
    <w:rsid w:val="00F10B74"/>
    <w:rsid w:val="00F11EB3"/>
    <w:rsid w:val="00F13F39"/>
    <w:rsid w:val="00F14B9B"/>
    <w:rsid w:val="00F14CCC"/>
    <w:rsid w:val="00F15D54"/>
    <w:rsid w:val="00F166A6"/>
    <w:rsid w:val="00F17988"/>
    <w:rsid w:val="00F20C09"/>
    <w:rsid w:val="00F217DF"/>
    <w:rsid w:val="00F21CAE"/>
    <w:rsid w:val="00F22AE0"/>
    <w:rsid w:val="00F234D8"/>
    <w:rsid w:val="00F2601A"/>
    <w:rsid w:val="00F26701"/>
    <w:rsid w:val="00F26B7D"/>
    <w:rsid w:val="00F30A04"/>
    <w:rsid w:val="00F310D7"/>
    <w:rsid w:val="00F368B9"/>
    <w:rsid w:val="00F3739F"/>
    <w:rsid w:val="00F374C1"/>
    <w:rsid w:val="00F37B34"/>
    <w:rsid w:val="00F41C34"/>
    <w:rsid w:val="00F4212F"/>
    <w:rsid w:val="00F447DB"/>
    <w:rsid w:val="00F447FA"/>
    <w:rsid w:val="00F469B9"/>
    <w:rsid w:val="00F46C32"/>
    <w:rsid w:val="00F46CAF"/>
    <w:rsid w:val="00F46ECB"/>
    <w:rsid w:val="00F50F94"/>
    <w:rsid w:val="00F525B5"/>
    <w:rsid w:val="00F53D53"/>
    <w:rsid w:val="00F543B9"/>
    <w:rsid w:val="00F56177"/>
    <w:rsid w:val="00F56187"/>
    <w:rsid w:val="00F575D3"/>
    <w:rsid w:val="00F5786C"/>
    <w:rsid w:val="00F6024E"/>
    <w:rsid w:val="00F62117"/>
    <w:rsid w:val="00F62365"/>
    <w:rsid w:val="00F630A7"/>
    <w:rsid w:val="00F66225"/>
    <w:rsid w:val="00F662BC"/>
    <w:rsid w:val="00F6708D"/>
    <w:rsid w:val="00F707F0"/>
    <w:rsid w:val="00F714FD"/>
    <w:rsid w:val="00F71AD5"/>
    <w:rsid w:val="00F729ED"/>
    <w:rsid w:val="00F733B8"/>
    <w:rsid w:val="00F74F50"/>
    <w:rsid w:val="00F75192"/>
    <w:rsid w:val="00F76AB7"/>
    <w:rsid w:val="00F77822"/>
    <w:rsid w:val="00F838B6"/>
    <w:rsid w:val="00F83B0D"/>
    <w:rsid w:val="00F83C31"/>
    <w:rsid w:val="00F85F05"/>
    <w:rsid w:val="00F86AD1"/>
    <w:rsid w:val="00F9222A"/>
    <w:rsid w:val="00F922EA"/>
    <w:rsid w:val="00F923CE"/>
    <w:rsid w:val="00F92927"/>
    <w:rsid w:val="00F949E0"/>
    <w:rsid w:val="00F94F0F"/>
    <w:rsid w:val="00F979B3"/>
    <w:rsid w:val="00F97CCD"/>
    <w:rsid w:val="00FA1B32"/>
    <w:rsid w:val="00FA1DBE"/>
    <w:rsid w:val="00FA320D"/>
    <w:rsid w:val="00FA362B"/>
    <w:rsid w:val="00FA53E9"/>
    <w:rsid w:val="00FA60EC"/>
    <w:rsid w:val="00FB04E9"/>
    <w:rsid w:val="00FB1179"/>
    <w:rsid w:val="00FB1C6B"/>
    <w:rsid w:val="00FB3361"/>
    <w:rsid w:val="00FB42B4"/>
    <w:rsid w:val="00FB4841"/>
    <w:rsid w:val="00FB4B5E"/>
    <w:rsid w:val="00FB6C94"/>
    <w:rsid w:val="00FB7F8B"/>
    <w:rsid w:val="00FC00CC"/>
    <w:rsid w:val="00FC22F5"/>
    <w:rsid w:val="00FC3753"/>
    <w:rsid w:val="00FC5170"/>
    <w:rsid w:val="00FC5743"/>
    <w:rsid w:val="00FC6240"/>
    <w:rsid w:val="00FD118C"/>
    <w:rsid w:val="00FD2A7C"/>
    <w:rsid w:val="00FD332F"/>
    <w:rsid w:val="00FD3999"/>
    <w:rsid w:val="00FD7395"/>
    <w:rsid w:val="00FE1CC1"/>
    <w:rsid w:val="00FE3213"/>
    <w:rsid w:val="00FE385E"/>
    <w:rsid w:val="00FE3CE2"/>
    <w:rsid w:val="00FE54AD"/>
    <w:rsid w:val="00FE5633"/>
    <w:rsid w:val="00FE6F7A"/>
    <w:rsid w:val="00FE7B14"/>
    <w:rsid w:val="00FF02D5"/>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04228D"/>
  <w15:docId w15:val="{77CF59B9-70A9-4D2F-832B-290C52D58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table" w:styleId="Tabelacomgrade">
    <w:name w:val="Table Grid"/>
    <w:basedOn w:val="Tabelanormal"/>
    <w:uiPriority w:val="59"/>
    <w:rsid w:val="00A21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2-nfase11">
    <w:name w:val="Tabela de Grade 2 - Ênfase 11"/>
    <w:basedOn w:val="Tabelanormal"/>
    <w:uiPriority w:val="47"/>
    <w:rsid w:val="00A2164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Simples11">
    <w:name w:val="Tabela Simples 11"/>
    <w:basedOn w:val="Tabelanormal"/>
    <w:uiPriority w:val="41"/>
    <w:rsid w:val="00801D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mples21">
    <w:name w:val="Tabela Simples 21"/>
    <w:basedOn w:val="Tabelanormal"/>
    <w:uiPriority w:val="42"/>
    <w:rsid w:val="00801DA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Simples31">
    <w:name w:val="Tabela Simples 31"/>
    <w:basedOn w:val="Tabelanormal"/>
    <w:uiPriority w:val="43"/>
    <w:rsid w:val="00801DA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801D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6Colorida-nfase11">
    <w:name w:val="Tabela de Grade 6 Colorida - Ênfase 11"/>
    <w:basedOn w:val="Tabelanormal"/>
    <w:uiPriority w:val="51"/>
    <w:rsid w:val="00801DA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exto-normal-alinhado">
    <w:name w:val="texto-normal-alinhado"/>
    <w:basedOn w:val="Normal"/>
    <w:rsid w:val="00E855CC"/>
    <w:pPr>
      <w:spacing w:before="100" w:beforeAutospacing="1" w:after="100" w:afterAutospacing="1" w:line="240" w:lineRule="auto"/>
    </w:pPr>
    <w:rPr>
      <w:rFonts w:ascii="Times New Roman" w:eastAsia="Times New Roman" w:hAnsi="Times New Roman"/>
      <w:sz w:val="24"/>
      <w:szCs w:val="24"/>
      <w:lang w:eastAsia="pt-BR"/>
    </w:rPr>
  </w:style>
  <w:style w:type="table" w:styleId="SombreamentoClaro-nfase2">
    <w:name w:val="Light Shading Accent 2"/>
    <w:basedOn w:val="Tabelanormal"/>
    <w:uiPriority w:val="60"/>
    <w:rsid w:val="007A3F8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e2">
    <w:name w:val="Light List Accent 2"/>
    <w:basedOn w:val="Tabelanormal"/>
    <w:uiPriority w:val="61"/>
    <w:rsid w:val="00A8541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MenoPendente2">
    <w:name w:val="Menção Pendente2"/>
    <w:basedOn w:val="Fontepargpadro"/>
    <w:uiPriority w:val="99"/>
    <w:semiHidden/>
    <w:unhideWhenUsed/>
    <w:rsid w:val="000B5152"/>
    <w:rPr>
      <w:color w:val="605E5C"/>
      <w:shd w:val="clear" w:color="auto" w:fill="E1DFDD"/>
    </w:rPr>
  </w:style>
  <w:style w:type="paragraph" w:styleId="Pr-formataoHTML">
    <w:name w:val="HTML Preformatted"/>
    <w:basedOn w:val="Normal"/>
    <w:link w:val="Pr-formataoHTMLChar"/>
    <w:uiPriority w:val="99"/>
    <w:unhideWhenUsed/>
    <w:rsid w:val="004B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B42BB"/>
    <w:rPr>
      <w:rFonts w:ascii="Courier New" w:eastAsia="Times New Roman" w:hAnsi="Courier New" w:cs="Courier New"/>
      <w:sz w:val="20"/>
      <w:szCs w:val="20"/>
      <w:lang w:eastAsia="pt-BR"/>
    </w:rPr>
  </w:style>
  <w:style w:type="character" w:styleId="MenoPendente">
    <w:name w:val="Unresolved Mention"/>
    <w:basedOn w:val="Fontepargpadro"/>
    <w:uiPriority w:val="99"/>
    <w:semiHidden/>
    <w:unhideWhenUsed/>
    <w:rsid w:val="004B4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8195903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625654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58190570">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6307722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357462598">
      <w:bodyDiv w:val="1"/>
      <w:marLeft w:val="0"/>
      <w:marRight w:val="0"/>
      <w:marTop w:val="0"/>
      <w:marBottom w:val="0"/>
      <w:divBdr>
        <w:top w:val="none" w:sz="0" w:space="0" w:color="auto"/>
        <w:left w:val="none" w:sz="0" w:space="0" w:color="auto"/>
        <w:bottom w:val="none" w:sz="0" w:space="0" w:color="auto"/>
        <w:right w:val="none" w:sz="0" w:space="0" w:color="auto"/>
      </w:divBdr>
    </w:div>
    <w:div w:id="1382442834">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11802555">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osai.org/" TargetMode="External"/><Relationship Id="rId13" Type="http://schemas.openxmlformats.org/officeDocument/2006/relationships/hyperlink" Target="http://www.pasai.org/" TargetMode="External"/><Relationship Id="rId18" Type="http://schemas.openxmlformats.org/officeDocument/2006/relationships/hyperlink" Target="https://www.olacefs.com/auditorias-coordinadas/" TargetMode="External"/><Relationship Id="rId26" Type="http://schemas.openxmlformats.org/officeDocument/2006/relationships/hyperlink" Target="http://www1.tce.pr.gov.br/conteudo/boletim-informativo-de-jurisprudencia/280400/area/249" TargetMode="External"/><Relationship Id="rId3" Type="http://schemas.openxmlformats.org/officeDocument/2006/relationships/styles" Target="styles.xml"/><Relationship Id="rId21" Type="http://schemas.openxmlformats.org/officeDocument/2006/relationships/hyperlink" Target="https://www.tcu.es/tribunal-de-cuentas/es/sala-de-prensa/noticias/El-Tribunal-de-Cuentas-aprueba-el-Informe-de-fiscalizacion-sobre-el-control-sanitario-del-agua-ejercido-por-el-Ministerio-de-Sanidad-Servicios-Sociales-e-Igualdad-ejercicio-2017/" TargetMode="External"/><Relationship Id="rId7" Type="http://schemas.openxmlformats.org/officeDocument/2006/relationships/endnotes" Target="endnotes.xml"/><Relationship Id="rId12" Type="http://schemas.openxmlformats.org/officeDocument/2006/relationships/hyperlink" Target="http://asosai.org/asosai/" TargetMode="External"/><Relationship Id="rId17" Type="http://schemas.openxmlformats.org/officeDocument/2006/relationships/hyperlink" Target="https://www.olacefs.com/wp-content/uploads/2019/09/INFORME-ODS-5.pdf" TargetMode="External"/><Relationship Id="rId25" Type="http://schemas.openxmlformats.org/officeDocument/2006/relationships/hyperlink" Target="http://www1.tce.pr.gov.br/conteudo/repercussao-geral-no-stf-e-os-tribunais-de-contas/307026/area/249" TargetMode="External"/><Relationship Id="rId2" Type="http://schemas.openxmlformats.org/officeDocument/2006/relationships/numbering" Target="numbering.xml"/><Relationship Id="rId16" Type="http://schemas.openxmlformats.org/officeDocument/2006/relationships/hyperlink" Target="https://www.olacefs.com/auditorias-coordinadas/" TargetMode="External"/><Relationship Id="rId20" Type="http://schemas.openxmlformats.org/officeDocument/2006/relationships/image" Target="media/image1.jp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abosai.org/Ar/" TargetMode="External"/><Relationship Id="rId24" Type="http://schemas.openxmlformats.org/officeDocument/2006/relationships/hyperlink" Target="http://www1.tce.pr.gov.br/conteudo/teses-ambientais/316603/area/249" TargetMode="External"/><Relationship Id="rId5" Type="http://schemas.openxmlformats.org/officeDocument/2006/relationships/webSettings" Target="webSettings.xml"/><Relationship Id="rId15" Type="http://schemas.openxmlformats.org/officeDocument/2006/relationships/hyperlink" Target="http://www.eurosai.org/en/about-us/about-eurosai/" TargetMode="External"/><Relationship Id="rId23" Type="http://schemas.openxmlformats.org/officeDocument/2006/relationships/hyperlink" Target="http://www1.tce.pr.gov.br/conteudo/pesquisas-prontas/308475/area/249" TargetMode="External"/><Relationship Id="rId28" Type="http://schemas.openxmlformats.org/officeDocument/2006/relationships/header" Target="header1.xml"/><Relationship Id="rId10" Type="http://schemas.openxmlformats.org/officeDocument/2006/relationships/hyperlink" Target="http://www.afrosai.org/" TargetMode="External"/><Relationship Id="rId19" Type="http://schemas.openxmlformats.org/officeDocument/2006/relationships/hyperlink" Target="https://www.olacefs.com/wp-content/uploads/2015/10/Resumen-ejecutivo-Auditoria-en-Areas-Protegidas-de-America-Latina-web.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lacefs.com/" TargetMode="External"/><Relationship Id="rId14" Type="http://schemas.openxmlformats.org/officeDocument/2006/relationships/hyperlink" Target="http://carosai.org/" TargetMode="External"/><Relationship Id="rId22" Type="http://schemas.openxmlformats.org/officeDocument/2006/relationships/hyperlink" Target="https://www.tcu.es/repositorio/55ecb4f7-ff07-4e5d-8ef1-e5e46b4969de/I1344.pdf" TargetMode="External"/><Relationship Id="rId27" Type="http://schemas.openxmlformats.org/officeDocument/2006/relationships/hyperlink" Target="http://www1.tce.pr.gov.br/conteudo/sumulas-selecionadas/316602/area/249"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76AE6-79C7-4B0E-9B7F-F137B3771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2737</Words>
  <Characters>14785</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Fernando Barros</cp:lastModifiedBy>
  <cp:revision>2</cp:revision>
  <cp:lastPrinted>2017-07-10T20:46:00Z</cp:lastPrinted>
  <dcterms:created xsi:type="dcterms:W3CDTF">2020-07-20T07:35:00Z</dcterms:created>
  <dcterms:modified xsi:type="dcterms:W3CDTF">2020-07-20T07:35:00Z</dcterms:modified>
</cp:coreProperties>
</file>