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C9610" w14:textId="77777777" w:rsidR="00A85417" w:rsidRDefault="00A85417" w:rsidP="00816942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2E59E09" w14:textId="77777777" w:rsidR="0038012F" w:rsidRPr="000A4E5F" w:rsidRDefault="00AA5DFA" w:rsidP="00816942">
      <w:pPr>
        <w:pStyle w:val="Cabealho"/>
        <w:spacing w:line="276" w:lineRule="auto"/>
        <w:jc w:val="center"/>
        <w:rPr>
          <w:rFonts w:ascii="Arial" w:hAnsi="Arial" w:cs="Arial"/>
          <w:color w:val="800000"/>
          <w:sz w:val="26"/>
          <w:szCs w:val="26"/>
        </w:rPr>
      </w:pPr>
      <w:r w:rsidRPr="000A4E5F">
        <w:rPr>
          <w:rFonts w:ascii="Arial" w:hAnsi="Arial" w:cs="Arial"/>
          <w:b/>
          <w:color w:val="800000"/>
          <w:sz w:val="26"/>
          <w:szCs w:val="26"/>
        </w:rPr>
        <w:t xml:space="preserve">BOLETIM DE JURISPRUDÊNCIA INTERNACIONAL </w:t>
      </w:r>
    </w:p>
    <w:p w14:paraId="0DEC77EB" w14:textId="77777777" w:rsidR="00814325" w:rsidRDefault="00814325" w:rsidP="0081694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C13223" w14:textId="67C069FB" w:rsidR="00AA5DFA" w:rsidRPr="00432FD4" w:rsidRDefault="001B5F7A" w:rsidP="00816942">
      <w:pPr>
        <w:spacing w:after="0"/>
        <w:jc w:val="center"/>
        <w:rPr>
          <w:rFonts w:ascii="Arial" w:hAnsi="Arial" w:cs="Arial"/>
          <w:b/>
          <w:color w:val="404040" w:themeColor="text1" w:themeTint="BF"/>
          <w:sz w:val="24"/>
          <w:szCs w:val="20"/>
        </w:rPr>
      </w:pPr>
      <w:r w:rsidRPr="00432FD4">
        <w:rPr>
          <w:rFonts w:ascii="Arial" w:hAnsi="Arial" w:cs="Arial"/>
          <w:b/>
          <w:color w:val="404040" w:themeColor="text1" w:themeTint="BF"/>
          <w:sz w:val="24"/>
          <w:szCs w:val="20"/>
        </w:rPr>
        <w:t xml:space="preserve">Número </w:t>
      </w:r>
      <w:r w:rsidR="000D560C" w:rsidRPr="00432FD4">
        <w:rPr>
          <w:rFonts w:ascii="Arial" w:hAnsi="Arial" w:cs="Arial"/>
          <w:b/>
          <w:color w:val="404040" w:themeColor="text1" w:themeTint="BF"/>
          <w:sz w:val="24"/>
          <w:szCs w:val="20"/>
        </w:rPr>
        <w:t>0</w:t>
      </w:r>
      <w:r w:rsidR="00432FD4" w:rsidRPr="00432FD4">
        <w:rPr>
          <w:rFonts w:ascii="Arial" w:hAnsi="Arial" w:cs="Arial"/>
          <w:b/>
          <w:color w:val="404040" w:themeColor="text1" w:themeTint="BF"/>
          <w:sz w:val="24"/>
          <w:szCs w:val="20"/>
        </w:rPr>
        <w:t>3</w:t>
      </w:r>
      <w:r w:rsidR="006009F5" w:rsidRPr="00432FD4">
        <w:rPr>
          <w:rFonts w:ascii="Arial" w:hAnsi="Arial" w:cs="Arial"/>
          <w:b/>
          <w:color w:val="404040" w:themeColor="text1" w:themeTint="BF"/>
          <w:sz w:val="24"/>
          <w:szCs w:val="20"/>
        </w:rPr>
        <w:t xml:space="preserve"> </w:t>
      </w:r>
    </w:p>
    <w:p w14:paraId="65AD324B" w14:textId="77777777" w:rsidR="00DE79B1" w:rsidRDefault="00DE79B1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6F4F52" w14:textId="77777777" w:rsidR="00D01404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1404">
        <w:rPr>
          <w:rFonts w:ascii="Arial" w:hAnsi="Arial" w:cs="Arial"/>
          <w:sz w:val="20"/>
          <w:szCs w:val="20"/>
        </w:rPr>
        <w:t xml:space="preserve">Este Boletim contém </w:t>
      </w:r>
      <w:r w:rsidR="00D01404" w:rsidRPr="00D01404">
        <w:rPr>
          <w:rFonts w:ascii="Arial" w:hAnsi="Arial" w:cs="Arial"/>
          <w:sz w:val="20"/>
          <w:szCs w:val="20"/>
        </w:rPr>
        <w:t>informações sintéticas de decisões proferidas pelas Entidades Fiscalizadoras regionais e respectivos Estados-membros filiados à</w:t>
      </w:r>
      <w:r w:rsidR="00D01404" w:rsidRPr="00015B58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D01404" w:rsidRPr="00015B58">
          <w:rPr>
            <w:rStyle w:val="Hyperlink"/>
            <w:rFonts w:ascii="Arial" w:hAnsi="Arial" w:cs="Arial"/>
            <w:b/>
            <w:sz w:val="20"/>
            <w:szCs w:val="20"/>
          </w:rPr>
          <w:t>INTOSAI</w:t>
        </w:r>
      </w:hyperlink>
      <w:r w:rsidR="00D01404" w:rsidRPr="00D01404">
        <w:rPr>
          <w:rFonts w:ascii="Arial" w:hAnsi="Arial" w:cs="Arial"/>
          <w:sz w:val="20"/>
          <w:szCs w:val="20"/>
        </w:rPr>
        <w:t xml:space="preserve"> </w:t>
      </w:r>
      <w:r w:rsidR="00D01404" w:rsidRPr="00D01404">
        <w:rPr>
          <w:rFonts w:ascii="Arial" w:hAnsi="Arial" w:cs="Arial"/>
          <w:i/>
          <w:sz w:val="20"/>
          <w:szCs w:val="20"/>
        </w:rPr>
        <w:t>(</w:t>
      </w:r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 xml:space="preserve">The </w:t>
      </w:r>
      <w:proofErr w:type="spellStart"/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>International</w:t>
      </w:r>
      <w:proofErr w:type="spellEnd"/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>Organiz</w:t>
      </w:r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ation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of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Supreme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Audit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Institutions</w:t>
      </w:r>
      <w:proofErr w:type="spellEnd"/>
      <w:r w:rsidR="00D01404" w:rsidRPr="00D01404">
        <w:rPr>
          <w:rFonts w:ascii="Arial" w:hAnsi="Arial" w:cs="Arial"/>
          <w:i/>
          <w:sz w:val="20"/>
          <w:szCs w:val="20"/>
        </w:rPr>
        <w:t>)</w:t>
      </w:r>
      <w:r w:rsidR="00D01404">
        <w:rPr>
          <w:rFonts w:ascii="Arial" w:hAnsi="Arial" w:cs="Arial"/>
          <w:sz w:val="20"/>
          <w:szCs w:val="20"/>
        </w:rPr>
        <w:t xml:space="preserve"> sobre temas relacionados ao controle externo evidenciando sobretudo boas práticas de gestão administrativa.</w:t>
      </w:r>
    </w:p>
    <w:p w14:paraId="0942E219" w14:textId="77777777" w:rsidR="00D01404" w:rsidRDefault="00D01404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E87C5F" w14:textId="4212E0F3" w:rsidR="00E95A8E" w:rsidRDefault="007D6A5B" w:rsidP="00AE79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seleção das decisões leva em consideração os aspectos</w:t>
      </w:r>
      <w:r w:rsidR="007E786E">
        <w:rPr>
          <w:rFonts w:ascii="Arial" w:hAnsi="Arial" w:cs="Arial"/>
          <w:sz w:val="20"/>
          <w:szCs w:val="20"/>
        </w:rPr>
        <w:t xml:space="preserve"> de auditoria financeira, de conformidade e de resultado, por eixo temático: meio ambiente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saúde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gestão pública</w:t>
      </w:r>
      <w:r w:rsidR="008C26E1">
        <w:rPr>
          <w:rFonts w:ascii="Arial" w:hAnsi="Arial" w:cs="Arial"/>
          <w:sz w:val="20"/>
          <w:szCs w:val="20"/>
        </w:rPr>
        <w:t>,</w:t>
      </w:r>
      <w:r w:rsidR="00926E84">
        <w:rPr>
          <w:rFonts w:ascii="Arial" w:hAnsi="Arial" w:cs="Arial"/>
          <w:sz w:val="20"/>
          <w:szCs w:val="20"/>
        </w:rPr>
        <w:t xml:space="preserve"> finanças</w:t>
      </w:r>
      <w:r w:rsidR="008C26E1">
        <w:rPr>
          <w:rFonts w:ascii="Arial" w:hAnsi="Arial" w:cs="Arial"/>
          <w:sz w:val="20"/>
          <w:szCs w:val="20"/>
        </w:rPr>
        <w:t>,</w:t>
      </w:r>
      <w:r w:rsidR="00926E84">
        <w:rPr>
          <w:rFonts w:ascii="Arial" w:hAnsi="Arial" w:cs="Arial"/>
          <w:sz w:val="20"/>
          <w:szCs w:val="20"/>
        </w:rPr>
        <w:t xml:space="preserve"> educação</w:t>
      </w:r>
      <w:r w:rsidR="008C26E1">
        <w:rPr>
          <w:rFonts w:ascii="Arial" w:hAnsi="Arial" w:cs="Arial"/>
          <w:sz w:val="20"/>
          <w:szCs w:val="20"/>
        </w:rPr>
        <w:t>,</w:t>
      </w:r>
      <w:r w:rsidR="00926E84">
        <w:rPr>
          <w:rFonts w:ascii="Arial" w:hAnsi="Arial" w:cs="Arial"/>
          <w:sz w:val="20"/>
          <w:szCs w:val="20"/>
        </w:rPr>
        <w:t xml:space="preserve"> segurança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infraestrutura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transporte entre outros temas. O conteúdo será proveniente </w:t>
      </w:r>
      <w:r w:rsidR="00F923CE">
        <w:rPr>
          <w:rFonts w:ascii="Arial" w:hAnsi="Arial" w:cs="Arial"/>
          <w:sz w:val="20"/>
          <w:szCs w:val="20"/>
        </w:rPr>
        <w:t xml:space="preserve">de julgados e relatórios </w:t>
      </w:r>
      <w:r w:rsidR="007E786E">
        <w:rPr>
          <w:rFonts w:ascii="Arial" w:hAnsi="Arial" w:cs="Arial"/>
          <w:sz w:val="20"/>
          <w:szCs w:val="20"/>
        </w:rPr>
        <w:t>das entidades regionais de fiscalização e respectivos membros, a saber:</w:t>
      </w:r>
      <w:r w:rsidR="00AE798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SombreamentoClaro-nfas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1641" w:rsidRPr="00432FD4" w14:paraId="0D66E0BF" w14:textId="77777777" w:rsidTr="007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2F8378F" w14:textId="77777777" w:rsidR="00A21641" w:rsidRPr="00237FAE" w:rsidRDefault="003F2166" w:rsidP="00A21641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hyperlink r:id="rId9" w:history="1">
              <w:r w:rsidR="00A21641" w:rsidRPr="00237FAE">
                <w:rPr>
                  <w:rStyle w:val="Hyperlink"/>
                  <w:rFonts w:ascii="Arial" w:hAnsi="Arial" w:cs="Arial"/>
                  <w:bCs w:val="0"/>
                  <w:sz w:val="18"/>
                  <w:szCs w:val="18"/>
                  <w:lang w:val="es-ES_tradnl"/>
                </w:rPr>
                <w:t>OLACEFS</w:t>
              </w:r>
            </w:hyperlink>
          </w:p>
          <w:p w14:paraId="277823C5" w14:textId="77777777" w:rsidR="00A21641" w:rsidRPr="00237FAE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</w:pPr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(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Organization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of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Latin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American and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Caribbean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Supreme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Audit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Institutions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)</w:t>
            </w:r>
          </w:p>
          <w:p w14:paraId="47010698" w14:textId="77777777" w:rsidR="00A21641" w:rsidRPr="00237FAE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A21641" w:rsidRPr="00432FD4" w14:paraId="5C38EE07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EC8A59A" w14:textId="77777777" w:rsidR="00A21641" w:rsidRPr="00432FD4" w:rsidRDefault="003F2166" w:rsidP="00A21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" w:history="1">
              <w:r w:rsidR="00A21641" w:rsidRPr="00432FD4">
                <w:rPr>
                  <w:rStyle w:val="Hyperlink"/>
                  <w:rFonts w:ascii="Arial" w:hAnsi="Arial" w:cs="Arial"/>
                  <w:bCs w:val="0"/>
                  <w:sz w:val="18"/>
                  <w:szCs w:val="18"/>
                  <w:lang w:val="en-US"/>
                </w:rPr>
                <w:t>AFROSAI</w:t>
              </w:r>
            </w:hyperlink>
          </w:p>
          <w:p w14:paraId="3285D0D9" w14:textId="77777777" w:rsidR="00A21641" w:rsidRPr="00432FD4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</w:pPr>
            <w:r w:rsidRPr="00432FD4"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  <w:t>(African Organization of Supreme Audit Institutions)</w:t>
            </w:r>
          </w:p>
          <w:p w14:paraId="52A9EEBF" w14:textId="77777777" w:rsidR="00A21641" w:rsidRPr="00432FD4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21641" w:rsidRPr="00432FD4" w14:paraId="5D427D25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F1057D1" w14:textId="77777777" w:rsidR="00A21641" w:rsidRPr="00432FD4" w:rsidRDefault="003F2166" w:rsidP="00A21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1" w:history="1">
              <w:r w:rsidR="00A21641" w:rsidRPr="00432FD4">
                <w:rPr>
                  <w:rStyle w:val="Hyperlink"/>
                  <w:rFonts w:ascii="Arial" w:hAnsi="Arial" w:cs="Arial"/>
                  <w:bCs w:val="0"/>
                  <w:sz w:val="18"/>
                  <w:szCs w:val="18"/>
                  <w:lang w:val="en-US"/>
                </w:rPr>
                <w:t>ARABOSAI</w:t>
              </w:r>
            </w:hyperlink>
          </w:p>
          <w:p w14:paraId="0105952B" w14:textId="77777777" w:rsidR="00A21641" w:rsidRPr="00432FD4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</w:pPr>
            <w:r w:rsidRPr="00432FD4"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  <w:t>(Arab Organization of Supreme Audit Institutions)</w:t>
            </w:r>
          </w:p>
          <w:p w14:paraId="4E38347D" w14:textId="77777777" w:rsidR="00A21641" w:rsidRPr="00432FD4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21641" w:rsidRPr="00432FD4" w14:paraId="1BA9BA29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C7E2A9" w14:textId="77777777" w:rsidR="00A21641" w:rsidRPr="00432FD4" w:rsidRDefault="003F2166" w:rsidP="00A21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2" w:history="1">
              <w:r w:rsidR="00A21641" w:rsidRPr="00432FD4">
                <w:rPr>
                  <w:rStyle w:val="Hyperlink"/>
                  <w:rFonts w:ascii="Arial" w:hAnsi="Arial" w:cs="Arial"/>
                  <w:bCs w:val="0"/>
                  <w:sz w:val="18"/>
                  <w:szCs w:val="18"/>
                  <w:lang w:val="en-US"/>
                </w:rPr>
                <w:t>ASOSAI</w:t>
              </w:r>
            </w:hyperlink>
          </w:p>
          <w:p w14:paraId="414F4EA7" w14:textId="77777777" w:rsidR="00A21641" w:rsidRPr="00432FD4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</w:pPr>
            <w:r w:rsidRPr="00432FD4"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  <w:t>(Asian Organization of Supreme Audit Institutions)</w:t>
            </w:r>
          </w:p>
          <w:p w14:paraId="1A892DAB" w14:textId="77777777" w:rsidR="00A21641" w:rsidRPr="00432FD4" w:rsidRDefault="00A21641" w:rsidP="00A21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21641" w:rsidRPr="00432FD4" w14:paraId="61A40C65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95783D8" w14:textId="77777777" w:rsidR="00A21641" w:rsidRPr="00432FD4" w:rsidRDefault="003F2166" w:rsidP="00A21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3" w:history="1">
              <w:r w:rsidR="00A21641" w:rsidRPr="00432FD4">
                <w:rPr>
                  <w:rStyle w:val="Hyperlink"/>
                  <w:rFonts w:ascii="Arial" w:hAnsi="Arial" w:cs="Arial"/>
                  <w:bCs w:val="0"/>
                  <w:sz w:val="18"/>
                  <w:szCs w:val="18"/>
                  <w:lang w:val="en-US"/>
                </w:rPr>
                <w:t>PASAI</w:t>
              </w:r>
            </w:hyperlink>
          </w:p>
          <w:p w14:paraId="0D69E437" w14:textId="77777777" w:rsidR="00A21641" w:rsidRPr="00432FD4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</w:pPr>
            <w:r w:rsidRPr="00432FD4"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  <w:t>(Pacific Association of Supreme Audit Institutions)</w:t>
            </w:r>
          </w:p>
          <w:p w14:paraId="3264D74A" w14:textId="77777777" w:rsidR="00A21641" w:rsidRPr="00432FD4" w:rsidRDefault="00A21641" w:rsidP="00A21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21641" w:rsidRPr="00432FD4" w14:paraId="3F46A1CC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D7C68B6" w14:textId="77777777" w:rsidR="00A21641" w:rsidRPr="00432FD4" w:rsidRDefault="003F2166" w:rsidP="00A21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" w:history="1">
              <w:r w:rsidR="00A21641" w:rsidRPr="00432FD4">
                <w:rPr>
                  <w:rStyle w:val="Hyperlink"/>
                  <w:rFonts w:ascii="Arial" w:hAnsi="Arial" w:cs="Arial"/>
                  <w:bCs w:val="0"/>
                  <w:sz w:val="18"/>
                  <w:szCs w:val="18"/>
                  <w:lang w:val="en-US"/>
                </w:rPr>
                <w:t>CAROSAI</w:t>
              </w:r>
            </w:hyperlink>
          </w:p>
          <w:p w14:paraId="58CA0F24" w14:textId="77777777" w:rsidR="00A21641" w:rsidRPr="00432FD4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</w:pPr>
            <w:r w:rsidRPr="00432FD4"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  <w:t>(Caribbean Organization of Supreme Audit Institutions)</w:t>
            </w:r>
          </w:p>
          <w:p w14:paraId="5AB3D030" w14:textId="77777777" w:rsidR="00A21641" w:rsidRPr="00432FD4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21641" w:rsidRPr="00432FD4" w14:paraId="267BD5C4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3B9D937" w14:textId="77777777" w:rsidR="00A21641" w:rsidRPr="00432FD4" w:rsidRDefault="003F2166" w:rsidP="00A21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5" w:history="1">
              <w:r w:rsidR="00A21641" w:rsidRPr="00432FD4">
                <w:rPr>
                  <w:rStyle w:val="Hyperlink"/>
                  <w:rFonts w:ascii="Arial" w:hAnsi="Arial" w:cs="Arial"/>
                  <w:bCs w:val="0"/>
                  <w:sz w:val="18"/>
                  <w:szCs w:val="18"/>
                  <w:lang w:val="en-US"/>
                </w:rPr>
                <w:t>EUROSAI</w:t>
              </w:r>
            </w:hyperlink>
          </w:p>
          <w:p w14:paraId="5BCEDF1B" w14:textId="77777777" w:rsidR="00A21641" w:rsidRPr="00432FD4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</w:pPr>
            <w:r w:rsidRPr="00432FD4"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  <w:t>(European Organization of Supreme Audit Institutions)</w:t>
            </w:r>
          </w:p>
          <w:p w14:paraId="2A51FDA1" w14:textId="77777777" w:rsidR="00A21641" w:rsidRPr="00432FD4" w:rsidRDefault="00A21641" w:rsidP="00816D1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77C49698" w14:textId="77777777" w:rsidR="00AE798E" w:rsidRDefault="00AE798E" w:rsidP="00AE79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tradução e adaptação dos trechos considerados mais relevantes para fins de divulgação dos precedentes internacionais</w:t>
      </w:r>
      <w:r w:rsidR="00F923CE">
        <w:rPr>
          <w:rFonts w:ascii="Arial" w:hAnsi="Arial" w:cs="Arial"/>
          <w:sz w:val="20"/>
          <w:szCs w:val="20"/>
        </w:rPr>
        <w:t>, feitas pelos integrantes da Escola de Gestão Pública (Áreas: Capacitação e Jurisprudência),</w:t>
      </w:r>
      <w:r>
        <w:rPr>
          <w:rFonts w:ascii="Arial" w:hAnsi="Arial" w:cs="Arial"/>
          <w:sz w:val="20"/>
          <w:szCs w:val="20"/>
        </w:rPr>
        <w:t xml:space="preserve"> dar-se-á </w:t>
      </w:r>
      <w:r w:rsidR="00F923CE">
        <w:rPr>
          <w:rFonts w:ascii="Arial" w:hAnsi="Arial" w:cs="Arial"/>
          <w:sz w:val="20"/>
          <w:szCs w:val="20"/>
        </w:rPr>
        <w:t>a partir d</w:t>
      </w:r>
      <w:r w:rsidRPr="00A21641">
        <w:rPr>
          <w:rFonts w:ascii="Arial" w:hAnsi="Arial" w:cs="Arial"/>
          <w:sz w:val="20"/>
          <w:szCs w:val="20"/>
        </w:rPr>
        <w:t>os</w:t>
      </w:r>
      <w:r w:rsidRPr="00E95A8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respectivos idiomas: inglês, espanhol, francês, italiano e russo.</w:t>
      </w:r>
    </w:p>
    <w:p w14:paraId="4BD22F9E" w14:textId="77777777" w:rsidR="006009F5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sz w:val="20"/>
          <w:szCs w:val="20"/>
        </w:rPr>
        <w:t xml:space="preserve">O objetivo é </w:t>
      </w:r>
      <w:r w:rsidR="007E786E">
        <w:rPr>
          <w:rFonts w:ascii="Arial" w:hAnsi="Arial" w:cs="Arial"/>
          <w:sz w:val="20"/>
          <w:szCs w:val="20"/>
        </w:rPr>
        <w:t xml:space="preserve">estimular </w:t>
      </w:r>
      <w:r w:rsidR="00F923CE">
        <w:rPr>
          <w:rFonts w:ascii="Arial" w:hAnsi="Arial" w:cs="Arial"/>
          <w:sz w:val="20"/>
          <w:szCs w:val="20"/>
        </w:rPr>
        <w:t xml:space="preserve">a disseminação de </w:t>
      </w:r>
      <w:r w:rsidR="007E786E">
        <w:rPr>
          <w:rFonts w:ascii="Arial" w:hAnsi="Arial" w:cs="Arial"/>
          <w:sz w:val="20"/>
          <w:szCs w:val="20"/>
        </w:rPr>
        <w:t xml:space="preserve">estudos e trabalhos periódicos na área de auditoria (conformidade e/ou operacional) que possam servir como inspiração e/ou subsídio para a aplicação de técnicas e práticas de controle externo internacional na realidade nacional e/ou local. </w:t>
      </w:r>
    </w:p>
    <w:p w14:paraId="5979978A" w14:textId="77777777" w:rsidR="006009F5" w:rsidRDefault="006009F5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B76C7D" w14:textId="77777777" w:rsidR="007A3F8C" w:rsidRDefault="007A3F8C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C9CBB5" w14:textId="77777777" w:rsidR="00FE7B14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sz w:val="20"/>
          <w:szCs w:val="20"/>
        </w:rPr>
        <w:lastRenderedPageBreak/>
        <w:t>Para aprofundamento, o leitor pode acessar o inteiro teor das deliberações por meio dos links disponíveis.</w:t>
      </w:r>
      <w:r w:rsidRPr="0022060B">
        <w:rPr>
          <w:rFonts w:ascii="Arial" w:hAnsi="Arial" w:cs="Arial"/>
          <w:color w:val="212121"/>
          <w:sz w:val="20"/>
          <w:szCs w:val="20"/>
        </w:rPr>
        <w:t xml:space="preserve"> </w:t>
      </w:r>
      <w:r w:rsidRPr="0022060B"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14:paraId="1B989F7F" w14:textId="77777777" w:rsidR="00FE7B14" w:rsidRPr="0022060B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156099" wp14:editId="11279CEF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080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1700C" id="Conector reto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" strokecolor="maroon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92B7C37" w14:textId="77777777" w:rsidR="00AE4F42" w:rsidRPr="000A4E5F" w:rsidRDefault="00AE4F42" w:rsidP="000A4E5F">
      <w:pPr>
        <w:jc w:val="center"/>
        <w:rPr>
          <w:rFonts w:ascii="Arial" w:hAnsi="Arial" w:cs="Arial"/>
          <w:b/>
          <w:color w:val="800000"/>
          <w:sz w:val="24"/>
          <w:szCs w:val="24"/>
        </w:rPr>
      </w:pPr>
      <w:r w:rsidRPr="000A4E5F">
        <w:rPr>
          <w:rFonts w:ascii="Arial" w:hAnsi="Arial" w:cs="Arial"/>
          <w:b/>
          <w:color w:val="800000"/>
          <w:sz w:val="24"/>
          <w:szCs w:val="24"/>
        </w:rPr>
        <w:t>S</w:t>
      </w:r>
      <w:r w:rsidR="00221D15" w:rsidRPr="000A4E5F">
        <w:rPr>
          <w:rFonts w:ascii="Arial" w:hAnsi="Arial" w:cs="Arial"/>
          <w:b/>
          <w:color w:val="800000"/>
          <w:sz w:val="24"/>
          <w:szCs w:val="24"/>
        </w:rPr>
        <w:t>U</w:t>
      </w:r>
      <w:r w:rsidRPr="000A4E5F">
        <w:rPr>
          <w:rFonts w:ascii="Arial" w:hAnsi="Arial" w:cs="Arial"/>
          <w:b/>
          <w:color w:val="800000"/>
          <w:sz w:val="24"/>
          <w:szCs w:val="24"/>
        </w:rPr>
        <w:t>MÁRIO</w:t>
      </w:r>
    </w:p>
    <w:p w14:paraId="34E964F5" w14:textId="5DAAD0BE" w:rsidR="00432FD4" w:rsidRPr="00F63D4F" w:rsidRDefault="00432FD4" w:rsidP="00432F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63D4F">
        <w:rPr>
          <w:rFonts w:ascii="Arial" w:hAnsi="Arial" w:cs="Arial"/>
          <w:sz w:val="20"/>
          <w:szCs w:val="20"/>
          <w:shd w:val="clear" w:color="auto" w:fill="FFFFFF"/>
        </w:rPr>
        <w:t>1</w:t>
      </w:r>
      <w:r w:rsidRPr="00F63D4F">
        <w:rPr>
          <w:rFonts w:ascii="Arial" w:hAnsi="Arial" w:cs="Arial"/>
          <w:b/>
          <w:sz w:val="20"/>
          <w:szCs w:val="20"/>
          <w:shd w:val="clear" w:color="auto" w:fill="FFFFFF"/>
        </w:rPr>
        <w:t>. Chile</w:t>
      </w:r>
      <w:r w:rsidRPr="00F63D4F">
        <w:rPr>
          <w:rFonts w:ascii="Arial" w:hAnsi="Arial" w:cs="Arial"/>
          <w:sz w:val="20"/>
          <w:szCs w:val="20"/>
          <w:shd w:val="clear" w:color="auto" w:fill="FFFFFF"/>
        </w:rPr>
        <w:t xml:space="preserve"> –</w:t>
      </w:r>
      <w:r w:rsidRPr="00F63D4F">
        <w:rPr>
          <w:rFonts w:ascii="Arial" w:hAnsi="Arial" w:cs="Arial"/>
          <w:sz w:val="20"/>
          <w:szCs w:val="20"/>
        </w:rPr>
        <w:t xml:space="preserve"> Controladoria Geral da República do Chile – Divisão de Auditoria Administrativa Área de Educação – Informe de Investigação Especial sobre irregularidades na aquisição de material bibliográfico através de contratação direta – Direção de Bibliotecas, Arquivos e Museus - DIBAM. (2016)</w:t>
      </w:r>
    </w:p>
    <w:p w14:paraId="78D2DDCC" w14:textId="77777777" w:rsidR="00432FD4" w:rsidRPr="00F63D4F" w:rsidRDefault="00432FD4" w:rsidP="00432F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C93D04C" w14:textId="0C40CC24" w:rsidR="00432FD4" w:rsidRDefault="00432FD4" w:rsidP="00432F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63D4F">
        <w:rPr>
          <w:rFonts w:ascii="Arial" w:hAnsi="Arial" w:cs="Arial"/>
          <w:sz w:val="20"/>
          <w:szCs w:val="20"/>
        </w:rPr>
        <w:t xml:space="preserve">2. </w:t>
      </w:r>
      <w:r w:rsidRPr="00F63D4F">
        <w:rPr>
          <w:rFonts w:ascii="Arial" w:hAnsi="Arial" w:cs="Arial"/>
          <w:b/>
          <w:sz w:val="20"/>
          <w:szCs w:val="20"/>
        </w:rPr>
        <w:t>Cuba</w:t>
      </w:r>
      <w:r w:rsidRPr="00F63D4F">
        <w:rPr>
          <w:rFonts w:ascii="Arial" w:hAnsi="Arial" w:cs="Arial"/>
          <w:sz w:val="20"/>
          <w:szCs w:val="20"/>
        </w:rPr>
        <w:t xml:space="preserve"> – Controladoria Geral da República de Cuba – Informe sobre os resultados da revisão entre pares com a CGR de Costa Rica.  Exercício 2017.</w:t>
      </w:r>
    </w:p>
    <w:p w14:paraId="2CE439E0" w14:textId="4A8D1F94" w:rsidR="00432FD4" w:rsidRDefault="00432FD4" w:rsidP="00432F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A93CE6F" w14:textId="7B754FA8" w:rsidR="0072755A" w:rsidRDefault="00432FD4" w:rsidP="001645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3. </w:t>
      </w:r>
      <w:r w:rsidRPr="00432FD4">
        <w:rPr>
          <w:rFonts w:ascii="Arial" w:hAnsi="Arial" w:cs="Arial"/>
          <w:b/>
          <w:bCs/>
          <w:sz w:val="20"/>
          <w:szCs w:val="20"/>
          <w:shd w:val="clear" w:color="auto" w:fill="FFFFFF"/>
        </w:rPr>
        <w:t>Rússia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Câmara de Contas da Federação Russa - </w:t>
      </w:r>
      <w:r w:rsidR="00164591" w:rsidRPr="0072755A">
        <w:rPr>
          <w:rFonts w:ascii="Arial" w:hAnsi="Arial" w:cs="Arial"/>
          <w:color w:val="000000"/>
          <w:sz w:val="20"/>
          <w:szCs w:val="20"/>
        </w:rPr>
        <w:t>Auditoria de eficácia da gestão de recursos do orçamento da Federação Russa para fornecimento de habitação a crianças e adolescentes sem cuidados parentais</w:t>
      </w:r>
      <w:r w:rsidR="00164591">
        <w:rPr>
          <w:rFonts w:ascii="Arial" w:hAnsi="Arial" w:cs="Arial"/>
          <w:color w:val="000000"/>
          <w:sz w:val="20"/>
          <w:szCs w:val="20"/>
        </w:rPr>
        <w:t>.</w:t>
      </w:r>
    </w:p>
    <w:p w14:paraId="67140E5C" w14:textId="71848DB4" w:rsidR="00344EC9" w:rsidRDefault="00344EC9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hd w:val="clear" w:color="auto" w:fill="FFFFFF"/>
        </w:rPr>
      </w:pPr>
    </w:p>
    <w:p w14:paraId="25A2F849" w14:textId="30355A28" w:rsidR="00344EC9" w:rsidRDefault="00344EC9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CHILE – OLACEFS</w:t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 w:rsidR="004D615F">
        <w:rPr>
          <w:rFonts w:ascii="Arial" w:hAnsi="Arial" w:cs="Arial"/>
          <w:b/>
          <w:shd w:val="clear" w:color="auto" w:fill="FFFFFF"/>
        </w:rPr>
        <w:tab/>
      </w:r>
      <w:r w:rsidR="004D615F">
        <w:rPr>
          <w:noProof/>
        </w:rPr>
        <w:drawing>
          <wp:inline distT="0" distB="0" distL="0" distR="0" wp14:anchorId="409EAC92" wp14:editId="224F3049">
            <wp:extent cx="361950" cy="190024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81" cy="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08428" w14:textId="77777777" w:rsidR="004D615F" w:rsidRDefault="004D615F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hd w:val="clear" w:color="auto" w:fill="FFFFFF"/>
        </w:rPr>
      </w:pPr>
    </w:p>
    <w:p w14:paraId="36D8DE1E" w14:textId="778D32CB" w:rsidR="00344EC9" w:rsidRPr="00F63D4F" w:rsidRDefault="00344EC9" w:rsidP="00344EC9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bookmarkStart w:id="0" w:name="_Hlk4414259"/>
      <w:r w:rsidRPr="00F63D4F">
        <w:rPr>
          <w:rFonts w:ascii="Arial" w:hAnsi="Arial" w:cs="Arial"/>
          <w:b/>
          <w:color w:val="800000"/>
          <w:sz w:val="20"/>
          <w:szCs w:val="20"/>
        </w:rPr>
        <w:t>1 -   CONTROLADORIA GERAL DA REPÚBLICA DO CHILE</w:t>
      </w:r>
    </w:p>
    <w:p w14:paraId="38CE0269" w14:textId="77777777" w:rsidR="00344EC9" w:rsidRPr="00F63D4F" w:rsidRDefault="00344EC9" w:rsidP="00344E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23F43FF" w14:textId="77777777" w:rsidR="00344EC9" w:rsidRPr="00F63D4F" w:rsidRDefault="00344EC9" w:rsidP="00344E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63D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Publicação original acessível em: </w:t>
      </w:r>
    </w:p>
    <w:p w14:paraId="60205CE9" w14:textId="77777777" w:rsidR="00344EC9" w:rsidRPr="00F63D4F" w:rsidRDefault="003F2166" w:rsidP="00344EC9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20"/>
          <w:szCs w:val="20"/>
          <w:shd w:val="clear" w:color="auto" w:fill="FFFFFF"/>
        </w:rPr>
      </w:pPr>
      <w:hyperlink r:id="rId17" w:history="1">
        <w:r w:rsidR="00344EC9" w:rsidRPr="00F63D4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https://www.contraloria.cl/pdfbuscador/auditoria/4c51e86184b87489805acfec8f6e8b2d/html</w:t>
        </w:r>
      </w:hyperlink>
    </w:p>
    <w:p w14:paraId="14E88B15" w14:textId="77777777" w:rsidR="00344EC9" w:rsidRPr="00F63D4F" w:rsidRDefault="00344EC9" w:rsidP="00344E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82C6465" w14:textId="77777777" w:rsidR="00344EC9" w:rsidRPr="00F63D4F" w:rsidRDefault="00344EC9" w:rsidP="00344E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3D4F">
        <w:rPr>
          <w:rFonts w:ascii="Arial" w:hAnsi="Arial" w:cs="Arial"/>
          <w:sz w:val="20"/>
          <w:szCs w:val="20"/>
          <w:shd w:val="clear" w:color="auto" w:fill="FFFFFF"/>
        </w:rPr>
        <w:t>A partir de denúncia, a Controladoria Geral da República do Chile realizou auditoria na Diretoria de Bibliotecas, Arquivos e Museus (DIBAM), cujo objetivo foi o de investigar e analisar supostas irregularidades no processo de aquisição de material bibliográfico do poeta Pablo Neruda e de uma coleção documental Peruano-Chileno colonial, realizada através de contratação direta.</w:t>
      </w:r>
    </w:p>
    <w:p w14:paraId="1A144046" w14:textId="77777777" w:rsidR="00344EC9" w:rsidRPr="00F63D4F" w:rsidRDefault="00344EC9" w:rsidP="00344EC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F27F25" w14:textId="4435AFCF" w:rsidR="00344EC9" w:rsidRDefault="00344EC9" w:rsidP="00344EC9">
      <w:pPr>
        <w:shd w:val="clear" w:color="auto" w:fill="FFFFFF"/>
        <w:spacing w:after="0" w:line="343" w:lineRule="atLeast"/>
        <w:jc w:val="both"/>
        <w:rPr>
          <w:rFonts w:ascii="Arial" w:hAnsi="Arial" w:cs="Arial"/>
          <w:spacing w:val="-1"/>
          <w:sz w:val="20"/>
          <w:szCs w:val="20"/>
        </w:rPr>
      </w:pPr>
      <w:r w:rsidRPr="00F63D4F">
        <w:rPr>
          <w:rFonts w:ascii="Arial" w:hAnsi="Arial" w:cs="Arial"/>
          <w:spacing w:val="-1"/>
          <w:sz w:val="20"/>
          <w:szCs w:val="20"/>
        </w:rPr>
        <w:t>Constatou-se que a aquisição das referidas obras literárias foi realizada de acordo com as exceções previstas na legislação nacional, regulamentada através de Decreto do Ministério da Fazenda.</w:t>
      </w:r>
    </w:p>
    <w:p w14:paraId="5AA66F57" w14:textId="77777777" w:rsidR="00344EC9" w:rsidRPr="00F63D4F" w:rsidRDefault="00344EC9" w:rsidP="00344EC9">
      <w:pPr>
        <w:shd w:val="clear" w:color="auto" w:fill="FFFFFF"/>
        <w:spacing w:after="0" w:line="343" w:lineRule="atLeast"/>
        <w:jc w:val="both"/>
        <w:rPr>
          <w:rFonts w:ascii="Arial" w:hAnsi="Arial" w:cs="Arial"/>
          <w:spacing w:val="-1"/>
          <w:sz w:val="20"/>
          <w:szCs w:val="20"/>
        </w:rPr>
      </w:pPr>
    </w:p>
    <w:p w14:paraId="13046D62" w14:textId="2C5EC479" w:rsidR="00344EC9" w:rsidRDefault="00344EC9" w:rsidP="00344EC9">
      <w:pPr>
        <w:shd w:val="clear" w:color="auto" w:fill="FFFFFF"/>
        <w:spacing w:after="0" w:line="343" w:lineRule="atLeast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No entanto, </w:t>
      </w:r>
      <w:r w:rsidRPr="00F63D4F">
        <w:rPr>
          <w:rFonts w:ascii="Arial" w:hAnsi="Arial" w:cs="Arial"/>
          <w:spacing w:val="-1"/>
          <w:sz w:val="20"/>
          <w:szCs w:val="20"/>
        </w:rPr>
        <w:t>verificou-se que a DIBAM não possui manual de procedimentos para a aquisição de material cultural como o investigado, com caráter de patrimônio bibliográfico e documental, a fim de examinar as obras e coleções oferecidas pelos potenciais adjudicatários, validando sua autenticidade, com indicação das provas efetuadas para este efeito. Também não possui informação que permita justificar o preço pago pelas coleções adquiridas, embora a repartição auditada tenha aludido a critérios de razoabilidade e proporcionalidade em relação ao montante desembolsado.</w:t>
      </w:r>
    </w:p>
    <w:p w14:paraId="4AA40EE7" w14:textId="77777777" w:rsidR="00DC6613" w:rsidRPr="00F63D4F" w:rsidRDefault="00DC6613" w:rsidP="00344EC9">
      <w:pPr>
        <w:shd w:val="clear" w:color="auto" w:fill="FFFFFF"/>
        <w:spacing w:after="0" w:line="343" w:lineRule="atLeast"/>
        <w:jc w:val="both"/>
        <w:rPr>
          <w:rFonts w:ascii="Arial" w:hAnsi="Arial" w:cs="Arial"/>
          <w:spacing w:val="-1"/>
          <w:sz w:val="20"/>
          <w:szCs w:val="20"/>
        </w:rPr>
      </w:pPr>
    </w:p>
    <w:p w14:paraId="0DFA36A9" w14:textId="2A4494AA" w:rsidR="00344EC9" w:rsidRDefault="00344EC9" w:rsidP="00344EC9">
      <w:pPr>
        <w:shd w:val="clear" w:color="auto" w:fill="FFFFFF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F63D4F">
        <w:rPr>
          <w:rFonts w:ascii="Arial" w:hAnsi="Arial" w:cs="Arial"/>
          <w:spacing w:val="-1"/>
          <w:sz w:val="20"/>
          <w:szCs w:val="20"/>
        </w:rPr>
        <w:lastRenderedPageBreak/>
        <w:t xml:space="preserve">Por esta razão, </w:t>
      </w:r>
      <w:r>
        <w:rPr>
          <w:rFonts w:ascii="Arial" w:hAnsi="Arial" w:cs="Arial"/>
          <w:spacing w:val="-1"/>
          <w:sz w:val="20"/>
          <w:szCs w:val="20"/>
        </w:rPr>
        <w:t xml:space="preserve">foi recomendado que </w:t>
      </w:r>
      <w:r w:rsidRPr="00F63D4F">
        <w:rPr>
          <w:rFonts w:ascii="Arial" w:hAnsi="Arial" w:cs="Arial"/>
          <w:spacing w:val="-1"/>
          <w:sz w:val="20"/>
          <w:szCs w:val="20"/>
        </w:rPr>
        <w:t>o ente auditado deverá implementar um procedimento que contemple os controles necessários, considerando as orientações contidas no referido informe, com redução em suas contratações, de acordo com o previsto na legislação nacional, em obediência aos princípios da eficiência, eficácia e transparência consagrados na Lei de Bases Gerais da Administração do Estado.</w:t>
      </w:r>
    </w:p>
    <w:p w14:paraId="2407FE7F" w14:textId="77777777" w:rsidR="00344EC9" w:rsidRPr="00344EC9" w:rsidRDefault="00344EC9" w:rsidP="00344EC9">
      <w:pPr>
        <w:shd w:val="clear" w:color="auto" w:fill="FFFFFF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30FAC36" w14:textId="77777777" w:rsidR="00344EC9" w:rsidRDefault="00344EC9" w:rsidP="00344E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63D4F">
        <w:rPr>
          <w:rFonts w:ascii="Arial" w:hAnsi="Arial" w:cs="Arial"/>
          <w:sz w:val="20"/>
          <w:szCs w:val="20"/>
        </w:rPr>
        <w:t>Informe Executivo do Relatório/Acórdão/Decisão disponível em língua espanhola:</w:t>
      </w:r>
    </w:p>
    <w:p w14:paraId="676433D3" w14:textId="2D5E4052" w:rsidR="00344EC9" w:rsidRPr="00CD040D" w:rsidRDefault="003F2166" w:rsidP="00344EC9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  <w:hyperlink r:id="rId18" w:history="1">
        <w:proofErr w:type="spellStart"/>
        <w:r w:rsidR="00344EC9" w:rsidRPr="00CD040D">
          <w:rPr>
            <w:rStyle w:val="Hyperlink"/>
            <w:rFonts w:ascii="Arial" w:hAnsi="Arial" w:cs="Arial"/>
            <w:sz w:val="20"/>
            <w:szCs w:val="20"/>
          </w:rPr>
          <w:t>División</w:t>
        </w:r>
        <w:proofErr w:type="spellEnd"/>
        <w:r w:rsidR="00344EC9" w:rsidRPr="00CD040D">
          <w:rPr>
            <w:rStyle w:val="Hyperlink"/>
            <w:rFonts w:ascii="Arial" w:hAnsi="Arial" w:cs="Arial"/>
            <w:sz w:val="20"/>
            <w:szCs w:val="20"/>
          </w:rPr>
          <w:t xml:space="preserve"> de </w:t>
        </w:r>
        <w:proofErr w:type="spellStart"/>
        <w:r w:rsidR="00344EC9" w:rsidRPr="00CD040D">
          <w:rPr>
            <w:rStyle w:val="Hyperlink"/>
            <w:rFonts w:ascii="Arial" w:hAnsi="Arial" w:cs="Arial"/>
            <w:sz w:val="20"/>
            <w:szCs w:val="20"/>
          </w:rPr>
          <w:t>Auditoría</w:t>
        </w:r>
        <w:proofErr w:type="spellEnd"/>
        <w:r w:rsidR="00344EC9" w:rsidRPr="00CD040D">
          <w:rPr>
            <w:rStyle w:val="Hyperlink"/>
            <w:rFonts w:ascii="Arial" w:hAnsi="Arial" w:cs="Arial"/>
            <w:sz w:val="20"/>
            <w:szCs w:val="20"/>
          </w:rPr>
          <w:t xml:space="preserve"> Administrativa Área de </w:t>
        </w:r>
        <w:proofErr w:type="spellStart"/>
        <w:r w:rsidR="00344EC9" w:rsidRPr="00CD040D">
          <w:rPr>
            <w:rStyle w:val="Hyperlink"/>
            <w:rFonts w:ascii="Arial" w:hAnsi="Arial" w:cs="Arial"/>
            <w:sz w:val="20"/>
            <w:szCs w:val="20"/>
          </w:rPr>
          <w:t>Educación</w:t>
        </w:r>
        <w:proofErr w:type="spellEnd"/>
        <w:r w:rsidR="00344EC9" w:rsidRPr="00CD040D">
          <w:rPr>
            <w:rStyle w:val="Hyperlink"/>
            <w:rFonts w:ascii="Arial" w:hAnsi="Arial" w:cs="Arial"/>
            <w:sz w:val="20"/>
            <w:szCs w:val="20"/>
          </w:rPr>
          <w:t xml:space="preserve"> – Inform</w:t>
        </w:r>
        <w:bookmarkStart w:id="1" w:name="_GoBack"/>
        <w:bookmarkEnd w:id="1"/>
        <w:r w:rsidR="00344EC9" w:rsidRPr="00CD040D">
          <w:rPr>
            <w:rStyle w:val="Hyperlink"/>
            <w:rFonts w:ascii="Arial" w:hAnsi="Arial" w:cs="Arial"/>
            <w:sz w:val="20"/>
            <w:szCs w:val="20"/>
          </w:rPr>
          <w:t>e</w:t>
        </w:r>
        <w:r w:rsidR="00344EC9" w:rsidRPr="00CD040D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344EC9" w:rsidRPr="00CD040D">
          <w:rPr>
            <w:rStyle w:val="Hyperlink"/>
            <w:rFonts w:ascii="Arial" w:hAnsi="Arial" w:cs="Arial"/>
            <w:sz w:val="20"/>
            <w:szCs w:val="20"/>
          </w:rPr>
          <w:t>Investigación</w:t>
        </w:r>
        <w:proofErr w:type="spellEnd"/>
        <w:r w:rsidR="00344EC9" w:rsidRPr="00CD040D">
          <w:rPr>
            <w:rStyle w:val="Hyperlink"/>
            <w:rFonts w:ascii="Arial" w:hAnsi="Arial" w:cs="Arial"/>
            <w:sz w:val="20"/>
            <w:szCs w:val="20"/>
          </w:rPr>
          <w:t xml:space="preserve"> Especial</w:t>
        </w:r>
      </w:hyperlink>
    </w:p>
    <w:p w14:paraId="6E1B1887" w14:textId="7A573FB4" w:rsidR="00CD040D" w:rsidRDefault="00CD040D" w:rsidP="00344EC9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2F612654" w14:textId="77777777" w:rsidR="00C125E9" w:rsidRDefault="00C125E9" w:rsidP="00344EC9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31B4D3BC" w14:textId="4EDA30D0" w:rsidR="004D615F" w:rsidRPr="004D615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D615F">
        <w:rPr>
          <w:rFonts w:ascii="Arial" w:hAnsi="Arial" w:cs="Arial"/>
          <w:b/>
          <w:shd w:val="clear" w:color="auto" w:fill="FFFFFF"/>
        </w:rPr>
        <w:t>CUBA –</w:t>
      </w:r>
      <w:r w:rsidRPr="004D615F">
        <w:rPr>
          <w:rFonts w:ascii="Arial" w:hAnsi="Arial" w:cs="Arial"/>
          <w:b/>
        </w:rPr>
        <w:t xml:space="preserve"> OLACEFS</w:t>
      </w:r>
      <w:r w:rsidRPr="004D615F">
        <w:rPr>
          <w:rFonts w:ascii="Arial" w:hAnsi="Arial" w:cs="Arial"/>
          <w:b/>
        </w:rPr>
        <w:tab/>
      </w:r>
      <w:r w:rsidRPr="004D615F">
        <w:rPr>
          <w:rFonts w:ascii="Arial" w:hAnsi="Arial" w:cs="Arial"/>
          <w:b/>
        </w:rPr>
        <w:tab/>
      </w:r>
      <w:r w:rsidRPr="004D615F">
        <w:rPr>
          <w:rFonts w:ascii="Arial" w:hAnsi="Arial" w:cs="Arial"/>
          <w:b/>
        </w:rPr>
        <w:tab/>
      </w:r>
      <w:r w:rsidRPr="004D615F">
        <w:rPr>
          <w:rFonts w:ascii="Arial" w:hAnsi="Arial" w:cs="Arial"/>
          <w:b/>
        </w:rPr>
        <w:tab/>
        <w:t xml:space="preserve">                                                             </w:t>
      </w:r>
      <w:r w:rsidRPr="004D615F">
        <w:rPr>
          <w:noProof/>
        </w:rPr>
        <w:drawing>
          <wp:inline distT="0" distB="0" distL="0" distR="0" wp14:anchorId="769E962B" wp14:editId="5430FEE5">
            <wp:extent cx="313834" cy="18859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6826" cy="19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15F">
        <w:rPr>
          <w:rFonts w:ascii="Arial" w:hAnsi="Arial" w:cs="Arial"/>
          <w:b/>
        </w:rPr>
        <w:t xml:space="preserve">     </w:t>
      </w:r>
      <w:r w:rsidRPr="004D615F">
        <w:rPr>
          <w:rFonts w:ascii="Arial" w:hAnsi="Arial" w:cs="Arial"/>
          <w:b/>
          <w:sz w:val="20"/>
          <w:szCs w:val="20"/>
        </w:rPr>
        <w:t xml:space="preserve">                       </w:t>
      </w:r>
    </w:p>
    <w:p w14:paraId="012BB3BC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49ADE03" w14:textId="77777777" w:rsidR="004D615F" w:rsidRPr="00F63D4F" w:rsidRDefault="004D615F" w:rsidP="004D61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F63D4F">
        <w:rPr>
          <w:rFonts w:ascii="Arial" w:hAnsi="Arial" w:cs="Arial"/>
          <w:b/>
          <w:color w:val="800000"/>
          <w:sz w:val="20"/>
          <w:szCs w:val="20"/>
        </w:rPr>
        <w:t xml:space="preserve">2 </w:t>
      </w:r>
      <w:r>
        <w:rPr>
          <w:rFonts w:ascii="Arial" w:hAnsi="Arial" w:cs="Arial"/>
          <w:b/>
          <w:color w:val="800000"/>
          <w:sz w:val="20"/>
          <w:szCs w:val="20"/>
        </w:rPr>
        <w:t>–</w:t>
      </w:r>
      <w:r w:rsidRPr="00F63D4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>
        <w:rPr>
          <w:rFonts w:ascii="Arial" w:hAnsi="Arial" w:cs="Arial"/>
          <w:b/>
          <w:color w:val="800000"/>
          <w:sz w:val="20"/>
          <w:szCs w:val="20"/>
        </w:rPr>
        <w:t>CONTROLADORIA GERAL DA REPÚBLICA DE CUBA</w:t>
      </w:r>
    </w:p>
    <w:p w14:paraId="4443BABC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5F929F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63D4F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Publicação original acessível em:</w:t>
      </w:r>
    </w:p>
    <w:p w14:paraId="6E88D3EC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1236EFCF" w14:textId="77777777" w:rsidR="004D615F" w:rsidRDefault="003F2166" w:rsidP="004D615F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eastAsiaTheme="minorEastAsia" w:hAnsi="Arial" w:cs="Arial"/>
          <w:bCs/>
          <w:sz w:val="20"/>
          <w:szCs w:val="20"/>
          <w:lang w:val="es-ES" w:eastAsia="zh-CN"/>
        </w:rPr>
      </w:pPr>
      <w:hyperlink r:id="rId20" w:history="1">
        <w:r w:rsidR="004D615F" w:rsidRPr="00F63D4F">
          <w:rPr>
            <w:rStyle w:val="Hyperlink"/>
            <w:rFonts w:ascii="Arial" w:eastAsiaTheme="minorEastAsia" w:hAnsi="Arial" w:cs="Arial"/>
            <w:bCs/>
            <w:sz w:val="20"/>
            <w:szCs w:val="20"/>
            <w:lang w:val="es-ES" w:eastAsia="zh-CN"/>
          </w:rPr>
          <w:t>Informe sobre los resultados de la revisión entre pares con la CGR de Costa Rica.</w:t>
        </w:r>
      </w:hyperlink>
    </w:p>
    <w:p w14:paraId="6E5AF8C7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306EAF2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3D4F">
        <w:rPr>
          <w:rFonts w:ascii="Arial" w:hAnsi="Arial" w:cs="Arial"/>
          <w:sz w:val="20"/>
          <w:szCs w:val="20"/>
          <w:shd w:val="clear" w:color="auto" w:fill="FFFFFF"/>
        </w:rPr>
        <w:t xml:space="preserve">O presente informe contém os resultados da Revisão entre Pares realizada na Controladoria Geral da República de Cuba (CGR) pela Controladoria Geral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da República </w:t>
      </w:r>
      <w:r w:rsidRPr="00F63D4F">
        <w:rPr>
          <w:rFonts w:ascii="Arial" w:hAnsi="Arial" w:cs="Arial"/>
          <w:sz w:val="20"/>
          <w:szCs w:val="20"/>
          <w:shd w:val="clear" w:color="auto" w:fill="FFFFFF"/>
        </w:rPr>
        <w:t>da Costa Rica, entidade similar ou correspondente, cujo objetivo central consistiu em revisar a base metodológica, vigente em 30 de junho de 2017, na organização dos trabalhos de fiscalização desenvolvidos na CRG, em relação ao cumprimento da legislação, boas prática</w:t>
      </w: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F63D4F">
        <w:rPr>
          <w:rFonts w:ascii="Arial" w:hAnsi="Arial" w:cs="Arial"/>
          <w:sz w:val="20"/>
          <w:szCs w:val="20"/>
          <w:shd w:val="clear" w:color="auto" w:fill="FFFFFF"/>
        </w:rPr>
        <w:t xml:space="preserve"> internacionais para entidades de fiscalização superior, e os princípios estabelecidos nas Normas Internacionais das Entidades de Fiscalização Superior (ISSAI), emitidas pela Organização Internacional de Entidades de Fiscalização Superior (INTOSAI).</w:t>
      </w:r>
    </w:p>
    <w:p w14:paraId="2B701B1C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6CCC8CF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3D4F">
        <w:rPr>
          <w:rFonts w:ascii="Arial" w:hAnsi="Arial" w:cs="Arial"/>
          <w:sz w:val="20"/>
          <w:szCs w:val="20"/>
          <w:shd w:val="clear" w:color="auto" w:fill="FFFFFF"/>
        </w:rPr>
        <w:t>O trabalho realizado reveste de importância para que a CGR conte com uma opinião externa independente a respeito de seu</w:t>
      </w: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F63D4F">
        <w:rPr>
          <w:rFonts w:ascii="Arial" w:hAnsi="Arial" w:cs="Arial"/>
          <w:sz w:val="20"/>
          <w:szCs w:val="20"/>
          <w:shd w:val="clear" w:color="auto" w:fill="FFFFFF"/>
        </w:rPr>
        <w:t xml:space="preserve"> objetivo</w:t>
      </w: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F63D4F">
        <w:rPr>
          <w:rFonts w:ascii="Arial" w:hAnsi="Arial" w:cs="Arial"/>
          <w:sz w:val="20"/>
          <w:szCs w:val="20"/>
          <w:shd w:val="clear" w:color="auto" w:fill="FFFFFF"/>
        </w:rPr>
        <w:t xml:space="preserve"> e obtenha insumos adicionais para seguir fortalecendo seu alinhamento com a normativa ISSAI.</w:t>
      </w:r>
    </w:p>
    <w:p w14:paraId="7940532F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3C435CD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3D4F">
        <w:rPr>
          <w:rFonts w:ascii="Arial" w:hAnsi="Arial" w:cs="Arial"/>
          <w:sz w:val="20"/>
          <w:szCs w:val="20"/>
          <w:shd w:val="clear" w:color="auto" w:fill="FFFFFF"/>
        </w:rPr>
        <w:t xml:space="preserve">O processo permitiu um intercâmbio recíproco de conhecimentos e práticas de auditoria por parte dos funcionários de ambas entidades similares, </w:t>
      </w:r>
      <w:r>
        <w:rPr>
          <w:rFonts w:ascii="Arial" w:hAnsi="Arial" w:cs="Arial"/>
          <w:sz w:val="20"/>
          <w:szCs w:val="20"/>
          <w:shd w:val="clear" w:color="auto" w:fill="FFFFFF"/>
        </w:rPr>
        <w:t>gerando</w:t>
      </w:r>
      <w:r w:rsidRPr="00F63D4F">
        <w:rPr>
          <w:rFonts w:ascii="Arial" w:hAnsi="Arial" w:cs="Arial"/>
          <w:sz w:val="20"/>
          <w:szCs w:val="20"/>
          <w:shd w:val="clear" w:color="auto" w:fill="FFFFFF"/>
        </w:rPr>
        <w:t xml:space="preserve"> aprendizagens significativas na busca da melhora contínua e na satisfação das expectativas dos cidadãos a respeito do que vem a ser ou faz uma Entidade de Fiscalização Superior.</w:t>
      </w:r>
    </w:p>
    <w:p w14:paraId="0950B98A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8EAA238" w14:textId="77777777" w:rsidR="004D615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3D4F">
        <w:rPr>
          <w:rFonts w:ascii="Arial" w:hAnsi="Arial" w:cs="Arial"/>
          <w:sz w:val="20"/>
          <w:szCs w:val="20"/>
          <w:shd w:val="clear" w:color="auto" w:fill="FFFFFF"/>
        </w:rPr>
        <w:t>Como parte do processo de revisão, se constataram boas práticas da CRG relacionadas com o processo de evolução de seu mandato e do alinhamento de seu marco metodológico com as ISSAI; uma forte cultura de planejamento; um árduo trabalho enfocado na prevenção da corrupção; um grande compromisso ético dos trabalhadores da CGR, e  um enfoque participativo na construção das decisões associadas às fiscalizações.</w:t>
      </w:r>
    </w:p>
    <w:p w14:paraId="5C5E3C4C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63C167D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3D4F">
        <w:rPr>
          <w:rFonts w:ascii="Arial" w:hAnsi="Arial" w:cs="Arial"/>
          <w:sz w:val="20"/>
          <w:szCs w:val="20"/>
          <w:shd w:val="clear" w:color="auto" w:fill="FFFFFF"/>
        </w:rPr>
        <w:t xml:space="preserve">Tais aspectos permitirão a CGR uma evolução positiva que </w:t>
      </w:r>
      <w:r>
        <w:rPr>
          <w:rFonts w:ascii="Arial" w:hAnsi="Arial" w:cs="Arial"/>
          <w:sz w:val="20"/>
          <w:szCs w:val="20"/>
          <w:shd w:val="clear" w:color="auto" w:fill="FFFFFF"/>
        </w:rPr>
        <w:t>irá</w:t>
      </w:r>
      <w:r w:rsidRPr="00F63D4F">
        <w:rPr>
          <w:rFonts w:ascii="Arial" w:hAnsi="Arial" w:cs="Arial"/>
          <w:sz w:val="20"/>
          <w:szCs w:val="20"/>
          <w:shd w:val="clear" w:color="auto" w:fill="FFFFFF"/>
        </w:rPr>
        <w:t xml:space="preserve"> configurá-la como entidade protagonista na luta contra a corrupção e a promoção da eficiência pública.</w:t>
      </w:r>
    </w:p>
    <w:p w14:paraId="6A377BF2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D9AD824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3D4F">
        <w:rPr>
          <w:rFonts w:ascii="Arial" w:hAnsi="Arial" w:cs="Arial"/>
          <w:sz w:val="20"/>
          <w:szCs w:val="20"/>
          <w:shd w:val="clear" w:color="auto" w:fill="FFFFFF"/>
        </w:rPr>
        <w:lastRenderedPageBreak/>
        <w:t>A análise da documentação recebida constatou que a base metodológica para a organização da execução dos trabalhos de fiscalização desenvolvidos pela CGR, se encontram alinhados aos princípios estabelecidos nas ISSAI 100, 200, 300 e 400.</w:t>
      </w:r>
    </w:p>
    <w:p w14:paraId="6862C620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3D4F">
        <w:rPr>
          <w:rFonts w:ascii="Arial" w:hAnsi="Arial" w:cs="Arial"/>
          <w:sz w:val="20"/>
          <w:szCs w:val="20"/>
        </w:rPr>
        <w:br/>
      </w:r>
      <w:r w:rsidRPr="00F63D4F">
        <w:rPr>
          <w:rFonts w:ascii="Arial" w:hAnsi="Arial" w:cs="Arial"/>
          <w:color w:val="212121"/>
          <w:sz w:val="20"/>
          <w:szCs w:val="20"/>
          <w:shd w:val="clear" w:color="auto" w:fill="FFFFFF"/>
        </w:rPr>
        <w:t>Além do acima exposto e sem afetar o parecer da revisão, como parte integrante do relatório, foram identificados alguns pontos de melhoria para o quadro da análise metodológica, relacionada à alguns elementos gerais associados com sua estrutura; a política de revisão e atualização; a fase de acompanhamento, ferramenta de materialidade e importância relativa e execução de auditorias combinadas; bem como elementos diferentes especificamente associados às diretrizes para auditoria financeira, de desempenho e de c</w:t>
      </w: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onformidade</w:t>
      </w:r>
      <w:r w:rsidRPr="00F63D4F">
        <w:rPr>
          <w:rFonts w:ascii="Arial" w:hAnsi="Arial" w:cs="Arial"/>
          <w:color w:val="212121"/>
          <w:sz w:val="20"/>
          <w:szCs w:val="20"/>
          <w:shd w:val="clear" w:color="auto" w:fill="FFFFFF"/>
        </w:rPr>
        <w:t>.</w:t>
      </w:r>
    </w:p>
    <w:p w14:paraId="3057ACF1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E9261EF" w14:textId="77777777" w:rsidR="004D615F" w:rsidRPr="00AE4DB9" w:rsidRDefault="004D615F" w:rsidP="004D61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F63D4F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>Com base nestas sugestões de melhor</w:t>
      </w:r>
      <w:r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>i</w:t>
      </w:r>
      <w:r w:rsidRPr="00F63D4F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 xml:space="preserve">a, foram feitas uma série de recomendações com enfoque na </w:t>
      </w:r>
      <w:r w:rsidRPr="00AE4DB9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>promoção do</w:t>
      </w:r>
      <w:r w:rsidRPr="00F63D4F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 xml:space="preserve"> </w:t>
      </w:r>
      <w:r w:rsidRPr="00AE4DB9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 xml:space="preserve">processo de fortalecimento que </w:t>
      </w:r>
      <w:r w:rsidRPr="00F63D4F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>a</w:t>
      </w:r>
      <w:r w:rsidRPr="00AE4DB9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 xml:space="preserve"> CGR </w:t>
      </w:r>
      <w:r w:rsidRPr="00F63D4F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 xml:space="preserve">já tem feito </w:t>
      </w:r>
      <w:r w:rsidRPr="00AE4DB9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>nos últimos anos,</w:t>
      </w:r>
      <w:r w:rsidRPr="00F63D4F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 xml:space="preserve"> </w:t>
      </w:r>
      <w:r w:rsidRPr="00AE4DB9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>em busca d</w:t>
      </w:r>
      <w:r w:rsidRPr="00F63D4F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>a</w:t>
      </w:r>
      <w:r w:rsidRPr="00AE4DB9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 xml:space="preserve"> garantia da qualidade de</w:t>
      </w:r>
      <w:r w:rsidRPr="00F63D4F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 xml:space="preserve"> </w:t>
      </w:r>
      <w:r w:rsidRPr="00AE4DB9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 xml:space="preserve">seus processos e produtos de </w:t>
      </w:r>
      <w:r w:rsidRPr="00F63D4F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>fiscalização</w:t>
      </w:r>
      <w:r w:rsidRPr="00AE4DB9">
        <w:rPr>
          <w:rFonts w:ascii="Arial" w:eastAsia="Times New Roman" w:hAnsi="Arial" w:cs="Arial"/>
          <w:color w:val="212121"/>
          <w:sz w:val="20"/>
          <w:szCs w:val="20"/>
          <w:lang w:val="pt-PT" w:eastAsia="pt-BR"/>
        </w:rPr>
        <w:t>.</w:t>
      </w:r>
    </w:p>
    <w:p w14:paraId="40C3D322" w14:textId="77777777" w:rsidR="004D615F" w:rsidRPr="00F63D4F" w:rsidRDefault="004D615F" w:rsidP="004D615F">
      <w:pPr>
        <w:pStyle w:val="texto-normal-alinhado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8799DE" w14:textId="77777777" w:rsidR="004D615F" w:rsidRPr="00F63D4F" w:rsidRDefault="004D615F" w:rsidP="004D615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63D4F">
        <w:rPr>
          <w:rFonts w:ascii="Arial" w:hAnsi="Arial" w:cs="Arial"/>
          <w:sz w:val="20"/>
          <w:szCs w:val="20"/>
        </w:rPr>
        <w:t>Informe Executivo do Relatório/Acórdão/Decisão disponível em língua espanhola:</w:t>
      </w:r>
    </w:p>
    <w:p w14:paraId="1329C796" w14:textId="086DBA5E" w:rsidR="004D615F" w:rsidRPr="004D615F" w:rsidRDefault="004D615F" w:rsidP="00344EC9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F63D4F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21" w:history="1">
        <w:r w:rsidRPr="00F63D4F">
          <w:rPr>
            <w:rStyle w:val="Hyperlink"/>
            <w:rFonts w:ascii="Arial" w:hAnsi="Arial" w:cs="Arial"/>
            <w:bCs/>
            <w:sz w:val="20"/>
            <w:szCs w:val="20"/>
            <w:shd w:val="clear" w:color="auto" w:fill="FFFFFF"/>
          </w:rPr>
          <w:t>http://www.contraloria.gob.cu/documentos/NormativasDocRerctores/26%20Informe%20revision%20entre%20pares.pdf</w:t>
        </w:r>
      </w:hyperlink>
    </w:p>
    <w:bookmarkEnd w:id="0"/>
    <w:p w14:paraId="1AD6A54D" w14:textId="77777777" w:rsidR="00344EC9" w:rsidRDefault="00344EC9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hd w:val="clear" w:color="auto" w:fill="FFFFFF"/>
        </w:rPr>
      </w:pPr>
    </w:p>
    <w:p w14:paraId="31CD4D89" w14:textId="0777D297" w:rsidR="0072755A" w:rsidRDefault="0072755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926BD2">
        <w:rPr>
          <w:rFonts w:ascii="Arial" w:hAnsi="Arial" w:cs="Arial"/>
          <w:b/>
          <w:shd w:val="clear" w:color="auto" w:fill="FFFFFF"/>
        </w:rPr>
        <w:t xml:space="preserve">RÚSSIA - </w:t>
      </w:r>
      <w:r w:rsidRPr="00926BD2">
        <w:rPr>
          <w:rFonts w:ascii="Arial" w:hAnsi="Arial" w:cs="Arial"/>
          <w:b/>
        </w:rPr>
        <w:t>EUROSAI/ASOSAI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noProof/>
          <w:lang w:val="en-US"/>
        </w:rPr>
        <w:drawing>
          <wp:inline distT="0" distB="0" distL="0" distR="0" wp14:anchorId="3A4B0230" wp14:editId="6A9FBCA8">
            <wp:extent cx="309709" cy="206734"/>
            <wp:effectExtent l="0" t="0" r="0" b="3175"/>
            <wp:docPr id="2" name="Imagem 2" descr="Bandeira da RÃº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eira da RÃºssia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96" cy="23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2C2445C8" w14:textId="77777777" w:rsidR="0072755A" w:rsidRPr="00C76970" w:rsidRDefault="0072755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0695C84D" w14:textId="3C8BDF82" w:rsidR="0072755A" w:rsidRPr="000A4E5F" w:rsidRDefault="007B4961" w:rsidP="0072755A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>
        <w:rPr>
          <w:rFonts w:ascii="Arial" w:hAnsi="Arial" w:cs="Arial"/>
          <w:b/>
          <w:color w:val="800000"/>
          <w:sz w:val="20"/>
          <w:szCs w:val="20"/>
        </w:rPr>
        <w:t xml:space="preserve">3 - </w:t>
      </w:r>
      <w:r w:rsidR="0072755A" w:rsidRPr="000A4E5F">
        <w:rPr>
          <w:rFonts w:ascii="Arial" w:hAnsi="Arial" w:cs="Arial"/>
          <w:b/>
          <w:color w:val="800000"/>
          <w:sz w:val="20"/>
          <w:szCs w:val="20"/>
        </w:rPr>
        <w:t>CÂMARA DE CONTAS DA FEDERAÇÃO RUSSA</w:t>
      </w:r>
    </w:p>
    <w:p w14:paraId="3B31DFC1" w14:textId="77777777" w:rsidR="0072755A" w:rsidRPr="007C4826" w:rsidRDefault="0072755A" w:rsidP="0072755A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</w:p>
    <w:p w14:paraId="37536923" w14:textId="7BEE2643" w:rsidR="00CD040D" w:rsidRPr="005B7D51" w:rsidRDefault="0072755A" w:rsidP="00CD040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B7D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Publicação original acessível em: </w:t>
      </w:r>
      <w:r w:rsidR="00CD04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23" w:history="1">
        <w:r w:rsidR="00CD040D" w:rsidRPr="005E678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http://www.ach.gov.ru/press_center/news/36049</w:t>
        </w:r>
      </w:hyperlink>
    </w:p>
    <w:p w14:paraId="78AE17A6" w14:textId="77777777" w:rsidR="003527EA" w:rsidRDefault="003527E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C782A6" w14:textId="76AF7E11" w:rsidR="0072755A" w:rsidRDefault="0072755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Câmara de Contas da Federação Russa realizou “</w:t>
      </w:r>
      <w:r w:rsidRPr="0072755A">
        <w:rPr>
          <w:rFonts w:ascii="Arial" w:hAnsi="Arial" w:cs="Arial"/>
          <w:color w:val="000000"/>
          <w:sz w:val="20"/>
          <w:szCs w:val="20"/>
        </w:rPr>
        <w:t>Auditoria de eficácia da gestão de recursos do orçamento da Federação Russa para fornecimento de habitação a crianças e adolescentes sem cuidados parentais</w:t>
      </w:r>
      <w:r>
        <w:rPr>
          <w:rFonts w:ascii="Arial" w:hAnsi="Arial" w:cs="Arial"/>
          <w:color w:val="000000"/>
          <w:sz w:val="20"/>
          <w:szCs w:val="20"/>
        </w:rPr>
        <w:t>”, que teve como o</w:t>
      </w:r>
      <w:r w:rsidRPr="0072755A">
        <w:rPr>
          <w:rFonts w:ascii="Arial" w:hAnsi="Arial" w:cs="Arial"/>
          <w:color w:val="000000"/>
          <w:sz w:val="20"/>
          <w:szCs w:val="20"/>
        </w:rPr>
        <w:t>bjetivos</w:t>
      </w:r>
      <w:r>
        <w:rPr>
          <w:rFonts w:ascii="Arial" w:hAnsi="Arial" w:cs="Arial"/>
          <w:color w:val="000000"/>
          <w:sz w:val="20"/>
          <w:szCs w:val="20"/>
        </w:rPr>
        <w:t>: a</w:t>
      </w:r>
      <w:r w:rsidRPr="0072755A">
        <w:rPr>
          <w:rFonts w:ascii="Arial" w:hAnsi="Arial" w:cs="Arial"/>
          <w:color w:val="000000"/>
          <w:sz w:val="20"/>
          <w:szCs w:val="20"/>
        </w:rPr>
        <w:t>nalisar cumprimento da legislação da Federação Russa sobre a provisão de apartamentos para órfãos</w:t>
      </w:r>
      <w:r>
        <w:rPr>
          <w:rFonts w:ascii="Arial" w:hAnsi="Arial" w:cs="Arial"/>
          <w:color w:val="000000"/>
          <w:sz w:val="20"/>
          <w:szCs w:val="20"/>
        </w:rPr>
        <w:t>; a</w:t>
      </w:r>
      <w:r w:rsidRPr="0072755A">
        <w:rPr>
          <w:rFonts w:ascii="Arial" w:hAnsi="Arial" w:cs="Arial"/>
          <w:color w:val="000000"/>
          <w:sz w:val="20"/>
          <w:szCs w:val="20"/>
        </w:rPr>
        <w:t>nalisar e gestão financeira na aquisição de moradias destinados a servir abrigos de crianças e adolescentes</w:t>
      </w:r>
      <w:r>
        <w:rPr>
          <w:rFonts w:ascii="Arial" w:hAnsi="Arial" w:cs="Arial"/>
          <w:color w:val="000000"/>
          <w:sz w:val="20"/>
          <w:szCs w:val="20"/>
        </w:rPr>
        <w:t>; e av</w:t>
      </w:r>
      <w:r w:rsidRPr="0072755A">
        <w:rPr>
          <w:rFonts w:ascii="Arial" w:hAnsi="Arial" w:cs="Arial"/>
          <w:color w:val="000000"/>
          <w:sz w:val="20"/>
          <w:szCs w:val="20"/>
        </w:rPr>
        <w:t>aliar a eficácia das medidas de fornecimento moradia para crianças e adolescentes sem cuidados parentais.</w:t>
      </w:r>
    </w:p>
    <w:p w14:paraId="45843B13" w14:textId="77777777" w:rsidR="00DA6531" w:rsidRPr="0072755A" w:rsidRDefault="00DA6531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B0AC8A" w14:textId="7CDB2D21" w:rsidR="0072755A" w:rsidRDefault="0072755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Câmara de Contas chegou as seguintes conclusões: a</w:t>
      </w:r>
      <w:r w:rsidRPr="0072755A">
        <w:rPr>
          <w:rFonts w:ascii="Arial" w:hAnsi="Arial" w:cs="Arial"/>
          <w:color w:val="000000"/>
          <w:sz w:val="20"/>
          <w:szCs w:val="20"/>
        </w:rPr>
        <w:t xml:space="preserve"> principal tarefa a ser executada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2755A">
        <w:rPr>
          <w:rFonts w:ascii="Arial" w:hAnsi="Arial" w:cs="Arial"/>
          <w:color w:val="000000"/>
          <w:sz w:val="20"/>
          <w:szCs w:val="20"/>
        </w:rPr>
        <w:t xml:space="preserve">- aumento de provisão de moradias para crianças e adolescentes órfãos - não foi realizada de forma a </w:t>
      </w:r>
      <w:r>
        <w:rPr>
          <w:rFonts w:ascii="Arial" w:hAnsi="Arial" w:cs="Arial"/>
          <w:color w:val="000000"/>
          <w:sz w:val="20"/>
          <w:szCs w:val="20"/>
        </w:rPr>
        <w:t>atender</w:t>
      </w:r>
      <w:r w:rsidRPr="0072755A">
        <w:rPr>
          <w:rFonts w:ascii="Arial" w:hAnsi="Arial" w:cs="Arial"/>
          <w:color w:val="000000"/>
          <w:sz w:val="20"/>
          <w:szCs w:val="20"/>
        </w:rPr>
        <w:t xml:space="preserve"> eficientemente a demand</w:t>
      </w:r>
      <w:r>
        <w:rPr>
          <w:rFonts w:ascii="Arial" w:hAnsi="Arial" w:cs="Arial"/>
          <w:color w:val="000000"/>
          <w:sz w:val="20"/>
          <w:szCs w:val="20"/>
        </w:rPr>
        <w:t>a; c</w:t>
      </w:r>
      <w:r w:rsidRPr="0072755A">
        <w:rPr>
          <w:rFonts w:ascii="Arial" w:hAnsi="Arial" w:cs="Arial"/>
          <w:color w:val="000000"/>
          <w:sz w:val="20"/>
          <w:szCs w:val="20"/>
        </w:rPr>
        <w:t xml:space="preserve">onstatou-se que a taxa de fornecimento de instalações residenciais para órfãos ainda é significativamente inferior à taxa de crescimento do número de crianças e adolescentes incluídos nas listas de espera por alojamento. Além disso, nota-se uma disparidade entre a distribuição geográfica dos abrigos </w:t>
      </w:r>
      <w:r>
        <w:rPr>
          <w:rFonts w:ascii="Arial" w:hAnsi="Arial" w:cs="Arial"/>
          <w:color w:val="000000"/>
          <w:sz w:val="20"/>
          <w:szCs w:val="20"/>
        </w:rPr>
        <w:t xml:space="preserve">em oferta </w:t>
      </w:r>
      <w:r w:rsidRPr="0072755A">
        <w:rPr>
          <w:rFonts w:ascii="Arial" w:hAnsi="Arial" w:cs="Arial"/>
          <w:color w:val="000000"/>
          <w:sz w:val="20"/>
          <w:szCs w:val="20"/>
        </w:rPr>
        <w:t xml:space="preserve">e os lugares de maior demanda. Também, verificou-se deficiência na promoção de capacitação dos adolescentes para inclusão no mercado de trabalho. </w:t>
      </w:r>
    </w:p>
    <w:p w14:paraId="7F5F3409" w14:textId="77777777" w:rsidR="00DA6531" w:rsidRPr="0072755A" w:rsidRDefault="00DA6531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E602FB3" w14:textId="77777777" w:rsidR="0072755A" w:rsidRPr="0072755A" w:rsidRDefault="0072755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2755A">
        <w:rPr>
          <w:rFonts w:ascii="Arial" w:hAnsi="Arial" w:cs="Arial"/>
          <w:color w:val="000000"/>
          <w:sz w:val="20"/>
          <w:szCs w:val="20"/>
        </w:rPr>
        <w:t>Principais Recomendações da Câmara de Contas para o Governo da Rússia</w:t>
      </w:r>
    </w:p>
    <w:p w14:paraId="4B12F284" w14:textId="242B1705" w:rsidR="0072755A" w:rsidRPr="0072755A" w:rsidRDefault="0072755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2755A">
        <w:rPr>
          <w:rFonts w:ascii="Arial" w:hAnsi="Arial" w:cs="Arial"/>
          <w:color w:val="000000"/>
          <w:sz w:val="20"/>
          <w:szCs w:val="20"/>
        </w:rPr>
        <w:t xml:space="preserve">• </w:t>
      </w:r>
      <w:r w:rsidR="00DA6531">
        <w:rPr>
          <w:rFonts w:ascii="Arial" w:hAnsi="Arial" w:cs="Arial"/>
          <w:color w:val="000000"/>
          <w:sz w:val="20"/>
          <w:szCs w:val="20"/>
        </w:rPr>
        <w:t>D</w:t>
      </w:r>
      <w:r w:rsidRPr="0072755A">
        <w:rPr>
          <w:rFonts w:ascii="Arial" w:hAnsi="Arial" w:cs="Arial"/>
          <w:color w:val="000000"/>
          <w:sz w:val="20"/>
          <w:szCs w:val="20"/>
        </w:rPr>
        <w:t xml:space="preserve">efinir, no âmbito do poder executivo federal, o órgão competente para regulamentação geral das questões de moradia para crianças e adolescentes sem cuidados parentais; </w:t>
      </w:r>
    </w:p>
    <w:p w14:paraId="30EEA1F9" w14:textId="5229A7E0" w:rsidR="0072755A" w:rsidRPr="0072755A" w:rsidRDefault="0072755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2755A">
        <w:rPr>
          <w:rFonts w:ascii="Arial" w:hAnsi="Arial" w:cs="Arial"/>
          <w:color w:val="000000"/>
          <w:sz w:val="20"/>
          <w:szCs w:val="20"/>
        </w:rPr>
        <w:t xml:space="preserve">• </w:t>
      </w:r>
      <w:r w:rsidR="00DA6531">
        <w:rPr>
          <w:rFonts w:ascii="Arial" w:hAnsi="Arial" w:cs="Arial"/>
          <w:color w:val="000000"/>
          <w:sz w:val="20"/>
          <w:szCs w:val="20"/>
        </w:rPr>
        <w:t>D</w:t>
      </w:r>
      <w:r w:rsidRPr="0072755A">
        <w:rPr>
          <w:rFonts w:ascii="Arial" w:hAnsi="Arial" w:cs="Arial"/>
          <w:color w:val="000000"/>
          <w:sz w:val="20"/>
          <w:szCs w:val="20"/>
        </w:rPr>
        <w:t xml:space="preserve">esenvolver requisitos comuns de planejamento estratégico regional; </w:t>
      </w:r>
    </w:p>
    <w:p w14:paraId="4DC89623" w14:textId="3C76BAC5" w:rsidR="0072755A" w:rsidRPr="0072755A" w:rsidRDefault="0072755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2755A">
        <w:rPr>
          <w:rFonts w:ascii="Arial" w:hAnsi="Arial" w:cs="Arial"/>
          <w:color w:val="000000"/>
          <w:sz w:val="20"/>
          <w:szCs w:val="20"/>
        </w:rPr>
        <w:lastRenderedPageBreak/>
        <w:t xml:space="preserve">• </w:t>
      </w:r>
      <w:r w:rsidR="00DA6531">
        <w:rPr>
          <w:rFonts w:ascii="Arial" w:hAnsi="Arial" w:cs="Arial"/>
          <w:color w:val="000000"/>
          <w:sz w:val="20"/>
          <w:szCs w:val="20"/>
        </w:rPr>
        <w:t>E</w:t>
      </w:r>
      <w:r w:rsidRPr="0072755A">
        <w:rPr>
          <w:rFonts w:ascii="Arial" w:hAnsi="Arial" w:cs="Arial"/>
          <w:color w:val="000000"/>
          <w:sz w:val="20"/>
          <w:szCs w:val="20"/>
        </w:rPr>
        <w:t>laboração e aplicação de plano de medidas especiais para facilitar a migração de crianças e a adolescentes, com o seu consentimento, para localidades com oferta de capacitação, a fim de receber educação e posterior emprego e moradia;</w:t>
      </w:r>
    </w:p>
    <w:p w14:paraId="23349DE6" w14:textId="2BE56048" w:rsidR="0072755A" w:rsidRPr="0072755A" w:rsidRDefault="0072755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2755A">
        <w:rPr>
          <w:rFonts w:ascii="Arial" w:hAnsi="Arial" w:cs="Arial"/>
          <w:color w:val="000000"/>
          <w:sz w:val="20"/>
          <w:szCs w:val="20"/>
        </w:rPr>
        <w:t xml:space="preserve">• </w:t>
      </w:r>
      <w:r w:rsidR="00DA6531">
        <w:rPr>
          <w:rFonts w:ascii="Arial" w:hAnsi="Arial" w:cs="Arial"/>
          <w:color w:val="000000"/>
          <w:sz w:val="20"/>
          <w:szCs w:val="20"/>
        </w:rPr>
        <w:t>C</w:t>
      </w:r>
      <w:r w:rsidRPr="0072755A">
        <w:rPr>
          <w:rFonts w:ascii="Arial" w:hAnsi="Arial" w:cs="Arial"/>
          <w:color w:val="000000"/>
          <w:sz w:val="20"/>
          <w:szCs w:val="20"/>
        </w:rPr>
        <w:t>onfiar ao órgão autorizado o desenvolvimento de um projeto departamental, cuja meta deve ser a formação de disponibilidade de alojamento especial para o fornecimento oportuno de moradia para crianças e adolescentes sem cuidados parentais.</w:t>
      </w:r>
    </w:p>
    <w:p w14:paraId="76A75C59" w14:textId="77777777" w:rsidR="0072755A" w:rsidRDefault="0072755A" w:rsidP="007275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8"/>
          <w:sz w:val="18"/>
          <w:szCs w:val="18"/>
          <w:shd w:val="clear" w:color="auto" w:fill="FFFFFF"/>
        </w:rPr>
      </w:pPr>
    </w:p>
    <w:p w14:paraId="2317B528" w14:textId="5C410C58" w:rsidR="0072755A" w:rsidRDefault="0072755A" w:rsidP="0072755A">
      <w:pPr>
        <w:pStyle w:val="Default"/>
        <w:spacing w:after="200" w:line="276" w:lineRule="auto"/>
        <w:jc w:val="both"/>
        <w:rPr>
          <w:b/>
          <w:sz w:val="20"/>
          <w:szCs w:val="20"/>
        </w:rPr>
      </w:pPr>
      <w:r w:rsidRPr="009E3502">
        <w:rPr>
          <w:spacing w:val="-8"/>
          <w:sz w:val="18"/>
          <w:szCs w:val="18"/>
          <w:shd w:val="clear" w:color="auto" w:fill="FFFFFF"/>
        </w:rPr>
        <w:t>Informe Executivo do Relatório/Acórdão/Decisão disponível em língua russa:</w:t>
      </w:r>
      <w:r w:rsidRPr="009E3502">
        <w:rPr>
          <w:spacing w:val="-8"/>
          <w:sz w:val="18"/>
          <w:szCs w:val="18"/>
        </w:rPr>
        <w:t> </w:t>
      </w:r>
      <w:hyperlink r:id="rId24" w:history="1">
        <w:r w:rsidR="00F422AA" w:rsidRPr="003527EA">
          <w:rPr>
            <w:rStyle w:val="Hyperlink"/>
            <w:spacing w:val="-8"/>
            <w:sz w:val="18"/>
            <w:szCs w:val="18"/>
            <w:shd w:val="clear" w:color="auto" w:fill="FFFFFF"/>
          </w:rPr>
          <w:t>Auditoria de eficácia da gestão de recursos do orçamento da Federação Russa para fornecimento de habitação a crianças e adolescentes sem cuidados parentais</w:t>
        </w:r>
      </w:hyperlink>
      <w:r w:rsidR="003527EA">
        <w:rPr>
          <w:spacing w:val="-8"/>
          <w:sz w:val="18"/>
          <w:szCs w:val="18"/>
          <w:shd w:val="clear" w:color="auto" w:fill="FFFFFF"/>
        </w:rPr>
        <w:t>.</w:t>
      </w:r>
    </w:p>
    <w:p w14:paraId="65B4934F" w14:textId="77777777" w:rsidR="0072755A" w:rsidRDefault="0072755A" w:rsidP="0072755A">
      <w:pPr>
        <w:autoSpaceDE w:val="0"/>
        <w:autoSpaceDN w:val="0"/>
        <w:adjustRightInd w:val="0"/>
        <w:spacing w:after="0"/>
        <w:jc w:val="both"/>
        <w:rPr>
          <w:b/>
          <w:sz w:val="20"/>
          <w:szCs w:val="20"/>
        </w:rPr>
      </w:pPr>
    </w:p>
    <w:p w14:paraId="2D4D0BD2" w14:textId="482F9D5B" w:rsidR="00543DF0" w:rsidRDefault="00543DF0" w:rsidP="00543DF0">
      <w:pPr>
        <w:pStyle w:val="Default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Acesse também: </w:t>
      </w:r>
    </w:p>
    <w:p w14:paraId="7FCB4A15" w14:textId="77777777" w:rsidR="00270E2F" w:rsidRDefault="003F2166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5" w:history="1">
        <w:r w:rsidR="00270E2F" w:rsidRPr="00BC4C07">
          <w:rPr>
            <w:rStyle w:val="Hyperlink"/>
            <w:b/>
            <w:sz w:val="20"/>
            <w:szCs w:val="20"/>
          </w:rPr>
          <w:t>Pesquisas Prontas</w:t>
        </w:r>
      </w:hyperlink>
    </w:p>
    <w:p w14:paraId="34E5FCD1" w14:textId="77777777" w:rsidR="00E3262F" w:rsidRDefault="00E3262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620BB0F" w14:textId="77777777" w:rsidR="00E3262F" w:rsidRPr="00BC4C07" w:rsidRDefault="003F2166" w:rsidP="00270E2F">
      <w:pPr>
        <w:pStyle w:val="Default"/>
        <w:spacing w:line="276" w:lineRule="auto"/>
        <w:jc w:val="center"/>
        <w:rPr>
          <w:b/>
          <w:sz w:val="20"/>
          <w:szCs w:val="20"/>
        </w:rPr>
      </w:pPr>
      <w:hyperlink r:id="rId26" w:history="1">
        <w:r w:rsidR="00E3262F" w:rsidRPr="00E3262F">
          <w:rPr>
            <w:rStyle w:val="Hyperlink"/>
            <w:b/>
            <w:sz w:val="20"/>
            <w:szCs w:val="20"/>
          </w:rPr>
          <w:t>Teses Ambientais</w:t>
        </w:r>
      </w:hyperlink>
    </w:p>
    <w:p w14:paraId="60B5262F" w14:textId="77777777" w:rsidR="00270E2F" w:rsidRDefault="00270E2F" w:rsidP="00270E2F">
      <w:pPr>
        <w:pStyle w:val="Default"/>
        <w:spacing w:line="276" w:lineRule="auto"/>
        <w:jc w:val="center"/>
      </w:pPr>
    </w:p>
    <w:p w14:paraId="2086BD1B" w14:textId="77777777" w:rsidR="00270E2F" w:rsidRDefault="003F2166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7" w:history="1">
        <w:r w:rsidR="00270E2F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6C117B17" w14:textId="77777777" w:rsidR="00270E2F" w:rsidRPr="00DD265A" w:rsidRDefault="00270E2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5AC09BA" w14:textId="77777777" w:rsidR="003E297C" w:rsidRDefault="003F2166" w:rsidP="003E297C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8" w:history="1">
        <w:r w:rsidR="003E297C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14:paraId="27FDCFDE" w14:textId="77777777" w:rsidR="003E297C" w:rsidRDefault="003F2166" w:rsidP="003E297C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9" w:history="1">
        <w:r w:rsidR="003E297C">
          <w:rPr>
            <w:rStyle w:val="Hyperlink"/>
            <w:b/>
            <w:sz w:val="20"/>
            <w:szCs w:val="20"/>
          </w:rPr>
          <w:t>Súmulas Selecionadas</w:t>
        </w:r>
      </w:hyperlink>
    </w:p>
    <w:p w14:paraId="4F1C44AD" w14:textId="77777777" w:rsidR="00270E2F" w:rsidRDefault="00270E2F" w:rsidP="00270E2F">
      <w:pPr>
        <w:pStyle w:val="TCU-Epgrafe"/>
        <w:spacing w:line="276" w:lineRule="auto"/>
        <w:ind w:left="0"/>
        <w:rPr>
          <w:sz w:val="22"/>
          <w:szCs w:val="22"/>
        </w:rPr>
      </w:pPr>
      <w:r w:rsidRPr="0022060B">
        <w:rPr>
          <w:rFonts w:ascii="Arial" w:hAnsi="Arial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981347" wp14:editId="10284970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19050" b="5080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4EDB1" id="Conector reto 5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" strokecolor="maroon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A837033" w14:textId="77777777" w:rsidR="00984E8B" w:rsidRDefault="00984E8B" w:rsidP="00DB558E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53EC44B9" w14:textId="20FC8D45" w:rsidR="00E01524" w:rsidRPr="0022060B" w:rsidRDefault="00DB558E" w:rsidP="009E3502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</w:t>
      </w:r>
      <w:r w:rsidR="004E2E3A"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 xml:space="preserve"> </w:t>
      </w:r>
      <w:r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Escola de Gestão Pública - Jurisprudência</w:t>
      </w:r>
    </w:p>
    <w:sectPr w:rsidR="00E01524" w:rsidRPr="0022060B" w:rsidSect="007A3F8C">
      <w:headerReference w:type="default" r:id="rId30"/>
      <w:footerReference w:type="default" r:id="rId31"/>
      <w:pgSz w:w="11906" w:h="16838"/>
      <w:pgMar w:top="1417" w:right="1701" w:bottom="1417" w:left="1701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00BBA" w14:textId="77777777" w:rsidR="000A4E5F" w:rsidRDefault="000A4E5F" w:rsidP="00350CC2">
      <w:pPr>
        <w:spacing w:after="0" w:line="240" w:lineRule="auto"/>
      </w:pPr>
      <w:r>
        <w:separator/>
      </w:r>
    </w:p>
  </w:endnote>
  <w:endnote w:type="continuationSeparator" w:id="0">
    <w:p w14:paraId="0555E85A" w14:textId="77777777" w:rsidR="000A4E5F" w:rsidRDefault="000A4E5F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C8A0" w14:textId="77777777" w:rsidR="000A4E5F" w:rsidRDefault="000A4E5F" w:rsidP="002245DE">
    <w:pPr>
      <w:pStyle w:val="Rodap"/>
      <w:jc w:val="center"/>
      <w:rPr>
        <w:sz w:val="16"/>
        <w:szCs w:val="16"/>
      </w:rPr>
    </w:pPr>
  </w:p>
  <w:p w14:paraId="70AA9D74" w14:textId="77777777" w:rsidR="000A4E5F" w:rsidRPr="00AD1CE8" w:rsidRDefault="000A4E5F" w:rsidP="007A3F8C">
    <w:pPr>
      <w:pStyle w:val="Rodap"/>
      <w:jc w:val="right"/>
      <w:rPr>
        <w:rFonts w:ascii="Arial" w:hAnsi="Arial"/>
        <w:b/>
        <w:color w:val="FFFFFF" w:themeColor="background1"/>
        <w:sz w:val="20"/>
        <w:szCs w:val="20"/>
      </w:rPr>
    </w:pPr>
    <w:r w:rsidRPr="00AD1CE8">
      <w:rPr>
        <w:rFonts w:ascii="Arial" w:hAnsi="Arial"/>
        <w:b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44F7400E" wp14:editId="675ABE0B">
          <wp:simplePos x="0" y="0"/>
          <wp:positionH relativeFrom="column">
            <wp:posOffset>-1121410</wp:posOffset>
          </wp:positionH>
          <wp:positionV relativeFrom="paragraph">
            <wp:posOffset>-393065</wp:posOffset>
          </wp:positionV>
          <wp:extent cx="7643495" cy="704850"/>
          <wp:effectExtent l="0" t="0" r="1905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Rodapé Boletim Internacional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CE8">
      <w:rPr>
        <w:rFonts w:ascii="Arial" w:hAnsi="Arial"/>
        <w:b/>
        <w:color w:val="FFFFFF" w:themeColor="background1"/>
        <w:sz w:val="20"/>
        <w:szCs w:val="20"/>
      </w:rPr>
      <w:fldChar w:fldCharType="begin"/>
    </w:r>
    <w:r w:rsidRPr="00AD1CE8">
      <w:rPr>
        <w:rFonts w:ascii="Arial" w:hAnsi="Arial"/>
        <w:b/>
        <w:color w:val="FFFFFF" w:themeColor="background1"/>
        <w:sz w:val="20"/>
        <w:szCs w:val="20"/>
      </w:rPr>
      <w:instrText xml:space="preserve"> PAGE   \* MERGEFORMAT </w:instrText>
    </w:r>
    <w:r w:rsidRPr="00AD1CE8">
      <w:rPr>
        <w:rFonts w:ascii="Arial" w:hAnsi="Arial"/>
        <w:b/>
        <w:color w:val="FFFFFF" w:themeColor="background1"/>
        <w:sz w:val="20"/>
        <w:szCs w:val="20"/>
      </w:rPr>
      <w:fldChar w:fldCharType="separate"/>
    </w:r>
    <w:r w:rsidR="008E7B35">
      <w:rPr>
        <w:rFonts w:ascii="Arial" w:hAnsi="Arial"/>
        <w:b/>
        <w:noProof/>
        <w:color w:val="FFFFFF" w:themeColor="background1"/>
        <w:sz w:val="20"/>
        <w:szCs w:val="20"/>
      </w:rPr>
      <w:t>4</w:t>
    </w:r>
    <w:r w:rsidRPr="00AD1CE8">
      <w:rPr>
        <w:rFonts w:ascii="Arial" w:hAnsi="Arial"/>
        <w:b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FB77" w14:textId="77777777" w:rsidR="000A4E5F" w:rsidRDefault="000A4E5F" w:rsidP="00350CC2">
      <w:pPr>
        <w:spacing w:after="0" w:line="240" w:lineRule="auto"/>
      </w:pPr>
      <w:r>
        <w:separator/>
      </w:r>
    </w:p>
  </w:footnote>
  <w:footnote w:type="continuationSeparator" w:id="0">
    <w:p w14:paraId="11E60950" w14:textId="77777777" w:rsidR="000A4E5F" w:rsidRDefault="000A4E5F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1763" w14:textId="0476978E" w:rsidR="000A4E5F" w:rsidRDefault="000A4E5F" w:rsidP="00F14CCC">
    <w:pPr>
      <w:pStyle w:val="Cabealho"/>
      <w:spacing w:after="100" w:afterAutospacing="1"/>
      <w:jc w:val="center"/>
      <w:rPr>
        <w:b/>
      </w:rPr>
    </w:pPr>
    <w:r>
      <w:rPr>
        <w:b/>
        <w:noProof/>
        <w:lang w:val="en-US"/>
      </w:rPr>
      <w:drawing>
        <wp:anchor distT="0" distB="0" distL="114300" distR="114300" simplePos="0" relativeHeight="251658240" behindDoc="1" locked="0" layoutInCell="1" allowOverlap="1" wp14:anchorId="3D3289EF" wp14:editId="7AD94DC0">
          <wp:simplePos x="0" y="0"/>
          <wp:positionH relativeFrom="margin">
            <wp:posOffset>-1156335</wp:posOffset>
          </wp:positionH>
          <wp:positionV relativeFrom="margin">
            <wp:posOffset>-1261110</wp:posOffset>
          </wp:positionV>
          <wp:extent cx="7713345" cy="1442085"/>
          <wp:effectExtent l="0" t="0" r="8255" b="571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Rodapé Boletim Internaciona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E5CA" w14:textId="4F5B8127" w:rsidR="000A4E5F" w:rsidRDefault="000A4E5F" w:rsidP="00F14CCC">
    <w:pPr>
      <w:pStyle w:val="Cabealho"/>
      <w:spacing w:after="100" w:afterAutospacing="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A16"/>
    <w:multiLevelType w:val="hybridMultilevel"/>
    <w:tmpl w:val="7A465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2F41"/>
    <w:multiLevelType w:val="hybridMultilevel"/>
    <w:tmpl w:val="13980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546F5"/>
    <w:multiLevelType w:val="hybridMultilevel"/>
    <w:tmpl w:val="9D228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066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634A4"/>
    <w:multiLevelType w:val="hybridMultilevel"/>
    <w:tmpl w:val="78C8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E3A5B"/>
    <w:multiLevelType w:val="multilevel"/>
    <w:tmpl w:val="FB5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5"/>
  </w:num>
  <w:num w:numId="5">
    <w:abstractNumId w:val="16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  <w:num w:numId="13">
    <w:abstractNumId w:val="12"/>
  </w:num>
  <w:num w:numId="14">
    <w:abstractNumId w:val="11"/>
  </w:num>
  <w:num w:numId="15">
    <w:abstractNumId w:val="13"/>
  </w:num>
  <w:num w:numId="16">
    <w:abstractNumId w:val="7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352"/>
    <w:rsid w:val="00017EBA"/>
    <w:rsid w:val="00021B0A"/>
    <w:rsid w:val="00022D68"/>
    <w:rsid w:val="00025971"/>
    <w:rsid w:val="000262AD"/>
    <w:rsid w:val="00027A03"/>
    <w:rsid w:val="00027FAB"/>
    <w:rsid w:val="000300F4"/>
    <w:rsid w:val="0003221E"/>
    <w:rsid w:val="00032A26"/>
    <w:rsid w:val="00033422"/>
    <w:rsid w:val="00033E69"/>
    <w:rsid w:val="00040EBA"/>
    <w:rsid w:val="00042502"/>
    <w:rsid w:val="00042DF3"/>
    <w:rsid w:val="00043184"/>
    <w:rsid w:val="000433EC"/>
    <w:rsid w:val="000439FD"/>
    <w:rsid w:val="00045700"/>
    <w:rsid w:val="00046191"/>
    <w:rsid w:val="00046E21"/>
    <w:rsid w:val="00047EF1"/>
    <w:rsid w:val="00051DC8"/>
    <w:rsid w:val="00052862"/>
    <w:rsid w:val="00053B72"/>
    <w:rsid w:val="0005447E"/>
    <w:rsid w:val="0005542C"/>
    <w:rsid w:val="00056686"/>
    <w:rsid w:val="00056CE4"/>
    <w:rsid w:val="00056E6F"/>
    <w:rsid w:val="000572CE"/>
    <w:rsid w:val="000617CF"/>
    <w:rsid w:val="00062521"/>
    <w:rsid w:val="00062737"/>
    <w:rsid w:val="00067E01"/>
    <w:rsid w:val="00070009"/>
    <w:rsid w:val="00070B14"/>
    <w:rsid w:val="000713DD"/>
    <w:rsid w:val="00071DE3"/>
    <w:rsid w:val="0007200C"/>
    <w:rsid w:val="00073305"/>
    <w:rsid w:val="00073F9F"/>
    <w:rsid w:val="00074287"/>
    <w:rsid w:val="000747BF"/>
    <w:rsid w:val="00074FAB"/>
    <w:rsid w:val="000759E5"/>
    <w:rsid w:val="00076184"/>
    <w:rsid w:val="000800D1"/>
    <w:rsid w:val="00081051"/>
    <w:rsid w:val="00083ACB"/>
    <w:rsid w:val="00085557"/>
    <w:rsid w:val="00086299"/>
    <w:rsid w:val="0009260D"/>
    <w:rsid w:val="000926D4"/>
    <w:rsid w:val="00092E5D"/>
    <w:rsid w:val="0009482D"/>
    <w:rsid w:val="0009711C"/>
    <w:rsid w:val="0009762F"/>
    <w:rsid w:val="00097B00"/>
    <w:rsid w:val="000A05C5"/>
    <w:rsid w:val="000A0748"/>
    <w:rsid w:val="000A0E48"/>
    <w:rsid w:val="000A29BE"/>
    <w:rsid w:val="000A3C2D"/>
    <w:rsid w:val="000A3E63"/>
    <w:rsid w:val="000A47FD"/>
    <w:rsid w:val="000A4E5F"/>
    <w:rsid w:val="000A4EB6"/>
    <w:rsid w:val="000A5F01"/>
    <w:rsid w:val="000A71D1"/>
    <w:rsid w:val="000B04A0"/>
    <w:rsid w:val="000B11D2"/>
    <w:rsid w:val="000B1E10"/>
    <w:rsid w:val="000B2FD9"/>
    <w:rsid w:val="000B311A"/>
    <w:rsid w:val="000B31B6"/>
    <w:rsid w:val="000B3C8B"/>
    <w:rsid w:val="000B3CF3"/>
    <w:rsid w:val="000B47C0"/>
    <w:rsid w:val="000C2948"/>
    <w:rsid w:val="000C3582"/>
    <w:rsid w:val="000C4F73"/>
    <w:rsid w:val="000C5093"/>
    <w:rsid w:val="000C5460"/>
    <w:rsid w:val="000C5EB3"/>
    <w:rsid w:val="000C63BC"/>
    <w:rsid w:val="000C654E"/>
    <w:rsid w:val="000C7D67"/>
    <w:rsid w:val="000D2D5B"/>
    <w:rsid w:val="000D3307"/>
    <w:rsid w:val="000D357D"/>
    <w:rsid w:val="000D4DE6"/>
    <w:rsid w:val="000D560C"/>
    <w:rsid w:val="000D5CB1"/>
    <w:rsid w:val="000D6D01"/>
    <w:rsid w:val="000E0E50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255B"/>
    <w:rsid w:val="000F314C"/>
    <w:rsid w:val="000F639D"/>
    <w:rsid w:val="000F7C1B"/>
    <w:rsid w:val="00100B9C"/>
    <w:rsid w:val="0010674D"/>
    <w:rsid w:val="00106AA9"/>
    <w:rsid w:val="00106B27"/>
    <w:rsid w:val="00110517"/>
    <w:rsid w:val="00110554"/>
    <w:rsid w:val="001105A1"/>
    <w:rsid w:val="00110BD6"/>
    <w:rsid w:val="001119DC"/>
    <w:rsid w:val="00111B86"/>
    <w:rsid w:val="00111C26"/>
    <w:rsid w:val="00112B60"/>
    <w:rsid w:val="0011394D"/>
    <w:rsid w:val="00113EF1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35FD4"/>
    <w:rsid w:val="00140CF6"/>
    <w:rsid w:val="001411E6"/>
    <w:rsid w:val="001415BA"/>
    <w:rsid w:val="00142D10"/>
    <w:rsid w:val="00144712"/>
    <w:rsid w:val="001472C1"/>
    <w:rsid w:val="00150844"/>
    <w:rsid w:val="001529D8"/>
    <w:rsid w:val="00154722"/>
    <w:rsid w:val="00156185"/>
    <w:rsid w:val="00156F74"/>
    <w:rsid w:val="00157806"/>
    <w:rsid w:val="00157D64"/>
    <w:rsid w:val="0016028F"/>
    <w:rsid w:val="00161AA2"/>
    <w:rsid w:val="00164591"/>
    <w:rsid w:val="0016670D"/>
    <w:rsid w:val="00166A96"/>
    <w:rsid w:val="001675C3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8361F"/>
    <w:rsid w:val="001878C0"/>
    <w:rsid w:val="00187E56"/>
    <w:rsid w:val="001908A1"/>
    <w:rsid w:val="00190B94"/>
    <w:rsid w:val="001930D1"/>
    <w:rsid w:val="001942C5"/>
    <w:rsid w:val="00196437"/>
    <w:rsid w:val="001975AB"/>
    <w:rsid w:val="001A087B"/>
    <w:rsid w:val="001A16DE"/>
    <w:rsid w:val="001A233D"/>
    <w:rsid w:val="001A5D2D"/>
    <w:rsid w:val="001A73A2"/>
    <w:rsid w:val="001B096B"/>
    <w:rsid w:val="001B5B65"/>
    <w:rsid w:val="001B5F7A"/>
    <w:rsid w:val="001B6AFE"/>
    <w:rsid w:val="001B6E08"/>
    <w:rsid w:val="001C0F23"/>
    <w:rsid w:val="001C46A8"/>
    <w:rsid w:val="001C535A"/>
    <w:rsid w:val="001C6148"/>
    <w:rsid w:val="001D0693"/>
    <w:rsid w:val="001D0DD1"/>
    <w:rsid w:val="001D41D1"/>
    <w:rsid w:val="001D4D9A"/>
    <w:rsid w:val="001D51BD"/>
    <w:rsid w:val="001D6665"/>
    <w:rsid w:val="001D684B"/>
    <w:rsid w:val="001D6ADC"/>
    <w:rsid w:val="001D7E4B"/>
    <w:rsid w:val="001E1817"/>
    <w:rsid w:val="001E2E5A"/>
    <w:rsid w:val="001E5F2E"/>
    <w:rsid w:val="001E6CAA"/>
    <w:rsid w:val="001E73FF"/>
    <w:rsid w:val="001E75A7"/>
    <w:rsid w:val="001F181F"/>
    <w:rsid w:val="001F427C"/>
    <w:rsid w:val="001F7A25"/>
    <w:rsid w:val="0020097D"/>
    <w:rsid w:val="002013D1"/>
    <w:rsid w:val="0020195B"/>
    <w:rsid w:val="00202087"/>
    <w:rsid w:val="00202E6D"/>
    <w:rsid w:val="00202F4B"/>
    <w:rsid w:val="002036C8"/>
    <w:rsid w:val="002056F4"/>
    <w:rsid w:val="002100EE"/>
    <w:rsid w:val="00211A49"/>
    <w:rsid w:val="00213BD0"/>
    <w:rsid w:val="002147AC"/>
    <w:rsid w:val="00215BFE"/>
    <w:rsid w:val="00215EF3"/>
    <w:rsid w:val="0022060B"/>
    <w:rsid w:val="00220BB1"/>
    <w:rsid w:val="00220FEB"/>
    <w:rsid w:val="002215C0"/>
    <w:rsid w:val="00221D15"/>
    <w:rsid w:val="00223A59"/>
    <w:rsid w:val="00223F1C"/>
    <w:rsid w:val="002245DE"/>
    <w:rsid w:val="00224904"/>
    <w:rsid w:val="00232173"/>
    <w:rsid w:val="00232878"/>
    <w:rsid w:val="0023318C"/>
    <w:rsid w:val="00234AE0"/>
    <w:rsid w:val="00235F82"/>
    <w:rsid w:val="00236689"/>
    <w:rsid w:val="00237C21"/>
    <w:rsid w:val="00237FAE"/>
    <w:rsid w:val="002400D9"/>
    <w:rsid w:val="0024023E"/>
    <w:rsid w:val="00240836"/>
    <w:rsid w:val="0024200E"/>
    <w:rsid w:val="002426C3"/>
    <w:rsid w:val="002450AA"/>
    <w:rsid w:val="002456AD"/>
    <w:rsid w:val="00245F7B"/>
    <w:rsid w:val="002478B9"/>
    <w:rsid w:val="0025089A"/>
    <w:rsid w:val="00251273"/>
    <w:rsid w:val="00251BED"/>
    <w:rsid w:val="00252A2A"/>
    <w:rsid w:val="00252AA5"/>
    <w:rsid w:val="00253ADA"/>
    <w:rsid w:val="00254615"/>
    <w:rsid w:val="00255360"/>
    <w:rsid w:val="00256482"/>
    <w:rsid w:val="00256A12"/>
    <w:rsid w:val="00256CEA"/>
    <w:rsid w:val="002571B4"/>
    <w:rsid w:val="00260758"/>
    <w:rsid w:val="00260D58"/>
    <w:rsid w:val="0026477F"/>
    <w:rsid w:val="00264D08"/>
    <w:rsid w:val="00264F10"/>
    <w:rsid w:val="0026510B"/>
    <w:rsid w:val="002659BA"/>
    <w:rsid w:val="0026729F"/>
    <w:rsid w:val="00270E2F"/>
    <w:rsid w:val="00271154"/>
    <w:rsid w:val="00271655"/>
    <w:rsid w:val="0027569C"/>
    <w:rsid w:val="00277702"/>
    <w:rsid w:val="00277E68"/>
    <w:rsid w:val="002805F1"/>
    <w:rsid w:val="00282C4C"/>
    <w:rsid w:val="00286EB4"/>
    <w:rsid w:val="002874A2"/>
    <w:rsid w:val="002921E2"/>
    <w:rsid w:val="0029566D"/>
    <w:rsid w:val="00295F4B"/>
    <w:rsid w:val="002A00AC"/>
    <w:rsid w:val="002A00E8"/>
    <w:rsid w:val="002A0792"/>
    <w:rsid w:val="002A1D5F"/>
    <w:rsid w:val="002A2E6C"/>
    <w:rsid w:val="002B070A"/>
    <w:rsid w:val="002B0F20"/>
    <w:rsid w:val="002B14B7"/>
    <w:rsid w:val="002B297F"/>
    <w:rsid w:val="002B38A8"/>
    <w:rsid w:val="002B5300"/>
    <w:rsid w:val="002B5E9F"/>
    <w:rsid w:val="002B5F5B"/>
    <w:rsid w:val="002B6BA0"/>
    <w:rsid w:val="002C05FF"/>
    <w:rsid w:val="002C19EA"/>
    <w:rsid w:val="002C3EA5"/>
    <w:rsid w:val="002C480F"/>
    <w:rsid w:val="002C56C9"/>
    <w:rsid w:val="002C7487"/>
    <w:rsid w:val="002D0703"/>
    <w:rsid w:val="002D1923"/>
    <w:rsid w:val="002D48D1"/>
    <w:rsid w:val="002D5B56"/>
    <w:rsid w:val="002D6612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1D"/>
    <w:rsid w:val="002F13A0"/>
    <w:rsid w:val="002F1634"/>
    <w:rsid w:val="002F1848"/>
    <w:rsid w:val="002F1D70"/>
    <w:rsid w:val="002F22FA"/>
    <w:rsid w:val="002F5374"/>
    <w:rsid w:val="002F73BA"/>
    <w:rsid w:val="003005B3"/>
    <w:rsid w:val="00301194"/>
    <w:rsid w:val="0030165B"/>
    <w:rsid w:val="00302340"/>
    <w:rsid w:val="00303C9C"/>
    <w:rsid w:val="00305A67"/>
    <w:rsid w:val="00306B80"/>
    <w:rsid w:val="00307038"/>
    <w:rsid w:val="00313238"/>
    <w:rsid w:val="003132BE"/>
    <w:rsid w:val="00320577"/>
    <w:rsid w:val="0032266D"/>
    <w:rsid w:val="00325E2F"/>
    <w:rsid w:val="003265DB"/>
    <w:rsid w:val="003269A9"/>
    <w:rsid w:val="00327DF9"/>
    <w:rsid w:val="0033073E"/>
    <w:rsid w:val="00331533"/>
    <w:rsid w:val="003316DC"/>
    <w:rsid w:val="0033240F"/>
    <w:rsid w:val="00333875"/>
    <w:rsid w:val="0033604C"/>
    <w:rsid w:val="0034001F"/>
    <w:rsid w:val="003407F0"/>
    <w:rsid w:val="00342B5C"/>
    <w:rsid w:val="00343C28"/>
    <w:rsid w:val="00344A3D"/>
    <w:rsid w:val="00344A41"/>
    <w:rsid w:val="00344EC9"/>
    <w:rsid w:val="0034575E"/>
    <w:rsid w:val="00345C65"/>
    <w:rsid w:val="00347359"/>
    <w:rsid w:val="00350CC2"/>
    <w:rsid w:val="00350E1E"/>
    <w:rsid w:val="00351206"/>
    <w:rsid w:val="0035203F"/>
    <w:rsid w:val="003527E1"/>
    <w:rsid w:val="003527EA"/>
    <w:rsid w:val="003528A1"/>
    <w:rsid w:val="00352A72"/>
    <w:rsid w:val="0035371B"/>
    <w:rsid w:val="00353FEB"/>
    <w:rsid w:val="00356987"/>
    <w:rsid w:val="00356FB0"/>
    <w:rsid w:val="00360429"/>
    <w:rsid w:val="00361DA5"/>
    <w:rsid w:val="00361F1D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783"/>
    <w:rsid w:val="00381A0E"/>
    <w:rsid w:val="00383A83"/>
    <w:rsid w:val="0038751C"/>
    <w:rsid w:val="0038778B"/>
    <w:rsid w:val="00394451"/>
    <w:rsid w:val="0039584A"/>
    <w:rsid w:val="0039625A"/>
    <w:rsid w:val="00396E4A"/>
    <w:rsid w:val="00396E93"/>
    <w:rsid w:val="003A18B4"/>
    <w:rsid w:val="003A4828"/>
    <w:rsid w:val="003A64CB"/>
    <w:rsid w:val="003A6513"/>
    <w:rsid w:val="003A6622"/>
    <w:rsid w:val="003A673F"/>
    <w:rsid w:val="003B145D"/>
    <w:rsid w:val="003B1A1F"/>
    <w:rsid w:val="003B4678"/>
    <w:rsid w:val="003B4F77"/>
    <w:rsid w:val="003B502C"/>
    <w:rsid w:val="003B5992"/>
    <w:rsid w:val="003C0E8B"/>
    <w:rsid w:val="003C6B35"/>
    <w:rsid w:val="003C7BDB"/>
    <w:rsid w:val="003C7C21"/>
    <w:rsid w:val="003D0632"/>
    <w:rsid w:val="003D650C"/>
    <w:rsid w:val="003D6713"/>
    <w:rsid w:val="003D6E90"/>
    <w:rsid w:val="003D744A"/>
    <w:rsid w:val="003D7C37"/>
    <w:rsid w:val="003E110D"/>
    <w:rsid w:val="003E1B24"/>
    <w:rsid w:val="003E297C"/>
    <w:rsid w:val="003E3529"/>
    <w:rsid w:val="003E3D02"/>
    <w:rsid w:val="003E3E6A"/>
    <w:rsid w:val="003E55BC"/>
    <w:rsid w:val="003E58B9"/>
    <w:rsid w:val="003E5D10"/>
    <w:rsid w:val="003E6EAF"/>
    <w:rsid w:val="003F0088"/>
    <w:rsid w:val="003F03C6"/>
    <w:rsid w:val="003F2166"/>
    <w:rsid w:val="003F25F1"/>
    <w:rsid w:val="003F2DDE"/>
    <w:rsid w:val="003F314F"/>
    <w:rsid w:val="003F4721"/>
    <w:rsid w:val="003F5060"/>
    <w:rsid w:val="003F5829"/>
    <w:rsid w:val="003F63DA"/>
    <w:rsid w:val="003F677C"/>
    <w:rsid w:val="003F7090"/>
    <w:rsid w:val="00401C90"/>
    <w:rsid w:val="00401EE0"/>
    <w:rsid w:val="004043AD"/>
    <w:rsid w:val="00405A6A"/>
    <w:rsid w:val="00406D2C"/>
    <w:rsid w:val="0041120A"/>
    <w:rsid w:val="00411935"/>
    <w:rsid w:val="0041337A"/>
    <w:rsid w:val="00416A72"/>
    <w:rsid w:val="00420AE1"/>
    <w:rsid w:val="00424D0F"/>
    <w:rsid w:val="0042728A"/>
    <w:rsid w:val="004276DC"/>
    <w:rsid w:val="0042779B"/>
    <w:rsid w:val="00431935"/>
    <w:rsid w:val="0043291F"/>
    <w:rsid w:val="00432FD4"/>
    <w:rsid w:val="00434347"/>
    <w:rsid w:val="004371F9"/>
    <w:rsid w:val="0043728E"/>
    <w:rsid w:val="00437541"/>
    <w:rsid w:val="00441D38"/>
    <w:rsid w:val="00441E59"/>
    <w:rsid w:val="00442416"/>
    <w:rsid w:val="004429A2"/>
    <w:rsid w:val="00442CB7"/>
    <w:rsid w:val="00443CA1"/>
    <w:rsid w:val="00444C25"/>
    <w:rsid w:val="0044532C"/>
    <w:rsid w:val="00447BB2"/>
    <w:rsid w:val="004527ED"/>
    <w:rsid w:val="00455387"/>
    <w:rsid w:val="00455AAB"/>
    <w:rsid w:val="004568CE"/>
    <w:rsid w:val="00457317"/>
    <w:rsid w:val="004611E1"/>
    <w:rsid w:val="0046165B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AAE"/>
    <w:rsid w:val="00480934"/>
    <w:rsid w:val="0048130C"/>
    <w:rsid w:val="00482FA5"/>
    <w:rsid w:val="00483831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0DE"/>
    <w:rsid w:val="004965C3"/>
    <w:rsid w:val="00497639"/>
    <w:rsid w:val="004A0574"/>
    <w:rsid w:val="004A0A41"/>
    <w:rsid w:val="004A22CF"/>
    <w:rsid w:val="004A2644"/>
    <w:rsid w:val="004A5804"/>
    <w:rsid w:val="004A794E"/>
    <w:rsid w:val="004A7B6B"/>
    <w:rsid w:val="004B142E"/>
    <w:rsid w:val="004B1C0F"/>
    <w:rsid w:val="004B25CD"/>
    <w:rsid w:val="004B3D26"/>
    <w:rsid w:val="004B44C1"/>
    <w:rsid w:val="004B623F"/>
    <w:rsid w:val="004B6EA7"/>
    <w:rsid w:val="004B7BCD"/>
    <w:rsid w:val="004C06A4"/>
    <w:rsid w:val="004C11DE"/>
    <w:rsid w:val="004C13DB"/>
    <w:rsid w:val="004D00EF"/>
    <w:rsid w:val="004D14AD"/>
    <w:rsid w:val="004D376C"/>
    <w:rsid w:val="004D3864"/>
    <w:rsid w:val="004D4CBA"/>
    <w:rsid w:val="004D58CD"/>
    <w:rsid w:val="004D5EEF"/>
    <w:rsid w:val="004D615F"/>
    <w:rsid w:val="004D75B0"/>
    <w:rsid w:val="004D7DC5"/>
    <w:rsid w:val="004E109A"/>
    <w:rsid w:val="004E2E3A"/>
    <w:rsid w:val="004E3B94"/>
    <w:rsid w:val="004E57FE"/>
    <w:rsid w:val="004E6410"/>
    <w:rsid w:val="004E7C93"/>
    <w:rsid w:val="004F3C8F"/>
    <w:rsid w:val="004F4271"/>
    <w:rsid w:val="004F79B7"/>
    <w:rsid w:val="00500939"/>
    <w:rsid w:val="00501FC7"/>
    <w:rsid w:val="005025F4"/>
    <w:rsid w:val="00502AAF"/>
    <w:rsid w:val="005067E0"/>
    <w:rsid w:val="00510B62"/>
    <w:rsid w:val="00511F85"/>
    <w:rsid w:val="00514338"/>
    <w:rsid w:val="00516673"/>
    <w:rsid w:val="00517B69"/>
    <w:rsid w:val="00520368"/>
    <w:rsid w:val="005218BB"/>
    <w:rsid w:val="00523227"/>
    <w:rsid w:val="00523246"/>
    <w:rsid w:val="005237FD"/>
    <w:rsid w:val="005246B4"/>
    <w:rsid w:val="005252F8"/>
    <w:rsid w:val="00525561"/>
    <w:rsid w:val="00525F8B"/>
    <w:rsid w:val="0052651B"/>
    <w:rsid w:val="00527B93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7A9"/>
    <w:rsid w:val="00544AB5"/>
    <w:rsid w:val="00546D89"/>
    <w:rsid w:val="00547AFC"/>
    <w:rsid w:val="005501D5"/>
    <w:rsid w:val="0055022A"/>
    <w:rsid w:val="005503E5"/>
    <w:rsid w:val="005513B0"/>
    <w:rsid w:val="00551E3C"/>
    <w:rsid w:val="0055606D"/>
    <w:rsid w:val="00556F73"/>
    <w:rsid w:val="005576BE"/>
    <w:rsid w:val="00557A1D"/>
    <w:rsid w:val="005603B3"/>
    <w:rsid w:val="00561787"/>
    <w:rsid w:val="0056193C"/>
    <w:rsid w:val="00561EF9"/>
    <w:rsid w:val="00564587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A07"/>
    <w:rsid w:val="00590FA0"/>
    <w:rsid w:val="00593EFC"/>
    <w:rsid w:val="00594858"/>
    <w:rsid w:val="00594F73"/>
    <w:rsid w:val="0059537A"/>
    <w:rsid w:val="005957D1"/>
    <w:rsid w:val="00597215"/>
    <w:rsid w:val="005A0FD0"/>
    <w:rsid w:val="005A1468"/>
    <w:rsid w:val="005A2513"/>
    <w:rsid w:val="005A4536"/>
    <w:rsid w:val="005A578C"/>
    <w:rsid w:val="005A5AF2"/>
    <w:rsid w:val="005A742F"/>
    <w:rsid w:val="005A7C78"/>
    <w:rsid w:val="005B0589"/>
    <w:rsid w:val="005B1A0A"/>
    <w:rsid w:val="005B4F6C"/>
    <w:rsid w:val="005B5AA9"/>
    <w:rsid w:val="005B7055"/>
    <w:rsid w:val="005B7D51"/>
    <w:rsid w:val="005C0513"/>
    <w:rsid w:val="005C4763"/>
    <w:rsid w:val="005C4DB7"/>
    <w:rsid w:val="005C5144"/>
    <w:rsid w:val="005C5DC8"/>
    <w:rsid w:val="005C6564"/>
    <w:rsid w:val="005C661E"/>
    <w:rsid w:val="005C7258"/>
    <w:rsid w:val="005D1E9E"/>
    <w:rsid w:val="005D479C"/>
    <w:rsid w:val="005D48C8"/>
    <w:rsid w:val="005D54D0"/>
    <w:rsid w:val="005D55A6"/>
    <w:rsid w:val="005D58CE"/>
    <w:rsid w:val="005D6DB4"/>
    <w:rsid w:val="005E0B24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6CC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5916"/>
    <w:rsid w:val="00606B1E"/>
    <w:rsid w:val="00607152"/>
    <w:rsid w:val="006105E3"/>
    <w:rsid w:val="006115E2"/>
    <w:rsid w:val="006121F2"/>
    <w:rsid w:val="00613D08"/>
    <w:rsid w:val="0061491F"/>
    <w:rsid w:val="00615FC7"/>
    <w:rsid w:val="00620DEF"/>
    <w:rsid w:val="00621C33"/>
    <w:rsid w:val="0062204C"/>
    <w:rsid w:val="00623188"/>
    <w:rsid w:val="00625748"/>
    <w:rsid w:val="00626DD6"/>
    <w:rsid w:val="0062719D"/>
    <w:rsid w:val="00627FDF"/>
    <w:rsid w:val="00630296"/>
    <w:rsid w:val="006329EF"/>
    <w:rsid w:val="006331E3"/>
    <w:rsid w:val="00633776"/>
    <w:rsid w:val="00633C62"/>
    <w:rsid w:val="006361F0"/>
    <w:rsid w:val="006372A4"/>
    <w:rsid w:val="006375ED"/>
    <w:rsid w:val="0064029E"/>
    <w:rsid w:val="00640861"/>
    <w:rsid w:val="00640A36"/>
    <w:rsid w:val="00640BDC"/>
    <w:rsid w:val="0064171C"/>
    <w:rsid w:val="006431FD"/>
    <w:rsid w:val="00646004"/>
    <w:rsid w:val="00646AD1"/>
    <w:rsid w:val="006473BA"/>
    <w:rsid w:val="00650E4E"/>
    <w:rsid w:val="00654D9D"/>
    <w:rsid w:val="00654FCC"/>
    <w:rsid w:val="00660C02"/>
    <w:rsid w:val="0066104E"/>
    <w:rsid w:val="0066130F"/>
    <w:rsid w:val="0066184E"/>
    <w:rsid w:val="006637FF"/>
    <w:rsid w:val="006641F4"/>
    <w:rsid w:val="006645D9"/>
    <w:rsid w:val="00665EBC"/>
    <w:rsid w:val="00667637"/>
    <w:rsid w:val="00667BE8"/>
    <w:rsid w:val="0067150D"/>
    <w:rsid w:val="00673A29"/>
    <w:rsid w:val="00673AD9"/>
    <w:rsid w:val="00674D45"/>
    <w:rsid w:val="00675371"/>
    <w:rsid w:val="006766F4"/>
    <w:rsid w:val="006777B6"/>
    <w:rsid w:val="00681341"/>
    <w:rsid w:val="00681787"/>
    <w:rsid w:val="0068250F"/>
    <w:rsid w:val="00685904"/>
    <w:rsid w:val="00685FFE"/>
    <w:rsid w:val="00686729"/>
    <w:rsid w:val="00686CAC"/>
    <w:rsid w:val="00686D5A"/>
    <w:rsid w:val="00687871"/>
    <w:rsid w:val="00687E6D"/>
    <w:rsid w:val="00693247"/>
    <w:rsid w:val="0069336E"/>
    <w:rsid w:val="00694174"/>
    <w:rsid w:val="00695488"/>
    <w:rsid w:val="00697D60"/>
    <w:rsid w:val="006A24F8"/>
    <w:rsid w:val="006A27BC"/>
    <w:rsid w:val="006A27D6"/>
    <w:rsid w:val="006A3A42"/>
    <w:rsid w:val="006A4091"/>
    <w:rsid w:val="006A41B4"/>
    <w:rsid w:val="006A4A70"/>
    <w:rsid w:val="006A5FD7"/>
    <w:rsid w:val="006A62B0"/>
    <w:rsid w:val="006A681E"/>
    <w:rsid w:val="006B143E"/>
    <w:rsid w:val="006B30E3"/>
    <w:rsid w:val="006B4AF8"/>
    <w:rsid w:val="006B5E72"/>
    <w:rsid w:val="006B6205"/>
    <w:rsid w:val="006C058F"/>
    <w:rsid w:val="006C3252"/>
    <w:rsid w:val="006C7A04"/>
    <w:rsid w:val="006D158F"/>
    <w:rsid w:val="006D1B83"/>
    <w:rsid w:val="006D1BE7"/>
    <w:rsid w:val="006D3590"/>
    <w:rsid w:val="006D5C98"/>
    <w:rsid w:val="006D6FCC"/>
    <w:rsid w:val="006E044A"/>
    <w:rsid w:val="006E0A9F"/>
    <w:rsid w:val="006E12D5"/>
    <w:rsid w:val="006E1EDC"/>
    <w:rsid w:val="006E26E8"/>
    <w:rsid w:val="006E4493"/>
    <w:rsid w:val="006E590F"/>
    <w:rsid w:val="006E76B0"/>
    <w:rsid w:val="006F08D4"/>
    <w:rsid w:val="006F1E4D"/>
    <w:rsid w:val="006F3318"/>
    <w:rsid w:val="006F39CF"/>
    <w:rsid w:val="006F4894"/>
    <w:rsid w:val="006F58F5"/>
    <w:rsid w:val="006F676D"/>
    <w:rsid w:val="00700672"/>
    <w:rsid w:val="00701319"/>
    <w:rsid w:val="00701A95"/>
    <w:rsid w:val="0070237D"/>
    <w:rsid w:val="00702F7C"/>
    <w:rsid w:val="00706127"/>
    <w:rsid w:val="007077CD"/>
    <w:rsid w:val="00710EDD"/>
    <w:rsid w:val="00712A93"/>
    <w:rsid w:val="00714CF1"/>
    <w:rsid w:val="00715CEB"/>
    <w:rsid w:val="00717A58"/>
    <w:rsid w:val="00722924"/>
    <w:rsid w:val="00723D30"/>
    <w:rsid w:val="00723F1A"/>
    <w:rsid w:val="00726974"/>
    <w:rsid w:val="0072755A"/>
    <w:rsid w:val="007306BB"/>
    <w:rsid w:val="007319AD"/>
    <w:rsid w:val="00732257"/>
    <w:rsid w:val="00740240"/>
    <w:rsid w:val="0074037C"/>
    <w:rsid w:val="0074084E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57E7C"/>
    <w:rsid w:val="007608F0"/>
    <w:rsid w:val="00762976"/>
    <w:rsid w:val="00765292"/>
    <w:rsid w:val="00766360"/>
    <w:rsid w:val="00766752"/>
    <w:rsid w:val="00766834"/>
    <w:rsid w:val="00766C22"/>
    <w:rsid w:val="00766EC7"/>
    <w:rsid w:val="00767911"/>
    <w:rsid w:val="00767FC0"/>
    <w:rsid w:val="0077082D"/>
    <w:rsid w:val="0077181C"/>
    <w:rsid w:val="00771AF0"/>
    <w:rsid w:val="0077499E"/>
    <w:rsid w:val="0077508F"/>
    <w:rsid w:val="007752E2"/>
    <w:rsid w:val="007758FB"/>
    <w:rsid w:val="00780406"/>
    <w:rsid w:val="00781F5F"/>
    <w:rsid w:val="00783479"/>
    <w:rsid w:val="00783696"/>
    <w:rsid w:val="00783D3E"/>
    <w:rsid w:val="007849A7"/>
    <w:rsid w:val="00784B5D"/>
    <w:rsid w:val="00785DB0"/>
    <w:rsid w:val="00791384"/>
    <w:rsid w:val="00791D74"/>
    <w:rsid w:val="00791E5B"/>
    <w:rsid w:val="007931D7"/>
    <w:rsid w:val="00793AE7"/>
    <w:rsid w:val="00793B03"/>
    <w:rsid w:val="007949B4"/>
    <w:rsid w:val="0079708B"/>
    <w:rsid w:val="0079779E"/>
    <w:rsid w:val="007A13EF"/>
    <w:rsid w:val="007A3F8C"/>
    <w:rsid w:val="007A6DC9"/>
    <w:rsid w:val="007A71B5"/>
    <w:rsid w:val="007A797E"/>
    <w:rsid w:val="007B1216"/>
    <w:rsid w:val="007B255F"/>
    <w:rsid w:val="007B4961"/>
    <w:rsid w:val="007B55C5"/>
    <w:rsid w:val="007C0579"/>
    <w:rsid w:val="007C0E7E"/>
    <w:rsid w:val="007C10CC"/>
    <w:rsid w:val="007C220C"/>
    <w:rsid w:val="007C250E"/>
    <w:rsid w:val="007C2CD7"/>
    <w:rsid w:val="007C4826"/>
    <w:rsid w:val="007D009C"/>
    <w:rsid w:val="007D2162"/>
    <w:rsid w:val="007D369F"/>
    <w:rsid w:val="007D3C22"/>
    <w:rsid w:val="007D5A53"/>
    <w:rsid w:val="007D62D9"/>
    <w:rsid w:val="007D6A5B"/>
    <w:rsid w:val="007D73C9"/>
    <w:rsid w:val="007D79DF"/>
    <w:rsid w:val="007E04AB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DAE"/>
    <w:rsid w:val="00801EFD"/>
    <w:rsid w:val="008054E8"/>
    <w:rsid w:val="008058BC"/>
    <w:rsid w:val="00806D7C"/>
    <w:rsid w:val="00807854"/>
    <w:rsid w:val="00811012"/>
    <w:rsid w:val="00811A90"/>
    <w:rsid w:val="00813846"/>
    <w:rsid w:val="00814325"/>
    <w:rsid w:val="00815C4F"/>
    <w:rsid w:val="008161C2"/>
    <w:rsid w:val="00816942"/>
    <w:rsid w:val="00816D1F"/>
    <w:rsid w:val="0081738B"/>
    <w:rsid w:val="0082026A"/>
    <w:rsid w:val="008219BA"/>
    <w:rsid w:val="00824136"/>
    <w:rsid w:val="00825736"/>
    <w:rsid w:val="00826075"/>
    <w:rsid w:val="008267CA"/>
    <w:rsid w:val="00826A19"/>
    <w:rsid w:val="008312D4"/>
    <w:rsid w:val="008317C8"/>
    <w:rsid w:val="00831915"/>
    <w:rsid w:val="0083209C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6969"/>
    <w:rsid w:val="00846CCA"/>
    <w:rsid w:val="00847302"/>
    <w:rsid w:val="00847BF3"/>
    <w:rsid w:val="00852A15"/>
    <w:rsid w:val="00853D0B"/>
    <w:rsid w:val="00854B16"/>
    <w:rsid w:val="00854BCA"/>
    <w:rsid w:val="00855A43"/>
    <w:rsid w:val="008561BF"/>
    <w:rsid w:val="00856BDF"/>
    <w:rsid w:val="00861E25"/>
    <w:rsid w:val="008633B6"/>
    <w:rsid w:val="0086402F"/>
    <w:rsid w:val="00866481"/>
    <w:rsid w:val="00867F35"/>
    <w:rsid w:val="0087076A"/>
    <w:rsid w:val="00870853"/>
    <w:rsid w:val="00870B9F"/>
    <w:rsid w:val="00872075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2559"/>
    <w:rsid w:val="008928B6"/>
    <w:rsid w:val="00894CA0"/>
    <w:rsid w:val="00895461"/>
    <w:rsid w:val="008957B1"/>
    <w:rsid w:val="00895B3E"/>
    <w:rsid w:val="00896190"/>
    <w:rsid w:val="00897C5E"/>
    <w:rsid w:val="008A1517"/>
    <w:rsid w:val="008A2307"/>
    <w:rsid w:val="008A2B8F"/>
    <w:rsid w:val="008A2BB7"/>
    <w:rsid w:val="008A4000"/>
    <w:rsid w:val="008A4A65"/>
    <w:rsid w:val="008A6621"/>
    <w:rsid w:val="008A679F"/>
    <w:rsid w:val="008A70A5"/>
    <w:rsid w:val="008B178D"/>
    <w:rsid w:val="008B201B"/>
    <w:rsid w:val="008B2D64"/>
    <w:rsid w:val="008B368E"/>
    <w:rsid w:val="008B38A4"/>
    <w:rsid w:val="008B38EE"/>
    <w:rsid w:val="008B4F2F"/>
    <w:rsid w:val="008B55B4"/>
    <w:rsid w:val="008B6A00"/>
    <w:rsid w:val="008C0269"/>
    <w:rsid w:val="008C076F"/>
    <w:rsid w:val="008C257C"/>
    <w:rsid w:val="008C26E1"/>
    <w:rsid w:val="008C2B91"/>
    <w:rsid w:val="008C4F00"/>
    <w:rsid w:val="008D0FDE"/>
    <w:rsid w:val="008D1051"/>
    <w:rsid w:val="008D22BE"/>
    <w:rsid w:val="008D321B"/>
    <w:rsid w:val="008D48D6"/>
    <w:rsid w:val="008D727F"/>
    <w:rsid w:val="008D7542"/>
    <w:rsid w:val="008D7F7C"/>
    <w:rsid w:val="008E0835"/>
    <w:rsid w:val="008E16ED"/>
    <w:rsid w:val="008E280E"/>
    <w:rsid w:val="008E2BA7"/>
    <w:rsid w:val="008E346F"/>
    <w:rsid w:val="008E5642"/>
    <w:rsid w:val="008E5CC2"/>
    <w:rsid w:val="008E7B35"/>
    <w:rsid w:val="008F2E20"/>
    <w:rsid w:val="008F766D"/>
    <w:rsid w:val="0090057C"/>
    <w:rsid w:val="00900BC5"/>
    <w:rsid w:val="00901036"/>
    <w:rsid w:val="00903BED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1FA3"/>
    <w:rsid w:val="00912D60"/>
    <w:rsid w:val="009140A2"/>
    <w:rsid w:val="009141D0"/>
    <w:rsid w:val="00920480"/>
    <w:rsid w:val="00920D01"/>
    <w:rsid w:val="00920E07"/>
    <w:rsid w:val="00923B20"/>
    <w:rsid w:val="009263DF"/>
    <w:rsid w:val="00926BD2"/>
    <w:rsid w:val="00926E84"/>
    <w:rsid w:val="00927338"/>
    <w:rsid w:val="0093018E"/>
    <w:rsid w:val="0093167C"/>
    <w:rsid w:val="0093208B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61A8"/>
    <w:rsid w:val="00946409"/>
    <w:rsid w:val="009470DD"/>
    <w:rsid w:val="009518D9"/>
    <w:rsid w:val="0095236F"/>
    <w:rsid w:val="00952404"/>
    <w:rsid w:val="009526BA"/>
    <w:rsid w:val="00953350"/>
    <w:rsid w:val="00955BDA"/>
    <w:rsid w:val="00962943"/>
    <w:rsid w:val="0096328F"/>
    <w:rsid w:val="00965F52"/>
    <w:rsid w:val="0096699E"/>
    <w:rsid w:val="0096737A"/>
    <w:rsid w:val="009674C6"/>
    <w:rsid w:val="0097392A"/>
    <w:rsid w:val="009749C0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972A6"/>
    <w:rsid w:val="009A043C"/>
    <w:rsid w:val="009A12ED"/>
    <w:rsid w:val="009A201F"/>
    <w:rsid w:val="009A62FC"/>
    <w:rsid w:val="009A6989"/>
    <w:rsid w:val="009A6DA7"/>
    <w:rsid w:val="009A72EB"/>
    <w:rsid w:val="009B09F8"/>
    <w:rsid w:val="009B105E"/>
    <w:rsid w:val="009B14BB"/>
    <w:rsid w:val="009B2B4E"/>
    <w:rsid w:val="009B396E"/>
    <w:rsid w:val="009B39A2"/>
    <w:rsid w:val="009B3B97"/>
    <w:rsid w:val="009B49F3"/>
    <w:rsid w:val="009B4E5D"/>
    <w:rsid w:val="009B567A"/>
    <w:rsid w:val="009C29C5"/>
    <w:rsid w:val="009C5C75"/>
    <w:rsid w:val="009D1C23"/>
    <w:rsid w:val="009D2A29"/>
    <w:rsid w:val="009D4CEE"/>
    <w:rsid w:val="009D59DE"/>
    <w:rsid w:val="009D72F8"/>
    <w:rsid w:val="009E1362"/>
    <w:rsid w:val="009E1848"/>
    <w:rsid w:val="009E1BC1"/>
    <w:rsid w:val="009E1F6B"/>
    <w:rsid w:val="009E3502"/>
    <w:rsid w:val="009E3E77"/>
    <w:rsid w:val="009E4293"/>
    <w:rsid w:val="009E4DF2"/>
    <w:rsid w:val="009E606B"/>
    <w:rsid w:val="009E6D60"/>
    <w:rsid w:val="009F12F3"/>
    <w:rsid w:val="009F1918"/>
    <w:rsid w:val="009F2D0A"/>
    <w:rsid w:val="009F3962"/>
    <w:rsid w:val="009F6ED7"/>
    <w:rsid w:val="009F7401"/>
    <w:rsid w:val="009F78F2"/>
    <w:rsid w:val="00A01C9B"/>
    <w:rsid w:val="00A0576E"/>
    <w:rsid w:val="00A065F5"/>
    <w:rsid w:val="00A10857"/>
    <w:rsid w:val="00A1221A"/>
    <w:rsid w:val="00A1269B"/>
    <w:rsid w:val="00A130F9"/>
    <w:rsid w:val="00A13B17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4B11"/>
    <w:rsid w:val="00A25A27"/>
    <w:rsid w:val="00A25FE9"/>
    <w:rsid w:val="00A27485"/>
    <w:rsid w:val="00A30038"/>
    <w:rsid w:val="00A309E8"/>
    <w:rsid w:val="00A33F1B"/>
    <w:rsid w:val="00A346D9"/>
    <w:rsid w:val="00A3514D"/>
    <w:rsid w:val="00A35318"/>
    <w:rsid w:val="00A40F98"/>
    <w:rsid w:val="00A41EF2"/>
    <w:rsid w:val="00A42619"/>
    <w:rsid w:val="00A4267D"/>
    <w:rsid w:val="00A427B2"/>
    <w:rsid w:val="00A43DEB"/>
    <w:rsid w:val="00A44D25"/>
    <w:rsid w:val="00A44DDA"/>
    <w:rsid w:val="00A45BB5"/>
    <w:rsid w:val="00A47D62"/>
    <w:rsid w:val="00A5097A"/>
    <w:rsid w:val="00A53CDD"/>
    <w:rsid w:val="00A53EE6"/>
    <w:rsid w:val="00A5538A"/>
    <w:rsid w:val="00A564AE"/>
    <w:rsid w:val="00A57A4A"/>
    <w:rsid w:val="00A57C0E"/>
    <w:rsid w:val="00A60380"/>
    <w:rsid w:val="00A614EB"/>
    <w:rsid w:val="00A62886"/>
    <w:rsid w:val="00A6356E"/>
    <w:rsid w:val="00A63E79"/>
    <w:rsid w:val="00A6719E"/>
    <w:rsid w:val="00A672B2"/>
    <w:rsid w:val="00A74151"/>
    <w:rsid w:val="00A74C51"/>
    <w:rsid w:val="00A77682"/>
    <w:rsid w:val="00A80C19"/>
    <w:rsid w:val="00A83279"/>
    <w:rsid w:val="00A83750"/>
    <w:rsid w:val="00A84631"/>
    <w:rsid w:val="00A85417"/>
    <w:rsid w:val="00A86498"/>
    <w:rsid w:val="00A86A0A"/>
    <w:rsid w:val="00A9067C"/>
    <w:rsid w:val="00A90A24"/>
    <w:rsid w:val="00A90BD3"/>
    <w:rsid w:val="00A91402"/>
    <w:rsid w:val="00A92FBB"/>
    <w:rsid w:val="00A93C1C"/>
    <w:rsid w:val="00A96790"/>
    <w:rsid w:val="00A97543"/>
    <w:rsid w:val="00AA0DFE"/>
    <w:rsid w:val="00AA2502"/>
    <w:rsid w:val="00AA262E"/>
    <w:rsid w:val="00AA2AC5"/>
    <w:rsid w:val="00AA3174"/>
    <w:rsid w:val="00AA3A41"/>
    <w:rsid w:val="00AA5AE9"/>
    <w:rsid w:val="00AA5DFA"/>
    <w:rsid w:val="00AA6276"/>
    <w:rsid w:val="00AA6D45"/>
    <w:rsid w:val="00AA7585"/>
    <w:rsid w:val="00AA7DED"/>
    <w:rsid w:val="00AB031D"/>
    <w:rsid w:val="00AB08A6"/>
    <w:rsid w:val="00AB18B3"/>
    <w:rsid w:val="00AB1A1E"/>
    <w:rsid w:val="00AB236C"/>
    <w:rsid w:val="00AB58AD"/>
    <w:rsid w:val="00AB79DB"/>
    <w:rsid w:val="00AC06B6"/>
    <w:rsid w:val="00AC1A7F"/>
    <w:rsid w:val="00AC45BA"/>
    <w:rsid w:val="00AC7830"/>
    <w:rsid w:val="00AD0466"/>
    <w:rsid w:val="00AD1557"/>
    <w:rsid w:val="00AD1CE8"/>
    <w:rsid w:val="00AD2151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0E76"/>
    <w:rsid w:val="00AE1C60"/>
    <w:rsid w:val="00AE20D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BF6"/>
    <w:rsid w:val="00B03CDF"/>
    <w:rsid w:val="00B040B7"/>
    <w:rsid w:val="00B04A55"/>
    <w:rsid w:val="00B04D46"/>
    <w:rsid w:val="00B104C5"/>
    <w:rsid w:val="00B10F47"/>
    <w:rsid w:val="00B1385B"/>
    <w:rsid w:val="00B13B1B"/>
    <w:rsid w:val="00B15DBF"/>
    <w:rsid w:val="00B165C9"/>
    <w:rsid w:val="00B17D70"/>
    <w:rsid w:val="00B22AD7"/>
    <w:rsid w:val="00B22D31"/>
    <w:rsid w:val="00B22E46"/>
    <w:rsid w:val="00B27853"/>
    <w:rsid w:val="00B30291"/>
    <w:rsid w:val="00B306F7"/>
    <w:rsid w:val="00B30BB8"/>
    <w:rsid w:val="00B30FE2"/>
    <w:rsid w:val="00B3272E"/>
    <w:rsid w:val="00B32C71"/>
    <w:rsid w:val="00B330C4"/>
    <w:rsid w:val="00B3321F"/>
    <w:rsid w:val="00B35E83"/>
    <w:rsid w:val="00B37580"/>
    <w:rsid w:val="00B377A2"/>
    <w:rsid w:val="00B4137A"/>
    <w:rsid w:val="00B442AC"/>
    <w:rsid w:val="00B50B77"/>
    <w:rsid w:val="00B51290"/>
    <w:rsid w:val="00B51769"/>
    <w:rsid w:val="00B52215"/>
    <w:rsid w:val="00B530CA"/>
    <w:rsid w:val="00B53AC4"/>
    <w:rsid w:val="00B54527"/>
    <w:rsid w:val="00B57638"/>
    <w:rsid w:val="00B57ADA"/>
    <w:rsid w:val="00B57D2C"/>
    <w:rsid w:val="00B61EE9"/>
    <w:rsid w:val="00B6496C"/>
    <w:rsid w:val="00B65962"/>
    <w:rsid w:val="00B669D9"/>
    <w:rsid w:val="00B66B6C"/>
    <w:rsid w:val="00B66D0B"/>
    <w:rsid w:val="00B7033E"/>
    <w:rsid w:val="00B7071A"/>
    <w:rsid w:val="00B71858"/>
    <w:rsid w:val="00B71A39"/>
    <w:rsid w:val="00B721DC"/>
    <w:rsid w:val="00B74715"/>
    <w:rsid w:val="00B75EBA"/>
    <w:rsid w:val="00B7669D"/>
    <w:rsid w:val="00B766D9"/>
    <w:rsid w:val="00B76E03"/>
    <w:rsid w:val="00B80A28"/>
    <w:rsid w:val="00B82D73"/>
    <w:rsid w:val="00B84A2C"/>
    <w:rsid w:val="00B871D6"/>
    <w:rsid w:val="00B874D3"/>
    <w:rsid w:val="00B87A02"/>
    <w:rsid w:val="00B96204"/>
    <w:rsid w:val="00B96AB6"/>
    <w:rsid w:val="00B97BA5"/>
    <w:rsid w:val="00BA0DCC"/>
    <w:rsid w:val="00BA12A2"/>
    <w:rsid w:val="00BA1667"/>
    <w:rsid w:val="00BA16EF"/>
    <w:rsid w:val="00BA1737"/>
    <w:rsid w:val="00BA18D0"/>
    <w:rsid w:val="00BA242E"/>
    <w:rsid w:val="00BA2ABF"/>
    <w:rsid w:val="00BA3317"/>
    <w:rsid w:val="00BA5A9D"/>
    <w:rsid w:val="00BA6363"/>
    <w:rsid w:val="00BA79D0"/>
    <w:rsid w:val="00BB2571"/>
    <w:rsid w:val="00BB2D9C"/>
    <w:rsid w:val="00BB3512"/>
    <w:rsid w:val="00BB5D1E"/>
    <w:rsid w:val="00BB62CC"/>
    <w:rsid w:val="00BB7ED6"/>
    <w:rsid w:val="00BC0B0A"/>
    <w:rsid w:val="00BC137A"/>
    <w:rsid w:val="00BC384D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2944"/>
    <w:rsid w:val="00BD2B5E"/>
    <w:rsid w:val="00BD3AFF"/>
    <w:rsid w:val="00BD42CB"/>
    <w:rsid w:val="00BD4E7A"/>
    <w:rsid w:val="00BD531B"/>
    <w:rsid w:val="00BE00E5"/>
    <w:rsid w:val="00BE029E"/>
    <w:rsid w:val="00BE143F"/>
    <w:rsid w:val="00BE2E5A"/>
    <w:rsid w:val="00BE3A10"/>
    <w:rsid w:val="00BE4A21"/>
    <w:rsid w:val="00BE5859"/>
    <w:rsid w:val="00BE717E"/>
    <w:rsid w:val="00BE7E27"/>
    <w:rsid w:val="00BF0B0C"/>
    <w:rsid w:val="00BF183C"/>
    <w:rsid w:val="00BF4C15"/>
    <w:rsid w:val="00C0277D"/>
    <w:rsid w:val="00C04690"/>
    <w:rsid w:val="00C0782F"/>
    <w:rsid w:val="00C11F50"/>
    <w:rsid w:val="00C125E9"/>
    <w:rsid w:val="00C12603"/>
    <w:rsid w:val="00C12C7C"/>
    <w:rsid w:val="00C131FD"/>
    <w:rsid w:val="00C15322"/>
    <w:rsid w:val="00C16DA8"/>
    <w:rsid w:val="00C17352"/>
    <w:rsid w:val="00C2022B"/>
    <w:rsid w:val="00C21959"/>
    <w:rsid w:val="00C258B2"/>
    <w:rsid w:val="00C309B1"/>
    <w:rsid w:val="00C30A7D"/>
    <w:rsid w:val="00C31169"/>
    <w:rsid w:val="00C3169F"/>
    <w:rsid w:val="00C318F6"/>
    <w:rsid w:val="00C345A4"/>
    <w:rsid w:val="00C36DFA"/>
    <w:rsid w:val="00C37522"/>
    <w:rsid w:val="00C40E83"/>
    <w:rsid w:val="00C422A4"/>
    <w:rsid w:val="00C42EFD"/>
    <w:rsid w:val="00C43D8B"/>
    <w:rsid w:val="00C44042"/>
    <w:rsid w:val="00C46AF0"/>
    <w:rsid w:val="00C46F01"/>
    <w:rsid w:val="00C5281A"/>
    <w:rsid w:val="00C52956"/>
    <w:rsid w:val="00C53AE1"/>
    <w:rsid w:val="00C53CAD"/>
    <w:rsid w:val="00C54893"/>
    <w:rsid w:val="00C560A1"/>
    <w:rsid w:val="00C56E9E"/>
    <w:rsid w:val="00C56EB6"/>
    <w:rsid w:val="00C571E2"/>
    <w:rsid w:val="00C63603"/>
    <w:rsid w:val="00C63FC8"/>
    <w:rsid w:val="00C64F57"/>
    <w:rsid w:val="00C65D21"/>
    <w:rsid w:val="00C65FA1"/>
    <w:rsid w:val="00C66E11"/>
    <w:rsid w:val="00C6789D"/>
    <w:rsid w:val="00C70E5B"/>
    <w:rsid w:val="00C70E82"/>
    <w:rsid w:val="00C71848"/>
    <w:rsid w:val="00C71A97"/>
    <w:rsid w:val="00C72FFE"/>
    <w:rsid w:val="00C7314D"/>
    <w:rsid w:val="00C73FFD"/>
    <w:rsid w:val="00C74512"/>
    <w:rsid w:val="00C75071"/>
    <w:rsid w:val="00C76970"/>
    <w:rsid w:val="00C77540"/>
    <w:rsid w:val="00C84F07"/>
    <w:rsid w:val="00C851A6"/>
    <w:rsid w:val="00C855D4"/>
    <w:rsid w:val="00C87639"/>
    <w:rsid w:val="00C90685"/>
    <w:rsid w:val="00C9099A"/>
    <w:rsid w:val="00C91A6B"/>
    <w:rsid w:val="00C9240A"/>
    <w:rsid w:val="00C92CCF"/>
    <w:rsid w:val="00C93D5B"/>
    <w:rsid w:val="00C9442C"/>
    <w:rsid w:val="00C94657"/>
    <w:rsid w:val="00C9532C"/>
    <w:rsid w:val="00C95BCF"/>
    <w:rsid w:val="00C95D16"/>
    <w:rsid w:val="00C95DCF"/>
    <w:rsid w:val="00CA184E"/>
    <w:rsid w:val="00CA23C4"/>
    <w:rsid w:val="00CA575F"/>
    <w:rsid w:val="00CA5AEC"/>
    <w:rsid w:val="00CA6114"/>
    <w:rsid w:val="00CA704A"/>
    <w:rsid w:val="00CB0797"/>
    <w:rsid w:val="00CB1236"/>
    <w:rsid w:val="00CB1E54"/>
    <w:rsid w:val="00CB21FF"/>
    <w:rsid w:val="00CB27E6"/>
    <w:rsid w:val="00CB4430"/>
    <w:rsid w:val="00CB5CAE"/>
    <w:rsid w:val="00CB621F"/>
    <w:rsid w:val="00CB644C"/>
    <w:rsid w:val="00CB78ED"/>
    <w:rsid w:val="00CC0004"/>
    <w:rsid w:val="00CC2202"/>
    <w:rsid w:val="00CC4E55"/>
    <w:rsid w:val="00CC550E"/>
    <w:rsid w:val="00CC5AC6"/>
    <w:rsid w:val="00CD040D"/>
    <w:rsid w:val="00CD0DCE"/>
    <w:rsid w:val="00CD1628"/>
    <w:rsid w:val="00CD1D27"/>
    <w:rsid w:val="00CD22A9"/>
    <w:rsid w:val="00CD27B7"/>
    <w:rsid w:val="00CD3807"/>
    <w:rsid w:val="00CD3AE7"/>
    <w:rsid w:val="00CD3C10"/>
    <w:rsid w:val="00CD5194"/>
    <w:rsid w:val="00CD5981"/>
    <w:rsid w:val="00CD5D25"/>
    <w:rsid w:val="00CD79FA"/>
    <w:rsid w:val="00CE02E6"/>
    <w:rsid w:val="00CE10E6"/>
    <w:rsid w:val="00CE59A8"/>
    <w:rsid w:val="00CE657B"/>
    <w:rsid w:val="00CF0873"/>
    <w:rsid w:val="00CF237E"/>
    <w:rsid w:val="00CF3FB0"/>
    <w:rsid w:val="00CF4AE7"/>
    <w:rsid w:val="00CF515D"/>
    <w:rsid w:val="00CF53F5"/>
    <w:rsid w:val="00CF5EC1"/>
    <w:rsid w:val="00CF6B3F"/>
    <w:rsid w:val="00D002B4"/>
    <w:rsid w:val="00D0031B"/>
    <w:rsid w:val="00D01404"/>
    <w:rsid w:val="00D02C52"/>
    <w:rsid w:val="00D03845"/>
    <w:rsid w:val="00D03DCB"/>
    <w:rsid w:val="00D05257"/>
    <w:rsid w:val="00D054DF"/>
    <w:rsid w:val="00D057A5"/>
    <w:rsid w:val="00D05D1F"/>
    <w:rsid w:val="00D121A9"/>
    <w:rsid w:val="00D133B8"/>
    <w:rsid w:val="00D144D0"/>
    <w:rsid w:val="00D14FC0"/>
    <w:rsid w:val="00D163A3"/>
    <w:rsid w:val="00D1656D"/>
    <w:rsid w:val="00D167CC"/>
    <w:rsid w:val="00D16943"/>
    <w:rsid w:val="00D211AE"/>
    <w:rsid w:val="00D21662"/>
    <w:rsid w:val="00D235AE"/>
    <w:rsid w:val="00D23DE4"/>
    <w:rsid w:val="00D23F50"/>
    <w:rsid w:val="00D24867"/>
    <w:rsid w:val="00D2532B"/>
    <w:rsid w:val="00D318E3"/>
    <w:rsid w:val="00D323A7"/>
    <w:rsid w:val="00D346BF"/>
    <w:rsid w:val="00D34A4B"/>
    <w:rsid w:val="00D416EB"/>
    <w:rsid w:val="00D41B20"/>
    <w:rsid w:val="00D44615"/>
    <w:rsid w:val="00D45321"/>
    <w:rsid w:val="00D47F59"/>
    <w:rsid w:val="00D50324"/>
    <w:rsid w:val="00D51118"/>
    <w:rsid w:val="00D5202B"/>
    <w:rsid w:val="00D53016"/>
    <w:rsid w:val="00D551ED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66D9D"/>
    <w:rsid w:val="00D70A39"/>
    <w:rsid w:val="00D71009"/>
    <w:rsid w:val="00D71A7E"/>
    <w:rsid w:val="00D72180"/>
    <w:rsid w:val="00D74DB8"/>
    <w:rsid w:val="00D7643D"/>
    <w:rsid w:val="00D76671"/>
    <w:rsid w:val="00D76DE0"/>
    <w:rsid w:val="00D77653"/>
    <w:rsid w:val="00D80DF0"/>
    <w:rsid w:val="00D83ED5"/>
    <w:rsid w:val="00D86043"/>
    <w:rsid w:val="00D870D4"/>
    <w:rsid w:val="00D90B97"/>
    <w:rsid w:val="00D9398E"/>
    <w:rsid w:val="00D9464E"/>
    <w:rsid w:val="00D954E0"/>
    <w:rsid w:val="00D97059"/>
    <w:rsid w:val="00D97A1D"/>
    <w:rsid w:val="00DA0181"/>
    <w:rsid w:val="00DA2411"/>
    <w:rsid w:val="00DA2C81"/>
    <w:rsid w:val="00DA53DC"/>
    <w:rsid w:val="00DA6531"/>
    <w:rsid w:val="00DA65C4"/>
    <w:rsid w:val="00DA7899"/>
    <w:rsid w:val="00DB0923"/>
    <w:rsid w:val="00DB29CA"/>
    <w:rsid w:val="00DB30C8"/>
    <w:rsid w:val="00DB558E"/>
    <w:rsid w:val="00DB5F2B"/>
    <w:rsid w:val="00DB74AF"/>
    <w:rsid w:val="00DB7D79"/>
    <w:rsid w:val="00DC00E0"/>
    <w:rsid w:val="00DC0AB0"/>
    <w:rsid w:val="00DC1AB8"/>
    <w:rsid w:val="00DC5C19"/>
    <w:rsid w:val="00DC6613"/>
    <w:rsid w:val="00DC7068"/>
    <w:rsid w:val="00DD0411"/>
    <w:rsid w:val="00DD265A"/>
    <w:rsid w:val="00DD3A78"/>
    <w:rsid w:val="00DD6B9B"/>
    <w:rsid w:val="00DD7E31"/>
    <w:rsid w:val="00DE07A1"/>
    <w:rsid w:val="00DE21A2"/>
    <w:rsid w:val="00DE2776"/>
    <w:rsid w:val="00DE3B11"/>
    <w:rsid w:val="00DE48E8"/>
    <w:rsid w:val="00DE7183"/>
    <w:rsid w:val="00DE79B1"/>
    <w:rsid w:val="00DF0461"/>
    <w:rsid w:val="00DF1DAC"/>
    <w:rsid w:val="00DF2165"/>
    <w:rsid w:val="00DF3666"/>
    <w:rsid w:val="00DF5A24"/>
    <w:rsid w:val="00DF60E6"/>
    <w:rsid w:val="00DF6105"/>
    <w:rsid w:val="00DF659E"/>
    <w:rsid w:val="00DF76E9"/>
    <w:rsid w:val="00E01524"/>
    <w:rsid w:val="00E05801"/>
    <w:rsid w:val="00E07C16"/>
    <w:rsid w:val="00E1021D"/>
    <w:rsid w:val="00E1428E"/>
    <w:rsid w:val="00E14900"/>
    <w:rsid w:val="00E218D3"/>
    <w:rsid w:val="00E22321"/>
    <w:rsid w:val="00E229ED"/>
    <w:rsid w:val="00E23091"/>
    <w:rsid w:val="00E2334F"/>
    <w:rsid w:val="00E23E21"/>
    <w:rsid w:val="00E245A0"/>
    <w:rsid w:val="00E25964"/>
    <w:rsid w:val="00E25E9F"/>
    <w:rsid w:val="00E2658F"/>
    <w:rsid w:val="00E26C71"/>
    <w:rsid w:val="00E27565"/>
    <w:rsid w:val="00E30DE6"/>
    <w:rsid w:val="00E31944"/>
    <w:rsid w:val="00E32395"/>
    <w:rsid w:val="00E3262F"/>
    <w:rsid w:val="00E32E0D"/>
    <w:rsid w:val="00E332E3"/>
    <w:rsid w:val="00E35435"/>
    <w:rsid w:val="00E37194"/>
    <w:rsid w:val="00E3788B"/>
    <w:rsid w:val="00E37F90"/>
    <w:rsid w:val="00E404AA"/>
    <w:rsid w:val="00E40C6A"/>
    <w:rsid w:val="00E410B7"/>
    <w:rsid w:val="00E43977"/>
    <w:rsid w:val="00E4415D"/>
    <w:rsid w:val="00E444BD"/>
    <w:rsid w:val="00E44AB1"/>
    <w:rsid w:val="00E44AB8"/>
    <w:rsid w:val="00E45AA3"/>
    <w:rsid w:val="00E47BD8"/>
    <w:rsid w:val="00E50D3F"/>
    <w:rsid w:val="00E520BE"/>
    <w:rsid w:val="00E53AF0"/>
    <w:rsid w:val="00E5484A"/>
    <w:rsid w:val="00E54E17"/>
    <w:rsid w:val="00E56A7A"/>
    <w:rsid w:val="00E60419"/>
    <w:rsid w:val="00E60E01"/>
    <w:rsid w:val="00E61574"/>
    <w:rsid w:val="00E617D3"/>
    <w:rsid w:val="00E61E36"/>
    <w:rsid w:val="00E624C7"/>
    <w:rsid w:val="00E633C1"/>
    <w:rsid w:val="00E65F2F"/>
    <w:rsid w:val="00E667B0"/>
    <w:rsid w:val="00E67390"/>
    <w:rsid w:val="00E71365"/>
    <w:rsid w:val="00E74904"/>
    <w:rsid w:val="00E770A4"/>
    <w:rsid w:val="00E7797D"/>
    <w:rsid w:val="00E8097A"/>
    <w:rsid w:val="00E80D3D"/>
    <w:rsid w:val="00E81192"/>
    <w:rsid w:val="00E83B51"/>
    <w:rsid w:val="00E855CC"/>
    <w:rsid w:val="00E8626C"/>
    <w:rsid w:val="00E8663B"/>
    <w:rsid w:val="00E86BDE"/>
    <w:rsid w:val="00E8762F"/>
    <w:rsid w:val="00E90AB8"/>
    <w:rsid w:val="00E90C01"/>
    <w:rsid w:val="00E919D9"/>
    <w:rsid w:val="00E921C1"/>
    <w:rsid w:val="00E93C8B"/>
    <w:rsid w:val="00E93D8F"/>
    <w:rsid w:val="00E9525E"/>
    <w:rsid w:val="00E9531E"/>
    <w:rsid w:val="00E95A8E"/>
    <w:rsid w:val="00E95E41"/>
    <w:rsid w:val="00E95E4C"/>
    <w:rsid w:val="00E977CE"/>
    <w:rsid w:val="00E97E05"/>
    <w:rsid w:val="00EA1370"/>
    <w:rsid w:val="00EA34E2"/>
    <w:rsid w:val="00EA52D1"/>
    <w:rsid w:val="00EA703E"/>
    <w:rsid w:val="00EA791F"/>
    <w:rsid w:val="00EB582A"/>
    <w:rsid w:val="00EB671F"/>
    <w:rsid w:val="00EB70E7"/>
    <w:rsid w:val="00EB76D6"/>
    <w:rsid w:val="00EC02E8"/>
    <w:rsid w:val="00EC1139"/>
    <w:rsid w:val="00EC3842"/>
    <w:rsid w:val="00EC4299"/>
    <w:rsid w:val="00EC4854"/>
    <w:rsid w:val="00EC4D4D"/>
    <w:rsid w:val="00EC5D5D"/>
    <w:rsid w:val="00EC609B"/>
    <w:rsid w:val="00EC7908"/>
    <w:rsid w:val="00EC7C2B"/>
    <w:rsid w:val="00ED1F02"/>
    <w:rsid w:val="00ED213D"/>
    <w:rsid w:val="00ED2C69"/>
    <w:rsid w:val="00ED7B2F"/>
    <w:rsid w:val="00EE15B5"/>
    <w:rsid w:val="00EE2087"/>
    <w:rsid w:val="00EE20A1"/>
    <w:rsid w:val="00EE74AF"/>
    <w:rsid w:val="00EF0053"/>
    <w:rsid w:val="00EF1F0E"/>
    <w:rsid w:val="00EF29F6"/>
    <w:rsid w:val="00EF4FBF"/>
    <w:rsid w:val="00EF518E"/>
    <w:rsid w:val="00EF5DF0"/>
    <w:rsid w:val="00EF5F2A"/>
    <w:rsid w:val="00EF69AE"/>
    <w:rsid w:val="00EF6E2C"/>
    <w:rsid w:val="00EF7106"/>
    <w:rsid w:val="00F001A6"/>
    <w:rsid w:val="00F00253"/>
    <w:rsid w:val="00F0070A"/>
    <w:rsid w:val="00F01660"/>
    <w:rsid w:val="00F01C16"/>
    <w:rsid w:val="00F0782D"/>
    <w:rsid w:val="00F10B74"/>
    <w:rsid w:val="00F11EB3"/>
    <w:rsid w:val="00F13F39"/>
    <w:rsid w:val="00F14B9B"/>
    <w:rsid w:val="00F14CCC"/>
    <w:rsid w:val="00F15D54"/>
    <w:rsid w:val="00F166A6"/>
    <w:rsid w:val="00F17988"/>
    <w:rsid w:val="00F20C09"/>
    <w:rsid w:val="00F20EB9"/>
    <w:rsid w:val="00F217DF"/>
    <w:rsid w:val="00F21CAE"/>
    <w:rsid w:val="00F22AE0"/>
    <w:rsid w:val="00F2524A"/>
    <w:rsid w:val="00F2601A"/>
    <w:rsid w:val="00F26701"/>
    <w:rsid w:val="00F26B7D"/>
    <w:rsid w:val="00F30A04"/>
    <w:rsid w:val="00F310D7"/>
    <w:rsid w:val="00F368B9"/>
    <w:rsid w:val="00F3739F"/>
    <w:rsid w:val="00F374C1"/>
    <w:rsid w:val="00F37B34"/>
    <w:rsid w:val="00F41C34"/>
    <w:rsid w:val="00F4212F"/>
    <w:rsid w:val="00F422AA"/>
    <w:rsid w:val="00F447DB"/>
    <w:rsid w:val="00F447FA"/>
    <w:rsid w:val="00F4629A"/>
    <w:rsid w:val="00F463F1"/>
    <w:rsid w:val="00F469B9"/>
    <w:rsid w:val="00F46C32"/>
    <w:rsid w:val="00F46CAF"/>
    <w:rsid w:val="00F46ECB"/>
    <w:rsid w:val="00F50F94"/>
    <w:rsid w:val="00F525B5"/>
    <w:rsid w:val="00F53D53"/>
    <w:rsid w:val="00F543B9"/>
    <w:rsid w:val="00F56177"/>
    <w:rsid w:val="00F56187"/>
    <w:rsid w:val="00F575D3"/>
    <w:rsid w:val="00F5786C"/>
    <w:rsid w:val="00F6024E"/>
    <w:rsid w:val="00F62117"/>
    <w:rsid w:val="00F62365"/>
    <w:rsid w:val="00F630A7"/>
    <w:rsid w:val="00F66225"/>
    <w:rsid w:val="00F662BC"/>
    <w:rsid w:val="00F6708D"/>
    <w:rsid w:val="00F707F0"/>
    <w:rsid w:val="00F714FD"/>
    <w:rsid w:val="00F71AD5"/>
    <w:rsid w:val="00F723AE"/>
    <w:rsid w:val="00F729ED"/>
    <w:rsid w:val="00F733B8"/>
    <w:rsid w:val="00F74F50"/>
    <w:rsid w:val="00F75192"/>
    <w:rsid w:val="00F76AB7"/>
    <w:rsid w:val="00F77822"/>
    <w:rsid w:val="00F77D0A"/>
    <w:rsid w:val="00F8264B"/>
    <w:rsid w:val="00F838B6"/>
    <w:rsid w:val="00F83B0D"/>
    <w:rsid w:val="00F83C31"/>
    <w:rsid w:val="00F85F05"/>
    <w:rsid w:val="00F86AD1"/>
    <w:rsid w:val="00F86B60"/>
    <w:rsid w:val="00F9222A"/>
    <w:rsid w:val="00F922EA"/>
    <w:rsid w:val="00F923CE"/>
    <w:rsid w:val="00F92927"/>
    <w:rsid w:val="00F949E0"/>
    <w:rsid w:val="00F94D55"/>
    <w:rsid w:val="00F94F0F"/>
    <w:rsid w:val="00F979B3"/>
    <w:rsid w:val="00F97CCD"/>
    <w:rsid w:val="00FA1DBE"/>
    <w:rsid w:val="00FA320D"/>
    <w:rsid w:val="00FA362B"/>
    <w:rsid w:val="00FA53E9"/>
    <w:rsid w:val="00FA60EC"/>
    <w:rsid w:val="00FB04E9"/>
    <w:rsid w:val="00FB1179"/>
    <w:rsid w:val="00FB1C6B"/>
    <w:rsid w:val="00FB3361"/>
    <w:rsid w:val="00FB42B4"/>
    <w:rsid w:val="00FB4841"/>
    <w:rsid w:val="00FB6C94"/>
    <w:rsid w:val="00FB7F8B"/>
    <w:rsid w:val="00FC00CC"/>
    <w:rsid w:val="00FC22F5"/>
    <w:rsid w:val="00FC3753"/>
    <w:rsid w:val="00FC4F01"/>
    <w:rsid w:val="00FC50C2"/>
    <w:rsid w:val="00FC5170"/>
    <w:rsid w:val="00FC5743"/>
    <w:rsid w:val="00FC6240"/>
    <w:rsid w:val="00FD118C"/>
    <w:rsid w:val="00FD2A7C"/>
    <w:rsid w:val="00FD332F"/>
    <w:rsid w:val="00FD3999"/>
    <w:rsid w:val="00FD7395"/>
    <w:rsid w:val="00FE0C9E"/>
    <w:rsid w:val="00FE1CC1"/>
    <w:rsid w:val="00FE3213"/>
    <w:rsid w:val="00FE385E"/>
    <w:rsid w:val="00FE3CE2"/>
    <w:rsid w:val="00FE54AD"/>
    <w:rsid w:val="00FE5633"/>
    <w:rsid w:val="00FE6F7A"/>
    <w:rsid w:val="00FE7B14"/>
    <w:rsid w:val="00FF02D5"/>
    <w:rsid w:val="00FF0846"/>
    <w:rsid w:val="00FF248B"/>
    <w:rsid w:val="00FF2FA3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904228D"/>
  <w15:docId w15:val="{77CF59B9-70A9-4D2F-832B-290C52D5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customStyle="1" w:styleId="Meno1">
    <w:name w:val="Menção1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2-nfase11">
    <w:name w:val="Tabela de Grade 2 - Ênfase 1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mples11">
    <w:name w:val="Tabela Simples 11"/>
    <w:basedOn w:val="Tabelanormal"/>
    <w:uiPriority w:val="41"/>
    <w:rsid w:val="00801D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801DA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801D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801D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801D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o-normal-alinhado">
    <w:name w:val="texto-normal-alinhado"/>
    <w:basedOn w:val="Normal"/>
    <w:rsid w:val="00E85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SombreamentoClaro-nfase2">
    <w:name w:val="Light Shading Accent 2"/>
    <w:basedOn w:val="Tabelanormal"/>
    <w:uiPriority w:val="60"/>
    <w:rsid w:val="007A3F8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e2">
    <w:name w:val="Light List Accent 2"/>
    <w:basedOn w:val="Tabelanormal"/>
    <w:uiPriority w:val="61"/>
    <w:rsid w:val="00A8541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EC60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osai.org/" TargetMode="External"/><Relationship Id="rId13" Type="http://schemas.openxmlformats.org/officeDocument/2006/relationships/hyperlink" Target="http://www.pasai.org/" TargetMode="External"/><Relationship Id="rId18" Type="http://schemas.openxmlformats.org/officeDocument/2006/relationships/hyperlink" Target="C://Users/tc519626/AppData/Local/Microsoft/Windows/INetCache/IE/FLFLM546/INFORME%20INVESTIGACI&#211;N%20ESPECIAL%20554-16%20DIRECCI&#211;N%20DE%20BIBLIOTECAS,%20ARCHIVOS%20Y%20MUSEOS%20SOBRE%20IRREGULARIDADES%20EN%20LA%20ADQUISICI&#211;N%20V&#205;A%20TRATO%20DIRECTO-%20SEPTIEMBRE%202016.PDF" TargetMode="External"/><Relationship Id="rId26" Type="http://schemas.openxmlformats.org/officeDocument/2006/relationships/hyperlink" Target="http://www1.tce.pr.gov.br/conteudo/teses-ambientais/316603/area/24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traloria.gob.cu/documentos/NormativasDocRerctores/26%20Informe%20revision%20entre%20pare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sosai.org/asosai/" TargetMode="External"/><Relationship Id="rId17" Type="http://schemas.openxmlformats.org/officeDocument/2006/relationships/hyperlink" Target="https://www.contraloria.cl/pdfbuscador/auditoria/4c51e86184b87489805acfec8f6e8b2d/html" TargetMode="External"/><Relationship Id="rId25" Type="http://schemas.openxmlformats.org/officeDocument/2006/relationships/hyperlink" Target="http://www1.tce.pr.gov.br/conteudo/pesquisas-prontas/308475/area/24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contraloria.gob.cu/index.php/es/normativas-y-documentos-rectores/sobre-el-desempeno-de-la-efs" TargetMode="External"/><Relationship Id="rId29" Type="http://schemas.openxmlformats.org/officeDocument/2006/relationships/hyperlink" Target="http://www1.tce.pr.gov.br/conteudo/sumulas-selecionadas/316602/area/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abosai.org/Ar/" TargetMode="External"/><Relationship Id="rId24" Type="http://schemas.openxmlformats.org/officeDocument/2006/relationships/hyperlink" Target="http://audit.gov.ru/activities/bulleten/938/36043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urosai.org/en/about-us/about-eurosai/" TargetMode="External"/><Relationship Id="rId23" Type="http://schemas.openxmlformats.org/officeDocument/2006/relationships/hyperlink" Target="http://www.ach.gov.ru/press_center/news/36049" TargetMode="External"/><Relationship Id="rId28" Type="http://schemas.openxmlformats.org/officeDocument/2006/relationships/hyperlink" Target="http://www1.tce.pr.gov.br/conteudo/boletim-informativo-de-jurisprudencia/280400/area/249" TargetMode="External"/><Relationship Id="rId10" Type="http://schemas.openxmlformats.org/officeDocument/2006/relationships/hyperlink" Target="http://www.afrosai.org/" TargetMode="External"/><Relationship Id="rId19" Type="http://schemas.openxmlformats.org/officeDocument/2006/relationships/image" Target="media/image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lacefs.com/" TargetMode="External"/><Relationship Id="rId14" Type="http://schemas.openxmlformats.org/officeDocument/2006/relationships/hyperlink" Target="http://carosai.org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www1.tce.pr.gov.br/conteudo/repercussao-geral-no-stf-e-os-tribunais-de-contas/307026/area/249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DCD5-0078-4FA0-A5F2-CC38C463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1892</Words>
  <Characters>10217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Lucimare de Almeida</cp:lastModifiedBy>
  <cp:revision>3</cp:revision>
  <cp:lastPrinted>2017-07-10T20:46:00Z</cp:lastPrinted>
  <dcterms:created xsi:type="dcterms:W3CDTF">2019-03-25T18:43:00Z</dcterms:created>
  <dcterms:modified xsi:type="dcterms:W3CDTF">2019-03-25T19:43:00Z</dcterms:modified>
</cp:coreProperties>
</file>