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4D01" w14:textId="77777777" w:rsidR="00A85417" w:rsidRPr="002E3E2A" w:rsidRDefault="00A85417" w:rsidP="002E3E2A">
      <w:pPr>
        <w:pStyle w:val="Cabealho"/>
        <w:spacing w:line="276" w:lineRule="auto"/>
        <w:jc w:val="center"/>
        <w:rPr>
          <w:rFonts w:ascii="Arial" w:hAnsi="Arial" w:cs="Arial"/>
          <w:b/>
          <w:sz w:val="20"/>
          <w:szCs w:val="20"/>
        </w:rPr>
      </w:pPr>
    </w:p>
    <w:p w14:paraId="74470A82" w14:textId="77777777" w:rsidR="0038012F" w:rsidRPr="002E3E2A" w:rsidRDefault="00AA5DFA" w:rsidP="002E3E2A">
      <w:pPr>
        <w:pStyle w:val="Cabealho"/>
        <w:spacing w:line="276" w:lineRule="auto"/>
        <w:jc w:val="center"/>
        <w:rPr>
          <w:rFonts w:ascii="Arial" w:hAnsi="Arial" w:cs="Arial"/>
          <w:color w:val="800000"/>
          <w:sz w:val="20"/>
          <w:szCs w:val="20"/>
        </w:rPr>
      </w:pPr>
      <w:r w:rsidRPr="002E3E2A">
        <w:rPr>
          <w:rFonts w:ascii="Arial" w:hAnsi="Arial" w:cs="Arial"/>
          <w:b/>
          <w:color w:val="800000"/>
          <w:sz w:val="20"/>
          <w:szCs w:val="20"/>
        </w:rPr>
        <w:t xml:space="preserve">BOLETIM DE JURISPRUDÊNCIA INTERNACIONAL </w:t>
      </w:r>
    </w:p>
    <w:p w14:paraId="646B13B0" w14:textId="77777777" w:rsidR="00814325" w:rsidRPr="002E3E2A" w:rsidRDefault="00814325" w:rsidP="002E3E2A">
      <w:pPr>
        <w:spacing w:after="0"/>
        <w:jc w:val="center"/>
        <w:rPr>
          <w:rFonts w:ascii="Arial" w:hAnsi="Arial" w:cs="Arial"/>
          <w:b/>
          <w:sz w:val="20"/>
          <w:szCs w:val="20"/>
        </w:rPr>
      </w:pPr>
    </w:p>
    <w:p w14:paraId="7ADF2784" w14:textId="52DEDE4C" w:rsidR="00AA5DFA" w:rsidRPr="002E3E2A" w:rsidRDefault="001B5F7A" w:rsidP="002E3E2A">
      <w:pPr>
        <w:spacing w:after="0"/>
        <w:jc w:val="center"/>
        <w:rPr>
          <w:rFonts w:ascii="Arial" w:hAnsi="Arial" w:cs="Arial"/>
          <w:b/>
          <w:color w:val="404040" w:themeColor="text1" w:themeTint="BF"/>
          <w:sz w:val="20"/>
          <w:szCs w:val="20"/>
        </w:rPr>
      </w:pPr>
      <w:r w:rsidRPr="002E3E2A">
        <w:rPr>
          <w:rFonts w:ascii="Arial" w:hAnsi="Arial" w:cs="Arial"/>
          <w:b/>
          <w:color w:val="404040" w:themeColor="text1" w:themeTint="BF"/>
          <w:sz w:val="20"/>
          <w:szCs w:val="20"/>
        </w:rPr>
        <w:t xml:space="preserve">Número </w:t>
      </w:r>
      <w:r w:rsidR="006D229B">
        <w:rPr>
          <w:rFonts w:ascii="Arial" w:hAnsi="Arial" w:cs="Arial"/>
          <w:b/>
          <w:color w:val="404040" w:themeColor="text1" w:themeTint="BF"/>
          <w:sz w:val="20"/>
          <w:szCs w:val="20"/>
        </w:rPr>
        <w:t>10</w:t>
      </w:r>
    </w:p>
    <w:p w14:paraId="5DFBF853" w14:textId="77777777" w:rsidR="00DE79B1" w:rsidRPr="002E3E2A" w:rsidRDefault="00DE79B1" w:rsidP="002E3E2A">
      <w:pPr>
        <w:spacing w:after="0"/>
        <w:jc w:val="both"/>
        <w:rPr>
          <w:rFonts w:ascii="Arial" w:hAnsi="Arial" w:cs="Arial"/>
          <w:sz w:val="20"/>
          <w:szCs w:val="20"/>
        </w:rPr>
      </w:pPr>
    </w:p>
    <w:p w14:paraId="26726E48" w14:textId="7765D2B9" w:rsidR="00D01404" w:rsidRPr="002E3E2A" w:rsidRDefault="00FE7B14" w:rsidP="002E3E2A">
      <w:pPr>
        <w:spacing w:after="0"/>
        <w:jc w:val="both"/>
        <w:rPr>
          <w:rFonts w:ascii="Arial" w:hAnsi="Arial" w:cs="Arial"/>
          <w:sz w:val="20"/>
          <w:szCs w:val="20"/>
        </w:rPr>
      </w:pPr>
      <w:r w:rsidRPr="002E3E2A">
        <w:rPr>
          <w:rFonts w:ascii="Arial" w:hAnsi="Arial" w:cs="Arial"/>
          <w:sz w:val="20"/>
          <w:szCs w:val="20"/>
        </w:rPr>
        <w:t xml:space="preserve">Este Boletim contém </w:t>
      </w:r>
      <w:r w:rsidR="00D01404" w:rsidRPr="002E3E2A">
        <w:rPr>
          <w:rFonts w:ascii="Arial" w:hAnsi="Arial" w:cs="Arial"/>
          <w:sz w:val="20"/>
          <w:szCs w:val="20"/>
        </w:rPr>
        <w:t>informações sintéticas de decisões proferidas pelas Entidades Fiscalizadoras regionais e respectivos Estados-membros filiados à</w:t>
      </w:r>
      <w:r w:rsidR="00D01404" w:rsidRPr="002E3E2A">
        <w:rPr>
          <w:rFonts w:ascii="Arial" w:hAnsi="Arial" w:cs="Arial"/>
          <w:b/>
          <w:sz w:val="20"/>
          <w:szCs w:val="20"/>
        </w:rPr>
        <w:t xml:space="preserve"> </w:t>
      </w:r>
      <w:hyperlink r:id="rId8" w:history="1">
        <w:r w:rsidR="00D01404" w:rsidRPr="002E3E2A">
          <w:rPr>
            <w:rStyle w:val="Hyperlink"/>
            <w:rFonts w:ascii="Arial" w:hAnsi="Arial" w:cs="Arial"/>
            <w:b/>
            <w:sz w:val="20"/>
            <w:szCs w:val="20"/>
          </w:rPr>
          <w:t>INTOSAI</w:t>
        </w:r>
      </w:hyperlink>
      <w:r w:rsidR="00D01404" w:rsidRPr="002E3E2A">
        <w:rPr>
          <w:rFonts w:ascii="Arial" w:hAnsi="Arial" w:cs="Arial"/>
          <w:sz w:val="20"/>
          <w:szCs w:val="20"/>
        </w:rPr>
        <w:t xml:space="preserve"> </w:t>
      </w:r>
      <w:r w:rsidR="00D01404" w:rsidRPr="002E3E2A">
        <w:rPr>
          <w:rFonts w:ascii="Arial" w:hAnsi="Arial" w:cs="Arial"/>
          <w:i/>
          <w:sz w:val="20"/>
          <w:szCs w:val="20"/>
        </w:rPr>
        <w:t>(</w:t>
      </w:r>
      <w:r w:rsidR="00926E84" w:rsidRPr="002E3E2A">
        <w:rPr>
          <w:rFonts w:ascii="Arial" w:hAnsi="Arial" w:cs="Arial"/>
          <w:i/>
          <w:sz w:val="20"/>
          <w:szCs w:val="20"/>
          <w:shd w:val="clear" w:color="auto" w:fill="FFFFFF"/>
        </w:rPr>
        <w:t xml:space="preserve">The </w:t>
      </w:r>
      <w:proofErr w:type="spellStart"/>
      <w:r w:rsidR="00926E84" w:rsidRPr="002E3E2A">
        <w:rPr>
          <w:rFonts w:ascii="Arial" w:hAnsi="Arial" w:cs="Arial"/>
          <w:i/>
          <w:sz w:val="20"/>
          <w:szCs w:val="20"/>
          <w:shd w:val="clear" w:color="auto" w:fill="FFFFFF"/>
        </w:rPr>
        <w:t>International</w:t>
      </w:r>
      <w:proofErr w:type="spellEnd"/>
      <w:r w:rsidR="00926E84" w:rsidRPr="002E3E2A">
        <w:rPr>
          <w:rFonts w:ascii="Arial" w:hAnsi="Arial" w:cs="Arial"/>
          <w:i/>
          <w:sz w:val="20"/>
          <w:szCs w:val="20"/>
          <w:shd w:val="clear" w:color="auto" w:fill="FFFFFF"/>
        </w:rPr>
        <w:t xml:space="preserve"> </w:t>
      </w:r>
      <w:proofErr w:type="spellStart"/>
      <w:r w:rsidR="00926E84" w:rsidRPr="002E3E2A">
        <w:rPr>
          <w:rFonts w:ascii="Arial" w:hAnsi="Arial" w:cs="Arial"/>
          <w:i/>
          <w:sz w:val="20"/>
          <w:szCs w:val="20"/>
          <w:shd w:val="clear" w:color="auto" w:fill="FFFFFF"/>
        </w:rPr>
        <w:t>Organiz</w:t>
      </w:r>
      <w:r w:rsidR="00D01404" w:rsidRPr="002E3E2A">
        <w:rPr>
          <w:rFonts w:ascii="Arial" w:hAnsi="Arial" w:cs="Arial"/>
          <w:i/>
          <w:sz w:val="20"/>
          <w:szCs w:val="20"/>
          <w:shd w:val="clear" w:color="auto" w:fill="FFFFFF"/>
        </w:rPr>
        <w:t>ation</w:t>
      </w:r>
      <w:proofErr w:type="spellEnd"/>
      <w:r w:rsidR="00D01404" w:rsidRPr="002E3E2A">
        <w:rPr>
          <w:rFonts w:ascii="Arial" w:hAnsi="Arial" w:cs="Arial"/>
          <w:i/>
          <w:sz w:val="20"/>
          <w:szCs w:val="20"/>
          <w:shd w:val="clear" w:color="auto" w:fill="FFFFFF"/>
        </w:rPr>
        <w:t xml:space="preserve"> </w:t>
      </w:r>
      <w:proofErr w:type="spellStart"/>
      <w:r w:rsidR="00D01404" w:rsidRPr="002E3E2A">
        <w:rPr>
          <w:rFonts w:ascii="Arial" w:hAnsi="Arial" w:cs="Arial"/>
          <w:i/>
          <w:sz w:val="20"/>
          <w:szCs w:val="20"/>
          <w:shd w:val="clear" w:color="auto" w:fill="FFFFFF"/>
        </w:rPr>
        <w:t>of</w:t>
      </w:r>
      <w:proofErr w:type="spellEnd"/>
      <w:r w:rsidR="00D01404" w:rsidRPr="002E3E2A">
        <w:rPr>
          <w:rFonts w:ascii="Arial" w:hAnsi="Arial" w:cs="Arial"/>
          <w:i/>
          <w:sz w:val="20"/>
          <w:szCs w:val="20"/>
          <w:shd w:val="clear" w:color="auto" w:fill="FFFFFF"/>
        </w:rPr>
        <w:t xml:space="preserve"> </w:t>
      </w:r>
      <w:proofErr w:type="spellStart"/>
      <w:r w:rsidR="00D01404" w:rsidRPr="002E3E2A">
        <w:rPr>
          <w:rFonts w:ascii="Arial" w:hAnsi="Arial" w:cs="Arial"/>
          <w:i/>
          <w:sz w:val="20"/>
          <w:szCs w:val="20"/>
          <w:shd w:val="clear" w:color="auto" w:fill="FFFFFF"/>
        </w:rPr>
        <w:t>Supreme</w:t>
      </w:r>
      <w:proofErr w:type="spellEnd"/>
      <w:r w:rsidR="00D01404" w:rsidRPr="002E3E2A">
        <w:rPr>
          <w:rFonts w:ascii="Arial" w:hAnsi="Arial" w:cs="Arial"/>
          <w:i/>
          <w:sz w:val="20"/>
          <w:szCs w:val="20"/>
          <w:shd w:val="clear" w:color="auto" w:fill="FFFFFF"/>
        </w:rPr>
        <w:t xml:space="preserve"> </w:t>
      </w:r>
      <w:proofErr w:type="spellStart"/>
      <w:r w:rsidR="00D01404" w:rsidRPr="002E3E2A">
        <w:rPr>
          <w:rFonts w:ascii="Arial" w:hAnsi="Arial" w:cs="Arial"/>
          <w:i/>
          <w:sz w:val="20"/>
          <w:szCs w:val="20"/>
          <w:shd w:val="clear" w:color="auto" w:fill="FFFFFF"/>
        </w:rPr>
        <w:t>Audit</w:t>
      </w:r>
      <w:proofErr w:type="spellEnd"/>
      <w:r w:rsidR="00D01404" w:rsidRPr="002E3E2A">
        <w:rPr>
          <w:rFonts w:ascii="Arial" w:hAnsi="Arial" w:cs="Arial"/>
          <w:i/>
          <w:sz w:val="20"/>
          <w:szCs w:val="20"/>
          <w:shd w:val="clear" w:color="auto" w:fill="FFFFFF"/>
        </w:rPr>
        <w:t xml:space="preserve"> </w:t>
      </w:r>
      <w:proofErr w:type="spellStart"/>
      <w:r w:rsidR="00D01404" w:rsidRPr="002E3E2A">
        <w:rPr>
          <w:rFonts w:ascii="Arial" w:hAnsi="Arial" w:cs="Arial"/>
          <w:i/>
          <w:sz w:val="20"/>
          <w:szCs w:val="20"/>
          <w:shd w:val="clear" w:color="auto" w:fill="FFFFFF"/>
        </w:rPr>
        <w:t>Institutions</w:t>
      </w:r>
      <w:proofErr w:type="spellEnd"/>
      <w:r w:rsidR="00D01404" w:rsidRPr="002E3E2A">
        <w:rPr>
          <w:rFonts w:ascii="Arial" w:hAnsi="Arial" w:cs="Arial"/>
          <w:i/>
          <w:sz w:val="20"/>
          <w:szCs w:val="20"/>
        </w:rPr>
        <w:t>)</w:t>
      </w:r>
      <w:r w:rsidR="00D01404" w:rsidRPr="002E3E2A">
        <w:rPr>
          <w:rFonts w:ascii="Arial" w:hAnsi="Arial" w:cs="Arial"/>
          <w:sz w:val="20"/>
          <w:szCs w:val="20"/>
        </w:rPr>
        <w:t xml:space="preserve"> </w:t>
      </w:r>
      <w:r w:rsidR="008E31EE">
        <w:rPr>
          <w:rFonts w:ascii="Arial" w:hAnsi="Arial" w:cs="Arial"/>
          <w:sz w:val="20"/>
          <w:szCs w:val="20"/>
        </w:rPr>
        <w:t>acerca de</w:t>
      </w:r>
      <w:r w:rsidR="00D01404" w:rsidRPr="002E3E2A">
        <w:rPr>
          <w:rFonts w:ascii="Arial" w:hAnsi="Arial" w:cs="Arial"/>
          <w:sz w:val="20"/>
          <w:szCs w:val="20"/>
        </w:rPr>
        <w:t xml:space="preserve"> temas relacionados ao controle externo evidenciando sobretudo boas práticas de gestão administrativa.</w:t>
      </w:r>
    </w:p>
    <w:p w14:paraId="0EFD89BD" w14:textId="77777777" w:rsidR="00D01404" w:rsidRPr="002E3E2A" w:rsidRDefault="00D01404" w:rsidP="002E3E2A">
      <w:pPr>
        <w:spacing w:after="0"/>
        <w:jc w:val="both"/>
        <w:rPr>
          <w:rFonts w:ascii="Arial" w:hAnsi="Arial" w:cs="Arial"/>
          <w:sz w:val="20"/>
          <w:szCs w:val="20"/>
        </w:rPr>
      </w:pPr>
    </w:p>
    <w:p w14:paraId="2F99D960" w14:textId="2ACD80A8" w:rsidR="00E95A8E" w:rsidRDefault="007D6A5B" w:rsidP="002E3E2A">
      <w:pPr>
        <w:spacing w:after="0"/>
        <w:jc w:val="both"/>
        <w:rPr>
          <w:rFonts w:ascii="Arial" w:hAnsi="Arial" w:cs="Arial"/>
          <w:sz w:val="20"/>
          <w:szCs w:val="20"/>
        </w:rPr>
      </w:pPr>
      <w:r w:rsidRPr="002E3E2A">
        <w:rPr>
          <w:rFonts w:ascii="Arial" w:hAnsi="Arial" w:cs="Arial"/>
          <w:sz w:val="20"/>
          <w:szCs w:val="20"/>
        </w:rPr>
        <w:t>A seleção das decisões leva em consideração os aspectos</w:t>
      </w:r>
      <w:r w:rsidR="007E786E" w:rsidRPr="002E3E2A">
        <w:rPr>
          <w:rFonts w:ascii="Arial" w:hAnsi="Arial" w:cs="Arial"/>
          <w:sz w:val="20"/>
          <w:szCs w:val="20"/>
        </w:rPr>
        <w:t xml:space="preserve"> de auditoria financeira, de conformidade e de resultado, por eixo temático: meio ambiente</w:t>
      </w:r>
      <w:r w:rsidR="008C26E1" w:rsidRPr="002E3E2A">
        <w:rPr>
          <w:rFonts w:ascii="Arial" w:hAnsi="Arial" w:cs="Arial"/>
          <w:sz w:val="20"/>
          <w:szCs w:val="20"/>
        </w:rPr>
        <w:t>,</w:t>
      </w:r>
      <w:r w:rsidR="007E786E" w:rsidRPr="002E3E2A">
        <w:rPr>
          <w:rFonts w:ascii="Arial" w:hAnsi="Arial" w:cs="Arial"/>
          <w:sz w:val="20"/>
          <w:szCs w:val="20"/>
        </w:rPr>
        <w:t xml:space="preserve"> saúde</w:t>
      </w:r>
      <w:r w:rsidR="008C26E1" w:rsidRPr="002E3E2A">
        <w:rPr>
          <w:rFonts w:ascii="Arial" w:hAnsi="Arial" w:cs="Arial"/>
          <w:sz w:val="20"/>
          <w:szCs w:val="20"/>
        </w:rPr>
        <w:t>,</w:t>
      </w:r>
      <w:r w:rsidR="007E786E" w:rsidRPr="002E3E2A">
        <w:rPr>
          <w:rFonts w:ascii="Arial" w:hAnsi="Arial" w:cs="Arial"/>
          <w:sz w:val="20"/>
          <w:szCs w:val="20"/>
        </w:rPr>
        <w:t xml:space="preserve"> gestão pública</w:t>
      </w:r>
      <w:r w:rsidR="008C26E1" w:rsidRPr="002E3E2A">
        <w:rPr>
          <w:rFonts w:ascii="Arial" w:hAnsi="Arial" w:cs="Arial"/>
          <w:sz w:val="20"/>
          <w:szCs w:val="20"/>
        </w:rPr>
        <w:t>,</w:t>
      </w:r>
      <w:r w:rsidR="00926E84" w:rsidRPr="002E3E2A">
        <w:rPr>
          <w:rFonts w:ascii="Arial" w:hAnsi="Arial" w:cs="Arial"/>
          <w:sz w:val="20"/>
          <w:szCs w:val="20"/>
        </w:rPr>
        <w:t xml:space="preserve"> finanças</w:t>
      </w:r>
      <w:r w:rsidR="008C26E1" w:rsidRPr="002E3E2A">
        <w:rPr>
          <w:rFonts w:ascii="Arial" w:hAnsi="Arial" w:cs="Arial"/>
          <w:sz w:val="20"/>
          <w:szCs w:val="20"/>
        </w:rPr>
        <w:t>,</w:t>
      </w:r>
      <w:r w:rsidR="00926E84" w:rsidRPr="002E3E2A">
        <w:rPr>
          <w:rFonts w:ascii="Arial" w:hAnsi="Arial" w:cs="Arial"/>
          <w:sz w:val="20"/>
          <w:szCs w:val="20"/>
        </w:rPr>
        <w:t xml:space="preserve"> educação</w:t>
      </w:r>
      <w:r w:rsidR="008C26E1" w:rsidRPr="002E3E2A">
        <w:rPr>
          <w:rFonts w:ascii="Arial" w:hAnsi="Arial" w:cs="Arial"/>
          <w:sz w:val="20"/>
          <w:szCs w:val="20"/>
        </w:rPr>
        <w:t>,</w:t>
      </w:r>
      <w:r w:rsidR="00926E84" w:rsidRPr="002E3E2A">
        <w:rPr>
          <w:rFonts w:ascii="Arial" w:hAnsi="Arial" w:cs="Arial"/>
          <w:sz w:val="20"/>
          <w:szCs w:val="20"/>
        </w:rPr>
        <w:t xml:space="preserve"> segurança</w:t>
      </w:r>
      <w:r w:rsidR="008C26E1" w:rsidRPr="002E3E2A">
        <w:rPr>
          <w:rFonts w:ascii="Arial" w:hAnsi="Arial" w:cs="Arial"/>
          <w:sz w:val="20"/>
          <w:szCs w:val="20"/>
        </w:rPr>
        <w:t>,</w:t>
      </w:r>
      <w:r w:rsidR="007E786E" w:rsidRPr="002E3E2A">
        <w:rPr>
          <w:rFonts w:ascii="Arial" w:hAnsi="Arial" w:cs="Arial"/>
          <w:sz w:val="20"/>
          <w:szCs w:val="20"/>
        </w:rPr>
        <w:t xml:space="preserve"> infraestrutura</w:t>
      </w:r>
      <w:r w:rsidR="008C26E1" w:rsidRPr="002E3E2A">
        <w:rPr>
          <w:rFonts w:ascii="Arial" w:hAnsi="Arial" w:cs="Arial"/>
          <w:sz w:val="20"/>
          <w:szCs w:val="20"/>
        </w:rPr>
        <w:t>,</w:t>
      </w:r>
      <w:r w:rsidR="007E786E" w:rsidRPr="002E3E2A">
        <w:rPr>
          <w:rFonts w:ascii="Arial" w:hAnsi="Arial" w:cs="Arial"/>
          <w:sz w:val="20"/>
          <w:szCs w:val="20"/>
        </w:rPr>
        <w:t xml:space="preserve"> transporte entre outros temas. O conteúdo será proveniente </w:t>
      </w:r>
      <w:r w:rsidR="00F923CE" w:rsidRPr="002E3E2A">
        <w:rPr>
          <w:rFonts w:ascii="Arial" w:hAnsi="Arial" w:cs="Arial"/>
          <w:sz w:val="20"/>
          <w:szCs w:val="20"/>
        </w:rPr>
        <w:t xml:space="preserve">de julgados e relatórios </w:t>
      </w:r>
      <w:r w:rsidR="007E786E" w:rsidRPr="002E3E2A">
        <w:rPr>
          <w:rFonts w:ascii="Arial" w:hAnsi="Arial" w:cs="Arial"/>
          <w:sz w:val="20"/>
          <w:szCs w:val="20"/>
        </w:rPr>
        <w:t>das entidades regionais de fiscalização e respectivos membros, a saber:</w:t>
      </w:r>
      <w:r w:rsidR="00AE798E" w:rsidRPr="002E3E2A">
        <w:rPr>
          <w:rFonts w:ascii="Arial" w:hAnsi="Arial" w:cs="Arial"/>
          <w:sz w:val="20"/>
          <w:szCs w:val="20"/>
        </w:rPr>
        <w:t xml:space="preserve"> </w:t>
      </w:r>
    </w:p>
    <w:p w14:paraId="28CD67C7" w14:textId="77777777" w:rsidR="008E31EE" w:rsidRPr="002E3E2A" w:rsidRDefault="008E31EE" w:rsidP="002E3E2A">
      <w:pPr>
        <w:spacing w:after="0"/>
        <w:jc w:val="both"/>
        <w:rPr>
          <w:rFonts w:ascii="Arial" w:hAnsi="Arial" w:cs="Arial"/>
          <w:sz w:val="20"/>
          <w:szCs w:val="20"/>
        </w:rPr>
      </w:pPr>
    </w:p>
    <w:tbl>
      <w:tblPr>
        <w:tblStyle w:val="SombreamentoClaro-nfase2"/>
        <w:tblW w:w="0" w:type="auto"/>
        <w:tblLook w:val="04A0" w:firstRow="1" w:lastRow="0" w:firstColumn="1" w:lastColumn="0" w:noHBand="0" w:noVBand="1"/>
      </w:tblPr>
      <w:tblGrid>
        <w:gridCol w:w="8494"/>
      </w:tblGrid>
      <w:tr w:rsidR="00A21641" w:rsidRPr="008E31EE" w14:paraId="06DE1363" w14:textId="77777777" w:rsidTr="007A3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C34F6D1" w14:textId="77777777" w:rsidR="00A21641" w:rsidRPr="002E3E2A" w:rsidRDefault="00FF0616" w:rsidP="002E3E2A">
            <w:pPr>
              <w:spacing w:line="276" w:lineRule="auto"/>
              <w:jc w:val="center"/>
              <w:rPr>
                <w:rFonts w:ascii="Arial" w:hAnsi="Arial" w:cs="Arial"/>
                <w:sz w:val="20"/>
                <w:szCs w:val="20"/>
                <w:lang w:val="es-ES_tradnl"/>
              </w:rPr>
            </w:pPr>
            <w:hyperlink r:id="rId9" w:history="1">
              <w:r w:rsidR="00A21641" w:rsidRPr="002E3E2A">
                <w:rPr>
                  <w:rStyle w:val="Hyperlink"/>
                  <w:rFonts w:ascii="Arial" w:hAnsi="Arial" w:cs="Arial"/>
                  <w:bCs w:val="0"/>
                  <w:sz w:val="20"/>
                  <w:szCs w:val="20"/>
                  <w:lang w:val="es-ES_tradnl"/>
                </w:rPr>
                <w:t>OLACEFS</w:t>
              </w:r>
            </w:hyperlink>
          </w:p>
          <w:p w14:paraId="56ED7994" w14:textId="77777777" w:rsidR="00A21641" w:rsidRPr="002E3E2A" w:rsidRDefault="00A21641" w:rsidP="002E3E2A">
            <w:pPr>
              <w:spacing w:line="276" w:lineRule="auto"/>
              <w:jc w:val="center"/>
              <w:rPr>
                <w:rFonts w:ascii="Arial" w:hAnsi="Arial" w:cs="Arial"/>
                <w:b w:val="0"/>
                <w:i/>
                <w:sz w:val="20"/>
                <w:szCs w:val="20"/>
                <w:lang w:val="es-ES_tradnl"/>
              </w:rPr>
            </w:pPr>
            <w:r w:rsidRPr="002E3E2A">
              <w:rPr>
                <w:rFonts w:ascii="Arial" w:hAnsi="Arial" w:cs="Arial"/>
                <w:b w:val="0"/>
                <w:i/>
                <w:sz w:val="20"/>
                <w:szCs w:val="20"/>
                <w:lang w:val="es-ES_tradnl"/>
              </w:rPr>
              <w:t>(</w:t>
            </w:r>
            <w:proofErr w:type="spellStart"/>
            <w:r w:rsidRPr="002E3E2A">
              <w:rPr>
                <w:rFonts w:ascii="Arial" w:hAnsi="Arial" w:cs="Arial"/>
                <w:b w:val="0"/>
                <w:i/>
                <w:sz w:val="20"/>
                <w:szCs w:val="20"/>
                <w:lang w:val="es-ES_tradnl"/>
              </w:rPr>
              <w:t>Organization</w:t>
            </w:r>
            <w:proofErr w:type="spellEnd"/>
            <w:r w:rsidRPr="002E3E2A">
              <w:rPr>
                <w:rFonts w:ascii="Arial" w:hAnsi="Arial" w:cs="Arial"/>
                <w:b w:val="0"/>
                <w:i/>
                <w:sz w:val="20"/>
                <w:szCs w:val="20"/>
                <w:lang w:val="es-ES_tradnl"/>
              </w:rPr>
              <w:t xml:space="preserve"> of </w:t>
            </w:r>
            <w:proofErr w:type="spellStart"/>
            <w:r w:rsidRPr="002E3E2A">
              <w:rPr>
                <w:rFonts w:ascii="Arial" w:hAnsi="Arial" w:cs="Arial"/>
                <w:b w:val="0"/>
                <w:i/>
                <w:sz w:val="20"/>
                <w:szCs w:val="20"/>
                <w:lang w:val="es-ES_tradnl"/>
              </w:rPr>
              <w:t>Latin</w:t>
            </w:r>
            <w:proofErr w:type="spellEnd"/>
            <w:r w:rsidRPr="002E3E2A">
              <w:rPr>
                <w:rFonts w:ascii="Arial" w:hAnsi="Arial" w:cs="Arial"/>
                <w:b w:val="0"/>
                <w:i/>
                <w:sz w:val="20"/>
                <w:szCs w:val="20"/>
                <w:lang w:val="es-ES_tradnl"/>
              </w:rPr>
              <w:t xml:space="preserve"> American and </w:t>
            </w:r>
            <w:proofErr w:type="spellStart"/>
            <w:r w:rsidRPr="002E3E2A">
              <w:rPr>
                <w:rFonts w:ascii="Arial" w:hAnsi="Arial" w:cs="Arial"/>
                <w:b w:val="0"/>
                <w:i/>
                <w:sz w:val="20"/>
                <w:szCs w:val="20"/>
                <w:lang w:val="es-ES_tradnl"/>
              </w:rPr>
              <w:t>Caribbean</w:t>
            </w:r>
            <w:proofErr w:type="spellEnd"/>
            <w:r w:rsidRPr="002E3E2A">
              <w:rPr>
                <w:rFonts w:ascii="Arial" w:hAnsi="Arial" w:cs="Arial"/>
                <w:b w:val="0"/>
                <w:i/>
                <w:sz w:val="20"/>
                <w:szCs w:val="20"/>
                <w:lang w:val="es-ES_tradnl"/>
              </w:rPr>
              <w:t xml:space="preserve"> </w:t>
            </w:r>
            <w:proofErr w:type="spellStart"/>
            <w:r w:rsidRPr="002E3E2A">
              <w:rPr>
                <w:rFonts w:ascii="Arial" w:hAnsi="Arial" w:cs="Arial"/>
                <w:b w:val="0"/>
                <w:i/>
                <w:sz w:val="20"/>
                <w:szCs w:val="20"/>
                <w:lang w:val="es-ES_tradnl"/>
              </w:rPr>
              <w:t>Supreme</w:t>
            </w:r>
            <w:proofErr w:type="spellEnd"/>
            <w:r w:rsidRPr="002E3E2A">
              <w:rPr>
                <w:rFonts w:ascii="Arial" w:hAnsi="Arial" w:cs="Arial"/>
                <w:b w:val="0"/>
                <w:i/>
                <w:sz w:val="20"/>
                <w:szCs w:val="20"/>
                <w:lang w:val="es-ES_tradnl"/>
              </w:rPr>
              <w:t xml:space="preserve"> </w:t>
            </w:r>
            <w:proofErr w:type="spellStart"/>
            <w:r w:rsidRPr="002E3E2A">
              <w:rPr>
                <w:rFonts w:ascii="Arial" w:hAnsi="Arial" w:cs="Arial"/>
                <w:b w:val="0"/>
                <w:i/>
                <w:sz w:val="20"/>
                <w:szCs w:val="20"/>
                <w:lang w:val="es-ES_tradnl"/>
              </w:rPr>
              <w:t>Audit</w:t>
            </w:r>
            <w:proofErr w:type="spellEnd"/>
            <w:r w:rsidRPr="002E3E2A">
              <w:rPr>
                <w:rFonts w:ascii="Arial" w:hAnsi="Arial" w:cs="Arial"/>
                <w:b w:val="0"/>
                <w:i/>
                <w:sz w:val="20"/>
                <w:szCs w:val="20"/>
                <w:lang w:val="es-ES_tradnl"/>
              </w:rPr>
              <w:t xml:space="preserve"> </w:t>
            </w:r>
            <w:proofErr w:type="spellStart"/>
            <w:r w:rsidRPr="002E3E2A">
              <w:rPr>
                <w:rFonts w:ascii="Arial" w:hAnsi="Arial" w:cs="Arial"/>
                <w:b w:val="0"/>
                <w:i/>
                <w:sz w:val="20"/>
                <w:szCs w:val="20"/>
                <w:lang w:val="es-ES_tradnl"/>
              </w:rPr>
              <w:t>Institutions</w:t>
            </w:r>
            <w:proofErr w:type="spellEnd"/>
            <w:r w:rsidRPr="002E3E2A">
              <w:rPr>
                <w:rFonts w:ascii="Arial" w:hAnsi="Arial" w:cs="Arial"/>
                <w:b w:val="0"/>
                <w:i/>
                <w:sz w:val="20"/>
                <w:szCs w:val="20"/>
                <w:lang w:val="es-ES_tradnl"/>
              </w:rPr>
              <w:t>)</w:t>
            </w:r>
          </w:p>
          <w:p w14:paraId="6F5E11CF" w14:textId="77777777" w:rsidR="00A21641" w:rsidRPr="002E3E2A" w:rsidRDefault="00A21641" w:rsidP="002E3E2A">
            <w:pPr>
              <w:spacing w:line="276" w:lineRule="auto"/>
              <w:jc w:val="both"/>
              <w:rPr>
                <w:rFonts w:ascii="Arial" w:hAnsi="Arial" w:cs="Arial"/>
                <w:sz w:val="20"/>
                <w:szCs w:val="20"/>
                <w:lang w:val="es-ES_tradnl"/>
              </w:rPr>
            </w:pPr>
          </w:p>
        </w:tc>
      </w:tr>
      <w:tr w:rsidR="00A21641" w:rsidRPr="008E31EE" w14:paraId="1592EB3B"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09A60B5" w14:textId="77777777" w:rsidR="00A21641" w:rsidRPr="002E3E2A" w:rsidRDefault="0004014E" w:rsidP="002E3E2A">
            <w:pPr>
              <w:spacing w:line="276" w:lineRule="auto"/>
              <w:jc w:val="center"/>
              <w:rPr>
                <w:rFonts w:ascii="Arial" w:hAnsi="Arial" w:cs="Arial"/>
                <w:sz w:val="20"/>
                <w:szCs w:val="20"/>
                <w:lang w:val="en-US"/>
              </w:rPr>
            </w:pPr>
            <w:hyperlink r:id="rId10" w:history="1">
              <w:r w:rsidR="00A21641" w:rsidRPr="002E3E2A">
                <w:rPr>
                  <w:rStyle w:val="Hyperlink"/>
                  <w:rFonts w:ascii="Arial" w:hAnsi="Arial" w:cs="Arial"/>
                  <w:bCs w:val="0"/>
                  <w:sz w:val="20"/>
                  <w:szCs w:val="20"/>
                  <w:lang w:val="en-US"/>
                </w:rPr>
                <w:t>AFROSAI</w:t>
              </w:r>
            </w:hyperlink>
          </w:p>
          <w:p w14:paraId="0D7CCBE2"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(African Organization of Supreme Audit Institutions)</w:t>
            </w:r>
          </w:p>
          <w:p w14:paraId="07A66590" w14:textId="77777777" w:rsidR="00A21641" w:rsidRPr="002E3E2A" w:rsidRDefault="00A21641" w:rsidP="002E3E2A">
            <w:pPr>
              <w:spacing w:line="276" w:lineRule="auto"/>
              <w:jc w:val="both"/>
              <w:rPr>
                <w:rFonts w:ascii="Arial" w:hAnsi="Arial" w:cs="Arial"/>
                <w:sz w:val="20"/>
                <w:szCs w:val="20"/>
                <w:lang w:val="en-US"/>
              </w:rPr>
            </w:pPr>
          </w:p>
        </w:tc>
      </w:tr>
      <w:tr w:rsidR="00A21641" w:rsidRPr="008E31EE" w14:paraId="1DF26BD3"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4056E677" w14:textId="77777777" w:rsidR="00A21641" w:rsidRPr="002E3E2A" w:rsidRDefault="0004014E" w:rsidP="002E3E2A">
            <w:pPr>
              <w:spacing w:line="276" w:lineRule="auto"/>
              <w:jc w:val="center"/>
              <w:rPr>
                <w:rFonts w:ascii="Arial" w:hAnsi="Arial" w:cs="Arial"/>
                <w:sz w:val="20"/>
                <w:szCs w:val="20"/>
                <w:lang w:val="en-US"/>
              </w:rPr>
            </w:pPr>
            <w:hyperlink r:id="rId11" w:history="1">
              <w:r w:rsidR="00A21641" w:rsidRPr="002E3E2A">
                <w:rPr>
                  <w:rStyle w:val="Hyperlink"/>
                  <w:rFonts w:ascii="Arial" w:hAnsi="Arial" w:cs="Arial"/>
                  <w:bCs w:val="0"/>
                  <w:sz w:val="20"/>
                  <w:szCs w:val="20"/>
                  <w:lang w:val="en-US"/>
                </w:rPr>
                <w:t>ARABOSAI</w:t>
              </w:r>
            </w:hyperlink>
          </w:p>
          <w:p w14:paraId="60D42744"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(Arab Organization of Supreme Audit Institutions)</w:t>
            </w:r>
          </w:p>
          <w:p w14:paraId="45F332D8" w14:textId="77777777" w:rsidR="00A21641" w:rsidRPr="002E3E2A" w:rsidRDefault="00A21641" w:rsidP="002E3E2A">
            <w:pPr>
              <w:spacing w:line="276" w:lineRule="auto"/>
              <w:jc w:val="both"/>
              <w:rPr>
                <w:rFonts w:ascii="Arial" w:hAnsi="Arial" w:cs="Arial"/>
                <w:sz w:val="20"/>
                <w:szCs w:val="20"/>
                <w:lang w:val="en-US"/>
              </w:rPr>
            </w:pPr>
          </w:p>
        </w:tc>
      </w:tr>
      <w:tr w:rsidR="00A21641" w:rsidRPr="008E31EE" w14:paraId="3BEF320F"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81F51F2" w14:textId="77777777" w:rsidR="00A21641" w:rsidRPr="002E3E2A" w:rsidRDefault="0004014E" w:rsidP="002E3E2A">
            <w:pPr>
              <w:spacing w:line="276" w:lineRule="auto"/>
              <w:jc w:val="center"/>
              <w:rPr>
                <w:rFonts w:ascii="Arial" w:hAnsi="Arial" w:cs="Arial"/>
                <w:sz w:val="20"/>
                <w:szCs w:val="20"/>
                <w:lang w:val="en-US"/>
              </w:rPr>
            </w:pPr>
            <w:hyperlink r:id="rId12" w:history="1">
              <w:r w:rsidR="00A21641" w:rsidRPr="002E3E2A">
                <w:rPr>
                  <w:rStyle w:val="Hyperlink"/>
                  <w:rFonts w:ascii="Arial" w:hAnsi="Arial" w:cs="Arial"/>
                  <w:bCs w:val="0"/>
                  <w:sz w:val="20"/>
                  <w:szCs w:val="20"/>
                  <w:lang w:val="en-US"/>
                </w:rPr>
                <w:t>ASOSAI</w:t>
              </w:r>
            </w:hyperlink>
          </w:p>
          <w:p w14:paraId="64979803"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(Asian Organization of Supreme Audit Institutions)</w:t>
            </w:r>
          </w:p>
          <w:p w14:paraId="26AFA8E5" w14:textId="77777777" w:rsidR="00A21641" w:rsidRPr="002E3E2A" w:rsidRDefault="00A21641" w:rsidP="002E3E2A">
            <w:pPr>
              <w:spacing w:line="276" w:lineRule="auto"/>
              <w:jc w:val="center"/>
              <w:rPr>
                <w:rFonts w:ascii="Arial" w:hAnsi="Arial" w:cs="Arial"/>
                <w:sz w:val="20"/>
                <w:szCs w:val="20"/>
                <w:lang w:val="en-US"/>
              </w:rPr>
            </w:pPr>
          </w:p>
        </w:tc>
      </w:tr>
      <w:tr w:rsidR="00A21641" w:rsidRPr="008E31EE" w14:paraId="1AFA406F"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62602D42" w14:textId="77777777" w:rsidR="00A21641" w:rsidRPr="002E3E2A" w:rsidRDefault="0004014E" w:rsidP="002E3E2A">
            <w:pPr>
              <w:spacing w:line="276" w:lineRule="auto"/>
              <w:jc w:val="center"/>
              <w:rPr>
                <w:rFonts w:ascii="Arial" w:hAnsi="Arial" w:cs="Arial"/>
                <w:sz w:val="20"/>
                <w:szCs w:val="20"/>
                <w:lang w:val="en-US"/>
              </w:rPr>
            </w:pPr>
            <w:hyperlink r:id="rId13" w:history="1">
              <w:r w:rsidR="00A21641" w:rsidRPr="002E3E2A">
                <w:rPr>
                  <w:rStyle w:val="Hyperlink"/>
                  <w:rFonts w:ascii="Arial" w:hAnsi="Arial" w:cs="Arial"/>
                  <w:bCs w:val="0"/>
                  <w:sz w:val="20"/>
                  <w:szCs w:val="20"/>
                  <w:lang w:val="en-US"/>
                </w:rPr>
                <w:t>PASAI</w:t>
              </w:r>
            </w:hyperlink>
          </w:p>
          <w:p w14:paraId="1EB52594"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(Pacific Association of Supreme Audit Institutions)</w:t>
            </w:r>
          </w:p>
          <w:p w14:paraId="266F681F" w14:textId="77777777" w:rsidR="00A21641" w:rsidRPr="002E3E2A" w:rsidRDefault="00A21641" w:rsidP="002E3E2A">
            <w:pPr>
              <w:spacing w:line="276" w:lineRule="auto"/>
              <w:jc w:val="center"/>
              <w:rPr>
                <w:rFonts w:ascii="Arial" w:hAnsi="Arial" w:cs="Arial"/>
                <w:sz w:val="20"/>
                <w:szCs w:val="20"/>
                <w:lang w:val="en-US"/>
              </w:rPr>
            </w:pPr>
          </w:p>
        </w:tc>
      </w:tr>
      <w:tr w:rsidR="00A21641" w:rsidRPr="008E31EE" w14:paraId="6B98F115"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D86ADA1" w14:textId="77777777" w:rsidR="00A21641" w:rsidRPr="002E3E2A" w:rsidRDefault="0004014E" w:rsidP="002E3E2A">
            <w:pPr>
              <w:spacing w:line="276" w:lineRule="auto"/>
              <w:jc w:val="center"/>
              <w:rPr>
                <w:rFonts w:ascii="Arial" w:hAnsi="Arial" w:cs="Arial"/>
                <w:sz w:val="20"/>
                <w:szCs w:val="20"/>
                <w:lang w:val="en-US"/>
              </w:rPr>
            </w:pPr>
            <w:hyperlink r:id="rId14" w:history="1">
              <w:r w:rsidR="00A21641" w:rsidRPr="002E3E2A">
                <w:rPr>
                  <w:rStyle w:val="Hyperlink"/>
                  <w:rFonts w:ascii="Arial" w:hAnsi="Arial" w:cs="Arial"/>
                  <w:bCs w:val="0"/>
                  <w:sz w:val="20"/>
                  <w:szCs w:val="20"/>
                  <w:lang w:val="en-US"/>
                </w:rPr>
                <w:t>CAROSAI</w:t>
              </w:r>
            </w:hyperlink>
          </w:p>
          <w:p w14:paraId="02BFC206"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(Caribbean Organization of Supreme Audit Institutions)</w:t>
            </w:r>
          </w:p>
          <w:p w14:paraId="11830D11" w14:textId="77777777" w:rsidR="00A21641" w:rsidRPr="002E3E2A" w:rsidRDefault="00A21641" w:rsidP="002E3E2A">
            <w:pPr>
              <w:spacing w:line="276" w:lineRule="auto"/>
              <w:jc w:val="both"/>
              <w:rPr>
                <w:rFonts w:ascii="Arial" w:hAnsi="Arial" w:cs="Arial"/>
                <w:sz w:val="20"/>
                <w:szCs w:val="20"/>
                <w:lang w:val="en-US"/>
              </w:rPr>
            </w:pPr>
          </w:p>
        </w:tc>
      </w:tr>
      <w:tr w:rsidR="00A21641" w:rsidRPr="008E31EE" w14:paraId="6BB1B604"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6565B467" w14:textId="77777777" w:rsidR="00A21641" w:rsidRPr="002E3E2A" w:rsidRDefault="0004014E" w:rsidP="002E3E2A">
            <w:pPr>
              <w:spacing w:line="276" w:lineRule="auto"/>
              <w:jc w:val="center"/>
              <w:rPr>
                <w:rFonts w:ascii="Arial" w:hAnsi="Arial" w:cs="Arial"/>
                <w:sz w:val="20"/>
                <w:szCs w:val="20"/>
                <w:lang w:val="en-US"/>
              </w:rPr>
            </w:pPr>
            <w:hyperlink r:id="rId15" w:history="1">
              <w:r w:rsidR="00A21641" w:rsidRPr="002E3E2A">
                <w:rPr>
                  <w:rStyle w:val="Hyperlink"/>
                  <w:rFonts w:ascii="Arial" w:hAnsi="Arial" w:cs="Arial"/>
                  <w:bCs w:val="0"/>
                  <w:sz w:val="20"/>
                  <w:szCs w:val="20"/>
                  <w:lang w:val="en-US"/>
                </w:rPr>
                <w:t>EUROSAI</w:t>
              </w:r>
            </w:hyperlink>
          </w:p>
          <w:p w14:paraId="09C6C457" w14:textId="77777777" w:rsidR="00A21641" w:rsidRPr="002E3E2A" w:rsidRDefault="00A21641" w:rsidP="002E3E2A">
            <w:pPr>
              <w:spacing w:line="276" w:lineRule="auto"/>
              <w:jc w:val="center"/>
              <w:rPr>
                <w:rFonts w:ascii="Arial" w:hAnsi="Arial" w:cs="Arial"/>
                <w:b w:val="0"/>
                <w:i/>
                <w:sz w:val="20"/>
                <w:szCs w:val="20"/>
                <w:lang w:val="en-US"/>
              </w:rPr>
            </w:pPr>
            <w:r w:rsidRPr="002E3E2A">
              <w:rPr>
                <w:rFonts w:ascii="Arial" w:hAnsi="Arial" w:cs="Arial"/>
                <w:b w:val="0"/>
                <w:i/>
                <w:sz w:val="20"/>
                <w:szCs w:val="20"/>
                <w:lang w:val="en-US"/>
              </w:rPr>
              <w:t>(European Organization of Supreme Audit Institutions)</w:t>
            </w:r>
          </w:p>
          <w:p w14:paraId="2966E6D1" w14:textId="77777777" w:rsidR="00A21641" w:rsidRPr="002E3E2A" w:rsidRDefault="00A21641" w:rsidP="002E3E2A">
            <w:pPr>
              <w:spacing w:line="276" w:lineRule="auto"/>
              <w:jc w:val="both"/>
              <w:rPr>
                <w:rFonts w:ascii="Arial" w:hAnsi="Arial" w:cs="Arial"/>
                <w:color w:val="FF0000"/>
                <w:sz w:val="20"/>
                <w:szCs w:val="20"/>
                <w:lang w:val="en-US"/>
              </w:rPr>
            </w:pPr>
          </w:p>
        </w:tc>
      </w:tr>
    </w:tbl>
    <w:p w14:paraId="53016C56" w14:textId="77777777" w:rsidR="008E31EE" w:rsidRDefault="00725BBB" w:rsidP="002E3E2A">
      <w:pPr>
        <w:spacing w:after="0"/>
        <w:jc w:val="both"/>
        <w:rPr>
          <w:rFonts w:ascii="Arial" w:hAnsi="Arial" w:cs="Arial"/>
          <w:sz w:val="20"/>
          <w:szCs w:val="20"/>
          <w:lang w:val="en-US"/>
        </w:rPr>
      </w:pPr>
      <w:r w:rsidRPr="007143C3">
        <w:rPr>
          <w:rFonts w:ascii="Arial" w:hAnsi="Arial" w:cs="Arial"/>
          <w:sz w:val="20"/>
          <w:szCs w:val="20"/>
          <w:lang w:val="en-US"/>
        </w:rPr>
        <w:tab/>
      </w:r>
    </w:p>
    <w:p w14:paraId="1BA0AC58" w14:textId="6B13005A" w:rsidR="00AE798E" w:rsidRPr="002E3E2A" w:rsidRDefault="00AE798E" w:rsidP="002E3E2A">
      <w:pPr>
        <w:spacing w:after="0"/>
        <w:jc w:val="both"/>
        <w:rPr>
          <w:rFonts w:ascii="Arial" w:hAnsi="Arial" w:cs="Arial"/>
          <w:sz w:val="20"/>
          <w:szCs w:val="20"/>
        </w:rPr>
      </w:pPr>
      <w:r w:rsidRPr="002E3E2A">
        <w:rPr>
          <w:rFonts w:ascii="Arial" w:hAnsi="Arial" w:cs="Arial"/>
          <w:sz w:val="20"/>
          <w:szCs w:val="20"/>
        </w:rPr>
        <w:t>A tradução e adaptação dos trechos considerados mais relevantes para fins de divulgação dos precedentes internacionais</w:t>
      </w:r>
      <w:r w:rsidR="00F923CE" w:rsidRPr="002E3E2A">
        <w:rPr>
          <w:rFonts w:ascii="Arial" w:hAnsi="Arial" w:cs="Arial"/>
          <w:sz w:val="20"/>
          <w:szCs w:val="20"/>
        </w:rPr>
        <w:t>, feitas pelos integrantes da Escola de Gestão Pública (Áreas: Capacitação e Jurisprudência),</w:t>
      </w:r>
      <w:r w:rsidRPr="002E3E2A">
        <w:rPr>
          <w:rFonts w:ascii="Arial" w:hAnsi="Arial" w:cs="Arial"/>
          <w:sz w:val="20"/>
          <w:szCs w:val="20"/>
        </w:rPr>
        <w:t xml:space="preserve"> dar-se-á </w:t>
      </w:r>
      <w:r w:rsidR="00F923CE" w:rsidRPr="002E3E2A">
        <w:rPr>
          <w:rFonts w:ascii="Arial" w:hAnsi="Arial" w:cs="Arial"/>
          <w:sz w:val="20"/>
          <w:szCs w:val="20"/>
        </w:rPr>
        <w:t>a partir d</w:t>
      </w:r>
      <w:r w:rsidRPr="002E3E2A">
        <w:rPr>
          <w:rFonts w:ascii="Arial" w:hAnsi="Arial" w:cs="Arial"/>
          <w:sz w:val="20"/>
          <w:szCs w:val="20"/>
        </w:rPr>
        <w:t>os</w:t>
      </w:r>
      <w:r w:rsidRPr="002E3E2A">
        <w:rPr>
          <w:rFonts w:ascii="Arial" w:hAnsi="Arial" w:cs="Arial"/>
          <w:color w:val="FF0000"/>
          <w:sz w:val="20"/>
          <w:szCs w:val="20"/>
        </w:rPr>
        <w:t xml:space="preserve"> </w:t>
      </w:r>
      <w:r w:rsidRPr="002E3E2A">
        <w:rPr>
          <w:rFonts w:ascii="Arial" w:hAnsi="Arial" w:cs="Arial"/>
          <w:sz w:val="20"/>
          <w:szCs w:val="20"/>
        </w:rPr>
        <w:t>respectivos idiomas: inglês, espanhol, francês, italiano e russo.</w:t>
      </w:r>
    </w:p>
    <w:p w14:paraId="5C05F336" w14:textId="77777777" w:rsidR="008E31EE" w:rsidRDefault="008E31EE" w:rsidP="002E3E2A">
      <w:pPr>
        <w:spacing w:after="0"/>
        <w:jc w:val="both"/>
        <w:rPr>
          <w:rFonts w:ascii="Arial" w:hAnsi="Arial" w:cs="Arial"/>
          <w:sz w:val="20"/>
          <w:szCs w:val="20"/>
        </w:rPr>
      </w:pPr>
    </w:p>
    <w:p w14:paraId="7E006D3A" w14:textId="160BC15E" w:rsidR="006009F5" w:rsidRPr="002E3E2A" w:rsidRDefault="00FE7B14" w:rsidP="002E3E2A">
      <w:pPr>
        <w:spacing w:after="0"/>
        <w:jc w:val="both"/>
        <w:rPr>
          <w:rFonts w:ascii="Arial" w:hAnsi="Arial" w:cs="Arial"/>
          <w:sz w:val="20"/>
          <w:szCs w:val="20"/>
        </w:rPr>
      </w:pPr>
      <w:r w:rsidRPr="002E3E2A">
        <w:rPr>
          <w:rFonts w:ascii="Arial" w:hAnsi="Arial" w:cs="Arial"/>
          <w:sz w:val="20"/>
          <w:szCs w:val="20"/>
        </w:rPr>
        <w:t xml:space="preserve">O objetivo é </w:t>
      </w:r>
      <w:r w:rsidR="007E786E" w:rsidRPr="002E3E2A">
        <w:rPr>
          <w:rFonts w:ascii="Arial" w:hAnsi="Arial" w:cs="Arial"/>
          <w:sz w:val="20"/>
          <w:szCs w:val="20"/>
        </w:rPr>
        <w:t xml:space="preserve">estimular </w:t>
      </w:r>
      <w:r w:rsidR="00F923CE" w:rsidRPr="002E3E2A">
        <w:rPr>
          <w:rFonts w:ascii="Arial" w:hAnsi="Arial" w:cs="Arial"/>
          <w:sz w:val="20"/>
          <w:szCs w:val="20"/>
        </w:rPr>
        <w:t xml:space="preserve">a disseminação de </w:t>
      </w:r>
      <w:r w:rsidR="007E786E" w:rsidRPr="002E3E2A">
        <w:rPr>
          <w:rFonts w:ascii="Arial" w:hAnsi="Arial" w:cs="Arial"/>
          <w:sz w:val="20"/>
          <w:szCs w:val="20"/>
        </w:rPr>
        <w:t xml:space="preserve">estudos e trabalhos periódicos na área de auditoria (conformidade e/ou operacional) que possam servir como inspiração e/ou subsídio para a aplicação de técnicas e práticas de controle externo internacional na realidade nacional e/ou local. </w:t>
      </w:r>
    </w:p>
    <w:p w14:paraId="7E6C5EDD" w14:textId="77777777" w:rsidR="008E31EE" w:rsidRDefault="008E31EE" w:rsidP="002E3E2A">
      <w:pPr>
        <w:spacing w:after="0"/>
        <w:jc w:val="both"/>
        <w:rPr>
          <w:rFonts w:ascii="Arial" w:hAnsi="Arial" w:cs="Arial"/>
          <w:sz w:val="20"/>
          <w:szCs w:val="20"/>
        </w:rPr>
      </w:pPr>
    </w:p>
    <w:p w14:paraId="716B524A" w14:textId="01503E22" w:rsidR="00FE7B14" w:rsidRPr="002E3E2A" w:rsidRDefault="00FE7B14" w:rsidP="002E3E2A">
      <w:pPr>
        <w:spacing w:after="0"/>
        <w:jc w:val="both"/>
        <w:rPr>
          <w:rFonts w:ascii="Arial" w:hAnsi="Arial" w:cs="Arial"/>
          <w:sz w:val="20"/>
          <w:szCs w:val="20"/>
        </w:rPr>
      </w:pPr>
      <w:r w:rsidRPr="002E3E2A">
        <w:rPr>
          <w:rFonts w:ascii="Arial" w:hAnsi="Arial" w:cs="Arial"/>
          <w:sz w:val="20"/>
          <w:szCs w:val="20"/>
        </w:rPr>
        <w:lastRenderedPageBreak/>
        <w:t>Para aprofundamento, o leitor pode acessar o inteiro teor das deliberações por meio dos links disponíveis.</w:t>
      </w:r>
      <w:r w:rsidRPr="002E3E2A">
        <w:rPr>
          <w:rFonts w:ascii="Arial" w:hAnsi="Arial" w:cs="Arial"/>
          <w:color w:val="212121"/>
          <w:sz w:val="20"/>
          <w:szCs w:val="20"/>
        </w:rPr>
        <w:t xml:space="preserve"> </w:t>
      </w:r>
      <w:r w:rsidRPr="002E3E2A">
        <w:rPr>
          <w:rFonts w:ascii="Arial" w:hAnsi="Arial" w:cs="Arial"/>
          <w:sz w:val="20"/>
          <w:szCs w:val="20"/>
        </w:rPr>
        <w:t>As informações aqui apresentadas não são repositórios oficiais de jurisprudência.</w:t>
      </w:r>
    </w:p>
    <w:p w14:paraId="2FAAAA93" w14:textId="77777777" w:rsidR="00320FCE" w:rsidRPr="002E3E2A" w:rsidRDefault="00320FCE" w:rsidP="002E3E2A">
      <w:pPr>
        <w:spacing w:after="0"/>
        <w:jc w:val="both"/>
        <w:rPr>
          <w:rFonts w:ascii="Arial" w:hAnsi="Arial" w:cs="Arial"/>
          <w:sz w:val="20"/>
          <w:szCs w:val="20"/>
        </w:rPr>
      </w:pPr>
    </w:p>
    <w:p w14:paraId="415E898B" w14:textId="77777777" w:rsidR="00FE7B14" w:rsidRPr="002E3E2A" w:rsidRDefault="00FF0616" w:rsidP="002E3E2A">
      <w:pPr>
        <w:spacing w:after="0"/>
        <w:jc w:val="both"/>
        <w:rPr>
          <w:rFonts w:ascii="Arial" w:hAnsi="Arial" w:cs="Arial"/>
          <w:sz w:val="20"/>
          <w:szCs w:val="20"/>
        </w:rPr>
      </w:pPr>
      <w:r>
        <w:rPr>
          <w:noProof/>
        </w:rPr>
        <w:pict w14:anchorId="537543EA">
          <v:line id="Conector reto 1" o:spid="_x0000_s2051" style="position:absolute;left:0;text-align:left;z-index:251660800;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" strokecolor="maroon" strokeweight="2pt">
            <v:shadow on="t" color="black" opacity="24903f" origin=",.5" offset="0,.55556mm"/>
            <w10:wrap anchorx="margin"/>
          </v:line>
        </w:pict>
      </w:r>
    </w:p>
    <w:p w14:paraId="62CF5F8D" w14:textId="77777777" w:rsidR="00AE4F42" w:rsidRPr="002E3E2A" w:rsidRDefault="00AE4F42" w:rsidP="002E3E2A">
      <w:pPr>
        <w:spacing w:after="0"/>
        <w:jc w:val="center"/>
        <w:rPr>
          <w:rFonts w:ascii="Arial" w:hAnsi="Arial" w:cs="Arial"/>
          <w:b/>
          <w:color w:val="800000"/>
          <w:sz w:val="20"/>
          <w:szCs w:val="20"/>
        </w:rPr>
      </w:pPr>
      <w:r w:rsidRPr="002E3E2A">
        <w:rPr>
          <w:rFonts w:ascii="Arial" w:hAnsi="Arial" w:cs="Arial"/>
          <w:b/>
          <w:color w:val="800000"/>
          <w:sz w:val="20"/>
          <w:szCs w:val="20"/>
        </w:rPr>
        <w:t>S</w:t>
      </w:r>
      <w:r w:rsidR="00221D15" w:rsidRPr="002E3E2A">
        <w:rPr>
          <w:rFonts w:ascii="Arial" w:hAnsi="Arial" w:cs="Arial"/>
          <w:b/>
          <w:color w:val="800000"/>
          <w:sz w:val="20"/>
          <w:szCs w:val="20"/>
        </w:rPr>
        <w:t>U</w:t>
      </w:r>
      <w:r w:rsidRPr="002E3E2A">
        <w:rPr>
          <w:rFonts w:ascii="Arial" w:hAnsi="Arial" w:cs="Arial"/>
          <w:b/>
          <w:color w:val="800000"/>
          <w:sz w:val="20"/>
          <w:szCs w:val="20"/>
        </w:rPr>
        <w:t>MÁRIO</w:t>
      </w:r>
    </w:p>
    <w:p w14:paraId="48919E0E" w14:textId="77777777" w:rsidR="004429A2" w:rsidRPr="002E3E2A" w:rsidRDefault="004429A2" w:rsidP="002E3E2A">
      <w:pPr>
        <w:spacing w:after="0"/>
        <w:jc w:val="both"/>
        <w:rPr>
          <w:rStyle w:val="Hyperlink"/>
          <w:rFonts w:ascii="Arial" w:hAnsi="Arial" w:cs="Arial"/>
          <w:b/>
          <w:color w:val="000000" w:themeColor="text1"/>
          <w:sz w:val="20"/>
          <w:szCs w:val="20"/>
          <w:u w:val="none"/>
        </w:rPr>
      </w:pPr>
    </w:p>
    <w:p w14:paraId="197431B2" w14:textId="24DD8334" w:rsidR="008E31EE" w:rsidRPr="008E31EE" w:rsidRDefault="008E31EE" w:rsidP="008E31EE">
      <w:pPr>
        <w:autoSpaceDE w:val="0"/>
        <w:autoSpaceDN w:val="0"/>
        <w:adjustRightInd w:val="0"/>
        <w:spacing w:after="0"/>
        <w:jc w:val="both"/>
        <w:rPr>
          <w:rFonts w:ascii="Arial" w:hAnsi="Arial" w:cs="Arial"/>
          <w:sz w:val="20"/>
          <w:szCs w:val="20"/>
          <w:shd w:val="clear" w:color="auto" w:fill="FFFFFF"/>
        </w:rPr>
      </w:pPr>
      <w:r w:rsidRPr="008E31EE">
        <w:rPr>
          <w:rFonts w:ascii="Arial" w:hAnsi="Arial" w:cs="Arial"/>
          <w:b/>
          <w:bCs/>
          <w:sz w:val="20"/>
          <w:szCs w:val="20"/>
          <w:shd w:val="clear" w:color="auto" w:fill="FFFFFF"/>
        </w:rPr>
        <w:t xml:space="preserve">1. Espanha </w:t>
      </w:r>
      <w:r w:rsidRPr="008E31EE">
        <w:rPr>
          <w:rFonts w:ascii="Arial" w:hAnsi="Arial" w:cs="Arial"/>
          <w:b/>
          <w:bCs/>
          <w:sz w:val="20"/>
          <w:szCs w:val="20"/>
          <w:shd w:val="clear" w:color="auto" w:fill="FFFFFF"/>
        </w:rPr>
        <w:t xml:space="preserve">– </w:t>
      </w:r>
      <w:r w:rsidRPr="008E31EE">
        <w:rPr>
          <w:rFonts w:ascii="Arial" w:hAnsi="Arial" w:cs="Arial"/>
          <w:sz w:val="20"/>
          <w:szCs w:val="20"/>
          <w:shd w:val="clear" w:color="auto" w:fill="FFFFFF"/>
        </w:rPr>
        <w:t>Tribunal</w:t>
      </w:r>
      <w:r w:rsidRPr="008E31EE">
        <w:rPr>
          <w:rFonts w:ascii="Arial" w:hAnsi="Arial" w:cs="Arial"/>
          <w:sz w:val="20"/>
          <w:szCs w:val="20"/>
          <w:shd w:val="clear" w:color="auto" w:fill="FFFFFF"/>
        </w:rPr>
        <w:t xml:space="preserve"> de Contas – </w:t>
      </w:r>
      <w:r w:rsidRPr="008E31EE">
        <w:rPr>
          <w:rFonts w:ascii="Arial" w:hAnsi="Arial" w:cs="Arial"/>
          <w:sz w:val="20"/>
          <w:szCs w:val="20"/>
          <w:shd w:val="clear" w:color="auto" w:fill="FFFFFF"/>
          <w:lang w:val="pt-PT"/>
        </w:rPr>
        <w:t>Relatório de Auditoria sobre ações de defesa contra desertificação e prevenção e extinção de incêndio florestal, Ano 2018</w:t>
      </w:r>
      <w:r w:rsidRPr="008E31EE">
        <w:rPr>
          <w:rFonts w:ascii="Arial" w:hAnsi="Arial" w:cs="Arial"/>
          <w:sz w:val="20"/>
          <w:szCs w:val="20"/>
          <w:shd w:val="clear" w:color="auto" w:fill="FFFFFF"/>
          <w:lang w:val="pt-PT"/>
        </w:rPr>
        <w:t>.</w:t>
      </w:r>
    </w:p>
    <w:p w14:paraId="0784F6C1" w14:textId="77777777" w:rsidR="00F234D8" w:rsidRPr="002E3E2A" w:rsidRDefault="00F234D8" w:rsidP="002E3E2A">
      <w:pPr>
        <w:autoSpaceDE w:val="0"/>
        <w:autoSpaceDN w:val="0"/>
        <w:adjustRightInd w:val="0"/>
        <w:spacing w:after="0"/>
        <w:jc w:val="both"/>
        <w:rPr>
          <w:rFonts w:ascii="Arial" w:hAnsi="Arial" w:cs="Arial"/>
          <w:sz w:val="20"/>
          <w:szCs w:val="20"/>
          <w:shd w:val="clear" w:color="auto" w:fill="FFFFFF"/>
        </w:rPr>
      </w:pPr>
    </w:p>
    <w:p w14:paraId="0261D9C4" w14:textId="2BED9E2E" w:rsidR="003129B0" w:rsidRPr="006D229B" w:rsidRDefault="008E31EE" w:rsidP="002E3E2A">
      <w:pPr>
        <w:autoSpaceDE w:val="0"/>
        <w:autoSpaceDN w:val="0"/>
        <w:adjustRightInd w:val="0"/>
        <w:spacing w:after="0"/>
        <w:jc w:val="both"/>
        <w:rPr>
          <w:rFonts w:ascii="Arial" w:hAnsi="Arial" w:cs="Arial"/>
          <w:bCs/>
          <w:sz w:val="20"/>
          <w:szCs w:val="20"/>
        </w:rPr>
      </w:pPr>
      <w:r w:rsidRPr="008E31EE">
        <w:rPr>
          <w:rFonts w:ascii="Arial" w:hAnsi="Arial" w:cs="Arial"/>
          <w:b/>
          <w:sz w:val="20"/>
          <w:szCs w:val="20"/>
        </w:rPr>
        <w:t xml:space="preserve">2. Portugal </w:t>
      </w:r>
      <w:r w:rsidRPr="008E31EE">
        <w:rPr>
          <w:rFonts w:ascii="Arial" w:hAnsi="Arial" w:cs="Arial"/>
          <w:b/>
          <w:sz w:val="20"/>
          <w:szCs w:val="20"/>
        </w:rPr>
        <w:t xml:space="preserve">– </w:t>
      </w:r>
      <w:r w:rsidRPr="008E31EE">
        <w:rPr>
          <w:rFonts w:ascii="Arial" w:hAnsi="Arial" w:cs="Arial"/>
          <w:bCs/>
          <w:sz w:val="20"/>
          <w:szCs w:val="20"/>
        </w:rPr>
        <w:t>Tribunal</w:t>
      </w:r>
      <w:r w:rsidRPr="008E31EE">
        <w:rPr>
          <w:rFonts w:ascii="Arial" w:hAnsi="Arial" w:cs="Arial"/>
          <w:bCs/>
          <w:sz w:val="20"/>
          <w:szCs w:val="20"/>
        </w:rPr>
        <w:t xml:space="preserve"> de Contas – </w:t>
      </w:r>
      <w:r w:rsidRPr="008E31EE">
        <w:rPr>
          <w:rFonts w:ascii="Arial" w:hAnsi="Arial" w:cs="Arial"/>
          <w:bCs/>
          <w:sz w:val="20"/>
          <w:szCs w:val="20"/>
          <w:lang w:val="pt-PT"/>
        </w:rPr>
        <w:t>Auditoria ao Abandono Escolar Precoce – Relatório nº 10/2020</w:t>
      </w:r>
      <w:r w:rsidRPr="008E31EE">
        <w:rPr>
          <w:rFonts w:ascii="Arial" w:hAnsi="Arial" w:cs="Arial"/>
          <w:bCs/>
          <w:sz w:val="20"/>
          <w:szCs w:val="20"/>
        </w:rPr>
        <w:t>.</w:t>
      </w:r>
    </w:p>
    <w:p w14:paraId="7EEBE2E1" w14:textId="77777777" w:rsidR="00E23446" w:rsidRPr="002E3E2A" w:rsidRDefault="00E23446" w:rsidP="002E3E2A">
      <w:pPr>
        <w:spacing w:after="0"/>
        <w:rPr>
          <w:rFonts w:ascii="Arial" w:hAnsi="Arial" w:cs="Arial"/>
          <w:b/>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2"/>
        <w:gridCol w:w="818"/>
      </w:tblGrid>
      <w:tr w:rsidR="00E23446" w:rsidRPr="002E3E2A" w14:paraId="6A93FD30" w14:textId="77777777" w:rsidTr="000F39A5">
        <w:tc>
          <w:tcPr>
            <w:tcW w:w="8075" w:type="dxa"/>
          </w:tcPr>
          <w:p w14:paraId="3A6BD82A" w14:textId="77777777" w:rsidR="00E23446" w:rsidRPr="002E3E2A" w:rsidRDefault="000F39A5" w:rsidP="002E3E2A">
            <w:pPr>
              <w:autoSpaceDE w:val="0"/>
              <w:autoSpaceDN w:val="0"/>
              <w:adjustRightInd w:val="0"/>
              <w:spacing w:line="276" w:lineRule="auto"/>
              <w:jc w:val="both"/>
              <w:rPr>
                <w:rFonts w:ascii="Arial" w:hAnsi="Arial" w:cs="Arial"/>
                <w:b/>
                <w:sz w:val="20"/>
                <w:szCs w:val="20"/>
                <w:shd w:val="clear" w:color="auto" w:fill="FFFFFF"/>
              </w:rPr>
            </w:pPr>
            <w:r w:rsidRPr="002E3E2A">
              <w:rPr>
                <w:rFonts w:ascii="Arial" w:hAnsi="Arial" w:cs="Arial"/>
                <w:b/>
                <w:sz w:val="20"/>
                <w:szCs w:val="20"/>
                <w:shd w:val="clear" w:color="auto" w:fill="FFFFFF"/>
              </w:rPr>
              <w:t>ESPANHA</w:t>
            </w:r>
          </w:p>
        </w:tc>
        <w:tc>
          <w:tcPr>
            <w:tcW w:w="419" w:type="dxa"/>
          </w:tcPr>
          <w:p w14:paraId="56508891" w14:textId="77777777" w:rsidR="00E23446" w:rsidRPr="002E3E2A" w:rsidRDefault="000F39A5" w:rsidP="002E3E2A">
            <w:pPr>
              <w:autoSpaceDE w:val="0"/>
              <w:autoSpaceDN w:val="0"/>
              <w:adjustRightInd w:val="0"/>
              <w:spacing w:line="276" w:lineRule="auto"/>
              <w:jc w:val="both"/>
              <w:rPr>
                <w:rFonts w:ascii="Arial" w:hAnsi="Arial" w:cs="Arial"/>
                <w:b/>
                <w:sz w:val="20"/>
                <w:szCs w:val="20"/>
                <w:shd w:val="clear" w:color="auto" w:fill="FFFFFF"/>
              </w:rPr>
            </w:pPr>
            <w:r w:rsidRPr="002E3E2A">
              <w:rPr>
                <w:rFonts w:ascii="Arial" w:hAnsi="Arial" w:cs="Arial"/>
                <w:noProof/>
                <w:sz w:val="20"/>
                <w:szCs w:val="20"/>
                <w:lang w:eastAsia="pt-BR"/>
              </w:rPr>
              <w:drawing>
                <wp:inline distT="0" distB="0" distL="0" distR="0" wp14:anchorId="3D2A884E" wp14:editId="23BBE2D2">
                  <wp:extent cx="382630" cy="25661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4b462fbecf767d884a286bf1236c054.jpg"/>
                          <pic:cNvPicPr/>
                        </pic:nvPicPr>
                        <pic:blipFill>
                          <a:blip r:embed="rId16"/>
                          <a:stretch>
                            <a:fillRect/>
                          </a:stretch>
                        </pic:blipFill>
                        <pic:spPr>
                          <a:xfrm>
                            <a:off x="0" y="0"/>
                            <a:ext cx="414811" cy="278194"/>
                          </a:xfrm>
                          <a:prstGeom prst="rect">
                            <a:avLst/>
                          </a:prstGeom>
                        </pic:spPr>
                      </pic:pic>
                    </a:graphicData>
                  </a:graphic>
                </wp:inline>
              </w:drawing>
            </w:r>
          </w:p>
        </w:tc>
      </w:tr>
    </w:tbl>
    <w:p w14:paraId="4A650476" w14:textId="77777777" w:rsidR="003129B0" w:rsidRPr="002E3E2A" w:rsidRDefault="003129B0" w:rsidP="002E3E2A">
      <w:pPr>
        <w:autoSpaceDE w:val="0"/>
        <w:autoSpaceDN w:val="0"/>
        <w:adjustRightInd w:val="0"/>
        <w:spacing w:after="0"/>
        <w:jc w:val="both"/>
        <w:rPr>
          <w:rFonts w:ascii="Arial" w:hAnsi="Arial" w:cs="Arial"/>
          <w:bCs/>
          <w:sz w:val="20"/>
          <w:szCs w:val="20"/>
          <w:shd w:val="clear" w:color="auto" w:fill="FFFFFF"/>
        </w:rPr>
      </w:pPr>
    </w:p>
    <w:p w14:paraId="2068FD88" w14:textId="72E08942" w:rsidR="003129B0" w:rsidRPr="002E3E2A" w:rsidRDefault="003129B0" w:rsidP="002E3E2A">
      <w:pPr>
        <w:pBdr>
          <w:bottom w:val="double" w:sz="4" w:space="1" w:color="800000"/>
        </w:pBdr>
        <w:spacing w:after="0"/>
        <w:rPr>
          <w:rFonts w:ascii="Arial" w:hAnsi="Arial" w:cs="Arial"/>
          <w:b/>
          <w:sz w:val="20"/>
          <w:szCs w:val="20"/>
        </w:rPr>
      </w:pPr>
      <w:r w:rsidRPr="002E3E2A">
        <w:rPr>
          <w:rFonts w:ascii="Arial" w:hAnsi="Arial" w:cs="Arial"/>
          <w:b/>
          <w:sz w:val="20"/>
          <w:szCs w:val="20"/>
        </w:rPr>
        <w:t>1</w:t>
      </w:r>
      <w:r w:rsidR="00D75C06" w:rsidRPr="002E3E2A">
        <w:rPr>
          <w:rFonts w:ascii="Arial" w:hAnsi="Arial" w:cs="Arial"/>
          <w:b/>
          <w:sz w:val="20"/>
          <w:szCs w:val="20"/>
        </w:rPr>
        <w:t>.</w:t>
      </w:r>
      <w:r w:rsidRPr="002E3E2A">
        <w:rPr>
          <w:rFonts w:ascii="Arial" w:hAnsi="Arial" w:cs="Arial"/>
          <w:b/>
          <w:sz w:val="20"/>
          <w:szCs w:val="20"/>
        </w:rPr>
        <w:t xml:space="preserve">   TRIBUNAL </w:t>
      </w:r>
      <w:r w:rsidR="000A250D" w:rsidRPr="002E3E2A">
        <w:rPr>
          <w:rFonts w:ascii="Arial" w:hAnsi="Arial" w:cs="Arial"/>
          <w:b/>
          <w:sz w:val="20"/>
          <w:szCs w:val="20"/>
        </w:rPr>
        <w:t>DE CONTAS</w:t>
      </w:r>
      <w:r w:rsidRPr="002E3E2A">
        <w:rPr>
          <w:rFonts w:ascii="Arial" w:hAnsi="Arial" w:cs="Arial"/>
          <w:b/>
          <w:sz w:val="20"/>
          <w:szCs w:val="20"/>
        </w:rPr>
        <w:t xml:space="preserve">  </w:t>
      </w:r>
    </w:p>
    <w:p w14:paraId="76D31C00" w14:textId="77777777" w:rsidR="000F39A5" w:rsidRPr="002E3E2A" w:rsidRDefault="000F39A5" w:rsidP="002E3E2A">
      <w:pPr>
        <w:autoSpaceDE w:val="0"/>
        <w:autoSpaceDN w:val="0"/>
        <w:adjustRightInd w:val="0"/>
        <w:spacing w:after="0"/>
        <w:jc w:val="both"/>
        <w:rPr>
          <w:rFonts w:ascii="Arial" w:hAnsi="Arial" w:cs="Arial"/>
          <w:sz w:val="20"/>
          <w:szCs w:val="20"/>
          <w:u w:val="single"/>
          <w:shd w:val="clear" w:color="auto" w:fill="FFFFFF"/>
        </w:rPr>
      </w:pPr>
      <w:r w:rsidRPr="002E3E2A">
        <w:rPr>
          <w:rFonts w:ascii="Arial" w:hAnsi="Arial" w:cs="Arial"/>
          <w:sz w:val="20"/>
          <w:szCs w:val="20"/>
          <w:shd w:val="clear" w:color="auto" w:fill="FFFFFF"/>
        </w:rPr>
        <w:t xml:space="preserve">Publicação original acessível em: </w:t>
      </w:r>
    </w:p>
    <w:p w14:paraId="1BE624C9" w14:textId="77777777" w:rsidR="000F39A5" w:rsidRPr="002E3E2A" w:rsidRDefault="000F39A5" w:rsidP="002E3E2A">
      <w:pPr>
        <w:autoSpaceDE w:val="0"/>
        <w:autoSpaceDN w:val="0"/>
        <w:adjustRightInd w:val="0"/>
        <w:spacing w:after="0"/>
        <w:jc w:val="both"/>
        <w:rPr>
          <w:rFonts w:ascii="Arial" w:hAnsi="Arial" w:cs="Arial"/>
          <w:sz w:val="20"/>
          <w:szCs w:val="20"/>
          <w:u w:val="single"/>
          <w:shd w:val="clear" w:color="auto" w:fill="FFFFFF"/>
        </w:rPr>
      </w:pPr>
    </w:p>
    <w:p w14:paraId="44F344FA" w14:textId="77777777" w:rsidR="006D229B" w:rsidRDefault="006D229B" w:rsidP="006D229B">
      <w:pPr>
        <w:autoSpaceDE w:val="0"/>
        <w:autoSpaceDN w:val="0"/>
        <w:adjustRightInd w:val="0"/>
        <w:spacing w:after="0"/>
        <w:jc w:val="both"/>
        <w:rPr>
          <w:rStyle w:val="Hyperlink"/>
        </w:rPr>
      </w:pPr>
      <w:hyperlink r:id="rId17" w:history="1">
        <w:r w:rsidRPr="00D94AAD">
          <w:rPr>
            <w:rStyle w:val="Hyperlink"/>
          </w:rPr>
          <w:t>https://www.tcu.es/tribunal-de-cuentas/es/sala-de-prensa/noticias/El-Tribunal-de-Cuentas-aprueba-el-Informe-de-fiscalizacion-sobre-las-actuaciones-de-defensa-contra-la-desertificacion-y-de-prevencion-y-extincion-de-incendios-forestales-ejercicio-2018/</w:t>
        </w:r>
      </w:hyperlink>
    </w:p>
    <w:p w14:paraId="05C0B288" w14:textId="7839BC52" w:rsidR="000F39A5" w:rsidRDefault="000F39A5" w:rsidP="002E3E2A">
      <w:pPr>
        <w:autoSpaceDE w:val="0"/>
        <w:autoSpaceDN w:val="0"/>
        <w:adjustRightInd w:val="0"/>
        <w:spacing w:after="0"/>
        <w:jc w:val="both"/>
        <w:rPr>
          <w:rFonts w:ascii="Arial" w:hAnsi="Arial" w:cs="Arial"/>
          <w:sz w:val="20"/>
          <w:szCs w:val="20"/>
          <w:shd w:val="clear" w:color="auto" w:fill="FFFFFF"/>
        </w:rPr>
      </w:pPr>
    </w:p>
    <w:p w14:paraId="62CBBEE1" w14:textId="2F09FB27" w:rsidR="006D229B" w:rsidRPr="006D229B" w:rsidRDefault="006D229B" w:rsidP="006D229B">
      <w:pPr>
        <w:autoSpaceDE w:val="0"/>
        <w:autoSpaceDN w:val="0"/>
        <w:adjustRightInd w:val="0"/>
        <w:spacing w:after="0"/>
        <w:jc w:val="both"/>
        <w:rPr>
          <w:rFonts w:ascii="Arial" w:hAnsi="Arial" w:cs="Arial"/>
          <w:sz w:val="20"/>
          <w:szCs w:val="20"/>
          <w:shd w:val="clear" w:color="auto" w:fill="FFFFFF"/>
          <w:lang w:val="pt-PT"/>
        </w:rPr>
      </w:pPr>
      <w:r>
        <w:rPr>
          <w:rFonts w:ascii="Arial" w:hAnsi="Arial" w:cs="Arial"/>
          <w:sz w:val="20"/>
          <w:szCs w:val="20"/>
          <w:shd w:val="clear" w:color="auto" w:fill="FFFFFF"/>
          <w:lang w:val="pt-PT"/>
        </w:rPr>
        <w:tab/>
      </w:r>
      <w:r w:rsidRPr="006D229B">
        <w:rPr>
          <w:rFonts w:ascii="Arial" w:hAnsi="Arial" w:cs="Arial"/>
          <w:sz w:val="20"/>
          <w:szCs w:val="20"/>
          <w:shd w:val="clear" w:color="auto" w:fill="FFFFFF"/>
          <w:lang w:val="pt-PT"/>
        </w:rPr>
        <w:t xml:space="preserve">O relatório, teve como objetivo analisar os sistemas e procedimentos aplicados pela Administração Geral do Estado para a defesa contra a desertificação e a prevenção e extinção de incêndios florestais, na perspetiva dos princípios de legalidade, eficácia, eficiência e economia, e de sustentabilidade ambiental, durante 2018. Além disso, verificou-se o cumprimento da regulamentação sobre transparência e igualdade efetiva entre mulheres e homens, em tudo o que possa estar relacionado com a objeto da auditoria. A auditoria teve origem numa iniciativa conjunta dos Tribunais de Contas de Espanha e Portugal, consistindo na realização por cada um de uma auditoria nesta matéria, para a posterior realização de um estudo comparativo, que será realizado em breve. </w:t>
      </w:r>
    </w:p>
    <w:p w14:paraId="24FCCCFD" w14:textId="2CF4DA6A" w:rsidR="006D229B" w:rsidRPr="006D229B" w:rsidRDefault="006D229B" w:rsidP="006D229B">
      <w:pPr>
        <w:autoSpaceDE w:val="0"/>
        <w:autoSpaceDN w:val="0"/>
        <w:adjustRightInd w:val="0"/>
        <w:spacing w:after="0"/>
        <w:jc w:val="both"/>
        <w:rPr>
          <w:rFonts w:ascii="Arial" w:hAnsi="Arial" w:cs="Arial"/>
          <w:sz w:val="20"/>
          <w:szCs w:val="20"/>
          <w:shd w:val="clear" w:color="auto" w:fill="FFFFFF"/>
        </w:rPr>
      </w:pPr>
      <w:r w:rsidRPr="006D229B">
        <w:rPr>
          <w:rFonts w:ascii="Arial" w:hAnsi="Arial" w:cs="Arial"/>
          <w:sz w:val="20"/>
          <w:szCs w:val="20"/>
          <w:shd w:val="clear" w:color="auto" w:fill="FFFFFF"/>
          <w:lang w:val="pt-PT"/>
        </w:rPr>
        <w:tab/>
        <w:t>O relatório inclui, entre outras, as seguintes conclusões sobre as ações de defesa contra a desertificação: 1) A Convenção das Nações Unidas de Combate à Desertificação, assinada pela Espanha em 1994, se baseia na adoção de planos nacionais pelos países que se declaram afetados. No entanto, o ímpeto para a adoção de medidas nacionais contra a desertificação não foi proporcional ao risco nem constante. Por outro lado, alterações frequentes na estrutura e no âmbito de competência dos departamentos ministeriais competentes podem ter prejudicado a estabilidade e continuidade das medidas a adotar. 2) O Programa Nacional de Ação contra a Desertificação, aprovado em 2008, não teve um caráter estruturado, abrangente e eficaz para articular o combate à desertificação. Entre as deficiências que têm limitado a eficácia do Programa estão o seu âmbito regulatório limitado, a falta de um quadro de monitoramento e atualização, a ausência de dotação orçamentária específica, bem como a sua limitada significância efetiva dez anos após sua aprovação. Além disso, a defesa contra a desertificação não tem sido objeto de atenção específica na regulamentação do ordenamento do território.</w:t>
      </w:r>
    </w:p>
    <w:p w14:paraId="65966694" w14:textId="486BE6C7" w:rsidR="006D229B" w:rsidRPr="006D229B" w:rsidRDefault="006D229B" w:rsidP="006D229B">
      <w:pPr>
        <w:autoSpaceDE w:val="0"/>
        <w:autoSpaceDN w:val="0"/>
        <w:adjustRightInd w:val="0"/>
        <w:spacing w:after="0"/>
        <w:jc w:val="both"/>
        <w:rPr>
          <w:rFonts w:ascii="Arial" w:hAnsi="Arial" w:cs="Arial"/>
          <w:sz w:val="20"/>
          <w:szCs w:val="20"/>
          <w:shd w:val="clear" w:color="auto" w:fill="FFFFFF"/>
          <w:lang w:val="pt-PT"/>
        </w:rPr>
      </w:pPr>
      <w:r w:rsidRPr="006D229B">
        <w:rPr>
          <w:rFonts w:ascii="Arial" w:hAnsi="Arial" w:cs="Arial"/>
          <w:sz w:val="20"/>
          <w:szCs w:val="20"/>
          <w:shd w:val="clear" w:color="auto" w:fill="FFFFFF"/>
          <w:lang w:val="pt-PT"/>
        </w:rPr>
        <w:tab/>
        <w:t xml:space="preserve">Os esforços da Administração Geral do Estado, através do Ministério da Transição Ecológica e do Ministério da Agricultura, Pescas e Alimentação, para avaliar o grau de avanço da desertificação e a sua evolução têm sofrido de lacunas, como a insuficiência estrutural de recursos. Em 2018, a Administração Geral do Estado não conseguiu determinar de forma </w:t>
      </w:r>
      <w:r w:rsidRPr="006D229B">
        <w:rPr>
          <w:rFonts w:ascii="Arial" w:hAnsi="Arial" w:cs="Arial"/>
          <w:sz w:val="20"/>
          <w:szCs w:val="20"/>
          <w:shd w:val="clear" w:color="auto" w:fill="FFFFFF"/>
          <w:lang w:val="pt-PT"/>
        </w:rPr>
        <w:lastRenderedPageBreak/>
        <w:t>conclusiva se a evolução da desertificação em Espanha em comparação com 2008 foi, no geral, mais adversa. Por outro lado, os estudos e relatórios nos ministérios competentes eram parciais ou careciam de séries temporais homogêneas no médio e longo prazo.</w:t>
      </w:r>
    </w:p>
    <w:p w14:paraId="10CA274B" w14:textId="4A5AC751" w:rsidR="006D229B" w:rsidRPr="006D229B" w:rsidRDefault="006D229B" w:rsidP="006D229B">
      <w:pPr>
        <w:autoSpaceDE w:val="0"/>
        <w:autoSpaceDN w:val="0"/>
        <w:adjustRightInd w:val="0"/>
        <w:spacing w:after="0"/>
        <w:jc w:val="both"/>
        <w:rPr>
          <w:rFonts w:ascii="Arial" w:hAnsi="Arial" w:cs="Arial"/>
          <w:sz w:val="20"/>
          <w:szCs w:val="20"/>
          <w:shd w:val="clear" w:color="auto" w:fill="FFFFFF"/>
          <w:lang w:val="pt-PT"/>
        </w:rPr>
      </w:pPr>
      <w:r w:rsidRPr="006D229B">
        <w:rPr>
          <w:rFonts w:ascii="Arial" w:hAnsi="Arial" w:cs="Arial"/>
          <w:sz w:val="20"/>
          <w:szCs w:val="20"/>
          <w:shd w:val="clear" w:color="auto" w:fill="FFFFFF"/>
          <w:lang w:val="pt-PT"/>
        </w:rPr>
        <w:tab/>
        <w:t>Recursos hídricos insuficientes aumentam a aridez e a perda de coberturas vegetais que retardam a desertificação. Além disso, os efeitos adversos dessa insuficiência são agravados se as substâncias poluentes forem incorporadas ao ciclo da água, pois favorecem a salinização e a deterioração do substrato do solo, reduzindo a produtividade do solo e a saúde da cobertura vegetal. Consequentemente, a excessiva pressão quantitativa e qualitativa sobre os recursos hídricos intensifica os efeitos negativos dos fatores de desertificação, o que implica um risco que não está recebendo uma resposta suficientemente eficaz do Ministério da Transição Ecológica, através do Direcção-Geral das Confederações Hidrográficas e Águas, pelo Ministério da Agricultura, Pescas e Alimentação e pelas Comunidades Autónomas.</w:t>
      </w:r>
    </w:p>
    <w:p w14:paraId="087F888E" w14:textId="51B93CB5" w:rsidR="006D229B" w:rsidRPr="006D229B" w:rsidRDefault="006D229B" w:rsidP="006D229B">
      <w:pPr>
        <w:autoSpaceDE w:val="0"/>
        <w:autoSpaceDN w:val="0"/>
        <w:adjustRightInd w:val="0"/>
        <w:spacing w:after="0"/>
        <w:jc w:val="both"/>
        <w:rPr>
          <w:rFonts w:ascii="Arial" w:hAnsi="Arial" w:cs="Arial"/>
          <w:sz w:val="20"/>
          <w:szCs w:val="20"/>
          <w:shd w:val="clear" w:color="auto" w:fill="FFFFFF"/>
        </w:rPr>
      </w:pPr>
      <w:r w:rsidRPr="006D229B">
        <w:rPr>
          <w:rFonts w:ascii="Arial" w:hAnsi="Arial" w:cs="Arial"/>
          <w:sz w:val="20"/>
          <w:szCs w:val="20"/>
          <w:shd w:val="clear" w:color="auto" w:fill="FFFFFF"/>
          <w:lang w:val="pt-PT"/>
        </w:rPr>
        <w:tab/>
        <w:t>Os recursos hídricos de muitas áreas da Espanha estão sob grande pressão, com áreas não apenas em risco de sustentabilidade futura, mas também com uma grave deterioração atual do estado dos corpos d'água. As estimativas dos recursos hídricos disponíveis para o ciclo hidrológico 2021-2027 não são suficientemente consistentes em relação às projeções da evolução da disponibilidade dos recursos hídricos, e não estão a ser adotadas medidas suficientemente restritivas do consumo de água de origem subterrânea na maioria afetados. Persistem os usos e retiradas de água cujo consumo de água não é medido ou cujas medições não são confiáveis. O problema da contaminação difusa dos corpos d'água de origem agrícola, que persiste há anos, não foi suficientemente corrigido.</w:t>
      </w:r>
    </w:p>
    <w:p w14:paraId="4ADD4962" w14:textId="25127FB0" w:rsidR="006D229B" w:rsidRPr="006D229B" w:rsidRDefault="006D229B" w:rsidP="006D229B">
      <w:pPr>
        <w:autoSpaceDE w:val="0"/>
        <w:autoSpaceDN w:val="0"/>
        <w:adjustRightInd w:val="0"/>
        <w:spacing w:after="0"/>
        <w:jc w:val="both"/>
        <w:rPr>
          <w:rFonts w:ascii="Arial" w:hAnsi="Arial" w:cs="Arial"/>
          <w:sz w:val="20"/>
          <w:szCs w:val="20"/>
          <w:shd w:val="clear" w:color="auto" w:fill="FFFFFF"/>
        </w:rPr>
      </w:pPr>
      <w:r w:rsidRPr="006D229B">
        <w:rPr>
          <w:rFonts w:ascii="Arial" w:hAnsi="Arial" w:cs="Arial"/>
          <w:sz w:val="20"/>
          <w:szCs w:val="20"/>
          <w:shd w:val="clear" w:color="auto" w:fill="FFFFFF"/>
          <w:lang w:val="pt-PT"/>
        </w:rPr>
        <w:tab/>
        <w:t>A política de gestão de culturas seguida não considerou suficientemente os riscos da desertificação. Na verdade, as políticas de gestão dos recursos hídricos e agrícolas não são adequadamente coordenadas, por vezes incorrendo em contradições. Não existem estudos específicos que analisem o impacto na desertificação da estrutura das culturas na Espanha ou, especificamente, da irrigação. Assim, apenas as propriedades com financiamento da Política Agrícola Comum da União Europeia devem adotar medidas destinadas a promover práticas agrícolas sustentáveis, algumas para prevenir a erosão do solo. No entanto, o desenvolvimento regulamentar realizado, as características dos controlos e a ausência de estudos ou acompanhamento da sua eficácia em relação às comunidades autónomas e ao Ministério da Agricultura, Pescas e Alimentação, impedem a determinação da eficácia e seu impacto em relação à desertificação.</w:t>
      </w:r>
    </w:p>
    <w:p w14:paraId="2A0080BD" w14:textId="4509D3E3" w:rsidR="006D229B" w:rsidRPr="006D229B" w:rsidRDefault="006D229B" w:rsidP="006D229B">
      <w:pPr>
        <w:autoSpaceDE w:val="0"/>
        <w:autoSpaceDN w:val="0"/>
        <w:adjustRightInd w:val="0"/>
        <w:spacing w:after="0"/>
        <w:jc w:val="both"/>
        <w:rPr>
          <w:rFonts w:ascii="Arial" w:hAnsi="Arial" w:cs="Arial"/>
          <w:sz w:val="20"/>
          <w:szCs w:val="20"/>
          <w:shd w:val="clear" w:color="auto" w:fill="FFFFFF"/>
        </w:rPr>
      </w:pPr>
      <w:r w:rsidRPr="006D229B">
        <w:rPr>
          <w:rFonts w:ascii="Arial" w:hAnsi="Arial" w:cs="Arial"/>
          <w:sz w:val="20"/>
          <w:szCs w:val="20"/>
          <w:shd w:val="clear" w:color="auto" w:fill="FFFFFF"/>
          <w:lang w:val="pt-PT"/>
        </w:rPr>
        <w:tab/>
        <w:t>Apesar da importância das lavouras irrigadas do ponto de vista econômico, a trajetória de crescimento da área irrigada dificilmente é sustentável, considerando a disponibilidade de recursos hídricos, o impacto dos nitratos que afeta sua qualidade e a deterioração dos solos devido à erosão em determinadas áreas, circunstância que é agravada pela ausência de uma planificação atualizada e integrada que oriente as ações prioritárias da política agrícola por parte dos departamentos ministeriais envolvidos e das comunidades autónomas, nomeadamente no que diz respeito à irrigação.</w:t>
      </w:r>
    </w:p>
    <w:p w14:paraId="6CEF0E46" w14:textId="6715A939" w:rsidR="006D229B" w:rsidRPr="006D229B" w:rsidRDefault="006D229B" w:rsidP="006D229B">
      <w:pPr>
        <w:autoSpaceDE w:val="0"/>
        <w:autoSpaceDN w:val="0"/>
        <w:adjustRightInd w:val="0"/>
        <w:spacing w:after="0"/>
        <w:jc w:val="both"/>
        <w:rPr>
          <w:rFonts w:ascii="Arial" w:hAnsi="Arial" w:cs="Arial"/>
          <w:sz w:val="20"/>
          <w:szCs w:val="20"/>
          <w:shd w:val="clear" w:color="auto" w:fill="FFFFFF"/>
        </w:rPr>
      </w:pPr>
      <w:r w:rsidRPr="006D229B">
        <w:rPr>
          <w:rFonts w:ascii="Arial" w:hAnsi="Arial" w:cs="Arial"/>
          <w:sz w:val="20"/>
          <w:szCs w:val="20"/>
          <w:shd w:val="clear" w:color="auto" w:fill="FFFFFF"/>
          <w:lang w:val="pt-PT"/>
        </w:rPr>
        <w:tab/>
        <w:t xml:space="preserve">Não havia nenhum plano nacional de irrigação em vigor, uma vez que o Plano Nacional de Irrigação Horizonte 2001 2008 expirou dez anos antes do período auditado (2018), o que significa que não há ímpeto suficiente para ações prioritárias de irrigação na Espanha. Além disso, o relatório mostra que a coordenação entre a política agrária e a gestão dos recursos hídricos é insuficiente. Assim, atualmente, a transformação de novas áreas para rega continua a ser promovida em várias áreas do território, apesar de o que o referido Plano indicou como prioridade empreender a modernização da rega e não transformar novas áreas. Adicionalmente, de acordo com a documentação do Ministério da Agricultura, Pesca e Alimentação, em 2018 ainda 24% da área irrigada continuava a usar técnicas de irrigação </w:t>
      </w:r>
      <w:r w:rsidRPr="006D229B">
        <w:rPr>
          <w:rFonts w:ascii="Arial" w:hAnsi="Arial" w:cs="Arial"/>
          <w:sz w:val="20"/>
          <w:szCs w:val="20"/>
          <w:shd w:val="clear" w:color="auto" w:fill="FFFFFF"/>
          <w:lang w:val="pt-PT"/>
        </w:rPr>
        <w:lastRenderedPageBreak/>
        <w:t>ineficientes e, pelo menos, 8% das áreas irrigadas tinham que ser submetido a uma modernização urgente.</w:t>
      </w:r>
    </w:p>
    <w:p w14:paraId="66717D87" w14:textId="580F895D" w:rsidR="006D229B" w:rsidRPr="006D229B" w:rsidRDefault="006D229B" w:rsidP="006D229B">
      <w:pPr>
        <w:autoSpaceDE w:val="0"/>
        <w:autoSpaceDN w:val="0"/>
        <w:adjustRightInd w:val="0"/>
        <w:spacing w:after="0"/>
        <w:jc w:val="both"/>
        <w:rPr>
          <w:rFonts w:ascii="Arial" w:hAnsi="Arial" w:cs="Arial"/>
          <w:sz w:val="20"/>
          <w:szCs w:val="20"/>
          <w:shd w:val="clear" w:color="auto" w:fill="FFFFFF"/>
        </w:rPr>
      </w:pPr>
      <w:r w:rsidRPr="006D229B">
        <w:rPr>
          <w:rFonts w:ascii="Arial" w:hAnsi="Arial" w:cs="Arial"/>
          <w:sz w:val="20"/>
          <w:szCs w:val="20"/>
          <w:shd w:val="clear" w:color="auto" w:fill="FFFFFF"/>
          <w:lang w:val="pt-PT"/>
        </w:rPr>
        <w:tab/>
        <w:t xml:space="preserve">A redução dos recursos no investimento e promoção dos tratamentos </w:t>
      </w:r>
      <w:proofErr w:type="spellStart"/>
      <w:r w:rsidRPr="006D229B">
        <w:rPr>
          <w:rFonts w:ascii="Arial" w:hAnsi="Arial" w:cs="Arial"/>
          <w:sz w:val="20"/>
          <w:szCs w:val="20"/>
          <w:shd w:val="clear" w:color="auto" w:fill="FFFFFF"/>
          <w:lang w:val="pt-PT"/>
        </w:rPr>
        <w:t>silviculturais</w:t>
      </w:r>
      <w:proofErr w:type="spellEnd"/>
      <w:r w:rsidRPr="006D229B">
        <w:rPr>
          <w:rFonts w:ascii="Arial" w:hAnsi="Arial" w:cs="Arial"/>
          <w:sz w:val="20"/>
          <w:szCs w:val="20"/>
          <w:shd w:val="clear" w:color="auto" w:fill="FFFFFF"/>
          <w:lang w:val="pt-PT"/>
        </w:rPr>
        <w:t>, gestão e aproveitamento dos recursos florestais, defesa da propriedade e pesquisa florestal, bem como o abandono do financiamento de reflorestamento e reflorestamento pela Administração Geral do Estado e comunidades autônomas, pode ter um potencial impacto adverso no avanço da desertificação. A fiscalização observou uma coordenação deficiente entre os Ministérios de Transição Ecológica e da Agricultura em assuntos de interesse comum que afetam a desertificação. Não existem canais formais e fluidos de colaboração entre os diferentes organismos envolvidos na luta contra a desertificação e os centros de investigação, dependentes da Administração Geral do Estado.</w:t>
      </w:r>
    </w:p>
    <w:p w14:paraId="5D271AE6" w14:textId="27E35A64" w:rsidR="006D229B" w:rsidRPr="006D229B" w:rsidRDefault="006D229B" w:rsidP="006D229B">
      <w:pPr>
        <w:autoSpaceDE w:val="0"/>
        <w:autoSpaceDN w:val="0"/>
        <w:adjustRightInd w:val="0"/>
        <w:spacing w:after="0"/>
        <w:jc w:val="both"/>
        <w:rPr>
          <w:rFonts w:ascii="Arial" w:hAnsi="Arial" w:cs="Arial"/>
          <w:sz w:val="20"/>
          <w:szCs w:val="20"/>
          <w:shd w:val="clear" w:color="auto" w:fill="FFFFFF"/>
          <w:lang w:val="pt-PT"/>
        </w:rPr>
      </w:pPr>
      <w:r w:rsidRPr="006D229B">
        <w:rPr>
          <w:rFonts w:ascii="Arial" w:hAnsi="Arial" w:cs="Arial"/>
          <w:sz w:val="20"/>
          <w:szCs w:val="20"/>
          <w:shd w:val="clear" w:color="auto" w:fill="FFFFFF"/>
          <w:lang w:val="pt-PT"/>
        </w:rPr>
        <w:tab/>
        <w:t xml:space="preserve">O Relatório também inclui conclusões sobre prevenção e extinção de incêndios florestais, que destacam, entre outros, os seguintes </w:t>
      </w:r>
      <w:proofErr w:type="spellStart"/>
      <w:r w:rsidRPr="006D229B">
        <w:rPr>
          <w:rFonts w:ascii="Arial" w:hAnsi="Arial" w:cs="Arial"/>
          <w:sz w:val="20"/>
          <w:szCs w:val="20"/>
          <w:shd w:val="clear" w:color="auto" w:fill="FFFFFF"/>
          <w:lang w:val="pt-PT"/>
        </w:rPr>
        <w:t>aspectos</w:t>
      </w:r>
      <w:proofErr w:type="spellEnd"/>
      <w:r w:rsidRPr="006D229B">
        <w:rPr>
          <w:rFonts w:ascii="Arial" w:hAnsi="Arial" w:cs="Arial"/>
          <w:sz w:val="20"/>
          <w:szCs w:val="20"/>
          <w:shd w:val="clear" w:color="auto" w:fill="FFFFFF"/>
          <w:lang w:val="pt-PT"/>
        </w:rPr>
        <w:t>: Foi identificada uma diminuição significativa na última década (2008-2018) nos recursos alocados à prevenção de incêndios florestais, o que pode levar a um maior risco de sofrer esses incêndios e de os que ocorrem afetem grandes áreas. Existem disfunções na coordenação entre os programas existentes do FEADER da União Europeia (período 2014-2020), resultando em certos riscos como a existência de aspetos que não são objeto de atenção, a fragmentação de recursos numa diversidade de ações que Pode reduzir sua eficácia, e a ausência de informações agregadas consistentes e de qualidade para analisar a eficácia conjunta das medidas e buscar sua maior eficiência.</w:t>
      </w:r>
    </w:p>
    <w:p w14:paraId="6A379FDA" w14:textId="54AA64A1" w:rsidR="006D229B" w:rsidRPr="006D229B" w:rsidRDefault="006D229B" w:rsidP="006D229B">
      <w:pPr>
        <w:autoSpaceDE w:val="0"/>
        <w:autoSpaceDN w:val="0"/>
        <w:adjustRightInd w:val="0"/>
        <w:spacing w:after="0"/>
        <w:jc w:val="both"/>
        <w:rPr>
          <w:rFonts w:ascii="Arial" w:hAnsi="Arial" w:cs="Arial"/>
          <w:sz w:val="20"/>
          <w:szCs w:val="20"/>
          <w:shd w:val="clear" w:color="auto" w:fill="FFFFFF"/>
        </w:rPr>
      </w:pPr>
      <w:r w:rsidRPr="006D229B">
        <w:rPr>
          <w:rFonts w:ascii="Arial" w:hAnsi="Arial" w:cs="Arial"/>
          <w:sz w:val="20"/>
          <w:szCs w:val="20"/>
          <w:shd w:val="clear" w:color="auto" w:fill="FFFFFF"/>
          <w:lang w:val="pt-PT"/>
        </w:rPr>
        <w:tab/>
        <w:t>A partir da análise das estatísticas de incêndios florestais, pode-se deduzir que a maior parte da área florestal está danificada como resultado de grandes incêndios florestais; concentrando na área geográfica do Noroeste uma significativa repetição de incêndios florestais. Por outro lado, os incêndios tendem a ocorrer no período de verão e, no Noroeste, nos meses de primavera. No entanto, o número de incêndios cuja causa não pode ser identificada, bem como a área afetada por incêndios intencionais, foi gradualmente reduzido. Embora a coordenação das tarefas de combate a incêndios entre a Administração Geral do Estado e as comunidades seja articulada e formalizada por escrito em procedimentos conhecidos e respeitados, ainda existem áreas a melhorar. No entanto, no que se refere aos recursos fundiários cedidos pela Administração Geral do Estado, coexiste uma comissão estadual à TRAGSA com outras realizadas por diferentes comunidades autónomas a esta empresa para o mesmo fim, sem que haja quaisquer mecanismos de coordenação ou estudo a possibilidade de financiar uma comissão conjunta entre todas as Administrações, o que poderá significar maior eficiência e economia na utilização dos recursos.</w:t>
      </w:r>
    </w:p>
    <w:p w14:paraId="72FC5871" w14:textId="77777777" w:rsidR="006D229B" w:rsidRPr="006D229B" w:rsidRDefault="006D229B" w:rsidP="006D229B">
      <w:pPr>
        <w:autoSpaceDE w:val="0"/>
        <w:autoSpaceDN w:val="0"/>
        <w:adjustRightInd w:val="0"/>
        <w:spacing w:after="0"/>
        <w:jc w:val="both"/>
        <w:rPr>
          <w:rFonts w:ascii="Arial" w:hAnsi="Arial" w:cs="Arial"/>
          <w:sz w:val="20"/>
          <w:szCs w:val="20"/>
          <w:shd w:val="clear" w:color="auto" w:fill="FFFFFF"/>
        </w:rPr>
      </w:pPr>
      <w:r w:rsidRPr="006D229B">
        <w:rPr>
          <w:rFonts w:ascii="Arial" w:hAnsi="Arial" w:cs="Arial"/>
          <w:sz w:val="20"/>
          <w:szCs w:val="20"/>
          <w:shd w:val="clear" w:color="auto" w:fill="FFFFFF"/>
          <w:lang w:val="pt-PT"/>
        </w:rPr>
        <w:tab/>
        <w:t>Na coordenação da extinção de incêndios com Portugal encontra-se operacional e funcional. Por outro lado, a realocação de recursos aéreos da Administração Geral do Estado para apoiar trabalhos de combate a incêndios a países não fronteiriços, para além de dois mecanismos de coordenação e cooperação em situações de emergência promovidos pela União Europeia, de eficácia limitada, tem as características de dois fogos na Europa e as condições técnicas de voo dessas aeronaves. O relatório termina com a formulação de várias recomendações dirigidas ao Ministério da Transição Ecológica e Desafio Demográfico, ao Ministério da Agricultura, Pesca e Alimentação, à Direção-Geral da Biodiversidade, Florestas e Desertificação, à Direção-Geral do Desenvolvimento Rural, Inovação e Formação Agroalimentar e Direção Geral de Águas visando a implementação de melhorias nas ações de defesa contra a desertificação e prevenção e extinção de incêndios.</w:t>
      </w:r>
    </w:p>
    <w:p w14:paraId="716EFA29" w14:textId="77777777" w:rsidR="006D229B" w:rsidRPr="004A16E4" w:rsidRDefault="006D229B" w:rsidP="006D229B">
      <w:pPr>
        <w:autoSpaceDE w:val="0"/>
        <w:autoSpaceDN w:val="0"/>
        <w:adjustRightInd w:val="0"/>
        <w:spacing w:after="0"/>
        <w:jc w:val="both"/>
        <w:rPr>
          <w:rStyle w:val="Hyperlink"/>
          <w:rFonts w:ascii="Arial" w:hAnsi="Arial" w:cs="Arial"/>
          <w:sz w:val="20"/>
          <w:szCs w:val="20"/>
        </w:rPr>
      </w:pPr>
    </w:p>
    <w:p w14:paraId="497FE9C2" w14:textId="775A9B30" w:rsidR="006D229B" w:rsidRPr="004A16E4" w:rsidRDefault="006D229B" w:rsidP="006D229B">
      <w:pPr>
        <w:autoSpaceDE w:val="0"/>
        <w:autoSpaceDN w:val="0"/>
        <w:adjustRightInd w:val="0"/>
        <w:spacing w:after="0"/>
        <w:jc w:val="both"/>
        <w:rPr>
          <w:rFonts w:ascii="Arial" w:hAnsi="Arial" w:cs="Arial"/>
          <w:sz w:val="20"/>
          <w:szCs w:val="20"/>
        </w:rPr>
      </w:pPr>
      <w:r>
        <w:rPr>
          <w:rFonts w:ascii="Arial" w:hAnsi="Arial" w:cs="Arial"/>
          <w:sz w:val="20"/>
          <w:szCs w:val="20"/>
        </w:rPr>
        <w:tab/>
      </w:r>
      <w:r w:rsidRPr="004A16E4">
        <w:rPr>
          <w:rFonts w:ascii="Arial" w:hAnsi="Arial" w:cs="Arial"/>
          <w:sz w:val="20"/>
          <w:szCs w:val="20"/>
        </w:rPr>
        <w:t>Informe Executivo do Relatório/Acórdão/Decisão disponível em língua espanhola:</w:t>
      </w:r>
    </w:p>
    <w:p w14:paraId="4B37A2D9" w14:textId="77777777" w:rsidR="006D229B" w:rsidRPr="004A16E4" w:rsidRDefault="006D229B" w:rsidP="006D229B">
      <w:pPr>
        <w:autoSpaceDE w:val="0"/>
        <w:autoSpaceDN w:val="0"/>
        <w:adjustRightInd w:val="0"/>
        <w:spacing w:after="0"/>
        <w:jc w:val="both"/>
        <w:rPr>
          <w:rFonts w:ascii="Arial" w:hAnsi="Arial" w:cs="Arial"/>
          <w:sz w:val="20"/>
          <w:szCs w:val="20"/>
        </w:rPr>
      </w:pPr>
    </w:p>
    <w:p w14:paraId="306F43D6" w14:textId="77777777" w:rsidR="006D229B" w:rsidRPr="004A16E4" w:rsidRDefault="006D229B" w:rsidP="006D229B">
      <w:pPr>
        <w:autoSpaceDE w:val="0"/>
        <w:autoSpaceDN w:val="0"/>
        <w:adjustRightInd w:val="0"/>
        <w:spacing w:after="0"/>
        <w:jc w:val="both"/>
        <w:rPr>
          <w:rFonts w:ascii="Arial" w:hAnsi="Arial" w:cs="Arial"/>
          <w:sz w:val="20"/>
          <w:szCs w:val="20"/>
        </w:rPr>
      </w:pPr>
      <w:hyperlink r:id="rId18" w:history="1">
        <w:r w:rsidRPr="004A16E4">
          <w:rPr>
            <w:rStyle w:val="Hyperlink"/>
            <w:rFonts w:ascii="Arial" w:hAnsi="Arial" w:cs="Arial"/>
            <w:sz w:val="20"/>
            <w:szCs w:val="20"/>
          </w:rPr>
          <w:t>https://www.tcu.es/repositorio/2d40eed5-e912-482c-840a-e740b0d8ac3b/I1393.pdf</w:t>
        </w:r>
      </w:hyperlink>
    </w:p>
    <w:p w14:paraId="4F3F905F" w14:textId="378A3CE3" w:rsidR="005F6B20" w:rsidRPr="002E3E2A" w:rsidRDefault="005F6B20" w:rsidP="006D229B">
      <w:pPr>
        <w:autoSpaceDE w:val="0"/>
        <w:autoSpaceDN w:val="0"/>
        <w:adjustRightInd w:val="0"/>
        <w:spacing w:after="0"/>
        <w:jc w:val="both"/>
        <w:rPr>
          <w:rFonts w:ascii="Arial" w:hAnsi="Arial" w:cs="Arial"/>
          <w:sz w:val="20"/>
          <w:szCs w:val="20"/>
        </w:rPr>
      </w:pPr>
    </w:p>
    <w:p w14:paraId="54926F6B" w14:textId="77777777" w:rsidR="003129B0" w:rsidRPr="002E3E2A" w:rsidRDefault="003129B0" w:rsidP="002E3E2A">
      <w:pPr>
        <w:spacing w:after="0"/>
        <w:rPr>
          <w:rFonts w:ascii="Arial" w:hAnsi="Arial" w:cs="Arial"/>
          <w:b/>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1"/>
        <w:gridCol w:w="899"/>
      </w:tblGrid>
      <w:tr w:rsidR="00E23446" w:rsidRPr="002E3E2A" w14:paraId="003F73E6" w14:textId="77777777" w:rsidTr="00D75C06">
        <w:tc>
          <w:tcPr>
            <w:tcW w:w="8075" w:type="dxa"/>
          </w:tcPr>
          <w:p w14:paraId="10C92CB9" w14:textId="72D0AD85" w:rsidR="00E23446" w:rsidRPr="002E3E2A" w:rsidRDefault="00D75C06" w:rsidP="002E3E2A">
            <w:pPr>
              <w:autoSpaceDE w:val="0"/>
              <w:autoSpaceDN w:val="0"/>
              <w:adjustRightInd w:val="0"/>
              <w:spacing w:line="276" w:lineRule="auto"/>
              <w:jc w:val="both"/>
              <w:rPr>
                <w:rFonts w:ascii="Arial" w:hAnsi="Arial" w:cs="Arial"/>
                <w:b/>
                <w:sz w:val="20"/>
                <w:szCs w:val="20"/>
                <w:shd w:val="clear" w:color="auto" w:fill="FFFFFF"/>
              </w:rPr>
            </w:pPr>
            <w:r w:rsidRPr="002E3E2A">
              <w:rPr>
                <w:rFonts w:ascii="Arial" w:hAnsi="Arial" w:cs="Arial"/>
                <w:b/>
                <w:sz w:val="20"/>
                <w:szCs w:val="20"/>
                <w:shd w:val="clear" w:color="auto" w:fill="FFFFFF"/>
              </w:rPr>
              <w:t xml:space="preserve">REPÚBLICA </w:t>
            </w:r>
            <w:r w:rsidR="006D229B">
              <w:rPr>
                <w:rFonts w:ascii="Arial" w:hAnsi="Arial" w:cs="Arial"/>
                <w:b/>
                <w:sz w:val="20"/>
                <w:szCs w:val="20"/>
                <w:shd w:val="clear" w:color="auto" w:fill="FFFFFF"/>
              </w:rPr>
              <w:t>DE PORTUGAL</w:t>
            </w:r>
            <w:r w:rsidR="00E23446" w:rsidRPr="002E3E2A">
              <w:rPr>
                <w:rFonts w:ascii="Arial" w:hAnsi="Arial" w:cs="Arial"/>
                <w:b/>
                <w:sz w:val="20"/>
                <w:szCs w:val="20"/>
              </w:rPr>
              <w:t xml:space="preserve">                                                                                                                          </w:t>
            </w:r>
          </w:p>
        </w:tc>
        <w:tc>
          <w:tcPr>
            <w:tcW w:w="419" w:type="dxa"/>
          </w:tcPr>
          <w:p w14:paraId="10C56850" w14:textId="1C0A1F95" w:rsidR="00E23446" w:rsidRPr="002E3E2A" w:rsidRDefault="006D229B" w:rsidP="002E3E2A">
            <w:pPr>
              <w:autoSpaceDE w:val="0"/>
              <w:autoSpaceDN w:val="0"/>
              <w:adjustRightInd w:val="0"/>
              <w:spacing w:line="276" w:lineRule="auto"/>
              <w:jc w:val="both"/>
              <w:rPr>
                <w:rFonts w:ascii="Arial" w:hAnsi="Arial" w:cs="Arial"/>
                <w:b/>
                <w:sz w:val="20"/>
                <w:szCs w:val="20"/>
                <w:shd w:val="clear" w:color="auto" w:fill="FFFFFF"/>
              </w:rPr>
            </w:pPr>
            <w:r>
              <w:fldChar w:fldCharType="begin"/>
            </w:r>
            <w:r>
              <w:instrText xml:space="preserve"> INCLUDEPICTURE "/var/folders/hn/bsg63jbd6y52jpl1l5d007vw0000gn/T/com.microsoft.Word/WebArchiveCopyPasteTempFiles/wP1VwE7n6H8AQAAAABJRU5ErkJggg==" \* MERGEFORMATINET </w:instrText>
            </w:r>
            <w:r>
              <w:fldChar w:fldCharType="separate"/>
            </w:r>
            <w:r w:rsidR="00FF0616">
              <w:rPr>
                <w:noProof/>
              </w:rPr>
              <w:pict w14:anchorId="4B6A6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ificado da Bandeira de Portugal (cores, esfera armilar, escudo,...) -  Significados" style="width:34.2pt;height:22.1pt;mso-width-percent:0;mso-height-percent:0;mso-width-percent:0;mso-height-percent:0">
                  <v:imagedata r:id="rId19" r:href="rId20"/>
                </v:shape>
              </w:pict>
            </w:r>
            <w:r>
              <w:fldChar w:fldCharType="end"/>
            </w:r>
          </w:p>
        </w:tc>
      </w:tr>
    </w:tbl>
    <w:p w14:paraId="1D4DDFD3" w14:textId="77777777" w:rsidR="00E23446" w:rsidRPr="002E3E2A" w:rsidRDefault="00E23446" w:rsidP="002E3E2A">
      <w:pPr>
        <w:autoSpaceDE w:val="0"/>
        <w:autoSpaceDN w:val="0"/>
        <w:adjustRightInd w:val="0"/>
        <w:spacing w:after="0"/>
        <w:jc w:val="both"/>
        <w:rPr>
          <w:rFonts w:ascii="Arial" w:hAnsi="Arial" w:cs="Arial"/>
          <w:bCs/>
          <w:sz w:val="20"/>
          <w:szCs w:val="20"/>
          <w:shd w:val="clear" w:color="auto" w:fill="FFFFFF"/>
        </w:rPr>
      </w:pPr>
    </w:p>
    <w:p w14:paraId="4F906E01" w14:textId="19CBC6AC" w:rsidR="00E23446" w:rsidRPr="002E3E2A" w:rsidRDefault="000A7F5C" w:rsidP="002E3E2A">
      <w:pPr>
        <w:pBdr>
          <w:bottom w:val="double" w:sz="4" w:space="1" w:color="800000"/>
        </w:pBdr>
        <w:spacing w:after="0"/>
        <w:rPr>
          <w:rFonts w:ascii="Arial" w:hAnsi="Arial" w:cs="Arial"/>
          <w:b/>
          <w:sz w:val="20"/>
          <w:szCs w:val="20"/>
        </w:rPr>
      </w:pPr>
      <w:r w:rsidRPr="002E3E2A">
        <w:rPr>
          <w:rFonts w:ascii="Arial" w:hAnsi="Arial" w:cs="Arial"/>
          <w:b/>
          <w:sz w:val="20"/>
          <w:szCs w:val="20"/>
        </w:rPr>
        <w:t>2</w:t>
      </w:r>
      <w:r w:rsidR="00D75C06" w:rsidRPr="002E3E2A">
        <w:rPr>
          <w:rFonts w:ascii="Arial" w:hAnsi="Arial" w:cs="Arial"/>
          <w:b/>
          <w:sz w:val="20"/>
          <w:szCs w:val="20"/>
        </w:rPr>
        <w:t>.</w:t>
      </w:r>
      <w:r w:rsidR="00E23446" w:rsidRPr="002E3E2A">
        <w:rPr>
          <w:rFonts w:ascii="Arial" w:hAnsi="Arial" w:cs="Arial"/>
          <w:b/>
          <w:sz w:val="20"/>
          <w:szCs w:val="20"/>
        </w:rPr>
        <w:t xml:space="preserve">  </w:t>
      </w:r>
      <w:r w:rsidR="00D75C06" w:rsidRPr="002E3E2A">
        <w:rPr>
          <w:rFonts w:ascii="Arial" w:hAnsi="Arial" w:cs="Arial"/>
          <w:b/>
          <w:sz w:val="20"/>
          <w:szCs w:val="20"/>
        </w:rPr>
        <w:t xml:space="preserve">TRIBUNAL DE CONTAS </w:t>
      </w:r>
      <w:r w:rsidR="006D229B">
        <w:rPr>
          <w:rFonts w:ascii="Arial" w:hAnsi="Arial" w:cs="Arial"/>
          <w:b/>
          <w:sz w:val="20"/>
          <w:szCs w:val="20"/>
        </w:rPr>
        <w:t>DE PORTUGAL</w:t>
      </w:r>
      <w:r w:rsidR="00E23446" w:rsidRPr="002E3E2A">
        <w:rPr>
          <w:rFonts w:ascii="Arial" w:hAnsi="Arial" w:cs="Arial"/>
          <w:b/>
          <w:sz w:val="20"/>
          <w:szCs w:val="20"/>
        </w:rPr>
        <w:t xml:space="preserve"> </w:t>
      </w:r>
    </w:p>
    <w:p w14:paraId="0B18FBA8" w14:textId="15A5B72D" w:rsidR="0020136E" w:rsidRPr="006D229B" w:rsidRDefault="00E23446" w:rsidP="002E3E2A">
      <w:pPr>
        <w:autoSpaceDE w:val="0"/>
        <w:autoSpaceDN w:val="0"/>
        <w:adjustRightInd w:val="0"/>
        <w:spacing w:after="0"/>
        <w:jc w:val="both"/>
        <w:rPr>
          <w:rStyle w:val="Hyperlink"/>
          <w:rFonts w:ascii="Arial" w:hAnsi="Arial" w:cs="Arial"/>
          <w:color w:val="auto"/>
          <w:sz w:val="20"/>
          <w:szCs w:val="20"/>
          <w:u w:val="none"/>
          <w:shd w:val="clear" w:color="auto" w:fill="FFFFFF"/>
        </w:rPr>
      </w:pPr>
      <w:r w:rsidRPr="002E3E2A">
        <w:rPr>
          <w:rFonts w:ascii="Arial" w:hAnsi="Arial" w:cs="Arial"/>
          <w:sz w:val="20"/>
          <w:szCs w:val="20"/>
          <w:shd w:val="clear" w:color="auto" w:fill="FFFFFF"/>
        </w:rPr>
        <w:t xml:space="preserve">Publicação original acessível em: </w:t>
      </w:r>
    </w:p>
    <w:p w14:paraId="46A1D021" w14:textId="77777777" w:rsidR="006D229B" w:rsidRDefault="006D229B" w:rsidP="006D229B">
      <w:pPr>
        <w:autoSpaceDE w:val="0"/>
        <w:autoSpaceDN w:val="0"/>
        <w:adjustRightInd w:val="0"/>
        <w:spacing w:after="0"/>
        <w:jc w:val="both"/>
        <w:rPr>
          <w:b/>
          <w:sz w:val="20"/>
          <w:szCs w:val="20"/>
        </w:rPr>
      </w:pPr>
    </w:p>
    <w:p w14:paraId="587B1BA5" w14:textId="64E08D9D" w:rsidR="00B6088E" w:rsidRPr="006D229B" w:rsidRDefault="006D229B" w:rsidP="002E3E2A">
      <w:pPr>
        <w:autoSpaceDE w:val="0"/>
        <w:autoSpaceDN w:val="0"/>
        <w:adjustRightInd w:val="0"/>
        <w:spacing w:after="0"/>
        <w:jc w:val="both"/>
        <w:rPr>
          <w:rFonts w:ascii="Arial" w:hAnsi="Arial" w:cs="Arial"/>
          <w:b/>
          <w:sz w:val="20"/>
          <w:szCs w:val="20"/>
        </w:rPr>
      </w:pPr>
      <w:hyperlink r:id="rId21" w:history="1">
        <w:r w:rsidRPr="004A16E4">
          <w:rPr>
            <w:rStyle w:val="Hyperlink"/>
            <w:rFonts w:ascii="Arial" w:hAnsi="Arial" w:cs="Arial"/>
            <w:b/>
            <w:sz w:val="20"/>
            <w:szCs w:val="20"/>
          </w:rPr>
          <w:t>https://www.tcontas.pt/pt-pt/ProdutosTC/Relatorios/RelatoriosAuditoria/Pages/RelatoriosAuditoria.aspx</w:t>
        </w:r>
      </w:hyperlink>
    </w:p>
    <w:p w14:paraId="05E06AF4" w14:textId="77777777" w:rsidR="0020136E" w:rsidRPr="002E3E2A" w:rsidRDefault="0020136E" w:rsidP="002E3E2A">
      <w:pPr>
        <w:autoSpaceDE w:val="0"/>
        <w:autoSpaceDN w:val="0"/>
        <w:adjustRightInd w:val="0"/>
        <w:spacing w:after="0"/>
        <w:jc w:val="both"/>
        <w:rPr>
          <w:rFonts w:ascii="Arial" w:hAnsi="Arial" w:cs="Arial"/>
          <w:sz w:val="20"/>
          <w:szCs w:val="20"/>
        </w:rPr>
      </w:pPr>
    </w:p>
    <w:p w14:paraId="16859F96" w14:textId="345C515E" w:rsidR="006D229B" w:rsidRPr="004A16E4" w:rsidRDefault="006D229B" w:rsidP="006D229B">
      <w:pPr>
        <w:autoSpaceDE w:val="0"/>
        <w:autoSpaceDN w:val="0"/>
        <w:adjustRightInd w:val="0"/>
        <w:spacing w:after="0"/>
        <w:jc w:val="both"/>
        <w:rPr>
          <w:rFonts w:ascii="Arial" w:hAnsi="Arial" w:cs="Arial"/>
          <w:sz w:val="20"/>
          <w:szCs w:val="20"/>
        </w:rPr>
      </w:pPr>
      <w:r>
        <w:rPr>
          <w:rFonts w:ascii="Arial" w:eastAsia="Times New Roman" w:hAnsi="Arial" w:cs="Arial"/>
          <w:color w:val="222222"/>
          <w:sz w:val="20"/>
          <w:szCs w:val="20"/>
          <w:lang w:val="pt-PT" w:eastAsia="pt-BR"/>
        </w:rPr>
        <w:tab/>
      </w:r>
      <w:r w:rsidRPr="004A16E4">
        <w:rPr>
          <w:rFonts w:ascii="Arial" w:hAnsi="Arial" w:cs="Arial"/>
          <w:sz w:val="20"/>
          <w:szCs w:val="20"/>
        </w:rPr>
        <w:t>A redução do Abandono Escolar é uma prioridade assumida por Portugal e um dos principais objetivos da Estratégia Europeia 2020 e da Agenda 2030. Em Portugal, a redução do Abandono tem tido uma evolução muito positiva, passando de 50%, em 1992, para 10,6%, em 2019, muito próximo da meta de 10% estabelecida para 2020. A auditoria visou examinar a fiabilidade e a eficácia dos sistemas de recolha de dados e de monitorização do Abandono implementados pelo Ministério da Educação, bem como a articulação ao nível das medidas adotadas para o seu combate. Observou-se que o conceito de Abandono não está consolidado, comprometendo a confiabilidade e o reporte da informação. Também o controlo de matrículas e de frequência na escolaridade obrigatória não é suficientemente robusto para identificar todas as situações de Abandono.</w:t>
      </w:r>
    </w:p>
    <w:p w14:paraId="24E8D7CB" w14:textId="7E4B933C" w:rsidR="006D229B" w:rsidRPr="004A16E4" w:rsidRDefault="006D229B" w:rsidP="006D229B">
      <w:pPr>
        <w:autoSpaceDE w:val="0"/>
        <w:autoSpaceDN w:val="0"/>
        <w:adjustRightInd w:val="0"/>
        <w:spacing w:after="0"/>
        <w:jc w:val="both"/>
        <w:rPr>
          <w:rFonts w:ascii="Arial" w:hAnsi="Arial" w:cs="Arial"/>
          <w:sz w:val="20"/>
          <w:szCs w:val="20"/>
        </w:rPr>
      </w:pPr>
      <w:r>
        <w:rPr>
          <w:rFonts w:ascii="Arial" w:hAnsi="Arial" w:cs="Arial"/>
          <w:sz w:val="20"/>
          <w:szCs w:val="20"/>
        </w:rPr>
        <w:tab/>
      </w:r>
      <w:r w:rsidRPr="004A16E4">
        <w:rPr>
          <w:rFonts w:ascii="Arial" w:hAnsi="Arial" w:cs="Arial"/>
          <w:sz w:val="20"/>
          <w:szCs w:val="20"/>
        </w:rPr>
        <w:t xml:space="preserve">No sistema educativo nacional não existem indicadores apropriados para medir o Abandono, uma vez que o indicador do INE utilizado foi concebido para o Inquérito ao Emprego, é direcionado aos jovens dos 18 aos 24 anos e não integra os dos 6 aos 18 anos, nem esclarece o nível de ensino em que ocorreu o Abandono. O Ministério da Educação também não tem informação sobre a evolução do Abandono durante a escolaridade obrigatória, nem sobre os jovens que, com mais de 18 anos de idade, não concluem o nível de ensino previsto. Concluiu-se que a recolha de dados sobre os alunos restringe-se ao Continente e com atraso de meio ano nas escolas da rede privada, processa-se em vários sistemas de informação que acolhem diferentes noções de Abandono (alunos considerados indiferentemente em situação de Abandono e risco de Abandono) e carecem de interoperabilidade, não conferindo fiabilidade e eficácia ao sistema. </w:t>
      </w:r>
    </w:p>
    <w:p w14:paraId="30858D96" w14:textId="7E7F8CDA" w:rsidR="006D229B" w:rsidRPr="004A16E4" w:rsidRDefault="006D229B" w:rsidP="006D229B">
      <w:pPr>
        <w:autoSpaceDE w:val="0"/>
        <w:autoSpaceDN w:val="0"/>
        <w:adjustRightInd w:val="0"/>
        <w:spacing w:after="0"/>
        <w:jc w:val="both"/>
        <w:rPr>
          <w:rFonts w:ascii="Arial" w:hAnsi="Arial" w:cs="Arial"/>
          <w:sz w:val="20"/>
          <w:szCs w:val="20"/>
        </w:rPr>
      </w:pPr>
      <w:r>
        <w:rPr>
          <w:rFonts w:ascii="Arial" w:hAnsi="Arial" w:cs="Arial"/>
          <w:sz w:val="20"/>
          <w:szCs w:val="20"/>
        </w:rPr>
        <w:tab/>
      </w:r>
      <w:r w:rsidRPr="004A16E4">
        <w:rPr>
          <w:rFonts w:ascii="Arial" w:hAnsi="Arial" w:cs="Arial"/>
          <w:sz w:val="20"/>
          <w:szCs w:val="20"/>
        </w:rPr>
        <w:t xml:space="preserve">Também não existe um sistema central de monitorização do Abandono com informação completa e detalhada para a sinalização atual de situações de risco de Abandono. De igual modo, não foi definida uma estratégia global, com coordenação horizontal e vertical, que avalie as medidas de combate ao Abandono e o seu impacto a nível nacional, regional e local, prejudicando uma avaliação global e a melhor identificação das situações críticas a carecer de intervenção e financiamento. Observou-se, ainda, que a programação orçamental enquadradora das medidas de combate ao Abandono não é suficiente, explícita e completa, prejudicando o princípio da transparência orçamental e não permitindo conhecer o encargo do país neste combate. Finalmente, refere-se que, embora a meta de 10% de Abandono esteja em vias de ser atingida, Portugal ainda está longe de eliminar o Abandono, situando-se em 21.º lugar entre os 28 países da União Europeia. </w:t>
      </w:r>
    </w:p>
    <w:p w14:paraId="1B55DC4D" w14:textId="211D5CD8" w:rsidR="006D229B" w:rsidRPr="004A16E4" w:rsidRDefault="006D229B" w:rsidP="006D229B">
      <w:pPr>
        <w:autoSpaceDE w:val="0"/>
        <w:autoSpaceDN w:val="0"/>
        <w:adjustRightInd w:val="0"/>
        <w:spacing w:after="0"/>
        <w:jc w:val="both"/>
        <w:rPr>
          <w:rFonts w:ascii="Arial" w:hAnsi="Arial" w:cs="Arial"/>
          <w:sz w:val="20"/>
          <w:szCs w:val="20"/>
        </w:rPr>
      </w:pPr>
      <w:r>
        <w:rPr>
          <w:rFonts w:ascii="Arial" w:hAnsi="Arial" w:cs="Arial"/>
          <w:sz w:val="20"/>
          <w:szCs w:val="20"/>
        </w:rPr>
        <w:tab/>
      </w:r>
      <w:r w:rsidRPr="004A16E4">
        <w:rPr>
          <w:rFonts w:ascii="Arial" w:hAnsi="Arial" w:cs="Arial"/>
          <w:sz w:val="20"/>
          <w:szCs w:val="20"/>
        </w:rPr>
        <w:t xml:space="preserve">Permanece, assim, a necessidade de medir e monitorizar o Abandono, ampliada pelo recente recurso ao ensino a distância para mitigar o impacto da pandemia de Covid-19 que intensifica os riscos de Abandono dos alunos com uma relação mais frágil com a escola. Neste contexto, as conclusões do Relatório (§§ 182 a 205) suscitaram a formulação de recomendações (§ 206) dirigidas ao Ministro da Educação para superar as várias insuficiências </w:t>
      </w:r>
      <w:r w:rsidRPr="004A16E4">
        <w:rPr>
          <w:rFonts w:ascii="Arial" w:hAnsi="Arial" w:cs="Arial"/>
          <w:sz w:val="20"/>
          <w:szCs w:val="20"/>
        </w:rPr>
        <w:lastRenderedPageBreak/>
        <w:t>e deficiências assinaladas no Relatório, designadamente quanto à: definição de uma estratégia global para o combate ao Abandono que integre uma estrutura de monitorização e avaliação; definição dos conceitos de Abandono e de risco de Abandono e respetivos indicadores; implementação de sistemas de controlo eficazes para o cumprimento da escolaridade obrigatória; interoperabilidade dos sistemas de informação de recolha de dados de alunos; promoção da transparência e detalhe no Programa Orçamental, evidenciando o montante afeto ao combate ao Abandono.</w:t>
      </w:r>
    </w:p>
    <w:p w14:paraId="0D81A7E8" w14:textId="005A3E86" w:rsidR="006D229B" w:rsidRPr="004A16E4" w:rsidRDefault="006D229B" w:rsidP="006D229B">
      <w:pPr>
        <w:autoSpaceDE w:val="0"/>
        <w:autoSpaceDN w:val="0"/>
        <w:adjustRightInd w:val="0"/>
        <w:spacing w:after="0"/>
        <w:jc w:val="both"/>
        <w:rPr>
          <w:rFonts w:ascii="Arial" w:hAnsi="Arial" w:cs="Arial"/>
          <w:sz w:val="20"/>
          <w:szCs w:val="20"/>
        </w:rPr>
      </w:pPr>
      <w:r>
        <w:rPr>
          <w:rFonts w:ascii="Arial" w:hAnsi="Arial" w:cs="Arial"/>
          <w:sz w:val="20"/>
          <w:szCs w:val="20"/>
        </w:rPr>
        <w:tab/>
      </w:r>
      <w:r w:rsidRPr="004A16E4">
        <w:rPr>
          <w:rFonts w:ascii="Arial" w:hAnsi="Arial" w:cs="Arial"/>
          <w:sz w:val="20"/>
          <w:szCs w:val="20"/>
        </w:rPr>
        <w:t xml:space="preserve">O Abandono escolar tem um custo elevado para os indivíduos, economia e sociedade. A nível internacional, o Abandono é entendido como a situação das pessoas que saíram do ensino ou da formação tendo apenas concluído o ensino básico ou outro nível de ensino inferior e que não frequentam nenhum programa de educação ou formação. </w:t>
      </w:r>
    </w:p>
    <w:p w14:paraId="7120F58E" w14:textId="0EE19D3F" w:rsidR="006D229B" w:rsidRPr="004A16E4" w:rsidRDefault="006D229B" w:rsidP="006D229B">
      <w:pPr>
        <w:autoSpaceDE w:val="0"/>
        <w:autoSpaceDN w:val="0"/>
        <w:adjustRightInd w:val="0"/>
        <w:spacing w:after="0"/>
        <w:jc w:val="both"/>
        <w:rPr>
          <w:rFonts w:ascii="Arial" w:hAnsi="Arial" w:cs="Arial"/>
          <w:sz w:val="20"/>
          <w:szCs w:val="20"/>
        </w:rPr>
      </w:pPr>
      <w:r>
        <w:rPr>
          <w:rFonts w:ascii="Arial" w:hAnsi="Arial" w:cs="Arial"/>
          <w:sz w:val="20"/>
          <w:szCs w:val="20"/>
        </w:rPr>
        <w:tab/>
      </w:r>
      <w:r w:rsidRPr="004A16E4">
        <w:rPr>
          <w:rFonts w:ascii="Arial" w:hAnsi="Arial" w:cs="Arial"/>
          <w:sz w:val="20"/>
          <w:szCs w:val="20"/>
        </w:rPr>
        <w:t xml:space="preserve">O custo ao longo da vida, para o jovem que abandona a escola e para a sociedade, está estimado entre um </w:t>
      </w:r>
      <w:r w:rsidR="000230CD" w:rsidRPr="004A16E4">
        <w:rPr>
          <w:rFonts w:ascii="Arial" w:hAnsi="Arial" w:cs="Arial"/>
          <w:sz w:val="20"/>
          <w:szCs w:val="20"/>
        </w:rPr>
        <w:t>e</w:t>
      </w:r>
      <w:r w:rsidRPr="004A16E4">
        <w:rPr>
          <w:rFonts w:ascii="Arial" w:hAnsi="Arial" w:cs="Arial"/>
          <w:sz w:val="20"/>
          <w:szCs w:val="20"/>
        </w:rPr>
        <w:t xml:space="preserve"> dois milhões de euros, segundo o Parlamento Europeu, e, para o país, que continua a debater-se com baixo nível de qualificações num contexto demográfico de baixa taxa de natalidade e redução da população ativa, representa um obstáculo ao investimento, ao aumento da produtividade e ao crescimento inteligente, sustentável e inclusivo (§§ 1-26). Em Portugal, o indicador internacional tem apresentado uma evolução muito positiva, passando de 50%, em 1992, para 10,6%, em 2019 (muito próximo da meta de 10% estabelecida para 2020) 184. A redução do Abandono, em conjugação com a promoção do sucesso escolar, é uma prioridade assumida por Portugal e um dos principais objetivos da Estratégia Europeia 2020 e da Agenda 2030 (§§ 27-34). 185. As causas do Abandono são múltiplas, estão identificadas e relacionam-se, em geral, com razões económicas, sociais e escolares. Contudo, não existe um mapeamento, com detalhe nacional, regional e local, para apoiar e melhor direcionar as intervenções necessárias (§§ 35-41).</w:t>
      </w:r>
    </w:p>
    <w:p w14:paraId="187932FD" w14:textId="6AB655E3" w:rsidR="006D229B" w:rsidRPr="004A16E4" w:rsidRDefault="006D229B" w:rsidP="006D229B">
      <w:pPr>
        <w:autoSpaceDE w:val="0"/>
        <w:autoSpaceDN w:val="0"/>
        <w:adjustRightInd w:val="0"/>
        <w:spacing w:after="0"/>
        <w:jc w:val="both"/>
        <w:rPr>
          <w:rFonts w:ascii="Arial" w:hAnsi="Arial" w:cs="Arial"/>
          <w:sz w:val="20"/>
          <w:szCs w:val="20"/>
        </w:rPr>
      </w:pPr>
      <w:r>
        <w:rPr>
          <w:rFonts w:ascii="Arial" w:hAnsi="Arial" w:cs="Arial"/>
          <w:sz w:val="20"/>
          <w:szCs w:val="20"/>
        </w:rPr>
        <w:tab/>
      </w:r>
      <w:r w:rsidRPr="004A16E4">
        <w:rPr>
          <w:rFonts w:ascii="Arial" w:hAnsi="Arial" w:cs="Arial"/>
          <w:sz w:val="20"/>
          <w:szCs w:val="20"/>
        </w:rPr>
        <w:t>Ao final da auditoria realizada ao Abandono Escolar Precoce, recomendou-se ao Ministro da Educação que diligencie no sentido de serem superadas as várias insuficiências e deficiências assinaladas no presente Relatório, designadamente quanto à/ao: a) Definição de uma estratégia global para o combate ao Abandono que integre uma estrutura de monitorização e avaliação; b) Definição clara e inequívoca dos conceitos de Abandono e de risco de Abandono e dos respetivos indicadores no sistema de ensino nacional; c) Mapeamento do Abandono, com detalhe a nível nacional, regional e local; d) Implementação de sistemas de controlo eficazes para o cumprimento dos deveres de matrícula e de frequência na escolaridade obrigatória; e) Interoperabilidade dos sistemas de informação para a recolha de dados de alunos no território nacional e de modo tempestivo; f) Promoção da transparência e do detalhe no Programa Orçamental PO 14, onde se mostre evidenciado, designadamente, o montante afeto ao combate ao Abandono</w:t>
      </w:r>
    </w:p>
    <w:p w14:paraId="7580A06D" w14:textId="7CA5C4AF" w:rsidR="00E23446" w:rsidRPr="002E3E2A" w:rsidRDefault="00E23446" w:rsidP="006D229B">
      <w:pPr>
        <w:autoSpaceDE w:val="0"/>
        <w:autoSpaceDN w:val="0"/>
        <w:adjustRightInd w:val="0"/>
        <w:spacing w:after="0"/>
        <w:jc w:val="both"/>
        <w:rPr>
          <w:rFonts w:ascii="Arial" w:hAnsi="Arial" w:cs="Arial"/>
          <w:sz w:val="20"/>
          <w:szCs w:val="20"/>
        </w:rPr>
      </w:pPr>
    </w:p>
    <w:p w14:paraId="62977C2B" w14:textId="4D12F10D" w:rsidR="00E23446" w:rsidRPr="002E3E2A" w:rsidRDefault="006D229B" w:rsidP="002E3E2A">
      <w:pPr>
        <w:autoSpaceDE w:val="0"/>
        <w:autoSpaceDN w:val="0"/>
        <w:adjustRightInd w:val="0"/>
        <w:spacing w:after="0"/>
        <w:jc w:val="both"/>
        <w:rPr>
          <w:rFonts w:ascii="Arial" w:hAnsi="Arial" w:cs="Arial"/>
          <w:sz w:val="20"/>
          <w:szCs w:val="20"/>
        </w:rPr>
      </w:pPr>
      <w:r>
        <w:rPr>
          <w:rFonts w:ascii="Arial" w:hAnsi="Arial" w:cs="Arial"/>
          <w:sz w:val="20"/>
          <w:szCs w:val="20"/>
        </w:rPr>
        <w:tab/>
      </w:r>
      <w:r w:rsidR="00E23446" w:rsidRPr="002E3E2A">
        <w:rPr>
          <w:rFonts w:ascii="Arial" w:hAnsi="Arial" w:cs="Arial"/>
          <w:sz w:val="20"/>
          <w:szCs w:val="20"/>
        </w:rPr>
        <w:t xml:space="preserve">Informe Executivo do Relatório/Acórdão/Decisão disponível em língua </w:t>
      </w:r>
      <w:r>
        <w:rPr>
          <w:rFonts w:ascii="Arial" w:hAnsi="Arial" w:cs="Arial"/>
          <w:sz w:val="20"/>
          <w:szCs w:val="20"/>
        </w:rPr>
        <w:t>portuguesa</w:t>
      </w:r>
      <w:r w:rsidR="00E23446" w:rsidRPr="002E3E2A">
        <w:rPr>
          <w:rFonts w:ascii="Arial" w:hAnsi="Arial" w:cs="Arial"/>
          <w:sz w:val="20"/>
          <w:szCs w:val="20"/>
        </w:rPr>
        <w:t>:</w:t>
      </w:r>
    </w:p>
    <w:p w14:paraId="68836026" w14:textId="77777777" w:rsidR="00DF3666" w:rsidRPr="002E3E2A" w:rsidRDefault="00DF3666" w:rsidP="002E3E2A">
      <w:pPr>
        <w:spacing w:after="0"/>
        <w:jc w:val="both"/>
        <w:rPr>
          <w:rFonts w:ascii="Arial" w:hAnsi="Arial" w:cs="Arial"/>
          <w:sz w:val="20"/>
          <w:szCs w:val="20"/>
        </w:rPr>
      </w:pPr>
    </w:p>
    <w:p w14:paraId="05A756F8" w14:textId="4AEEF346" w:rsidR="004773BD" w:rsidRPr="00F20453" w:rsidRDefault="006D229B" w:rsidP="00F20453">
      <w:pPr>
        <w:autoSpaceDE w:val="0"/>
        <w:autoSpaceDN w:val="0"/>
        <w:adjustRightInd w:val="0"/>
        <w:spacing w:after="0"/>
        <w:jc w:val="both"/>
        <w:rPr>
          <w:rFonts w:ascii="Arial" w:hAnsi="Arial" w:cs="Arial"/>
          <w:b/>
          <w:sz w:val="20"/>
          <w:szCs w:val="20"/>
        </w:rPr>
      </w:pPr>
      <w:hyperlink r:id="rId22" w:history="1">
        <w:r w:rsidRPr="004A16E4">
          <w:rPr>
            <w:rStyle w:val="Hyperlink"/>
            <w:rFonts w:ascii="Arial" w:hAnsi="Arial" w:cs="Arial"/>
            <w:b/>
            <w:sz w:val="20"/>
            <w:szCs w:val="20"/>
          </w:rPr>
          <w:t>https://www.tcontas.pt/pt-pt/ProdutosTC/Relatorios/RelatoriosAuditoria/Documents/2020/rel10-2020-2s.pdf</w:t>
        </w:r>
      </w:hyperlink>
    </w:p>
    <w:p w14:paraId="7FC01E1D" w14:textId="77777777" w:rsidR="004773BD" w:rsidRPr="002E3E2A" w:rsidRDefault="004773BD" w:rsidP="002E3E2A">
      <w:pPr>
        <w:spacing w:after="0"/>
        <w:jc w:val="both"/>
        <w:rPr>
          <w:rFonts w:ascii="Arial" w:hAnsi="Arial" w:cs="Arial"/>
          <w:color w:val="000000"/>
          <w:sz w:val="20"/>
          <w:szCs w:val="20"/>
        </w:rPr>
      </w:pPr>
    </w:p>
    <w:p w14:paraId="08503D51" w14:textId="77777777" w:rsidR="00543DF0" w:rsidRPr="002E3E2A" w:rsidRDefault="00543DF0" w:rsidP="002E3E2A">
      <w:pPr>
        <w:pStyle w:val="Default"/>
        <w:spacing w:line="276" w:lineRule="auto"/>
        <w:jc w:val="both"/>
        <w:rPr>
          <w:b/>
          <w:sz w:val="20"/>
          <w:szCs w:val="20"/>
        </w:rPr>
      </w:pPr>
      <w:r w:rsidRPr="002E3E2A">
        <w:rPr>
          <w:b/>
          <w:sz w:val="20"/>
          <w:szCs w:val="20"/>
        </w:rPr>
        <w:t xml:space="preserve">Acesse também: </w:t>
      </w:r>
    </w:p>
    <w:p w14:paraId="094D0CCB" w14:textId="77777777" w:rsidR="00270E2F" w:rsidRPr="002E3E2A" w:rsidRDefault="00FF0616" w:rsidP="002E3E2A">
      <w:pPr>
        <w:pStyle w:val="Default"/>
        <w:spacing w:line="276" w:lineRule="auto"/>
        <w:jc w:val="center"/>
        <w:rPr>
          <w:rStyle w:val="Hyperlink"/>
          <w:b/>
          <w:sz w:val="20"/>
          <w:szCs w:val="20"/>
        </w:rPr>
      </w:pPr>
      <w:hyperlink r:id="rId23" w:history="1">
        <w:r w:rsidR="00270E2F" w:rsidRPr="002E3E2A">
          <w:rPr>
            <w:rStyle w:val="Hyperlink"/>
            <w:b/>
            <w:sz w:val="20"/>
            <w:szCs w:val="20"/>
          </w:rPr>
          <w:t>Pesquisas Prontas</w:t>
        </w:r>
      </w:hyperlink>
    </w:p>
    <w:p w14:paraId="6BF07C58" w14:textId="77777777" w:rsidR="00E3262F" w:rsidRPr="002E3E2A" w:rsidRDefault="00E3262F" w:rsidP="002E3E2A">
      <w:pPr>
        <w:pStyle w:val="Default"/>
        <w:spacing w:line="276" w:lineRule="auto"/>
        <w:jc w:val="center"/>
        <w:rPr>
          <w:rStyle w:val="Hyperlink"/>
          <w:b/>
          <w:sz w:val="20"/>
          <w:szCs w:val="20"/>
        </w:rPr>
      </w:pPr>
    </w:p>
    <w:p w14:paraId="03DF2971" w14:textId="77777777" w:rsidR="00E3262F" w:rsidRPr="002E3E2A" w:rsidRDefault="00FF0616" w:rsidP="002E3E2A">
      <w:pPr>
        <w:pStyle w:val="Default"/>
        <w:spacing w:line="276" w:lineRule="auto"/>
        <w:jc w:val="center"/>
        <w:rPr>
          <w:b/>
          <w:sz w:val="20"/>
          <w:szCs w:val="20"/>
        </w:rPr>
      </w:pPr>
      <w:hyperlink r:id="rId24" w:history="1">
        <w:r w:rsidR="00E3262F" w:rsidRPr="002E3E2A">
          <w:rPr>
            <w:rStyle w:val="Hyperlink"/>
            <w:b/>
            <w:sz w:val="20"/>
            <w:szCs w:val="20"/>
          </w:rPr>
          <w:t>Teses Ambientais</w:t>
        </w:r>
      </w:hyperlink>
    </w:p>
    <w:p w14:paraId="23459611" w14:textId="77777777" w:rsidR="00270E2F" w:rsidRPr="002E3E2A" w:rsidRDefault="00270E2F" w:rsidP="002E3E2A">
      <w:pPr>
        <w:pStyle w:val="Default"/>
        <w:spacing w:line="276" w:lineRule="auto"/>
        <w:jc w:val="center"/>
        <w:rPr>
          <w:sz w:val="20"/>
          <w:szCs w:val="20"/>
        </w:rPr>
      </w:pPr>
    </w:p>
    <w:p w14:paraId="3F9ABEA0" w14:textId="77777777" w:rsidR="00270E2F" w:rsidRPr="002E3E2A" w:rsidRDefault="00FF0616" w:rsidP="002E3E2A">
      <w:pPr>
        <w:pStyle w:val="Default"/>
        <w:spacing w:line="276" w:lineRule="auto"/>
        <w:jc w:val="center"/>
        <w:rPr>
          <w:rStyle w:val="Hyperlink"/>
          <w:b/>
          <w:sz w:val="20"/>
          <w:szCs w:val="20"/>
        </w:rPr>
      </w:pPr>
      <w:hyperlink r:id="rId25" w:history="1">
        <w:r w:rsidR="00270E2F" w:rsidRPr="002E3E2A">
          <w:rPr>
            <w:rStyle w:val="Hyperlink"/>
            <w:b/>
            <w:sz w:val="20"/>
            <w:szCs w:val="20"/>
          </w:rPr>
          <w:t>Repercussão Geral do Supremo Tribunal Federal - STF e os Tribunais de Contas</w:t>
        </w:r>
      </w:hyperlink>
    </w:p>
    <w:p w14:paraId="2E8FDFA9" w14:textId="77777777" w:rsidR="00270E2F" w:rsidRPr="002E3E2A" w:rsidRDefault="00270E2F" w:rsidP="002E3E2A">
      <w:pPr>
        <w:pStyle w:val="Default"/>
        <w:spacing w:line="276" w:lineRule="auto"/>
        <w:jc w:val="center"/>
        <w:rPr>
          <w:rStyle w:val="Hyperlink"/>
          <w:b/>
          <w:sz w:val="20"/>
          <w:szCs w:val="20"/>
        </w:rPr>
      </w:pPr>
    </w:p>
    <w:p w14:paraId="60842092" w14:textId="77777777" w:rsidR="003E297C" w:rsidRPr="002E3E2A" w:rsidRDefault="00FF0616" w:rsidP="002E3E2A">
      <w:pPr>
        <w:pStyle w:val="Default"/>
        <w:spacing w:line="276" w:lineRule="auto"/>
        <w:jc w:val="center"/>
        <w:rPr>
          <w:rStyle w:val="Hyperlink"/>
          <w:b/>
          <w:sz w:val="20"/>
          <w:szCs w:val="20"/>
        </w:rPr>
      </w:pPr>
      <w:hyperlink r:id="rId26" w:history="1">
        <w:r w:rsidR="003E297C" w:rsidRPr="002E3E2A">
          <w:rPr>
            <w:rStyle w:val="Hyperlink"/>
            <w:b/>
            <w:sz w:val="20"/>
            <w:szCs w:val="20"/>
          </w:rPr>
          <w:t>Boletim Informativo de Jurisprudência</w:t>
        </w:r>
      </w:hyperlink>
    </w:p>
    <w:p w14:paraId="47E27A7F" w14:textId="77777777" w:rsidR="003E297C" w:rsidRPr="002E3E2A" w:rsidRDefault="003E297C" w:rsidP="002E3E2A">
      <w:pPr>
        <w:pStyle w:val="Default"/>
        <w:spacing w:line="276" w:lineRule="auto"/>
        <w:jc w:val="center"/>
        <w:rPr>
          <w:rStyle w:val="Hyperlink"/>
          <w:b/>
          <w:sz w:val="20"/>
          <w:szCs w:val="20"/>
        </w:rPr>
      </w:pPr>
    </w:p>
    <w:p w14:paraId="568244D5" w14:textId="77777777" w:rsidR="003E297C" w:rsidRPr="002E3E2A" w:rsidRDefault="00FF0616" w:rsidP="002E3E2A">
      <w:pPr>
        <w:pStyle w:val="Default"/>
        <w:spacing w:line="276" w:lineRule="auto"/>
        <w:jc w:val="center"/>
        <w:rPr>
          <w:rStyle w:val="Hyperlink"/>
          <w:b/>
          <w:sz w:val="20"/>
          <w:szCs w:val="20"/>
        </w:rPr>
      </w:pPr>
      <w:hyperlink r:id="rId27" w:history="1">
        <w:r w:rsidR="003E297C" w:rsidRPr="002E3E2A">
          <w:rPr>
            <w:rStyle w:val="Hyperlink"/>
            <w:b/>
            <w:sz w:val="20"/>
            <w:szCs w:val="20"/>
          </w:rPr>
          <w:t>Súmulas Selecionadas</w:t>
        </w:r>
      </w:hyperlink>
    </w:p>
    <w:p w14:paraId="5E979264" w14:textId="77777777" w:rsidR="00270E2F" w:rsidRPr="002E3E2A" w:rsidRDefault="00FF0616" w:rsidP="002E3E2A">
      <w:pPr>
        <w:pStyle w:val="TCU-Epgrafe"/>
        <w:spacing w:line="276" w:lineRule="auto"/>
        <w:ind w:left="0"/>
        <w:rPr>
          <w:rFonts w:ascii="Arial" w:hAnsi="Arial" w:cs="Arial"/>
          <w:sz w:val="20"/>
        </w:rPr>
      </w:pPr>
      <w:r>
        <w:rPr>
          <w:noProof/>
        </w:rPr>
        <w:pict w14:anchorId="48DC3639">
          <v:line id="Conector reto 59" o:spid="_x0000_s2050" style="position:absolute;left:0;text-align:left;z-index:251664896;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" strokecolor="maroon" strokeweight="2pt">
            <v:shadow on="t" color="black" opacity="24903f" origin=",.5" offset="0,.55556mm"/>
            <w10:wrap anchorx="margin"/>
          </v:line>
        </w:pict>
      </w:r>
    </w:p>
    <w:p w14:paraId="77D7FF8F" w14:textId="77777777" w:rsidR="00984E8B" w:rsidRPr="002E3E2A" w:rsidRDefault="00984E8B" w:rsidP="002E3E2A">
      <w:pPr>
        <w:spacing w:after="0"/>
        <w:jc w:val="center"/>
        <w:rPr>
          <w:rStyle w:val="Hyperlink"/>
          <w:rFonts w:ascii="Arial" w:hAnsi="Arial" w:cs="Arial"/>
          <w:i/>
          <w:color w:val="000000" w:themeColor="text1"/>
          <w:sz w:val="20"/>
          <w:szCs w:val="20"/>
          <w:u w:val="none"/>
        </w:rPr>
      </w:pPr>
    </w:p>
    <w:p w14:paraId="34740D1B" w14:textId="77777777" w:rsidR="00E01524" w:rsidRPr="002E3E2A" w:rsidRDefault="00DB558E" w:rsidP="002E3E2A">
      <w:pPr>
        <w:spacing w:after="0"/>
        <w:jc w:val="center"/>
        <w:rPr>
          <w:rFonts w:ascii="Arial" w:hAnsi="Arial" w:cs="Arial"/>
          <w:b/>
          <w:sz w:val="20"/>
          <w:szCs w:val="20"/>
        </w:rPr>
      </w:pPr>
      <w:r w:rsidRPr="002E3E2A">
        <w:rPr>
          <w:rStyle w:val="Hyperlink"/>
          <w:rFonts w:ascii="Arial" w:hAnsi="Arial" w:cs="Arial"/>
          <w:i/>
          <w:color w:val="000000" w:themeColor="text1"/>
          <w:sz w:val="20"/>
          <w:szCs w:val="20"/>
          <w:u w:val="none"/>
        </w:rPr>
        <w:t>Elaboração: Escola de Gestão Pública - Jurisprudência</w:t>
      </w:r>
    </w:p>
    <w:sectPr w:rsidR="00E01524" w:rsidRPr="002E3E2A" w:rsidSect="004B42BB">
      <w:headerReference w:type="default" r:id="rId28"/>
      <w:footerReference w:type="default" r:id="rId29"/>
      <w:pgSz w:w="11906" w:h="16838"/>
      <w:pgMar w:top="549" w:right="1701" w:bottom="1417" w:left="1701"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B8EE" w14:textId="77777777" w:rsidR="00FF0616" w:rsidRDefault="00FF0616" w:rsidP="00350CC2">
      <w:pPr>
        <w:spacing w:after="0" w:line="240" w:lineRule="auto"/>
      </w:pPr>
      <w:r>
        <w:separator/>
      </w:r>
    </w:p>
  </w:endnote>
  <w:endnote w:type="continuationSeparator" w:id="0">
    <w:p w14:paraId="4ED76E63" w14:textId="77777777" w:rsidR="00FF0616" w:rsidRDefault="00FF0616"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248F" w14:textId="77777777" w:rsidR="000A4E5F" w:rsidRDefault="000A4E5F" w:rsidP="002245DE">
    <w:pPr>
      <w:pStyle w:val="Rodap"/>
      <w:jc w:val="center"/>
      <w:rPr>
        <w:sz w:val="16"/>
        <w:szCs w:val="16"/>
      </w:rPr>
    </w:pPr>
  </w:p>
  <w:p w14:paraId="237C733E" w14:textId="77777777" w:rsidR="000A4E5F" w:rsidRPr="00AD1CE8" w:rsidRDefault="000A4E5F" w:rsidP="007A3F8C">
    <w:pPr>
      <w:pStyle w:val="Rodap"/>
      <w:jc w:val="right"/>
      <w:rPr>
        <w:rFonts w:ascii="Arial" w:hAnsi="Arial"/>
        <w:b/>
        <w:color w:val="FFFFFF" w:themeColor="background1"/>
        <w:sz w:val="20"/>
        <w:szCs w:val="20"/>
      </w:rPr>
    </w:pPr>
    <w:r w:rsidRPr="00AD1CE8">
      <w:rPr>
        <w:rFonts w:ascii="Arial" w:hAnsi="Arial"/>
        <w:b/>
        <w:noProof/>
        <w:color w:val="FFFFFF" w:themeColor="background1"/>
        <w:sz w:val="20"/>
        <w:szCs w:val="20"/>
        <w:lang w:eastAsia="pt-BR"/>
      </w:rPr>
      <w:drawing>
        <wp:anchor distT="0" distB="0" distL="114300" distR="114300" simplePos="0" relativeHeight="251659264" behindDoc="1" locked="0" layoutInCell="1" allowOverlap="1" wp14:anchorId="19C5E883" wp14:editId="5875AFB9">
          <wp:simplePos x="0" y="0"/>
          <wp:positionH relativeFrom="column">
            <wp:posOffset>-1121410</wp:posOffset>
          </wp:positionH>
          <wp:positionV relativeFrom="paragraph">
            <wp:posOffset>-393065</wp:posOffset>
          </wp:positionV>
          <wp:extent cx="7643495" cy="704850"/>
          <wp:effectExtent l="0" t="0" r="1905"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3.png"/>
                  <pic:cNvPicPr/>
                </pic:nvPicPr>
                <pic:blipFill>
                  <a:blip r:embed="rId1">
                    <a:extLst>
                      <a:ext uri="{28A0092B-C50C-407E-A947-70E740481C1C}">
                        <a14:useLocalDpi xmlns:a14="http://schemas.microsoft.com/office/drawing/2010/main" val="0"/>
                      </a:ext>
                    </a:extLst>
                  </a:blip>
                  <a:stretch>
                    <a:fillRect/>
                  </a:stretch>
                </pic:blipFill>
                <pic:spPr>
                  <a:xfrm>
                    <a:off x="0" y="0"/>
                    <a:ext cx="7643495" cy="704850"/>
                  </a:xfrm>
                  <a:prstGeom prst="rect">
                    <a:avLst/>
                  </a:prstGeom>
                </pic:spPr>
              </pic:pic>
            </a:graphicData>
          </a:graphic>
        </wp:anchor>
      </w:drawing>
    </w:r>
    <w:r w:rsidR="0004014E" w:rsidRPr="00AD1CE8">
      <w:rPr>
        <w:rFonts w:ascii="Arial" w:hAnsi="Arial"/>
        <w:b/>
        <w:color w:val="FFFFFF" w:themeColor="background1"/>
        <w:sz w:val="20"/>
        <w:szCs w:val="20"/>
      </w:rPr>
      <w:fldChar w:fldCharType="begin"/>
    </w:r>
    <w:r w:rsidRPr="00AD1CE8">
      <w:rPr>
        <w:rFonts w:ascii="Arial" w:hAnsi="Arial"/>
        <w:b/>
        <w:color w:val="FFFFFF" w:themeColor="background1"/>
        <w:sz w:val="20"/>
        <w:szCs w:val="20"/>
      </w:rPr>
      <w:instrText xml:space="preserve"> PAGE   \* MERGEFORMAT </w:instrText>
    </w:r>
    <w:r w:rsidR="0004014E" w:rsidRPr="00AD1CE8">
      <w:rPr>
        <w:rFonts w:ascii="Arial" w:hAnsi="Arial"/>
        <w:b/>
        <w:color w:val="FFFFFF" w:themeColor="background1"/>
        <w:sz w:val="20"/>
        <w:szCs w:val="20"/>
      </w:rPr>
      <w:fldChar w:fldCharType="separate"/>
    </w:r>
    <w:r w:rsidR="007143C3">
      <w:rPr>
        <w:rFonts w:ascii="Arial" w:hAnsi="Arial"/>
        <w:b/>
        <w:noProof/>
        <w:color w:val="FFFFFF" w:themeColor="background1"/>
        <w:sz w:val="20"/>
        <w:szCs w:val="20"/>
      </w:rPr>
      <w:t>6</w:t>
    </w:r>
    <w:r w:rsidR="0004014E" w:rsidRPr="00AD1CE8">
      <w:rPr>
        <w:rFonts w:ascii="Arial" w:hAnsi="Arial"/>
        <w:b/>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A7E3" w14:textId="77777777" w:rsidR="00FF0616" w:rsidRDefault="00FF0616" w:rsidP="00350CC2">
      <w:pPr>
        <w:spacing w:after="0" w:line="240" w:lineRule="auto"/>
      </w:pPr>
      <w:r>
        <w:separator/>
      </w:r>
    </w:p>
  </w:footnote>
  <w:footnote w:type="continuationSeparator" w:id="0">
    <w:p w14:paraId="2F4C1D91" w14:textId="77777777" w:rsidR="00FF0616" w:rsidRDefault="00FF0616"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7B44" w14:textId="77777777" w:rsidR="000A4E5F" w:rsidRDefault="000A4E5F" w:rsidP="00F14CCC">
    <w:pPr>
      <w:pStyle w:val="Cabealho"/>
      <w:spacing w:after="100" w:afterAutospacing="1"/>
      <w:jc w:val="center"/>
      <w:rPr>
        <w:b/>
      </w:rPr>
    </w:pPr>
    <w:r>
      <w:rPr>
        <w:b/>
        <w:noProof/>
        <w:lang w:eastAsia="pt-BR"/>
      </w:rPr>
      <w:drawing>
        <wp:anchor distT="0" distB="0" distL="114300" distR="114300" simplePos="0" relativeHeight="251658240" behindDoc="1" locked="0" layoutInCell="1" allowOverlap="1" wp14:anchorId="571CE629" wp14:editId="0AB696DA">
          <wp:simplePos x="0" y="0"/>
          <wp:positionH relativeFrom="margin">
            <wp:posOffset>-1156335</wp:posOffset>
          </wp:positionH>
          <wp:positionV relativeFrom="margin">
            <wp:posOffset>-1261110</wp:posOffset>
          </wp:positionV>
          <wp:extent cx="7713345" cy="1442085"/>
          <wp:effectExtent l="0" t="0" r="8255"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2.png"/>
                  <pic:cNvPicPr/>
                </pic:nvPicPr>
                <pic:blipFill>
                  <a:blip r:embed="rId1">
                    <a:extLst>
                      <a:ext uri="{28A0092B-C50C-407E-A947-70E740481C1C}">
                        <a14:useLocalDpi xmlns:a14="http://schemas.microsoft.com/office/drawing/2010/main" val="0"/>
                      </a:ext>
                    </a:extLst>
                  </a:blip>
                  <a:stretch>
                    <a:fillRect/>
                  </a:stretch>
                </pic:blipFill>
                <pic:spPr>
                  <a:xfrm>
                    <a:off x="0" y="0"/>
                    <a:ext cx="7713345" cy="1442085"/>
                  </a:xfrm>
                  <a:prstGeom prst="rect">
                    <a:avLst/>
                  </a:prstGeom>
                </pic:spPr>
              </pic:pic>
            </a:graphicData>
          </a:graphic>
        </wp:anchor>
      </w:drawing>
    </w:r>
  </w:p>
  <w:p w14:paraId="1765A1DE" w14:textId="77777777" w:rsidR="000A4E5F" w:rsidRDefault="000A4E5F" w:rsidP="00F14CCC">
    <w:pPr>
      <w:pStyle w:val="Cabealho"/>
      <w:spacing w:after="100" w:afterAutospacing="1"/>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E3137"/>
    <w:multiLevelType w:val="hybridMultilevel"/>
    <w:tmpl w:val="13B44D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9569EB"/>
    <w:multiLevelType w:val="hybridMultilevel"/>
    <w:tmpl w:val="76287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B4B539B"/>
    <w:multiLevelType w:val="hybridMultilevel"/>
    <w:tmpl w:val="0A9ED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3546F5"/>
    <w:multiLevelType w:val="hybridMultilevel"/>
    <w:tmpl w:val="9D228F5A"/>
    <w:lvl w:ilvl="0" w:tplc="04160001">
      <w:start w:val="1"/>
      <w:numFmt w:val="bullet"/>
      <w:lvlText w:val=""/>
      <w:lvlJc w:val="left"/>
      <w:pPr>
        <w:ind w:left="720" w:hanging="360"/>
      </w:pPr>
      <w:rPr>
        <w:rFonts w:ascii="Symbol" w:hAnsi="Symbol" w:hint="default"/>
      </w:rPr>
    </w:lvl>
    <w:lvl w:ilvl="1" w:tplc="5670665C">
      <w:numFmt w:val="bullet"/>
      <w:lvlText w:val="•"/>
      <w:lvlJc w:val="left"/>
      <w:pPr>
        <w:ind w:left="1440" w:hanging="360"/>
      </w:pPr>
      <w:rPr>
        <w:rFonts w:ascii="Arial" w:eastAsia="Times New Roman"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0F634A4"/>
    <w:multiLevelType w:val="hybridMultilevel"/>
    <w:tmpl w:val="78C8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15"/>
  </w:num>
  <w:num w:numId="5">
    <w:abstractNumId w:val="16"/>
  </w:num>
  <w:num w:numId="6">
    <w:abstractNumId w:val="10"/>
  </w:num>
  <w:num w:numId="7">
    <w:abstractNumId w:val="0"/>
  </w:num>
  <w:num w:numId="8">
    <w:abstractNumId w:val="1"/>
  </w:num>
  <w:num w:numId="9">
    <w:abstractNumId w:val="6"/>
  </w:num>
  <w:num w:numId="10">
    <w:abstractNumId w:val="2"/>
  </w:num>
  <w:num w:numId="11">
    <w:abstractNumId w:val="3"/>
  </w:num>
  <w:num w:numId="12">
    <w:abstractNumId w:val="9"/>
  </w:num>
  <w:num w:numId="13">
    <w:abstractNumId w:val="13"/>
  </w:num>
  <w:num w:numId="14">
    <w:abstractNumId w:val="12"/>
  </w:num>
  <w:num w:numId="15">
    <w:abstractNumId w:val="1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352"/>
    <w:rsid w:val="00017EBA"/>
    <w:rsid w:val="00021B0A"/>
    <w:rsid w:val="00022D68"/>
    <w:rsid w:val="000230CD"/>
    <w:rsid w:val="00025971"/>
    <w:rsid w:val="000262AD"/>
    <w:rsid w:val="00027A03"/>
    <w:rsid w:val="00027FAB"/>
    <w:rsid w:val="000300F4"/>
    <w:rsid w:val="00032A26"/>
    <w:rsid w:val="00033422"/>
    <w:rsid w:val="00033E69"/>
    <w:rsid w:val="0004014E"/>
    <w:rsid w:val="00040EBA"/>
    <w:rsid w:val="00042502"/>
    <w:rsid w:val="00042DF3"/>
    <w:rsid w:val="00043184"/>
    <w:rsid w:val="000433EC"/>
    <w:rsid w:val="000439FD"/>
    <w:rsid w:val="00045700"/>
    <w:rsid w:val="00046191"/>
    <w:rsid w:val="00046E21"/>
    <w:rsid w:val="00047EF1"/>
    <w:rsid w:val="00051DC8"/>
    <w:rsid w:val="00052862"/>
    <w:rsid w:val="00053B72"/>
    <w:rsid w:val="0005447E"/>
    <w:rsid w:val="00056686"/>
    <w:rsid w:val="00056E6F"/>
    <w:rsid w:val="000572CE"/>
    <w:rsid w:val="000617CF"/>
    <w:rsid w:val="00062521"/>
    <w:rsid w:val="00062737"/>
    <w:rsid w:val="00067E01"/>
    <w:rsid w:val="00070009"/>
    <w:rsid w:val="00070B14"/>
    <w:rsid w:val="000713DD"/>
    <w:rsid w:val="00071DE3"/>
    <w:rsid w:val="0007200C"/>
    <w:rsid w:val="00073305"/>
    <w:rsid w:val="00073F9F"/>
    <w:rsid w:val="00074287"/>
    <w:rsid w:val="000747BF"/>
    <w:rsid w:val="00074FAB"/>
    <w:rsid w:val="000759E5"/>
    <w:rsid w:val="00076184"/>
    <w:rsid w:val="000800D1"/>
    <w:rsid w:val="00081051"/>
    <w:rsid w:val="00085557"/>
    <w:rsid w:val="00086299"/>
    <w:rsid w:val="0009260D"/>
    <w:rsid w:val="000926D4"/>
    <w:rsid w:val="00092E5D"/>
    <w:rsid w:val="0009482D"/>
    <w:rsid w:val="0009711C"/>
    <w:rsid w:val="0009762F"/>
    <w:rsid w:val="00097B00"/>
    <w:rsid w:val="000A05C5"/>
    <w:rsid w:val="000A0748"/>
    <w:rsid w:val="000A0E48"/>
    <w:rsid w:val="000A250D"/>
    <w:rsid w:val="000A29BE"/>
    <w:rsid w:val="000A3C2D"/>
    <w:rsid w:val="000A3E63"/>
    <w:rsid w:val="000A47FD"/>
    <w:rsid w:val="000A4E5F"/>
    <w:rsid w:val="000A4EB6"/>
    <w:rsid w:val="000A5F01"/>
    <w:rsid w:val="000A71D1"/>
    <w:rsid w:val="000A7F5C"/>
    <w:rsid w:val="000B04A0"/>
    <w:rsid w:val="000B11D2"/>
    <w:rsid w:val="000B1E10"/>
    <w:rsid w:val="000B2FD9"/>
    <w:rsid w:val="000B311A"/>
    <w:rsid w:val="000B31B6"/>
    <w:rsid w:val="000B47C0"/>
    <w:rsid w:val="000B5152"/>
    <w:rsid w:val="000C2948"/>
    <w:rsid w:val="000C3582"/>
    <w:rsid w:val="000C4F73"/>
    <w:rsid w:val="000C5093"/>
    <w:rsid w:val="000C5460"/>
    <w:rsid w:val="000C5EB3"/>
    <w:rsid w:val="000C63BC"/>
    <w:rsid w:val="000C654E"/>
    <w:rsid w:val="000C7D67"/>
    <w:rsid w:val="000D2D5B"/>
    <w:rsid w:val="000D357D"/>
    <w:rsid w:val="000D4DE6"/>
    <w:rsid w:val="000D560C"/>
    <w:rsid w:val="000D5CB1"/>
    <w:rsid w:val="000D6D01"/>
    <w:rsid w:val="000E07B8"/>
    <w:rsid w:val="000E0E50"/>
    <w:rsid w:val="000E1F93"/>
    <w:rsid w:val="000E300B"/>
    <w:rsid w:val="000E3ACE"/>
    <w:rsid w:val="000E3FC6"/>
    <w:rsid w:val="000E464B"/>
    <w:rsid w:val="000E485E"/>
    <w:rsid w:val="000E5AC8"/>
    <w:rsid w:val="000F04ED"/>
    <w:rsid w:val="000F18DA"/>
    <w:rsid w:val="000F1FFA"/>
    <w:rsid w:val="000F255B"/>
    <w:rsid w:val="000F314C"/>
    <w:rsid w:val="000F39A5"/>
    <w:rsid w:val="000F639D"/>
    <w:rsid w:val="000F7C1B"/>
    <w:rsid w:val="00100B9C"/>
    <w:rsid w:val="0010674D"/>
    <w:rsid w:val="00106AA9"/>
    <w:rsid w:val="00106B27"/>
    <w:rsid w:val="00110517"/>
    <w:rsid w:val="00110554"/>
    <w:rsid w:val="00110B0B"/>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0CF6"/>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675C3"/>
    <w:rsid w:val="00170F9D"/>
    <w:rsid w:val="00171401"/>
    <w:rsid w:val="001720EB"/>
    <w:rsid w:val="00172248"/>
    <w:rsid w:val="0017455D"/>
    <w:rsid w:val="001770AF"/>
    <w:rsid w:val="001800A9"/>
    <w:rsid w:val="001823E7"/>
    <w:rsid w:val="0018272D"/>
    <w:rsid w:val="0018361F"/>
    <w:rsid w:val="001878C0"/>
    <w:rsid w:val="00187E56"/>
    <w:rsid w:val="00190B94"/>
    <w:rsid w:val="001930D1"/>
    <w:rsid w:val="001942C5"/>
    <w:rsid w:val="00196437"/>
    <w:rsid w:val="001975AB"/>
    <w:rsid w:val="001A087B"/>
    <w:rsid w:val="001A16DE"/>
    <w:rsid w:val="001A233D"/>
    <w:rsid w:val="001A5D2D"/>
    <w:rsid w:val="001A73A2"/>
    <w:rsid w:val="001B096B"/>
    <w:rsid w:val="001B5B65"/>
    <w:rsid w:val="001B5F7A"/>
    <w:rsid w:val="001B6AFE"/>
    <w:rsid w:val="001B6E08"/>
    <w:rsid w:val="001C0F23"/>
    <w:rsid w:val="001C46A8"/>
    <w:rsid w:val="001C535A"/>
    <w:rsid w:val="001C6148"/>
    <w:rsid w:val="001D0693"/>
    <w:rsid w:val="001D0DD1"/>
    <w:rsid w:val="001D4D9A"/>
    <w:rsid w:val="001D51BD"/>
    <w:rsid w:val="001D6665"/>
    <w:rsid w:val="001D684B"/>
    <w:rsid w:val="001D6ADC"/>
    <w:rsid w:val="001D7E4B"/>
    <w:rsid w:val="001E1817"/>
    <w:rsid w:val="001E2777"/>
    <w:rsid w:val="001E2E5A"/>
    <w:rsid w:val="001E5F2E"/>
    <w:rsid w:val="001E6CAA"/>
    <w:rsid w:val="001E73FF"/>
    <w:rsid w:val="001E75A7"/>
    <w:rsid w:val="001F7A25"/>
    <w:rsid w:val="0020136E"/>
    <w:rsid w:val="002013D1"/>
    <w:rsid w:val="0020195B"/>
    <w:rsid w:val="00202E6D"/>
    <w:rsid w:val="00202F4B"/>
    <w:rsid w:val="002036C8"/>
    <w:rsid w:val="002056F4"/>
    <w:rsid w:val="002100EE"/>
    <w:rsid w:val="00211A49"/>
    <w:rsid w:val="00213BD0"/>
    <w:rsid w:val="002147AC"/>
    <w:rsid w:val="00215BFE"/>
    <w:rsid w:val="00215EF3"/>
    <w:rsid w:val="00216825"/>
    <w:rsid w:val="00217E86"/>
    <w:rsid w:val="0022060B"/>
    <w:rsid w:val="00220BB1"/>
    <w:rsid w:val="00221D15"/>
    <w:rsid w:val="00223A59"/>
    <w:rsid w:val="00223F1C"/>
    <w:rsid w:val="002245DE"/>
    <w:rsid w:val="00224904"/>
    <w:rsid w:val="00232878"/>
    <w:rsid w:val="0023318C"/>
    <w:rsid w:val="00234AE0"/>
    <w:rsid w:val="00235F82"/>
    <w:rsid w:val="00236689"/>
    <w:rsid w:val="00237C21"/>
    <w:rsid w:val="00237FAE"/>
    <w:rsid w:val="0024200E"/>
    <w:rsid w:val="0024221D"/>
    <w:rsid w:val="002426C3"/>
    <w:rsid w:val="002450AA"/>
    <w:rsid w:val="002456AD"/>
    <w:rsid w:val="00245F7B"/>
    <w:rsid w:val="002478B9"/>
    <w:rsid w:val="00251273"/>
    <w:rsid w:val="00251BED"/>
    <w:rsid w:val="00252A2A"/>
    <w:rsid w:val="00252AA5"/>
    <w:rsid w:val="00253ADA"/>
    <w:rsid w:val="00254615"/>
    <w:rsid w:val="00255360"/>
    <w:rsid w:val="00256A12"/>
    <w:rsid w:val="00256CEA"/>
    <w:rsid w:val="002571B4"/>
    <w:rsid w:val="00260758"/>
    <w:rsid w:val="00260D58"/>
    <w:rsid w:val="0026477F"/>
    <w:rsid w:val="00264D08"/>
    <w:rsid w:val="00264F10"/>
    <w:rsid w:val="0026510B"/>
    <w:rsid w:val="002659BA"/>
    <w:rsid w:val="0026729F"/>
    <w:rsid w:val="00270E2F"/>
    <w:rsid w:val="00271154"/>
    <w:rsid w:val="00271655"/>
    <w:rsid w:val="0027569C"/>
    <w:rsid w:val="002805F1"/>
    <w:rsid w:val="00282C4C"/>
    <w:rsid w:val="00286EB4"/>
    <w:rsid w:val="002874A2"/>
    <w:rsid w:val="002921E2"/>
    <w:rsid w:val="00295591"/>
    <w:rsid w:val="0029566D"/>
    <w:rsid w:val="00295F4B"/>
    <w:rsid w:val="002A00AC"/>
    <w:rsid w:val="002A00E8"/>
    <w:rsid w:val="002A0792"/>
    <w:rsid w:val="002A1D5F"/>
    <w:rsid w:val="002A2E6C"/>
    <w:rsid w:val="002B070A"/>
    <w:rsid w:val="002B0F20"/>
    <w:rsid w:val="002B14B7"/>
    <w:rsid w:val="002B297F"/>
    <w:rsid w:val="002B38A8"/>
    <w:rsid w:val="002B5300"/>
    <w:rsid w:val="002B5E9F"/>
    <w:rsid w:val="002B5F5B"/>
    <w:rsid w:val="002B66D9"/>
    <w:rsid w:val="002B6BA0"/>
    <w:rsid w:val="002C05FF"/>
    <w:rsid w:val="002C19EA"/>
    <w:rsid w:val="002C3EA5"/>
    <w:rsid w:val="002C480F"/>
    <w:rsid w:val="002C56C9"/>
    <w:rsid w:val="002C7487"/>
    <w:rsid w:val="002D1923"/>
    <w:rsid w:val="002D48D1"/>
    <w:rsid w:val="002D5B56"/>
    <w:rsid w:val="002D6612"/>
    <w:rsid w:val="002D7650"/>
    <w:rsid w:val="002D7F74"/>
    <w:rsid w:val="002E09B1"/>
    <w:rsid w:val="002E0A60"/>
    <w:rsid w:val="002E3394"/>
    <w:rsid w:val="002E3E2A"/>
    <w:rsid w:val="002E4277"/>
    <w:rsid w:val="002E5303"/>
    <w:rsid w:val="002E6626"/>
    <w:rsid w:val="002E72FA"/>
    <w:rsid w:val="002E7DFF"/>
    <w:rsid w:val="002F0BE9"/>
    <w:rsid w:val="002F0E1D"/>
    <w:rsid w:val="002F13A0"/>
    <w:rsid w:val="002F1634"/>
    <w:rsid w:val="002F1848"/>
    <w:rsid w:val="002F1D70"/>
    <w:rsid w:val="002F22FA"/>
    <w:rsid w:val="002F5374"/>
    <w:rsid w:val="002F73BA"/>
    <w:rsid w:val="003005B3"/>
    <w:rsid w:val="0030165B"/>
    <w:rsid w:val="00302340"/>
    <w:rsid w:val="00303C9C"/>
    <w:rsid w:val="00305A67"/>
    <w:rsid w:val="00306B80"/>
    <w:rsid w:val="00307038"/>
    <w:rsid w:val="003129B0"/>
    <w:rsid w:val="00313238"/>
    <w:rsid w:val="003132BE"/>
    <w:rsid w:val="00320577"/>
    <w:rsid w:val="00320FCE"/>
    <w:rsid w:val="0032266D"/>
    <w:rsid w:val="00325E2F"/>
    <w:rsid w:val="003265DB"/>
    <w:rsid w:val="003269A9"/>
    <w:rsid w:val="00327DF9"/>
    <w:rsid w:val="0033073E"/>
    <w:rsid w:val="00331533"/>
    <w:rsid w:val="0033240F"/>
    <w:rsid w:val="00333875"/>
    <w:rsid w:val="0033604C"/>
    <w:rsid w:val="0034001F"/>
    <w:rsid w:val="003407F0"/>
    <w:rsid w:val="00342B5C"/>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0429"/>
    <w:rsid w:val="00361DA5"/>
    <w:rsid w:val="00361F1D"/>
    <w:rsid w:val="00364392"/>
    <w:rsid w:val="00365E61"/>
    <w:rsid w:val="00365EFF"/>
    <w:rsid w:val="00365F51"/>
    <w:rsid w:val="00373E05"/>
    <w:rsid w:val="00375692"/>
    <w:rsid w:val="00375DB6"/>
    <w:rsid w:val="0038012F"/>
    <w:rsid w:val="00380BAB"/>
    <w:rsid w:val="00381783"/>
    <w:rsid w:val="00381A0E"/>
    <w:rsid w:val="0038751C"/>
    <w:rsid w:val="0038778B"/>
    <w:rsid w:val="0039081D"/>
    <w:rsid w:val="00394451"/>
    <w:rsid w:val="0039584A"/>
    <w:rsid w:val="0039625A"/>
    <w:rsid w:val="00396E93"/>
    <w:rsid w:val="003A18B4"/>
    <w:rsid w:val="003A4828"/>
    <w:rsid w:val="003A64CB"/>
    <w:rsid w:val="003A6622"/>
    <w:rsid w:val="003A673F"/>
    <w:rsid w:val="003B145D"/>
    <w:rsid w:val="003B1A1F"/>
    <w:rsid w:val="003B4678"/>
    <w:rsid w:val="003B4F77"/>
    <w:rsid w:val="003B502C"/>
    <w:rsid w:val="003B5992"/>
    <w:rsid w:val="003C0E8B"/>
    <w:rsid w:val="003C6B35"/>
    <w:rsid w:val="003C7C21"/>
    <w:rsid w:val="003D0632"/>
    <w:rsid w:val="003D650C"/>
    <w:rsid w:val="003D6713"/>
    <w:rsid w:val="003D6E90"/>
    <w:rsid w:val="003D7C37"/>
    <w:rsid w:val="003E110D"/>
    <w:rsid w:val="003E1B24"/>
    <w:rsid w:val="003E297C"/>
    <w:rsid w:val="003E3529"/>
    <w:rsid w:val="003E3D02"/>
    <w:rsid w:val="003E3E6A"/>
    <w:rsid w:val="003E55BC"/>
    <w:rsid w:val="003E58B9"/>
    <w:rsid w:val="003E5D10"/>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4D0F"/>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53D6"/>
    <w:rsid w:val="00447BB2"/>
    <w:rsid w:val="004527ED"/>
    <w:rsid w:val="00455387"/>
    <w:rsid w:val="00455AAB"/>
    <w:rsid w:val="004568CE"/>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773BD"/>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0DE"/>
    <w:rsid w:val="004965C3"/>
    <w:rsid w:val="00497639"/>
    <w:rsid w:val="004A0574"/>
    <w:rsid w:val="004A0A41"/>
    <w:rsid w:val="004A20E7"/>
    <w:rsid w:val="004A22CF"/>
    <w:rsid w:val="004A5804"/>
    <w:rsid w:val="004A794E"/>
    <w:rsid w:val="004B142E"/>
    <w:rsid w:val="004B1C0F"/>
    <w:rsid w:val="004B25CD"/>
    <w:rsid w:val="004B3D26"/>
    <w:rsid w:val="004B42BB"/>
    <w:rsid w:val="004B44C1"/>
    <w:rsid w:val="004B623F"/>
    <w:rsid w:val="004B6EA7"/>
    <w:rsid w:val="004C11DE"/>
    <w:rsid w:val="004C13DB"/>
    <w:rsid w:val="004D00EF"/>
    <w:rsid w:val="004D14AD"/>
    <w:rsid w:val="004D376C"/>
    <w:rsid w:val="004D3864"/>
    <w:rsid w:val="004D4CBA"/>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2368"/>
    <w:rsid w:val="00523227"/>
    <w:rsid w:val="00523246"/>
    <w:rsid w:val="005237FD"/>
    <w:rsid w:val="005246B4"/>
    <w:rsid w:val="005252F8"/>
    <w:rsid w:val="00525561"/>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1E3C"/>
    <w:rsid w:val="00556F73"/>
    <w:rsid w:val="005576BE"/>
    <w:rsid w:val="005603B3"/>
    <w:rsid w:val="00561787"/>
    <w:rsid w:val="0056193C"/>
    <w:rsid w:val="00561EF9"/>
    <w:rsid w:val="00564587"/>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7A"/>
    <w:rsid w:val="005957D1"/>
    <w:rsid w:val="00597215"/>
    <w:rsid w:val="005A0FD0"/>
    <w:rsid w:val="005A1468"/>
    <w:rsid w:val="005A4536"/>
    <w:rsid w:val="005A578C"/>
    <w:rsid w:val="005A5AF2"/>
    <w:rsid w:val="005A742F"/>
    <w:rsid w:val="005A7C78"/>
    <w:rsid w:val="005B0589"/>
    <w:rsid w:val="005B1A0A"/>
    <w:rsid w:val="005B4F6C"/>
    <w:rsid w:val="005B5AA9"/>
    <w:rsid w:val="005B7055"/>
    <w:rsid w:val="005B7D51"/>
    <w:rsid w:val="005C4763"/>
    <w:rsid w:val="005C4DB7"/>
    <w:rsid w:val="005C5144"/>
    <w:rsid w:val="005C5DC8"/>
    <w:rsid w:val="005C6564"/>
    <w:rsid w:val="005C661E"/>
    <w:rsid w:val="005C7258"/>
    <w:rsid w:val="005D1E9E"/>
    <w:rsid w:val="005D48C8"/>
    <w:rsid w:val="005D55A6"/>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6B20"/>
    <w:rsid w:val="005F7DEC"/>
    <w:rsid w:val="005F7E35"/>
    <w:rsid w:val="006009F5"/>
    <w:rsid w:val="00600AA5"/>
    <w:rsid w:val="0060126D"/>
    <w:rsid w:val="0060146A"/>
    <w:rsid w:val="00601974"/>
    <w:rsid w:val="00601CE8"/>
    <w:rsid w:val="00602DA5"/>
    <w:rsid w:val="006045AF"/>
    <w:rsid w:val="00606B1E"/>
    <w:rsid w:val="00607152"/>
    <w:rsid w:val="006105E3"/>
    <w:rsid w:val="006115E2"/>
    <w:rsid w:val="006121F2"/>
    <w:rsid w:val="00613D08"/>
    <w:rsid w:val="0061491F"/>
    <w:rsid w:val="00615FC7"/>
    <w:rsid w:val="00620DEF"/>
    <w:rsid w:val="00621C33"/>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6004"/>
    <w:rsid w:val="00646AD1"/>
    <w:rsid w:val="006473BA"/>
    <w:rsid w:val="00650E4E"/>
    <w:rsid w:val="00654D9D"/>
    <w:rsid w:val="00654FCC"/>
    <w:rsid w:val="00660C02"/>
    <w:rsid w:val="0066104E"/>
    <w:rsid w:val="0066130F"/>
    <w:rsid w:val="0066184E"/>
    <w:rsid w:val="006637FF"/>
    <w:rsid w:val="00663E8D"/>
    <w:rsid w:val="006641F4"/>
    <w:rsid w:val="006645D9"/>
    <w:rsid w:val="00665EBC"/>
    <w:rsid w:val="00667637"/>
    <w:rsid w:val="00667BE8"/>
    <w:rsid w:val="0067150D"/>
    <w:rsid w:val="00673A29"/>
    <w:rsid w:val="00673AD9"/>
    <w:rsid w:val="00675371"/>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5488"/>
    <w:rsid w:val="00697D60"/>
    <w:rsid w:val="006A27BC"/>
    <w:rsid w:val="006A27D6"/>
    <w:rsid w:val="006A3A42"/>
    <w:rsid w:val="006A41B4"/>
    <w:rsid w:val="006A4A70"/>
    <w:rsid w:val="006A5FD7"/>
    <w:rsid w:val="006A62B0"/>
    <w:rsid w:val="006A681E"/>
    <w:rsid w:val="006B143E"/>
    <w:rsid w:val="006B30E3"/>
    <w:rsid w:val="006B4AF8"/>
    <w:rsid w:val="006B5E72"/>
    <w:rsid w:val="006B6205"/>
    <w:rsid w:val="006C058F"/>
    <w:rsid w:val="006C3252"/>
    <w:rsid w:val="006C7A04"/>
    <w:rsid w:val="006D158F"/>
    <w:rsid w:val="006D1B83"/>
    <w:rsid w:val="006D1BE7"/>
    <w:rsid w:val="006D229B"/>
    <w:rsid w:val="006D3590"/>
    <w:rsid w:val="006D5C98"/>
    <w:rsid w:val="006D6FCC"/>
    <w:rsid w:val="006E0A9F"/>
    <w:rsid w:val="006E12D5"/>
    <w:rsid w:val="006E1EDC"/>
    <w:rsid w:val="006E26E8"/>
    <w:rsid w:val="006E4493"/>
    <w:rsid w:val="006E76B0"/>
    <w:rsid w:val="006F08D4"/>
    <w:rsid w:val="006F1E4D"/>
    <w:rsid w:val="006F3318"/>
    <w:rsid w:val="006F39CF"/>
    <w:rsid w:val="006F4894"/>
    <w:rsid w:val="006F58F5"/>
    <w:rsid w:val="006F676D"/>
    <w:rsid w:val="00700672"/>
    <w:rsid w:val="00701319"/>
    <w:rsid w:val="00701A95"/>
    <w:rsid w:val="0070237D"/>
    <w:rsid w:val="00702F7C"/>
    <w:rsid w:val="00706127"/>
    <w:rsid w:val="007077CD"/>
    <w:rsid w:val="00710EDD"/>
    <w:rsid w:val="00712A93"/>
    <w:rsid w:val="007143C3"/>
    <w:rsid w:val="00714CF1"/>
    <w:rsid w:val="00715CEB"/>
    <w:rsid w:val="00717A58"/>
    <w:rsid w:val="00722924"/>
    <w:rsid w:val="00723D30"/>
    <w:rsid w:val="00723F1A"/>
    <w:rsid w:val="00725BBB"/>
    <w:rsid w:val="00726974"/>
    <w:rsid w:val="007306BB"/>
    <w:rsid w:val="007319AD"/>
    <w:rsid w:val="00732257"/>
    <w:rsid w:val="00736503"/>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57E7C"/>
    <w:rsid w:val="007608F0"/>
    <w:rsid w:val="00762976"/>
    <w:rsid w:val="00766360"/>
    <w:rsid w:val="00766752"/>
    <w:rsid w:val="00766834"/>
    <w:rsid w:val="00766EC7"/>
    <w:rsid w:val="00767911"/>
    <w:rsid w:val="0077082D"/>
    <w:rsid w:val="0077181C"/>
    <w:rsid w:val="00771AF0"/>
    <w:rsid w:val="0077499E"/>
    <w:rsid w:val="0077508F"/>
    <w:rsid w:val="007752E2"/>
    <w:rsid w:val="00780406"/>
    <w:rsid w:val="00781F5F"/>
    <w:rsid w:val="00783479"/>
    <w:rsid w:val="00783696"/>
    <w:rsid w:val="00783D3E"/>
    <w:rsid w:val="007849A7"/>
    <w:rsid w:val="00784B5D"/>
    <w:rsid w:val="00785DB0"/>
    <w:rsid w:val="00791384"/>
    <w:rsid w:val="00791D74"/>
    <w:rsid w:val="00791E5B"/>
    <w:rsid w:val="007931D7"/>
    <w:rsid w:val="00793B03"/>
    <w:rsid w:val="007949B4"/>
    <w:rsid w:val="0079708B"/>
    <w:rsid w:val="0079779E"/>
    <w:rsid w:val="007A3F8C"/>
    <w:rsid w:val="007A6DC9"/>
    <w:rsid w:val="007A71B5"/>
    <w:rsid w:val="007A797E"/>
    <w:rsid w:val="007B1216"/>
    <w:rsid w:val="007B255F"/>
    <w:rsid w:val="007B55C5"/>
    <w:rsid w:val="007C0579"/>
    <w:rsid w:val="007C0E7E"/>
    <w:rsid w:val="007C10CC"/>
    <w:rsid w:val="007C220C"/>
    <w:rsid w:val="007C250E"/>
    <w:rsid w:val="007C2CD7"/>
    <w:rsid w:val="007C4826"/>
    <w:rsid w:val="007D009C"/>
    <w:rsid w:val="007D2162"/>
    <w:rsid w:val="007D369F"/>
    <w:rsid w:val="007D5A53"/>
    <w:rsid w:val="007D62D9"/>
    <w:rsid w:val="007D6A5B"/>
    <w:rsid w:val="007D73C9"/>
    <w:rsid w:val="007D79DF"/>
    <w:rsid w:val="007E04AB"/>
    <w:rsid w:val="007E1FB4"/>
    <w:rsid w:val="007E28C1"/>
    <w:rsid w:val="007E786E"/>
    <w:rsid w:val="007F0840"/>
    <w:rsid w:val="007F2086"/>
    <w:rsid w:val="007F67A7"/>
    <w:rsid w:val="007F6F0A"/>
    <w:rsid w:val="00800773"/>
    <w:rsid w:val="00801004"/>
    <w:rsid w:val="0080111C"/>
    <w:rsid w:val="00801DAE"/>
    <w:rsid w:val="00801EFD"/>
    <w:rsid w:val="008058BC"/>
    <w:rsid w:val="00806D7C"/>
    <w:rsid w:val="00807854"/>
    <w:rsid w:val="00811012"/>
    <w:rsid w:val="00811A90"/>
    <w:rsid w:val="00813846"/>
    <w:rsid w:val="00814325"/>
    <w:rsid w:val="00815C4F"/>
    <w:rsid w:val="008161C2"/>
    <w:rsid w:val="00816942"/>
    <w:rsid w:val="00816D1F"/>
    <w:rsid w:val="0081738B"/>
    <w:rsid w:val="0082026A"/>
    <w:rsid w:val="008219BA"/>
    <w:rsid w:val="00824136"/>
    <w:rsid w:val="00825736"/>
    <w:rsid w:val="00826075"/>
    <w:rsid w:val="008267CA"/>
    <w:rsid w:val="00826A19"/>
    <w:rsid w:val="008312D4"/>
    <w:rsid w:val="008317C8"/>
    <w:rsid w:val="00831915"/>
    <w:rsid w:val="0083209C"/>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402F"/>
    <w:rsid w:val="00866481"/>
    <w:rsid w:val="00867F35"/>
    <w:rsid w:val="0087076A"/>
    <w:rsid w:val="00870853"/>
    <w:rsid w:val="00870B9F"/>
    <w:rsid w:val="008731E4"/>
    <w:rsid w:val="008745D6"/>
    <w:rsid w:val="00874DCA"/>
    <w:rsid w:val="00875D64"/>
    <w:rsid w:val="00875E32"/>
    <w:rsid w:val="0087668E"/>
    <w:rsid w:val="008800F4"/>
    <w:rsid w:val="0088277A"/>
    <w:rsid w:val="0088297B"/>
    <w:rsid w:val="00885D7C"/>
    <w:rsid w:val="0088762D"/>
    <w:rsid w:val="00890235"/>
    <w:rsid w:val="00890563"/>
    <w:rsid w:val="00890A70"/>
    <w:rsid w:val="00890DDC"/>
    <w:rsid w:val="00890F9C"/>
    <w:rsid w:val="00892559"/>
    <w:rsid w:val="008928B6"/>
    <w:rsid w:val="00894CA0"/>
    <w:rsid w:val="00895461"/>
    <w:rsid w:val="008957B1"/>
    <w:rsid w:val="00895B3E"/>
    <w:rsid w:val="00896190"/>
    <w:rsid w:val="00897C5E"/>
    <w:rsid w:val="008A1517"/>
    <w:rsid w:val="008A2307"/>
    <w:rsid w:val="008A2B8F"/>
    <w:rsid w:val="008A2BB7"/>
    <w:rsid w:val="008A4000"/>
    <w:rsid w:val="008A4A65"/>
    <w:rsid w:val="008A6621"/>
    <w:rsid w:val="008A679F"/>
    <w:rsid w:val="008A70A5"/>
    <w:rsid w:val="008B178D"/>
    <w:rsid w:val="008B201B"/>
    <w:rsid w:val="008B2D64"/>
    <w:rsid w:val="008B368E"/>
    <w:rsid w:val="008B38A4"/>
    <w:rsid w:val="008B38EE"/>
    <w:rsid w:val="008B4F2F"/>
    <w:rsid w:val="008B55B4"/>
    <w:rsid w:val="008B6A00"/>
    <w:rsid w:val="008C0269"/>
    <w:rsid w:val="008C076F"/>
    <w:rsid w:val="008C257C"/>
    <w:rsid w:val="008C26E1"/>
    <w:rsid w:val="008D0FDE"/>
    <w:rsid w:val="008D1051"/>
    <w:rsid w:val="008D22BE"/>
    <w:rsid w:val="008D321B"/>
    <w:rsid w:val="008D48D6"/>
    <w:rsid w:val="008D7542"/>
    <w:rsid w:val="008D7F7C"/>
    <w:rsid w:val="008E0835"/>
    <w:rsid w:val="008E16ED"/>
    <w:rsid w:val="008E280E"/>
    <w:rsid w:val="008E2BA7"/>
    <w:rsid w:val="008E31EE"/>
    <w:rsid w:val="008E5642"/>
    <w:rsid w:val="008E5CC2"/>
    <w:rsid w:val="008E7B35"/>
    <w:rsid w:val="008F2E20"/>
    <w:rsid w:val="00900BC5"/>
    <w:rsid w:val="00901036"/>
    <w:rsid w:val="00903BED"/>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0E07"/>
    <w:rsid w:val="00923B20"/>
    <w:rsid w:val="009263DF"/>
    <w:rsid w:val="00926BD2"/>
    <w:rsid w:val="00926E84"/>
    <w:rsid w:val="00927338"/>
    <w:rsid w:val="0093018E"/>
    <w:rsid w:val="0093167C"/>
    <w:rsid w:val="0093208B"/>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3DD7"/>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972A6"/>
    <w:rsid w:val="009A043C"/>
    <w:rsid w:val="009A12ED"/>
    <w:rsid w:val="009A201F"/>
    <w:rsid w:val="009A62FC"/>
    <w:rsid w:val="009A6989"/>
    <w:rsid w:val="009A6DA7"/>
    <w:rsid w:val="009A72EB"/>
    <w:rsid w:val="009B105E"/>
    <w:rsid w:val="009B2B4E"/>
    <w:rsid w:val="009B396E"/>
    <w:rsid w:val="009B39A2"/>
    <w:rsid w:val="009B3B97"/>
    <w:rsid w:val="009B49F3"/>
    <w:rsid w:val="009B4E5D"/>
    <w:rsid w:val="009B567A"/>
    <w:rsid w:val="009C29C5"/>
    <w:rsid w:val="009C5C75"/>
    <w:rsid w:val="009D1C23"/>
    <w:rsid w:val="009D2A29"/>
    <w:rsid w:val="009D4CEE"/>
    <w:rsid w:val="009D59DE"/>
    <w:rsid w:val="009E1362"/>
    <w:rsid w:val="009E1848"/>
    <w:rsid w:val="009E1BC1"/>
    <w:rsid w:val="009E1F6B"/>
    <w:rsid w:val="009E3502"/>
    <w:rsid w:val="009E3E77"/>
    <w:rsid w:val="009E4DF2"/>
    <w:rsid w:val="009E6D60"/>
    <w:rsid w:val="009F12F3"/>
    <w:rsid w:val="009F1918"/>
    <w:rsid w:val="009F2D0A"/>
    <w:rsid w:val="009F3962"/>
    <w:rsid w:val="009F6100"/>
    <w:rsid w:val="009F6ED7"/>
    <w:rsid w:val="009F7401"/>
    <w:rsid w:val="009F78F2"/>
    <w:rsid w:val="00A01C9B"/>
    <w:rsid w:val="00A0576E"/>
    <w:rsid w:val="00A065F5"/>
    <w:rsid w:val="00A10857"/>
    <w:rsid w:val="00A1221A"/>
    <w:rsid w:val="00A1269B"/>
    <w:rsid w:val="00A130F9"/>
    <w:rsid w:val="00A13B17"/>
    <w:rsid w:val="00A1585F"/>
    <w:rsid w:val="00A16000"/>
    <w:rsid w:val="00A16398"/>
    <w:rsid w:val="00A20EBA"/>
    <w:rsid w:val="00A20F2F"/>
    <w:rsid w:val="00A211A3"/>
    <w:rsid w:val="00A21641"/>
    <w:rsid w:val="00A2357E"/>
    <w:rsid w:val="00A24629"/>
    <w:rsid w:val="00A25A27"/>
    <w:rsid w:val="00A25FE9"/>
    <w:rsid w:val="00A27485"/>
    <w:rsid w:val="00A30038"/>
    <w:rsid w:val="00A309E8"/>
    <w:rsid w:val="00A3514D"/>
    <w:rsid w:val="00A35318"/>
    <w:rsid w:val="00A40F98"/>
    <w:rsid w:val="00A41EF2"/>
    <w:rsid w:val="00A42619"/>
    <w:rsid w:val="00A4267D"/>
    <w:rsid w:val="00A427B2"/>
    <w:rsid w:val="00A43DEB"/>
    <w:rsid w:val="00A44DDA"/>
    <w:rsid w:val="00A45BB5"/>
    <w:rsid w:val="00A47D62"/>
    <w:rsid w:val="00A53CDD"/>
    <w:rsid w:val="00A53EE6"/>
    <w:rsid w:val="00A5538A"/>
    <w:rsid w:val="00A564AE"/>
    <w:rsid w:val="00A57A4A"/>
    <w:rsid w:val="00A57C0E"/>
    <w:rsid w:val="00A60380"/>
    <w:rsid w:val="00A614EB"/>
    <w:rsid w:val="00A62886"/>
    <w:rsid w:val="00A6356E"/>
    <w:rsid w:val="00A63E79"/>
    <w:rsid w:val="00A6719E"/>
    <w:rsid w:val="00A672B2"/>
    <w:rsid w:val="00A74151"/>
    <w:rsid w:val="00A74C51"/>
    <w:rsid w:val="00A77682"/>
    <w:rsid w:val="00A80C19"/>
    <w:rsid w:val="00A83279"/>
    <w:rsid w:val="00A83750"/>
    <w:rsid w:val="00A84631"/>
    <w:rsid w:val="00A85417"/>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48"/>
    <w:rsid w:val="00AA5AE9"/>
    <w:rsid w:val="00AA5DFA"/>
    <w:rsid w:val="00AA6276"/>
    <w:rsid w:val="00AA68F3"/>
    <w:rsid w:val="00AA6D45"/>
    <w:rsid w:val="00AA6EE2"/>
    <w:rsid w:val="00AA7585"/>
    <w:rsid w:val="00AA7DED"/>
    <w:rsid w:val="00AB031D"/>
    <w:rsid w:val="00AB08A6"/>
    <w:rsid w:val="00AB18B3"/>
    <w:rsid w:val="00AB1A1E"/>
    <w:rsid w:val="00AB236C"/>
    <w:rsid w:val="00AB58AD"/>
    <w:rsid w:val="00AB79DB"/>
    <w:rsid w:val="00AC06B6"/>
    <w:rsid w:val="00AC1A7F"/>
    <w:rsid w:val="00AC45BA"/>
    <w:rsid w:val="00AC769F"/>
    <w:rsid w:val="00AC7830"/>
    <w:rsid w:val="00AD0466"/>
    <w:rsid w:val="00AD1557"/>
    <w:rsid w:val="00AD1CE8"/>
    <w:rsid w:val="00AD35F3"/>
    <w:rsid w:val="00AD44E9"/>
    <w:rsid w:val="00AD4CAC"/>
    <w:rsid w:val="00AD528F"/>
    <w:rsid w:val="00AD6760"/>
    <w:rsid w:val="00AD6EB3"/>
    <w:rsid w:val="00AD741D"/>
    <w:rsid w:val="00AD751D"/>
    <w:rsid w:val="00AD791C"/>
    <w:rsid w:val="00AE1C60"/>
    <w:rsid w:val="00AE20D0"/>
    <w:rsid w:val="00AE4F42"/>
    <w:rsid w:val="00AE728D"/>
    <w:rsid w:val="00AE7589"/>
    <w:rsid w:val="00AE798E"/>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377A2"/>
    <w:rsid w:val="00B4137A"/>
    <w:rsid w:val="00B442AC"/>
    <w:rsid w:val="00B50B77"/>
    <w:rsid w:val="00B51290"/>
    <w:rsid w:val="00B51769"/>
    <w:rsid w:val="00B52215"/>
    <w:rsid w:val="00B530CA"/>
    <w:rsid w:val="00B53AC4"/>
    <w:rsid w:val="00B54527"/>
    <w:rsid w:val="00B57638"/>
    <w:rsid w:val="00B57ADA"/>
    <w:rsid w:val="00B6088E"/>
    <w:rsid w:val="00B61EE9"/>
    <w:rsid w:val="00B6496C"/>
    <w:rsid w:val="00B65962"/>
    <w:rsid w:val="00B66B6C"/>
    <w:rsid w:val="00B66D0B"/>
    <w:rsid w:val="00B7033E"/>
    <w:rsid w:val="00B7071A"/>
    <w:rsid w:val="00B71858"/>
    <w:rsid w:val="00B71A39"/>
    <w:rsid w:val="00B721DC"/>
    <w:rsid w:val="00B74715"/>
    <w:rsid w:val="00B75EBA"/>
    <w:rsid w:val="00B7669D"/>
    <w:rsid w:val="00B766D9"/>
    <w:rsid w:val="00B76E03"/>
    <w:rsid w:val="00B80A28"/>
    <w:rsid w:val="00B82D73"/>
    <w:rsid w:val="00B84A2C"/>
    <w:rsid w:val="00B871D6"/>
    <w:rsid w:val="00B87A02"/>
    <w:rsid w:val="00B96204"/>
    <w:rsid w:val="00BA0DCC"/>
    <w:rsid w:val="00BA12A2"/>
    <w:rsid w:val="00BA1667"/>
    <w:rsid w:val="00BA16EF"/>
    <w:rsid w:val="00BA1737"/>
    <w:rsid w:val="00BA18D0"/>
    <w:rsid w:val="00BA242E"/>
    <w:rsid w:val="00BA2ABF"/>
    <w:rsid w:val="00BA3317"/>
    <w:rsid w:val="00BA5A9D"/>
    <w:rsid w:val="00BA5D32"/>
    <w:rsid w:val="00BA6363"/>
    <w:rsid w:val="00BA79D0"/>
    <w:rsid w:val="00BB2571"/>
    <w:rsid w:val="00BB2D9C"/>
    <w:rsid w:val="00BB3512"/>
    <w:rsid w:val="00BB5D1E"/>
    <w:rsid w:val="00BB62CC"/>
    <w:rsid w:val="00BB7ED6"/>
    <w:rsid w:val="00BC0937"/>
    <w:rsid w:val="00BC137A"/>
    <w:rsid w:val="00BC4347"/>
    <w:rsid w:val="00BC45E0"/>
    <w:rsid w:val="00BC54B5"/>
    <w:rsid w:val="00BC5D9D"/>
    <w:rsid w:val="00BC60E1"/>
    <w:rsid w:val="00BC6803"/>
    <w:rsid w:val="00BC7BCB"/>
    <w:rsid w:val="00BD109B"/>
    <w:rsid w:val="00BD1101"/>
    <w:rsid w:val="00BD11A7"/>
    <w:rsid w:val="00BD2944"/>
    <w:rsid w:val="00BD2B5E"/>
    <w:rsid w:val="00BD3AFF"/>
    <w:rsid w:val="00BD42CB"/>
    <w:rsid w:val="00BD4E7A"/>
    <w:rsid w:val="00BD531B"/>
    <w:rsid w:val="00BE00E5"/>
    <w:rsid w:val="00BE2E5A"/>
    <w:rsid w:val="00BE3A10"/>
    <w:rsid w:val="00BE4A21"/>
    <w:rsid w:val="00BE5859"/>
    <w:rsid w:val="00BE717E"/>
    <w:rsid w:val="00BE7E27"/>
    <w:rsid w:val="00BF0B0C"/>
    <w:rsid w:val="00BF183C"/>
    <w:rsid w:val="00BF4C15"/>
    <w:rsid w:val="00C0277D"/>
    <w:rsid w:val="00C0782F"/>
    <w:rsid w:val="00C11F50"/>
    <w:rsid w:val="00C12603"/>
    <w:rsid w:val="00C12C7C"/>
    <w:rsid w:val="00C131FD"/>
    <w:rsid w:val="00C15322"/>
    <w:rsid w:val="00C16DA8"/>
    <w:rsid w:val="00C17352"/>
    <w:rsid w:val="00C2022B"/>
    <w:rsid w:val="00C21959"/>
    <w:rsid w:val="00C30A7D"/>
    <w:rsid w:val="00C31169"/>
    <w:rsid w:val="00C3169F"/>
    <w:rsid w:val="00C318F6"/>
    <w:rsid w:val="00C345A4"/>
    <w:rsid w:val="00C37522"/>
    <w:rsid w:val="00C422A4"/>
    <w:rsid w:val="00C42EFD"/>
    <w:rsid w:val="00C43D8B"/>
    <w:rsid w:val="00C44042"/>
    <w:rsid w:val="00C46AF0"/>
    <w:rsid w:val="00C52956"/>
    <w:rsid w:val="00C53AE1"/>
    <w:rsid w:val="00C53CAD"/>
    <w:rsid w:val="00C54893"/>
    <w:rsid w:val="00C560A1"/>
    <w:rsid w:val="00C56E9E"/>
    <w:rsid w:val="00C56EB6"/>
    <w:rsid w:val="00C571E2"/>
    <w:rsid w:val="00C57BED"/>
    <w:rsid w:val="00C63603"/>
    <w:rsid w:val="00C63FC8"/>
    <w:rsid w:val="00C64F57"/>
    <w:rsid w:val="00C65D21"/>
    <w:rsid w:val="00C66E11"/>
    <w:rsid w:val="00C6789D"/>
    <w:rsid w:val="00C70E5B"/>
    <w:rsid w:val="00C71848"/>
    <w:rsid w:val="00C71A97"/>
    <w:rsid w:val="00C72FFE"/>
    <w:rsid w:val="00C7314D"/>
    <w:rsid w:val="00C73FFD"/>
    <w:rsid w:val="00C74512"/>
    <w:rsid w:val="00C75071"/>
    <w:rsid w:val="00C76970"/>
    <w:rsid w:val="00C77540"/>
    <w:rsid w:val="00C84F07"/>
    <w:rsid w:val="00C851A6"/>
    <w:rsid w:val="00C855D4"/>
    <w:rsid w:val="00C87639"/>
    <w:rsid w:val="00C90685"/>
    <w:rsid w:val="00C9099A"/>
    <w:rsid w:val="00C91A6B"/>
    <w:rsid w:val="00C9240A"/>
    <w:rsid w:val="00C92CCF"/>
    <w:rsid w:val="00C93D5B"/>
    <w:rsid w:val="00C9442C"/>
    <w:rsid w:val="00C94657"/>
    <w:rsid w:val="00C9532C"/>
    <w:rsid w:val="00C95BCF"/>
    <w:rsid w:val="00C95D16"/>
    <w:rsid w:val="00C95DCF"/>
    <w:rsid w:val="00CA184E"/>
    <w:rsid w:val="00CA23C4"/>
    <w:rsid w:val="00CA575F"/>
    <w:rsid w:val="00CA5AEC"/>
    <w:rsid w:val="00CA6114"/>
    <w:rsid w:val="00CA704A"/>
    <w:rsid w:val="00CB0797"/>
    <w:rsid w:val="00CB0E39"/>
    <w:rsid w:val="00CB1236"/>
    <w:rsid w:val="00CB1E54"/>
    <w:rsid w:val="00CB21FF"/>
    <w:rsid w:val="00CB5CAE"/>
    <w:rsid w:val="00CB621F"/>
    <w:rsid w:val="00CB644C"/>
    <w:rsid w:val="00CB78ED"/>
    <w:rsid w:val="00CC0004"/>
    <w:rsid w:val="00CC2202"/>
    <w:rsid w:val="00CC4E55"/>
    <w:rsid w:val="00CC550E"/>
    <w:rsid w:val="00CC5AC6"/>
    <w:rsid w:val="00CD0DCE"/>
    <w:rsid w:val="00CD1628"/>
    <w:rsid w:val="00CD1D27"/>
    <w:rsid w:val="00CD27B7"/>
    <w:rsid w:val="00CD3807"/>
    <w:rsid w:val="00CD3AE7"/>
    <w:rsid w:val="00CD3C10"/>
    <w:rsid w:val="00CD5194"/>
    <w:rsid w:val="00CD5981"/>
    <w:rsid w:val="00CD5D25"/>
    <w:rsid w:val="00CD79FA"/>
    <w:rsid w:val="00CE02E6"/>
    <w:rsid w:val="00CE10E6"/>
    <w:rsid w:val="00CE59A8"/>
    <w:rsid w:val="00CE657B"/>
    <w:rsid w:val="00CF0873"/>
    <w:rsid w:val="00CF237E"/>
    <w:rsid w:val="00CF3FB0"/>
    <w:rsid w:val="00CF515D"/>
    <w:rsid w:val="00CF53F5"/>
    <w:rsid w:val="00CF6B3F"/>
    <w:rsid w:val="00D002B4"/>
    <w:rsid w:val="00D0031B"/>
    <w:rsid w:val="00D01404"/>
    <w:rsid w:val="00D0183F"/>
    <w:rsid w:val="00D02C52"/>
    <w:rsid w:val="00D03845"/>
    <w:rsid w:val="00D03DCB"/>
    <w:rsid w:val="00D05257"/>
    <w:rsid w:val="00D054DF"/>
    <w:rsid w:val="00D057A5"/>
    <w:rsid w:val="00D05D1F"/>
    <w:rsid w:val="00D133B8"/>
    <w:rsid w:val="00D144D0"/>
    <w:rsid w:val="00D14FC0"/>
    <w:rsid w:val="00D163A3"/>
    <w:rsid w:val="00D1656D"/>
    <w:rsid w:val="00D167CC"/>
    <w:rsid w:val="00D16943"/>
    <w:rsid w:val="00D211AE"/>
    <w:rsid w:val="00D21662"/>
    <w:rsid w:val="00D235AE"/>
    <w:rsid w:val="00D23DE4"/>
    <w:rsid w:val="00D23F50"/>
    <w:rsid w:val="00D24867"/>
    <w:rsid w:val="00D318E3"/>
    <w:rsid w:val="00D323A7"/>
    <w:rsid w:val="00D346BF"/>
    <w:rsid w:val="00D34A4B"/>
    <w:rsid w:val="00D416EB"/>
    <w:rsid w:val="00D41B20"/>
    <w:rsid w:val="00D44615"/>
    <w:rsid w:val="00D44A31"/>
    <w:rsid w:val="00D45321"/>
    <w:rsid w:val="00D50324"/>
    <w:rsid w:val="00D5202B"/>
    <w:rsid w:val="00D551ED"/>
    <w:rsid w:val="00D55A28"/>
    <w:rsid w:val="00D5605F"/>
    <w:rsid w:val="00D57BC9"/>
    <w:rsid w:val="00D61FBD"/>
    <w:rsid w:val="00D62519"/>
    <w:rsid w:val="00D625AA"/>
    <w:rsid w:val="00D63CBD"/>
    <w:rsid w:val="00D6500C"/>
    <w:rsid w:val="00D66392"/>
    <w:rsid w:val="00D66959"/>
    <w:rsid w:val="00D66D9D"/>
    <w:rsid w:val="00D70A39"/>
    <w:rsid w:val="00D71A7E"/>
    <w:rsid w:val="00D7297C"/>
    <w:rsid w:val="00D74DB8"/>
    <w:rsid w:val="00D75C06"/>
    <w:rsid w:val="00D7643D"/>
    <w:rsid w:val="00D76671"/>
    <w:rsid w:val="00D76DE0"/>
    <w:rsid w:val="00D80DF0"/>
    <w:rsid w:val="00D83ED5"/>
    <w:rsid w:val="00D86043"/>
    <w:rsid w:val="00D870D4"/>
    <w:rsid w:val="00D90B97"/>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B7D79"/>
    <w:rsid w:val="00DC00E0"/>
    <w:rsid w:val="00DC1AB8"/>
    <w:rsid w:val="00DC5C19"/>
    <w:rsid w:val="00DC7068"/>
    <w:rsid w:val="00DD0411"/>
    <w:rsid w:val="00DD265A"/>
    <w:rsid w:val="00DD3A78"/>
    <w:rsid w:val="00DD6B9B"/>
    <w:rsid w:val="00DE07A1"/>
    <w:rsid w:val="00DE21A2"/>
    <w:rsid w:val="00DE2776"/>
    <w:rsid w:val="00DE3B11"/>
    <w:rsid w:val="00DE48E8"/>
    <w:rsid w:val="00DE7183"/>
    <w:rsid w:val="00DE79B1"/>
    <w:rsid w:val="00DF1DAC"/>
    <w:rsid w:val="00DF2165"/>
    <w:rsid w:val="00DF3666"/>
    <w:rsid w:val="00DF5A24"/>
    <w:rsid w:val="00DF60E6"/>
    <w:rsid w:val="00DF6105"/>
    <w:rsid w:val="00DF659E"/>
    <w:rsid w:val="00DF76E9"/>
    <w:rsid w:val="00E01524"/>
    <w:rsid w:val="00E05801"/>
    <w:rsid w:val="00E07C16"/>
    <w:rsid w:val="00E1021D"/>
    <w:rsid w:val="00E1428E"/>
    <w:rsid w:val="00E14900"/>
    <w:rsid w:val="00E218D3"/>
    <w:rsid w:val="00E22321"/>
    <w:rsid w:val="00E229ED"/>
    <w:rsid w:val="00E23091"/>
    <w:rsid w:val="00E2334F"/>
    <w:rsid w:val="00E23446"/>
    <w:rsid w:val="00E23E21"/>
    <w:rsid w:val="00E245A0"/>
    <w:rsid w:val="00E25964"/>
    <w:rsid w:val="00E25E9F"/>
    <w:rsid w:val="00E2658F"/>
    <w:rsid w:val="00E27565"/>
    <w:rsid w:val="00E30DE6"/>
    <w:rsid w:val="00E31944"/>
    <w:rsid w:val="00E32395"/>
    <w:rsid w:val="00E3262F"/>
    <w:rsid w:val="00E32E0D"/>
    <w:rsid w:val="00E332E3"/>
    <w:rsid w:val="00E35435"/>
    <w:rsid w:val="00E37194"/>
    <w:rsid w:val="00E3788B"/>
    <w:rsid w:val="00E37F90"/>
    <w:rsid w:val="00E40C6A"/>
    <w:rsid w:val="00E410B7"/>
    <w:rsid w:val="00E43977"/>
    <w:rsid w:val="00E4415D"/>
    <w:rsid w:val="00E444BD"/>
    <w:rsid w:val="00E44AB1"/>
    <w:rsid w:val="00E44AB8"/>
    <w:rsid w:val="00E465C1"/>
    <w:rsid w:val="00E47BD8"/>
    <w:rsid w:val="00E50D3F"/>
    <w:rsid w:val="00E520BE"/>
    <w:rsid w:val="00E53AF0"/>
    <w:rsid w:val="00E5484A"/>
    <w:rsid w:val="00E54E17"/>
    <w:rsid w:val="00E56A7A"/>
    <w:rsid w:val="00E60419"/>
    <w:rsid w:val="00E60E01"/>
    <w:rsid w:val="00E61574"/>
    <w:rsid w:val="00E617D3"/>
    <w:rsid w:val="00E61E36"/>
    <w:rsid w:val="00E624C7"/>
    <w:rsid w:val="00E633C1"/>
    <w:rsid w:val="00E667B0"/>
    <w:rsid w:val="00E67390"/>
    <w:rsid w:val="00E71365"/>
    <w:rsid w:val="00E74904"/>
    <w:rsid w:val="00E770A4"/>
    <w:rsid w:val="00E7797D"/>
    <w:rsid w:val="00E8097A"/>
    <w:rsid w:val="00E81192"/>
    <w:rsid w:val="00E83B51"/>
    <w:rsid w:val="00E855CC"/>
    <w:rsid w:val="00E8626C"/>
    <w:rsid w:val="00E8663B"/>
    <w:rsid w:val="00E86BDE"/>
    <w:rsid w:val="00E8762F"/>
    <w:rsid w:val="00E90AB8"/>
    <w:rsid w:val="00E90C01"/>
    <w:rsid w:val="00E919D9"/>
    <w:rsid w:val="00E921C1"/>
    <w:rsid w:val="00E93C8B"/>
    <w:rsid w:val="00E93D8F"/>
    <w:rsid w:val="00E9531E"/>
    <w:rsid w:val="00E95A8E"/>
    <w:rsid w:val="00E95E41"/>
    <w:rsid w:val="00E95E4C"/>
    <w:rsid w:val="00E977CE"/>
    <w:rsid w:val="00E97E05"/>
    <w:rsid w:val="00EA1370"/>
    <w:rsid w:val="00EA2B95"/>
    <w:rsid w:val="00EA34E2"/>
    <w:rsid w:val="00EA52D1"/>
    <w:rsid w:val="00EA703E"/>
    <w:rsid w:val="00EA791F"/>
    <w:rsid w:val="00EB671F"/>
    <w:rsid w:val="00EB70E7"/>
    <w:rsid w:val="00EB76D6"/>
    <w:rsid w:val="00EC02E8"/>
    <w:rsid w:val="00EC1139"/>
    <w:rsid w:val="00EC2F5C"/>
    <w:rsid w:val="00EC3842"/>
    <w:rsid w:val="00EC4299"/>
    <w:rsid w:val="00EC4D4D"/>
    <w:rsid w:val="00EC5D5D"/>
    <w:rsid w:val="00EC7908"/>
    <w:rsid w:val="00EC7C2B"/>
    <w:rsid w:val="00ED1F02"/>
    <w:rsid w:val="00ED213D"/>
    <w:rsid w:val="00ED2C69"/>
    <w:rsid w:val="00EE15B5"/>
    <w:rsid w:val="00EE2087"/>
    <w:rsid w:val="00EE20A1"/>
    <w:rsid w:val="00EE74AF"/>
    <w:rsid w:val="00EF0053"/>
    <w:rsid w:val="00EF1F0E"/>
    <w:rsid w:val="00EF29F6"/>
    <w:rsid w:val="00EF4FBF"/>
    <w:rsid w:val="00EF518E"/>
    <w:rsid w:val="00EF5DF0"/>
    <w:rsid w:val="00EF5F2A"/>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5D54"/>
    <w:rsid w:val="00F166A6"/>
    <w:rsid w:val="00F17988"/>
    <w:rsid w:val="00F20453"/>
    <w:rsid w:val="00F20C09"/>
    <w:rsid w:val="00F217DF"/>
    <w:rsid w:val="00F21CAE"/>
    <w:rsid w:val="00F22AE0"/>
    <w:rsid w:val="00F234D8"/>
    <w:rsid w:val="00F2601A"/>
    <w:rsid w:val="00F26701"/>
    <w:rsid w:val="00F26B7D"/>
    <w:rsid w:val="00F30A04"/>
    <w:rsid w:val="00F310D7"/>
    <w:rsid w:val="00F368B9"/>
    <w:rsid w:val="00F3739F"/>
    <w:rsid w:val="00F374C1"/>
    <w:rsid w:val="00F37B34"/>
    <w:rsid w:val="00F41C34"/>
    <w:rsid w:val="00F4212F"/>
    <w:rsid w:val="00F447DB"/>
    <w:rsid w:val="00F447FA"/>
    <w:rsid w:val="00F469B9"/>
    <w:rsid w:val="00F46C32"/>
    <w:rsid w:val="00F46CAF"/>
    <w:rsid w:val="00F46ECB"/>
    <w:rsid w:val="00F50248"/>
    <w:rsid w:val="00F50F94"/>
    <w:rsid w:val="00F525B5"/>
    <w:rsid w:val="00F53D53"/>
    <w:rsid w:val="00F543B9"/>
    <w:rsid w:val="00F56177"/>
    <w:rsid w:val="00F56187"/>
    <w:rsid w:val="00F575D3"/>
    <w:rsid w:val="00F5786C"/>
    <w:rsid w:val="00F6024E"/>
    <w:rsid w:val="00F62117"/>
    <w:rsid w:val="00F62365"/>
    <w:rsid w:val="00F630A7"/>
    <w:rsid w:val="00F66225"/>
    <w:rsid w:val="00F662BC"/>
    <w:rsid w:val="00F6708D"/>
    <w:rsid w:val="00F707F0"/>
    <w:rsid w:val="00F714FD"/>
    <w:rsid w:val="00F71AD5"/>
    <w:rsid w:val="00F729ED"/>
    <w:rsid w:val="00F733B8"/>
    <w:rsid w:val="00F74F50"/>
    <w:rsid w:val="00F75192"/>
    <w:rsid w:val="00F76AB7"/>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1B32"/>
    <w:rsid w:val="00FA1DBE"/>
    <w:rsid w:val="00FA320D"/>
    <w:rsid w:val="00FA362B"/>
    <w:rsid w:val="00FA53E9"/>
    <w:rsid w:val="00FA60EC"/>
    <w:rsid w:val="00FB04E9"/>
    <w:rsid w:val="00FB1179"/>
    <w:rsid w:val="00FB1C6B"/>
    <w:rsid w:val="00FB3361"/>
    <w:rsid w:val="00FB42B4"/>
    <w:rsid w:val="00FB4841"/>
    <w:rsid w:val="00FB4B5E"/>
    <w:rsid w:val="00FB6C94"/>
    <w:rsid w:val="00FB7F8B"/>
    <w:rsid w:val="00FC00CC"/>
    <w:rsid w:val="00FC22F5"/>
    <w:rsid w:val="00FC3753"/>
    <w:rsid w:val="00FC5170"/>
    <w:rsid w:val="00FC5743"/>
    <w:rsid w:val="00FC6240"/>
    <w:rsid w:val="00FD118C"/>
    <w:rsid w:val="00FD2A7C"/>
    <w:rsid w:val="00FD332F"/>
    <w:rsid w:val="00FD3999"/>
    <w:rsid w:val="00FD7395"/>
    <w:rsid w:val="00FE1CC1"/>
    <w:rsid w:val="00FE3213"/>
    <w:rsid w:val="00FE385E"/>
    <w:rsid w:val="00FE3CE2"/>
    <w:rsid w:val="00FE54AD"/>
    <w:rsid w:val="00FE5633"/>
    <w:rsid w:val="00FE6F7A"/>
    <w:rsid w:val="00FE7B14"/>
    <w:rsid w:val="00FF02D5"/>
    <w:rsid w:val="00FF0616"/>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664E6AFF"/>
  <w15:docId w15:val="{D1C23D4A-D707-594D-856F-87F5FCB1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2-nfase11">
    <w:name w:val="Tabela de Grade 2 - Ênfase 1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mples11">
    <w:name w:val="Tabela Simples 11"/>
    <w:basedOn w:val="Tabelanormal"/>
    <w:uiPriority w:val="41"/>
    <w:rsid w:val="00801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801D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801D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01D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6Colorida-nfase11">
    <w:name w:val="Tabela de Grade 6 Colorida - Ênfase 11"/>
    <w:basedOn w:val="Tabelanormal"/>
    <w:uiPriority w:val="51"/>
    <w:rsid w:val="00801D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o-normal-alinhado">
    <w:name w:val="texto-normal-alinhado"/>
    <w:basedOn w:val="Normal"/>
    <w:rsid w:val="00E855CC"/>
    <w:pPr>
      <w:spacing w:before="100" w:beforeAutospacing="1" w:after="100" w:afterAutospacing="1" w:line="240" w:lineRule="auto"/>
    </w:pPr>
    <w:rPr>
      <w:rFonts w:ascii="Times New Roman" w:eastAsia="Times New Roman" w:hAnsi="Times New Roman"/>
      <w:sz w:val="24"/>
      <w:szCs w:val="24"/>
      <w:lang w:eastAsia="pt-BR"/>
    </w:rPr>
  </w:style>
  <w:style w:type="table" w:styleId="SombreamentoClaro-nfase2">
    <w:name w:val="Light Shading Accent 2"/>
    <w:basedOn w:val="Tabelanormal"/>
    <w:uiPriority w:val="60"/>
    <w:rsid w:val="007A3F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e2">
    <w:name w:val="Light List Accent 2"/>
    <w:basedOn w:val="Tabelanormal"/>
    <w:uiPriority w:val="61"/>
    <w:rsid w:val="00A8541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MenoPendente2">
    <w:name w:val="Menção Pendente2"/>
    <w:basedOn w:val="Fontepargpadro"/>
    <w:uiPriority w:val="99"/>
    <w:semiHidden/>
    <w:unhideWhenUsed/>
    <w:rsid w:val="000B5152"/>
    <w:rPr>
      <w:color w:val="605E5C"/>
      <w:shd w:val="clear" w:color="auto" w:fill="E1DFDD"/>
    </w:rPr>
  </w:style>
  <w:style w:type="paragraph" w:styleId="Pr-formataoHTML">
    <w:name w:val="HTML Preformatted"/>
    <w:basedOn w:val="Normal"/>
    <w:link w:val="Pr-formataoHTMLChar"/>
    <w:uiPriority w:val="99"/>
    <w:unhideWhenUsed/>
    <w:rsid w:val="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B42BB"/>
    <w:rPr>
      <w:rFonts w:ascii="Courier New" w:eastAsia="Times New Roman" w:hAnsi="Courier New" w:cs="Courier New"/>
      <w:sz w:val="20"/>
      <w:szCs w:val="20"/>
      <w:lang w:eastAsia="pt-BR"/>
    </w:rPr>
  </w:style>
  <w:style w:type="character" w:customStyle="1" w:styleId="MenoPendente3">
    <w:name w:val="Menção Pendente3"/>
    <w:basedOn w:val="Fontepargpadro"/>
    <w:uiPriority w:val="99"/>
    <w:semiHidden/>
    <w:unhideWhenUsed/>
    <w:rsid w:val="004B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81959030">
      <w:bodyDiv w:val="1"/>
      <w:marLeft w:val="0"/>
      <w:marRight w:val="0"/>
      <w:marTop w:val="0"/>
      <w:marBottom w:val="0"/>
      <w:divBdr>
        <w:top w:val="none" w:sz="0" w:space="0" w:color="auto"/>
        <w:left w:val="none" w:sz="0" w:space="0" w:color="auto"/>
        <w:bottom w:val="none" w:sz="0" w:space="0" w:color="auto"/>
        <w:right w:val="none" w:sz="0" w:space="0" w:color="auto"/>
      </w:divBdr>
    </w:div>
    <w:div w:id="29552749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75222642">
      <w:bodyDiv w:val="1"/>
      <w:marLeft w:val="0"/>
      <w:marRight w:val="0"/>
      <w:marTop w:val="0"/>
      <w:marBottom w:val="0"/>
      <w:divBdr>
        <w:top w:val="none" w:sz="0" w:space="0" w:color="auto"/>
        <w:left w:val="none" w:sz="0" w:space="0" w:color="auto"/>
        <w:bottom w:val="none" w:sz="0" w:space="0" w:color="auto"/>
        <w:right w:val="none" w:sz="0" w:space="0" w:color="auto"/>
      </w:divBdr>
    </w:div>
    <w:div w:id="5625654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58190570">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307722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57462598">
      <w:bodyDiv w:val="1"/>
      <w:marLeft w:val="0"/>
      <w:marRight w:val="0"/>
      <w:marTop w:val="0"/>
      <w:marBottom w:val="0"/>
      <w:divBdr>
        <w:top w:val="none" w:sz="0" w:space="0" w:color="auto"/>
        <w:left w:val="none" w:sz="0" w:space="0" w:color="auto"/>
        <w:bottom w:val="none" w:sz="0" w:space="0" w:color="auto"/>
        <w:right w:val="none" w:sz="0" w:space="0" w:color="auto"/>
      </w:divBdr>
    </w:div>
    <w:div w:id="1382442834">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499271288">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37888704">
      <w:bodyDiv w:val="1"/>
      <w:marLeft w:val="0"/>
      <w:marRight w:val="0"/>
      <w:marTop w:val="0"/>
      <w:marBottom w:val="0"/>
      <w:divBdr>
        <w:top w:val="none" w:sz="0" w:space="0" w:color="auto"/>
        <w:left w:val="none" w:sz="0" w:space="0" w:color="auto"/>
        <w:bottom w:val="none" w:sz="0" w:space="0" w:color="auto"/>
        <w:right w:val="none" w:sz="0" w:space="0" w:color="auto"/>
      </w:divBdr>
    </w:div>
    <w:div w:id="1660033240">
      <w:bodyDiv w:val="1"/>
      <w:marLeft w:val="0"/>
      <w:marRight w:val="0"/>
      <w:marTop w:val="0"/>
      <w:marBottom w:val="0"/>
      <w:divBdr>
        <w:top w:val="none" w:sz="0" w:space="0" w:color="auto"/>
        <w:left w:val="none" w:sz="0" w:space="0" w:color="auto"/>
        <w:bottom w:val="none" w:sz="0" w:space="0" w:color="auto"/>
        <w:right w:val="none" w:sz="0" w:space="0" w:color="auto"/>
      </w:divBdr>
    </w:div>
    <w:div w:id="1692682844">
      <w:bodyDiv w:val="1"/>
      <w:marLeft w:val="0"/>
      <w:marRight w:val="0"/>
      <w:marTop w:val="0"/>
      <w:marBottom w:val="0"/>
      <w:divBdr>
        <w:top w:val="none" w:sz="0" w:space="0" w:color="auto"/>
        <w:left w:val="none" w:sz="0" w:space="0" w:color="auto"/>
        <w:bottom w:val="none" w:sz="0" w:space="0" w:color="auto"/>
        <w:right w:val="none" w:sz="0" w:space="0" w:color="auto"/>
      </w:divBdr>
    </w:div>
    <w:div w:id="1711802555">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61022268">
      <w:bodyDiv w:val="1"/>
      <w:marLeft w:val="0"/>
      <w:marRight w:val="0"/>
      <w:marTop w:val="0"/>
      <w:marBottom w:val="0"/>
      <w:divBdr>
        <w:top w:val="none" w:sz="0" w:space="0" w:color="auto"/>
        <w:left w:val="none" w:sz="0" w:space="0" w:color="auto"/>
        <w:bottom w:val="none" w:sz="0" w:space="0" w:color="auto"/>
        <w:right w:val="none" w:sz="0" w:space="0" w:color="auto"/>
      </w:divBdr>
    </w:div>
    <w:div w:id="1769109116">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87595333">
      <w:bodyDiv w:val="1"/>
      <w:marLeft w:val="0"/>
      <w:marRight w:val="0"/>
      <w:marTop w:val="0"/>
      <w:marBottom w:val="0"/>
      <w:divBdr>
        <w:top w:val="none" w:sz="0" w:space="0" w:color="auto"/>
        <w:left w:val="none" w:sz="0" w:space="0" w:color="auto"/>
        <w:bottom w:val="none" w:sz="0" w:space="0" w:color="auto"/>
        <w:right w:val="none" w:sz="0" w:space="0" w:color="auto"/>
      </w:divBdr>
    </w:div>
    <w:div w:id="1907063141">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1985889973">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 w:id="21010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sai.org/" TargetMode="External"/><Relationship Id="rId13" Type="http://schemas.openxmlformats.org/officeDocument/2006/relationships/hyperlink" Target="http://www.pasai.org/" TargetMode="External"/><Relationship Id="rId18" Type="http://schemas.openxmlformats.org/officeDocument/2006/relationships/hyperlink" Target="https://www.tcu.es/repositorio/2d40eed5-e912-482c-840a-e740b0d8ac3b/I1393.pdf" TargetMode="External"/><Relationship Id="rId26" Type="http://schemas.openxmlformats.org/officeDocument/2006/relationships/hyperlink" Target="http://www1.tce.pr.gov.br/conteudo/boletim-informativo-de-jurisprudencia/280400/area/249" TargetMode="External"/><Relationship Id="rId3" Type="http://schemas.openxmlformats.org/officeDocument/2006/relationships/styles" Target="styles.xml"/><Relationship Id="rId21" Type="http://schemas.openxmlformats.org/officeDocument/2006/relationships/hyperlink" Target="https://www.tcontas.pt/pt-pt/ProdutosTC/Relatorios/RelatoriosAuditoria/Pages/RelatoriosAuditoria.aspx" TargetMode="External"/><Relationship Id="rId7" Type="http://schemas.openxmlformats.org/officeDocument/2006/relationships/endnotes" Target="endnotes.xml"/><Relationship Id="rId12" Type="http://schemas.openxmlformats.org/officeDocument/2006/relationships/hyperlink" Target="http://asosai.org/asosai/" TargetMode="External"/><Relationship Id="rId17" Type="http://schemas.openxmlformats.org/officeDocument/2006/relationships/hyperlink" Target="https://www.tcu.es/tribunal-de-cuentas/es/sala-de-prensa/noticias/El-Tribunal-de-Cuentas-aprueba-el-Informe-de-fiscalizacion-sobre-las-actuaciones-de-defensa-contra-la-desertificacion-y-de-prevencion-y-extincion-de-incendios-forestales-ejercicio-2018/" TargetMode="External"/><Relationship Id="rId25"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file:////var/folders/hn/bsg63jbd6y52jpl1l5d007vw0000gn/T/com.microsoft.Word/WebArchiveCopyPasteTempFiles/wP1VwE7n6H8AQAAAABJRU5ErkJgg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bosai.org/Ar/" TargetMode="External"/><Relationship Id="rId24" Type="http://schemas.openxmlformats.org/officeDocument/2006/relationships/hyperlink" Target="http://www1.tce.pr.gov.br/conteudo/teses-ambientais/316603/area/249" TargetMode="External"/><Relationship Id="rId5" Type="http://schemas.openxmlformats.org/officeDocument/2006/relationships/webSettings" Target="webSettings.xml"/><Relationship Id="rId15" Type="http://schemas.openxmlformats.org/officeDocument/2006/relationships/hyperlink" Target="http://www.eurosai.org/en/about-us/about-eurosai/" TargetMode="External"/><Relationship Id="rId23" Type="http://schemas.openxmlformats.org/officeDocument/2006/relationships/hyperlink" Target="http://www1.tce.pr.gov.br/conteudo/pesquisas-prontas/308475/area/249" TargetMode="External"/><Relationship Id="rId28" Type="http://schemas.openxmlformats.org/officeDocument/2006/relationships/header" Target="header1.xml"/><Relationship Id="rId10" Type="http://schemas.openxmlformats.org/officeDocument/2006/relationships/hyperlink" Target="http://www.afrosai.org/" TargetMode="Externa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lacefs.com/" TargetMode="External"/><Relationship Id="rId14" Type="http://schemas.openxmlformats.org/officeDocument/2006/relationships/hyperlink" Target="http://carosai.org/" TargetMode="External"/><Relationship Id="rId22" Type="http://schemas.openxmlformats.org/officeDocument/2006/relationships/hyperlink" Target="https://www.tcontas.pt/pt-pt/ProdutosTC/Relatorios/RelatoriosAuditoria/Documents/2020/rel10-2020-2s.pdf" TargetMode="External"/><Relationship Id="rId27" Type="http://schemas.openxmlformats.org/officeDocument/2006/relationships/hyperlink" Target="http://www1.tce.pr.gov.br/conteudo/sumulas-selecionadas/316602/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471-CEBD-4089-BAB0-CECAA991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3350</Words>
  <Characters>18096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Fernando Barros</cp:lastModifiedBy>
  <cp:revision>3</cp:revision>
  <cp:lastPrinted>2021-10-17T21:59:00Z</cp:lastPrinted>
  <dcterms:created xsi:type="dcterms:W3CDTF">2021-10-17T21:59:00Z</dcterms:created>
  <dcterms:modified xsi:type="dcterms:W3CDTF">2021-10-17T22:08:00Z</dcterms:modified>
</cp:coreProperties>
</file>