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0C9610" w14:textId="77777777" w:rsidR="00A85417" w:rsidRDefault="00A85417" w:rsidP="00736503">
      <w:pPr>
        <w:pStyle w:val="Cabealho"/>
        <w:spacing w:line="276" w:lineRule="auto"/>
        <w:jc w:val="center"/>
        <w:rPr>
          <w:rFonts w:ascii="Arial" w:hAnsi="Arial" w:cs="Arial"/>
          <w:b/>
          <w:sz w:val="28"/>
          <w:szCs w:val="28"/>
        </w:rPr>
      </w:pPr>
    </w:p>
    <w:p w14:paraId="12E59E09" w14:textId="77777777" w:rsidR="0038012F" w:rsidRPr="000A4E5F" w:rsidRDefault="00AA5DFA" w:rsidP="00736503">
      <w:pPr>
        <w:pStyle w:val="Cabealho"/>
        <w:spacing w:line="276" w:lineRule="auto"/>
        <w:jc w:val="center"/>
        <w:rPr>
          <w:rFonts w:ascii="Arial" w:hAnsi="Arial" w:cs="Arial"/>
          <w:color w:val="800000"/>
          <w:sz w:val="26"/>
          <w:szCs w:val="26"/>
        </w:rPr>
      </w:pPr>
      <w:r w:rsidRPr="000A4E5F">
        <w:rPr>
          <w:rFonts w:ascii="Arial" w:hAnsi="Arial" w:cs="Arial"/>
          <w:b/>
          <w:color w:val="800000"/>
          <w:sz w:val="26"/>
          <w:szCs w:val="26"/>
        </w:rPr>
        <w:t xml:space="preserve">BOLETIM DE JURISPRUDÊNCIA INTERNACIONAL </w:t>
      </w:r>
    </w:p>
    <w:p w14:paraId="0DEC77EB" w14:textId="77777777" w:rsidR="00814325" w:rsidRDefault="00814325" w:rsidP="00736503">
      <w:pPr>
        <w:spacing w:after="0"/>
        <w:jc w:val="center"/>
        <w:rPr>
          <w:rFonts w:ascii="Arial" w:hAnsi="Arial" w:cs="Arial"/>
          <w:b/>
          <w:sz w:val="20"/>
          <w:szCs w:val="20"/>
        </w:rPr>
      </w:pPr>
    </w:p>
    <w:p w14:paraId="43C13223" w14:textId="0656BD2C" w:rsidR="00AA5DFA" w:rsidRPr="00A85417" w:rsidRDefault="001B5F7A" w:rsidP="00736503">
      <w:pPr>
        <w:spacing w:after="0"/>
        <w:jc w:val="center"/>
        <w:rPr>
          <w:rFonts w:ascii="Arial" w:hAnsi="Arial" w:cs="Arial"/>
          <w:b/>
          <w:color w:val="404040" w:themeColor="text1" w:themeTint="BF"/>
          <w:sz w:val="20"/>
          <w:szCs w:val="20"/>
        </w:rPr>
      </w:pPr>
      <w:r w:rsidRPr="00A85417">
        <w:rPr>
          <w:rFonts w:ascii="Arial" w:hAnsi="Arial" w:cs="Arial"/>
          <w:b/>
          <w:color w:val="404040" w:themeColor="text1" w:themeTint="BF"/>
          <w:sz w:val="20"/>
          <w:szCs w:val="20"/>
        </w:rPr>
        <w:t xml:space="preserve">Número </w:t>
      </w:r>
      <w:r w:rsidR="000D560C" w:rsidRPr="00A85417">
        <w:rPr>
          <w:rFonts w:ascii="Arial" w:hAnsi="Arial" w:cs="Arial"/>
          <w:b/>
          <w:color w:val="404040" w:themeColor="text1" w:themeTint="BF"/>
          <w:sz w:val="20"/>
          <w:szCs w:val="20"/>
        </w:rPr>
        <w:t>0</w:t>
      </w:r>
      <w:r w:rsidR="003129B0">
        <w:rPr>
          <w:rFonts w:ascii="Arial" w:hAnsi="Arial" w:cs="Arial"/>
          <w:b/>
          <w:color w:val="404040" w:themeColor="text1" w:themeTint="BF"/>
          <w:sz w:val="20"/>
          <w:szCs w:val="20"/>
        </w:rPr>
        <w:t>6</w:t>
      </w:r>
    </w:p>
    <w:p w14:paraId="65AD324B" w14:textId="77777777" w:rsidR="00DE79B1" w:rsidRDefault="00DE79B1" w:rsidP="00736503">
      <w:pPr>
        <w:spacing w:after="0"/>
        <w:jc w:val="both"/>
        <w:rPr>
          <w:rFonts w:ascii="Arial" w:hAnsi="Arial" w:cs="Arial"/>
          <w:sz w:val="20"/>
          <w:szCs w:val="20"/>
        </w:rPr>
      </w:pPr>
    </w:p>
    <w:p w14:paraId="406F4F52" w14:textId="77777777" w:rsidR="00D01404" w:rsidRDefault="00FE7B14" w:rsidP="00736503">
      <w:pPr>
        <w:spacing w:after="0"/>
        <w:jc w:val="both"/>
        <w:rPr>
          <w:rFonts w:ascii="Arial" w:hAnsi="Arial" w:cs="Arial"/>
          <w:sz w:val="20"/>
          <w:szCs w:val="20"/>
        </w:rPr>
      </w:pPr>
      <w:r w:rsidRPr="00D01404">
        <w:rPr>
          <w:rFonts w:ascii="Arial" w:hAnsi="Arial" w:cs="Arial"/>
          <w:sz w:val="20"/>
          <w:szCs w:val="20"/>
        </w:rPr>
        <w:t xml:space="preserve">Este Boletim contém </w:t>
      </w:r>
      <w:r w:rsidR="00D01404" w:rsidRPr="00D01404">
        <w:rPr>
          <w:rFonts w:ascii="Arial" w:hAnsi="Arial" w:cs="Arial"/>
          <w:sz w:val="20"/>
          <w:szCs w:val="20"/>
        </w:rPr>
        <w:t>informações sintéticas de decisões proferidas pelas Entidades Fiscalizadoras regionais e respectivos Estados-membros filiados à</w:t>
      </w:r>
      <w:r w:rsidR="00D01404" w:rsidRPr="00015B58">
        <w:rPr>
          <w:rFonts w:ascii="Arial" w:hAnsi="Arial" w:cs="Arial"/>
          <w:b/>
          <w:sz w:val="20"/>
          <w:szCs w:val="20"/>
        </w:rPr>
        <w:t xml:space="preserve"> </w:t>
      </w:r>
      <w:hyperlink r:id="rId8" w:history="1">
        <w:r w:rsidR="00D01404" w:rsidRPr="00015B58">
          <w:rPr>
            <w:rStyle w:val="Hyperlink"/>
            <w:rFonts w:ascii="Arial" w:hAnsi="Arial" w:cs="Arial"/>
            <w:b/>
            <w:sz w:val="20"/>
            <w:szCs w:val="20"/>
          </w:rPr>
          <w:t>INTOSAI</w:t>
        </w:r>
      </w:hyperlink>
      <w:r w:rsidR="00D01404" w:rsidRPr="00D01404">
        <w:rPr>
          <w:rFonts w:ascii="Arial" w:hAnsi="Arial" w:cs="Arial"/>
          <w:sz w:val="20"/>
          <w:szCs w:val="20"/>
        </w:rPr>
        <w:t xml:space="preserve"> </w:t>
      </w:r>
      <w:r w:rsidR="00D01404" w:rsidRPr="00D01404">
        <w:rPr>
          <w:rFonts w:ascii="Arial" w:hAnsi="Arial" w:cs="Arial"/>
          <w:i/>
          <w:sz w:val="20"/>
          <w:szCs w:val="20"/>
        </w:rPr>
        <w:t>(</w:t>
      </w:r>
      <w:r w:rsidR="00926E84">
        <w:rPr>
          <w:rFonts w:ascii="Arial" w:hAnsi="Arial" w:cs="Arial"/>
          <w:i/>
          <w:sz w:val="20"/>
          <w:szCs w:val="20"/>
          <w:shd w:val="clear" w:color="auto" w:fill="FFFFFF"/>
        </w:rPr>
        <w:t>The International Organiz</w:t>
      </w:r>
      <w:r w:rsidR="00D01404" w:rsidRPr="00D01404">
        <w:rPr>
          <w:rFonts w:ascii="Arial" w:hAnsi="Arial" w:cs="Arial"/>
          <w:i/>
          <w:sz w:val="20"/>
          <w:szCs w:val="20"/>
          <w:shd w:val="clear" w:color="auto" w:fill="FFFFFF"/>
        </w:rPr>
        <w:t>ation of Supreme Audit Institutions</w:t>
      </w:r>
      <w:r w:rsidR="00D01404" w:rsidRPr="00D01404">
        <w:rPr>
          <w:rFonts w:ascii="Arial" w:hAnsi="Arial" w:cs="Arial"/>
          <w:i/>
          <w:sz w:val="20"/>
          <w:szCs w:val="20"/>
        </w:rPr>
        <w:t>)</w:t>
      </w:r>
      <w:r w:rsidR="00D01404">
        <w:rPr>
          <w:rFonts w:ascii="Arial" w:hAnsi="Arial" w:cs="Arial"/>
          <w:sz w:val="20"/>
          <w:szCs w:val="20"/>
        </w:rPr>
        <w:t xml:space="preserve"> sobre temas relacionados ao controle externo evidenciando sobretudo boas práticas de gestão administrativa.</w:t>
      </w:r>
    </w:p>
    <w:p w14:paraId="0942E219" w14:textId="77777777" w:rsidR="00D01404" w:rsidRDefault="00D01404" w:rsidP="00736503">
      <w:pPr>
        <w:spacing w:after="0"/>
        <w:jc w:val="both"/>
        <w:rPr>
          <w:rFonts w:ascii="Arial" w:hAnsi="Arial" w:cs="Arial"/>
          <w:sz w:val="20"/>
          <w:szCs w:val="20"/>
        </w:rPr>
      </w:pPr>
    </w:p>
    <w:p w14:paraId="65E87C5F" w14:textId="4212E0F3" w:rsidR="00E95A8E" w:rsidRDefault="007D6A5B" w:rsidP="00736503">
      <w:pPr>
        <w:spacing w:after="0"/>
        <w:jc w:val="both"/>
        <w:rPr>
          <w:rFonts w:ascii="Arial" w:hAnsi="Arial" w:cs="Arial"/>
          <w:sz w:val="20"/>
          <w:szCs w:val="20"/>
        </w:rPr>
      </w:pPr>
      <w:r>
        <w:rPr>
          <w:rFonts w:ascii="Arial" w:hAnsi="Arial" w:cs="Arial"/>
          <w:sz w:val="20"/>
          <w:szCs w:val="20"/>
        </w:rPr>
        <w:t>A seleção das decisões leva em consideração os aspectos</w:t>
      </w:r>
      <w:r w:rsidR="007E786E">
        <w:rPr>
          <w:rFonts w:ascii="Arial" w:hAnsi="Arial" w:cs="Arial"/>
          <w:sz w:val="20"/>
          <w:szCs w:val="20"/>
        </w:rPr>
        <w:t xml:space="preserve"> de auditoria financeira, de conformidade e de resultado, por eixo temático: meio ambiente</w:t>
      </w:r>
      <w:r w:rsidR="008C26E1">
        <w:rPr>
          <w:rFonts w:ascii="Arial" w:hAnsi="Arial" w:cs="Arial"/>
          <w:sz w:val="20"/>
          <w:szCs w:val="20"/>
        </w:rPr>
        <w:t>,</w:t>
      </w:r>
      <w:r w:rsidR="007E786E">
        <w:rPr>
          <w:rFonts w:ascii="Arial" w:hAnsi="Arial" w:cs="Arial"/>
          <w:sz w:val="20"/>
          <w:szCs w:val="20"/>
        </w:rPr>
        <w:t xml:space="preserve"> saúde</w:t>
      </w:r>
      <w:r w:rsidR="008C26E1">
        <w:rPr>
          <w:rFonts w:ascii="Arial" w:hAnsi="Arial" w:cs="Arial"/>
          <w:sz w:val="20"/>
          <w:szCs w:val="20"/>
        </w:rPr>
        <w:t>,</w:t>
      </w:r>
      <w:r w:rsidR="007E786E">
        <w:rPr>
          <w:rFonts w:ascii="Arial" w:hAnsi="Arial" w:cs="Arial"/>
          <w:sz w:val="20"/>
          <w:szCs w:val="20"/>
        </w:rPr>
        <w:t xml:space="preserve"> gestão pública</w:t>
      </w:r>
      <w:r w:rsidR="008C26E1">
        <w:rPr>
          <w:rFonts w:ascii="Arial" w:hAnsi="Arial" w:cs="Arial"/>
          <w:sz w:val="20"/>
          <w:szCs w:val="20"/>
        </w:rPr>
        <w:t>,</w:t>
      </w:r>
      <w:r w:rsidR="00926E84">
        <w:rPr>
          <w:rFonts w:ascii="Arial" w:hAnsi="Arial" w:cs="Arial"/>
          <w:sz w:val="20"/>
          <w:szCs w:val="20"/>
        </w:rPr>
        <w:t xml:space="preserve"> finanças</w:t>
      </w:r>
      <w:r w:rsidR="008C26E1">
        <w:rPr>
          <w:rFonts w:ascii="Arial" w:hAnsi="Arial" w:cs="Arial"/>
          <w:sz w:val="20"/>
          <w:szCs w:val="20"/>
        </w:rPr>
        <w:t>,</w:t>
      </w:r>
      <w:r w:rsidR="00926E84">
        <w:rPr>
          <w:rFonts w:ascii="Arial" w:hAnsi="Arial" w:cs="Arial"/>
          <w:sz w:val="20"/>
          <w:szCs w:val="20"/>
        </w:rPr>
        <w:t xml:space="preserve"> educação</w:t>
      </w:r>
      <w:r w:rsidR="008C26E1">
        <w:rPr>
          <w:rFonts w:ascii="Arial" w:hAnsi="Arial" w:cs="Arial"/>
          <w:sz w:val="20"/>
          <w:szCs w:val="20"/>
        </w:rPr>
        <w:t>,</w:t>
      </w:r>
      <w:r w:rsidR="00926E84">
        <w:rPr>
          <w:rFonts w:ascii="Arial" w:hAnsi="Arial" w:cs="Arial"/>
          <w:sz w:val="20"/>
          <w:szCs w:val="20"/>
        </w:rPr>
        <w:t xml:space="preserve"> segurança</w:t>
      </w:r>
      <w:r w:rsidR="008C26E1">
        <w:rPr>
          <w:rFonts w:ascii="Arial" w:hAnsi="Arial" w:cs="Arial"/>
          <w:sz w:val="20"/>
          <w:szCs w:val="20"/>
        </w:rPr>
        <w:t>,</w:t>
      </w:r>
      <w:r w:rsidR="007E786E">
        <w:rPr>
          <w:rFonts w:ascii="Arial" w:hAnsi="Arial" w:cs="Arial"/>
          <w:sz w:val="20"/>
          <w:szCs w:val="20"/>
        </w:rPr>
        <w:t xml:space="preserve"> infraestrutura</w:t>
      </w:r>
      <w:r w:rsidR="008C26E1">
        <w:rPr>
          <w:rFonts w:ascii="Arial" w:hAnsi="Arial" w:cs="Arial"/>
          <w:sz w:val="20"/>
          <w:szCs w:val="20"/>
        </w:rPr>
        <w:t>,</w:t>
      </w:r>
      <w:r w:rsidR="007E786E">
        <w:rPr>
          <w:rFonts w:ascii="Arial" w:hAnsi="Arial" w:cs="Arial"/>
          <w:sz w:val="20"/>
          <w:szCs w:val="20"/>
        </w:rPr>
        <w:t xml:space="preserve"> transporte entre outros temas. O conteúdo será proveniente </w:t>
      </w:r>
      <w:r w:rsidR="00F923CE">
        <w:rPr>
          <w:rFonts w:ascii="Arial" w:hAnsi="Arial" w:cs="Arial"/>
          <w:sz w:val="20"/>
          <w:szCs w:val="20"/>
        </w:rPr>
        <w:t xml:space="preserve">de julgados e relatórios </w:t>
      </w:r>
      <w:r w:rsidR="007E786E">
        <w:rPr>
          <w:rFonts w:ascii="Arial" w:hAnsi="Arial" w:cs="Arial"/>
          <w:sz w:val="20"/>
          <w:szCs w:val="20"/>
        </w:rPr>
        <w:t>das entidades regionais de fiscalização e respectivos membros, a saber:</w:t>
      </w:r>
      <w:r w:rsidR="00AE798E">
        <w:rPr>
          <w:rFonts w:ascii="Arial" w:hAnsi="Arial" w:cs="Arial"/>
          <w:sz w:val="20"/>
          <w:szCs w:val="20"/>
        </w:rPr>
        <w:t xml:space="preserve"> </w:t>
      </w:r>
    </w:p>
    <w:tbl>
      <w:tblPr>
        <w:tblStyle w:val="SombreamentoClaro-nfase2"/>
        <w:tblW w:w="0" w:type="auto"/>
        <w:tblLook w:val="04A0" w:firstRow="1" w:lastRow="0" w:firstColumn="1" w:lastColumn="0" w:noHBand="0" w:noVBand="1"/>
      </w:tblPr>
      <w:tblGrid>
        <w:gridCol w:w="8494"/>
      </w:tblGrid>
      <w:tr w:rsidR="00A21641" w:rsidRPr="003129B0" w14:paraId="0D66E0BF" w14:textId="77777777" w:rsidTr="007A3F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tcPr>
          <w:p w14:paraId="22F8378F" w14:textId="77777777" w:rsidR="00A21641" w:rsidRPr="00237FAE" w:rsidRDefault="00AA5A48" w:rsidP="00736503">
            <w:pPr>
              <w:spacing w:line="276" w:lineRule="auto"/>
              <w:jc w:val="center"/>
              <w:rPr>
                <w:rFonts w:ascii="Arial" w:hAnsi="Arial" w:cs="Arial"/>
                <w:sz w:val="18"/>
                <w:szCs w:val="18"/>
                <w:lang w:val="es-ES_tradnl"/>
              </w:rPr>
            </w:pPr>
            <w:hyperlink r:id="rId9" w:history="1">
              <w:r w:rsidR="00A21641" w:rsidRPr="00237FAE">
                <w:rPr>
                  <w:rStyle w:val="Hyperlink"/>
                  <w:rFonts w:ascii="Arial" w:hAnsi="Arial" w:cs="Arial"/>
                  <w:bCs w:val="0"/>
                  <w:sz w:val="18"/>
                  <w:szCs w:val="18"/>
                  <w:lang w:val="es-ES_tradnl"/>
                </w:rPr>
                <w:t>OLACEFS</w:t>
              </w:r>
            </w:hyperlink>
          </w:p>
          <w:p w14:paraId="277823C5" w14:textId="77777777" w:rsidR="00A21641" w:rsidRPr="00237FAE" w:rsidRDefault="00A21641" w:rsidP="00736503">
            <w:pPr>
              <w:spacing w:line="276" w:lineRule="auto"/>
              <w:jc w:val="center"/>
              <w:rPr>
                <w:rFonts w:ascii="Arial" w:hAnsi="Arial" w:cs="Arial"/>
                <w:b w:val="0"/>
                <w:i/>
                <w:sz w:val="16"/>
                <w:szCs w:val="16"/>
                <w:lang w:val="es-ES_tradnl"/>
              </w:rPr>
            </w:pPr>
            <w:r w:rsidRPr="00237FAE">
              <w:rPr>
                <w:rFonts w:ascii="Arial" w:hAnsi="Arial" w:cs="Arial"/>
                <w:b w:val="0"/>
                <w:i/>
                <w:sz w:val="16"/>
                <w:szCs w:val="16"/>
                <w:lang w:val="es-ES_tradnl"/>
              </w:rPr>
              <w:t>(Organization of Latin American and Caribbean Supreme Audit Institutions)</w:t>
            </w:r>
          </w:p>
          <w:p w14:paraId="47010698" w14:textId="77777777" w:rsidR="00A21641" w:rsidRPr="00237FAE" w:rsidRDefault="00A21641" w:rsidP="00736503">
            <w:pPr>
              <w:spacing w:line="276" w:lineRule="auto"/>
              <w:jc w:val="both"/>
              <w:rPr>
                <w:rFonts w:ascii="Arial" w:hAnsi="Arial" w:cs="Arial"/>
                <w:sz w:val="18"/>
                <w:szCs w:val="18"/>
                <w:lang w:val="es-ES_tradnl"/>
              </w:rPr>
            </w:pPr>
          </w:p>
        </w:tc>
      </w:tr>
      <w:tr w:rsidR="00A21641" w:rsidRPr="003129B0" w14:paraId="5C38EE07" w14:textId="77777777" w:rsidTr="007A3F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tcPr>
          <w:p w14:paraId="3EC8A59A" w14:textId="77777777" w:rsidR="00A21641" w:rsidRPr="003129B0" w:rsidRDefault="00AA5A48" w:rsidP="00736503">
            <w:pPr>
              <w:spacing w:line="276" w:lineRule="auto"/>
              <w:jc w:val="center"/>
              <w:rPr>
                <w:rFonts w:ascii="Arial" w:hAnsi="Arial" w:cs="Arial"/>
                <w:sz w:val="18"/>
                <w:szCs w:val="18"/>
                <w:lang w:val="en-US"/>
              </w:rPr>
            </w:pPr>
            <w:hyperlink r:id="rId10" w:history="1">
              <w:r w:rsidR="00A21641" w:rsidRPr="003129B0">
                <w:rPr>
                  <w:rStyle w:val="Hyperlink"/>
                  <w:rFonts w:ascii="Arial" w:hAnsi="Arial" w:cs="Arial"/>
                  <w:bCs w:val="0"/>
                  <w:sz w:val="18"/>
                  <w:szCs w:val="18"/>
                  <w:lang w:val="en-US"/>
                </w:rPr>
                <w:t>AFROSAI</w:t>
              </w:r>
            </w:hyperlink>
          </w:p>
          <w:p w14:paraId="3285D0D9" w14:textId="77777777" w:rsidR="00A21641" w:rsidRPr="003129B0" w:rsidRDefault="00A21641" w:rsidP="00736503">
            <w:pPr>
              <w:spacing w:line="276" w:lineRule="auto"/>
              <w:jc w:val="center"/>
              <w:rPr>
                <w:rFonts w:ascii="Arial" w:hAnsi="Arial" w:cs="Arial"/>
                <w:b w:val="0"/>
                <w:i/>
                <w:sz w:val="16"/>
                <w:szCs w:val="16"/>
                <w:lang w:val="en-US"/>
              </w:rPr>
            </w:pPr>
            <w:r w:rsidRPr="003129B0">
              <w:rPr>
                <w:rFonts w:ascii="Arial" w:hAnsi="Arial" w:cs="Arial"/>
                <w:b w:val="0"/>
                <w:i/>
                <w:sz w:val="16"/>
                <w:szCs w:val="16"/>
                <w:lang w:val="en-US"/>
              </w:rPr>
              <w:t>(African Organization of Supreme Audit Institutions)</w:t>
            </w:r>
          </w:p>
          <w:p w14:paraId="52A9EEBF" w14:textId="77777777" w:rsidR="00A21641" w:rsidRPr="003129B0" w:rsidRDefault="00A21641" w:rsidP="00736503">
            <w:pPr>
              <w:spacing w:line="276" w:lineRule="auto"/>
              <w:jc w:val="both"/>
              <w:rPr>
                <w:rFonts w:ascii="Arial" w:hAnsi="Arial" w:cs="Arial"/>
                <w:sz w:val="18"/>
                <w:szCs w:val="18"/>
                <w:lang w:val="en-US"/>
              </w:rPr>
            </w:pPr>
          </w:p>
        </w:tc>
      </w:tr>
      <w:tr w:rsidR="00A21641" w:rsidRPr="003129B0" w14:paraId="5D427D25" w14:textId="77777777" w:rsidTr="007A3F8C">
        <w:tc>
          <w:tcPr>
            <w:cnfStyle w:val="001000000000" w:firstRow="0" w:lastRow="0" w:firstColumn="1" w:lastColumn="0" w:oddVBand="0" w:evenVBand="0" w:oddHBand="0" w:evenHBand="0" w:firstRowFirstColumn="0" w:firstRowLastColumn="0" w:lastRowFirstColumn="0" w:lastRowLastColumn="0"/>
            <w:tcW w:w="8494" w:type="dxa"/>
          </w:tcPr>
          <w:p w14:paraId="0F1057D1" w14:textId="77777777" w:rsidR="00A21641" w:rsidRPr="003129B0" w:rsidRDefault="00AA5A48" w:rsidP="00736503">
            <w:pPr>
              <w:spacing w:line="276" w:lineRule="auto"/>
              <w:jc w:val="center"/>
              <w:rPr>
                <w:rFonts w:ascii="Arial" w:hAnsi="Arial" w:cs="Arial"/>
                <w:sz w:val="18"/>
                <w:szCs w:val="18"/>
                <w:lang w:val="en-US"/>
              </w:rPr>
            </w:pPr>
            <w:hyperlink r:id="rId11" w:history="1">
              <w:r w:rsidR="00A21641" w:rsidRPr="003129B0">
                <w:rPr>
                  <w:rStyle w:val="Hyperlink"/>
                  <w:rFonts w:ascii="Arial" w:hAnsi="Arial" w:cs="Arial"/>
                  <w:bCs w:val="0"/>
                  <w:sz w:val="18"/>
                  <w:szCs w:val="18"/>
                  <w:lang w:val="en-US"/>
                </w:rPr>
                <w:t>ARABOSAI</w:t>
              </w:r>
            </w:hyperlink>
          </w:p>
          <w:p w14:paraId="0105952B" w14:textId="77777777" w:rsidR="00A21641" w:rsidRPr="003129B0" w:rsidRDefault="00A21641" w:rsidP="00736503">
            <w:pPr>
              <w:spacing w:line="276" w:lineRule="auto"/>
              <w:jc w:val="center"/>
              <w:rPr>
                <w:rFonts w:ascii="Arial" w:hAnsi="Arial" w:cs="Arial"/>
                <w:b w:val="0"/>
                <w:i/>
                <w:sz w:val="16"/>
                <w:szCs w:val="16"/>
                <w:lang w:val="en-US"/>
              </w:rPr>
            </w:pPr>
            <w:r w:rsidRPr="003129B0">
              <w:rPr>
                <w:rFonts w:ascii="Arial" w:hAnsi="Arial" w:cs="Arial"/>
                <w:b w:val="0"/>
                <w:i/>
                <w:sz w:val="16"/>
                <w:szCs w:val="16"/>
                <w:lang w:val="en-US"/>
              </w:rPr>
              <w:t>(Arab Organization of Supreme Audit Institutions)</w:t>
            </w:r>
          </w:p>
          <w:p w14:paraId="4E38347D" w14:textId="77777777" w:rsidR="00A21641" w:rsidRPr="003129B0" w:rsidRDefault="00A21641" w:rsidP="00736503">
            <w:pPr>
              <w:spacing w:line="276" w:lineRule="auto"/>
              <w:jc w:val="both"/>
              <w:rPr>
                <w:rFonts w:ascii="Arial" w:hAnsi="Arial" w:cs="Arial"/>
                <w:sz w:val="18"/>
                <w:szCs w:val="18"/>
                <w:lang w:val="en-US"/>
              </w:rPr>
            </w:pPr>
          </w:p>
        </w:tc>
      </w:tr>
      <w:tr w:rsidR="00A21641" w:rsidRPr="003129B0" w14:paraId="1BA9BA29" w14:textId="77777777" w:rsidTr="007A3F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tcPr>
          <w:p w14:paraId="5AC7E2A9" w14:textId="77777777" w:rsidR="00A21641" w:rsidRPr="003129B0" w:rsidRDefault="00AA5A48" w:rsidP="00736503">
            <w:pPr>
              <w:spacing w:line="276" w:lineRule="auto"/>
              <w:jc w:val="center"/>
              <w:rPr>
                <w:rFonts w:ascii="Arial" w:hAnsi="Arial" w:cs="Arial"/>
                <w:sz w:val="18"/>
                <w:szCs w:val="18"/>
                <w:lang w:val="en-US"/>
              </w:rPr>
            </w:pPr>
            <w:hyperlink r:id="rId12" w:history="1">
              <w:r w:rsidR="00A21641" w:rsidRPr="003129B0">
                <w:rPr>
                  <w:rStyle w:val="Hyperlink"/>
                  <w:rFonts w:ascii="Arial" w:hAnsi="Arial" w:cs="Arial"/>
                  <w:bCs w:val="0"/>
                  <w:sz w:val="18"/>
                  <w:szCs w:val="18"/>
                  <w:lang w:val="en-US"/>
                </w:rPr>
                <w:t>ASOSAI</w:t>
              </w:r>
            </w:hyperlink>
          </w:p>
          <w:p w14:paraId="414F4EA7" w14:textId="77777777" w:rsidR="00A21641" w:rsidRPr="003129B0" w:rsidRDefault="00A21641" w:rsidP="00736503">
            <w:pPr>
              <w:spacing w:line="276" w:lineRule="auto"/>
              <w:jc w:val="center"/>
              <w:rPr>
                <w:rFonts w:ascii="Arial" w:hAnsi="Arial" w:cs="Arial"/>
                <w:b w:val="0"/>
                <w:i/>
                <w:sz w:val="16"/>
                <w:szCs w:val="16"/>
                <w:lang w:val="en-US"/>
              </w:rPr>
            </w:pPr>
            <w:r w:rsidRPr="003129B0">
              <w:rPr>
                <w:rFonts w:ascii="Arial" w:hAnsi="Arial" w:cs="Arial"/>
                <w:b w:val="0"/>
                <w:i/>
                <w:sz w:val="16"/>
                <w:szCs w:val="16"/>
                <w:lang w:val="en-US"/>
              </w:rPr>
              <w:t>(Asian Organization of Supreme Audit Institutions)</w:t>
            </w:r>
          </w:p>
          <w:p w14:paraId="1A892DAB" w14:textId="77777777" w:rsidR="00A21641" w:rsidRPr="003129B0" w:rsidRDefault="00A21641" w:rsidP="00736503">
            <w:pPr>
              <w:spacing w:line="276" w:lineRule="auto"/>
              <w:jc w:val="center"/>
              <w:rPr>
                <w:rFonts w:ascii="Arial" w:hAnsi="Arial" w:cs="Arial"/>
                <w:sz w:val="18"/>
                <w:szCs w:val="18"/>
                <w:lang w:val="en-US"/>
              </w:rPr>
            </w:pPr>
          </w:p>
        </w:tc>
      </w:tr>
      <w:tr w:rsidR="00A21641" w:rsidRPr="003129B0" w14:paraId="61A40C65" w14:textId="77777777" w:rsidTr="007A3F8C">
        <w:tc>
          <w:tcPr>
            <w:cnfStyle w:val="001000000000" w:firstRow="0" w:lastRow="0" w:firstColumn="1" w:lastColumn="0" w:oddVBand="0" w:evenVBand="0" w:oddHBand="0" w:evenHBand="0" w:firstRowFirstColumn="0" w:firstRowLastColumn="0" w:lastRowFirstColumn="0" w:lastRowLastColumn="0"/>
            <w:tcW w:w="8494" w:type="dxa"/>
          </w:tcPr>
          <w:p w14:paraId="595783D8" w14:textId="77777777" w:rsidR="00A21641" w:rsidRPr="003129B0" w:rsidRDefault="00AA5A48" w:rsidP="00736503">
            <w:pPr>
              <w:spacing w:line="276" w:lineRule="auto"/>
              <w:jc w:val="center"/>
              <w:rPr>
                <w:rFonts w:ascii="Arial" w:hAnsi="Arial" w:cs="Arial"/>
                <w:sz w:val="18"/>
                <w:szCs w:val="18"/>
                <w:lang w:val="en-US"/>
              </w:rPr>
            </w:pPr>
            <w:hyperlink r:id="rId13" w:history="1">
              <w:r w:rsidR="00A21641" w:rsidRPr="003129B0">
                <w:rPr>
                  <w:rStyle w:val="Hyperlink"/>
                  <w:rFonts w:ascii="Arial" w:hAnsi="Arial" w:cs="Arial"/>
                  <w:bCs w:val="0"/>
                  <w:sz w:val="18"/>
                  <w:szCs w:val="18"/>
                  <w:lang w:val="en-US"/>
                </w:rPr>
                <w:t>PASAI</w:t>
              </w:r>
            </w:hyperlink>
          </w:p>
          <w:p w14:paraId="0D69E437" w14:textId="77777777" w:rsidR="00A21641" w:rsidRPr="003129B0" w:rsidRDefault="00A21641" w:rsidP="00736503">
            <w:pPr>
              <w:spacing w:line="276" w:lineRule="auto"/>
              <w:jc w:val="center"/>
              <w:rPr>
                <w:rFonts w:ascii="Arial" w:hAnsi="Arial" w:cs="Arial"/>
                <w:b w:val="0"/>
                <w:i/>
                <w:sz w:val="16"/>
                <w:szCs w:val="16"/>
                <w:lang w:val="en-US"/>
              </w:rPr>
            </w:pPr>
            <w:r w:rsidRPr="003129B0">
              <w:rPr>
                <w:rFonts w:ascii="Arial" w:hAnsi="Arial" w:cs="Arial"/>
                <w:b w:val="0"/>
                <w:i/>
                <w:sz w:val="16"/>
                <w:szCs w:val="16"/>
                <w:lang w:val="en-US"/>
              </w:rPr>
              <w:t>(Pacific Association of Supreme Audit Institutions)</w:t>
            </w:r>
          </w:p>
          <w:p w14:paraId="3264D74A" w14:textId="77777777" w:rsidR="00A21641" w:rsidRPr="003129B0" w:rsidRDefault="00A21641" w:rsidP="00736503">
            <w:pPr>
              <w:spacing w:line="276" w:lineRule="auto"/>
              <w:jc w:val="center"/>
              <w:rPr>
                <w:rFonts w:ascii="Arial" w:hAnsi="Arial" w:cs="Arial"/>
                <w:sz w:val="18"/>
                <w:szCs w:val="18"/>
                <w:lang w:val="en-US"/>
              </w:rPr>
            </w:pPr>
          </w:p>
        </w:tc>
      </w:tr>
      <w:tr w:rsidR="00A21641" w:rsidRPr="003129B0" w14:paraId="3F46A1CC" w14:textId="77777777" w:rsidTr="007A3F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tcPr>
          <w:p w14:paraId="6D7C68B6" w14:textId="77777777" w:rsidR="00A21641" w:rsidRPr="003129B0" w:rsidRDefault="00AA5A48" w:rsidP="00736503">
            <w:pPr>
              <w:spacing w:line="276" w:lineRule="auto"/>
              <w:jc w:val="center"/>
              <w:rPr>
                <w:rFonts w:ascii="Arial" w:hAnsi="Arial" w:cs="Arial"/>
                <w:sz w:val="18"/>
                <w:szCs w:val="18"/>
                <w:lang w:val="en-US"/>
              </w:rPr>
            </w:pPr>
            <w:hyperlink r:id="rId14" w:history="1">
              <w:r w:rsidR="00A21641" w:rsidRPr="003129B0">
                <w:rPr>
                  <w:rStyle w:val="Hyperlink"/>
                  <w:rFonts w:ascii="Arial" w:hAnsi="Arial" w:cs="Arial"/>
                  <w:bCs w:val="0"/>
                  <w:sz w:val="18"/>
                  <w:szCs w:val="18"/>
                  <w:lang w:val="en-US"/>
                </w:rPr>
                <w:t>CAROSAI</w:t>
              </w:r>
            </w:hyperlink>
          </w:p>
          <w:p w14:paraId="58CA0F24" w14:textId="77777777" w:rsidR="00A21641" w:rsidRPr="003129B0" w:rsidRDefault="00A21641" w:rsidP="00736503">
            <w:pPr>
              <w:spacing w:line="276" w:lineRule="auto"/>
              <w:jc w:val="center"/>
              <w:rPr>
                <w:rFonts w:ascii="Arial" w:hAnsi="Arial" w:cs="Arial"/>
                <w:b w:val="0"/>
                <w:i/>
                <w:sz w:val="16"/>
                <w:szCs w:val="16"/>
                <w:lang w:val="en-US"/>
              </w:rPr>
            </w:pPr>
            <w:r w:rsidRPr="003129B0">
              <w:rPr>
                <w:rFonts w:ascii="Arial" w:hAnsi="Arial" w:cs="Arial"/>
                <w:b w:val="0"/>
                <w:i/>
                <w:sz w:val="16"/>
                <w:szCs w:val="16"/>
                <w:lang w:val="en-US"/>
              </w:rPr>
              <w:t>(Caribbean Organization of Supreme Audit Institutions)</w:t>
            </w:r>
          </w:p>
          <w:p w14:paraId="5AB3D030" w14:textId="77777777" w:rsidR="00A21641" w:rsidRPr="003129B0" w:rsidRDefault="00A21641" w:rsidP="00736503">
            <w:pPr>
              <w:spacing w:line="276" w:lineRule="auto"/>
              <w:jc w:val="both"/>
              <w:rPr>
                <w:rFonts w:ascii="Arial" w:hAnsi="Arial" w:cs="Arial"/>
                <w:sz w:val="18"/>
                <w:szCs w:val="18"/>
                <w:lang w:val="en-US"/>
              </w:rPr>
            </w:pPr>
          </w:p>
        </w:tc>
      </w:tr>
      <w:tr w:rsidR="00A21641" w:rsidRPr="003129B0" w14:paraId="267BD5C4" w14:textId="77777777" w:rsidTr="007A3F8C">
        <w:tc>
          <w:tcPr>
            <w:cnfStyle w:val="001000000000" w:firstRow="0" w:lastRow="0" w:firstColumn="1" w:lastColumn="0" w:oddVBand="0" w:evenVBand="0" w:oddHBand="0" w:evenHBand="0" w:firstRowFirstColumn="0" w:firstRowLastColumn="0" w:lastRowFirstColumn="0" w:lastRowLastColumn="0"/>
            <w:tcW w:w="8494" w:type="dxa"/>
          </w:tcPr>
          <w:p w14:paraId="13B9D937" w14:textId="77777777" w:rsidR="00A21641" w:rsidRPr="003129B0" w:rsidRDefault="00AA5A48" w:rsidP="00736503">
            <w:pPr>
              <w:spacing w:line="276" w:lineRule="auto"/>
              <w:jc w:val="center"/>
              <w:rPr>
                <w:rFonts w:ascii="Arial" w:hAnsi="Arial" w:cs="Arial"/>
                <w:sz w:val="18"/>
                <w:szCs w:val="18"/>
                <w:lang w:val="en-US"/>
              </w:rPr>
            </w:pPr>
            <w:hyperlink r:id="rId15" w:history="1">
              <w:r w:rsidR="00A21641" w:rsidRPr="003129B0">
                <w:rPr>
                  <w:rStyle w:val="Hyperlink"/>
                  <w:rFonts w:ascii="Arial" w:hAnsi="Arial" w:cs="Arial"/>
                  <w:bCs w:val="0"/>
                  <w:sz w:val="18"/>
                  <w:szCs w:val="18"/>
                  <w:lang w:val="en-US"/>
                </w:rPr>
                <w:t>EUROSAI</w:t>
              </w:r>
            </w:hyperlink>
          </w:p>
          <w:p w14:paraId="5BCEDF1B" w14:textId="77777777" w:rsidR="00A21641" w:rsidRPr="003129B0" w:rsidRDefault="00A21641" w:rsidP="00736503">
            <w:pPr>
              <w:spacing w:line="276" w:lineRule="auto"/>
              <w:jc w:val="center"/>
              <w:rPr>
                <w:rFonts w:ascii="Arial" w:hAnsi="Arial" w:cs="Arial"/>
                <w:b w:val="0"/>
                <w:i/>
                <w:sz w:val="16"/>
                <w:szCs w:val="16"/>
                <w:lang w:val="en-US"/>
              </w:rPr>
            </w:pPr>
            <w:r w:rsidRPr="003129B0">
              <w:rPr>
                <w:rFonts w:ascii="Arial" w:hAnsi="Arial" w:cs="Arial"/>
                <w:b w:val="0"/>
                <w:i/>
                <w:sz w:val="16"/>
                <w:szCs w:val="16"/>
                <w:lang w:val="en-US"/>
              </w:rPr>
              <w:t>(European Organization of Supreme Audit Institutions)</w:t>
            </w:r>
          </w:p>
          <w:p w14:paraId="2A51FDA1" w14:textId="77777777" w:rsidR="00A21641" w:rsidRPr="003129B0" w:rsidRDefault="00A21641" w:rsidP="00736503">
            <w:pPr>
              <w:spacing w:line="276" w:lineRule="auto"/>
              <w:jc w:val="both"/>
              <w:rPr>
                <w:rFonts w:ascii="Arial" w:hAnsi="Arial" w:cs="Arial"/>
                <w:color w:val="FF0000"/>
                <w:sz w:val="18"/>
                <w:szCs w:val="18"/>
                <w:lang w:val="en-US"/>
              </w:rPr>
            </w:pPr>
          </w:p>
        </w:tc>
      </w:tr>
    </w:tbl>
    <w:p w14:paraId="77C49698" w14:textId="77777777" w:rsidR="00AE798E" w:rsidRDefault="00AE798E" w:rsidP="00736503">
      <w:pPr>
        <w:spacing w:after="0"/>
        <w:jc w:val="both"/>
        <w:rPr>
          <w:rFonts w:ascii="Arial" w:hAnsi="Arial" w:cs="Arial"/>
          <w:sz w:val="20"/>
          <w:szCs w:val="20"/>
        </w:rPr>
      </w:pPr>
      <w:r>
        <w:rPr>
          <w:rFonts w:ascii="Arial" w:hAnsi="Arial" w:cs="Arial"/>
          <w:sz w:val="20"/>
          <w:szCs w:val="20"/>
        </w:rPr>
        <w:t>A tradução e adaptação dos trechos considerados mais relevantes para fins de divulgação dos precedentes internacionais</w:t>
      </w:r>
      <w:r w:rsidR="00F923CE">
        <w:rPr>
          <w:rFonts w:ascii="Arial" w:hAnsi="Arial" w:cs="Arial"/>
          <w:sz w:val="20"/>
          <w:szCs w:val="20"/>
        </w:rPr>
        <w:t>, feitas pelos integrantes da Escola de Gestão Pública (Áreas: Capacitação e Jurisprudência),</w:t>
      </w:r>
      <w:r>
        <w:rPr>
          <w:rFonts w:ascii="Arial" w:hAnsi="Arial" w:cs="Arial"/>
          <w:sz w:val="20"/>
          <w:szCs w:val="20"/>
        </w:rPr>
        <w:t xml:space="preserve"> dar-se-á </w:t>
      </w:r>
      <w:r w:rsidR="00F923CE">
        <w:rPr>
          <w:rFonts w:ascii="Arial" w:hAnsi="Arial" w:cs="Arial"/>
          <w:sz w:val="20"/>
          <w:szCs w:val="20"/>
        </w:rPr>
        <w:t>a partir d</w:t>
      </w:r>
      <w:r w:rsidRPr="00A21641">
        <w:rPr>
          <w:rFonts w:ascii="Arial" w:hAnsi="Arial" w:cs="Arial"/>
          <w:sz w:val="20"/>
          <w:szCs w:val="20"/>
        </w:rPr>
        <w:t>os</w:t>
      </w:r>
      <w:r w:rsidRPr="00E95A8E">
        <w:rPr>
          <w:rFonts w:ascii="Arial" w:hAnsi="Arial" w:cs="Arial"/>
          <w:color w:val="FF0000"/>
          <w:sz w:val="20"/>
          <w:szCs w:val="20"/>
        </w:rPr>
        <w:t xml:space="preserve"> </w:t>
      </w:r>
      <w:r>
        <w:rPr>
          <w:rFonts w:ascii="Arial" w:hAnsi="Arial" w:cs="Arial"/>
          <w:sz w:val="20"/>
          <w:szCs w:val="20"/>
        </w:rPr>
        <w:t>respectivos idiomas: inglês, espanhol, francês, italiano e russo.</w:t>
      </w:r>
    </w:p>
    <w:p w14:paraId="4BD22F9E" w14:textId="77777777" w:rsidR="006009F5" w:rsidRDefault="00FE7B14" w:rsidP="00736503">
      <w:pPr>
        <w:spacing w:after="0"/>
        <w:jc w:val="both"/>
        <w:rPr>
          <w:rFonts w:ascii="Arial" w:hAnsi="Arial" w:cs="Arial"/>
          <w:sz w:val="20"/>
          <w:szCs w:val="20"/>
        </w:rPr>
      </w:pPr>
      <w:r w:rsidRPr="0022060B">
        <w:rPr>
          <w:rFonts w:ascii="Arial" w:hAnsi="Arial" w:cs="Arial"/>
          <w:sz w:val="20"/>
          <w:szCs w:val="20"/>
        </w:rPr>
        <w:t xml:space="preserve">O objetivo é </w:t>
      </w:r>
      <w:r w:rsidR="007E786E">
        <w:rPr>
          <w:rFonts w:ascii="Arial" w:hAnsi="Arial" w:cs="Arial"/>
          <w:sz w:val="20"/>
          <w:szCs w:val="20"/>
        </w:rPr>
        <w:t xml:space="preserve">estimular </w:t>
      </w:r>
      <w:r w:rsidR="00F923CE">
        <w:rPr>
          <w:rFonts w:ascii="Arial" w:hAnsi="Arial" w:cs="Arial"/>
          <w:sz w:val="20"/>
          <w:szCs w:val="20"/>
        </w:rPr>
        <w:t xml:space="preserve">a disseminação de </w:t>
      </w:r>
      <w:r w:rsidR="007E786E">
        <w:rPr>
          <w:rFonts w:ascii="Arial" w:hAnsi="Arial" w:cs="Arial"/>
          <w:sz w:val="20"/>
          <w:szCs w:val="20"/>
        </w:rPr>
        <w:t xml:space="preserve">estudos e trabalhos periódicos na área de auditoria (conformidade e/ou operacional) que possam servir como inspiração e/ou subsídio para a aplicação de técnicas e práticas de controle externo internacional na realidade nacional e/ou local. </w:t>
      </w:r>
    </w:p>
    <w:p w14:paraId="1FC9CBB5" w14:textId="72A48DA4" w:rsidR="00FE7B14" w:rsidRDefault="00FE7B14" w:rsidP="00736503">
      <w:pPr>
        <w:spacing w:after="0"/>
        <w:jc w:val="both"/>
        <w:rPr>
          <w:rFonts w:ascii="Arial" w:hAnsi="Arial" w:cs="Arial"/>
          <w:sz w:val="20"/>
          <w:szCs w:val="20"/>
        </w:rPr>
      </w:pPr>
      <w:r w:rsidRPr="0022060B">
        <w:rPr>
          <w:rFonts w:ascii="Arial" w:hAnsi="Arial" w:cs="Arial"/>
          <w:sz w:val="20"/>
          <w:szCs w:val="20"/>
        </w:rPr>
        <w:t>Para aprofundamento, o leitor pode acessar o inteiro teor das deliberações por meio dos links disponíveis.</w:t>
      </w:r>
      <w:r w:rsidRPr="0022060B">
        <w:rPr>
          <w:rFonts w:ascii="Arial" w:hAnsi="Arial" w:cs="Arial"/>
          <w:color w:val="212121"/>
          <w:sz w:val="20"/>
          <w:szCs w:val="20"/>
        </w:rPr>
        <w:t xml:space="preserve"> </w:t>
      </w:r>
      <w:r w:rsidRPr="0022060B">
        <w:rPr>
          <w:rFonts w:ascii="Arial" w:hAnsi="Arial" w:cs="Arial"/>
          <w:sz w:val="20"/>
          <w:szCs w:val="20"/>
        </w:rPr>
        <w:t>As informações aqui apresentadas não são repositórios oficiais de jurisprudência.</w:t>
      </w:r>
    </w:p>
    <w:p w14:paraId="2DDAC451" w14:textId="3CAA1518" w:rsidR="00320FCE" w:rsidRDefault="00320FCE" w:rsidP="00736503">
      <w:pPr>
        <w:spacing w:after="0"/>
        <w:jc w:val="both"/>
        <w:rPr>
          <w:rFonts w:ascii="Arial" w:hAnsi="Arial" w:cs="Arial"/>
          <w:sz w:val="20"/>
          <w:szCs w:val="20"/>
        </w:rPr>
      </w:pPr>
    </w:p>
    <w:p w14:paraId="63F80000" w14:textId="3C24E860" w:rsidR="00320FCE" w:rsidRDefault="00320FCE" w:rsidP="00736503">
      <w:pPr>
        <w:spacing w:after="0"/>
        <w:jc w:val="both"/>
        <w:rPr>
          <w:rFonts w:ascii="Arial" w:hAnsi="Arial" w:cs="Arial"/>
          <w:sz w:val="20"/>
          <w:szCs w:val="20"/>
        </w:rPr>
      </w:pPr>
    </w:p>
    <w:p w14:paraId="6EF385B0" w14:textId="0F5C9079" w:rsidR="00320FCE" w:rsidRDefault="00320FCE" w:rsidP="00736503">
      <w:pPr>
        <w:spacing w:after="0"/>
        <w:jc w:val="both"/>
        <w:rPr>
          <w:rFonts w:ascii="Arial" w:hAnsi="Arial" w:cs="Arial"/>
          <w:sz w:val="20"/>
          <w:szCs w:val="20"/>
        </w:rPr>
      </w:pPr>
    </w:p>
    <w:p w14:paraId="6D1F3C35" w14:textId="6255BDAE" w:rsidR="00320FCE" w:rsidRDefault="00320FCE" w:rsidP="00736503">
      <w:pPr>
        <w:spacing w:after="0"/>
        <w:jc w:val="both"/>
        <w:rPr>
          <w:rFonts w:ascii="Arial" w:hAnsi="Arial" w:cs="Arial"/>
          <w:sz w:val="20"/>
          <w:szCs w:val="20"/>
        </w:rPr>
      </w:pPr>
    </w:p>
    <w:p w14:paraId="0E5AA2F1" w14:textId="4629AC27" w:rsidR="00320FCE" w:rsidRDefault="00320FCE" w:rsidP="00736503">
      <w:pPr>
        <w:spacing w:after="0"/>
        <w:jc w:val="both"/>
        <w:rPr>
          <w:rFonts w:ascii="Arial" w:hAnsi="Arial" w:cs="Arial"/>
          <w:sz w:val="20"/>
          <w:szCs w:val="20"/>
        </w:rPr>
      </w:pPr>
    </w:p>
    <w:p w14:paraId="47BE1B46" w14:textId="77777777" w:rsidR="00320FCE" w:rsidRDefault="00320FCE" w:rsidP="00736503">
      <w:pPr>
        <w:spacing w:after="0"/>
        <w:jc w:val="both"/>
        <w:rPr>
          <w:rFonts w:ascii="Arial" w:hAnsi="Arial" w:cs="Arial"/>
          <w:sz w:val="20"/>
          <w:szCs w:val="20"/>
        </w:rPr>
      </w:pPr>
    </w:p>
    <w:p w14:paraId="1B989F7F" w14:textId="77777777" w:rsidR="00FE7B14" w:rsidRPr="0022060B" w:rsidRDefault="00FE7B14" w:rsidP="00736503">
      <w:pPr>
        <w:spacing w:after="0"/>
        <w:jc w:val="both"/>
        <w:rPr>
          <w:rFonts w:ascii="Arial" w:hAnsi="Arial" w:cs="Arial"/>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2A156099" wp14:editId="11279CEF">
                <wp:simplePos x="0" y="0"/>
                <wp:positionH relativeFrom="margin">
                  <wp:posOffset>-635</wp:posOffset>
                </wp:positionH>
                <wp:positionV relativeFrom="paragraph">
                  <wp:posOffset>29845</wp:posOffset>
                </wp:positionV>
                <wp:extent cx="5397500" cy="0"/>
                <wp:effectExtent l="0" t="0" r="12700" b="5080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rgbClr val="800000"/>
                          </a:solidFill>
                          <a:round/>
                          <a:headEnd/>
                          <a:tailEnd/>
                        </a:ln>
                        <a:effectLst>
                          <a:outerShdw dist="20000" dir="5400000" rotWithShape="0">
                            <a:srgbClr val="000000">
                              <a:alpha val="37999"/>
                            </a:srgbClr>
                          </a:outerShdw>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DEAB2E"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" strokecolor="maroon" strokeweight="2pt">
                <v:shadow on="t" color="black" opacity="24903f" origin=",.5" offset="0,.55556mm"/>
                <w10:wrap anchorx="margin"/>
              </v:line>
            </w:pict>
          </mc:Fallback>
        </mc:AlternateContent>
      </w:r>
    </w:p>
    <w:p w14:paraId="492B7C37" w14:textId="77777777" w:rsidR="00AE4F42" w:rsidRPr="000A4E5F" w:rsidRDefault="00AE4F42" w:rsidP="00736503">
      <w:pPr>
        <w:spacing w:after="0"/>
        <w:jc w:val="center"/>
        <w:rPr>
          <w:rFonts w:ascii="Arial" w:hAnsi="Arial" w:cs="Arial"/>
          <w:b/>
          <w:color w:val="800000"/>
          <w:sz w:val="24"/>
          <w:szCs w:val="24"/>
        </w:rPr>
      </w:pPr>
      <w:r w:rsidRPr="000A4E5F">
        <w:rPr>
          <w:rFonts w:ascii="Arial" w:hAnsi="Arial" w:cs="Arial"/>
          <w:b/>
          <w:color w:val="800000"/>
          <w:sz w:val="24"/>
          <w:szCs w:val="24"/>
        </w:rPr>
        <w:t>S</w:t>
      </w:r>
      <w:r w:rsidR="00221D15" w:rsidRPr="000A4E5F">
        <w:rPr>
          <w:rFonts w:ascii="Arial" w:hAnsi="Arial" w:cs="Arial"/>
          <w:b/>
          <w:color w:val="800000"/>
          <w:sz w:val="24"/>
          <w:szCs w:val="24"/>
        </w:rPr>
        <w:t>U</w:t>
      </w:r>
      <w:r w:rsidRPr="000A4E5F">
        <w:rPr>
          <w:rFonts w:ascii="Arial" w:hAnsi="Arial" w:cs="Arial"/>
          <w:b/>
          <w:color w:val="800000"/>
          <w:sz w:val="24"/>
          <w:szCs w:val="24"/>
        </w:rPr>
        <w:t>MÁRIO</w:t>
      </w:r>
    </w:p>
    <w:p w14:paraId="244922D9" w14:textId="77777777" w:rsidR="004429A2" w:rsidRPr="0070237D" w:rsidRDefault="004429A2" w:rsidP="00736503">
      <w:pPr>
        <w:spacing w:after="0"/>
        <w:jc w:val="both"/>
        <w:rPr>
          <w:rStyle w:val="Hyperlink"/>
          <w:rFonts w:ascii="Arial" w:hAnsi="Arial" w:cs="Arial"/>
          <w:b/>
          <w:color w:val="000000" w:themeColor="text1"/>
          <w:sz w:val="20"/>
          <w:szCs w:val="20"/>
          <w:u w:val="none"/>
        </w:rPr>
      </w:pPr>
    </w:p>
    <w:p w14:paraId="02C7B297" w14:textId="77777777" w:rsidR="00F234D8" w:rsidRPr="00F234D8" w:rsidRDefault="00F234D8" w:rsidP="00F234D8">
      <w:pPr>
        <w:autoSpaceDE w:val="0"/>
        <w:autoSpaceDN w:val="0"/>
        <w:adjustRightInd w:val="0"/>
        <w:spacing w:after="0"/>
        <w:jc w:val="both"/>
        <w:rPr>
          <w:rFonts w:ascii="Arial" w:hAnsi="Arial" w:cs="Arial"/>
          <w:sz w:val="20"/>
          <w:szCs w:val="20"/>
          <w:shd w:val="clear" w:color="auto" w:fill="FFFFFF"/>
        </w:rPr>
      </w:pPr>
      <w:r w:rsidRPr="00F234D8">
        <w:rPr>
          <w:rFonts w:ascii="Arial" w:hAnsi="Arial" w:cs="Arial"/>
          <w:sz w:val="20"/>
          <w:szCs w:val="20"/>
          <w:shd w:val="clear" w:color="auto" w:fill="FFFFFF"/>
        </w:rPr>
        <w:t>1</w:t>
      </w:r>
      <w:r w:rsidRPr="00F234D8">
        <w:rPr>
          <w:rFonts w:ascii="Arial" w:hAnsi="Arial" w:cs="Arial"/>
          <w:b/>
          <w:sz w:val="20"/>
          <w:szCs w:val="20"/>
          <w:shd w:val="clear" w:color="auto" w:fill="FFFFFF"/>
        </w:rPr>
        <w:t>. Portugal</w:t>
      </w:r>
      <w:r w:rsidRPr="00F234D8">
        <w:rPr>
          <w:rFonts w:ascii="Arial" w:hAnsi="Arial" w:cs="Arial"/>
          <w:sz w:val="20"/>
          <w:szCs w:val="20"/>
          <w:shd w:val="clear" w:color="auto" w:fill="FFFFFF"/>
        </w:rPr>
        <w:t xml:space="preserve"> – Auditoria dos Planos Municipais de Defesa da Floresta contra incêndios e respectivos Planos Operacionais Municipais – exercícios 2015 a 2017.</w:t>
      </w:r>
    </w:p>
    <w:p w14:paraId="421AFCFC" w14:textId="77777777" w:rsidR="00F234D8" w:rsidRPr="00F234D8" w:rsidRDefault="00F234D8" w:rsidP="00F234D8">
      <w:pPr>
        <w:autoSpaceDE w:val="0"/>
        <w:autoSpaceDN w:val="0"/>
        <w:adjustRightInd w:val="0"/>
        <w:spacing w:after="0"/>
        <w:jc w:val="both"/>
        <w:rPr>
          <w:rFonts w:ascii="Arial" w:hAnsi="Arial" w:cs="Arial"/>
          <w:sz w:val="20"/>
          <w:szCs w:val="20"/>
          <w:shd w:val="clear" w:color="auto" w:fill="FFFFFF"/>
        </w:rPr>
      </w:pPr>
    </w:p>
    <w:p w14:paraId="206816E2" w14:textId="77777777" w:rsidR="00F234D8" w:rsidRPr="00F234D8" w:rsidRDefault="00F234D8" w:rsidP="00F234D8">
      <w:pPr>
        <w:autoSpaceDE w:val="0"/>
        <w:autoSpaceDN w:val="0"/>
        <w:adjustRightInd w:val="0"/>
        <w:spacing w:after="0"/>
        <w:jc w:val="both"/>
        <w:rPr>
          <w:rFonts w:ascii="Arial" w:hAnsi="Arial" w:cs="Arial"/>
          <w:sz w:val="20"/>
          <w:szCs w:val="20"/>
          <w:shd w:val="clear" w:color="auto" w:fill="FFFFFF"/>
        </w:rPr>
      </w:pPr>
      <w:r w:rsidRPr="00F234D8">
        <w:rPr>
          <w:rFonts w:ascii="Arial" w:hAnsi="Arial" w:cs="Arial"/>
          <w:b/>
          <w:sz w:val="20"/>
          <w:szCs w:val="20"/>
          <w:shd w:val="clear" w:color="auto" w:fill="FFFFFF"/>
        </w:rPr>
        <w:t>2. Espanha</w:t>
      </w:r>
      <w:r w:rsidRPr="00F234D8">
        <w:rPr>
          <w:rFonts w:ascii="Arial" w:hAnsi="Arial" w:cs="Arial"/>
          <w:sz w:val="20"/>
          <w:szCs w:val="20"/>
          <w:shd w:val="clear" w:color="auto" w:fill="FFFFFF"/>
        </w:rPr>
        <w:t xml:space="preserve"> – Informe de fiscalização das atuações em matéria ambiental levadas a efeito por Prefeituras com mais de 10.000 habitantes das comunidades autônomas sem órgão de controle externo próprio. Exercício de 2017.</w:t>
      </w:r>
    </w:p>
    <w:p w14:paraId="6A891B58" w14:textId="77777777" w:rsidR="00A0576E" w:rsidRDefault="00A0576E" w:rsidP="00736503">
      <w:pPr>
        <w:autoSpaceDE w:val="0"/>
        <w:autoSpaceDN w:val="0"/>
        <w:adjustRightInd w:val="0"/>
        <w:spacing w:after="0"/>
        <w:jc w:val="both"/>
        <w:rPr>
          <w:rFonts w:ascii="Arial" w:hAnsi="Arial" w:cs="Arial"/>
          <w:bCs/>
          <w:sz w:val="20"/>
          <w:szCs w:val="20"/>
          <w:shd w:val="clear" w:color="auto" w:fill="FFFFFF"/>
        </w:rPr>
      </w:pPr>
    </w:p>
    <w:p w14:paraId="213223A2" w14:textId="3665D49D" w:rsidR="00A0576E" w:rsidRPr="00736503" w:rsidRDefault="00A0576E" w:rsidP="00EA2B95">
      <w:pPr>
        <w:autoSpaceDE w:val="0"/>
        <w:autoSpaceDN w:val="0"/>
        <w:adjustRightInd w:val="0"/>
        <w:spacing w:after="0"/>
        <w:jc w:val="both"/>
        <w:rPr>
          <w:rFonts w:ascii="Arial" w:hAnsi="Arial" w:cs="Arial"/>
          <w:sz w:val="20"/>
          <w:szCs w:val="20"/>
          <w:shd w:val="clear" w:color="auto" w:fill="FFFFFF"/>
        </w:rPr>
      </w:pPr>
      <w:r w:rsidRPr="00EA2B95">
        <w:rPr>
          <w:rFonts w:ascii="Arial" w:hAnsi="Arial" w:cs="Arial"/>
          <w:b/>
          <w:sz w:val="20"/>
          <w:szCs w:val="20"/>
          <w:shd w:val="clear" w:color="auto" w:fill="FFFFFF"/>
        </w:rPr>
        <w:t xml:space="preserve">3. </w:t>
      </w:r>
      <w:r w:rsidR="00EA2B95" w:rsidRPr="00EA2B95">
        <w:rPr>
          <w:rStyle w:val="Hyperlink"/>
          <w:rFonts w:ascii="Arial" w:hAnsi="Arial" w:cs="Arial"/>
          <w:b/>
          <w:color w:val="000000" w:themeColor="text1"/>
          <w:sz w:val="20"/>
          <w:szCs w:val="20"/>
          <w:u w:val="none"/>
        </w:rPr>
        <w:t>República Tcheca</w:t>
      </w:r>
      <w:r w:rsidR="00EA2B95">
        <w:rPr>
          <w:rStyle w:val="Hyperlink"/>
          <w:rFonts w:ascii="Arial" w:hAnsi="Arial" w:cs="Arial"/>
          <w:color w:val="000000" w:themeColor="text1"/>
          <w:sz w:val="20"/>
          <w:szCs w:val="20"/>
          <w:u w:val="none"/>
        </w:rPr>
        <w:t xml:space="preserve"> – Auditoria no gerenciamento e repasses aos Parques Nacionais, assim como das ações desenvolvidas pelo Ministério do Meio Ambiente na gestão dessas unidades.</w:t>
      </w:r>
    </w:p>
    <w:p w14:paraId="09FD6695" w14:textId="77777777" w:rsidR="003129B0" w:rsidRDefault="003129B0" w:rsidP="003129B0">
      <w:pPr>
        <w:autoSpaceDE w:val="0"/>
        <w:autoSpaceDN w:val="0"/>
        <w:adjustRightInd w:val="0"/>
        <w:spacing w:after="0"/>
        <w:jc w:val="both"/>
        <w:rPr>
          <w:rFonts w:ascii="Arial" w:hAnsi="Arial" w:cs="Arial"/>
          <w:b/>
          <w:sz w:val="20"/>
          <w:szCs w:val="20"/>
          <w:shd w:val="clear" w:color="auto" w:fill="FFFFFF"/>
        </w:rPr>
      </w:pPr>
    </w:p>
    <w:p w14:paraId="2DBFD765" w14:textId="10E706D2" w:rsidR="003129B0" w:rsidRPr="006513E0" w:rsidRDefault="003129B0" w:rsidP="003129B0">
      <w:pPr>
        <w:autoSpaceDE w:val="0"/>
        <w:autoSpaceDN w:val="0"/>
        <w:adjustRightInd w:val="0"/>
        <w:spacing w:after="0" w:line="240" w:lineRule="auto"/>
        <w:jc w:val="both"/>
        <w:rPr>
          <w:rFonts w:ascii="Arial" w:hAnsi="Arial" w:cs="Arial"/>
          <w:bCs/>
          <w:sz w:val="20"/>
          <w:szCs w:val="20"/>
          <w:shd w:val="clear" w:color="auto" w:fill="FFFFFF"/>
        </w:rPr>
      </w:pPr>
      <w:r w:rsidRPr="006513E0">
        <w:rPr>
          <w:rFonts w:ascii="Arial" w:hAnsi="Arial" w:cs="Arial"/>
          <w:b/>
          <w:sz w:val="20"/>
          <w:szCs w:val="20"/>
          <w:shd w:val="clear" w:color="auto" w:fill="FFFFFF"/>
        </w:rPr>
        <w:t>PORTUGAL</w:t>
      </w:r>
      <w:r w:rsidRPr="006513E0">
        <w:rPr>
          <w:rFonts w:ascii="Arial" w:hAnsi="Arial" w:cs="Arial"/>
          <w:b/>
          <w:sz w:val="20"/>
          <w:szCs w:val="20"/>
        </w:rPr>
        <w:t xml:space="preserve">                                                                                                      </w:t>
      </w:r>
      <w:r>
        <w:rPr>
          <w:rFonts w:ascii="Arial" w:hAnsi="Arial" w:cs="Arial"/>
          <w:b/>
          <w:sz w:val="20"/>
          <w:szCs w:val="20"/>
        </w:rPr>
        <w:t xml:space="preserve">     </w:t>
      </w:r>
      <w:r w:rsidRPr="006513E0">
        <w:rPr>
          <w:rFonts w:ascii="Arial" w:hAnsi="Arial" w:cs="Arial"/>
          <w:b/>
          <w:sz w:val="20"/>
          <w:szCs w:val="20"/>
        </w:rPr>
        <w:t xml:space="preserve">     </w:t>
      </w:r>
      <w:r>
        <w:rPr>
          <w:rFonts w:ascii="Arial" w:hAnsi="Arial" w:cs="Arial"/>
          <w:b/>
          <w:sz w:val="20"/>
          <w:szCs w:val="20"/>
        </w:rPr>
        <w:t xml:space="preserve">          </w:t>
      </w:r>
      <w:r>
        <w:rPr>
          <w:rFonts w:ascii="Arial" w:hAnsi="Arial" w:cs="Arial"/>
          <w:bCs/>
          <w:noProof/>
          <w:sz w:val="20"/>
          <w:szCs w:val="20"/>
          <w:shd w:val="clear" w:color="auto" w:fill="FFFFFF"/>
          <w:lang w:eastAsia="pt-BR"/>
        </w:rPr>
        <w:drawing>
          <wp:inline distT="0" distB="0" distL="0" distR="0" wp14:anchorId="499D6D4B" wp14:editId="0EB1D25E">
            <wp:extent cx="346871" cy="231234"/>
            <wp:effectExtent l="0" t="0" r="0" b="0"/>
            <wp:docPr id="2" name="Imagem 2" descr="Uma imagem contendo gráficos vetoriai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200px-Flag_of_Portugal.png"/>
                    <pic:cNvPicPr/>
                  </pic:nvPicPr>
                  <pic:blipFill>
                    <a:blip r:embed="rId16"/>
                    <a:stretch>
                      <a:fillRect/>
                    </a:stretch>
                  </pic:blipFill>
                  <pic:spPr>
                    <a:xfrm>
                      <a:off x="0" y="0"/>
                      <a:ext cx="380948" cy="253951"/>
                    </a:xfrm>
                    <a:prstGeom prst="rect">
                      <a:avLst/>
                    </a:prstGeom>
                  </pic:spPr>
                </pic:pic>
              </a:graphicData>
            </a:graphic>
          </wp:inline>
        </w:drawing>
      </w:r>
    </w:p>
    <w:p w14:paraId="33B70C5E" w14:textId="2323856B" w:rsidR="003129B0" w:rsidRPr="006513E0" w:rsidRDefault="003129B0" w:rsidP="003129B0">
      <w:pPr>
        <w:autoSpaceDE w:val="0"/>
        <w:autoSpaceDN w:val="0"/>
        <w:adjustRightInd w:val="0"/>
        <w:spacing w:after="0"/>
        <w:jc w:val="both"/>
        <w:rPr>
          <w:rFonts w:ascii="Arial" w:hAnsi="Arial" w:cs="Arial"/>
          <w:bCs/>
          <w:sz w:val="20"/>
          <w:szCs w:val="20"/>
          <w:shd w:val="clear" w:color="auto" w:fill="FFFFFF"/>
        </w:rPr>
      </w:pPr>
    </w:p>
    <w:p w14:paraId="1062415A" w14:textId="77777777" w:rsidR="003129B0" w:rsidRPr="006513E0" w:rsidRDefault="003129B0" w:rsidP="003129B0">
      <w:pPr>
        <w:pBdr>
          <w:bottom w:val="double" w:sz="4" w:space="1" w:color="800000"/>
        </w:pBdr>
        <w:rPr>
          <w:rFonts w:ascii="Arial" w:hAnsi="Arial" w:cs="Arial"/>
          <w:b/>
          <w:sz w:val="20"/>
          <w:szCs w:val="20"/>
        </w:rPr>
      </w:pPr>
      <w:r w:rsidRPr="006513E0">
        <w:rPr>
          <w:rFonts w:ascii="Arial" w:hAnsi="Arial" w:cs="Arial"/>
          <w:b/>
          <w:sz w:val="20"/>
          <w:szCs w:val="20"/>
        </w:rPr>
        <w:t xml:space="preserve">1 -   TRIBUNAL DE CONTAS  </w:t>
      </w:r>
    </w:p>
    <w:p w14:paraId="2471CCF3" w14:textId="77777777" w:rsidR="003129B0" w:rsidRPr="006513E0" w:rsidRDefault="003129B0" w:rsidP="003129B0">
      <w:pPr>
        <w:autoSpaceDE w:val="0"/>
        <w:autoSpaceDN w:val="0"/>
        <w:adjustRightInd w:val="0"/>
        <w:spacing w:after="0"/>
        <w:jc w:val="both"/>
        <w:rPr>
          <w:rFonts w:ascii="Arial" w:hAnsi="Arial" w:cs="Arial"/>
          <w:sz w:val="20"/>
          <w:szCs w:val="20"/>
          <w:shd w:val="clear" w:color="auto" w:fill="FFFFFF"/>
        </w:rPr>
      </w:pPr>
    </w:p>
    <w:p w14:paraId="3CD0430B" w14:textId="77777777" w:rsidR="003129B0" w:rsidRPr="006513E0" w:rsidRDefault="003129B0" w:rsidP="003129B0">
      <w:pPr>
        <w:autoSpaceDE w:val="0"/>
        <w:autoSpaceDN w:val="0"/>
        <w:adjustRightInd w:val="0"/>
        <w:spacing w:after="0"/>
        <w:jc w:val="both"/>
        <w:rPr>
          <w:rFonts w:ascii="Arial" w:hAnsi="Arial" w:cs="Arial"/>
          <w:sz w:val="20"/>
          <w:szCs w:val="20"/>
          <w:shd w:val="clear" w:color="auto" w:fill="FFFFFF"/>
        </w:rPr>
      </w:pPr>
      <w:r w:rsidRPr="006513E0">
        <w:rPr>
          <w:rFonts w:ascii="Arial" w:hAnsi="Arial" w:cs="Arial"/>
          <w:sz w:val="20"/>
          <w:szCs w:val="20"/>
          <w:shd w:val="clear" w:color="auto" w:fill="FFFFFF"/>
        </w:rPr>
        <w:t xml:space="preserve">Publicação original acessível em: </w:t>
      </w:r>
    </w:p>
    <w:p w14:paraId="1CA8E2C0" w14:textId="77777777" w:rsidR="003129B0" w:rsidRPr="006513E0" w:rsidRDefault="003129B0" w:rsidP="003129B0">
      <w:pPr>
        <w:autoSpaceDE w:val="0"/>
        <w:autoSpaceDN w:val="0"/>
        <w:adjustRightInd w:val="0"/>
        <w:spacing w:after="0"/>
        <w:jc w:val="both"/>
        <w:rPr>
          <w:rFonts w:ascii="Arial" w:hAnsi="Arial" w:cs="Arial"/>
          <w:sz w:val="20"/>
          <w:szCs w:val="20"/>
        </w:rPr>
      </w:pPr>
    </w:p>
    <w:p w14:paraId="160FACDB" w14:textId="77777777" w:rsidR="003129B0" w:rsidRDefault="00AA5A48" w:rsidP="003129B0">
      <w:pPr>
        <w:autoSpaceDE w:val="0"/>
        <w:autoSpaceDN w:val="0"/>
        <w:adjustRightInd w:val="0"/>
        <w:spacing w:after="0"/>
        <w:jc w:val="both"/>
        <w:rPr>
          <w:rStyle w:val="Hyperlink"/>
          <w:rFonts w:ascii="Arial" w:hAnsi="Arial" w:cs="Arial"/>
          <w:color w:val="auto"/>
          <w:sz w:val="20"/>
          <w:szCs w:val="20"/>
          <w:shd w:val="clear" w:color="auto" w:fill="FFFFFF"/>
        </w:rPr>
      </w:pPr>
      <w:hyperlink r:id="rId17" w:history="1">
        <w:r w:rsidR="003129B0" w:rsidRPr="006513E0">
          <w:rPr>
            <w:rStyle w:val="Hyperlink"/>
            <w:rFonts w:ascii="Arial" w:hAnsi="Arial" w:cs="Arial"/>
            <w:color w:val="auto"/>
            <w:sz w:val="20"/>
            <w:szCs w:val="20"/>
            <w:shd w:val="clear" w:color="auto" w:fill="FFFFFF"/>
          </w:rPr>
          <w:t>https://www.tcontas.pt/pt-pt/MenuSecundario/Noticias/Pages/noticia-20191204-001.aspx</w:t>
        </w:r>
      </w:hyperlink>
    </w:p>
    <w:p w14:paraId="7266FD83" w14:textId="77777777" w:rsidR="003129B0" w:rsidRPr="006513E0" w:rsidRDefault="003129B0" w:rsidP="003129B0">
      <w:pPr>
        <w:autoSpaceDE w:val="0"/>
        <w:autoSpaceDN w:val="0"/>
        <w:adjustRightInd w:val="0"/>
        <w:spacing w:after="0"/>
        <w:jc w:val="both"/>
        <w:rPr>
          <w:rFonts w:ascii="Arial" w:hAnsi="Arial" w:cs="Arial"/>
          <w:sz w:val="20"/>
          <w:szCs w:val="20"/>
          <w:shd w:val="clear" w:color="auto" w:fill="FFFFFF"/>
        </w:rPr>
      </w:pPr>
    </w:p>
    <w:p w14:paraId="74186E04" w14:textId="77777777" w:rsidR="003129B0" w:rsidRPr="006513E0" w:rsidRDefault="003129B0" w:rsidP="003129B0">
      <w:pPr>
        <w:autoSpaceDE w:val="0"/>
        <w:autoSpaceDN w:val="0"/>
        <w:adjustRightInd w:val="0"/>
        <w:spacing w:after="0"/>
        <w:jc w:val="both"/>
        <w:rPr>
          <w:rFonts w:ascii="Arial" w:hAnsi="Arial" w:cs="Arial"/>
          <w:sz w:val="20"/>
          <w:szCs w:val="20"/>
          <w:shd w:val="clear" w:color="auto" w:fill="FFFFFF"/>
        </w:rPr>
      </w:pPr>
    </w:p>
    <w:p w14:paraId="68419127" w14:textId="77777777" w:rsidR="003129B0" w:rsidRPr="006513E0" w:rsidRDefault="003129B0" w:rsidP="003129B0">
      <w:pPr>
        <w:autoSpaceDE w:val="0"/>
        <w:autoSpaceDN w:val="0"/>
        <w:adjustRightInd w:val="0"/>
        <w:spacing w:after="0"/>
        <w:jc w:val="both"/>
        <w:rPr>
          <w:rFonts w:ascii="Arial" w:hAnsi="Arial" w:cs="Arial"/>
          <w:sz w:val="20"/>
          <w:szCs w:val="20"/>
        </w:rPr>
      </w:pPr>
      <w:r w:rsidRPr="006513E0">
        <w:rPr>
          <w:rFonts w:ascii="Arial" w:hAnsi="Arial" w:cs="Arial"/>
          <w:sz w:val="20"/>
          <w:szCs w:val="20"/>
          <w:shd w:val="clear" w:color="auto" w:fill="FFFFFF"/>
        </w:rPr>
        <w:t xml:space="preserve">O Tribunal de Contas de Portugal divulgou em abril de 2019 o relatório de auditoria sobre a análise global dos Planos Municipais de Defesa da Floresta contra Incêndios (PMDFCI), no período de 2015 a 2017, envolvendo 30 municípios, da eficácia na Defesa da Floresta contra Incêndios (DFCI), do impacto dos PMDFCI na DFCI e a sua capacidade para gerar alterações estruturais no planejamento do território e na prevenção. </w:t>
      </w:r>
      <w:r w:rsidRPr="00424F3C">
        <w:rPr>
          <w:rFonts w:ascii="Arial" w:hAnsi="Arial" w:cs="Arial"/>
          <w:sz w:val="20"/>
          <w:szCs w:val="20"/>
          <w:lang w:eastAsia="pt-BR"/>
        </w:rPr>
        <w:t xml:space="preserve">Segundo o Tribunal, a </w:t>
      </w:r>
      <w:r w:rsidRPr="006513E0">
        <w:rPr>
          <w:rFonts w:ascii="Arial" w:hAnsi="Arial" w:cs="Arial"/>
          <w:sz w:val="20"/>
          <w:szCs w:val="20"/>
        </w:rPr>
        <w:t>gestão</w:t>
      </w:r>
      <w:r w:rsidRPr="00424F3C">
        <w:rPr>
          <w:rFonts w:ascii="Arial" w:hAnsi="Arial" w:cs="Arial"/>
          <w:sz w:val="20"/>
          <w:szCs w:val="20"/>
          <w:lang w:eastAsia="pt-BR"/>
        </w:rPr>
        <w:t xml:space="preserve"> do </w:t>
      </w:r>
      <w:r w:rsidRPr="006513E0">
        <w:rPr>
          <w:rFonts w:ascii="Arial" w:hAnsi="Arial" w:cs="Arial"/>
          <w:sz w:val="20"/>
          <w:szCs w:val="20"/>
        </w:rPr>
        <w:t>processo</w:t>
      </w:r>
      <w:r w:rsidRPr="00424F3C">
        <w:rPr>
          <w:rFonts w:ascii="Arial" w:hAnsi="Arial" w:cs="Arial"/>
          <w:sz w:val="20"/>
          <w:szCs w:val="20"/>
          <w:lang w:eastAsia="pt-BR"/>
        </w:rPr>
        <w:t xml:space="preserve"> de </w:t>
      </w:r>
      <w:r w:rsidRPr="006513E0">
        <w:rPr>
          <w:rFonts w:ascii="Arial" w:hAnsi="Arial" w:cs="Arial"/>
          <w:sz w:val="20"/>
          <w:szCs w:val="20"/>
        </w:rPr>
        <w:t>elaboração</w:t>
      </w:r>
      <w:r w:rsidRPr="00424F3C">
        <w:rPr>
          <w:rFonts w:ascii="Arial" w:hAnsi="Arial" w:cs="Arial"/>
          <w:sz w:val="20"/>
          <w:szCs w:val="20"/>
          <w:lang w:eastAsia="pt-BR"/>
        </w:rPr>
        <w:t xml:space="preserve"> e </w:t>
      </w:r>
      <w:r w:rsidRPr="006513E0">
        <w:rPr>
          <w:rFonts w:ascii="Arial" w:hAnsi="Arial" w:cs="Arial"/>
          <w:sz w:val="20"/>
          <w:szCs w:val="20"/>
        </w:rPr>
        <w:t>aprovação</w:t>
      </w:r>
      <w:r w:rsidRPr="00424F3C">
        <w:rPr>
          <w:rFonts w:ascii="Arial" w:hAnsi="Arial" w:cs="Arial"/>
          <w:sz w:val="20"/>
          <w:szCs w:val="20"/>
          <w:lang w:eastAsia="pt-BR"/>
        </w:rPr>
        <w:t xml:space="preserve"> dos PMDFCI, que </w:t>
      </w:r>
      <w:r w:rsidRPr="006513E0">
        <w:rPr>
          <w:rFonts w:ascii="Arial" w:hAnsi="Arial" w:cs="Arial"/>
          <w:sz w:val="20"/>
          <w:szCs w:val="20"/>
        </w:rPr>
        <w:t>envolve</w:t>
      </w:r>
      <w:r w:rsidRPr="00424F3C">
        <w:rPr>
          <w:rFonts w:ascii="Arial" w:hAnsi="Arial" w:cs="Arial"/>
          <w:sz w:val="20"/>
          <w:szCs w:val="20"/>
          <w:lang w:eastAsia="pt-BR"/>
        </w:rPr>
        <w:t xml:space="preserve"> </w:t>
      </w:r>
      <w:r w:rsidRPr="006513E0">
        <w:rPr>
          <w:rFonts w:ascii="Arial" w:hAnsi="Arial" w:cs="Arial"/>
          <w:sz w:val="20"/>
          <w:szCs w:val="20"/>
        </w:rPr>
        <w:t>Municípios</w:t>
      </w:r>
      <w:r w:rsidRPr="00424F3C">
        <w:rPr>
          <w:rFonts w:ascii="Arial" w:hAnsi="Arial" w:cs="Arial"/>
          <w:sz w:val="20"/>
          <w:szCs w:val="20"/>
          <w:lang w:eastAsia="pt-BR"/>
        </w:rPr>
        <w:t xml:space="preserve"> e o Instituto da </w:t>
      </w:r>
      <w:r w:rsidRPr="006513E0">
        <w:rPr>
          <w:rFonts w:ascii="Arial" w:hAnsi="Arial" w:cs="Arial"/>
          <w:sz w:val="20"/>
          <w:szCs w:val="20"/>
        </w:rPr>
        <w:t>Conservação</w:t>
      </w:r>
      <w:r w:rsidRPr="00424F3C">
        <w:rPr>
          <w:rFonts w:ascii="Arial" w:hAnsi="Arial" w:cs="Arial"/>
          <w:sz w:val="20"/>
          <w:szCs w:val="20"/>
          <w:lang w:eastAsia="pt-BR"/>
        </w:rPr>
        <w:t xml:space="preserve"> </w:t>
      </w:r>
      <w:r w:rsidRPr="006513E0">
        <w:rPr>
          <w:rFonts w:ascii="Arial" w:hAnsi="Arial" w:cs="Arial"/>
          <w:sz w:val="20"/>
          <w:szCs w:val="20"/>
        </w:rPr>
        <w:t xml:space="preserve">da Natureza e das Florestas (ICNF), não tem permitido a sua entrada em vigor no tempo devido. </w:t>
      </w:r>
    </w:p>
    <w:p w14:paraId="366A6F31" w14:textId="77777777" w:rsidR="003129B0" w:rsidRPr="006513E0" w:rsidRDefault="003129B0" w:rsidP="003129B0">
      <w:pPr>
        <w:autoSpaceDE w:val="0"/>
        <w:autoSpaceDN w:val="0"/>
        <w:adjustRightInd w:val="0"/>
        <w:spacing w:after="0"/>
        <w:jc w:val="both"/>
        <w:rPr>
          <w:rFonts w:ascii="Arial" w:hAnsi="Arial" w:cs="Arial"/>
          <w:sz w:val="20"/>
          <w:szCs w:val="20"/>
        </w:rPr>
      </w:pPr>
    </w:p>
    <w:p w14:paraId="2C388577" w14:textId="77777777" w:rsidR="003129B0" w:rsidRPr="006513E0" w:rsidRDefault="003129B0" w:rsidP="003129B0">
      <w:pPr>
        <w:jc w:val="both"/>
        <w:rPr>
          <w:rFonts w:ascii="Arial" w:hAnsi="Arial" w:cs="Arial"/>
          <w:sz w:val="20"/>
          <w:szCs w:val="20"/>
        </w:rPr>
      </w:pPr>
      <w:r w:rsidRPr="006513E0">
        <w:rPr>
          <w:rFonts w:ascii="Arial" w:hAnsi="Arial" w:cs="Arial"/>
          <w:sz w:val="20"/>
          <w:szCs w:val="20"/>
        </w:rPr>
        <w:t>Os Municípios não diligenciam pela execução das ações constantes daqueles planos. Ou seja, o fato de existir um Plano Municipal de Defesa da Floresta contra Incêndios não garante, por si só, maior capacitação na defesa da floresta, embora permita suprir uma obrigação e atestar um estatuto de cumprimento que tem impacto no financiamento municipal.</w:t>
      </w:r>
    </w:p>
    <w:p w14:paraId="0F64F7D5" w14:textId="77777777" w:rsidR="003129B0" w:rsidRPr="006513E0" w:rsidRDefault="003129B0" w:rsidP="003129B0">
      <w:pPr>
        <w:jc w:val="both"/>
        <w:rPr>
          <w:rFonts w:ascii="Arial" w:hAnsi="Arial" w:cs="Arial"/>
          <w:sz w:val="20"/>
          <w:szCs w:val="20"/>
        </w:rPr>
      </w:pPr>
      <w:r w:rsidRPr="006513E0">
        <w:rPr>
          <w:rFonts w:ascii="Arial" w:hAnsi="Arial" w:cs="Arial"/>
          <w:sz w:val="20"/>
          <w:szCs w:val="20"/>
        </w:rPr>
        <w:t xml:space="preserve">Uma parte das ações dos PMDFCI compete a outras entidades que não os Municípios e outras são de responsabilidade partilhada, não se encontrando implementados procedimentos que permitam efetuar uma avaliação global da sua execução. </w:t>
      </w:r>
    </w:p>
    <w:p w14:paraId="2F845270" w14:textId="77777777" w:rsidR="003129B0" w:rsidRPr="006513E0" w:rsidRDefault="003129B0" w:rsidP="003129B0">
      <w:pPr>
        <w:jc w:val="both"/>
        <w:rPr>
          <w:rFonts w:ascii="Arial" w:hAnsi="Arial" w:cs="Arial"/>
          <w:sz w:val="20"/>
          <w:szCs w:val="20"/>
        </w:rPr>
      </w:pPr>
      <w:r w:rsidRPr="006513E0">
        <w:rPr>
          <w:rFonts w:ascii="Arial" w:hAnsi="Arial" w:cs="Arial"/>
          <w:sz w:val="20"/>
          <w:szCs w:val="20"/>
        </w:rPr>
        <w:t xml:space="preserve">A execução das medidas de defesa da floresta contra incêndios não tem correspondência no PMDFCI, não tendo os Municípios conseguido demonstrar ou sequer apurar o grau de execução </w:t>
      </w:r>
      <w:r w:rsidRPr="006513E0">
        <w:rPr>
          <w:rFonts w:ascii="Arial" w:hAnsi="Arial" w:cs="Arial"/>
          <w:sz w:val="20"/>
          <w:szCs w:val="20"/>
        </w:rPr>
        <w:lastRenderedPageBreak/>
        <w:t xml:space="preserve">financeira do Plano de ação do PMDFCI e não estando em condições de quantificar a sua contribuição na redução dos focos de incêndio ou áreas atingidas. A contribuição financeira dos Municípios com a DFCI é em relação a apoios concedidos aos Corpos de Bombeiros e a entidades associativas com atividades no âmbito da Proteção Civil, revelando insuficiências na definição dos critérios de atribuição e no controle da sua aplicação. </w:t>
      </w:r>
    </w:p>
    <w:p w14:paraId="025B650A" w14:textId="77777777" w:rsidR="003129B0" w:rsidRPr="006513E0" w:rsidRDefault="003129B0" w:rsidP="003129B0">
      <w:pPr>
        <w:jc w:val="both"/>
        <w:rPr>
          <w:rFonts w:ascii="Arial" w:hAnsi="Arial" w:cs="Arial"/>
          <w:sz w:val="20"/>
          <w:szCs w:val="20"/>
        </w:rPr>
      </w:pPr>
      <w:r w:rsidRPr="006513E0">
        <w:rPr>
          <w:rFonts w:ascii="Arial" w:hAnsi="Arial" w:cs="Arial"/>
          <w:sz w:val="20"/>
          <w:szCs w:val="20"/>
        </w:rPr>
        <w:t xml:space="preserve">A estrutura local de DFCI não está planejada e organizada de forma a extrair o melhor dos Planos. Os Gabinetes Técnicos Florestais não revelaram capacidade para acompanhar a sua execução, as Comissões Municipais de Defesa da Floresta contra Incêndios revelam-se pouco operacionais e a coordenação e gestão do PMDFCI não é exercida. Não foram implementados procedimentos, nem definidos níveis de responsabilidade, que garantam uma adequada execução e monitoramento. </w:t>
      </w:r>
    </w:p>
    <w:p w14:paraId="073FD5A7" w14:textId="77777777" w:rsidR="003129B0" w:rsidRPr="006513E0" w:rsidRDefault="003129B0" w:rsidP="003129B0">
      <w:pPr>
        <w:jc w:val="both"/>
        <w:rPr>
          <w:rFonts w:ascii="Arial" w:hAnsi="Arial" w:cs="Arial"/>
          <w:sz w:val="20"/>
          <w:szCs w:val="20"/>
        </w:rPr>
      </w:pPr>
      <w:r w:rsidRPr="006513E0">
        <w:rPr>
          <w:rFonts w:ascii="Arial" w:hAnsi="Arial" w:cs="Arial"/>
          <w:sz w:val="20"/>
          <w:szCs w:val="20"/>
        </w:rPr>
        <w:t xml:space="preserve">Os sistemas de informação dos Municípios não estão parametrizados de forma a permitir a análise da execução financeira dos Planos, carecendo de desenvolvimentos ao nível da contabilidade analítica. A compatibilização entre os instrumentos de gestão territorial, nomeadamente os Planos Diretores Municipais (PDM), e a legislação setorial de DFCI não está assegurada, constituindo um fator de tensão e ineficiência na implementação dos Planos. </w:t>
      </w:r>
    </w:p>
    <w:p w14:paraId="36F410CF" w14:textId="77777777" w:rsidR="003129B0" w:rsidRPr="006513E0" w:rsidRDefault="003129B0" w:rsidP="003129B0">
      <w:pPr>
        <w:jc w:val="both"/>
        <w:rPr>
          <w:rFonts w:ascii="Arial" w:hAnsi="Arial" w:cs="Arial"/>
          <w:sz w:val="20"/>
          <w:szCs w:val="20"/>
        </w:rPr>
      </w:pPr>
      <w:r w:rsidRPr="006513E0">
        <w:rPr>
          <w:rFonts w:ascii="Arial" w:hAnsi="Arial" w:cs="Arial"/>
          <w:sz w:val="20"/>
          <w:szCs w:val="20"/>
        </w:rPr>
        <w:t>Além das recomendações dirigidas ao Governo, o Tribunal de Contas recomenda também ao Instituto da Conservação da Natureza e das Florestas que garanta a observação de critérios mínimos de qualidade na elaboração dos PMDFCI, bem como a conformidade legal das regras de edificação e a coincidência entre períodos de vigência e de programação. Apela ainda para que zele pela correção da informação relativa aos pontos de situação dos PMDFCI e disponibilize os dados sobre áreas atingidas por conselho.</w:t>
      </w:r>
    </w:p>
    <w:p w14:paraId="4C3594F4" w14:textId="77777777" w:rsidR="003129B0" w:rsidRPr="006513E0" w:rsidRDefault="003129B0" w:rsidP="003129B0">
      <w:pPr>
        <w:jc w:val="both"/>
        <w:rPr>
          <w:rFonts w:ascii="Arial" w:hAnsi="Arial" w:cs="Arial"/>
          <w:sz w:val="20"/>
          <w:szCs w:val="20"/>
        </w:rPr>
      </w:pPr>
      <w:r w:rsidRPr="006513E0">
        <w:rPr>
          <w:rFonts w:ascii="Arial" w:hAnsi="Arial" w:cs="Arial"/>
          <w:sz w:val="20"/>
          <w:szCs w:val="20"/>
        </w:rPr>
        <w:t>Por sua vez aos Municípios objeto da auditoria recomenda o reforço da eficácia da estratégia municipal de DFCI e da atividade de coordenação do PMDFCI e a garantia de funcionamento da CMDF, assim como o aumento da qualidade do PMDFCI, adequando o diagnóstico e definindo um plano de ação coerente e exequível.</w:t>
      </w:r>
    </w:p>
    <w:p w14:paraId="3EA0354C" w14:textId="77777777" w:rsidR="003129B0" w:rsidRPr="006513E0" w:rsidRDefault="003129B0" w:rsidP="003129B0">
      <w:pPr>
        <w:jc w:val="both"/>
        <w:rPr>
          <w:rFonts w:ascii="Arial" w:hAnsi="Arial" w:cs="Arial"/>
          <w:sz w:val="20"/>
          <w:szCs w:val="20"/>
          <w:shd w:val="clear" w:color="auto" w:fill="FFFFFF"/>
        </w:rPr>
      </w:pPr>
      <w:r w:rsidRPr="006513E0">
        <w:rPr>
          <w:rFonts w:ascii="Arial" w:hAnsi="Arial" w:cs="Arial"/>
          <w:sz w:val="20"/>
          <w:szCs w:val="20"/>
        </w:rPr>
        <w:t>Outras recomendações visam o acompanhamento e monitorização da execução física e financeira do PMDFCI, a divulgação do grau de execução anual e o recurso às novas tecnologias para maximizar a utilidade operacional do PMDFCI, e a fundamentação e controlo dos apoios concedidos à Associações Humanitárias de Bombeiros e a definição da atividade desenvolvida pelas associações envolvidas na proteção civil. À Associação Nacional de Municípios Portugueses pede por fim que sensibilize a generalidade dos seus associados para a adoção de medidas que permitam ir ao encontro das anteriores recomendações.</w:t>
      </w:r>
    </w:p>
    <w:p w14:paraId="23298A97" w14:textId="77777777" w:rsidR="003129B0" w:rsidRDefault="003129B0" w:rsidP="003129B0">
      <w:pPr>
        <w:autoSpaceDE w:val="0"/>
        <w:autoSpaceDN w:val="0"/>
        <w:adjustRightInd w:val="0"/>
        <w:spacing w:after="0"/>
        <w:jc w:val="both"/>
        <w:rPr>
          <w:rFonts w:ascii="Arial" w:hAnsi="Arial" w:cs="Arial"/>
          <w:sz w:val="20"/>
          <w:szCs w:val="20"/>
        </w:rPr>
      </w:pPr>
      <w:r w:rsidRPr="006513E0">
        <w:rPr>
          <w:rFonts w:ascii="Arial" w:hAnsi="Arial" w:cs="Arial"/>
          <w:sz w:val="20"/>
          <w:szCs w:val="20"/>
        </w:rPr>
        <w:t>Informe Executivo do Relatório/Acórdão/Decisão disponível em língua espanhola:</w:t>
      </w:r>
    </w:p>
    <w:p w14:paraId="0BB67E80" w14:textId="77777777" w:rsidR="003129B0" w:rsidRPr="006513E0" w:rsidRDefault="003129B0" w:rsidP="003129B0">
      <w:pPr>
        <w:autoSpaceDE w:val="0"/>
        <w:autoSpaceDN w:val="0"/>
        <w:adjustRightInd w:val="0"/>
        <w:spacing w:after="0"/>
        <w:jc w:val="both"/>
        <w:rPr>
          <w:rFonts w:ascii="Arial" w:hAnsi="Arial" w:cs="Arial"/>
          <w:sz w:val="20"/>
          <w:szCs w:val="20"/>
        </w:rPr>
      </w:pPr>
    </w:p>
    <w:p w14:paraId="731FBE74" w14:textId="77777777" w:rsidR="003129B0" w:rsidRPr="006513E0" w:rsidRDefault="00AA5A48" w:rsidP="003129B0">
      <w:pPr>
        <w:autoSpaceDE w:val="0"/>
        <w:autoSpaceDN w:val="0"/>
        <w:adjustRightInd w:val="0"/>
        <w:spacing w:after="0"/>
        <w:jc w:val="both"/>
        <w:rPr>
          <w:rFonts w:ascii="Arial" w:hAnsi="Arial" w:cs="Arial"/>
          <w:sz w:val="20"/>
          <w:szCs w:val="20"/>
        </w:rPr>
      </w:pPr>
      <w:hyperlink r:id="rId18" w:history="1">
        <w:r w:rsidR="003129B0" w:rsidRPr="006513E0">
          <w:rPr>
            <w:rStyle w:val="Hyperlink"/>
            <w:rFonts w:ascii="Arial" w:hAnsi="Arial" w:cs="Arial"/>
            <w:color w:val="auto"/>
            <w:sz w:val="20"/>
            <w:szCs w:val="20"/>
          </w:rPr>
          <w:t>https://www.tcontas.pt/pt-pt/ProdutosTC/Relatorios/RelatoriosAuditoria/Documents/2019/rel023-2019-2s.pdf</w:t>
        </w:r>
      </w:hyperlink>
    </w:p>
    <w:p w14:paraId="23DA4CB2" w14:textId="77777777" w:rsidR="003129B0" w:rsidRPr="006513E0" w:rsidRDefault="003129B0" w:rsidP="003129B0">
      <w:pPr>
        <w:autoSpaceDE w:val="0"/>
        <w:autoSpaceDN w:val="0"/>
        <w:adjustRightInd w:val="0"/>
        <w:spacing w:after="0"/>
        <w:jc w:val="both"/>
        <w:rPr>
          <w:rFonts w:ascii="Arial" w:hAnsi="Arial" w:cs="Arial"/>
          <w:sz w:val="20"/>
          <w:szCs w:val="20"/>
        </w:rPr>
      </w:pPr>
    </w:p>
    <w:p w14:paraId="08BD1984" w14:textId="4613388D" w:rsidR="003129B0" w:rsidRPr="006513E0" w:rsidRDefault="003129B0" w:rsidP="003129B0">
      <w:pPr>
        <w:autoSpaceDE w:val="0"/>
        <w:autoSpaceDN w:val="0"/>
        <w:adjustRightInd w:val="0"/>
        <w:spacing w:after="0"/>
        <w:jc w:val="both"/>
        <w:rPr>
          <w:rFonts w:ascii="Arial" w:hAnsi="Arial" w:cs="Arial"/>
          <w:sz w:val="20"/>
          <w:szCs w:val="20"/>
        </w:rPr>
      </w:pPr>
    </w:p>
    <w:p w14:paraId="5988900E" w14:textId="7E20F190" w:rsidR="003129B0" w:rsidRPr="006513E0" w:rsidRDefault="003129B0" w:rsidP="003129B0">
      <w:pPr>
        <w:autoSpaceDE w:val="0"/>
        <w:autoSpaceDN w:val="0"/>
        <w:adjustRightInd w:val="0"/>
        <w:spacing w:after="0"/>
        <w:jc w:val="both"/>
        <w:rPr>
          <w:rFonts w:ascii="Arial" w:hAnsi="Arial" w:cs="Arial"/>
          <w:bCs/>
          <w:sz w:val="20"/>
          <w:szCs w:val="20"/>
          <w:shd w:val="clear" w:color="auto" w:fill="FFFFFF"/>
        </w:rPr>
      </w:pPr>
      <w:r w:rsidRPr="003129B0">
        <w:rPr>
          <w:rFonts w:ascii="Arial" w:hAnsi="Arial" w:cs="Arial"/>
          <w:b/>
          <w:sz w:val="20"/>
          <w:szCs w:val="20"/>
          <w:shd w:val="clear" w:color="auto" w:fill="FFFFFF"/>
        </w:rPr>
        <w:t>ESPANHA</w:t>
      </w:r>
      <w:r w:rsidRPr="006513E0">
        <w:rPr>
          <w:rFonts w:ascii="Arial" w:hAnsi="Arial" w:cs="Arial"/>
          <w:b/>
          <w:sz w:val="20"/>
          <w:szCs w:val="20"/>
        </w:rPr>
        <w:t xml:space="preserve">                                                                                                         </w:t>
      </w:r>
      <w:r>
        <w:rPr>
          <w:rFonts w:ascii="Arial" w:hAnsi="Arial" w:cs="Arial"/>
          <w:b/>
          <w:sz w:val="20"/>
          <w:szCs w:val="20"/>
        </w:rPr>
        <w:t xml:space="preserve">                </w:t>
      </w:r>
      <w:r w:rsidRPr="006513E0">
        <w:rPr>
          <w:rFonts w:ascii="Arial" w:hAnsi="Arial" w:cs="Arial"/>
          <w:b/>
          <w:sz w:val="20"/>
          <w:szCs w:val="20"/>
        </w:rPr>
        <w:t xml:space="preserve">  </w:t>
      </w:r>
      <w:r>
        <w:rPr>
          <w:rFonts w:ascii="Arial" w:hAnsi="Arial" w:cs="Arial"/>
          <w:noProof/>
          <w:sz w:val="20"/>
          <w:szCs w:val="20"/>
          <w:lang w:eastAsia="pt-BR"/>
        </w:rPr>
        <w:drawing>
          <wp:inline distT="0" distB="0" distL="0" distR="0" wp14:anchorId="41CD9704" wp14:editId="52F16AB3">
            <wp:extent cx="382630" cy="256612"/>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4b462fbecf767d884a286bf1236c054.jpg"/>
                    <pic:cNvPicPr/>
                  </pic:nvPicPr>
                  <pic:blipFill>
                    <a:blip r:embed="rId19"/>
                    <a:stretch>
                      <a:fillRect/>
                    </a:stretch>
                  </pic:blipFill>
                  <pic:spPr>
                    <a:xfrm>
                      <a:off x="0" y="0"/>
                      <a:ext cx="414811" cy="278194"/>
                    </a:xfrm>
                    <a:prstGeom prst="rect">
                      <a:avLst/>
                    </a:prstGeom>
                  </pic:spPr>
                </pic:pic>
              </a:graphicData>
            </a:graphic>
          </wp:inline>
        </w:drawing>
      </w:r>
    </w:p>
    <w:p w14:paraId="670B3E47" w14:textId="77777777" w:rsidR="003129B0" w:rsidRPr="006513E0" w:rsidRDefault="003129B0" w:rsidP="003129B0">
      <w:pPr>
        <w:autoSpaceDE w:val="0"/>
        <w:autoSpaceDN w:val="0"/>
        <w:adjustRightInd w:val="0"/>
        <w:spacing w:after="0"/>
        <w:jc w:val="both"/>
        <w:rPr>
          <w:rFonts w:ascii="Arial" w:hAnsi="Arial" w:cs="Arial"/>
          <w:bCs/>
          <w:sz w:val="20"/>
          <w:szCs w:val="20"/>
          <w:shd w:val="clear" w:color="auto" w:fill="FFFFFF"/>
        </w:rPr>
      </w:pPr>
    </w:p>
    <w:p w14:paraId="356117CA" w14:textId="77777777" w:rsidR="003129B0" w:rsidRPr="006513E0" w:rsidRDefault="003129B0" w:rsidP="003129B0">
      <w:pPr>
        <w:pBdr>
          <w:bottom w:val="double" w:sz="4" w:space="1" w:color="800000"/>
        </w:pBdr>
        <w:rPr>
          <w:rFonts w:ascii="Arial" w:hAnsi="Arial" w:cs="Arial"/>
          <w:b/>
          <w:sz w:val="20"/>
          <w:szCs w:val="20"/>
        </w:rPr>
      </w:pPr>
      <w:r w:rsidRPr="006513E0">
        <w:rPr>
          <w:rFonts w:ascii="Arial" w:hAnsi="Arial" w:cs="Arial"/>
          <w:b/>
          <w:sz w:val="20"/>
          <w:szCs w:val="20"/>
        </w:rPr>
        <w:t xml:space="preserve">1 -   TRIBUNAL DE CUENTAS  </w:t>
      </w:r>
    </w:p>
    <w:p w14:paraId="68DA6CBC" w14:textId="77777777" w:rsidR="003129B0" w:rsidRPr="006513E0" w:rsidRDefault="003129B0" w:rsidP="003129B0">
      <w:pPr>
        <w:autoSpaceDE w:val="0"/>
        <w:autoSpaceDN w:val="0"/>
        <w:adjustRightInd w:val="0"/>
        <w:spacing w:after="0"/>
        <w:jc w:val="both"/>
        <w:rPr>
          <w:rFonts w:ascii="Arial" w:hAnsi="Arial" w:cs="Arial"/>
          <w:sz w:val="20"/>
          <w:szCs w:val="20"/>
          <w:shd w:val="clear" w:color="auto" w:fill="FFFFFF"/>
        </w:rPr>
      </w:pPr>
    </w:p>
    <w:p w14:paraId="1E8A45A9" w14:textId="77777777" w:rsidR="003129B0" w:rsidRPr="006513E0" w:rsidRDefault="003129B0" w:rsidP="003129B0">
      <w:pPr>
        <w:autoSpaceDE w:val="0"/>
        <w:autoSpaceDN w:val="0"/>
        <w:adjustRightInd w:val="0"/>
        <w:spacing w:after="0"/>
        <w:jc w:val="both"/>
        <w:rPr>
          <w:rFonts w:ascii="Arial" w:hAnsi="Arial" w:cs="Arial"/>
          <w:sz w:val="20"/>
          <w:szCs w:val="20"/>
          <w:shd w:val="clear" w:color="auto" w:fill="FFFFFF"/>
        </w:rPr>
      </w:pPr>
      <w:r w:rsidRPr="006513E0">
        <w:rPr>
          <w:rFonts w:ascii="Arial" w:hAnsi="Arial" w:cs="Arial"/>
          <w:sz w:val="20"/>
          <w:szCs w:val="20"/>
          <w:shd w:val="clear" w:color="auto" w:fill="FFFFFF"/>
        </w:rPr>
        <w:t xml:space="preserve">Publicação original acessível em: </w:t>
      </w:r>
    </w:p>
    <w:p w14:paraId="399F244F" w14:textId="77777777" w:rsidR="003129B0" w:rsidRPr="006513E0" w:rsidRDefault="003129B0" w:rsidP="003129B0">
      <w:pPr>
        <w:autoSpaceDE w:val="0"/>
        <w:autoSpaceDN w:val="0"/>
        <w:adjustRightInd w:val="0"/>
        <w:spacing w:after="0"/>
        <w:jc w:val="both"/>
        <w:rPr>
          <w:rFonts w:ascii="Arial" w:hAnsi="Arial" w:cs="Arial"/>
          <w:sz w:val="20"/>
          <w:szCs w:val="20"/>
        </w:rPr>
      </w:pPr>
    </w:p>
    <w:p w14:paraId="2940C238" w14:textId="77777777" w:rsidR="003129B0" w:rsidRPr="006513E0" w:rsidRDefault="003129B0" w:rsidP="003129B0">
      <w:pPr>
        <w:spacing w:after="0"/>
        <w:rPr>
          <w:rStyle w:val="Hyperlink"/>
          <w:rFonts w:ascii="Arial" w:hAnsi="Arial" w:cs="Arial"/>
          <w:b/>
          <w:color w:val="auto"/>
          <w:sz w:val="20"/>
          <w:szCs w:val="20"/>
        </w:rPr>
      </w:pPr>
      <w:r w:rsidRPr="006513E0">
        <w:rPr>
          <w:rFonts w:ascii="Arial" w:hAnsi="Arial" w:cs="Arial"/>
          <w:b/>
          <w:sz w:val="20"/>
          <w:szCs w:val="20"/>
        </w:rPr>
        <w:fldChar w:fldCharType="begin"/>
      </w:r>
      <w:r w:rsidRPr="006513E0">
        <w:rPr>
          <w:rFonts w:ascii="Arial" w:hAnsi="Arial" w:cs="Arial"/>
          <w:b/>
          <w:sz w:val="20"/>
          <w:szCs w:val="20"/>
        </w:rPr>
        <w:instrText xml:space="preserve"> HYPERLINK "https://www.tcu.es/tribunal-de-cuentas/es/sala-de-prensa/noticias/El-Tribunal-de-Cuenta-aprueba-el-Informe-de-fiscalizacion-de-las-actuaciones-en-materia-medioambiental-llevadas-a-cabo-por-ayuntamientos-de-mas-de-10.000-habitantes-de-las-comunidades-autonomas-sin-Organo-de-Control-Externo-propio/" </w:instrText>
      </w:r>
      <w:r w:rsidRPr="006513E0">
        <w:rPr>
          <w:rFonts w:ascii="Arial" w:hAnsi="Arial" w:cs="Arial"/>
          <w:b/>
          <w:sz w:val="20"/>
          <w:szCs w:val="20"/>
        </w:rPr>
        <w:fldChar w:fldCharType="separate"/>
      </w:r>
      <w:r w:rsidRPr="006513E0">
        <w:rPr>
          <w:rStyle w:val="Hyperlink"/>
          <w:rFonts w:ascii="Arial" w:hAnsi="Arial" w:cs="Arial"/>
          <w:b/>
          <w:color w:val="auto"/>
          <w:sz w:val="20"/>
          <w:szCs w:val="20"/>
        </w:rPr>
        <w:t xml:space="preserve">https://www.tcu.es/tribunal-de-cuentas/es/sala-de-prensa/noticias/ </w:t>
      </w:r>
    </w:p>
    <w:p w14:paraId="346797D1" w14:textId="77777777" w:rsidR="003129B0" w:rsidRPr="006513E0" w:rsidRDefault="003129B0" w:rsidP="003129B0">
      <w:pPr>
        <w:spacing w:after="0"/>
        <w:rPr>
          <w:rFonts w:ascii="Arial" w:hAnsi="Arial" w:cs="Arial"/>
          <w:b/>
          <w:sz w:val="20"/>
          <w:szCs w:val="20"/>
        </w:rPr>
      </w:pPr>
      <w:r w:rsidRPr="006513E0">
        <w:rPr>
          <w:rFonts w:ascii="Arial" w:hAnsi="Arial" w:cs="Arial"/>
          <w:b/>
          <w:sz w:val="20"/>
          <w:szCs w:val="20"/>
        </w:rPr>
        <w:fldChar w:fldCharType="end"/>
      </w:r>
    </w:p>
    <w:p w14:paraId="0537EC9E" w14:textId="77777777" w:rsidR="003129B0" w:rsidRPr="006513E0" w:rsidRDefault="003129B0" w:rsidP="003129B0">
      <w:pPr>
        <w:spacing w:after="150"/>
        <w:jc w:val="both"/>
        <w:rPr>
          <w:rFonts w:ascii="Arial" w:eastAsia="Times New Roman" w:hAnsi="Arial" w:cs="Arial"/>
          <w:sz w:val="20"/>
          <w:szCs w:val="20"/>
          <w:lang w:eastAsia="pt-BR"/>
        </w:rPr>
      </w:pPr>
      <w:r w:rsidRPr="006513E0">
        <w:rPr>
          <w:rFonts w:ascii="Arial" w:eastAsia="Times New Roman" w:hAnsi="Arial" w:cs="Arial"/>
          <w:sz w:val="20"/>
          <w:szCs w:val="20"/>
          <w:lang w:eastAsia="pt-BR"/>
        </w:rPr>
        <w:t xml:space="preserve">Em 28 de agosto de 2019 foi divulgada a aprovação pelo Pleno do Tribunal de Contas da Espanha do resultado da auditoria horizontal que teve como objetivos: verificar a aprovação pelas prefeituras da regulamentação ambiental e analisar de maneira global as ações realizadas na referida matéria e, especificamente, em relação à contaminação atmosférica, </w:t>
      </w:r>
      <w:r>
        <w:rPr>
          <w:rFonts w:ascii="Arial" w:eastAsia="Times New Roman" w:hAnsi="Arial" w:cs="Arial"/>
          <w:sz w:val="20"/>
          <w:szCs w:val="20"/>
          <w:lang w:eastAsia="pt-BR"/>
        </w:rPr>
        <w:t>visual</w:t>
      </w:r>
      <w:r w:rsidRPr="006513E0">
        <w:rPr>
          <w:rFonts w:ascii="Arial" w:eastAsia="Times New Roman" w:hAnsi="Arial" w:cs="Arial"/>
          <w:sz w:val="20"/>
          <w:szCs w:val="20"/>
          <w:lang w:eastAsia="pt-BR"/>
        </w:rPr>
        <w:t xml:space="preserve"> e acústica e à coleta seletiva de resíduos urbanos</w:t>
      </w:r>
      <w:r>
        <w:rPr>
          <w:rFonts w:ascii="Arial" w:eastAsia="Times New Roman" w:hAnsi="Arial" w:cs="Arial"/>
          <w:sz w:val="20"/>
          <w:szCs w:val="20"/>
          <w:lang w:eastAsia="pt-BR"/>
        </w:rPr>
        <w:t xml:space="preserve">, constituindo-se </w:t>
      </w:r>
      <w:r w:rsidRPr="006513E0">
        <w:rPr>
          <w:rFonts w:ascii="Arial" w:eastAsia="Times New Roman" w:hAnsi="Arial" w:cs="Arial"/>
          <w:sz w:val="20"/>
          <w:szCs w:val="20"/>
          <w:lang w:eastAsia="pt-BR"/>
        </w:rPr>
        <w:t xml:space="preserve">também um auditoria operacional na medida em que foram analisadas as medidas adotadas e a execução dos programas orçamentários pra a proteção e a melhoria do meio ambiente, bem como aquelas com possíveis efeitos sobre o meio ambiente. </w:t>
      </w:r>
    </w:p>
    <w:p w14:paraId="4D7D2C02" w14:textId="77777777" w:rsidR="003129B0" w:rsidRPr="006513E0" w:rsidRDefault="003129B0" w:rsidP="003129B0">
      <w:pPr>
        <w:spacing w:after="150"/>
        <w:jc w:val="both"/>
        <w:rPr>
          <w:rFonts w:ascii="Arial" w:eastAsia="Times New Roman" w:hAnsi="Arial" w:cs="Arial"/>
          <w:sz w:val="20"/>
          <w:szCs w:val="20"/>
          <w:lang w:eastAsia="pt-BR"/>
        </w:rPr>
      </w:pPr>
      <w:r w:rsidRPr="006513E0">
        <w:rPr>
          <w:rFonts w:ascii="Arial" w:eastAsia="Times New Roman" w:hAnsi="Arial" w:cs="Arial"/>
          <w:sz w:val="20"/>
          <w:szCs w:val="20"/>
          <w:lang w:eastAsia="pt-BR"/>
        </w:rPr>
        <w:t>O escopo subjetivo da auditoria foi constituído pelos 96 municípios com população superior a 10.000 habitantes de comunidades autônomas sem OCEX próprio, ou seja, os das Comunidades Autônomas da Cantábria, Castilla-La Mancha, Extremadura, La Rioja e Região de Múrcia.</w:t>
      </w:r>
    </w:p>
    <w:p w14:paraId="560E34EC" w14:textId="77777777" w:rsidR="003129B0" w:rsidRPr="006513E0" w:rsidRDefault="003129B0" w:rsidP="003129B0">
      <w:pPr>
        <w:spacing w:after="150"/>
        <w:jc w:val="both"/>
        <w:rPr>
          <w:rFonts w:ascii="Arial" w:eastAsia="Times New Roman" w:hAnsi="Arial" w:cs="Arial"/>
          <w:sz w:val="20"/>
          <w:szCs w:val="20"/>
          <w:lang w:eastAsia="pt-BR"/>
        </w:rPr>
      </w:pPr>
      <w:r w:rsidRPr="006513E0">
        <w:rPr>
          <w:rFonts w:ascii="Arial" w:eastAsia="Times New Roman" w:hAnsi="Arial" w:cs="Arial"/>
          <w:sz w:val="20"/>
          <w:szCs w:val="20"/>
          <w:lang w:eastAsia="pt-BR"/>
        </w:rPr>
        <w:t>Em relação ao escopo temporal, inclui o exercício de 2017 até maio de 2018, inclusive. Por outro lado, as receitas e despesas foram analisadas em relação ao último exercício fiscal cujas contas foram entregues no final do trabalho, ou seja, 2017. Tudo isso, sem prejuízo das verificações e análises referentes aos anos anteriores, a fim de cumprir adequadamente com os objetivos pretendidos.</w:t>
      </w:r>
    </w:p>
    <w:p w14:paraId="7A1126A9" w14:textId="77777777" w:rsidR="003129B0" w:rsidRPr="006513E0" w:rsidRDefault="003129B0" w:rsidP="003129B0">
      <w:pPr>
        <w:spacing w:after="150"/>
        <w:jc w:val="both"/>
        <w:rPr>
          <w:rFonts w:ascii="Arial" w:eastAsia="Times New Roman" w:hAnsi="Arial" w:cs="Arial"/>
          <w:sz w:val="20"/>
          <w:szCs w:val="20"/>
          <w:lang w:eastAsia="pt-BR"/>
        </w:rPr>
      </w:pPr>
      <w:r w:rsidRPr="006513E0">
        <w:rPr>
          <w:rFonts w:ascii="Arial" w:eastAsia="Times New Roman" w:hAnsi="Arial" w:cs="Arial"/>
          <w:sz w:val="20"/>
          <w:szCs w:val="20"/>
          <w:lang w:eastAsia="pt-BR"/>
        </w:rPr>
        <w:t xml:space="preserve">A partir dos principais resultados da fiscalização, o informe reconhece uma série de conclusões relativas a atividade global dos municípios em questões ambientais e as ações relacionadas à poluição acústica, atmosférica, </w:t>
      </w:r>
      <w:r>
        <w:rPr>
          <w:rFonts w:ascii="Arial" w:eastAsia="Times New Roman" w:hAnsi="Arial" w:cs="Arial"/>
          <w:sz w:val="20"/>
          <w:szCs w:val="20"/>
          <w:lang w:eastAsia="pt-BR"/>
        </w:rPr>
        <w:t>visual</w:t>
      </w:r>
      <w:r w:rsidRPr="006513E0">
        <w:rPr>
          <w:rFonts w:ascii="Arial" w:eastAsia="Times New Roman" w:hAnsi="Arial" w:cs="Arial"/>
          <w:sz w:val="20"/>
          <w:szCs w:val="20"/>
          <w:lang w:eastAsia="pt-BR"/>
        </w:rPr>
        <w:t xml:space="preserve"> e coleta seletiva de resíduos sólidos urbanos.</w:t>
      </w:r>
    </w:p>
    <w:p w14:paraId="7F0514EE" w14:textId="77777777" w:rsidR="003129B0" w:rsidRPr="006513E0" w:rsidRDefault="003129B0" w:rsidP="003129B0">
      <w:pPr>
        <w:spacing w:after="150"/>
        <w:jc w:val="both"/>
        <w:rPr>
          <w:rFonts w:ascii="Arial" w:eastAsia="Times New Roman" w:hAnsi="Arial" w:cs="Arial"/>
          <w:sz w:val="20"/>
          <w:szCs w:val="20"/>
          <w:lang w:eastAsia="pt-BR"/>
        </w:rPr>
      </w:pPr>
      <w:r w:rsidRPr="006513E0">
        <w:rPr>
          <w:rFonts w:ascii="Arial" w:eastAsia="Times New Roman" w:hAnsi="Arial" w:cs="Arial"/>
          <w:sz w:val="20"/>
          <w:szCs w:val="20"/>
          <w:lang w:eastAsia="pt-BR"/>
        </w:rPr>
        <w:t>Quanto ao primeiro ponto, os resultados obtidos na auditoria mostraram que a proteção do meio ambiente é uma questão delicada, que interessa tanto à administração pública quanto aos diferentes agentes sociais; mas que, no entanto, as ações realizadas pelas entidades locais não são suficientes para responder a essa preocupação.</w:t>
      </w:r>
    </w:p>
    <w:p w14:paraId="0100F244" w14:textId="77777777" w:rsidR="003129B0" w:rsidRPr="006513E0" w:rsidRDefault="003129B0" w:rsidP="003129B0">
      <w:pPr>
        <w:spacing w:after="150"/>
        <w:jc w:val="both"/>
        <w:rPr>
          <w:rFonts w:ascii="Arial" w:eastAsia="Times New Roman" w:hAnsi="Arial" w:cs="Arial"/>
          <w:sz w:val="20"/>
          <w:szCs w:val="20"/>
          <w:lang w:eastAsia="pt-BR"/>
        </w:rPr>
      </w:pPr>
      <w:r w:rsidRPr="006513E0">
        <w:rPr>
          <w:rFonts w:ascii="Arial" w:eastAsia="Times New Roman" w:hAnsi="Arial" w:cs="Arial"/>
          <w:sz w:val="20"/>
          <w:szCs w:val="20"/>
          <w:lang w:eastAsia="pt-BR"/>
        </w:rPr>
        <w:t xml:space="preserve">No sentido de planejamento de políticas ambientais, a auditoria conclui que a adesão aos protocolos internacionais por entidades locais tem sido, em termo gerais, declarações de boas intenções; já que, embora os municípios assinassem tais protocolos, eles não desenvolveram nem as primeiras fases deles. Da mesma forma, a auditoria indica que o número de técnicos especializados nesse assunto é insuficiente, assim como o desenvolvimento regulatório realizado, em termos de procedimentos de ação, inspeção e controle, bem como as sanções relacionadas a essas premissas. </w:t>
      </w:r>
    </w:p>
    <w:p w14:paraId="1C5ABB4D" w14:textId="77777777" w:rsidR="003129B0" w:rsidRPr="006513E0" w:rsidRDefault="003129B0" w:rsidP="003129B0">
      <w:pPr>
        <w:spacing w:after="150"/>
        <w:jc w:val="both"/>
        <w:rPr>
          <w:rFonts w:ascii="Arial" w:eastAsia="Times New Roman" w:hAnsi="Arial" w:cs="Arial"/>
          <w:sz w:val="20"/>
          <w:szCs w:val="20"/>
          <w:lang w:eastAsia="pt-BR"/>
        </w:rPr>
      </w:pPr>
      <w:r w:rsidRPr="006513E0">
        <w:rPr>
          <w:rFonts w:ascii="Arial" w:eastAsia="Times New Roman" w:hAnsi="Arial" w:cs="Arial"/>
          <w:sz w:val="20"/>
          <w:szCs w:val="20"/>
          <w:lang w:eastAsia="pt-BR"/>
        </w:rPr>
        <w:t>Quanto ao segundo ponto, a principal conclusão da auditoria é que as ações realizadas foram muito heterogêneas, tanto pela natureza dos fatores poluentes quanto pela diversidade das ações que cada entidade realizou sobre essas causas.</w:t>
      </w:r>
    </w:p>
    <w:p w14:paraId="5FD02CF9" w14:textId="77777777" w:rsidR="003129B0" w:rsidRPr="006513E0" w:rsidRDefault="003129B0" w:rsidP="003129B0">
      <w:pPr>
        <w:spacing w:after="150"/>
        <w:jc w:val="both"/>
        <w:rPr>
          <w:rFonts w:ascii="Arial" w:eastAsia="Times New Roman" w:hAnsi="Arial" w:cs="Arial"/>
          <w:sz w:val="20"/>
          <w:szCs w:val="20"/>
          <w:lang w:eastAsia="pt-BR"/>
        </w:rPr>
      </w:pPr>
      <w:r w:rsidRPr="006513E0">
        <w:rPr>
          <w:rFonts w:ascii="Arial" w:eastAsia="Times New Roman" w:hAnsi="Arial" w:cs="Arial"/>
          <w:sz w:val="20"/>
          <w:szCs w:val="20"/>
          <w:lang w:eastAsia="pt-BR"/>
        </w:rPr>
        <w:t>Após os resultados, o Relatório elenca uma série de recomendações endereçadas aos responsáveis pelas entidades locais, incluindo: elaborar um planejamento ambiental que envolva o diagnóstico da situação ambiental de seu território e a definição de planos específicos de ação ambiental nos quais estão integrados: linhas de ação estratégicas, estabelecimento de programas e projetos de ação específicos e estabelecimento de um plano de monitoramento das ações; fornecer departamentos específicos em questões ambientais compostas por pessoal técnico especializado; adotar, em sua gestão, medidas para minimizar o impacto ambiental e a questão ecológica derivada de sua própria atividade e dos serviços que presta; realizar ações de conscientização de seus cidadãos, a fim de disseminar hábitos pessoais e sociais voltados à defesa do meio ambiente e do equilíbrio ecológico; fortalecer as ações de inspeção e controle para detectar violações dos regulamentos ambientais atuais e estabelecer objetivos e indicadores orçamentários para monitorar os resultados das despesas incorridas em proteção ambiental.</w:t>
      </w:r>
    </w:p>
    <w:p w14:paraId="505A340B" w14:textId="77777777" w:rsidR="003129B0" w:rsidRPr="006513E0" w:rsidRDefault="003129B0" w:rsidP="003129B0">
      <w:pPr>
        <w:jc w:val="both"/>
        <w:rPr>
          <w:rFonts w:ascii="Arial" w:eastAsia="Times New Roman" w:hAnsi="Arial" w:cs="Arial"/>
          <w:sz w:val="20"/>
          <w:szCs w:val="20"/>
          <w:lang w:eastAsia="pt-BR"/>
        </w:rPr>
      </w:pPr>
      <w:r w:rsidRPr="006513E0">
        <w:rPr>
          <w:rFonts w:ascii="Arial" w:eastAsia="Times New Roman" w:hAnsi="Arial" w:cs="Arial"/>
          <w:sz w:val="20"/>
          <w:szCs w:val="20"/>
          <w:lang w:eastAsia="pt-BR"/>
        </w:rPr>
        <w:t>Em suma, as propostas formuladas pelo Tribunal de Contas visam conscientizar as entidades locais par que estabeleçam como prioridade a solução de problemas ambientais e respondam ao problema das mudanças climáticas de maneira coordenada, com todos os agentes sociais e administrações envolvidos; e alocar maiores recursos às políticas ambientais.</w:t>
      </w:r>
    </w:p>
    <w:p w14:paraId="2F8B7B97" w14:textId="77777777" w:rsidR="003129B0" w:rsidRPr="006513E0" w:rsidRDefault="003129B0" w:rsidP="003129B0">
      <w:pPr>
        <w:autoSpaceDE w:val="0"/>
        <w:autoSpaceDN w:val="0"/>
        <w:adjustRightInd w:val="0"/>
        <w:spacing w:after="0"/>
        <w:jc w:val="both"/>
        <w:rPr>
          <w:rFonts w:ascii="Arial" w:hAnsi="Arial" w:cs="Arial"/>
          <w:sz w:val="20"/>
          <w:szCs w:val="20"/>
        </w:rPr>
      </w:pPr>
    </w:p>
    <w:p w14:paraId="1511116C" w14:textId="77777777" w:rsidR="003129B0" w:rsidRDefault="003129B0" w:rsidP="003129B0">
      <w:pPr>
        <w:autoSpaceDE w:val="0"/>
        <w:autoSpaceDN w:val="0"/>
        <w:adjustRightInd w:val="0"/>
        <w:spacing w:after="0"/>
        <w:jc w:val="both"/>
        <w:rPr>
          <w:rFonts w:ascii="Arial" w:hAnsi="Arial" w:cs="Arial"/>
          <w:sz w:val="20"/>
          <w:szCs w:val="20"/>
        </w:rPr>
      </w:pPr>
      <w:r w:rsidRPr="006513E0">
        <w:rPr>
          <w:rFonts w:ascii="Arial" w:hAnsi="Arial" w:cs="Arial"/>
          <w:sz w:val="20"/>
          <w:szCs w:val="20"/>
        </w:rPr>
        <w:t>Informe Executivo do Relatório/Acórdão/Decisão disponível em língua espanhola:</w:t>
      </w:r>
    </w:p>
    <w:p w14:paraId="4AD60D3D" w14:textId="77777777" w:rsidR="003129B0" w:rsidRPr="006513E0" w:rsidRDefault="003129B0" w:rsidP="003129B0">
      <w:pPr>
        <w:autoSpaceDE w:val="0"/>
        <w:autoSpaceDN w:val="0"/>
        <w:adjustRightInd w:val="0"/>
        <w:spacing w:after="0"/>
        <w:jc w:val="both"/>
        <w:rPr>
          <w:rFonts w:ascii="Arial" w:hAnsi="Arial" w:cs="Arial"/>
          <w:sz w:val="20"/>
          <w:szCs w:val="20"/>
        </w:rPr>
      </w:pPr>
    </w:p>
    <w:p w14:paraId="10C6AF0F" w14:textId="50E01F44" w:rsidR="003129B0" w:rsidRDefault="00AA5A48" w:rsidP="003129B0">
      <w:pPr>
        <w:spacing w:after="0"/>
        <w:rPr>
          <w:rStyle w:val="Hyperlink"/>
          <w:rFonts w:ascii="Arial" w:hAnsi="Arial" w:cs="Arial"/>
          <w:b/>
          <w:color w:val="auto"/>
          <w:sz w:val="20"/>
          <w:szCs w:val="20"/>
        </w:rPr>
      </w:pPr>
      <w:hyperlink r:id="rId20" w:history="1">
        <w:r w:rsidR="003129B0" w:rsidRPr="006513E0">
          <w:rPr>
            <w:rStyle w:val="Hyperlink"/>
            <w:rFonts w:ascii="Arial" w:hAnsi="Arial" w:cs="Arial"/>
            <w:b/>
            <w:color w:val="auto"/>
            <w:sz w:val="20"/>
            <w:szCs w:val="20"/>
          </w:rPr>
          <w:t>https://www.tcu.es/repositorio/26ce8165-476e-4022-b3c4-998a0fa65a88/I1335.pdf</w:t>
        </w:r>
      </w:hyperlink>
    </w:p>
    <w:p w14:paraId="411C5A94" w14:textId="77777777" w:rsidR="003129B0" w:rsidRPr="006513E0" w:rsidRDefault="003129B0" w:rsidP="003129B0">
      <w:pPr>
        <w:spacing w:after="0"/>
        <w:rPr>
          <w:rFonts w:ascii="Arial" w:hAnsi="Arial" w:cs="Arial"/>
          <w:b/>
          <w:sz w:val="20"/>
          <w:szCs w:val="20"/>
        </w:rPr>
      </w:pPr>
    </w:p>
    <w:p w14:paraId="31369A62" w14:textId="77777777" w:rsidR="003129B0" w:rsidRPr="006513E0" w:rsidRDefault="003129B0" w:rsidP="003129B0">
      <w:pPr>
        <w:spacing w:after="0"/>
        <w:rPr>
          <w:rFonts w:ascii="Arial" w:hAnsi="Arial" w:cs="Arial"/>
          <w:b/>
          <w:sz w:val="20"/>
          <w:szCs w:val="20"/>
        </w:rPr>
      </w:pPr>
    </w:p>
    <w:p w14:paraId="16CD6377" w14:textId="52AB38B6" w:rsidR="003129B0" w:rsidRPr="006513E0" w:rsidRDefault="003129B0" w:rsidP="003129B0">
      <w:pPr>
        <w:autoSpaceDE w:val="0"/>
        <w:autoSpaceDN w:val="0"/>
        <w:adjustRightInd w:val="0"/>
        <w:spacing w:after="0"/>
        <w:jc w:val="both"/>
        <w:rPr>
          <w:rFonts w:ascii="Arial" w:hAnsi="Arial" w:cs="Arial"/>
          <w:bCs/>
          <w:sz w:val="20"/>
          <w:szCs w:val="20"/>
          <w:shd w:val="clear" w:color="auto" w:fill="FFFFFF"/>
        </w:rPr>
      </w:pPr>
      <w:r>
        <w:rPr>
          <w:rFonts w:ascii="Arial" w:hAnsi="Arial" w:cs="Arial"/>
          <w:b/>
          <w:sz w:val="20"/>
          <w:szCs w:val="20"/>
          <w:shd w:val="clear" w:color="auto" w:fill="FFFFFF"/>
        </w:rPr>
        <w:t>REPÚBLICA TCHECA</w:t>
      </w:r>
      <w:r>
        <w:rPr>
          <w:rFonts w:ascii="Arial" w:hAnsi="Arial" w:cs="Arial"/>
          <w:b/>
          <w:sz w:val="20"/>
          <w:szCs w:val="20"/>
          <w:shd w:val="clear" w:color="auto" w:fill="FFFFFF"/>
        </w:rPr>
        <w:tab/>
      </w:r>
      <w:r>
        <w:rPr>
          <w:rFonts w:ascii="Arial" w:hAnsi="Arial" w:cs="Arial"/>
          <w:b/>
          <w:sz w:val="20"/>
          <w:szCs w:val="20"/>
          <w:shd w:val="clear" w:color="auto" w:fill="FFFFFF"/>
        </w:rPr>
        <w:tab/>
      </w:r>
      <w:r>
        <w:rPr>
          <w:rFonts w:ascii="Arial" w:hAnsi="Arial" w:cs="Arial"/>
          <w:b/>
          <w:sz w:val="20"/>
          <w:szCs w:val="20"/>
          <w:shd w:val="clear" w:color="auto" w:fill="FFFFFF"/>
        </w:rPr>
        <w:tab/>
      </w:r>
      <w:r>
        <w:rPr>
          <w:rFonts w:ascii="Arial" w:hAnsi="Arial" w:cs="Arial"/>
          <w:b/>
          <w:sz w:val="20"/>
          <w:szCs w:val="20"/>
          <w:shd w:val="clear" w:color="auto" w:fill="FFFFFF"/>
        </w:rPr>
        <w:tab/>
      </w:r>
      <w:r>
        <w:rPr>
          <w:rFonts w:ascii="Arial" w:hAnsi="Arial" w:cs="Arial"/>
          <w:b/>
          <w:sz w:val="20"/>
          <w:szCs w:val="20"/>
          <w:shd w:val="clear" w:color="auto" w:fill="FFFFFF"/>
        </w:rPr>
        <w:tab/>
      </w:r>
      <w:r>
        <w:rPr>
          <w:rFonts w:ascii="Arial" w:hAnsi="Arial" w:cs="Arial"/>
          <w:b/>
          <w:sz w:val="20"/>
          <w:szCs w:val="20"/>
          <w:shd w:val="clear" w:color="auto" w:fill="FFFFFF"/>
        </w:rPr>
        <w:tab/>
      </w:r>
      <w:r>
        <w:rPr>
          <w:rFonts w:ascii="Arial" w:hAnsi="Arial" w:cs="Arial"/>
          <w:b/>
          <w:sz w:val="20"/>
          <w:szCs w:val="20"/>
          <w:shd w:val="clear" w:color="auto" w:fill="FFFFFF"/>
        </w:rPr>
        <w:tab/>
      </w:r>
      <w:r>
        <w:rPr>
          <w:rFonts w:ascii="Arial" w:hAnsi="Arial" w:cs="Arial"/>
          <w:b/>
          <w:sz w:val="20"/>
          <w:szCs w:val="20"/>
          <w:shd w:val="clear" w:color="auto" w:fill="FFFFFF"/>
        </w:rPr>
        <w:tab/>
      </w:r>
      <w:r>
        <w:rPr>
          <w:rFonts w:ascii="Arial" w:hAnsi="Arial" w:cs="Arial"/>
          <w:b/>
          <w:sz w:val="20"/>
          <w:szCs w:val="20"/>
          <w:shd w:val="clear" w:color="auto" w:fill="FFFFFF"/>
        </w:rPr>
        <w:tab/>
      </w:r>
      <w:r>
        <w:rPr>
          <w:rFonts w:ascii="Arial" w:hAnsi="Arial" w:cs="Arial"/>
          <w:bCs/>
          <w:noProof/>
          <w:sz w:val="20"/>
          <w:szCs w:val="20"/>
          <w:shd w:val="clear" w:color="auto" w:fill="FFFFFF"/>
          <w:lang w:eastAsia="pt-BR"/>
        </w:rPr>
        <w:drawing>
          <wp:inline distT="0" distB="0" distL="0" distR="0" wp14:anchorId="00F8CECD" wp14:editId="75270803">
            <wp:extent cx="331710" cy="220256"/>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25px-Flag_of_the_Czech_Republic.png"/>
                    <pic:cNvPicPr/>
                  </pic:nvPicPr>
                  <pic:blipFill>
                    <a:blip r:embed="rId21"/>
                    <a:stretch>
                      <a:fillRect/>
                    </a:stretch>
                  </pic:blipFill>
                  <pic:spPr>
                    <a:xfrm>
                      <a:off x="0" y="0"/>
                      <a:ext cx="338108" cy="224505"/>
                    </a:xfrm>
                    <a:prstGeom prst="rect">
                      <a:avLst/>
                    </a:prstGeom>
                  </pic:spPr>
                </pic:pic>
              </a:graphicData>
            </a:graphic>
          </wp:inline>
        </w:drawing>
      </w:r>
    </w:p>
    <w:p w14:paraId="606D991B" w14:textId="77777777" w:rsidR="003129B0" w:rsidRPr="006513E0" w:rsidRDefault="003129B0" w:rsidP="003129B0">
      <w:pPr>
        <w:autoSpaceDE w:val="0"/>
        <w:autoSpaceDN w:val="0"/>
        <w:adjustRightInd w:val="0"/>
        <w:spacing w:after="0"/>
        <w:jc w:val="both"/>
        <w:rPr>
          <w:rFonts w:ascii="Arial" w:hAnsi="Arial" w:cs="Arial"/>
          <w:bCs/>
          <w:sz w:val="20"/>
          <w:szCs w:val="20"/>
          <w:shd w:val="clear" w:color="auto" w:fill="FFFFFF"/>
        </w:rPr>
      </w:pPr>
    </w:p>
    <w:p w14:paraId="67978895" w14:textId="77777777" w:rsidR="003129B0" w:rsidRPr="006513E0" w:rsidRDefault="003129B0" w:rsidP="003129B0">
      <w:pPr>
        <w:pBdr>
          <w:bottom w:val="double" w:sz="4" w:space="1" w:color="800000"/>
        </w:pBdr>
        <w:rPr>
          <w:rFonts w:ascii="Arial" w:hAnsi="Arial" w:cs="Arial"/>
          <w:b/>
          <w:sz w:val="20"/>
          <w:szCs w:val="20"/>
        </w:rPr>
      </w:pPr>
      <w:r w:rsidRPr="006513E0">
        <w:rPr>
          <w:rFonts w:ascii="Arial" w:hAnsi="Arial" w:cs="Arial"/>
          <w:b/>
          <w:sz w:val="20"/>
          <w:szCs w:val="20"/>
        </w:rPr>
        <w:t xml:space="preserve">1 -   </w:t>
      </w:r>
      <w:r>
        <w:rPr>
          <w:rFonts w:ascii="Arial" w:hAnsi="Arial" w:cs="Arial"/>
          <w:b/>
          <w:sz w:val="20"/>
          <w:szCs w:val="20"/>
        </w:rPr>
        <w:t>CORTE SUPREMA DE AUDITORIA DA REPÚBLICA TCHECA</w:t>
      </w:r>
    </w:p>
    <w:p w14:paraId="3B5FABEC" w14:textId="77777777" w:rsidR="003129B0" w:rsidRPr="006513E0" w:rsidRDefault="003129B0" w:rsidP="003129B0">
      <w:pPr>
        <w:autoSpaceDE w:val="0"/>
        <w:autoSpaceDN w:val="0"/>
        <w:adjustRightInd w:val="0"/>
        <w:spacing w:after="0"/>
        <w:jc w:val="both"/>
        <w:rPr>
          <w:rFonts w:ascii="Arial" w:hAnsi="Arial" w:cs="Arial"/>
          <w:sz w:val="20"/>
          <w:szCs w:val="20"/>
          <w:shd w:val="clear" w:color="auto" w:fill="FFFFFF"/>
        </w:rPr>
      </w:pPr>
    </w:p>
    <w:p w14:paraId="605356DF" w14:textId="77777777" w:rsidR="003129B0" w:rsidRPr="006513E0" w:rsidRDefault="003129B0" w:rsidP="003129B0">
      <w:pPr>
        <w:autoSpaceDE w:val="0"/>
        <w:autoSpaceDN w:val="0"/>
        <w:adjustRightInd w:val="0"/>
        <w:spacing w:after="0"/>
        <w:jc w:val="both"/>
        <w:rPr>
          <w:rFonts w:ascii="Arial" w:hAnsi="Arial" w:cs="Arial"/>
          <w:sz w:val="20"/>
          <w:szCs w:val="20"/>
          <w:shd w:val="clear" w:color="auto" w:fill="FFFFFF"/>
        </w:rPr>
      </w:pPr>
      <w:bookmarkStart w:id="0" w:name="_GoBack"/>
      <w:r w:rsidRPr="006513E0">
        <w:rPr>
          <w:rFonts w:ascii="Arial" w:hAnsi="Arial" w:cs="Arial"/>
          <w:sz w:val="20"/>
          <w:szCs w:val="20"/>
          <w:shd w:val="clear" w:color="auto" w:fill="FFFFFF"/>
        </w:rPr>
        <w:t xml:space="preserve">Publicação original acessível em: </w:t>
      </w:r>
    </w:p>
    <w:p w14:paraId="7838968E" w14:textId="77777777" w:rsidR="003129B0" w:rsidRPr="006513E0" w:rsidRDefault="003129B0" w:rsidP="003129B0">
      <w:pPr>
        <w:autoSpaceDE w:val="0"/>
        <w:autoSpaceDN w:val="0"/>
        <w:adjustRightInd w:val="0"/>
        <w:spacing w:after="0"/>
        <w:jc w:val="both"/>
        <w:rPr>
          <w:rFonts w:ascii="Arial" w:hAnsi="Arial" w:cs="Arial"/>
          <w:sz w:val="20"/>
          <w:szCs w:val="20"/>
        </w:rPr>
      </w:pPr>
    </w:p>
    <w:p w14:paraId="2DF4B4DB" w14:textId="77777777" w:rsidR="003129B0" w:rsidRDefault="00AA5A48" w:rsidP="003129B0">
      <w:pPr>
        <w:spacing w:after="0"/>
        <w:rPr>
          <w:rFonts w:ascii="Arial" w:hAnsi="Arial" w:cs="Arial"/>
          <w:b/>
          <w:sz w:val="20"/>
          <w:szCs w:val="20"/>
        </w:rPr>
      </w:pPr>
      <w:hyperlink r:id="rId22" w:history="1">
        <w:r w:rsidR="003129B0" w:rsidRPr="004D7366">
          <w:rPr>
            <w:rStyle w:val="Hyperlink"/>
            <w:rFonts w:ascii="Arial" w:hAnsi="Arial" w:cs="Arial"/>
            <w:b/>
            <w:sz w:val="20"/>
            <w:szCs w:val="20"/>
          </w:rPr>
          <w:t>https://www.eurosai.org/export/sites/eurosai/.content/documents/materials/K18023_en.pdf</w:t>
        </w:r>
      </w:hyperlink>
      <w:r w:rsidR="003129B0">
        <w:rPr>
          <w:rFonts w:ascii="Arial" w:hAnsi="Arial" w:cs="Arial"/>
          <w:b/>
          <w:sz w:val="20"/>
          <w:szCs w:val="20"/>
        </w:rPr>
        <w:t xml:space="preserve"> </w:t>
      </w:r>
    </w:p>
    <w:p w14:paraId="1FCB055C" w14:textId="77777777" w:rsidR="003129B0" w:rsidRPr="006513E0" w:rsidRDefault="003129B0" w:rsidP="003129B0">
      <w:pPr>
        <w:spacing w:after="0"/>
        <w:rPr>
          <w:rFonts w:ascii="Arial" w:hAnsi="Arial" w:cs="Arial"/>
          <w:b/>
          <w:sz w:val="20"/>
          <w:szCs w:val="20"/>
        </w:rPr>
      </w:pPr>
    </w:p>
    <w:p w14:paraId="63D74AA6" w14:textId="77777777" w:rsidR="00F234D8" w:rsidRDefault="002D7F74" w:rsidP="002D7F74">
      <w:pPr>
        <w:autoSpaceDE w:val="0"/>
        <w:autoSpaceDN w:val="0"/>
        <w:adjustRightInd w:val="0"/>
        <w:spacing w:after="0"/>
        <w:jc w:val="both"/>
        <w:rPr>
          <w:rFonts w:ascii="Arial" w:eastAsia="Times New Roman" w:hAnsi="Arial" w:cs="Arial"/>
          <w:sz w:val="20"/>
          <w:szCs w:val="20"/>
          <w:lang w:eastAsia="pt-BR"/>
        </w:rPr>
      </w:pPr>
      <w:r>
        <w:rPr>
          <w:rFonts w:ascii="Arial" w:eastAsia="Times New Roman" w:hAnsi="Arial" w:cs="Arial"/>
          <w:sz w:val="20"/>
          <w:szCs w:val="20"/>
          <w:lang w:eastAsia="pt-BR"/>
        </w:rPr>
        <w:t>A Corte Suprema de Auditorias da República Tcheca auditou quatro parques nacionais (PNs) e o Ministério do Meio Ambiente (MMA), fundador desses. O escopo da auditoria foi verificar se as administrações dos parques gerenciavam os recursos recebidos de forma eficiente, economicamente e em cumprimento às determinações legais.</w:t>
      </w:r>
    </w:p>
    <w:p w14:paraId="1EB775FA" w14:textId="77777777" w:rsidR="00F234D8" w:rsidRDefault="00F234D8" w:rsidP="002D7F74">
      <w:pPr>
        <w:autoSpaceDE w:val="0"/>
        <w:autoSpaceDN w:val="0"/>
        <w:adjustRightInd w:val="0"/>
        <w:spacing w:after="0"/>
        <w:jc w:val="both"/>
        <w:rPr>
          <w:rFonts w:ascii="Arial" w:eastAsia="Times New Roman" w:hAnsi="Arial" w:cs="Arial"/>
          <w:sz w:val="20"/>
          <w:szCs w:val="20"/>
          <w:lang w:eastAsia="pt-BR"/>
        </w:rPr>
      </w:pPr>
    </w:p>
    <w:p w14:paraId="70CA2E83" w14:textId="77777777" w:rsidR="00F234D8" w:rsidRDefault="002D7F74" w:rsidP="002D7F74">
      <w:pPr>
        <w:autoSpaceDE w:val="0"/>
        <w:autoSpaceDN w:val="0"/>
        <w:adjustRightInd w:val="0"/>
        <w:spacing w:after="0"/>
        <w:jc w:val="both"/>
        <w:rPr>
          <w:rFonts w:ascii="Arial" w:eastAsia="Times New Roman" w:hAnsi="Arial" w:cs="Arial"/>
          <w:sz w:val="20"/>
          <w:szCs w:val="20"/>
          <w:lang w:eastAsia="pt-BR"/>
        </w:rPr>
      </w:pPr>
      <w:r>
        <w:rPr>
          <w:rFonts w:ascii="Arial" w:eastAsia="Times New Roman" w:hAnsi="Arial" w:cs="Arial"/>
          <w:sz w:val="20"/>
          <w:szCs w:val="20"/>
          <w:lang w:eastAsia="pt-BR"/>
        </w:rPr>
        <w:t>A auditoria apontou insuficiências</w:t>
      </w:r>
      <w:r w:rsidR="00F234D8">
        <w:rPr>
          <w:rFonts w:ascii="Arial" w:eastAsia="Times New Roman" w:hAnsi="Arial" w:cs="Arial"/>
          <w:sz w:val="20"/>
          <w:szCs w:val="20"/>
          <w:lang w:eastAsia="pt-BR"/>
        </w:rPr>
        <w:t xml:space="preserve"> nos repasses à</w:t>
      </w:r>
      <w:r>
        <w:rPr>
          <w:rFonts w:ascii="Arial" w:eastAsia="Times New Roman" w:hAnsi="Arial" w:cs="Arial"/>
          <w:sz w:val="20"/>
          <w:szCs w:val="20"/>
          <w:lang w:eastAsia="pt-BR"/>
        </w:rPr>
        <w:t xml:space="preserve"> administração dos PN’s </w:t>
      </w:r>
      <w:r w:rsidR="00F234D8">
        <w:rPr>
          <w:rFonts w:ascii="Arial" w:eastAsia="Times New Roman" w:hAnsi="Arial" w:cs="Arial"/>
          <w:sz w:val="20"/>
          <w:szCs w:val="20"/>
          <w:lang w:eastAsia="pt-BR"/>
        </w:rPr>
        <w:t>pelos</w:t>
      </w:r>
      <w:r>
        <w:rPr>
          <w:rFonts w:ascii="Arial" w:eastAsia="Times New Roman" w:hAnsi="Arial" w:cs="Arial"/>
          <w:sz w:val="20"/>
          <w:szCs w:val="20"/>
          <w:lang w:eastAsia="pt-BR"/>
        </w:rPr>
        <w:t xml:space="preserve"> fundos estatais. PN’s cumprem integralmente as respectivas funções de proteção natural e gerenciam recursos de forma eficiente. A auditoria descobriu um caso de uso </w:t>
      </w:r>
      <w:r w:rsidR="00F234D8">
        <w:rPr>
          <w:rFonts w:ascii="Arial" w:eastAsia="Times New Roman" w:hAnsi="Arial" w:cs="Arial"/>
          <w:sz w:val="20"/>
          <w:szCs w:val="20"/>
          <w:lang w:eastAsia="pt-BR"/>
        </w:rPr>
        <w:t>não econômico de bens estatais na administração de um Parque (KRNAP). Além disso, a auditoria revelou alguns casos de quebra das determinações legais, especificamente no “leasing” de bens, representação judiciária, contabilidade e controle interno.</w:t>
      </w:r>
    </w:p>
    <w:p w14:paraId="73776EDE" w14:textId="77777777" w:rsidR="00F234D8" w:rsidRDefault="00F234D8" w:rsidP="002D7F74">
      <w:pPr>
        <w:autoSpaceDE w:val="0"/>
        <w:autoSpaceDN w:val="0"/>
        <w:adjustRightInd w:val="0"/>
        <w:spacing w:after="0"/>
        <w:jc w:val="both"/>
        <w:rPr>
          <w:rFonts w:ascii="Arial" w:eastAsia="Times New Roman" w:hAnsi="Arial" w:cs="Arial"/>
          <w:sz w:val="20"/>
          <w:szCs w:val="20"/>
          <w:lang w:eastAsia="pt-BR"/>
        </w:rPr>
      </w:pPr>
    </w:p>
    <w:p w14:paraId="6DE990F5" w14:textId="77777777" w:rsidR="00EA2B95" w:rsidRDefault="00F234D8" w:rsidP="002D7F74">
      <w:pPr>
        <w:autoSpaceDE w:val="0"/>
        <w:autoSpaceDN w:val="0"/>
        <w:adjustRightInd w:val="0"/>
        <w:spacing w:after="0"/>
        <w:jc w:val="both"/>
        <w:rPr>
          <w:rFonts w:ascii="Arial" w:eastAsia="Times New Roman" w:hAnsi="Arial" w:cs="Arial"/>
          <w:sz w:val="20"/>
          <w:szCs w:val="20"/>
          <w:lang w:eastAsia="pt-BR"/>
        </w:rPr>
      </w:pPr>
      <w:r>
        <w:rPr>
          <w:rFonts w:ascii="Arial" w:eastAsia="Times New Roman" w:hAnsi="Arial" w:cs="Arial"/>
          <w:sz w:val="20"/>
          <w:szCs w:val="20"/>
          <w:lang w:eastAsia="pt-BR"/>
        </w:rPr>
        <w:t>A receita da venda de madeira representou um imporatnete mecanismo de financiamento dos PN’s durante o período de auditoria (44% das receitas em 2018). Esse crescimento foi influenciado pelo aumento na exploração madeireira no mesmo ano por agente bióticos e abióticos nos Parques. A Corte salientou para o risco do crescimento das requisições para financiamento dos Parques devido a um possível declínio da extração nos anos seguintes.</w:t>
      </w:r>
    </w:p>
    <w:p w14:paraId="05939586" w14:textId="77777777" w:rsidR="00EA2B95" w:rsidRDefault="00EA2B95" w:rsidP="002D7F74">
      <w:pPr>
        <w:autoSpaceDE w:val="0"/>
        <w:autoSpaceDN w:val="0"/>
        <w:adjustRightInd w:val="0"/>
        <w:spacing w:after="0"/>
        <w:jc w:val="both"/>
        <w:rPr>
          <w:rFonts w:ascii="Arial" w:eastAsia="Times New Roman" w:hAnsi="Arial" w:cs="Arial"/>
          <w:sz w:val="20"/>
          <w:szCs w:val="20"/>
          <w:lang w:eastAsia="pt-BR"/>
        </w:rPr>
      </w:pPr>
    </w:p>
    <w:p w14:paraId="48498162" w14:textId="4D76916C" w:rsidR="002D7F74" w:rsidRDefault="00F234D8" w:rsidP="002D7F74">
      <w:pPr>
        <w:autoSpaceDE w:val="0"/>
        <w:autoSpaceDN w:val="0"/>
        <w:adjustRightInd w:val="0"/>
        <w:spacing w:after="0"/>
        <w:jc w:val="both"/>
        <w:rPr>
          <w:rFonts w:ascii="Arial" w:eastAsia="Times New Roman" w:hAnsi="Arial" w:cs="Arial"/>
          <w:sz w:val="20"/>
          <w:szCs w:val="20"/>
          <w:lang w:eastAsia="pt-BR"/>
        </w:rPr>
      </w:pPr>
      <w:r>
        <w:rPr>
          <w:rFonts w:ascii="Arial" w:eastAsia="Times New Roman" w:hAnsi="Arial" w:cs="Arial"/>
          <w:sz w:val="20"/>
          <w:szCs w:val="20"/>
          <w:lang w:eastAsia="pt-BR"/>
        </w:rPr>
        <w:t xml:space="preserve">O MMA local gerenciou </w:t>
      </w:r>
      <w:r w:rsidR="00EA2B95">
        <w:rPr>
          <w:rFonts w:ascii="Arial" w:eastAsia="Times New Roman" w:hAnsi="Arial" w:cs="Arial"/>
          <w:sz w:val="20"/>
          <w:szCs w:val="20"/>
          <w:lang w:eastAsia="pt-BR"/>
        </w:rPr>
        <w:t>as atividades dos PN’s sem identificar faltas de recursos. Tanto o MMA quanto a Autoridade Central de Administração não cumpriram a função de planejamento de proteção natural e de paisagens. O MMA não preparou uma estratégia de financiamento diversificada para os parques no prazo determinado pelo governo nacional. O MMA também não formulou um planejamento adequado de gestão dos parques no período auditado. A Auditoria também apontou que o MMA não cumpriu a obrigação de realizar o registro de preempção estatal e parcelamento do uso do solo devido a uma ambiguidade legal. Como resultado, terras com alto valor de revenda foram transferidas a terceiros sem o exercício do direito de preferência pelo Estado.</w:t>
      </w:r>
    </w:p>
    <w:p w14:paraId="4DF7DF47" w14:textId="77777777" w:rsidR="002D7F74" w:rsidRDefault="002D7F74" w:rsidP="002D7F74">
      <w:pPr>
        <w:autoSpaceDE w:val="0"/>
        <w:autoSpaceDN w:val="0"/>
        <w:adjustRightInd w:val="0"/>
        <w:spacing w:after="0"/>
        <w:jc w:val="both"/>
        <w:rPr>
          <w:rFonts w:ascii="Arial" w:eastAsia="Times New Roman" w:hAnsi="Arial" w:cs="Arial"/>
          <w:sz w:val="20"/>
          <w:szCs w:val="20"/>
          <w:lang w:eastAsia="pt-BR"/>
        </w:rPr>
      </w:pPr>
    </w:p>
    <w:p w14:paraId="6BB8C672" w14:textId="74B1A837" w:rsidR="002D7F74" w:rsidRPr="002D7F74" w:rsidRDefault="002D7F74" w:rsidP="002D7F74">
      <w:pPr>
        <w:autoSpaceDE w:val="0"/>
        <w:autoSpaceDN w:val="0"/>
        <w:adjustRightInd w:val="0"/>
        <w:spacing w:after="0"/>
        <w:jc w:val="both"/>
        <w:rPr>
          <w:rFonts w:ascii="Arial" w:eastAsia="Times New Roman" w:hAnsi="Arial" w:cs="Arial"/>
          <w:sz w:val="20"/>
          <w:szCs w:val="20"/>
          <w:lang w:val="en-US" w:eastAsia="pt-BR"/>
        </w:rPr>
      </w:pPr>
      <w:r w:rsidRPr="002D7F74">
        <w:rPr>
          <w:rFonts w:ascii="Arial" w:eastAsia="Times New Roman" w:hAnsi="Arial" w:cs="Arial"/>
          <w:sz w:val="20"/>
          <w:szCs w:val="20"/>
          <w:lang w:val="en-US" w:eastAsia="pt-BR"/>
        </w:rPr>
        <w:t>The MoE managed the economic activities of NPAs without identified shortcomings. The MoE, as the Central State Administration Authority for nature protection, failed to fulfil the measures of the basic strategic framework of nature and landscape protection. The MoE had not prepare the strategy of multi-source financing for nature and landscape management by the deadline approved by the Government. MoE also did not elaborate a comprehensive development strategy for national parks in the period under review. The SAO also found that the obligation of the MoE to ensure the registration of the State’s pre-emption right to land parcels in the NPs cannot be fulfilled due to legislative ambiguity. As a result, naturally valuable land is transferred without the State having the right to exercise the pre-emptive right.</w:t>
      </w:r>
    </w:p>
    <w:p w14:paraId="1031D9AE" w14:textId="77777777" w:rsidR="003129B0" w:rsidRPr="002D7F74" w:rsidRDefault="003129B0" w:rsidP="003129B0">
      <w:pPr>
        <w:autoSpaceDE w:val="0"/>
        <w:autoSpaceDN w:val="0"/>
        <w:adjustRightInd w:val="0"/>
        <w:spacing w:after="0"/>
        <w:jc w:val="both"/>
        <w:rPr>
          <w:rFonts w:ascii="Arial" w:hAnsi="Arial" w:cs="Arial"/>
          <w:sz w:val="20"/>
          <w:szCs w:val="20"/>
          <w:lang w:val="en-US"/>
        </w:rPr>
      </w:pPr>
    </w:p>
    <w:p w14:paraId="6378AEA4" w14:textId="77777777" w:rsidR="003129B0" w:rsidRDefault="003129B0" w:rsidP="003129B0">
      <w:pPr>
        <w:autoSpaceDE w:val="0"/>
        <w:autoSpaceDN w:val="0"/>
        <w:adjustRightInd w:val="0"/>
        <w:spacing w:after="0"/>
        <w:jc w:val="both"/>
        <w:rPr>
          <w:rFonts w:ascii="Arial" w:hAnsi="Arial" w:cs="Arial"/>
          <w:sz w:val="20"/>
          <w:szCs w:val="20"/>
        </w:rPr>
      </w:pPr>
      <w:r w:rsidRPr="006513E0">
        <w:rPr>
          <w:rFonts w:ascii="Arial" w:hAnsi="Arial" w:cs="Arial"/>
          <w:sz w:val="20"/>
          <w:szCs w:val="20"/>
        </w:rPr>
        <w:t>Informe Executivo do Relatório/Acórdão/Decisão disponível em língua espanhola:</w:t>
      </w:r>
    </w:p>
    <w:p w14:paraId="27D0BFE4" w14:textId="77777777" w:rsidR="003129B0" w:rsidRPr="006513E0" w:rsidRDefault="003129B0" w:rsidP="003129B0">
      <w:pPr>
        <w:autoSpaceDE w:val="0"/>
        <w:autoSpaceDN w:val="0"/>
        <w:adjustRightInd w:val="0"/>
        <w:spacing w:after="0"/>
        <w:jc w:val="both"/>
        <w:rPr>
          <w:rFonts w:ascii="Arial" w:hAnsi="Arial" w:cs="Arial"/>
          <w:sz w:val="20"/>
          <w:szCs w:val="20"/>
        </w:rPr>
      </w:pPr>
    </w:p>
    <w:p w14:paraId="4DB22D1A" w14:textId="77777777" w:rsidR="00EA2B95" w:rsidRDefault="00AA5A48" w:rsidP="00EA2B95">
      <w:pPr>
        <w:spacing w:after="0"/>
        <w:rPr>
          <w:rFonts w:ascii="Arial" w:hAnsi="Arial" w:cs="Arial"/>
          <w:b/>
          <w:sz w:val="20"/>
          <w:szCs w:val="20"/>
        </w:rPr>
      </w:pPr>
      <w:hyperlink r:id="rId23" w:history="1">
        <w:r w:rsidR="00EA2B95" w:rsidRPr="004D7366">
          <w:rPr>
            <w:rStyle w:val="Hyperlink"/>
            <w:rFonts w:ascii="Arial" w:hAnsi="Arial" w:cs="Arial"/>
            <w:b/>
            <w:sz w:val="20"/>
            <w:szCs w:val="20"/>
          </w:rPr>
          <w:t>https://www.eurosai.org/export/sites/eurosai/.content/documents/materials/K18023_en.pdf</w:t>
        </w:r>
      </w:hyperlink>
      <w:r w:rsidR="00EA2B95">
        <w:rPr>
          <w:rFonts w:ascii="Arial" w:hAnsi="Arial" w:cs="Arial"/>
          <w:b/>
          <w:sz w:val="20"/>
          <w:szCs w:val="20"/>
        </w:rPr>
        <w:t xml:space="preserve"> </w:t>
      </w:r>
      <w:bookmarkEnd w:id="0"/>
    </w:p>
    <w:p w14:paraId="40A5A238" w14:textId="77777777" w:rsidR="00DF3666" w:rsidRPr="00FD3999" w:rsidRDefault="00DF3666" w:rsidP="00736503">
      <w:pPr>
        <w:spacing w:after="0"/>
        <w:jc w:val="both"/>
        <w:rPr>
          <w:rFonts w:ascii="Arial" w:hAnsi="Arial" w:cs="Arial"/>
          <w:color w:val="000000"/>
          <w:sz w:val="20"/>
          <w:szCs w:val="20"/>
        </w:rPr>
      </w:pPr>
    </w:p>
    <w:p w14:paraId="2D4D0BD2" w14:textId="77777777" w:rsidR="00543DF0" w:rsidRDefault="00543DF0" w:rsidP="00736503">
      <w:pPr>
        <w:pStyle w:val="Default"/>
        <w:spacing w:line="276" w:lineRule="auto"/>
        <w:jc w:val="both"/>
        <w:rPr>
          <w:b/>
          <w:sz w:val="20"/>
          <w:szCs w:val="20"/>
        </w:rPr>
      </w:pPr>
      <w:r>
        <w:rPr>
          <w:b/>
          <w:sz w:val="20"/>
          <w:szCs w:val="20"/>
        </w:rPr>
        <w:t xml:space="preserve">Acesse também: </w:t>
      </w:r>
    </w:p>
    <w:p w14:paraId="7FCB4A15" w14:textId="77777777" w:rsidR="00270E2F" w:rsidRDefault="00AA5A48" w:rsidP="00736503">
      <w:pPr>
        <w:pStyle w:val="Default"/>
        <w:spacing w:line="276" w:lineRule="auto"/>
        <w:jc w:val="center"/>
        <w:rPr>
          <w:rStyle w:val="Hyperlink"/>
          <w:b/>
          <w:sz w:val="20"/>
          <w:szCs w:val="20"/>
        </w:rPr>
      </w:pPr>
      <w:hyperlink r:id="rId24" w:history="1">
        <w:r w:rsidR="00270E2F" w:rsidRPr="00BC4C07">
          <w:rPr>
            <w:rStyle w:val="Hyperlink"/>
            <w:b/>
            <w:sz w:val="20"/>
            <w:szCs w:val="20"/>
          </w:rPr>
          <w:t>Pesquisas Prontas</w:t>
        </w:r>
      </w:hyperlink>
    </w:p>
    <w:p w14:paraId="34E5FCD1" w14:textId="77777777" w:rsidR="00E3262F" w:rsidRDefault="00E3262F" w:rsidP="00736503">
      <w:pPr>
        <w:pStyle w:val="Default"/>
        <w:spacing w:line="276" w:lineRule="auto"/>
        <w:jc w:val="center"/>
        <w:rPr>
          <w:rStyle w:val="Hyperlink"/>
          <w:b/>
          <w:sz w:val="20"/>
          <w:szCs w:val="20"/>
        </w:rPr>
      </w:pPr>
    </w:p>
    <w:p w14:paraId="7620BB0F" w14:textId="77777777" w:rsidR="00E3262F" w:rsidRPr="00BC4C07" w:rsidRDefault="00AA5A48" w:rsidP="00736503">
      <w:pPr>
        <w:pStyle w:val="Default"/>
        <w:spacing w:line="276" w:lineRule="auto"/>
        <w:jc w:val="center"/>
        <w:rPr>
          <w:b/>
          <w:sz w:val="20"/>
          <w:szCs w:val="20"/>
        </w:rPr>
      </w:pPr>
      <w:hyperlink r:id="rId25" w:history="1">
        <w:r w:rsidR="00E3262F" w:rsidRPr="00E3262F">
          <w:rPr>
            <w:rStyle w:val="Hyperlink"/>
            <w:b/>
            <w:sz w:val="20"/>
            <w:szCs w:val="20"/>
          </w:rPr>
          <w:t>Teses Ambientais</w:t>
        </w:r>
      </w:hyperlink>
    </w:p>
    <w:p w14:paraId="60B5262F" w14:textId="77777777" w:rsidR="00270E2F" w:rsidRDefault="00270E2F" w:rsidP="00736503">
      <w:pPr>
        <w:pStyle w:val="Default"/>
        <w:spacing w:line="276" w:lineRule="auto"/>
        <w:jc w:val="center"/>
      </w:pPr>
    </w:p>
    <w:p w14:paraId="2086BD1B" w14:textId="77777777" w:rsidR="00270E2F" w:rsidRDefault="00AA5A48" w:rsidP="00736503">
      <w:pPr>
        <w:pStyle w:val="Default"/>
        <w:spacing w:line="276" w:lineRule="auto"/>
        <w:jc w:val="center"/>
        <w:rPr>
          <w:rStyle w:val="Hyperlink"/>
          <w:b/>
          <w:sz w:val="20"/>
          <w:szCs w:val="20"/>
        </w:rPr>
      </w:pPr>
      <w:hyperlink r:id="rId26" w:history="1">
        <w:r w:rsidR="00270E2F">
          <w:rPr>
            <w:rStyle w:val="Hyperlink"/>
            <w:b/>
            <w:sz w:val="20"/>
            <w:szCs w:val="20"/>
          </w:rPr>
          <w:t>Repercussão Geral do Supremo Tribunal Federal - STF e os Tribunais de Contas</w:t>
        </w:r>
      </w:hyperlink>
    </w:p>
    <w:p w14:paraId="6C117B17" w14:textId="77777777" w:rsidR="00270E2F" w:rsidRPr="00DD265A" w:rsidRDefault="00270E2F" w:rsidP="00736503">
      <w:pPr>
        <w:pStyle w:val="Default"/>
        <w:spacing w:line="276" w:lineRule="auto"/>
        <w:jc w:val="center"/>
        <w:rPr>
          <w:rStyle w:val="Hyperlink"/>
          <w:b/>
          <w:sz w:val="20"/>
          <w:szCs w:val="20"/>
        </w:rPr>
      </w:pPr>
    </w:p>
    <w:p w14:paraId="75AC09BA" w14:textId="77777777" w:rsidR="003E297C" w:rsidRDefault="00AA5A48" w:rsidP="00736503">
      <w:pPr>
        <w:pStyle w:val="Default"/>
        <w:spacing w:line="276" w:lineRule="auto"/>
        <w:jc w:val="center"/>
        <w:rPr>
          <w:rStyle w:val="Hyperlink"/>
          <w:b/>
          <w:sz w:val="20"/>
          <w:szCs w:val="20"/>
        </w:rPr>
      </w:pPr>
      <w:hyperlink r:id="rId27" w:history="1">
        <w:r w:rsidR="003E297C">
          <w:rPr>
            <w:rStyle w:val="Hyperlink"/>
            <w:b/>
            <w:sz w:val="20"/>
            <w:szCs w:val="20"/>
          </w:rPr>
          <w:t>Boletim Informativo de Jurisprudência</w:t>
        </w:r>
      </w:hyperlink>
    </w:p>
    <w:p w14:paraId="63FE25D2" w14:textId="77777777" w:rsidR="003E297C" w:rsidRDefault="003E297C" w:rsidP="00736503">
      <w:pPr>
        <w:pStyle w:val="Default"/>
        <w:spacing w:line="276" w:lineRule="auto"/>
        <w:jc w:val="center"/>
        <w:rPr>
          <w:rStyle w:val="Hyperlink"/>
          <w:b/>
          <w:sz w:val="20"/>
          <w:szCs w:val="20"/>
        </w:rPr>
      </w:pPr>
    </w:p>
    <w:p w14:paraId="27FDCFDE" w14:textId="77777777" w:rsidR="003E297C" w:rsidRDefault="00AA5A48" w:rsidP="00736503">
      <w:pPr>
        <w:pStyle w:val="Default"/>
        <w:spacing w:line="276" w:lineRule="auto"/>
        <w:jc w:val="center"/>
        <w:rPr>
          <w:rStyle w:val="Hyperlink"/>
          <w:b/>
          <w:sz w:val="20"/>
          <w:szCs w:val="20"/>
        </w:rPr>
      </w:pPr>
      <w:hyperlink r:id="rId28" w:history="1">
        <w:r w:rsidR="003E297C">
          <w:rPr>
            <w:rStyle w:val="Hyperlink"/>
            <w:b/>
            <w:sz w:val="20"/>
            <w:szCs w:val="20"/>
          </w:rPr>
          <w:t>Súmulas Selecionadas</w:t>
        </w:r>
      </w:hyperlink>
    </w:p>
    <w:p w14:paraId="4F1C44AD" w14:textId="77777777" w:rsidR="00270E2F" w:rsidRDefault="00270E2F" w:rsidP="00736503">
      <w:pPr>
        <w:pStyle w:val="TCU-Epgrafe"/>
        <w:spacing w:line="276" w:lineRule="auto"/>
        <w:ind w:left="0"/>
        <w:rPr>
          <w:sz w:val="22"/>
          <w:szCs w:val="22"/>
        </w:rPr>
      </w:pPr>
      <w:r w:rsidRPr="0022060B">
        <w:rPr>
          <w:rFonts w:ascii="Arial" w:hAnsi="Arial" w:cs="Arial"/>
          <w:noProof/>
          <w:sz w:val="20"/>
        </w:rPr>
        <mc:AlternateContent>
          <mc:Choice Requires="wps">
            <w:drawing>
              <wp:anchor distT="0" distB="0" distL="114300" distR="114300" simplePos="0" relativeHeight="251664896" behindDoc="0" locked="0" layoutInCell="1" allowOverlap="1" wp14:anchorId="27981347" wp14:editId="10284970">
                <wp:simplePos x="0" y="0"/>
                <wp:positionH relativeFrom="margin">
                  <wp:posOffset>-18205</wp:posOffset>
                </wp:positionH>
                <wp:positionV relativeFrom="paragraph">
                  <wp:posOffset>117229</wp:posOffset>
                </wp:positionV>
                <wp:extent cx="5518150" cy="0"/>
                <wp:effectExtent l="0" t="0" r="19050" b="5080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rgbClr val="800000"/>
                          </a:solidFill>
                          <a:round/>
                          <a:headEnd/>
                          <a:tailEnd/>
                        </a:ln>
                        <a:effectLst>
                          <a:outerShdw dist="20000" dir="5400000" rotWithShape="0">
                            <a:srgbClr val="000000">
                              <a:alpha val="37999"/>
                            </a:srgbClr>
                          </a:outerShdw>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3F25251"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" strokecolor="maroon" strokeweight="2pt">
                <v:shadow on="t" color="black" opacity="24903f" origin=",.5" offset="0,.55556mm"/>
                <w10:wrap anchorx="margin"/>
              </v:line>
            </w:pict>
          </mc:Fallback>
        </mc:AlternateContent>
      </w:r>
    </w:p>
    <w:p w14:paraId="0A837033" w14:textId="77777777" w:rsidR="00984E8B" w:rsidRDefault="00984E8B" w:rsidP="00736503">
      <w:pPr>
        <w:spacing w:after="0"/>
        <w:jc w:val="center"/>
        <w:rPr>
          <w:rStyle w:val="Hyperlink"/>
          <w:rFonts w:ascii="Arial" w:hAnsi="Arial" w:cs="Arial"/>
          <w:i/>
          <w:color w:val="000000" w:themeColor="text1"/>
          <w:sz w:val="20"/>
          <w:szCs w:val="20"/>
          <w:u w:val="none"/>
        </w:rPr>
      </w:pPr>
    </w:p>
    <w:p w14:paraId="53EC44B9" w14:textId="3057A4AB" w:rsidR="00E01524" w:rsidRPr="0022060B" w:rsidRDefault="00DB558E" w:rsidP="00736503">
      <w:pPr>
        <w:spacing w:after="0"/>
        <w:jc w:val="center"/>
        <w:rPr>
          <w:rFonts w:ascii="Arial" w:hAnsi="Arial" w:cs="Arial"/>
          <w:b/>
          <w:sz w:val="20"/>
        </w:rPr>
      </w:pPr>
      <w:r>
        <w:rPr>
          <w:rStyle w:val="Hyperlink"/>
          <w:rFonts w:ascii="Arial" w:hAnsi="Arial" w:cs="Arial"/>
          <w:i/>
          <w:color w:val="000000" w:themeColor="text1"/>
          <w:sz w:val="20"/>
          <w:szCs w:val="20"/>
          <w:u w:val="none"/>
        </w:rPr>
        <w:t>Elaboração: Escola de Gestão Pública - Jurisprudência</w:t>
      </w:r>
    </w:p>
    <w:sectPr w:rsidR="00E01524" w:rsidRPr="0022060B" w:rsidSect="007A3F8C">
      <w:headerReference w:type="default" r:id="rId29"/>
      <w:footerReference w:type="default" r:id="rId30"/>
      <w:pgSz w:w="11906" w:h="16838"/>
      <w:pgMar w:top="1417" w:right="1701" w:bottom="1417" w:left="1701" w:header="851"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D3B1FC" w14:textId="77777777" w:rsidR="00890563" w:rsidRDefault="00890563" w:rsidP="00350CC2">
      <w:pPr>
        <w:spacing w:after="0" w:line="240" w:lineRule="auto"/>
      </w:pPr>
      <w:r>
        <w:separator/>
      </w:r>
    </w:p>
  </w:endnote>
  <w:endnote w:type="continuationSeparator" w:id="0">
    <w:p w14:paraId="389293FC" w14:textId="77777777" w:rsidR="00890563" w:rsidRDefault="00890563"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F1C8A0" w14:textId="77777777" w:rsidR="000A4E5F" w:rsidRDefault="000A4E5F" w:rsidP="002245DE">
    <w:pPr>
      <w:pStyle w:val="Rodap"/>
      <w:jc w:val="center"/>
      <w:rPr>
        <w:sz w:val="16"/>
        <w:szCs w:val="16"/>
      </w:rPr>
    </w:pPr>
  </w:p>
  <w:p w14:paraId="70AA9D74" w14:textId="77777777" w:rsidR="000A4E5F" w:rsidRPr="00AD1CE8" w:rsidRDefault="000A4E5F" w:rsidP="007A3F8C">
    <w:pPr>
      <w:pStyle w:val="Rodap"/>
      <w:jc w:val="right"/>
      <w:rPr>
        <w:rFonts w:ascii="Arial" w:hAnsi="Arial"/>
        <w:b/>
        <w:color w:val="FFFFFF" w:themeColor="background1"/>
        <w:sz w:val="20"/>
        <w:szCs w:val="20"/>
      </w:rPr>
    </w:pPr>
    <w:r w:rsidRPr="00AD1CE8">
      <w:rPr>
        <w:rFonts w:ascii="Arial" w:hAnsi="Arial"/>
        <w:b/>
        <w:noProof/>
        <w:color w:val="FFFFFF" w:themeColor="background1"/>
        <w:sz w:val="20"/>
        <w:szCs w:val="20"/>
        <w:lang w:eastAsia="pt-BR"/>
      </w:rPr>
      <w:drawing>
        <wp:anchor distT="0" distB="0" distL="114300" distR="114300" simplePos="0" relativeHeight="251659264" behindDoc="1" locked="0" layoutInCell="1" allowOverlap="1" wp14:anchorId="44F7400E" wp14:editId="675ABE0B">
          <wp:simplePos x="0" y="0"/>
          <wp:positionH relativeFrom="column">
            <wp:posOffset>-1121410</wp:posOffset>
          </wp:positionH>
          <wp:positionV relativeFrom="paragraph">
            <wp:posOffset>-393065</wp:posOffset>
          </wp:positionV>
          <wp:extent cx="7643495" cy="704850"/>
          <wp:effectExtent l="0" t="0" r="1905" b="635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o Rodapé Boletim Internacional-03.png"/>
                  <pic:cNvPicPr/>
                </pic:nvPicPr>
                <pic:blipFill>
                  <a:blip r:embed="rId1">
                    <a:extLst>
                      <a:ext uri="{28A0092B-C50C-407E-A947-70E740481C1C}">
                        <a14:useLocalDpi xmlns:a14="http://schemas.microsoft.com/office/drawing/2010/main" val="0"/>
                      </a:ext>
                    </a:extLst>
                  </a:blip>
                  <a:stretch>
                    <a:fillRect/>
                  </a:stretch>
                </pic:blipFill>
                <pic:spPr>
                  <a:xfrm>
                    <a:off x="0" y="0"/>
                    <a:ext cx="7643495" cy="704850"/>
                  </a:xfrm>
                  <a:prstGeom prst="rect">
                    <a:avLst/>
                  </a:prstGeom>
                </pic:spPr>
              </pic:pic>
            </a:graphicData>
          </a:graphic>
          <wp14:sizeRelH relativeFrom="page">
            <wp14:pctWidth>0</wp14:pctWidth>
          </wp14:sizeRelH>
          <wp14:sizeRelV relativeFrom="page">
            <wp14:pctHeight>0</wp14:pctHeight>
          </wp14:sizeRelV>
        </wp:anchor>
      </w:drawing>
    </w:r>
    <w:r w:rsidRPr="00AD1CE8">
      <w:rPr>
        <w:rFonts w:ascii="Arial" w:hAnsi="Arial"/>
        <w:b/>
        <w:color w:val="FFFFFF" w:themeColor="background1"/>
        <w:sz w:val="20"/>
        <w:szCs w:val="20"/>
      </w:rPr>
      <w:fldChar w:fldCharType="begin"/>
    </w:r>
    <w:r w:rsidRPr="00AD1CE8">
      <w:rPr>
        <w:rFonts w:ascii="Arial" w:hAnsi="Arial"/>
        <w:b/>
        <w:color w:val="FFFFFF" w:themeColor="background1"/>
        <w:sz w:val="20"/>
        <w:szCs w:val="20"/>
      </w:rPr>
      <w:instrText xml:space="preserve"> PAGE   \* MERGEFORMAT </w:instrText>
    </w:r>
    <w:r w:rsidRPr="00AD1CE8">
      <w:rPr>
        <w:rFonts w:ascii="Arial" w:hAnsi="Arial"/>
        <w:b/>
        <w:color w:val="FFFFFF" w:themeColor="background1"/>
        <w:sz w:val="20"/>
        <w:szCs w:val="20"/>
      </w:rPr>
      <w:fldChar w:fldCharType="separate"/>
    </w:r>
    <w:r w:rsidR="00AA5A48">
      <w:rPr>
        <w:rFonts w:ascii="Arial" w:hAnsi="Arial"/>
        <w:b/>
        <w:noProof/>
        <w:color w:val="FFFFFF" w:themeColor="background1"/>
        <w:sz w:val="20"/>
        <w:szCs w:val="20"/>
      </w:rPr>
      <w:t>1</w:t>
    </w:r>
    <w:r w:rsidRPr="00AD1CE8">
      <w:rPr>
        <w:rFonts w:ascii="Arial" w:hAnsi="Arial"/>
        <w:b/>
        <w:color w:val="FFFFFF" w:themeColor="background1"/>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D9E373" w14:textId="77777777" w:rsidR="00890563" w:rsidRDefault="00890563" w:rsidP="00350CC2">
      <w:pPr>
        <w:spacing w:after="0" w:line="240" w:lineRule="auto"/>
      </w:pPr>
      <w:r>
        <w:separator/>
      </w:r>
    </w:p>
  </w:footnote>
  <w:footnote w:type="continuationSeparator" w:id="0">
    <w:p w14:paraId="0F41D66B" w14:textId="77777777" w:rsidR="00890563" w:rsidRDefault="00890563" w:rsidP="00350C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8F1763" w14:textId="0476978E" w:rsidR="000A4E5F" w:rsidRDefault="000A4E5F" w:rsidP="00F14CCC">
    <w:pPr>
      <w:pStyle w:val="Cabealho"/>
      <w:spacing w:after="100" w:afterAutospacing="1"/>
      <w:jc w:val="center"/>
      <w:rPr>
        <w:b/>
      </w:rPr>
    </w:pPr>
    <w:r>
      <w:rPr>
        <w:b/>
        <w:noProof/>
        <w:lang w:eastAsia="pt-BR"/>
      </w:rPr>
      <w:drawing>
        <wp:anchor distT="0" distB="0" distL="114300" distR="114300" simplePos="0" relativeHeight="251658240" behindDoc="1" locked="0" layoutInCell="1" allowOverlap="1" wp14:anchorId="3D3289EF" wp14:editId="7AD94DC0">
          <wp:simplePos x="0" y="0"/>
          <wp:positionH relativeFrom="margin">
            <wp:posOffset>-1156335</wp:posOffset>
          </wp:positionH>
          <wp:positionV relativeFrom="margin">
            <wp:posOffset>-1261110</wp:posOffset>
          </wp:positionV>
          <wp:extent cx="7713345" cy="1442085"/>
          <wp:effectExtent l="0" t="0" r="8255" b="571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o Rodapé Boletim Internacional-02.png"/>
                  <pic:cNvPicPr/>
                </pic:nvPicPr>
                <pic:blipFill>
                  <a:blip r:embed="rId1">
                    <a:extLst>
                      <a:ext uri="{28A0092B-C50C-407E-A947-70E740481C1C}">
                        <a14:useLocalDpi xmlns:a14="http://schemas.microsoft.com/office/drawing/2010/main" val="0"/>
                      </a:ext>
                    </a:extLst>
                  </a:blip>
                  <a:stretch>
                    <a:fillRect/>
                  </a:stretch>
                </pic:blipFill>
                <pic:spPr>
                  <a:xfrm>
                    <a:off x="0" y="0"/>
                    <a:ext cx="7713345" cy="1442085"/>
                  </a:xfrm>
                  <a:prstGeom prst="rect">
                    <a:avLst/>
                  </a:prstGeom>
                </pic:spPr>
              </pic:pic>
            </a:graphicData>
          </a:graphic>
          <wp14:sizeRelH relativeFrom="page">
            <wp14:pctWidth>0</wp14:pctWidth>
          </wp14:sizeRelH>
          <wp14:sizeRelV relativeFrom="page">
            <wp14:pctHeight>0</wp14:pctHeight>
          </wp14:sizeRelV>
        </wp:anchor>
      </w:drawing>
    </w:r>
  </w:p>
  <w:p w14:paraId="5180E5CA" w14:textId="4F5B8127" w:rsidR="000A4E5F" w:rsidRDefault="000A4E5F" w:rsidP="00F14CCC">
    <w:pPr>
      <w:pStyle w:val="Cabealho"/>
      <w:spacing w:after="100" w:afterAutospacing="1"/>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04E3137"/>
    <w:multiLevelType w:val="hybridMultilevel"/>
    <w:tmpl w:val="13B44DC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B4B539B"/>
    <w:multiLevelType w:val="hybridMultilevel"/>
    <w:tmpl w:val="0A9ED29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03546F5"/>
    <w:multiLevelType w:val="hybridMultilevel"/>
    <w:tmpl w:val="9D228F5A"/>
    <w:lvl w:ilvl="0" w:tplc="04160001">
      <w:start w:val="1"/>
      <w:numFmt w:val="bullet"/>
      <w:lvlText w:val=""/>
      <w:lvlJc w:val="left"/>
      <w:pPr>
        <w:ind w:left="720" w:hanging="360"/>
      </w:pPr>
      <w:rPr>
        <w:rFonts w:ascii="Symbol" w:hAnsi="Symbol" w:hint="default"/>
      </w:rPr>
    </w:lvl>
    <w:lvl w:ilvl="1" w:tplc="5670665C">
      <w:numFmt w:val="bullet"/>
      <w:lvlText w:val="•"/>
      <w:lvlJc w:val="left"/>
      <w:pPr>
        <w:ind w:left="1440" w:hanging="360"/>
      </w:pPr>
      <w:rPr>
        <w:rFonts w:ascii="Arial" w:eastAsia="Times New Roman" w:hAnsi="Arial" w:cs="Arial"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50F634A4"/>
    <w:multiLevelType w:val="hybridMultilevel"/>
    <w:tmpl w:val="78C833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7"/>
  </w:num>
  <w:num w:numId="3">
    <w:abstractNumId w:val="13"/>
  </w:num>
  <w:num w:numId="4">
    <w:abstractNumId w:val="14"/>
  </w:num>
  <w:num w:numId="5">
    <w:abstractNumId w:val="15"/>
  </w:num>
  <w:num w:numId="6">
    <w:abstractNumId w:val="9"/>
  </w:num>
  <w:num w:numId="7">
    <w:abstractNumId w:val="0"/>
  </w:num>
  <w:num w:numId="8">
    <w:abstractNumId w:val="1"/>
  </w:num>
  <w:num w:numId="9">
    <w:abstractNumId w:val="6"/>
  </w:num>
  <w:num w:numId="10">
    <w:abstractNumId w:val="2"/>
  </w:num>
  <w:num w:numId="11">
    <w:abstractNumId w:val="3"/>
  </w:num>
  <w:num w:numId="12">
    <w:abstractNumId w:val="8"/>
  </w:num>
  <w:num w:numId="13">
    <w:abstractNumId w:val="12"/>
  </w:num>
  <w:num w:numId="14">
    <w:abstractNumId w:val="11"/>
  </w:num>
  <w:num w:numId="15">
    <w:abstractNumId w:val="10"/>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5B58"/>
    <w:rsid w:val="00015FB0"/>
    <w:rsid w:val="00017352"/>
    <w:rsid w:val="00017EBA"/>
    <w:rsid w:val="00021B0A"/>
    <w:rsid w:val="00022D68"/>
    <w:rsid w:val="00025971"/>
    <w:rsid w:val="000262AD"/>
    <w:rsid w:val="00027A03"/>
    <w:rsid w:val="00027FAB"/>
    <w:rsid w:val="000300F4"/>
    <w:rsid w:val="00032A26"/>
    <w:rsid w:val="00033422"/>
    <w:rsid w:val="00033E69"/>
    <w:rsid w:val="00040EBA"/>
    <w:rsid w:val="00042502"/>
    <w:rsid w:val="00042DF3"/>
    <w:rsid w:val="00043184"/>
    <w:rsid w:val="000433EC"/>
    <w:rsid w:val="000439FD"/>
    <w:rsid w:val="00045700"/>
    <w:rsid w:val="00046191"/>
    <w:rsid w:val="00046E21"/>
    <w:rsid w:val="00047EF1"/>
    <w:rsid w:val="00051DC8"/>
    <w:rsid w:val="00052862"/>
    <w:rsid w:val="00053B72"/>
    <w:rsid w:val="0005447E"/>
    <w:rsid w:val="00056686"/>
    <w:rsid w:val="00056E6F"/>
    <w:rsid w:val="000572CE"/>
    <w:rsid w:val="000617CF"/>
    <w:rsid w:val="00062521"/>
    <w:rsid w:val="00062737"/>
    <w:rsid w:val="00067E01"/>
    <w:rsid w:val="00070009"/>
    <w:rsid w:val="00070B14"/>
    <w:rsid w:val="000713DD"/>
    <w:rsid w:val="00071DE3"/>
    <w:rsid w:val="0007200C"/>
    <w:rsid w:val="00073305"/>
    <w:rsid w:val="00073F9F"/>
    <w:rsid w:val="00074287"/>
    <w:rsid w:val="000747BF"/>
    <w:rsid w:val="00074FAB"/>
    <w:rsid w:val="000759E5"/>
    <w:rsid w:val="00076184"/>
    <w:rsid w:val="000800D1"/>
    <w:rsid w:val="00081051"/>
    <w:rsid w:val="00085557"/>
    <w:rsid w:val="00086299"/>
    <w:rsid w:val="0009260D"/>
    <w:rsid w:val="000926D4"/>
    <w:rsid w:val="00092E5D"/>
    <w:rsid w:val="0009482D"/>
    <w:rsid w:val="0009711C"/>
    <w:rsid w:val="0009762F"/>
    <w:rsid w:val="00097B00"/>
    <w:rsid w:val="000A05C5"/>
    <w:rsid w:val="000A0748"/>
    <w:rsid w:val="000A0E48"/>
    <w:rsid w:val="000A29BE"/>
    <w:rsid w:val="000A3C2D"/>
    <w:rsid w:val="000A3E63"/>
    <w:rsid w:val="000A47FD"/>
    <w:rsid w:val="000A4E5F"/>
    <w:rsid w:val="000A4EB6"/>
    <w:rsid w:val="000A5F01"/>
    <w:rsid w:val="000A71D1"/>
    <w:rsid w:val="000B04A0"/>
    <w:rsid w:val="000B11D2"/>
    <w:rsid w:val="000B1E10"/>
    <w:rsid w:val="000B2FD9"/>
    <w:rsid w:val="000B311A"/>
    <w:rsid w:val="000B31B6"/>
    <w:rsid w:val="000B47C0"/>
    <w:rsid w:val="000B5152"/>
    <w:rsid w:val="000C2948"/>
    <w:rsid w:val="000C3582"/>
    <w:rsid w:val="000C4F73"/>
    <w:rsid w:val="000C5093"/>
    <w:rsid w:val="000C5460"/>
    <w:rsid w:val="000C5EB3"/>
    <w:rsid w:val="000C63BC"/>
    <w:rsid w:val="000C654E"/>
    <w:rsid w:val="000C7D67"/>
    <w:rsid w:val="000D2D5B"/>
    <w:rsid w:val="000D357D"/>
    <w:rsid w:val="000D4DE6"/>
    <w:rsid w:val="000D560C"/>
    <w:rsid w:val="000D5CB1"/>
    <w:rsid w:val="000D6D01"/>
    <w:rsid w:val="000E0E50"/>
    <w:rsid w:val="000E1F93"/>
    <w:rsid w:val="000E300B"/>
    <w:rsid w:val="000E3ACE"/>
    <w:rsid w:val="000E3FC6"/>
    <w:rsid w:val="000E464B"/>
    <w:rsid w:val="000E485E"/>
    <w:rsid w:val="000E5AC8"/>
    <w:rsid w:val="000F04ED"/>
    <w:rsid w:val="000F18DA"/>
    <w:rsid w:val="000F1FFA"/>
    <w:rsid w:val="000F255B"/>
    <w:rsid w:val="000F314C"/>
    <w:rsid w:val="000F639D"/>
    <w:rsid w:val="000F7C1B"/>
    <w:rsid w:val="00100B9C"/>
    <w:rsid w:val="0010674D"/>
    <w:rsid w:val="00106AA9"/>
    <w:rsid w:val="00106B27"/>
    <w:rsid w:val="00110517"/>
    <w:rsid w:val="00110554"/>
    <w:rsid w:val="00110BD6"/>
    <w:rsid w:val="001119DC"/>
    <w:rsid w:val="00111B86"/>
    <w:rsid w:val="00111C26"/>
    <w:rsid w:val="00112B60"/>
    <w:rsid w:val="0011394D"/>
    <w:rsid w:val="00113EF1"/>
    <w:rsid w:val="00114B62"/>
    <w:rsid w:val="001159C9"/>
    <w:rsid w:val="00120862"/>
    <w:rsid w:val="00121A99"/>
    <w:rsid w:val="0012211A"/>
    <w:rsid w:val="00122E13"/>
    <w:rsid w:val="00123D02"/>
    <w:rsid w:val="0012498C"/>
    <w:rsid w:val="00124A0F"/>
    <w:rsid w:val="00126447"/>
    <w:rsid w:val="00127DF2"/>
    <w:rsid w:val="00130717"/>
    <w:rsid w:val="0013298B"/>
    <w:rsid w:val="0013396B"/>
    <w:rsid w:val="001342E3"/>
    <w:rsid w:val="0013514C"/>
    <w:rsid w:val="0013583F"/>
    <w:rsid w:val="00135D5F"/>
    <w:rsid w:val="00140CF6"/>
    <w:rsid w:val="001411E6"/>
    <w:rsid w:val="001415BA"/>
    <w:rsid w:val="00142D10"/>
    <w:rsid w:val="00144712"/>
    <w:rsid w:val="001472C1"/>
    <w:rsid w:val="00150844"/>
    <w:rsid w:val="001529D8"/>
    <w:rsid w:val="00156185"/>
    <w:rsid w:val="00156F74"/>
    <w:rsid w:val="00157806"/>
    <w:rsid w:val="00157D64"/>
    <w:rsid w:val="0016028F"/>
    <w:rsid w:val="00161AA2"/>
    <w:rsid w:val="0016670D"/>
    <w:rsid w:val="00166A96"/>
    <w:rsid w:val="001675C3"/>
    <w:rsid w:val="00170F9D"/>
    <w:rsid w:val="00171401"/>
    <w:rsid w:val="001720EB"/>
    <w:rsid w:val="00172248"/>
    <w:rsid w:val="0017455D"/>
    <w:rsid w:val="001770AF"/>
    <w:rsid w:val="001800A9"/>
    <w:rsid w:val="001823E7"/>
    <w:rsid w:val="0018272D"/>
    <w:rsid w:val="0018361F"/>
    <w:rsid w:val="001878C0"/>
    <w:rsid w:val="00187E56"/>
    <w:rsid w:val="00190B94"/>
    <w:rsid w:val="001930D1"/>
    <w:rsid w:val="001942C5"/>
    <w:rsid w:val="00196437"/>
    <w:rsid w:val="001975AB"/>
    <w:rsid w:val="001A087B"/>
    <w:rsid w:val="001A16DE"/>
    <w:rsid w:val="001A233D"/>
    <w:rsid w:val="001A5D2D"/>
    <w:rsid w:val="001A73A2"/>
    <w:rsid w:val="001B096B"/>
    <w:rsid w:val="001B5B65"/>
    <w:rsid w:val="001B5F7A"/>
    <w:rsid w:val="001B6AFE"/>
    <w:rsid w:val="001B6E08"/>
    <w:rsid w:val="001C0F23"/>
    <w:rsid w:val="001C46A8"/>
    <w:rsid w:val="001C535A"/>
    <w:rsid w:val="001C6148"/>
    <w:rsid w:val="001D0693"/>
    <w:rsid w:val="001D0DD1"/>
    <w:rsid w:val="001D4D9A"/>
    <w:rsid w:val="001D51BD"/>
    <w:rsid w:val="001D6665"/>
    <w:rsid w:val="001D684B"/>
    <w:rsid w:val="001D6ADC"/>
    <w:rsid w:val="001D7E4B"/>
    <w:rsid w:val="001E1817"/>
    <w:rsid w:val="001E2777"/>
    <w:rsid w:val="001E2E5A"/>
    <w:rsid w:val="001E5F2E"/>
    <w:rsid w:val="001E6CAA"/>
    <w:rsid w:val="001E73FF"/>
    <w:rsid w:val="001E75A7"/>
    <w:rsid w:val="001F7A25"/>
    <w:rsid w:val="002013D1"/>
    <w:rsid w:val="0020195B"/>
    <w:rsid w:val="00202E6D"/>
    <w:rsid w:val="00202F4B"/>
    <w:rsid w:val="002036C8"/>
    <w:rsid w:val="002056F4"/>
    <w:rsid w:val="002100EE"/>
    <w:rsid w:val="00211A49"/>
    <w:rsid w:val="00213BD0"/>
    <w:rsid w:val="002147AC"/>
    <w:rsid w:val="00215BFE"/>
    <w:rsid w:val="00215EF3"/>
    <w:rsid w:val="00216825"/>
    <w:rsid w:val="0022060B"/>
    <w:rsid w:val="00220BB1"/>
    <w:rsid w:val="00221D15"/>
    <w:rsid w:val="00223A59"/>
    <w:rsid w:val="00223F1C"/>
    <w:rsid w:val="002245DE"/>
    <w:rsid w:val="00224904"/>
    <w:rsid w:val="00232878"/>
    <w:rsid w:val="0023318C"/>
    <w:rsid w:val="00234AE0"/>
    <w:rsid w:val="00235F82"/>
    <w:rsid w:val="00236689"/>
    <w:rsid w:val="00237C21"/>
    <w:rsid w:val="00237FAE"/>
    <w:rsid w:val="0024200E"/>
    <w:rsid w:val="0024221D"/>
    <w:rsid w:val="002426C3"/>
    <w:rsid w:val="002450AA"/>
    <w:rsid w:val="002456AD"/>
    <w:rsid w:val="00245F7B"/>
    <w:rsid w:val="002478B9"/>
    <w:rsid w:val="00251273"/>
    <w:rsid w:val="00251BED"/>
    <w:rsid w:val="00252A2A"/>
    <w:rsid w:val="00252AA5"/>
    <w:rsid w:val="00253ADA"/>
    <w:rsid w:val="00254615"/>
    <w:rsid w:val="00255360"/>
    <w:rsid w:val="00256A12"/>
    <w:rsid w:val="00256CEA"/>
    <w:rsid w:val="002571B4"/>
    <w:rsid w:val="00260758"/>
    <w:rsid w:val="00260D58"/>
    <w:rsid w:val="0026477F"/>
    <w:rsid w:val="00264D08"/>
    <w:rsid w:val="00264F10"/>
    <w:rsid w:val="0026510B"/>
    <w:rsid w:val="002659BA"/>
    <w:rsid w:val="0026729F"/>
    <w:rsid w:val="00270E2F"/>
    <w:rsid w:val="00271154"/>
    <w:rsid w:val="00271655"/>
    <w:rsid w:val="0027569C"/>
    <w:rsid w:val="002805F1"/>
    <w:rsid w:val="00282C4C"/>
    <w:rsid w:val="00286EB4"/>
    <w:rsid w:val="002874A2"/>
    <w:rsid w:val="002921E2"/>
    <w:rsid w:val="00295591"/>
    <w:rsid w:val="0029566D"/>
    <w:rsid w:val="00295F4B"/>
    <w:rsid w:val="002A00AC"/>
    <w:rsid w:val="002A00E8"/>
    <w:rsid w:val="002A0792"/>
    <w:rsid w:val="002A1D5F"/>
    <w:rsid w:val="002A2E6C"/>
    <w:rsid w:val="002B070A"/>
    <w:rsid w:val="002B0F20"/>
    <w:rsid w:val="002B14B7"/>
    <w:rsid w:val="002B297F"/>
    <w:rsid w:val="002B38A8"/>
    <w:rsid w:val="002B5300"/>
    <w:rsid w:val="002B5E9F"/>
    <w:rsid w:val="002B5F5B"/>
    <w:rsid w:val="002B6BA0"/>
    <w:rsid w:val="002C05FF"/>
    <w:rsid w:val="002C19EA"/>
    <w:rsid w:val="002C3EA5"/>
    <w:rsid w:val="002C480F"/>
    <w:rsid w:val="002C56C9"/>
    <w:rsid w:val="002C7487"/>
    <w:rsid w:val="002D1923"/>
    <w:rsid w:val="002D48D1"/>
    <w:rsid w:val="002D5B56"/>
    <w:rsid w:val="002D6612"/>
    <w:rsid w:val="002D7650"/>
    <w:rsid w:val="002D7F74"/>
    <w:rsid w:val="002E09B1"/>
    <w:rsid w:val="002E0A60"/>
    <w:rsid w:val="002E3394"/>
    <w:rsid w:val="002E4277"/>
    <w:rsid w:val="002E5303"/>
    <w:rsid w:val="002E6626"/>
    <w:rsid w:val="002E72FA"/>
    <w:rsid w:val="002E7DFF"/>
    <w:rsid w:val="002F0BE9"/>
    <w:rsid w:val="002F0E1D"/>
    <w:rsid w:val="002F13A0"/>
    <w:rsid w:val="002F1634"/>
    <w:rsid w:val="002F1848"/>
    <w:rsid w:val="002F1D70"/>
    <w:rsid w:val="002F22FA"/>
    <w:rsid w:val="002F5374"/>
    <w:rsid w:val="002F73BA"/>
    <w:rsid w:val="003005B3"/>
    <w:rsid w:val="0030165B"/>
    <w:rsid w:val="00302340"/>
    <w:rsid w:val="00303C9C"/>
    <w:rsid w:val="00305A67"/>
    <w:rsid w:val="00306B80"/>
    <w:rsid w:val="00307038"/>
    <w:rsid w:val="003129B0"/>
    <w:rsid w:val="00313238"/>
    <w:rsid w:val="003132BE"/>
    <w:rsid w:val="00320577"/>
    <w:rsid w:val="00320FCE"/>
    <w:rsid w:val="0032266D"/>
    <w:rsid w:val="00325E2F"/>
    <w:rsid w:val="003265DB"/>
    <w:rsid w:val="003269A9"/>
    <w:rsid w:val="00327DF9"/>
    <w:rsid w:val="0033073E"/>
    <w:rsid w:val="00331533"/>
    <w:rsid w:val="0033240F"/>
    <w:rsid w:val="00333875"/>
    <w:rsid w:val="0033604C"/>
    <w:rsid w:val="0034001F"/>
    <w:rsid w:val="003407F0"/>
    <w:rsid w:val="00342B5C"/>
    <w:rsid w:val="00343C28"/>
    <w:rsid w:val="00344A3D"/>
    <w:rsid w:val="00344A41"/>
    <w:rsid w:val="0034575E"/>
    <w:rsid w:val="00345C65"/>
    <w:rsid w:val="00350CC2"/>
    <w:rsid w:val="00351206"/>
    <w:rsid w:val="0035203F"/>
    <w:rsid w:val="003528A1"/>
    <w:rsid w:val="00352A72"/>
    <w:rsid w:val="0035371B"/>
    <w:rsid w:val="00353FEB"/>
    <w:rsid w:val="00356987"/>
    <w:rsid w:val="00356FB0"/>
    <w:rsid w:val="00360429"/>
    <w:rsid w:val="00361DA5"/>
    <w:rsid w:val="00361F1D"/>
    <w:rsid w:val="00364392"/>
    <w:rsid w:val="00365E61"/>
    <w:rsid w:val="00365EFF"/>
    <w:rsid w:val="00365F51"/>
    <w:rsid w:val="00373E05"/>
    <w:rsid w:val="00375692"/>
    <w:rsid w:val="00375DB6"/>
    <w:rsid w:val="0038012F"/>
    <w:rsid w:val="00380BAB"/>
    <w:rsid w:val="00381783"/>
    <w:rsid w:val="00381A0E"/>
    <w:rsid w:val="0038751C"/>
    <w:rsid w:val="0038778B"/>
    <w:rsid w:val="00394451"/>
    <w:rsid w:val="0039584A"/>
    <w:rsid w:val="0039625A"/>
    <w:rsid w:val="00396E93"/>
    <w:rsid w:val="003A18B4"/>
    <w:rsid w:val="003A4828"/>
    <w:rsid w:val="003A64CB"/>
    <w:rsid w:val="003A6622"/>
    <w:rsid w:val="003A673F"/>
    <w:rsid w:val="003B145D"/>
    <w:rsid w:val="003B1A1F"/>
    <w:rsid w:val="003B4678"/>
    <w:rsid w:val="003B4F77"/>
    <w:rsid w:val="003B502C"/>
    <w:rsid w:val="003B5992"/>
    <w:rsid w:val="003C0E8B"/>
    <w:rsid w:val="003C6B35"/>
    <w:rsid w:val="003C7C21"/>
    <w:rsid w:val="003D0632"/>
    <w:rsid w:val="003D650C"/>
    <w:rsid w:val="003D6713"/>
    <w:rsid w:val="003D6E90"/>
    <w:rsid w:val="003D7C37"/>
    <w:rsid w:val="003E110D"/>
    <w:rsid w:val="003E1B24"/>
    <w:rsid w:val="003E297C"/>
    <w:rsid w:val="003E3529"/>
    <w:rsid w:val="003E3D02"/>
    <w:rsid w:val="003E3E6A"/>
    <w:rsid w:val="003E55BC"/>
    <w:rsid w:val="003E58B9"/>
    <w:rsid w:val="003E5D10"/>
    <w:rsid w:val="003E6EAF"/>
    <w:rsid w:val="003F0088"/>
    <w:rsid w:val="003F03C6"/>
    <w:rsid w:val="003F2DDE"/>
    <w:rsid w:val="003F314F"/>
    <w:rsid w:val="003F4721"/>
    <w:rsid w:val="003F5060"/>
    <w:rsid w:val="003F5829"/>
    <w:rsid w:val="003F63DA"/>
    <w:rsid w:val="003F677C"/>
    <w:rsid w:val="003F7090"/>
    <w:rsid w:val="00401EE0"/>
    <w:rsid w:val="004043AD"/>
    <w:rsid w:val="00405A6A"/>
    <w:rsid w:val="00406D2C"/>
    <w:rsid w:val="0041120A"/>
    <w:rsid w:val="00411935"/>
    <w:rsid w:val="0041337A"/>
    <w:rsid w:val="00416A72"/>
    <w:rsid w:val="00420AE1"/>
    <w:rsid w:val="00424D0F"/>
    <w:rsid w:val="0042728A"/>
    <w:rsid w:val="004276DC"/>
    <w:rsid w:val="0042779B"/>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68CE"/>
    <w:rsid w:val="00457317"/>
    <w:rsid w:val="004611E1"/>
    <w:rsid w:val="0046165B"/>
    <w:rsid w:val="00462460"/>
    <w:rsid w:val="004624E9"/>
    <w:rsid w:val="00462A13"/>
    <w:rsid w:val="00462F2A"/>
    <w:rsid w:val="00463986"/>
    <w:rsid w:val="00463AC5"/>
    <w:rsid w:val="00463BA8"/>
    <w:rsid w:val="004641AA"/>
    <w:rsid w:val="00464835"/>
    <w:rsid w:val="004654D3"/>
    <w:rsid w:val="00470218"/>
    <w:rsid w:val="00471B9D"/>
    <w:rsid w:val="0047206A"/>
    <w:rsid w:val="00474978"/>
    <w:rsid w:val="0047499A"/>
    <w:rsid w:val="00474C78"/>
    <w:rsid w:val="00475AAE"/>
    <w:rsid w:val="00480934"/>
    <w:rsid w:val="0048130C"/>
    <w:rsid w:val="00482FA5"/>
    <w:rsid w:val="00484E6E"/>
    <w:rsid w:val="00485819"/>
    <w:rsid w:val="00487D31"/>
    <w:rsid w:val="00490000"/>
    <w:rsid w:val="00491F60"/>
    <w:rsid w:val="00492026"/>
    <w:rsid w:val="004920C5"/>
    <w:rsid w:val="004927D6"/>
    <w:rsid w:val="00492E16"/>
    <w:rsid w:val="004949D1"/>
    <w:rsid w:val="00494AE3"/>
    <w:rsid w:val="00494C04"/>
    <w:rsid w:val="0049557F"/>
    <w:rsid w:val="004960DE"/>
    <w:rsid w:val="004965C3"/>
    <w:rsid w:val="00497639"/>
    <w:rsid w:val="004A0574"/>
    <w:rsid w:val="004A0A41"/>
    <w:rsid w:val="004A22CF"/>
    <w:rsid w:val="004A5804"/>
    <w:rsid w:val="004A794E"/>
    <w:rsid w:val="004B142E"/>
    <w:rsid w:val="004B1C0F"/>
    <w:rsid w:val="004B25CD"/>
    <w:rsid w:val="004B3D26"/>
    <w:rsid w:val="004B44C1"/>
    <w:rsid w:val="004B623F"/>
    <w:rsid w:val="004B6EA7"/>
    <w:rsid w:val="004C11DE"/>
    <w:rsid w:val="004C13DB"/>
    <w:rsid w:val="004D00EF"/>
    <w:rsid w:val="004D14AD"/>
    <w:rsid w:val="004D376C"/>
    <w:rsid w:val="004D3864"/>
    <w:rsid w:val="004D4CBA"/>
    <w:rsid w:val="004D58CD"/>
    <w:rsid w:val="004D5EEF"/>
    <w:rsid w:val="004D75B0"/>
    <w:rsid w:val="004D7DC5"/>
    <w:rsid w:val="004E109A"/>
    <w:rsid w:val="004E3B94"/>
    <w:rsid w:val="004E6410"/>
    <w:rsid w:val="004E7C93"/>
    <w:rsid w:val="004F3C8F"/>
    <w:rsid w:val="00500939"/>
    <w:rsid w:val="00501FC7"/>
    <w:rsid w:val="005025F4"/>
    <w:rsid w:val="00502AAF"/>
    <w:rsid w:val="005067E0"/>
    <w:rsid w:val="00510B62"/>
    <w:rsid w:val="00511F85"/>
    <w:rsid w:val="00516673"/>
    <w:rsid w:val="00517B69"/>
    <w:rsid w:val="00520368"/>
    <w:rsid w:val="00523227"/>
    <w:rsid w:val="00523246"/>
    <w:rsid w:val="005237FD"/>
    <w:rsid w:val="005246B4"/>
    <w:rsid w:val="005252F8"/>
    <w:rsid w:val="00525561"/>
    <w:rsid w:val="00525F8B"/>
    <w:rsid w:val="0052651B"/>
    <w:rsid w:val="00530F1E"/>
    <w:rsid w:val="00532F0D"/>
    <w:rsid w:val="00533C06"/>
    <w:rsid w:val="00533E30"/>
    <w:rsid w:val="0053401E"/>
    <w:rsid w:val="00535AAB"/>
    <w:rsid w:val="00540B8E"/>
    <w:rsid w:val="00542636"/>
    <w:rsid w:val="00543DF0"/>
    <w:rsid w:val="00544AB5"/>
    <w:rsid w:val="00546D89"/>
    <w:rsid w:val="00547AFC"/>
    <w:rsid w:val="0055022A"/>
    <w:rsid w:val="005503E5"/>
    <w:rsid w:val="005513B0"/>
    <w:rsid w:val="00551E3C"/>
    <w:rsid w:val="00556F73"/>
    <w:rsid w:val="005576BE"/>
    <w:rsid w:val="005603B3"/>
    <w:rsid w:val="00561787"/>
    <w:rsid w:val="0056193C"/>
    <w:rsid w:val="00561EF9"/>
    <w:rsid w:val="00564587"/>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70B"/>
    <w:rsid w:val="00590FA0"/>
    <w:rsid w:val="00593EFC"/>
    <w:rsid w:val="00594F73"/>
    <w:rsid w:val="0059537A"/>
    <w:rsid w:val="005957D1"/>
    <w:rsid w:val="00597215"/>
    <w:rsid w:val="005A0FD0"/>
    <w:rsid w:val="005A1468"/>
    <w:rsid w:val="005A4536"/>
    <w:rsid w:val="005A578C"/>
    <w:rsid w:val="005A5AF2"/>
    <w:rsid w:val="005A742F"/>
    <w:rsid w:val="005A7C78"/>
    <w:rsid w:val="005B0589"/>
    <w:rsid w:val="005B1A0A"/>
    <w:rsid w:val="005B4F6C"/>
    <w:rsid w:val="005B5AA9"/>
    <w:rsid w:val="005B7055"/>
    <w:rsid w:val="005B7D51"/>
    <w:rsid w:val="005C4763"/>
    <w:rsid w:val="005C4DB7"/>
    <w:rsid w:val="005C5144"/>
    <w:rsid w:val="005C5DC8"/>
    <w:rsid w:val="005C6564"/>
    <w:rsid w:val="005C661E"/>
    <w:rsid w:val="005C7258"/>
    <w:rsid w:val="005D1E9E"/>
    <w:rsid w:val="005D48C8"/>
    <w:rsid w:val="005D55A6"/>
    <w:rsid w:val="005D58CE"/>
    <w:rsid w:val="005D6DB4"/>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6CC"/>
    <w:rsid w:val="005F7DEC"/>
    <w:rsid w:val="005F7E35"/>
    <w:rsid w:val="006009F5"/>
    <w:rsid w:val="00600AA5"/>
    <w:rsid w:val="0060126D"/>
    <w:rsid w:val="0060146A"/>
    <w:rsid w:val="00601974"/>
    <w:rsid w:val="00601CE8"/>
    <w:rsid w:val="00602DA5"/>
    <w:rsid w:val="006045AF"/>
    <w:rsid w:val="00606B1E"/>
    <w:rsid w:val="00607152"/>
    <w:rsid w:val="006105E3"/>
    <w:rsid w:val="006115E2"/>
    <w:rsid w:val="006121F2"/>
    <w:rsid w:val="00613D08"/>
    <w:rsid w:val="0061491F"/>
    <w:rsid w:val="00615FC7"/>
    <w:rsid w:val="00620DEF"/>
    <w:rsid w:val="00621C33"/>
    <w:rsid w:val="0062204C"/>
    <w:rsid w:val="00623188"/>
    <w:rsid w:val="00626DD6"/>
    <w:rsid w:val="0062719D"/>
    <w:rsid w:val="00627FDF"/>
    <w:rsid w:val="00630296"/>
    <w:rsid w:val="006331E3"/>
    <w:rsid w:val="00633776"/>
    <w:rsid w:val="00633C62"/>
    <w:rsid w:val="006361F0"/>
    <w:rsid w:val="006372A4"/>
    <w:rsid w:val="006375ED"/>
    <w:rsid w:val="0064029E"/>
    <w:rsid w:val="00640861"/>
    <w:rsid w:val="00640A36"/>
    <w:rsid w:val="00640BDC"/>
    <w:rsid w:val="0064171C"/>
    <w:rsid w:val="00646004"/>
    <w:rsid w:val="00646AD1"/>
    <w:rsid w:val="006473BA"/>
    <w:rsid w:val="00650E4E"/>
    <w:rsid w:val="00654D9D"/>
    <w:rsid w:val="00654FCC"/>
    <w:rsid w:val="00660C02"/>
    <w:rsid w:val="0066104E"/>
    <w:rsid w:val="0066130F"/>
    <w:rsid w:val="0066184E"/>
    <w:rsid w:val="006637FF"/>
    <w:rsid w:val="006641F4"/>
    <w:rsid w:val="006645D9"/>
    <w:rsid w:val="00665EBC"/>
    <w:rsid w:val="00667637"/>
    <w:rsid w:val="00667BE8"/>
    <w:rsid w:val="0067150D"/>
    <w:rsid w:val="00673A29"/>
    <w:rsid w:val="00673AD9"/>
    <w:rsid w:val="00675371"/>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5488"/>
    <w:rsid w:val="00697D60"/>
    <w:rsid w:val="006A27BC"/>
    <w:rsid w:val="006A27D6"/>
    <w:rsid w:val="006A3A42"/>
    <w:rsid w:val="006A41B4"/>
    <w:rsid w:val="006A4A70"/>
    <w:rsid w:val="006A5FD7"/>
    <w:rsid w:val="006A62B0"/>
    <w:rsid w:val="006A681E"/>
    <w:rsid w:val="006B143E"/>
    <w:rsid w:val="006B30E3"/>
    <w:rsid w:val="006B4AF8"/>
    <w:rsid w:val="006B5E72"/>
    <w:rsid w:val="006B6205"/>
    <w:rsid w:val="006C058F"/>
    <w:rsid w:val="006C3252"/>
    <w:rsid w:val="006C7A04"/>
    <w:rsid w:val="006D158F"/>
    <w:rsid w:val="006D1B83"/>
    <w:rsid w:val="006D1BE7"/>
    <w:rsid w:val="006D3590"/>
    <w:rsid w:val="006D5C98"/>
    <w:rsid w:val="006D6FCC"/>
    <w:rsid w:val="006E0A9F"/>
    <w:rsid w:val="006E12D5"/>
    <w:rsid w:val="006E1EDC"/>
    <w:rsid w:val="006E26E8"/>
    <w:rsid w:val="006E4493"/>
    <w:rsid w:val="006E76B0"/>
    <w:rsid w:val="006F08D4"/>
    <w:rsid w:val="006F1E4D"/>
    <w:rsid w:val="006F3318"/>
    <w:rsid w:val="006F39CF"/>
    <w:rsid w:val="006F4894"/>
    <w:rsid w:val="006F58F5"/>
    <w:rsid w:val="006F676D"/>
    <w:rsid w:val="00700672"/>
    <w:rsid w:val="00701319"/>
    <w:rsid w:val="00701A95"/>
    <w:rsid w:val="0070237D"/>
    <w:rsid w:val="00702F7C"/>
    <w:rsid w:val="00706127"/>
    <w:rsid w:val="007077CD"/>
    <w:rsid w:val="00710EDD"/>
    <w:rsid w:val="00712A93"/>
    <w:rsid w:val="00714CF1"/>
    <w:rsid w:val="00715CEB"/>
    <w:rsid w:val="00717A58"/>
    <w:rsid w:val="00722924"/>
    <w:rsid w:val="00723D30"/>
    <w:rsid w:val="00723F1A"/>
    <w:rsid w:val="00726974"/>
    <w:rsid w:val="007306BB"/>
    <w:rsid w:val="007319AD"/>
    <w:rsid w:val="00732257"/>
    <w:rsid w:val="00736503"/>
    <w:rsid w:val="00740240"/>
    <w:rsid w:val="0074037C"/>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57E7C"/>
    <w:rsid w:val="007608F0"/>
    <w:rsid w:val="00762976"/>
    <w:rsid w:val="00766360"/>
    <w:rsid w:val="00766752"/>
    <w:rsid w:val="00766834"/>
    <w:rsid w:val="00766EC7"/>
    <w:rsid w:val="00767911"/>
    <w:rsid w:val="0077082D"/>
    <w:rsid w:val="0077181C"/>
    <w:rsid w:val="00771AF0"/>
    <w:rsid w:val="0077499E"/>
    <w:rsid w:val="0077508F"/>
    <w:rsid w:val="007752E2"/>
    <w:rsid w:val="00780406"/>
    <w:rsid w:val="00781F5F"/>
    <w:rsid w:val="00783479"/>
    <w:rsid w:val="00783696"/>
    <w:rsid w:val="00783D3E"/>
    <w:rsid w:val="007849A7"/>
    <w:rsid w:val="00784B5D"/>
    <w:rsid w:val="00785DB0"/>
    <w:rsid w:val="00791384"/>
    <w:rsid w:val="00791D74"/>
    <w:rsid w:val="00791E5B"/>
    <w:rsid w:val="007931D7"/>
    <w:rsid w:val="00793B03"/>
    <w:rsid w:val="007949B4"/>
    <w:rsid w:val="0079708B"/>
    <w:rsid w:val="0079779E"/>
    <w:rsid w:val="007A3F8C"/>
    <w:rsid w:val="007A6DC9"/>
    <w:rsid w:val="007A71B5"/>
    <w:rsid w:val="007A797E"/>
    <w:rsid w:val="007B1216"/>
    <w:rsid w:val="007B255F"/>
    <w:rsid w:val="007B55C5"/>
    <w:rsid w:val="007C0579"/>
    <w:rsid w:val="007C0E7E"/>
    <w:rsid w:val="007C10CC"/>
    <w:rsid w:val="007C220C"/>
    <w:rsid w:val="007C250E"/>
    <w:rsid w:val="007C2CD7"/>
    <w:rsid w:val="007C4826"/>
    <w:rsid w:val="007D009C"/>
    <w:rsid w:val="007D2162"/>
    <w:rsid w:val="007D369F"/>
    <w:rsid w:val="007D5A53"/>
    <w:rsid w:val="007D62D9"/>
    <w:rsid w:val="007D6A5B"/>
    <w:rsid w:val="007D73C9"/>
    <w:rsid w:val="007D79DF"/>
    <w:rsid w:val="007E04AB"/>
    <w:rsid w:val="007E1FB4"/>
    <w:rsid w:val="007E28C1"/>
    <w:rsid w:val="007E786E"/>
    <w:rsid w:val="007F0840"/>
    <w:rsid w:val="007F2086"/>
    <w:rsid w:val="007F67A7"/>
    <w:rsid w:val="007F6F0A"/>
    <w:rsid w:val="00800773"/>
    <w:rsid w:val="00801004"/>
    <w:rsid w:val="0080111C"/>
    <w:rsid w:val="00801DAE"/>
    <w:rsid w:val="00801EFD"/>
    <w:rsid w:val="008058BC"/>
    <w:rsid w:val="00806D7C"/>
    <w:rsid w:val="00807854"/>
    <w:rsid w:val="00811012"/>
    <w:rsid w:val="00811A90"/>
    <w:rsid w:val="00813846"/>
    <w:rsid w:val="00814325"/>
    <w:rsid w:val="00815C4F"/>
    <w:rsid w:val="008161C2"/>
    <w:rsid w:val="00816942"/>
    <w:rsid w:val="00816D1F"/>
    <w:rsid w:val="0081738B"/>
    <w:rsid w:val="0082026A"/>
    <w:rsid w:val="008219BA"/>
    <w:rsid w:val="00824136"/>
    <w:rsid w:val="00825736"/>
    <w:rsid w:val="00826075"/>
    <w:rsid w:val="008267CA"/>
    <w:rsid w:val="00826A19"/>
    <w:rsid w:val="008312D4"/>
    <w:rsid w:val="008317C8"/>
    <w:rsid w:val="00831915"/>
    <w:rsid w:val="0083209C"/>
    <w:rsid w:val="0083305B"/>
    <w:rsid w:val="00834578"/>
    <w:rsid w:val="0083648B"/>
    <w:rsid w:val="00836500"/>
    <w:rsid w:val="00841EAB"/>
    <w:rsid w:val="00844977"/>
    <w:rsid w:val="00844B97"/>
    <w:rsid w:val="00845BB4"/>
    <w:rsid w:val="008464F9"/>
    <w:rsid w:val="00847302"/>
    <w:rsid w:val="00847BF3"/>
    <w:rsid w:val="00852A15"/>
    <w:rsid w:val="00853D0B"/>
    <w:rsid w:val="00854B16"/>
    <w:rsid w:val="00854BCA"/>
    <w:rsid w:val="00855A43"/>
    <w:rsid w:val="008561BF"/>
    <w:rsid w:val="00861E25"/>
    <w:rsid w:val="008633B6"/>
    <w:rsid w:val="0086402F"/>
    <w:rsid w:val="00866481"/>
    <w:rsid w:val="00867F35"/>
    <w:rsid w:val="0087076A"/>
    <w:rsid w:val="00870853"/>
    <w:rsid w:val="00870B9F"/>
    <w:rsid w:val="008731E4"/>
    <w:rsid w:val="008745D6"/>
    <w:rsid w:val="00874DCA"/>
    <w:rsid w:val="00875D64"/>
    <w:rsid w:val="00875E32"/>
    <w:rsid w:val="0087668E"/>
    <w:rsid w:val="008800F4"/>
    <w:rsid w:val="0088277A"/>
    <w:rsid w:val="0088297B"/>
    <w:rsid w:val="00885D7C"/>
    <w:rsid w:val="0088762D"/>
    <w:rsid w:val="00890235"/>
    <w:rsid w:val="00890563"/>
    <w:rsid w:val="00890A70"/>
    <w:rsid w:val="00890DDC"/>
    <w:rsid w:val="00890F9C"/>
    <w:rsid w:val="00892559"/>
    <w:rsid w:val="008928B6"/>
    <w:rsid w:val="00894CA0"/>
    <w:rsid w:val="00895461"/>
    <w:rsid w:val="008957B1"/>
    <w:rsid w:val="00895B3E"/>
    <w:rsid w:val="00896190"/>
    <w:rsid w:val="00897C5E"/>
    <w:rsid w:val="008A1517"/>
    <w:rsid w:val="008A2307"/>
    <w:rsid w:val="008A2B8F"/>
    <w:rsid w:val="008A2BB7"/>
    <w:rsid w:val="008A4000"/>
    <w:rsid w:val="008A4A65"/>
    <w:rsid w:val="008A6621"/>
    <w:rsid w:val="008A679F"/>
    <w:rsid w:val="008A70A5"/>
    <w:rsid w:val="008B178D"/>
    <w:rsid w:val="008B201B"/>
    <w:rsid w:val="008B2D64"/>
    <w:rsid w:val="008B368E"/>
    <w:rsid w:val="008B38A4"/>
    <w:rsid w:val="008B38EE"/>
    <w:rsid w:val="008B4F2F"/>
    <w:rsid w:val="008B55B4"/>
    <w:rsid w:val="008B6A00"/>
    <w:rsid w:val="008C0269"/>
    <w:rsid w:val="008C076F"/>
    <w:rsid w:val="008C257C"/>
    <w:rsid w:val="008C26E1"/>
    <w:rsid w:val="008D0FDE"/>
    <w:rsid w:val="008D1051"/>
    <w:rsid w:val="008D22BE"/>
    <w:rsid w:val="008D321B"/>
    <w:rsid w:val="008D48D6"/>
    <w:rsid w:val="008D7542"/>
    <w:rsid w:val="008D7F7C"/>
    <w:rsid w:val="008E0835"/>
    <w:rsid w:val="008E16ED"/>
    <w:rsid w:val="008E280E"/>
    <w:rsid w:val="008E2BA7"/>
    <w:rsid w:val="008E5642"/>
    <w:rsid w:val="008E5CC2"/>
    <w:rsid w:val="008E7B35"/>
    <w:rsid w:val="008F2E20"/>
    <w:rsid w:val="00900BC5"/>
    <w:rsid w:val="00901036"/>
    <w:rsid w:val="00903BED"/>
    <w:rsid w:val="00904136"/>
    <w:rsid w:val="00904309"/>
    <w:rsid w:val="0090479F"/>
    <w:rsid w:val="00904BFC"/>
    <w:rsid w:val="00906692"/>
    <w:rsid w:val="00906853"/>
    <w:rsid w:val="00906CF8"/>
    <w:rsid w:val="009073CB"/>
    <w:rsid w:val="0090752A"/>
    <w:rsid w:val="00910805"/>
    <w:rsid w:val="00911A42"/>
    <w:rsid w:val="00912D60"/>
    <w:rsid w:val="009140A2"/>
    <w:rsid w:val="009141D0"/>
    <w:rsid w:val="00920480"/>
    <w:rsid w:val="00920D01"/>
    <w:rsid w:val="00920E07"/>
    <w:rsid w:val="00923B20"/>
    <w:rsid w:val="009263DF"/>
    <w:rsid w:val="00926BD2"/>
    <w:rsid w:val="00926E84"/>
    <w:rsid w:val="00927338"/>
    <w:rsid w:val="0093018E"/>
    <w:rsid w:val="0093167C"/>
    <w:rsid w:val="0093208B"/>
    <w:rsid w:val="00932A3A"/>
    <w:rsid w:val="00934143"/>
    <w:rsid w:val="00934679"/>
    <w:rsid w:val="00935444"/>
    <w:rsid w:val="009378F0"/>
    <w:rsid w:val="00942696"/>
    <w:rsid w:val="00942EB6"/>
    <w:rsid w:val="0094307C"/>
    <w:rsid w:val="00944802"/>
    <w:rsid w:val="009470DD"/>
    <w:rsid w:val="009518D9"/>
    <w:rsid w:val="0095236F"/>
    <w:rsid w:val="00952404"/>
    <w:rsid w:val="00953350"/>
    <w:rsid w:val="00955BDA"/>
    <w:rsid w:val="0096328F"/>
    <w:rsid w:val="00965F52"/>
    <w:rsid w:val="0096737A"/>
    <w:rsid w:val="009674C6"/>
    <w:rsid w:val="0097392A"/>
    <w:rsid w:val="009749C0"/>
    <w:rsid w:val="00977C0A"/>
    <w:rsid w:val="00982FF8"/>
    <w:rsid w:val="00984E8B"/>
    <w:rsid w:val="0098512F"/>
    <w:rsid w:val="0098550A"/>
    <w:rsid w:val="00985728"/>
    <w:rsid w:val="009857DD"/>
    <w:rsid w:val="009859AB"/>
    <w:rsid w:val="00987A4E"/>
    <w:rsid w:val="009907A9"/>
    <w:rsid w:val="00993DE4"/>
    <w:rsid w:val="00993F38"/>
    <w:rsid w:val="00994A4B"/>
    <w:rsid w:val="00996D25"/>
    <w:rsid w:val="009972A6"/>
    <w:rsid w:val="009A043C"/>
    <w:rsid w:val="009A12ED"/>
    <w:rsid w:val="009A201F"/>
    <w:rsid w:val="009A62FC"/>
    <w:rsid w:val="009A6989"/>
    <w:rsid w:val="009A6DA7"/>
    <w:rsid w:val="009A72EB"/>
    <w:rsid w:val="009B105E"/>
    <w:rsid w:val="009B2B4E"/>
    <w:rsid w:val="009B396E"/>
    <w:rsid w:val="009B39A2"/>
    <w:rsid w:val="009B3B97"/>
    <w:rsid w:val="009B49F3"/>
    <w:rsid w:val="009B4E5D"/>
    <w:rsid w:val="009B567A"/>
    <w:rsid w:val="009C29C5"/>
    <w:rsid w:val="009C5C75"/>
    <w:rsid w:val="009D1C23"/>
    <w:rsid w:val="009D2A29"/>
    <w:rsid w:val="009D4CEE"/>
    <w:rsid w:val="009D59DE"/>
    <w:rsid w:val="009E1362"/>
    <w:rsid w:val="009E1848"/>
    <w:rsid w:val="009E1BC1"/>
    <w:rsid w:val="009E1F6B"/>
    <w:rsid w:val="009E3502"/>
    <w:rsid w:val="009E3E77"/>
    <w:rsid w:val="009E4DF2"/>
    <w:rsid w:val="009E6D60"/>
    <w:rsid w:val="009F12F3"/>
    <w:rsid w:val="009F1918"/>
    <w:rsid w:val="009F2D0A"/>
    <w:rsid w:val="009F3962"/>
    <w:rsid w:val="009F6ED7"/>
    <w:rsid w:val="009F7401"/>
    <w:rsid w:val="009F78F2"/>
    <w:rsid w:val="00A01C9B"/>
    <w:rsid w:val="00A0576E"/>
    <w:rsid w:val="00A065F5"/>
    <w:rsid w:val="00A10857"/>
    <w:rsid w:val="00A1221A"/>
    <w:rsid w:val="00A1269B"/>
    <w:rsid w:val="00A130F9"/>
    <w:rsid w:val="00A13B17"/>
    <w:rsid w:val="00A1585F"/>
    <w:rsid w:val="00A16000"/>
    <w:rsid w:val="00A16398"/>
    <w:rsid w:val="00A20EBA"/>
    <w:rsid w:val="00A20F2F"/>
    <w:rsid w:val="00A211A3"/>
    <w:rsid w:val="00A21641"/>
    <w:rsid w:val="00A2357E"/>
    <w:rsid w:val="00A24629"/>
    <w:rsid w:val="00A25A27"/>
    <w:rsid w:val="00A25FE9"/>
    <w:rsid w:val="00A27485"/>
    <w:rsid w:val="00A30038"/>
    <w:rsid w:val="00A309E8"/>
    <w:rsid w:val="00A3514D"/>
    <w:rsid w:val="00A35318"/>
    <w:rsid w:val="00A40F98"/>
    <w:rsid w:val="00A41EF2"/>
    <w:rsid w:val="00A42619"/>
    <w:rsid w:val="00A4267D"/>
    <w:rsid w:val="00A427B2"/>
    <w:rsid w:val="00A43DEB"/>
    <w:rsid w:val="00A44DDA"/>
    <w:rsid w:val="00A45BB5"/>
    <w:rsid w:val="00A47D62"/>
    <w:rsid w:val="00A53CDD"/>
    <w:rsid w:val="00A53EE6"/>
    <w:rsid w:val="00A5538A"/>
    <w:rsid w:val="00A564AE"/>
    <w:rsid w:val="00A57A4A"/>
    <w:rsid w:val="00A57C0E"/>
    <w:rsid w:val="00A60380"/>
    <w:rsid w:val="00A614EB"/>
    <w:rsid w:val="00A62886"/>
    <w:rsid w:val="00A6356E"/>
    <w:rsid w:val="00A63E79"/>
    <w:rsid w:val="00A6719E"/>
    <w:rsid w:val="00A672B2"/>
    <w:rsid w:val="00A74151"/>
    <w:rsid w:val="00A74C51"/>
    <w:rsid w:val="00A77682"/>
    <w:rsid w:val="00A80C19"/>
    <w:rsid w:val="00A83279"/>
    <w:rsid w:val="00A83750"/>
    <w:rsid w:val="00A84631"/>
    <w:rsid w:val="00A85417"/>
    <w:rsid w:val="00A86498"/>
    <w:rsid w:val="00A86A0A"/>
    <w:rsid w:val="00A9067C"/>
    <w:rsid w:val="00A90A24"/>
    <w:rsid w:val="00A90BD3"/>
    <w:rsid w:val="00A91402"/>
    <w:rsid w:val="00A92FBB"/>
    <w:rsid w:val="00A93C1C"/>
    <w:rsid w:val="00A96790"/>
    <w:rsid w:val="00A97543"/>
    <w:rsid w:val="00AA0DFE"/>
    <w:rsid w:val="00AA2502"/>
    <w:rsid w:val="00AA262E"/>
    <w:rsid w:val="00AA2AC5"/>
    <w:rsid w:val="00AA3174"/>
    <w:rsid w:val="00AA3A41"/>
    <w:rsid w:val="00AA5A48"/>
    <w:rsid w:val="00AA5AE9"/>
    <w:rsid w:val="00AA5DFA"/>
    <w:rsid w:val="00AA6276"/>
    <w:rsid w:val="00AA6D45"/>
    <w:rsid w:val="00AA7585"/>
    <w:rsid w:val="00AA7DED"/>
    <w:rsid w:val="00AB031D"/>
    <w:rsid w:val="00AB08A6"/>
    <w:rsid w:val="00AB18B3"/>
    <w:rsid w:val="00AB1A1E"/>
    <w:rsid w:val="00AB236C"/>
    <w:rsid w:val="00AB58AD"/>
    <w:rsid w:val="00AB79DB"/>
    <w:rsid w:val="00AC06B6"/>
    <w:rsid w:val="00AC1A7F"/>
    <w:rsid w:val="00AC45BA"/>
    <w:rsid w:val="00AC769F"/>
    <w:rsid w:val="00AC7830"/>
    <w:rsid w:val="00AD0466"/>
    <w:rsid w:val="00AD1557"/>
    <w:rsid w:val="00AD1CE8"/>
    <w:rsid w:val="00AD35F3"/>
    <w:rsid w:val="00AD44E9"/>
    <w:rsid w:val="00AD4CAC"/>
    <w:rsid w:val="00AD528F"/>
    <w:rsid w:val="00AD6760"/>
    <w:rsid w:val="00AD6EB3"/>
    <w:rsid w:val="00AD741D"/>
    <w:rsid w:val="00AD751D"/>
    <w:rsid w:val="00AD791C"/>
    <w:rsid w:val="00AE1C60"/>
    <w:rsid w:val="00AE20D0"/>
    <w:rsid w:val="00AE4F42"/>
    <w:rsid w:val="00AE728D"/>
    <w:rsid w:val="00AE7589"/>
    <w:rsid w:val="00AE798E"/>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104C5"/>
    <w:rsid w:val="00B10F47"/>
    <w:rsid w:val="00B1385B"/>
    <w:rsid w:val="00B13B1B"/>
    <w:rsid w:val="00B15DBF"/>
    <w:rsid w:val="00B165C9"/>
    <w:rsid w:val="00B17D70"/>
    <w:rsid w:val="00B22AD7"/>
    <w:rsid w:val="00B22D31"/>
    <w:rsid w:val="00B22E46"/>
    <w:rsid w:val="00B27853"/>
    <w:rsid w:val="00B30291"/>
    <w:rsid w:val="00B306F7"/>
    <w:rsid w:val="00B30BB8"/>
    <w:rsid w:val="00B30FE2"/>
    <w:rsid w:val="00B3272E"/>
    <w:rsid w:val="00B32C71"/>
    <w:rsid w:val="00B330C4"/>
    <w:rsid w:val="00B37580"/>
    <w:rsid w:val="00B377A2"/>
    <w:rsid w:val="00B4137A"/>
    <w:rsid w:val="00B442AC"/>
    <w:rsid w:val="00B50B77"/>
    <w:rsid w:val="00B51290"/>
    <w:rsid w:val="00B51769"/>
    <w:rsid w:val="00B52215"/>
    <w:rsid w:val="00B530CA"/>
    <w:rsid w:val="00B53AC4"/>
    <w:rsid w:val="00B54527"/>
    <w:rsid w:val="00B57638"/>
    <w:rsid w:val="00B57ADA"/>
    <w:rsid w:val="00B61EE9"/>
    <w:rsid w:val="00B6496C"/>
    <w:rsid w:val="00B65962"/>
    <w:rsid w:val="00B66B6C"/>
    <w:rsid w:val="00B66D0B"/>
    <w:rsid w:val="00B7033E"/>
    <w:rsid w:val="00B7071A"/>
    <w:rsid w:val="00B71858"/>
    <w:rsid w:val="00B71A39"/>
    <w:rsid w:val="00B721DC"/>
    <w:rsid w:val="00B74715"/>
    <w:rsid w:val="00B75EBA"/>
    <w:rsid w:val="00B7669D"/>
    <w:rsid w:val="00B766D9"/>
    <w:rsid w:val="00B76E03"/>
    <w:rsid w:val="00B80A28"/>
    <w:rsid w:val="00B82D73"/>
    <w:rsid w:val="00B84A2C"/>
    <w:rsid w:val="00B871D6"/>
    <w:rsid w:val="00B87A02"/>
    <w:rsid w:val="00B96204"/>
    <w:rsid w:val="00BA0DCC"/>
    <w:rsid w:val="00BA12A2"/>
    <w:rsid w:val="00BA1667"/>
    <w:rsid w:val="00BA16EF"/>
    <w:rsid w:val="00BA1737"/>
    <w:rsid w:val="00BA18D0"/>
    <w:rsid w:val="00BA242E"/>
    <w:rsid w:val="00BA2ABF"/>
    <w:rsid w:val="00BA3317"/>
    <w:rsid w:val="00BA5A9D"/>
    <w:rsid w:val="00BA6363"/>
    <w:rsid w:val="00BA79D0"/>
    <w:rsid w:val="00BB2571"/>
    <w:rsid w:val="00BB2D9C"/>
    <w:rsid w:val="00BB3512"/>
    <w:rsid w:val="00BB5D1E"/>
    <w:rsid w:val="00BB62CC"/>
    <w:rsid w:val="00BB7ED6"/>
    <w:rsid w:val="00BC137A"/>
    <w:rsid w:val="00BC4347"/>
    <w:rsid w:val="00BC45E0"/>
    <w:rsid w:val="00BC54B5"/>
    <w:rsid w:val="00BC5D9D"/>
    <w:rsid w:val="00BC60E1"/>
    <w:rsid w:val="00BC6803"/>
    <w:rsid w:val="00BC7BCB"/>
    <w:rsid w:val="00BD109B"/>
    <w:rsid w:val="00BD1101"/>
    <w:rsid w:val="00BD11A7"/>
    <w:rsid w:val="00BD2944"/>
    <w:rsid w:val="00BD2B5E"/>
    <w:rsid w:val="00BD3AFF"/>
    <w:rsid w:val="00BD42CB"/>
    <w:rsid w:val="00BD4E7A"/>
    <w:rsid w:val="00BD531B"/>
    <w:rsid w:val="00BE00E5"/>
    <w:rsid w:val="00BE2E5A"/>
    <w:rsid w:val="00BE3A10"/>
    <w:rsid w:val="00BE4A21"/>
    <w:rsid w:val="00BE5859"/>
    <w:rsid w:val="00BE717E"/>
    <w:rsid w:val="00BE7E27"/>
    <w:rsid w:val="00BF0B0C"/>
    <w:rsid w:val="00BF183C"/>
    <w:rsid w:val="00BF4C15"/>
    <w:rsid w:val="00C0277D"/>
    <w:rsid w:val="00C0782F"/>
    <w:rsid w:val="00C11F50"/>
    <w:rsid w:val="00C12603"/>
    <w:rsid w:val="00C12C7C"/>
    <w:rsid w:val="00C131FD"/>
    <w:rsid w:val="00C15322"/>
    <w:rsid w:val="00C16DA8"/>
    <w:rsid w:val="00C17352"/>
    <w:rsid w:val="00C2022B"/>
    <w:rsid w:val="00C21959"/>
    <w:rsid w:val="00C30A7D"/>
    <w:rsid w:val="00C31169"/>
    <w:rsid w:val="00C3169F"/>
    <w:rsid w:val="00C318F6"/>
    <w:rsid w:val="00C345A4"/>
    <w:rsid w:val="00C37522"/>
    <w:rsid w:val="00C422A4"/>
    <w:rsid w:val="00C42EFD"/>
    <w:rsid w:val="00C43D8B"/>
    <w:rsid w:val="00C44042"/>
    <w:rsid w:val="00C46AF0"/>
    <w:rsid w:val="00C52956"/>
    <w:rsid w:val="00C53AE1"/>
    <w:rsid w:val="00C53CAD"/>
    <w:rsid w:val="00C54893"/>
    <w:rsid w:val="00C560A1"/>
    <w:rsid w:val="00C56E9E"/>
    <w:rsid w:val="00C56EB6"/>
    <w:rsid w:val="00C571E2"/>
    <w:rsid w:val="00C63603"/>
    <w:rsid w:val="00C63FC8"/>
    <w:rsid w:val="00C64F57"/>
    <w:rsid w:val="00C65D21"/>
    <w:rsid w:val="00C66E11"/>
    <w:rsid w:val="00C6789D"/>
    <w:rsid w:val="00C70E5B"/>
    <w:rsid w:val="00C71848"/>
    <w:rsid w:val="00C71A97"/>
    <w:rsid w:val="00C72FFE"/>
    <w:rsid w:val="00C7314D"/>
    <w:rsid w:val="00C73FFD"/>
    <w:rsid w:val="00C74512"/>
    <w:rsid w:val="00C75071"/>
    <w:rsid w:val="00C76970"/>
    <w:rsid w:val="00C77540"/>
    <w:rsid w:val="00C84F07"/>
    <w:rsid w:val="00C851A6"/>
    <w:rsid w:val="00C855D4"/>
    <w:rsid w:val="00C87639"/>
    <w:rsid w:val="00C90685"/>
    <w:rsid w:val="00C9099A"/>
    <w:rsid w:val="00C91A6B"/>
    <w:rsid w:val="00C9240A"/>
    <w:rsid w:val="00C92CCF"/>
    <w:rsid w:val="00C93D5B"/>
    <w:rsid w:val="00C9442C"/>
    <w:rsid w:val="00C94657"/>
    <w:rsid w:val="00C9532C"/>
    <w:rsid w:val="00C95BCF"/>
    <w:rsid w:val="00C95D16"/>
    <w:rsid w:val="00C95DCF"/>
    <w:rsid w:val="00CA184E"/>
    <w:rsid w:val="00CA23C4"/>
    <w:rsid w:val="00CA575F"/>
    <w:rsid w:val="00CA5AEC"/>
    <w:rsid w:val="00CA6114"/>
    <w:rsid w:val="00CA704A"/>
    <w:rsid w:val="00CB0797"/>
    <w:rsid w:val="00CB1236"/>
    <w:rsid w:val="00CB1E54"/>
    <w:rsid w:val="00CB21FF"/>
    <w:rsid w:val="00CB5CAE"/>
    <w:rsid w:val="00CB621F"/>
    <w:rsid w:val="00CB644C"/>
    <w:rsid w:val="00CB78ED"/>
    <w:rsid w:val="00CC0004"/>
    <w:rsid w:val="00CC2202"/>
    <w:rsid w:val="00CC4E55"/>
    <w:rsid w:val="00CC550E"/>
    <w:rsid w:val="00CC5AC6"/>
    <w:rsid w:val="00CD0DCE"/>
    <w:rsid w:val="00CD1628"/>
    <w:rsid w:val="00CD1D27"/>
    <w:rsid w:val="00CD27B7"/>
    <w:rsid w:val="00CD3807"/>
    <w:rsid w:val="00CD3AE7"/>
    <w:rsid w:val="00CD3C10"/>
    <w:rsid w:val="00CD5194"/>
    <w:rsid w:val="00CD5981"/>
    <w:rsid w:val="00CD5D25"/>
    <w:rsid w:val="00CD79FA"/>
    <w:rsid w:val="00CE02E6"/>
    <w:rsid w:val="00CE10E6"/>
    <w:rsid w:val="00CE59A8"/>
    <w:rsid w:val="00CE657B"/>
    <w:rsid w:val="00CF0873"/>
    <w:rsid w:val="00CF237E"/>
    <w:rsid w:val="00CF3FB0"/>
    <w:rsid w:val="00CF515D"/>
    <w:rsid w:val="00CF53F5"/>
    <w:rsid w:val="00CF6B3F"/>
    <w:rsid w:val="00D002B4"/>
    <w:rsid w:val="00D0031B"/>
    <w:rsid w:val="00D01404"/>
    <w:rsid w:val="00D02C52"/>
    <w:rsid w:val="00D03845"/>
    <w:rsid w:val="00D03DCB"/>
    <w:rsid w:val="00D05257"/>
    <w:rsid w:val="00D054DF"/>
    <w:rsid w:val="00D057A5"/>
    <w:rsid w:val="00D05D1F"/>
    <w:rsid w:val="00D133B8"/>
    <w:rsid w:val="00D144D0"/>
    <w:rsid w:val="00D14FC0"/>
    <w:rsid w:val="00D163A3"/>
    <w:rsid w:val="00D1656D"/>
    <w:rsid w:val="00D167CC"/>
    <w:rsid w:val="00D16943"/>
    <w:rsid w:val="00D211AE"/>
    <w:rsid w:val="00D21662"/>
    <w:rsid w:val="00D235AE"/>
    <w:rsid w:val="00D23DE4"/>
    <w:rsid w:val="00D23F50"/>
    <w:rsid w:val="00D24867"/>
    <w:rsid w:val="00D318E3"/>
    <w:rsid w:val="00D323A7"/>
    <w:rsid w:val="00D346BF"/>
    <w:rsid w:val="00D34A4B"/>
    <w:rsid w:val="00D416EB"/>
    <w:rsid w:val="00D41B20"/>
    <w:rsid w:val="00D44615"/>
    <w:rsid w:val="00D45321"/>
    <w:rsid w:val="00D50324"/>
    <w:rsid w:val="00D5202B"/>
    <w:rsid w:val="00D551ED"/>
    <w:rsid w:val="00D55A28"/>
    <w:rsid w:val="00D5605F"/>
    <w:rsid w:val="00D57BC9"/>
    <w:rsid w:val="00D61FBD"/>
    <w:rsid w:val="00D62519"/>
    <w:rsid w:val="00D625AA"/>
    <w:rsid w:val="00D63CBD"/>
    <w:rsid w:val="00D6500C"/>
    <w:rsid w:val="00D66392"/>
    <w:rsid w:val="00D66959"/>
    <w:rsid w:val="00D66D9D"/>
    <w:rsid w:val="00D70A39"/>
    <w:rsid w:val="00D71A7E"/>
    <w:rsid w:val="00D74DB8"/>
    <w:rsid w:val="00D7643D"/>
    <w:rsid w:val="00D76671"/>
    <w:rsid w:val="00D76DE0"/>
    <w:rsid w:val="00D80DF0"/>
    <w:rsid w:val="00D83ED5"/>
    <w:rsid w:val="00D86043"/>
    <w:rsid w:val="00D870D4"/>
    <w:rsid w:val="00D90B97"/>
    <w:rsid w:val="00D9398E"/>
    <w:rsid w:val="00D9464E"/>
    <w:rsid w:val="00D954E0"/>
    <w:rsid w:val="00D97059"/>
    <w:rsid w:val="00D97A1D"/>
    <w:rsid w:val="00DA0181"/>
    <w:rsid w:val="00DA2411"/>
    <w:rsid w:val="00DA2C81"/>
    <w:rsid w:val="00DA65C4"/>
    <w:rsid w:val="00DA7899"/>
    <w:rsid w:val="00DB0923"/>
    <w:rsid w:val="00DB29CA"/>
    <w:rsid w:val="00DB30C8"/>
    <w:rsid w:val="00DB558E"/>
    <w:rsid w:val="00DB5F2B"/>
    <w:rsid w:val="00DB74AF"/>
    <w:rsid w:val="00DB7D79"/>
    <w:rsid w:val="00DC00E0"/>
    <w:rsid w:val="00DC1AB8"/>
    <w:rsid w:val="00DC5C19"/>
    <w:rsid w:val="00DC7068"/>
    <w:rsid w:val="00DD0411"/>
    <w:rsid w:val="00DD265A"/>
    <w:rsid w:val="00DD3A78"/>
    <w:rsid w:val="00DD6B9B"/>
    <w:rsid w:val="00DE07A1"/>
    <w:rsid w:val="00DE21A2"/>
    <w:rsid w:val="00DE2776"/>
    <w:rsid w:val="00DE3B11"/>
    <w:rsid w:val="00DE48E8"/>
    <w:rsid w:val="00DE7183"/>
    <w:rsid w:val="00DE79B1"/>
    <w:rsid w:val="00DF1DAC"/>
    <w:rsid w:val="00DF2165"/>
    <w:rsid w:val="00DF3666"/>
    <w:rsid w:val="00DF5A24"/>
    <w:rsid w:val="00DF60E6"/>
    <w:rsid w:val="00DF6105"/>
    <w:rsid w:val="00DF659E"/>
    <w:rsid w:val="00DF76E9"/>
    <w:rsid w:val="00E01524"/>
    <w:rsid w:val="00E05801"/>
    <w:rsid w:val="00E07C16"/>
    <w:rsid w:val="00E1021D"/>
    <w:rsid w:val="00E1428E"/>
    <w:rsid w:val="00E14900"/>
    <w:rsid w:val="00E218D3"/>
    <w:rsid w:val="00E22321"/>
    <w:rsid w:val="00E229ED"/>
    <w:rsid w:val="00E23091"/>
    <w:rsid w:val="00E2334F"/>
    <w:rsid w:val="00E23E21"/>
    <w:rsid w:val="00E245A0"/>
    <w:rsid w:val="00E25964"/>
    <w:rsid w:val="00E25E9F"/>
    <w:rsid w:val="00E2658F"/>
    <w:rsid w:val="00E27565"/>
    <w:rsid w:val="00E30DE6"/>
    <w:rsid w:val="00E31944"/>
    <w:rsid w:val="00E32395"/>
    <w:rsid w:val="00E3262F"/>
    <w:rsid w:val="00E32E0D"/>
    <w:rsid w:val="00E332E3"/>
    <w:rsid w:val="00E35435"/>
    <w:rsid w:val="00E37194"/>
    <w:rsid w:val="00E3788B"/>
    <w:rsid w:val="00E37F90"/>
    <w:rsid w:val="00E40C6A"/>
    <w:rsid w:val="00E410B7"/>
    <w:rsid w:val="00E43977"/>
    <w:rsid w:val="00E4415D"/>
    <w:rsid w:val="00E444BD"/>
    <w:rsid w:val="00E44AB1"/>
    <w:rsid w:val="00E44AB8"/>
    <w:rsid w:val="00E465C1"/>
    <w:rsid w:val="00E47BD8"/>
    <w:rsid w:val="00E50D3F"/>
    <w:rsid w:val="00E520BE"/>
    <w:rsid w:val="00E53AF0"/>
    <w:rsid w:val="00E5484A"/>
    <w:rsid w:val="00E54E17"/>
    <w:rsid w:val="00E56A7A"/>
    <w:rsid w:val="00E60419"/>
    <w:rsid w:val="00E60E01"/>
    <w:rsid w:val="00E61574"/>
    <w:rsid w:val="00E617D3"/>
    <w:rsid w:val="00E61E36"/>
    <w:rsid w:val="00E624C7"/>
    <w:rsid w:val="00E633C1"/>
    <w:rsid w:val="00E667B0"/>
    <w:rsid w:val="00E67390"/>
    <w:rsid w:val="00E71365"/>
    <w:rsid w:val="00E74904"/>
    <w:rsid w:val="00E770A4"/>
    <w:rsid w:val="00E7797D"/>
    <w:rsid w:val="00E8097A"/>
    <w:rsid w:val="00E81192"/>
    <w:rsid w:val="00E83B51"/>
    <w:rsid w:val="00E855CC"/>
    <w:rsid w:val="00E8626C"/>
    <w:rsid w:val="00E8663B"/>
    <w:rsid w:val="00E86BDE"/>
    <w:rsid w:val="00E8762F"/>
    <w:rsid w:val="00E90AB8"/>
    <w:rsid w:val="00E90C01"/>
    <w:rsid w:val="00E919D9"/>
    <w:rsid w:val="00E921C1"/>
    <w:rsid w:val="00E93C8B"/>
    <w:rsid w:val="00E93D8F"/>
    <w:rsid w:val="00E9531E"/>
    <w:rsid w:val="00E95A8E"/>
    <w:rsid w:val="00E95E41"/>
    <w:rsid w:val="00E95E4C"/>
    <w:rsid w:val="00E977CE"/>
    <w:rsid w:val="00E97E05"/>
    <w:rsid w:val="00EA1370"/>
    <w:rsid w:val="00EA2B95"/>
    <w:rsid w:val="00EA34E2"/>
    <w:rsid w:val="00EA52D1"/>
    <w:rsid w:val="00EA703E"/>
    <w:rsid w:val="00EA791F"/>
    <w:rsid w:val="00EB671F"/>
    <w:rsid w:val="00EB70E7"/>
    <w:rsid w:val="00EB76D6"/>
    <w:rsid w:val="00EC02E8"/>
    <w:rsid w:val="00EC1139"/>
    <w:rsid w:val="00EC3842"/>
    <w:rsid w:val="00EC4299"/>
    <w:rsid w:val="00EC4D4D"/>
    <w:rsid w:val="00EC5D5D"/>
    <w:rsid w:val="00EC7908"/>
    <w:rsid w:val="00EC7C2B"/>
    <w:rsid w:val="00ED1F02"/>
    <w:rsid w:val="00ED213D"/>
    <w:rsid w:val="00ED2C69"/>
    <w:rsid w:val="00EE15B5"/>
    <w:rsid w:val="00EE2087"/>
    <w:rsid w:val="00EE20A1"/>
    <w:rsid w:val="00EE74AF"/>
    <w:rsid w:val="00EF0053"/>
    <w:rsid w:val="00EF1F0E"/>
    <w:rsid w:val="00EF29F6"/>
    <w:rsid w:val="00EF4FBF"/>
    <w:rsid w:val="00EF518E"/>
    <w:rsid w:val="00EF5DF0"/>
    <w:rsid w:val="00EF5F2A"/>
    <w:rsid w:val="00EF69AE"/>
    <w:rsid w:val="00EF6E2C"/>
    <w:rsid w:val="00EF7106"/>
    <w:rsid w:val="00F001A6"/>
    <w:rsid w:val="00F00253"/>
    <w:rsid w:val="00F0070A"/>
    <w:rsid w:val="00F01660"/>
    <w:rsid w:val="00F01C16"/>
    <w:rsid w:val="00F0782D"/>
    <w:rsid w:val="00F10B74"/>
    <w:rsid w:val="00F11EB3"/>
    <w:rsid w:val="00F13F39"/>
    <w:rsid w:val="00F14B9B"/>
    <w:rsid w:val="00F14CCC"/>
    <w:rsid w:val="00F15D54"/>
    <w:rsid w:val="00F166A6"/>
    <w:rsid w:val="00F17988"/>
    <w:rsid w:val="00F20C09"/>
    <w:rsid w:val="00F217DF"/>
    <w:rsid w:val="00F21CAE"/>
    <w:rsid w:val="00F22AE0"/>
    <w:rsid w:val="00F234D8"/>
    <w:rsid w:val="00F2601A"/>
    <w:rsid w:val="00F26701"/>
    <w:rsid w:val="00F26B7D"/>
    <w:rsid w:val="00F30A04"/>
    <w:rsid w:val="00F310D7"/>
    <w:rsid w:val="00F368B9"/>
    <w:rsid w:val="00F3739F"/>
    <w:rsid w:val="00F374C1"/>
    <w:rsid w:val="00F37B34"/>
    <w:rsid w:val="00F41C34"/>
    <w:rsid w:val="00F4212F"/>
    <w:rsid w:val="00F447DB"/>
    <w:rsid w:val="00F447FA"/>
    <w:rsid w:val="00F469B9"/>
    <w:rsid w:val="00F46C32"/>
    <w:rsid w:val="00F46CAF"/>
    <w:rsid w:val="00F46ECB"/>
    <w:rsid w:val="00F50F94"/>
    <w:rsid w:val="00F525B5"/>
    <w:rsid w:val="00F53D53"/>
    <w:rsid w:val="00F543B9"/>
    <w:rsid w:val="00F56177"/>
    <w:rsid w:val="00F56187"/>
    <w:rsid w:val="00F575D3"/>
    <w:rsid w:val="00F5786C"/>
    <w:rsid w:val="00F6024E"/>
    <w:rsid w:val="00F62117"/>
    <w:rsid w:val="00F62365"/>
    <w:rsid w:val="00F630A7"/>
    <w:rsid w:val="00F66225"/>
    <w:rsid w:val="00F662BC"/>
    <w:rsid w:val="00F6708D"/>
    <w:rsid w:val="00F707F0"/>
    <w:rsid w:val="00F714FD"/>
    <w:rsid w:val="00F71AD5"/>
    <w:rsid w:val="00F729ED"/>
    <w:rsid w:val="00F733B8"/>
    <w:rsid w:val="00F74F50"/>
    <w:rsid w:val="00F75192"/>
    <w:rsid w:val="00F76AB7"/>
    <w:rsid w:val="00F77822"/>
    <w:rsid w:val="00F838B6"/>
    <w:rsid w:val="00F83B0D"/>
    <w:rsid w:val="00F83C31"/>
    <w:rsid w:val="00F85F05"/>
    <w:rsid w:val="00F86AD1"/>
    <w:rsid w:val="00F9222A"/>
    <w:rsid w:val="00F922EA"/>
    <w:rsid w:val="00F923CE"/>
    <w:rsid w:val="00F92927"/>
    <w:rsid w:val="00F949E0"/>
    <w:rsid w:val="00F94F0F"/>
    <w:rsid w:val="00F979B3"/>
    <w:rsid w:val="00F97CCD"/>
    <w:rsid w:val="00FA1DBE"/>
    <w:rsid w:val="00FA320D"/>
    <w:rsid w:val="00FA362B"/>
    <w:rsid w:val="00FA53E9"/>
    <w:rsid w:val="00FA60EC"/>
    <w:rsid w:val="00FB04E9"/>
    <w:rsid w:val="00FB1179"/>
    <w:rsid w:val="00FB1C6B"/>
    <w:rsid w:val="00FB3361"/>
    <w:rsid w:val="00FB42B4"/>
    <w:rsid w:val="00FB4841"/>
    <w:rsid w:val="00FB4B5E"/>
    <w:rsid w:val="00FB6C94"/>
    <w:rsid w:val="00FB7F8B"/>
    <w:rsid w:val="00FC00CC"/>
    <w:rsid w:val="00FC22F5"/>
    <w:rsid w:val="00FC3753"/>
    <w:rsid w:val="00FC5170"/>
    <w:rsid w:val="00FC5743"/>
    <w:rsid w:val="00FC6240"/>
    <w:rsid w:val="00FD118C"/>
    <w:rsid w:val="00FD2A7C"/>
    <w:rsid w:val="00FD332F"/>
    <w:rsid w:val="00FD3999"/>
    <w:rsid w:val="00FD7395"/>
    <w:rsid w:val="00FE1CC1"/>
    <w:rsid w:val="00FE3213"/>
    <w:rsid w:val="00FE385E"/>
    <w:rsid w:val="00FE3CE2"/>
    <w:rsid w:val="00FE54AD"/>
    <w:rsid w:val="00FE5633"/>
    <w:rsid w:val="00FE6F7A"/>
    <w:rsid w:val="00FE7B14"/>
    <w:rsid w:val="00FF02D5"/>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904228D"/>
  <w15:docId w15:val="{77CF59B9-70A9-4D2F-832B-290C52D58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table" w:styleId="Tabelacomgrade">
    <w:name w:val="Table Grid"/>
    <w:basedOn w:val="Tabelanormal"/>
    <w:uiPriority w:val="59"/>
    <w:rsid w:val="00A21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2-nfase11">
    <w:name w:val="Tabela de Grade 2 - Ênfase 11"/>
    <w:basedOn w:val="Tabelanormal"/>
    <w:uiPriority w:val="47"/>
    <w:rsid w:val="00A21641"/>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elaSimples11">
    <w:name w:val="Tabela Simples 11"/>
    <w:basedOn w:val="Tabelanormal"/>
    <w:uiPriority w:val="41"/>
    <w:rsid w:val="00801DA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imples21">
    <w:name w:val="Tabela Simples 21"/>
    <w:basedOn w:val="Tabelanormal"/>
    <w:uiPriority w:val="42"/>
    <w:rsid w:val="00801DA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mples31">
    <w:name w:val="Tabela Simples 31"/>
    <w:basedOn w:val="Tabelanormal"/>
    <w:uiPriority w:val="43"/>
    <w:rsid w:val="00801DA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801DA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deGrade6Colorida-nfase11">
    <w:name w:val="Tabela de Grade 6 Colorida - Ênfase 11"/>
    <w:basedOn w:val="Tabelanormal"/>
    <w:uiPriority w:val="51"/>
    <w:rsid w:val="00801DAE"/>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exto-normal-alinhado">
    <w:name w:val="texto-normal-alinhado"/>
    <w:basedOn w:val="Normal"/>
    <w:rsid w:val="00E855CC"/>
    <w:pPr>
      <w:spacing w:before="100" w:beforeAutospacing="1" w:after="100" w:afterAutospacing="1" w:line="240" w:lineRule="auto"/>
    </w:pPr>
    <w:rPr>
      <w:rFonts w:ascii="Times New Roman" w:eastAsia="Times New Roman" w:hAnsi="Times New Roman"/>
      <w:sz w:val="24"/>
      <w:szCs w:val="24"/>
      <w:lang w:eastAsia="pt-BR"/>
    </w:rPr>
  </w:style>
  <w:style w:type="table" w:styleId="SombreamentoClaro-nfase2">
    <w:name w:val="Light Shading Accent 2"/>
    <w:basedOn w:val="Tabelanormal"/>
    <w:uiPriority w:val="60"/>
    <w:rsid w:val="007A3F8C"/>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staClara-nfase2">
    <w:name w:val="Light List Accent 2"/>
    <w:basedOn w:val="Tabelanormal"/>
    <w:uiPriority w:val="61"/>
    <w:rsid w:val="00A85417"/>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UnresolvedMention">
    <w:name w:val="Unresolved Mention"/>
    <w:basedOn w:val="Fontepargpadro"/>
    <w:uiPriority w:val="99"/>
    <w:semiHidden/>
    <w:unhideWhenUsed/>
    <w:rsid w:val="000B51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8195903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58190570">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6307722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382442834">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11802555">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osai.org/" TargetMode="External"/><Relationship Id="rId13" Type="http://schemas.openxmlformats.org/officeDocument/2006/relationships/hyperlink" Target="http://www.pasai.org/" TargetMode="External"/><Relationship Id="rId18" Type="http://schemas.openxmlformats.org/officeDocument/2006/relationships/hyperlink" Target="https://www.tcontas.pt/pt-pt/ProdutosTC/Relatorios/RelatoriosAuditoria/Documents/2019/rel023-2019-2s.pdf" TargetMode="External"/><Relationship Id="rId26" Type="http://schemas.openxmlformats.org/officeDocument/2006/relationships/hyperlink" Target="http://www1.tce.pr.gov.br/conteudo/repercussao-geral-no-stf-e-os-tribunais-de-contas/307026/area/249"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asosai.org/asosai/" TargetMode="External"/><Relationship Id="rId17" Type="http://schemas.openxmlformats.org/officeDocument/2006/relationships/hyperlink" Target="https://www.tcontas.pt/pt-pt/MenuSecundario/Noticias/Pages/noticia-20191204-001.aspx" TargetMode="External"/><Relationship Id="rId25" Type="http://schemas.openxmlformats.org/officeDocument/2006/relationships/hyperlink" Target="http://www1.tce.pr.gov.br/conteudo/teses-ambientais/316603/area/249"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s://www.tcu.es/repositorio/26ce8165-476e-4022-b3c4-998a0fa65a88/I1335.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abosai.org/Ar/" TargetMode="External"/><Relationship Id="rId24" Type="http://schemas.openxmlformats.org/officeDocument/2006/relationships/hyperlink" Target="http://www1.tce.pr.gov.br/conteudo/pesquisas-prontas/308475/area/249"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urosai.org/en/about-us/about-eurosai/" TargetMode="External"/><Relationship Id="rId23" Type="http://schemas.openxmlformats.org/officeDocument/2006/relationships/hyperlink" Target="https://www.eurosai.org/export/sites/eurosai/.content/documents/materials/K18023_en.pdf" TargetMode="External"/><Relationship Id="rId28" Type="http://schemas.openxmlformats.org/officeDocument/2006/relationships/hyperlink" Target="http://www1.tce.pr.gov.br/conteudo/sumulas-selecionadas/316602/area/249" TargetMode="External"/><Relationship Id="rId10" Type="http://schemas.openxmlformats.org/officeDocument/2006/relationships/hyperlink" Target="http://www.afrosai.org/" TargetMode="External"/><Relationship Id="rId19" Type="http://schemas.openxmlformats.org/officeDocument/2006/relationships/image" Target="media/image2.jp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lacefs.com/" TargetMode="External"/><Relationship Id="rId14" Type="http://schemas.openxmlformats.org/officeDocument/2006/relationships/hyperlink" Target="http://carosai.org/" TargetMode="External"/><Relationship Id="rId22" Type="http://schemas.openxmlformats.org/officeDocument/2006/relationships/hyperlink" Target="https://www.eurosai.org/export/sites/eurosai/.content/documents/materials/K18023_en.pdf" TargetMode="External"/><Relationship Id="rId27" Type="http://schemas.openxmlformats.org/officeDocument/2006/relationships/hyperlink" Target="http://www1.tce.pr.gov.br/conteudo/boletim-informativo-de-jurisprudencia/280400/area/249"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76AE6-79C7-4B0E-9B7F-F137B3771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2640</Words>
  <Characters>14256</Characters>
  <Application>Microsoft Office Word</Application>
  <DocSecurity>4</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Mateus Aparecido Tonin Neves</cp:lastModifiedBy>
  <cp:revision>2</cp:revision>
  <cp:lastPrinted>2017-07-10T20:46:00Z</cp:lastPrinted>
  <dcterms:created xsi:type="dcterms:W3CDTF">2020-02-27T16:38:00Z</dcterms:created>
  <dcterms:modified xsi:type="dcterms:W3CDTF">2020-02-27T16:38:00Z</dcterms:modified>
</cp:coreProperties>
</file>