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17" w:rsidRPr="002E3E2A" w:rsidRDefault="00A85417" w:rsidP="002E3E2A">
      <w:pPr>
        <w:pStyle w:val="Cabealh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8012F" w:rsidRPr="002E3E2A" w:rsidRDefault="00AA5DFA" w:rsidP="002E3E2A">
      <w:pPr>
        <w:pStyle w:val="Cabealho"/>
        <w:spacing w:line="276" w:lineRule="auto"/>
        <w:jc w:val="center"/>
        <w:rPr>
          <w:rFonts w:ascii="Arial" w:hAnsi="Arial" w:cs="Arial"/>
          <w:color w:val="800000"/>
          <w:sz w:val="20"/>
          <w:szCs w:val="20"/>
        </w:rPr>
      </w:pPr>
      <w:r w:rsidRPr="002E3E2A">
        <w:rPr>
          <w:rFonts w:ascii="Arial" w:hAnsi="Arial" w:cs="Arial"/>
          <w:b/>
          <w:color w:val="800000"/>
          <w:sz w:val="20"/>
          <w:szCs w:val="20"/>
        </w:rPr>
        <w:t xml:space="preserve">BOLETIM DE JURISPRUDÊNCIA INTERNACIONAL </w:t>
      </w:r>
    </w:p>
    <w:p w:rsidR="00814325" w:rsidRPr="002E3E2A" w:rsidRDefault="00814325" w:rsidP="002E3E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A5DFA" w:rsidRPr="002E3E2A" w:rsidRDefault="001B5F7A" w:rsidP="002E3E2A">
      <w:pPr>
        <w:spacing w:after="0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2E3E2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Número </w:t>
      </w:r>
      <w:r w:rsidR="000D560C" w:rsidRPr="002E3E2A">
        <w:rPr>
          <w:rFonts w:ascii="Arial" w:hAnsi="Arial" w:cs="Arial"/>
          <w:b/>
          <w:color w:val="404040" w:themeColor="text1" w:themeTint="BF"/>
          <w:sz w:val="20"/>
          <w:szCs w:val="20"/>
        </w:rPr>
        <w:t>0</w:t>
      </w:r>
      <w:r w:rsidR="000F39A5" w:rsidRPr="002E3E2A">
        <w:rPr>
          <w:rFonts w:ascii="Arial" w:hAnsi="Arial" w:cs="Arial"/>
          <w:b/>
          <w:color w:val="404040" w:themeColor="text1" w:themeTint="BF"/>
          <w:sz w:val="20"/>
          <w:szCs w:val="20"/>
        </w:rPr>
        <w:t>9</w:t>
      </w:r>
    </w:p>
    <w:p w:rsidR="00DE79B1" w:rsidRPr="002E3E2A" w:rsidRDefault="00DE79B1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1404" w:rsidRPr="002E3E2A" w:rsidRDefault="00FE7B14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 xml:space="preserve">Este Boletim contém </w:t>
      </w:r>
      <w:r w:rsidR="00D01404" w:rsidRPr="002E3E2A">
        <w:rPr>
          <w:rFonts w:ascii="Arial" w:hAnsi="Arial" w:cs="Arial"/>
          <w:sz w:val="20"/>
          <w:szCs w:val="20"/>
        </w:rPr>
        <w:t>informações sintéticas de decisões proferidas pelas Entidades Fiscalizadoras regionais e respectivos Estados-membros filiados à</w:t>
      </w:r>
      <w:r w:rsidR="00D01404" w:rsidRPr="002E3E2A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D01404" w:rsidRPr="002E3E2A">
          <w:rPr>
            <w:rStyle w:val="Hyperlink"/>
            <w:rFonts w:ascii="Arial" w:hAnsi="Arial" w:cs="Arial"/>
            <w:b/>
            <w:sz w:val="20"/>
            <w:szCs w:val="20"/>
          </w:rPr>
          <w:t>INTOSAI</w:t>
        </w:r>
      </w:hyperlink>
      <w:r w:rsidR="00D01404" w:rsidRPr="002E3E2A">
        <w:rPr>
          <w:rFonts w:ascii="Arial" w:hAnsi="Arial" w:cs="Arial"/>
          <w:sz w:val="20"/>
          <w:szCs w:val="20"/>
        </w:rPr>
        <w:t xml:space="preserve"> </w:t>
      </w:r>
      <w:r w:rsidR="00D01404" w:rsidRPr="002E3E2A">
        <w:rPr>
          <w:rFonts w:ascii="Arial" w:hAnsi="Arial" w:cs="Arial"/>
          <w:i/>
          <w:sz w:val="20"/>
          <w:szCs w:val="20"/>
        </w:rPr>
        <w:t>(</w:t>
      </w:r>
      <w:proofErr w:type="spellStart"/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>The</w:t>
      </w:r>
      <w:proofErr w:type="spellEnd"/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>International</w:t>
      </w:r>
      <w:proofErr w:type="spellEnd"/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>Organiz</w:t>
      </w:r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ation</w:t>
      </w:r>
      <w:proofErr w:type="spellEnd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of</w:t>
      </w:r>
      <w:proofErr w:type="spellEnd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Supreme</w:t>
      </w:r>
      <w:proofErr w:type="spellEnd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Audit</w:t>
      </w:r>
      <w:proofErr w:type="spellEnd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Institutions</w:t>
      </w:r>
      <w:proofErr w:type="spellEnd"/>
      <w:r w:rsidR="00D01404" w:rsidRPr="002E3E2A">
        <w:rPr>
          <w:rFonts w:ascii="Arial" w:hAnsi="Arial" w:cs="Arial"/>
          <w:i/>
          <w:sz w:val="20"/>
          <w:szCs w:val="20"/>
        </w:rPr>
        <w:t>)</w:t>
      </w:r>
      <w:r w:rsidR="00D01404" w:rsidRPr="002E3E2A">
        <w:rPr>
          <w:rFonts w:ascii="Arial" w:hAnsi="Arial" w:cs="Arial"/>
          <w:sz w:val="20"/>
          <w:szCs w:val="20"/>
        </w:rPr>
        <w:t xml:space="preserve"> sobre temas relacionados ao controle externo evidenciando sobretudo boas práticas de gestão administrativa.</w:t>
      </w:r>
    </w:p>
    <w:p w:rsidR="00D01404" w:rsidRPr="002E3E2A" w:rsidRDefault="00D01404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95A8E" w:rsidRPr="002E3E2A" w:rsidRDefault="007D6A5B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>A seleção das decisões leva em consideração os aspectos</w:t>
      </w:r>
      <w:r w:rsidR="007E786E" w:rsidRPr="002E3E2A">
        <w:rPr>
          <w:rFonts w:ascii="Arial" w:hAnsi="Arial" w:cs="Arial"/>
          <w:sz w:val="20"/>
          <w:szCs w:val="20"/>
        </w:rPr>
        <w:t xml:space="preserve"> de auditoria financeira, de conformidade e de resultado, por eixo temático: meio ambiente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7E786E" w:rsidRPr="002E3E2A">
        <w:rPr>
          <w:rFonts w:ascii="Arial" w:hAnsi="Arial" w:cs="Arial"/>
          <w:sz w:val="20"/>
          <w:szCs w:val="20"/>
        </w:rPr>
        <w:t xml:space="preserve"> saúde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7E786E" w:rsidRPr="002E3E2A">
        <w:rPr>
          <w:rFonts w:ascii="Arial" w:hAnsi="Arial" w:cs="Arial"/>
          <w:sz w:val="20"/>
          <w:szCs w:val="20"/>
        </w:rPr>
        <w:t xml:space="preserve"> gestão pública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926E84" w:rsidRPr="002E3E2A">
        <w:rPr>
          <w:rFonts w:ascii="Arial" w:hAnsi="Arial" w:cs="Arial"/>
          <w:sz w:val="20"/>
          <w:szCs w:val="20"/>
        </w:rPr>
        <w:t xml:space="preserve"> finanças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926E84" w:rsidRPr="002E3E2A">
        <w:rPr>
          <w:rFonts w:ascii="Arial" w:hAnsi="Arial" w:cs="Arial"/>
          <w:sz w:val="20"/>
          <w:szCs w:val="20"/>
        </w:rPr>
        <w:t xml:space="preserve"> educação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926E84" w:rsidRPr="002E3E2A">
        <w:rPr>
          <w:rFonts w:ascii="Arial" w:hAnsi="Arial" w:cs="Arial"/>
          <w:sz w:val="20"/>
          <w:szCs w:val="20"/>
        </w:rPr>
        <w:t xml:space="preserve"> segurança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7E786E" w:rsidRPr="002E3E2A">
        <w:rPr>
          <w:rFonts w:ascii="Arial" w:hAnsi="Arial" w:cs="Arial"/>
          <w:sz w:val="20"/>
          <w:szCs w:val="20"/>
        </w:rPr>
        <w:t xml:space="preserve"> infraestrutura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7E786E" w:rsidRPr="002E3E2A">
        <w:rPr>
          <w:rFonts w:ascii="Arial" w:hAnsi="Arial" w:cs="Arial"/>
          <w:sz w:val="20"/>
          <w:szCs w:val="20"/>
        </w:rPr>
        <w:t xml:space="preserve"> transporte entre outros temas. O conteúdo será proveniente </w:t>
      </w:r>
      <w:r w:rsidR="00F923CE" w:rsidRPr="002E3E2A">
        <w:rPr>
          <w:rFonts w:ascii="Arial" w:hAnsi="Arial" w:cs="Arial"/>
          <w:sz w:val="20"/>
          <w:szCs w:val="20"/>
        </w:rPr>
        <w:t xml:space="preserve">de julgados e relatórios </w:t>
      </w:r>
      <w:r w:rsidR="007E786E" w:rsidRPr="002E3E2A">
        <w:rPr>
          <w:rFonts w:ascii="Arial" w:hAnsi="Arial" w:cs="Arial"/>
          <w:sz w:val="20"/>
          <w:szCs w:val="20"/>
        </w:rPr>
        <w:t>das entidades regionais de fiscalização e respectivos membros, a saber:</w:t>
      </w:r>
      <w:r w:rsidR="00AE798E" w:rsidRPr="002E3E2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SombreamentoClaro-nfase2"/>
        <w:tblW w:w="0" w:type="auto"/>
        <w:tblLook w:val="04A0"/>
      </w:tblPr>
      <w:tblGrid>
        <w:gridCol w:w="8494"/>
      </w:tblGrid>
      <w:tr w:rsidR="00A21641" w:rsidRPr="007143C3" w:rsidTr="007A3F8C">
        <w:trPr>
          <w:cnfStyle w:val="100000000000"/>
        </w:trPr>
        <w:tc>
          <w:tcPr>
            <w:cnfStyle w:val="001000000000"/>
            <w:tcW w:w="8494" w:type="dxa"/>
          </w:tcPr>
          <w:p w:rsidR="00A21641" w:rsidRPr="002E3E2A" w:rsidRDefault="0004014E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hyperlink r:id="rId9" w:history="1">
              <w:r w:rsidR="00A21641" w:rsidRPr="002E3E2A">
                <w:rPr>
                  <w:rStyle w:val="Hyperlink"/>
                  <w:rFonts w:ascii="Arial" w:hAnsi="Arial" w:cs="Arial"/>
                  <w:bCs w:val="0"/>
                  <w:sz w:val="20"/>
                  <w:szCs w:val="20"/>
                  <w:lang w:val="es-ES_tradnl"/>
                </w:rPr>
                <w:t>OLACEFS</w:t>
              </w:r>
            </w:hyperlink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(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Organization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of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Latin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American and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Caribbean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Supreme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Audit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Institutions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)</w:t>
            </w:r>
          </w:p>
          <w:p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21641" w:rsidRPr="007143C3" w:rsidTr="007A3F8C">
        <w:trPr>
          <w:cnfStyle w:val="000000100000"/>
        </w:trPr>
        <w:tc>
          <w:tcPr>
            <w:cnfStyle w:val="001000000000"/>
            <w:tcW w:w="8494" w:type="dxa"/>
          </w:tcPr>
          <w:p w:rsidR="00A21641" w:rsidRPr="002E3E2A" w:rsidRDefault="0004014E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fldChar w:fldCharType="begin"/>
            </w:r>
            <w:r w:rsidRPr="007143C3">
              <w:rPr>
                <w:lang w:val="en-US"/>
              </w:rPr>
              <w:instrText>HYPERLINK "http://www.afrosai.org/"</w:instrText>
            </w:r>
            <w:r>
              <w:fldChar w:fldCharType="separate"/>
            </w:r>
            <w:r w:rsidR="00A21641" w:rsidRPr="002E3E2A">
              <w:rPr>
                <w:rStyle w:val="Hyperlink"/>
                <w:rFonts w:ascii="Arial" w:hAnsi="Arial" w:cs="Arial"/>
                <w:bCs w:val="0"/>
                <w:sz w:val="20"/>
                <w:szCs w:val="20"/>
                <w:lang w:val="en-US"/>
              </w:rPr>
              <w:t>AFROSAI</w:t>
            </w:r>
            <w:r>
              <w:fldChar w:fldCharType="end"/>
            </w:r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(African Organization of Supreme Audit Institutions)</w:t>
            </w:r>
          </w:p>
          <w:p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7143C3" w:rsidTr="007A3F8C">
        <w:tc>
          <w:tcPr>
            <w:cnfStyle w:val="001000000000"/>
            <w:tcW w:w="8494" w:type="dxa"/>
          </w:tcPr>
          <w:p w:rsidR="00A21641" w:rsidRPr="002E3E2A" w:rsidRDefault="0004014E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fldChar w:fldCharType="begin"/>
            </w:r>
            <w:r w:rsidRPr="007143C3">
              <w:rPr>
                <w:lang w:val="en-US"/>
              </w:rPr>
              <w:instrText>HYPERLINK "http://www.arabosai.org/Ar/"</w:instrText>
            </w:r>
            <w:r>
              <w:fldChar w:fldCharType="separate"/>
            </w:r>
            <w:r w:rsidR="00A21641" w:rsidRPr="002E3E2A">
              <w:rPr>
                <w:rStyle w:val="Hyperlink"/>
                <w:rFonts w:ascii="Arial" w:hAnsi="Arial" w:cs="Arial"/>
                <w:bCs w:val="0"/>
                <w:sz w:val="20"/>
                <w:szCs w:val="20"/>
                <w:lang w:val="en-US"/>
              </w:rPr>
              <w:t>ARABOSAI</w:t>
            </w:r>
            <w:r>
              <w:fldChar w:fldCharType="end"/>
            </w:r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(Arab Organization of Supreme Audit Institutions)</w:t>
            </w:r>
          </w:p>
          <w:p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7143C3" w:rsidTr="007A3F8C">
        <w:trPr>
          <w:cnfStyle w:val="000000100000"/>
        </w:trPr>
        <w:tc>
          <w:tcPr>
            <w:cnfStyle w:val="001000000000"/>
            <w:tcW w:w="8494" w:type="dxa"/>
          </w:tcPr>
          <w:p w:rsidR="00A21641" w:rsidRPr="002E3E2A" w:rsidRDefault="0004014E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fldChar w:fldCharType="begin"/>
            </w:r>
            <w:r w:rsidRPr="007143C3">
              <w:rPr>
                <w:lang w:val="en-US"/>
              </w:rPr>
              <w:instrText>HYPERLINK "http://asosai.org/asosai/"</w:instrText>
            </w:r>
            <w:r>
              <w:fldChar w:fldCharType="separate"/>
            </w:r>
            <w:r w:rsidR="00A21641" w:rsidRPr="002E3E2A">
              <w:rPr>
                <w:rStyle w:val="Hyperlink"/>
                <w:rFonts w:ascii="Arial" w:hAnsi="Arial" w:cs="Arial"/>
                <w:bCs w:val="0"/>
                <w:sz w:val="20"/>
                <w:szCs w:val="20"/>
                <w:lang w:val="en-US"/>
              </w:rPr>
              <w:t>ASOSAI</w:t>
            </w:r>
            <w:r>
              <w:fldChar w:fldCharType="end"/>
            </w:r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(Asian Organization of Supreme Audit Institutions)</w:t>
            </w:r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7143C3" w:rsidTr="007A3F8C">
        <w:tc>
          <w:tcPr>
            <w:cnfStyle w:val="001000000000"/>
            <w:tcW w:w="8494" w:type="dxa"/>
          </w:tcPr>
          <w:p w:rsidR="00A21641" w:rsidRPr="002E3E2A" w:rsidRDefault="0004014E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fldChar w:fldCharType="begin"/>
            </w:r>
            <w:r w:rsidRPr="007143C3">
              <w:rPr>
                <w:lang w:val="en-US"/>
              </w:rPr>
              <w:instrText>HYPERLINK "http://www.pasai.org/"</w:instrText>
            </w:r>
            <w:r>
              <w:fldChar w:fldCharType="separate"/>
            </w:r>
            <w:r w:rsidR="00A21641" w:rsidRPr="002E3E2A">
              <w:rPr>
                <w:rStyle w:val="Hyperlink"/>
                <w:rFonts w:ascii="Arial" w:hAnsi="Arial" w:cs="Arial"/>
                <w:bCs w:val="0"/>
                <w:sz w:val="20"/>
                <w:szCs w:val="20"/>
                <w:lang w:val="en-US"/>
              </w:rPr>
              <w:t>PASAI</w:t>
            </w:r>
            <w:r>
              <w:fldChar w:fldCharType="end"/>
            </w:r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(Pacific Association of Supreme Audit Institutions)</w:t>
            </w:r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7143C3" w:rsidTr="007A3F8C">
        <w:trPr>
          <w:cnfStyle w:val="000000100000"/>
        </w:trPr>
        <w:tc>
          <w:tcPr>
            <w:cnfStyle w:val="001000000000"/>
            <w:tcW w:w="8494" w:type="dxa"/>
          </w:tcPr>
          <w:p w:rsidR="00A21641" w:rsidRPr="002E3E2A" w:rsidRDefault="0004014E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fldChar w:fldCharType="begin"/>
            </w:r>
            <w:r w:rsidRPr="007143C3">
              <w:rPr>
                <w:lang w:val="en-US"/>
              </w:rPr>
              <w:instrText>HYPERLINK "http://carosai.org/"</w:instrText>
            </w:r>
            <w:r>
              <w:fldChar w:fldCharType="separate"/>
            </w:r>
            <w:r w:rsidR="00A21641" w:rsidRPr="002E3E2A">
              <w:rPr>
                <w:rStyle w:val="Hyperlink"/>
                <w:rFonts w:ascii="Arial" w:hAnsi="Arial" w:cs="Arial"/>
                <w:bCs w:val="0"/>
                <w:sz w:val="20"/>
                <w:szCs w:val="20"/>
                <w:lang w:val="en-US"/>
              </w:rPr>
              <w:t>CAROSAI</w:t>
            </w:r>
            <w:r>
              <w:fldChar w:fldCharType="end"/>
            </w:r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(Caribbean Organization of Supreme Audit Institutions)</w:t>
            </w:r>
          </w:p>
          <w:p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7143C3" w:rsidTr="007A3F8C">
        <w:tc>
          <w:tcPr>
            <w:cnfStyle w:val="001000000000"/>
            <w:tcW w:w="8494" w:type="dxa"/>
          </w:tcPr>
          <w:p w:rsidR="00A21641" w:rsidRPr="002E3E2A" w:rsidRDefault="0004014E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fldChar w:fldCharType="begin"/>
            </w:r>
            <w:r w:rsidRPr="007143C3">
              <w:rPr>
                <w:lang w:val="en-US"/>
              </w:rPr>
              <w:instrText>HYPERLINK "http://www.eurosai.org/en/about-us/about-eurosai/"</w:instrText>
            </w:r>
            <w:r>
              <w:fldChar w:fldCharType="separate"/>
            </w:r>
            <w:r w:rsidR="00A21641" w:rsidRPr="002E3E2A">
              <w:rPr>
                <w:rStyle w:val="Hyperlink"/>
                <w:rFonts w:ascii="Arial" w:hAnsi="Arial" w:cs="Arial"/>
                <w:bCs w:val="0"/>
                <w:sz w:val="20"/>
                <w:szCs w:val="20"/>
                <w:lang w:val="en-US"/>
              </w:rPr>
              <w:t>EUROSAI</w:t>
            </w:r>
            <w:r>
              <w:fldChar w:fldCharType="end"/>
            </w:r>
          </w:p>
          <w:p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(European Organization of Supreme Audit Institutions)</w:t>
            </w:r>
          </w:p>
          <w:p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E798E" w:rsidRPr="002E3E2A" w:rsidRDefault="00725BBB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43C3">
        <w:rPr>
          <w:rFonts w:ascii="Arial" w:hAnsi="Arial" w:cs="Arial"/>
          <w:sz w:val="20"/>
          <w:szCs w:val="20"/>
          <w:lang w:val="en-US"/>
        </w:rPr>
        <w:tab/>
      </w:r>
      <w:r w:rsidR="00AE798E" w:rsidRPr="002E3E2A">
        <w:rPr>
          <w:rFonts w:ascii="Arial" w:hAnsi="Arial" w:cs="Arial"/>
          <w:sz w:val="20"/>
          <w:szCs w:val="20"/>
        </w:rPr>
        <w:t>A tradução e adaptação dos trechos considerados mais relevantes para fins de divulgação dos precedentes internacionais</w:t>
      </w:r>
      <w:r w:rsidR="00F923CE" w:rsidRPr="002E3E2A">
        <w:rPr>
          <w:rFonts w:ascii="Arial" w:hAnsi="Arial" w:cs="Arial"/>
          <w:sz w:val="20"/>
          <w:szCs w:val="20"/>
        </w:rPr>
        <w:t>, feitas pelos integrantes da Escola de Gestão Pública (Áreas: Capacitação e Jurisprudência),</w:t>
      </w:r>
      <w:r w:rsidR="00AE798E" w:rsidRPr="002E3E2A">
        <w:rPr>
          <w:rFonts w:ascii="Arial" w:hAnsi="Arial" w:cs="Arial"/>
          <w:sz w:val="20"/>
          <w:szCs w:val="20"/>
        </w:rPr>
        <w:t xml:space="preserve"> dar-se-á </w:t>
      </w:r>
      <w:r w:rsidR="00F923CE" w:rsidRPr="002E3E2A">
        <w:rPr>
          <w:rFonts w:ascii="Arial" w:hAnsi="Arial" w:cs="Arial"/>
          <w:sz w:val="20"/>
          <w:szCs w:val="20"/>
        </w:rPr>
        <w:t>a partir d</w:t>
      </w:r>
      <w:r w:rsidR="00AE798E" w:rsidRPr="002E3E2A">
        <w:rPr>
          <w:rFonts w:ascii="Arial" w:hAnsi="Arial" w:cs="Arial"/>
          <w:sz w:val="20"/>
          <w:szCs w:val="20"/>
        </w:rPr>
        <w:t>os</w:t>
      </w:r>
      <w:r w:rsidR="00AE798E" w:rsidRPr="002E3E2A">
        <w:rPr>
          <w:rFonts w:ascii="Arial" w:hAnsi="Arial" w:cs="Arial"/>
          <w:color w:val="FF0000"/>
          <w:sz w:val="20"/>
          <w:szCs w:val="20"/>
        </w:rPr>
        <w:t xml:space="preserve"> </w:t>
      </w:r>
      <w:r w:rsidR="00AE798E" w:rsidRPr="002E3E2A">
        <w:rPr>
          <w:rFonts w:ascii="Arial" w:hAnsi="Arial" w:cs="Arial"/>
          <w:sz w:val="20"/>
          <w:szCs w:val="20"/>
        </w:rPr>
        <w:t>respectivos idiomas: inglês, espanhol, francês, italiano e russo.</w:t>
      </w:r>
    </w:p>
    <w:p w:rsidR="006009F5" w:rsidRPr="002E3E2A" w:rsidRDefault="00725BBB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7B14" w:rsidRPr="002E3E2A">
        <w:rPr>
          <w:rFonts w:ascii="Arial" w:hAnsi="Arial" w:cs="Arial"/>
          <w:sz w:val="20"/>
          <w:szCs w:val="20"/>
        </w:rPr>
        <w:t xml:space="preserve">O objetivo é </w:t>
      </w:r>
      <w:r w:rsidR="007E786E" w:rsidRPr="002E3E2A">
        <w:rPr>
          <w:rFonts w:ascii="Arial" w:hAnsi="Arial" w:cs="Arial"/>
          <w:sz w:val="20"/>
          <w:szCs w:val="20"/>
        </w:rPr>
        <w:t xml:space="preserve">estimular </w:t>
      </w:r>
      <w:r w:rsidR="00F923CE" w:rsidRPr="002E3E2A">
        <w:rPr>
          <w:rFonts w:ascii="Arial" w:hAnsi="Arial" w:cs="Arial"/>
          <w:sz w:val="20"/>
          <w:szCs w:val="20"/>
        </w:rPr>
        <w:t xml:space="preserve">a disseminação de </w:t>
      </w:r>
      <w:r w:rsidR="007E786E" w:rsidRPr="002E3E2A">
        <w:rPr>
          <w:rFonts w:ascii="Arial" w:hAnsi="Arial" w:cs="Arial"/>
          <w:sz w:val="20"/>
          <w:szCs w:val="20"/>
        </w:rPr>
        <w:t xml:space="preserve">estudos e trabalhos periódicos na área de auditoria (conformidade e/ou operacional) que possam servir como inspiração e/ou subsídio para a aplicação de técnicas e práticas de controle externo internacional na realidade nacional e/ou local. </w:t>
      </w:r>
    </w:p>
    <w:p w:rsidR="00FE7B14" w:rsidRPr="002E3E2A" w:rsidRDefault="00725BBB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7B14" w:rsidRPr="002E3E2A">
        <w:rPr>
          <w:rFonts w:ascii="Arial" w:hAnsi="Arial" w:cs="Arial"/>
          <w:sz w:val="20"/>
          <w:szCs w:val="20"/>
        </w:rPr>
        <w:t>Para aprofundamento, o leitor pode acessar o inteiro teor das deliberações por meio dos links disponíveis.</w:t>
      </w:r>
      <w:r w:rsidR="00FE7B14" w:rsidRPr="002E3E2A">
        <w:rPr>
          <w:rFonts w:ascii="Arial" w:hAnsi="Arial" w:cs="Arial"/>
          <w:color w:val="212121"/>
          <w:sz w:val="20"/>
          <w:szCs w:val="20"/>
        </w:rPr>
        <w:t xml:space="preserve"> </w:t>
      </w:r>
      <w:r w:rsidR="00FE7B14" w:rsidRPr="002E3E2A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:rsidR="00320FCE" w:rsidRPr="002E3E2A" w:rsidRDefault="00320FCE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0FCE" w:rsidRPr="002E3E2A" w:rsidRDefault="00320FCE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0FCE" w:rsidRPr="002E3E2A" w:rsidRDefault="00320FCE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0FCE" w:rsidRPr="002E3E2A" w:rsidRDefault="00320FCE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0FCE" w:rsidRPr="002E3E2A" w:rsidRDefault="00320FCE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0FCE" w:rsidRPr="002E3E2A" w:rsidRDefault="00320FCE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7B14" w:rsidRPr="002E3E2A" w:rsidRDefault="0004014E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line id="Conector reto 1" o:spid="_x0000_s1026" style="position:absolute;left:0;text-align:left;z-index:251660800;visibility:visible;mso-position-horizontal-relative:margin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" strokecolor="maroon" strokeweight="2pt">
            <v:shadow on="t" color="black" opacity="24903f" origin=",.5" offset="0,.55556mm"/>
            <w10:wrap anchorx="margin"/>
          </v:line>
        </w:pict>
      </w:r>
    </w:p>
    <w:p w:rsidR="00AE4F42" w:rsidRPr="002E3E2A" w:rsidRDefault="00AE4F42" w:rsidP="002E3E2A">
      <w:pPr>
        <w:spacing w:after="0"/>
        <w:jc w:val="center"/>
        <w:rPr>
          <w:rFonts w:ascii="Arial" w:hAnsi="Arial" w:cs="Arial"/>
          <w:b/>
          <w:color w:val="800000"/>
          <w:sz w:val="20"/>
          <w:szCs w:val="20"/>
        </w:rPr>
      </w:pPr>
      <w:r w:rsidRPr="002E3E2A">
        <w:rPr>
          <w:rFonts w:ascii="Arial" w:hAnsi="Arial" w:cs="Arial"/>
          <w:b/>
          <w:color w:val="800000"/>
          <w:sz w:val="20"/>
          <w:szCs w:val="20"/>
        </w:rPr>
        <w:t>S</w:t>
      </w:r>
      <w:r w:rsidR="00221D15" w:rsidRPr="002E3E2A">
        <w:rPr>
          <w:rFonts w:ascii="Arial" w:hAnsi="Arial" w:cs="Arial"/>
          <w:b/>
          <w:color w:val="800000"/>
          <w:sz w:val="20"/>
          <w:szCs w:val="20"/>
        </w:rPr>
        <w:t>U</w:t>
      </w:r>
      <w:r w:rsidRPr="002E3E2A">
        <w:rPr>
          <w:rFonts w:ascii="Arial" w:hAnsi="Arial" w:cs="Arial"/>
          <w:b/>
          <w:color w:val="800000"/>
          <w:sz w:val="20"/>
          <w:szCs w:val="20"/>
        </w:rPr>
        <w:t>MÁRIO</w:t>
      </w:r>
    </w:p>
    <w:p w:rsidR="004429A2" w:rsidRPr="002E3E2A" w:rsidRDefault="004429A2" w:rsidP="002E3E2A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0A250D" w:rsidRPr="002E3E2A" w:rsidRDefault="000A250D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b/>
          <w:bCs/>
          <w:sz w:val="20"/>
          <w:szCs w:val="20"/>
          <w:shd w:val="clear" w:color="auto" w:fill="FFFFFF"/>
        </w:rPr>
        <w:t>1.</w:t>
      </w:r>
      <w:r w:rsidRPr="002E3E2A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0F39A5" w:rsidRPr="002E3E2A">
        <w:rPr>
          <w:rFonts w:ascii="Arial" w:hAnsi="Arial" w:cs="Arial"/>
          <w:b/>
          <w:sz w:val="20"/>
          <w:szCs w:val="20"/>
          <w:shd w:val="clear" w:color="auto" w:fill="FFFFFF"/>
        </w:rPr>
        <w:t>Reino da Espanha</w:t>
      </w:r>
      <w:r w:rsidRPr="002E3E2A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2E3E2A">
        <w:rPr>
          <w:rFonts w:ascii="Arial" w:hAnsi="Arial" w:cs="Arial"/>
          <w:sz w:val="20"/>
          <w:szCs w:val="20"/>
          <w:shd w:val="clear" w:color="auto" w:fill="FFFFFF"/>
        </w:rPr>
        <w:t xml:space="preserve">– Tribunal Superior de Contas – </w:t>
      </w:r>
      <w:r w:rsidR="000F39A5"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>auditoria da Agência Espanhola de Proteção de Dados (2016-2017)</w:t>
      </w:r>
      <w:r w:rsidRPr="002E3E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234D8" w:rsidRPr="002E3E2A" w:rsidRDefault="00F234D8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B42BB" w:rsidRDefault="004B42BB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b/>
          <w:sz w:val="20"/>
          <w:szCs w:val="20"/>
        </w:rPr>
        <w:t xml:space="preserve">2. </w:t>
      </w:r>
      <w:r w:rsidR="000F39A5" w:rsidRPr="002E3E2A">
        <w:rPr>
          <w:rFonts w:ascii="Arial" w:hAnsi="Arial" w:cs="Arial"/>
          <w:b/>
          <w:sz w:val="20"/>
          <w:szCs w:val="20"/>
        </w:rPr>
        <w:t>República Federal da Alemanha</w:t>
      </w:r>
      <w:r w:rsidRPr="002E3E2A">
        <w:rPr>
          <w:rFonts w:ascii="Arial" w:hAnsi="Arial" w:cs="Arial"/>
          <w:b/>
          <w:sz w:val="20"/>
          <w:szCs w:val="20"/>
        </w:rPr>
        <w:t xml:space="preserve"> – </w:t>
      </w:r>
      <w:r w:rsidR="000A7F5C" w:rsidRPr="002E3E2A">
        <w:rPr>
          <w:rFonts w:ascii="Arial" w:hAnsi="Arial" w:cs="Arial"/>
          <w:sz w:val="20"/>
          <w:szCs w:val="20"/>
        </w:rPr>
        <w:t xml:space="preserve">Análise das ações de </w:t>
      </w:r>
      <w:r w:rsidR="000F39A5" w:rsidRPr="002E3E2A">
        <w:rPr>
          <w:rFonts w:ascii="Arial" w:hAnsi="Arial" w:cs="Arial"/>
          <w:sz w:val="20"/>
          <w:szCs w:val="20"/>
        </w:rPr>
        <w:t>mitigação de mudanças climáticas</w:t>
      </w:r>
      <w:r w:rsidR="002E3E2A">
        <w:rPr>
          <w:rFonts w:ascii="Arial" w:hAnsi="Arial" w:cs="Arial"/>
          <w:sz w:val="20"/>
          <w:szCs w:val="20"/>
        </w:rPr>
        <w:t>.</w:t>
      </w:r>
    </w:p>
    <w:p w:rsidR="002E3E2A" w:rsidRDefault="002E3E2A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E3E2A" w:rsidRPr="002E3E2A" w:rsidRDefault="002E3E2A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b/>
          <w:bCs/>
          <w:sz w:val="20"/>
          <w:szCs w:val="20"/>
        </w:rPr>
        <w:t>3. Federação Russa</w:t>
      </w:r>
      <w:r>
        <w:rPr>
          <w:rFonts w:ascii="Arial" w:hAnsi="Arial" w:cs="Arial"/>
          <w:sz w:val="20"/>
          <w:szCs w:val="20"/>
        </w:rPr>
        <w:t xml:space="preserve"> - Análise de execução do programa de gestão de resíduos sólidos.</w:t>
      </w:r>
    </w:p>
    <w:p w:rsidR="003129B0" w:rsidRPr="002E3E2A" w:rsidRDefault="003129B0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23446" w:rsidRPr="002E3E2A" w:rsidRDefault="00E23446" w:rsidP="002E3E2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1"/>
        <w:gridCol w:w="819"/>
      </w:tblGrid>
      <w:tr w:rsidR="00E23446" w:rsidRPr="002E3E2A" w:rsidTr="000F39A5">
        <w:tc>
          <w:tcPr>
            <w:tcW w:w="8075" w:type="dxa"/>
          </w:tcPr>
          <w:p w:rsidR="00E23446" w:rsidRPr="002E3E2A" w:rsidRDefault="000F39A5" w:rsidP="002E3E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2E3E2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ESPANHA</w:t>
            </w:r>
          </w:p>
        </w:tc>
        <w:tc>
          <w:tcPr>
            <w:tcW w:w="419" w:type="dxa"/>
          </w:tcPr>
          <w:p w:rsidR="00E23446" w:rsidRPr="002E3E2A" w:rsidRDefault="000F39A5" w:rsidP="002E3E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2E3E2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382630" cy="256612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4b462fbecf767d884a286bf1236c054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11" cy="27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9B0" w:rsidRPr="002E3E2A" w:rsidRDefault="003129B0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:rsidR="003129B0" w:rsidRPr="002E3E2A" w:rsidRDefault="003129B0" w:rsidP="002E3E2A">
      <w:pPr>
        <w:pBdr>
          <w:bottom w:val="double" w:sz="4" w:space="1" w:color="800000"/>
        </w:pBdr>
        <w:spacing w:after="0"/>
        <w:rPr>
          <w:rFonts w:ascii="Arial" w:hAnsi="Arial" w:cs="Arial"/>
          <w:b/>
          <w:sz w:val="20"/>
          <w:szCs w:val="20"/>
        </w:rPr>
      </w:pPr>
      <w:r w:rsidRPr="002E3E2A">
        <w:rPr>
          <w:rFonts w:ascii="Arial" w:hAnsi="Arial" w:cs="Arial"/>
          <w:b/>
          <w:sz w:val="20"/>
          <w:szCs w:val="20"/>
        </w:rPr>
        <w:t>1</w:t>
      </w:r>
      <w:r w:rsidR="00D75C06" w:rsidRPr="002E3E2A">
        <w:rPr>
          <w:rFonts w:ascii="Arial" w:hAnsi="Arial" w:cs="Arial"/>
          <w:b/>
          <w:sz w:val="20"/>
          <w:szCs w:val="20"/>
        </w:rPr>
        <w:t>.</w:t>
      </w:r>
      <w:r w:rsidRPr="002E3E2A">
        <w:rPr>
          <w:rFonts w:ascii="Arial" w:hAnsi="Arial" w:cs="Arial"/>
          <w:b/>
          <w:sz w:val="20"/>
          <w:szCs w:val="20"/>
        </w:rPr>
        <w:t xml:space="preserve">   TRIBUNAL </w:t>
      </w:r>
      <w:r w:rsidR="000A250D" w:rsidRPr="002E3E2A">
        <w:rPr>
          <w:rFonts w:ascii="Arial" w:hAnsi="Arial" w:cs="Arial"/>
          <w:b/>
          <w:sz w:val="20"/>
          <w:szCs w:val="20"/>
        </w:rPr>
        <w:t>SUPERIOR DE CONTAS</w:t>
      </w:r>
      <w:r w:rsidRPr="002E3E2A">
        <w:rPr>
          <w:rFonts w:ascii="Arial" w:hAnsi="Arial" w:cs="Arial"/>
          <w:b/>
          <w:sz w:val="20"/>
          <w:szCs w:val="20"/>
        </w:rPr>
        <w:t xml:space="preserve">  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 xml:space="preserve">Publicação original acessível em: 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</w:p>
    <w:p w:rsidR="000F39A5" w:rsidRPr="002E3E2A" w:rsidRDefault="0004014E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11" w:history="1">
        <w:r w:rsidR="000F39A5" w:rsidRPr="002E3E2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https://www.tcu.es/tribunal-de-cuentas/es/sala-de-prensa/noticias/El-Tribunal-de-Cuentas-aprueba-el-Informe-de-fiscalizacion-de-la-Agencia-Espanola-de-Proteccion-de-Datos-ejercicios-2016-y-2017/</w:t>
        </w:r>
      </w:hyperlink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  <w:lang w:val="pt-PT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ab/>
        <w:t>O presente Relatório, aprovado em Plenário do Tribunal de Contas e realizado por iniciativa da Instituição, teve como objetivo auditar toda a atividade da Agência Espanhola de Proteção de Dados, durante os anos de 2016 e 2017. Desta forma, o A auditoria foi efetuada sobre o funcionamento e organização da AEPD, sobre o financiamento e gestão orçamental e sobre a aplicação do novo regime jurídico administrativo e contratual. Da mesma forma, tem realizado análises sobre os sistemas e procedimentos aplicados pela Agência, tanto na automatização de processos e sistemas informáticos, como no controlo interno do processamento e tempos dos procedimentos, e na gestão e cobrança das sanções.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ab/>
        <w:t>Por outro lado, esta atividade de auditoria tem-se desenvolvido sobre a aplicação dos regulamentos que regem a efetiva igualdade entre mulheres e homens e sobre a questão da transparência, e sobre o cumprimento que a AEPD deu às recomendações feitas no relatório de auditoria anterior da AEPD, e aos acordos da resolução da Comissão Mista para as Relações com o Tribunal de Contas sobre o referido Relatório.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ab/>
        <w:t>Após a atividade de auditoria, foram apresentadas, entre outras, as seguintes conclusões: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Relativamente à representatividade das contas anuais da AEPD, o Relatório indica que as correspondentes aos dois exercícios auditados refletem de forma adequada, nos seus aspectos mais significativos, a sua situação financeira e patrimonial, o resultado do exercício e a liquidação do seu orçamento, e contêm a informação necessária e suficiente para a sua correta interpretação e compreensão, de acordo com os princípios, critérios e normas contabilísticas que lhe são aplicáveis, salvo algumas exceções, entre outras, as relativas a alguns itens do imobilizado e devedores. Por outro lado, a auditoria observa que, a partir de outubro de 2016, a Agência passou a reconhecer na contabilidade os direitos de cobrança derivados de sanções no momento em que notificou os acordos para iniciar cada procedimento </w:t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lastRenderedPageBreak/>
        <w:t>sancionatório. Esse critério contábil incorreto gerou uma supervalorização dos direitos reconhecidos pelas sanções.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>No que diz respeito ao controlo contabilístico interno, a auditoria revelou uma série de fragilidades, que se especificam essencialmente: nas diferenças de conciliação entre o valor das contas do imobilizado registado na contabilidade e o valor que consta do inventário; o detalhe insuficiente de certos ativos no inventário; a falta de limpeza do estoque dos elementos obsoletos; a ausência de planejamento e gestão adequados da tesouraria; a inexistência de plano ou protocolo de investimento para rentabilizar os saldos de caixa; a ausência de conciliações periódicas entre contas bancárias e contabilidade; a falta de controle interno sobre a contagem de caixa; e atrasos na notificação às entidades financeiras de autorizações e cancelamento de assinaturas de pessoas para a alienação de fundos de contas bancárias.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>Relativamente à gestão orçamental, o Relatório revela a existência de uma série de não conformidades e fragilidades, entre as quais o fato de as receitas orçadas nos dois anos auditados não terem sido adequadamente previstas. Elas foram equiparadas às despesas para equilibrar o orçamento, mas a receita real das sanções impostas a cada ano excedeu em muito as previsões feitas.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>Atualmente, a atividade da Agência é financiada com os recursos derivados das penalizações que impõe, que ultrapassam largamente as despesas orçamentadas, pelo que o seu saldo de caixa foi crescente e a sua rentabilidade muito reduzida. Como a entidade auditada possui superávits de tesouraria muito significativos, dos quais dificilmente obtém rentabilidade financeira, enquanto o Tesouro Público deve ser financiado a custos muito superiores, o Tribunal de Contas considera que uma alternativa possível seria uma modificação do seu financiamento, consistindo em que a AEPD seja financiada com repasse dos Orçamentos Gerais do Estado (compatível com a possibilidade de constituição de uma reserva com uma percentagem das receitas por ela geradas) e que o montante das sanções seja pago ao Tesouro Público.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>Em relação à aplicação do novo regime jurídico administrativo, a auditoria indica que a AEPD não introduziu todas as alterações legislativas estabelecidas na Lei 39/2015, de 1 de outubro, do Procedimento Administrativo Comum das Administrações Públicas (LPAC), nem se aplicou ao funcionamento do conselho consultivo todas as novidades normativas da Lei 40/2015, de 1º de outubro, sobre o Regime Jurídico do Setor Público (LRJSP). Destaca, ainda, que apesar do término do mandato do Diretor em julho de 2019, a partir da aprovação deste Relatório, o edital de candidatura nem mesmo havia sido publicado no BOE; apesar de a lei exigir que esta publicação seja feita dois meses antes do termino do mandato.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>Em relação à gestão de pessoas, a auditoria revelou uma série de incidentes, como os observados na lista de cargos (RPT), em que a AEPD não reflete a formação e qualificação exigidas para cada cargo de cada funcionário, nem os méritos dos empregos dos trabalhadores. Além disso, a organização formal da Agência descrita no RPT não refletia a organização real ou o conteúdo dos trabalhos específicos realizados por muitas pessoas durante o período. Por outro lado, no caso das nomeações por nomeação gratuita, não foi elaborada documentação de apoio à seleção dos nomeados; relativamente ao programa de teletrabalho, o Relatório indica que a AEPD necessita desenvolver critérios de controlo e sistemas de avaliação do desempenho do trabalho das pessoas no programa de teletrabalho.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No que se refere à atividade contratual, o Relatório discrimina determinados incumprimentos que se materializam, sobretudo, na medida em que a AEPD: não incluiu nas duas relações certificadas de contratos remetidas ao Tribunal de Contas, em 2016 e 2017, os contratos imobiliários, nem os três acordos de conteúdo econômico, nem as duas missões de gestão concluídas nesses anos. Da mesma forma, os arquivos de contratação não incluíram, </w:t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lastRenderedPageBreak/>
        <w:t>entre as ações preparatórias do contrato, relatórios econômicos, estudos de custos ou de mercado que endossem razoavelmente os valores orçados para a contratação.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Em termos de transparência, a auditoria observa que o portal da transparência da Agência não permite verificar as condições de acessibilidade do seu sítio web, nem que o cidadão possa conhecer as regras sobre as formas de acesso à informação e nos diversos meios de comunicação. para o seu pedido. Por outro lado, no referido portal, não são publicados os mecanismos necessários para que o requerente possa conhecer o estado de tramitação das suas candidaturas e descarregar os documentos com elas relacionados. Além disso, a informação publicada apresenta algumas deficiências em termos de contratação, contas anuais, enquadramento regulamentar, execução orçamental e direitos de propriedade. 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  <w:lang w:val="pt-PT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>Relativamente aos sistemas e procedimentos utilizados pela Agência, a auditoria procedeu à análise da automatização dos processos e sistemas informáticos, bem como ao tratamento dos procedimentos e à gestão e cobrança das sanções aplicadas. Nesse ponto, a auditoria observa uma série de deficiências em relação ao funcionamento e às informações fornecidas pelo principal aplicativo informático da Agência, o SIGRID, que é utilizado para gerenciar a fiscalização e instrução dos procedimentos sancionatórios e obter informações sobre as reclamações apresentadas, os documentos gerados durante o processamento dos processos administrativos, e as notificações e penalidades aplicadas.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ab/>
        <w:t>Por outro lado, o Relatório indica atrasos relevantes na atribuição de procedimentos aos fiscais; e, sobretudo, na atribuição de cada procedimento sancionatório a um instrutor. O tempo médio de instrução dos procedimentos ultrapassou o prazo de validade (180 dias) em 2016. Em 2017, embora esses tempos médios de instrução tenham diminuído, 23% dos procedimentos analisados ​​resolvidos neste exercício ultrapassaram o tempo de instrução de 180 dias. Bem como, uma série de deficiências no controle, elaboração e periodicidade das listas de devedores enviadas à AEAT para gerenciamento de sua cobrança por meio dos canais executivos.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  <w:lang w:val="pt-PT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  <w:lang w:val="pt-PT"/>
        </w:rPr>
        <w:tab/>
        <w:t>O Relatório termina propondo uma série de recomendações dirigidas à AEPD, para corrigir as deficiências que se revelam ao longo do mesmo. Entre eles, que a Agência exorta as autoridades orçamentárias a modificarem o seu sistema de orçamento e financiamento para que a AEPD seja financiada com uma transferência dos Orçamentos Gerais do Estado (o que é compatível com a possibilidade de reservar à Agência uma percentagem da receitas geradas por esta), e que cabe à Fazenda Pública a cobrança das sanções impostas pela AEPD, em regime de voluntariado. Também recomenda que introduza mudanças em seu sistema de contabilidade para direitos de cobrança de penalidades, e que melhore os tempos de atribuição de arquivos a inspetores e instrutores, bem como a frequência e informações das comunicações com a AEAT e controle do estatuto de limitações para infrações.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  <w:lang w:val="pt-PT"/>
        </w:rPr>
      </w:pP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>Informe Executivo do Relatório/Acórdão/Decisão disponível em língua espanhola:</w:t>
      </w:r>
    </w:p>
    <w:p w:rsidR="000F39A5" w:rsidRPr="002E3E2A" w:rsidRDefault="000F39A5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F39A5" w:rsidRPr="002E3E2A" w:rsidRDefault="0004014E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hyperlink r:id="rId12" w:history="1">
        <w:r w:rsidR="000F39A5" w:rsidRPr="002E3E2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https://www.tcu.es/repositorio/acbd7dad-c18e-47c2-bad5-d96bfbcf5ddc/I1340.pdf</w:t>
        </w:r>
      </w:hyperlink>
    </w:p>
    <w:p w:rsidR="005F6B20" w:rsidRPr="002E3E2A" w:rsidRDefault="005F6B20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129B0" w:rsidRPr="002E3E2A" w:rsidRDefault="003129B0" w:rsidP="002E3E2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19"/>
        <w:gridCol w:w="801"/>
      </w:tblGrid>
      <w:tr w:rsidR="00E23446" w:rsidRPr="002E3E2A" w:rsidTr="00D75C06">
        <w:tc>
          <w:tcPr>
            <w:tcW w:w="8075" w:type="dxa"/>
          </w:tcPr>
          <w:p w:rsidR="00E23446" w:rsidRPr="002E3E2A" w:rsidRDefault="00D75C06" w:rsidP="002E3E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2E3E2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REPÚBLICA FEDERAL DA ALEMANHA</w:t>
            </w:r>
            <w:r w:rsidR="00E23446" w:rsidRPr="002E3E2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19" w:type="dxa"/>
          </w:tcPr>
          <w:p w:rsidR="00E23446" w:rsidRPr="002E3E2A" w:rsidRDefault="00D75C06" w:rsidP="002E3E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2E3E2A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371475" cy="259715"/>
                  <wp:effectExtent l="0" t="0" r="0" b="0"/>
                  <wp:docPr id="8" name="Imagem 8" descr="Forma, Padrão do plano de fund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Forma, Padrão do plano de fundo&#10;&#10;Descrição gerada automa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39" cy="34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3446" w:rsidRPr="002E3E2A" w:rsidRDefault="00E23446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:rsidR="00E23446" w:rsidRPr="002E3E2A" w:rsidRDefault="000A7F5C" w:rsidP="002E3E2A">
      <w:pPr>
        <w:pBdr>
          <w:bottom w:val="double" w:sz="4" w:space="1" w:color="800000"/>
        </w:pBdr>
        <w:spacing w:after="0"/>
        <w:rPr>
          <w:rFonts w:ascii="Arial" w:hAnsi="Arial" w:cs="Arial"/>
          <w:b/>
          <w:sz w:val="20"/>
          <w:szCs w:val="20"/>
        </w:rPr>
      </w:pPr>
      <w:r w:rsidRPr="002E3E2A">
        <w:rPr>
          <w:rFonts w:ascii="Arial" w:hAnsi="Arial" w:cs="Arial"/>
          <w:b/>
          <w:sz w:val="20"/>
          <w:szCs w:val="20"/>
        </w:rPr>
        <w:t>2</w:t>
      </w:r>
      <w:r w:rsidR="00D75C06" w:rsidRPr="002E3E2A">
        <w:rPr>
          <w:rFonts w:ascii="Arial" w:hAnsi="Arial" w:cs="Arial"/>
          <w:b/>
          <w:sz w:val="20"/>
          <w:szCs w:val="20"/>
        </w:rPr>
        <w:t>.</w:t>
      </w:r>
      <w:r w:rsidR="00E23446" w:rsidRPr="002E3E2A">
        <w:rPr>
          <w:rFonts w:ascii="Arial" w:hAnsi="Arial" w:cs="Arial"/>
          <w:b/>
          <w:sz w:val="20"/>
          <w:szCs w:val="20"/>
        </w:rPr>
        <w:t xml:space="preserve">  </w:t>
      </w:r>
      <w:r w:rsidR="00D75C06" w:rsidRPr="002E3E2A">
        <w:rPr>
          <w:rFonts w:ascii="Arial" w:hAnsi="Arial" w:cs="Arial"/>
          <w:b/>
          <w:sz w:val="20"/>
          <w:szCs w:val="20"/>
        </w:rPr>
        <w:t>TRIBUNAL DE CONTAS DA ALEMANHA</w:t>
      </w:r>
      <w:r w:rsidR="00E23446" w:rsidRPr="002E3E2A">
        <w:rPr>
          <w:rFonts w:ascii="Arial" w:hAnsi="Arial" w:cs="Arial"/>
          <w:b/>
          <w:sz w:val="20"/>
          <w:szCs w:val="20"/>
        </w:rPr>
        <w:t xml:space="preserve"> </w:t>
      </w:r>
    </w:p>
    <w:p w:rsidR="00E23446" w:rsidRPr="002E3E2A" w:rsidRDefault="00E23446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 xml:space="preserve">Publicação original acessível em: </w:t>
      </w:r>
    </w:p>
    <w:p w:rsidR="0020136E" w:rsidRPr="002E3E2A" w:rsidRDefault="0020136E" w:rsidP="002E3E2A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20"/>
          <w:szCs w:val="20"/>
          <w:shd w:val="clear" w:color="auto" w:fill="FFFFFF"/>
        </w:rPr>
      </w:pPr>
    </w:p>
    <w:p w:rsidR="00B6088E" w:rsidRPr="002E3E2A" w:rsidRDefault="0004014E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hyperlink r:id="rId14" w:history="1">
        <w:r w:rsidR="0020136E" w:rsidRPr="002E3E2A">
          <w:rPr>
            <w:rStyle w:val="Hyperlink"/>
            <w:rFonts w:ascii="Arial" w:hAnsi="Arial" w:cs="Arial"/>
            <w:sz w:val="20"/>
            <w:szCs w:val="20"/>
          </w:rPr>
          <w:t>https://www.bundesrechnungshof.de/de/veroeffentlichungen/produkte/bemerkungen-jahresberichte/jahresberichte/2019/langfassungen/bmu/20</w:t>
        </w:r>
      </w:hyperlink>
      <w:r w:rsidR="0020136E" w:rsidRPr="002E3E2A">
        <w:rPr>
          <w:rFonts w:ascii="Arial" w:hAnsi="Arial" w:cs="Arial"/>
          <w:sz w:val="20"/>
          <w:szCs w:val="20"/>
        </w:rPr>
        <w:t xml:space="preserve"> </w:t>
      </w:r>
    </w:p>
    <w:p w:rsidR="0020136E" w:rsidRPr="002E3E2A" w:rsidRDefault="0020136E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50248" w:rsidRPr="002E3E2A" w:rsidRDefault="005F6B20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2E3E2A">
        <w:rPr>
          <w:rFonts w:ascii="Arial" w:eastAsia="Times New Roman" w:hAnsi="Arial" w:cs="Arial"/>
          <w:color w:val="222222"/>
          <w:sz w:val="20"/>
          <w:szCs w:val="20"/>
          <w:lang w:val="pt-PT" w:eastAsia="pt-BR"/>
        </w:rPr>
        <w:tab/>
      </w:r>
      <w:r w:rsidR="00B6088E"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Em 2008, o governo federal adotou a Estratégia Alemã para Adaptação às Mudanças Climáticas. O objetivo era ajudar a identificar os riscos e desafios associados às mudanças climáticas e desenvolver formas de enfrentá-los. </w:t>
      </w:r>
      <w:r w:rsidR="00F50248"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Desde o ano de 2011, o Ministério tem apoiado programas elaborados para enfrentar as mudanças climáticas, destinando </w:t>
      </w:r>
      <w:r w:rsidR="00963DD7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 xml:space="preserve">€ </w:t>
      </w:r>
      <w:r w:rsidR="00F50248"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>41,2 milhões de euros para as ações de mudanças climáticas (aprox. R$ 680 milhões). O esforço de auditoria, neste caso, teve como objetivo avaliar os gastos realizados entre 2011-2016, assim como a eficiência das medidas realizadas.</w:t>
      </w:r>
    </w:p>
    <w:p w:rsidR="00F50248" w:rsidRPr="002E3E2A" w:rsidRDefault="00F50248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ab/>
        <w:t xml:space="preserve">Ministério tem contado com o financiamento do programa principalmente para financiar estratégias e cursos educacionais, em vez de medidas específicas para se adaptar às mudanças climáticas. As atividades financiadas precisam contribuir para a Estratégia. O Ministério definiu as metas de seu programa de financiamento em um processo aberto para reunir uma ampla gama de </w:t>
      </w:r>
      <w:r w:rsidR="00963DD7"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>ideias</w:t>
      </w:r>
      <w:r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>. O Ministério quer sensibilizar os atores regionais e locais para os desafios colocados pelas alterações climáticas. O Ministério pretende construir redes entre vários atores para fortalecer sua capacidade de enfrentar as mudanças climáticas. Os grupos-alvo incluem governos, instituições e empresas locais, que podem dar o exemplo. Para garantir um impacto amplo, o Ministério procura alocar recursos de forma regionalmente equilibrada.</w:t>
      </w:r>
    </w:p>
    <w:p w:rsidR="00F50248" w:rsidRPr="002E3E2A" w:rsidRDefault="00963DD7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ab/>
      </w:r>
      <w:r w:rsidR="00F50248"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Os estados têm seus próprios programas regionais e locais de apoio para renovar pequenas cidades e vilas, melhorar a qualidade das florestas, aumentar a proteção contra enchentes, etc. Mais financiamento é concedido pela UE e por fundações e bancos de desenvolvimento do governo federal e </w:t>
      </w:r>
      <w:r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>dos estados</w:t>
      </w:r>
      <w:r w:rsidR="00F50248"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>. De acordo com a Agência Ambiental Federal, na época em que o Ministério lançou seu programa de financiamento em 2011, já existiam mais de uma centena de outros programas que financiavam direta ou indiretamente ações de adaptação às mudanças climáticas.</w:t>
      </w:r>
    </w:p>
    <w:p w:rsidR="00F50248" w:rsidRPr="002E3E2A" w:rsidRDefault="00963DD7" w:rsidP="002E3E2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</w:pPr>
      <w:r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ab/>
        <w:t xml:space="preserve">Os problemas foram apontados em duas perspectivas. A primeira delas foi relacionada à falta de controle e análise dos gastos e ações realizadas.  Por exemplo, 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em 2014, o Ministério encomendou um estudo para revisar o programa de apoio, que afirmou que o impacto do programa não era mensurável. O financiamento foi distribuído de forma desigual pelas regiões e vários projetos financiados já haviam recebido financiamento de outras fontes.</w:t>
      </w:r>
      <w:r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Em 2016, o Ministério encomendou uma avaliação de resultados do seu programa de apoio, cujos resultados foram disponibilizados em 2018 (o relatório afirmava que o programa era pouco conhecido entre os beneficiários). Mais ainda, o relatório apontou que ainda não foram definidas prioridades ministeriais e se as estratégias e cursos de formação foram implementados.</w:t>
      </w:r>
    </w:p>
    <w:p w:rsidR="00963DD7" w:rsidRPr="002E3E2A" w:rsidRDefault="00963DD7" w:rsidP="002E3E2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</w:pP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ab/>
        <w:t>A segunda classe de achados foi relacionada à falta de investimento do orçamento requerido pelo programa. O Ministério solicitou financiamento de € 41,2 milhões</w:t>
      </w:r>
      <w:r w:rsidR="004453D6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 xml:space="preserve"> </w:t>
      </w:r>
      <w:r w:rsidR="004453D6" w:rsidRPr="002E3E2A">
        <w:rPr>
          <w:rFonts w:ascii="Arial" w:hAnsi="Arial" w:cs="Arial"/>
          <w:color w:val="000000" w:themeColor="text1"/>
          <w:sz w:val="20"/>
          <w:szCs w:val="20"/>
          <w:lang w:val="pt-PT"/>
        </w:rPr>
        <w:t>(aprox. R$ 680 milhões)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. Desse total, o Ministério dispensou apenas € 12,6 milhões</w:t>
      </w:r>
      <w:r w:rsidR="004453D6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 xml:space="preserve"> (aprox. R$ 75 milhões)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. Este montante é 30</w:t>
      </w:r>
      <w:r w:rsidR="004453D6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%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 xml:space="preserve"> </w:t>
      </w:r>
      <w:r w:rsidR="004453D6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 xml:space="preserve">(trinta 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por cento</w:t>
      </w:r>
      <w:r w:rsidR="004453D6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)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 xml:space="preserve"> dos fundos orçament</w:t>
      </w:r>
      <w:r w:rsidR="004453D6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ários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 xml:space="preserve"> apropriados. O Ministério não justificou as necessidades do orçamento em detalhes, mas tão somente fez referências à estratégia geral de ação</w:t>
      </w:r>
      <w:r w:rsidR="004453D6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, uma vez que não havia critérios objetivos de análise das medidas realizadas, nem dos valores despendidos no período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.</w:t>
      </w:r>
    </w:p>
    <w:p w:rsidR="004453D6" w:rsidRPr="002E3E2A" w:rsidRDefault="004453D6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ab/>
        <w:t xml:space="preserve">Desse modo, o trabalho de análise apontou para: a) falhas na mensuração dos benefícios do programa, que não foram capazes de apontar os impactos causados pelas medidas, muito menos atrair os possíveis destinatários; b) subutilização do orçamento requerido para o período analisado, já que não houve os investimentos requeridos, muito menos justificativas para tanto. A conclusão final sugere que haja medidas mais efetivas para combate às mudanças climáticas, observada a importância do tema e a potencialidade </w:t>
      </w:r>
      <w:r w:rsidR="0020136E"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>dos investimentos que possam ser realizados.</w:t>
      </w:r>
      <w:r w:rsidRPr="002E3E2A">
        <w:rPr>
          <w:rFonts w:ascii="Arial" w:eastAsia="Times New Roman" w:hAnsi="Arial" w:cs="Arial"/>
          <w:color w:val="000000" w:themeColor="text1"/>
          <w:sz w:val="20"/>
          <w:szCs w:val="20"/>
          <w:lang w:val="pt-PT" w:eastAsia="pt-BR"/>
        </w:rPr>
        <w:t xml:space="preserve"> </w:t>
      </w:r>
    </w:p>
    <w:p w:rsidR="00E23446" w:rsidRPr="002E3E2A" w:rsidRDefault="00E23446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23446" w:rsidRPr="002E3E2A" w:rsidRDefault="00E23446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 xml:space="preserve">Informe Executivo do Relatório/Acórdão/Decisão disponível em língua </w:t>
      </w:r>
      <w:r w:rsidR="0020136E" w:rsidRPr="002E3E2A">
        <w:rPr>
          <w:rFonts w:ascii="Arial" w:hAnsi="Arial" w:cs="Arial"/>
          <w:sz w:val="20"/>
          <w:szCs w:val="20"/>
        </w:rPr>
        <w:t>alemã</w:t>
      </w:r>
      <w:r w:rsidRPr="002E3E2A">
        <w:rPr>
          <w:rFonts w:ascii="Arial" w:hAnsi="Arial" w:cs="Arial"/>
          <w:sz w:val="20"/>
          <w:szCs w:val="20"/>
        </w:rPr>
        <w:t>:</w:t>
      </w:r>
    </w:p>
    <w:p w:rsidR="00DF3666" w:rsidRPr="002E3E2A" w:rsidRDefault="00DF3666" w:rsidP="002E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25BBB" w:rsidRDefault="0004014E" w:rsidP="00725BBB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15" w:history="1">
        <w:r w:rsidR="0020136E" w:rsidRPr="002E3E2A">
          <w:rPr>
            <w:rStyle w:val="Hyperlink"/>
            <w:rFonts w:ascii="Arial" w:hAnsi="Arial" w:cs="Arial"/>
            <w:sz w:val="20"/>
            <w:szCs w:val="20"/>
          </w:rPr>
          <w:t>https://www.bundesrechnungshof.de/de/veroeffentlichungen/produkte/bemerkungen-jahresberichte/jahresberichte/2019-ergaenzungsband/downloads/2019-bemerkungen-ergaenzungsband-pdf</w:t>
        </w:r>
      </w:hyperlink>
      <w:r w:rsidR="0020136E" w:rsidRPr="002E3E2A">
        <w:rPr>
          <w:rFonts w:ascii="Arial" w:hAnsi="Arial" w:cs="Arial"/>
          <w:sz w:val="20"/>
          <w:szCs w:val="20"/>
        </w:rPr>
        <w:t xml:space="preserve"> </w:t>
      </w:r>
    </w:p>
    <w:p w:rsidR="00725BBB" w:rsidRPr="00725BBB" w:rsidRDefault="00725BBB" w:rsidP="00725BB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23"/>
        <w:gridCol w:w="897"/>
      </w:tblGrid>
      <w:tr w:rsidR="00725BBB" w:rsidRPr="002E3E2A" w:rsidTr="00725BBB">
        <w:tc>
          <w:tcPr>
            <w:tcW w:w="8075" w:type="dxa"/>
          </w:tcPr>
          <w:p w:rsidR="00725BBB" w:rsidRPr="002E3E2A" w:rsidRDefault="00725BBB" w:rsidP="009777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FEDERAÇÃO RUSSA</w:t>
            </w:r>
            <w:r w:rsidRPr="002E3E2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19" w:type="dxa"/>
          </w:tcPr>
          <w:p w:rsidR="00725BBB" w:rsidRPr="002E3E2A" w:rsidRDefault="00725BBB" w:rsidP="009777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2E3E2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402902" cy="268941"/>
                  <wp:effectExtent l="12700" t="12700" r="16510" b="10795"/>
                  <wp:docPr id="5" name="Imagem 5" descr="Bandeira da RÃº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ndeira da RÃº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4" cy="30815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BBB" w:rsidRDefault="00725BBB" w:rsidP="002E3E2A">
      <w:pPr>
        <w:pBdr>
          <w:bottom w:val="double" w:sz="4" w:space="1" w:color="800000"/>
        </w:pBdr>
        <w:spacing w:after="0"/>
        <w:rPr>
          <w:rFonts w:ascii="Arial" w:hAnsi="Arial" w:cs="Arial"/>
          <w:b/>
          <w:color w:val="800000"/>
          <w:sz w:val="20"/>
          <w:szCs w:val="20"/>
        </w:rPr>
      </w:pPr>
    </w:p>
    <w:p w:rsidR="004773BD" w:rsidRPr="00725BBB" w:rsidRDefault="007143C3" w:rsidP="00725BBB">
      <w:pPr>
        <w:pBdr>
          <w:bottom w:val="double" w:sz="4" w:space="1" w:color="800000"/>
        </w:pBdr>
        <w:spacing w:after="0"/>
        <w:rPr>
          <w:rFonts w:ascii="Arial" w:hAnsi="Arial" w:cs="Arial"/>
          <w:b/>
          <w:color w:val="800000"/>
          <w:sz w:val="20"/>
          <w:szCs w:val="20"/>
        </w:rPr>
      </w:pPr>
      <w:proofErr w:type="gramStart"/>
      <w:r>
        <w:rPr>
          <w:rFonts w:ascii="Arial" w:hAnsi="Arial" w:cs="Arial"/>
          <w:b/>
          <w:color w:val="800000"/>
          <w:sz w:val="20"/>
          <w:szCs w:val="20"/>
        </w:rPr>
        <w:t>3</w:t>
      </w:r>
      <w:r w:rsidR="004773BD" w:rsidRPr="002E3E2A">
        <w:rPr>
          <w:rFonts w:ascii="Arial" w:hAnsi="Arial" w:cs="Arial"/>
          <w:b/>
          <w:color w:val="800000"/>
          <w:sz w:val="20"/>
          <w:szCs w:val="20"/>
        </w:rPr>
        <w:t xml:space="preserve"> - CÂMARA</w:t>
      </w:r>
      <w:proofErr w:type="gramEnd"/>
      <w:r w:rsidR="004773BD" w:rsidRPr="002E3E2A">
        <w:rPr>
          <w:rFonts w:ascii="Arial" w:hAnsi="Arial" w:cs="Arial"/>
          <w:b/>
          <w:color w:val="800000"/>
          <w:sz w:val="20"/>
          <w:szCs w:val="20"/>
        </w:rPr>
        <w:t xml:space="preserve"> DE CONTAS DA FEDERAÇÃO RUSSA</w:t>
      </w:r>
    </w:p>
    <w:p w:rsidR="00725BBB" w:rsidRDefault="004773BD" w:rsidP="002E3E2A">
      <w:pPr>
        <w:spacing w:after="0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Publicação original acessível em</w:t>
      </w:r>
      <w:r w:rsidRPr="002E3E2A">
        <w:rPr>
          <w:rFonts w:ascii="Arial" w:hAnsi="Arial" w:cs="Arial"/>
          <w:sz w:val="20"/>
          <w:szCs w:val="20"/>
        </w:rPr>
        <w:t>:</w:t>
      </w:r>
    </w:p>
    <w:p w:rsidR="00725BBB" w:rsidRDefault="00725BBB" w:rsidP="002E3E2A">
      <w:pPr>
        <w:spacing w:after="0"/>
        <w:rPr>
          <w:rFonts w:ascii="Arial" w:hAnsi="Arial" w:cs="Arial"/>
          <w:sz w:val="20"/>
          <w:szCs w:val="20"/>
        </w:rPr>
      </w:pPr>
    </w:p>
    <w:p w:rsidR="004773BD" w:rsidRDefault="0004014E" w:rsidP="002E3E2A">
      <w:pPr>
        <w:spacing w:after="0"/>
        <w:rPr>
          <w:rFonts w:ascii="Arial" w:hAnsi="Arial" w:cs="Arial"/>
          <w:sz w:val="20"/>
          <w:szCs w:val="20"/>
        </w:rPr>
      </w:pPr>
      <w:hyperlink r:id="rId17" w:history="1">
        <w:r w:rsidR="00725BBB" w:rsidRPr="00091E20">
          <w:rPr>
            <w:rStyle w:val="Hyperlink"/>
            <w:rFonts w:ascii="Arial" w:hAnsi="Arial" w:cs="Arial"/>
            <w:sz w:val="20"/>
            <w:szCs w:val="20"/>
          </w:rPr>
          <w:t>https://ach.gov.ru/statements/byulleten-schetnoy-palaty-9-274-2020-g</w:t>
        </w:r>
      </w:hyperlink>
      <w:r w:rsidR="00725BBB">
        <w:rPr>
          <w:rFonts w:ascii="Arial" w:hAnsi="Arial" w:cs="Arial"/>
          <w:sz w:val="20"/>
          <w:szCs w:val="20"/>
        </w:rPr>
        <w:t xml:space="preserve"> </w:t>
      </w:r>
    </w:p>
    <w:p w:rsidR="00725BBB" w:rsidRPr="002E3E2A" w:rsidRDefault="00725BBB" w:rsidP="002E3E2A">
      <w:pPr>
        <w:spacing w:after="0"/>
        <w:rPr>
          <w:rFonts w:ascii="Arial" w:hAnsi="Arial" w:cs="Arial"/>
          <w:sz w:val="20"/>
          <w:szCs w:val="20"/>
        </w:rPr>
      </w:pPr>
    </w:p>
    <w:p w:rsidR="004773BD" w:rsidRPr="002E3E2A" w:rsidRDefault="00725BBB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73BD" w:rsidRPr="002E3E2A">
        <w:rPr>
          <w:rFonts w:ascii="Arial" w:hAnsi="Arial" w:cs="Arial"/>
          <w:sz w:val="20"/>
          <w:szCs w:val="20"/>
        </w:rPr>
        <w:t>A Câmara de Contas da Federação Russa divulgou relatório sobre os resultados da atividade de controle de “Análise de indicadores de desempenho eventos individuais do programa estatal</w:t>
      </w:r>
      <w:r>
        <w:rPr>
          <w:rFonts w:ascii="Arial" w:hAnsi="Arial" w:cs="Arial"/>
          <w:sz w:val="20"/>
          <w:szCs w:val="20"/>
        </w:rPr>
        <w:t xml:space="preserve"> da</w:t>
      </w:r>
      <w:r w:rsidR="004773BD" w:rsidRPr="002E3E2A">
        <w:rPr>
          <w:rFonts w:ascii="Arial" w:hAnsi="Arial" w:cs="Arial"/>
          <w:sz w:val="20"/>
          <w:szCs w:val="20"/>
        </w:rPr>
        <w:t xml:space="preserve"> Federação Russa </w:t>
      </w:r>
      <w:r w:rsidR="00AA6EE2" w:rsidRPr="002E3E2A">
        <w:rPr>
          <w:rFonts w:ascii="Arial" w:hAnsi="Arial" w:cs="Arial"/>
          <w:sz w:val="20"/>
          <w:szCs w:val="20"/>
        </w:rPr>
        <w:t>‘</w:t>
      </w:r>
      <w:r w:rsidR="004773BD" w:rsidRPr="002E3E2A">
        <w:rPr>
          <w:rFonts w:ascii="Arial" w:hAnsi="Arial" w:cs="Arial"/>
          <w:sz w:val="20"/>
          <w:szCs w:val="20"/>
        </w:rPr>
        <w:t>Proteção Ambiental</w:t>
      </w:r>
      <w:r w:rsidR="00AA6EE2" w:rsidRPr="002E3E2A">
        <w:rPr>
          <w:rFonts w:ascii="Arial" w:hAnsi="Arial" w:cs="Arial"/>
          <w:sz w:val="20"/>
          <w:szCs w:val="20"/>
        </w:rPr>
        <w:t>’</w:t>
      </w:r>
      <w:r w:rsidR="004773BD" w:rsidRPr="002E3E2A">
        <w:rPr>
          <w:rFonts w:ascii="Arial" w:hAnsi="Arial" w:cs="Arial"/>
          <w:sz w:val="20"/>
          <w:szCs w:val="20"/>
        </w:rPr>
        <w:t xml:space="preserve"> para o período de 2012-2020</w:t>
      </w:r>
      <w:r w:rsidR="00AA6EE2" w:rsidRPr="002E3E2A">
        <w:rPr>
          <w:rFonts w:ascii="Arial" w:hAnsi="Arial" w:cs="Arial"/>
          <w:sz w:val="20"/>
          <w:szCs w:val="20"/>
        </w:rPr>
        <w:t>”</w:t>
      </w:r>
      <w:r w:rsidR="004773BD" w:rsidRPr="002E3E2A">
        <w:rPr>
          <w:rFonts w:ascii="Arial" w:hAnsi="Arial" w:cs="Arial"/>
          <w:sz w:val="20"/>
          <w:szCs w:val="20"/>
        </w:rPr>
        <w:t>.</w:t>
      </w:r>
    </w:p>
    <w:p w:rsidR="00BA5D32" w:rsidRPr="002E3E2A" w:rsidRDefault="00725BBB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73BD" w:rsidRPr="002E3E2A">
        <w:rPr>
          <w:rFonts w:ascii="Arial" w:hAnsi="Arial" w:cs="Arial"/>
          <w:sz w:val="20"/>
          <w:szCs w:val="20"/>
        </w:rPr>
        <w:t xml:space="preserve">A </w:t>
      </w:r>
      <w:r w:rsidR="00BA5D32" w:rsidRPr="002E3E2A">
        <w:rPr>
          <w:rFonts w:ascii="Arial" w:hAnsi="Arial" w:cs="Arial"/>
          <w:sz w:val="20"/>
          <w:szCs w:val="20"/>
        </w:rPr>
        <w:t>auditoria</w:t>
      </w:r>
      <w:r w:rsidR="004773BD" w:rsidRPr="002E3E2A">
        <w:rPr>
          <w:rFonts w:ascii="Arial" w:hAnsi="Arial" w:cs="Arial"/>
          <w:sz w:val="20"/>
          <w:szCs w:val="20"/>
        </w:rPr>
        <w:t xml:space="preserve"> teve como objetivo </w:t>
      </w:r>
      <w:r w:rsidR="00BA5D32" w:rsidRPr="002E3E2A">
        <w:rPr>
          <w:rFonts w:ascii="Arial" w:hAnsi="Arial" w:cs="Arial"/>
          <w:sz w:val="20"/>
          <w:szCs w:val="20"/>
        </w:rPr>
        <w:t>avaliar a eficácia das medidas tomadas pelas autoridades executivas das entidades constituintes da Federação Russa no âmbito da gestão de resíduos sólidos.</w:t>
      </w:r>
    </w:p>
    <w:p w:rsidR="00663E8D" w:rsidRPr="002E3E2A" w:rsidRDefault="00725BBB" w:rsidP="002E3E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63E8D" w:rsidRPr="002E3E2A">
        <w:rPr>
          <w:rFonts w:ascii="Arial" w:hAnsi="Arial" w:cs="Arial"/>
          <w:sz w:val="20"/>
          <w:szCs w:val="20"/>
        </w:rPr>
        <w:t xml:space="preserve">Dentre outras constatações, destacou-se necessidade ampliação da legislação ambiental, em especial a relativa a responsabilização de pessoas jurídicas responsáveis pela coleta de resíduos sólidos. Quanto à regulamentação das atividades das operadoras regionais, destacam-se a </w:t>
      </w:r>
      <w:r w:rsidR="00663E8D" w:rsidRPr="00663E8D">
        <w:rPr>
          <w:rFonts w:ascii="Arial" w:hAnsi="Arial" w:cs="Arial"/>
          <w:sz w:val="20"/>
          <w:szCs w:val="20"/>
        </w:rPr>
        <w:t>ausência de:</w:t>
      </w:r>
      <w:r w:rsidR="00663E8D" w:rsidRPr="002E3E2A">
        <w:rPr>
          <w:rFonts w:ascii="Arial" w:hAnsi="Arial" w:cs="Arial"/>
          <w:sz w:val="20"/>
          <w:szCs w:val="20"/>
        </w:rPr>
        <w:t xml:space="preserve"> </w:t>
      </w:r>
      <w:r w:rsidR="00663E8D" w:rsidRPr="00663E8D">
        <w:rPr>
          <w:rFonts w:ascii="Arial" w:hAnsi="Arial" w:cs="Arial"/>
          <w:sz w:val="20"/>
          <w:szCs w:val="20"/>
        </w:rPr>
        <w:t xml:space="preserve">responsabilidade por evasão de pessoas jurídicas de celebrar contratos com operadoras regionais de coleta de lixo, bem como por </w:t>
      </w:r>
      <w:r w:rsidR="0039081D" w:rsidRPr="002E3E2A">
        <w:rPr>
          <w:rFonts w:ascii="Arial" w:hAnsi="Arial" w:cs="Arial"/>
          <w:sz w:val="20"/>
          <w:szCs w:val="20"/>
        </w:rPr>
        <w:t>erros, dos</w:t>
      </w:r>
      <w:r w:rsidR="00663E8D" w:rsidRPr="002E3E2A">
        <w:rPr>
          <w:rFonts w:ascii="Arial" w:hAnsi="Arial" w:cs="Arial"/>
          <w:sz w:val="20"/>
          <w:szCs w:val="20"/>
        </w:rPr>
        <w:t xml:space="preserve"> </w:t>
      </w:r>
      <w:r w:rsidR="00663E8D" w:rsidRPr="00663E8D">
        <w:rPr>
          <w:rFonts w:ascii="Arial" w:hAnsi="Arial" w:cs="Arial"/>
          <w:sz w:val="20"/>
          <w:szCs w:val="20"/>
        </w:rPr>
        <w:t>operadores regionais</w:t>
      </w:r>
      <w:r w:rsidR="0039081D" w:rsidRPr="002E3E2A">
        <w:rPr>
          <w:rFonts w:ascii="Arial" w:hAnsi="Arial" w:cs="Arial"/>
          <w:sz w:val="20"/>
          <w:szCs w:val="20"/>
        </w:rPr>
        <w:t>, na</w:t>
      </w:r>
      <w:r w:rsidR="00663E8D" w:rsidRPr="00663E8D">
        <w:rPr>
          <w:rFonts w:ascii="Arial" w:hAnsi="Arial" w:cs="Arial"/>
          <w:sz w:val="20"/>
          <w:szCs w:val="20"/>
        </w:rPr>
        <w:t xml:space="preserve"> </w:t>
      </w:r>
      <w:r w:rsidR="0039081D" w:rsidRPr="002E3E2A">
        <w:rPr>
          <w:rFonts w:ascii="Arial" w:hAnsi="Arial" w:cs="Arial"/>
          <w:sz w:val="20"/>
          <w:szCs w:val="20"/>
        </w:rPr>
        <w:t xml:space="preserve">execução do esquema regulamentado </w:t>
      </w:r>
      <w:r w:rsidR="00663E8D" w:rsidRPr="00663E8D">
        <w:rPr>
          <w:rFonts w:ascii="Arial" w:hAnsi="Arial" w:cs="Arial"/>
          <w:sz w:val="20"/>
          <w:szCs w:val="20"/>
        </w:rPr>
        <w:t>de logística de resíduos ;</w:t>
      </w:r>
      <w:r w:rsidR="00663E8D" w:rsidRPr="002E3E2A">
        <w:rPr>
          <w:rFonts w:ascii="Arial" w:hAnsi="Arial" w:cs="Arial"/>
          <w:sz w:val="20"/>
          <w:szCs w:val="20"/>
        </w:rPr>
        <w:t xml:space="preserve"> u</w:t>
      </w:r>
      <w:r w:rsidR="00663E8D" w:rsidRPr="00663E8D">
        <w:rPr>
          <w:rFonts w:ascii="Arial" w:hAnsi="Arial" w:cs="Arial"/>
          <w:sz w:val="20"/>
          <w:szCs w:val="20"/>
        </w:rPr>
        <w:t>m mecanismo para assegurar o bom funcionamento do novo sistema de gestão de RSU em caso de evento (falência, liquidação,</w:t>
      </w:r>
      <w:r w:rsidR="0039081D" w:rsidRPr="002E3E2A">
        <w:rPr>
          <w:rFonts w:ascii="Arial" w:hAnsi="Arial" w:cs="Arial"/>
          <w:sz w:val="20"/>
          <w:szCs w:val="20"/>
        </w:rPr>
        <w:t xml:space="preserve"> </w:t>
      </w:r>
      <w:r w:rsidR="00663E8D" w:rsidRPr="00663E8D">
        <w:rPr>
          <w:rFonts w:ascii="Arial" w:hAnsi="Arial" w:cs="Arial"/>
          <w:sz w:val="20"/>
          <w:szCs w:val="20"/>
        </w:rPr>
        <w:t>renúncia de obrigações), em que uma pessoa jurídica não poderá cumprir suas obrigações até o final da seleção competitiva para</w:t>
      </w:r>
      <w:r w:rsidR="0039081D" w:rsidRPr="002E3E2A">
        <w:rPr>
          <w:rFonts w:ascii="Arial" w:hAnsi="Arial" w:cs="Arial"/>
          <w:sz w:val="20"/>
          <w:szCs w:val="20"/>
        </w:rPr>
        <w:t xml:space="preserve"> </w:t>
      </w:r>
      <w:r w:rsidR="00663E8D" w:rsidRPr="00663E8D">
        <w:rPr>
          <w:rFonts w:ascii="Arial" w:hAnsi="Arial" w:cs="Arial"/>
          <w:sz w:val="20"/>
          <w:szCs w:val="20"/>
        </w:rPr>
        <w:t>escolha de um novo operador regional.</w:t>
      </w:r>
    </w:p>
    <w:p w:rsidR="004773BD" w:rsidRPr="002E3E2A" w:rsidRDefault="004773BD" w:rsidP="002E3E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25BBB" w:rsidRDefault="004773BD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3E2A">
        <w:rPr>
          <w:rFonts w:ascii="Arial" w:hAnsi="Arial" w:cs="Arial"/>
          <w:color w:val="000000"/>
          <w:sz w:val="20"/>
          <w:szCs w:val="20"/>
          <w:shd w:val="clear" w:color="auto" w:fill="FFFFFF"/>
        </w:rPr>
        <w:t>Informe Executivo do Relatório/Acórdão/Decisão disponível em língua russa:</w:t>
      </w:r>
    </w:p>
    <w:p w:rsidR="00725BBB" w:rsidRDefault="00725BBB" w:rsidP="002E3E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4773BD" w:rsidRPr="002E3E2A" w:rsidRDefault="0004014E" w:rsidP="002E3E2A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  <w:hyperlink r:id="rId18" w:history="1"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ОТЧЕТ о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результатах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экспертно-аналитического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мероприятия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«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Анализ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показателей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,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характеризующих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результативность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отдельных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мероприятий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государственной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программы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Российской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Федерации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«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Охрана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окружающей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среды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»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на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2012-2020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годы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,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направленных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на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обеспечение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экологически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безопасного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обращения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с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твердыми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коммунальными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отходами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и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восстановление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нарушенных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естественных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экологических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систем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, в 2016-2017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годах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и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истекшем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периоде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2018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года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» (с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учетом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информации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контрольно-счетных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органов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субъектов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Российской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Федерации</w:t>
        </w:r>
        <w:proofErr w:type="spellEnd"/>
        <w:r w:rsidR="004773BD" w:rsidRPr="002E3E2A">
          <w:rPr>
            <w:rStyle w:val="Hyperlink"/>
            <w:rFonts w:ascii="Arial" w:hAnsi="Arial" w:cs="Arial"/>
            <w:sz w:val="20"/>
            <w:szCs w:val="20"/>
          </w:rPr>
          <w:t>).</w:t>
        </w:r>
      </w:hyperlink>
    </w:p>
    <w:p w:rsidR="004773BD" w:rsidRPr="002E3E2A" w:rsidRDefault="004773BD" w:rsidP="002E3E2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4773BD" w:rsidRPr="002E3E2A" w:rsidRDefault="004773BD" w:rsidP="002E3E2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543DF0" w:rsidRPr="002E3E2A" w:rsidRDefault="00543DF0" w:rsidP="002E3E2A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2E3E2A">
        <w:rPr>
          <w:b/>
          <w:sz w:val="20"/>
          <w:szCs w:val="20"/>
        </w:rPr>
        <w:t xml:space="preserve">Acesse também: </w:t>
      </w:r>
    </w:p>
    <w:p w:rsidR="00270E2F" w:rsidRPr="002E3E2A" w:rsidRDefault="0004014E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9" w:history="1">
        <w:r w:rsidR="00270E2F" w:rsidRPr="002E3E2A">
          <w:rPr>
            <w:rStyle w:val="Hyperlink"/>
            <w:b/>
            <w:sz w:val="20"/>
            <w:szCs w:val="20"/>
          </w:rPr>
          <w:t>Pesquisas Prontas</w:t>
        </w:r>
      </w:hyperlink>
    </w:p>
    <w:p w:rsidR="00E3262F" w:rsidRPr="002E3E2A" w:rsidRDefault="00E3262F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E3262F" w:rsidRPr="002E3E2A" w:rsidRDefault="0004014E" w:rsidP="002E3E2A">
      <w:pPr>
        <w:pStyle w:val="Default"/>
        <w:spacing w:line="276" w:lineRule="auto"/>
        <w:jc w:val="center"/>
        <w:rPr>
          <w:b/>
          <w:sz w:val="20"/>
          <w:szCs w:val="20"/>
        </w:rPr>
      </w:pPr>
      <w:hyperlink r:id="rId20" w:history="1">
        <w:r w:rsidR="00E3262F" w:rsidRPr="002E3E2A">
          <w:rPr>
            <w:rStyle w:val="Hyperlink"/>
            <w:b/>
            <w:sz w:val="20"/>
            <w:szCs w:val="20"/>
          </w:rPr>
          <w:t>Teses Ambientais</w:t>
        </w:r>
      </w:hyperlink>
    </w:p>
    <w:p w:rsidR="00270E2F" w:rsidRPr="002E3E2A" w:rsidRDefault="00270E2F" w:rsidP="002E3E2A">
      <w:pPr>
        <w:pStyle w:val="Default"/>
        <w:spacing w:line="276" w:lineRule="auto"/>
        <w:jc w:val="center"/>
        <w:rPr>
          <w:sz w:val="20"/>
          <w:szCs w:val="20"/>
        </w:rPr>
      </w:pPr>
    </w:p>
    <w:p w:rsidR="00270E2F" w:rsidRPr="002E3E2A" w:rsidRDefault="0004014E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1" w:history="1">
        <w:r w:rsidR="00270E2F" w:rsidRPr="002E3E2A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:rsidR="00270E2F" w:rsidRPr="002E3E2A" w:rsidRDefault="00270E2F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3E297C" w:rsidRPr="002E3E2A" w:rsidRDefault="0004014E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2" w:history="1">
        <w:r w:rsidR="003E297C" w:rsidRPr="002E3E2A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:rsidR="003E297C" w:rsidRPr="002E3E2A" w:rsidRDefault="003E297C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3E297C" w:rsidRPr="002E3E2A" w:rsidRDefault="0004014E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3" w:history="1">
        <w:r w:rsidR="003E297C" w:rsidRPr="002E3E2A">
          <w:rPr>
            <w:rStyle w:val="Hyperlink"/>
            <w:b/>
            <w:sz w:val="20"/>
            <w:szCs w:val="20"/>
          </w:rPr>
          <w:t>Súmulas Selecionadas</w:t>
        </w:r>
      </w:hyperlink>
    </w:p>
    <w:p w:rsidR="00270E2F" w:rsidRPr="002E3E2A" w:rsidRDefault="0004014E" w:rsidP="002E3E2A">
      <w:pPr>
        <w:pStyle w:val="TCU-Epgrafe"/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line id="Conector reto 59" o:spid="_x0000_s1027" style="position:absolute;left:0;text-align:left;z-index:251664896;visibility:visible;mso-position-horizontal-relative:margin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" strokecolor="maroon" strokeweight="2pt">
            <v:shadow on="t" color="black" opacity="24903f" origin=",.5" offset="0,.55556mm"/>
            <w10:wrap anchorx="margin"/>
          </v:line>
        </w:pict>
      </w:r>
    </w:p>
    <w:p w:rsidR="00984E8B" w:rsidRPr="002E3E2A" w:rsidRDefault="00984E8B" w:rsidP="002E3E2A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:rsidR="00E01524" w:rsidRPr="002E3E2A" w:rsidRDefault="00DB558E" w:rsidP="002E3E2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E3E2A"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sectPr w:rsidR="00E01524" w:rsidRPr="002E3E2A" w:rsidSect="004B42BB">
      <w:headerReference w:type="default" r:id="rId24"/>
      <w:footerReference w:type="default" r:id="rId25"/>
      <w:pgSz w:w="11906" w:h="16838"/>
      <w:pgMar w:top="549" w:right="1701" w:bottom="1417" w:left="1701" w:header="851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00" w:rsidRDefault="009F6100" w:rsidP="00350CC2">
      <w:pPr>
        <w:spacing w:after="0" w:line="240" w:lineRule="auto"/>
      </w:pPr>
      <w:r>
        <w:separator/>
      </w:r>
    </w:p>
  </w:endnote>
  <w:endnote w:type="continuationSeparator" w:id="0">
    <w:p w:rsidR="009F6100" w:rsidRDefault="009F6100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5F" w:rsidRDefault="000A4E5F" w:rsidP="002245DE">
    <w:pPr>
      <w:pStyle w:val="Rodap"/>
      <w:jc w:val="center"/>
      <w:rPr>
        <w:sz w:val="16"/>
        <w:szCs w:val="16"/>
      </w:rPr>
    </w:pPr>
  </w:p>
  <w:p w:rsidR="000A4E5F" w:rsidRPr="00AD1CE8" w:rsidRDefault="000A4E5F" w:rsidP="007A3F8C">
    <w:pPr>
      <w:pStyle w:val="Rodap"/>
      <w:jc w:val="right"/>
      <w:rPr>
        <w:rFonts w:ascii="Arial" w:hAnsi="Arial"/>
        <w:b/>
        <w:color w:val="FFFFFF" w:themeColor="background1"/>
        <w:sz w:val="20"/>
        <w:szCs w:val="20"/>
      </w:rPr>
    </w:pPr>
    <w:r w:rsidRPr="00AD1CE8">
      <w:rPr>
        <w:rFonts w:ascii="Arial" w:hAnsi="Arial"/>
        <w:b/>
        <w:noProof/>
        <w:color w:val="FFFFFF" w:themeColor="background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-1121410</wp:posOffset>
          </wp:positionH>
          <wp:positionV relativeFrom="paragraph">
            <wp:posOffset>-393065</wp:posOffset>
          </wp:positionV>
          <wp:extent cx="7643495" cy="704850"/>
          <wp:effectExtent l="0" t="0" r="1905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14E" w:rsidRPr="00AD1CE8">
      <w:rPr>
        <w:rFonts w:ascii="Arial" w:hAnsi="Arial"/>
        <w:b/>
        <w:color w:val="FFFFFF" w:themeColor="background1"/>
        <w:sz w:val="20"/>
        <w:szCs w:val="20"/>
      </w:rPr>
      <w:fldChar w:fldCharType="begin"/>
    </w:r>
    <w:r w:rsidRPr="00AD1CE8">
      <w:rPr>
        <w:rFonts w:ascii="Arial" w:hAnsi="Arial"/>
        <w:b/>
        <w:color w:val="FFFFFF" w:themeColor="background1"/>
        <w:sz w:val="20"/>
        <w:szCs w:val="20"/>
      </w:rPr>
      <w:instrText xml:space="preserve"> PAGE   \* MERGEFORMAT </w:instrText>
    </w:r>
    <w:r w:rsidR="0004014E" w:rsidRPr="00AD1CE8">
      <w:rPr>
        <w:rFonts w:ascii="Arial" w:hAnsi="Arial"/>
        <w:b/>
        <w:color w:val="FFFFFF" w:themeColor="background1"/>
        <w:sz w:val="20"/>
        <w:szCs w:val="20"/>
      </w:rPr>
      <w:fldChar w:fldCharType="separate"/>
    </w:r>
    <w:r w:rsidR="007143C3">
      <w:rPr>
        <w:rFonts w:ascii="Arial" w:hAnsi="Arial"/>
        <w:b/>
        <w:noProof/>
        <w:color w:val="FFFFFF" w:themeColor="background1"/>
        <w:sz w:val="20"/>
        <w:szCs w:val="20"/>
      </w:rPr>
      <w:t>6</w:t>
    </w:r>
    <w:r w:rsidR="0004014E" w:rsidRPr="00AD1CE8">
      <w:rPr>
        <w:rFonts w:ascii="Arial" w:hAnsi="Arial"/>
        <w:b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00" w:rsidRDefault="009F6100" w:rsidP="00350CC2">
      <w:pPr>
        <w:spacing w:after="0" w:line="240" w:lineRule="auto"/>
      </w:pPr>
      <w:r>
        <w:separator/>
      </w:r>
    </w:p>
  </w:footnote>
  <w:footnote w:type="continuationSeparator" w:id="0">
    <w:p w:rsidR="009F6100" w:rsidRDefault="009F6100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5F" w:rsidRDefault="000A4E5F" w:rsidP="00F14CCC">
    <w:pPr>
      <w:pStyle w:val="Cabealho"/>
      <w:spacing w:after="100" w:afterAutospacing="1"/>
      <w:jc w:val="center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-1156335</wp:posOffset>
          </wp:positionH>
          <wp:positionV relativeFrom="margin">
            <wp:posOffset>-1261110</wp:posOffset>
          </wp:positionV>
          <wp:extent cx="7713345" cy="1442085"/>
          <wp:effectExtent l="0" t="0" r="825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1442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4E5F" w:rsidRDefault="000A4E5F" w:rsidP="00F14CCC">
    <w:pPr>
      <w:pStyle w:val="Cabealho"/>
      <w:spacing w:after="100" w:afterAutospacing="1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E3137"/>
    <w:multiLevelType w:val="hybridMultilevel"/>
    <w:tmpl w:val="13B44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569EB"/>
    <w:multiLevelType w:val="hybridMultilevel"/>
    <w:tmpl w:val="7628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B539B"/>
    <w:multiLevelType w:val="hybridMultilevel"/>
    <w:tmpl w:val="0A9ED2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546F5"/>
    <w:multiLevelType w:val="hybridMultilevel"/>
    <w:tmpl w:val="9D228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066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634A4"/>
    <w:multiLevelType w:val="hybridMultilevel"/>
    <w:tmpl w:val="78C8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5"/>
  </w:num>
  <w:num w:numId="5">
    <w:abstractNumId w:val="16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3"/>
  </w:num>
  <w:num w:numId="14">
    <w:abstractNumId w:val="12"/>
  </w:num>
  <w:num w:numId="15">
    <w:abstractNumId w:val="11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352"/>
    <w:rsid w:val="00017EBA"/>
    <w:rsid w:val="00021B0A"/>
    <w:rsid w:val="00022D68"/>
    <w:rsid w:val="00025971"/>
    <w:rsid w:val="000262AD"/>
    <w:rsid w:val="00027A03"/>
    <w:rsid w:val="00027FAB"/>
    <w:rsid w:val="000300F4"/>
    <w:rsid w:val="00032A26"/>
    <w:rsid w:val="00033422"/>
    <w:rsid w:val="00033E69"/>
    <w:rsid w:val="0004014E"/>
    <w:rsid w:val="00040EBA"/>
    <w:rsid w:val="00042502"/>
    <w:rsid w:val="00042DF3"/>
    <w:rsid w:val="00043184"/>
    <w:rsid w:val="000433EC"/>
    <w:rsid w:val="000439FD"/>
    <w:rsid w:val="00045700"/>
    <w:rsid w:val="00046191"/>
    <w:rsid w:val="00046E21"/>
    <w:rsid w:val="00047EF1"/>
    <w:rsid w:val="00051DC8"/>
    <w:rsid w:val="00052862"/>
    <w:rsid w:val="00053B72"/>
    <w:rsid w:val="0005447E"/>
    <w:rsid w:val="00056686"/>
    <w:rsid w:val="00056E6F"/>
    <w:rsid w:val="000572CE"/>
    <w:rsid w:val="000617CF"/>
    <w:rsid w:val="00062521"/>
    <w:rsid w:val="00062737"/>
    <w:rsid w:val="00067E01"/>
    <w:rsid w:val="00070009"/>
    <w:rsid w:val="00070B14"/>
    <w:rsid w:val="000713DD"/>
    <w:rsid w:val="00071DE3"/>
    <w:rsid w:val="0007200C"/>
    <w:rsid w:val="00073305"/>
    <w:rsid w:val="00073F9F"/>
    <w:rsid w:val="00074287"/>
    <w:rsid w:val="000747BF"/>
    <w:rsid w:val="00074FAB"/>
    <w:rsid w:val="000759E5"/>
    <w:rsid w:val="00076184"/>
    <w:rsid w:val="000800D1"/>
    <w:rsid w:val="00081051"/>
    <w:rsid w:val="00085557"/>
    <w:rsid w:val="00086299"/>
    <w:rsid w:val="0009260D"/>
    <w:rsid w:val="000926D4"/>
    <w:rsid w:val="00092E5D"/>
    <w:rsid w:val="0009482D"/>
    <w:rsid w:val="0009711C"/>
    <w:rsid w:val="0009762F"/>
    <w:rsid w:val="00097B00"/>
    <w:rsid w:val="000A05C5"/>
    <w:rsid w:val="000A0748"/>
    <w:rsid w:val="000A0E48"/>
    <w:rsid w:val="000A250D"/>
    <w:rsid w:val="000A29BE"/>
    <w:rsid w:val="000A3C2D"/>
    <w:rsid w:val="000A3E63"/>
    <w:rsid w:val="000A47FD"/>
    <w:rsid w:val="000A4E5F"/>
    <w:rsid w:val="000A4EB6"/>
    <w:rsid w:val="000A5F01"/>
    <w:rsid w:val="000A71D1"/>
    <w:rsid w:val="000A7F5C"/>
    <w:rsid w:val="000B04A0"/>
    <w:rsid w:val="000B11D2"/>
    <w:rsid w:val="000B1E10"/>
    <w:rsid w:val="000B2FD9"/>
    <w:rsid w:val="000B311A"/>
    <w:rsid w:val="000B31B6"/>
    <w:rsid w:val="000B47C0"/>
    <w:rsid w:val="000B5152"/>
    <w:rsid w:val="000C2948"/>
    <w:rsid w:val="000C3582"/>
    <w:rsid w:val="000C4F73"/>
    <w:rsid w:val="000C5093"/>
    <w:rsid w:val="000C5460"/>
    <w:rsid w:val="000C5EB3"/>
    <w:rsid w:val="000C63BC"/>
    <w:rsid w:val="000C654E"/>
    <w:rsid w:val="000C7D67"/>
    <w:rsid w:val="000D2D5B"/>
    <w:rsid w:val="000D357D"/>
    <w:rsid w:val="000D4DE6"/>
    <w:rsid w:val="000D560C"/>
    <w:rsid w:val="000D5CB1"/>
    <w:rsid w:val="000D6D01"/>
    <w:rsid w:val="000E07B8"/>
    <w:rsid w:val="000E0E50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255B"/>
    <w:rsid w:val="000F314C"/>
    <w:rsid w:val="000F39A5"/>
    <w:rsid w:val="000F639D"/>
    <w:rsid w:val="000F7C1B"/>
    <w:rsid w:val="00100B9C"/>
    <w:rsid w:val="0010674D"/>
    <w:rsid w:val="00106AA9"/>
    <w:rsid w:val="00106B27"/>
    <w:rsid w:val="00110517"/>
    <w:rsid w:val="00110554"/>
    <w:rsid w:val="00110B0B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0CF6"/>
    <w:rsid w:val="001411E6"/>
    <w:rsid w:val="001415BA"/>
    <w:rsid w:val="00142D10"/>
    <w:rsid w:val="00144712"/>
    <w:rsid w:val="001472C1"/>
    <w:rsid w:val="00150844"/>
    <w:rsid w:val="001529D8"/>
    <w:rsid w:val="00156185"/>
    <w:rsid w:val="00156F74"/>
    <w:rsid w:val="00157806"/>
    <w:rsid w:val="00157D64"/>
    <w:rsid w:val="0016028F"/>
    <w:rsid w:val="00161AA2"/>
    <w:rsid w:val="0016670D"/>
    <w:rsid w:val="00166A96"/>
    <w:rsid w:val="001675C3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878C0"/>
    <w:rsid w:val="00187E56"/>
    <w:rsid w:val="00190B94"/>
    <w:rsid w:val="001930D1"/>
    <w:rsid w:val="001942C5"/>
    <w:rsid w:val="00196437"/>
    <w:rsid w:val="001975AB"/>
    <w:rsid w:val="001A087B"/>
    <w:rsid w:val="001A16DE"/>
    <w:rsid w:val="001A233D"/>
    <w:rsid w:val="001A5D2D"/>
    <w:rsid w:val="001A73A2"/>
    <w:rsid w:val="001B096B"/>
    <w:rsid w:val="001B5B65"/>
    <w:rsid w:val="001B5F7A"/>
    <w:rsid w:val="001B6AFE"/>
    <w:rsid w:val="001B6E08"/>
    <w:rsid w:val="001C0F23"/>
    <w:rsid w:val="001C46A8"/>
    <w:rsid w:val="001C535A"/>
    <w:rsid w:val="001C614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777"/>
    <w:rsid w:val="001E2E5A"/>
    <w:rsid w:val="001E5F2E"/>
    <w:rsid w:val="001E6CAA"/>
    <w:rsid w:val="001E73FF"/>
    <w:rsid w:val="001E75A7"/>
    <w:rsid w:val="001F7A25"/>
    <w:rsid w:val="0020136E"/>
    <w:rsid w:val="002013D1"/>
    <w:rsid w:val="0020195B"/>
    <w:rsid w:val="00202E6D"/>
    <w:rsid w:val="00202F4B"/>
    <w:rsid w:val="002036C8"/>
    <w:rsid w:val="002056F4"/>
    <w:rsid w:val="002100EE"/>
    <w:rsid w:val="00211A49"/>
    <w:rsid w:val="00213BD0"/>
    <w:rsid w:val="002147AC"/>
    <w:rsid w:val="00215BFE"/>
    <w:rsid w:val="00215EF3"/>
    <w:rsid w:val="00216825"/>
    <w:rsid w:val="0022060B"/>
    <w:rsid w:val="00220BB1"/>
    <w:rsid w:val="00221D15"/>
    <w:rsid w:val="00223A59"/>
    <w:rsid w:val="00223F1C"/>
    <w:rsid w:val="002245DE"/>
    <w:rsid w:val="00224904"/>
    <w:rsid w:val="00232878"/>
    <w:rsid w:val="0023318C"/>
    <w:rsid w:val="00234AE0"/>
    <w:rsid w:val="00235F82"/>
    <w:rsid w:val="00236689"/>
    <w:rsid w:val="00237C21"/>
    <w:rsid w:val="00237FAE"/>
    <w:rsid w:val="0024200E"/>
    <w:rsid w:val="0024221D"/>
    <w:rsid w:val="002426C3"/>
    <w:rsid w:val="002450AA"/>
    <w:rsid w:val="002456AD"/>
    <w:rsid w:val="00245F7B"/>
    <w:rsid w:val="002478B9"/>
    <w:rsid w:val="00251273"/>
    <w:rsid w:val="00251BED"/>
    <w:rsid w:val="00252A2A"/>
    <w:rsid w:val="00252AA5"/>
    <w:rsid w:val="00253ADA"/>
    <w:rsid w:val="00254615"/>
    <w:rsid w:val="00255360"/>
    <w:rsid w:val="00256A12"/>
    <w:rsid w:val="00256CEA"/>
    <w:rsid w:val="002571B4"/>
    <w:rsid w:val="00260758"/>
    <w:rsid w:val="00260D58"/>
    <w:rsid w:val="0026477F"/>
    <w:rsid w:val="00264D08"/>
    <w:rsid w:val="00264F10"/>
    <w:rsid w:val="0026510B"/>
    <w:rsid w:val="002659BA"/>
    <w:rsid w:val="0026729F"/>
    <w:rsid w:val="00270E2F"/>
    <w:rsid w:val="00271154"/>
    <w:rsid w:val="00271655"/>
    <w:rsid w:val="0027569C"/>
    <w:rsid w:val="002805F1"/>
    <w:rsid w:val="00282C4C"/>
    <w:rsid w:val="00286EB4"/>
    <w:rsid w:val="002874A2"/>
    <w:rsid w:val="002921E2"/>
    <w:rsid w:val="00295591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300"/>
    <w:rsid w:val="002B5E9F"/>
    <w:rsid w:val="002B5F5B"/>
    <w:rsid w:val="002B66D9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650"/>
    <w:rsid w:val="002D7F74"/>
    <w:rsid w:val="002E09B1"/>
    <w:rsid w:val="002E0A60"/>
    <w:rsid w:val="002E3394"/>
    <w:rsid w:val="002E3E2A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5374"/>
    <w:rsid w:val="002F73BA"/>
    <w:rsid w:val="003005B3"/>
    <w:rsid w:val="0030165B"/>
    <w:rsid w:val="00302340"/>
    <w:rsid w:val="00303C9C"/>
    <w:rsid w:val="00305A67"/>
    <w:rsid w:val="00306B80"/>
    <w:rsid w:val="00307038"/>
    <w:rsid w:val="003129B0"/>
    <w:rsid w:val="00313238"/>
    <w:rsid w:val="003132BE"/>
    <w:rsid w:val="00320577"/>
    <w:rsid w:val="00320FCE"/>
    <w:rsid w:val="0032266D"/>
    <w:rsid w:val="00325E2F"/>
    <w:rsid w:val="003265DB"/>
    <w:rsid w:val="003269A9"/>
    <w:rsid w:val="00327DF9"/>
    <w:rsid w:val="0033073E"/>
    <w:rsid w:val="00331533"/>
    <w:rsid w:val="0033240F"/>
    <w:rsid w:val="00333875"/>
    <w:rsid w:val="0033604C"/>
    <w:rsid w:val="0034001F"/>
    <w:rsid w:val="003407F0"/>
    <w:rsid w:val="00342B5C"/>
    <w:rsid w:val="00343C28"/>
    <w:rsid w:val="00344A3D"/>
    <w:rsid w:val="00344A41"/>
    <w:rsid w:val="0034575E"/>
    <w:rsid w:val="00345C65"/>
    <w:rsid w:val="00350CC2"/>
    <w:rsid w:val="00351206"/>
    <w:rsid w:val="0035203F"/>
    <w:rsid w:val="003528A1"/>
    <w:rsid w:val="00352A72"/>
    <w:rsid w:val="0035371B"/>
    <w:rsid w:val="00353FEB"/>
    <w:rsid w:val="00356987"/>
    <w:rsid w:val="00356FB0"/>
    <w:rsid w:val="00360429"/>
    <w:rsid w:val="00361DA5"/>
    <w:rsid w:val="00361F1D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751C"/>
    <w:rsid w:val="0038778B"/>
    <w:rsid w:val="0039081D"/>
    <w:rsid w:val="00394451"/>
    <w:rsid w:val="0039584A"/>
    <w:rsid w:val="0039625A"/>
    <w:rsid w:val="00396E93"/>
    <w:rsid w:val="003A18B4"/>
    <w:rsid w:val="003A4828"/>
    <w:rsid w:val="003A64CB"/>
    <w:rsid w:val="003A6622"/>
    <w:rsid w:val="003A673F"/>
    <w:rsid w:val="003B145D"/>
    <w:rsid w:val="003B1A1F"/>
    <w:rsid w:val="003B4678"/>
    <w:rsid w:val="003B4F77"/>
    <w:rsid w:val="003B502C"/>
    <w:rsid w:val="003B5992"/>
    <w:rsid w:val="003C0E8B"/>
    <w:rsid w:val="003C6B35"/>
    <w:rsid w:val="003C7C21"/>
    <w:rsid w:val="003D0632"/>
    <w:rsid w:val="003D650C"/>
    <w:rsid w:val="003D6713"/>
    <w:rsid w:val="003D6E90"/>
    <w:rsid w:val="003D7C37"/>
    <w:rsid w:val="003E110D"/>
    <w:rsid w:val="003E1B24"/>
    <w:rsid w:val="003E297C"/>
    <w:rsid w:val="003E3529"/>
    <w:rsid w:val="003E3D02"/>
    <w:rsid w:val="003E3E6A"/>
    <w:rsid w:val="003E55BC"/>
    <w:rsid w:val="003E58B9"/>
    <w:rsid w:val="003E5D10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A72"/>
    <w:rsid w:val="00420AE1"/>
    <w:rsid w:val="00424D0F"/>
    <w:rsid w:val="0042728A"/>
    <w:rsid w:val="004276DC"/>
    <w:rsid w:val="0042779B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53D6"/>
    <w:rsid w:val="00447BB2"/>
    <w:rsid w:val="004527ED"/>
    <w:rsid w:val="00455387"/>
    <w:rsid w:val="00455AAB"/>
    <w:rsid w:val="004568CE"/>
    <w:rsid w:val="00457317"/>
    <w:rsid w:val="004611E1"/>
    <w:rsid w:val="0046165B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773BD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0DE"/>
    <w:rsid w:val="004965C3"/>
    <w:rsid w:val="00497639"/>
    <w:rsid w:val="004A0574"/>
    <w:rsid w:val="004A0A41"/>
    <w:rsid w:val="004A20E7"/>
    <w:rsid w:val="004A22CF"/>
    <w:rsid w:val="004A5804"/>
    <w:rsid w:val="004A794E"/>
    <w:rsid w:val="004B142E"/>
    <w:rsid w:val="004B1C0F"/>
    <w:rsid w:val="004B25CD"/>
    <w:rsid w:val="004B3D26"/>
    <w:rsid w:val="004B42BB"/>
    <w:rsid w:val="004B44C1"/>
    <w:rsid w:val="004B623F"/>
    <w:rsid w:val="004B6EA7"/>
    <w:rsid w:val="004C11DE"/>
    <w:rsid w:val="004C13DB"/>
    <w:rsid w:val="004D00EF"/>
    <w:rsid w:val="004D14AD"/>
    <w:rsid w:val="004D376C"/>
    <w:rsid w:val="004D3864"/>
    <w:rsid w:val="004D4CBA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67E0"/>
    <w:rsid w:val="00510B62"/>
    <w:rsid w:val="00511F85"/>
    <w:rsid w:val="00516673"/>
    <w:rsid w:val="00517B69"/>
    <w:rsid w:val="00520368"/>
    <w:rsid w:val="00522368"/>
    <w:rsid w:val="00523227"/>
    <w:rsid w:val="00523246"/>
    <w:rsid w:val="005237FD"/>
    <w:rsid w:val="005246B4"/>
    <w:rsid w:val="005252F8"/>
    <w:rsid w:val="00525561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AB5"/>
    <w:rsid w:val="00546D89"/>
    <w:rsid w:val="00547AFC"/>
    <w:rsid w:val="0055022A"/>
    <w:rsid w:val="005503E5"/>
    <w:rsid w:val="005513B0"/>
    <w:rsid w:val="00551E3C"/>
    <w:rsid w:val="00556F73"/>
    <w:rsid w:val="005576BE"/>
    <w:rsid w:val="005603B3"/>
    <w:rsid w:val="00561787"/>
    <w:rsid w:val="0056193C"/>
    <w:rsid w:val="00561EF9"/>
    <w:rsid w:val="00564587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7A"/>
    <w:rsid w:val="005957D1"/>
    <w:rsid w:val="00597215"/>
    <w:rsid w:val="005A0FD0"/>
    <w:rsid w:val="005A1468"/>
    <w:rsid w:val="005A4536"/>
    <w:rsid w:val="005A578C"/>
    <w:rsid w:val="005A5AF2"/>
    <w:rsid w:val="005A742F"/>
    <w:rsid w:val="005A7C78"/>
    <w:rsid w:val="005B0589"/>
    <w:rsid w:val="005B1A0A"/>
    <w:rsid w:val="005B4F6C"/>
    <w:rsid w:val="005B5AA9"/>
    <w:rsid w:val="005B7055"/>
    <w:rsid w:val="005B7D51"/>
    <w:rsid w:val="005C4763"/>
    <w:rsid w:val="005C4DB7"/>
    <w:rsid w:val="005C5144"/>
    <w:rsid w:val="005C5DC8"/>
    <w:rsid w:val="005C6564"/>
    <w:rsid w:val="005C661E"/>
    <w:rsid w:val="005C7258"/>
    <w:rsid w:val="005D1E9E"/>
    <w:rsid w:val="005D48C8"/>
    <w:rsid w:val="005D55A6"/>
    <w:rsid w:val="005D58CE"/>
    <w:rsid w:val="005D6DB4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6B20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6B1E"/>
    <w:rsid w:val="00607152"/>
    <w:rsid w:val="006105E3"/>
    <w:rsid w:val="006115E2"/>
    <w:rsid w:val="006121F2"/>
    <w:rsid w:val="00613D08"/>
    <w:rsid w:val="0061491F"/>
    <w:rsid w:val="00615FC7"/>
    <w:rsid w:val="00620DEF"/>
    <w:rsid w:val="00621C33"/>
    <w:rsid w:val="0062204C"/>
    <w:rsid w:val="00623188"/>
    <w:rsid w:val="00626DD6"/>
    <w:rsid w:val="0062719D"/>
    <w:rsid w:val="00627FDF"/>
    <w:rsid w:val="00630296"/>
    <w:rsid w:val="006331E3"/>
    <w:rsid w:val="00633776"/>
    <w:rsid w:val="00633C62"/>
    <w:rsid w:val="006361F0"/>
    <w:rsid w:val="006372A4"/>
    <w:rsid w:val="006375ED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4D9D"/>
    <w:rsid w:val="00654FCC"/>
    <w:rsid w:val="00660C02"/>
    <w:rsid w:val="0066104E"/>
    <w:rsid w:val="0066130F"/>
    <w:rsid w:val="0066184E"/>
    <w:rsid w:val="006637FF"/>
    <w:rsid w:val="00663E8D"/>
    <w:rsid w:val="006641F4"/>
    <w:rsid w:val="006645D9"/>
    <w:rsid w:val="00665EBC"/>
    <w:rsid w:val="00667637"/>
    <w:rsid w:val="00667BE8"/>
    <w:rsid w:val="0067150D"/>
    <w:rsid w:val="00673A29"/>
    <w:rsid w:val="00673AD9"/>
    <w:rsid w:val="00675371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5488"/>
    <w:rsid w:val="00697D60"/>
    <w:rsid w:val="006A27BC"/>
    <w:rsid w:val="006A27D6"/>
    <w:rsid w:val="006A3A42"/>
    <w:rsid w:val="006A41B4"/>
    <w:rsid w:val="006A4A70"/>
    <w:rsid w:val="006A5FD7"/>
    <w:rsid w:val="006A62B0"/>
    <w:rsid w:val="006A681E"/>
    <w:rsid w:val="006B143E"/>
    <w:rsid w:val="006B30E3"/>
    <w:rsid w:val="006B4AF8"/>
    <w:rsid w:val="006B5E72"/>
    <w:rsid w:val="006B6205"/>
    <w:rsid w:val="006C058F"/>
    <w:rsid w:val="006C3252"/>
    <w:rsid w:val="006C7A04"/>
    <w:rsid w:val="006D158F"/>
    <w:rsid w:val="006D1B83"/>
    <w:rsid w:val="006D1BE7"/>
    <w:rsid w:val="006D3590"/>
    <w:rsid w:val="006D5C98"/>
    <w:rsid w:val="006D6FCC"/>
    <w:rsid w:val="006E0A9F"/>
    <w:rsid w:val="006E12D5"/>
    <w:rsid w:val="006E1EDC"/>
    <w:rsid w:val="006E26E8"/>
    <w:rsid w:val="006E4493"/>
    <w:rsid w:val="006E76B0"/>
    <w:rsid w:val="006F08D4"/>
    <w:rsid w:val="006F1E4D"/>
    <w:rsid w:val="006F3318"/>
    <w:rsid w:val="006F39CF"/>
    <w:rsid w:val="006F4894"/>
    <w:rsid w:val="006F58F5"/>
    <w:rsid w:val="006F676D"/>
    <w:rsid w:val="00700672"/>
    <w:rsid w:val="00701319"/>
    <w:rsid w:val="00701A95"/>
    <w:rsid w:val="0070237D"/>
    <w:rsid w:val="00702F7C"/>
    <w:rsid w:val="00706127"/>
    <w:rsid w:val="007077CD"/>
    <w:rsid w:val="00710EDD"/>
    <w:rsid w:val="00712A93"/>
    <w:rsid w:val="007143C3"/>
    <w:rsid w:val="00714CF1"/>
    <w:rsid w:val="00715CEB"/>
    <w:rsid w:val="00717A58"/>
    <w:rsid w:val="00722924"/>
    <w:rsid w:val="00723D30"/>
    <w:rsid w:val="00723F1A"/>
    <w:rsid w:val="00725BBB"/>
    <w:rsid w:val="00726974"/>
    <w:rsid w:val="007306BB"/>
    <w:rsid w:val="007319AD"/>
    <w:rsid w:val="00732257"/>
    <w:rsid w:val="00736503"/>
    <w:rsid w:val="00740240"/>
    <w:rsid w:val="0074037C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57E7C"/>
    <w:rsid w:val="007608F0"/>
    <w:rsid w:val="00762976"/>
    <w:rsid w:val="00766360"/>
    <w:rsid w:val="00766752"/>
    <w:rsid w:val="00766834"/>
    <w:rsid w:val="00766EC7"/>
    <w:rsid w:val="00767911"/>
    <w:rsid w:val="0077082D"/>
    <w:rsid w:val="0077181C"/>
    <w:rsid w:val="00771AF0"/>
    <w:rsid w:val="0077499E"/>
    <w:rsid w:val="0077508F"/>
    <w:rsid w:val="007752E2"/>
    <w:rsid w:val="00780406"/>
    <w:rsid w:val="00781F5F"/>
    <w:rsid w:val="00783479"/>
    <w:rsid w:val="00783696"/>
    <w:rsid w:val="00783D3E"/>
    <w:rsid w:val="007849A7"/>
    <w:rsid w:val="00784B5D"/>
    <w:rsid w:val="00785DB0"/>
    <w:rsid w:val="00791384"/>
    <w:rsid w:val="00791D74"/>
    <w:rsid w:val="00791E5B"/>
    <w:rsid w:val="007931D7"/>
    <w:rsid w:val="00793B03"/>
    <w:rsid w:val="007949B4"/>
    <w:rsid w:val="0079708B"/>
    <w:rsid w:val="0079779E"/>
    <w:rsid w:val="007A3F8C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20C"/>
    <w:rsid w:val="007C250E"/>
    <w:rsid w:val="007C2CD7"/>
    <w:rsid w:val="007C4826"/>
    <w:rsid w:val="007D009C"/>
    <w:rsid w:val="007D2162"/>
    <w:rsid w:val="007D369F"/>
    <w:rsid w:val="007D5A53"/>
    <w:rsid w:val="007D62D9"/>
    <w:rsid w:val="007D6A5B"/>
    <w:rsid w:val="007D73C9"/>
    <w:rsid w:val="007D79DF"/>
    <w:rsid w:val="007E04AB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DAE"/>
    <w:rsid w:val="00801EFD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942"/>
    <w:rsid w:val="00816D1F"/>
    <w:rsid w:val="0081738B"/>
    <w:rsid w:val="0082026A"/>
    <w:rsid w:val="008219BA"/>
    <w:rsid w:val="00824136"/>
    <w:rsid w:val="00825736"/>
    <w:rsid w:val="00826075"/>
    <w:rsid w:val="008267CA"/>
    <w:rsid w:val="00826A19"/>
    <w:rsid w:val="008312D4"/>
    <w:rsid w:val="008317C8"/>
    <w:rsid w:val="00831915"/>
    <w:rsid w:val="0083209C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1BF"/>
    <w:rsid w:val="00861E25"/>
    <w:rsid w:val="008633B6"/>
    <w:rsid w:val="0086402F"/>
    <w:rsid w:val="00866481"/>
    <w:rsid w:val="00867F35"/>
    <w:rsid w:val="0087076A"/>
    <w:rsid w:val="00870853"/>
    <w:rsid w:val="00870B9F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563"/>
    <w:rsid w:val="00890A70"/>
    <w:rsid w:val="00890DDC"/>
    <w:rsid w:val="00890F9C"/>
    <w:rsid w:val="00892559"/>
    <w:rsid w:val="008928B6"/>
    <w:rsid w:val="00894CA0"/>
    <w:rsid w:val="00895461"/>
    <w:rsid w:val="008957B1"/>
    <w:rsid w:val="00895B3E"/>
    <w:rsid w:val="00896190"/>
    <w:rsid w:val="00897C5E"/>
    <w:rsid w:val="008A1517"/>
    <w:rsid w:val="008A2307"/>
    <w:rsid w:val="008A2B8F"/>
    <w:rsid w:val="008A2BB7"/>
    <w:rsid w:val="008A4000"/>
    <w:rsid w:val="008A4A65"/>
    <w:rsid w:val="008A6621"/>
    <w:rsid w:val="008A679F"/>
    <w:rsid w:val="008A70A5"/>
    <w:rsid w:val="008B178D"/>
    <w:rsid w:val="008B201B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C26E1"/>
    <w:rsid w:val="008D0FDE"/>
    <w:rsid w:val="008D1051"/>
    <w:rsid w:val="008D22BE"/>
    <w:rsid w:val="008D321B"/>
    <w:rsid w:val="008D48D6"/>
    <w:rsid w:val="008D7542"/>
    <w:rsid w:val="008D7F7C"/>
    <w:rsid w:val="008E0835"/>
    <w:rsid w:val="008E16ED"/>
    <w:rsid w:val="008E280E"/>
    <w:rsid w:val="008E2BA7"/>
    <w:rsid w:val="008E5642"/>
    <w:rsid w:val="008E5CC2"/>
    <w:rsid w:val="008E7B35"/>
    <w:rsid w:val="008F2E20"/>
    <w:rsid w:val="00900BC5"/>
    <w:rsid w:val="00901036"/>
    <w:rsid w:val="00903BED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20480"/>
    <w:rsid w:val="00920D01"/>
    <w:rsid w:val="00920E07"/>
    <w:rsid w:val="00923B20"/>
    <w:rsid w:val="009263DF"/>
    <w:rsid w:val="00926BD2"/>
    <w:rsid w:val="00926E84"/>
    <w:rsid w:val="00927338"/>
    <w:rsid w:val="0093018E"/>
    <w:rsid w:val="0093167C"/>
    <w:rsid w:val="0093208B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70DD"/>
    <w:rsid w:val="009518D9"/>
    <w:rsid w:val="0095236F"/>
    <w:rsid w:val="00952404"/>
    <w:rsid w:val="00953350"/>
    <w:rsid w:val="00955BDA"/>
    <w:rsid w:val="0096328F"/>
    <w:rsid w:val="00963DD7"/>
    <w:rsid w:val="00965F52"/>
    <w:rsid w:val="0096737A"/>
    <w:rsid w:val="009674C6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972A6"/>
    <w:rsid w:val="009A043C"/>
    <w:rsid w:val="009A12ED"/>
    <w:rsid w:val="009A201F"/>
    <w:rsid w:val="009A62FC"/>
    <w:rsid w:val="009A6989"/>
    <w:rsid w:val="009A6DA7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9C5"/>
    <w:rsid w:val="009C5C75"/>
    <w:rsid w:val="009D1C23"/>
    <w:rsid w:val="009D2A29"/>
    <w:rsid w:val="009D4CEE"/>
    <w:rsid w:val="009D59DE"/>
    <w:rsid w:val="009E1362"/>
    <w:rsid w:val="009E1848"/>
    <w:rsid w:val="009E1BC1"/>
    <w:rsid w:val="009E1F6B"/>
    <w:rsid w:val="009E3502"/>
    <w:rsid w:val="009E3E77"/>
    <w:rsid w:val="009E4DF2"/>
    <w:rsid w:val="009E6D60"/>
    <w:rsid w:val="009F12F3"/>
    <w:rsid w:val="009F1918"/>
    <w:rsid w:val="009F2D0A"/>
    <w:rsid w:val="009F3962"/>
    <w:rsid w:val="009F6100"/>
    <w:rsid w:val="009F6ED7"/>
    <w:rsid w:val="009F7401"/>
    <w:rsid w:val="009F78F2"/>
    <w:rsid w:val="00A01C9B"/>
    <w:rsid w:val="00A0576E"/>
    <w:rsid w:val="00A065F5"/>
    <w:rsid w:val="00A10857"/>
    <w:rsid w:val="00A1221A"/>
    <w:rsid w:val="00A1269B"/>
    <w:rsid w:val="00A130F9"/>
    <w:rsid w:val="00A13B17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5FE9"/>
    <w:rsid w:val="00A27485"/>
    <w:rsid w:val="00A30038"/>
    <w:rsid w:val="00A309E8"/>
    <w:rsid w:val="00A3514D"/>
    <w:rsid w:val="00A35318"/>
    <w:rsid w:val="00A40F98"/>
    <w:rsid w:val="00A41EF2"/>
    <w:rsid w:val="00A42619"/>
    <w:rsid w:val="00A4267D"/>
    <w:rsid w:val="00A427B2"/>
    <w:rsid w:val="00A43DEB"/>
    <w:rsid w:val="00A44DDA"/>
    <w:rsid w:val="00A45BB5"/>
    <w:rsid w:val="00A47D62"/>
    <w:rsid w:val="00A53CDD"/>
    <w:rsid w:val="00A53EE6"/>
    <w:rsid w:val="00A5538A"/>
    <w:rsid w:val="00A564AE"/>
    <w:rsid w:val="00A57A4A"/>
    <w:rsid w:val="00A57C0E"/>
    <w:rsid w:val="00A60380"/>
    <w:rsid w:val="00A614EB"/>
    <w:rsid w:val="00A62886"/>
    <w:rsid w:val="00A6356E"/>
    <w:rsid w:val="00A63E79"/>
    <w:rsid w:val="00A6719E"/>
    <w:rsid w:val="00A672B2"/>
    <w:rsid w:val="00A74151"/>
    <w:rsid w:val="00A74C51"/>
    <w:rsid w:val="00A77682"/>
    <w:rsid w:val="00A80C19"/>
    <w:rsid w:val="00A83279"/>
    <w:rsid w:val="00A83750"/>
    <w:rsid w:val="00A84631"/>
    <w:rsid w:val="00A85417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7543"/>
    <w:rsid w:val="00AA0DFE"/>
    <w:rsid w:val="00AA2502"/>
    <w:rsid w:val="00AA262E"/>
    <w:rsid w:val="00AA2AC5"/>
    <w:rsid w:val="00AA3174"/>
    <w:rsid w:val="00AA3A41"/>
    <w:rsid w:val="00AA5A48"/>
    <w:rsid w:val="00AA5AE9"/>
    <w:rsid w:val="00AA5DFA"/>
    <w:rsid w:val="00AA6276"/>
    <w:rsid w:val="00AA68F3"/>
    <w:rsid w:val="00AA6D45"/>
    <w:rsid w:val="00AA6EE2"/>
    <w:rsid w:val="00AA7585"/>
    <w:rsid w:val="00AA7DED"/>
    <w:rsid w:val="00AB031D"/>
    <w:rsid w:val="00AB08A6"/>
    <w:rsid w:val="00AB18B3"/>
    <w:rsid w:val="00AB1A1E"/>
    <w:rsid w:val="00AB236C"/>
    <w:rsid w:val="00AB58AD"/>
    <w:rsid w:val="00AB79DB"/>
    <w:rsid w:val="00AC06B6"/>
    <w:rsid w:val="00AC1A7F"/>
    <w:rsid w:val="00AC45BA"/>
    <w:rsid w:val="00AC769F"/>
    <w:rsid w:val="00AC7830"/>
    <w:rsid w:val="00AD0466"/>
    <w:rsid w:val="00AD1557"/>
    <w:rsid w:val="00AD1CE8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20D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7580"/>
    <w:rsid w:val="00B377A2"/>
    <w:rsid w:val="00B4137A"/>
    <w:rsid w:val="00B442AC"/>
    <w:rsid w:val="00B50B77"/>
    <w:rsid w:val="00B51290"/>
    <w:rsid w:val="00B51769"/>
    <w:rsid w:val="00B52215"/>
    <w:rsid w:val="00B530CA"/>
    <w:rsid w:val="00B53AC4"/>
    <w:rsid w:val="00B54527"/>
    <w:rsid w:val="00B57638"/>
    <w:rsid w:val="00B57ADA"/>
    <w:rsid w:val="00B6088E"/>
    <w:rsid w:val="00B61EE9"/>
    <w:rsid w:val="00B6496C"/>
    <w:rsid w:val="00B65962"/>
    <w:rsid w:val="00B66B6C"/>
    <w:rsid w:val="00B66D0B"/>
    <w:rsid w:val="00B7033E"/>
    <w:rsid w:val="00B7071A"/>
    <w:rsid w:val="00B71858"/>
    <w:rsid w:val="00B71A39"/>
    <w:rsid w:val="00B721DC"/>
    <w:rsid w:val="00B74715"/>
    <w:rsid w:val="00B75EBA"/>
    <w:rsid w:val="00B7669D"/>
    <w:rsid w:val="00B766D9"/>
    <w:rsid w:val="00B76E03"/>
    <w:rsid w:val="00B80A28"/>
    <w:rsid w:val="00B82D73"/>
    <w:rsid w:val="00B84A2C"/>
    <w:rsid w:val="00B871D6"/>
    <w:rsid w:val="00B87A02"/>
    <w:rsid w:val="00B96204"/>
    <w:rsid w:val="00BA0DCC"/>
    <w:rsid w:val="00BA12A2"/>
    <w:rsid w:val="00BA1667"/>
    <w:rsid w:val="00BA16EF"/>
    <w:rsid w:val="00BA1737"/>
    <w:rsid w:val="00BA18D0"/>
    <w:rsid w:val="00BA242E"/>
    <w:rsid w:val="00BA2ABF"/>
    <w:rsid w:val="00BA3317"/>
    <w:rsid w:val="00BA5A9D"/>
    <w:rsid w:val="00BA5D32"/>
    <w:rsid w:val="00BA6363"/>
    <w:rsid w:val="00BA79D0"/>
    <w:rsid w:val="00BB2571"/>
    <w:rsid w:val="00BB2D9C"/>
    <w:rsid w:val="00BB3512"/>
    <w:rsid w:val="00BB5D1E"/>
    <w:rsid w:val="00BB62CC"/>
    <w:rsid w:val="00BB7ED6"/>
    <w:rsid w:val="00BC0937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11A7"/>
    <w:rsid w:val="00BD2944"/>
    <w:rsid w:val="00BD2B5E"/>
    <w:rsid w:val="00BD3AFF"/>
    <w:rsid w:val="00BD42CB"/>
    <w:rsid w:val="00BD4E7A"/>
    <w:rsid w:val="00BD531B"/>
    <w:rsid w:val="00BE00E5"/>
    <w:rsid w:val="00BE2E5A"/>
    <w:rsid w:val="00BE3A10"/>
    <w:rsid w:val="00BE4A21"/>
    <w:rsid w:val="00BE5859"/>
    <w:rsid w:val="00BE717E"/>
    <w:rsid w:val="00BE7E27"/>
    <w:rsid w:val="00BF0B0C"/>
    <w:rsid w:val="00BF183C"/>
    <w:rsid w:val="00BF4C15"/>
    <w:rsid w:val="00C0277D"/>
    <w:rsid w:val="00C0782F"/>
    <w:rsid w:val="00C11F50"/>
    <w:rsid w:val="00C12603"/>
    <w:rsid w:val="00C12C7C"/>
    <w:rsid w:val="00C131FD"/>
    <w:rsid w:val="00C15322"/>
    <w:rsid w:val="00C16DA8"/>
    <w:rsid w:val="00C17352"/>
    <w:rsid w:val="00C2022B"/>
    <w:rsid w:val="00C21959"/>
    <w:rsid w:val="00C30A7D"/>
    <w:rsid w:val="00C31169"/>
    <w:rsid w:val="00C3169F"/>
    <w:rsid w:val="00C318F6"/>
    <w:rsid w:val="00C345A4"/>
    <w:rsid w:val="00C37522"/>
    <w:rsid w:val="00C422A4"/>
    <w:rsid w:val="00C42EFD"/>
    <w:rsid w:val="00C43D8B"/>
    <w:rsid w:val="00C44042"/>
    <w:rsid w:val="00C46AF0"/>
    <w:rsid w:val="00C52956"/>
    <w:rsid w:val="00C53AE1"/>
    <w:rsid w:val="00C53CAD"/>
    <w:rsid w:val="00C54893"/>
    <w:rsid w:val="00C560A1"/>
    <w:rsid w:val="00C56E9E"/>
    <w:rsid w:val="00C56EB6"/>
    <w:rsid w:val="00C571E2"/>
    <w:rsid w:val="00C57BED"/>
    <w:rsid w:val="00C63603"/>
    <w:rsid w:val="00C63FC8"/>
    <w:rsid w:val="00C64F57"/>
    <w:rsid w:val="00C65D21"/>
    <w:rsid w:val="00C66E11"/>
    <w:rsid w:val="00C6789D"/>
    <w:rsid w:val="00C70E5B"/>
    <w:rsid w:val="00C71848"/>
    <w:rsid w:val="00C71A97"/>
    <w:rsid w:val="00C72FFE"/>
    <w:rsid w:val="00C7314D"/>
    <w:rsid w:val="00C73FFD"/>
    <w:rsid w:val="00C74512"/>
    <w:rsid w:val="00C75071"/>
    <w:rsid w:val="00C76970"/>
    <w:rsid w:val="00C77540"/>
    <w:rsid w:val="00C84F07"/>
    <w:rsid w:val="00C851A6"/>
    <w:rsid w:val="00C855D4"/>
    <w:rsid w:val="00C87639"/>
    <w:rsid w:val="00C90685"/>
    <w:rsid w:val="00C9099A"/>
    <w:rsid w:val="00C91A6B"/>
    <w:rsid w:val="00C9240A"/>
    <w:rsid w:val="00C92CCF"/>
    <w:rsid w:val="00C93D5B"/>
    <w:rsid w:val="00C9442C"/>
    <w:rsid w:val="00C94657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0E39"/>
    <w:rsid w:val="00CB1236"/>
    <w:rsid w:val="00CB1E54"/>
    <w:rsid w:val="00CB21FF"/>
    <w:rsid w:val="00CB5CAE"/>
    <w:rsid w:val="00CB621F"/>
    <w:rsid w:val="00CB644C"/>
    <w:rsid w:val="00CB78ED"/>
    <w:rsid w:val="00CC0004"/>
    <w:rsid w:val="00CC2202"/>
    <w:rsid w:val="00CC4E55"/>
    <w:rsid w:val="00CC550E"/>
    <w:rsid w:val="00CC5AC6"/>
    <w:rsid w:val="00CD0DCE"/>
    <w:rsid w:val="00CD1628"/>
    <w:rsid w:val="00CD1D27"/>
    <w:rsid w:val="00CD27B7"/>
    <w:rsid w:val="00CD3807"/>
    <w:rsid w:val="00CD3AE7"/>
    <w:rsid w:val="00CD3C10"/>
    <w:rsid w:val="00CD5194"/>
    <w:rsid w:val="00CD5981"/>
    <w:rsid w:val="00CD5D25"/>
    <w:rsid w:val="00CD79FA"/>
    <w:rsid w:val="00CE02E6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031B"/>
    <w:rsid w:val="00D01404"/>
    <w:rsid w:val="00D0183F"/>
    <w:rsid w:val="00D02C52"/>
    <w:rsid w:val="00D03845"/>
    <w:rsid w:val="00D03DCB"/>
    <w:rsid w:val="00D05257"/>
    <w:rsid w:val="00D054DF"/>
    <w:rsid w:val="00D057A5"/>
    <w:rsid w:val="00D05D1F"/>
    <w:rsid w:val="00D133B8"/>
    <w:rsid w:val="00D144D0"/>
    <w:rsid w:val="00D14FC0"/>
    <w:rsid w:val="00D163A3"/>
    <w:rsid w:val="00D1656D"/>
    <w:rsid w:val="00D167CC"/>
    <w:rsid w:val="00D16943"/>
    <w:rsid w:val="00D211AE"/>
    <w:rsid w:val="00D21662"/>
    <w:rsid w:val="00D235AE"/>
    <w:rsid w:val="00D23DE4"/>
    <w:rsid w:val="00D23F50"/>
    <w:rsid w:val="00D24867"/>
    <w:rsid w:val="00D318E3"/>
    <w:rsid w:val="00D323A7"/>
    <w:rsid w:val="00D346BF"/>
    <w:rsid w:val="00D34A4B"/>
    <w:rsid w:val="00D416EB"/>
    <w:rsid w:val="00D41B20"/>
    <w:rsid w:val="00D44615"/>
    <w:rsid w:val="00D44A31"/>
    <w:rsid w:val="00D45321"/>
    <w:rsid w:val="00D50324"/>
    <w:rsid w:val="00D5202B"/>
    <w:rsid w:val="00D551ED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66D9D"/>
    <w:rsid w:val="00D70A39"/>
    <w:rsid w:val="00D71A7E"/>
    <w:rsid w:val="00D7297C"/>
    <w:rsid w:val="00D74DB8"/>
    <w:rsid w:val="00D75C06"/>
    <w:rsid w:val="00D7643D"/>
    <w:rsid w:val="00D76671"/>
    <w:rsid w:val="00D76DE0"/>
    <w:rsid w:val="00D80DF0"/>
    <w:rsid w:val="00D83ED5"/>
    <w:rsid w:val="00D86043"/>
    <w:rsid w:val="00D870D4"/>
    <w:rsid w:val="00D90B97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4AF"/>
    <w:rsid w:val="00DB7D79"/>
    <w:rsid w:val="00DC00E0"/>
    <w:rsid w:val="00DC1AB8"/>
    <w:rsid w:val="00DC5C19"/>
    <w:rsid w:val="00DC7068"/>
    <w:rsid w:val="00DD0411"/>
    <w:rsid w:val="00DD265A"/>
    <w:rsid w:val="00DD3A78"/>
    <w:rsid w:val="00DD6B9B"/>
    <w:rsid w:val="00DE07A1"/>
    <w:rsid w:val="00DE21A2"/>
    <w:rsid w:val="00DE2776"/>
    <w:rsid w:val="00DE3B11"/>
    <w:rsid w:val="00DE48E8"/>
    <w:rsid w:val="00DE7183"/>
    <w:rsid w:val="00DE79B1"/>
    <w:rsid w:val="00DF1DAC"/>
    <w:rsid w:val="00DF2165"/>
    <w:rsid w:val="00DF3666"/>
    <w:rsid w:val="00DF5A24"/>
    <w:rsid w:val="00DF60E6"/>
    <w:rsid w:val="00DF6105"/>
    <w:rsid w:val="00DF659E"/>
    <w:rsid w:val="00DF76E9"/>
    <w:rsid w:val="00E01524"/>
    <w:rsid w:val="00E05801"/>
    <w:rsid w:val="00E07C16"/>
    <w:rsid w:val="00E1021D"/>
    <w:rsid w:val="00E1428E"/>
    <w:rsid w:val="00E14900"/>
    <w:rsid w:val="00E218D3"/>
    <w:rsid w:val="00E22321"/>
    <w:rsid w:val="00E229ED"/>
    <w:rsid w:val="00E23091"/>
    <w:rsid w:val="00E2334F"/>
    <w:rsid w:val="00E23446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62F"/>
    <w:rsid w:val="00E32E0D"/>
    <w:rsid w:val="00E332E3"/>
    <w:rsid w:val="00E35435"/>
    <w:rsid w:val="00E37194"/>
    <w:rsid w:val="00E3788B"/>
    <w:rsid w:val="00E37F90"/>
    <w:rsid w:val="00E40C6A"/>
    <w:rsid w:val="00E410B7"/>
    <w:rsid w:val="00E43977"/>
    <w:rsid w:val="00E4415D"/>
    <w:rsid w:val="00E444BD"/>
    <w:rsid w:val="00E44AB1"/>
    <w:rsid w:val="00E44AB8"/>
    <w:rsid w:val="00E465C1"/>
    <w:rsid w:val="00E47BD8"/>
    <w:rsid w:val="00E50D3F"/>
    <w:rsid w:val="00E520BE"/>
    <w:rsid w:val="00E53AF0"/>
    <w:rsid w:val="00E5484A"/>
    <w:rsid w:val="00E54E17"/>
    <w:rsid w:val="00E56A7A"/>
    <w:rsid w:val="00E60419"/>
    <w:rsid w:val="00E60E01"/>
    <w:rsid w:val="00E61574"/>
    <w:rsid w:val="00E617D3"/>
    <w:rsid w:val="00E61E36"/>
    <w:rsid w:val="00E624C7"/>
    <w:rsid w:val="00E633C1"/>
    <w:rsid w:val="00E667B0"/>
    <w:rsid w:val="00E67390"/>
    <w:rsid w:val="00E71365"/>
    <w:rsid w:val="00E74904"/>
    <w:rsid w:val="00E770A4"/>
    <w:rsid w:val="00E7797D"/>
    <w:rsid w:val="00E8097A"/>
    <w:rsid w:val="00E81192"/>
    <w:rsid w:val="00E83B51"/>
    <w:rsid w:val="00E855CC"/>
    <w:rsid w:val="00E8626C"/>
    <w:rsid w:val="00E8663B"/>
    <w:rsid w:val="00E86BDE"/>
    <w:rsid w:val="00E8762F"/>
    <w:rsid w:val="00E90AB8"/>
    <w:rsid w:val="00E90C01"/>
    <w:rsid w:val="00E919D9"/>
    <w:rsid w:val="00E921C1"/>
    <w:rsid w:val="00E93C8B"/>
    <w:rsid w:val="00E93D8F"/>
    <w:rsid w:val="00E9531E"/>
    <w:rsid w:val="00E95A8E"/>
    <w:rsid w:val="00E95E41"/>
    <w:rsid w:val="00E95E4C"/>
    <w:rsid w:val="00E977CE"/>
    <w:rsid w:val="00E97E05"/>
    <w:rsid w:val="00EA1370"/>
    <w:rsid w:val="00EA2B95"/>
    <w:rsid w:val="00EA34E2"/>
    <w:rsid w:val="00EA52D1"/>
    <w:rsid w:val="00EA703E"/>
    <w:rsid w:val="00EA791F"/>
    <w:rsid w:val="00EB671F"/>
    <w:rsid w:val="00EB70E7"/>
    <w:rsid w:val="00EB76D6"/>
    <w:rsid w:val="00EC02E8"/>
    <w:rsid w:val="00EC1139"/>
    <w:rsid w:val="00EC2F5C"/>
    <w:rsid w:val="00EC3842"/>
    <w:rsid w:val="00EC4299"/>
    <w:rsid w:val="00EC4D4D"/>
    <w:rsid w:val="00EC5D5D"/>
    <w:rsid w:val="00EC7908"/>
    <w:rsid w:val="00EC7C2B"/>
    <w:rsid w:val="00ED1F02"/>
    <w:rsid w:val="00ED213D"/>
    <w:rsid w:val="00ED2C69"/>
    <w:rsid w:val="00EE15B5"/>
    <w:rsid w:val="00EE2087"/>
    <w:rsid w:val="00EE20A1"/>
    <w:rsid w:val="00EE74AF"/>
    <w:rsid w:val="00EF0053"/>
    <w:rsid w:val="00EF1F0E"/>
    <w:rsid w:val="00EF29F6"/>
    <w:rsid w:val="00EF4FBF"/>
    <w:rsid w:val="00EF518E"/>
    <w:rsid w:val="00EF5DF0"/>
    <w:rsid w:val="00EF5F2A"/>
    <w:rsid w:val="00EF69AE"/>
    <w:rsid w:val="00EF6E2C"/>
    <w:rsid w:val="00EF7106"/>
    <w:rsid w:val="00F001A6"/>
    <w:rsid w:val="00F00253"/>
    <w:rsid w:val="00F0070A"/>
    <w:rsid w:val="00F01660"/>
    <w:rsid w:val="00F01C16"/>
    <w:rsid w:val="00F0782D"/>
    <w:rsid w:val="00F10B74"/>
    <w:rsid w:val="00F11EB3"/>
    <w:rsid w:val="00F13F39"/>
    <w:rsid w:val="00F14B9B"/>
    <w:rsid w:val="00F14CCC"/>
    <w:rsid w:val="00F15D54"/>
    <w:rsid w:val="00F166A6"/>
    <w:rsid w:val="00F17988"/>
    <w:rsid w:val="00F20C09"/>
    <w:rsid w:val="00F217DF"/>
    <w:rsid w:val="00F21CAE"/>
    <w:rsid w:val="00F22AE0"/>
    <w:rsid w:val="00F234D8"/>
    <w:rsid w:val="00F2601A"/>
    <w:rsid w:val="00F26701"/>
    <w:rsid w:val="00F26B7D"/>
    <w:rsid w:val="00F30A04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69B9"/>
    <w:rsid w:val="00F46C32"/>
    <w:rsid w:val="00F46CAF"/>
    <w:rsid w:val="00F46ECB"/>
    <w:rsid w:val="00F50248"/>
    <w:rsid w:val="00F50F94"/>
    <w:rsid w:val="00F525B5"/>
    <w:rsid w:val="00F53D53"/>
    <w:rsid w:val="00F543B9"/>
    <w:rsid w:val="00F56177"/>
    <w:rsid w:val="00F56187"/>
    <w:rsid w:val="00F575D3"/>
    <w:rsid w:val="00F5786C"/>
    <w:rsid w:val="00F6024E"/>
    <w:rsid w:val="00F62117"/>
    <w:rsid w:val="00F62365"/>
    <w:rsid w:val="00F630A7"/>
    <w:rsid w:val="00F66225"/>
    <w:rsid w:val="00F662BC"/>
    <w:rsid w:val="00F6708D"/>
    <w:rsid w:val="00F707F0"/>
    <w:rsid w:val="00F714FD"/>
    <w:rsid w:val="00F71AD5"/>
    <w:rsid w:val="00F729ED"/>
    <w:rsid w:val="00F733B8"/>
    <w:rsid w:val="00F74F50"/>
    <w:rsid w:val="00F75192"/>
    <w:rsid w:val="00F76AB7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1B32"/>
    <w:rsid w:val="00FA1DBE"/>
    <w:rsid w:val="00FA320D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4B5E"/>
    <w:rsid w:val="00FB6C94"/>
    <w:rsid w:val="00FB7F8B"/>
    <w:rsid w:val="00FC00CC"/>
    <w:rsid w:val="00FC22F5"/>
    <w:rsid w:val="00FC3753"/>
    <w:rsid w:val="00FC5170"/>
    <w:rsid w:val="00FC5743"/>
    <w:rsid w:val="00FC6240"/>
    <w:rsid w:val="00FD118C"/>
    <w:rsid w:val="00FD2A7C"/>
    <w:rsid w:val="00FD332F"/>
    <w:rsid w:val="00FD3999"/>
    <w:rsid w:val="00FD7395"/>
    <w:rsid w:val="00FE1CC1"/>
    <w:rsid w:val="00FE3213"/>
    <w:rsid w:val="00FE385E"/>
    <w:rsid w:val="00FE3CE2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2-nfase11">
    <w:name w:val="Tabela de Grade 2 - Ênfase 1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mples11">
    <w:name w:val="Tabela Simples 11"/>
    <w:basedOn w:val="Tabelanormal"/>
    <w:uiPriority w:val="41"/>
    <w:rsid w:val="00801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801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801D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801D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801D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o-normal-alinhado">
    <w:name w:val="texto-normal-alinhado"/>
    <w:basedOn w:val="Normal"/>
    <w:rsid w:val="00E85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SombreamentoClaro-nfase2">
    <w:name w:val="Light Shading Accent 2"/>
    <w:basedOn w:val="Tabelanormal"/>
    <w:uiPriority w:val="60"/>
    <w:rsid w:val="007A3F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e2">
    <w:name w:val="Light List Accent 2"/>
    <w:basedOn w:val="Tabelanormal"/>
    <w:uiPriority w:val="61"/>
    <w:rsid w:val="00A85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0B5152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B4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42B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B42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osai.org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ach.gov.ru/upload/iblock/e09/e09790c830818e11c578788411fc7290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1.tce.pr.gov.br/conteudo/repercussao-geral-no-stf-e-os-tribunais-de-contas/307026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cu.es/repositorio/acbd7dad-c18e-47c2-bad5-d96bfbcf5ddc/I1340.pdf" TargetMode="External"/><Relationship Id="rId17" Type="http://schemas.openxmlformats.org/officeDocument/2006/relationships/hyperlink" Target="https://ach.gov.ru/statements/byulleten-schetnoy-palaty-9-274-2020-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1.tce.pr.gov.br/conteudo/teses-ambientais/316603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cu.es/tribunal-de-cuentas/es/sala-de-prensa/noticias/El-Tribunal-de-Cuentas-aprueba-el-Informe-de-fiscalizacion-de-la-Agencia-Espanola-de-Proteccion-de-Datos-ejercicios-2016-y-2017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undesrechnungshof.de/de/veroeffentlichungen/produkte/bemerkungen-jahresberichte/jahresberichte/2019-ergaenzungsband/downloads/2019-bemerkungen-ergaenzungsband-pdf" TargetMode="External"/><Relationship Id="rId23" Type="http://schemas.openxmlformats.org/officeDocument/2006/relationships/hyperlink" Target="http://www1.tce.pr.gov.br/conteudo/sumulas-selecionadas/316602/area/249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1.tce.pr.gov.br/conteudo/pesquisas-prontas/308475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acefs.com/" TargetMode="External"/><Relationship Id="rId14" Type="http://schemas.openxmlformats.org/officeDocument/2006/relationships/hyperlink" Target="https://www.bundesrechnungshof.de/de/veroeffentlichungen/produkte/bemerkungen-jahresberichte/jahresberichte/2019/langfassungen/bmu/20" TargetMode="External"/><Relationship Id="rId22" Type="http://schemas.openxmlformats.org/officeDocument/2006/relationships/hyperlink" Target="http://www1.tce.pr.gov.br/conteudo/boletim-informativo-de-jurisprudencia/280400/area/249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C471-CEBD-4089-BAB0-CECAA991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3177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User</cp:lastModifiedBy>
  <cp:revision>4</cp:revision>
  <cp:lastPrinted>2020-10-07T16:18:00Z</cp:lastPrinted>
  <dcterms:created xsi:type="dcterms:W3CDTF">2020-10-07T07:17:00Z</dcterms:created>
  <dcterms:modified xsi:type="dcterms:W3CDTF">2020-10-07T16:23:00Z</dcterms:modified>
</cp:coreProperties>
</file>