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BE7ED0" w:rsidRDefault="007C18E7" w:rsidP="0007004D">
      <w:pPr>
        <w:pStyle w:val="Cabealho"/>
        <w:spacing w:line="276" w:lineRule="auto"/>
        <w:jc w:val="center"/>
        <w:rPr>
          <w:rFonts w:ascii="Arial" w:hAnsi="Arial" w:cs="Arial"/>
          <w:sz w:val="20"/>
          <w:szCs w:val="20"/>
        </w:rPr>
      </w:pPr>
      <w:r w:rsidRPr="00BE7ED0">
        <w:rPr>
          <w:rFonts w:ascii="Arial" w:hAnsi="Arial" w:cs="Arial"/>
          <w:b/>
          <w:sz w:val="20"/>
          <w:szCs w:val="20"/>
        </w:rPr>
        <w:t>Boletim de Jurisprudência TCE/PR</w:t>
      </w:r>
      <w:r w:rsidRPr="00BE7ED0">
        <w:rPr>
          <w:rFonts w:ascii="Arial" w:hAnsi="Arial" w:cs="Arial"/>
          <w:sz w:val="20"/>
          <w:szCs w:val="20"/>
        </w:rPr>
        <w:t xml:space="preserve"> </w:t>
      </w:r>
    </w:p>
    <w:p w14:paraId="4EF0156F" w14:textId="77777777" w:rsidR="007C18E7" w:rsidRPr="00BE7ED0" w:rsidRDefault="007C18E7" w:rsidP="0007004D">
      <w:pPr>
        <w:spacing w:after="0"/>
        <w:jc w:val="center"/>
        <w:rPr>
          <w:rFonts w:ascii="Arial" w:hAnsi="Arial" w:cs="Arial"/>
          <w:b/>
          <w:sz w:val="20"/>
          <w:szCs w:val="20"/>
        </w:rPr>
      </w:pPr>
    </w:p>
    <w:p w14:paraId="6B732960" w14:textId="2D154DD2" w:rsidR="007C18E7" w:rsidRPr="00BE7ED0" w:rsidRDefault="007C18E7" w:rsidP="0007004D">
      <w:pPr>
        <w:spacing w:after="0"/>
        <w:jc w:val="center"/>
        <w:rPr>
          <w:rFonts w:ascii="Arial" w:hAnsi="Arial" w:cs="Arial"/>
          <w:b/>
          <w:sz w:val="20"/>
          <w:szCs w:val="20"/>
        </w:rPr>
      </w:pPr>
      <w:r w:rsidRPr="00BE7ED0">
        <w:rPr>
          <w:rFonts w:ascii="Arial" w:hAnsi="Arial" w:cs="Arial"/>
          <w:b/>
          <w:sz w:val="20"/>
          <w:szCs w:val="20"/>
        </w:rPr>
        <w:t>Número 5</w:t>
      </w:r>
      <w:r w:rsidR="008E3435">
        <w:rPr>
          <w:rFonts w:ascii="Arial" w:hAnsi="Arial" w:cs="Arial"/>
          <w:b/>
          <w:sz w:val="20"/>
          <w:szCs w:val="20"/>
        </w:rPr>
        <w:t>6</w:t>
      </w:r>
    </w:p>
    <w:p w14:paraId="3C0730DA" w14:textId="77777777" w:rsidR="007C18E7" w:rsidRPr="00BE7ED0" w:rsidRDefault="007C18E7" w:rsidP="0007004D">
      <w:pPr>
        <w:spacing w:after="0"/>
        <w:jc w:val="center"/>
        <w:rPr>
          <w:rFonts w:ascii="Arial" w:hAnsi="Arial" w:cs="Arial"/>
          <w:b/>
          <w:sz w:val="20"/>
          <w:szCs w:val="20"/>
          <w:highlight w:val="yellow"/>
        </w:rPr>
      </w:pPr>
    </w:p>
    <w:p w14:paraId="7AE9E11A" w14:textId="64CED896" w:rsidR="007C18E7" w:rsidRPr="00BE7ED0" w:rsidRDefault="007C18E7" w:rsidP="0007004D">
      <w:pPr>
        <w:spacing w:after="0"/>
        <w:jc w:val="center"/>
        <w:rPr>
          <w:rFonts w:ascii="Arial" w:hAnsi="Arial" w:cs="Arial"/>
          <w:b/>
          <w:sz w:val="20"/>
          <w:szCs w:val="20"/>
        </w:rPr>
      </w:pPr>
      <w:r w:rsidRPr="00551B25">
        <w:rPr>
          <w:rFonts w:ascii="Arial" w:hAnsi="Arial" w:cs="Arial"/>
          <w:b/>
          <w:sz w:val="20"/>
          <w:szCs w:val="20"/>
        </w:rPr>
        <w:t xml:space="preserve">Sessões: </w:t>
      </w:r>
      <w:r w:rsidR="00AB6CEF">
        <w:rPr>
          <w:rFonts w:ascii="Arial" w:hAnsi="Arial" w:cs="Arial"/>
          <w:b/>
          <w:sz w:val="20"/>
          <w:szCs w:val="20"/>
        </w:rPr>
        <w:t>15</w:t>
      </w:r>
      <w:r w:rsidRPr="00551B25">
        <w:rPr>
          <w:rFonts w:ascii="Arial" w:hAnsi="Arial" w:cs="Arial"/>
          <w:b/>
          <w:sz w:val="20"/>
          <w:szCs w:val="20"/>
        </w:rPr>
        <w:t>.0</w:t>
      </w:r>
      <w:r w:rsidR="00551B25" w:rsidRPr="00551B25">
        <w:rPr>
          <w:rFonts w:ascii="Arial" w:hAnsi="Arial" w:cs="Arial"/>
          <w:b/>
          <w:sz w:val="20"/>
          <w:szCs w:val="20"/>
        </w:rPr>
        <w:t>4</w:t>
      </w:r>
      <w:r w:rsidRPr="00551B25">
        <w:rPr>
          <w:rFonts w:ascii="Arial" w:hAnsi="Arial" w:cs="Arial"/>
          <w:b/>
          <w:sz w:val="20"/>
          <w:szCs w:val="20"/>
        </w:rPr>
        <w:t xml:space="preserve"> a </w:t>
      </w:r>
      <w:r w:rsidR="00AB6CEF">
        <w:rPr>
          <w:rFonts w:ascii="Arial" w:hAnsi="Arial" w:cs="Arial"/>
          <w:b/>
          <w:sz w:val="20"/>
          <w:szCs w:val="20"/>
        </w:rPr>
        <w:t>24</w:t>
      </w:r>
      <w:r w:rsidRPr="00551B25">
        <w:rPr>
          <w:rFonts w:ascii="Arial" w:hAnsi="Arial" w:cs="Arial"/>
          <w:b/>
          <w:sz w:val="20"/>
          <w:szCs w:val="20"/>
        </w:rPr>
        <w:t>.0</w:t>
      </w:r>
      <w:r w:rsidR="00551B25" w:rsidRPr="00551B25">
        <w:rPr>
          <w:rFonts w:ascii="Arial" w:hAnsi="Arial" w:cs="Arial"/>
          <w:b/>
          <w:sz w:val="20"/>
          <w:szCs w:val="20"/>
        </w:rPr>
        <w:t>4</w:t>
      </w:r>
      <w:r w:rsidRPr="00551B25">
        <w:rPr>
          <w:rFonts w:ascii="Arial" w:hAnsi="Arial" w:cs="Arial"/>
          <w:b/>
          <w:sz w:val="20"/>
          <w:szCs w:val="20"/>
        </w:rPr>
        <w:t xml:space="preserve"> de 201</w:t>
      </w:r>
      <w:r w:rsidR="00731AB4" w:rsidRPr="00551B25">
        <w:rPr>
          <w:rFonts w:ascii="Arial" w:hAnsi="Arial" w:cs="Arial"/>
          <w:b/>
          <w:sz w:val="20"/>
          <w:szCs w:val="20"/>
        </w:rPr>
        <w:t>9</w:t>
      </w:r>
    </w:p>
    <w:p w14:paraId="796D8E57" w14:textId="77777777" w:rsidR="007C18E7" w:rsidRPr="00BE7ED0" w:rsidRDefault="007C18E7" w:rsidP="0007004D">
      <w:pPr>
        <w:spacing w:after="0"/>
        <w:jc w:val="both"/>
        <w:rPr>
          <w:rFonts w:ascii="Arial" w:hAnsi="Arial" w:cs="Arial"/>
          <w:sz w:val="20"/>
          <w:szCs w:val="20"/>
        </w:rPr>
      </w:pPr>
    </w:p>
    <w:p w14:paraId="7AFA8F05" w14:textId="77777777" w:rsidR="007C18E7" w:rsidRPr="00BE7ED0" w:rsidRDefault="007C18E7" w:rsidP="0007004D">
      <w:pPr>
        <w:spacing w:after="0"/>
        <w:jc w:val="both"/>
        <w:rPr>
          <w:rFonts w:ascii="Arial" w:hAnsi="Arial" w:cs="Arial"/>
          <w:sz w:val="20"/>
          <w:szCs w:val="20"/>
        </w:rPr>
      </w:pPr>
      <w:r w:rsidRPr="00BE7ED0">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BE7ED0">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BE7ED0">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BE7ED0">
        <w:rPr>
          <w:rFonts w:ascii="Arial" w:hAnsi="Arial" w:cs="Arial"/>
          <w:color w:val="212121"/>
          <w:sz w:val="20"/>
          <w:szCs w:val="20"/>
        </w:rPr>
        <w:t xml:space="preserve"> </w:t>
      </w:r>
      <w:r w:rsidRPr="00BE7ED0">
        <w:rPr>
          <w:rFonts w:ascii="Arial" w:hAnsi="Arial" w:cs="Arial"/>
          <w:sz w:val="20"/>
          <w:szCs w:val="20"/>
        </w:rPr>
        <w:t>As informações aqui apresentadas não são repositórios oficiais de jurisprudência.</w:t>
      </w:r>
    </w:p>
    <w:p w14:paraId="794DB6E9" w14:textId="77777777" w:rsidR="007C18E7" w:rsidRPr="00BE7ED0" w:rsidRDefault="007C18E7" w:rsidP="0007004D">
      <w:pPr>
        <w:spacing w:after="0"/>
        <w:jc w:val="both"/>
        <w:rPr>
          <w:rFonts w:ascii="Arial" w:hAnsi="Arial" w:cs="Arial"/>
          <w:sz w:val="20"/>
          <w:szCs w:val="20"/>
        </w:rPr>
      </w:pPr>
    </w:p>
    <w:p w14:paraId="356F11D7" w14:textId="77777777" w:rsidR="007C18E7" w:rsidRPr="00BE7ED0" w:rsidRDefault="007C18E7" w:rsidP="0007004D">
      <w:pPr>
        <w:spacing w:after="0"/>
        <w:jc w:val="both"/>
        <w:rPr>
          <w:rFonts w:ascii="Arial" w:hAnsi="Arial" w:cs="Arial"/>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BE7ED0" w:rsidRDefault="007C18E7" w:rsidP="0007004D">
      <w:pPr>
        <w:shd w:val="pct10" w:color="auto" w:fill="auto"/>
        <w:spacing w:after="0"/>
        <w:jc w:val="center"/>
        <w:rPr>
          <w:rFonts w:ascii="Arial" w:hAnsi="Arial" w:cs="Arial"/>
          <w:b/>
          <w:sz w:val="20"/>
          <w:szCs w:val="20"/>
        </w:rPr>
      </w:pPr>
      <w:r w:rsidRPr="00BE7ED0">
        <w:rPr>
          <w:rFonts w:ascii="Arial" w:hAnsi="Arial" w:cs="Arial"/>
          <w:b/>
          <w:sz w:val="20"/>
          <w:szCs w:val="20"/>
        </w:rPr>
        <w:t>SUMÁRIO</w:t>
      </w:r>
    </w:p>
    <w:p w14:paraId="4B763701" w14:textId="4A4E4EE1" w:rsidR="007C18E7" w:rsidRDefault="007C18E7" w:rsidP="0007004D">
      <w:pPr>
        <w:autoSpaceDE w:val="0"/>
        <w:autoSpaceDN w:val="0"/>
        <w:adjustRightInd w:val="0"/>
        <w:spacing w:after="0"/>
        <w:jc w:val="both"/>
        <w:rPr>
          <w:rFonts w:ascii="Arial" w:hAnsi="Arial" w:cs="Arial"/>
          <w:sz w:val="20"/>
          <w:szCs w:val="20"/>
        </w:rPr>
      </w:pPr>
    </w:p>
    <w:p w14:paraId="12A5B28F" w14:textId="77777777" w:rsidR="0007004D" w:rsidRPr="0007004D" w:rsidRDefault="0007004D" w:rsidP="0007004D">
      <w:pPr>
        <w:autoSpaceDE w:val="0"/>
        <w:autoSpaceDN w:val="0"/>
        <w:adjustRightInd w:val="0"/>
        <w:spacing w:after="0"/>
        <w:jc w:val="both"/>
        <w:rPr>
          <w:rFonts w:ascii="Arial" w:hAnsi="Arial" w:cs="Arial"/>
          <w:sz w:val="20"/>
          <w:szCs w:val="20"/>
        </w:rPr>
      </w:pPr>
      <w:r w:rsidRPr="0007004D">
        <w:rPr>
          <w:rFonts w:ascii="Arial" w:hAnsi="Arial" w:cs="Arial"/>
          <w:sz w:val="20"/>
          <w:szCs w:val="20"/>
        </w:rPr>
        <w:t>1. Prestação de Contas Anual. Exercício de 2017. Art. 16, II, LC N.º 113/2005. Impropriedades que não macularam a Prestação de Contas. Regularidade das Contas com ressalva.</w:t>
      </w:r>
    </w:p>
    <w:p w14:paraId="4BA26D0A" w14:textId="77777777" w:rsidR="0007004D" w:rsidRDefault="0007004D" w:rsidP="0007004D">
      <w:pPr>
        <w:autoSpaceDE w:val="0"/>
        <w:autoSpaceDN w:val="0"/>
        <w:adjustRightInd w:val="0"/>
        <w:spacing w:after="0"/>
        <w:jc w:val="both"/>
        <w:rPr>
          <w:rFonts w:ascii="Arial" w:hAnsi="Arial" w:cs="Arial"/>
          <w:sz w:val="20"/>
          <w:szCs w:val="20"/>
        </w:rPr>
      </w:pPr>
    </w:p>
    <w:p w14:paraId="79BFCA39" w14:textId="6E5EF323" w:rsidR="0007004D" w:rsidRPr="0007004D" w:rsidRDefault="0007004D" w:rsidP="0007004D">
      <w:pPr>
        <w:autoSpaceDE w:val="0"/>
        <w:autoSpaceDN w:val="0"/>
        <w:adjustRightInd w:val="0"/>
        <w:spacing w:after="0"/>
        <w:jc w:val="both"/>
        <w:rPr>
          <w:rFonts w:ascii="Arial" w:hAnsi="Arial" w:cs="Arial"/>
          <w:sz w:val="20"/>
          <w:szCs w:val="20"/>
        </w:rPr>
      </w:pPr>
      <w:r w:rsidRPr="0007004D">
        <w:rPr>
          <w:rFonts w:ascii="Arial" w:hAnsi="Arial" w:cs="Arial"/>
          <w:sz w:val="20"/>
          <w:szCs w:val="20"/>
        </w:rPr>
        <w:t>2. Tomada de Contas Extraordinária. Fase de execução de julgado. Ausência de comprovação do cumprimento de determinações deste Tribunal de Contas pelo Fundo Municipal de Saúde. Aplicação de sanções e expedição de novo prazo para cumprimento das determinações.</w:t>
      </w:r>
    </w:p>
    <w:p w14:paraId="3354BD8F" w14:textId="77777777" w:rsidR="0007004D" w:rsidRDefault="0007004D" w:rsidP="0007004D">
      <w:pPr>
        <w:autoSpaceDE w:val="0"/>
        <w:autoSpaceDN w:val="0"/>
        <w:adjustRightInd w:val="0"/>
        <w:spacing w:after="0"/>
        <w:jc w:val="both"/>
        <w:rPr>
          <w:rFonts w:ascii="Arial" w:hAnsi="Arial" w:cs="Arial"/>
          <w:sz w:val="20"/>
          <w:szCs w:val="20"/>
        </w:rPr>
      </w:pPr>
    </w:p>
    <w:p w14:paraId="4DBDE857" w14:textId="313E050E" w:rsidR="0007004D" w:rsidRPr="0007004D" w:rsidRDefault="0007004D" w:rsidP="0007004D">
      <w:pPr>
        <w:autoSpaceDE w:val="0"/>
        <w:autoSpaceDN w:val="0"/>
        <w:adjustRightInd w:val="0"/>
        <w:spacing w:after="0"/>
        <w:jc w:val="both"/>
        <w:rPr>
          <w:rFonts w:ascii="Arial" w:hAnsi="Arial" w:cs="Arial"/>
          <w:sz w:val="20"/>
          <w:szCs w:val="20"/>
        </w:rPr>
      </w:pPr>
      <w:r w:rsidRPr="0007004D">
        <w:rPr>
          <w:rFonts w:ascii="Arial" w:hAnsi="Arial" w:cs="Arial"/>
          <w:sz w:val="20"/>
          <w:szCs w:val="20"/>
        </w:rPr>
        <w:t>3. Recurso de agravo. As multas administrativas previstas na LC/PR 113/05 são plenamente líquidas, uma vez que têm seu valor pré-determinado, não podendo a respectiva aplicação ser objeto de embargos de liquidação. Desprovimento.</w:t>
      </w:r>
    </w:p>
    <w:p w14:paraId="697A323F" w14:textId="77777777" w:rsidR="0007004D" w:rsidRDefault="0007004D" w:rsidP="0007004D">
      <w:pPr>
        <w:autoSpaceDE w:val="0"/>
        <w:autoSpaceDN w:val="0"/>
        <w:adjustRightInd w:val="0"/>
        <w:spacing w:after="0"/>
        <w:jc w:val="both"/>
        <w:rPr>
          <w:rFonts w:ascii="Arial" w:hAnsi="Arial" w:cs="Arial"/>
          <w:sz w:val="20"/>
          <w:szCs w:val="20"/>
        </w:rPr>
      </w:pPr>
    </w:p>
    <w:p w14:paraId="0987205C" w14:textId="54F8D7C3" w:rsidR="0007004D" w:rsidRPr="0007004D" w:rsidRDefault="0007004D" w:rsidP="0007004D">
      <w:pPr>
        <w:autoSpaceDE w:val="0"/>
        <w:autoSpaceDN w:val="0"/>
        <w:adjustRightInd w:val="0"/>
        <w:spacing w:after="0"/>
        <w:jc w:val="both"/>
      </w:pPr>
      <w:r w:rsidRPr="0007004D">
        <w:rPr>
          <w:rFonts w:ascii="Arial" w:hAnsi="Arial" w:cs="Arial"/>
          <w:sz w:val="20"/>
          <w:szCs w:val="20"/>
        </w:rPr>
        <w:t>4. Tomada de Contas Extraordinária. Município. Servidor municipal. Acúmulo irregular de vencimentos. Art. 37, XVI, da Constituição Federal. Declaração falsa prestada pelo servidor. Procedência. Determinação aos entes contratantes para abertura de sindicância e ressarcimento de valores. Aplicação de multa. Encaminhamento de cópia dos autos ao Ministério Público do Estado do Paraná.</w:t>
      </w:r>
      <w:r w:rsidRPr="0007004D">
        <w:t xml:space="preserve"> </w:t>
      </w:r>
    </w:p>
    <w:p w14:paraId="1C151BD3" w14:textId="77777777" w:rsidR="0007004D" w:rsidRDefault="0007004D" w:rsidP="0007004D">
      <w:pPr>
        <w:autoSpaceDE w:val="0"/>
        <w:autoSpaceDN w:val="0"/>
        <w:adjustRightInd w:val="0"/>
        <w:spacing w:after="0"/>
        <w:jc w:val="both"/>
        <w:rPr>
          <w:rFonts w:ascii="Arial" w:hAnsi="Arial" w:cs="Arial"/>
          <w:sz w:val="20"/>
          <w:szCs w:val="20"/>
        </w:rPr>
      </w:pPr>
    </w:p>
    <w:p w14:paraId="1FF1193A" w14:textId="0FE695FF" w:rsidR="0007004D" w:rsidRPr="0007004D" w:rsidRDefault="0007004D" w:rsidP="0007004D">
      <w:pPr>
        <w:autoSpaceDE w:val="0"/>
        <w:autoSpaceDN w:val="0"/>
        <w:adjustRightInd w:val="0"/>
        <w:spacing w:after="0"/>
        <w:jc w:val="both"/>
        <w:rPr>
          <w:rFonts w:ascii="Arial" w:hAnsi="Arial" w:cs="Arial"/>
          <w:sz w:val="20"/>
          <w:szCs w:val="20"/>
        </w:rPr>
      </w:pPr>
      <w:r w:rsidRPr="0007004D">
        <w:rPr>
          <w:rFonts w:ascii="Arial" w:hAnsi="Arial" w:cs="Arial"/>
          <w:sz w:val="20"/>
          <w:szCs w:val="20"/>
        </w:rPr>
        <w:t>5. Processo de Servidor do Tribunal. Pessoa com Deficiência. Concessão de horário especial para tratamento de saúde. Manifestações uniformes. Pelo deferimento.</w:t>
      </w:r>
    </w:p>
    <w:p w14:paraId="5687ED43" w14:textId="77777777" w:rsidR="0007004D" w:rsidRDefault="0007004D" w:rsidP="0007004D">
      <w:pPr>
        <w:autoSpaceDE w:val="0"/>
        <w:autoSpaceDN w:val="0"/>
        <w:adjustRightInd w:val="0"/>
        <w:spacing w:after="0"/>
        <w:jc w:val="both"/>
        <w:rPr>
          <w:rFonts w:ascii="Arial" w:hAnsi="Arial" w:cs="Arial"/>
          <w:sz w:val="20"/>
          <w:szCs w:val="20"/>
        </w:rPr>
      </w:pPr>
    </w:p>
    <w:p w14:paraId="7F619B8F" w14:textId="70D92C5D" w:rsidR="0007004D" w:rsidRPr="0007004D" w:rsidRDefault="0007004D" w:rsidP="0007004D">
      <w:pPr>
        <w:autoSpaceDE w:val="0"/>
        <w:autoSpaceDN w:val="0"/>
        <w:adjustRightInd w:val="0"/>
        <w:spacing w:after="0"/>
        <w:jc w:val="both"/>
        <w:rPr>
          <w:rFonts w:ascii="Arial" w:hAnsi="Arial" w:cs="Arial"/>
          <w:sz w:val="20"/>
          <w:szCs w:val="20"/>
        </w:rPr>
      </w:pPr>
      <w:r w:rsidRPr="0007004D">
        <w:rPr>
          <w:rFonts w:ascii="Arial" w:hAnsi="Arial" w:cs="Arial"/>
          <w:sz w:val="20"/>
          <w:szCs w:val="20"/>
        </w:rPr>
        <w:t>6. Prestação de Contas de transferência Voluntária. Despesas compensadas em outras rubricas do plano de trabalho. Regularidade com ressalva e recomendação.</w:t>
      </w:r>
    </w:p>
    <w:p w14:paraId="7536A7A8" w14:textId="77777777" w:rsidR="0007004D" w:rsidRDefault="0007004D" w:rsidP="0007004D">
      <w:pPr>
        <w:autoSpaceDE w:val="0"/>
        <w:autoSpaceDN w:val="0"/>
        <w:adjustRightInd w:val="0"/>
        <w:spacing w:after="0"/>
        <w:jc w:val="both"/>
        <w:rPr>
          <w:rFonts w:ascii="Arial" w:hAnsi="Arial" w:cs="Arial"/>
          <w:sz w:val="20"/>
          <w:szCs w:val="20"/>
        </w:rPr>
      </w:pPr>
    </w:p>
    <w:p w14:paraId="5E99C6D1" w14:textId="37A5F862" w:rsidR="0007004D" w:rsidRPr="0007004D" w:rsidRDefault="0007004D" w:rsidP="0007004D">
      <w:pPr>
        <w:autoSpaceDE w:val="0"/>
        <w:autoSpaceDN w:val="0"/>
        <w:adjustRightInd w:val="0"/>
        <w:spacing w:after="0"/>
        <w:jc w:val="both"/>
        <w:rPr>
          <w:rFonts w:ascii="Arial" w:hAnsi="Arial" w:cs="Arial"/>
          <w:sz w:val="20"/>
          <w:szCs w:val="20"/>
        </w:rPr>
      </w:pPr>
      <w:r w:rsidRPr="0007004D">
        <w:rPr>
          <w:rFonts w:ascii="Arial" w:hAnsi="Arial" w:cs="Arial"/>
          <w:sz w:val="20"/>
          <w:szCs w:val="20"/>
        </w:rPr>
        <w:t xml:space="preserve">7. Comunicação de irregularidade. Diárias. Ausência de comprovação da motivação e da finalidade. Irregularidade das despesas. Omissão do controle interno. Manifestações uniformes. </w:t>
      </w:r>
      <w:r w:rsidRPr="0007004D">
        <w:rPr>
          <w:rFonts w:ascii="Arial" w:hAnsi="Arial" w:cs="Arial"/>
          <w:sz w:val="20"/>
          <w:szCs w:val="20"/>
        </w:rPr>
        <w:lastRenderedPageBreak/>
        <w:t>Procedência da tomada de contas extraordinária. Restituição de valores. Aplicação de multas proporcional ao dano e administrativas.</w:t>
      </w:r>
    </w:p>
    <w:p w14:paraId="1C0D1099" w14:textId="77777777" w:rsidR="0007004D" w:rsidRDefault="0007004D" w:rsidP="0007004D">
      <w:pPr>
        <w:autoSpaceDE w:val="0"/>
        <w:autoSpaceDN w:val="0"/>
        <w:adjustRightInd w:val="0"/>
        <w:spacing w:after="0"/>
        <w:jc w:val="both"/>
        <w:rPr>
          <w:rFonts w:ascii="Arial" w:hAnsi="Arial" w:cs="Arial"/>
          <w:sz w:val="20"/>
          <w:szCs w:val="20"/>
        </w:rPr>
      </w:pPr>
    </w:p>
    <w:p w14:paraId="4C6D2228" w14:textId="4CCAD2FD" w:rsidR="0007004D" w:rsidRPr="0007004D" w:rsidRDefault="0007004D" w:rsidP="0007004D">
      <w:pPr>
        <w:autoSpaceDE w:val="0"/>
        <w:autoSpaceDN w:val="0"/>
        <w:adjustRightInd w:val="0"/>
        <w:spacing w:after="0"/>
        <w:jc w:val="both"/>
        <w:rPr>
          <w:rFonts w:ascii="Arial" w:hAnsi="Arial" w:cs="Arial"/>
          <w:sz w:val="20"/>
          <w:szCs w:val="20"/>
        </w:rPr>
      </w:pPr>
      <w:r w:rsidRPr="0007004D">
        <w:rPr>
          <w:rFonts w:ascii="Arial" w:hAnsi="Arial" w:cs="Arial"/>
          <w:sz w:val="20"/>
          <w:szCs w:val="20"/>
        </w:rPr>
        <w:t>8. Representação da Lei n.º 8.666/1993. Medida cautelar para suspender o processo licitatório Concorrência n.º 02/2018-PROAF/DM no estado em que se encontra. Homologação.</w:t>
      </w:r>
    </w:p>
    <w:p w14:paraId="5FEED078" w14:textId="77777777" w:rsidR="0007004D" w:rsidRDefault="0007004D" w:rsidP="0007004D">
      <w:pPr>
        <w:autoSpaceDE w:val="0"/>
        <w:autoSpaceDN w:val="0"/>
        <w:adjustRightInd w:val="0"/>
        <w:spacing w:after="0"/>
        <w:jc w:val="both"/>
        <w:rPr>
          <w:rFonts w:ascii="Arial" w:hAnsi="Arial" w:cs="Arial"/>
          <w:sz w:val="20"/>
          <w:szCs w:val="20"/>
        </w:rPr>
      </w:pPr>
    </w:p>
    <w:p w14:paraId="11C43765" w14:textId="3C428B82" w:rsidR="0007004D" w:rsidRPr="0007004D" w:rsidRDefault="0007004D" w:rsidP="0007004D">
      <w:pPr>
        <w:autoSpaceDE w:val="0"/>
        <w:autoSpaceDN w:val="0"/>
        <w:adjustRightInd w:val="0"/>
        <w:spacing w:after="0"/>
        <w:jc w:val="both"/>
        <w:rPr>
          <w:rFonts w:ascii="Arial" w:hAnsi="Arial" w:cs="Arial"/>
          <w:sz w:val="20"/>
          <w:szCs w:val="20"/>
        </w:rPr>
      </w:pPr>
      <w:r w:rsidRPr="0007004D">
        <w:rPr>
          <w:rFonts w:ascii="Arial" w:hAnsi="Arial" w:cs="Arial"/>
          <w:sz w:val="20"/>
          <w:szCs w:val="20"/>
        </w:rPr>
        <w:t>9. Consulta. Possibilidade de permanência de Bancos de Projetos por Conselhos de Direitos do Idoso, em analogia com os existentes junto aos Conselhos de Direitos da Criança e do Adolescente, após a vigência da Lei nº 13.019/14. Utilização da dispensa de chamamento público somente em casos excepcionais, e devidamente justificada.</w:t>
      </w:r>
    </w:p>
    <w:p w14:paraId="5B64C078" w14:textId="77777777" w:rsidR="0007004D" w:rsidRDefault="0007004D" w:rsidP="0007004D">
      <w:pPr>
        <w:autoSpaceDE w:val="0"/>
        <w:autoSpaceDN w:val="0"/>
        <w:adjustRightInd w:val="0"/>
        <w:spacing w:after="0"/>
        <w:jc w:val="both"/>
        <w:rPr>
          <w:rFonts w:ascii="Arial" w:hAnsi="Arial" w:cs="Arial"/>
          <w:sz w:val="20"/>
          <w:szCs w:val="20"/>
        </w:rPr>
      </w:pPr>
    </w:p>
    <w:p w14:paraId="2F8DCF85" w14:textId="67C0680E" w:rsidR="0007004D" w:rsidRPr="0007004D" w:rsidRDefault="0007004D" w:rsidP="0007004D">
      <w:pPr>
        <w:autoSpaceDE w:val="0"/>
        <w:autoSpaceDN w:val="0"/>
        <w:adjustRightInd w:val="0"/>
        <w:spacing w:after="0"/>
        <w:jc w:val="both"/>
        <w:rPr>
          <w:rFonts w:ascii="Arial" w:hAnsi="Arial" w:cs="Arial"/>
          <w:sz w:val="20"/>
          <w:szCs w:val="20"/>
        </w:rPr>
      </w:pPr>
      <w:r w:rsidRPr="0007004D">
        <w:rPr>
          <w:rFonts w:ascii="Arial" w:hAnsi="Arial" w:cs="Arial"/>
          <w:sz w:val="20"/>
          <w:szCs w:val="20"/>
        </w:rPr>
        <w:t>10. Consulta. Instâncias de Governança Regionais. Municípios. Participação. Possibilidade. Necessidade de previsão legal. Repasse de valores. Legislação orçamentária. Prestação de Contas. Resolução n.º 28/11-TCE-PR.</w:t>
      </w:r>
    </w:p>
    <w:p w14:paraId="5D8E0CCB" w14:textId="77777777" w:rsidR="008E3435" w:rsidRPr="00BE7ED0" w:rsidRDefault="008E3435" w:rsidP="0007004D">
      <w:pPr>
        <w:autoSpaceDE w:val="0"/>
        <w:autoSpaceDN w:val="0"/>
        <w:adjustRightInd w:val="0"/>
        <w:spacing w:after="0"/>
        <w:jc w:val="both"/>
        <w:rPr>
          <w:rFonts w:ascii="Arial" w:hAnsi="Arial" w:cs="Arial"/>
          <w:sz w:val="20"/>
          <w:szCs w:val="20"/>
        </w:rPr>
      </w:pPr>
    </w:p>
    <w:p w14:paraId="0BE91B35" w14:textId="77777777" w:rsidR="007C18E7" w:rsidRPr="00BE7ED0" w:rsidRDefault="007C18E7" w:rsidP="0007004D">
      <w:pPr>
        <w:shd w:val="pct10" w:color="auto" w:fill="auto"/>
        <w:spacing w:after="0"/>
        <w:jc w:val="center"/>
        <w:rPr>
          <w:rFonts w:ascii="Arial" w:hAnsi="Arial" w:cs="Arial"/>
          <w:b/>
          <w:sz w:val="20"/>
          <w:szCs w:val="20"/>
        </w:rPr>
      </w:pPr>
      <w:r w:rsidRPr="00BE7ED0">
        <w:rPr>
          <w:rFonts w:ascii="Arial" w:hAnsi="Arial" w:cs="Arial"/>
          <w:b/>
          <w:sz w:val="20"/>
          <w:szCs w:val="20"/>
        </w:rPr>
        <w:t xml:space="preserve">PRIMEIRA CÂMARA </w:t>
      </w:r>
    </w:p>
    <w:p w14:paraId="4DFEEB83" w14:textId="77777777" w:rsidR="008F627B" w:rsidRPr="00BE7ED0" w:rsidRDefault="008F627B" w:rsidP="0007004D">
      <w:pPr>
        <w:autoSpaceDE w:val="0"/>
        <w:autoSpaceDN w:val="0"/>
        <w:adjustRightInd w:val="0"/>
        <w:spacing w:after="0"/>
        <w:jc w:val="both"/>
        <w:rPr>
          <w:rFonts w:ascii="Arial" w:hAnsi="Arial" w:cs="Arial"/>
          <w:b/>
          <w:sz w:val="20"/>
          <w:szCs w:val="20"/>
        </w:rPr>
      </w:pPr>
    </w:p>
    <w:p w14:paraId="158CAF21" w14:textId="77777777" w:rsidR="003319D0" w:rsidRPr="00B32E19" w:rsidRDefault="003319D0" w:rsidP="0007004D">
      <w:pPr>
        <w:autoSpaceDE w:val="0"/>
        <w:autoSpaceDN w:val="0"/>
        <w:adjustRightInd w:val="0"/>
        <w:spacing w:after="0"/>
        <w:jc w:val="both"/>
        <w:rPr>
          <w:rFonts w:ascii="Arial" w:hAnsi="Arial" w:cs="Arial"/>
          <w:b/>
          <w:sz w:val="20"/>
          <w:szCs w:val="20"/>
        </w:rPr>
      </w:pPr>
      <w:r w:rsidRPr="00B32E19">
        <w:rPr>
          <w:rFonts w:ascii="Arial" w:hAnsi="Arial" w:cs="Arial"/>
          <w:b/>
          <w:sz w:val="20"/>
          <w:szCs w:val="20"/>
        </w:rPr>
        <w:t>1.</w:t>
      </w:r>
      <w:r>
        <w:rPr>
          <w:rFonts w:ascii="Arial" w:hAnsi="Arial" w:cs="Arial"/>
          <w:b/>
          <w:sz w:val="20"/>
          <w:szCs w:val="20"/>
        </w:rPr>
        <w:t xml:space="preserve"> </w:t>
      </w:r>
      <w:r w:rsidRPr="003319D0">
        <w:rPr>
          <w:rFonts w:ascii="Arial" w:hAnsi="Arial" w:cs="Arial"/>
          <w:b/>
          <w:sz w:val="20"/>
          <w:szCs w:val="20"/>
        </w:rPr>
        <w:t>Prestação de Contas Anual. Exercício de 2017. Art. 16, II, LC N.º 113/2005. Impropriedades que não macularam a Prestação de Contas. Regularidade das Contas com ressalva.</w:t>
      </w:r>
    </w:p>
    <w:p w14:paraId="51274A25" w14:textId="77777777" w:rsidR="003319D0" w:rsidRPr="00B32E19" w:rsidRDefault="003319D0" w:rsidP="0007004D">
      <w:pPr>
        <w:autoSpaceDE w:val="0"/>
        <w:autoSpaceDN w:val="0"/>
        <w:adjustRightInd w:val="0"/>
        <w:spacing w:after="0"/>
        <w:jc w:val="both"/>
        <w:rPr>
          <w:rFonts w:ascii="Arial" w:hAnsi="Arial" w:cs="Arial"/>
          <w:b/>
          <w:sz w:val="20"/>
          <w:szCs w:val="20"/>
        </w:rPr>
      </w:pPr>
    </w:p>
    <w:p w14:paraId="6B546061" w14:textId="77777777" w:rsidR="003319D0" w:rsidRPr="00C30EB0" w:rsidRDefault="003319D0" w:rsidP="0007004D">
      <w:pPr>
        <w:autoSpaceDE w:val="0"/>
        <w:autoSpaceDN w:val="0"/>
        <w:adjustRightInd w:val="0"/>
        <w:spacing w:after="0"/>
        <w:jc w:val="both"/>
        <w:rPr>
          <w:rFonts w:ascii="Arial" w:hAnsi="Arial" w:cs="Arial"/>
          <w:sz w:val="20"/>
          <w:szCs w:val="20"/>
        </w:rPr>
      </w:pPr>
      <w:r w:rsidRPr="00C30EB0">
        <w:rPr>
          <w:rFonts w:ascii="Arial" w:hAnsi="Arial" w:cs="Arial"/>
          <w:sz w:val="20"/>
          <w:szCs w:val="20"/>
        </w:rPr>
        <w:t>No que tange ao resultado financeiro deficitário das fontes não</w:t>
      </w:r>
      <w:r>
        <w:rPr>
          <w:rFonts w:ascii="Arial" w:hAnsi="Arial" w:cs="Arial"/>
          <w:sz w:val="20"/>
          <w:szCs w:val="20"/>
        </w:rPr>
        <w:t xml:space="preserve"> </w:t>
      </w:r>
      <w:r w:rsidRPr="00C30EB0">
        <w:rPr>
          <w:rFonts w:ascii="Arial" w:hAnsi="Arial" w:cs="Arial"/>
          <w:sz w:val="20"/>
          <w:szCs w:val="20"/>
        </w:rPr>
        <w:t>vinculadas, no percentual de 2,25%, no caso concreto, não provocou</w:t>
      </w:r>
      <w:r>
        <w:rPr>
          <w:rFonts w:ascii="Arial" w:hAnsi="Arial" w:cs="Arial"/>
          <w:sz w:val="20"/>
          <w:szCs w:val="20"/>
        </w:rPr>
        <w:t xml:space="preserve"> </w:t>
      </w:r>
      <w:r w:rsidRPr="00C30EB0">
        <w:rPr>
          <w:rFonts w:ascii="Arial" w:hAnsi="Arial" w:cs="Arial"/>
          <w:sz w:val="20"/>
          <w:szCs w:val="20"/>
        </w:rPr>
        <w:t>grave impacto, apto a restringir às contas, possibilitando sua conversão em ressalva,</w:t>
      </w:r>
      <w:r>
        <w:rPr>
          <w:rFonts w:ascii="Arial" w:hAnsi="Arial" w:cs="Arial"/>
          <w:sz w:val="20"/>
          <w:szCs w:val="20"/>
        </w:rPr>
        <w:t xml:space="preserve"> </w:t>
      </w:r>
      <w:r w:rsidRPr="00C30EB0">
        <w:rPr>
          <w:rFonts w:ascii="Arial" w:hAnsi="Arial" w:cs="Arial"/>
          <w:sz w:val="20"/>
          <w:szCs w:val="20"/>
        </w:rPr>
        <w:t>conforme apontou o Ministério Público de Contas e</w:t>
      </w:r>
      <w:r>
        <w:rPr>
          <w:rFonts w:ascii="Arial" w:hAnsi="Arial" w:cs="Arial"/>
          <w:sz w:val="20"/>
          <w:szCs w:val="20"/>
        </w:rPr>
        <w:t xml:space="preserve"> </w:t>
      </w:r>
      <w:r w:rsidRPr="00C30EB0">
        <w:rPr>
          <w:rFonts w:ascii="Arial" w:hAnsi="Arial" w:cs="Arial"/>
          <w:sz w:val="20"/>
          <w:szCs w:val="20"/>
        </w:rPr>
        <w:t>reiterada jurisprudência desta Corte.</w:t>
      </w:r>
      <w:r>
        <w:rPr>
          <w:rFonts w:ascii="Arial" w:hAnsi="Arial" w:cs="Arial"/>
          <w:sz w:val="20"/>
          <w:szCs w:val="20"/>
        </w:rPr>
        <w:t xml:space="preserve"> </w:t>
      </w:r>
      <w:r w:rsidRPr="00C30EB0">
        <w:rPr>
          <w:rFonts w:ascii="Arial" w:hAnsi="Arial" w:cs="Arial"/>
          <w:sz w:val="20"/>
          <w:szCs w:val="20"/>
        </w:rPr>
        <w:t>Diante da conversão do item em ressalva, deix</w:t>
      </w:r>
      <w:r>
        <w:rPr>
          <w:rFonts w:ascii="Arial" w:hAnsi="Arial" w:cs="Arial"/>
          <w:sz w:val="20"/>
          <w:szCs w:val="20"/>
        </w:rPr>
        <w:t>a-se</w:t>
      </w:r>
      <w:r w:rsidRPr="00C30EB0">
        <w:rPr>
          <w:rFonts w:ascii="Arial" w:hAnsi="Arial" w:cs="Arial"/>
          <w:sz w:val="20"/>
          <w:szCs w:val="20"/>
        </w:rPr>
        <w:t xml:space="preserve"> de aplicar a multa</w:t>
      </w:r>
      <w:r>
        <w:rPr>
          <w:rFonts w:ascii="Arial" w:hAnsi="Arial" w:cs="Arial"/>
          <w:sz w:val="20"/>
          <w:szCs w:val="20"/>
        </w:rPr>
        <w:t xml:space="preserve"> </w:t>
      </w:r>
      <w:r w:rsidRPr="00C30EB0">
        <w:rPr>
          <w:rFonts w:ascii="Arial" w:hAnsi="Arial" w:cs="Arial"/>
          <w:sz w:val="20"/>
          <w:szCs w:val="20"/>
        </w:rPr>
        <w:t xml:space="preserve">prevista no art. 87, IV, “g”, da LC 113/2005, sugerida pela unidade técnica, em relação ao </w:t>
      </w:r>
      <w:r w:rsidRPr="00C30EB0">
        <w:rPr>
          <w:rFonts w:ascii="Arial" w:hAnsi="Arial" w:cs="Arial"/>
          <w:i/>
          <w:iCs/>
          <w:sz w:val="20"/>
          <w:szCs w:val="20"/>
        </w:rPr>
        <w:t xml:space="preserve">déficit </w:t>
      </w:r>
      <w:r w:rsidRPr="00C30EB0">
        <w:rPr>
          <w:rFonts w:ascii="Arial" w:hAnsi="Arial" w:cs="Arial"/>
          <w:sz w:val="20"/>
          <w:szCs w:val="20"/>
        </w:rPr>
        <w:t>apurado.</w:t>
      </w:r>
    </w:p>
    <w:p w14:paraId="1F025B82" w14:textId="77777777" w:rsidR="003319D0" w:rsidRDefault="003319D0" w:rsidP="0007004D">
      <w:pPr>
        <w:autoSpaceDE w:val="0"/>
        <w:autoSpaceDN w:val="0"/>
        <w:adjustRightInd w:val="0"/>
        <w:spacing w:after="0"/>
        <w:jc w:val="both"/>
        <w:rPr>
          <w:rFonts w:ascii="Arial" w:hAnsi="Arial" w:cs="Arial"/>
          <w:sz w:val="20"/>
          <w:szCs w:val="20"/>
        </w:rPr>
      </w:pPr>
    </w:p>
    <w:p w14:paraId="387D3DDA" w14:textId="77777777" w:rsidR="003319D0" w:rsidRPr="00B32E19" w:rsidRDefault="003319D0" w:rsidP="0007004D">
      <w:pPr>
        <w:autoSpaceDE w:val="0"/>
        <w:autoSpaceDN w:val="0"/>
        <w:adjustRightInd w:val="0"/>
        <w:spacing w:after="0"/>
        <w:jc w:val="both"/>
        <w:rPr>
          <w:rFonts w:ascii="Arial" w:hAnsi="Arial" w:cs="Arial"/>
          <w:sz w:val="20"/>
          <w:szCs w:val="20"/>
        </w:rPr>
      </w:pPr>
      <w:r w:rsidRPr="00B32E19">
        <w:rPr>
          <w:rFonts w:ascii="Arial" w:hAnsi="Arial" w:cs="Arial"/>
          <w:sz w:val="20"/>
          <w:szCs w:val="20"/>
        </w:rPr>
        <w:t xml:space="preserve">Processo nº </w:t>
      </w:r>
      <w:r>
        <w:rPr>
          <w:rFonts w:ascii="Arial" w:hAnsi="Arial" w:cs="Arial"/>
          <w:sz w:val="20"/>
          <w:szCs w:val="20"/>
        </w:rPr>
        <w:t>279643</w:t>
      </w:r>
      <w:r w:rsidRPr="00B32E19">
        <w:rPr>
          <w:rFonts w:ascii="Arial" w:hAnsi="Arial" w:cs="Arial"/>
          <w:sz w:val="20"/>
          <w:szCs w:val="20"/>
        </w:rPr>
        <w:t>/1</w:t>
      </w:r>
      <w:r>
        <w:rPr>
          <w:rFonts w:ascii="Arial" w:hAnsi="Arial" w:cs="Arial"/>
          <w:sz w:val="20"/>
          <w:szCs w:val="20"/>
        </w:rPr>
        <w:t>8</w:t>
      </w:r>
      <w:r w:rsidRPr="00B32E19">
        <w:rPr>
          <w:rFonts w:ascii="Arial" w:hAnsi="Arial" w:cs="Arial"/>
          <w:sz w:val="20"/>
          <w:szCs w:val="20"/>
        </w:rPr>
        <w:t xml:space="preserve"> – </w:t>
      </w:r>
      <w:hyperlink r:id="rId8" w:history="1">
        <w:r w:rsidRPr="00B32E19">
          <w:rPr>
            <w:rStyle w:val="Hyperlink"/>
            <w:rFonts w:ascii="Arial" w:hAnsi="Arial" w:cs="Arial"/>
            <w:sz w:val="20"/>
            <w:szCs w:val="20"/>
          </w:rPr>
          <w:t xml:space="preserve">Acórdão nº </w:t>
        </w:r>
        <w:r>
          <w:rPr>
            <w:rStyle w:val="Hyperlink"/>
            <w:rFonts w:ascii="Arial" w:hAnsi="Arial" w:cs="Arial"/>
            <w:sz w:val="20"/>
            <w:szCs w:val="20"/>
          </w:rPr>
          <w:t>97</w:t>
        </w:r>
        <w:r w:rsidRPr="00B32E19">
          <w:rPr>
            <w:rStyle w:val="Hyperlink"/>
            <w:rFonts w:ascii="Arial" w:hAnsi="Arial" w:cs="Arial"/>
            <w:sz w:val="20"/>
            <w:szCs w:val="20"/>
          </w:rPr>
          <w:t xml:space="preserve">/19 – </w:t>
        </w:r>
        <w:r>
          <w:rPr>
            <w:rStyle w:val="Hyperlink"/>
            <w:rFonts w:ascii="Arial" w:hAnsi="Arial" w:cs="Arial"/>
            <w:sz w:val="20"/>
            <w:szCs w:val="20"/>
          </w:rPr>
          <w:t>Primeira</w:t>
        </w:r>
        <w:r w:rsidRPr="00B32E19">
          <w:rPr>
            <w:rStyle w:val="Hyperlink"/>
            <w:rFonts w:ascii="Arial" w:hAnsi="Arial" w:cs="Arial"/>
            <w:sz w:val="20"/>
            <w:szCs w:val="20"/>
          </w:rPr>
          <w:t xml:space="preserve"> Câmara</w:t>
        </w:r>
      </w:hyperlink>
      <w:r w:rsidRPr="00B32E19">
        <w:rPr>
          <w:rFonts w:ascii="Arial" w:hAnsi="Arial" w:cs="Arial"/>
          <w:sz w:val="20"/>
          <w:szCs w:val="20"/>
        </w:rPr>
        <w:t xml:space="preserve"> - Relator </w:t>
      </w:r>
      <w:r>
        <w:rPr>
          <w:rFonts w:ascii="Arial" w:hAnsi="Arial" w:cs="Arial"/>
          <w:sz w:val="20"/>
          <w:szCs w:val="20"/>
        </w:rPr>
        <w:t>Conselheiro Jose Durval Mattos do Amaral</w:t>
      </w:r>
      <w:r w:rsidRPr="00B32E19">
        <w:rPr>
          <w:rFonts w:ascii="Arial" w:hAnsi="Arial" w:cs="Arial"/>
          <w:sz w:val="20"/>
          <w:szCs w:val="20"/>
        </w:rPr>
        <w:t>.</w:t>
      </w:r>
    </w:p>
    <w:p w14:paraId="1090B6FD" w14:textId="77777777" w:rsidR="003319D0" w:rsidRDefault="003319D0" w:rsidP="0007004D">
      <w:pPr>
        <w:autoSpaceDE w:val="0"/>
        <w:autoSpaceDN w:val="0"/>
        <w:adjustRightInd w:val="0"/>
        <w:spacing w:after="0"/>
        <w:jc w:val="both"/>
        <w:rPr>
          <w:rFonts w:ascii="Arial" w:hAnsi="Arial" w:cs="Arial"/>
          <w:sz w:val="20"/>
          <w:szCs w:val="20"/>
        </w:rPr>
      </w:pPr>
    </w:p>
    <w:p w14:paraId="1AC8B086" w14:textId="77777777" w:rsidR="003319D0" w:rsidRPr="00B32E19" w:rsidRDefault="003319D0" w:rsidP="0007004D">
      <w:pPr>
        <w:autoSpaceDE w:val="0"/>
        <w:autoSpaceDN w:val="0"/>
        <w:adjustRightInd w:val="0"/>
        <w:spacing w:after="0"/>
        <w:jc w:val="both"/>
        <w:rPr>
          <w:rFonts w:ascii="Arial" w:hAnsi="Arial" w:cs="Arial"/>
          <w:b/>
          <w:sz w:val="20"/>
          <w:szCs w:val="20"/>
        </w:rPr>
      </w:pPr>
      <w:r>
        <w:rPr>
          <w:rFonts w:ascii="Arial" w:hAnsi="Arial" w:cs="Arial"/>
          <w:b/>
          <w:sz w:val="20"/>
          <w:szCs w:val="20"/>
        </w:rPr>
        <w:t>2</w:t>
      </w:r>
      <w:r w:rsidRPr="00B32E19">
        <w:rPr>
          <w:rFonts w:ascii="Arial" w:hAnsi="Arial" w:cs="Arial"/>
          <w:b/>
          <w:sz w:val="20"/>
          <w:szCs w:val="20"/>
        </w:rPr>
        <w:t>.</w:t>
      </w:r>
      <w:r>
        <w:rPr>
          <w:rFonts w:ascii="Arial" w:hAnsi="Arial" w:cs="Arial"/>
          <w:b/>
          <w:sz w:val="20"/>
          <w:szCs w:val="20"/>
        </w:rPr>
        <w:t xml:space="preserve"> </w:t>
      </w:r>
      <w:r w:rsidRPr="00091944">
        <w:rPr>
          <w:rFonts w:ascii="Arial" w:hAnsi="Arial" w:cs="Arial"/>
          <w:b/>
          <w:sz w:val="20"/>
          <w:szCs w:val="20"/>
        </w:rPr>
        <w:t>Tomada de Contas Extraordinária. Fase de execução de julgado. Ausência de comprovação do cumprimento de determinações deste Tribunal de Contas pelo Fundo Municipal de Saúde. Aplicação de sanções e expedição de novo prazo para cumprimento das determinações.</w:t>
      </w:r>
    </w:p>
    <w:p w14:paraId="2028C964" w14:textId="77777777" w:rsidR="003319D0" w:rsidRPr="00B32E19" w:rsidRDefault="003319D0" w:rsidP="0007004D">
      <w:pPr>
        <w:autoSpaceDE w:val="0"/>
        <w:autoSpaceDN w:val="0"/>
        <w:adjustRightInd w:val="0"/>
        <w:spacing w:after="0"/>
        <w:jc w:val="both"/>
        <w:rPr>
          <w:rFonts w:ascii="Arial" w:hAnsi="Arial" w:cs="Arial"/>
          <w:b/>
          <w:sz w:val="20"/>
          <w:szCs w:val="20"/>
        </w:rPr>
      </w:pPr>
    </w:p>
    <w:p w14:paraId="57C2CA75" w14:textId="77777777" w:rsidR="003319D0" w:rsidRPr="00091944" w:rsidRDefault="003319D0" w:rsidP="0007004D">
      <w:pPr>
        <w:autoSpaceDE w:val="0"/>
        <w:autoSpaceDN w:val="0"/>
        <w:adjustRightInd w:val="0"/>
        <w:spacing w:after="0"/>
        <w:jc w:val="both"/>
        <w:rPr>
          <w:rFonts w:ascii="Arial" w:hAnsi="Arial" w:cs="Arial"/>
          <w:sz w:val="20"/>
          <w:szCs w:val="20"/>
        </w:rPr>
      </w:pPr>
      <w:r w:rsidRPr="00091944">
        <w:rPr>
          <w:rFonts w:ascii="Arial" w:hAnsi="Arial" w:cs="Arial"/>
          <w:sz w:val="20"/>
          <w:szCs w:val="20"/>
        </w:rPr>
        <w:t>Tratam os autos de fase executória das determinações</w:t>
      </w:r>
      <w:r>
        <w:rPr>
          <w:rFonts w:ascii="Arial" w:hAnsi="Arial" w:cs="Arial"/>
          <w:sz w:val="20"/>
          <w:szCs w:val="20"/>
        </w:rPr>
        <w:t xml:space="preserve"> </w:t>
      </w:r>
      <w:r w:rsidRPr="00091944">
        <w:rPr>
          <w:rFonts w:ascii="Arial" w:hAnsi="Arial" w:cs="Arial"/>
          <w:sz w:val="20"/>
          <w:szCs w:val="20"/>
        </w:rPr>
        <w:t>previstas no Acórdão nº 2276/17 – S1C5, que aplicou multas administrativas e</w:t>
      </w:r>
      <w:r>
        <w:rPr>
          <w:rFonts w:ascii="Arial" w:hAnsi="Arial" w:cs="Arial"/>
          <w:sz w:val="20"/>
          <w:szCs w:val="20"/>
        </w:rPr>
        <w:t xml:space="preserve"> </w:t>
      </w:r>
      <w:r w:rsidRPr="00091944">
        <w:rPr>
          <w:rFonts w:ascii="Arial" w:hAnsi="Arial" w:cs="Arial"/>
          <w:sz w:val="20"/>
          <w:szCs w:val="20"/>
        </w:rPr>
        <w:t>determinou ao Fundo Municipal de Saúde de Santo Inácio, na pessoa de seu atual</w:t>
      </w:r>
      <w:r>
        <w:rPr>
          <w:rFonts w:ascii="Arial" w:hAnsi="Arial" w:cs="Arial"/>
          <w:sz w:val="20"/>
          <w:szCs w:val="20"/>
        </w:rPr>
        <w:t xml:space="preserve"> </w:t>
      </w:r>
      <w:r w:rsidRPr="00091944">
        <w:rPr>
          <w:rFonts w:ascii="Arial" w:hAnsi="Arial" w:cs="Arial"/>
          <w:sz w:val="20"/>
          <w:szCs w:val="20"/>
        </w:rPr>
        <w:t>gestor, que, no prazo de 90 (noventa) dias, implantasse o devido controle de</w:t>
      </w:r>
      <w:r>
        <w:rPr>
          <w:rFonts w:ascii="Arial" w:hAnsi="Arial" w:cs="Arial"/>
          <w:sz w:val="20"/>
          <w:szCs w:val="20"/>
        </w:rPr>
        <w:t xml:space="preserve"> </w:t>
      </w:r>
      <w:r w:rsidRPr="00091944">
        <w:rPr>
          <w:rFonts w:ascii="Arial" w:hAnsi="Arial" w:cs="Arial"/>
          <w:sz w:val="20"/>
          <w:szCs w:val="20"/>
        </w:rPr>
        <w:t>medicamentos, ou de quaisquer bens que venham a ser adquiridos, visando permitir de</w:t>
      </w:r>
      <w:r>
        <w:rPr>
          <w:rFonts w:ascii="Arial" w:hAnsi="Arial" w:cs="Arial"/>
          <w:sz w:val="20"/>
          <w:szCs w:val="20"/>
        </w:rPr>
        <w:t xml:space="preserve"> </w:t>
      </w:r>
      <w:r w:rsidRPr="00091944">
        <w:rPr>
          <w:rFonts w:ascii="Arial" w:hAnsi="Arial" w:cs="Arial"/>
          <w:sz w:val="20"/>
          <w:szCs w:val="20"/>
        </w:rPr>
        <w:t>forma imediata, clara e aberta à sociedade, a entrada e saída dos produtos, havendo,</w:t>
      </w:r>
      <w:r>
        <w:rPr>
          <w:rFonts w:ascii="Arial" w:hAnsi="Arial" w:cs="Arial"/>
          <w:sz w:val="20"/>
          <w:szCs w:val="20"/>
        </w:rPr>
        <w:t xml:space="preserve"> </w:t>
      </w:r>
      <w:r w:rsidRPr="00091944">
        <w:rPr>
          <w:rFonts w:ascii="Arial" w:hAnsi="Arial" w:cs="Arial"/>
          <w:sz w:val="20"/>
          <w:szCs w:val="20"/>
        </w:rPr>
        <w:t xml:space="preserve">inclusive, </w:t>
      </w:r>
      <w:r w:rsidRPr="00091944">
        <w:rPr>
          <w:rFonts w:ascii="Arial" w:hAnsi="Arial" w:cs="Arial"/>
          <w:sz w:val="20"/>
          <w:szCs w:val="20"/>
        </w:rPr>
        <w:lastRenderedPageBreak/>
        <w:t>software livre para este objetivo no site www.softwarepublico.gov.br do</w:t>
      </w:r>
      <w:r>
        <w:rPr>
          <w:rFonts w:ascii="Arial" w:hAnsi="Arial" w:cs="Arial"/>
          <w:sz w:val="20"/>
          <w:szCs w:val="20"/>
        </w:rPr>
        <w:t xml:space="preserve"> </w:t>
      </w:r>
      <w:r w:rsidRPr="00091944">
        <w:rPr>
          <w:rFonts w:ascii="Arial" w:hAnsi="Arial" w:cs="Arial"/>
          <w:sz w:val="20"/>
          <w:szCs w:val="20"/>
        </w:rPr>
        <w:t>Ministério do Planejamento, Desenvolvimento e Gestão.</w:t>
      </w:r>
    </w:p>
    <w:p w14:paraId="66DDCF21" w14:textId="77777777" w:rsidR="003319D0" w:rsidRDefault="003319D0" w:rsidP="0007004D">
      <w:pPr>
        <w:autoSpaceDE w:val="0"/>
        <w:autoSpaceDN w:val="0"/>
        <w:adjustRightInd w:val="0"/>
        <w:spacing w:after="0"/>
        <w:jc w:val="both"/>
        <w:rPr>
          <w:rFonts w:ascii="Arial" w:hAnsi="Arial" w:cs="Arial"/>
          <w:sz w:val="20"/>
          <w:szCs w:val="20"/>
        </w:rPr>
      </w:pPr>
    </w:p>
    <w:p w14:paraId="66602304" w14:textId="77777777" w:rsidR="003319D0" w:rsidRPr="00091944" w:rsidRDefault="003319D0" w:rsidP="0007004D">
      <w:pPr>
        <w:autoSpaceDE w:val="0"/>
        <w:autoSpaceDN w:val="0"/>
        <w:adjustRightInd w:val="0"/>
        <w:spacing w:after="0"/>
        <w:jc w:val="both"/>
        <w:rPr>
          <w:rFonts w:ascii="Arial" w:hAnsi="Arial" w:cs="Arial"/>
          <w:sz w:val="20"/>
          <w:szCs w:val="20"/>
        </w:rPr>
      </w:pPr>
      <w:r w:rsidRPr="00091944">
        <w:rPr>
          <w:rFonts w:ascii="Arial" w:hAnsi="Arial" w:cs="Arial"/>
          <w:sz w:val="20"/>
          <w:szCs w:val="20"/>
        </w:rPr>
        <w:t>Desse modo, frente à ausência de comprovação do cumprimento das</w:t>
      </w:r>
      <w:r>
        <w:rPr>
          <w:rFonts w:ascii="Arial" w:hAnsi="Arial" w:cs="Arial"/>
          <w:sz w:val="20"/>
          <w:szCs w:val="20"/>
        </w:rPr>
        <w:t xml:space="preserve"> </w:t>
      </w:r>
      <w:r w:rsidRPr="00091944">
        <w:rPr>
          <w:rFonts w:ascii="Arial" w:hAnsi="Arial" w:cs="Arial"/>
          <w:sz w:val="20"/>
          <w:szCs w:val="20"/>
        </w:rPr>
        <w:t>determinações do Acórdão nº 2276/17 – S1C, deve ser aplicada multa administrativa</w:t>
      </w:r>
      <w:r>
        <w:rPr>
          <w:rFonts w:ascii="Arial" w:hAnsi="Arial" w:cs="Arial"/>
          <w:sz w:val="20"/>
          <w:szCs w:val="20"/>
        </w:rPr>
        <w:t xml:space="preserve"> </w:t>
      </w:r>
      <w:r w:rsidRPr="00091944">
        <w:rPr>
          <w:rFonts w:ascii="Arial" w:hAnsi="Arial" w:cs="Arial"/>
          <w:sz w:val="20"/>
          <w:szCs w:val="20"/>
        </w:rPr>
        <w:t>prevista no art. 87, III, f, da Lei Orgânica deste Tribunal de Contas à atual gestora do Fundo Municipal de Saúde de Santo Inácio.</w:t>
      </w:r>
      <w:r>
        <w:rPr>
          <w:rFonts w:ascii="Arial" w:hAnsi="Arial" w:cs="Arial"/>
          <w:sz w:val="20"/>
          <w:szCs w:val="20"/>
        </w:rPr>
        <w:t xml:space="preserve"> </w:t>
      </w:r>
      <w:r w:rsidRPr="00091944">
        <w:rPr>
          <w:rFonts w:ascii="Arial" w:hAnsi="Arial" w:cs="Arial"/>
          <w:sz w:val="20"/>
          <w:szCs w:val="20"/>
        </w:rPr>
        <w:t>Após o trânsito em julgado, deve a CMEX dar continuidade à execução</w:t>
      </w:r>
      <w:r>
        <w:rPr>
          <w:rFonts w:ascii="Arial" w:hAnsi="Arial" w:cs="Arial"/>
          <w:sz w:val="20"/>
          <w:szCs w:val="20"/>
        </w:rPr>
        <w:t xml:space="preserve"> </w:t>
      </w:r>
      <w:r w:rsidRPr="00091944">
        <w:rPr>
          <w:rFonts w:ascii="Arial" w:hAnsi="Arial" w:cs="Arial"/>
          <w:sz w:val="20"/>
          <w:szCs w:val="20"/>
        </w:rPr>
        <w:t>do julgado, concedendo o prazo de 30 (trinta) dias para que o Fundo Municipal de</w:t>
      </w:r>
      <w:r>
        <w:rPr>
          <w:rFonts w:ascii="Arial" w:hAnsi="Arial" w:cs="Arial"/>
          <w:sz w:val="20"/>
          <w:szCs w:val="20"/>
        </w:rPr>
        <w:t xml:space="preserve"> </w:t>
      </w:r>
      <w:r w:rsidRPr="00091944">
        <w:rPr>
          <w:rFonts w:ascii="Arial" w:hAnsi="Arial" w:cs="Arial"/>
          <w:sz w:val="20"/>
          <w:szCs w:val="20"/>
        </w:rPr>
        <w:t>Saúde de Santo Inácio, na pessoa de seu atual gestor, comprove o cumprimento do</w:t>
      </w:r>
      <w:r>
        <w:rPr>
          <w:rFonts w:ascii="Arial" w:hAnsi="Arial" w:cs="Arial"/>
          <w:sz w:val="20"/>
          <w:szCs w:val="20"/>
        </w:rPr>
        <w:t xml:space="preserve"> </w:t>
      </w:r>
      <w:r w:rsidRPr="00091944">
        <w:rPr>
          <w:rFonts w:ascii="Arial" w:hAnsi="Arial" w:cs="Arial"/>
          <w:sz w:val="20"/>
          <w:szCs w:val="20"/>
        </w:rPr>
        <w:t>Acórdão nº 2276/17 – S1C; além do controle das multas administrativas impostas, uma</w:t>
      </w:r>
      <w:r>
        <w:rPr>
          <w:rFonts w:ascii="Arial" w:hAnsi="Arial" w:cs="Arial"/>
          <w:sz w:val="20"/>
          <w:szCs w:val="20"/>
        </w:rPr>
        <w:t xml:space="preserve"> </w:t>
      </w:r>
      <w:r w:rsidRPr="00091944">
        <w:rPr>
          <w:rFonts w:ascii="Arial" w:hAnsi="Arial" w:cs="Arial"/>
          <w:sz w:val="20"/>
          <w:szCs w:val="20"/>
        </w:rPr>
        <w:t>vez que não foram todos os executados que comprovaram o seu adimplemento,</w:t>
      </w:r>
      <w:r>
        <w:rPr>
          <w:rFonts w:ascii="Arial" w:hAnsi="Arial" w:cs="Arial"/>
          <w:sz w:val="20"/>
          <w:szCs w:val="20"/>
        </w:rPr>
        <w:t xml:space="preserve"> </w:t>
      </w:r>
      <w:r w:rsidRPr="00091944">
        <w:rPr>
          <w:rFonts w:ascii="Arial" w:hAnsi="Arial" w:cs="Arial"/>
          <w:sz w:val="20"/>
          <w:szCs w:val="20"/>
        </w:rPr>
        <w:t>inclusive a multa administrativa aplicada neste Acórdão.</w:t>
      </w:r>
    </w:p>
    <w:p w14:paraId="112C3E3A" w14:textId="77777777" w:rsidR="003319D0" w:rsidRDefault="003319D0" w:rsidP="0007004D">
      <w:pPr>
        <w:autoSpaceDE w:val="0"/>
        <w:autoSpaceDN w:val="0"/>
        <w:adjustRightInd w:val="0"/>
        <w:spacing w:after="0"/>
        <w:jc w:val="both"/>
        <w:rPr>
          <w:rFonts w:ascii="Arial" w:hAnsi="Arial" w:cs="Arial"/>
          <w:sz w:val="20"/>
          <w:szCs w:val="20"/>
        </w:rPr>
      </w:pPr>
    </w:p>
    <w:p w14:paraId="695BEE84" w14:textId="77777777" w:rsidR="003319D0" w:rsidRPr="00B32E19" w:rsidRDefault="003319D0" w:rsidP="0007004D">
      <w:pPr>
        <w:autoSpaceDE w:val="0"/>
        <w:autoSpaceDN w:val="0"/>
        <w:adjustRightInd w:val="0"/>
        <w:spacing w:after="0"/>
        <w:jc w:val="both"/>
        <w:rPr>
          <w:rFonts w:ascii="Arial" w:hAnsi="Arial" w:cs="Arial"/>
          <w:sz w:val="20"/>
          <w:szCs w:val="20"/>
        </w:rPr>
      </w:pPr>
      <w:r w:rsidRPr="00B32E19">
        <w:rPr>
          <w:rFonts w:ascii="Arial" w:hAnsi="Arial" w:cs="Arial"/>
          <w:sz w:val="20"/>
          <w:szCs w:val="20"/>
        </w:rPr>
        <w:t xml:space="preserve">Processo nº </w:t>
      </w:r>
      <w:r>
        <w:rPr>
          <w:rFonts w:ascii="Arial" w:hAnsi="Arial" w:cs="Arial"/>
          <w:sz w:val="20"/>
          <w:szCs w:val="20"/>
        </w:rPr>
        <w:t>626621/16</w:t>
      </w:r>
      <w:r w:rsidRPr="00B32E19">
        <w:rPr>
          <w:rFonts w:ascii="Arial" w:hAnsi="Arial" w:cs="Arial"/>
          <w:sz w:val="20"/>
          <w:szCs w:val="20"/>
        </w:rPr>
        <w:t xml:space="preserve"> – </w:t>
      </w:r>
      <w:hyperlink r:id="rId9" w:history="1">
        <w:r w:rsidRPr="00B32E19">
          <w:rPr>
            <w:rStyle w:val="Hyperlink"/>
            <w:rFonts w:ascii="Arial" w:hAnsi="Arial" w:cs="Arial"/>
            <w:sz w:val="20"/>
            <w:szCs w:val="20"/>
          </w:rPr>
          <w:t xml:space="preserve">Acórdão nº </w:t>
        </w:r>
        <w:r>
          <w:rPr>
            <w:rStyle w:val="Hyperlink"/>
            <w:rFonts w:ascii="Arial" w:hAnsi="Arial" w:cs="Arial"/>
            <w:sz w:val="20"/>
            <w:szCs w:val="20"/>
          </w:rPr>
          <w:t>941</w:t>
        </w:r>
        <w:r w:rsidRPr="00B32E19">
          <w:rPr>
            <w:rStyle w:val="Hyperlink"/>
            <w:rFonts w:ascii="Arial" w:hAnsi="Arial" w:cs="Arial"/>
            <w:sz w:val="20"/>
            <w:szCs w:val="20"/>
          </w:rPr>
          <w:t xml:space="preserve">/19 – </w:t>
        </w:r>
        <w:r>
          <w:rPr>
            <w:rStyle w:val="Hyperlink"/>
            <w:rFonts w:ascii="Arial" w:hAnsi="Arial" w:cs="Arial"/>
            <w:sz w:val="20"/>
            <w:szCs w:val="20"/>
          </w:rPr>
          <w:t>Primeira</w:t>
        </w:r>
        <w:r w:rsidRPr="00B32E19">
          <w:rPr>
            <w:rStyle w:val="Hyperlink"/>
            <w:rFonts w:ascii="Arial" w:hAnsi="Arial" w:cs="Arial"/>
            <w:sz w:val="20"/>
            <w:szCs w:val="20"/>
          </w:rPr>
          <w:t xml:space="preserve"> Câmara</w:t>
        </w:r>
      </w:hyperlink>
      <w:r w:rsidRPr="00B32E19">
        <w:rPr>
          <w:rFonts w:ascii="Arial" w:hAnsi="Arial" w:cs="Arial"/>
          <w:sz w:val="20"/>
          <w:szCs w:val="20"/>
        </w:rPr>
        <w:t xml:space="preserve"> - Relator </w:t>
      </w:r>
      <w:r>
        <w:rPr>
          <w:rFonts w:ascii="Arial" w:hAnsi="Arial" w:cs="Arial"/>
          <w:sz w:val="20"/>
          <w:szCs w:val="20"/>
        </w:rPr>
        <w:t>Conselheiro Fernando Augusto Mello Guimarães</w:t>
      </w:r>
      <w:r w:rsidRPr="00B32E19">
        <w:rPr>
          <w:rFonts w:ascii="Arial" w:hAnsi="Arial" w:cs="Arial"/>
          <w:sz w:val="20"/>
          <w:szCs w:val="20"/>
        </w:rPr>
        <w:t>.</w:t>
      </w:r>
    </w:p>
    <w:p w14:paraId="06DA27AE" w14:textId="77777777" w:rsidR="003319D0" w:rsidRDefault="003319D0" w:rsidP="0007004D">
      <w:pPr>
        <w:autoSpaceDE w:val="0"/>
        <w:autoSpaceDN w:val="0"/>
        <w:adjustRightInd w:val="0"/>
        <w:spacing w:after="0"/>
        <w:jc w:val="both"/>
        <w:rPr>
          <w:rFonts w:ascii="Arial" w:hAnsi="Arial" w:cs="Arial"/>
          <w:sz w:val="20"/>
          <w:szCs w:val="20"/>
        </w:rPr>
      </w:pPr>
    </w:p>
    <w:p w14:paraId="7A30FCFF" w14:textId="77777777" w:rsidR="003319D0" w:rsidRPr="00B32E19" w:rsidRDefault="003319D0" w:rsidP="0007004D">
      <w:pPr>
        <w:autoSpaceDE w:val="0"/>
        <w:autoSpaceDN w:val="0"/>
        <w:adjustRightInd w:val="0"/>
        <w:spacing w:after="0"/>
        <w:jc w:val="both"/>
        <w:rPr>
          <w:rFonts w:ascii="Arial" w:hAnsi="Arial" w:cs="Arial"/>
          <w:b/>
          <w:sz w:val="20"/>
          <w:szCs w:val="20"/>
        </w:rPr>
      </w:pPr>
      <w:r>
        <w:rPr>
          <w:rFonts w:ascii="Arial" w:hAnsi="Arial" w:cs="Arial"/>
          <w:b/>
          <w:sz w:val="20"/>
          <w:szCs w:val="20"/>
        </w:rPr>
        <w:t>3</w:t>
      </w:r>
      <w:r w:rsidRPr="00B32E19">
        <w:rPr>
          <w:rFonts w:ascii="Arial" w:hAnsi="Arial" w:cs="Arial"/>
          <w:b/>
          <w:sz w:val="20"/>
          <w:szCs w:val="20"/>
        </w:rPr>
        <w:t>.</w:t>
      </w:r>
      <w:r>
        <w:rPr>
          <w:rFonts w:ascii="Arial" w:hAnsi="Arial" w:cs="Arial"/>
          <w:b/>
          <w:sz w:val="20"/>
          <w:szCs w:val="20"/>
        </w:rPr>
        <w:t xml:space="preserve"> </w:t>
      </w:r>
      <w:r w:rsidRPr="007B32D9">
        <w:rPr>
          <w:rFonts w:ascii="Arial" w:hAnsi="Arial" w:cs="Arial"/>
          <w:b/>
          <w:sz w:val="20"/>
          <w:szCs w:val="20"/>
        </w:rPr>
        <w:t>Recurso de agravo. As multas administrativas previstas na LC/PR 113/05 são plenamente líquidas, uma vez que têm seu valor pré-determinado, não podendo a respectiva aplicação ser objeto de embargos de liquidação. Desprovimento.</w:t>
      </w:r>
    </w:p>
    <w:p w14:paraId="4466CB15" w14:textId="77777777" w:rsidR="003319D0" w:rsidRDefault="003319D0" w:rsidP="0007004D">
      <w:pPr>
        <w:autoSpaceDE w:val="0"/>
        <w:autoSpaceDN w:val="0"/>
        <w:adjustRightInd w:val="0"/>
        <w:spacing w:after="0"/>
        <w:jc w:val="both"/>
        <w:rPr>
          <w:rFonts w:ascii="Arial" w:hAnsi="Arial" w:cs="Arial"/>
          <w:b/>
          <w:sz w:val="20"/>
          <w:szCs w:val="20"/>
        </w:rPr>
      </w:pPr>
    </w:p>
    <w:p w14:paraId="3689B5A1" w14:textId="77777777" w:rsidR="003319D0" w:rsidRPr="007B32D9" w:rsidRDefault="003319D0" w:rsidP="0007004D">
      <w:pPr>
        <w:autoSpaceDE w:val="0"/>
        <w:autoSpaceDN w:val="0"/>
        <w:adjustRightInd w:val="0"/>
        <w:spacing w:after="0"/>
        <w:jc w:val="both"/>
        <w:rPr>
          <w:rFonts w:ascii="Arial" w:hAnsi="Arial" w:cs="Arial"/>
          <w:sz w:val="20"/>
          <w:szCs w:val="20"/>
        </w:rPr>
      </w:pPr>
      <w:r w:rsidRPr="007B32D9">
        <w:rPr>
          <w:rFonts w:ascii="Arial" w:hAnsi="Arial" w:cs="Arial"/>
          <w:sz w:val="20"/>
          <w:szCs w:val="20"/>
        </w:rPr>
        <w:t>Não merece guarida o pleito recursal. Os embargos de liquidação têm como objeto exclusivo, na dicção do Regimento Interno do TCE/, “</w:t>
      </w:r>
      <w:r w:rsidRPr="007B32D9">
        <w:rPr>
          <w:rFonts w:ascii="Arial" w:hAnsi="Arial" w:cs="Arial"/>
          <w:i/>
          <w:iCs/>
          <w:sz w:val="20"/>
          <w:szCs w:val="20"/>
        </w:rPr>
        <w:t>a liquidação das contas, não sendo conhecidas outras matérias relativas ao julgamento das contas prestadas</w:t>
      </w:r>
      <w:r w:rsidRPr="007B32D9">
        <w:rPr>
          <w:rFonts w:ascii="Arial" w:hAnsi="Arial" w:cs="Arial"/>
          <w:sz w:val="20"/>
          <w:szCs w:val="20"/>
        </w:rPr>
        <w:t>”.</w:t>
      </w:r>
    </w:p>
    <w:p w14:paraId="5C09A286" w14:textId="77777777" w:rsidR="003319D0" w:rsidRPr="007B32D9" w:rsidRDefault="003319D0" w:rsidP="0007004D">
      <w:pPr>
        <w:autoSpaceDE w:val="0"/>
        <w:autoSpaceDN w:val="0"/>
        <w:adjustRightInd w:val="0"/>
        <w:spacing w:after="0"/>
        <w:jc w:val="both"/>
        <w:rPr>
          <w:rFonts w:ascii="Arial" w:hAnsi="Arial" w:cs="Arial"/>
          <w:sz w:val="20"/>
          <w:szCs w:val="20"/>
        </w:rPr>
      </w:pPr>
    </w:p>
    <w:p w14:paraId="78ACE1FE" w14:textId="77777777" w:rsidR="003319D0" w:rsidRPr="007B32D9" w:rsidRDefault="003319D0" w:rsidP="0007004D">
      <w:pPr>
        <w:autoSpaceDE w:val="0"/>
        <w:autoSpaceDN w:val="0"/>
        <w:adjustRightInd w:val="0"/>
        <w:spacing w:after="0"/>
        <w:jc w:val="both"/>
        <w:rPr>
          <w:rFonts w:ascii="Arial" w:hAnsi="Arial" w:cs="Arial"/>
          <w:b/>
          <w:sz w:val="20"/>
          <w:szCs w:val="20"/>
        </w:rPr>
      </w:pPr>
      <w:r w:rsidRPr="007B32D9">
        <w:rPr>
          <w:rFonts w:ascii="Arial" w:hAnsi="Arial" w:cs="Arial"/>
          <w:sz w:val="20"/>
          <w:szCs w:val="20"/>
        </w:rPr>
        <w:t>As multas administrativas previstas na LC/PR 113/05 são plenamente líquidas, uma vez que têm seu valor pré-determinado, não sendo caso de aplicação de procedimento de liquidação e, por consequência, ensejador de embargos de liquidação.</w:t>
      </w:r>
    </w:p>
    <w:p w14:paraId="1B66BC05" w14:textId="77777777" w:rsidR="003319D0" w:rsidRDefault="003319D0" w:rsidP="0007004D">
      <w:pPr>
        <w:autoSpaceDE w:val="0"/>
        <w:autoSpaceDN w:val="0"/>
        <w:adjustRightInd w:val="0"/>
        <w:spacing w:after="0"/>
        <w:jc w:val="both"/>
        <w:rPr>
          <w:rFonts w:ascii="Arial" w:hAnsi="Arial" w:cs="Arial"/>
          <w:sz w:val="20"/>
          <w:szCs w:val="20"/>
        </w:rPr>
      </w:pPr>
    </w:p>
    <w:p w14:paraId="4F47D146" w14:textId="77777777" w:rsidR="003319D0" w:rsidRPr="00B32E19" w:rsidRDefault="003319D0" w:rsidP="0007004D">
      <w:pPr>
        <w:autoSpaceDE w:val="0"/>
        <w:autoSpaceDN w:val="0"/>
        <w:adjustRightInd w:val="0"/>
        <w:spacing w:after="0"/>
        <w:jc w:val="both"/>
        <w:rPr>
          <w:rFonts w:ascii="Arial" w:hAnsi="Arial" w:cs="Arial"/>
          <w:sz w:val="20"/>
          <w:szCs w:val="20"/>
        </w:rPr>
      </w:pPr>
      <w:r w:rsidRPr="00B32E19">
        <w:rPr>
          <w:rFonts w:ascii="Arial" w:hAnsi="Arial" w:cs="Arial"/>
          <w:sz w:val="20"/>
          <w:szCs w:val="20"/>
        </w:rPr>
        <w:t xml:space="preserve">Processo nº </w:t>
      </w:r>
      <w:r>
        <w:rPr>
          <w:rFonts w:ascii="Arial" w:hAnsi="Arial" w:cs="Arial"/>
          <w:sz w:val="20"/>
          <w:szCs w:val="20"/>
        </w:rPr>
        <w:t>226896</w:t>
      </w:r>
      <w:r w:rsidRPr="00B32E19">
        <w:rPr>
          <w:rFonts w:ascii="Arial" w:hAnsi="Arial" w:cs="Arial"/>
          <w:sz w:val="20"/>
          <w:szCs w:val="20"/>
        </w:rPr>
        <w:t>/1</w:t>
      </w:r>
      <w:r>
        <w:rPr>
          <w:rFonts w:ascii="Arial" w:hAnsi="Arial" w:cs="Arial"/>
          <w:sz w:val="20"/>
          <w:szCs w:val="20"/>
        </w:rPr>
        <w:t>9</w:t>
      </w:r>
      <w:r w:rsidRPr="00B32E19">
        <w:rPr>
          <w:rFonts w:ascii="Arial" w:hAnsi="Arial" w:cs="Arial"/>
          <w:sz w:val="20"/>
          <w:szCs w:val="20"/>
        </w:rPr>
        <w:t xml:space="preserve"> – </w:t>
      </w:r>
      <w:hyperlink r:id="rId10" w:history="1">
        <w:r w:rsidRPr="00B32E19">
          <w:rPr>
            <w:rStyle w:val="Hyperlink"/>
            <w:rFonts w:ascii="Arial" w:hAnsi="Arial" w:cs="Arial"/>
            <w:sz w:val="20"/>
            <w:szCs w:val="20"/>
          </w:rPr>
          <w:t xml:space="preserve">Acórdão nº </w:t>
        </w:r>
        <w:r>
          <w:rPr>
            <w:rStyle w:val="Hyperlink"/>
            <w:rFonts w:ascii="Arial" w:hAnsi="Arial" w:cs="Arial"/>
            <w:sz w:val="20"/>
            <w:szCs w:val="20"/>
          </w:rPr>
          <w:t>947</w:t>
        </w:r>
        <w:r w:rsidRPr="00B32E19">
          <w:rPr>
            <w:rStyle w:val="Hyperlink"/>
            <w:rFonts w:ascii="Arial" w:hAnsi="Arial" w:cs="Arial"/>
            <w:sz w:val="20"/>
            <w:szCs w:val="20"/>
          </w:rPr>
          <w:t xml:space="preserve">/19 – </w:t>
        </w:r>
        <w:r>
          <w:rPr>
            <w:rStyle w:val="Hyperlink"/>
            <w:rFonts w:ascii="Arial" w:hAnsi="Arial" w:cs="Arial"/>
            <w:sz w:val="20"/>
            <w:szCs w:val="20"/>
          </w:rPr>
          <w:t>Primeira</w:t>
        </w:r>
        <w:r w:rsidRPr="00B32E19">
          <w:rPr>
            <w:rStyle w:val="Hyperlink"/>
            <w:rFonts w:ascii="Arial" w:hAnsi="Arial" w:cs="Arial"/>
            <w:sz w:val="20"/>
            <w:szCs w:val="20"/>
          </w:rPr>
          <w:t xml:space="preserve"> Câmara</w:t>
        </w:r>
      </w:hyperlink>
      <w:r w:rsidRPr="00B32E19">
        <w:rPr>
          <w:rFonts w:ascii="Arial" w:hAnsi="Arial" w:cs="Arial"/>
          <w:sz w:val="20"/>
          <w:szCs w:val="20"/>
        </w:rPr>
        <w:t xml:space="preserve"> - Relator </w:t>
      </w:r>
      <w:r>
        <w:rPr>
          <w:rFonts w:ascii="Arial" w:hAnsi="Arial" w:cs="Arial"/>
          <w:sz w:val="20"/>
          <w:szCs w:val="20"/>
        </w:rPr>
        <w:t>Conselheiro Fernando Augusto Mello Guimarães.</w:t>
      </w:r>
    </w:p>
    <w:p w14:paraId="23644EA2" w14:textId="77777777" w:rsidR="007C18E7" w:rsidRPr="00BE7ED0" w:rsidRDefault="007C18E7" w:rsidP="0007004D">
      <w:pPr>
        <w:autoSpaceDE w:val="0"/>
        <w:autoSpaceDN w:val="0"/>
        <w:adjustRightInd w:val="0"/>
        <w:spacing w:after="0"/>
        <w:jc w:val="both"/>
        <w:rPr>
          <w:rFonts w:ascii="Arial" w:hAnsi="Arial" w:cs="Arial"/>
          <w:sz w:val="20"/>
          <w:szCs w:val="20"/>
        </w:rPr>
      </w:pPr>
    </w:p>
    <w:p w14:paraId="5A295F03" w14:textId="77777777" w:rsidR="007C18E7" w:rsidRPr="00BE7ED0" w:rsidRDefault="007C18E7" w:rsidP="0007004D">
      <w:pPr>
        <w:shd w:val="pct10" w:color="auto" w:fill="auto"/>
        <w:spacing w:after="0"/>
        <w:jc w:val="center"/>
        <w:rPr>
          <w:rFonts w:ascii="Arial" w:hAnsi="Arial" w:cs="Arial"/>
          <w:b/>
          <w:sz w:val="20"/>
          <w:szCs w:val="20"/>
        </w:rPr>
      </w:pPr>
      <w:r w:rsidRPr="00BE7ED0">
        <w:rPr>
          <w:rFonts w:ascii="Arial" w:hAnsi="Arial" w:cs="Arial"/>
          <w:b/>
          <w:sz w:val="20"/>
          <w:szCs w:val="20"/>
        </w:rPr>
        <w:t xml:space="preserve">SEGUNDA CÂMARA </w:t>
      </w:r>
    </w:p>
    <w:p w14:paraId="002EDED8" w14:textId="77777777" w:rsidR="007C18E7" w:rsidRPr="00BE7ED0" w:rsidRDefault="007C18E7" w:rsidP="0007004D">
      <w:pPr>
        <w:autoSpaceDE w:val="0"/>
        <w:autoSpaceDN w:val="0"/>
        <w:adjustRightInd w:val="0"/>
        <w:spacing w:after="0"/>
        <w:jc w:val="both"/>
        <w:rPr>
          <w:rFonts w:ascii="Arial" w:hAnsi="Arial" w:cs="Arial"/>
          <w:b/>
          <w:sz w:val="20"/>
          <w:szCs w:val="20"/>
        </w:rPr>
      </w:pPr>
    </w:p>
    <w:p w14:paraId="778788B9" w14:textId="025AFD96" w:rsidR="00AB6CEF" w:rsidRDefault="003319D0" w:rsidP="0007004D">
      <w:pPr>
        <w:autoSpaceDE w:val="0"/>
        <w:autoSpaceDN w:val="0"/>
        <w:adjustRightInd w:val="0"/>
        <w:spacing w:after="0"/>
        <w:jc w:val="both"/>
      </w:pPr>
      <w:r>
        <w:rPr>
          <w:rFonts w:ascii="Arial" w:hAnsi="Arial" w:cs="Arial"/>
          <w:b/>
          <w:sz w:val="20"/>
          <w:szCs w:val="20"/>
        </w:rPr>
        <w:t xml:space="preserve">4. </w:t>
      </w:r>
      <w:r w:rsidR="00AB6CEF" w:rsidRPr="00FC4975">
        <w:rPr>
          <w:rFonts w:ascii="Arial" w:hAnsi="Arial" w:cs="Arial"/>
          <w:b/>
          <w:sz w:val="20"/>
          <w:szCs w:val="20"/>
        </w:rPr>
        <w:t>Tomada de Contas Extraordinária. Município. Servidor municipal. Acúmulo irregular de vencimentos. Art. 37, XVI, da Constituição Federal. Declaração falsa prestada pelo servidor. Procedência. Determinação aos entes contratantes para abertura de sindicância e ressarcimento de valores. Aplicação de multa. Encaminhamento de cópia dos autos ao Ministério Público do Estado do Paraná.</w:t>
      </w:r>
      <w:r w:rsidR="00AB6CEF">
        <w:t xml:space="preserve"> </w:t>
      </w:r>
    </w:p>
    <w:p w14:paraId="259519C5" w14:textId="77777777" w:rsidR="00AB6CEF" w:rsidRDefault="00AB6CEF" w:rsidP="0007004D">
      <w:pPr>
        <w:autoSpaceDE w:val="0"/>
        <w:autoSpaceDN w:val="0"/>
        <w:adjustRightInd w:val="0"/>
        <w:spacing w:after="0"/>
        <w:jc w:val="both"/>
      </w:pPr>
    </w:p>
    <w:p w14:paraId="640A5815" w14:textId="77777777" w:rsidR="00AB6CEF" w:rsidRDefault="00AB6CEF" w:rsidP="0007004D">
      <w:pPr>
        <w:autoSpaceDE w:val="0"/>
        <w:autoSpaceDN w:val="0"/>
        <w:adjustRightInd w:val="0"/>
        <w:spacing w:after="0"/>
        <w:jc w:val="both"/>
        <w:rPr>
          <w:rFonts w:ascii="Arial" w:hAnsi="Arial" w:cs="Arial"/>
          <w:sz w:val="20"/>
          <w:szCs w:val="20"/>
        </w:rPr>
      </w:pPr>
      <w:r>
        <w:rPr>
          <w:rFonts w:ascii="Arial" w:hAnsi="Arial" w:cs="Arial"/>
          <w:sz w:val="20"/>
          <w:szCs w:val="20"/>
        </w:rPr>
        <w:t>O</w:t>
      </w:r>
      <w:r w:rsidRPr="009330BE">
        <w:rPr>
          <w:rFonts w:ascii="Arial" w:hAnsi="Arial" w:cs="Arial"/>
          <w:sz w:val="20"/>
          <w:szCs w:val="20"/>
        </w:rPr>
        <w:t>s Tribunais superiores são uníssonos ao se posicionarem pela necessidade de ressarcimento ao erário, não podendo a parte de valer de eventual desconhecimento da Lei e nem mesmo dos institutos da prescrição e/ou decadência, uma vez que a situação fática se prolonga no tempo.</w:t>
      </w:r>
    </w:p>
    <w:p w14:paraId="7BE1FC56" w14:textId="77777777" w:rsidR="00AB6CEF" w:rsidRDefault="00AB6CEF" w:rsidP="0007004D">
      <w:pPr>
        <w:autoSpaceDE w:val="0"/>
        <w:autoSpaceDN w:val="0"/>
        <w:adjustRightInd w:val="0"/>
        <w:spacing w:after="0"/>
        <w:jc w:val="both"/>
        <w:rPr>
          <w:rFonts w:ascii="Arial" w:hAnsi="Arial" w:cs="Arial"/>
          <w:sz w:val="20"/>
          <w:szCs w:val="20"/>
        </w:rPr>
      </w:pPr>
    </w:p>
    <w:p w14:paraId="279A5FDC" w14:textId="77777777" w:rsidR="00AB6CEF" w:rsidRDefault="00AB6CEF" w:rsidP="0007004D">
      <w:pPr>
        <w:autoSpaceDE w:val="0"/>
        <w:autoSpaceDN w:val="0"/>
        <w:adjustRightInd w:val="0"/>
        <w:spacing w:after="0"/>
        <w:jc w:val="both"/>
        <w:rPr>
          <w:rFonts w:ascii="Arial" w:hAnsi="Arial" w:cs="Arial"/>
          <w:sz w:val="20"/>
          <w:szCs w:val="20"/>
        </w:rPr>
      </w:pPr>
      <w:r w:rsidRPr="009330BE">
        <w:rPr>
          <w:rFonts w:ascii="Arial" w:hAnsi="Arial" w:cs="Arial"/>
          <w:sz w:val="20"/>
          <w:szCs w:val="20"/>
        </w:rPr>
        <w:lastRenderedPageBreak/>
        <w:t xml:space="preserve">Reconhecida a </w:t>
      </w:r>
      <w:proofErr w:type="spellStart"/>
      <w:r w:rsidRPr="009330BE">
        <w:rPr>
          <w:rFonts w:ascii="Arial" w:hAnsi="Arial" w:cs="Arial"/>
          <w:sz w:val="20"/>
          <w:szCs w:val="20"/>
        </w:rPr>
        <w:t>inacumulabilidade</w:t>
      </w:r>
      <w:proofErr w:type="spellEnd"/>
      <w:r w:rsidRPr="009330BE">
        <w:rPr>
          <w:rFonts w:ascii="Arial" w:hAnsi="Arial" w:cs="Arial"/>
          <w:sz w:val="20"/>
          <w:szCs w:val="20"/>
        </w:rPr>
        <w:t xml:space="preserve"> dos cargos, sua existência tem esferas administrativas distintas e evidente incompatibilidade de horários, fatores que</w:t>
      </w:r>
      <w:r>
        <w:rPr>
          <w:rFonts w:ascii="Arial" w:hAnsi="Arial" w:cs="Arial"/>
          <w:sz w:val="20"/>
          <w:szCs w:val="20"/>
        </w:rPr>
        <w:t xml:space="preserve"> </w:t>
      </w:r>
      <w:r w:rsidRPr="009330BE">
        <w:rPr>
          <w:rFonts w:ascii="Arial" w:hAnsi="Arial" w:cs="Arial"/>
          <w:sz w:val="20"/>
          <w:szCs w:val="20"/>
        </w:rPr>
        <w:t>levam a concluir que não houve a prestação de serviços de uma ou outra função, cabendo, neste caso, o ressarcimento.</w:t>
      </w:r>
    </w:p>
    <w:p w14:paraId="685C550F" w14:textId="77777777" w:rsidR="00AB6CEF" w:rsidRDefault="00AB6CEF" w:rsidP="0007004D">
      <w:pPr>
        <w:autoSpaceDE w:val="0"/>
        <w:autoSpaceDN w:val="0"/>
        <w:adjustRightInd w:val="0"/>
        <w:spacing w:after="0"/>
        <w:jc w:val="both"/>
        <w:rPr>
          <w:rFonts w:ascii="Arial" w:hAnsi="Arial" w:cs="Arial"/>
          <w:sz w:val="20"/>
          <w:szCs w:val="20"/>
        </w:rPr>
      </w:pPr>
    </w:p>
    <w:p w14:paraId="39380DFF" w14:textId="77777777" w:rsidR="00AB6CEF" w:rsidRPr="009330BE" w:rsidRDefault="00AB6CEF" w:rsidP="0007004D">
      <w:pPr>
        <w:autoSpaceDE w:val="0"/>
        <w:autoSpaceDN w:val="0"/>
        <w:adjustRightInd w:val="0"/>
        <w:spacing w:after="0"/>
        <w:jc w:val="both"/>
        <w:rPr>
          <w:rFonts w:ascii="Arial" w:hAnsi="Arial" w:cs="Arial"/>
          <w:b/>
          <w:sz w:val="20"/>
          <w:szCs w:val="20"/>
        </w:rPr>
      </w:pPr>
      <w:r w:rsidRPr="00B977D2">
        <w:rPr>
          <w:rFonts w:ascii="Arial" w:hAnsi="Arial" w:cs="Arial"/>
          <w:sz w:val="20"/>
          <w:szCs w:val="20"/>
        </w:rPr>
        <w:t>Sabe-se, contudo, que pela disposição de 40 horas semanais para ambas as funções, era impossível sua prestação concomitante, razão pela qual deixa de imputar restituição ao servidor neste momento, determina-se, no entanto, que os entes empregadores responsáveis sejam cientificados para que instaurem Sindicância, visando a análise de possíveis irregularidades na execução das atividades, apuração de eventual abandono de cargo, falta de cumprimento de jornada/atribuições e danos ao erário.</w:t>
      </w:r>
    </w:p>
    <w:p w14:paraId="367DB88B" w14:textId="77777777" w:rsidR="00AB6CEF" w:rsidRDefault="00AB6CEF" w:rsidP="0007004D">
      <w:pPr>
        <w:autoSpaceDE w:val="0"/>
        <w:autoSpaceDN w:val="0"/>
        <w:adjustRightInd w:val="0"/>
        <w:spacing w:after="0"/>
        <w:jc w:val="both"/>
        <w:rPr>
          <w:rFonts w:ascii="Arial" w:hAnsi="Arial" w:cs="Arial"/>
          <w:sz w:val="20"/>
          <w:szCs w:val="20"/>
        </w:rPr>
      </w:pPr>
    </w:p>
    <w:p w14:paraId="101D7C39" w14:textId="77777777" w:rsidR="00AB6CEF" w:rsidRDefault="00AB6CEF" w:rsidP="0007004D">
      <w:pPr>
        <w:autoSpaceDE w:val="0"/>
        <w:autoSpaceDN w:val="0"/>
        <w:adjustRightInd w:val="0"/>
        <w:spacing w:after="0"/>
        <w:jc w:val="both"/>
        <w:rPr>
          <w:rFonts w:ascii="Arial" w:hAnsi="Arial" w:cs="Arial"/>
          <w:sz w:val="20"/>
          <w:szCs w:val="20"/>
        </w:rPr>
      </w:pPr>
      <w:r w:rsidRPr="00893ACA">
        <w:rPr>
          <w:rFonts w:ascii="Arial" w:hAnsi="Arial" w:cs="Arial"/>
          <w:sz w:val="20"/>
          <w:szCs w:val="20"/>
        </w:rPr>
        <w:t>Processo nº</w:t>
      </w:r>
      <w:r>
        <w:rPr>
          <w:rFonts w:ascii="Arial" w:hAnsi="Arial" w:cs="Arial"/>
          <w:sz w:val="20"/>
          <w:szCs w:val="20"/>
        </w:rPr>
        <w:t xml:space="preserve"> 139779</w:t>
      </w:r>
      <w:r w:rsidRPr="00C5122E">
        <w:rPr>
          <w:rFonts w:ascii="Arial" w:hAnsi="Arial" w:cs="Arial"/>
          <w:sz w:val="20"/>
          <w:szCs w:val="20"/>
        </w:rPr>
        <w:t>/18</w:t>
      </w:r>
      <w:r>
        <w:rPr>
          <w:rFonts w:ascii="Arial" w:hAnsi="Arial" w:cs="Arial"/>
          <w:sz w:val="20"/>
          <w:szCs w:val="20"/>
        </w:rPr>
        <w:t xml:space="preserve"> </w:t>
      </w:r>
      <w:r w:rsidRPr="00893ACA">
        <w:rPr>
          <w:rFonts w:ascii="Arial" w:hAnsi="Arial" w:cs="Arial"/>
          <w:sz w:val="20"/>
          <w:szCs w:val="20"/>
        </w:rPr>
        <w:t xml:space="preserve">– </w:t>
      </w:r>
      <w:hyperlink r:id="rId11" w:history="1">
        <w:r w:rsidRPr="0033674F">
          <w:rPr>
            <w:rStyle w:val="Hyperlink"/>
            <w:rFonts w:ascii="Arial" w:hAnsi="Arial" w:cs="Arial"/>
            <w:sz w:val="20"/>
            <w:szCs w:val="20"/>
          </w:rPr>
          <w:t>Acórdão nº 966/19 – Segunda Câmara-</w:t>
        </w:r>
      </w:hyperlink>
      <w:r w:rsidRPr="00893ACA">
        <w:rPr>
          <w:rFonts w:ascii="Arial" w:hAnsi="Arial" w:cs="Arial"/>
          <w:sz w:val="20"/>
          <w:szCs w:val="20"/>
        </w:rPr>
        <w:t xml:space="preserve"> Relator </w:t>
      </w:r>
      <w:r>
        <w:rPr>
          <w:rFonts w:ascii="Arial" w:hAnsi="Arial" w:cs="Arial"/>
          <w:sz w:val="20"/>
          <w:szCs w:val="20"/>
        </w:rPr>
        <w:t xml:space="preserve">Conselheiro </w:t>
      </w:r>
      <w:proofErr w:type="spellStart"/>
      <w:r>
        <w:rPr>
          <w:rFonts w:ascii="Arial" w:hAnsi="Arial" w:cs="Arial"/>
          <w:sz w:val="20"/>
          <w:szCs w:val="20"/>
        </w:rPr>
        <w:t>Artagão</w:t>
      </w:r>
      <w:proofErr w:type="spellEnd"/>
      <w:r>
        <w:rPr>
          <w:rFonts w:ascii="Arial" w:hAnsi="Arial" w:cs="Arial"/>
          <w:sz w:val="20"/>
          <w:szCs w:val="20"/>
        </w:rPr>
        <w:t xml:space="preserve"> de Mattos Leão.</w:t>
      </w:r>
    </w:p>
    <w:p w14:paraId="2F0BECC8" w14:textId="4A3A32B7" w:rsidR="00AB6CEF" w:rsidRDefault="00AB6CEF" w:rsidP="0007004D">
      <w:pPr>
        <w:autoSpaceDE w:val="0"/>
        <w:autoSpaceDN w:val="0"/>
        <w:adjustRightInd w:val="0"/>
        <w:spacing w:after="0"/>
        <w:jc w:val="both"/>
        <w:rPr>
          <w:rFonts w:ascii="Arial" w:hAnsi="Arial" w:cs="Arial"/>
          <w:b/>
          <w:sz w:val="20"/>
          <w:szCs w:val="20"/>
          <w:highlight w:val="yellow"/>
        </w:rPr>
      </w:pPr>
    </w:p>
    <w:p w14:paraId="1212C6FF" w14:textId="7734AD09" w:rsidR="003319D0" w:rsidRDefault="003319D0" w:rsidP="0007004D">
      <w:pPr>
        <w:autoSpaceDE w:val="0"/>
        <w:autoSpaceDN w:val="0"/>
        <w:adjustRightInd w:val="0"/>
        <w:spacing w:after="0"/>
        <w:jc w:val="both"/>
        <w:rPr>
          <w:rFonts w:ascii="Arial" w:hAnsi="Arial" w:cs="Arial"/>
          <w:b/>
          <w:sz w:val="20"/>
          <w:szCs w:val="20"/>
        </w:rPr>
      </w:pPr>
      <w:r>
        <w:rPr>
          <w:rFonts w:ascii="Arial" w:hAnsi="Arial" w:cs="Arial"/>
          <w:b/>
          <w:sz w:val="20"/>
          <w:szCs w:val="20"/>
        </w:rPr>
        <w:t>5</w:t>
      </w:r>
      <w:r w:rsidRPr="003319D0">
        <w:rPr>
          <w:rFonts w:ascii="Arial" w:hAnsi="Arial" w:cs="Arial"/>
          <w:b/>
          <w:sz w:val="20"/>
          <w:szCs w:val="20"/>
        </w:rPr>
        <w:t>. Processo de Servidor do Tribunal. Pessoa com Deficiência. Concessão de horário especial para tratamento de saúde. Manifestações uniformes. Pelo deferimento.</w:t>
      </w:r>
    </w:p>
    <w:p w14:paraId="7568DACF" w14:textId="77777777" w:rsidR="003319D0" w:rsidRPr="00B32E19" w:rsidRDefault="003319D0" w:rsidP="0007004D">
      <w:pPr>
        <w:autoSpaceDE w:val="0"/>
        <w:autoSpaceDN w:val="0"/>
        <w:adjustRightInd w:val="0"/>
        <w:spacing w:after="0"/>
        <w:jc w:val="both"/>
        <w:rPr>
          <w:rFonts w:ascii="Arial" w:hAnsi="Arial" w:cs="Arial"/>
          <w:b/>
          <w:sz w:val="20"/>
          <w:szCs w:val="20"/>
        </w:rPr>
      </w:pPr>
    </w:p>
    <w:p w14:paraId="529F1D8D" w14:textId="77777777" w:rsidR="003319D0" w:rsidRPr="006415C5" w:rsidRDefault="003319D0" w:rsidP="0007004D">
      <w:pPr>
        <w:autoSpaceDE w:val="0"/>
        <w:autoSpaceDN w:val="0"/>
        <w:adjustRightInd w:val="0"/>
        <w:spacing w:after="0"/>
        <w:jc w:val="both"/>
        <w:rPr>
          <w:rFonts w:ascii="Arial" w:hAnsi="Arial" w:cs="Arial"/>
          <w:sz w:val="20"/>
          <w:szCs w:val="20"/>
        </w:rPr>
      </w:pPr>
      <w:r w:rsidRPr="006415C5">
        <w:rPr>
          <w:rFonts w:ascii="Arial" w:hAnsi="Arial" w:cs="Arial"/>
          <w:sz w:val="20"/>
          <w:szCs w:val="20"/>
        </w:rPr>
        <w:t>Denota-se, que apesar de inexistir previsão estatutária específica</w:t>
      </w:r>
      <w:r>
        <w:rPr>
          <w:rFonts w:ascii="Arial" w:hAnsi="Arial" w:cs="Arial"/>
          <w:sz w:val="20"/>
          <w:szCs w:val="20"/>
        </w:rPr>
        <w:t xml:space="preserve"> </w:t>
      </w:r>
      <w:r w:rsidRPr="006415C5">
        <w:rPr>
          <w:rFonts w:ascii="Arial" w:hAnsi="Arial" w:cs="Arial"/>
          <w:sz w:val="20"/>
          <w:szCs w:val="20"/>
        </w:rPr>
        <w:t>quanto à ora pleiteada redução de jornada, tal direito resta plenamente assegurado,</w:t>
      </w:r>
      <w:r>
        <w:rPr>
          <w:rFonts w:ascii="Arial" w:hAnsi="Arial" w:cs="Arial"/>
          <w:sz w:val="20"/>
          <w:szCs w:val="20"/>
        </w:rPr>
        <w:t xml:space="preserve"> </w:t>
      </w:r>
      <w:r w:rsidRPr="006415C5">
        <w:rPr>
          <w:rFonts w:ascii="Arial" w:hAnsi="Arial" w:cs="Arial"/>
          <w:sz w:val="20"/>
          <w:szCs w:val="20"/>
        </w:rPr>
        <w:t>considerando-se notadamente o que prevê a Lei nº 9.366/2015 - Estatuto Estadual</w:t>
      </w:r>
      <w:r>
        <w:rPr>
          <w:rFonts w:ascii="Arial" w:hAnsi="Arial" w:cs="Arial"/>
          <w:sz w:val="20"/>
          <w:szCs w:val="20"/>
        </w:rPr>
        <w:t xml:space="preserve"> </w:t>
      </w:r>
      <w:r w:rsidRPr="006415C5">
        <w:rPr>
          <w:rFonts w:ascii="Arial" w:hAnsi="Arial" w:cs="Arial"/>
          <w:sz w:val="20"/>
          <w:szCs w:val="20"/>
        </w:rPr>
        <w:t>da Pessoa com Deficiência.</w:t>
      </w:r>
    </w:p>
    <w:p w14:paraId="3D3D88DC" w14:textId="77777777" w:rsidR="003319D0" w:rsidRDefault="003319D0" w:rsidP="0007004D">
      <w:pPr>
        <w:autoSpaceDE w:val="0"/>
        <w:autoSpaceDN w:val="0"/>
        <w:adjustRightInd w:val="0"/>
        <w:spacing w:after="0"/>
        <w:jc w:val="both"/>
        <w:rPr>
          <w:rFonts w:ascii="Arial" w:hAnsi="Arial" w:cs="Arial"/>
          <w:sz w:val="20"/>
          <w:szCs w:val="20"/>
        </w:rPr>
      </w:pPr>
    </w:p>
    <w:p w14:paraId="7CB82334" w14:textId="77777777" w:rsidR="003319D0" w:rsidRPr="006415C5" w:rsidRDefault="003319D0" w:rsidP="0007004D">
      <w:pPr>
        <w:autoSpaceDE w:val="0"/>
        <w:autoSpaceDN w:val="0"/>
        <w:adjustRightInd w:val="0"/>
        <w:spacing w:after="0"/>
        <w:jc w:val="both"/>
        <w:rPr>
          <w:rFonts w:ascii="Arial" w:hAnsi="Arial" w:cs="Arial"/>
          <w:sz w:val="20"/>
          <w:szCs w:val="20"/>
        </w:rPr>
      </w:pPr>
      <w:r w:rsidRPr="006415C5">
        <w:rPr>
          <w:rFonts w:ascii="Arial" w:hAnsi="Arial" w:cs="Arial"/>
          <w:sz w:val="20"/>
          <w:szCs w:val="20"/>
        </w:rPr>
        <w:t>Da análise das peças processuais, extrai-se a imprescindibilidade de</w:t>
      </w:r>
      <w:r>
        <w:rPr>
          <w:rFonts w:ascii="Arial" w:hAnsi="Arial" w:cs="Arial"/>
          <w:sz w:val="20"/>
          <w:szCs w:val="20"/>
        </w:rPr>
        <w:t xml:space="preserve"> </w:t>
      </w:r>
      <w:r w:rsidRPr="006415C5">
        <w:rPr>
          <w:rFonts w:ascii="Arial" w:hAnsi="Arial" w:cs="Arial"/>
          <w:sz w:val="20"/>
          <w:szCs w:val="20"/>
        </w:rPr>
        <w:t>diminuição da carga horária semanal para que haja a possibilidade de adequado</w:t>
      </w:r>
      <w:r>
        <w:rPr>
          <w:rFonts w:ascii="Arial" w:hAnsi="Arial" w:cs="Arial"/>
          <w:sz w:val="20"/>
          <w:szCs w:val="20"/>
        </w:rPr>
        <w:t xml:space="preserve"> </w:t>
      </w:r>
      <w:r w:rsidRPr="006415C5">
        <w:rPr>
          <w:rFonts w:ascii="Arial" w:hAnsi="Arial" w:cs="Arial"/>
          <w:sz w:val="20"/>
          <w:szCs w:val="20"/>
        </w:rPr>
        <w:t>tratamento físico.</w:t>
      </w:r>
      <w:r>
        <w:rPr>
          <w:rFonts w:ascii="Arial" w:hAnsi="Arial" w:cs="Arial"/>
          <w:sz w:val="20"/>
          <w:szCs w:val="20"/>
        </w:rPr>
        <w:t xml:space="preserve"> </w:t>
      </w:r>
      <w:r w:rsidRPr="006415C5">
        <w:rPr>
          <w:rFonts w:ascii="Arial" w:hAnsi="Arial" w:cs="Arial"/>
          <w:sz w:val="20"/>
          <w:szCs w:val="20"/>
        </w:rPr>
        <w:t>Assim, deve-se garantir o direito requerido, privilegiando-se, desse modo, o</w:t>
      </w:r>
      <w:r>
        <w:rPr>
          <w:rFonts w:ascii="Arial" w:hAnsi="Arial" w:cs="Arial"/>
          <w:sz w:val="20"/>
          <w:szCs w:val="20"/>
        </w:rPr>
        <w:t xml:space="preserve"> </w:t>
      </w:r>
      <w:r w:rsidRPr="006415C5">
        <w:rPr>
          <w:rFonts w:ascii="Arial" w:hAnsi="Arial" w:cs="Arial"/>
          <w:sz w:val="20"/>
          <w:szCs w:val="20"/>
        </w:rPr>
        <w:t>princípio da dignidade da pessoa humana, estabelecido como fundamento da</w:t>
      </w:r>
      <w:r>
        <w:rPr>
          <w:rFonts w:ascii="Arial" w:hAnsi="Arial" w:cs="Arial"/>
          <w:sz w:val="20"/>
          <w:szCs w:val="20"/>
        </w:rPr>
        <w:t xml:space="preserve"> </w:t>
      </w:r>
      <w:r w:rsidRPr="006415C5">
        <w:rPr>
          <w:rFonts w:ascii="Arial" w:hAnsi="Arial" w:cs="Arial"/>
          <w:sz w:val="20"/>
          <w:szCs w:val="20"/>
        </w:rPr>
        <w:t>República, nos termos do artigo 1º, inciso III5, da Constituição Federal.</w:t>
      </w:r>
    </w:p>
    <w:p w14:paraId="3F2B8670" w14:textId="77777777" w:rsidR="003319D0" w:rsidRPr="00B32E19" w:rsidRDefault="003319D0" w:rsidP="0007004D">
      <w:pPr>
        <w:autoSpaceDE w:val="0"/>
        <w:autoSpaceDN w:val="0"/>
        <w:adjustRightInd w:val="0"/>
        <w:spacing w:after="0"/>
        <w:jc w:val="both"/>
        <w:rPr>
          <w:rFonts w:ascii="Arial" w:hAnsi="Arial" w:cs="Arial"/>
          <w:sz w:val="20"/>
          <w:szCs w:val="20"/>
        </w:rPr>
      </w:pPr>
    </w:p>
    <w:p w14:paraId="03D15CF8" w14:textId="77777777" w:rsidR="003319D0" w:rsidRPr="00B32E19" w:rsidRDefault="003319D0" w:rsidP="0007004D">
      <w:pPr>
        <w:autoSpaceDE w:val="0"/>
        <w:autoSpaceDN w:val="0"/>
        <w:adjustRightInd w:val="0"/>
        <w:spacing w:after="0"/>
        <w:jc w:val="both"/>
        <w:rPr>
          <w:rFonts w:ascii="Arial" w:hAnsi="Arial" w:cs="Arial"/>
          <w:sz w:val="20"/>
          <w:szCs w:val="20"/>
        </w:rPr>
      </w:pPr>
      <w:r w:rsidRPr="00B32E19">
        <w:rPr>
          <w:rFonts w:ascii="Arial" w:hAnsi="Arial" w:cs="Arial"/>
          <w:sz w:val="20"/>
          <w:szCs w:val="20"/>
        </w:rPr>
        <w:t xml:space="preserve">Processo nº </w:t>
      </w:r>
      <w:r>
        <w:rPr>
          <w:rFonts w:ascii="Arial" w:hAnsi="Arial" w:cs="Arial"/>
          <w:sz w:val="20"/>
          <w:szCs w:val="20"/>
        </w:rPr>
        <w:t>779344/18</w:t>
      </w:r>
      <w:r w:rsidRPr="00B32E19">
        <w:rPr>
          <w:rFonts w:ascii="Arial" w:hAnsi="Arial" w:cs="Arial"/>
          <w:sz w:val="20"/>
          <w:szCs w:val="20"/>
        </w:rPr>
        <w:t xml:space="preserve"> – </w:t>
      </w:r>
      <w:hyperlink r:id="rId12" w:history="1">
        <w:r w:rsidRPr="005F32E0">
          <w:rPr>
            <w:rStyle w:val="Hyperlink"/>
            <w:rFonts w:ascii="Arial" w:hAnsi="Arial" w:cs="Arial"/>
            <w:sz w:val="20"/>
            <w:szCs w:val="20"/>
          </w:rPr>
          <w:t xml:space="preserve">Acórdão nº </w:t>
        </w:r>
        <w:r>
          <w:rPr>
            <w:rStyle w:val="Hyperlink"/>
            <w:rFonts w:ascii="Arial" w:hAnsi="Arial" w:cs="Arial"/>
            <w:sz w:val="20"/>
            <w:szCs w:val="20"/>
          </w:rPr>
          <w:t>1079</w:t>
        </w:r>
        <w:r w:rsidRPr="005F32E0">
          <w:rPr>
            <w:rStyle w:val="Hyperlink"/>
            <w:rFonts w:ascii="Arial" w:hAnsi="Arial" w:cs="Arial"/>
            <w:sz w:val="20"/>
            <w:szCs w:val="20"/>
          </w:rPr>
          <w:t xml:space="preserve">/19 – </w:t>
        </w:r>
        <w:r>
          <w:rPr>
            <w:rStyle w:val="Hyperlink"/>
            <w:rFonts w:ascii="Arial" w:hAnsi="Arial" w:cs="Arial"/>
            <w:sz w:val="20"/>
            <w:szCs w:val="20"/>
          </w:rPr>
          <w:t>Segunda Câmara</w:t>
        </w:r>
      </w:hyperlink>
      <w:r w:rsidRPr="00B32E19">
        <w:rPr>
          <w:rFonts w:ascii="Arial" w:hAnsi="Arial" w:cs="Arial"/>
          <w:sz w:val="20"/>
          <w:szCs w:val="20"/>
        </w:rPr>
        <w:t xml:space="preserve"> - Relator </w:t>
      </w:r>
      <w:r>
        <w:rPr>
          <w:rFonts w:ascii="Arial" w:hAnsi="Arial" w:cs="Arial"/>
          <w:sz w:val="20"/>
          <w:szCs w:val="20"/>
        </w:rPr>
        <w:t xml:space="preserve">Conselheiro Ivan </w:t>
      </w:r>
      <w:proofErr w:type="spellStart"/>
      <w:r>
        <w:rPr>
          <w:rFonts w:ascii="Arial" w:hAnsi="Arial" w:cs="Arial"/>
          <w:sz w:val="20"/>
          <w:szCs w:val="20"/>
        </w:rPr>
        <w:t>Lelis</w:t>
      </w:r>
      <w:proofErr w:type="spellEnd"/>
      <w:r>
        <w:rPr>
          <w:rFonts w:ascii="Arial" w:hAnsi="Arial" w:cs="Arial"/>
          <w:sz w:val="20"/>
          <w:szCs w:val="20"/>
        </w:rPr>
        <w:t xml:space="preserve"> Bonilha</w:t>
      </w:r>
      <w:r w:rsidRPr="00B32E19">
        <w:rPr>
          <w:rFonts w:ascii="Arial" w:hAnsi="Arial" w:cs="Arial"/>
          <w:sz w:val="20"/>
          <w:szCs w:val="20"/>
        </w:rPr>
        <w:t>.</w:t>
      </w:r>
    </w:p>
    <w:p w14:paraId="17021BB9" w14:textId="77777777" w:rsidR="003319D0" w:rsidRDefault="003319D0" w:rsidP="0007004D">
      <w:pPr>
        <w:autoSpaceDE w:val="0"/>
        <w:autoSpaceDN w:val="0"/>
        <w:adjustRightInd w:val="0"/>
        <w:spacing w:after="0"/>
        <w:jc w:val="both"/>
        <w:rPr>
          <w:rFonts w:ascii="Arial" w:hAnsi="Arial" w:cs="Arial"/>
          <w:b/>
          <w:sz w:val="20"/>
          <w:szCs w:val="20"/>
        </w:rPr>
      </w:pPr>
    </w:p>
    <w:p w14:paraId="46EE47E5" w14:textId="1D4A389B" w:rsidR="003319D0" w:rsidRPr="00C24202" w:rsidRDefault="003319D0" w:rsidP="0007004D">
      <w:pPr>
        <w:autoSpaceDE w:val="0"/>
        <w:autoSpaceDN w:val="0"/>
        <w:adjustRightInd w:val="0"/>
        <w:spacing w:after="0"/>
        <w:jc w:val="both"/>
        <w:rPr>
          <w:rFonts w:ascii="Arial" w:hAnsi="Arial" w:cs="Arial"/>
          <w:b/>
          <w:sz w:val="20"/>
          <w:szCs w:val="20"/>
        </w:rPr>
      </w:pPr>
      <w:r>
        <w:rPr>
          <w:rFonts w:ascii="Arial" w:hAnsi="Arial" w:cs="Arial"/>
          <w:b/>
          <w:sz w:val="20"/>
          <w:szCs w:val="20"/>
        </w:rPr>
        <w:t>6</w:t>
      </w:r>
      <w:r w:rsidRPr="00B32E19">
        <w:rPr>
          <w:rFonts w:ascii="Arial" w:hAnsi="Arial" w:cs="Arial"/>
          <w:b/>
          <w:sz w:val="20"/>
          <w:szCs w:val="20"/>
        </w:rPr>
        <w:t xml:space="preserve">. </w:t>
      </w:r>
      <w:r w:rsidRPr="00C24202">
        <w:rPr>
          <w:rFonts w:ascii="Arial" w:hAnsi="Arial" w:cs="Arial"/>
          <w:b/>
          <w:sz w:val="20"/>
          <w:szCs w:val="20"/>
        </w:rPr>
        <w:t>Prestação de Contas de transferência Voluntária. Despesas compensadas em outras rubricas do plano de trabalho. Regularidade com ressalva e recomendação.</w:t>
      </w:r>
    </w:p>
    <w:p w14:paraId="3E49052B" w14:textId="77777777" w:rsidR="003319D0" w:rsidRPr="00B32E19" w:rsidRDefault="003319D0" w:rsidP="0007004D">
      <w:pPr>
        <w:autoSpaceDE w:val="0"/>
        <w:autoSpaceDN w:val="0"/>
        <w:adjustRightInd w:val="0"/>
        <w:spacing w:after="0"/>
        <w:jc w:val="both"/>
        <w:rPr>
          <w:rFonts w:ascii="Arial" w:hAnsi="Arial" w:cs="Arial"/>
          <w:b/>
          <w:sz w:val="20"/>
          <w:szCs w:val="20"/>
        </w:rPr>
      </w:pPr>
    </w:p>
    <w:p w14:paraId="12580875" w14:textId="77777777" w:rsidR="003319D0" w:rsidRPr="00EE7CA6" w:rsidRDefault="003319D0" w:rsidP="0007004D">
      <w:pPr>
        <w:autoSpaceDE w:val="0"/>
        <w:autoSpaceDN w:val="0"/>
        <w:adjustRightInd w:val="0"/>
        <w:spacing w:after="0"/>
        <w:jc w:val="both"/>
        <w:rPr>
          <w:rFonts w:ascii="Arial" w:hAnsi="Arial" w:cs="Arial"/>
          <w:sz w:val="20"/>
          <w:szCs w:val="20"/>
        </w:rPr>
      </w:pPr>
      <w:r w:rsidRPr="00EE7CA6">
        <w:rPr>
          <w:rFonts w:ascii="Arial" w:hAnsi="Arial" w:cs="Arial"/>
          <w:sz w:val="20"/>
          <w:szCs w:val="20"/>
        </w:rPr>
        <w:t>No tocante a impropriedade referente a despesas realizadas em outras</w:t>
      </w:r>
      <w:r>
        <w:rPr>
          <w:rFonts w:ascii="Arial" w:hAnsi="Arial" w:cs="Arial"/>
          <w:sz w:val="20"/>
          <w:szCs w:val="20"/>
        </w:rPr>
        <w:t xml:space="preserve"> </w:t>
      </w:r>
      <w:r w:rsidRPr="00EE7CA6">
        <w:rPr>
          <w:rFonts w:ascii="Arial" w:hAnsi="Arial" w:cs="Arial"/>
          <w:sz w:val="20"/>
          <w:szCs w:val="20"/>
        </w:rPr>
        <w:t>rubricas do plano de trabalho, em que pese tenham sido constatadas alterações na</w:t>
      </w:r>
      <w:r>
        <w:rPr>
          <w:rFonts w:ascii="Arial" w:hAnsi="Arial" w:cs="Arial"/>
          <w:sz w:val="20"/>
          <w:szCs w:val="20"/>
        </w:rPr>
        <w:t xml:space="preserve"> </w:t>
      </w:r>
      <w:r w:rsidRPr="00EE7CA6">
        <w:rPr>
          <w:rFonts w:ascii="Arial" w:hAnsi="Arial" w:cs="Arial"/>
          <w:sz w:val="20"/>
          <w:szCs w:val="20"/>
        </w:rPr>
        <w:t>execução das despesas com a compensação entre as rubricas, a unidade técnica</w:t>
      </w:r>
      <w:r>
        <w:rPr>
          <w:rFonts w:ascii="Arial" w:hAnsi="Arial" w:cs="Arial"/>
          <w:sz w:val="20"/>
          <w:szCs w:val="20"/>
        </w:rPr>
        <w:t xml:space="preserve"> </w:t>
      </w:r>
      <w:r w:rsidRPr="00EE7CA6">
        <w:rPr>
          <w:rFonts w:ascii="Arial" w:hAnsi="Arial" w:cs="Arial"/>
          <w:sz w:val="20"/>
          <w:szCs w:val="20"/>
        </w:rPr>
        <w:t xml:space="preserve">entendeu que cabe a ressalva do item, visto a inexistência de indícios de </w:t>
      </w:r>
      <w:proofErr w:type="spellStart"/>
      <w:r w:rsidRPr="00EE7CA6">
        <w:rPr>
          <w:rFonts w:ascii="Arial" w:hAnsi="Arial" w:cs="Arial"/>
          <w:sz w:val="20"/>
          <w:szCs w:val="20"/>
        </w:rPr>
        <w:t>dano</w:t>
      </w:r>
      <w:proofErr w:type="spellEnd"/>
      <w:r w:rsidRPr="00EE7CA6">
        <w:rPr>
          <w:rFonts w:ascii="Arial" w:hAnsi="Arial" w:cs="Arial"/>
          <w:sz w:val="20"/>
          <w:szCs w:val="20"/>
        </w:rPr>
        <w:t xml:space="preserve"> ao</w:t>
      </w:r>
      <w:r>
        <w:rPr>
          <w:rFonts w:ascii="Arial" w:hAnsi="Arial" w:cs="Arial"/>
          <w:sz w:val="20"/>
          <w:szCs w:val="20"/>
        </w:rPr>
        <w:t xml:space="preserve"> </w:t>
      </w:r>
      <w:r w:rsidRPr="00EE7CA6">
        <w:rPr>
          <w:rFonts w:ascii="Arial" w:hAnsi="Arial" w:cs="Arial"/>
          <w:sz w:val="20"/>
          <w:szCs w:val="20"/>
        </w:rPr>
        <w:t>erário ou à execução do objeto conveniado. Posição adot</w:t>
      </w:r>
      <w:r>
        <w:rPr>
          <w:rFonts w:ascii="Arial" w:hAnsi="Arial" w:cs="Arial"/>
          <w:sz w:val="20"/>
          <w:szCs w:val="20"/>
        </w:rPr>
        <w:t xml:space="preserve">ada </w:t>
      </w:r>
      <w:r w:rsidRPr="00EE7CA6">
        <w:rPr>
          <w:rFonts w:ascii="Arial" w:hAnsi="Arial" w:cs="Arial"/>
          <w:sz w:val="20"/>
          <w:szCs w:val="20"/>
        </w:rPr>
        <w:t>como razões de</w:t>
      </w:r>
      <w:r>
        <w:rPr>
          <w:rFonts w:ascii="Arial" w:hAnsi="Arial" w:cs="Arial"/>
          <w:sz w:val="20"/>
          <w:szCs w:val="20"/>
        </w:rPr>
        <w:t xml:space="preserve"> </w:t>
      </w:r>
      <w:r w:rsidRPr="00EE7CA6">
        <w:rPr>
          <w:rFonts w:ascii="Arial" w:hAnsi="Arial" w:cs="Arial"/>
          <w:sz w:val="20"/>
          <w:szCs w:val="20"/>
        </w:rPr>
        <w:t>decidir.</w:t>
      </w:r>
    </w:p>
    <w:p w14:paraId="56492F11" w14:textId="77777777" w:rsidR="003319D0" w:rsidRDefault="003319D0" w:rsidP="0007004D">
      <w:pPr>
        <w:autoSpaceDE w:val="0"/>
        <w:autoSpaceDN w:val="0"/>
        <w:adjustRightInd w:val="0"/>
        <w:spacing w:after="0"/>
        <w:jc w:val="both"/>
        <w:rPr>
          <w:rFonts w:ascii="Arial" w:hAnsi="Arial" w:cs="Arial"/>
          <w:sz w:val="20"/>
          <w:szCs w:val="20"/>
        </w:rPr>
      </w:pPr>
    </w:p>
    <w:p w14:paraId="509F92B7" w14:textId="77777777" w:rsidR="003319D0" w:rsidRPr="00B32E19" w:rsidRDefault="003319D0" w:rsidP="0007004D">
      <w:pPr>
        <w:autoSpaceDE w:val="0"/>
        <w:autoSpaceDN w:val="0"/>
        <w:adjustRightInd w:val="0"/>
        <w:spacing w:after="0"/>
        <w:jc w:val="both"/>
        <w:rPr>
          <w:rFonts w:ascii="Arial" w:hAnsi="Arial" w:cs="Arial"/>
          <w:sz w:val="20"/>
          <w:szCs w:val="20"/>
        </w:rPr>
      </w:pPr>
      <w:r w:rsidRPr="00B32E19">
        <w:rPr>
          <w:rFonts w:ascii="Arial" w:hAnsi="Arial" w:cs="Arial"/>
          <w:sz w:val="20"/>
          <w:szCs w:val="20"/>
        </w:rPr>
        <w:t xml:space="preserve">Processo nº </w:t>
      </w:r>
      <w:r>
        <w:rPr>
          <w:rFonts w:ascii="Arial" w:hAnsi="Arial" w:cs="Arial"/>
          <w:sz w:val="20"/>
          <w:szCs w:val="20"/>
        </w:rPr>
        <w:t>167263/14</w:t>
      </w:r>
      <w:r w:rsidRPr="00B32E19">
        <w:rPr>
          <w:rFonts w:ascii="Arial" w:hAnsi="Arial" w:cs="Arial"/>
          <w:sz w:val="20"/>
          <w:szCs w:val="20"/>
        </w:rPr>
        <w:t xml:space="preserve"> – </w:t>
      </w:r>
      <w:hyperlink r:id="rId13" w:history="1">
        <w:r w:rsidRPr="005F32E0">
          <w:rPr>
            <w:rStyle w:val="Hyperlink"/>
            <w:rFonts w:ascii="Arial" w:hAnsi="Arial" w:cs="Arial"/>
            <w:sz w:val="20"/>
            <w:szCs w:val="20"/>
          </w:rPr>
          <w:t xml:space="preserve">Acórdão nº </w:t>
        </w:r>
        <w:r>
          <w:rPr>
            <w:rStyle w:val="Hyperlink"/>
            <w:rFonts w:ascii="Arial" w:hAnsi="Arial" w:cs="Arial"/>
            <w:sz w:val="20"/>
            <w:szCs w:val="20"/>
          </w:rPr>
          <w:t>1073</w:t>
        </w:r>
        <w:r w:rsidRPr="005F32E0">
          <w:rPr>
            <w:rStyle w:val="Hyperlink"/>
            <w:rFonts w:ascii="Arial" w:hAnsi="Arial" w:cs="Arial"/>
            <w:sz w:val="20"/>
            <w:szCs w:val="20"/>
          </w:rPr>
          <w:t xml:space="preserve">/19 – </w:t>
        </w:r>
        <w:r>
          <w:rPr>
            <w:rStyle w:val="Hyperlink"/>
            <w:rFonts w:ascii="Arial" w:hAnsi="Arial" w:cs="Arial"/>
            <w:sz w:val="20"/>
            <w:szCs w:val="20"/>
          </w:rPr>
          <w:t>Segunda Câmara</w:t>
        </w:r>
      </w:hyperlink>
      <w:r w:rsidRPr="00B32E19">
        <w:rPr>
          <w:rFonts w:ascii="Arial" w:hAnsi="Arial" w:cs="Arial"/>
          <w:sz w:val="20"/>
          <w:szCs w:val="20"/>
        </w:rPr>
        <w:t xml:space="preserve"> - Relator </w:t>
      </w:r>
      <w:r>
        <w:rPr>
          <w:rFonts w:ascii="Arial" w:hAnsi="Arial" w:cs="Arial"/>
          <w:sz w:val="20"/>
          <w:szCs w:val="20"/>
        </w:rPr>
        <w:t xml:space="preserve">Conselheiro Ivan </w:t>
      </w:r>
      <w:proofErr w:type="spellStart"/>
      <w:r>
        <w:rPr>
          <w:rFonts w:ascii="Arial" w:hAnsi="Arial" w:cs="Arial"/>
          <w:sz w:val="20"/>
          <w:szCs w:val="20"/>
        </w:rPr>
        <w:t>Lelis</w:t>
      </w:r>
      <w:proofErr w:type="spellEnd"/>
      <w:r>
        <w:rPr>
          <w:rFonts w:ascii="Arial" w:hAnsi="Arial" w:cs="Arial"/>
          <w:sz w:val="20"/>
          <w:szCs w:val="20"/>
        </w:rPr>
        <w:t xml:space="preserve"> Bonilha</w:t>
      </w:r>
      <w:r w:rsidRPr="00B32E19">
        <w:rPr>
          <w:rFonts w:ascii="Arial" w:hAnsi="Arial" w:cs="Arial"/>
          <w:sz w:val="20"/>
          <w:szCs w:val="20"/>
        </w:rPr>
        <w:t>.</w:t>
      </w:r>
    </w:p>
    <w:p w14:paraId="14CC53C5" w14:textId="77777777" w:rsidR="003319D0" w:rsidRPr="00B32E19" w:rsidRDefault="003319D0" w:rsidP="0007004D">
      <w:pPr>
        <w:autoSpaceDE w:val="0"/>
        <w:autoSpaceDN w:val="0"/>
        <w:adjustRightInd w:val="0"/>
        <w:spacing w:after="0"/>
        <w:jc w:val="both"/>
        <w:rPr>
          <w:rFonts w:ascii="Arial" w:hAnsi="Arial" w:cs="Arial"/>
          <w:sz w:val="20"/>
          <w:szCs w:val="20"/>
        </w:rPr>
      </w:pPr>
    </w:p>
    <w:p w14:paraId="7DB66582" w14:textId="61F7FFAD" w:rsidR="003319D0" w:rsidRPr="00C24202" w:rsidRDefault="003319D0" w:rsidP="0007004D">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7</w:t>
      </w:r>
      <w:r w:rsidRPr="00C24202">
        <w:rPr>
          <w:rFonts w:ascii="Arial" w:hAnsi="Arial" w:cs="Arial"/>
          <w:b/>
          <w:sz w:val="20"/>
          <w:szCs w:val="20"/>
        </w:rPr>
        <w:t>. Comunicação de irregularidade. Diárias. Ausência de comprovação da motivação e da finalidade. Irregularidade das despesas. Omissão do controle interno. Manifestações uniformes. Procedência da tomada de contas extraordinária. Restituição de valores. Aplicação de multas proporcional ao dano e administrativas.</w:t>
      </w:r>
    </w:p>
    <w:p w14:paraId="0037469C" w14:textId="77777777" w:rsidR="003319D0" w:rsidRPr="00B32E19" w:rsidRDefault="003319D0" w:rsidP="0007004D">
      <w:pPr>
        <w:autoSpaceDE w:val="0"/>
        <w:autoSpaceDN w:val="0"/>
        <w:adjustRightInd w:val="0"/>
        <w:spacing w:after="0"/>
        <w:jc w:val="both"/>
        <w:rPr>
          <w:rFonts w:ascii="Arial" w:hAnsi="Arial" w:cs="Arial"/>
          <w:b/>
          <w:sz w:val="20"/>
          <w:szCs w:val="20"/>
        </w:rPr>
      </w:pPr>
    </w:p>
    <w:p w14:paraId="639C727C" w14:textId="77777777" w:rsidR="003319D0" w:rsidRPr="00C24202" w:rsidRDefault="003319D0" w:rsidP="0007004D">
      <w:pPr>
        <w:autoSpaceDE w:val="0"/>
        <w:autoSpaceDN w:val="0"/>
        <w:adjustRightInd w:val="0"/>
        <w:spacing w:after="0"/>
        <w:jc w:val="both"/>
        <w:rPr>
          <w:rFonts w:ascii="Arial" w:hAnsi="Arial" w:cs="Arial"/>
          <w:sz w:val="20"/>
          <w:szCs w:val="20"/>
        </w:rPr>
      </w:pPr>
      <w:r>
        <w:rPr>
          <w:rFonts w:ascii="Arial" w:hAnsi="Arial" w:cs="Arial"/>
          <w:sz w:val="20"/>
          <w:szCs w:val="20"/>
        </w:rPr>
        <w:t>A</w:t>
      </w:r>
      <w:r w:rsidRPr="00C24202">
        <w:rPr>
          <w:rFonts w:ascii="Arial" w:hAnsi="Arial" w:cs="Arial"/>
          <w:sz w:val="20"/>
          <w:szCs w:val="20"/>
        </w:rPr>
        <w:t>ssiste razão à unidade técnica quanto à responsabilização da</w:t>
      </w:r>
      <w:r>
        <w:rPr>
          <w:rFonts w:ascii="Arial" w:hAnsi="Arial" w:cs="Arial"/>
          <w:sz w:val="20"/>
          <w:szCs w:val="20"/>
        </w:rPr>
        <w:t xml:space="preserve"> </w:t>
      </w:r>
      <w:r w:rsidRPr="00C24202">
        <w:rPr>
          <w:rFonts w:ascii="Arial" w:hAnsi="Arial" w:cs="Arial"/>
          <w:sz w:val="20"/>
          <w:szCs w:val="20"/>
        </w:rPr>
        <w:t>controladora interna ao tempo dos fatos, cabendo</w:t>
      </w:r>
      <w:r>
        <w:rPr>
          <w:rFonts w:ascii="Arial" w:hAnsi="Arial" w:cs="Arial"/>
          <w:sz w:val="20"/>
          <w:szCs w:val="20"/>
        </w:rPr>
        <w:t xml:space="preserve"> </w:t>
      </w:r>
      <w:r w:rsidRPr="00C24202">
        <w:rPr>
          <w:rFonts w:ascii="Arial" w:hAnsi="Arial" w:cs="Arial"/>
          <w:sz w:val="20"/>
          <w:szCs w:val="20"/>
        </w:rPr>
        <w:t>a aplicação à mesma da multa prevista no artigo 87, IV, “g”, da Lei Orgânica deste</w:t>
      </w:r>
      <w:r>
        <w:rPr>
          <w:rFonts w:ascii="Arial" w:hAnsi="Arial" w:cs="Arial"/>
          <w:sz w:val="20"/>
          <w:szCs w:val="20"/>
        </w:rPr>
        <w:t xml:space="preserve"> </w:t>
      </w:r>
      <w:r w:rsidRPr="00C24202">
        <w:rPr>
          <w:rFonts w:ascii="Arial" w:hAnsi="Arial" w:cs="Arial"/>
          <w:sz w:val="20"/>
          <w:szCs w:val="20"/>
        </w:rPr>
        <w:t>Tribunal, por ter se omitido na fiscalização das despesas em tela, em</w:t>
      </w:r>
      <w:r>
        <w:rPr>
          <w:rFonts w:ascii="Arial" w:hAnsi="Arial" w:cs="Arial"/>
          <w:sz w:val="20"/>
          <w:szCs w:val="20"/>
        </w:rPr>
        <w:t xml:space="preserve"> </w:t>
      </w:r>
      <w:r w:rsidRPr="00C24202">
        <w:rPr>
          <w:rFonts w:ascii="Arial" w:hAnsi="Arial" w:cs="Arial"/>
          <w:sz w:val="20"/>
          <w:szCs w:val="20"/>
        </w:rPr>
        <w:t xml:space="preserve">descumprimento ao disposto no artigo 70, </w:t>
      </w:r>
      <w:r w:rsidRPr="00C24202">
        <w:rPr>
          <w:rFonts w:ascii="Arial,Italic" w:hAnsi="Arial,Italic" w:cs="Arial,Italic"/>
          <w:i/>
          <w:iCs/>
          <w:sz w:val="20"/>
          <w:szCs w:val="20"/>
        </w:rPr>
        <w:t>caput</w:t>
      </w:r>
      <w:r w:rsidRPr="00C24202">
        <w:rPr>
          <w:rFonts w:ascii="Arial" w:hAnsi="Arial" w:cs="Arial"/>
          <w:sz w:val="20"/>
          <w:szCs w:val="20"/>
        </w:rPr>
        <w:t>, da Constituição Federal. Ao</w:t>
      </w:r>
      <w:r>
        <w:rPr>
          <w:rFonts w:ascii="Arial" w:hAnsi="Arial" w:cs="Arial"/>
          <w:sz w:val="20"/>
          <w:szCs w:val="20"/>
        </w:rPr>
        <w:t xml:space="preserve"> </w:t>
      </w:r>
      <w:r w:rsidRPr="00C24202">
        <w:rPr>
          <w:rFonts w:ascii="Arial" w:hAnsi="Arial" w:cs="Arial"/>
          <w:sz w:val="20"/>
          <w:szCs w:val="20"/>
        </w:rPr>
        <w:t>contrário do que alega a defesa, não se trata de responsabilizá-la por avaliação de</w:t>
      </w:r>
      <w:r>
        <w:rPr>
          <w:rFonts w:ascii="Arial" w:hAnsi="Arial" w:cs="Arial"/>
          <w:sz w:val="20"/>
          <w:szCs w:val="20"/>
        </w:rPr>
        <w:t xml:space="preserve"> </w:t>
      </w:r>
      <w:r w:rsidRPr="00C24202">
        <w:rPr>
          <w:rFonts w:ascii="Arial" w:hAnsi="Arial" w:cs="Arial"/>
          <w:sz w:val="20"/>
          <w:szCs w:val="20"/>
        </w:rPr>
        <w:t>conveniência e oportunidade da realização das viagens e da concessão das diárias,</w:t>
      </w:r>
      <w:r>
        <w:rPr>
          <w:rFonts w:ascii="Arial" w:hAnsi="Arial" w:cs="Arial"/>
          <w:sz w:val="20"/>
          <w:szCs w:val="20"/>
        </w:rPr>
        <w:t xml:space="preserve"> </w:t>
      </w:r>
      <w:r w:rsidRPr="00C24202">
        <w:rPr>
          <w:rFonts w:ascii="Arial" w:hAnsi="Arial" w:cs="Arial"/>
          <w:sz w:val="20"/>
          <w:szCs w:val="20"/>
        </w:rPr>
        <w:t>mas por não ter atuado no sentido de garantir que a motivação e a finalidade desses</w:t>
      </w:r>
      <w:r>
        <w:rPr>
          <w:rFonts w:ascii="Arial" w:hAnsi="Arial" w:cs="Arial"/>
          <w:sz w:val="20"/>
          <w:szCs w:val="20"/>
        </w:rPr>
        <w:t xml:space="preserve"> </w:t>
      </w:r>
      <w:r w:rsidRPr="00C24202">
        <w:rPr>
          <w:rFonts w:ascii="Arial" w:hAnsi="Arial" w:cs="Arial"/>
          <w:sz w:val="20"/>
          <w:szCs w:val="20"/>
        </w:rPr>
        <w:t xml:space="preserve">atos fossem efetivamente </w:t>
      </w:r>
      <w:proofErr w:type="gramStart"/>
      <w:r w:rsidRPr="00C24202">
        <w:rPr>
          <w:rFonts w:ascii="Arial,Italic" w:hAnsi="Arial,Italic" w:cs="Arial,Italic"/>
          <w:i/>
          <w:iCs/>
          <w:sz w:val="20"/>
          <w:szCs w:val="20"/>
        </w:rPr>
        <w:t>demonstrados</w:t>
      </w:r>
      <w:proofErr w:type="gramEnd"/>
      <w:r w:rsidRPr="00C24202">
        <w:rPr>
          <w:rFonts w:ascii="Arial,Italic" w:hAnsi="Arial,Italic" w:cs="Arial,Italic"/>
          <w:i/>
          <w:iCs/>
          <w:sz w:val="20"/>
          <w:szCs w:val="20"/>
        </w:rPr>
        <w:t xml:space="preserve"> </w:t>
      </w:r>
      <w:r w:rsidRPr="00C24202">
        <w:rPr>
          <w:rFonts w:ascii="Arial" w:hAnsi="Arial" w:cs="Arial"/>
          <w:sz w:val="20"/>
          <w:szCs w:val="20"/>
        </w:rPr>
        <w:t>nos processos administrativos pertinentes.</w:t>
      </w:r>
    </w:p>
    <w:p w14:paraId="03E0F883" w14:textId="77777777" w:rsidR="003319D0" w:rsidRDefault="003319D0" w:rsidP="0007004D">
      <w:pPr>
        <w:autoSpaceDE w:val="0"/>
        <w:autoSpaceDN w:val="0"/>
        <w:adjustRightInd w:val="0"/>
        <w:spacing w:after="0"/>
        <w:jc w:val="both"/>
        <w:rPr>
          <w:rFonts w:ascii="Arial" w:hAnsi="Arial" w:cs="Arial"/>
          <w:sz w:val="20"/>
          <w:szCs w:val="20"/>
        </w:rPr>
      </w:pPr>
    </w:p>
    <w:p w14:paraId="68AA65F2" w14:textId="77777777" w:rsidR="003319D0" w:rsidRDefault="003319D0" w:rsidP="0007004D">
      <w:pPr>
        <w:autoSpaceDE w:val="0"/>
        <w:autoSpaceDN w:val="0"/>
        <w:adjustRightInd w:val="0"/>
        <w:spacing w:after="0"/>
        <w:rPr>
          <w:rFonts w:ascii="Arial" w:hAnsi="Arial" w:cs="Arial"/>
          <w:sz w:val="20"/>
          <w:szCs w:val="20"/>
        </w:rPr>
      </w:pPr>
      <w:r w:rsidRPr="00B32E19">
        <w:rPr>
          <w:rFonts w:ascii="Arial" w:hAnsi="Arial" w:cs="Arial"/>
          <w:sz w:val="20"/>
          <w:szCs w:val="20"/>
        </w:rPr>
        <w:t xml:space="preserve">Processo nº </w:t>
      </w:r>
      <w:r>
        <w:rPr>
          <w:rFonts w:ascii="Arial" w:hAnsi="Arial" w:cs="Arial"/>
          <w:sz w:val="20"/>
          <w:szCs w:val="20"/>
        </w:rPr>
        <w:t>61450/16</w:t>
      </w:r>
      <w:r w:rsidRPr="00B32E19">
        <w:rPr>
          <w:rFonts w:ascii="Arial" w:hAnsi="Arial" w:cs="Arial"/>
          <w:sz w:val="20"/>
          <w:szCs w:val="20"/>
        </w:rPr>
        <w:t xml:space="preserve"> – </w:t>
      </w:r>
      <w:hyperlink r:id="rId14" w:history="1">
        <w:r w:rsidRPr="005F32E0">
          <w:rPr>
            <w:rStyle w:val="Hyperlink"/>
            <w:rFonts w:ascii="Arial" w:hAnsi="Arial" w:cs="Arial"/>
            <w:sz w:val="20"/>
            <w:szCs w:val="20"/>
          </w:rPr>
          <w:t xml:space="preserve">Acórdão nº </w:t>
        </w:r>
        <w:r>
          <w:rPr>
            <w:rStyle w:val="Hyperlink"/>
            <w:rFonts w:ascii="Arial" w:hAnsi="Arial" w:cs="Arial"/>
            <w:sz w:val="20"/>
            <w:szCs w:val="20"/>
          </w:rPr>
          <w:t>1065</w:t>
        </w:r>
        <w:r w:rsidRPr="005F32E0">
          <w:rPr>
            <w:rStyle w:val="Hyperlink"/>
            <w:rFonts w:ascii="Arial" w:hAnsi="Arial" w:cs="Arial"/>
            <w:sz w:val="20"/>
            <w:szCs w:val="20"/>
          </w:rPr>
          <w:t xml:space="preserve">/19 – </w:t>
        </w:r>
        <w:r>
          <w:rPr>
            <w:rStyle w:val="Hyperlink"/>
            <w:rFonts w:ascii="Arial" w:hAnsi="Arial" w:cs="Arial"/>
            <w:sz w:val="20"/>
            <w:szCs w:val="20"/>
          </w:rPr>
          <w:t>Segunda Câmara</w:t>
        </w:r>
      </w:hyperlink>
      <w:r w:rsidRPr="00B32E19">
        <w:rPr>
          <w:rFonts w:ascii="Arial" w:hAnsi="Arial" w:cs="Arial"/>
          <w:sz w:val="20"/>
          <w:szCs w:val="20"/>
        </w:rPr>
        <w:t xml:space="preserve"> - Relator </w:t>
      </w:r>
      <w:r>
        <w:rPr>
          <w:rFonts w:ascii="Arial" w:hAnsi="Arial" w:cs="Arial"/>
          <w:sz w:val="20"/>
          <w:szCs w:val="20"/>
        </w:rPr>
        <w:t xml:space="preserve">Conselheiro Ivan </w:t>
      </w:r>
      <w:proofErr w:type="spellStart"/>
      <w:r>
        <w:rPr>
          <w:rFonts w:ascii="Arial" w:hAnsi="Arial" w:cs="Arial"/>
          <w:sz w:val="20"/>
          <w:szCs w:val="20"/>
        </w:rPr>
        <w:t>Lelis</w:t>
      </w:r>
      <w:proofErr w:type="spellEnd"/>
      <w:r>
        <w:rPr>
          <w:rFonts w:ascii="Arial" w:hAnsi="Arial" w:cs="Arial"/>
          <w:sz w:val="20"/>
          <w:szCs w:val="20"/>
        </w:rPr>
        <w:t xml:space="preserve"> Bonilha</w:t>
      </w:r>
      <w:r w:rsidRPr="00B32E19">
        <w:rPr>
          <w:rFonts w:ascii="Arial" w:hAnsi="Arial" w:cs="Arial"/>
          <w:sz w:val="20"/>
          <w:szCs w:val="20"/>
        </w:rPr>
        <w:t>.</w:t>
      </w:r>
    </w:p>
    <w:p w14:paraId="5A232A18" w14:textId="77777777" w:rsidR="003319D0" w:rsidRPr="00BE7ED0" w:rsidRDefault="003319D0" w:rsidP="0007004D">
      <w:pPr>
        <w:autoSpaceDE w:val="0"/>
        <w:autoSpaceDN w:val="0"/>
        <w:adjustRightInd w:val="0"/>
        <w:spacing w:after="0"/>
        <w:jc w:val="both"/>
        <w:rPr>
          <w:rFonts w:ascii="Arial" w:hAnsi="Arial" w:cs="Arial"/>
          <w:b/>
          <w:sz w:val="20"/>
          <w:szCs w:val="20"/>
          <w:highlight w:val="yellow"/>
        </w:rPr>
      </w:pPr>
    </w:p>
    <w:p w14:paraId="544ABA9D" w14:textId="77777777" w:rsidR="007C18E7" w:rsidRPr="00BE7ED0" w:rsidRDefault="007C18E7" w:rsidP="0007004D">
      <w:pPr>
        <w:shd w:val="pct10" w:color="auto" w:fill="auto"/>
        <w:spacing w:after="0"/>
        <w:jc w:val="center"/>
        <w:rPr>
          <w:rFonts w:ascii="Arial" w:hAnsi="Arial" w:cs="Arial"/>
          <w:b/>
          <w:sz w:val="20"/>
          <w:szCs w:val="20"/>
        </w:rPr>
      </w:pPr>
      <w:r w:rsidRPr="00BE7ED0">
        <w:rPr>
          <w:rFonts w:ascii="Arial" w:hAnsi="Arial" w:cs="Arial"/>
          <w:b/>
          <w:sz w:val="20"/>
          <w:szCs w:val="20"/>
        </w:rPr>
        <w:t>TRIBUNAL PLENO</w:t>
      </w:r>
    </w:p>
    <w:p w14:paraId="51E60262" w14:textId="77777777" w:rsidR="007C18E7" w:rsidRPr="00BE7ED0" w:rsidRDefault="007C18E7" w:rsidP="0007004D">
      <w:pPr>
        <w:autoSpaceDE w:val="0"/>
        <w:autoSpaceDN w:val="0"/>
        <w:adjustRightInd w:val="0"/>
        <w:spacing w:after="0"/>
        <w:jc w:val="both"/>
        <w:rPr>
          <w:rFonts w:ascii="Arial" w:hAnsi="Arial" w:cs="Arial"/>
          <w:sz w:val="20"/>
          <w:szCs w:val="20"/>
        </w:rPr>
      </w:pPr>
    </w:p>
    <w:p w14:paraId="7D88CDD9" w14:textId="310868D8" w:rsidR="00826373" w:rsidRPr="00E33FD9" w:rsidRDefault="003319D0" w:rsidP="0007004D">
      <w:pPr>
        <w:autoSpaceDE w:val="0"/>
        <w:autoSpaceDN w:val="0"/>
        <w:adjustRightInd w:val="0"/>
        <w:spacing w:after="0"/>
        <w:jc w:val="both"/>
        <w:rPr>
          <w:rFonts w:ascii="Arial" w:hAnsi="Arial" w:cs="Arial"/>
          <w:b/>
          <w:sz w:val="20"/>
          <w:szCs w:val="20"/>
        </w:rPr>
      </w:pPr>
      <w:r>
        <w:rPr>
          <w:rFonts w:ascii="Arial" w:hAnsi="Arial" w:cs="Arial"/>
          <w:b/>
          <w:sz w:val="20"/>
          <w:szCs w:val="20"/>
        </w:rPr>
        <w:t xml:space="preserve">8. </w:t>
      </w:r>
      <w:r w:rsidR="00E33FD9" w:rsidRPr="00E33FD9">
        <w:rPr>
          <w:rFonts w:ascii="Arial" w:hAnsi="Arial" w:cs="Arial"/>
          <w:b/>
          <w:sz w:val="20"/>
          <w:szCs w:val="20"/>
        </w:rPr>
        <w:t>Representação da Lei n.º 8.666/1993. Medida cautelar para suspender o processo licitatório Concorrência n.º 02/2018-PROAF/DM no estado em que se encontra. Homologação.</w:t>
      </w:r>
    </w:p>
    <w:p w14:paraId="31B36C16" w14:textId="5ED70796" w:rsidR="008F627B" w:rsidRDefault="00C14106" w:rsidP="0007004D">
      <w:pPr>
        <w:autoSpaceDE w:val="0"/>
        <w:autoSpaceDN w:val="0"/>
        <w:adjustRightInd w:val="0"/>
        <w:spacing w:after="0"/>
        <w:jc w:val="both"/>
        <w:rPr>
          <w:rFonts w:ascii="Arial" w:hAnsi="Arial" w:cs="Arial"/>
          <w:sz w:val="20"/>
          <w:szCs w:val="20"/>
        </w:rPr>
      </w:pPr>
      <w:r w:rsidRPr="00FC0FC4">
        <w:rPr>
          <w:rFonts w:ascii="Arial" w:hAnsi="Arial" w:cs="Arial"/>
          <w:sz w:val="20"/>
          <w:szCs w:val="20"/>
        </w:rPr>
        <w:t>Em Representação da Lei 8.666/1993, a parte autora se insurge</w:t>
      </w:r>
      <w:r w:rsidR="00826373" w:rsidRPr="00FC0FC4">
        <w:rPr>
          <w:rFonts w:ascii="Arial" w:hAnsi="Arial" w:cs="Arial"/>
          <w:sz w:val="20"/>
          <w:szCs w:val="20"/>
        </w:rPr>
        <w:t xml:space="preserve"> contra supostos vícios no edital relativos à qualificação técnica, que teriam o condão de restringir o caráter competitivo do certame além de direcioná-lo a empresas específicas, quais sejam: (a) exigência de apresentação de certificados ISO 27001 (subitem 3.2.1, “b</w:t>
      </w:r>
      <w:r w:rsidR="00826373" w:rsidRPr="00FC0FC4">
        <w:rPr>
          <w:rFonts w:ascii="Arial" w:hAnsi="Arial" w:cs="Arial"/>
          <w:sz w:val="20"/>
          <w:szCs w:val="20"/>
          <w:vertAlign w:val="subscript"/>
        </w:rPr>
        <w:t>1</w:t>
      </w:r>
      <w:r w:rsidR="00826373" w:rsidRPr="00FC0FC4">
        <w:rPr>
          <w:rFonts w:ascii="Arial" w:hAnsi="Arial" w:cs="Arial"/>
          <w:sz w:val="20"/>
          <w:szCs w:val="20"/>
        </w:rPr>
        <w:t>”) e NBR ISO 9001 (subitem 3.2.1, “c</w:t>
      </w:r>
      <w:r w:rsidR="00826373" w:rsidRPr="00FC0FC4">
        <w:rPr>
          <w:rFonts w:ascii="Arial" w:hAnsi="Arial" w:cs="Arial"/>
          <w:sz w:val="20"/>
          <w:szCs w:val="20"/>
          <w:vertAlign w:val="subscript"/>
        </w:rPr>
        <w:t>1</w:t>
      </w:r>
      <w:r w:rsidR="00826373" w:rsidRPr="00FC0FC4">
        <w:rPr>
          <w:rFonts w:ascii="Arial" w:hAnsi="Arial" w:cs="Arial"/>
          <w:sz w:val="20"/>
          <w:szCs w:val="20"/>
        </w:rPr>
        <w:t>”), já que não consta do rol taxativo dos documentos do art. 30 da Lei de Licitações, direciona o certame a determinadas</w:t>
      </w:r>
      <w:r w:rsidR="00826373" w:rsidRPr="00FC0FC4">
        <w:rPr>
          <w:rFonts w:ascii="Arial" w:hAnsi="Arial" w:cs="Arial"/>
          <w:sz w:val="20"/>
          <w:szCs w:val="20"/>
        </w:rPr>
        <w:t xml:space="preserve"> </w:t>
      </w:r>
      <w:r w:rsidR="00826373" w:rsidRPr="00FC0FC4">
        <w:rPr>
          <w:rFonts w:ascii="Arial" w:hAnsi="Arial" w:cs="Arial"/>
          <w:sz w:val="20"/>
          <w:szCs w:val="20"/>
        </w:rPr>
        <w:t>empresas, além de contrariar jurisprudência do Tribunal de Contas da União “de que a exigência de certificado ISO não pode ser utilizada como critério eliminatório em processo licitatório”</w:t>
      </w:r>
      <w:r w:rsidRPr="00FC0FC4">
        <w:rPr>
          <w:rFonts w:ascii="Arial" w:hAnsi="Arial" w:cs="Arial"/>
          <w:sz w:val="20"/>
          <w:szCs w:val="20"/>
        </w:rPr>
        <w:t xml:space="preserve">; </w:t>
      </w:r>
      <w:r w:rsidR="00826373" w:rsidRPr="00FC0FC4">
        <w:rPr>
          <w:rFonts w:ascii="Arial" w:hAnsi="Arial" w:cs="Arial"/>
          <w:sz w:val="20"/>
          <w:szCs w:val="20"/>
        </w:rPr>
        <w:t>e (b) exigência de pontuação de profissional mediante apresentação de certificação técnica e exigência de que o profissional faça parte do grupo de colaboradores da empresa com vinculação celetista (subitem 3.2.1, “e</w:t>
      </w:r>
      <w:r w:rsidR="00826373" w:rsidRPr="00FC0FC4">
        <w:rPr>
          <w:rFonts w:ascii="Arial" w:hAnsi="Arial" w:cs="Arial"/>
          <w:sz w:val="20"/>
          <w:szCs w:val="20"/>
          <w:vertAlign w:val="subscript"/>
        </w:rPr>
        <w:t>1</w:t>
      </w:r>
      <w:r w:rsidR="00826373" w:rsidRPr="00FC0FC4">
        <w:rPr>
          <w:rFonts w:ascii="Arial" w:hAnsi="Arial" w:cs="Arial"/>
          <w:sz w:val="20"/>
          <w:szCs w:val="20"/>
        </w:rPr>
        <w:t>” e “e</w:t>
      </w:r>
      <w:r w:rsidR="00826373" w:rsidRPr="00FC0FC4">
        <w:rPr>
          <w:rFonts w:ascii="Arial" w:hAnsi="Arial" w:cs="Arial"/>
          <w:sz w:val="20"/>
          <w:szCs w:val="20"/>
          <w:vertAlign w:val="subscript"/>
        </w:rPr>
        <w:t>2</w:t>
      </w:r>
      <w:r w:rsidR="00826373" w:rsidRPr="00FC0FC4">
        <w:rPr>
          <w:rFonts w:ascii="Arial" w:hAnsi="Arial" w:cs="Arial"/>
          <w:sz w:val="20"/>
          <w:szCs w:val="20"/>
        </w:rPr>
        <w:t>”</w:t>
      </w:r>
      <w:r w:rsidR="00826373" w:rsidRPr="00FC0FC4">
        <w:rPr>
          <w:rFonts w:ascii="Arial" w:hAnsi="Arial" w:cs="Arial"/>
          <w:sz w:val="20"/>
          <w:szCs w:val="20"/>
        </w:rPr>
        <w:t>).</w:t>
      </w:r>
    </w:p>
    <w:p w14:paraId="5A3A1878" w14:textId="77777777" w:rsidR="00933B64" w:rsidRDefault="00933B64" w:rsidP="0007004D">
      <w:pPr>
        <w:autoSpaceDE w:val="0"/>
        <w:autoSpaceDN w:val="0"/>
        <w:adjustRightInd w:val="0"/>
        <w:spacing w:after="0"/>
        <w:jc w:val="both"/>
        <w:rPr>
          <w:rFonts w:ascii="Arial" w:hAnsi="Arial" w:cs="Arial"/>
          <w:sz w:val="20"/>
          <w:szCs w:val="20"/>
        </w:rPr>
      </w:pPr>
    </w:p>
    <w:p w14:paraId="20154C3C" w14:textId="1A8E254F" w:rsidR="008E3435" w:rsidRDefault="00C14106" w:rsidP="0007004D">
      <w:pPr>
        <w:autoSpaceDE w:val="0"/>
        <w:autoSpaceDN w:val="0"/>
        <w:adjustRightInd w:val="0"/>
        <w:spacing w:after="0"/>
        <w:jc w:val="both"/>
        <w:rPr>
          <w:rFonts w:ascii="Arial" w:hAnsi="Arial" w:cs="Arial"/>
          <w:sz w:val="20"/>
          <w:szCs w:val="20"/>
        </w:rPr>
      </w:pPr>
      <w:r w:rsidRPr="00FC0FC4">
        <w:rPr>
          <w:rFonts w:ascii="Arial" w:hAnsi="Arial" w:cs="Arial"/>
          <w:sz w:val="20"/>
          <w:szCs w:val="20"/>
        </w:rPr>
        <w:t xml:space="preserve">O órgão licitante argumenta que </w:t>
      </w:r>
      <w:r w:rsidR="008A2BC9" w:rsidRPr="00FC0FC4">
        <w:rPr>
          <w:rFonts w:ascii="Arial" w:hAnsi="Arial" w:cs="Arial"/>
          <w:sz w:val="20"/>
          <w:szCs w:val="20"/>
        </w:rPr>
        <w:t>a apresentação dos certificados questionados teria caráter meramente classificatório, ou seja, o fato de a empresa</w:t>
      </w:r>
      <w:r w:rsidRPr="00FC0FC4">
        <w:rPr>
          <w:rFonts w:ascii="Arial" w:hAnsi="Arial" w:cs="Arial"/>
          <w:sz w:val="20"/>
          <w:szCs w:val="20"/>
        </w:rPr>
        <w:t xml:space="preserve"> </w:t>
      </w:r>
      <w:r w:rsidRPr="00FC0FC4">
        <w:rPr>
          <w:rFonts w:ascii="Arial" w:hAnsi="Arial" w:cs="Arial"/>
          <w:sz w:val="20"/>
          <w:szCs w:val="20"/>
        </w:rPr>
        <w:t>participante do certame não possuir um dos certificados não vedaria sua inclusão na presente concorrência</w:t>
      </w:r>
      <w:r w:rsidR="008A2BC9" w:rsidRPr="00FC0FC4">
        <w:rPr>
          <w:rFonts w:ascii="Arial" w:hAnsi="Arial" w:cs="Arial"/>
          <w:sz w:val="20"/>
          <w:szCs w:val="20"/>
        </w:rPr>
        <w:t xml:space="preserve">. </w:t>
      </w:r>
    </w:p>
    <w:p w14:paraId="30E9B775" w14:textId="77777777" w:rsidR="00933B64" w:rsidRDefault="00933B64" w:rsidP="0007004D">
      <w:pPr>
        <w:autoSpaceDE w:val="0"/>
        <w:autoSpaceDN w:val="0"/>
        <w:adjustRightInd w:val="0"/>
        <w:spacing w:after="0"/>
        <w:jc w:val="both"/>
        <w:rPr>
          <w:rFonts w:ascii="Arial" w:hAnsi="Arial" w:cs="Arial"/>
          <w:sz w:val="20"/>
          <w:szCs w:val="20"/>
        </w:rPr>
      </w:pPr>
    </w:p>
    <w:p w14:paraId="47B74C3D" w14:textId="01C9AC75" w:rsidR="008E3435" w:rsidRPr="00FC0FC4" w:rsidRDefault="001B609A" w:rsidP="0007004D">
      <w:pPr>
        <w:autoSpaceDE w:val="0"/>
        <w:autoSpaceDN w:val="0"/>
        <w:adjustRightInd w:val="0"/>
        <w:spacing w:after="0"/>
        <w:jc w:val="both"/>
        <w:rPr>
          <w:rFonts w:ascii="Arial" w:hAnsi="Arial" w:cs="Arial"/>
          <w:sz w:val="20"/>
          <w:szCs w:val="20"/>
        </w:rPr>
      </w:pPr>
      <w:r w:rsidRPr="00FC0FC4">
        <w:rPr>
          <w:rFonts w:ascii="Arial" w:hAnsi="Arial" w:cs="Arial"/>
          <w:sz w:val="20"/>
          <w:szCs w:val="20"/>
        </w:rPr>
        <w:t xml:space="preserve">Contudo, </w:t>
      </w:r>
      <w:r w:rsidR="008E3435" w:rsidRPr="00FC0FC4">
        <w:rPr>
          <w:rFonts w:ascii="Arial" w:hAnsi="Arial" w:cs="Arial"/>
          <w:sz w:val="20"/>
          <w:szCs w:val="20"/>
        </w:rPr>
        <w:t>a forma como foi redigido o ato convocatório suscita insegurança para os licitantes, que podem se ver impedidos de participar do certame por expressa previsão legal.</w:t>
      </w:r>
    </w:p>
    <w:p w14:paraId="718281B7" w14:textId="77777777" w:rsidR="00933B64" w:rsidRDefault="00933B64" w:rsidP="0007004D">
      <w:pPr>
        <w:autoSpaceDE w:val="0"/>
        <w:autoSpaceDN w:val="0"/>
        <w:adjustRightInd w:val="0"/>
        <w:spacing w:after="0"/>
        <w:jc w:val="both"/>
        <w:rPr>
          <w:rFonts w:ascii="Arial" w:hAnsi="Arial" w:cs="Arial"/>
          <w:sz w:val="20"/>
          <w:szCs w:val="20"/>
        </w:rPr>
      </w:pPr>
    </w:p>
    <w:p w14:paraId="0D1D8D7F" w14:textId="112FCAC4" w:rsidR="00826373" w:rsidRPr="00FC0FC4" w:rsidRDefault="00C14106" w:rsidP="0007004D">
      <w:pPr>
        <w:autoSpaceDE w:val="0"/>
        <w:autoSpaceDN w:val="0"/>
        <w:adjustRightInd w:val="0"/>
        <w:spacing w:after="0"/>
        <w:jc w:val="both"/>
        <w:rPr>
          <w:rFonts w:ascii="Arial" w:hAnsi="Arial" w:cs="Arial"/>
          <w:sz w:val="20"/>
          <w:szCs w:val="20"/>
        </w:rPr>
      </w:pPr>
      <w:r w:rsidRPr="00FC0FC4">
        <w:rPr>
          <w:rFonts w:ascii="Arial" w:hAnsi="Arial" w:cs="Arial"/>
          <w:sz w:val="20"/>
          <w:szCs w:val="20"/>
        </w:rPr>
        <w:t>O</w:t>
      </w:r>
      <w:r w:rsidR="00826373" w:rsidRPr="00FC0FC4">
        <w:rPr>
          <w:rFonts w:ascii="Arial" w:hAnsi="Arial" w:cs="Arial"/>
          <w:sz w:val="20"/>
          <w:szCs w:val="20"/>
        </w:rPr>
        <w:t xml:space="preserve"> peso atribuído à apresentação dos certificados ISO pode resultar em possível direcionamento do certame, já que o edital estabelece que somente serão classificadas as três primeiras </w:t>
      </w:r>
      <w:r w:rsidR="00826373" w:rsidRPr="00FC0FC4">
        <w:rPr>
          <w:rFonts w:ascii="Arial" w:hAnsi="Arial" w:cs="Arial"/>
          <w:sz w:val="20"/>
          <w:szCs w:val="20"/>
        </w:rPr>
        <w:lastRenderedPageBreak/>
        <w:t>propostas. Isto é, na prática, ao que parece, seriam classificadas somente as licitantes que apresentassem tais documentos.</w:t>
      </w:r>
    </w:p>
    <w:p w14:paraId="2D149878" w14:textId="77777777" w:rsidR="00933B64" w:rsidRDefault="00933B64" w:rsidP="0007004D">
      <w:pPr>
        <w:autoSpaceDE w:val="0"/>
        <w:autoSpaceDN w:val="0"/>
        <w:adjustRightInd w:val="0"/>
        <w:spacing w:after="0"/>
        <w:jc w:val="both"/>
        <w:rPr>
          <w:rFonts w:ascii="Arial" w:hAnsi="Arial" w:cs="Arial"/>
          <w:sz w:val="20"/>
          <w:szCs w:val="20"/>
        </w:rPr>
      </w:pPr>
    </w:p>
    <w:p w14:paraId="388D2CD9" w14:textId="36B73262" w:rsidR="00BF7FDC" w:rsidRPr="00FC0FC4" w:rsidRDefault="00BF7FDC" w:rsidP="0007004D">
      <w:pPr>
        <w:autoSpaceDE w:val="0"/>
        <w:autoSpaceDN w:val="0"/>
        <w:adjustRightInd w:val="0"/>
        <w:spacing w:after="0"/>
        <w:jc w:val="both"/>
        <w:rPr>
          <w:rFonts w:ascii="Arial" w:hAnsi="Arial" w:cs="Arial"/>
          <w:sz w:val="20"/>
          <w:szCs w:val="20"/>
        </w:rPr>
      </w:pPr>
      <w:r w:rsidRPr="00FC0FC4">
        <w:rPr>
          <w:rFonts w:ascii="Arial" w:hAnsi="Arial" w:cs="Arial"/>
          <w:sz w:val="20"/>
          <w:szCs w:val="20"/>
        </w:rPr>
        <w:t>Além disso</w:t>
      </w:r>
      <w:r w:rsidRPr="00FC0FC4">
        <w:rPr>
          <w:rFonts w:ascii="Arial" w:hAnsi="Arial" w:cs="Arial"/>
          <w:sz w:val="20"/>
          <w:szCs w:val="20"/>
        </w:rPr>
        <w:t xml:space="preserve">, </w:t>
      </w:r>
      <w:r w:rsidRPr="00FC0FC4">
        <w:rPr>
          <w:rFonts w:ascii="Arial" w:hAnsi="Arial" w:cs="Arial"/>
          <w:sz w:val="20"/>
          <w:szCs w:val="20"/>
        </w:rPr>
        <w:t>insta</w:t>
      </w:r>
      <w:r w:rsidRPr="00FC0FC4">
        <w:rPr>
          <w:rFonts w:ascii="Arial" w:hAnsi="Arial" w:cs="Arial"/>
          <w:sz w:val="20"/>
          <w:szCs w:val="20"/>
        </w:rPr>
        <w:t xml:space="preserve"> salientar que em consulta ao site da </w:t>
      </w:r>
      <w:r w:rsidRPr="00FC0FC4">
        <w:rPr>
          <w:rFonts w:ascii="Arial" w:hAnsi="Arial" w:cs="Arial"/>
          <w:sz w:val="20"/>
          <w:szCs w:val="20"/>
        </w:rPr>
        <w:t>parte representada</w:t>
      </w:r>
      <w:r w:rsidRPr="00FC0FC4">
        <w:rPr>
          <w:rFonts w:ascii="Arial" w:hAnsi="Arial" w:cs="Arial"/>
          <w:sz w:val="20"/>
          <w:szCs w:val="20"/>
        </w:rPr>
        <w:t xml:space="preserve"> com o intuito de clarificar os pontos apresentados na presente representação, verificou-se a ausência de disponibilização na íntegra do processo licitatório em comento, em descumprimento à Lei de Acesso a Informação (Lei n.º 12.527/2011).</w:t>
      </w:r>
    </w:p>
    <w:p w14:paraId="06D9F4F6" w14:textId="77777777" w:rsidR="00933B64" w:rsidRDefault="00933B64" w:rsidP="0007004D">
      <w:pPr>
        <w:autoSpaceDE w:val="0"/>
        <w:autoSpaceDN w:val="0"/>
        <w:adjustRightInd w:val="0"/>
        <w:spacing w:after="0"/>
        <w:jc w:val="both"/>
        <w:rPr>
          <w:rFonts w:ascii="Arial" w:hAnsi="Arial" w:cs="Arial"/>
          <w:sz w:val="20"/>
          <w:szCs w:val="20"/>
        </w:rPr>
      </w:pPr>
    </w:p>
    <w:p w14:paraId="2F05ED94" w14:textId="0A29F649" w:rsidR="00FC0FC4" w:rsidRDefault="00FC0FC4" w:rsidP="0007004D">
      <w:pPr>
        <w:autoSpaceDE w:val="0"/>
        <w:autoSpaceDN w:val="0"/>
        <w:adjustRightInd w:val="0"/>
        <w:spacing w:after="0"/>
        <w:jc w:val="both"/>
        <w:rPr>
          <w:rFonts w:ascii="Arial" w:hAnsi="Arial" w:cs="Arial"/>
          <w:sz w:val="20"/>
          <w:szCs w:val="20"/>
        </w:rPr>
      </w:pPr>
      <w:r w:rsidRPr="00FC0FC4">
        <w:rPr>
          <w:rFonts w:ascii="Arial" w:hAnsi="Arial" w:cs="Arial"/>
          <w:sz w:val="20"/>
          <w:szCs w:val="20"/>
        </w:rPr>
        <w:t>H</w:t>
      </w:r>
      <w:r w:rsidRPr="00FC0FC4">
        <w:rPr>
          <w:rFonts w:ascii="Arial" w:hAnsi="Arial" w:cs="Arial"/>
          <w:sz w:val="20"/>
          <w:szCs w:val="20"/>
        </w:rPr>
        <w:t>omologação da medida cautelar determinada por meio do Despacho n.º 416/2019</w:t>
      </w:r>
      <w:r w:rsidRPr="00FC0FC4">
        <w:rPr>
          <w:rFonts w:ascii="Arial" w:hAnsi="Arial" w:cs="Arial"/>
          <w:sz w:val="20"/>
          <w:szCs w:val="20"/>
        </w:rPr>
        <w:t>.</w:t>
      </w:r>
    </w:p>
    <w:p w14:paraId="2EDE681D" w14:textId="77777777" w:rsidR="00933B64" w:rsidRDefault="00933B64" w:rsidP="0007004D">
      <w:pPr>
        <w:autoSpaceDE w:val="0"/>
        <w:autoSpaceDN w:val="0"/>
        <w:adjustRightInd w:val="0"/>
        <w:spacing w:after="0"/>
        <w:jc w:val="both"/>
        <w:rPr>
          <w:rFonts w:ascii="Arial" w:hAnsi="Arial" w:cs="Arial"/>
          <w:sz w:val="20"/>
          <w:szCs w:val="20"/>
        </w:rPr>
      </w:pPr>
    </w:p>
    <w:p w14:paraId="552EF8B2" w14:textId="72973BCF" w:rsidR="00E33FD9" w:rsidRPr="00BE7ED0" w:rsidRDefault="00E33FD9" w:rsidP="0007004D">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Processo nº </w:t>
      </w:r>
      <w:r>
        <w:rPr>
          <w:rFonts w:ascii="Arial" w:hAnsi="Arial" w:cs="Arial"/>
          <w:sz w:val="20"/>
          <w:szCs w:val="20"/>
        </w:rPr>
        <w:t>240430</w:t>
      </w:r>
      <w:r w:rsidRPr="00BE7ED0">
        <w:rPr>
          <w:rFonts w:ascii="Arial" w:hAnsi="Arial" w:cs="Arial"/>
          <w:sz w:val="20"/>
          <w:szCs w:val="20"/>
        </w:rPr>
        <w:t>/1</w:t>
      </w:r>
      <w:r>
        <w:rPr>
          <w:rFonts w:ascii="Arial" w:hAnsi="Arial" w:cs="Arial"/>
          <w:sz w:val="20"/>
          <w:szCs w:val="20"/>
        </w:rPr>
        <w:t>9</w:t>
      </w:r>
      <w:r w:rsidRPr="00BE7ED0">
        <w:rPr>
          <w:rFonts w:ascii="Arial" w:hAnsi="Arial" w:cs="Arial"/>
          <w:sz w:val="20"/>
          <w:szCs w:val="20"/>
        </w:rPr>
        <w:t xml:space="preserve"> – </w:t>
      </w:r>
      <w:hyperlink r:id="rId15" w:history="1">
        <w:r w:rsidRPr="004C3F40">
          <w:rPr>
            <w:rStyle w:val="Hyperlink"/>
            <w:rFonts w:ascii="Arial" w:hAnsi="Arial" w:cs="Arial"/>
            <w:sz w:val="20"/>
            <w:szCs w:val="20"/>
          </w:rPr>
          <w:t>Acórdão nº 1035/19 – Tribunal Pleno</w:t>
        </w:r>
      </w:hyperlink>
      <w:r w:rsidRPr="00BE7ED0">
        <w:rPr>
          <w:rFonts w:ascii="Arial" w:hAnsi="Arial" w:cs="Arial"/>
          <w:sz w:val="20"/>
          <w:szCs w:val="20"/>
        </w:rPr>
        <w:t xml:space="preserve"> - Relator</w:t>
      </w:r>
      <w:r w:rsidRPr="00BE7ED0">
        <w:rPr>
          <w:rFonts w:ascii="Arial" w:hAnsi="Arial" w:cs="Arial"/>
          <w:sz w:val="20"/>
          <w:szCs w:val="20"/>
        </w:rPr>
        <w:t xml:space="preserve"> </w:t>
      </w:r>
      <w:r w:rsidRPr="00E33FD9">
        <w:rPr>
          <w:rFonts w:ascii="Arial" w:hAnsi="Arial" w:cs="Arial"/>
          <w:sz w:val="20"/>
          <w:szCs w:val="20"/>
        </w:rPr>
        <w:t>Conselheiro Jose Durval Mattos do Amaral</w:t>
      </w:r>
      <w:r w:rsidRPr="00BE7ED0">
        <w:rPr>
          <w:rFonts w:ascii="Arial" w:hAnsi="Arial" w:cs="Arial"/>
          <w:sz w:val="20"/>
          <w:szCs w:val="20"/>
        </w:rPr>
        <w:t xml:space="preserve">. </w:t>
      </w:r>
    </w:p>
    <w:p w14:paraId="0E3D2739" w14:textId="22E55A56" w:rsidR="008E3435" w:rsidRDefault="008E3435" w:rsidP="0007004D">
      <w:pPr>
        <w:autoSpaceDE w:val="0"/>
        <w:autoSpaceDN w:val="0"/>
        <w:adjustRightInd w:val="0"/>
        <w:spacing w:after="0"/>
        <w:jc w:val="both"/>
        <w:rPr>
          <w:rFonts w:ascii="Arial" w:hAnsi="Arial" w:cs="Arial"/>
          <w:sz w:val="20"/>
          <w:szCs w:val="20"/>
        </w:rPr>
      </w:pPr>
    </w:p>
    <w:p w14:paraId="201AE28F" w14:textId="1757A083" w:rsidR="00AB6CEF" w:rsidRDefault="003319D0" w:rsidP="0007004D">
      <w:pPr>
        <w:autoSpaceDE w:val="0"/>
        <w:autoSpaceDN w:val="0"/>
        <w:adjustRightInd w:val="0"/>
        <w:spacing w:after="0"/>
        <w:jc w:val="both"/>
        <w:rPr>
          <w:rFonts w:ascii="Arial" w:hAnsi="Arial" w:cs="Arial"/>
          <w:b/>
          <w:sz w:val="20"/>
          <w:szCs w:val="20"/>
        </w:rPr>
      </w:pPr>
      <w:r>
        <w:rPr>
          <w:rFonts w:ascii="Arial" w:hAnsi="Arial" w:cs="Arial"/>
          <w:b/>
          <w:sz w:val="20"/>
          <w:szCs w:val="20"/>
        </w:rPr>
        <w:t xml:space="preserve">9. </w:t>
      </w:r>
      <w:r w:rsidR="00AB6CEF" w:rsidRPr="00001562">
        <w:rPr>
          <w:rFonts w:ascii="Arial" w:hAnsi="Arial" w:cs="Arial"/>
          <w:b/>
          <w:sz w:val="20"/>
          <w:szCs w:val="20"/>
        </w:rPr>
        <w:t>Consulta. Possibilidade de permanência de Bancos de Projetos por Conselhos de Direitos do Idoso, em analogia com os existentes junto aos Conselhos de Direitos da Criança e do Adolescente, após a vigência da Lei nº 13.019/14. Utilização da dispensa de chamamento público somente em casos excepcionais, e devidamente justificada.</w:t>
      </w:r>
    </w:p>
    <w:p w14:paraId="427256EC" w14:textId="77777777" w:rsidR="00AB6CEF" w:rsidRDefault="00AB6CEF" w:rsidP="0007004D">
      <w:pPr>
        <w:autoSpaceDE w:val="0"/>
        <w:autoSpaceDN w:val="0"/>
        <w:adjustRightInd w:val="0"/>
        <w:spacing w:after="0"/>
        <w:jc w:val="both"/>
        <w:rPr>
          <w:rFonts w:ascii="Arial" w:hAnsi="Arial" w:cs="Arial"/>
          <w:b/>
          <w:sz w:val="20"/>
          <w:szCs w:val="20"/>
        </w:rPr>
      </w:pPr>
    </w:p>
    <w:p w14:paraId="377D86CF" w14:textId="77777777" w:rsidR="00AB6CEF" w:rsidRPr="00001562" w:rsidRDefault="00AB6CEF" w:rsidP="0007004D">
      <w:pPr>
        <w:autoSpaceDE w:val="0"/>
        <w:autoSpaceDN w:val="0"/>
        <w:adjustRightInd w:val="0"/>
        <w:spacing w:after="0"/>
        <w:jc w:val="both"/>
        <w:rPr>
          <w:rFonts w:ascii="Arial" w:hAnsi="Arial" w:cs="Arial"/>
          <w:sz w:val="20"/>
          <w:szCs w:val="20"/>
        </w:rPr>
      </w:pPr>
      <w:r>
        <w:rPr>
          <w:rFonts w:ascii="Arial" w:hAnsi="Arial" w:cs="Arial"/>
          <w:sz w:val="20"/>
          <w:szCs w:val="20"/>
        </w:rPr>
        <w:t>1.</w:t>
      </w:r>
      <w:r w:rsidRPr="00001562">
        <w:rPr>
          <w:rFonts w:ascii="Arial" w:hAnsi="Arial" w:cs="Arial"/>
          <w:sz w:val="20"/>
          <w:szCs w:val="20"/>
        </w:rPr>
        <w:t xml:space="preserve">É possível a permanência do sistema de “Banco de Projetos” junto aos Conselhos de Direitos do Idoso, nas esferas estadual e municipal, desde que devidamente regulamentado pelo conselho competente, de modo a permitir a captação direcionada de recursos aos projetos previamente aprovados, via dedução do imposto de renda; </w:t>
      </w:r>
    </w:p>
    <w:p w14:paraId="65A97C54" w14:textId="77777777" w:rsidR="00AB6CEF" w:rsidRDefault="00AB6CEF" w:rsidP="0007004D">
      <w:pPr>
        <w:autoSpaceDE w:val="0"/>
        <w:autoSpaceDN w:val="0"/>
        <w:adjustRightInd w:val="0"/>
        <w:spacing w:after="0"/>
        <w:jc w:val="both"/>
      </w:pPr>
    </w:p>
    <w:p w14:paraId="32138725" w14:textId="77777777" w:rsidR="00AB6CEF" w:rsidRDefault="00AB6CEF" w:rsidP="0007004D">
      <w:pPr>
        <w:autoSpaceDE w:val="0"/>
        <w:autoSpaceDN w:val="0"/>
        <w:adjustRightInd w:val="0"/>
        <w:spacing w:after="0"/>
        <w:jc w:val="both"/>
        <w:rPr>
          <w:rFonts w:ascii="Arial" w:hAnsi="Arial" w:cs="Arial"/>
          <w:sz w:val="20"/>
          <w:szCs w:val="20"/>
        </w:rPr>
      </w:pPr>
      <w:r>
        <w:t xml:space="preserve">2. </w:t>
      </w:r>
      <w:r w:rsidRPr="00001562">
        <w:rPr>
          <w:rFonts w:ascii="Arial" w:hAnsi="Arial" w:cs="Arial"/>
          <w:sz w:val="20"/>
          <w:szCs w:val="20"/>
        </w:rPr>
        <w:t>Não é possível a utilização da dispensa de chamamento público para firmar parcerias com as organizações da sociedade civil, como regra em com base somente na atividade desenvolvida pela entidade; se houver a opção pela dispensa, esta deverá ser devidamente justificada, por se configurar exceção à regra do chamamento. Nos casos de doações dirigidas aos Bancos de Projetos, desde que regulamentados, não há necessidade do chamamento público, haja vista a impossibilidade de competição.</w:t>
      </w:r>
    </w:p>
    <w:p w14:paraId="32346E1C" w14:textId="77777777" w:rsidR="00AB6CEF" w:rsidRDefault="00AB6CEF" w:rsidP="0007004D">
      <w:pPr>
        <w:autoSpaceDE w:val="0"/>
        <w:autoSpaceDN w:val="0"/>
        <w:adjustRightInd w:val="0"/>
        <w:spacing w:after="0"/>
        <w:jc w:val="both"/>
        <w:rPr>
          <w:rFonts w:ascii="Arial" w:hAnsi="Arial" w:cs="Arial"/>
          <w:sz w:val="20"/>
          <w:szCs w:val="20"/>
        </w:rPr>
      </w:pPr>
    </w:p>
    <w:p w14:paraId="2070EF95" w14:textId="77777777" w:rsidR="00AB6CEF" w:rsidRDefault="00AB6CEF" w:rsidP="0007004D">
      <w:pPr>
        <w:autoSpaceDE w:val="0"/>
        <w:autoSpaceDN w:val="0"/>
        <w:adjustRightInd w:val="0"/>
        <w:spacing w:after="0"/>
        <w:jc w:val="both"/>
        <w:rPr>
          <w:rFonts w:ascii="Arial" w:hAnsi="Arial" w:cs="Arial"/>
          <w:sz w:val="20"/>
          <w:szCs w:val="20"/>
        </w:rPr>
      </w:pPr>
      <w:r>
        <w:rPr>
          <w:rFonts w:ascii="Arial" w:hAnsi="Arial" w:cs="Arial"/>
          <w:sz w:val="20"/>
          <w:szCs w:val="20"/>
        </w:rPr>
        <w:t>P</w:t>
      </w:r>
      <w:r w:rsidRPr="00DD3930">
        <w:rPr>
          <w:rFonts w:ascii="Arial" w:hAnsi="Arial" w:cs="Arial"/>
          <w:sz w:val="20"/>
          <w:szCs w:val="20"/>
        </w:rPr>
        <w:t xml:space="preserve">rocesso nº </w:t>
      </w:r>
      <w:r w:rsidRPr="00FF7FFB">
        <w:rPr>
          <w:rFonts w:ascii="Arial" w:hAnsi="Arial" w:cs="Arial"/>
          <w:sz w:val="20"/>
          <w:szCs w:val="20"/>
        </w:rPr>
        <w:t>703557/17</w:t>
      </w:r>
      <w:r w:rsidRPr="00DD3930">
        <w:rPr>
          <w:rFonts w:ascii="Arial" w:hAnsi="Arial" w:cs="Arial"/>
          <w:sz w:val="20"/>
          <w:szCs w:val="20"/>
        </w:rPr>
        <w:t xml:space="preserve"> – </w:t>
      </w:r>
      <w:hyperlink r:id="rId16" w:history="1">
        <w:r w:rsidRPr="00DD3930">
          <w:rPr>
            <w:rStyle w:val="Hyperlink"/>
            <w:rFonts w:ascii="Arial" w:hAnsi="Arial" w:cs="Arial"/>
            <w:sz w:val="20"/>
            <w:szCs w:val="20"/>
          </w:rPr>
          <w:t xml:space="preserve">Acórdão nº </w:t>
        </w:r>
        <w:r>
          <w:rPr>
            <w:rStyle w:val="Hyperlink"/>
            <w:rFonts w:ascii="Arial" w:hAnsi="Arial" w:cs="Arial"/>
            <w:sz w:val="20"/>
            <w:szCs w:val="20"/>
          </w:rPr>
          <w:t>1110</w:t>
        </w:r>
        <w:r w:rsidRPr="00DD3930">
          <w:rPr>
            <w:rStyle w:val="Hyperlink"/>
            <w:rFonts w:ascii="Arial" w:hAnsi="Arial" w:cs="Arial"/>
            <w:sz w:val="20"/>
            <w:szCs w:val="20"/>
          </w:rPr>
          <w:t>/19 – Tribunal Pleno</w:t>
        </w:r>
      </w:hyperlink>
      <w:r w:rsidRPr="00DD3930">
        <w:rPr>
          <w:rFonts w:ascii="Arial" w:hAnsi="Arial" w:cs="Arial"/>
          <w:sz w:val="20"/>
          <w:szCs w:val="20"/>
        </w:rPr>
        <w:t xml:space="preserve"> - Relator Conselheiro I</w:t>
      </w:r>
      <w:r>
        <w:rPr>
          <w:rFonts w:ascii="Arial" w:hAnsi="Arial" w:cs="Arial"/>
          <w:sz w:val="20"/>
          <w:szCs w:val="20"/>
        </w:rPr>
        <w:t xml:space="preserve">van </w:t>
      </w:r>
      <w:proofErr w:type="spellStart"/>
      <w:r>
        <w:rPr>
          <w:rFonts w:ascii="Arial" w:hAnsi="Arial" w:cs="Arial"/>
          <w:sz w:val="20"/>
          <w:szCs w:val="20"/>
        </w:rPr>
        <w:t>Lelis</w:t>
      </w:r>
      <w:proofErr w:type="spellEnd"/>
      <w:r>
        <w:rPr>
          <w:rFonts w:ascii="Arial" w:hAnsi="Arial" w:cs="Arial"/>
          <w:sz w:val="20"/>
          <w:szCs w:val="20"/>
        </w:rPr>
        <w:t xml:space="preserve"> Bonilha.</w:t>
      </w:r>
    </w:p>
    <w:p w14:paraId="27A3DE94" w14:textId="77777777" w:rsidR="00AB6CEF" w:rsidRDefault="00AB6CEF" w:rsidP="0007004D">
      <w:pPr>
        <w:autoSpaceDE w:val="0"/>
        <w:autoSpaceDN w:val="0"/>
        <w:adjustRightInd w:val="0"/>
        <w:spacing w:after="0"/>
        <w:jc w:val="both"/>
        <w:rPr>
          <w:rFonts w:ascii="Arial" w:hAnsi="Arial" w:cs="Arial"/>
          <w:sz w:val="20"/>
          <w:szCs w:val="20"/>
        </w:rPr>
      </w:pPr>
    </w:p>
    <w:p w14:paraId="549E9720" w14:textId="74A885B4" w:rsidR="00AB6CEF" w:rsidRDefault="003319D0" w:rsidP="0007004D">
      <w:pPr>
        <w:autoSpaceDE w:val="0"/>
        <w:autoSpaceDN w:val="0"/>
        <w:adjustRightInd w:val="0"/>
        <w:spacing w:after="0"/>
        <w:jc w:val="both"/>
        <w:rPr>
          <w:rFonts w:ascii="Arial" w:hAnsi="Arial" w:cs="Arial"/>
          <w:b/>
          <w:sz w:val="20"/>
          <w:szCs w:val="20"/>
        </w:rPr>
      </w:pPr>
      <w:r>
        <w:rPr>
          <w:rFonts w:ascii="Arial" w:hAnsi="Arial" w:cs="Arial"/>
          <w:b/>
          <w:sz w:val="20"/>
          <w:szCs w:val="20"/>
        </w:rPr>
        <w:t xml:space="preserve">10. </w:t>
      </w:r>
      <w:r w:rsidR="00AB6CEF" w:rsidRPr="00636156">
        <w:rPr>
          <w:rFonts w:ascii="Arial" w:hAnsi="Arial" w:cs="Arial"/>
          <w:b/>
          <w:sz w:val="20"/>
          <w:szCs w:val="20"/>
        </w:rPr>
        <w:t>Consulta. Instâncias de Governança Regionais. Municípios. Participação. Possibilidade. Necessidade de previsão legal. Repasse de valores. Legislação orçamentária. Prestação de Contas. Resolução n.º 28/11-TCE-PR.</w:t>
      </w:r>
    </w:p>
    <w:p w14:paraId="63188BC7" w14:textId="77777777" w:rsidR="00AB6CEF" w:rsidRDefault="00AB6CEF" w:rsidP="0007004D">
      <w:pPr>
        <w:autoSpaceDE w:val="0"/>
        <w:autoSpaceDN w:val="0"/>
        <w:adjustRightInd w:val="0"/>
        <w:spacing w:after="0"/>
        <w:jc w:val="both"/>
        <w:rPr>
          <w:rFonts w:ascii="Arial" w:hAnsi="Arial" w:cs="Arial"/>
          <w:b/>
          <w:sz w:val="20"/>
          <w:szCs w:val="20"/>
        </w:rPr>
      </w:pPr>
    </w:p>
    <w:p w14:paraId="3FB73360" w14:textId="001E47E6" w:rsidR="00AB6CEF" w:rsidRDefault="00AB6CEF" w:rsidP="0007004D">
      <w:pPr>
        <w:autoSpaceDE w:val="0"/>
        <w:autoSpaceDN w:val="0"/>
        <w:adjustRightInd w:val="0"/>
        <w:spacing w:after="0"/>
        <w:jc w:val="both"/>
        <w:rPr>
          <w:rFonts w:ascii="Arial" w:hAnsi="Arial" w:cs="Arial"/>
          <w:sz w:val="20"/>
          <w:szCs w:val="20"/>
        </w:rPr>
      </w:pPr>
      <w:r w:rsidRPr="00636156">
        <w:rPr>
          <w:rFonts w:ascii="Arial" w:hAnsi="Arial" w:cs="Arial"/>
          <w:sz w:val="20"/>
          <w:szCs w:val="20"/>
        </w:rPr>
        <w:t xml:space="preserve">É possível “a filiação de Municípios às Instâncias de Governança Regionais, até mesmo quando estiverem constituídas sob a forma de associação de direito privado, exigindo-se, para tanto, previsão legal autorizativa, bem como previsão na legislação orçamentária, caso envolvido o repasse ordinário de recursos financeiros para a manutenção do ente. Repasses de recursos </w:t>
      </w:r>
      <w:r w:rsidRPr="00636156">
        <w:rPr>
          <w:rFonts w:ascii="Arial" w:hAnsi="Arial" w:cs="Arial"/>
          <w:sz w:val="20"/>
          <w:szCs w:val="20"/>
        </w:rPr>
        <w:lastRenderedPageBreak/>
        <w:t>financeiros para projetos específicos, vinculados à política de turismo, deverão ser formalizados por convênios específicos, segundo as regras deste Tribunal de Contas (Resolução nº 28/2011), e com a devida prestação de contas”</w:t>
      </w:r>
      <w:r w:rsidR="003319D0">
        <w:rPr>
          <w:rFonts w:ascii="Arial" w:hAnsi="Arial" w:cs="Arial"/>
          <w:sz w:val="20"/>
          <w:szCs w:val="20"/>
        </w:rPr>
        <w:t>.</w:t>
      </w:r>
    </w:p>
    <w:p w14:paraId="723ABACB" w14:textId="77777777" w:rsidR="00AB6CEF" w:rsidRDefault="00AB6CEF" w:rsidP="0007004D">
      <w:pPr>
        <w:autoSpaceDE w:val="0"/>
        <w:autoSpaceDN w:val="0"/>
        <w:adjustRightInd w:val="0"/>
        <w:spacing w:after="0"/>
        <w:jc w:val="both"/>
        <w:rPr>
          <w:rFonts w:ascii="Arial" w:hAnsi="Arial" w:cs="Arial"/>
          <w:b/>
          <w:sz w:val="20"/>
          <w:szCs w:val="20"/>
        </w:rPr>
      </w:pPr>
      <w:bookmarkStart w:id="0" w:name="_GoBack"/>
      <w:bookmarkEnd w:id="0"/>
    </w:p>
    <w:p w14:paraId="521D048B" w14:textId="77777777" w:rsidR="00AB6CEF" w:rsidRDefault="00AB6CEF" w:rsidP="0007004D">
      <w:pPr>
        <w:autoSpaceDE w:val="0"/>
        <w:autoSpaceDN w:val="0"/>
        <w:adjustRightInd w:val="0"/>
        <w:spacing w:after="0"/>
        <w:jc w:val="both"/>
        <w:rPr>
          <w:rFonts w:ascii="Arial" w:hAnsi="Arial" w:cs="Arial"/>
          <w:b/>
          <w:sz w:val="20"/>
          <w:szCs w:val="20"/>
        </w:rPr>
      </w:pPr>
      <w:r>
        <w:rPr>
          <w:rFonts w:ascii="Arial" w:hAnsi="Arial" w:cs="Arial"/>
          <w:sz w:val="20"/>
          <w:szCs w:val="20"/>
        </w:rPr>
        <w:t>P</w:t>
      </w:r>
      <w:r w:rsidRPr="00DD3930">
        <w:rPr>
          <w:rFonts w:ascii="Arial" w:hAnsi="Arial" w:cs="Arial"/>
          <w:sz w:val="20"/>
          <w:szCs w:val="20"/>
        </w:rPr>
        <w:t xml:space="preserve">rocesso nº </w:t>
      </w:r>
      <w:r w:rsidRPr="00EC1A9D">
        <w:rPr>
          <w:rFonts w:ascii="Arial" w:hAnsi="Arial" w:cs="Arial"/>
          <w:sz w:val="20"/>
          <w:szCs w:val="20"/>
        </w:rPr>
        <w:t>416094/17</w:t>
      </w:r>
      <w:r w:rsidRPr="00DD3930">
        <w:rPr>
          <w:rFonts w:ascii="Arial" w:hAnsi="Arial" w:cs="Arial"/>
          <w:sz w:val="20"/>
          <w:szCs w:val="20"/>
        </w:rPr>
        <w:t xml:space="preserve"> – </w:t>
      </w:r>
      <w:hyperlink r:id="rId17" w:history="1">
        <w:r w:rsidRPr="00DD3930">
          <w:rPr>
            <w:rStyle w:val="Hyperlink"/>
            <w:rFonts w:ascii="Arial" w:hAnsi="Arial" w:cs="Arial"/>
            <w:sz w:val="20"/>
            <w:szCs w:val="20"/>
          </w:rPr>
          <w:t xml:space="preserve">Acórdão nº </w:t>
        </w:r>
        <w:r>
          <w:rPr>
            <w:rStyle w:val="Hyperlink"/>
            <w:rFonts w:ascii="Arial" w:hAnsi="Arial" w:cs="Arial"/>
            <w:sz w:val="20"/>
            <w:szCs w:val="20"/>
          </w:rPr>
          <w:t>1102</w:t>
        </w:r>
        <w:r w:rsidRPr="00DD3930">
          <w:rPr>
            <w:rStyle w:val="Hyperlink"/>
            <w:rFonts w:ascii="Arial" w:hAnsi="Arial" w:cs="Arial"/>
            <w:sz w:val="20"/>
            <w:szCs w:val="20"/>
          </w:rPr>
          <w:t>/19 – Tribunal Pleno</w:t>
        </w:r>
      </w:hyperlink>
      <w:r w:rsidRPr="00DD3930">
        <w:rPr>
          <w:rFonts w:ascii="Arial" w:hAnsi="Arial" w:cs="Arial"/>
          <w:sz w:val="20"/>
          <w:szCs w:val="20"/>
        </w:rPr>
        <w:t xml:space="preserve"> - Relator Conselheiro </w:t>
      </w:r>
      <w:proofErr w:type="spellStart"/>
      <w:r>
        <w:rPr>
          <w:rFonts w:ascii="Arial" w:hAnsi="Arial" w:cs="Arial"/>
          <w:sz w:val="20"/>
          <w:szCs w:val="20"/>
        </w:rPr>
        <w:t>Artagão</w:t>
      </w:r>
      <w:proofErr w:type="spellEnd"/>
      <w:r>
        <w:rPr>
          <w:rFonts w:ascii="Arial" w:hAnsi="Arial" w:cs="Arial"/>
          <w:sz w:val="20"/>
          <w:szCs w:val="20"/>
        </w:rPr>
        <w:t xml:space="preserve"> de Mattos Leão.</w:t>
      </w:r>
    </w:p>
    <w:p w14:paraId="09C5F011" w14:textId="77777777" w:rsidR="008E3435" w:rsidRPr="00BE7ED0" w:rsidRDefault="008E3435" w:rsidP="0007004D">
      <w:pPr>
        <w:autoSpaceDE w:val="0"/>
        <w:autoSpaceDN w:val="0"/>
        <w:adjustRightInd w:val="0"/>
        <w:spacing w:after="0"/>
        <w:jc w:val="both"/>
        <w:rPr>
          <w:rFonts w:ascii="Arial" w:hAnsi="Arial" w:cs="Arial"/>
          <w:sz w:val="20"/>
          <w:szCs w:val="20"/>
        </w:rPr>
      </w:pPr>
    </w:p>
    <w:p w14:paraId="4A70CAD0" w14:textId="362E850F" w:rsidR="007C18E7" w:rsidRPr="00BE7ED0" w:rsidRDefault="007C18E7" w:rsidP="0007004D">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Observações: </w:t>
      </w:r>
    </w:p>
    <w:p w14:paraId="6421775C" w14:textId="77777777" w:rsidR="007C18E7" w:rsidRPr="00BE7ED0" w:rsidRDefault="007C18E7" w:rsidP="0007004D">
      <w:pPr>
        <w:spacing w:after="0"/>
        <w:rPr>
          <w:rFonts w:ascii="Arial" w:hAnsi="Arial" w:cs="Arial"/>
          <w:b/>
          <w:color w:val="000000"/>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15E1555D" w14:textId="77777777" w:rsidR="00C31BD9" w:rsidRPr="00BE7ED0" w:rsidRDefault="00C31BD9" w:rsidP="0007004D">
      <w:pPr>
        <w:spacing w:after="0"/>
        <w:rPr>
          <w:rFonts w:ascii="Arial" w:hAnsi="Arial" w:cs="Arial"/>
          <w:color w:val="000000"/>
          <w:sz w:val="20"/>
          <w:szCs w:val="20"/>
        </w:rPr>
      </w:pPr>
    </w:p>
    <w:p w14:paraId="72ECF08A" w14:textId="538E51B4" w:rsidR="007C18E7" w:rsidRPr="00BE7ED0" w:rsidRDefault="007C18E7" w:rsidP="0007004D">
      <w:pPr>
        <w:spacing w:after="0"/>
        <w:rPr>
          <w:rFonts w:ascii="Arial" w:hAnsi="Arial" w:cs="Arial"/>
          <w:color w:val="000000"/>
          <w:sz w:val="20"/>
          <w:szCs w:val="20"/>
        </w:rPr>
      </w:pPr>
      <w:r w:rsidRPr="00BE7ED0">
        <w:rPr>
          <w:rFonts w:ascii="Arial" w:hAnsi="Arial" w:cs="Arial"/>
          <w:color w:val="000000"/>
          <w:sz w:val="20"/>
          <w:szCs w:val="20"/>
        </w:rPr>
        <w:t xml:space="preserve">Jurisprudência Selecionada: </w:t>
      </w:r>
    </w:p>
    <w:p w14:paraId="06D4E276" w14:textId="3D1EC4CE" w:rsidR="007C18E7" w:rsidRPr="00BE7ED0" w:rsidRDefault="007C18E7" w:rsidP="0007004D">
      <w:pPr>
        <w:spacing w:after="0"/>
        <w:jc w:val="both"/>
        <w:rPr>
          <w:rFonts w:ascii="Arial" w:hAnsi="Arial" w:cs="Arial"/>
          <w:b/>
          <w:color w:val="000000"/>
          <w:sz w:val="20"/>
          <w:szCs w:val="20"/>
        </w:rPr>
      </w:pPr>
    </w:p>
    <w:p w14:paraId="6070EDDF" w14:textId="308512B0" w:rsidR="00C96BE7" w:rsidRDefault="00DE5EE7" w:rsidP="0007004D">
      <w:pPr>
        <w:spacing w:after="0"/>
        <w:jc w:val="both"/>
        <w:rPr>
          <w:rFonts w:ascii="Arial" w:hAnsi="Arial" w:cs="Arial"/>
          <w:b/>
          <w:color w:val="000000"/>
          <w:sz w:val="20"/>
          <w:szCs w:val="20"/>
        </w:rPr>
      </w:pPr>
      <w:r>
        <w:rPr>
          <w:rFonts w:ascii="Arial" w:hAnsi="Arial" w:cs="Arial"/>
          <w:b/>
          <w:color w:val="000000"/>
          <w:sz w:val="20"/>
          <w:szCs w:val="20"/>
        </w:rPr>
        <w:t>Tribunal de Contas da União</w:t>
      </w:r>
    </w:p>
    <w:p w14:paraId="7C2AA654" w14:textId="0B3BCDCB" w:rsidR="00DE5EE7" w:rsidRPr="0065764C" w:rsidRDefault="00DE5EE7" w:rsidP="0007004D">
      <w:pPr>
        <w:spacing w:after="0"/>
        <w:jc w:val="both"/>
        <w:rPr>
          <w:rFonts w:ascii="Arial" w:hAnsi="Arial" w:cs="Arial"/>
          <w:b/>
          <w:color w:val="000000"/>
          <w:sz w:val="20"/>
          <w:szCs w:val="20"/>
        </w:rPr>
      </w:pPr>
    </w:p>
    <w:p w14:paraId="07CE22CC" w14:textId="68A78D21" w:rsidR="00CD2867" w:rsidRPr="0065764C" w:rsidRDefault="00CD2867" w:rsidP="0007004D">
      <w:pPr>
        <w:autoSpaceDE w:val="0"/>
        <w:autoSpaceDN w:val="0"/>
        <w:adjustRightInd w:val="0"/>
        <w:spacing w:after="0"/>
        <w:jc w:val="both"/>
        <w:rPr>
          <w:rFonts w:ascii="Arial" w:hAnsi="Arial" w:cs="Arial"/>
          <w:sz w:val="20"/>
          <w:szCs w:val="20"/>
        </w:rPr>
      </w:pPr>
      <w:hyperlink r:id="rId18" w:anchor="/documento/acordao-completo/*/NUMACORDAO%253A1033%2520ANOACORDAO%253A2019/DTRELEVANCIA%20desc,%20NUMACORDAOINT%20desc/0/%20?uuid=cc7eec10-8169-11e9-987c-41dcf38852df" w:history="1">
        <w:r w:rsidRPr="0065764C">
          <w:rPr>
            <w:rStyle w:val="Hyperlink"/>
            <w:rFonts w:ascii="Arial" w:hAnsi="Arial" w:cs="Arial"/>
            <w:b/>
            <w:sz w:val="20"/>
            <w:szCs w:val="20"/>
          </w:rPr>
          <w:t>Acórdão 1033/2019 Plenário</w:t>
        </w:r>
      </w:hyperlink>
      <w:r w:rsidRPr="0065764C">
        <w:rPr>
          <w:rFonts w:ascii="Arial" w:hAnsi="Arial" w:cs="Arial"/>
          <w:sz w:val="20"/>
          <w:szCs w:val="20"/>
        </w:rPr>
        <w:t xml:space="preserve"> (Representação, Relator Ministro Aroldo Cedraz) </w:t>
      </w:r>
    </w:p>
    <w:p w14:paraId="64F9CF20" w14:textId="2D4B6F75" w:rsidR="00CD2867" w:rsidRPr="0065764C" w:rsidRDefault="00CD2867" w:rsidP="0007004D">
      <w:pPr>
        <w:autoSpaceDE w:val="0"/>
        <w:autoSpaceDN w:val="0"/>
        <w:adjustRightInd w:val="0"/>
        <w:spacing w:after="0"/>
        <w:jc w:val="both"/>
        <w:rPr>
          <w:rFonts w:ascii="Arial" w:hAnsi="Arial" w:cs="Arial"/>
          <w:sz w:val="20"/>
          <w:szCs w:val="20"/>
        </w:rPr>
      </w:pPr>
      <w:r w:rsidRPr="0065764C">
        <w:rPr>
          <w:rFonts w:ascii="Arial" w:hAnsi="Arial" w:cs="Arial"/>
          <w:b/>
          <w:sz w:val="20"/>
          <w:szCs w:val="20"/>
        </w:rPr>
        <w:t>Contrato Administrativo. Liquidação da despesa. Atestação. Equipamentos. Recebimento. Especificação técnica. Divergência. Princípio da vinculação ao instrumento convocatório</w:t>
      </w:r>
      <w:r w:rsidRPr="0065764C">
        <w:rPr>
          <w:rFonts w:ascii="Arial" w:hAnsi="Arial" w:cs="Arial"/>
          <w:sz w:val="20"/>
          <w:szCs w:val="20"/>
        </w:rPr>
        <w:t>. A aceitação de equipamento diferente daquele constante da proposta do licitante e com características técnicas inferiores às especificações definidas no termo de referência afronta o princípio da vinculação ao instrumento convocatório (</w:t>
      </w:r>
      <w:proofErr w:type="spellStart"/>
      <w:r w:rsidRPr="0065764C">
        <w:rPr>
          <w:rFonts w:ascii="Arial" w:hAnsi="Arial" w:cs="Arial"/>
          <w:sz w:val="20"/>
          <w:szCs w:val="20"/>
        </w:rPr>
        <w:t>arts</w:t>
      </w:r>
      <w:proofErr w:type="spellEnd"/>
      <w:r w:rsidRPr="0065764C">
        <w:rPr>
          <w:rFonts w:ascii="Arial" w:hAnsi="Arial" w:cs="Arial"/>
          <w:sz w:val="20"/>
          <w:szCs w:val="20"/>
        </w:rPr>
        <w:t>. 3º e 41 da Lei 8.666/1993) e o princípio da isonomia, diante da possibilidade de as diferenças técnicas entre os bens influenciar não só no valor das propostas, como também na intenção de potenciais licitantes em participar do certame.</w:t>
      </w:r>
    </w:p>
    <w:p w14:paraId="080D7657" w14:textId="77777777" w:rsidR="00CD2867" w:rsidRPr="0065764C" w:rsidRDefault="00CD2867" w:rsidP="0007004D">
      <w:pPr>
        <w:autoSpaceDE w:val="0"/>
        <w:autoSpaceDN w:val="0"/>
        <w:adjustRightInd w:val="0"/>
        <w:spacing w:after="0"/>
        <w:jc w:val="both"/>
        <w:rPr>
          <w:rFonts w:ascii="Arial" w:hAnsi="Arial" w:cs="Arial"/>
          <w:sz w:val="20"/>
          <w:szCs w:val="20"/>
        </w:rPr>
      </w:pPr>
    </w:p>
    <w:p w14:paraId="1F0BF695" w14:textId="1D35BDCD" w:rsidR="0036625D" w:rsidRDefault="00F54602" w:rsidP="0007004D">
      <w:pPr>
        <w:autoSpaceDE w:val="0"/>
        <w:autoSpaceDN w:val="0"/>
        <w:adjustRightInd w:val="0"/>
        <w:spacing w:after="0"/>
        <w:jc w:val="both"/>
        <w:rPr>
          <w:rFonts w:ascii="Arial" w:hAnsi="Arial" w:cs="Arial"/>
          <w:sz w:val="20"/>
          <w:szCs w:val="20"/>
        </w:rPr>
      </w:pPr>
      <w:hyperlink r:id="rId19" w:anchor="/documento/acordao-completo/*/NUMACORDAO%253A3537%2520ANOACORDAO%253A2019/DTRELEVANCIA%20desc,%20NUMACORDAOINT%20desc/0/%20?uuid=cc7eec10-8169-11e9-987c-41dcf38852df" w:history="1">
        <w:r w:rsidR="00DE5EE7" w:rsidRPr="00187BD5">
          <w:rPr>
            <w:rStyle w:val="Hyperlink"/>
            <w:rFonts w:ascii="Arial" w:hAnsi="Arial" w:cs="Arial"/>
            <w:b/>
            <w:sz w:val="20"/>
            <w:szCs w:val="20"/>
          </w:rPr>
          <w:t>Acórdão 3537/2019 Primeira Câmara</w:t>
        </w:r>
      </w:hyperlink>
      <w:r w:rsidR="00DE5EE7" w:rsidRPr="0065764C">
        <w:rPr>
          <w:rFonts w:ascii="Arial" w:hAnsi="Arial" w:cs="Arial"/>
          <w:sz w:val="20"/>
          <w:szCs w:val="20"/>
        </w:rPr>
        <w:t xml:space="preserve"> (Aposentadoria, Relator Ministro-Substituto </w:t>
      </w:r>
      <w:proofErr w:type="spellStart"/>
      <w:r w:rsidR="00DE5EE7" w:rsidRPr="0065764C">
        <w:rPr>
          <w:rFonts w:ascii="Arial" w:hAnsi="Arial" w:cs="Arial"/>
          <w:sz w:val="20"/>
          <w:szCs w:val="20"/>
        </w:rPr>
        <w:t>Weder</w:t>
      </w:r>
      <w:proofErr w:type="spellEnd"/>
      <w:r w:rsidR="00DE5EE7" w:rsidRPr="0065764C">
        <w:rPr>
          <w:rFonts w:ascii="Arial" w:hAnsi="Arial" w:cs="Arial"/>
          <w:sz w:val="20"/>
          <w:szCs w:val="20"/>
        </w:rPr>
        <w:t xml:space="preserve"> de Oliveira)</w:t>
      </w:r>
      <w:r w:rsidR="0065764C" w:rsidRPr="0065764C">
        <w:rPr>
          <w:rFonts w:ascii="Arial" w:hAnsi="Arial" w:cs="Arial"/>
          <w:sz w:val="20"/>
          <w:szCs w:val="20"/>
        </w:rPr>
        <w:t xml:space="preserve"> </w:t>
      </w:r>
    </w:p>
    <w:p w14:paraId="1052A02B" w14:textId="0B13964E" w:rsidR="00DE5EE7" w:rsidRPr="0065764C" w:rsidRDefault="00DE5EE7" w:rsidP="0007004D">
      <w:pPr>
        <w:autoSpaceDE w:val="0"/>
        <w:autoSpaceDN w:val="0"/>
        <w:adjustRightInd w:val="0"/>
        <w:spacing w:after="0"/>
        <w:jc w:val="both"/>
        <w:rPr>
          <w:rFonts w:ascii="Arial" w:hAnsi="Arial" w:cs="Arial"/>
          <w:sz w:val="20"/>
          <w:szCs w:val="20"/>
        </w:rPr>
      </w:pPr>
      <w:r w:rsidRPr="00B93C23">
        <w:rPr>
          <w:rFonts w:ascii="Arial" w:hAnsi="Arial" w:cs="Arial"/>
          <w:b/>
          <w:sz w:val="20"/>
          <w:szCs w:val="20"/>
        </w:rPr>
        <w:t>Acumulação de cargo público. Profissional da área de saúde. Medicina veterinária</w:t>
      </w:r>
      <w:r w:rsidRPr="0065764C">
        <w:rPr>
          <w:rFonts w:ascii="Arial" w:hAnsi="Arial" w:cs="Arial"/>
          <w:sz w:val="20"/>
          <w:szCs w:val="20"/>
        </w:rPr>
        <w:t>.</w:t>
      </w:r>
      <w:r w:rsidR="0036625D">
        <w:rPr>
          <w:rFonts w:ascii="Arial" w:hAnsi="Arial" w:cs="Arial"/>
          <w:sz w:val="20"/>
          <w:szCs w:val="20"/>
        </w:rPr>
        <w:t xml:space="preserve"> </w:t>
      </w:r>
      <w:r w:rsidRPr="0065764C">
        <w:rPr>
          <w:rFonts w:ascii="Arial" w:hAnsi="Arial" w:cs="Arial"/>
          <w:sz w:val="20"/>
          <w:szCs w:val="20"/>
        </w:rPr>
        <w:t>Para fins da acumulação de cargos públicos de que trata o art. 37, inciso XVI, da Constituição Federal, considera-se privativo de profissional da área de saúde o cargo que exija a formação em medicina veterinária</w:t>
      </w:r>
      <w:r w:rsidRPr="0065764C">
        <w:rPr>
          <w:rFonts w:ascii="Arial" w:hAnsi="Arial" w:cs="Arial"/>
          <w:sz w:val="20"/>
          <w:szCs w:val="20"/>
        </w:rPr>
        <w:t>.</w:t>
      </w:r>
    </w:p>
    <w:p w14:paraId="1DE9B22C" w14:textId="06006928" w:rsidR="00DE5EE7" w:rsidRPr="0065764C" w:rsidRDefault="00DE5EE7" w:rsidP="0007004D">
      <w:pPr>
        <w:autoSpaceDE w:val="0"/>
        <w:autoSpaceDN w:val="0"/>
        <w:adjustRightInd w:val="0"/>
        <w:spacing w:after="0"/>
        <w:jc w:val="both"/>
        <w:rPr>
          <w:rFonts w:ascii="Arial" w:hAnsi="Arial" w:cs="Arial"/>
          <w:sz w:val="20"/>
          <w:szCs w:val="20"/>
        </w:rPr>
      </w:pPr>
    </w:p>
    <w:p w14:paraId="562085CA" w14:textId="72FF6938" w:rsidR="00DE5EE7" w:rsidRPr="0065764C" w:rsidRDefault="00134733" w:rsidP="0007004D">
      <w:pPr>
        <w:autoSpaceDE w:val="0"/>
        <w:autoSpaceDN w:val="0"/>
        <w:adjustRightInd w:val="0"/>
        <w:spacing w:after="0"/>
        <w:jc w:val="both"/>
        <w:rPr>
          <w:rFonts w:ascii="Arial" w:hAnsi="Arial" w:cs="Arial"/>
          <w:sz w:val="20"/>
          <w:szCs w:val="20"/>
        </w:rPr>
      </w:pPr>
      <w:hyperlink r:id="rId20" w:anchor="/documento/acordao-completo/*/NUMACORDAO%253A2805%2520ANOACORDAO%253A2019/DTRELEVANCIA%20desc,%20NUMACORDAOINT%20desc/0/%20?uuid=cc7eec10-8169-11e9-987c-41dcf38852df" w:history="1">
        <w:r w:rsidR="00DE5EE7" w:rsidRPr="00134733">
          <w:rPr>
            <w:rStyle w:val="Hyperlink"/>
            <w:rFonts w:ascii="Arial" w:hAnsi="Arial" w:cs="Arial"/>
            <w:b/>
            <w:sz w:val="20"/>
            <w:szCs w:val="20"/>
          </w:rPr>
          <w:t>Acórdão 2805/2019 Segunda Câmara</w:t>
        </w:r>
      </w:hyperlink>
      <w:r w:rsidR="00DE5EE7" w:rsidRPr="0065764C">
        <w:rPr>
          <w:rFonts w:ascii="Arial" w:hAnsi="Arial" w:cs="Arial"/>
          <w:sz w:val="20"/>
          <w:szCs w:val="20"/>
        </w:rPr>
        <w:t xml:space="preserve"> (Admissão, Relator Ministra Ana Arraes) </w:t>
      </w:r>
    </w:p>
    <w:p w14:paraId="58CEE53E" w14:textId="024560CB" w:rsidR="00DE5EE7" w:rsidRPr="0065764C" w:rsidRDefault="00DE5EE7" w:rsidP="0007004D">
      <w:pPr>
        <w:autoSpaceDE w:val="0"/>
        <w:autoSpaceDN w:val="0"/>
        <w:adjustRightInd w:val="0"/>
        <w:spacing w:after="0"/>
        <w:jc w:val="both"/>
        <w:rPr>
          <w:rFonts w:ascii="Arial" w:hAnsi="Arial" w:cs="Arial"/>
          <w:sz w:val="20"/>
          <w:szCs w:val="20"/>
        </w:rPr>
      </w:pPr>
      <w:r w:rsidRPr="00C97B9D">
        <w:rPr>
          <w:rFonts w:ascii="Arial" w:hAnsi="Arial" w:cs="Arial"/>
          <w:b/>
          <w:sz w:val="20"/>
          <w:szCs w:val="20"/>
        </w:rPr>
        <w:t>Concurso público. Validade. Extinção. Decisão judicial. Admissão de pessoal</w:t>
      </w:r>
      <w:r w:rsidRPr="0065764C">
        <w:rPr>
          <w:rFonts w:ascii="Arial" w:hAnsi="Arial" w:cs="Arial"/>
          <w:sz w:val="20"/>
          <w:szCs w:val="20"/>
        </w:rPr>
        <w:t>. A expiração do prazo de validade de concurso público constitui óbice intransponível ao registro pelo TCU de atos de admissão efetuados posteriormente a essa data, devendo, no entanto, ser assegurada a produção dos efeitos das admissões enquanto subsistir decisão judicial favorável aos interessados.</w:t>
      </w:r>
    </w:p>
    <w:p w14:paraId="6F1F1A7F" w14:textId="38B97B63" w:rsidR="00DE5EE7" w:rsidRDefault="00DE5EE7" w:rsidP="0007004D">
      <w:pPr>
        <w:autoSpaceDE w:val="0"/>
        <w:autoSpaceDN w:val="0"/>
        <w:adjustRightInd w:val="0"/>
        <w:spacing w:after="0"/>
        <w:jc w:val="both"/>
        <w:rPr>
          <w:rFonts w:ascii="Arial" w:hAnsi="Arial" w:cs="Arial"/>
          <w:sz w:val="20"/>
          <w:szCs w:val="20"/>
        </w:rPr>
      </w:pPr>
    </w:p>
    <w:p w14:paraId="252D7D0D" w14:textId="77777777" w:rsidR="007C18E7" w:rsidRPr="00BE7ED0" w:rsidRDefault="007C18E7" w:rsidP="0007004D">
      <w:pPr>
        <w:pStyle w:val="Default"/>
        <w:spacing w:line="276" w:lineRule="auto"/>
        <w:jc w:val="both"/>
        <w:rPr>
          <w:b/>
          <w:sz w:val="20"/>
          <w:szCs w:val="20"/>
        </w:rPr>
      </w:pPr>
      <w:r w:rsidRPr="00BE7ED0">
        <w:rPr>
          <w:b/>
          <w:sz w:val="20"/>
          <w:szCs w:val="20"/>
        </w:rPr>
        <w:t xml:space="preserve">Acesse também: </w:t>
      </w:r>
    </w:p>
    <w:p w14:paraId="5D2329DF" w14:textId="77777777" w:rsidR="007C18E7" w:rsidRPr="00BE7ED0" w:rsidRDefault="00933B64" w:rsidP="0007004D">
      <w:pPr>
        <w:pStyle w:val="Default"/>
        <w:spacing w:line="276" w:lineRule="auto"/>
        <w:jc w:val="center"/>
        <w:rPr>
          <w:rStyle w:val="Hyperlink"/>
          <w:b/>
          <w:sz w:val="20"/>
          <w:szCs w:val="20"/>
        </w:rPr>
      </w:pPr>
      <w:hyperlink r:id="rId21" w:history="1">
        <w:r w:rsidR="007C18E7" w:rsidRPr="00BE7ED0">
          <w:rPr>
            <w:rStyle w:val="Hyperlink"/>
            <w:b/>
            <w:sz w:val="20"/>
            <w:szCs w:val="20"/>
          </w:rPr>
          <w:t>Pesquisas Prontas</w:t>
        </w:r>
      </w:hyperlink>
    </w:p>
    <w:p w14:paraId="290A3B29" w14:textId="77777777" w:rsidR="007C18E7" w:rsidRPr="00BE7ED0" w:rsidRDefault="007C18E7" w:rsidP="0007004D">
      <w:pPr>
        <w:pStyle w:val="Default"/>
        <w:spacing w:line="276" w:lineRule="auto"/>
        <w:jc w:val="center"/>
        <w:rPr>
          <w:rStyle w:val="Hyperlink"/>
          <w:b/>
          <w:sz w:val="20"/>
          <w:szCs w:val="20"/>
        </w:rPr>
      </w:pPr>
    </w:p>
    <w:p w14:paraId="088C63FF" w14:textId="77777777" w:rsidR="007C18E7" w:rsidRPr="00BE7ED0" w:rsidRDefault="00933B64" w:rsidP="0007004D">
      <w:pPr>
        <w:pStyle w:val="Default"/>
        <w:spacing w:line="276" w:lineRule="auto"/>
        <w:jc w:val="center"/>
        <w:rPr>
          <w:rStyle w:val="Hyperlink"/>
          <w:b/>
          <w:sz w:val="20"/>
          <w:szCs w:val="20"/>
        </w:rPr>
      </w:pPr>
      <w:hyperlink r:id="rId22" w:history="1">
        <w:r w:rsidR="007C18E7" w:rsidRPr="00BE7ED0">
          <w:rPr>
            <w:rStyle w:val="Hyperlink"/>
            <w:b/>
            <w:sz w:val="20"/>
            <w:szCs w:val="20"/>
          </w:rPr>
          <w:t>Teses Ambientais</w:t>
        </w:r>
      </w:hyperlink>
      <w:r w:rsidR="007C18E7" w:rsidRPr="00BE7ED0">
        <w:rPr>
          <w:rStyle w:val="Hyperlink"/>
          <w:b/>
          <w:sz w:val="20"/>
          <w:szCs w:val="20"/>
        </w:rPr>
        <w:t xml:space="preserve"> </w:t>
      </w:r>
    </w:p>
    <w:p w14:paraId="0CE4E7C9" w14:textId="77777777" w:rsidR="007C18E7" w:rsidRPr="00BE7ED0" w:rsidRDefault="007C18E7" w:rsidP="0007004D">
      <w:pPr>
        <w:pStyle w:val="Default"/>
        <w:spacing w:line="276" w:lineRule="auto"/>
        <w:jc w:val="center"/>
        <w:rPr>
          <w:rStyle w:val="Hyperlink"/>
          <w:b/>
          <w:sz w:val="20"/>
          <w:szCs w:val="20"/>
        </w:rPr>
      </w:pPr>
    </w:p>
    <w:p w14:paraId="449CBBB2" w14:textId="77777777" w:rsidR="007C18E7" w:rsidRPr="00BE7ED0" w:rsidRDefault="00933B64" w:rsidP="0007004D">
      <w:pPr>
        <w:pStyle w:val="Default"/>
        <w:spacing w:line="276" w:lineRule="auto"/>
        <w:jc w:val="center"/>
        <w:rPr>
          <w:b/>
          <w:sz w:val="20"/>
          <w:szCs w:val="20"/>
        </w:rPr>
      </w:pPr>
      <w:hyperlink r:id="rId23" w:history="1">
        <w:proofErr w:type="spellStart"/>
        <w:r w:rsidR="007C18E7" w:rsidRPr="00BE7ED0">
          <w:rPr>
            <w:rStyle w:val="Hyperlink"/>
            <w:b/>
            <w:sz w:val="20"/>
            <w:szCs w:val="20"/>
          </w:rPr>
          <w:t>Interjuris</w:t>
        </w:r>
        <w:proofErr w:type="spellEnd"/>
      </w:hyperlink>
    </w:p>
    <w:p w14:paraId="4BD985E9" w14:textId="77777777" w:rsidR="007C18E7" w:rsidRPr="00BE7ED0" w:rsidRDefault="007C18E7" w:rsidP="0007004D">
      <w:pPr>
        <w:pStyle w:val="Default"/>
        <w:spacing w:line="276" w:lineRule="auto"/>
        <w:jc w:val="center"/>
        <w:rPr>
          <w:sz w:val="20"/>
          <w:szCs w:val="20"/>
        </w:rPr>
      </w:pPr>
    </w:p>
    <w:p w14:paraId="72F32B36" w14:textId="77777777" w:rsidR="007C18E7" w:rsidRPr="00BE7ED0" w:rsidRDefault="00933B64" w:rsidP="0007004D">
      <w:pPr>
        <w:pStyle w:val="Default"/>
        <w:spacing w:line="276" w:lineRule="auto"/>
        <w:jc w:val="center"/>
        <w:rPr>
          <w:rStyle w:val="Hyperlink"/>
          <w:b/>
          <w:sz w:val="20"/>
          <w:szCs w:val="20"/>
        </w:rPr>
      </w:pPr>
      <w:hyperlink r:id="rId24" w:history="1">
        <w:r w:rsidR="007C18E7" w:rsidRPr="00BE7ED0">
          <w:rPr>
            <w:rStyle w:val="Hyperlink"/>
            <w:b/>
            <w:sz w:val="20"/>
            <w:szCs w:val="20"/>
          </w:rPr>
          <w:t>Repercussão Geral do Supremo Tribunal Federal - STF e os Tribunais de Contas</w:t>
        </w:r>
      </w:hyperlink>
    </w:p>
    <w:p w14:paraId="75CDA236" w14:textId="77777777" w:rsidR="007C18E7" w:rsidRPr="00BE7ED0" w:rsidRDefault="007C18E7" w:rsidP="0007004D">
      <w:pPr>
        <w:pStyle w:val="Default"/>
        <w:spacing w:line="276" w:lineRule="auto"/>
        <w:jc w:val="center"/>
        <w:rPr>
          <w:rStyle w:val="Hyperlink"/>
          <w:b/>
          <w:sz w:val="20"/>
          <w:szCs w:val="20"/>
        </w:rPr>
      </w:pPr>
    </w:p>
    <w:p w14:paraId="6CD4EB86" w14:textId="77777777" w:rsidR="007C18E7" w:rsidRPr="00BE7ED0" w:rsidRDefault="00933B64" w:rsidP="0007004D">
      <w:pPr>
        <w:pStyle w:val="Default"/>
        <w:spacing w:line="276" w:lineRule="auto"/>
        <w:jc w:val="center"/>
        <w:rPr>
          <w:rStyle w:val="Hyperlink"/>
          <w:b/>
          <w:sz w:val="20"/>
          <w:szCs w:val="20"/>
        </w:rPr>
      </w:pPr>
      <w:hyperlink r:id="rId25" w:history="1">
        <w:r w:rsidR="007C18E7" w:rsidRPr="00BE7ED0">
          <w:rPr>
            <w:rStyle w:val="Hyperlink"/>
            <w:b/>
            <w:sz w:val="20"/>
            <w:szCs w:val="20"/>
          </w:rPr>
          <w:t>Súmulas Selecionadas</w:t>
        </w:r>
      </w:hyperlink>
    </w:p>
    <w:p w14:paraId="3F5C61E6" w14:textId="77777777" w:rsidR="007C18E7" w:rsidRPr="00BE7ED0" w:rsidRDefault="007C18E7" w:rsidP="0007004D">
      <w:pPr>
        <w:pStyle w:val="TCU-Epgrafe"/>
        <w:spacing w:line="276" w:lineRule="auto"/>
        <w:ind w:left="0"/>
        <w:rPr>
          <w:rFonts w:ascii="Arial" w:hAnsi="Arial" w:cs="Arial"/>
          <w:sz w:val="20"/>
        </w:rPr>
      </w:pPr>
      <w:r w:rsidRPr="00BE7ED0">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BE7ED0" w:rsidRDefault="007C18E7" w:rsidP="0007004D">
      <w:pPr>
        <w:spacing w:after="0"/>
        <w:jc w:val="center"/>
        <w:rPr>
          <w:rStyle w:val="Hyperlink"/>
          <w:rFonts w:ascii="Arial" w:hAnsi="Arial" w:cs="Arial"/>
          <w:i/>
          <w:color w:val="000000" w:themeColor="text1"/>
          <w:sz w:val="20"/>
          <w:szCs w:val="20"/>
          <w:u w:val="none"/>
        </w:rPr>
      </w:pPr>
    </w:p>
    <w:p w14:paraId="5496FD6E" w14:textId="77777777" w:rsidR="007C18E7" w:rsidRPr="00BE7ED0" w:rsidRDefault="007C18E7" w:rsidP="0007004D">
      <w:pPr>
        <w:spacing w:after="0"/>
        <w:jc w:val="center"/>
        <w:rPr>
          <w:rStyle w:val="Hyperlink"/>
          <w:rFonts w:ascii="Arial" w:hAnsi="Arial" w:cs="Arial"/>
          <w:i/>
          <w:color w:val="auto"/>
          <w:sz w:val="20"/>
          <w:szCs w:val="20"/>
          <w:u w:val="none"/>
        </w:rPr>
      </w:pPr>
      <w:r w:rsidRPr="00BE7ED0">
        <w:rPr>
          <w:rStyle w:val="Hyperlink"/>
          <w:rFonts w:ascii="Arial" w:hAnsi="Arial" w:cs="Arial"/>
          <w:i/>
          <w:color w:val="auto"/>
          <w:sz w:val="20"/>
          <w:szCs w:val="20"/>
          <w:u w:val="none"/>
        </w:rPr>
        <w:t>Elaboração: Escola de Gestão Pública - Jurisprudência</w:t>
      </w:r>
    </w:p>
    <w:p w14:paraId="3F85483E" w14:textId="77777777" w:rsidR="007C18E7" w:rsidRPr="00BE7ED0" w:rsidRDefault="007C18E7" w:rsidP="0007004D">
      <w:pPr>
        <w:spacing w:after="0"/>
        <w:jc w:val="center"/>
        <w:rPr>
          <w:rFonts w:ascii="Arial" w:hAnsi="Arial" w:cs="Arial"/>
          <w:b/>
          <w:sz w:val="20"/>
          <w:szCs w:val="20"/>
        </w:rPr>
      </w:pPr>
      <w:r w:rsidRPr="00BE7ED0">
        <w:rPr>
          <w:rStyle w:val="nfase"/>
          <w:rFonts w:ascii="Arial" w:hAnsi="Arial" w:cs="Arial"/>
          <w:sz w:val="20"/>
          <w:szCs w:val="20"/>
        </w:rPr>
        <w:t>E-mail: jurisprudencia@tce.pr.gov.br</w:t>
      </w:r>
    </w:p>
    <w:p w14:paraId="77313FD9" w14:textId="77777777" w:rsidR="007C18E7" w:rsidRPr="00BE7ED0" w:rsidRDefault="007C18E7" w:rsidP="0007004D">
      <w:pPr>
        <w:widowControl w:val="0"/>
        <w:autoSpaceDE w:val="0"/>
        <w:autoSpaceDN w:val="0"/>
        <w:spacing w:after="0"/>
        <w:jc w:val="both"/>
        <w:rPr>
          <w:rFonts w:ascii="Arial" w:hAnsi="Arial" w:cs="Arial"/>
          <w:b/>
          <w:sz w:val="20"/>
          <w:szCs w:val="20"/>
        </w:rPr>
      </w:pPr>
    </w:p>
    <w:p w14:paraId="376B530E" w14:textId="77777777" w:rsidR="007C18E7" w:rsidRPr="00BE7ED0" w:rsidRDefault="007C18E7" w:rsidP="0007004D">
      <w:pPr>
        <w:spacing w:after="0"/>
        <w:rPr>
          <w:rFonts w:ascii="Arial" w:hAnsi="Arial" w:cs="Arial"/>
          <w:color w:val="000000"/>
          <w:sz w:val="20"/>
          <w:szCs w:val="20"/>
        </w:rPr>
      </w:pPr>
    </w:p>
    <w:p w14:paraId="2B5E173B" w14:textId="77777777" w:rsidR="00E01524" w:rsidRPr="00BE7ED0" w:rsidRDefault="00E01524" w:rsidP="0007004D">
      <w:pPr>
        <w:spacing w:after="0"/>
        <w:rPr>
          <w:rFonts w:ascii="Arial" w:hAnsi="Arial" w:cs="Arial"/>
          <w:sz w:val="20"/>
          <w:szCs w:val="20"/>
        </w:rPr>
      </w:pPr>
    </w:p>
    <w:sectPr w:rsidR="00E01524" w:rsidRPr="00BE7ED0">
      <w:headerReference w:type="default" r:id="rId26"/>
      <w:footerReference w:type="default"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Italic">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10"/>
  </w:num>
  <w:num w:numId="5">
    <w:abstractNumId w:val="11"/>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54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9E5"/>
    <w:rsid w:val="00076184"/>
    <w:rsid w:val="000800D1"/>
    <w:rsid w:val="00081051"/>
    <w:rsid w:val="00081B5D"/>
    <w:rsid w:val="00082716"/>
    <w:rsid w:val="0008272B"/>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20862"/>
    <w:rsid w:val="0012211A"/>
    <w:rsid w:val="00122E13"/>
    <w:rsid w:val="00123D02"/>
    <w:rsid w:val="0012498C"/>
    <w:rsid w:val="00124A0F"/>
    <w:rsid w:val="00126447"/>
    <w:rsid w:val="00127DF2"/>
    <w:rsid w:val="0013071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7BD5"/>
    <w:rsid w:val="00190B94"/>
    <w:rsid w:val="001930D1"/>
    <w:rsid w:val="001942C5"/>
    <w:rsid w:val="00196437"/>
    <w:rsid w:val="001975AB"/>
    <w:rsid w:val="001A0FCC"/>
    <w:rsid w:val="001A16DE"/>
    <w:rsid w:val="001A5D2D"/>
    <w:rsid w:val="001B096B"/>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04BFC"/>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2A2A"/>
    <w:rsid w:val="00252AA5"/>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77"/>
    <w:rsid w:val="0032266D"/>
    <w:rsid w:val="00325E2F"/>
    <w:rsid w:val="003265DB"/>
    <w:rsid w:val="003269A9"/>
    <w:rsid w:val="00327DF9"/>
    <w:rsid w:val="0033073E"/>
    <w:rsid w:val="00331533"/>
    <w:rsid w:val="003319D0"/>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2D5"/>
    <w:rsid w:val="00365E61"/>
    <w:rsid w:val="00365EFF"/>
    <w:rsid w:val="00365F51"/>
    <w:rsid w:val="0036625D"/>
    <w:rsid w:val="00373E05"/>
    <w:rsid w:val="00375692"/>
    <w:rsid w:val="00375DB6"/>
    <w:rsid w:val="0038012F"/>
    <w:rsid w:val="00380BAB"/>
    <w:rsid w:val="00381A0E"/>
    <w:rsid w:val="0038751C"/>
    <w:rsid w:val="0038778B"/>
    <w:rsid w:val="00394451"/>
    <w:rsid w:val="0039584A"/>
    <w:rsid w:val="00395F8B"/>
    <w:rsid w:val="0039625A"/>
    <w:rsid w:val="00396E93"/>
    <w:rsid w:val="003A4828"/>
    <w:rsid w:val="003A64CB"/>
    <w:rsid w:val="003A6622"/>
    <w:rsid w:val="003A673F"/>
    <w:rsid w:val="003B145D"/>
    <w:rsid w:val="003B2612"/>
    <w:rsid w:val="003B4678"/>
    <w:rsid w:val="003B4F77"/>
    <w:rsid w:val="003B502C"/>
    <w:rsid w:val="003C48DF"/>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4BFB"/>
    <w:rsid w:val="003F5060"/>
    <w:rsid w:val="003F5829"/>
    <w:rsid w:val="003F63DA"/>
    <w:rsid w:val="003F677C"/>
    <w:rsid w:val="003F7090"/>
    <w:rsid w:val="00401EE0"/>
    <w:rsid w:val="004043AD"/>
    <w:rsid w:val="00405A6A"/>
    <w:rsid w:val="00406D2C"/>
    <w:rsid w:val="0041120A"/>
    <w:rsid w:val="00411935"/>
    <w:rsid w:val="0041337A"/>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804"/>
    <w:rsid w:val="004A794E"/>
    <w:rsid w:val="004B142E"/>
    <w:rsid w:val="004B3D26"/>
    <w:rsid w:val="004B44C1"/>
    <w:rsid w:val="004B623F"/>
    <w:rsid w:val="004B6EA7"/>
    <w:rsid w:val="004C11DE"/>
    <w:rsid w:val="004C13DB"/>
    <w:rsid w:val="004C3F40"/>
    <w:rsid w:val="004D00EF"/>
    <w:rsid w:val="004D14AD"/>
    <w:rsid w:val="004D2E74"/>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742F"/>
    <w:rsid w:val="005A7C78"/>
    <w:rsid w:val="005B0193"/>
    <w:rsid w:val="005B0873"/>
    <w:rsid w:val="005B4F6C"/>
    <w:rsid w:val="005B7055"/>
    <w:rsid w:val="005C4763"/>
    <w:rsid w:val="005C4DB7"/>
    <w:rsid w:val="005C5DC8"/>
    <w:rsid w:val="005C661E"/>
    <w:rsid w:val="005C7258"/>
    <w:rsid w:val="005D05C6"/>
    <w:rsid w:val="005D1E9E"/>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204C"/>
    <w:rsid w:val="00623188"/>
    <w:rsid w:val="00626DD6"/>
    <w:rsid w:val="0062719D"/>
    <w:rsid w:val="00627316"/>
    <w:rsid w:val="00627FDF"/>
    <w:rsid w:val="00630296"/>
    <w:rsid w:val="006331E3"/>
    <w:rsid w:val="00633776"/>
    <w:rsid w:val="00633C62"/>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5764C"/>
    <w:rsid w:val="00657DDD"/>
    <w:rsid w:val="00660C02"/>
    <w:rsid w:val="0066104E"/>
    <w:rsid w:val="0066130F"/>
    <w:rsid w:val="00662CE0"/>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27BC"/>
    <w:rsid w:val="006A27D6"/>
    <w:rsid w:val="006A3A42"/>
    <w:rsid w:val="006A41B4"/>
    <w:rsid w:val="006A5FD7"/>
    <w:rsid w:val="006A62B0"/>
    <w:rsid w:val="006B143E"/>
    <w:rsid w:val="006B30E3"/>
    <w:rsid w:val="006B5E72"/>
    <w:rsid w:val="006B6205"/>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6974"/>
    <w:rsid w:val="007270DB"/>
    <w:rsid w:val="007306BB"/>
    <w:rsid w:val="007319AD"/>
    <w:rsid w:val="00731AB4"/>
    <w:rsid w:val="00732257"/>
    <w:rsid w:val="00734DDB"/>
    <w:rsid w:val="007400EB"/>
    <w:rsid w:val="00740240"/>
    <w:rsid w:val="0074037C"/>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18E7"/>
    <w:rsid w:val="007C250E"/>
    <w:rsid w:val="007C2CD7"/>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373"/>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28B6"/>
    <w:rsid w:val="00894CA0"/>
    <w:rsid w:val="00895461"/>
    <w:rsid w:val="008957B1"/>
    <w:rsid w:val="00896190"/>
    <w:rsid w:val="00897C5E"/>
    <w:rsid w:val="008A0656"/>
    <w:rsid w:val="008A1517"/>
    <w:rsid w:val="008A2307"/>
    <w:rsid w:val="008A2B8F"/>
    <w:rsid w:val="008A2BB7"/>
    <w:rsid w:val="008A2BC9"/>
    <w:rsid w:val="008A4000"/>
    <w:rsid w:val="008A4A65"/>
    <w:rsid w:val="008A6621"/>
    <w:rsid w:val="008A70A5"/>
    <w:rsid w:val="008B201B"/>
    <w:rsid w:val="008B2D64"/>
    <w:rsid w:val="008B368E"/>
    <w:rsid w:val="008B38A4"/>
    <w:rsid w:val="008B38EE"/>
    <w:rsid w:val="008B4F2F"/>
    <w:rsid w:val="008B55B4"/>
    <w:rsid w:val="008B6A00"/>
    <w:rsid w:val="008C0269"/>
    <w:rsid w:val="008C076F"/>
    <w:rsid w:val="008C257C"/>
    <w:rsid w:val="008D0FDE"/>
    <w:rsid w:val="008D1051"/>
    <w:rsid w:val="008D22BE"/>
    <w:rsid w:val="008D7542"/>
    <w:rsid w:val="008D7F7C"/>
    <w:rsid w:val="008E0835"/>
    <w:rsid w:val="008E16ED"/>
    <w:rsid w:val="008E280E"/>
    <w:rsid w:val="008E2BA7"/>
    <w:rsid w:val="008E3435"/>
    <w:rsid w:val="008E5642"/>
    <w:rsid w:val="008E5CC2"/>
    <w:rsid w:val="008F2E20"/>
    <w:rsid w:val="008F627B"/>
    <w:rsid w:val="0090061C"/>
    <w:rsid w:val="00900BC5"/>
    <w:rsid w:val="00901036"/>
    <w:rsid w:val="009011A0"/>
    <w:rsid w:val="009040F9"/>
    <w:rsid w:val="00904136"/>
    <w:rsid w:val="00904309"/>
    <w:rsid w:val="0090479F"/>
    <w:rsid w:val="00904BFC"/>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8B6"/>
    <w:rsid w:val="00932A3A"/>
    <w:rsid w:val="00933B64"/>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328F"/>
    <w:rsid w:val="00965F52"/>
    <w:rsid w:val="0096737A"/>
    <w:rsid w:val="0097392A"/>
    <w:rsid w:val="00973970"/>
    <w:rsid w:val="00973D15"/>
    <w:rsid w:val="009749C0"/>
    <w:rsid w:val="00977C0A"/>
    <w:rsid w:val="00982FF8"/>
    <w:rsid w:val="00984E8B"/>
    <w:rsid w:val="0098512F"/>
    <w:rsid w:val="0098550A"/>
    <w:rsid w:val="00985728"/>
    <w:rsid w:val="009857DD"/>
    <w:rsid w:val="009859AB"/>
    <w:rsid w:val="00987A4E"/>
    <w:rsid w:val="009907A9"/>
    <w:rsid w:val="00993DE4"/>
    <w:rsid w:val="00993F38"/>
    <w:rsid w:val="00994A4B"/>
    <w:rsid w:val="0099606C"/>
    <w:rsid w:val="00996D25"/>
    <w:rsid w:val="009A043C"/>
    <w:rsid w:val="009A12ED"/>
    <w:rsid w:val="009A201F"/>
    <w:rsid w:val="009A62FC"/>
    <w:rsid w:val="009A6989"/>
    <w:rsid w:val="009A72EB"/>
    <w:rsid w:val="009B105E"/>
    <w:rsid w:val="009B2B4E"/>
    <w:rsid w:val="009B396E"/>
    <w:rsid w:val="009B39A2"/>
    <w:rsid w:val="009B3B97"/>
    <w:rsid w:val="009B49F3"/>
    <w:rsid w:val="009B4E5D"/>
    <w:rsid w:val="009B567A"/>
    <w:rsid w:val="009C29C5"/>
    <w:rsid w:val="009C4680"/>
    <w:rsid w:val="009C5426"/>
    <w:rsid w:val="009C5C75"/>
    <w:rsid w:val="009D1C23"/>
    <w:rsid w:val="009D2A29"/>
    <w:rsid w:val="009D417F"/>
    <w:rsid w:val="009D59DE"/>
    <w:rsid w:val="009E1362"/>
    <w:rsid w:val="009E1848"/>
    <w:rsid w:val="009E1BC1"/>
    <w:rsid w:val="009E1F6B"/>
    <w:rsid w:val="009E3E77"/>
    <w:rsid w:val="009E4DF2"/>
    <w:rsid w:val="009E6D60"/>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7853"/>
    <w:rsid w:val="00B30291"/>
    <w:rsid w:val="00B306F7"/>
    <w:rsid w:val="00B30BB8"/>
    <w:rsid w:val="00B30FE2"/>
    <w:rsid w:val="00B3272E"/>
    <w:rsid w:val="00B32C71"/>
    <w:rsid w:val="00B330C4"/>
    <w:rsid w:val="00B37580"/>
    <w:rsid w:val="00B4137A"/>
    <w:rsid w:val="00B50B77"/>
    <w:rsid w:val="00B51290"/>
    <w:rsid w:val="00B52215"/>
    <w:rsid w:val="00B52C03"/>
    <w:rsid w:val="00B530CA"/>
    <w:rsid w:val="00B53AC4"/>
    <w:rsid w:val="00B54527"/>
    <w:rsid w:val="00B569F8"/>
    <w:rsid w:val="00B57ADA"/>
    <w:rsid w:val="00B61EE9"/>
    <w:rsid w:val="00B6496C"/>
    <w:rsid w:val="00B65962"/>
    <w:rsid w:val="00B66B6C"/>
    <w:rsid w:val="00B7033E"/>
    <w:rsid w:val="00B7071A"/>
    <w:rsid w:val="00B7076B"/>
    <w:rsid w:val="00B71858"/>
    <w:rsid w:val="00B71A39"/>
    <w:rsid w:val="00B721DC"/>
    <w:rsid w:val="00B74715"/>
    <w:rsid w:val="00B7669D"/>
    <w:rsid w:val="00B766D9"/>
    <w:rsid w:val="00B80A28"/>
    <w:rsid w:val="00B82B41"/>
    <w:rsid w:val="00B82D73"/>
    <w:rsid w:val="00B84A2C"/>
    <w:rsid w:val="00B871D6"/>
    <w:rsid w:val="00B87A02"/>
    <w:rsid w:val="00B93557"/>
    <w:rsid w:val="00B93C23"/>
    <w:rsid w:val="00B96204"/>
    <w:rsid w:val="00B97B4D"/>
    <w:rsid w:val="00BA0DCC"/>
    <w:rsid w:val="00BA12A2"/>
    <w:rsid w:val="00BA16EF"/>
    <w:rsid w:val="00BA18D0"/>
    <w:rsid w:val="00BA242E"/>
    <w:rsid w:val="00BA2ABF"/>
    <w:rsid w:val="00BA3317"/>
    <w:rsid w:val="00BA5A9D"/>
    <w:rsid w:val="00BA6363"/>
    <w:rsid w:val="00BB2D9C"/>
    <w:rsid w:val="00BB3512"/>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4F07"/>
    <w:rsid w:val="00C851A6"/>
    <w:rsid w:val="00C855D4"/>
    <w:rsid w:val="00C87639"/>
    <w:rsid w:val="00C90685"/>
    <w:rsid w:val="00C9099A"/>
    <w:rsid w:val="00C9240A"/>
    <w:rsid w:val="00C93D5B"/>
    <w:rsid w:val="00C9442C"/>
    <w:rsid w:val="00C9532C"/>
    <w:rsid w:val="00C95BCF"/>
    <w:rsid w:val="00C95D16"/>
    <w:rsid w:val="00C95DCF"/>
    <w:rsid w:val="00C96BE7"/>
    <w:rsid w:val="00C97B9D"/>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19A0"/>
    <w:rsid w:val="00CC4E55"/>
    <w:rsid w:val="00CC550E"/>
    <w:rsid w:val="00CC5AC6"/>
    <w:rsid w:val="00CD0DCE"/>
    <w:rsid w:val="00CD1628"/>
    <w:rsid w:val="00CD1D27"/>
    <w:rsid w:val="00CD27B7"/>
    <w:rsid w:val="00CD286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5EE7"/>
    <w:rsid w:val="00DE7183"/>
    <w:rsid w:val="00DF1DAC"/>
    <w:rsid w:val="00DF2165"/>
    <w:rsid w:val="00DF5A24"/>
    <w:rsid w:val="00DF60E6"/>
    <w:rsid w:val="00DF6105"/>
    <w:rsid w:val="00DF659E"/>
    <w:rsid w:val="00DF65F7"/>
    <w:rsid w:val="00DF7D50"/>
    <w:rsid w:val="00E01524"/>
    <w:rsid w:val="00E0320F"/>
    <w:rsid w:val="00E07C16"/>
    <w:rsid w:val="00E1021D"/>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A7A"/>
    <w:rsid w:val="00E60419"/>
    <w:rsid w:val="00E60E01"/>
    <w:rsid w:val="00E617D3"/>
    <w:rsid w:val="00E61E36"/>
    <w:rsid w:val="00E633C1"/>
    <w:rsid w:val="00E65532"/>
    <w:rsid w:val="00E667B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C8B"/>
    <w:rsid w:val="00E93D8F"/>
    <w:rsid w:val="00E9531E"/>
    <w:rsid w:val="00E95E41"/>
    <w:rsid w:val="00E95E4C"/>
    <w:rsid w:val="00E977CE"/>
    <w:rsid w:val="00E97E05"/>
    <w:rsid w:val="00EA34E2"/>
    <w:rsid w:val="00EA52D1"/>
    <w:rsid w:val="00EA703E"/>
    <w:rsid w:val="00EA791F"/>
    <w:rsid w:val="00EB4CDC"/>
    <w:rsid w:val="00EB671F"/>
    <w:rsid w:val="00EB70E7"/>
    <w:rsid w:val="00EB76D6"/>
    <w:rsid w:val="00EC02E8"/>
    <w:rsid w:val="00EC1139"/>
    <w:rsid w:val="00EC3842"/>
    <w:rsid w:val="00EC4299"/>
    <w:rsid w:val="00EC49D6"/>
    <w:rsid w:val="00EC4D4D"/>
    <w:rsid w:val="00EC5D5D"/>
    <w:rsid w:val="00EC7908"/>
    <w:rsid w:val="00EC7C2B"/>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601A"/>
    <w:rsid w:val="00F26701"/>
    <w:rsid w:val="00F310D7"/>
    <w:rsid w:val="00F331D6"/>
    <w:rsid w:val="00F368B9"/>
    <w:rsid w:val="00F3739F"/>
    <w:rsid w:val="00F374C1"/>
    <w:rsid w:val="00F37B34"/>
    <w:rsid w:val="00F37C53"/>
    <w:rsid w:val="00F41C34"/>
    <w:rsid w:val="00F4212F"/>
    <w:rsid w:val="00F43D9F"/>
    <w:rsid w:val="00F447DB"/>
    <w:rsid w:val="00F447FA"/>
    <w:rsid w:val="00F44BD1"/>
    <w:rsid w:val="00F469B9"/>
    <w:rsid w:val="00F46C32"/>
    <w:rsid w:val="00F46ECB"/>
    <w:rsid w:val="00F50F94"/>
    <w:rsid w:val="00F525B5"/>
    <w:rsid w:val="00F53D53"/>
    <w:rsid w:val="00F543B9"/>
    <w:rsid w:val="00F54602"/>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F8B"/>
    <w:rsid w:val="00FC0FC4"/>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8A1"/>
    <w:rsid w:val="00FE7B14"/>
    <w:rsid w:val="00FF02D5"/>
    <w:rsid w:val="00FF084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4305"/>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4/pdf/00336005.pdf" TargetMode="External"/><Relationship Id="rId13" Type="http://schemas.openxmlformats.org/officeDocument/2006/relationships/hyperlink" Target="http://www1.tce.pr.gov.br/multimidia/2019/5/pdf/00336282.pdf" TargetMode="External"/><Relationship Id="rId18" Type="http://schemas.openxmlformats.org/officeDocument/2006/relationships/hyperlink" Target="https://pesquisa.apps.tcu.gov.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1.tce.pr.gov.br/conteudo/pesquisas-prontas/308475/area/249" TargetMode="External"/><Relationship Id="rId7" Type="http://schemas.openxmlformats.org/officeDocument/2006/relationships/endnotes" Target="endnotes.xml"/><Relationship Id="rId12" Type="http://schemas.openxmlformats.org/officeDocument/2006/relationships/hyperlink" Target="http://www1.tce.pr.gov.br/multimidia/2019/5/pdf/00336288.pdf" TargetMode="External"/><Relationship Id="rId17" Type="http://schemas.openxmlformats.org/officeDocument/2006/relationships/hyperlink" Target="http://www1.tce.pr.gov.br/multimidia/2019/5/pdf/00336392.pdf" TargetMode="External"/><Relationship Id="rId25"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www1.tce.pr.gov.br/multimidia/2019/5/pdf/00336396.pdf" TargetMode="External"/><Relationship Id="rId20" Type="http://schemas.openxmlformats.org/officeDocument/2006/relationships/hyperlink" Target="https://pesquisa.apps.tcu.gov.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4/pdf/00336034.pdf" TargetMode="External"/><Relationship Id="rId24" Type="http://schemas.openxmlformats.org/officeDocument/2006/relationships/hyperlink" Target="http://www1.tce.pr.gov.br/conteudo/repercussao-geral-no-stf-e-os-tribunais-de-contas/307026/area/249" TargetMode="External"/><Relationship Id="rId5" Type="http://schemas.openxmlformats.org/officeDocument/2006/relationships/webSettings" Target="webSettings.xml"/><Relationship Id="rId15" Type="http://schemas.openxmlformats.org/officeDocument/2006/relationships/hyperlink" Target="http://www1.tce.pr.gov.br/multimidia/2019/5/pdf/00336296.pdf" TargetMode="External"/><Relationship Id="rId23" Type="http://schemas.openxmlformats.org/officeDocument/2006/relationships/hyperlink" Target="http://www1.tce.pr.gov.br/conteudo/boletim-de-jurisprudencia-internacional/316601/area/249" TargetMode="External"/><Relationship Id="rId28" Type="http://schemas.openxmlformats.org/officeDocument/2006/relationships/fontTable" Target="fontTable.xml"/><Relationship Id="rId10" Type="http://schemas.openxmlformats.org/officeDocument/2006/relationships/hyperlink" Target="http://www1.tce.pr.gov.br/multimidia/2019/4/pdf/00335956.pdf" TargetMode="External"/><Relationship Id="rId19" Type="http://schemas.openxmlformats.org/officeDocument/2006/relationships/hyperlink" Target="https://pesquisa.apps.tcu.gov.br/" TargetMode="External"/><Relationship Id="rId4" Type="http://schemas.openxmlformats.org/officeDocument/2006/relationships/settings" Target="settings.xml"/><Relationship Id="rId9" Type="http://schemas.openxmlformats.org/officeDocument/2006/relationships/hyperlink" Target="http://www1.tce.pr.gov.br/multimidia/2019/4/pdf/00335950.pdf" TargetMode="External"/><Relationship Id="rId14" Type="http://schemas.openxmlformats.org/officeDocument/2006/relationships/hyperlink" Target="http://www1.tce.pr.gov.br/multimidia/2019/5/pdf/00336274.pdf" TargetMode="External"/><Relationship Id="rId22" Type="http://schemas.openxmlformats.org/officeDocument/2006/relationships/hyperlink" Target="http://www1.tce.pr.gov.br/conteudo/teses-ambientais/316603/area/249"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674A9-5C73-4D97-B9D9-B4351A34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2967</Words>
  <Characters>16025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20</cp:revision>
  <cp:lastPrinted>2019-04-17T13:57:00Z</cp:lastPrinted>
  <dcterms:created xsi:type="dcterms:W3CDTF">2019-05-28T15:32:00Z</dcterms:created>
  <dcterms:modified xsi:type="dcterms:W3CDTF">2019-05-28T17:11:00Z</dcterms:modified>
</cp:coreProperties>
</file>