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FF0846" w:rsidRPr="0022060B">
        <w:rPr>
          <w:rFonts w:ascii="Arial" w:hAnsi="Arial" w:cs="Arial"/>
          <w:b/>
          <w:sz w:val="20"/>
          <w:szCs w:val="20"/>
        </w:rPr>
        <w:t>1</w:t>
      </w:r>
      <w:r w:rsidR="00814325">
        <w:rPr>
          <w:rFonts w:ascii="Arial" w:hAnsi="Arial" w:cs="Arial"/>
          <w:b/>
          <w:sz w:val="20"/>
          <w:szCs w:val="20"/>
        </w:rPr>
        <w:t>7</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814325">
        <w:rPr>
          <w:rFonts w:ascii="Arial" w:hAnsi="Arial" w:cs="Arial"/>
          <w:b/>
          <w:sz w:val="20"/>
          <w:szCs w:val="20"/>
        </w:rPr>
        <w:t>06.06</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814325">
        <w:rPr>
          <w:rFonts w:ascii="Arial" w:hAnsi="Arial" w:cs="Arial"/>
          <w:b/>
          <w:sz w:val="20"/>
          <w:szCs w:val="20"/>
        </w:rPr>
        <w:t>14</w:t>
      </w:r>
      <w:r w:rsidR="005A0FD0" w:rsidRPr="0022060B">
        <w:rPr>
          <w:rFonts w:ascii="Arial" w:hAnsi="Arial" w:cs="Arial"/>
          <w:b/>
          <w:sz w:val="20"/>
          <w:szCs w:val="20"/>
        </w:rPr>
        <w:t>.0</w:t>
      </w:r>
      <w:r w:rsidR="006F08D4">
        <w:rPr>
          <w:rFonts w:ascii="Arial" w:hAnsi="Arial" w:cs="Arial"/>
          <w:b/>
          <w:sz w:val="20"/>
          <w:szCs w:val="20"/>
        </w:rPr>
        <w:t>6</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C267C">
      <w:pPr>
        <w:shd w:val="pct10" w:color="auto" w:fill="auto"/>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Tomada de Contas Extraordinária. Administração Pública. Cargo Público. Cargo em Comissão. Direção. Escolaridade. Princípio da eficiência.</w:t>
      </w:r>
    </w:p>
    <w:p w:rsidR="00142E01" w:rsidRPr="00565735"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Tomada de Contas Extraordinária. Transferência voluntária celebrada entre Município e Associação de Assistência Hospitalar. Pagamento/reembolso de despesas atinentes à taxa de administração sem previsão contratual e sem comprovação das despesas realizadas em afronta a Resolução nº 03/2006 e Resolução nº 28/2011. Pagamento de multas e juros em afronta ao disposto na Resolução nº 28/2011. Irregularidade das contas. Recolhimento parcial de recursos. Aplicação de multa administrativa.</w:t>
      </w:r>
    </w:p>
    <w:p w:rsidR="00142E01" w:rsidRPr="00565735"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Aposentadoria municipal voluntária integral, requerida com fundamento no art. 3º da EC 47/05. Inclusão integral de verba transitória em desacordo com o Princípio Contributivo e com o entendimento deste Tribunal, consignado no Acórdão nº 3155/14-Pleno. Negativa de registro e expedição de determinação.</w:t>
      </w:r>
    </w:p>
    <w:p w:rsidR="00142E01" w:rsidRPr="00565735"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Prestação de Contas Anual. Licitação. Aquisição de produtos. Divisão em lotes. Viabilidade econômica. Viabilidade técnica. Vantagem para a administração. Critérios razoáveis.</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 xml:space="preserve">Processo de Servidor do Tribunal. Administração Pública. Servidor Público. Licença maternidade. Gratificação. Gerência. Permissão legal. </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Processo de Servidor do Tribunal. Administração Pública. Servidor Público. Aposentadoria. Cargo em comissão. Cumulação. Impossibilidade.</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lastRenderedPageBreak/>
        <w:t xml:space="preserve">Prestação de Contas Municipal. Parecer Prévio pela Irregularidade das contas em razão da falta de aplicação de 60% dos recursos do FUNDEB para o magistério. Pagamento de estagiários não faz parte da base de cálculo. Aplicação de multa. </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Aposentadoria Estadual. Auditor Fiscal. Lei Complementar Estadual nº 92/2002 e nº 131/2010. Princípio da segurança jurídica e boa-fé do administrado. Registro do ato de inativação.</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070929"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sidRPr="00142E01">
        <w:rPr>
          <w:rFonts w:ascii="Arial" w:hAnsi="Arial" w:cs="Arial"/>
          <w:sz w:val="20"/>
          <w:szCs w:val="20"/>
        </w:rPr>
        <w:t>Tomada de contas extraordinária. Contratação direta. Empresa Pública. Medida cautelar. Concessão. Plausibilidade de direito e perigo da demora presentes. Suspensão dos pagamentos pendentes. Medida homologada pelo colegiado.</w:t>
      </w:r>
    </w:p>
    <w:p w:rsidR="00142E01" w:rsidRPr="00142E01" w:rsidRDefault="00142E01" w:rsidP="00B667D4">
      <w:pPr>
        <w:autoSpaceDE w:val="0"/>
        <w:autoSpaceDN w:val="0"/>
        <w:adjustRightInd w:val="0"/>
        <w:spacing w:after="0"/>
        <w:jc w:val="both"/>
        <w:rPr>
          <w:rFonts w:ascii="Arial" w:hAnsi="Arial" w:cs="Arial"/>
          <w:sz w:val="20"/>
          <w:szCs w:val="20"/>
        </w:rPr>
      </w:pPr>
    </w:p>
    <w:p w:rsidR="00070929" w:rsidRDefault="00B667D4"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Pr>
          <w:rFonts w:ascii="Arial" w:hAnsi="Arial" w:cs="Arial"/>
          <w:sz w:val="20"/>
          <w:szCs w:val="20"/>
        </w:rPr>
        <w:t xml:space="preserve"> </w:t>
      </w:r>
      <w:r w:rsidR="00070929" w:rsidRPr="00142E01">
        <w:rPr>
          <w:rFonts w:ascii="Arial" w:hAnsi="Arial" w:cs="Arial"/>
          <w:sz w:val="20"/>
          <w:szCs w:val="20"/>
        </w:rPr>
        <w:t xml:space="preserve">Representação da Lei nº8666/93. Pregão nº 11/2017 do Município de Maringá para a contratação de empresa para fornecimento de cartão alimentação aos servidores municipais. Jurisprudência desta Corte de Contas e do Tribunal de Contas da União que entende ser possível a exigência de apresentação de rede credenciada no momento da contratação.  Pela improcedência. </w:t>
      </w:r>
    </w:p>
    <w:p w:rsidR="00B667D4" w:rsidRPr="00B667D4" w:rsidRDefault="00B667D4" w:rsidP="00B667D4">
      <w:pPr>
        <w:pStyle w:val="PargrafodaLista"/>
        <w:spacing w:after="0"/>
        <w:contextualSpacing w:val="0"/>
        <w:rPr>
          <w:rFonts w:ascii="Arial" w:hAnsi="Arial" w:cs="Arial"/>
          <w:sz w:val="20"/>
          <w:szCs w:val="20"/>
        </w:rPr>
      </w:pPr>
    </w:p>
    <w:p w:rsidR="00070929" w:rsidRPr="00142E01" w:rsidRDefault="00B667D4"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Pr>
          <w:rFonts w:ascii="Arial" w:hAnsi="Arial" w:cs="Arial"/>
          <w:sz w:val="20"/>
          <w:szCs w:val="20"/>
        </w:rPr>
        <w:t xml:space="preserve"> </w:t>
      </w:r>
      <w:r w:rsidR="00070929" w:rsidRPr="00142E01">
        <w:rPr>
          <w:rFonts w:ascii="Arial" w:hAnsi="Arial" w:cs="Arial"/>
          <w:sz w:val="20"/>
          <w:szCs w:val="20"/>
        </w:rPr>
        <w:t xml:space="preserve">Pedido de Rescisão. Ausência de Certificado de Regularidade Previdenciária. Mero parcelamento dos débitos que não tem o condão de afastar o dever de juntada da CRP atinente ao exercício financeiro em questão. Não procedência da Rescisória quanto a este apontamento. </w:t>
      </w:r>
    </w:p>
    <w:p w:rsidR="00142E01" w:rsidRDefault="00142E01" w:rsidP="00B667D4">
      <w:pPr>
        <w:autoSpaceDE w:val="0"/>
        <w:autoSpaceDN w:val="0"/>
        <w:adjustRightInd w:val="0"/>
        <w:spacing w:after="0"/>
        <w:jc w:val="both"/>
        <w:rPr>
          <w:rFonts w:ascii="Arial" w:hAnsi="Arial" w:cs="Arial"/>
          <w:sz w:val="20"/>
          <w:szCs w:val="20"/>
        </w:rPr>
      </w:pPr>
    </w:p>
    <w:p w:rsidR="00070929" w:rsidRPr="00142E01" w:rsidRDefault="00B667D4" w:rsidP="00B667D4">
      <w:pPr>
        <w:pStyle w:val="PargrafodaLista"/>
        <w:numPr>
          <w:ilvl w:val="0"/>
          <w:numId w:val="13"/>
        </w:numPr>
        <w:tabs>
          <w:tab w:val="left" w:pos="284"/>
        </w:tabs>
        <w:autoSpaceDE w:val="0"/>
        <w:autoSpaceDN w:val="0"/>
        <w:adjustRightInd w:val="0"/>
        <w:spacing w:after="0"/>
        <w:ind w:left="0" w:firstLine="0"/>
        <w:contextualSpacing w:val="0"/>
        <w:jc w:val="both"/>
        <w:rPr>
          <w:rFonts w:ascii="Arial" w:hAnsi="Arial" w:cs="Arial"/>
          <w:sz w:val="20"/>
          <w:szCs w:val="20"/>
        </w:rPr>
      </w:pPr>
      <w:r>
        <w:rPr>
          <w:rFonts w:ascii="Arial" w:hAnsi="Arial" w:cs="Arial"/>
          <w:sz w:val="20"/>
          <w:szCs w:val="20"/>
        </w:rPr>
        <w:t xml:space="preserve"> </w:t>
      </w:r>
      <w:r w:rsidR="00070929" w:rsidRPr="00142E01">
        <w:rPr>
          <w:rFonts w:ascii="Arial" w:hAnsi="Arial" w:cs="Arial"/>
          <w:sz w:val="20"/>
          <w:szCs w:val="20"/>
        </w:rPr>
        <w:t xml:space="preserve">Representação da Lei nº 8666/93. Pregão Presencial. Contratação de fornecimento de refeições aos servidores do Hospital Universitário. Exigência de participação de empresa com estrutura física em Londrina na fase de habilitação. Comprometimento do caráter competitivo. Pela procedência com aplicação de multa à Reitora. </w:t>
      </w:r>
    </w:p>
    <w:p w:rsidR="004429A2" w:rsidRPr="0022060B" w:rsidRDefault="004429A2" w:rsidP="00B667D4">
      <w:pPr>
        <w:spacing w:after="0"/>
        <w:jc w:val="both"/>
        <w:rPr>
          <w:rStyle w:val="Hyperlink"/>
          <w:rFonts w:ascii="Arial" w:hAnsi="Arial" w:cs="Arial"/>
          <w:b/>
          <w:color w:val="000000" w:themeColor="text1"/>
          <w:sz w:val="20"/>
          <w:szCs w:val="20"/>
          <w:u w:val="none"/>
        </w:rPr>
      </w:pPr>
    </w:p>
    <w:p w:rsidR="00712A93" w:rsidRPr="0022060B" w:rsidRDefault="00712A93" w:rsidP="0049496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494962" w:rsidRDefault="00494962" w:rsidP="00494962">
      <w:pPr>
        <w:autoSpaceDE w:val="0"/>
        <w:autoSpaceDN w:val="0"/>
        <w:adjustRightInd w:val="0"/>
        <w:spacing w:after="0"/>
        <w:jc w:val="both"/>
        <w:rPr>
          <w:rFonts w:ascii="Arial" w:hAnsi="Arial" w:cs="Arial"/>
          <w:b/>
          <w:sz w:val="20"/>
          <w:szCs w:val="20"/>
        </w:rPr>
      </w:pPr>
    </w:p>
    <w:p w:rsidR="005F7E35"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1</w:t>
      </w:r>
      <w:r w:rsidR="00CE09E0">
        <w:rPr>
          <w:rFonts w:ascii="Arial" w:hAnsi="Arial" w:cs="Arial"/>
          <w:b/>
          <w:sz w:val="20"/>
          <w:szCs w:val="20"/>
        </w:rPr>
        <w:t>.</w:t>
      </w:r>
      <w:r>
        <w:rPr>
          <w:rFonts w:ascii="Arial" w:hAnsi="Arial" w:cs="Arial"/>
          <w:b/>
          <w:sz w:val="20"/>
          <w:szCs w:val="20"/>
        </w:rPr>
        <w:t xml:space="preserve"> </w:t>
      </w:r>
      <w:r w:rsidR="00A72D42" w:rsidRPr="00907AF8">
        <w:rPr>
          <w:rFonts w:ascii="Arial" w:hAnsi="Arial" w:cs="Arial"/>
          <w:b/>
          <w:sz w:val="20"/>
          <w:szCs w:val="20"/>
        </w:rPr>
        <w:t>Tomada de Contas Extraordinária.</w:t>
      </w:r>
      <w:r w:rsidR="00C441CB">
        <w:rPr>
          <w:rFonts w:ascii="Arial" w:hAnsi="Arial" w:cs="Arial"/>
          <w:b/>
          <w:sz w:val="20"/>
          <w:szCs w:val="20"/>
        </w:rPr>
        <w:t xml:space="preserve"> Administração Pública. Cargo Público. Cargo em Comissão. Direção. Escolaridade. Princípio da eficiência.</w:t>
      </w:r>
    </w:p>
    <w:p w:rsidR="00B667D4" w:rsidRPr="00907AF8" w:rsidRDefault="00B667D4" w:rsidP="00494962">
      <w:pPr>
        <w:autoSpaceDE w:val="0"/>
        <w:autoSpaceDN w:val="0"/>
        <w:adjustRightInd w:val="0"/>
        <w:spacing w:after="0"/>
        <w:jc w:val="both"/>
        <w:rPr>
          <w:rFonts w:ascii="Arial" w:hAnsi="Arial" w:cs="Arial"/>
          <w:b/>
          <w:sz w:val="20"/>
          <w:szCs w:val="20"/>
        </w:rPr>
      </w:pPr>
    </w:p>
    <w:p w:rsidR="00A72D42" w:rsidRPr="00A72D42" w:rsidRDefault="00A72D42" w:rsidP="00494962">
      <w:pPr>
        <w:autoSpaceDE w:val="0"/>
        <w:autoSpaceDN w:val="0"/>
        <w:adjustRightInd w:val="0"/>
        <w:spacing w:after="0"/>
        <w:jc w:val="both"/>
        <w:rPr>
          <w:rFonts w:ascii="Arial" w:hAnsi="Arial" w:cs="Arial"/>
          <w:sz w:val="20"/>
          <w:szCs w:val="20"/>
        </w:rPr>
      </w:pPr>
      <w:r w:rsidRPr="00A72D42">
        <w:rPr>
          <w:rFonts w:ascii="Arial" w:hAnsi="Arial" w:cs="Arial"/>
          <w:sz w:val="20"/>
          <w:szCs w:val="20"/>
        </w:rPr>
        <w:t>A nomeação de servidor para cargo em comissão de diretoria exige o preenchimento, por parte do ocupante, de requisitos de escolaridade compatíveis com o exercício do cargo, em respeito ao princípio da eficiência da administração pública, previsto no artigo 37 da Constituição Federal. Assim, afronta os princípios da administração pública a nomeação, para o exercício de cargo em comissão de direção, de pessoa com escolaridade notoriamente inferior ao necessário para o cargo.</w:t>
      </w:r>
    </w:p>
    <w:p w:rsidR="007E005E" w:rsidRDefault="007E005E" w:rsidP="00494962">
      <w:pPr>
        <w:autoSpaceDE w:val="0"/>
        <w:autoSpaceDN w:val="0"/>
        <w:adjustRightInd w:val="0"/>
        <w:spacing w:after="0"/>
        <w:jc w:val="both"/>
        <w:rPr>
          <w:rFonts w:ascii="Arial" w:hAnsi="Arial" w:cs="Arial"/>
          <w:sz w:val="20"/>
          <w:szCs w:val="20"/>
        </w:rPr>
      </w:pPr>
    </w:p>
    <w:p w:rsidR="00907AF8" w:rsidRDefault="00907AF8" w:rsidP="00494962">
      <w:pPr>
        <w:autoSpaceDE w:val="0"/>
        <w:autoSpaceDN w:val="0"/>
        <w:adjustRightInd w:val="0"/>
        <w:spacing w:after="0"/>
        <w:jc w:val="both"/>
        <w:rPr>
          <w:rFonts w:ascii="Arial" w:hAnsi="Arial" w:cs="Arial"/>
          <w:sz w:val="20"/>
          <w:szCs w:val="20"/>
        </w:rPr>
      </w:pPr>
      <w:r w:rsidRPr="0017659B">
        <w:rPr>
          <w:rFonts w:ascii="Arial" w:hAnsi="Arial" w:cs="Arial"/>
          <w:sz w:val="20"/>
          <w:szCs w:val="20"/>
        </w:rPr>
        <w:t xml:space="preserve">Processo n° </w:t>
      </w:r>
      <w:r w:rsidR="00567ECB">
        <w:rPr>
          <w:rFonts w:ascii="Arial" w:hAnsi="Arial" w:cs="Arial"/>
          <w:sz w:val="20"/>
          <w:szCs w:val="20"/>
        </w:rPr>
        <w:t>360820</w:t>
      </w:r>
      <w:r w:rsidRPr="0017659B">
        <w:rPr>
          <w:rFonts w:ascii="Arial" w:hAnsi="Arial" w:cs="Arial"/>
          <w:sz w:val="20"/>
          <w:szCs w:val="20"/>
        </w:rPr>
        <w:t>/</w:t>
      </w:r>
      <w:r w:rsidR="00567ECB">
        <w:rPr>
          <w:rFonts w:ascii="Arial" w:hAnsi="Arial" w:cs="Arial"/>
          <w:sz w:val="20"/>
          <w:szCs w:val="20"/>
        </w:rPr>
        <w:t>09</w:t>
      </w:r>
      <w:r w:rsidR="00B667D4">
        <w:rPr>
          <w:rFonts w:ascii="Arial" w:hAnsi="Arial" w:cs="Arial"/>
          <w:sz w:val="20"/>
          <w:szCs w:val="20"/>
        </w:rPr>
        <w:t xml:space="preserve">. </w:t>
      </w:r>
      <w:hyperlink r:id="rId8" w:history="1">
        <w:r w:rsidRPr="00567ECB">
          <w:rPr>
            <w:rStyle w:val="Hyperlink"/>
            <w:rFonts w:ascii="Arial" w:hAnsi="Arial" w:cs="Arial"/>
            <w:sz w:val="20"/>
            <w:szCs w:val="20"/>
          </w:rPr>
          <w:t>Acórdão n° 26</w:t>
        </w:r>
        <w:r w:rsidR="00567ECB" w:rsidRPr="00567ECB">
          <w:rPr>
            <w:rStyle w:val="Hyperlink"/>
            <w:rFonts w:ascii="Arial" w:hAnsi="Arial" w:cs="Arial"/>
            <w:sz w:val="20"/>
            <w:szCs w:val="20"/>
          </w:rPr>
          <w:t>0</w:t>
        </w:r>
        <w:r w:rsidRPr="00567ECB">
          <w:rPr>
            <w:rStyle w:val="Hyperlink"/>
            <w:rFonts w:ascii="Arial" w:hAnsi="Arial" w:cs="Arial"/>
            <w:sz w:val="20"/>
            <w:szCs w:val="20"/>
          </w:rPr>
          <w:t xml:space="preserve">4/17 </w:t>
        </w:r>
        <w:r w:rsidR="00B667D4">
          <w:rPr>
            <w:rStyle w:val="Hyperlink"/>
            <w:rFonts w:ascii="Arial" w:hAnsi="Arial" w:cs="Arial"/>
            <w:sz w:val="20"/>
            <w:szCs w:val="20"/>
          </w:rPr>
          <w:t>-</w:t>
        </w:r>
        <w:r w:rsidRPr="00567ECB">
          <w:rPr>
            <w:rStyle w:val="Hyperlink"/>
            <w:rFonts w:ascii="Arial" w:hAnsi="Arial" w:cs="Arial"/>
            <w:sz w:val="20"/>
            <w:szCs w:val="20"/>
          </w:rPr>
          <w:t xml:space="preserve"> Primeira Câmara</w:t>
        </w:r>
      </w:hyperlink>
      <w:r>
        <w:rPr>
          <w:rFonts w:ascii="Arial" w:hAnsi="Arial" w:cs="Arial"/>
          <w:sz w:val="20"/>
          <w:szCs w:val="20"/>
        </w:rPr>
        <w:t>. Relator Cons</w:t>
      </w:r>
      <w:r w:rsidR="00B667D4">
        <w:rPr>
          <w:rFonts w:ascii="Arial" w:hAnsi="Arial" w:cs="Arial"/>
          <w:sz w:val="20"/>
          <w:szCs w:val="20"/>
        </w:rPr>
        <w:t>elheiro</w:t>
      </w:r>
      <w:r>
        <w:rPr>
          <w:rFonts w:ascii="Arial" w:hAnsi="Arial" w:cs="Arial"/>
          <w:sz w:val="20"/>
          <w:szCs w:val="20"/>
        </w:rPr>
        <w:t xml:space="preserve"> Nestor Batista. </w:t>
      </w:r>
    </w:p>
    <w:p w:rsidR="00DB28E6" w:rsidRDefault="00DB28E6" w:rsidP="00494962">
      <w:pPr>
        <w:autoSpaceDE w:val="0"/>
        <w:autoSpaceDN w:val="0"/>
        <w:adjustRightInd w:val="0"/>
        <w:spacing w:after="0"/>
        <w:jc w:val="both"/>
        <w:rPr>
          <w:rFonts w:ascii="Arial" w:hAnsi="Arial" w:cs="Arial"/>
          <w:sz w:val="20"/>
          <w:szCs w:val="20"/>
        </w:rPr>
      </w:pPr>
    </w:p>
    <w:p w:rsidR="00794E33" w:rsidRPr="00030A22"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2</w:t>
      </w:r>
      <w:r w:rsidR="00CE09E0">
        <w:rPr>
          <w:rFonts w:ascii="Arial" w:hAnsi="Arial" w:cs="Arial"/>
          <w:b/>
          <w:sz w:val="20"/>
          <w:szCs w:val="20"/>
        </w:rPr>
        <w:t>.</w:t>
      </w:r>
      <w:r>
        <w:rPr>
          <w:rFonts w:ascii="Arial" w:hAnsi="Arial" w:cs="Arial"/>
          <w:b/>
          <w:sz w:val="20"/>
          <w:szCs w:val="20"/>
        </w:rPr>
        <w:t xml:space="preserve"> </w:t>
      </w:r>
      <w:r w:rsidR="00794E33" w:rsidRPr="00030A22">
        <w:rPr>
          <w:rFonts w:ascii="Arial" w:hAnsi="Arial" w:cs="Arial"/>
          <w:b/>
          <w:sz w:val="20"/>
          <w:szCs w:val="20"/>
        </w:rPr>
        <w:t>Tomada de Contas Extraordinária. Transferência voluntária celebrada entre Município e Associação de Assistência Hospitalar. Pagamento/reembolso de despesas atinentes à taxa de administração sem previsão contratual e sem comprovação das despesas realizadas em afronta a Resolução nº 03/2006 e Resolução nº 28/2011. Pagamento de multas e juros em afronta ao disposto na Resolução nº 28/2011. Irregularidade das contas. Recolhimento parcial de recursos. Aplicação de multa administrativa.</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I</w:t>
      </w:r>
      <w:r w:rsidRPr="00030A22">
        <w:rPr>
          <w:rFonts w:ascii="Arial" w:hAnsi="Arial" w:cs="Arial"/>
          <w:sz w:val="20"/>
          <w:szCs w:val="20"/>
        </w:rPr>
        <w:t xml:space="preserve">nadmissível o repasse de valores realizados pela Administração Municipal à </w:t>
      </w:r>
      <w:r>
        <w:rPr>
          <w:rFonts w:ascii="Arial" w:hAnsi="Arial" w:cs="Arial"/>
          <w:sz w:val="20"/>
          <w:szCs w:val="20"/>
        </w:rPr>
        <w:t>entidade</w:t>
      </w:r>
      <w:r w:rsidRPr="00030A22">
        <w:rPr>
          <w:rFonts w:ascii="Arial" w:hAnsi="Arial" w:cs="Arial"/>
          <w:sz w:val="20"/>
          <w:szCs w:val="20"/>
        </w:rPr>
        <w:t xml:space="preserve">, com base em planilha que não demonstra sequer os critérios utilizados, tampouco a especificação detalhada, devidamente acompanhada dos seus respectivos comprovantes, </w:t>
      </w:r>
      <w:r>
        <w:rPr>
          <w:rFonts w:ascii="Arial" w:hAnsi="Arial" w:cs="Arial"/>
          <w:sz w:val="20"/>
          <w:szCs w:val="20"/>
        </w:rPr>
        <w:t xml:space="preserve">com </w:t>
      </w:r>
      <w:r w:rsidRPr="00030A22">
        <w:rPr>
          <w:rFonts w:ascii="Arial" w:hAnsi="Arial" w:cs="Arial"/>
          <w:sz w:val="20"/>
          <w:szCs w:val="20"/>
        </w:rPr>
        <w:t>a mínima forma capaz de vincular tais gastos à execução do objeto contratado.</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Assim, </w:t>
      </w:r>
      <w:r w:rsidRPr="00030A22">
        <w:rPr>
          <w:rFonts w:ascii="Arial" w:hAnsi="Arial" w:cs="Arial"/>
          <w:sz w:val="20"/>
          <w:szCs w:val="20"/>
        </w:rPr>
        <w:t xml:space="preserve">não se trata da impossibilidade da incidência de taxa de administração, em contrário, </w:t>
      </w:r>
      <w:r>
        <w:rPr>
          <w:rFonts w:ascii="Arial" w:hAnsi="Arial" w:cs="Arial"/>
          <w:sz w:val="20"/>
          <w:szCs w:val="20"/>
        </w:rPr>
        <w:t xml:space="preserve">a mesma é devida </w:t>
      </w:r>
      <w:r w:rsidRPr="00030A22">
        <w:rPr>
          <w:rFonts w:ascii="Arial" w:hAnsi="Arial" w:cs="Arial"/>
          <w:sz w:val="20"/>
          <w:szCs w:val="20"/>
        </w:rPr>
        <w:t xml:space="preserve">em contratos de parceria, </w:t>
      </w:r>
      <w:r>
        <w:rPr>
          <w:rFonts w:ascii="Arial" w:hAnsi="Arial" w:cs="Arial"/>
          <w:sz w:val="20"/>
          <w:szCs w:val="20"/>
        </w:rPr>
        <w:t xml:space="preserve">desde que </w:t>
      </w:r>
      <w:r w:rsidRPr="00030A22">
        <w:rPr>
          <w:rFonts w:ascii="Arial" w:hAnsi="Arial" w:cs="Arial"/>
          <w:sz w:val="20"/>
          <w:szCs w:val="20"/>
        </w:rPr>
        <w:t>atrelada diretamente ao detalhamento pormenorizado, ou seja, de onde se possa auferir uma a uma as despesas efetuadas, acompanhadas de seus correspondentes comprovantes de despesa.</w:t>
      </w:r>
    </w:p>
    <w:p w:rsidR="00794E33" w:rsidRPr="00030A22"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030A22">
        <w:rPr>
          <w:rFonts w:ascii="Arial" w:hAnsi="Arial" w:cs="Arial"/>
          <w:sz w:val="20"/>
          <w:szCs w:val="20"/>
        </w:rPr>
        <w:t>A Administração Pública e a</w:t>
      </w:r>
      <w:r>
        <w:rPr>
          <w:rFonts w:ascii="Arial" w:hAnsi="Arial" w:cs="Arial"/>
          <w:sz w:val="20"/>
          <w:szCs w:val="20"/>
        </w:rPr>
        <w:t xml:space="preserve"> entidade </w:t>
      </w:r>
      <w:r w:rsidRPr="00030A22">
        <w:rPr>
          <w:rFonts w:ascii="Arial" w:hAnsi="Arial" w:cs="Arial"/>
          <w:sz w:val="20"/>
          <w:szCs w:val="20"/>
        </w:rPr>
        <w:t>deixaram de apresentar eventuais relatórios e/ou planilhas outros</w:t>
      </w:r>
      <w:r w:rsidR="00163804">
        <w:rPr>
          <w:rFonts w:ascii="Arial" w:hAnsi="Arial" w:cs="Arial"/>
          <w:sz w:val="20"/>
          <w:szCs w:val="20"/>
        </w:rPr>
        <w:t xml:space="preserve"> </w:t>
      </w:r>
      <w:r w:rsidRPr="00030A22">
        <w:rPr>
          <w:rFonts w:ascii="Arial" w:hAnsi="Arial" w:cs="Arial"/>
          <w:sz w:val="20"/>
          <w:szCs w:val="20"/>
        </w:rPr>
        <w:t>(as) que subsidiassem as despesas realizadas no período, o que poderia atender aos dispositivos legais pertinentes quanto aos repasses mensalmente realizados.</w:t>
      </w:r>
    </w:p>
    <w:p w:rsidR="00794E33" w:rsidRPr="00030A22" w:rsidRDefault="00794E33" w:rsidP="00494962">
      <w:pPr>
        <w:autoSpaceDE w:val="0"/>
        <w:autoSpaceDN w:val="0"/>
        <w:adjustRightInd w:val="0"/>
        <w:spacing w:after="0"/>
        <w:jc w:val="both"/>
        <w:rPr>
          <w:rFonts w:ascii="Arial" w:hAnsi="Arial" w:cs="Arial"/>
          <w:sz w:val="20"/>
          <w:szCs w:val="20"/>
        </w:rPr>
      </w:pPr>
    </w:p>
    <w:p w:rsidR="00794E33" w:rsidRPr="00030A22" w:rsidRDefault="00794E33" w:rsidP="00494962">
      <w:pPr>
        <w:autoSpaceDE w:val="0"/>
        <w:autoSpaceDN w:val="0"/>
        <w:adjustRightInd w:val="0"/>
        <w:spacing w:after="0"/>
        <w:jc w:val="both"/>
        <w:rPr>
          <w:rFonts w:ascii="Arial" w:hAnsi="Arial" w:cs="Arial"/>
          <w:sz w:val="20"/>
          <w:szCs w:val="20"/>
        </w:rPr>
      </w:pPr>
      <w:r w:rsidRPr="00030A22">
        <w:rPr>
          <w:rFonts w:ascii="Arial" w:hAnsi="Arial" w:cs="Arial"/>
          <w:sz w:val="20"/>
          <w:szCs w:val="20"/>
        </w:rPr>
        <w:t>Pelas razões elencadas, entend</w:t>
      </w:r>
      <w:r>
        <w:rPr>
          <w:rFonts w:ascii="Arial" w:hAnsi="Arial" w:cs="Arial"/>
          <w:sz w:val="20"/>
          <w:szCs w:val="20"/>
        </w:rPr>
        <w:t xml:space="preserve">eu-se </w:t>
      </w:r>
      <w:r w:rsidRPr="00030A22">
        <w:rPr>
          <w:rFonts w:ascii="Arial" w:hAnsi="Arial" w:cs="Arial"/>
          <w:sz w:val="20"/>
          <w:szCs w:val="20"/>
        </w:rPr>
        <w:t>devida a restituição do valor de</w:t>
      </w:r>
      <w:r>
        <w:rPr>
          <w:rFonts w:ascii="Arial" w:hAnsi="Arial" w:cs="Arial"/>
          <w:sz w:val="20"/>
          <w:szCs w:val="20"/>
        </w:rPr>
        <w:t xml:space="preserve"> </w:t>
      </w:r>
      <w:r w:rsidRPr="00030A22">
        <w:rPr>
          <w:rFonts w:ascii="Arial" w:hAnsi="Arial" w:cs="Arial"/>
          <w:sz w:val="20"/>
          <w:szCs w:val="20"/>
        </w:rPr>
        <w:t>R$ 2.296.627,21 (dois milhões, duzentos e noventa e seis mil, seiscentos e vinte e</w:t>
      </w:r>
      <w:r>
        <w:rPr>
          <w:rFonts w:ascii="Arial" w:hAnsi="Arial" w:cs="Arial"/>
          <w:sz w:val="20"/>
          <w:szCs w:val="20"/>
        </w:rPr>
        <w:t xml:space="preserve"> </w:t>
      </w:r>
      <w:r w:rsidRPr="00030A22">
        <w:rPr>
          <w:rFonts w:ascii="Arial" w:hAnsi="Arial" w:cs="Arial"/>
          <w:sz w:val="20"/>
          <w:szCs w:val="20"/>
        </w:rPr>
        <w:t>sete reais e vinte e um centavos) aos cofres públicos, devidamente corrigidos, de</w:t>
      </w:r>
      <w:r>
        <w:rPr>
          <w:rFonts w:ascii="Arial" w:hAnsi="Arial" w:cs="Arial"/>
          <w:sz w:val="20"/>
          <w:szCs w:val="20"/>
        </w:rPr>
        <w:t xml:space="preserve"> </w:t>
      </w:r>
      <w:r w:rsidRPr="00030A22">
        <w:rPr>
          <w:rFonts w:ascii="Arial" w:hAnsi="Arial" w:cs="Arial"/>
          <w:sz w:val="20"/>
          <w:szCs w:val="20"/>
        </w:rPr>
        <w:t>forma solidária</w:t>
      </w:r>
      <w:r>
        <w:rPr>
          <w:rFonts w:ascii="Arial" w:hAnsi="Arial" w:cs="Arial"/>
          <w:sz w:val="20"/>
          <w:szCs w:val="20"/>
        </w:rPr>
        <w:t xml:space="preserve"> pelos responsáveis </w:t>
      </w:r>
      <w:r w:rsidRPr="00030A22">
        <w:rPr>
          <w:rFonts w:ascii="Arial" w:hAnsi="Arial" w:cs="Arial"/>
          <w:sz w:val="20"/>
          <w:szCs w:val="20"/>
        </w:rPr>
        <w:t>em razão da</w:t>
      </w:r>
    </w:p>
    <w:p w:rsidR="00794E33" w:rsidRPr="00030A22" w:rsidRDefault="00794E33" w:rsidP="00494962">
      <w:pPr>
        <w:autoSpaceDE w:val="0"/>
        <w:autoSpaceDN w:val="0"/>
        <w:adjustRightInd w:val="0"/>
        <w:spacing w:after="0"/>
        <w:jc w:val="both"/>
        <w:rPr>
          <w:rFonts w:ascii="Arial" w:hAnsi="Arial" w:cs="Arial"/>
          <w:sz w:val="20"/>
          <w:szCs w:val="20"/>
        </w:rPr>
      </w:pPr>
      <w:proofErr w:type="gramStart"/>
      <w:r w:rsidRPr="00030A22">
        <w:rPr>
          <w:rFonts w:ascii="Arial" w:hAnsi="Arial" w:cs="Arial"/>
          <w:sz w:val="20"/>
          <w:szCs w:val="20"/>
        </w:rPr>
        <w:t>realização</w:t>
      </w:r>
      <w:proofErr w:type="gramEnd"/>
      <w:r w:rsidRPr="00030A22">
        <w:rPr>
          <w:rFonts w:ascii="Arial" w:hAnsi="Arial" w:cs="Arial"/>
          <w:sz w:val="20"/>
          <w:szCs w:val="20"/>
        </w:rPr>
        <w:t xml:space="preserve"> de despesas a título de taxas administrativas sem a previsão contratual</w:t>
      </w:r>
      <w:r>
        <w:rPr>
          <w:rFonts w:ascii="Arial" w:hAnsi="Arial" w:cs="Arial"/>
          <w:sz w:val="20"/>
          <w:szCs w:val="20"/>
        </w:rPr>
        <w:t xml:space="preserve"> </w:t>
      </w:r>
      <w:r w:rsidRPr="00030A22">
        <w:rPr>
          <w:rFonts w:ascii="Arial" w:hAnsi="Arial" w:cs="Arial"/>
          <w:sz w:val="20"/>
          <w:szCs w:val="20"/>
        </w:rPr>
        <w:t>das mesmas e sem a comprovação do caráter indenizatório dos dispêndios</w:t>
      </w:r>
      <w:r>
        <w:rPr>
          <w:rFonts w:ascii="Arial" w:hAnsi="Arial" w:cs="Arial"/>
          <w:sz w:val="20"/>
          <w:szCs w:val="20"/>
        </w:rPr>
        <w:t xml:space="preserve">. </w:t>
      </w:r>
      <w:r w:rsidRPr="00030A22">
        <w:rPr>
          <w:rFonts w:ascii="Arial" w:hAnsi="Arial" w:cs="Arial"/>
          <w:sz w:val="20"/>
          <w:szCs w:val="20"/>
        </w:rPr>
        <w:t xml:space="preserve"> </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69116-0/13. </w:t>
      </w:r>
      <w:hyperlink r:id="rId9" w:history="1">
        <w:r w:rsidRPr="00BC1BAD">
          <w:rPr>
            <w:rStyle w:val="Hyperlink"/>
            <w:rFonts w:ascii="Arial" w:hAnsi="Arial" w:cs="Arial"/>
            <w:sz w:val="20"/>
            <w:szCs w:val="20"/>
          </w:rPr>
          <w:t>Acórdão n° 2581/17 - Primeira Câmara</w:t>
        </w:r>
      </w:hyperlink>
      <w:r>
        <w:rPr>
          <w:rFonts w:ascii="Arial" w:hAnsi="Arial" w:cs="Arial"/>
          <w:sz w:val="20"/>
          <w:szCs w:val="20"/>
        </w:rPr>
        <w:t>. Rel. Cons. Fernando Augusto Mello Guimarães.</w:t>
      </w:r>
    </w:p>
    <w:p w:rsidR="00794E33" w:rsidRDefault="00794E33" w:rsidP="00494962">
      <w:pPr>
        <w:autoSpaceDE w:val="0"/>
        <w:autoSpaceDN w:val="0"/>
        <w:adjustRightInd w:val="0"/>
        <w:spacing w:after="0"/>
        <w:jc w:val="both"/>
        <w:rPr>
          <w:rFonts w:ascii="Arial" w:hAnsi="Arial" w:cs="Arial"/>
          <w:sz w:val="20"/>
          <w:szCs w:val="20"/>
        </w:rPr>
      </w:pPr>
    </w:p>
    <w:p w:rsidR="00794E33"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CE09E0">
        <w:rPr>
          <w:rFonts w:ascii="Arial" w:hAnsi="Arial" w:cs="Arial"/>
          <w:b/>
          <w:sz w:val="20"/>
          <w:szCs w:val="20"/>
        </w:rPr>
        <w:t>.</w:t>
      </w:r>
      <w:r>
        <w:rPr>
          <w:rFonts w:ascii="Arial" w:hAnsi="Arial" w:cs="Arial"/>
          <w:b/>
          <w:sz w:val="20"/>
          <w:szCs w:val="20"/>
        </w:rPr>
        <w:t xml:space="preserve"> </w:t>
      </w:r>
      <w:r w:rsidR="00794E33" w:rsidRPr="00786603">
        <w:rPr>
          <w:rFonts w:ascii="Arial" w:hAnsi="Arial" w:cs="Arial"/>
          <w:b/>
          <w:sz w:val="20"/>
          <w:szCs w:val="20"/>
        </w:rPr>
        <w:t>Aposentadoria municipal voluntária integral, requerida com fun</w:t>
      </w:r>
      <w:bookmarkStart w:id="0" w:name="_GoBack"/>
      <w:bookmarkEnd w:id="0"/>
      <w:r w:rsidR="00794E33" w:rsidRPr="00786603">
        <w:rPr>
          <w:rFonts w:ascii="Arial" w:hAnsi="Arial" w:cs="Arial"/>
          <w:b/>
          <w:sz w:val="20"/>
          <w:szCs w:val="20"/>
        </w:rPr>
        <w:t>damento no art. 3º da EC 47/05. Inclusão integral de verba transitória em desacordo com o Princípio Contributivo e com o entendimento deste Tribunal, consignado no Acórdão nº 3155/14-Pleno. Negativa de registro e expedição de determinação.</w:t>
      </w:r>
    </w:p>
    <w:p w:rsidR="00794E33" w:rsidRDefault="00794E33" w:rsidP="00494962">
      <w:pPr>
        <w:autoSpaceDE w:val="0"/>
        <w:autoSpaceDN w:val="0"/>
        <w:adjustRightInd w:val="0"/>
        <w:spacing w:after="0"/>
        <w:jc w:val="both"/>
        <w:rPr>
          <w:rFonts w:ascii="Arial" w:hAnsi="Arial" w:cs="Arial"/>
          <w:b/>
          <w:sz w:val="20"/>
          <w:szCs w:val="20"/>
        </w:rPr>
      </w:pPr>
    </w:p>
    <w:p w:rsidR="00794E33" w:rsidRPr="00786603" w:rsidRDefault="00794E33" w:rsidP="00494962">
      <w:pPr>
        <w:autoSpaceDE w:val="0"/>
        <w:autoSpaceDN w:val="0"/>
        <w:adjustRightInd w:val="0"/>
        <w:spacing w:after="0"/>
        <w:jc w:val="both"/>
        <w:rPr>
          <w:rFonts w:ascii="Arial" w:hAnsi="Arial" w:cs="Arial"/>
          <w:sz w:val="20"/>
          <w:szCs w:val="20"/>
        </w:rPr>
      </w:pPr>
      <w:r w:rsidRPr="00786603">
        <w:rPr>
          <w:rFonts w:ascii="Arial" w:hAnsi="Arial" w:cs="Arial"/>
          <w:sz w:val="20"/>
          <w:szCs w:val="20"/>
        </w:rPr>
        <w:t xml:space="preserve">No presente caso, durante parte de sua vida funcional o servidor ocupou função de confiança, em decorrência do que recebeu </w:t>
      </w:r>
      <w:r w:rsidRPr="00786603">
        <w:rPr>
          <w:rFonts w:ascii="Arial" w:hAnsi="Arial" w:cs="Arial"/>
          <w:bCs/>
          <w:i/>
          <w:iCs/>
          <w:sz w:val="20"/>
          <w:szCs w:val="20"/>
        </w:rPr>
        <w:t xml:space="preserve">vantagem </w:t>
      </w:r>
      <w:r w:rsidRPr="00786603">
        <w:rPr>
          <w:rFonts w:ascii="Arial" w:hAnsi="Arial" w:cs="Arial"/>
          <w:i/>
          <w:iCs/>
          <w:sz w:val="20"/>
          <w:szCs w:val="20"/>
        </w:rPr>
        <w:t xml:space="preserve">pecuniária de </w:t>
      </w:r>
      <w:r w:rsidRPr="00786603">
        <w:rPr>
          <w:rFonts w:ascii="Arial" w:hAnsi="Arial" w:cs="Arial"/>
          <w:bCs/>
          <w:i/>
          <w:iCs/>
          <w:sz w:val="20"/>
          <w:szCs w:val="20"/>
        </w:rPr>
        <w:t>caráter excepcional e transitório</w:t>
      </w:r>
      <w:r w:rsidRPr="00786603">
        <w:rPr>
          <w:rFonts w:ascii="Arial" w:hAnsi="Arial" w:cs="Arial"/>
          <w:sz w:val="20"/>
          <w:szCs w:val="20"/>
        </w:rPr>
        <w:t>, sobre a qual supostamente incidiu contribuição previdenciária - fatos a serem comprovados pelo Município quando da reapresentação dos novos cálculos do benefício previdenciário.</w:t>
      </w:r>
    </w:p>
    <w:p w:rsidR="00794E33" w:rsidRPr="00786603" w:rsidRDefault="00794E33" w:rsidP="00494962">
      <w:pPr>
        <w:autoSpaceDE w:val="0"/>
        <w:autoSpaceDN w:val="0"/>
        <w:adjustRightInd w:val="0"/>
        <w:spacing w:after="0"/>
        <w:jc w:val="both"/>
        <w:rPr>
          <w:rFonts w:ascii="Arial" w:hAnsi="Arial" w:cs="Arial"/>
          <w:sz w:val="20"/>
          <w:szCs w:val="20"/>
        </w:rPr>
      </w:pPr>
    </w:p>
    <w:p w:rsidR="00794E33" w:rsidRPr="00786603" w:rsidRDefault="00794E33" w:rsidP="00494962">
      <w:pPr>
        <w:autoSpaceDE w:val="0"/>
        <w:autoSpaceDN w:val="0"/>
        <w:adjustRightInd w:val="0"/>
        <w:spacing w:after="0"/>
        <w:jc w:val="both"/>
        <w:rPr>
          <w:rFonts w:ascii="Arial" w:hAnsi="Arial" w:cs="Arial"/>
          <w:sz w:val="20"/>
          <w:szCs w:val="20"/>
        </w:rPr>
      </w:pPr>
      <w:r w:rsidRPr="00786603">
        <w:rPr>
          <w:rFonts w:ascii="Arial" w:hAnsi="Arial" w:cs="Arial"/>
          <w:sz w:val="20"/>
          <w:szCs w:val="20"/>
        </w:rPr>
        <w:t xml:space="preserve">Tais períodos de exercício de função de confiança e as respectivas contribuições devem ser levados em conta para o cálculo do benefício previdenciário atribuído, mediante </w:t>
      </w:r>
      <w:proofErr w:type="spellStart"/>
      <w:r w:rsidRPr="00786603">
        <w:rPr>
          <w:rFonts w:ascii="Arial" w:hAnsi="Arial" w:cs="Arial"/>
          <w:sz w:val="20"/>
          <w:szCs w:val="20"/>
        </w:rPr>
        <w:lastRenderedPageBreak/>
        <w:t>proporcionalização</w:t>
      </w:r>
      <w:proofErr w:type="spellEnd"/>
      <w:r w:rsidRPr="00786603">
        <w:rPr>
          <w:rFonts w:ascii="Arial" w:hAnsi="Arial" w:cs="Arial"/>
          <w:sz w:val="20"/>
          <w:szCs w:val="20"/>
        </w:rPr>
        <w:t xml:space="preserve"> do valor da diferença ao tempo de contribuição, inclusive em consonância com o decidido no </w:t>
      </w:r>
      <w:r w:rsidRPr="00786603">
        <w:rPr>
          <w:rFonts w:ascii="Arial" w:hAnsi="Arial" w:cs="Arial"/>
          <w:bCs/>
          <w:sz w:val="20"/>
          <w:szCs w:val="20"/>
        </w:rPr>
        <w:t>Acórdão nº 3155/14-Pleno</w:t>
      </w:r>
      <w:r w:rsidRPr="00786603">
        <w:rPr>
          <w:rFonts w:ascii="Arial" w:hAnsi="Arial" w:cs="Arial"/>
          <w:sz w:val="20"/>
          <w:szCs w:val="20"/>
        </w:rPr>
        <w:t>, o qual, tratando especificamente da aplicação do direito adquirido à incorporação de verbas transitórias</w:t>
      </w:r>
      <w:r>
        <w:rPr>
          <w:rFonts w:ascii="Arial" w:hAnsi="Arial" w:cs="Arial"/>
          <w:sz w:val="20"/>
          <w:szCs w:val="20"/>
        </w:rPr>
        <w:t xml:space="preserve">. </w:t>
      </w:r>
      <w:r w:rsidRPr="00786603">
        <w:rPr>
          <w:rFonts w:ascii="Arial" w:hAnsi="Arial" w:cs="Arial"/>
          <w:sz w:val="20"/>
          <w:szCs w:val="20"/>
        </w:rPr>
        <w:t xml:space="preserve">Portanto, em homenagem ao princípio contributivo, não pode ser acolhido o cálculo do ente público, sem à devida </w:t>
      </w:r>
      <w:proofErr w:type="spellStart"/>
      <w:r w:rsidRPr="00786603">
        <w:rPr>
          <w:rFonts w:ascii="Arial" w:hAnsi="Arial" w:cs="Arial"/>
          <w:sz w:val="20"/>
          <w:szCs w:val="20"/>
        </w:rPr>
        <w:t>proporcionalização</w:t>
      </w:r>
      <w:proofErr w:type="spellEnd"/>
      <w:r w:rsidRPr="00786603">
        <w:rPr>
          <w:rFonts w:ascii="Arial" w:hAnsi="Arial" w:cs="Arial"/>
          <w:sz w:val="20"/>
          <w:szCs w:val="20"/>
        </w:rPr>
        <w:t xml:space="preserve"> dos valores ao período do recebimento regular da verba transitória, incorporando-o integralmente</w:t>
      </w:r>
    </w:p>
    <w:p w:rsidR="00794E33" w:rsidRPr="00786603" w:rsidRDefault="00794E33" w:rsidP="00494962">
      <w:pPr>
        <w:autoSpaceDE w:val="0"/>
        <w:autoSpaceDN w:val="0"/>
        <w:adjustRightInd w:val="0"/>
        <w:spacing w:after="0"/>
        <w:jc w:val="both"/>
        <w:rPr>
          <w:rFonts w:ascii="Arial" w:hAnsi="Arial" w:cs="Arial"/>
          <w:sz w:val="20"/>
          <w:szCs w:val="20"/>
        </w:rPr>
      </w:pPr>
      <w:proofErr w:type="gramStart"/>
      <w:r w:rsidRPr="00786603">
        <w:rPr>
          <w:rFonts w:ascii="Arial" w:hAnsi="Arial" w:cs="Arial"/>
          <w:sz w:val="20"/>
          <w:szCs w:val="20"/>
        </w:rPr>
        <w:t>ao</w:t>
      </w:r>
      <w:proofErr w:type="gramEnd"/>
      <w:r w:rsidRPr="00786603">
        <w:rPr>
          <w:rFonts w:ascii="Arial" w:hAnsi="Arial" w:cs="Arial"/>
          <w:sz w:val="20"/>
          <w:szCs w:val="20"/>
        </w:rPr>
        <w:t xml:space="preserve"> valor do benefício previdenciário.</w:t>
      </w:r>
    </w:p>
    <w:p w:rsidR="00794E33" w:rsidRPr="0078660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bCs/>
          <w:sz w:val="20"/>
          <w:szCs w:val="20"/>
        </w:rPr>
      </w:pPr>
      <w:r w:rsidRPr="00786603">
        <w:rPr>
          <w:rFonts w:ascii="Arial" w:hAnsi="Arial" w:cs="Arial"/>
          <w:sz w:val="20"/>
          <w:szCs w:val="20"/>
        </w:rPr>
        <w:t xml:space="preserve">Especificamente quanto ao artigo 54 da Lei nº 1.232/94-E, na parte em que prevê a incorporação de verbas transitórias à remuneração e, também, na parte em que, pela via reflexa, prevê a incorporação aos benefícios previdenciários dela decorrentes, </w:t>
      </w:r>
      <w:r w:rsidRPr="00786603">
        <w:rPr>
          <w:rFonts w:ascii="Arial" w:hAnsi="Arial" w:cs="Arial"/>
          <w:bCs/>
          <w:sz w:val="20"/>
          <w:szCs w:val="20"/>
        </w:rPr>
        <w:t>não foi recepcionado pelo novo regime jurídico instituído pela Emenda nº 20/98.</w:t>
      </w:r>
    </w:p>
    <w:p w:rsidR="00794E33" w:rsidRDefault="00794E33" w:rsidP="00494962">
      <w:pPr>
        <w:autoSpaceDE w:val="0"/>
        <w:autoSpaceDN w:val="0"/>
        <w:adjustRightInd w:val="0"/>
        <w:spacing w:after="0"/>
        <w:jc w:val="both"/>
        <w:rPr>
          <w:rFonts w:ascii="Arial" w:hAnsi="Arial" w:cs="Arial"/>
          <w:bCs/>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A86D5A">
        <w:rPr>
          <w:rFonts w:ascii="Arial" w:hAnsi="Arial" w:cs="Arial"/>
          <w:sz w:val="20"/>
          <w:szCs w:val="20"/>
        </w:rPr>
        <w:t>Encontra-se contrária aos comandos constitucionais vigentes</w:t>
      </w:r>
      <w:r>
        <w:rPr>
          <w:rFonts w:ascii="Arial" w:hAnsi="Arial" w:cs="Arial"/>
          <w:sz w:val="20"/>
          <w:szCs w:val="20"/>
        </w:rPr>
        <w:t xml:space="preserve"> </w:t>
      </w:r>
      <w:r w:rsidRPr="00A86D5A">
        <w:rPr>
          <w:rFonts w:ascii="Arial" w:hAnsi="Arial" w:cs="Arial"/>
          <w:sz w:val="20"/>
          <w:szCs w:val="20"/>
        </w:rPr>
        <w:t>qualquer disposição de norma infraconstitucional que permita a incorporação</w:t>
      </w:r>
      <w:r>
        <w:rPr>
          <w:rFonts w:ascii="Arial" w:hAnsi="Arial" w:cs="Arial"/>
          <w:sz w:val="20"/>
          <w:szCs w:val="20"/>
        </w:rPr>
        <w:t xml:space="preserve"> </w:t>
      </w:r>
      <w:r w:rsidRPr="00A86D5A">
        <w:rPr>
          <w:rFonts w:ascii="Arial" w:hAnsi="Arial" w:cs="Arial"/>
          <w:sz w:val="20"/>
          <w:szCs w:val="20"/>
        </w:rPr>
        <w:t>definitiva à remuneração do servidor, de verbas transitórias, relacionadas ou não</w:t>
      </w:r>
      <w:r>
        <w:rPr>
          <w:rFonts w:ascii="Arial" w:hAnsi="Arial" w:cs="Arial"/>
          <w:sz w:val="20"/>
          <w:szCs w:val="20"/>
        </w:rPr>
        <w:t xml:space="preserve"> </w:t>
      </w:r>
      <w:r w:rsidRPr="00A86D5A">
        <w:rPr>
          <w:rFonts w:ascii="Arial" w:hAnsi="Arial" w:cs="Arial"/>
          <w:sz w:val="20"/>
          <w:szCs w:val="20"/>
        </w:rPr>
        <w:t>ao exercício de funções de confiança, por caracterizar pagamento de valores não previstos como remuneração do cargo, nos termos fixados pelo artigo 37, X, e</w:t>
      </w:r>
      <w:r>
        <w:rPr>
          <w:rFonts w:ascii="Arial" w:hAnsi="Arial" w:cs="Arial"/>
          <w:sz w:val="20"/>
          <w:szCs w:val="20"/>
        </w:rPr>
        <w:t xml:space="preserve"> </w:t>
      </w:r>
      <w:r w:rsidRPr="00A86D5A">
        <w:rPr>
          <w:rFonts w:ascii="Arial" w:hAnsi="Arial" w:cs="Arial"/>
          <w:sz w:val="20"/>
          <w:szCs w:val="20"/>
        </w:rPr>
        <w:t>desprovidos da contraprestação fática que justifique o dispêndio dos recursos</w:t>
      </w:r>
      <w:r>
        <w:rPr>
          <w:rFonts w:ascii="Arial" w:hAnsi="Arial" w:cs="Arial"/>
          <w:sz w:val="20"/>
          <w:szCs w:val="20"/>
        </w:rPr>
        <w:t xml:space="preserve"> </w:t>
      </w:r>
      <w:r w:rsidRPr="00A86D5A">
        <w:rPr>
          <w:rFonts w:ascii="Arial" w:hAnsi="Arial" w:cs="Arial"/>
          <w:sz w:val="20"/>
          <w:szCs w:val="20"/>
        </w:rPr>
        <w:t>públicos.</w:t>
      </w:r>
    </w:p>
    <w:p w:rsidR="00794E33" w:rsidRPr="00A86D5A"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i/>
          <w:iCs/>
          <w:sz w:val="20"/>
          <w:szCs w:val="20"/>
        </w:rPr>
      </w:pPr>
      <w:r w:rsidRPr="00A86D5A">
        <w:rPr>
          <w:rFonts w:ascii="Arial" w:hAnsi="Arial" w:cs="Arial"/>
          <w:sz w:val="20"/>
          <w:szCs w:val="20"/>
        </w:rPr>
        <w:t>Em atendimento aos princípios da legalidade, da impessoalidade,</w:t>
      </w:r>
      <w:r>
        <w:rPr>
          <w:rFonts w:ascii="Arial" w:hAnsi="Arial" w:cs="Arial"/>
          <w:sz w:val="20"/>
          <w:szCs w:val="20"/>
        </w:rPr>
        <w:t xml:space="preserve"> </w:t>
      </w:r>
      <w:r w:rsidRPr="00A86D5A">
        <w:rPr>
          <w:rFonts w:ascii="Arial" w:hAnsi="Arial" w:cs="Arial"/>
          <w:sz w:val="20"/>
          <w:szCs w:val="20"/>
        </w:rPr>
        <w:t xml:space="preserve">da moralidade e da eficiência, prescritos no </w:t>
      </w:r>
      <w:r w:rsidRPr="00A86D5A">
        <w:rPr>
          <w:rFonts w:ascii="Arial" w:hAnsi="Arial" w:cs="Arial"/>
          <w:i/>
          <w:iCs/>
          <w:sz w:val="20"/>
          <w:szCs w:val="20"/>
        </w:rPr>
        <w:t xml:space="preserve">caput </w:t>
      </w:r>
      <w:r w:rsidRPr="00A86D5A">
        <w:rPr>
          <w:rFonts w:ascii="Arial" w:hAnsi="Arial" w:cs="Arial"/>
          <w:sz w:val="20"/>
          <w:szCs w:val="20"/>
        </w:rPr>
        <w:t>do art. 37 da Constituição</w:t>
      </w:r>
      <w:r>
        <w:rPr>
          <w:rFonts w:ascii="Arial" w:hAnsi="Arial" w:cs="Arial"/>
          <w:sz w:val="20"/>
          <w:szCs w:val="20"/>
        </w:rPr>
        <w:t xml:space="preserve"> </w:t>
      </w:r>
      <w:r w:rsidRPr="00A86D5A">
        <w:rPr>
          <w:rFonts w:ascii="Arial" w:hAnsi="Arial" w:cs="Arial"/>
          <w:sz w:val="20"/>
          <w:szCs w:val="20"/>
        </w:rPr>
        <w:t>Federal, combinado ao contido nos inciso V e X do mesmo artigo, qualquer</w:t>
      </w:r>
      <w:r>
        <w:rPr>
          <w:rFonts w:ascii="Arial" w:hAnsi="Arial" w:cs="Arial"/>
          <w:sz w:val="20"/>
          <w:szCs w:val="20"/>
        </w:rPr>
        <w:t xml:space="preserve"> </w:t>
      </w:r>
      <w:r w:rsidRPr="00A86D5A">
        <w:rPr>
          <w:rFonts w:ascii="Arial" w:hAnsi="Arial" w:cs="Arial"/>
          <w:i/>
          <w:iCs/>
          <w:sz w:val="20"/>
          <w:szCs w:val="20"/>
        </w:rPr>
        <w:t xml:space="preserve">adicional </w:t>
      </w:r>
      <w:r w:rsidRPr="00A86D5A">
        <w:rPr>
          <w:rFonts w:ascii="Arial" w:hAnsi="Arial" w:cs="Arial"/>
          <w:sz w:val="20"/>
          <w:szCs w:val="20"/>
        </w:rPr>
        <w:t>de remuneração concedido a servidor público efetivo em razão do</w:t>
      </w:r>
      <w:r>
        <w:rPr>
          <w:rFonts w:ascii="Arial" w:hAnsi="Arial" w:cs="Arial"/>
          <w:sz w:val="20"/>
          <w:szCs w:val="20"/>
        </w:rPr>
        <w:t xml:space="preserve"> </w:t>
      </w:r>
      <w:r w:rsidRPr="00A86D5A">
        <w:rPr>
          <w:rFonts w:ascii="Arial" w:hAnsi="Arial" w:cs="Arial"/>
          <w:sz w:val="20"/>
          <w:szCs w:val="20"/>
        </w:rPr>
        <w:t>exercício de funções de confiança – para o exercício de atribuições de direção,</w:t>
      </w:r>
      <w:r>
        <w:rPr>
          <w:rFonts w:ascii="Arial" w:hAnsi="Arial" w:cs="Arial"/>
          <w:sz w:val="20"/>
          <w:szCs w:val="20"/>
        </w:rPr>
        <w:t xml:space="preserve"> </w:t>
      </w:r>
      <w:r w:rsidRPr="00A86D5A">
        <w:rPr>
          <w:rFonts w:ascii="Arial" w:hAnsi="Arial" w:cs="Arial"/>
          <w:sz w:val="20"/>
          <w:szCs w:val="20"/>
        </w:rPr>
        <w:t xml:space="preserve">chefia e assessoramento – ou de outras </w:t>
      </w:r>
      <w:r w:rsidRPr="00A86D5A">
        <w:rPr>
          <w:rFonts w:ascii="Arial" w:hAnsi="Arial" w:cs="Arial"/>
          <w:i/>
          <w:iCs/>
          <w:sz w:val="20"/>
          <w:szCs w:val="20"/>
        </w:rPr>
        <w:t xml:space="preserve">situações pessoais </w:t>
      </w:r>
      <w:r w:rsidRPr="00A86D5A">
        <w:rPr>
          <w:rFonts w:ascii="Arial" w:hAnsi="Arial" w:cs="Arial"/>
          <w:sz w:val="20"/>
          <w:szCs w:val="20"/>
        </w:rPr>
        <w:t>de trabalho em que se</w:t>
      </w:r>
      <w:r>
        <w:rPr>
          <w:rFonts w:ascii="Arial" w:hAnsi="Arial" w:cs="Arial"/>
          <w:sz w:val="20"/>
          <w:szCs w:val="20"/>
        </w:rPr>
        <w:t xml:space="preserve"> </w:t>
      </w:r>
      <w:r w:rsidRPr="00A86D5A">
        <w:rPr>
          <w:rFonts w:ascii="Arial" w:hAnsi="Arial" w:cs="Arial"/>
          <w:sz w:val="20"/>
          <w:szCs w:val="20"/>
        </w:rPr>
        <w:t>encontrem, configuram vantagem pecuniária de caráter excepcional e transitório,</w:t>
      </w:r>
      <w:r>
        <w:rPr>
          <w:rFonts w:ascii="Arial" w:hAnsi="Arial" w:cs="Arial"/>
          <w:sz w:val="20"/>
          <w:szCs w:val="20"/>
        </w:rPr>
        <w:t xml:space="preserve"> </w:t>
      </w:r>
      <w:r w:rsidRPr="00A86D5A">
        <w:rPr>
          <w:rFonts w:ascii="Arial" w:hAnsi="Arial" w:cs="Arial"/>
          <w:sz w:val="20"/>
          <w:szCs w:val="20"/>
        </w:rPr>
        <w:t xml:space="preserve">ostentando natureza </w:t>
      </w:r>
      <w:proofErr w:type="spellStart"/>
      <w:r w:rsidRPr="00A86D5A">
        <w:rPr>
          <w:rFonts w:ascii="Arial" w:hAnsi="Arial" w:cs="Arial"/>
          <w:i/>
          <w:iCs/>
          <w:sz w:val="20"/>
          <w:szCs w:val="20"/>
        </w:rPr>
        <w:t>propter</w:t>
      </w:r>
      <w:proofErr w:type="spellEnd"/>
      <w:r w:rsidRPr="00A86D5A">
        <w:rPr>
          <w:rFonts w:ascii="Arial" w:hAnsi="Arial" w:cs="Arial"/>
          <w:i/>
          <w:iCs/>
          <w:sz w:val="20"/>
          <w:szCs w:val="20"/>
        </w:rPr>
        <w:t xml:space="preserve"> laborem. </w:t>
      </w:r>
    </w:p>
    <w:p w:rsidR="00794E33" w:rsidRPr="00A86D5A" w:rsidRDefault="00794E33" w:rsidP="00494962">
      <w:pPr>
        <w:autoSpaceDE w:val="0"/>
        <w:autoSpaceDN w:val="0"/>
        <w:adjustRightInd w:val="0"/>
        <w:spacing w:after="0"/>
        <w:jc w:val="both"/>
        <w:rPr>
          <w:rFonts w:ascii="Arial" w:hAnsi="Arial" w:cs="Arial"/>
          <w:i/>
          <w:iCs/>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A86D5A">
        <w:rPr>
          <w:rFonts w:ascii="Arial" w:hAnsi="Arial" w:cs="Arial"/>
          <w:sz w:val="20"/>
          <w:szCs w:val="20"/>
        </w:rPr>
        <w:t>Afigura-se ilegítima a incorporação de tais valores à remuneração</w:t>
      </w:r>
      <w:r>
        <w:rPr>
          <w:rFonts w:ascii="Arial" w:hAnsi="Arial" w:cs="Arial"/>
          <w:sz w:val="20"/>
          <w:szCs w:val="20"/>
        </w:rPr>
        <w:t xml:space="preserve"> </w:t>
      </w:r>
      <w:r w:rsidRPr="00A86D5A">
        <w:rPr>
          <w:rFonts w:ascii="Arial" w:hAnsi="Arial" w:cs="Arial"/>
          <w:sz w:val="20"/>
          <w:szCs w:val="20"/>
        </w:rPr>
        <w:t>sem a devida contraprestação em especial trabalho ou circunstância suportada</w:t>
      </w:r>
      <w:r>
        <w:rPr>
          <w:rFonts w:ascii="Arial" w:hAnsi="Arial" w:cs="Arial"/>
          <w:sz w:val="20"/>
          <w:szCs w:val="20"/>
        </w:rPr>
        <w:t xml:space="preserve"> </w:t>
      </w:r>
      <w:r w:rsidRPr="00A86D5A">
        <w:rPr>
          <w:rFonts w:ascii="Arial" w:hAnsi="Arial" w:cs="Arial"/>
          <w:sz w:val="20"/>
          <w:szCs w:val="20"/>
        </w:rPr>
        <w:t>pelo servidor em sua atuação.</w:t>
      </w:r>
    </w:p>
    <w:p w:rsidR="00794E33" w:rsidRPr="00A86D5A"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A86D5A">
        <w:rPr>
          <w:rFonts w:ascii="Arial" w:hAnsi="Arial" w:cs="Arial"/>
          <w:sz w:val="20"/>
          <w:szCs w:val="20"/>
        </w:rPr>
        <w:t>Norma jurídica prevendo tal modalidade de incorporação, editada</w:t>
      </w:r>
      <w:r>
        <w:rPr>
          <w:rFonts w:ascii="Arial" w:hAnsi="Arial" w:cs="Arial"/>
          <w:sz w:val="20"/>
          <w:szCs w:val="20"/>
        </w:rPr>
        <w:t xml:space="preserve"> </w:t>
      </w:r>
      <w:r w:rsidRPr="00A86D5A">
        <w:rPr>
          <w:rFonts w:ascii="Arial" w:hAnsi="Arial" w:cs="Arial"/>
          <w:sz w:val="20"/>
          <w:szCs w:val="20"/>
        </w:rPr>
        <w:t>anteriormente à entrada em vigor da Emenda Constitucional nº 20/1998, não foi por</w:t>
      </w:r>
      <w:r>
        <w:rPr>
          <w:rFonts w:ascii="Arial" w:hAnsi="Arial" w:cs="Arial"/>
          <w:sz w:val="20"/>
          <w:szCs w:val="20"/>
        </w:rPr>
        <w:t xml:space="preserve"> </w:t>
      </w:r>
      <w:r w:rsidRPr="00A86D5A">
        <w:rPr>
          <w:rFonts w:ascii="Arial" w:hAnsi="Arial" w:cs="Arial"/>
          <w:sz w:val="20"/>
          <w:szCs w:val="20"/>
        </w:rPr>
        <w:t>ela recepcionada, não podendo, após sua vigência, produzir qualquer efeito. Se</w:t>
      </w:r>
      <w:r>
        <w:rPr>
          <w:rFonts w:ascii="Arial" w:hAnsi="Arial" w:cs="Arial"/>
          <w:sz w:val="20"/>
          <w:szCs w:val="20"/>
        </w:rPr>
        <w:t xml:space="preserve"> </w:t>
      </w:r>
      <w:r w:rsidRPr="00A86D5A">
        <w:rPr>
          <w:rFonts w:ascii="Arial" w:hAnsi="Arial" w:cs="Arial"/>
          <w:sz w:val="20"/>
          <w:szCs w:val="20"/>
        </w:rPr>
        <w:t>editada após o ingresso da referida norma constitucional no mundo jurídico, é</w:t>
      </w:r>
      <w:r>
        <w:rPr>
          <w:rFonts w:ascii="Arial" w:hAnsi="Arial" w:cs="Arial"/>
          <w:sz w:val="20"/>
          <w:szCs w:val="20"/>
        </w:rPr>
        <w:t xml:space="preserve"> </w:t>
      </w:r>
      <w:r w:rsidRPr="00A86D5A">
        <w:rPr>
          <w:rFonts w:ascii="Arial" w:hAnsi="Arial" w:cs="Arial"/>
          <w:sz w:val="20"/>
          <w:szCs w:val="20"/>
        </w:rPr>
        <w:t>inconstitucional.</w:t>
      </w:r>
    </w:p>
    <w:p w:rsidR="00794E33" w:rsidRPr="00A86D5A" w:rsidRDefault="00794E33" w:rsidP="00494962">
      <w:pPr>
        <w:autoSpaceDE w:val="0"/>
        <w:autoSpaceDN w:val="0"/>
        <w:adjustRightInd w:val="0"/>
        <w:spacing w:after="0"/>
        <w:jc w:val="both"/>
        <w:rPr>
          <w:rFonts w:ascii="Arial" w:hAnsi="Arial" w:cs="Arial"/>
          <w:sz w:val="20"/>
          <w:szCs w:val="20"/>
        </w:rPr>
      </w:pPr>
    </w:p>
    <w:p w:rsidR="00794E33" w:rsidRPr="00A86D5A" w:rsidRDefault="00794E33" w:rsidP="00494962">
      <w:pPr>
        <w:autoSpaceDE w:val="0"/>
        <w:autoSpaceDN w:val="0"/>
        <w:adjustRightInd w:val="0"/>
        <w:spacing w:after="0"/>
        <w:jc w:val="both"/>
        <w:rPr>
          <w:rFonts w:ascii="Arial" w:hAnsi="Arial" w:cs="Arial"/>
          <w:sz w:val="20"/>
          <w:szCs w:val="20"/>
        </w:rPr>
      </w:pPr>
      <w:r w:rsidRPr="00A86D5A">
        <w:rPr>
          <w:rFonts w:ascii="Arial" w:hAnsi="Arial" w:cs="Arial"/>
          <w:sz w:val="20"/>
          <w:szCs w:val="20"/>
        </w:rPr>
        <w:t>Portanto, o dispositivo contido no artigo 54 da Lei nº 1.232/94-E,</w:t>
      </w:r>
      <w:r>
        <w:rPr>
          <w:rFonts w:ascii="Arial" w:hAnsi="Arial" w:cs="Arial"/>
          <w:sz w:val="20"/>
          <w:szCs w:val="20"/>
        </w:rPr>
        <w:t xml:space="preserve"> </w:t>
      </w:r>
      <w:r w:rsidRPr="00A86D5A">
        <w:rPr>
          <w:rFonts w:ascii="Arial" w:hAnsi="Arial" w:cs="Arial"/>
          <w:sz w:val="20"/>
          <w:szCs w:val="20"/>
        </w:rPr>
        <w:t>não foi recepcionado pela Constituição Federal, a partir da dicção que lhe deu a</w:t>
      </w:r>
      <w:r>
        <w:rPr>
          <w:rFonts w:ascii="Arial" w:hAnsi="Arial" w:cs="Arial"/>
          <w:sz w:val="20"/>
          <w:szCs w:val="20"/>
        </w:rPr>
        <w:t xml:space="preserve"> </w:t>
      </w:r>
      <w:r w:rsidRPr="00A86D5A">
        <w:rPr>
          <w:rFonts w:ascii="Arial" w:hAnsi="Arial" w:cs="Arial"/>
          <w:sz w:val="20"/>
          <w:szCs w:val="20"/>
        </w:rPr>
        <w:t>Emenda Constitucional 20/1998, nem para fins de incorporação de vantagens</w:t>
      </w:r>
      <w:r>
        <w:rPr>
          <w:rFonts w:ascii="Arial" w:hAnsi="Arial" w:cs="Arial"/>
          <w:sz w:val="20"/>
          <w:szCs w:val="20"/>
        </w:rPr>
        <w:t xml:space="preserve"> </w:t>
      </w:r>
      <w:r w:rsidRPr="00A86D5A">
        <w:rPr>
          <w:rFonts w:ascii="Arial" w:hAnsi="Arial" w:cs="Arial"/>
          <w:sz w:val="20"/>
          <w:szCs w:val="20"/>
        </w:rPr>
        <w:t>pecuniárias transitórias ao valor da remuneração, nem tampouco para fins de</w:t>
      </w:r>
      <w:r>
        <w:rPr>
          <w:rFonts w:ascii="Arial" w:hAnsi="Arial" w:cs="Arial"/>
          <w:sz w:val="20"/>
          <w:szCs w:val="20"/>
        </w:rPr>
        <w:t xml:space="preserve"> </w:t>
      </w:r>
      <w:r w:rsidRPr="00A86D5A">
        <w:rPr>
          <w:rFonts w:ascii="Arial" w:hAnsi="Arial" w:cs="Arial"/>
          <w:sz w:val="20"/>
          <w:szCs w:val="20"/>
        </w:rPr>
        <w:t>incorporação desses mesmos valores ao cálculo dos benefícios previdenciários</w:t>
      </w:r>
      <w:r>
        <w:rPr>
          <w:rFonts w:ascii="Arial" w:hAnsi="Arial" w:cs="Arial"/>
          <w:sz w:val="20"/>
          <w:szCs w:val="20"/>
        </w:rPr>
        <w:t xml:space="preserve"> </w:t>
      </w:r>
      <w:r w:rsidRPr="00A86D5A">
        <w:rPr>
          <w:rFonts w:ascii="Arial" w:hAnsi="Arial" w:cs="Arial"/>
          <w:sz w:val="20"/>
          <w:szCs w:val="20"/>
        </w:rPr>
        <w:t>correspondentes.</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89961-6/15. </w:t>
      </w:r>
      <w:hyperlink r:id="rId10" w:history="1">
        <w:r w:rsidRPr="001E3C08">
          <w:rPr>
            <w:rStyle w:val="Hyperlink"/>
            <w:rFonts w:ascii="Arial" w:hAnsi="Arial" w:cs="Arial"/>
            <w:sz w:val="20"/>
            <w:szCs w:val="20"/>
          </w:rPr>
          <w:t>Acórdão n° 2583/17 - Primeira Câmara</w:t>
        </w:r>
      </w:hyperlink>
      <w:r>
        <w:rPr>
          <w:rFonts w:ascii="Arial" w:hAnsi="Arial" w:cs="Arial"/>
          <w:sz w:val="20"/>
          <w:szCs w:val="20"/>
        </w:rPr>
        <w:t xml:space="preserve">. Rel. Cons. Fernando Augusto Mello Guimarães. </w:t>
      </w:r>
    </w:p>
    <w:p w:rsidR="00EC3842" w:rsidRPr="0022060B" w:rsidRDefault="00EC3842" w:rsidP="0049496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494962" w:rsidRDefault="00494962" w:rsidP="00494962">
      <w:pPr>
        <w:autoSpaceDE w:val="0"/>
        <w:autoSpaceDN w:val="0"/>
        <w:adjustRightInd w:val="0"/>
        <w:spacing w:after="0"/>
        <w:jc w:val="both"/>
        <w:rPr>
          <w:rFonts w:ascii="Arial" w:hAnsi="Arial" w:cs="Arial"/>
          <w:b/>
          <w:sz w:val="20"/>
          <w:szCs w:val="20"/>
        </w:rPr>
      </w:pPr>
    </w:p>
    <w:p w:rsidR="00284A83" w:rsidRPr="005546D3"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CE09E0">
        <w:rPr>
          <w:rFonts w:ascii="Arial" w:hAnsi="Arial" w:cs="Arial"/>
          <w:b/>
          <w:sz w:val="20"/>
          <w:szCs w:val="20"/>
        </w:rPr>
        <w:t>.</w:t>
      </w:r>
      <w:r>
        <w:rPr>
          <w:rFonts w:ascii="Arial" w:hAnsi="Arial" w:cs="Arial"/>
          <w:b/>
          <w:sz w:val="20"/>
          <w:szCs w:val="20"/>
        </w:rPr>
        <w:t xml:space="preserve"> </w:t>
      </w:r>
      <w:r w:rsidR="00284A83" w:rsidRPr="005546D3">
        <w:rPr>
          <w:rFonts w:ascii="Arial" w:hAnsi="Arial" w:cs="Arial"/>
          <w:b/>
          <w:sz w:val="20"/>
          <w:szCs w:val="20"/>
        </w:rPr>
        <w:t>Prestação de Contas Anual.</w:t>
      </w:r>
      <w:r w:rsidR="009D47A3">
        <w:rPr>
          <w:rFonts w:ascii="Arial" w:hAnsi="Arial" w:cs="Arial"/>
          <w:b/>
          <w:sz w:val="20"/>
          <w:szCs w:val="20"/>
        </w:rPr>
        <w:t xml:space="preserve"> Licitação. Aquisição de produtos. Divisão em lotes. Viabilidade econômica. Viabilidade técnica. Vantagem para a administração. Critérios razoáveis.</w:t>
      </w:r>
    </w:p>
    <w:p w:rsidR="00B667D4" w:rsidRDefault="00B667D4" w:rsidP="00494962">
      <w:pPr>
        <w:autoSpaceDE w:val="0"/>
        <w:autoSpaceDN w:val="0"/>
        <w:adjustRightInd w:val="0"/>
        <w:spacing w:after="0"/>
        <w:jc w:val="both"/>
        <w:rPr>
          <w:rFonts w:ascii="Arial" w:hAnsi="Arial" w:cs="Arial"/>
          <w:sz w:val="20"/>
          <w:szCs w:val="20"/>
        </w:rPr>
      </w:pPr>
    </w:p>
    <w:p w:rsidR="00DB28E6" w:rsidRDefault="00E93C71"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É possível, na aquisição de produtos para a administração pública, o agrupamento de itens em lotes, desde que técnica e economicamente viável e resultar em vantagem para a administração pública. É o que se depreende do </w:t>
      </w:r>
      <w:r w:rsidRPr="00E93C71">
        <w:rPr>
          <w:rFonts w:ascii="Arial" w:hAnsi="Arial" w:cs="Arial"/>
          <w:sz w:val="20"/>
          <w:szCs w:val="20"/>
        </w:rPr>
        <w:t>§</w:t>
      </w:r>
      <w:r w:rsidR="00D12B06">
        <w:rPr>
          <w:rFonts w:ascii="Arial" w:hAnsi="Arial" w:cs="Arial"/>
          <w:sz w:val="20"/>
          <w:szCs w:val="20"/>
        </w:rPr>
        <w:t xml:space="preserve"> 1º do art. 23 da Lei Federal n</w:t>
      </w:r>
      <w:r w:rsidRPr="00E93C71">
        <w:rPr>
          <w:rFonts w:ascii="Arial" w:hAnsi="Arial" w:cs="Arial"/>
          <w:sz w:val="20"/>
          <w:szCs w:val="20"/>
        </w:rPr>
        <w:t>° 8.666/93</w:t>
      </w:r>
      <w:r>
        <w:rPr>
          <w:rFonts w:ascii="Arial" w:hAnsi="Arial" w:cs="Arial"/>
          <w:sz w:val="20"/>
          <w:szCs w:val="20"/>
        </w:rPr>
        <w:t xml:space="preserve">. Dentro de razoáveis critérios escolhidos pela administração para se determinar </w:t>
      </w:r>
      <w:r w:rsidR="000E5C70">
        <w:rPr>
          <w:rFonts w:ascii="Arial" w:hAnsi="Arial" w:cs="Arial"/>
          <w:sz w:val="20"/>
          <w:szCs w:val="20"/>
        </w:rPr>
        <w:t>a viabilidade do agrupamento, a divisão em lotes deve visar o</w:t>
      </w:r>
      <w:r w:rsidR="000E5C70" w:rsidRPr="000E5C70">
        <w:rPr>
          <w:rFonts w:ascii="Arial" w:hAnsi="Arial" w:cs="Arial"/>
          <w:sz w:val="20"/>
          <w:szCs w:val="20"/>
        </w:rPr>
        <w:t xml:space="preserve"> melhor aproveitamento dos recursos disponíveis no mercado, a manutenção da economia de escala e ampliação da competitividade</w:t>
      </w:r>
      <w:r w:rsidR="000E5C70">
        <w:rPr>
          <w:rFonts w:ascii="Arial" w:hAnsi="Arial" w:cs="Arial"/>
          <w:sz w:val="20"/>
          <w:szCs w:val="20"/>
        </w:rPr>
        <w:t>.</w:t>
      </w:r>
    </w:p>
    <w:p w:rsidR="007E005E" w:rsidRDefault="007E005E" w:rsidP="00494962">
      <w:pPr>
        <w:autoSpaceDE w:val="0"/>
        <w:autoSpaceDN w:val="0"/>
        <w:adjustRightInd w:val="0"/>
        <w:spacing w:after="0"/>
        <w:jc w:val="both"/>
        <w:rPr>
          <w:rFonts w:ascii="Arial" w:hAnsi="Arial" w:cs="Arial"/>
          <w:sz w:val="20"/>
          <w:szCs w:val="20"/>
        </w:rPr>
      </w:pPr>
    </w:p>
    <w:p w:rsidR="001B3ABC" w:rsidRDefault="001B3ABC" w:rsidP="00494962">
      <w:pPr>
        <w:autoSpaceDE w:val="0"/>
        <w:autoSpaceDN w:val="0"/>
        <w:adjustRightInd w:val="0"/>
        <w:spacing w:after="0"/>
        <w:jc w:val="both"/>
        <w:rPr>
          <w:rFonts w:ascii="Arial" w:hAnsi="Arial" w:cs="Arial"/>
          <w:sz w:val="20"/>
          <w:szCs w:val="20"/>
        </w:rPr>
      </w:pPr>
      <w:r w:rsidRPr="0017659B">
        <w:rPr>
          <w:rFonts w:ascii="Arial" w:hAnsi="Arial" w:cs="Arial"/>
          <w:sz w:val="20"/>
          <w:szCs w:val="20"/>
        </w:rPr>
        <w:t xml:space="preserve">Processo n° </w:t>
      </w:r>
      <w:r>
        <w:rPr>
          <w:rFonts w:ascii="Arial" w:hAnsi="Arial" w:cs="Arial"/>
          <w:sz w:val="20"/>
          <w:szCs w:val="20"/>
        </w:rPr>
        <w:t>641698</w:t>
      </w:r>
      <w:r w:rsidRPr="0017659B">
        <w:rPr>
          <w:rFonts w:ascii="Arial" w:hAnsi="Arial" w:cs="Arial"/>
          <w:sz w:val="20"/>
          <w:szCs w:val="20"/>
        </w:rPr>
        <w:t>/1</w:t>
      </w:r>
      <w:r>
        <w:rPr>
          <w:rFonts w:ascii="Arial" w:hAnsi="Arial" w:cs="Arial"/>
          <w:sz w:val="20"/>
          <w:szCs w:val="20"/>
        </w:rPr>
        <w:t xml:space="preserve">6. </w:t>
      </w:r>
      <w:hyperlink r:id="rId11" w:history="1">
        <w:r w:rsidRPr="00360203">
          <w:rPr>
            <w:rStyle w:val="Hyperlink"/>
            <w:rFonts w:ascii="Arial" w:hAnsi="Arial" w:cs="Arial"/>
            <w:sz w:val="20"/>
            <w:szCs w:val="20"/>
          </w:rPr>
          <w:t>Acórdão n° 2634/17 - Segunda Câmara</w:t>
        </w:r>
      </w:hyperlink>
      <w:r>
        <w:rPr>
          <w:rFonts w:ascii="Arial" w:hAnsi="Arial" w:cs="Arial"/>
          <w:sz w:val="20"/>
          <w:szCs w:val="20"/>
        </w:rPr>
        <w:t xml:space="preserve">. Relator Cons. </w:t>
      </w:r>
      <w:r w:rsidRPr="001B3ABC">
        <w:rPr>
          <w:rFonts w:ascii="Arial" w:hAnsi="Arial" w:cs="Arial"/>
          <w:sz w:val="20"/>
          <w:szCs w:val="20"/>
        </w:rPr>
        <w:t>Ivens Zschoerper Linhares</w:t>
      </w:r>
      <w:r>
        <w:rPr>
          <w:rFonts w:ascii="Arial" w:hAnsi="Arial" w:cs="Arial"/>
          <w:sz w:val="20"/>
          <w:szCs w:val="20"/>
        </w:rPr>
        <w:t xml:space="preserve">. </w:t>
      </w:r>
    </w:p>
    <w:p w:rsidR="008C7661" w:rsidRDefault="008C7661" w:rsidP="00494962">
      <w:pPr>
        <w:autoSpaceDE w:val="0"/>
        <w:autoSpaceDN w:val="0"/>
        <w:adjustRightInd w:val="0"/>
        <w:spacing w:after="0"/>
        <w:jc w:val="both"/>
        <w:rPr>
          <w:rFonts w:ascii="Arial" w:hAnsi="Arial" w:cs="Arial"/>
          <w:sz w:val="20"/>
          <w:szCs w:val="20"/>
        </w:rPr>
      </w:pPr>
    </w:p>
    <w:p w:rsidR="008C7661" w:rsidRPr="005546D3"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CE09E0">
        <w:rPr>
          <w:rFonts w:ascii="Arial" w:hAnsi="Arial" w:cs="Arial"/>
          <w:b/>
          <w:sz w:val="20"/>
          <w:szCs w:val="20"/>
        </w:rPr>
        <w:t>.</w:t>
      </w:r>
      <w:r>
        <w:rPr>
          <w:rFonts w:ascii="Arial" w:hAnsi="Arial" w:cs="Arial"/>
          <w:b/>
          <w:sz w:val="20"/>
          <w:szCs w:val="20"/>
        </w:rPr>
        <w:t xml:space="preserve"> </w:t>
      </w:r>
      <w:r w:rsidR="005546D3" w:rsidRPr="005546D3">
        <w:rPr>
          <w:rFonts w:ascii="Arial" w:hAnsi="Arial" w:cs="Arial"/>
          <w:b/>
          <w:sz w:val="20"/>
          <w:szCs w:val="20"/>
        </w:rPr>
        <w:t>Processo de Servidor do Tribunal</w:t>
      </w:r>
      <w:r w:rsidR="008C7661" w:rsidRPr="005546D3">
        <w:rPr>
          <w:rFonts w:ascii="Arial" w:hAnsi="Arial" w:cs="Arial"/>
          <w:b/>
          <w:sz w:val="20"/>
          <w:szCs w:val="20"/>
        </w:rPr>
        <w:t>.</w:t>
      </w:r>
      <w:r w:rsidR="005546D3" w:rsidRPr="005546D3">
        <w:rPr>
          <w:rFonts w:ascii="Arial" w:hAnsi="Arial" w:cs="Arial"/>
          <w:b/>
          <w:sz w:val="20"/>
          <w:szCs w:val="20"/>
        </w:rPr>
        <w:t xml:space="preserve"> </w:t>
      </w:r>
      <w:r w:rsidR="00EA3562">
        <w:rPr>
          <w:rFonts w:ascii="Arial" w:hAnsi="Arial" w:cs="Arial"/>
          <w:b/>
          <w:sz w:val="20"/>
          <w:szCs w:val="20"/>
        </w:rPr>
        <w:t xml:space="preserve">Administração Pública. Servidor Público. Licença maternidade. Gratificação. Gerência. Permissão legal. </w:t>
      </w:r>
    </w:p>
    <w:p w:rsidR="00B667D4" w:rsidRDefault="00B667D4" w:rsidP="00494962">
      <w:pPr>
        <w:autoSpaceDE w:val="0"/>
        <w:autoSpaceDN w:val="0"/>
        <w:adjustRightInd w:val="0"/>
        <w:spacing w:after="0"/>
        <w:jc w:val="both"/>
        <w:rPr>
          <w:rFonts w:ascii="Arial" w:hAnsi="Arial" w:cs="Arial"/>
          <w:sz w:val="20"/>
          <w:szCs w:val="20"/>
        </w:rPr>
      </w:pPr>
    </w:p>
    <w:p w:rsidR="00DB28E6" w:rsidRPr="00773505" w:rsidRDefault="00773505"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É possível o paramento de gratificação de função durante o período de gozo de licença maternidade. Não há </w:t>
      </w:r>
      <w:r w:rsidRPr="00773505">
        <w:rPr>
          <w:rFonts w:ascii="Arial" w:hAnsi="Arial" w:cs="Arial"/>
          <w:sz w:val="20"/>
          <w:szCs w:val="20"/>
        </w:rPr>
        <w:t xml:space="preserve">impeditivo legal de percepção de gratificação </w:t>
      </w:r>
      <w:r>
        <w:rPr>
          <w:rFonts w:ascii="Arial" w:hAnsi="Arial" w:cs="Arial"/>
          <w:sz w:val="20"/>
          <w:szCs w:val="20"/>
        </w:rPr>
        <w:t xml:space="preserve">de função de gerência </w:t>
      </w:r>
      <w:r w:rsidRPr="00773505">
        <w:rPr>
          <w:rFonts w:ascii="Arial" w:hAnsi="Arial" w:cs="Arial"/>
          <w:sz w:val="20"/>
          <w:szCs w:val="20"/>
        </w:rPr>
        <w:t xml:space="preserve">durante o período de afastamento de licença maternidade. </w:t>
      </w:r>
      <w:r w:rsidR="008C7661">
        <w:rPr>
          <w:rFonts w:ascii="Arial" w:hAnsi="Arial" w:cs="Arial"/>
          <w:sz w:val="20"/>
          <w:szCs w:val="20"/>
        </w:rPr>
        <w:t xml:space="preserve">Desta forma, </w:t>
      </w:r>
      <w:r w:rsidR="008C7661" w:rsidRPr="008C7661">
        <w:rPr>
          <w:rFonts w:ascii="Arial" w:hAnsi="Arial" w:cs="Arial"/>
          <w:sz w:val="20"/>
          <w:szCs w:val="20"/>
        </w:rPr>
        <w:t>a Portaria nº 257/2013 desta Corte de Contas que regulamenta a concessão de gratificação de função e gratificação pelo exercício de encargos especiais, que em seu art. 7º dispõe que as “gratificações previstas nesta Portaria serão automaticamente suspensas quando concedidas licenças funcionais com prazo superior a 30 (trinta) dias”, não está de acordo com o disposto na Lei nº 17.423/12 e na Lei nº 6.174/70.</w:t>
      </w:r>
    </w:p>
    <w:p w:rsidR="007E005E" w:rsidRDefault="007E005E" w:rsidP="00494962">
      <w:pPr>
        <w:autoSpaceDE w:val="0"/>
        <w:autoSpaceDN w:val="0"/>
        <w:adjustRightInd w:val="0"/>
        <w:spacing w:after="0"/>
        <w:jc w:val="both"/>
        <w:rPr>
          <w:rFonts w:ascii="Arial" w:hAnsi="Arial" w:cs="Arial"/>
          <w:sz w:val="20"/>
          <w:szCs w:val="20"/>
        </w:rPr>
      </w:pPr>
    </w:p>
    <w:p w:rsidR="008C7661" w:rsidRDefault="008C7661" w:rsidP="00494962">
      <w:pPr>
        <w:autoSpaceDE w:val="0"/>
        <w:autoSpaceDN w:val="0"/>
        <w:adjustRightInd w:val="0"/>
        <w:spacing w:after="0"/>
        <w:jc w:val="both"/>
        <w:rPr>
          <w:rFonts w:ascii="Arial" w:hAnsi="Arial" w:cs="Arial"/>
          <w:sz w:val="20"/>
          <w:szCs w:val="20"/>
        </w:rPr>
      </w:pPr>
      <w:r w:rsidRPr="0017659B">
        <w:rPr>
          <w:rFonts w:ascii="Arial" w:hAnsi="Arial" w:cs="Arial"/>
          <w:sz w:val="20"/>
          <w:szCs w:val="20"/>
        </w:rPr>
        <w:t xml:space="preserve">Processo n° </w:t>
      </w:r>
      <w:r>
        <w:rPr>
          <w:rFonts w:ascii="Arial" w:hAnsi="Arial" w:cs="Arial"/>
          <w:sz w:val="20"/>
          <w:szCs w:val="20"/>
        </w:rPr>
        <w:t>167270</w:t>
      </w:r>
      <w:r w:rsidRPr="0017659B">
        <w:rPr>
          <w:rFonts w:ascii="Arial" w:hAnsi="Arial" w:cs="Arial"/>
          <w:sz w:val="20"/>
          <w:szCs w:val="20"/>
        </w:rPr>
        <w:t>/1</w:t>
      </w:r>
      <w:r>
        <w:rPr>
          <w:rFonts w:ascii="Arial" w:hAnsi="Arial" w:cs="Arial"/>
          <w:sz w:val="20"/>
          <w:szCs w:val="20"/>
        </w:rPr>
        <w:t xml:space="preserve">7. </w:t>
      </w:r>
      <w:hyperlink r:id="rId12" w:history="1">
        <w:r w:rsidRPr="00FE0E47">
          <w:rPr>
            <w:rStyle w:val="Hyperlink"/>
            <w:rFonts w:ascii="Arial" w:hAnsi="Arial" w:cs="Arial"/>
            <w:sz w:val="20"/>
            <w:szCs w:val="20"/>
          </w:rPr>
          <w:t>Acórdão n° 2640/17 - Segunda Câmara</w:t>
        </w:r>
      </w:hyperlink>
      <w:r>
        <w:rPr>
          <w:rFonts w:ascii="Arial" w:hAnsi="Arial" w:cs="Arial"/>
          <w:sz w:val="20"/>
          <w:szCs w:val="20"/>
        </w:rPr>
        <w:t xml:space="preserve">. Relator Cons. </w:t>
      </w:r>
      <w:r w:rsidRPr="001B3ABC">
        <w:rPr>
          <w:rFonts w:ascii="Arial" w:hAnsi="Arial" w:cs="Arial"/>
          <w:sz w:val="20"/>
          <w:szCs w:val="20"/>
        </w:rPr>
        <w:t>Ivens Zschoerper Linhares</w:t>
      </w:r>
      <w:r>
        <w:rPr>
          <w:rFonts w:ascii="Arial" w:hAnsi="Arial" w:cs="Arial"/>
          <w:sz w:val="20"/>
          <w:szCs w:val="20"/>
        </w:rPr>
        <w:t xml:space="preserve">. </w:t>
      </w:r>
    </w:p>
    <w:p w:rsidR="00076FFC" w:rsidRDefault="00076FFC" w:rsidP="00494962">
      <w:pPr>
        <w:autoSpaceDE w:val="0"/>
        <w:autoSpaceDN w:val="0"/>
        <w:adjustRightInd w:val="0"/>
        <w:spacing w:after="0"/>
        <w:jc w:val="both"/>
        <w:rPr>
          <w:rFonts w:ascii="Arial" w:hAnsi="Arial" w:cs="Arial"/>
          <w:sz w:val="20"/>
          <w:szCs w:val="20"/>
        </w:rPr>
      </w:pPr>
    </w:p>
    <w:p w:rsidR="00076FFC" w:rsidRPr="00076FFC"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CE09E0">
        <w:rPr>
          <w:rFonts w:ascii="Arial" w:hAnsi="Arial" w:cs="Arial"/>
          <w:b/>
          <w:sz w:val="20"/>
          <w:szCs w:val="20"/>
        </w:rPr>
        <w:t>.</w:t>
      </w:r>
      <w:r>
        <w:rPr>
          <w:rFonts w:ascii="Arial" w:hAnsi="Arial" w:cs="Arial"/>
          <w:b/>
          <w:sz w:val="20"/>
          <w:szCs w:val="20"/>
        </w:rPr>
        <w:t xml:space="preserve"> </w:t>
      </w:r>
      <w:r w:rsidR="00076FFC" w:rsidRPr="00076FFC">
        <w:rPr>
          <w:rFonts w:ascii="Arial" w:hAnsi="Arial" w:cs="Arial"/>
          <w:b/>
          <w:sz w:val="20"/>
          <w:szCs w:val="20"/>
        </w:rPr>
        <w:t xml:space="preserve">Processo de Servidor </w:t>
      </w:r>
      <w:r w:rsidR="00076FFC">
        <w:rPr>
          <w:rFonts w:ascii="Arial" w:hAnsi="Arial" w:cs="Arial"/>
          <w:b/>
          <w:sz w:val="20"/>
          <w:szCs w:val="20"/>
        </w:rPr>
        <w:t>d</w:t>
      </w:r>
      <w:r w:rsidR="00076FFC" w:rsidRPr="00076FFC">
        <w:rPr>
          <w:rFonts w:ascii="Arial" w:hAnsi="Arial" w:cs="Arial"/>
          <w:b/>
          <w:sz w:val="20"/>
          <w:szCs w:val="20"/>
        </w:rPr>
        <w:t>o Tribunal.</w:t>
      </w:r>
      <w:r w:rsidR="00EA3562">
        <w:rPr>
          <w:rFonts w:ascii="Arial" w:hAnsi="Arial" w:cs="Arial"/>
          <w:b/>
          <w:sz w:val="20"/>
          <w:szCs w:val="20"/>
        </w:rPr>
        <w:t xml:space="preserve"> Administração Pública. Servidor Público. </w:t>
      </w:r>
      <w:r w:rsidR="00794E33">
        <w:rPr>
          <w:rFonts w:ascii="Arial" w:hAnsi="Arial" w:cs="Arial"/>
          <w:b/>
          <w:sz w:val="20"/>
          <w:szCs w:val="20"/>
        </w:rPr>
        <w:t>Aposentadoria. Cargo em comissão. Cumulação. Impossibilidade.</w:t>
      </w:r>
    </w:p>
    <w:p w:rsidR="00B667D4" w:rsidRDefault="00B667D4" w:rsidP="00494962">
      <w:pPr>
        <w:autoSpaceDE w:val="0"/>
        <w:autoSpaceDN w:val="0"/>
        <w:adjustRightInd w:val="0"/>
        <w:spacing w:after="0"/>
        <w:jc w:val="both"/>
        <w:rPr>
          <w:rFonts w:ascii="Arial" w:hAnsi="Arial" w:cs="Arial"/>
          <w:sz w:val="20"/>
          <w:szCs w:val="20"/>
        </w:rPr>
      </w:pPr>
    </w:p>
    <w:p w:rsidR="00DB28E6" w:rsidRPr="005546D3" w:rsidRDefault="005546D3" w:rsidP="00494962">
      <w:pPr>
        <w:autoSpaceDE w:val="0"/>
        <w:autoSpaceDN w:val="0"/>
        <w:adjustRightInd w:val="0"/>
        <w:spacing w:after="0"/>
        <w:jc w:val="both"/>
        <w:rPr>
          <w:rFonts w:ascii="Arial" w:hAnsi="Arial" w:cs="Arial"/>
          <w:sz w:val="20"/>
          <w:szCs w:val="20"/>
        </w:rPr>
      </w:pPr>
      <w:r w:rsidRPr="005546D3">
        <w:rPr>
          <w:rFonts w:ascii="Arial" w:hAnsi="Arial" w:cs="Arial"/>
          <w:sz w:val="20"/>
          <w:szCs w:val="20"/>
        </w:rPr>
        <w:t>I</w:t>
      </w:r>
      <w:r>
        <w:rPr>
          <w:rFonts w:ascii="Arial" w:hAnsi="Arial" w:cs="Arial"/>
          <w:sz w:val="20"/>
          <w:szCs w:val="20"/>
        </w:rPr>
        <w:t xml:space="preserve">ncide o teto constitucional no caso de cumulação de proventos de aposentadoria com cargo em comissão. A regra </w:t>
      </w:r>
      <w:r w:rsidR="00076FFC">
        <w:rPr>
          <w:rFonts w:ascii="Arial" w:hAnsi="Arial" w:cs="Arial"/>
          <w:sz w:val="20"/>
          <w:szCs w:val="20"/>
        </w:rPr>
        <w:t>prevista</w:t>
      </w:r>
      <w:r>
        <w:rPr>
          <w:rFonts w:ascii="Arial" w:hAnsi="Arial" w:cs="Arial"/>
          <w:sz w:val="20"/>
          <w:szCs w:val="20"/>
        </w:rPr>
        <w:t xml:space="preserve"> </w:t>
      </w:r>
      <w:r w:rsidR="00076FFC" w:rsidRPr="00076FFC">
        <w:rPr>
          <w:rFonts w:ascii="Arial" w:hAnsi="Arial" w:cs="Arial"/>
          <w:sz w:val="20"/>
          <w:szCs w:val="20"/>
        </w:rPr>
        <w:t xml:space="preserve">Constituição Federal (art. 37, inciso XI e § 10, art. 40, § 11), na Constituição Estadual do Paraná (art. 27, §10 e art. 35, § 11) e na Lei Orgânica desta Corte de Contas (art. 176), é de impossibilidade do recebimento de remuneração ou proventos, percebidos cumulativamente ou não acima do limite constitucional estabelecido. </w:t>
      </w:r>
      <w:r w:rsidR="00076FFC">
        <w:rPr>
          <w:rFonts w:ascii="Arial" w:hAnsi="Arial" w:cs="Arial"/>
          <w:sz w:val="20"/>
          <w:szCs w:val="20"/>
        </w:rPr>
        <w:t xml:space="preserve">A exceção reconhecida em recente julgado do Supremo Tribunal Federal não se aplica </w:t>
      </w:r>
      <w:r w:rsidR="00076FFC" w:rsidRPr="00076FFC">
        <w:rPr>
          <w:rFonts w:ascii="Arial" w:hAnsi="Arial" w:cs="Arial"/>
          <w:sz w:val="20"/>
          <w:szCs w:val="20"/>
        </w:rPr>
        <w:t>a acumulação de proventos com vencimentos de cargo em comissão, mas, apenas, as hipóteses dos cargos acumuláveis</w:t>
      </w:r>
      <w:r w:rsidR="00076FFC">
        <w:rPr>
          <w:rFonts w:ascii="Arial" w:hAnsi="Arial" w:cs="Arial"/>
          <w:sz w:val="20"/>
          <w:szCs w:val="20"/>
        </w:rPr>
        <w:t>.</w:t>
      </w:r>
    </w:p>
    <w:p w:rsidR="00A03244" w:rsidRDefault="00A03244" w:rsidP="00494962">
      <w:pPr>
        <w:autoSpaceDE w:val="0"/>
        <w:autoSpaceDN w:val="0"/>
        <w:adjustRightInd w:val="0"/>
        <w:spacing w:after="0"/>
        <w:jc w:val="both"/>
        <w:rPr>
          <w:rFonts w:ascii="Arial" w:hAnsi="Arial" w:cs="Arial"/>
          <w:sz w:val="20"/>
          <w:szCs w:val="20"/>
        </w:rPr>
      </w:pPr>
      <w:r w:rsidRPr="0017659B">
        <w:rPr>
          <w:rFonts w:ascii="Arial" w:hAnsi="Arial" w:cs="Arial"/>
          <w:sz w:val="20"/>
          <w:szCs w:val="20"/>
        </w:rPr>
        <w:lastRenderedPageBreak/>
        <w:t xml:space="preserve">Processo n° </w:t>
      </w:r>
      <w:r>
        <w:rPr>
          <w:rFonts w:ascii="Arial" w:hAnsi="Arial" w:cs="Arial"/>
          <w:sz w:val="20"/>
          <w:szCs w:val="20"/>
        </w:rPr>
        <w:t>204399</w:t>
      </w:r>
      <w:r w:rsidRPr="0017659B">
        <w:rPr>
          <w:rFonts w:ascii="Arial" w:hAnsi="Arial" w:cs="Arial"/>
          <w:sz w:val="20"/>
          <w:szCs w:val="20"/>
        </w:rPr>
        <w:t>/1</w:t>
      </w:r>
      <w:r>
        <w:rPr>
          <w:rFonts w:ascii="Arial" w:hAnsi="Arial" w:cs="Arial"/>
          <w:sz w:val="20"/>
          <w:szCs w:val="20"/>
        </w:rPr>
        <w:t xml:space="preserve">7. </w:t>
      </w:r>
      <w:hyperlink r:id="rId13" w:history="1">
        <w:r w:rsidRPr="00E63E4C">
          <w:rPr>
            <w:rStyle w:val="Hyperlink"/>
            <w:rFonts w:ascii="Arial" w:hAnsi="Arial" w:cs="Arial"/>
            <w:sz w:val="20"/>
            <w:szCs w:val="20"/>
          </w:rPr>
          <w:t>Acórdão n° 2641/17 - Segunda Câmara</w:t>
        </w:r>
      </w:hyperlink>
      <w:r>
        <w:rPr>
          <w:rFonts w:ascii="Arial" w:hAnsi="Arial" w:cs="Arial"/>
          <w:sz w:val="20"/>
          <w:szCs w:val="20"/>
        </w:rPr>
        <w:t xml:space="preserve">. Relator Cons. </w:t>
      </w:r>
      <w:r w:rsidRPr="001B3ABC">
        <w:rPr>
          <w:rFonts w:ascii="Arial" w:hAnsi="Arial" w:cs="Arial"/>
          <w:sz w:val="20"/>
          <w:szCs w:val="20"/>
        </w:rPr>
        <w:t>Ivens Zschoerper Linhares</w:t>
      </w:r>
      <w:r>
        <w:rPr>
          <w:rFonts w:ascii="Arial" w:hAnsi="Arial" w:cs="Arial"/>
          <w:sz w:val="20"/>
          <w:szCs w:val="20"/>
        </w:rPr>
        <w:t xml:space="preserve">. </w:t>
      </w:r>
    </w:p>
    <w:p w:rsidR="00DB28E6" w:rsidRDefault="00DB28E6" w:rsidP="00494962">
      <w:pPr>
        <w:autoSpaceDE w:val="0"/>
        <w:autoSpaceDN w:val="0"/>
        <w:adjustRightInd w:val="0"/>
        <w:spacing w:after="0"/>
        <w:jc w:val="both"/>
        <w:rPr>
          <w:rFonts w:ascii="Arial" w:hAnsi="Arial" w:cs="Arial"/>
          <w:b/>
          <w:sz w:val="20"/>
          <w:szCs w:val="20"/>
        </w:rPr>
      </w:pPr>
    </w:p>
    <w:p w:rsidR="00794E33"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CE09E0">
        <w:rPr>
          <w:rFonts w:ascii="Arial" w:hAnsi="Arial" w:cs="Arial"/>
          <w:b/>
          <w:sz w:val="20"/>
          <w:szCs w:val="20"/>
        </w:rPr>
        <w:t>.</w:t>
      </w:r>
      <w:r>
        <w:rPr>
          <w:rFonts w:ascii="Arial" w:hAnsi="Arial" w:cs="Arial"/>
          <w:b/>
          <w:sz w:val="20"/>
          <w:szCs w:val="20"/>
        </w:rPr>
        <w:t xml:space="preserve"> </w:t>
      </w:r>
      <w:r w:rsidR="00794E33">
        <w:rPr>
          <w:rFonts w:ascii="Arial" w:hAnsi="Arial" w:cs="Arial"/>
          <w:b/>
          <w:sz w:val="20"/>
          <w:szCs w:val="20"/>
        </w:rPr>
        <w:t>Prestação de C</w:t>
      </w:r>
      <w:r w:rsidR="00794E33" w:rsidRPr="004C46B6">
        <w:rPr>
          <w:rFonts w:ascii="Arial" w:hAnsi="Arial" w:cs="Arial"/>
          <w:b/>
          <w:sz w:val="20"/>
          <w:szCs w:val="20"/>
        </w:rPr>
        <w:t xml:space="preserve">ontas </w:t>
      </w:r>
      <w:r w:rsidR="00794E33">
        <w:rPr>
          <w:rFonts w:ascii="Arial" w:hAnsi="Arial" w:cs="Arial"/>
          <w:b/>
          <w:sz w:val="20"/>
          <w:szCs w:val="20"/>
        </w:rPr>
        <w:t>Municipal. Parecer P</w:t>
      </w:r>
      <w:r w:rsidR="00794E33" w:rsidRPr="004C46B6">
        <w:rPr>
          <w:rFonts w:ascii="Arial" w:hAnsi="Arial" w:cs="Arial"/>
          <w:b/>
          <w:sz w:val="20"/>
          <w:szCs w:val="20"/>
        </w:rPr>
        <w:t xml:space="preserve">révio pela </w:t>
      </w:r>
      <w:r w:rsidR="00794E33">
        <w:rPr>
          <w:rFonts w:ascii="Arial,Bold" w:hAnsi="Arial,Bold" w:cs="Arial,Bold"/>
          <w:b/>
          <w:bCs/>
          <w:sz w:val="20"/>
          <w:szCs w:val="20"/>
        </w:rPr>
        <w:t>I</w:t>
      </w:r>
      <w:r w:rsidR="00794E33" w:rsidRPr="004C46B6">
        <w:rPr>
          <w:rFonts w:ascii="Arial,Bold" w:hAnsi="Arial,Bold" w:cs="Arial,Bold"/>
          <w:b/>
          <w:bCs/>
          <w:sz w:val="20"/>
          <w:szCs w:val="20"/>
        </w:rPr>
        <w:t>rregularidade</w:t>
      </w:r>
      <w:r w:rsidR="00794E33">
        <w:rPr>
          <w:rFonts w:ascii="Arial,Bold" w:hAnsi="Arial,Bold" w:cs="Arial,Bold"/>
          <w:b/>
          <w:bCs/>
          <w:sz w:val="20"/>
          <w:szCs w:val="20"/>
        </w:rPr>
        <w:t xml:space="preserve"> </w:t>
      </w:r>
      <w:r w:rsidR="00794E33" w:rsidRPr="004C46B6">
        <w:rPr>
          <w:rFonts w:ascii="Arial" w:hAnsi="Arial" w:cs="Arial"/>
          <w:b/>
          <w:sz w:val="20"/>
          <w:szCs w:val="20"/>
        </w:rPr>
        <w:t xml:space="preserve">das contas em razão da </w:t>
      </w:r>
      <w:r w:rsidR="00794E33" w:rsidRPr="004C46B6">
        <w:rPr>
          <w:rFonts w:ascii="Arial,Bold" w:hAnsi="Arial,Bold" w:cs="Arial,Bold"/>
          <w:b/>
          <w:bCs/>
          <w:sz w:val="20"/>
          <w:szCs w:val="20"/>
        </w:rPr>
        <w:t>falta de aplicação de 60% dos</w:t>
      </w:r>
      <w:r w:rsidR="00794E33">
        <w:rPr>
          <w:rFonts w:ascii="Arial,Bold" w:hAnsi="Arial,Bold" w:cs="Arial,Bold"/>
          <w:b/>
          <w:bCs/>
          <w:sz w:val="20"/>
          <w:szCs w:val="20"/>
        </w:rPr>
        <w:t xml:space="preserve"> </w:t>
      </w:r>
      <w:r w:rsidR="00794E33" w:rsidRPr="004C46B6">
        <w:rPr>
          <w:rFonts w:ascii="Arial,Bold" w:hAnsi="Arial,Bold" w:cs="Arial,Bold"/>
          <w:b/>
          <w:bCs/>
          <w:sz w:val="20"/>
          <w:szCs w:val="20"/>
        </w:rPr>
        <w:t>recursos do FUNDEB para o magistério</w:t>
      </w:r>
      <w:r w:rsidR="00794E33">
        <w:rPr>
          <w:rFonts w:ascii="Arial,Bold" w:hAnsi="Arial,Bold" w:cs="Arial,Bold"/>
          <w:b/>
          <w:bCs/>
          <w:sz w:val="20"/>
          <w:szCs w:val="20"/>
        </w:rPr>
        <w:t xml:space="preserve">. </w:t>
      </w:r>
      <w:r w:rsidR="00794E33">
        <w:rPr>
          <w:rFonts w:ascii="Arial" w:hAnsi="Arial" w:cs="Arial"/>
          <w:b/>
          <w:sz w:val="20"/>
          <w:szCs w:val="20"/>
        </w:rPr>
        <w:t>Pagamento de estagiários não faz parte da base de cálculo.</w:t>
      </w:r>
      <w:r w:rsidR="00794E33" w:rsidRPr="00E67F58">
        <w:rPr>
          <w:rFonts w:ascii="Arial" w:hAnsi="Arial" w:cs="Arial"/>
          <w:b/>
          <w:sz w:val="20"/>
          <w:szCs w:val="20"/>
        </w:rPr>
        <w:t xml:space="preserve"> </w:t>
      </w:r>
      <w:r w:rsidR="00794E33">
        <w:rPr>
          <w:rFonts w:ascii="Arial" w:hAnsi="Arial" w:cs="Arial"/>
          <w:b/>
          <w:sz w:val="20"/>
          <w:szCs w:val="20"/>
        </w:rPr>
        <w:t>A</w:t>
      </w:r>
      <w:r w:rsidR="00794E33" w:rsidRPr="004C46B6">
        <w:rPr>
          <w:rFonts w:ascii="Arial" w:hAnsi="Arial" w:cs="Arial"/>
          <w:b/>
          <w:sz w:val="20"/>
          <w:szCs w:val="20"/>
        </w:rPr>
        <w:t>plicação de</w:t>
      </w:r>
      <w:r w:rsidR="00794E33">
        <w:rPr>
          <w:rFonts w:ascii="Arial" w:hAnsi="Arial" w:cs="Arial"/>
          <w:b/>
          <w:sz w:val="20"/>
          <w:szCs w:val="20"/>
        </w:rPr>
        <w:t xml:space="preserve"> </w:t>
      </w:r>
      <w:r w:rsidR="00794E33" w:rsidRPr="004C46B6">
        <w:rPr>
          <w:rFonts w:ascii="Arial,Bold" w:hAnsi="Arial,Bold" w:cs="Arial,Bold"/>
          <w:b/>
          <w:bCs/>
          <w:sz w:val="20"/>
          <w:szCs w:val="20"/>
        </w:rPr>
        <w:t>multa</w:t>
      </w:r>
      <w:r w:rsidR="00794E33">
        <w:rPr>
          <w:rFonts w:ascii="Arial,Bold" w:hAnsi="Arial,Bold" w:cs="Arial,Bold"/>
          <w:b/>
          <w:bCs/>
          <w:sz w:val="20"/>
          <w:szCs w:val="20"/>
        </w:rPr>
        <w:t xml:space="preserve">. </w:t>
      </w:r>
    </w:p>
    <w:p w:rsidR="00794E33" w:rsidRPr="004C46B6" w:rsidRDefault="00794E33" w:rsidP="00494962">
      <w:pPr>
        <w:autoSpaceDE w:val="0"/>
        <w:autoSpaceDN w:val="0"/>
        <w:adjustRightInd w:val="0"/>
        <w:spacing w:after="0"/>
        <w:jc w:val="both"/>
        <w:rPr>
          <w:rFonts w:ascii="Arial" w:hAnsi="Arial" w:cs="Arial"/>
          <w:b/>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D26594">
        <w:rPr>
          <w:rFonts w:ascii="Arial" w:hAnsi="Arial" w:cs="Arial"/>
          <w:sz w:val="20"/>
          <w:szCs w:val="20"/>
        </w:rPr>
        <w:t>Destaca-se que, mesmo em sede de contraditório, o Responsável</w:t>
      </w:r>
      <w:r>
        <w:rPr>
          <w:rFonts w:ascii="Arial" w:hAnsi="Arial" w:cs="Arial"/>
          <w:sz w:val="20"/>
          <w:szCs w:val="20"/>
        </w:rPr>
        <w:t xml:space="preserve"> </w:t>
      </w:r>
      <w:r w:rsidRPr="00D26594">
        <w:rPr>
          <w:rFonts w:ascii="Arial" w:hAnsi="Arial" w:cs="Arial"/>
          <w:sz w:val="20"/>
          <w:szCs w:val="20"/>
        </w:rPr>
        <w:t>não logrou êxito em comprovar a aplicação do percentual mínimo das receitas</w:t>
      </w:r>
      <w:r>
        <w:rPr>
          <w:rFonts w:ascii="Arial" w:hAnsi="Arial" w:cs="Arial"/>
          <w:sz w:val="20"/>
          <w:szCs w:val="20"/>
        </w:rPr>
        <w:t xml:space="preserve"> </w:t>
      </w:r>
      <w:r w:rsidRPr="00D26594">
        <w:rPr>
          <w:rFonts w:ascii="Arial" w:hAnsi="Arial" w:cs="Arial"/>
          <w:sz w:val="20"/>
          <w:szCs w:val="20"/>
        </w:rPr>
        <w:t xml:space="preserve">oriundas do </w:t>
      </w:r>
      <w:r w:rsidRPr="00D26594">
        <w:rPr>
          <w:rFonts w:ascii="Arial" w:hAnsi="Arial" w:cs="Arial"/>
          <w:bCs/>
          <w:sz w:val="20"/>
          <w:szCs w:val="20"/>
        </w:rPr>
        <w:t>Fundo de Manutenção e Desenvolvimento da Educação Básica e de</w:t>
      </w:r>
      <w:r>
        <w:rPr>
          <w:rFonts w:ascii="Arial" w:hAnsi="Arial" w:cs="Arial"/>
          <w:bCs/>
          <w:sz w:val="20"/>
          <w:szCs w:val="20"/>
        </w:rPr>
        <w:t xml:space="preserve"> </w:t>
      </w:r>
      <w:r w:rsidRPr="00D26594">
        <w:rPr>
          <w:rFonts w:ascii="Arial" w:hAnsi="Arial" w:cs="Arial"/>
          <w:bCs/>
          <w:sz w:val="20"/>
          <w:szCs w:val="20"/>
        </w:rPr>
        <w:t xml:space="preserve">Valorização dos Profissionais da Educação </w:t>
      </w:r>
      <w:r>
        <w:rPr>
          <w:rFonts w:ascii="Arial" w:hAnsi="Arial" w:cs="Arial"/>
          <w:bCs/>
          <w:sz w:val="20"/>
          <w:szCs w:val="20"/>
        </w:rPr>
        <w:t>-</w:t>
      </w:r>
      <w:r w:rsidRPr="00D26594">
        <w:rPr>
          <w:rFonts w:ascii="Arial" w:hAnsi="Arial" w:cs="Arial"/>
          <w:bCs/>
          <w:sz w:val="20"/>
          <w:szCs w:val="20"/>
        </w:rPr>
        <w:t xml:space="preserve"> FUNDEB </w:t>
      </w:r>
      <w:r w:rsidRPr="00D26594">
        <w:rPr>
          <w:rFonts w:ascii="Arial" w:hAnsi="Arial" w:cs="Arial"/>
          <w:sz w:val="20"/>
          <w:szCs w:val="20"/>
        </w:rPr>
        <w:t>no Magistério, nos termos</w:t>
      </w:r>
      <w:r>
        <w:rPr>
          <w:rFonts w:ascii="Arial" w:hAnsi="Arial" w:cs="Arial"/>
          <w:sz w:val="20"/>
          <w:szCs w:val="20"/>
        </w:rPr>
        <w:t xml:space="preserve"> </w:t>
      </w:r>
      <w:r w:rsidRPr="00D26594">
        <w:rPr>
          <w:rFonts w:ascii="Arial" w:hAnsi="Arial" w:cs="Arial"/>
          <w:sz w:val="20"/>
          <w:szCs w:val="20"/>
        </w:rPr>
        <w:t xml:space="preserve">determinados pela Lei nº 11.494/2007, atingindo, apenas, o índice de </w:t>
      </w:r>
      <w:r w:rsidRPr="00D26594">
        <w:rPr>
          <w:rFonts w:ascii="Arial" w:hAnsi="Arial" w:cs="Arial"/>
          <w:bCs/>
          <w:sz w:val="20"/>
          <w:szCs w:val="20"/>
        </w:rPr>
        <w:t>51,59%,</w:t>
      </w:r>
      <w:r>
        <w:rPr>
          <w:rFonts w:ascii="Arial" w:hAnsi="Arial" w:cs="Arial"/>
          <w:bCs/>
          <w:sz w:val="20"/>
          <w:szCs w:val="20"/>
        </w:rPr>
        <w:t xml:space="preserve"> </w:t>
      </w:r>
      <w:r w:rsidRPr="00D26594">
        <w:rPr>
          <w:rFonts w:ascii="Arial" w:hAnsi="Arial" w:cs="Arial"/>
          <w:sz w:val="20"/>
          <w:szCs w:val="20"/>
        </w:rPr>
        <w:t>(cinquenta e um vírgula cinquenta e nove por cento).</w:t>
      </w:r>
      <w:r>
        <w:rPr>
          <w:rFonts w:ascii="Arial" w:hAnsi="Arial" w:cs="Arial"/>
          <w:sz w:val="20"/>
          <w:szCs w:val="20"/>
        </w:rPr>
        <w:t xml:space="preserve"> </w:t>
      </w:r>
    </w:p>
    <w:p w:rsidR="00794E33" w:rsidRDefault="00794E33" w:rsidP="00494962">
      <w:pPr>
        <w:autoSpaceDE w:val="0"/>
        <w:autoSpaceDN w:val="0"/>
        <w:adjustRightInd w:val="0"/>
        <w:spacing w:after="0"/>
        <w:jc w:val="both"/>
        <w:rPr>
          <w:rFonts w:ascii="Arial" w:hAnsi="Arial" w:cs="Arial"/>
          <w:sz w:val="20"/>
          <w:szCs w:val="20"/>
        </w:rPr>
      </w:pPr>
    </w:p>
    <w:p w:rsidR="007E005E" w:rsidRDefault="007E005E"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D26594">
        <w:rPr>
          <w:rFonts w:ascii="Arial" w:hAnsi="Arial" w:cs="Arial"/>
          <w:sz w:val="20"/>
          <w:szCs w:val="20"/>
        </w:rPr>
        <w:t>Cabe ressaltar que as despesas com pagamento de estagiários não</w:t>
      </w:r>
      <w:r>
        <w:rPr>
          <w:rFonts w:ascii="Arial" w:hAnsi="Arial" w:cs="Arial"/>
          <w:sz w:val="20"/>
          <w:szCs w:val="20"/>
        </w:rPr>
        <w:t xml:space="preserve"> </w:t>
      </w:r>
      <w:r w:rsidRPr="00D26594">
        <w:rPr>
          <w:rFonts w:ascii="Arial" w:hAnsi="Arial" w:cs="Arial"/>
          <w:sz w:val="20"/>
          <w:szCs w:val="20"/>
        </w:rPr>
        <w:t>fazem parte da base de cálculo para a apuração do índice em exame, como</w:t>
      </w:r>
      <w:r>
        <w:rPr>
          <w:rFonts w:ascii="Arial" w:hAnsi="Arial" w:cs="Arial"/>
          <w:sz w:val="20"/>
          <w:szCs w:val="20"/>
        </w:rPr>
        <w:t xml:space="preserve"> </w:t>
      </w:r>
      <w:r w:rsidRPr="00D26594">
        <w:rPr>
          <w:rFonts w:ascii="Arial" w:hAnsi="Arial" w:cs="Arial"/>
          <w:sz w:val="20"/>
          <w:szCs w:val="20"/>
        </w:rPr>
        <w:t>incorretamente entendeu o Responsável pelas Contas, pois, conforme determina o</w:t>
      </w:r>
      <w:r>
        <w:rPr>
          <w:rFonts w:ascii="Arial" w:hAnsi="Arial" w:cs="Arial"/>
          <w:sz w:val="20"/>
          <w:szCs w:val="20"/>
        </w:rPr>
        <w:t xml:space="preserve"> </w:t>
      </w:r>
      <w:r w:rsidRPr="00D26594">
        <w:rPr>
          <w:rFonts w:ascii="Arial" w:hAnsi="Arial" w:cs="Arial"/>
          <w:sz w:val="20"/>
          <w:szCs w:val="20"/>
        </w:rPr>
        <w:t>artigo 22 da Lei Federal nº 11.494/07, a apuração do índice de aplicação de 60%</w:t>
      </w:r>
      <w:r>
        <w:rPr>
          <w:rFonts w:ascii="Arial" w:hAnsi="Arial" w:cs="Arial"/>
          <w:sz w:val="20"/>
          <w:szCs w:val="20"/>
        </w:rPr>
        <w:t xml:space="preserve"> </w:t>
      </w:r>
      <w:r w:rsidRPr="00D26594">
        <w:rPr>
          <w:rFonts w:ascii="Arial" w:hAnsi="Arial" w:cs="Arial"/>
          <w:sz w:val="20"/>
          <w:szCs w:val="20"/>
        </w:rPr>
        <w:t>dos recursos do FUNDEB no Magistério deve ser realizada com base na</w:t>
      </w:r>
      <w:r>
        <w:rPr>
          <w:rFonts w:ascii="Arial" w:hAnsi="Arial" w:cs="Arial"/>
          <w:sz w:val="20"/>
          <w:szCs w:val="20"/>
        </w:rPr>
        <w:t xml:space="preserve"> </w:t>
      </w:r>
      <w:r w:rsidRPr="00D26594">
        <w:rPr>
          <w:rFonts w:ascii="Arial" w:hAnsi="Arial" w:cs="Arial"/>
          <w:sz w:val="20"/>
          <w:szCs w:val="20"/>
        </w:rPr>
        <w:t xml:space="preserve">remuneração dos profissionais em </w:t>
      </w:r>
      <w:r w:rsidRPr="00D26594">
        <w:rPr>
          <w:rFonts w:ascii="Arial" w:hAnsi="Arial" w:cs="Arial"/>
          <w:bCs/>
          <w:sz w:val="20"/>
          <w:szCs w:val="20"/>
        </w:rPr>
        <w:t>efetivo exercício</w:t>
      </w:r>
      <w:r w:rsidRPr="00D26594">
        <w:rPr>
          <w:rFonts w:ascii="Arial" w:hAnsi="Arial" w:cs="Arial"/>
          <w:sz w:val="20"/>
          <w:szCs w:val="20"/>
        </w:rPr>
        <w:t>.</w:t>
      </w:r>
      <w:r>
        <w:rPr>
          <w:rFonts w:ascii="Arial" w:hAnsi="Arial" w:cs="Arial"/>
          <w:sz w:val="20"/>
          <w:szCs w:val="20"/>
        </w:rPr>
        <w:t xml:space="preserve"> </w:t>
      </w:r>
      <w:r w:rsidRPr="00D26594">
        <w:rPr>
          <w:rFonts w:ascii="Arial" w:hAnsi="Arial" w:cs="Arial"/>
          <w:sz w:val="20"/>
          <w:szCs w:val="20"/>
        </w:rPr>
        <w:t xml:space="preserve">Portanto, cabe a </w:t>
      </w:r>
      <w:r w:rsidRPr="00D26594">
        <w:rPr>
          <w:rFonts w:ascii="Arial" w:hAnsi="Arial" w:cs="Arial"/>
          <w:bCs/>
          <w:sz w:val="20"/>
          <w:szCs w:val="20"/>
        </w:rPr>
        <w:t xml:space="preserve">irregularidade </w:t>
      </w:r>
      <w:r w:rsidRPr="00D26594">
        <w:rPr>
          <w:rFonts w:ascii="Arial" w:hAnsi="Arial" w:cs="Arial"/>
          <w:sz w:val="20"/>
          <w:szCs w:val="20"/>
        </w:rPr>
        <w:t>do item com aplicação de</w:t>
      </w:r>
      <w:r>
        <w:rPr>
          <w:rFonts w:ascii="Arial" w:hAnsi="Arial" w:cs="Arial"/>
          <w:sz w:val="20"/>
          <w:szCs w:val="20"/>
        </w:rPr>
        <w:t xml:space="preserve"> </w:t>
      </w:r>
      <w:r w:rsidRPr="00D26594">
        <w:rPr>
          <w:rFonts w:ascii="Arial" w:hAnsi="Arial" w:cs="Arial"/>
          <w:bCs/>
          <w:sz w:val="20"/>
          <w:szCs w:val="20"/>
        </w:rPr>
        <w:t>multa</w:t>
      </w:r>
      <w:r w:rsidRPr="00D26594">
        <w:rPr>
          <w:rFonts w:ascii="Arial" w:hAnsi="Arial" w:cs="Arial"/>
          <w:sz w:val="20"/>
          <w:szCs w:val="20"/>
        </w:rPr>
        <w:t>.</w:t>
      </w:r>
    </w:p>
    <w:p w:rsidR="00794E33" w:rsidRPr="0017659B"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17659B">
        <w:rPr>
          <w:rFonts w:ascii="Arial" w:hAnsi="Arial" w:cs="Arial"/>
          <w:sz w:val="20"/>
          <w:szCs w:val="20"/>
        </w:rPr>
        <w:t>Processo n° 19304</w:t>
      </w:r>
      <w:r>
        <w:rPr>
          <w:rFonts w:ascii="Arial" w:hAnsi="Arial" w:cs="Arial"/>
          <w:sz w:val="20"/>
          <w:szCs w:val="20"/>
        </w:rPr>
        <w:t>-</w:t>
      </w:r>
      <w:r w:rsidRPr="0017659B">
        <w:rPr>
          <w:rFonts w:ascii="Arial" w:hAnsi="Arial" w:cs="Arial"/>
          <w:sz w:val="20"/>
          <w:szCs w:val="20"/>
        </w:rPr>
        <w:t>0/13</w:t>
      </w:r>
      <w:r>
        <w:rPr>
          <w:rFonts w:ascii="Arial" w:hAnsi="Arial" w:cs="Arial"/>
          <w:sz w:val="20"/>
          <w:szCs w:val="20"/>
        </w:rPr>
        <w:t xml:space="preserve">. </w:t>
      </w:r>
      <w:hyperlink r:id="rId14" w:history="1">
        <w:r w:rsidRPr="00253846">
          <w:rPr>
            <w:rStyle w:val="Hyperlink"/>
            <w:rFonts w:ascii="Arial" w:hAnsi="Arial" w:cs="Arial"/>
            <w:sz w:val="20"/>
            <w:szCs w:val="20"/>
          </w:rPr>
          <w:t>Acórdão de Parecer Prévio n° 278/17 - Segunda Câmara</w:t>
        </w:r>
      </w:hyperlink>
      <w:r>
        <w:rPr>
          <w:rFonts w:ascii="Arial" w:hAnsi="Arial" w:cs="Arial"/>
          <w:sz w:val="20"/>
          <w:szCs w:val="20"/>
        </w:rPr>
        <w:t xml:space="preserve">. Rel.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794E33" w:rsidRDefault="00794E33" w:rsidP="00494962">
      <w:pPr>
        <w:autoSpaceDE w:val="0"/>
        <w:autoSpaceDN w:val="0"/>
        <w:adjustRightInd w:val="0"/>
        <w:spacing w:after="0"/>
        <w:jc w:val="both"/>
        <w:rPr>
          <w:rFonts w:ascii="Arial" w:hAnsi="Arial" w:cs="Arial"/>
          <w:sz w:val="20"/>
          <w:szCs w:val="20"/>
        </w:rPr>
      </w:pPr>
    </w:p>
    <w:p w:rsidR="00794E33" w:rsidRPr="00126E0D" w:rsidRDefault="00070929" w:rsidP="00494962">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CE09E0">
        <w:rPr>
          <w:rFonts w:ascii="Arial" w:hAnsi="Arial" w:cs="Arial"/>
          <w:b/>
          <w:sz w:val="20"/>
          <w:szCs w:val="20"/>
        </w:rPr>
        <w:t>.</w:t>
      </w:r>
      <w:r>
        <w:rPr>
          <w:rFonts w:ascii="Arial" w:hAnsi="Arial" w:cs="Arial"/>
          <w:b/>
          <w:sz w:val="20"/>
          <w:szCs w:val="20"/>
        </w:rPr>
        <w:t xml:space="preserve"> </w:t>
      </w:r>
      <w:r w:rsidR="00794E33" w:rsidRPr="00126E0D">
        <w:rPr>
          <w:rFonts w:ascii="Arial" w:hAnsi="Arial" w:cs="Arial"/>
          <w:b/>
          <w:sz w:val="20"/>
          <w:szCs w:val="20"/>
        </w:rPr>
        <w:t>Aposentadoria Estadual. Auditor Fiscal. Lei</w:t>
      </w:r>
      <w:r w:rsidR="00794E33">
        <w:rPr>
          <w:rFonts w:ascii="Arial" w:hAnsi="Arial" w:cs="Arial"/>
          <w:b/>
          <w:sz w:val="20"/>
          <w:szCs w:val="20"/>
        </w:rPr>
        <w:t xml:space="preserve"> </w:t>
      </w:r>
      <w:r w:rsidR="00794E33" w:rsidRPr="00126E0D">
        <w:rPr>
          <w:rFonts w:ascii="Arial" w:hAnsi="Arial" w:cs="Arial"/>
          <w:b/>
          <w:sz w:val="20"/>
          <w:szCs w:val="20"/>
        </w:rPr>
        <w:t>Complementar Estadual nº 92/2002 e nº</w:t>
      </w:r>
      <w:r w:rsidR="00794E33">
        <w:rPr>
          <w:rFonts w:ascii="Arial" w:hAnsi="Arial" w:cs="Arial"/>
          <w:b/>
          <w:sz w:val="20"/>
          <w:szCs w:val="20"/>
        </w:rPr>
        <w:t xml:space="preserve"> </w:t>
      </w:r>
      <w:r w:rsidR="00794E33" w:rsidRPr="00126E0D">
        <w:rPr>
          <w:rFonts w:ascii="Arial" w:hAnsi="Arial" w:cs="Arial"/>
          <w:b/>
          <w:sz w:val="20"/>
          <w:szCs w:val="20"/>
        </w:rPr>
        <w:t>131/2010. Princípio da</w:t>
      </w:r>
      <w:r w:rsidR="00794E33">
        <w:rPr>
          <w:rFonts w:ascii="Arial" w:hAnsi="Arial" w:cs="Arial"/>
          <w:b/>
          <w:sz w:val="20"/>
          <w:szCs w:val="20"/>
        </w:rPr>
        <w:t xml:space="preserve"> </w:t>
      </w:r>
      <w:r w:rsidR="00794E33" w:rsidRPr="00126E0D">
        <w:rPr>
          <w:rFonts w:ascii="Arial" w:hAnsi="Arial" w:cs="Arial"/>
          <w:b/>
          <w:sz w:val="20"/>
          <w:szCs w:val="20"/>
        </w:rPr>
        <w:t>segurança jurídica e boa-fé do administrado. Registro do ato de</w:t>
      </w:r>
      <w:r w:rsidR="00794E33">
        <w:rPr>
          <w:rFonts w:ascii="Arial" w:hAnsi="Arial" w:cs="Arial"/>
          <w:b/>
          <w:sz w:val="20"/>
          <w:szCs w:val="20"/>
        </w:rPr>
        <w:t xml:space="preserve"> </w:t>
      </w:r>
      <w:r w:rsidR="00794E33" w:rsidRPr="00126E0D">
        <w:rPr>
          <w:rFonts w:ascii="Arial" w:hAnsi="Arial" w:cs="Arial"/>
          <w:b/>
          <w:sz w:val="20"/>
          <w:szCs w:val="20"/>
        </w:rPr>
        <w:t>inativação.</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t>As leis complementares, referentes ao reenquadramento funcional</w:t>
      </w:r>
      <w:r>
        <w:rPr>
          <w:rFonts w:ascii="Arial" w:hAnsi="Arial" w:cs="Arial"/>
          <w:sz w:val="20"/>
          <w:szCs w:val="20"/>
        </w:rPr>
        <w:t xml:space="preserve"> </w:t>
      </w:r>
      <w:r w:rsidRPr="00126E0D">
        <w:rPr>
          <w:rFonts w:ascii="Arial" w:hAnsi="Arial" w:cs="Arial"/>
          <w:sz w:val="20"/>
          <w:szCs w:val="20"/>
        </w:rPr>
        <w:t>do servidor, foram objeto de declaração de inconstitucionalidade pelo Tribunal de</w:t>
      </w:r>
      <w:r>
        <w:rPr>
          <w:rFonts w:ascii="Arial" w:hAnsi="Arial" w:cs="Arial"/>
          <w:sz w:val="20"/>
          <w:szCs w:val="20"/>
        </w:rPr>
        <w:t xml:space="preserve"> </w:t>
      </w:r>
      <w:r w:rsidRPr="00126E0D">
        <w:rPr>
          <w:rFonts w:ascii="Arial" w:hAnsi="Arial" w:cs="Arial"/>
          <w:sz w:val="20"/>
          <w:szCs w:val="20"/>
        </w:rPr>
        <w:t>Justiça do Estado do Paraná, porém, ainda não foram apreciadas pelo Supremo</w:t>
      </w:r>
      <w:r>
        <w:rPr>
          <w:rFonts w:ascii="Arial" w:hAnsi="Arial" w:cs="Arial"/>
          <w:sz w:val="20"/>
          <w:szCs w:val="20"/>
        </w:rPr>
        <w:t xml:space="preserve"> </w:t>
      </w:r>
      <w:r w:rsidRPr="00126E0D">
        <w:rPr>
          <w:rFonts w:ascii="Arial" w:hAnsi="Arial" w:cs="Arial"/>
          <w:sz w:val="20"/>
          <w:szCs w:val="20"/>
        </w:rPr>
        <w:t xml:space="preserve">Tribunal Federal. </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t>No entanto, em decisão monocrática pelo indeferimento da medida</w:t>
      </w:r>
      <w:r>
        <w:rPr>
          <w:rFonts w:ascii="Arial" w:hAnsi="Arial" w:cs="Arial"/>
          <w:sz w:val="20"/>
          <w:szCs w:val="20"/>
        </w:rPr>
        <w:t xml:space="preserve"> </w:t>
      </w:r>
      <w:r w:rsidRPr="00126E0D">
        <w:rPr>
          <w:rFonts w:ascii="Arial" w:hAnsi="Arial" w:cs="Arial"/>
          <w:sz w:val="20"/>
          <w:szCs w:val="20"/>
        </w:rPr>
        <w:t>cautelar, a Suprema Corte considerou o grande lapso temporal entre as datas das</w:t>
      </w:r>
      <w:r>
        <w:rPr>
          <w:rFonts w:ascii="Arial" w:hAnsi="Arial" w:cs="Arial"/>
          <w:sz w:val="20"/>
          <w:szCs w:val="20"/>
        </w:rPr>
        <w:t xml:space="preserve"> </w:t>
      </w:r>
      <w:r w:rsidRPr="00126E0D">
        <w:rPr>
          <w:rFonts w:ascii="Arial" w:hAnsi="Arial" w:cs="Arial"/>
          <w:sz w:val="20"/>
          <w:szCs w:val="20"/>
        </w:rPr>
        <w:t>leis complementares (2002 e 2010) e a data da propositura da ação direta de</w:t>
      </w:r>
      <w:r>
        <w:rPr>
          <w:rFonts w:ascii="Arial" w:hAnsi="Arial" w:cs="Arial"/>
          <w:sz w:val="20"/>
          <w:szCs w:val="20"/>
        </w:rPr>
        <w:t xml:space="preserve"> </w:t>
      </w:r>
      <w:r w:rsidRPr="00126E0D">
        <w:rPr>
          <w:rFonts w:ascii="Arial" w:hAnsi="Arial" w:cs="Arial"/>
          <w:sz w:val="20"/>
          <w:szCs w:val="20"/>
        </w:rPr>
        <w:t>inconstitucionalidade, ajuizada somente em 2016, observando que, conforme</w:t>
      </w:r>
      <w:r>
        <w:rPr>
          <w:rFonts w:ascii="Arial" w:hAnsi="Arial" w:cs="Arial"/>
          <w:sz w:val="20"/>
          <w:szCs w:val="20"/>
        </w:rPr>
        <w:t xml:space="preserve"> </w:t>
      </w:r>
      <w:r w:rsidRPr="00126E0D">
        <w:rPr>
          <w:rFonts w:ascii="Arial" w:hAnsi="Arial" w:cs="Arial"/>
          <w:sz w:val="20"/>
          <w:szCs w:val="20"/>
        </w:rPr>
        <w:t>entendimento já pacificado, o transcurso de longo prazo no ajuizamento da ação</w:t>
      </w:r>
      <w:r>
        <w:rPr>
          <w:rFonts w:ascii="Arial" w:hAnsi="Arial" w:cs="Arial"/>
          <w:sz w:val="20"/>
          <w:szCs w:val="20"/>
        </w:rPr>
        <w:t xml:space="preserve"> </w:t>
      </w:r>
      <w:r w:rsidRPr="00126E0D">
        <w:rPr>
          <w:rFonts w:ascii="Arial" w:hAnsi="Arial" w:cs="Arial"/>
          <w:sz w:val="20"/>
          <w:szCs w:val="20"/>
        </w:rPr>
        <w:t>constitui indício relevante da inexistência do perigo na demora em se obter o</w:t>
      </w:r>
      <w:r>
        <w:rPr>
          <w:rFonts w:ascii="Arial" w:hAnsi="Arial" w:cs="Arial"/>
          <w:sz w:val="20"/>
          <w:szCs w:val="20"/>
        </w:rPr>
        <w:t xml:space="preserve"> </w:t>
      </w:r>
      <w:r w:rsidRPr="00126E0D">
        <w:rPr>
          <w:rFonts w:ascii="Arial" w:hAnsi="Arial" w:cs="Arial"/>
          <w:sz w:val="20"/>
          <w:szCs w:val="20"/>
        </w:rPr>
        <w:t>provimento judicial</w:t>
      </w:r>
      <w:r>
        <w:rPr>
          <w:rFonts w:ascii="Arial" w:hAnsi="Arial" w:cs="Arial"/>
          <w:sz w:val="20"/>
          <w:szCs w:val="20"/>
        </w:rPr>
        <w:t>.</w:t>
      </w:r>
    </w:p>
    <w:p w:rsidR="00794E33" w:rsidRDefault="00794E33" w:rsidP="00494962">
      <w:pPr>
        <w:autoSpaceDE w:val="0"/>
        <w:autoSpaceDN w:val="0"/>
        <w:adjustRightInd w:val="0"/>
        <w:spacing w:after="0"/>
        <w:jc w:val="both"/>
        <w:rPr>
          <w:rFonts w:ascii="Arial" w:hAnsi="Arial" w:cs="Arial"/>
          <w:sz w:val="20"/>
          <w:szCs w:val="20"/>
        </w:rPr>
      </w:pPr>
    </w:p>
    <w:p w:rsidR="00794E33" w:rsidRPr="00126E0D"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t>Neste sentido, o grande lapso de tempo</w:t>
      </w:r>
      <w:r>
        <w:rPr>
          <w:rFonts w:ascii="Arial" w:hAnsi="Arial" w:cs="Arial"/>
          <w:sz w:val="20"/>
          <w:szCs w:val="20"/>
        </w:rPr>
        <w:t xml:space="preserve"> </w:t>
      </w:r>
      <w:r w:rsidRPr="00126E0D">
        <w:rPr>
          <w:rFonts w:ascii="Arial" w:hAnsi="Arial" w:cs="Arial"/>
          <w:sz w:val="20"/>
          <w:szCs w:val="20"/>
        </w:rPr>
        <w:t>transcorrido entre o reenquadramento dos servidores concursados e o</w:t>
      </w:r>
      <w:r>
        <w:rPr>
          <w:rFonts w:ascii="Arial" w:hAnsi="Arial" w:cs="Arial"/>
          <w:sz w:val="20"/>
          <w:szCs w:val="20"/>
        </w:rPr>
        <w:t xml:space="preserve"> </w:t>
      </w:r>
      <w:r w:rsidRPr="00126E0D">
        <w:rPr>
          <w:rFonts w:ascii="Arial" w:hAnsi="Arial" w:cs="Arial"/>
          <w:sz w:val="20"/>
          <w:szCs w:val="20"/>
        </w:rPr>
        <w:t>questionamento das normas legais regulamentadoras do ato, foi determinante em</w:t>
      </w:r>
      <w:r>
        <w:rPr>
          <w:rFonts w:ascii="Arial" w:hAnsi="Arial" w:cs="Arial"/>
          <w:sz w:val="20"/>
          <w:szCs w:val="20"/>
        </w:rPr>
        <w:t xml:space="preserve"> </w:t>
      </w:r>
      <w:r w:rsidRPr="00126E0D">
        <w:rPr>
          <w:rFonts w:ascii="Arial" w:hAnsi="Arial" w:cs="Arial"/>
          <w:sz w:val="20"/>
          <w:szCs w:val="20"/>
        </w:rPr>
        <w:t>tornar a situação irreversível e convalidar os efeitos do ato.</w:t>
      </w:r>
    </w:p>
    <w:p w:rsidR="00794E33"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lastRenderedPageBreak/>
        <w:t>Logo, o princípio da segurança jurídica permite preservar a eficácia</w:t>
      </w:r>
      <w:r>
        <w:rPr>
          <w:rFonts w:ascii="Arial" w:hAnsi="Arial" w:cs="Arial"/>
          <w:sz w:val="20"/>
          <w:szCs w:val="20"/>
        </w:rPr>
        <w:t xml:space="preserve"> </w:t>
      </w:r>
      <w:r w:rsidRPr="00126E0D">
        <w:rPr>
          <w:rFonts w:ascii="Arial" w:hAnsi="Arial" w:cs="Arial"/>
          <w:sz w:val="20"/>
          <w:szCs w:val="20"/>
        </w:rPr>
        <w:t>do ato administrativo, convalidando-o, uma vez que a negativa de registro da</w:t>
      </w:r>
      <w:r>
        <w:rPr>
          <w:rFonts w:ascii="Arial" w:hAnsi="Arial" w:cs="Arial"/>
          <w:sz w:val="20"/>
          <w:szCs w:val="20"/>
        </w:rPr>
        <w:t xml:space="preserve"> </w:t>
      </w:r>
      <w:r w:rsidRPr="00126E0D">
        <w:rPr>
          <w:rFonts w:ascii="Arial" w:hAnsi="Arial" w:cs="Arial"/>
          <w:sz w:val="20"/>
          <w:szCs w:val="20"/>
        </w:rPr>
        <w:t>inativação seria mais gravosa à ordem jurídica, causando prejuízo ao servidor</w:t>
      </w:r>
      <w:r>
        <w:rPr>
          <w:rFonts w:ascii="Arial" w:hAnsi="Arial" w:cs="Arial"/>
          <w:sz w:val="20"/>
          <w:szCs w:val="20"/>
        </w:rPr>
        <w:t xml:space="preserve"> </w:t>
      </w:r>
      <w:r w:rsidRPr="00126E0D">
        <w:rPr>
          <w:rFonts w:ascii="Arial" w:hAnsi="Arial" w:cs="Arial"/>
          <w:sz w:val="20"/>
          <w:szCs w:val="20"/>
        </w:rPr>
        <w:t>aposentado e grande instabilidade nas relações com os demais jurisdicionados.</w:t>
      </w:r>
    </w:p>
    <w:p w:rsidR="00794E33" w:rsidRPr="00126E0D"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t>Ainda, nesse diapasão, há que se ater à boa-fé do servidor</w:t>
      </w:r>
      <w:r>
        <w:rPr>
          <w:rFonts w:ascii="Arial" w:hAnsi="Arial" w:cs="Arial"/>
          <w:sz w:val="20"/>
          <w:szCs w:val="20"/>
        </w:rPr>
        <w:t xml:space="preserve"> </w:t>
      </w:r>
      <w:r w:rsidRPr="00126E0D">
        <w:rPr>
          <w:rFonts w:ascii="Arial" w:hAnsi="Arial" w:cs="Arial"/>
          <w:sz w:val="20"/>
          <w:szCs w:val="20"/>
        </w:rPr>
        <w:t>aposentado, o qual foi transposto de cargo através de legislação complementar, à</w:t>
      </w:r>
      <w:r>
        <w:rPr>
          <w:rFonts w:ascii="Arial" w:hAnsi="Arial" w:cs="Arial"/>
          <w:sz w:val="20"/>
          <w:szCs w:val="20"/>
        </w:rPr>
        <w:t xml:space="preserve"> </w:t>
      </w:r>
      <w:r w:rsidRPr="00126E0D">
        <w:rPr>
          <w:rFonts w:ascii="Arial" w:hAnsi="Arial" w:cs="Arial"/>
          <w:sz w:val="20"/>
          <w:szCs w:val="20"/>
        </w:rPr>
        <w:t>época, plenamente válida e eficaz, no qual exerceu atividades inerentes a suas</w:t>
      </w:r>
      <w:r>
        <w:rPr>
          <w:rFonts w:ascii="Arial" w:hAnsi="Arial" w:cs="Arial"/>
          <w:sz w:val="20"/>
          <w:szCs w:val="20"/>
        </w:rPr>
        <w:t xml:space="preserve"> </w:t>
      </w:r>
      <w:r w:rsidRPr="00126E0D">
        <w:rPr>
          <w:rFonts w:ascii="Arial" w:hAnsi="Arial" w:cs="Arial"/>
          <w:sz w:val="20"/>
          <w:szCs w:val="20"/>
        </w:rPr>
        <w:t>atribuições e recolheu as contribuições sobre os proventos recebidos.</w:t>
      </w:r>
      <w:r>
        <w:rPr>
          <w:rFonts w:ascii="Arial" w:hAnsi="Arial" w:cs="Arial"/>
          <w:sz w:val="20"/>
          <w:szCs w:val="20"/>
        </w:rPr>
        <w:t xml:space="preserve"> </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sidRPr="00126E0D">
        <w:rPr>
          <w:rFonts w:ascii="Arial" w:hAnsi="Arial" w:cs="Arial"/>
          <w:sz w:val="20"/>
          <w:szCs w:val="20"/>
        </w:rPr>
        <w:t>Assim, em atenção aos princípios da segurança jurídica e boa-fé do</w:t>
      </w:r>
      <w:r>
        <w:rPr>
          <w:rFonts w:ascii="Arial" w:hAnsi="Arial" w:cs="Arial"/>
          <w:sz w:val="20"/>
          <w:szCs w:val="20"/>
        </w:rPr>
        <w:t xml:space="preserve"> </w:t>
      </w:r>
      <w:r w:rsidRPr="00126E0D">
        <w:rPr>
          <w:rFonts w:ascii="Arial" w:hAnsi="Arial" w:cs="Arial"/>
          <w:sz w:val="20"/>
          <w:szCs w:val="20"/>
        </w:rPr>
        <w:t>administrado, bem como considerando que a matéria já foi apreciada por esta Corte</w:t>
      </w:r>
      <w:r>
        <w:rPr>
          <w:rFonts w:ascii="Arial" w:hAnsi="Arial" w:cs="Arial"/>
          <w:sz w:val="20"/>
          <w:szCs w:val="20"/>
        </w:rPr>
        <w:t xml:space="preserve"> </w:t>
      </w:r>
      <w:r w:rsidRPr="00126E0D">
        <w:rPr>
          <w:rFonts w:ascii="Arial" w:hAnsi="Arial" w:cs="Arial"/>
          <w:sz w:val="20"/>
          <w:szCs w:val="20"/>
        </w:rPr>
        <w:t>de Contas em decisão exarada no Acórdão nº 4195/16, da Segunda Câmara, de</w:t>
      </w:r>
      <w:r>
        <w:rPr>
          <w:rFonts w:ascii="Arial" w:hAnsi="Arial" w:cs="Arial"/>
          <w:sz w:val="20"/>
          <w:szCs w:val="20"/>
        </w:rPr>
        <w:t xml:space="preserve"> </w:t>
      </w:r>
      <w:r w:rsidRPr="00126E0D">
        <w:rPr>
          <w:rFonts w:ascii="Arial" w:hAnsi="Arial" w:cs="Arial"/>
          <w:sz w:val="20"/>
          <w:szCs w:val="20"/>
        </w:rPr>
        <w:t xml:space="preserve">Relatoria do Conselheiro Fernando Augusto Mello </w:t>
      </w:r>
      <w:proofErr w:type="gramStart"/>
      <w:r w:rsidRPr="00126E0D">
        <w:rPr>
          <w:rFonts w:ascii="Arial" w:hAnsi="Arial" w:cs="Arial"/>
          <w:sz w:val="20"/>
          <w:szCs w:val="20"/>
        </w:rPr>
        <w:t>Guimarães ,</w:t>
      </w:r>
      <w:proofErr w:type="gramEnd"/>
      <w:r w:rsidRPr="00126E0D">
        <w:rPr>
          <w:rFonts w:ascii="Arial" w:hAnsi="Arial" w:cs="Arial"/>
          <w:sz w:val="20"/>
          <w:szCs w:val="20"/>
        </w:rPr>
        <w:t xml:space="preserve"> entendo que o</w:t>
      </w:r>
      <w:r>
        <w:rPr>
          <w:rFonts w:ascii="Arial" w:hAnsi="Arial" w:cs="Arial"/>
          <w:sz w:val="20"/>
          <w:szCs w:val="20"/>
        </w:rPr>
        <w:t xml:space="preserve"> </w:t>
      </w:r>
      <w:r w:rsidRPr="00126E0D">
        <w:rPr>
          <w:rFonts w:ascii="Arial" w:hAnsi="Arial" w:cs="Arial"/>
          <w:sz w:val="20"/>
          <w:szCs w:val="20"/>
        </w:rPr>
        <w:t>registro do ato de inativação é medida que se impõe.</w:t>
      </w:r>
    </w:p>
    <w:p w:rsidR="00794E33" w:rsidRDefault="00794E33"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78955-8/14. </w:t>
      </w:r>
      <w:hyperlink r:id="rId15" w:history="1">
        <w:r w:rsidRPr="007C43A5">
          <w:rPr>
            <w:rStyle w:val="Hyperlink"/>
            <w:rFonts w:ascii="Arial" w:hAnsi="Arial" w:cs="Arial"/>
            <w:sz w:val="20"/>
            <w:szCs w:val="20"/>
          </w:rPr>
          <w:t>Acórdão n° 2765/17 - Segunda Câmara</w:t>
        </w:r>
      </w:hyperlink>
      <w:r>
        <w:rPr>
          <w:rFonts w:ascii="Arial" w:hAnsi="Arial" w:cs="Arial"/>
          <w:sz w:val="20"/>
          <w:szCs w:val="20"/>
        </w:rPr>
        <w:t xml:space="preserve">. Rel.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794E33" w:rsidRDefault="00794E33" w:rsidP="00494962">
      <w:pPr>
        <w:autoSpaceDE w:val="0"/>
        <w:autoSpaceDN w:val="0"/>
        <w:adjustRightInd w:val="0"/>
        <w:spacing w:after="0"/>
        <w:jc w:val="both"/>
        <w:rPr>
          <w:rFonts w:ascii="Arial" w:hAnsi="Arial" w:cs="Arial"/>
          <w:sz w:val="20"/>
          <w:szCs w:val="20"/>
        </w:rPr>
      </w:pPr>
    </w:p>
    <w:p w:rsidR="00794E33" w:rsidRDefault="00CE09E0" w:rsidP="0049496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794E33" w:rsidRPr="00214BA9">
        <w:rPr>
          <w:rFonts w:ascii="Arial" w:hAnsi="Arial" w:cs="Arial"/>
          <w:b/>
          <w:sz w:val="20"/>
          <w:szCs w:val="20"/>
        </w:rPr>
        <w:t>Tomada de contas extraordinária. Contratação direta. Empresa Pública. Medida cautelar. Concessão. Plausibilidade de direito e perigo da demora presentes. Suspensão dos pagamentos pendentes. Medida homologada pelo colegiado.</w:t>
      </w:r>
    </w:p>
    <w:p w:rsidR="00794E33" w:rsidRDefault="00794E33" w:rsidP="00494962">
      <w:pPr>
        <w:autoSpaceDE w:val="0"/>
        <w:autoSpaceDN w:val="0"/>
        <w:adjustRightInd w:val="0"/>
        <w:spacing w:after="0"/>
        <w:jc w:val="both"/>
        <w:rPr>
          <w:rFonts w:ascii="Arial" w:hAnsi="Arial" w:cs="Arial"/>
          <w:b/>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Logo, num exame superficial, tenho que o perfil da contratada não se enquadra na exceção legal que autoriza a contratação direta, por dispensa de licitação (Lei 8666/93, art. 24, VIII), o que sugere a presença da fumaça do bom direito neste particular.</w:t>
      </w:r>
    </w:p>
    <w:p w:rsidR="00794E33" w:rsidRPr="002C02CF" w:rsidRDefault="00794E33" w:rsidP="00494962">
      <w:pPr>
        <w:autoSpaceDE w:val="0"/>
        <w:autoSpaceDN w:val="0"/>
        <w:adjustRightInd w:val="0"/>
        <w:spacing w:after="0"/>
        <w:jc w:val="both"/>
        <w:rPr>
          <w:rFonts w:ascii="Arial" w:hAnsi="Arial" w:cs="Arial"/>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 xml:space="preserve">No que se refere à ausência de elementos do projeto básico (item 1) e aos vícios no orçamento (item 2), o próprio município, em sua defesa preliminar, admite a necessidade de revisões e incrementos para saneamento de vícios, o que ratifica a presença do </w:t>
      </w:r>
      <w:r w:rsidRPr="002C02CF">
        <w:rPr>
          <w:rFonts w:ascii="Arial" w:hAnsi="Arial" w:cs="Arial"/>
          <w:i/>
          <w:iCs/>
          <w:sz w:val="20"/>
          <w:szCs w:val="20"/>
        </w:rPr>
        <w:t>fumus boni iuris</w:t>
      </w:r>
      <w:r w:rsidRPr="002C02CF">
        <w:rPr>
          <w:rFonts w:ascii="Arial" w:hAnsi="Arial" w:cs="Arial"/>
          <w:sz w:val="20"/>
          <w:szCs w:val="20"/>
        </w:rPr>
        <w:t>.</w:t>
      </w:r>
    </w:p>
    <w:p w:rsidR="00794E33" w:rsidRPr="002C02CF" w:rsidRDefault="00794E33" w:rsidP="00494962">
      <w:pPr>
        <w:autoSpaceDE w:val="0"/>
        <w:autoSpaceDN w:val="0"/>
        <w:adjustRightInd w:val="0"/>
        <w:spacing w:after="0"/>
        <w:jc w:val="both"/>
        <w:rPr>
          <w:rFonts w:ascii="Arial" w:hAnsi="Arial" w:cs="Arial"/>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 xml:space="preserve">Por outro lado, o risco de iminente pagamento de </w:t>
      </w:r>
      <w:proofErr w:type="spellStart"/>
      <w:r w:rsidRPr="002C02CF">
        <w:rPr>
          <w:rFonts w:ascii="Arial" w:hAnsi="Arial" w:cs="Arial"/>
          <w:sz w:val="20"/>
          <w:szCs w:val="20"/>
        </w:rPr>
        <w:t>sobrevalores</w:t>
      </w:r>
      <w:proofErr w:type="spellEnd"/>
      <w:r w:rsidRPr="002C02CF">
        <w:rPr>
          <w:rFonts w:ascii="Arial" w:hAnsi="Arial" w:cs="Arial"/>
          <w:sz w:val="20"/>
          <w:szCs w:val="20"/>
        </w:rPr>
        <w:t xml:space="preserve"> também me parece crível, seja porque o próprio município reconheceu a necessidade de revisões e incrementos nesse particular, seja porque a vigência do contrato se estende até 22/07/2017.</w:t>
      </w:r>
    </w:p>
    <w:p w:rsidR="00794E33" w:rsidRPr="002C02CF" w:rsidRDefault="00794E33" w:rsidP="00494962">
      <w:pPr>
        <w:autoSpaceDE w:val="0"/>
        <w:autoSpaceDN w:val="0"/>
        <w:adjustRightInd w:val="0"/>
        <w:spacing w:after="0"/>
        <w:jc w:val="both"/>
        <w:rPr>
          <w:rFonts w:ascii="Arial" w:hAnsi="Arial" w:cs="Arial"/>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 xml:space="preserve">É evidente, portanto, que o tempo necessário para um juízo meritório sobre o tema traduz um real e desnecessário risco de </w:t>
      </w:r>
      <w:proofErr w:type="spellStart"/>
      <w:r w:rsidRPr="002C02CF">
        <w:rPr>
          <w:rFonts w:ascii="Arial" w:hAnsi="Arial" w:cs="Arial"/>
          <w:sz w:val="20"/>
          <w:szCs w:val="20"/>
        </w:rPr>
        <w:t>dano</w:t>
      </w:r>
      <w:proofErr w:type="spellEnd"/>
      <w:r w:rsidRPr="002C02CF">
        <w:rPr>
          <w:rFonts w:ascii="Arial" w:hAnsi="Arial" w:cs="Arial"/>
          <w:sz w:val="20"/>
          <w:szCs w:val="20"/>
        </w:rPr>
        <w:t xml:space="preserve"> ao erário municipal, o que revela a presença do </w:t>
      </w:r>
      <w:r w:rsidRPr="002C02CF">
        <w:rPr>
          <w:rFonts w:ascii="Arial" w:hAnsi="Arial" w:cs="Arial"/>
          <w:i/>
          <w:iCs/>
          <w:sz w:val="20"/>
          <w:szCs w:val="20"/>
        </w:rPr>
        <w:t>periculum in mora</w:t>
      </w:r>
      <w:r w:rsidRPr="002C02CF">
        <w:rPr>
          <w:rFonts w:ascii="Arial" w:hAnsi="Arial" w:cs="Arial"/>
          <w:sz w:val="20"/>
          <w:szCs w:val="20"/>
        </w:rPr>
        <w:t>, justificando a intervenção cautelar deste Tribunal.</w:t>
      </w:r>
    </w:p>
    <w:p w:rsidR="00794E33" w:rsidRPr="002C02CF" w:rsidRDefault="00794E33" w:rsidP="00494962">
      <w:pPr>
        <w:autoSpaceDE w:val="0"/>
        <w:autoSpaceDN w:val="0"/>
        <w:adjustRightInd w:val="0"/>
        <w:spacing w:after="0"/>
        <w:jc w:val="both"/>
        <w:rPr>
          <w:rFonts w:ascii="Arial" w:hAnsi="Arial" w:cs="Arial"/>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 xml:space="preserve">Nesse contexto, considerando-se que o prazo final para execução do contrato já se esgotou (24/05/2017) e que não há notícia nos autos de atraso nesse particular, a única medida capaz de salvaguardar o erário municipal é suspender eventual pagamento pendente (que depende de medições e emissão de instrumento fiscal). A medida não objetiva contemplar o município com </w:t>
      </w:r>
      <w:r w:rsidRPr="002C02CF">
        <w:rPr>
          <w:rFonts w:ascii="Arial" w:hAnsi="Arial" w:cs="Arial"/>
          <w:sz w:val="20"/>
          <w:szCs w:val="20"/>
        </w:rPr>
        <w:lastRenderedPageBreak/>
        <w:t xml:space="preserve">a execução de um serviço gratuito, mas sim permitir, num exame exauriente, a apuração do </w:t>
      </w:r>
      <w:proofErr w:type="spellStart"/>
      <w:r w:rsidRPr="002C02CF">
        <w:rPr>
          <w:rFonts w:ascii="Arial" w:hAnsi="Arial" w:cs="Arial"/>
          <w:sz w:val="20"/>
          <w:szCs w:val="20"/>
        </w:rPr>
        <w:t>sobrepreço</w:t>
      </w:r>
      <w:proofErr w:type="spellEnd"/>
      <w:r w:rsidRPr="002C02CF">
        <w:rPr>
          <w:rFonts w:ascii="Arial" w:hAnsi="Arial" w:cs="Arial"/>
          <w:sz w:val="20"/>
          <w:szCs w:val="20"/>
        </w:rPr>
        <w:t xml:space="preserve"> e a consequente fixação do valor efetivamente devido à contratada.</w:t>
      </w:r>
    </w:p>
    <w:p w:rsidR="00794E33" w:rsidRPr="002C02CF" w:rsidRDefault="00794E33" w:rsidP="00494962">
      <w:pPr>
        <w:autoSpaceDE w:val="0"/>
        <w:autoSpaceDN w:val="0"/>
        <w:adjustRightInd w:val="0"/>
        <w:spacing w:after="0"/>
        <w:jc w:val="both"/>
        <w:rPr>
          <w:rFonts w:ascii="Arial" w:hAnsi="Arial" w:cs="Arial"/>
          <w:sz w:val="20"/>
          <w:szCs w:val="20"/>
        </w:rPr>
      </w:pPr>
    </w:p>
    <w:p w:rsidR="00794E33" w:rsidRPr="002C02CF" w:rsidRDefault="00794E33" w:rsidP="00494962">
      <w:pPr>
        <w:autoSpaceDE w:val="0"/>
        <w:autoSpaceDN w:val="0"/>
        <w:adjustRightInd w:val="0"/>
        <w:spacing w:after="0"/>
        <w:jc w:val="both"/>
        <w:rPr>
          <w:rFonts w:ascii="Arial" w:hAnsi="Arial" w:cs="Arial"/>
          <w:sz w:val="20"/>
          <w:szCs w:val="20"/>
        </w:rPr>
      </w:pPr>
      <w:r w:rsidRPr="002C02CF">
        <w:rPr>
          <w:rFonts w:ascii="Arial" w:hAnsi="Arial" w:cs="Arial"/>
          <w:sz w:val="20"/>
          <w:szCs w:val="20"/>
        </w:rPr>
        <w:t xml:space="preserve">Assim, com base na fundamentação supra e no art. 1º, inc. IX, e art. 53, ambos da Lei Complementar Estadual n. 113/2005, bem assim no art. 4008, §§ 1º-A e 3º, ambos do Regimento Interno, </w:t>
      </w:r>
      <w:r w:rsidRPr="002C02CF">
        <w:rPr>
          <w:rFonts w:ascii="Arial" w:hAnsi="Arial" w:cs="Arial"/>
          <w:bCs/>
          <w:sz w:val="20"/>
          <w:szCs w:val="20"/>
        </w:rPr>
        <w:t xml:space="preserve">determino, cautelarmente </w:t>
      </w:r>
      <w:r w:rsidRPr="002C02CF">
        <w:rPr>
          <w:rFonts w:ascii="Arial" w:hAnsi="Arial" w:cs="Arial"/>
          <w:sz w:val="20"/>
          <w:szCs w:val="20"/>
        </w:rPr>
        <w:t xml:space="preserve">e </w:t>
      </w:r>
      <w:r w:rsidRPr="002C02CF">
        <w:rPr>
          <w:rFonts w:ascii="Arial" w:hAnsi="Arial" w:cs="Arial"/>
          <w:i/>
          <w:iCs/>
          <w:sz w:val="20"/>
          <w:szCs w:val="20"/>
        </w:rPr>
        <w:t xml:space="preserve">inaudita altera </w:t>
      </w:r>
      <w:proofErr w:type="spellStart"/>
      <w:r w:rsidRPr="002C02CF">
        <w:rPr>
          <w:rFonts w:ascii="Arial" w:hAnsi="Arial" w:cs="Arial"/>
          <w:i/>
          <w:iCs/>
          <w:sz w:val="20"/>
          <w:szCs w:val="20"/>
        </w:rPr>
        <w:t>pars</w:t>
      </w:r>
      <w:proofErr w:type="spellEnd"/>
      <w:r w:rsidRPr="002C02CF">
        <w:rPr>
          <w:rFonts w:ascii="Arial" w:hAnsi="Arial" w:cs="Arial"/>
          <w:sz w:val="20"/>
          <w:szCs w:val="20"/>
        </w:rPr>
        <w:t xml:space="preserve">, que o Município, na pessoa de seu representante legal (Prefeito atual), suspenda os pagamentos à empresa pública municipal, relativamente ao Processo de Dispensa de Licitação n. 02/2017 (contrato 43/2017), até a apreciação meritória da questão ou ulterior deliberação deste Tribunal, sob pena de responsabilidade solidária. </w:t>
      </w:r>
    </w:p>
    <w:p w:rsidR="007E005E" w:rsidRDefault="007E005E" w:rsidP="00494962">
      <w:pPr>
        <w:autoSpaceDE w:val="0"/>
        <w:autoSpaceDN w:val="0"/>
        <w:adjustRightInd w:val="0"/>
        <w:spacing w:after="0"/>
        <w:jc w:val="both"/>
        <w:rPr>
          <w:rFonts w:ascii="Arial" w:hAnsi="Arial" w:cs="Arial"/>
          <w:sz w:val="20"/>
          <w:szCs w:val="20"/>
        </w:rPr>
      </w:pPr>
    </w:p>
    <w:p w:rsidR="00794E33" w:rsidRDefault="00794E33" w:rsidP="0049496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36752-2/17. </w:t>
      </w:r>
      <w:hyperlink r:id="rId16" w:history="1">
        <w:r w:rsidRPr="00771CFD">
          <w:rPr>
            <w:rStyle w:val="Hyperlink"/>
            <w:rFonts w:ascii="Arial" w:hAnsi="Arial" w:cs="Arial"/>
            <w:sz w:val="20"/>
            <w:szCs w:val="20"/>
          </w:rPr>
          <w:t>Acórdão n° 2784/17 - Segunda Câmara</w:t>
        </w:r>
      </w:hyperlink>
      <w:r>
        <w:rPr>
          <w:rFonts w:ascii="Arial" w:hAnsi="Arial" w:cs="Arial"/>
          <w:sz w:val="20"/>
          <w:szCs w:val="20"/>
        </w:rPr>
        <w:t xml:space="preserve">. Rel. 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FB3361" w:rsidRPr="0022060B" w:rsidRDefault="00FB3361" w:rsidP="00494962">
      <w:pPr>
        <w:spacing w:after="0"/>
        <w:jc w:val="both"/>
        <w:rPr>
          <w:rFonts w:ascii="Arial" w:hAnsi="Arial" w:cs="Arial"/>
          <w:sz w:val="20"/>
          <w:szCs w:val="20"/>
        </w:rPr>
      </w:pPr>
    </w:p>
    <w:p w:rsidR="00AE4F42" w:rsidRPr="0022060B" w:rsidRDefault="00AE4F42" w:rsidP="0049496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667D4" w:rsidRDefault="00B667D4" w:rsidP="00494962">
      <w:pPr>
        <w:shd w:val="clear" w:color="auto" w:fill="FFFFFF"/>
        <w:spacing w:after="0"/>
        <w:jc w:val="both"/>
        <w:textAlignment w:val="center"/>
        <w:rPr>
          <w:rFonts w:ascii="Arial" w:eastAsia="Times New Roman" w:hAnsi="Arial" w:cs="Arial"/>
          <w:b/>
          <w:color w:val="000000"/>
          <w:sz w:val="20"/>
          <w:szCs w:val="20"/>
          <w:lang w:eastAsia="pt-BR"/>
        </w:rPr>
      </w:pPr>
    </w:p>
    <w:p w:rsidR="00D1687C" w:rsidRDefault="00070929" w:rsidP="00494962">
      <w:pPr>
        <w:shd w:val="clear" w:color="auto" w:fill="FFFFFF"/>
        <w:spacing w:after="0"/>
        <w:jc w:val="both"/>
        <w:textAlignment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10</w:t>
      </w:r>
      <w:r w:rsidR="00CE09E0">
        <w:rPr>
          <w:rFonts w:ascii="Arial" w:eastAsia="Times New Roman" w:hAnsi="Arial" w:cs="Arial"/>
          <w:b/>
          <w:color w:val="000000"/>
          <w:sz w:val="20"/>
          <w:szCs w:val="20"/>
          <w:lang w:eastAsia="pt-BR"/>
        </w:rPr>
        <w:t>.</w:t>
      </w:r>
      <w:r>
        <w:rPr>
          <w:rFonts w:ascii="Arial" w:eastAsia="Times New Roman" w:hAnsi="Arial" w:cs="Arial"/>
          <w:b/>
          <w:color w:val="000000"/>
          <w:sz w:val="20"/>
          <w:szCs w:val="20"/>
          <w:lang w:eastAsia="pt-BR"/>
        </w:rPr>
        <w:t xml:space="preserve"> </w:t>
      </w:r>
      <w:r w:rsidR="00D1687C" w:rsidRPr="004E1827">
        <w:rPr>
          <w:rFonts w:ascii="Arial" w:eastAsia="Times New Roman" w:hAnsi="Arial" w:cs="Arial"/>
          <w:b/>
          <w:color w:val="000000"/>
          <w:sz w:val="20"/>
          <w:szCs w:val="20"/>
          <w:lang w:eastAsia="pt-BR"/>
        </w:rPr>
        <w:t xml:space="preserve">Representação da Lei nº8666/93. Pregão nº 11/2017 do Município de Maringá para a contratação de empresa para fornecimento de cartão alimentação aos servidores municipais. </w:t>
      </w:r>
      <w:r w:rsidR="00D1687C">
        <w:rPr>
          <w:rFonts w:ascii="Arial" w:eastAsia="Times New Roman" w:hAnsi="Arial" w:cs="Arial"/>
          <w:b/>
          <w:color w:val="000000"/>
          <w:sz w:val="20"/>
          <w:szCs w:val="20"/>
          <w:lang w:eastAsia="pt-BR"/>
        </w:rPr>
        <w:t xml:space="preserve">Jurisprudência desta Corte de Contas e do Tribunal de Contas da União que entende ser possível a exigência de apresentação de rede credenciada no momento da contratação.  Pela improcedência. </w:t>
      </w:r>
    </w:p>
    <w:p w:rsidR="00494962" w:rsidRPr="004E1827" w:rsidRDefault="00494962" w:rsidP="00494962">
      <w:pPr>
        <w:shd w:val="clear" w:color="auto" w:fill="FFFFFF"/>
        <w:spacing w:after="0"/>
        <w:jc w:val="both"/>
        <w:textAlignment w:val="center"/>
        <w:rPr>
          <w:rFonts w:ascii="Arial" w:eastAsia="Times New Roman" w:hAnsi="Arial" w:cs="Arial"/>
          <w:b/>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 exigência de demonstração de rede credenciada de estabelecimentos em licitações destinadas à seleção de empresa especializada na prestação de serviços de administração e intermediação de vale alimentação é amplamente aceita na jurisprudência desde Corte de Contas, bem como do Tribunal de Contas da União”. Foi como votou </w:t>
      </w:r>
      <w:proofErr w:type="gramStart"/>
      <w:r>
        <w:rPr>
          <w:rFonts w:ascii="Arial" w:eastAsia="Times New Roman" w:hAnsi="Arial" w:cs="Arial"/>
          <w:color w:val="000000"/>
          <w:sz w:val="20"/>
          <w:szCs w:val="20"/>
          <w:lang w:eastAsia="pt-BR"/>
        </w:rPr>
        <w:t>o  Pleno</w:t>
      </w:r>
      <w:proofErr w:type="gramEnd"/>
      <w:r>
        <w:rPr>
          <w:rFonts w:ascii="Arial" w:eastAsia="Times New Roman" w:hAnsi="Arial" w:cs="Arial"/>
          <w:color w:val="000000"/>
          <w:sz w:val="20"/>
          <w:szCs w:val="20"/>
          <w:lang w:eastAsia="pt-BR"/>
        </w:rPr>
        <w:t xml:space="preserve"> deste Tribunal, ao decidir sobre a Representação proposta contra o Município de Maringá.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Refutou-se, portanto, o argumento da Representante de que a exigência de 200 estabelecimentos cadastrados no âmbito do Município e uma rede ampla num raio de 50 km estaria direcionando a licitação e restringindo o certame às empresas que já possuíssem rede credenciada na região.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Assentou-se, então, que a Administração Pública pode exigir a apresentação do credenciamento de estabelecimentos da empresa licitante no momento da contratação. Esta exigência busca dar garantia à Administração Pública de que a empresa licitante possui condições de prestar o serviço, conforme as necessidades da Administração Pública estabelecidas no edital.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Não existe, segundo o julgado, um prazo padrão ou certo a ser fixado para que o vencedor comprove a existência dos credenciados ou para que credencie os estabelecimentos comerciais, cabendo à Administração discricionariamente fixá-los, desde que respeitados os princípios da razoabilidade e da proporcionalidade. Desta forma, a empresa que se sagrou vencedora com a </w:t>
      </w:r>
      <w:r>
        <w:rPr>
          <w:rFonts w:ascii="Arial" w:eastAsia="Times New Roman" w:hAnsi="Arial" w:cs="Arial"/>
          <w:color w:val="000000"/>
          <w:sz w:val="20"/>
          <w:szCs w:val="20"/>
          <w:lang w:eastAsia="pt-BR"/>
        </w:rPr>
        <w:lastRenderedPageBreak/>
        <w:t xml:space="preserve">melhor proposta, após ampla competitividade, terá condições de firmar contratos com empresas na localidade para o atendimento das exigências </w:t>
      </w:r>
      <w:proofErr w:type="spellStart"/>
      <w:r>
        <w:rPr>
          <w:rFonts w:ascii="Arial" w:eastAsia="Times New Roman" w:hAnsi="Arial" w:cs="Arial"/>
          <w:color w:val="000000"/>
          <w:sz w:val="20"/>
          <w:szCs w:val="20"/>
          <w:lang w:eastAsia="pt-BR"/>
        </w:rPr>
        <w:t>editalícias</w:t>
      </w:r>
      <w:proofErr w:type="spellEnd"/>
      <w:r>
        <w:rPr>
          <w:rFonts w:ascii="Arial" w:eastAsia="Times New Roman" w:hAnsi="Arial" w:cs="Arial"/>
          <w:color w:val="000000"/>
          <w:sz w:val="20"/>
          <w:szCs w:val="20"/>
          <w:lang w:eastAsia="pt-BR"/>
        </w:rPr>
        <w:t xml:space="preserve">.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Em conclusão, a exigência da rede de credenciados em número mínimo de 200 e num raio de 50 km do Município, não é desarrazoada diante do grande porte da população de Maringá e o efetivo de 13 mil servidores públicos municipais.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Processo nº 18192-5/17</w:t>
      </w:r>
      <w:r w:rsidR="00B667D4">
        <w:rPr>
          <w:rFonts w:ascii="Arial" w:eastAsia="Times New Roman" w:hAnsi="Arial" w:cs="Arial"/>
          <w:color w:val="000000"/>
          <w:sz w:val="20"/>
          <w:szCs w:val="20"/>
          <w:lang w:eastAsia="pt-BR"/>
        </w:rPr>
        <w:t xml:space="preserve">. </w:t>
      </w:r>
      <w:hyperlink r:id="rId17" w:history="1">
        <w:r w:rsidRPr="002D7AB3">
          <w:rPr>
            <w:rStyle w:val="Hyperlink"/>
            <w:rFonts w:ascii="Arial" w:eastAsia="Times New Roman" w:hAnsi="Arial" w:cs="Arial"/>
            <w:sz w:val="20"/>
            <w:szCs w:val="20"/>
            <w:lang w:eastAsia="pt-BR"/>
          </w:rPr>
          <w:t>Acórdão nº 2700/17</w:t>
        </w:r>
        <w:r w:rsidR="00B667D4">
          <w:rPr>
            <w:rStyle w:val="Hyperlink"/>
            <w:rFonts w:ascii="Arial" w:eastAsia="Times New Roman" w:hAnsi="Arial" w:cs="Arial"/>
            <w:sz w:val="20"/>
            <w:szCs w:val="20"/>
            <w:lang w:eastAsia="pt-BR"/>
          </w:rPr>
          <w:t xml:space="preserve"> </w:t>
        </w:r>
        <w:r w:rsidRPr="002D7AB3">
          <w:rPr>
            <w:rStyle w:val="Hyperlink"/>
            <w:rFonts w:ascii="Arial" w:eastAsia="Times New Roman" w:hAnsi="Arial" w:cs="Arial"/>
            <w:sz w:val="20"/>
            <w:szCs w:val="20"/>
            <w:lang w:eastAsia="pt-BR"/>
          </w:rPr>
          <w:t>-</w:t>
        </w:r>
        <w:r w:rsidR="00B667D4">
          <w:rPr>
            <w:rStyle w:val="Hyperlink"/>
            <w:rFonts w:ascii="Arial" w:eastAsia="Times New Roman" w:hAnsi="Arial" w:cs="Arial"/>
            <w:sz w:val="20"/>
            <w:szCs w:val="20"/>
            <w:lang w:eastAsia="pt-BR"/>
          </w:rPr>
          <w:t xml:space="preserve"> </w:t>
        </w:r>
        <w:r w:rsidRPr="002D7AB3">
          <w:rPr>
            <w:rStyle w:val="Hyperlink"/>
            <w:rFonts w:ascii="Arial" w:eastAsia="Times New Roman" w:hAnsi="Arial" w:cs="Arial"/>
            <w:sz w:val="20"/>
            <w:szCs w:val="20"/>
            <w:lang w:eastAsia="pt-BR"/>
          </w:rPr>
          <w:t>Tribunal Pleno</w:t>
        </w:r>
      </w:hyperlink>
      <w:r>
        <w:rPr>
          <w:rFonts w:ascii="Arial" w:eastAsia="Times New Roman" w:hAnsi="Arial" w:cs="Arial"/>
          <w:color w:val="000000"/>
          <w:sz w:val="20"/>
          <w:szCs w:val="20"/>
          <w:lang w:eastAsia="pt-BR"/>
        </w:rPr>
        <w:t xml:space="preserve"> </w:t>
      </w:r>
      <w:r w:rsidR="00B667D4">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Rel. Conselheiro Ivens Zschoerper Linhares</w:t>
      </w:r>
      <w:r w:rsidR="008C267C">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w:t>
      </w:r>
    </w:p>
    <w:p w:rsidR="00B667D4" w:rsidRDefault="00B667D4"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070929" w:rsidP="00494962">
      <w:pPr>
        <w:shd w:val="clear" w:color="auto" w:fill="FFFFFF"/>
        <w:spacing w:after="0"/>
        <w:jc w:val="both"/>
        <w:textAlignment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11</w:t>
      </w:r>
      <w:r w:rsidR="00CE09E0">
        <w:rPr>
          <w:rFonts w:ascii="Arial" w:eastAsia="Times New Roman" w:hAnsi="Arial" w:cs="Arial"/>
          <w:b/>
          <w:color w:val="000000"/>
          <w:sz w:val="20"/>
          <w:szCs w:val="20"/>
          <w:lang w:eastAsia="pt-BR"/>
        </w:rPr>
        <w:t>.</w:t>
      </w:r>
      <w:r>
        <w:rPr>
          <w:rFonts w:ascii="Arial" w:eastAsia="Times New Roman" w:hAnsi="Arial" w:cs="Arial"/>
          <w:b/>
          <w:color w:val="000000"/>
          <w:sz w:val="20"/>
          <w:szCs w:val="20"/>
          <w:lang w:eastAsia="pt-BR"/>
        </w:rPr>
        <w:t xml:space="preserve"> </w:t>
      </w:r>
      <w:r w:rsidR="00D1687C" w:rsidRPr="001A74CA">
        <w:rPr>
          <w:rFonts w:ascii="Arial" w:eastAsia="Times New Roman" w:hAnsi="Arial" w:cs="Arial"/>
          <w:b/>
          <w:color w:val="000000"/>
          <w:sz w:val="20"/>
          <w:szCs w:val="20"/>
          <w:lang w:eastAsia="pt-BR"/>
        </w:rPr>
        <w:t xml:space="preserve">Pedido de Rescisão. Ausência de Certificado de Regularidade Previdenciária. Mero parcelamento dos débitos que não tem o condão de afastar o dever de juntada da CRP atinente ao exercício financeiro em questão. Não procedência da Rescisória quanto a este apontamento. </w:t>
      </w:r>
    </w:p>
    <w:p w:rsidR="00494962" w:rsidRPr="001A74CA" w:rsidRDefault="00494962" w:rsidP="00494962">
      <w:pPr>
        <w:shd w:val="clear" w:color="auto" w:fill="FFFFFF"/>
        <w:spacing w:after="0"/>
        <w:jc w:val="both"/>
        <w:textAlignment w:val="center"/>
        <w:rPr>
          <w:rFonts w:ascii="Arial" w:eastAsia="Times New Roman" w:hAnsi="Arial" w:cs="Arial"/>
          <w:b/>
          <w:color w:val="000000"/>
          <w:sz w:val="20"/>
          <w:szCs w:val="20"/>
          <w:lang w:eastAsia="pt-BR"/>
        </w:rPr>
      </w:pPr>
    </w:p>
    <w:p w:rsidR="00494962"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 Presidente do Instituto Municipal de Previdência de </w:t>
      </w:r>
      <w:proofErr w:type="spellStart"/>
      <w:r>
        <w:rPr>
          <w:rFonts w:ascii="Arial" w:eastAsia="Times New Roman" w:hAnsi="Arial" w:cs="Arial"/>
          <w:color w:val="000000"/>
          <w:sz w:val="20"/>
          <w:szCs w:val="20"/>
          <w:lang w:eastAsia="pt-BR"/>
        </w:rPr>
        <w:t>Congonhinhas</w:t>
      </w:r>
      <w:proofErr w:type="spellEnd"/>
      <w:r>
        <w:rPr>
          <w:rFonts w:ascii="Arial" w:eastAsia="Times New Roman" w:hAnsi="Arial" w:cs="Arial"/>
          <w:color w:val="000000"/>
          <w:sz w:val="20"/>
          <w:szCs w:val="20"/>
          <w:lang w:eastAsia="pt-BR"/>
        </w:rPr>
        <w:t>, pleiteou a rescisão de julgado que decidira pela irregularidade das contas da entidade, do exercício de 2012.  Entre os apontamentos do referido julgado, a não comprovação da regularidade no Ministério da Previdência Social.</w:t>
      </w: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Em sede de Pedido de Rescisão, o Tribunal Pleno entendeu que não socorre a entidade requerente a argumentação que a municipalidade realizou parcelamento dos débitos e que tem adimplido regularmente os pagamentos, pois em razão disso, não se pode emitir a Certidão de Regularidade Previdenciária para o exercício de 2012. </w:t>
      </w:r>
      <w:r>
        <w:rPr>
          <w:rFonts w:ascii="Arial" w:eastAsia="Times New Roman" w:hAnsi="Arial" w:cs="Arial"/>
          <w:i/>
          <w:color w:val="000000"/>
          <w:sz w:val="20"/>
          <w:szCs w:val="20"/>
          <w:lang w:eastAsia="pt-BR"/>
        </w:rPr>
        <w:t xml:space="preserve">“Com relação a não comprovação da regularidade no Ministério da Previdência Social, frisa-se que o posterior parcelamento dos débitos não afasta a restrição, uma vez que a conduta irregular restou consumada no exercício analisado”, </w:t>
      </w:r>
      <w:r>
        <w:rPr>
          <w:rFonts w:ascii="Arial" w:eastAsia="Times New Roman" w:hAnsi="Arial" w:cs="Arial"/>
          <w:color w:val="000000"/>
          <w:sz w:val="20"/>
          <w:szCs w:val="20"/>
          <w:lang w:eastAsia="pt-BR"/>
        </w:rPr>
        <w:t xml:space="preserve">ressaltou o Ministério Público de Contas.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 irregularidade foi mantida neste ponto, um dos fatores que ensejaram o julgado pela procedência parcial da Rescisão. </w:t>
      </w:r>
    </w:p>
    <w:p w:rsidR="00494962"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Processo nº 71796-8/15</w:t>
      </w:r>
      <w:r w:rsidR="00494962">
        <w:rPr>
          <w:rFonts w:ascii="Arial" w:eastAsia="Times New Roman" w:hAnsi="Arial" w:cs="Arial"/>
          <w:color w:val="000000"/>
          <w:sz w:val="20"/>
          <w:szCs w:val="20"/>
          <w:lang w:eastAsia="pt-BR"/>
        </w:rPr>
        <w:t xml:space="preserve">. </w:t>
      </w:r>
      <w:hyperlink r:id="rId18" w:history="1">
        <w:r w:rsidRPr="002D7AB3">
          <w:rPr>
            <w:rStyle w:val="Hyperlink"/>
            <w:rFonts w:ascii="Arial" w:eastAsia="Times New Roman" w:hAnsi="Arial" w:cs="Arial"/>
            <w:sz w:val="20"/>
            <w:szCs w:val="20"/>
            <w:lang w:eastAsia="pt-BR"/>
          </w:rPr>
          <w:t>Acórdão nº 2682/17</w:t>
        </w:r>
        <w:r w:rsidR="00B667D4">
          <w:rPr>
            <w:rStyle w:val="Hyperlink"/>
            <w:rFonts w:ascii="Arial" w:eastAsia="Times New Roman" w:hAnsi="Arial" w:cs="Arial"/>
            <w:sz w:val="20"/>
            <w:szCs w:val="20"/>
            <w:lang w:eastAsia="pt-BR"/>
          </w:rPr>
          <w:t xml:space="preserve"> </w:t>
        </w:r>
        <w:r w:rsidRPr="002D7AB3">
          <w:rPr>
            <w:rStyle w:val="Hyperlink"/>
            <w:rFonts w:ascii="Arial" w:eastAsia="Times New Roman" w:hAnsi="Arial" w:cs="Arial"/>
            <w:sz w:val="20"/>
            <w:szCs w:val="20"/>
            <w:lang w:eastAsia="pt-BR"/>
          </w:rPr>
          <w:t>-</w:t>
        </w:r>
        <w:r w:rsidR="00B667D4">
          <w:rPr>
            <w:rStyle w:val="Hyperlink"/>
            <w:rFonts w:ascii="Arial" w:eastAsia="Times New Roman" w:hAnsi="Arial" w:cs="Arial"/>
            <w:sz w:val="20"/>
            <w:szCs w:val="20"/>
            <w:lang w:eastAsia="pt-BR"/>
          </w:rPr>
          <w:t xml:space="preserve"> </w:t>
        </w:r>
        <w:r w:rsidRPr="002D7AB3">
          <w:rPr>
            <w:rStyle w:val="Hyperlink"/>
            <w:rFonts w:ascii="Arial" w:eastAsia="Times New Roman" w:hAnsi="Arial" w:cs="Arial"/>
            <w:sz w:val="20"/>
            <w:szCs w:val="20"/>
            <w:lang w:eastAsia="pt-BR"/>
          </w:rPr>
          <w:t>Tribunal Pleno</w:t>
        </w:r>
      </w:hyperlink>
      <w:r w:rsidR="00B667D4">
        <w:rPr>
          <w:rStyle w:val="Hyperlink"/>
          <w:rFonts w:ascii="Arial" w:eastAsia="Times New Roman" w:hAnsi="Arial" w:cs="Arial"/>
          <w:sz w:val="20"/>
          <w:szCs w:val="20"/>
          <w:lang w:eastAsia="pt-BR"/>
        </w:rPr>
        <w:t>.</w:t>
      </w:r>
      <w:r w:rsidR="00494962" w:rsidRPr="00494962">
        <w:rPr>
          <w:rStyle w:val="Hyperlink"/>
          <w:rFonts w:ascii="Arial" w:eastAsia="Times New Roman" w:hAnsi="Arial" w:cs="Arial"/>
          <w:sz w:val="20"/>
          <w:szCs w:val="20"/>
          <w:u w:val="none"/>
          <w:lang w:eastAsia="pt-BR"/>
        </w:rPr>
        <w:t xml:space="preserve"> </w:t>
      </w:r>
      <w:r>
        <w:rPr>
          <w:rFonts w:ascii="Arial" w:eastAsia="Times New Roman" w:hAnsi="Arial" w:cs="Arial"/>
          <w:color w:val="000000"/>
          <w:sz w:val="20"/>
          <w:szCs w:val="20"/>
          <w:lang w:eastAsia="pt-BR"/>
        </w:rPr>
        <w:t xml:space="preserve">Rel. Conselheiro </w:t>
      </w:r>
      <w:proofErr w:type="spellStart"/>
      <w:r>
        <w:rPr>
          <w:rFonts w:ascii="Arial" w:eastAsia="Times New Roman" w:hAnsi="Arial" w:cs="Arial"/>
          <w:color w:val="000000"/>
          <w:sz w:val="20"/>
          <w:szCs w:val="20"/>
          <w:lang w:eastAsia="pt-BR"/>
        </w:rPr>
        <w:t>Artagão</w:t>
      </w:r>
      <w:proofErr w:type="spellEnd"/>
      <w:r>
        <w:rPr>
          <w:rFonts w:ascii="Arial" w:eastAsia="Times New Roman" w:hAnsi="Arial" w:cs="Arial"/>
          <w:color w:val="000000"/>
          <w:sz w:val="20"/>
          <w:szCs w:val="20"/>
          <w:lang w:eastAsia="pt-BR"/>
        </w:rPr>
        <w:t xml:space="preserve"> de Mattos Leão.  </w:t>
      </w:r>
    </w:p>
    <w:p w:rsidR="00494962" w:rsidRPr="005445C8"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070929" w:rsidP="00494962">
      <w:pPr>
        <w:shd w:val="clear" w:color="auto" w:fill="FFFFFF"/>
        <w:spacing w:after="0"/>
        <w:jc w:val="both"/>
        <w:textAlignment w:val="center"/>
        <w:rPr>
          <w:rFonts w:ascii="Arial" w:hAnsi="Arial" w:cs="Arial"/>
          <w:b/>
          <w:color w:val="212121"/>
          <w:sz w:val="20"/>
          <w:szCs w:val="20"/>
        </w:rPr>
      </w:pPr>
      <w:r>
        <w:rPr>
          <w:rFonts w:ascii="Arial" w:hAnsi="Arial" w:cs="Arial"/>
          <w:b/>
          <w:color w:val="212121"/>
          <w:sz w:val="20"/>
          <w:szCs w:val="20"/>
        </w:rPr>
        <w:t>12</w:t>
      </w:r>
      <w:r w:rsidR="00CE09E0">
        <w:rPr>
          <w:rFonts w:ascii="Arial" w:hAnsi="Arial" w:cs="Arial"/>
          <w:b/>
          <w:color w:val="212121"/>
          <w:sz w:val="20"/>
          <w:szCs w:val="20"/>
        </w:rPr>
        <w:t>.</w:t>
      </w:r>
      <w:r>
        <w:rPr>
          <w:rFonts w:ascii="Arial" w:hAnsi="Arial" w:cs="Arial"/>
          <w:b/>
          <w:color w:val="212121"/>
          <w:sz w:val="20"/>
          <w:szCs w:val="20"/>
        </w:rPr>
        <w:t xml:space="preserve"> </w:t>
      </w:r>
      <w:r w:rsidR="00D1687C" w:rsidRPr="002D7AB3">
        <w:rPr>
          <w:rFonts w:ascii="Arial" w:hAnsi="Arial" w:cs="Arial"/>
          <w:b/>
          <w:color w:val="212121"/>
          <w:sz w:val="20"/>
          <w:szCs w:val="20"/>
        </w:rPr>
        <w:t xml:space="preserve">Representação da Lei nº 8666/93. Pregão Presencial. Contratação de fornecimento de refeições aos servidores do Hospital Universitário. Exigência de participação de empresa com estrutura física em Londrina na fase de habilitação. Comprometimento do caráter competitivo. Pela procedência com aplicação de multa à Reitora. </w:t>
      </w:r>
    </w:p>
    <w:p w:rsidR="00494962" w:rsidRPr="00070929" w:rsidRDefault="00494962" w:rsidP="00494962">
      <w:pPr>
        <w:shd w:val="clear" w:color="auto" w:fill="FFFFFF"/>
        <w:spacing w:after="0"/>
        <w:jc w:val="both"/>
        <w:textAlignment w:val="center"/>
        <w:rPr>
          <w:rFonts w:ascii="Arial" w:eastAsia="Times New Roman" w:hAnsi="Arial" w:cs="Arial"/>
          <w:color w:val="000000"/>
          <w:sz w:val="20"/>
          <w:szCs w:val="20"/>
          <w:lang w:eastAsia="pt-BR"/>
        </w:rPr>
      </w:pPr>
    </w:p>
    <w:p w:rsidR="00D1687C" w:rsidRDefault="00D1687C" w:rsidP="00494962">
      <w:pPr>
        <w:spacing w:after="0"/>
        <w:jc w:val="both"/>
        <w:rPr>
          <w:rFonts w:ascii="Arial" w:hAnsi="Arial" w:cs="Arial"/>
          <w:sz w:val="20"/>
          <w:szCs w:val="20"/>
        </w:rPr>
      </w:pPr>
      <w:r w:rsidRPr="00494962">
        <w:rPr>
          <w:rFonts w:ascii="Arial" w:hAnsi="Arial" w:cs="Arial"/>
          <w:sz w:val="20"/>
          <w:szCs w:val="20"/>
        </w:rPr>
        <w:t xml:space="preserve">O Hospital Universitário da Universidade Estadual de Londrina, instauração o Pregão Presencial nº 45/14 para contratação de fornecimento diário de aproximadamente 550 refeições prontas para os seus servidores. Segundo a empresa Representante, entre outros aspectos, houve </w:t>
      </w:r>
      <w:r w:rsidRPr="00494962">
        <w:rPr>
          <w:rFonts w:ascii="Arial" w:hAnsi="Arial" w:cs="Arial"/>
          <w:sz w:val="20"/>
          <w:szCs w:val="20"/>
        </w:rPr>
        <w:lastRenderedPageBreak/>
        <w:t xml:space="preserve">ilegalidade do ato convocatório que restringiu o caráter competitivo do certame ao incluir exigências condicionadoras de habilitação, entre as quais, a de que a empresa interessada possuísse estrutura para a prestação dos serviços em Londrina. </w:t>
      </w:r>
    </w:p>
    <w:p w:rsidR="00E44C70" w:rsidRPr="00494962" w:rsidRDefault="00E44C70" w:rsidP="00494962">
      <w:pPr>
        <w:spacing w:after="0"/>
        <w:jc w:val="both"/>
        <w:rPr>
          <w:rFonts w:ascii="Arial" w:hAnsi="Arial" w:cs="Arial"/>
          <w:sz w:val="20"/>
          <w:szCs w:val="20"/>
        </w:rPr>
      </w:pPr>
    </w:p>
    <w:p w:rsidR="00D1687C" w:rsidRDefault="00D1687C" w:rsidP="00494962">
      <w:pPr>
        <w:spacing w:after="0"/>
        <w:jc w:val="both"/>
        <w:rPr>
          <w:rFonts w:ascii="Arial" w:hAnsi="Arial" w:cs="Arial"/>
          <w:sz w:val="20"/>
          <w:szCs w:val="20"/>
        </w:rPr>
      </w:pPr>
      <w:r w:rsidRPr="00494962">
        <w:rPr>
          <w:rFonts w:ascii="Arial" w:hAnsi="Arial" w:cs="Arial"/>
          <w:sz w:val="20"/>
          <w:szCs w:val="20"/>
        </w:rPr>
        <w:t xml:space="preserve">Para o Tribunal Pleno desta Corte não se mostra plausível a apenas empresas estruturadas em Londrina na época do certame estejam aptas a participar da licitação. Evidentemente que para a efetiva prestação dos serviços, quando da sua contratação ante </w:t>
      </w:r>
      <w:proofErr w:type="gramStart"/>
      <w:r w:rsidRPr="00494962">
        <w:rPr>
          <w:rFonts w:ascii="Arial" w:hAnsi="Arial" w:cs="Arial"/>
          <w:sz w:val="20"/>
          <w:szCs w:val="20"/>
        </w:rPr>
        <w:t>as elementares</w:t>
      </w:r>
      <w:proofErr w:type="gramEnd"/>
      <w:r w:rsidRPr="00494962">
        <w:rPr>
          <w:rFonts w:ascii="Arial" w:hAnsi="Arial" w:cs="Arial"/>
          <w:sz w:val="20"/>
          <w:szCs w:val="20"/>
        </w:rPr>
        <w:t xml:space="preserve"> do caso concreto que envolvem alimentos cozidos, a empresa terá de estar estruturada na cidade de Londrina para fornecer alimentos com qualidade e higiene. </w:t>
      </w:r>
    </w:p>
    <w:p w:rsidR="00E44C70" w:rsidRPr="00494962" w:rsidRDefault="00E44C70" w:rsidP="00494962">
      <w:pPr>
        <w:spacing w:after="0"/>
        <w:jc w:val="both"/>
        <w:rPr>
          <w:rFonts w:ascii="Arial" w:hAnsi="Arial" w:cs="Arial"/>
          <w:sz w:val="20"/>
          <w:szCs w:val="20"/>
        </w:rPr>
      </w:pPr>
    </w:p>
    <w:p w:rsidR="00D1687C" w:rsidRDefault="00D1687C" w:rsidP="00494962">
      <w:pPr>
        <w:spacing w:after="0"/>
        <w:jc w:val="both"/>
        <w:rPr>
          <w:rFonts w:ascii="Arial" w:hAnsi="Arial" w:cs="Arial"/>
          <w:sz w:val="20"/>
          <w:szCs w:val="20"/>
        </w:rPr>
      </w:pPr>
      <w:r w:rsidRPr="00494962">
        <w:rPr>
          <w:rFonts w:ascii="Arial" w:hAnsi="Arial" w:cs="Arial"/>
          <w:sz w:val="20"/>
          <w:szCs w:val="20"/>
        </w:rPr>
        <w:t xml:space="preserve">A violação da competitividade, caracterizada no caso em questão resta evidenciada. O Edital nº 04/14 não assegurou igualdade de participação a todos, pois restringiu a participação de eventuais interessados na licitação que não fosse da cidade, violando o art. 3º, </w:t>
      </w:r>
      <w:r w:rsidRPr="00494962">
        <w:rPr>
          <w:rFonts w:ascii="Arial" w:hAnsi="Arial" w:cs="Arial"/>
          <w:i/>
          <w:sz w:val="20"/>
          <w:szCs w:val="20"/>
        </w:rPr>
        <w:t>caput,</w:t>
      </w:r>
      <w:r w:rsidRPr="00494962">
        <w:rPr>
          <w:rFonts w:ascii="Arial" w:hAnsi="Arial" w:cs="Arial"/>
          <w:sz w:val="20"/>
          <w:szCs w:val="20"/>
        </w:rPr>
        <w:t xml:space="preserve"> r 1º, I e o art. 30, § 5º, ambos da Lei nº 8.666/93</w:t>
      </w:r>
    </w:p>
    <w:p w:rsidR="00E44C70" w:rsidRPr="00494962" w:rsidRDefault="00E44C70" w:rsidP="00494962">
      <w:pPr>
        <w:spacing w:after="0"/>
        <w:jc w:val="both"/>
        <w:rPr>
          <w:rFonts w:ascii="Arial" w:hAnsi="Arial" w:cs="Arial"/>
          <w:sz w:val="20"/>
          <w:szCs w:val="20"/>
        </w:rPr>
      </w:pPr>
    </w:p>
    <w:p w:rsidR="00D1687C" w:rsidRDefault="00D1687C" w:rsidP="00494962">
      <w:pPr>
        <w:spacing w:after="0"/>
        <w:jc w:val="both"/>
        <w:rPr>
          <w:rFonts w:ascii="Arial" w:hAnsi="Arial" w:cs="Arial"/>
          <w:sz w:val="20"/>
          <w:szCs w:val="20"/>
        </w:rPr>
      </w:pPr>
      <w:r w:rsidRPr="00494962">
        <w:rPr>
          <w:rFonts w:ascii="Arial" w:hAnsi="Arial" w:cs="Arial"/>
          <w:sz w:val="20"/>
          <w:szCs w:val="20"/>
        </w:rPr>
        <w:t xml:space="preserve">A decisão foi no sentido da procedência da Representação com aplicação da multa administrativa do art. 87, IV, “g” da Lei Orgânica deste Tribunal de Contas à Reitora da Universidade. </w:t>
      </w:r>
    </w:p>
    <w:p w:rsidR="00E44C70" w:rsidRPr="00494962" w:rsidRDefault="00E44C70" w:rsidP="00494962">
      <w:pPr>
        <w:spacing w:after="0"/>
        <w:jc w:val="both"/>
        <w:rPr>
          <w:rFonts w:ascii="Arial" w:hAnsi="Arial" w:cs="Arial"/>
          <w:sz w:val="20"/>
          <w:szCs w:val="20"/>
        </w:rPr>
      </w:pPr>
    </w:p>
    <w:p w:rsidR="00D1687C" w:rsidRPr="00494962" w:rsidRDefault="00D1687C" w:rsidP="00494962">
      <w:pPr>
        <w:spacing w:after="0"/>
        <w:jc w:val="both"/>
        <w:rPr>
          <w:rFonts w:ascii="Arial" w:hAnsi="Arial" w:cs="Arial"/>
          <w:sz w:val="20"/>
          <w:szCs w:val="20"/>
        </w:rPr>
      </w:pPr>
      <w:r w:rsidRPr="00494962">
        <w:rPr>
          <w:rFonts w:ascii="Arial" w:hAnsi="Arial" w:cs="Arial"/>
          <w:sz w:val="20"/>
          <w:szCs w:val="20"/>
        </w:rPr>
        <w:t>Processo nº 784234/14</w:t>
      </w:r>
      <w:r w:rsidR="00494962" w:rsidRPr="00494962">
        <w:rPr>
          <w:rFonts w:ascii="Arial" w:hAnsi="Arial" w:cs="Arial"/>
          <w:sz w:val="20"/>
          <w:szCs w:val="20"/>
        </w:rPr>
        <w:t xml:space="preserve">. </w:t>
      </w:r>
      <w:hyperlink r:id="rId19" w:history="1">
        <w:r w:rsidRPr="00494962">
          <w:rPr>
            <w:rStyle w:val="Hyperlink"/>
            <w:rFonts w:ascii="Arial" w:hAnsi="Arial" w:cs="Arial"/>
            <w:color w:val="auto"/>
            <w:sz w:val="20"/>
            <w:szCs w:val="20"/>
          </w:rPr>
          <w:t>Acórdão nº</w:t>
        </w:r>
        <w:r w:rsidR="00CA13C2">
          <w:rPr>
            <w:rStyle w:val="Hyperlink"/>
            <w:rFonts w:ascii="Arial" w:hAnsi="Arial" w:cs="Arial"/>
            <w:color w:val="auto"/>
            <w:sz w:val="20"/>
            <w:szCs w:val="20"/>
          </w:rPr>
          <w:t xml:space="preserve"> </w:t>
        </w:r>
        <w:r w:rsidRPr="00494962">
          <w:rPr>
            <w:rStyle w:val="Hyperlink"/>
            <w:rFonts w:ascii="Arial" w:hAnsi="Arial" w:cs="Arial"/>
            <w:color w:val="auto"/>
            <w:sz w:val="20"/>
            <w:szCs w:val="20"/>
          </w:rPr>
          <w:t>2688/17</w:t>
        </w:r>
        <w:r w:rsidR="00494962" w:rsidRPr="00494962">
          <w:rPr>
            <w:rStyle w:val="Hyperlink"/>
            <w:rFonts w:ascii="Arial" w:hAnsi="Arial" w:cs="Arial"/>
            <w:color w:val="auto"/>
            <w:sz w:val="20"/>
            <w:szCs w:val="20"/>
          </w:rPr>
          <w:t xml:space="preserve"> </w:t>
        </w:r>
        <w:r w:rsidRPr="00494962">
          <w:rPr>
            <w:rStyle w:val="Hyperlink"/>
            <w:rFonts w:ascii="Arial" w:hAnsi="Arial" w:cs="Arial"/>
            <w:color w:val="auto"/>
            <w:sz w:val="20"/>
            <w:szCs w:val="20"/>
          </w:rPr>
          <w:t>-</w:t>
        </w:r>
        <w:r w:rsidR="00494962" w:rsidRPr="00494962">
          <w:rPr>
            <w:rStyle w:val="Hyperlink"/>
            <w:rFonts w:ascii="Arial" w:hAnsi="Arial" w:cs="Arial"/>
            <w:color w:val="auto"/>
            <w:sz w:val="20"/>
            <w:szCs w:val="20"/>
          </w:rPr>
          <w:t xml:space="preserve"> </w:t>
        </w:r>
        <w:r w:rsidRPr="00494962">
          <w:rPr>
            <w:rStyle w:val="Hyperlink"/>
            <w:rFonts w:ascii="Arial" w:hAnsi="Arial" w:cs="Arial"/>
            <w:color w:val="auto"/>
            <w:sz w:val="20"/>
            <w:szCs w:val="20"/>
          </w:rPr>
          <w:t>Tribunal Pleno</w:t>
        </w:r>
      </w:hyperlink>
      <w:r w:rsidR="00494962" w:rsidRPr="00494962">
        <w:rPr>
          <w:rStyle w:val="Hyperlink"/>
          <w:rFonts w:ascii="Arial" w:hAnsi="Arial" w:cs="Arial"/>
          <w:color w:val="auto"/>
          <w:sz w:val="20"/>
          <w:szCs w:val="20"/>
        </w:rPr>
        <w:t>.</w:t>
      </w:r>
      <w:r w:rsidRPr="00494962">
        <w:rPr>
          <w:rFonts w:ascii="Arial" w:hAnsi="Arial" w:cs="Arial"/>
          <w:sz w:val="20"/>
          <w:szCs w:val="20"/>
        </w:rPr>
        <w:t xml:space="preserve"> Rel. Conselheiro Fernando Augusto Mello Guimarães. </w:t>
      </w:r>
    </w:p>
    <w:p w:rsidR="00D1687C" w:rsidRPr="00494962" w:rsidRDefault="00D1687C" w:rsidP="00494962">
      <w:pPr>
        <w:autoSpaceDE w:val="0"/>
        <w:autoSpaceDN w:val="0"/>
        <w:adjustRightInd w:val="0"/>
        <w:spacing w:after="0"/>
        <w:jc w:val="both"/>
        <w:rPr>
          <w:rFonts w:ascii="Arial" w:hAnsi="Arial" w:cs="Arial"/>
          <w:sz w:val="20"/>
          <w:szCs w:val="20"/>
        </w:rPr>
      </w:pPr>
    </w:p>
    <w:p w:rsidR="00E8762F" w:rsidRPr="00494962" w:rsidRDefault="00E8762F" w:rsidP="00494962">
      <w:pPr>
        <w:autoSpaceDE w:val="0"/>
        <w:autoSpaceDN w:val="0"/>
        <w:adjustRightInd w:val="0"/>
        <w:spacing w:after="0"/>
        <w:jc w:val="both"/>
        <w:rPr>
          <w:rFonts w:ascii="Arial" w:hAnsi="Arial" w:cs="Arial"/>
          <w:sz w:val="20"/>
          <w:szCs w:val="20"/>
        </w:rPr>
      </w:pPr>
      <w:r w:rsidRPr="00494962">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8C267C" w:rsidRDefault="0026477F" w:rsidP="00816942">
      <w:pPr>
        <w:spacing w:after="0"/>
        <w:rPr>
          <w:rFonts w:ascii="Arial" w:hAnsi="Arial" w:cs="Arial"/>
          <w:color w:val="000000"/>
          <w:sz w:val="20"/>
          <w:szCs w:val="20"/>
        </w:rPr>
      </w:pPr>
      <w:r w:rsidRPr="008C267C">
        <w:rPr>
          <w:rFonts w:ascii="Arial" w:hAnsi="Arial" w:cs="Arial"/>
          <w:color w:val="000000"/>
          <w:sz w:val="20"/>
          <w:szCs w:val="20"/>
        </w:rPr>
        <w:t>Ju</w:t>
      </w:r>
      <w:r w:rsidR="00AD528F" w:rsidRPr="008C267C">
        <w:rPr>
          <w:rFonts w:ascii="Arial" w:hAnsi="Arial" w:cs="Arial"/>
          <w:color w:val="000000"/>
          <w:sz w:val="20"/>
          <w:szCs w:val="20"/>
        </w:rPr>
        <w:t xml:space="preserve">risprudência Selecionada: </w:t>
      </w:r>
    </w:p>
    <w:p w:rsidR="00601974" w:rsidRPr="008C267C" w:rsidRDefault="00601974" w:rsidP="00786603">
      <w:pPr>
        <w:spacing w:after="0"/>
        <w:rPr>
          <w:rFonts w:ascii="Arial" w:hAnsi="Arial" w:cs="Arial"/>
          <w:b/>
          <w:color w:val="000000"/>
          <w:sz w:val="20"/>
          <w:szCs w:val="20"/>
        </w:rPr>
      </w:pPr>
    </w:p>
    <w:p w:rsidR="005603B3" w:rsidRPr="008C267C" w:rsidRDefault="005603B3" w:rsidP="00786603">
      <w:pPr>
        <w:spacing w:after="0"/>
        <w:jc w:val="both"/>
        <w:rPr>
          <w:rFonts w:ascii="Arial" w:hAnsi="Arial" w:cs="Arial"/>
          <w:b/>
          <w:color w:val="000000"/>
          <w:sz w:val="20"/>
          <w:szCs w:val="20"/>
        </w:rPr>
      </w:pPr>
      <w:r w:rsidRPr="008C267C">
        <w:rPr>
          <w:rFonts w:ascii="Arial" w:hAnsi="Arial" w:cs="Arial"/>
          <w:b/>
          <w:color w:val="000000"/>
          <w:sz w:val="20"/>
          <w:szCs w:val="20"/>
        </w:rPr>
        <w:t>Supremo Tribunal Federal:</w:t>
      </w:r>
    </w:p>
    <w:p w:rsidR="001D28D1" w:rsidRPr="00286A1A" w:rsidRDefault="001D28D1" w:rsidP="00286A1A">
      <w:pPr>
        <w:spacing w:after="0"/>
        <w:jc w:val="both"/>
        <w:rPr>
          <w:rFonts w:ascii="Arial" w:hAnsi="Arial"/>
          <w:sz w:val="20"/>
          <w:szCs w:val="20"/>
        </w:rPr>
      </w:pPr>
    </w:p>
    <w:p w:rsidR="00443CA1" w:rsidRDefault="00163804" w:rsidP="00286A1A">
      <w:pPr>
        <w:spacing w:after="0"/>
        <w:jc w:val="both"/>
        <w:rPr>
          <w:rFonts w:ascii="Arial" w:hAnsi="Arial"/>
          <w:sz w:val="20"/>
          <w:szCs w:val="20"/>
        </w:rPr>
      </w:pPr>
      <w:hyperlink r:id="rId20" w:history="1">
        <w:r w:rsidR="006A049A" w:rsidRPr="00286A1A">
          <w:rPr>
            <w:rStyle w:val="Hyperlink"/>
            <w:rFonts w:ascii="Arial" w:hAnsi="Arial"/>
            <w:b/>
            <w:color w:val="auto"/>
            <w:sz w:val="20"/>
            <w:szCs w:val="20"/>
          </w:rPr>
          <w:t>ADPF 405 MC/RJ</w:t>
        </w:r>
      </w:hyperlink>
      <w:r w:rsidR="002F4D37" w:rsidRPr="00286A1A">
        <w:rPr>
          <w:rFonts w:ascii="Arial" w:hAnsi="Arial"/>
          <w:sz w:val="20"/>
          <w:szCs w:val="20"/>
        </w:rPr>
        <w:t>. R</w:t>
      </w:r>
      <w:r w:rsidR="006A049A" w:rsidRPr="00286A1A">
        <w:rPr>
          <w:rFonts w:ascii="Arial" w:hAnsi="Arial"/>
          <w:sz w:val="20"/>
          <w:szCs w:val="20"/>
        </w:rPr>
        <w:t xml:space="preserve">el. Min. Rosa Weber, julgamento em 14.6.2017. </w:t>
      </w:r>
    </w:p>
    <w:p w:rsidR="00286A1A" w:rsidRPr="00286A1A" w:rsidRDefault="00286A1A" w:rsidP="00286A1A">
      <w:pPr>
        <w:spacing w:after="0"/>
        <w:jc w:val="both"/>
        <w:rPr>
          <w:rFonts w:ascii="Arial" w:hAnsi="Arial"/>
          <w:sz w:val="20"/>
          <w:szCs w:val="20"/>
        </w:rPr>
      </w:pPr>
    </w:p>
    <w:p w:rsidR="003870D5" w:rsidRDefault="001D28D1" w:rsidP="00286A1A">
      <w:pPr>
        <w:spacing w:after="0"/>
        <w:jc w:val="both"/>
        <w:rPr>
          <w:rFonts w:ascii="Arial" w:hAnsi="Arial"/>
          <w:sz w:val="20"/>
          <w:szCs w:val="20"/>
        </w:rPr>
      </w:pPr>
      <w:r w:rsidRPr="00286A1A">
        <w:rPr>
          <w:rFonts w:ascii="Arial" w:hAnsi="Arial"/>
          <w:b/>
          <w:sz w:val="20"/>
          <w:szCs w:val="20"/>
        </w:rPr>
        <w:t>A</w:t>
      </w:r>
      <w:r w:rsidR="003870D5">
        <w:rPr>
          <w:rFonts w:ascii="Arial" w:hAnsi="Arial"/>
          <w:b/>
          <w:sz w:val="20"/>
          <w:szCs w:val="20"/>
        </w:rPr>
        <w:t xml:space="preserve">rguição de Descumprimento de Preceito Fundamental - ADPF </w:t>
      </w:r>
      <w:r w:rsidRPr="00286A1A">
        <w:rPr>
          <w:rFonts w:ascii="Arial" w:hAnsi="Arial"/>
          <w:b/>
          <w:sz w:val="20"/>
          <w:szCs w:val="20"/>
        </w:rPr>
        <w:t>e expropriação de recursos administrados pelo poder público estadual</w:t>
      </w:r>
      <w:r w:rsidR="00A2230E" w:rsidRPr="00286A1A">
        <w:rPr>
          <w:rFonts w:ascii="Arial" w:hAnsi="Arial"/>
          <w:sz w:val="20"/>
          <w:szCs w:val="20"/>
        </w:rPr>
        <w:t xml:space="preserve">. </w:t>
      </w:r>
    </w:p>
    <w:p w:rsidR="003870D5" w:rsidRDefault="003870D5" w:rsidP="00286A1A">
      <w:pPr>
        <w:spacing w:after="0"/>
        <w:jc w:val="both"/>
        <w:rPr>
          <w:rFonts w:ascii="Arial" w:hAnsi="Arial"/>
          <w:sz w:val="20"/>
          <w:szCs w:val="20"/>
        </w:rPr>
      </w:pPr>
    </w:p>
    <w:p w:rsidR="006A049A" w:rsidRPr="00286A1A" w:rsidRDefault="00A2230E" w:rsidP="00286A1A">
      <w:pPr>
        <w:spacing w:after="0"/>
        <w:jc w:val="both"/>
        <w:rPr>
          <w:sz w:val="20"/>
          <w:szCs w:val="20"/>
        </w:rPr>
      </w:pPr>
      <w:r w:rsidRPr="00286A1A">
        <w:rPr>
          <w:rFonts w:ascii="Arial" w:hAnsi="Arial" w:cs="Arial"/>
          <w:sz w:val="20"/>
          <w:szCs w:val="20"/>
        </w:rPr>
        <w:t xml:space="preserve">O Plenário do Supremo Tribunal Federal, por maioria, deferiu parcialmente liminar em ação de descumprimento de preceito fundamental (ADPF), para suspender, até o julgamento de mérito, os efeitos de todas as decisões judiciais do Tribunal de Justiça do Estado do Rio de Janeiro (TJRJ) e do Tribunal Regional do Trabalho da 1ª Região (TRT1) que tenham determinado o arresto, o sequestro, o bloqueio, a penhora ou a liberação de valores das contas administradas pelo Estado do Rio de Janeiro, para atender a demandas relativas a pagamento de salários, a satisfação imediata de créditos de prestadores de serviços e tutelas provisórias definidoras de prioridades na aplicação de recursos públicos, exclusivamente nos casos em que estas determinações tenham recaído sobre recursos escriturados, com vinculação orçamentária específica ou vinculados a convênios e operações de crédito, valores de terceiros sob a </w:t>
      </w:r>
      <w:r w:rsidRPr="00286A1A">
        <w:rPr>
          <w:rFonts w:ascii="Arial" w:hAnsi="Arial" w:cs="Arial"/>
          <w:sz w:val="20"/>
          <w:szCs w:val="20"/>
        </w:rPr>
        <w:lastRenderedPageBreak/>
        <w:t>administração do Poder Executivo e valores constitucionalmente destinados a municípios, devendo, ainda, ser devolvidos os recursos que ainda não tenham sido repassados aos beneficiários dessas decisões judiciais.</w:t>
      </w:r>
    </w:p>
    <w:p w:rsidR="006A049A" w:rsidRPr="00286A1A" w:rsidRDefault="006A049A" w:rsidP="00286A1A">
      <w:pPr>
        <w:spacing w:after="0"/>
        <w:jc w:val="both"/>
        <w:rPr>
          <w:rFonts w:ascii="Arial" w:hAnsi="Arial" w:cs="Arial"/>
          <w:b/>
          <w:sz w:val="20"/>
          <w:szCs w:val="20"/>
        </w:rPr>
      </w:pPr>
    </w:p>
    <w:p w:rsidR="000800D1" w:rsidRDefault="000800D1" w:rsidP="00286A1A">
      <w:pPr>
        <w:spacing w:after="0"/>
        <w:jc w:val="both"/>
        <w:rPr>
          <w:rFonts w:ascii="Arial" w:hAnsi="Arial" w:cs="Arial"/>
          <w:b/>
          <w:sz w:val="20"/>
          <w:szCs w:val="20"/>
        </w:rPr>
      </w:pPr>
      <w:r w:rsidRPr="00286A1A">
        <w:rPr>
          <w:rFonts w:ascii="Arial" w:hAnsi="Arial" w:cs="Arial"/>
          <w:b/>
          <w:sz w:val="20"/>
          <w:szCs w:val="20"/>
        </w:rPr>
        <w:t>Superior Tribunal de Justiça:</w:t>
      </w:r>
    </w:p>
    <w:p w:rsidR="00286A1A" w:rsidRPr="00286A1A" w:rsidRDefault="00286A1A" w:rsidP="00286A1A">
      <w:pPr>
        <w:spacing w:after="0"/>
        <w:jc w:val="both"/>
        <w:rPr>
          <w:rFonts w:ascii="Arial" w:hAnsi="Arial" w:cs="Arial"/>
          <w:b/>
          <w:sz w:val="20"/>
          <w:szCs w:val="20"/>
        </w:rPr>
      </w:pPr>
    </w:p>
    <w:p w:rsidR="00543537" w:rsidRDefault="00163804" w:rsidP="00286A1A">
      <w:pPr>
        <w:spacing w:after="0"/>
        <w:jc w:val="both"/>
        <w:rPr>
          <w:rFonts w:ascii="Arial" w:hAnsi="Arial" w:cs="Arial"/>
          <w:sz w:val="20"/>
          <w:szCs w:val="20"/>
        </w:rPr>
      </w:pPr>
      <w:hyperlink r:id="rId21" w:history="1">
        <w:proofErr w:type="spellStart"/>
        <w:r w:rsidR="00A32FCD" w:rsidRPr="006D209F">
          <w:rPr>
            <w:rStyle w:val="Hyperlink"/>
            <w:rFonts w:ascii="Arial" w:hAnsi="Arial" w:cs="Arial"/>
            <w:b/>
            <w:sz w:val="20"/>
            <w:szCs w:val="20"/>
          </w:rPr>
          <w:t>AgInt</w:t>
        </w:r>
        <w:proofErr w:type="spellEnd"/>
        <w:r w:rsidR="00A32FCD" w:rsidRPr="006D209F">
          <w:rPr>
            <w:rStyle w:val="Hyperlink"/>
            <w:rFonts w:ascii="Arial" w:hAnsi="Arial" w:cs="Arial"/>
            <w:b/>
            <w:sz w:val="20"/>
            <w:szCs w:val="20"/>
          </w:rPr>
          <w:t xml:space="preserve"> no </w:t>
        </w:r>
        <w:proofErr w:type="spellStart"/>
        <w:r w:rsidR="00A32FCD" w:rsidRPr="006D209F">
          <w:rPr>
            <w:rStyle w:val="Hyperlink"/>
            <w:rFonts w:ascii="Arial" w:hAnsi="Arial" w:cs="Arial"/>
            <w:b/>
            <w:sz w:val="20"/>
            <w:szCs w:val="20"/>
          </w:rPr>
          <w:t>AgInt</w:t>
        </w:r>
        <w:proofErr w:type="spellEnd"/>
        <w:r w:rsidR="00A32FCD" w:rsidRPr="006D209F">
          <w:rPr>
            <w:rStyle w:val="Hyperlink"/>
            <w:rFonts w:ascii="Arial" w:hAnsi="Arial" w:cs="Arial"/>
            <w:b/>
            <w:sz w:val="20"/>
            <w:szCs w:val="20"/>
          </w:rPr>
          <w:t xml:space="preserve"> na SLS 2.240-SP</w:t>
        </w:r>
      </w:hyperlink>
      <w:r w:rsidR="00DA60FF" w:rsidRPr="00286A1A">
        <w:rPr>
          <w:rFonts w:ascii="Arial" w:hAnsi="Arial" w:cs="Arial"/>
          <w:sz w:val="20"/>
          <w:szCs w:val="20"/>
        </w:rPr>
        <w:t>.</w:t>
      </w:r>
      <w:r w:rsidR="00A32FCD" w:rsidRPr="00286A1A">
        <w:rPr>
          <w:rFonts w:ascii="Arial" w:hAnsi="Arial" w:cs="Arial"/>
          <w:sz w:val="20"/>
          <w:szCs w:val="20"/>
        </w:rPr>
        <w:t xml:space="preserve"> Rel. Min. Laurita Vaz, por unanimidade, julgado em 7/6/2017, </w:t>
      </w:r>
      <w:proofErr w:type="spellStart"/>
      <w:r w:rsidR="00A32FCD" w:rsidRPr="00286A1A">
        <w:rPr>
          <w:rFonts w:ascii="Arial" w:hAnsi="Arial" w:cs="Arial"/>
          <w:sz w:val="20"/>
          <w:szCs w:val="20"/>
        </w:rPr>
        <w:t>DJe</w:t>
      </w:r>
      <w:proofErr w:type="spellEnd"/>
      <w:r w:rsidR="00A32FCD" w:rsidRPr="00286A1A">
        <w:rPr>
          <w:rFonts w:ascii="Arial" w:hAnsi="Arial" w:cs="Arial"/>
          <w:sz w:val="20"/>
          <w:szCs w:val="20"/>
        </w:rPr>
        <w:t xml:space="preserve"> 20/6/2017.</w:t>
      </w:r>
    </w:p>
    <w:p w:rsidR="00286A1A" w:rsidRPr="00286A1A" w:rsidRDefault="00286A1A" w:rsidP="00286A1A">
      <w:pPr>
        <w:spacing w:after="0"/>
        <w:jc w:val="both"/>
        <w:rPr>
          <w:rFonts w:ascii="Arial" w:hAnsi="Arial" w:cs="Arial"/>
          <w:sz w:val="20"/>
          <w:szCs w:val="20"/>
        </w:rPr>
      </w:pPr>
    </w:p>
    <w:p w:rsidR="0016028F" w:rsidRPr="008C267C" w:rsidRDefault="009E4DD3" w:rsidP="00286A1A">
      <w:pPr>
        <w:spacing w:after="0"/>
        <w:jc w:val="both"/>
        <w:rPr>
          <w:rFonts w:ascii="Arial" w:hAnsi="Arial"/>
          <w:sz w:val="20"/>
          <w:szCs w:val="20"/>
        </w:rPr>
      </w:pPr>
      <w:r w:rsidRPr="00286A1A">
        <w:rPr>
          <w:rFonts w:ascii="Arial" w:hAnsi="Arial"/>
          <w:sz w:val="20"/>
          <w:szCs w:val="20"/>
        </w:rPr>
        <w:t xml:space="preserve">A interferência judicial para invalidar a estipulação das tarifas de transporte público urbano viola a ordem pública, mormente nos casos em que houver, por parte da Fazenda estadual, esclarecimento de que a metodologia adotada para fixação dos preços </w:t>
      </w:r>
      <w:r w:rsidRPr="008C267C">
        <w:rPr>
          <w:rFonts w:ascii="Arial" w:hAnsi="Arial"/>
          <w:sz w:val="20"/>
          <w:szCs w:val="20"/>
        </w:rPr>
        <w:t>era técnica.</w:t>
      </w:r>
    </w:p>
    <w:p w:rsidR="009E4DD3" w:rsidRPr="008C267C" w:rsidRDefault="009E4DD3" w:rsidP="00786603">
      <w:pPr>
        <w:spacing w:after="0"/>
        <w:jc w:val="both"/>
        <w:rPr>
          <w:rFonts w:ascii="Arial" w:hAnsi="Arial" w:cs="Arial"/>
          <w:sz w:val="20"/>
          <w:szCs w:val="20"/>
          <w:shd w:val="clear" w:color="auto" w:fill="FFFFFF"/>
        </w:rPr>
      </w:pPr>
    </w:p>
    <w:p w:rsidR="000800D1" w:rsidRPr="008C267C" w:rsidRDefault="000800D1" w:rsidP="00786603">
      <w:pPr>
        <w:spacing w:after="0"/>
        <w:rPr>
          <w:rFonts w:ascii="Arial" w:hAnsi="Arial" w:cs="Arial"/>
          <w:b/>
          <w:color w:val="000000"/>
          <w:sz w:val="20"/>
          <w:szCs w:val="20"/>
        </w:rPr>
      </w:pPr>
      <w:r w:rsidRPr="008C267C">
        <w:rPr>
          <w:rFonts w:ascii="Arial" w:hAnsi="Arial" w:cs="Arial"/>
          <w:b/>
          <w:color w:val="000000"/>
          <w:sz w:val="20"/>
          <w:szCs w:val="20"/>
        </w:rPr>
        <w:t>Tribunal de Contas da União:</w:t>
      </w:r>
    </w:p>
    <w:p w:rsidR="002A2E6C" w:rsidRPr="008C267C" w:rsidRDefault="002A2E6C" w:rsidP="00786603">
      <w:pPr>
        <w:spacing w:after="0"/>
        <w:jc w:val="both"/>
        <w:rPr>
          <w:rFonts w:ascii="Arial" w:hAnsi="Arial" w:cs="Arial"/>
          <w:b/>
          <w:color w:val="000000"/>
          <w:sz w:val="20"/>
          <w:szCs w:val="20"/>
        </w:rPr>
      </w:pPr>
    </w:p>
    <w:p w:rsidR="00873871" w:rsidRPr="008C267C" w:rsidRDefault="00163804" w:rsidP="00786603">
      <w:pPr>
        <w:widowControl w:val="0"/>
        <w:autoSpaceDE w:val="0"/>
        <w:autoSpaceDN w:val="0"/>
        <w:spacing w:after="0"/>
        <w:jc w:val="both"/>
        <w:rPr>
          <w:rFonts w:ascii="Arial" w:hAnsi="Arial" w:cs="Arial"/>
          <w:b/>
          <w:sz w:val="20"/>
          <w:szCs w:val="20"/>
        </w:rPr>
      </w:pPr>
      <w:hyperlink r:id="rId22" w:history="1">
        <w:r w:rsidR="00873871" w:rsidRPr="008C267C">
          <w:rPr>
            <w:rStyle w:val="Hyperlink"/>
            <w:rFonts w:ascii="Arial" w:hAnsi="Arial"/>
            <w:b/>
            <w:sz w:val="20"/>
            <w:szCs w:val="20"/>
          </w:rPr>
          <w:t>Acórdão 1304/2017</w:t>
        </w:r>
        <w:r w:rsidR="00627D4E" w:rsidRPr="008C267C">
          <w:rPr>
            <w:rStyle w:val="Hyperlink"/>
            <w:rFonts w:ascii="Arial" w:hAnsi="Arial"/>
            <w:b/>
            <w:sz w:val="20"/>
            <w:szCs w:val="20"/>
          </w:rPr>
          <w:t xml:space="preserve"> -</w:t>
        </w:r>
        <w:r w:rsidR="00873871" w:rsidRPr="008C267C">
          <w:rPr>
            <w:rStyle w:val="Hyperlink"/>
            <w:rFonts w:ascii="Arial" w:hAnsi="Arial"/>
            <w:b/>
            <w:sz w:val="20"/>
            <w:szCs w:val="20"/>
          </w:rPr>
          <w:t xml:space="preserve"> Plenário</w:t>
        </w:r>
      </w:hyperlink>
      <w:r w:rsidR="00873871" w:rsidRPr="008C267C">
        <w:rPr>
          <w:rFonts w:ascii="Arial" w:hAnsi="Arial"/>
          <w:sz w:val="20"/>
          <w:szCs w:val="20"/>
        </w:rPr>
        <w:t xml:space="preserve"> (Embargos de Declaração, Relator Ministro Benjamin </w:t>
      </w:r>
      <w:proofErr w:type="spellStart"/>
      <w:r w:rsidR="00873871" w:rsidRPr="008C267C">
        <w:rPr>
          <w:rFonts w:ascii="Arial" w:hAnsi="Arial"/>
          <w:sz w:val="20"/>
          <w:szCs w:val="20"/>
        </w:rPr>
        <w:t>Zymler</w:t>
      </w:r>
      <w:proofErr w:type="spellEnd"/>
      <w:r w:rsidR="00873871" w:rsidRPr="008C267C">
        <w:rPr>
          <w:rFonts w:ascii="Arial" w:hAnsi="Arial"/>
          <w:sz w:val="20"/>
          <w:szCs w:val="20"/>
        </w:rPr>
        <w:t>)</w:t>
      </w:r>
    </w:p>
    <w:p w:rsidR="00786603" w:rsidRPr="008C267C" w:rsidRDefault="00786603" w:rsidP="00786603">
      <w:pPr>
        <w:spacing w:after="0"/>
        <w:jc w:val="both"/>
        <w:rPr>
          <w:rFonts w:ascii="Arial" w:hAnsi="Arial"/>
          <w:b/>
          <w:sz w:val="20"/>
          <w:szCs w:val="20"/>
        </w:rPr>
      </w:pPr>
    </w:p>
    <w:p w:rsidR="00873871" w:rsidRPr="008C267C" w:rsidRDefault="00873871" w:rsidP="00786603">
      <w:pPr>
        <w:spacing w:after="0"/>
        <w:jc w:val="both"/>
        <w:rPr>
          <w:rFonts w:ascii="Arial" w:hAnsi="Arial" w:cs="Arial"/>
          <w:b/>
          <w:sz w:val="20"/>
          <w:szCs w:val="20"/>
        </w:rPr>
      </w:pPr>
      <w:r w:rsidRPr="008C267C">
        <w:rPr>
          <w:rFonts w:ascii="Arial" w:hAnsi="Arial"/>
          <w:b/>
          <w:sz w:val="20"/>
          <w:szCs w:val="20"/>
        </w:rPr>
        <w:t>Responsabilidade. Contrato administrativo. Superfaturamento. Solidariedade. Contratado. Orçamento estimativo. Erro.</w:t>
      </w:r>
    </w:p>
    <w:p w:rsidR="00786603" w:rsidRPr="008C267C" w:rsidRDefault="00786603" w:rsidP="00786603">
      <w:pPr>
        <w:pStyle w:val="TCU-Epgrafe"/>
        <w:spacing w:line="276" w:lineRule="auto"/>
        <w:ind w:left="0"/>
        <w:rPr>
          <w:rFonts w:ascii="Arial" w:hAnsi="Arial"/>
          <w:sz w:val="20"/>
        </w:rPr>
      </w:pPr>
    </w:p>
    <w:p w:rsidR="00873871" w:rsidRPr="008C267C" w:rsidRDefault="00873871" w:rsidP="00786603">
      <w:pPr>
        <w:pStyle w:val="TCU-Epgrafe"/>
        <w:spacing w:line="276" w:lineRule="auto"/>
        <w:ind w:left="0"/>
        <w:rPr>
          <w:rFonts w:ascii="Arial" w:hAnsi="Arial"/>
          <w:sz w:val="20"/>
        </w:rPr>
      </w:pPr>
      <w:r w:rsidRPr="008C267C">
        <w:rPr>
          <w:rFonts w:ascii="Arial" w:hAnsi="Arial"/>
          <w:sz w:val="20"/>
        </w:rPr>
        <w:t xml:space="preserve">O fato de a empresa não participar da elaboração do edital e do orçamento base da licitação não a isenta de responsabilidade solidária pelo dano (art. 16, § 2º, da </w:t>
      </w:r>
      <w:hyperlink r:id="rId23" w:tgtFrame="_blank" w:history="1">
        <w:r w:rsidRPr="008C267C">
          <w:rPr>
            <w:rStyle w:val="Hyperlink"/>
            <w:rFonts w:ascii="Arial" w:hAnsi="Arial"/>
            <w:color w:val="0000FF" w:themeColor="hyperlink"/>
            <w:sz w:val="20"/>
            <w:shd w:val="clear" w:color="auto" w:fill="FFFFFF"/>
          </w:rPr>
          <w:t>Lei 8.443/1992</w:t>
        </w:r>
      </w:hyperlink>
      <w:r w:rsidRPr="008C267C">
        <w:rPr>
          <w:rFonts w:ascii="Arial" w:hAnsi="Arial"/>
          <w:sz w:val="20"/>
        </w:rPr>
        <w:t xml:space="preserve">) na hipótese de recebimento de pagamentos por serviços superfaturados, pois à licitante cabe ofertar preços compatíveis com os praticados pelo mercado (art. 43, inciso IV, da </w:t>
      </w:r>
      <w:hyperlink r:id="rId24" w:tgtFrame="_blank" w:history="1">
        <w:r w:rsidRPr="008C267C">
          <w:rPr>
            <w:rStyle w:val="Hyperlink"/>
            <w:rFonts w:ascii="Arial" w:hAnsi="Arial"/>
            <w:color w:val="0000FF" w:themeColor="hyperlink"/>
            <w:sz w:val="20"/>
            <w:shd w:val="clear" w:color="auto" w:fill="FFFFFF"/>
          </w:rPr>
          <w:t>Lei 8.666/1993</w:t>
        </w:r>
      </w:hyperlink>
      <w:r w:rsidRPr="008C267C">
        <w:rPr>
          <w:rFonts w:ascii="Arial" w:hAnsi="Arial"/>
          <w:sz w:val="20"/>
        </w:rPr>
        <w:t>), independentemente de eventual erro cometido pela Administração quando da elaboração do edital e do orçamento</w:t>
      </w:r>
      <w:r w:rsidR="002F4D37" w:rsidRPr="008C267C">
        <w:rPr>
          <w:rFonts w:ascii="Arial" w:hAnsi="Arial"/>
          <w:sz w:val="20"/>
        </w:rPr>
        <w:t>.</w:t>
      </w:r>
    </w:p>
    <w:p w:rsidR="00073A3F" w:rsidRPr="008C267C" w:rsidRDefault="00073A3F" w:rsidP="00786603">
      <w:pPr>
        <w:widowControl w:val="0"/>
        <w:autoSpaceDE w:val="0"/>
        <w:autoSpaceDN w:val="0"/>
        <w:spacing w:after="0"/>
        <w:jc w:val="both"/>
        <w:rPr>
          <w:rFonts w:ascii="Arial" w:hAnsi="Arial"/>
          <w:b/>
          <w:sz w:val="20"/>
          <w:szCs w:val="20"/>
        </w:rPr>
      </w:pPr>
    </w:p>
    <w:p w:rsidR="00873871" w:rsidRPr="008C267C" w:rsidRDefault="00163804" w:rsidP="00786603">
      <w:pPr>
        <w:widowControl w:val="0"/>
        <w:autoSpaceDE w:val="0"/>
        <w:autoSpaceDN w:val="0"/>
        <w:spacing w:after="0"/>
        <w:jc w:val="both"/>
        <w:rPr>
          <w:rFonts w:ascii="Arial" w:hAnsi="Arial" w:cs="Arial"/>
          <w:b/>
          <w:sz w:val="20"/>
          <w:szCs w:val="20"/>
        </w:rPr>
      </w:pPr>
      <w:hyperlink r:id="rId25" w:history="1">
        <w:r w:rsidR="00873871" w:rsidRPr="008C267C">
          <w:rPr>
            <w:rStyle w:val="Hyperlink"/>
            <w:rFonts w:ascii="Arial" w:hAnsi="Arial"/>
            <w:b/>
            <w:sz w:val="20"/>
            <w:szCs w:val="20"/>
          </w:rPr>
          <w:t>Acórdão 4837/2017</w:t>
        </w:r>
        <w:r w:rsidR="00627D4E" w:rsidRPr="008C267C">
          <w:rPr>
            <w:rStyle w:val="Hyperlink"/>
            <w:rFonts w:ascii="Arial" w:hAnsi="Arial"/>
            <w:b/>
            <w:sz w:val="20"/>
            <w:szCs w:val="20"/>
          </w:rPr>
          <w:t xml:space="preserve"> -</w:t>
        </w:r>
        <w:r w:rsidR="00873871" w:rsidRPr="008C267C">
          <w:rPr>
            <w:rStyle w:val="Hyperlink"/>
            <w:rFonts w:ascii="Arial" w:hAnsi="Arial"/>
            <w:b/>
            <w:sz w:val="20"/>
            <w:szCs w:val="20"/>
          </w:rPr>
          <w:t xml:space="preserve"> Primeira Câmara</w:t>
        </w:r>
      </w:hyperlink>
      <w:r w:rsidR="00873871" w:rsidRPr="008C267C">
        <w:rPr>
          <w:rFonts w:ascii="Arial" w:hAnsi="Arial"/>
          <w:b/>
          <w:sz w:val="20"/>
          <w:szCs w:val="20"/>
        </w:rPr>
        <w:t xml:space="preserve"> </w:t>
      </w:r>
      <w:r w:rsidR="00873871" w:rsidRPr="008C267C">
        <w:rPr>
          <w:rFonts w:ascii="Arial" w:hAnsi="Arial"/>
          <w:sz w:val="20"/>
          <w:szCs w:val="20"/>
        </w:rPr>
        <w:t>(Embargos de Declaração, Relator Ministro Vital do Rêgo)</w:t>
      </w:r>
    </w:p>
    <w:p w:rsidR="00786603" w:rsidRPr="008C267C" w:rsidRDefault="00786603" w:rsidP="00786603">
      <w:pPr>
        <w:spacing w:after="0"/>
        <w:jc w:val="both"/>
        <w:rPr>
          <w:rFonts w:ascii="Arial" w:hAnsi="Arial"/>
          <w:b/>
          <w:sz w:val="20"/>
          <w:szCs w:val="20"/>
        </w:rPr>
      </w:pPr>
    </w:p>
    <w:p w:rsidR="00873871" w:rsidRPr="008C267C" w:rsidRDefault="00873871" w:rsidP="00786603">
      <w:pPr>
        <w:spacing w:after="0"/>
        <w:jc w:val="both"/>
        <w:rPr>
          <w:rFonts w:ascii="Arial" w:hAnsi="Arial" w:cs="Arial"/>
          <w:b/>
          <w:sz w:val="20"/>
          <w:szCs w:val="20"/>
        </w:rPr>
      </w:pPr>
      <w:r w:rsidRPr="008C267C">
        <w:rPr>
          <w:rFonts w:ascii="Arial" w:hAnsi="Arial"/>
          <w:b/>
          <w:sz w:val="20"/>
          <w:szCs w:val="20"/>
        </w:rPr>
        <w:t>Pessoal. Ato sujeito a registro. Ato complexo. Decadência. Termo inicial.</w:t>
      </w:r>
    </w:p>
    <w:p w:rsidR="00786603" w:rsidRPr="008C267C" w:rsidRDefault="00786603" w:rsidP="00786603">
      <w:pPr>
        <w:spacing w:after="0"/>
        <w:jc w:val="both"/>
        <w:rPr>
          <w:rFonts w:ascii="Arial" w:hAnsi="Arial"/>
          <w:bCs/>
          <w:sz w:val="20"/>
          <w:szCs w:val="20"/>
        </w:rPr>
      </w:pPr>
    </w:p>
    <w:p w:rsidR="00873871" w:rsidRPr="008C267C" w:rsidRDefault="00873871" w:rsidP="00786603">
      <w:pPr>
        <w:spacing w:after="0"/>
        <w:jc w:val="both"/>
        <w:rPr>
          <w:rFonts w:ascii="Arial" w:hAnsi="Arial"/>
          <w:bCs/>
          <w:sz w:val="20"/>
          <w:szCs w:val="20"/>
        </w:rPr>
      </w:pPr>
      <w:r w:rsidRPr="008C267C">
        <w:rPr>
          <w:rFonts w:ascii="Arial" w:hAnsi="Arial"/>
          <w:bCs/>
          <w:sz w:val="20"/>
          <w:szCs w:val="20"/>
        </w:rPr>
        <w:t>Quando o ato de pessoal</w:t>
      </w:r>
      <w:r w:rsidRPr="008C267C">
        <w:rPr>
          <w:rFonts w:ascii="Arial" w:hAnsi="Arial"/>
          <w:sz w:val="20"/>
          <w:szCs w:val="20"/>
        </w:rPr>
        <w:t xml:space="preserve"> é apreciado pela ilegalidade, com negativa de registro, não há que se falar em início da contagem do prazo decadencial, até porque tal ato ilegal não existia no mundo jurídico. </w:t>
      </w:r>
      <w:r w:rsidRPr="008C267C">
        <w:rPr>
          <w:rFonts w:ascii="Arial" w:hAnsi="Arial"/>
          <w:bCs/>
          <w:sz w:val="20"/>
          <w:szCs w:val="20"/>
        </w:rPr>
        <w:t xml:space="preserve">O prazo decadencial a que se refere o art. 54 da </w:t>
      </w:r>
      <w:hyperlink r:id="rId26" w:tgtFrame="_blank" w:history="1">
        <w:r w:rsidRPr="008C267C">
          <w:rPr>
            <w:rFonts w:ascii="Arial" w:hAnsi="Arial"/>
            <w:color w:val="0000FF" w:themeColor="hyperlink"/>
            <w:sz w:val="20"/>
            <w:szCs w:val="20"/>
            <w:shd w:val="clear" w:color="auto" w:fill="FFFFFF"/>
          </w:rPr>
          <w:t>Lei 9.784/1999</w:t>
        </w:r>
      </w:hyperlink>
      <w:r w:rsidRPr="008C267C">
        <w:rPr>
          <w:rFonts w:ascii="Arial" w:hAnsi="Arial"/>
          <w:bCs/>
          <w:sz w:val="20"/>
          <w:szCs w:val="20"/>
        </w:rPr>
        <w:t xml:space="preserve"> somente começa a contar a partir da data de registro do ato pelo TCU.</w:t>
      </w:r>
    </w:p>
    <w:p w:rsidR="00786603" w:rsidRPr="008C267C" w:rsidRDefault="00786603" w:rsidP="00786603">
      <w:pPr>
        <w:spacing w:after="0"/>
        <w:jc w:val="both"/>
        <w:rPr>
          <w:b/>
          <w:bCs/>
          <w:sz w:val="20"/>
          <w:szCs w:val="20"/>
        </w:rPr>
      </w:pPr>
    </w:p>
    <w:p w:rsidR="00873871" w:rsidRPr="008C267C" w:rsidRDefault="00163804" w:rsidP="00786603">
      <w:pPr>
        <w:widowControl w:val="0"/>
        <w:autoSpaceDE w:val="0"/>
        <w:autoSpaceDN w:val="0"/>
        <w:spacing w:after="0"/>
        <w:jc w:val="both"/>
        <w:rPr>
          <w:rFonts w:ascii="Arial" w:hAnsi="Arial" w:cs="Arial"/>
          <w:b/>
          <w:sz w:val="20"/>
          <w:szCs w:val="20"/>
        </w:rPr>
      </w:pPr>
      <w:hyperlink r:id="rId27" w:history="1">
        <w:r w:rsidR="00873871" w:rsidRPr="008C267C">
          <w:rPr>
            <w:rStyle w:val="Hyperlink"/>
            <w:rFonts w:ascii="Arial" w:hAnsi="Arial"/>
            <w:b/>
            <w:sz w:val="20"/>
            <w:szCs w:val="20"/>
          </w:rPr>
          <w:t>Acórdão 4843/2017</w:t>
        </w:r>
        <w:r w:rsidR="00627D4E" w:rsidRPr="008C267C">
          <w:rPr>
            <w:rStyle w:val="Hyperlink"/>
            <w:rFonts w:ascii="Arial" w:hAnsi="Arial"/>
            <w:b/>
            <w:sz w:val="20"/>
            <w:szCs w:val="20"/>
          </w:rPr>
          <w:t xml:space="preserve"> -</w:t>
        </w:r>
        <w:r w:rsidR="00873871" w:rsidRPr="008C267C">
          <w:rPr>
            <w:rStyle w:val="Hyperlink"/>
            <w:rFonts w:ascii="Arial" w:hAnsi="Arial"/>
            <w:b/>
            <w:sz w:val="20"/>
            <w:szCs w:val="20"/>
          </w:rPr>
          <w:t xml:space="preserve"> Primeira Câmara</w:t>
        </w:r>
      </w:hyperlink>
      <w:r w:rsidR="00873871" w:rsidRPr="008C267C">
        <w:rPr>
          <w:rFonts w:ascii="Arial" w:hAnsi="Arial"/>
          <w:b/>
          <w:sz w:val="20"/>
          <w:szCs w:val="20"/>
        </w:rPr>
        <w:t xml:space="preserve"> </w:t>
      </w:r>
      <w:r w:rsidR="00873871" w:rsidRPr="008C267C">
        <w:rPr>
          <w:rFonts w:ascii="Arial" w:hAnsi="Arial"/>
          <w:sz w:val="20"/>
          <w:szCs w:val="20"/>
        </w:rPr>
        <w:t xml:space="preserve">(Recurso de Reconsideração, Relator Ministro José </w:t>
      </w:r>
      <w:proofErr w:type="spellStart"/>
      <w:r w:rsidR="00873871" w:rsidRPr="008C267C">
        <w:rPr>
          <w:rFonts w:ascii="Arial" w:hAnsi="Arial"/>
          <w:sz w:val="20"/>
          <w:szCs w:val="20"/>
        </w:rPr>
        <w:t>Múcio</w:t>
      </w:r>
      <w:proofErr w:type="spellEnd"/>
      <w:r w:rsidR="00873871" w:rsidRPr="008C267C">
        <w:rPr>
          <w:rFonts w:ascii="Arial" w:hAnsi="Arial"/>
          <w:sz w:val="20"/>
          <w:szCs w:val="20"/>
        </w:rPr>
        <w:t xml:space="preserve"> Monteiro)</w:t>
      </w:r>
    </w:p>
    <w:p w:rsidR="00786603" w:rsidRPr="008C267C" w:rsidRDefault="00786603" w:rsidP="00786603">
      <w:pPr>
        <w:spacing w:after="0"/>
        <w:jc w:val="both"/>
        <w:rPr>
          <w:rFonts w:ascii="Arial" w:hAnsi="Arial"/>
          <w:b/>
          <w:sz w:val="20"/>
          <w:szCs w:val="20"/>
        </w:rPr>
      </w:pPr>
    </w:p>
    <w:p w:rsidR="00873871" w:rsidRPr="008C267C" w:rsidRDefault="00873871" w:rsidP="00786603">
      <w:pPr>
        <w:spacing w:after="0"/>
        <w:jc w:val="both"/>
        <w:rPr>
          <w:rFonts w:ascii="Arial" w:hAnsi="Arial" w:cs="Arial"/>
          <w:b/>
          <w:sz w:val="20"/>
          <w:szCs w:val="20"/>
        </w:rPr>
      </w:pPr>
      <w:proofErr w:type="gramStart"/>
      <w:r w:rsidRPr="008C267C">
        <w:rPr>
          <w:rFonts w:ascii="Arial" w:hAnsi="Arial"/>
          <w:b/>
          <w:sz w:val="20"/>
          <w:szCs w:val="20"/>
        </w:rPr>
        <w:t>Direito Processual</w:t>
      </w:r>
      <w:proofErr w:type="gramEnd"/>
      <w:r w:rsidRPr="008C267C">
        <w:rPr>
          <w:rFonts w:ascii="Arial" w:hAnsi="Arial"/>
          <w:b/>
          <w:sz w:val="20"/>
          <w:szCs w:val="20"/>
        </w:rPr>
        <w:t>. Prova (Direito). Perícia. Legislação. Competência do TCU. Ausência.</w:t>
      </w:r>
    </w:p>
    <w:p w:rsidR="00786603" w:rsidRPr="008C267C" w:rsidRDefault="00786603" w:rsidP="00786603">
      <w:pPr>
        <w:pStyle w:val="TCU-Epgrafe"/>
        <w:spacing w:line="276" w:lineRule="auto"/>
        <w:ind w:left="0"/>
        <w:rPr>
          <w:rFonts w:ascii="Arial" w:hAnsi="Arial"/>
          <w:sz w:val="20"/>
        </w:rPr>
      </w:pPr>
    </w:p>
    <w:p w:rsidR="00873871" w:rsidRPr="008C267C" w:rsidRDefault="00873871" w:rsidP="00786603">
      <w:pPr>
        <w:pStyle w:val="TCU-Epgrafe"/>
        <w:spacing w:line="276" w:lineRule="auto"/>
        <w:ind w:left="0"/>
        <w:rPr>
          <w:rFonts w:ascii="Arial" w:hAnsi="Arial"/>
          <w:sz w:val="20"/>
        </w:rPr>
      </w:pPr>
      <w:r w:rsidRPr="008C267C">
        <w:rPr>
          <w:rFonts w:ascii="Arial" w:hAnsi="Arial"/>
          <w:sz w:val="20"/>
        </w:rPr>
        <w:lastRenderedPageBreak/>
        <w:t xml:space="preserve">O processo de controle externo, disciplinado pela </w:t>
      </w:r>
      <w:hyperlink r:id="rId28" w:tgtFrame="_blank" w:history="1">
        <w:r w:rsidRPr="008C267C">
          <w:rPr>
            <w:rFonts w:ascii="Arial" w:hAnsi="Arial"/>
            <w:color w:val="0000FF" w:themeColor="hyperlink"/>
            <w:sz w:val="20"/>
            <w:shd w:val="clear" w:color="auto" w:fill="FFFFFF"/>
          </w:rPr>
          <w:t>Lei 8.443/1992</w:t>
        </w:r>
      </w:hyperlink>
      <w:r w:rsidRPr="008C267C">
        <w:rPr>
          <w:rFonts w:ascii="Arial" w:hAnsi="Arial"/>
          <w:sz w:val="20"/>
        </w:rPr>
        <w:t xml:space="preserve"> e pelo Regimento Interno do TCU, não prevê ao Tribunal competência para determinar a realização de perícia para a obtenção de provas. É da iniciativa do responsável trazer aos autos as provas de sua defesa, inclusive laudos periciais, prescindindo de autorização do Tribunal para tanto.</w:t>
      </w:r>
    </w:p>
    <w:p w:rsidR="004A6C4A" w:rsidRPr="008C267C" w:rsidRDefault="004A6C4A" w:rsidP="00786603">
      <w:pPr>
        <w:pStyle w:val="TCU-Epgrafe"/>
        <w:spacing w:line="276" w:lineRule="auto"/>
        <w:ind w:left="0"/>
        <w:rPr>
          <w:rFonts w:ascii="Arial" w:hAnsi="Arial"/>
          <w:sz w:val="20"/>
        </w:rPr>
      </w:pPr>
    </w:p>
    <w:p w:rsidR="004A6C4A" w:rsidRPr="008C267C" w:rsidRDefault="004A6C4A" w:rsidP="004A6C4A">
      <w:pPr>
        <w:pStyle w:val="Default"/>
        <w:spacing w:after="200" w:line="276" w:lineRule="auto"/>
        <w:jc w:val="both"/>
        <w:rPr>
          <w:b/>
          <w:sz w:val="20"/>
          <w:szCs w:val="20"/>
        </w:rPr>
      </w:pPr>
      <w:r w:rsidRPr="008C267C">
        <w:rPr>
          <w:b/>
          <w:sz w:val="20"/>
          <w:szCs w:val="20"/>
        </w:rPr>
        <w:t xml:space="preserve">Acesse também: </w:t>
      </w:r>
    </w:p>
    <w:p w:rsidR="004A6C4A" w:rsidRPr="008C267C" w:rsidRDefault="00163804" w:rsidP="004A6C4A">
      <w:pPr>
        <w:pStyle w:val="Default"/>
        <w:spacing w:after="200" w:line="276" w:lineRule="auto"/>
        <w:jc w:val="center"/>
        <w:rPr>
          <w:b/>
          <w:sz w:val="20"/>
          <w:szCs w:val="20"/>
        </w:rPr>
      </w:pPr>
      <w:hyperlink r:id="rId29" w:anchor="1" w:history="1">
        <w:r w:rsidR="004A6C4A" w:rsidRPr="008C267C">
          <w:rPr>
            <w:rStyle w:val="Hyperlink"/>
            <w:b/>
            <w:sz w:val="20"/>
            <w:szCs w:val="20"/>
          </w:rPr>
          <w:t>Revista Digital do Tribunal de Contas do Estado do Paraná - Edição n° 17</w:t>
        </w:r>
      </w:hyperlink>
    </w:p>
    <w:p w:rsidR="002874A2" w:rsidRPr="0022060B" w:rsidRDefault="0060126D" w:rsidP="00816942">
      <w:pPr>
        <w:spacing w:after="0"/>
        <w:jc w:val="center"/>
        <w:rPr>
          <w:rStyle w:val="Hyperlink"/>
          <w:rFonts w:ascii="Arial" w:hAnsi="Arial" w:cs="Arial"/>
          <w:i/>
          <w:color w:val="000000" w:themeColor="text1"/>
          <w:sz w:val="20"/>
          <w:szCs w:val="20"/>
          <w:u w:val="none"/>
        </w:rPr>
      </w:pPr>
      <w:r w:rsidRPr="0022060B">
        <w:rPr>
          <w:rFonts w:ascii="Arial" w:hAnsi="Arial" w:cs="Arial"/>
          <w:noProof/>
          <w:sz w:val="20"/>
          <w:szCs w:val="20"/>
          <w:lang w:eastAsia="pt-BR"/>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D0DB0"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816942">
      <w:pPr>
        <w:widowControl w:val="0"/>
        <w:autoSpaceDE w:val="0"/>
        <w:autoSpaceDN w:val="0"/>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p>
    <w:sectPr w:rsidR="00E01524" w:rsidRPr="0022060B">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D15" w:rsidRDefault="00974D15" w:rsidP="00350CC2">
      <w:pPr>
        <w:spacing w:after="0" w:line="240" w:lineRule="auto"/>
      </w:pPr>
      <w:r>
        <w:separator/>
      </w:r>
    </w:p>
  </w:endnote>
  <w:endnote w:type="continuationSeparator" w:id="0">
    <w:p w:rsidR="00974D15" w:rsidRDefault="00974D15"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63804">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D15" w:rsidRDefault="00974D15" w:rsidP="00350CC2">
      <w:pPr>
        <w:spacing w:after="0" w:line="240" w:lineRule="auto"/>
      </w:pPr>
      <w:r>
        <w:separator/>
      </w:r>
    </w:p>
  </w:footnote>
  <w:footnote w:type="continuationSeparator" w:id="0">
    <w:p w:rsidR="00974D15" w:rsidRDefault="00974D15"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F25E59"/>
    <w:multiLevelType w:val="hybridMultilevel"/>
    <w:tmpl w:val="ACD042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9"/>
  </w:num>
  <w:num w:numId="7">
    <w:abstractNumId w:val="0"/>
  </w:num>
  <w:num w:numId="8">
    <w:abstractNumId w:val="1"/>
  </w:num>
  <w:num w:numId="9">
    <w:abstractNumId w:val="5"/>
  </w:num>
  <w:num w:numId="10">
    <w:abstractNumId w:val="2"/>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971"/>
    <w:rsid w:val="000262AD"/>
    <w:rsid w:val="00027A03"/>
    <w:rsid w:val="00027FAB"/>
    <w:rsid w:val="000300F4"/>
    <w:rsid w:val="00030A22"/>
    <w:rsid w:val="00033E69"/>
    <w:rsid w:val="00040EBA"/>
    <w:rsid w:val="00041C1F"/>
    <w:rsid w:val="00042502"/>
    <w:rsid w:val="00042DF3"/>
    <w:rsid w:val="000433EC"/>
    <w:rsid w:val="000434B7"/>
    <w:rsid w:val="000439FD"/>
    <w:rsid w:val="00045700"/>
    <w:rsid w:val="00046191"/>
    <w:rsid w:val="00046E21"/>
    <w:rsid w:val="00047EF1"/>
    <w:rsid w:val="00052862"/>
    <w:rsid w:val="00053B72"/>
    <w:rsid w:val="00056686"/>
    <w:rsid w:val="00056E6F"/>
    <w:rsid w:val="000572CE"/>
    <w:rsid w:val="000617CF"/>
    <w:rsid w:val="00061D7B"/>
    <w:rsid w:val="00062737"/>
    <w:rsid w:val="00067E01"/>
    <w:rsid w:val="00070009"/>
    <w:rsid w:val="00070929"/>
    <w:rsid w:val="00070B14"/>
    <w:rsid w:val="000713DD"/>
    <w:rsid w:val="00071DE3"/>
    <w:rsid w:val="0007200C"/>
    <w:rsid w:val="00073844"/>
    <w:rsid w:val="00073A3F"/>
    <w:rsid w:val="00073F9F"/>
    <w:rsid w:val="00074287"/>
    <w:rsid w:val="000747BF"/>
    <w:rsid w:val="00074FAB"/>
    <w:rsid w:val="000759E5"/>
    <w:rsid w:val="00076184"/>
    <w:rsid w:val="00076FFC"/>
    <w:rsid w:val="000800D1"/>
    <w:rsid w:val="0009260D"/>
    <w:rsid w:val="000926D4"/>
    <w:rsid w:val="00092E5D"/>
    <w:rsid w:val="0009482D"/>
    <w:rsid w:val="0009711C"/>
    <w:rsid w:val="0009762F"/>
    <w:rsid w:val="00097B00"/>
    <w:rsid w:val="000A0748"/>
    <w:rsid w:val="000A0E48"/>
    <w:rsid w:val="000A1763"/>
    <w:rsid w:val="000A29BE"/>
    <w:rsid w:val="000A3C2D"/>
    <w:rsid w:val="000A47FD"/>
    <w:rsid w:val="000A4EB6"/>
    <w:rsid w:val="000A5F01"/>
    <w:rsid w:val="000A71D1"/>
    <w:rsid w:val="000B11D2"/>
    <w:rsid w:val="000B1E10"/>
    <w:rsid w:val="000B2554"/>
    <w:rsid w:val="000B31B6"/>
    <w:rsid w:val="000B47C0"/>
    <w:rsid w:val="000C2948"/>
    <w:rsid w:val="000C3582"/>
    <w:rsid w:val="000C4F73"/>
    <w:rsid w:val="000C5093"/>
    <w:rsid w:val="000C5460"/>
    <w:rsid w:val="000C5EB3"/>
    <w:rsid w:val="000C63BC"/>
    <w:rsid w:val="000C7D67"/>
    <w:rsid w:val="000D19FF"/>
    <w:rsid w:val="000D2D5B"/>
    <w:rsid w:val="000D357D"/>
    <w:rsid w:val="000D4DE6"/>
    <w:rsid w:val="000D6D01"/>
    <w:rsid w:val="000E1657"/>
    <w:rsid w:val="000E300B"/>
    <w:rsid w:val="000E3ACE"/>
    <w:rsid w:val="000E3FC6"/>
    <w:rsid w:val="000E464B"/>
    <w:rsid w:val="000E5AC8"/>
    <w:rsid w:val="000E5C70"/>
    <w:rsid w:val="000F04ED"/>
    <w:rsid w:val="000F18DA"/>
    <w:rsid w:val="000F1FFA"/>
    <w:rsid w:val="000F314C"/>
    <w:rsid w:val="000F639D"/>
    <w:rsid w:val="000F7C1B"/>
    <w:rsid w:val="00100B9C"/>
    <w:rsid w:val="00106AA9"/>
    <w:rsid w:val="00110517"/>
    <w:rsid w:val="00110BD6"/>
    <w:rsid w:val="00111B86"/>
    <w:rsid w:val="00111C26"/>
    <w:rsid w:val="00112B60"/>
    <w:rsid w:val="00113EF1"/>
    <w:rsid w:val="00114B62"/>
    <w:rsid w:val="001159C9"/>
    <w:rsid w:val="00120862"/>
    <w:rsid w:val="0012132A"/>
    <w:rsid w:val="0012211A"/>
    <w:rsid w:val="00122E13"/>
    <w:rsid w:val="00123D02"/>
    <w:rsid w:val="00126447"/>
    <w:rsid w:val="00126E0D"/>
    <w:rsid w:val="00127DF2"/>
    <w:rsid w:val="00130717"/>
    <w:rsid w:val="0013298B"/>
    <w:rsid w:val="001342E3"/>
    <w:rsid w:val="0013514C"/>
    <w:rsid w:val="0013583F"/>
    <w:rsid w:val="00135D5F"/>
    <w:rsid w:val="001411E6"/>
    <w:rsid w:val="001415BA"/>
    <w:rsid w:val="00142D10"/>
    <w:rsid w:val="00142E01"/>
    <w:rsid w:val="00144712"/>
    <w:rsid w:val="001472C1"/>
    <w:rsid w:val="00150844"/>
    <w:rsid w:val="001529D8"/>
    <w:rsid w:val="00156185"/>
    <w:rsid w:val="00157806"/>
    <w:rsid w:val="00157D64"/>
    <w:rsid w:val="0016028F"/>
    <w:rsid w:val="00161AA2"/>
    <w:rsid w:val="00163804"/>
    <w:rsid w:val="0016670D"/>
    <w:rsid w:val="00166A96"/>
    <w:rsid w:val="00170F9D"/>
    <w:rsid w:val="00171401"/>
    <w:rsid w:val="001720EB"/>
    <w:rsid w:val="0017455D"/>
    <w:rsid w:val="0017659B"/>
    <w:rsid w:val="001770AF"/>
    <w:rsid w:val="001800A9"/>
    <w:rsid w:val="001823E7"/>
    <w:rsid w:val="0018272D"/>
    <w:rsid w:val="00190B94"/>
    <w:rsid w:val="001930D1"/>
    <w:rsid w:val="001942C5"/>
    <w:rsid w:val="00196437"/>
    <w:rsid w:val="001975AB"/>
    <w:rsid w:val="001A16DE"/>
    <w:rsid w:val="001A1D50"/>
    <w:rsid w:val="001A5D2D"/>
    <w:rsid w:val="001B053D"/>
    <w:rsid w:val="001B096B"/>
    <w:rsid w:val="001B3ABC"/>
    <w:rsid w:val="001B5B65"/>
    <w:rsid w:val="001B5F7A"/>
    <w:rsid w:val="001B6E08"/>
    <w:rsid w:val="001C0F23"/>
    <w:rsid w:val="001C46A8"/>
    <w:rsid w:val="001D0693"/>
    <w:rsid w:val="001D0DD1"/>
    <w:rsid w:val="001D28D1"/>
    <w:rsid w:val="001D4D9A"/>
    <w:rsid w:val="001D51BD"/>
    <w:rsid w:val="001D6665"/>
    <w:rsid w:val="001D684B"/>
    <w:rsid w:val="001D6ADC"/>
    <w:rsid w:val="001E1817"/>
    <w:rsid w:val="001E2E5A"/>
    <w:rsid w:val="001E3C08"/>
    <w:rsid w:val="001E3EAF"/>
    <w:rsid w:val="001E3FF7"/>
    <w:rsid w:val="001E5F2E"/>
    <w:rsid w:val="001E6CAA"/>
    <w:rsid w:val="001E73FF"/>
    <w:rsid w:val="001F7A25"/>
    <w:rsid w:val="002013D1"/>
    <w:rsid w:val="0020195B"/>
    <w:rsid w:val="00202E6D"/>
    <w:rsid w:val="00202F4B"/>
    <w:rsid w:val="002036C8"/>
    <w:rsid w:val="002100EE"/>
    <w:rsid w:val="00211A49"/>
    <w:rsid w:val="00213355"/>
    <w:rsid w:val="002147AC"/>
    <w:rsid w:val="00214BA9"/>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846"/>
    <w:rsid w:val="00253ADA"/>
    <w:rsid w:val="00255360"/>
    <w:rsid w:val="00256A12"/>
    <w:rsid w:val="00256CEA"/>
    <w:rsid w:val="002571B4"/>
    <w:rsid w:val="00260758"/>
    <w:rsid w:val="00260D58"/>
    <w:rsid w:val="0026477F"/>
    <w:rsid w:val="002654B1"/>
    <w:rsid w:val="002659BA"/>
    <w:rsid w:val="0026729F"/>
    <w:rsid w:val="00271154"/>
    <w:rsid w:val="00271655"/>
    <w:rsid w:val="002805F1"/>
    <w:rsid w:val="00284A83"/>
    <w:rsid w:val="00286A1A"/>
    <w:rsid w:val="00286EB4"/>
    <w:rsid w:val="002874A2"/>
    <w:rsid w:val="002921E2"/>
    <w:rsid w:val="0029566D"/>
    <w:rsid w:val="00295F4B"/>
    <w:rsid w:val="002A00AC"/>
    <w:rsid w:val="002A0792"/>
    <w:rsid w:val="002A1D5F"/>
    <w:rsid w:val="002A2E6C"/>
    <w:rsid w:val="002B070A"/>
    <w:rsid w:val="002B14B7"/>
    <w:rsid w:val="002B297F"/>
    <w:rsid w:val="002B38A8"/>
    <w:rsid w:val="002B6BA0"/>
    <w:rsid w:val="002C02CF"/>
    <w:rsid w:val="002C05FF"/>
    <w:rsid w:val="002C19EA"/>
    <w:rsid w:val="002C480F"/>
    <w:rsid w:val="002C56C9"/>
    <w:rsid w:val="002C7487"/>
    <w:rsid w:val="002D0365"/>
    <w:rsid w:val="002D1923"/>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4D37"/>
    <w:rsid w:val="002F73BA"/>
    <w:rsid w:val="003005B3"/>
    <w:rsid w:val="0030165B"/>
    <w:rsid w:val="00302340"/>
    <w:rsid w:val="00303C9C"/>
    <w:rsid w:val="00305A67"/>
    <w:rsid w:val="00306B80"/>
    <w:rsid w:val="00307038"/>
    <w:rsid w:val="003132BE"/>
    <w:rsid w:val="00320577"/>
    <w:rsid w:val="0032266D"/>
    <w:rsid w:val="00325E2F"/>
    <w:rsid w:val="003269A9"/>
    <w:rsid w:val="00327DF9"/>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0203"/>
    <w:rsid w:val="00361DA5"/>
    <w:rsid w:val="00361F1D"/>
    <w:rsid w:val="00362475"/>
    <w:rsid w:val="00364392"/>
    <w:rsid w:val="00365E61"/>
    <w:rsid w:val="00365EFF"/>
    <w:rsid w:val="00365F51"/>
    <w:rsid w:val="00375DB6"/>
    <w:rsid w:val="00376300"/>
    <w:rsid w:val="0038012F"/>
    <w:rsid w:val="00380BAB"/>
    <w:rsid w:val="003870D5"/>
    <w:rsid w:val="0038751C"/>
    <w:rsid w:val="0038778B"/>
    <w:rsid w:val="00394451"/>
    <w:rsid w:val="0039584A"/>
    <w:rsid w:val="00396E93"/>
    <w:rsid w:val="003A4828"/>
    <w:rsid w:val="003A6622"/>
    <w:rsid w:val="003A673F"/>
    <w:rsid w:val="003B274D"/>
    <w:rsid w:val="003B502C"/>
    <w:rsid w:val="003C6B35"/>
    <w:rsid w:val="003C7C21"/>
    <w:rsid w:val="003D650C"/>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43AD"/>
    <w:rsid w:val="00405A6A"/>
    <w:rsid w:val="00406D2C"/>
    <w:rsid w:val="0041120A"/>
    <w:rsid w:val="0041337A"/>
    <w:rsid w:val="00416A72"/>
    <w:rsid w:val="00420AE1"/>
    <w:rsid w:val="0042728A"/>
    <w:rsid w:val="004276DC"/>
    <w:rsid w:val="0042779B"/>
    <w:rsid w:val="0043291F"/>
    <w:rsid w:val="00434347"/>
    <w:rsid w:val="004371F9"/>
    <w:rsid w:val="0043728E"/>
    <w:rsid w:val="00437541"/>
    <w:rsid w:val="0044065D"/>
    <w:rsid w:val="00441389"/>
    <w:rsid w:val="00441D38"/>
    <w:rsid w:val="00441E59"/>
    <w:rsid w:val="004429A2"/>
    <w:rsid w:val="00442CB7"/>
    <w:rsid w:val="00443CA1"/>
    <w:rsid w:val="00444C25"/>
    <w:rsid w:val="0044532C"/>
    <w:rsid w:val="0044634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962"/>
    <w:rsid w:val="00494AE3"/>
    <w:rsid w:val="00494C04"/>
    <w:rsid w:val="0049557F"/>
    <w:rsid w:val="004965C3"/>
    <w:rsid w:val="004A0574"/>
    <w:rsid w:val="004A22CF"/>
    <w:rsid w:val="004A5804"/>
    <w:rsid w:val="004A6C4A"/>
    <w:rsid w:val="004A794E"/>
    <w:rsid w:val="004B142E"/>
    <w:rsid w:val="004B3D26"/>
    <w:rsid w:val="004B44C1"/>
    <w:rsid w:val="004B623F"/>
    <w:rsid w:val="004C11DE"/>
    <w:rsid w:val="004C13DB"/>
    <w:rsid w:val="004C46B6"/>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3537"/>
    <w:rsid w:val="00544AB5"/>
    <w:rsid w:val="00546D89"/>
    <w:rsid w:val="00547AFC"/>
    <w:rsid w:val="0055022A"/>
    <w:rsid w:val="005503E5"/>
    <w:rsid w:val="005513B0"/>
    <w:rsid w:val="005527C8"/>
    <w:rsid w:val="005546D3"/>
    <w:rsid w:val="00556F73"/>
    <w:rsid w:val="005576BE"/>
    <w:rsid w:val="005603B3"/>
    <w:rsid w:val="00561787"/>
    <w:rsid w:val="0056193C"/>
    <w:rsid w:val="00561EF9"/>
    <w:rsid w:val="005650CD"/>
    <w:rsid w:val="00565735"/>
    <w:rsid w:val="00566AE8"/>
    <w:rsid w:val="00566CB3"/>
    <w:rsid w:val="005670EC"/>
    <w:rsid w:val="00567328"/>
    <w:rsid w:val="00567ECB"/>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98"/>
    <w:rsid w:val="005D48C8"/>
    <w:rsid w:val="005D58CE"/>
    <w:rsid w:val="005D6DB4"/>
    <w:rsid w:val="005E2760"/>
    <w:rsid w:val="005E2D13"/>
    <w:rsid w:val="005E350B"/>
    <w:rsid w:val="005E464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27D4E"/>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325E"/>
    <w:rsid w:val="00654911"/>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0A7C"/>
    <w:rsid w:val="00693247"/>
    <w:rsid w:val="0069336E"/>
    <w:rsid w:val="006939C4"/>
    <w:rsid w:val="00694174"/>
    <w:rsid w:val="006A049A"/>
    <w:rsid w:val="006A27BC"/>
    <w:rsid w:val="006A27D6"/>
    <w:rsid w:val="006A3A42"/>
    <w:rsid w:val="006A41B4"/>
    <w:rsid w:val="006A5FD7"/>
    <w:rsid w:val="006B143E"/>
    <w:rsid w:val="006B30E3"/>
    <w:rsid w:val="006B5E72"/>
    <w:rsid w:val="006B6205"/>
    <w:rsid w:val="006C058F"/>
    <w:rsid w:val="006C3252"/>
    <w:rsid w:val="006C7A04"/>
    <w:rsid w:val="006D1B83"/>
    <w:rsid w:val="006D1BE7"/>
    <w:rsid w:val="006D209F"/>
    <w:rsid w:val="006D5C98"/>
    <w:rsid w:val="006D6FCC"/>
    <w:rsid w:val="006E0A9F"/>
    <w:rsid w:val="006E26E8"/>
    <w:rsid w:val="006E76B0"/>
    <w:rsid w:val="006F08D4"/>
    <w:rsid w:val="006F1C35"/>
    <w:rsid w:val="006F3318"/>
    <w:rsid w:val="006F39CF"/>
    <w:rsid w:val="006F4894"/>
    <w:rsid w:val="006F58F5"/>
    <w:rsid w:val="006F676D"/>
    <w:rsid w:val="00700672"/>
    <w:rsid w:val="00701319"/>
    <w:rsid w:val="00701A69"/>
    <w:rsid w:val="00701A95"/>
    <w:rsid w:val="00702F7C"/>
    <w:rsid w:val="00706127"/>
    <w:rsid w:val="007077CD"/>
    <w:rsid w:val="00711A47"/>
    <w:rsid w:val="00712A93"/>
    <w:rsid w:val="00714CF1"/>
    <w:rsid w:val="00715CEB"/>
    <w:rsid w:val="00717A58"/>
    <w:rsid w:val="00720878"/>
    <w:rsid w:val="00722924"/>
    <w:rsid w:val="00723D30"/>
    <w:rsid w:val="00723F1A"/>
    <w:rsid w:val="00726974"/>
    <w:rsid w:val="007306BB"/>
    <w:rsid w:val="007319AD"/>
    <w:rsid w:val="00732257"/>
    <w:rsid w:val="00740240"/>
    <w:rsid w:val="00742895"/>
    <w:rsid w:val="00742B72"/>
    <w:rsid w:val="00742BC9"/>
    <w:rsid w:val="00743251"/>
    <w:rsid w:val="007436B5"/>
    <w:rsid w:val="00743D5F"/>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1CFD"/>
    <w:rsid w:val="00773505"/>
    <w:rsid w:val="0077499E"/>
    <w:rsid w:val="0077508F"/>
    <w:rsid w:val="007752E2"/>
    <w:rsid w:val="00781F5F"/>
    <w:rsid w:val="00783479"/>
    <w:rsid w:val="00783696"/>
    <w:rsid w:val="00783D3E"/>
    <w:rsid w:val="00784B5D"/>
    <w:rsid w:val="00785DB0"/>
    <w:rsid w:val="00786603"/>
    <w:rsid w:val="00791384"/>
    <w:rsid w:val="00791D74"/>
    <w:rsid w:val="00791E5B"/>
    <w:rsid w:val="007931D7"/>
    <w:rsid w:val="007949B4"/>
    <w:rsid w:val="00794E33"/>
    <w:rsid w:val="00796502"/>
    <w:rsid w:val="0079708B"/>
    <w:rsid w:val="0079779E"/>
    <w:rsid w:val="007A6DC9"/>
    <w:rsid w:val="007A71B5"/>
    <w:rsid w:val="007A797E"/>
    <w:rsid w:val="007B255F"/>
    <w:rsid w:val="007B54DB"/>
    <w:rsid w:val="007B57D5"/>
    <w:rsid w:val="007C0E7E"/>
    <w:rsid w:val="007C10CC"/>
    <w:rsid w:val="007C250E"/>
    <w:rsid w:val="007C2CD7"/>
    <w:rsid w:val="007C43A5"/>
    <w:rsid w:val="007D009C"/>
    <w:rsid w:val="007D2162"/>
    <w:rsid w:val="007D5A53"/>
    <w:rsid w:val="007D62D9"/>
    <w:rsid w:val="007D73C9"/>
    <w:rsid w:val="007E005E"/>
    <w:rsid w:val="007E1FB4"/>
    <w:rsid w:val="007E28C1"/>
    <w:rsid w:val="007E7AFB"/>
    <w:rsid w:val="007F0840"/>
    <w:rsid w:val="007F2086"/>
    <w:rsid w:val="00801004"/>
    <w:rsid w:val="0080111C"/>
    <w:rsid w:val="008058BC"/>
    <w:rsid w:val="00806D7C"/>
    <w:rsid w:val="00807854"/>
    <w:rsid w:val="00811012"/>
    <w:rsid w:val="008114B8"/>
    <w:rsid w:val="00811A90"/>
    <w:rsid w:val="00813846"/>
    <w:rsid w:val="00814325"/>
    <w:rsid w:val="00815C4F"/>
    <w:rsid w:val="008161C2"/>
    <w:rsid w:val="00816942"/>
    <w:rsid w:val="0081738B"/>
    <w:rsid w:val="0082026A"/>
    <w:rsid w:val="008219BA"/>
    <w:rsid w:val="00824136"/>
    <w:rsid w:val="00824172"/>
    <w:rsid w:val="00826075"/>
    <w:rsid w:val="008267CA"/>
    <w:rsid w:val="00826A19"/>
    <w:rsid w:val="008317C8"/>
    <w:rsid w:val="00831915"/>
    <w:rsid w:val="0083305B"/>
    <w:rsid w:val="00834578"/>
    <w:rsid w:val="0083648B"/>
    <w:rsid w:val="00836500"/>
    <w:rsid w:val="00841EAB"/>
    <w:rsid w:val="00844977"/>
    <w:rsid w:val="00844B97"/>
    <w:rsid w:val="00845BB4"/>
    <w:rsid w:val="00846540"/>
    <w:rsid w:val="00847BF3"/>
    <w:rsid w:val="00853D0B"/>
    <w:rsid w:val="00854B16"/>
    <w:rsid w:val="00854BCA"/>
    <w:rsid w:val="00855A43"/>
    <w:rsid w:val="008561BF"/>
    <w:rsid w:val="008633B6"/>
    <w:rsid w:val="00866481"/>
    <w:rsid w:val="0087076A"/>
    <w:rsid w:val="00870853"/>
    <w:rsid w:val="0087282E"/>
    <w:rsid w:val="008731E4"/>
    <w:rsid w:val="00873871"/>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A65"/>
    <w:rsid w:val="008A70A5"/>
    <w:rsid w:val="008B1565"/>
    <w:rsid w:val="008B201B"/>
    <w:rsid w:val="008B2D64"/>
    <w:rsid w:val="008B368E"/>
    <w:rsid w:val="008B38A4"/>
    <w:rsid w:val="008B38EE"/>
    <w:rsid w:val="008B4F2F"/>
    <w:rsid w:val="008B55B4"/>
    <w:rsid w:val="008B6A00"/>
    <w:rsid w:val="008C0269"/>
    <w:rsid w:val="008C257C"/>
    <w:rsid w:val="008C267C"/>
    <w:rsid w:val="008C7661"/>
    <w:rsid w:val="008D0FDE"/>
    <w:rsid w:val="008D1051"/>
    <w:rsid w:val="008D22BE"/>
    <w:rsid w:val="008D3374"/>
    <w:rsid w:val="008D7542"/>
    <w:rsid w:val="008D7F7C"/>
    <w:rsid w:val="008E0835"/>
    <w:rsid w:val="008E16ED"/>
    <w:rsid w:val="008E280E"/>
    <w:rsid w:val="008E2BA7"/>
    <w:rsid w:val="008E5642"/>
    <w:rsid w:val="008E5CC2"/>
    <w:rsid w:val="008E6843"/>
    <w:rsid w:val="008F2E20"/>
    <w:rsid w:val="00900BC5"/>
    <w:rsid w:val="00901036"/>
    <w:rsid w:val="00904136"/>
    <w:rsid w:val="00904309"/>
    <w:rsid w:val="0090479F"/>
    <w:rsid w:val="00904BFC"/>
    <w:rsid w:val="00906692"/>
    <w:rsid w:val="00906853"/>
    <w:rsid w:val="00906CF8"/>
    <w:rsid w:val="009073CB"/>
    <w:rsid w:val="0090752A"/>
    <w:rsid w:val="00907AF8"/>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65F52"/>
    <w:rsid w:val="0096737A"/>
    <w:rsid w:val="0097392A"/>
    <w:rsid w:val="009749C0"/>
    <w:rsid w:val="00974D15"/>
    <w:rsid w:val="00977C0A"/>
    <w:rsid w:val="00982FF8"/>
    <w:rsid w:val="0098512F"/>
    <w:rsid w:val="0098550A"/>
    <w:rsid w:val="00985728"/>
    <w:rsid w:val="009857DD"/>
    <w:rsid w:val="009859AB"/>
    <w:rsid w:val="00987A4E"/>
    <w:rsid w:val="009907A9"/>
    <w:rsid w:val="00993DE4"/>
    <w:rsid w:val="00993F38"/>
    <w:rsid w:val="00994A4B"/>
    <w:rsid w:val="009A043C"/>
    <w:rsid w:val="009A12ED"/>
    <w:rsid w:val="009A201F"/>
    <w:rsid w:val="009A62FC"/>
    <w:rsid w:val="009A6989"/>
    <w:rsid w:val="009A72EB"/>
    <w:rsid w:val="009B105E"/>
    <w:rsid w:val="009B2B4E"/>
    <w:rsid w:val="009B375A"/>
    <w:rsid w:val="009B396E"/>
    <w:rsid w:val="009B39A2"/>
    <w:rsid w:val="009B3B97"/>
    <w:rsid w:val="009B49F3"/>
    <w:rsid w:val="009B4E5D"/>
    <w:rsid w:val="009B567A"/>
    <w:rsid w:val="009C5C75"/>
    <w:rsid w:val="009D2A29"/>
    <w:rsid w:val="009D47A3"/>
    <w:rsid w:val="009D59DE"/>
    <w:rsid w:val="009E1362"/>
    <w:rsid w:val="009E1BC1"/>
    <w:rsid w:val="009E1F6B"/>
    <w:rsid w:val="009E3E77"/>
    <w:rsid w:val="009E4DD3"/>
    <w:rsid w:val="009E4DF2"/>
    <w:rsid w:val="009E6D60"/>
    <w:rsid w:val="009F3962"/>
    <w:rsid w:val="009F6ED7"/>
    <w:rsid w:val="009F7401"/>
    <w:rsid w:val="009F78F2"/>
    <w:rsid w:val="00A01C9B"/>
    <w:rsid w:val="00A03244"/>
    <w:rsid w:val="00A065F5"/>
    <w:rsid w:val="00A10857"/>
    <w:rsid w:val="00A1221A"/>
    <w:rsid w:val="00A1269B"/>
    <w:rsid w:val="00A130F9"/>
    <w:rsid w:val="00A1585F"/>
    <w:rsid w:val="00A16000"/>
    <w:rsid w:val="00A16398"/>
    <w:rsid w:val="00A20EBA"/>
    <w:rsid w:val="00A211A3"/>
    <w:rsid w:val="00A2230E"/>
    <w:rsid w:val="00A2357E"/>
    <w:rsid w:val="00A24629"/>
    <w:rsid w:val="00A25A27"/>
    <w:rsid w:val="00A27485"/>
    <w:rsid w:val="00A30038"/>
    <w:rsid w:val="00A309E8"/>
    <w:rsid w:val="00A32FCD"/>
    <w:rsid w:val="00A3514D"/>
    <w:rsid w:val="00A40F98"/>
    <w:rsid w:val="00A41EF2"/>
    <w:rsid w:val="00A42619"/>
    <w:rsid w:val="00A4267D"/>
    <w:rsid w:val="00A427B2"/>
    <w:rsid w:val="00A47D62"/>
    <w:rsid w:val="00A53CDD"/>
    <w:rsid w:val="00A53EE6"/>
    <w:rsid w:val="00A5538A"/>
    <w:rsid w:val="00A564AE"/>
    <w:rsid w:val="00A57A4A"/>
    <w:rsid w:val="00A57C0E"/>
    <w:rsid w:val="00A614EB"/>
    <w:rsid w:val="00A62886"/>
    <w:rsid w:val="00A63E79"/>
    <w:rsid w:val="00A6719E"/>
    <w:rsid w:val="00A672B2"/>
    <w:rsid w:val="00A72D42"/>
    <w:rsid w:val="00A74C51"/>
    <w:rsid w:val="00A77682"/>
    <w:rsid w:val="00A80C19"/>
    <w:rsid w:val="00A83279"/>
    <w:rsid w:val="00A83750"/>
    <w:rsid w:val="00A84631"/>
    <w:rsid w:val="00A86498"/>
    <w:rsid w:val="00A86A0A"/>
    <w:rsid w:val="00A86D5A"/>
    <w:rsid w:val="00A9067C"/>
    <w:rsid w:val="00A90A24"/>
    <w:rsid w:val="00A90BD3"/>
    <w:rsid w:val="00A91141"/>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236C"/>
    <w:rsid w:val="00AC06B6"/>
    <w:rsid w:val="00AD1557"/>
    <w:rsid w:val="00AD3561"/>
    <w:rsid w:val="00AD35F3"/>
    <w:rsid w:val="00AD4CAC"/>
    <w:rsid w:val="00AD528F"/>
    <w:rsid w:val="00AD6760"/>
    <w:rsid w:val="00AD6EB3"/>
    <w:rsid w:val="00AD741D"/>
    <w:rsid w:val="00AD751D"/>
    <w:rsid w:val="00AD791C"/>
    <w:rsid w:val="00AE1BFD"/>
    <w:rsid w:val="00AE1C60"/>
    <w:rsid w:val="00AE4F42"/>
    <w:rsid w:val="00AE554E"/>
    <w:rsid w:val="00AE728D"/>
    <w:rsid w:val="00AE7589"/>
    <w:rsid w:val="00AF2833"/>
    <w:rsid w:val="00AF3716"/>
    <w:rsid w:val="00AF3C46"/>
    <w:rsid w:val="00AF438A"/>
    <w:rsid w:val="00AF43E1"/>
    <w:rsid w:val="00AF4D71"/>
    <w:rsid w:val="00AF5921"/>
    <w:rsid w:val="00B0092E"/>
    <w:rsid w:val="00B018B2"/>
    <w:rsid w:val="00B018E8"/>
    <w:rsid w:val="00B03BF6"/>
    <w:rsid w:val="00B040B7"/>
    <w:rsid w:val="00B04A55"/>
    <w:rsid w:val="00B04D46"/>
    <w:rsid w:val="00B104C5"/>
    <w:rsid w:val="00B10F47"/>
    <w:rsid w:val="00B1385B"/>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44FD9"/>
    <w:rsid w:val="00B453C8"/>
    <w:rsid w:val="00B50B77"/>
    <w:rsid w:val="00B51290"/>
    <w:rsid w:val="00B52215"/>
    <w:rsid w:val="00B530CA"/>
    <w:rsid w:val="00B53AC4"/>
    <w:rsid w:val="00B54527"/>
    <w:rsid w:val="00B57ADA"/>
    <w:rsid w:val="00B61EE9"/>
    <w:rsid w:val="00B6496C"/>
    <w:rsid w:val="00B65962"/>
    <w:rsid w:val="00B667D4"/>
    <w:rsid w:val="00B66B6C"/>
    <w:rsid w:val="00B7033E"/>
    <w:rsid w:val="00B7071A"/>
    <w:rsid w:val="00B71858"/>
    <w:rsid w:val="00B721DC"/>
    <w:rsid w:val="00B74715"/>
    <w:rsid w:val="00B7669D"/>
    <w:rsid w:val="00B766D9"/>
    <w:rsid w:val="00B80A28"/>
    <w:rsid w:val="00B82D73"/>
    <w:rsid w:val="00B84A2C"/>
    <w:rsid w:val="00B871D6"/>
    <w:rsid w:val="00B87A02"/>
    <w:rsid w:val="00B90783"/>
    <w:rsid w:val="00B93A6E"/>
    <w:rsid w:val="00BA0DCC"/>
    <w:rsid w:val="00BA12A2"/>
    <w:rsid w:val="00BA16EF"/>
    <w:rsid w:val="00BA18D0"/>
    <w:rsid w:val="00BA242E"/>
    <w:rsid w:val="00BA3317"/>
    <w:rsid w:val="00BA5A9D"/>
    <w:rsid w:val="00BA6363"/>
    <w:rsid w:val="00BB2D9C"/>
    <w:rsid w:val="00BB3512"/>
    <w:rsid w:val="00BB5D1E"/>
    <w:rsid w:val="00BB7ED6"/>
    <w:rsid w:val="00BC137A"/>
    <w:rsid w:val="00BC1BAD"/>
    <w:rsid w:val="00BC4347"/>
    <w:rsid w:val="00BC45E0"/>
    <w:rsid w:val="00BC54B5"/>
    <w:rsid w:val="00BC5D9D"/>
    <w:rsid w:val="00BC6803"/>
    <w:rsid w:val="00BC7BCB"/>
    <w:rsid w:val="00BD109B"/>
    <w:rsid w:val="00BD26DA"/>
    <w:rsid w:val="00BD2944"/>
    <w:rsid w:val="00BD2B5E"/>
    <w:rsid w:val="00BD3AFF"/>
    <w:rsid w:val="00BD4E7A"/>
    <w:rsid w:val="00BD531B"/>
    <w:rsid w:val="00BE00E5"/>
    <w:rsid w:val="00BE2E5A"/>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41CB"/>
    <w:rsid w:val="00C46AF0"/>
    <w:rsid w:val="00C52956"/>
    <w:rsid w:val="00C53AE1"/>
    <w:rsid w:val="00C53CAD"/>
    <w:rsid w:val="00C54893"/>
    <w:rsid w:val="00C560A1"/>
    <w:rsid w:val="00C56E9E"/>
    <w:rsid w:val="00C56EB6"/>
    <w:rsid w:val="00C63FC8"/>
    <w:rsid w:val="00C64F57"/>
    <w:rsid w:val="00C65D21"/>
    <w:rsid w:val="00C668D7"/>
    <w:rsid w:val="00C66E11"/>
    <w:rsid w:val="00C6789D"/>
    <w:rsid w:val="00C71A97"/>
    <w:rsid w:val="00C73FFD"/>
    <w:rsid w:val="00C74512"/>
    <w:rsid w:val="00C804DE"/>
    <w:rsid w:val="00C84F07"/>
    <w:rsid w:val="00C851A6"/>
    <w:rsid w:val="00C855D4"/>
    <w:rsid w:val="00C87639"/>
    <w:rsid w:val="00C9099A"/>
    <w:rsid w:val="00C9240A"/>
    <w:rsid w:val="00C93D5B"/>
    <w:rsid w:val="00C9442C"/>
    <w:rsid w:val="00C9532C"/>
    <w:rsid w:val="00C95BCF"/>
    <w:rsid w:val="00C95D16"/>
    <w:rsid w:val="00C95DCF"/>
    <w:rsid w:val="00CA13C2"/>
    <w:rsid w:val="00CA184E"/>
    <w:rsid w:val="00CA23C4"/>
    <w:rsid w:val="00CA575F"/>
    <w:rsid w:val="00CA5AEC"/>
    <w:rsid w:val="00CA6114"/>
    <w:rsid w:val="00CA704A"/>
    <w:rsid w:val="00CB0797"/>
    <w:rsid w:val="00CB644C"/>
    <w:rsid w:val="00CB78ED"/>
    <w:rsid w:val="00CC0508"/>
    <w:rsid w:val="00CC550E"/>
    <w:rsid w:val="00CC5AC6"/>
    <w:rsid w:val="00CD0DCE"/>
    <w:rsid w:val="00CD1628"/>
    <w:rsid w:val="00CD1D27"/>
    <w:rsid w:val="00CD27B7"/>
    <w:rsid w:val="00CD3807"/>
    <w:rsid w:val="00CD3AE7"/>
    <w:rsid w:val="00CD3C10"/>
    <w:rsid w:val="00CD5194"/>
    <w:rsid w:val="00CD5981"/>
    <w:rsid w:val="00CD79FA"/>
    <w:rsid w:val="00CE09E0"/>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267F"/>
    <w:rsid w:val="00D12B06"/>
    <w:rsid w:val="00D144D0"/>
    <w:rsid w:val="00D14FC0"/>
    <w:rsid w:val="00D1656D"/>
    <w:rsid w:val="00D167CC"/>
    <w:rsid w:val="00D1687C"/>
    <w:rsid w:val="00D16943"/>
    <w:rsid w:val="00D211AE"/>
    <w:rsid w:val="00D21662"/>
    <w:rsid w:val="00D23DE4"/>
    <w:rsid w:val="00D23F50"/>
    <w:rsid w:val="00D24867"/>
    <w:rsid w:val="00D26594"/>
    <w:rsid w:val="00D27028"/>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3AC7"/>
    <w:rsid w:val="00DA60FF"/>
    <w:rsid w:val="00DA7143"/>
    <w:rsid w:val="00DA7899"/>
    <w:rsid w:val="00DB0923"/>
    <w:rsid w:val="00DB2579"/>
    <w:rsid w:val="00DB28E6"/>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8CC"/>
    <w:rsid w:val="00E44AB8"/>
    <w:rsid w:val="00E44C70"/>
    <w:rsid w:val="00E47BD8"/>
    <w:rsid w:val="00E50D3F"/>
    <w:rsid w:val="00E520BE"/>
    <w:rsid w:val="00E5484A"/>
    <w:rsid w:val="00E54E17"/>
    <w:rsid w:val="00E56A7A"/>
    <w:rsid w:val="00E60419"/>
    <w:rsid w:val="00E60E01"/>
    <w:rsid w:val="00E617D3"/>
    <w:rsid w:val="00E61E36"/>
    <w:rsid w:val="00E633C1"/>
    <w:rsid w:val="00E63E4C"/>
    <w:rsid w:val="00E667B0"/>
    <w:rsid w:val="00E67390"/>
    <w:rsid w:val="00E67F58"/>
    <w:rsid w:val="00E71365"/>
    <w:rsid w:val="00E74904"/>
    <w:rsid w:val="00E770A4"/>
    <w:rsid w:val="00E81192"/>
    <w:rsid w:val="00E83B51"/>
    <w:rsid w:val="00E8626C"/>
    <w:rsid w:val="00E86BDE"/>
    <w:rsid w:val="00E8762F"/>
    <w:rsid w:val="00E90AB8"/>
    <w:rsid w:val="00E919D9"/>
    <w:rsid w:val="00E921C1"/>
    <w:rsid w:val="00E93C71"/>
    <w:rsid w:val="00E93C8B"/>
    <w:rsid w:val="00E93D8F"/>
    <w:rsid w:val="00E9531E"/>
    <w:rsid w:val="00E95E41"/>
    <w:rsid w:val="00E977CE"/>
    <w:rsid w:val="00E97E05"/>
    <w:rsid w:val="00EA34E2"/>
    <w:rsid w:val="00EA356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518E"/>
    <w:rsid w:val="00EF5DF0"/>
    <w:rsid w:val="00EF69AE"/>
    <w:rsid w:val="00EF6E2C"/>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79D"/>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62D4"/>
    <w:rsid w:val="00F979B3"/>
    <w:rsid w:val="00F97CCD"/>
    <w:rsid w:val="00F97FF5"/>
    <w:rsid w:val="00FA320D"/>
    <w:rsid w:val="00FA32CC"/>
    <w:rsid w:val="00FA362B"/>
    <w:rsid w:val="00FA53E9"/>
    <w:rsid w:val="00FA60EC"/>
    <w:rsid w:val="00FB04E9"/>
    <w:rsid w:val="00FB1179"/>
    <w:rsid w:val="00FB1C6B"/>
    <w:rsid w:val="00FB3361"/>
    <w:rsid w:val="00FB42B4"/>
    <w:rsid w:val="00FB4841"/>
    <w:rsid w:val="00FB6C94"/>
    <w:rsid w:val="00FB7F8B"/>
    <w:rsid w:val="00FC0FB3"/>
    <w:rsid w:val="00FC3753"/>
    <w:rsid w:val="00FC5743"/>
    <w:rsid w:val="00FC6240"/>
    <w:rsid w:val="00FD118C"/>
    <w:rsid w:val="00FD332F"/>
    <w:rsid w:val="00FE0E47"/>
    <w:rsid w:val="00FE1CC1"/>
    <w:rsid w:val="00FE385E"/>
    <w:rsid w:val="00FE3CE2"/>
    <w:rsid w:val="00FE54AD"/>
    <w:rsid w:val="00FE5633"/>
    <w:rsid w:val="00FE6F7A"/>
    <w:rsid w:val="00FE7B14"/>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A8FF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26434376">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6/pdf/00318044.pdf" TargetMode="External"/><Relationship Id="rId13" Type="http://schemas.openxmlformats.org/officeDocument/2006/relationships/hyperlink" Target="http://www1.tce.pr.gov.br/multimidia/2017/6/pdf/00317758.pdf" TargetMode="External"/><Relationship Id="rId18" Type="http://schemas.openxmlformats.org/officeDocument/2006/relationships/hyperlink" Target="http://www1.tce.pr.gov.br/multimidia/2017/6/pdf/00317862.pdf" TargetMode="External"/><Relationship Id="rId26" Type="http://schemas.openxmlformats.org/officeDocument/2006/relationships/hyperlink" Target="https://www.planalto.gov.br/ccivil_03/leis/l9784.htm" TargetMode="External"/><Relationship Id="rId3" Type="http://schemas.openxmlformats.org/officeDocument/2006/relationships/styles" Target="styles.xml"/><Relationship Id="rId21" Type="http://schemas.openxmlformats.org/officeDocument/2006/relationships/hyperlink" Target="https://ww2.stj.jus.br/processo/revista/documento/mediado/?componente=ATC&amp;sequencial=72995340&amp;num_registro=201700112085&amp;data=20170620&amp;tipo=91&amp;formato=PDF" TargetMode="External"/><Relationship Id="rId7" Type="http://schemas.openxmlformats.org/officeDocument/2006/relationships/endnotes" Target="endnotes.xml"/><Relationship Id="rId12" Type="http://schemas.openxmlformats.org/officeDocument/2006/relationships/hyperlink" Target="http://www1.tce.pr.gov.br/multimidia/2017/6/pdf/00317757.pdf" TargetMode="External"/><Relationship Id="rId17" Type="http://schemas.openxmlformats.org/officeDocument/2006/relationships/hyperlink" Target="http://www1.tce.pr.gov.br/multimidia/2017/6/pdf/00317879.pdf" TargetMode="External"/><Relationship Id="rId25" Type="http://schemas.openxmlformats.org/officeDocument/2006/relationships/hyperlink" Target="https://contas.tcu.gov.br/sagas/SvlVisualizarRelVotoAcRtf?codFiltro=SAGAS-SESSAO-ENCERRADA&amp;seOcultaPagina=S&amp;item0=59310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7/6/pdf/00318035.pdf" TargetMode="External"/><Relationship Id="rId20" Type="http://schemas.openxmlformats.org/officeDocument/2006/relationships/hyperlink" Target="http://www.stf.jus.br/portal/processo/verProcessoAndamento.asp?numero=405&amp;classe=ADPF&amp;origem=AP&amp;recurso=0&amp;tipoJulgamento=M" TargetMode="External"/><Relationship Id="rId29" Type="http://schemas.openxmlformats.org/officeDocument/2006/relationships/hyperlink" Target="http://www1.tce.pr.gov.br/multimidia/2017/7/flipbook/318496/files/assets/basic-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6/pdf/00317751.pdf" TargetMode="External"/><Relationship Id="rId24" Type="http://schemas.openxmlformats.org/officeDocument/2006/relationships/hyperlink" Target="https://www.planalto.gov.br/ccivil_03/leis/l8666con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7/6/pdf/00318214.pdf" TargetMode="External"/><Relationship Id="rId23" Type="http://schemas.openxmlformats.org/officeDocument/2006/relationships/hyperlink" Target="https://www.planalto.gov.br/ccivil_03/leis/l8443.htm" TargetMode="External"/><Relationship Id="rId28" Type="http://schemas.openxmlformats.org/officeDocument/2006/relationships/hyperlink" Target="https://www.planalto.gov.br/ccivil_03/leis/l8443.htm" TargetMode="External"/><Relationship Id="rId10" Type="http://schemas.openxmlformats.org/officeDocument/2006/relationships/hyperlink" Target="http://www1.tce.pr.gov.br/multimidia/2017/6/pdf/00317501.pdf" TargetMode="External"/><Relationship Id="rId19" Type="http://schemas.openxmlformats.org/officeDocument/2006/relationships/hyperlink" Target="http://www1.tce.pr.gov.br/multimidia/2017/6/pdf/00317868.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tce.pr.gov.br/multimidia/2017/6/pdf/00317781.pdf" TargetMode="External"/><Relationship Id="rId14" Type="http://schemas.openxmlformats.org/officeDocument/2006/relationships/hyperlink" Target="http://www1.tce.pr.gov.br/multimidia/2017/6/pdf/00318260.pdf" TargetMode="External"/><Relationship Id="rId22" Type="http://schemas.openxmlformats.org/officeDocument/2006/relationships/hyperlink" Target="https://contas.tcu.gov.br/sagas/SvlVisualizarRelVotoAcRtf?codFiltro=SAGAS-SESSAO-ENCERRADA&amp;seOcultaPagina=S&amp;item0=584012" TargetMode="External"/><Relationship Id="rId27" Type="http://schemas.openxmlformats.org/officeDocument/2006/relationships/hyperlink" Target="https://contas.tcu.gov.br/sagas/SvlVisualizarRelVotoAcRtf?codFiltro=SAGAS-SESSAO-ENCERRADA&amp;seOcultaPagina=S&amp;item0=587749"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3E4D-DD3B-4C34-8461-786AC686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4691</Words>
  <Characters>25336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13</cp:revision>
  <cp:lastPrinted>2017-07-10T20:46:00Z</cp:lastPrinted>
  <dcterms:created xsi:type="dcterms:W3CDTF">2017-08-07T20:09:00Z</dcterms:created>
  <dcterms:modified xsi:type="dcterms:W3CDTF">2018-03-05T17:08:00Z</dcterms:modified>
</cp:coreProperties>
</file>