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5052" w14:textId="77777777" w:rsidR="00362451" w:rsidRPr="0022060B" w:rsidRDefault="00362451" w:rsidP="00362451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TESES AMBIENTAIS</w:t>
      </w:r>
      <w:r w:rsidRPr="0022060B">
        <w:rPr>
          <w:rFonts w:ascii="Arial" w:hAnsi="Arial" w:cs="Arial"/>
          <w:sz w:val="20"/>
          <w:szCs w:val="20"/>
        </w:rPr>
        <w:t xml:space="preserve"> </w:t>
      </w:r>
    </w:p>
    <w:p w14:paraId="72FC24A4" w14:textId="77777777" w:rsidR="00362451" w:rsidRDefault="00362451" w:rsidP="00362451">
      <w:pPr>
        <w:jc w:val="center"/>
        <w:rPr>
          <w:rFonts w:ascii="Arial" w:hAnsi="Arial" w:cs="Arial"/>
          <w:b/>
          <w:sz w:val="20"/>
          <w:szCs w:val="20"/>
        </w:rPr>
      </w:pPr>
    </w:p>
    <w:p w14:paraId="4E169306" w14:textId="74B39841" w:rsidR="00681EC7" w:rsidRPr="00B47C4C" w:rsidRDefault="00F45FE6" w:rsidP="00681EC7">
      <w:pPr>
        <w:jc w:val="center"/>
        <w:rPr>
          <w:rFonts w:ascii="Arial" w:hAnsi="Arial" w:cs="Arial"/>
          <w:b/>
          <w:szCs w:val="20"/>
        </w:rPr>
      </w:pPr>
      <w:r w:rsidRPr="00B47C4C">
        <w:rPr>
          <w:rFonts w:ascii="Arial" w:hAnsi="Arial" w:cs="Arial"/>
          <w:b/>
          <w:szCs w:val="20"/>
        </w:rPr>
        <w:t>Número 0</w:t>
      </w:r>
      <w:r w:rsidR="00C24966">
        <w:rPr>
          <w:rFonts w:ascii="Arial" w:hAnsi="Arial" w:cs="Arial"/>
          <w:b/>
          <w:szCs w:val="20"/>
        </w:rPr>
        <w:t>7</w:t>
      </w:r>
      <w:r w:rsidR="00681EC7" w:rsidRPr="00B47C4C">
        <w:rPr>
          <w:rFonts w:ascii="Arial" w:hAnsi="Arial" w:cs="Arial"/>
          <w:b/>
          <w:szCs w:val="20"/>
        </w:rPr>
        <w:t xml:space="preserve"> </w:t>
      </w:r>
    </w:p>
    <w:p w14:paraId="5313394D" w14:textId="77777777" w:rsidR="00D9046A" w:rsidRDefault="00D9046A" w:rsidP="00681EC7">
      <w:pPr>
        <w:jc w:val="center"/>
        <w:rPr>
          <w:rFonts w:ascii="Arial" w:hAnsi="Arial" w:cs="Arial"/>
          <w:b/>
          <w:sz w:val="20"/>
          <w:szCs w:val="20"/>
        </w:rPr>
      </w:pPr>
    </w:p>
    <w:p w14:paraId="69C8ED4A" w14:textId="1C372866" w:rsidR="00681EC7" w:rsidRDefault="00681EC7" w:rsidP="00681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Boletim</w:t>
      </w:r>
      <w:r w:rsidR="00362451">
        <w:rPr>
          <w:rFonts w:ascii="Arial" w:hAnsi="Arial" w:cs="Arial"/>
          <w:sz w:val="20"/>
          <w:szCs w:val="20"/>
        </w:rPr>
        <w:t xml:space="preserve"> </w:t>
      </w:r>
      <w:r w:rsidR="005445E2">
        <w:rPr>
          <w:rFonts w:ascii="Arial" w:hAnsi="Arial" w:cs="Arial"/>
          <w:sz w:val="20"/>
          <w:szCs w:val="20"/>
        </w:rPr>
        <w:t xml:space="preserve">relaciona as </w:t>
      </w:r>
      <w:r>
        <w:rPr>
          <w:rFonts w:ascii="Arial" w:hAnsi="Arial" w:cs="Arial"/>
          <w:sz w:val="20"/>
          <w:szCs w:val="20"/>
        </w:rPr>
        <w:t xml:space="preserve">teses fixadas em Direito Ambiental pelo Supremo Tribunal Federal - STF, Superior Tribunal de Justiça - STJ, Tribunal de Contas da União </w:t>
      </w:r>
      <w:r w:rsidR="008A105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TCU</w:t>
      </w:r>
      <w:r w:rsidR="008A105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Tribunal de Contas do Paraná - TCE/PR</w:t>
      </w:r>
      <w:r w:rsidR="008A1058">
        <w:rPr>
          <w:rFonts w:ascii="Arial" w:hAnsi="Arial" w:cs="Arial"/>
          <w:sz w:val="20"/>
          <w:szCs w:val="20"/>
        </w:rPr>
        <w:t xml:space="preserve"> e demais</w:t>
      </w:r>
      <w:r w:rsidR="00427BD4">
        <w:rPr>
          <w:rFonts w:ascii="Arial" w:hAnsi="Arial" w:cs="Arial"/>
          <w:sz w:val="20"/>
          <w:szCs w:val="20"/>
        </w:rPr>
        <w:t xml:space="preserve"> Tribunais de Contas Estaduais e Municipais </w:t>
      </w:r>
      <w:r w:rsidR="00D20524">
        <w:rPr>
          <w:rFonts w:ascii="Arial" w:hAnsi="Arial" w:cs="Arial"/>
          <w:sz w:val="20"/>
          <w:szCs w:val="20"/>
        </w:rPr>
        <w:t xml:space="preserve">acerca </w:t>
      </w:r>
      <w:r w:rsidR="005445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controle externo</w:t>
      </w:r>
      <w:r w:rsidR="008A1058">
        <w:rPr>
          <w:rFonts w:ascii="Arial" w:hAnsi="Arial" w:cs="Arial"/>
          <w:sz w:val="20"/>
          <w:szCs w:val="20"/>
        </w:rPr>
        <w:t xml:space="preserve"> aplicado à avaliação de uma </w:t>
      </w:r>
      <w:r>
        <w:rPr>
          <w:rFonts w:ascii="Arial" w:hAnsi="Arial" w:cs="Arial"/>
          <w:sz w:val="20"/>
          <w:szCs w:val="20"/>
        </w:rPr>
        <w:t>gestão ambiental eficiente, transparente e propositiva</w:t>
      </w:r>
      <w:r w:rsidR="005445E2">
        <w:rPr>
          <w:rFonts w:ascii="Arial" w:hAnsi="Arial" w:cs="Arial"/>
          <w:sz w:val="20"/>
          <w:szCs w:val="20"/>
        </w:rPr>
        <w:t>, não representando</w:t>
      </w:r>
      <w:r>
        <w:rPr>
          <w:rFonts w:ascii="Arial" w:hAnsi="Arial" w:cs="Arial"/>
          <w:sz w:val="20"/>
          <w:szCs w:val="20"/>
        </w:rPr>
        <w:t xml:space="preserve"> repositório oficia</w:t>
      </w:r>
      <w:r w:rsidR="00DF6F7F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de jurisprudência.</w:t>
      </w:r>
    </w:p>
    <w:p w14:paraId="5C4426F1" w14:textId="77777777" w:rsidR="00681EC7" w:rsidRDefault="00681EC7" w:rsidP="00681EC7">
      <w:pPr>
        <w:jc w:val="both"/>
        <w:rPr>
          <w:rFonts w:ascii="Arial" w:hAnsi="Arial" w:cs="Arial"/>
          <w:sz w:val="20"/>
          <w:szCs w:val="20"/>
        </w:rPr>
      </w:pPr>
    </w:p>
    <w:p w14:paraId="3D96DD71" w14:textId="77777777" w:rsidR="00FE7B14" w:rsidRPr="0022060B" w:rsidRDefault="00FE7B14" w:rsidP="00816942">
      <w:pPr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DCC47" wp14:editId="68427C1C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FBA157C" w14:textId="77777777" w:rsidR="00AE4F42" w:rsidRPr="0022060B" w:rsidRDefault="00AE4F42" w:rsidP="00816942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</w:t>
      </w:r>
      <w:r w:rsidR="00221D15" w:rsidRPr="0022060B">
        <w:rPr>
          <w:rFonts w:ascii="Arial" w:hAnsi="Arial" w:cs="Arial"/>
          <w:b/>
          <w:sz w:val="20"/>
          <w:szCs w:val="20"/>
        </w:rPr>
        <w:t>U</w:t>
      </w:r>
      <w:r w:rsidRPr="0022060B">
        <w:rPr>
          <w:rFonts w:ascii="Arial" w:hAnsi="Arial" w:cs="Arial"/>
          <w:b/>
          <w:sz w:val="20"/>
          <w:szCs w:val="20"/>
        </w:rPr>
        <w:t>MÁRIO</w:t>
      </w:r>
    </w:p>
    <w:p w14:paraId="00D7234C" w14:textId="77777777" w:rsidR="00DB721B" w:rsidRDefault="00DB721B" w:rsidP="00DB7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7AFAD" w14:textId="77777777" w:rsidR="00967EE5" w:rsidRPr="00967EE5" w:rsidRDefault="00967EE5" w:rsidP="00967E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67EE5">
        <w:rPr>
          <w:rFonts w:ascii="Arial" w:hAnsi="Arial" w:cs="Arial"/>
          <w:bCs/>
          <w:sz w:val="20"/>
          <w:szCs w:val="20"/>
        </w:rPr>
        <w:t xml:space="preserve">1. Tomada de Contas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Extraordinária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Comunicação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 de Irregularidade. 5ªICE. Instituto Ambiental do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Parana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́.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Ausência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contabilização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Dívida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 ativa. Autos de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infração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 ambiental. </w:t>
      </w:r>
      <w:proofErr w:type="spellStart"/>
      <w:r w:rsidRPr="00967EE5">
        <w:rPr>
          <w:rFonts w:ascii="Arial" w:hAnsi="Arial" w:cs="Arial"/>
          <w:bCs/>
          <w:sz w:val="20"/>
          <w:szCs w:val="20"/>
        </w:rPr>
        <w:t>Procedência</w:t>
      </w:r>
      <w:proofErr w:type="spellEnd"/>
      <w:r w:rsidRPr="00967EE5">
        <w:rPr>
          <w:rFonts w:ascii="Arial" w:hAnsi="Arial" w:cs="Arial"/>
          <w:bCs/>
          <w:sz w:val="20"/>
          <w:szCs w:val="20"/>
        </w:rPr>
        <w:t xml:space="preserve">. Multa. </w:t>
      </w:r>
    </w:p>
    <w:p w14:paraId="209BF040" w14:textId="77777777" w:rsidR="00652C29" w:rsidRDefault="00652C29" w:rsidP="00DB72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4835E8" w14:textId="77777777" w:rsidR="00967EE5" w:rsidRPr="00967EE5" w:rsidRDefault="00967EE5" w:rsidP="00967EE5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67EE5">
        <w:rPr>
          <w:rFonts w:ascii="Arial" w:hAnsi="Arial" w:cs="Arial"/>
          <w:bCs/>
          <w:sz w:val="20"/>
          <w:szCs w:val="20"/>
        </w:rPr>
        <w:t>2. Consulta. Conhecimento. Dúvida sobre a realização de despesa para mitigar ou compensar danos causados à ordem urbanística ou ao meio ambiente em decorrência de realização de obra pública. Possibilidade, desde que haja previsão orçamentária prévia à assunção do compromisso e que reste demonstrada a necessidade por estudos técnicos aprovados pelos órgãos competentes. Medidas necessárias ao cumprimento do termo para mitigação ou compensação de dano à ordem urbanística e ao meio ambiente, se não estabelecidas no próprio termo, devem ser acordadas entre as partes, desde que sejam lícitas e atendam ao interesse público.</w:t>
      </w:r>
    </w:p>
    <w:p w14:paraId="07CD962A" w14:textId="77777777" w:rsidR="00652C29" w:rsidRPr="00967EE5" w:rsidRDefault="00652C29" w:rsidP="003D704E">
      <w:pPr>
        <w:tabs>
          <w:tab w:val="left" w:pos="284"/>
        </w:tabs>
        <w:contextualSpacing/>
        <w:jc w:val="both"/>
        <w:rPr>
          <w:rStyle w:val="Hyperlink"/>
          <w:rFonts w:ascii="Arial" w:hAnsi="Arial" w:cs="Arial"/>
          <w:bCs/>
          <w:color w:val="000000" w:themeColor="text1"/>
          <w:sz w:val="20"/>
          <w:szCs w:val="20"/>
          <w:u w:val="none"/>
        </w:rPr>
      </w:pPr>
    </w:p>
    <w:p w14:paraId="6582BB18" w14:textId="5498FE64" w:rsidR="00967EE5" w:rsidRPr="00967EE5" w:rsidRDefault="00967EE5" w:rsidP="00967EE5">
      <w:pPr>
        <w:tabs>
          <w:tab w:val="left" w:pos="284"/>
        </w:tabs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3. Exame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prévio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de edital.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Demonstração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de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experiência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Licença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ambiental. Plano de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ação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emergencial do aterro.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Declaração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de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anuência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Inscrição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no </w:t>
      </w:r>
      <w:r w:rsidR="0035491E">
        <w:rPr>
          <w:rFonts w:ascii="Arial" w:hAnsi="Arial" w:cs="Arial"/>
          <w:bCs/>
          <w:color w:val="000000" w:themeColor="text1"/>
          <w:sz w:val="20"/>
          <w:szCs w:val="20"/>
        </w:rPr>
        <w:t>IBAMA</w:t>
      </w:r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. Regularidade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ctf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/app.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Correções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 determinadas com </w:t>
      </w:r>
      <w:proofErr w:type="spellStart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>recomendações</w:t>
      </w:r>
      <w:proofErr w:type="spellEnd"/>
      <w:r w:rsidRPr="00967EE5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42DFFE6" w14:textId="77777777" w:rsidR="005A143D" w:rsidRDefault="005A143D" w:rsidP="003D704E">
      <w:pPr>
        <w:tabs>
          <w:tab w:val="left" w:pos="284"/>
        </w:tabs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72BAEDF" w14:textId="77777777" w:rsidR="003D48A6" w:rsidRPr="003D48A6" w:rsidRDefault="003D48A6" w:rsidP="003D48A6">
      <w:pPr>
        <w:tabs>
          <w:tab w:val="left" w:pos="284"/>
        </w:tabs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4. Ação direta de inconstitucionalidade. Lei nº 12.684/2007 do Estado de São Paulo. Proibição do uso de produtos, materiais ou artefatos que contenham quaisquer tipos de amianto ou asbesto. Produção e consumo, proteção do meio ambiente e proteção e defesa da saúde. Competência legislativa concorrente. Impossibilidade de a legislação estadual disciplinar matéria de forma contrária à lei geral federal. Lei federal nº 9.055/1995. Autorização de extração, industrialização, utilização e comercialização do amianto da variedade crisotila. Processo de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inconstitucionalização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. Alteração nas relações fáticas subjacentes à norma jurídica. Natureza cancerígena do amianto crisotila e inviabilidade de seu uso de forma efetivamente segura. Existência de matérias-primas alternativas. Ausência de revisão da legislação federal, como determina a Convenção nº 162 da OIT. Inconstitucionalidade superveniente da Lei Federal nº 9.055/1995. Competência legislativa plena dos estados. Constitucionalidade da Lei estadual nº 12.684/2007. Improcedência da ação.</w:t>
      </w:r>
    </w:p>
    <w:p w14:paraId="139490F7" w14:textId="77777777" w:rsidR="005445E2" w:rsidRDefault="005445E2" w:rsidP="003D704E">
      <w:pPr>
        <w:tabs>
          <w:tab w:val="left" w:pos="284"/>
        </w:tabs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7322A182" w14:textId="77777777" w:rsidR="003D48A6" w:rsidRPr="003D48A6" w:rsidRDefault="003D48A6" w:rsidP="003D48A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5. Jurisprudência em Teses (edição n.º 133): do processo administrativo – Lei n. 9.784/1999</w:t>
      </w:r>
    </w:p>
    <w:p w14:paraId="6B4C943D" w14:textId="77777777" w:rsidR="005A143D" w:rsidRDefault="005A143D" w:rsidP="00816942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3EA394D0" w14:textId="77777777" w:rsidR="003D48A6" w:rsidRPr="003D48A6" w:rsidRDefault="003D48A6" w:rsidP="003D48A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6. Processual civil. Embargos de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divergência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 submetidos ao enunciado administrativo 2/STJ. Embargos à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execução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. Auto de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infração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 lavrado em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razão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 de dano ambiental. Necessidade de </w:t>
      </w:r>
      <w:proofErr w:type="spellStart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>demonstração</w:t>
      </w:r>
      <w:proofErr w:type="spellEnd"/>
      <w:r w:rsidRPr="003D48A6">
        <w:rPr>
          <w:rFonts w:ascii="Arial" w:hAnsi="Arial" w:cs="Arial"/>
          <w:bCs/>
          <w:color w:val="000000" w:themeColor="text1"/>
          <w:sz w:val="20"/>
          <w:szCs w:val="20"/>
        </w:rPr>
        <w:t xml:space="preserve"> da responsabilidade subjetiva. </w:t>
      </w:r>
    </w:p>
    <w:p w14:paraId="6B25001B" w14:textId="77777777" w:rsidR="005A143D" w:rsidRDefault="005A143D" w:rsidP="00816942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2059E48E" w14:textId="77777777" w:rsidR="00B34863" w:rsidRPr="0022060B" w:rsidRDefault="00B34863" w:rsidP="00B34863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ESTADO DO PARANÁ </w:t>
      </w:r>
    </w:p>
    <w:p w14:paraId="33A1EEE8" w14:textId="77777777" w:rsidR="00B036BD" w:rsidRDefault="00B036BD" w:rsidP="00816942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0DAB31C" w14:textId="4961E28B" w:rsidR="00DE4B94" w:rsidRDefault="00A476D7" w:rsidP="00DE4B94">
      <w:pPr>
        <w:jc w:val="both"/>
        <w:rPr>
          <w:rFonts w:ascii="Arial" w:hAnsi="Arial" w:cs="Arial"/>
          <w:b/>
          <w:sz w:val="20"/>
          <w:szCs w:val="20"/>
        </w:rPr>
      </w:pPr>
      <w:r w:rsidRPr="00A476D7">
        <w:rPr>
          <w:rFonts w:ascii="Arial" w:hAnsi="Arial" w:cs="Arial"/>
          <w:b/>
          <w:sz w:val="20"/>
          <w:szCs w:val="20"/>
        </w:rPr>
        <w:lastRenderedPageBreak/>
        <w:t xml:space="preserve">1. </w:t>
      </w:r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Tomada de Contas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Extraordinária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Comunicação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de Irregularidade. 5</w:t>
      </w:r>
      <w:r w:rsidR="00DE4B94">
        <w:rPr>
          <w:rFonts w:ascii="Arial" w:hAnsi="Arial" w:cs="Arial"/>
          <w:b/>
          <w:sz w:val="20"/>
          <w:szCs w:val="20"/>
        </w:rPr>
        <w:t>ª</w:t>
      </w:r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ICE. Instituto Ambiental do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Parana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́.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Ausência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de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contabilização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Dívida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ativa. Autos de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infração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ambiental. </w:t>
      </w:r>
      <w:proofErr w:type="spellStart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>Procedência</w:t>
      </w:r>
      <w:proofErr w:type="spellEnd"/>
      <w:r w:rsidR="00DE4B94" w:rsidRPr="00DE4B9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Multa. </w:t>
      </w:r>
    </w:p>
    <w:p w14:paraId="1C30CEAC" w14:textId="77777777" w:rsidR="00DE4B94" w:rsidRPr="00DE4B94" w:rsidRDefault="00DE4B94" w:rsidP="00DE4B94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137A0F53" w14:textId="25EA50C7" w:rsidR="00A476D7" w:rsidRPr="00D22EE1" w:rsidRDefault="00A476D7" w:rsidP="00A476D7">
      <w:pPr>
        <w:jc w:val="both"/>
        <w:rPr>
          <w:rFonts w:ascii="Arial" w:hAnsi="Arial" w:cs="Arial"/>
          <w:sz w:val="20"/>
        </w:rPr>
      </w:pPr>
      <w:r w:rsidRPr="00D22EE1">
        <w:rPr>
          <w:rFonts w:ascii="Arial" w:hAnsi="Arial" w:cs="Arial"/>
          <w:sz w:val="20"/>
        </w:rPr>
        <w:t xml:space="preserve">(TCE-PR, TCEX </w:t>
      </w:r>
      <w:r w:rsidR="00DE4B94">
        <w:rPr>
          <w:rFonts w:ascii="Arial" w:hAnsi="Arial" w:cs="Arial"/>
          <w:sz w:val="20"/>
        </w:rPr>
        <w:t>316347</w:t>
      </w:r>
      <w:r w:rsidRPr="00D22EE1">
        <w:rPr>
          <w:rFonts w:ascii="Arial" w:hAnsi="Arial" w:cs="Arial"/>
          <w:sz w:val="20"/>
        </w:rPr>
        <w:t>/1</w:t>
      </w:r>
      <w:r w:rsidR="00DE4B94">
        <w:rPr>
          <w:rFonts w:ascii="Arial" w:hAnsi="Arial" w:cs="Arial"/>
          <w:sz w:val="20"/>
        </w:rPr>
        <w:t>6</w:t>
      </w:r>
      <w:r w:rsidRPr="00D22EE1">
        <w:rPr>
          <w:rFonts w:ascii="Arial" w:hAnsi="Arial" w:cs="Arial"/>
          <w:sz w:val="20"/>
        </w:rPr>
        <w:t>,</w:t>
      </w:r>
      <w:r w:rsidR="00DE4B94">
        <w:rPr>
          <w:rFonts w:ascii="Arial" w:hAnsi="Arial" w:cs="Arial"/>
          <w:sz w:val="20"/>
        </w:rPr>
        <w:t xml:space="preserve"> </w:t>
      </w:r>
      <w:hyperlink r:id="rId8" w:history="1">
        <w:r w:rsidR="00DE4B94" w:rsidRPr="00DE4B94">
          <w:rPr>
            <w:rStyle w:val="Hyperlink"/>
            <w:rFonts w:ascii="Arial" w:hAnsi="Arial" w:cs="Arial"/>
            <w:sz w:val="20"/>
          </w:rPr>
          <w:t>Acórdão n.º 1799/18</w:t>
        </w:r>
      </w:hyperlink>
      <w:r w:rsidR="00DE4B94">
        <w:rPr>
          <w:rFonts w:ascii="Arial" w:hAnsi="Arial" w:cs="Arial"/>
          <w:sz w:val="20"/>
        </w:rPr>
        <w:t xml:space="preserve"> – Tribunal Pleno, </w:t>
      </w:r>
      <w:r w:rsidRPr="00D22EE1">
        <w:rPr>
          <w:rFonts w:ascii="Arial" w:hAnsi="Arial" w:cs="Arial"/>
          <w:sz w:val="20"/>
        </w:rPr>
        <w:t xml:space="preserve">Rel. Cons. </w:t>
      </w:r>
      <w:r w:rsidR="00DE4B94">
        <w:rPr>
          <w:rFonts w:ascii="Arial" w:hAnsi="Arial" w:cs="Arial"/>
          <w:sz w:val="20"/>
        </w:rPr>
        <w:t>Fábio de Souza Camargo</w:t>
      </w:r>
      <w:r w:rsidRPr="00D22EE1">
        <w:rPr>
          <w:rFonts w:ascii="Arial" w:hAnsi="Arial" w:cs="Arial"/>
          <w:sz w:val="20"/>
        </w:rPr>
        <w:t xml:space="preserve">, Tribunal Pleno, julgado em </w:t>
      </w:r>
      <w:r w:rsidR="00DE4B94">
        <w:rPr>
          <w:rFonts w:ascii="Arial" w:hAnsi="Arial" w:cs="Arial"/>
          <w:sz w:val="20"/>
        </w:rPr>
        <w:t>05/07</w:t>
      </w:r>
      <w:r w:rsidRPr="00D22EE1">
        <w:rPr>
          <w:rFonts w:ascii="Arial" w:hAnsi="Arial" w:cs="Arial"/>
          <w:sz w:val="20"/>
        </w:rPr>
        <w:t>/201</w:t>
      </w:r>
      <w:r w:rsidR="00DE4B94">
        <w:rPr>
          <w:rFonts w:ascii="Arial" w:hAnsi="Arial" w:cs="Arial"/>
          <w:sz w:val="20"/>
        </w:rPr>
        <w:t>8</w:t>
      </w:r>
      <w:r w:rsidRPr="00D22EE1">
        <w:rPr>
          <w:rFonts w:ascii="Arial" w:hAnsi="Arial" w:cs="Arial"/>
          <w:sz w:val="20"/>
        </w:rPr>
        <w:t xml:space="preserve">, pub. no DETC em </w:t>
      </w:r>
      <w:r w:rsidR="00DE4B94">
        <w:rPr>
          <w:rFonts w:ascii="Arial" w:hAnsi="Arial" w:cs="Arial"/>
          <w:sz w:val="20"/>
        </w:rPr>
        <w:t>11/07/2018</w:t>
      </w:r>
      <w:r w:rsidRPr="00D22EE1">
        <w:rPr>
          <w:rFonts w:ascii="Arial" w:hAnsi="Arial" w:cs="Arial"/>
          <w:sz w:val="20"/>
        </w:rPr>
        <w:t>)</w:t>
      </w:r>
    </w:p>
    <w:p w14:paraId="4B2184F7" w14:textId="77777777" w:rsidR="00A476D7" w:rsidRDefault="00A476D7" w:rsidP="00A476D7">
      <w:pPr>
        <w:jc w:val="both"/>
      </w:pPr>
    </w:p>
    <w:p w14:paraId="57A04274" w14:textId="77777777" w:rsidR="00B34863" w:rsidRPr="008E36D8" w:rsidRDefault="00B34863" w:rsidP="00B34863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8E36D8">
        <w:rPr>
          <w:rFonts w:ascii="Arial" w:hAnsi="Arial" w:cs="Arial"/>
          <w:b/>
          <w:sz w:val="20"/>
          <w:szCs w:val="20"/>
        </w:rPr>
        <w:t xml:space="preserve">TRIBUNAL DE CONTAS DA UNIÃO </w:t>
      </w:r>
    </w:p>
    <w:p w14:paraId="3A222E30" w14:textId="77777777" w:rsidR="00B34863" w:rsidRPr="00A5710E" w:rsidRDefault="00B34863" w:rsidP="00816942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highlight w:val="yellow"/>
          <w:u w:val="none"/>
        </w:rPr>
      </w:pPr>
    </w:p>
    <w:p w14:paraId="273FEEDB" w14:textId="448FBAB9" w:rsidR="00DF6F7F" w:rsidRPr="00DF6F7F" w:rsidRDefault="003D704E" w:rsidP="00DF6F7F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1857020"/>
      <w:r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2. </w:t>
      </w:r>
      <w:bookmarkEnd w:id="0"/>
      <w:r w:rsidR="00DF6F7F" w:rsidRPr="00DF6F7F">
        <w:rPr>
          <w:rFonts w:ascii="Arial" w:hAnsi="Arial" w:cs="Arial"/>
          <w:b/>
          <w:color w:val="000000" w:themeColor="text1"/>
          <w:sz w:val="20"/>
          <w:szCs w:val="20"/>
        </w:rPr>
        <w:t>Consulta. Conhecimento. Dúvida sobre a realização de despesa para mitigar ou compensar danos causados à ordem urbanística ou ao meio ambiente em decorrência de realização de obra pública. Possibilidade, desde que haja previsão orçamentária prévia à assunção do compromisso e que reste demonstrada a necessidade por estudos técnicos aprovados pelos órgãos competentes. Medidas necessárias ao cumprimento do termo para mitigação ou compensação de dano à ordem urbanística e ao meio ambiente, se não estabelecidas no próprio termo, devem ser acordadas entre as partes, desde que sejam lícitas e atendam ao interesse público.</w:t>
      </w:r>
    </w:p>
    <w:p w14:paraId="1D353952" w14:textId="42F40A67" w:rsidR="00B036BD" w:rsidRPr="008E36D8" w:rsidRDefault="00B036BD" w:rsidP="00816942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5811AE69" w14:textId="2BED4E3E" w:rsidR="00DF6F7F" w:rsidRDefault="00DF6F7F" w:rsidP="00DF6F7F">
      <w:pPr>
        <w:pStyle w:val="Corpodetexto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 w:rsidRPr="00DF6F7F">
        <w:rPr>
          <w:rFonts w:ascii="Arial" w:hAnsi="Arial" w:cs="Arial"/>
          <w:sz w:val="20"/>
          <w:szCs w:val="20"/>
          <w:shd w:val="clear" w:color="auto" w:fill="FFFFFF"/>
          <w:lang w:val="pt-BR"/>
        </w:rPr>
        <w:t>É legal entidade ou órgão público federal realizarem despesas de competência municipal ou estadual a fim de dar cumprimento a Termo de Compromisso de Ajuste de Conduta firmado com vistas a mitigar ou compensar danos causados à ordem urbanística ou ao meio ambiente em decorrência de obra pública do interesse precípuo da União, desde que haja previsão orçamentária e esteja demonstrada, mediante estudos técnicos aprovados pelos órgãos competentes, a necessidade dessa mitigação ou compensação.</w:t>
      </w:r>
    </w:p>
    <w:p w14:paraId="49DF65D5" w14:textId="77777777" w:rsidR="002D722B" w:rsidRPr="00DF6F7F" w:rsidRDefault="002D722B" w:rsidP="00DF6F7F">
      <w:pPr>
        <w:pStyle w:val="Corpodetexto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</w:p>
    <w:p w14:paraId="33FF2DD8" w14:textId="222BE69E" w:rsidR="00861DB4" w:rsidRPr="008E36D8" w:rsidRDefault="00D22EE1" w:rsidP="00DF6F7F">
      <w:pPr>
        <w:pStyle w:val="Corpodetexto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 w:rsidR="00861DB4" w:rsidRPr="008E36D8">
        <w:rPr>
          <w:rFonts w:ascii="Arial" w:hAnsi="Arial" w:cs="Arial"/>
          <w:sz w:val="20"/>
          <w:szCs w:val="20"/>
          <w:lang w:val="pt-BR"/>
        </w:rPr>
        <w:t>TC</w:t>
      </w:r>
      <w:r>
        <w:rPr>
          <w:rFonts w:ascii="Arial" w:hAnsi="Arial" w:cs="Arial"/>
          <w:sz w:val="20"/>
          <w:szCs w:val="20"/>
          <w:lang w:val="pt-BR"/>
        </w:rPr>
        <w:t>U, Proc.</w:t>
      </w:r>
      <w:r w:rsidRPr="00C24966">
        <w:rPr>
          <w:lang w:val="pt-BR"/>
        </w:rPr>
        <w:t xml:space="preserve"> </w:t>
      </w:r>
      <w:r w:rsidR="00DF6F7F">
        <w:rPr>
          <w:rFonts w:ascii="Arial" w:hAnsi="Arial" w:cs="Arial"/>
          <w:sz w:val="20"/>
          <w:szCs w:val="20"/>
          <w:lang w:val="pt-BR"/>
        </w:rPr>
        <w:t>033.707/2013-8</w:t>
      </w:r>
      <w:r>
        <w:rPr>
          <w:rFonts w:ascii="Arial" w:hAnsi="Arial" w:cs="Arial"/>
          <w:sz w:val="20"/>
          <w:szCs w:val="20"/>
          <w:lang w:val="pt-BR"/>
        </w:rPr>
        <w:t>,</w:t>
      </w:r>
      <w:r w:rsidR="00DF6F7F">
        <w:rPr>
          <w:rFonts w:ascii="Arial" w:hAnsi="Arial" w:cs="Arial"/>
          <w:sz w:val="20"/>
          <w:szCs w:val="20"/>
          <w:lang w:val="pt-BR"/>
        </w:rPr>
        <w:t xml:space="preserve"> </w:t>
      </w:r>
      <w:hyperlink r:id="rId9" w:history="1">
        <w:r w:rsidR="00DF6F7F" w:rsidRPr="00DF6F7F">
          <w:rPr>
            <w:rStyle w:val="Hyperlink"/>
            <w:rFonts w:ascii="Arial" w:hAnsi="Arial" w:cs="Arial"/>
            <w:sz w:val="20"/>
            <w:szCs w:val="20"/>
            <w:lang w:val="pt-BR"/>
          </w:rPr>
          <w:t>Acórdão n.º 2928/2014-PLENÁRIO</w:t>
        </w:r>
      </w:hyperlink>
      <w:r w:rsidR="00861DB4" w:rsidRPr="008E36D8">
        <w:rPr>
          <w:rFonts w:ascii="Arial" w:hAnsi="Arial" w:cs="Arial"/>
          <w:sz w:val="20"/>
          <w:szCs w:val="20"/>
          <w:lang w:val="pt-BR"/>
        </w:rPr>
        <w:t>, Relator Ministro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DF6F7F">
        <w:rPr>
          <w:rFonts w:ascii="Arial" w:hAnsi="Arial" w:cs="Arial"/>
          <w:sz w:val="20"/>
          <w:szCs w:val="20"/>
          <w:lang w:val="pt-BR"/>
        </w:rPr>
        <w:t>Aroldo Cedraz</w:t>
      </w:r>
      <w:r w:rsidR="00861DB4" w:rsidRPr="008E36D8">
        <w:rPr>
          <w:rFonts w:ascii="Arial" w:hAnsi="Arial" w:cs="Arial"/>
          <w:sz w:val="20"/>
          <w:szCs w:val="20"/>
          <w:lang w:val="pt-BR"/>
        </w:rPr>
        <w:t>).</w:t>
      </w:r>
    </w:p>
    <w:p w14:paraId="5F8E8FBC" w14:textId="77777777" w:rsidR="00B036BD" w:rsidRDefault="00B036BD" w:rsidP="00816942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7B2CF815" w14:textId="2CDD8220" w:rsidR="00B34863" w:rsidRPr="0022060B" w:rsidRDefault="00B34863" w:rsidP="00B34863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</w:t>
      </w:r>
      <w:r w:rsidR="002D722B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7364733" w14:textId="77777777" w:rsidR="00CD37A1" w:rsidRDefault="00CD37A1" w:rsidP="00B34863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096A91E" w14:textId="1DBF0909" w:rsidR="002D722B" w:rsidRDefault="003D704E" w:rsidP="002D722B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1" w:name="_Hlk5027744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3. </w:t>
      </w:r>
      <w:bookmarkEnd w:id="1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Exame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prévio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de edital.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Demonstração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experiência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Licença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ambiental. Plano de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ação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emergencial do aterro.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Declaração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anuência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Inscrição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ibama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Regularidade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ctf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/app.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Correções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determinadas com </w:t>
      </w:r>
      <w:proofErr w:type="spellStart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recomendações</w:t>
      </w:r>
      <w:proofErr w:type="spellEnd"/>
      <w:r w:rsidR="002D722B" w:rsidRPr="002D722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</w:p>
    <w:p w14:paraId="44CA5604" w14:textId="77777777" w:rsidR="002D722B" w:rsidRPr="002D722B" w:rsidRDefault="002D722B" w:rsidP="002D722B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4586210E" w14:textId="77777777" w:rsidR="002D722B" w:rsidRPr="002D722B" w:rsidRDefault="002D722B" w:rsidP="002D722B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1. É indevida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comprovação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experiência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no tratamento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resíduos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por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não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fazer parte do objeto contratual.</w:t>
      </w:r>
    </w:p>
    <w:p w14:paraId="4EA773CF" w14:textId="77777777" w:rsidR="002D722B" w:rsidRPr="002D722B" w:rsidRDefault="002D722B" w:rsidP="002D722B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2.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Certidão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Acervo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Técnico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não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se mostra como meio regular para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demonstração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experiência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operacional. </w:t>
      </w:r>
    </w:p>
    <w:p w14:paraId="7D1B7FF7" w14:textId="77777777" w:rsidR="002D722B" w:rsidRPr="002D722B" w:rsidRDefault="002D722B" w:rsidP="002D722B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3. Se exigida,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comprovação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aptidão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profissional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aperfeiçoa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- se mediante a CAT, vedada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fixação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quantitativos.</w:t>
      </w:r>
    </w:p>
    <w:p w14:paraId="140D04BB" w14:textId="77777777" w:rsidR="002D722B" w:rsidRPr="002D722B" w:rsidRDefault="002D722B" w:rsidP="002D722B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4.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documentação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relativa à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licença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ambiental – incluindo a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declaração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anuência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terceiro -, “Plano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Emergencial” do aterro e “Laudo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Técnico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das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Condições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Ambientais de Trabalho” (LTCAT) é indevida como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critério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habilitação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. </w:t>
      </w:r>
    </w:p>
    <w:p w14:paraId="191C989F" w14:textId="7D37529A" w:rsidR="002D722B" w:rsidRDefault="002D722B" w:rsidP="002D722B">
      <w:pPr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5. Comprovantes afetos à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inscrição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, regularidade no IBAMA e no CTF/APP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são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impertinentes em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relação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ao objeto, devendo ser </w:t>
      </w:r>
      <w:proofErr w:type="spellStart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excluídas</w:t>
      </w:r>
      <w:proofErr w:type="spellEnd"/>
      <w:r w:rsidRPr="002D722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14:paraId="4E68E7E3" w14:textId="77777777" w:rsidR="002D722B" w:rsidRPr="002D722B" w:rsidRDefault="002D722B" w:rsidP="002D722B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14:paraId="6726F55A" w14:textId="0487AACB" w:rsidR="008B7AA1" w:rsidRDefault="00C645F4" w:rsidP="002D722B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(TC</w:t>
      </w:r>
      <w:r w:rsidR="002D722B">
        <w:rPr>
          <w:rFonts w:ascii="Arial" w:hAnsi="Arial" w:cs="Arial"/>
          <w:color w:val="000000"/>
          <w:sz w:val="20"/>
          <w:szCs w:val="20"/>
          <w:shd w:val="clear" w:color="auto" w:fill="FFFFFF"/>
        </w:rPr>
        <w:t>E-SP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D72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 w:rsidR="002D722B" w:rsidRPr="00967EE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Processo n.º </w:t>
        </w:r>
        <w:r w:rsidR="002D722B" w:rsidRPr="00967EE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en-US"/>
          </w:rPr>
          <w:t>TC-006944.989.19-3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8B7AA1" w:rsidRPr="008B7AA1">
        <w:rPr>
          <w:rFonts w:ascii="Arial" w:hAnsi="Arial" w:cs="Arial"/>
          <w:color w:val="000000"/>
          <w:sz w:val="20"/>
          <w:szCs w:val="20"/>
          <w:shd w:val="clear" w:color="auto" w:fill="FFFFFF"/>
        </w:rPr>
        <w:t>Conselheir</w:t>
      </w:r>
      <w:r w:rsidR="002D722B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8B7AA1" w:rsidRPr="008B7AA1">
        <w:rPr>
          <w:rFonts w:ascii="Arial" w:hAnsi="Arial" w:cs="Arial"/>
          <w:color w:val="000000"/>
          <w:sz w:val="20"/>
          <w:szCs w:val="20"/>
          <w:shd w:val="clear" w:color="auto" w:fill="FFFFFF"/>
        </w:rPr>
        <w:t>-Relator</w:t>
      </w:r>
      <w:r w:rsidR="002D722B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8B7AA1" w:rsidRPr="008B7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D722B">
        <w:rPr>
          <w:rFonts w:ascii="Arial" w:hAnsi="Arial" w:cs="Arial"/>
          <w:color w:val="000000"/>
          <w:sz w:val="20"/>
          <w:szCs w:val="20"/>
          <w:shd w:val="clear" w:color="auto" w:fill="FFFFFF"/>
        </w:rPr>
        <w:t>Silvia Monteiro</w:t>
      </w:r>
      <w:r w:rsidR="00967EE5">
        <w:rPr>
          <w:rFonts w:ascii="Arial" w:hAnsi="Arial" w:cs="Arial"/>
          <w:color w:val="000000"/>
          <w:sz w:val="20"/>
          <w:szCs w:val="20"/>
          <w:shd w:val="clear" w:color="auto" w:fill="FFFFFF"/>
        </w:rPr>
        <w:t>, sessão de 17/04/2019</w:t>
      </w:r>
      <w:r w:rsidR="005A143D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5C9F6A44" w14:textId="77777777" w:rsidR="008E36D8" w:rsidRDefault="008E36D8" w:rsidP="00B3486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BC941C" w14:textId="77777777" w:rsidR="00B34863" w:rsidRPr="0022060B" w:rsidRDefault="00B34863" w:rsidP="00B34863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SUPREMO TRIBUNAL FEDERAL </w:t>
      </w:r>
    </w:p>
    <w:p w14:paraId="5F8AD51B" w14:textId="77777777" w:rsidR="00FE542E" w:rsidRDefault="00FE542E" w:rsidP="002A365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873A08B" w14:textId="77777777" w:rsidR="003D48A6" w:rsidRDefault="003D704E" w:rsidP="00967EE5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bookmarkStart w:id="2" w:name="_Hlk11860758"/>
      <w:bookmarkStart w:id="3" w:name="_Hlk5027767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4. </w:t>
      </w:r>
      <w:bookmarkEnd w:id="2"/>
      <w:r w:rsidR="00967EE5"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Ação direta de inconstitucionalidade. Lei nº 12.684/2007 do Estado de São Paulo. Proibição do uso de produtos, materiais ou artefatos que contenham quaisquer tipos de amianto ou asbesto. Produção e consumo, proteção do meio ambiente e proteção e defesa da saúde. Competência legislativa concorrente. Impossibilidade de a legislação estadual disciplinar matéria de forma contrária à lei geral federal. Lei federal nº 9.055/1995. Autorização de extração, industrialização, utilização e comercialização do amianto da variedade crisotila. Processo de </w:t>
      </w:r>
      <w:proofErr w:type="spellStart"/>
      <w:r w:rsidR="00967EE5"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inconstitucionalização</w:t>
      </w:r>
      <w:proofErr w:type="spellEnd"/>
      <w:r w:rsidR="00967EE5"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. Alteração nas relações fáticas subjacentes à norma jurídica. Natureza cancerígena do amianto crisotila e inviabilidade de seu uso de forma efetivamente segura. Existência de matérias-primas alternativas. Ausência de revisão da legislação federal, como determina a Convenção nº 162 da OIT. Inconstitucionalidade superveniente da Lei Federal nº 9.055/1995. Competência legislativa plena dos estados. Constitucionalidade da Lei estadual nº 12.684/2007. Improcedência da ação.</w:t>
      </w:r>
    </w:p>
    <w:p w14:paraId="63580A57" w14:textId="77777777" w:rsidR="003D48A6" w:rsidRDefault="003D48A6" w:rsidP="00967EE5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5B96EE3E" w14:textId="77777777" w:rsidR="003D48A6" w:rsidRDefault="00967EE5" w:rsidP="00967EE5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1. A Lei nº 12.684/2007, do Estado de São Paulo, proíbe a utilização, no âmbito daquele Estado, de produtos, materiais ou artefatos que contenham quaisquer tipos de amianto ou asbesto, versando sobre produção e consumo (art. 24, V, CF/88), proteção do meio ambiente (art. 24, VI) e proteção e defesa da saúde (art. 24, XII, CF/88). Dessa forma, compete, concorrentemente, à União a edição de normas gerais e </w:t>
      </w:r>
      <w:proofErr w:type="gramStart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aos estados suplementar</w:t>
      </w:r>
      <w:proofErr w:type="gramEnd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 a legislação federal no que couber (art. 24, §§ 1º e 2º, CF/88). Somente na hipótese de inexistência de lei federal é que os estados exercerão a competência legislativa plena (art. 24, § 3º, CF/88). 2. A Constituição de 1988 estabeleceu uma competência concorrente não cumulativa, na qual há expressa delimitação dos modos de atuação de cada ente federativo, os quais não se sobrepõem. Compete à União editar as normas gerais (art. 24, § 1º), não cabendo aos estados contrariar ou substituir o que definido em norma geral, mas sim o suplementar (art. 24, § 2º). Se, por um lado, a norma geral não pode impedir o exercício da competência estadual de suplementar as matérias arroladas no art. 24, por outro, não se pode admitir que a legislação estadual possa adentrar a competência da União e disciplinar a matéria de forma contrária à norma geral federal, desvirtuando o mínimo de unidade normativa almejado pela Constituição Federal. A inobservância dos limites constitucionais impostos ao exercício da competência concorrente implica a inconstitucionalidade formal da lei. 3. O art. 1º da Lei Federal nº 9.055/1995 proibiu a extração, a produção, a industrialização, a utilização e a comercialização de todos os tipos de amianto, com exceção da crisotila. Em seu art. 2º, a lei autorizou a extração, a industrialização, a utilização e a comercialização do amianto da variedade crisotila (asbesto branco) na forma definida na lei. Assim, se a lei federal admite, de modo restrito, o uso do amianto, em tese, a lei estadual não poderia proibi-lo totalmente, pois, desse modo, atuaria de forma contrária à prescrição da norma geral federal. Nesse caso, não há norma suplementar, mas norma contrária/substitutiva à lei geral, em detrimento da competência legislativa da União. 4. No entanto, o art. 2º da Lei Federal nº 9.055/1995 passou por um processo de </w:t>
      </w:r>
      <w:proofErr w:type="spellStart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inconstitucionalização</w:t>
      </w:r>
      <w:proofErr w:type="spellEnd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, em razão da alteração nas relações fáticas subjacentes à norma jurídica, e, no momento atual, não mais se compatibiliza com a Constituição de 1988. Se, antes, tinha-se notícia dos possíveis riscos à saúde e ao meio ambiente ocasionados pela utilização da crisotila, falando-se, na época da edição da lei, na possibilidade do uso controlado dessa substância, atualmente, o que se observa é um consenso </w:t>
      </w:r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lastRenderedPageBreak/>
        <w:t>em torno da natureza altamente cancerígena do mineral e da inviabilidade de seu uso de forma efetivamente segura, sendo esse o entendimento oficial dos órgãos nacionais e internacionais que detêm autoridade no tema da saúde em geral e da saúde do trabalhador. 5. A Convenção nº 162 da Organização Internacional do Trabalho, de junho de 1986, prevê, dentre seus princípios gerais, a necessidade de revisão da legislação nacional sempre que o desenvolvimento técnico e o progresso no conhecimento científico o requeiram (art. 3º, § 2). A convenção também determina a substituição do amianto por material menos danoso, ou mesmo seu efetivo banimento, sempre que isso se revelar necessário e for tecnicamente viável (art. 10). Portanto, o Brasil assumiu o compromisso internacional de revisar sua legislação e de substituir, quando tecnicamente viável, a utilização do amianto crisotila. 6. Quando da edição da lei federal, o país não dispunha de produto qualificado para substituir o amianto crisotila. No entanto, atualmente, existem materiais alternativos. Com o advento de materiais recomendados pelo Ministério da Saúde e pela ANVISA e em atendimento aos compromissos internacionais de revisão periódica da legislação, a Lei Federal nº 9.055/1995 – que, desde sua edição, não sofreu nenhuma atualização -, deveria ter sido revista para banir progressivamente a utilização do asbesto na variedade crisotila, ajustando-se ao estágio atual do consenso em torno dos riscos envolvidos na utilização desse mineral. 7. (i) O consenso dos órgãos oficiais de saúde geral e de saúde do trabalhador em torno da natureza altamente cancerígena do amianto crisotila, (</w:t>
      </w:r>
      <w:proofErr w:type="spellStart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ii</w:t>
      </w:r>
      <w:proofErr w:type="spellEnd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) a existência de materiais alternativos à fibra de amianto e (</w:t>
      </w:r>
      <w:proofErr w:type="spellStart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iii</w:t>
      </w:r>
      <w:proofErr w:type="spellEnd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) a ausência de revisão da legislação federal revelam a inconstitucionalidade superveniente (sob a óptica material) da Lei Federal nº 9.055/1995, por ofensa ao direito à saúde (art. 6º e 196, CF/88), ao dever estatal de redução dos riscos inerentes ao trabalho por meio de normas de saúde, higiene e segurança (art. 7º, inciso XXII, CF/88), e à proteção do meio ambiente (art. 225, CF/88). 8. Diante da invalidade da norma geral federal, os estados-membros passam a ter competência legislativa plena sobre a matéria, nos termos do art. 24, § 3º, da CF/88. Tendo em vista que a Lei nº 12.684/2007 do Estado de São Paulo proíbe a utilização do amianto crisotila nas atividades que menciona, em consonância com os preceitos constitucionais (em especial, os </w:t>
      </w:r>
      <w:proofErr w:type="spellStart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arts</w:t>
      </w:r>
      <w:proofErr w:type="spellEnd"/>
      <w:r w:rsidRPr="003D48A6">
        <w:rPr>
          <w:rFonts w:ascii="Arial" w:eastAsiaTheme="minorHAns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. 6º, 7º, inciso XXII; 196 e 225 da CF/88) e com os compromissos internacionais subscritos pelo Estado brasileiro, não incide ela no mesmo vício de inconstitucionalidade material da legislação federal. 9. Ação direta julgada improcedente, com a declaração incidental de inconstitucionalidade do art. 2º da Lei 9.055/1995, com efeito erga omnes e vinculante.</w:t>
      </w:r>
    </w:p>
    <w:p w14:paraId="7C353FBC" w14:textId="41405202" w:rsidR="00967EE5" w:rsidRPr="00967EE5" w:rsidRDefault="00967EE5" w:rsidP="00967EE5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br/>
        <w:t>(</w:t>
      </w:r>
      <w:hyperlink r:id="rId11" w:history="1">
        <w:r w:rsidRPr="00967EE5">
          <w:rPr>
            <w:rStyle w:val="Hyperlink"/>
            <w:rFonts w:ascii="Arial" w:eastAsiaTheme="minorHAnsi" w:hAnsi="Arial" w:cs="Arial"/>
            <w:b/>
            <w:sz w:val="20"/>
            <w:szCs w:val="20"/>
            <w:shd w:val="clear" w:color="auto" w:fill="FFFFFF"/>
            <w:lang w:eastAsia="en-US"/>
          </w:rPr>
          <w:t>ADI 3937</w:t>
        </w:r>
      </w:hyperlink>
      <w:r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, Relator(a):  Min. M</w:t>
      </w:r>
      <w:r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arco Aurélio</w:t>
      </w:r>
      <w:r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, Relator(a) p/ Acórdão:  Min. </w:t>
      </w:r>
      <w:r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Dias </w:t>
      </w:r>
      <w:proofErr w:type="spellStart"/>
      <w:r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Toffoli</w:t>
      </w:r>
      <w:proofErr w:type="spellEnd"/>
      <w:r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, Tribunal Pleno, julgado em 24/08/2017, </w:t>
      </w:r>
      <w:r w:rsidR="003D48A6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pub. em 01/02/2019</w:t>
      </w:r>
      <w:r w:rsidRPr="00967EE5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)</w:t>
      </w:r>
    </w:p>
    <w:bookmarkEnd w:id="3"/>
    <w:p w14:paraId="19CA102C" w14:textId="77777777" w:rsidR="002A365A" w:rsidRPr="00E65C68" w:rsidRDefault="002A365A" w:rsidP="00FC7478">
      <w:pPr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77DB263F" w14:textId="77777777" w:rsidR="00B34863" w:rsidRPr="0022060B" w:rsidRDefault="00B34863" w:rsidP="00B34863">
      <w:pPr>
        <w:shd w:val="pct1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SUPERIOR TRIBUNAL DE JUSTIÇA </w:t>
      </w:r>
    </w:p>
    <w:p w14:paraId="2D573CEB" w14:textId="77777777" w:rsidR="009149FD" w:rsidRDefault="009149FD" w:rsidP="00B34863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563341" w14:textId="64F1C3BC" w:rsidR="008B750A" w:rsidRDefault="0080743C" w:rsidP="0035048F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4" w:name="_Hlk11860784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  <w:r w:rsidR="008B750A" w:rsidRPr="008B75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Jurisprudência em Teses (edição n.º </w:t>
      </w:r>
      <w:r w:rsidR="007D5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133</w:t>
      </w:r>
      <w:r w:rsidR="008B750A" w:rsidRPr="008B75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): </w:t>
      </w:r>
      <w:r w:rsidR="007D5D8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do processo administrativo – Lei n. 9.784/1999</w:t>
      </w:r>
    </w:p>
    <w:bookmarkEnd w:id="4"/>
    <w:p w14:paraId="7CE62246" w14:textId="77777777" w:rsidR="008B750A" w:rsidRDefault="008B750A" w:rsidP="0035048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F6C10E6" w14:textId="5318B999" w:rsidR="00D20524" w:rsidRDefault="007D5D8E" w:rsidP="0035048F">
      <w:pPr>
        <w:jc w:val="both"/>
        <w:rPr>
          <w:rFonts w:ascii="Arial" w:hAnsi="Arial" w:cs="Arial"/>
          <w:bCs/>
          <w:sz w:val="20"/>
          <w:szCs w:val="20"/>
        </w:rPr>
      </w:pPr>
      <w:bookmarkStart w:id="5" w:name="TEMA2"/>
      <w:bookmarkEnd w:id="5"/>
      <w:r>
        <w:rPr>
          <w:rFonts w:ascii="Arial" w:hAnsi="Arial" w:cs="Arial"/>
          <w:bCs/>
          <w:sz w:val="20"/>
          <w:szCs w:val="20"/>
        </w:rPr>
        <w:t>7</w:t>
      </w:r>
      <w:r w:rsidR="00D20524" w:rsidRPr="00D2052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 Lei n.º 9.784/1999, especialmente no que diz respeito ao prazo decadencial para a revisão de atos administrativos no âmbito da administração pública federal, pode ser aplicada, de forma, aos estados e municípios, se inexistente norma local e específica que regule a matéria</w:t>
      </w:r>
      <w:r w:rsidR="00D20524" w:rsidRPr="00D2052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(Súmula n. 633/STJ)</w:t>
      </w:r>
      <w:r w:rsidR="00D20524" w:rsidRPr="00D20524">
        <w:rPr>
          <w:rFonts w:ascii="Arial" w:hAnsi="Arial" w:cs="Arial"/>
          <w:bCs/>
          <w:sz w:val="20"/>
          <w:szCs w:val="20"/>
        </w:rPr>
        <w:t xml:space="preserve"> </w:t>
      </w:r>
    </w:p>
    <w:p w14:paraId="1154754C" w14:textId="614182B7" w:rsidR="00B179FD" w:rsidRDefault="00B179FD" w:rsidP="000477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BB2559" w14:textId="5CE914EA" w:rsidR="007D5D8E" w:rsidRDefault="0080743C" w:rsidP="007D5D8E">
      <w:pPr>
        <w:spacing w:line="276" w:lineRule="auto"/>
        <w:jc w:val="both"/>
        <w:rPr>
          <w:rFonts w:ascii="Arial" w:hAnsi="Arial" w:cs="Arial"/>
          <w:b/>
          <w:sz w:val="20"/>
        </w:rPr>
      </w:pPr>
      <w:bookmarkStart w:id="6" w:name="_Hlk11860812"/>
      <w:r>
        <w:rPr>
          <w:rFonts w:ascii="Arial" w:hAnsi="Arial" w:cs="Arial"/>
          <w:b/>
          <w:sz w:val="20"/>
        </w:rPr>
        <w:lastRenderedPageBreak/>
        <w:t>6</w:t>
      </w:r>
      <w:r w:rsidR="00A54810" w:rsidRPr="00A54810">
        <w:rPr>
          <w:rFonts w:ascii="Arial" w:hAnsi="Arial" w:cs="Arial"/>
          <w:b/>
          <w:sz w:val="20"/>
        </w:rPr>
        <w:t xml:space="preserve">. </w:t>
      </w:r>
      <w:bookmarkEnd w:id="6"/>
      <w:r w:rsidR="007D5D8E" w:rsidRPr="007D5D8E">
        <w:rPr>
          <w:rFonts w:ascii="Arial" w:hAnsi="Arial" w:cs="Arial"/>
          <w:b/>
          <w:sz w:val="20"/>
        </w:rPr>
        <w:t xml:space="preserve">Processual civil. Embargos de </w:t>
      </w:r>
      <w:proofErr w:type="spellStart"/>
      <w:r w:rsidR="007D5D8E" w:rsidRPr="007D5D8E">
        <w:rPr>
          <w:rFonts w:ascii="Arial" w:hAnsi="Arial" w:cs="Arial"/>
          <w:b/>
          <w:sz w:val="20"/>
        </w:rPr>
        <w:t>divergência</w:t>
      </w:r>
      <w:proofErr w:type="spellEnd"/>
      <w:r w:rsidR="007D5D8E" w:rsidRPr="007D5D8E">
        <w:rPr>
          <w:rFonts w:ascii="Arial" w:hAnsi="Arial" w:cs="Arial"/>
          <w:b/>
          <w:sz w:val="20"/>
        </w:rPr>
        <w:t xml:space="preserve"> submetidos ao enunciado administrativo 2/</w:t>
      </w:r>
      <w:r w:rsidR="007D5D8E">
        <w:rPr>
          <w:rFonts w:ascii="Arial" w:hAnsi="Arial" w:cs="Arial"/>
          <w:b/>
          <w:sz w:val="20"/>
        </w:rPr>
        <w:t>STJ</w:t>
      </w:r>
      <w:r w:rsidR="007D5D8E" w:rsidRPr="007D5D8E">
        <w:rPr>
          <w:rFonts w:ascii="Arial" w:hAnsi="Arial" w:cs="Arial"/>
          <w:b/>
          <w:sz w:val="20"/>
        </w:rPr>
        <w:t xml:space="preserve">. Embargos à </w:t>
      </w:r>
      <w:proofErr w:type="spellStart"/>
      <w:r w:rsidR="007D5D8E" w:rsidRPr="007D5D8E">
        <w:rPr>
          <w:rFonts w:ascii="Arial" w:hAnsi="Arial" w:cs="Arial"/>
          <w:b/>
          <w:sz w:val="20"/>
        </w:rPr>
        <w:t>execução</w:t>
      </w:r>
      <w:proofErr w:type="spellEnd"/>
      <w:r w:rsidR="007D5D8E" w:rsidRPr="007D5D8E">
        <w:rPr>
          <w:rFonts w:ascii="Arial" w:hAnsi="Arial" w:cs="Arial"/>
          <w:b/>
          <w:sz w:val="20"/>
        </w:rPr>
        <w:t xml:space="preserve">. Auto de </w:t>
      </w:r>
      <w:proofErr w:type="spellStart"/>
      <w:r w:rsidR="007D5D8E" w:rsidRPr="007D5D8E">
        <w:rPr>
          <w:rFonts w:ascii="Arial" w:hAnsi="Arial" w:cs="Arial"/>
          <w:b/>
          <w:sz w:val="20"/>
        </w:rPr>
        <w:t>infração</w:t>
      </w:r>
      <w:proofErr w:type="spellEnd"/>
      <w:r w:rsidR="007D5D8E" w:rsidRPr="007D5D8E">
        <w:rPr>
          <w:rFonts w:ascii="Arial" w:hAnsi="Arial" w:cs="Arial"/>
          <w:b/>
          <w:sz w:val="20"/>
        </w:rPr>
        <w:t xml:space="preserve"> lavrado em </w:t>
      </w:r>
      <w:proofErr w:type="spellStart"/>
      <w:r w:rsidR="007D5D8E" w:rsidRPr="007D5D8E">
        <w:rPr>
          <w:rFonts w:ascii="Arial" w:hAnsi="Arial" w:cs="Arial"/>
          <w:b/>
          <w:sz w:val="20"/>
        </w:rPr>
        <w:t>razão</w:t>
      </w:r>
      <w:proofErr w:type="spellEnd"/>
      <w:r w:rsidR="007D5D8E" w:rsidRPr="007D5D8E">
        <w:rPr>
          <w:rFonts w:ascii="Arial" w:hAnsi="Arial" w:cs="Arial"/>
          <w:b/>
          <w:sz w:val="20"/>
        </w:rPr>
        <w:t xml:space="preserve"> de dano ambiental. Necessidade de </w:t>
      </w:r>
      <w:proofErr w:type="spellStart"/>
      <w:r w:rsidR="007D5D8E" w:rsidRPr="007D5D8E">
        <w:rPr>
          <w:rFonts w:ascii="Arial" w:hAnsi="Arial" w:cs="Arial"/>
          <w:b/>
          <w:sz w:val="20"/>
        </w:rPr>
        <w:t>demonstração</w:t>
      </w:r>
      <w:proofErr w:type="spellEnd"/>
      <w:r w:rsidR="007D5D8E" w:rsidRPr="007D5D8E">
        <w:rPr>
          <w:rFonts w:ascii="Arial" w:hAnsi="Arial" w:cs="Arial"/>
          <w:b/>
          <w:sz w:val="20"/>
        </w:rPr>
        <w:t xml:space="preserve"> da responsabilidade subjetiva. </w:t>
      </w:r>
    </w:p>
    <w:p w14:paraId="74D42BC6" w14:textId="77777777" w:rsidR="003D48A6" w:rsidRPr="007D5D8E" w:rsidRDefault="003D48A6" w:rsidP="007D5D8E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30948E97" w14:textId="77777777" w:rsidR="007D5D8E" w:rsidRPr="007D5D8E" w:rsidRDefault="007D5D8E" w:rsidP="007D5D8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7D5D8E">
        <w:rPr>
          <w:rFonts w:ascii="Arial" w:hAnsi="Arial" w:cs="Arial"/>
          <w:bCs/>
          <w:sz w:val="20"/>
        </w:rPr>
        <w:t xml:space="preserve">1. Na origem, foram opostos embargos à </w:t>
      </w:r>
      <w:proofErr w:type="spellStart"/>
      <w:r w:rsidRPr="007D5D8E">
        <w:rPr>
          <w:rFonts w:ascii="Arial" w:hAnsi="Arial" w:cs="Arial"/>
          <w:bCs/>
          <w:sz w:val="20"/>
        </w:rPr>
        <w:t>execução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objetivando a </w:t>
      </w:r>
      <w:proofErr w:type="spellStart"/>
      <w:r w:rsidRPr="007D5D8E">
        <w:rPr>
          <w:rFonts w:ascii="Arial" w:hAnsi="Arial" w:cs="Arial"/>
          <w:bCs/>
          <w:sz w:val="20"/>
        </w:rPr>
        <w:t>anulação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de auto de </w:t>
      </w:r>
      <w:proofErr w:type="spellStart"/>
      <w:r w:rsidRPr="007D5D8E">
        <w:rPr>
          <w:rFonts w:ascii="Arial" w:hAnsi="Arial" w:cs="Arial"/>
          <w:bCs/>
          <w:sz w:val="20"/>
        </w:rPr>
        <w:t>infração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lavrado pelo </w:t>
      </w:r>
      <w:proofErr w:type="spellStart"/>
      <w:r w:rsidRPr="007D5D8E">
        <w:rPr>
          <w:rFonts w:ascii="Arial" w:hAnsi="Arial" w:cs="Arial"/>
          <w:bCs/>
          <w:sz w:val="20"/>
        </w:rPr>
        <w:t>Município</w:t>
      </w:r>
      <w:proofErr w:type="spellEnd"/>
      <w:r w:rsidRPr="007D5D8E">
        <w:rPr>
          <w:rFonts w:ascii="Arial" w:hAnsi="Arial" w:cs="Arial"/>
          <w:bCs/>
          <w:sz w:val="20"/>
        </w:rPr>
        <w:t xml:space="preserve"> de Guapimirim - ora embargado -, por danos ambientais decorrentes do derramamento de </w:t>
      </w:r>
      <w:proofErr w:type="spellStart"/>
      <w:r w:rsidRPr="007D5D8E">
        <w:rPr>
          <w:rFonts w:ascii="Arial" w:hAnsi="Arial" w:cs="Arial"/>
          <w:bCs/>
          <w:sz w:val="20"/>
        </w:rPr>
        <w:t>óleo</w:t>
      </w:r>
      <w:proofErr w:type="spellEnd"/>
      <w:r w:rsidRPr="007D5D8E">
        <w:rPr>
          <w:rFonts w:ascii="Arial" w:hAnsi="Arial" w:cs="Arial"/>
          <w:bCs/>
          <w:sz w:val="20"/>
        </w:rPr>
        <w:t xml:space="preserve"> diesel pertencente à ora embargante, </w:t>
      </w:r>
      <w:proofErr w:type="spellStart"/>
      <w:r w:rsidRPr="007D5D8E">
        <w:rPr>
          <w:rFonts w:ascii="Arial" w:hAnsi="Arial" w:cs="Arial"/>
          <w:bCs/>
          <w:sz w:val="20"/>
        </w:rPr>
        <w:t>após</w:t>
      </w:r>
      <w:proofErr w:type="spellEnd"/>
      <w:r w:rsidRPr="007D5D8E">
        <w:rPr>
          <w:rFonts w:ascii="Arial" w:hAnsi="Arial" w:cs="Arial"/>
          <w:bCs/>
          <w:sz w:val="20"/>
        </w:rPr>
        <w:t xml:space="preserve"> descarrilamento de </w:t>
      </w:r>
      <w:proofErr w:type="spellStart"/>
      <w:r w:rsidRPr="007D5D8E">
        <w:rPr>
          <w:rFonts w:ascii="Arial" w:hAnsi="Arial" w:cs="Arial"/>
          <w:bCs/>
          <w:sz w:val="20"/>
        </w:rPr>
        <w:t>composição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</w:t>
      </w:r>
      <w:proofErr w:type="spellStart"/>
      <w:r w:rsidRPr="007D5D8E">
        <w:rPr>
          <w:rFonts w:ascii="Arial" w:hAnsi="Arial" w:cs="Arial"/>
          <w:bCs/>
          <w:sz w:val="20"/>
        </w:rPr>
        <w:t>férrea</w:t>
      </w:r>
      <w:proofErr w:type="spellEnd"/>
      <w:r w:rsidRPr="007D5D8E">
        <w:rPr>
          <w:rFonts w:ascii="Arial" w:hAnsi="Arial" w:cs="Arial"/>
          <w:bCs/>
          <w:sz w:val="20"/>
        </w:rPr>
        <w:t xml:space="preserve"> da Ferrovia Centro </w:t>
      </w:r>
      <w:proofErr w:type="spellStart"/>
      <w:r w:rsidRPr="007D5D8E">
        <w:rPr>
          <w:rFonts w:ascii="Arial" w:hAnsi="Arial" w:cs="Arial"/>
          <w:bCs/>
          <w:sz w:val="20"/>
        </w:rPr>
        <w:t>Atlântica</w:t>
      </w:r>
      <w:proofErr w:type="spellEnd"/>
      <w:r w:rsidRPr="007D5D8E">
        <w:rPr>
          <w:rFonts w:ascii="Arial" w:hAnsi="Arial" w:cs="Arial"/>
          <w:bCs/>
          <w:sz w:val="20"/>
        </w:rPr>
        <w:t xml:space="preserve"> (FCA). </w:t>
      </w:r>
    </w:p>
    <w:p w14:paraId="4E2F06BA" w14:textId="77777777" w:rsidR="007D5D8E" w:rsidRPr="007D5D8E" w:rsidRDefault="007D5D8E" w:rsidP="007D5D8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7D5D8E">
        <w:rPr>
          <w:rFonts w:ascii="Arial" w:hAnsi="Arial" w:cs="Arial"/>
          <w:bCs/>
          <w:sz w:val="20"/>
        </w:rPr>
        <w:t xml:space="preserve">2. A </w:t>
      </w:r>
      <w:proofErr w:type="spellStart"/>
      <w:r w:rsidRPr="007D5D8E">
        <w:rPr>
          <w:rFonts w:ascii="Arial" w:hAnsi="Arial" w:cs="Arial"/>
          <w:bCs/>
          <w:sz w:val="20"/>
        </w:rPr>
        <w:t>sentença</w:t>
      </w:r>
      <w:proofErr w:type="spellEnd"/>
      <w:r w:rsidRPr="007D5D8E">
        <w:rPr>
          <w:rFonts w:ascii="Arial" w:hAnsi="Arial" w:cs="Arial"/>
          <w:bCs/>
          <w:sz w:val="20"/>
        </w:rPr>
        <w:t xml:space="preserve"> de </w:t>
      </w:r>
      <w:proofErr w:type="spellStart"/>
      <w:r w:rsidRPr="007D5D8E">
        <w:rPr>
          <w:rFonts w:ascii="Arial" w:hAnsi="Arial" w:cs="Arial"/>
          <w:bCs/>
          <w:sz w:val="20"/>
        </w:rPr>
        <w:t>procedência</w:t>
      </w:r>
      <w:proofErr w:type="spellEnd"/>
      <w:r w:rsidRPr="007D5D8E">
        <w:rPr>
          <w:rFonts w:ascii="Arial" w:hAnsi="Arial" w:cs="Arial"/>
          <w:bCs/>
          <w:sz w:val="20"/>
        </w:rPr>
        <w:t xml:space="preserve"> dos embargos à </w:t>
      </w:r>
      <w:proofErr w:type="spellStart"/>
      <w:r w:rsidRPr="007D5D8E">
        <w:rPr>
          <w:rFonts w:ascii="Arial" w:hAnsi="Arial" w:cs="Arial"/>
          <w:bCs/>
          <w:sz w:val="20"/>
        </w:rPr>
        <w:t>execução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foi reformada pelo Tribunal de </w:t>
      </w:r>
      <w:proofErr w:type="spellStart"/>
      <w:r w:rsidRPr="007D5D8E">
        <w:rPr>
          <w:rFonts w:ascii="Arial" w:hAnsi="Arial" w:cs="Arial"/>
          <w:bCs/>
          <w:sz w:val="20"/>
        </w:rPr>
        <w:t>Justiça</w:t>
      </w:r>
      <w:proofErr w:type="spellEnd"/>
      <w:r w:rsidRPr="007D5D8E">
        <w:rPr>
          <w:rFonts w:ascii="Arial" w:hAnsi="Arial" w:cs="Arial"/>
          <w:bCs/>
          <w:sz w:val="20"/>
        </w:rPr>
        <w:t xml:space="preserve"> do Estado do Rio de Janeiro pelo fundamento de que "o risco da atividade desempenhada pela apelada ao causar danos ao meio ambiente consubstancia o nexo causal de sua responsabilidade, </w:t>
      </w:r>
      <w:proofErr w:type="spellStart"/>
      <w:r w:rsidRPr="007D5D8E">
        <w:rPr>
          <w:rFonts w:ascii="Arial" w:hAnsi="Arial" w:cs="Arial"/>
          <w:bCs/>
          <w:sz w:val="20"/>
        </w:rPr>
        <w:t>não</w:t>
      </w:r>
      <w:proofErr w:type="spellEnd"/>
      <w:r w:rsidRPr="007D5D8E">
        <w:rPr>
          <w:rFonts w:ascii="Arial" w:hAnsi="Arial" w:cs="Arial"/>
          <w:bCs/>
          <w:sz w:val="20"/>
        </w:rPr>
        <w:t xml:space="preserve"> havendo, por conseguinte, que se falar em ilegitimidade da embargante para figurar no polo passivo do auto de </w:t>
      </w:r>
      <w:proofErr w:type="spellStart"/>
      <w:r w:rsidRPr="007D5D8E">
        <w:rPr>
          <w:rFonts w:ascii="Arial" w:hAnsi="Arial" w:cs="Arial"/>
          <w:bCs/>
          <w:sz w:val="20"/>
        </w:rPr>
        <w:t>infração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que lhe fora imposto", entendimento esse mantido no </w:t>
      </w:r>
      <w:proofErr w:type="spellStart"/>
      <w:r w:rsidRPr="007D5D8E">
        <w:rPr>
          <w:rFonts w:ascii="Arial" w:hAnsi="Arial" w:cs="Arial"/>
          <w:bCs/>
          <w:sz w:val="20"/>
        </w:rPr>
        <w:t>acórdão</w:t>
      </w:r>
      <w:proofErr w:type="spellEnd"/>
      <w:r w:rsidRPr="007D5D8E">
        <w:rPr>
          <w:rFonts w:ascii="Arial" w:hAnsi="Arial" w:cs="Arial"/>
          <w:bCs/>
          <w:sz w:val="20"/>
        </w:rPr>
        <w:t xml:space="preserve"> ora embargado sob o fundamento de que "[a] responsabilidade administrativa ambiental é objetiva". </w:t>
      </w:r>
    </w:p>
    <w:p w14:paraId="7D21FF88" w14:textId="77777777" w:rsidR="007D5D8E" w:rsidRPr="007D5D8E" w:rsidRDefault="007D5D8E" w:rsidP="007D5D8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7D5D8E">
        <w:rPr>
          <w:rFonts w:ascii="Arial" w:hAnsi="Arial" w:cs="Arial"/>
          <w:bCs/>
          <w:sz w:val="20"/>
        </w:rPr>
        <w:t xml:space="preserve">3. Ocorre que, conforme assentado pela Segunda Turma no julgamento do </w:t>
      </w:r>
      <w:proofErr w:type="spellStart"/>
      <w:r w:rsidRPr="007D5D8E">
        <w:rPr>
          <w:rFonts w:ascii="Arial" w:hAnsi="Arial" w:cs="Arial"/>
          <w:bCs/>
          <w:sz w:val="20"/>
        </w:rPr>
        <w:t>REsp</w:t>
      </w:r>
      <w:proofErr w:type="spellEnd"/>
      <w:r w:rsidRPr="007D5D8E">
        <w:rPr>
          <w:rFonts w:ascii="Arial" w:hAnsi="Arial" w:cs="Arial"/>
          <w:bCs/>
          <w:sz w:val="20"/>
        </w:rPr>
        <w:t xml:space="preserve"> 1.251.697/PR, de minha relatoria, </w:t>
      </w:r>
      <w:proofErr w:type="spellStart"/>
      <w:r w:rsidRPr="007D5D8E">
        <w:rPr>
          <w:rFonts w:ascii="Arial" w:hAnsi="Arial" w:cs="Arial"/>
          <w:bCs/>
          <w:sz w:val="20"/>
        </w:rPr>
        <w:t>DJe</w:t>
      </w:r>
      <w:proofErr w:type="spellEnd"/>
      <w:r w:rsidRPr="007D5D8E">
        <w:rPr>
          <w:rFonts w:ascii="Arial" w:hAnsi="Arial" w:cs="Arial"/>
          <w:bCs/>
          <w:sz w:val="20"/>
        </w:rPr>
        <w:t xml:space="preserve"> de 17/4/2012), "a </w:t>
      </w:r>
      <w:proofErr w:type="spellStart"/>
      <w:r w:rsidRPr="007D5D8E">
        <w:rPr>
          <w:rFonts w:ascii="Arial" w:hAnsi="Arial" w:cs="Arial"/>
          <w:bCs/>
          <w:sz w:val="20"/>
        </w:rPr>
        <w:t>aplicação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de penalidades administrativas </w:t>
      </w:r>
      <w:proofErr w:type="spellStart"/>
      <w:r w:rsidRPr="007D5D8E">
        <w:rPr>
          <w:rFonts w:ascii="Arial" w:hAnsi="Arial" w:cs="Arial"/>
          <w:bCs/>
          <w:sz w:val="20"/>
        </w:rPr>
        <w:t>não</w:t>
      </w:r>
      <w:proofErr w:type="spellEnd"/>
      <w:r w:rsidRPr="007D5D8E">
        <w:rPr>
          <w:rFonts w:ascii="Arial" w:hAnsi="Arial" w:cs="Arial"/>
          <w:bCs/>
          <w:sz w:val="20"/>
        </w:rPr>
        <w:t xml:space="preserve"> obedece à </w:t>
      </w:r>
      <w:proofErr w:type="spellStart"/>
      <w:r w:rsidRPr="007D5D8E">
        <w:rPr>
          <w:rFonts w:ascii="Arial" w:hAnsi="Arial" w:cs="Arial"/>
          <w:bCs/>
          <w:sz w:val="20"/>
        </w:rPr>
        <w:t>lógica</w:t>
      </w:r>
      <w:proofErr w:type="spellEnd"/>
      <w:r w:rsidRPr="007D5D8E">
        <w:rPr>
          <w:rFonts w:ascii="Arial" w:hAnsi="Arial" w:cs="Arial"/>
          <w:bCs/>
          <w:sz w:val="20"/>
        </w:rPr>
        <w:t xml:space="preserve"> da responsabilidade objetiva da esfera </w:t>
      </w:r>
      <w:proofErr w:type="spellStart"/>
      <w:r w:rsidRPr="007D5D8E">
        <w:rPr>
          <w:rFonts w:ascii="Arial" w:hAnsi="Arial" w:cs="Arial"/>
          <w:bCs/>
          <w:sz w:val="20"/>
        </w:rPr>
        <w:t>cível</w:t>
      </w:r>
      <w:proofErr w:type="spellEnd"/>
      <w:r w:rsidRPr="007D5D8E">
        <w:rPr>
          <w:rFonts w:ascii="Arial" w:hAnsi="Arial" w:cs="Arial"/>
          <w:bCs/>
          <w:sz w:val="20"/>
        </w:rPr>
        <w:t xml:space="preserve"> (para </w:t>
      </w:r>
      <w:proofErr w:type="spellStart"/>
      <w:r w:rsidRPr="007D5D8E">
        <w:rPr>
          <w:rFonts w:ascii="Arial" w:hAnsi="Arial" w:cs="Arial"/>
          <w:bCs/>
          <w:sz w:val="20"/>
        </w:rPr>
        <w:t>reparação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dos danos causados), mas deve obedecer à </w:t>
      </w:r>
      <w:proofErr w:type="spellStart"/>
      <w:r w:rsidRPr="007D5D8E">
        <w:rPr>
          <w:rFonts w:ascii="Arial" w:hAnsi="Arial" w:cs="Arial"/>
          <w:bCs/>
          <w:sz w:val="20"/>
        </w:rPr>
        <w:t>sistemática</w:t>
      </w:r>
      <w:proofErr w:type="spellEnd"/>
      <w:r w:rsidRPr="007D5D8E">
        <w:rPr>
          <w:rFonts w:ascii="Arial" w:hAnsi="Arial" w:cs="Arial"/>
          <w:bCs/>
          <w:sz w:val="20"/>
        </w:rPr>
        <w:t xml:space="preserve"> da teoria da culpabilidade, ou seja, a conduta deve ser cometida pelo alegado transgressor, com </w:t>
      </w:r>
      <w:proofErr w:type="spellStart"/>
      <w:r w:rsidRPr="007D5D8E">
        <w:rPr>
          <w:rFonts w:ascii="Arial" w:hAnsi="Arial" w:cs="Arial"/>
          <w:bCs/>
          <w:sz w:val="20"/>
        </w:rPr>
        <w:t>demonstração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de seu elemento subjetivo, e com </w:t>
      </w:r>
      <w:proofErr w:type="spellStart"/>
      <w:r w:rsidRPr="007D5D8E">
        <w:rPr>
          <w:rFonts w:ascii="Arial" w:hAnsi="Arial" w:cs="Arial"/>
          <w:bCs/>
          <w:sz w:val="20"/>
        </w:rPr>
        <w:t>demonstração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do nexo causal entre a conduta e o dano". </w:t>
      </w:r>
    </w:p>
    <w:p w14:paraId="1C550F2D" w14:textId="77777777" w:rsidR="007D5D8E" w:rsidRPr="007D5D8E" w:rsidRDefault="007D5D8E" w:rsidP="007D5D8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7D5D8E">
        <w:rPr>
          <w:rFonts w:ascii="Arial" w:hAnsi="Arial" w:cs="Arial"/>
          <w:bCs/>
          <w:sz w:val="20"/>
        </w:rPr>
        <w:t xml:space="preserve">4. No mesmo sentido decidiu a Primeira Turma em caso </w:t>
      </w:r>
      <w:proofErr w:type="spellStart"/>
      <w:r w:rsidRPr="007D5D8E">
        <w:rPr>
          <w:rFonts w:ascii="Arial" w:hAnsi="Arial" w:cs="Arial"/>
          <w:bCs/>
          <w:sz w:val="20"/>
        </w:rPr>
        <w:t>análogo</w:t>
      </w:r>
      <w:proofErr w:type="spellEnd"/>
      <w:r w:rsidRPr="007D5D8E">
        <w:rPr>
          <w:rFonts w:ascii="Arial" w:hAnsi="Arial" w:cs="Arial"/>
          <w:bCs/>
          <w:sz w:val="20"/>
        </w:rPr>
        <w:t xml:space="preserve"> envolvendo as mesmas partes: "A responsabilidade civil ambiental é objetiva; </w:t>
      </w:r>
      <w:proofErr w:type="spellStart"/>
      <w:r w:rsidRPr="007D5D8E">
        <w:rPr>
          <w:rFonts w:ascii="Arial" w:hAnsi="Arial" w:cs="Arial"/>
          <w:bCs/>
          <w:sz w:val="20"/>
        </w:rPr>
        <w:t>porém</w:t>
      </w:r>
      <w:proofErr w:type="spellEnd"/>
      <w:r w:rsidRPr="007D5D8E">
        <w:rPr>
          <w:rFonts w:ascii="Arial" w:hAnsi="Arial" w:cs="Arial"/>
          <w:bCs/>
          <w:sz w:val="20"/>
        </w:rPr>
        <w:t xml:space="preserve">, tratando-se de responsabilidade administrativa ambiental, o terceiro, </w:t>
      </w:r>
      <w:proofErr w:type="spellStart"/>
      <w:r w:rsidRPr="007D5D8E">
        <w:rPr>
          <w:rFonts w:ascii="Arial" w:hAnsi="Arial" w:cs="Arial"/>
          <w:bCs/>
          <w:sz w:val="20"/>
        </w:rPr>
        <w:t>proprietário</w:t>
      </w:r>
      <w:proofErr w:type="spellEnd"/>
      <w:r w:rsidRPr="007D5D8E">
        <w:rPr>
          <w:rFonts w:ascii="Arial" w:hAnsi="Arial" w:cs="Arial"/>
          <w:bCs/>
          <w:sz w:val="20"/>
        </w:rPr>
        <w:t xml:space="preserve"> da carga, </w:t>
      </w:r>
      <w:proofErr w:type="spellStart"/>
      <w:r w:rsidRPr="007D5D8E">
        <w:rPr>
          <w:rFonts w:ascii="Arial" w:hAnsi="Arial" w:cs="Arial"/>
          <w:bCs/>
          <w:sz w:val="20"/>
        </w:rPr>
        <w:t>por</w:t>
      </w:r>
      <w:proofErr w:type="spellEnd"/>
      <w:r w:rsidRPr="007D5D8E">
        <w:rPr>
          <w:rFonts w:ascii="Arial" w:hAnsi="Arial" w:cs="Arial"/>
          <w:bCs/>
          <w:sz w:val="20"/>
        </w:rPr>
        <w:t xml:space="preserve"> </w:t>
      </w:r>
      <w:proofErr w:type="spellStart"/>
      <w:r w:rsidRPr="007D5D8E">
        <w:rPr>
          <w:rFonts w:ascii="Arial" w:hAnsi="Arial" w:cs="Arial"/>
          <w:bCs/>
          <w:sz w:val="20"/>
        </w:rPr>
        <w:t>não</w:t>
      </w:r>
      <w:proofErr w:type="spellEnd"/>
      <w:r w:rsidRPr="007D5D8E">
        <w:rPr>
          <w:rFonts w:ascii="Arial" w:hAnsi="Arial" w:cs="Arial"/>
          <w:bCs/>
          <w:sz w:val="20"/>
        </w:rPr>
        <w:t xml:space="preserve"> ser o efetivo causador do dano ambiental, responde subjetivamente pela </w:t>
      </w:r>
      <w:proofErr w:type="spellStart"/>
      <w:r w:rsidRPr="007D5D8E">
        <w:rPr>
          <w:rFonts w:ascii="Arial" w:hAnsi="Arial" w:cs="Arial"/>
          <w:bCs/>
          <w:sz w:val="20"/>
        </w:rPr>
        <w:t>degradação</w:t>
      </w:r>
      <w:proofErr w:type="spellEnd"/>
      <w:r w:rsidRPr="007D5D8E">
        <w:rPr>
          <w:rFonts w:ascii="Arial" w:hAnsi="Arial" w:cs="Arial"/>
          <w:bCs/>
          <w:sz w:val="20"/>
        </w:rPr>
        <w:t xml:space="preserve"> ambiental causada pelo transportador" (</w:t>
      </w:r>
      <w:proofErr w:type="spellStart"/>
      <w:r w:rsidRPr="007D5D8E">
        <w:rPr>
          <w:rFonts w:ascii="Arial" w:hAnsi="Arial" w:cs="Arial"/>
          <w:bCs/>
          <w:sz w:val="20"/>
        </w:rPr>
        <w:t>AgRg</w:t>
      </w:r>
      <w:proofErr w:type="spellEnd"/>
      <w:r w:rsidRPr="007D5D8E">
        <w:rPr>
          <w:rFonts w:ascii="Arial" w:hAnsi="Arial" w:cs="Arial"/>
          <w:bCs/>
          <w:sz w:val="20"/>
        </w:rPr>
        <w:t xml:space="preserve"> no </w:t>
      </w:r>
      <w:proofErr w:type="spellStart"/>
      <w:r w:rsidRPr="007D5D8E">
        <w:rPr>
          <w:rFonts w:ascii="Arial" w:hAnsi="Arial" w:cs="Arial"/>
          <w:bCs/>
          <w:sz w:val="20"/>
        </w:rPr>
        <w:t>AREsp</w:t>
      </w:r>
      <w:proofErr w:type="spellEnd"/>
      <w:r w:rsidRPr="007D5D8E">
        <w:rPr>
          <w:rFonts w:ascii="Arial" w:hAnsi="Arial" w:cs="Arial"/>
          <w:bCs/>
          <w:sz w:val="20"/>
        </w:rPr>
        <w:t xml:space="preserve"> 62.584/RJ, Rel. p/ </w:t>
      </w:r>
      <w:proofErr w:type="spellStart"/>
      <w:r w:rsidRPr="007D5D8E">
        <w:rPr>
          <w:rFonts w:ascii="Arial" w:hAnsi="Arial" w:cs="Arial"/>
          <w:bCs/>
          <w:sz w:val="20"/>
        </w:rPr>
        <w:t>Acórdão</w:t>
      </w:r>
      <w:proofErr w:type="spellEnd"/>
      <w:r w:rsidRPr="007D5D8E">
        <w:rPr>
          <w:rFonts w:ascii="Arial" w:hAnsi="Arial" w:cs="Arial"/>
          <w:bCs/>
          <w:sz w:val="20"/>
        </w:rPr>
        <w:t xml:space="preserve"> Ministra Regina Helena Costa, </w:t>
      </w:r>
      <w:proofErr w:type="spellStart"/>
      <w:r w:rsidRPr="007D5D8E">
        <w:rPr>
          <w:rFonts w:ascii="Arial" w:hAnsi="Arial" w:cs="Arial"/>
          <w:bCs/>
          <w:sz w:val="20"/>
        </w:rPr>
        <w:t>DJe</w:t>
      </w:r>
      <w:proofErr w:type="spellEnd"/>
      <w:r w:rsidRPr="007D5D8E">
        <w:rPr>
          <w:rFonts w:ascii="Arial" w:hAnsi="Arial" w:cs="Arial"/>
          <w:bCs/>
          <w:sz w:val="20"/>
        </w:rPr>
        <w:t xml:space="preserve"> de 7/10/2015). </w:t>
      </w:r>
    </w:p>
    <w:p w14:paraId="0633F41D" w14:textId="77777777" w:rsidR="007D5D8E" w:rsidRPr="007D5D8E" w:rsidRDefault="007D5D8E" w:rsidP="007D5D8E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7D5D8E">
        <w:rPr>
          <w:rFonts w:ascii="Arial" w:hAnsi="Arial" w:cs="Arial"/>
          <w:bCs/>
          <w:sz w:val="20"/>
        </w:rPr>
        <w:t xml:space="preserve">5. Embargos de </w:t>
      </w:r>
      <w:proofErr w:type="spellStart"/>
      <w:r w:rsidRPr="007D5D8E">
        <w:rPr>
          <w:rFonts w:ascii="Arial" w:hAnsi="Arial" w:cs="Arial"/>
          <w:bCs/>
          <w:sz w:val="20"/>
        </w:rPr>
        <w:t>divergência</w:t>
      </w:r>
      <w:proofErr w:type="spellEnd"/>
      <w:r w:rsidRPr="007D5D8E">
        <w:rPr>
          <w:rFonts w:ascii="Arial" w:hAnsi="Arial" w:cs="Arial"/>
          <w:bCs/>
          <w:sz w:val="20"/>
        </w:rPr>
        <w:t xml:space="preserve"> providos.</w:t>
      </w:r>
      <w:r w:rsidRPr="007D5D8E">
        <w:rPr>
          <w:rFonts w:ascii="Arial" w:hAnsi="Arial" w:cs="Arial"/>
          <w:b/>
          <w:sz w:val="20"/>
        </w:rPr>
        <w:t xml:space="preserve"> </w:t>
      </w:r>
    </w:p>
    <w:p w14:paraId="7491243D" w14:textId="6C79ABA7" w:rsidR="00A54810" w:rsidRPr="00A54810" w:rsidRDefault="00A54810" w:rsidP="007D5D8E">
      <w:pPr>
        <w:jc w:val="both"/>
        <w:rPr>
          <w:rFonts w:ascii="Arial" w:hAnsi="Arial" w:cs="Arial"/>
          <w:sz w:val="20"/>
        </w:rPr>
      </w:pPr>
    </w:p>
    <w:p w14:paraId="7F283BE1" w14:textId="07D58F45" w:rsidR="00A54810" w:rsidRPr="00A54810" w:rsidRDefault="00A54810" w:rsidP="00A54810">
      <w:pPr>
        <w:jc w:val="both"/>
        <w:rPr>
          <w:rFonts w:ascii="Arial" w:hAnsi="Arial" w:cs="Arial"/>
          <w:sz w:val="20"/>
        </w:rPr>
      </w:pPr>
      <w:r w:rsidRPr="005445E2">
        <w:rPr>
          <w:rFonts w:ascii="Arial" w:hAnsi="Arial" w:cs="Arial"/>
          <w:sz w:val="20"/>
        </w:rPr>
        <w:t>(STJ,</w:t>
      </w:r>
      <w:r w:rsidR="007D5D8E" w:rsidRPr="005445E2">
        <w:rPr>
          <w:rFonts w:ascii="Arial" w:hAnsi="Arial" w:cs="Arial"/>
          <w:sz w:val="20"/>
        </w:rPr>
        <w:t xml:space="preserve"> </w:t>
      </w:r>
      <w:hyperlink r:id="rId12" w:history="1">
        <w:proofErr w:type="spellStart"/>
        <w:r w:rsidR="007D5D8E" w:rsidRPr="005445E2">
          <w:rPr>
            <w:rStyle w:val="Hyperlink"/>
            <w:rFonts w:ascii="Arial" w:hAnsi="Arial" w:cs="Arial"/>
            <w:sz w:val="20"/>
          </w:rPr>
          <w:t>EDResp</w:t>
        </w:r>
        <w:proofErr w:type="spellEnd"/>
        <w:r w:rsidR="007D5D8E" w:rsidRPr="005445E2">
          <w:rPr>
            <w:rStyle w:val="Hyperlink"/>
            <w:rFonts w:ascii="Arial" w:hAnsi="Arial" w:cs="Arial"/>
            <w:sz w:val="20"/>
          </w:rPr>
          <w:t xml:space="preserve"> 1.318.051/RJ</w:t>
        </w:r>
      </w:hyperlink>
      <w:r w:rsidRPr="005445E2">
        <w:rPr>
          <w:rFonts w:ascii="Arial" w:hAnsi="Arial" w:cs="Arial"/>
          <w:sz w:val="20"/>
        </w:rPr>
        <w:t xml:space="preserve">, Rel. </w:t>
      </w:r>
      <w:r w:rsidRPr="00A54810">
        <w:rPr>
          <w:rFonts w:ascii="Arial" w:hAnsi="Arial" w:cs="Arial"/>
          <w:sz w:val="20"/>
        </w:rPr>
        <w:t xml:space="preserve">Ministro </w:t>
      </w:r>
      <w:r w:rsidR="005445E2">
        <w:rPr>
          <w:rFonts w:ascii="Arial" w:hAnsi="Arial" w:cs="Arial"/>
          <w:sz w:val="20"/>
        </w:rPr>
        <w:t>CAMPBELL MARQUES</w:t>
      </w:r>
      <w:r w:rsidRPr="00A54810">
        <w:rPr>
          <w:rFonts w:ascii="Arial" w:hAnsi="Arial" w:cs="Arial"/>
          <w:sz w:val="20"/>
        </w:rPr>
        <w:t xml:space="preserve">, </w:t>
      </w:r>
      <w:r w:rsidR="005445E2">
        <w:rPr>
          <w:rFonts w:ascii="Arial" w:hAnsi="Arial" w:cs="Arial"/>
          <w:sz w:val="20"/>
        </w:rPr>
        <w:t>PRIMEIRA SEÇÃO</w:t>
      </w:r>
      <w:r w:rsidRPr="00A54810">
        <w:rPr>
          <w:rFonts w:ascii="Arial" w:hAnsi="Arial" w:cs="Arial"/>
          <w:sz w:val="20"/>
        </w:rPr>
        <w:t xml:space="preserve">, julgado em </w:t>
      </w:r>
      <w:r w:rsidR="005445E2">
        <w:rPr>
          <w:rFonts w:ascii="Arial" w:hAnsi="Arial" w:cs="Arial"/>
          <w:sz w:val="20"/>
        </w:rPr>
        <w:t>08/05/2019</w:t>
      </w:r>
      <w:r w:rsidRPr="00A54810">
        <w:rPr>
          <w:rFonts w:ascii="Arial" w:hAnsi="Arial" w:cs="Arial"/>
          <w:sz w:val="20"/>
        </w:rPr>
        <w:t xml:space="preserve">, </w:t>
      </w:r>
      <w:proofErr w:type="spellStart"/>
      <w:r w:rsidRPr="00A54810">
        <w:rPr>
          <w:rFonts w:ascii="Arial" w:hAnsi="Arial" w:cs="Arial"/>
          <w:sz w:val="20"/>
        </w:rPr>
        <w:t>DJe</w:t>
      </w:r>
      <w:proofErr w:type="spellEnd"/>
      <w:r w:rsidRPr="00A54810">
        <w:rPr>
          <w:rFonts w:ascii="Arial" w:hAnsi="Arial" w:cs="Arial"/>
          <w:sz w:val="20"/>
        </w:rPr>
        <w:t xml:space="preserve"> </w:t>
      </w:r>
      <w:r w:rsidR="005445E2">
        <w:rPr>
          <w:rFonts w:ascii="Arial" w:hAnsi="Arial" w:cs="Arial"/>
          <w:sz w:val="20"/>
        </w:rPr>
        <w:t>12</w:t>
      </w:r>
      <w:r w:rsidRPr="00A54810">
        <w:rPr>
          <w:rFonts w:ascii="Arial" w:hAnsi="Arial" w:cs="Arial"/>
          <w:sz w:val="20"/>
        </w:rPr>
        <w:t>/0</w:t>
      </w:r>
      <w:r w:rsidR="005445E2">
        <w:rPr>
          <w:rFonts w:ascii="Arial" w:hAnsi="Arial" w:cs="Arial"/>
          <w:sz w:val="20"/>
        </w:rPr>
        <w:t>6</w:t>
      </w:r>
      <w:r w:rsidRPr="00A54810">
        <w:rPr>
          <w:rFonts w:ascii="Arial" w:hAnsi="Arial" w:cs="Arial"/>
          <w:sz w:val="20"/>
        </w:rPr>
        <w:t>/2019)</w:t>
      </w:r>
    </w:p>
    <w:p w14:paraId="625490BD" w14:textId="77777777" w:rsidR="00A54810" w:rsidRPr="004D6EB3" w:rsidRDefault="00A54810" w:rsidP="000477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249EE7" w14:textId="77777777" w:rsidR="00E8762F" w:rsidRPr="0022060B" w:rsidRDefault="00E8762F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22060B">
        <w:rPr>
          <w:rFonts w:ascii="Arial" w:hAnsi="Arial" w:cs="Arial"/>
        </w:rPr>
        <w:t xml:space="preserve">Observações: </w:t>
      </w:r>
    </w:p>
    <w:p w14:paraId="47F0E9E5" w14:textId="77777777" w:rsidR="005C4DB7" w:rsidRPr="0022060B" w:rsidRDefault="00E4415D" w:rsidP="00816942">
      <w:pPr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A0207A" wp14:editId="6F0ACE2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7E9F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73D14F9" w14:textId="7D5A7DF4" w:rsidR="00681535" w:rsidRDefault="00681535" w:rsidP="00816942">
      <w:pPr>
        <w:rPr>
          <w:rFonts w:ascii="Arial" w:hAnsi="Arial" w:cs="Arial"/>
          <w:color w:val="000000"/>
          <w:sz w:val="20"/>
          <w:szCs w:val="20"/>
        </w:rPr>
      </w:pPr>
    </w:p>
    <w:p w14:paraId="2F8ECEFD" w14:textId="32E8C0D1" w:rsidR="00B179FD" w:rsidRPr="00681535" w:rsidRDefault="00681535" w:rsidP="008169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81535">
        <w:rPr>
          <w:rFonts w:ascii="Arial" w:hAnsi="Arial" w:cs="Arial"/>
          <w:b/>
          <w:bCs/>
          <w:color w:val="000000"/>
          <w:sz w:val="20"/>
          <w:szCs w:val="20"/>
        </w:rPr>
        <w:t>Superior Tribunal de Justiça</w:t>
      </w:r>
    </w:p>
    <w:p w14:paraId="6C971D79" w14:textId="2639CFE5" w:rsidR="00681535" w:rsidRDefault="00681535" w:rsidP="00816942">
      <w:pPr>
        <w:rPr>
          <w:rFonts w:ascii="Arial" w:hAnsi="Arial" w:cs="Arial"/>
          <w:color w:val="000000"/>
          <w:sz w:val="20"/>
          <w:szCs w:val="20"/>
        </w:rPr>
      </w:pPr>
    </w:p>
    <w:p w14:paraId="12E93FFD" w14:textId="4A4B58A3" w:rsidR="00681535" w:rsidRDefault="00681535" w:rsidP="008169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Súmula n.º 613</w:t>
      </w:r>
    </w:p>
    <w:p w14:paraId="47942FB2" w14:textId="1AF68846" w:rsidR="00681535" w:rsidRDefault="00681535" w:rsidP="00816942">
      <w:pPr>
        <w:rPr>
          <w:rFonts w:ascii="Arial" w:hAnsi="Arial" w:cs="Arial"/>
          <w:color w:val="000000"/>
          <w:sz w:val="20"/>
          <w:szCs w:val="20"/>
        </w:rPr>
      </w:pPr>
    </w:p>
    <w:p w14:paraId="7ED69947" w14:textId="225190A1" w:rsidR="00681535" w:rsidRDefault="00681535" w:rsidP="0068153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Não se admite a aplicação da teoria do fato consumado em tema de Direito Ambiental. (Súmula 613, PRIMEIRA SEÇÃO, julgado em 09/05/2018,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14/05/2018)</w:t>
      </w:r>
    </w:p>
    <w:p w14:paraId="0A833397" w14:textId="665ECC6B" w:rsidR="00681535" w:rsidRDefault="00681535" w:rsidP="006815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D51749" w14:textId="3D928AE1" w:rsidR="00681535" w:rsidRDefault="00681535" w:rsidP="0068153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Súmula n.º 633</w:t>
      </w:r>
    </w:p>
    <w:p w14:paraId="39E6AD95" w14:textId="619E10C8" w:rsidR="00681535" w:rsidRDefault="00681535" w:rsidP="006815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7F6B8D4" w14:textId="56181789" w:rsidR="00681535" w:rsidRDefault="00681535" w:rsidP="0068153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Lei n.º 9.784/1999, especialmente no que diz respeito ao prazo decadencial para a revisão de atos administrativos no âmbito da Administração Pública federal, pode ser aplicada, de forma subsidiária, aos estados e municípios, se inexistente norma local e específica que regule a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matéria. (Súmula 633, PRIMEIRA SEÇÃO, julgado em 12/06/2019,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18/06/2019,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17/06/2019)</w:t>
      </w:r>
    </w:p>
    <w:p w14:paraId="0888EC26" w14:textId="77777777" w:rsidR="00681535" w:rsidRDefault="00681535" w:rsidP="00816942">
      <w:pPr>
        <w:rPr>
          <w:rFonts w:ascii="Arial" w:hAnsi="Arial" w:cs="Arial"/>
          <w:color w:val="000000"/>
          <w:sz w:val="20"/>
          <w:szCs w:val="20"/>
        </w:rPr>
      </w:pPr>
    </w:p>
    <w:p w14:paraId="14A79721" w14:textId="77777777"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14:paraId="7C5D90F2" w14:textId="77777777" w:rsidR="0002789E" w:rsidRDefault="007437CA" w:rsidP="0002789E">
      <w:pPr>
        <w:pStyle w:val="Default"/>
        <w:spacing w:line="276" w:lineRule="auto"/>
        <w:jc w:val="center"/>
        <w:rPr>
          <w:rStyle w:val="Hyperlink"/>
        </w:rPr>
      </w:pPr>
      <w:hyperlink r:id="rId13" w:history="1">
        <w:r w:rsidR="0002789E">
          <w:rPr>
            <w:rStyle w:val="Hyperlink"/>
            <w:b/>
            <w:sz w:val="20"/>
            <w:szCs w:val="20"/>
          </w:rPr>
          <w:t>Pesquisas Prontas</w:t>
        </w:r>
      </w:hyperlink>
    </w:p>
    <w:p w14:paraId="2C8E8A74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3624566" w14:textId="77777777" w:rsidR="0002789E" w:rsidRDefault="007437C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4" w:history="1">
        <w:r w:rsidR="0002789E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1C0D6247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87FF9F6" w14:textId="77777777" w:rsidR="0002789E" w:rsidRDefault="007437CA" w:rsidP="0002789E">
      <w:pPr>
        <w:pStyle w:val="Default"/>
        <w:spacing w:line="276" w:lineRule="auto"/>
        <w:jc w:val="center"/>
      </w:pPr>
      <w:hyperlink r:id="rId15" w:history="1">
        <w:proofErr w:type="spellStart"/>
        <w:r w:rsidR="0002789E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70A526BC" w14:textId="77777777" w:rsidR="0002789E" w:rsidRDefault="0002789E" w:rsidP="0002789E">
      <w:pPr>
        <w:pStyle w:val="Default"/>
        <w:spacing w:line="276" w:lineRule="auto"/>
        <w:jc w:val="center"/>
      </w:pPr>
    </w:p>
    <w:p w14:paraId="0ACBE85F" w14:textId="77777777" w:rsidR="0002789E" w:rsidRDefault="007437C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02789E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4B9E318B" w14:textId="77777777"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0EDF81B5" w14:textId="77777777" w:rsidR="0002789E" w:rsidRDefault="007437CA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7" w:history="1">
        <w:r w:rsidR="0002789E">
          <w:rPr>
            <w:rStyle w:val="Hyperlink"/>
            <w:b/>
            <w:sz w:val="20"/>
            <w:szCs w:val="20"/>
          </w:rPr>
          <w:t>Súmulas Selecionadas</w:t>
        </w:r>
      </w:hyperlink>
    </w:p>
    <w:p w14:paraId="2F7FB8EC" w14:textId="77777777"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935BE1" wp14:editId="0C3872BA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E60A1A" w14:textId="77777777" w:rsidR="00984E8B" w:rsidRDefault="00984E8B" w:rsidP="00DB558E">
      <w:pPr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011E7585" w14:textId="77777777" w:rsidR="00DB558E" w:rsidRDefault="00DB558E" w:rsidP="00DB55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14:paraId="088F1C47" w14:textId="77777777" w:rsidR="00DB558E" w:rsidRDefault="00DB558E" w:rsidP="00DB558E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753C82AB" w14:textId="77777777" w:rsidR="00E01524" w:rsidRPr="0022060B" w:rsidRDefault="00E01524" w:rsidP="00DB558E">
      <w:pPr>
        <w:pStyle w:val="TCU-Epgrafe"/>
        <w:spacing w:after="200" w:line="276" w:lineRule="auto"/>
        <w:ind w:left="0"/>
        <w:rPr>
          <w:rFonts w:ascii="Arial" w:hAnsi="Arial" w:cs="Arial"/>
          <w:b/>
          <w:sz w:val="20"/>
        </w:rPr>
      </w:pPr>
      <w:bookmarkStart w:id="7" w:name="_GoBack"/>
      <w:bookmarkEnd w:id="7"/>
    </w:p>
    <w:sectPr w:rsidR="00E01524" w:rsidRPr="0022060B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DA824" w14:textId="77777777" w:rsidR="00D03777" w:rsidRDefault="00D03777" w:rsidP="00350CC2">
      <w:r>
        <w:separator/>
      </w:r>
    </w:p>
  </w:endnote>
  <w:endnote w:type="continuationSeparator" w:id="0">
    <w:p w14:paraId="7F1B0532" w14:textId="77777777" w:rsidR="00D03777" w:rsidRDefault="00D03777" w:rsidP="003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AF15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323DBF1D" wp14:editId="05D98FFC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DAB92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F076FF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14:paraId="294BCBF1" w14:textId="77777777" w:rsidR="00375DB6" w:rsidRDefault="00375DB6"/>
  <w:p w14:paraId="5BDBB677" w14:textId="77777777" w:rsidR="00375DB6" w:rsidRDefault="00375DB6"/>
  <w:p w14:paraId="16F3CBE0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3A358" w14:textId="77777777" w:rsidR="00D03777" w:rsidRDefault="00D03777" w:rsidP="00350CC2">
      <w:r>
        <w:separator/>
      </w:r>
    </w:p>
  </w:footnote>
  <w:footnote w:type="continuationSeparator" w:id="0">
    <w:p w14:paraId="126A8602" w14:textId="77777777" w:rsidR="00D03777" w:rsidRDefault="00D03777" w:rsidP="0035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D407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1117CB5D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A3749B5" wp14:editId="6613827D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6FF">
      <w:rPr>
        <w:noProof/>
      </w:rPr>
      <w:drawing>
        <wp:inline distT="0" distB="0" distL="0" distR="0" wp14:anchorId="1581D82B" wp14:editId="314EAC89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74B"/>
    <w:multiLevelType w:val="multilevel"/>
    <w:tmpl w:val="E10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60B5D"/>
    <w:multiLevelType w:val="multilevel"/>
    <w:tmpl w:val="621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7408"/>
    <w:multiLevelType w:val="multilevel"/>
    <w:tmpl w:val="696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1F2C"/>
    <w:multiLevelType w:val="multilevel"/>
    <w:tmpl w:val="2D7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4EA1"/>
    <w:multiLevelType w:val="multilevel"/>
    <w:tmpl w:val="7EE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D384D"/>
    <w:multiLevelType w:val="multilevel"/>
    <w:tmpl w:val="60F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05C"/>
    <w:multiLevelType w:val="multilevel"/>
    <w:tmpl w:val="8C0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523F"/>
    <w:multiLevelType w:val="multilevel"/>
    <w:tmpl w:val="EEC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A12"/>
    <w:multiLevelType w:val="multilevel"/>
    <w:tmpl w:val="801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8BB"/>
    <w:multiLevelType w:val="multilevel"/>
    <w:tmpl w:val="FC8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35A9E"/>
    <w:multiLevelType w:val="multilevel"/>
    <w:tmpl w:val="36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E5F26"/>
    <w:multiLevelType w:val="multilevel"/>
    <w:tmpl w:val="E5E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22"/>
  </w:num>
  <w:num w:numId="5">
    <w:abstractNumId w:val="23"/>
  </w:num>
  <w:num w:numId="6">
    <w:abstractNumId w:val="17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19"/>
  </w:num>
  <w:num w:numId="17">
    <w:abstractNumId w:val="9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2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020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5E26"/>
    <w:rsid w:val="000262AD"/>
    <w:rsid w:val="0002789E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709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5C5"/>
    <w:rsid w:val="000A06BE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5E99"/>
    <w:rsid w:val="00156185"/>
    <w:rsid w:val="00156F74"/>
    <w:rsid w:val="00157806"/>
    <w:rsid w:val="00157D64"/>
    <w:rsid w:val="0016028F"/>
    <w:rsid w:val="00161AA2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90B94"/>
    <w:rsid w:val="001927A5"/>
    <w:rsid w:val="001930D1"/>
    <w:rsid w:val="001942C5"/>
    <w:rsid w:val="00196437"/>
    <w:rsid w:val="001975AB"/>
    <w:rsid w:val="001A16DE"/>
    <w:rsid w:val="001A1F53"/>
    <w:rsid w:val="001A5D2D"/>
    <w:rsid w:val="001A73A2"/>
    <w:rsid w:val="001B096B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38CC"/>
    <w:rsid w:val="001E5F2E"/>
    <w:rsid w:val="001E6CAA"/>
    <w:rsid w:val="001E73FF"/>
    <w:rsid w:val="001E75A7"/>
    <w:rsid w:val="001F0424"/>
    <w:rsid w:val="001F7A25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3A0"/>
    <w:rsid w:val="00232878"/>
    <w:rsid w:val="0023318C"/>
    <w:rsid w:val="00234AE0"/>
    <w:rsid w:val="00235F82"/>
    <w:rsid w:val="00236689"/>
    <w:rsid w:val="00237C21"/>
    <w:rsid w:val="0024200E"/>
    <w:rsid w:val="002426C3"/>
    <w:rsid w:val="00243F9F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A365A"/>
    <w:rsid w:val="002B070A"/>
    <w:rsid w:val="002B0F20"/>
    <w:rsid w:val="002B14B7"/>
    <w:rsid w:val="002B297F"/>
    <w:rsid w:val="002B38A8"/>
    <w:rsid w:val="002B5E9F"/>
    <w:rsid w:val="002B69CC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22B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73BA"/>
    <w:rsid w:val="002F7BA5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13733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270E"/>
    <w:rsid w:val="00333875"/>
    <w:rsid w:val="0033604C"/>
    <w:rsid w:val="003407F0"/>
    <w:rsid w:val="00342B5C"/>
    <w:rsid w:val="00343C28"/>
    <w:rsid w:val="00344A3D"/>
    <w:rsid w:val="00344A41"/>
    <w:rsid w:val="0034575E"/>
    <w:rsid w:val="00345C65"/>
    <w:rsid w:val="0035048F"/>
    <w:rsid w:val="00350CC2"/>
    <w:rsid w:val="00351206"/>
    <w:rsid w:val="0035203F"/>
    <w:rsid w:val="003528A1"/>
    <w:rsid w:val="00352A72"/>
    <w:rsid w:val="0035371B"/>
    <w:rsid w:val="00353FEB"/>
    <w:rsid w:val="0035491E"/>
    <w:rsid w:val="00356987"/>
    <w:rsid w:val="00356FB0"/>
    <w:rsid w:val="00360429"/>
    <w:rsid w:val="00361DA5"/>
    <w:rsid w:val="00361F1D"/>
    <w:rsid w:val="00362451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54BD"/>
    <w:rsid w:val="0038751C"/>
    <w:rsid w:val="0038778B"/>
    <w:rsid w:val="00393AE3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48A6"/>
    <w:rsid w:val="003D650C"/>
    <w:rsid w:val="003D6713"/>
    <w:rsid w:val="003D6E90"/>
    <w:rsid w:val="003D704E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37A"/>
    <w:rsid w:val="00416A72"/>
    <w:rsid w:val="00420AE1"/>
    <w:rsid w:val="00424D0F"/>
    <w:rsid w:val="0042728A"/>
    <w:rsid w:val="004276DC"/>
    <w:rsid w:val="0042779B"/>
    <w:rsid w:val="00427BD4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1CA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8AD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199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C0B99"/>
    <w:rsid w:val="004C11DE"/>
    <w:rsid w:val="004C13DB"/>
    <w:rsid w:val="004C2577"/>
    <w:rsid w:val="004D00EF"/>
    <w:rsid w:val="004D14AD"/>
    <w:rsid w:val="004D376C"/>
    <w:rsid w:val="004D3864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5E2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36"/>
    <w:rsid w:val="0059537A"/>
    <w:rsid w:val="005957D1"/>
    <w:rsid w:val="00597215"/>
    <w:rsid w:val="005A0FD0"/>
    <w:rsid w:val="005A143D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DB7"/>
    <w:rsid w:val="005C5DC8"/>
    <w:rsid w:val="005C661E"/>
    <w:rsid w:val="005C7258"/>
    <w:rsid w:val="005D1E9E"/>
    <w:rsid w:val="005D48C8"/>
    <w:rsid w:val="005D58CE"/>
    <w:rsid w:val="005D6DB4"/>
    <w:rsid w:val="005D7445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4D43"/>
    <w:rsid w:val="00606B1E"/>
    <w:rsid w:val="006105E3"/>
    <w:rsid w:val="006115E2"/>
    <w:rsid w:val="00613D08"/>
    <w:rsid w:val="0061491F"/>
    <w:rsid w:val="00615FC7"/>
    <w:rsid w:val="00620DEF"/>
    <w:rsid w:val="0062204C"/>
    <w:rsid w:val="00622EE0"/>
    <w:rsid w:val="00623188"/>
    <w:rsid w:val="00626DD6"/>
    <w:rsid w:val="0062719D"/>
    <w:rsid w:val="00627FDF"/>
    <w:rsid w:val="00630296"/>
    <w:rsid w:val="006331E3"/>
    <w:rsid w:val="00633776"/>
    <w:rsid w:val="00633C62"/>
    <w:rsid w:val="006359FD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2C29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535"/>
    <w:rsid w:val="00681787"/>
    <w:rsid w:val="00681EC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4C7"/>
    <w:rsid w:val="006D158F"/>
    <w:rsid w:val="006D1B83"/>
    <w:rsid w:val="006D1BE7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40240"/>
    <w:rsid w:val="0074037C"/>
    <w:rsid w:val="00742895"/>
    <w:rsid w:val="00742B72"/>
    <w:rsid w:val="00742BC9"/>
    <w:rsid w:val="00743251"/>
    <w:rsid w:val="007436B5"/>
    <w:rsid w:val="007437CA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2162"/>
    <w:rsid w:val="007D2855"/>
    <w:rsid w:val="007D5A53"/>
    <w:rsid w:val="007D5D8E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D7C"/>
    <w:rsid w:val="0080743C"/>
    <w:rsid w:val="00807854"/>
    <w:rsid w:val="00811012"/>
    <w:rsid w:val="00811A90"/>
    <w:rsid w:val="00813846"/>
    <w:rsid w:val="00814325"/>
    <w:rsid w:val="00815C4F"/>
    <w:rsid w:val="008161C2"/>
    <w:rsid w:val="00816767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05F"/>
    <w:rsid w:val="008561BF"/>
    <w:rsid w:val="00861DB4"/>
    <w:rsid w:val="00861E25"/>
    <w:rsid w:val="008633B6"/>
    <w:rsid w:val="0086402F"/>
    <w:rsid w:val="00866481"/>
    <w:rsid w:val="0087076A"/>
    <w:rsid w:val="00870853"/>
    <w:rsid w:val="008726DE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058"/>
    <w:rsid w:val="008A1517"/>
    <w:rsid w:val="008A2307"/>
    <w:rsid w:val="008A2B8F"/>
    <w:rsid w:val="008A2BB7"/>
    <w:rsid w:val="008A4000"/>
    <w:rsid w:val="008A4A65"/>
    <w:rsid w:val="008A6621"/>
    <w:rsid w:val="008A70A5"/>
    <w:rsid w:val="008B0E08"/>
    <w:rsid w:val="008B201B"/>
    <w:rsid w:val="008B222E"/>
    <w:rsid w:val="008B2D64"/>
    <w:rsid w:val="008B368E"/>
    <w:rsid w:val="008B38A4"/>
    <w:rsid w:val="008B38EE"/>
    <w:rsid w:val="008B3E8F"/>
    <w:rsid w:val="008B4F2F"/>
    <w:rsid w:val="008B55B4"/>
    <w:rsid w:val="008B6A00"/>
    <w:rsid w:val="008B750A"/>
    <w:rsid w:val="008B7AA1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36D8"/>
    <w:rsid w:val="008E5642"/>
    <w:rsid w:val="008E5CC2"/>
    <w:rsid w:val="008F2E20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49FD"/>
    <w:rsid w:val="00920480"/>
    <w:rsid w:val="00920D01"/>
    <w:rsid w:val="00923B20"/>
    <w:rsid w:val="009263D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577A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674C6"/>
    <w:rsid w:val="00967EE5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5BE"/>
    <w:rsid w:val="009C29C5"/>
    <w:rsid w:val="009C5C75"/>
    <w:rsid w:val="009D1C23"/>
    <w:rsid w:val="009D2A29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514D"/>
    <w:rsid w:val="00A35318"/>
    <w:rsid w:val="00A40F98"/>
    <w:rsid w:val="00A41EF2"/>
    <w:rsid w:val="00A4241A"/>
    <w:rsid w:val="00A42619"/>
    <w:rsid w:val="00A4267D"/>
    <w:rsid w:val="00A427B2"/>
    <w:rsid w:val="00A43DEB"/>
    <w:rsid w:val="00A44DDA"/>
    <w:rsid w:val="00A476D7"/>
    <w:rsid w:val="00A47D62"/>
    <w:rsid w:val="00A53CDD"/>
    <w:rsid w:val="00A53EE6"/>
    <w:rsid w:val="00A54810"/>
    <w:rsid w:val="00A5538A"/>
    <w:rsid w:val="00A564AE"/>
    <w:rsid w:val="00A5710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4ED2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7830"/>
    <w:rsid w:val="00AD0466"/>
    <w:rsid w:val="00AD155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6BD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9FD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356"/>
    <w:rsid w:val="00B34863"/>
    <w:rsid w:val="00B37580"/>
    <w:rsid w:val="00B4137A"/>
    <w:rsid w:val="00B43DA3"/>
    <w:rsid w:val="00B47C4C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496C"/>
    <w:rsid w:val="00B65962"/>
    <w:rsid w:val="00B66B6C"/>
    <w:rsid w:val="00B7033E"/>
    <w:rsid w:val="00B7071A"/>
    <w:rsid w:val="00B71858"/>
    <w:rsid w:val="00B71A39"/>
    <w:rsid w:val="00B721DC"/>
    <w:rsid w:val="00B74715"/>
    <w:rsid w:val="00B7669D"/>
    <w:rsid w:val="00B766D9"/>
    <w:rsid w:val="00B80A28"/>
    <w:rsid w:val="00B82D73"/>
    <w:rsid w:val="00B84A2C"/>
    <w:rsid w:val="00B871D6"/>
    <w:rsid w:val="00B87A02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24966"/>
    <w:rsid w:val="00C30A7D"/>
    <w:rsid w:val="00C31169"/>
    <w:rsid w:val="00C3169F"/>
    <w:rsid w:val="00C318F6"/>
    <w:rsid w:val="00C37522"/>
    <w:rsid w:val="00C42EFD"/>
    <w:rsid w:val="00C4357B"/>
    <w:rsid w:val="00C43D8B"/>
    <w:rsid w:val="00C44042"/>
    <w:rsid w:val="00C46AF0"/>
    <w:rsid w:val="00C525F2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5F4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9733F"/>
    <w:rsid w:val="00CA184E"/>
    <w:rsid w:val="00CA23C4"/>
    <w:rsid w:val="00CA575F"/>
    <w:rsid w:val="00CA5AEC"/>
    <w:rsid w:val="00CA6114"/>
    <w:rsid w:val="00CA704A"/>
    <w:rsid w:val="00CA7D59"/>
    <w:rsid w:val="00CB0797"/>
    <w:rsid w:val="00CB21FF"/>
    <w:rsid w:val="00CB5CAE"/>
    <w:rsid w:val="00CB644C"/>
    <w:rsid w:val="00CB78ED"/>
    <w:rsid w:val="00CC0004"/>
    <w:rsid w:val="00CC4E55"/>
    <w:rsid w:val="00CC4E94"/>
    <w:rsid w:val="00CC550E"/>
    <w:rsid w:val="00CC5AC6"/>
    <w:rsid w:val="00CD0DCE"/>
    <w:rsid w:val="00CD1628"/>
    <w:rsid w:val="00CD1D27"/>
    <w:rsid w:val="00CD27B7"/>
    <w:rsid w:val="00CD37A1"/>
    <w:rsid w:val="00CD3807"/>
    <w:rsid w:val="00CD3AE7"/>
    <w:rsid w:val="00CD3C10"/>
    <w:rsid w:val="00CD5194"/>
    <w:rsid w:val="00CD5981"/>
    <w:rsid w:val="00CD5D25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777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0524"/>
    <w:rsid w:val="00D211AE"/>
    <w:rsid w:val="00D21662"/>
    <w:rsid w:val="00D22EE1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46F57"/>
    <w:rsid w:val="00D50324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661"/>
    <w:rsid w:val="00D70A39"/>
    <w:rsid w:val="00D71A7E"/>
    <w:rsid w:val="00D7643D"/>
    <w:rsid w:val="00D76DE0"/>
    <w:rsid w:val="00D80DF0"/>
    <w:rsid w:val="00D83ED5"/>
    <w:rsid w:val="00D86043"/>
    <w:rsid w:val="00D870D4"/>
    <w:rsid w:val="00D9046A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21B"/>
    <w:rsid w:val="00DB74AF"/>
    <w:rsid w:val="00DC1AB8"/>
    <w:rsid w:val="00DC5C19"/>
    <w:rsid w:val="00DC7068"/>
    <w:rsid w:val="00DD0411"/>
    <w:rsid w:val="00DD265A"/>
    <w:rsid w:val="00DD6B9B"/>
    <w:rsid w:val="00DD6CE2"/>
    <w:rsid w:val="00DE07A1"/>
    <w:rsid w:val="00DE21A2"/>
    <w:rsid w:val="00DE2776"/>
    <w:rsid w:val="00DE3B11"/>
    <w:rsid w:val="00DE4B94"/>
    <w:rsid w:val="00DE6E4E"/>
    <w:rsid w:val="00DE7183"/>
    <w:rsid w:val="00DF1DAC"/>
    <w:rsid w:val="00DF2165"/>
    <w:rsid w:val="00DF5A24"/>
    <w:rsid w:val="00DF60E6"/>
    <w:rsid w:val="00DF6105"/>
    <w:rsid w:val="00DF659E"/>
    <w:rsid w:val="00DF6F7F"/>
    <w:rsid w:val="00E01524"/>
    <w:rsid w:val="00E07C16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5435"/>
    <w:rsid w:val="00E37194"/>
    <w:rsid w:val="00E3788B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542"/>
    <w:rsid w:val="00E56A7A"/>
    <w:rsid w:val="00E60419"/>
    <w:rsid w:val="00E60E01"/>
    <w:rsid w:val="00E617D3"/>
    <w:rsid w:val="00E61E36"/>
    <w:rsid w:val="00E633C1"/>
    <w:rsid w:val="00E65C68"/>
    <w:rsid w:val="00E667B0"/>
    <w:rsid w:val="00E67390"/>
    <w:rsid w:val="00E71365"/>
    <w:rsid w:val="00E74904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4D1A"/>
    <w:rsid w:val="00E9531E"/>
    <w:rsid w:val="00E95A8E"/>
    <w:rsid w:val="00E95E41"/>
    <w:rsid w:val="00E95E4C"/>
    <w:rsid w:val="00E977CE"/>
    <w:rsid w:val="00E97E05"/>
    <w:rsid w:val="00EA1370"/>
    <w:rsid w:val="00EA198C"/>
    <w:rsid w:val="00EA34E2"/>
    <w:rsid w:val="00EA52D1"/>
    <w:rsid w:val="00EA703E"/>
    <w:rsid w:val="00EA791F"/>
    <w:rsid w:val="00EB671F"/>
    <w:rsid w:val="00EB6D0B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6FF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5FE6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5D6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C7478"/>
    <w:rsid w:val="00FD118C"/>
    <w:rsid w:val="00FD2A7C"/>
    <w:rsid w:val="00FD332F"/>
    <w:rsid w:val="00FD7395"/>
    <w:rsid w:val="00FE1CC1"/>
    <w:rsid w:val="00FE385E"/>
    <w:rsid w:val="00FE3CE2"/>
    <w:rsid w:val="00FE542E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4ED1F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ind w:left="100" w:right="3120"/>
      <w:outlineLvl w:val="0"/>
    </w:pPr>
    <w:rPr>
      <w:rFonts w:ascii="Calibri" w:eastAsia="Calibri" w:hAnsi="Calibri" w:cs="Calibri"/>
      <w:b/>
      <w:bCs/>
      <w:sz w:val="40"/>
      <w:szCs w:val="40"/>
      <w:lang w:val="en-US" w:eastAsia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/>
      <w:ind w:left="1824" w:right="322"/>
      <w:outlineLvl w:val="1"/>
    </w:pPr>
    <w:rPr>
      <w:rFonts w:ascii="Calibri" w:eastAsia="Calibri" w:hAnsi="Calibri" w:cs="Calibri"/>
      <w:b/>
      <w:bCs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85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48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/>
      <w:ind w:left="100"/>
    </w:pPr>
    <w:rPr>
      <w:rFonts w:ascii="Arial Narrow" w:eastAsia="Arial Narrow" w:hAnsi="Arial Narrow" w:cs="Arial Narrow"/>
      <w:sz w:val="18"/>
      <w:szCs w:val="18"/>
      <w:lang w:val="en-US"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</w:pPr>
    <w:rPr>
      <w:rFonts w:ascii="Arial Narrow" w:eastAsia="Arial Narrow" w:hAnsi="Arial Narrow" w:cs="Arial Narrow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ind w:left="2835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after="200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D2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270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A35D6"/>
  </w:style>
  <w:style w:type="character" w:customStyle="1" w:styleId="Ttulo4Char">
    <w:name w:val="Título 4 Char"/>
    <w:basedOn w:val="Fontepargpadro"/>
    <w:link w:val="Ttulo4"/>
    <w:uiPriority w:val="9"/>
    <w:semiHidden/>
    <w:rsid w:val="003504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ostratitulonota">
    <w:name w:val="mostratitulonota"/>
    <w:basedOn w:val="Normal"/>
    <w:rsid w:val="0035048F"/>
    <w:pPr>
      <w:spacing w:before="100" w:beforeAutospacing="1" w:after="100" w:afterAutospacing="1"/>
    </w:pPr>
  </w:style>
  <w:style w:type="character" w:customStyle="1" w:styleId="lista-resultadotitulo">
    <w:name w:val="lista-resultado__titulo"/>
    <w:basedOn w:val="Fontepargpadro"/>
    <w:rsid w:val="0086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7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3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5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2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479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6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0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9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27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56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2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540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0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23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4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4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79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20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7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2576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4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1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19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16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11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3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38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95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92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50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75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65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6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9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17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3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03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06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53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1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5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49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21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317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8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8/7/pdf/00329709.pdf" TargetMode="External"/><Relationship Id="rId13" Type="http://schemas.openxmlformats.org/officeDocument/2006/relationships/hyperlink" Target="http://www1.tce.pr.gov.br/conteudo/pesquisas-prontas/308475/area/24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2.stj.jus.br/processo/revista/documento/mediado/?componente=ITA&amp;sequencial=1760126&amp;num_registro=201200701523&amp;data=20190612&amp;formato=PDF" TargetMode="External"/><Relationship Id="rId17" Type="http://schemas.openxmlformats.org/officeDocument/2006/relationships/hyperlink" Target="http://www1.tce.pr.gov.br/conteudo/sumulas-selecionadas/316602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percussao-geral-no-stf-e-os-tribunais-de-contas/307026/area/2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dir.stf.jus.br/paginadorpub/paginador.jsp?docTP=TP&amp;docID=7490284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boletim-de-jurisprudencia-internacional/316601/area/249" TargetMode="External"/><Relationship Id="rId10" Type="http://schemas.openxmlformats.org/officeDocument/2006/relationships/hyperlink" Target="https://www2.tce.sp.gov.br/arqs_juri/pdf/713981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tas.tcu.gov.br/sagas/SvlVisualizarRelVotoAcRtf?codFiltro=SAGAS-SESSAO-ENCERRADA&amp;seOcultaPagina=S&amp;item0=509302" TargetMode="External"/><Relationship Id="rId14" Type="http://schemas.openxmlformats.org/officeDocument/2006/relationships/hyperlink" Target="http://www1.tce.pr.gov.br/conteudo/boletim-informativo-de-jurisprudencia/280400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6F8B-AB96-41A9-9626-31B5BBE7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2670</Words>
  <Characters>14424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Andre Isidio Martins</cp:lastModifiedBy>
  <cp:revision>2</cp:revision>
  <cp:lastPrinted>2019-04-01T19:45:00Z</cp:lastPrinted>
  <dcterms:created xsi:type="dcterms:W3CDTF">2019-09-11T14:28:00Z</dcterms:created>
  <dcterms:modified xsi:type="dcterms:W3CDTF">2019-09-11T14:28:00Z</dcterms:modified>
</cp:coreProperties>
</file>