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816942">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330754" w:rsidRDefault="00330754" w:rsidP="00816942">
      <w:pPr>
        <w:spacing w:after="0"/>
        <w:jc w:val="center"/>
        <w:rPr>
          <w:rFonts w:ascii="Arial" w:hAnsi="Arial" w:cs="Arial"/>
          <w:b/>
          <w:sz w:val="20"/>
          <w:szCs w:val="20"/>
        </w:rPr>
      </w:pPr>
    </w:p>
    <w:p w:rsidR="001B5F7A" w:rsidRDefault="001B5F7A" w:rsidP="00816942">
      <w:pPr>
        <w:spacing w:after="0"/>
        <w:jc w:val="center"/>
        <w:rPr>
          <w:rFonts w:ascii="Arial" w:hAnsi="Arial" w:cs="Arial"/>
          <w:b/>
          <w:sz w:val="20"/>
          <w:szCs w:val="20"/>
        </w:rPr>
      </w:pPr>
      <w:r w:rsidRPr="0022060B">
        <w:rPr>
          <w:rFonts w:ascii="Arial" w:hAnsi="Arial" w:cs="Arial"/>
          <w:b/>
          <w:sz w:val="20"/>
          <w:szCs w:val="20"/>
        </w:rPr>
        <w:t xml:space="preserve">Número </w:t>
      </w:r>
      <w:r w:rsidR="00FF0846" w:rsidRPr="0022060B">
        <w:rPr>
          <w:rFonts w:ascii="Arial" w:hAnsi="Arial" w:cs="Arial"/>
          <w:b/>
          <w:sz w:val="20"/>
          <w:szCs w:val="20"/>
        </w:rPr>
        <w:t>1</w:t>
      </w:r>
      <w:r w:rsidR="006F08D4">
        <w:rPr>
          <w:rFonts w:ascii="Arial" w:hAnsi="Arial" w:cs="Arial"/>
          <w:b/>
          <w:sz w:val="20"/>
          <w:szCs w:val="20"/>
        </w:rPr>
        <w:t>6</w:t>
      </w:r>
    </w:p>
    <w:p w:rsidR="006F08D4" w:rsidRPr="0022060B" w:rsidRDefault="006F08D4" w:rsidP="00816942">
      <w:pPr>
        <w:spacing w:after="0"/>
        <w:jc w:val="center"/>
        <w:rPr>
          <w:rFonts w:ascii="Arial" w:hAnsi="Arial" w:cs="Arial"/>
          <w:b/>
          <w:sz w:val="20"/>
          <w:szCs w:val="20"/>
        </w:rPr>
      </w:pPr>
    </w:p>
    <w:p w:rsidR="001B5F7A" w:rsidRPr="0022060B" w:rsidRDefault="001B5F7A" w:rsidP="00816942">
      <w:pPr>
        <w:spacing w:after="0"/>
        <w:jc w:val="center"/>
        <w:rPr>
          <w:rFonts w:ascii="Arial" w:hAnsi="Arial" w:cs="Arial"/>
          <w:b/>
          <w:sz w:val="20"/>
          <w:szCs w:val="20"/>
        </w:rPr>
      </w:pPr>
      <w:r w:rsidRPr="0022060B">
        <w:rPr>
          <w:rFonts w:ascii="Arial" w:hAnsi="Arial" w:cs="Arial"/>
          <w:b/>
          <w:sz w:val="20"/>
          <w:szCs w:val="20"/>
        </w:rPr>
        <w:t xml:space="preserve">Sessões: </w:t>
      </w:r>
      <w:r w:rsidR="006F08D4">
        <w:rPr>
          <w:rFonts w:ascii="Arial" w:hAnsi="Arial" w:cs="Arial"/>
          <w:b/>
          <w:sz w:val="20"/>
          <w:szCs w:val="20"/>
        </w:rPr>
        <w:t>23</w:t>
      </w:r>
      <w:r w:rsidR="00615FC7" w:rsidRPr="0022060B">
        <w:rPr>
          <w:rFonts w:ascii="Arial" w:hAnsi="Arial" w:cs="Arial"/>
          <w:b/>
          <w:sz w:val="20"/>
          <w:szCs w:val="20"/>
        </w:rPr>
        <w:t>.0</w:t>
      </w:r>
      <w:r w:rsidR="006E76B0" w:rsidRPr="0022060B">
        <w:rPr>
          <w:rFonts w:ascii="Arial" w:hAnsi="Arial" w:cs="Arial"/>
          <w:b/>
          <w:sz w:val="20"/>
          <w:szCs w:val="20"/>
        </w:rPr>
        <w:t>5</w:t>
      </w:r>
      <w:r w:rsidR="005A0FD0" w:rsidRPr="0022060B">
        <w:rPr>
          <w:rFonts w:ascii="Arial" w:hAnsi="Arial" w:cs="Arial"/>
          <w:b/>
          <w:sz w:val="20"/>
          <w:szCs w:val="20"/>
        </w:rPr>
        <w:t xml:space="preserve"> </w:t>
      </w:r>
      <w:r w:rsidR="000D4DE6" w:rsidRPr="0022060B">
        <w:rPr>
          <w:rFonts w:ascii="Arial" w:hAnsi="Arial" w:cs="Arial"/>
          <w:b/>
          <w:sz w:val="20"/>
          <w:szCs w:val="20"/>
        </w:rPr>
        <w:t>a</w:t>
      </w:r>
      <w:r w:rsidRPr="0022060B">
        <w:rPr>
          <w:rFonts w:ascii="Arial" w:hAnsi="Arial" w:cs="Arial"/>
          <w:b/>
          <w:sz w:val="20"/>
          <w:szCs w:val="20"/>
        </w:rPr>
        <w:t xml:space="preserve"> </w:t>
      </w:r>
      <w:r w:rsidR="006F08D4">
        <w:rPr>
          <w:rFonts w:ascii="Arial" w:hAnsi="Arial" w:cs="Arial"/>
          <w:b/>
          <w:sz w:val="20"/>
          <w:szCs w:val="20"/>
        </w:rPr>
        <w:t>01</w:t>
      </w:r>
      <w:r w:rsidR="005A0FD0" w:rsidRPr="0022060B">
        <w:rPr>
          <w:rFonts w:ascii="Arial" w:hAnsi="Arial" w:cs="Arial"/>
          <w:b/>
          <w:sz w:val="20"/>
          <w:szCs w:val="20"/>
        </w:rPr>
        <w:t>.0</w:t>
      </w:r>
      <w:r w:rsidR="006F08D4">
        <w:rPr>
          <w:rFonts w:ascii="Arial" w:hAnsi="Arial" w:cs="Arial"/>
          <w:b/>
          <w:sz w:val="20"/>
          <w:szCs w:val="20"/>
        </w:rPr>
        <w:t>6</w:t>
      </w:r>
      <w:r w:rsidRPr="0022060B">
        <w:rPr>
          <w:rFonts w:ascii="Arial" w:hAnsi="Arial" w:cs="Arial"/>
          <w:b/>
          <w:sz w:val="20"/>
          <w:szCs w:val="20"/>
        </w:rPr>
        <w:t xml:space="preserve"> de 201</w:t>
      </w:r>
      <w:r w:rsidR="005A0FD0" w:rsidRPr="0022060B">
        <w:rPr>
          <w:rFonts w:ascii="Arial" w:hAnsi="Arial" w:cs="Arial"/>
          <w:b/>
          <w:sz w:val="20"/>
          <w:szCs w:val="20"/>
        </w:rPr>
        <w:t>7</w:t>
      </w:r>
    </w:p>
    <w:p w:rsidR="007436B5" w:rsidRDefault="007436B5"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 xml:space="preserve">As informações aqui apresentadas não são </w:t>
      </w:r>
      <w:proofErr w:type="gramStart"/>
      <w:r w:rsidRPr="0022060B">
        <w:rPr>
          <w:rFonts w:ascii="Arial" w:hAnsi="Arial" w:cs="Arial"/>
          <w:sz w:val="20"/>
          <w:szCs w:val="20"/>
        </w:rPr>
        <w:t>repositórios</w:t>
      </w:r>
      <w:proofErr w:type="gramEnd"/>
      <w:r w:rsidRPr="0022060B">
        <w:rPr>
          <w:rFonts w:ascii="Arial" w:hAnsi="Arial" w:cs="Arial"/>
          <w:sz w:val="20"/>
          <w:szCs w:val="20"/>
        </w:rPr>
        <w:t xml:space="preserve"> oficiais de jurisprudência.</w:t>
      </w:r>
    </w:p>
    <w:p w:rsidR="00FE7B14" w:rsidRPr="0022060B" w:rsidRDefault="00FE7B14"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491F60" w:rsidRDefault="00491F60" w:rsidP="00816942">
      <w:pPr>
        <w:spacing w:after="0"/>
        <w:jc w:val="both"/>
        <w:rPr>
          <w:rStyle w:val="Hyperlink"/>
          <w:rFonts w:ascii="Arial" w:hAnsi="Arial" w:cs="Arial"/>
          <w:b/>
          <w:color w:val="000000" w:themeColor="text1"/>
          <w:sz w:val="20"/>
          <w:szCs w:val="20"/>
          <w:u w:val="none"/>
        </w:rPr>
      </w:pPr>
    </w:p>
    <w:p w:rsidR="00693A94" w:rsidRDefault="00693A94" w:rsidP="00187BB8">
      <w:pPr>
        <w:autoSpaceDE w:val="0"/>
        <w:autoSpaceDN w:val="0"/>
        <w:adjustRightInd w:val="0"/>
        <w:spacing w:after="0"/>
        <w:jc w:val="both"/>
        <w:rPr>
          <w:rFonts w:ascii="Arial" w:hAnsi="Arial" w:cs="Arial"/>
          <w:sz w:val="20"/>
          <w:szCs w:val="20"/>
        </w:rPr>
      </w:pPr>
      <w:r>
        <w:rPr>
          <w:rFonts w:ascii="Arial" w:hAnsi="Arial" w:cs="Arial"/>
          <w:sz w:val="20"/>
          <w:szCs w:val="20"/>
        </w:rPr>
        <w:t xml:space="preserve">1. </w:t>
      </w:r>
      <w:r w:rsidRPr="00693A94">
        <w:rPr>
          <w:rFonts w:ascii="Arial" w:hAnsi="Arial" w:cs="Arial"/>
          <w:sz w:val="20"/>
          <w:szCs w:val="20"/>
        </w:rPr>
        <w:t>Tomada de contas extraordinária. Atraso no pagamento dos aportes devidos ao Instituto Nacional de Seguridade Social. Pagamento de multas e juros sem justificativa. Procedência.</w:t>
      </w:r>
    </w:p>
    <w:p w:rsidR="00693A94" w:rsidRDefault="00693A94" w:rsidP="00187BB8">
      <w:pPr>
        <w:autoSpaceDE w:val="0"/>
        <w:autoSpaceDN w:val="0"/>
        <w:adjustRightInd w:val="0"/>
        <w:spacing w:after="0"/>
        <w:jc w:val="both"/>
        <w:rPr>
          <w:rFonts w:ascii="Arial" w:hAnsi="Arial" w:cs="Arial"/>
          <w:sz w:val="20"/>
          <w:szCs w:val="20"/>
        </w:rPr>
      </w:pPr>
    </w:p>
    <w:p w:rsidR="00693A94" w:rsidRDefault="00693A94" w:rsidP="00187BB8">
      <w:pPr>
        <w:autoSpaceDE w:val="0"/>
        <w:autoSpaceDN w:val="0"/>
        <w:adjustRightInd w:val="0"/>
        <w:spacing w:after="0"/>
        <w:jc w:val="both"/>
        <w:rPr>
          <w:rFonts w:ascii="Arial" w:hAnsi="Arial" w:cs="Arial"/>
          <w:sz w:val="20"/>
          <w:szCs w:val="20"/>
        </w:rPr>
      </w:pPr>
      <w:r>
        <w:rPr>
          <w:rFonts w:ascii="Arial" w:hAnsi="Arial" w:cs="Arial"/>
          <w:sz w:val="20"/>
          <w:szCs w:val="20"/>
        </w:rPr>
        <w:t xml:space="preserve">2. </w:t>
      </w:r>
      <w:r w:rsidRPr="00693A94">
        <w:rPr>
          <w:rFonts w:ascii="Arial" w:hAnsi="Arial" w:cs="Arial"/>
          <w:sz w:val="20"/>
          <w:szCs w:val="20"/>
        </w:rPr>
        <w:t>Prestação de Contas de Transferência Voluntária. Prestação dos serviços médicos concomitantemente com o exercício da vereança. Vedação extensível aos vereadores, nos termos do art. 29, IX, da CF/88. Irregularidade das Contas, aplicação de multa e devolução de valores.</w:t>
      </w:r>
    </w:p>
    <w:p w:rsidR="00693A94" w:rsidRPr="00693A94" w:rsidRDefault="00693A94" w:rsidP="00187BB8">
      <w:pPr>
        <w:autoSpaceDE w:val="0"/>
        <w:autoSpaceDN w:val="0"/>
        <w:adjustRightInd w:val="0"/>
        <w:spacing w:after="0"/>
        <w:jc w:val="both"/>
        <w:rPr>
          <w:rFonts w:ascii="Arial" w:hAnsi="Arial" w:cs="Arial"/>
          <w:sz w:val="20"/>
          <w:szCs w:val="20"/>
        </w:rPr>
      </w:pPr>
    </w:p>
    <w:p w:rsidR="00693A94" w:rsidRDefault="00693A94" w:rsidP="00187BB8">
      <w:pPr>
        <w:autoSpaceDE w:val="0"/>
        <w:autoSpaceDN w:val="0"/>
        <w:adjustRightInd w:val="0"/>
        <w:spacing w:after="0"/>
        <w:jc w:val="both"/>
        <w:rPr>
          <w:rFonts w:ascii="Arial" w:hAnsi="Arial" w:cs="Arial"/>
          <w:sz w:val="20"/>
          <w:szCs w:val="20"/>
        </w:rPr>
      </w:pPr>
      <w:r>
        <w:rPr>
          <w:rFonts w:ascii="Arial" w:hAnsi="Arial" w:cs="Arial"/>
          <w:sz w:val="20"/>
          <w:szCs w:val="20"/>
        </w:rPr>
        <w:t xml:space="preserve">3. </w:t>
      </w:r>
      <w:r w:rsidRPr="00693A94">
        <w:rPr>
          <w:rFonts w:ascii="Arial" w:hAnsi="Arial" w:cs="Arial"/>
          <w:sz w:val="20"/>
          <w:szCs w:val="20"/>
        </w:rPr>
        <w:t>Tomada de Contas Extraordinária. Controle de medicamentos precário. Recebimento de medicamentos pelo Secretário de Saúde. Atuação do Controle interno deficiente. Regular com ressalvas.</w:t>
      </w:r>
    </w:p>
    <w:p w:rsidR="00BB349D" w:rsidRDefault="00BB349D" w:rsidP="00187BB8">
      <w:pPr>
        <w:autoSpaceDE w:val="0"/>
        <w:autoSpaceDN w:val="0"/>
        <w:adjustRightInd w:val="0"/>
        <w:spacing w:after="0"/>
        <w:jc w:val="both"/>
        <w:rPr>
          <w:rFonts w:ascii="Arial" w:hAnsi="Arial" w:cs="Arial"/>
          <w:sz w:val="20"/>
          <w:szCs w:val="20"/>
        </w:rPr>
      </w:pPr>
    </w:p>
    <w:p w:rsidR="00693A94" w:rsidRDefault="00693A94" w:rsidP="00187BB8">
      <w:pPr>
        <w:autoSpaceDE w:val="0"/>
        <w:autoSpaceDN w:val="0"/>
        <w:adjustRightInd w:val="0"/>
        <w:spacing w:after="0"/>
        <w:jc w:val="both"/>
        <w:rPr>
          <w:rFonts w:ascii="Arial" w:hAnsi="Arial" w:cs="Arial"/>
          <w:sz w:val="20"/>
          <w:szCs w:val="20"/>
        </w:rPr>
      </w:pPr>
      <w:r>
        <w:rPr>
          <w:rFonts w:ascii="Arial" w:hAnsi="Arial" w:cs="Arial"/>
          <w:sz w:val="20"/>
          <w:szCs w:val="20"/>
        </w:rPr>
        <w:t xml:space="preserve">4. </w:t>
      </w:r>
      <w:r w:rsidRPr="00693A94">
        <w:rPr>
          <w:rFonts w:ascii="Arial" w:hAnsi="Arial" w:cs="Arial"/>
          <w:sz w:val="20"/>
          <w:szCs w:val="20"/>
        </w:rPr>
        <w:t>Tomada de Contas Extraordinária. Comunicação de Irregularidade que detectou, em análise por amostragem de medicamentos, valores pagos a maior pelo Município de Pato Bragado quando em comparação à tabela da ANVISA.  Adoção de entendimento do Tribunal de Contas da União, que em auditoria verificou falhas na formação de preços na tabela da CMED. Pela regularidade da TCE com recomendação.</w:t>
      </w:r>
    </w:p>
    <w:p w:rsidR="00BB349D" w:rsidRDefault="00BB349D" w:rsidP="00187BB8">
      <w:pPr>
        <w:spacing w:after="0"/>
        <w:jc w:val="both"/>
        <w:rPr>
          <w:rFonts w:ascii="Arial" w:hAnsi="Arial" w:cs="Arial"/>
          <w:sz w:val="20"/>
          <w:szCs w:val="20"/>
        </w:rPr>
      </w:pPr>
    </w:p>
    <w:p w:rsidR="009A4DA1" w:rsidRPr="009A4DA1" w:rsidRDefault="00693A94" w:rsidP="00187BB8">
      <w:pPr>
        <w:spacing w:after="0"/>
        <w:jc w:val="both"/>
        <w:rPr>
          <w:rFonts w:ascii="Arial" w:hAnsi="Arial" w:cs="Arial"/>
          <w:sz w:val="20"/>
          <w:szCs w:val="20"/>
        </w:rPr>
      </w:pPr>
      <w:r>
        <w:rPr>
          <w:rFonts w:ascii="Arial" w:hAnsi="Arial" w:cs="Arial"/>
          <w:sz w:val="20"/>
          <w:szCs w:val="20"/>
        </w:rPr>
        <w:t>5.</w:t>
      </w:r>
      <w:r w:rsidR="009A4DA1">
        <w:rPr>
          <w:rFonts w:ascii="Arial" w:hAnsi="Arial" w:cs="Arial"/>
          <w:sz w:val="20"/>
          <w:szCs w:val="20"/>
        </w:rPr>
        <w:t xml:space="preserve"> </w:t>
      </w:r>
      <w:r w:rsidR="009A4DA1" w:rsidRPr="009A4DA1">
        <w:rPr>
          <w:rFonts w:ascii="Arial" w:hAnsi="Arial" w:cs="Arial"/>
          <w:sz w:val="20"/>
          <w:szCs w:val="20"/>
        </w:rPr>
        <w:t xml:space="preserve">Prestação de Contas Anual. Fundo de Previdência dos Servidores Municipais. Recolhimento em atraso de contribuições ao INSS. Encargos pelo atraso pagos pelos cofres públicos. Impossibilidade. Despesa alheia ao orçamento público. Condenação do Ordenador das Despesas ao ressarcimento. Irregularidade das Contas. </w:t>
      </w:r>
    </w:p>
    <w:p w:rsidR="00BB349D" w:rsidRDefault="00BB349D" w:rsidP="00A55774">
      <w:pPr>
        <w:spacing w:after="0"/>
        <w:jc w:val="both"/>
        <w:rPr>
          <w:rFonts w:ascii="Arial" w:hAnsi="Arial" w:cs="Arial"/>
          <w:sz w:val="20"/>
          <w:szCs w:val="20"/>
        </w:rPr>
      </w:pPr>
    </w:p>
    <w:p w:rsidR="00A55774" w:rsidRDefault="00693A94" w:rsidP="00A55774">
      <w:pPr>
        <w:spacing w:after="0"/>
        <w:jc w:val="both"/>
        <w:rPr>
          <w:rFonts w:ascii="Arial" w:hAnsi="Arial" w:cs="Arial"/>
          <w:b/>
          <w:sz w:val="20"/>
          <w:szCs w:val="20"/>
        </w:rPr>
      </w:pPr>
      <w:r>
        <w:rPr>
          <w:rFonts w:ascii="Arial" w:hAnsi="Arial" w:cs="Arial"/>
          <w:sz w:val="20"/>
          <w:szCs w:val="20"/>
        </w:rPr>
        <w:t>6.</w:t>
      </w:r>
      <w:r w:rsidR="00A55774">
        <w:rPr>
          <w:rFonts w:ascii="Arial" w:hAnsi="Arial" w:cs="Arial"/>
          <w:sz w:val="20"/>
          <w:szCs w:val="20"/>
        </w:rPr>
        <w:t xml:space="preserve"> </w:t>
      </w:r>
      <w:r w:rsidR="00A55774" w:rsidRPr="00A55774">
        <w:rPr>
          <w:rFonts w:ascii="Arial" w:hAnsi="Arial" w:cs="Arial"/>
          <w:sz w:val="20"/>
          <w:szCs w:val="20"/>
        </w:rPr>
        <w:t xml:space="preserve">Prestação de Contas Anual. Sercomtel </w:t>
      </w:r>
      <w:proofErr w:type="spellStart"/>
      <w:r w:rsidR="00A55774" w:rsidRPr="00A55774">
        <w:rPr>
          <w:rFonts w:ascii="Arial" w:hAnsi="Arial" w:cs="Arial"/>
          <w:sz w:val="20"/>
          <w:szCs w:val="20"/>
        </w:rPr>
        <w:t>Contact</w:t>
      </w:r>
      <w:proofErr w:type="spellEnd"/>
      <w:r w:rsidR="00A55774" w:rsidRPr="00A55774">
        <w:rPr>
          <w:rFonts w:ascii="Arial" w:hAnsi="Arial" w:cs="Arial"/>
          <w:sz w:val="20"/>
          <w:szCs w:val="20"/>
        </w:rPr>
        <w:t xml:space="preserve"> Center S/A. Contratação de serviços de advocacia e de contabilidade. Impossibilidade. Obrigatoriedade de realização de concurso </w:t>
      </w:r>
      <w:r w:rsidR="00A55774" w:rsidRPr="00A55774">
        <w:rPr>
          <w:rFonts w:ascii="Arial" w:hAnsi="Arial" w:cs="Arial"/>
          <w:sz w:val="20"/>
          <w:szCs w:val="20"/>
        </w:rPr>
        <w:lastRenderedPageBreak/>
        <w:t>público. Inteligência do art. 37, II, da CF e Prejulgado nº 06-TCE. Indicadores econômicos e financeiros da empresa desfavoráveis. Pela irregularidade e recomendação para estudo de viabilidade de encerramento das atividades da Companhia.</w:t>
      </w:r>
      <w:r w:rsidR="00A55774" w:rsidRPr="00A92ED3">
        <w:rPr>
          <w:rFonts w:ascii="Arial" w:hAnsi="Arial" w:cs="Arial"/>
          <w:b/>
          <w:sz w:val="20"/>
          <w:szCs w:val="20"/>
        </w:rPr>
        <w:t xml:space="preserve"> </w:t>
      </w:r>
    </w:p>
    <w:p w:rsidR="00BB349D" w:rsidRDefault="00BB349D" w:rsidP="00A55774">
      <w:pPr>
        <w:spacing w:after="0"/>
        <w:jc w:val="both"/>
        <w:rPr>
          <w:rFonts w:ascii="Arial" w:hAnsi="Arial" w:cs="Arial"/>
          <w:sz w:val="20"/>
          <w:szCs w:val="20"/>
        </w:rPr>
      </w:pPr>
    </w:p>
    <w:p w:rsidR="00A55774" w:rsidRDefault="00693A94" w:rsidP="00A55774">
      <w:pPr>
        <w:spacing w:after="0"/>
        <w:jc w:val="both"/>
        <w:rPr>
          <w:rFonts w:ascii="Arial" w:hAnsi="Arial" w:cs="Arial"/>
          <w:b/>
          <w:sz w:val="20"/>
          <w:szCs w:val="20"/>
        </w:rPr>
      </w:pPr>
      <w:r>
        <w:rPr>
          <w:rFonts w:ascii="Arial" w:hAnsi="Arial" w:cs="Arial"/>
          <w:sz w:val="20"/>
          <w:szCs w:val="20"/>
        </w:rPr>
        <w:t>7.</w:t>
      </w:r>
      <w:r w:rsidR="00A55774">
        <w:rPr>
          <w:rFonts w:ascii="Arial" w:hAnsi="Arial" w:cs="Arial"/>
          <w:sz w:val="20"/>
          <w:szCs w:val="20"/>
        </w:rPr>
        <w:t xml:space="preserve"> </w:t>
      </w:r>
      <w:r w:rsidR="00A55774" w:rsidRPr="00A55774">
        <w:rPr>
          <w:rFonts w:ascii="Arial" w:hAnsi="Arial" w:cs="Arial"/>
          <w:sz w:val="20"/>
          <w:szCs w:val="20"/>
        </w:rPr>
        <w:t>Prestação de Contas Anual. Restrições apontadas em exame pela Unidade Técnica. Apontamentos regularizados em sede de contraditório. Pela regularidade com ressalva. Inteligência da Súmula 8</w:t>
      </w:r>
      <w:r w:rsidR="00586207">
        <w:rPr>
          <w:rFonts w:ascii="Arial" w:hAnsi="Arial" w:cs="Arial"/>
          <w:sz w:val="20"/>
          <w:szCs w:val="20"/>
        </w:rPr>
        <w:t xml:space="preserve"> TCE/PR</w:t>
      </w:r>
      <w:r w:rsidR="00A55774" w:rsidRPr="00A55774">
        <w:rPr>
          <w:rFonts w:ascii="Arial" w:hAnsi="Arial" w:cs="Arial"/>
          <w:sz w:val="20"/>
          <w:szCs w:val="20"/>
        </w:rPr>
        <w:t>.</w:t>
      </w:r>
      <w:r w:rsidR="00A55774" w:rsidRPr="00CD1512">
        <w:rPr>
          <w:rFonts w:ascii="Arial" w:hAnsi="Arial" w:cs="Arial"/>
          <w:b/>
          <w:sz w:val="20"/>
          <w:szCs w:val="20"/>
        </w:rPr>
        <w:t xml:space="preserve"> </w:t>
      </w:r>
    </w:p>
    <w:p w:rsidR="00BB349D" w:rsidRDefault="00BB349D" w:rsidP="00946CBB">
      <w:pPr>
        <w:autoSpaceDE w:val="0"/>
        <w:autoSpaceDN w:val="0"/>
        <w:adjustRightInd w:val="0"/>
        <w:spacing w:after="0"/>
        <w:jc w:val="both"/>
        <w:rPr>
          <w:rFonts w:ascii="Arial" w:hAnsi="Arial" w:cs="Arial"/>
          <w:sz w:val="20"/>
          <w:szCs w:val="20"/>
        </w:rPr>
      </w:pPr>
    </w:p>
    <w:p w:rsidR="00946CBB" w:rsidRPr="00946CBB" w:rsidRDefault="00693A94" w:rsidP="00946CBB">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sz w:val="20"/>
          <w:szCs w:val="20"/>
        </w:rPr>
        <w:t>8.</w:t>
      </w:r>
      <w:r w:rsidR="00946CBB">
        <w:rPr>
          <w:rFonts w:ascii="Arial" w:hAnsi="Arial" w:cs="Arial"/>
          <w:sz w:val="20"/>
          <w:szCs w:val="20"/>
        </w:rPr>
        <w:t xml:space="preserve"> </w:t>
      </w:r>
      <w:r w:rsidR="00946CBB" w:rsidRPr="00946CBB">
        <w:rPr>
          <w:rFonts w:ascii="Arial" w:hAnsi="Arial" w:cs="Arial"/>
          <w:sz w:val="20"/>
          <w:szCs w:val="20"/>
        </w:rPr>
        <w:t xml:space="preserve">Denúncia. Cargos em comissão com atribuições de cargos efetivos. Nomeação em cargo em comissão inexistente na estrutura administrativa. Aprovação em concurso público de pessoas que trabalhavam irregularmente no Município. Procedência Parcial. </w:t>
      </w:r>
    </w:p>
    <w:p w:rsidR="00BB349D" w:rsidRDefault="00BB349D" w:rsidP="0048246D">
      <w:pPr>
        <w:autoSpaceDE w:val="0"/>
        <w:autoSpaceDN w:val="0"/>
        <w:adjustRightInd w:val="0"/>
        <w:spacing w:after="0"/>
        <w:jc w:val="both"/>
        <w:rPr>
          <w:rFonts w:ascii="Arial" w:hAnsi="Arial" w:cs="Arial"/>
          <w:sz w:val="20"/>
          <w:szCs w:val="20"/>
        </w:rPr>
      </w:pPr>
    </w:p>
    <w:p w:rsidR="0048246D" w:rsidRPr="0089373C" w:rsidRDefault="00693A94" w:rsidP="0048246D">
      <w:pPr>
        <w:autoSpaceDE w:val="0"/>
        <w:autoSpaceDN w:val="0"/>
        <w:adjustRightInd w:val="0"/>
        <w:spacing w:after="0"/>
        <w:jc w:val="both"/>
        <w:rPr>
          <w:rFonts w:ascii="Arial" w:hAnsi="Arial" w:cs="Arial"/>
          <w:b/>
          <w:sz w:val="20"/>
          <w:szCs w:val="20"/>
        </w:rPr>
      </w:pPr>
      <w:r>
        <w:rPr>
          <w:rFonts w:ascii="Arial" w:hAnsi="Arial" w:cs="Arial"/>
          <w:sz w:val="20"/>
          <w:szCs w:val="20"/>
        </w:rPr>
        <w:t>9.</w:t>
      </w:r>
      <w:r w:rsidR="0048246D">
        <w:rPr>
          <w:rFonts w:ascii="Arial" w:hAnsi="Arial" w:cs="Arial"/>
          <w:sz w:val="20"/>
          <w:szCs w:val="20"/>
        </w:rPr>
        <w:t xml:space="preserve"> </w:t>
      </w:r>
      <w:r w:rsidR="0048246D" w:rsidRPr="0048246D">
        <w:rPr>
          <w:rFonts w:ascii="Arial" w:hAnsi="Arial" w:cs="Arial"/>
          <w:sz w:val="20"/>
          <w:szCs w:val="20"/>
        </w:rPr>
        <w:t>Representação da Lei nº 8.666/1993. Pregão Presencial. Contratação de empresa na prestação de serviços de consultoria, assessoria, apoio em procedimentos administrativos em recursos humanos, tributação, licitação, técnico-legislativos e jurídicos. Violação ao Prejulgado n° 06 desta Corte. Afronta à regra do concurso público. Direcionamento do certame. Contratação de empresa pertencente a parente de servidor. Impossibilidade. Procedência. Aplicação de multas e demais sanções.</w:t>
      </w:r>
    </w:p>
    <w:p w:rsidR="00BB349D" w:rsidRDefault="00BB349D" w:rsidP="009035B0">
      <w:pPr>
        <w:autoSpaceDE w:val="0"/>
        <w:autoSpaceDN w:val="0"/>
        <w:adjustRightInd w:val="0"/>
        <w:spacing w:after="0"/>
        <w:jc w:val="both"/>
        <w:rPr>
          <w:rFonts w:ascii="Arial" w:hAnsi="Arial" w:cs="Arial"/>
          <w:sz w:val="20"/>
          <w:szCs w:val="20"/>
        </w:rPr>
      </w:pPr>
    </w:p>
    <w:p w:rsidR="009035B0" w:rsidRPr="009035B0" w:rsidRDefault="00693A94" w:rsidP="009035B0">
      <w:pPr>
        <w:autoSpaceDE w:val="0"/>
        <w:autoSpaceDN w:val="0"/>
        <w:adjustRightInd w:val="0"/>
        <w:spacing w:after="0"/>
        <w:jc w:val="both"/>
        <w:rPr>
          <w:rFonts w:ascii="Arial" w:hAnsi="Arial" w:cs="Arial"/>
          <w:sz w:val="20"/>
          <w:szCs w:val="20"/>
        </w:rPr>
      </w:pPr>
      <w:r w:rsidRPr="009035B0">
        <w:rPr>
          <w:rFonts w:ascii="Arial" w:hAnsi="Arial" w:cs="Arial"/>
          <w:sz w:val="20"/>
          <w:szCs w:val="20"/>
        </w:rPr>
        <w:t>10.</w:t>
      </w:r>
      <w:r w:rsidR="009035B0" w:rsidRPr="009035B0">
        <w:rPr>
          <w:rFonts w:ascii="Arial" w:hAnsi="Arial" w:cs="Arial"/>
          <w:sz w:val="20"/>
          <w:szCs w:val="20"/>
        </w:rPr>
        <w:t xml:space="preserve"> Possibilidade de concessão de auxílio alimentação aos servidores comissionados. Princípio da legalidade. Necessidade de norma legal e disponibilidade orçamentária.</w:t>
      </w:r>
    </w:p>
    <w:p w:rsidR="00BB349D" w:rsidRDefault="00BB349D" w:rsidP="00BB349D">
      <w:pPr>
        <w:spacing w:before="60" w:after="60"/>
        <w:jc w:val="both"/>
        <w:rPr>
          <w:rFonts w:ascii="Arial" w:hAnsi="Arial" w:cs="Arial"/>
          <w:sz w:val="20"/>
          <w:szCs w:val="20"/>
        </w:rPr>
      </w:pPr>
    </w:p>
    <w:p w:rsidR="00BB349D" w:rsidRPr="00BB349D" w:rsidRDefault="00693A94" w:rsidP="00BB349D">
      <w:pPr>
        <w:spacing w:before="60" w:after="60"/>
        <w:jc w:val="both"/>
        <w:rPr>
          <w:rStyle w:val="Hyperlink"/>
          <w:rFonts w:ascii="Arial" w:hAnsi="Arial" w:cs="Arial"/>
          <w:color w:val="000000" w:themeColor="text1"/>
          <w:sz w:val="20"/>
          <w:szCs w:val="20"/>
          <w:u w:val="none"/>
        </w:rPr>
      </w:pPr>
      <w:r w:rsidRPr="00BB349D">
        <w:rPr>
          <w:rFonts w:ascii="Arial" w:hAnsi="Arial" w:cs="Arial"/>
          <w:sz w:val="20"/>
          <w:szCs w:val="20"/>
        </w:rPr>
        <w:t>11.</w:t>
      </w:r>
      <w:r w:rsidR="00BB349D" w:rsidRPr="00BB349D">
        <w:rPr>
          <w:rFonts w:ascii="Arial" w:hAnsi="Arial" w:cs="Arial"/>
          <w:sz w:val="20"/>
          <w:szCs w:val="20"/>
        </w:rPr>
        <w:t xml:space="preserve"> </w:t>
      </w:r>
      <w:r w:rsidR="00BB349D" w:rsidRPr="00BB349D">
        <w:rPr>
          <w:rStyle w:val="Hyperlink"/>
          <w:rFonts w:ascii="Arial" w:hAnsi="Arial" w:cs="Arial"/>
          <w:color w:val="000000" w:themeColor="text1"/>
          <w:sz w:val="20"/>
          <w:szCs w:val="20"/>
          <w:u w:val="none"/>
        </w:rPr>
        <w:t xml:space="preserve">Pedido de Rescisão. Pensão por morte. Viúva e filhos menores de Serventuário da Justiça não remunerado pelos cofres públicos. Prejulgado nº 21. Procedência da Rescisão para julgar o ato concessivo do benefício de pensão pela legalidade e registro. </w:t>
      </w:r>
    </w:p>
    <w:p w:rsidR="00BB349D" w:rsidRDefault="00BB349D" w:rsidP="00BB349D">
      <w:pPr>
        <w:shd w:val="clear" w:color="auto" w:fill="FFFFFF"/>
        <w:spacing w:after="0"/>
        <w:jc w:val="both"/>
        <w:textAlignment w:val="center"/>
        <w:rPr>
          <w:rFonts w:ascii="Arial" w:eastAsia="Times New Roman" w:hAnsi="Arial" w:cs="Arial"/>
          <w:bCs/>
          <w:color w:val="000000"/>
          <w:sz w:val="20"/>
          <w:szCs w:val="20"/>
          <w:lang w:eastAsia="pt-BR"/>
        </w:rPr>
      </w:pPr>
    </w:p>
    <w:p w:rsidR="00BB349D" w:rsidRPr="00BB349D" w:rsidRDefault="00BB349D" w:rsidP="00BB349D">
      <w:pPr>
        <w:shd w:val="clear" w:color="auto" w:fill="FFFFFF"/>
        <w:spacing w:after="0"/>
        <w:jc w:val="both"/>
        <w:textAlignment w:val="center"/>
        <w:rPr>
          <w:rFonts w:ascii="Arial" w:eastAsia="Times New Roman" w:hAnsi="Arial" w:cs="Arial"/>
          <w:bCs/>
          <w:color w:val="000000"/>
          <w:sz w:val="20"/>
          <w:szCs w:val="20"/>
          <w:lang w:eastAsia="pt-BR"/>
        </w:rPr>
      </w:pPr>
      <w:r w:rsidRPr="00BB349D">
        <w:rPr>
          <w:rFonts w:ascii="Arial" w:eastAsia="Times New Roman" w:hAnsi="Arial" w:cs="Arial"/>
          <w:bCs/>
          <w:color w:val="000000"/>
          <w:sz w:val="20"/>
          <w:szCs w:val="20"/>
          <w:lang w:eastAsia="pt-BR"/>
        </w:rPr>
        <w:t xml:space="preserve">12. Prejulgado. Instauração visando firmar entendimento quanto à inclusão ou não do décimo terceiro salário no cálculo da média das remunerações. Sustentabilidade da seguridade social que impede criação e majoração de benefícios sem indicação de fonte de financiamento. Regra do Regime Geral que veda a inclusão, extensiva aos Regimes Próprios. Pela impossibilidade com efeitos </w:t>
      </w:r>
      <w:proofErr w:type="spellStart"/>
      <w:r w:rsidRPr="00BB349D">
        <w:rPr>
          <w:rFonts w:ascii="Arial" w:eastAsia="Times New Roman" w:hAnsi="Arial" w:cs="Arial"/>
          <w:bCs/>
          <w:i/>
          <w:iCs/>
          <w:color w:val="000000"/>
          <w:sz w:val="20"/>
          <w:szCs w:val="20"/>
          <w:lang w:eastAsia="pt-BR"/>
        </w:rPr>
        <w:t>ex</w:t>
      </w:r>
      <w:proofErr w:type="spellEnd"/>
      <w:r w:rsidRPr="00BB349D">
        <w:rPr>
          <w:rFonts w:ascii="Arial" w:eastAsia="Times New Roman" w:hAnsi="Arial" w:cs="Arial"/>
          <w:bCs/>
          <w:i/>
          <w:iCs/>
          <w:color w:val="000000"/>
          <w:sz w:val="20"/>
          <w:szCs w:val="20"/>
          <w:lang w:eastAsia="pt-BR"/>
        </w:rPr>
        <w:t xml:space="preserve"> nunc.</w:t>
      </w:r>
      <w:r w:rsidRPr="00BB349D">
        <w:rPr>
          <w:rFonts w:ascii="Arial" w:eastAsia="Times New Roman" w:hAnsi="Arial" w:cs="Arial"/>
          <w:bCs/>
          <w:color w:val="000000"/>
          <w:sz w:val="20"/>
          <w:szCs w:val="20"/>
          <w:lang w:eastAsia="pt-BR"/>
        </w:rPr>
        <w:t xml:space="preserve">  </w:t>
      </w:r>
    </w:p>
    <w:p w:rsidR="004429A2" w:rsidRPr="0022060B" w:rsidRDefault="004429A2" w:rsidP="00187BB8">
      <w:pPr>
        <w:spacing w:after="0"/>
        <w:jc w:val="both"/>
        <w:rPr>
          <w:rStyle w:val="Hyperlink"/>
          <w:rFonts w:ascii="Arial" w:hAnsi="Arial" w:cs="Arial"/>
          <w:b/>
          <w:color w:val="000000" w:themeColor="text1"/>
          <w:sz w:val="20"/>
          <w:szCs w:val="20"/>
          <w:u w:val="none"/>
        </w:rPr>
      </w:pPr>
    </w:p>
    <w:p w:rsidR="00712A93" w:rsidRPr="0022060B" w:rsidRDefault="00712A93" w:rsidP="00816942">
      <w:pPr>
        <w:shd w:val="pct10" w:color="auto" w:fill="auto"/>
        <w:spacing w:after="0"/>
        <w:jc w:val="center"/>
        <w:rPr>
          <w:rFonts w:ascii="Arial" w:hAnsi="Arial" w:cs="Arial"/>
          <w:b/>
          <w:sz w:val="20"/>
          <w:szCs w:val="20"/>
        </w:rPr>
      </w:pPr>
      <w:r w:rsidRPr="0022060B">
        <w:rPr>
          <w:rFonts w:ascii="Arial" w:hAnsi="Arial" w:cs="Arial"/>
          <w:b/>
          <w:sz w:val="20"/>
          <w:szCs w:val="20"/>
        </w:rPr>
        <w:t>PRIMEIRA CÂMARA</w:t>
      </w:r>
    </w:p>
    <w:p w:rsidR="005F7E35" w:rsidRDefault="005F7E35" w:rsidP="00816942">
      <w:pPr>
        <w:autoSpaceDE w:val="0"/>
        <w:autoSpaceDN w:val="0"/>
        <w:adjustRightInd w:val="0"/>
        <w:spacing w:after="0"/>
        <w:jc w:val="both"/>
        <w:rPr>
          <w:rFonts w:ascii="Arial" w:hAnsi="Arial" w:cs="Arial"/>
          <w:sz w:val="20"/>
          <w:szCs w:val="20"/>
        </w:rPr>
      </w:pPr>
    </w:p>
    <w:p w:rsidR="004429A2" w:rsidRPr="009A3B28" w:rsidRDefault="00693A94" w:rsidP="009A3B28">
      <w:pPr>
        <w:autoSpaceDE w:val="0"/>
        <w:autoSpaceDN w:val="0"/>
        <w:adjustRightInd w:val="0"/>
        <w:spacing w:after="0"/>
        <w:jc w:val="both"/>
        <w:rPr>
          <w:rFonts w:ascii="Arial" w:hAnsi="Arial" w:cs="Arial"/>
          <w:b/>
          <w:sz w:val="20"/>
          <w:szCs w:val="20"/>
        </w:rPr>
      </w:pPr>
      <w:r>
        <w:rPr>
          <w:rFonts w:ascii="Arial" w:hAnsi="Arial" w:cs="Arial"/>
          <w:b/>
          <w:sz w:val="20"/>
          <w:szCs w:val="20"/>
        </w:rPr>
        <w:t xml:space="preserve">1. </w:t>
      </w:r>
      <w:r w:rsidR="009A3B28" w:rsidRPr="009A3B28">
        <w:rPr>
          <w:rFonts w:ascii="Arial" w:hAnsi="Arial" w:cs="Arial"/>
          <w:b/>
          <w:sz w:val="20"/>
          <w:szCs w:val="20"/>
        </w:rPr>
        <w:t>Tomada de contas extraordinária. Atraso no pagamento dos aportes devidos ao Instituto Nacional de Seguridade Social. Pagamento de multas e juros sem justificativa. Procedência.</w:t>
      </w:r>
    </w:p>
    <w:p w:rsidR="009A3B28" w:rsidRDefault="009A3B28" w:rsidP="00816942">
      <w:pPr>
        <w:autoSpaceDE w:val="0"/>
        <w:autoSpaceDN w:val="0"/>
        <w:adjustRightInd w:val="0"/>
        <w:spacing w:after="0"/>
        <w:jc w:val="both"/>
        <w:rPr>
          <w:rFonts w:ascii="Arial" w:hAnsi="Arial" w:cs="Arial"/>
          <w:sz w:val="20"/>
          <w:szCs w:val="20"/>
        </w:rPr>
      </w:pPr>
    </w:p>
    <w:p w:rsidR="009A3B28" w:rsidRDefault="009A3B28" w:rsidP="009A3B28">
      <w:pPr>
        <w:autoSpaceDE w:val="0"/>
        <w:autoSpaceDN w:val="0"/>
        <w:adjustRightInd w:val="0"/>
        <w:spacing w:after="0"/>
        <w:jc w:val="both"/>
        <w:rPr>
          <w:rFonts w:ascii="Arial" w:hAnsi="Arial" w:cs="Arial"/>
          <w:sz w:val="20"/>
          <w:szCs w:val="20"/>
        </w:rPr>
      </w:pPr>
      <w:r w:rsidRPr="009A3B28">
        <w:rPr>
          <w:rFonts w:ascii="Arial" w:hAnsi="Arial" w:cs="Arial"/>
          <w:sz w:val="20"/>
          <w:szCs w:val="20"/>
        </w:rPr>
        <w:t>A verificação das contas apontou para atrasos no pagamento das</w:t>
      </w:r>
      <w:r>
        <w:rPr>
          <w:rFonts w:ascii="Arial" w:hAnsi="Arial" w:cs="Arial"/>
          <w:sz w:val="20"/>
          <w:szCs w:val="20"/>
        </w:rPr>
        <w:t xml:space="preserve"> </w:t>
      </w:r>
      <w:r w:rsidRPr="009A3B28">
        <w:rPr>
          <w:rFonts w:ascii="Arial" w:hAnsi="Arial" w:cs="Arial"/>
          <w:sz w:val="20"/>
          <w:szCs w:val="20"/>
        </w:rPr>
        <w:t>contribuições devidas ao Instituto Nacional de Seguridade Social, o que sujeitou o</w:t>
      </w:r>
      <w:r>
        <w:rPr>
          <w:rFonts w:ascii="Arial" w:hAnsi="Arial" w:cs="Arial"/>
          <w:sz w:val="20"/>
          <w:szCs w:val="20"/>
        </w:rPr>
        <w:t xml:space="preserve"> </w:t>
      </w:r>
      <w:r w:rsidRPr="009A3B28">
        <w:rPr>
          <w:rFonts w:ascii="Arial" w:hAnsi="Arial" w:cs="Arial"/>
          <w:sz w:val="20"/>
          <w:szCs w:val="20"/>
        </w:rPr>
        <w:t>Município ao pagamento de encargos de mora e multas administrativas no valor de</w:t>
      </w:r>
      <w:r>
        <w:rPr>
          <w:rFonts w:ascii="Arial" w:hAnsi="Arial" w:cs="Arial"/>
          <w:sz w:val="20"/>
          <w:szCs w:val="20"/>
        </w:rPr>
        <w:t xml:space="preserve"> </w:t>
      </w:r>
      <w:r w:rsidRPr="009A3B28">
        <w:rPr>
          <w:rFonts w:ascii="Arial" w:hAnsi="Arial" w:cs="Arial"/>
          <w:sz w:val="20"/>
          <w:szCs w:val="20"/>
        </w:rPr>
        <w:t xml:space="preserve">R$ 55.351,44 (cinquenta e cinco mil, trezentos e </w:t>
      </w:r>
      <w:r w:rsidRPr="009A3B28">
        <w:rPr>
          <w:rFonts w:ascii="Arial" w:hAnsi="Arial" w:cs="Arial"/>
          <w:sz w:val="20"/>
          <w:szCs w:val="20"/>
        </w:rPr>
        <w:lastRenderedPageBreak/>
        <w:t>cinquenta e um reais e quarenta e</w:t>
      </w:r>
      <w:r>
        <w:rPr>
          <w:rFonts w:ascii="Arial" w:hAnsi="Arial" w:cs="Arial"/>
          <w:sz w:val="20"/>
          <w:szCs w:val="20"/>
        </w:rPr>
        <w:t xml:space="preserve"> </w:t>
      </w:r>
      <w:r w:rsidRPr="009A3B28">
        <w:rPr>
          <w:rFonts w:ascii="Arial" w:hAnsi="Arial" w:cs="Arial"/>
          <w:sz w:val="20"/>
          <w:szCs w:val="20"/>
        </w:rPr>
        <w:t>quatro centavos).</w:t>
      </w:r>
      <w:r>
        <w:rPr>
          <w:rFonts w:ascii="Arial" w:hAnsi="Arial" w:cs="Arial"/>
          <w:sz w:val="20"/>
          <w:szCs w:val="20"/>
        </w:rPr>
        <w:t xml:space="preserve"> </w:t>
      </w:r>
      <w:r w:rsidRPr="009A3B28">
        <w:rPr>
          <w:rFonts w:ascii="Arial" w:hAnsi="Arial" w:cs="Arial"/>
          <w:sz w:val="20"/>
          <w:szCs w:val="20"/>
        </w:rPr>
        <w:t>Importante observar que não houve qualquer excepcionalidade</w:t>
      </w:r>
      <w:r>
        <w:rPr>
          <w:rFonts w:ascii="Arial" w:hAnsi="Arial" w:cs="Arial"/>
          <w:sz w:val="20"/>
          <w:szCs w:val="20"/>
        </w:rPr>
        <w:t xml:space="preserve"> </w:t>
      </w:r>
      <w:r w:rsidRPr="009A3B28">
        <w:rPr>
          <w:rFonts w:ascii="Arial" w:hAnsi="Arial" w:cs="Arial"/>
          <w:sz w:val="20"/>
          <w:szCs w:val="20"/>
        </w:rPr>
        <w:t>orçamentária ou evento capaz de justificar os atrasos nos recolhimentos das</w:t>
      </w:r>
      <w:r>
        <w:rPr>
          <w:rFonts w:ascii="Arial" w:hAnsi="Arial" w:cs="Arial"/>
          <w:sz w:val="20"/>
          <w:szCs w:val="20"/>
        </w:rPr>
        <w:t xml:space="preserve"> </w:t>
      </w:r>
      <w:r w:rsidRPr="009A3B28">
        <w:rPr>
          <w:rFonts w:ascii="Arial" w:hAnsi="Arial" w:cs="Arial"/>
          <w:sz w:val="20"/>
          <w:szCs w:val="20"/>
        </w:rPr>
        <w:t>contribuições devidas ao INSS. A análise do</w:t>
      </w:r>
      <w:r w:rsidR="009205D6">
        <w:rPr>
          <w:rFonts w:ascii="Arial" w:hAnsi="Arial" w:cs="Arial"/>
          <w:sz w:val="20"/>
          <w:szCs w:val="20"/>
        </w:rPr>
        <w:t>s dados orçamentários indicaria</w:t>
      </w:r>
      <w:r w:rsidRPr="009A3B28">
        <w:rPr>
          <w:rFonts w:ascii="Arial" w:hAnsi="Arial" w:cs="Arial"/>
          <w:sz w:val="20"/>
          <w:szCs w:val="20"/>
        </w:rPr>
        <w:t xml:space="preserve"> que</w:t>
      </w:r>
      <w:r>
        <w:rPr>
          <w:rFonts w:ascii="Arial" w:hAnsi="Arial" w:cs="Arial"/>
          <w:sz w:val="20"/>
          <w:szCs w:val="20"/>
        </w:rPr>
        <w:t xml:space="preserve"> </w:t>
      </w:r>
      <w:r w:rsidRPr="009A3B28">
        <w:rPr>
          <w:rFonts w:ascii="Arial" w:hAnsi="Arial" w:cs="Arial"/>
          <w:sz w:val="20"/>
          <w:szCs w:val="20"/>
        </w:rPr>
        <w:t>haveria dinheiro à disponibilidade do Município para realizar os aportes devidos sem</w:t>
      </w:r>
      <w:r>
        <w:rPr>
          <w:rFonts w:ascii="Arial" w:hAnsi="Arial" w:cs="Arial"/>
          <w:sz w:val="20"/>
          <w:szCs w:val="20"/>
        </w:rPr>
        <w:t xml:space="preserve"> </w:t>
      </w:r>
      <w:r w:rsidRPr="009A3B28">
        <w:rPr>
          <w:rFonts w:ascii="Arial" w:hAnsi="Arial" w:cs="Arial"/>
          <w:sz w:val="20"/>
          <w:szCs w:val="20"/>
        </w:rPr>
        <w:t>comprometimento de qualquer serviço público municipal. Dessa forma, o Município</w:t>
      </w:r>
      <w:r>
        <w:rPr>
          <w:rFonts w:ascii="Arial" w:hAnsi="Arial" w:cs="Arial"/>
          <w:sz w:val="20"/>
          <w:szCs w:val="20"/>
        </w:rPr>
        <w:t xml:space="preserve"> </w:t>
      </w:r>
      <w:r w:rsidRPr="009A3B28">
        <w:rPr>
          <w:rFonts w:ascii="Arial" w:hAnsi="Arial" w:cs="Arial"/>
          <w:sz w:val="20"/>
          <w:szCs w:val="20"/>
        </w:rPr>
        <w:t>descumpriu as respectivas obrigações previdenciárias sem qualquer justificativa em</w:t>
      </w:r>
      <w:r>
        <w:rPr>
          <w:rFonts w:ascii="Arial" w:hAnsi="Arial" w:cs="Arial"/>
          <w:sz w:val="20"/>
          <w:szCs w:val="20"/>
        </w:rPr>
        <w:t xml:space="preserve"> </w:t>
      </w:r>
      <w:r w:rsidRPr="009A3B28">
        <w:rPr>
          <w:rFonts w:ascii="Arial" w:hAnsi="Arial" w:cs="Arial"/>
          <w:sz w:val="20"/>
          <w:szCs w:val="20"/>
        </w:rPr>
        <w:t>contrário.</w:t>
      </w:r>
    </w:p>
    <w:p w:rsidR="009A3B28" w:rsidRDefault="009A3B28" w:rsidP="009A3B28">
      <w:pPr>
        <w:autoSpaceDE w:val="0"/>
        <w:autoSpaceDN w:val="0"/>
        <w:adjustRightInd w:val="0"/>
        <w:spacing w:after="0"/>
        <w:jc w:val="both"/>
        <w:rPr>
          <w:rFonts w:ascii="Arial" w:hAnsi="Arial" w:cs="Arial"/>
          <w:sz w:val="20"/>
          <w:szCs w:val="20"/>
        </w:rPr>
      </w:pPr>
    </w:p>
    <w:p w:rsidR="009A3B28" w:rsidRDefault="009A3B28" w:rsidP="009A3B28">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624080/15 - </w:t>
      </w:r>
      <w:hyperlink r:id="rId8" w:history="1">
        <w:r w:rsidRPr="004B77C0">
          <w:rPr>
            <w:rStyle w:val="Hyperlink"/>
            <w:rFonts w:ascii="Arial" w:hAnsi="Arial" w:cs="Arial"/>
            <w:sz w:val="20"/>
            <w:szCs w:val="20"/>
          </w:rPr>
          <w:t>Acórdão n° 2430/17 - Primeira Câmara</w:t>
        </w:r>
      </w:hyperlink>
      <w:r>
        <w:rPr>
          <w:rFonts w:ascii="Arial" w:hAnsi="Arial" w:cs="Arial"/>
          <w:sz w:val="20"/>
          <w:szCs w:val="20"/>
        </w:rPr>
        <w:t xml:space="preserve">. Rel. Conselheiro Nestor Baptista. </w:t>
      </w:r>
    </w:p>
    <w:p w:rsidR="00ED191D" w:rsidRPr="00ED191D" w:rsidRDefault="00ED191D" w:rsidP="00ED191D">
      <w:pPr>
        <w:autoSpaceDE w:val="0"/>
        <w:autoSpaceDN w:val="0"/>
        <w:adjustRightInd w:val="0"/>
        <w:spacing w:after="0"/>
        <w:jc w:val="both"/>
        <w:rPr>
          <w:rFonts w:ascii="Arial" w:hAnsi="Arial" w:cs="Arial"/>
          <w:sz w:val="20"/>
          <w:szCs w:val="20"/>
        </w:rPr>
      </w:pPr>
    </w:p>
    <w:p w:rsidR="00B873B1" w:rsidRDefault="00693A94" w:rsidP="00B873B1">
      <w:pPr>
        <w:autoSpaceDE w:val="0"/>
        <w:autoSpaceDN w:val="0"/>
        <w:adjustRightInd w:val="0"/>
        <w:spacing w:after="0"/>
        <w:jc w:val="both"/>
        <w:rPr>
          <w:rFonts w:ascii="Arial" w:hAnsi="Arial" w:cs="Arial"/>
          <w:b/>
          <w:sz w:val="20"/>
          <w:szCs w:val="20"/>
        </w:rPr>
      </w:pPr>
      <w:r>
        <w:rPr>
          <w:rFonts w:ascii="Arial" w:hAnsi="Arial" w:cs="Arial"/>
          <w:b/>
          <w:sz w:val="20"/>
          <w:szCs w:val="20"/>
        </w:rPr>
        <w:t xml:space="preserve">2. </w:t>
      </w:r>
      <w:r w:rsidR="00ED191D" w:rsidRPr="00F2578C">
        <w:rPr>
          <w:rFonts w:ascii="Arial" w:hAnsi="Arial" w:cs="Arial"/>
          <w:b/>
          <w:sz w:val="20"/>
          <w:szCs w:val="20"/>
        </w:rPr>
        <w:t xml:space="preserve">Prestação de Contas de Transferência Voluntária. Prestação dos serviços médicos concomitantemente com o exercício da vereança. </w:t>
      </w:r>
      <w:r w:rsidR="00B873B1" w:rsidRPr="00F2578C">
        <w:rPr>
          <w:rFonts w:ascii="Arial" w:hAnsi="Arial" w:cs="Arial"/>
          <w:b/>
          <w:sz w:val="20"/>
          <w:szCs w:val="20"/>
        </w:rPr>
        <w:t xml:space="preserve">Vedação extensível aos vereadores, nos termos do art. 29, IX, da CF/88. </w:t>
      </w:r>
      <w:r w:rsidR="00ED191D" w:rsidRPr="00F2578C">
        <w:rPr>
          <w:rFonts w:ascii="Arial" w:hAnsi="Arial" w:cs="Arial"/>
          <w:b/>
          <w:sz w:val="20"/>
          <w:szCs w:val="20"/>
        </w:rPr>
        <w:t>Irregularidade das</w:t>
      </w:r>
      <w:r w:rsidR="00B873B1" w:rsidRPr="00F2578C">
        <w:rPr>
          <w:rFonts w:ascii="Arial" w:hAnsi="Arial" w:cs="Arial"/>
          <w:b/>
          <w:sz w:val="20"/>
          <w:szCs w:val="20"/>
        </w:rPr>
        <w:t xml:space="preserve"> </w:t>
      </w:r>
      <w:r w:rsidR="00ED191D" w:rsidRPr="00F2578C">
        <w:rPr>
          <w:rFonts w:ascii="Arial" w:hAnsi="Arial" w:cs="Arial"/>
          <w:b/>
          <w:sz w:val="20"/>
          <w:szCs w:val="20"/>
        </w:rPr>
        <w:t xml:space="preserve">Contas, aplicação de multa e </w:t>
      </w:r>
      <w:r w:rsidR="00B873B1" w:rsidRPr="00F2578C">
        <w:rPr>
          <w:rFonts w:ascii="Arial" w:hAnsi="Arial" w:cs="Arial"/>
          <w:b/>
          <w:sz w:val="20"/>
          <w:szCs w:val="20"/>
        </w:rPr>
        <w:t>d</w:t>
      </w:r>
      <w:r w:rsidR="00ED191D" w:rsidRPr="00F2578C">
        <w:rPr>
          <w:rFonts w:ascii="Arial" w:hAnsi="Arial" w:cs="Arial"/>
          <w:b/>
          <w:sz w:val="20"/>
          <w:szCs w:val="20"/>
        </w:rPr>
        <w:t>evolução de valores</w:t>
      </w:r>
      <w:r w:rsidR="00B873B1" w:rsidRPr="00F2578C">
        <w:rPr>
          <w:rFonts w:ascii="Arial" w:hAnsi="Arial" w:cs="Arial"/>
          <w:b/>
          <w:sz w:val="20"/>
          <w:szCs w:val="20"/>
        </w:rPr>
        <w:t>.</w:t>
      </w:r>
    </w:p>
    <w:p w:rsidR="00693A94" w:rsidRPr="00F2578C" w:rsidRDefault="00693A94" w:rsidP="00B873B1">
      <w:pPr>
        <w:autoSpaceDE w:val="0"/>
        <w:autoSpaceDN w:val="0"/>
        <w:adjustRightInd w:val="0"/>
        <w:spacing w:after="0"/>
        <w:jc w:val="both"/>
        <w:rPr>
          <w:rFonts w:ascii="Arial" w:hAnsi="Arial" w:cs="Arial"/>
          <w:b/>
          <w:sz w:val="20"/>
          <w:szCs w:val="20"/>
        </w:rPr>
      </w:pPr>
    </w:p>
    <w:p w:rsidR="00ED191D" w:rsidRPr="00ED191D" w:rsidRDefault="00ED191D" w:rsidP="00B873B1">
      <w:pPr>
        <w:autoSpaceDE w:val="0"/>
        <w:autoSpaceDN w:val="0"/>
        <w:adjustRightInd w:val="0"/>
        <w:spacing w:after="0"/>
        <w:jc w:val="both"/>
        <w:rPr>
          <w:rFonts w:ascii="Arial" w:hAnsi="Arial" w:cs="Arial"/>
          <w:sz w:val="20"/>
          <w:szCs w:val="20"/>
        </w:rPr>
      </w:pPr>
      <w:r w:rsidRPr="00ED191D">
        <w:rPr>
          <w:rFonts w:ascii="Arial" w:hAnsi="Arial" w:cs="Arial"/>
          <w:sz w:val="20"/>
          <w:szCs w:val="20"/>
        </w:rPr>
        <w:t>Sobre a prestação dos serviços médicos concomitantemente com o</w:t>
      </w:r>
      <w:r>
        <w:rPr>
          <w:rFonts w:ascii="Arial" w:hAnsi="Arial" w:cs="Arial"/>
          <w:sz w:val="20"/>
          <w:szCs w:val="20"/>
        </w:rPr>
        <w:t xml:space="preserve"> </w:t>
      </w:r>
      <w:r w:rsidRPr="00ED191D">
        <w:rPr>
          <w:rFonts w:ascii="Arial" w:hAnsi="Arial" w:cs="Arial"/>
          <w:sz w:val="20"/>
          <w:szCs w:val="20"/>
        </w:rPr>
        <w:t>exercício da vereança, a Constituição Federal veda, desde a posse, que os</w:t>
      </w:r>
      <w:r>
        <w:rPr>
          <w:rFonts w:ascii="Arial" w:hAnsi="Arial" w:cs="Arial"/>
          <w:sz w:val="20"/>
          <w:szCs w:val="20"/>
        </w:rPr>
        <w:t xml:space="preserve"> </w:t>
      </w:r>
      <w:r w:rsidRPr="00ED191D">
        <w:rPr>
          <w:rFonts w:ascii="Arial" w:hAnsi="Arial" w:cs="Arial"/>
          <w:sz w:val="20"/>
          <w:szCs w:val="20"/>
        </w:rPr>
        <w:t>Deputados e Senadores sejam proprietários, controladores ou diretores de</w:t>
      </w:r>
      <w:r>
        <w:rPr>
          <w:rFonts w:ascii="Arial" w:hAnsi="Arial" w:cs="Arial"/>
          <w:sz w:val="20"/>
          <w:szCs w:val="20"/>
        </w:rPr>
        <w:t xml:space="preserve"> </w:t>
      </w:r>
      <w:r w:rsidRPr="00ED191D">
        <w:rPr>
          <w:rFonts w:ascii="Arial" w:hAnsi="Arial" w:cs="Arial"/>
          <w:sz w:val="20"/>
          <w:szCs w:val="20"/>
        </w:rPr>
        <w:t>empresa que goze de favor decorrente de contrato com pessoa jurídica de direito</w:t>
      </w:r>
      <w:r>
        <w:rPr>
          <w:rFonts w:ascii="Arial" w:hAnsi="Arial" w:cs="Arial"/>
          <w:sz w:val="20"/>
          <w:szCs w:val="20"/>
        </w:rPr>
        <w:t xml:space="preserve"> </w:t>
      </w:r>
      <w:r w:rsidRPr="00ED191D">
        <w:rPr>
          <w:rFonts w:ascii="Arial" w:hAnsi="Arial" w:cs="Arial"/>
          <w:sz w:val="20"/>
          <w:szCs w:val="20"/>
        </w:rPr>
        <w:t>público, ou nela exercer função remunerada (art. 54, II, a). Tal vedação é</w:t>
      </w:r>
      <w:r>
        <w:rPr>
          <w:rFonts w:ascii="Arial" w:hAnsi="Arial" w:cs="Arial"/>
          <w:sz w:val="20"/>
          <w:szCs w:val="20"/>
        </w:rPr>
        <w:t xml:space="preserve"> </w:t>
      </w:r>
      <w:r w:rsidRPr="00ED191D">
        <w:rPr>
          <w:rFonts w:ascii="Arial" w:hAnsi="Arial" w:cs="Arial"/>
          <w:sz w:val="20"/>
          <w:szCs w:val="20"/>
        </w:rPr>
        <w:t>extensível aos vereadores, nos termos do art. 29, IX, do mesmo diploma.</w:t>
      </w:r>
      <w:r>
        <w:rPr>
          <w:rFonts w:ascii="Arial" w:hAnsi="Arial" w:cs="Arial"/>
          <w:sz w:val="20"/>
          <w:szCs w:val="20"/>
        </w:rPr>
        <w:t xml:space="preserve"> </w:t>
      </w:r>
      <w:r w:rsidRPr="00ED191D">
        <w:rPr>
          <w:rFonts w:ascii="Arial" w:hAnsi="Arial" w:cs="Arial"/>
          <w:sz w:val="20"/>
          <w:szCs w:val="20"/>
        </w:rPr>
        <w:t>Esse assunto já foi objeto de consulta junto a este Tribunal,</w:t>
      </w:r>
      <w:r>
        <w:rPr>
          <w:rFonts w:ascii="Arial" w:hAnsi="Arial" w:cs="Arial"/>
          <w:sz w:val="20"/>
          <w:szCs w:val="20"/>
        </w:rPr>
        <w:t xml:space="preserve"> </w:t>
      </w:r>
      <w:r w:rsidRPr="00ED191D">
        <w:rPr>
          <w:rFonts w:ascii="Arial" w:hAnsi="Arial" w:cs="Arial"/>
          <w:sz w:val="20"/>
          <w:szCs w:val="20"/>
        </w:rPr>
        <w:t xml:space="preserve">respondida por meio do Acórdão nº 1420/10 </w:t>
      </w:r>
      <w:r>
        <w:rPr>
          <w:rFonts w:ascii="Arial" w:hAnsi="Arial" w:cs="Arial"/>
          <w:sz w:val="20"/>
          <w:szCs w:val="20"/>
        </w:rPr>
        <w:t>-</w:t>
      </w:r>
      <w:r w:rsidRPr="00ED191D">
        <w:rPr>
          <w:rFonts w:ascii="Arial" w:hAnsi="Arial" w:cs="Arial"/>
          <w:sz w:val="20"/>
          <w:szCs w:val="20"/>
        </w:rPr>
        <w:t xml:space="preserve"> Pleno:</w:t>
      </w:r>
      <w:r>
        <w:rPr>
          <w:rFonts w:ascii="Arial" w:hAnsi="Arial" w:cs="Arial"/>
          <w:sz w:val="20"/>
          <w:szCs w:val="20"/>
        </w:rPr>
        <w:t xml:space="preserve"> </w:t>
      </w:r>
      <w:r w:rsidRPr="00ED191D">
        <w:rPr>
          <w:rFonts w:ascii="Arial" w:hAnsi="Arial" w:cs="Arial"/>
          <w:i/>
          <w:sz w:val="20"/>
          <w:szCs w:val="20"/>
        </w:rPr>
        <w:t xml:space="preserve">“Consulta. Mandato de Vereador. Honorários médicos pagos por OSCIP contratada pela municipalidade. Incompatibilidade. Constituição Federal, art. 54, inc. II, alínea “a”. </w:t>
      </w:r>
      <w:proofErr w:type="gramStart"/>
      <w:r w:rsidRPr="00ED191D">
        <w:rPr>
          <w:rFonts w:ascii="Arial" w:hAnsi="Arial" w:cs="Arial"/>
          <w:bCs/>
          <w:i/>
          <w:sz w:val="20"/>
          <w:szCs w:val="20"/>
        </w:rPr>
        <w:t>Impossibilidade.</w:t>
      </w:r>
      <w:r w:rsidRPr="00ED191D">
        <w:rPr>
          <w:rFonts w:ascii="Arial" w:hAnsi="Arial" w:cs="Arial"/>
          <w:i/>
          <w:sz w:val="20"/>
          <w:szCs w:val="20"/>
        </w:rPr>
        <w:t>”</w:t>
      </w:r>
      <w:proofErr w:type="gramEnd"/>
    </w:p>
    <w:p w:rsidR="009A3B28" w:rsidRDefault="009A3B28" w:rsidP="00816942">
      <w:pPr>
        <w:autoSpaceDE w:val="0"/>
        <w:autoSpaceDN w:val="0"/>
        <w:adjustRightInd w:val="0"/>
        <w:spacing w:after="0"/>
        <w:jc w:val="both"/>
        <w:rPr>
          <w:rFonts w:ascii="Arial" w:hAnsi="Arial" w:cs="Arial"/>
          <w:sz w:val="20"/>
          <w:szCs w:val="20"/>
        </w:rPr>
      </w:pPr>
    </w:p>
    <w:p w:rsidR="00F2578C" w:rsidRDefault="00F2578C" w:rsidP="00816942">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198586/09 </w:t>
      </w:r>
      <w:r w:rsidR="008241C3">
        <w:rPr>
          <w:rFonts w:ascii="Arial" w:hAnsi="Arial" w:cs="Arial"/>
          <w:sz w:val="20"/>
          <w:szCs w:val="20"/>
        </w:rPr>
        <w:t>-</w:t>
      </w:r>
      <w:r>
        <w:rPr>
          <w:rFonts w:ascii="Arial" w:hAnsi="Arial" w:cs="Arial"/>
          <w:sz w:val="20"/>
          <w:szCs w:val="20"/>
        </w:rPr>
        <w:t xml:space="preserve"> </w:t>
      </w:r>
      <w:hyperlink r:id="rId9" w:history="1">
        <w:r w:rsidRPr="008F5E5D">
          <w:rPr>
            <w:rStyle w:val="Hyperlink"/>
            <w:rFonts w:ascii="Arial" w:hAnsi="Arial" w:cs="Arial"/>
            <w:sz w:val="20"/>
            <w:szCs w:val="20"/>
          </w:rPr>
          <w:t xml:space="preserve">Acórdão n° 2431/17 </w:t>
        </w:r>
        <w:r w:rsidR="008241C3" w:rsidRPr="008F5E5D">
          <w:rPr>
            <w:rStyle w:val="Hyperlink"/>
            <w:rFonts w:ascii="Arial" w:hAnsi="Arial" w:cs="Arial"/>
            <w:sz w:val="20"/>
            <w:szCs w:val="20"/>
          </w:rPr>
          <w:t>-</w:t>
        </w:r>
        <w:r w:rsidRPr="008F5E5D">
          <w:rPr>
            <w:rStyle w:val="Hyperlink"/>
            <w:rFonts w:ascii="Arial" w:hAnsi="Arial" w:cs="Arial"/>
            <w:sz w:val="20"/>
            <w:szCs w:val="20"/>
          </w:rPr>
          <w:t xml:space="preserve"> Primeira Câmara</w:t>
        </w:r>
      </w:hyperlink>
      <w:r w:rsidR="008241C3">
        <w:rPr>
          <w:rFonts w:ascii="Arial" w:hAnsi="Arial" w:cs="Arial"/>
          <w:sz w:val="20"/>
          <w:szCs w:val="20"/>
        </w:rPr>
        <w:t xml:space="preserve">. Rel. Conselheiro Nestor Baptista. </w:t>
      </w:r>
    </w:p>
    <w:p w:rsidR="000F2C3D" w:rsidRDefault="000F2C3D" w:rsidP="00816942">
      <w:pPr>
        <w:autoSpaceDE w:val="0"/>
        <w:autoSpaceDN w:val="0"/>
        <w:adjustRightInd w:val="0"/>
        <w:spacing w:after="0"/>
        <w:jc w:val="both"/>
        <w:rPr>
          <w:rFonts w:ascii="Arial" w:hAnsi="Arial" w:cs="Arial"/>
          <w:sz w:val="20"/>
          <w:szCs w:val="20"/>
        </w:rPr>
      </w:pPr>
    </w:p>
    <w:p w:rsidR="000F2C3D" w:rsidRDefault="00693A94" w:rsidP="00CE4D8E">
      <w:pPr>
        <w:autoSpaceDE w:val="0"/>
        <w:autoSpaceDN w:val="0"/>
        <w:adjustRightInd w:val="0"/>
        <w:spacing w:after="0"/>
        <w:jc w:val="both"/>
        <w:rPr>
          <w:rFonts w:ascii="Arial" w:hAnsi="Arial" w:cs="Arial"/>
          <w:b/>
          <w:sz w:val="20"/>
          <w:szCs w:val="20"/>
        </w:rPr>
      </w:pPr>
      <w:r>
        <w:rPr>
          <w:rFonts w:ascii="Arial" w:hAnsi="Arial" w:cs="Arial"/>
          <w:b/>
          <w:sz w:val="20"/>
          <w:szCs w:val="20"/>
        </w:rPr>
        <w:t xml:space="preserve">3. </w:t>
      </w:r>
      <w:r w:rsidR="00CE4D8E" w:rsidRPr="00F06FA9">
        <w:rPr>
          <w:rFonts w:ascii="Arial" w:hAnsi="Arial" w:cs="Arial"/>
          <w:b/>
          <w:sz w:val="20"/>
          <w:szCs w:val="20"/>
        </w:rPr>
        <w:t>Tomada de Contas Extraordinária. Controle de medicamentos precário. Recebimento de medicamentos pelo Secretário de Saúde. Atuação do Controle interno deficiente. Regular com ressalvas.</w:t>
      </w:r>
    </w:p>
    <w:p w:rsidR="00F06FA9" w:rsidRDefault="00F06FA9" w:rsidP="00CE4D8E">
      <w:pPr>
        <w:autoSpaceDE w:val="0"/>
        <w:autoSpaceDN w:val="0"/>
        <w:adjustRightInd w:val="0"/>
        <w:spacing w:after="0"/>
        <w:jc w:val="both"/>
        <w:rPr>
          <w:rFonts w:ascii="Arial" w:hAnsi="Arial" w:cs="Arial"/>
          <w:b/>
          <w:sz w:val="20"/>
          <w:szCs w:val="20"/>
        </w:rPr>
      </w:pPr>
    </w:p>
    <w:p w:rsidR="00F06FA9" w:rsidRDefault="00F06FA9" w:rsidP="00F06FA9">
      <w:pPr>
        <w:autoSpaceDE w:val="0"/>
        <w:autoSpaceDN w:val="0"/>
        <w:adjustRightInd w:val="0"/>
        <w:spacing w:after="0"/>
        <w:jc w:val="both"/>
        <w:rPr>
          <w:rFonts w:ascii="Arial" w:hAnsi="Arial" w:cs="Arial"/>
          <w:sz w:val="20"/>
          <w:szCs w:val="20"/>
        </w:rPr>
      </w:pPr>
      <w:r w:rsidRPr="00F06FA9">
        <w:rPr>
          <w:rFonts w:ascii="Arial" w:hAnsi="Arial" w:cs="Arial"/>
          <w:sz w:val="20"/>
          <w:szCs w:val="20"/>
        </w:rPr>
        <w:t>O</w:t>
      </w:r>
      <w:r>
        <w:rPr>
          <w:rFonts w:ascii="Arial" w:hAnsi="Arial" w:cs="Arial"/>
          <w:sz w:val="20"/>
          <w:szCs w:val="20"/>
        </w:rPr>
        <w:t xml:space="preserve"> </w:t>
      </w:r>
      <w:r w:rsidRPr="00F06FA9">
        <w:rPr>
          <w:rFonts w:ascii="Arial" w:hAnsi="Arial" w:cs="Arial"/>
          <w:sz w:val="20"/>
          <w:szCs w:val="20"/>
        </w:rPr>
        <w:t>Município comprovou, por meio de documentos</w:t>
      </w:r>
      <w:r>
        <w:rPr>
          <w:rFonts w:ascii="Arial" w:hAnsi="Arial" w:cs="Arial"/>
          <w:sz w:val="20"/>
          <w:szCs w:val="20"/>
        </w:rPr>
        <w:t xml:space="preserve"> </w:t>
      </w:r>
      <w:r w:rsidRPr="00F06FA9">
        <w:rPr>
          <w:rFonts w:ascii="Arial" w:hAnsi="Arial" w:cs="Arial"/>
          <w:sz w:val="20"/>
          <w:szCs w:val="20"/>
        </w:rPr>
        <w:t>acostados aos autos, que há controle de entrada e saída de medicamentos realizado</w:t>
      </w:r>
      <w:r>
        <w:rPr>
          <w:rFonts w:ascii="Arial" w:hAnsi="Arial" w:cs="Arial"/>
          <w:sz w:val="20"/>
          <w:szCs w:val="20"/>
        </w:rPr>
        <w:t xml:space="preserve"> </w:t>
      </w:r>
      <w:r w:rsidRPr="00F06FA9">
        <w:rPr>
          <w:rFonts w:ascii="Arial" w:hAnsi="Arial" w:cs="Arial"/>
          <w:sz w:val="20"/>
          <w:szCs w:val="20"/>
        </w:rPr>
        <w:t>através de solicitações de medicamentos, com nome de pacientes, datas de entrada</w:t>
      </w:r>
      <w:r>
        <w:rPr>
          <w:rFonts w:ascii="Arial" w:hAnsi="Arial" w:cs="Arial"/>
          <w:sz w:val="20"/>
          <w:szCs w:val="20"/>
        </w:rPr>
        <w:t xml:space="preserve"> </w:t>
      </w:r>
      <w:r w:rsidRPr="00F06FA9">
        <w:rPr>
          <w:rFonts w:ascii="Arial" w:hAnsi="Arial" w:cs="Arial"/>
          <w:sz w:val="20"/>
          <w:szCs w:val="20"/>
        </w:rPr>
        <w:t>e de saída dos fármacos, além de receituários identificando os responsáveis.</w:t>
      </w:r>
      <w:r>
        <w:rPr>
          <w:rFonts w:ascii="Arial" w:hAnsi="Arial" w:cs="Arial"/>
          <w:sz w:val="20"/>
          <w:szCs w:val="20"/>
        </w:rPr>
        <w:t xml:space="preserve"> </w:t>
      </w:r>
    </w:p>
    <w:p w:rsidR="00F06FA9" w:rsidRDefault="00F06FA9" w:rsidP="00F06FA9">
      <w:pPr>
        <w:autoSpaceDE w:val="0"/>
        <w:autoSpaceDN w:val="0"/>
        <w:adjustRightInd w:val="0"/>
        <w:spacing w:after="0"/>
        <w:jc w:val="both"/>
        <w:rPr>
          <w:rFonts w:ascii="Arial" w:hAnsi="Arial" w:cs="Arial"/>
          <w:sz w:val="20"/>
          <w:szCs w:val="20"/>
        </w:rPr>
      </w:pPr>
    </w:p>
    <w:p w:rsidR="00F06FA9" w:rsidRPr="00F06FA9" w:rsidRDefault="00F06FA9" w:rsidP="00F06FA9">
      <w:pPr>
        <w:autoSpaceDE w:val="0"/>
        <w:autoSpaceDN w:val="0"/>
        <w:adjustRightInd w:val="0"/>
        <w:spacing w:after="0"/>
        <w:jc w:val="both"/>
        <w:rPr>
          <w:rFonts w:ascii="Arial" w:hAnsi="Arial" w:cs="Arial"/>
          <w:sz w:val="20"/>
          <w:szCs w:val="20"/>
        </w:rPr>
      </w:pPr>
      <w:r w:rsidRPr="00F06FA9">
        <w:rPr>
          <w:rFonts w:ascii="Arial" w:hAnsi="Arial" w:cs="Arial"/>
          <w:sz w:val="20"/>
          <w:szCs w:val="20"/>
        </w:rPr>
        <w:t>No entanto, tal controle revela-se precário, sendo necessário o seu</w:t>
      </w:r>
      <w:r>
        <w:rPr>
          <w:rFonts w:ascii="Arial" w:hAnsi="Arial" w:cs="Arial"/>
          <w:sz w:val="20"/>
          <w:szCs w:val="20"/>
        </w:rPr>
        <w:t xml:space="preserve"> </w:t>
      </w:r>
      <w:r w:rsidRPr="00F06FA9">
        <w:rPr>
          <w:rFonts w:ascii="Arial" w:hAnsi="Arial" w:cs="Arial"/>
          <w:sz w:val="20"/>
          <w:szCs w:val="20"/>
        </w:rPr>
        <w:t>aperfeiçoamento, principalmente por sistemas informáticos, com vistas a torná-lo</w:t>
      </w:r>
      <w:r>
        <w:rPr>
          <w:rFonts w:ascii="Arial" w:hAnsi="Arial" w:cs="Arial"/>
          <w:sz w:val="20"/>
          <w:szCs w:val="20"/>
        </w:rPr>
        <w:t xml:space="preserve"> </w:t>
      </w:r>
      <w:r w:rsidRPr="00F06FA9">
        <w:rPr>
          <w:rFonts w:ascii="Arial" w:hAnsi="Arial" w:cs="Arial"/>
          <w:sz w:val="20"/>
          <w:szCs w:val="20"/>
        </w:rPr>
        <w:t>mais eficiente e menos propenso a erros, além da transparência e publicidade</w:t>
      </w:r>
      <w:r>
        <w:rPr>
          <w:rFonts w:ascii="Arial" w:hAnsi="Arial" w:cs="Arial"/>
          <w:sz w:val="20"/>
          <w:szCs w:val="20"/>
        </w:rPr>
        <w:t xml:space="preserve"> </w:t>
      </w:r>
      <w:r w:rsidRPr="00F06FA9">
        <w:rPr>
          <w:rFonts w:ascii="Arial" w:hAnsi="Arial" w:cs="Arial"/>
          <w:sz w:val="20"/>
          <w:szCs w:val="20"/>
        </w:rPr>
        <w:t>necessárias ao controle da Administração Pública.</w:t>
      </w:r>
    </w:p>
    <w:p w:rsidR="00F06FA9" w:rsidRDefault="00F06FA9" w:rsidP="00F06FA9">
      <w:pPr>
        <w:autoSpaceDE w:val="0"/>
        <w:autoSpaceDN w:val="0"/>
        <w:adjustRightInd w:val="0"/>
        <w:spacing w:after="0"/>
        <w:jc w:val="both"/>
        <w:rPr>
          <w:rFonts w:ascii="Arial" w:hAnsi="Arial" w:cs="Arial"/>
          <w:sz w:val="20"/>
          <w:szCs w:val="20"/>
        </w:rPr>
      </w:pPr>
      <w:r w:rsidRPr="00F06FA9">
        <w:rPr>
          <w:rFonts w:ascii="Arial" w:hAnsi="Arial" w:cs="Arial"/>
          <w:sz w:val="20"/>
          <w:szCs w:val="20"/>
        </w:rPr>
        <w:lastRenderedPageBreak/>
        <w:t>Também se mostrou necessária a adequação de procedimentos</w:t>
      </w:r>
      <w:r>
        <w:rPr>
          <w:rFonts w:ascii="Arial" w:hAnsi="Arial" w:cs="Arial"/>
          <w:sz w:val="20"/>
          <w:szCs w:val="20"/>
        </w:rPr>
        <w:t xml:space="preserve"> </w:t>
      </w:r>
      <w:r w:rsidRPr="00F06FA9">
        <w:rPr>
          <w:rFonts w:ascii="Arial" w:hAnsi="Arial" w:cs="Arial"/>
          <w:sz w:val="20"/>
          <w:szCs w:val="20"/>
        </w:rPr>
        <w:t>para o recebimento dos medicamentos após a sua aquisição, devendo ser realizada</w:t>
      </w:r>
      <w:r>
        <w:rPr>
          <w:rFonts w:ascii="Arial" w:hAnsi="Arial" w:cs="Arial"/>
          <w:sz w:val="20"/>
          <w:szCs w:val="20"/>
        </w:rPr>
        <w:t xml:space="preserve"> </w:t>
      </w:r>
      <w:r w:rsidRPr="00F06FA9">
        <w:rPr>
          <w:rFonts w:ascii="Arial" w:hAnsi="Arial" w:cs="Arial"/>
          <w:sz w:val="20"/>
          <w:szCs w:val="20"/>
        </w:rPr>
        <w:t>por profissional adequado, em vez de serem recebidos pelo Secretário de Saúde.</w:t>
      </w:r>
      <w:r>
        <w:rPr>
          <w:rFonts w:ascii="Arial" w:hAnsi="Arial" w:cs="Arial"/>
          <w:sz w:val="20"/>
          <w:szCs w:val="20"/>
        </w:rPr>
        <w:t xml:space="preserve"> </w:t>
      </w:r>
    </w:p>
    <w:p w:rsidR="00F06FA9" w:rsidRPr="00F06FA9" w:rsidRDefault="00F06FA9" w:rsidP="00F06FA9">
      <w:pPr>
        <w:autoSpaceDE w:val="0"/>
        <w:autoSpaceDN w:val="0"/>
        <w:adjustRightInd w:val="0"/>
        <w:spacing w:after="0"/>
        <w:jc w:val="both"/>
        <w:rPr>
          <w:rFonts w:ascii="Arial" w:hAnsi="Arial" w:cs="Arial"/>
          <w:sz w:val="20"/>
          <w:szCs w:val="20"/>
        </w:rPr>
      </w:pPr>
    </w:p>
    <w:p w:rsidR="00F06FA9" w:rsidRDefault="00F06FA9" w:rsidP="00F06FA9">
      <w:pPr>
        <w:autoSpaceDE w:val="0"/>
        <w:autoSpaceDN w:val="0"/>
        <w:adjustRightInd w:val="0"/>
        <w:spacing w:after="0"/>
        <w:jc w:val="both"/>
        <w:rPr>
          <w:rFonts w:ascii="Arial" w:hAnsi="Arial" w:cs="Arial"/>
          <w:sz w:val="20"/>
          <w:szCs w:val="20"/>
        </w:rPr>
      </w:pPr>
      <w:r w:rsidRPr="00F06FA9">
        <w:rPr>
          <w:rFonts w:ascii="Arial" w:hAnsi="Arial" w:cs="Arial"/>
          <w:sz w:val="20"/>
          <w:szCs w:val="20"/>
        </w:rPr>
        <w:t>O Controle Interno também não se mostrou satisfatório, uma vez que não identificou as falhas no controle do estoque de medicamentos. A existência de controle de estoque de medicamentos,</w:t>
      </w:r>
      <w:r w:rsidR="00976BDC">
        <w:rPr>
          <w:rFonts w:ascii="Arial" w:hAnsi="Arial" w:cs="Arial"/>
          <w:sz w:val="20"/>
          <w:szCs w:val="20"/>
        </w:rPr>
        <w:t xml:space="preserve"> </w:t>
      </w:r>
      <w:r w:rsidRPr="00F06FA9">
        <w:rPr>
          <w:rFonts w:ascii="Arial" w:hAnsi="Arial" w:cs="Arial"/>
          <w:sz w:val="20"/>
          <w:szCs w:val="20"/>
        </w:rPr>
        <w:t>controlando e</w:t>
      </w:r>
      <w:r>
        <w:rPr>
          <w:rFonts w:ascii="Arial" w:hAnsi="Arial" w:cs="Arial"/>
          <w:sz w:val="20"/>
          <w:szCs w:val="20"/>
        </w:rPr>
        <w:t xml:space="preserve"> </w:t>
      </w:r>
      <w:r w:rsidRPr="00F06FA9">
        <w:rPr>
          <w:rFonts w:ascii="Arial" w:hAnsi="Arial" w:cs="Arial"/>
          <w:sz w:val="20"/>
          <w:szCs w:val="20"/>
        </w:rPr>
        <w:t>registrando as entradas e saídas, contribui para o planejamento das aquisições,</w:t>
      </w:r>
      <w:r w:rsidR="00976BDC">
        <w:rPr>
          <w:rFonts w:ascii="Arial" w:hAnsi="Arial" w:cs="Arial"/>
          <w:sz w:val="20"/>
          <w:szCs w:val="20"/>
        </w:rPr>
        <w:t xml:space="preserve"> </w:t>
      </w:r>
      <w:r w:rsidRPr="00F06FA9">
        <w:rPr>
          <w:rFonts w:ascii="Arial" w:hAnsi="Arial" w:cs="Arial"/>
          <w:sz w:val="20"/>
          <w:szCs w:val="20"/>
        </w:rPr>
        <w:t>evitando desperdícios e desvios, além de possibilitar o adequado controle e</w:t>
      </w:r>
      <w:r>
        <w:rPr>
          <w:rFonts w:ascii="Arial" w:hAnsi="Arial" w:cs="Arial"/>
          <w:sz w:val="20"/>
          <w:szCs w:val="20"/>
        </w:rPr>
        <w:t xml:space="preserve"> </w:t>
      </w:r>
      <w:r w:rsidRPr="00F06FA9">
        <w:rPr>
          <w:rFonts w:ascii="Arial" w:hAnsi="Arial" w:cs="Arial"/>
          <w:sz w:val="20"/>
          <w:szCs w:val="20"/>
        </w:rPr>
        <w:t>fiscalização dos gastos com medicamentos, tanto interno quanto externo.</w:t>
      </w:r>
    </w:p>
    <w:p w:rsidR="00976BDC" w:rsidRDefault="00976BDC" w:rsidP="00F06FA9">
      <w:pPr>
        <w:autoSpaceDE w:val="0"/>
        <w:autoSpaceDN w:val="0"/>
        <w:adjustRightInd w:val="0"/>
        <w:spacing w:after="0"/>
        <w:jc w:val="both"/>
        <w:rPr>
          <w:rFonts w:ascii="Arial" w:hAnsi="Arial" w:cs="Arial"/>
          <w:sz w:val="20"/>
          <w:szCs w:val="20"/>
        </w:rPr>
      </w:pPr>
    </w:p>
    <w:p w:rsidR="00976BDC" w:rsidRDefault="00976BDC" w:rsidP="00F06FA9">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544986/16 - </w:t>
      </w:r>
      <w:hyperlink r:id="rId10" w:history="1">
        <w:r w:rsidRPr="00AB1FDF">
          <w:rPr>
            <w:rStyle w:val="Hyperlink"/>
            <w:rFonts w:ascii="Arial" w:hAnsi="Arial" w:cs="Arial"/>
            <w:sz w:val="20"/>
            <w:szCs w:val="20"/>
          </w:rPr>
          <w:t>Acórdão n° 2448/17 - Primeira Câmara</w:t>
        </w:r>
      </w:hyperlink>
      <w:r>
        <w:rPr>
          <w:rFonts w:ascii="Arial" w:hAnsi="Arial" w:cs="Arial"/>
          <w:sz w:val="20"/>
          <w:szCs w:val="20"/>
        </w:rPr>
        <w:t xml:space="preserve"> - Rel. Cons. Fernando Augusto Mello Guimarães.</w:t>
      </w:r>
    </w:p>
    <w:p w:rsidR="00CD68EE" w:rsidRDefault="00CD68EE" w:rsidP="00CD68EE">
      <w:pPr>
        <w:spacing w:after="0"/>
        <w:jc w:val="both"/>
        <w:rPr>
          <w:rFonts w:ascii="Arial" w:hAnsi="Arial" w:cs="Arial"/>
          <w:b/>
          <w:sz w:val="20"/>
          <w:szCs w:val="20"/>
        </w:rPr>
      </w:pPr>
    </w:p>
    <w:p w:rsidR="00CD68EE" w:rsidRPr="00CC4656" w:rsidRDefault="00693A94" w:rsidP="00CD68EE">
      <w:pPr>
        <w:spacing w:after="0"/>
        <w:jc w:val="both"/>
        <w:rPr>
          <w:rFonts w:ascii="Arial" w:hAnsi="Arial" w:cs="Arial"/>
          <w:b/>
          <w:sz w:val="20"/>
          <w:szCs w:val="20"/>
        </w:rPr>
      </w:pPr>
      <w:r>
        <w:rPr>
          <w:rFonts w:ascii="Arial" w:hAnsi="Arial" w:cs="Arial"/>
          <w:b/>
          <w:sz w:val="20"/>
          <w:szCs w:val="20"/>
        </w:rPr>
        <w:t xml:space="preserve">4. </w:t>
      </w:r>
      <w:r w:rsidR="00CD68EE" w:rsidRPr="00CC4656">
        <w:rPr>
          <w:rFonts w:ascii="Arial" w:hAnsi="Arial" w:cs="Arial"/>
          <w:b/>
          <w:sz w:val="20"/>
          <w:szCs w:val="20"/>
        </w:rPr>
        <w:t xml:space="preserve">Tomada de Contas Extraordinária. Comunicação de Irregularidade que detectou, em análise por amostragem de medicamentos, valores pagos a maior pelo Município de Pato Bragado quando em comparação à tabela da ANVISA.  Adoção de entendimento do Tribunal de Contas da União, que em auditoria </w:t>
      </w:r>
      <w:r w:rsidR="00CD68EE">
        <w:rPr>
          <w:rFonts w:ascii="Arial" w:hAnsi="Arial" w:cs="Arial"/>
          <w:b/>
          <w:sz w:val="20"/>
          <w:szCs w:val="20"/>
        </w:rPr>
        <w:t xml:space="preserve">verificou </w:t>
      </w:r>
      <w:r w:rsidR="00CD68EE" w:rsidRPr="00CC4656">
        <w:rPr>
          <w:rFonts w:ascii="Arial" w:hAnsi="Arial" w:cs="Arial"/>
          <w:b/>
          <w:sz w:val="20"/>
          <w:szCs w:val="20"/>
        </w:rPr>
        <w:t xml:space="preserve">falhas na formação de preços na tabela da CMED. Pela regularidade da TCE com recomendação. </w:t>
      </w:r>
    </w:p>
    <w:p w:rsidR="00CD68EE" w:rsidRDefault="00CD68EE" w:rsidP="00CD68EE">
      <w:pPr>
        <w:spacing w:after="0"/>
        <w:jc w:val="both"/>
        <w:rPr>
          <w:rFonts w:ascii="Arial" w:hAnsi="Arial" w:cs="Arial"/>
          <w:sz w:val="20"/>
          <w:szCs w:val="20"/>
        </w:rPr>
      </w:pPr>
    </w:p>
    <w:p w:rsidR="00CD68EE" w:rsidRDefault="00CD68EE" w:rsidP="00CD68EE">
      <w:pPr>
        <w:spacing w:after="0"/>
        <w:jc w:val="both"/>
        <w:rPr>
          <w:rFonts w:ascii="Arial" w:hAnsi="Arial" w:cs="Arial"/>
          <w:sz w:val="20"/>
          <w:szCs w:val="20"/>
        </w:rPr>
      </w:pPr>
      <w:r>
        <w:rPr>
          <w:rFonts w:ascii="Arial" w:hAnsi="Arial" w:cs="Arial"/>
          <w:sz w:val="20"/>
          <w:szCs w:val="20"/>
        </w:rPr>
        <w:t>Tomada de Contas Extraordinária instaurada a partir de Comunicação de Irregularidade decorrente de apontamento efetuado por meio do Procedimento de Acompanhamento Remoto (PROAR</w:t>
      </w:r>
      <w:proofErr w:type="gramStart"/>
      <w:r>
        <w:rPr>
          <w:rFonts w:ascii="Arial" w:hAnsi="Arial" w:cs="Arial"/>
          <w:sz w:val="20"/>
          <w:szCs w:val="20"/>
        </w:rPr>
        <w:t>),  analisou</w:t>
      </w:r>
      <w:proofErr w:type="gramEnd"/>
      <w:r>
        <w:rPr>
          <w:rFonts w:ascii="Arial" w:hAnsi="Arial" w:cs="Arial"/>
          <w:sz w:val="20"/>
          <w:szCs w:val="20"/>
        </w:rPr>
        <w:t xml:space="preserve"> por amostragem, medicamentos dos contratos firmados pelo Município de Pato Bragado, nos exercícios de 2014 e 2015. Consignou-se na Comunicação de Irregularidade que ao comparar os preços dos medicamentos pagos pela municipalidade e aqueles da tabela da ANVISA, foram adquiridos por valores acima do máximo permitido, o que teria causado </w:t>
      </w:r>
      <w:proofErr w:type="spellStart"/>
      <w:r>
        <w:rPr>
          <w:rFonts w:ascii="Arial" w:hAnsi="Arial" w:cs="Arial"/>
          <w:sz w:val="20"/>
          <w:szCs w:val="20"/>
        </w:rPr>
        <w:t>dano</w:t>
      </w:r>
      <w:proofErr w:type="spellEnd"/>
      <w:r>
        <w:rPr>
          <w:rFonts w:ascii="Arial" w:hAnsi="Arial" w:cs="Arial"/>
          <w:sz w:val="20"/>
          <w:szCs w:val="20"/>
        </w:rPr>
        <w:t xml:space="preserve"> aos cofres públicos. Da comparação resultou que se excedeu o valor de R$ 171.989,29, na amostragem. Ademais, salientou a Unidade, a não observância das resoluções pelos fornecedores de medicamentos nas compras pelo setor público, gera para o gestor a obrigação de </w:t>
      </w:r>
      <w:proofErr w:type="gramStart"/>
      <w:r>
        <w:rPr>
          <w:rFonts w:ascii="Arial" w:hAnsi="Arial" w:cs="Arial"/>
          <w:sz w:val="20"/>
          <w:szCs w:val="20"/>
        </w:rPr>
        <w:t>comunicar  o</w:t>
      </w:r>
      <w:proofErr w:type="gramEnd"/>
      <w:r>
        <w:rPr>
          <w:rFonts w:ascii="Arial" w:hAnsi="Arial" w:cs="Arial"/>
          <w:sz w:val="20"/>
          <w:szCs w:val="20"/>
        </w:rPr>
        <w:t xml:space="preserve"> fato à CMED e ao Ministério Público Federal e Estadual. </w:t>
      </w:r>
    </w:p>
    <w:p w:rsidR="00CD68EE" w:rsidRDefault="00CD68EE" w:rsidP="00CD68EE">
      <w:pPr>
        <w:spacing w:after="0"/>
        <w:jc w:val="both"/>
        <w:rPr>
          <w:rFonts w:ascii="Arial" w:hAnsi="Arial" w:cs="Arial"/>
          <w:sz w:val="20"/>
          <w:szCs w:val="20"/>
        </w:rPr>
      </w:pPr>
    </w:p>
    <w:p w:rsidR="00CD68EE" w:rsidRDefault="00CD68EE" w:rsidP="00CD68EE">
      <w:pPr>
        <w:spacing w:after="0"/>
        <w:jc w:val="both"/>
        <w:rPr>
          <w:rFonts w:ascii="Arial" w:hAnsi="Arial" w:cs="Arial"/>
          <w:i/>
          <w:sz w:val="20"/>
          <w:szCs w:val="20"/>
        </w:rPr>
      </w:pPr>
      <w:r>
        <w:rPr>
          <w:rFonts w:ascii="Arial" w:hAnsi="Arial" w:cs="Arial"/>
          <w:sz w:val="20"/>
          <w:szCs w:val="20"/>
        </w:rPr>
        <w:t xml:space="preserve">A Coordenadoria de Fiscalização Municipal (COFIM), cujo posicionamento foi acolhido pela presente decisão, trouxe à lume o Acórdão nº 2150/15-Plenário, do TCU, que afasta o preço-fábrica definido pela Câmara de Regulação do Mercado de Medicamentos (CMED), utilizado como parâmetro para aferição dos preços dos medicamentos adquiridos pelas entidades fiscalizadas. O TCU recomenda que a tabela da CMED não seja usada de forma prioritária, como parâmetro de preços, tendo em vista a detecção de falhas na composição dos preços em auditoria que realizara no ano de 2011. Ressalta que </w:t>
      </w:r>
      <w:r w:rsidRPr="009623D8">
        <w:rPr>
          <w:rFonts w:ascii="Arial" w:hAnsi="Arial" w:cs="Arial"/>
          <w:i/>
          <w:sz w:val="20"/>
          <w:szCs w:val="20"/>
        </w:rPr>
        <w:t>“</w:t>
      </w:r>
      <w:r>
        <w:rPr>
          <w:rFonts w:ascii="Arial" w:hAnsi="Arial" w:cs="Arial"/>
          <w:i/>
          <w:sz w:val="20"/>
          <w:szCs w:val="20"/>
        </w:rPr>
        <w:t>a</w:t>
      </w:r>
      <w:r w:rsidRPr="009623D8">
        <w:rPr>
          <w:rFonts w:ascii="Arial" w:hAnsi="Arial" w:cs="Arial"/>
          <w:i/>
          <w:sz w:val="20"/>
          <w:szCs w:val="20"/>
        </w:rPr>
        <w:t xml:space="preserve"> pesquisa de preços para a formação do orçamento de referência nas compras de medicamento</w:t>
      </w:r>
      <w:r>
        <w:rPr>
          <w:rFonts w:ascii="Arial" w:hAnsi="Arial" w:cs="Arial"/>
          <w:i/>
          <w:sz w:val="20"/>
          <w:szCs w:val="20"/>
        </w:rPr>
        <w:t xml:space="preserve">s e materiais hospitalares </w:t>
      </w:r>
      <w:proofErr w:type="gramStart"/>
      <w:r>
        <w:rPr>
          <w:rFonts w:ascii="Arial" w:hAnsi="Arial" w:cs="Arial"/>
          <w:i/>
          <w:sz w:val="20"/>
          <w:szCs w:val="20"/>
        </w:rPr>
        <w:t xml:space="preserve">deve </w:t>
      </w:r>
      <w:r w:rsidRPr="009623D8">
        <w:rPr>
          <w:rFonts w:ascii="Arial" w:hAnsi="Arial" w:cs="Arial"/>
          <w:i/>
          <w:sz w:val="20"/>
          <w:szCs w:val="20"/>
        </w:rPr>
        <w:t xml:space="preserve"> ser</w:t>
      </w:r>
      <w:proofErr w:type="gramEnd"/>
      <w:r w:rsidRPr="009623D8">
        <w:rPr>
          <w:rFonts w:ascii="Arial" w:hAnsi="Arial" w:cs="Arial"/>
          <w:i/>
          <w:sz w:val="20"/>
          <w:szCs w:val="20"/>
        </w:rPr>
        <w:t xml:space="preserve"> ampla, (art. 15, § 1º, da Lei nº 8.666/93), não sendo suficiente para atender ao dispositivo apenas a consulta aos preços constantes no sítio da ANVISA e na tabela da CMED”.</w:t>
      </w:r>
    </w:p>
    <w:p w:rsidR="00CD68EE" w:rsidRDefault="00CD68EE" w:rsidP="00CD68EE">
      <w:pPr>
        <w:spacing w:after="0"/>
        <w:jc w:val="both"/>
        <w:rPr>
          <w:rFonts w:ascii="Arial" w:hAnsi="Arial" w:cs="Arial"/>
          <w:sz w:val="20"/>
          <w:szCs w:val="20"/>
        </w:rPr>
      </w:pPr>
    </w:p>
    <w:p w:rsidR="00CD68EE" w:rsidRDefault="00CD68EE" w:rsidP="00CD68EE">
      <w:pPr>
        <w:spacing w:after="0"/>
        <w:jc w:val="both"/>
        <w:rPr>
          <w:rFonts w:ascii="Arial" w:hAnsi="Arial" w:cs="Arial"/>
          <w:sz w:val="20"/>
          <w:szCs w:val="20"/>
        </w:rPr>
      </w:pPr>
      <w:r>
        <w:rPr>
          <w:rFonts w:ascii="Arial" w:hAnsi="Arial" w:cs="Arial"/>
          <w:sz w:val="20"/>
          <w:szCs w:val="20"/>
        </w:rPr>
        <w:lastRenderedPageBreak/>
        <w:t xml:space="preserve">Diante deste fato, o voto foi no sentido da regularidade das contas, nos termos do art. 16, I, da Lei Complementar Estadual nº 113/05, com a recomendação de que o Município de Pato Bragado, após a realização da cotação dos medicamentos, visando apurar o preço médio, anexe os comprovantes dos orçamentos no respectivo processo de licitação, visando comprovar a pesquisa de preços. </w:t>
      </w:r>
    </w:p>
    <w:p w:rsidR="00CD68EE" w:rsidRDefault="00CD68EE" w:rsidP="00CD68EE">
      <w:pPr>
        <w:spacing w:after="0"/>
        <w:jc w:val="both"/>
        <w:rPr>
          <w:rFonts w:ascii="Arial" w:hAnsi="Arial" w:cs="Arial"/>
          <w:sz w:val="20"/>
          <w:szCs w:val="20"/>
        </w:rPr>
      </w:pPr>
    </w:p>
    <w:p w:rsidR="00CD68EE" w:rsidRDefault="00CD68EE" w:rsidP="00CD68EE">
      <w:pPr>
        <w:spacing w:after="0"/>
        <w:jc w:val="both"/>
        <w:rPr>
          <w:rFonts w:ascii="Arial" w:hAnsi="Arial" w:cs="Arial"/>
          <w:sz w:val="20"/>
          <w:szCs w:val="20"/>
        </w:rPr>
      </w:pPr>
      <w:r>
        <w:rPr>
          <w:rFonts w:ascii="Arial" w:hAnsi="Arial" w:cs="Arial"/>
          <w:sz w:val="20"/>
          <w:szCs w:val="20"/>
        </w:rPr>
        <w:t xml:space="preserve">Processo nº 734106/16 - </w:t>
      </w:r>
      <w:hyperlink r:id="rId11" w:history="1">
        <w:r w:rsidRPr="0014478B">
          <w:rPr>
            <w:rStyle w:val="Hyperlink"/>
            <w:rFonts w:ascii="Arial" w:hAnsi="Arial" w:cs="Arial"/>
            <w:sz w:val="20"/>
            <w:szCs w:val="20"/>
          </w:rPr>
          <w:t>Acórdão nº 2277/17</w:t>
        </w:r>
        <w:r w:rsidR="00B54B01">
          <w:rPr>
            <w:rStyle w:val="Hyperlink"/>
            <w:rFonts w:ascii="Arial" w:hAnsi="Arial" w:cs="Arial"/>
            <w:sz w:val="20"/>
            <w:szCs w:val="20"/>
          </w:rPr>
          <w:t xml:space="preserve"> </w:t>
        </w:r>
        <w:r w:rsidRPr="0014478B">
          <w:rPr>
            <w:rStyle w:val="Hyperlink"/>
            <w:rFonts w:ascii="Arial" w:hAnsi="Arial" w:cs="Arial"/>
            <w:sz w:val="20"/>
            <w:szCs w:val="20"/>
          </w:rPr>
          <w:t>-</w:t>
        </w:r>
        <w:r>
          <w:rPr>
            <w:rStyle w:val="Hyperlink"/>
            <w:rFonts w:ascii="Arial" w:hAnsi="Arial" w:cs="Arial"/>
            <w:sz w:val="20"/>
            <w:szCs w:val="20"/>
          </w:rPr>
          <w:t xml:space="preserve"> Primeira </w:t>
        </w:r>
        <w:r w:rsidRPr="0014478B">
          <w:rPr>
            <w:rStyle w:val="Hyperlink"/>
            <w:rFonts w:ascii="Arial" w:hAnsi="Arial" w:cs="Arial"/>
            <w:sz w:val="20"/>
            <w:szCs w:val="20"/>
          </w:rPr>
          <w:t>Câmara</w:t>
        </w:r>
      </w:hyperlink>
      <w:r>
        <w:rPr>
          <w:rFonts w:ascii="Arial" w:hAnsi="Arial" w:cs="Arial"/>
          <w:sz w:val="20"/>
          <w:szCs w:val="20"/>
        </w:rPr>
        <w:t xml:space="preserve"> - Rel. Cons. Fernando Augusto Mello Guimarães.  </w:t>
      </w:r>
    </w:p>
    <w:p w:rsidR="00CD68EE" w:rsidRDefault="00CD68EE" w:rsidP="00CD68EE">
      <w:pPr>
        <w:spacing w:after="0"/>
        <w:jc w:val="both"/>
        <w:rPr>
          <w:rFonts w:ascii="Arial" w:hAnsi="Arial" w:cs="Arial"/>
          <w:sz w:val="20"/>
          <w:szCs w:val="20"/>
        </w:rPr>
      </w:pPr>
    </w:p>
    <w:p w:rsidR="00CD68EE" w:rsidRDefault="00693A94" w:rsidP="00CD68EE">
      <w:pPr>
        <w:spacing w:after="0"/>
        <w:jc w:val="both"/>
        <w:rPr>
          <w:rFonts w:ascii="Arial" w:hAnsi="Arial" w:cs="Arial"/>
          <w:b/>
          <w:sz w:val="20"/>
          <w:szCs w:val="20"/>
        </w:rPr>
      </w:pPr>
      <w:r>
        <w:rPr>
          <w:rFonts w:ascii="Arial" w:hAnsi="Arial" w:cs="Arial"/>
          <w:b/>
          <w:sz w:val="20"/>
          <w:szCs w:val="20"/>
        </w:rPr>
        <w:t xml:space="preserve">5. </w:t>
      </w:r>
      <w:r w:rsidR="00CD68EE" w:rsidRPr="00A863A3">
        <w:rPr>
          <w:rFonts w:ascii="Arial" w:hAnsi="Arial" w:cs="Arial"/>
          <w:b/>
          <w:sz w:val="20"/>
          <w:szCs w:val="20"/>
        </w:rPr>
        <w:t xml:space="preserve">Prestação de Contas Anual. Fundo de Previdência dos Servidores Municipais. Recolhimento em atraso de contribuições ao INSS. Encargos pelo atraso pagos pelos cofres públicos. Impossibilidade. Despesa alheia ao orçamento público. Condenação do Ordenador das Despesas ao ressarcimento. Irregularidade das Contas. </w:t>
      </w:r>
    </w:p>
    <w:p w:rsidR="00CD68EE" w:rsidRPr="00A863A3" w:rsidRDefault="00CD68EE" w:rsidP="00CD68EE">
      <w:pPr>
        <w:spacing w:after="0"/>
        <w:jc w:val="both"/>
        <w:rPr>
          <w:rFonts w:ascii="Arial" w:hAnsi="Arial" w:cs="Arial"/>
          <w:b/>
          <w:sz w:val="20"/>
          <w:szCs w:val="20"/>
        </w:rPr>
      </w:pPr>
    </w:p>
    <w:p w:rsidR="00CD68EE" w:rsidRDefault="00CD68EE" w:rsidP="00CD68EE">
      <w:pPr>
        <w:spacing w:after="0"/>
        <w:jc w:val="both"/>
        <w:rPr>
          <w:rFonts w:ascii="Arial" w:hAnsi="Arial" w:cs="Arial"/>
          <w:sz w:val="20"/>
          <w:szCs w:val="20"/>
        </w:rPr>
      </w:pPr>
      <w:r>
        <w:rPr>
          <w:rFonts w:ascii="Arial" w:hAnsi="Arial" w:cs="Arial"/>
          <w:sz w:val="20"/>
          <w:szCs w:val="20"/>
        </w:rPr>
        <w:t xml:space="preserve">Na análise da prestação de contas anual do exercício de 2013, a Unidade Técnica da Corte de Contas, então nominada Diretoria de Contas Municipais, verificou no Demonstrativo das Contribuições repassadas ao INSS, ter havido pagamento de encargos de mora e multa pelo atraso no recolhimento de contribuições. Encargos por atraso são despesas alheias ao orçamento público e impõem o ressarcimento dos valores pelo ordenador das despesas. </w:t>
      </w:r>
      <w:r w:rsidRPr="002C1DA8">
        <w:rPr>
          <w:rFonts w:ascii="Arial" w:hAnsi="Arial" w:cs="Arial"/>
          <w:i/>
          <w:sz w:val="20"/>
          <w:szCs w:val="20"/>
        </w:rPr>
        <w:t xml:space="preserve">“Conforme decisão consubstanciada no Acórdão de Parecer Prévio nº 62/2011-2ª Câmara, a hipótese caracteriza ‘efetivo </w:t>
      </w:r>
      <w:proofErr w:type="spellStart"/>
      <w:r w:rsidRPr="002C1DA8">
        <w:rPr>
          <w:rFonts w:ascii="Arial" w:hAnsi="Arial" w:cs="Arial"/>
          <w:i/>
          <w:sz w:val="20"/>
          <w:szCs w:val="20"/>
        </w:rPr>
        <w:t>dano</w:t>
      </w:r>
      <w:proofErr w:type="spellEnd"/>
      <w:r w:rsidRPr="002C1DA8">
        <w:rPr>
          <w:rFonts w:ascii="Arial" w:hAnsi="Arial" w:cs="Arial"/>
          <w:i/>
          <w:sz w:val="20"/>
          <w:szCs w:val="20"/>
        </w:rPr>
        <w:t xml:space="preserve"> ao erário, nos termos do art. 248, III, do Regimento Interno, decorrente de ato de gestão ilegítimo ou antieconômico”.</w:t>
      </w:r>
      <w:r>
        <w:rPr>
          <w:rFonts w:ascii="Arial" w:hAnsi="Arial" w:cs="Arial"/>
          <w:sz w:val="20"/>
          <w:szCs w:val="20"/>
        </w:rPr>
        <w:t xml:space="preserve"> </w:t>
      </w:r>
    </w:p>
    <w:p w:rsidR="00CD68EE" w:rsidRDefault="00CD68EE" w:rsidP="00CD68EE">
      <w:pPr>
        <w:spacing w:after="0"/>
        <w:jc w:val="both"/>
        <w:rPr>
          <w:rFonts w:ascii="Arial" w:hAnsi="Arial" w:cs="Arial"/>
          <w:sz w:val="20"/>
          <w:szCs w:val="20"/>
        </w:rPr>
      </w:pPr>
    </w:p>
    <w:p w:rsidR="00CD68EE" w:rsidRDefault="00CD68EE" w:rsidP="00CD68EE">
      <w:pPr>
        <w:spacing w:after="0"/>
        <w:jc w:val="both"/>
        <w:rPr>
          <w:rFonts w:ascii="Arial" w:hAnsi="Arial" w:cs="Arial"/>
          <w:sz w:val="20"/>
          <w:szCs w:val="20"/>
        </w:rPr>
      </w:pPr>
      <w:r>
        <w:rPr>
          <w:rFonts w:ascii="Arial" w:hAnsi="Arial" w:cs="Arial"/>
          <w:sz w:val="20"/>
          <w:szCs w:val="20"/>
        </w:rPr>
        <w:t>Assim, o Acórdão em questão, determinou a restituição do montante de R$ 4.539,64 (quatro mil, quinhentos e trinta e nove reais e sessenta e quatro centavos), referentes aos encargos oriundos de recolhimento em atraso de obrigações previdenciárias, pela gestora, à época, do Fundo de Previdência dos Servidores Municipais.</w:t>
      </w:r>
    </w:p>
    <w:p w:rsidR="00CD68EE" w:rsidRDefault="00CD68EE" w:rsidP="00CD68EE">
      <w:pPr>
        <w:spacing w:after="0"/>
        <w:jc w:val="both"/>
        <w:rPr>
          <w:rFonts w:ascii="Arial" w:hAnsi="Arial" w:cs="Arial"/>
          <w:sz w:val="20"/>
          <w:szCs w:val="20"/>
        </w:rPr>
      </w:pPr>
    </w:p>
    <w:p w:rsidR="00CD68EE" w:rsidRDefault="00CD68EE" w:rsidP="00CD68EE">
      <w:pPr>
        <w:spacing w:after="0"/>
        <w:jc w:val="both"/>
        <w:rPr>
          <w:rFonts w:ascii="Arial" w:hAnsi="Arial" w:cs="Arial"/>
          <w:sz w:val="20"/>
          <w:szCs w:val="20"/>
        </w:rPr>
      </w:pPr>
      <w:r>
        <w:rPr>
          <w:rFonts w:ascii="Arial" w:hAnsi="Arial" w:cs="Arial"/>
          <w:sz w:val="20"/>
          <w:szCs w:val="20"/>
        </w:rPr>
        <w:t xml:space="preserve">Processo 275449/14 - </w:t>
      </w:r>
      <w:hyperlink r:id="rId12" w:history="1">
        <w:r w:rsidRPr="00F039B5">
          <w:rPr>
            <w:rStyle w:val="Hyperlink"/>
            <w:rFonts w:ascii="Arial" w:hAnsi="Arial" w:cs="Arial"/>
            <w:sz w:val="20"/>
            <w:szCs w:val="20"/>
          </w:rPr>
          <w:t>Acórdão nº 2269/17</w:t>
        </w:r>
        <w:r w:rsidR="00E6297A">
          <w:rPr>
            <w:rStyle w:val="Hyperlink"/>
            <w:rFonts w:ascii="Arial" w:hAnsi="Arial" w:cs="Arial"/>
            <w:sz w:val="20"/>
            <w:szCs w:val="20"/>
          </w:rPr>
          <w:t xml:space="preserve"> </w:t>
        </w:r>
        <w:r w:rsidRPr="00F039B5">
          <w:rPr>
            <w:rStyle w:val="Hyperlink"/>
            <w:rFonts w:ascii="Arial" w:hAnsi="Arial" w:cs="Arial"/>
            <w:sz w:val="20"/>
            <w:szCs w:val="20"/>
          </w:rPr>
          <w:t>-</w:t>
        </w:r>
        <w:r>
          <w:rPr>
            <w:rStyle w:val="Hyperlink"/>
            <w:rFonts w:ascii="Arial" w:hAnsi="Arial" w:cs="Arial"/>
            <w:sz w:val="20"/>
            <w:szCs w:val="20"/>
          </w:rPr>
          <w:t xml:space="preserve"> Primeira </w:t>
        </w:r>
        <w:r w:rsidRPr="00F039B5">
          <w:rPr>
            <w:rStyle w:val="Hyperlink"/>
            <w:rFonts w:ascii="Arial" w:hAnsi="Arial" w:cs="Arial"/>
            <w:sz w:val="20"/>
            <w:szCs w:val="20"/>
          </w:rPr>
          <w:t>Câmara</w:t>
        </w:r>
      </w:hyperlink>
      <w:r>
        <w:rPr>
          <w:rFonts w:ascii="Arial" w:hAnsi="Arial" w:cs="Arial"/>
          <w:sz w:val="20"/>
          <w:szCs w:val="20"/>
        </w:rPr>
        <w:t xml:space="preserve"> - Relator Conselheiro Nestor Baptista. </w:t>
      </w:r>
    </w:p>
    <w:p w:rsidR="00CD68EE" w:rsidRDefault="00CD68EE" w:rsidP="00CD68EE">
      <w:pPr>
        <w:spacing w:after="0"/>
        <w:jc w:val="both"/>
        <w:rPr>
          <w:rFonts w:ascii="Arial" w:hAnsi="Arial" w:cs="Arial"/>
          <w:sz w:val="20"/>
          <w:szCs w:val="20"/>
        </w:rPr>
      </w:pPr>
    </w:p>
    <w:p w:rsidR="00EC3842" w:rsidRPr="0022060B" w:rsidRDefault="00EC3842" w:rsidP="00816942">
      <w:pPr>
        <w:shd w:val="pct10" w:color="auto" w:fill="auto"/>
        <w:spacing w:after="0"/>
        <w:jc w:val="center"/>
        <w:rPr>
          <w:rFonts w:ascii="Arial" w:hAnsi="Arial" w:cs="Arial"/>
          <w:b/>
          <w:sz w:val="20"/>
          <w:szCs w:val="20"/>
        </w:rPr>
      </w:pPr>
      <w:r w:rsidRPr="0022060B">
        <w:rPr>
          <w:rFonts w:ascii="Arial" w:hAnsi="Arial" w:cs="Arial"/>
          <w:b/>
          <w:sz w:val="20"/>
          <w:szCs w:val="20"/>
        </w:rPr>
        <w:t>SEGUNDA CÂMARA</w:t>
      </w:r>
    </w:p>
    <w:p w:rsidR="00785DB0" w:rsidRDefault="00785DB0" w:rsidP="00816942">
      <w:pPr>
        <w:autoSpaceDE w:val="0"/>
        <w:autoSpaceDN w:val="0"/>
        <w:adjustRightInd w:val="0"/>
        <w:spacing w:after="0"/>
        <w:rPr>
          <w:rFonts w:ascii="Arial" w:hAnsi="Arial" w:cs="Arial"/>
          <w:sz w:val="20"/>
          <w:szCs w:val="20"/>
        </w:rPr>
      </w:pPr>
    </w:p>
    <w:p w:rsidR="00CD68EE" w:rsidRDefault="00187BB8" w:rsidP="00A762D6">
      <w:pPr>
        <w:spacing w:after="0"/>
        <w:jc w:val="both"/>
        <w:rPr>
          <w:rFonts w:ascii="Arial" w:hAnsi="Arial" w:cs="Arial"/>
          <w:b/>
          <w:sz w:val="20"/>
          <w:szCs w:val="20"/>
        </w:rPr>
      </w:pPr>
      <w:r>
        <w:rPr>
          <w:rFonts w:ascii="Arial" w:hAnsi="Arial" w:cs="Arial"/>
          <w:b/>
          <w:sz w:val="20"/>
          <w:szCs w:val="20"/>
        </w:rPr>
        <w:t xml:space="preserve">6. </w:t>
      </w:r>
      <w:r w:rsidR="00CD68EE" w:rsidRPr="00A92ED3">
        <w:rPr>
          <w:rFonts w:ascii="Arial" w:hAnsi="Arial" w:cs="Arial"/>
          <w:b/>
          <w:sz w:val="20"/>
          <w:szCs w:val="20"/>
        </w:rPr>
        <w:t xml:space="preserve">Prestação de Contas Anual. Sercomtel </w:t>
      </w:r>
      <w:proofErr w:type="spellStart"/>
      <w:r w:rsidR="00CD68EE" w:rsidRPr="00A92ED3">
        <w:rPr>
          <w:rFonts w:ascii="Arial" w:hAnsi="Arial" w:cs="Arial"/>
          <w:b/>
          <w:sz w:val="20"/>
          <w:szCs w:val="20"/>
        </w:rPr>
        <w:t>Contact</w:t>
      </w:r>
      <w:proofErr w:type="spellEnd"/>
      <w:r w:rsidR="00CD68EE" w:rsidRPr="00A92ED3">
        <w:rPr>
          <w:rFonts w:ascii="Arial" w:hAnsi="Arial" w:cs="Arial"/>
          <w:b/>
          <w:sz w:val="20"/>
          <w:szCs w:val="20"/>
        </w:rPr>
        <w:t xml:space="preserve"> Center S/A. Contratação de serviços de advocacia e de contabilidade. Impossibilidade. Obrigatoriedade de realização de concurso público. Inteligência do art. 37, II, da CF e Prejulgado nº 06</w:t>
      </w:r>
      <w:r w:rsidR="00CD68EE">
        <w:rPr>
          <w:rFonts w:ascii="Arial" w:hAnsi="Arial" w:cs="Arial"/>
          <w:b/>
          <w:sz w:val="20"/>
          <w:szCs w:val="20"/>
        </w:rPr>
        <w:t>-</w:t>
      </w:r>
      <w:r w:rsidR="00CD68EE" w:rsidRPr="00A92ED3">
        <w:rPr>
          <w:rFonts w:ascii="Arial" w:hAnsi="Arial" w:cs="Arial"/>
          <w:b/>
          <w:sz w:val="20"/>
          <w:szCs w:val="20"/>
        </w:rPr>
        <w:t xml:space="preserve">TCE. Indicadores econômicos e financeiros da empresa desfavoráveis. Pela irregularidade e recomendação para estudo de viabilidade de encerramento das atividades da Companhia. </w:t>
      </w:r>
    </w:p>
    <w:p w:rsidR="00A762D6" w:rsidRPr="00A92ED3" w:rsidRDefault="00A762D6" w:rsidP="00A762D6">
      <w:pPr>
        <w:spacing w:after="0"/>
        <w:jc w:val="both"/>
        <w:rPr>
          <w:rFonts w:ascii="Arial" w:hAnsi="Arial" w:cs="Arial"/>
          <w:b/>
          <w:sz w:val="20"/>
          <w:szCs w:val="20"/>
        </w:rPr>
      </w:pPr>
    </w:p>
    <w:p w:rsidR="00CD68EE" w:rsidRDefault="00CD68EE" w:rsidP="00A762D6">
      <w:pPr>
        <w:spacing w:after="0"/>
        <w:jc w:val="both"/>
        <w:rPr>
          <w:rFonts w:ascii="Arial" w:hAnsi="Arial" w:cs="Arial"/>
          <w:sz w:val="20"/>
          <w:szCs w:val="20"/>
        </w:rPr>
      </w:pPr>
      <w:r>
        <w:rPr>
          <w:rFonts w:ascii="Arial" w:hAnsi="Arial" w:cs="Arial"/>
          <w:sz w:val="20"/>
          <w:szCs w:val="20"/>
        </w:rPr>
        <w:t xml:space="preserve">Em sede de prestação de contas do exercício financeiro de 2011, irregularidades foram detectadas na gestão da SERCOMTEL </w:t>
      </w:r>
      <w:proofErr w:type="spellStart"/>
      <w:r>
        <w:rPr>
          <w:rFonts w:ascii="Arial" w:hAnsi="Arial" w:cs="Arial"/>
          <w:sz w:val="20"/>
          <w:szCs w:val="20"/>
        </w:rPr>
        <w:t>Contact</w:t>
      </w:r>
      <w:proofErr w:type="spellEnd"/>
      <w:r>
        <w:rPr>
          <w:rFonts w:ascii="Arial" w:hAnsi="Arial" w:cs="Arial"/>
          <w:sz w:val="20"/>
          <w:szCs w:val="20"/>
        </w:rPr>
        <w:t xml:space="preserve"> Center S/A, entre as quais, a contratação de serviços passíveis de realização por servidores efetivos, admitidos por concurso público, nos </w:t>
      </w:r>
      <w:r>
        <w:rPr>
          <w:rFonts w:ascii="Arial" w:hAnsi="Arial" w:cs="Arial"/>
          <w:sz w:val="20"/>
          <w:szCs w:val="20"/>
        </w:rPr>
        <w:lastRenderedPageBreak/>
        <w:t>termos do art. 37, II, da Constituição Federal, mas contratados por licitação.</w:t>
      </w:r>
      <w:r w:rsidR="009205D6">
        <w:rPr>
          <w:rFonts w:ascii="Arial" w:hAnsi="Arial" w:cs="Arial"/>
          <w:sz w:val="20"/>
          <w:szCs w:val="20"/>
        </w:rPr>
        <w:t xml:space="preserve"> </w:t>
      </w:r>
      <w:r>
        <w:rPr>
          <w:rFonts w:ascii="Arial" w:hAnsi="Arial" w:cs="Arial"/>
          <w:sz w:val="20"/>
          <w:szCs w:val="20"/>
        </w:rPr>
        <w:t xml:space="preserve">Foram contratados serviços de contabilidade, por meio do Pregão nº 15/2011, no valor de R$ 50.160,00 (cinquenta mil, cento e sessenta reais) e despendidos mais de R$ 250.000,00 (duzentos e cinquenta mil reais), em honorários advocatícios. </w:t>
      </w:r>
    </w:p>
    <w:p w:rsidR="00A762D6" w:rsidRDefault="00A762D6" w:rsidP="00A762D6">
      <w:pPr>
        <w:spacing w:after="0"/>
        <w:jc w:val="both"/>
        <w:rPr>
          <w:rFonts w:ascii="Arial" w:hAnsi="Arial" w:cs="Arial"/>
          <w:sz w:val="20"/>
          <w:szCs w:val="20"/>
        </w:rPr>
      </w:pPr>
    </w:p>
    <w:p w:rsidR="00CD68EE" w:rsidRDefault="00CD68EE" w:rsidP="00A762D6">
      <w:pPr>
        <w:spacing w:after="0"/>
        <w:jc w:val="both"/>
        <w:rPr>
          <w:rFonts w:ascii="Arial" w:hAnsi="Arial" w:cs="Arial"/>
          <w:sz w:val="20"/>
          <w:szCs w:val="20"/>
        </w:rPr>
      </w:pPr>
      <w:r>
        <w:rPr>
          <w:rFonts w:ascii="Arial" w:hAnsi="Arial" w:cs="Arial"/>
          <w:sz w:val="20"/>
          <w:szCs w:val="20"/>
        </w:rPr>
        <w:t xml:space="preserve">Ainda que seus representantes legais tenham arguido a favor da entidade, que a mesma não estaria obrigada à realização de concurso público por ser uma empresa de capital fechado e gestão pública, a presente decisão considerou que “as empresas controladas </w:t>
      </w:r>
      <w:r w:rsidR="009205D6">
        <w:rPr>
          <w:rFonts w:ascii="Arial" w:hAnsi="Arial" w:cs="Arial"/>
          <w:sz w:val="20"/>
          <w:szCs w:val="20"/>
        </w:rPr>
        <w:t xml:space="preserve">se </w:t>
      </w:r>
      <w:r>
        <w:rPr>
          <w:rFonts w:ascii="Arial" w:hAnsi="Arial" w:cs="Arial"/>
          <w:sz w:val="20"/>
          <w:szCs w:val="20"/>
        </w:rPr>
        <w:t xml:space="preserve">submetem a um regime jurídico híbrido, devendo observar normas típicas de Direito Público, tais como a exigência de realização de concurso público para contratação de pessoal (...). As empresas estatais, incluindo-se as controladas direta ou indiretamente pelo Poder Público, estão submetidas ao controle externo por parte dos Tribunais de Contas. </w:t>
      </w:r>
    </w:p>
    <w:p w:rsidR="00A762D6" w:rsidRDefault="00A762D6" w:rsidP="00A762D6">
      <w:pPr>
        <w:spacing w:after="0"/>
        <w:jc w:val="both"/>
        <w:rPr>
          <w:rFonts w:ascii="Arial" w:hAnsi="Arial" w:cs="Arial"/>
          <w:sz w:val="20"/>
          <w:szCs w:val="20"/>
        </w:rPr>
      </w:pPr>
    </w:p>
    <w:p w:rsidR="00CD68EE" w:rsidRDefault="00CD68EE" w:rsidP="00A762D6">
      <w:pPr>
        <w:spacing w:after="0"/>
        <w:jc w:val="both"/>
        <w:rPr>
          <w:rFonts w:ascii="Arial" w:hAnsi="Arial" w:cs="Arial"/>
          <w:sz w:val="20"/>
          <w:szCs w:val="20"/>
        </w:rPr>
      </w:pPr>
      <w:r>
        <w:rPr>
          <w:rFonts w:ascii="Arial" w:hAnsi="Arial" w:cs="Arial"/>
          <w:sz w:val="20"/>
          <w:szCs w:val="20"/>
        </w:rPr>
        <w:t xml:space="preserve">Como recomendação à entidade, a decisão em tela incluiu, seja realizado um estudo de viabilidade do encerramento das atividades da Companhia, ante os números negativos de sua gestão apresentado no exercício em exame e em outros, subsequentes, inclusive.  Os indicadores econômicos e financeiros da empresa são considerados desfavoráveis e podem levar a um futuro passivo para seu principal controlador, o Município de Londrina, diante de prejuízos acumulados na ordem de R$ 36.730.761,13 (trinta e seis milhões, setecentos e trinta mil, setecentos e sessenta e um reais e treze centavos), em 2015.  </w:t>
      </w:r>
    </w:p>
    <w:p w:rsidR="00A762D6" w:rsidRDefault="00A762D6" w:rsidP="00A762D6">
      <w:pPr>
        <w:spacing w:after="0"/>
        <w:jc w:val="both"/>
        <w:rPr>
          <w:rFonts w:ascii="Arial" w:hAnsi="Arial" w:cs="Arial"/>
          <w:sz w:val="20"/>
          <w:szCs w:val="20"/>
        </w:rPr>
      </w:pPr>
    </w:p>
    <w:p w:rsidR="00CD68EE" w:rsidRDefault="00CD68EE" w:rsidP="00A762D6">
      <w:pPr>
        <w:spacing w:after="0"/>
        <w:jc w:val="both"/>
        <w:rPr>
          <w:rFonts w:ascii="Arial" w:hAnsi="Arial" w:cs="Arial"/>
          <w:sz w:val="20"/>
          <w:szCs w:val="20"/>
        </w:rPr>
      </w:pPr>
      <w:r>
        <w:rPr>
          <w:rFonts w:ascii="Arial" w:hAnsi="Arial" w:cs="Arial"/>
          <w:sz w:val="20"/>
          <w:szCs w:val="20"/>
        </w:rPr>
        <w:t xml:space="preserve">Processo nº 243698/12 </w:t>
      </w:r>
      <w:r w:rsidR="00A762D6">
        <w:rPr>
          <w:rFonts w:ascii="Arial" w:hAnsi="Arial" w:cs="Arial"/>
          <w:sz w:val="20"/>
          <w:szCs w:val="20"/>
        </w:rPr>
        <w:t>-</w:t>
      </w:r>
      <w:r>
        <w:rPr>
          <w:rFonts w:ascii="Arial" w:hAnsi="Arial" w:cs="Arial"/>
          <w:sz w:val="20"/>
          <w:szCs w:val="20"/>
        </w:rPr>
        <w:t xml:space="preserve"> </w:t>
      </w:r>
      <w:hyperlink r:id="rId13" w:history="1">
        <w:r w:rsidRPr="00912ADA">
          <w:rPr>
            <w:rStyle w:val="Hyperlink"/>
            <w:rFonts w:ascii="Arial" w:hAnsi="Arial" w:cs="Arial"/>
            <w:sz w:val="20"/>
            <w:szCs w:val="20"/>
          </w:rPr>
          <w:t>Acórdão nº 2473/17-</w:t>
        </w:r>
        <w:r w:rsidR="00A762D6">
          <w:rPr>
            <w:rStyle w:val="Hyperlink"/>
            <w:rFonts w:ascii="Arial" w:hAnsi="Arial" w:cs="Arial"/>
            <w:sz w:val="20"/>
            <w:szCs w:val="20"/>
          </w:rPr>
          <w:t xml:space="preserve"> Segunda </w:t>
        </w:r>
        <w:r w:rsidRPr="00912ADA">
          <w:rPr>
            <w:rStyle w:val="Hyperlink"/>
            <w:rFonts w:ascii="Arial" w:hAnsi="Arial" w:cs="Arial"/>
            <w:sz w:val="20"/>
            <w:szCs w:val="20"/>
          </w:rPr>
          <w:t>Câmara</w:t>
        </w:r>
      </w:hyperlink>
      <w:r>
        <w:rPr>
          <w:rFonts w:ascii="Arial" w:hAnsi="Arial" w:cs="Arial"/>
          <w:sz w:val="20"/>
          <w:szCs w:val="20"/>
        </w:rPr>
        <w:t xml:space="preserve"> </w:t>
      </w:r>
      <w:r w:rsidR="00A762D6">
        <w:rPr>
          <w:rFonts w:ascii="Arial" w:hAnsi="Arial" w:cs="Arial"/>
          <w:sz w:val="20"/>
          <w:szCs w:val="20"/>
        </w:rPr>
        <w:t>-</w:t>
      </w:r>
      <w:r>
        <w:rPr>
          <w:rFonts w:ascii="Arial" w:hAnsi="Arial" w:cs="Arial"/>
          <w:sz w:val="20"/>
          <w:szCs w:val="20"/>
        </w:rPr>
        <w:t xml:space="preserve"> Rel. Conselheiro </w:t>
      </w:r>
      <w:proofErr w:type="spellStart"/>
      <w:r>
        <w:rPr>
          <w:rFonts w:ascii="Arial" w:hAnsi="Arial" w:cs="Arial"/>
          <w:sz w:val="20"/>
          <w:szCs w:val="20"/>
        </w:rPr>
        <w:t>Artagão</w:t>
      </w:r>
      <w:proofErr w:type="spellEnd"/>
      <w:r>
        <w:rPr>
          <w:rFonts w:ascii="Arial" w:hAnsi="Arial" w:cs="Arial"/>
          <w:sz w:val="20"/>
          <w:szCs w:val="20"/>
        </w:rPr>
        <w:t xml:space="preserve"> de Mattos Leão. </w:t>
      </w:r>
    </w:p>
    <w:p w:rsidR="00A762D6" w:rsidRDefault="00A762D6" w:rsidP="00A762D6">
      <w:pPr>
        <w:spacing w:after="0"/>
        <w:jc w:val="both"/>
        <w:rPr>
          <w:rFonts w:ascii="Arial" w:hAnsi="Arial" w:cs="Arial"/>
          <w:sz w:val="20"/>
          <w:szCs w:val="20"/>
        </w:rPr>
      </w:pPr>
    </w:p>
    <w:p w:rsidR="00CD68EE" w:rsidRDefault="00187BB8" w:rsidP="00A762D6">
      <w:pPr>
        <w:spacing w:after="0"/>
        <w:jc w:val="both"/>
        <w:rPr>
          <w:rFonts w:ascii="Arial" w:hAnsi="Arial" w:cs="Arial"/>
          <w:b/>
          <w:sz w:val="20"/>
          <w:szCs w:val="20"/>
        </w:rPr>
      </w:pPr>
      <w:r>
        <w:rPr>
          <w:rFonts w:ascii="Arial" w:hAnsi="Arial" w:cs="Arial"/>
          <w:b/>
          <w:sz w:val="20"/>
          <w:szCs w:val="20"/>
        </w:rPr>
        <w:t xml:space="preserve">7. </w:t>
      </w:r>
      <w:r w:rsidR="00CD68EE" w:rsidRPr="00CD1512">
        <w:rPr>
          <w:rFonts w:ascii="Arial" w:hAnsi="Arial" w:cs="Arial"/>
          <w:b/>
          <w:sz w:val="20"/>
          <w:szCs w:val="20"/>
        </w:rPr>
        <w:t>Prestação de Contas Anual. Restrições apontadas em exame pela Unidade Técnica. Apontamentos regularizados em sede de contraditório. Pela regularidade com ressalva. Inteligência da Súmula 8</w:t>
      </w:r>
      <w:r w:rsidR="002E4121">
        <w:rPr>
          <w:rFonts w:ascii="Arial" w:hAnsi="Arial" w:cs="Arial"/>
          <w:b/>
          <w:sz w:val="20"/>
          <w:szCs w:val="20"/>
        </w:rPr>
        <w:t xml:space="preserve"> TCE/PR</w:t>
      </w:r>
      <w:r w:rsidR="00CD68EE" w:rsidRPr="00CD1512">
        <w:rPr>
          <w:rFonts w:ascii="Arial" w:hAnsi="Arial" w:cs="Arial"/>
          <w:b/>
          <w:sz w:val="20"/>
          <w:szCs w:val="20"/>
        </w:rPr>
        <w:t xml:space="preserve">. </w:t>
      </w:r>
    </w:p>
    <w:p w:rsidR="00A762D6" w:rsidRPr="00CD1512" w:rsidRDefault="00A762D6" w:rsidP="00A762D6">
      <w:pPr>
        <w:spacing w:after="0"/>
        <w:jc w:val="both"/>
        <w:rPr>
          <w:rFonts w:ascii="Arial" w:hAnsi="Arial" w:cs="Arial"/>
          <w:b/>
          <w:sz w:val="20"/>
          <w:szCs w:val="20"/>
        </w:rPr>
      </w:pPr>
    </w:p>
    <w:p w:rsidR="00CD68EE" w:rsidRDefault="00CD68EE" w:rsidP="00A762D6">
      <w:pPr>
        <w:spacing w:after="0"/>
        <w:jc w:val="both"/>
        <w:rPr>
          <w:rFonts w:ascii="Arial" w:hAnsi="Arial" w:cs="Arial"/>
          <w:sz w:val="20"/>
          <w:szCs w:val="20"/>
        </w:rPr>
      </w:pPr>
      <w:r>
        <w:rPr>
          <w:rFonts w:ascii="Arial" w:hAnsi="Arial" w:cs="Arial"/>
          <w:sz w:val="20"/>
          <w:szCs w:val="20"/>
        </w:rPr>
        <w:t xml:space="preserve">Em exame da prestação de contas anual do Poder Executivo de Chopinzinho do exercício financeiro de 2014, foram constatadas duas restrições, a saber: a) divergências de saldos em quaisquer classes ou grupos do balanço patrimonial entre os dados do SIM/AM e a contabilidade; b) falta de encaminhamento do Relatório e/ou Parecer do Controle Interno. </w:t>
      </w:r>
    </w:p>
    <w:p w:rsidR="00A762D6" w:rsidRDefault="00A762D6" w:rsidP="00A762D6">
      <w:pPr>
        <w:spacing w:after="0"/>
        <w:jc w:val="both"/>
        <w:rPr>
          <w:rFonts w:ascii="Arial" w:hAnsi="Arial" w:cs="Arial"/>
          <w:sz w:val="20"/>
          <w:szCs w:val="20"/>
        </w:rPr>
      </w:pPr>
    </w:p>
    <w:p w:rsidR="00CD68EE" w:rsidRDefault="00CD68EE" w:rsidP="00A762D6">
      <w:pPr>
        <w:spacing w:after="0"/>
        <w:jc w:val="both"/>
        <w:rPr>
          <w:rFonts w:ascii="Arial" w:hAnsi="Arial" w:cs="Arial"/>
          <w:sz w:val="20"/>
          <w:szCs w:val="20"/>
        </w:rPr>
      </w:pPr>
      <w:r>
        <w:rPr>
          <w:rFonts w:ascii="Arial" w:hAnsi="Arial" w:cs="Arial"/>
          <w:sz w:val="20"/>
          <w:szCs w:val="20"/>
        </w:rPr>
        <w:t xml:space="preserve">Em sede de contraditório, foram encaminhados novo Balanço Patrimonial e novo Relatório e Parecer do Controle Interno, demonstrando a regularização dos apontamentos efetuados pela Unidade Técnica. </w:t>
      </w:r>
    </w:p>
    <w:p w:rsidR="00A762D6" w:rsidRDefault="00A762D6" w:rsidP="00A762D6">
      <w:pPr>
        <w:spacing w:after="0"/>
        <w:jc w:val="both"/>
        <w:rPr>
          <w:rFonts w:ascii="Arial" w:hAnsi="Arial" w:cs="Arial"/>
          <w:sz w:val="20"/>
          <w:szCs w:val="20"/>
        </w:rPr>
      </w:pPr>
    </w:p>
    <w:p w:rsidR="00CD68EE" w:rsidRDefault="00CD68EE" w:rsidP="00A762D6">
      <w:pPr>
        <w:spacing w:after="0"/>
        <w:jc w:val="both"/>
        <w:rPr>
          <w:rFonts w:ascii="Arial" w:hAnsi="Arial" w:cs="Arial"/>
          <w:i/>
          <w:sz w:val="20"/>
          <w:szCs w:val="20"/>
        </w:rPr>
      </w:pPr>
      <w:r>
        <w:rPr>
          <w:rFonts w:ascii="Arial" w:hAnsi="Arial" w:cs="Arial"/>
          <w:sz w:val="20"/>
          <w:szCs w:val="20"/>
        </w:rPr>
        <w:t xml:space="preserve">Contudo, ainda que regularizados, o foram durante a instrução processual, o que faz incidir a Súmula 8 desta Corte de Contas: </w:t>
      </w:r>
      <w:r w:rsidRPr="00BC4098">
        <w:rPr>
          <w:rFonts w:ascii="Arial" w:hAnsi="Arial" w:cs="Arial"/>
          <w:i/>
          <w:sz w:val="20"/>
          <w:szCs w:val="20"/>
        </w:rPr>
        <w:t xml:space="preserve">“Observada a regularização de impropriedade sanável, as contas deverão ser julgadas regulares com ressalva quando o saneamento houver ocorrido antes da decisão de primeiro grau”. </w:t>
      </w:r>
    </w:p>
    <w:p w:rsidR="00A762D6" w:rsidRPr="00BC4098" w:rsidRDefault="00A762D6" w:rsidP="00A762D6">
      <w:pPr>
        <w:spacing w:after="0"/>
        <w:jc w:val="both"/>
        <w:rPr>
          <w:rFonts w:ascii="Arial" w:hAnsi="Arial" w:cs="Arial"/>
          <w:i/>
          <w:sz w:val="20"/>
          <w:szCs w:val="20"/>
        </w:rPr>
      </w:pPr>
    </w:p>
    <w:p w:rsidR="00CD68EE" w:rsidRDefault="00CD68EE" w:rsidP="00A762D6">
      <w:pPr>
        <w:spacing w:after="0"/>
        <w:jc w:val="both"/>
        <w:rPr>
          <w:rFonts w:ascii="Arial" w:hAnsi="Arial" w:cs="Arial"/>
          <w:sz w:val="20"/>
          <w:szCs w:val="20"/>
        </w:rPr>
      </w:pPr>
      <w:r>
        <w:rPr>
          <w:rFonts w:ascii="Arial" w:hAnsi="Arial" w:cs="Arial"/>
          <w:sz w:val="20"/>
          <w:szCs w:val="20"/>
        </w:rPr>
        <w:lastRenderedPageBreak/>
        <w:t>Com isso, decidiu o Colegiado pela emissão de Parecer Prévio pela regularidade com ressalvas.</w:t>
      </w:r>
    </w:p>
    <w:p w:rsidR="00CD68EE" w:rsidRDefault="00CD68EE" w:rsidP="00A762D6">
      <w:pPr>
        <w:spacing w:after="0"/>
        <w:jc w:val="both"/>
        <w:rPr>
          <w:rFonts w:ascii="Arial" w:hAnsi="Arial" w:cs="Arial"/>
          <w:sz w:val="20"/>
          <w:szCs w:val="20"/>
        </w:rPr>
      </w:pPr>
    </w:p>
    <w:p w:rsidR="00CD68EE" w:rsidRDefault="00CD68EE" w:rsidP="00A762D6">
      <w:pPr>
        <w:spacing w:after="0"/>
        <w:jc w:val="both"/>
        <w:rPr>
          <w:rFonts w:ascii="Arial" w:hAnsi="Arial" w:cs="Arial"/>
          <w:sz w:val="20"/>
          <w:szCs w:val="20"/>
        </w:rPr>
      </w:pPr>
      <w:r>
        <w:rPr>
          <w:rFonts w:ascii="Arial" w:hAnsi="Arial" w:cs="Arial"/>
          <w:sz w:val="20"/>
          <w:szCs w:val="20"/>
        </w:rPr>
        <w:t xml:space="preserve">Processo nº 265684/15 </w:t>
      </w:r>
      <w:r w:rsidR="00A762D6">
        <w:rPr>
          <w:rFonts w:ascii="Arial" w:hAnsi="Arial" w:cs="Arial"/>
          <w:sz w:val="20"/>
          <w:szCs w:val="20"/>
        </w:rPr>
        <w:t>-</w:t>
      </w:r>
      <w:r>
        <w:rPr>
          <w:rFonts w:ascii="Arial" w:hAnsi="Arial" w:cs="Arial"/>
          <w:sz w:val="20"/>
          <w:szCs w:val="20"/>
        </w:rPr>
        <w:t xml:space="preserve"> </w:t>
      </w:r>
      <w:hyperlink r:id="rId14" w:history="1">
        <w:r w:rsidRPr="00912ADA">
          <w:rPr>
            <w:rStyle w:val="Hyperlink"/>
            <w:rFonts w:ascii="Arial" w:hAnsi="Arial" w:cs="Arial"/>
            <w:sz w:val="20"/>
            <w:szCs w:val="20"/>
          </w:rPr>
          <w:t xml:space="preserve">Acórdão de Parecer Prévio nº 249/17 </w:t>
        </w:r>
        <w:r w:rsidR="00A762D6">
          <w:rPr>
            <w:rStyle w:val="Hyperlink"/>
            <w:rFonts w:ascii="Arial" w:hAnsi="Arial" w:cs="Arial"/>
            <w:sz w:val="20"/>
            <w:szCs w:val="20"/>
          </w:rPr>
          <w:t>-</w:t>
        </w:r>
        <w:r w:rsidRPr="00912ADA">
          <w:rPr>
            <w:rStyle w:val="Hyperlink"/>
            <w:rFonts w:ascii="Arial" w:hAnsi="Arial" w:cs="Arial"/>
            <w:sz w:val="20"/>
            <w:szCs w:val="20"/>
          </w:rPr>
          <w:t xml:space="preserve"> </w:t>
        </w:r>
        <w:r w:rsidR="00A762D6">
          <w:rPr>
            <w:rStyle w:val="Hyperlink"/>
            <w:rFonts w:ascii="Arial" w:hAnsi="Arial" w:cs="Arial"/>
            <w:sz w:val="20"/>
            <w:szCs w:val="20"/>
          </w:rPr>
          <w:t xml:space="preserve">Segunda </w:t>
        </w:r>
        <w:r w:rsidRPr="00912ADA">
          <w:rPr>
            <w:rStyle w:val="Hyperlink"/>
            <w:rFonts w:ascii="Arial" w:hAnsi="Arial" w:cs="Arial"/>
            <w:sz w:val="20"/>
            <w:szCs w:val="20"/>
          </w:rPr>
          <w:t>Câmara</w:t>
        </w:r>
      </w:hyperlink>
      <w:r>
        <w:rPr>
          <w:rFonts w:ascii="Arial" w:hAnsi="Arial" w:cs="Arial"/>
          <w:sz w:val="20"/>
          <w:szCs w:val="20"/>
        </w:rPr>
        <w:t xml:space="preserve"> </w:t>
      </w:r>
      <w:r w:rsidR="00A762D6">
        <w:rPr>
          <w:rFonts w:ascii="Arial" w:hAnsi="Arial" w:cs="Arial"/>
          <w:sz w:val="20"/>
          <w:szCs w:val="20"/>
        </w:rPr>
        <w:t>-</w:t>
      </w:r>
      <w:r>
        <w:rPr>
          <w:rFonts w:ascii="Arial" w:hAnsi="Arial" w:cs="Arial"/>
          <w:sz w:val="20"/>
          <w:szCs w:val="20"/>
        </w:rPr>
        <w:t xml:space="preserve"> Rel. Conselheiro Ivan </w:t>
      </w:r>
      <w:proofErr w:type="spellStart"/>
      <w:r>
        <w:rPr>
          <w:rFonts w:ascii="Arial" w:hAnsi="Arial" w:cs="Arial"/>
          <w:sz w:val="20"/>
          <w:szCs w:val="20"/>
        </w:rPr>
        <w:t>Lelis</w:t>
      </w:r>
      <w:proofErr w:type="spellEnd"/>
      <w:r>
        <w:rPr>
          <w:rFonts w:ascii="Arial" w:hAnsi="Arial" w:cs="Arial"/>
          <w:sz w:val="20"/>
          <w:szCs w:val="20"/>
        </w:rPr>
        <w:t xml:space="preserve"> Bonilha. </w:t>
      </w:r>
    </w:p>
    <w:p w:rsidR="00A762D6" w:rsidRPr="00BC4098" w:rsidRDefault="00A762D6" w:rsidP="00A762D6">
      <w:pPr>
        <w:spacing w:after="0"/>
        <w:jc w:val="both"/>
        <w:rPr>
          <w:rFonts w:ascii="Arial" w:hAnsi="Arial" w:cs="Arial"/>
          <w:sz w:val="20"/>
          <w:szCs w:val="20"/>
        </w:rPr>
      </w:pP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TRIBUNAL PLENO</w:t>
      </w:r>
    </w:p>
    <w:p w:rsidR="00BD4E7A" w:rsidRDefault="00BD4E7A" w:rsidP="00816942">
      <w:pPr>
        <w:autoSpaceDE w:val="0"/>
        <w:autoSpaceDN w:val="0"/>
        <w:adjustRightInd w:val="0"/>
        <w:spacing w:after="0"/>
        <w:jc w:val="both"/>
        <w:rPr>
          <w:rFonts w:ascii="Arial" w:hAnsi="Arial" w:cs="Arial"/>
          <w:b/>
          <w:color w:val="000000"/>
          <w:sz w:val="20"/>
          <w:szCs w:val="20"/>
          <w:shd w:val="clear" w:color="auto" w:fill="FFFFFF"/>
        </w:rPr>
      </w:pPr>
    </w:p>
    <w:p w:rsidR="00B4544B" w:rsidRPr="00B4544B" w:rsidRDefault="00187BB8" w:rsidP="00B4544B">
      <w:pPr>
        <w:autoSpaceDE w:val="0"/>
        <w:autoSpaceDN w:val="0"/>
        <w:adjustRightInd w:val="0"/>
        <w:spacing w:after="0"/>
        <w:jc w:val="both"/>
        <w:rPr>
          <w:rFonts w:ascii="Arial" w:hAnsi="Arial" w:cs="Arial"/>
          <w:b/>
          <w:color w:val="000000"/>
          <w:sz w:val="20"/>
          <w:szCs w:val="20"/>
          <w:shd w:val="clear" w:color="auto" w:fill="FFFFFF"/>
        </w:rPr>
      </w:pPr>
      <w:r>
        <w:rPr>
          <w:rFonts w:ascii="Arial" w:hAnsi="Arial" w:cs="Arial"/>
          <w:b/>
          <w:sz w:val="20"/>
          <w:szCs w:val="20"/>
        </w:rPr>
        <w:t xml:space="preserve">8. </w:t>
      </w:r>
      <w:r w:rsidR="00B4544B" w:rsidRPr="00B4544B">
        <w:rPr>
          <w:rFonts w:ascii="Arial" w:hAnsi="Arial" w:cs="Arial"/>
          <w:b/>
          <w:sz w:val="20"/>
          <w:szCs w:val="20"/>
        </w:rPr>
        <w:t xml:space="preserve">Denúncia. Cargos em comissão com atribuições de cargos efetivos. Nomeação em cargo em comissão inexistente na estrutura administrativa. Aprovação em concurso público de pessoas que trabalhavam irregularmente no Município. Procedência Parcial. </w:t>
      </w:r>
    </w:p>
    <w:p w:rsidR="00B4544B" w:rsidRPr="00B4544B" w:rsidRDefault="00B4544B" w:rsidP="00816942">
      <w:pPr>
        <w:autoSpaceDE w:val="0"/>
        <w:autoSpaceDN w:val="0"/>
        <w:adjustRightInd w:val="0"/>
        <w:spacing w:after="0"/>
        <w:jc w:val="both"/>
        <w:rPr>
          <w:rFonts w:ascii="Arial" w:hAnsi="Arial" w:cs="Arial"/>
          <w:b/>
          <w:color w:val="000000"/>
          <w:sz w:val="20"/>
          <w:szCs w:val="20"/>
          <w:shd w:val="clear" w:color="auto" w:fill="FFFFFF"/>
        </w:rPr>
      </w:pPr>
    </w:p>
    <w:p w:rsidR="00724BD9" w:rsidRDefault="00B4544B" w:rsidP="00B4544B">
      <w:pPr>
        <w:autoSpaceDE w:val="0"/>
        <w:autoSpaceDN w:val="0"/>
        <w:adjustRightInd w:val="0"/>
        <w:spacing w:after="0" w:line="240" w:lineRule="auto"/>
        <w:jc w:val="both"/>
        <w:rPr>
          <w:rFonts w:ascii="Arial" w:hAnsi="Arial" w:cs="Arial"/>
          <w:sz w:val="20"/>
          <w:szCs w:val="20"/>
        </w:rPr>
      </w:pPr>
      <w:r w:rsidRPr="00B4544B">
        <w:rPr>
          <w:rFonts w:ascii="Arial" w:hAnsi="Arial" w:cs="Arial"/>
          <w:sz w:val="20"/>
          <w:szCs w:val="20"/>
        </w:rPr>
        <w:t>Este Tribunal de Contas possui entendimento consolidado de que os cargos em comissão devem ser utilizados somente para as funções de direção, chefia e assessoramento, nos termos preconizados na Constituição Federal. As atividades operacionais e técnicas, corriqueiras da</w:t>
      </w:r>
      <w:r>
        <w:rPr>
          <w:rFonts w:ascii="Arial" w:hAnsi="Arial" w:cs="Arial"/>
          <w:sz w:val="20"/>
          <w:szCs w:val="20"/>
        </w:rPr>
        <w:t xml:space="preserve"> </w:t>
      </w:r>
      <w:r w:rsidRPr="00B4544B">
        <w:rPr>
          <w:rFonts w:ascii="Arial" w:hAnsi="Arial" w:cs="Arial"/>
          <w:sz w:val="20"/>
          <w:szCs w:val="20"/>
        </w:rPr>
        <w:t>administração pública, devem ser desenvolvidas por servidores de carreira,</w:t>
      </w:r>
      <w:r>
        <w:rPr>
          <w:rFonts w:ascii="Arial" w:hAnsi="Arial" w:cs="Arial"/>
          <w:sz w:val="20"/>
          <w:szCs w:val="20"/>
        </w:rPr>
        <w:t xml:space="preserve"> </w:t>
      </w:r>
      <w:r w:rsidRPr="00B4544B">
        <w:rPr>
          <w:rFonts w:ascii="Arial" w:hAnsi="Arial" w:cs="Arial"/>
          <w:sz w:val="20"/>
          <w:szCs w:val="20"/>
        </w:rPr>
        <w:t>devidamente contratados após aprovação em concurso público.</w:t>
      </w:r>
      <w:r w:rsidR="00724BD9">
        <w:rPr>
          <w:rFonts w:ascii="Arial" w:hAnsi="Arial" w:cs="Arial"/>
          <w:sz w:val="20"/>
          <w:szCs w:val="20"/>
        </w:rPr>
        <w:t xml:space="preserve"> </w:t>
      </w:r>
    </w:p>
    <w:p w:rsidR="00724BD9" w:rsidRDefault="00724BD9" w:rsidP="00B4544B">
      <w:pPr>
        <w:autoSpaceDE w:val="0"/>
        <w:autoSpaceDN w:val="0"/>
        <w:adjustRightInd w:val="0"/>
        <w:spacing w:after="0" w:line="240" w:lineRule="auto"/>
        <w:jc w:val="both"/>
        <w:rPr>
          <w:rFonts w:ascii="Arial" w:hAnsi="Arial" w:cs="Arial"/>
          <w:sz w:val="20"/>
          <w:szCs w:val="20"/>
        </w:rPr>
      </w:pPr>
    </w:p>
    <w:p w:rsidR="00B4544B" w:rsidRDefault="00724BD9" w:rsidP="00B454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Quanto a eventual aprovação em concurso público de pessoas que trabalhavam irregularmente na </w:t>
      </w:r>
      <w:proofErr w:type="gramStart"/>
      <w:r>
        <w:rPr>
          <w:rFonts w:ascii="Arial" w:hAnsi="Arial" w:cs="Arial"/>
          <w:sz w:val="20"/>
          <w:szCs w:val="20"/>
        </w:rPr>
        <w:t xml:space="preserve">urbe </w:t>
      </w:r>
      <w:r w:rsidR="00B4544B" w:rsidRPr="00B4544B">
        <w:rPr>
          <w:rFonts w:ascii="Arial" w:hAnsi="Arial" w:cs="Arial"/>
          <w:sz w:val="20"/>
          <w:szCs w:val="20"/>
        </w:rPr>
        <w:t xml:space="preserve"> não</w:t>
      </w:r>
      <w:proofErr w:type="gramEnd"/>
      <w:r w:rsidR="00B4544B" w:rsidRPr="00B4544B">
        <w:rPr>
          <w:rFonts w:ascii="Arial" w:hAnsi="Arial" w:cs="Arial"/>
          <w:sz w:val="20"/>
          <w:szCs w:val="20"/>
        </w:rPr>
        <w:t xml:space="preserve"> existem elementos probatórios nos autos que comprovem, efetivamente, a prática de algum tipo de irregularidade nos</w:t>
      </w:r>
      <w:r>
        <w:rPr>
          <w:rFonts w:ascii="Arial" w:hAnsi="Arial" w:cs="Arial"/>
          <w:sz w:val="20"/>
          <w:szCs w:val="20"/>
        </w:rPr>
        <w:t xml:space="preserve"> </w:t>
      </w:r>
      <w:r w:rsidR="00B4544B" w:rsidRPr="00B4544B">
        <w:rPr>
          <w:rFonts w:ascii="Arial" w:hAnsi="Arial" w:cs="Arial"/>
          <w:sz w:val="20"/>
          <w:szCs w:val="20"/>
        </w:rPr>
        <w:t xml:space="preserve">concursos públicos realizados no exercício de 2007 </w:t>
      </w:r>
      <w:r>
        <w:rPr>
          <w:rFonts w:ascii="Arial" w:hAnsi="Arial" w:cs="Arial"/>
          <w:sz w:val="20"/>
          <w:szCs w:val="20"/>
        </w:rPr>
        <w:t xml:space="preserve">da entidade. </w:t>
      </w:r>
      <w:r w:rsidR="00B4544B" w:rsidRPr="00B4544B">
        <w:rPr>
          <w:rFonts w:ascii="Arial" w:hAnsi="Arial" w:cs="Arial"/>
          <w:sz w:val="20"/>
          <w:szCs w:val="20"/>
        </w:rPr>
        <w:t>Também não há comprovação de alguns nomes da lista são</w:t>
      </w:r>
      <w:r>
        <w:rPr>
          <w:rFonts w:ascii="Arial" w:hAnsi="Arial" w:cs="Arial"/>
          <w:sz w:val="20"/>
          <w:szCs w:val="20"/>
        </w:rPr>
        <w:t xml:space="preserve"> </w:t>
      </w:r>
      <w:r w:rsidR="00B4544B" w:rsidRPr="00B4544B">
        <w:rPr>
          <w:rFonts w:ascii="Arial" w:hAnsi="Arial" w:cs="Arial"/>
          <w:sz w:val="20"/>
          <w:szCs w:val="20"/>
        </w:rPr>
        <w:t>parentes do então Prefeito, uma vez que a inspeção os apontou como</w:t>
      </w:r>
      <w:r>
        <w:rPr>
          <w:rFonts w:ascii="Arial" w:hAnsi="Arial" w:cs="Arial"/>
          <w:sz w:val="20"/>
          <w:szCs w:val="20"/>
        </w:rPr>
        <w:t xml:space="preserve"> </w:t>
      </w:r>
      <w:r w:rsidR="00B4544B" w:rsidRPr="00B4544B">
        <w:rPr>
          <w:rFonts w:ascii="Arial" w:hAnsi="Arial" w:cs="Arial"/>
          <w:sz w:val="20"/>
          <w:szCs w:val="20"/>
        </w:rPr>
        <w:t>“suposição”.</w:t>
      </w:r>
      <w:r>
        <w:rPr>
          <w:rFonts w:ascii="Arial" w:hAnsi="Arial" w:cs="Arial"/>
          <w:sz w:val="20"/>
          <w:szCs w:val="20"/>
        </w:rPr>
        <w:t xml:space="preserve"> </w:t>
      </w:r>
      <w:r w:rsidR="00B4544B" w:rsidRPr="00B4544B">
        <w:rPr>
          <w:rFonts w:ascii="Arial" w:hAnsi="Arial" w:cs="Arial"/>
          <w:sz w:val="20"/>
          <w:szCs w:val="20"/>
        </w:rPr>
        <w:t>Além de não haver comprovação de tais fatos, o fato de servidores providos em cargos em comissão ou de parentes do</w:t>
      </w:r>
      <w:r>
        <w:rPr>
          <w:rFonts w:ascii="Arial" w:hAnsi="Arial" w:cs="Arial"/>
          <w:sz w:val="20"/>
          <w:szCs w:val="20"/>
        </w:rPr>
        <w:t xml:space="preserve"> </w:t>
      </w:r>
      <w:r w:rsidR="00B4544B" w:rsidRPr="00B4544B">
        <w:rPr>
          <w:rFonts w:ascii="Arial" w:hAnsi="Arial" w:cs="Arial"/>
          <w:sz w:val="20"/>
          <w:szCs w:val="20"/>
        </w:rPr>
        <w:t>Prefeito constarem na lista de aprovados no concurso não comprova, por si só, a</w:t>
      </w:r>
      <w:r>
        <w:rPr>
          <w:rFonts w:ascii="Arial" w:hAnsi="Arial" w:cs="Arial"/>
          <w:sz w:val="20"/>
          <w:szCs w:val="20"/>
        </w:rPr>
        <w:t xml:space="preserve"> </w:t>
      </w:r>
      <w:r w:rsidR="00B4544B" w:rsidRPr="00B4544B">
        <w:rPr>
          <w:rFonts w:ascii="Arial" w:hAnsi="Arial" w:cs="Arial"/>
          <w:sz w:val="20"/>
          <w:szCs w:val="20"/>
        </w:rPr>
        <w:t>ocorrência de práticas de favorecimento no certame.</w:t>
      </w:r>
    </w:p>
    <w:p w:rsidR="00724BD9" w:rsidRPr="00B4544B" w:rsidRDefault="00724BD9" w:rsidP="00B4544B">
      <w:pPr>
        <w:autoSpaceDE w:val="0"/>
        <w:autoSpaceDN w:val="0"/>
        <w:adjustRightInd w:val="0"/>
        <w:spacing w:after="0" w:line="240" w:lineRule="auto"/>
        <w:jc w:val="both"/>
        <w:rPr>
          <w:rFonts w:ascii="Arial" w:hAnsi="Arial" w:cs="Arial"/>
          <w:sz w:val="20"/>
          <w:szCs w:val="20"/>
        </w:rPr>
      </w:pPr>
    </w:p>
    <w:p w:rsidR="00724BD9" w:rsidRDefault="00B4544B" w:rsidP="00B4544B">
      <w:pPr>
        <w:autoSpaceDE w:val="0"/>
        <w:autoSpaceDN w:val="0"/>
        <w:adjustRightInd w:val="0"/>
        <w:spacing w:after="0" w:line="240" w:lineRule="auto"/>
        <w:jc w:val="both"/>
        <w:rPr>
          <w:rFonts w:ascii="Arial" w:hAnsi="Arial" w:cs="Arial"/>
          <w:sz w:val="20"/>
          <w:szCs w:val="20"/>
        </w:rPr>
      </w:pPr>
      <w:r w:rsidRPr="00B4544B">
        <w:rPr>
          <w:rFonts w:ascii="Arial" w:hAnsi="Arial" w:cs="Arial"/>
          <w:sz w:val="20"/>
          <w:szCs w:val="20"/>
        </w:rPr>
        <w:t>É certo que tal fato pode ser considerado suspeito e juntamente</w:t>
      </w:r>
      <w:r w:rsidR="00724BD9">
        <w:rPr>
          <w:rFonts w:ascii="Arial" w:hAnsi="Arial" w:cs="Arial"/>
          <w:sz w:val="20"/>
          <w:szCs w:val="20"/>
        </w:rPr>
        <w:t xml:space="preserve"> </w:t>
      </w:r>
      <w:r w:rsidRPr="00B4544B">
        <w:rPr>
          <w:rFonts w:ascii="Arial" w:hAnsi="Arial" w:cs="Arial"/>
          <w:sz w:val="20"/>
          <w:szCs w:val="20"/>
        </w:rPr>
        <w:t>com outros elementos probatórios de irregularidades podem levar à comprovação</w:t>
      </w:r>
      <w:r w:rsidR="00724BD9">
        <w:rPr>
          <w:rFonts w:ascii="Arial" w:hAnsi="Arial" w:cs="Arial"/>
          <w:sz w:val="20"/>
          <w:szCs w:val="20"/>
        </w:rPr>
        <w:t xml:space="preserve"> </w:t>
      </w:r>
      <w:r w:rsidRPr="00B4544B">
        <w:rPr>
          <w:rFonts w:ascii="Arial" w:hAnsi="Arial" w:cs="Arial"/>
          <w:sz w:val="20"/>
          <w:szCs w:val="20"/>
        </w:rPr>
        <w:t>de práticas de favorecimento no certame, com a sua consequente anulação. No</w:t>
      </w:r>
      <w:r w:rsidR="00724BD9">
        <w:rPr>
          <w:rFonts w:ascii="Arial" w:hAnsi="Arial" w:cs="Arial"/>
          <w:sz w:val="20"/>
          <w:szCs w:val="20"/>
        </w:rPr>
        <w:t xml:space="preserve"> </w:t>
      </w:r>
      <w:r w:rsidRPr="00B4544B">
        <w:rPr>
          <w:rFonts w:ascii="Arial" w:hAnsi="Arial" w:cs="Arial"/>
          <w:sz w:val="20"/>
          <w:szCs w:val="20"/>
        </w:rPr>
        <w:t xml:space="preserve">entanto, </w:t>
      </w:r>
      <w:r w:rsidR="00724BD9" w:rsidRPr="00724BD9">
        <w:rPr>
          <w:rFonts w:ascii="Arial" w:hAnsi="Arial" w:cs="Arial"/>
          <w:i/>
          <w:sz w:val="20"/>
          <w:szCs w:val="20"/>
        </w:rPr>
        <w:t xml:space="preserve">in </w:t>
      </w:r>
      <w:proofErr w:type="spellStart"/>
      <w:r w:rsidR="00724BD9" w:rsidRPr="00724BD9">
        <w:rPr>
          <w:rFonts w:ascii="Arial" w:hAnsi="Arial" w:cs="Arial"/>
          <w:i/>
          <w:sz w:val="20"/>
          <w:szCs w:val="20"/>
        </w:rPr>
        <w:t>casu</w:t>
      </w:r>
      <w:proofErr w:type="spellEnd"/>
      <w:r w:rsidRPr="00B4544B">
        <w:rPr>
          <w:rFonts w:ascii="Arial" w:hAnsi="Arial" w:cs="Arial"/>
          <w:sz w:val="20"/>
          <w:szCs w:val="20"/>
        </w:rPr>
        <w:t>, não existem quaisquer outros elementos que</w:t>
      </w:r>
      <w:r w:rsidR="00724BD9">
        <w:rPr>
          <w:rFonts w:ascii="Arial" w:hAnsi="Arial" w:cs="Arial"/>
          <w:sz w:val="20"/>
          <w:szCs w:val="20"/>
        </w:rPr>
        <w:t xml:space="preserve"> </w:t>
      </w:r>
      <w:r w:rsidRPr="00B4544B">
        <w:rPr>
          <w:rFonts w:ascii="Arial" w:hAnsi="Arial" w:cs="Arial"/>
          <w:sz w:val="20"/>
          <w:szCs w:val="20"/>
        </w:rPr>
        <w:t>comprovem práticas irregulares no certame</w:t>
      </w:r>
      <w:r w:rsidR="00724BD9">
        <w:rPr>
          <w:rFonts w:ascii="Arial" w:hAnsi="Arial" w:cs="Arial"/>
          <w:sz w:val="20"/>
          <w:szCs w:val="20"/>
        </w:rPr>
        <w:t xml:space="preserve">, </w:t>
      </w:r>
      <w:r w:rsidRPr="00B4544B">
        <w:rPr>
          <w:rFonts w:ascii="Arial" w:hAnsi="Arial" w:cs="Arial"/>
          <w:sz w:val="20"/>
          <w:szCs w:val="20"/>
        </w:rPr>
        <w:t>exigindo</w:t>
      </w:r>
      <w:r w:rsidR="00724BD9">
        <w:rPr>
          <w:rFonts w:ascii="Arial" w:hAnsi="Arial" w:cs="Arial"/>
          <w:sz w:val="20"/>
          <w:szCs w:val="20"/>
        </w:rPr>
        <w:t xml:space="preserve">-se </w:t>
      </w:r>
      <w:r w:rsidRPr="00B4544B">
        <w:rPr>
          <w:rFonts w:ascii="Arial" w:hAnsi="Arial" w:cs="Arial"/>
          <w:sz w:val="20"/>
          <w:szCs w:val="20"/>
        </w:rPr>
        <w:t>prova incontestável e fato concreto que indiquem a ocorrência de fraude,</w:t>
      </w:r>
      <w:r>
        <w:rPr>
          <w:rFonts w:ascii="Arial" w:hAnsi="Arial" w:cs="Arial"/>
          <w:sz w:val="20"/>
          <w:szCs w:val="20"/>
        </w:rPr>
        <w:t xml:space="preserve"> </w:t>
      </w:r>
      <w:r w:rsidRPr="00B4544B">
        <w:rPr>
          <w:rFonts w:ascii="Arial" w:hAnsi="Arial" w:cs="Arial"/>
          <w:sz w:val="20"/>
          <w:szCs w:val="20"/>
        </w:rPr>
        <w:t>devendo ser presumida a boa-fé, não podendo ser considerado em abstrato a</w:t>
      </w:r>
      <w:r>
        <w:rPr>
          <w:rFonts w:ascii="Arial" w:hAnsi="Arial" w:cs="Arial"/>
          <w:sz w:val="20"/>
          <w:szCs w:val="20"/>
        </w:rPr>
        <w:t xml:space="preserve"> </w:t>
      </w:r>
      <w:r w:rsidRPr="00B4544B">
        <w:rPr>
          <w:rFonts w:ascii="Arial" w:hAnsi="Arial" w:cs="Arial"/>
          <w:sz w:val="20"/>
          <w:szCs w:val="20"/>
        </w:rPr>
        <w:t>ocorrência de irregularidade</w:t>
      </w:r>
      <w:r w:rsidR="00724BD9">
        <w:rPr>
          <w:rFonts w:ascii="Arial" w:hAnsi="Arial" w:cs="Arial"/>
          <w:sz w:val="20"/>
          <w:szCs w:val="20"/>
        </w:rPr>
        <w:t>.</w:t>
      </w:r>
    </w:p>
    <w:p w:rsidR="00724BD9" w:rsidRDefault="00724BD9" w:rsidP="00B4544B">
      <w:pPr>
        <w:autoSpaceDE w:val="0"/>
        <w:autoSpaceDN w:val="0"/>
        <w:adjustRightInd w:val="0"/>
        <w:spacing w:after="0" w:line="240" w:lineRule="auto"/>
        <w:jc w:val="both"/>
        <w:rPr>
          <w:rFonts w:ascii="Arial" w:hAnsi="Arial" w:cs="Arial"/>
          <w:sz w:val="20"/>
          <w:szCs w:val="20"/>
        </w:rPr>
      </w:pPr>
    </w:p>
    <w:p w:rsidR="00B4544B" w:rsidRDefault="00724BD9" w:rsidP="00B4544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Processo n° 569125/06 - </w:t>
      </w:r>
      <w:hyperlink r:id="rId15" w:history="1">
        <w:r w:rsidRPr="00084B38">
          <w:rPr>
            <w:rStyle w:val="Hyperlink"/>
            <w:rFonts w:ascii="Arial" w:hAnsi="Arial" w:cs="Arial"/>
            <w:sz w:val="20"/>
            <w:szCs w:val="20"/>
          </w:rPr>
          <w:t>Acórdão n° 2391/17 - Tribunal Pleno</w:t>
        </w:r>
      </w:hyperlink>
      <w:r w:rsidR="00084B38">
        <w:rPr>
          <w:rFonts w:ascii="Arial" w:hAnsi="Arial" w:cs="Arial"/>
          <w:sz w:val="20"/>
          <w:szCs w:val="20"/>
        </w:rPr>
        <w:t xml:space="preserve"> -</w:t>
      </w:r>
      <w:r>
        <w:rPr>
          <w:rFonts w:ascii="Arial" w:hAnsi="Arial" w:cs="Arial"/>
          <w:sz w:val="20"/>
          <w:szCs w:val="20"/>
        </w:rPr>
        <w:t xml:space="preserve"> Rel. Cons. Fernando Augusto Mello Guimarães.  </w:t>
      </w:r>
      <w:r w:rsidR="00B4544B">
        <w:rPr>
          <w:rFonts w:ascii="Arial" w:hAnsi="Arial" w:cs="Arial"/>
          <w:sz w:val="20"/>
          <w:szCs w:val="20"/>
        </w:rPr>
        <w:t xml:space="preserve"> </w:t>
      </w:r>
    </w:p>
    <w:p w:rsidR="003E6296" w:rsidRDefault="003E6296" w:rsidP="00B4544B">
      <w:pPr>
        <w:autoSpaceDE w:val="0"/>
        <w:autoSpaceDN w:val="0"/>
        <w:adjustRightInd w:val="0"/>
        <w:spacing w:after="0" w:line="240" w:lineRule="auto"/>
        <w:jc w:val="both"/>
        <w:rPr>
          <w:rFonts w:ascii="Arial" w:hAnsi="Arial" w:cs="Arial"/>
          <w:sz w:val="20"/>
          <w:szCs w:val="20"/>
        </w:rPr>
      </w:pPr>
    </w:p>
    <w:p w:rsidR="003E6296" w:rsidRPr="0089373C" w:rsidRDefault="00187BB8" w:rsidP="0089373C">
      <w:pPr>
        <w:autoSpaceDE w:val="0"/>
        <w:autoSpaceDN w:val="0"/>
        <w:adjustRightInd w:val="0"/>
        <w:spacing w:after="0"/>
        <w:jc w:val="both"/>
        <w:rPr>
          <w:rFonts w:ascii="Arial" w:hAnsi="Arial" w:cs="Arial"/>
          <w:b/>
          <w:sz w:val="20"/>
          <w:szCs w:val="20"/>
        </w:rPr>
      </w:pPr>
      <w:r>
        <w:rPr>
          <w:rFonts w:ascii="Arial" w:hAnsi="Arial" w:cs="Arial"/>
          <w:b/>
          <w:sz w:val="20"/>
          <w:szCs w:val="20"/>
        </w:rPr>
        <w:t xml:space="preserve">9. </w:t>
      </w:r>
      <w:r w:rsidR="0089373C" w:rsidRPr="0089373C">
        <w:rPr>
          <w:rFonts w:ascii="Arial" w:hAnsi="Arial" w:cs="Arial"/>
          <w:b/>
          <w:sz w:val="20"/>
          <w:szCs w:val="20"/>
        </w:rPr>
        <w:t>Representação da Lei nº 8.666/1993. Pregão Presencial. Contratação de empresa na prestação</w:t>
      </w:r>
      <w:r w:rsidR="0089373C">
        <w:rPr>
          <w:rFonts w:ascii="Arial" w:hAnsi="Arial" w:cs="Arial"/>
          <w:b/>
          <w:sz w:val="20"/>
          <w:szCs w:val="20"/>
        </w:rPr>
        <w:t xml:space="preserve"> </w:t>
      </w:r>
      <w:r w:rsidR="0089373C" w:rsidRPr="0089373C">
        <w:rPr>
          <w:rFonts w:ascii="Arial" w:hAnsi="Arial" w:cs="Arial"/>
          <w:b/>
          <w:sz w:val="20"/>
          <w:szCs w:val="20"/>
        </w:rPr>
        <w:t>de serviços de consultoria, assessoria, apoio em procedimentos administrativos em recursos humanos, tributação, licitação, técnico-legislativos e jurídicos. Violação ao Prejulgado n° 06 desta Corte. Afronta à regra do concurso público. Direcionamento do certame. Contratação de empresa pertencente a parente de servidor. Impossibilidade. Procedência. Aplicação de multas e demais sanções.</w:t>
      </w:r>
    </w:p>
    <w:p w:rsidR="003E6296" w:rsidRDefault="003E6296" w:rsidP="003E6296">
      <w:pPr>
        <w:autoSpaceDE w:val="0"/>
        <w:autoSpaceDN w:val="0"/>
        <w:adjustRightInd w:val="0"/>
        <w:spacing w:after="0"/>
        <w:jc w:val="both"/>
        <w:rPr>
          <w:rFonts w:ascii="Arial" w:hAnsi="Arial" w:cs="Arial"/>
          <w:b/>
          <w:sz w:val="20"/>
          <w:szCs w:val="20"/>
        </w:rPr>
      </w:pPr>
    </w:p>
    <w:p w:rsidR="002475BB" w:rsidRDefault="002475BB" w:rsidP="002475BB">
      <w:pPr>
        <w:autoSpaceDE w:val="0"/>
        <w:autoSpaceDN w:val="0"/>
        <w:adjustRightInd w:val="0"/>
        <w:spacing w:after="0"/>
        <w:jc w:val="both"/>
        <w:rPr>
          <w:rFonts w:ascii="Arial" w:hAnsi="Arial" w:cs="Arial"/>
          <w:sz w:val="20"/>
          <w:szCs w:val="20"/>
        </w:rPr>
      </w:pPr>
      <w:r w:rsidRPr="002475BB">
        <w:rPr>
          <w:rFonts w:ascii="Arial" w:hAnsi="Arial" w:cs="Arial"/>
          <w:sz w:val="20"/>
          <w:szCs w:val="20"/>
        </w:rPr>
        <w:lastRenderedPageBreak/>
        <w:t>C</w:t>
      </w:r>
      <w:r w:rsidR="00A7413C" w:rsidRPr="002475BB">
        <w:rPr>
          <w:rFonts w:ascii="Arial" w:hAnsi="Arial" w:cs="Arial"/>
          <w:sz w:val="20"/>
          <w:szCs w:val="20"/>
        </w:rPr>
        <w:t>onforme reiterado entendimento desta Corte, os</w:t>
      </w:r>
      <w:r>
        <w:rPr>
          <w:rFonts w:ascii="Arial" w:hAnsi="Arial" w:cs="Arial"/>
          <w:sz w:val="20"/>
          <w:szCs w:val="20"/>
        </w:rPr>
        <w:t xml:space="preserve"> </w:t>
      </w:r>
      <w:r w:rsidR="00A7413C" w:rsidRPr="002475BB">
        <w:rPr>
          <w:rFonts w:ascii="Arial" w:hAnsi="Arial" w:cs="Arial"/>
          <w:sz w:val="20"/>
          <w:szCs w:val="20"/>
        </w:rPr>
        <w:t>serviços de assessoria jurídica devem ser prestados por servidores providos por</w:t>
      </w:r>
      <w:r>
        <w:rPr>
          <w:rFonts w:ascii="Arial" w:hAnsi="Arial" w:cs="Arial"/>
          <w:sz w:val="20"/>
          <w:szCs w:val="20"/>
        </w:rPr>
        <w:t xml:space="preserve"> </w:t>
      </w:r>
      <w:r w:rsidR="00A7413C" w:rsidRPr="002475BB">
        <w:rPr>
          <w:rFonts w:ascii="Arial" w:hAnsi="Arial" w:cs="Arial"/>
          <w:sz w:val="20"/>
          <w:szCs w:val="20"/>
        </w:rPr>
        <w:t>meio de concurso público, nos termos do artigo 37, inciso II, da Constituição</w:t>
      </w:r>
      <w:r>
        <w:rPr>
          <w:rFonts w:ascii="Arial" w:hAnsi="Arial" w:cs="Arial"/>
          <w:sz w:val="20"/>
          <w:szCs w:val="20"/>
        </w:rPr>
        <w:t xml:space="preserve"> </w:t>
      </w:r>
      <w:r w:rsidR="00A7413C" w:rsidRPr="002475BB">
        <w:rPr>
          <w:rFonts w:ascii="Arial" w:hAnsi="Arial" w:cs="Arial"/>
          <w:sz w:val="20"/>
          <w:szCs w:val="20"/>
        </w:rPr>
        <w:t>Federal, uma vez que se caracterizam como técnicos e permanentes</w:t>
      </w:r>
      <w:r>
        <w:rPr>
          <w:rFonts w:ascii="Arial" w:hAnsi="Arial" w:cs="Arial"/>
          <w:sz w:val="20"/>
          <w:szCs w:val="20"/>
        </w:rPr>
        <w:t>.</w:t>
      </w:r>
    </w:p>
    <w:p w:rsidR="002475BB" w:rsidRDefault="002475BB" w:rsidP="002475BB">
      <w:pPr>
        <w:autoSpaceDE w:val="0"/>
        <w:autoSpaceDN w:val="0"/>
        <w:adjustRightInd w:val="0"/>
        <w:spacing w:after="0"/>
        <w:jc w:val="both"/>
        <w:rPr>
          <w:rFonts w:ascii="Arial" w:hAnsi="Arial" w:cs="Arial"/>
          <w:sz w:val="20"/>
          <w:szCs w:val="20"/>
        </w:rPr>
      </w:pPr>
    </w:p>
    <w:p w:rsidR="003E6296" w:rsidRPr="002475BB" w:rsidRDefault="00A7413C" w:rsidP="002475BB">
      <w:pPr>
        <w:autoSpaceDE w:val="0"/>
        <w:autoSpaceDN w:val="0"/>
        <w:adjustRightInd w:val="0"/>
        <w:spacing w:after="0"/>
        <w:jc w:val="both"/>
        <w:rPr>
          <w:rFonts w:ascii="Arial" w:hAnsi="Arial" w:cs="Arial"/>
          <w:sz w:val="20"/>
          <w:szCs w:val="20"/>
        </w:rPr>
      </w:pPr>
      <w:r w:rsidRPr="002475BB">
        <w:rPr>
          <w:rFonts w:ascii="Arial" w:hAnsi="Arial" w:cs="Arial"/>
          <w:sz w:val="20"/>
          <w:szCs w:val="20"/>
        </w:rPr>
        <w:t>Na situação específica das consultorias jurídicas, permite-se, de</w:t>
      </w:r>
      <w:r w:rsidR="002475BB">
        <w:rPr>
          <w:rFonts w:ascii="Arial" w:hAnsi="Arial" w:cs="Arial"/>
          <w:sz w:val="20"/>
          <w:szCs w:val="20"/>
        </w:rPr>
        <w:t xml:space="preserve"> </w:t>
      </w:r>
      <w:r w:rsidRPr="002475BB">
        <w:rPr>
          <w:rFonts w:ascii="Arial" w:hAnsi="Arial" w:cs="Arial"/>
          <w:sz w:val="20"/>
          <w:szCs w:val="20"/>
        </w:rPr>
        <w:t>maneira excepcional, o afastamento da regra, podendo ser realizada a contratação</w:t>
      </w:r>
      <w:r w:rsidR="002475BB">
        <w:rPr>
          <w:rFonts w:ascii="Arial" w:hAnsi="Arial" w:cs="Arial"/>
          <w:sz w:val="20"/>
          <w:szCs w:val="20"/>
        </w:rPr>
        <w:t xml:space="preserve"> </w:t>
      </w:r>
      <w:r w:rsidRPr="002475BB">
        <w:rPr>
          <w:rFonts w:ascii="Arial" w:hAnsi="Arial" w:cs="Arial"/>
          <w:sz w:val="20"/>
          <w:szCs w:val="20"/>
        </w:rPr>
        <w:t>direta para serviços que exijam notória especialização, desde que, frise-se, “reste</w:t>
      </w:r>
      <w:r w:rsidR="002475BB">
        <w:rPr>
          <w:rFonts w:ascii="Arial" w:hAnsi="Arial" w:cs="Arial"/>
          <w:sz w:val="20"/>
          <w:szCs w:val="20"/>
        </w:rPr>
        <w:t xml:space="preserve"> </w:t>
      </w:r>
      <w:r w:rsidRPr="002475BB">
        <w:rPr>
          <w:rFonts w:ascii="Arial" w:hAnsi="Arial" w:cs="Arial"/>
          <w:sz w:val="20"/>
          <w:szCs w:val="20"/>
        </w:rPr>
        <w:t>demonstrada a singularidade do objeto ou ainda, que se trate de demanda de alta</w:t>
      </w:r>
      <w:r w:rsidR="002475BB">
        <w:rPr>
          <w:rFonts w:ascii="Arial" w:hAnsi="Arial" w:cs="Arial"/>
          <w:sz w:val="20"/>
          <w:szCs w:val="20"/>
        </w:rPr>
        <w:t xml:space="preserve"> </w:t>
      </w:r>
      <w:r w:rsidRPr="002475BB">
        <w:rPr>
          <w:rFonts w:ascii="Arial" w:hAnsi="Arial" w:cs="Arial"/>
          <w:sz w:val="20"/>
          <w:szCs w:val="20"/>
        </w:rPr>
        <w:t>complexidade”.</w:t>
      </w:r>
    </w:p>
    <w:p w:rsidR="002475BB" w:rsidRPr="002475BB" w:rsidRDefault="002475BB" w:rsidP="002475BB">
      <w:pPr>
        <w:autoSpaceDE w:val="0"/>
        <w:autoSpaceDN w:val="0"/>
        <w:adjustRightInd w:val="0"/>
        <w:spacing w:after="0"/>
        <w:jc w:val="both"/>
        <w:rPr>
          <w:rFonts w:ascii="Arial" w:hAnsi="Arial" w:cs="Arial"/>
          <w:sz w:val="20"/>
          <w:szCs w:val="20"/>
        </w:rPr>
      </w:pPr>
    </w:p>
    <w:p w:rsidR="002475BB" w:rsidRPr="002475BB" w:rsidRDefault="002475BB" w:rsidP="002475BB">
      <w:pPr>
        <w:autoSpaceDE w:val="0"/>
        <w:autoSpaceDN w:val="0"/>
        <w:adjustRightInd w:val="0"/>
        <w:spacing w:after="0"/>
        <w:jc w:val="both"/>
        <w:rPr>
          <w:rFonts w:ascii="Arial" w:hAnsi="Arial" w:cs="Arial"/>
          <w:sz w:val="20"/>
          <w:szCs w:val="20"/>
        </w:rPr>
      </w:pPr>
      <w:r w:rsidRPr="002475BB">
        <w:rPr>
          <w:rFonts w:ascii="Arial" w:hAnsi="Arial" w:cs="Arial"/>
          <w:sz w:val="20"/>
          <w:szCs w:val="20"/>
        </w:rPr>
        <w:t>Quanto às demais atividades contratadas, como “programar ações</w:t>
      </w:r>
      <w:r>
        <w:rPr>
          <w:rFonts w:ascii="Arial" w:hAnsi="Arial" w:cs="Arial"/>
          <w:sz w:val="20"/>
          <w:szCs w:val="20"/>
        </w:rPr>
        <w:t xml:space="preserve"> </w:t>
      </w:r>
      <w:r w:rsidRPr="002475BB">
        <w:rPr>
          <w:rFonts w:ascii="Arial" w:hAnsi="Arial" w:cs="Arial"/>
          <w:sz w:val="20"/>
          <w:szCs w:val="20"/>
        </w:rPr>
        <w:t>que tornem os departamentos mais efetivos”, “programar controles e normativas</w:t>
      </w:r>
      <w:r>
        <w:rPr>
          <w:rFonts w:ascii="Arial" w:hAnsi="Arial" w:cs="Arial"/>
          <w:sz w:val="20"/>
          <w:szCs w:val="20"/>
        </w:rPr>
        <w:t xml:space="preserve"> </w:t>
      </w:r>
      <w:r w:rsidRPr="002475BB">
        <w:rPr>
          <w:rFonts w:ascii="Arial" w:hAnsi="Arial" w:cs="Arial"/>
          <w:sz w:val="20"/>
          <w:szCs w:val="20"/>
        </w:rPr>
        <w:t>para manutenção do equilíbrio das contas” e “assessoria e consultoria nos</w:t>
      </w:r>
      <w:r>
        <w:rPr>
          <w:rFonts w:ascii="Arial" w:hAnsi="Arial" w:cs="Arial"/>
          <w:sz w:val="20"/>
          <w:szCs w:val="20"/>
        </w:rPr>
        <w:t xml:space="preserve"> </w:t>
      </w:r>
      <w:r w:rsidRPr="002475BB">
        <w:rPr>
          <w:rFonts w:ascii="Arial" w:hAnsi="Arial" w:cs="Arial"/>
          <w:sz w:val="20"/>
          <w:szCs w:val="20"/>
        </w:rPr>
        <w:t>procedimentos de organização e normatização do departamento de patrimônio e</w:t>
      </w:r>
      <w:r>
        <w:rPr>
          <w:rFonts w:ascii="Arial" w:hAnsi="Arial" w:cs="Arial"/>
          <w:sz w:val="20"/>
          <w:szCs w:val="20"/>
        </w:rPr>
        <w:t xml:space="preserve"> </w:t>
      </w:r>
      <w:r w:rsidRPr="002475BB">
        <w:rPr>
          <w:rFonts w:ascii="Arial" w:hAnsi="Arial" w:cs="Arial"/>
          <w:sz w:val="20"/>
          <w:szCs w:val="20"/>
        </w:rPr>
        <w:t>almoxarifado”, depreende-se dos autos que, em vez de contratar trabalho técnico</w:t>
      </w:r>
      <w:r>
        <w:rPr>
          <w:rFonts w:ascii="Arial" w:hAnsi="Arial" w:cs="Arial"/>
          <w:sz w:val="20"/>
          <w:szCs w:val="20"/>
        </w:rPr>
        <w:t xml:space="preserve"> </w:t>
      </w:r>
      <w:r w:rsidRPr="002475BB">
        <w:rPr>
          <w:rFonts w:ascii="Arial" w:hAnsi="Arial" w:cs="Arial"/>
          <w:sz w:val="20"/>
          <w:szCs w:val="20"/>
        </w:rPr>
        <w:t>especializado para atualização dos servidores, segundo consta da justificativa da</w:t>
      </w:r>
      <w:r>
        <w:rPr>
          <w:rFonts w:ascii="Arial" w:hAnsi="Arial" w:cs="Arial"/>
          <w:sz w:val="20"/>
          <w:szCs w:val="20"/>
        </w:rPr>
        <w:t xml:space="preserve"> </w:t>
      </w:r>
      <w:r w:rsidRPr="002475BB">
        <w:rPr>
          <w:rFonts w:ascii="Arial" w:hAnsi="Arial" w:cs="Arial"/>
          <w:sz w:val="20"/>
          <w:szCs w:val="20"/>
        </w:rPr>
        <w:t>licitação, o município acabou contratando dois profissionais, no mínimo, para prestar</w:t>
      </w:r>
      <w:r>
        <w:rPr>
          <w:rFonts w:ascii="Arial" w:hAnsi="Arial" w:cs="Arial"/>
          <w:sz w:val="20"/>
          <w:szCs w:val="20"/>
        </w:rPr>
        <w:t xml:space="preserve"> </w:t>
      </w:r>
      <w:r w:rsidRPr="002475BB">
        <w:rPr>
          <w:rFonts w:ascii="Arial" w:hAnsi="Arial" w:cs="Arial"/>
          <w:sz w:val="20"/>
          <w:szCs w:val="20"/>
        </w:rPr>
        <w:t>serviços diários por 35 horas semanais em sua sede pelo prazo de doze meses, com vistas a realizar serviços operacionais junto aos servidores, o que viola a regra do</w:t>
      </w:r>
      <w:r>
        <w:rPr>
          <w:rFonts w:ascii="Arial" w:hAnsi="Arial" w:cs="Arial"/>
          <w:sz w:val="20"/>
          <w:szCs w:val="20"/>
        </w:rPr>
        <w:t xml:space="preserve"> </w:t>
      </w:r>
      <w:r w:rsidRPr="002475BB">
        <w:rPr>
          <w:rFonts w:ascii="Arial" w:hAnsi="Arial" w:cs="Arial"/>
          <w:sz w:val="20"/>
          <w:szCs w:val="20"/>
        </w:rPr>
        <w:t>concurso público.</w:t>
      </w:r>
    </w:p>
    <w:p w:rsidR="002475BB" w:rsidRDefault="002475BB" w:rsidP="002475BB">
      <w:pPr>
        <w:autoSpaceDE w:val="0"/>
        <w:autoSpaceDN w:val="0"/>
        <w:adjustRightInd w:val="0"/>
        <w:spacing w:after="0"/>
        <w:jc w:val="both"/>
        <w:rPr>
          <w:rFonts w:ascii="Arial" w:hAnsi="Arial" w:cs="Arial"/>
          <w:sz w:val="20"/>
          <w:szCs w:val="20"/>
        </w:rPr>
      </w:pPr>
    </w:p>
    <w:p w:rsidR="002475BB" w:rsidRDefault="002475BB" w:rsidP="002475BB">
      <w:pPr>
        <w:autoSpaceDE w:val="0"/>
        <w:autoSpaceDN w:val="0"/>
        <w:adjustRightInd w:val="0"/>
        <w:spacing w:after="0"/>
        <w:jc w:val="both"/>
        <w:rPr>
          <w:rFonts w:ascii="Arial" w:hAnsi="Arial" w:cs="Arial"/>
          <w:sz w:val="20"/>
          <w:szCs w:val="20"/>
        </w:rPr>
      </w:pPr>
      <w:r w:rsidRPr="002475BB">
        <w:rPr>
          <w:rFonts w:ascii="Arial" w:hAnsi="Arial" w:cs="Arial"/>
          <w:sz w:val="20"/>
          <w:szCs w:val="20"/>
        </w:rPr>
        <w:t>Com efeito, o objeto amplo, que abrange atividades típicas e</w:t>
      </w:r>
      <w:r>
        <w:rPr>
          <w:rFonts w:ascii="Arial" w:hAnsi="Arial" w:cs="Arial"/>
          <w:sz w:val="20"/>
          <w:szCs w:val="20"/>
        </w:rPr>
        <w:t xml:space="preserve"> </w:t>
      </w:r>
      <w:r w:rsidRPr="002475BB">
        <w:rPr>
          <w:rFonts w:ascii="Arial" w:hAnsi="Arial" w:cs="Arial"/>
          <w:sz w:val="20"/>
          <w:szCs w:val="20"/>
        </w:rPr>
        <w:t>permanentes da Administração Municipal, demonstra que não foi celebrado contrato</w:t>
      </w:r>
      <w:r>
        <w:rPr>
          <w:rFonts w:ascii="Arial" w:hAnsi="Arial" w:cs="Arial"/>
          <w:sz w:val="20"/>
          <w:szCs w:val="20"/>
        </w:rPr>
        <w:t xml:space="preserve"> </w:t>
      </w:r>
      <w:r w:rsidRPr="002475BB">
        <w:rPr>
          <w:rFonts w:ascii="Arial" w:hAnsi="Arial" w:cs="Arial"/>
          <w:sz w:val="20"/>
          <w:szCs w:val="20"/>
        </w:rPr>
        <w:t>para atender a situação excepcional e complexa, mas sim o assessoramento geral</w:t>
      </w:r>
      <w:r>
        <w:rPr>
          <w:rFonts w:ascii="Arial" w:hAnsi="Arial" w:cs="Arial"/>
          <w:sz w:val="20"/>
          <w:szCs w:val="20"/>
        </w:rPr>
        <w:t xml:space="preserve"> </w:t>
      </w:r>
      <w:r w:rsidRPr="002475BB">
        <w:rPr>
          <w:rFonts w:ascii="Arial" w:hAnsi="Arial" w:cs="Arial"/>
          <w:sz w:val="20"/>
          <w:szCs w:val="20"/>
        </w:rPr>
        <w:t>do ente público, confundindo-se com suas atividades quotidianas</w:t>
      </w:r>
      <w:r>
        <w:rPr>
          <w:rFonts w:ascii="Arial" w:hAnsi="Arial" w:cs="Arial"/>
          <w:sz w:val="20"/>
          <w:szCs w:val="20"/>
        </w:rPr>
        <w:t>.</w:t>
      </w:r>
    </w:p>
    <w:p w:rsidR="002475BB" w:rsidRDefault="002475BB" w:rsidP="002475BB">
      <w:pPr>
        <w:autoSpaceDE w:val="0"/>
        <w:autoSpaceDN w:val="0"/>
        <w:adjustRightInd w:val="0"/>
        <w:spacing w:after="0"/>
        <w:jc w:val="both"/>
        <w:rPr>
          <w:rFonts w:ascii="Arial" w:hAnsi="Arial" w:cs="Arial"/>
          <w:sz w:val="20"/>
          <w:szCs w:val="20"/>
        </w:rPr>
      </w:pPr>
    </w:p>
    <w:p w:rsidR="002475BB" w:rsidRDefault="002475BB" w:rsidP="002475BB">
      <w:pPr>
        <w:autoSpaceDE w:val="0"/>
        <w:autoSpaceDN w:val="0"/>
        <w:adjustRightInd w:val="0"/>
        <w:spacing w:after="0"/>
        <w:jc w:val="both"/>
        <w:rPr>
          <w:rFonts w:ascii="Arial" w:hAnsi="Arial" w:cs="Arial"/>
          <w:sz w:val="20"/>
          <w:szCs w:val="20"/>
        </w:rPr>
      </w:pPr>
      <w:r w:rsidRPr="002475BB">
        <w:rPr>
          <w:rFonts w:ascii="Arial" w:hAnsi="Arial" w:cs="Arial"/>
          <w:sz w:val="20"/>
          <w:szCs w:val="20"/>
        </w:rPr>
        <w:t>Em relação à modalidade licitatória adotada, especificamente quanto</w:t>
      </w:r>
      <w:r>
        <w:rPr>
          <w:rFonts w:ascii="Arial" w:hAnsi="Arial" w:cs="Arial"/>
          <w:sz w:val="20"/>
          <w:szCs w:val="20"/>
        </w:rPr>
        <w:t xml:space="preserve"> </w:t>
      </w:r>
      <w:r w:rsidRPr="002475BB">
        <w:rPr>
          <w:rFonts w:ascii="Arial" w:hAnsi="Arial" w:cs="Arial"/>
          <w:sz w:val="20"/>
          <w:szCs w:val="20"/>
        </w:rPr>
        <w:t>aos serviços jurídicos de assessoria e consultoria, ainda que fosse viável a</w:t>
      </w:r>
      <w:r>
        <w:rPr>
          <w:rFonts w:ascii="Arial" w:hAnsi="Arial" w:cs="Arial"/>
          <w:sz w:val="20"/>
          <w:szCs w:val="20"/>
        </w:rPr>
        <w:t xml:space="preserve"> </w:t>
      </w:r>
      <w:r w:rsidRPr="002475BB">
        <w:rPr>
          <w:rFonts w:ascii="Arial" w:hAnsi="Arial" w:cs="Arial"/>
          <w:sz w:val="20"/>
          <w:szCs w:val="20"/>
        </w:rPr>
        <w:t>realização de licitação no caso concreto, entendo que o pregão não é a modalidade</w:t>
      </w:r>
      <w:r>
        <w:rPr>
          <w:rFonts w:ascii="Arial" w:hAnsi="Arial" w:cs="Arial"/>
          <w:sz w:val="20"/>
          <w:szCs w:val="20"/>
        </w:rPr>
        <w:t xml:space="preserve"> </w:t>
      </w:r>
      <w:r w:rsidRPr="002475BB">
        <w:rPr>
          <w:rFonts w:ascii="Arial" w:hAnsi="Arial" w:cs="Arial"/>
          <w:sz w:val="20"/>
          <w:szCs w:val="20"/>
        </w:rPr>
        <w:t>adequada para a contratação dos mencionados serviços, porquanto não se</w:t>
      </w:r>
      <w:r>
        <w:rPr>
          <w:rFonts w:ascii="Arial" w:hAnsi="Arial" w:cs="Arial"/>
          <w:sz w:val="20"/>
          <w:szCs w:val="20"/>
        </w:rPr>
        <w:t xml:space="preserve"> </w:t>
      </w:r>
      <w:r w:rsidRPr="002475BB">
        <w:rPr>
          <w:rFonts w:ascii="Arial" w:hAnsi="Arial" w:cs="Arial"/>
          <w:sz w:val="20"/>
          <w:szCs w:val="20"/>
        </w:rPr>
        <w:t>caracterizam como “comuns”, conforme exigido pela Lei nº 10.520/02 6, sendo de</w:t>
      </w:r>
      <w:r>
        <w:rPr>
          <w:rFonts w:ascii="Arial" w:hAnsi="Arial" w:cs="Arial"/>
          <w:sz w:val="20"/>
          <w:szCs w:val="20"/>
        </w:rPr>
        <w:t xml:space="preserve"> </w:t>
      </w:r>
      <w:r w:rsidRPr="002475BB">
        <w:rPr>
          <w:rFonts w:ascii="Arial" w:hAnsi="Arial" w:cs="Arial"/>
          <w:sz w:val="20"/>
          <w:szCs w:val="20"/>
        </w:rPr>
        <w:t>natureza intelectual e peculiar.</w:t>
      </w:r>
    </w:p>
    <w:p w:rsidR="002475BB" w:rsidRPr="002475BB" w:rsidRDefault="002475BB" w:rsidP="002475BB">
      <w:pPr>
        <w:autoSpaceDE w:val="0"/>
        <w:autoSpaceDN w:val="0"/>
        <w:adjustRightInd w:val="0"/>
        <w:spacing w:after="0"/>
        <w:jc w:val="both"/>
        <w:rPr>
          <w:rFonts w:ascii="Arial" w:hAnsi="Arial" w:cs="Arial"/>
          <w:sz w:val="20"/>
          <w:szCs w:val="20"/>
        </w:rPr>
      </w:pPr>
    </w:p>
    <w:p w:rsidR="002475BB" w:rsidRDefault="002475BB" w:rsidP="002475BB">
      <w:pPr>
        <w:autoSpaceDE w:val="0"/>
        <w:autoSpaceDN w:val="0"/>
        <w:adjustRightInd w:val="0"/>
        <w:spacing w:after="0"/>
        <w:jc w:val="both"/>
        <w:rPr>
          <w:rFonts w:ascii="Arial" w:hAnsi="Arial" w:cs="Arial"/>
          <w:sz w:val="20"/>
          <w:szCs w:val="20"/>
        </w:rPr>
      </w:pPr>
      <w:r w:rsidRPr="002475BB">
        <w:rPr>
          <w:rFonts w:ascii="Arial" w:hAnsi="Arial" w:cs="Arial"/>
          <w:sz w:val="20"/>
          <w:szCs w:val="20"/>
        </w:rPr>
        <w:t>Por “serviço comum” pode-se considerar aquele que está</w:t>
      </w:r>
      <w:r>
        <w:rPr>
          <w:rFonts w:ascii="Arial" w:hAnsi="Arial" w:cs="Arial"/>
          <w:sz w:val="20"/>
          <w:szCs w:val="20"/>
        </w:rPr>
        <w:t xml:space="preserve"> </w:t>
      </w:r>
      <w:r w:rsidRPr="002475BB">
        <w:rPr>
          <w:rFonts w:ascii="Arial" w:hAnsi="Arial" w:cs="Arial"/>
          <w:sz w:val="20"/>
          <w:szCs w:val="20"/>
        </w:rPr>
        <w:t>prontamente disponível no mercado para a utilização por qualquer entidade, sem</w:t>
      </w:r>
      <w:r>
        <w:rPr>
          <w:rFonts w:ascii="Arial" w:hAnsi="Arial" w:cs="Arial"/>
          <w:sz w:val="20"/>
          <w:szCs w:val="20"/>
        </w:rPr>
        <w:t xml:space="preserve"> </w:t>
      </w:r>
      <w:r w:rsidRPr="002475BB">
        <w:rPr>
          <w:rFonts w:ascii="Arial" w:hAnsi="Arial" w:cs="Arial"/>
          <w:sz w:val="20"/>
          <w:szCs w:val="20"/>
        </w:rPr>
        <w:t>necessidade de adequação para atendimento de suas especificidades, o que não</w:t>
      </w:r>
      <w:r>
        <w:rPr>
          <w:rFonts w:ascii="Arial" w:hAnsi="Arial" w:cs="Arial"/>
          <w:sz w:val="20"/>
          <w:szCs w:val="20"/>
        </w:rPr>
        <w:t xml:space="preserve"> </w:t>
      </w:r>
      <w:r w:rsidRPr="002475BB">
        <w:rPr>
          <w:rFonts w:ascii="Arial" w:hAnsi="Arial" w:cs="Arial"/>
          <w:sz w:val="20"/>
          <w:szCs w:val="20"/>
        </w:rPr>
        <w:t>ocorre com os serviços jurídicos, serviços intelectuais que devem se adaptar às</w:t>
      </w:r>
      <w:r>
        <w:rPr>
          <w:rFonts w:ascii="Arial" w:hAnsi="Arial" w:cs="Arial"/>
          <w:sz w:val="20"/>
          <w:szCs w:val="20"/>
        </w:rPr>
        <w:t xml:space="preserve"> </w:t>
      </w:r>
      <w:r w:rsidRPr="002475BB">
        <w:rPr>
          <w:rFonts w:ascii="Arial" w:hAnsi="Arial" w:cs="Arial"/>
          <w:sz w:val="20"/>
          <w:szCs w:val="20"/>
        </w:rPr>
        <w:t>individualidades de cada contratante.</w:t>
      </w:r>
    </w:p>
    <w:p w:rsidR="00CB5573" w:rsidRDefault="00CB5573" w:rsidP="002475BB">
      <w:pPr>
        <w:autoSpaceDE w:val="0"/>
        <w:autoSpaceDN w:val="0"/>
        <w:adjustRightInd w:val="0"/>
        <w:spacing w:after="0"/>
        <w:jc w:val="both"/>
        <w:rPr>
          <w:rFonts w:ascii="Arial" w:hAnsi="Arial" w:cs="Arial"/>
          <w:sz w:val="20"/>
          <w:szCs w:val="20"/>
        </w:rPr>
      </w:pPr>
    </w:p>
    <w:p w:rsidR="00CB5573" w:rsidRDefault="002C3C21" w:rsidP="00CB5573">
      <w:pPr>
        <w:autoSpaceDE w:val="0"/>
        <w:autoSpaceDN w:val="0"/>
        <w:adjustRightInd w:val="0"/>
        <w:spacing w:after="0"/>
        <w:jc w:val="both"/>
        <w:rPr>
          <w:rFonts w:ascii="Arial" w:hAnsi="Arial" w:cs="Arial"/>
          <w:sz w:val="20"/>
          <w:szCs w:val="20"/>
        </w:rPr>
      </w:pPr>
      <w:r>
        <w:rPr>
          <w:rFonts w:ascii="Arial" w:hAnsi="Arial" w:cs="Arial"/>
          <w:sz w:val="20"/>
          <w:szCs w:val="20"/>
        </w:rPr>
        <w:t xml:space="preserve">Destaca-se, também, que </w:t>
      </w:r>
      <w:proofErr w:type="spellStart"/>
      <w:r>
        <w:rPr>
          <w:rFonts w:ascii="Arial" w:hAnsi="Arial" w:cs="Arial"/>
          <w:sz w:val="20"/>
          <w:szCs w:val="20"/>
        </w:rPr>
        <w:t>e</w:t>
      </w:r>
      <w:r w:rsidR="00CB5573" w:rsidRPr="00CB5573">
        <w:rPr>
          <w:rFonts w:ascii="Arial" w:hAnsi="Arial" w:cs="Arial"/>
          <w:sz w:val="20"/>
          <w:szCs w:val="20"/>
        </w:rPr>
        <w:t>sta</w:t>
      </w:r>
      <w:proofErr w:type="spellEnd"/>
      <w:r>
        <w:rPr>
          <w:rFonts w:ascii="Arial" w:hAnsi="Arial" w:cs="Arial"/>
          <w:sz w:val="20"/>
          <w:szCs w:val="20"/>
        </w:rPr>
        <w:t xml:space="preserve"> </w:t>
      </w:r>
      <w:r w:rsidR="00CB5573" w:rsidRPr="00CB5573">
        <w:rPr>
          <w:rFonts w:ascii="Arial" w:hAnsi="Arial" w:cs="Arial"/>
          <w:sz w:val="20"/>
          <w:szCs w:val="20"/>
        </w:rPr>
        <w:t>Corte possui entendimento</w:t>
      </w:r>
      <w:r>
        <w:rPr>
          <w:rFonts w:ascii="Arial" w:hAnsi="Arial" w:cs="Arial"/>
          <w:sz w:val="20"/>
          <w:szCs w:val="20"/>
        </w:rPr>
        <w:t xml:space="preserve"> </w:t>
      </w:r>
      <w:r w:rsidR="00CB5573" w:rsidRPr="00CB5573">
        <w:rPr>
          <w:rFonts w:ascii="Arial" w:hAnsi="Arial" w:cs="Arial"/>
          <w:sz w:val="20"/>
          <w:szCs w:val="20"/>
        </w:rPr>
        <w:t>consolidado pela impossibilidade de participação na licitação e de contratação de</w:t>
      </w:r>
      <w:r>
        <w:rPr>
          <w:rFonts w:ascii="Arial" w:hAnsi="Arial" w:cs="Arial"/>
          <w:sz w:val="20"/>
          <w:szCs w:val="20"/>
        </w:rPr>
        <w:t xml:space="preserve"> </w:t>
      </w:r>
      <w:r w:rsidR="00CB5573" w:rsidRPr="00CB5573">
        <w:rPr>
          <w:rFonts w:ascii="Arial" w:hAnsi="Arial" w:cs="Arial"/>
          <w:sz w:val="20"/>
          <w:szCs w:val="20"/>
        </w:rPr>
        <w:t>empresa na qual consta como sócio parente em linha reta ou colateral de servidor</w:t>
      </w:r>
      <w:r>
        <w:rPr>
          <w:rFonts w:ascii="Arial" w:hAnsi="Arial" w:cs="Arial"/>
          <w:sz w:val="20"/>
          <w:szCs w:val="20"/>
        </w:rPr>
        <w:t xml:space="preserve"> </w:t>
      </w:r>
      <w:r w:rsidR="00CB5573" w:rsidRPr="00CB5573">
        <w:rPr>
          <w:rFonts w:ascii="Arial" w:hAnsi="Arial" w:cs="Arial"/>
          <w:sz w:val="20"/>
          <w:szCs w:val="20"/>
        </w:rPr>
        <w:t>em cargo efetivo ou em comissão na entidade licitante, nos termos do Acórdão</w:t>
      </w:r>
      <w:r>
        <w:rPr>
          <w:rFonts w:ascii="Arial" w:hAnsi="Arial" w:cs="Arial"/>
          <w:sz w:val="20"/>
          <w:szCs w:val="20"/>
        </w:rPr>
        <w:t xml:space="preserve"> </w:t>
      </w:r>
      <w:r w:rsidR="00CB5573" w:rsidRPr="00CB5573">
        <w:rPr>
          <w:rFonts w:ascii="Arial" w:hAnsi="Arial" w:cs="Arial"/>
          <w:sz w:val="20"/>
          <w:szCs w:val="20"/>
        </w:rPr>
        <w:t>n° 2745/1010 do Tribunal Pleno (consulta com força normativa).</w:t>
      </w:r>
    </w:p>
    <w:p w:rsidR="002C3C21" w:rsidRDefault="002C3C21" w:rsidP="00CB5573">
      <w:pPr>
        <w:autoSpaceDE w:val="0"/>
        <w:autoSpaceDN w:val="0"/>
        <w:adjustRightInd w:val="0"/>
        <w:spacing w:after="0"/>
        <w:jc w:val="both"/>
        <w:rPr>
          <w:rFonts w:ascii="Arial" w:hAnsi="Arial" w:cs="Arial"/>
          <w:sz w:val="20"/>
          <w:szCs w:val="20"/>
        </w:rPr>
      </w:pPr>
    </w:p>
    <w:p w:rsidR="002C3C21" w:rsidRDefault="002C3C21" w:rsidP="002C3C21">
      <w:pPr>
        <w:autoSpaceDE w:val="0"/>
        <w:autoSpaceDN w:val="0"/>
        <w:adjustRightInd w:val="0"/>
        <w:spacing w:after="0"/>
        <w:jc w:val="both"/>
        <w:rPr>
          <w:rFonts w:ascii="Arial" w:hAnsi="Arial" w:cs="Arial"/>
          <w:sz w:val="20"/>
          <w:szCs w:val="20"/>
        </w:rPr>
      </w:pPr>
      <w:r w:rsidRPr="002C3C21">
        <w:rPr>
          <w:rFonts w:ascii="Arial" w:hAnsi="Arial" w:cs="Arial"/>
          <w:sz w:val="20"/>
          <w:szCs w:val="20"/>
        </w:rPr>
        <w:t>A vedação referida está amparada nos princípios da moralidade, da</w:t>
      </w:r>
      <w:r>
        <w:rPr>
          <w:rFonts w:ascii="Arial" w:hAnsi="Arial" w:cs="Arial"/>
          <w:sz w:val="20"/>
          <w:szCs w:val="20"/>
        </w:rPr>
        <w:t xml:space="preserve"> </w:t>
      </w:r>
      <w:r w:rsidRPr="002C3C21">
        <w:rPr>
          <w:rFonts w:ascii="Arial" w:hAnsi="Arial" w:cs="Arial"/>
          <w:sz w:val="20"/>
          <w:szCs w:val="20"/>
        </w:rPr>
        <w:t>impessoalidade e da isonomia, aplicáveis à Administração Pública e insculpidos nos</w:t>
      </w:r>
      <w:r>
        <w:rPr>
          <w:rFonts w:ascii="Arial" w:hAnsi="Arial" w:cs="Arial"/>
          <w:sz w:val="20"/>
          <w:szCs w:val="20"/>
        </w:rPr>
        <w:t xml:space="preserve"> </w:t>
      </w:r>
      <w:r w:rsidRPr="002C3C21">
        <w:rPr>
          <w:rFonts w:ascii="Arial" w:hAnsi="Arial" w:cs="Arial"/>
          <w:sz w:val="20"/>
          <w:szCs w:val="20"/>
        </w:rPr>
        <w:t xml:space="preserve">artigos 37, </w:t>
      </w:r>
      <w:r w:rsidRPr="002C3C21">
        <w:rPr>
          <w:rFonts w:ascii="Arial" w:hAnsi="Arial" w:cs="Arial"/>
          <w:i/>
          <w:iCs/>
          <w:sz w:val="20"/>
          <w:szCs w:val="20"/>
        </w:rPr>
        <w:t>caput</w:t>
      </w:r>
      <w:r w:rsidRPr="002C3C21">
        <w:rPr>
          <w:rFonts w:ascii="Arial" w:hAnsi="Arial" w:cs="Arial"/>
          <w:sz w:val="20"/>
          <w:szCs w:val="20"/>
        </w:rPr>
        <w:t>, e 5° da Constituição Federal.</w:t>
      </w:r>
      <w:r>
        <w:rPr>
          <w:rFonts w:ascii="Arial" w:hAnsi="Arial" w:cs="Arial"/>
          <w:sz w:val="20"/>
          <w:szCs w:val="20"/>
        </w:rPr>
        <w:t xml:space="preserve"> </w:t>
      </w:r>
      <w:r w:rsidRPr="002C3C21">
        <w:rPr>
          <w:rFonts w:ascii="Arial" w:hAnsi="Arial" w:cs="Arial"/>
          <w:sz w:val="20"/>
          <w:szCs w:val="20"/>
        </w:rPr>
        <w:t>Além disso, baseia-se na interpretação da Súmula Vinculante n° 13</w:t>
      </w:r>
      <w:r>
        <w:rPr>
          <w:rFonts w:ascii="Arial" w:hAnsi="Arial" w:cs="Arial"/>
          <w:sz w:val="20"/>
          <w:szCs w:val="20"/>
        </w:rPr>
        <w:t xml:space="preserve"> </w:t>
      </w:r>
      <w:r w:rsidRPr="002C3C21">
        <w:rPr>
          <w:rFonts w:ascii="Arial" w:hAnsi="Arial" w:cs="Arial"/>
          <w:sz w:val="20"/>
          <w:szCs w:val="20"/>
        </w:rPr>
        <w:t xml:space="preserve">do </w:t>
      </w:r>
      <w:r w:rsidRPr="002C3C21">
        <w:rPr>
          <w:rFonts w:ascii="Arial" w:hAnsi="Arial" w:cs="Arial"/>
          <w:sz w:val="20"/>
          <w:szCs w:val="20"/>
        </w:rPr>
        <w:lastRenderedPageBreak/>
        <w:t>Supremo Tribunal Federal, que também foi objeto de análise por este Tribunal de</w:t>
      </w:r>
      <w:r>
        <w:rPr>
          <w:rFonts w:ascii="Arial" w:hAnsi="Arial" w:cs="Arial"/>
          <w:sz w:val="20"/>
          <w:szCs w:val="20"/>
        </w:rPr>
        <w:t xml:space="preserve"> </w:t>
      </w:r>
      <w:r w:rsidRPr="002C3C21">
        <w:rPr>
          <w:rFonts w:ascii="Arial" w:hAnsi="Arial" w:cs="Arial"/>
          <w:sz w:val="20"/>
          <w:szCs w:val="20"/>
        </w:rPr>
        <w:t>Contas, cujas regras restaram consolidadas no Prejulgado n</w:t>
      </w:r>
      <w:r>
        <w:rPr>
          <w:rFonts w:ascii="Arial" w:hAnsi="Arial" w:cs="Arial"/>
          <w:sz w:val="20"/>
          <w:szCs w:val="20"/>
        </w:rPr>
        <w:t>°</w:t>
      </w:r>
      <w:r w:rsidRPr="002C3C21">
        <w:rPr>
          <w:rFonts w:ascii="Arial" w:hAnsi="Arial" w:cs="Arial"/>
          <w:sz w:val="20"/>
          <w:szCs w:val="20"/>
        </w:rPr>
        <w:t xml:space="preserve"> 09</w:t>
      </w:r>
      <w:r>
        <w:rPr>
          <w:rFonts w:ascii="Arial" w:hAnsi="Arial" w:cs="Arial"/>
          <w:sz w:val="20"/>
          <w:szCs w:val="20"/>
        </w:rPr>
        <w:t xml:space="preserve"> do TCE/PR.</w:t>
      </w:r>
    </w:p>
    <w:p w:rsidR="002C3C21" w:rsidRDefault="002C3C21" w:rsidP="002C3C21">
      <w:pPr>
        <w:autoSpaceDE w:val="0"/>
        <w:autoSpaceDN w:val="0"/>
        <w:adjustRightInd w:val="0"/>
        <w:spacing w:after="0"/>
        <w:jc w:val="both"/>
        <w:rPr>
          <w:rFonts w:ascii="Arial" w:hAnsi="Arial" w:cs="Arial"/>
          <w:sz w:val="20"/>
          <w:szCs w:val="20"/>
        </w:rPr>
      </w:pPr>
    </w:p>
    <w:p w:rsidR="002C3C21" w:rsidRDefault="002C3C21" w:rsidP="002C3C21">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900722/13 - </w:t>
      </w:r>
      <w:hyperlink r:id="rId16" w:history="1">
        <w:r w:rsidRPr="00517698">
          <w:rPr>
            <w:rStyle w:val="Hyperlink"/>
            <w:rFonts w:ascii="Arial" w:hAnsi="Arial" w:cs="Arial"/>
            <w:sz w:val="20"/>
            <w:szCs w:val="20"/>
          </w:rPr>
          <w:t>Acórdão n° 2412/17 - Tribunal Pleno</w:t>
        </w:r>
      </w:hyperlink>
      <w:r>
        <w:rPr>
          <w:rFonts w:ascii="Arial" w:hAnsi="Arial" w:cs="Arial"/>
          <w:sz w:val="20"/>
          <w:szCs w:val="20"/>
        </w:rPr>
        <w:t xml:space="preserve"> - Rel. Conselheiro Ivan </w:t>
      </w:r>
      <w:proofErr w:type="spellStart"/>
      <w:r>
        <w:rPr>
          <w:rFonts w:ascii="Arial" w:hAnsi="Arial" w:cs="Arial"/>
          <w:sz w:val="20"/>
          <w:szCs w:val="20"/>
        </w:rPr>
        <w:t>Lelis</w:t>
      </w:r>
      <w:proofErr w:type="spellEnd"/>
      <w:r>
        <w:rPr>
          <w:rFonts w:ascii="Arial" w:hAnsi="Arial" w:cs="Arial"/>
          <w:sz w:val="20"/>
          <w:szCs w:val="20"/>
        </w:rPr>
        <w:t xml:space="preserve"> Bonilha.</w:t>
      </w:r>
    </w:p>
    <w:p w:rsidR="002C3C21" w:rsidRPr="002C3C21" w:rsidRDefault="002C3C21" w:rsidP="002C3C21">
      <w:pPr>
        <w:autoSpaceDE w:val="0"/>
        <w:autoSpaceDN w:val="0"/>
        <w:adjustRightInd w:val="0"/>
        <w:spacing w:after="0"/>
        <w:jc w:val="both"/>
        <w:rPr>
          <w:rFonts w:ascii="Arial" w:hAnsi="Arial" w:cs="Arial"/>
          <w:b/>
          <w:sz w:val="20"/>
          <w:szCs w:val="20"/>
        </w:rPr>
      </w:pPr>
    </w:p>
    <w:p w:rsidR="002C3C21" w:rsidRDefault="00187BB8" w:rsidP="002C3C21">
      <w:pPr>
        <w:autoSpaceDE w:val="0"/>
        <w:autoSpaceDN w:val="0"/>
        <w:adjustRightInd w:val="0"/>
        <w:spacing w:after="0"/>
        <w:jc w:val="both"/>
        <w:rPr>
          <w:rFonts w:ascii="Arial" w:hAnsi="Arial" w:cs="Arial"/>
          <w:b/>
          <w:sz w:val="20"/>
          <w:szCs w:val="20"/>
        </w:rPr>
      </w:pPr>
      <w:r>
        <w:rPr>
          <w:rFonts w:ascii="Arial" w:hAnsi="Arial" w:cs="Arial"/>
          <w:b/>
          <w:sz w:val="20"/>
          <w:szCs w:val="20"/>
        </w:rPr>
        <w:t xml:space="preserve">10. </w:t>
      </w:r>
      <w:r w:rsidR="002C3C21" w:rsidRPr="002C3C21">
        <w:rPr>
          <w:rFonts w:ascii="Arial" w:hAnsi="Arial" w:cs="Arial"/>
          <w:b/>
          <w:sz w:val="20"/>
          <w:szCs w:val="20"/>
        </w:rPr>
        <w:t>Possibilidade de concessão de auxílio alimentação aos servidores comissionados. Princípio da legalidade. Necessidade de norma legal e disponibilidade orçamentária.</w:t>
      </w:r>
    </w:p>
    <w:p w:rsidR="002C3C21" w:rsidRDefault="002C3C21" w:rsidP="002C3C21">
      <w:pPr>
        <w:autoSpaceDE w:val="0"/>
        <w:autoSpaceDN w:val="0"/>
        <w:adjustRightInd w:val="0"/>
        <w:spacing w:after="0"/>
        <w:jc w:val="both"/>
        <w:rPr>
          <w:rFonts w:ascii="Arial" w:hAnsi="Arial" w:cs="Arial"/>
          <w:b/>
          <w:sz w:val="20"/>
          <w:szCs w:val="20"/>
        </w:rPr>
      </w:pPr>
    </w:p>
    <w:p w:rsidR="002C3C21" w:rsidRDefault="002C3C21" w:rsidP="002C3C21">
      <w:pPr>
        <w:autoSpaceDE w:val="0"/>
        <w:autoSpaceDN w:val="0"/>
        <w:adjustRightInd w:val="0"/>
        <w:spacing w:after="0"/>
        <w:jc w:val="both"/>
        <w:rPr>
          <w:rFonts w:ascii="Arial" w:hAnsi="Arial" w:cs="Arial"/>
          <w:sz w:val="20"/>
          <w:szCs w:val="20"/>
        </w:rPr>
      </w:pPr>
      <w:r w:rsidRPr="002C3C21">
        <w:rPr>
          <w:rFonts w:ascii="Arial" w:hAnsi="Arial" w:cs="Arial"/>
          <w:sz w:val="20"/>
          <w:szCs w:val="20"/>
        </w:rPr>
        <w:t>O benefício do auxílio alimentação possui caráter indenizatório e não</w:t>
      </w:r>
      <w:r>
        <w:rPr>
          <w:rFonts w:ascii="Arial" w:hAnsi="Arial" w:cs="Arial"/>
          <w:sz w:val="20"/>
          <w:szCs w:val="20"/>
        </w:rPr>
        <w:t xml:space="preserve"> </w:t>
      </w:r>
      <w:r w:rsidRPr="002C3C21">
        <w:rPr>
          <w:rFonts w:ascii="Arial" w:hAnsi="Arial" w:cs="Arial"/>
          <w:sz w:val="20"/>
          <w:szCs w:val="20"/>
        </w:rPr>
        <w:t>salarial, a fim de ressarcir o servidor dos gastos com alimentação.</w:t>
      </w:r>
      <w:r>
        <w:rPr>
          <w:rFonts w:ascii="Arial" w:hAnsi="Arial" w:cs="Arial"/>
          <w:sz w:val="20"/>
          <w:szCs w:val="20"/>
        </w:rPr>
        <w:t xml:space="preserve"> </w:t>
      </w:r>
      <w:r w:rsidRPr="002C3C21">
        <w:rPr>
          <w:rFonts w:ascii="Arial" w:hAnsi="Arial" w:cs="Arial"/>
          <w:sz w:val="20"/>
          <w:szCs w:val="20"/>
        </w:rPr>
        <w:t>A concessão do auxílio alimentação depende de previsão legal, uma</w:t>
      </w:r>
      <w:r>
        <w:rPr>
          <w:rFonts w:ascii="Arial" w:hAnsi="Arial" w:cs="Arial"/>
          <w:sz w:val="20"/>
          <w:szCs w:val="20"/>
        </w:rPr>
        <w:t xml:space="preserve"> </w:t>
      </w:r>
      <w:r w:rsidRPr="002C3C21">
        <w:rPr>
          <w:rFonts w:ascii="Arial" w:hAnsi="Arial" w:cs="Arial"/>
          <w:sz w:val="20"/>
          <w:szCs w:val="20"/>
        </w:rPr>
        <w:t>vez que o princípio da legalidade subordina a atuação da administração, assim como</w:t>
      </w:r>
      <w:r>
        <w:rPr>
          <w:rFonts w:ascii="Arial" w:hAnsi="Arial" w:cs="Arial"/>
          <w:sz w:val="20"/>
          <w:szCs w:val="20"/>
        </w:rPr>
        <w:t xml:space="preserve"> </w:t>
      </w:r>
      <w:r w:rsidRPr="002C3C21">
        <w:rPr>
          <w:rFonts w:ascii="Arial" w:hAnsi="Arial" w:cs="Arial"/>
          <w:sz w:val="20"/>
          <w:szCs w:val="20"/>
        </w:rPr>
        <w:t>a imperiosa disponibilidade orçamentária.</w:t>
      </w:r>
    </w:p>
    <w:p w:rsidR="002C3C21" w:rsidRPr="002C3C21" w:rsidRDefault="002C3C21" w:rsidP="002C3C21">
      <w:pPr>
        <w:autoSpaceDE w:val="0"/>
        <w:autoSpaceDN w:val="0"/>
        <w:adjustRightInd w:val="0"/>
        <w:spacing w:after="0"/>
        <w:jc w:val="both"/>
        <w:rPr>
          <w:rFonts w:ascii="Arial" w:hAnsi="Arial" w:cs="Arial"/>
          <w:sz w:val="20"/>
          <w:szCs w:val="20"/>
        </w:rPr>
      </w:pPr>
    </w:p>
    <w:p w:rsidR="002C3C21" w:rsidRPr="002C3C21" w:rsidRDefault="002C3C21" w:rsidP="002C3C21">
      <w:pPr>
        <w:autoSpaceDE w:val="0"/>
        <w:autoSpaceDN w:val="0"/>
        <w:adjustRightInd w:val="0"/>
        <w:spacing w:after="0"/>
        <w:jc w:val="both"/>
        <w:rPr>
          <w:rFonts w:ascii="Arial" w:hAnsi="Arial" w:cs="Arial"/>
          <w:sz w:val="20"/>
          <w:szCs w:val="20"/>
        </w:rPr>
      </w:pPr>
      <w:r w:rsidRPr="002C3C21">
        <w:rPr>
          <w:rFonts w:ascii="Arial" w:hAnsi="Arial" w:cs="Arial"/>
          <w:sz w:val="20"/>
          <w:szCs w:val="20"/>
        </w:rPr>
        <w:t>Ademais, cumpre ressaltar que a principal diferença entre os</w:t>
      </w:r>
      <w:r>
        <w:rPr>
          <w:rFonts w:ascii="Arial" w:hAnsi="Arial" w:cs="Arial"/>
          <w:sz w:val="20"/>
          <w:szCs w:val="20"/>
        </w:rPr>
        <w:t xml:space="preserve"> </w:t>
      </w:r>
      <w:r w:rsidRPr="002C3C21">
        <w:rPr>
          <w:rFonts w:ascii="Arial" w:hAnsi="Arial" w:cs="Arial"/>
          <w:sz w:val="20"/>
          <w:szCs w:val="20"/>
        </w:rPr>
        <w:t>servidores ocupantes de cargo efetivo e os detentores de cargos em comissão é a</w:t>
      </w:r>
      <w:r>
        <w:rPr>
          <w:rFonts w:ascii="Arial" w:hAnsi="Arial" w:cs="Arial"/>
          <w:sz w:val="20"/>
          <w:szCs w:val="20"/>
        </w:rPr>
        <w:t xml:space="preserve"> </w:t>
      </w:r>
      <w:r w:rsidRPr="002C3C21">
        <w:rPr>
          <w:rFonts w:ascii="Arial" w:hAnsi="Arial" w:cs="Arial"/>
          <w:sz w:val="20"/>
          <w:szCs w:val="20"/>
        </w:rPr>
        <w:t>forma de investidura e exoneração, bem como o exercício de funções de direção,</w:t>
      </w:r>
      <w:r>
        <w:rPr>
          <w:rFonts w:ascii="Arial" w:hAnsi="Arial" w:cs="Arial"/>
          <w:sz w:val="20"/>
          <w:szCs w:val="20"/>
        </w:rPr>
        <w:t xml:space="preserve"> </w:t>
      </w:r>
      <w:r w:rsidRPr="002C3C21">
        <w:rPr>
          <w:rFonts w:ascii="Arial" w:hAnsi="Arial" w:cs="Arial"/>
          <w:sz w:val="20"/>
          <w:szCs w:val="20"/>
        </w:rPr>
        <w:t>chefia e assessoramento dos cargos comissionados (artigo 37, II e V da Constituição</w:t>
      </w:r>
      <w:r>
        <w:rPr>
          <w:rFonts w:ascii="Arial" w:hAnsi="Arial" w:cs="Arial"/>
          <w:sz w:val="20"/>
          <w:szCs w:val="20"/>
        </w:rPr>
        <w:t xml:space="preserve"> </w:t>
      </w:r>
      <w:r w:rsidRPr="002C3C21">
        <w:rPr>
          <w:rFonts w:ascii="Arial" w:hAnsi="Arial" w:cs="Arial"/>
          <w:sz w:val="20"/>
          <w:szCs w:val="20"/>
        </w:rPr>
        <w:t>Federal). Desta forma, entendo que não há óbice à concessão do beneficio</w:t>
      </w:r>
      <w:r>
        <w:rPr>
          <w:rFonts w:ascii="Arial" w:hAnsi="Arial" w:cs="Arial"/>
          <w:sz w:val="20"/>
          <w:szCs w:val="20"/>
        </w:rPr>
        <w:t xml:space="preserve"> </w:t>
      </w:r>
      <w:r w:rsidRPr="002C3C21">
        <w:rPr>
          <w:rFonts w:ascii="Arial" w:hAnsi="Arial" w:cs="Arial"/>
          <w:sz w:val="20"/>
          <w:szCs w:val="20"/>
        </w:rPr>
        <w:t>auxílio alimentação aos servidores comissionados, da mesma forma que é</w:t>
      </w:r>
      <w:r>
        <w:rPr>
          <w:rFonts w:ascii="Arial" w:hAnsi="Arial" w:cs="Arial"/>
          <w:sz w:val="20"/>
          <w:szCs w:val="20"/>
        </w:rPr>
        <w:t xml:space="preserve"> </w:t>
      </w:r>
      <w:r w:rsidRPr="002C3C21">
        <w:rPr>
          <w:rFonts w:ascii="Arial" w:hAnsi="Arial" w:cs="Arial"/>
          <w:sz w:val="20"/>
          <w:szCs w:val="20"/>
        </w:rPr>
        <w:t>concedido aos efetivos, desde que haja previsão legal.</w:t>
      </w:r>
    </w:p>
    <w:p w:rsidR="002C3C21" w:rsidRDefault="002C3C21" w:rsidP="002C3C21">
      <w:pPr>
        <w:autoSpaceDE w:val="0"/>
        <w:autoSpaceDN w:val="0"/>
        <w:adjustRightInd w:val="0"/>
        <w:spacing w:after="0"/>
        <w:jc w:val="both"/>
        <w:rPr>
          <w:rFonts w:ascii="Arial" w:hAnsi="Arial" w:cs="Arial"/>
          <w:sz w:val="20"/>
          <w:szCs w:val="20"/>
        </w:rPr>
      </w:pPr>
      <w:r w:rsidRPr="002C3C21">
        <w:rPr>
          <w:rFonts w:ascii="Arial" w:hAnsi="Arial" w:cs="Arial"/>
          <w:sz w:val="20"/>
          <w:szCs w:val="20"/>
        </w:rPr>
        <w:t>E, nesse sentido, como destacado pela unidade técnica, podem ser</w:t>
      </w:r>
      <w:r>
        <w:rPr>
          <w:rFonts w:ascii="Arial" w:hAnsi="Arial" w:cs="Arial"/>
          <w:sz w:val="20"/>
          <w:szCs w:val="20"/>
        </w:rPr>
        <w:t xml:space="preserve"> </w:t>
      </w:r>
      <w:r w:rsidRPr="002C3C21">
        <w:rPr>
          <w:rFonts w:ascii="Arial" w:hAnsi="Arial" w:cs="Arial"/>
          <w:sz w:val="20"/>
          <w:szCs w:val="20"/>
        </w:rPr>
        <w:t>aplicados de forma analógica os Acórdãos nº 3.985/14 e nº 4.897/13, ambos do</w:t>
      </w:r>
      <w:r>
        <w:rPr>
          <w:rFonts w:ascii="Arial" w:hAnsi="Arial" w:cs="Arial"/>
          <w:sz w:val="20"/>
          <w:szCs w:val="20"/>
        </w:rPr>
        <w:t xml:space="preserve"> </w:t>
      </w:r>
      <w:r w:rsidRPr="002C3C21">
        <w:rPr>
          <w:rFonts w:ascii="Arial" w:hAnsi="Arial" w:cs="Arial"/>
          <w:sz w:val="20"/>
          <w:szCs w:val="20"/>
        </w:rPr>
        <w:t>Pleno.</w:t>
      </w:r>
    </w:p>
    <w:p w:rsidR="0002513A" w:rsidRDefault="0002513A" w:rsidP="002C3C21">
      <w:pPr>
        <w:autoSpaceDE w:val="0"/>
        <w:autoSpaceDN w:val="0"/>
        <w:adjustRightInd w:val="0"/>
        <w:spacing w:after="0"/>
        <w:jc w:val="both"/>
        <w:rPr>
          <w:rFonts w:ascii="Arial" w:hAnsi="Arial" w:cs="Arial"/>
          <w:sz w:val="20"/>
          <w:szCs w:val="20"/>
        </w:rPr>
      </w:pPr>
    </w:p>
    <w:p w:rsidR="0002513A" w:rsidRDefault="0002513A" w:rsidP="002C3C21">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959384/15 - </w:t>
      </w:r>
      <w:hyperlink r:id="rId17" w:history="1">
        <w:r w:rsidRPr="00D8517F">
          <w:rPr>
            <w:rStyle w:val="Hyperlink"/>
            <w:rFonts w:ascii="Arial" w:hAnsi="Arial" w:cs="Arial"/>
            <w:sz w:val="20"/>
            <w:szCs w:val="20"/>
          </w:rPr>
          <w:t>Acórdão n° 2415 - Tribunal Pleno</w:t>
        </w:r>
      </w:hyperlink>
      <w:r>
        <w:rPr>
          <w:rFonts w:ascii="Arial" w:hAnsi="Arial" w:cs="Arial"/>
          <w:sz w:val="20"/>
          <w:szCs w:val="20"/>
        </w:rPr>
        <w:t xml:space="preserve"> - Rel. Conselheiro Fabio de Souza Camargo.  </w:t>
      </w:r>
    </w:p>
    <w:p w:rsidR="00A762D6" w:rsidRDefault="00A762D6" w:rsidP="002C3C21">
      <w:pPr>
        <w:autoSpaceDE w:val="0"/>
        <w:autoSpaceDN w:val="0"/>
        <w:adjustRightInd w:val="0"/>
        <w:spacing w:after="0"/>
        <w:jc w:val="both"/>
        <w:rPr>
          <w:rFonts w:ascii="Arial" w:hAnsi="Arial" w:cs="Arial"/>
          <w:sz w:val="20"/>
          <w:szCs w:val="20"/>
        </w:rPr>
      </w:pPr>
    </w:p>
    <w:p w:rsidR="00A762D6" w:rsidRPr="002D254A" w:rsidRDefault="00187BB8" w:rsidP="00A762D6">
      <w:pPr>
        <w:spacing w:before="60" w:after="60"/>
        <w:jc w:val="both"/>
        <w:rPr>
          <w:rStyle w:val="Hyperlink"/>
          <w:rFonts w:ascii="Arial" w:hAnsi="Arial" w:cs="Arial"/>
          <w:b/>
          <w:color w:val="000000" w:themeColor="text1"/>
          <w:sz w:val="20"/>
          <w:szCs w:val="20"/>
          <w:u w:val="none"/>
        </w:rPr>
      </w:pPr>
      <w:r>
        <w:rPr>
          <w:rStyle w:val="Hyperlink"/>
          <w:rFonts w:ascii="Arial" w:hAnsi="Arial" w:cs="Arial"/>
          <w:b/>
          <w:color w:val="000000" w:themeColor="text1"/>
          <w:sz w:val="20"/>
          <w:szCs w:val="20"/>
          <w:u w:val="none"/>
        </w:rPr>
        <w:t xml:space="preserve">11. </w:t>
      </w:r>
      <w:r w:rsidR="00A762D6" w:rsidRPr="002D254A">
        <w:rPr>
          <w:rStyle w:val="Hyperlink"/>
          <w:rFonts w:ascii="Arial" w:hAnsi="Arial" w:cs="Arial"/>
          <w:b/>
          <w:color w:val="000000" w:themeColor="text1"/>
          <w:sz w:val="20"/>
          <w:szCs w:val="20"/>
          <w:u w:val="none"/>
        </w:rPr>
        <w:t xml:space="preserve">Pedido de Rescisão. Pensão por morte. Viúva e filhos menores de Serventuário da Justiça não remunerado pelos cofres públicos. Prejulgado nº 21. Procedência da Rescisão para julgar o ato concessivo do benefício de pensão pela legalidade e registro. </w:t>
      </w:r>
    </w:p>
    <w:p w:rsidR="00A762D6" w:rsidRPr="00B557A1" w:rsidRDefault="00A762D6" w:rsidP="00A762D6">
      <w:pPr>
        <w:spacing w:before="60" w:after="60"/>
        <w:jc w:val="both"/>
        <w:rPr>
          <w:rStyle w:val="Hyperlink"/>
          <w:rFonts w:ascii="Arial" w:hAnsi="Arial" w:cs="Arial"/>
          <w:color w:val="000000" w:themeColor="text1"/>
          <w:sz w:val="20"/>
          <w:szCs w:val="20"/>
          <w:u w:val="none"/>
        </w:rPr>
      </w:pPr>
    </w:p>
    <w:p w:rsidR="00A762D6" w:rsidRDefault="00A762D6" w:rsidP="00A762D6">
      <w:pPr>
        <w:spacing w:before="60" w:after="60"/>
        <w:jc w:val="both"/>
        <w:rPr>
          <w:rStyle w:val="Hyperlink"/>
          <w:rFonts w:ascii="Arial" w:hAnsi="Arial" w:cs="Arial"/>
          <w:color w:val="000000" w:themeColor="text1"/>
          <w:sz w:val="20"/>
          <w:szCs w:val="20"/>
          <w:u w:val="none"/>
        </w:rPr>
      </w:pPr>
      <w:r w:rsidRPr="00B557A1">
        <w:rPr>
          <w:rStyle w:val="Hyperlink"/>
          <w:rFonts w:ascii="Arial" w:hAnsi="Arial" w:cs="Arial"/>
          <w:color w:val="000000" w:themeColor="text1"/>
          <w:sz w:val="20"/>
          <w:szCs w:val="20"/>
          <w:u w:val="none"/>
        </w:rPr>
        <w:t xml:space="preserve">Viúva e filhos </w:t>
      </w:r>
      <w:r>
        <w:rPr>
          <w:rStyle w:val="Hyperlink"/>
          <w:rFonts w:ascii="Arial" w:hAnsi="Arial" w:cs="Arial"/>
          <w:color w:val="000000" w:themeColor="text1"/>
          <w:sz w:val="20"/>
          <w:szCs w:val="20"/>
          <w:u w:val="none"/>
        </w:rPr>
        <w:t xml:space="preserve">menores </w:t>
      </w:r>
      <w:r w:rsidRPr="00B557A1">
        <w:rPr>
          <w:rStyle w:val="Hyperlink"/>
          <w:rFonts w:ascii="Arial" w:hAnsi="Arial" w:cs="Arial"/>
          <w:color w:val="000000" w:themeColor="text1"/>
          <w:sz w:val="20"/>
          <w:szCs w:val="20"/>
          <w:u w:val="none"/>
        </w:rPr>
        <w:t>de serventuário</w:t>
      </w:r>
      <w:r>
        <w:rPr>
          <w:rStyle w:val="Hyperlink"/>
          <w:rFonts w:ascii="Arial" w:hAnsi="Arial" w:cs="Arial"/>
          <w:color w:val="000000" w:themeColor="text1"/>
          <w:sz w:val="20"/>
          <w:szCs w:val="20"/>
          <w:u w:val="none"/>
        </w:rPr>
        <w:t xml:space="preserve"> da justiça</w:t>
      </w:r>
      <w:r w:rsidRPr="00B557A1">
        <w:rPr>
          <w:rStyle w:val="Hyperlink"/>
          <w:rFonts w:ascii="Arial" w:hAnsi="Arial" w:cs="Arial"/>
          <w:color w:val="000000" w:themeColor="text1"/>
          <w:sz w:val="20"/>
          <w:szCs w:val="20"/>
          <w:u w:val="none"/>
        </w:rPr>
        <w:t xml:space="preserve"> falecido, postularam por meio de Pedido de Rescisão, a desconstituição do Acórdão nº 1407/2007-1ª Câmara</w:t>
      </w:r>
      <w:r>
        <w:rPr>
          <w:rStyle w:val="Hyperlink"/>
          <w:rFonts w:ascii="Arial" w:hAnsi="Arial" w:cs="Arial"/>
          <w:color w:val="000000" w:themeColor="text1"/>
          <w:sz w:val="20"/>
          <w:szCs w:val="20"/>
          <w:u w:val="none"/>
        </w:rPr>
        <w:t xml:space="preserve">, que negara registro à pensão por morte lhes concedida. </w:t>
      </w:r>
      <w:r w:rsidRPr="00B557A1">
        <w:rPr>
          <w:rStyle w:val="Hyperlink"/>
          <w:rFonts w:ascii="Arial" w:hAnsi="Arial" w:cs="Arial"/>
          <w:color w:val="000000" w:themeColor="text1"/>
          <w:sz w:val="20"/>
          <w:szCs w:val="20"/>
          <w:u w:val="none"/>
        </w:rPr>
        <w:t xml:space="preserve"> </w:t>
      </w:r>
    </w:p>
    <w:p w:rsidR="00A762D6" w:rsidRDefault="00A762D6" w:rsidP="00A762D6">
      <w:pPr>
        <w:spacing w:before="60" w:after="60"/>
        <w:jc w:val="both"/>
        <w:rPr>
          <w:rStyle w:val="Hyperlink"/>
          <w:rFonts w:ascii="Arial" w:hAnsi="Arial" w:cs="Arial"/>
          <w:color w:val="000000" w:themeColor="text1"/>
          <w:sz w:val="20"/>
          <w:szCs w:val="20"/>
          <w:u w:val="none"/>
        </w:rPr>
      </w:pPr>
    </w:p>
    <w:p w:rsidR="00A762D6" w:rsidRPr="00B557A1" w:rsidRDefault="00A762D6" w:rsidP="00A762D6">
      <w:pPr>
        <w:spacing w:before="60" w:after="6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Ao analisar o feito, a Coordenadoria de Fiscalização de Atos de Pessoal - COFAP, aduziu  que o Tribunal Pleno desta Corte de Contas, por unanimidade, aprovou, por meio do Acórdão nº 3647/16 (Processo nº 474664/09), redação para o Prejulgado: “Os Serventuários da Justiça e os Titulares de Serviços Notariais e Registrais do Paraná, não remunerados pelos cofres públicos, que ingressaram no serviço público anteriormente à publicação da Lei Federal nº 8935/94 e preencheram os requisitos para a concessão dos benefícios previdenciários (idade e tempo de contribuição) após sua entrada em vigor, mas antes da publicação da Emenda Constitucional nº </w:t>
      </w:r>
      <w:r>
        <w:rPr>
          <w:rStyle w:val="Hyperlink"/>
          <w:rFonts w:ascii="Arial" w:hAnsi="Arial" w:cs="Arial"/>
          <w:color w:val="000000" w:themeColor="text1"/>
          <w:sz w:val="20"/>
          <w:szCs w:val="20"/>
          <w:u w:val="none"/>
        </w:rPr>
        <w:lastRenderedPageBreak/>
        <w:t>20/98, desde que tenham mantido contribuições previdenciárias até a data do deferimento do pedido ou de sua concessão, tem direito de se aposentar pelo regime próprio de previdência dos servidores públicos estaduais”.</w:t>
      </w:r>
      <w:r w:rsidR="00BB349D">
        <w:rPr>
          <w:rStyle w:val="Hyperlink"/>
          <w:rFonts w:ascii="Arial" w:hAnsi="Arial" w:cs="Arial"/>
          <w:color w:val="000000" w:themeColor="text1"/>
          <w:sz w:val="20"/>
          <w:szCs w:val="20"/>
          <w:u w:val="none"/>
        </w:rPr>
        <w:t xml:space="preserve"> </w:t>
      </w:r>
      <w:r>
        <w:rPr>
          <w:rStyle w:val="Hyperlink"/>
          <w:rFonts w:ascii="Arial" w:hAnsi="Arial" w:cs="Arial"/>
          <w:color w:val="000000" w:themeColor="text1"/>
          <w:sz w:val="20"/>
          <w:szCs w:val="20"/>
          <w:u w:val="none"/>
        </w:rPr>
        <w:t xml:space="preserve">Comprovado o enquadramento do servidor falecido nas condições do Prejulgado, a presente decisão foi no sentido da procedência da Rescisão, para julgar pela legalidade e registro o Ato de Benefício Previdenciário nº 16694/05. </w:t>
      </w:r>
    </w:p>
    <w:p w:rsidR="00A762D6" w:rsidRPr="00B557A1" w:rsidRDefault="00A762D6" w:rsidP="00A762D6">
      <w:pPr>
        <w:spacing w:before="60" w:after="60"/>
        <w:jc w:val="both"/>
        <w:rPr>
          <w:rStyle w:val="Hyperlink"/>
          <w:rFonts w:ascii="Arial" w:hAnsi="Arial" w:cs="Arial"/>
          <w:b/>
          <w:color w:val="000000" w:themeColor="text1"/>
          <w:sz w:val="20"/>
          <w:szCs w:val="20"/>
          <w:u w:val="none"/>
        </w:rPr>
      </w:pPr>
    </w:p>
    <w:p w:rsidR="00A762D6" w:rsidRPr="00BF7603" w:rsidRDefault="00A762D6" w:rsidP="00A762D6">
      <w:pPr>
        <w:spacing w:before="60" w:after="6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Processo nº 581706/07 - </w:t>
      </w:r>
      <w:hyperlink r:id="rId18" w:history="1">
        <w:r w:rsidRPr="00BF7603">
          <w:rPr>
            <w:rStyle w:val="Hyperlink"/>
            <w:rFonts w:ascii="Arial" w:hAnsi="Arial" w:cs="Arial"/>
            <w:sz w:val="20"/>
            <w:szCs w:val="20"/>
          </w:rPr>
          <w:t>Acórdão nº 2528/17</w:t>
        </w:r>
        <w:r w:rsidR="00BB349D">
          <w:rPr>
            <w:rStyle w:val="Hyperlink"/>
            <w:rFonts w:ascii="Arial" w:hAnsi="Arial" w:cs="Arial"/>
            <w:sz w:val="20"/>
            <w:szCs w:val="20"/>
          </w:rPr>
          <w:t xml:space="preserve"> </w:t>
        </w:r>
        <w:r w:rsidRPr="00BF7603">
          <w:rPr>
            <w:rStyle w:val="Hyperlink"/>
            <w:rFonts w:ascii="Arial" w:hAnsi="Arial" w:cs="Arial"/>
            <w:sz w:val="20"/>
            <w:szCs w:val="20"/>
          </w:rPr>
          <w:t>-</w:t>
        </w:r>
        <w:r w:rsidR="00BB349D">
          <w:rPr>
            <w:rStyle w:val="Hyperlink"/>
            <w:rFonts w:ascii="Arial" w:hAnsi="Arial" w:cs="Arial"/>
            <w:sz w:val="20"/>
            <w:szCs w:val="20"/>
          </w:rPr>
          <w:t xml:space="preserve"> </w:t>
        </w:r>
        <w:r w:rsidRPr="00BF7603">
          <w:rPr>
            <w:rStyle w:val="Hyperlink"/>
            <w:rFonts w:ascii="Arial" w:hAnsi="Arial" w:cs="Arial"/>
            <w:sz w:val="20"/>
            <w:szCs w:val="20"/>
          </w:rPr>
          <w:t>Tribunal Pleno</w:t>
        </w:r>
      </w:hyperlink>
      <w:r>
        <w:rPr>
          <w:rStyle w:val="Hyperlink"/>
          <w:rFonts w:ascii="Arial" w:hAnsi="Arial" w:cs="Arial"/>
          <w:color w:val="000000" w:themeColor="text1"/>
          <w:sz w:val="20"/>
          <w:szCs w:val="20"/>
          <w:u w:val="none"/>
        </w:rPr>
        <w:t xml:space="preserve"> </w:t>
      </w:r>
      <w:r w:rsidR="00BB349D">
        <w:rPr>
          <w:rStyle w:val="Hyperlink"/>
          <w:rFonts w:ascii="Arial" w:hAnsi="Arial" w:cs="Arial"/>
          <w:color w:val="000000" w:themeColor="text1"/>
          <w:sz w:val="20"/>
          <w:szCs w:val="20"/>
          <w:u w:val="none"/>
        </w:rPr>
        <w:t>-</w:t>
      </w:r>
      <w:r>
        <w:rPr>
          <w:rStyle w:val="Hyperlink"/>
          <w:rFonts w:ascii="Arial" w:hAnsi="Arial" w:cs="Arial"/>
          <w:color w:val="000000" w:themeColor="text1"/>
          <w:sz w:val="20"/>
          <w:szCs w:val="20"/>
          <w:u w:val="none"/>
        </w:rPr>
        <w:t xml:space="preserve"> Rel. Conselheiro Nestor Baptista.</w:t>
      </w:r>
    </w:p>
    <w:p w:rsidR="00A762D6" w:rsidRDefault="00A762D6" w:rsidP="00A762D6">
      <w:pPr>
        <w:shd w:val="clear" w:color="auto" w:fill="FFFFFF"/>
        <w:spacing w:after="0"/>
        <w:jc w:val="both"/>
        <w:textAlignment w:val="center"/>
        <w:rPr>
          <w:rFonts w:ascii="Arial" w:eastAsia="Times New Roman" w:hAnsi="Arial" w:cs="Arial"/>
          <w:b/>
          <w:bCs/>
          <w:color w:val="000000"/>
          <w:sz w:val="20"/>
          <w:szCs w:val="20"/>
          <w:lang w:eastAsia="pt-BR"/>
        </w:rPr>
      </w:pPr>
    </w:p>
    <w:p w:rsidR="00A762D6" w:rsidRDefault="00187BB8" w:rsidP="00A762D6">
      <w:pPr>
        <w:shd w:val="clear" w:color="auto" w:fill="FFFFFF"/>
        <w:spacing w:after="0"/>
        <w:jc w:val="both"/>
        <w:textAlignment w:val="center"/>
        <w:rPr>
          <w:rFonts w:ascii="Arial" w:eastAsia="Times New Roman" w:hAnsi="Arial" w:cs="Arial"/>
          <w:b/>
          <w:bCs/>
          <w:color w:val="000000"/>
          <w:sz w:val="20"/>
          <w:szCs w:val="20"/>
          <w:lang w:eastAsia="pt-BR"/>
        </w:rPr>
      </w:pPr>
      <w:r>
        <w:rPr>
          <w:rFonts w:ascii="Arial" w:eastAsia="Times New Roman" w:hAnsi="Arial" w:cs="Arial"/>
          <w:b/>
          <w:bCs/>
          <w:color w:val="000000"/>
          <w:sz w:val="20"/>
          <w:szCs w:val="20"/>
          <w:lang w:eastAsia="pt-BR"/>
        </w:rPr>
        <w:t xml:space="preserve">12. </w:t>
      </w:r>
      <w:r w:rsidR="00A762D6" w:rsidRPr="000327ED">
        <w:rPr>
          <w:rFonts w:ascii="Arial" w:eastAsia="Times New Roman" w:hAnsi="Arial" w:cs="Arial"/>
          <w:b/>
          <w:bCs/>
          <w:color w:val="000000"/>
          <w:sz w:val="20"/>
          <w:szCs w:val="20"/>
          <w:lang w:eastAsia="pt-BR"/>
        </w:rPr>
        <w:t xml:space="preserve">Prejulgado. Instauração visando firmar entendimento quanto à inclusão ou não do décimo terceiro salário no cálculo da média das remunerações. Sustentabilidade da seguridade social que impede criação e majoração de benefícios sem indicação de fonte de financiamento. Regra do Regime Geral que veda a inclusão, extensiva aos Regimes Próprios. Pela impossibilidade com efeitos </w:t>
      </w:r>
      <w:proofErr w:type="spellStart"/>
      <w:r w:rsidR="00A762D6" w:rsidRPr="000327ED">
        <w:rPr>
          <w:rFonts w:ascii="Arial" w:eastAsia="Times New Roman" w:hAnsi="Arial" w:cs="Arial"/>
          <w:b/>
          <w:bCs/>
          <w:i/>
          <w:iCs/>
          <w:color w:val="000000"/>
          <w:sz w:val="20"/>
          <w:szCs w:val="20"/>
          <w:lang w:eastAsia="pt-BR"/>
        </w:rPr>
        <w:t>ex</w:t>
      </w:r>
      <w:proofErr w:type="spellEnd"/>
      <w:r w:rsidR="00A762D6" w:rsidRPr="000327ED">
        <w:rPr>
          <w:rFonts w:ascii="Arial" w:eastAsia="Times New Roman" w:hAnsi="Arial" w:cs="Arial"/>
          <w:b/>
          <w:bCs/>
          <w:i/>
          <w:iCs/>
          <w:color w:val="000000"/>
          <w:sz w:val="20"/>
          <w:szCs w:val="20"/>
          <w:lang w:eastAsia="pt-BR"/>
        </w:rPr>
        <w:t xml:space="preserve"> nunc.</w:t>
      </w:r>
      <w:r w:rsidR="00A762D6" w:rsidRPr="000327ED">
        <w:rPr>
          <w:rFonts w:ascii="Arial" w:eastAsia="Times New Roman" w:hAnsi="Arial" w:cs="Arial"/>
          <w:b/>
          <w:bCs/>
          <w:color w:val="000000"/>
          <w:sz w:val="20"/>
          <w:szCs w:val="20"/>
          <w:lang w:eastAsia="pt-BR"/>
        </w:rPr>
        <w:t xml:space="preserve">  </w:t>
      </w:r>
    </w:p>
    <w:p w:rsidR="00A762D6" w:rsidRPr="000327ED" w:rsidRDefault="00A762D6" w:rsidP="00A762D6">
      <w:pPr>
        <w:shd w:val="clear" w:color="auto" w:fill="FFFFFF"/>
        <w:spacing w:after="0"/>
        <w:jc w:val="both"/>
        <w:textAlignment w:val="center"/>
        <w:rPr>
          <w:rFonts w:ascii="Helvetica" w:eastAsia="Times New Roman" w:hAnsi="Helvetica" w:cs="Helvetica"/>
          <w:color w:val="000000"/>
          <w:sz w:val="20"/>
          <w:szCs w:val="20"/>
          <w:lang w:eastAsia="pt-BR"/>
        </w:rPr>
      </w:pPr>
      <w:r w:rsidRPr="000327ED">
        <w:rPr>
          <w:rFonts w:ascii="Arial" w:eastAsia="Times New Roman" w:hAnsi="Arial" w:cs="Arial"/>
          <w:b/>
          <w:bCs/>
          <w:color w:val="000000"/>
          <w:sz w:val="20"/>
          <w:szCs w:val="20"/>
          <w:lang w:eastAsia="pt-BR"/>
        </w:rPr>
        <w:t>  </w:t>
      </w:r>
    </w:p>
    <w:p w:rsidR="00A762D6" w:rsidRDefault="00A762D6" w:rsidP="00A762D6">
      <w:pPr>
        <w:shd w:val="clear" w:color="auto" w:fill="FFFFFF"/>
        <w:spacing w:after="0"/>
        <w:jc w:val="both"/>
        <w:textAlignment w:val="center"/>
        <w:rPr>
          <w:rFonts w:ascii="Arial" w:eastAsia="Times New Roman" w:hAnsi="Arial" w:cs="Arial"/>
          <w:color w:val="000000"/>
          <w:sz w:val="20"/>
          <w:szCs w:val="20"/>
          <w:lang w:eastAsia="pt-BR"/>
        </w:rPr>
      </w:pPr>
      <w:r w:rsidRPr="000327ED">
        <w:rPr>
          <w:rFonts w:ascii="Arial" w:eastAsia="Times New Roman" w:hAnsi="Arial" w:cs="Arial"/>
          <w:color w:val="000000"/>
          <w:sz w:val="20"/>
          <w:szCs w:val="20"/>
          <w:lang w:eastAsia="pt-BR"/>
        </w:rPr>
        <w:t>A instauração deste Prejulgado foi suscitada em processo de aposentadoria (nº 510693/14), visando firmar o entendimento deste Tribunal, com força normativa, quanto à inclusão ou não do décimo terceiro salário no cálculo da média das remunerações dos titulares de cargo efetivo, para fins de apurar o valor do benefício de aposentadoria nos termos do art. 1º da Lei nº 10.887/2004.</w:t>
      </w:r>
    </w:p>
    <w:p w:rsidR="00A762D6" w:rsidRPr="000327ED" w:rsidRDefault="00A762D6" w:rsidP="00A762D6">
      <w:pPr>
        <w:shd w:val="clear" w:color="auto" w:fill="FFFFFF"/>
        <w:spacing w:after="0"/>
        <w:jc w:val="both"/>
        <w:textAlignment w:val="center"/>
        <w:rPr>
          <w:rFonts w:ascii="Helvetica" w:eastAsia="Times New Roman" w:hAnsi="Helvetica" w:cs="Helvetica"/>
          <w:color w:val="000000"/>
          <w:sz w:val="20"/>
          <w:szCs w:val="20"/>
          <w:lang w:eastAsia="pt-BR"/>
        </w:rPr>
      </w:pPr>
    </w:p>
    <w:p w:rsidR="00A762D6" w:rsidRDefault="00A762D6" w:rsidP="00A762D6">
      <w:pPr>
        <w:shd w:val="clear" w:color="auto" w:fill="FFFFFF"/>
        <w:spacing w:after="0"/>
        <w:jc w:val="both"/>
        <w:textAlignment w:val="center"/>
        <w:rPr>
          <w:rFonts w:ascii="Arial" w:eastAsia="Times New Roman" w:hAnsi="Arial" w:cs="Arial"/>
          <w:color w:val="000000"/>
          <w:sz w:val="20"/>
          <w:szCs w:val="20"/>
          <w:lang w:eastAsia="pt-BR"/>
        </w:rPr>
      </w:pPr>
      <w:r w:rsidRPr="000327ED">
        <w:rPr>
          <w:rFonts w:ascii="Arial" w:eastAsia="Times New Roman" w:hAnsi="Arial" w:cs="Arial"/>
          <w:color w:val="000000"/>
          <w:sz w:val="20"/>
          <w:szCs w:val="20"/>
          <w:lang w:eastAsia="pt-BR"/>
        </w:rPr>
        <w:t xml:space="preserve">A Coordenadoria de Fiscalização de Atos de Pessoal concluiu pela possibilidade de inclusão do décimo terceiro salário no cálculo da média aritmética simples das 80% maiores remunerações do servidor público para o cálculo dos proventos da aposentadoria, desde que computado de forma autônoma da remuneração relativa ao mês em que ele for pago e incluído no divisor do cálculo. O </w:t>
      </w:r>
      <w:r w:rsidRPr="000327ED">
        <w:rPr>
          <w:rFonts w:ascii="Arial" w:eastAsia="Times New Roman" w:hAnsi="Arial" w:cs="Arial"/>
          <w:i/>
          <w:iCs/>
          <w:color w:val="000000"/>
          <w:sz w:val="20"/>
          <w:szCs w:val="20"/>
          <w:lang w:eastAsia="pt-BR"/>
        </w:rPr>
        <w:t xml:space="preserve">parquet </w:t>
      </w:r>
      <w:r w:rsidRPr="000327ED">
        <w:rPr>
          <w:rFonts w:ascii="Arial" w:eastAsia="Times New Roman" w:hAnsi="Arial" w:cs="Arial"/>
          <w:color w:val="000000"/>
          <w:sz w:val="20"/>
          <w:szCs w:val="20"/>
          <w:lang w:eastAsia="pt-BR"/>
        </w:rPr>
        <w:t>conclui, por força do art. 40, § 12 da Constituição Federal, que manda aplicar ao Regime Próprio de Previdência Social os critérios fixados para o Regime Geral de Previdência Social, na ausência de previsão legislativa específica para o primeiro, deve incidir a vedação geral estabelecida pelo Regime Geral quanto à exclusão do décimo terceiro no cálculo da média definida pelo art. 1º da Lei nº 10.87/2004.  Contudo, ressaltou ser possível a inclusão do décimo terceiro no cálculo dos proventos de aposentadoria segundo a regra antes apontada, desde que haja disposição legal autorizativa no âmbito do respectivo ente, computando-se o valor de forma autônoma e majorando-se o divisor do cálculo.   </w:t>
      </w:r>
    </w:p>
    <w:p w:rsidR="00A762D6" w:rsidRPr="000327ED" w:rsidRDefault="00A762D6" w:rsidP="00A762D6">
      <w:pPr>
        <w:shd w:val="clear" w:color="auto" w:fill="FFFFFF"/>
        <w:spacing w:after="0"/>
        <w:jc w:val="both"/>
        <w:textAlignment w:val="center"/>
        <w:rPr>
          <w:rFonts w:ascii="Helvetica" w:eastAsia="Times New Roman" w:hAnsi="Helvetica" w:cs="Helvetica"/>
          <w:color w:val="000000"/>
          <w:sz w:val="20"/>
          <w:szCs w:val="20"/>
          <w:lang w:eastAsia="pt-BR"/>
        </w:rPr>
      </w:pPr>
    </w:p>
    <w:p w:rsidR="00A762D6" w:rsidRDefault="00A762D6" w:rsidP="00A762D6">
      <w:pPr>
        <w:shd w:val="clear" w:color="auto" w:fill="FFFFFF"/>
        <w:spacing w:after="0"/>
        <w:jc w:val="both"/>
        <w:textAlignment w:val="center"/>
        <w:rPr>
          <w:rFonts w:ascii="Arial" w:eastAsia="Times New Roman" w:hAnsi="Arial" w:cs="Arial"/>
          <w:color w:val="000000"/>
          <w:sz w:val="20"/>
          <w:szCs w:val="20"/>
          <w:lang w:eastAsia="pt-BR"/>
        </w:rPr>
      </w:pPr>
      <w:r w:rsidRPr="000327ED">
        <w:rPr>
          <w:rFonts w:ascii="Arial" w:eastAsia="Times New Roman" w:hAnsi="Arial" w:cs="Arial"/>
          <w:color w:val="000000"/>
          <w:sz w:val="20"/>
          <w:szCs w:val="20"/>
          <w:lang w:eastAsia="pt-BR"/>
        </w:rPr>
        <w:t xml:space="preserve">O Relator do processo, Conselheiro Fabio Camargo, analisou a matéria sob três linhas de raciocínio, as quais tiveram como conclusão: i) a expressão remuneração do art. 1º da Lei nº 10.887/2004 não inclui o valor percebido a título de décimo terceiro salário, circunstância que veda sua inclusão no cálculo dos proventos de aposentadoria; </w:t>
      </w:r>
      <w:proofErr w:type="spellStart"/>
      <w:r w:rsidRPr="000327ED">
        <w:rPr>
          <w:rFonts w:ascii="Arial" w:eastAsia="Times New Roman" w:hAnsi="Arial" w:cs="Arial"/>
          <w:color w:val="000000"/>
          <w:sz w:val="20"/>
          <w:szCs w:val="20"/>
          <w:lang w:eastAsia="pt-BR"/>
        </w:rPr>
        <w:t>ii</w:t>
      </w:r>
      <w:proofErr w:type="spellEnd"/>
      <w:r w:rsidRPr="000327ED">
        <w:rPr>
          <w:rFonts w:ascii="Arial" w:eastAsia="Times New Roman" w:hAnsi="Arial" w:cs="Arial"/>
          <w:color w:val="000000"/>
          <w:sz w:val="20"/>
          <w:szCs w:val="20"/>
          <w:lang w:eastAsia="pt-BR"/>
        </w:rPr>
        <w:t xml:space="preserve">) a seguridade social deve ser sustentável e impede, assim, a criação de novos benefícios ou serviços, sem indicação de sua fonte de financiamento; </w:t>
      </w:r>
      <w:proofErr w:type="spellStart"/>
      <w:r w:rsidRPr="000327ED">
        <w:rPr>
          <w:rFonts w:ascii="Arial" w:eastAsia="Times New Roman" w:hAnsi="Arial" w:cs="Arial"/>
          <w:color w:val="000000"/>
          <w:sz w:val="20"/>
          <w:szCs w:val="20"/>
          <w:lang w:eastAsia="pt-BR"/>
        </w:rPr>
        <w:t>iii</w:t>
      </w:r>
      <w:proofErr w:type="spellEnd"/>
      <w:r w:rsidRPr="000327ED">
        <w:rPr>
          <w:rFonts w:ascii="Arial" w:eastAsia="Times New Roman" w:hAnsi="Arial" w:cs="Arial"/>
          <w:color w:val="000000"/>
          <w:sz w:val="20"/>
          <w:szCs w:val="20"/>
          <w:lang w:eastAsia="pt-BR"/>
        </w:rPr>
        <w:t xml:space="preserve">) as leis do Regime Geral vedam  a inclusão do décimo terceiro e portanto, tal regra é extensiva aos Regimes Próprios. </w:t>
      </w:r>
    </w:p>
    <w:p w:rsidR="00A762D6" w:rsidRPr="000327ED" w:rsidRDefault="00A762D6" w:rsidP="00A762D6">
      <w:pPr>
        <w:shd w:val="clear" w:color="auto" w:fill="FFFFFF"/>
        <w:spacing w:after="0"/>
        <w:jc w:val="both"/>
        <w:textAlignment w:val="center"/>
        <w:rPr>
          <w:rFonts w:ascii="Helvetica" w:eastAsia="Times New Roman" w:hAnsi="Helvetica" w:cs="Helvetica"/>
          <w:color w:val="000000"/>
          <w:sz w:val="20"/>
          <w:szCs w:val="20"/>
          <w:lang w:eastAsia="pt-BR"/>
        </w:rPr>
      </w:pPr>
    </w:p>
    <w:p w:rsidR="00A762D6" w:rsidRPr="000327ED" w:rsidRDefault="00A762D6" w:rsidP="00A762D6">
      <w:pPr>
        <w:shd w:val="clear" w:color="auto" w:fill="FFFFFF"/>
        <w:spacing w:after="0"/>
        <w:jc w:val="both"/>
        <w:textAlignment w:val="center"/>
        <w:rPr>
          <w:rFonts w:ascii="Helvetica" w:eastAsia="Times New Roman" w:hAnsi="Helvetica" w:cs="Helvetica"/>
          <w:color w:val="000000"/>
          <w:sz w:val="20"/>
          <w:szCs w:val="20"/>
          <w:lang w:eastAsia="pt-BR"/>
        </w:rPr>
      </w:pPr>
      <w:r w:rsidRPr="000327ED">
        <w:rPr>
          <w:rFonts w:ascii="Arial" w:eastAsia="Times New Roman" w:hAnsi="Arial" w:cs="Arial"/>
          <w:color w:val="000000"/>
          <w:sz w:val="20"/>
          <w:szCs w:val="20"/>
          <w:lang w:eastAsia="pt-BR"/>
        </w:rPr>
        <w:lastRenderedPageBreak/>
        <w:t xml:space="preserve">Unanimemente, o Prejulgado foi aprovado no sentido de que “O décimo terceiro salário não integra a base de cálculo dos proventos de aposentadoria dos servidores titulares de cargo efetivo, sendo inconstitucional interpretação em sentido diverso”, sendo </w:t>
      </w:r>
      <w:proofErr w:type="spellStart"/>
      <w:r w:rsidRPr="000327ED">
        <w:rPr>
          <w:rFonts w:ascii="Arial" w:eastAsia="Times New Roman" w:hAnsi="Arial" w:cs="Arial"/>
          <w:i/>
          <w:iCs/>
          <w:color w:val="000000"/>
          <w:sz w:val="20"/>
          <w:szCs w:val="20"/>
          <w:lang w:eastAsia="pt-BR"/>
        </w:rPr>
        <w:t>ex</w:t>
      </w:r>
      <w:proofErr w:type="spellEnd"/>
      <w:r w:rsidRPr="000327ED">
        <w:rPr>
          <w:rFonts w:ascii="Arial" w:eastAsia="Times New Roman" w:hAnsi="Arial" w:cs="Arial"/>
          <w:i/>
          <w:iCs/>
          <w:color w:val="000000"/>
          <w:sz w:val="20"/>
          <w:szCs w:val="20"/>
          <w:lang w:eastAsia="pt-BR"/>
        </w:rPr>
        <w:t xml:space="preserve"> nunc</w:t>
      </w:r>
      <w:r w:rsidRPr="000327ED">
        <w:rPr>
          <w:rFonts w:ascii="Arial" w:eastAsia="Times New Roman" w:hAnsi="Arial" w:cs="Arial"/>
          <w:color w:val="000000"/>
          <w:sz w:val="20"/>
          <w:szCs w:val="20"/>
          <w:lang w:eastAsia="pt-BR"/>
        </w:rPr>
        <w:t xml:space="preserve"> os seus efeitos. </w:t>
      </w:r>
    </w:p>
    <w:p w:rsidR="00A762D6" w:rsidRPr="000327ED" w:rsidRDefault="00A762D6" w:rsidP="00A762D6">
      <w:pPr>
        <w:shd w:val="clear" w:color="auto" w:fill="FFFFFF"/>
        <w:spacing w:after="0"/>
        <w:jc w:val="both"/>
        <w:textAlignment w:val="center"/>
        <w:rPr>
          <w:rFonts w:ascii="Helvetica" w:eastAsia="Times New Roman" w:hAnsi="Helvetica" w:cs="Helvetica"/>
          <w:color w:val="000000"/>
          <w:sz w:val="20"/>
          <w:szCs w:val="20"/>
          <w:lang w:eastAsia="pt-BR"/>
        </w:rPr>
      </w:pPr>
      <w:r w:rsidRPr="000327ED">
        <w:rPr>
          <w:rFonts w:ascii="Arial" w:eastAsia="Times New Roman" w:hAnsi="Arial" w:cs="Arial"/>
          <w:color w:val="000000"/>
          <w:sz w:val="20"/>
          <w:szCs w:val="20"/>
          <w:lang w:eastAsia="pt-BR"/>
        </w:rPr>
        <w:t> </w:t>
      </w:r>
    </w:p>
    <w:p w:rsidR="00A762D6" w:rsidRDefault="00A762D6" w:rsidP="00A762D6">
      <w:pPr>
        <w:shd w:val="clear" w:color="auto" w:fill="FFFFFF"/>
        <w:spacing w:after="0"/>
        <w:jc w:val="both"/>
        <w:textAlignment w:val="center"/>
        <w:rPr>
          <w:rFonts w:ascii="Arial" w:eastAsia="Times New Roman" w:hAnsi="Arial" w:cs="Arial"/>
          <w:color w:val="000000"/>
          <w:sz w:val="20"/>
          <w:szCs w:val="20"/>
          <w:lang w:eastAsia="pt-BR"/>
        </w:rPr>
      </w:pPr>
      <w:r w:rsidRPr="000327ED">
        <w:rPr>
          <w:rFonts w:ascii="Arial" w:eastAsia="Times New Roman" w:hAnsi="Arial" w:cs="Arial"/>
          <w:color w:val="000000"/>
          <w:sz w:val="20"/>
          <w:szCs w:val="20"/>
          <w:lang w:eastAsia="pt-BR"/>
        </w:rPr>
        <w:t xml:space="preserve">Processo nº 772369/16 </w:t>
      </w:r>
      <w:r>
        <w:rPr>
          <w:rFonts w:ascii="Arial" w:eastAsia="Times New Roman" w:hAnsi="Arial" w:cs="Arial"/>
          <w:color w:val="000000"/>
          <w:sz w:val="20"/>
          <w:szCs w:val="20"/>
          <w:lang w:eastAsia="pt-BR"/>
        </w:rPr>
        <w:t>-</w:t>
      </w:r>
      <w:r w:rsidRPr="000327ED">
        <w:rPr>
          <w:rFonts w:ascii="Arial" w:eastAsia="Times New Roman" w:hAnsi="Arial" w:cs="Arial"/>
          <w:color w:val="000000"/>
          <w:sz w:val="20"/>
          <w:szCs w:val="20"/>
          <w:lang w:eastAsia="pt-BR"/>
        </w:rPr>
        <w:t xml:space="preserve"> </w:t>
      </w:r>
      <w:hyperlink r:id="rId19" w:history="1">
        <w:r w:rsidRPr="00AD4413">
          <w:rPr>
            <w:rStyle w:val="Hyperlink"/>
            <w:rFonts w:ascii="Arial" w:eastAsia="Times New Roman" w:hAnsi="Arial" w:cs="Arial"/>
            <w:sz w:val="20"/>
            <w:szCs w:val="20"/>
            <w:lang w:eastAsia="pt-BR"/>
          </w:rPr>
          <w:t>Acórdão nº 2547/17</w:t>
        </w:r>
        <w:r>
          <w:rPr>
            <w:rStyle w:val="Hyperlink"/>
            <w:rFonts w:ascii="Arial" w:eastAsia="Times New Roman" w:hAnsi="Arial" w:cs="Arial"/>
            <w:sz w:val="20"/>
            <w:szCs w:val="20"/>
            <w:lang w:eastAsia="pt-BR"/>
          </w:rPr>
          <w:t xml:space="preserve"> -</w:t>
        </w:r>
        <w:r w:rsidRPr="00AD4413">
          <w:rPr>
            <w:rStyle w:val="Hyperlink"/>
            <w:rFonts w:ascii="Arial" w:eastAsia="Times New Roman" w:hAnsi="Arial" w:cs="Arial"/>
            <w:sz w:val="20"/>
            <w:szCs w:val="20"/>
            <w:lang w:eastAsia="pt-BR"/>
          </w:rPr>
          <w:t>Tribunal Pleno</w:t>
        </w:r>
      </w:hyperlink>
      <w:r w:rsidRPr="000327ED">
        <w:rPr>
          <w:rFonts w:ascii="Arial" w:eastAsia="Times New Roman" w:hAnsi="Arial" w:cs="Arial"/>
          <w:color w:val="000000"/>
          <w:sz w:val="20"/>
          <w:szCs w:val="20"/>
          <w:lang w:eastAsia="pt-BR"/>
        </w:rPr>
        <w:t xml:space="preserve"> </w:t>
      </w:r>
      <w:r>
        <w:rPr>
          <w:rFonts w:ascii="Arial" w:eastAsia="Times New Roman" w:hAnsi="Arial" w:cs="Arial"/>
          <w:color w:val="000000"/>
          <w:sz w:val="20"/>
          <w:szCs w:val="20"/>
          <w:lang w:eastAsia="pt-BR"/>
        </w:rPr>
        <w:t>-</w:t>
      </w:r>
      <w:r w:rsidRPr="000327ED">
        <w:rPr>
          <w:rFonts w:ascii="Arial" w:eastAsia="Times New Roman" w:hAnsi="Arial" w:cs="Arial"/>
          <w:color w:val="000000"/>
          <w:sz w:val="20"/>
          <w:szCs w:val="20"/>
          <w:lang w:eastAsia="pt-BR"/>
        </w:rPr>
        <w:t xml:space="preserve"> Rel. Conselheiro Fábio de Souza Camargo. </w:t>
      </w:r>
    </w:p>
    <w:p w:rsidR="00EF39C9" w:rsidRPr="000327ED" w:rsidRDefault="00EF39C9" w:rsidP="00A762D6">
      <w:pPr>
        <w:shd w:val="clear" w:color="auto" w:fill="FFFFFF"/>
        <w:spacing w:after="0"/>
        <w:jc w:val="both"/>
        <w:textAlignment w:val="center"/>
        <w:rPr>
          <w:rFonts w:ascii="Helvetica" w:eastAsia="Times New Roman" w:hAnsi="Helvetica" w:cs="Helvetica"/>
          <w:color w:val="000000"/>
          <w:sz w:val="20"/>
          <w:szCs w:val="20"/>
          <w:lang w:eastAsia="pt-BR"/>
        </w:rPr>
      </w:pPr>
    </w:p>
    <w:p w:rsidR="00E8762F" w:rsidRPr="0022060B" w:rsidRDefault="00E8762F"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22060B" w:rsidRDefault="0026477F" w:rsidP="00816942">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601974" w:rsidRPr="0022060B" w:rsidRDefault="00601974" w:rsidP="00816942">
      <w:pPr>
        <w:spacing w:after="0"/>
        <w:rPr>
          <w:rFonts w:ascii="Arial" w:hAnsi="Arial" w:cs="Arial"/>
          <w:b/>
          <w:color w:val="000000"/>
          <w:sz w:val="20"/>
          <w:szCs w:val="20"/>
        </w:rPr>
      </w:pPr>
    </w:p>
    <w:p w:rsidR="005603B3" w:rsidRPr="0022060B" w:rsidRDefault="005603B3" w:rsidP="00816942">
      <w:pPr>
        <w:spacing w:after="0"/>
        <w:jc w:val="both"/>
        <w:rPr>
          <w:rFonts w:ascii="Arial" w:hAnsi="Arial" w:cs="Arial"/>
          <w:b/>
          <w:color w:val="000000"/>
          <w:sz w:val="20"/>
          <w:szCs w:val="20"/>
        </w:rPr>
      </w:pPr>
      <w:r w:rsidRPr="0022060B">
        <w:rPr>
          <w:rFonts w:ascii="Arial" w:hAnsi="Arial" w:cs="Arial"/>
          <w:b/>
          <w:color w:val="000000"/>
          <w:sz w:val="20"/>
          <w:szCs w:val="20"/>
        </w:rPr>
        <w:t>Supremo Tribunal Federal:</w:t>
      </w:r>
    </w:p>
    <w:p w:rsidR="00443CA1" w:rsidRDefault="00443CA1" w:rsidP="00816942">
      <w:pPr>
        <w:spacing w:after="0"/>
        <w:jc w:val="both"/>
        <w:rPr>
          <w:rFonts w:ascii="Arial" w:hAnsi="Arial" w:cs="Arial"/>
          <w:b/>
          <w:color w:val="000000"/>
          <w:sz w:val="20"/>
          <w:szCs w:val="20"/>
        </w:rPr>
      </w:pPr>
    </w:p>
    <w:p w:rsidR="00AD49E7" w:rsidRPr="007E2D5F" w:rsidRDefault="00AD49E7" w:rsidP="00AD49E7">
      <w:pPr>
        <w:shd w:val="clear" w:color="auto" w:fill="FFFFFF"/>
        <w:jc w:val="both"/>
        <w:textAlignment w:val="top"/>
        <w:rPr>
          <w:rFonts w:ascii="Arial" w:hAnsi="Arial" w:cs="Arial"/>
          <w:b/>
          <w:bCs/>
          <w:sz w:val="20"/>
          <w:szCs w:val="20"/>
          <w:shd w:val="clear" w:color="auto" w:fill="FFFFFF"/>
        </w:rPr>
      </w:pPr>
      <w:bookmarkStart w:id="0" w:name="Professor_substituto_e_contratação_tempo"/>
      <w:bookmarkEnd w:id="0"/>
      <w:r w:rsidRPr="00AD49E7">
        <w:rPr>
          <w:rFonts w:ascii="Arial" w:hAnsi="Arial" w:cs="Arial"/>
          <w:b/>
          <w:bCs/>
          <w:sz w:val="20"/>
          <w:szCs w:val="20"/>
        </w:rPr>
        <w:t>Professor substituto e contratação temporária</w:t>
      </w:r>
      <w:r>
        <w:rPr>
          <w:rFonts w:ascii="Arial" w:hAnsi="Arial" w:cs="Arial"/>
          <w:b/>
          <w:bCs/>
          <w:sz w:val="20"/>
          <w:szCs w:val="20"/>
        </w:rPr>
        <w:t xml:space="preserve">: </w:t>
      </w:r>
      <w:hyperlink r:id="rId20" w:history="1">
        <w:r w:rsidRPr="007E2D5F">
          <w:rPr>
            <w:rStyle w:val="Hyperlink"/>
            <w:rFonts w:ascii="Arial" w:hAnsi="Arial" w:cs="Arial"/>
            <w:b/>
            <w:sz w:val="20"/>
            <w:szCs w:val="20"/>
            <w:shd w:val="clear" w:color="auto" w:fill="FFFFFF"/>
          </w:rPr>
          <w:t xml:space="preserve">RE 635648/CE, rel. Min. Edson </w:t>
        </w:r>
        <w:proofErr w:type="spellStart"/>
        <w:r w:rsidRPr="007E2D5F">
          <w:rPr>
            <w:rStyle w:val="Hyperlink"/>
            <w:rFonts w:ascii="Arial" w:hAnsi="Arial" w:cs="Arial"/>
            <w:b/>
            <w:sz w:val="20"/>
            <w:szCs w:val="20"/>
            <w:shd w:val="clear" w:color="auto" w:fill="FFFFFF"/>
          </w:rPr>
          <w:t>Fachin</w:t>
        </w:r>
        <w:proofErr w:type="spellEnd"/>
        <w:r w:rsidRPr="007E2D5F">
          <w:rPr>
            <w:rStyle w:val="Hyperlink"/>
            <w:rFonts w:ascii="Arial" w:hAnsi="Arial" w:cs="Arial"/>
            <w:b/>
            <w:sz w:val="20"/>
            <w:szCs w:val="20"/>
            <w:shd w:val="clear" w:color="auto" w:fill="FFFFFF"/>
          </w:rPr>
          <w:t>, julgamento em 14.6.2017.</w:t>
        </w:r>
      </w:hyperlink>
      <w:r w:rsidRPr="007E2D5F">
        <w:rPr>
          <w:rFonts w:ascii="Arial" w:hAnsi="Arial" w:cs="Arial"/>
          <w:b/>
          <w:bCs/>
          <w:sz w:val="20"/>
          <w:szCs w:val="20"/>
          <w:shd w:val="clear" w:color="auto" w:fill="FFFFFF"/>
        </w:rPr>
        <w:t xml:space="preserve"> </w:t>
      </w:r>
    </w:p>
    <w:p w:rsidR="00000978" w:rsidRDefault="00AD49E7" w:rsidP="00AD49E7">
      <w:pPr>
        <w:shd w:val="clear" w:color="auto" w:fill="FFFFFF"/>
        <w:jc w:val="both"/>
        <w:textAlignment w:val="top"/>
        <w:rPr>
          <w:rFonts w:ascii="Arial" w:hAnsi="Arial" w:cs="Arial"/>
          <w:sz w:val="20"/>
          <w:szCs w:val="20"/>
          <w:shd w:val="clear" w:color="auto" w:fill="FFFFFF"/>
        </w:rPr>
      </w:pPr>
      <w:r w:rsidRPr="00AD49E7">
        <w:rPr>
          <w:rFonts w:ascii="Arial" w:hAnsi="Arial" w:cs="Arial"/>
          <w:sz w:val="20"/>
          <w:szCs w:val="20"/>
          <w:shd w:val="clear" w:color="auto" w:fill="FFFFFF"/>
        </w:rPr>
        <w:t>É compatível com a Constituição Federal a previsão legal que exija o transcurso de 24 (vinte e quatro) meses, contados do término do contrato, antes de nova admissão de professor temporário anteriormente contratado.</w:t>
      </w:r>
    </w:p>
    <w:p w:rsidR="00000978" w:rsidRDefault="00AD49E7" w:rsidP="00AD49E7">
      <w:pPr>
        <w:shd w:val="clear" w:color="auto" w:fill="FFFFFF"/>
        <w:jc w:val="both"/>
        <w:textAlignment w:val="top"/>
        <w:rPr>
          <w:rFonts w:ascii="Arial" w:hAnsi="Arial" w:cs="Arial"/>
          <w:sz w:val="20"/>
          <w:szCs w:val="20"/>
          <w:shd w:val="clear" w:color="auto" w:fill="FFFFFF"/>
        </w:rPr>
      </w:pPr>
      <w:r w:rsidRPr="00AD49E7">
        <w:rPr>
          <w:rFonts w:ascii="Arial" w:hAnsi="Arial" w:cs="Arial"/>
          <w:sz w:val="20"/>
          <w:szCs w:val="20"/>
          <w:shd w:val="clear" w:color="auto" w:fill="FFFFFF"/>
        </w:rPr>
        <w:t>Com base nesse entendimento, o Plenário do Supremo Tribunal Federal, ao apreciar o Tema </w:t>
      </w:r>
      <w:hyperlink r:id="rId21" w:tgtFrame="_blank" w:history="1">
        <w:r w:rsidRPr="00000978">
          <w:rPr>
            <w:rStyle w:val="Hyperlink"/>
            <w:rFonts w:ascii="Arial" w:hAnsi="Arial" w:cs="Arial"/>
            <w:color w:val="auto"/>
            <w:sz w:val="20"/>
            <w:szCs w:val="20"/>
            <w:u w:val="none"/>
            <w:shd w:val="clear" w:color="auto" w:fill="FFFFFF"/>
          </w:rPr>
          <w:t>403</w:t>
        </w:r>
      </w:hyperlink>
      <w:r w:rsidRPr="00AD49E7">
        <w:rPr>
          <w:rFonts w:ascii="Arial" w:hAnsi="Arial" w:cs="Arial"/>
          <w:sz w:val="20"/>
          <w:szCs w:val="20"/>
          <w:shd w:val="clear" w:color="auto" w:fill="FFFFFF"/>
        </w:rPr>
        <w:t> da repercussão geral, por unanimidade, deu provimento a</w:t>
      </w:r>
      <w:r w:rsidR="009205D6">
        <w:rPr>
          <w:rFonts w:ascii="Arial" w:hAnsi="Arial" w:cs="Arial"/>
          <w:sz w:val="20"/>
          <w:szCs w:val="20"/>
          <w:shd w:val="clear" w:color="auto" w:fill="FFFFFF"/>
        </w:rPr>
        <w:t>o</w:t>
      </w:r>
      <w:r w:rsidRPr="00AD49E7">
        <w:rPr>
          <w:rFonts w:ascii="Arial" w:hAnsi="Arial" w:cs="Arial"/>
          <w:sz w:val="20"/>
          <w:szCs w:val="20"/>
          <w:shd w:val="clear" w:color="auto" w:fill="FFFFFF"/>
        </w:rPr>
        <w:t xml:space="preserve"> recurso extraordinário para denegar a ordem de mandado de segurança e declarar a constitucionalidade do art. 9º, III, da Lei 8.745/1993. O dispositivo veda a contratação de professor substituto com contrato ainda vigente ou finalizado há menos de dois anos na mesma modalidade.</w:t>
      </w:r>
    </w:p>
    <w:p w:rsidR="000800D1" w:rsidRPr="0022060B" w:rsidRDefault="000800D1" w:rsidP="00816942">
      <w:pPr>
        <w:spacing w:after="0"/>
        <w:rPr>
          <w:rFonts w:ascii="Arial" w:hAnsi="Arial" w:cs="Arial"/>
          <w:b/>
          <w:color w:val="000000"/>
          <w:sz w:val="20"/>
          <w:szCs w:val="20"/>
        </w:rPr>
      </w:pPr>
      <w:r w:rsidRPr="0022060B">
        <w:rPr>
          <w:rFonts w:ascii="Arial" w:hAnsi="Arial" w:cs="Arial"/>
          <w:b/>
          <w:color w:val="000000"/>
          <w:sz w:val="20"/>
          <w:szCs w:val="20"/>
        </w:rPr>
        <w:t>Tribunal de Contas da União:</w:t>
      </w:r>
    </w:p>
    <w:p w:rsidR="002A2E6C" w:rsidRDefault="002A2E6C" w:rsidP="00ED213D">
      <w:pPr>
        <w:spacing w:after="0"/>
        <w:jc w:val="both"/>
        <w:rPr>
          <w:rFonts w:ascii="Arial" w:hAnsi="Arial" w:cs="Arial"/>
          <w:b/>
          <w:color w:val="000000"/>
          <w:sz w:val="20"/>
          <w:szCs w:val="20"/>
        </w:rPr>
      </w:pPr>
    </w:p>
    <w:p w:rsidR="00ED213D" w:rsidRPr="00013687" w:rsidRDefault="009205D6" w:rsidP="00ED213D">
      <w:pPr>
        <w:widowControl w:val="0"/>
        <w:autoSpaceDE w:val="0"/>
        <w:autoSpaceDN w:val="0"/>
        <w:jc w:val="both"/>
        <w:rPr>
          <w:rFonts w:ascii="Arial" w:hAnsi="Arial" w:cs="Arial"/>
          <w:b/>
          <w:sz w:val="18"/>
          <w:szCs w:val="18"/>
        </w:rPr>
      </w:pPr>
      <w:hyperlink r:id="rId22" w:history="1">
        <w:r w:rsidR="00ED213D" w:rsidRPr="00000978">
          <w:rPr>
            <w:rStyle w:val="Hyperlink"/>
            <w:rFonts w:ascii="Arial" w:hAnsi="Arial"/>
            <w:b/>
            <w:sz w:val="18"/>
            <w:szCs w:val="18"/>
          </w:rPr>
          <w:t>Acórdão 1223/2017</w:t>
        </w:r>
        <w:r w:rsidR="009B5A2F" w:rsidRPr="00000978">
          <w:rPr>
            <w:rStyle w:val="Hyperlink"/>
            <w:rFonts w:ascii="Arial" w:hAnsi="Arial"/>
            <w:b/>
            <w:sz w:val="18"/>
            <w:szCs w:val="18"/>
          </w:rPr>
          <w:t xml:space="preserve"> -</w:t>
        </w:r>
        <w:r w:rsidR="00ED213D" w:rsidRPr="00000978">
          <w:rPr>
            <w:rStyle w:val="Hyperlink"/>
            <w:rFonts w:ascii="Arial" w:hAnsi="Arial"/>
            <w:b/>
            <w:sz w:val="18"/>
            <w:szCs w:val="18"/>
          </w:rPr>
          <w:t xml:space="preserve"> Plenário</w:t>
        </w:r>
      </w:hyperlink>
      <w:r w:rsidR="00ED213D" w:rsidRPr="008B5BD4">
        <w:rPr>
          <w:rFonts w:ascii="Arial" w:hAnsi="Arial"/>
          <w:b/>
          <w:sz w:val="18"/>
          <w:szCs w:val="18"/>
        </w:rPr>
        <w:t xml:space="preserve"> </w:t>
      </w:r>
      <w:r w:rsidR="00ED213D" w:rsidRPr="008B5BD4">
        <w:rPr>
          <w:rFonts w:ascii="Arial" w:hAnsi="Arial"/>
          <w:sz w:val="18"/>
          <w:szCs w:val="18"/>
        </w:rPr>
        <w:t xml:space="preserve">(Representação, Relator Ministro Benjamin </w:t>
      </w:r>
      <w:proofErr w:type="spellStart"/>
      <w:r w:rsidR="00ED213D" w:rsidRPr="008B5BD4">
        <w:rPr>
          <w:rFonts w:ascii="Arial" w:hAnsi="Arial"/>
          <w:sz w:val="18"/>
          <w:szCs w:val="18"/>
        </w:rPr>
        <w:t>Zymler</w:t>
      </w:r>
      <w:proofErr w:type="spellEnd"/>
      <w:r w:rsidR="00ED213D" w:rsidRPr="008B5BD4">
        <w:rPr>
          <w:rFonts w:ascii="Arial" w:hAnsi="Arial"/>
          <w:sz w:val="18"/>
          <w:szCs w:val="18"/>
        </w:rPr>
        <w:t>)</w:t>
      </w:r>
    </w:p>
    <w:p w:rsidR="00ED213D" w:rsidRPr="00C56E9E" w:rsidRDefault="00ED213D" w:rsidP="00ED213D">
      <w:pPr>
        <w:jc w:val="both"/>
        <w:rPr>
          <w:rFonts w:ascii="Arial" w:hAnsi="Arial" w:cs="Arial"/>
          <w:b/>
          <w:sz w:val="18"/>
          <w:szCs w:val="18"/>
        </w:rPr>
      </w:pPr>
      <w:r w:rsidRPr="00C56E9E">
        <w:rPr>
          <w:rFonts w:ascii="Arial" w:hAnsi="Arial"/>
          <w:b/>
          <w:sz w:val="18"/>
          <w:szCs w:val="18"/>
        </w:rPr>
        <w:t>Licitação. Planejamento. Estudo de viabilidade. Serviço de transporte individual privado de passageiros.</w:t>
      </w:r>
    </w:p>
    <w:p w:rsidR="00ED213D" w:rsidRPr="009A26BC" w:rsidRDefault="00ED213D" w:rsidP="00ED213D">
      <w:pPr>
        <w:pStyle w:val="TCU-Epgrafe"/>
        <w:spacing w:after="200" w:line="276" w:lineRule="auto"/>
        <w:ind w:left="0"/>
        <w:rPr>
          <w:sz w:val="22"/>
          <w:szCs w:val="22"/>
        </w:rPr>
      </w:pPr>
      <w:r w:rsidRPr="009A26BC">
        <w:rPr>
          <w:rFonts w:ascii="Arial" w:hAnsi="Arial"/>
          <w:sz w:val="18"/>
          <w:szCs w:val="18"/>
        </w:rPr>
        <w:t xml:space="preserve">A Administração deve fazer constar de seus estudos preliminares que vierem a fundamentar a aquisição de agenciamento de transporte terrestre dos servidores, empregados e colaboradores por demanda, </w:t>
      </w:r>
      <w:r>
        <w:rPr>
          <w:rFonts w:ascii="Arial" w:hAnsi="Arial"/>
          <w:sz w:val="18"/>
          <w:szCs w:val="18"/>
        </w:rPr>
        <w:t xml:space="preserve">os </w:t>
      </w:r>
      <w:r w:rsidRPr="00536CE5">
        <w:rPr>
          <w:rFonts w:ascii="Arial" w:hAnsi="Arial"/>
          <w:sz w:val="18"/>
          <w:szCs w:val="18"/>
        </w:rPr>
        <w:t>serviço</w:t>
      </w:r>
      <w:r>
        <w:rPr>
          <w:rFonts w:ascii="Arial" w:hAnsi="Arial"/>
          <w:sz w:val="18"/>
          <w:szCs w:val="18"/>
        </w:rPr>
        <w:t>s</w:t>
      </w:r>
      <w:r w:rsidRPr="00536CE5">
        <w:rPr>
          <w:rFonts w:ascii="Arial" w:hAnsi="Arial"/>
          <w:sz w:val="18"/>
          <w:szCs w:val="18"/>
        </w:rPr>
        <w:t xml:space="preserve"> de transporte individual privado de passageiros (STIP) </w:t>
      </w:r>
      <w:r>
        <w:rPr>
          <w:rFonts w:ascii="Arial" w:hAnsi="Arial"/>
          <w:sz w:val="18"/>
          <w:szCs w:val="18"/>
        </w:rPr>
        <w:t xml:space="preserve">- </w:t>
      </w:r>
      <w:r w:rsidRPr="00536CE5">
        <w:rPr>
          <w:rFonts w:ascii="Arial" w:hAnsi="Arial"/>
          <w:sz w:val="18"/>
          <w:szCs w:val="18"/>
        </w:rPr>
        <w:t xml:space="preserve">Uber, </w:t>
      </w:r>
      <w:proofErr w:type="spellStart"/>
      <w:r w:rsidRPr="00536CE5">
        <w:rPr>
          <w:rFonts w:ascii="Arial" w:hAnsi="Arial"/>
          <w:sz w:val="18"/>
          <w:szCs w:val="18"/>
        </w:rPr>
        <w:t>Cabify</w:t>
      </w:r>
      <w:proofErr w:type="spellEnd"/>
      <w:r w:rsidRPr="00536CE5">
        <w:rPr>
          <w:rFonts w:ascii="Arial" w:hAnsi="Arial"/>
          <w:sz w:val="18"/>
          <w:szCs w:val="18"/>
        </w:rPr>
        <w:t xml:space="preserve">, etc. </w:t>
      </w:r>
      <w:r>
        <w:rPr>
          <w:rFonts w:ascii="Arial" w:hAnsi="Arial"/>
          <w:sz w:val="18"/>
          <w:szCs w:val="18"/>
        </w:rPr>
        <w:t xml:space="preserve">- </w:t>
      </w:r>
      <w:r w:rsidRPr="009A26BC">
        <w:rPr>
          <w:rFonts w:ascii="Arial" w:hAnsi="Arial"/>
          <w:sz w:val="18"/>
          <w:szCs w:val="18"/>
        </w:rPr>
        <w:t xml:space="preserve">que estiverem em operação, bem como a avaliação dos riscos decorrentes da centralização dos serviços em um único fornecedor e sua sustentabilidade ao longo do tempo, levando em conta, por exemplo, as possíveis vantagens do parcelamento do objeto e a possibilidade de credenciamento de empresas agenciadoras de transporte individual de passageiros. </w:t>
      </w:r>
    </w:p>
    <w:p w:rsidR="00ED213D" w:rsidRPr="00013687" w:rsidRDefault="009205D6" w:rsidP="00106AA9">
      <w:pPr>
        <w:widowControl w:val="0"/>
        <w:autoSpaceDE w:val="0"/>
        <w:autoSpaceDN w:val="0"/>
        <w:jc w:val="both"/>
        <w:rPr>
          <w:rFonts w:ascii="Arial" w:hAnsi="Arial" w:cs="Arial"/>
          <w:b/>
          <w:sz w:val="18"/>
          <w:szCs w:val="18"/>
        </w:rPr>
      </w:pPr>
      <w:hyperlink r:id="rId23" w:history="1">
        <w:r w:rsidR="00ED213D" w:rsidRPr="00000978">
          <w:rPr>
            <w:rStyle w:val="Hyperlink"/>
            <w:rFonts w:ascii="Arial" w:hAnsi="Arial"/>
            <w:b/>
            <w:sz w:val="18"/>
            <w:szCs w:val="18"/>
          </w:rPr>
          <w:t>Acórdão 1223/2017</w:t>
        </w:r>
        <w:r w:rsidR="007F4613" w:rsidRPr="00000978">
          <w:rPr>
            <w:rStyle w:val="Hyperlink"/>
            <w:rFonts w:ascii="Arial" w:hAnsi="Arial"/>
            <w:b/>
            <w:sz w:val="18"/>
            <w:szCs w:val="18"/>
          </w:rPr>
          <w:t xml:space="preserve"> -</w:t>
        </w:r>
        <w:r w:rsidR="00ED213D" w:rsidRPr="00000978">
          <w:rPr>
            <w:rStyle w:val="Hyperlink"/>
            <w:rFonts w:ascii="Arial" w:hAnsi="Arial"/>
            <w:b/>
            <w:sz w:val="18"/>
            <w:szCs w:val="18"/>
          </w:rPr>
          <w:t xml:space="preserve"> Plenário</w:t>
        </w:r>
      </w:hyperlink>
      <w:r w:rsidR="00ED213D" w:rsidRPr="008B5BD4">
        <w:rPr>
          <w:rFonts w:ascii="Arial" w:hAnsi="Arial"/>
          <w:b/>
          <w:sz w:val="18"/>
          <w:szCs w:val="18"/>
        </w:rPr>
        <w:t xml:space="preserve"> </w:t>
      </w:r>
      <w:r w:rsidR="00ED213D" w:rsidRPr="008B5BD4">
        <w:rPr>
          <w:rFonts w:ascii="Arial" w:hAnsi="Arial"/>
          <w:sz w:val="18"/>
          <w:szCs w:val="18"/>
        </w:rPr>
        <w:t xml:space="preserve">(Representação, Relator Ministro Benjamin </w:t>
      </w:r>
      <w:proofErr w:type="spellStart"/>
      <w:r w:rsidR="00ED213D" w:rsidRPr="008B5BD4">
        <w:rPr>
          <w:rFonts w:ascii="Arial" w:hAnsi="Arial"/>
          <w:sz w:val="18"/>
          <w:szCs w:val="18"/>
        </w:rPr>
        <w:t>Zymler</w:t>
      </w:r>
      <w:proofErr w:type="spellEnd"/>
      <w:r w:rsidR="00ED213D" w:rsidRPr="008B5BD4">
        <w:rPr>
          <w:rFonts w:ascii="Arial" w:hAnsi="Arial"/>
          <w:sz w:val="18"/>
          <w:szCs w:val="18"/>
        </w:rPr>
        <w:t>)</w:t>
      </w:r>
    </w:p>
    <w:p w:rsidR="00ED213D" w:rsidRPr="00C56E9E" w:rsidRDefault="00ED213D" w:rsidP="00106AA9">
      <w:pPr>
        <w:jc w:val="both"/>
        <w:rPr>
          <w:rFonts w:ascii="Arial" w:hAnsi="Arial" w:cs="Arial"/>
          <w:b/>
          <w:sz w:val="18"/>
          <w:szCs w:val="18"/>
        </w:rPr>
      </w:pPr>
      <w:r w:rsidRPr="00C56E9E">
        <w:rPr>
          <w:rFonts w:ascii="Arial" w:hAnsi="Arial"/>
          <w:b/>
          <w:sz w:val="18"/>
          <w:szCs w:val="18"/>
        </w:rPr>
        <w:t>Licitação. Serviços contínuos. Serviço de transporte. Serviço de transporte individual privado de passageiros.</w:t>
      </w:r>
    </w:p>
    <w:p w:rsidR="00ED213D" w:rsidRDefault="00ED213D" w:rsidP="00106AA9">
      <w:pPr>
        <w:spacing w:after="0"/>
        <w:jc w:val="both"/>
        <w:rPr>
          <w:rFonts w:ascii="Arial" w:hAnsi="Arial"/>
          <w:sz w:val="18"/>
          <w:szCs w:val="18"/>
        </w:rPr>
      </w:pPr>
      <w:r w:rsidRPr="00536CE5">
        <w:rPr>
          <w:rFonts w:ascii="Arial" w:hAnsi="Arial"/>
          <w:sz w:val="18"/>
          <w:szCs w:val="18"/>
        </w:rPr>
        <w:lastRenderedPageBreak/>
        <w:t xml:space="preserve">A ausência de lei dispondo sobre a prestação do serviço de transporte individual privado de passageiros (STIP) </w:t>
      </w:r>
      <w:r>
        <w:rPr>
          <w:rFonts w:ascii="Arial" w:hAnsi="Arial"/>
          <w:sz w:val="18"/>
          <w:szCs w:val="18"/>
        </w:rPr>
        <w:t xml:space="preserve">- </w:t>
      </w:r>
      <w:r w:rsidRPr="00536CE5">
        <w:rPr>
          <w:rFonts w:ascii="Arial" w:hAnsi="Arial"/>
          <w:sz w:val="18"/>
          <w:szCs w:val="18"/>
        </w:rPr>
        <w:t xml:space="preserve">Uber, </w:t>
      </w:r>
      <w:proofErr w:type="spellStart"/>
      <w:r w:rsidRPr="00536CE5">
        <w:rPr>
          <w:rFonts w:ascii="Arial" w:hAnsi="Arial"/>
          <w:sz w:val="18"/>
          <w:szCs w:val="18"/>
        </w:rPr>
        <w:t>Cabify</w:t>
      </w:r>
      <w:proofErr w:type="spellEnd"/>
      <w:r w:rsidRPr="00536CE5">
        <w:rPr>
          <w:rFonts w:ascii="Arial" w:hAnsi="Arial"/>
          <w:sz w:val="18"/>
          <w:szCs w:val="18"/>
        </w:rPr>
        <w:t xml:space="preserve">, etc. </w:t>
      </w:r>
      <w:r>
        <w:rPr>
          <w:rFonts w:ascii="Arial" w:hAnsi="Arial"/>
          <w:sz w:val="18"/>
          <w:szCs w:val="18"/>
        </w:rPr>
        <w:t>-</w:t>
      </w:r>
      <w:r w:rsidRPr="00536CE5">
        <w:rPr>
          <w:rFonts w:ascii="Arial" w:hAnsi="Arial"/>
          <w:sz w:val="18"/>
          <w:szCs w:val="18"/>
        </w:rPr>
        <w:t>, assim como a inexistência de regulamentação</w:t>
      </w:r>
      <w:r>
        <w:rPr>
          <w:rFonts w:ascii="Arial" w:hAnsi="Arial"/>
          <w:sz w:val="18"/>
          <w:szCs w:val="18"/>
        </w:rPr>
        <w:t xml:space="preserve"> </w:t>
      </w:r>
      <w:r w:rsidRPr="00536CE5">
        <w:rPr>
          <w:rFonts w:ascii="Arial" w:hAnsi="Arial"/>
          <w:sz w:val="18"/>
          <w:szCs w:val="18"/>
        </w:rPr>
        <w:t xml:space="preserve">específica da matéria, não constituem óbice à contratação do </w:t>
      </w:r>
      <w:r>
        <w:rPr>
          <w:rFonts w:ascii="Arial" w:hAnsi="Arial"/>
          <w:sz w:val="18"/>
          <w:szCs w:val="18"/>
        </w:rPr>
        <w:t>referido serviço</w:t>
      </w:r>
      <w:r w:rsidRPr="00536CE5">
        <w:rPr>
          <w:rFonts w:ascii="Arial" w:hAnsi="Arial"/>
          <w:sz w:val="18"/>
          <w:szCs w:val="18"/>
        </w:rPr>
        <w:t xml:space="preserve"> por parte da Administração Pública Federal. </w:t>
      </w:r>
    </w:p>
    <w:p w:rsidR="00F53D53" w:rsidRPr="00000978" w:rsidRDefault="00F53D53" w:rsidP="00816942">
      <w:pPr>
        <w:spacing w:after="0"/>
        <w:rPr>
          <w:rFonts w:ascii="Arial" w:hAnsi="Arial"/>
          <w:b/>
          <w:sz w:val="18"/>
          <w:szCs w:val="18"/>
        </w:rPr>
      </w:pPr>
    </w:p>
    <w:p w:rsidR="00F53D53" w:rsidRPr="00013687" w:rsidRDefault="009205D6" w:rsidP="00F53D53">
      <w:pPr>
        <w:widowControl w:val="0"/>
        <w:autoSpaceDE w:val="0"/>
        <w:autoSpaceDN w:val="0"/>
        <w:jc w:val="both"/>
        <w:rPr>
          <w:rFonts w:ascii="Arial" w:hAnsi="Arial" w:cs="Arial"/>
          <w:b/>
          <w:sz w:val="18"/>
          <w:szCs w:val="18"/>
        </w:rPr>
      </w:pPr>
      <w:hyperlink r:id="rId24" w:history="1">
        <w:r w:rsidR="00F53D53" w:rsidRPr="00000978">
          <w:rPr>
            <w:rStyle w:val="Hyperlink"/>
            <w:rFonts w:ascii="Arial" w:hAnsi="Arial"/>
            <w:b/>
            <w:sz w:val="18"/>
            <w:szCs w:val="18"/>
          </w:rPr>
          <w:t>Acórdão 1229/2017</w:t>
        </w:r>
        <w:r w:rsidR="000613C6" w:rsidRPr="00000978">
          <w:rPr>
            <w:rStyle w:val="Hyperlink"/>
            <w:rFonts w:ascii="Arial" w:hAnsi="Arial"/>
            <w:b/>
            <w:sz w:val="18"/>
            <w:szCs w:val="18"/>
          </w:rPr>
          <w:t xml:space="preserve"> -</w:t>
        </w:r>
        <w:r w:rsidR="00F53D53" w:rsidRPr="00000978">
          <w:rPr>
            <w:rStyle w:val="Hyperlink"/>
            <w:rFonts w:ascii="Arial" w:hAnsi="Arial"/>
            <w:b/>
            <w:sz w:val="18"/>
            <w:szCs w:val="18"/>
          </w:rPr>
          <w:t xml:space="preserve"> Plenário</w:t>
        </w:r>
      </w:hyperlink>
      <w:r w:rsidR="00F53D53" w:rsidRPr="008B5BD4">
        <w:rPr>
          <w:rFonts w:ascii="Arial" w:hAnsi="Arial"/>
          <w:b/>
          <w:sz w:val="18"/>
          <w:szCs w:val="18"/>
        </w:rPr>
        <w:t xml:space="preserve"> </w:t>
      </w:r>
      <w:r w:rsidR="00F53D53" w:rsidRPr="008B5BD4">
        <w:rPr>
          <w:rFonts w:ascii="Arial" w:hAnsi="Arial"/>
          <w:sz w:val="18"/>
          <w:szCs w:val="18"/>
        </w:rPr>
        <w:t xml:space="preserve">(Tomada de Contas Especial, Relator Ministro José </w:t>
      </w:r>
      <w:proofErr w:type="spellStart"/>
      <w:r w:rsidR="00F53D53" w:rsidRPr="008B5BD4">
        <w:rPr>
          <w:rFonts w:ascii="Arial" w:hAnsi="Arial"/>
          <w:sz w:val="18"/>
          <w:szCs w:val="18"/>
        </w:rPr>
        <w:t>Múcio</w:t>
      </w:r>
      <w:proofErr w:type="spellEnd"/>
      <w:r w:rsidR="00F53D53" w:rsidRPr="008B5BD4">
        <w:rPr>
          <w:rFonts w:ascii="Arial" w:hAnsi="Arial"/>
          <w:sz w:val="18"/>
          <w:szCs w:val="18"/>
        </w:rPr>
        <w:t xml:space="preserve"> Monteiro)</w:t>
      </w:r>
    </w:p>
    <w:p w:rsidR="00F53D53" w:rsidRPr="00C56E9E" w:rsidRDefault="00F53D53" w:rsidP="00F53D53">
      <w:pPr>
        <w:jc w:val="both"/>
        <w:rPr>
          <w:rFonts w:ascii="Arial" w:hAnsi="Arial" w:cs="Arial"/>
          <w:b/>
          <w:sz w:val="18"/>
          <w:szCs w:val="18"/>
        </w:rPr>
      </w:pPr>
      <w:r w:rsidRPr="00C56E9E">
        <w:rPr>
          <w:rFonts w:ascii="Arial" w:hAnsi="Arial"/>
          <w:b/>
          <w:sz w:val="18"/>
          <w:szCs w:val="18"/>
        </w:rPr>
        <w:t>Responsabilidade. Licitação. Comissão de licitação. Estudo de impacto ambiental.</w:t>
      </w:r>
    </w:p>
    <w:p w:rsidR="00F53D53" w:rsidRPr="00CC1A5A" w:rsidRDefault="00F53D53" w:rsidP="00F53D53">
      <w:pPr>
        <w:pStyle w:val="TCU-Epgrafe"/>
        <w:spacing w:after="200" w:line="276" w:lineRule="auto"/>
        <w:ind w:left="0"/>
        <w:rPr>
          <w:sz w:val="22"/>
          <w:szCs w:val="22"/>
        </w:rPr>
      </w:pPr>
      <w:r w:rsidRPr="00CC1A5A">
        <w:rPr>
          <w:rFonts w:ascii="Arial" w:hAnsi="Arial"/>
          <w:sz w:val="18"/>
          <w:szCs w:val="18"/>
        </w:rPr>
        <w:t xml:space="preserve">A irregularidade concernente à realização de certame licitatório sem prévio estudo de impacto ambiental não deve ser imputada aos integrantes da comissão de licitação, porquanto suas competências são meramente executórias e consistem, basicamente, na efetivação dos procedimentos necessários à habilitação e à classificação de propostas, conforme se depreende da </w:t>
      </w:r>
      <w:hyperlink r:id="rId25" w:history="1">
        <w:r w:rsidRPr="00B85C43">
          <w:rPr>
            <w:rStyle w:val="Hyperlink"/>
            <w:rFonts w:ascii="Arial" w:hAnsi="Arial"/>
            <w:color w:val="0000FF" w:themeColor="hyperlink"/>
            <w:sz w:val="18"/>
            <w:szCs w:val="18"/>
          </w:rPr>
          <w:t>Lei 8.666/1993</w:t>
        </w:r>
      </w:hyperlink>
      <w:r w:rsidRPr="00CC1A5A">
        <w:rPr>
          <w:rFonts w:ascii="Arial" w:hAnsi="Arial"/>
          <w:sz w:val="18"/>
          <w:szCs w:val="18"/>
        </w:rPr>
        <w:t xml:space="preserve">. </w:t>
      </w:r>
    </w:p>
    <w:p w:rsidR="00F53D53" w:rsidRPr="00013687" w:rsidRDefault="009205D6" w:rsidP="00F53D53">
      <w:pPr>
        <w:widowControl w:val="0"/>
        <w:autoSpaceDE w:val="0"/>
        <w:autoSpaceDN w:val="0"/>
        <w:jc w:val="both"/>
        <w:rPr>
          <w:rFonts w:ascii="Arial" w:hAnsi="Arial" w:cs="Arial"/>
          <w:b/>
          <w:sz w:val="18"/>
          <w:szCs w:val="18"/>
        </w:rPr>
      </w:pPr>
      <w:hyperlink r:id="rId26" w:history="1">
        <w:r w:rsidR="00F53D53" w:rsidRPr="00000978">
          <w:rPr>
            <w:rStyle w:val="Hyperlink"/>
            <w:rFonts w:ascii="Arial" w:hAnsi="Arial"/>
            <w:b/>
            <w:sz w:val="18"/>
            <w:szCs w:val="18"/>
          </w:rPr>
          <w:t>Acórdão 1251/2017</w:t>
        </w:r>
        <w:r w:rsidR="00202BB5" w:rsidRPr="00000978">
          <w:rPr>
            <w:rStyle w:val="Hyperlink"/>
            <w:rFonts w:ascii="Arial" w:hAnsi="Arial"/>
            <w:b/>
            <w:sz w:val="18"/>
            <w:szCs w:val="18"/>
          </w:rPr>
          <w:t xml:space="preserve"> -</w:t>
        </w:r>
        <w:r w:rsidR="00F53D53" w:rsidRPr="00000978">
          <w:rPr>
            <w:rStyle w:val="Hyperlink"/>
            <w:rFonts w:ascii="Arial" w:hAnsi="Arial"/>
            <w:b/>
            <w:sz w:val="18"/>
            <w:szCs w:val="18"/>
          </w:rPr>
          <w:t xml:space="preserve"> Plenário</w:t>
        </w:r>
      </w:hyperlink>
      <w:r w:rsidR="00F53D53" w:rsidRPr="00000978">
        <w:rPr>
          <w:rFonts w:ascii="Arial" w:hAnsi="Arial"/>
          <w:b/>
          <w:sz w:val="18"/>
          <w:szCs w:val="18"/>
        </w:rPr>
        <w:t xml:space="preserve"> </w:t>
      </w:r>
      <w:r w:rsidR="00F53D53" w:rsidRPr="008B5BD4">
        <w:rPr>
          <w:rFonts w:ascii="Arial" w:hAnsi="Arial"/>
          <w:sz w:val="18"/>
          <w:szCs w:val="18"/>
        </w:rPr>
        <w:t>(Representação, Relator Ministro Vital do Rêgo)</w:t>
      </w:r>
    </w:p>
    <w:p w:rsidR="00F53D53" w:rsidRPr="00C56E9E" w:rsidRDefault="00F53D53" w:rsidP="00F53D53">
      <w:pPr>
        <w:jc w:val="both"/>
        <w:rPr>
          <w:rFonts w:ascii="Arial" w:hAnsi="Arial" w:cs="Arial"/>
          <w:b/>
          <w:sz w:val="18"/>
          <w:szCs w:val="18"/>
        </w:rPr>
      </w:pPr>
      <w:r w:rsidRPr="00C56E9E">
        <w:rPr>
          <w:rFonts w:ascii="Arial" w:hAnsi="Arial"/>
          <w:b/>
          <w:sz w:val="18"/>
          <w:szCs w:val="18"/>
        </w:rPr>
        <w:t>Licitação. Direito de preferência. Pequena empresa. Empate. Agência de viagem. Passagens. Intermediação.</w:t>
      </w:r>
    </w:p>
    <w:p w:rsidR="00F53D53" w:rsidRPr="001706BA" w:rsidRDefault="00F53D53" w:rsidP="00F53D53">
      <w:pPr>
        <w:pStyle w:val="TCU-Epgrafe"/>
        <w:spacing w:after="200" w:line="276" w:lineRule="auto"/>
        <w:ind w:left="0"/>
        <w:rPr>
          <w:sz w:val="22"/>
          <w:szCs w:val="22"/>
        </w:rPr>
      </w:pPr>
      <w:r w:rsidRPr="001706BA">
        <w:rPr>
          <w:rFonts w:ascii="Arial" w:hAnsi="Arial"/>
          <w:sz w:val="18"/>
          <w:szCs w:val="18"/>
        </w:rPr>
        <w:t>Nas licitações para a contratação de serviços de agenciamento de viagens para voos regulares internacionais e domésticos</w:t>
      </w:r>
      <w:r>
        <w:rPr>
          <w:rFonts w:ascii="Arial" w:hAnsi="Arial"/>
          <w:sz w:val="18"/>
          <w:szCs w:val="18"/>
        </w:rPr>
        <w:t>,</w:t>
      </w:r>
      <w:r w:rsidRPr="001706BA">
        <w:rPr>
          <w:rFonts w:ascii="Arial" w:hAnsi="Arial"/>
          <w:sz w:val="18"/>
          <w:szCs w:val="18"/>
        </w:rPr>
        <w:t xml:space="preserve"> </w:t>
      </w:r>
      <w:r>
        <w:rPr>
          <w:rFonts w:ascii="Arial" w:hAnsi="Arial"/>
          <w:sz w:val="18"/>
          <w:szCs w:val="18"/>
        </w:rPr>
        <w:t xml:space="preserve">a </w:t>
      </w:r>
      <w:r w:rsidRPr="001706BA">
        <w:rPr>
          <w:rFonts w:ascii="Arial" w:hAnsi="Arial"/>
          <w:sz w:val="18"/>
          <w:szCs w:val="18"/>
        </w:rPr>
        <w:t xml:space="preserve">aferição do </w:t>
      </w:r>
      <w:r>
        <w:rPr>
          <w:rFonts w:ascii="Arial" w:hAnsi="Arial"/>
          <w:sz w:val="18"/>
          <w:szCs w:val="18"/>
        </w:rPr>
        <w:t xml:space="preserve">empate relacionado ao </w:t>
      </w:r>
      <w:r w:rsidRPr="001706BA">
        <w:rPr>
          <w:rFonts w:ascii="Arial" w:hAnsi="Arial"/>
          <w:sz w:val="18"/>
          <w:szCs w:val="18"/>
        </w:rPr>
        <w:t xml:space="preserve">direito de preferência </w:t>
      </w:r>
      <w:r>
        <w:rPr>
          <w:rFonts w:ascii="Arial" w:hAnsi="Arial"/>
          <w:sz w:val="18"/>
          <w:szCs w:val="18"/>
        </w:rPr>
        <w:t xml:space="preserve">para microempresas e empresas de pequeno porte (art. 44 </w:t>
      </w:r>
      <w:r w:rsidRPr="001706BA">
        <w:rPr>
          <w:rFonts w:ascii="Arial" w:hAnsi="Arial"/>
          <w:sz w:val="18"/>
          <w:szCs w:val="18"/>
        </w:rPr>
        <w:t xml:space="preserve">da </w:t>
      </w:r>
      <w:hyperlink r:id="rId27" w:history="1">
        <w:r w:rsidRPr="005C1E47">
          <w:rPr>
            <w:rStyle w:val="Hyperlink"/>
            <w:rFonts w:ascii="Arial" w:hAnsi="Arial"/>
            <w:color w:val="0000FF" w:themeColor="hyperlink"/>
            <w:sz w:val="18"/>
            <w:szCs w:val="18"/>
          </w:rPr>
          <w:t>LC 123/2006</w:t>
        </w:r>
      </w:hyperlink>
      <w:r>
        <w:rPr>
          <w:rFonts w:ascii="Arial" w:hAnsi="Arial"/>
          <w:sz w:val="18"/>
          <w:szCs w:val="18"/>
        </w:rPr>
        <w:t>) deve considerar</w:t>
      </w:r>
      <w:r w:rsidRPr="001706BA">
        <w:rPr>
          <w:rFonts w:ascii="Arial" w:hAnsi="Arial"/>
          <w:sz w:val="18"/>
          <w:szCs w:val="18"/>
        </w:rPr>
        <w:t xml:space="preserve"> </w:t>
      </w:r>
      <w:r>
        <w:rPr>
          <w:rFonts w:ascii="Arial" w:hAnsi="Arial"/>
          <w:sz w:val="18"/>
          <w:szCs w:val="18"/>
        </w:rPr>
        <w:t>somente as comissões e adicionais recebidos pela agência na intermediação dos bilhetes e serviços, e não os valores a serem repassados às companhias aéreas</w:t>
      </w:r>
      <w:r w:rsidRPr="001706BA">
        <w:rPr>
          <w:rFonts w:ascii="Arial" w:hAnsi="Arial"/>
          <w:sz w:val="18"/>
          <w:szCs w:val="18"/>
        </w:rPr>
        <w:t xml:space="preserve">. </w:t>
      </w:r>
    </w:p>
    <w:p w:rsidR="00106AA9" w:rsidRPr="00013687" w:rsidRDefault="009205D6" w:rsidP="00106AA9">
      <w:pPr>
        <w:widowControl w:val="0"/>
        <w:autoSpaceDE w:val="0"/>
        <w:autoSpaceDN w:val="0"/>
        <w:jc w:val="both"/>
        <w:rPr>
          <w:rFonts w:ascii="Arial" w:hAnsi="Arial" w:cs="Arial"/>
          <w:b/>
          <w:sz w:val="18"/>
          <w:szCs w:val="18"/>
        </w:rPr>
      </w:pPr>
      <w:hyperlink r:id="rId28" w:history="1">
        <w:r w:rsidR="00106AA9" w:rsidRPr="00000978">
          <w:rPr>
            <w:rStyle w:val="Hyperlink"/>
            <w:rFonts w:ascii="Arial" w:hAnsi="Arial"/>
            <w:b/>
            <w:sz w:val="18"/>
            <w:szCs w:val="18"/>
          </w:rPr>
          <w:t>Acórdão 5423/2017</w:t>
        </w:r>
        <w:r w:rsidR="000D2F40" w:rsidRPr="00000978">
          <w:rPr>
            <w:rStyle w:val="Hyperlink"/>
            <w:rFonts w:ascii="Arial" w:hAnsi="Arial"/>
            <w:b/>
            <w:sz w:val="18"/>
            <w:szCs w:val="18"/>
          </w:rPr>
          <w:t xml:space="preserve"> -</w:t>
        </w:r>
        <w:r w:rsidR="00106AA9" w:rsidRPr="00000978">
          <w:rPr>
            <w:rStyle w:val="Hyperlink"/>
            <w:rFonts w:ascii="Arial" w:hAnsi="Arial"/>
            <w:b/>
            <w:sz w:val="18"/>
            <w:szCs w:val="18"/>
          </w:rPr>
          <w:t xml:space="preserve"> Segunda Câmara</w:t>
        </w:r>
      </w:hyperlink>
      <w:r w:rsidR="00106AA9" w:rsidRPr="008B5BD4">
        <w:rPr>
          <w:rFonts w:ascii="Arial" w:hAnsi="Arial"/>
          <w:b/>
          <w:sz w:val="18"/>
          <w:szCs w:val="18"/>
        </w:rPr>
        <w:t xml:space="preserve"> </w:t>
      </w:r>
      <w:r w:rsidR="00106AA9" w:rsidRPr="008B5BD4">
        <w:rPr>
          <w:rFonts w:ascii="Arial" w:hAnsi="Arial"/>
          <w:sz w:val="18"/>
          <w:szCs w:val="18"/>
        </w:rPr>
        <w:t>(Recurso de Reconsideração, Relator Ministro Aroldo Cedraz)</w:t>
      </w:r>
    </w:p>
    <w:p w:rsidR="00106AA9" w:rsidRPr="00C56E9E" w:rsidRDefault="00106AA9" w:rsidP="00106AA9">
      <w:pPr>
        <w:jc w:val="both"/>
        <w:rPr>
          <w:rFonts w:ascii="Arial" w:hAnsi="Arial" w:cs="Arial"/>
          <w:b/>
          <w:sz w:val="18"/>
          <w:szCs w:val="18"/>
        </w:rPr>
      </w:pPr>
      <w:r w:rsidRPr="00C56E9E">
        <w:rPr>
          <w:rFonts w:ascii="Arial" w:hAnsi="Arial"/>
          <w:b/>
          <w:sz w:val="18"/>
          <w:szCs w:val="18"/>
        </w:rPr>
        <w:t>Convênio. Execução financeira. Nexo de causalidade. Prova (Direito). Saque em espécie.</w:t>
      </w:r>
    </w:p>
    <w:p w:rsidR="00106AA9" w:rsidRDefault="00106AA9" w:rsidP="00106AA9">
      <w:pPr>
        <w:pStyle w:val="Default"/>
        <w:spacing w:after="200" w:line="276" w:lineRule="auto"/>
        <w:jc w:val="both"/>
        <w:rPr>
          <w:sz w:val="18"/>
          <w:szCs w:val="18"/>
        </w:rPr>
      </w:pPr>
      <w:r w:rsidRPr="00947DD5">
        <w:rPr>
          <w:sz w:val="18"/>
          <w:szCs w:val="18"/>
        </w:rPr>
        <w:t xml:space="preserve">A realização de saques em espécie diretamente da conta bancária específica não constitui óbice intransponível à comprovação do nexo de causalidade entre as receitas e as despesas realizadas no convênio. Contudo, nessa situação, torna-se necessária a apresentação de provas que permitam, ainda que indiretamente, demonstrar que o destino dos recursos foi realmente aquele previsto na norma ou no ajuste firmado. </w:t>
      </w:r>
    </w:p>
    <w:p w:rsidR="00173DE8" w:rsidRPr="00173DE8" w:rsidRDefault="00173DE8" w:rsidP="00106AA9">
      <w:pPr>
        <w:pStyle w:val="Default"/>
        <w:spacing w:after="200" w:line="276" w:lineRule="auto"/>
        <w:jc w:val="both"/>
        <w:rPr>
          <w:b/>
          <w:sz w:val="18"/>
          <w:szCs w:val="18"/>
        </w:rPr>
      </w:pPr>
      <w:r w:rsidRPr="00173DE8">
        <w:rPr>
          <w:b/>
          <w:sz w:val="18"/>
          <w:szCs w:val="18"/>
        </w:rPr>
        <w:t>Acesse</w:t>
      </w:r>
      <w:r>
        <w:rPr>
          <w:b/>
          <w:sz w:val="18"/>
          <w:szCs w:val="18"/>
        </w:rPr>
        <w:t xml:space="preserve"> também</w:t>
      </w:r>
      <w:r w:rsidRPr="00173DE8">
        <w:rPr>
          <w:b/>
          <w:sz w:val="18"/>
          <w:szCs w:val="18"/>
        </w:rPr>
        <w:t xml:space="preserve">: </w:t>
      </w:r>
    </w:p>
    <w:p w:rsidR="00173DE8" w:rsidRPr="00000978" w:rsidRDefault="009205D6" w:rsidP="00173DE8">
      <w:pPr>
        <w:pStyle w:val="Default"/>
        <w:spacing w:after="200" w:line="276" w:lineRule="auto"/>
        <w:jc w:val="center"/>
        <w:rPr>
          <w:b/>
          <w:sz w:val="18"/>
          <w:szCs w:val="18"/>
        </w:rPr>
      </w:pPr>
      <w:hyperlink r:id="rId29" w:anchor="1" w:history="1">
        <w:r w:rsidR="00173DE8" w:rsidRPr="00000978">
          <w:rPr>
            <w:rStyle w:val="Hyperlink"/>
            <w:b/>
            <w:sz w:val="18"/>
            <w:szCs w:val="18"/>
          </w:rPr>
          <w:t>Revista Digital do Tribunal de Contas do Estado do Paraná - Ediçã</w:t>
        </w:r>
        <w:bookmarkStart w:id="1" w:name="_GoBack"/>
        <w:bookmarkEnd w:id="1"/>
        <w:r w:rsidR="00173DE8" w:rsidRPr="00000978">
          <w:rPr>
            <w:rStyle w:val="Hyperlink"/>
            <w:b/>
            <w:sz w:val="18"/>
            <w:szCs w:val="18"/>
          </w:rPr>
          <w:t>o n° 17</w:t>
        </w:r>
      </w:hyperlink>
    </w:p>
    <w:p w:rsidR="002874A2" w:rsidRPr="0022060B" w:rsidRDefault="0060126D" w:rsidP="00816942">
      <w:pPr>
        <w:spacing w:after="0"/>
        <w:jc w:val="center"/>
        <w:rPr>
          <w:rStyle w:val="Hyperlink"/>
          <w:rFonts w:ascii="Arial" w:hAnsi="Arial" w:cs="Arial"/>
          <w:i/>
          <w:color w:val="000000" w:themeColor="text1"/>
          <w:sz w:val="20"/>
          <w:szCs w:val="20"/>
          <w:u w:val="none"/>
        </w:rPr>
      </w:pPr>
      <w:r w:rsidRPr="0022060B">
        <w:rPr>
          <w:rFonts w:ascii="Arial" w:hAnsi="Arial" w:cs="Arial"/>
          <w:noProof/>
          <w:sz w:val="20"/>
          <w:szCs w:val="20"/>
          <w:lang w:eastAsia="pt-BR"/>
        </w:rPr>
        <mc:AlternateContent>
          <mc:Choice Requires="wps">
            <w:drawing>
              <wp:anchor distT="0" distB="0" distL="114300" distR="114300" simplePos="0" relativeHeight="251657728" behindDoc="0" locked="0" layoutInCell="1" allowOverlap="1" wp14:anchorId="32880E73" wp14:editId="289F161D">
                <wp:simplePos x="0" y="0"/>
                <wp:positionH relativeFrom="margin">
                  <wp:posOffset>-6985</wp:posOffset>
                </wp:positionH>
                <wp:positionV relativeFrom="paragraph">
                  <wp:posOffset>97155</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45D0DB0" id="Conector reto 59"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7.65pt" to="433.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zGNMgNsA&#10;AAAIAQAADwAAAGRycy9kb3ducmV2LnhtbEyPwU7DMBBE70j8g7VIXFDrBNQ2hDgVQnBA6oWCOG/j&#10;xY6I11HsNubvMeIAx50Zzb5ptskN4kRT6D0rKJcFCOLO656NgrfXp0UFIkRkjYNnUvBFAbbt+VmD&#10;tfYzv9BpH43IJRxqVGBjHGspQ2fJYVj6kTh7H35yGPM5GaknnHO5G+R1Uaylw57zB4sjPVjqPvdH&#10;p6BLMl3ZR21ms3nWOwzVu1ztlLq8SPd3ICKl+BeGH/yMDm1mOvgj6yAGBYuyzMmsr25AZL9ab25B&#10;HH4F2Tby/4D2GwAA//8DAFBLAQItABQABgAIAAAAIQC2gziS/gAAAOEBAAATAAAAAAAAAAAAAAAA&#10;AAAAAABbQ29udGVudF9UeXBlc10ueG1sUEsBAi0AFAAGAAgAAAAhADj9If/WAAAAlAEAAAsAAAAA&#10;AAAAAAAAAAAALwEAAF9yZWxzLy5yZWxzUEsBAi0AFAAGAAgAAAAhAH70BcN4AgAABwUAAA4AAAAA&#10;AAAAAAAAAAAALgIAAGRycy9lMm9Eb2MueG1sUEsBAi0AFAAGAAgAAAAhAMxjTIDbAAAACAEAAA8A&#10;AAAAAAAAAAAAAAAA0gQAAGRycy9kb3ducmV2LnhtbFBLBQYAAAAABAAEAPMAAADaBQAAAAA=&#10;" strokecolor="black [3200]" strokeweight="2pt">
                <v:shadow on="t" color="black" opacity="24903f" origin=",.5" offset="0,.55556mm"/>
                <w10:wrap anchorx="margin"/>
              </v:line>
            </w:pict>
          </mc:Fallback>
        </mc:AlternateContent>
      </w:r>
    </w:p>
    <w:p w:rsidR="008D7542" w:rsidRPr="0022060B" w:rsidRDefault="00E30DE6" w:rsidP="00816942">
      <w:pPr>
        <w:widowControl w:val="0"/>
        <w:autoSpaceDE w:val="0"/>
        <w:autoSpaceDN w:val="0"/>
        <w:spacing w:after="0"/>
        <w:jc w:val="center"/>
        <w:rPr>
          <w:rFonts w:ascii="Arial" w:hAnsi="Arial" w:cs="Arial"/>
          <w:b/>
          <w:sz w:val="20"/>
          <w:szCs w:val="20"/>
        </w:rPr>
      </w:pPr>
      <w:r w:rsidRPr="0022060B">
        <w:rPr>
          <w:rStyle w:val="Hyperlink"/>
          <w:rFonts w:ascii="Arial" w:hAnsi="Arial" w:cs="Arial"/>
          <w:i/>
          <w:color w:val="000000" w:themeColor="text1"/>
          <w:sz w:val="20"/>
          <w:szCs w:val="20"/>
          <w:u w:val="none"/>
        </w:rPr>
        <w:t xml:space="preserve">Elaboração: Escola de Gestão Pública </w:t>
      </w:r>
      <w:r w:rsidR="001A16DE" w:rsidRPr="0022060B">
        <w:rPr>
          <w:rStyle w:val="Hyperlink"/>
          <w:rFonts w:ascii="Arial" w:hAnsi="Arial" w:cs="Arial"/>
          <w:i/>
          <w:color w:val="000000" w:themeColor="text1"/>
          <w:sz w:val="20"/>
          <w:szCs w:val="20"/>
          <w:u w:val="none"/>
        </w:rPr>
        <w:t>-</w:t>
      </w:r>
      <w:r w:rsidRPr="0022060B">
        <w:rPr>
          <w:rStyle w:val="Hyperlink"/>
          <w:rFonts w:ascii="Arial" w:hAnsi="Arial" w:cs="Arial"/>
          <w:i/>
          <w:color w:val="000000" w:themeColor="text1"/>
          <w:sz w:val="20"/>
          <w:szCs w:val="20"/>
          <w:u w:val="none"/>
        </w:rPr>
        <w:t xml:space="preserve"> Jurisprudência</w:t>
      </w:r>
    </w:p>
    <w:p w:rsidR="00E01524" w:rsidRDefault="00E01524" w:rsidP="00816942">
      <w:pPr>
        <w:widowControl w:val="0"/>
        <w:autoSpaceDE w:val="0"/>
        <w:autoSpaceDN w:val="0"/>
        <w:spacing w:after="0"/>
        <w:jc w:val="both"/>
        <w:rPr>
          <w:rFonts w:ascii="Arial" w:hAnsi="Arial" w:cs="Arial"/>
          <w:b/>
          <w:sz w:val="20"/>
          <w:szCs w:val="20"/>
        </w:rPr>
      </w:pPr>
    </w:p>
    <w:p w:rsidR="00CD68EE" w:rsidRDefault="00CD68EE" w:rsidP="00816942">
      <w:pPr>
        <w:widowControl w:val="0"/>
        <w:autoSpaceDE w:val="0"/>
        <w:autoSpaceDN w:val="0"/>
        <w:spacing w:after="0"/>
        <w:jc w:val="both"/>
        <w:rPr>
          <w:rFonts w:ascii="Arial" w:hAnsi="Arial" w:cs="Arial"/>
          <w:b/>
          <w:sz w:val="20"/>
          <w:szCs w:val="20"/>
        </w:rPr>
      </w:pPr>
    </w:p>
    <w:sectPr w:rsidR="00CD68EE">
      <w:headerReference w:type="default" r:id="rId30"/>
      <w:footerReference w:type="default" r:id="rId3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9205D6">
      <w:rPr>
        <w:noProof/>
        <w:sz w:val="16"/>
        <w:szCs w:val="16"/>
      </w:rPr>
      <w:t>6</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0"/>
  </w:num>
  <w:num w:numId="5">
    <w:abstractNumId w:val="11"/>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191"/>
    <w:rsid w:val="00000978"/>
    <w:rsid w:val="00001F0E"/>
    <w:rsid w:val="00003C03"/>
    <w:rsid w:val="0000505F"/>
    <w:rsid w:val="000078B5"/>
    <w:rsid w:val="00007F7A"/>
    <w:rsid w:val="00007FD0"/>
    <w:rsid w:val="00010B69"/>
    <w:rsid w:val="00010F88"/>
    <w:rsid w:val="0001200F"/>
    <w:rsid w:val="000126A0"/>
    <w:rsid w:val="00012CBB"/>
    <w:rsid w:val="00013840"/>
    <w:rsid w:val="00017EBA"/>
    <w:rsid w:val="00021B0A"/>
    <w:rsid w:val="0002513A"/>
    <w:rsid w:val="000252C8"/>
    <w:rsid w:val="00025971"/>
    <w:rsid w:val="000262AD"/>
    <w:rsid w:val="00027A03"/>
    <w:rsid w:val="00027FAB"/>
    <w:rsid w:val="000300F4"/>
    <w:rsid w:val="00033E69"/>
    <w:rsid w:val="00040EBA"/>
    <w:rsid w:val="00042502"/>
    <w:rsid w:val="00042DF3"/>
    <w:rsid w:val="000433EC"/>
    <w:rsid w:val="000439FD"/>
    <w:rsid w:val="00045700"/>
    <w:rsid w:val="00046191"/>
    <w:rsid w:val="00046E21"/>
    <w:rsid w:val="00047EF1"/>
    <w:rsid w:val="00052862"/>
    <w:rsid w:val="00053B72"/>
    <w:rsid w:val="00056686"/>
    <w:rsid w:val="00056E6F"/>
    <w:rsid w:val="000572CE"/>
    <w:rsid w:val="000613C6"/>
    <w:rsid w:val="000617CF"/>
    <w:rsid w:val="00062737"/>
    <w:rsid w:val="00067E01"/>
    <w:rsid w:val="00070009"/>
    <w:rsid w:val="00070B14"/>
    <w:rsid w:val="000713DD"/>
    <w:rsid w:val="00071DE3"/>
    <w:rsid w:val="0007200C"/>
    <w:rsid w:val="00073F9F"/>
    <w:rsid w:val="00074287"/>
    <w:rsid w:val="000747BF"/>
    <w:rsid w:val="00074FAB"/>
    <w:rsid w:val="000759E5"/>
    <w:rsid w:val="00076184"/>
    <w:rsid w:val="000800D1"/>
    <w:rsid w:val="00084B38"/>
    <w:rsid w:val="0009260D"/>
    <w:rsid w:val="000926D4"/>
    <w:rsid w:val="00092E5D"/>
    <w:rsid w:val="0009482D"/>
    <w:rsid w:val="0009711C"/>
    <w:rsid w:val="0009762F"/>
    <w:rsid w:val="00097B00"/>
    <w:rsid w:val="000A0748"/>
    <w:rsid w:val="000A0E48"/>
    <w:rsid w:val="000A29BE"/>
    <w:rsid w:val="000A3C2D"/>
    <w:rsid w:val="000A47FD"/>
    <w:rsid w:val="000A4EB6"/>
    <w:rsid w:val="000A5F01"/>
    <w:rsid w:val="000A71D1"/>
    <w:rsid w:val="000B11D2"/>
    <w:rsid w:val="000B1E10"/>
    <w:rsid w:val="000B31B6"/>
    <w:rsid w:val="000B47C0"/>
    <w:rsid w:val="000C2948"/>
    <w:rsid w:val="000C3582"/>
    <w:rsid w:val="000C4F73"/>
    <w:rsid w:val="000C5093"/>
    <w:rsid w:val="000C5460"/>
    <w:rsid w:val="000C5EB3"/>
    <w:rsid w:val="000C63BC"/>
    <w:rsid w:val="000C7D67"/>
    <w:rsid w:val="000D2D5B"/>
    <w:rsid w:val="000D2F40"/>
    <w:rsid w:val="000D357D"/>
    <w:rsid w:val="000D4DE6"/>
    <w:rsid w:val="000D6D01"/>
    <w:rsid w:val="000E300B"/>
    <w:rsid w:val="000E3ACE"/>
    <w:rsid w:val="000E3FC6"/>
    <w:rsid w:val="000E464B"/>
    <w:rsid w:val="000E5AC8"/>
    <w:rsid w:val="000F04ED"/>
    <w:rsid w:val="000F18DA"/>
    <w:rsid w:val="000F1FFA"/>
    <w:rsid w:val="000F2C3D"/>
    <w:rsid w:val="000F314C"/>
    <w:rsid w:val="000F639D"/>
    <w:rsid w:val="000F7C1B"/>
    <w:rsid w:val="00100B9C"/>
    <w:rsid w:val="00106AA9"/>
    <w:rsid w:val="00110517"/>
    <w:rsid w:val="00110BD6"/>
    <w:rsid w:val="00111B86"/>
    <w:rsid w:val="00111C26"/>
    <w:rsid w:val="00112B60"/>
    <w:rsid w:val="00113EF1"/>
    <w:rsid w:val="00114B62"/>
    <w:rsid w:val="001159C9"/>
    <w:rsid w:val="00120862"/>
    <w:rsid w:val="0012211A"/>
    <w:rsid w:val="00122E13"/>
    <w:rsid w:val="00123D02"/>
    <w:rsid w:val="00126447"/>
    <w:rsid w:val="00127DF2"/>
    <w:rsid w:val="00130717"/>
    <w:rsid w:val="0013298B"/>
    <w:rsid w:val="001342E3"/>
    <w:rsid w:val="0013514C"/>
    <w:rsid w:val="0013583F"/>
    <w:rsid w:val="00135D5F"/>
    <w:rsid w:val="001411E6"/>
    <w:rsid w:val="001415BA"/>
    <w:rsid w:val="00142D10"/>
    <w:rsid w:val="00144712"/>
    <w:rsid w:val="001472C1"/>
    <w:rsid w:val="00150844"/>
    <w:rsid w:val="001529D8"/>
    <w:rsid w:val="00156185"/>
    <w:rsid w:val="00157806"/>
    <w:rsid w:val="00157D64"/>
    <w:rsid w:val="0016028F"/>
    <w:rsid w:val="00161AA2"/>
    <w:rsid w:val="0016670D"/>
    <w:rsid w:val="00166A96"/>
    <w:rsid w:val="00170F9D"/>
    <w:rsid w:val="00171401"/>
    <w:rsid w:val="001720EB"/>
    <w:rsid w:val="00173DE8"/>
    <w:rsid w:val="0017455D"/>
    <w:rsid w:val="001770AF"/>
    <w:rsid w:val="001800A9"/>
    <w:rsid w:val="001823E7"/>
    <w:rsid w:val="0018272D"/>
    <w:rsid w:val="00187BB8"/>
    <w:rsid w:val="00190B94"/>
    <w:rsid w:val="001930D1"/>
    <w:rsid w:val="001942C5"/>
    <w:rsid w:val="00196437"/>
    <w:rsid w:val="001975AB"/>
    <w:rsid w:val="001A16DE"/>
    <w:rsid w:val="001A5D2D"/>
    <w:rsid w:val="001B096B"/>
    <w:rsid w:val="001B5B65"/>
    <w:rsid w:val="001B5F7A"/>
    <w:rsid w:val="001B6E08"/>
    <w:rsid w:val="001C0F23"/>
    <w:rsid w:val="001C46A8"/>
    <w:rsid w:val="001D0693"/>
    <w:rsid w:val="001D0DD1"/>
    <w:rsid w:val="001D4D9A"/>
    <w:rsid w:val="001D51BD"/>
    <w:rsid w:val="001D6665"/>
    <w:rsid w:val="001D684B"/>
    <w:rsid w:val="001D6ADC"/>
    <w:rsid w:val="001E1817"/>
    <w:rsid w:val="001E2E5A"/>
    <w:rsid w:val="001E5F2E"/>
    <w:rsid w:val="001E6CAA"/>
    <w:rsid w:val="001E73FF"/>
    <w:rsid w:val="001F7A25"/>
    <w:rsid w:val="002013D1"/>
    <w:rsid w:val="0020195B"/>
    <w:rsid w:val="00202BB5"/>
    <w:rsid w:val="00202E6D"/>
    <w:rsid w:val="00202F4B"/>
    <w:rsid w:val="002036C8"/>
    <w:rsid w:val="002100EE"/>
    <w:rsid w:val="00211A49"/>
    <w:rsid w:val="002147AC"/>
    <w:rsid w:val="00215BFE"/>
    <w:rsid w:val="00215EF3"/>
    <w:rsid w:val="0022060B"/>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5BB"/>
    <w:rsid w:val="002478B9"/>
    <w:rsid w:val="00251273"/>
    <w:rsid w:val="00252AA5"/>
    <w:rsid w:val="00253ADA"/>
    <w:rsid w:val="00255360"/>
    <w:rsid w:val="00256A12"/>
    <w:rsid w:val="00256CEA"/>
    <w:rsid w:val="002571B4"/>
    <w:rsid w:val="00260758"/>
    <w:rsid w:val="00260D58"/>
    <w:rsid w:val="0026477F"/>
    <w:rsid w:val="002659BA"/>
    <w:rsid w:val="0026729F"/>
    <w:rsid w:val="00271154"/>
    <w:rsid w:val="00271655"/>
    <w:rsid w:val="002805F1"/>
    <w:rsid w:val="00286EB4"/>
    <w:rsid w:val="002874A2"/>
    <w:rsid w:val="002921E2"/>
    <w:rsid w:val="0029566D"/>
    <w:rsid w:val="00295F4B"/>
    <w:rsid w:val="002A00AC"/>
    <w:rsid w:val="002A0792"/>
    <w:rsid w:val="002A1D5F"/>
    <w:rsid w:val="002A2E6C"/>
    <w:rsid w:val="002B070A"/>
    <w:rsid w:val="002B14B7"/>
    <w:rsid w:val="002B297F"/>
    <w:rsid w:val="002B38A8"/>
    <w:rsid w:val="002B6BA0"/>
    <w:rsid w:val="002C05FF"/>
    <w:rsid w:val="002C19EA"/>
    <w:rsid w:val="002C3C21"/>
    <w:rsid w:val="002C480F"/>
    <w:rsid w:val="002C56C9"/>
    <w:rsid w:val="002C7487"/>
    <w:rsid w:val="002D0F00"/>
    <w:rsid w:val="002D1923"/>
    <w:rsid w:val="002D48D1"/>
    <w:rsid w:val="002D5B56"/>
    <w:rsid w:val="002D6612"/>
    <w:rsid w:val="002D7650"/>
    <w:rsid w:val="002E0A60"/>
    <w:rsid w:val="002E4121"/>
    <w:rsid w:val="002E4277"/>
    <w:rsid w:val="002E5303"/>
    <w:rsid w:val="002E72FA"/>
    <w:rsid w:val="002E7DFF"/>
    <w:rsid w:val="002F0BE9"/>
    <w:rsid w:val="002F13A0"/>
    <w:rsid w:val="002F1634"/>
    <w:rsid w:val="002F1D70"/>
    <w:rsid w:val="002F22FA"/>
    <w:rsid w:val="002F73BA"/>
    <w:rsid w:val="003005B3"/>
    <w:rsid w:val="0030165B"/>
    <w:rsid w:val="00302340"/>
    <w:rsid w:val="00303C9C"/>
    <w:rsid w:val="00305A67"/>
    <w:rsid w:val="00306B80"/>
    <w:rsid w:val="00307038"/>
    <w:rsid w:val="003132BE"/>
    <w:rsid w:val="00320577"/>
    <w:rsid w:val="0032266D"/>
    <w:rsid w:val="00325E2F"/>
    <w:rsid w:val="003269A9"/>
    <w:rsid w:val="00327DF9"/>
    <w:rsid w:val="00330754"/>
    <w:rsid w:val="00331533"/>
    <w:rsid w:val="0033604C"/>
    <w:rsid w:val="003407F0"/>
    <w:rsid w:val="00343C28"/>
    <w:rsid w:val="00344A3D"/>
    <w:rsid w:val="00344A41"/>
    <w:rsid w:val="0034575E"/>
    <w:rsid w:val="00345C65"/>
    <w:rsid w:val="00350CC2"/>
    <w:rsid w:val="00351206"/>
    <w:rsid w:val="0035203F"/>
    <w:rsid w:val="00352A72"/>
    <w:rsid w:val="0035371B"/>
    <w:rsid w:val="00353FEB"/>
    <w:rsid w:val="00356987"/>
    <w:rsid w:val="00356FB0"/>
    <w:rsid w:val="00361DA5"/>
    <w:rsid w:val="00361F1D"/>
    <w:rsid w:val="00364392"/>
    <w:rsid w:val="00365E61"/>
    <w:rsid w:val="00365EFF"/>
    <w:rsid w:val="00365F51"/>
    <w:rsid w:val="00375DB6"/>
    <w:rsid w:val="0038012F"/>
    <w:rsid w:val="00380BAB"/>
    <w:rsid w:val="0038751C"/>
    <w:rsid w:val="0038778B"/>
    <w:rsid w:val="00394451"/>
    <w:rsid w:val="0039584A"/>
    <w:rsid w:val="00396E93"/>
    <w:rsid w:val="003A4828"/>
    <w:rsid w:val="003A6622"/>
    <w:rsid w:val="003A673F"/>
    <w:rsid w:val="003B502C"/>
    <w:rsid w:val="003B7DE7"/>
    <w:rsid w:val="003C6B35"/>
    <w:rsid w:val="003C7C21"/>
    <w:rsid w:val="003D650C"/>
    <w:rsid w:val="003D6E90"/>
    <w:rsid w:val="003D7C37"/>
    <w:rsid w:val="003E110D"/>
    <w:rsid w:val="003E3529"/>
    <w:rsid w:val="003E3D02"/>
    <w:rsid w:val="003E3E6A"/>
    <w:rsid w:val="003E55BC"/>
    <w:rsid w:val="003E6296"/>
    <w:rsid w:val="003E6EAF"/>
    <w:rsid w:val="003F0088"/>
    <w:rsid w:val="003F03C6"/>
    <w:rsid w:val="003F2DDE"/>
    <w:rsid w:val="003F4721"/>
    <w:rsid w:val="003F5060"/>
    <w:rsid w:val="003F5829"/>
    <w:rsid w:val="003F677C"/>
    <w:rsid w:val="003F7090"/>
    <w:rsid w:val="004043AD"/>
    <w:rsid w:val="00405A6A"/>
    <w:rsid w:val="00406D2C"/>
    <w:rsid w:val="0041120A"/>
    <w:rsid w:val="0041337A"/>
    <w:rsid w:val="00416A72"/>
    <w:rsid w:val="00420AE1"/>
    <w:rsid w:val="0042728A"/>
    <w:rsid w:val="004276DC"/>
    <w:rsid w:val="0042779B"/>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F2A"/>
    <w:rsid w:val="00463AC5"/>
    <w:rsid w:val="00463BA8"/>
    <w:rsid w:val="004641AA"/>
    <w:rsid w:val="00464835"/>
    <w:rsid w:val="004654D3"/>
    <w:rsid w:val="00470218"/>
    <w:rsid w:val="00471B9D"/>
    <w:rsid w:val="0047206A"/>
    <w:rsid w:val="0048130C"/>
    <w:rsid w:val="0048246D"/>
    <w:rsid w:val="00482FA5"/>
    <w:rsid w:val="00484E6E"/>
    <w:rsid w:val="00485819"/>
    <w:rsid w:val="00487D31"/>
    <w:rsid w:val="00490000"/>
    <w:rsid w:val="00491F60"/>
    <w:rsid w:val="00492026"/>
    <w:rsid w:val="004920C5"/>
    <w:rsid w:val="004927D6"/>
    <w:rsid w:val="00492E16"/>
    <w:rsid w:val="00494AE3"/>
    <w:rsid w:val="00494C04"/>
    <w:rsid w:val="0049557F"/>
    <w:rsid w:val="004965C3"/>
    <w:rsid w:val="004A0574"/>
    <w:rsid w:val="004A22CF"/>
    <w:rsid w:val="004A5804"/>
    <w:rsid w:val="004A794E"/>
    <w:rsid w:val="004B142E"/>
    <w:rsid w:val="004B3D26"/>
    <w:rsid w:val="004B44C1"/>
    <w:rsid w:val="004B623F"/>
    <w:rsid w:val="004B77C0"/>
    <w:rsid w:val="004C11DE"/>
    <w:rsid w:val="004C13DB"/>
    <w:rsid w:val="004D00EF"/>
    <w:rsid w:val="004D14AD"/>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10B62"/>
    <w:rsid w:val="00511F85"/>
    <w:rsid w:val="00516673"/>
    <w:rsid w:val="00517698"/>
    <w:rsid w:val="00517B69"/>
    <w:rsid w:val="00520368"/>
    <w:rsid w:val="00523227"/>
    <w:rsid w:val="00523246"/>
    <w:rsid w:val="005237FD"/>
    <w:rsid w:val="005246B4"/>
    <w:rsid w:val="00525F8B"/>
    <w:rsid w:val="0052651B"/>
    <w:rsid w:val="00530F1E"/>
    <w:rsid w:val="00532F0D"/>
    <w:rsid w:val="00533C06"/>
    <w:rsid w:val="0053401E"/>
    <w:rsid w:val="00535AAB"/>
    <w:rsid w:val="00540B8E"/>
    <w:rsid w:val="00542636"/>
    <w:rsid w:val="00544AB5"/>
    <w:rsid w:val="00546D89"/>
    <w:rsid w:val="00547AFC"/>
    <w:rsid w:val="0055022A"/>
    <w:rsid w:val="005503E5"/>
    <w:rsid w:val="005513B0"/>
    <w:rsid w:val="00556F73"/>
    <w:rsid w:val="005576BE"/>
    <w:rsid w:val="005603B3"/>
    <w:rsid w:val="00561787"/>
    <w:rsid w:val="0056193C"/>
    <w:rsid w:val="00561EF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207"/>
    <w:rsid w:val="00586D7A"/>
    <w:rsid w:val="00590FA0"/>
    <w:rsid w:val="00593EFC"/>
    <w:rsid w:val="00594F73"/>
    <w:rsid w:val="005957D1"/>
    <w:rsid w:val="00597215"/>
    <w:rsid w:val="005A0A84"/>
    <w:rsid w:val="005A0FD0"/>
    <w:rsid w:val="005A1468"/>
    <w:rsid w:val="005A4536"/>
    <w:rsid w:val="005A5AF2"/>
    <w:rsid w:val="005A742F"/>
    <w:rsid w:val="005A7C78"/>
    <w:rsid w:val="005B4F6C"/>
    <w:rsid w:val="005B7055"/>
    <w:rsid w:val="005C4763"/>
    <w:rsid w:val="005C4DB7"/>
    <w:rsid w:val="005C5DC8"/>
    <w:rsid w:val="005C661E"/>
    <w:rsid w:val="005D1E9E"/>
    <w:rsid w:val="005D48C8"/>
    <w:rsid w:val="005D58CE"/>
    <w:rsid w:val="005D6DB4"/>
    <w:rsid w:val="005E2760"/>
    <w:rsid w:val="005E2D13"/>
    <w:rsid w:val="005E350B"/>
    <w:rsid w:val="005E4648"/>
    <w:rsid w:val="005E64B3"/>
    <w:rsid w:val="005F03A4"/>
    <w:rsid w:val="005F0C51"/>
    <w:rsid w:val="005F16DB"/>
    <w:rsid w:val="005F17B2"/>
    <w:rsid w:val="005F2BB5"/>
    <w:rsid w:val="005F3A96"/>
    <w:rsid w:val="005F4DBF"/>
    <w:rsid w:val="005F58C1"/>
    <w:rsid w:val="005F66CC"/>
    <w:rsid w:val="005F75B0"/>
    <w:rsid w:val="005F7DEC"/>
    <w:rsid w:val="005F7E3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6DD6"/>
    <w:rsid w:val="0062719D"/>
    <w:rsid w:val="006331E3"/>
    <w:rsid w:val="00633776"/>
    <w:rsid w:val="00633C62"/>
    <w:rsid w:val="006361F0"/>
    <w:rsid w:val="006372A4"/>
    <w:rsid w:val="006375ED"/>
    <w:rsid w:val="0064029E"/>
    <w:rsid w:val="00640861"/>
    <w:rsid w:val="00640A36"/>
    <w:rsid w:val="00640BDC"/>
    <w:rsid w:val="00646004"/>
    <w:rsid w:val="00646AD1"/>
    <w:rsid w:val="006473BA"/>
    <w:rsid w:val="00650E4E"/>
    <w:rsid w:val="00654D9D"/>
    <w:rsid w:val="00660C02"/>
    <w:rsid w:val="0066130F"/>
    <w:rsid w:val="006641F4"/>
    <w:rsid w:val="006645D9"/>
    <w:rsid w:val="00665EBC"/>
    <w:rsid w:val="00667637"/>
    <w:rsid w:val="00667BE8"/>
    <w:rsid w:val="0067150D"/>
    <w:rsid w:val="006721CF"/>
    <w:rsid w:val="00673A29"/>
    <w:rsid w:val="00673AD9"/>
    <w:rsid w:val="006766F4"/>
    <w:rsid w:val="00681787"/>
    <w:rsid w:val="0068250F"/>
    <w:rsid w:val="00685FFE"/>
    <w:rsid w:val="00686729"/>
    <w:rsid w:val="00686CAC"/>
    <w:rsid w:val="00686D5A"/>
    <w:rsid w:val="00687871"/>
    <w:rsid w:val="00693247"/>
    <w:rsid w:val="0069336E"/>
    <w:rsid w:val="00693A94"/>
    <w:rsid w:val="00694174"/>
    <w:rsid w:val="006A27BC"/>
    <w:rsid w:val="006A27D6"/>
    <w:rsid w:val="006A3A42"/>
    <w:rsid w:val="006A41B4"/>
    <w:rsid w:val="006A5FD7"/>
    <w:rsid w:val="006B143E"/>
    <w:rsid w:val="006B30E3"/>
    <w:rsid w:val="006B5E72"/>
    <w:rsid w:val="006B6205"/>
    <w:rsid w:val="006C058F"/>
    <w:rsid w:val="006C3252"/>
    <w:rsid w:val="006C7A04"/>
    <w:rsid w:val="006D1B83"/>
    <w:rsid w:val="006D1BE7"/>
    <w:rsid w:val="006D5C98"/>
    <w:rsid w:val="006D6FCC"/>
    <w:rsid w:val="006E05D0"/>
    <w:rsid w:val="006E0A9F"/>
    <w:rsid w:val="006E26E8"/>
    <w:rsid w:val="006E76B0"/>
    <w:rsid w:val="006F08D4"/>
    <w:rsid w:val="006F3318"/>
    <w:rsid w:val="006F39CF"/>
    <w:rsid w:val="006F4894"/>
    <w:rsid w:val="006F58F5"/>
    <w:rsid w:val="006F676D"/>
    <w:rsid w:val="00700672"/>
    <w:rsid w:val="00701319"/>
    <w:rsid w:val="00701A95"/>
    <w:rsid w:val="00702F7C"/>
    <w:rsid w:val="00706127"/>
    <w:rsid w:val="007077CD"/>
    <w:rsid w:val="00712A93"/>
    <w:rsid w:val="00714CF1"/>
    <w:rsid w:val="00715CEB"/>
    <w:rsid w:val="00717A58"/>
    <w:rsid w:val="00722924"/>
    <w:rsid w:val="00723D30"/>
    <w:rsid w:val="00723F1A"/>
    <w:rsid w:val="00724BD9"/>
    <w:rsid w:val="00726974"/>
    <w:rsid w:val="007306BB"/>
    <w:rsid w:val="007319AD"/>
    <w:rsid w:val="00732257"/>
    <w:rsid w:val="00740240"/>
    <w:rsid w:val="00742895"/>
    <w:rsid w:val="00742B72"/>
    <w:rsid w:val="00742BC9"/>
    <w:rsid w:val="00743251"/>
    <w:rsid w:val="007436B5"/>
    <w:rsid w:val="00743D5F"/>
    <w:rsid w:val="00745634"/>
    <w:rsid w:val="007469FC"/>
    <w:rsid w:val="00746A92"/>
    <w:rsid w:val="00747EAE"/>
    <w:rsid w:val="00750DEB"/>
    <w:rsid w:val="007515C1"/>
    <w:rsid w:val="007528B2"/>
    <w:rsid w:val="00754C7E"/>
    <w:rsid w:val="007557BC"/>
    <w:rsid w:val="007608F0"/>
    <w:rsid w:val="00762976"/>
    <w:rsid w:val="00766834"/>
    <w:rsid w:val="00766EC7"/>
    <w:rsid w:val="0077082D"/>
    <w:rsid w:val="0077181C"/>
    <w:rsid w:val="00771AF0"/>
    <w:rsid w:val="0077499E"/>
    <w:rsid w:val="0077508F"/>
    <w:rsid w:val="007752E2"/>
    <w:rsid w:val="00781F5F"/>
    <w:rsid w:val="00783479"/>
    <w:rsid w:val="00783696"/>
    <w:rsid w:val="00783D3E"/>
    <w:rsid w:val="00784B5D"/>
    <w:rsid w:val="00785DB0"/>
    <w:rsid w:val="00791384"/>
    <w:rsid w:val="00791D74"/>
    <w:rsid w:val="00791E5B"/>
    <w:rsid w:val="007931D7"/>
    <w:rsid w:val="007949B4"/>
    <w:rsid w:val="0079708B"/>
    <w:rsid w:val="0079779E"/>
    <w:rsid w:val="007A20BB"/>
    <w:rsid w:val="007A6DC9"/>
    <w:rsid w:val="007A71B5"/>
    <w:rsid w:val="007A797E"/>
    <w:rsid w:val="007B255F"/>
    <w:rsid w:val="007C0E7E"/>
    <w:rsid w:val="007C10CC"/>
    <w:rsid w:val="007C250E"/>
    <w:rsid w:val="007C2CD7"/>
    <w:rsid w:val="007D009C"/>
    <w:rsid w:val="007D2162"/>
    <w:rsid w:val="007D5A53"/>
    <w:rsid w:val="007D62D9"/>
    <w:rsid w:val="007D73C9"/>
    <w:rsid w:val="007E1FB4"/>
    <w:rsid w:val="007E25D5"/>
    <w:rsid w:val="007E28C1"/>
    <w:rsid w:val="007E2D5F"/>
    <w:rsid w:val="007F0840"/>
    <w:rsid w:val="007F2086"/>
    <w:rsid w:val="007F4613"/>
    <w:rsid w:val="007F6BC1"/>
    <w:rsid w:val="00801004"/>
    <w:rsid w:val="0080111C"/>
    <w:rsid w:val="008058BC"/>
    <w:rsid w:val="00806D7C"/>
    <w:rsid w:val="00807854"/>
    <w:rsid w:val="00811012"/>
    <w:rsid w:val="00811A90"/>
    <w:rsid w:val="00813846"/>
    <w:rsid w:val="00815C4F"/>
    <w:rsid w:val="008161C2"/>
    <w:rsid w:val="00816942"/>
    <w:rsid w:val="0081738B"/>
    <w:rsid w:val="0082026A"/>
    <w:rsid w:val="008219BA"/>
    <w:rsid w:val="00824136"/>
    <w:rsid w:val="008241C3"/>
    <w:rsid w:val="00826075"/>
    <w:rsid w:val="008267CA"/>
    <w:rsid w:val="00826A19"/>
    <w:rsid w:val="008317C8"/>
    <w:rsid w:val="00831915"/>
    <w:rsid w:val="0083305B"/>
    <w:rsid w:val="00834578"/>
    <w:rsid w:val="0083648B"/>
    <w:rsid w:val="00836500"/>
    <w:rsid w:val="00841EAB"/>
    <w:rsid w:val="00844977"/>
    <w:rsid w:val="00844B97"/>
    <w:rsid w:val="00845BB4"/>
    <w:rsid w:val="00847BF3"/>
    <w:rsid w:val="00853D0B"/>
    <w:rsid w:val="00854B16"/>
    <w:rsid w:val="00854BCA"/>
    <w:rsid w:val="00855A43"/>
    <w:rsid w:val="008561BF"/>
    <w:rsid w:val="008633B6"/>
    <w:rsid w:val="00866481"/>
    <w:rsid w:val="0087076A"/>
    <w:rsid w:val="00870853"/>
    <w:rsid w:val="008731E4"/>
    <w:rsid w:val="008745D6"/>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373C"/>
    <w:rsid w:val="00894CA0"/>
    <w:rsid w:val="00895461"/>
    <w:rsid w:val="008957B1"/>
    <w:rsid w:val="00896190"/>
    <w:rsid w:val="00897C5E"/>
    <w:rsid w:val="008A1517"/>
    <w:rsid w:val="008A2307"/>
    <w:rsid w:val="008A2B8F"/>
    <w:rsid w:val="008A2BB7"/>
    <w:rsid w:val="008A4A65"/>
    <w:rsid w:val="008A70A5"/>
    <w:rsid w:val="008B201B"/>
    <w:rsid w:val="008B2D64"/>
    <w:rsid w:val="008B33DD"/>
    <w:rsid w:val="008B368E"/>
    <w:rsid w:val="008B38A4"/>
    <w:rsid w:val="008B38EE"/>
    <w:rsid w:val="008B4F2F"/>
    <w:rsid w:val="008B55B4"/>
    <w:rsid w:val="008B6A00"/>
    <w:rsid w:val="008B7CB2"/>
    <w:rsid w:val="008C0269"/>
    <w:rsid w:val="008C257C"/>
    <w:rsid w:val="008D0FDE"/>
    <w:rsid w:val="008D1051"/>
    <w:rsid w:val="008D22BE"/>
    <w:rsid w:val="008D7542"/>
    <w:rsid w:val="008D7F7C"/>
    <w:rsid w:val="008E0835"/>
    <w:rsid w:val="008E16ED"/>
    <w:rsid w:val="008E280E"/>
    <w:rsid w:val="008E2BA7"/>
    <w:rsid w:val="008E38BC"/>
    <w:rsid w:val="008E5642"/>
    <w:rsid w:val="008E5CC2"/>
    <w:rsid w:val="008F2E20"/>
    <w:rsid w:val="008F5E5D"/>
    <w:rsid w:val="00900BC5"/>
    <w:rsid w:val="00901036"/>
    <w:rsid w:val="009035B0"/>
    <w:rsid w:val="00904136"/>
    <w:rsid w:val="00904309"/>
    <w:rsid w:val="0090479F"/>
    <w:rsid w:val="00904BFC"/>
    <w:rsid w:val="00906692"/>
    <w:rsid w:val="00906853"/>
    <w:rsid w:val="00906CF8"/>
    <w:rsid w:val="009073CB"/>
    <w:rsid w:val="0090752A"/>
    <w:rsid w:val="00910805"/>
    <w:rsid w:val="0091082F"/>
    <w:rsid w:val="00911A42"/>
    <w:rsid w:val="00912D60"/>
    <w:rsid w:val="009140A2"/>
    <w:rsid w:val="009141D0"/>
    <w:rsid w:val="00920480"/>
    <w:rsid w:val="009205D6"/>
    <w:rsid w:val="00923B20"/>
    <w:rsid w:val="009263DF"/>
    <w:rsid w:val="00927338"/>
    <w:rsid w:val="0093018E"/>
    <w:rsid w:val="0093167C"/>
    <w:rsid w:val="00932A3A"/>
    <w:rsid w:val="00934143"/>
    <w:rsid w:val="00935444"/>
    <w:rsid w:val="009378F0"/>
    <w:rsid w:val="00942696"/>
    <w:rsid w:val="00942EB6"/>
    <w:rsid w:val="0094307C"/>
    <w:rsid w:val="00944802"/>
    <w:rsid w:val="00946CBB"/>
    <w:rsid w:val="009470DD"/>
    <w:rsid w:val="009518D9"/>
    <w:rsid w:val="0095236F"/>
    <w:rsid w:val="00952404"/>
    <w:rsid w:val="00953350"/>
    <w:rsid w:val="0095506E"/>
    <w:rsid w:val="00965F52"/>
    <w:rsid w:val="0096737A"/>
    <w:rsid w:val="0097392A"/>
    <w:rsid w:val="009749C0"/>
    <w:rsid w:val="00976BDC"/>
    <w:rsid w:val="00977C0A"/>
    <w:rsid w:val="00980CA3"/>
    <w:rsid w:val="00982FF8"/>
    <w:rsid w:val="0098512F"/>
    <w:rsid w:val="0098550A"/>
    <w:rsid w:val="00985728"/>
    <w:rsid w:val="009857DD"/>
    <w:rsid w:val="009859AB"/>
    <w:rsid w:val="00987A4E"/>
    <w:rsid w:val="009907A9"/>
    <w:rsid w:val="00993DE4"/>
    <w:rsid w:val="00993F38"/>
    <w:rsid w:val="00994A4B"/>
    <w:rsid w:val="009A043C"/>
    <w:rsid w:val="009A12ED"/>
    <w:rsid w:val="009A201F"/>
    <w:rsid w:val="009A3B28"/>
    <w:rsid w:val="009A4DA1"/>
    <w:rsid w:val="009A62FC"/>
    <w:rsid w:val="009A6989"/>
    <w:rsid w:val="009A72EB"/>
    <w:rsid w:val="009B105E"/>
    <w:rsid w:val="009B2B4E"/>
    <w:rsid w:val="009B396E"/>
    <w:rsid w:val="009B39A2"/>
    <w:rsid w:val="009B3B97"/>
    <w:rsid w:val="009B49F3"/>
    <w:rsid w:val="009B4E5D"/>
    <w:rsid w:val="009B567A"/>
    <w:rsid w:val="009B5A2F"/>
    <w:rsid w:val="009C5C75"/>
    <w:rsid w:val="009D2A29"/>
    <w:rsid w:val="009D59DE"/>
    <w:rsid w:val="009E1362"/>
    <w:rsid w:val="009E1BC1"/>
    <w:rsid w:val="009E1F6B"/>
    <w:rsid w:val="009E3E77"/>
    <w:rsid w:val="009E4DF2"/>
    <w:rsid w:val="009E6D60"/>
    <w:rsid w:val="009F3962"/>
    <w:rsid w:val="009F6ED7"/>
    <w:rsid w:val="009F7401"/>
    <w:rsid w:val="009F78F2"/>
    <w:rsid w:val="00A01C9B"/>
    <w:rsid w:val="00A065F5"/>
    <w:rsid w:val="00A10857"/>
    <w:rsid w:val="00A1221A"/>
    <w:rsid w:val="00A1269B"/>
    <w:rsid w:val="00A130F9"/>
    <w:rsid w:val="00A1585F"/>
    <w:rsid w:val="00A16000"/>
    <w:rsid w:val="00A16398"/>
    <w:rsid w:val="00A20EBA"/>
    <w:rsid w:val="00A211A3"/>
    <w:rsid w:val="00A2357E"/>
    <w:rsid w:val="00A24629"/>
    <w:rsid w:val="00A25A27"/>
    <w:rsid w:val="00A27485"/>
    <w:rsid w:val="00A30038"/>
    <w:rsid w:val="00A309E8"/>
    <w:rsid w:val="00A3514D"/>
    <w:rsid w:val="00A40F98"/>
    <w:rsid w:val="00A41EF2"/>
    <w:rsid w:val="00A42619"/>
    <w:rsid w:val="00A4267D"/>
    <w:rsid w:val="00A427B2"/>
    <w:rsid w:val="00A47D62"/>
    <w:rsid w:val="00A53CDD"/>
    <w:rsid w:val="00A53EE6"/>
    <w:rsid w:val="00A5538A"/>
    <w:rsid w:val="00A55774"/>
    <w:rsid w:val="00A564AE"/>
    <w:rsid w:val="00A56E42"/>
    <w:rsid w:val="00A57A4A"/>
    <w:rsid w:val="00A57C0E"/>
    <w:rsid w:val="00A614EB"/>
    <w:rsid w:val="00A62886"/>
    <w:rsid w:val="00A63E79"/>
    <w:rsid w:val="00A6719E"/>
    <w:rsid w:val="00A672B2"/>
    <w:rsid w:val="00A7413C"/>
    <w:rsid w:val="00A74C51"/>
    <w:rsid w:val="00A762D6"/>
    <w:rsid w:val="00A77682"/>
    <w:rsid w:val="00A80C19"/>
    <w:rsid w:val="00A83279"/>
    <w:rsid w:val="00A83750"/>
    <w:rsid w:val="00A84631"/>
    <w:rsid w:val="00A86498"/>
    <w:rsid w:val="00A86A0A"/>
    <w:rsid w:val="00A9067C"/>
    <w:rsid w:val="00A90A24"/>
    <w:rsid w:val="00A90BD3"/>
    <w:rsid w:val="00A91402"/>
    <w:rsid w:val="00A92FBB"/>
    <w:rsid w:val="00A93C1C"/>
    <w:rsid w:val="00A96790"/>
    <w:rsid w:val="00A97543"/>
    <w:rsid w:val="00AA0DFE"/>
    <w:rsid w:val="00AA2502"/>
    <w:rsid w:val="00AA262E"/>
    <w:rsid w:val="00AA3174"/>
    <w:rsid w:val="00AA3A41"/>
    <w:rsid w:val="00AA6D45"/>
    <w:rsid w:val="00AA7585"/>
    <w:rsid w:val="00AA7DED"/>
    <w:rsid w:val="00AB031D"/>
    <w:rsid w:val="00AB08A6"/>
    <w:rsid w:val="00AB18B3"/>
    <w:rsid w:val="00AB1A1E"/>
    <w:rsid w:val="00AB1FDF"/>
    <w:rsid w:val="00AB236C"/>
    <w:rsid w:val="00AC06B6"/>
    <w:rsid w:val="00AD1557"/>
    <w:rsid w:val="00AD35F3"/>
    <w:rsid w:val="00AD49E7"/>
    <w:rsid w:val="00AD4CAC"/>
    <w:rsid w:val="00AD528F"/>
    <w:rsid w:val="00AD6760"/>
    <w:rsid w:val="00AD6EB3"/>
    <w:rsid w:val="00AD70E8"/>
    <w:rsid w:val="00AD741D"/>
    <w:rsid w:val="00AD751D"/>
    <w:rsid w:val="00AD791C"/>
    <w:rsid w:val="00AE1C60"/>
    <w:rsid w:val="00AE271C"/>
    <w:rsid w:val="00AE4F42"/>
    <w:rsid w:val="00AE728D"/>
    <w:rsid w:val="00AE7589"/>
    <w:rsid w:val="00AF2833"/>
    <w:rsid w:val="00AF3716"/>
    <w:rsid w:val="00AF3C46"/>
    <w:rsid w:val="00AF43E1"/>
    <w:rsid w:val="00AF4D71"/>
    <w:rsid w:val="00AF5921"/>
    <w:rsid w:val="00B0092E"/>
    <w:rsid w:val="00B018B2"/>
    <w:rsid w:val="00B018E8"/>
    <w:rsid w:val="00B03BF6"/>
    <w:rsid w:val="00B040B7"/>
    <w:rsid w:val="00B04A55"/>
    <w:rsid w:val="00B04D46"/>
    <w:rsid w:val="00B104C5"/>
    <w:rsid w:val="00B10F47"/>
    <w:rsid w:val="00B1385B"/>
    <w:rsid w:val="00B15DBF"/>
    <w:rsid w:val="00B17D70"/>
    <w:rsid w:val="00B22AD7"/>
    <w:rsid w:val="00B22D31"/>
    <w:rsid w:val="00B22E46"/>
    <w:rsid w:val="00B27853"/>
    <w:rsid w:val="00B306F7"/>
    <w:rsid w:val="00B30BB8"/>
    <w:rsid w:val="00B30FE2"/>
    <w:rsid w:val="00B3272E"/>
    <w:rsid w:val="00B32C71"/>
    <w:rsid w:val="00B330C4"/>
    <w:rsid w:val="00B37580"/>
    <w:rsid w:val="00B4137A"/>
    <w:rsid w:val="00B4544B"/>
    <w:rsid w:val="00B50B77"/>
    <w:rsid w:val="00B51290"/>
    <w:rsid w:val="00B52215"/>
    <w:rsid w:val="00B530CA"/>
    <w:rsid w:val="00B53AC4"/>
    <w:rsid w:val="00B54527"/>
    <w:rsid w:val="00B54B01"/>
    <w:rsid w:val="00B57ADA"/>
    <w:rsid w:val="00B61EE9"/>
    <w:rsid w:val="00B6496C"/>
    <w:rsid w:val="00B65962"/>
    <w:rsid w:val="00B66B6C"/>
    <w:rsid w:val="00B7033E"/>
    <w:rsid w:val="00B7071A"/>
    <w:rsid w:val="00B71858"/>
    <w:rsid w:val="00B721DC"/>
    <w:rsid w:val="00B74715"/>
    <w:rsid w:val="00B7669D"/>
    <w:rsid w:val="00B766D9"/>
    <w:rsid w:val="00B80A28"/>
    <w:rsid w:val="00B82D73"/>
    <w:rsid w:val="00B84A2C"/>
    <w:rsid w:val="00B871D6"/>
    <w:rsid w:val="00B873B1"/>
    <w:rsid w:val="00B87A02"/>
    <w:rsid w:val="00BA0DCC"/>
    <w:rsid w:val="00BA12A2"/>
    <w:rsid w:val="00BA16EF"/>
    <w:rsid w:val="00BA18D0"/>
    <w:rsid w:val="00BA242E"/>
    <w:rsid w:val="00BA3317"/>
    <w:rsid w:val="00BA5A9D"/>
    <w:rsid w:val="00BA6363"/>
    <w:rsid w:val="00BB2D9C"/>
    <w:rsid w:val="00BB349D"/>
    <w:rsid w:val="00BB3512"/>
    <w:rsid w:val="00BB5D1E"/>
    <w:rsid w:val="00BB7ED6"/>
    <w:rsid w:val="00BC137A"/>
    <w:rsid w:val="00BC4347"/>
    <w:rsid w:val="00BC45E0"/>
    <w:rsid w:val="00BC54B5"/>
    <w:rsid w:val="00BC5D9D"/>
    <w:rsid w:val="00BC6803"/>
    <w:rsid w:val="00BC7BCB"/>
    <w:rsid w:val="00BD109B"/>
    <w:rsid w:val="00BD2944"/>
    <w:rsid w:val="00BD2B5E"/>
    <w:rsid w:val="00BD3AFF"/>
    <w:rsid w:val="00BD4E7A"/>
    <w:rsid w:val="00BD531B"/>
    <w:rsid w:val="00BE00E5"/>
    <w:rsid w:val="00BE2E5A"/>
    <w:rsid w:val="00BE4A21"/>
    <w:rsid w:val="00BE5859"/>
    <w:rsid w:val="00BE717E"/>
    <w:rsid w:val="00BE7E27"/>
    <w:rsid w:val="00BF183C"/>
    <w:rsid w:val="00BF4C15"/>
    <w:rsid w:val="00C0782F"/>
    <w:rsid w:val="00C11F50"/>
    <w:rsid w:val="00C12603"/>
    <w:rsid w:val="00C131FD"/>
    <w:rsid w:val="00C137B4"/>
    <w:rsid w:val="00C15322"/>
    <w:rsid w:val="00C16DA8"/>
    <w:rsid w:val="00C17352"/>
    <w:rsid w:val="00C21959"/>
    <w:rsid w:val="00C30A7D"/>
    <w:rsid w:val="00C31169"/>
    <w:rsid w:val="00C3169F"/>
    <w:rsid w:val="00C318F6"/>
    <w:rsid w:val="00C37522"/>
    <w:rsid w:val="00C42EFD"/>
    <w:rsid w:val="00C43D8B"/>
    <w:rsid w:val="00C44042"/>
    <w:rsid w:val="00C46AF0"/>
    <w:rsid w:val="00C52956"/>
    <w:rsid w:val="00C53AE1"/>
    <w:rsid w:val="00C53CAD"/>
    <w:rsid w:val="00C54893"/>
    <w:rsid w:val="00C560A1"/>
    <w:rsid w:val="00C56E9E"/>
    <w:rsid w:val="00C56EB6"/>
    <w:rsid w:val="00C63FC8"/>
    <w:rsid w:val="00C64F57"/>
    <w:rsid w:val="00C65D21"/>
    <w:rsid w:val="00C66E11"/>
    <w:rsid w:val="00C6789D"/>
    <w:rsid w:val="00C71A97"/>
    <w:rsid w:val="00C73FFD"/>
    <w:rsid w:val="00C74512"/>
    <w:rsid w:val="00C84F07"/>
    <w:rsid w:val="00C851A6"/>
    <w:rsid w:val="00C855D4"/>
    <w:rsid w:val="00C87639"/>
    <w:rsid w:val="00C9099A"/>
    <w:rsid w:val="00C9240A"/>
    <w:rsid w:val="00C93D5B"/>
    <w:rsid w:val="00C9442C"/>
    <w:rsid w:val="00C9532C"/>
    <w:rsid w:val="00C95BCF"/>
    <w:rsid w:val="00C95D16"/>
    <w:rsid w:val="00C95DCF"/>
    <w:rsid w:val="00CA184E"/>
    <w:rsid w:val="00CA23C4"/>
    <w:rsid w:val="00CA575F"/>
    <w:rsid w:val="00CA5AEC"/>
    <w:rsid w:val="00CA6114"/>
    <w:rsid w:val="00CA704A"/>
    <w:rsid w:val="00CB0797"/>
    <w:rsid w:val="00CB5573"/>
    <w:rsid w:val="00CB644C"/>
    <w:rsid w:val="00CB78ED"/>
    <w:rsid w:val="00CC550E"/>
    <w:rsid w:val="00CC5AC6"/>
    <w:rsid w:val="00CD0DCE"/>
    <w:rsid w:val="00CD1628"/>
    <w:rsid w:val="00CD1D27"/>
    <w:rsid w:val="00CD27B7"/>
    <w:rsid w:val="00CD3807"/>
    <w:rsid w:val="00CD3AE7"/>
    <w:rsid w:val="00CD3C10"/>
    <w:rsid w:val="00CD5194"/>
    <w:rsid w:val="00CD5981"/>
    <w:rsid w:val="00CD68EE"/>
    <w:rsid w:val="00CD79FA"/>
    <w:rsid w:val="00CE10E6"/>
    <w:rsid w:val="00CE4D8E"/>
    <w:rsid w:val="00CE59A8"/>
    <w:rsid w:val="00CE657B"/>
    <w:rsid w:val="00CF00A9"/>
    <w:rsid w:val="00CF0873"/>
    <w:rsid w:val="00CF237E"/>
    <w:rsid w:val="00CF515D"/>
    <w:rsid w:val="00CF53F5"/>
    <w:rsid w:val="00CF6B3F"/>
    <w:rsid w:val="00D002B4"/>
    <w:rsid w:val="00D03845"/>
    <w:rsid w:val="00D03DCB"/>
    <w:rsid w:val="00D05257"/>
    <w:rsid w:val="00D054DF"/>
    <w:rsid w:val="00D057A5"/>
    <w:rsid w:val="00D05D1F"/>
    <w:rsid w:val="00D144D0"/>
    <w:rsid w:val="00D14FC0"/>
    <w:rsid w:val="00D1656D"/>
    <w:rsid w:val="00D167CC"/>
    <w:rsid w:val="00D16943"/>
    <w:rsid w:val="00D171BF"/>
    <w:rsid w:val="00D211AE"/>
    <w:rsid w:val="00D21662"/>
    <w:rsid w:val="00D23DE4"/>
    <w:rsid w:val="00D23F50"/>
    <w:rsid w:val="00D24867"/>
    <w:rsid w:val="00D318E3"/>
    <w:rsid w:val="00D323A7"/>
    <w:rsid w:val="00D346BF"/>
    <w:rsid w:val="00D416EB"/>
    <w:rsid w:val="00D41B20"/>
    <w:rsid w:val="00D44615"/>
    <w:rsid w:val="00D45321"/>
    <w:rsid w:val="00D50324"/>
    <w:rsid w:val="00D55A28"/>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517F"/>
    <w:rsid w:val="00D86043"/>
    <w:rsid w:val="00D870D4"/>
    <w:rsid w:val="00D9398E"/>
    <w:rsid w:val="00D9464E"/>
    <w:rsid w:val="00D954E0"/>
    <w:rsid w:val="00D97059"/>
    <w:rsid w:val="00D97A1D"/>
    <w:rsid w:val="00DA0181"/>
    <w:rsid w:val="00DA2411"/>
    <w:rsid w:val="00DA2C81"/>
    <w:rsid w:val="00DA7899"/>
    <w:rsid w:val="00DB0923"/>
    <w:rsid w:val="00DB29CA"/>
    <w:rsid w:val="00DB30C8"/>
    <w:rsid w:val="00DB5F2B"/>
    <w:rsid w:val="00DB74AF"/>
    <w:rsid w:val="00DC1AB8"/>
    <w:rsid w:val="00DC5C19"/>
    <w:rsid w:val="00DC7068"/>
    <w:rsid w:val="00DD6B9B"/>
    <w:rsid w:val="00DE07A1"/>
    <w:rsid w:val="00DE21A2"/>
    <w:rsid w:val="00DE2776"/>
    <w:rsid w:val="00DE3B11"/>
    <w:rsid w:val="00DE7183"/>
    <w:rsid w:val="00DF1DAC"/>
    <w:rsid w:val="00DF2165"/>
    <w:rsid w:val="00DF305F"/>
    <w:rsid w:val="00DF5A24"/>
    <w:rsid w:val="00DF60E6"/>
    <w:rsid w:val="00DF6105"/>
    <w:rsid w:val="00DF659E"/>
    <w:rsid w:val="00E01524"/>
    <w:rsid w:val="00E07C16"/>
    <w:rsid w:val="00E1021D"/>
    <w:rsid w:val="00E1428E"/>
    <w:rsid w:val="00E14900"/>
    <w:rsid w:val="00E218D3"/>
    <w:rsid w:val="00E22321"/>
    <w:rsid w:val="00E229ED"/>
    <w:rsid w:val="00E23091"/>
    <w:rsid w:val="00E23E21"/>
    <w:rsid w:val="00E245A0"/>
    <w:rsid w:val="00E25964"/>
    <w:rsid w:val="00E25E9F"/>
    <w:rsid w:val="00E26C24"/>
    <w:rsid w:val="00E27565"/>
    <w:rsid w:val="00E30DE6"/>
    <w:rsid w:val="00E31944"/>
    <w:rsid w:val="00E32395"/>
    <w:rsid w:val="00E32E0D"/>
    <w:rsid w:val="00E332E3"/>
    <w:rsid w:val="00E35435"/>
    <w:rsid w:val="00E37194"/>
    <w:rsid w:val="00E3788B"/>
    <w:rsid w:val="00E40C6A"/>
    <w:rsid w:val="00E43977"/>
    <w:rsid w:val="00E4415D"/>
    <w:rsid w:val="00E44AB8"/>
    <w:rsid w:val="00E47BD8"/>
    <w:rsid w:val="00E50D3F"/>
    <w:rsid w:val="00E520BE"/>
    <w:rsid w:val="00E5484A"/>
    <w:rsid w:val="00E54E17"/>
    <w:rsid w:val="00E56A7A"/>
    <w:rsid w:val="00E60419"/>
    <w:rsid w:val="00E60E01"/>
    <w:rsid w:val="00E617D3"/>
    <w:rsid w:val="00E61E36"/>
    <w:rsid w:val="00E6297A"/>
    <w:rsid w:val="00E633C1"/>
    <w:rsid w:val="00E667B0"/>
    <w:rsid w:val="00E67390"/>
    <w:rsid w:val="00E71365"/>
    <w:rsid w:val="00E74904"/>
    <w:rsid w:val="00E770A4"/>
    <w:rsid w:val="00E81192"/>
    <w:rsid w:val="00E83B51"/>
    <w:rsid w:val="00E8626C"/>
    <w:rsid w:val="00E86BDE"/>
    <w:rsid w:val="00E8762F"/>
    <w:rsid w:val="00E90AB8"/>
    <w:rsid w:val="00E919D9"/>
    <w:rsid w:val="00E921C1"/>
    <w:rsid w:val="00E93C8B"/>
    <w:rsid w:val="00E93D8F"/>
    <w:rsid w:val="00E9531E"/>
    <w:rsid w:val="00E95E41"/>
    <w:rsid w:val="00E977CE"/>
    <w:rsid w:val="00E97E05"/>
    <w:rsid w:val="00EA34E2"/>
    <w:rsid w:val="00EA52D1"/>
    <w:rsid w:val="00EA703E"/>
    <w:rsid w:val="00EA791F"/>
    <w:rsid w:val="00EB671F"/>
    <w:rsid w:val="00EB70E7"/>
    <w:rsid w:val="00EB76D6"/>
    <w:rsid w:val="00EC02E8"/>
    <w:rsid w:val="00EC1139"/>
    <w:rsid w:val="00EC3842"/>
    <w:rsid w:val="00EC4299"/>
    <w:rsid w:val="00EC4D4D"/>
    <w:rsid w:val="00EC5D5D"/>
    <w:rsid w:val="00EC7908"/>
    <w:rsid w:val="00EC7C2B"/>
    <w:rsid w:val="00ED191D"/>
    <w:rsid w:val="00ED1F02"/>
    <w:rsid w:val="00ED213D"/>
    <w:rsid w:val="00EE15B5"/>
    <w:rsid w:val="00EE2087"/>
    <w:rsid w:val="00EE20A1"/>
    <w:rsid w:val="00EE4DF8"/>
    <w:rsid w:val="00EE74AF"/>
    <w:rsid w:val="00EF1F0E"/>
    <w:rsid w:val="00EF29F6"/>
    <w:rsid w:val="00EF39C9"/>
    <w:rsid w:val="00EF518E"/>
    <w:rsid w:val="00EF5DF0"/>
    <w:rsid w:val="00EF69AE"/>
    <w:rsid w:val="00EF6E2C"/>
    <w:rsid w:val="00F001A6"/>
    <w:rsid w:val="00F00253"/>
    <w:rsid w:val="00F0070A"/>
    <w:rsid w:val="00F01660"/>
    <w:rsid w:val="00F01C16"/>
    <w:rsid w:val="00F06FA9"/>
    <w:rsid w:val="00F0782D"/>
    <w:rsid w:val="00F10B74"/>
    <w:rsid w:val="00F11EB3"/>
    <w:rsid w:val="00F13F39"/>
    <w:rsid w:val="00F14B9B"/>
    <w:rsid w:val="00F14CCC"/>
    <w:rsid w:val="00F17988"/>
    <w:rsid w:val="00F20C09"/>
    <w:rsid w:val="00F217DF"/>
    <w:rsid w:val="00F21CAE"/>
    <w:rsid w:val="00F22AE0"/>
    <w:rsid w:val="00F2578C"/>
    <w:rsid w:val="00F2601A"/>
    <w:rsid w:val="00F26701"/>
    <w:rsid w:val="00F310D7"/>
    <w:rsid w:val="00F368B9"/>
    <w:rsid w:val="00F3739F"/>
    <w:rsid w:val="00F374C1"/>
    <w:rsid w:val="00F37B34"/>
    <w:rsid w:val="00F41C34"/>
    <w:rsid w:val="00F4212F"/>
    <w:rsid w:val="00F447DB"/>
    <w:rsid w:val="00F447FA"/>
    <w:rsid w:val="00F469B9"/>
    <w:rsid w:val="00F46C32"/>
    <w:rsid w:val="00F46ECB"/>
    <w:rsid w:val="00F525B5"/>
    <w:rsid w:val="00F53D53"/>
    <w:rsid w:val="00F543B9"/>
    <w:rsid w:val="00F56177"/>
    <w:rsid w:val="00F575D3"/>
    <w:rsid w:val="00F5786C"/>
    <w:rsid w:val="00F62117"/>
    <w:rsid w:val="00F62365"/>
    <w:rsid w:val="00F630A7"/>
    <w:rsid w:val="00F66225"/>
    <w:rsid w:val="00F662BC"/>
    <w:rsid w:val="00F6708D"/>
    <w:rsid w:val="00F707F0"/>
    <w:rsid w:val="00F71AD5"/>
    <w:rsid w:val="00F733B8"/>
    <w:rsid w:val="00F74F50"/>
    <w:rsid w:val="00F75192"/>
    <w:rsid w:val="00F77822"/>
    <w:rsid w:val="00F838B6"/>
    <w:rsid w:val="00F83B0D"/>
    <w:rsid w:val="00F83C31"/>
    <w:rsid w:val="00F85F05"/>
    <w:rsid w:val="00F86AD1"/>
    <w:rsid w:val="00F9222A"/>
    <w:rsid w:val="00F922EA"/>
    <w:rsid w:val="00F92927"/>
    <w:rsid w:val="00F979B3"/>
    <w:rsid w:val="00F97CCD"/>
    <w:rsid w:val="00FA320D"/>
    <w:rsid w:val="00FA362B"/>
    <w:rsid w:val="00FA53E9"/>
    <w:rsid w:val="00FA60EC"/>
    <w:rsid w:val="00FB04E9"/>
    <w:rsid w:val="00FB1179"/>
    <w:rsid w:val="00FB1C6B"/>
    <w:rsid w:val="00FB3361"/>
    <w:rsid w:val="00FB42B4"/>
    <w:rsid w:val="00FB4841"/>
    <w:rsid w:val="00FB6C94"/>
    <w:rsid w:val="00FB7F8B"/>
    <w:rsid w:val="00FC3753"/>
    <w:rsid w:val="00FC5743"/>
    <w:rsid w:val="00FC6240"/>
    <w:rsid w:val="00FD118C"/>
    <w:rsid w:val="00FD332F"/>
    <w:rsid w:val="00FE1CC1"/>
    <w:rsid w:val="00FE385E"/>
    <w:rsid w:val="00FE3CE2"/>
    <w:rsid w:val="00FE54AD"/>
    <w:rsid w:val="00FE5633"/>
    <w:rsid w:val="00FE6F7A"/>
    <w:rsid w:val="00FE7B14"/>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1F8C0A6D"/>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paragraph" w:styleId="Ttulo3">
    <w:name w:val="heading 3"/>
    <w:basedOn w:val="Normal"/>
    <w:next w:val="Normal"/>
    <w:link w:val="Ttulo3Char"/>
    <w:uiPriority w:val="9"/>
    <w:semiHidden/>
    <w:unhideWhenUsed/>
    <w:qFormat/>
    <w:rsid w:val="00173DE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3Char">
    <w:name w:val="Título 3 Char"/>
    <w:basedOn w:val="Fontepargpadro"/>
    <w:link w:val="Ttulo3"/>
    <w:uiPriority w:val="9"/>
    <w:semiHidden/>
    <w:rsid w:val="00173DE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313019592">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10139497">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7/6/pdf/00317353.pdf" TargetMode="External"/><Relationship Id="rId13" Type="http://schemas.openxmlformats.org/officeDocument/2006/relationships/hyperlink" Target="http://www1.tce.pr.gov.br/multimidia/2017/6/pdf/00317529.pdf" TargetMode="External"/><Relationship Id="rId18" Type="http://schemas.openxmlformats.org/officeDocument/2006/relationships/hyperlink" Target="http://www1.tce.pr.gov.br/multimidia/2017/6/pdf/00317330.pdf" TargetMode="External"/><Relationship Id="rId26" Type="http://schemas.openxmlformats.org/officeDocument/2006/relationships/hyperlink" Target="https://contas.tcu.gov.br/sagas/SvlVisualizarRelVotoAcRtf?codFiltro=SAGAS-SESSAO-ENCERRADA&amp;seOcultaPagina=S&amp;item0=591235" TargetMode="External"/><Relationship Id="rId3" Type="http://schemas.openxmlformats.org/officeDocument/2006/relationships/styles" Target="styles.xml"/><Relationship Id="rId21" Type="http://schemas.openxmlformats.org/officeDocument/2006/relationships/hyperlink" Target="http://www.stf.jus.br/portal/jurisprudenciaRepercussao/listarProcesso.asp?tipo=AC&amp;numeroTemaInicial=403+++++++&amp;numeroTemaFinal=403+++++++&amp;txtTituloTema=&amp;acao=acompanhamentoPorTema&amp;botao=" TargetMode="External"/><Relationship Id="rId7" Type="http://schemas.openxmlformats.org/officeDocument/2006/relationships/endnotes" Target="endnotes.xml"/><Relationship Id="rId12" Type="http://schemas.openxmlformats.org/officeDocument/2006/relationships/hyperlink" Target="http://www1.tce.pr.gov.br/multimidia/2017/6/pdf/00317036.pdf" TargetMode="External"/><Relationship Id="rId17" Type="http://schemas.openxmlformats.org/officeDocument/2006/relationships/hyperlink" Target="http://www1.tce.pr.gov.br/multimidia/2017/6/pdf/00317184.pdf" TargetMode="External"/><Relationship Id="rId25" Type="http://schemas.openxmlformats.org/officeDocument/2006/relationships/hyperlink" Target="http://www.planalto.gov.br/ccivil_03/leis/L8666cons.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1.tce.pr.gov.br/multimidia/2017/6/pdf/00317181.pdf" TargetMode="External"/><Relationship Id="rId20" Type="http://schemas.openxmlformats.org/officeDocument/2006/relationships/hyperlink" Target="http://www.stf.jus.br/portal/processo/verProcessoAndamento.asp?numero=635648&amp;classe=RE&amp;origem=AP&amp;recurso=0&amp;tipoJulgamento=M" TargetMode="External"/><Relationship Id="rId29" Type="http://schemas.openxmlformats.org/officeDocument/2006/relationships/hyperlink" Target="http://www1.tce.pr.gov.br/multimidia/2017/7/flipbook/318496/files/assets/basic-html/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7/6/pdf/00317044.pdf" TargetMode="External"/><Relationship Id="rId24" Type="http://schemas.openxmlformats.org/officeDocument/2006/relationships/hyperlink" Target="https://contas.tcu.gov.br/sagas/SvlVisualizarRelVotoAcRtf?codFiltro=SAGAS-SESSAO-ENCERRADA&amp;seOcultaPagina=S&amp;item0=59089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1.tce.pr.gov.br/multimidia/2017/5/pdf/00316935.pdf" TargetMode="External"/><Relationship Id="rId23" Type="http://schemas.openxmlformats.org/officeDocument/2006/relationships/hyperlink" Target="https://contas.tcu.gov.br/sagas/SvlVisualizarRelVotoAcRtf?codFiltro=SAGAS-SESSAO-ENCERRADA&amp;seOcultaPagina=S&amp;item0=590249" TargetMode="External"/><Relationship Id="rId28" Type="http://schemas.openxmlformats.org/officeDocument/2006/relationships/hyperlink" Target="https://contas.tcu.gov.br/sagas/SvlVisualizarRelVotoAcRtf?codFiltro=SAGAS-SESSAO-ENCERRADA&amp;seOcultaPagina=S&amp;item0=590309" TargetMode="External"/><Relationship Id="rId10" Type="http://schemas.openxmlformats.org/officeDocument/2006/relationships/hyperlink" Target="http://www1.tce.pr.gov.br/multimidia/2017/6/pdf/00317249.pdf" TargetMode="External"/><Relationship Id="rId19" Type="http://schemas.openxmlformats.org/officeDocument/2006/relationships/hyperlink" Target="http://www1.tce.pr.gov.br/multimidia/2017/6/pdf/00317886.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1.tce.pr.gov.br/multimidia/2017/6/pdf/00317453.pdf" TargetMode="External"/><Relationship Id="rId14" Type="http://schemas.openxmlformats.org/officeDocument/2006/relationships/hyperlink" Target="http://www1.tce.pr.gov.br/multimidia/2017/6/pdf/00317693.pdf" TargetMode="External"/><Relationship Id="rId22" Type="http://schemas.openxmlformats.org/officeDocument/2006/relationships/hyperlink" Target="https://contas.tcu.gov.br/sagas/SvlVisualizarRelVotoAcRtf?codFiltro=SAGAS-SESSAO-ENCERRADA&amp;seOcultaPagina=S&amp;item0=590249" TargetMode="External"/><Relationship Id="rId27" Type="http://schemas.openxmlformats.org/officeDocument/2006/relationships/hyperlink" Target="http://www.planalto.gov.br/ccivil_03/leis/LCP/Lcp123.htm"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FDDB3-EC5F-430B-BA68-25BA74013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12</Pages>
  <Words>5213</Words>
  <Characters>28155</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Tiago Moraes Ribeiro</cp:lastModifiedBy>
  <cp:revision>76</cp:revision>
  <cp:lastPrinted>2017-07-10T20:46:00Z</cp:lastPrinted>
  <dcterms:created xsi:type="dcterms:W3CDTF">2017-07-10T20:45:00Z</dcterms:created>
  <dcterms:modified xsi:type="dcterms:W3CDTF">2018-03-05T17:06:00Z</dcterms:modified>
</cp:coreProperties>
</file>