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7E46">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7E46">
      <w:pPr>
        <w:spacing w:after="0"/>
        <w:jc w:val="center"/>
        <w:rPr>
          <w:rFonts w:ascii="Arial" w:hAnsi="Arial" w:cs="Arial"/>
          <w:b/>
          <w:sz w:val="20"/>
          <w:szCs w:val="20"/>
        </w:rPr>
      </w:pPr>
    </w:p>
    <w:p w:rsidR="001B5F7A" w:rsidRDefault="001B5F7A" w:rsidP="00817E46">
      <w:pPr>
        <w:spacing w:after="0"/>
        <w:jc w:val="center"/>
        <w:rPr>
          <w:rFonts w:ascii="Arial" w:hAnsi="Arial" w:cs="Arial"/>
          <w:b/>
          <w:sz w:val="20"/>
          <w:szCs w:val="20"/>
        </w:rPr>
      </w:pPr>
      <w:r w:rsidRPr="0022060B">
        <w:rPr>
          <w:rFonts w:ascii="Arial" w:hAnsi="Arial" w:cs="Arial"/>
          <w:b/>
          <w:sz w:val="20"/>
          <w:szCs w:val="20"/>
        </w:rPr>
        <w:t xml:space="preserve">Número </w:t>
      </w:r>
      <w:r w:rsidR="00401EE0">
        <w:rPr>
          <w:rFonts w:ascii="Arial" w:hAnsi="Arial" w:cs="Arial"/>
          <w:b/>
          <w:sz w:val="20"/>
          <w:szCs w:val="20"/>
        </w:rPr>
        <w:t>2</w:t>
      </w:r>
      <w:r w:rsidR="00DB558E">
        <w:rPr>
          <w:rFonts w:ascii="Arial" w:hAnsi="Arial" w:cs="Arial"/>
          <w:b/>
          <w:sz w:val="20"/>
          <w:szCs w:val="20"/>
        </w:rPr>
        <w:t>5</w:t>
      </w:r>
    </w:p>
    <w:p w:rsidR="006F08D4" w:rsidRPr="0022060B" w:rsidRDefault="006F08D4" w:rsidP="00817E46">
      <w:pPr>
        <w:spacing w:after="0"/>
        <w:jc w:val="center"/>
        <w:rPr>
          <w:rFonts w:ascii="Arial" w:hAnsi="Arial" w:cs="Arial"/>
          <w:b/>
          <w:sz w:val="20"/>
          <w:szCs w:val="20"/>
        </w:rPr>
      </w:pPr>
    </w:p>
    <w:p w:rsidR="001B5F7A" w:rsidRPr="0022060B" w:rsidRDefault="001B5F7A" w:rsidP="00817E46">
      <w:pPr>
        <w:spacing w:after="0"/>
        <w:jc w:val="center"/>
        <w:rPr>
          <w:rFonts w:ascii="Arial" w:hAnsi="Arial" w:cs="Arial"/>
          <w:b/>
          <w:sz w:val="20"/>
          <w:szCs w:val="20"/>
        </w:rPr>
      </w:pPr>
      <w:r w:rsidRPr="0022060B">
        <w:rPr>
          <w:rFonts w:ascii="Arial" w:hAnsi="Arial" w:cs="Arial"/>
          <w:b/>
          <w:sz w:val="20"/>
          <w:szCs w:val="20"/>
        </w:rPr>
        <w:t xml:space="preserve">Sessões: </w:t>
      </w:r>
      <w:r w:rsidR="002B5E9F">
        <w:rPr>
          <w:rFonts w:ascii="Arial" w:hAnsi="Arial" w:cs="Arial"/>
          <w:b/>
          <w:sz w:val="20"/>
          <w:szCs w:val="20"/>
        </w:rPr>
        <w:t>03</w:t>
      </w:r>
      <w:r w:rsidR="00814325">
        <w:rPr>
          <w:rFonts w:ascii="Arial" w:hAnsi="Arial" w:cs="Arial"/>
          <w:b/>
          <w:sz w:val="20"/>
          <w:szCs w:val="20"/>
        </w:rPr>
        <w:t>.</w:t>
      </w:r>
      <w:r w:rsidR="002B5E9F">
        <w:rPr>
          <w:rFonts w:ascii="Arial" w:hAnsi="Arial" w:cs="Arial"/>
          <w:b/>
          <w:sz w:val="20"/>
          <w:szCs w:val="20"/>
        </w:rPr>
        <w:t>10</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2B5E9F">
        <w:rPr>
          <w:rFonts w:ascii="Arial" w:hAnsi="Arial" w:cs="Arial"/>
          <w:b/>
          <w:sz w:val="20"/>
          <w:szCs w:val="20"/>
        </w:rPr>
        <w:t>31</w:t>
      </w:r>
      <w:r w:rsidR="005A0FD0" w:rsidRPr="0022060B">
        <w:rPr>
          <w:rFonts w:ascii="Arial" w:hAnsi="Arial" w:cs="Arial"/>
          <w:b/>
          <w:sz w:val="20"/>
          <w:szCs w:val="20"/>
        </w:rPr>
        <w:t>.</w:t>
      </w:r>
      <w:r w:rsidR="002B5E9F">
        <w:rPr>
          <w:rFonts w:ascii="Arial" w:hAnsi="Arial" w:cs="Arial"/>
          <w:b/>
          <w:sz w:val="20"/>
          <w:szCs w:val="20"/>
        </w:rPr>
        <w:t>10</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7E46">
      <w:pPr>
        <w:spacing w:after="0"/>
        <w:jc w:val="both"/>
        <w:rPr>
          <w:rFonts w:ascii="Arial" w:hAnsi="Arial" w:cs="Arial"/>
          <w:sz w:val="20"/>
          <w:szCs w:val="20"/>
        </w:rPr>
      </w:pPr>
    </w:p>
    <w:p w:rsidR="00FE7B14" w:rsidRPr="0022060B" w:rsidRDefault="00FE7B14" w:rsidP="00817E46">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7E46">
      <w:pPr>
        <w:spacing w:after="0"/>
        <w:jc w:val="both"/>
        <w:rPr>
          <w:rFonts w:ascii="Arial" w:hAnsi="Arial" w:cs="Arial"/>
          <w:sz w:val="20"/>
          <w:szCs w:val="20"/>
        </w:rPr>
      </w:pPr>
    </w:p>
    <w:p w:rsidR="00FE7B14" w:rsidRPr="0022060B" w:rsidRDefault="00FE7B14" w:rsidP="00817E46">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7E46">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047AE4" w:rsidRDefault="00047AE4" w:rsidP="00817E46">
      <w:pPr>
        <w:spacing w:after="0"/>
        <w:jc w:val="both"/>
        <w:rPr>
          <w:rFonts w:ascii="Arial" w:hAnsi="Arial" w:cs="Arial"/>
          <w:b/>
          <w:sz w:val="20"/>
          <w:szCs w:val="20"/>
        </w:rPr>
      </w:pPr>
    </w:p>
    <w:p w:rsidR="00047AE4" w:rsidRPr="00DB15F7" w:rsidRDefault="00047AE4" w:rsidP="00817E46">
      <w:pPr>
        <w:pStyle w:val="PargrafodaLista"/>
        <w:numPr>
          <w:ilvl w:val="0"/>
          <w:numId w:val="14"/>
        </w:numPr>
        <w:tabs>
          <w:tab w:val="left" w:pos="284"/>
        </w:tabs>
        <w:spacing w:after="0"/>
        <w:ind w:left="0" w:firstLine="0"/>
        <w:contextualSpacing w:val="0"/>
        <w:jc w:val="both"/>
        <w:rPr>
          <w:rFonts w:ascii="Arial" w:hAnsi="Arial" w:cs="Arial"/>
          <w:sz w:val="20"/>
          <w:szCs w:val="20"/>
        </w:rPr>
      </w:pPr>
      <w:r w:rsidRPr="00DB15F7">
        <w:rPr>
          <w:rFonts w:ascii="Arial" w:hAnsi="Arial" w:cs="Arial"/>
          <w:sz w:val="20"/>
          <w:szCs w:val="20"/>
        </w:rPr>
        <w:t xml:space="preserve">Prestação de Contas Anual. </w:t>
      </w:r>
      <w:proofErr w:type="spellStart"/>
      <w:r w:rsidRPr="00DB15F7">
        <w:rPr>
          <w:rFonts w:ascii="Arial" w:hAnsi="Arial" w:cs="Arial"/>
          <w:sz w:val="20"/>
          <w:szCs w:val="20"/>
        </w:rPr>
        <w:t>Subconcessão</w:t>
      </w:r>
      <w:proofErr w:type="spellEnd"/>
      <w:r w:rsidRPr="00DB15F7">
        <w:rPr>
          <w:rFonts w:ascii="Arial" w:hAnsi="Arial" w:cs="Arial"/>
          <w:sz w:val="20"/>
          <w:szCs w:val="20"/>
        </w:rPr>
        <w:t xml:space="preserve">. Ressalva. Terceirização de profissional responsável pelo Controle Interno. Impossibilidade. Inteligência do Prejulgado nº 06/TCE. Pela irregularidade das contas com aplicação de multa ao diretor presidente da entidade. </w:t>
      </w:r>
    </w:p>
    <w:p w:rsidR="00047AE4" w:rsidRDefault="00047AE4" w:rsidP="00817E46">
      <w:pPr>
        <w:spacing w:after="0"/>
        <w:jc w:val="both"/>
        <w:rPr>
          <w:rFonts w:ascii="Arial" w:hAnsi="Arial" w:cs="Arial"/>
          <w:sz w:val="20"/>
          <w:szCs w:val="20"/>
        </w:rPr>
      </w:pPr>
    </w:p>
    <w:p w:rsidR="00047AE4" w:rsidRPr="00DB15F7" w:rsidRDefault="00047AE4" w:rsidP="00817E46">
      <w:pPr>
        <w:pStyle w:val="PargrafodaLista"/>
        <w:numPr>
          <w:ilvl w:val="0"/>
          <w:numId w:val="14"/>
        </w:numPr>
        <w:tabs>
          <w:tab w:val="left" w:pos="284"/>
        </w:tabs>
        <w:spacing w:after="0"/>
        <w:ind w:left="0" w:firstLine="0"/>
        <w:contextualSpacing w:val="0"/>
        <w:jc w:val="both"/>
        <w:rPr>
          <w:rFonts w:ascii="Arial" w:hAnsi="Arial" w:cs="Arial"/>
          <w:sz w:val="20"/>
          <w:szCs w:val="20"/>
        </w:rPr>
      </w:pPr>
      <w:r w:rsidRPr="00DB15F7">
        <w:rPr>
          <w:rFonts w:ascii="Arial" w:hAnsi="Arial" w:cs="Arial"/>
          <w:sz w:val="20"/>
          <w:szCs w:val="20"/>
        </w:rPr>
        <w:t xml:space="preserve">Prestação de contas de prefeito municipal. Ausência de comprovação de regularidade previdenciária no MPS. Emissão de Parecer Prévio pela irregularidade das contas com imputação de multa ao gestor. </w:t>
      </w:r>
    </w:p>
    <w:p w:rsidR="00047AE4" w:rsidRPr="00047AE4" w:rsidRDefault="00047AE4" w:rsidP="00817E46">
      <w:pPr>
        <w:spacing w:after="0"/>
        <w:jc w:val="both"/>
        <w:rPr>
          <w:rFonts w:ascii="Arial" w:hAnsi="Arial" w:cs="Arial"/>
          <w:sz w:val="20"/>
          <w:szCs w:val="20"/>
        </w:rPr>
      </w:pPr>
    </w:p>
    <w:p w:rsidR="00047AE4" w:rsidRPr="00DB15F7" w:rsidRDefault="00047AE4" w:rsidP="00817E46">
      <w:pPr>
        <w:pStyle w:val="PargrafodaLista"/>
        <w:numPr>
          <w:ilvl w:val="0"/>
          <w:numId w:val="14"/>
        </w:numPr>
        <w:tabs>
          <w:tab w:val="left" w:pos="284"/>
        </w:tabs>
        <w:autoSpaceDE w:val="0"/>
        <w:autoSpaceDN w:val="0"/>
        <w:adjustRightInd w:val="0"/>
        <w:spacing w:after="0"/>
        <w:ind w:left="0" w:firstLine="0"/>
        <w:contextualSpacing w:val="0"/>
        <w:jc w:val="both"/>
        <w:rPr>
          <w:rFonts w:ascii="Arial" w:hAnsi="Arial" w:cs="Arial"/>
          <w:sz w:val="20"/>
          <w:szCs w:val="20"/>
        </w:rPr>
      </w:pPr>
      <w:r w:rsidRPr="00DB15F7">
        <w:rPr>
          <w:rFonts w:ascii="Arial" w:hAnsi="Arial" w:cs="Arial"/>
          <w:sz w:val="20"/>
          <w:szCs w:val="20"/>
        </w:rPr>
        <w:t>Tomada de contas extraordinária. Utilização de combustível destinado a veículos oficias para abastecimento de veículos particulares. Irregularidade das contas. Condenação solidária de ressarcimento ao erário.</w:t>
      </w:r>
    </w:p>
    <w:p w:rsidR="004429A2" w:rsidRDefault="004429A2" w:rsidP="00817E46">
      <w:pPr>
        <w:spacing w:after="0"/>
        <w:jc w:val="both"/>
        <w:rPr>
          <w:rStyle w:val="Hyperlink"/>
          <w:rFonts w:ascii="Arial" w:hAnsi="Arial" w:cs="Arial"/>
          <w:b/>
          <w:color w:val="000000" w:themeColor="text1"/>
          <w:sz w:val="20"/>
          <w:szCs w:val="20"/>
          <w:u w:val="none"/>
        </w:rPr>
      </w:pPr>
    </w:p>
    <w:p w:rsidR="00047AE4" w:rsidRPr="00DB15F7" w:rsidRDefault="00047AE4" w:rsidP="00817E46">
      <w:pPr>
        <w:pStyle w:val="PargrafodaLista"/>
        <w:numPr>
          <w:ilvl w:val="0"/>
          <w:numId w:val="14"/>
        </w:numPr>
        <w:tabs>
          <w:tab w:val="left" w:pos="284"/>
        </w:tabs>
        <w:spacing w:after="0"/>
        <w:ind w:left="0" w:firstLine="0"/>
        <w:contextualSpacing w:val="0"/>
        <w:jc w:val="both"/>
        <w:rPr>
          <w:rFonts w:ascii="Arial" w:hAnsi="Arial" w:cs="Arial"/>
          <w:sz w:val="20"/>
          <w:szCs w:val="20"/>
        </w:rPr>
      </w:pPr>
      <w:r w:rsidRPr="00DB15F7">
        <w:rPr>
          <w:rFonts w:ascii="Arial" w:hAnsi="Arial" w:cs="Arial"/>
          <w:sz w:val="20"/>
          <w:szCs w:val="20"/>
        </w:rPr>
        <w:t xml:space="preserve">Admissão de pessoal. Inocorrência de prescrição ou decadência. Candidata aprovada que possui vínculo de parentesco com o Prefeito Municipal. Violação aos princípios da impessoalidade, isonomia e moralidade. Negativa de registro com aplicação de multa ao gestor e abertura de tomada de contas extraordinária. </w:t>
      </w:r>
    </w:p>
    <w:p w:rsidR="006E12D5" w:rsidRPr="00047AE4" w:rsidRDefault="006E12D5" w:rsidP="00817E46">
      <w:pPr>
        <w:spacing w:after="0"/>
        <w:jc w:val="both"/>
        <w:rPr>
          <w:rStyle w:val="Hyperlink"/>
          <w:rFonts w:ascii="Arial" w:hAnsi="Arial" w:cs="Arial"/>
          <w:color w:val="000000" w:themeColor="text1"/>
          <w:sz w:val="20"/>
          <w:szCs w:val="20"/>
          <w:u w:val="none"/>
        </w:rPr>
      </w:pPr>
    </w:p>
    <w:p w:rsidR="00BB54DC" w:rsidRPr="00DB15F7" w:rsidRDefault="00BB54DC" w:rsidP="00817E46">
      <w:pPr>
        <w:pStyle w:val="PargrafodaLista"/>
        <w:numPr>
          <w:ilvl w:val="0"/>
          <w:numId w:val="14"/>
        </w:numPr>
        <w:tabs>
          <w:tab w:val="left" w:pos="284"/>
        </w:tabs>
        <w:spacing w:after="0"/>
        <w:ind w:left="0" w:firstLine="0"/>
        <w:contextualSpacing w:val="0"/>
        <w:jc w:val="both"/>
        <w:rPr>
          <w:rFonts w:ascii="Arial" w:hAnsi="Arial" w:cs="Arial"/>
          <w:sz w:val="20"/>
          <w:szCs w:val="20"/>
        </w:rPr>
      </w:pPr>
      <w:r w:rsidRPr="00DB15F7">
        <w:rPr>
          <w:rFonts w:ascii="Arial" w:hAnsi="Arial" w:cs="Arial"/>
          <w:sz w:val="20"/>
          <w:szCs w:val="20"/>
        </w:rPr>
        <w:t xml:space="preserve">Prestação de Contas Anual. Falta de pagamento de aportes para cobertura do déficit atuarial na forma apurada no laudo. Parecer Prévio que recomenda a irregularidade das contas. </w:t>
      </w:r>
    </w:p>
    <w:p w:rsidR="000912F8" w:rsidRPr="004B45C6" w:rsidRDefault="000912F8" w:rsidP="00817E46">
      <w:pPr>
        <w:autoSpaceDE w:val="0"/>
        <w:autoSpaceDN w:val="0"/>
        <w:adjustRightInd w:val="0"/>
        <w:spacing w:after="0"/>
        <w:jc w:val="both"/>
        <w:rPr>
          <w:rFonts w:ascii="Arial" w:hAnsi="Arial" w:cs="Arial"/>
          <w:b/>
          <w:color w:val="000000"/>
          <w:sz w:val="20"/>
          <w:szCs w:val="20"/>
          <w:shd w:val="clear" w:color="auto" w:fill="FFFFFF"/>
        </w:rPr>
      </w:pPr>
    </w:p>
    <w:p w:rsidR="000912F8" w:rsidRPr="00DB15F7" w:rsidRDefault="000912F8" w:rsidP="00817E46">
      <w:pPr>
        <w:pStyle w:val="PargrafodaLista"/>
        <w:numPr>
          <w:ilvl w:val="0"/>
          <w:numId w:val="14"/>
        </w:numPr>
        <w:tabs>
          <w:tab w:val="left" w:pos="284"/>
        </w:tabs>
        <w:autoSpaceDE w:val="0"/>
        <w:autoSpaceDN w:val="0"/>
        <w:adjustRightInd w:val="0"/>
        <w:spacing w:after="0"/>
        <w:ind w:left="0" w:firstLine="0"/>
        <w:contextualSpacing w:val="0"/>
        <w:jc w:val="both"/>
        <w:rPr>
          <w:rFonts w:ascii="Arial" w:hAnsi="Arial" w:cs="Arial"/>
          <w:color w:val="000000"/>
          <w:sz w:val="20"/>
          <w:szCs w:val="20"/>
          <w:shd w:val="clear" w:color="auto" w:fill="FFFFFF"/>
        </w:rPr>
      </w:pPr>
      <w:r w:rsidRPr="00DB15F7">
        <w:rPr>
          <w:rFonts w:ascii="Arial" w:hAnsi="Arial" w:cs="Arial"/>
          <w:sz w:val="20"/>
          <w:szCs w:val="20"/>
        </w:rPr>
        <w:t>Recurso de Revista. Contratações diretas por meio de recibo de pagamento autônomo. Pelo conhecimento e não provimento.</w:t>
      </w:r>
    </w:p>
    <w:p w:rsidR="000912F8" w:rsidRDefault="000912F8" w:rsidP="00817E46">
      <w:pPr>
        <w:autoSpaceDE w:val="0"/>
        <w:autoSpaceDN w:val="0"/>
        <w:adjustRightInd w:val="0"/>
        <w:spacing w:after="0"/>
        <w:jc w:val="both"/>
        <w:rPr>
          <w:rFonts w:ascii="Arial" w:hAnsi="Arial" w:cs="Arial"/>
          <w:b/>
          <w:sz w:val="20"/>
          <w:szCs w:val="20"/>
        </w:rPr>
      </w:pPr>
    </w:p>
    <w:p w:rsidR="000912F8" w:rsidRPr="00DB15F7" w:rsidRDefault="000912F8" w:rsidP="00817E46">
      <w:pPr>
        <w:pStyle w:val="PargrafodaLista"/>
        <w:numPr>
          <w:ilvl w:val="0"/>
          <w:numId w:val="14"/>
        </w:numPr>
        <w:tabs>
          <w:tab w:val="left" w:pos="284"/>
        </w:tabs>
        <w:autoSpaceDE w:val="0"/>
        <w:autoSpaceDN w:val="0"/>
        <w:adjustRightInd w:val="0"/>
        <w:spacing w:after="0"/>
        <w:ind w:left="0" w:firstLine="0"/>
        <w:contextualSpacing w:val="0"/>
        <w:jc w:val="both"/>
        <w:rPr>
          <w:rFonts w:ascii="Arial" w:hAnsi="Arial" w:cs="Arial"/>
          <w:sz w:val="20"/>
          <w:szCs w:val="20"/>
        </w:rPr>
      </w:pPr>
      <w:r w:rsidRPr="00DB15F7">
        <w:rPr>
          <w:rFonts w:ascii="Arial" w:hAnsi="Arial" w:cs="Arial"/>
          <w:sz w:val="20"/>
          <w:szCs w:val="20"/>
        </w:rPr>
        <w:t xml:space="preserve">Tomada de Contas Extraordinária. Licitação para contratação da prestação de serviços. Exclusão de licitante que havia lançado a melhor proposta. Excesso de formalismo. Possível </w:t>
      </w:r>
      <w:proofErr w:type="spellStart"/>
      <w:r w:rsidRPr="00DB15F7">
        <w:rPr>
          <w:rFonts w:ascii="Arial" w:hAnsi="Arial" w:cs="Arial"/>
          <w:sz w:val="20"/>
          <w:szCs w:val="20"/>
        </w:rPr>
        <w:lastRenderedPageBreak/>
        <w:t>dano</w:t>
      </w:r>
      <w:proofErr w:type="spellEnd"/>
      <w:r w:rsidRPr="00DB15F7">
        <w:rPr>
          <w:rFonts w:ascii="Arial" w:hAnsi="Arial" w:cs="Arial"/>
          <w:sz w:val="20"/>
          <w:szCs w:val="20"/>
        </w:rPr>
        <w:t xml:space="preserve"> ao erário. Concessão de medida cautelar. Conversão do feito em tomada de contas extraordinária.</w:t>
      </w:r>
    </w:p>
    <w:p w:rsidR="00047AE4" w:rsidRDefault="00047AE4" w:rsidP="00817E46">
      <w:pPr>
        <w:spacing w:after="0"/>
        <w:jc w:val="both"/>
        <w:rPr>
          <w:rStyle w:val="Hyperlink"/>
          <w:rFonts w:ascii="Arial" w:hAnsi="Arial" w:cs="Arial"/>
          <w:b/>
          <w:color w:val="000000" w:themeColor="text1"/>
          <w:sz w:val="20"/>
          <w:szCs w:val="20"/>
          <w:u w:val="none"/>
        </w:rPr>
      </w:pPr>
    </w:p>
    <w:p w:rsidR="000912F8" w:rsidRPr="00DB15F7" w:rsidRDefault="000912F8" w:rsidP="00817E46">
      <w:pPr>
        <w:pStyle w:val="PargrafodaLista"/>
        <w:numPr>
          <w:ilvl w:val="0"/>
          <w:numId w:val="14"/>
        </w:numPr>
        <w:tabs>
          <w:tab w:val="left" w:pos="426"/>
        </w:tabs>
        <w:autoSpaceDE w:val="0"/>
        <w:autoSpaceDN w:val="0"/>
        <w:adjustRightInd w:val="0"/>
        <w:spacing w:after="0"/>
        <w:ind w:left="0" w:firstLine="0"/>
        <w:contextualSpacing w:val="0"/>
        <w:jc w:val="both"/>
        <w:rPr>
          <w:rFonts w:ascii="Arial" w:hAnsi="Arial" w:cs="Arial"/>
          <w:sz w:val="20"/>
          <w:szCs w:val="20"/>
        </w:rPr>
      </w:pPr>
      <w:r w:rsidRPr="00DB15F7">
        <w:rPr>
          <w:rFonts w:ascii="Arial" w:hAnsi="Arial" w:cs="Arial"/>
          <w:sz w:val="20"/>
          <w:szCs w:val="20"/>
        </w:rPr>
        <w:t xml:space="preserve">Consulta. Pagamento de 13º subsídio a Prefeitos, Vice-Prefeitos e Vereadores. Julgamento do Supremo Tribunal Federal em sede de repercussão geral que reconhece a inexistência de impeditivo constitucional. Necessidade de previsão em lei, que deve levar em conta a realidade financeira do Município, a Lei de Diretrizes Orçamentária, a Lei Orçamentária Anual, a Lei de Responsabilidade Fiscal, notadamente, seus </w:t>
      </w:r>
      <w:proofErr w:type="spellStart"/>
      <w:r w:rsidRPr="00DB15F7">
        <w:rPr>
          <w:rFonts w:ascii="Arial" w:hAnsi="Arial" w:cs="Arial"/>
          <w:sz w:val="20"/>
          <w:szCs w:val="20"/>
        </w:rPr>
        <w:t>arts</w:t>
      </w:r>
      <w:proofErr w:type="spellEnd"/>
      <w:r w:rsidRPr="00DB15F7">
        <w:rPr>
          <w:rFonts w:ascii="Arial" w:hAnsi="Arial" w:cs="Arial"/>
          <w:sz w:val="20"/>
          <w:szCs w:val="20"/>
        </w:rPr>
        <w:t>. 16 e 17 e os limites do art. 29-A e §1º da Constituição Federal. Observância obrigatória do princípio da anterioridade.</w:t>
      </w:r>
    </w:p>
    <w:p w:rsidR="000912F8" w:rsidRPr="000912F8" w:rsidRDefault="000912F8" w:rsidP="00817E46">
      <w:pPr>
        <w:spacing w:after="0"/>
        <w:jc w:val="both"/>
        <w:rPr>
          <w:rStyle w:val="Hyperlink"/>
          <w:rFonts w:ascii="Arial" w:hAnsi="Arial" w:cs="Arial"/>
          <w:color w:val="000000" w:themeColor="text1"/>
          <w:sz w:val="20"/>
          <w:szCs w:val="20"/>
          <w:u w:val="none"/>
        </w:rPr>
      </w:pPr>
    </w:p>
    <w:p w:rsidR="000912F8" w:rsidRPr="00DB15F7" w:rsidRDefault="000912F8" w:rsidP="00817E46">
      <w:pPr>
        <w:pStyle w:val="PargrafodaLista"/>
        <w:numPr>
          <w:ilvl w:val="0"/>
          <w:numId w:val="14"/>
        </w:numPr>
        <w:tabs>
          <w:tab w:val="left" w:pos="426"/>
        </w:tabs>
        <w:autoSpaceDE w:val="0"/>
        <w:autoSpaceDN w:val="0"/>
        <w:adjustRightInd w:val="0"/>
        <w:spacing w:after="0"/>
        <w:ind w:left="0" w:firstLine="0"/>
        <w:contextualSpacing w:val="0"/>
        <w:jc w:val="both"/>
        <w:rPr>
          <w:rFonts w:ascii="Arial" w:hAnsi="Arial" w:cs="Arial"/>
          <w:color w:val="000000"/>
          <w:sz w:val="20"/>
          <w:szCs w:val="20"/>
          <w:shd w:val="clear" w:color="auto" w:fill="FFFFFF"/>
        </w:rPr>
      </w:pPr>
      <w:r w:rsidRPr="00DB15F7">
        <w:rPr>
          <w:rFonts w:ascii="Arial" w:hAnsi="Arial" w:cs="Arial"/>
          <w:color w:val="000000"/>
          <w:sz w:val="20"/>
          <w:szCs w:val="20"/>
          <w:shd w:val="clear" w:color="auto" w:fill="FFFFFF"/>
        </w:rPr>
        <w:t>Recurso de Agravo. Reexame de provas. Divergência. Fundamentação.</w:t>
      </w:r>
    </w:p>
    <w:p w:rsidR="00DB15F7" w:rsidRPr="00DB15F7" w:rsidRDefault="00DB15F7" w:rsidP="00817E46">
      <w:pPr>
        <w:autoSpaceDE w:val="0"/>
        <w:autoSpaceDN w:val="0"/>
        <w:adjustRightInd w:val="0"/>
        <w:spacing w:after="0"/>
        <w:jc w:val="both"/>
        <w:rPr>
          <w:rFonts w:ascii="Arial" w:hAnsi="Arial" w:cs="Arial"/>
          <w:color w:val="000000"/>
          <w:sz w:val="20"/>
          <w:szCs w:val="20"/>
          <w:shd w:val="clear" w:color="auto" w:fill="FFFFFF"/>
        </w:rPr>
      </w:pPr>
    </w:p>
    <w:p w:rsidR="00DB15F7" w:rsidRPr="00DB15F7" w:rsidRDefault="00DB15F7" w:rsidP="00817E46">
      <w:pPr>
        <w:pStyle w:val="PargrafodaLista"/>
        <w:numPr>
          <w:ilvl w:val="0"/>
          <w:numId w:val="14"/>
        </w:numPr>
        <w:tabs>
          <w:tab w:val="left" w:pos="426"/>
        </w:tabs>
        <w:autoSpaceDE w:val="0"/>
        <w:autoSpaceDN w:val="0"/>
        <w:adjustRightInd w:val="0"/>
        <w:spacing w:after="0"/>
        <w:ind w:left="0" w:firstLine="0"/>
        <w:contextualSpacing w:val="0"/>
        <w:jc w:val="both"/>
        <w:rPr>
          <w:rFonts w:ascii="Arial" w:hAnsi="Arial" w:cs="Arial"/>
          <w:color w:val="000000"/>
          <w:sz w:val="20"/>
          <w:szCs w:val="20"/>
          <w:shd w:val="clear" w:color="auto" w:fill="FFFFFF"/>
        </w:rPr>
      </w:pPr>
      <w:r w:rsidRPr="00DB15F7">
        <w:rPr>
          <w:rFonts w:ascii="Arial" w:hAnsi="Arial" w:cs="Arial"/>
          <w:color w:val="000000"/>
          <w:sz w:val="20"/>
          <w:szCs w:val="20"/>
          <w:shd w:val="clear" w:color="auto" w:fill="FFFFFF"/>
        </w:rPr>
        <w:t xml:space="preserve">Denúncia. Prejulgado nº 6 TCE/PR. Candidato aprovado para cargo efetivo de Procurador. Nomeação de advogado para cargo em comissão. </w:t>
      </w:r>
    </w:p>
    <w:p w:rsidR="00DB15F7" w:rsidRPr="00DB15F7" w:rsidRDefault="00DB15F7" w:rsidP="00817E46">
      <w:pPr>
        <w:autoSpaceDE w:val="0"/>
        <w:autoSpaceDN w:val="0"/>
        <w:adjustRightInd w:val="0"/>
        <w:spacing w:after="0"/>
        <w:jc w:val="both"/>
        <w:rPr>
          <w:rFonts w:ascii="Arial" w:hAnsi="Arial" w:cs="Arial"/>
          <w:color w:val="000000"/>
          <w:sz w:val="20"/>
          <w:szCs w:val="20"/>
          <w:shd w:val="clear" w:color="auto" w:fill="FFFFFF"/>
        </w:rPr>
      </w:pPr>
    </w:p>
    <w:p w:rsidR="00DB15F7" w:rsidRPr="00DB15F7" w:rsidRDefault="00DB15F7" w:rsidP="00817E46">
      <w:pPr>
        <w:pStyle w:val="PargrafodaLista"/>
        <w:numPr>
          <w:ilvl w:val="0"/>
          <w:numId w:val="14"/>
        </w:numPr>
        <w:tabs>
          <w:tab w:val="left" w:pos="426"/>
        </w:tabs>
        <w:autoSpaceDE w:val="0"/>
        <w:autoSpaceDN w:val="0"/>
        <w:adjustRightInd w:val="0"/>
        <w:spacing w:after="0"/>
        <w:ind w:left="0" w:firstLine="0"/>
        <w:contextualSpacing w:val="0"/>
        <w:jc w:val="both"/>
        <w:rPr>
          <w:rFonts w:ascii="Arial" w:hAnsi="Arial" w:cs="Arial"/>
          <w:color w:val="000000"/>
          <w:sz w:val="20"/>
          <w:szCs w:val="20"/>
          <w:shd w:val="clear" w:color="auto" w:fill="FFFFFF"/>
        </w:rPr>
      </w:pPr>
      <w:r w:rsidRPr="00DB15F7">
        <w:rPr>
          <w:rFonts w:ascii="Arial" w:hAnsi="Arial" w:cs="Arial"/>
          <w:color w:val="000000"/>
          <w:sz w:val="20"/>
          <w:szCs w:val="20"/>
          <w:shd w:val="clear" w:color="auto" w:fill="FFFFFF"/>
        </w:rPr>
        <w:t>Representação da Lei 8.666/93. Licitação. Pregão. Qualificação econômico-financeira. Aplicação da norma geral.</w:t>
      </w:r>
    </w:p>
    <w:p w:rsidR="004429A2" w:rsidRPr="0022060B" w:rsidRDefault="004429A2" w:rsidP="00817E46">
      <w:pPr>
        <w:spacing w:after="0"/>
        <w:jc w:val="both"/>
        <w:rPr>
          <w:rStyle w:val="Hyperlink"/>
          <w:rFonts w:ascii="Arial" w:hAnsi="Arial" w:cs="Arial"/>
          <w:b/>
          <w:color w:val="000000" w:themeColor="text1"/>
          <w:sz w:val="20"/>
          <w:szCs w:val="20"/>
          <w:u w:val="none"/>
        </w:rPr>
      </w:pPr>
    </w:p>
    <w:p w:rsidR="00712A93" w:rsidRPr="0022060B" w:rsidRDefault="00712A93" w:rsidP="00817E46">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7E46">
      <w:pPr>
        <w:autoSpaceDE w:val="0"/>
        <w:autoSpaceDN w:val="0"/>
        <w:adjustRightInd w:val="0"/>
        <w:spacing w:after="0"/>
        <w:jc w:val="both"/>
        <w:rPr>
          <w:rFonts w:ascii="Arial" w:hAnsi="Arial" w:cs="Arial"/>
          <w:sz w:val="20"/>
          <w:szCs w:val="20"/>
        </w:rPr>
      </w:pPr>
    </w:p>
    <w:p w:rsidR="000D5603" w:rsidRPr="005D4618" w:rsidRDefault="00DB15F7" w:rsidP="00817E46">
      <w:pPr>
        <w:spacing w:after="0"/>
        <w:jc w:val="both"/>
        <w:rPr>
          <w:rFonts w:ascii="Arial" w:hAnsi="Arial" w:cs="Arial"/>
          <w:b/>
          <w:sz w:val="20"/>
          <w:szCs w:val="20"/>
        </w:rPr>
      </w:pPr>
      <w:r>
        <w:rPr>
          <w:rFonts w:ascii="Arial" w:hAnsi="Arial" w:cs="Arial"/>
          <w:b/>
          <w:sz w:val="20"/>
          <w:szCs w:val="20"/>
        </w:rPr>
        <w:t xml:space="preserve">1. </w:t>
      </w:r>
      <w:r w:rsidR="000D5603" w:rsidRPr="005D4618">
        <w:rPr>
          <w:rFonts w:ascii="Arial" w:hAnsi="Arial" w:cs="Arial"/>
          <w:b/>
          <w:sz w:val="20"/>
          <w:szCs w:val="20"/>
        </w:rPr>
        <w:t>Prestação de Contas Anual.</w:t>
      </w:r>
      <w:r w:rsidR="000D5603">
        <w:rPr>
          <w:rFonts w:ascii="Arial" w:hAnsi="Arial" w:cs="Arial"/>
          <w:b/>
          <w:sz w:val="20"/>
          <w:szCs w:val="20"/>
        </w:rPr>
        <w:t xml:space="preserve"> </w:t>
      </w:r>
      <w:proofErr w:type="spellStart"/>
      <w:r w:rsidR="000D5603" w:rsidRPr="005D4618">
        <w:rPr>
          <w:rFonts w:ascii="Arial" w:hAnsi="Arial" w:cs="Arial"/>
          <w:b/>
          <w:sz w:val="20"/>
          <w:szCs w:val="20"/>
        </w:rPr>
        <w:t>Subconcessão</w:t>
      </w:r>
      <w:proofErr w:type="spellEnd"/>
      <w:r w:rsidR="000D5603" w:rsidRPr="005D4618">
        <w:rPr>
          <w:rFonts w:ascii="Arial" w:hAnsi="Arial" w:cs="Arial"/>
          <w:b/>
          <w:sz w:val="20"/>
          <w:szCs w:val="20"/>
        </w:rPr>
        <w:t xml:space="preserve">. Ressalva. Terceirização de profissional responsável pelo Controle Interno. Impossibilidade. Inteligência do Prejulgado nº 06/TCE. Pela irregularidade das contas com aplicação de multa ao diretor presidente da entidade. </w:t>
      </w:r>
    </w:p>
    <w:p w:rsidR="00D44357" w:rsidRDefault="00D44357" w:rsidP="00817E46">
      <w:pPr>
        <w:spacing w:after="0"/>
        <w:jc w:val="both"/>
        <w:rPr>
          <w:rFonts w:ascii="Arial" w:hAnsi="Arial" w:cs="Arial"/>
          <w:sz w:val="20"/>
          <w:szCs w:val="20"/>
        </w:rPr>
      </w:pPr>
    </w:p>
    <w:p w:rsidR="000D5603" w:rsidRDefault="000D5603" w:rsidP="00817E46">
      <w:pPr>
        <w:spacing w:after="0"/>
        <w:jc w:val="both"/>
        <w:rPr>
          <w:rFonts w:ascii="Arial" w:hAnsi="Arial" w:cs="Arial"/>
          <w:sz w:val="20"/>
          <w:szCs w:val="20"/>
        </w:rPr>
      </w:pPr>
      <w:r>
        <w:rPr>
          <w:rFonts w:ascii="Arial" w:hAnsi="Arial" w:cs="Arial"/>
          <w:sz w:val="20"/>
          <w:szCs w:val="20"/>
        </w:rPr>
        <w:t>Empresa de economia mista, de saneamento de água e esgoto, transformada em autarquia, efetuou terceirização dos serviços que lhe são inerentes sob a justificativa que estaria fundamentada no art. 26 da Lei Federal nº 8</w:t>
      </w:r>
      <w:r w:rsidR="00722D68">
        <w:rPr>
          <w:rFonts w:ascii="Arial" w:hAnsi="Arial" w:cs="Arial"/>
          <w:sz w:val="20"/>
          <w:szCs w:val="20"/>
        </w:rPr>
        <w:t>.</w:t>
      </w:r>
      <w:r>
        <w:rPr>
          <w:rFonts w:ascii="Arial" w:hAnsi="Arial" w:cs="Arial"/>
          <w:sz w:val="20"/>
          <w:szCs w:val="20"/>
        </w:rPr>
        <w:t xml:space="preserve">987/95 e que também o contrato de concessão permitiria a subcontratação.  Embora não se tenha evidenciado a vantagem de tal </w:t>
      </w:r>
      <w:proofErr w:type="spellStart"/>
      <w:r>
        <w:rPr>
          <w:rFonts w:ascii="Arial" w:hAnsi="Arial" w:cs="Arial"/>
          <w:sz w:val="20"/>
          <w:szCs w:val="20"/>
        </w:rPr>
        <w:t>subconcessão</w:t>
      </w:r>
      <w:proofErr w:type="spellEnd"/>
      <w:r>
        <w:rPr>
          <w:rFonts w:ascii="Arial" w:hAnsi="Arial" w:cs="Arial"/>
          <w:sz w:val="20"/>
          <w:szCs w:val="20"/>
        </w:rPr>
        <w:t xml:space="preserve"> para a entidade, o apontamento foi convertido em ressalva dado que tal </w:t>
      </w:r>
      <w:proofErr w:type="spellStart"/>
      <w:r>
        <w:rPr>
          <w:rFonts w:ascii="Arial" w:hAnsi="Arial" w:cs="Arial"/>
          <w:sz w:val="20"/>
          <w:szCs w:val="20"/>
        </w:rPr>
        <w:t>subconcessão</w:t>
      </w:r>
      <w:proofErr w:type="spellEnd"/>
      <w:r>
        <w:rPr>
          <w:rFonts w:ascii="Arial" w:hAnsi="Arial" w:cs="Arial"/>
          <w:sz w:val="20"/>
          <w:szCs w:val="20"/>
        </w:rPr>
        <w:t xml:space="preserve"> foi realizada em 1997, em muito distante do exercício referente à prestação de contas em questão, do ano de 2009. </w:t>
      </w:r>
    </w:p>
    <w:p w:rsidR="00D44357" w:rsidRDefault="00D44357" w:rsidP="00817E46">
      <w:pPr>
        <w:spacing w:after="0"/>
        <w:jc w:val="both"/>
        <w:rPr>
          <w:rFonts w:ascii="Arial" w:hAnsi="Arial" w:cs="Arial"/>
          <w:sz w:val="20"/>
          <w:szCs w:val="20"/>
        </w:rPr>
      </w:pPr>
    </w:p>
    <w:p w:rsidR="000D5603" w:rsidRDefault="000D5603" w:rsidP="00817E46">
      <w:pPr>
        <w:spacing w:after="0"/>
        <w:jc w:val="both"/>
        <w:rPr>
          <w:rFonts w:ascii="Arial" w:hAnsi="Arial" w:cs="Arial"/>
          <w:sz w:val="20"/>
          <w:szCs w:val="20"/>
        </w:rPr>
      </w:pPr>
      <w:r>
        <w:rPr>
          <w:rFonts w:ascii="Arial" w:hAnsi="Arial" w:cs="Arial"/>
          <w:sz w:val="20"/>
          <w:szCs w:val="20"/>
        </w:rPr>
        <w:t xml:space="preserve">Além deste apontamento, entre vários outros, tem-se também a admissão de profissional terceirizado para o exercício da atividade de Controle Interno. O argumento de que os novos funcionários estariam em estágio probatório e por isso se decidiu pela contratação de profissional com experiência e conhecedor da empresa, não logrou êxito, considerando o Prejulgado nº 06 deste TCE. </w:t>
      </w:r>
    </w:p>
    <w:p w:rsidR="00D44357" w:rsidRDefault="00D44357" w:rsidP="00817E46">
      <w:pPr>
        <w:spacing w:after="0"/>
        <w:jc w:val="both"/>
        <w:rPr>
          <w:rFonts w:ascii="Arial" w:hAnsi="Arial" w:cs="Arial"/>
          <w:sz w:val="20"/>
          <w:szCs w:val="20"/>
        </w:rPr>
      </w:pPr>
    </w:p>
    <w:p w:rsidR="000D5603" w:rsidRDefault="000D5603" w:rsidP="00817E46">
      <w:pPr>
        <w:spacing w:after="0"/>
        <w:jc w:val="both"/>
        <w:rPr>
          <w:rFonts w:ascii="Arial" w:hAnsi="Arial" w:cs="Arial"/>
          <w:sz w:val="20"/>
          <w:szCs w:val="20"/>
        </w:rPr>
      </w:pPr>
      <w:r>
        <w:rPr>
          <w:rFonts w:ascii="Arial" w:hAnsi="Arial" w:cs="Arial"/>
          <w:sz w:val="20"/>
          <w:szCs w:val="20"/>
        </w:rPr>
        <w:t xml:space="preserve">As contas, então, foram julgadas irregulares com aplicação de multa ao Diretor Presidente da entidade. </w:t>
      </w:r>
    </w:p>
    <w:p w:rsidR="00D44357" w:rsidRDefault="00D44357" w:rsidP="00817E46">
      <w:pPr>
        <w:spacing w:after="0"/>
        <w:jc w:val="both"/>
        <w:rPr>
          <w:rFonts w:ascii="Arial" w:hAnsi="Arial" w:cs="Arial"/>
          <w:sz w:val="20"/>
          <w:szCs w:val="20"/>
        </w:rPr>
      </w:pPr>
    </w:p>
    <w:p w:rsidR="000D5603" w:rsidRDefault="000D5603" w:rsidP="00817E46">
      <w:pPr>
        <w:spacing w:after="0"/>
        <w:jc w:val="both"/>
        <w:rPr>
          <w:rFonts w:ascii="Arial" w:hAnsi="Arial" w:cs="Arial"/>
          <w:sz w:val="20"/>
          <w:szCs w:val="20"/>
        </w:rPr>
      </w:pPr>
      <w:r>
        <w:rPr>
          <w:rFonts w:ascii="Arial" w:hAnsi="Arial" w:cs="Arial"/>
          <w:sz w:val="20"/>
          <w:szCs w:val="20"/>
        </w:rPr>
        <w:lastRenderedPageBreak/>
        <w:t xml:space="preserve">Processo nº 251754/10 </w:t>
      </w:r>
      <w:r w:rsidR="00D44357">
        <w:rPr>
          <w:rFonts w:ascii="Arial" w:hAnsi="Arial" w:cs="Arial"/>
          <w:sz w:val="20"/>
          <w:szCs w:val="20"/>
        </w:rPr>
        <w:t>-</w:t>
      </w:r>
      <w:r>
        <w:rPr>
          <w:rFonts w:ascii="Arial" w:hAnsi="Arial" w:cs="Arial"/>
          <w:sz w:val="20"/>
          <w:szCs w:val="20"/>
        </w:rPr>
        <w:t xml:space="preserve"> </w:t>
      </w:r>
      <w:hyperlink r:id="rId8" w:history="1">
        <w:r w:rsidRPr="00C96301">
          <w:rPr>
            <w:rStyle w:val="Hyperlink"/>
            <w:rFonts w:ascii="Arial" w:hAnsi="Arial" w:cs="Arial"/>
            <w:sz w:val="20"/>
            <w:szCs w:val="20"/>
          </w:rPr>
          <w:t>Acórdão nº 4241/17</w:t>
        </w:r>
        <w:r w:rsidR="00D44357">
          <w:rPr>
            <w:rStyle w:val="Hyperlink"/>
            <w:rFonts w:ascii="Arial" w:hAnsi="Arial" w:cs="Arial"/>
            <w:sz w:val="20"/>
            <w:szCs w:val="20"/>
          </w:rPr>
          <w:t xml:space="preserve"> </w:t>
        </w:r>
        <w:r w:rsidRPr="00C96301">
          <w:rPr>
            <w:rStyle w:val="Hyperlink"/>
            <w:rFonts w:ascii="Arial" w:hAnsi="Arial" w:cs="Arial"/>
            <w:sz w:val="20"/>
            <w:szCs w:val="20"/>
          </w:rPr>
          <w:t>-</w:t>
        </w:r>
        <w:r w:rsidR="00D44357">
          <w:rPr>
            <w:rStyle w:val="Hyperlink"/>
            <w:rFonts w:ascii="Arial" w:hAnsi="Arial" w:cs="Arial"/>
            <w:sz w:val="20"/>
            <w:szCs w:val="20"/>
          </w:rPr>
          <w:t xml:space="preserve"> </w:t>
        </w:r>
        <w:r w:rsidRPr="00C96301">
          <w:rPr>
            <w:rStyle w:val="Hyperlink"/>
            <w:rFonts w:ascii="Arial" w:hAnsi="Arial" w:cs="Arial"/>
            <w:sz w:val="20"/>
            <w:szCs w:val="20"/>
          </w:rPr>
          <w:t>Primeira Câmara</w:t>
        </w:r>
      </w:hyperlink>
      <w:r>
        <w:rPr>
          <w:rFonts w:ascii="Arial" w:hAnsi="Arial" w:cs="Arial"/>
          <w:sz w:val="20"/>
          <w:szCs w:val="20"/>
        </w:rPr>
        <w:t xml:space="preserve"> </w:t>
      </w:r>
      <w:r w:rsidR="00D44357">
        <w:rPr>
          <w:rFonts w:ascii="Arial" w:hAnsi="Arial" w:cs="Arial"/>
          <w:sz w:val="20"/>
          <w:szCs w:val="20"/>
        </w:rPr>
        <w:t>-</w:t>
      </w:r>
      <w:r>
        <w:rPr>
          <w:rFonts w:ascii="Arial" w:hAnsi="Arial" w:cs="Arial"/>
          <w:sz w:val="20"/>
          <w:szCs w:val="20"/>
        </w:rPr>
        <w:t xml:space="preserve"> Rel. Conselheiro Fernando Augusto Mello Guimarães. </w:t>
      </w:r>
    </w:p>
    <w:p w:rsidR="000D5603" w:rsidRDefault="000D5603" w:rsidP="00817E46">
      <w:pPr>
        <w:spacing w:after="0"/>
        <w:jc w:val="both"/>
        <w:rPr>
          <w:rFonts w:ascii="Arial" w:hAnsi="Arial" w:cs="Arial"/>
          <w:sz w:val="20"/>
          <w:szCs w:val="20"/>
        </w:rPr>
      </w:pPr>
    </w:p>
    <w:p w:rsidR="000D5603" w:rsidRDefault="00DB15F7" w:rsidP="00817E46">
      <w:pPr>
        <w:spacing w:after="0"/>
        <w:jc w:val="both"/>
        <w:rPr>
          <w:rFonts w:ascii="Arial" w:hAnsi="Arial" w:cs="Arial"/>
          <w:b/>
          <w:sz w:val="20"/>
          <w:szCs w:val="20"/>
        </w:rPr>
      </w:pPr>
      <w:r>
        <w:rPr>
          <w:rFonts w:ascii="Arial" w:hAnsi="Arial" w:cs="Arial"/>
          <w:b/>
          <w:sz w:val="20"/>
          <w:szCs w:val="20"/>
        </w:rPr>
        <w:t xml:space="preserve">2. </w:t>
      </w:r>
      <w:r w:rsidR="000D5603" w:rsidRPr="005D4618">
        <w:rPr>
          <w:rFonts w:ascii="Arial" w:hAnsi="Arial" w:cs="Arial"/>
          <w:b/>
          <w:sz w:val="20"/>
          <w:szCs w:val="20"/>
        </w:rPr>
        <w:t xml:space="preserve">Prestação de contas de prefeito municipal. Ausência de comprovação de regularidade previdenciária no MPS. Emissão de Parecer Prévio pela irregularidade das contas com imputação de multa ao gestor. </w:t>
      </w:r>
    </w:p>
    <w:p w:rsidR="00DB15F7" w:rsidRDefault="00DB15F7" w:rsidP="00817E46">
      <w:pPr>
        <w:spacing w:after="0"/>
        <w:jc w:val="both"/>
        <w:rPr>
          <w:rFonts w:ascii="Arial" w:hAnsi="Arial" w:cs="Arial"/>
          <w:sz w:val="20"/>
          <w:szCs w:val="20"/>
        </w:rPr>
      </w:pPr>
    </w:p>
    <w:p w:rsidR="000D5603" w:rsidRDefault="000D5603" w:rsidP="00817E46">
      <w:pPr>
        <w:spacing w:after="0"/>
        <w:jc w:val="both"/>
        <w:rPr>
          <w:rFonts w:ascii="Arial" w:hAnsi="Arial" w:cs="Arial"/>
          <w:sz w:val="20"/>
          <w:szCs w:val="20"/>
        </w:rPr>
      </w:pPr>
      <w:r>
        <w:rPr>
          <w:rFonts w:ascii="Arial" w:hAnsi="Arial" w:cs="Arial"/>
          <w:sz w:val="20"/>
          <w:szCs w:val="20"/>
        </w:rPr>
        <w:t xml:space="preserve">Entre os apontamentos efetuados em análise de prestação de contas anual municipal, alguns foram convertidos em ressalva. Contudo, no que </w:t>
      </w:r>
      <w:proofErr w:type="spellStart"/>
      <w:r>
        <w:rPr>
          <w:rFonts w:ascii="Arial" w:hAnsi="Arial" w:cs="Arial"/>
          <w:sz w:val="20"/>
          <w:szCs w:val="20"/>
        </w:rPr>
        <w:t>pertine</w:t>
      </w:r>
      <w:proofErr w:type="spellEnd"/>
      <w:r>
        <w:rPr>
          <w:rFonts w:ascii="Arial" w:hAnsi="Arial" w:cs="Arial"/>
          <w:sz w:val="20"/>
          <w:szCs w:val="20"/>
        </w:rPr>
        <w:t xml:space="preserve"> à comprovação de regularidade previdenciária no Ministério da Previdência Social, o apontamento foi mantido. </w:t>
      </w:r>
    </w:p>
    <w:p w:rsidR="00817E46" w:rsidRDefault="00817E46" w:rsidP="00817E46">
      <w:pPr>
        <w:spacing w:after="0"/>
        <w:jc w:val="both"/>
        <w:rPr>
          <w:rFonts w:ascii="Arial" w:hAnsi="Arial" w:cs="Arial"/>
          <w:sz w:val="20"/>
          <w:szCs w:val="20"/>
        </w:rPr>
      </w:pPr>
    </w:p>
    <w:p w:rsidR="000D5603" w:rsidRDefault="000D5603" w:rsidP="00817E46">
      <w:pPr>
        <w:spacing w:after="0"/>
        <w:jc w:val="both"/>
        <w:rPr>
          <w:rFonts w:ascii="Arial" w:hAnsi="Arial" w:cs="Arial"/>
          <w:sz w:val="20"/>
          <w:szCs w:val="20"/>
        </w:rPr>
      </w:pPr>
      <w:r>
        <w:rPr>
          <w:rFonts w:ascii="Arial" w:hAnsi="Arial" w:cs="Arial"/>
          <w:sz w:val="20"/>
          <w:szCs w:val="20"/>
        </w:rPr>
        <w:t xml:space="preserve"> É obrigatória a estruturação dos regimes próprios de previdência da União, Estados e Municípios, observadas as normas gerais de contabilidade e auditoria. Os critérios de cumprimento das exigências dessa lei pela Administração são atestados pelo certificado de Regularidade Previdenciária, concedido pelo Ministério da Previdência e Assistência Social e criado pelo Decreto Federal nº 3788/01. Esse documento faz parte do rol de obrigações dos jurisdicionados. </w:t>
      </w:r>
    </w:p>
    <w:p w:rsidR="00817E46" w:rsidRDefault="00817E46" w:rsidP="00817E46">
      <w:pPr>
        <w:spacing w:after="0"/>
        <w:jc w:val="both"/>
        <w:rPr>
          <w:rFonts w:ascii="Arial" w:hAnsi="Arial" w:cs="Arial"/>
          <w:sz w:val="20"/>
          <w:szCs w:val="20"/>
        </w:rPr>
      </w:pPr>
    </w:p>
    <w:p w:rsidR="000D5603" w:rsidRDefault="000D5603" w:rsidP="00817E46">
      <w:pPr>
        <w:spacing w:after="0"/>
        <w:jc w:val="both"/>
        <w:rPr>
          <w:rFonts w:ascii="Arial" w:hAnsi="Arial" w:cs="Arial"/>
          <w:sz w:val="20"/>
          <w:szCs w:val="20"/>
        </w:rPr>
      </w:pPr>
      <w:r>
        <w:rPr>
          <w:rFonts w:ascii="Arial" w:hAnsi="Arial" w:cs="Arial"/>
          <w:sz w:val="20"/>
          <w:szCs w:val="20"/>
        </w:rPr>
        <w:t xml:space="preserve">Visto que o Município não comprovou a regularidade para com o Ministério da Previdência Social, foi emitido Parecer Prévio recomendando </w:t>
      </w:r>
      <w:proofErr w:type="gramStart"/>
      <w:r>
        <w:rPr>
          <w:rFonts w:ascii="Arial" w:hAnsi="Arial" w:cs="Arial"/>
          <w:sz w:val="20"/>
          <w:szCs w:val="20"/>
        </w:rPr>
        <w:t>a  irregularidade</w:t>
      </w:r>
      <w:proofErr w:type="gramEnd"/>
      <w:r>
        <w:rPr>
          <w:rFonts w:ascii="Arial" w:hAnsi="Arial" w:cs="Arial"/>
          <w:sz w:val="20"/>
          <w:szCs w:val="20"/>
        </w:rPr>
        <w:t xml:space="preserve"> das contas. </w:t>
      </w:r>
    </w:p>
    <w:p w:rsidR="00817E46" w:rsidRDefault="00817E46" w:rsidP="00817E46">
      <w:pPr>
        <w:spacing w:after="0"/>
        <w:jc w:val="both"/>
        <w:rPr>
          <w:rFonts w:ascii="Arial" w:hAnsi="Arial" w:cs="Arial"/>
          <w:sz w:val="20"/>
          <w:szCs w:val="20"/>
        </w:rPr>
      </w:pPr>
    </w:p>
    <w:p w:rsidR="000D5603" w:rsidRDefault="000D5603" w:rsidP="00817E46">
      <w:pPr>
        <w:spacing w:after="0"/>
        <w:jc w:val="both"/>
        <w:rPr>
          <w:rFonts w:ascii="Arial" w:hAnsi="Arial" w:cs="Arial"/>
          <w:sz w:val="20"/>
          <w:szCs w:val="20"/>
        </w:rPr>
      </w:pPr>
      <w:r>
        <w:rPr>
          <w:rFonts w:ascii="Arial" w:hAnsi="Arial" w:cs="Arial"/>
          <w:sz w:val="20"/>
          <w:szCs w:val="20"/>
        </w:rPr>
        <w:t xml:space="preserve">Foi, ainda, imposta a multa administrativa prevista no art. 87, § 4º, da Lei Complementar Estadual nº 113/05, ao gestor, em razão da irregularidade das contas. </w:t>
      </w:r>
    </w:p>
    <w:p w:rsidR="00817E46" w:rsidRPr="001A4C0B" w:rsidRDefault="00817E46" w:rsidP="00817E46">
      <w:pPr>
        <w:spacing w:after="0"/>
        <w:jc w:val="both"/>
        <w:rPr>
          <w:rFonts w:ascii="Arial" w:hAnsi="Arial" w:cs="Arial"/>
          <w:sz w:val="20"/>
          <w:szCs w:val="20"/>
        </w:rPr>
      </w:pPr>
    </w:p>
    <w:p w:rsidR="000D5603" w:rsidRDefault="000D5603" w:rsidP="00817E46">
      <w:pPr>
        <w:spacing w:after="0"/>
        <w:jc w:val="both"/>
        <w:rPr>
          <w:rFonts w:ascii="Arial" w:hAnsi="Arial" w:cs="Arial"/>
          <w:sz w:val="20"/>
          <w:szCs w:val="20"/>
        </w:rPr>
      </w:pPr>
      <w:r>
        <w:rPr>
          <w:rFonts w:ascii="Arial" w:hAnsi="Arial" w:cs="Arial"/>
          <w:sz w:val="20"/>
          <w:szCs w:val="20"/>
        </w:rPr>
        <w:t xml:space="preserve">Processo nº 253090/15 </w:t>
      </w:r>
      <w:r w:rsidR="00D44357">
        <w:rPr>
          <w:rFonts w:ascii="Arial" w:hAnsi="Arial" w:cs="Arial"/>
          <w:sz w:val="20"/>
          <w:szCs w:val="20"/>
        </w:rPr>
        <w:t>-</w:t>
      </w:r>
      <w:r>
        <w:rPr>
          <w:rFonts w:ascii="Arial" w:hAnsi="Arial" w:cs="Arial"/>
          <w:sz w:val="20"/>
          <w:szCs w:val="20"/>
        </w:rPr>
        <w:t xml:space="preserve"> </w:t>
      </w:r>
      <w:hyperlink r:id="rId9" w:history="1">
        <w:r w:rsidRPr="005B66DA">
          <w:rPr>
            <w:rStyle w:val="Hyperlink"/>
            <w:rFonts w:ascii="Arial" w:hAnsi="Arial" w:cs="Arial"/>
            <w:sz w:val="20"/>
            <w:szCs w:val="20"/>
          </w:rPr>
          <w:t>Acórdão de Parecer Prévio nº 498/17</w:t>
        </w:r>
        <w:r w:rsidR="00D44357">
          <w:rPr>
            <w:rStyle w:val="Hyperlink"/>
            <w:rFonts w:ascii="Arial" w:hAnsi="Arial" w:cs="Arial"/>
            <w:sz w:val="20"/>
            <w:szCs w:val="20"/>
          </w:rPr>
          <w:t xml:space="preserve"> </w:t>
        </w:r>
        <w:r w:rsidRPr="005B66DA">
          <w:rPr>
            <w:rStyle w:val="Hyperlink"/>
            <w:rFonts w:ascii="Arial" w:hAnsi="Arial" w:cs="Arial"/>
            <w:sz w:val="20"/>
            <w:szCs w:val="20"/>
          </w:rPr>
          <w:t>-</w:t>
        </w:r>
        <w:r w:rsidR="00D44357">
          <w:rPr>
            <w:rStyle w:val="Hyperlink"/>
            <w:rFonts w:ascii="Arial" w:hAnsi="Arial" w:cs="Arial"/>
            <w:sz w:val="20"/>
            <w:szCs w:val="20"/>
          </w:rPr>
          <w:t xml:space="preserve"> </w:t>
        </w:r>
        <w:r w:rsidRPr="005B66DA">
          <w:rPr>
            <w:rStyle w:val="Hyperlink"/>
            <w:rFonts w:ascii="Arial" w:hAnsi="Arial" w:cs="Arial"/>
            <w:sz w:val="20"/>
            <w:szCs w:val="20"/>
          </w:rPr>
          <w:t>Primeira Câmara</w:t>
        </w:r>
      </w:hyperlink>
      <w:r>
        <w:rPr>
          <w:rFonts w:ascii="Arial" w:hAnsi="Arial" w:cs="Arial"/>
          <w:sz w:val="20"/>
          <w:szCs w:val="20"/>
        </w:rPr>
        <w:t xml:space="preserve"> </w:t>
      </w:r>
      <w:r w:rsidR="00D44357">
        <w:rPr>
          <w:rFonts w:ascii="Arial" w:hAnsi="Arial" w:cs="Arial"/>
          <w:sz w:val="20"/>
          <w:szCs w:val="20"/>
        </w:rPr>
        <w:t>-</w:t>
      </w:r>
      <w:r>
        <w:rPr>
          <w:rFonts w:ascii="Arial" w:hAnsi="Arial" w:cs="Arial"/>
          <w:sz w:val="20"/>
          <w:szCs w:val="20"/>
        </w:rPr>
        <w:t xml:space="preserve"> Rel. Conselheiro Nestor Baptista.  </w:t>
      </w:r>
    </w:p>
    <w:p w:rsidR="00817E46" w:rsidRDefault="00817E46" w:rsidP="00817E46">
      <w:pPr>
        <w:spacing w:after="0"/>
        <w:jc w:val="both"/>
        <w:rPr>
          <w:rFonts w:ascii="Arial" w:hAnsi="Arial" w:cs="Arial"/>
          <w:sz w:val="20"/>
          <w:szCs w:val="20"/>
        </w:rPr>
      </w:pPr>
    </w:p>
    <w:p w:rsidR="00EC3842" w:rsidRPr="0022060B" w:rsidRDefault="00EC3842" w:rsidP="00817E46">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Pr="004B45C6" w:rsidRDefault="00785DB0" w:rsidP="00817E46">
      <w:pPr>
        <w:autoSpaceDE w:val="0"/>
        <w:autoSpaceDN w:val="0"/>
        <w:adjustRightInd w:val="0"/>
        <w:spacing w:after="0"/>
        <w:rPr>
          <w:rFonts w:ascii="Arial" w:hAnsi="Arial" w:cs="Arial"/>
          <w:sz w:val="20"/>
          <w:szCs w:val="20"/>
        </w:rPr>
      </w:pPr>
    </w:p>
    <w:p w:rsidR="004429A2" w:rsidRPr="004B45C6" w:rsidRDefault="00DB15F7" w:rsidP="00817E46">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B03CDF" w:rsidRPr="004B45C6">
        <w:rPr>
          <w:rFonts w:ascii="Arial" w:hAnsi="Arial" w:cs="Arial"/>
          <w:b/>
          <w:sz w:val="20"/>
          <w:szCs w:val="20"/>
        </w:rPr>
        <w:t>Tomada de contas extraordinária. Utilização de combustível destinado a veículos oficias para abastecimento de veículos particulares. Irregularidade das contas. Condenação solidária de ressarcimento ao erário.</w:t>
      </w:r>
    </w:p>
    <w:p w:rsidR="00B03CDF" w:rsidRPr="004B45C6" w:rsidRDefault="00B03CDF" w:rsidP="00817E46">
      <w:pPr>
        <w:autoSpaceDE w:val="0"/>
        <w:autoSpaceDN w:val="0"/>
        <w:adjustRightInd w:val="0"/>
        <w:spacing w:after="0"/>
        <w:jc w:val="both"/>
        <w:rPr>
          <w:rFonts w:ascii="Arial" w:hAnsi="Arial" w:cs="Arial"/>
          <w:b/>
          <w:sz w:val="20"/>
          <w:szCs w:val="20"/>
        </w:rPr>
      </w:pPr>
    </w:p>
    <w:p w:rsidR="004429A2" w:rsidRPr="004B45C6" w:rsidRDefault="006D158F" w:rsidP="00817E46">
      <w:pPr>
        <w:autoSpaceDE w:val="0"/>
        <w:autoSpaceDN w:val="0"/>
        <w:adjustRightInd w:val="0"/>
        <w:spacing w:after="0"/>
        <w:jc w:val="both"/>
        <w:rPr>
          <w:rFonts w:ascii="Arial" w:hAnsi="Arial" w:cs="Arial"/>
          <w:sz w:val="20"/>
          <w:szCs w:val="20"/>
        </w:rPr>
      </w:pPr>
      <w:r w:rsidRPr="004B45C6">
        <w:rPr>
          <w:rFonts w:ascii="Arial" w:hAnsi="Arial" w:cs="Arial"/>
          <w:sz w:val="20"/>
          <w:szCs w:val="20"/>
        </w:rPr>
        <w:t>Ressalte-se que mediante a análise das requisições de compra de combustível feita no setor de compras e licitações municipal, a equipe de auditoria verificou a compra de gasolina destinada a veículos movidos a óleo diesel e veículos descritos no inventário de bens móveis municipa</w:t>
      </w:r>
      <w:r w:rsidR="009B256A">
        <w:rPr>
          <w:rFonts w:ascii="Arial" w:hAnsi="Arial" w:cs="Arial"/>
          <w:sz w:val="20"/>
          <w:szCs w:val="20"/>
        </w:rPr>
        <w:t>is</w:t>
      </w:r>
      <w:r w:rsidRPr="004B45C6">
        <w:rPr>
          <w:rFonts w:ascii="Arial" w:hAnsi="Arial" w:cs="Arial"/>
          <w:sz w:val="20"/>
          <w:szCs w:val="20"/>
        </w:rPr>
        <w:t xml:space="preserve"> como sucata. Ainda, as requisições não eram numeradas, nem indicavam a quilometragem e diversas destas foram dadas como perdidas em razão de cupins e enchente. Fatos que reforçam que o combustível pago pelo Município era utilizado de forma irregular.</w:t>
      </w:r>
    </w:p>
    <w:p w:rsidR="006D158F" w:rsidRPr="004B45C6" w:rsidRDefault="006D158F" w:rsidP="00817E46">
      <w:pPr>
        <w:autoSpaceDE w:val="0"/>
        <w:autoSpaceDN w:val="0"/>
        <w:adjustRightInd w:val="0"/>
        <w:spacing w:after="0"/>
        <w:jc w:val="both"/>
        <w:rPr>
          <w:rFonts w:ascii="Arial" w:hAnsi="Arial" w:cs="Arial"/>
          <w:sz w:val="20"/>
          <w:szCs w:val="20"/>
        </w:rPr>
      </w:pPr>
    </w:p>
    <w:p w:rsidR="004B45C6" w:rsidRDefault="006D158F" w:rsidP="00817E46">
      <w:pPr>
        <w:autoSpaceDE w:val="0"/>
        <w:autoSpaceDN w:val="0"/>
        <w:adjustRightInd w:val="0"/>
        <w:spacing w:after="0"/>
        <w:jc w:val="both"/>
        <w:rPr>
          <w:rFonts w:ascii="Arial" w:hAnsi="Arial" w:cs="Arial"/>
          <w:sz w:val="20"/>
          <w:szCs w:val="20"/>
        </w:rPr>
      </w:pPr>
      <w:r w:rsidRPr="004B45C6">
        <w:rPr>
          <w:rFonts w:ascii="Arial" w:hAnsi="Arial" w:cs="Arial"/>
          <w:sz w:val="20"/>
          <w:szCs w:val="20"/>
        </w:rPr>
        <w:t xml:space="preserve">Processo n° 231216/04 - </w:t>
      </w:r>
      <w:hyperlink r:id="rId10" w:history="1">
        <w:r w:rsidRPr="004B45C6">
          <w:rPr>
            <w:rStyle w:val="Hyperlink"/>
            <w:rFonts w:ascii="Arial" w:hAnsi="Arial" w:cs="Arial"/>
            <w:sz w:val="20"/>
            <w:szCs w:val="20"/>
          </w:rPr>
          <w:t>Acórdão n° 4294/17 - Segunda Câmara</w:t>
        </w:r>
      </w:hyperlink>
      <w:r w:rsidRPr="004B45C6">
        <w:rPr>
          <w:rFonts w:ascii="Arial" w:hAnsi="Arial" w:cs="Arial"/>
          <w:sz w:val="20"/>
          <w:szCs w:val="20"/>
        </w:rPr>
        <w:t xml:space="preserve"> - Rel. Auditor Cláudio Augusto Canha.</w:t>
      </w:r>
    </w:p>
    <w:p w:rsidR="004D3A92" w:rsidRPr="00DE68B6" w:rsidRDefault="00DB15F7" w:rsidP="00817E46">
      <w:pPr>
        <w:spacing w:after="0"/>
        <w:jc w:val="both"/>
        <w:rPr>
          <w:rFonts w:ascii="Arial" w:hAnsi="Arial" w:cs="Arial"/>
          <w:b/>
          <w:sz w:val="20"/>
          <w:szCs w:val="20"/>
        </w:rPr>
      </w:pPr>
      <w:r>
        <w:rPr>
          <w:rFonts w:ascii="Arial" w:hAnsi="Arial" w:cs="Arial"/>
          <w:b/>
          <w:sz w:val="20"/>
          <w:szCs w:val="20"/>
        </w:rPr>
        <w:lastRenderedPageBreak/>
        <w:t xml:space="preserve">4. </w:t>
      </w:r>
      <w:r w:rsidR="004D3A92" w:rsidRPr="00DE68B6">
        <w:rPr>
          <w:rFonts w:ascii="Arial" w:hAnsi="Arial" w:cs="Arial"/>
          <w:b/>
          <w:sz w:val="20"/>
          <w:szCs w:val="20"/>
        </w:rPr>
        <w:t xml:space="preserve">Admissão de pessoal. Inocorrência de prescrição ou decadência. Candidata aprovada que possui vínculo de parentesco com o Prefeito Municipal. Violação aos </w:t>
      </w:r>
      <w:r w:rsidR="004D3A92">
        <w:rPr>
          <w:rFonts w:ascii="Arial" w:hAnsi="Arial" w:cs="Arial"/>
          <w:b/>
          <w:sz w:val="20"/>
          <w:szCs w:val="20"/>
        </w:rPr>
        <w:t>p</w:t>
      </w:r>
      <w:r w:rsidR="004D3A92" w:rsidRPr="00DE68B6">
        <w:rPr>
          <w:rFonts w:ascii="Arial" w:hAnsi="Arial" w:cs="Arial"/>
          <w:b/>
          <w:sz w:val="20"/>
          <w:szCs w:val="20"/>
        </w:rPr>
        <w:t xml:space="preserve">rincípios da impessoalidade, isonomia e </w:t>
      </w:r>
      <w:r w:rsidR="004D3A92">
        <w:rPr>
          <w:rFonts w:ascii="Arial" w:hAnsi="Arial" w:cs="Arial"/>
          <w:b/>
          <w:sz w:val="20"/>
          <w:szCs w:val="20"/>
        </w:rPr>
        <w:t>moralidade. Negativa de registro</w:t>
      </w:r>
      <w:r w:rsidR="004D3A92" w:rsidRPr="00DE68B6">
        <w:rPr>
          <w:rFonts w:ascii="Arial" w:hAnsi="Arial" w:cs="Arial"/>
          <w:b/>
          <w:sz w:val="20"/>
          <w:szCs w:val="20"/>
        </w:rPr>
        <w:t xml:space="preserve"> com aplicação de multa ao gestor e abertura de tomada de contas extraordinária. </w:t>
      </w:r>
    </w:p>
    <w:p w:rsidR="004D3A92" w:rsidRDefault="004D3A92" w:rsidP="00817E46">
      <w:pPr>
        <w:spacing w:after="0"/>
        <w:jc w:val="both"/>
        <w:rPr>
          <w:rFonts w:ascii="Arial" w:hAnsi="Arial" w:cs="Arial"/>
          <w:sz w:val="20"/>
          <w:szCs w:val="20"/>
        </w:rPr>
      </w:pPr>
    </w:p>
    <w:p w:rsidR="004D3A92" w:rsidRDefault="004D3A92" w:rsidP="00817E46">
      <w:pPr>
        <w:spacing w:after="0"/>
        <w:jc w:val="both"/>
        <w:rPr>
          <w:rFonts w:ascii="Arial" w:hAnsi="Arial" w:cs="Arial"/>
          <w:sz w:val="20"/>
          <w:szCs w:val="20"/>
        </w:rPr>
      </w:pPr>
      <w:r>
        <w:rPr>
          <w:rFonts w:ascii="Arial" w:hAnsi="Arial" w:cs="Arial"/>
          <w:sz w:val="20"/>
          <w:szCs w:val="20"/>
        </w:rPr>
        <w:t xml:space="preserve">A questão fulcral no processo de prestação de contas de admissão de pessoal diz respeito ao parentesco entre a candidata aprovada no concurso público e o Prefeito à época. </w:t>
      </w:r>
    </w:p>
    <w:p w:rsidR="00AD696C" w:rsidRDefault="00AD696C" w:rsidP="00817E46">
      <w:pPr>
        <w:spacing w:after="0"/>
        <w:jc w:val="both"/>
        <w:rPr>
          <w:rFonts w:ascii="Arial" w:hAnsi="Arial" w:cs="Arial"/>
          <w:sz w:val="20"/>
          <w:szCs w:val="20"/>
        </w:rPr>
      </w:pPr>
    </w:p>
    <w:p w:rsidR="004D3A92" w:rsidRDefault="004D3A92" w:rsidP="00817E46">
      <w:pPr>
        <w:spacing w:after="0"/>
        <w:jc w:val="both"/>
        <w:rPr>
          <w:rFonts w:ascii="Arial" w:hAnsi="Arial" w:cs="Arial"/>
          <w:sz w:val="20"/>
          <w:szCs w:val="20"/>
        </w:rPr>
      </w:pPr>
      <w:r>
        <w:rPr>
          <w:rFonts w:ascii="Arial" w:hAnsi="Arial" w:cs="Arial"/>
          <w:sz w:val="20"/>
          <w:szCs w:val="20"/>
        </w:rPr>
        <w:t>Ao tomar conhecimento de que parente próximo, no caso, cunhada, planejava concorrer ao cargo público, o gestor deveria ter se declarado impedido e retirar-se da condução do concurso, a fim de que os atos fossem realizados por autoridade absolutamente imparcial. Desta forma entendeu o Relator do julgado, trazendo à lume, inclusive, vários precedentes da</w:t>
      </w:r>
      <w:r w:rsidR="00AD696C">
        <w:rPr>
          <w:rFonts w:ascii="Arial" w:hAnsi="Arial" w:cs="Arial"/>
          <w:sz w:val="20"/>
          <w:szCs w:val="20"/>
        </w:rPr>
        <w:t xml:space="preserve"> Primeira </w:t>
      </w:r>
      <w:r>
        <w:rPr>
          <w:rFonts w:ascii="Arial" w:hAnsi="Arial" w:cs="Arial"/>
          <w:sz w:val="20"/>
          <w:szCs w:val="20"/>
        </w:rPr>
        <w:t xml:space="preserve">Câmara deste Tribunal. </w:t>
      </w:r>
    </w:p>
    <w:p w:rsidR="00AD696C" w:rsidRDefault="00AD696C" w:rsidP="00817E46">
      <w:pPr>
        <w:spacing w:after="0"/>
        <w:jc w:val="both"/>
        <w:rPr>
          <w:rFonts w:ascii="Arial" w:hAnsi="Arial" w:cs="Arial"/>
          <w:sz w:val="20"/>
          <w:szCs w:val="20"/>
        </w:rPr>
      </w:pPr>
    </w:p>
    <w:p w:rsidR="004D3A92" w:rsidRDefault="004D3A92" w:rsidP="00817E46">
      <w:pPr>
        <w:spacing w:after="0"/>
        <w:jc w:val="both"/>
        <w:rPr>
          <w:rFonts w:ascii="Arial" w:hAnsi="Arial" w:cs="Arial"/>
          <w:sz w:val="20"/>
          <w:szCs w:val="20"/>
        </w:rPr>
      </w:pPr>
      <w:r>
        <w:rPr>
          <w:rFonts w:ascii="Arial" w:hAnsi="Arial" w:cs="Arial"/>
          <w:sz w:val="20"/>
          <w:szCs w:val="20"/>
        </w:rPr>
        <w:t xml:space="preserve">Reforça a reprovabilidade da conduta do gestor o fato de mesmo diante da recomendação da unidade de Controle Interno do Município para a realização de procedimento licitatório na modalidade Tomada de Preços, optou pela dispensa de licitação para a contratação da empresa responsável pelo concurso público. </w:t>
      </w:r>
    </w:p>
    <w:p w:rsidR="00AD696C" w:rsidRDefault="00AD696C" w:rsidP="00817E46">
      <w:pPr>
        <w:spacing w:after="0"/>
        <w:jc w:val="both"/>
        <w:rPr>
          <w:rFonts w:ascii="Arial" w:hAnsi="Arial" w:cs="Arial"/>
          <w:sz w:val="20"/>
          <w:szCs w:val="20"/>
        </w:rPr>
      </w:pPr>
    </w:p>
    <w:p w:rsidR="004D3A92" w:rsidRDefault="004D3A92" w:rsidP="00817E46">
      <w:pPr>
        <w:spacing w:after="0"/>
        <w:jc w:val="both"/>
        <w:rPr>
          <w:rFonts w:ascii="Arial" w:hAnsi="Arial" w:cs="Arial"/>
          <w:sz w:val="20"/>
          <w:szCs w:val="20"/>
        </w:rPr>
      </w:pPr>
      <w:r>
        <w:rPr>
          <w:rFonts w:ascii="Arial" w:hAnsi="Arial" w:cs="Arial"/>
          <w:sz w:val="20"/>
          <w:szCs w:val="20"/>
        </w:rPr>
        <w:t xml:space="preserve">O Colegiado, portanto, negou registro ao ato de admissão da servidora e aplicou ao então gestor, a multa administrativa prevista no art. 87, IV, “b”, da Lei Complementar Estadual nº 113/2005.  </w:t>
      </w:r>
    </w:p>
    <w:p w:rsidR="004D3A92" w:rsidRDefault="004D3A92" w:rsidP="00817E46">
      <w:pPr>
        <w:spacing w:after="0"/>
        <w:jc w:val="both"/>
        <w:rPr>
          <w:rFonts w:ascii="Arial" w:hAnsi="Arial" w:cs="Arial"/>
          <w:sz w:val="20"/>
          <w:szCs w:val="20"/>
        </w:rPr>
      </w:pPr>
    </w:p>
    <w:p w:rsidR="004D3A92" w:rsidRDefault="004D3A92" w:rsidP="00817E46">
      <w:pPr>
        <w:spacing w:after="0"/>
        <w:jc w:val="both"/>
        <w:rPr>
          <w:rFonts w:ascii="Arial" w:hAnsi="Arial" w:cs="Arial"/>
          <w:sz w:val="20"/>
          <w:szCs w:val="20"/>
        </w:rPr>
      </w:pPr>
      <w:r>
        <w:rPr>
          <w:rFonts w:ascii="Arial" w:hAnsi="Arial" w:cs="Arial"/>
          <w:sz w:val="20"/>
          <w:szCs w:val="20"/>
        </w:rPr>
        <w:t xml:space="preserve">Processo nº 137258/12 - </w:t>
      </w:r>
      <w:hyperlink r:id="rId11" w:history="1">
        <w:r w:rsidRPr="005B66DA">
          <w:rPr>
            <w:rStyle w:val="Hyperlink"/>
            <w:rFonts w:ascii="Arial" w:hAnsi="Arial" w:cs="Arial"/>
            <w:sz w:val="20"/>
            <w:szCs w:val="20"/>
          </w:rPr>
          <w:t>Acórdão nº 4341/17</w:t>
        </w:r>
        <w:r>
          <w:rPr>
            <w:rStyle w:val="Hyperlink"/>
            <w:rFonts w:ascii="Arial" w:hAnsi="Arial" w:cs="Arial"/>
            <w:sz w:val="20"/>
            <w:szCs w:val="20"/>
          </w:rPr>
          <w:t xml:space="preserve"> </w:t>
        </w:r>
        <w:r w:rsidRPr="005B66DA">
          <w:rPr>
            <w:rStyle w:val="Hyperlink"/>
            <w:rFonts w:ascii="Arial" w:hAnsi="Arial" w:cs="Arial"/>
            <w:sz w:val="20"/>
            <w:szCs w:val="20"/>
          </w:rPr>
          <w:t>-</w:t>
        </w:r>
        <w:r>
          <w:rPr>
            <w:rStyle w:val="Hyperlink"/>
            <w:rFonts w:ascii="Arial" w:hAnsi="Arial" w:cs="Arial"/>
            <w:sz w:val="20"/>
            <w:szCs w:val="20"/>
          </w:rPr>
          <w:t xml:space="preserve"> </w:t>
        </w:r>
        <w:r w:rsidRPr="005B66DA">
          <w:rPr>
            <w:rStyle w:val="Hyperlink"/>
            <w:rFonts w:ascii="Arial" w:hAnsi="Arial" w:cs="Arial"/>
            <w:sz w:val="20"/>
            <w:szCs w:val="20"/>
          </w:rPr>
          <w:t>Segunda Câmara</w:t>
        </w:r>
      </w:hyperlink>
      <w:r>
        <w:rPr>
          <w:rFonts w:ascii="Arial" w:hAnsi="Arial" w:cs="Arial"/>
          <w:sz w:val="20"/>
          <w:szCs w:val="20"/>
        </w:rPr>
        <w:t xml:space="preserve"> - Rel. Conselheiro Ivens Zschoerper Linhares. </w:t>
      </w:r>
    </w:p>
    <w:p w:rsidR="004D3A92" w:rsidRDefault="004D3A92" w:rsidP="00817E46">
      <w:pPr>
        <w:spacing w:after="0"/>
        <w:jc w:val="both"/>
        <w:rPr>
          <w:rFonts w:ascii="Arial" w:hAnsi="Arial" w:cs="Arial"/>
          <w:b/>
          <w:sz w:val="20"/>
          <w:szCs w:val="20"/>
        </w:rPr>
      </w:pPr>
    </w:p>
    <w:p w:rsidR="004D3A92" w:rsidRPr="00496F8E" w:rsidRDefault="00DB15F7" w:rsidP="00817E46">
      <w:pPr>
        <w:spacing w:after="0"/>
        <w:jc w:val="both"/>
        <w:rPr>
          <w:rFonts w:ascii="Arial" w:hAnsi="Arial" w:cs="Arial"/>
          <w:b/>
          <w:sz w:val="20"/>
          <w:szCs w:val="20"/>
        </w:rPr>
      </w:pPr>
      <w:r>
        <w:rPr>
          <w:rFonts w:ascii="Arial" w:hAnsi="Arial" w:cs="Arial"/>
          <w:b/>
          <w:sz w:val="20"/>
          <w:szCs w:val="20"/>
        </w:rPr>
        <w:t xml:space="preserve">5. </w:t>
      </w:r>
      <w:r w:rsidR="004D3A92" w:rsidRPr="00496F8E">
        <w:rPr>
          <w:rFonts w:ascii="Arial" w:hAnsi="Arial" w:cs="Arial"/>
          <w:b/>
          <w:sz w:val="20"/>
          <w:szCs w:val="20"/>
        </w:rPr>
        <w:t xml:space="preserve">Prestação de Contas Anual. Falta de pagamento de aportes para cobertura do déficit atuarial na forma apurada no laudo. Parecer Prévio que recomenda a irregularidade das contas. </w:t>
      </w:r>
    </w:p>
    <w:p w:rsidR="004D3A92" w:rsidRDefault="004D3A92" w:rsidP="00817E46">
      <w:pPr>
        <w:spacing w:after="0"/>
        <w:jc w:val="both"/>
        <w:rPr>
          <w:rFonts w:ascii="Arial" w:hAnsi="Arial" w:cs="Arial"/>
          <w:sz w:val="20"/>
          <w:szCs w:val="20"/>
        </w:rPr>
      </w:pPr>
    </w:p>
    <w:p w:rsidR="004D3A92" w:rsidRDefault="004D3A92" w:rsidP="00817E46">
      <w:pPr>
        <w:spacing w:after="0"/>
        <w:jc w:val="both"/>
        <w:rPr>
          <w:rFonts w:ascii="Arial" w:hAnsi="Arial" w:cs="Arial"/>
          <w:sz w:val="20"/>
          <w:szCs w:val="20"/>
        </w:rPr>
      </w:pPr>
      <w:r>
        <w:rPr>
          <w:rFonts w:ascii="Arial" w:hAnsi="Arial" w:cs="Arial"/>
          <w:sz w:val="20"/>
          <w:szCs w:val="20"/>
        </w:rPr>
        <w:t>Entre os demais apontamentos constantes da Prestação de Contas Anual, Laudo de Avaliação Atuarial do Município apontou a necessidade de</w:t>
      </w:r>
      <w:bookmarkStart w:id="0" w:name="_GoBack"/>
      <w:bookmarkEnd w:id="0"/>
      <w:r>
        <w:rPr>
          <w:rFonts w:ascii="Arial" w:hAnsi="Arial" w:cs="Arial"/>
          <w:sz w:val="20"/>
          <w:szCs w:val="20"/>
        </w:rPr>
        <w:t xml:space="preserve"> aportes ao Regime Próprio de Previdência, visando equacionar o déficit atuarial e a consequente busca do equilíbrio financeiro do sistema. Constatou-se que não foram realizadas as transferências necessárias. </w:t>
      </w:r>
    </w:p>
    <w:p w:rsidR="00AD696C" w:rsidRDefault="00AD696C" w:rsidP="00817E46">
      <w:pPr>
        <w:spacing w:after="0"/>
        <w:jc w:val="both"/>
        <w:rPr>
          <w:rFonts w:ascii="Arial" w:hAnsi="Arial" w:cs="Arial"/>
          <w:sz w:val="20"/>
          <w:szCs w:val="20"/>
        </w:rPr>
      </w:pPr>
    </w:p>
    <w:p w:rsidR="004D3A92" w:rsidRDefault="004D3A92" w:rsidP="00817E46">
      <w:pPr>
        <w:spacing w:after="0"/>
        <w:jc w:val="both"/>
        <w:rPr>
          <w:rFonts w:ascii="Arial" w:hAnsi="Arial" w:cs="Arial"/>
          <w:sz w:val="20"/>
          <w:szCs w:val="20"/>
        </w:rPr>
      </w:pPr>
      <w:r>
        <w:rPr>
          <w:rFonts w:ascii="Arial" w:hAnsi="Arial" w:cs="Arial"/>
          <w:sz w:val="20"/>
          <w:szCs w:val="20"/>
        </w:rPr>
        <w:t xml:space="preserve">O gestor chegou a informar que estaria providenciando o parcelamento do aporte para cobertura do déficit atuarial, contudo, deixou de comprovar qualquer pagamento. </w:t>
      </w:r>
    </w:p>
    <w:p w:rsidR="00AD696C" w:rsidRDefault="00AD696C" w:rsidP="00817E46">
      <w:pPr>
        <w:spacing w:after="0"/>
        <w:jc w:val="both"/>
        <w:rPr>
          <w:rFonts w:ascii="Arial" w:hAnsi="Arial" w:cs="Arial"/>
          <w:sz w:val="20"/>
          <w:szCs w:val="20"/>
        </w:rPr>
      </w:pPr>
    </w:p>
    <w:p w:rsidR="004D3A92" w:rsidRDefault="004D3A92" w:rsidP="00817E46">
      <w:pPr>
        <w:spacing w:after="0"/>
        <w:jc w:val="both"/>
        <w:rPr>
          <w:rFonts w:ascii="Arial" w:hAnsi="Arial" w:cs="Arial"/>
          <w:sz w:val="20"/>
          <w:szCs w:val="20"/>
        </w:rPr>
      </w:pPr>
      <w:r>
        <w:rPr>
          <w:rFonts w:ascii="Arial" w:hAnsi="Arial" w:cs="Arial"/>
          <w:sz w:val="20"/>
          <w:szCs w:val="20"/>
        </w:rPr>
        <w:t>O Relator do processo entendeu que “diante da absoluta ausência de manifestação quando concedidas as oportunidades de defesa, resta configurada a irregularidade por infração à legislação previdenciária, impondo-se a aplicação da multa do art. 87, IV, “g”, da Lei Orgânica deste Tribunal contra o gestor.”</w:t>
      </w:r>
    </w:p>
    <w:p w:rsidR="004D3A92" w:rsidRDefault="004D3A92" w:rsidP="00817E46">
      <w:pPr>
        <w:spacing w:after="0"/>
        <w:jc w:val="both"/>
        <w:rPr>
          <w:rFonts w:ascii="Arial" w:hAnsi="Arial" w:cs="Arial"/>
          <w:sz w:val="20"/>
          <w:szCs w:val="20"/>
        </w:rPr>
      </w:pPr>
      <w:r>
        <w:rPr>
          <w:rFonts w:ascii="Arial" w:hAnsi="Arial" w:cs="Arial"/>
          <w:sz w:val="20"/>
          <w:szCs w:val="20"/>
        </w:rPr>
        <w:lastRenderedPageBreak/>
        <w:t xml:space="preserve">No julgado foi, assim, emitido Parecer Prévio pela irregularidade das contas do exercício em questão (2014), no que diz respeito à falta de </w:t>
      </w:r>
      <w:proofErr w:type="gramStart"/>
      <w:r>
        <w:rPr>
          <w:rFonts w:ascii="Arial" w:hAnsi="Arial" w:cs="Arial"/>
          <w:sz w:val="20"/>
          <w:szCs w:val="20"/>
        </w:rPr>
        <w:t>aportes  para</w:t>
      </w:r>
      <w:proofErr w:type="gramEnd"/>
      <w:r>
        <w:rPr>
          <w:rFonts w:ascii="Arial" w:hAnsi="Arial" w:cs="Arial"/>
          <w:sz w:val="20"/>
          <w:szCs w:val="20"/>
        </w:rPr>
        <w:t xml:space="preserve"> cobertura do déficit atuarial, com recomendação ao gestor para que o faça. </w:t>
      </w:r>
    </w:p>
    <w:p w:rsidR="00AD696C" w:rsidRDefault="00AD696C" w:rsidP="00817E46">
      <w:pPr>
        <w:spacing w:after="0"/>
        <w:jc w:val="both"/>
        <w:rPr>
          <w:rFonts w:ascii="Arial" w:hAnsi="Arial" w:cs="Arial"/>
          <w:sz w:val="20"/>
          <w:szCs w:val="20"/>
        </w:rPr>
      </w:pPr>
    </w:p>
    <w:p w:rsidR="004D3A92" w:rsidRDefault="004D3A92" w:rsidP="00817E46">
      <w:pPr>
        <w:spacing w:after="0"/>
        <w:jc w:val="both"/>
        <w:rPr>
          <w:rFonts w:ascii="Arial" w:hAnsi="Arial" w:cs="Arial"/>
          <w:sz w:val="20"/>
          <w:szCs w:val="20"/>
        </w:rPr>
      </w:pPr>
      <w:r>
        <w:rPr>
          <w:rFonts w:ascii="Arial" w:hAnsi="Arial" w:cs="Arial"/>
          <w:sz w:val="20"/>
          <w:szCs w:val="20"/>
        </w:rPr>
        <w:t xml:space="preserve">Processo nº 252345/15 - </w:t>
      </w:r>
      <w:hyperlink r:id="rId12" w:history="1">
        <w:r w:rsidRPr="005B66DA">
          <w:rPr>
            <w:rStyle w:val="Hyperlink"/>
            <w:rFonts w:ascii="Arial" w:hAnsi="Arial" w:cs="Arial"/>
            <w:sz w:val="20"/>
            <w:szCs w:val="20"/>
          </w:rPr>
          <w:t>Acórdão de Parecer Prévio nº 536/17</w:t>
        </w:r>
        <w:r>
          <w:rPr>
            <w:rStyle w:val="Hyperlink"/>
            <w:rFonts w:ascii="Arial" w:hAnsi="Arial" w:cs="Arial"/>
            <w:sz w:val="20"/>
            <w:szCs w:val="20"/>
          </w:rPr>
          <w:t xml:space="preserve"> - Segunda </w:t>
        </w:r>
        <w:r w:rsidRPr="005B66DA">
          <w:rPr>
            <w:rStyle w:val="Hyperlink"/>
            <w:rFonts w:ascii="Arial" w:hAnsi="Arial" w:cs="Arial"/>
            <w:sz w:val="20"/>
            <w:szCs w:val="20"/>
          </w:rPr>
          <w:t>Câmara</w:t>
        </w:r>
      </w:hyperlink>
      <w:r>
        <w:rPr>
          <w:rFonts w:ascii="Arial" w:hAnsi="Arial" w:cs="Arial"/>
          <w:sz w:val="20"/>
          <w:szCs w:val="20"/>
        </w:rPr>
        <w:t xml:space="preserve"> - Rel. Conselheiro Ivens Zschoerper Linhares. </w:t>
      </w:r>
    </w:p>
    <w:p w:rsidR="006D158F" w:rsidRPr="004B45C6" w:rsidRDefault="006D158F" w:rsidP="00817E46">
      <w:pPr>
        <w:autoSpaceDE w:val="0"/>
        <w:autoSpaceDN w:val="0"/>
        <w:adjustRightInd w:val="0"/>
        <w:spacing w:after="0"/>
        <w:jc w:val="both"/>
        <w:rPr>
          <w:rFonts w:ascii="Arial" w:hAnsi="Arial" w:cs="Arial"/>
          <w:sz w:val="20"/>
          <w:szCs w:val="20"/>
        </w:rPr>
      </w:pPr>
    </w:p>
    <w:p w:rsidR="00AE4F42" w:rsidRPr="004B45C6" w:rsidRDefault="00AE4F42" w:rsidP="00817E46">
      <w:pPr>
        <w:shd w:val="pct10" w:color="auto" w:fill="auto"/>
        <w:spacing w:after="0"/>
        <w:jc w:val="center"/>
        <w:rPr>
          <w:rFonts w:ascii="Arial" w:hAnsi="Arial" w:cs="Arial"/>
          <w:b/>
          <w:sz w:val="20"/>
          <w:szCs w:val="20"/>
        </w:rPr>
      </w:pPr>
      <w:r w:rsidRPr="004B45C6">
        <w:rPr>
          <w:rFonts w:ascii="Arial" w:hAnsi="Arial" w:cs="Arial"/>
          <w:b/>
          <w:sz w:val="20"/>
          <w:szCs w:val="20"/>
        </w:rPr>
        <w:t>TRIBUNAL PLENO</w:t>
      </w:r>
    </w:p>
    <w:p w:rsidR="00BD4E7A" w:rsidRPr="004B45C6" w:rsidRDefault="00BD4E7A" w:rsidP="00817E46">
      <w:pPr>
        <w:autoSpaceDE w:val="0"/>
        <w:autoSpaceDN w:val="0"/>
        <w:adjustRightInd w:val="0"/>
        <w:spacing w:after="0"/>
        <w:jc w:val="both"/>
        <w:rPr>
          <w:rFonts w:ascii="Arial" w:hAnsi="Arial" w:cs="Arial"/>
          <w:b/>
          <w:color w:val="000000"/>
          <w:sz w:val="20"/>
          <w:szCs w:val="20"/>
          <w:shd w:val="clear" w:color="auto" w:fill="FFFFFF"/>
        </w:rPr>
      </w:pPr>
    </w:p>
    <w:p w:rsidR="0026510B" w:rsidRPr="004B45C6" w:rsidRDefault="00DB15F7" w:rsidP="00817E46">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sz w:val="20"/>
          <w:szCs w:val="20"/>
        </w:rPr>
        <w:t xml:space="preserve">6. </w:t>
      </w:r>
      <w:r w:rsidR="0026510B" w:rsidRPr="004B45C6">
        <w:rPr>
          <w:rFonts w:ascii="Arial" w:hAnsi="Arial" w:cs="Arial"/>
          <w:b/>
          <w:sz w:val="20"/>
          <w:szCs w:val="20"/>
        </w:rPr>
        <w:t>Recurso de Revista. Contratações diretas por meio de recibo de pagamento autônomo. Pelo conhecimento e não provimento.</w:t>
      </w:r>
    </w:p>
    <w:p w:rsidR="009F2D0A" w:rsidRPr="004B45C6" w:rsidRDefault="009F2D0A" w:rsidP="00817E46">
      <w:pPr>
        <w:autoSpaceDE w:val="0"/>
        <w:autoSpaceDN w:val="0"/>
        <w:adjustRightInd w:val="0"/>
        <w:spacing w:after="0"/>
        <w:jc w:val="both"/>
        <w:rPr>
          <w:rFonts w:ascii="Arial" w:hAnsi="Arial" w:cs="Arial"/>
          <w:b/>
          <w:color w:val="000000"/>
          <w:sz w:val="20"/>
          <w:szCs w:val="20"/>
          <w:shd w:val="clear" w:color="auto" w:fill="FFFFFF"/>
        </w:rPr>
      </w:pPr>
    </w:p>
    <w:p w:rsidR="009F2D0A" w:rsidRPr="004B45C6" w:rsidRDefault="009F2D0A" w:rsidP="00817E46">
      <w:pPr>
        <w:autoSpaceDE w:val="0"/>
        <w:autoSpaceDN w:val="0"/>
        <w:adjustRightInd w:val="0"/>
        <w:spacing w:after="0"/>
        <w:jc w:val="both"/>
        <w:rPr>
          <w:rFonts w:ascii="Arial" w:hAnsi="Arial" w:cs="Arial"/>
          <w:sz w:val="20"/>
          <w:szCs w:val="20"/>
        </w:rPr>
      </w:pPr>
      <w:r w:rsidRPr="004B45C6">
        <w:rPr>
          <w:rFonts w:ascii="Arial" w:hAnsi="Arial" w:cs="Arial"/>
          <w:sz w:val="20"/>
          <w:szCs w:val="20"/>
        </w:rPr>
        <w:t xml:space="preserve">Não há que se considerar a justificativa da Municipalidade de que as contratações emergenciais estariam sendo realizadas em atenção ao Termo de Ajuste de Conduta, firmado com o Ministério Público Estadual, haja vista que o compromisso especifica que tais contratações sejam realizadas por meio de teste seletivo. </w:t>
      </w:r>
    </w:p>
    <w:p w:rsidR="009F2D0A" w:rsidRPr="004B45C6" w:rsidRDefault="009F2D0A" w:rsidP="00817E46">
      <w:pPr>
        <w:autoSpaceDE w:val="0"/>
        <w:autoSpaceDN w:val="0"/>
        <w:adjustRightInd w:val="0"/>
        <w:spacing w:after="0"/>
        <w:jc w:val="both"/>
        <w:rPr>
          <w:rFonts w:ascii="Arial" w:hAnsi="Arial" w:cs="Arial"/>
          <w:sz w:val="20"/>
          <w:szCs w:val="20"/>
        </w:rPr>
      </w:pPr>
    </w:p>
    <w:p w:rsidR="009F2D0A" w:rsidRPr="004B45C6" w:rsidRDefault="009F2D0A" w:rsidP="00817E46">
      <w:pPr>
        <w:autoSpaceDE w:val="0"/>
        <w:autoSpaceDN w:val="0"/>
        <w:adjustRightInd w:val="0"/>
        <w:spacing w:after="0"/>
        <w:jc w:val="both"/>
        <w:rPr>
          <w:rFonts w:ascii="Arial" w:hAnsi="Arial" w:cs="Arial"/>
          <w:sz w:val="20"/>
          <w:szCs w:val="20"/>
        </w:rPr>
      </w:pPr>
      <w:r w:rsidRPr="004B45C6">
        <w:rPr>
          <w:rFonts w:ascii="Arial" w:hAnsi="Arial" w:cs="Arial"/>
          <w:sz w:val="20"/>
          <w:szCs w:val="20"/>
        </w:rPr>
        <w:t xml:space="preserve">Quanto aos cargos de agentes de combate a endemias e agentes comunitários de saúde, estes possuem respaldo constitucional, através do artigo 198, §4º e seguintes, e são disciplinados pela Lei Federal nº 11.350/2006. Os artigos 8º e 9º da referida legislação determina a seleção de candidatos por meio de processo seletivo simplificado, em regime jurídico celetista, por tempo indeterminado, o que, da mesma forma, não foi observado pela Municipalidade. </w:t>
      </w:r>
    </w:p>
    <w:p w:rsidR="009F2D0A" w:rsidRPr="004B45C6" w:rsidRDefault="009F2D0A" w:rsidP="00817E46">
      <w:pPr>
        <w:autoSpaceDE w:val="0"/>
        <w:autoSpaceDN w:val="0"/>
        <w:adjustRightInd w:val="0"/>
        <w:spacing w:after="0"/>
        <w:jc w:val="both"/>
        <w:rPr>
          <w:rFonts w:ascii="Arial" w:hAnsi="Arial" w:cs="Arial"/>
          <w:sz w:val="20"/>
          <w:szCs w:val="20"/>
        </w:rPr>
      </w:pPr>
    </w:p>
    <w:p w:rsidR="009F2D0A" w:rsidRPr="004B45C6" w:rsidRDefault="009F2D0A" w:rsidP="00817E46">
      <w:pPr>
        <w:autoSpaceDE w:val="0"/>
        <w:autoSpaceDN w:val="0"/>
        <w:adjustRightInd w:val="0"/>
        <w:spacing w:after="0"/>
        <w:jc w:val="both"/>
        <w:rPr>
          <w:rFonts w:ascii="Arial" w:hAnsi="Arial" w:cs="Arial"/>
          <w:sz w:val="20"/>
          <w:szCs w:val="20"/>
        </w:rPr>
      </w:pPr>
      <w:r w:rsidRPr="004B45C6">
        <w:rPr>
          <w:rFonts w:ascii="Arial" w:hAnsi="Arial" w:cs="Arial"/>
          <w:sz w:val="20"/>
          <w:szCs w:val="20"/>
        </w:rPr>
        <w:t>A contratação direta de forma sistemática e continuada afronta o disposto na Constituição Federal, em seu artigo 37, incisos II, V e IX, o qual estabelece a investidura em cargo ou emprego público por meio de concurso. Em que pese a alegada ausência de vínculo empregatício no que se refere aos profissionais contratados por meio de recibo de pagamento autônomo, novamente a Administração Pública esbarra na ilegalidade quanto a escolha do procedimento adotado para preenchimento das vagas.</w:t>
      </w:r>
    </w:p>
    <w:p w:rsidR="009F2D0A" w:rsidRPr="004B45C6" w:rsidRDefault="009F2D0A" w:rsidP="00817E46">
      <w:pPr>
        <w:autoSpaceDE w:val="0"/>
        <w:autoSpaceDN w:val="0"/>
        <w:adjustRightInd w:val="0"/>
        <w:spacing w:after="0"/>
        <w:jc w:val="both"/>
        <w:rPr>
          <w:rFonts w:ascii="Arial" w:hAnsi="Arial" w:cs="Arial"/>
          <w:b/>
          <w:color w:val="000000"/>
          <w:sz w:val="20"/>
          <w:szCs w:val="20"/>
          <w:shd w:val="clear" w:color="auto" w:fill="FFFFFF"/>
        </w:rPr>
      </w:pPr>
    </w:p>
    <w:p w:rsidR="0026510B" w:rsidRPr="004B45C6" w:rsidRDefault="0026510B" w:rsidP="00817E46">
      <w:pPr>
        <w:autoSpaceDE w:val="0"/>
        <w:autoSpaceDN w:val="0"/>
        <w:adjustRightInd w:val="0"/>
        <w:spacing w:after="0"/>
        <w:jc w:val="both"/>
        <w:rPr>
          <w:rFonts w:ascii="Arial" w:hAnsi="Arial" w:cs="Arial"/>
          <w:color w:val="000000"/>
          <w:sz w:val="20"/>
          <w:szCs w:val="20"/>
          <w:shd w:val="clear" w:color="auto" w:fill="FFFFFF"/>
        </w:rPr>
      </w:pPr>
      <w:r w:rsidRPr="004B45C6">
        <w:rPr>
          <w:rFonts w:ascii="Arial" w:hAnsi="Arial" w:cs="Arial"/>
          <w:color w:val="000000"/>
          <w:sz w:val="20"/>
          <w:szCs w:val="20"/>
          <w:shd w:val="clear" w:color="auto" w:fill="FFFFFF"/>
        </w:rPr>
        <w:t xml:space="preserve">Processo n° 556668/17 - </w:t>
      </w:r>
      <w:hyperlink r:id="rId13" w:history="1">
        <w:r w:rsidRPr="004B45C6">
          <w:rPr>
            <w:rStyle w:val="Hyperlink"/>
            <w:rFonts w:ascii="Arial" w:hAnsi="Arial" w:cs="Arial"/>
            <w:sz w:val="20"/>
            <w:szCs w:val="20"/>
            <w:shd w:val="clear" w:color="auto" w:fill="FFFFFF"/>
          </w:rPr>
          <w:t>Acórdão n° 4511/17 - Tribunal Pleno</w:t>
        </w:r>
      </w:hyperlink>
      <w:r w:rsidRPr="004B45C6">
        <w:rPr>
          <w:rFonts w:ascii="Arial" w:hAnsi="Arial" w:cs="Arial"/>
          <w:color w:val="000000"/>
          <w:sz w:val="20"/>
          <w:szCs w:val="20"/>
          <w:shd w:val="clear" w:color="auto" w:fill="FFFFFF"/>
        </w:rPr>
        <w:t xml:space="preserve"> - Rel. Cons. </w:t>
      </w:r>
      <w:proofErr w:type="spellStart"/>
      <w:r w:rsidRPr="004B45C6">
        <w:rPr>
          <w:rFonts w:ascii="Arial" w:hAnsi="Arial" w:cs="Arial"/>
          <w:color w:val="000000"/>
          <w:sz w:val="20"/>
          <w:szCs w:val="20"/>
          <w:shd w:val="clear" w:color="auto" w:fill="FFFFFF"/>
        </w:rPr>
        <w:t>Artagão</w:t>
      </w:r>
      <w:proofErr w:type="spellEnd"/>
      <w:r w:rsidRPr="004B45C6">
        <w:rPr>
          <w:rFonts w:ascii="Arial" w:hAnsi="Arial" w:cs="Arial"/>
          <w:color w:val="000000"/>
          <w:sz w:val="20"/>
          <w:szCs w:val="20"/>
          <w:shd w:val="clear" w:color="auto" w:fill="FFFFFF"/>
        </w:rPr>
        <w:t xml:space="preserve"> de Mattos Leão. </w:t>
      </w:r>
    </w:p>
    <w:p w:rsidR="00FC5170" w:rsidRPr="004B45C6" w:rsidRDefault="00FC5170" w:rsidP="00817E46">
      <w:pPr>
        <w:autoSpaceDE w:val="0"/>
        <w:autoSpaceDN w:val="0"/>
        <w:adjustRightInd w:val="0"/>
        <w:spacing w:after="0"/>
        <w:jc w:val="both"/>
        <w:rPr>
          <w:rFonts w:ascii="Arial" w:hAnsi="Arial" w:cs="Arial"/>
          <w:color w:val="000000"/>
          <w:sz w:val="20"/>
          <w:szCs w:val="20"/>
          <w:shd w:val="clear" w:color="auto" w:fill="FFFFFF"/>
        </w:rPr>
      </w:pPr>
    </w:p>
    <w:p w:rsidR="00FC5170" w:rsidRPr="004B45C6" w:rsidRDefault="00DB15F7" w:rsidP="00817E46">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33073E" w:rsidRPr="004B45C6">
        <w:rPr>
          <w:rFonts w:ascii="Arial" w:hAnsi="Arial" w:cs="Arial"/>
          <w:b/>
          <w:sz w:val="20"/>
          <w:szCs w:val="20"/>
        </w:rPr>
        <w:t xml:space="preserve">Tomada de Contas Extraordinária. </w:t>
      </w:r>
      <w:r w:rsidR="00FC5170" w:rsidRPr="004B45C6">
        <w:rPr>
          <w:rFonts w:ascii="Arial" w:hAnsi="Arial" w:cs="Arial"/>
          <w:b/>
          <w:sz w:val="20"/>
          <w:szCs w:val="20"/>
        </w:rPr>
        <w:t xml:space="preserve">Licitação para contratação da prestação de serviços. Exclusão de licitante que havia lançado a melhor proposta. Excesso de formalismo. Possível </w:t>
      </w:r>
      <w:proofErr w:type="spellStart"/>
      <w:r w:rsidR="00FC5170" w:rsidRPr="004B45C6">
        <w:rPr>
          <w:rFonts w:ascii="Arial" w:hAnsi="Arial" w:cs="Arial"/>
          <w:b/>
          <w:sz w:val="20"/>
          <w:szCs w:val="20"/>
        </w:rPr>
        <w:t>dano</w:t>
      </w:r>
      <w:proofErr w:type="spellEnd"/>
      <w:r w:rsidR="00FC5170" w:rsidRPr="004B45C6">
        <w:rPr>
          <w:rFonts w:ascii="Arial" w:hAnsi="Arial" w:cs="Arial"/>
          <w:b/>
          <w:sz w:val="20"/>
          <w:szCs w:val="20"/>
        </w:rPr>
        <w:t xml:space="preserve"> ao erário. Concessão de medida cautelar. Conversão do feito em tomada de contas extraordinária.</w:t>
      </w:r>
    </w:p>
    <w:p w:rsidR="00FC5170" w:rsidRPr="004B45C6" w:rsidRDefault="00FC5170" w:rsidP="00817E46">
      <w:pPr>
        <w:autoSpaceDE w:val="0"/>
        <w:autoSpaceDN w:val="0"/>
        <w:adjustRightInd w:val="0"/>
        <w:spacing w:after="0"/>
        <w:jc w:val="both"/>
        <w:rPr>
          <w:rFonts w:ascii="Arial" w:hAnsi="Arial" w:cs="Arial"/>
          <w:b/>
          <w:sz w:val="20"/>
          <w:szCs w:val="20"/>
        </w:rPr>
      </w:pPr>
    </w:p>
    <w:p w:rsidR="00172248" w:rsidRPr="004B45C6" w:rsidRDefault="002E09B1" w:rsidP="00817E46">
      <w:pPr>
        <w:autoSpaceDE w:val="0"/>
        <w:autoSpaceDN w:val="0"/>
        <w:adjustRightInd w:val="0"/>
        <w:spacing w:after="0"/>
        <w:jc w:val="both"/>
        <w:rPr>
          <w:rFonts w:ascii="Arial" w:hAnsi="Arial" w:cs="Arial"/>
          <w:sz w:val="20"/>
          <w:szCs w:val="20"/>
        </w:rPr>
      </w:pPr>
      <w:r w:rsidRPr="004B45C6">
        <w:rPr>
          <w:rFonts w:ascii="Arial" w:hAnsi="Arial" w:cs="Arial"/>
          <w:sz w:val="20"/>
          <w:szCs w:val="20"/>
        </w:rPr>
        <w:t xml:space="preserve">Numa análise preliminar, e considerando que realmente a desclassificação decorreu, em tese, de excesso de formalismo, entendi pertinente o recebimento do feito. A interpretação pelo excesso de formalismo se deu porque a ausência da indicação de conta bancária e do nome de pessoa para assinar o contrato poderia facilmente ser suprida. </w:t>
      </w:r>
    </w:p>
    <w:p w:rsidR="00172248" w:rsidRPr="004B45C6" w:rsidRDefault="00172248" w:rsidP="00817E46">
      <w:pPr>
        <w:autoSpaceDE w:val="0"/>
        <w:autoSpaceDN w:val="0"/>
        <w:adjustRightInd w:val="0"/>
        <w:spacing w:after="0"/>
        <w:jc w:val="both"/>
        <w:rPr>
          <w:rFonts w:ascii="Arial" w:hAnsi="Arial" w:cs="Arial"/>
          <w:sz w:val="20"/>
          <w:szCs w:val="20"/>
        </w:rPr>
      </w:pPr>
    </w:p>
    <w:p w:rsidR="00172248" w:rsidRPr="004B45C6" w:rsidRDefault="002E09B1" w:rsidP="00817E46">
      <w:pPr>
        <w:autoSpaceDE w:val="0"/>
        <w:autoSpaceDN w:val="0"/>
        <w:adjustRightInd w:val="0"/>
        <w:spacing w:after="0"/>
        <w:jc w:val="both"/>
        <w:rPr>
          <w:rFonts w:ascii="Arial" w:hAnsi="Arial" w:cs="Arial"/>
          <w:sz w:val="20"/>
          <w:szCs w:val="20"/>
        </w:rPr>
      </w:pPr>
      <w:r w:rsidRPr="004B45C6">
        <w:rPr>
          <w:rFonts w:ascii="Arial" w:hAnsi="Arial" w:cs="Arial"/>
          <w:sz w:val="20"/>
          <w:szCs w:val="20"/>
        </w:rPr>
        <w:t xml:space="preserve">Ainda, era de ciência da Pregoeira que a proposta mais vantajosa para a Administração era da empresa que estava sendo excluída do certame. Ainda, para evidenciar ainda mais o excesso de formalidade, a própria Pregoeira cita que em certame anterior a empresa apresentou os referidos documentos, ou seja, era de conhecimento dela que a empresa poderia facilmente indicar referidos dados. </w:t>
      </w:r>
    </w:p>
    <w:p w:rsidR="00172248" w:rsidRPr="004B45C6" w:rsidRDefault="00172248" w:rsidP="00817E46">
      <w:pPr>
        <w:autoSpaceDE w:val="0"/>
        <w:autoSpaceDN w:val="0"/>
        <w:adjustRightInd w:val="0"/>
        <w:spacing w:after="0"/>
        <w:jc w:val="both"/>
        <w:rPr>
          <w:rFonts w:ascii="Arial" w:hAnsi="Arial" w:cs="Arial"/>
          <w:sz w:val="20"/>
          <w:szCs w:val="20"/>
        </w:rPr>
      </w:pPr>
    </w:p>
    <w:p w:rsidR="00172248" w:rsidRPr="004B45C6" w:rsidRDefault="002E09B1" w:rsidP="00817E46">
      <w:pPr>
        <w:autoSpaceDE w:val="0"/>
        <w:autoSpaceDN w:val="0"/>
        <w:adjustRightInd w:val="0"/>
        <w:spacing w:after="0"/>
        <w:jc w:val="both"/>
        <w:rPr>
          <w:rFonts w:ascii="Arial" w:hAnsi="Arial" w:cs="Arial"/>
          <w:sz w:val="20"/>
          <w:szCs w:val="20"/>
        </w:rPr>
      </w:pPr>
      <w:r w:rsidRPr="004B45C6">
        <w:rPr>
          <w:rFonts w:ascii="Arial" w:hAnsi="Arial" w:cs="Arial"/>
          <w:sz w:val="20"/>
          <w:szCs w:val="20"/>
        </w:rPr>
        <w:t xml:space="preserve">Destaco a decisão do Tribunal de Justiça do Estado de Minas Gerais, apresentada na representação, que de forma didática trata do assunto, no sentido de que a falta de indicação dos dados bancários não configura irregularidade capaz de prejudicar a análise da proposta, figurando, tão somente, como vício passível de ser sanado, pois, além de não proporcionar vantagem à empresa, também não acarreta prejuízo concreto aos demais concorrentes, nem aos trabalhos da Comissão Licitatória. </w:t>
      </w:r>
    </w:p>
    <w:p w:rsidR="00172248" w:rsidRPr="004B45C6" w:rsidRDefault="00172248" w:rsidP="00817E46">
      <w:pPr>
        <w:autoSpaceDE w:val="0"/>
        <w:autoSpaceDN w:val="0"/>
        <w:adjustRightInd w:val="0"/>
        <w:spacing w:after="0"/>
        <w:jc w:val="both"/>
        <w:rPr>
          <w:rFonts w:ascii="Arial" w:hAnsi="Arial" w:cs="Arial"/>
          <w:sz w:val="20"/>
          <w:szCs w:val="20"/>
        </w:rPr>
      </w:pPr>
    </w:p>
    <w:p w:rsidR="002E09B1" w:rsidRPr="004B45C6" w:rsidRDefault="002E09B1" w:rsidP="00817E46">
      <w:pPr>
        <w:autoSpaceDE w:val="0"/>
        <w:autoSpaceDN w:val="0"/>
        <w:adjustRightInd w:val="0"/>
        <w:spacing w:after="0"/>
        <w:jc w:val="both"/>
        <w:rPr>
          <w:rFonts w:ascii="Arial" w:hAnsi="Arial" w:cs="Arial"/>
          <w:b/>
          <w:sz w:val="20"/>
          <w:szCs w:val="20"/>
        </w:rPr>
      </w:pPr>
      <w:r w:rsidRPr="004B45C6">
        <w:rPr>
          <w:rFonts w:ascii="Arial" w:hAnsi="Arial" w:cs="Arial"/>
          <w:sz w:val="20"/>
          <w:szCs w:val="20"/>
        </w:rPr>
        <w:t>Ademais, a forma do procedimento licitatório não deve prevalecer sobre sua finalidade, qual seja, a obtenção da melhor proposta para a Administração Pública, mediante ampla participação de interessados, finalidade esta que restou desprestigiada pelo rigorismo formal empregado ao caso. Portanto, por qualquer ângulo que se analise o caso, não há como conceber crível a exclusão de proponente com proposta mais vantajosa apenas em razão dos fatos já narrados. Logo, presente a fumaça do bom direito.</w:t>
      </w:r>
    </w:p>
    <w:p w:rsidR="00FC5170" w:rsidRPr="004B45C6" w:rsidRDefault="00FC5170" w:rsidP="00817E46">
      <w:pPr>
        <w:autoSpaceDE w:val="0"/>
        <w:autoSpaceDN w:val="0"/>
        <w:adjustRightInd w:val="0"/>
        <w:spacing w:after="0"/>
        <w:jc w:val="both"/>
        <w:rPr>
          <w:rFonts w:ascii="Arial" w:hAnsi="Arial" w:cs="Arial"/>
          <w:b/>
          <w:color w:val="000000"/>
          <w:sz w:val="20"/>
          <w:szCs w:val="20"/>
          <w:shd w:val="clear" w:color="auto" w:fill="FFFFFF"/>
        </w:rPr>
      </w:pPr>
    </w:p>
    <w:p w:rsidR="00681341" w:rsidRPr="004B45C6" w:rsidRDefault="00681341" w:rsidP="00817E46">
      <w:pPr>
        <w:autoSpaceDE w:val="0"/>
        <w:autoSpaceDN w:val="0"/>
        <w:adjustRightInd w:val="0"/>
        <w:spacing w:after="0"/>
        <w:jc w:val="both"/>
        <w:rPr>
          <w:rFonts w:ascii="Arial" w:hAnsi="Arial" w:cs="Arial"/>
          <w:color w:val="000000"/>
          <w:sz w:val="20"/>
          <w:szCs w:val="20"/>
          <w:shd w:val="clear" w:color="auto" w:fill="FFFFFF"/>
        </w:rPr>
      </w:pPr>
      <w:r w:rsidRPr="004B45C6">
        <w:rPr>
          <w:rFonts w:ascii="Arial" w:hAnsi="Arial" w:cs="Arial"/>
          <w:color w:val="000000"/>
          <w:sz w:val="20"/>
          <w:szCs w:val="20"/>
          <w:shd w:val="clear" w:color="auto" w:fill="FFFFFF"/>
        </w:rPr>
        <w:t>Processo n°</w:t>
      </w:r>
      <w:r w:rsidR="00C12C7C" w:rsidRPr="004B45C6">
        <w:rPr>
          <w:rFonts w:ascii="Arial" w:hAnsi="Arial" w:cs="Arial"/>
          <w:color w:val="000000"/>
          <w:sz w:val="20"/>
          <w:szCs w:val="20"/>
          <w:shd w:val="clear" w:color="auto" w:fill="FFFFFF"/>
        </w:rPr>
        <w:t xml:space="preserve"> 577080/17 - </w:t>
      </w:r>
      <w:hyperlink r:id="rId14" w:history="1">
        <w:r w:rsidR="00C12C7C" w:rsidRPr="004B45C6">
          <w:rPr>
            <w:rStyle w:val="Hyperlink"/>
            <w:rFonts w:ascii="Arial" w:hAnsi="Arial" w:cs="Arial"/>
            <w:sz w:val="20"/>
            <w:szCs w:val="20"/>
            <w:shd w:val="clear" w:color="auto" w:fill="FFFFFF"/>
          </w:rPr>
          <w:t>Acórdão n° 4524/17 - Tribunal Pleno</w:t>
        </w:r>
      </w:hyperlink>
      <w:r w:rsidR="00C12C7C" w:rsidRPr="004B45C6">
        <w:rPr>
          <w:rFonts w:ascii="Arial" w:hAnsi="Arial" w:cs="Arial"/>
          <w:color w:val="000000"/>
          <w:sz w:val="20"/>
          <w:szCs w:val="20"/>
          <w:shd w:val="clear" w:color="auto" w:fill="FFFFFF"/>
        </w:rPr>
        <w:t xml:space="preserve"> - Rel. Cons. Fabio de Souza Camargo. </w:t>
      </w:r>
    </w:p>
    <w:p w:rsidR="00480934" w:rsidRPr="004B45C6" w:rsidRDefault="00480934" w:rsidP="00817E46">
      <w:pPr>
        <w:autoSpaceDE w:val="0"/>
        <w:autoSpaceDN w:val="0"/>
        <w:adjustRightInd w:val="0"/>
        <w:spacing w:after="0"/>
        <w:jc w:val="both"/>
        <w:rPr>
          <w:rFonts w:ascii="Arial" w:hAnsi="Arial" w:cs="Arial"/>
          <w:color w:val="000000"/>
          <w:sz w:val="20"/>
          <w:szCs w:val="20"/>
          <w:shd w:val="clear" w:color="auto" w:fill="FFFFFF"/>
        </w:rPr>
      </w:pPr>
    </w:p>
    <w:p w:rsidR="00480934" w:rsidRPr="004B45C6" w:rsidRDefault="00DB15F7" w:rsidP="00817E46">
      <w:pPr>
        <w:autoSpaceDE w:val="0"/>
        <w:autoSpaceDN w:val="0"/>
        <w:adjustRightInd w:val="0"/>
        <w:spacing w:after="0"/>
        <w:jc w:val="both"/>
        <w:rPr>
          <w:rFonts w:ascii="Arial" w:hAnsi="Arial" w:cs="Arial"/>
          <w:b/>
          <w:sz w:val="20"/>
          <w:szCs w:val="20"/>
        </w:rPr>
      </w:pPr>
      <w:r>
        <w:rPr>
          <w:rFonts w:ascii="Arial" w:hAnsi="Arial" w:cs="Arial"/>
          <w:b/>
          <w:sz w:val="20"/>
          <w:szCs w:val="20"/>
        </w:rPr>
        <w:t xml:space="preserve">8. </w:t>
      </w:r>
      <w:r w:rsidR="00480934" w:rsidRPr="004B45C6">
        <w:rPr>
          <w:rFonts w:ascii="Arial" w:hAnsi="Arial" w:cs="Arial"/>
          <w:b/>
          <w:sz w:val="20"/>
          <w:szCs w:val="20"/>
        </w:rPr>
        <w:t xml:space="preserve">Consulta. Pagamento de 13º subsídio a Prefeitos, Vice-Prefeitos e Vereadores. Julgamento do Supremo Tribunal Federal em sede de repercussão geral que reconhece a inexistência de impeditivo constitucional. Necessidade de previsão em lei, que deve levar em conta a realidade financeira do Município, a Lei de Diretrizes Orçamentária, a Lei Orçamentária Anual, a Lei de Responsabilidade Fiscal, notadamente, seus </w:t>
      </w:r>
      <w:proofErr w:type="spellStart"/>
      <w:r w:rsidR="00480934" w:rsidRPr="004B45C6">
        <w:rPr>
          <w:rFonts w:ascii="Arial" w:hAnsi="Arial" w:cs="Arial"/>
          <w:b/>
          <w:sz w:val="20"/>
          <w:szCs w:val="20"/>
        </w:rPr>
        <w:t>arts</w:t>
      </w:r>
      <w:proofErr w:type="spellEnd"/>
      <w:r w:rsidR="00480934" w:rsidRPr="004B45C6">
        <w:rPr>
          <w:rFonts w:ascii="Arial" w:hAnsi="Arial" w:cs="Arial"/>
          <w:b/>
          <w:sz w:val="20"/>
          <w:szCs w:val="20"/>
        </w:rPr>
        <w:t>. 16 e 17 e os limites do art. 29-A e §1º da Constituição Federal. Observância obrigatória do princípio da anterioridade.</w:t>
      </w:r>
    </w:p>
    <w:p w:rsidR="00480934" w:rsidRPr="004B45C6" w:rsidRDefault="00480934" w:rsidP="00817E46">
      <w:pPr>
        <w:autoSpaceDE w:val="0"/>
        <w:autoSpaceDN w:val="0"/>
        <w:adjustRightInd w:val="0"/>
        <w:spacing w:after="0"/>
        <w:jc w:val="both"/>
        <w:rPr>
          <w:rFonts w:ascii="Arial" w:hAnsi="Arial" w:cs="Arial"/>
          <w:b/>
          <w:sz w:val="20"/>
          <w:szCs w:val="20"/>
        </w:rPr>
      </w:pPr>
    </w:p>
    <w:p w:rsidR="00D34A4B" w:rsidRDefault="00D34A4B" w:rsidP="00817E46">
      <w:pPr>
        <w:spacing w:after="0"/>
        <w:jc w:val="both"/>
        <w:rPr>
          <w:rFonts w:ascii="Arial" w:eastAsia="Times New Roman" w:hAnsi="Arial" w:cs="Arial"/>
          <w:sz w:val="20"/>
          <w:szCs w:val="20"/>
          <w:lang w:eastAsia="pt-BR"/>
        </w:rPr>
      </w:pPr>
      <w:r w:rsidRPr="004B45C6">
        <w:rPr>
          <w:rFonts w:ascii="Arial" w:eastAsia="Times New Roman" w:hAnsi="Arial" w:cs="Arial"/>
          <w:sz w:val="20"/>
          <w:szCs w:val="20"/>
          <w:lang w:eastAsia="pt-BR"/>
        </w:rPr>
        <w:t>Conforme julgamento do Recurso Extraordinário 650.898, em que o Supremo Tribunal Federal fixou tese em sede de repercussão geral, não há na Constituição Federal um impeditivo para que a lei municipal institua as vantagens pecuniárias de 13º subsídio e adicional de férias, observados os demais requisitos de validade para tanto, notadamente a Lei Orgânica do Município.</w:t>
      </w:r>
    </w:p>
    <w:p w:rsidR="00817E46" w:rsidRPr="004B45C6" w:rsidRDefault="00817E46" w:rsidP="00817E46">
      <w:pPr>
        <w:spacing w:after="0"/>
        <w:jc w:val="both"/>
        <w:rPr>
          <w:rFonts w:ascii="Arial" w:eastAsia="Times New Roman" w:hAnsi="Arial" w:cs="Arial"/>
          <w:sz w:val="20"/>
          <w:szCs w:val="20"/>
          <w:lang w:eastAsia="pt-BR"/>
        </w:rPr>
      </w:pPr>
    </w:p>
    <w:p w:rsidR="00D34A4B" w:rsidRPr="004B45C6" w:rsidRDefault="00D34A4B" w:rsidP="00817E46">
      <w:pPr>
        <w:spacing w:after="0"/>
        <w:jc w:val="both"/>
        <w:rPr>
          <w:rFonts w:ascii="Arial" w:eastAsia="Times New Roman" w:hAnsi="Arial" w:cs="Arial"/>
          <w:sz w:val="20"/>
          <w:szCs w:val="20"/>
          <w:lang w:eastAsia="pt-BR"/>
        </w:rPr>
      </w:pPr>
      <w:r w:rsidRPr="004B45C6">
        <w:rPr>
          <w:rFonts w:ascii="Arial" w:eastAsia="Times New Roman" w:hAnsi="Arial" w:cs="Arial"/>
          <w:sz w:val="20"/>
          <w:szCs w:val="20"/>
          <w:lang w:eastAsia="pt-BR"/>
        </w:rPr>
        <w:t>A tese de repercussão geral fixada pelo Supremo Tribunal Federal no Recurso Extraordinário nº 650.898 não permite conclusões o pagamento imediato com base na aplicação do artigo 39, parágrafo 4º, da Constituição Federal. A decisão do Supremo Tribunal Federal reconheceu tão-somente a possibilidade de a lei municipal instituir as vantagens pecuniárias de 13º subsídio e adicional de férias.</w:t>
      </w:r>
    </w:p>
    <w:p w:rsidR="00D34A4B" w:rsidRDefault="00D34A4B" w:rsidP="00817E46">
      <w:pPr>
        <w:spacing w:after="0"/>
        <w:jc w:val="both"/>
        <w:rPr>
          <w:rFonts w:ascii="Arial" w:eastAsia="Times New Roman" w:hAnsi="Arial" w:cs="Arial"/>
          <w:sz w:val="20"/>
          <w:szCs w:val="20"/>
          <w:lang w:eastAsia="pt-BR"/>
        </w:rPr>
      </w:pPr>
      <w:r w:rsidRPr="004B45C6">
        <w:rPr>
          <w:rFonts w:ascii="Arial" w:eastAsia="Times New Roman" w:hAnsi="Arial" w:cs="Arial"/>
          <w:sz w:val="20"/>
          <w:szCs w:val="20"/>
          <w:lang w:eastAsia="pt-BR"/>
        </w:rPr>
        <w:lastRenderedPageBreak/>
        <w:t xml:space="preserve">A previsão deve se dar, necessariamente, mediante a edição de lei específica, que fixe o valor dos subsídios. Por se tratar de instituição despesa continuada, deve-se levar em conta a realidade financeira do Município, a Lei de Diretrizes Orçamentárias, a Lei Orçamentária Anual, Lei de Responsabilidade Fiscal, notadamente, seus </w:t>
      </w:r>
      <w:proofErr w:type="spellStart"/>
      <w:r w:rsidRPr="004B45C6">
        <w:rPr>
          <w:rFonts w:ascii="Arial" w:eastAsia="Times New Roman" w:hAnsi="Arial" w:cs="Arial"/>
          <w:sz w:val="20"/>
          <w:szCs w:val="20"/>
          <w:lang w:eastAsia="pt-BR"/>
        </w:rPr>
        <w:t>arts</w:t>
      </w:r>
      <w:proofErr w:type="spellEnd"/>
      <w:r w:rsidRPr="004B45C6">
        <w:rPr>
          <w:rFonts w:ascii="Arial" w:eastAsia="Times New Roman" w:hAnsi="Arial" w:cs="Arial"/>
          <w:sz w:val="20"/>
          <w:szCs w:val="20"/>
          <w:lang w:eastAsia="pt-BR"/>
        </w:rPr>
        <w:t>. 16 e 17 e os limites do art. 29-A e §1º da Constituição Federal.</w:t>
      </w:r>
    </w:p>
    <w:p w:rsidR="00817E46" w:rsidRPr="004B45C6" w:rsidRDefault="00817E46" w:rsidP="00817E46">
      <w:pPr>
        <w:spacing w:after="0"/>
        <w:jc w:val="both"/>
        <w:rPr>
          <w:rFonts w:ascii="Arial" w:eastAsia="Times New Roman" w:hAnsi="Arial" w:cs="Arial"/>
          <w:sz w:val="20"/>
          <w:szCs w:val="20"/>
          <w:lang w:eastAsia="pt-BR"/>
        </w:rPr>
      </w:pPr>
    </w:p>
    <w:p w:rsidR="00D34A4B" w:rsidRDefault="00D34A4B" w:rsidP="00817E46">
      <w:pPr>
        <w:spacing w:after="0"/>
        <w:jc w:val="both"/>
        <w:rPr>
          <w:rFonts w:ascii="Arial" w:eastAsia="Times New Roman" w:hAnsi="Arial" w:cs="Arial"/>
          <w:sz w:val="20"/>
          <w:szCs w:val="20"/>
          <w:lang w:eastAsia="pt-BR"/>
        </w:rPr>
      </w:pPr>
      <w:r w:rsidRPr="004B45C6">
        <w:rPr>
          <w:rFonts w:ascii="Arial" w:eastAsia="Times New Roman" w:hAnsi="Arial" w:cs="Arial"/>
          <w:sz w:val="20"/>
          <w:szCs w:val="20"/>
          <w:lang w:eastAsia="pt-BR"/>
        </w:rPr>
        <w:t>O princípio da anterioridade é uma extensão dos princípios da isonomia, impessoalidade e moralidade, os quais impedem a atividade legislativa em causa própria. Portanto, aplica-se a anterioridade - de uma legislatura para a subsequente - para a produção de efeitos da lei que venha a instituir as vantagens pecuniárias de 13º subsídio e adicional de férias.</w:t>
      </w:r>
    </w:p>
    <w:p w:rsidR="00817E46" w:rsidRPr="004B45C6" w:rsidRDefault="00817E46" w:rsidP="00817E46">
      <w:pPr>
        <w:spacing w:after="0"/>
        <w:jc w:val="both"/>
        <w:rPr>
          <w:rFonts w:ascii="Arial" w:eastAsia="Times New Roman" w:hAnsi="Arial" w:cs="Arial"/>
          <w:sz w:val="20"/>
          <w:szCs w:val="20"/>
          <w:lang w:eastAsia="pt-BR"/>
        </w:rPr>
      </w:pPr>
    </w:p>
    <w:p w:rsidR="00D34A4B" w:rsidRDefault="00D34A4B" w:rsidP="00817E46">
      <w:pPr>
        <w:spacing w:after="0"/>
        <w:jc w:val="both"/>
        <w:rPr>
          <w:rFonts w:ascii="Arial" w:eastAsia="Times New Roman" w:hAnsi="Arial" w:cs="Arial"/>
          <w:sz w:val="20"/>
          <w:szCs w:val="20"/>
          <w:lang w:eastAsia="pt-BR"/>
        </w:rPr>
      </w:pPr>
      <w:r w:rsidRPr="004B45C6">
        <w:rPr>
          <w:rFonts w:ascii="Arial" w:eastAsia="Times New Roman" w:hAnsi="Arial" w:cs="Arial"/>
          <w:sz w:val="20"/>
          <w:szCs w:val="20"/>
          <w:lang w:eastAsia="pt-BR"/>
        </w:rPr>
        <w:t>Conforme previsão expressa do art. 29, V, da Constituição Federal, a iniciativa do projeto de lei que disponha sobre remuneração de Prefeitos, Vice-Prefeitos e Secretários Municipais é exclusiva da Câmara Municipal.</w:t>
      </w:r>
    </w:p>
    <w:p w:rsidR="00817E46" w:rsidRPr="004B45C6" w:rsidRDefault="00817E46" w:rsidP="00817E46">
      <w:pPr>
        <w:spacing w:after="0"/>
        <w:jc w:val="both"/>
        <w:rPr>
          <w:rFonts w:ascii="Arial" w:eastAsia="Times New Roman" w:hAnsi="Arial" w:cs="Arial"/>
          <w:sz w:val="20"/>
          <w:szCs w:val="20"/>
          <w:lang w:eastAsia="pt-BR"/>
        </w:rPr>
      </w:pPr>
    </w:p>
    <w:p w:rsidR="00480934" w:rsidRPr="004B45C6" w:rsidRDefault="00D34A4B" w:rsidP="00817E46">
      <w:pPr>
        <w:autoSpaceDE w:val="0"/>
        <w:autoSpaceDN w:val="0"/>
        <w:adjustRightInd w:val="0"/>
        <w:spacing w:after="0"/>
        <w:jc w:val="both"/>
        <w:rPr>
          <w:rFonts w:ascii="Arial" w:hAnsi="Arial" w:cs="Arial"/>
          <w:sz w:val="20"/>
          <w:szCs w:val="20"/>
        </w:rPr>
      </w:pPr>
      <w:r w:rsidRPr="004B45C6">
        <w:rPr>
          <w:rFonts w:ascii="Arial" w:hAnsi="Arial" w:cs="Arial"/>
          <w:color w:val="000000"/>
          <w:sz w:val="20"/>
          <w:szCs w:val="20"/>
          <w:shd w:val="clear" w:color="auto" w:fill="FFFFFF"/>
        </w:rPr>
        <w:t>Processo n</w:t>
      </w:r>
      <w:r w:rsidRPr="004B45C6">
        <w:rPr>
          <w:rFonts w:ascii="Arial" w:hAnsi="Arial" w:cs="Arial"/>
          <w:sz w:val="20"/>
          <w:szCs w:val="20"/>
        </w:rPr>
        <w:t>°</w:t>
      </w:r>
      <w:r w:rsidR="003B4678" w:rsidRPr="004B45C6">
        <w:rPr>
          <w:rFonts w:ascii="Arial" w:hAnsi="Arial" w:cs="Arial"/>
          <w:sz w:val="20"/>
          <w:szCs w:val="20"/>
        </w:rPr>
        <w:t xml:space="preserve"> 508517/17 </w:t>
      </w:r>
      <w:r w:rsidR="00375692" w:rsidRPr="004B45C6">
        <w:rPr>
          <w:rFonts w:ascii="Arial" w:hAnsi="Arial" w:cs="Arial"/>
          <w:sz w:val="20"/>
          <w:szCs w:val="20"/>
        </w:rPr>
        <w:t>-</w:t>
      </w:r>
      <w:r w:rsidR="003B4678" w:rsidRPr="004B45C6">
        <w:rPr>
          <w:rFonts w:ascii="Arial" w:hAnsi="Arial" w:cs="Arial"/>
          <w:sz w:val="20"/>
          <w:szCs w:val="20"/>
        </w:rPr>
        <w:t xml:space="preserve"> </w:t>
      </w:r>
      <w:hyperlink r:id="rId15" w:history="1">
        <w:r w:rsidR="00375692" w:rsidRPr="004B45C6">
          <w:rPr>
            <w:rStyle w:val="Hyperlink"/>
            <w:rFonts w:ascii="Arial" w:hAnsi="Arial" w:cs="Arial"/>
            <w:sz w:val="20"/>
            <w:szCs w:val="20"/>
          </w:rPr>
          <w:t>Acórdão n° 4529/17 - Tribunal Pleno</w:t>
        </w:r>
      </w:hyperlink>
      <w:r w:rsidR="00375692" w:rsidRPr="004B45C6">
        <w:rPr>
          <w:rFonts w:ascii="Arial" w:hAnsi="Arial" w:cs="Arial"/>
          <w:sz w:val="20"/>
          <w:szCs w:val="20"/>
        </w:rPr>
        <w:t xml:space="preserve"> - Rel. Cons. Ivens Zschoerper Linhares.</w:t>
      </w:r>
    </w:p>
    <w:p w:rsidR="00DA1DB7" w:rsidRPr="004B45C6" w:rsidRDefault="00DA1DB7" w:rsidP="00817E46">
      <w:pPr>
        <w:autoSpaceDE w:val="0"/>
        <w:autoSpaceDN w:val="0"/>
        <w:adjustRightInd w:val="0"/>
        <w:spacing w:after="0"/>
        <w:jc w:val="both"/>
        <w:rPr>
          <w:rFonts w:ascii="Arial" w:hAnsi="Arial" w:cs="Arial"/>
          <w:sz w:val="20"/>
          <w:szCs w:val="20"/>
        </w:rPr>
      </w:pPr>
    </w:p>
    <w:p w:rsidR="00DA1DB7" w:rsidRPr="004B45C6" w:rsidRDefault="007F1C5E" w:rsidP="00817E46">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9. </w:t>
      </w:r>
      <w:r w:rsidR="00DA1DB7" w:rsidRPr="004B45C6">
        <w:rPr>
          <w:rFonts w:ascii="Arial" w:hAnsi="Arial" w:cs="Arial"/>
          <w:b/>
          <w:color w:val="000000"/>
          <w:sz w:val="20"/>
          <w:szCs w:val="20"/>
          <w:shd w:val="clear" w:color="auto" w:fill="FFFFFF"/>
        </w:rPr>
        <w:t>Recurso de Agravo. Reexame de provas. Divergência. Fundamentação.</w:t>
      </w: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r w:rsidRPr="004B45C6">
        <w:rPr>
          <w:rFonts w:ascii="Arial" w:hAnsi="Arial" w:cs="Arial"/>
          <w:color w:val="000000"/>
          <w:sz w:val="20"/>
          <w:szCs w:val="20"/>
          <w:shd w:val="clear" w:color="auto" w:fill="FFFFFF"/>
        </w:rPr>
        <w:t>Não é possível o reexame de provas em recurso de revisão. Quando fundamentado no inc. IV, do art. 74, da LC/PR 113/05, há necessidade de que a divergência esteja fundamentada em decisões que possuem o mesmo substrato fático.</w:t>
      </w: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r w:rsidRPr="004B45C6">
        <w:rPr>
          <w:rFonts w:ascii="Arial" w:hAnsi="Arial" w:cs="Arial"/>
          <w:color w:val="000000"/>
          <w:sz w:val="20"/>
          <w:szCs w:val="20"/>
          <w:shd w:val="clear" w:color="auto" w:fill="FFFFFF"/>
        </w:rPr>
        <w:t xml:space="preserve">Processo nº 45367/17 - </w:t>
      </w:r>
      <w:hyperlink r:id="rId16" w:history="1">
        <w:r w:rsidRPr="004B45C6">
          <w:rPr>
            <w:rStyle w:val="Hyperlink"/>
            <w:rFonts w:ascii="Arial" w:hAnsi="Arial" w:cs="Arial"/>
            <w:sz w:val="20"/>
            <w:szCs w:val="20"/>
            <w:shd w:val="clear" w:color="auto" w:fill="FFFFFF"/>
          </w:rPr>
          <w:t>Acórdão 4306/17 - Tribunal Pleno</w:t>
        </w:r>
      </w:hyperlink>
      <w:r w:rsidR="007C57D3" w:rsidRPr="004B45C6">
        <w:rPr>
          <w:rStyle w:val="Hyperlink"/>
          <w:rFonts w:ascii="Arial" w:hAnsi="Arial" w:cs="Arial"/>
          <w:b/>
          <w:sz w:val="20"/>
          <w:szCs w:val="20"/>
          <w:u w:val="none"/>
          <w:shd w:val="clear" w:color="auto" w:fill="FFFFFF"/>
        </w:rPr>
        <w:t xml:space="preserve"> </w:t>
      </w:r>
      <w:r w:rsidR="007C57D3" w:rsidRPr="004B45C6">
        <w:rPr>
          <w:rStyle w:val="Hyperlink"/>
          <w:rFonts w:ascii="Arial" w:hAnsi="Arial" w:cs="Arial"/>
          <w:sz w:val="20"/>
          <w:szCs w:val="20"/>
          <w:u w:val="none"/>
          <w:shd w:val="clear" w:color="auto" w:fill="FFFFFF"/>
        </w:rPr>
        <w:t>-</w:t>
      </w:r>
      <w:r w:rsidR="007C57D3" w:rsidRPr="004B45C6">
        <w:rPr>
          <w:rStyle w:val="Hyperlink"/>
          <w:rFonts w:ascii="Arial" w:hAnsi="Arial" w:cs="Arial"/>
          <w:b/>
          <w:sz w:val="20"/>
          <w:szCs w:val="20"/>
          <w:u w:val="none"/>
          <w:shd w:val="clear" w:color="auto" w:fill="FFFFFF"/>
        </w:rPr>
        <w:t xml:space="preserve"> </w:t>
      </w:r>
      <w:r w:rsidRPr="004B45C6">
        <w:rPr>
          <w:rFonts w:ascii="Arial" w:hAnsi="Arial" w:cs="Arial"/>
          <w:color w:val="000000"/>
          <w:sz w:val="20"/>
          <w:szCs w:val="20"/>
          <w:shd w:val="clear" w:color="auto" w:fill="FFFFFF"/>
        </w:rPr>
        <w:t>Relator Conselheiro Fernando Augusto Mello Guimarães.</w:t>
      </w:r>
      <w:r w:rsidRPr="004B45C6">
        <w:rPr>
          <w:rFonts w:ascii="Arial" w:hAnsi="Arial" w:cs="Arial"/>
          <w:sz w:val="20"/>
          <w:szCs w:val="20"/>
        </w:rPr>
        <w:t xml:space="preserve"> </w:t>
      </w:r>
      <w:r w:rsidRPr="004B45C6">
        <w:rPr>
          <w:rFonts w:ascii="Arial" w:hAnsi="Arial" w:cs="Arial"/>
          <w:color w:val="000000"/>
          <w:sz w:val="20"/>
          <w:szCs w:val="20"/>
          <w:shd w:val="clear" w:color="auto" w:fill="FFFFFF"/>
        </w:rPr>
        <w:t xml:space="preserve"> </w:t>
      </w:r>
    </w:p>
    <w:p w:rsidR="00DA1DB7" w:rsidRPr="004B45C6" w:rsidRDefault="00DA1DB7" w:rsidP="00817E46">
      <w:pPr>
        <w:autoSpaceDE w:val="0"/>
        <w:autoSpaceDN w:val="0"/>
        <w:adjustRightInd w:val="0"/>
        <w:spacing w:after="0"/>
        <w:jc w:val="both"/>
        <w:rPr>
          <w:rFonts w:ascii="Arial" w:hAnsi="Arial" w:cs="Arial"/>
          <w:b/>
          <w:color w:val="000000"/>
          <w:sz w:val="20"/>
          <w:szCs w:val="20"/>
          <w:shd w:val="clear" w:color="auto" w:fill="FFFFFF"/>
        </w:rPr>
      </w:pPr>
    </w:p>
    <w:p w:rsidR="00DA1DB7" w:rsidRPr="004B45C6" w:rsidRDefault="007F1C5E" w:rsidP="00817E46">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10. </w:t>
      </w:r>
      <w:r w:rsidR="00DA1DB7" w:rsidRPr="004B45C6">
        <w:rPr>
          <w:rFonts w:ascii="Arial" w:hAnsi="Arial" w:cs="Arial"/>
          <w:b/>
          <w:color w:val="000000"/>
          <w:sz w:val="20"/>
          <w:szCs w:val="20"/>
          <w:shd w:val="clear" w:color="auto" w:fill="FFFFFF"/>
        </w:rPr>
        <w:t xml:space="preserve">Denúncia. Prejulgado nº 6 TCE/PR. Candidato aprovado para cargo efetivo de Procurador. Nomeação de advogado para cargo em comissão. </w:t>
      </w: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r w:rsidRPr="004B45C6">
        <w:rPr>
          <w:rFonts w:ascii="Arial" w:hAnsi="Arial" w:cs="Arial"/>
          <w:color w:val="000000"/>
          <w:sz w:val="20"/>
          <w:szCs w:val="20"/>
          <w:shd w:val="clear" w:color="auto" w:fill="FFFFFF"/>
        </w:rPr>
        <w:t>A nomeação de advogado para ocupar cargo em comissão desempenhar atividades de Procurador do Município, deixando candidato aprovado em concurso o cargo para o cargo efetivo de Procurador sem nomeação, viola o Prejulgado nº 6 do TCE/PR.</w:t>
      </w: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r w:rsidRPr="004B45C6">
        <w:rPr>
          <w:rFonts w:ascii="Arial" w:hAnsi="Arial" w:cs="Arial"/>
          <w:color w:val="000000"/>
          <w:sz w:val="20"/>
          <w:szCs w:val="20"/>
          <w:shd w:val="clear" w:color="auto" w:fill="FFFFFF"/>
        </w:rPr>
        <w:t xml:space="preserve">Processo n° 573597/12 - </w:t>
      </w:r>
      <w:hyperlink r:id="rId17" w:history="1">
        <w:r w:rsidRPr="004B45C6">
          <w:rPr>
            <w:rStyle w:val="Hyperlink"/>
            <w:rFonts w:ascii="Arial" w:hAnsi="Arial" w:cs="Arial"/>
            <w:sz w:val="20"/>
            <w:szCs w:val="20"/>
            <w:shd w:val="clear" w:color="auto" w:fill="FFFFFF"/>
          </w:rPr>
          <w:t xml:space="preserve">Acórdão nº 4310/17 </w:t>
        </w:r>
        <w:r w:rsidR="00BD4553" w:rsidRPr="004B45C6">
          <w:rPr>
            <w:rStyle w:val="Hyperlink"/>
            <w:rFonts w:ascii="Arial" w:hAnsi="Arial" w:cs="Arial"/>
            <w:sz w:val="20"/>
            <w:szCs w:val="20"/>
            <w:shd w:val="clear" w:color="auto" w:fill="FFFFFF"/>
          </w:rPr>
          <w:t>-</w:t>
        </w:r>
        <w:r w:rsidRPr="004B45C6">
          <w:rPr>
            <w:rStyle w:val="Hyperlink"/>
            <w:rFonts w:ascii="Arial" w:hAnsi="Arial" w:cs="Arial"/>
            <w:sz w:val="20"/>
            <w:szCs w:val="20"/>
            <w:shd w:val="clear" w:color="auto" w:fill="FFFFFF"/>
          </w:rPr>
          <w:t xml:space="preserve"> Tribunal Pleno</w:t>
        </w:r>
      </w:hyperlink>
      <w:r w:rsidRPr="004B45C6">
        <w:rPr>
          <w:rStyle w:val="Hyperlink"/>
          <w:rFonts w:ascii="Arial" w:hAnsi="Arial" w:cs="Arial"/>
          <w:i/>
          <w:sz w:val="20"/>
          <w:szCs w:val="20"/>
          <w:u w:val="none"/>
          <w:shd w:val="clear" w:color="auto" w:fill="FFFFFF"/>
        </w:rPr>
        <w:t xml:space="preserve"> -</w:t>
      </w:r>
      <w:r w:rsidRPr="004B45C6">
        <w:rPr>
          <w:rStyle w:val="Hyperlink"/>
          <w:rFonts w:ascii="Arial" w:hAnsi="Arial" w:cs="Arial"/>
          <w:sz w:val="20"/>
          <w:szCs w:val="20"/>
          <w:u w:val="none"/>
          <w:shd w:val="clear" w:color="auto" w:fill="FFFFFF"/>
        </w:rPr>
        <w:t xml:space="preserve"> </w:t>
      </w:r>
      <w:r w:rsidRPr="004B45C6">
        <w:rPr>
          <w:rFonts w:ascii="Arial" w:hAnsi="Arial" w:cs="Arial"/>
          <w:color w:val="000000"/>
          <w:sz w:val="20"/>
          <w:szCs w:val="20"/>
          <w:shd w:val="clear" w:color="auto" w:fill="FFFFFF"/>
        </w:rPr>
        <w:t xml:space="preserve">Relator Conselheiro Ivan </w:t>
      </w:r>
      <w:proofErr w:type="spellStart"/>
      <w:r w:rsidRPr="004B45C6">
        <w:rPr>
          <w:rFonts w:ascii="Arial" w:hAnsi="Arial" w:cs="Arial"/>
          <w:color w:val="000000"/>
          <w:sz w:val="20"/>
          <w:szCs w:val="20"/>
          <w:shd w:val="clear" w:color="auto" w:fill="FFFFFF"/>
        </w:rPr>
        <w:t>Lelis</w:t>
      </w:r>
      <w:proofErr w:type="spellEnd"/>
      <w:r w:rsidRPr="004B45C6">
        <w:rPr>
          <w:rFonts w:ascii="Arial" w:hAnsi="Arial" w:cs="Arial"/>
          <w:color w:val="000000"/>
          <w:sz w:val="20"/>
          <w:szCs w:val="20"/>
          <w:shd w:val="clear" w:color="auto" w:fill="FFFFFF"/>
        </w:rPr>
        <w:t xml:space="preserve"> Bonilha.</w:t>
      </w: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p>
    <w:p w:rsidR="00DA1DB7" w:rsidRPr="004B45C6" w:rsidRDefault="007F1C5E" w:rsidP="00817E46">
      <w:pPr>
        <w:autoSpaceDE w:val="0"/>
        <w:autoSpaceDN w:val="0"/>
        <w:adjustRightInd w:val="0"/>
        <w:spacing w:after="0"/>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t xml:space="preserve">11. </w:t>
      </w:r>
      <w:r w:rsidR="00DA1DB7" w:rsidRPr="004B45C6">
        <w:rPr>
          <w:rFonts w:ascii="Arial" w:hAnsi="Arial" w:cs="Arial"/>
          <w:b/>
          <w:color w:val="000000"/>
          <w:sz w:val="20"/>
          <w:szCs w:val="20"/>
          <w:shd w:val="clear" w:color="auto" w:fill="FFFFFF"/>
        </w:rPr>
        <w:t>Representação da Lei 8.666/93. Licitação. Pregão. Qualificação econômico-financeira. Aplicação da norma geral.</w:t>
      </w: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p>
    <w:p w:rsidR="0045283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r w:rsidRPr="004B45C6">
        <w:rPr>
          <w:rFonts w:ascii="Arial" w:hAnsi="Arial" w:cs="Arial"/>
          <w:color w:val="000000"/>
          <w:sz w:val="20"/>
          <w:szCs w:val="20"/>
          <w:shd w:val="clear" w:color="auto" w:fill="FFFFFF"/>
        </w:rPr>
        <w:lastRenderedPageBreak/>
        <w:t xml:space="preserve">A Lei nº 10.520/2002, em seu art. 4º, XIII, se limita a estabelecer que o licitante deve comprovar o atendimento às exigências do edital quanto à qualificação econômico-financeira, sem definir qualquer forma de apuração. </w:t>
      </w:r>
    </w:p>
    <w:p w:rsidR="00452837" w:rsidRPr="004B45C6" w:rsidRDefault="00452837" w:rsidP="00817E46">
      <w:pPr>
        <w:autoSpaceDE w:val="0"/>
        <w:autoSpaceDN w:val="0"/>
        <w:adjustRightInd w:val="0"/>
        <w:spacing w:after="0"/>
        <w:jc w:val="both"/>
        <w:rPr>
          <w:rFonts w:ascii="Arial" w:hAnsi="Arial" w:cs="Arial"/>
          <w:color w:val="000000"/>
          <w:sz w:val="20"/>
          <w:szCs w:val="20"/>
          <w:shd w:val="clear" w:color="auto" w:fill="FFFFFF"/>
        </w:rPr>
      </w:pP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r w:rsidRPr="004B45C6">
        <w:rPr>
          <w:rFonts w:ascii="Arial" w:hAnsi="Arial" w:cs="Arial"/>
          <w:color w:val="000000"/>
          <w:sz w:val="20"/>
          <w:szCs w:val="20"/>
          <w:shd w:val="clear" w:color="auto" w:fill="FFFFFF"/>
        </w:rPr>
        <w:t>Diante da omissão da Lei do Pregão, nos termos do que dispõe em seu art. 9º, devem ser aplicadas as normas previstas na Lei Geral de Licitações, dentre as quais se encontra art. 31, que estabelece a necessidade de apuração da qualificação econômico-financeira dos licitantes. Ao não exigir a documentação relativa à qualificação econômico-financeira dos licitantes, o órgão licitante deixa de anteder ao contido no art. 31 da Lei nº 8.666/93.</w:t>
      </w:r>
    </w:p>
    <w:p w:rsidR="00452837" w:rsidRPr="004B45C6" w:rsidRDefault="00452837" w:rsidP="00817E46">
      <w:pPr>
        <w:autoSpaceDE w:val="0"/>
        <w:autoSpaceDN w:val="0"/>
        <w:adjustRightInd w:val="0"/>
        <w:spacing w:after="0"/>
        <w:jc w:val="both"/>
        <w:rPr>
          <w:rFonts w:ascii="Arial" w:hAnsi="Arial" w:cs="Arial"/>
          <w:color w:val="000000"/>
          <w:sz w:val="20"/>
          <w:szCs w:val="20"/>
          <w:shd w:val="clear" w:color="auto" w:fill="FFFFFF"/>
        </w:rPr>
      </w:pPr>
    </w:p>
    <w:p w:rsidR="00DA1DB7" w:rsidRPr="004B45C6" w:rsidRDefault="00DA1DB7" w:rsidP="00817E46">
      <w:pPr>
        <w:autoSpaceDE w:val="0"/>
        <w:autoSpaceDN w:val="0"/>
        <w:adjustRightInd w:val="0"/>
        <w:spacing w:after="0"/>
        <w:jc w:val="both"/>
        <w:rPr>
          <w:rFonts w:ascii="Arial" w:hAnsi="Arial" w:cs="Arial"/>
          <w:color w:val="000000"/>
          <w:sz w:val="20"/>
          <w:szCs w:val="20"/>
          <w:shd w:val="clear" w:color="auto" w:fill="FFFFFF"/>
        </w:rPr>
      </w:pPr>
      <w:r w:rsidRPr="004B45C6">
        <w:rPr>
          <w:rFonts w:ascii="Arial" w:hAnsi="Arial" w:cs="Arial"/>
          <w:color w:val="000000"/>
          <w:sz w:val="20"/>
          <w:szCs w:val="20"/>
          <w:shd w:val="clear" w:color="auto" w:fill="FFFFFF"/>
        </w:rPr>
        <w:t>Processo n° 697514/17</w:t>
      </w:r>
      <w:r w:rsidR="00452837" w:rsidRPr="004B45C6">
        <w:rPr>
          <w:rFonts w:ascii="Arial" w:hAnsi="Arial" w:cs="Arial"/>
          <w:color w:val="000000"/>
          <w:sz w:val="20"/>
          <w:szCs w:val="20"/>
          <w:shd w:val="clear" w:color="auto" w:fill="FFFFFF"/>
        </w:rPr>
        <w:t xml:space="preserve"> - </w:t>
      </w:r>
      <w:hyperlink r:id="rId18" w:history="1">
        <w:r w:rsidRPr="004B45C6">
          <w:rPr>
            <w:rStyle w:val="Hyperlink"/>
            <w:rFonts w:ascii="Arial" w:hAnsi="Arial" w:cs="Arial"/>
            <w:sz w:val="20"/>
            <w:szCs w:val="20"/>
            <w:shd w:val="clear" w:color="auto" w:fill="FFFFFF"/>
          </w:rPr>
          <w:t xml:space="preserve">Acórdão nº 4318/17 </w:t>
        </w:r>
        <w:r w:rsidR="00452837" w:rsidRPr="004B45C6">
          <w:rPr>
            <w:rStyle w:val="Hyperlink"/>
            <w:rFonts w:ascii="Arial" w:hAnsi="Arial" w:cs="Arial"/>
            <w:sz w:val="20"/>
            <w:szCs w:val="20"/>
            <w:shd w:val="clear" w:color="auto" w:fill="FFFFFF"/>
          </w:rPr>
          <w:t>-</w:t>
        </w:r>
        <w:r w:rsidRPr="004B45C6">
          <w:rPr>
            <w:rStyle w:val="Hyperlink"/>
            <w:rFonts w:ascii="Arial" w:hAnsi="Arial" w:cs="Arial"/>
            <w:sz w:val="20"/>
            <w:szCs w:val="20"/>
            <w:shd w:val="clear" w:color="auto" w:fill="FFFFFF"/>
          </w:rPr>
          <w:t xml:space="preserve"> Tribunal Pleno</w:t>
        </w:r>
      </w:hyperlink>
      <w:r w:rsidR="00452837" w:rsidRPr="004B45C6">
        <w:rPr>
          <w:rStyle w:val="Hyperlink"/>
          <w:rFonts w:ascii="Arial" w:hAnsi="Arial" w:cs="Arial"/>
          <w:sz w:val="20"/>
          <w:szCs w:val="20"/>
          <w:u w:val="none"/>
          <w:shd w:val="clear" w:color="auto" w:fill="FFFFFF"/>
        </w:rPr>
        <w:t xml:space="preserve"> - </w:t>
      </w:r>
      <w:r w:rsidRPr="004B45C6">
        <w:rPr>
          <w:rFonts w:ascii="Arial" w:hAnsi="Arial" w:cs="Arial"/>
          <w:color w:val="000000"/>
          <w:sz w:val="20"/>
          <w:szCs w:val="20"/>
          <w:shd w:val="clear" w:color="auto" w:fill="FFFFFF"/>
        </w:rPr>
        <w:t>Relator Conselheiro Ivens Zschoerper Linhares.</w:t>
      </w:r>
    </w:p>
    <w:p w:rsidR="0026510B" w:rsidRPr="0026510B" w:rsidRDefault="0026510B" w:rsidP="00817E46">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rsidR="00E8762F" w:rsidRPr="0022060B" w:rsidRDefault="00E8762F" w:rsidP="00817E46">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7E46">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7E46">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601974" w:rsidRDefault="00601974" w:rsidP="00817E46">
      <w:pPr>
        <w:spacing w:after="0"/>
        <w:rPr>
          <w:rFonts w:ascii="Arial" w:hAnsi="Arial" w:cs="Arial"/>
          <w:b/>
          <w:color w:val="000000"/>
          <w:sz w:val="20"/>
          <w:szCs w:val="20"/>
        </w:rPr>
      </w:pPr>
    </w:p>
    <w:p w:rsidR="000800D1" w:rsidRPr="0022060B" w:rsidRDefault="000800D1" w:rsidP="00817E46">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CC4E55" w:rsidRDefault="00CC4E55" w:rsidP="00817E46">
      <w:pPr>
        <w:spacing w:after="0"/>
        <w:jc w:val="both"/>
        <w:rPr>
          <w:rFonts w:ascii="Arial" w:hAnsi="Arial" w:cs="Arial"/>
          <w:b/>
          <w:color w:val="000000"/>
          <w:sz w:val="20"/>
          <w:szCs w:val="20"/>
        </w:rPr>
      </w:pPr>
    </w:p>
    <w:p w:rsidR="00A20F2F" w:rsidRPr="00B96204" w:rsidRDefault="00345C6F" w:rsidP="00817E46">
      <w:pPr>
        <w:spacing w:after="0"/>
        <w:jc w:val="both"/>
        <w:rPr>
          <w:rFonts w:ascii="Arial" w:hAnsi="Arial" w:cs="Arial"/>
          <w:b/>
          <w:sz w:val="20"/>
          <w:szCs w:val="20"/>
        </w:rPr>
      </w:pPr>
      <w:hyperlink r:id="rId19" w:history="1">
        <w:r w:rsidR="00B96204" w:rsidRPr="00B96204">
          <w:rPr>
            <w:rStyle w:val="Hyperlink"/>
            <w:rFonts w:ascii="Arial" w:hAnsi="Arial" w:cs="Arial"/>
            <w:sz w:val="20"/>
            <w:szCs w:val="20"/>
            <w:shd w:val="clear" w:color="auto" w:fill="FFFFFF"/>
          </w:rPr>
          <w:t>MS 21.750-DF</w:t>
        </w:r>
      </w:hyperlink>
      <w:r w:rsidR="00B96204" w:rsidRPr="00B96204">
        <w:rPr>
          <w:rFonts w:ascii="Arial" w:hAnsi="Arial" w:cs="Arial"/>
          <w:b/>
          <w:sz w:val="20"/>
          <w:szCs w:val="20"/>
          <w:shd w:val="clear" w:color="auto" w:fill="FFFFFF"/>
        </w:rPr>
        <w:t xml:space="preserve">, Rel. Min. Napoleão Nunes Maia Filho, por unanimidade, julgado em 25/10/2017, </w:t>
      </w:r>
      <w:proofErr w:type="spellStart"/>
      <w:r w:rsidR="00B96204" w:rsidRPr="00B96204">
        <w:rPr>
          <w:rFonts w:ascii="Arial" w:hAnsi="Arial" w:cs="Arial"/>
          <w:b/>
          <w:sz w:val="20"/>
          <w:szCs w:val="20"/>
          <w:shd w:val="clear" w:color="auto" w:fill="FFFFFF"/>
        </w:rPr>
        <w:t>DJe</w:t>
      </w:r>
      <w:proofErr w:type="spellEnd"/>
      <w:r w:rsidR="00B96204" w:rsidRPr="00B96204">
        <w:rPr>
          <w:rFonts w:ascii="Arial" w:hAnsi="Arial" w:cs="Arial"/>
          <w:b/>
          <w:sz w:val="20"/>
          <w:szCs w:val="20"/>
          <w:shd w:val="clear" w:color="auto" w:fill="FFFFFF"/>
        </w:rPr>
        <w:t xml:space="preserve"> 07/11/2017</w:t>
      </w:r>
    </w:p>
    <w:p w:rsidR="00A20F2F" w:rsidRDefault="00A20F2F" w:rsidP="00817E46">
      <w:pPr>
        <w:spacing w:after="0"/>
        <w:jc w:val="both"/>
        <w:rPr>
          <w:rFonts w:ascii="Arial" w:hAnsi="Arial" w:cs="Arial"/>
          <w:b/>
          <w:color w:val="000000"/>
          <w:sz w:val="20"/>
          <w:szCs w:val="20"/>
        </w:rPr>
      </w:pPr>
    </w:p>
    <w:p w:rsidR="00A20F2F" w:rsidRDefault="000B311A" w:rsidP="00817E46">
      <w:pPr>
        <w:spacing w:after="0"/>
        <w:jc w:val="both"/>
        <w:rPr>
          <w:rFonts w:ascii="Arial" w:hAnsi="Arial" w:cs="Arial"/>
          <w:b/>
          <w:sz w:val="20"/>
          <w:szCs w:val="20"/>
          <w:shd w:val="clear" w:color="auto" w:fill="FFFFFF"/>
        </w:rPr>
      </w:pPr>
      <w:r w:rsidRPr="000B311A">
        <w:rPr>
          <w:rFonts w:ascii="Arial" w:hAnsi="Arial" w:cs="Arial"/>
          <w:b/>
          <w:sz w:val="20"/>
          <w:szCs w:val="20"/>
          <w:shd w:val="clear" w:color="auto" w:fill="FFFFFF"/>
        </w:rPr>
        <w:t>Mandado de segurança. Penalidade aplicada com base na Lei n. 10.520/2002. Divulgação no Portal da Transparência gerenciado pela CGU. Cadastro Nacional de Empresas Inidôneas e Suspensas - CEIS. Caráter informativo.</w:t>
      </w:r>
    </w:p>
    <w:p w:rsidR="000B311A" w:rsidRDefault="000B311A" w:rsidP="00817E46">
      <w:pPr>
        <w:spacing w:after="0"/>
        <w:jc w:val="both"/>
        <w:rPr>
          <w:rFonts w:ascii="Arial" w:hAnsi="Arial" w:cs="Arial"/>
          <w:b/>
          <w:sz w:val="20"/>
          <w:szCs w:val="20"/>
          <w:shd w:val="clear" w:color="auto" w:fill="FFFFFF"/>
        </w:rPr>
      </w:pPr>
    </w:p>
    <w:p w:rsidR="000B311A" w:rsidRPr="000B311A" w:rsidRDefault="000B311A" w:rsidP="00817E46">
      <w:pPr>
        <w:spacing w:after="0"/>
        <w:jc w:val="both"/>
        <w:rPr>
          <w:rFonts w:ascii="Arial" w:hAnsi="Arial" w:cs="Arial"/>
          <w:b/>
          <w:sz w:val="20"/>
          <w:szCs w:val="20"/>
        </w:rPr>
      </w:pPr>
      <w:r w:rsidRPr="000B311A">
        <w:rPr>
          <w:rFonts w:ascii="Arial" w:hAnsi="Arial" w:cs="Arial"/>
          <w:sz w:val="20"/>
          <w:szCs w:val="20"/>
          <w:shd w:val="clear" w:color="auto" w:fill="FFFFFF"/>
        </w:rPr>
        <w:t xml:space="preserve">A divulgação do Cadastro Nacional de Empresas Inidôneas e Suspensas </w:t>
      </w:r>
      <w:r w:rsidR="009F1918">
        <w:rPr>
          <w:rFonts w:ascii="Arial" w:hAnsi="Arial" w:cs="Arial"/>
          <w:sz w:val="20"/>
          <w:szCs w:val="20"/>
          <w:shd w:val="clear" w:color="auto" w:fill="FFFFFF"/>
        </w:rPr>
        <w:t>-</w:t>
      </w:r>
      <w:r w:rsidRPr="000B311A">
        <w:rPr>
          <w:rFonts w:ascii="Arial" w:hAnsi="Arial" w:cs="Arial"/>
          <w:sz w:val="20"/>
          <w:szCs w:val="20"/>
          <w:shd w:val="clear" w:color="auto" w:fill="FFFFFF"/>
        </w:rPr>
        <w:t xml:space="preserve"> CEIS pela CGU tem mero caráter informativo, não sendo determinante para que os entes federativos impeçam a participação, em licitações, das empresas ali constantes.</w:t>
      </w:r>
    </w:p>
    <w:p w:rsidR="00A20F2F" w:rsidRDefault="00A20F2F" w:rsidP="00817E46">
      <w:pPr>
        <w:spacing w:after="0"/>
        <w:jc w:val="both"/>
        <w:rPr>
          <w:rFonts w:ascii="Arial" w:hAnsi="Arial" w:cs="Arial"/>
          <w:b/>
          <w:color w:val="000000"/>
          <w:sz w:val="20"/>
          <w:szCs w:val="20"/>
        </w:rPr>
      </w:pPr>
    </w:p>
    <w:p w:rsidR="000800D1" w:rsidRPr="00DB558E" w:rsidRDefault="000800D1" w:rsidP="00817E46">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4B45C6" w:rsidRDefault="004B45C6" w:rsidP="00817E46">
      <w:pPr>
        <w:widowControl w:val="0"/>
        <w:autoSpaceDE w:val="0"/>
        <w:autoSpaceDN w:val="0"/>
        <w:spacing w:after="0"/>
        <w:jc w:val="both"/>
      </w:pPr>
    </w:p>
    <w:p w:rsidR="00C90685" w:rsidRPr="00DB558E" w:rsidRDefault="00345C6F" w:rsidP="00817E46">
      <w:pPr>
        <w:widowControl w:val="0"/>
        <w:autoSpaceDE w:val="0"/>
        <w:autoSpaceDN w:val="0"/>
        <w:spacing w:after="0"/>
        <w:jc w:val="both"/>
        <w:rPr>
          <w:rFonts w:ascii="Arial" w:hAnsi="Arial" w:cs="Arial"/>
          <w:b/>
          <w:sz w:val="20"/>
          <w:szCs w:val="20"/>
        </w:rPr>
      </w:pPr>
      <w:hyperlink r:id="rId20" w:history="1">
        <w:r w:rsidR="00C90685" w:rsidRPr="00D163A3">
          <w:rPr>
            <w:rStyle w:val="Hyperlink"/>
            <w:rFonts w:ascii="Arial" w:hAnsi="Arial" w:cs="Arial"/>
            <w:sz w:val="20"/>
            <w:szCs w:val="20"/>
          </w:rPr>
          <w:t>Acórdão 1896/2017</w:t>
        </w:r>
        <w:r w:rsidR="00FD7395">
          <w:rPr>
            <w:rStyle w:val="Hyperlink"/>
            <w:rFonts w:ascii="Arial" w:hAnsi="Arial" w:cs="Arial"/>
            <w:sz w:val="20"/>
            <w:szCs w:val="20"/>
          </w:rPr>
          <w:t xml:space="preserve"> -</w:t>
        </w:r>
        <w:r w:rsidR="00920D01">
          <w:rPr>
            <w:rStyle w:val="Hyperlink"/>
            <w:rFonts w:ascii="Arial" w:hAnsi="Arial" w:cs="Arial"/>
            <w:sz w:val="20"/>
            <w:szCs w:val="20"/>
          </w:rPr>
          <w:t xml:space="preserve"> </w:t>
        </w:r>
        <w:r w:rsidR="00C90685" w:rsidRPr="00D163A3">
          <w:rPr>
            <w:rStyle w:val="Hyperlink"/>
            <w:rFonts w:ascii="Arial" w:hAnsi="Arial" w:cs="Arial"/>
            <w:sz w:val="20"/>
            <w:szCs w:val="20"/>
          </w:rPr>
          <w:t>Plenário</w:t>
        </w:r>
      </w:hyperlink>
      <w:r w:rsidR="00C90685" w:rsidRPr="00DB558E">
        <w:rPr>
          <w:rFonts w:ascii="Arial" w:hAnsi="Arial" w:cs="Arial"/>
          <w:b/>
          <w:sz w:val="20"/>
          <w:szCs w:val="20"/>
        </w:rPr>
        <w:t xml:space="preserve"> </w:t>
      </w:r>
      <w:r w:rsidR="00C90685" w:rsidRPr="00DB558E">
        <w:rPr>
          <w:rFonts w:ascii="Arial" w:hAnsi="Arial" w:cs="Arial"/>
          <w:sz w:val="20"/>
          <w:szCs w:val="20"/>
        </w:rPr>
        <w:t>(Recurso de Reconsideração, Relator Ministro Bruno Dantas)</w:t>
      </w:r>
    </w:p>
    <w:p w:rsidR="00817E46" w:rsidRDefault="00817E46" w:rsidP="00817E46">
      <w:pPr>
        <w:spacing w:after="0"/>
        <w:jc w:val="both"/>
        <w:rPr>
          <w:rFonts w:ascii="Arial" w:hAnsi="Arial" w:cs="Arial"/>
          <w:b/>
          <w:sz w:val="20"/>
          <w:szCs w:val="20"/>
        </w:rPr>
      </w:pPr>
    </w:p>
    <w:p w:rsidR="00C90685" w:rsidRPr="00FD7395" w:rsidRDefault="00C90685" w:rsidP="00817E46">
      <w:pPr>
        <w:spacing w:after="0"/>
        <w:jc w:val="both"/>
        <w:rPr>
          <w:rFonts w:ascii="Arial" w:hAnsi="Arial" w:cs="Arial"/>
          <w:b/>
          <w:sz w:val="20"/>
          <w:szCs w:val="20"/>
        </w:rPr>
      </w:pPr>
      <w:r w:rsidRPr="00FD7395">
        <w:rPr>
          <w:rFonts w:ascii="Arial" w:hAnsi="Arial" w:cs="Arial"/>
          <w:b/>
          <w:sz w:val="20"/>
          <w:szCs w:val="20"/>
        </w:rPr>
        <w:t>Direito Processual. Prova (Direito). Prova emprestada. Interceptação telefônica. Requisito.</w:t>
      </w:r>
    </w:p>
    <w:p w:rsidR="00817E46" w:rsidRDefault="00817E46" w:rsidP="00817E46">
      <w:pPr>
        <w:pStyle w:val="TCU-Epgrafe"/>
        <w:spacing w:line="276" w:lineRule="auto"/>
        <w:ind w:left="0"/>
        <w:rPr>
          <w:rFonts w:ascii="Arial" w:hAnsi="Arial" w:cs="Arial"/>
          <w:sz w:val="20"/>
        </w:rPr>
      </w:pPr>
    </w:p>
    <w:p w:rsidR="00C90685" w:rsidRDefault="00C90685" w:rsidP="00817E46">
      <w:pPr>
        <w:pStyle w:val="TCU-Epgrafe"/>
        <w:spacing w:line="276" w:lineRule="auto"/>
        <w:ind w:left="0"/>
        <w:rPr>
          <w:rFonts w:ascii="Arial" w:hAnsi="Arial" w:cs="Arial"/>
          <w:sz w:val="20"/>
        </w:rPr>
      </w:pPr>
      <w:r w:rsidRPr="00DB558E">
        <w:rPr>
          <w:rFonts w:ascii="Arial" w:hAnsi="Arial" w:cs="Arial"/>
          <w:sz w:val="20"/>
        </w:rPr>
        <w:t xml:space="preserve">É válida a utilização, no âmbito do TCU, de informações obtidas mediante interceptações telefônicas constante de inquéritos e ações penais como prova emprestada, desde que se observem os seguintes requisitos: a interceptação telefônica tenha ocorrido por meio de autorização judicial; o juízo competente autorize o compartilhamento da prova com o processo administrativo; e os princípios do contraditório e da ampla defesa acerca dos elementos trazidos do empréstimo sejam observados. </w:t>
      </w:r>
    </w:p>
    <w:p w:rsidR="00817E46" w:rsidRPr="00DB558E" w:rsidRDefault="00817E46" w:rsidP="00817E46">
      <w:pPr>
        <w:pStyle w:val="TCU-Epgrafe"/>
        <w:spacing w:line="276" w:lineRule="auto"/>
        <w:ind w:left="0"/>
        <w:rPr>
          <w:rFonts w:ascii="Arial" w:hAnsi="Arial" w:cs="Arial"/>
          <w:sz w:val="20"/>
        </w:rPr>
      </w:pPr>
    </w:p>
    <w:p w:rsidR="00C90685" w:rsidRPr="00DB558E" w:rsidRDefault="00345C6F" w:rsidP="00817E46">
      <w:pPr>
        <w:widowControl w:val="0"/>
        <w:autoSpaceDE w:val="0"/>
        <w:autoSpaceDN w:val="0"/>
        <w:spacing w:after="0"/>
        <w:jc w:val="both"/>
        <w:rPr>
          <w:rFonts w:ascii="Arial" w:hAnsi="Arial" w:cs="Arial"/>
          <w:b/>
          <w:sz w:val="20"/>
          <w:szCs w:val="20"/>
        </w:rPr>
      </w:pPr>
      <w:hyperlink r:id="rId21" w:history="1">
        <w:r w:rsidR="00C90685" w:rsidRPr="00920D01">
          <w:rPr>
            <w:rStyle w:val="Hyperlink"/>
            <w:rFonts w:ascii="Arial" w:hAnsi="Arial" w:cs="Arial"/>
            <w:sz w:val="20"/>
            <w:szCs w:val="20"/>
          </w:rPr>
          <w:t>Acórdão 7982/2017</w:t>
        </w:r>
        <w:r w:rsidR="00920D01">
          <w:rPr>
            <w:rStyle w:val="Hyperlink"/>
            <w:rFonts w:ascii="Arial" w:hAnsi="Arial" w:cs="Arial"/>
            <w:sz w:val="20"/>
            <w:szCs w:val="20"/>
          </w:rPr>
          <w:t xml:space="preserve"> - </w:t>
        </w:r>
        <w:r w:rsidR="00C90685" w:rsidRPr="00920D01">
          <w:rPr>
            <w:rStyle w:val="Hyperlink"/>
            <w:rFonts w:ascii="Arial" w:hAnsi="Arial" w:cs="Arial"/>
            <w:sz w:val="20"/>
            <w:szCs w:val="20"/>
          </w:rPr>
          <w:t>Segunda Câmara</w:t>
        </w:r>
      </w:hyperlink>
      <w:r w:rsidR="00C90685" w:rsidRPr="00DB558E">
        <w:rPr>
          <w:rFonts w:ascii="Arial" w:hAnsi="Arial" w:cs="Arial"/>
          <w:b/>
          <w:sz w:val="20"/>
          <w:szCs w:val="20"/>
        </w:rPr>
        <w:t xml:space="preserve"> </w:t>
      </w:r>
      <w:r w:rsidR="00C90685" w:rsidRPr="00DB558E">
        <w:rPr>
          <w:rFonts w:ascii="Arial" w:hAnsi="Arial" w:cs="Arial"/>
          <w:sz w:val="20"/>
          <w:szCs w:val="20"/>
        </w:rPr>
        <w:t>(Representação, Relator Ministra Ana Arraes)</w:t>
      </w:r>
    </w:p>
    <w:p w:rsidR="00817E46" w:rsidRDefault="00817E46" w:rsidP="00817E46">
      <w:pPr>
        <w:spacing w:after="0"/>
        <w:jc w:val="both"/>
        <w:rPr>
          <w:rFonts w:ascii="Arial" w:hAnsi="Arial" w:cs="Arial"/>
          <w:b/>
          <w:sz w:val="20"/>
          <w:szCs w:val="20"/>
        </w:rPr>
      </w:pPr>
    </w:p>
    <w:p w:rsidR="00C90685" w:rsidRDefault="00C90685" w:rsidP="00817E46">
      <w:pPr>
        <w:spacing w:after="0"/>
        <w:jc w:val="both"/>
        <w:rPr>
          <w:rFonts w:ascii="Arial" w:hAnsi="Arial" w:cs="Arial"/>
          <w:b/>
          <w:sz w:val="20"/>
          <w:szCs w:val="20"/>
        </w:rPr>
      </w:pPr>
      <w:r w:rsidRPr="00920D01">
        <w:rPr>
          <w:rFonts w:ascii="Arial" w:hAnsi="Arial" w:cs="Arial"/>
          <w:b/>
          <w:sz w:val="20"/>
          <w:szCs w:val="20"/>
        </w:rPr>
        <w:t>Licitação. Habilitação jurídica. Documentação. Alvará. Funcionamento. Exigência.</w:t>
      </w:r>
    </w:p>
    <w:p w:rsidR="00817E46" w:rsidRPr="00920D01" w:rsidRDefault="00817E46" w:rsidP="00817E46">
      <w:pPr>
        <w:spacing w:after="0"/>
        <w:jc w:val="both"/>
        <w:rPr>
          <w:rFonts w:ascii="Arial" w:hAnsi="Arial" w:cs="Arial"/>
          <w:b/>
          <w:sz w:val="20"/>
          <w:szCs w:val="20"/>
        </w:rPr>
      </w:pPr>
    </w:p>
    <w:p w:rsidR="00C90685" w:rsidRPr="00DB558E" w:rsidRDefault="00C90685" w:rsidP="00817E46">
      <w:pPr>
        <w:pStyle w:val="TCU-Epgrafe"/>
        <w:spacing w:line="276" w:lineRule="auto"/>
        <w:ind w:left="0"/>
        <w:rPr>
          <w:rFonts w:ascii="Arial" w:hAnsi="Arial" w:cs="Arial"/>
          <w:sz w:val="20"/>
        </w:rPr>
      </w:pPr>
      <w:r w:rsidRPr="00DB558E">
        <w:rPr>
          <w:rFonts w:ascii="Arial" w:hAnsi="Arial" w:cs="Arial"/>
          <w:sz w:val="20"/>
        </w:rPr>
        <w:t>Para fins de habilitação jurídica, é vedada a exigência de apresentação de alvará de funcionamento sem a demonstração de que o documento constitui exigência do Poder Público para o funcionamento da licitante, o que deve ser evidenciado mediante indicação expressa da norma de regência no edital da licitação.</w:t>
      </w:r>
    </w:p>
    <w:p w:rsidR="00817E46" w:rsidRDefault="00817E46" w:rsidP="00817E46">
      <w:pPr>
        <w:widowControl w:val="0"/>
        <w:autoSpaceDE w:val="0"/>
        <w:autoSpaceDN w:val="0"/>
        <w:spacing w:after="0"/>
        <w:jc w:val="both"/>
      </w:pPr>
    </w:p>
    <w:p w:rsidR="00B30291" w:rsidRPr="00DB558E" w:rsidRDefault="00345C6F" w:rsidP="00817E46">
      <w:pPr>
        <w:widowControl w:val="0"/>
        <w:autoSpaceDE w:val="0"/>
        <w:autoSpaceDN w:val="0"/>
        <w:spacing w:after="0"/>
        <w:jc w:val="both"/>
        <w:rPr>
          <w:rFonts w:ascii="Arial" w:hAnsi="Arial" w:cs="Arial"/>
          <w:b/>
          <w:sz w:val="20"/>
          <w:szCs w:val="20"/>
        </w:rPr>
      </w:pPr>
      <w:hyperlink r:id="rId22" w:history="1">
        <w:r w:rsidR="00B30291" w:rsidRPr="003B4F77">
          <w:rPr>
            <w:rStyle w:val="Hyperlink"/>
            <w:rFonts w:ascii="Arial" w:hAnsi="Arial" w:cs="Arial"/>
            <w:sz w:val="20"/>
            <w:szCs w:val="20"/>
          </w:rPr>
          <w:t>Acórdão 8696/2017</w:t>
        </w:r>
        <w:r w:rsidR="003B4F77">
          <w:rPr>
            <w:rStyle w:val="Hyperlink"/>
            <w:rFonts w:ascii="Arial" w:hAnsi="Arial" w:cs="Arial"/>
            <w:sz w:val="20"/>
            <w:szCs w:val="20"/>
          </w:rPr>
          <w:t xml:space="preserve"> -</w:t>
        </w:r>
        <w:r w:rsidR="00B30291" w:rsidRPr="003B4F77">
          <w:rPr>
            <w:rStyle w:val="Hyperlink"/>
            <w:rFonts w:ascii="Arial" w:hAnsi="Arial" w:cs="Arial"/>
            <w:sz w:val="20"/>
            <w:szCs w:val="20"/>
          </w:rPr>
          <w:t xml:space="preserve"> Segunda Câmara</w:t>
        </w:r>
      </w:hyperlink>
      <w:r w:rsidR="00B30291" w:rsidRPr="00DB558E">
        <w:rPr>
          <w:rFonts w:ascii="Arial" w:hAnsi="Arial" w:cs="Arial"/>
          <w:b/>
          <w:sz w:val="20"/>
          <w:szCs w:val="20"/>
        </w:rPr>
        <w:t xml:space="preserve"> </w:t>
      </w:r>
      <w:r w:rsidR="00B30291" w:rsidRPr="00DB558E">
        <w:rPr>
          <w:rFonts w:ascii="Arial" w:hAnsi="Arial" w:cs="Arial"/>
          <w:sz w:val="20"/>
          <w:szCs w:val="20"/>
        </w:rPr>
        <w:t>(Embargos de Declaração, Relator Ministro Aroldo Cedraz)</w:t>
      </w:r>
    </w:p>
    <w:p w:rsidR="00817E46" w:rsidRDefault="00817E46" w:rsidP="00817E46">
      <w:pPr>
        <w:spacing w:after="0"/>
        <w:jc w:val="both"/>
        <w:rPr>
          <w:rFonts w:ascii="Arial" w:hAnsi="Arial" w:cs="Arial"/>
          <w:b/>
          <w:sz w:val="20"/>
          <w:szCs w:val="20"/>
        </w:rPr>
      </w:pPr>
    </w:p>
    <w:p w:rsidR="00B30291" w:rsidRPr="00032A26" w:rsidRDefault="00B30291" w:rsidP="00817E46">
      <w:pPr>
        <w:spacing w:after="0"/>
        <w:jc w:val="both"/>
        <w:rPr>
          <w:rFonts w:ascii="Arial" w:hAnsi="Arial" w:cs="Arial"/>
          <w:b/>
          <w:sz w:val="20"/>
          <w:szCs w:val="20"/>
        </w:rPr>
      </w:pPr>
      <w:r w:rsidRPr="00032A26">
        <w:rPr>
          <w:rFonts w:ascii="Arial" w:hAnsi="Arial" w:cs="Arial"/>
          <w:b/>
          <w:sz w:val="20"/>
          <w:szCs w:val="20"/>
        </w:rPr>
        <w:t>Direito Processual. Embargos de declaração. Omissão. Multa. Dosimetria.</w:t>
      </w:r>
    </w:p>
    <w:p w:rsidR="00817E46" w:rsidRDefault="00817E46" w:rsidP="00817E46">
      <w:pPr>
        <w:pStyle w:val="Default"/>
        <w:spacing w:line="276" w:lineRule="auto"/>
        <w:jc w:val="both"/>
        <w:rPr>
          <w:sz w:val="20"/>
          <w:szCs w:val="20"/>
        </w:rPr>
      </w:pPr>
    </w:p>
    <w:p w:rsidR="00B30291" w:rsidRDefault="00B30291" w:rsidP="00817E46">
      <w:pPr>
        <w:pStyle w:val="Default"/>
        <w:spacing w:line="276" w:lineRule="auto"/>
        <w:jc w:val="both"/>
        <w:rPr>
          <w:sz w:val="20"/>
          <w:szCs w:val="20"/>
        </w:rPr>
      </w:pPr>
      <w:r w:rsidRPr="00DB558E">
        <w:rPr>
          <w:sz w:val="20"/>
          <w:szCs w:val="20"/>
        </w:rPr>
        <w:t>Não configura omissão apta ao provimento de embargos de declaração a ausência de indicação do critério utilizado para estipular o montante da multa, uma vez que a dosimetria da sanção é orientada por juízo discricionário de valor acerca da gravidade das irregularidades verificadas no caso concreto, tendo como limites apenas aqueles fixados legal e regimentalmente (</w:t>
      </w:r>
      <w:proofErr w:type="spellStart"/>
      <w:r w:rsidRPr="00DB558E">
        <w:rPr>
          <w:sz w:val="20"/>
          <w:szCs w:val="20"/>
        </w:rPr>
        <w:t>arts</w:t>
      </w:r>
      <w:proofErr w:type="spellEnd"/>
      <w:r w:rsidRPr="00DB558E">
        <w:rPr>
          <w:sz w:val="20"/>
          <w:szCs w:val="20"/>
        </w:rPr>
        <w:t xml:space="preserve">. 57 e 58 da </w:t>
      </w:r>
      <w:hyperlink r:id="rId23" w:tgtFrame="_blank" w:history="1">
        <w:r w:rsidRPr="00DB558E">
          <w:rPr>
            <w:rStyle w:val="Hyperlink"/>
            <w:color w:val="0000FF" w:themeColor="hyperlink"/>
            <w:sz w:val="20"/>
            <w:szCs w:val="20"/>
            <w:shd w:val="clear" w:color="auto" w:fill="FFFFFF"/>
          </w:rPr>
          <w:t>Lei 8.443/1992</w:t>
        </w:r>
      </w:hyperlink>
      <w:r w:rsidRPr="00DB558E">
        <w:rPr>
          <w:sz w:val="20"/>
          <w:szCs w:val="20"/>
        </w:rPr>
        <w:t xml:space="preserve"> e art. 268, incisos I a VIII, do </w:t>
      </w:r>
      <w:hyperlink r:id="rId24" w:history="1">
        <w:r w:rsidRPr="00DB558E">
          <w:rPr>
            <w:rStyle w:val="Hyperlink"/>
            <w:color w:val="0000FF" w:themeColor="hyperlink"/>
            <w:sz w:val="20"/>
            <w:szCs w:val="20"/>
          </w:rPr>
          <w:t>Regimento Interno do TCU</w:t>
        </w:r>
      </w:hyperlink>
      <w:r w:rsidRPr="00DB558E">
        <w:rPr>
          <w:sz w:val="20"/>
          <w:szCs w:val="20"/>
        </w:rPr>
        <w:t>).</w:t>
      </w:r>
    </w:p>
    <w:p w:rsidR="00817E46" w:rsidRPr="00DB558E" w:rsidRDefault="00817E46" w:rsidP="00817E46">
      <w:pPr>
        <w:pStyle w:val="Default"/>
        <w:spacing w:line="276" w:lineRule="auto"/>
        <w:jc w:val="both"/>
        <w:rPr>
          <w:sz w:val="20"/>
          <w:szCs w:val="20"/>
        </w:rPr>
      </w:pPr>
    </w:p>
    <w:p w:rsidR="002F1848" w:rsidRPr="00DB558E" w:rsidRDefault="00345C6F" w:rsidP="00817E46">
      <w:pPr>
        <w:widowControl w:val="0"/>
        <w:autoSpaceDE w:val="0"/>
        <w:autoSpaceDN w:val="0"/>
        <w:spacing w:after="0"/>
        <w:jc w:val="both"/>
        <w:rPr>
          <w:rFonts w:ascii="Arial" w:hAnsi="Arial" w:cs="Arial"/>
          <w:b/>
          <w:sz w:val="20"/>
          <w:szCs w:val="20"/>
        </w:rPr>
      </w:pPr>
      <w:hyperlink r:id="rId25" w:history="1">
        <w:r w:rsidR="002F1848" w:rsidRPr="00032A26">
          <w:rPr>
            <w:rStyle w:val="Hyperlink"/>
            <w:rFonts w:ascii="Arial" w:hAnsi="Arial" w:cs="Arial"/>
            <w:sz w:val="20"/>
            <w:szCs w:val="20"/>
          </w:rPr>
          <w:t>Acórdão 2000/2017</w:t>
        </w:r>
        <w:r w:rsidR="004A0A41">
          <w:rPr>
            <w:rStyle w:val="Hyperlink"/>
            <w:rFonts w:ascii="Arial" w:hAnsi="Arial" w:cs="Arial"/>
            <w:sz w:val="20"/>
            <w:szCs w:val="20"/>
          </w:rPr>
          <w:t xml:space="preserve"> -</w:t>
        </w:r>
        <w:r w:rsidR="002F1848" w:rsidRPr="00032A26">
          <w:rPr>
            <w:rStyle w:val="Hyperlink"/>
            <w:rFonts w:ascii="Arial" w:hAnsi="Arial" w:cs="Arial"/>
            <w:sz w:val="20"/>
            <w:szCs w:val="20"/>
          </w:rPr>
          <w:t xml:space="preserve"> Plenário</w:t>
        </w:r>
      </w:hyperlink>
      <w:r w:rsidR="002F1848" w:rsidRPr="00DB558E">
        <w:rPr>
          <w:rFonts w:ascii="Arial" w:hAnsi="Arial" w:cs="Arial"/>
          <w:b/>
          <w:sz w:val="20"/>
          <w:szCs w:val="20"/>
        </w:rPr>
        <w:t xml:space="preserve"> </w:t>
      </w:r>
      <w:r w:rsidR="002F1848" w:rsidRPr="00DB558E">
        <w:rPr>
          <w:rFonts w:ascii="Arial" w:hAnsi="Arial" w:cs="Arial"/>
          <w:sz w:val="20"/>
          <w:szCs w:val="20"/>
        </w:rPr>
        <w:t xml:space="preserve">(Agravo, Relator Ministro Benjamin </w:t>
      </w:r>
      <w:proofErr w:type="spellStart"/>
      <w:r w:rsidR="002F1848" w:rsidRPr="00DB558E">
        <w:rPr>
          <w:rFonts w:ascii="Arial" w:hAnsi="Arial" w:cs="Arial"/>
          <w:sz w:val="20"/>
          <w:szCs w:val="20"/>
        </w:rPr>
        <w:t>Zymler</w:t>
      </w:r>
      <w:proofErr w:type="spellEnd"/>
      <w:r w:rsidR="002F1848" w:rsidRPr="00DB558E">
        <w:rPr>
          <w:rFonts w:ascii="Arial" w:hAnsi="Arial" w:cs="Arial"/>
          <w:sz w:val="20"/>
          <w:szCs w:val="20"/>
        </w:rPr>
        <w:t>)</w:t>
      </w:r>
    </w:p>
    <w:p w:rsidR="00817E46" w:rsidRDefault="00817E46" w:rsidP="00817E46">
      <w:pPr>
        <w:spacing w:after="0"/>
        <w:jc w:val="both"/>
        <w:rPr>
          <w:rFonts w:ascii="Arial" w:hAnsi="Arial" w:cs="Arial"/>
          <w:b/>
          <w:sz w:val="20"/>
          <w:szCs w:val="20"/>
        </w:rPr>
      </w:pPr>
    </w:p>
    <w:p w:rsidR="002F1848" w:rsidRDefault="002F1848" w:rsidP="00817E46">
      <w:pPr>
        <w:spacing w:after="0"/>
        <w:jc w:val="both"/>
        <w:rPr>
          <w:rFonts w:ascii="Arial" w:hAnsi="Arial" w:cs="Arial"/>
          <w:b/>
          <w:sz w:val="20"/>
          <w:szCs w:val="20"/>
        </w:rPr>
      </w:pPr>
      <w:r w:rsidRPr="00032A26">
        <w:rPr>
          <w:rFonts w:ascii="Arial" w:hAnsi="Arial" w:cs="Arial"/>
          <w:b/>
          <w:sz w:val="20"/>
          <w:szCs w:val="20"/>
        </w:rPr>
        <w:t>Aposentadoria. Proventos. Base de cálculo. Contribuição previdenciária. Pensão. Vedação.</w:t>
      </w:r>
    </w:p>
    <w:p w:rsidR="00817E46" w:rsidRPr="00032A26" w:rsidRDefault="00817E46" w:rsidP="00817E46">
      <w:pPr>
        <w:spacing w:after="0"/>
        <w:jc w:val="both"/>
        <w:rPr>
          <w:rFonts w:ascii="Arial" w:hAnsi="Arial" w:cs="Arial"/>
          <w:b/>
          <w:sz w:val="20"/>
          <w:szCs w:val="20"/>
        </w:rPr>
      </w:pPr>
    </w:p>
    <w:p w:rsidR="002F1848" w:rsidRDefault="002F1848" w:rsidP="00817E46">
      <w:pPr>
        <w:pStyle w:val="TCU-Epgrafe"/>
        <w:spacing w:line="276" w:lineRule="auto"/>
        <w:ind w:left="0"/>
        <w:rPr>
          <w:rFonts w:ascii="Arial" w:hAnsi="Arial" w:cs="Arial"/>
          <w:sz w:val="20"/>
        </w:rPr>
      </w:pPr>
      <w:r w:rsidRPr="00DB558E">
        <w:rPr>
          <w:rFonts w:ascii="Arial" w:hAnsi="Arial" w:cs="Arial"/>
          <w:sz w:val="20"/>
        </w:rPr>
        <w:t>No regime contributivo previdenciário constitucional é vedado ao servidor público carrear para os proventos da aposentadoria ou para a pensão por ele instituída parcela da remuneração sobre a qual não incidiu desconto previdenciário.</w:t>
      </w:r>
    </w:p>
    <w:p w:rsidR="00817E46" w:rsidRPr="00DB558E" w:rsidRDefault="00817E46" w:rsidP="00817E46">
      <w:pPr>
        <w:pStyle w:val="TCU-Epgrafe"/>
        <w:spacing w:line="276" w:lineRule="auto"/>
        <w:ind w:left="0"/>
        <w:rPr>
          <w:rFonts w:ascii="Arial" w:hAnsi="Arial" w:cs="Arial"/>
          <w:sz w:val="20"/>
        </w:rPr>
      </w:pPr>
    </w:p>
    <w:p w:rsidR="002F1848" w:rsidRPr="00DB558E" w:rsidRDefault="00345C6F" w:rsidP="00817E46">
      <w:pPr>
        <w:widowControl w:val="0"/>
        <w:autoSpaceDE w:val="0"/>
        <w:autoSpaceDN w:val="0"/>
        <w:spacing w:after="0"/>
        <w:jc w:val="both"/>
        <w:rPr>
          <w:rFonts w:ascii="Arial" w:hAnsi="Arial" w:cs="Arial"/>
          <w:b/>
          <w:sz w:val="20"/>
          <w:szCs w:val="20"/>
        </w:rPr>
      </w:pPr>
      <w:hyperlink r:id="rId26" w:history="1">
        <w:r w:rsidR="002F1848" w:rsidRPr="0047499A">
          <w:rPr>
            <w:rStyle w:val="Hyperlink"/>
            <w:rFonts w:ascii="Arial" w:hAnsi="Arial" w:cs="Arial"/>
            <w:sz w:val="20"/>
            <w:szCs w:val="20"/>
          </w:rPr>
          <w:t>Acórdão 8512/2017</w:t>
        </w:r>
        <w:r w:rsidR="004A0A41">
          <w:rPr>
            <w:rStyle w:val="Hyperlink"/>
            <w:rFonts w:ascii="Arial" w:hAnsi="Arial" w:cs="Arial"/>
            <w:sz w:val="20"/>
            <w:szCs w:val="20"/>
          </w:rPr>
          <w:t xml:space="preserve"> -</w:t>
        </w:r>
        <w:r w:rsidR="002F1848" w:rsidRPr="0047499A">
          <w:rPr>
            <w:rStyle w:val="Hyperlink"/>
            <w:rFonts w:ascii="Arial" w:hAnsi="Arial" w:cs="Arial"/>
            <w:sz w:val="20"/>
            <w:szCs w:val="20"/>
          </w:rPr>
          <w:t xml:space="preserve"> Primeira Câmara</w:t>
        </w:r>
      </w:hyperlink>
      <w:r w:rsidR="002F1848" w:rsidRPr="00DB558E">
        <w:rPr>
          <w:rFonts w:ascii="Arial" w:hAnsi="Arial" w:cs="Arial"/>
          <w:b/>
          <w:sz w:val="20"/>
          <w:szCs w:val="20"/>
        </w:rPr>
        <w:t xml:space="preserve"> </w:t>
      </w:r>
      <w:r w:rsidR="002F1848" w:rsidRPr="00DB558E">
        <w:rPr>
          <w:rFonts w:ascii="Arial" w:hAnsi="Arial" w:cs="Arial"/>
          <w:sz w:val="20"/>
          <w:szCs w:val="20"/>
        </w:rPr>
        <w:t xml:space="preserve">(Aposentadoria, Relator Ministro Benjamin </w:t>
      </w:r>
      <w:proofErr w:type="spellStart"/>
      <w:r w:rsidR="002F1848" w:rsidRPr="00DB558E">
        <w:rPr>
          <w:rFonts w:ascii="Arial" w:hAnsi="Arial" w:cs="Arial"/>
          <w:sz w:val="20"/>
          <w:szCs w:val="20"/>
        </w:rPr>
        <w:t>Zymler</w:t>
      </w:r>
      <w:proofErr w:type="spellEnd"/>
      <w:r w:rsidR="002F1848" w:rsidRPr="00DB558E">
        <w:rPr>
          <w:rFonts w:ascii="Arial" w:hAnsi="Arial" w:cs="Arial"/>
          <w:sz w:val="20"/>
          <w:szCs w:val="20"/>
        </w:rPr>
        <w:t>)</w:t>
      </w:r>
    </w:p>
    <w:p w:rsidR="00817E46" w:rsidRDefault="00817E46" w:rsidP="00817E46">
      <w:pPr>
        <w:spacing w:after="0"/>
        <w:jc w:val="both"/>
        <w:rPr>
          <w:rFonts w:ascii="Arial" w:hAnsi="Arial" w:cs="Arial"/>
          <w:b/>
          <w:sz w:val="20"/>
          <w:szCs w:val="20"/>
        </w:rPr>
      </w:pPr>
    </w:p>
    <w:p w:rsidR="002F1848" w:rsidRDefault="002F1848" w:rsidP="00817E46">
      <w:pPr>
        <w:spacing w:after="0"/>
        <w:jc w:val="both"/>
        <w:rPr>
          <w:rFonts w:ascii="Arial" w:hAnsi="Arial" w:cs="Arial"/>
          <w:b/>
          <w:sz w:val="20"/>
          <w:szCs w:val="20"/>
        </w:rPr>
      </w:pPr>
      <w:r w:rsidRPr="0047499A">
        <w:rPr>
          <w:rFonts w:ascii="Arial" w:hAnsi="Arial" w:cs="Arial"/>
          <w:b/>
          <w:sz w:val="20"/>
          <w:szCs w:val="20"/>
        </w:rPr>
        <w:t>Aposentadoria. Tratado internacional. Regime Geral de Previdência Social.</w:t>
      </w:r>
    </w:p>
    <w:p w:rsidR="00817E46" w:rsidRPr="0047499A" w:rsidRDefault="00817E46" w:rsidP="00817E46">
      <w:pPr>
        <w:spacing w:after="0"/>
        <w:jc w:val="both"/>
        <w:rPr>
          <w:rFonts w:ascii="Arial" w:hAnsi="Arial" w:cs="Arial"/>
          <w:b/>
          <w:sz w:val="20"/>
          <w:szCs w:val="20"/>
        </w:rPr>
      </w:pPr>
    </w:p>
    <w:p w:rsidR="002F1848" w:rsidRDefault="002F1848" w:rsidP="00817E46">
      <w:pPr>
        <w:pStyle w:val="TCU-Epgrafe"/>
        <w:spacing w:line="276" w:lineRule="auto"/>
        <w:ind w:left="0"/>
        <w:rPr>
          <w:rFonts w:ascii="Arial" w:hAnsi="Arial" w:cs="Arial"/>
          <w:iCs/>
          <w:sz w:val="20"/>
        </w:rPr>
      </w:pPr>
      <w:r w:rsidRPr="00DB558E">
        <w:rPr>
          <w:rFonts w:ascii="Arial" w:hAnsi="Arial" w:cs="Arial"/>
          <w:iCs/>
          <w:sz w:val="20"/>
        </w:rPr>
        <w:t xml:space="preserve">É ilegal a concessão de aposentadoria estatutária com fundamento no Acordo Internacional Bilateral Brasil-Portugal promulgado pelo </w:t>
      </w:r>
      <w:hyperlink r:id="rId27" w:history="1">
        <w:r w:rsidRPr="00DB558E">
          <w:rPr>
            <w:rStyle w:val="Hyperlink"/>
            <w:rFonts w:ascii="Arial" w:hAnsi="Arial" w:cs="Arial"/>
            <w:iCs/>
            <w:color w:val="0000FF" w:themeColor="hyperlink"/>
            <w:sz w:val="20"/>
          </w:rPr>
          <w:t>Decreto 1.457/1995</w:t>
        </w:r>
      </w:hyperlink>
      <w:r w:rsidRPr="00DB558E">
        <w:rPr>
          <w:rFonts w:ascii="Arial" w:hAnsi="Arial" w:cs="Arial"/>
          <w:iCs/>
          <w:sz w:val="20"/>
        </w:rPr>
        <w:t>, pois o ajuste se aplica apenas às aposentadorias do Regime Geral de Previdência Social.</w:t>
      </w:r>
    </w:p>
    <w:p w:rsidR="00817E46" w:rsidRPr="00DB558E" w:rsidRDefault="00817E46" w:rsidP="00817E46">
      <w:pPr>
        <w:pStyle w:val="TCU-Epgrafe"/>
        <w:spacing w:line="276" w:lineRule="auto"/>
        <w:ind w:left="0"/>
        <w:rPr>
          <w:rFonts w:ascii="Arial" w:hAnsi="Arial" w:cs="Arial"/>
          <w:sz w:val="20"/>
        </w:rPr>
      </w:pPr>
    </w:p>
    <w:p w:rsidR="002F1848" w:rsidRPr="00DB558E" w:rsidRDefault="00345C6F" w:rsidP="00817E46">
      <w:pPr>
        <w:widowControl w:val="0"/>
        <w:autoSpaceDE w:val="0"/>
        <w:autoSpaceDN w:val="0"/>
        <w:spacing w:after="0"/>
        <w:jc w:val="both"/>
        <w:rPr>
          <w:rFonts w:ascii="Arial" w:hAnsi="Arial" w:cs="Arial"/>
          <w:b/>
          <w:sz w:val="20"/>
          <w:szCs w:val="20"/>
        </w:rPr>
      </w:pPr>
      <w:hyperlink r:id="rId28" w:history="1">
        <w:r w:rsidR="002F1848" w:rsidRPr="0012498C">
          <w:rPr>
            <w:rStyle w:val="Hyperlink"/>
            <w:rFonts w:ascii="Arial" w:hAnsi="Arial" w:cs="Arial"/>
            <w:sz w:val="20"/>
            <w:szCs w:val="20"/>
          </w:rPr>
          <w:t>Acórdão 8672/2017</w:t>
        </w:r>
        <w:r w:rsidR="0012498C">
          <w:rPr>
            <w:rStyle w:val="Hyperlink"/>
            <w:rFonts w:ascii="Arial" w:hAnsi="Arial" w:cs="Arial"/>
            <w:sz w:val="20"/>
            <w:szCs w:val="20"/>
          </w:rPr>
          <w:t xml:space="preserve"> -</w:t>
        </w:r>
        <w:r w:rsidR="002F1848" w:rsidRPr="0012498C">
          <w:rPr>
            <w:rStyle w:val="Hyperlink"/>
            <w:rFonts w:ascii="Arial" w:hAnsi="Arial" w:cs="Arial"/>
            <w:sz w:val="20"/>
            <w:szCs w:val="20"/>
          </w:rPr>
          <w:t xml:space="preserve"> Primeira Câmara</w:t>
        </w:r>
      </w:hyperlink>
      <w:r w:rsidR="002F1848" w:rsidRPr="00DB558E">
        <w:rPr>
          <w:rFonts w:ascii="Arial" w:hAnsi="Arial" w:cs="Arial"/>
          <w:b/>
          <w:sz w:val="20"/>
          <w:szCs w:val="20"/>
        </w:rPr>
        <w:t xml:space="preserve"> </w:t>
      </w:r>
      <w:r w:rsidR="002F1848" w:rsidRPr="00DB558E">
        <w:rPr>
          <w:rFonts w:ascii="Arial" w:hAnsi="Arial" w:cs="Arial"/>
          <w:sz w:val="20"/>
          <w:szCs w:val="20"/>
        </w:rPr>
        <w:t xml:space="preserve">(Pensão Civil, Relator Ministro Benjamin </w:t>
      </w:r>
      <w:proofErr w:type="spellStart"/>
      <w:r w:rsidR="002F1848" w:rsidRPr="00DB558E">
        <w:rPr>
          <w:rFonts w:ascii="Arial" w:hAnsi="Arial" w:cs="Arial"/>
          <w:sz w:val="20"/>
          <w:szCs w:val="20"/>
        </w:rPr>
        <w:t>Zymler</w:t>
      </w:r>
      <w:proofErr w:type="spellEnd"/>
      <w:r w:rsidR="002F1848" w:rsidRPr="00DB558E">
        <w:rPr>
          <w:rFonts w:ascii="Arial" w:hAnsi="Arial" w:cs="Arial"/>
          <w:sz w:val="20"/>
          <w:szCs w:val="20"/>
        </w:rPr>
        <w:t>)</w:t>
      </w:r>
    </w:p>
    <w:p w:rsidR="00817E46" w:rsidRDefault="00817E46" w:rsidP="00817E46">
      <w:pPr>
        <w:spacing w:after="0"/>
        <w:jc w:val="both"/>
        <w:rPr>
          <w:rFonts w:ascii="Arial" w:hAnsi="Arial" w:cs="Arial"/>
          <w:b/>
          <w:sz w:val="20"/>
          <w:szCs w:val="20"/>
        </w:rPr>
      </w:pPr>
    </w:p>
    <w:p w:rsidR="002F1848" w:rsidRPr="00801EFD" w:rsidRDefault="002F1848" w:rsidP="00817E46">
      <w:pPr>
        <w:spacing w:after="0"/>
        <w:jc w:val="both"/>
        <w:rPr>
          <w:rFonts w:ascii="Arial" w:hAnsi="Arial" w:cs="Arial"/>
          <w:b/>
          <w:sz w:val="20"/>
          <w:szCs w:val="20"/>
        </w:rPr>
      </w:pPr>
      <w:r w:rsidRPr="00801EFD">
        <w:rPr>
          <w:rFonts w:ascii="Arial" w:hAnsi="Arial" w:cs="Arial"/>
          <w:b/>
          <w:sz w:val="20"/>
          <w:szCs w:val="20"/>
        </w:rPr>
        <w:t>Pensão civil. Invalidez. Aposentadoria por invalidez. Concessão simultânea. Vedação.</w:t>
      </w:r>
    </w:p>
    <w:p w:rsidR="002F1848" w:rsidRDefault="002F1848" w:rsidP="00817E46">
      <w:pPr>
        <w:spacing w:after="0"/>
        <w:jc w:val="both"/>
        <w:rPr>
          <w:rFonts w:ascii="Arial" w:hAnsi="Arial" w:cs="Arial"/>
          <w:sz w:val="20"/>
          <w:szCs w:val="20"/>
        </w:rPr>
      </w:pPr>
      <w:r w:rsidRPr="00DB558E">
        <w:rPr>
          <w:rFonts w:ascii="Arial" w:hAnsi="Arial" w:cs="Arial"/>
          <w:sz w:val="20"/>
          <w:szCs w:val="20"/>
        </w:rPr>
        <w:lastRenderedPageBreak/>
        <w:t>É irregular a percepção cumulativa de aposentadoria por invalidez e de pensão por invalidez, pois configura custeio de dois benefícios previdenciários distintos sob um mesmo fundamento: a invalidez do beneficiário. Não se pode cumular benefícios sob idêntico motivo de pretensão.</w:t>
      </w:r>
    </w:p>
    <w:p w:rsidR="00817E46" w:rsidRPr="00DB558E" w:rsidRDefault="00817E46" w:rsidP="00817E46">
      <w:pPr>
        <w:spacing w:after="0"/>
        <w:jc w:val="both"/>
        <w:rPr>
          <w:rFonts w:ascii="Arial" w:hAnsi="Arial" w:cs="Arial"/>
          <w:sz w:val="20"/>
          <w:szCs w:val="20"/>
        </w:rPr>
      </w:pPr>
    </w:p>
    <w:p w:rsidR="002F1848" w:rsidRPr="00DB558E" w:rsidRDefault="00345C6F" w:rsidP="00817E46">
      <w:pPr>
        <w:widowControl w:val="0"/>
        <w:autoSpaceDE w:val="0"/>
        <w:autoSpaceDN w:val="0"/>
        <w:spacing w:after="0"/>
        <w:jc w:val="both"/>
        <w:rPr>
          <w:rFonts w:ascii="Arial" w:hAnsi="Arial" w:cs="Arial"/>
          <w:b/>
          <w:sz w:val="20"/>
          <w:szCs w:val="20"/>
        </w:rPr>
      </w:pPr>
      <w:hyperlink r:id="rId29" w:history="1">
        <w:r w:rsidR="002F1848" w:rsidRPr="00463986">
          <w:rPr>
            <w:rStyle w:val="Hyperlink"/>
            <w:rFonts w:ascii="Arial" w:hAnsi="Arial" w:cs="Arial"/>
            <w:sz w:val="20"/>
            <w:szCs w:val="20"/>
          </w:rPr>
          <w:t>Acórdão 2190/2017</w:t>
        </w:r>
        <w:r w:rsidR="00463986">
          <w:rPr>
            <w:rStyle w:val="Hyperlink"/>
            <w:rFonts w:ascii="Arial" w:hAnsi="Arial" w:cs="Arial"/>
            <w:sz w:val="20"/>
            <w:szCs w:val="20"/>
          </w:rPr>
          <w:t xml:space="preserve"> -</w:t>
        </w:r>
        <w:r w:rsidR="002F1848" w:rsidRPr="00463986">
          <w:rPr>
            <w:rStyle w:val="Hyperlink"/>
            <w:rFonts w:ascii="Arial" w:hAnsi="Arial" w:cs="Arial"/>
            <w:sz w:val="20"/>
            <w:szCs w:val="20"/>
          </w:rPr>
          <w:t xml:space="preserve"> Plenário</w:t>
        </w:r>
      </w:hyperlink>
      <w:r w:rsidR="002F1848" w:rsidRPr="00DB558E">
        <w:rPr>
          <w:rFonts w:ascii="Arial" w:hAnsi="Arial" w:cs="Arial"/>
          <w:b/>
          <w:sz w:val="20"/>
          <w:szCs w:val="20"/>
        </w:rPr>
        <w:t xml:space="preserve"> </w:t>
      </w:r>
      <w:r w:rsidR="002F1848" w:rsidRPr="00DB558E">
        <w:rPr>
          <w:rFonts w:ascii="Arial" w:hAnsi="Arial" w:cs="Arial"/>
          <w:sz w:val="20"/>
          <w:szCs w:val="20"/>
        </w:rPr>
        <w:t>(Solicitação do Congresso Nacional, Relator Ministra Ana Arraes)</w:t>
      </w:r>
    </w:p>
    <w:p w:rsidR="00817E46" w:rsidRDefault="00817E46" w:rsidP="00817E46">
      <w:pPr>
        <w:spacing w:after="0"/>
        <w:jc w:val="both"/>
        <w:rPr>
          <w:rFonts w:ascii="Arial" w:hAnsi="Arial" w:cs="Arial"/>
          <w:b/>
          <w:sz w:val="20"/>
          <w:szCs w:val="20"/>
        </w:rPr>
      </w:pPr>
    </w:p>
    <w:p w:rsidR="002F1848" w:rsidRDefault="002F1848" w:rsidP="00817E46">
      <w:pPr>
        <w:spacing w:after="0"/>
        <w:jc w:val="both"/>
        <w:rPr>
          <w:rFonts w:ascii="Arial" w:hAnsi="Arial" w:cs="Arial"/>
          <w:b/>
          <w:sz w:val="20"/>
          <w:szCs w:val="20"/>
        </w:rPr>
      </w:pPr>
      <w:r w:rsidRPr="00801EFD">
        <w:rPr>
          <w:rFonts w:ascii="Arial" w:hAnsi="Arial" w:cs="Arial"/>
          <w:b/>
          <w:sz w:val="20"/>
          <w:szCs w:val="20"/>
        </w:rPr>
        <w:t>Pessoal. Teto constitucional. Acumulação de cargo público. Pensão. Proventos. Estado-membro. Município.</w:t>
      </w:r>
    </w:p>
    <w:p w:rsidR="00817E46" w:rsidRPr="00801EFD" w:rsidRDefault="00817E46" w:rsidP="00817E46">
      <w:pPr>
        <w:spacing w:after="0"/>
        <w:jc w:val="both"/>
        <w:rPr>
          <w:rFonts w:ascii="Arial" w:hAnsi="Arial" w:cs="Arial"/>
          <w:b/>
          <w:sz w:val="20"/>
          <w:szCs w:val="20"/>
        </w:rPr>
      </w:pPr>
    </w:p>
    <w:p w:rsidR="002F1848" w:rsidRDefault="002F1848" w:rsidP="00817E46">
      <w:pPr>
        <w:pStyle w:val="TCU-Epgrafe"/>
        <w:spacing w:line="276" w:lineRule="auto"/>
        <w:ind w:left="0"/>
        <w:rPr>
          <w:rFonts w:ascii="Arial" w:hAnsi="Arial" w:cs="Arial"/>
          <w:sz w:val="20"/>
        </w:rPr>
      </w:pPr>
      <w:r w:rsidRPr="00DB558E">
        <w:rPr>
          <w:rFonts w:ascii="Arial" w:hAnsi="Arial" w:cs="Arial"/>
          <w:sz w:val="20"/>
        </w:rPr>
        <w:t xml:space="preserve">A observância do teto constitucional, nas hipóteses de acumulação de remuneração com proventos ou pensão, é obrigatória mesmo quando envolver poderes ou esferas de governo distintos, em face do que rege o art. 40, § 11, da </w:t>
      </w:r>
      <w:hyperlink r:id="rId30" w:history="1">
        <w:r w:rsidRPr="00DB558E">
          <w:rPr>
            <w:rStyle w:val="Hyperlink"/>
            <w:rFonts w:ascii="Arial" w:hAnsi="Arial" w:cs="Arial"/>
            <w:color w:val="0000FF" w:themeColor="hyperlink"/>
            <w:sz w:val="20"/>
          </w:rPr>
          <w:t>Constituição Federal</w:t>
        </w:r>
      </w:hyperlink>
      <w:r w:rsidRPr="00DB558E">
        <w:rPr>
          <w:rFonts w:ascii="Arial" w:hAnsi="Arial" w:cs="Arial"/>
          <w:sz w:val="20"/>
        </w:rPr>
        <w:t>.</w:t>
      </w:r>
    </w:p>
    <w:p w:rsidR="00817E46" w:rsidRPr="00DB558E" w:rsidRDefault="00817E46" w:rsidP="00817E46">
      <w:pPr>
        <w:pStyle w:val="TCU-Epgrafe"/>
        <w:spacing w:line="276" w:lineRule="auto"/>
        <w:ind w:left="0"/>
        <w:rPr>
          <w:rFonts w:ascii="Arial" w:hAnsi="Arial" w:cs="Arial"/>
          <w:sz w:val="20"/>
        </w:rPr>
      </w:pPr>
    </w:p>
    <w:p w:rsidR="006A62B0" w:rsidRPr="00DB558E" w:rsidRDefault="00345C6F" w:rsidP="00817E46">
      <w:pPr>
        <w:widowControl w:val="0"/>
        <w:autoSpaceDE w:val="0"/>
        <w:autoSpaceDN w:val="0"/>
        <w:spacing w:after="0"/>
        <w:jc w:val="both"/>
        <w:rPr>
          <w:rFonts w:ascii="Arial" w:hAnsi="Arial" w:cs="Arial"/>
          <w:b/>
          <w:sz w:val="20"/>
          <w:szCs w:val="20"/>
        </w:rPr>
      </w:pPr>
      <w:hyperlink r:id="rId31" w:history="1">
        <w:r w:rsidR="006A62B0" w:rsidRPr="00081051">
          <w:rPr>
            <w:rStyle w:val="Hyperlink"/>
            <w:rFonts w:ascii="Arial" w:hAnsi="Arial" w:cs="Arial"/>
            <w:sz w:val="20"/>
            <w:szCs w:val="20"/>
          </w:rPr>
          <w:t>Acórdão 2190/2017</w:t>
        </w:r>
        <w:r w:rsidR="00081051">
          <w:rPr>
            <w:rStyle w:val="Hyperlink"/>
            <w:rFonts w:ascii="Arial" w:hAnsi="Arial" w:cs="Arial"/>
            <w:sz w:val="20"/>
            <w:szCs w:val="20"/>
          </w:rPr>
          <w:t xml:space="preserve"> - </w:t>
        </w:r>
        <w:r w:rsidR="006A62B0" w:rsidRPr="00081051">
          <w:rPr>
            <w:rStyle w:val="Hyperlink"/>
            <w:rFonts w:ascii="Arial" w:hAnsi="Arial" w:cs="Arial"/>
            <w:sz w:val="20"/>
            <w:szCs w:val="20"/>
          </w:rPr>
          <w:t>Plenário</w:t>
        </w:r>
      </w:hyperlink>
      <w:r w:rsidR="006A62B0" w:rsidRPr="00DB558E">
        <w:rPr>
          <w:rFonts w:ascii="Arial" w:hAnsi="Arial" w:cs="Arial"/>
          <w:b/>
          <w:sz w:val="20"/>
          <w:szCs w:val="20"/>
        </w:rPr>
        <w:t xml:space="preserve"> </w:t>
      </w:r>
      <w:r w:rsidR="006A62B0" w:rsidRPr="00DB558E">
        <w:rPr>
          <w:rFonts w:ascii="Arial" w:hAnsi="Arial" w:cs="Arial"/>
          <w:sz w:val="20"/>
          <w:szCs w:val="20"/>
        </w:rPr>
        <w:t>(Solicitação do Congresso Nacional, Relator Ministra Ana Arraes)</w:t>
      </w:r>
    </w:p>
    <w:p w:rsidR="00817E46" w:rsidRDefault="00817E46" w:rsidP="00817E46">
      <w:pPr>
        <w:spacing w:after="0"/>
        <w:jc w:val="both"/>
        <w:rPr>
          <w:rFonts w:ascii="Arial" w:hAnsi="Arial" w:cs="Arial"/>
          <w:b/>
          <w:sz w:val="20"/>
          <w:szCs w:val="20"/>
        </w:rPr>
      </w:pPr>
    </w:p>
    <w:p w:rsidR="006A62B0" w:rsidRDefault="006A62B0" w:rsidP="00817E46">
      <w:pPr>
        <w:spacing w:after="0"/>
        <w:jc w:val="both"/>
        <w:rPr>
          <w:rFonts w:ascii="Arial" w:hAnsi="Arial" w:cs="Arial"/>
          <w:b/>
          <w:sz w:val="20"/>
          <w:szCs w:val="20"/>
        </w:rPr>
      </w:pPr>
      <w:r w:rsidRPr="00801EFD">
        <w:rPr>
          <w:rFonts w:ascii="Arial" w:hAnsi="Arial" w:cs="Arial"/>
          <w:b/>
          <w:sz w:val="20"/>
          <w:szCs w:val="20"/>
        </w:rPr>
        <w:t>Pessoal. Ressarcimento administrativo. Decisão judicial. Decisão administrativa. Teto constitucional. Obrigatoriedade.</w:t>
      </w:r>
    </w:p>
    <w:p w:rsidR="00817E46" w:rsidRPr="00801EFD" w:rsidRDefault="00817E46" w:rsidP="00817E46">
      <w:pPr>
        <w:spacing w:after="0"/>
        <w:jc w:val="both"/>
        <w:rPr>
          <w:rFonts w:ascii="Arial" w:hAnsi="Arial" w:cs="Arial"/>
          <w:b/>
          <w:sz w:val="20"/>
          <w:szCs w:val="20"/>
        </w:rPr>
      </w:pPr>
    </w:p>
    <w:p w:rsidR="006A62B0" w:rsidRDefault="006A62B0" w:rsidP="00817E46">
      <w:pPr>
        <w:pStyle w:val="TCU-Epgrafe"/>
        <w:spacing w:line="276" w:lineRule="auto"/>
        <w:ind w:left="0"/>
        <w:rPr>
          <w:rFonts w:ascii="Arial" w:hAnsi="Arial" w:cs="Arial"/>
          <w:sz w:val="20"/>
        </w:rPr>
      </w:pPr>
      <w:r w:rsidRPr="00DB558E">
        <w:rPr>
          <w:rFonts w:ascii="Arial" w:hAnsi="Arial" w:cs="Arial"/>
          <w:sz w:val="20"/>
        </w:rPr>
        <w:t>É obrigatória a restituição de valores percebidos após decisão de mérito, judicial ou administrativa, mesmo em 1ª instância, que tenha apontado como irregular a extrapolação do teto constitucional.</w:t>
      </w:r>
    </w:p>
    <w:p w:rsidR="00817E46" w:rsidRPr="00DB558E" w:rsidRDefault="00817E46" w:rsidP="00817E46">
      <w:pPr>
        <w:pStyle w:val="TCU-Epgrafe"/>
        <w:spacing w:line="276" w:lineRule="auto"/>
        <w:ind w:left="0"/>
        <w:rPr>
          <w:rFonts w:ascii="Arial" w:hAnsi="Arial" w:cs="Arial"/>
          <w:sz w:val="20"/>
        </w:rPr>
      </w:pPr>
    </w:p>
    <w:p w:rsidR="006A62B0" w:rsidRPr="00DB558E" w:rsidRDefault="00345C6F" w:rsidP="00817E46">
      <w:pPr>
        <w:widowControl w:val="0"/>
        <w:autoSpaceDE w:val="0"/>
        <w:autoSpaceDN w:val="0"/>
        <w:spacing w:after="0"/>
        <w:jc w:val="both"/>
        <w:rPr>
          <w:rFonts w:ascii="Arial" w:hAnsi="Arial" w:cs="Arial"/>
          <w:b/>
          <w:sz w:val="20"/>
          <w:szCs w:val="20"/>
        </w:rPr>
      </w:pPr>
      <w:hyperlink r:id="rId32" w:history="1">
        <w:r w:rsidR="006A62B0" w:rsidRPr="00996D25">
          <w:rPr>
            <w:rStyle w:val="Hyperlink"/>
            <w:rFonts w:ascii="Arial" w:hAnsi="Arial" w:cs="Arial"/>
            <w:sz w:val="20"/>
            <w:szCs w:val="20"/>
          </w:rPr>
          <w:t>Acórdão 2193/2017</w:t>
        </w:r>
        <w:r w:rsidR="00996D25">
          <w:rPr>
            <w:rStyle w:val="Hyperlink"/>
            <w:rFonts w:ascii="Arial" w:hAnsi="Arial" w:cs="Arial"/>
            <w:sz w:val="20"/>
            <w:szCs w:val="20"/>
          </w:rPr>
          <w:t xml:space="preserve"> - </w:t>
        </w:r>
        <w:r w:rsidR="006A62B0" w:rsidRPr="00996D25">
          <w:rPr>
            <w:rStyle w:val="Hyperlink"/>
            <w:rFonts w:ascii="Arial" w:hAnsi="Arial" w:cs="Arial"/>
            <w:sz w:val="20"/>
            <w:szCs w:val="20"/>
          </w:rPr>
          <w:t>Plenário</w:t>
        </w:r>
      </w:hyperlink>
      <w:r w:rsidR="006A62B0" w:rsidRPr="00DB558E">
        <w:rPr>
          <w:rFonts w:ascii="Arial" w:hAnsi="Arial" w:cs="Arial"/>
          <w:b/>
          <w:sz w:val="20"/>
          <w:szCs w:val="20"/>
        </w:rPr>
        <w:t xml:space="preserve"> </w:t>
      </w:r>
      <w:r w:rsidR="006A62B0" w:rsidRPr="00DB558E">
        <w:rPr>
          <w:rFonts w:ascii="Arial" w:hAnsi="Arial" w:cs="Arial"/>
          <w:sz w:val="20"/>
          <w:szCs w:val="20"/>
        </w:rPr>
        <w:t xml:space="preserve">(Tomada de Contas Especial, Relator Ministro Benjamin </w:t>
      </w:r>
      <w:proofErr w:type="spellStart"/>
      <w:r w:rsidR="006A62B0" w:rsidRPr="00DB558E">
        <w:rPr>
          <w:rFonts w:ascii="Arial" w:hAnsi="Arial" w:cs="Arial"/>
          <w:sz w:val="20"/>
          <w:szCs w:val="20"/>
        </w:rPr>
        <w:t>Zymler</w:t>
      </w:r>
      <w:proofErr w:type="spellEnd"/>
      <w:r w:rsidR="006A62B0" w:rsidRPr="00DB558E">
        <w:rPr>
          <w:rFonts w:ascii="Arial" w:hAnsi="Arial" w:cs="Arial"/>
          <w:sz w:val="20"/>
          <w:szCs w:val="20"/>
        </w:rPr>
        <w:t>)</w:t>
      </w:r>
    </w:p>
    <w:p w:rsidR="00817E46" w:rsidRDefault="00817E46" w:rsidP="00817E46">
      <w:pPr>
        <w:spacing w:after="0"/>
        <w:jc w:val="both"/>
        <w:rPr>
          <w:rFonts w:ascii="Arial" w:hAnsi="Arial" w:cs="Arial"/>
          <w:b/>
          <w:sz w:val="20"/>
          <w:szCs w:val="20"/>
        </w:rPr>
      </w:pPr>
    </w:p>
    <w:p w:rsidR="006A62B0" w:rsidRDefault="006A62B0" w:rsidP="00817E46">
      <w:pPr>
        <w:spacing w:after="0"/>
        <w:jc w:val="both"/>
        <w:rPr>
          <w:rFonts w:ascii="Arial" w:hAnsi="Arial" w:cs="Arial"/>
          <w:b/>
          <w:sz w:val="20"/>
          <w:szCs w:val="20"/>
        </w:rPr>
      </w:pPr>
      <w:r w:rsidRPr="00801EFD">
        <w:rPr>
          <w:rFonts w:ascii="Arial" w:hAnsi="Arial" w:cs="Arial"/>
          <w:b/>
          <w:sz w:val="20"/>
          <w:szCs w:val="20"/>
        </w:rPr>
        <w:t>Responsabilidade. Débito. Desconsideração da personalidade jurídica. Julgamento de contas. Agente privado.</w:t>
      </w:r>
    </w:p>
    <w:p w:rsidR="00817E46" w:rsidRPr="00801EFD" w:rsidRDefault="00817E46" w:rsidP="00817E46">
      <w:pPr>
        <w:spacing w:after="0"/>
        <w:jc w:val="both"/>
        <w:rPr>
          <w:rFonts w:ascii="Arial" w:hAnsi="Arial" w:cs="Arial"/>
          <w:b/>
          <w:sz w:val="20"/>
          <w:szCs w:val="20"/>
        </w:rPr>
      </w:pPr>
    </w:p>
    <w:p w:rsidR="006A62B0" w:rsidRDefault="006A62B0" w:rsidP="00817E46">
      <w:pPr>
        <w:pStyle w:val="TCU-Epgrafe"/>
        <w:spacing w:line="276" w:lineRule="auto"/>
        <w:ind w:left="0"/>
        <w:rPr>
          <w:rFonts w:ascii="Arial" w:hAnsi="Arial" w:cs="Arial"/>
          <w:sz w:val="20"/>
        </w:rPr>
      </w:pPr>
      <w:r w:rsidRPr="00DB558E">
        <w:rPr>
          <w:rFonts w:ascii="Arial" w:hAnsi="Arial" w:cs="Arial"/>
          <w:sz w:val="20"/>
        </w:rPr>
        <w:t xml:space="preserve">O TCU pode julgar de forma direta, sem necessidade de desconsideração da personalidade jurídica, as contas de sócios de empresa que participaram ativamente de irregularidade da qual resultou prejuízo ao erário, uma vez que os </w:t>
      </w:r>
      <w:proofErr w:type="spellStart"/>
      <w:r w:rsidRPr="00DB558E">
        <w:rPr>
          <w:rFonts w:ascii="Arial" w:hAnsi="Arial" w:cs="Arial"/>
          <w:sz w:val="20"/>
        </w:rPr>
        <w:t>arts</w:t>
      </w:r>
      <w:proofErr w:type="spellEnd"/>
      <w:r w:rsidRPr="00DB558E">
        <w:rPr>
          <w:rFonts w:ascii="Arial" w:hAnsi="Arial" w:cs="Arial"/>
          <w:sz w:val="20"/>
        </w:rPr>
        <w:t xml:space="preserve">. 70, parágrafo único, e 71, inciso II, da </w:t>
      </w:r>
      <w:hyperlink r:id="rId33" w:history="1">
        <w:r w:rsidRPr="00DB558E">
          <w:rPr>
            <w:rStyle w:val="Hyperlink"/>
            <w:rFonts w:ascii="Arial" w:hAnsi="Arial" w:cs="Arial"/>
            <w:color w:val="0000FF" w:themeColor="hyperlink"/>
            <w:sz w:val="20"/>
          </w:rPr>
          <w:t>Constituição Federal</w:t>
        </w:r>
      </w:hyperlink>
      <w:r w:rsidRPr="00DB558E">
        <w:rPr>
          <w:rFonts w:ascii="Arial" w:hAnsi="Arial" w:cs="Arial"/>
          <w:sz w:val="20"/>
        </w:rPr>
        <w:t xml:space="preserve"> não faz distinção entre agentes públicos ou particulares para fins de recomposição de débito.</w:t>
      </w:r>
    </w:p>
    <w:p w:rsidR="00817E46" w:rsidRPr="00DB558E" w:rsidRDefault="00817E46" w:rsidP="00817E46">
      <w:pPr>
        <w:pStyle w:val="TCU-Epgrafe"/>
        <w:spacing w:line="276" w:lineRule="auto"/>
        <w:ind w:left="0"/>
        <w:rPr>
          <w:rFonts w:ascii="Arial" w:hAnsi="Arial" w:cs="Arial"/>
          <w:sz w:val="20"/>
        </w:rPr>
      </w:pPr>
    </w:p>
    <w:p w:rsidR="006A62B0" w:rsidRDefault="00345C6F" w:rsidP="00817E46">
      <w:pPr>
        <w:widowControl w:val="0"/>
        <w:autoSpaceDE w:val="0"/>
        <w:autoSpaceDN w:val="0"/>
        <w:spacing w:after="0"/>
        <w:jc w:val="both"/>
        <w:rPr>
          <w:rFonts w:ascii="Arial" w:hAnsi="Arial" w:cs="Arial"/>
          <w:sz w:val="20"/>
          <w:szCs w:val="20"/>
        </w:rPr>
      </w:pPr>
      <w:hyperlink r:id="rId34" w:history="1">
        <w:r w:rsidR="006A62B0" w:rsidRPr="003F63DA">
          <w:rPr>
            <w:rStyle w:val="Hyperlink"/>
            <w:rFonts w:ascii="Arial" w:hAnsi="Arial" w:cs="Arial"/>
            <w:sz w:val="20"/>
            <w:szCs w:val="20"/>
          </w:rPr>
          <w:t>Acórdão 2203/2017</w:t>
        </w:r>
        <w:r w:rsidR="003F63DA">
          <w:rPr>
            <w:rStyle w:val="Hyperlink"/>
            <w:rFonts w:ascii="Arial" w:hAnsi="Arial" w:cs="Arial"/>
            <w:sz w:val="20"/>
            <w:szCs w:val="20"/>
          </w:rPr>
          <w:t xml:space="preserve"> - </w:t>
        </w:r>
        <w:r w:rsidR="006A62B0" w:rsidRPr="003F63DA">
          <w:rPr>
            <w:rStyle w:val="Hyperlink"/>
            <w:rFonts w:ascii="Arial" w:hAnsi="Arial" w:cs="Arial"/>
            <w:sz w:val="20"/>
            <w:szCs w:val="20"/>
          </w:rPr>
          <w:t>Plenário</w:t>
        </w:r>
      </w:hyperlink>
      <w:r w:rsidR="006A62B0" w:rsidRPr="00DB558E">
        <w:rPr>
          <w:rFonts w:ascii="Arial" w:hAnsi="Arial" w:cs="Arial"/>
          <w:b/>
          <w:sz w:val="20"/>
          <w:szCs w:val="20"/>
        </w:rPr>
        <w:t xml:space="preserve"> </w:t>
      </w:r>
      <w:r w:rsidR="006A62B0" w:rsidRPr="00DB558E">
        <w:rPr>
          <w:rFonts w:ascii="Arial" w:hAnsi="Arial" w:cs="Arial"/>
          <w:sz w:val="20"/>
          <w:szCs w:val="20"/>
        </w:rPr>
        <w:t>(Auditoria, Relator Ministro Vital do Rêgo)</w:t>
      </w:r>
    </w:p>
    <w:p w:rsidR="00817E46" w:rsidRPr="00DB558E" w:rsidRDefault="00817E46" w:rsidP="00817E46">
      <w:pPr>
        <w:widowControl w:val="0"/>
        <w:autoSpaceDE w:val="0"/>
        <w:autoSpaceDN w:val="0"/>
        <w:spacing w:after="0"/>
        <w:jc w:val="both"/>
        <w:rPr>
          <w:rFonts w:ascii="Arial" w:hAnsi="Arial" w:cs="Arial"/>
          <w:b/>
          <w:sz w:val="20"/>
          <w:szCs w:val="20"/>
        </w:rPr>
      </w:pPr>
    </w:p>
    <w:p w:rsidR="006A62B0" w:rsidRDefault="006A62B0" w:rsidP="00817E46">
      <w:pPr>
        <w:spacing w:after="0"/>
        <w:jc w:val="both"/>
        <w:rPr>
          <w:rFonts w:ascii="Arial" w:hAnsi="Arial" w:cs="Arial"/>
          <w:b/>
          <w:sz w:val="20"/>
          <w:szCs w:val="20"/>
        </w:rPr>
      </w:pPr>
      <w:r w:rsidRPr="00801EFD">
        <w:rPr>
          <w:rFonts w:ascii="Arial" w:hAnsi="Arial" w:cs="Arial"/>
          <w:b/>
          <w:sz w:val="20"/>
          <w:szCs w:val="20"/>
        </w:rPr>
        <w:t>Responsabilidade. Contrato administrativo. Aditivo. Preço. Justificativa. Licitação. Desconto. Manutenção.</w:t>
      </w:r>
    </w:p>
    <w:p w:rsidR="00817E46" w:rsidRPr="00801EFD" w:rsidRDefault="00817E46" w:rsidP="00817E46">
      <w:pPr>
        <w:spacing w:after="0"/>
        <w:jc w:val="both"/>
        <w:rPr>
          <w:rFonts w:ascii="Arial" w:hAnsi="Arial" w:cs="Arial"/>
          <w:b/>
          <w:sz w:val="20"/>
          <w:szCs w:val="20"/>
        </w:rPr>
      </w:pPr>
    </w:p>
    <w:p w:rsidR="006A62B0" w:rsidRPr="00DB558E" w:rsidRDefault="006A62B0" w:rsidP="00817E46">
      <w:pPr>
        <w:pStyle w:val="TCU-Epgrafe"/>
        <w:spacing w:line="276" w:lineRule="auto"/>
        <w:ind w:left="0"/>
        <w:rPr>
          <w:rFonts w:ascii="Arial" w:hAnsi="Arial" w:cs="Arial"/>
          <w:sz w:val="20"/>
        </w:rPr>
      </w:pPr>
      <w:r w:rsidRPr="00DB558E">
        <w:rPr>
          <w:rFonts w:ascii="Arial" w:hAnsi="Arial" w:cs="Arial"/>
          <w:sz w:val="20"/>
        </w:rPr>
        <w:t xml:space="preserve">Alterações contratuais, mesmo com efeito financeiro nulo, desacompanhadas de justificativas técnicas e jurídicas das composições de preços novos e da demonstração da manutenção do desconto advindo da licitação caracterizam infração ao art. 65 da Lei 8.666/1993 e ao art. 3º, c/c </w:t>
      </w:r>
      <w:proofErr w:type="spellStart"/>
      <w:r w:rsidRPr="00DB558E">
        <w:rPr>
          <w:rFonts w:ascii="Arial" w:hAnsi="Arial" w:cs="Arial"/>
          <w:sz w:val="20"/>
        </w:rPr>
        <w:t>arts</w:t>
      </w:r>
      <w:proofErr w:type="spellEnd"/>
      <w:r w:rsidRPr="00DB558E">
        <w:rPr>
          <w:rFonts w:ascii="Arial" w:hAnsi="Arial" w:cs="Arial"/>
          <w:sz w:val="20"/>
        </w:rPr>
        <w:t>. 14 e 15, do Decreto 7.983/2013 e podem sujeitar os responsáveis a pena de multa.</w:t>
      </w:r>
    </w:p>
    <w:p w:rsidR="00697D60" w:rsidRDefault="00345C6F" w:rsidP="00817E46">
      <w:pPr>
        <w:widowControl w:val="0"/>
        <w:autoSpaceDE w:val="0"/>
        <w:autoSpaceDN w:val="0"/>
        <w:spacing w:after="0"/>
        <w:jc w:val="both"/>
        <w:rPr>
          <w:rFonts w:ascii="Arial" w:hAnsi="Arial" w:cs="Arial"/>
          <w:sz w:val="20"/>
          <w:szCs w:val="20"/>
        </w:rPr>
      </w:pPr>
      <w:hyperlink r:id="rId35" w:history="1">
        <w:r w:rsidR="00697D60" w:rsidRPr="00852A15">
          <w:rPr>
            <w:rStyle w:val="Hyperlink"/>
            <w:rFonts w:ascii="Arial" w:hAnsi="Arial" w:cs="Arial"/>
            <w:sz w:val="20"/>
            <w:szCs w:val="20"/>
          </w:rPr>
          <w:t>Acórdão 2355/2017</w:t>
        </w:r>
        <w:r w:rsidR="00852A15">
          <w:rPr>
            <w:rStyle w:val="Hyperlink"/>
            <w:rFonts w:ascii="Arial" w:hAnsi="Arial" w:cs="Arial"/>
            <w:sz w:val="20"/>
            <w:szCs w:val="20"/>
          </w:rPr>
          <w:t xml:space="preserve"> -</w:t>
        </w:r>
        <w:r w:rsidR="00697D60" w:rsidRPr="00852A15">
          <w:rPr>
            <w:rStyle w:val="Hyperlink"/>
            <w:rFonts w:ascii="Arial" w:hAnsi="Arial" w:cs="Arial"/>
            <w:sz w:val="20"/>
            <w:szCs w:val="20"/>
          </w:rPr>
          <w:t xml:space="preserve"> Plenário</w:t>
        </w:r>
      </w:hyperlink>
      <w:r w:rsidR="00697D60" w:rsidRPr="00DB558E">
        <w:rPr>
          <w:rFonts w:ascii="Arial" w:hAnsi="Arial" w:cs="Arial"/>
          <w:b/>
          <w:sz w:val="20"/>
          <w:szCs w:val="20"/>
        </w:rPr>
        <w:t xml:space="preserve"> </w:t>
      </w:r>
      <w:r w:rsidR="00697D60" w:rsidRPr="00DB558E">
        <w:rPr>
          <w:rFonts w:ascii="Arial" w:hAnsi="Arial" w:cs="Arial"/>
          <w:sz w:val="20"/>
          <w:szCs w:val="20"/>
        </w:rPr>
        <w:t>(Auditoria, Relator Ministra Ana Arraes)</w:t>
      </w:r>
    </w:p>
    <w:p w:rsidR="00817E46" w:rsidRPr="00DB558E" w:rsidRDefault="00817E46" w:rsidP="00817E46">
      <w:pPr>
        <w:widowControl w:val="0"/>
        <w:autoSpaceDE w:val="0"/>
        <w:autoSpaceDN w:val="0"/>
        <w:spacing w:after="0"/>
        <w:jc w:val="both"/>
        <w:rPr>
          <w:rFonts w:ascii="Arial" w:hAnsi="Arial" w:cs="Arial"/>
          <w:b/>
          <w:sz w:val="20"/>
          <w:szCs w:val="20"/>
        </w:rPr>
      </w:pPr>
    </w:p>
    <w:p w:rsidR="00697D60" w:rsidRDefault="00697D60" w:rsidP="00817E46">
      <w:pPr>
        <w:spacing w:after="0"/>
        <w:jc w:val="both"/>
        <w:rPr>
          <w:rFonts w:ascii="Arial" w:hAnsi="Arial" w:cs="Arial"/>
          <w:b/>
          <w:sz w:val="20"/>
          <w:szCs w:val="20"/>
        </w:rPr>
      </w:pPr>
      <w:r w:rsidRPr="00801EFD">
        <w:rPr>
          <w:rFonts w:ascii="Arial" w:hAnsi="Arial" w:cs="Arial"/>
          <w:b/>
          <w:sz w:val="20"/>
          <w:szCs w:val="20"/>
        </w:rPr>
        <w:t>Contrato Administrativo. Obras e serviços de engenharia. Defeito construtivo. Responsabilidade civil. Código Civil. Garantia.</w:t>
      </w:r>
    </w:p>
    <w:p w:rsidR="00817E46" w:rsidRPr="00801EFD" w:rsidRDefault="00817E46" w:rsidP="00817E46">
      <w:pPr>
        <w:spacing w:after="0"/>
        <w:jc w:val="both"/>
        <w:rPr>
          <w:rFonts w:ascii="Arial" w:hAnsi="Arial" w:cs="Arial"/>
          <w:b/>
          <w:sz w:val="20"/>
          <w:szCs w:val="20"/>
        </w:rPr>
      </w:pPr>
    </w:p>
    <w:p w:rsidR="00697D60" w:rsidRDefault="00697D60" w:rsidP="00817E46">
      <w:pPr>
        <w:spacing w:after="0"/>
        <w:jc w:val="both"/>
        <w:rPr>
          <w:rFonts w:ascii="Arial" w:hAnsi="Arial" w:cs="Arial"/>
          <w:sz w:val="20"/>
          <w:szCs w:val="20"/>
        </w:rPr>
      </w:pPr>
      <w:r w:rsidRPr="00DB558E">
        <w:rPr>
          <w:rFonts w:ascii="Arial" w:hAnsi="Arial" w:cs="Arial"/>
          <w:sz w:val="20"/>
          <w:szCs w:val="20"/>
        </w:rPr>
        <w:t xml:space="preserve">Cabe ao administrador público verificar, por meio de avaliações periódicas, a durabilidade e a robustez das obras concluídas em sua gestão, especialmente durante o período de garantia quinquenal previsto no Código Civil (art. 618 da </w:t>
      </w:r>
      <w:hyperlink r:id="rId36" w:history="1">
        <w:r w:rsidRPr="00DB558E">
          <w:rPr>
            <w:rStyle w:val="Hyperlink"/>
            <w:rFonts w:ascii="Arial" w:hAnsi="Arial" w:cs="Arial"/>
            <w:color w:val="0000FF" w:themeColor="hyperlink"/>
            <w:sz w:val="20"/>
            <w:szCs w:val="20"/>
          </w:rPr>
          <w:t>Lei 10.406/2002</w:t>
        </w:r>
      </w:hyperlink>
      <w:r w:rsidRPr="00DB558E">
        <w:rPr>
          <w:rFonts w:ascii="Arial" w:hAnsi="Arial" w:cs="Arial"/>
          <w:sz w:val="20"/>
          <w:szCs w:val="20"/>
        </w:rPr>
        <w:t>). Se, durante esse período, forem constatadas falhas na solidez e qualidade dos serviços prestados, é dever do gestor notificar a contratada para corrigir as deficiências construtivas e, caso os reparos não sejam feitos, ajuizar a devida ação judicial.</w:t>
      </w:r>
    </w:p>
    <w:p w:rsidR="00817E46" w:rsidRPr="00DB558E" w:rsidRDefault="00817E46" w:rsidP="00817E46">
      <w:pPr>
        <w:spacing w:after="0"/>
        <w:jc w:val="both"/>
        <w:rPr>
          <w:rFonts w:ascii="Arial" w:hAnsi="Arial" w:cs="Arial"/>
          <w:sz w:val="20"/>
          <w:szCs w:val="20"/>
        </w:rPr>
      </w:pPr>
    </w:p>
    <w:p w:rsidR="00DB558E" w:rsidRDefault="00DB558E" w:rsidP="00817E46">
      <w:pPr>
        <w:pStyle w:val="Default"/>
        <w:spacing w:line="276" w:lineRule="auto"/>
        <w:jc w:val="both"/>
        <w:rPr>
          <w:b/>
          <w:sz w:val="20"/>
          <w:szCs w:val="20"/>
        </w:rPr>
      </w:pPr>
      <w:r>
        <w:rPr>
          <w:b/>
          <w:sz w:val="20"/>
          <w:szCs w:val="20"/>
        </w:rPr>
        <w:t xml:space="preserve">Acesse também: </w:t>
      </w:r>
    </w:p>
    <w:p w:rsidR="00270E2F" w:rsidRPr="00BC4C07" w:rsidRDefault="00345C6F" w:rsidP="00817E46">
      <w:pPr>
        <w:pStyle w:val="Default"/>
        <w:spacing w:line="276" w:lineRule="auto"/>
        <w:jc w:val="center"/>
        <w:rPr>
          <w:b/>
          <w:sz w:val="20"/>
          <w:szCs w:val="20"/>
        </w:rPr>
      </w:pPr>
      <w:hyperlink r:id="rId37" w:history="1">
        <w:r w:rsidR="00270E2F" w:rsidRPr="00BC4C07">
          <w:rPr>
            <w:rStyle w:val="Hyperlink"/>
            <w:b/>
            <w:sz w:val="20"/>
            <w:szCs w:val="20"/>
          </w:rPr>
          <w:t>Pesquisas Prontas</w:t>
        </w:r>
      </w:hyperlink>
    </w:p>
    <w:p w:rsidR="00270E2F" w:rsidRDefault="00270E2F" w:rsidP="00817E46">
      <w:pPr>
        <w:pStyle w:val="Default"/>
        <w:spacing w:line="276" w:lineRule="auto"/>
        <w:jc w:val="center"/>
      </w:pPr>
    </w:p>
    <w:p w:rsidR="00270E2F" w:rsidRDefault="00345C6F" w:rsidP="00817E46">
      <w:pPr>
        <w:pStyle w:val="Default"/>
        <w:spacing w:line="276" w:lineRule="auto"/>
        <w:jc w:val="center"/>
        <w:rPr>
          <w:rStyle w:val="Hyperlink"/>
          <w:b/>
          <w:sz w:val="20"/>
          <w:szCs w:val="20"/>
        </w:rPr>
      </w:pPr>
      <w:hyperlink r:id="rId38" w:history="1">
        <w:r w:rsidR="00270E2F">
          <w:rPr>
            <w:rStyle w:val="Hyperlink"/>
            <w:b/>
            <w:sz w:val="20"/>
            <w:szCs w:val="20"/>
          </w:rPr>
          <w:t>Repercussão Geral do Supremo Tribunal Federal - STF e os Tribunais de Contas</w:t>
        </w:r>
      </w:hyperlink>
    </w:p>
    <w:p w:rsidR="00270E2F" w:rsidRDefault="00270E2F" w:rsidP="00817E46">
      <w:pPr>
        <w:pStyle w:val="Default"/>
        <w:spacing w:line="276" w:lineRule="auto"/>
        <w:jc w:val="center"/>
        <w:rPr>
          <w:rStyle w:val="Hyperlink"/>
          <w:b/>
          <w:sz w:val="20"/>
          <w:szCs w:val="20"/>
        </w:rPr>
      </w:pPr>
    </w:p>
    <w:p w:rsidR="00270E2F" w:rsidRPr="00002CBF" w:rsidRDefault="00345C6F" w:rsidP="00817E46">
      <w:pPr>
        <w:pStyle w:val="Default"/>
        <w:spacing w:line="276" w:lineRule="auto"/>
        <w:jc w:val="center"/>
        <w:rPr>
          <w:rStyle w:val="Hyperlink"/>
          <w:b/>
          <w:sz w:val="20"/>
          <w:szCs w:val="20"/>
        </w:rPr>
      </w:pPr>
      <w:hyperlink r:id="rId39" w:history="1">
        <w:r w:rsidR="00270E2F" w:rsidRPr="00002CBF">
          <w:rPr>
            <w:rStyle w:val="Hyperlink"/>
            <w:b/>
            <w:sz w:val="20"/>
            <w:szCs w:val="20"/>
          </w:rPr>
          <w:t>Revista Digital do Tribunal de Contas do Estado do Paraná - Edição n° 18</w:t>
        </w:r>
      </w:hyperlink>
    </w:p>
    <w:p w:rsidR="00270E2F" w:rsidRDefault="00270E2F" w:rsidP="00817E46">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817E46">
      <w:pPr>
        <w:spacing w:after="0"/>
        <w:jc w:val="center"/>
        <w:rPr>
          <w:rStyle w:val="Hyperlink"/>
          <w:rFonts w:ascii="Arial" w:hAnsi="Arial" w:cs="Arial"/>
          <w:i/>
          <w:color w:val="000000" w:themeColor="text1"/>
          <w:sz w:val="20"/>
          <w:szCs w:val="20"/>
          <w:u w:val="none"/>
        </w:rPr>
      </w:pPr>
    </w:p>
    <w:p w:rsidR="00DB558E" w:rsidRDefault="00DB558E" w:rsidP="00817E46">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817E46">
      <w:pPr>
        <w:widowControl w:val="0"/>
        <w:autoSpaceDE w:val="0"/>
        <w:autoSpaceDN w:val="0"/>
        <w:spacing w:after="0"/>
        <w:jc w:val="both"/>
        <w:rPr>
          <w:rFonts w:ascii="Arial" w:hAnsi="Arial" w:cs="Arial"/>
          <w:b/>
          <w:sz w:val="20"/>
          <w:szCs w:val="20"/>
        </w:rPr>
      </w:pPr>
    </w:p>
    <w:p w:rsidR="00E01524" w:rsidRPr="0022060B" w:rsidRDefault="00E01524" w:rsidP="00817E46">
      <w:pPr>
        <w:pStyle w:val="TCU-Epgrafe"/>
        <w:spacing w:line="276" w:lineRule="auto"/>
        <w:ind w:left="0"/>
        <w:rPr>
          <w:rFonts w:ascii="Arial" w:hAnsi="Arial" w:cs="Arial"/>
          <w:b/>
          <w:sz w:val="20"/>
        </w:rPr>
      </w:pPr>
    </w:p>
    <w:sectPr w:rsidR="00E01524" w:rsidRPr="0022060B">
      <w:headerReference w:type="default" r:id="rId40"/>
      <w:footerReference w:type="default" r:id="rId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9B256A">
      <w:rPr>
        <w:noProof/>
        <w:sz w:val="16"/>
        <w:szCs w:val="16"/>
      </w:rPr>
      <w:t>11</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178203C"/>
    <w:multiLevelType w:val="hybridMultilevel"/>
    <w:tmpl w:val="B3240C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4B46058"/>
    <w:multiLevelType w:val="hybridMultilevel"/>
    <w:tmpl w:val="BCAA36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1"/>
  </w:num>
  <w:num w:numId="5">
    <w:abstractNumId w:val="13"/>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7EBA"/>
    <w:rsid w:val="00021B0A"/>
    <w:rsid w:val="00025971"/>
    <w:rsid w:val="000262AD"/>
    <w:rsid w:val="00027A03"/>
    <w:rsid w:val="00027FAB"/>
    <w:rsid w:val="000300F4"/>
    <w:rsid w:val="00032A26"/>
    <w:rsid w:val="00033E69"/>
    <w:rsid w:val="00040EBA"/>
    <w:rsid w:val="00042502"/>
    <w:rsid w:val="00042DF3"/>
    <w:rsid w:val="000433EC"/>
    <w:rsid w:val="000439FD"/>
    <w:rsid w:val="00045700"/>
    <w:rsid w:val="00046191"/>
    <w:rsid w:val="00046E21"/>
    <w:rsid w:val="00047AE4"/>
    <w:rsid w:val="00047EF1"/>
    <w:rsid w:val="00052862"/>
    <w:rsid w:val="00053B72"/>
    <w:rsid w:val="00056014"/>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12F8"/>
    <w:rsid w:val="0009260D"/>
    <w:rsid w:val="000926D4"/>
    <w:rsid w:val="00092E5D"/>
    <w:rsid w:val="0009482D"/>
    <w:rsid w:val="0009711C"/>
    <w:rsid w:val="0009762F"/>
    <w:rsid w:val="00097B00"/>
    <w:rsid w:val="000A0748"/>
    <w:rsid w:val="000A0E48"/>
    <w:rsid w:val="000A29BE"/>
    <w:rsid w:val="000A3C2D"/>
    <w:rsid w:val="000A47FD"/>
    <w:rsid w:val="000A4EB6"/>
    <w:rsid w:val="000A5F01"/>
    <w:rsid w:val="000A71D1"/>
    <w:rsid w:val="000B11D2"/>
    <w:rsid w:val="000B1E10"/>
    <w:rsid w:val="000B311A"/>
    <w:rsid w:val="000B31B6"/>
    <w:rsid w:val="000B47C0"/>
    <w:rsid w:val="000C2948"/>
    <w:rsid w:val="000C3582"/>
    <w:rsid w:val="000C4F73"/>
    <w:rsid w:val="000C5093"/>
    <w:rsid w:val="000C5460"/>
    <w:rsid w:val="000C5EB3"/>
    <w:rsid w:val="000C63BC"/>
    <w:rsid w:val="000C7D67"/>
    <w:rsid w:val="000D2D5B"/>
    <w:rsid w:val="000D357D"/>
    <w:rsid w:val="000D4DE6"/>
    <w:rsid w:val="000D5603"/>
    <w:rsid w:val="000D6D01"/>
    <w:rsid w:val="000E300B"/>
    <w:rsid w:val="000E3ACE"/>
    <w:rsid w:val="000E3FC6"/>
    <w:rsid w:val="000E464B"/>
    <w:rsid w:val="000E5AC8"/>
    <w:rsid w:val="000F04ED"/>
    <w:rsid w:val="000F18DA"/>
    <w:rsid w:val="000F1FFA"/>
    <w:rsid w:val="000F314C"/>
    <w:rsid w:val="000F639D"/>
    <w:rsid w:val="000F7C1B"/>
    <w:rsid w:val="00100B9C"/>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3CD8"/>
    <w:rsid w:val="001E5F2E"/>
    <w:rsid w:val="001E6CAA"/>
    <w:rsid w:val="001E73FF"/>
    <w:rsid w:val="001F7A25"/>
    <w:rsid w:val="002013D1"/>
    <w:rsid w:val="0020195B"/>
    <w:rsid w:val="00202E6D"/>
    <w:rsid w:val="00202F4B"/>
    <w:rsid w:val="002036C8"/>
    <w:rsid w:val="002100EE"/>
    <w:rsid w:val="00211A49"/>
    <w:rsid w:val="00213BD0"/>
    <w:rsid w:val="002147AC"/>
    <w:rsid w:val="00215BFE"/>
    <w:rsid w:val="00215EF3"/>
    <w:rsid w:val="0022060B"/>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6EB4"/>
    <w:rsid w:val="002874A2"/>
    <w:rsid w:val="002921E2"/>
    <w:rsid w:val="0029566D"/>
    <w:rsid w:val="00295F4B"/>
    <w:rsid w:val="002A00AC"/>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73BA"/>
    <w:rsid w:val="003005B3"/>
    <w:rsid w:val="0030165B"/>
    <w:rsid w:val="00302340"/>
    <w:rsid w:val="00303C9C"/>
    <w:rsid w:val="00305A67"/>
    <w:rsid w:val="00306B80"/>
    <w:rsid w:val="00307038"/>
    <w:rsid w:val="00313238"/>
    <w:rsid w:val="003132BE"/>
    <w:rsid w:val="00316CC8"/>
    <w:rsid w:val="00320577"/>
    <w:rsid w:val="0032266D"/>
    <w:rsid w:val="00325E2F"/>
    <w:rsid w:val="003265DB"/>
    <w:rsid w:val="003269A9"/>
    <w:rsid w:val="00327DF9"/>
    <w:rsid w:val="0033073E"/>
    <w:rsid w:val="00331533"/>
    <w:rsid w:val="0033240F"/>
    <w:rsid w:val="00333875"/>
    <w:rsid w:val="0033604C"/>
    <w:rsid w:val="003407F0"/>
    <w:rsid w:val="00343C28"/>
    <w:rsid w:val="00344A3D"/>
    <w:rsid w:val="00344A41"/>
    <w:rsid w:val="0034575E"/>
    <w:rsid w:val="00345C65"/>
    <w:rsid w:val="00345C6F"/>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5692"/>
    <w:rsid w:val="00375DB6"/>
    <w:rsid w:val="0038012F"/>
    <w:rsid w:val="00380BAB"/>
    <w:rsid w:val="00381A0E"/>
    <w:rsid w:val="0038751C"/>
    <w:rsid w:val="0038778B"/>
    <w:rsid w:val="00394451"/>
    <w:rsid w:val="0039584A"/>
    <w:rsid w:val="0039625A"/>
    <w:rsid w:val="00396E93"/>
    <w:rsid w:val="003A4828"/>
    <w:rsid w:val="003A64CB"/>
    <w:rsid w:val="003A6622"/>
    <w:rsid w:val="003A673F"/>
    <w:rsid w:val="003B145D"/>
    <w:rsid w:val="003B4678"/>
    <w:rsid w:val="003B4F77"/>
    <w:rsid w:val="003B502C"/>
    <w:rsid w:val="003C6B35"/>
    <w:rsid w:val="003C7C21"/>
    <w:rsid w:val="003D650C"/>
    <w:rsid w:val="003D6713"/>
    <w:rsid w:val="003D6E90"/>
    <w:rsid w:val="003D7C37"/>
    <w:rsid w:val="003E110D"/>
    <w:rsid w:val="003E3529"/>
    <w:rsid w:val="003E3D02"/>
    <w:rsid w:val="003E3E6A"/>
    <w:rsid w:val="003E55BC"/>
    <w:rsid w:val="003E6EAF"/>
    <w:rsid w:val="003F0088"/>
    <w:rsid w:val="003F03C6"/>
    <w:rsid w:val="003F2DDE"/>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2837"/>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A0574"/>
    <w:rsid w:val="004A0A41"/>
    <w:rsid w:val="004A22CF"/>
    <w:rsid w:val="004A5804"/>
    <w:rsid w:val="004A794E"/>
    <w:rsid w:val="004B142E"/>
    <w:rsid w:val="004B3D26"/>
    <w:rsid w:val="004B44C1"/>
    <w:rsid w:val="004B45C6"/>
    <w:rsid w:val="004B623F"/>
    <w:rsid w:val="004B6EA7"/>
    <w:rsid w:val="004C11DE"/>
    <w:rsid w:val="004C13DB"/>
    <w:rsid w:val="004D00EF"/>
    <w:rsid w:val="004D14AD"/>
    <w:rsid w:val="004D376C"/>
    <w:rsid w:val="004D3864"/>
    <w:rsid w:val="004D3A92"/>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C7258"/>
    <w:rsid w:val="005D1E9E"/>
    <w:rsid w:val="005D48C8"/>
    <w:rsid w:val="005D58CE"/>
    <w:rsid w:val="005D6DB4"/>
    <w:rsid w:val="005E2760"/>
    <w:rsid w:val="005E2D13"/>
    <w:rsid w:val="005E350B"/>
    <w:rsid w:val="005E4648"/>
    <w:rsid w:val="005E6068"/>
    <w:rsid w:val="005E64B3"/>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1E80"/>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4029E"/>
    <w:rsid w:val="00640475"/>
    <w:rsid w:val="00640861"/>
    <w:rsid w:val="00640A36"/>
    <w:rsid w:val="00640BDC"/>
    <w:rsid w:val="00646004"/>
    <w:rsid w:val="00646AD1"/>
    <w:rsid w:val="006473BA"/>
    <w:rsid w:val="00650E4E"/>
    <w:rsid w:val="00654D9D"/>
    <w:rsid w:val="00660C02"/>
    <w:rsid w:val="0066130F"/>
    <w:rsid w:val="006641F4"/>
    <w:rsid w:val="006645D9"/>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2D68"/>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C57D3"/>
    <w:rsid w:val="007D009C"/>
    <w:rsid w:val="007D2162"/>
    <w:rsid w:val="007D5A53"/>
    <w:rsid w:val="007D62D9"/>
    <w:rsid w:val="007D73C9"/>
    <w:rsid w:val="007E1FB4"/>
    <w:rsid w:val="007E28C1"/>
    <w:rsid w:val="007F0840"/>
    <w:rsid w:val="007F1C5E"/>
    <w:rsid w:val="007F2086"/>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17E46"/>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257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56A"/>
    <w:rsid w:val="009B2B4E"/>
    <w:rsid w:val="009B396E"/>
    <w:rsid w:val="009B39A2"/>
    <w:rsid w:val="009B3B97"/>
    <w:rsid w:val="009B49F3"/>
    <w:rsid w:val="009B4E5D"/>
    <w:rsid w:val="009B567A"/>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6AFE"/>
    <w:rsid w:val="00AC7830"/>
    <w:rsid w:val="00AD1557"/>
    <w:rsid w:val="00AD35F3"/>
    <w:rsid w:val="00AD44E9"/>
    <w:rsid w:val="00AD4CAC"/>
    <w:rsid w:val="00AD528F"/>
    <w:rsid w:val="00AD6760"/>
    <w:rsid w:val="00AD696C"/>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77E"/>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6204"/>
    <w:rsid w:val="00BA0DCC"/>
    <w:rsid w:val="00BA12A2"/>
    <w:rsid w:val="00BA16EF"/>
    <w:rsid w:val="00BA18D0"/>
    <w:rsid w:val="00BA242E"/>
    <w:rsid w:val="00BA3317"/>
    <w:rsid w:val="00BA5A9D"/>
    <w:rsid w:val="00BA6363"/>
    <w:rsid w:val="00BB2D9C"/>
    <w:rsid w:val="00BB3512"/>
    <w:rsid w:val="00BB54DC"/>
    <w:rsid w:val="00BB5D1E"/>
    <w:rsid w:val="00BB62CC"/>
    <w:rsid w:val="00BB7ED6"/>
    <w:rsid w:val="00BC137A"/>
    <w:rsid w:val="00BC4347"/>
    <w:rsid w:val="00BC45E0"/>
    <w:rsid w:val="00BC54B5"/>
    <w:rsid w:val="00BC5D9D"/>
    <w:rsid w:val="00BC6803"/>
    <w:rsid w:val="00BC7BCB"/>
    <w:rsid w:val="00BD109B"/>
    <w:rsid w:val="00BD2944"/>
    <w:rsid w:val="00BD2B5E"/>
    <w:rsid w:val="00BD3AFF"/>
    <w:rsid w:val="00BD4553"/>
    <w:rsid w:val="00BD4E7A"/>
    <w:rsid w:val="00BD531B"/>
    <w:rsid w:val="00BE00E5"/>
    <w:rsid w:val="00BE2E5A"/>
    <w:rsid w:val="00BE3A10"/>
    <w:rsid w:val="00BE4A21"/>
    <w:rsid w:val="00BE5859"/>
    <w:rsid w:val="00BE717E"/>
    <w:rsid w:val="00BE7E27"/>
    <w:rsid w:val="00BF183C"/>
    <w:rsid w:val="00BF4C15"/>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893"/>
    <w:rsid w:val="00C560A1"/>
    <w:rsid w:val="00C56E9E"/>
    <w:rsid w:val="00C56EB6"/>
    <w:rsid w:val="00C63FC8"/>
    <w:rsid w:val="00C64F57"/>
    <w:rsid w:val="00C65D21"/>
    <w:rsid w:val="00C66E11"/>
    <w:rsid w:val="00C6789D"/>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357"/>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1DB7"/>
    <w:rsid w:val="00DA2411"/>
    <w:rsid w:val="00DA2C81"/>
    <w:rsid w:val="00DA65C4"/>
    <w:rsid w:val="00DA7899"/>
    <w:rsid w:val="00DB0923"/>
    <w:rsid w:val="00DB15F7"/>
    <w:rsid w:val="00DB29CA"/>
    <w:rsid w:val="00DB30C8"/>
    <w:rsid w:val="00DB558E"/>
    <w:rsid w:val="00DB5F2B"/>
    <w:rsid w:val="00DB74AF"/>
    <w:rsid w:val="00DC1AB8"/>
    <w:rsid w:val="00DC5C19"/>
    <w:rsid w:val="00DC7068"/>
    <w:rsid w:val="00DD0411"/>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10B7"/>
    <w:rsid w:val="00E43977"/>
    <w:rsid w:val="00E4415D"/>
    <w:rsid w:val="00E44AB8"/>
    <w:rsid w:val="00E47BD8"/>
    <w:rsid w:val="00E50D3F"/>
    <w:rsid w:val="00E520BE"/>
    <w:rsid w:val="00E5484A"/>
    <w:rsid w:val="00E54E17"/>
    <w:rsid w:val="00E56A7A"/>
    <w:rsid w:val="00E60419"/>
    <w:rsid w:val="00E60E01"/>
    <w:rsid w:val="00E617D3"/>
    <w:rsid w:val="00E61E36"/>
    <w:rsid w:val="00E633C1"/>
    <w:rsid w:val="00E667B0"/>
    <w:rsid w:val="00E67390"/>
    <w:rsid w:val="00E71365"/>
    <w:rsid w:val="00E74904"/>
    <w:rsid w:val="00E770A4"/>
    <w:rsid w:val="00E8097A"/>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222A"/>
    <w:rsid w:val="00F922EA"/>
    <w:rsid w:val="00F92927"/>
    <w:rsid w:val="00F94E47"/>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7/10/pdf/00321401.pdf" TargetMode="External"/><Relationship Id="rId13" Type="http://schemas.openxmlformats.org/officeDocument/2006/relationships/hyperlink" Target="http://www1.tce.pr.gov.br/multimidia/2017/11/pdf/00322115.pdf" TargetMode="External"/><Relationship Id="rId18" Type="http://schemas.openxmlformats.org/officeDocument/2006/relationships/hyperlink" Target="http://www1.tce.pr.gov.br/multimidia/2017/10/pdf/00321400.pdf" TargetMode="External"/><Relationship Id="rId26" Type="http://schemas.openxmlformats.org/officeDocument/2006/relationships/hyperlink" Target="https://contas.tcu.gov.br/sagas/SvlVisualizarRelVotoAcRtf?codFiltro=SAGAS-SESSAO-ENCERRADA&amp;seOcultaPagina=S&amp;item0=598519" TargetMode="External"/><Relationship Id="rId39" Type="http://schemas.openxmlformats.org/officeDocument/2006/relationships/hyperlink" Target="http://www1.tce.pr.gov.br/conteudo/revista-digital-do-tce-pr/234678/area/46"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599659" TargetMode="External"/><Relationship Id="rId34" Type="http://schemas.openxmlformats.org/officeDocument/2006/relationships/hyperlink" Target="https://contas.tcu.gov.br/sagas/SvlVisualizarRelVotoAcRtf?codFiltro=SAGAS-SESSAO-ENCERRADA&amp;seOcultaPagina=S&amp;item0=60429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tce.pr.gov.br/multimidia/2017/11/pdf/00322141.pdf" TargetMode="External"/><Relationship Id="rId17" Type="http://schemas.openxmlformats.org/officeDocument/2006/relationships/hyperlink" Target="http://www1.tce.pr.gov.br/multimidia/2017/10/pdf/00321393.pdf" TargetMode="External"/><Relationship Id="rId25" Type="http://schemas.openxmlformats.org/officeDocument/2006/relationships/hyperlink" Target="https://contas.tcu.gov.br/sagas/SvlVisualizarRelVotoAcRtf?codFiltro=SAGAS-SESSAO-ENCERRADA&amp;seOcultaPagina=S&amp;item0=602501"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1.tce.pr.gov.br/multimidia/2017/10/pdf/00321389.pdf" TargetMode="External"/><Relationship Id="rId20" Type="http://schemas.openxmlformats.org/officeDocument/2006/relationships/hyperlink" Target="https://contas.tcu.gov.br/sagas/SvlVisualizarRelVotoAcRtf?codFiltro=SAGAS-SESSAO-ENCERRADA&amp;seOcultaPagina=S&amp;item0=594611" TargetMode="External"/><Relationship Id="rId29" Type="http://schemas.openxmlformats.org/officeDocument/2006/relationships/hyperlink" Target="https://contas.tcu.gov.br/sagas/SvlVisualizarRelVotoAcRtf?codFiltro=SAGAS-SESSAO-ENCERRADA&amp;seOcultaPagina=S&amp;item0=57336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10/pdf/00321626.pdf" TargetMode="External"/><Relationship Id="rId24" Type="http://schemas.openxmlformats.org/officeDocument/2006/relationships/hyperlink" Target="http://portal.tcu.gov.br/lumis/portal/file/fileDownload.jsp?fileId=8A8182A24D7BC0B4014D7E1FB1A622B4" TargetMode="External"/><Relationship Id="rId32" Type="http://schemas.openxmlformats.org/officeDocument/2006/relationships/hyperlink" Target="https://contas.tcu.gov.br/sagas/SvlVisualizarRelVotoAcRtf?codFiltro=SAGAS-SESSAO-ENCERRADA&amp;seOcultaPagina=S&amp;item0=603969" TargetMode="External"/><Relationship Id="rId37" Type="http://schemas.openxmlformats.org/officeDocument/2006/relationships/hyperlink" Target="http://www1.tce.pr.gov.br/conteudo/pesquisas-prontas/308475/area/249"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7/11/pdf/00322014.pdf" TargetMode="External"/><Relationship Id="rId23" Type="http://schemas.openxmlformats.org/officeDocument/2006/relationships/hyperlink" Target="https://www.planalto.gov.br/ccivil_03/leis/l8443.htm" TargetMode="External"/><Relationship Id="rId28" Type="http://schemas.openxmlformats.org/officeDocument/2006/relationships/hyperlink" Target="https://contas.tcu.gov.br/sagas/SvlVisualizarRelVotoAcRtf?codFiltro=SAGAS-SESSAO-ENCERRADA&amp;seOcultaPagina=S&amp;item0=601698" TargetMode="External"/><Relationship Id="rId36" Type="http://schemas.openxmlformats.org/officeDocument/2006/relationships/hyperlink" Target="http://www.planalto.gov.br/ccivil_03/leis/2002/L10406.htm" TargetMode="External"/><Relationship Id="rId10" Type="http://schemas.openxmlformats.org/officeDocument/2006/relationships/hyperlink" Target="http://www1.tce.pr.gov.br/multimidia/2017/10/pdf/00321648.pdf" TargetMode="External"/><Relationship Id="rId19" Type="http://schemas.openxmlformats.org/officeDocument/2006/relationships/hyperlink" Target="https://ww2.stj.jus.br/processo/revista/documento/mediado/?componente=ATC&amp;sequencial=76532707&amp;num_registro=201500995497&amp;data=20171107&amp;tipo=51&amp;formato=PDF" TargetMode="External"/><Relationship Id="rId31" Type="http://schemas.openxmlformats.org/officeDocument/2006/relationships/hyperlink" Target="https://contas.tcu.gov.br/sagas/SvlVisualizarRelVotoAcRtf?codFiltro=SAGAS-SESSAO-ENCERRADA&amp;seOcultaPagina=S&amp;item0=573364" TargetMode="External"/><Relationship Id="rId4" Type="http://schemas.openxmlformats.org/officeDocument/2006/relationships/settings" Target="settings.xml"/><Relationship Id="rId9" Type="http://schemas.openxmlformats.org/officeDocument/2006/relationships/hyperlink" Target="http://www1.tce.pr.gov.br/multimidia/2017/10/pdf/00321677.pdf" TargetMode="External"/><Relationship Id="rId14" Type="http://schemas.openxmlformats.org/officeDocument/2006/relationships/hyperlink" Target="http://www1.tce.pr.gov.br/multimidia/2017/11/pdf/00322036.pdf" TargetMode="External"/><Relationship Id="rId22" Type="http://schemas.openxmlformats.org/officeDocument/2006/relationships/hyperlink" Target="https://contas.tcu.gov.br/sagas/SvlVisualizarRelVotoAcRtf?codFiltro=SAGAS-SESSAO-ENCERRADA&amp;seOcultaPagina=S&amp;item0=593400" TargetMode="External"/><Relationship Id="rId27" Type="http://schemas.openxmlformats.org/officeDocument/2006/relationships/hyperlink" Target="http://www.planalto.gov.br/ccivil_03/decreto/1995/D1457.htm"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contas.tcu.gov.br/sagas/SvlVisualizarRelVotoAcRtf?codFiltro=SAGAS-SESSAO-ENCERRADA&amp;seOcultaPagina=S&amp;item0=603514"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2389E-3468-493D-A270-8DC42BDA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4278</Words>
  <Characters>23107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161</cp:revision>
  <cp:lastPrinted>2017-07-10T20:46:00Z</cp:lastPrinted>
  <dcterms:created xsi:type="dcterms:W3CDTF">2017-07-10T20:45:00Z</dcterms:created>
  <dcterms:modified xsi:type="dcterms:W3CDTF">2018-12-11T15:48:00Z</dcterms:modified>
</cp:coreProperties>
</file>