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571E2">
        <w:rPr>
          <w:rFonts w:ascii="Arial" w:hAnsi="Arial" w:cs="Arial"/>
          <w:b/>
          <w:sz w:val="20"/>
          <w:szCs w:val="20"/>
        </w:rPr>
        <w:t>31</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015FB0">
        <w:rPr>
          <w:rFonts w:ascii="Arial" w:hAnsi="Arial" w:cs="Arial"/>
          <w:b/>
          <w:sz w:val="20"/>
          <w:szCs w:val="20"/>
        </w:rPr>
        <w:t xml:space="preserve">Sessões: </w:t>
      </w:r>
      <w:r w:rsidR="00015FB0" w:rsidRPr="00015FB0">
        <w:rPr>
          <w:rFonts w:ascii="Arial" w:hAnsi="Arial" w:cs="Arial"/>
          <w:b/>
          <w:sz w:val="20"/>
          <w:szCs w:val="20"/>
        </w:rPr>
        <w:t>06</w:t>
      </w:r>
      <w:r w:rsidR="00814325" w:rsidRPr="00015FB0">
        <w:rPr>
          <w:rFonts w:ascii="Arial" w:hAnsi="Arial" w:cs="Arial"/>
          <w:b/>
          <w:sz w:val="20"/>
          <w:szCs w:val="20"/>
        </w:rPr>
        <w:t>.</w:t>
      </w:r>
      <w:r w:rsidR="00015FB0" w:rsidRPr="00015FB0">
        <w:rPr>
          <w:rFonts w:ascii="Arial" w:hAnsi="Arial" w:cs="Arial"/>
          <w:b/>
          <w:sz w:val="20"/>
          <w:szCs w:val="20"/>
        </w:rPr>
        <w:t>03</w:t>
      </w:r>
      <w:r w:rsidR="005A0FD0" w:rsidRPr="00015FB0">
        <w:rPr>
          <w:rFonts w:ascii="Arial" w:hAnsi="Arial" w:cs="Arial"/>
          <w:b/>
          <w:sz w:val="20"/>
          <w:szCs w:val="20"/>
        </w:rPr>
        <w:t xml:space="preserve"> </w:t>
      </w:r>
      <w:r w:rsidR="000D4DE6" w:rsidRPr="00015FB0">
        <w:rPr>
          <w:rFonts w:ascii="Arial" w:hAnsi="Arial" w:cs="Arial"/>
          <w:b/>
          <w:sz w:val="20"/>
          <w:szCs w:val="20"/>
        </w:rPr>
        <w:t>a</w:t>
      </w:r>
      <w:r w:rsidRPr="00015FB0">
        <w:rPr>
          <w:rFonts w:ascii="Arial" w:hAnsi="Arial" w:cs="Arial"/>
          <w:b/>
          <w:sz w:val="20"/>
          <w:szCs w:val="20"/>
        </w:rPr>
        <w:t xml:space="preserve"> </w:t>
      </w:r>
      <w:r w:rsidR="00ED0DF9">
        <w:rPr>
          <w:rFonts w:ascii="Arial" w:hAnsi="Arial" w:cs="Arial"/>
          <w:b/>
          <w:sz w:val="20"/>
          <w:szCs w:val="20"/>
        </w:rPr>
        <w:t>15</w:t>
      </w:r>
      <w:r w:rsidR="005A0FD0" w:rsidRPr="00015FB0">
        <w:rPr>
          <w:rFonts w:ascii="Arial" w:hAnsi="Arial" w:cs="Arial"/>
          <w:b/>
          <w:sz w:val="20"/>
          <w:szCs w:val="20"/>
        </w:rPr>
        <w:t>.</w:t>
      </w:r>
      <w:r w:rsidR="00015FB0" w:rsidRPr="00015FB0">
        <w:rPr>
          <w:rFonts w:ascii="Arial" w:hAnsi="Arial" w:cs="Arial"/>
          <w:b/>
          <w:sz w:val="20"/>
          <w:szCs w:val="20"/>
        </w:rPr>
        <w:t>03</w:t>
      </w:r>
      <w:r w:rsidRPr="00015FB0">
        <w:rPr>
          <w:rFonts w:ascii="Arial" w:hAnsi="Arial" w:cs="Arial"/>
          <w:b/>
          <w:sz w:val="20"/>
          <w:szCs w:val="20"/>
        </w:rPr>
        <w:t xml:space="preserve"> de 201</w:t>
      </w:r>
      <w:r w:rsidR="00015FB0" w:rsidRPr="00015FB0">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3B023F" w:rsidRDefault="003B023F" w:rsidP="003B023F">
      <w:pPr>
        <w:autoSpaceDE w:val="0"/>
        <w:autoSpaceDN w:val="0"/>
        <w:adjustRightInd w:val="0"/>
        <w:spacing w:after="0"/>
        <w:jc w:val="both"/>
        <w:rPr>
          <w:rFonts w:ascii="Arial" w:hAnsi="Arial" w:cs="Arial"/>
          <w:sz w:val="20"/>
          <w:szCs w:val="20"/>
        </w:rPr>
      </w:pPr>
    </w:p>
    <w:p w:rsidR="003B023F" w:rsidRPr="003B023F" w:rsidRDefault="003B023F" w:rsidP="003B023F">
      <w:pPr>
        <w:autoSpaceDE w:val="0"/>
        <w:autoSpaceDN w:val="0"/>
        <w:adjustRightInd w:val="0"/>
        <w:spacing w:after="0"/>
        <w:jc w:val="both"/>
        <w:rPr>
          <w:rFonts w:ascii="Arial" w:hAnsi="Arial" w:cs="Arial"/>
          <w:sz w:val="20"/>
        </w:rPr>
      </w:pPr>
      <w:r w:rsidRPr="003B023F">
        <w:rPr>
          <w:rFonts w:ascii="Arial" w:hAnsi="Arial" w:cs="Arial"/>
          <w:sz w:val="20"/>
        </w:rPr>
        <w:t xml:space="preserve">1. Admissão de Pessoal. Autarquia municipal. Concurso Público. Extrapolação de limite de gasto com pessoal do Poder Executivo. Admissão em período de restrição imposto pela LRF. Exceção à regra do direito subjetivo à nomeação. Negativa de registro. </w:t>
      </w:r>
    </w:p>
    <w:p w:rsidR="003B023F" w:rsidRDefault="003B023F" w:rsidP="003B023F">
      <w:pPr>
        <w:autoSpaceDE w:val="0"/>
        <w:autoSpaceDN w:val="0"/>
        <w:adjustRightInd w:val="0"/>
        <w:spacing w:after="0"/>
        <w:jc w:val="both"/>
        <w:rPr>
          <w:rFonts w:ascii="Arial" w:hAnsi="Arial" w:cs="Arial"/>
          <w:sz w:val="20"/>
          <w:szCs w:val="20"/>
        </w:rPr>
      </w:pPr>
    </w:p>
    <w:p w:rsidR="003B023F" w:rsidRPr="003B023F" w:rsidRDefault="003B023F" w:rsidP="003B023F">
      <w:pPr>
        <w:autoSpaceDE w:val="0"/>
        <w:autoSpaceDN w:val="0"/>
        <w:adjustRightInd w:val="0"/>
        <w:spacing w:after="0"/>
        <w:jc w:val="both"/>
        <w:rPr>
          <w:rFonts w:ascii="Arial" w:hAnsi="Arial" w:cs="Arial"/>
          <w:sz w:val="20"/>
        </w:rPr>
      </w:pPr>
      <w:r w:rsidRPr="003B023F">
        <w:rPr>
          <w:rFonts w:ascii="Arial" w:hAnsi="Arial" w:cs="Arial"/>
          <w:sz w:val="20"/>
        </w:rPr>
        <w:t xml:space="preserve">2. Aposentadoria. Combinação de regras de regimes distintos. Tempo fictício. Impossibilidade de aplicação. Precedente do STF. Ausência do tempo mínimo para aposentadoria. Pela negativa de registro. </w:t>
      </w:r>
    </w:p>
    <w:p w:rsidR="003B023F" w:rsidRDefault="003B023F" w:rsidP="003B023F">
      <w:pPr>
        <w:autoSpaceDE w:val="0"/>
        <w:autoSpaceDN w:val="0"/>
        <w:adjustRightInd w:val="0"/>
        <w:spacing w:after="0"/>
        <w:jc w:val="both"/>
        <w:rPr>
          <w:rFonts w:ascii="Arial" w:hAnsi="Arial" w:cs="Arial"/>
          <w:sz w:val="20"/>
          <w:szCs w:val="20"/>
        </w:rPr>
      </w:pPr>
    </w:p>
    <w:p w:rsidR="003B023F" w:rsidRPr="003B023F" w:rsidRDefault="003B023F" w:rsidP="003B023F">
      <w:pPr>
        <w:autoSpaceDE w:val="0"/>
        <w:autoSpaceDN w:val="0"/>
        <w:adjustRightInd w:val="0"/>
        <w:spacing w:after="0"/>
        <w:jc w:val="both"/>
        <w:rPr>
          <w:rFonts w:ascii="Arial" w:hAnsi="Arial" w:cs="Arial"/>
          <w:sz w:val="20"/>
        </w:rPr>
      </w:pPr>
      <w:r w:rsidRPr="003B023F">
        <w:rPr>
          <w:rFonts w:ascii="Arial" w:hAnsi="Arial" w:cs="Arial"/>
          <w:sz w:val="20"/>
        </w:rPr>
        <w:t>3. Admissão de Pessoal. Administração Pública. Concurso Público. Edital. Isonomia. Títulos. Tempo de serviço. Reserva de vagas para deficientes. Qualificação de banca examinadora.</w:t>
      </w:r>
    </w:p>
    <w:p w:rsidR="003B023F" w:rsidRPr="003B023F" w:rsidRDefault="003B023F" w:rsidP="003B023F">
      <w:pPr>
        <w:autoSpaceDE w:val="0"/>
        <w:autoSpaceDN w:val="0"/>
        <w:adjustRightInd w:val="0"/>
        <w:spacing w:after="0"/>
        <w:jc w:val="both"/>
        <w:rPr>
          <w:rFonts w:ascii="Arial" w:hAnsi="Arial" w:cs="Arial"/>
          <w:sz w:val="20"/>
        </w:rPr>
      </w:pPr>
    </w:p>
    <w:p w:rsidR="003B023F" w:rsidRPr="003B023F" w:rsidRDefault="003B023F" w:rsidP="003B023F">
      <w:pPr>
        <w:autoSpaceDE w:val="0"/>
        <w:autoSpaceDN w:val="0"/>
        <w:adjustRightInd w:val="0"/>
        <w:spacing w:after="0"/>
        <w:jc w:val="both"/>
        <w:rPr>
          <w:rFonts w:ascii="Arial" w:hAnsi="Arial" w:cs="Arial"/>
          <w:sz w:val="20"/>
        </w:rPr>
      </w:pPr>
      <w:r w:rsidRPr="003B023F">
        <w:rPr>
          <w:rFonts w:ascii="Arial" w:hAnsi="Arial" w:cs="Arial"/>
          <w:sz w:val="20"/>
        </w:rPr>
        <w:t xml:space="preserve">4. Ato de inativação. Exame de legalidade e Registro. Interpretação. Proventos. Registro. Admissão. Aposentadoria. Contribuição. </w:t>
      </w:r>
    </w:p>
    <w:p w:rsidR="003B023F" w:rsidRPr="003B023F" w:rsidRDefault="003B023F" w:rsidP="003B023F">
      <w:pPr>
        <w:autoSpaceDE w:val="0"/>
        <w:autoSpaceDN w:val="0"/>
        <w:adjustRightInd w:val="0"/>
        <w:spacing w:after="0"/>
        <w:jc w:val="both"/>
        <w:rPr>
          <w:rFonts w:ascii="Arial" w:hAnsi="Arial" w:cs="Arial"/>
          <w:sz w:val="20"/>
        </w:rPr>
      </w:pPr>
    </w:p>
    <w:p w:rsidR="003B023F" w:rsidRPr="003B023F" w:rsidRDefault="003B023F" w:rsidP="003B023F">
      <w:pPr>
        <w:autoSpaceDE w:val="0"/>
        <w:autoSpaceDN w:val="0"/>
        <w:adjustRightInd w:val="0"/>
        <w:spacing w:after="0"/>
        <w:jc w:val="both"/>
        <w:rPr>
          <w:rFonts w:ascii="Arial" w:hAnsi="Arial" w:cs="Arial"/>
          <w:sz w:val="20"/>
        </w:rPr>
      </w:pPr>
      <w:r w:rsidRPr="003B023F">
        <w:rPr>
          <w:rFonts w:ascii="Arial" w:hAnsi="Arial" w:cs="Arial"/>
          <w:sz w:val="20"/>
        </w:rPr>
        <w:t>5. Recurso de Revista. Terceirização de mão de obra por meio de Termo de Parceria do Poder Público com OSCIP. Serviços de Saúde. Violação a regra do concurso público. Irregularidade. Multa. Desnecessidade de devolução dos valores repassados para pagamento de despesas com pessoal. Recurso parcialmente provido.</w:t>
      </w:r>
    </w:p>
    <w:p w:rsidR="003B023F" w:rsidRDefault="003B023F" w:rsidP="003B023F">
      <w:pPr>
        <w:autoSpaceDE w:val="0"/>
        <w:autoSpaceDN w:val="0"/>
        <w:adjustRightInd w:val="0"/>
        <w:spacing w:after="0"/>
        <w:jc w:val="both"/>
        <w:rPr>
          <w:rFonts w:ascii="Arial" w:hAnsi="Arial" w:cs="Arial"/>
          <w:sz w:val="20"/>
          <w:szCs w:val="20"/>
        </w:rPr>
      </w:pPr>
    </w:p>
    <w:p w:rsidR="003B023F" w:rsidRPr="003B023F" w:rsidRDefault="003B023F" w:rsidP="003B023F">
      <w:pPr>
        <w:autoSpaceDE w:val="0"/>
        <w:autoSpaceDN w:val="0"/>
        <w:adjustRightInd w:val="0"/>
        <w:spacing w:after="0"/>
        <w:jc w:val="both"/>
        <w:rPr>
          <w:rFonts w:ascii="Arial" w:hAnsi="Arial" w:cs="Arial"/>
          <w:sz w:val="20"/>
          <w:szCs w:val="20"/>
        </w:rPr>
      </w:pPr>
      <w:r w:rsidRPr="003B023F">
        <w:rPr>
          <w:rFonts w:ascii="Arial" w:hAnsi="Arial" w:cs="Arial"/>
          <w:sz w:val="20"/>
          <w:szCs w:val="20"/>
        </w:rPr>
        <w:t xml:space="preserve">6. Recurso de Agravo em Representação. Alegações de parentesco com vereador do Município e Fraude a licitação não demonstradas. Ausência de indícios de aquisição fraudulenta das empresas. Fatos de competência da justiça comum. Não Provimento do Agravo. </w:t>
      </w:r>
    </w:p>
    <w:p w:rsidR="003B023F" w:rsidRDefault="003B023F" w:rsidP="003B023F">
      <w:pPr>
        <w:autoSpaceDE w:val="0"/>
        <w:autoSpaceDN w:val="0"/>
        <w:adjustRightInd w:val="0"/>
        <w:spacing w:after="0"/>
        <w:jc w:val="both"/>
        <w:rPr>
          <w:rFonts w:ascii="Arial" w:hAnsi="Arial" w:cs="Arial"/>
          <w:sz w:val="20"/>
          <w:szCs w:val="20"/>
        </w:rPr>
      </w:pPr>
    </w:p>
    <w:p w:rsidR="003B023F" w:rsidRPr="003B023F" w:rsidRDefault="003B023F" w:rsidP="003B023F">
      <w:pPr>
        <w:autoSpaceDE w:val="0"/>
        <w:autoSpaceDN w:val="0"/>
        <w:adjustRightInd w:val="0"/>
        <w:spacing w:after="0"/>
        <w:jc w:val="both"/>
        <w:rPr>
          <w:rFonts w:ascii="Arial" w:hAnsi="Arial" w:cs="Arial"/>
          <w:sz w:val="20"/>
        </w:rPr>
      </w:pPr>
      <w:r w:rsidRPr="003B023F">
        <w:rPr>
          <w:rFonts w:ascii="Arial" w:hAnsi="Arial" w:cs="Arial"/>
          <w:sz w:val="20"/>
        </w:rPr>
        <w:t xml:space="preserve">7. Incidente de Inconstitucionalidade. Leis Municipais que preveem a possibilidade de incorporação integral da TIDE aos vencimentos e proventos de aposentadoria. Verba de </w:t>
      </w:r>
      <w:r w:rsidRPr="003B023F">
        <w:rPr>
          <w:rFonts w:ascii="Arial" w:hAnsi="Arial" w:cs="Arial"/>
          <w:sz w:val="20"/>
        </w:rPr>
        <w:lastRenderedPageBreak/>
        <w:t>natureza transitória. Necessidade de proporcionalização da verba transitória ao tempo de contribuição. Determinação de Interpretação conforme a Constituição e revisão da legislação municipal.</w:t>
      </w:r>
    </w:p>
    <w:p w:rsidR="003B023F" w:rsidRDefault="003B023F" w:rsidP="003B023F">
      <w:pPr>
        <w:autoSpaceDE w:val="0"/>
        <w:autoSpaceDN w:val="0"/>
        <w:adjustRightInd w:val="0"/>
        <w:spacing w:after="0"/>
        <w:jc w:val="both"/>
        <w:rPr>
          <w:rFonts w:ascii="Arial" w:hAnsi="Arial" w:cs="Arial"/>
          <w:sz w:val="20"/>
          <w:szCs w:val="20"/>
        </w:rPr>
      </w:pPr>
    </w:p>
    <w:p w:rsidR="003B023F" w:rsidRPr="003B023F" w:rsidRDefault="003B023F" w:rsidP="003B023F">
      <w:pPr>
        <w:autoSpaceDE w:val="0"/>
        <w:autoSpaceDN w:val="0"/>
        <w:adjustRightInd w:val="0"/>
        <w:spacing w:after="0"/>
        <w:jc w:val="both"/>
        <w:rPr>
          <w:rFonts w:ascii="Arial" w:hAnsi="Arial" w:cs="Arial"/>
          <w:sz w:val="20"/>
        </w:rPr>
      </w:pPr>
      <w:r w:rsidRPr="003B023F">
        <w:rPr>
          <w:rFonts w:ascii="Arial" w:hAnsi="Arial" w:cs="Arial"/>
          <w:sz w:val="20"/>
        </w:rPr>
        <w:t>8. Representação da Lei 8.666/93. Exigências editalícias indevidas. Deferimento monocrático de cautelar suspendendo o certame. Homologação da cautelar.</w:t>
      </w:r>
    </w:p>
    <w:p w:rsidR="003B023F" w:rsidRDefault="003B023F" w:rsidP="003B023F">
      <w:pPr>
        <w:autoSpaceDE w:val="0"/>
        <w:autoSpaceDN w:val="0"/>
        <w:adjustRightInd w:val="0"/>
        <w:spacing w:after="0"/>
        <w:jc w:val="both"/>
        <w:rPr>
          <w:rFonts w:ascii="Arial" w:hAnsi="Arial" w:cs="Arial"/>
          <w:sz w:val="20"/>
          <w:szCs w:val="20"/>
        </w:rPr>
      </w:pPr>
    </w:p>
    <w:p w:rsidR="003B023F" w:rsidRPr="003B023F" w:rsidRDefault="003B023F" w:rsidP="003B023F">
      <w:pPr>
        <w:autoSpaceDE w:val="0"/>
        <w:autoSpaceDN w:val="0"/>
        <w:adjustRightInd w:val="0"/>
        <w:spacing w:after="0"/>
        <w:jc w:val="both"/>
        <w:rPr>
          <w:rFonts w:ascii="Arial" w:hAnsi="Arial" w:cs="Arial"/>
          <w:sz w:val="20"/>
        </w:rPr>
      </w:pPr>
      <w:r w:rsidRPr="003B023F">
        <w:rPr>
          <w:rFonts w:ascii="Arial" w:hAnsi="Arial" w:cs="Arial"/>
          <w:sz w:val="20"/>
        </w:rPr>
        <w:t>9. Recurso de Revista. Prestação de contas julgadas regulares com ressalva e aplicação de recomendações, determinações e multas. Concessão de função a servidores efetivos que não desempenham funções de chefia, direção e assessoramento. Utilização de cargos em comissão para provimento de funções que não caracterizam chefia, direção ou assessoramento. Desproporcionalidade entre o número de cargos em comissão e cargos efetivos. Cessão de servidores ocupantes de cargos em comissão e nomeação de servidores para cargos em comissão. Pelo conhecimento dos recursos e, no mérito, pelo não provimento do recurso manejado pelo Procurador-Geral e pelo parcial provimento dos recursos manejados pelos demais recorrentes, exclusivamente para afastar as multas do acórdão recorrido. Manutenção da decisão nos demais pontos.</w:t>
      </w:r>
    </w:p>
    <w:p w:rsidR="003B023F" w:rsidRDefault="003B023F" w:rsidP="003B023F">
      <w:pPr>
        <w:autoSpaceDE w:val="0"/>
        <w:autoSpaceDN w:val="0"/>
        <w:adjustRightInd w:val="0"/>
        <w:spacing w:after="0"/>
        <w:jc w:val="both"/>
        <w:rPr>
          <w:rFonts w:ascii="Arial" w:hAnsi="Arial" w:cs="Arial"/>
          <w:sz w:val="20"/>
          <w:szCs w:val="20"/>
        </w:rPr>
      </w:pPr>
    </w:p>
    <w:p w:rsidR="003B023F" w:rsidRPr="003B023F" w:rsidRDefault="003B023F" w:rsidP="003B023F">
      <w:pPr>
        <w:autoSpaceDE w:val="0"/>
        <w:autoSpaceDN w:val="0"/>
        <w:adjustRightInd w:val="0"/>
        <w:spacing w:after="0"/>
        <w:jc w:val="both"/>
        <w:rPr>
          <w:rFonts w:ascii="Arial" w:hAnsi="Arial" w:cs="Arial"/>
          <w:sz w:val="20"/>
        </w:rPr>
      </w:pPr>
      <w:r w:rsidRPr="003B023F">
        <w:rPr>
          <w:rFonts w:ascii="Arial" w:hAnsi="Arial" w:cs="Arial"/>
          <w:sz w:val="20"/>
        </w:rPr>
        <w:t>10. Exceção de suspeição em sede de Recurso. Ausência de prejulgamento. Rejeição.</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3B023F">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3B023F">
      <w:pPr>
        <w:autoSpaceDE w:val="0"/>
        <w:autoSpaceDN w:val="0"/>
        <w:adjustRightInd w:val="0"/>
        <w:spacing w:after="0"/>
        <w:jc w:val="both"/>
        <w:rPr>
          <w:rFonts w:ascii="Arial" w:hAnsi="Arial" w:cs="Arial"/>
          <w:sz w:val="20"/>
          <w:szCs w:val="20"/>
        </w:rPr>
      </w:pPr>
    </w:p>
    <w:p w:rsidR="003B023F" w:rsidRPr="003B023F" w:rsidRDefault="003B023F" w:rsidP="003B023F">
      <w:pPr>
        <w:spacing w:after="0"/>
        <w:jc w:val="both"/>
        <w:rPr>
          <w:rFonts w:ascii="Arial" w:hAnsi="Arial" w:cs="Arial"/>
          <w:b/>
          <w:sz w:val="20"/>
          <w:szCs w:val="20"/>
        </w:rPr>
      </w:pPr>
      <w:r w:rsidRPr="003B023F">
        <w:rPr>
          <w:rFonts w:ascii="Arial" w:hAnsi="Arial" w:cs="Arial"/>
          <w:b/>
          <w:sz w:val="20"/>
          <w:szCs w:val="20"/>
        </w:rPr>
        <w:t>1.</w:t>
      </w:r>
      <w:r>
        <w:rPr>
          <w:rFonts w:ascii="Arial" w:hAnsi="Arial" w:cs="Arial"/>
          <w:b/>
          <w:sz w:val="20"/>
          <w:szCs w:val="20"/>
        </w:rPr>
        <w:t xml:space="preserve"> </w:t>
      </w:r>
      <w:r w:rsidRPr="003B023F">
        <w:rPr>
          <w:rFonts w:ascii="Arial" w:hAnsi="Arial" w:cs="Arial"/>
          <w:b/>
          <w:sz w:val="20"/>
          <w:szCs w:val="20"/>
        </w:rPr>
        <w:t xml:space="preserve">Admissão de Pessoal. Autarquia municipal. Concurso Público. Extrapolação de limite de gasto com pessoal do Poder Executivo. Admissão em período de restrição imposto pela LRF. Exceção à regra do direito subjetivo à nomeação. Negativa de registro. </w:t>
      </w:r>
    </w:p>
    <w:p w:rsidR="003B023F" w:rsidRDefault="003B023F" w:rsidP="003B023F">
      <w:pPr>
        <w:autoSpaceDE w:val="0"/>
        <w:autoSpaceDN w:val="0"/>
        <w:adjustRightInd w:val="0"/>
        <w:spacing w:after="0"/>
        <w:jc w:val="both"/>
        <w:rPr>
          <w:rFonts w:ascii="Arial" w:hAnsi="Arial" w:cs="Arial"/>
          <w:sz w:val="20"/>
          <w:szCs w:val="20"/>
        </w:rPr>
      </w:pPr>
    </w:p>
    <w:p w:rsidR="003B023F" w:rsidRDefault="003B023F" w:rsidP="003B023F">
      <w:pPr>
        <w:spacing w:after="0"/>
        <w:jc w:val="both"/>
        <w:rPr>
          <w:rFonts w:ascii="Arial" w:hAnsi="Arial" w:cs="Arial"/>
          <w:sz w:val="20"/>
          <w:szCs w:val="20"/>
        </w:rPr>
      </w:pPr>
      <w:r>
        <w:rPr>
          <w:rFonts w:ascii="Arial" w:hAnsi="Arial" w:cs="Arial"/>
          <w:sz w:val="20"/>
          <w:szCs w:val="20"/>
        </w:rPr>
        <w:t xml:space="preserve">Nos termos do art. 21 da LRF, é nulo de pleno direito o ato que provoque aumento de despesa com pessoal. Esta nulidade é absoluta e a invalidação do ato opera efeitos </w:t>
      </w:r>
      <w:r>
        <w:rPr>
          <w:rFonts w:ascii="Arial" w:hAnsi="Arial" w:cs="Arial"/>
          <w:i/>
          <w:sz w:val="20"/>
          <w:szCs w:val="20"/>
        </w:rPr>
        <w:t xml:space="preserve">ex tunc, </w:t>
      </w:r>
      <w:r>
        <w:rPr>
          <w:rFonts w:ascii="Arial" w:hAnsi="Arial" w:cs="Arial"/>
          <w:sz w:val="20"/>
          <w:szCs w:val="20"/>
        </w:rPr>
        <w:t xml:space="preserve">ou seja, a nulidade retroage até o momento em que o ato foi constituído, não havendo que se falar, sequer, em segurança jurídica em face do tempo decorrido. </w:t>
      </w:r>
    </w:p>
    <w:p w:rsidR="003B023F" w:rsidRDefault="003B023F" w:rsidP="003B023F">
      <w:pPr>
        <w:autoSpaceDE w:val="0"/>
        <w:autoSpaceDN w:val="0"/>
        <w:adjustRightInd w:val="0"/>
        <w:spacing w:after="0"/>
        <w:jc w:val="both"/>
        <w:rPr>
          <w:rFonts w:ascii="Arial" w:hAnsi="Arial" w:cs="Arial"/>
          <w:sz w:val="20"/>
          <w:szCs w:val="20"/>
        </w:rPr>
      </w:pPr>
    </w:p>
    <w:p w:rsidR="003B023F" w:rsidRDefault="003B023F" w:rsidP="003B023F">
      <w:pPr>
        <w:autoSpaceDE w:val="0"/>
        <w:autoSpaceDN w:val="0"/>
        <w:adjustRightInd w:val="0"/>
        <w:spacing w:after="0"/>
        <w:jc w:val="both"/>
        <w:rPr>
          <w:rFonts w:ascii="Arial" w:hAnsi="Arial" w:cs="Arial"/>
          <w:sz w:val="20"/>
          <w:szCs w:val="20"/>
        </w:rPr>
      </w:pPr>
      <w:r>
        <w:rPr>
          <w:rFonts w:ascii="Arial" w:hAnsi="Arial" w:cs="Arial"/>
          <w:sz w:val="20"/>
          <w:szCs w:val="20"/>
        </w:rPr>
        <w:t xml:space="preserve">Ainda que não tenha sido o ato de admissão em análise o causador do aumento da despesa, impôs-se a ponderação do direito subjetivo à nomeação do candidato aprovado – exigência prevista no STF, no RE </w:t>
      </w:r>
      <w:r>
        <w:rPr>
          <w:rFonts w:ascii="Arial" w:hAnsi="Arial" w:cs="Arial"/>
          <w:sz w:val="20"/>
          <w:szCs w:val="20"/>
        </w:rPr>
        <w:t>598099, com repercussão geral</w:t>
      </w:r>
      <w:r>
        <w:rPr>
          <w:rFonts w:ascii="Arial" w:hAnsi="Arial" w:cs="Arial"/>
          <w:sz w:val="20"/>
          <w:szCs w:val="20"/>
        </w:rPr>
        <w:t xml:space="preserve">, em contraposição à extrapolação do limite de gastos com pessoal. </w:t>
      </w:r>
    </w:p>
    <w:p w:rsidR="003B023F" w:rsidRDefault="003B023F" w:rsidP="003B023F">
      <w:pPr>
        <w:autoSpaceDE w:val="0"/>
        <w:autoSpaceDN w:val="0"/>
        <w:adjustRightInd w:val="0"/>
        <w:spacing w:after="0"/>
        <w:jc w:val="both"/>
        <w:rPr>
          <w:rFonts w:ascii="Arial" w:hAnsi="Arial" w:cs="Arial"/>
          <w:sz w:val="20"/>
          <w:szCs w:val="20"/>
        </w:rPr>
      </w:pPr>
    </w:p>
    <w:p w:rsidR="003B023F" w:rsidRDefault="003B023F" w:rsidP="003B023F">
      <w:pPr>
        <w:spacing w:after="0"/>
        <w:jc w:val="both"/>
        <w:rPr>
          <w:rFonts w:ascii="Arial" w:hAnsi="Arial" w:cs="Arial"/>
          <w:sz w:val="20"/>
          <w:szCs w:val="20"/>
        </w:rPr>
      </w:pPr>
      <w:r>
        <w:rPr>
          <w:rFonts w:ascii="Arial" w:hAnsi="Arial" w:cs="Arial"/>
          <w:sz w:val="20"/>
          <w:szCs w:val="20"/>
        </w:rPr>
        <w:t xml:space="preserve">Após análise do entendimento jurisprudencial acerca da questão, concluiu o Relator:  “Depreende-se, portanto, que ponderando os valores subjetivos (direito à nomeação) e os valores objetivos (saúde das finanças públicas), repise-se, desde que devidamente comprovado pelos órgãos de controle interno e externo, a jurisprudência pátria priorizou os valores objetivos”. </w:t>
      </w:r>
    </w:p>
    <w:p w:rsidR="003B023F" w:rsidRDefault="003B023F" w:rsidP="003B023F">
      <w:pPr>
        <w:spacing w:after="0"/>
        <w:jc w:val="both"/>
        <w:rPr>
          <w:rFonts w:ascii="Arial" w:hAnsi="Arial" w:cs="Arial"/>
          <w:sz w:val="20"/>
          <w:szCs w:val="20"/>
        </w:rPr>
      </w:pPr>
      <w:r>
        <w:rPr>
          <w:rFonts w:ascii="Arial" w:hAnsi="Arial" w:cs="Arial"/>
          <w:sz w:val="20"/>
          <w:szCs w:val="20"/>
        </w:rPr>
        <w:lastRenderedPageBreak/>
        <w:t xml:space="preserve">Neste sentido, o julgado negou registro ao ato de admissão de pessoal realizado por entidade de previdência municipal para o cargo de advogado, haja vista que extrapolado o limite com gastos de pessoal. </w:t>
      </w:r>
    </w:p>
    <w:p w:rsidR="003B023F" w:rsidRDefault="003B023F" w:rsidP="003B023F">
      <w:pPr>
        <w:spacing w:after="0"/>
        <w:jc w:val="both"/>
        <w:rPr>
          <w:rFonts w:ascii="Arial" w:hAnsi="Arial" w:cs="Arial"/>
          <w:sz w:val="20"/>
          <w:szCs w:val="20"/>
        </w:rPr>
      </w:pPr>
    </w:p>
    <w:p w:rsidR="003B023F" w:rsidRDefault="003B023F" w:rsidP="003B023F">
      <w:pPr>
        <w:spacing w:after="0"/>
        <w:jc w:val="both"/>
        <w:rPr>
          <w:rFonts w:ascii="Arial" w:hAnsi="Arial" w:cs="Arial"/>
          <w:sz w:val="20"/>
          <w:szCs w:val="20"/>
        </w:rPr>
      </w:pPr>
      <w:r>
        <w:rPr>
          <w:rFonts w:ascii="Arial" w:hAnsi="Arial" w:cs="Arial"/>
          <w:sz w:val="20"/>
          <w:szCs w:val="20"/>
        </w:rPr>
        <w:t xml:space="preserve">Processo nº 230639/16 – </w:t>
      </w:r>
      <w:hyperlink r:id="rId8" w:history="1">
        <w:r w:rsidRPr="00B62A00">
          <w:rPr>
            <w:rStyle w:val="Hyperlink"/>
            <w:rFonts w:ascii="Arial" w:hAnsi="Arial" w:cs="Arial"/>
            <w:sz w:val="20"/>
            <w:szCs w:val="20"/>
          </w:rPr>
          <w:t>Acórdão nº 523/18</w:t>
        </w:r>
        <w:r w:rsidR="00557EBA">
          <w:rPr>
            <w:rStyle w:val="Hyperlink"/>
            <w:rFonts w:ascii="Arial" w:hAnsi="Arial" w:cs="Arial"/>
            <w:sz w:val="20"/>
            <w:szCs w:val="20"/>
          </w:rPr>
          <w:t xml:space="preserve"> </w:t>
        </w:r>
        <w:r w:rsidRPr="00B62A00">
          <w:rPr>
            <w:rStyle w:val="Hyperlink"/>
            <w:rFonts w:ascii="Arial" w:hAnsi="Arial" w:cs="Arial"/>
            <w:sz w:val="20"/>
            <w:szCs w:val="20"/>
          </w:rPr>
          <w:t>-</w:t>
        </w:r>
        <w:r w:rsidR="00557EBA">
          <w:rPr>
            <w:rStyle w:val="Hyperlink"/>
            <w:rFonts w:ascii="Arial" w:hAnsi="Arial" w:cs="Arial"/>
            <w:sz w:val="20"/>
            <w:szCs w:val="20"/>
          </w:rPr>
          <w:t xml:space="preserve"> Primeira</w:t>
        </w:r>
        <w:r w:rsidRPr="00B62A00">
          <w:rPr>
            <w:rStyle w:val="Hyperlink"/>
            <w:rFonts w:ascii="Arial" w:hAnsi="Arial" w:cs="Arial"/>
            <w:sz w:val="20"/>
            <w:szCs w:val="20"/>
          </w:rPr>
          <w:t xml:space="preserve"> Câmara</w:t>
        </w:r>
      </w:hyperlink>
      <w:r>
        <w:rPr>
          <w:rFonts w:ascii="Arial" w:hAnsi="Arial" w:cs="Arial"/>
          <w:sz w:val="20"/>
          <w:szCs w:val="20"/>
        </w:rPr>
        <w:t xml:space="preserve"> – Relator Conselheiro Fernando Augusto Mello Guimarães. </w:t>
      </w:r>
    </w:p>
    <w:p w:rsidR="003B023F" w:rsidRDefault="003B023F" w:rsidP="003B023F">
      <w:pPr>
        <w:spacing w:after="0"/>
        <w:jc w:val="both"/>
        <w:rPr>
          <w:rFonts w:ascii="Arial" w:hAnsi="Arial" w:cs="Arial"/>
          <w:sz w:val="20"/>
          <w:szCs w:val="20"/>
        </w:rPr>
      </w:pPr>
    </w:p>
    <w:p w:rsidR="003B023F" w:rsidRPr="00A64511" w:rsidRDefault="003B023F" w:rsidP="003B023F">
      <w:pPr>
        <w:spacing w:after="0"/>
        <w:jc w:val="both"/>
        <w:rPr>
          <w:rFonts w:ascii="Arial" w:hAnsi="Arial" w:cs="Arial"/>
          <w:b/>
          <w:sz w:val="20"/>
          <w:szCs w:val="20"/>
        </w:rPr>
      </w:pPr>
      <w:r>
        <w:rPr>
          <w:rFonts w:ascii="Arial" w:hAnsi="Arial" w:cs="Arial"/>
          <w:b/>
          <w:sz w:val="20"/>
          <w:szCs w:val="20"/>
        </w:rPr>
        <w:t xml:space="preserve">2. </w:t>
      </w:r>
      <w:r w:rsidRPr="00A64511">
        <w:rPr>
          <w:rFonts w:ascii="Arial" w:hAnsi="Arial" w:cs="Arial"/>
          <w:b/>
          <w:sz w:val="20"/>
          <w:szCs w:val="20"/>
        </w:rPr>
        <w:t xml:space="preserve">Aposentadoria. Combinação de regras de regimes distintos. Tempo fictício. Impossibilidade de aplicação. Precedente do STF. Ausência do tempo mínimo para aposentadoria. Pela negativa de registro. </w:t>
      </w:r>
    </w:p>
    <w:p w:rsidR="003B023F" w:rsidRDefault="003B023F" w:rsidP="003B023F">
      <w:pPr>
        <w:spacing w:after="0"/>
        <w:jc w:val="both"/>
        <w:rPr>
          <w:rFonts w:ascii="Arial" w:hAnsi="Arial" w:cs="Arial"/>
          <w:sz w:val="20"/>
          <w:szCs w:val="20"/>
        </w:rPr>
      </w:pPr>
    </w:p>
    <w:p w:rsidR="003B023F" w:rsidRDefault="003B023F" w:rsidP="003B023F">
      <w:pPr>
        <w:spacing w:after="0"/>
        <w:jc w:val="both"/>
        <w:rPr>
          <w:rFonts w:ascii="Arial" w:hAnsi="Arial" w:cs="Arial"/>
          <w:sz w:val="20"/>
          <w:szCs w:val="20"/>
        </w:rPr>
      </w:pPr>
      <w:r>
        <w:rPr>
          <w:rFonts w:ascii="Arial" w:hAnsi="Arial" w:cs="Arial"/>
          <w:sz w:val="20"/>
          <w:szCs w:val="20"/>
        </w:rPr>
        <w:t xml:space="preserve">Neste julgado, enfrentou-se questão em que foi aplicada a bonificação de 17% no tempo de  contribuição do servidor, quando de sua aposentadoria. Tal bonificação está prevista tão somente para aqueles que se utilizem das regras previstas no §3º do artigo 8º da EC 20/1998 ou no §3º do artigo 2º da EC 41/2003. Mesclar o regime previdenciário de transição estatuído pela Emenda Constitucional 47/2005, além de ferir o princípio da legalidade não se harmoniza com o princípio contributivo inaugurado com a EC 20/98. </w:t>
      </w:r>
    </w:p>
    <w:p w:rsidR="001D3414" w:rsidRDefault="001D3414" w:rsidP="003B023F">
      <w:pPr>
        <w:spacing w:after="0"/>
        <w:jc w:val="both"/>
        <w:rPr>
          <w:rFonts w:ascii="Arial" w:hAnsi="Arial" w:cs="Arial"/>
          <w:sz w:val="20"/>
          <w:szCs w:val="20"/>
        </w:rPr>
      </w:pPr>
    </w:p>
    <w:p w:rsidR="003B023F" w:rsidRDefault="003B023F" w:rsidP="003B023F">
      <w:pPr>
        <w:spacing w:after="0"/>
        <w:jc w:val="both"/>
        <w:rPr>
          <w:rFonts w:ascii="Arial" w:hAnsi="Arial" w:cs="Arial"/>
          <w:sz w:val="20"/>
          <w:szCs w:val="20"/>
        </w:rPr>
      </w:pPr>
      <w:r>
        <w:rPr>
          <w:rFonts w:ascii="Arial" w:hAnsi="Arial" w:cs="Arial"/>
          <w:sz w:val="20"/>
          <w:szCs w:val="20"/>
        </w:rPr>
        <w:t xml:space="preserve">No caso em comento, excluído o tempo fictício de 17%, incidente sobre o período de contribuição computado até 16.12.98, o servidor não teria o tempo de contribuição excedente necessário para compensar com a idade que possuía ao tempo da publicação do ato concessivo. </w:t>
      </w:r>
    </w:p>
    <w:p w:rsidR="003B023F" w:rsidRDefault="003B023F" w:rsidP="003B023F">
      <w:pPr>
        <w:spacing w:after="0"/>
        <w:jc w:val="both"/>
        <w:rPr>
          <w:rFonts w:ascii="Arial" w:hAnsi="Arial" w:cs="Arial"/>
          <w:sz w:val="20"/>
          <w:szCs w:val="20"/>
        </w:rPr>
      </w:pPr>
      <w:r>
        <w:rPr>
          <w:rFonts w:ascii="Arial" w:hAnsi="Arial" w:cs="Arial"/>
          <w:sz w:val="20"/>
          <w:szCs w:val="20"/>
        </w:rPr>
        <w:t xml:space="preserve">A decisão foi pela negativa de registro de ato de aposentadoria diante da ausência de tempo mínimo para aposentadoria, ao se excluir o tempo fictício.  </w:t>
      </w:r>
    </w:p>
    <w:p w:rsidR="003B023F" w:rsidRDefault="003B023F" w:rsidP="003B023F">
      <w:pPr>
        <w:spacing w:after="0"/>
        <w:jc w:val="both"/>
        <w:rPr>
          <w:rFonts w:ascii="Arial" w:hAnsi="Arial" w:cs="Arial"/>
          <w:sz w:val="20"/>
          <w:szCs w:val="20"/>
        </w:rPr>
      </w:pPr>
    </w:p>
    <w:p w:rsidR="003B023F" w:rsidRDefault="003B023F" w:rsidP="003B023F">
      <w:pPr>
        <w:spacing w:after="0"/>
        <w:jc w:val="both"/>
        <w:rPr>
          <w:rFonts w:ascii="Arial" w:hAnsi="Arial" w:cs="Arial"/>
          <w:sz w:val="20"/>
          <w:szCs w:val="20"/>
        </w:rPr>
      </w:pPr>
      <w:r>
        <w:rPr>
          <w:rFonts w:ascii="Arial" w:hAnsi="Arial" w:cs="Arial"/>
          <w:sz w:val="20"/>
          <w:szCs w:val="20"/>
        </w:rPr>
        <w:t xml:space="preserve">Processo nº 637789/13 – </w:t>
      </w:r>
      <w:hyperlink r:id="rId9" w:history="1">
        <w:r w:rsidRPr="00B62A00">
          <w:rPr>
            <w:rStyle w:val="Hyperlink"/>
            <w:rFonts w:ascii="Arial" w:hAnsi="Arial" w:cs="Arial"/>
            <w:sz w:val="20"/>
            <w:szCs w:val="20"/>
          </w:rPr>
          <w:t>Acórdão nº 519/18</w:t>
        </w:r>
        <w:r w:rsidR="00557EBA">
          <w:rPr>
            <w:rStyle w:val="Hyperlink"/>
            <w:rFonts w:ascii="Arial" w:hAnsi="Arial" w:cs="Arial"/>
            <w:sz w:val="20"/>
            <w:szCs w:val="20"/>
          </w:rPr>
          <w:t xml:space="preserve"> </w:t>
        </w:r>
        <w:r w:rsidRPr="00B62A00">
          <w:rPr>
            <w:rStyle w:val="Hyperlink"/>
            <w:rFonts w:ascii="Arial" w:hAnsi="Arial" w:cs="Arial"/>
            <w:sz w:val="20"/>
            <w:szCs w:val="20"/>
          </w:rPr>
          <w:t>-</w:t>
        </w:r>
        <w:r w:rsidR="00557EBA">
          <w:rPr>
            <w:rStyle w:val="Hyperlink"/>
            <w:rFonts w:ascii="Arial" w:hAnsi="Arial" w:cs="Arial"/>
            <w:sz w:val="20"/>
            <w:szCs w:val="20"/>
          </w:rPr>
          <w:t xml:space="preserve"> </w:t>
        </w:r>
        <w:r>
          <w:rPr>
            <w:rStyle w:val="Hyperlink"/>
            <w:rFonts w:ascii="Arial" w:hAnsi="Arial" w:cs="Arial"/>
            <w:sz w:val="20"/>
            <w:szCs w:val="20"/>
          </w:rPr>
          <w:t>Primeira</w:t>
        </w:r>
        <w:r w:rsidRPr="00B62A00">
          <w:rPr>
            <w:rStyle w:val="Hyperlink"/>
            <w:rFonts w:ascii="Arial" w:hAnsi="Arial" w:cs="Arial"/>
            <w:sz w:val="20"/>
            <w:szCs w:val="20"/>
          </w:rPr>
          <w:t xml:space="preserve"> Câmara</w:t>
        </w:r>
      </w:hyperlink>
      <w:r>
        <w:rPr>
          <w:rFonts w:ascii="Arial" w:hAnsi="Arial" w:cs="Arial"/>
          <w:sz w:val="20"/>
          <w:szCs w:val="20"/>
        </w:rPr>
        <w:t xml:space="preserve"> – Relator Conselheiro Fernando Augusto Mello Guimarães. </w:t>
      </w:r>
    </w:p>
    <w:p w:rsidR="004429A2" w:rsidRDefault="004429A2" w:rsidP="003B023F">
      <w:pPr>
        <w:autoSpaceDE w:val="0"/>
        <w:autoSpaceDN w:val="0"/>
        <w:adjustRightInd w:val="0"/>
        <w:spacing w:after="0"/>
        <w:jc w:val="both"/>
        <w:rPr>
          <w:rFonts w:ascii="Arial" w:hAnsi="Arial" w:cs="Arial"/>
          <w:sz w:val="20"/>
          <w:szCs w:val="20"/>
        </w:rPr>
      </w:pPr>
    </w:p>
    <w:p w:rsidR="00EC3842" w:rsidRPr="0022060B" w:rsidRDefault="00EC3842" w:rsidP="003B023F">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3B023F" w:rsidRDefault="003B023F" w:rsidP="003B023F">
      <w:pPr>
        <w:autoSpaceDE w:val="0"/>
        <w:autoSpaceDN w:val="0"/>
        <w:adjustRightInd w:val="0"/>
        <w:spacing w:after="0"/>
        <w:jc w:val="both"/>
        <w:rPr>
          <w:rFonts w:ascii="Arial" w:hAnsi="Arial" w:cs="Arial"/>
          <w:b/>
          <w:sz w:val="20"/>
          <w:szCs w:val="20"/>
        </w:rPr>
      </w:pPr>
    </w:p>
    <w:p w:rsidR="00822E51" w:rsidRPr="00301EB9" w:rsidRDefault="00ED59DF" w:rsidP="003B023F">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301EB9" w:rsidRPr="00301EB9">
        <w:rPr>
          <w:rFonts w:ascii="Arial" w:hAnsi="Arial" w:cs="Arial"/>
          <w:b/>
          <w:sz w:val="20"/>
          <w:szCs w:val="20"/>
        </w:rPr>
        <w:t>Admissão de Pessoal. Administração Pública. Concurso Público. Edital. Isonomia. Títulos. Tempo de serviço. Reserva de vagas para deficientes. Qualificação de banca examinadora.</w:t>
      </w:r>
    </w:p>
    <w:p w:rsidR="001D3414" w:rsidRDefault="001D3414" w:rsidP="003B023F">
      <w:pPr>
        <w:autoSpaceDE w:val="0"/>
        <w:autoSpaceDN w:val="0"/>
        <w:adjustRightInd w:val="0"/>
        <w:spacing w:after="0"/>
        <w:jc w:val="both"/>
        <w:rPr>
          <w:rFonts w:ascii="Arial" w:hAnsi="Arial" w:cs="Arial"/>
          <w:sz w:val="20"/>
          <w:szCs w:val="20"/>
        </w:rPr>
      </w:pPr>
    </w:p>
    <w:p w:rsidR="00822E51" w:rsidRDefault="00D0548F" w:rsidP="003B023F">
      <w:pPr>
        <w:autoSpaceDE w:val="0"/>
        <w:autoSpaceDN w:val="0"/>
        <w:adjustRightInd w:val="0"/>
        <w:spacing w:after="0"/>
        <w:jc w:val="both"/>
        <w:rPr>
          <w:rFonts w:ascii="Arial" w:hAnsi="Arial" w:cs="Arial"/>
          <w:sz w:val="20"/>
          <w:szCs w:val="20"/>
        </w:rPr>
      </w:pPr>
      <w:r w:rsidRPr="00D0548F">
        <w:rPr>
          <w:rFonts w:ascii="Arial" w:hAnsi="Arial" w:cs="Arial"/>
          <w:sz w:val="20"/>
          <w:szCs w:val="20"/>
        </w:rPr>
        <w:t xml:space="preserve">A ofensa à isonomia em relação a prova de títulos para a vaga de artesão, ao prever pontuação exclusiva para tempo de serviço público; o não cumprimento da norma constitucional de reserva de vagas para pessoas deficientes; e a falta de demonstração de qualificação dos examinadores </w:t>
      </w:r>
      <w:r w:rsidR="00822E51" w:rsidRPr="00D0548F">
        <w:rPr>
          <w:rFonts w:ascii="Arial" w:hAnsi="Arial" w:cs="Arial"/>
          <w:sz w:val="20"/>
          <w:szCs w:val="20"/>
        </w:rPr>
        <w:t>configuram graves irregularidades, cujo saneamento constitui condição indispensável para o regular prosseguimento do processo de seleção.</w:t>
      </w:r>
    </w:p>
    <w:p w:rsidR="001D3414" w:rsidRDefault="001D3414" w:rsidP="003B023F">
      <w:pPr>
        <w:autoSpaceDE w:val="0"/>
        <w:autoSpaceDN w:val="0"/>
        <w:adjustRightInd w:val="0"/>
        <w:spacing w:after="0"/>
        <w:jc w:val="both"/>
        <w:rPr>
          <w:rFonts w:ascii="Arial" w:hAnsi="Arial" w:cs="Arial"/>
          <w:sz w:val="20"/>
          <w:szCs w:val="20"/>
        </w:rPr>
      </w:pPr>
    </w:p>
    <w:p w:rsidR="00D0548F" w:rsidRPr="00D0548F" w:rsidRDefault="00D0548F" w:rsidP="003B023F">
      <w:pPr>
        <w:autoSpaceDE w:val="0"/>
        <w:autoSpaceDN w:val="0"/>
        <w:adjustRightInd w:val="0"/>
        <w:spacing w:after="0"/>
        <w:jc w:val="both"/>
        <w:rPr>
          <w:rFonts w:ascii="Arial" w:hAnsi="Arial" w:cs="Arial"/>
          <w:sz w:val="20"/>
          <w:szCs w:val="20"/>
        </w:rPr>
      </w:pPr>
      <w:r w:rsidRPr="00D0548F">
        <w:rPr>
          <w:rFonts w:ascii="Arial" w:hAnsi="Arial" w:cs="Arial"/>
          <w:sz w:val="20"/>
          <w:szCs w:val="20"/>
        </w:rPr>
        <w:t>Processo nº 800323/17</w:t>
      </w:r>
      <w:r w:rsidRPr="00D0548F">
        <w:t xml:space="preserve"> - </w:t>
      </w:r>
      <w:hyperlink r:id="rId10" w:history="1">
        <w:r w:rsidRPr="00D0548F">
          <w:rPr>
            <w:rStyle w:val="Hyperlink"/>
            <w:rFonts w:ascii="Arial" w:hAnsi="Arial" w:cs="Arial"/>
            <w:sz w:val="20"/>
            <w:szCs w:val="20"/>
          </w:rPr>
          <w:t>Acórdão nº 553/18 – Segunda Câmara</w:t>
        </w:r>
      </w:hyperlink>
      <w:r w:rsidRPr="00D0548F">
        <w:t xml:space="preserve"> - </w:t>
      </w:r>
      <w:r w:rsidRPr="00D0548F">
        <w:rPr>
          <w:rFonts w:ascii="Arial" w:hAnsi="Arial" w:cs="Arial"/>
          <w:sz w:val="20"/>
          <w:szCs w:val="20"/>
        </w:rPr>
        <w:t xml:space="preserve">Relator Auditor Thiago Barbosa Cordeiro. </w:t>
      </w:r>
    </w:p>
    <w:p w:rsidR="00822E51" w:rsidRDefault="00822E51" w:rsidP="003B023F">
      <w:pPr>
        <w:autoSpaceDE w:val="0"/>
        <w:autoSpaceDN w:val="0"/>
        <w:adjustRightInd w:val="0"/>
        <w:spacing w:after="0"/>
        <w:rPr>
          <w:rFonts w:ascii="Arial" w:hAnsi="Arial" w:cs="Arial"/>
          <w:sz w:val="20"/>
          <w:szCs w:val="20"/>
        </w:rPr>
      </w:pPr>
    </w:p>
    <w:p w:rsidR="00D0548F" w:rsidRPr="00171A45" w:rsidRDefault="00ED59DF" w:rsidP="003B023F">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4. </w:t>
      </w:r>
      <w:r w:rsidR="00B64555" w:rsidRPr="00171A45">
        <w:rPr>
          <w:rFonts w:ascii="Arial" w:hAnsi="Arial" w:cs="Arial"/>
          <w:b/>
          <w:sz w:val="20"/>
          <w:szCs w:val="20"/>
        </w:rPr>
        <w:t xml:space="preserve">Ato de inativação. Exame de legalidade e Registro. Interpretação. Proventos. Registro. Admissão. </w:t>
      </w:r>
      <w:r w:rsidR="00171A45" w:rsidRPr="00171A45">
        <w:rPr>
          <w:rFonts w:ascii="Arial" w:hAnsi="Arial" w:cs="Arial"/>
          <w:b/>
          <w:sz w:val="20"/>
          <w:szCs w:val="20"/>
        </w:rPr>
        <w:t xml:space="preserve">Aposentadoria. Contribuição. </w:t>
      </w:r>
    </w:p>
    <w:p w:rsidR="001D3414" w:rsidRDefault="001D3414" w:rsidP="003B023F">
      <w:pPr>
        <w:autoSpaceDE w:val="0"/>
        <w:autoSpaceDN w:val="0"/>
        <w:adjustRightInd w:val="0"/>
        <w:spacing w:after="0"/>
        <w:jc w:val="both"/>
        <w:rPr>
          <w:rFonts w:ascii="Arial" w:hAnsi="Arial" w:cs="Arial"/>
          <w:sz w:val="20"/>
          <w:szCs w:val="20"/>
        </w:rPr>
      </w:pPr>
    </w:p>
    <w:p w:rsidR="00300462" w:rsidRDefault="00300462" w:rsidP="003B023F">
      <w:pPr>
        <w:autoSpaceDE w:val="0"/>
        <w:autoSpaceDN w:val="0"/>
        <w:adjustRightInd w:val="0"/>
        <w:spacing w:after="0"/>
        <w:jc w:val="both"/>
        <w:rPr>
          <w:rFonts w:ascii="Arial" w:hAnsi="Arial" w:cs="Arial"/>
          <w:sz w:val="20"/>
          <w:szCs w:val="20"/>
        </w:rPr>
      </w:pPr>
      <w:r w:rsidRPr="00D816A4">
        <w:rPr>
          <w:rFonts w:ascii="Arial" w:hAnsi="Arial" w:cs="Arial"/>
          <w:sz w:val="20"/>
          <w:szCs w:val="20"/>
        </w:rPr>
        <w:t>Como o exame da legalidade e registro deste ato está entre as competências deste Tribunal, prevista no art. 71, III, da Constituição Federal, e que sua análise não se restringe ao fundamento legal da inativação, mas, compreende o exame do valor dos proventos, do registro da admissão junto esta Corte no cargo em que se deu a aposentadoria, do tempo de contribuição event</w:t>
      </w:r>
      <w:r w:rsidR="00D816A4">
        <w:rPr>
          <w:rFonts w:ascii="Arial" w:hAnsi="Arial" w:cs="Arial"/>
          <w:sz w:val="20"/>
          <w:szCs w:val="20"/>
        </w:rPr>
        <w:t>ualmente averbado, entre outros.</w:t>
      </w:r>
    </w:p>
    <w:p w:rsidR="001D3414" w:rsidRDefault="001D3414" w:rsidP="003B023F">
      <w:pPr>
        <w:autoSpaceDE w:val="0"/>
        <w:autoSpaceDN w:val="0"/>
        <w:adjustRightInd w:val="0"/>
        <w:spacing w:after="0"/>
        <w:jc w:val="both"/>
        <w:rPr>
          <w:rFonts w:ascii="Arial" w:hAnsi="Arial" w:cs="Arial"/>
          <w:sz w:val="20"/>
          <w:szCs w:val="20"/>
        </w:rPr>
      </w:pPr>
    </w:p>
    <w:p w:rsidR="00D816A4" w:rsidRPr="00D0548F" w:rsidRDefault="00D816A4" w:rsidP="003B023F">
      <w:pPr>
        <w:autoSpaceDE w:val="0"/>
        <w:autoSpaceDN w:val="0"/>
        <w:adjustRightInd w:val="0"/>
        <w:spacing w:after="0"/>
        <w:jc w:val="both"/>
        <w:rPr>
          <w:rFonts w:ascii="Arial" w:hAnsi="Arial" w:cs="Arial"/>
          <w:sz w:val="20"/>
          <w:szCs w:val="20"/>
        </w:rPr>
      </w:pPr>
      <w:r w:rsidRPr="00D0548F">
        <w:rPr>
          <w:rFonts w:ascii="Arial" w:hAnsi="Arial" w:cs="Arial"/>
          <w:sz w:val="20"/>
          <w:szCs w:val="20"/>
        </w:rPr>
        <w:t xml:space="preserve">Processo nº </w:t>
      </w:r>
      <w:r>
        <w:rPr>
          <w:rFonts w:ascii="Arial" w:hAnsi="Arial" w:cs="Arial"/>
          <w:sz w:val="20"/>
          <w:szCs w:val="20"/>
        </w:rPr>
        <w:t>1008841</w:t>
      </w:r>
      <w:r w:rsidRPr="00D0548F">
        <w:rPr>
          <w:rFonts w:ascii="Arial" w:hAnsi="Arial" w:cs="Arial"/>
          <w:sz w:val="20"/>
          <w:szCs w:val="20"/>
        </w:rPr>
        <w:t>/1</w:t>
      </w:r>
      <w:r>
        <w:rPr>
          <w:rFonts w:ascii="Arial" w:hAnsi="Arial" w:cs="Arial"/>
          <w:sz w:val="20"/>
          <w:szCs w:val="20"/>
        </w:rPr>
        <w:t>5</w:t>
      </w:r>
      <w:r w:rsidRPr="00D0548F">
        <w:t xml:space="preserve"> - </w:t>
      </w:r>
      <w:hyperlink r:id="rId11" w:history="1">
        <w:r w:rsidRPr="00CF370F">
          <w:rPr>
            <w:rStyle w:val="Hyperlink"/>
            <w:rFonts w:ascii="Arial" w:hAnsi="Arial" w:cs="Arial"/>
            <w:sz w:val="20"/>
            <w:szCs w:val="20"/>
          </w:rPr>
          <w:t>Acórdão nº 561/18 – Segunda Câmara</w:t>
        </w:r>
      </w:hyperlink>
      <w:r w:rsidRPr="00D0548F">
        <w:t xml:space="preserve"> - </w:t>
      </w:r>
      <w:r w:rsidRPr="00D0548F">
        <w:rPr>
          <w:rFonts w:ascii="Arial" w:hAnsi="Arial" w:cs="Arial"/>
          <w:sz w:val="20"/>
          <w:szCs w:val="20"/>
        </w:rPr>
        <w:t xml:space="preserve">Relator </w:t>
      </w:r>
      <w:r w:rsidRPr="00D816A4">
        <w:rPr>
          <w:rFonts w:ascii="Arial" w:hAnsi="Arial" w:cs="Arial"/>
          <w:sz w:val="20"/>
          <w:szCs w:val="20"/>
        </w:rPr>
        <w:t>Conselheiro Ivens Zschoerper Linhares</w:t>
      </w:r>
      <w:r w:rsidRPr="00D0548F">
        <w:rPr>
          <w:rFonts w:ascii="Arial" w:hAnsi="Arial" w:cs="Arial"/>
          <w:sz w:val="20"/>
          <w:szCs w:val="20"/>
        </w:rPr>
        <w:t xml:space="preserve">. </w:t>
      </w:r>
    </w:p>
    <w:p w:rsidR="006D158F" w:rsidRDefault="006D158F" w:rsidP="003B023F">
      <w:pPr>
        <w:autoSpaceDE w:val="0"/>
        <w:autoSpaceDN w:val="0"/>
        <w:adjustRightInd w:val="0"/>
        <w:spacing w:after="0"/>
        <w:jc w:val="both"/>
        <w:rPr>
          <w:rFonts w:ascii="Arial" w:hAnsi="Arial" w:cs="Arial"/>
          <w:sz w:val="20"/>
          <w:szCs w:val="20"/>
        </w:rPr>
      </w:pPr>
    </w:p>
    <w:p w:rsidR="00AE4F42" w:rsidRPr="0022060B" w:rsidRDefault="00AE4F42" w:rsidP="003B023F">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3B023F">
      <w:pPr>
        <w:autoSpaceDE w:val="0"/>
        <w:autoSpaceDN w:val="0"/>
        <w:adjustRightInd w:val="0"/>
        <w:spacing w:after="0"/>
        <w:jc w:val="both"/>
        <w:rPr>
          <w:rFonts w:ascii="Arial" w:hAnsi="Arial" w:cs="Arial"/>
          <w:b/>
          <w:color w:val="000000"/>
          <w:sz w:val="20"/>
          <w:szCs w:val="20"/>
          <w:shd w:val="clear" w:color="auto" w:fill="FFFFFF"/>
        </w:rPr>
      </w:pPr>
    </w:p>
    <w:p w:rsidR="00716F1C" w:rsidRPr="001D3414" w:rsidRDefault="00ED59DF" w:rsidP="003B023F">
      <w:pPr>
        <w:autoSpaceDE w:val="0"/>
        <w:autoSpaceDN w:val="0"/>
        <w:adjustRightInd w:val="0"/>
        <w:spacing w:after="0"/>
        <w:jc w:val="both"/>
        <w:rPr>
          <w:rStyle w:val="Hyperlink"/>
          <w:rFonts w:ascii="Arial" w:hAnsi="Arial" w:cs="Arial"/>
          <w:b/>
          <w:color w:val="000000" w:themeColor="text1"/>
          <w:sz w:val="20"/>
          <w:szCs w:val="20"/>
          <w:u w:val="none"/>
        </w:rPr>
      </w:pPr>
      <w:r w:rsidRPr="001D3414">
        <w:rPr>
          <w:rStyle w:val="Hyperlink"/>
          <w:rFonts w:ascii="Arial" w:hAnsi="Arial" w:cs="Arial"/>
          <w:b/>
          <w:color w:val="000000" w:themeColor="text1"/>
          <w:sz w:val="20"/>
          <w:szCs w:val="20"/>
          <w:u w:val="none"/>
        </w:rPr>
        <w:t>5</w:t>
      </w:r>
      <w:r w:rsidR="00716F1C" w:rsidRPr="001D3414">
        <w:rPr>
          <w:rStyle w:val="Hyperlink"/>
          <w:rFonts w:ascii="Arial" w:hAnsi="Arial" w:cs="Arial"/>
          <w:b/>
          <w:color w:val="000000" w:themeColor="text1"/>
          <w:sz w:val="20"/>
          <w:szCs w:val="20"/>
          <w:u w:val="none"/>
        </w:rPr>
        <w:t xml:space="preserve">. Recurso de Revista. </w:t>
      </w:r>
      <w:r w:rsidR="007C5CA8" w:rsidRPr="001D3414">
        <w:rPr>
          <w:rStyle w:val="Hyperlink"/>
          <w:rFonts w:ascii="Arial" w:hAnsi="Arial" w:cs="Arial"/>
          <w:b/>
          <w:color w:val="000000" w:themeColor="text1"/>
          <w:sz w:val="20"/>
          <w:szCs w:val="20"/>
          <w:u w:val="none"/>
        </w:rPr>
        <w:t>Terceirização de mão de obra por meio de Termo de Parceria</w:t>
      </w:r>
      <w:r w:rsidR="00B35C63" w:rsidRPr="001D3414">
        <w:rPr>
          <w:rStyle w:val="Hyperlink"/>
          <w:rFonts w:ascii="Arial" w:hAnsi="Arial" w:cs="Arial"/>
          <w:b/>
          <w:color w:val="000000" w:themeColor="text1"/>
          <w:sz w:val="20"/>
          <w:szCs w:val="20"/>
          <w:u w:val="none"/>
        </w:rPr>
        <w:t xml:space="preserve"> do Poder Público</w:t>
      </w:r>
      <w:r w:rsidR="007C5CA8" w:rsidRPr="001D3414">
        <w:rPr>
          <w:rStyle w:val="Hyperlink"/>
          <w:rFonts w:ascii="Arial" w:hAnsi="Arial" w:cs="Arial"/>
          <w:b/>
          <w:color w:val="000000" w:themeColor="text1"/>
          <w:sz w:val="20"/>
          <w:szCs w:val="20"/>
          <w:u w:val="none"/>
        </w:rPr>
        <w:t xml:space="preserve"> com OSCIP. </w:t>
      </w:r>
      <w:r w:rsidR="00B35C63" w:rsidRPr="001D3414">
        <w:rPr>
          <w:rStyle w:val="Hyperlink"/>
          <w:rFonts w:ascii="Arial" w:hAnsi="Arial" w:cs="Arial"/>
          <w:b/>
          <w:color w:val="000000" w:themeColor="text1"/>
          <w:sz w:val="20"/>
          <w:szCs w:val="20"/>
          <w:u w:val="none"/>
        </w:rPr>
        <w:t xml:space="preserve">Serviços de Saúde. </w:t>
      </w:r>
      <w:r w:rsidR="007C5CA8" w:rsidRPr="001D3414">
        <w:rPr>
          <w:rStyle w:val="Hyperlink"/>
          <w:rFonts w:ascii="Arial" w:hAnsi="Arial" w:cs="Arial"/>
          <w:b/>
          <w:color w:val="000000" w:themeColor="text1"/>
          <w:sz w:val="20"/>
          <w:szCs w:val="20"/>
          <w:u w:val="none"/>
        </w:rPr>
        <w:t>Violação a regra do concurso público. Irregularid</w:t>
      </w:r>
      <w:r w:rsidR="00B35C63" w:rsidRPr="001D3414">
        <w:rPr>
          <w:rStyle w:val="Hyperlink"/>
          <w:rFonts w:ascii="Arial" w:hAnsi="Arial" w:cs="Arial"/>
          <w:b/>
          <w:color w:val="000000" w:themeColor="text1"/>
          <w:sz w:val="20"/>
          <w:szCs w:val="20"/>
          <w:u w:val="none"/>
        </w:rPr>
        <w:t>a</w:t>
      </w:r>
      <w:r w:rsidR="007C5CA8" w:rsidRPr="001D3414">
        <w:rPr>
          <w:rStyle w:val="Hyperlink"/>
          <w:rFonts w:ascii="Arial" w:hAnsi="Arial" w:cs="Arial"/>
          <w:b/>
          <w:color w:val="000000" w:themeColor="text1"/>
          <w:sz w:val="20"/>
          <w:szCs w:val="20"/>
          <w:u w:val="none"/>
        </w:rPr>
        <w:t>de.</w:t>
      </w:r>
      <w:r w:rsidR="00B44B73" w:rsidRPr="001D3414">
        <w:rPr>
          <w:rStyle w:val="Hyperlink"/>
          <w:rFonts w:ascii="Arial" w:hAnsi="Arial" w:cs="Arial"/>
          <w:b/>
          <w:color w:val="000000" w:themeColor="text1"/>
          <w:sz w:val="20"/>
          <w:szCs w:val="20"/>
          <w:u w:val="none"/>
        </w:rPr>
        <w:t xml:space="preserve"> </w:t>
      </w:r>
      <w:r w:rsidR="00F81EF2" w:rsidRPr="001D3414">
        <w:rPr>
          <w:rStyle w:val="Hyperlink"/>
          <w:rFonts w:ascii="Arial" w:hAnsi="Arial" w:cs="Arial"/>
          <w:b/>
          <w:color w:val="000000" w:themeColor="text1"/>
          <w:sz w:val="20"/>
          <w:szCs w:val="20"/>
          <w:u w:val="none"/>
        </w:rPr>
        <w:t xml:space="preserve">Multa. </w:t>
      </w:r>
      <w:r w:rsidR="004D4FBB" w:rsidRPr="001D3414">
        <w:rPr>
          <w:rStyle w:val="Hyperlink"/>
          <w:rFonts w:ascii="Arial" w:hAnsi="Arial" w:cs="Arial"/>
          <w:b/>
          <w:color w:val="000000" w:themeColor="text1"/>
          <w:sz w:val="20"/>
          <w:szCs w:val="20"/>
          <w:u w:val="none"/>
        </w:rPr>
        <w:t>Desnecessidade de devolução dos valores repassados para pagamento de despesas com pessoal. Recurso parcialmente provido.</w:t>
      </w:r>
    </w:p>
    <w:p w:rsidR="00716F1C" w:rsidRDefault="00716F1C" w:rsidP="003B023F">
      <w:pPr>
        <w:spacing w:after="0"/>
        <w:jc w:val="both"/>
        <w:rPr>
          <w:rStyle w:val="Hyperlink"/>
          <w:rFonts w:ascii="Arial" w:hAnsi="Arial" w:cs="Arial"/>
          <w:color w:val="000000" w:themeColor="text1"/>
          <w:sz w:val="20"/>
          <w:szCs w:val="20"/>
          <w:u w:val="none"/>
        </w:rPr>
      </w:pPr>
    </w:p>
    <w:p w:rsidR="004D4FBB" w:rsidRPr="00BF0421" w:rsidRDefault="005F78BE" w:rsidP="003B023F">
      <w:pPr>
        <w:autoSpaceDE w:val="0"/>
        <w:autoSpaceDN w:val="0"/>
        <w:adjustRightInd w:val="0"/>
        <w:spacing w:after="0"/>
        <w:jc w:val="both"/>
        <w:rPr>
          <w:rFonts w:ascii="Arial" w:hAnsi="Arial" w:cs="Arial"/>
          <w:sz w:val="20"/>
          <w:szCs w:val="20"/>
        </w:rPr>
      </w:pPr>
      <w:r>
        <w:rPr>
          <w:rFonts w:ascii="Arial" w:hAnsi="Arial" w:cs="Arial"/>
          <w:sz w:val="20"/>
          <w:szCs w:val="20"/>
        </w:rPr>
        <w:t>M</w:t>
      </w:r>
      <w:r w:rsidR="004D4FBB" w:rsidRPr="00BF0421">
        <w:rPr>
          <w:rFonts w:ascii="Arial" w:hAnsi="Arial" w:cs="Arial"/>
          <w:sz w:val="20"/>
          <w:szCs w:val="20"/>
        </w:rPr>
        <w:t>antida a decisão recorrida na parte onde reconheceu que a</w:t>
      </w:r>
      <w:r w:rsidR="00B44B73" w:rsidRPr="00BF0421">
        <w:rPr>
          <w:rFonts w:ascii="Arial" w:hAnsi="Arial" w:cs="Arial"/>
          <w:sz w:val="20"/>
          <w:szCs w:val="20"/>
        </w:rPr>
        <w:t xml:space="preserve"> Administração, burlando a legislação vigente, bem como os princípios constitucionais que regem o direito público, se utilizou das parcerias firmadas para suprir a deficiência de pessoal do Município, de forma irregular, com repasses de valores sem a devida fiscalização quanto sua destinação</w:t>
      </w:r>
      <w:r w:rsidR="004D4FBB" w:rsidRPr="00BF0421">
        <w:rPr>
          <w:rFonts w:ascii="Arial" w:hAnsi="Arial" w:cs="Arial"/>
          <w:sz w:val="20"/>
          <w:szCs w:val="20"/>
        </w:rPr>
        <w:t>, pois de</w:t>
      </w:r>
      <w:r w:rsidR="00987B9F" w:rsidRPr="00BF0421">
        <w:rPr>
          <w:rFonts w:ascii="Arial" w:hAnsi="Arial" w:cs="Arial"/>
          <w:sz w:val="20"/>
          <w:szCs w:val="20"/>
        </w:rPr>
        <w:t xml:space="preserve"> fato, houve a </w:t>
      </w:r>
      <w:r w:rsidR="00987B9F" w:rsidRPr="00CF370F">
        <w:rPr>
          <w:rFonts w:ascii="Arial" w:hAnsi="Arial" w:cs="Arial"/>
          <w:sz w:val="20"/>
          <w:szCs w:val="20"/>
        </w:rPr>
        <w:t>terceirização de</w:t>
      </w:r>
      <w:r w:rsidR="00B44B73" w:rsidRPr="00CF370F">
        <w:rPr>
          <w:rFonts w:ascii="Arial" w:hAnsi="Arial" w:cs="Arial"/>
          <w:sz w:val="20"/>
          <w:szCs w:val="20"/>
        </w:rPr>
        <w:t xml:space="preserve"> </w:t>
      </w:r>
      <w:r w:rsidR="00987B9F" w:rsidRPr="00CF370F">
        <w:rPr>
          <w:rFonts w:ascii="Arial" w:hAnsi="Arial" w:cs="Arial"/>
          <w:sz w:val="20"/>
          <w:szCs w:val="20"/>
        </w:rPr>
        <w:t xml:space="preserve">mão de obra de forma irregular, </w:t>
      </w:r>
      <w:r w:rsidR="00987B9F" w:rsidRPr="00BF0421">
        <w:rPr>
          <w:rFonts w:ascii="Arial" w:hAnsi="Arial" w:cs="Arial"/>
          <w:sz w:val="20"/>
          <w:szCs w:val="20"/>
        </w:rPr>
        <w:t>haja vista que a contratação de</w:t>
      </w:r>
      <w:r w:rsidR="00B44B73" w:rsidRPr="00BF0421">
        <w:rPr>
          <w:rFonts w:ascii="Arial" w:hAnsi="Arial" w:cs="Arial"/>
          <w:sz w:val="20"/>
          <w:szCs w:val="20"/>
        </w:rPr>
        <w:t xml:space="preserve"> </w:t>
      </w:r>
      <w:r w:rsidR="00987B9F" w:rsidRPr="00BF0421">
        <w:rPr>
          <w:rFonts w:ascii="Arial" w:hAnsi="Arial" w:cs="Arial"/>
          <w:sz w:val="20"/>
          <w:szCs w:val="20"/>
        </w:rPr>
        <w:t>profissionais para prestação dos serviços típicos do poder público foi</w:t>
      </w:r>
      <w:r w:rsidR="00B44B73" w:rsidRPr="00BF0421">
        <w:rPr>
          <w:rFonts w:ascii="Arial" w:hAnsi="Arial" w:cs="Arial"/>
          <w:sz w:val="20"/>
          <w:szCs w:val="20"/>
        </w:rPr>
        <w:t xml:space="preserve"> </w:t>
      </w:r>
      <w:r w:rsidR="00987B9F" w:rsidRPr="00BF0421">
        <w:rPr>
          <w:rFonts w:ascii="Arial" w:hAnsi="Arial" w:cs="Arial"/>
          <w:sz w:val="20"/>
          <w:szCs w:val="20"/>
        </w:rPr>
        <w:t>intermediada pela OSCIP, por meio de termo de parceria com transferência</w:t>
      </w:r>
      <w:r w:rsidR="00B44B73" w:rsidRPr="00BF0421">
        <w:rPr>
          <w:rFonts w:ascii="Arial" w:hAnsi="Arial" w:cs="Arial"/>
          <w:sz w:val="20"/>
          <w:szCs w:val="20"/>
        </w:rPr>
        <w:t xml:space="preserve"> </w:t>
      </w:r>
      <w:r w:rsidR="00987B9F" w:rsidRPr="00BF0421">
        <w:rPr>
          <w:rFonts w:ascii="Arial" w:hAnsi="Arial" w:cs="Arial"/>
          <w:sz w:val="20"/>
          <w:szCs w:val="20"/>
        </w:rPr>
        <w:t>de recursos, violando a regra geral de provimento de cargo por meio de</w:t>
      </w:r>
      <w:r w:rsidR="00B44B73" w:rsidRPr="00BF0421">
        <w:rPr>
          <w:rFonts w:ascii="Arial" w:hAnsi="Arial" w:cs="Arial"/>
          <w:sz w:val="20"/>
          <w:szCs w:val="20"/>
        </w:rPr>
        <w:t xml:space="preserve"> </w:t>
      </w:r>
      <w:r w:rsidR="00987B9F" w:rsidRPr="00BF0421">
        <w:rPr>
          <w:rFonts w:ascii="Arial" w:hAnsi="Arial" w:cs="Arial"/>
          <w:sz w:val="20"/>
          <w:szCs w:val="20"/>
        </w:rPr>
        <w:t>concurso público, conforme disposto na Constituição Federal, em seu artigo</w:t>
      </w:r>
      <w:r w:rsidR="00B44B73" w:rsidRPr="00BF0421">
        <w:rPr>
          <w:rFonts w:ascii="Arial" w:hAnsi="Arial" w:cs="Arial"/>
          <w:sz w:val="20"/>
          <w:szCs w:val="20"/>
        </w:rPr>
        <w:t xml:space="preserve"> </w:t>
      </w:r>
      <w:r w:rsidR="00987B9F" w:rsidRPr="00BF0421">
        <w:rPr>
          <w:rFonts w:ascii="Arial" w:hAnsi="Arial" w:cs="Arial"/>
          <w:sz w:val="20"/>
          <w:szCs w:val="20"/>
        </w:rPr>
        <w:t xml:space="preserve">37, II. </w:t>
      </w:r>
      <w:r w:rsidR="004D4FBB" w:rsidRPr="00BF0421">
        <w:rPr>
          <w:rFonts w:ascii="Arial" w:hAnsi="Arial" w:cs="Arial"/>
          <w:sz w:val="20"/>
          <w:szCs w:val="20"/>
        </w:rPr>
        <w:t>A seleção de pessoal era realizada pelos Secretários Municipais,</w:t>
      </w:r>
      <w:r w:rsidR="00BF0421">
        <w:rPr>
          <w:rFonts w:ascii="Arial" w:hAnsi="Arial" w:cs="Arial"/>
          <w:sz w:val="20"/>
          <w:szCs w:val="20"/>
        </w:rPr>
        <w:t xml:space="preserve"> </w:t>
      </w:r>
      <w:r w:rsidR="004D4FBB" w:rsidRPr="00BF0421">
        <w:rPr>
          <w:rFonts w:ascii="Arial" w:hAnsi="Arial" w:cs="Arial"/>
          <w:sz w:val="20"/>
          <w:szCs w:val="20"/>
        </w:rPr>
        <w:t>conforme informação pr</w:t>
      </w:r>
      <w:r w:rsidR="00BF0421" w:rsidRPr="00BF0421">
        <w:rPr>
          <w:rFonts w:ascii="Arial" w:hAnsi="Arial" w:cs="Arial"/>
          <w:sz w:val="20"/>
          <w:szCs w:val="20"/>
        </w:rPr>
        <w:t xml:space="preserve">estada pelo Presidente da OSCIP, somando-se a isto </w:t>
      </w:r>
      <w:r w:rsidR="004D4FBB" w:rsidRPr="00BF0421">
        <w:rPr>
          <w:rFonts w:ascii="Arial" w:hAnsi="Arial" w:cs="Arial"/>
          <w:sz w:val="20"/>
          <w:szCs w:val="20"/>
        </w:rPr>
        <w:t>o</w:t>
      </w:r>
      <w:r w:rsidR="00BF0421">
        <w:rPr>
          <w:rFonts w:ascii="Arial" w:hAnsi="Arial" w:cs="Arial"/>
          <w:sz w:val="20"/>
          <w:szCs w:val="20"/>
        </w:rPr>
        <w:t xml:space="preserve"> </w:t>
      </w:r>
      <w:r w:rsidR="004D4FBB" w:rsidRPr="00BF0421">
        <w:rPr>
          <w:rFonts w:ascii="Arial" w:hAnsi="Arial" w:cs="Arial"/>
          <w:sz w:val="20"/>
          <w:szCs w:val="20"/>
        </w:rPr>
        <w:t>fato do Instituto não possuir estrutura de pessoal necessária para proceder a</w:t>
      </w:r>
      <w:r w:rsidR="00BF0421">
        <w:rPr>
          <w:rFonts w:ascii="Arial" w:hAnsi="Arial" w:cs="Arial"/>
          <w:sz w:val="20"/>
          <w:szCs w:val="20"/>
        </w:rPr>
        <w:t xml:space="preserve"> </w:t>
      </w:r>
      <w:r w:rsidR="004D4FBB" w:rsidRPr="00BF0421">
        <w:rPr>
          <w:rFonts w:ascii="Arial" w:hAnsi="Arial" w:cs="Arial"/>
          <w:sz w:val="20"/>
          <w:szCs w:val="20"/>
        </w:rPr>
        <w:t>fiscalização dos serviços executados, haja vista que seu quadro de</w:t>
      </w:r>
    </w:p>
    <w:p w:rsidR="00C6211D" w:rsidRDefault="004D4FBB" w:rsidP="003B023F">
      <w:pPr>
        <w:autoSpaceDE w:val="0"/>
        <w:autoSpaceDN w:val="0"/>
        <w:adjustRightInd w:val="0"/>
        <w:spacing w:after="0"/>
        <w:jc w:val="both"/>
        <w:rPr>
          <w:rFonts w:ascii="Arial" w:hAnsi="Arial" w:cs="Arial"/>
          <w:sz w:val="20"/>
          <w:szCs w:val="20"/>
        </w:rPr>
      </w:pPr>
      <w:r w:rsidRPr="00BF0421">
        <w:rPr>
          <w:rFonts w:ascii="Arial" w:hAnsi="Arial" w:cs="Arial"/>
          <w:sz w:val="20"/>
          <w:szCs w:val="20"/>
        </w:rPr>
        <w:t>funcionários era composto tão somente pelo seu Presidente.</w:t>
      </w:r>
      <w:r w:rsidR="00BF0421" w:rsidRPr="00BF0421">
        <w:rPr>
          <w:rFonts w:ascii="Arial" w:hAnsi="Arial" w:cs="Arial"/>
          <w:sz w:val="20"/>
          <w:szCs w:val="20"/>
        </w:rPr>
        <w:t xml:space="preserve"> </w:t>
      </w:r>
      <w:r w:rsidR="005F78BE">
        <w:rPr>
          <w:rFonts w:ascii="Arial" w:hAnsi="Arial" w:cs="Arial"/>
          <w:sz w:val="20"/>
          <w:szCs w:val="20"/>
        </w:rPr>
        <w:t xml:space="preserve">Igualmente </w:t>
      </w:r>
      <w:r w:rsidR="00C6211D">
        <w:rPr>
          <w:rFonts w:ascii="Arial" w:hAnsi="Arial" w:cs="Arial"/>
          <w:sz w:val="20"/>
          <w:szCs w:val="20"/>
        </w:rPr>
        <w:t xml:space="preserve">foi mantida a decisão </w:t>
      </w:r>
      <w:r w:rsidR="005F78BE">
        <w:rPr>
          <w:rFonts w:ascii="Arial" w:hAnsi="Arial" w:cs="Arial"/>
          <w:sz w:val="20"/>
          <w:szCs w:val="20"/>
        </w:rPr>
        <w:t xml:space="preserve">quanto às multas aplicadas aos agentes em decorrência da conduta irregular. </w:t>
      </w:r>
    </w:p>
    <w:p w:rsidR="00C6211D" w:rsidRDefault="00C6211D" w:rsidP="003B023F">
      <w:pPr>
        <w:autoSpaceDE w:val="0"/>
        <w:autoSpaceDN w:val="0"/>
        <w:adjustRightInd w:val="0"/>
        <w:spacing w:after="0"/>
        <w:jc w:val="both"/>
        <w:rPr>
          <w:rFonts w:ascii="Arial" w:hAnsi="Arial" w:cs="Arial"/>
          <w:sz w:val="20"/>
          <w:szCs w:val="20"/>
        </w:rPr>
      </w:pPr>
    </w:p>
    <w:p w:rsidR="004D4FBB" w:rsidRPr="00BF0421" w:rsidRDefault="00BF0421" w:rsidP="003B023F">
      <w:pPr>
        <w:autoSpaceDE w:val="0"/>
        <w:autoSpaceDN w:val="0"/>
        <w:adjustRightInd w:val="0"/>
        <w:spacing w:after="0"/>
        <w:jc w:val="both"/>
        <w:rPr>
          <w:rFonts w:ascii="Arial" w:hAnsi="Arial" w:cs="Arial"/>
          <w:sz w:val="20"/>
          <w:szCs w:val="20"/>
        </w:rPr>
      </w:pPr>
      <w:r w:rsidRPr="00BF0421">
        <w:rPr>
          <w:rFonts w:ascii="Arial" w:hAnsi="Arial" w:cs="Arial"/>
          <w:sz w:val="20"/>
          <w:szCs w:val="20"/>
        </w:rPr>
        <w:t xml:space="preserve">Já quanto a </w:t>
      </w:r>
      <w:r w:rsidR="004D4FBB" w:rsidRPr="00CF370F">
        <w:rPr>
          <w:rFonts w:ascii="Arial" w:hAnsi="Arial" w:cs="Arial"/>
          <w:sz w:val="20"/>
          <w:szCs w:val="20"/>
        </w:rPr>
        <w:t>condenação solidária à devolução de valores transferidos</w:t>
      </w:r>
      <w:r w:rsidRPr="00CF370F">
        <w:rPr>
          <w:rFonts w:ascii="Arial" w:hAnsi="Arial" w:cs="Arial"/>
          <w:sz w:val="20"/>
          <w:szCs w:val="20"/>
        </w:rPr>
        <w:t xml:space="preserve"> </w:t>
      </w:r>
      <w:r w:rsidR="004D4FBB" w:rsidRPr="00CF370F">
        <w:rPr>
          <w:rFonts w:ascii="Arial" w:hAnsi="Arial" w:cs="Arial"/>
          <w:sz w:val="20"/>
          <w:szCs w:val="20"/>
        </w:rPr>
        <w:t>indevidamente à OSCIP para pagamento de despesas com pessoal e</w:t>
      </w:r>
      <w:r w:rsidRPr="00CF370F">
        <w:rPr>
          <w:rFonts w:ascii="Arial" w:hAnsi="Arial" w:cs="Arial"/>
          <w:sz w:val="20"/>
          <w:szCs w:val="20"/>
        </w:rPr>
        <w:t xml:space="preserve"> </w:t>
      </w:r>
      <w:r w:rsidR="004D4FBB" w:rsidRPr="00CF370F">
        <w:rPr>
          <w:rFonts w:ascii="Arial" w:hAnsi="Arial" w:cs="Arial"/>
          <w:sz w:val="20"/>
          <w:szCs w:val="20"/>
        </w:rPr>
        <w:t>encargos na área da saúde</w:t>
      </w:r>
      <w:r w:rsidR="004D4FBB" w:rsidRPr="00BF0421">
        <w:rPr>
          <w:rFonts w:ascii="Arial" w:hAnsi="Arial" w:cs="Arial"/>
          <w:sz w:val="20"/>
          <w:szCs w:val="20"/>
        </w:rPr>
        <w:t xml:space="preserve">, </w:t>
      </w:r>
      <w:r w:rsidRPr="00BF0421">
        <w:rPr>
          <w:rFonts w:ascii="Arial" w:hAnsi="Arial" w:cs="Arial"/>
          <w:sz w:val="20"/>
          <w:szCs w:val="20"/>
        </w:rPr>
        <w:t xml:space="preserve">foi reformada, pois não foi observado </w:t>
      </w:r>
      <w:r w:rsidR="004D4FBB" w:rsidRPr="00BF0421">
        <w:rPr>
          <w:rFonts w:ascii="Arial" w:hAnsi="Arial" w:cs="Arial"/>
          <w:sz w:val="20"/>
          <w:szCs w:val="20"/>
        </w:rPr>
        <w:t>nos autos o dano ao erário diante de tais repasses, haja vista que</w:t>
      </w:r>
      <w:r>
        <w:rPr>
          <w:rFonts w:ascii="Arial" w:hAnsi="Arial" w:cs="Arial"/>
          <w:sz w:val="20"/>
          <w:szCs w:val="20"/>
        </w:rPr>
        <w:t xml:space="preserve"> </w:t>
      </w:r>
      <w:r w:rsidR="004D4FBB" w:rsidRPr="00BF0421">
        <w:rPr>
          <w:rFonts w:ascii="Arial" w:hAnsi="Arial" w:cs="Arial"/>
          <w:sz w:val="20"/>
          <w:szCs w:val="20"/>
        </w:rPr>
        <w:t>os serviços foram devidamente prestados, ainda que tenham sido pagos com</w:t>
      </w:r>
      <w:r>
        <w:rPr>
          <w:rFonts w:ascii="Arial" w:hAnsi="Arial" w:cs="Arial"/>
          <w:sz w:val="20"/>
          <w:szCs w:val="20"/>
        </w:rPr>
        <w:t xml:space="preserve"> </w:t>
      </w:r>
      <w:r w:rsidR="004D4FBB" w:rsidRPr="00BF0421">
        <w:rPr>
          <w:rFonts w:ascii="Arial" w:hAnsi="Arial" w:cs="Arial"/>
          <w:sz w:val="20"/>
          <w:szCs w:val="20"/>
        </w:rPr>
        <w:t xml:space="preserve">valores repassados pelo Município. </w:t>
      </w:r>
      <w:r w:rsidRPr="00BF0421">
        <w:rPr>
          <w:rFonts w:ascii="Arial" w:hAnsi="Arial" w:cs="Arial"/>
          <w:sz w:val="20"/>
          <w:szCs w:val="20"/>
        </w:rPr>
        <w:t xml:space="preserve">O </w:t>
      </w:r>
      <w:r w:rsidR="004D4FBB" w:rsidRPr="00BF0421">
        <w:rPr>
          <w:rFonts w:ascii="Arial" w:hAnsi="Arial" w:cs="Arial"/>
          <w:sz w:val="20"/>
          <w:szCs w:val="20"/>
        </w:rPr>
        <w:t>valor desembolsado</w:t>
      </w:r>
      <w:r w:rsidRPr="00BF0421">
        <w:rPr>
          <w:rFonts w:ascii="Arial" w:hAnsi="Arial" w:cs="Arial"/>
          <w:sz w:val="20"/>
          <w:szCs w:val="20"/>
        </w:rPr>
        <w:t xml:space="preserve"> </w:t>
      </w:r>
      <w:r w:rsidR="004D4FBB" w:rsidRPr="00BF0421">
        <w:rPr>
          <w:rFonts w:ascii="Arial" w:hAnsi="Arial" w:cs="Arial"/>
          <w:sz w:val="20"/>
          <w:szCs w:val="20"/>
        </w:rPr>
        <w:t>pelo Poder Público foi integralmente revertido em benefício à sociedade,</w:t>
      </w:r>
      <w:r w:rsidRPr="00BF0421">
        <w:rPr>
          <w:rFonts w:ascii="Arial" w:hAnsi="Arial" w:cs="Arial"/>
          <w:sz w:val="20"/>
          <w:szCs w:val="20"/>
        </w:rPr>
        <w:t xml:space="preserve"> </w:t>
      </w:r>
      <w:r w:rsidR="004D4FBB" w:rsidRPr="00BF0421">
        <w:rPr>
          <w:rFonts w:ascii="Arial" w:hAnsi="Arial" w:cs="Arial"/>
          <w:sz w:val="20"/>
          <w:szCs w:val="20"/>
        </w:rPr>
        <w:t>diante da atuação dos profissionais contratados nas áreas da saúde e ação</w:t>
      </w:r>
      <w:r w:rsidRPr="00BF0421">
        <w:rPr>
          <w:rFonts w:ascii="Arial" w:hAnsi="Arial" w:cs="Arial"/>
          <w:sz w:val="20"/>
          <w:szCs w:val="20"/>
        </w:rPr>
        <w:t xml:space="preserve"> </w:t>
      </w:r>
      <w:r w:rsidR="004D4FBB" w:rsidRPr="00BF0421">
        <w:rPr>
          <w:rFonts w:ascii="Arial" w:hAnsi="Arial" w:cs="Arial"/>
          <w:sz w:val="20"/>
          <w:szCs w:val="20"/>
        </w:rPr>
        <w:t>social.</w:t>
      </w:r>
      <w:r w:rsidRPr="00BF0421">
        <w:rPr>
          <w:rFonts w:ascii="Arial" w:hAnsi="Arial" w:cs="Arial"/>
          <w:sz w:val="20"/>
          <w:szCs w:val="20"/>
        </w:rPr>
        <w:t xml:space="preserve"> Em </w:t>
      </w:r>
      <w:r w:rsidR="004D4FBB" w:rsidRPr="00BF0421">
        <w:rPr>
          <w:rFonts w:ascii="Arial" w:hAnsi="Arial" w:cs="Arial"/>
          <w:sz w:val="20"/>
          <w:szCs w:val="20"/>
        </w:rPr>
        <w:t>que pese a inobservância da Lei e Decreto</w:t>
      </w:r>
      <w:r w:rsidRPr="00BF0421">
        <w:rPr>
          <w:rFonts w:ascii="Arial" w:hAnsi="Arial" w:cs="Arial"/>
          <w:sz w:val="20"/>
          <w:szCs w:val="20"/>
        </w:rPr>
        <w:t xml:space="preserve"> </w:t>
      </w:r>
      <w:r w:rsidR="004D4FBB" w:rsidRPr="00BF0421">
        <w:rPr>
          <w:rFonts w:ascii="Arial" w:hAnsi="Arial" w:cs="Arial"/>
          <w:sz w:val="20"/>
          <w:szCs w:val="20"/>
        </w:rPr>
        <w:t>que regulamentam a atuação das OSCIPs,</w:t>
      </w:r>
      <w:r w:rsidRPr="00BF0421">
        <w:rPr>
          <w:rFonts w:ascii="Arial" w:hAnsi="Arial" w:cs="Arial"/>
          <w:sz w:val="20"/>
          <w:szCs w:val="20"/>
        </w:rPr>
        <w:t xml:space="preserve"> d</w:t>
      </w:r>
      <w:r w:rsidR="004D4FBB" w:rsidRPr="00BF0421">
        <w:rPr>
          <w:rFonts w:ascii="Arial" w:hAnsi="Arial" w:cs="Arial"/>
          <w:sz w:val="20"/>
          <w:szCs w:val="20"/>
        </w:rPr>
        <w:t>esnecessário o</w:t>
      </w:r>
      <w:r w:rsidRPr="00BF0421">
        <w:rPr>
          <w:rFonts w:ascii="Arial" w:hAnsi="Arial" w:cs="Arial"/>
          <w:sz w:val="20"/>
          <w:szCs w:val="20"/>
        </w:rPr>
        <w:t xml:space="preserve"> </w:t>
      </w:r>
      <w:r w:rsidR="004D4FBB" w:rsidRPr="00BF0421">
        <w:rPr>
          <w:rFonts w:ascii="Arial" w:hAnsi="Arial" w:cs="Arial"/>
          <w:sz w:val="20"/>
          <w:szCs w:val="20"/>
        </w:rPr>
        <w:t xml:space="preserve">recolhimento de valores, considerando o princípio da </w:t>
      </w:r>
      <w:r w:rsidRPr="00BF0421">
        <w:rPr>
          <w:rFonts w:ascii="Arial" w:hAnsi="Arial" w:cs="Arial"/>
          <w:sz w:val="20"/>
          <w:szCs w:val="20"/>
        </w:rPr>
        <w:t>f</w:t>
      </w:r>
      <w:r w:rsidR="004D4FBB" w:rsidRPr="00BF0421">
        <w:rPr>
          <w:rFonts w:ascii="Arial" w:hAnsi="Arial" w:cs="Arial"/>
          <w:sz w:val="20"/>
          <w:szCs w:val="20"/>
        </w:rPr>
        <w:t>inalidade, bem como de</w:t>
      </w:r>
      <w:r w:rsidRPr="00BF0421">
        <w:rPr>
          <w:rFonts w:ascii="Arial" w:hAnsi="Arial" w:cs="Arial"/>
          <w:sz w:val="20"/>
          <w:szCs w:val="20"/>
        </w:rPr>
        <w:t xml:space="preserve"> </w:t>
      </w:r>
      <w:r w:rsidR="004D4FBB" w:rsidRPr="00BF0421">
        <w:rPr>
          <w:rFonts w:ascii="Arial" w:hAnsi="Arial" w:cs="Arial"/>
          <w:sz w:val="20"/>
          <w:szCs w:val="20"/>
        </w:rPr>
        <w:lastRenderedPageBreak/>
        <w:t>que a decisão poderia incorrer em enriquecimento sem causa por parte da</w:t>
      </w:r>
      <w:r w:rsidRPr="00BF0421">
        <w:rPr>
          <w:rFonts w:ascii="Arial" w:hAnsi="Arial" w:cs="Arial"/>
          <w:sz w:val="20"/>
          <w:szCs w:val="20"/>
        </w:rPr>
        <w:t xml:space="preserve"> </w:t>
      </w:r>
      <w:r w:rsidR="004D4FBB" w:rsidRPr="00BF0421">
        <w:rPr>
          <w:rFonts w:ascii="Arial" w:hAnsi="Arial" w:cs="Arial"/>
          <w:sz w:val="20"/>
          <w:szCs w:val="20"/>
        </w:rPr>
        <w:t>Administração Pública.</w:t>
      </w:r>
    </w:p>
    <w:p w:rsidR="00716F1C" w:rsidRDefault="00716F1C" w:rsidP="003B023F">
      <w:pPr>
        <w:spacing w:after="0"/>
        <w:jc w:val="both"/>
        <w:rPr>
          <w:rStyle w:val="Hyperlink"/>
          <w:rFonts w:ascii="Arial" w:hAnsi="Arial" w:cs="Arial"/>
          <w:color w:val="000000" w:themeColor="text1"/>
          <w:sz w:val="20"/>
          <w:szCs w:val="20"/>
          <w:u w:val="none"/>
        </w:rPr>
      </w:pPr>
    </w:p>
    <w:p w:rsidR="00716F1C" w:rsidRDefault="00716F1C" w:rsidP="003B023F">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997859/16 - </w:t>
      </w:r>
      <w:hyperlink r:id="rId12" w:history="1">
        <w:r>
          <w:rPr>
            <w:rStyle w:val="Hyperlink"/>
            <w:rFonts w:ascii="Arial" w:hAnsi="Arial" w:cs="Arial"/>
            <w:sz w:val="20"/>
            <w:szCs w:val="20"/>
          </w:rPr>
          <w:t>Acórdão nº 569/18 - Tribunal Pleno</w:t>
        </w:r>
      </w:hyperlink>
      <w:r w:rsidRPr="00D677AD">
        <w:rPr>
          <w:rStyle w:val="Hyperlink"/>
          <w:rFonts w:ascii="Arial" w:hAnsi="Arial" w:cs="Arial"/>
          <w:sz w:val="20"/>
          <w:szCs w:val="20"/>
          <w:u w:val="none"/>
        </w:rPr>
        <w:t xml:space="preserve"> -</w:t>
      </w:r>
      <w:r>
        <w:rPr>
          <w:rStyle w:val="Hyperlink"/>
          <w:rFonts w:ascii="Arial" w:hAnsi="Arial" w:cs="Arial"/>
          <w:sz w:val="20"/>
          <w:szCs w:val="20"/>
          <w:u w:val="none"/>
        </w:rPr>
        <w:t xml:space="preserve"> </w:t>
      </w:r>
      <w:r>
        <w:rPr>
          <w:rStyle w:val="Hyperlink"/>
          <w:rFonts w:ascii="Arial" w:hAnsi="Arial" w:cs="Arial"/>
          <w:color w:val="000000" w:themeColor="text1"/>
          <w:sz w:val="20"/>
          <w:szCs w:val="20"/>
          <w:u w:val="none"/>
        </w:rPr>
        <w:t xml:space="preserve">Relator Conselheiro Artagão de Mattos Leão. </w:t>
      </w:r>
    </w:p>
    <w:p w:rsidR="00B44B73" w:rsidRDefault="00B44B73" w:rsidP="003B023F">
      <w:pPr>
        <w:autoSpaceDE w:val="0"/>
        <w:autoSpaceDN w:val="0"/>
        <w:adjustRightInd w:val="0"/>
        <w:spacing w:after="0"/>
        <w:rPr>
          <w:rFonts w:ascii="Arial" w:hAnsi="Arial" w:cs="Arial"/>
          <w:sz w:val="20"/>
          <w:szCs w:val="20"/>
        </w:rPr>
      </w:pPr>
    </w:p>
    <w:p w:rsidR="00B44B73" w:rsidRPr="001D3414" w:rsidRDefault="00ED59DF" w:rsidP="003B023F">
      <w:pPr>
        <w:autoSpaceDE w:val="0"/>
        <w:autoSpaceDN w:val="0"/>
        <w:adjustRightInd w:val="0"/>
        <w:spacing w:after="0"/>
        <w:jc w:val="both"/>
        <w:rPr>
          <w:rFonts w:ascii="Arial" w:hAnsi="Arial" w:cs="Arial"/>
          <w:b/>
          <w:sz w:val="20"/>
          <w:szCs w:val="20"/>
        </w:rPr>
      </w:pPr>
      <w:r w:rsidRPr="001D3414">
        <w:rPr>
          <w:rFonts w:ascii="Arial" w:hAnsi="Arial" w:cs="Arial"/>
          <w:b/>
          <w:sz w:val="20"/>
          <w:szCs w:val="20"/>
        </w:rPr>
        <w:t>6</w:t>
      </w:r>
      <w:r w:rsidR="00003AF2" w:rsidRPr="001D3414">
        <w:rPr>
          <w:rFonts w:ascii="Arial" w:hAnsi="Arial" w:cs="Arial"/>
          <w:b/>
          <w:sz w:val="20"/>
          <w:szCs w:val="20"/>
        </w:rPr>
        <w:t xml:space="preserve">. </w:t>
      </w:r>
      <w:r w:rsidR="001F5F67" w:rsidRPr="001D3414">
        <w:rPr>
          <w:rFonts w:ascii="Arial" w:hAnsi="Arial" w:cs="Arial"/>
          <w:b/>
          <w:sz w:val="20"/>
          <w:szCs w:val="20"/>
        </w:rPr>
        <w:t xml:space="preserve">Recurso de Agravo em Representação. Alegações de parentesco com vereador do Município e Fraude a licitação não demonstradas. Ausência de indícios de aquisição fraudulenta das empresas. Fatos de competência da justiça comum. </w:t>
      </w:r>
      <w:r w:rsidR="001F5F67" w:rsidRPr="001D3414">
        <w:rPr>
          <w:rFonts w:ascii="Arial,Bold" w:hAnsi="Arial,Bold" w:cs="Arial,Bold"/>
          <w:b/>
          <w:bCs/>
          <w:sz w:val="20"/>
          <w:szCs w:val="20"/>
        </w:rPr>
        <w:t>Não Provimento do Agravo.</w:t>
      </w:r>
      <w:r w:rsidR="001F5F67" w:rsidRPr="001D3414">
        <w:rPr>
          <w:rFonts w:ascii="Arial" w:hAnsi="Arial" w:cs="Arial"/>
          <w:b/>
          <w:sz w:val="20"/>
          <w:szCs w:val="20"/>
        </w:rPr>
        <w:t xml:space="preserve"> </w:t>
      </w:r>
    </w:p>
    <w:p w:rsidR="001F5F67" w:rsidRDefault="001F5F67" w:rsidP="003B023F">
      <w:pPr>
        <w:autoSpaceDE w:val="0"/>
        <w:autoSpaceDN w:val="0"/>
        <w:adjustRightInd w:val="0"/>
        <w:spacing w:after="0"/>
        <w:jc w:val="both"/>
        <w:rPr>
          <w:rFonts w:ascii="Arial" w:hAnsi="Arial" w:cs="Arial"/>
          <w:sz w:val="20"/>
          <w:szCs w:val="20"/>
        </w:rPr>
      </w:pPr>
    </w:p>
    <w:p w:rsidR="001F5F67" w:rsidRDefault="007A6ADF" w:rsidP="003B023F">
      <w:pPr>
        <w:autoSpaceDE w:val="0"/>
        <w:autoSpaceDN w:val="0"/>
        <w:adjustRightInd w:val="0"/>
        <w:spacing w:after="0"/>
        <w:jc w:val="both"/>
        <w:rPr>
          <w:rFonts w:ascii="Arial" w:hAnsi="Arial" w:cs="Arial"/>
          <w:sz w:val="20"/>
          <w:szCs w:val="20"/>
        </w:rPr>
      </w:pPr>
      <w:r>
        <w:rPr>
          <w:rFonts w:ascii="Arial" w:hAnsi="Arial" w:cs="Arial"/>
          <w:sz w:val="20"/>
          <w:szCs w:val="20"/>
        </w:rPr>
        <w:t xml:space="preserve">O parentesco com agente político não consta no rol de impedimentos para participar de licitação, e, consoante entendimento jurisprudencial, a </w:t>
      </w:r>
      <w:r w:rsidR="0004557C">
        <w:rPr>
          <w:rFonts w:ascii="Arial" w:hAnsi="Arial" w:cs="Arial"/>
          <w:sz w:val="20"/>
          <w:szCs w:val="20"/>
        </w:rPr>
        <w:t>análise dos indícios de fraude</w:t>
      </w:r>
      <w:r>
        <w:rPr>
          <w:rFonts w:ascii="Arial" w:hAnsi="Arial" w:cs="Arial"/>
          <w:sz w:val="20"/>
          <w:szCs w:val="20"/>
        </w:rPr>
        <w:t xml:space="preserve"> no processo licitatório deve ser feita conjuntamente, e não de forma isolada.</w:t>
      </w:r>
    </w:p>
    <w:p w:rsidR="007A6ADF" w:rsidRDefault="007A6ADF" w:rsidP="003B023F">
      <w:pPr>
        <w:autoSpaceDE w:val="0"/>
        <w:autoSpaceDN w:val="0"/>
        <w:adjustRightInd w:val="0"/>
        <w:spacing w:after="0"/>
        <w:jc w:val="both"/>
        <w:rPr>
          <w:rFonts w:ascii="Arial" w:hAnsi="Arial" w:cs="Arial"/>
          <w:sz w:val="20"/>
          <w:szCs w:val="20"/>
        </w:rPr>
      </w:pPr>
    </w:p>
    <w:p w:rsidR="007A6ADF" w:rsidRPr="0003560A" w:rsidRDefault="00D1212F" w:rsidP="003B023F">
      <w:pPr>
        <w:autoSpaceDE w:val="0"/>
        <w:autoSpaceDN w:val="0"/>
        <w:adjustRightInd w:val="0"/>
        <w:spacing w:after="0"/>
        <w:jc w:val="both"/>
        <w:rPr>
          <w:rFonts w:ascii="Arial" w:hAnsi="Arial" w:cs="Arial"/>
          <w:sz w:val="20"/>
          <w:szCs w:val="20"/>
        </w:rPr>
      </w:pPr>
      <w:r w:rsidRPr="0003560A">
        <w:rPr>
          <w:rFonts w:ascii="Arial" w:hAnsi="Arial" w:cs="Arial"/>
          <w:sz w:val="20"/>
          <w:szCs w:val="20"/>
        </w:rPr>
        <w:t>Ante a ausência de documentos suficientes a evidenciar indícios de violação aos princípios da moralidade e isonomia</w:t>
      </w:r>
      <w:r w:rsidR="0003560A" w:rsidRPr="0003560A">
        <w:rPr>
          <w:rFonts w:ascii="Arial" w:hAnsi="Arial" w:cs="Arial"/>
          <w:sz w:val="20"/>
          <w:szCs w:val="20"/>
        </w:rPr>
        <w:t>, e, e</w:t>
      </w:r>
      <w:r w:rsidRPr="0003560A">
        <w:rPr>
          <w:rFonts w:ascii="Arial" w:hAnsi="Arial" w:cs="Arial"/>
          <w:sz w:val="20"/>
          <w:szCs w:val="20"/>
        </w:rPr>
        <w:t>mbora não se descuide da independência entre as instâncias administrativa e a criminal, para investigação dos fatos atinentes à aquisição fictícia de empresa ou a utilização de imóvel de fachada, faz-se necessária a remessa do feito à esfera criminal, mais adequada à investigação de fatos desta natureza, para que diante de um conjunto probatório mais robusto, possa-se aferir a prática de atos de improbidade administrativa.</w:t>
      </w:r>
    </w:p>
    <w:p w:rsidR="00B44B73" w:rsidRDefault="00B44B73" w:rsidP="003B023F">
      <w:pPr>
        <w:autoSpaceDE w:val="0"/>
        <w:autoSpaceDN w:val="0"/>
        <w:adjustRightInd w:val="0"/>
        <w:spacing w:after="0"/>
        <w:rPr>
          <w:rFonts w:ascii="Arial" w:hAnsi="Arial" w:cs="Arial"/>
          <w:sz w:val="20"/>
          <w:szCs w:val="20"/>
        </w:rPr>
      </w:pPr>
    </w:p>
    <w:p w:rsidR="0003560A" w:rsidRDefault="0003560A" w:rsidP="003B023F">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w:t>
      </w:r>
      <w:r w:rsidR="00E25998">
        <w:rPr>
          <w:rStyle w:val="Hyperlink"/>
          <w:rFonts w:ascii="Arial" w:hAnsi="Arial" w:cs="Arial"/>
          <w:color w:val="000000" w:themeColor="text1"/>
          <w:sz w:val="20"/>
          <w:szCs w:val="20"/>
          <w:u w:val="none"/>
        </w:rPr>
        <w:t>822335/17</w:t>
      </w:r>
      <w:r>
        <w:rPr>
          <w:rStyle w:val="Hyperlink"/>
          <w:rFonts w:ascii="Arial" w:hAnsi="Arial" w:cs="Arial"/>
          <w:color w:val="000000" w:themeColor="text1"/>
          <w:sz w:val="20"/>
          <w:szCs w:val="20"/>
          <w:u w:val="none"/>
        </w:rPr>
        <w:t xml:space="preserve"> -</w:t>
      </w:r>
      <w:hyperlink r:id="rId13" w:history="1">
        <w:r w:rsidRPr="0003560A">
          <w:rPr>
            <w:rStyle w:val="Hyperlink"/>
            <w:rFonts w:ascii="Arial" w:hAnsi="Arial" w:cs="Arial"/>
            <w:sz w:val="20"/>
            <w:szCs w:val="20"/>
          </w:rPr>
          <w:t xml:space="preserve"> Acórdão nº </w:t>
        </w:r>
        <w:r>
          <w:rPr>
            <w:rStyle w:val="Hyperlink"/>
            <w:rFonts w:ascii="Arial" w:hAnsi="Arial" w:cs="Arial"/>
            <w:sz w:val="20"/>
            <w:szCs w:val="20"/>
          </w:rPr>
          <w:t>571</w:t>
        </w:r>
        <w:r w:rsidRPr="0003560A">
          <w:rPr>
            <w:rStyle w:val="Hyperlink"/>
            <w:rFonts w:ascii="Arial" w:hAnsi="Arial" w:cs="Arial"/>
            <w:sz w:val="20"/>
            <w:szCs w:val="20"/>
          </w:rPr>
          <w:t>/18 - Tribunal Pleno</w:t>
        </w:r>
      </w:hyperlink>
      <w:r w:rsidRPr="00D677AD">
        <w:rPr>
          <w:rStyle w:val="Hyperlink"/>
          <w:rFonts w:ascii="Arial" w:hAnsi="Arial" w:cs="Arial"/>
          <w:sz w:val="20"/>
          <w:szCs w:val="20"/>
          <w:u w:val="none"/>
        </w:rPr>
        <w:t xml:space="preserve"> -</w:t>
      </w:r>
      <w:r>
        <w:rPr>
          <w:rStyle w:val="Hyperlink"/>
          <w:rFonts w:ascii="Arial" w:hAnsi="Arial" w:cs="Arial"/>
          <w:sz w:val="20"/>
          <w:szCs w:val="20"/>
          <w:u w:val="none"/>
        </w:rPr>
        <w:t xml:space="preserve"> </w:t>
      </w:r>
      <w:r>
        <w:rPr>
          <w:rStyle w:val="Hyperlink"/>
          <w:rFonts w:ascii="Arial" w:hAnsi="Arial" w:cs="Arial"/>
          <w:color w:val="000000" w:themeColor="text1"/>
          <w:sz w:val="20"/>
          <w:szCs w:val="20"/>
          <w:u w:val="none"/>
        </w:rPr>
        <w:t xml:space="preserve">Relator Conselheiro Artagão de Mattos Leão. </w:t>
      </w:r>
    </w:p>
    <w:p w:rsidR="00B44B73" w:rsidRDefault="00B44B73" w:rsidP="003B023F">
      <w:pPr>
        <w:autoSpaceDE w:val="0"/>
        <w:autoSpaceDN w:val="0"/>
        <w:adjustRightInd w:val="0"/>
        <w:spacing w:after="0"/>
        <w:rPr>
          <w:rFonts w:ascii="Arial" w:hAnsi="Arial" w:cs="Arial"/>
          <w:sz w:val="20"/>
          <w:szCs w:val="20"/>
        </w:rPr>
      </w:pPr>
    </w:p>
    <w:p w:rsidR="00FC25E4" w:rsidRPr="001D3414" w:rsidRDefault="00ED59DF" w:rsidP="003B023F">
      <w:pPr>
        <w:autoSpaceDE w:val="0"/>
        <w:autoSpaceDN w:val="0"/>
        <w:adjustRightInd w:val="0"/>
        <w:spacing w:after="0"/>
        <w:jc w:val="both"/>
        <w:rPr>
          <w:rFonts w:ascii="Arial,Italic" w:hAnsi="Arial,Italic" w:cs="Arial,Italic"/>
          <w:iCs/>
          <w:sz w:val="20"/>
          <w:szCs w:val="20"/>
        </w:rPr>
      </w:pPr>
      <w:r w:rsidRPr="001D3414">
        <w:rPr>
          <w:rFonts w:ascii="Arial" w:hAnsi="Arial" w:cs="Arial"/>
          <w:b/>
          <w:sz w:val="20"/>
          <w:szCs w:val="20"/>
        </w:rPr>
        <w:t>7</w:t>
      </w:r>
      <w:r w:rsidR="001B0131" w:rsidRPr="001D3414">
        <w:rPr>
          <w:rFonts w:ascii="Arial" w:hAnsi="Arial" w:cs="Arial"/>
          <w:b/>
          <w:sz w:val="20"/>
          <w:szCs w:val="20"/>
        </w:rPr>
        <w:t xml:space="preserve">. </w:t>
      </w:r>
      <w:r w:rsidR="0006556A" w:rsidRPr="001D3414">
        <w:rPr>
          <w:rFonts w:ascii="Arial,Italic" w:hAnsi="Arial,Italic" w:cs="Arial,Italic"/>
          <w:b/>
          <w:iCs/>
          <w:sz w:val="20"/>
          <w:szCs w:val="20"/>
        </w:rPr>
        <w:t xml:space="preserve">Incidente de Inconstitucionalidade. </w:t>
      </w:r>
      <w:r w:rsidR="00FC25E4" w:rsidRPr="001D3414">
        <w:rPr>
          <w:rFonts w:ascii="Arial,Italic" w:hAnsi="Arial,Italic" w:cs="Arial,Italic"/>
          <w:b/>
          <w:iCs/>
          <w:sz w:val="20"/>
          <w:szCs w:val="20"/>
        </w:rPr>
        <w:t>Leis Municipais que preveem a possibilidade de incorporação integral da TIDE aos vencimentos e proventos de aposentadoria. Verba de natureza transitória. Necessidade de proporc</w:t>
      </w:r>
      <w:bookmarkStart w:id="0" w:name="_GoBack"/>
      <w:bookmarkEnd w:id="0"/>
      <w:r w:rsidR="00FC25E4" w:rsidRPr="001D3414">
        <w:rPr>
          <w:rFonts w:ascii="Arial,Italic" w:hAnsi="Arial,Italic" w:cs="Arial,Italic"/>
          <w:b/>
          <w:iCs/>
          <w:sz w:val="20"/>
          <w:szCs w:val="20"/>
        </w:rPr>
        <w:t>ionalização da verba transitória ao tempo de contribuição. Determinação de Interpretação conforme a Constituição e revisão da legislação municipal</w:t>
      </w:r>
      <w:r w:rsidR="00FC25E4" w:rsidRPr="001D3414">
        <w:rPr>
          <w:rFonts w:ascii="Arial,Italic" w:hAnsi="Arial,Italic" w:cs="Arial,Italic"/>
          <w:iCs/>
          <w:sz w:val="20"/>
          <w:szCs w:val="20"/>
        </w:rPr>
        <w:t>.</w:t>
      </w:r>
    </w:p>
    <w:p w:rsidR="00FC25E4" w:rsidRDefault="00FC25E4" w:rsidP="003B023F">
      <w:pPr>
        <w:autoSpaceDE w:val="0"/>
        <w:autoSpaceDN w:val="0"/>
        <w:adjustRightInd w:val="0"/>
        <w:spacing w:after="0"/>
        <w:jc w:val="both"/>
        <w:rPr>
          <w:rFonts w:ascii="Arial,Italic" w:hAnsi="Arial,Italic" w:cs="Arial,Italic"/>
          <w:i/>
          <w:iCs/>
          <w:sz w:val="20"/>
          <w:szCs w:val="20"/>
        </w:rPr>
      </w:pPr>
    </w:p>
    <w:p w:rsidR="00523686" w:rsidRPr="001D3414" w:rsidRDefault="0006556A" w:rsidP="003B023F">
      <w:pPr>
        <w:autoSpaceDE w:val="0"/>
        <w:autoSpaceDN w:val="0"/>
        <w:adjustRightInd w:val="0"/>
        <w:spacing w:after="0"/>
        <w:jc w:val="both"/>
        <w:rPr>
          <w:rFonts w:ascii="Arial" w:hAnsi="Arial" w:cs="Arial"/>
          <w:sz w:val="20"/>
          <w:szCs w:val="20"/>
        </w:rPr>
      </w:pPr>
      <w:r w:rsidRPr="001D3414">
        <w:rPr>
          <w:rFonts w:ascii="Arial,Italic" w:hAnsi="Arial,Italic" w:cs="Arial,Italic"/>
          <w:iCs/>
          <w:sz w:val="20"/>
          <w:szCs w:val="20"/>
        </w:rPr>
        <w:t>Dispositivos</w:t>
      </w:r>
      <w:r w:rsidR="001E588B" w:rsidRPr="001D3414">
        <w:rPr>
          <w:rFonts w:ascii="Arial,Italic" w:hAnsi="Arial,Italic" w:cs="Arial,Italic"/>
          <w:iCs/>
          <w:sz w:val="20"/>
          <w:szCs w:val="20"/>
        </w:rPr>
        <w:t xml:space="preserve"> </w:t>
      </w:r>
      <w:r w:rsidR="00E5656B" w:rsidRPr="001D3414">
        <w:rPr>
          <w:rFonts w:ascii="Arial,Italic" w:hAnsi="Arial,Italic" w:cs="Arial,Italic"/>
          <w:iCs/>
          <w:sz w:val="20"/>
          <w:szCs w:val="20"/>
        </w:rPr>
        <w:t>contidos nas Leis de</w:t>
      </w:r>
      <w:r w:rsidRPr="001D3414">
        <w:rPr>
          <w:rFonts w:ascii="Arial,Italic" w:hAnsi="Arial,Italic" w:cs="Arial,Italic"/>
          <w:iCs/>
          <w:sz w:val="20"/>
          <w:szCs w:val="20"/>
        </w:rPr>
        <w:t xml:space="preserve"> Município que preveem a possibilidade de incorporação</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integral da Gratificação por Tempo Integral e Dedicação</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Exclusiva – TIDE, verba de natureza transitória, aos</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vencimentos e também aos proventos de inatividade.</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 xml:space="preserve">Incorporação de verba transitória aos </w:t>
      </w:r>
      <w:r w:rsidRPr="001D3414">
        <w:rPr>
          <w:rFonts w:ascii="Arial,BoldItalic" w:hAnsi="Arial,BoldItalic" w:cs="Arial,BoldItalic"/>
          <w:bCs/>
          <w:iCs/>
          <w:sz w:val="20"/>
          <w:szCs w:val="20"/>
        </w:rPr>
        <w:t>vencimentos</w:t>
      </w:r>
      <w:r w:rsidRPr="001D3414">
        <w:rPr>
          <w:rFonts w:ascii="Arial,Italic" w:hAnsi="Arial,Italic" w:cs="Arial,Italic"/>
          <w:iCs/>
          <w:sz w:val="20"/>
          <w:szCs w:val="20"/>
        </w:rPr>
        <w:t>.</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Inconstitucionalidade por violação ao art. 39, § 1º c/c art. 37,</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caput e inciso X, ambos da Constituição Federal, bem como ao</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princípio da isonomia (art. 5º, caput). Determinação de</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afastamento da norma municipal inconstitucional aos casos</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submetidos à análise desta Corte.</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 xml:space="preserve">Incorporação integral de verba transitória aos </w:t>
      </w:r>
      <w:r w:rsidRPr="001D3414">
        <w:rPr>
          <w:rFonts w:ascii="Arial,BoldItalic" w:hAnsi="Arial,BoldItalic" w:cs="Arial,BoldItalic"/>
          <w:bCs/>
          <w:iCs/>
          <w:sz w:val="20"/>
          <w:szCs w:val="20"/>
        </w:rPr>
        <w:t>benefícios</w:t>
      </w:r>
      <w:r w:rsidR="001E588B" w:rsidRPr="001D3414">
        <w:rPr>
          <w:rFonts w:ascii="Arial,BoldItalic" w:hAnsi="Arial,BoldItalic" w:cs="Arial,BoldItalic"/>
          <w:bCs/>
          <w:iCs/>
          <w:sz w:val="20"/>
          <w:szCs w:val="20"/>
        </w:rPr>
        <w:t xml:space="preserve"> </w:t>
      </w:r>
      <w:r w:rsidRPr="001D3414">
        <w:rPr>
          <w:rFonts w:ascii="Arial,BoldItalic" w:hAnsi="Arial,BoldItalic" w:cs="Arial,BoldItalic"/>
          <w:bCs/>
          <w:iCs/>
          <w:sz w:val="20"/>
          <w:szCs w:val="20"/>
        </w:rPr>
        <w:t>previdenciários</w:t>
      </w:r>
      <w:r w:rsidRPr="001D3414">
        <w:rPr>
          <w:rFonts w:ascii="Arial,Italic" w:hAnsi="Arial,Italic" w:cs="Arial,Italic"/>
          <w:iCs/>
          <w:sz w:val="20"/>
          <w:szCs w:val="20"/>
        </w:rPr>
        <w:t>. Necessidade de delimitar as interpretações</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possíveis das normas locais, em conformidade com o texto</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constitucional. Inconstitucionalidade da interpretação que</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permite a incorporação integral aos proventos, por violação ao</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artigo 40, caput, da Constituição. A interpretação conforme o</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texto constitucional exige a proporcionalização</w:t>
      </w:r>
      <w:r w:rsidR="00523686" w:rsidRPr="001D3414">
        <w:rPr>
          <w:rFonts w:ascii="Arial,Italic" w:hAnsi="Arial,Italic" w:cs="Arial,Italic"/>
          <w:iCs/>
          <w:sz w:val="20"/>
          <w:szCs w:val="20"/>
        </w:rPr>
        <w:t xml:space="preserve"> d</w:t>
      </w:r>
      <w:r w:rsidRPr="001D3414">
        <w:rPr>
          <w:rFonts w:ascii="Arial,Italic" w:hAnsi="Arial,Italic" w:cs="Arial,Italic"/>
          <w:iCs/>
          <w:sz w:val="20"/>
          <w:szCs w:val="20"/>
        </w:rPr>
        <w:t>a verba</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 xml:space="preserve">transitória ao tempo de contribuição. </w:t>
      </w:r>
      <w:r w:rsidRPr="001D3414">
        <w:rPr>
          <w:rFonts w:ascii="Arial,Italic" w:hAnsi="Arial,Italic" w:cs="Arial,Italic"/>
          <w:iCs/>
          <w:sz w:val="20"/>
          <w:szCs w:val="20"/>
        </w:rPr>
        <w:lastRenderedPageBreak/>
        <w:t>Determinação de</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aplicação da interpretação conforme a Constituição ao</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processo originário e aos casos análogos, inclusive aos</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processos ainda em trâmite, submetidos a esta Corte.</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Determinação de revisão da legislação municipal e abstenção</w:t>
      </w:r>
      <w:r w:rsidR="001E588B" w:rsidRPr="001D3414">
        <w:rPr>
          <w:rFonts w:ascii="Arial,Italic" w:hAnsi="Arial,Italic" w:cs="Arial,Italic"/>
          <w:iCs/>
          <w:sz w:val="20"/>
          <w:szCs w:val="20"/>
        </w:rPr>
        <w:t xml:space="preserve"> </w:t>
      </w:r>
      <w:r w:rsidRPr="001D3414">
        <w:rPr>
          <w:rFonts w:ascii="Arial,Italic" w:hAnsi="Arial,Italic" w:cs="Arial,Italic"/>
          <w:iCs/>
          <w:sz w:val="20"/>
          <w:szCs w:val="20"/>
        </w:rPr>
        <w:t xml:space="preserve">da concessão de novas vantagens. </w:t>
      </w:r>
    </w:p>
    <w:p w:rsidR="00B44B73" w:rsidRDefault="00B44B73" w:rsidP="003B023F">
      <w:pPr>
        <w:autoSpaceDE w:val="0"/>
        <w:autoSpaceDN w:val="0"/>
        <w:adjustRightInd w:val="0"/>
        <w:spacing w:after="0"/>
        <w:rPr>
          <w:rFonts w:ascii="Arial" w:hAnsi="Arial" w:cs="Arial"/>
          <w:sz w:val="20"/>
          <w:szCs w:val="20"/>
        </w:rPr>
      </w:pPr>
    </w:p>
    <w:p w:rsidR="00523686" w:rsidRDefault="00523686" w:rsidP="003B023F">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Processo nº 655036/16 -</w:t>
      </w:r>
      <w:r w:rsidRPr="000B2394">
        <w:rPr>
          <w:rFonts w:ascii="Arial" w:hAnsi="Arial" w:cs="Arial"/>
          <w:sz w:val="20"/>
          <w:szCs w:val="20"/>
        </w:rPr>
        <w:t xml:space="preserve"> </w:t>
      </w:r>
      <w:hyperlink r:id="rId14" w:history="1">
        <w:r w:rsidRPr="000B2394">
          <w:rPr>
            <w:rStyle w:val="Hyperlink"/>
            <w:rFonts w:ascii="Arial" w:hAnsi="Arial" w:cs="Arial"/>
            <w:sz w:val="20"/>
            <w:szCs w:val="20"/>
          </w:rPr>
          <w:t>Acórdão nº 578/18 - Tribunal Pleno</w:t>
        </w:r>
      </w:hyperlink>
      <w:r w:rsidRPr="00D677AD">
        <w:rPr>
          <w:rStyle w:val="Hyperlink"/>
          <w:rFonts w:ascii="Arial" w:hAnsi="Arial" w:cs="Arial"/>
          <w:sz w:val="20"/>
          <w:szCs w:val="20"/>
          <w:u w:val="none"/>
        </w:rPr>
        <w:t xml:space="preserve"> -</w:t>
      </w:r>
      <w:r>
        <w:rPr>
          <w:rStyle w:val="Hyperlink"/>
          <w:rFonts w:ascii="Arial" w:hAnsi="Arial" w:cs="Arial"/>
          <w:sz w:val="20"/>
          <w:szCs w:val="20"/>
          <w:u w:val="none"/>
        </w:rPr>
        <w:t xml:space="preserve"> </w:t>
      </w:r>
      <w:r>
        <w:rPr>
          <w:rStyle w:val="Hyperlink"/>
          <w:rFonts w:ascii="Arial" w:hAnsi="Arial" w:cs="Arial"/>
          <w:color w:val="000000" w:themeColor="text1"/>
          <w:sz w:val="20"/>
          <w:szCs w:val="20"/>
          <w:u w:val="none"/>
        </w:rPr>
        <w:t>Relator Conselheiro</w:t>
      </w:r>
      <w:r w:rsidR="000B2394">
        <w:rPr>
          <w:rStyle w:val="Hyperlink"/>
          <w:rFonts w:ascii="Arial" w:hAnsi="Arial" w:cs="Arial"/>
          <w:color w:val="000000" w:themeColor="text1"/>
          <w:sz w:val="20"/>
          <w:szCs w:val="20"/>
          <w:u w:val="none"/>
        </w:rPr>
        <w:t xml:space="preserve"> Fernando</w:t>
      </w:r>
      <w:r>
        <w:rPr>
          <w:rStyle w:val="Hyperlink"/>
          <w:rFonts w:ascii="Arial" w:hAnsi="Arial" w:cs="Arial"/>
          <w:color w:val="000000" w:themeColor="text1"/>
          <w:sz w:val="20"/>
          <w:szCs w:val="20"/>
          <w:u w:val="none"/>
        </w:rPr>
        <w:t xml:space="preserve"> </w:t>
      </w:r>
      <w:r w:rsidR="00624ECC">
        <w:rPr>
          <w:rStyle w:val="Hyperlink"/>
          <w:rFonts w:ascii="Arial" w:hAnsi="Arial" w:cs="Arial"/>
          <w:color w:val="000000" w:themeColor="text1"/>
          <w:sz w:val="20"/>
          <w:szCs w:val="20"/>
          <w:u w:val="none"/>
        </w:rPr>
        <w:t>Augusto Mello Guimarães</w:t>
      </w:r>
      <w:r>
        <w:rPr>
          <w:rStyle w:val="Hyperlink"/>
          <w:rFonts w:ascii="Arial" w:hAnsi="Arial" w:cs="Arial"/>
          <w:color w:val="000000" w:themeColor="text1"/>
          <w:sz w:val="20"/>
          <w:szCs w:val="20"/>
          <w:u w:val="none"/>
        </w:rPr>
        <w:t xml:space="preserve">. </w:t>
      </w:r>
    </w:p>
    <w:p w:rsidR="00B44B73" w:rsidRDefault="00B44B73" w:rsidP="003B023F">
      <w:pPr>
        <w:autoSpaceDE w:val="0"/>
        <w:autoSpaceDN w:val="0"/>
        <w:adjustRightInd w:val="0"/>
        <w:spacing w:after="0"/>
        <w:rPr>
          <w:rFonts w:ascii="Arial" w:hAnsi="Arial" w:cs="Arial"/>
          <w:sz w:val="20"/>
          <w:szCs w:val="20"/>
        </w:rPr>
      </w:pPr>
    </w:p>
    <w:p w:rsidR="00B44B73" w:rsidRPr="001D3414" w:rsidRDefault="00ED59DF" w:rsidP="003B023F">
      <w:pPr>
        <w:autoSpaceDE w:val="0"/>
        <w:autoSpaceDN w:val="0"/>
        <w:adjustRightInd w:val="0"/>
        <w:spacing w:after="0"/>
        <w:jc w:val="both"/>
        <w:rPr>
          <w:rFonts w:ascii="Arial" w:hAnsi="Arial" w:cs="Arial"/>
          <w:sz w:val="20"/>
          <w:szCs w:val="20"/>
        </w:rPr>
      </w:pPr>
      <w:r w:rsidRPr="001D3414">
        <w:rPr>
          <w:rFonts w:ascii="Arial" w:hAnsi="Arial" w:cs="Arial"/>
          <w:b/>
          <w:sz w:val="20"/>
          <w:szCs w:val="20"/>
        </w:rPr>
        <w:t>8</w:t>
      </w:r>
      <w:r w:rsidR="002E7402" w:rsidRPr="001D3414">
        <w:rPr>
          <w:rFonts w:ascii="Arial" w:hAnsi="Arial" w:cs="Arial"/>
          <w:b/>
          <w:sz w:val="20"/>
          <w:szCs w:val="20"/>
        </w:rPr>
        <w:t xml:space="preserve">. </w:t>
      </w:r>
      <w:r w:rsidR="001C7789" w:rsidRPr="001D3414">
        <w:rPr>
          <w:rFonts w:ascii="Arial" w:hAnsi="Arial" w:cs="Arial"/>
          <w:b/>
          <w:sz w:val="20"/>
          <w:szCs w:val="20"/>
        </w:rPr>
        <w:t>Representação da Lei 8.666/93. Exigências</w:t>
      </w:r>
      <w:r w:rsidR="00272EEE" w:rsidRPr="001D3414">
        <w:rPr>
          <w:rFonts w:ascii="Arial" w:hAnsi="Arial" w:cs="Arial"/>
          <w:b/>
          <w:sz w:val="20"/>
          <w:szCs w:val="20"/>
        </w:rPr>
        <w:t xml:space="preserve"> </w:t>
      </w:r>
      <w:r w:rsidR="001C7789" w:rsidRPr="001D3414">
        <w:rPr>
          <w:rFonts w:ascii="Arial" w:hAnsi="Arial" w:cs="Arial"/>
          <w:b/>
          <w:sz w:val="20"/>
          <w:szCs w:val="20"/>
        </w:rPr>
        <w:t>editalícias</w:t>
      </w:r>
      <w:r w:rsidR="00272EEE" w:rsidRPr="001D3414">
        <w:rPr>
          <w:rFonts w:ascii="Arial" w:hAnsi="Arial" w:cs="Arial"/>
          <w:b/>
          <w:sz w:val="20"/>
          <w:szCs w:val="20"/>
        </w:rPr>
        <w:t xml:space="preserve"> </w:t>
      </w:r>
      <w:r w:rsidR="001C7789" w:rsidRPr="001D3414">
        <w:rPr>
          <w:rFonts w:ascii="Arial" w:hAnsi="Arial" w:cs="Arial"/>
          <w:b/>
          <w:sz w:val="20"/>
          <w:szCs w:val="20"/>
        </w:rPr>
        <w:t xml:space="preserve">indevidas. </w:t>
      </w:r>
      <w:r w:rsidR="003A4903" w:rsidRPr="001D3414">
        <w:rPr>
          <w:rFonts w:ascii="Arial" w:hAnsi="Arial" w:cs="Arial"/>
          <w:b/>
          <w:sz w:val="20"/>
          <w:szCs w:val="20"/>
        </w:rPr>
        <w:t xml:space="preserve">Deferimento monocrático de </w:t>
      </w:r>
      <w:r w:rsidR="001C7789" w:rsidRPr="001D3414">
        <w:rPr>
          <w:rFonts w:ascii="Arial" w:hAnsi="Arial" w:cs="Arial"/>
          <w:b/>
          <w:sz w:val="20"/>
          <w:szCs w:val="20"/>
        </w:rPr>
        <w:t>cautelar suspendendo o certame. Homologação da cautelar</w:t>
      </w:r>
      <w:r w:rsidR="001C7789" w:rsidRPr="001D3414">
        <w:rPr>
          <w:rFonts w:ascii="Arial" w:hAnsi="Arial" w:cs="Arial"/>
          <w:sz w:val="20"/>
          <w:szCs w:val="20"/>
        </w:rPr>
        <w:t>.</w:t>
      </w:r>
    </w:p>
    <w:p w:rsidR="001C7789" w:rsidRPr="0031140C" w:rsidRDefault="001C7789" w:rsidP="003B023F">
      <w:pPr>
        <w:autoSpaceDE w:val="0"/>
        <w:autoSpaceDN w:val="0"/>
        <w:adjustRightInd w:val="0"/>
        <w:spacing w:after="0"/>
        <w:jc w:val="both"/>
        <w:rPr>
          <w:rFonts w:ascii="Arial" w:hAnsi="Arial" w:cs="Arial"/>
          <w:sz w:val="20"/>
          <w:szCs w:val="20"/>
        </w:rPr>
      </w:pPr>
    </w:p>
    <w:p w:rsidR="00C7306A" w:rsidRPr="001D3414" w:rsidRDefault="00C57959" w:rsidP="003B023F">
      <w:pPr>
        <w:autoSpaceDE w:val="0"/>
        <w:autoSpaceDN w:val="0"/>
        <w:adjustRightInd w:val="0"/>
        <w:spacing w:after="0"/>
        <w:jc w:val="both"/>
        <w:rPr>
          <w:rFonts w:ascii="Arial" w:hAnsi="Arial" w:cs="Arial"/>
          <w:sz w:val="20"/>
          <w:szCs w:val="20"/>
        </w:rPr>
      </w:pPr>
      <w:r w:rsidRPr="001D3414">
        <w:rPr>
          <w:rFonts w:ascii="Arial" w:hAnsi="Arial" w:cs="Arial"/>
          <w:sz w:val="20"/>
          <w:szCs w:val="20"/>
        </w:rPr>
        <w:t xml:space="preserve">Edital de Pregão Presencial, com as seguintes </w:t>
      </w:r>
      <w:r w:rsidR="0031140C" w:rsidRPr="001D3414">
        <w:rPr>
          <w:rFonts w:ascii="Arial" w:hAnsi="Arial" w:cs="Arial"/>
          <w:sz w:val="20"/>
          <w:szCs w:val="20"/>
        </w:rPr>
        <w:t xml:space="preserve">situações julgadas </w:t>
      </w:r>
      <w:r w:rsidRPr="001D3414">
        <w:rPr>
          <w:rFonts w:ascii="Arial" w:hAnsi="Arial" w:cs="Arial"/>
          <w:sz w:val="20"/>
          <w:szCs w:val="20"/>
        </w:rPr>
        <w:t xml:space="preserve">irregulares: </w:t>
      </w:r>
      <w:r w:rsidRPr="001D3414">
        <w:rPr>
          <w:rFonts w:ascii="Arial" w:hAnsi="Arial" w:cs="Arial"/>
          <w:bCs/>
          <w:sz w:val="20"/>
          <w:szCs w:val="20"/>
        </w:rPr>
        <w:t xml:space="preserve">a) </w:t>
      </w:r>
      <w:r w:rsidRPr="001D3414">
        <w:rPr>
          <w:rFonts w:ascii="Arial" w:hAnsi="Arial" w:cs="Arial"/>
          <w:sz w:val="20"/>
          <w:szCs w:val="20"/>
        </w:rPr>
        <w:t xml:space="preserve">ausência de respeito ao intervalo mínimo de 8 (oito) dias úteis, entre a publicação do edital e a apresentação das propostas, considerando alteração substancial do edital, contida </w:t>
      </w:r>
      <w:r w:rsidR="003A4903" w:rsidRPr="001D3414">
        <w:rPr>
          <w:rFonts w:ascii="Arial" w:hAnsi="Arial" w:cs="Arial"/>
          <w:sz w:val="20"/>
          <w:szCs w:val="20"/>
        </w:rPr>
        <w:t>em edital de retificação</w:t>
      </w:r>
      <w:r w:rsidRPr="001D3414">
        <w:rPr>
          <w:rFonts w:ascii="Arial" w:hAnsi="Arial" w:cs="Arial"/>
          <w:sz w:val="20"/>
          <w:szCs w:val="20"/>
        </w:rPr>
        <w:t xml:space="preserve">; </w:t>
      </w:r>
      <w:r w:rsidRPr="001D3414">
        <w:rPr>
          <w:rFonts w:ascii="Arial" w:hAnsi="Arial" w:cs="Arial"/>
          <w:bCs/>
          <w:sz w:val="20"/>
          <w:szCs w:val="20"/>
        </w:rPr>
        <w:t xml:space="preserve">b) </w:t>
      </w:r>
      <w:r w:rsidRPr="001D3414">
        <w:rPr>
          <w:rFonts w:ascii="Arial" w:hAnsi="Arial" w:cs="Arial"/>
          <w:sz w:val="20"/>
          <w:szCs w:val="20"/>
        </w:rPr>
        <w:t xml:space="preserve">violação ao princípio da competitividade, em razão da limitação à participação exclusiva de microempresa e empresa de pequeno porte e, com supedâneo em lei local, limitadas estas àquelas empresas sediadas no município ou, caso inexistam no mínimo três concorrentes com sede na cidade, àquelas empresas sediadas na microrregião; </w:t>
      </w:r>
      <w:r w:rsidRPr="001D3414">
        <w:rPr>
          <w:rFonts w:ascii="Arial" w:hAnsi="Arial" w:cs="Arial"/>
          <w:bCs/>
          <w:sz w:val="20"/>
          <w:szCs w:val="20"/>
        </w:rPr>
        <w:t xml:space="preserve">c) </w:t>
      </w:r>
      <w:r w:rsidRPr="001D3414">
        <w:rPr>
          <w:rFonts w:ascii="Arial" w:hAnsi="Arial" w:cs="Arial"/>
          <w:sz w:val="20"/>
          <w:szCs w:val="20"/>
        </w:rPr>
        <w:t>exigência abusiva de certidão negativa de protestos – emitida por todos</w:t>
      </w:r>
      <w:r w:rsidR="00C7306A" w:rsidRPr="001D3414">
        <w:rPr>
          <w:rFonts w:ascii="Arial" w:hAnsi="Arial" w:cs="Arial"/>
          <w:sz w:val="20"/>
          <w:szCs w:val="20"/>
        </w:rPr>
        <w:t xml:space="preserve"> </w:t>
      </w:r>
      <w:r w:rsidRPr="001D3414">
        <w:rPr>
          <w:rFonts w:ascii="Arial" w:hAnsi="Arial" w:cs="Arial"/>
          <w:sz w:val="20"/>
          <w:szCs w:val="20"/>
        </w:rPr>
        <w:t xml:space="preserve">os cartórios existentes na comarca da sede da licitante, com data não superior a 30 dias, da data limite para recebimento das propostas; </w:t>
      </w:r>
      <w:r w:rsidRPr="001D3414">
        <w:rPr>
          <w:rFonts w:ascii="Arial" w:hAnsi="Arial" w:cs="Arial"/>
          <w:bCs/>
          <w:sz w:val="20"/>
          <w:szCs w:val="20"/>
        </w:rPr>
        <w:t xml:space="preserve">d) </w:t>
      </w:r>
      <w:r w:rsidRPr="001D3414">
        <w:rPr>
          <w:rFonts w:ascii="Arial" w:hAnsi="Arial" w:cs="Arial"/>
          <w:sz w:val="20"/>
          <w:szCs w:val="20"/>
        </w:rPr>
        <w:t xml:space="preserve">exigência abusiva de certidão negativa expedida pelo Cartório Distribuidor da sede da pessoa jurídica, (Falência e Concordata) com data não superior a 30 (trinta) dias, da data limite para recebimento das propostas; </w:t>
      </w:r>
      <w:r w:rsidRPr="001D3414">
        <w:rPr>
          <w:rFonts w:ascii="Arial" w:hAnsi="Arial" w:cs="Arial"/>
          <w:bCs/>
          <w:sz w:val="20"/>
          <w:szCs w:val="20"/>
        </w:rPr>
        <w:t xml:space="preserve">e) </w:t>
      </w:r>
      <w:r w:rsidRPr="001D3414">
        <w:rPr>
          <w:rFonts w:ascii="Arial" w:hAnsi="Arial" w:cs="Arial"/>
          <w:sz w:val="20"/>
          <w:szCs w:val="20"/>
        </w:rPr>
        <w:t xml:space="preserve">exigência indevida de Alvará para fins de habilitação ou de credenciamento; </w:t>
      </w:r>
      <w:r w:rsidRPr="001D3414">
        <w:rPr>
          <w:rFonts w:ascii="Arial" w:hAnsi="Arial" w:cs="Arial"/>
          <w:bCs/>
          <w:sz w:val="20"/>
          <w:szCs w:val="20"/>
        </w:rPr>
        <w:t xml:space="preserve">f) </w:t>
      </w:r>
      <w:r w:rsidRPr="001D3414">
        <w:rPr>
          <w:rFonts w:ascii="Arial" w:hAnsi="Arial" w:cs="Arial"/>
          <w:sz w:val="20"/>
          <w:szCs w:val="20"/>
        </w:rPr>
        <w:t xml:space="preserve">exigência indevida de apresentação de proposta de preços elaborada e preenchida no site do Município, inclusive com as informações de marca e preços unitários dos itens para os quais apresentar proposta de preços; </w:t>
      </w:r>
      <w:r w:rsidRPr="001D3414">
        <w:rPr>
          <w:rFonts w:ascii="Arial" w:hAnsi="Arial" w:cs="Arial"/>
          <w:bCs/>
          <w:sz w:val="20"/>
          <w:szCs w:val="20"/>
        </w:rPr>
        <w:t xml:space="preserve">g) </w:t>
      </w:r>
      <w:r w:rsidRPr="001D3414">
        <w:rPr>
          <w:rFonts w:ascii="Arial" w:hAnsi="Arial" w:cs="Arial"/>
          <w:sz w:val="20"/>
          <w:szCs w:val="20"/>
        </w:rPr>
        <w:t>previsão de imposição de multa no valor de 50% (cinquenta por cento) sobre o valor total do Contrato, no caso de inexecução total do objeto contratado</w:t>
      </w:r>
      <w:r w:rsidR="00C7306A" w:rsidRPr="001D3414">
        <w:rPr>
          <w:rFonts w:ascii="Arial" w:hAnsi="Arial" w:cs="Arial"/>
          <w:sz w:val="20"/>
          <w:szCs w:val="20"/>
        </w:rPr>
        <w:t>. Medida cautelar deferida e confirmada, com determinação para suspensão imediata do Pregão Eletrônico.</w:t>
      </w:r>
    </w:p>
    <w:p w:rsidR="00C7306A" w:rsidRDefault="00C7306A" w:rsidP="003B023F">
      <w:pPr>
        <w:autoSpaceDE w:val="0"/>
        <w:autoSpaceDN w:val="0"/>
        <w:adjustRightInd w:val="0"/>
        <w:spacing w:after="0"/>
        <w:jc w:val="both"/>
        <w:rPr>
          <w:rFonts w:ascii="Arial" w:hAnsi="Arial" w:cs="Arial"/>
          <w:sz w:val="20"/>
          <w:szCs w:val="20"/>
        </w:rPr>
      </w:pPr>
    </w:p>
    <w:p w:rsidR="00B44B73" w:rsidRDefault="00624ECC" w:rsidP="003B023F">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nº 157785/18 – </w:t>
      </w:r>
      <w:hyperlink r:id="rId15" w:history="1">
        <w:r w:rsidRPr="00C57959">
          <w:rPr>
            <w:rStyle w:val="Hyperlink"/>
            <w:rFonts w:ascii="Arial" w:hAnsi="Arial" w:cs="Arial"/>
            <w:sz w:val="20"/>
            <w:szCs w:val="20"/>
          </w:rPr>
          <w:t>Acórdão nº 576/18 – Tribunal Pleno</w:t>
        </w:r>
      </w:hyperlink>
      <w:r>
        <w:rPr>
          <w:rFonts w:ascii="Arial" w:hAnsi="Arial" w:cs="Arial"/>
          <w:sz w:val="20"/>
          <w:szCs w:val="20"/>
        </w:rPr>
        <w:t xml:space="preserve"> – Relator Fernando Augusto Mello Guimarães.</w:t>
      </w:r>
    </w:p>
    <w:p w:rsidR="00671CBB" w:rsidRDefault="00671CBB" w:rsidP="003B023F">
      <w:pPr>
        <w:autoSpaceDE w:val="0"/>
        <w:autoSpaceDN w:val="0"/>
        <w:adjustRightInd w:val="0"/>
        <w:spacing w:after="0"/>
        <w:jc w:val="both"/>
        <w:rPr>
          <w:rFonts w:ascii="Arial" w:hAnsi="Arial" w:cs="Arial"/>
          <w:sz w:val="20"/>
          <w:szCs w:val="20"/>
        </w:rPr>
      </w:pPr>
    </w:p>
    <w:p w:rsidR="00671CBB" w:rsidRPr="001D3414" w:rsidRDefault="00ED59DF" w:rsidP="003B023F">
      <w:pPr>
        <w:autoSpaceDE w:val="0"/>
        <w:autoSpaceDN w:val="0"/>
        <w:adjustRightInd w:val="0"/>
        <w:spacing w:after="0"/>
        <w:jc w:val="both"/>
        <w:rPr>
          <w:rFonts w:ascii="Arial,Italic" w:hAnsi="Arial,Italic" w:cs="Arial,Italic"/>
          <w:b/>
          <w:iCs/>
          <w:sz w:val="20"/>
          <w:szCs w:val="20"/>
        </w:rPr>
      </w:pPr>
      <w:r w:rsidRPr="001D3414">
        <w:rPr>
          <w:rFonts w:ascii="Arial" w:hAnsi="Arial" w:cs="Arial"/>
          <w:b/>
          <w:sz w:val="20"/>
          <w:szCs w:val="20"/>
        </w:rPr>
        <w:t>9</w:t>
      </w:r>
      <w:r w:rsidR="00671CBB" w:rsidRPr="001D3414">
        <w:rPr>
          <w:rFonts w:ascii="Arial" w:hAnsi="Arial" w:cs="Arial"/>
          <w:b/>
          <w:sz w:val="20"/>
          <w:szCs w:val="20"/>
        </w:rPr>
        <w:t xml:space="preserve">. </w:t>
      </w:r>
      <w:r w:rsidR="00813F98" w:rsidRPr="001D3414">
        <w:rPr>
          <w:rFonts w:ascii="Arial,Italic" w:hAnsi="Arial,Italic" w:cs="Arial,Italic"/>
          <w:b/>
          <w:iCs/>
          <w:sz w:val="20"/>
          <w:szCs w:val="20"/>
        </w:rPr>
        <w:t xml:space="preserve">Recurso de Revista. Prestação de contas </w:t>
      </w:r>
      <w:r w:rsidR="00FA2A1A" w:rsidRPr="001D3414">
        <w:rPr>
          <w:rFonts w:ascii="Arial,Italic" w:hAnsi="Arial,Italic" w:cs="Arial,Italic"/>
          <w:b/>
          <w:iCs/>
          <w:sz w:val="20"/>
          <w:szCs w:val="20"/>
        </w:rPr>
        <w:t>julgadas regulares com ressalva</w:t>
      </w:r>
      <w:r w:rsidR="00A64863" w:rsidRPr="001D3414">
        <w:rPr>
          <w:rFonts w:ascii="Arial,Italic" w:hAnsi="Arial,Italic" w:cs="Arial,Italic"/>
          <w:b/>
          <w:iCs/>
          <w:sz w:val="20"/>
          <w:szCs w:val="20"/>
        </w:rPr>
        <w:t xml:space="preserve"> e aplicação de recomendações, determinações e multas</w:t>
      </w:r>
      <w:r w:rsidR="00FA2A1A" w:rsidRPr="001D3414">
        <w:rPr>
          <w:rFonts w:ascii="Arial,Italic" w:hAnsi="Arial,Italic" w:cs="Arial,Italic"/>
          <w:b/>
          <w:iCs/>
          <w:sz w:val="20"/>
          <w:szCs w:val="20"/>
        </w:rPr>
        <w:t>.</w:t>
      </w:r>
      <w:r w:rsidR="005F0C0B" w:rsidRPr="001D3414">
        <w:rPr>
          <w:rFonts w:ascii="Arial,Italic" w:hAnsi="Arial,Italic" w:cs="Arial,Italic"/>
          <w:b/>
          <w:iCs/>
          <w:sz w:val="20"/>
          <w:szCs w:val="20"/>
        </w:rPr>
        <w:t xml:space="preserve"> Concessão de função a servidores efetivos que não desempenham funções de chefia, direção e assessoramento. Utilização de cargos em comissão para provimento de funções que não caracterizam chefia, direção ou assessoramento. Desproporcionalidade entre o número de cargos em comissão e cargos efetivos. Cessão de servidores ocupantes de cargos em c</w:t>
      </w:r>
      <w:r w:rsidR="009A0BC7" w:rsidRPr="001D3414">
        <w:rPr>
          <w:rFonts w:ascii="Arial,Italic" w:hAnsi="Arial,Italic" w:cs="Arial,Italic"/>
          <w:b/>
          <w:iCs/>
          <w:sz w:val="20"/>
          <w:szCs w:val="20"/>
        </w:rPr>
        <w:t>o</w:t>
      </w:r>
      <w:r w:rsidR="005F0C0B" w:rsidRPr="001D3414">
        <w:rPr>
          <w:rFonts w:ascii="Arial,Italic" w:hAnsi="Arial,Italic" w:cs="Arial,Italic"/>
          <w:b/>
          <w:iCs/>
          <w:sz w:val="20"/>
          <w:szCs w:val="20"/>
        </w:rPr>
        <w:t xml:space="preserve">missão e nomeação de servidores para cargos em comissão. </w:t>
      </w:r>
      <w:r w:rsidR="00813F98" w:rsidRPr="001D3414">
        <w:rPr>
          <w:rFonts w:ascii="Arial,Italic" w:hAnsi="Arial,Italic" w:cs="Arial,Italic"/>
          <w:b/>
          <w:iCs/>
          <w:sz w:val="20"/>
          <w:szCs w:val="20"/>
        </w:rPr>
        <w:t>Pelo conhecimento dos recursos</w:t>
      </w:r>
      <w:r w:rsidR="00430E22" w:rsidRPr="001D3414">
        <w:rPr>
          <w:rFonts w:ascii="Arial,Italic" w:hAnsi="Arial,Italic" w:cs="Arial,Italic"/>
          <w:b/>
          <w:iCs/>
          <w:sz w:val="20"/>
          <w:szCs w:val="20"/>
        </w:rPr>
        <w:t xml:space="preserve"> </w:t>
      </w:r>
      <w:r w:rsidR="00813F98" w:rsidRPr="001D3414">
        <w:rPr>
          <w:rFonts w:ascii="Arial,Italic" w:hAnsi="Arial,Italic" w:cs="Arial,Italic"/>
          <w:b/>
          <w:iCs/>
          <w:sz w:val="20"/>
          <w:szCs w:val="20"/>
        </w:rPr>
        <w:t>e, no mérito, pelo não provimento do recurso manejado pelo</w:t>
      </w:r>
      <w:r w:rsidR="00430E22" w:rsidRPr="001D3414">
        <w:rPr>
          <w:rFonts w:ascii="Arial,Italic" w:hAnsi="Arial,Italic" w:cs="Arial,Italic"/>
          <w:b/>
          <w:iCs/>
          <w:sz w:val="20"/>
          <w:szCs w:val="20"/>
        </w:rPr>
        <w:t xml:space="preserve"> </w:t>
      </w:r>
      <w:r w:rsidR="00813F98" w:rsidRPr="001D3414">
        <w:rPr>
          <w:rFonts w:ascii="Arial,Italic" w:hAnsi="Arial,Italic" w:cs="Arial,Italic"/>
          <w:b/>
          <w:iCs/>
          <w:sz w:val="20"/>
          <w:szCs w:val="20"/>
        </w:rPr>
        <w:t xml:space="preserve">Procurador-Geral e pelo parcial provimento dos </w:t>
      </w:r>
      <w:r w:rsidR="00813F98" w:rsidRPr="001D3414">
        <w:rPr>
          <w:rFonts w:ascii="Arial,Italic" w:hAnsi="Arial,Italic" w:cs="Arial,Italic"/>
          <w:b/>
          <w:iCs/>
          <w:sz w:val="20"/>
          <w:szCs w:val="20"/>
        </w:rPr>
        <w:lastRenderedPageBreak/>
        <w:t>recursos</w:t>
      </w:r>
      <w:r w:rsidR="00430E22" w:rsidRPr="001D3414">
        <w:rPr>
          <w:rFonts w:ascii="Arial,Italic" w:hAnsi="Arial,Italic" w:cs="Arial,Italic"/>
          <w:b/>
          <w:iCs/>
          <w:sz w:val="20"/>
          <w:szCs w:val="20"/>
        </w:rPr>
        <w:t xml:space="preserve"> </w:t>
      </w:r>
      <w:r w:rsidR="00813F98" w:rsidRPr="001D3414">
        <w:rPr>
          <w:rFonts w:ascii="Arial,Italic" w:hAnsi="Arial,Italic" w:cs="Arial,Italic"/>
          <w:b/>
          <w:iCs/>
          <w:sz w:val="20"/>
          <w:szCs w:val="20"/>
        </w:rPr>
        <w:t>manejados pelos demais recorrentes, exclusivamente para</w:t>
      </w:r>
      <w:r w:rsidR="00430E22" w:rsidRPr="001D3414">
        <w:rPr>
          <w:rFonts w:ascii="Arial,Italic" w:hAnsi="Arial,Italic" w:cs="Arial,Italic"/>
          <w:b/>
          <w:iCs/>
          <w:sz w:val="20"/>
          <w:szCs w:val="20"/>
        </w:rPr>
        <w:t xml:space="preserve"> </w:t>
      </w:r>
      <w:r w:rsidR="00813F98" w:rsidRPr="001D3414">
        <w:rPr>
          <w:rFonts w:ascii="Arial,Italic" w:hAnsi="Arial,Italic" w:cs="Arial,Italic"/>
          <w:b/>
          <w:iCs/>
          <w:sz w:val="20"/>
          <w:szCs w:val="20"/>
        </w:rPr>
        <w:t>afastar as multas do acórdão recorrido. Manutenção da decisão</w:t>
      </w:r>
      <w:r w:rsidR="00430E22" w:rsidRPr="001D3414">
        <w:rPr>
          <w:rFonts w:ascii="Arial,Italic" w:hAnsi="Arial,Italic" w:cs="Arial,Italic"/>
          <w:b/>
          <w:iCs/>
          <w:sz w:val="20"/>
          <w:szCs w:val="20"/>
        </w:rPr>
        <w:t xml:space="preserve"> </w:t>
      </w:r>
      <w:r w:rsidR="00813F98" w:rsidRPr="001D3414">
        <w:rPr>
          <w:rFonts w:ascii="Arial,Italic" w:hAnsi="Arial,Italic" w:cs="Arial,Italic"/>
          <w:b/>
          <w:iCs/>
          <w:sz w:val="20"/>
          <w:szCs w:val="20"/>
        </w:rPr>
        <w:t>nos demais pontos.</w:t>
      </w:r>
    </w:p>
    <w:p w:rsidR="00350D77" w:rsidRDefault="00350D77" w:rsidP="003B023F">
      <w:pPr>
        <w:autoSpaceDE w:val="0"/>
        <w:autoSpaceDN w:val="0"/>
        <w:adjustRightInd w:val="0"/>
        <w:spacing w:after="0"/>
        <w:jc w:val="both"/>
        <w:rPr>
          <w:rFonts w:ascii="Arial" w:hAnsi="Arial" w:cs="Arial"/>
          <w:sz w:val="20"/>
          <w:szCs w:val="20"/>
        </w:rPr>
      </w:pPr>
    </w:p>
    <w:p w:rsidR="00B44B73" w:rsidRDefault="006D511D" w:rsidP="003B023F">
      <w:pPr>
        <w:autoSpaceDE w:val="0"/>
        <w:autoSpaceDN w:val="0"/>
        <w:adjustRightInd w:val="0"/>
        <w:spacing w:after="0"/>
        <w:jc w:val="both"/>
        <w:rPr>
          <w:rFonts w:ascii="Arial" w:hAnsi="Arial" w:cs="Arial"/>
          <w:sz w:val="20"/>
          <w:szCs w:val="20"/>
        </w:rPr>
      </w:pPr>
      <w:r>
        <w:rPr>
          <w:rFonts w:ascii="Arial" w:hAnsi="Arial" w:cs="Arial"/>
          <w:sz w:val="20"/>
          <w:szCs w:val="20"/>
        </w:rPr>
        <w:t>Manteve-se as recomendações e determinações consignadas no Acórdão recorrido, ressaltando a necessidade das demais gestões reestruturarem o quadro de servidores, consoante os critérios previstos no Prejulgado nº 6, e, principalmente, no recente Prejulgado nº 25 desta Corte de Contas.</w:t>
      </w:r>
    </w:p>
    <w:p w:rsidR="006D511D" w:rsidRDefault="006D511D" w:rsidP="003B023F">
      <w:pPr>
        <w:autoSpaceDE w:val="0"/>
        <w:autoSpaceDN w:val="0"/>
        <w:adjustRightInd w:val="0"/>
        <w:spacing w:after="0"/>
        <w:rPr>
          <w:rFonts w:ascii="Arial" w:hAnsi="Arial" w:cs="Arial"/>
          <w:sz w:val="20"/>
          <w:szCs w:val="20"/>
        </w:rPr>
      </w:pPr>
    </w:p>
    <w:p w:rsidR="00B44B73" w:rsidRDefault="00430E22" w:rsidP="003B023F">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w:t>
      </w:r>
      <w:r w:rsidR="00350D77">
        <w:rPr>
          <w:rFonts w:ascii="Arial" w:hAnsi="Arial" w:cs="Arial"/>
          <w:sz w:val="20"/>
          <w:szCs w:val="20"/>
        </w:rPr>
        <w:t xml:space="preserve">nº </w:t>
      </w:r>
      <w:r>
        <w:rPr>
          <w:rFonts w:ascii="Arial" w:hAnsi="Arial" w:cs="Arial"/>
          <w:sz w:val="20"/>
          <w:szCs w:val="20"/>
        </w:rPr>
        <w:t xml:space="preserve">836138/16 – </w:t>
      </w:r>
      <w:hyperlink r:id="rId16" w:history="1">
        <w:r w:rsidRPr="00350D77">
          <w:rPr>
            <w:rStyle w:val="Hyperlink"/>
            <w:rFonts w:ascii="Arial" w:hAnsi="Arial" w:cs="Arial"/>
            <w:sz w:val="20"/>
            <w:szCs w:val="20"/>
          </w:rPr>
          <w:t xml:space="preserve">Acórdão nº 580/18 – </w:t>
        </w:r>
        <w:r w:rsidR="00350D77" w:rsidRPr="00350D77">
          <w:rPr>
            <w:rStyle w:val="Hyperlink"/>
            <w:rFonts w:ascii="Arial" w:hAnsi="Arial" w:cs="Arial"/>
            <w:sz w:val="20"/>
            <w:szCs w:val="20"/>
          </w:rPr>
          <w:t>Tribunal Pleno</w:t>
        </w:r>
      </w:hyperlink>
      <w:r w:rsidR="00350D77">
        <w:rPr>
          <w:rFonts w:ascii="Arial" w:hAnsi="Arial" w:cs="Arial"/>
          <w:sz w:val="20"/>
          <w:szCs w:val="20"/>
        </w:rPr>
        <w:t xml:space="preserve"> - </w:t>
      </w:r>
      <w:r>
        <w:rPr>
          <w:rFonts w:ascii="Arial" w:hAnsi="Arial" w:cs="Arial"/>
          <w:sz w:val="20"/>
          <w:szCs w:val="20"/>
        </w:rPr>
        <w:t>Relator Conselheiro Iv</w:t>
      </w:r>
      <w:r w:rsidR="00FA2A1A">
        <w:rPr>
          <w:rFonts w:ascii="Arial" w:hAnsi="Arial" w:cs="Arial"/>
          <w:sz w:val="20"/>
          <w:szCs w:val="20"/>
        </w:rPr>
        <w:t>e</w:t>
      </w:r>
      <w:r>
        <w:rPr>
          <w:rFonts w:ascii="Arial" w:hAnsi="Arial" w:cs="Arial"/>
          <w:sz w:val="20"/>
          <w:szCs w:val="20"/>
        </w:rPr>
        <w:t>ns Z</w:t>
      </w:r>
      <w:r w:rsidR="00FA2A1A">
        <w:rPr>
          <w:rFonts w:ascii="Arial" w:hAnsi="Arial" w:cs="Arial"/>
          <w:sz w:val="20"/>
          <w:szCs w:val="20"/>
        </w:rPr>
        <w:t>schoerper</w:t>
      </w:r>
      <w:r>
        <w:rPr>
          <w:rFonts w:ascii="Arial" w:hAnsi="Arial" w:cs="Arial"/>
          <w:sz w:val="20"/>
          <w:szCs w:val="20"/>
        </w:rPr>
        <w:t xml:space="preserve"> Linh</w:t>
      </w:r>
      <w:r w:rsidR="00350D77">
        <w:rPr>
          <w:rFonts w:ascii="Arial" w:hAnsi="Arial" w:cs="Arial"/>
          <w:sz w:val="20"/>
          <w:szCs w:val="20"/>
        </w:rPr>
        <w:t>a</w:t>
      </w:r>
      <w:r>
        <w:rPr>
          <w:rFonts w:ascii="Arial" w:hAnsi="Arial" w:cs="Arial"/>
          <w:sz w:val="20"/>
          <w:szCs w:val="20"/>
        </w:rPr>
        <w:t>res.</w:t>
      </w:r>
    </w:p>
    <w:p w:rsidR="006D511D" w:rsidRPr="00290CBE" w:rsidRDefault="006D511D" w:rsidP="003B023F">
      <w:pPr>
        <w:autoSpaceDE w:val="0"/>
        <w:autoSpaceDN w:val="0"/>
        <w:adjustRightInd w:val="0"/>
        <w:spacing w:after="0"/>
        <w:jc w:val="both"/>
        <w:rPr>
          <w:rFonts w:ascii="Arial" w:hAnsi="Arial" w:cs="Arial"/>
          <w:sz w:val="20"/>
          <w:szCs w:val="20"/>
        </w:rPr>
      </w:pPr>
    </w:p>
    <w:p w:rsidR="006D511D" w:rsidRPr="00EF6E0E" w:rsidRDefault="00ED59DF" w:rsidP="003B023F">
      <w:pPr>
        <w:autoSpaceDE w:val="0"/>
        <w:autoSpaceDN w:val="0"/>
        <w:adjustRightInd w:val="0"/>
        <w:spacing w:after="0"/>
        <w:jc w:val="both"/>
        <w:rPr>
          <w:rFonts w:ascii="Arial,Italic" w:hAnsi="Arial,Italic" w:cs="Arial,Italic"/>
          <w:b/>
          <w:iCs/>
          <w:sz w:val="20"/>
          <w:szCs w:val="20"/>
        </w:rPr>
      </w:pPr>
      <w:r>
        <w:rPr>
          <w:rFonts w:ascii="Arial,Italic" w:hAnsi="Arial,Italic" w:cs="Arial,Italic"/>
          <w:b/>
          <w:iCs/>
          <w:sz w:val="20"/>
          <w:szCs w:val="20"/>
        </w:rPr>
        <w:t>10</w:t>
      </w:r>
      <w:r w:rsidR="00290CBE" w:rsidRPr="00EF6E0E">
        <w:rPr>
          <w:rFonts w:ascii="Arial,Italic" w:hAnsi="Arial,Italic" w:cs="Arial,Italic"/>
          <w:b/>
          <w:iCs/>
          <w:sz w:val="20"/>
          <w:szCs w:val="20"/>
        </w:rPr>
        <w:t xml:space="preserve">. </w:t>
      </w:r>
      <w:r w:rsidR="006D511D" w:rsidRPr="00EF6E0E">
        <w:rPr>
          <w:rFonts w:ascii="Arial,Italic" w:hAnsi="Arial,Italic" w:cs="Arial,Italic"/>
          <w:b/>
          <w:iCs/>
          <w:sz w:val="20"/>
          <w:szCs w:val="20"/>
        </w:rPr>
        <w:t>Exceção de suspeição</w:t>
      </w:r>
      <w:r w:rsidR="008A0839" w:rsidRPr="00EF6E0E">
        <w:rPr>
          <w:rFonts w:ascii="Arial,Italic" w:hAnsi="Arial,Italic" w:cs="Arial,Italic"/>
          <w:b/>
          <w:iCs/>
          <w:sz w:val="20"/>
          <w:szCs w:val="20"/>
        </w:rPr>
        <w:t xml:space="preserve"> em sede de Recurso</w:t>
      </w:r>
      <w:r w:rsidR="006D511D" w:rsidRPr="00EF6E0E">
        <w:rPr>
          <w:rFonts w:ascii="Arial,Italic" w:hAnsi="Arial,Italic" w:cs="Arial,Italic"/>
          <w:b/>
          <w:iCs/>
          <w:sz w:val="20"/>
          <w:szCs w:val="20"/>
        </w:rPr>
        <w:t>. Ausência de prejulgamento. Rejeição.</w:t>
      </w:r>
    </w:p>
    <w:p w:rsidR="00290CBE" w:rsidRDefault="00290CBE" w:rsidP="003B023F">
      <w:pPr>
        <w:autoSpaceDE w:val="0"/>
        <w:autoSpaceDN w:val="0"/>
        <w:adjustRightInd w:val="0"/>
        <w:spacing w:after="0"/>
        <w:jc w:val="both"/>
        <w:rPr>
          <w:rFonts w:ascii="Arial,Italic" w:hAnsi="Arial,Italic" w:cs="Arial,Italic"/>
          <w:iCs/>
          <w:sz w:val="20"/>
          <w:szCs w:val="20"/>
        </w:rPr>
      </w:pPr>
    </w:p>
    <w:p w:rsidR="00290CBE" w:rsidRDefault="00290CBE" w:rsidP="003B023F">
      <w:pPr>
        <w:autoSpaceDE w:val="0"/>
        <w:autoSpaceDN w:val="0"/>
        <w:adjustRightInd w:val="0"/>
        <w:spacing w:after="0"/>
        <w:jc w:val="both"/>
        <w:rPr>
          <w:rFonts w:ascii="Arial,Italic" w:hAnsi="Arial,Italic" w:cs="Arial,Italic"/>
          <w:iCs/>
          <w:sz w:val="20"/>
          <w:szCs w:val="20"/>
        </w:rPr>
      </w:pPr>
      <w:r>
        <w:rPr>
          <w:rFonts w:ascii="Arial,Italic" w:hAnsi="Arial,Italic" w:cs="Arial,Italic"/>
          <w:iCs/>
          <w:sz w:val="20"/>
          <w:szCs w:val="20"/>
        </w:rPr>
        <w:t xml:space="preserve">Exceção de suspeição formulada em sede de recurso, em que o recorrente sustenta que o Relator emitiu </w:t>
      </w:r>
      <w:r w:rsidR="008A0839">
        <w:rPr>
          <w:rFonts w:ascii="Arial,Italic" w:hAnsi="Arial,Italic" w:cs="Arial,Italic"/>
          <w:iCs/>
          <w:sz w:val="20"/>
          <w:szCs w:val="20"/>
        </w:rPr>
        <w:t>pre</w:t>
      </w:r>
      <w:r>
        <w:rPr>
          <w:rFonts w:ascii="Arial,Italic" w:hAnsi="Arial,Italic" w:cs="Arial,Italic"/>
          <w:iCs/>
          <w:sz w:val="20"/>
          <w:szCs w:val="20"/>
        </w:rPr>
        <w:t xml:space="preserve">julgamento de mérito ao proferir Despacho </w:t>
      </w:r>
      <w:r w:rsidR="00EF6E0E">
        <w:rPr>
          <w:rFonts w:ascii="Arial,Italic" w:hAnsi="Arial,Italic" w:cs="Arial,Italic"/>
          <w:iCs/>
          <w:sz w:val="20"/>
          <w:szCs w:val="20"/>
        </w:rPr>
        <w:t xml:space="preserve">que recebeu </w:t>
      </w:r>
      <w:r>
        <w:rPr>
          <w:rFonts w:ascii="Arial,Italic" w:hAnsi="Arial,Italic" w:cs="Arial,Italic"/>
          <w:iCs/>
          <w:sz w:val="20"/>
          <w:szCs w:val="20"/>
        </w:rPr>
        <w:t>pedido para abertura de prazo recursal, tor</w:t>
      </w:r>
      <w:r w:rsidR="008A0839">
        <w:rPr>
          <w:rFonts w:ascii="Arial,Italic" w:hAnsi="Arial,Italic" w:cs="Arial,Italic"/>
          <w:iCs/>
          <w:sz w:val="20"/>
          <w:szCs w:val="20"/>
        </w:rPr>
        <w:t>n</w:t>
      </w:r>
      <w:r>
        <w:rPr>
          <w:rFonts w:ascii="Arial,Italic" w:hAnsi="Arial,Italic" w:cs="Arial,Italic"/>
          <w:iCs/>
          <w:sz w:val="20"/>
          <w:szCs w:val="20"/>
        </w:rPr>
        <w:t>ando-o suspeito para julga</w:t>
      </w:r>
      <w:r w:rsidR="00D91E09">
        <w:rPr>
          <w:rFonts w:ascii="Arial,Italic" w:hAnsi="Arial,Italic" w:cs="Arial,Italic"/>
          <w:iCs/>
          <w:sz w:val="20"/>
          <w:szCs w:val="20"/>
        </w:rPr>
        <w:t xml:space="preserve">r </w:t>
      </w:r>
      <w:r>
        <w:rPr>
          <w:rFonts w:ascii="Arial,Italic" w:hAnsi="Arial,Italic" w:cs="Arial,Italic"/>
          <w:iCs/>
          <w:sz w:val="20"/>
          <w:szCs w:val="20"/>
        </w:rPr>
        <w:t>o mérito.</w:t>
      </w:r>
      <w:r w:rsidR="008A0839">
        <w:rPr>
          <w:rFonts w:ascii="Arial,Italic" w:hAnsi="Arial,Italic" w:cs="Arial,Italic"/>
          <w:iCs/>
          <w:sz w:val="20"/>
          <w:szCs w:val="20"/>
        </w:rPr>
        <w:t xml:space="preserve"> </w:t>
      </w:r>
      <w:r w:rsidR="001D3414">
        <w:rPr>
          <w:rFonts w:ascii="Arial,Italic" w:hAnsi="Arial,Italic" w:cs="Arial,Italic"/>
          <w:iCs/>
          <w:sz w:val="20"/>
          <w:szCs w:val="20"/>
        </w:rPr>
        <w:t xml:space="preserve"> </w:t>
      </w:r>
      <w:r w:rsidR="00EF6E0E">
        <w:rPr>
          <w:rFonts w:ascii="Arial,Italic" w:hAnsi="Arial,Italic" w:cs="Arial,Italic"/>
          <w:iCs/>
          <w:sz w:val="20"/>
          <w:szCs w:val="20"/>
        </w:rPr>
        <w:t xml:space="preserve">O </w:t>
      </w:r>
      <w:r w:rsidR="008A0839">
        <w:rPr>
          <w:rFonts w:ascii="Arial,Italic" w:hAnsi="Arial,Italic" w:cs="Arial,Italic"/>
          <w:iCs/>
          <w:sz w:val="20"/>
          <w:szCs w:val="20"/>
        </w:rPr>
        <w:t xml:space="preserve">Despacho recorrido deixou de conhecer pedido de Rescisão por não se encontrar configurada a hipótese de violação de literal dispositivo de lei. </w:t>
      </w:r>
      <w:r w:rsidR="00EF6E0E">
        <w:rPr>
          <w:rFonts w:ascii="Arial,Italic" w:hAnsi="Arial,Italic" w:cs="Arial,Italic"/>
          <w:iCs/>
          <w:sz w:val="20"/>
          <w:szCs w:val="20"/>
        </w:rPr>
        <w:t>Houve n</w:t>
      </w:r>
      <w:r w:rsidR="008A0839">
        <w:rPr>
          <w:rFonts w:ascii="Arial,Italic" w:hAnsi="Arial,Italic" w:cs="Arial,Italic"/>
          <w:iCs/>
          <w:sz w:val="20"/>
          <w:szCs w:val="20"/>
        </w:rPr>
        <w:t>ovo pedido requerendo o reconhecimento de nulidade da intimação da parte e de seu procurador, bem como análise de novos documentos.</w:t>
      </w:r>
      <w:r w:rsidR="00381B72">
        <w:rPr>
          <w:rFonts w:ascii="Arial,Italic" w:hAnsi="Arial,Italic" w:cs="Arial,Italic"/>
          <w:iCs/>
          <w:sz w:val="20"/>
          <w:szCs w:val="20"/>
        </w:rPr>
        <w:t xml:space="preserve"> Ao apreciar o requerimento, foi proferido n</w:t>
      </w:r>
      <w:r w:rsidR="008A0839">
        <w:rPr>
          <w:rFonts w:ascii="Arial,Italic" w:hAnsi="Arial,Italic" w:cs="Arial,Italic"/>
          <w:iCs/>
          <w:sz w:val="20"/>
          <w:szCs w:val="20"/>
        </w:rPr>
        <w:t>ovo despacho dando parcial procedência</w:t>
      </w:r>
      <w:r w:rsidR="00AE5D09">
        <w:rPr>
          <w:rFonts w:ascii="Arial,Italic" w:hAnsi="Arial,Italic" w:cs="Arial,Italic"/>
          <w:iCs/>
          <w:sz w:val="20"/>
          <w:szCs w:val="20"/>
        </w:rPr>
        <w:t>, reabrindo prazo recursal e ratificando posicionamento pelo não conhecimento do pedido rescisório haja vista que referida juntada não teria alterado o entendimento esposado no despacho anterior</w:t>
      </w:r>
      <w:r w:rsidR="00EF6E0E">
        <w:rPr>
          <w:rFonts w:ascii="Arial,Italic" w:hAnsi="Arial,Italic" w:cs="Arial,Italic"/>
          <w:iCs/>
          <w:sz w:val="20"/>
          <w:szCs w:val="20"/>
        </w:rPr>
        <w:t xml:space="preserve">. Não </w:t>
      </w:r>
      <w:r w:rsidR="00AE5D09">
        <w:rPr>
          <w:rFonts w:ascii="Arial,Italic" w:hAnsi="Arial,Italic" w:cs="Arial,Italic"/>
          <w:iCs/>
          <w:sz w:val="20"/>
          <w:szCs w:val="20"/>
        </w:rPr>
        <w:t>configura</w:t>
      </w:r>
      <w:r w:rsidR="00EF6E0E">
        <w:rPr>
          <w:rFonts w:ascii="Arial,Italic" w:hAnsi="Arial,Italic" w:cs="Arial,Italic"/>
          <w:iCs/>
          <w:sz w:val="20"/>
          <w:szCs w:val="20"/>
        </w:rPr>
        <w:t>ção d</w:t>
      </w:r>
      <w:r w:rsidR="00AE5D09">
        <w:rPr>
          <w:rFonts w:ascii="Arial,Italic" w:hAnsi="Arial,Italic" w:cs="Arial,Italic"/>
          <w:iCs/>
          <w:sz w:val="20"/>
          <w:szCs w:val="20"/>
        </w:rPr>
        <w:t>o citado prejulgamento irregular, uma vez que a decisão se restringiu a deliberar sobre os pedidos formulados pelo excipiente em seu requerimento.</w:t>
      </w:r>
    </w:p>
    <w:p w:rsidR="00290CBE" w:rsidRDefault="00290CBE" w:rsidP="003B023F">
      <w:pPr>
        <w:autoSpaceDE w:val="0"/>
        <w:autoSpaceDN w:val="0"/>
        <w:adjustRightInd w:val="0"/>
        <w:spacing w:after="0"/>
        <w:jc w:val="both"/>
        <w:rPr>
          <w:rFonts w:ascii="Arial,Italic" w:hAnsi="Arial,Italic" w:cs="Arial,Italic"/>
          <w:iCs/>
          <w:sz w:val="20"/>
          <w:szCs w:val="20"/>
        </w:rPr>
      </w:pPr>
    </w:p>
    <w:p w:rsidR="00290CBE" w:rsidRPr="00290CBE" w:rsidRDefault="00290CBE" w:rsidP="003B023F">
      <w:pPr>
        <w:autoSpaceDE w:val="0"/>
        <w:autoSpaceDN w:val="0"/>
        <w:adjustRightInd w:val="0"/>
        <w:spacing w:after="0"/>
        <w:jc w:val="both"/>
        <w:rPr>
          <w:rFonts w:ascii="Arial" w:hAnsi="Arial" w:cs="Arial"/>
          <w:sz w:val="20"/>
          <w:szCs w:val="20"/>
        </w:rPr>
      </w:pPr>
      <w:r>
        <w:rPr>
          <w:rFonts w:ascii="Arial,Italic" w:hAnsi="Arial,Italic" w:cs="Arial,Italic"/>
          <w:iCs/>
          <w:sz w:val="20"/>
          <w:szCs w:val="20"/>
        </w:rPr>
        <w:t xml:space="preserve">Processo nº 738047/17 – </w:t>
      </w:r>
      <w:hyperlink r:id="rId17" w:history="1">
        <w:r w:rsidRPr="00290CBE">
          <w:rPr>
            <w:rStyle w:val="Hyperlink"/>
            <w:rFonts w:ascii="Arial,Italic" w:hAnsi="Arial,Italic" w:cs="Arial,Italic"/>
            <w:sz w:val="20"/>
            <w:szCs w:val="20"/>
          </w:rPr>
          <w:t>Acórdão nº 585/18 – Tribunal Pleno</w:t>
        </w:r>
      </w:hyperlink>
      <w:r>
        <w:rPr>
          <w:rFonts w:ascii="Arial,Italic" w:hAnsi="Arial,Italic" w:cs="Arial,Italic"/>
          <w:iCs/>
          <w:sz w:val="20"/>
          <w:szCs w:val="20"/>
        </w:rPr>
        <w:t xml:space="preserve"> – Relator Conselheiro Ivens Zschoerper Linhares. </w:t>
      </w:r>
    </w:p>
    <w:p w:rsidR="00B44B73" w:rsidRDefault="00B44B73" w:rsidP="00716F1C">
      <w:pPr>
        <w:autoSpaceDE w:val="0"/>
        <w:autoSpaceDN w:val="0"/>
        <w:adjustRightInd w:val="0"/>
        <w:spacing w:after="0" w:line="240" w:lineRule="auto"/>
        <w:rPr>
          <w:rFonts w:ascii="Arial" w:hAnsi="Arial" w:cs="Arial"/>
          <w:sz w:val="20"/>
          <w:szCs w:val="20"/>
        </w:rPr>
      </w:pPr>
    </w:p>
    <w:p w:rsidR="003B023F" w:rsidRDefault="003B023F" w:rsidP="00716F1C">
      <w:pPr>
        <w:autoSpaceDE w:val="0"/>
        <w:autoSpaceDN w:val="0"/>
        <w:adjustRightInd w:val="0"/>
        <w:spacing w:after="0" w:line="240" w:lineRule="auto"/>
        <w:rPr>
          <w:rFonts w:ascii="Arial" w:hAnsi="Arial" w:cs="Arial"/>
          <w:sz w:val="20"/>
          <w:szCs w:val="20"/>
        </w:rPr>
      </w:pPr>
    </w:p>
    <w:p w:rsidR="00E8762F" w:rsidRPr="0022060B" w:rsidRDefault="00E8762F" w:rsidP="00716F1C">
      <w:pPr>
        <w:autoSpaceDE w:val="0"/>
        <w:autoSpaceDN w:val="0"/>
        <w:adjustRightInd w:val="0"/>
        <w:spacing w:after="0" w:line="240" w:lineRule="auto"/>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13605B" w:rsidRDefault="0013605B" w:rsidP="006E12D5">
      <w:pPr>
        <w:spacing w:after="0"/>
        <w:jc w:val="both"/>
        <w:rPr>
          <w:rFonts w:ascii="Arial" w:hAnsi="Arial" w:cs="Arial"/>
          <w:b/>
          <w:color w:val="000000"/>
          <w:sz w:val="20"/>
          <w:szCs w:val="20"/>
        </w:rPr>
      </w:pPr>
    </w:p>
    <w:p w:rsidR="0013605B" w:rsidRPr="0098552B" w:rsidRDefault="007C1B90" w:rsidP="006E12D5">
      <w:pPr>
        <w:spacing w:after="0"/>
        <w:jc w:val="both"/>
        <w:rPr>
          <w:rFonts w:ascii="Arial" w:hAnsi="Arial" w:cs="Arial"/>
          <w:b/>
          <w:sz w:val="20"/>
          <w:szCs w:val="20"/>
        </w:rPr>
      </w:pPr>
      <w:hyperlink r:id="rId18" w:history="1">
        <w:r w:rsidR="0098552B" w:rsidRPr="007D5D05">
          <w:rPr>
            <w:rStyle w:val="Hyperlink"/>
            <w:rFonts w:ascii="Arial" w:hAnsi="Arial" w:cs="Arial"/>
            <w:b/>
            <w:sz w:val="20"/>
            <w:szCs w:val="20"/>
            <w:shd w:val="clear" w:color="auto" w:fill="FFFFFF"/>
          </w:rPr>
          <w:t>REsp 1.411.258-RS</w:t>
        </w:r>
      </w:hyperlink>
      <w:r w:rsidR="0098552B" w:rsidRPr="0098552B">
        <w:rPr>
          <w:rFonts w:ascii="Arial" w:hAnsi="Arial" w:cs="Arial"/>
          <w:b/>
          <w:sz w:val="20"/>
          <w:szCs w:val="20"/>
          <w:shd w:val="clear" w:color="auto" w:fill="FFFFFF"/>
        </w:rPr>
        <w:t xml:space="preserve">, </w:t>
      </w:r>
      <w:r w:rsidR="0098552B" w:rsidRPr="001D3414">
        <w:rPr>
          <w:rFonts w:ascii="Arial" w:hAnsi="Arial" w:cs="Arial"/>
          <w:sz w:val="20"/>
          <w:szCs w:val="20"/>
          <w:shd w:val="clear" w:color="auto" w:fill="FFFFFF"/>
        </w:rPr>
        <w:t>Rel. Min. Napoleão Nunes Maia Filho, Primeira Seção, por unanimidade, julgado em 11/10/2017, DJe 21/02/2018. (Tema 732</w:t>
      </w:r>
      <w:r w:rsidR="007D5D05" w:rsidRPr="001D3414">
        <w:rPr>
          <w:rFonts w:ascii="Arial" w:hAnsi="Arial" w:cs="Arial"/>
          <w:sz w:val="20"/>
          <w:szCs w:val="20"/>
          <w:shd w:val="clear" w:color="auto" w:fill="FFFFFF"/>
        </w:rPr>
        <w:t xml:space="preserve"> dos Recursos Repetitivos</w:t>
      </w:r>
      <w:r w:rsidR="0098552B" w:rsidRPr="001D3414">
        <w:rPr>
          <w:rFonts w:ascii="Arial" w:hAnsi="Arial" w:cs="Arial"/>
          <w:sz w:val="20"/>
          <w:szCs w:val="20"/>
          <w:shd w:val="clear" w:color="auto" w:fill="FFFFFF"/>
        </w:rPr>
        <w:t>).</w:t>
      </w:r>
    </w:p>
    <w:p w:rsidR="0013605B" w:rsidRPr="0098552B" w:rsidRDefault="0013605B" w:rsidP="006E12D5">
      <w:pPr>
        <w:spacing w:after="0"/>
        <w:jc w:val="both"/>
        <w:rPr>
          <w:rFonts w:ascii="Arial" w:hAnsi="Arial" w:cs="Arial"/>
          <w:b/>
          <w:sz w:val="20"/>
          <w:szCs w:val="20"/>
        </w:rPr>
      </w:pPr>
    </w:p>
    <w:p w:rsidR="0098552B" w:rsidRPr="0098552B" w:rsidRDefault="0098552B" w:rsidP="006E12D5">
      <w:pPr>
        <w:spacing w:after="0"/>
        <w:jc w:val="both"/>
        <w:rPr>
          <w:rFonts w:ascii="Arial" w:hAnsi="Arial" w:cs="Arial"/>
          <w:b/>
          <w:sz w:val="20"/>
          <w:szCs w:val="20"/>
          <w:shd w:val="clear" w:color="auto" w:fill="FFFFFF"/>
        </w:rPr>
      </w:pPr>
      <w:r w:rsidRPr="0098552B">
        <w:rPr>
          <w:rFonts w:ascii="Arial" w:hAnsi="Arial" w:cs="Arial"/>
          <w:b/>
          <w:sz w:val="20"/>
          <w:szCs w:val="20"/>
          <w:shd w:val="clear" w:color="auto" w:fill="FFFFFF"/>
        </w:rPr>
        <w:t xml:space="preserve">Menor sob guarda judicial. Dependente econômico. Óbito do instituidor da pensão em data posterior à vigência da MP 1.523/1996, reeditada e convertida na Lei n. 9.528/1997. Manutenção do benefício previdenciário. Proibição de retrocesso. Diretrizes </w:t>
      </w:r>
      <w:r w:rsidRPr="0098552B">
        <w:rPr>
          <w:rFonts w:ascii="Arial" w:hAnsi="Arial" w:cs="Arial"/>
          <w:b/>
          <w:sz w:val="20"/>
          <w:szCs w:val="20"/>
          <w:shd w:val="clear" w:color="auto" w:fill="FFFFFF"/>
        </w:rPr>
        <w:lastRenderedPageBreak/>
        <w:t>constitucionais de isonomia, prioridade absoluta e proteção integral à criança e ao adolescente.</w:t>
      </w:r>
    </w:p>
    <w:p w:rsidR="0098552B" w:rsidRPr="0098552B" w:rsidRDefault="0098552B" w:rsidP="006E12D5">
      <w:pPr>
        <w:spacing w:after="0"/>
        <w:jc w:val="both"/>
        <w:rPr>
          <w:rFonts w:ascii="Arial" w:hAnsi="Arial" w:cs="Arial"/>
          <w:b/>
          <w:sz w:val="20"/>
          <w:szCs w:val="20"/>
          <w:shd w:val="clear" w:color="auto" w:fill="FFFFFF"/>
        </w:rPr>
      </w:pPr>
    </w:p>
    <w:p w:rsidR="0098552B" w:rsidRDefault="0098552B" w:rsidP="006E12D5">
      <w:pPr>
        <w:spacing w:after="0"/>
        <w:jc w:val="both"/>
        <w:rPr>
          <w:rFonts w:ascii="Arial" w:hAnsi="Arial" w:cs="Arial"/>
          <w:sz w:val="20"/>
          <w:szCs w:val="20"/>
          <w:shd w:val="clear" w:color="auto" w:fill="FFFFFF"/>
        </w:rPr>
      </w:pPr>
      <w:r w:rsidRPr="0098552B">
        <w:rPr>
          <w:rFonts w:ascii="Arial" w:hAnsi="Arial" w:cs="Arial"/>
          <w:sz w:val="20"/>
          <w:szCs w:val="20"/>
          <w:shd w:val="clear" w:color="auto" w:fill="FFFFFF"/>
        </w:rPr>
        <w:t>O menor sob guarda tem direito à concessão do benefício de pensão por morte do seu mantenedor, comprovada sua dependência econômica, nos termos do art. 33, § 3º do Estatuto da Criança e do Adolescente, ainda que o óbito do instituidor da pensão seja posterior à vigência da Medida Provisória 1.523/96, reeditada e convertida na Lei n. 9.528/97. Funda-se essa conclusão na qualidade de lei especial do Estatuto da Criança e do Adolescente (8.069/90), frente à legislação previdenciária.</w:t>
      </w:r>
    </w:p>
    <w:p w:rsidR="0098552B" w:rsidRPr="0098552B" w:rsidRDefault="0098552B" w:rsidP="006E12D5">
      <w:pPr>
        <w:spacing w:after="0"/>
        <w:jc w:val="both"/>
        <w:rPr>
          <w:rFonts w:ascii="Arial" w:hAnsi="Arial" w:cs="Arial"/>
          <w:sz w:val="20"/>
          <w:szCs w:val="20"/>
        </w:rPr>
      </w:pPr>
    </w:p>
    <w:p w:rsidR="000800D1" w:rsidRPr="00DB558E"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434F2A" w:rsidRDefault="00434F2A" w:rsidP="00EA653D">
      <w:pPr>
        <w:widowControl w:val="0"/>
        <w:autoSpaceDE w:val="0"/>
        <w:autoSpaceDN w:val="0"/>
        <w:jc w:val="both"/>
        <w:rPr>
          <w:rFonts w:ascii="Arial" w:hAnsi="Arial"/>
          <w:b/>
          <w:sz w:val="20"/>
          <w:szCs w:val="20"/>
        </w:rPr>
      </w:pPr>
    </w:p>
    <w:p w:rsidR="000B04A0" w:rsidRPr="001E75A7" w:rsidRDefault="007C1B90" w:rsidP="00EA653D">
      <w:pPr>
        <w:widowControl w:val="0"/>
        <w:autoSpaceDE w:val="0"/>
        <w:autoSpaceDN w:val="0"/>
        <w:jc w:val="both"/>
        <w:rPr>
          <w:rFonts w:ascii="Arial" w:hAnsi="Arial" w:cs="Arial"/>
          <w:b/>
          <w:sz w:val="20"/>
          <w:szCs w:val="20"/>
        </w:rPr>
      </w:pPr>
      <w:hyperlink r:id="rId19" w:history="1">
        <w:r w:rsidR="000B04A0" w:rsidRPr="00F45877">
          <w:rPr>
            <w:rStyle w:val="Hyperlink"/>
            <w:rFonts w:ascii="Arial" w:hAnsi="Arial"/>
            <w:b/>
            <w:sz w:val="20"/>
            <w:szCs w:val="20"/>
          </w:rPr>
          <w:t>Acórdão 11215/2017</w:t>
        </w:r>
        <w:r w:rsidR="00DE7E0D" w:rsidRPr="00F45877">
          <w:rPr>
            <w:rStyle w:val="Hyperlink"/>
            <w:rFonts w:ascii="Arial" w:hAnsi="Arial"/>
            <w:b/>
            <w:sz w:val="20"/>
            <w:szCs w:val="20"/>
          </w:rPr>
          <w:t xml:space="preserve"> -</w:t>
        </w:r>
        <w:r w:rsidR="000B04A0" w:rsidRPr="00F45877">
          <w:rPr>
            <w:rStyle w:val="Hyperlink"/>
            <w:rFonts w:ascii="Arial" w:hAnsi="Arial"/>
            <w:b/>
            <w:sz w:val="20"/>
            <w:szCs w:val="20"/>
          </w:rPr>
          <w:t xml:space="preserve"> Primeira Câmara</w:t>
        </w:r>
      </w:hyperlink>
      <w:r w:rsidR="000B04A0" w:rsidRPr="001E75A7">
        <w:rPr>
          <w:rFonts w:ascii="Arial" w:hAnsi="Arial"/>
          <w:b/>
          <w:sz w:val="20"/>
          <w:szCs w:val="20"/>
        </w:rPr>
        <w:t xml:space="preserve"> </w:t>
      </w:r>
      <w:r w:rsidR="000B04A0" w:rsidRPr="001E75A7">
        <w:rPr>
          <w:rFonts w:ascii="Arial" w:hAnsi="Arial"/>
          <w:sz w:val="20"/>
          <w:szCs w:val="20"/>
        </w:rPr>
        <w:t>(Monitoramento, Relator Ministro Walton Alencar Rodrigues)</w:t>
      </w:r>
    </w:p>
    <w:p w:rsidR="000B04A0" w:rsidRPr="000A3E63" w:rsidRDefault="000B04A0" w:rsidP="00EA653D">
      <w:pPr>
        <w:jc w:val="both"/>
        <w:rPr>
          <w:rFonts w:ascii="Arial" w:hAnsi="Arial" w:cs="Arial"/>
          <w:b/>
          <w:sz w:val="20"/>
          <w:szCs w:val="20"/>
        </w:rPr>
      </w:pPr>
      <w:r w:rsidRPr="000A3E63">
        <w:rPr>
          <w:rFonts w:ascii="Arial" w:hAnsi="Arial"/>
          <w:b/>
          <w:sz w:val="20"/>
          <w:szCs w:val="20"/>
        </w:rPr>
        <w:t>Adicional por tempo de serviço. Cálculo. Interrupção. Vínculo.</w:t>
      </w:r>
    </w:p>
    <w:p w:rsidR="000B04A0" w:rsidRPr="001E75A7" w:rsidRDefault="000B04A0" w:rsidP="00EA653D">
      <w:pPr>
        <w:pStyle w:val="TCU-Epgrafe"/>
        <w:spacing w:after="200" w:line="276" w:lineRule="auto"/>
        <w:ind w:left="0"/>
        <w:rPr>
          <w:rFonts w:ascii="Arial" w:hAnsi="Arial"/>
          <w:sz w:val="20"/>
        </w:rPr>
      </w:pPr>
      <w:r w:rsidRPr="001E75A7">
        <w:rPr>
          <w:rFonts w:ascii="Arial" w:hAnsi="Arial"/>
          <w:sz w:val="20"/>
        </w:rPr>
        <w:t>A contagem de tempo relativo a cargo público pregresso para percepção de adicional por tempo de serviço somente é permitida quando não houver rompimento do vínculo jurídico do servidor, ou seja, quando existir simultaneidade entre a vacância de um cargo e a ocupação de outro.</w:t>
      </w:r>
    </w:p>
    <w:p w:rsidR="00220BB1" w:rsidRPr="001E75A7" w:rsidRDefault="007C1B90" w:rsidP="00220BB1">
      <w:pPr>
        <w:widowControl w:val="0"/>
        <w:autoSpaceDE w:val="0"/>
        <w:autoSpaceDN w:val="0"/>
        <w:jc w:val="both"/>
        <w:rPr>
          <w:rFonts w:ascii="Arial" w:hAnsi="Arial" w:cs="Arial"/>
          <w:b/>
          <w:sz w:val="20"/>
          <w:szCs w:val="20"/>
        </w:rPr>
      </w:pPr>
      <w:hyperlink r:id="rId20" w:history="1">
        <w:r w:rsidR="00220BB1" w:rsidRPr="000D01B8">
          <w:rPr>
            <w:rStyle w:val="Hyperlink"/>
            <w:rFonts w:ascii="Arial" w:hAnsi="Arial"/>
            <w:b/>
            <w:sz w:val="20"/>
            <w:szCs w:val="20"/>
          </w:rPr>
          <w:t>Acórdão 11230/2017</w:t>
        </w:r>
        <w:r w:rsidR="000D01B8" w:rsidRPr="000D01B8">
          <w:rPr>
            <w:rStyle w:val="Hyperlink"/>
            <w:rFonts w:ascii="Arial" w:hAnsi="Arial"/>
            <w:b/>
            <w:sz w:val="20"/>
            <w:szCs w:val="20"/>
          </w:rPr>
          <w:t xml:space="preserve"> - </w:t>
        </w:r>
        <w:r w:rsidR="00220BB1" w:rsidRPr="000D01B8">
          <w:rPr>
            <w:rStyle w:val="Hyperlink"/>
            <w:rFonts w:ascii="Arial" w:hAnsi="Arial"/>
            <w:b/>
            <w:sz w:val="20"/>
            <w:szCs w:val="20"/>
          </w:rPr>
          <w:t>Primeira Câmara</w:t>
        </w:r>
      </w:hyperlink>
      <w:r w:rsidR="00220BB1" w:rsidRPr="001E75A7">
        <w:rPr>
          <w:rFonts w:ascii="Arial" w:hAnsi="Arial"/>
          <w:b/>
          <w:sz w:val="20"/>
          <w:szCs w:val="20"/>
        </w:rPr>
        <w:t xml:space="preserve"> </w:t>
      </w:r>
      <w:r w:rsidR="00220BB1" w:rsidRPr="001E75A7">
        <w:rPr>
          <w:rFonts w:ascii="Arial" w:hAnsi="Arial"/>
          <w:sz w:val="20"/>
          <w:szCs w:val="20"/>
        </w:rPr>
        <w:t>(Aposentadoria, Relator Ministro Benjamin Zymler)</w:t>
      </w:r>
    </w:p>
    <w:p w:rsidR="00220BB1" w:rsidRPr="000A3E63" w:rsidRDefault="00220BB1" w:rsidP="00220BB1">
      <w:pPr>
        <w:jc w:val="both"/>
        <w:rPr>
          <w:rFonts w:ascii="Arial" w:hAnsi="Arial" w:cs="Arial"/>
          <w:b/>
          <w:sz w:val="20"/>
          <w:szCs w:val="20"/>
        </w:rPr>
      </w:pPr>
      <w:r w:rsidRPr="000A3E63">
        <w:rPr>
          <w:rFonts w:ascii="Arial" w:hAnsi="Arial"/>
          <w:b/>
          <w:sz w:val="20"/>
          <w:szCs w:val="20"/>
        </w:rPr>
        <w:t>Remuneração. Decisão judicial. Metodologia. Plano econômico. Princípio do non bis in idem. Incorporação.</w:t>
      </w:r>
    </w:p>
    <w:p w:rsidR="00220BB1" w:rsidRPr="001E75A7" w:rsidRDefault="00220BB1" w:rsidP="00220BB1">
      <w:pPr>
        <w:pStyle w:val="TCU-Epgrafe"/>
        <w:spacing w:after="200" w:line="276" w:lineRule="auto"/>
        <w:ind w:left="0"/>
        <w:rPr>
          <w:sz w:val="20"/>
        </w:rPr>
      </w:pPr>
      <w:r w:rsidRPr="001E75A7">
        <w:rPr>
          <w:rFonts w:ascii="Arial" w:hAnsi="Arial"/>
          <w:sz w:val="20"/>
        </w:rPr>
        <w:t xml:space="preserve">A manutenção em destacado </w:t>
      </w:r>
      <w:r w:rsidR="0064171C" w:rsidRPr="001E75A7">
        <w:rPr>
          <w:rFonts w:ascii="Arial" w:hAnsi="Arial"/>
          <w:sz w:val="20"/>
        </w:rPr>
        <w:t>-</w:t>
      </w:r>
      <w:r w:rsidRPr="001E75A7">
        <w:rPr>
          <w:rFonts w:ascii="Arial" w:hAnsi="Arial"/>
          <w:sz w:val="20"/>
        </w:rPr>
        <w:t xml:space="preserve"> imunes de absorção por novas estruturas remuneratórias – de rubricas alusivas a índices pretéritos de reposição salarial, supostamente amparadas por decisões judiciais, além de ensejar pagamentos em duplicidade, desnaturando as respectivas sentenças, ofende o princípio da reserva legal para fixação dos vencimentos do funcionalismo.</w:t>
      </w:r>
    </w:p>
    <w:p w:rsidR="0064171C" w:rsidRPr="001E75A7" w:rsidRDefault="007C1B90" w:rsidP="0064171C">
      <w:pPr>
        <w:widowControl w:val="0"/>
        <w:autoSpaceDE w:val="0"/>
        <w:autoSpaceDN w:val="0"/>
        <w:jc w:val="both"/>
        <w:rPr>
          <w:rFonts w:ascii="Arial" w:hAnsi="Arial" w:cs="Arial"/>
          <w:b/>
          <w:sz w:val="20"/>
          <w:szCs w:val="20"/>
        </w:rPr>
      </w:pPr>
      <w:hyperlink r:id="rId21" w:history="1">
        <w:r w:rsidR="0064171C" w:rsidRPr="00C41AA8">
          <w:rPr>
            <w:rStyle w:val="Hyperlink"/>
            <w:rFonts w:ascii="Arial" w:hAnsi="Arial" w:cs="Arial"/>
            <w:b/>
            <w:sz w:val="20"/>
            <w:szCs w:val="20"/>
          </w:rPr>
          <w:t>Acórdão 201/2018 Plenário</w:t>
        </w:r>
      </w:hyperlink>
      <w:r w:rsidR="0064171C" w:rsidRPr="001E75A7">
        <w:rPr>
          <w:rFonts w:ascii="Arial" w:hAnsi="Arial" w:cs="Arial"/>
          <w:b/>
          <w:sz w:val="20"/>
          <w:szCs w:val="20"/>
        </w:rPr>
        <w:t xml:space="preserve"> </w:t>
      </w:r>
      <w:r w:rsidR="0064171C" w:rsidRPr="001E75A7">
        <w:rPr>
          <w:rFonts w:ascii="Arial" w:hAnsi="Arial" w:cs="Arial"/>
          <w:sz w:val="20"/>
          <w:szCs w:val="20"/>
        </w:rPr>
        <w:t>(Prestação de Contas Simplificada, Relator Ministro Benjamin Zymler)</w:t>
      </w:r>
    </w:p>
    <w:p w:rsidR="0064171C" w:rsidRPr="000A3E63" w:rsidRDefault="0064171C" w:rsidP="0064171C">
      <w:pPr>
        <w:jc w:val="both"/>
        <w:rPr>
          <w:rFonts w:ascii="Arial" w:hAnsi="Arial" w:cs="Arial"/>
          <w:b/>
          <w:sz w:val="20"/>
          <w:szCs w:val="20"/>
        </w:rPr>
      </w:pPr>
      <w:r w:rsidRPr="000A3E63">
        <w:rPr>
          <w:rFonts w:ascii="Arial" w:hAnsi="Arial" w:cs="Arial"/>
          <w:b/>
          <w:sz w:val="20"/>
          <w:szCs w:val="20"/>
        </w:rPr>
        <w:t>Contrato Administrativo. Obras e serviços de engenharia. Superfaturamento. Referência. Índice de preços. Correção.</w:t>
      </w:r>
    </w:p>
    <w:p w:rsidR="0064171C" w:rsidRPr="001E75A7" w:rsidRDefault="0064171C" w:rsidP="0064171C">
      <w:pPr>
        <w:pStyle w:val="TCU-Epgrafe"/>
        <w:spacing w:after="200" w:line="276" w:lineRule="auto"/>
        <w:ind w:left="0"/>
        <w:rPr>
          <w:rFonts w:ascii="Arial" w:hAnsi="Arial" w:cs="Arial"/>
          <w:sz w:val="20"/>
        </w:rPr>
      </w:pPr>
      <w:r w:rsidRPr="001E75A7">
        <w:rPr>
          <w:rFonts w:ascii="Arial" w:hAnsi="Arial" w:cs="Arial"/>
          <w:sz w:val="20"/>
        </w:rPr>
        <w:t>A confrontação do orçamento contratado com outro elaborado com parâmetros de custo obtidos depois de vários anos é imprópria para aferição de adequação da proposta contratada com valores de mercado, isso porque as correções de preços por índices em datas demasiadamente longas não conseguem reproduzir as exatas condições da obra à época da assinatura do contrato ou da celebração dos aditivos.</w:t>
      </w:r>
    </w:p>
    <w:p w:rsidR="00A44DDA" w:rsidRPr="001E75A7" w:rsidRDefault="007C1B90" w:rsidP="00A44DDA">
      <w:pPr>
        <w:widowControl w:val="0"/>
        <w:autoSpaceDE w:val="0"/>
        <w:autoSpaceDN w:val="0"/>
        <w:jc w:val="both"/>
        <w:rPr>
          <w:rFonts w:ascii="Arial" w:hAnsi="Arial" w:cs="Arial"/>
          <w:b/>
          <w:sz w:val="20"/>
          <w:szCs w:val="20"/>
        </w:rPr>
      </w:pPr>
      <w:hyperlink r:id="rId22" w:history="1">
        <w:r w:rsidR="00A44DDA" w:rsidRPr="004549CF">
          <w:rPr>
            <w:rStyle w:val="Hyperlink"/>
            <w:rFonts w:ascii="Arial" w:hAnsi="Arial" w:cs="Arial"/>
            <w:b/>
            <w:sz w:val="20"/>
            <w:szCs w:val="20"/>
          </w:rPr>
          <w:t>Acórdão 205/2018</w:t>
        </w:r>
        <w:r w:rsidR="004549CF" w:rsidRPr="004549CF">
          <w:rPr>
            <w:rStyle w:val="Hyperlink"/>
            <w:rFonts w:ascii="Arial" w:hAnsi="Arial" w:cs="Arial"/>
            <w:b/>
            <w:sz w:val="20"/>
            <w:szCs w:val="20"/>
          </w:rPr>
          <w:t xml:space="preserve"> -</w:t>
        </w:r>
        <w:r w:rsidR="00A44DDA" w:rsidRPr="004549CF">
          <w:rPr>
            <w:rStyle w:val="Hyperlink"/>
            <w:rFonts w:ascii="Arial" w:hAnsi="Arial" w:cs="Arial"/>
            <w:b/>
            <w:sz w:val="20"/>
            <w:szCs w:val="20"/>
          </w:rPr>
          <w:t xml:space="preserve"> Plenário</w:t>
        </w:r>
      </w:hyperlink>
      <w:r w:rsidR="00A44DDA" w:rsidRPr="001E75A7">
        <w:rPr>
          <w:rFonts w:ascii="Arial" w:hAnsi="Arial" w:cs="Arial"/>
          <w:b/>
          <w:sz w:val="20"/>
          <w:szCs w:val="20"/>
        </w:rPr>
        <w:t xml:space="preserve"> </w:t>
      </w:r>
      <w:r w:rsidR="00A44DDA" w:rsidRPr="001E75A7">
        <w:rPr>
          <w:rFonts w:ascii="Arial" w:hAnsi="Arial" w:cs="Arial"/>
          <w:sz w:val="20"/>
          <w:szCs w:val="20"/>
        </w:rPr>
        <w:t>(Consulta, Relator Ministro Aroldo Cedraz)</w:t>
      </w:r>
    </w:p>
    <w:p w:rsidR="00A44DDA" w:rsidRPr="000A3E63" w:rsidRDefault="00A44DDA" w:rsidP="00A44DDA">
      <w:pPr>
        <w:jc w:val="both"/>
        <w:rPr>
          <w:rFonts w:ascii="Arial" w:hAnsi="Arial" w:cs="Arial"/>
          <w:b/>
          <w:sz w:val="20"/>
          <w:szCs w:val="20"/>
        </w:rPr>
      </w:pPr>
      <w:r w:rsidRPr="000A3E63">
        <w:rPr>
          <w:rFonts w:ascii="Arial" w:hAnsi="Arial" w:cs="Arial"/>
          <w:b/>
          <w:sz w:val="20"/>
          <w:szCs w:val="20"/>
        </w:rPr>
        <w:t>Contrato Administrativo. Preço. BDI. Tributo. Marco temporal. Imposto de renda. CSLL. Ressarcimento. Consulta.</w:t>
      </w:r>
    </w:p>
    <w:p w:rsidR="00A44DDA" w:rsidRPr="001E75A7" w:rsidRDefault="00A44DDA" w:rsidP="00A44DDA">
      <w:pPr>
        <w:pStyle w:val="TCU-Epgrafe"/>
        <w:spacing w:after="200" w:line="276" w:lineRule="auto"/>
        <w:ind w:left="0"/>
        <w:rPr>
          <w:rFonts w:ascii="Arial" w:hAnsi="Arial" w:cs="Arial"/>
          <w:sz w:val="20"/>
        </w:rPr>
      </w:pPr>
      <w:r w:rsidRPr="001E75A7">
        <w:rPr>
          <w:rFonts w:ascii="Arial" w:hAnsi="Arial" w:cs="Arial"/>
          <w:sz w:val="20"/>
        </w:rPr>
        <w:t>Os contratos firmados até a data de publicação do Acórdão 950/2007 Plenário (DOU de 28/5/2007) que tenham previsto IRPJ e CSLL nas planilhas de preços, como item específico (custo direto) ou no BDI, podem manter as condições à época de suas celebrações, o que implica a desnecessidade de serem cobrados das contratadas quaisquer ressarcimentos a esse título, em atenção ao princípio da segurança jurídica e às ressalvas constantes do Acórdão 1591/2008 Plenário, sem prejuízo da aferição de eventual sobrepreço.</w:t>
      </w:r>
    </w:p>
    <w:p w:rsidR="00A44DDA" w:rsidRPr="001E75A7" w:rsidRDefault="007C1B90" w:rsidP="00A44DDA">
      <w:pPr>
        <w:widowControl w:val="0"/>
        <w:autoSpaceDE w:val="0"/>
        <w:autoSpaceDN w:val="0"/>
        <w:rPr>
          <w:rFonts w:ascii="Arial" w:hAnsi="Arial" w:cs="Arial"/>
          <w:b/>
          <w:sz w:val="20"/>
          <w:szCs w:val="20"/>
        </w:rPr>
      </w:pPr>
      <w:hyperlink r:id="rId23" w:history="1">
        <w:r w:rsidR="00A44DDA" w:rsidRPr="005D65D9">
          <w:rPr>
            <w:rStyle w:val="Hyperlink"/>
            <w:rFonts w:ascii="Arial" w:hAnsi="Arial" w:cs="Arial"/>
            <w:b/>
            <w:sz w:val="20"/>
            <w:szCs w:val="20"/>
          </w:rPr>
          <w:t>Acórdão 205/2018</w:t>
        </w:r>
        <w:r w:rsidR="006C7449">
          <w:rPr>
            <w:rStyle w:val="Hyperlink"/>
            <w:rFonts w:ascii="Arial" w:hAnsi="Arial" w:cs="Arial"/>
            <w:b/>
            <w:sz w:val="20"/>
            <w:szCs w:val="20"/>
          </w:rPr>
          <w:t xml:space="preserve"> -</w:t>
        </w:r>
        <w:r w:rsidR="00A44DDA" w:rsidRPr="005D65D9">
          <w:rPr>
            <w:rStyle w:val="Hyperlink"/>
            <w:rFonts w:ascii="Arial" w:hAnsi="Arial" w:cs="Arial"/>
            <w:b/>
            <w:sz w:val="20"/>
            <w:szCs w:val="20"/>
          </w:rPr>
          <w:t xml:space="preserve"> Plenário</w:t>
        </w:r>
      </w:hyperlink>
      <w:r w:rsidR="00A44DDA" w:rsidRPr="001E75A7">
        <w:rPr>
          <w:rFonts w:ascii="Arial" w:hAnsi="Arial" w:cs="Arial"/>
          <w:b/>
          <w:sz w:val="20"/>
          <w:szCs w:val="20"/>
        </w:rPr>
        <w:t xml:space="preserve"> </w:t>
      </w:r>
      <w:r w:rsidR="00A44DDA" w:rsidRPr="001E75A7">
        <w:rPr>
          <w:rFonts w:ascii="Arial" w:hAnsi="Arial" w:cs="Arial"/>
          <w:sz w:val="20"/>
          <w:szCs w:val="20"/>
        </w:rPr>
        <w:t>(Consulta, Relator Ministro Aroldo Cedraz)</w:t>
      </w:r>
    </w:p>
    <w:p w:rsidR="00A44DDA" w:rsidRPr="000A3E63" w:rsidRDefault="00A44DDA" w:rsidP="00A44DDA">
      <w:pPr>
        <w:rPr>
          <w:rFonts w:ascii="Arial" w:hAnsi="Arial" w:cs="Arial"/>
          <w:b/>
          <w:sz w:val="20"/>
          <w:szCs w:val="20"/>
        </w:rPr>
      </w:pPr>
      <w:r w:rsidRPr="000A3E63">
        <w:rPr>
          <w:rFonts w:ascii="Arial" w:hAnsi="Arial" w:cs="Arial"/>
          <w:b/>
          <w:sz w:val="20"/>
          <w:szCs w:val="20"/>
        </w:rPr>
        <w:t>Contrato Administrativo. Terceirização. Reserva técnica. Justificativa.</w:t>
      </w:r>
    </w:p>
    <w:p w:rsidR="00A44DDA" w:rsidRPr="001E75A7" w:rsidRDefault="00A44DDA" w:rsidP="006C7449">
      <w:pPr>
        <w:pStyle w:val="Default"/>
        <w:spacing w:after="200" w:line="276" w:lineRule="auto"/>
        <w:jc w:val="both"/>
        <w:rPr>
          <w:sz w:val="20"/>
          <w:szCs w:val="20"/>
        </w:rPr>
      </w:pPr>
      <w:r w:rsidRPr="001E75A7">
        <w:rPr>
          <w:sz w:val="20"/>
          <w:szCs w:val="20"/>
        </w:rPr>
        <w:t>A inclusão do item “reserva técnica” nas planilhas de custos e formação de preços dos contratos com empresas prestadoras de serviços terceirizados somente é admitida se houver justificativa prévia e expressa dos custos correspondentes que serão cobertos por esse item.</w:t>
      </w:r>
    </w:p>
    <w:p w:rsidR="00BC60E1" w:rsidRPr="001E75A7" w:rsidRDefault="007C1B90" w:rsidP="00BC60E1">
      <w:pPr>
        <w:widowControl w:val="0"/>
        <w:autoSpaceDE w:val="0"/>
        <w:autoSpaceDN w:val="0"/>
        <w:jc w:val="both"/>
        <w:rPr>
          <w:rFonts w:ascii="Arial" w:hAnsi="Arial" w:cs="Arial"/>
          <w:b/>
          <w:sz w:val="20"/>
          <w:szCs w:val="20"/>
        </w:rPr>
      </w:pPr>
      <w:hyperlink r:id="rId24" w:history="1">
        <w:r w:rsidR="00BC60E1" w:rsidRPr="006C7449">
          <w:rPr>
            <w:rStyle w:val="Hyperlink"/>
            <w:rFonts w:ascii="Arial" w:hAnsi="Arial" w:cs="Arial"/>
            <w:b/>
            <w:sz w:val="20"/>
            <w:szCs w:val="20"/>
          </w:rPr>
          <w:t>Acórdão 211/2018</w:t>
        </w:r>
        <w:r w:rsidR="006C7449">
          <w:rPr>
            <w:rStyle w:val="Hyperlink"/>
            <w:rFonts w:ascii="Arial" w:hAnsi="Arial" w:cs="Arial"/>
            <w:b/>
            <w:sz w:val="20"/>
            <w:szCs w:val="20"/>
          </w:rPr>
          <w:t xml:space="preserve"> -</w:t>
        </w:r>
        <w:r w:rsidR="00BC60E1" w:rsidRPr="006C7449">
          <w:rPr>
            <w:rStyle w:val="Hyperlink"/>
            <w:rFonts w:ascii="Arial" w:hAnsi="Arial" w:cs="Arial"/>
            <w:b/>
            <w:sz w:val="20"/>
            <w:szCs w:val="20"/>
          </w:rPr>
          <w:t xml:space="preserve"> Plenário</w:t>
        </w:r>
      </w:hyperlink>
      <w:r w:rsidR="00BC60E1" w:rsidRPr="001E75A7">
        <w:rPr>
          <w:rFonts w:ascii="Arial" w:hAnsi="Arial" w:cs="Arial"/>
          <w:b/>
          <w:sz w:val="20"/>
          <w:szCs w:val="20"/>
        </w:rPr>
        <w:t xml:space="preserve"> </w:t>
      </w:r>
      <w:r w:rsidR="00BC60E1" w:rsidRPr="001E75A7">
        <w:rPr>
          <w:rFonts w:ascii="Arial" w:hAnsi="Arial" w:cs="Arial"/>
          <w:sz w:val="20"/>
          <w:szCs w:val="20"/>
        </w:rPr>
        <w:t>(Representação, Relator Ministro Bruno Dantas)</w:t>
      </w:r>
    </w:p>
    <w:p w:rsidR="00BC60E1" w:rsidRPr="000A3E63" w:rsidRDefault="00BC60E1" w:rsidP="00BC60E1">
      <w:pPr>
        <w:jc w:val="both"/>
        <w:rPr>
          <w:rFonts w:ascii="Arial" w:hAnsi="Arial" w:cs="Arial"/>
          <w:b/>
          <w:sz w:val="20"/>
          <w:szCs w:val="20"/>
        </w:rPr>
      </w:pPr>
      <w:r w:rsidRPr="000A3E63">
        <w:rPr>
          <w:rFonts w:ascii="Arial" w:hAnsi="Arial" w:cs="Arial"/>
          <w:b/>
          <w:sz w:val="20"/>
          <w:szCs w:val="20"/>
        </w:rPr>
        <w:t>Contrato Administrativo. Aditivo. Requisito. Empreitada integral. Quantidade.</w:t>
      </w:r>
    </w:p>
    <w:p w:rsidR="00BC60E1" w:rsidRPr="001E75A7" w:rsidRDefault="00BC60E1" w:rsidP="00BC60E1">
      <w:pPr>
        <w:pStyle w:val="TCU-Epgrafe"/>
        <w:spacing w:after="200" w:line="276" w:lineRule="auto"/>
        <w:ind w:left="0"/>
        <w:rPr>
          <w:rFonts w:ascii="Arial" w:hAnsi="Arial" w:cs="Arial"/>
          <w:sz w:val="20"/>
        </w:rPr>
      </w:pPr>
      <w:r w:rsidRPr="001E75A7">
        <w:rPr>
          <w:rFonts w:ascii="Arial" w:hAnsi="Arial" w:cs="Arial"/>
          <w:sz w:val="20"/>
        </w:rPr>
        <w:t>No regime de execução por empreitada integral, pequenas variações quantitativas nos serviços contratados, regra geral, não ensejam aditivo, haja vista que, nesse regime, não se espera que o fiscal realize avaliações meticulosas e individuais de quantidades. Excepcionalmente, com o intuito de evitar o enriquecimento ilícito de qualquer das partes, alterações relevantes podem ensejar a assinatura de aditivo.</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BC4C07" w:rsidRDefault="007C1B90" w:rsidP="00270E2F">
      <w:pPr>
        <w:pStyle w:val="Default"/>
        <w:spacing w:line="276" w:lineRule="auto"/>
        <w:jc w:val="center"/>
        <w:rPr>
          <w:b/>
          <w:sz w:val="20"/>
          <w:szCs w:val="20"/>
        </w:rPr>
      </w:pPr>
      <w:hyperlink r:id="rId25"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7C1B90" w:rsidP="00270E2F">
      <w:pPr>
        <w:pStyle w:val="Default"/>
        <w:spacing w:line="276" w:lineRule="auto"/>
        <w:jc w:val="center"/>
        <w:rPr>
          <w:rStyle w:val="Hyperlink"/>
          <w:b/>
          <w:sz w:val="20"/>
          <w:szCs w:val="20"/>
        </w:rPr>
      </w:pPr>
      <w:hyperlink r:id="rId26" w:history="1">
        <w:r w:rsidR="00270E2F">
          <w:rPr>
            <w:rStyle w:val="Hyperlink"/>
            <w:b/>
            <w:sz w:val="20"/>
            <w:szCs w:val="20"/>
          </w:rPr>
          <w:t>Repercussão Geral do Supremo Tribunal Federal - STF e os Tribunais de Contas</w:t>
        </w:r>
      </w:hyperlink>
    </w:p>
    <w:p w:rsidR="00270E2F" w:rsidRPr="00DD265A" w:rsidRDefault="00270E2F" w:rsidP="00270E2F">
      <w:pPr>
        <w:pStyle w:val="Default"/>
        <w:spacing w:line="276" w:lineRule="auto"/>
        <w:jc w:val="center"/>
        <w:rPr>
          <w:rStyle w:val="Hyperlink"/>
          <w:b/>
          <w:sz w:val="20"/>
          <w:szCs w:val="20"/>
        </w:rPr>
      </w:pPr>
    </w:p>
    <w:p w:rsidR="002A00E8" w:rsidRPr="00DD265A" w:rsidRDefault="007C1B90" w:rsidP="002A00E8">
      <w:pPr>
        <w:pStyle w:val="Default"/>
        <w:spacing w:line="276" w:lineRule="auto"/>
        <w:jc w:val="center"/>
        <w:rPr>
          <w:rStyle w:val="Hyperlink"/>
          <w:b/>
          <w:sz w:val="20"/>
          <w:szCs w:val="20"/>
        </w:rPr>
      </w:pPr>
      <w:hyperlink r:id="rId27" w:history="1">
        <w:r w:rsidR="002A00E8" w:rsidRPr="00DD265A">
          <w:rPr>
            <w:rStyle w:val="Hyperlink"/>
            <w:b/>
            <w:sz w:val="20"/>
            <w:szCs w:val="20"/>
          </w:rPr>
          <w:t>Revista Digital do Tribunal de Contas do Estado do Paraná - Edição n° 19</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28"/>
      <w:foot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7C1B90">
      <w:rPr>
        <w:noProof/>
        <w:sz w:val="16"/>
        <w:szCs w:val="16"/>
      </w:rPr>
      <w:t>1</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3B276E"/>
    <w:multiLevelType w:val="hybridMultilevel"/>
    <w:tmpl w:val="8DC42F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1"/>
  </w:num>
  <w:num w:numId="5">
    <w:abstractNumId w:val="12"/>
  </w:num>
  <w:num w:numId="6">
    <w:abstractNumId w:val="9"/>
  </w:num>
  <w:num w:numId="7">
    <w:abstractNumId w:val="0"/>
  </w:num>
  <w:num w:numId="8">
    <w:abstractNumId w:val="1"/>
  </w:num>
  <w:num w:numId="9">
    <w:abstractNumId w:val="5"/>
  </w:num>
  <w:num w:numId="10">
    <w:abstractNumId w:val="2"/>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AF2"/>
    <w:rsid w:val="00003C03"/>
    <w:rsid w:val="0000505F"/>
    <w:rsid w:val="000078B5"/>
    <w:rsid w:val="00007F7A"/>
    <w:rsid w:val="00007FD0"/>
    <w:rsid w:val="00010B69"/>
    <w:rsid w:val="00010F88"/>
    <w:rsid w:val="0001200F"/>
    <w:rsid w:val="000126A0"/>
    <w:rsid w:val="00012CBB"/>
    <w:rsid w:val="00013691"/>
    <w:rsid w:val="00013840"/>
    <w:rsid w:val="00015FB0"/>
    <w:rsid w:val="00017EBA"/>
    <w:rsid w:val="00021B0A"/>
    <w:rsid w:val="00025971"/>
    <w:rsid w:val="000262AD"/>
    <w:rsid w:val="00027A03"/>
    <w:rsid w:val="00027FAB"/>
    <w:rsid w:val="000300F4"/>
    <w:rsid w:val="00032A26"/>
    <w:rsid w:val="00033422"/>
    <w:rsid w:val="00033E69"/>
    <w:rsid w:val="0003560A"/>
    <w:rsid w:val="00040EBA"/>
    <w:rsid w:val="00042502"/>
    <w:rsid w:val="00042B3E"/>
    <w:rsid w:val="00042DF3"/>
    <w:rsid w:val="000433EC"/>
    <w:rsid w:val="000439FD"/>
    <w:rsid w:val="0004557C"/>
    <w:rsid w:val="00045700"/>
    <w:rsid w:val="00046191"/>
    <w:rsid w:val="00046E21"/>
    <w:rsid w:val="00047EF1"/>
    <w:rsid w:val="00052862"/>
    <w:rsid w:val="00053B72"/>
    <w:rsid w:val="00056686"/>
    <w:rsid w:val="00056E6F"/>
    <w:rsid w:val="000572CE"/>
    <w:rsid w:val="000617CF"/>
    <w:rsid w:val="00062737"/>
    <w:rsid w:val="0006556A"/>
    <w:rsid w:val="000677C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394"/>
    <w:rsid w:val="000B2FD9"/>
    <w:rsid w:val="000B311A"/>
    <w:rsid w:val="000B31B6"/>
    <w:rsid w:val="000B47C0"/>
    <w:rsid w:val="000C2948"/>
    <w:rsid w:val="000C3582"/>
    <w:rsid w:val="000C4F73"/>
    <w:rsid w:val="000C5093"/>
    <w:rsid w:val="000C5460"/>
    <w:rsid w:val="000C5EB3"/>
    <w:rsid w:val="000C63BC"/>
    <w:rsid w:val="000C7D67"/>
    <w:rsid w:val="000D01B8"/>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C1B"/>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3605B"/>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1A45"/>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131"/>
    <w:rsid w:val="001B096B"/>
    <w:rsid w:val="001B5B65"/>
    <w:rsid w:val="001B5F7A"/>
    <w:rsid w:val="001B6E08"/>
    <w:rsid w:val="001C0F23"/>
    <w:rsid w:val="001C46A8"/>
    <w:rsid w:val="001C7789"/>
    <w:rsid w:val="001D0693"/>
    <w:rsid w:val="001D0DD1"/>
    <w:rsid w:val="001D3414"/>
    <w:rsid w:val="001D4D9A"/>
    <w:rsid w:val="001D51BD"/>
    <w:rsid w:val="001D6665"/>
    <w:rsid w:val="001D684B"/>
    <w:rsid w:val="001D6ADC"/>
    <w:rsid w:val="001D7E4B"/>
    <w:rsid w:val="001E1817"/>
    <w:rsid w:val="001E2E5A"/>
    <w:rsid w:val="001E588B"/>
    <w:rsid w:val="001E5F2E"/>
    <w:rsid w:val="001E6CAA"/>
    <w:rsid w:val="001E73FF"/>
    <w:rsid w:val="001E75A7"/>
    <w:rsid w:val="001F5C03"/>
    <w:rsid w:val="001F5F6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72EEE"/>
    <w:rsid w:val="002805F1"/>
    <w:rsid w:val="00286D2A"/>
    <w:rsid w:val="00286EB4"/>
    <w:rsid w:val="002874A2"/>
    <w:rsid w:val="00290CBE"/>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402"/>
    <w:rsid w:val="002E7DFF"/>
    <w:rsid w:val="002F0BE9"/>
    <w:rsid w:val="002F13A0"/>
    <w:rsid w:val="002F1634"/>
    <w:rsid w:val="002F1848"/>
    <w:rsid w:val="002F1D70"/>
    <w:rsid w:val="002F22FA"/>
    <w:rsid w:val="002F73BA"/>
    <w:rsid w:val="00300462"/>
    <w:rsid w:val="003005B3"/>
    <w:rsid w:val="0030165B"/>
    <w:rsid w:val="00301EB9"/>
    <w:rsid w:val="00302340"/>
    <w:rsid w:val="00303C9C"/>
    <w:rsid w:val="00305A67"/>
    <w:rsid w:val="00306B80"/>
    <w:rsid w:val="00307038"/>
    <w:rsid w:val="0031140C"/>
    <w:rsid w:val="00313238"/>
    <w:rsid w:val="003132BE"/>
    <w:rsid w:val="00320577"/>
    <w:rsid w:val="0032266D"/>
    <w:rsid w:val="00323DA9"/>
    <w:rsid w:val="00325E2F"/>
    <w:rsid w:val="003265DB"/>
    <w:rsid w:val="003269A9"/>
    <w:rsid w:val="00327DF9"/>
    <w:rsid w:val="0033073E"/>
    <w:rsid w:val="00331533"/>
    <w:rsid w:val="0033240F"/>
    <w:rsid w:val="00333875"/>
    <w:rsid w:val="0033604C"/>
    <w:rsid w:val="003407F0"/>
    <w:rsid w:val="00343C28"/>
    <w:rsid w:val="00344A3D"/>
    <w:rsid w:val="00344A41"/>
    <w:rsid w:val="0034575E"/>
    <w:rsid w:val="00345C65"/>
    <w:rsid w:val="00350CC2"/>
    <w:rsid w:val="00350D77"/>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1B72"/>
    <w:rsid w:val="0038751C"/>
    <w:rsid w:val="0038778B"/>
    <w:rsid w:val="00387A2E"/>
    <w:rsid w:val="00394451"/>
    <w:rsid w:val="0039584A"/>
    <w:rsid w:val="0039625A"/>
    <w:rsid w:val="00396E93"/>
    <w:rsid w:val="003A4828"/>
    <w:rsid w:val="003A4903"/>
    <w:rsid w:val="003A64CB"/>
    <w:rsid w:val="003A6622"/>
    <w:rsid w:val="003A673F"/>
    <w:rsid w:val="003A7EB3"/>
    <w:rsid w:val="003B02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0E22"/>
    <w:rsid w:val="0043291F"/>
    <w:rsid w:val="00434347"/>
    <w:rsid w:val="00434F2A"/>
    <w:rsid w:val="004371F9"/>
    <w:rsid w:val="0043728E"/>
    <w:rsid w:val="00437541"/>
    <w:rsid w:val="00441D38"/>
    <w:rsid w:val="00441E59"/>
    <w:rsid w:val="004429A2"/>
    <w:rsid w:val="00442CB7"/>
    <w:rsid w:val="00443CA1"/>
    <w:rsid w:val="00444C25"/>
    <w:rsid w:val="0044532C"/>
    <w:rsid w:val="00447BB2"/>
    <w:rsid w:val="004527ED"/>
    <w:rsid w:val="004549CF"/>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4FBB"/>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5C1"/>
    <w:rsid w:val="00510B62"/>
    <w:rsid w:val="00511F85"/>
    <w:rsid w:val="00516673"/>
    <w:rsid w:val="00517B69"/>
    <w:rsid w:val="00520368"/>
    <w:rsid w:val="00523227"/>
    <w:rsid w:val="00523246"/>
    <w:rsid w:val="0052368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57EBA"/>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C7258"/>
    <w:rsid w:val="005D1E9E"/>
    <w:rsid w:val="005D48C8"/>
    <w:rsid w:val="005D4D8F"/>
    <w:rsid w:val="005D58CE"/>
    <w:rsid w:val="005D65D9"/>
    <w:rsid w:val="005D6DB4"/>
    <w:rsid w:val="005E2760"/>
    <w:rsid w:val="005E2D13"/>
    <w:rsid w:val="005E350B"/>
    <w:rsid w:val="005E4648"/>
    <w:rsid w:val="005E6068"/>
    <w:rsid w:val="005E64B3"/>
    <w:rsid w:val="005E6A47"/>
    <w:rsid w:val="005F03A4"/>
    <w:rsid w:val="005F0C0B"/>
    <w:rsid w:val="005F0C51"/>
    <w:rsid w:val="005F16DB"/>
    <w:rsid w:val="005F17B2"/>
    <w:rsid w:val="005F2BB5"/>
    <w:rsid w:val="005F3A96"/>
    <w:rsid w:val="005F4DBF"/>
    <w:rsid w:val="005F58C1"/>
    <w:rsid w:val="005F66CC"/>
    <w:rsid w:val="005F78BE"/>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4ECC"/>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1CBB"/>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7449"/>
    <w:rsid w:val="006C7A04"/>
    <w:rsid w:val="006D158F"/>
    <w:rsid w:val="006D1B83"/>
    <w:rsid w:val="006D1BE7"/>
    <w:rsid w:val="006D511D"/>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6F1C"/>
    <w:rsid w:val="00717A58"/>
    <w:rsid w:val="00722924"/>
    <w:rsid w:val="00723D30"/>
    <w:rsid w:val="00723F1A"/>
    <w:rsid w:val="00726974"/>
    <w:rsid w:val="007306BB"/>
    <w:rsid w:val="007319AD"/>
    <w:rsid w:val="00732257"/>
    <w:rsid w:val="00740240"/>
    <w:rsid w:val="0074037C"/>
    <w:rsid w:val="0074101E"/>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0443"/>
    <w:rsid w:val="00781F5F"/>
    <w:rsid w:val="00783479"/>
    <w:rsid w:val="00783696"/>
    <w:rsid w:val="00783D3E"/>
    <w:rsid w:val="00784B5D"/>
    <w:rsid w:val="00785DB0"/>
    <w:rsid w:val="00791384"/>
    <w:rsid w:val="00791D74"/>
    <w:rsid w:val="00791E5B"/>
    <w:rsid w:val="007931D7"/>
    <w:rsid w:val="007949B4"/>
    <w:rsid w:val="0079708B"/>
    <w:rsid w:val="0079779E"/>
    <w:rsid w:val="007A6ADF"/>
    <w:rsid w:val="007A6DC9"/>
    <w:rsid w:val="007A71B5"/>
    <w:rsid w:val="007A797E"/>
    <w:rsid w:val="007B1216"/>
    <w:rsid w:val="007B255F"/>
    <w:rsid w:val="007B55C5"/>
    <w:rsid w:val="007C0579"/>
    <w:rsid w:val="007C0E7E"/>
    <w:rsid w:val="007C10CC"/>
    <w:rsid w:val="007C1B90"/>
    <w:rsid w:val="007C250E"/>
    <w:rsid w:val="007C2CD7"/>
    <w:rsid w:val="007C5CA8"/>
    <w:rsid w:val="007D009C"/>
    <w:rsid w:val="007D2162"/>
    <w:rsid w:val="007D5A53"/>
    <w:rsid w:val="007D5D05"/>
    <w:rsid w:val="007D62D9"/>
    <w:rsid w:val="007D73C9"/>
    <w:rsid w:val="007E1FB4"/>
    <w:rsid w:val="007E28C1"/>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3F98"/>
    <w:rsid w:val="00814325"/>
    <w:rsid w:val="00815C4F"/>
    <w:rsid w:val="008161C2"/>
    <w:rsid w:val="00816942"/>
    <w:rsid w:val="0081738B"/>
    <w:rsid w:val="0082026A"/>
    <w:rsid w:val="008219BA"/>
    <w:rsid w:val="00822E51"/>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839"/>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52B"/>
    <w:rsid w:val="00985728"/>
    <w:rsid w:val="009857DD"/>
    <w:rsid w:val="009859AB"/>
    <w:rsid w:val="00987A4E"/>
    <w:rsid w:val="00987B9F"/>
    <w:rsid w:val="009907A9"/>
    <w:rsid w:val="00993DE4"/>
    <w:rsid w:val="00993F38"/>
    <w:rsid w:val="00994A4B"/>
    <w:rsid w:val="00996D25"/>
    <w:rsid w:val="009A043C"/>
    <w:rsid w:val="009A0BC7"/>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7D62"/>
    <w:rsid w:val="00A52E1C"/>
    <w:rsid w:val="00A53CDD"/>
    <w:rsid w:val="00A53EE6"/>
    <w:rsid w:val="00A5538A"/>
    <w:rsid w:val="00A564AE"/>
    <w:rsid w:val="00A57A4A"/>
    <w:rsid w:val="00A57C0E"/>
    <w:rsid w:val="00A614EB"/>
    <w:rsid w:val="00A62886"/>
    <w:rsid w:val="00A63E79"/>
    <w:rsid w:val="00A64863"/>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7830"/>
    <w:rsid w:val="00AD1557"/>
    <w:rsid w:val="00AD35F3"/>
    <w:rsid w:val="00AD44E9"/>
    <w:rsid w:val="00AD4CAC"/>
    <w:rsid w:val="00AD528F"/>
    <w:rsid w:val="00AD6760"/>
    <w:rsid w:val="00AD6EB3"/>
    <w:rsid w:val="00AD741D"/>
    <w:rsid w:val="00AD751D"/>
    <w:rsid w:val="00AD791C"/>
    <w:rsid w:val="00AE1C60"/>
    <w:rsid w:val="00AE4F42"/>
    <w:rsid w:val="00AE5D09"/>
    <w:rsid w:val="00AE728D"/>
    <w:rsid w:val="00AE7589"/>
    <w:rsid w:val="00AF2833"/>
    <w:rsid w:val="00AF3716"/>
    <w:rsid w:val="00AF3C46"/>
    <w:rsid w:val="00AF43E1"/>
    <w:rsid w:val="00AF4D71"/>
    <w:rsid w:val="00AF5921"/>
    <w:rsid w:val="00B008BC"/>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5C63"/>
    <w:rsid w:val="00B37580"/>
    <w:rsid w:val="00B4137A"/>
    <w:rsid w:val="00B44B73"/>
    <w:rsid w:val="00B50B77"/>
    <w:rsid w:val="00B51290"/>
    <w:rsid w:val="00B52215"/>
    <w:rsid w:val="00B530CA"/>
    <w:rsid w:val="00B53AC4"/>
    <w:rsid w:val="00B54527"/>
    <w:rsid w:val="00B54785"/>
    <w:rsid w:val="00B57ADA"/>
    <w:rsid w:val="00B61EE9"/>
    <w:rsid w:val="00B64555"/>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249E"/>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4BEA"/>
    <w:rsid w:val="00BE5859"/>
    <w:rsid w:val="00BE717E"/>
    <w:rsid w:val="00BE7E27"/>
    <w:rsid w:val="00BF0421"/>
    <w:rsid w:val="00BF183C"/>
    <w:rsid w:val="00BF4C15"/>
    <w:rsid w:val="00C0782F"/>
    <w:rsid w:val="00C11F50"/>
    <w:rsid w:val="00C12603"/>
    <w:rsid w:val="00C12C7C"/>
    <w:rsid w:val="00C131FD"/>
    <w:rsid w:val="00C15322"/>
    <w:rsid w:val="00C16DA8"/>
    <w:rsid w:val="00C17352"/>
    <w:rsid w:val="00C21959"/>
    <w:rsid w:val="00C30A7D"/>
    <w:rsid w:val="00C31169"/>
    <w:rsid w:val="00C3169F"/>
    <w:rsid w:val="00C318F6"/>
    <w:rsid w:val="00C36E39"/>
    <w:rsid w:val="00C37522"/>
    <w:rsid w:val="00C41AA8"/>
    <w:rsid w:val="00C42EFD"/>
    <w:rsid w:val="00C43D8B"/>
    <w:rsid w:val="00C44042"/>
    <w:rsid w:val="00C46AF0"/>
    <w:rsid w:val="00C52956"/>
    <w:rsid w:val="00C53AE1"/>
    <w:rsid w:val="00C53CAD"/>
    <w:rsid w:val="00C54893"/>
    <w:rsid w:val="00C560A1"/>
    <w:rsid w:val="00C56E9E"/>
    <w:rsid w:val="00C56EB6"/>
    <w:rsid w:val="00C571E2"/>
    <w:rsid w:val="00C57959"/>
    <w:rsid w:val="00C6211D"/>
    <w:rsid w:val="00C63FC8"/>
    <w:rsid w:val="00C64F57"/>
    <w:rsid w:val="00C65D21"/>
    <w:rsid w:val="00C66E11"/>
    <w:rsid w:val="00C6789D"/>
    <w:rsid w:val="00C71A97"/>
    <w:rsid w:val="00C72FFE"/>
    <w:rsid w:val="00C7306A"/>
    <w:rsid w:val="00C73FFD"/>
    <w:rsid w:val="00C74512"/>
    <w:rsid w:val="00C74CED"/>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480A"/>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70F"/>
    <w:rsid w:val="00CF3FB0"/>
    <w:rsid w:val="00CF515D"/>
    <w:rsid w:val="00CF53F5"/>
    <w:rsid w:val="00CF6B3F"/>
    <w:rsid w:val="00D002B4"/>
    <w:rsid w:val="00D03845"/>
    <w:rsid w:val="00D03DCB"/>
    <w:rsid w:val="00D05257"/>
    <w:rsid w:val="00D0548F"/>
    <w:rsid w:val="00D054DF"/>
    <w:rsid w:val="00D057A5"/>
    <w:rsid w:val="00D05D1F"/>
    <w:rsid w:val="00D1212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0F4A"/>
    <w:rsid w:val="00D816A4"/>
    <w:rsid w:val="00D83ED5"/>
    <w:rsid w:val="00D86043"/>
    <w:rsid w:val="00D870D4"/>
    <w:rsid w:val="00D91E09"/>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E7E0D"/>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998"/>
    <w:rsid w:val="00E25E9F"/>
    <w:rsid w:val="00E27565"/>
    <w:rsid w:val="00E30DE6"/>
    <w:rsid w:val="00E31944"/>
    <w:rsid w:val="00E32395"/>
    <w:rsid w:val="00E32E0D"/>
    <w:rsid w:val="00E332E3"/>
    <w:rsid w:val="00E35435"/>
    <w:rsid w:val="00E37194"/>
    <w:rsid w:val="00E3788B"/>
    <w:rsid w:val="00E40C6A"/>
    <w:rsid w:val="00E410B7"/>
    <w:rsid w:val="00E43977"/>
    <w:rsid w:val="00E4415D"/>
    <w:rsid w:val="00E44AB8"/>
    <w:rsid w:val="00E47BD8"/>
    <w:rsid w:val="00E50D3F"/>
    <w:rsid w:val="00E520BE"/>
    <w:rsid w:val="00E5484A"/>
    <w:rsid w:val="00E54E17"/>
    <w:rsid w:val="00E5656B"/>
    <w:rsid w:val="00E56A7A"/>
    <w:rsid w:val="00E57AB8"/>
    <w:rsid w:val="00E60419"/>
    <w:rsid w:val="00E60E01"/>
    <w:rsid w:val="00E617D3"/>
    <w:rsid w:val="00E61E36"/>
    <w:rsid w:val="00E633C1"/>
    <w:rsid w:val="00E667B0"/>
    <w:rsid w:val="00E67390"/>
    <w:rsid w:val="00E71365"/>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A99"/>
    <w:rsid w:val="00EC7C2B"/>
    <w:rsid w:val="00ED0DF9"/>
    <w:rsid w:val="00ED1F02"/>
    <w:rsid w:val="00ED213D"/>
    <w:rsid w:val="00ED59DF"/>
    <w:rsid w:val="00EE15B5"/>
    <w:rsid w:val="00EE2087"/>
    <w:rsid w:val="00EE20A1"/>
    <w:rsid w:val="00EE74AF"/>
    <w:rsid w:val="00EF1F0E"/>
    <w:rsid w:val="00EF29F6"/>
    <w:rsid w:val="00EF4FBF"/>
    <w:rsid w:val="00EF518E"/>
    <w:rsid w:val="00EF5DF0"/>
    <w:rsid w:val="00EF69AE"/>
    <w:rsid w:val="00EF6E0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3955"/>
    <w:rsid w:val="00F447DB"/>
    <w:rsid w:val="00F447FA"/>
    <w:rsid w:val="00F45877"/>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1EF2"/>
    <w:rsid w:val="00F838B6"/>
    <w:rsid w:val="00F83B0D"/>
    <w:rsid w:val="00F83C31"/>
    <w:rsid w:val="00F85F05"/>
    <w:rsid w:val="00F86AD1"/>
    <w:rsid w:val="00F9222A"/>
    <w:rsid w:val="00F922EA"/>
    <w:rsid w:val="00F92927"/>
    <w:rsid w:val="00F949E0"/>
    <w:rsid w:val="00F94F0F"/>
    <w:rsid w:val="00F979B3"/>
    <w:rsid w:val="00F97CCD"/>
    <w:rsid w:val="00FA2A1A"/>
    <w:rsid w:val="00FA320D"/>
    <w:rsid w:val="00FA362B"/>
    <w:rsid w:val="00FA48EC"/>
    <w:rsid w:val="00FA53E9"/>
    <w:rsid w:val="00FA60EC"/>
    <w:rsid w:val="00FB04E9"/>
    <w:rsid w:val="00FB1179"/>
    <w:rsid w:val="00FB1C6B"/>
    <w:rsid w:val="00FB3361"/>
    <w:rsid w:val="00FB42B4"/>
    <w:rsid w:val="00FB4841"/>
    <w:rsid w:val="00FB6C94"/>
    <w:rsid w:val="00FB7F8B"/>
    <w:rsid w:val="00FC22F5"/>
    <w:rsid w:val="00FC25E4"/>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697B0356"/>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3/pdf/00325545.pdf" TargetMode="External"/><Relationship Id="rId13" Type="http://schemas.openxmlformats.org/officeDocument/2006/relationships/hyperlink" Target="http://www1.tce.pr.gov.br/multimidia/2018/3/pdf/00325583.pdf" TargetMode="External"/><Relationship Id="rId18" Type="http://schemas.openxmlformats.org/officeDocument/2006/relationships/hyperlink" Target="https://ww2.stj.jus.br/processo/revista/documento/mediado/?componente=ATC&amp;sequencial=53986477&amp;num_registro=201303392039&amp;data=20180221&amp;tipo=5&amp;formato=PDF"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10204" TargetMode="External"/><Relationship Id="rId7" Type="http://schemas.openxmlformats.org/officeDocument/2006/relationships/endnotes" Target="endnotes.xml"/><Relationship Id="rId12" Type="http://schemas.openxmlformats.org/officeDocument/2006/relationships/hyperlink" Target="http://www1.tce.pr.gov.br/multimidia/2018/3/pdf/00325581.pdf" TargetMode="External"/><Relationship Id="rId17" Type="http://schemas.openxmlformats.org/officeDocument/2006/relationships/hyperlink" Target="http://www1.tce.pr.gov.br/multimidia/2018/3/pdf/00325594.pdf" TargetMode="External"/><Relationship Id="rId25" Type="http://schemas.openxmlformats.org/officeDocument/2006/relationships/hyperlink" Target="http://www1.tce.pr.gov.br/conteudo/pesquisas-prontas/308475/area/249" TargetMode="External"/><Relationship Id="rId2" Type="http://schemas.openxmlformats.org/officeDocument/2006/relationships/numbering" Target="numbering.xml"/><Relationship Id="rId16" Type="http://schemas.openxmlformats.org/officeDocument/2006/relationships/hyperlink" Target="http://www1.tce.pr.gov.br/multimidia/2018/3/pdf/00325589.pdf" TargetMode="External"/><Relationship Id="rId20" Type="http://schemas.openxmlformats.org/officeDocument/2006/relationships/hyperlink" Target="https://contas.tcu.gov.br/sagas/SvlVisualizarRelVotoAcRtf?codFiltro=SAGAS-SESSAO-ENCERRADA&amp;seOcultaPagina=S&amp;item0=60872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3/pdf/00325616.pdf" TargetMode="External"/><Relationship Id="rId24" Type="http://schemas.openxmlformats.org/officeDocument/2006/relationships/hyperlink" Target="https://contas.tcu.gov.br/sagas/SvlVisualizarRelVotoAcRtf?codFiltro=SAGAS-SESSAO-ENCERRADA&amp;seOcultaPagina=S&amp;item0=612147" TargetMode="External"/><Relationship Id="rId5" Type="http://schemas.openxmlformats.org/officeDocument/2006/relationships/webSettings" Target="webSettings.xml"/><Relationship Id="rId15" Type="http://schemas.openxmlformats.org/officeDocument/2006/relationships/hyperlink" Target="http://www1.tce.pr.gov.br/multimidia/2018/3/pdf/00325803.pdf" TargetMode="External"/><Relationship Id="rId23" Type="http://schemas.openxmlformats.org/officeDocument/2006/relationships/hyperlink" Target="https://contas.tcu.gov.br/sagas/SvlVisualizarRelVotoAcRtf?codFiltro=SAGAS-SESSAO-ENCERRADA&amp;seOcultaPagina=S&amp;item0=610495" TargetMode="External"/><Relationship Id="rId28" Type="http://schemas.openxmlformats.org/officeDocument/2006/relationships/header" Target="header1.xml"/><Relationship Id="rId10" Type="http://schemas.openxmlformats.org/officeDocument/2006/relationships/hyperlink" Target="http://www1.tce.pr.gov.br/multimidia/2018/3/pdf/00325614.pdf" TargetMode="External"/><Relationship Id="rId19" Type="http://schemas.openxmlformats.org/officeDocument/2006/relationships/hyperlink" Target="https://contas.tcu.gov.br/sagas/SvlVisualizarRelVotoAcRtf?codFiltro=SAGAS-SESSAO-ENCERRADA&amp;seOcultaPagina=S&amp;item0=60168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tce.pr.gov.br/multimidia/2018/3/pdf/00325541.pdfhttp:/www1.tce.pr.gov.br/multimidia/2018/3/pdf/00325541.pdf" TargetMode="External"/><Relationship Id="rId14" Type="http://schemas.openxmlformats.org/officeDocument/2006/relationships/hyperlink" Target="http://www1.tce.pr.gov.br/multimidia/2018/3/pdf/00325805.pdf" TargetMode="External"/><Relationship Id="rId22" Type="http://schemas.openxmlformats.org/officeDocument/2006/relationships/hyperlink" Target="https://contas.tcu.gov.br/sagas/SvlVisualizarRelVotoAcRtf?codFiltro=SAGAS-SESSAO-ENCERRADA&amp;seOcultaPagina=S&amp;item0=610495" TargetMode="External"/><Relationship Id="rId27" Type="http://schemas.openxmlformats.org/officeDocument/2006/relationships/hyperlink" Target="http://www1.tce.pr.gov.br/conteudo/revista-digital-do-tce-pr/234678/area/46"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A756-C1E5-4D89-8ED9-B838F57F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3760</Words>
  <Characters>20307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cp:revision>
  <cp:lastPrinted>2018-04-09T17:15:00Z</cp:lastPrinted>
  <dcterms:created xsi:type="dcterms:W3CDTF">2018-04-09T17:17:00Z</dcterms:created>
  <dcterms:modified xsi:type="dcterms:W3CDTF">2018-04-09T17:17:00Z</dcterms:modified>
</cp:coreProperties>
</file>