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F25D9B" w:rsidRDefault="00F25D9B"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FF0846" w:rsidRPr="0022060B">
        <w:rPr>
          <w:rFonts w:ascii="Arial" w:hAnsi="Arial" w:cs="Arial"/>
          <w:b/>
          <w:sz w:val="20"/>
          <w:szCs w:val="20"/>
        </w:rPr>
        <w:t>1</w:t>
      </w:r>
      <w:r w:rsidR="005A4536" w:rsidRPr="0022060B">
        <w:rPr>
          <w:rFonts w:ascii="Arial" w:hAnsi="Arial" w:cs="Arial"/>
          <w:b/>
          <w:sz w:val="20"/>
          <w:szCs w:val="20"/>
        </w:rPr>
        <w:t>5</w:t>
      </w:r>
    </w:p>
    <w:p w:rsidR="00F25D9B" w:rsidRDefault="00F25D9B"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6E76B0" w:rsidRPr="0022060B">
        <w:rPr>
          <w:rFonts w:ascii="Arial" w:hAnsi="Arial" w:cs="Arial"/>
          <w:b/>
          <w:sz w:val="20"/>
          <w:szCs w:val="20"/>
        </w:rPr>
        <w:t>09</w:t>
      </w:r>
      <w:r w:rsidR="00615FC7" w:rsidRPr="0022060B">
        <w:rPr>
          <w:rFonts w:ascii="Arial" w:hAnsi="Arial" w:cs="Arial"/>
          <w:b/>
          <w:sz w:val="20"/>
          <w:szCs w:val="20"/>
        </w:rPr>
        <w:t>.0</w:t>
      </w:r>
      <w:r w:rsidR="006E76B0" w:rsidRPr="0022060B">
        <w:rPr>
          <w:rFonts w:ascii="Arial" w:hAnsi="Arial" w:cs="Arial"/>
          <w:b/>
          <w:sz w:val="20"/>
          <w:szCs w:val="20"/>
        </w:rPr>
        <w:t>5</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6E76B0" w:rsidRPr="0022060B">
        <w:rPr>
          <w:rFonts w:ascii="Arial" w:hAnsi="Arial" w:cs="Arial"/>
          <w:b/>
          <w:sz w:val="20"/>
          <w:szCs w:val="20"/>
        </w:rPr>
        <w:t>18</w:t>
      </w:r>
      <w:r w:rsidR="005A0FD0" w:rsidRPr="0022060B">
        <w:rPr>
          <w:rFonts w:ascii="Arial" w:hAnsi="Arial" w:cs="Arial"/>
          <w:b/>
          <w:sz w:val="20"/>
          <w:szCs w:val="20"/>
        </w:rPr>
        <w:t>.0</w:t>
      </w:r>
      <w:r w:rsidR="00615FC7" w:rsidRPr="0022060B">
        <w:rPr>
          <w:rFonts w:ascii="Arial" w:hAnsi="Arial" w:cs="Arial"/>
          <w:b/>
          <w:sz w:val="20"/>
          <w:szCs w:val="20"/>
        </w:rPr>
        <w:t>5</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BA3207" w:rsidRDefault="00BA3207" w:rsidP="00BA3207">
      <w:pPr>
        <w:spacing w:after="0"/>
        <w:jc w:val="both"/>
        <w:rPr>
          <w:rFonts w:ascii="Arial" w:hAnsi="Arial" w:cs="Arial"/>
          <w:sz w:val="20"/>
          <w:szCs w:val="20"/>
        </w:rPr>
      </w:pPr>
      <w:r w:rsidRPr="00BA3207">
        <w:rPr>
          <w:rFonts w:ascii="Arial" w:hAnsi="Arial" w:cs="Arial"/>
          <w:sz w:val="20"/>
          <w:szCs w:val="20"/>
        </w:rPr>
        <w:t xml:space="preserve">1. Alerta. Extrapolação do Índice. 95% da Despesa Total com gastos com Pessoal. Poder Executivo Municipal. LRF - Art. 20, III, “b”. Teto de 54% da Receita Corrente Liquida. Expedição. </w:t>
      </w:r>
    </w:p>
    <w:p w:rsidR="00BA3207" w:rsidRDefault="00BA3207" w:rsidP="00BA3207">
      <w:pPr>
        <w:spacing w:after="0"/>
        <w:jc w:val="both"/>
        <w:rPr>
          <w:rFonts w:ascii="Arial" w:hAnsi="Arial" w:cs="Arial"/>
          <w:b/>
          <w:sz w:val="20"/>
          <w:szCs w:val="20"/>
        </w:rPr>
      </w:pPr>
    </w:p>
    <w:p w:rsidR="00BA3207" w:rsidRDefault="00BA3207" w:rsidP="00BA3207">
      <w:pPr>
        <w:spacing w:after="0"/>
        <w:jc w:val="both"/>
        <w:rPr>
          <w:rFonts w:ascii="Arial" w:hAnsi="Arial" w:cs="Arial"/>
          <w:sz w:val="20"/>
          <w:szCs w:val="20"/>
        </w:rPr>
      </w:pPr>
      <w:r w:rsidRPr="00BA3207">
        <w:rPr>
          <w:rFonts w:ascii="Arial" w:hAnsi="Arial" w:cs="Arial"/>
          <w:sz w:val="20"/>
          <w:szCs w:val="20"/>
        </w:rPr>
        <w:t xml:space="preserve">2. Prestação de Contas de Transferência Voluntária. Despesas executadas em valores que extrapolaram o plano de aplicação. Despesas compensadas com redução em outras rubricas. Pela regularidade com ressalva e recomendação. </w:t>
      </w:r>
    </w:p>
    <w:p w:rsidR="00BA3207" w:rsidRDefault="00BA3207" w:rsidP="00BA3207">
      <w:pPr>
        <w:autoSpaceDE w:val="0"/>
        <w:autoSpaceDN w:val="0"/>
        <w:adjustRightInd w:val="0"/>
        <w:spacing w:after="0"/>
        <w:jc w:val="both"/>
        <w:rPr>
          <w:rFonts w:ascii="Arial" w:hAnsi="Arial" w:cs="Arial"/>
          <w:b/>
          <w:sz w:val="20"/>
          <w:szCs w:val="20"/>
        </w:rPr>
      </w:pPr>
    </w:p>
    <w:p w:rsidR="00BA3207" w:rsidRPr="00BA3207" w:rsidRDefault="00BA3207" w:rsidP="00BA3207">
      <w:pPr>
        <w:autoSpaceDE w:val="0"/>
        <w:autoSpaceDN w:val="0"/>
        <w:adjustRightInd w:val="0"/>
        <w:spacing w:after="0"/>
        <w:jc w:val="both"/>
        <w:rPr>
          <w:rFonts w:ascii="Arial" w:hAnsi="Arial" w:cs="Arial"/>
          <w:sz w:val="20"/>
          <w:szCs w:val="20"/>
        </w:rPr>
      </w:pPr>
      <w:r w:rsidRPr="00BA3207">
        <w:rPr>
          <w:rFonts w:ascii="Arial" w:hAnsi="Arial" w:cs="Arial"/>
          <w:sz w:val="20"/>
          <w:szCs w:val="20"/>
        </w:rPr>
        <w:t xml:space="preserve">3. Admissão de Pessoal. Concurso Público. Aparente Acumulação Ilegal de Cargos. Compatibilidade de Horários. Jornada Superior a 60 horas. Descanso entre uma Jornada e Outra. Legalidade e Registro. Expedição de Determinação. </w:t>
      </w:r>
    </w:p>
    <w:p w:rsidR="00C9621B" w:rsidRDefault="00C9621B" w:rsidP="00C9621B">
      <w:pPr>
        <w:autoSpaceDE w:val="0"/>
        <w:autoSpaceDN w:val="0"/>
        <w:adjustRightInd w:val="0"/>
        <w:spacing w:after="0"/>
        <w:jc w:val="both"/>
        <w:rPr>
          <w:rFonts w:ascii="Arial" w:hAnsi="Arial" w:cs="Arial"/>
          <w:b/>
          <w:sz w:val="20"/>
          <w:szCs w:val="20"/>
        </w:rPr>
      </w:pPr>
    </w:p>
    <w:p w:rsidR="00C9621B" w:rsidRPr="00C9621B" w:rsidRDefault="00C9621B" w:rsidP="00C9621B">
      <w:pPr>
        <w:autoSpaceDE w:val="0"/>
        <w:autoSpaceDN w:val="0"/>
        <w:adjustRightInd w:val="0"/>
        <w:spacing w:after="0"/>
        <w:jc w:val="both"/>
        <w:rPr>
          <w:rFonts w:ascii="Arial" w:hAnsi="Arial" w:cs="Arial"/>
          <w:sz w:val="20"/>
          <w:szCs w:val="20"/>
        </w:rPr>
      </w:pPr>
      <w:r w:rsidRPr="00C9621B">
        <w:rPr>
          <w:rFonts w:ascii="Arial" w:hAnsi="Arial" w:cs="Arial"/>
          <w:sz w:val="20"/>
          <w:szCs w:val="20"/>
        </w:rPr>
        <w:t xml:space="preserve">4. Prestação de Contas. Desproporcionalidade entre cargos efetivos e comissionados, contrariando o artigo 37, incisos II e V, da Constituição Federal de 1988. </w:t>
      </w:r>
      <w:r w:rsidRPr="00C9621B">
        <w:rPr>
          <w:rFonts w:ascii="Arial" w:hAnsi="Arial" w:cs="Arial"/>
          <w:bCs/>
          <w:sz w:val="20"/>
          <w:szCs w:val="20"/>
        </w:rPr>
        <w:t xml:space="preserve">Determinação </w:t>
      </w:r>
      <w:r w:rsidRPr="00C9621B">
        <w:rPr>
          <w:rFonts w:ascii="Arial" w:hAnsi="Arial" w:cs="Arial"/>
          <w:sz w:val="20"/>
          <w:szCs w:val="20"/>
        </w:rPr>
        <w:t xml:space="preserve">para realização de estudos no sentido de realizar concurso público e aplicação de </w:t>
      </w:r>
      <w:r w:rsidRPr="00C9621B">
        <w:rPr>
          <w:rFonts w:ascii="Arial" w:hAnsi="Arial" w:cs="Arial"/>
          <w:bCs/>
          <w:sz w:val="20"/>
          <w:szCs w:val="20"/>
        </w:rPr>
        <w:t xml:space="preserve">multa. Irregularidade. </w:t>
      </w:r>
    </w:p>
    <w:p w:rsidR="00BA3207" w:rsidRDefault="00BA3207" w:rsidP="00BA3207">
      <w:pPr>
        <w:spacing w:after="0"/>
        <w:jc w:val="both"/>
        <w:rPr>
          <w:rFonts w:ascii="Arial" w:hAnsi="Arial" w:cs="Arial"/>
          <w:sz w:val="20"/>
          <w:szCs w:val="20"/>
        </w:rPr>
      </w:pPr>
    </w:p>
    <w:p w:rsidR="00C9621B" w:rsidRPr="00C9621B" w:rsidRDefault="00C9621B" w:rsidP="00C9621B">
      <w:pPr>
        <w:autoSpaceDE w:val="0"/>
        <w:autoSpaceDN w:val="0"/>
        <w:adjustRightInd w:val="0"/>
        <w:spacing w:after="0"/>
        <w:jc w:val="both"/>
        <w:rPr>
          <w:rFonts w:ascii="Arial" w:hAnsi="Arial" w:cs="Arial"/>
          <w:sz w:val="20"/>
          <w:szCs w:val="20"/>
        </w:rPr>
      </w:pPr>
      <w:r w:rsidRPr="00C9621B">
        <w:rPr>
          <w:rFonts w:ascii="Arial" w:hAnsi="Arial" w:cs="Arial"/>
          <w:sz w:val="20"/>
          <w:szCs w:val="20"/>
        </w:rPr>
        <w:t>5. Tomada de Contas Extraordinária. Contratação de escritório de advocacia. Prestação de serviços de compensação de créditos previdenciários. Prejulgado n° 6: Vedação à terceirização de serviços contábeis e jurídicos. Procedência da representação. Condenação à devolução dos recursos. Aplicação de multas.</w:t>
      </w:r>
    </w:p>
    <w:p w:rsidR="00402651" w:rsidRDefault="00402651" w:rsidP="00402651">
      <w:pPr>
        <w:autoSpaceDE w:val="0"/>
        <w:autoSpaceDN w:val="0"/>
        <w:adjustRightInd w:val="0"/>
        <w:spacing w:after="0"/>
        <w:jc w:val="both"/>
        <w:rPr>
          <w:rFonts w:ascii="Arial" w:hAnsi="Arial" w:cs="Arial"/>
          <w:b/>
          <w:sz w:val="20"/>
          <w:szCs w:val="20"/>
        </w:rPr>
      </w:pPr>
    </w:p>
    <w:p w:rsidR="00402651" w:rsidRPr="00402651" w:rsidRDefault="00402651" w:rsidP="00402651">
      <w:pPr>
        <w:autoSpaceDE w:val="0"/>
        <w:autoSpaceDN w:val="0"/>
        <w:adjustRightInd w:val="0"/>
        <w:spacing w:after="0"/>
        <w:jc w:val="both"/>
        <w:rPr>
          <w:rFonts w:ascii="Arial" w:hAnsi="Arial" w:cs="Arial"/>
          <w:sz w:val="20"/>
          <w:szCs w:val="20"/>
        </w:rPr>
      </w:pPr>
      <w:r w:rsidRPr="00402651">
        <w:rPr>
          <w:rFonts w:ascii="Arial" w:hAnsi="Arial" w:cs="Arial"/>
          <w:sz w:val="20"/>
          <w:szCs w:val="20"/>
        </w:rPr>
        <w:t>6. Transferência Voluntária Estadual. Falhas formais relativas ao período de adaptação dos jurisdicionados ao SIT. Extrapolação de valores previstos no plano de aplicação. Não realização de pesquisa de preço junto a, no mínimo, três fornecedores do ramo. Regularidade das contas com ressalva e recomendações.</w:t>
      </w:r>
    </w:p>
    <w:p w:rsidR="00402651" w:rsidRPr="00402651" w:rsidRDefault="00402651" w:rsidP="00402651">
      <w:pPr>
        <w:autoSpaceDE w:val="0"/>
        <w:autoSpaceDN w:val="0"/>
        <w:adjustRightInd w:val="0"/>
        <w:spacing w:after="0"/>
        <w:jc w:val="both"/>
        <w:rPr>
          <w:rFonts w:ascii="Arial" w:hAnsi="Arial" w:cs="Arial"/>
          <w:sz w:val="20"/>
          <w:szCs w:val="20"/>
        </w:rPr>
      </w:pPr>
      <w:r w:rsidRPr="00402651">
        <w:rPr>
          <w:rFonts w:ascii="Arial" w:hAnsi="Arial" w:cs="Arial"/>
          <w:sz w:val="20"/>
          <w:szCs w:val="20"/>
        </w:rPr>
        <w:lastRenderedPageBreak/>
        <w:t>7. Prestação de Contas Anual. Inconsistências em posições de valores e direitos do ativo circulante e do ativo não circulante. Ressalvas. Ausência de indicação nominal, completa, das obrigações do passivo não circulante. Irregularidade, com aplicação de multa.</w:t>
      </w:r>
    </w:p>
    <w:p w:rsidR="00C9621B" w:rsidRPr="00BA3207" w:rsidRDefault="00C9621B" w:rsidP="00BA3207">
      <w:pPr>
        <w:spacing w:after="0"/>
        <w:jc w:val="both"/>
        <w:rPr>
          <w:rFonts w:ascii="Arial" w:hAnsi="Arial" w:cs="Arial"/>
          <w:sz w:val="20"/>
          <w:szCs w:val="20"/>
        </w:rPr>
      </w:pPr>
    </w:p>
    <w:p w:rsidR="00F95A28" w:rsidRDefault="00F95A28" w:rsidP="00F95A28">
      <w:pPr>
        <w:spacing w:after="0"/>
        <w:jc w:val="both"/>
        <w:rPr>
          <w:rFonts w:ascii="Arial" w:hAnsi="Arial" w:cs="Arial"/>
          <w:sz w:val="20"/>
          <w:szCs w:val="20"/>
        </w:rPr>
      </w:pPr>
      <w:r w:rsidRPr="00F95A28">
        <w:rPr>
          <w:rFonts w:ascii="Arial" w:hAnsi="Arial" w:cs="Arial"/>
          <w:sz w:val="20"/>
          <w:szCs w:val="20"/>
        </w:rPr>
        <w:t xml:space="preserve">8. Prestação de Contas do Poder Legislativo do Município de Flórida. Atraso na entrega de dados informatizados no SIM/AM. Justificativas da entidade não acolhidas – aplicação da Uniformização de Jurisprudência nº 10 deste TCE – pela regularidade com ressalva e aplicação de multa. </w:t>
      </w:r>
    </w:p>
    <w:p w:rsidR="00F95A28" w:rsidRPr="00F95A28" w:rsidRDefault="00F95A28" w:rsidP="00F95A28">
      <w:pPr>
        <w:spacing w:after="0"/>
        <w:jc w:val="both"/>
        <w:rPr>
          <w:rFonts w:ascii="Arial" w:hAnsi="Arial" w:cs="Arial"/>
          <w:sz w:val="20"/>
          <w:szCs w:val="20"/>
        </w:rPr>
      </w:pPr>
    </w:p>
    <w:p w:rsidR="00F95A28" w:rsidRPr="00F95A28" w:rsidRDefault="00F95A28" w:rsidP="00F95A28">
      <w:pPr>
        <w:autoSpaceDE w:val="0"/>
        <w:autoSpaceDN w:val="0"/>
        <w:adjustRightInd w:val="0"/>
        <w:spacing w:after="0"/>
        <w:jc w:val="both"/>
        <w:rPr>
          <w:rFonts w:ascii="Arial" w:hAnsi="Arial" w:cs="Arial"/>
          <w:sz w:val="20"/>
          <w:szCs w:val="20"/>
        </w:rPr>
      </w:pPr>
      <w:r w:rsidRPr="00F95A28">
        <w:rPr>
          <w:rFonts w:ascii="Arial" w:hAnsi="Arial" w:cs="Arial"/>
          <w:sz w:val="20"/>
          <w:szCs w:val="20"/>
        </w:rPr>
        <w:t>9. Incidente de inconstitucionalidade. Benefício previdenciário. Modificação de prazo. Ilegalidade.</w:t>
      </w:r>
    </w:p>
    <w:p w:rsidR="00F95A28" w:rsidRDefault="00F95A28" w:rsidP="00F95A28">
      <w:pPr>
        <w:autoSpaceDE w:val="0"/>
        <w:autoSpaceDN w:val="0"/>
        <w:adjustRightInd w:val="0"/>
        <w:spacing w:after="0"/>
        <w:jc w:val="both"/>
        <w:rPr>
          <w:rFonts w:ascii="Arial" w:hAnsi="Arial" w:cs="Arial"/>
          <w:b/>
          <w:sz w:val="20"/>
          <w:szCs w:val="20"/>
        </w:rPr>
      </w:pPr>
    </w:p>
    <w:p w:rsidR="00F95A28" w:rsidRDefault="00F95A28" w:rsidP="00F95A28">
      <w:pPr>
        <w:autoSpaceDE w:val="0"/>
        <w:autoSpaceDN w:val="0"/>
        <w:adjustRightInd w:val="0"/>
        <w:spacing w:after="0"/>
        <w:jc w:val="both"/>
        <w:rPr>
          <w:rFonts w:ascii="Arial" w:hAnsi="Arial" w:cs="Arial"/>
          <w:sz w:val="20"/>
          <w:szCs w:val="20"/>
        </w:rPr>
      </w:pPr>
      <w:r w:rsidRPr="00F95A28">
        <w:rPr>
          <w:rFonts w:ascii="Arial" w:hAnsi="Arial" w:cs="Arial"/>
          <w:sz w:val="20"/>
          <w:szCs w:val="20"/>
        </w:rPr>
        <w:t>10. Representação da Lei Nº 8.666/1993. Licitação. Fracionamento. Art. 23, § 5 da Lei 8.666/19933.</w:t>
      </w:r>
    </w:p>
    <w:p w:rsidR="002D68F2" w:rsidRPr="00F95A28" w:rsidRDefault="002D68F2" w:rsidP="00F95A28">
      <w:pPr>
        <w:autoSpaceDE w:val="0"/>
        <w:autoSpaceDN w:val="0"/>
        <w:adjustRightInd w:val="0"/>
        <w:spacing w:after="0"/>
        <w:jc w:val="both"/>
        <w:rPr>
          <w:rFonts w:ascii="Arial" w:hAnsi="Arial" w:cs="Arial"/>
          <w:sz w:val="20"/>
          <w:szCs w:val="20"/>
        </w:rPr>
      </w:pPr>
    </w:p>
    <w:p w:rsidR="002D68F2" w:rsidRPr="002D68F2" w:rsidRDefault="002D68F2" w:rsidP="002D68F2">
      <w:pPr>
        <w:spacing w:after="0"/>
        <w:jc w:val="both"/>
        <w:rPr>
          <w:rFonts w:ascii="Arial" w:hAnsi="Arial" w:cs="Arial"/>
          <w:color w:val="000000"/>
          <w:sz w:val="20"/>
          <w:szCs w:val="20"/>
        </w:rPr>
      </w:pPr>
      <w:r w:rsidRPr="002D68F2">
        <w:rPr>
          <w:rFonts w:ascii="Arial" w:hAnsi="Arial" w:cs="Arial"/>
          <w:color w:val="000000"/>
          <w:sz w:val="20"/>
          <w:szCs w:val="20"/>
        </w:rPr>
        <w:t xml:space="preserve">11. Representação. Acumulação remunerada de cargos públicos. Técnico bancário e professor. Impossibilidade. Não caracterização de cargo técnico. Procedência. </w:t>
      </w:r>
    </w:p>
    <w:p w:rsidR="00BA3207" w:rsidRDefault="00BA3207" w:rsidP="00BA3207">
      <w:pPr>
        <w:spacing w:after="0"/>
        <w:jc w:val="both"/>
        <w:rPr>
          <w:rFonts w:ascii="Arial" w:hAnsi="Arial" w:cs="Arial"/>
          <w:sz w:val="20"/>
          <w:szCs w:val="20"/>
        </w:rPr>
      </w:pPr>
    </w:p>
    <w:p w:rsidR="00DA4004" w:rsidRPr="00DA4004" w:rsidRDefault="00DA4004" w:rsidP="00DA4004">
      <w:pPr>
        <w:spacing w:after="0"/>
        <w:jc w:val="both"/>
        <w:rPr>
          <w:rStyle w:val="Hyperlink"/>
          <w:rFonts w:ascii="Arial" w:hAnsi="Arial" w:cs="Arial"/>
          <w:color w:val="000000" w:themeColor="text1"/>
          <w:sz w:val="20"/>
          <w:szCs w:val="20"/>
          <w:u w:val="none"/>
        </w:rPr>
      </w:pPr>
      <w:r w:rsidRPr="00DA4004">
        <w:rPr>
          <w:rStyle w:val="Hyperlink"/>
          <w:rFonts w:ascii="Arial" w:hAnsi="Arial" w:cs="Arial"/>
          <w:color w:val="000000" w:themeColor="text1"/>
          <w:sz w:val="20"/>
          <w:szCs w:val="20"/>
          <w:u w:val="none"/>
        </w:rPr>
        <w:t xml:space="preserve">12. Representação. Pregão Presencial. Contratação de serviços de vale-refeição. Vedação de oferta de taxa zero ou taxa negativa. Cláusula restritiva. Impossibilidade. Não afronta à Lei nº 8.666/93, art. 44, § 3º. Pela procedência com recomendações e aplicação de multa administrativa ao assessor jurídico e ao Diretor Presidente da entidade. </w:t>
      </w:r>
    </w:p>
    <w:p w:rsidR="00DA4004" w:rsidRDefault="00DA4004" w:rsidP="00BA3207">
      <w:pPr>
        <w:spacing w:after="0"/>
        <w:jc w:val="both"/>
        <w:rPr>
          <w:rFonts w:ascii="Arial" w:hAnsi="Arial" w:cs="Arial"/>
          <w:sz w:val="20"/>
          <w:szCs w:val="20"/>
        </w:rPr>
      </w:pPr>
    </w:p>
    <w:p w:rsidR="00DA4004" w:rsidRPr="00DA4004" w:rsidRDefault="00DA4004" w:rsidP="00DA4004">
      <w:pPr>
        <w:spacing w:after="0"/>
        <w:jc w:val="both"/>
        <w:rPr>
          <w:rStyle w:val="Hyperlink"/>
          <w:rFonts w:ascii="Arial" w:hAnsi="Arial" w:cs="Arial"/>
          <w:color w:val="000000" w:themeColor="text1"/>
          <w:sz w:val="20"/>
          <w:szCs w:val="20"/>
          <w:u w:val="none"/>
        </w:rPr>
      </w:pPr>
      <w:r w:rsidRPr="00DA4004">
        <w:rPr>
          <w:rStyle w:val="Hyperlink"/>
          <w:rFonts w:ascii="Arial" w:hAnsi="Arial" w:cs="Arial"/>
          <w:color w:val="000000" w:themeColor="text1"/>
          <w:sz w:val="20"/>
          <w:szCs w:val="20"/>
          <w:u w:val="none"/>
        </w:rPr>
        <w:t xml:space="preserve">13. Consulta. COHAPAR. Sociedade de economia mista. Regime jurídico predominantemente privado, com derrogação parcial por normas de direito público. Possibilidade de realização de acordos judiciais, desde que previamente regulamentados. Necessidade de demonstração da economicidade e atendimento ao interesse público da avença. Solução voltada à implementação de mecanismos consensuais de resolução de conflitos. </w:t>
      </w:r>
    </w:p>
    <w:p w:rsidR="00491F60" w:rsidRPr="0022060B" w:rsidRDefault="00491F60"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BA12A2" w:rsidRDefault="00BA12A2" w:rsidP="00816942">
      <w:pPr>
        <w:spacing w:after="0"/>
        <w:jc w:val="both"/>
        <w:rPr>
          <w:rFonts w:ascii="Arial" w:hAnsi="Arial" w:cs="Arial"/>
          <w:b/>
          <w:sz w:val="20"/>
          <w:szCs w:val="20"/>
        </w:rPr>
      </w:pPr>
    </w:p>
    <w:p w:rsidR="007528B2" w:rsidRDefault="0080643E" w:rsidP="00816942">
      <w:pPr>
        <w:spacing w:after="0"/>
        <w:jc w:val="both"/>
        <w:rPr>
          <w:rFonts w:ascii="Arial" w:hAnsi="Arial" w:cs="Arial"/>
          <w:b/>
          <w:sz w:val="20"/>
          <w:szCs w:val="20"/>
        </w:rPr>
      </w:pPr>
      <w:r>
        <w:rPr>
          <w:rFonts w:ascii="Arial" w:hAnsi="Arial" w:cs="Arial"/>
          <w:b/>
          <w:sz w:val="20"/>
          <w:szCs w:val="20"/>
        </w:rPr>
        <w:t>1</w:t>
      </w:r>
      <w:r w:rsidR="001D4D9A">
        <w:rPr>
          <w:rFonts w:ascii="Arial" w:hAnsi="Arial" w:cs="Arial"/>
          <w:b/>
          <w:sz w:val="20"/>
          <w:szCs w:val="20"/>
        </w:rPr>
        <w:t xml:space="preserve">. </w:t>
      </w:r>
      <w:r w:rsidR="007528B2" w:rsidRPr="0022060B">
        <w:rPr>
          <w:rFonts w:ascii="Arial" w:hAnsi="Arial" w:cs="Arial"/>
          <w:b/>
          <w:sz w:val="20"/>
          <w:szCs w:val="20"/>
        </w:rPr>
        <w:t xml:space="preserve">Alerta. </w:t>
      </w:r>
      <w:r w:rsidR="00C11F50" w:rsidRPr="0022060B">
        <w:rPr>
          <w:rFonts w:ascii="Arial" w:hAnsi="Arial" w:cs="Arial"/>
          <w:b/>
          <w:sz w:val="20"/>
          <w:szCs w:val="20"/>
        </w:rPr>
        <w:t>Extrapolação do Índice</w:t>
      </w:r>
      <w:r w:rsidR="002E0A60" w:rsidRPr="0022060B">
        <w:rPr>
          <w:rFonts w:ascii="Arial" w:hAnsi="Arial" w:cs="Arial"/>
          <w:b/>
          <w:sz w:val="20"/>
          <w:szCs w:val="20"/>
        </w:rPr>
        <w:t xml:space="preserve">. </w:t>
      </w:r>
      <w:r w:rsidR="00C11F50" w:rsidRPr="0022060B">
        <w:rPr>
          <w:rFonts w:ascii="Arial" w:hAnsi="Arial" w:cs="Arial"/>
          <w:b/>
          <w:sz w:val="20"/>
          <w:szCs w:val="20"/>
        </w:rPr>
        <w:t>95</w:t>
      </w:r>
      <w:r w:rsidR="002E0A60" w:rsidRPr="0022060B">
        <w:rPr>
          <w:rFonts w:ascii="Arial" w:hAnsi="Arial" w:cs="Arial"/>
          <w:b/>
          <w:sz w:val="20"/>
          <w:szCs w:val="20"/>
        </w:rPr>
        <w:t>% da Despesa Total com gastos com Pessoal. Poder Executivo Municipal</w:t>
      </w:r>
      <w:r w:rsidR="00910805" w:rsidRPr="0022060B">
        <w:rPr>
          <w:rFonts w:ascii="Arial" w:hAnsi="Arial" w:cs="Arial"/>
          <w:b/>
          <w:sz w:val="20"/>
          <w:szCs w:val="20"/>
        </w:rPr>
        <w:t>. LRF</w:t>
      </w:r>
      <w:r w:rsidR="00B30BB8" w:rsidRPr="0022060B">
        <w:rPr>
          <w:rFonts w:ascii="Arial" w:hAnsi="Arial" w:cs="Arial"/>
          <w:b/>
          <w:sz w:val="20"/>
          <w:szCs w:val="20"/>
        </w:rPr>
        <w:t xml:space="preserve"> - </w:t>
      </w:r>
      <w:r w:rsidR="00910805" w:rsidRPr="0022060B">
        <w:rPr>
          <w:rFonts w:ascii="Arial" w:hAnsi="Arial" w:cs="Arial"/>
          <w:b/>
          <w:sz w:val="20"/>
          <w:szCs w:val="20"/>
        </w:rPr>
        <w:t>Art. 20, III, “</w:t>
      </w:r>
      <w:r w:rsidR="001800A9" w:rsidRPr="0022060B">
        <w:rPr>
          <w:rFonts w:ascii="Arial" w:hAnsi="Arial" w:cs="Arial"/>
          <w:b/>
          <w:sz w:val="20"/>
          <w:szCs w:val="20"/>
        </w:rPr>
        <w:t>b</w:t>
      </w:r>
      <w:r w:rsidR="00910805" w:rsidRPr="0022060B">
        <w:rPr>
          <w:rFonts w:ascii="Arial" w:hAnsi="Arial" w:cs="Arial"/>
          <w:b/>
          <w:sz w:val="20"/>
          <w:szCs w:val="20"/>
        </w:rPr>
        <w:t xml:space="preserve">”. Teto de 54% da Receita Corrente Liquida. Expedição. </w:t>
      </w:r>
    </w:p>
    <w:p w:rsidR="0080643E" w:rsidRPr="0022060B" w:rsidRDefault="0080643E" w:rsidP="00816942">
      <w:pPr>
        <w:spacing w:after="0"/>
        <w:jc w:val="both"/>
        <w:rPr>
          <w:rFonts w:ascii="Arial" w:hAnsi="Arial" w:cs="Arial"/>
          <w:b/>
          <w:sz w:val="20"/>
          <w:szCs w:val="20"/>
        </w:rPr>
      </w:pPr>
    </w:p>
    <w:p w:rsidR="00C15322" w:rsidRPr="0022060B" w:rsidRDefault="00C15322"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Faz-se necessária a expedição de alerta ao Município, em conformidade com o artigo 59, III, § 1º, II e § 2º da Lei de Responsabilidade Fiscal, tendo em vista que constatada a extrapolação do limite de 95% das despesas de pessoal em 31 de dezembro de 2016, uma vez que, naquela data, caracterizado um gasto de 51,76% da receita corrente líquida com gastos com pessoal do Poder Executivo Municipal.</w:t>
      </w:r>
    </w:p>
    <w:p w:rsidR="0080643E" w:rsidRDefault="0080643E" w:rsidP="00816942">
      <w:pPr>
        <w:autoSpaceDE w:val="0"/>
        <w:autoSpaceDN w:val="0"/>
        <w:adjustRightInd w:val="0"/>
        <w:spacing w:after="0"/>
        <w:jc w:val="both"/>
        <w:rPr>
          <w:rFonts w:ascii="Arial" w:hAnsi="Arial" w:cs="Arial"/>
          <w:sz w:val="20"/>
          <w:szCs w:val="20"/>
        </w:rPr>
      </w:pPr>
    </w:p>
    <w:p w:rsidR="00097B00" w:rsidRPr="0022060B" w:rsidRDefault="00097B00"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Neste diapasão, insta destacar que, nos termos do parágrafo único</w:t>
      </w:r>
      <w:r w:rsidR="005A7C78" w:rsidRPr="0022060B">
        <w:rPr>
          <w:rFonts w:ascii="Arial" w:hAnsi="Arial" w:cs="Arial"/>
          <w:sz w:val="20"/>
          <w:szCs w:val="20"/>
        </w:rPr>
        <w:t xml:space="preserve"> </w:t>
      </w:r>
      <w:r w:rsidRPr="0022060B">
        <w:rPr>
          <w:rFonts w:ascii="Arial" w:hAnsi="Arial" w:cs="Arial"/>
          <w:sz w:val="20"/>
          <w:szCs w:val="20"/>
        </w:rPr>
        <w:t>do artigo 22 da Lei de Responsabilidade Fiscal, resta vedado ao Executivo da</w:t>
      </w:r>
      <w:r w:rsidR="005A7C78" w:rsidRPr="0022060B">
        <w:rPr>
          <w:rFonts w:ascii="Arial" w:hAnsi="Arial" w:cs="Arial"/>
          <w:sz w:val="20"/>
          <w:szCs w:val="20"/>
        </w:rPr>
        <w:t xml:space="preserve"> </w:t>
      </w:r>
      <w:r w:rsidRPr="0022060B">
        <w:rPr>
          <w:rFonts w:ascii="Arial" w:hAnsi="Arial" w:cs="Arial"/>
          <w:sz w:val="20"/>
          <w:szCs w:val="20"/>
        </w:rPr>
        <w:t xml:space="preserve">Municipalidade em tela: (a) a concessão </w:t>
      </w:r>
      <w:r w:rsidRPr="0022060B">
        <w:rPr>
          <w:rFonts w:ascii="Arial" w:hAnsi="Arial" w:cs="Arial"/>
          <w:sz w:val="20"/>
          <w:szCs w:val="20"/>
        </w:rPr>
        <w:lastRenderedPageBreak/>
        <w:t>de vantagem, aumento, reajuste ou</w:t>
      </w:r>
      <w:r w:rsidR="005A7C78" w:rsidRPr="0022060B">
        <w:rPr>
          <w:rFonts w:ascii="Arial" w:hAnsi="Arial" w:cs="Arial"/>
          <w:sz w:val="20"/>
          <w:szCs w:val="20"/>
        </w:rPr>
        <w:t xml:space="preserve"> </w:t>
      </w:r>
      <w:r w:rsidRPr="0022060B">
        <w:rPr>
          <w:rFonts w:ascii="Arial" w:hAnsi="Arial" w:cs="Arial"/>
          <w:sz w:val="20"/>
          <w:szCs w:val="20"/>
        </w:rPr>
        <w:t>adequação de remuneração a qualquer título, salvo os derivados de sentença</w:t>
      </w:r>
      <w:r w:rsidR="005A7C78" w:rsidRPr="0022060B">
        <w:rPr>
          <w:rFonts w:ascii="Arial" w:hAnsi="Arial" w:cs="Arial"/>
          <w:sz w:val="20"/>
          <w:szCs w:val="20"/>
        </w:rPr>
        <w:t xml:space="preserve"> </w:t>
      </w:r>
      <w:r w:rsidRPr="0022060B">
        <w:rPr>
          <w:rFonts w:ascii="Arial" w:hAnsi="Arial" w:cs="Arial"/>
          <w:sz w:val="20"/>
          <w:szCs w:val="20"/>
        </w:rPr>
        <w:t>judicial ou de determinação legal ou contratual, ressalvada a revisão prevista no</w:t>
      </w:r>
      <w:r w:rsidR="005A7C78" w:rsidRPr="0022060B">
        <w:rPr>
          <w:rFonts w:ascii="Arial" w:hAnsi="Arial" w:cs="Arial"/>
          <w:sz w:val="20"/>
          <w:szCs w:val="20"/>
        </w:rPr>
        <w:t xml:space="preserve"> </w:t>
      </w:r>
      <w:r w:rsidRPr="0022060B">
        <w:rPr>
          <w:rFonts w:ascii="Arial" w:hAnsi="Arial" w:cs="Arial"/>
          <w:sz w:val="20"/>
          <w:szCs w:val="20"/>
        </w:rPr>
        <w:t>inciso X do art. 37 da Constituição; (b) a criação de cargo, emprego ou função; (c) a</w:t>
      </w:r>
      <w:r w:rsidR="005A7C78" w:rsidRPr="0022060B">
        <w:rPr>
          <w:rFonts w:ascii="Arial" w:hAnsi="Arial" w:cs="Arial"/>
          <w:sz w:val="20"/>
          <w:szCs w:val="20"/>
        </w:rPr>
        <w:t xml:space="preserve"> </w:t>
      </w:r>
      <w:r w:rsidRPr="0022060B">
        <w:rPr>
          <w:rFonts w:ascii="Arial" w:hAnsi="Arial" w:cs="Arial"/>
          <w:sz w:val="20"/>
          <w:szCs w:val="20"/>
        </w:rPr>
        <w:t>alteração de estrutura de carreira que implique aumento de despesa; (d) o</w:t>
      </w:r>
      <w:r w:rsidR="005A7C78" w:rsidRPr="0022060B">
        <w:rPr>
          <w:rFonts w:ascii="Arial" w:hAnsi="Arial" w:cs="Arial"/>
          <w:sz w:val="20"/>
          <w:szCs w:val="20"/>
        </w:rPr>
        <w:t xml:space="preserve"> </w:t>
      </w:r>
      <w:r w:rsidRPr="0022060B">
        <w:rPr>
          <w:rFonts w:ascii="Arial" w:hAnsi="Arial" w:cs="Arial"/>
          <w:sz w:val="20"/>
          <w:szCs w:val="20"/>
        </w:rPr>
        <w:t>provimento de cargo público, admissão ou contratação de pessoal a qualquer título,</w:t>
      </w:r>
      <w:r w:rsidR="005A7C78" w:rsidRPr="0022060B">
        <w:rPr>
          <w:rFonts w:ascii="Arial" w:hAnsi="Arial" w:cs="Arial"/>
          <w:sz w:val="20"/>
          <w:szCs w:val="20"/>
        </w:rPr>
        <w:t xml:space="preserve"> </w:t>
      </w:r>
      <w:r w:rsidRPr="0022060B">
        <w:rPr>
          <w:rFonts w:ascii="Arial" w:hAnsi="Arial" w:cs="Arial"/>
          <w:sz w:val="20"/>
          <w:szCs w:val="20"/>
        </w:rPr>
        <w:t>ressalvada a reposição decorrente de aposentadoria ou falecimento de servidores</w:t>
      </w:r>
      <w:r w:rsidR="005A7C78" w:rsidRPr="0022060B">
        <w:rPr>
          <w:rFonts w:ascii="Arial" w:hAnsi="Arial" w:cs="Arial"/>
          <w:sz w:val="20"/>
          <w:szCs w:val="20"/>
        </w:rPr>
        <w:t xml:space="preserve"> </w:t>
      </w:r>
      <w:r w:rsidRPr="0022060B">
        <w:rPr>
          <w:rFonts w:ascii="Arial" w:hAnsi="Arial" w:cs="Arial"/>
          <w:sz w:val="20"/>
          <w:szCs w:val="20"/>
        </w:rPr>
        <w:t>das áreas de educação, saúde e segurança; e (e) a contratação de hora extra, salvo</w:t>
      </w:r>
      <w:r w:rsidR="005A7C78" w:rsidRPr="0022060B">
        <w:rPr>
          <w:rFonts w:ascii="Arial" w:hAnsi="Arial" w:cs="Arial"/>
          <w:sz w:val="20"/>
          <w:szCs w:val="20"/>
        </w:rPr>
        <w:t xml:space="preserve"> </w:t>
      </w:r>
      <w:r w:rsidRPr="0022060B">
        <w:rPr>
          <w:rFonts w:ascii="Arial" w:hAnsi="Arial" w:cs="Arial"/>
          <w:sz w:val="20"/>
          <w:szCs w:val="20"/>
        </w:rPr>
        <w:t>no caso do disposto no inciso II do § 6º do artigo 57 da Constituição e as situações</w:t>
      </w:r>
      <w:r w:rsidR="005A7C78" w:rsidRPr="0022060B">
        <w:rPr>
          <w:rFonts w:ascii="Arial" w:hAnsi="Arial" w:cs="Arial"/>
          <w:sz w:val="20"/>
          <w:szCs w:val="20"/>
        </w:rPr>
        <w:t xml:space="preserve"> </w:t>
      </w:r>
      <w:r w:rsidRPr="0022060B">
        <w:rPr>
          <w:rFonts w:ascii="Arial" w:hAnsi="Arial" w:cs="Arial"/>
          <w:sz w:val="20"/>
          <w:szCs w:val="20"/>
        </w:rPr>
        <w:t>previstas na lei de diretrizes orçamentárias.</w:t>
      </w:r>
    </w:p>
    <w:p w:rsidR="0080643E" w:rsidRDefault="0080643E" w:rsidP="00816942">
      <w:pPr>
        <w:autoSpaceDE w:val="0"/>
        <w:autoSpaceDN w:val="0"/>
        <w:adjustRightInd w:val="0"/>
        <w:spacing w:after="0"/>
        <w:jc w:val="both"/>
        <w:rPr>
          <w:rFonts w:ascii="Arial" w:hAnsi="Arial" w:cs="Arial"/>
          <w:sz w:val="20"/>
          <w:szCs w:val="20"/>
        </w:rPr>
      </w:pPr>
    </w:p>
    <w:p w:rsidR="005A7C78" w:rsidRPr="0022060B" w:rsidRDefault="005A7C78"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Processo n° 148995/17 - </w:t>
      </w:r>
      <w:hyperlink r:id="rId8" w:history="1">
        <w:r w:rsidRPr="0022060B">
          <w:rPr>
            <w:rStyle w:val="Hyperlink"/>
            <w:rFonts w:ascii="Arial" w:hAnsi="Arial" w:cs="Arial"/>
            <w:sz w:val="20"/>
            <w:szCs w:val="20"/>
          </w:rPr>
          <w:t>Acórdão n° 2008/17 - Primeira Câmara</w:t>
        </w:r>
      </w:hyperlink>
      <w:r w:rsidRPr="0022060B">
        <w:rPr>
          <w:rFonts w:ascii="Arial" w:hAnsi="Arial" w:cs="Arial"/>
          <w:sz w:val="20"/>
          <w:szCs w:val="20"/>
        </w:rPr>
        <w:t xml:space="preserve"> - Rel. Conselheiro Nestor Baptista.  </w:t>
      </w:r>
    </w:p>
    <w:p w:rsidR="005F7E35" w:rsidRPr="0022060B" w:rsidRDefault="005F7E35" w:rsidP="00816942">
      <w:pPr>
        <w:autoSpaceDE w:val="0"/>
        <w:autoSpaceDN w:val="0"/>
        <w:adjustRightInd w:val="0"/>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Pr="0022060B" w:rsidRDefault="00785DB0" w:rsidP="00816942">
      <w:pPr>
        <w:autoSpaceDE w:val="0"/>
        <w:autoSpaceDN w:val="0"/>
        <w:adjustRightInd w:val="0"/>
        <w:spacing w:after="0"/>
        <w:rPr>
          <w:rFonts w:ascii="Arial" w:hAnsi="Arial" w:cs="Arial"/>
          <w:sz w:val="20"/>
          <w:szCs w:val="20"/>
        </w:rPr>
      </w:pPr>
    </w:p>
    <w:p w:rsidR="0022060B" w:rsidRPr="0022060B" w:rsidRDefault="0080643E" w:rsidP="00816942">
      <w:pPr>
        <w:spacing w:after="0"/>
        <w:jc w:val="both"/>
        <w:rPr>
          <w:rFonts w:ascii="Arial" w:hAnsi="Arial" w:cs="Arial"/>
          <w:b/>
          <w:sz w:val="20"/>
          <w:szCs w:val="20"/>
        </w:rPr>
      </w:pPr>
      <w:r>
        <w:rPr>
          <w:rFonts w:ascii="Arial" w:hAnsi="Arial" w:cs="Arial"/>
          <w:b/>
          <w:sz w:val="20"/>
          <w:szCs w:val="20"/>
        </w:rPr>
        <w:t>2</w:t>
      </w:r>
      <w:r w:rsidR="001D4D9A">
        <w:rPr>
          <w:rFonts w:ascii="Arial" w:hAnsi="Arial" w:cs="Arial"/>
          <w:b/>
          <w:sz w:val="20"/>
          <w:szCs w:val="20"/>
        </w:rPr>
        <w:t xml:space="preserve">. </w:t>
      </w:r>
      <w:r w:rsidR="0022060B" w:rsidRPr="0022060B">
        <w:rPr>
          <w:rFonts w:ascii="Arial" w:hAnsi="Arial" w:cs="Arial"/>
          <w:b/>
          <w:sz w:val="20"/>
          <w:szCs w:val="20"/>
        </w:rPr>
        <w:t>Prestação de Contas de Transferência Voluntária. Despesas executadas em valores que extrapolaram o plano de aplicação. Despesas compensadas com redução em outras rubricas. Pela regularidad</w:t>
      </w:r>
      <w:bookmarkStart w:id="0" w:name="_GoBack"/>
      <w:bookmarkEnd w:id="0"/>
      <w:r w:rsidR="0022060B" w:rsidRPr="0022060B">
        <w:rPr>
          <w:rFonts w:ascii="Arial" w:hAnsi="Arial" w:cs="Arial"/>
          <w:b/>
          <w:sz w:val="20"/>
          <w:szCs w:val="20"/>
        </w:rPr>
        <w:t xml:space="preserve">e com ressalva e recomendação. </w:t>
      </w:r>
    </w:p>
    <w:p w:rsidR="0080643E" w:rsidRDefault="0080643E" w:rsidP="00816942">
      <w:pPr>
        <w:spacing w:after="0"/>
        <w:jc w:val="both"/>
        <w:rPr>
          <w:rFonts w:ascii="Arial" w:hAnsi="Arial" w:cs="Arial"/>
          <w:sz w:val="20"/>
          <w:szCs w:val="20"/>
        </w:rPr>
      </w:pPr>
    </w:p>
    <w:p w:rsidR="0022060B" w:rsidRPr="0022060B" w:rsidRDefault="0022060B" w:rsidP="00816942">
      <w:pPr>
        <w:spacing w:after="0"/>
        <w:jc w:val="both"/>
        <w:rPr>
          <w:rFonts w:ascii="Arial" w:hAnsi="Arial" w:cs="Arial"/>
          <w:sz w:val="20"/>
          <w:szCs w:val="20"/>
        </w:rPr>
      </w:pPr>
      <w:r w:rsidRPr="0022060B">
        <w:rPr>
          <w:rFonts w:ascii="Arial" w:hAnsi="Arial" w:cs="Arial"/>
          <w:sz w:val="20"/>
          <w:szCs w:val="20"/>
        </w:rPr>
        <w:t>No importe de R$ 241.789,04 (setecentos e quarenta e um mil, setecentos e oitenta e nove reais e quatro centavos), foi celebrado convênio entre a Secretaria de Estado da Educação e o Município de Santo Ant</w:t>
      </w:r>
      <w:r w:rsidR="007D0ED5">
        <w:rPr>
          <w:rFonts w:ascii="Arial" w:hAnsi="Arial" w:cs="Arial"/>
          <w:sz w:val="20"/>
          <w:szCs w:val="20"/>
        </w:rPr>
        <w:t>ô</w:t>
      </w:r>
      <w:r w:rsidRPr="0022060B">
        <w:rPr>
          <w:rFonts w:ascii="Arial" w:hAnsi="Arial" w:cs="Arial"/>
          <w:sz w:val="20"/>
          <w:szCs w:val="20"/>
        </w:rPr>
        <w:t xml:space="preserve">nio do Sudoeste (Termo de Convênio nº 1220120353/2012), visando a implementação do transporte escolar para alunos da rede pública estadual. </w:t>
      </w:r>
    </w:p>
    <w:p w:rsidR="0080643E" w:rsidRDefault="0080643E" w:rsidP="00816942">
      <w:pPr>
        <w:spacing w:after="0"/>
        <w:jc w:val="both"/>
        <w:rPr>
          <w:rFonts w:ascii="Arial" w:hAnsi="Arial" w:cs="Arial"/>
          <w:sz w:val="20"/>
          <w:szCs w:val="20"/>
        </w:rPr>
      </w:pPr>
    </w:p>
    <w:p w:rsidR="0022060B" w:rsidRPr="0022060B" w:rsidRDefault="0022060B" w:rsidP="00816942">
      <w:pPr>
        <w:spacing w:after="0"/>
        <w:jc w:val="both"/>
        <w:rPr>
          <w:rFonts w:ascii="Arial" w:hAnsi="Arial" w:cs="Arial"/>
          <w:sz w:val="20"/>
          <w:szCs w:val="20"/>
        </w:rPr>
      </w:pPr>
      <w:proofErr w:type="gramStart"/>
      <w:r w:rsidRPr="0022060B">
        <w:rPr>
          <w:rFonts w:ascii="Arial" w:hAnsi="Arial" w:cs="Arial"/>
          <w:sz w:val="20"/>
          <w:szCs w:val="20"/>
        </w:rPr>
        <w:t>A  prestação</w:t>
      </w:r>
      <w:proofErr w:type="gramEnd"/>
      <w:r w:rsidRPr="0022060B">
        <w:rPr>
          <w:rFonts w:ascii="Arial" w:hAnsi="Arial" w:cs="Arial"/>
          <w:sz w:val="20"/>
          <w:szCs w:val="20"/>
        </w:rPr>
        <w:t xml:space="preserve"> de contas  mostrou que foram realizadas despesas  com passagens e locomoção em valores maiores do que os previstos no plano de aplicação, evidenciando uma diferença de R$ 31.704, 28. Contudo, a entidade tomadora esclareceu, em sede de contraditório – o que restou acolhido pelo Acórdão -, que houve a compensação na rubrica de combustível, por necessidade surgida durante a vigência do convênio.  A Unidade Técnica verificou que globalmente, o volume financeiro das despesas executadas estava consistente com o total do repasse, permitindo concluir que as diferenças individuais entre os gastos previstos e executados do plano de aplicação foram, compensados nas respectivas rubricas. </w:t>
      </w:r>
    </w:p>
    <w:p w:rsidR="0080643E" w:rsidRDefault="0080643E" w:rsidP="00816942">
      <w:pPr>
        <w:spacing w:after="0"/>
        <w:jc w:val="both"/>
        <w:rPr>
          <w:rFonts w:ascii="Arial" w:hAnsi="Arial" w:cs="Arial"/>
          <w:sz w:val="20"/>
          <w:szCs w:val="20"/>
        </w:rPr>
      </w:pPr>
    </w:p>
    <w:p w:rsidR="0022060B" w:rsidRPr="0022060B" w:rsidRDefault="0022060B" w:rsidP="00816942">
      <w:pPr>
        <w:spacing w:after="0"/>
        <w:jc w:val="both"/>
        <w:rPr>
          <w:rFonts w:ascii="Arial" w:hAnsi="Arial" w:cs="Arial"/>
          <w:sz w:val="20"/>
          <w:szCs w:val="20"/>
        </w:rPr>
      </w:pPr>
      <w:r w:rsidRPr="0022060B">
        <w:rPr>
          <w:rFonts w:ascii="Arial" w:hAnsi="Arial" w:cs="Arial"/>
          <w:sz w:val="20"/>
          <w:szCs w:val="20"/>
        </w:rPr>
        <w:t xml:space="preserve">Ainda que tal irregularidade tenha sido justificada, mas não sanada, considerou-se que não houve indícios de </w:t>
      </w:r>
      <w:proofErr w:type="spellStart"/>
      <w:r w:rsidRPr="0022060B">
        <w:rPr>
          <w:rFonts w:ascii="Arial" w:hAnsi="Arial" w:cs="Arial"/>
          <w:sz w:val="20"/>
          <w:szCs w:val="20"/>
        </w:rPr>
        <w:t>dano</w:t>
      </w:r>
      <w:proofErr w:type="spellEnd"/>
      <w:r w:rsidRPr="0022060B">
        <w:rPr>
          <w:rFonts w:ascii="Arial" w:hAnsi="Arial" w:cs="Arial"/>
          <w:sz w:val="20"/>
          <w:szCs w:val="20"/>
        </w:rPr>
        <w:t xml:space="preserve"> ao erário ou à execução do objeto do convênio e por isso, o apontamento foi ressalvado e as contas julgadas regulares, sem prejuízo de expedição de recomendação à Secretaria de Estado da Educação. </w:t>
      </w:r>
    </w:p>
    <w:p w:rsidR="0080643E" w:rsidRDefault="0080643E" w:rsidP="00816942">
      <w:pPr>
        <w:spacing w:after="0"/>
        <w:jc w:val="both"/>
        <w:rPr>
          <w:rFonts w:ascii="Arial" w:hAnsi="Arial" w:cs="Arial"/>
          <w:sz w:val="20"/>
          <w:szCs w:val="20"/>
        </w:rPr>
      </w:pPr>
    </w:p>
    <w:p w:rsidR="0022060B" w:rsidRPr="0022060B" w:rsidRDefault="0022060B" w:rsidP="00816942">
      <w:pPr>
        <w:spacing w:after="0"/>
        <w:jc w:val="both"/>
        <w:rPr>
          <w:rFonts w:ascii="Arial" w:hAnsi="Arial" w:cs="Arial"/>
          <w:sz w:val="20"/>
          <w:szCs w:val="20"/>
        </w:rPr>
      </w:pPr>
      <w:r w:rsidRPr="0022060B">
        <w:rPr>
          <w:rFonts w:ascii="Arial" w:hAnsi="Arial" w:cs="Arial"/>
          <w:sz w:val="20"/>
          <w:szCs w:val="20"/>
        </w:rPr>
        <w:t xml:space="preserve">Processo nº 127349/13 </w:t>
      </w:r>
      <w:r w:rsidR="0080643E">
        <w:rPr>
          <w:rFonts w:ascii="Arial" w:hAnsi="Arial" w:cs="Arial"/>
          <w:sz w:val="20"/>
          <w:szCs w:val="20"/>
        </w:rPr>
        <w:t>-</w:t>
      </w:r>
      <w:r w:rsidRPr="0022060B">
        <w:rPr>
          <w:rFonts w:ascii="Arial" w:hAnsi="Arial" w:cs="Arial"/>
          <w:sz w:val="20"/>
          <w:szCs w:val="20"/>
        </w:rPr>
        <w:t xml:space="preserve"> </w:t>
      </w:r>
      <w:hyperlink r:id="rId9" w:history="1">
        <w:r w:rsidRPr="0022060B">
          <w:rPr>
            <w:rStyle w:val="Hyperlink"/>
            <w:rFonts w:ascii="Arial" w:hAnsi="Arial" w:cs="Arial"/>
            <w:sz w:val="20"/>
            <w:szCs w:val="20"/>
          </w:rPr>
          <w:t>Acórdão nº 2046/17- Segunda Câmara</w:t>
        </w:r>
      </w:hyperlink>
      <w:r w:rsidRPr="0022060B">
        <w:rPr>
          <w:rFonts w:ascii="Arial" w:hAnsi="Arial" w:cs="Arial"/>
          <w:sz w:val="20"/>
          <w:szCs w:val="20"/>
        </w:rPr>
        <w:t xml:space="preserve"> </w:t>
      </w:r>
      <w:r w:rsidR="0080643E">
        <w:rPr>
          <w:rFonts w:ascii="Arial" w:hAnsi="Arial" w:cs="Arial"/>
          <w:sz w:val="20"/>
          <w:szCs w:val="20"/>
        </w:rPr>
        <w:t>-</w:t>
      </w:r>
      <w:r w:rsidRPr="0022060B">
        <w:rPr>
          <w:rFonts w:ascii="Arial" w:hAnsi="Arial" w:cs="Arial"/>
          <w:sz w:val="20"/>
          <w:szCs w:val="20"/>
        </w:rPr>
        <w:t xml:space="preserve"> Rel. Conselheiro Ivan </w:t>
      </w:r>
      <w:proofErr w:type="spellStart"/>
      <w:r w:rsidRPr="0022060B">
        <w:rPr>
          <w:rFonts w:ascii="Arial" w:hAnsi="Arial" w:cs="Arial"/>
          <w:sz w:val="20"/>
          <w:szCs w:val="20"/>
        </w:rPr>
        <w:t>Lelis</w:t>
      </w:r>
      <w:proofErr w:type="spellEnd"/>
      <w:r w:rsidRPr="0022060B">
        <w:rPr>
          <w:rFonts w:ascii="Arial" w:hAnsi="Arial" w:cs="Arial"/>
          <w:sz w:val="20"/>
          <w:szCs w:val="20"/>
        </w:rPr>
        <w:t xml:space="preserve"> Bonilha. </w:t>
      </w:r>
    </w:p>
    <w:p w:rsidR="007436B5" w:rsidRPr="0022060B" w:rsidRDefault="007436B5" w:rsidP="00816942">
      <w:pPr>
        <w:autoSpaceDE w:val="0"/>
        <w:autoSpaceDN w:val="0"/>
        <w:adjustRightInd w:val="0"/>
        <w:spacing w:after="0"/>
        <w:jc w:val="both"/>
        <w:rPr>
          <w:rFonts w:ascii="Arial" w:hAnsi="Arial" w:cs="Arial"/>
          <w:b/>
          <w:sz w:val="20"/>
          <w:szCs w:val="20"/>
        </w:rPr>
      </w:pPr>
    </w:p>
    <w:p w:rsidR="007C250E" w:rsidRPr="0022060B" w:rsidRDefault="0080643E" w:rsidP="00816942">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3</w:t>
      </w:r>
      <w:r w:rsidR="001D4D9A">
        <w:rPr>
          <w:rFonts w:ascii="Arial" w:hAnsi="Arial" w:cs="Arial"/>
          <w:b/>
          <w:sz w:val="20"/>
          <w:szCs w:val="20"/>
        </w:rPr>
        <w:t xml:space="preserve">. </w:t>
      </w:r>
      <w:r w:rsidR="00FB3361" w:rsidRPr="0022060B">
        <w:rPr>
          <w:rFonts w:ascii="Arial" w:hAnsi="Arial" w:cs="Arial"/>
          <w:b/>
          <w:sz w:val="20"/>
          <w:szCs w:val="20"/>
        </w:rPr>
        <w:t xml:space="preserve">Admissão de Pessoal. Concurso Público. </w:t>
      </w:r>
      <w:r w:rsidR="002456AD" w:rsidRPr="0022060B">
        <w:rPr>
          <w:rFonts w:ascii="Arial" w:hAnsi="Arial" w:cs="Arial"/>
          <w:b/>
          <w:sz w:val="20"/>
          <w:szCs w:val="20"/>
        </w:rPr>
        <w:t>Aparente Acumulação Ilegal</w:t>
      </w:r>
      <w:r w:rsidR="002D1923" w:rsidRPr="0022060B">
        <w:rPr>
          <w:rFonts w:ascii="Arial" w:hAnsi="Arial" w:cs="Arial"/>
          <w:b/>
          <w:sz w:val="20"/>
          <w:szCs w:val="20"/>
        </w:rPr>
        <w:t xml:space="preserve"> de Cargos</w:t>
      </w:r>
      <w:r w:rsidR="002456AD" w:rsidRPr="0022060B">
        <w:rPr>
          <w:rFonts w:ascii="Arial" w:hAnsi="Arial" w:cs="Arial"/>
          <w:b/>
          <w:sz w:val="20"/>
          <w:szCs w:val="20"/>
        </w:rPr>
        <w:t xml:space="preserve">. </w:t>
      </w:r>
      <w:r w:rsidR="007C250E" w:rsidRPr="0022060B">
        <w:rPr>
          <w:rFonts w:ascii="Arial" w:hAnsi="Arial" w:cs="Arial"/>
          <w:b/>
          <w:sz w:val="20"/>
          <w:szCs w:val="20"/>
        </w:rPr>
        <w:t xml:space="preserve">Compatibilidade de Horários. </w:t>
      </w:r>
      <w:r w:rsidR="0038778B" w:rsidRPr="0022060B">
        <w:rPr>
          <w:rFonts w:ascii="Arial" w:hAnsi="Arial" w:cs="Arial"/>
          <w:b/>
          <w:sz w:val="20"/>
          <w:szCs w:val="20"/>
        </w:rPr>
        <w:t xml:space="preserve">Jornada Superior a 60 horas. </w:t>
      </w:r>
      <w:r w:rsidR="002D1923" w:rsidRPr="0022060B">
        <w:rPr>
          <w:rFonts w:ascii="Arial" w:hAnsi="Arial" w:cs="Arial"/>
          <w:b/>
          <w:sz w:val="20"/>
          <w:szCs w:val="20"/>
        </w:rPr>
        <w:t xml:space="preserve">Descanso entre uma Jornada e Outra. </w:t>
      </w:r>
      <w:r w:rsidR="0038778B" w:rsidRPr="0022060B">
        <w:rPr>
          <w:rFonts w:ascii="Arial" w:hAnsi="Arial" w:cs="Arial"/>
          <w:b/>
          <w:sz w:val="20"/>
          <w:szCs w:val="20"/>
        </w:rPr>
        <w:t xml:space="preserve">Legalidade e Registro. Expedição de Determinação. </w:t>
      </w:r>
    </w:p>
    <w:p w:rsidR="0080643E" w:rsidRDefault="0080643E" w:rsidP="00816942">
      <w:pPr>
        <w:autoSpaceDE w:val="0"/>
        <w:autoSpaceDN w:val="0"/>
        <w:adjustRightInd w:val="0"/>
        <w:spacing w:after="0"/>
        <w:jc w:val="both"/>
        <w:rPr>
          <w:rFonts w:ascii="Arial" w:hAnsi="Arial" w:cs="Arial"/>
          <w:sz w:val="20"/>
          <w:szCs w:val="20"/>
        </w:rPr>
      </w:pPr>
    </w:p>
    <w:p w:rsidR="00FB3361" w:rsidRPr="0022060B" w:rsidRDefault="001800A9"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A despeito da comprovação de compatibilidade de horários, a unidade técnica propõe que seja expedida recomendação ao Município “</w:t>
      </w:r>
      <w:r w:rsidRPr="0022060B">
        <w:rPr>
          <w:rFonts w:ascii="Arial" w:hAnsi="Arial" w:cs="Arial"/>
          <w:i/>
          <w:iCs/>
          <w:sz w:val="20"/>
          <w:szCs w:val="20"/>
        </w:rPr>
        <w:t>para que seja observado um</w:t>
      </w:r>
      <w:r w:rsidR="006E0A9F" w:rsidRPr="0022060B">
        <w:rPr>
          <w:rFonts w:ascii="Arial" w:hAnsi="Arial" w:cs="Arial"/>
          <w:i/>
          <w:iCs/>
          <w:sz w:val="20"/>
          <w:szCs w:val="20"/>
        </w:rPr>
        <w:t xml:space="preserve"> </w:t>
      </w:r>
      <w:r w:rsidRPr="0022060B">
        <w:rPr>
          <w:rFonts w:ascii="Arial" w:hAnsi="Arial" w:cs="Arial"/>
          <w:i/>
          <w:iCs/>
          <w:sz w:val="20"/>
          <w:szCs w:val="20"/>
        </w:rPr>
        <w:t>período razoável de descanso entre um emprego e outro, especialmente na área da</w:t>
      </w:r>
      <w:r w:rsidR="006E0A9F" w:rsidRPr="0022060B">
        <w:rPr>
          <w:rFonts w:ascii="Arial" w:hAnsi="Arial" w:cs="Arial"/>
          <w:i/>
          <w:iCs/>
          <w:sz w:val="20"/>
          <w:szCs w:val="20"/>
        </w:rPr>
        <w:t xml:space="preserve"> </w:t>
      </w:r>
      <w:r w:rsidRPr="0022060B">
        <w:rPr>
          <w:rFonts w:ascii="Arial" w:hAnsi="Arial" w:cs="Arial"/>
          <w:i/>
          <w:iCs/>
          <w:sz w:val="20"/>
          <w:szCs w:val="20"/>
        </w:rPr>
        <w:t>saúde vez que a falta de tempo razoável para o descanso pode resultar fadiga, fator</w:t>
      </w:r>
      <w:r w:rsidR="006E0A9F" w:rsidRPr="0022060B">
        <w:rPr>
          <w:rFonts w:ascii="Arial" w:hAnsi="Arial" w:cs="Arial"/>
          <w:i/>
          <w:iCs/>
          <w:sz w:val="20"/>
          <w:szCs w:val="20"/>
        </w:rPr>
        <w:t xml:space="preserve"> </w:t>
      </w:r>
      <w:r w:rsidRPr="0022060B">
        <w:rPr>
          <w:rFonts w:ascii="Arial" w:hAnsi="Arial" w:cs="Arial"/>
          <w:i/>
          <w:iCs/>
          <w:sz w:val="20"/>
          <w:szCs w:val="20"/>
        </w:rPr>
        <w:t>que pode colocar em risco a saúde do profissional permitindo prejuízo à eficiência</w:t>
      </w:r>
      <w:r w:rsidR="006E0A9F" w:rsidRPr="0022060B">
        <w:rPr>
          <w:rFonts w:ascii="Arial" w:hAnsi="Arial" w:cs="Arial"/>
          <w:i/>
          <w:iCs/>
          <w:sz w:val="20"/>
          <w:szCs w:val="20"/>
        </w:rPr>
        <w:t xml:space="preserve"> </w:t>
      </w:r>
      <w:r w:rsidRPr="0022060B">
        <w:rPr>
          <w:rFonts w:ascii="Arial" w:hAnsi="Arial" w:cs="Arial"/>
          <w:i/>
          <w:iCs/>
          <w:sz w:val="20"/>
          <w:szCs w:val="20"/>
        </w:rPr>
        <w:t>dos serviços prestados, os quais, no caso da saúde, podem incidir em danos</w:t>
      </w:r>
      <w:r w:rsidR="006E0A9F" w:rsidRPr="0022060B">
        <w:rPr>
          <w:rFonts w:ascii="Arial" w:hAnsi="Arial" w:cs="Arial"/>
          <w:i/>
          <w:iCs/>
          <w:sz w:val="20"/>
          <w:szCs w:val="20"/>
        </w:rPr>
        <w:t xml:space="preserve"> </w:t>
      </w:r>
      <w:r w:rsidRPr="0022060B">
        <w:rPr>
          <w:rFonts w:ascii="Arial" w:hAnsi="Arial" w:cs="Arial"/>
          <w:i/>
          <w:iCs/>
          <w:sz w:val="20"/>
          <w:szCs w:val="20"/>
        </w:rPr>
        <w:t>irreparáveis aos usuários</w:t>
      </w:r>
      <w:r w:rsidRPr="0022060B">
        <w:rPr>
          <w:rFonts w:ascii="Arial" w:hAnsi="Arial" w:cs="Arial"/>
          <w:sz w:val="20"/>
          <w:szCs w:val="20"/>
        </w:rPr>
        <w:t>”</w:t>
      </w:r>
      <w:r w:rsidR="006E0A9F" w:rsidRPr="0022060B">
        <w:rPr>
          <w:rFonts w:ascii="Arial" w:hAnsi="Arial" w:cs="Arial"/>
          <w:sz w:val="20"/>
          <w:szCs w:val="20"/>
        </w:rPr>
        <w:t>.</w:t>
      </w:r>
      <w:r w:rsidR="00AF5921" w:rsidRPr="0022060B">
        <w:rPr>
          <w:rFonts w:ascii="Arial" w:hAnsi="Arial" w:cs="Arial"/>
          <w:sz w:val="20"/>
          <w:szCs w:val="20"/>
        </w:rPr>
        <w:t xml:space="preserve"> </w:t>
      </w:r>
      <w:r w:rsidR="006E0A9F" w:rsidRPr="0022060B">
        <w:rPr>
          <w:rFonts w:ascii="Arial" w:hAnsi="Arial" w:cs="Arial"/>
          <w:sz w:val="20"/>
          <w:szCs w:val="20"/>
        </w:rPr>
        <w:t>Entende-se desta feita ser relevante para a questão em análise destacar o entendimento que vem sendo defendido por esta</w:t>
      </w:r>
      <w:r w:rsidR="00AF5921" w:rsidRPr="0022060B">
        <w:rPr>
          <w:rFonts w:ascii="Arial" w:hAnsi="Arial" w:cs="Arial"/>
          <w:sz w:val="20"/>
          <w:szCs w:val="20"/>
        </w:rPr>
        <w:t xml:space="preserve"> </w:t>
      </w:r>
      <w:r w:rsidR="006E0A9F" w:rsidRPr="0022060B">
        <w:rPr>
          <w:rFonts w:ascii="Arial" w:hAnsi="Arial" w:cs="Arial"/>
          <w:sz w:val="20"/>
          <w:szCs w:val="20"/>
        </w:rPr>
        <w:t>Corte e também pelo STF quando da discussão acerca da possibilidade de</w:t>
      </w:r>
      <w:r w:rsidR="00AF5921" w:rsidRPr="0022060B">
        <w:rPr>
          <w:rFonts w:ascii="Arial" w:hAnsi="Arial" w:cs="Arial"/>
          <w:sz w:val="20"/>
          <w:szCs w:val="20"/>
        </w:rPr>
        <w:t xml:space="preserve"> </w:t>
      </w:r>
      <w:r w:rsidR="006E0A9F" w:rsidRPr="0022060B">
        <w:rPr>
          <w:rFonts w:ascii="Arial" w:hAnsi="Arial" w:cs="Arial"/>
          <w:sz w:val="20"/>
          <w:szCs w:val="20"/>
        </w:rPr>
        <w:t>acumulação de cargos com jornada de trabalho superior a 60 horas, no sentido de</w:t>
      </w:r>
      <w:r w:rsidR="00AF5921" w:rsidRPr="0022060B">
        <w:rPr>
          <w:rFonts w:ascii="Arial" w:hAnsi="Arial" w:cs="Arial"/>
          <w:sz w:val="20"/>
          <w:szCs w:val="20"/>
        </w:rPr>
        <w:t xml:space="preserve"> </w:t>
      </w:r>
      <w:r w:rsidR="006E0A9F" w:rsidRPr="0022060B">
        <w:rPr>
          <w:rFonts w:ascii="Arial" w:hAnsi="Arial" w:cs="Arial"/>
          <w:sz w:val="20"/>
          <w:szCs w:val="20"/>
        </w:rPr>
        <w:t xml:space="preserve">que </w:t>
      </w:r>
      <w:r w:rsidR="006E0A9F" w:rsidRPr="0022060B">
        <w:rPr>
          <w:rFonts w:ascii="Arial" w:hAnsi="Arial" w:cs="Arial"/>
          <w:bCs/>
          <w:sz w:val="20"/>
          <w:szCs w:val="20"/>
        </w:rPr>
        <w:t>não há previsão constitucional ou infraconstitucional referente a</w:t>
      </w:r>
      <w:r w:rsidR="007D0ED5">
        <w:rPr>
          <w:rFonts w:ascii="Arial" w:hAnsi="Arial" w:cs="Arial"/>
          <w:bCs/>
          <w:sz w:val="20"/>
          <w:szCs w:val="20"/>
        </w:rPr>
        <w:t>o</w:t>
      </w:r>
      <w:r w:rsidR="006E0A9F" w:rsidRPr="0022060B">
        <w:rPr>
          <w:rFonts w:ascii="Arial" w:hAnsi="Arial" w:cs="Arial"/>
          <w:bCs/>
          <w:sz w:val="20"/>
          <w:szCs w:val="20"/>
        </w:rPr>
        <w:t xml:space="preserve"> período</w:t>
      </w:r>
      <w:r w:rsidR="00AF5921" w:rsidRPr="0022060B">
        <w:rPr>
          <w:rFonts w:ascii="Arial" w:hAnsi="Arial" w:cs="Arial"/>
          <w:bCs/>
          <w:sz w:val="20"/>
          <w:szCs w:val="20"/>
        </w:rPr>
        <w:t xml:space="preserve"> </w:t>
      </w:r>
      <w:r w:rsidR="006E0A9F" w:rsidRPr="0022060B">
        <w:rPr>
          <w:rFonts w:ascii="Arial" w:hAnsi="Arial" w:cs="Arial"/>
          <w:bCs/>
          <w:sz w:val="20"/>
          <w:szCs w:val="20"/>
        </w:rPr>
        <w:t>de repouso entre uma jornada e outra</w:t>
      </w:r>
      <w:r w:rsidR="006E0A9F" w:rsidRPr="0022060B">
        <w:rPr>
          <w:rFonts w:ascii="Arial" w:hAnsi="Arial" w:cs="Arial"/>
          <w:sz w:val="20"/>
          <w:szCs w:val="20"/>
        </w:rPr>
        <w:t>.</w:t>
      </w:r>
    </w:p>
    <w:p w:rsidR="0080643E" w:rsidRDefault="0080643E" w:rsidP="00816942">
      <w:pPr>
        <w:autoSpaceDE w:val="0"/>
        <w:autoSpaceDN w:val="0"/>
        <w:adjustRightInd w:val="0"/>
        <w:spacing w:after="0"/>
        <w:jc w:val="both"/>
        <w:rPr>
          <w:rFonts w:ascii="Arial" w:hAnsi="Arial" w:cs="Arial"/>
          <w:sz w:val="20"/>
          <w:szCs w:val="20"/>
        </w:rPr>
      </w:pPr>
    </w:p>
    <w:p w:rsidR="0080643E" w:rsidRDefault="00AF5921"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Desta forma, ainda que não haja previsão constitucional ou infraconstitucional que condicione a acumulação de cargos a um período mínimo de descanso entre uma jornada e outra, </w:t>
      </w:r>
      <w:r w:rsidRPr="0022060B">
        <w:rPr>
          <w:rFonts w:ascii="Arial" w:hAnsi="Arial" w:cs="Arial"/>
          <w:bCs/>
          <w:sz w:val="20"/>
          <w:szCs w:val="20"/>
        </w:rPr>
        <w:t>incumbe à autoridade administrativa responsável fazer cumprir intervalo razoável a fim de evitar que seja prejudicada a prestação do serviço, os quais devem ser prestados com a</w:t>
      </w:r>
      <w:r w:rsidR="00CD27B7" w:rsidRPr="0022060B">
        <w:rPr>
          <w:rFonts w:ascii="Arial" w:hAnsi="Arial" w:cs="Arial"/>
          <w:bCs/>
          <w:sz w:val="20"/>
          <w:szCs w:val="20"/>
        </w:rPr>
        <w:t xml:space="preserve"> </w:t>
      </w:r>
      <w:r w:rsidRPr="0022060B">
        <w:rPr>
          <w:rFonts w:ascii="Arial" w:hAnsi="Arial" w:cs="Arial"/>
          <w:bCs/>
          <w:sz w:val="20"/>
          <w:szCs w:val="20"/>
        </w:rPr>
        <w:t>máxima eficiência</w:t>
      </w:r>
      <w:r w:rsidRPr="0022060B">
        <w:rPr>
          <w:rFonts w:ascii="Arial" w:hAnsi="Arial" w:cs="Arial"/>
          <w:sz w:val="20"/>
          <w:szCs w:val="20"/>
        </w:rPr>
        <w:t>.</w:t>
      </w:r>
      <w:r w:rsidR="00CD27B7" w:rsidRPr="0022060B">
        <w:rPr>
          <w:rFonts w:ascii="Arial" w:hAnsi="Arial" w:cs="Arial"/>
          <w:sz w:val="20"/>
          <w:szCs w:val="20"/>
        </w:rPr>
        <w:t xml:space="preserve"> </w:t>
      </w:r>
    </w:p>
    <w:p w:rsidR="0080643E" w:rsidRDefault="0080643E" w:rsidP="00816942">
      <w:pPr>
        <w:autoSpaceDE w:val="0"/>
        <w:autoSpaceDN w:val="0"/>
        <w:adjustRightInd w:val="0"/>
        <w:spacing w:after="0"/>
        <w:jc w:val="both"/>
        <w:rPr>
          <w:rFonts w:ascii="Arial" w:hAnsi="Arial" w:cs="Arial"/>
          <w:sz w:val="20"/>
          <w:szCs w:val="20"/>
        </w:rPr>
      </w:pPr>
    </w:p>
    <w:p w:rsidR="00AF5921" w:rsidRPr="0022060B" w:rsidRDefault="00CD27B7"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Assim, </w:t>
      </w:r>
      <w:r w:rsidR="00AF5921" w:rsidRPr="0022060B">
        <w:rPr>
          <w:rFonts w:ascii="Arial" w:hAnsi="Arial" w:cs="Arial"/>
          <w:sz w:val="20"/>
          <w:szCs w:val="20"/>
        </w:rPr>
        <w:t>o Município ao contratar</w:t>
      </w:r>
      <w:r w:rsidRPr="0022060B">
        <w:rPr>
          <w:rFonts w:ascii="Arial" w:hAnsi="Arial" w:cs="Arial"/>
          <w:sz w:val="20"/>
          <w:szCs w:val="20"/>
        </w:rPr>
        <w:t xml:space="preserve"> </w:t>
      </w:r>
      <w:r w:rsidR="00AF5921" w:rsidRPr="0022060B">
        <w:rPr>
          <w:rFonts w:ascii="Arial" w:hAnsi="Arial" w:cs="Arial"/>
          <w:sz w:val="20"/>
          <w:szCs w:val="20"/>
        </w:rPr>
        <w:t xml:space="preserve">profissionais que acumulam cargos ou empregos públicos, </w:t>
      </w:r>
      <w:r w:rsidRPr="0022060B">
        <w:rPr>
          <w:rFonts w:ascii="Arial" w:hAnsi="Arial" w:cs="Arial"/>
          <w:sz w:val="20"/>
          <w:szCs w:val="20"/>
        </w:rPr>
        <w:t xml:space="preserve">deve </w:t>
      </w:r>
      <w:r w:rsidR="00AF5921" w:rsidRPr="0022060B">
        <w:rPr>
          <w:rFonts w:ascii="Arial" w:hAnsi="Arial" w:cs="Arial"/>
          <w:sz w:val="20"/>
          <w:szCs w:val="20"/>
        </w:rPr>
        <w:t>verifi</w:t>
      </w:r>
      <w:r w:rsidRPr="0022060B">
        <w:rPr>
          <w:rFonts w:ascii="Arial" w:hAnsi="Arial" w:cs="Arial"/>
          <w:sz w:val="20"/>
          <w:szCs w:val="20"/>
        </w:rPr>
        <w:t xml:space="preserve">car </w:t>
      </w:r>
      <w:r w:rsidR="00AF5921" w:rsidRPr="0022060B">
        <w:rPr>
          <w:rFonts w:ascii="Arial" w:hAnsi="Arial" w:cs="Arial"/>
          <w:sz w:val="20"/>
          <w:szCs w:val="20"/>
        </w:rPr>
        <w:t>se há</w:t>
      </w:r>
      <w:r w:rsidRPr="0022060B">
        <w:rPr>
          <w:rFonts w:ascii="Arial" w:hAnsi="Arial" w:cs="Arial"/>
          <w:sz w:val="20"/>
          <w:szCs w:val="20"/>
        </w:rPr>
        <w:t xml:space="preserve"> </w:t>
      </w:r>
      <w:r w:rsidR="00AF5921" w:rsidRPr="0022060B">
        <w:rPr>
          <w:rFonts w:ascii="Arial" w:hAnsi="Arial" w:cs="Arial"/>
          <w:sz w:val="20"/>
          <w:szCs w:val="20"/>
        </w:rPr>
        <w:t>efetivamente compatibilidade de horários, de modo a não comprometer outros</w:t>
      </w:r>
      <w:r w:rsidRPr="0022060B">
        <w:rPr>
          <w:rFonts w:ascii="Arial" w:hAnsi="Arial" w:cs="Arial"/>
          <w:sz w:val="20"/>
          <w:szCs w:val="20"/>
        </w:rPr>
        <w:t xml:space="preserve"> </w:t>
      </w:r>
      <w:r w:rsidR="00AF5921" w:rsidRPr="0022060B">
        <w:rPr>
          <w:rFonts w:ascii="Arial" w:hAnsi="Arial" w:cs="Arial"/>
          <w:sz w:val="20"/>
          <w:szCs w:val="20"/>
        </w:rPr>
        <w:t>princípios constitucionais, sobretudo o da eficiência no serviço público prestado.</w:t>
      </w:r>
    </w:p>
    <w:p w:rsidR="0080643E" w:rsidRDefault="0080643E" w:rsidP="00816942">
      <w:pPr>
        <w:autoSpaceDE w:val="0"/>
        <w:autoSpaceDN w:val="0"/>
        <w:adjustRightInd w:val="0"/>
        <w:spacing w:after="0"/>
        <w:jc w:val="both"/>
        <w:rPr>
          <w:rFonts w:ascii="Arial" w:hAnsi="Arial" w:cs="Arial"/>
          <w:sz w:val="20"/>
          <w:szCs w:val="20"/>
        </w:rPr>
      </w:pPr>
    </w:p>
    <w:p w:rsidR="00CD27B7" w:rsidRPr="0022060B" w:rsidRDefault="00CD27B7"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Processo n° 565410/08 - </w:t>
      </w:r>
      <w:hyperlink r:id="rId10" w:history="1">
        <w:r w:rsidRPr="0022060B">
          <w:rPr>
            <w:rStyle w:val="Hyperlink"/>
            <w:rFonts w:ascii="Arial" w:hAnsi="Arial" w:cs="Arial"/>
            <w:sz w:val="20"/>
            <w:szCs w:val="20"/>
          </w:rPr>
          <w:t>Acórdão n° 2208/17 - Segunda Câmara</w:t>
        </w:r>
      </w:hyperlink>
      <w:r w:rsidRPr="0022060B">
        <w:rPr>
          <w:rFonts w:ascii="Arial" w:hAnsi="Arial" w:cs="Arial"/>
          <w:sz w:val="20"/>
          <w:szCs w:val="20"/>
        </w:rPr>
        <w:t xml:space="preserve"> - Rel. Auditor Thiago Barbosa Cordeiro.</w:t>
      </w:r>
    </w:p>
    <w:p w:rsidR="005E4648" w:rsidRDefault="005E4648" w:rsidP="00816942">
      <w:pPr>
        <w:autoSpaceDE w:val="0"/>
        <w:autoSpaceDN w:val="0"/>
        <w:adjustRightInd w:val="0"/>
        <w:spacing w:after="0"/>
        <w:jc w:val="both"/>
        <w:rPr>
          <w:rFonts w:ascii="Arial" w:hAnsi="Arial" w:cs="Arial"/>
          <w:sz w:val="20"/>
          <w:szCs w:val="20"/>
        </w:rPr>
      </w:pPr>
    </w:p>
    <w:p w:rsidR="005E4648" w:rsidRPr="0022060B" w:rsidRDefault="0080643E" w:rsidP="00816942">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1D4D9A">
        <w:rPr>
          <w:rFonts w:ascii="Arial" w:hAnsi="Arial" w:cs="Arial"/>
          <w:b/>
          <w:sz w:val="20"/>
          <w:szCs w:val="20"/>
        </w:rPr>
        <w:t xml:space="preserve">. </w:t>
      </w:r>
      <w:r w:rsidR="005E4648" w:rsidRPr="0022060B">
        <w:rPr>
          <w:rFonts w:ascii="Arial" w:hAnsi="Arial" w:cs="Arial"/>
          <w:b/>
          <w:sz w:val="20"/>
          <w:szCs w:val="20"/>
        </w:rPr>
        <w:t>Prestação de Contas. Desproporcionalidade entre cargos efetivos e comissionados,</w:t>
      </w:r>
      <w:r w:rsidR="003F4721" w:rsidRPr="0022060B">
        <w:rPr>
          <w:rFonts w:ascii="Arial" w:hAnsi="Arial" w:cs="Arial"/>
          <w:b/>
          <w:sz w:val="20"/>
          <w:szCs w:val="20"/>
        </w:rPr>
        <w:t xml:space="preserve"> </w:t>
      </w:r>
      <w:r w:rsidR="005E4648" w:rsidRPr="0022060B">
        <w:rPr>
          <w:rFonts w:ascii="Arial" w:hAnsi="Arial" w:cs="Arial"/>
          <w:b/>
          <w:sz w:val="20"/>
          <w:szCs w:val="20"/>
        </w:rPr>
        <w:t>contrariando o artigo 37, incisos II e V, da Constituição Federal</w:t>
      </w:r>
      <w:r w:rsidR="003F4721" w:rsidRPr="0022060B">
        <w:rPr>
          <w:rFonts w:ascii="Arial" w:hAnsi="Arial" w:cs="Arial"/>
          <w:b/>
          <w:sz w:val="20"/>
          <w:szCs w:val="20"/>
        </w:rPr>
        <w:t xml:space="preserve"> </w:t>
      </w:r>
      <w:r w:rsidR="005E4648" w:rsidRPr="0022060B">
        <w:rPr>
          <w:rFonts w:ascii="Arial" w:hAnsi="Arial" w:cs="Arial"/>
          <w:b/>
          <w:sz w:val="20"/>
          <w:szCs w:val="20"/>
        </w:rPr>
        <w:t xml:space="preserve">de 1988. </w:t>
      </w:r>
      <w:r w:rsidR="003F4721" w:rsidRPr="0022060B">
        <w:rPr>
          <w:rFonts w:ascii="Arial" w:hAnsi="Arial" w:cs="Arial"/>
          <w:b/>
          <w:bCs/>
          <w:sz w:val="20"/>
          <w:szCs w:val="20"/>
        </w:rPr>
        <w:t xml:space="preserve">Determinação </w:t>
      </w:r>
      <w:r w:rsidR="003F4721" w:rsidRPr="0022060B">
        <w:rPr>
          <w:rFonts w:ascii="Arial" w:hAnsi="Arial" w:cs="Arial"/>
          <w:b/>
          <w:sz w:val="20"/>
          <w:szCs w:val="20"/>
        </w:rPr>
        <w:t xml:space="preserve">para realização de estudos </w:t>
      </w:r>
      <w:r w:rsidR="006641F4" w:rsidRPr="0022060B">
        <w:rPr>
          <w:rFonts w:ascii="Arial" w:hAnsi="Arial" w:cs="Arial"/>
          <w:b/>
          <w:sz w:val="20"/>
          <w:szCs w:val="20"/>
        </w:rPr>
        <w:t>no</w:t>
      </w:r>
      <w:r w:rsidR="003F4721" w:rsidRPr="0022060B">
        <w:rPr>
          <w:rFonts w:ascii="Arial" w:hAnsi="Arial" w:cs="Arial"/>
          <w:b/>
          <w:sz w:val="20"/>
          <w:szCs w:val="20"/>
        </w:rPr>
        <w:t xml:space="preserve"> sentido de realizar concurso público e aplicação de </w:t>
      </w:r>
      <w:r w:rsidR="003F4721" w:rsidRPr="0022060B">
        <w:rPr>
          <w:rFonts w:ascii="Arial" w:hAnsi="Arial" w:cs="Arial"/>
          <w:b/>
          <w:bCs/>
          <w:sz w:val="20"/>
          <w:szCs w:val="20"/>
        </w:rPr>
        <w:t>multa</w:t>
      </w:r>
      <w:r w:rsidR="006641F4" w:rsidRPr="0022060B">
        <w:rPr>
          <w:rFonts w:ascii="Arial" w:hAnsi="Arial" w:cs="Arial"/>
          <w:b/>
          <w:bCs/>
          <w:sz w:val="20"/>
          <w:szCs w:val="20"/>
        </w:rPr>
        <w:t xml:space="preserve">. Irregularidade. </w:t>
      </w:r>
    </w:p>
    <w:p w:rsidR="0080643E" w:rsidRDefault="0080643E" w:rsidP="00816942">
      <w:pPr>
        <w:autoSpaceDE w:val="0"/>
        <w:autoSpaceDN w:val="0"/>
        <w:adjustRightInd w:val="0"/>
        <w:spacing w:after="0"/>
        <w:jc w:val="both"/>
        <w:rPr>
          <w:rFonts w:ascii="Arial" w:hAnsi="Arial" w:cs="Arial"/>
          <w:sz w:val="20"/>
          <w:szCs w:val="20"/>
        </w:rPr>
      </w:pPr>
    </w:p>
    <w:p w:rsidR="003E6EAF" w:rsidRPr="0022060B" w:rsidRDefault="003E6EA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Quanto a </w:t>
      </w:r>
      <w:r w:rsidRPr="0022060B">
        <w:rPr>
          <w:rFonts w:ascii="Arial" w:hAnsi="Arial" w:cs="Arial"/>
          <w:bCs/>
          <w:sz w:val="20"/>
          <w:szCs w:val="20"/>
        </w:rPr>
        <w:t>Ausência de Cargos Efetivos na Câmara Municipal</w:t>
      </w:r>
      <w:r w:rsidR="00732257" w:rsidRPr="0022060B">
        <w:rPr>
          <w:rFonts w:ascii="Arial" w:hAnsi="Arial" w:cs="Arial"/>
          <w:bCs/>
          <w:sz w:val="20"/>
          <w:szCs w:val="20"/>
        </w:rPr>
        <w:t xml:space="preserve">, </w:t>
      </w:r>
      <w:r w:rsidRPr="0022060B">
        <w:rPr>
          <w:rFonts w:ascii="Arial" w:hAnsi="Arial" w:cs="Arial"/>
          <w:sz w:val="20"/>
          <w:szCs w:val="20"/>
        </w:rPr>
        <w:t>muito embora, na avaliação deste Relator, não caiba a esta Corte apontar a</w:t>
      </w:r>
      <w:r w:rsidR="00732257" w:rsidRPr="0022060B">
        <w:rPr>
          <w:rFonts w:ascii="Arial" w:hAnsi="Arial" w:cs="Arial"/>
          <w:sz w:val="20"/>
          <w:szCs w:val="20"/>
        </w:rPr>
        <w:t xml:space="preserve"> </w:t>
      </w:r>
      <w:r w:rsidRPr="0022060B">
        <w:rPr>
          <w:rFonts w:ascii="Arial" w:hAnsi="Arial" w:cs="Arial"/>
          <w:sz w:val="20"/>
          <w:szCs w:val="20"/>
        </w:rPr>
        <w:t>necessidade ou onerosidade da manutenção de quadros próprios de pessoal pelas</w:t>
      </w:r>
      <w:r w:rsidR="00732257" w:rsidRPr="0022060B">
        <w:rPr>
          <w:rFonts w:ascii="Arial" w:hAnsi="Arial" w:cs="Arial"/>
          <w:sz w:val="20"/>
          <w:szCs w:val="20"/>
        </w:rPr>
        <w:t xml:space="preserve"> </w:t>
      </w:r>
      <w:r w:rsidRPr="0022060B">
        <w:rPr>
          <w:rFonts w:ascii="Arial" w:hAnsi="Arial" w:cs="Arial"/>
          <w:sz w:val="20"/>
          <w:szCs w:val="20"/>
        </w:rPr>
        <w:t>Câmaras Municipais, principalmente as de pequeno porte, à que se convir quanto a</w:t>
      </w:r>
      <w:r w:rsidR="00732257" w:rsidRPr="0022060B">
        <w:rPr>
          <w:rFonts w:ascii="Arial" w:hAnsi="Arial" w:cs="Arial"/>
          <w:sz w:val="20"/>
          <w:szCs w:val="20"/>
        </w:rPr>
        <w:t xml:space="preserve"> </w:t>
      </w:r>
      <w:r w:rsidRPr="0022060B">
        <w:rPr>
          <w:rFonts w:ascii="Arial" w:hAnsi="Arial" w:cs="Arial"/>
          <w:sz w:val="20"/>
          <w:szCs w:val="20"/>
        </w:rPr>
        <w:t>necessidade de uma estrutura administrativa mínima, que, aliada ao que dispõe o</w:t>
      </w:r>
      <w:r w:rsidR="00732257" w:rsidRPr="0022060B">
        <w:rPr>
          <w:rFonts w:ascii="Arial" w:hAnsi="Arial" w:cs="Arial"/>
          <w:sz w:val="20"/>
          <w:szCs w:val="20"/>
        </w:rPr>
        <w:t xml:space="preserve"> </w:t>
      </w:r>
      <w:r w:rsidRPr="0022060B">
        <w:rPr>
          <w:rFonts w:ascii="Arial" w:hAnsi="Arial" w:cs="Arial"/>
          <w:sz w:val="20"/>
          <w:szCs w:val="20"/>
        </w:rPr>
        <w:t>artigo 37, incisos II e V, da Constituição Federal de 1988, exigem uma</w:t>
      </w:r>
      <w:r w:rsidR="00732257" w:rsidRPr="0022060B">
        <w:rPr>
          <w:rFonts w:ascii="Arial" w:hAnsi="Arial" w:cs="Arial"/>
          <w:sz w:val="20"/>
          <w:szCs w:val="20"/>
        </w:rPr>
        <w:t xml:space="preserve"> </w:t>
      </w:r>
      <w:r w:rsidRPr="0022060B">
        <w:rPr>
          <w:rFonts w:ascii="Arial" w:hAnsi="Arial" w:cs="Arial"/>
          <w:sz w:val="20"/>
          <w:szCs w:val="20"/>
        </w:rPr>
        <w:t>proporcionalidade entre cargos efetivos e comissionados, fato que não vem sendo</w:t>
      </w:r>
      <w:r w:rsidR="00732257" w:rsidRPr="0022060B">
        <w:rPr>
          <w:rFonts w:ascii="Arial" w:hAnsi="Arial" w:cs="Arial"/>
          <w:sz w:val="20"/>
          <w:szCs w:val="20"/>
        </w:rPr>
        <w:t xml:space="preserve"> </w:t>
      </w:r>
      <w:r w:rsidRPr="0022060B">
        <w:rPr>
          <w:rFonts w:ascii="Arial" w:hAnsi="Arial" w:cs="Arial"/>
          <w:sz w:val="20"/>
          <w:szCs w:val="20"/>
        </w:rPr>
        <w:t>observado pela Câmara Municipal em questão.</w:t>
      </w:r>
      <w:r w:rsidR="00732257" w:rsidRPr="0022060B">
        <w:rPr>
          <w:rFonts w:ascii="Arial" w:hAnsi="Arial" w:cs="Arial"/>
          <w:sz w:val="20"/>
          <w:szCs w:val="20"/>
        </w:rPr>
        <w:t xml:space="preserve"> </w:t>
      </w:r>
    </w:p>
    <w:p w:rsidR="0080643E" w:rsidRDefault="0080643E" w:rsidP="00816942">
      <w:pPr>
        <w:autoSpaceDE w:val="0"/>
        <w:autoSpaceDN w:val="0"/>
        <w:adjustRightInd w:val="0"/>
        <w:spacing w:after="0"/>
        <w:jc w:val="both"/>
        <w:rPr>
          <w:rFonts w:ascii="Arial" w:hAnsi="Arial" w:cs="Arial"/>
          <w:sz w:val="20"/>
          <w:szCs w:val="20"/>
        </w:rPr>
      </w:pPr>
    </w:p>
    <w:p w:rsidR="003E6EAF" w:rsidRPr="0022060B" w:rsidRDefault="003E6EA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No entanto, destacamos como causas de </w:t>
      </w:r>
      <w:r w:rsidR="00E40C6A" w:rsidRPr="0022060B">
        <w:rPr>
          <w:rFonts w:ascii="Arial" w:hAnsi="Arial" w:cs="Arial"/>
          <w:sz w:val="20"/>
          <w:szCs w:val="20"/>
        </w:rPr>
        <w:t>irregularidade</w:t>
      </w:r>
      <w:r w:rsidRPr="0022060B">
        <w:rPr>
          <w:rFonts w:ascii="Arial" w:hAnsi="Arial" w:cs="Arial"/>
          <w:sz w:val="20"/>
          <w:szCs w:val="20"/>
        </w:rPr>
        <w:t xml:space="preserve"> a</w:t>
      </w:r>
      <w:r w:rsidR="00E40C6A" w:rsidRPr="0022060B">
        <w:rPr>
          <w:rFonts w:ascii="Arial" w:hAnsi="Arial" w:cs="Arial"/>
          <w:sz w:val="20"/>
          <w:szCs w:val="20"/>
        </w:rPr>
        <w:t xml:space="preserve"> </w:t>
      </w:r>
      <w:r w:rsidRPr="0022060B">
        <w:rPr>
          <w:rFonts w:ascii="Arial" w:hAnsi="Arial" w:cs="Arial"/>
          <w:sz w:val="20"/>
          <w:szCs w:val="20"/>
        </w:rPr>
        <w:t xml:space="preserve">desproporcionalidade entre o número de servidores efetivos - estes inexistentes </w:t>
      </w:r>
      <w:r w:rsidR="00E40C6A" w:rsidRPr="0022060B">
        <w:rPr>
          <w:rFonts w:ascii="Arial" w:hAnsi="Arial" w:cs="Arial"/>
          <w:sz w:val="20"/>
          <w:szCs w:val="20"/>
        </w:rPr>
        <w:t>-</w:t>
      </w:r>
      <w:r w:rsidRPr="0022060B">
        <w:rPr>
          <w:rFonts w:ascii="Arial" w:hAnsi="Arial" w:cs="Arial"/>
          <w:sz w:val="20"/>
          <w:szCs w:val="20"/>
        </w:rPr>
        <w:t xml:space="preserve"> e</w:t>
      </w:r>
      <w:r w:rsidR="00E40C6A" w:rsidRPr="0022060B">
        <w:rPr>
          <w:rFonts w:ascii="Arial" w:hAnsi="Arial" w:cs="Arial"/>
          <w:sz w:val="20"/>
          <w:szCs w:val="20"/>
        </w:rPr>
        <w:t xml:space="preserve"> </w:t>
      </w:r>
      <w:r w:rsidRPr="0022060B">
        <w:rPr>
          <w:rFonts w:ascii="Arial" w:hAnsi="Arial" w:cs="Arial"/>
          <w:sz w:val="20"/>
          <w:szCs w:val="20"/>
        </w:rPr>
        <w:t xml:space="preserve">os comissionados da Casa Legislativa e, ainda, a </w:t>
      </w:r>
      <w:r w:rsidRPr="0022060B">
        <w:rPr>
          <w:rFonts w:ascii="Arial" w:hAnsi="Arial" w:cs="Arial"/>
          <w:sz w:val="20"/>
          <w:szCs w:val="20"/>
        </w:rPr>
        <w:lastRenderedPageBreak/>
        <w:t>contradição apurada quanto à</w:t>
      </w:r>
      <w:r w:rsidR="00E40C6A" w:rsidRPr="0022060B">
        <w:rPr>
          <w:rFonts w:ascii="Arial" w:hAnsi="Arial" w:cs="Arial"/>
          <w:sz w:val="20"/>
          <w:szCs w:val="20"/>
        </w:rPr>
        <w:t xml:space="preserve"> </w:t>
      </w:r>
      <w:r w:rsidRPr="0022060B">
        <w:rPr>
          <w:rFonts w:ascii="Arial" w:hAnsi="Arial" w:cs="Arial"/>
          <w:sz w:val="20"/>
          <w:szCs w:val="20"/>
        </w:rPr>
        <w:t>afirmação do Responsável, em sede de contraditório, de que o cargo de Técnico em</w:t>
      </w:r>
      <w:r w:rsidR="00E40C6A" w:rsidRPr="0022060B">
        <w:rPr>
          <w:rFonts w:ascii="Arial" w:hAnsi="Arial" w:cs="Arial"/>
          <w:sz w:val="20"/>
          <w:szCs w:val="20"/>
        </w:rPr>
        <w:t xml:space="preserve"> </w:t>
      </w:r>
      <w:r w:rsidRPr="0022060B">
        <w:rPr>
          <w:rFonts w:ascii="Arial" w:hAnsi="Arial" w:cs="Arial"/>
          <w:sz w:val="20"/>
          <w:szCs w:val="20"/>
        </w:rPr>
        <w:t>Contabilidade esteve vago no exercício em exame de 2014, contrapondo com os</w:t>
      </w:r>
      <w:r w:rsidR="00E40C6A" w:rsidRPr="0022060B">
        <w:rPr>
          <w:rFonts w:ascii="Arial" w:hAnsi="Arial" w:cs="Arial"/>
          <w:sz w:val="20"/>
          <w:szCs w:val="20"/>
        </w:rPr>
        <w:t xml:space="preserve"> </w:t>
      </w:r>
      <w:r w:rsidRPr="0022060B">
        <w:rPr>
          <w:rFonts w:ascii="Arial" w:hAnsi="Arial" w:cs="Arial"/>
          <w:sz w:val="20"/>
          <w:szCs w:val="20"/>
        </w:rPr>
        <w:t>dados apresentados pela própria Entidade via SIM-AP.</w:t>
      </w:r>
    </w:p>
    <w:p w:rsidR="00DA4004" w:rsidRDefault="00DA4004" w:rsidP="00816942">
      <w:pPr>
        <w:autoSpaceDE w:val="0"/>
        <w:autoSpaceDN w:val="0"/>
        <w:adjustRightInd w:val="0"/>
        <w:spacing w:after="0"/>
        <w:jc w:val="both"/>
        <w:rPr>
          <w:rFonts w:ascii="Arial" w:hAnsi="Arial" w:cs="Arial"/>
          <w:sz w:val="20"/>
          <w:szCs w:val="20"/>
        </w:rPr>
      </w:pPr>
    </w:p>
    <w:p w:rsidR="00B66B6C" w:rsidRPr="0022060B" w:rsidRDefault="00B66B6C"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Processo n° 269361/15 - </w:t>
      </w:r>
      <w:hyperlink r:id="rId11" w:history="1">
        <w:r w:rsidRPr="0022060B">
          <w:rPr>
            <w:rStyle w:val="Hyperlink"/>
            <w:rFonts w:ascii="Arial" w:hAnsi="Arial" w:cs="Arial"/>
            <w:sz w:val="20"/>
            <w:szCs w:val="20"/>
          </w:rPr>
          <w:t>Acórdão n° 2182/17 - Segunda Câmara</w:t>
        </w:r>
      </w:hyperlink>
      <w:r w:rsidRPr="0022060B">
        <w:rPr>
          <w:rFonts w:ascii="Arial" w:hAnsi="Arial" w:cs="Arial"/>
          <w:sz w:val="20"/>
          <w:szCs w:val="20"/>
        </w:rPr>
        <w:t xml:space="preserve"> - Rel. Conselheiro </w:t>
      </w:r>
      <w:proofErr w:type="spellStart"/>
      <w:r w:rsidRPr="0022060B">
        <w:rPr>
          <w:rFonts w:ascii="Arial" w:hAnsi="Arial" w:cs="Arial"/>
          <w:sz w:val="20"/>
          <w:szCs w:val="20"/>
        </w:rPr>
        <w:t>Artagão</w:t>
      </w:r>
      <w:proofErr w:type="spellEnd"/>
      <w:r w:rsidRPr="0022060B">
        <w:rPr>
          <w:rFonts w:ascii="Arial" w:hAnsi="Arial" w:cs="Arial"/>
          <w:sz w:val="20"/>
          <w:szCs w:val="20"/>
        </w:rPr>
        <w:t xml:space="preserve"> de Mattos Leão. </w:t>
      </w:r>
    </w:p>
    <w:p w:rsidR="009A72EB" w:rsidRPr="0022060B" w:rsidRDefault="009A72EB" w:rsidP="00816942">
      <w:pPr>
        <w:autoSpaceDE w:val="0"/>
        <w:autoSpaceDN w:val="0"/>
        <w:adjustRightInd w:val="0"/>
        <w:spacing w:after="0"/>
        <w:jc w:val="both"/>
        <w:rPr>
          <w:rFonts w:ascii="Arial" w:hAnsi="Arial" w:cs="Arial"/>
          <w:sz w:val="20"/>
          <w:szCs w:val="20"/>
        </w:rPr>
      </w:pPr>
    </w:p>
    <w:p w:rsidR="00E40C6A" w:rsidRPr="0022060B" w:rsidRDefault="0080643E" w:rsidP="00816942">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1D4D9A">
        <w:rPr>
          <w:rFonts w:ascii="Arial" w:hAnsi="Arial" w:cs="Arial"/>
          <w:b/>
          <w:sz w:val="20"/>
          <w:szCs w:val="20"/>
        </w:rPr>
        <w:t xml:space="preserve">. </w:t>
      </w:r>
      <w:r w:rsidR="009A72EB" w:rsidRPr="0022060B">
        <w:rPr>
          <w:rFonts w:ascii="Arial" w:hAnsi="Arial" w:cs="Arial"/>
          <w:b/>
          <w:sz w:val="20"/>
          <w:szCs w:val="20"/>
        </w:rPr>
        <w:t>Tomada de Contas Extraordinária. Contratação de escritório de advocacia. Prestação de serviços de compensação de créditos previdenciários.</w:t>
      </w:r>
      <w:r w:rsidR="008D1051" w:rsidRPr="0022060B">
        <w:rPr>
          <w:rFonts w:ascii="Arial" w:hAnsi="Arial" w:cs="Arial"/>
          <w:b/>
          <w:sz w:val="20"/>
          <w:szCs w:val="20"/>
        </w:rPr>
        <w:t xml:space="preserve"> </w:t>
      </w:r>
      <w:r w:rsidR="009A72EB" w:rsidRPr="0022060B">
        <w:rPr>
          <w:rFonts w:ascii="Arial" w:hAnsi="Arial" w:cs="Arial"/>
          <w:b/>
          <w:sz w:val="20"/>
          <w:szCs w:val="20"/>
        </w:rPr>
        <w:t xml:space="preserve">Prejulgado n° 6: </w:t>
      </w:r>
      <w:r w:rsidR="008D1051" w:rsidRPr="0022060B">
        <w:rPr>
          <w:rFonts w:ascii="Arial" w:hAnsi="Arial" w:cs="Arial"/>
          <w:b/>
          <w:sz w:val="20"/>
          <w:szCs w:val="20"/>
        </w:rPr>
        <w:t>V</w:t>
      </w:r>
      <w:r w:rsidR="009A72EB" w:rsidRPr="0022060B">
        <w:rPr>
          <w:rFonts w:ascii="Arial" w:hAnsi="Arial" w:cs="Arial"/>
          <w:b/>
          <w:sz w:val="20"/>
          <w:szCs w:val="20"/>
        </w:rPr>
        <w:t>edação à terceirização de serviços</w:t>
      </w:r>
      <w:r w:rsidR="008D1051" w:rsidRPr="0022060B">
        <w:rPr>
          <w:rFonts w:ascii="Arial" w:hAnsi="Arial" w:cs="Arial"/>
          <w:b/>
          <w:sz w:val="20"/>
          <w:szCs w:val="20"/>
        </w:rPr>
        <w:t xml:space="preserve"> </w:t>
      </w:r>
      <w:r w:rsidR="009A72EB" w:rsidRPr="0022060B">
        <w:rPr>
          <w:rFonts w:ascii="Arial" w:hAnsi="Arial" w:cs="Arial"/>
          <w:b/>
          <w:sz w:val="20"/>
          <w:szCs w:val="20"/>
        </w:rPr>
        <w:t>contábeis e jurídicos.</w:t>
      </w:r>
      <w:r w:rsidR="00F4212F" w:rsidRPr="0022060B">
        <w:rPr>
          <w:rFonts w:ascii="Arial" w:hAnsi="Arial" w:cs="Arial"/>
          <w:b/>
          <w:sz w:val="20"/>
          <w:szCs w:val="20"/>
        </w:rPr>
        <w:t xml:space="preserve"> </w:t>
      </w:r>
      <w:r w:rsidR="009A72EB" w:rsidRPr="0022060B">
        <w:rPr>
          <w:rFonts w:ascii="Arial" w:hAnsi="Arial" w:cs="Arial"/>
          <w:b/>
          <w:sz w:val="20"/>
          <w:szCs w:val="20"/>
        </w:rPr>
        <w:t>Procedência da representação. Condenação à</w:t>
      </w:r>
      <w:r w:rsidR="00F447FA" w:rsidRPr="0022060B">
        <w:rPr>
          <w:rFonts w:ascii="Arial" w:hAnsi="Arial" w:cs="Arial"/>
          <w:b/>
          <w:sz w:val="20"/>
          <w:szCs w:val="20"/>
        </w:rPr>
        <w:t xml:space="preserve"> </w:t>
      </w:r>
      <w:r w:rsidR="009A72EB" w:rsidRPr="0022060B">
        <w:rPr>
          <w:rFonts w:ascii="Arial" w:hAnsi="Arial" w:cs="Arial"/>
          <w:b/>
          <w:sz w:val="20"/>
          <w:szCs w:val="20"/>
        </w:rPr>
        <w:t>devolução dos recursos. Aplicação de multas.</w:t>
      </w:r>
    </w:p>
    <w:p w:rsidR="0080643E" w:rsidRDefault="0080643E" w:rsidP="00816942">
      <w:pPr>
        <w:autoSpaceDE w:val="0"/>
        <w:autoSpaceDN w:val="0"/>
        <w:adjustRightInd w:val="0"/>
        <w:spacing w:after="0"/>
        <w:jc w:val="both"/>
        <w:rPr>
          <w:rFonts w:ascii="Arial" w:hAnsi="Arial" w:cs="Arial"/>
          <w:sz w:val="20"/>
          <w:szCs w:val="20"/>
        </w:rPr>
      </w:pPr>
    </w:p>
    <w:p w:rsidR="008219BA" w:rsidRPr="0022060B" w:rsidRDefault="007C10CC"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N</w:t>
      </w:r>
      <w:r w:rsidR="007077CD" w:rsidRPr="0022060B">
        <w:rPr>
          <w:rFonts w:ascii="Arial" w:hAnsi="Arial" w:cs="Arial"/>
          <w:sz w:val="20"/>
          <w:szCs w:val="20"/>
        </w:rPr>
        <w:t>ão</w:t>
      </w:r>
      <w:r w:rsidRPr="0022060B">
        <w:rPr>
          <w:rFonts w:ascii="Arial" w:hAnsi="Arial" w:cs="Arial"/>
          <w:sz w:val="20"/>
          <w:szCs w:val="20"/>
        </w:rPr>
        <w:t xml:space="preserve"> </w:t>
      </w:r>
      <w:r w:rsidR="007077CD" w:rsidRPr="0022060B">
        <w:rPr>
          <w:rFonts w:ascii="Arial" w:hAnsi="Arial" w:cs="Arial"/>
          <w:sz w:val="20"/>
          <w:szCs w:val="20"/>
        </w:rPr>
        <w:t>há como afastar a ofensa ao Prejulgado nº 6</w:t>
      </w:r>
      <w:r w:rsidRPr="0022060B">
        <w:rPr>
          <w:rFonts w:ascii="Arial" w:hAnsi="Arial" w:cs="Arial"/>
          <w:sz w:val="20"/>
          <w:szCs w:val="20"/>
        </w:rPr>
        <w:t xml:space="preserve"> </w:t>
      </w:r>
      <w:r w:rsidR="007077CD" w:rsidRPr="0022060B">
        <w:rPr>
          <w:rFonts w:ascii="Arial" w:hAnsi="Arial" w:cs="Arial"/>
          <w:sz w:val="20"/>
          <w:szCs w:val="20"/>
        </w:rPr>
        <w:t>desta Corte de Contas, dotado de força normativa e vinculante, em face de</w:t>
      </w:r>
      <w:r w:rsidRPr="0022060B">
        <w:rPr>
          <w:rFonts w:ascii="Arial" w:hAnsi="Arial" w:cs="Arial"/>
          <w:sz w:val="20"/>
          <w:szCs w:val="20"/>
        </w:rPr>
        <w:t xml:space="preserve"> </w:t>
      </w:r>
      <w:r w:rsidR="007077CD" w:rsidRPr="0022060B">
        <w:rPr>
          <w:rFonts w:ascii="Arial" w:hAnsi="Arial" w:cs="Arial"/>
          <w:sz w:val="20"/>
          <w:szCs w:val="20"/>
        </w:rPr>
        <w:t>disposição expressa do art. 410 do Regimento Interno, que condiciona a</w:t>
      </w:r>
      <w:r w:rsidRPr="0022060B">
        <w:rPr>
          <w:rFonts w:ascii="Arial" w:hAnsi="Arial" w:cs="Arial"/>
          <w:sz w:val="20"/>
          <w:szCs w:val="20"/>
        </w:rPr>
        <w:t xml:space="preserve"> </w:t>
      </w:r>
      <w:r w:rsidR="007077CD" w:rsidRPr="0022060B">
        <w:rPr>
          <w:rFonts w:ascii="Arial" w:hAnsi="Arial" w:cs="Arial"/>
          <w:sz w:val="20"/>
          <w:szCs w:val="20"/>
        </w:rPr>
        <w:t>possibilidade de contratação de assessoria jurídica ou contábil à singularidade do</w:t>
      </w:r>
      <w:r w:rsidR="008219BA" w:rsidRPr="0022060B">
        <w:rPr>
          <w:rFonts w:ascii="Arial" w:hAnsi="Arial" w:cs="Arial"/>
          <w:sz w:val="20"/>
          <w:szCs w:val="20"/>
        </w:rPr>
        <w:t xml:space="preserve"> </w:t>
      </w:r>
      <w:r w:rsidR="007077CD" w:rsidRPr="0022060B">
        <w:rPr>
          <w:rFonts w:ascii="Arial" w:hAnsi="Arial" w:cs="Arial"/>
          <w:sz w:val="20"/>
          <w:szCs w:val="20"/>
        </w:rPr>
        <w:t>objeto e alta complexidade dos serviços</w:t>
      </w:r>
      <w:r w:rsidR="008219BA" w:rsidRPr="0022060B">
        <w:rPr>
          <w:rFonts w:ascii="Arial" w:hAnsi="Arial" w:cs="Arial"/>
          <w:sz w:val="20"/>
          <w:szCs w:val="20"/>
        </w:rPr>
        <w:t>.</w:t>
      </w:r>
    </w:p>
    <w:p w:rsidR="0080643E" w:rsidRDefault="0080643E" w:rsidP="00816942">
      <w:pPr>
        <w:autoSpaceDE w:val="0"/>
        <w:autoSpaceDN w:val="0"/>
        <w:adjustRightInd w:val="0"/>
        <w:spacing w:after="0"/>
        <w:jc w:val="both"/>
        <w:rPr>
          <w:rFonts w:ascii="Arial" w:hAnsi="Arial" w:cs="Arial"/>
          <w:sz w:val="20"/>
          <w:szCs w:val="20"/>
        </w:rPr>
      </w:pPr>
    </w:p>
    <w:p w:rsidR="007077CD" w:rsidRPr="0022060B" w:rsidRDefault="007077CD"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De forma mais específica, a consulta respondida no Acórdão nº 3650/16</w:t>
      </w:r>
      <w:r w:rsidR="008219BA" w:rsidRPr="0022060B">
        <w:rPr>
          <w:rFonts w:ascii="Arial" w:hAnsi="Arial" w:cs="Arial"/>
          <w:sz w:val="20"/>
          <w:szCs w:val="20"/>
        </w:rPr>
        <w:t xml:space="preserve"> - </w:t>
      </w:r>
      <w:r w:rsidRPr="0022060B">
        <w:rPr>
          <w:rFonts w:ascii="Arial" w:hAnsi="Arial" w:cs="Arial"/>
          <w:sz w:val="20"/>
          <w:szCs w:val="20"/>
        </w:rPr>
        <w:t>Tribunal Pleno nos seguintes termos: “</w:t>
      </w:r>
      <w:r w:rsidRPr="0022060B">
        <w:rPr>
          <w:rFonts w:ascii="Arial" w:hAnsi="Arial" w:cs="Arial"/>
          <w:i/>
          <w:iCs/>
          <w:sz w:val="20"/>
          <w:szCs w:val="20"/>
        </w:rPr>
        <w:t>não é possível a contratação</w:t>
      </w:r>
      <w:r w:rsidR="008219BA" w:rsidRPr="0022060B">
        <w:rPr>
          <w:rFonts w:ascii="Arial" w:hAnsi="Arial" w:cs="Arial"/>
          <w:i/>
          <w:iCs/>
          <w:sz w:val="20"/>
          <w:szCs w:val="20"/>
        </w:rPr>
        <w:t xml:space="preserve"> </w:t>
      </w:r>
      <w:r w:rsidRPr="0022060B">
        <w:rPr>
          <w:rFonts w:ascii="Arial" w:hAnsi="Arial" w:cs="Arial"/>
          <w:i/>
          <w:iCs/>
          <w:sz w:val="20"/>
          <w:szCs w:val="20"/>
        </w:rPr>
        <w:t>de empresa para requerer administrativamente a compensação</w:t>
      </w:r>
      <w:r w:rsidR="008219BA" w:rsidRPr="0022060B">
        <w:rPr>
          <w:rFonts w:ascii="Arial" w:hAnsi="Arial" w:cs="Arial"/>
          <w:i/>
          <w:iCs/>
          <w:sz w:val="20"/>
          <w:szCs w:val="20"/>
        </w:rPr>
        <w:t xml:space="preserve"> </w:t>
      </w:r>
      <w:r w:rsidRPr="0022060B">
        <w:rPr>
          <w:rFonts w:ascii="Arial" w:hAnsi="Arial" w:cs="Arial"/>
          <w:i/>
          <w:iCs/>
          <w:sz w:val="20"/>
          <w:szCs w:val="20"/>
        </w:rPr>
        <w:t>de valores de contribuições previdenciárias perante a Receita</w:t>
      </w:r>
      <w:r w:rsidR="008219BA" w:rsidRPr="0022060B">
        <w:rPr>
          <w:rFonts w:ascii="Arial" w:hAnsi="Arial" w:cs="Arial"/>
          <w:i/>
          <w:iCs/>
          <w:sz w:val="20"/>
          <w:szCs w:val="20"/>
        </w:rPr>
        <w:t xml:space="preserve"> </w:t>
      </w:r>
      <w:r w:rsidRPr="0022060B">
        <w:rPr>
          <w:rFonts w:ascii="Arial" w:hAnsi="Arial" w:cs="Arial"/>
          <w:i/>
          <w:iCs/>
          <w:sz w:val="20"/>
          <w:szCs w:val="20"/>
        </w:rPr>
        <w:t>Federal, salvo hipóteses excepcionais previstas pelo</w:t>
      </w:r>
      <w:r w:rsidR="008219BA" w:rsidRPr="0022060B">
        <w:rPr>
          <w:rFonts w:ascii="Arial" w:hAnsi="Arial" w:cs="Arial"/>
          <w:i/>
          <w:iCs/>
          <w:sz w:val="20"/>
          <w:szCs w:val="20"/>
        </w:rPr>
        <w:t xml:space="preserve"> </w:t>
      </w:r>
      <w:r w:rsidRPr="0022060B">
        <w:rPr>
          <w:rFonts w:ascii="Arial" w:hAnsi="Arial" w:cs="Arial"/>
          <w:i/>
          <w:iCs/>
          <w:sz w:val="20"/>
          <w:szCs w:val="20"/>
        </w:rPr>
        <w:t>Prejulgado nº 06 desta Corte de Contas</w:t>
      </w:r>
      <w:r w:rsidRPr="0022060B">
        <w:rPr>
          <w:rFonts w:ascii="Arial" w:hAnsi="Arial" w:cs="Arial"/>
          <w:sz w:val="20"/>
          <w:szCs w:val="20"/>
        </w:rPr>
        <w:t>” (grifamos).</w:t>
      </w:r>
    </w:p>
    <w:p w:rsidR="007077CD" w:rsidRPr="0022060B" w:rsidRDefault="007077CD"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Vale mencionar que nesse paradigma foi reconhecida a necessidade</w:t>
      </w:r>
      <w:r w:rsidR="00D9464E" w:rsidRPr="0022060B">
        <w:rPr>
          <w:rFonts w:ascii="Arial" w:hAnsi="Arial" w:cs="Arial"/>
          <w:sz w:val="20"/>
          <w:szCs w:val="20"/>
        </w:rPr>
        <w:t xml:space="preserve"> </w:t>
      </w:r>
      <w:r w:rsidRPr="0022060B">
        <w:rPr>
          <w:rFonts w:ascii="Arial" w:hAnsi="Arial" w:cs="Arial"/>
          <w:sz w:val="20"/>
          <w:szCs w:val="20"/>
        </w:rPr>
        <w:t>de serviços jurídicos, ainda que não especializados, o que corrobora a maior</w:t>
      </w:r>
      <w:r w:rsidR="00D9464E" w:rsidRPr="0022060B">
        <w:rPr>
          <w:rFonts w:ascii="Arial" w:hAnsi="Arial" w:cs="Arial"/>
          <w:sz w:val="20"/>
          <w:szCs w:val="20"/>
        </w:rPr>
        <w:t xml:space="preserve"> </w:t>
      </w:r>
      <w:r w:rsidRPr="0022060B">
        <w:rPr>
          <w:rFonts w:ascii="Arial" w:hAnsi="Arial" w:cs="Arial"/>
          <w:sz w:val="20"/>
          <w:szCs w:val="20"/>
        </w:rPr>
        <w:t>gravidade com que se reveste o caso ora em análise, diante do caráter genérico da</w:t>
      </w:r>
      <w:r w:rsidR="00D9464E" w:rsidRPr="0022060B">
        <w:rPr>
          <w:rFonts w:ascii="Arial" w:hAnsi="Arial" w:cs="Arial"/>
          <w:sz w:val="20"/>
          <w:szCs w:val="20"/>
        </w:rPr>
        <w:t xml:space="preserve"> </w:t>
      </w:r>
      <w:r w:rsidRPr="0022060B">
        <w:rPr>
          <w:rFonts w:ascii="Arial" w:hAnsi="Arial" w:cs="Arial"/>
          <w:sz w:val="20"/>
          <w:szCs w:val="20"/>
        </w:rPr>
        <w:t>demanda ora impugnada, de recuperação e compensação administrativa de</w:t>
      </w:r>
      <w:r w:rsidR="00D9464E" w:rsidRPr="0022060B">
        <w:rPr>
          <w:rFonts w:ascii="Arial" w:hAnsi="Arial" w:cs="Arial"/>
          <w:sz w:val="20"/>
          <w:szCs w:val="20"/>
        </w:rPr>
        <w:t xml:space="preserve"> </w:t>
      </w:r>
      <w:r w:rsidRPr="0022060B">
        <w:rPr>
          <w:rFonts w:ascii="Arial" w:hAnsi="Arial" w:cs="Arial"/>
          <w:sz w:val="20"/>
          <w:szCs w:val="20"/>
        </w:rPr>
        <w:t>contribuições previdenciárias indevidamente recolhidas, que sequer exigem</w:t>
      </w:r>
      <w:r w:rsidR="00D9464E" w:rsidRPr="0022060B">
        <w:rPr>
          <w:rFonts w:ascii="Arial" w:hAnsi="Arial" w:cs="Arial"/>
          <w:sz w:val="20"/>
          <w:szCs w:val="20"/>
        </w:rPr>
        <w:t xml:space="preserve"> </w:t>
      </w:r>
      <w:r w:rsidRPr="0022060B">
        <w:rPr>
          <w:rFonts w:ascii="Arial" w:hAnsi="Arial" w:cs="Arial"/>
          <w:sz w:val="20"/>
          <w:szCs w:val="20"/>
        </w:rPr>
        <w:t>habilitação específica de profissionais da área jurídica, conforme restou</w:t>
      </w:r>
      <w:r w:rsidR="00D9464E" w:rsidRPr="0022060B">
        <w:rPr>
          <w:rFonts w:ascii="Arial" w:hAnsi="Arial" w:cs="Arial"/>
          <w:sz w:val="20"/>
          <w:szCs w:val="20"/>
        </w:rPr>
        <w:t xml:space="preserve"> </w:t>
      </w:r>
      <w:r w:rsidRPr="0022060B">
        <w:rPr>
          <w:rFonts w:ascii="Arial" w:hAnsi="Arial" w:cs="Arial"/>
          <w:sz w:val="20"/>
          <w:szCs w:val="20"/>
        </w:rPr>
        <w:t>incontroverso nos autos.</w:t>
      </w:r>
    </w:p>
    <w:p w:rsidR="0080643E" w:rsidRDefault="0080643E" w:rsidP="00816942">
      <w:pPr>
        <w:autoSpaceDE w:val="0"/>
        <w:autoSpaceDN w:val="0"/>
        <w:adjustRightInd w:val="0"/>
        <w:spacing w:after="0"/>
        <w:jc w:val="both"/>
        <w:rPr>
          <w:rFonts w:ascii="Arial" w:hAnsi="Arial" w:cs="Arial"/>
          <w:color w:val="000000"/>
          <w:sz w:val="20"/>
          <w:szCs w:val="20"/>
        </w:rPr>
      </w:pPr>
    </w:p>
    <w:p w:rsidR="007077CD" w:rsidRPr="0022060B" w:rsidRDefault="00D9464E" w:rsidP="00816942">
      <w:pPr>
        <w:autoSpaceDE w:val="0"/>
        <w:autoSpaceDN w:val="0"/>
        <w:adjustRightInd w:val="0"/>
        <w:spacing w:after="0"/>
        <w:jc w:val="both"/>
        <w:rPr>
          <w:rFonts w:ascii="Arial" w:hAnsi="Arial" w:cs="Arial"/>
          <w:sz w:val="20"/>
          <w:szCs w:val="20"/>
        </w:rPr>
      </w:pPr>
      <w:r w:rsidRPr="0022060B">
        <w:rPr>
          <w:rFonts w:ascii="Arial" w:hAnsi="Arial" w:cs="Arial"/>
          <w:color w:val="000000"/>
          <w:sz w:val="20"/>
          <w:szCs w:val="20"/>
        </w:rPr>
        <w:t>N</w:t>
      </w:r>
      <w:r w:rsidR="007077CD" w:rsidRPr="0022060B">
        <w:rPr>
          <w:rFonts w:ascii="Arial" w:hAnsi="Arial" w:cs="Arial"/>
          <w:color w:val="000000"/>
          <w:sz w:val="20"/>
          <w:szCs w:val="20"/>
        </w:rPr>
        <w:t>essa linha de raciocínio, vale ressaltar que, não tendo sido</w:t>
      </w:r>
      <w:r w:rsidRPr="0022060B">
        <w:rPr>
          <w:rFonts w:ascii="Arial" w:hAnsi="Arial" w:cs="Arial"/>
          <w:color w:val="000000"/>
          <w:sz w:val="20"/>
          <w:szCs w:val="20"/>
        </w:rPr>
        <w:t xml:space="preserve"> </w:t>
      </w:r>
      <w:r w:rsidR="007077CD" w:rsidRPr="0022060B">
        <w:rPr>
          <w:rFonts w:ascii="Arial" w:hAnsi="Arial" w:cs="Arial"/>
          <w:color w:val="000000"/>
          <w:sz w:val="20"/>
          <w:szCs w:val="20"/>
        </w:rPr>
        <w:t>satisfeita a condição de singularidade e complexidade, a contratação é irregular, e</w:t>
      </w:r>
      <w:r w:rsidRPr="0022060B">
        <w:rPr>
          <w:rFonts w:ascii="Arial" w:hAnsi="Arial" w:cs="Arial"/>
          <w:color w:val="000000"/>
          <w:sz w:val="20"/>
          <w:szCs w:val="20"/>
        </w:rPr>
        <w:t xml:space="preserve"> </w:t>
      </w:r>
      <w:r w:rsidR="007077CD" w:rsidRPr="0022060B">
        <w:rPr>
          <w:rFonts w:ascii="Arial" w:hAnsi="Arial" w:cs="Arial"/>
          <w:color w:val="000000"/>
          <w:sz w:val="20"/>
          <w:szCs w:val="20"/>
        </w:rPr>
        <w:t>os serviços contratados deveriam ter sido realizados pelos próprios servidores do</w:t>
      </w:r>
      <w:r w:rsidRPr="0022060B">
        <w:rPr>
          <w:rFonts w:ascii="Arial" w:hAnsi="Arial" w:cs="Arial"/>
          <w:color w:val="000000"/>
          <w:sz w:val="20"/>
          <w:szCs w:val="20"/>
        </w:rPr>
        <w:t xml:space="preserve"> </w:t>
      </w:r>
      <w:r w:rsidR="007077CD" w:rsidRPr="0022060B">
        <w:rPr>
          <w:rFonts w:ascii="Arial" w:hAnsi="Arial" w:cs="Arial"/>
          <w:color w:val="000000"/>
          <w:sz w:val="20"/>
          <w:szCs w:val="20"/>
        </w:rPr>
        <w:t>Município.</w:t>
      </w:r>
      <w:r w:rsidR="00F4212F" w:rsidRPr="0022060B">
        <w:rPr>
          <w:rFonts w:ascii="Arial" w:hAnsi="Arial" w:cs="Arial"/>
          <w:sz w:val="20"/>
          <w:szCs w:val="20"/>
        </w:rPr>
        <w:t xml:space="preserve"> Dessa forma, ainda que, apenas por hipótese, se tratasse de serviço</w:t>
      </w:r>
      <w:r w:rsidRPr="0022060B">
        <w:rPr>
          <w:rFonts w:ascii="Arial" w:hAnsi="Arial" w:cs="Arial"/>
          <w:sz w:val="20"/>
          <w:szCs w:val="20"/>
        </w:rPr>
        <w:t xml:space="preserve"> </w:t>
      </w:r>
      <w:r w:rsidR="00F4212F" w:rsidRPr="0022060B">
        <w:rPr>
          <w:rFonts w:ascii="Arial" w:hAnsi="Arial" w:cs="Arial"/>
          <w:sz w:val="20"/>
          <w:szCs w:val="20"/>
        </w:rPr>
        <w:t>singular e complexo e que o corpo de servidores não tivesse, comprovadamente,</w:t>
      </w:r>
      <w:r w:rsidRPr="0022060B">
        <w:rPr>
          <w:rFonts w:ascii="Arial" w:hAnsi="Arial" w:cs="Arial"/>
          <w:sz w:val="20"/>
          <w:szCs w:val="20"/>
        </w:rPr>
        <w:t xml:space="preserve"> </w:t>
      </w:r>
      <w:r w:rsidR="00F4212F" w:rsidRPr="0022060B">
        <w:rPr>
          <w:rFonts w:ascii="Arial" w:hAnsi="Arial" w:cs="Arial"/>
          <w:sz w:val="20"/>
          <w:szCs w:val="20"/>
        </w:rPr>
        <w:t>condições de dele se desincumbir, o valor contratado, de R$ 375.000,00, para um</w:t>
      </w:r>
      <w:r w:rsidRPr="0022060B">
        <w:rPr>
          <w:rFonts w:ascii="Arial" w:hAnsi="Arial" w:cs="Arial"/>
          <w:sz w:val="20"/>
          <w:szCs w:val="20"/>
        </w:rPr>
        <w:t xml:space="preserve"> </w:t>
      </w:r>
      <w:r w:rsidR="00F4212F" w:rsidRPr="0022060B">
        <w:rPr>
          <w:rFonts w:ascii="Arial" w:hAnsi="Arial" w:cs="Arial"/>
          <w:sz w:val="20"/>
          <w:szCs w:val="20"/>
        </w:rPr>
        <w:t>período de 12 meses mostra-se em absoluto e abusivo descompasso com a</w:t>
      </w:r>
      <w:r w:rsidRPr="0022060B">
        <w:rPr>
          <w:rFonts w:ascii="Arial" w:hAnsi="Arial" w:cs="Arial"/>
          <w:sz w:val="20"/>
          <w:szCs w:val="20"/>
        </w:rPr>
        <w:t xml:space="preserve"> </w:t>
      </w:r>
      <w:r w:rsidR="00F4212F" w:rsidRPr="0022060B">
        <w:rPr>
          <w:rFonts w:ascii="Arial" w:hAnsi="Arial" w:cs="Arial"/>
          <w:sz w:val="20"/>
          <w:szCs w:val="20"/>
        </w:rPr>
        <w:t>realidade local de padrões remuneratórios do serviço público.</w:t>
      </w:r>
    </w:p>
    <w:p w:rsidR="0080643E" w:rsidRDefault="0080643E" w:rsidP="00816942">
      <w:pPr>
        <w:autoSpaceDE w:val="0"/>
        <w:autoSpaceDN w:val="0"/>
        <w:adjustRightInd w:val="0"/>
        <w:spacing w:after="0"/>
        <w:jc w:val="both"/>
        <w:rPr>
          <w:rFonts w:ascii="Arial" w:hAnsi="Arial" w:cs="Arial"/>
          <w:sz w:val="20"/>
          <w:szCs w:val="20"/>
        </w:rPr>
      </w:pPr>
    </w:p>
    <w:p w:rsidR="00F4212F" w:rsidRPr="0022060B" w:rsidRDefault="00F421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Não há comprovação de que a Receita Federal tenha homologado</w:t>
      </w:r>
      <w:r w:rsidR="001E1817" w:rsidRPr="0022060B">
        <w:rPr>
          <w:rFonts w:ascii="Arial" w:hAnsi="Arial" w:cs="Arial"/>
          <w:sz w:val="20"/>
          <w:szCs w:val="20"/>
        </w:rPr>
        <w:t xml:space="preserve"> </w:t>
      </w:r>
      <w:r w:rsidRPr="0022060B">
        <w:rPr>
          <w:rFonts w:ascii="Arial" w:hAnsi="Arial" w:cs="Arial"/>
          <w:sz w:val="20"/>
          <w:szCs w:val="20"/>
        </w:rPr>
        <w:t>os valores apontados pela assessoria contratada, portanto, não há segurança para a</w:t>
      </w:r>
      <w:r w:rsidR="001E1817" w:rsidRPr="0022060B">
        <w:rPr>
          <w:rFonts w:ascii="Arial" w:hAnsi="Arial" w:cs="Arial"/>
          <w:sz w:val="20"/>
          <w:szCs w:val="20"/>
        </w:rPr>
        <w:t xml:space="preserve"> </w:t>
      </w:r>
      <w:r w:rsidRPr="0022060B">
        <w:rPr>
          <w:rFonts w:ascii="Arial" w:hAnsi="Arial" w:cs="Arial"/>
          <w:sz w:val="20"/>
          <w:szCs w:val="20"/>
        </w:rPr>
        <w:t>Administração de que o levantamento feito pelo escritório de advocacia terá êxito.</w:t>
      </w:r>
      <w:r w:rsidR="001E1817" w:rsidRPr="0022060B">
        <w:rPr>
          <w:rFonts w:ascii="Arial" w:hAnsi="Arial" w:cs="Arial"/>
          <w:sz w:val="20"/>
          <w:szCs w:val="20"/>
        </w:rPr>
        <w:t xml:space="preserve"> </w:t>
      </w:r>
      <w:r w:rsidRPr="0022060B">
        <w:rPr>
          <w:rFonts w:ascii="Arial" w:hAnsi="Arial" w:cs="Arial"/>
          <w:sz w:val="20"/>
          <w:szCs w:val="20"/>
        </w:rPr>
        <w:t>Dessa forma, até o presente momento, não há que se falar em êxito</w:t>
      </w:r>
      <w:r w:rsidR="001E1817" w:rsidRPr="0022060B">
        <w:rPr>
          <w:rFonts w:ascii="Arial" w:hAnsi="Arial" w:cs="Arial"/>
          <w:sz w:val="20"/>
          <w:szCs w:val="20"/>
        </w:rPr>
        <w:t xml:space="preserve"> </w:t>
      </w:r>
      <w:r w:rsidRPr="0022060B">
        <w:rPr>
          <w:rFonts w:ascii="Arial" w:hAnsi="Arial" w:cs="Arial"/>
          <w:sz w:val="20"/>
          <w:szCs w:val="20"/>
        </w:rPr>
        <w:t>dos serviços advocatícios prestados. Não há qualquer fundamento jurídico para o</w:t>
      </w:r>
      <w:r w:rsidR="001E1817" w:rsidRPr="0022060B">
        <w:rPr>
          <w:rFonts w:ascii="Arial" w:hAnsi="Arial" w:cs="Arial"/>
          <w:sz w:val="20"/>
          <w:szCs w:val="20"/>
        </w:rPr>
        <w:t xml:space="preserve"> </w:t>
      </w:r>
      <w:r w:rsidRPr="0022060B">
        <w:rPr>
          <w:rFonts w:ascii="Arial" w:hAnsi="Arial" w:cs="Arial"/>
          <w:sz w:val="20"/>
          <w:szCs w:val="20"/>
        </w:rPr>
        <w:t>pagamento antecipado de honorários advocatícios sem a obtenção de decisão</w:t>
      </w:r>
      <w:r w:rsidR="001E1817" w:rsidRPr="0022060B">
        <w:rPr>
          <w:rFonts w:ascii="Arial" w:hAnsi="Arial" w:cs="Arial"/>
          <w:sz w:val="20"/>
          <w:szCs w:val="20"/>
        </w:rPr>
        <w:t xml:space="preserve"> </w:t>
      </w:r>
      <w:r w:rsidRPr="0022060B">
        <w:rPr>
          <w:rFonts w:ascii="Arial" w:hAnsi="Arial" w:cs="Arial"/>
          <w:sz w:val="20"/>
          <w:szCs w:val="20"/>
        </w:rPr>
        <w:t>administrativa, em processo específico da Receita Federal, ou de decisão judicial</w:t>
      </w:r>
      <w:r w:rsidR="001E1817" w:rsidRPr="0022060B">
        <w:rPr>
          <w:rFonts w:ascii="Arial" w:hAnsi="Arial" w:cs="Arial"/>
          <w:sz w:val="20"/>
          <w:szCs w:val="20"/>
        </w:rPr>
        <w:t xml:space="preserve"> </w:t>
      </w:r>
      <w:r w:rsidRPr="0022060B">
        <w:rPr>
          <w:rFonts w:ascii="Arial" w:hAnsi="Arial" w:cs="Arial"/>
          <w:sz w:val="20"/>
          <w:szCs w:val="20"/>
        </w:rPr>
        <w:t xml:space="preserve">que definisse, em caráter </w:t>
      </w:r>
      <w:r w:rsidRPr="0022060B">
        <w:rPr>
          <w:rFonts w:ascii="Arial" w:hAnsi="Arial" w:cs="Arial"/>
          <w:sz w:val="20"/>
          <w:szCs w:val="20"/>
        </w:rPr>
        <w:lastRenderedPageBreak/>
        <w:t>definitivo, o valor exato dos supostos créditos</w:t>
      </w:r>
      <w:r w:rsidR="001E1817" w:rsidRPr="0022060B">
        <w:rPr>
          <w:rFonts w:ascii="Arial" w:hAnsi="Arial" w:cs="Arial"/>
          <w:sz w:val="20"/>
          <w:szCs w:val="20"/>
        </w:rPr>
        <w:t xml:space="preserve"> </w:t>
      </w:r>
      <w:r w:rsidRPr="0022060B">
        <w:rPr>
          <w:rFonts w:ascii="Arial" w:hAnsi="Arial" w:cs="Arial"/>
          <w:sz w:val="20"/>
          <w:szCs w:val="20"/>
        </w:rPr>
        <w:t>previdenciários a serem objeto de compensação com dívidas futuras d</w:t>
      </w:r>
      <w:r w:rsidR="001E1817" w:rsidRPr="0022060B">
        <w:rPr>
          <w:rFonts w:ascii="Arial" w:hAnsi="Arial" w:cs="Arial"/>
          <w:sz w:val="20"/>
          <w:szCs w:val="20"/>
        </w:rPr>
        <w:t xml:space="preserve">a urbe. </w:t>
      </w:r>
    </w:p>
    <w:p w:rsidR="0080643E" w:rsidRDefault="0080643E" w:rsidP="00816942">
      <w:pPr>
        <w:autoSpaceDE w:val="0"/>
        <w:autoSpaceDN w:val="0"/>
        <w:adjustRightInd w:val="0"/>
        <w:spacing w:after="0"/>
        <w:jc w:val="both"/>
        <w:rPr>
          <w:rFonts w:ascii="Arial" w:hAnsi="Arial" w:cs="Arial"/>
          <w:sz w:val="20"/>
          <w:szCs w:val="20"/>
        </w:rPr>
      </w:pPr>
    </w:p>
    <w:p w:rsidR="00582DF8" w:rsidRPr="0022060B" w:rsidRDefault="00582DF8"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Processo n°</w:t>
      </w:r>
      <w:r w:rsidR="005F58C1" w:rsidRPr="0022060B">
        <w:rPr>
          <w:rFonts w:ascii="Arial" w:hAnsi="Arial" w:cs="Arial"/>
          <w:sz w:val="20"/>
          <w:szCs w:val="20"/>
        </w:rPr>
        <w:t xml:space="preserve"> 782372/16 - </w:t>
      </w:r>
      <w:hyperlink r:id="rId12" w:history="1">
        <w:r w:rsidR="005F58C1" w:rsidRPr="0022060B">
          <w:rPr>
            <w:rStyle w:val="Hyperlink"/>
            <w:rFonts w:ascii="Arial" w:hAnsi="Arial" w:cs="Arial"/>
            <w:sz w:val="20"/>
            <w:szCs w:val="20"/>
          </w:rPr>
          <w:t>Acórdão n° 2203/17 - Segunda Câmara</w:t>
        </w:r>
      </w:hyperlink>
      <w:r w:rsidR="005F58C1" w:rsidRPr="0022060B">
        <w:rPr>
          <w:rFonts w:ascii="Arial" w:hAnsi="Arial" w:cs="Arial"/>
          <w:sz w:val="20"/>
          <w:szCs w:val="20"/>
        </w:rPr>
        <w:t xml:space="preserve"> </w:t>
      </w:r>
      <w:r w:rsidR="00583800" w:rsidRPr="0022060B">
        <w:rPr>
          <w:rFonts w:ascii="Arial" w:hAnsi="Arial" w:cs="Arial"/>
          <w:sz w:val="20"/>
          <w:szCs w:val="20"/>
        </w:rPr>
        <w:t>-</w:t>
      </w:r>
      <w:r w:rsidR="005F58C1" w:rsidRPr="0022060B">
        <w:rPr>
          <w:rFonts w:ascii="Arial" w:hAnsi="Arial" w:cs="Arial"/>
          <w:sz w:val="20"/>
          <w:szCs w:val="20"/>
        </w:rPr>
        <w:t xml:space="preserve"> </w:t>
      </w:r>
      <w:r w:rsidR="00583800" w:rsidRPr="0022060B">
        <w:rPr>
          <w:rFonts w:ascii="Arial" w:hAnsi="Arial" w:cs="Arial"/>
          <w:sz w:val="20"/>
          <w:szCs w:val="20"/>
        </w:rPr>
        <w:t>Rel. Conselheiro Ivens Zschoerper Linhares.</w:t>
      </w:r>
    </w:p>
    <w:p w:rsidR="00402651" w:rsidRDefault="00402651" w:rsidP="00816942">
      <w:pPr>
        <w:autoSpaceDE w:val="0"/>
        <w:autoSpaceDN w:val="0"/>
        <w:adjustRightInd w:val="0"/>
        <w:spacing w:after="0"/>
        <w:jc w:val="both"/>
        <w:rPr>
          <w:rFonts w:ascii="Arial" w:hAnsi="Arial" w:cs="Arial"/>
          <w:b/>
          <w:sz w:val="20"/>
          <w:szCs w:val="20"/>
        </w:rPr>
      </w:pPr>
    </w:p>
    <w:p w:rsidR="004E3B94" w:rsidRPr="0022060B" w:rsidRDefault="0080643E" w:rsidP="00816942">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1D4D9A">
        <w:rPr>
          <w:rFonts w:ascii="Arial" w:hAnsi="Arial" w:cs="Arial"/>
          <w:b/>
          <w:sz w:val="20"/>
          <w:szCs w:val="20"/>
        </w:rPr>
        <w:t xml:space="preserve">. </w:t>
      </w:r>
      <w:r w:rsidR="004E3B94" w:rsidRPr="0022060B">
        <w:rPr>
          <w:rFonts w:ascii="Arial" w:hAnsi="Arial" w:cs="Arial"/>
          <w:b/>
          <w:sz w:val="20"/>
          <w:szCs w:val="20"/>
        </w:rPr>
        <w:t xml:space="preserve">Transferência Voluntária Estadual. Falhas formais relativas ao período de adaptação dos jurisdicionados ao SIT. Extrapolação de valores previstos no plano de aplicação. </w:t>
      </w:r>
      <w:r w:rsidR="00C65D21" w:rsidRPr="0022060B">
        <w:rPr>
          <w:rFonts w:ascii="Arial" w:hAnsi="Arial" w:cs="Arial"/>
          <w:b/>
          <w:sz w:val="20"/>
          <w:szCs w:val="20"/>
        </w:rPr>
        <w:t xml:space="preserve">Não realização de </w:t>
      </w:r>
      <w:r w:rsidR="004E3B94" w:rsidRPr="0022060B">
        <w:rPr>
          <w:rFonts w:ascii="Arial" w:hAnsi="Arial" w:cs="Arial"/>
          <w:b/>
          <w:sz w:val="20"/>
          <w:szCs w:val="20"/>
        </w:rPr>
        <w:t xml:space="preserve">pesquisa de preço junto a, no mínimo, três fornecedores do ramo. </w:t>
      </w:r>
      <w:r w:rsidR="00C65D21" w:rsidRPr="0022060B">
        <w:rPr>
          <w:rFonts w:ascii="Arial" w:hAnsi="Arial" w:cs="Arial"/>
          <w:b/>
          <w:sz w:val="20"/>
          <w:szCs w:val="20"/>
        </w:rPr>
        <w:t>R</w:t>
      </w:r>
      <w:r w:rsidR="004E3B94" w:rsidRPr="0022060B">
        <w:rPr>
          <w:rFonts w:ascii="Arial" w:hAnsi="Arial" w:cs="Arial"/>
          <w:b/>
          <w:sz w:val="20"/>
          <w:szCs w:val="20"/>
        </w:rPr>
        <w:t>egularidade das contas com ressalva e recomendações.</w:t>
      </w:r>
    </w:p>
    <w:p w:rsidR="0080643E" w:rsidRDefault="0080643E" w:rsidP="00816942">
      <w:pPr>
        <w:autoSpaceDE w:val="0"/>
        <w:autoSpaceDN w:val="0"/>
        <w:adjustRightInd w:val="0"/>
        <w:spacing w:after="0"/>
        <w:jc w:val="both"/>
        <w:rPr>
          <w:rFonts w:ascii="Arial" w:hAnsi="Arial" w:cs="Arial"/>
          <w:sz w:val="20"/>
          <w:szCs w:val="20"/>
        </w:rPr>
      </w:pPr>
    </w:p>
    <w:p w:rsidR="00B87A02" w:rsidRPr="0022060B" w:rsidRDefault="00C65D21"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No que se refere à </w:t>
      </w:r>
      <w:r w:rsidRPr="0022060B">
        <w:rPr>
          <w:rFonts w:ascii="Arial" w:hAnsi="Arial" w:cs="Arial"/>
          <w:bCs/>
          <w:sz w:val="20"/>
          <w:szCs w:val="20"/>
        </w:rPr>
        <w:t>extrapolação dos valores previstos no plano</w:t>
      </w:r>
      <w:r w:rsidR="00E47BD8" w:rsidRPr="0022060B">
        <w:rPr>
          <w:rFonts w:ascii="Arial" w:hAnsi="Arial" w:cs="Arial"/>
          <w:bCs/>
          <w:sz w:val="20"/>
          <w:szCs w:val="20"/>
        </w:rPr>
        <w:t xml:space="preserve"> </w:t>
      </w:r>
      <w:r w:rsidRPr="0022060B">
        <w:rPr>
          <w:rFonts w:ascii="Arial" w:hAnsi="Arial" w:cs="Arial"/>
          <w:bCs/>
          <w:sz w:val="20"/>
          <w:szCs w:val="20"/>
        </w:rPr>
        <w:t xml:space="preserve">de aplicação, </w:t>
      </w:r>
      <w:r w:rsidRPr="0022060B">
        <w:rPr>
          <w:rFonts w:ascii="Arial" w:hAnsi="Arial" w:cs="Arial"/>
          <w:sz w:val="20"/>
          <w:szCs w:val="20"/>
        </w:rPr>
        <w:t xml:space="preserve">ao analisar as justificativas apresentadas, a </w:t>
      </w:r>
      <w:r w:rsidR="00E47BD8" w:rsidRPr="0022060B">
        <w:rPr>
          <w:rFonts w:ascii="Arial" w:hAnsi="Arial" w:cs="Arial"/>
          <w:sz w:val="20"/>
          <w:szCs w:val="20"/>
        </w:rPr>
        <w:t xml:space="preserve">unidade técnica </w:t>
      </w:r>
      <w:r w:rsidRPr="0022060B">
        <w:rPr>
          <w:rFonts w:ascii="Arial" w:hAnsi="Arial" w:cs="Arial"/>
          <w:sz w:val="20"/>
          <w:szCs w:val="20"/>
        </w:rPr>
        <w:t>constatou que, de fato, houve uma</w:t>
      </w:r>
      <w:r w:rsidR="00B87A02" w:rsidRPr="0022060B">
        <w:rPr>
          <w:rFonts w:ascii="Arial" w:hAnsi="Arial" w:cs="Arial"/>
          <w:sz w:val="20"/>
          <w:szCs w:val="20"/>
        </w:rPr>
        <w:t xml:space="preserve"> </w:t>
      </w:r>
      <w:r w:rsidRPr="0022060B">
        <w:rPr>
          <w:rFonts w:ascii="Arial" w:hAnsi="Arial" w:cs="Arial"/>
          <w:sz w:val="20"/>
          <w:szCs w:val="20"/>
        </w:rPr>
        <w:t>alteração na execução das despesas. Ressaltou que houve compensação de</w:t>
      </w:r>
      <w:r w:rsidR="00B87A02" w:rsidRPr="0022060B">
        <w:rPr>
          <w:rFonts w:ascii="Arial" w:hAnsi="Arial" w:cs="Arial"/>
          <w:sz w:val="20"/>
          <w:szCs w:val="20"/>
        </w:rPr>
        <w:t xml:space="preserve"> </w:t>
      </w:r>
      <w:r w:rsidRPr="0022060B">
        <w:rPr>
          <w:rFonts w:ascii="Arial" w:hAnsi="Arial" w:cs="Arial"/>
          <w:sz w:val="20"/>
          <w:szCs w:val="20"/>
        </w:rPr>
        <w:t>despesas entre as rubricas, cujo valor efetivamente excedido foi pago com recursos</w:t>
      </w:r>
      <w:r w:rsidR="00B87A02" w:rsidRPr="0022060B">
        <w:rPr>
          <w:rFonts w:ascii="Arial" w:hAnsi="Arial" w:cs="Arial"/>
          <w:sz w:val="20"/>
          <w:szCs w:val="20"/>
        </w:rPr>
        <w:t xml:space="preserve"> </w:t>
      </w:r>
      <w:r w:rsidRPr="0022060B">
        <w:rPr>
          <w:rFonts w:ascii="Arial" w:hAnsi="Arial" w:cs="Arial"/>
          <w:sz w:val="20"/>
          <w:szCs w:val="20"/>
        </w:rPr>
        <w:t>próprios depositados pelo Tomador no montante de R$ 12.590,31 (doze mil,</w:t>
      </w:r>
      <w:r w:rsidR="00B87A02" w:rsidRPr="0022060B">
        <w:rPr>
          <w:rFonts w:ascii="Arial" w:hAnsi="Arial" w:cs="Arial"/>
          <w:sz w:val="20"/>
          <w:szCs w:val="20"/>
        </w:rPr>
        <w:t xml:space="preserve"> </w:t>
      </w:r>
      <w:r w:rsidRPr="0022060B">
        <w:rPr>
          <w:rFonts w:ascii="Arial" w:hAnsi="Arial" w:cs="Arial"/>
          <w:sz w:val="20"/>
          <w:szCs w:val="20"/>
        </w:rPr>
        <w:t>quinhentos e noventa reais e noventa e trinta e um centavos), de acordo com</w:t>
      </w:r>
      <w:r w:rsidR="00B87A02" w:rsidRPr="0022060B">
        <w:rPr>
          <w:rFonts w:ascii="Arial" w:hAnsi="Arial" w:cs="Arial"/>
          <w:sz w:val="20"/>
          <w:szCs w:val="20"/>
        </w:rPr>
        <w:t xml:space="preserve"> </w:t>
      </w:r>
      <w:r w:rsidRPr="0022060B">
        <w:rPr>
          <w:rFonts w:ascii="Arial" w:hAnsi="Arial" w:cs="Arial"/>
          <w:sz w:val="20"/>
          <w:szCs w:val="20"/>
        </w:rPr>
        <w:t>extratos bancários constantes do SIT.</w:t>
      </w:r>
      <w:r w:rsidR="00B87A02" w:rsidRPr="0022060B">
        <w:rPr>
          <w:rFonts w:ascii="Arial" w:hAnsi="Arial" w:cs="Arial"/>
          <w:sz w:val="20"/>
          <w:szCs w:val="20"/>
        </w:rPr>
        <w:t xml:space="preserve"> </w:t>
      </w:r>
      <w:r w:rsidRPr="0022060B">
        <w:rPr>
          <w:rFonts w:ascii="Arial" w:hAnsi="Arial" w:cs="Arial"/>
          <w:sz w:val="20"/>
          <w:szCs w:val="20"/>
        </w:rPr>
        <w:t xml:space="preserve">Com relação a </w:t>
      </w:r>
      <w:r w:rsidRPr="0022060B">
        <w:rPr>
          <w:rFonts w:ascii="Arial" w:hAnsi="Arial" w:cs="Arial"/>
          <w:bCs/>
          <w:sz w:val="20"/>
          <w:szCs w:val="20"/>
        </w:rPr>
        <w:t>não realização, pelo Tomador, de pesquisa de</w:t>
      </w:r>
      <w:r w:rsidR="00B87A02" w:rsidRPr="0022060B">
        <w:rPr>
          <w:rFonts w:ascii="Arial" w:hAnsi="Arial" w:cs="Arial"/>
          <w:bCs/>
          <w:sz w:val="20"/>
          <w:szCs w:val="20"/>
        </w:rPr>
        <w:t xml:space="preserve"> </w:t>
      </w:r>
      <w:r w:rsidRPr="0022060B">
        <w:rPr>
          <w:rFonts w:ascii="Arial" w:hAnsi="Arial" w:cs="Arial"/>
          <w:bCs/>
          <w:sz w:val="20"/>
          <w:szCs w:val="20"/>
        </w:rPr>
        <w:t>preços junto a, no mínimo, três fornecedores do ramo</w:t>
      </w:r>
      <w:r w:rsidRPr="0022060B">
        <w:rPr>
          <w:rFonts w:ascii="Arial" w:hAnsi="Arial" w:cs="Arial"/>
          <w:sz w:val="20"/>
          <w:szCs w:val="20"/>
        </w:rPr>
        <w:t xml:space="preserve">, constatou a </w:t>
      </w:r>
      <w:r w:rsidR="00B87A02" w:rsidRPr="0022060B">
        <w:rPr>
          <w:rFonts w:ascii="Arial" w:hAnsi="Arial" w:cs="Arial"/>
          <w:sz w:val="20"/>
          <w:szCs w:val="20"/>
        </w:rPr>
        <w:t>unidade técnica</w:t>
      </w:r>
      <w:r w:rsidRPr="0022060B">
        <w:rPr>
          <w:rFonts w:ascii="Arial" w:hAnsi="Arial" w:cs="Arial"/>
          <w:sz w:val="20"/>
          <w:szCs w:val="20"/>
        </w:rPr>
        <w:t>, que</w:t>
      </w:r>
      <w:r w:rsidR="00B87A02" w:rsidRPr="0022060B">
        <w:rPr>
          <w:rFonts w:ascii="Arial" w:hAnsi="Arial" w:cs="Arial"/>
          <w:sz w:val="20"/>
          <w:szCs w:val="20"/>
        </w:rPr>
        <w:t xml:space="preserve"> </w:t>
      </w:r>
      <w:r w:rsidRPr="0022060B">
        <w:rPr>
          <w:rFonts w:ascii="Arial" w:hAnsi="Arial" w:cs="Arial"/>
          <w:sz w:val="20"/>
          <w:szCs w:val="20"/>
        </w:rPr>
        <w:t>não houve a realização de pesquisa de preços, em contrariedade ao disposto no art.</w:t>
      </w:r>
      <w:r w:rsidR="00B87A02" w:rsidRPr="0022060B">
        <w:rPr>
          <w:rFonts w:ascii="Arial" w:hAnsi="Arial" w:cs="Arial"/>
          <w:sz w:val="20"/>
          <w:szCs w:val="20"/>
        </w:rPr>
        <w:t xml:space="preserve"> </w:t>
      </w:r>
      <w:r w:rsidRPr="0022060B">
        <w:rPr>
          <w:rFonts w:ascii="Arial" w:hAnsi="Arial" w:cs="Arial"/>
          <w:sz w:val="20"/>
          <w:szCs w:val="20"/>
        </w:rPr>
        <w:t>18, § 1º, da Resolução nº 28/2011. Contudo, considerando a inexistência de indícios</w:t>
      </w:r>
      <w:r w:rsidR="00B87A02" w:rsidRPr="0022060B">
        <w:rPr>
          <w:rFonts w:ascii="Arial" w:hAnsi="Arial" w:cs="Arial"/>
          <w:sz w:val="20"/>
          <w:szCs w:val="20"/>
        </w:rPr>
        <w:t xml:space="preserve"> </w:t>
      </w:r>
      <w:r w:rsidRPr="0022060B">
        <w:rPr>
          <w:rFonts w:ascii="Arial" w:hAnsi="Arial" w:cs="Arial"/>
          <w:sz w:val="20"/>
          <w:szCs w:val="20"/>
        </w:rPr>
        <w:t xml:space="preserve">de </w:t>
      </w:r>
      <w:proofErr w:type="spellStart"/>
      <w:r w:rsidRPr="0022060B">
        <w:rPr>
          <w:rFonts w:ascii="Arial" w:hAnsi="Arial" w:cs="Arial"/>
          <w:sz w:val="20"/>
          <w:szCs w:val="20"/>
        </w:rPr>
        <w:t>dano</w:t>
      </w:r>
      <w:proofErr w:type="spellEnd"/>
      <w:r w:rsidRPr="0022060B">
        <w:rPr>
          <w:rFonts w:ascii="Arial" w:hAnsi="Arial" w:cs="Arial"/>
          <w:sz w:val="20"/>
          <w:szCs w:val="20"/>
        </w:rPr>
        <w:t xml:space="preserve"> ao erário ou à execução do objeto conveniado em decorrência das</w:t>
      </w:r>
      <w:r w:rsidR="00B87A02" w:rsidRPr="0022060B">
        <w:rPr>
          <w:rFonts w:ascii="Arial" w:hAnsi="Arial" w:cs="Arial"/>
          <w:sz w:val="20"/>
          <w:szCs w:val="20"/>
        </w:rPr>
        <w:t xml:space="preserve"> </w:t>
      </w:r>
      <w:r w:rsidRPr="0022060B">
        <w:rPr>
          <w:rFonts w:ascii="Arial" w:hAnsi="Arial" w:cs="Arial"/>
          <w:sz w:val="20"/>
          <w:szCs w:val="20"/>
        </w:rPr>
        <w:t>impropriedades, entende que cabe a ressalva dos itens, com o afastamento das</w:t>
      </w:r>
      <w:r w:rsidR="00B87A02" w:rsidRPr="0022060B">
        <w:rPr>
          <w:rFonts w:ascii="Arial" w:hAnsi="Arial" w:cs="Arial"/>
          <w:sz w:val="20"/>
          <w:szCs w:val="20"/>
        </w:rPr>
        <w:t xml:space="preserve"> </w:t>
      </w:r>
      <w:r w:rsidRPr="0022060B">
        <w:rPr>
          <w:rFonts w:ascii="Arial" w:hAnsi="Arial" w:cs="Arial"/>
          <w:sz w:val="20"/>
          <w:szCs w:val="20"/>
        </w:rPr>
        <w:t>sanções previstas na primeira instrução processual</w:t>
      </w:r>
      <w:r w:rsidR="00B87A02" w:rsidRPr="0022060B">
        <w:rPr>
          <w:rFonts w:ascii="Arial" w:hAnsi="Arial" w:cs="Arial"/>
          <w:sz w:val="20"/>
          <w:szCs w:val="20"/>
        </w:rPr>
        <w:t>.</w:t>
      </w:r>
    </w:p>
    <w:p w:rsidR="0080643E" w:rsidRDefault="0080643E" w:rsidP="00816942">
      <w:pPr>
        <w:autoSpaceDE w:val="0"/>
        <w:autoSpaceDN w:val="0"/>
        <w:adjustRightInd w:val="0"/>
        <w:spacing w:after="0"/>
        <w:jc w:val="both"/>
        <w:rPr>
          <w:rFonts w:ascii="Arial" w:hAnsi="Arial" w:cs="Arial"/>
          <w:sz w:val="20"/>
          <w:szCs w:val="20"/>
        </w:rPr>
      </w:pPr>
    </w:p>
    <w:p w:rsidR="00B87A02" w:rsidRPr="0022060B" w:rsidRDefault="00B87A02"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Processo n° 126440/13 </w:t>
      </w:r>
      <w:r w:rsidR="007608F0" w:rsidRPr="0022060B">
        <w:rPr>
          <w:rFonts w:ascii="Arial" w:hAnsi="Arial" w:cs="Arial"/>
          <w:sz w:val="20"/>
          <w:szCs w:val="20"/>
        </w:rPr>
        <w:t>-</w:t>
      </w:r>
      <w:r w:rsidRPr="0022060B">
        <w:rPr>
          <w:rFonts w:ascii="Arial" w:hAnsi="Arial" w:cs="Arial"/>
          <w:sz w:val="20"/>
          <w:szCs w:val="20"/>
        </w:rPr>
        <w:t xml:space="preserve"> </w:t>
      </w:r>
      <w:hyperlink r:id="rId13" w:history="1">
        <w:r w:rsidR="007608F0" w:rsidRPr="0022060B">
          <w:rPr>
            <w:rStyle w:val="Hyperlink"/>
            <w:rFonts w:ascii="Arial" w:hAnsi="Arial" w:cs="Arial"/>
            <w:sz w:val="20"/>
            <w:szCs w:val="20"/>
          </w:rPr>
          <w:t>Acórdão n° 2204/17 - Segunda Câmara</w:t>
        </w:r>
      </w:hyperlink>
      <w:r w:rsidR="007608F0" w:rsidRPr="0022060B">
        <w:rPr>
          <w:rFonts w:ascii="Arial" w:hAnsi="Arial" w:cs="Arial"/>
          <w:sz w:val="20"/>
          <w:szCs w:val="20"/>
        </w:rPr>
        <w:t xml:space="preserve"> - Rel. Conselheiro Ivens Zschoerper Linhares.</w:t>
      </w:r>
    </w:p>
    <w:p w:rsidR="00C65D21" w:rsidRPr="0022060B" w:rsidRDefault="00C65D21"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ab/>
      </w:r>
    </w:p>
    <w:p w:rsidR="00C65D21" w:rsidRPr="0022060B" w:rsidRDefault="0080643E" w:rsidP="00816942">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1D4D9A">
        <w:rPr>
          <w:rFonts w:ascii="Arial" w:hAnsi="Arial" w:cs="Arial"/>
          <w:b/>
          <w:sz w:val="20"/>
          <w:szCs w:val="20"/>
        </w:rPr>
        <w:t xml:space="preserve">. </w:t>
      </w:r>
      <w:r w:rsidR="00471B9D" w:rsidRPr="0022060B">
        <w:rPr>
          <w:rFonts w:ascii="Arial" w:hAnsi="Arial" w:cs="Arial"/>
          <w:b/>
          <w:sz w:val="20"/>
          <w:szCs w:val="20"/>
        </w:rPr>
        <w:t>Prestação de Contas Anual. Inconsistências em posições de valores e direitos</w:t>
      </w:r>
      <w:r w:rsidR="00D1656D" w:rsidRPr="0022060B">
        <w:rPr>
          <w:rFonts w:ascii="Arial" w:hAnsi="Arial" w:cs="Arial"/>
          <w:b/>
          <w:sz w:val="20"/>
          <w:szCs w:val="20"/>
        </w:rPr>
        <w:t xml:space="preserve"> </w:t>
      </w:r>
      <w:r w:rsidR="00471B9D" w:rsidRPr="0022060B">
        <w:rPr>
          <w:rFonts w:ascii="Arial" w:hAnsi="Arial" w:cs="Arial"/>
          <w:b/>
          <w:sz w:val="20"/>
          <w:szCs w:val="20"/>
        </w:rPr>
        <w:t>do ativo circulante e do ativo não circulante.</w:t>
      </w:r>
      <w:r w:rsidR="00D1656D" w:rsidRPr="0022060B">
        <w:rPr>
          <w:rFonts w:ascii="Arial" w:hAnsi="Arial" w:cs="Arial"/>
          <w:b/>
          <w:sz w:val="20"/>
          <w:szCs w:val="20"/>
        </w:rPr>
        <w:t xml:space="preserve"> </w:t>
      </w:r>
      <w:r w:rsidR="00471B9D" w:rsidRPr="0022060B">
        <w:rPr>
          <w:rFonts w:ascii="Arial" w:hAnsi="Arial" w:cs="Arial"/>
          <w:b/>
          <w:sz w:val="20"/>
          <w:szCs w:val="20"/>
        </w:rPr>
        <w:t>Ressalvas. Ausência de indicação nominal,</w:t>
      </w:r>
      <w:r w:rsidR="00D1656D" w:rsidRPr="0022060B">
        <w:rPr>
          <w:rFonts w:ascii="Arial" w:hAnsi="Arial" w:cs="Arial"/>
          <w:b/>
          <w:sz w:val="20"/>
          <w:szCs w:val="20"/>
        </w:rPr>
        <w:t xml:space="preserve"> </w:t>
      </w:r>
      <w:r w:rsidR="00471B9D" w:rsidRPr="0022060B">
        <w:rPr>
          <w:rFonts w:ascii="Arial" w:hAnsi="Arial" w:cs="Arial"/>
          <w:b/>
          <w:sz w:val="20"/>
          <w:szCs w:val="20"/>
        </w:rPr>
        <w:t>completa, das obrigações do passivo não</w:t>
      </w:r>
      <w:r w:rsidR="00D1656D" w:rsidRPr="0022060B">
        <w:rPr>
          <w:rFonts w:ascii="Arial" w:hAnsi="Arial" w:cs="Arial"/>
          <w:b/>
          <w:sz w:val="20"/>
          <w:szCs w:val="20"/>
        </w:rPr>
        <w:t xml:space="preserve"> </w:t>
      </w:r>
      <w:r w:rsidR="00471B9D" w:rsidRPr="0022060B">
        <w:rPr>
          <w:rFonts w:ascii="Arial" w:hAnsi="Arial" w:cs="Arial"/>
          <w:b/>
          <w:sz w:val="20"/>
          <w:szCs w:val="20"/>
        </w:rPr>
        <w:t xml:space="preserve">circulante. </w:t>
      </w:r>
      <w:r w:rsidR="00D1656D" w:rsidRPr="0022060B">
        <w:rPr>
          <w:rFonts w:ascii="Arial" w:hAnsi="Arial" w:cs="Arial"/>
          <w:b/>
          <w:sz w:val="20"/>
          <w:szCs w:val="20"/>
        </w:rPr>
        <w:t>Irregularidade</w:t>
      </w:r>
      <w:r w:rsidR="00471B9D" w:rsidRPr="0022060B">
        <w:rPr>
          <w:rFonts w:ascii="Arial" w:hAnsi="Arial" w:cs="Arial"/>
          <w:b/>
          <w:sz w:val="20"/>
          <w:szCs w:val="20"/>
        </w:rPr>
        <w:t>, com aplicação de multa</w:t>
      </w:r>
      <w:r w:rsidR="00D1656D" w:rsidRPr="0022060B">
        <w:rPr>
          <w:rFonts w:ascii="Arial" w:hAnsi="Arial" w:cs="Arial"/>
          <w:b/>
          <w:sz w:val="20"/>
          <w:szCs w:val="20"/>
        </w:rPr>
        <w:t>.</w:t>
      </w:r>
    </w:p>
    <w:p w:rsidR="0080643E" w:rsidRDefault="0080643E" w:rsidP="00816942">
      <w:pPr>
        <w:autoSpaceDE w:val="0"/>
        <w:autoSpaceDN w:val="0"/>
        <w:adjustRightInd w:val="0"/>
        <w:spacing w:after="0"/>
        <w:jc w:val="both"/>
        <w:rPr>
          <w:rFonts w:ascii="Arial" w:hAnsi="Arial" w:cs="Arial"/>
          <w:sz w:val="20"/>
          <w:szCs w:val="20"/>
        </w:rPr>
      </w:pPr>
    </w:p>
    <w:p w:rsidR="002B38A8" w:rsidRPr="0022060B" w:rsidRDefault="002B38A8"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Quanto às inconsistências em posições de valores e direitos do ativo</w:t>
      </w:r>
      <w:r w:rsidR="007C2CD7" w:rsidRPr="0022060B">
        <w:rPr>
          <w:rFonts w:ascii="Arial" w:hAnsi="Arial" w:cs="Arial"/>
          <w:sz w:val="20"/>
          <w:szCs w:val="20"/>
        </w:rPr>
        <w:t xml:space="preserve"> </w:t>
      </w:r>
      <w:r w:rsidRPr="0022060B">
        <w:rPr>
          <w:rFonts w:ascii="Arial" w:hAnsi="Arial" w:cs="Arial"/>
          <w:sz w:val="20"/>
          <w:szCs w:val="20"/>
        </w:rPr>
        <w:t xml:space="preserve">circulante e do ativo não circulante, a </w:t>
      </w:r>
      <w:r w:rsidR="007C2CD7" w:rsidRPr="0022060B">
        <w:rPr>
          <w:rFonts w:ascii="Arial" w:hAnsi="Arial" w:cs="Arial"/>
          <w:sz w:val="20"/>
          <w:szCs w:val="20"/>
        </w:rPr>
        <w:t xml:space="preserve">unidade técnica </w:t>
      </w:r>
      <w:r w:rsidRPr="0022060B">
        <w:rPr>
          <w:rFonts w:ascii="Arial" w:hAnsi="Arial" w:cs="Arial"/>
          <w:sz w:val="20"/>
          <w:szCs w:val="20"/>
        </w:rPr>
        <w:t>apontou que a relação constante contempla, sem distinção, as parcelas de curto prazo (com vencimento</w:t>
      </w:r>
      <w:r w:rsidR="007C2CD7" w:rsidRPr="0022060B">
        <w:rPr>
          <w:rFonts w:ascii="Arial" w:hAnsi="Arial" w:cs="Arial"/>
          <w:sz w:val="20"/>
          <w:szCs w:val="20"/>
        </w:rPr>
        <w:t xml:space="preserve"> </w:t>
      </w:r>
      <w:r w:rsidRPr="0022060B">
        <w:rPr>
          <w:rFonts w:ascii="Arial" w:hAnsi="Arial" w:cs="Arial"/>
          <w:sz w:val="20"/>
          <w:szCs w:val="20"/>
        </w:rPr>
        <w:t>até 31 de dezembro do exercício seguinte a que se refere o balanço) e de longo</w:t>
      </w:r>
      <w:r w:rsidR="007C2CD7" w:rsidRPr="0022060B">
        <w:rPr>
          <w:rFonts w:ascii="Arial" w:hAnsi="Arial" w:cs="Arial"/>
          <w:sz w:val="20"/>
          <w:szCs w:val="20"/>
        </w:rPr>
        <w:t xml:space="preserve"> </w:t>
      </w:r>
      <w:r w:rsidRPr="0022060B">
        <w:rPr>
          <w:rFonts w:ascii="Arial" w:hAnsi="Arial" w:cs="Arial"/>
          <w:sz w:val="20"/>
          <w:szCs w:val="20"/>
        </w:rPr>
        <w:t>prazo (com vencimento após essa data).</w:t>
      </w:r>
      <w:r w:rsidR="00E8626C" w:rsidRPr="0022060B">
        <w:rPr>
          <w:rFonts w:ascii="Arial" w:hAnsi="Arial" w:cs="Arial"/>
          <w:sz w:val="20"/>
          <w:szCs w:val="20"/>
        </w:rPr>
        <w:t xml:space="preserve"> </w:t>
      </w:r>
      <w:r w:rsidRPr="0022060B">
        <w:rPr>
          <w:rFonts w:ascii="Arial" w:hAnsi="Arial" w:cs="Arial"/>
          <w:sz w:val="20"/>
          <w:szCs w:val="20"/>
        </w:rPr>
        <w:t>A entidade, por sua vez, explicou que o sistema por ela utilizado não</w:t>
      </w:r>
      <w:r w:rsidR="007C2CD7" w:rsidRPr="0022060B">
        <w:rPr>
          <w:rFonts w:ascii="Arial" w:hAnsi="Arial" w:cs="Arial"/>
          <w:sz w:val="20"/>
          <w:szCs w:val="20"/>
        </w:rPr>
        <w:t xml:space="preserve"> </w:t>
      </w:r>
      <w:r w:rsidRPr="0022060B">
        <w:rPr>
          <w:rFonts w:ascii="Arial" w:hAnsi="Arial" w:cs="Arial"/>
          <w:sz w:val="20"/>
          <w:szCs w:val="20"/>
        </w:rPr>
        <w:t>permite realizar a segregação de mutuários de acordo com o prazo de vencimento</w:t>
      </w:r>
      <w:r w:rsidR="007C2CD7" w:rsidRPr="0022060B">
        <w:rPr>
          <w:rFonts w:ascii="Arial" w:hAnsi="Arial" w:cs="Arial"/>
          <w:sz w:val="20"/>
          <w:szCs w:val="20"/>
        </w:rPr>
        <w:t xml:space="preserve"> </w:t>
      </w:r>
      <w:r w:rsidRPr="0022060B">
        <w:rPr>
          <w:rFonts w:ascii="Arial" w:hAnsi="Arial" w:cs="Arial"/>
          <w:sz w:val="20"/>
          <w:szCs w:val="20"/>
        </w:rPr>
        <w:t>das parcelas.</w:t>
      </w:r>
    </w:p>
    <w:p w:rsidR="0080643E" w:rsidRDefault="0080643E" w:rsidP="00816942">
      <w:pPr>
        <w:autoSpaceDE w:val="0"/>
        <w:autoSpaceDN w:val="0"/>
        <w:adjustRightInd w:val="0"/>
        <w:spacing w:after="0"/>
        <w:jc w:val="both"/>
        <w:rPr>
          <w:rFonts w:ascii="Arial" w:hAnsi="Arial" w:cs="Arial"/>
          <w:sz w:val="20"/>
          <w:szCs w:val="20"/>
        </w:rPr>
      </w:pPr>
    </w:p>
    <w:p w:rsidR="007C2CD7" w:rsidRPr="0022060B" w:rsidRDefault="002B38A8"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Não obstante, apresentou a metodologia adotada para</w:t>
      </w:r>
      <w:r w:rsidR="007C2CD7" w:rsidRPr="0022060B">
        <w:rPr>
          <w:rFonts w:ascii="Arial" w:hAnsi="Arial" w:cs="Arial"/>
          <w:sz w:val="20"/>
          <w:szCs w:val="20"/>
        </w:rPr>
        <w:t xml:space="preserve"> </w:t>
      </w:r>
      <w:r w:rsidRPr="0022060B">
        <w:rPr>
          <w:rFonts w:ascii="Arial" w:hAnsi="Arial" w:cs="Arial"/>
          <w:sz w:val="20"/>
          <w:szCs w:val="20"/>
        </w:rPr>
        <w:t>contabilização de parcelas a receber no curto e no longo prazo, bem como informou</w:t>
      </w:r>
      <w:r w:rsidR="007C2CD7" w:rsidRPr="0022060B">
        <w:rPr>
          <w:rFonts w:ascii="Arial" w:hAnsi="Arial" w:cs="Arial"/>
          <w:sz w:val="20"/>
          <w:szCs w:val="20"/>
        </w:rPr>
        <w:t xml:space="preserve"> </w:t>
      </w:r>
      <w:r w:rsidRPr="0022060B">
        <w:rPr>
          <w:rFonts w:ascii="Arial" w:hAnsi="Arial" w:cs="Arial"/>
          <w:sz w:val="20"/>
          <w:szCs w:val="20"/>
        </w:rPr>
        <w:t>que está tomando providências para corrigir o problema, inclusive com a realização,</w:t>
      </w:r>
      <w:r w:rsidR="00E8626C" w:rsidRPr="0022060B">
        <w:rPr>
          <w:rFonts w:ascii="Arial" w:hAnsi="Arial" w:cs="Arial"/>
          <w:sz w:val="20"/>
          <w:szCs w:val="20"/>
        </w:rPr>
        <w:t xml:space="preserve"> </w:t>
      </w:r>
      <w:r w:rsidRPr="0022060B">
        <w:rPr>
          <w:rFonts w:ascii="Arial" w:hAnsi="Arial" w:cs="Arial"/>
          <w:sz w:val="20"/>
          <w:szCs w:val="20"/>
        </w:rPr>
        <w:t>no ano de 2016, de concurso público para contratação, dentre outros, de analista de</w:t>
      </w:r>
      <w:r w:rsidR="00E8626C" w:rsidRPr="0022060B">
        <w:rPr>
          <w:rFonts w:ascii="Arial" w:hAnsi="Arial" w:cs="Arial"/>
          <w:sz w:val="20"/>
          <w:szCs w:val="20"/>
        </w:rPr>
        <w:t xml:space="preserve"> </w:t>
      </w:r>
      <w:r w:rsidRPr="0022060B">
        <w:rPr>
          <w:rFonts w:ascii="Arial" w:hAnsi="Arial" w:cs="Arial"/>
          <w:sz w:val="20"/>
          <w:szCs w:val="20"/>
        </w:rPr>
        <w:t>sistemas.</w:t>
      </w:r>
      <w:r w:rsidR="00E8626C" w:rsidRPr="0022060B">
        <w:rPr>
          <w:rFonts w:ascii="Arial" w:hAnsi="Arial" w:cs="Arial"/>
          <w:sz w:val="20"/>
          <w:szCs w:val="20"/>
        </w:rPr>
        <w:t xml:space="preserve"> </w:t>
      </w:r>
      <w:r w:rsidR="007C2CD7" w:rsidRPr="0022060B">
        <w:rPr>
          <w:rFonts w:ascii="Arial" w:hAnsi="Arial" w:cs="Arial"/>
          <w:sz w:val="20"/>
          <w:szCs w:val="20"/>
        </w:rPr>
        <w:t xml:space="preserve">Contudo, a irregularidade das contas se impõe, pois, no </w:t>
      </w:r>
      <w:r w:rsidR="007C2CD7" w:rsidRPr="0022060B">
        <w:rPr>
          <w:rFonts w:ascii="Arial" w:hAnsi="Arial" w:cs="Arial"/>
          <w:sz w:val="20"/>
          <w:szCs w:val="20"/>
        </w:rPr>
        <w:lastRenderedPageBreak/>
        <w:t>que diz</w:t>
      </w:r>
      <w:r w:rsidR="00E8626C" w:rsidRPr="0022060B">
        <w:rPr>
          <w:rFonts w:ascii="Arial" w:hAnsi="Arial" w:cs="Arial"/>
          <w:sz w:val="20"/>
          <w:szCs w:val="20"/>
        </w:rPr>
        <w:t xml:space="preserve"> </w:t>
      </w:r>
      <w:r w:rsidR="007C2CD7" w:rsidRPr="0022060B">
        <w:rPr>
          <w:rFonts w:ascii="Arial" w:hAnsi="Arial" w:cs="Arial"/>
          <w:sz w:val="20"/>
          <w:szCs w:val="20"/>
        </w:rPr>
        <w:t>respeito às obrigações do passivo não circulante, não foram apresentados</w:t>
      </w:r>
      <w:r w:rsidR="00E8626C" w:rsidRPr="0022060B">
        <w:rPr>
          <w:rFonts w:ascii="Arial" w:hAnsi="Arial" w:cs="Arial"/>
          <w:sz w:val="20"/>
          <w:szCs w:val="20"/>
        </w:rPr>
        <w:t xml:space="preserve"> </w:t>
      </w:r>
      <w:r w:rsidR="007C2CD7" w:rsidRPr="0022060B">
        <w:rPr>
          <w:rFonts w:ascii="Arial" w:hAnsi="Arial" w:cs="Arial"/>
          <w:sz w:val="20"/>
          <w:szCs w:val="20"/>
        </w:rPr>
        <w:t>documentos nem justificativas capazes de sanar a ausência de indicação nominal na</w:t>
      </w:r>
      <w:r w:rsidR="00E8626C" w:rsidRPr="0022060B">
        <w:rPr>
          <w:rFonts w:ascii="Arial" w:hAnsi="Arial" w:cs="Arial"/>
          <w:sz w:val="20"/>
          <w:szCs w:val="20"/>
        </w:rPr>
        <w:t xml:space="preserve"> </w:t>
      </w:r>
      <w:r w:rsidR="007C2CD7" w:rsidRPr="0022060B">
        <w:rPr>
          <w:rFonts w:ascii="Arial" w:hAnsi="Arial" w:cs="Arial"/>
          <w:sz w:val="20"/>
          <w:szCs w:val="20"/>
        </w:rPr>
        <w:t>relação apresentada</w:t>
      </w:r>
      <w:r w:rsidR="00E8626C" w:rsidRPr="0022060B">
        <w:rPr>
          <w:rFonts w:ascii="Arial" w:hAnsi="Arial" w:cs="Arial"/>
          <w:sz w:val="20"/>
          <w:szCs w:val="20"/>
        </w:rPr>
        <w:t xml:space="preserve">. </w:t>
      </w:r>
      <w:r w:rsidR="007C2CD7" w:rsidRPr="0022060B">
        <w:rPr>
          <w:rFonts w:ascii="Arial" w:hAnsi="Arial" w:cs="Arial"/>
          <w:sz w:val="20"/>
          <w:szCs w:val="20"/>
        </w:rPr>
        <w:t>A falta de identificação dos credores e das datas dos respectivos</w:t>
      </w:r>
      <w:r w:rsidR="00E8626C" w:rsidRPr="0022060B">
        <w:rPr>
          <w:rFonts w:ascii="Arial" w:hAnsi="Arial" w:cs="Arial"/>
          <w:sz w:val="20"/>
          <w:szCs w:val="20"/>
        </w:rPr>
        <w:t xml:space="preserve"> </w:t>
      </w:r>
      <w:r w:rsidR="007C2CD7" w:rsidRPr="0022060B">
        <w:rPr>
          <w:rFonts w:ascii="Arial" w:hAnsi="Arial" w:cs="Arial"/>
          <w:sz w:val="20"/>
          <w:szCs w:val="20"/>
        </w:rPr>
        <w:t>vencimentos implica desconformidade com as exigências do art. 8º, inciso XXV, da</w:t>
      </w:r>
      <w:r w:rsidR="00E8626C" w:rsidRPr="0022060B">
        <w:rPr>
          <w:rFonts w:ascii="Arial" w:hAnsi="Arial" w:cs="Arial"/>
          <w:sz w:val="20"/>
          <w:szCs w:val="20"/>
        </w:rPr>
        <w:t xml:space="preserve"> </w:t>
      </w:r>
      <w:r w:rsidR="007C2CD7" w:rsidRPr="0022060B">
        <w:rPr>
          <w:rFonts w:ascii="Arial" w:hAnsi="Arial" w:cs="Arial"/>
          <w:sz w:val="20"/>
          <w:szCs w:val="20"/>
        </w:rPr>
        <w:t>Instrução Normativa nº 54/20112, ensejando a irregularidade das contas da</w:t>
      </w:r>
      <w:r w:rsidR="00E8626C" w:rsidRPr="0022060B">
        <w:rPr>
          <w:rFonts w:ascii="Arial" w:hAnsi="Arial" w:cs="Arial"/>
          <w:sz w:val="20"/>
          <w:szCs w:val="20"/>
        </w:rPr>
        <w:t xml:space="preserve"> </w:t>
      </w:r>
      <w:r w:rsidR="007C2CD7" w:rsidRPr="0022060B">
        <w:rPr>
          <w:rFonts w:ascii="Arial" w:hAnsi="Arial" w:cs="Arial"/>
          <w:sz w:val="20"/>
          <w:szCs w:val="20"/>
        </w:rPr>
        <w:t>Companhia, nos termos do seu art. 9º.</w:t>
      </w:r>
    </w:p>
    <w:p w:rsidR="00DA4004" w:rsidRDefault="00DA4004" w:rsidP="00816942">
      <w:pPr>
        <w:autoSpaceDE w:val="0"/>
        <w:autoSpaceDN w:val="0"/>
        <w:adjustRightInd w:val="0"/>
        <w:spacing w:after="0"/>
        <w:jc w:val="both"/>
        <w:rPr>
          <w:rFonts w:ascii="Arial" w:hAnsi="Arial" w:cs="Arial"/>
          <w:sz w:val="20"/>
          <w:szCs w:val="20"/>
        </w:rPr>
      </w:pPr>
    </w:p>
    <w:p w:rsidR="00D167CC" w:rsidRPr="0022060B" w:rsidRDefault="00D167CC"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Processo n° 261088/13 - </w:t>
      </w:r>
      <w:hyperlink r:id="rId14" w:history="1">
        <w:r w:rsidRPr="0022060B">
          <w:rPr>
            <w:rStyle w:val="Hyperlink"/>
            <w:rFonts w:ascii="Arial" w:hAnsi="Arial" w:cs="Arial"/>
            <w:sz w:val="20"/>
            <w:szCs w:val="20"/>
          </w:rPr>
          <w:t>Acórdão n° 2197 - Segunda Câmara</w:t>
        </w:r>
      </w:hyperlink>
      <w:r w:rsidRPr="0022060B">
        <w:rPr>
          <w:rFonts w:ascii="Arial" w:hAnsi="Arial" w:cs="Arial"/>
          <w:sz w:val="20"/>
          <w:szCs w:val="20"/>
        </w:rPr>
        <w:t xml:space="preserve"> - Rel. Conselheiro Ivan </w:t>
      </w:r>
      <w:proofErr w:type="spellStart"/>
      <w:r w:rsidRPr="0022060B">
        <w:rPr>
          <w:rFonts w:ascii="Arial" w:hAnsi="Arial" w:cs="Arial"/>
          <w:sz w:val="20"/>
          <w:szCs w:val="20"/>
        </w:rPr>
        <w:t>Lelis</w:t>
      </w:r>
      <w:proofErr w:type="spellEnd"/>
      <w:r w:rsidRPr="0022060B">
        <w:rPr>
          <w:rFonts w:ascii="Arial" w:hAnsi="Arial" w:cs="Arial"/>
          <w:sz w:val="20"/>
          <w:szCs w:val="20"/>
        </w:rPr>
        <w:t xml:space="preserve"> Bonilha.  </w:t>
      </w:r>
    </w:p>
    <w:p w:rsidR="00FB3361" w:rsidRDefault="00FB3361" w:rsidP="00816942">
      <w:pPr>
        <w:spacing w:after="0"/>
        <w:jc w:val="both"/>
        <w:rPr>
          <w:rFonts w:ascii="Arial" w:hAnsi="Arial" w:cs="Arial"/>
          <w:sz w:val="20"/>
          <w:szCs w:val="20"/>
        </w:rPr>
      </w:pPr>
    </w:p>
    <w:p w:rsidR="0080643E" w:rsidRDefault="0080643E" w:rsidP="0080643E">
      <w:pPr>
        <w:spacing w:after="0"/>
        <w:jc w:val="both"/>
        <w:rPr>
          <w:rFonts w:ascii="Arial" w:hAnsi="Arial" w:cs="Arial"/>
          <w:b/>
          <w:sz w:val="20"/>
          <w:szCs w:val="20"/>
        </w:rPr>
      </w:pPr>
      <w:r>
        <w:rPr>
          <w:rFonts w:ascii="Arial" w:hAnsi="Arial" w:cs="Arial"/>
          <w:b/>
          <w:sz w:val="20"/>
          <w:szCs w:val="20"/>
        </w:rPr>
        <w:t xml:space="preserve">8. </w:t>
      </w:r>
      <w:r w:rsidRPr="0022060B">
        <w:rPr>
          <w:rFonts w:ascii="Arial" w:hAnsi="Arial" w:cs="Arial"/>
          <w:b/>
          <w:sz w:val="20"/>
          <w:szCs w:val="20"/>
        </w:rPr>
        <w:t xml:space="preserve">Prestação de Contas do Poder Legislativo do Município de Flórida. Atraso na entrega de dados informatizados no SIM/AM. Justificativas da entidade não acolhidas – aplicação da Uniformização de Jurisprudência nº 10 deste TCE – pela regularidade com ressalva e aplicação de multa. </w:t>
      </w:r>
    </w:p>
    <w:p w:rsidR="0080643E" w:rsidRPr="0022060B" w:rsidRDefault="0080643E" w:rsidP="0080643E">
      <w:pPr>
        <w:spacing w:after="0"/>
        <w:jc w:val="both"/>
        <w:rPr>
          <w:rFonts w:ascii="Arial" w:hAnsi="Arial" w:cs="Arial"/>
          <w:b/>
          <w:sz w:val="20"/>
          <w:szCs w:val="20"/>
        </w:rPr>
      </w:pPr>
    </w:p>
    <w:p w:rsidR="0080643E" w:rsidRPr="0022060B" w:rsidRDefault="0080643E" w:rsidP="0080643E">
      <w:pPr>
        <w:spacing w:after="0"/>
        <w:jc w:val="both"/>
        <w:rPr>
          <w:rFonts w:ascii="Arial" w:hAnsi="Arial" w:cs="Arial"/>
          <w:sz w:val="20"/>
          <w:szCs w:val="20"/>
        </w:rPr>
      </w:pPr>
      <w:r w:rsidRPr="0022060B">
        <w:rPr>
          <w:rFonts w:ascii="Arial" w:hAnsi="Arial" w:cs="Arial"/>
          <w:sz w:val="20"/>
          <w:szCs w:val="20"/>
        </w:rPr>
        <w:t>As contas da Câmara Municipal de Flórida relativas ao exercício financeiro de 2014 foram devidamente encaminhadas por seu Presidente, contudo, com atraso na entrega dos dados informatizados do Sistema SIM/AM.</w:t>
      </w:r>
    </w:p>
    <w:p w:rsidR="0080643E" w:rsidRDefault="0080643E" w:rsidP="0080643E">
      <w:pPr>
        <w:spacing w:after="0"/>
        <w:jc w:val="both"/>
        <w:rPr>
          <w:rFonts w:ascii="Arial" w:hAnsi="Arial" w:cs="Arial"/>
          <w:i/>
          <w:sz w:val="20"/>
          <w:szCs w:val="20"/>
        </w:rPr>
      </w:pPr>
      <w:r w:rsidRPr="0022060B">
        <w:rPr>
          <w:rFonts w:ascii="Arial" w:hAnsi="Arial" w:cs="Arial"/>
          <w:sz w:val="20"/>
          <w:szCs w:val="20"/>
        </w:rPr>
        <w:t>Os argumentos apresentados pelo Poder Legislativo, quanto à dificuldade de implantação do novo Plano de Contas Aplicado ao Setor Público – PCASP, bem como, substituições contínuas de responsável técnico na contabilidade da entidade,  não foram acolhidos pela  decisão em comento, dado o disposto na Uniformização de Jurisprudência nº 10:  “</w:t>
      </w:r>
      <w:r w:rsidRPr="0022060B">
        <w:rPr>
          <w:rFonts w:ascii="Arial" w:hAnsi="Arial" w:cs="Arial"/>
          <w:i/>
          <w:sz w:val="20"/>
          <w:szCs w:val="20"/>
        </w:rPr>
        <w:t xml:space="preserve">Tratando-se do caso específico de atraso no encaminhamento da prestação de contas, por exemplo, temos afigurada a tipificação contida no art. 87, I, “a”, II, “b”, III, “c” ou IV, “a”. Portanto, se concluído que a prestação de contas está regular em todos os aspectos aferidos por esta Corte, restando, no entanto, o atraso na apresentação dessas contas, estaremos nos defrontando com o caso típico de julgar regular as contas, ressalvando o atraso detectado, pois decorrente de norma imposta por este Tribunal, e aplicando a multa administrativa respectiva”. </w:t>
      </w:r>
    </w:p>
    <w:p w:rsidR="0080643E" w:rsidRPr="0022060B" w:rsidRDefault="0080643E" w:rsidP="0080643E">
      <w:pPr>
        <w:spacing w:after="0"/>
        <w:jc w:val="both"/>
        <w:rPr>
          <w:rFonts w:ascii="Arial" w:hAnsi="Arial" w:cs="Arial"/>
          <w:i/>
          <w:sz w:val="20"/>
          <w:szCs w:val="20"/>
        </w:rPr>
      </w:pPr>
    </w:p>
    <w:p w:rsidR="0080643E" w:rsidRDefault="0080643E" w:rsidP="0080643E">
      <w:pPr>
        <w:spacing w:after="0"/>
        <w:jc w:val="both"/>
        <w:rPr>
          <w:rFonts w:ascii="Arial" w:hAnsi="Arial" w:cs="Arial"/>
          <w:sz w:val="20"/>
          <w:szCs w:val="20"/>
        </w:rPr>
      </w:pPr>
      <w:r w:rsidRPr="0022060B">
        <w:rPr>
          <w:rFonts w:ascii="Arial" w:hAnsi="Arial" w:cs="Arial"/>
          <w:sz w:val="20"/>
          <w:szCs w:val="20"/>
        </w:rPr>
        <w:t xml:space="preserve">Diante da Uniformização, então, as contas foram julgadas regulares com ressalva, imputando-se ao gestor, a multa prevista na Lei Orgânica deste Tribunal, em seu art. 87, III, “b”. </w:t>
      </w:r>
    </w:p>
    <w:p w:rsidR="0080643E" w:rsidRPr="0022060B" w:rsidRDefault="0080643E" w:rsidP="0080643E">
      <w:pPr>
        <w:spacing w:after="0"/>
        <w:jc w:val="both"/>
        <w:rPr>
          <w:rFonts w:ascii="Arial" w:hAnsi="Arial" w:cs="Arial"/>
          <w:sz w:val="20"/>
          <w:szCs w:val="20"/>
        </w:rPr>
      </w:pPr>
    </w:p>
    <w:p w:rsidR="0080643E" w:rsidRPr="0022060B" w:rsidRDefault="0080643E" w:rsidP="0080643E">
      <w:pPr>
        <w:spacing w:after="0"/>
        <w:jc w:val="both"/>
        <w:rPr>
          <w:rFonts w:ascii="Arial" w:hAnsi="Arial" w:cs="Arial"/>
          <w:sz w:val="20"/>
          <w:szCs w:val="20"/>
        </w:rPr>
      </w:pPr>
      <w:r w:rsidRPr="0022060B">
        <w:rPr>
          <w:rFonts w:ascii="Arial" w:hAnsi="Arial" w:cs="Arial"/>
          <w:sz w:val="20"/>
          <w:szCs w:val="20"/>
        </w:rPr>
        <w:t xml:space="preserve">Processo nº 269355/15 </w:t>
      </w:r>
      <w:r>
        <w:rPr>
          <w:rFonts w:ascii="Arial" w:hAnsi="Arial" w:cs="Arial"/>
          <w:sz w:val="20"/>
          <w:szCs w:val="20"/>
        </w:rPr>
        <w:t>-</w:t>
      </w:r>
      <w:r w:rsidRPr="0022060B">
        <w:rPr>
          <w:rFonts w:ascii="Arial" w:hAnsi="Arial" w:cs="Arial"/>
          <w:sz w:val="20"/>
          <w:szCs w:val="20"/>
        </w:rPr>
        <w:t xml:space="preserve"> </w:t>
      </w:r>
      <w:hyperlink r:id="rId15" w:history="1">
        <w:r w:rsidRPr="0022060B">
          <w:rPr>
            <w:rStyle w:val="Hyperlink"/>
            <w:rFonts w:ascii="Arial" w:hAnsi="Arial" w:cs="Arial"/>
            <w:sz w:val="20"/>
            <w:szCs w:val="20"/>
          </w:rPr>
          <w:t>Acórdão nº 2042/17- Segunda Câmara</w:t>
        </w:r>
      </w:hyperlink>
      <w:r w:rsidRPr="0022060B">
        <w:rPr>
          <w:rFonts w:ascii="Arial" w:hAnsi="Arial" w:cs="Arial"/>
          <w:sz w:val="20"/>
          <w:szCs w:val="20"/>
        </w:rPr>
        <w:t xml:space="preserve"> </w:t>
      </w:r>
      <w:r>
        <w:rPr>
          <w:rFonts w:ascii="Arial" w:hAnsi="Arial" w:cs="Arial"/>
          <w:sz w:val="20"/>
          <w:szCs w:val="20"/>
        </w:rPr>
        <w:t>-</w:t>
      </w:r>
      <w:r w:rsidRPr="0022060B">
        <w:rPr>
          <w:rFonts w:ascii="Arial" w:hAnsi="Arial" w:cs="Arial"/>
          <w:sz w:val="20"/>
          <w:szCs w:val="20"/>
        </w:rPr>
        <w:t xml:space="preserve"> Rel. Conselheiro </w:t>
      </w:r>
      <w:proofErr w:type="spellStart"/>
      <w:r w:rsidRPr="0022060B">
        <w:rPr>
          <w:rFonts w:ascii="Arial" w:hAnsi="Arial" w:cs="Arial"/>
          <w:sz w:val="20"/>
          <w:szCs w:val="20"/>
        </w:rPr>
        <w:t>Artagão</w:t>
      </w:r>
      <w:proofErr w:type="spellEnd"/>
      <w:r w:rsidRPr="0022060B">
        <w:rPr>
          <w:rFonts w:ascii="Arial" w:hAnsi="Arial" w:cs="Arial"/>
          <w:sz w:val="20"/>
          <w:szCs w:val="20"/>
        </w:rPr>
        <w:t xml:space="preserve"> de Mattos Leão.</w:t>
      </w:r>
    </w:p>
    <w:p w:rsidR="0080643E" w:rsidRPr="0022060B" w:rsidRDefault="0080643E" w:rsidP="00816942">
      <w:pPr>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3C7C21" w:rsidRPr="0022060B" w:rsidRDefault="003C7C21" w:rsidP="00816942">
      <w:pPr>
        <w:autoSpaceDE w:val="0"/>
        <w:autoSpaceDN w:val="0"/>
        <w:adjustRightInd w:val="0"/>
        <w:spacing w:after="0"/>
        <w:jc w:val="both"/>
        <w:rPr>
          <w:rFonts w:ascii="Arial" w:hAnsi="Arial" w:cs="Arial"/>
          <w:b/>
          <w:color w:val="000000"/>
          <w:sz w:val="20"/>
          <w:szCs w:val="20"/>
          <w:shd w:val="clear" w:color="auto" w:fill="FFFFFF"/>
        </w:rPr>
      </w:pPr>
    </w:p>
    <w:p w:rsidR="006F58F5" w:rsidRPr="0022060B" w:rsidRDefault="001D4D9A" w:rsidP="00816942">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6F58F5" w:rsidRPr="0022060B">
        <w:rPr>
          <w:rFonts w:ascii="Arial" w:hAnsi="Arial" w:cs="Arial"/>
          <w:b/>
          <w:sz w:val="20"/>
          <w:szCs w:val="20"/>
        </w:rPr>
        <w:t xml:space="preserve">Incidente de inconstitucionalidade. </w:t>
      </w:r>
      <w:r w:rsidR="0022060B" w:rsidRPr="0022060B">
        <w:rPr>
          <w:rFonts w:ascii="Arial" w:hAnsi="Arial" w:cs="Arial"/>
          <w:b/>
          <w:sz w:val="20"/>
          <w:szCs w:val="20"/>
        </w:rPr>
        <w:t>Benefício previdenciário. Modificação de prazo. Ilegalidade.</w:t>
      </w:r>
    </w:p>
    <w:p w:rsidR="00593EFC" w:rsidRPr="0022060B" w:rsidRDefault="00593EFC"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 §4º do art. 12, da Lei Municipal de Palotina nº 1861/2004, </w:t>
      </w:r>
      <w:r w:rsidR="006F58F5" w:rsidRPr="0022060B">
        <w:rPr>
          <w:rFonts w:ascii="Arial" w:hAnsi="Arial" w:cs="Arial"/>
          <w:sz w:val="20"/>
          <w:szCs w:val="20"/>
        </w:rPr>
        <w:t>que prevê a contribuição por, no mínimo, dois anos sobre o adicional de graduação e sobre a modificação do nível da carreira, para que integrem a base de cálculo de benefícios previdenciários, viola</w:t>
      </w:r>
      <w:r w:rsidRPr="0022060B">
        <w:rPr>
          <w:rFonts w:ascii="Arial" w:hAnsi="Arial" w:cs="Arial"/>
          <w:sz w:val="20"/>
          <w:szCs w:val="20"/>
        </w:rPr>
        <w:t xml:space="preserve"> os </w:t>
      </w:r>
      <w:proofErr w:type="spellStart"/>
      <w:r w:rsidRPr="0022060B">
        <w:rPr>
          <w:rFonts w:ascii="Arial" w:hAnsi="Arial" w:cs="Arial"/>
          <w:sz w:val="20"/>
          <w:szCs w:val="20"/>
        </w:rPr>
        <w:t>arts</w:t>
      </w:r>
      <w:proofErr w:type="spellEnd"/>
      <w:r w:rsidRPr="0022060B">
        <w:rPr>
          <w:rFonts w:ascii="Arial" w:hAnsi="Arial" w:cs="Arial"/>
          <w:sz w:val="20"/>
          <w:szCs w:val="20"/>
        </w:rPr>
        <w:t xml:space="preserve">. 24, XII, e §1º, 40, parágrafos 3º e 7º, I e II, ambos da Constituição da República, reproduzidos no art. 35, </w:t>
      </w:r>
      <w:r w:rsidRPr="0022060B">
        <w:rPr>
          <w:rFonts w:ascii="Arial" w:hAnsi="Arial" w:cs="Arial"/>
          <w:sz w:val="20"/>
          <w:szCs w:val="20"/>
        </w:rPr>
        <w:lastRenderedPageBreak/>
        <w:t>parágrafos 3º e 7º da Constituição Estadual do Paraná, art. 6º da EC nº 41/2003 e no art. 3º da EC nº47/2005 e art. 1º da Lei nº 10.887/2004</w:t>
      </w:r>
      <w:r w:rsidR="006F58F5" w:rsidRPr="0022060B">
        <w:rPr>
          <w:rFonts w:ascii="Arial" w:hAnsi="Arial" w:cs="Arial"/>
          <w:sz w:val="20"/>
          <w:szCs w:val="20"/>
        </w:rPr>
        <w:t xml:space="preserve">. </w:t>
      </w:r>
    </w:p>
    <w:p w:rsidR="00DA4004" w:rsidRDefault="00DA4004" w:rsidP="00816942">
      <w:pPr>
        <w:autoSpaceDE w:val="0"/>
        <w:autoSpaceDN w:val="0"/>
        <w:adjustRightInd w:val="0"/>
        <w:spacing w:after="0"/>
        <w:jc w:val="both"/>
        <w:rPr>
          <w:rFonts w:ascii="Arial" w:hAnsi="Arial" w:cs="Arial"/>
          <w:sz w:val="20"/>
          <w:szCs w:val="20"/>
        </w:rPr>
      </w:pPr>
    </w:p>
    <w:p w:rsidR="006F58F5" w:rsidRPr="0022060B" w:rsidRDefault="006F58F5"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Processo n° </w:t>
      </w:r>
      <w:r w:rsidR="009E1BC1" w:rsidRPr="0022060B">
        <w:rPr>
          <w:rFonts w:ascii="Arial" w:hAnsi="Arial" w:cs="Arial"/>
          <w:sz w:val="20"/>
          <w:szCs w:val="20"/>
        </w:rPr>
        <w:t>157885</w:t>
      </w:r>
      <w:r w:rsidRPr="0022060B">
        <w:rPr>
          <w:rFonts w:ascii="Arial" w:hAnsi="Arial" w:cs="Arial"/>
          <w:sz w:val="20"/>
          <w:szCs w:val="20"/>
        </w:rPr>
        <w:t>/1</w:t>
      </w:r>
      <w:r w:rsidR="009E1BC1" w:rsidRPr="0022060B">
        <w:rPr>
          <w:rFonts w:ascii="Arial" w:hAnsi="Arial" w:cs="Arial"/>
          <w:sz w:val="20"/>
          <w:szCs w:val="20"/>
        </w:rPr>
        <w:t>6</w:t>
      </w:r>
      <w:r w:rsidRPr="0022060B">
        <w:rPr>
          <w:rFonts w:ascii="Arial" w:hAnsi="Arial" w:cs="Arial"/>
          <w:sz w:val="20"/>
          <w:szCs w:val="20"/>
        </w:rPr>
        <w:t xml:space="preserve"> - </w:t>
      </w:r>
      <w:hyperlink r:id="rId16" w:history="1">
        <w:r w:rsidRPr="0022060B">
          <w:rPr>
            <w:rStyle w:val="Hyperlink"/>
            <w:rFonts w:ascii="Arial" w:hAnsi="Arial" w:cs="Arial"/>
            <w:sz w:val="20"/>
            <w:szCs w:val="20"/>
          </w:rPr>
          <w:t>Acórdão n° 21</w:t>
        </w:r>
        <w:r w:rsidR="00B7033E" w:rsidRPr="0022060B">
          <w:rPr>
            <w:rStyle w:val="Hyperlink"/>
            <w:rFonts w:ascii="Arial" w:hAnsi="Arial" w:cs="Arial"/>
            <w:sz w:val="20"/>
            <w:szCs w:val="20"/>
          </w:rPr>
          <w:t>23</w:t>
        </w:r>
        <w:r w:rsidRPr="0022060B">
          <w:rPr>
            <w:rStyle w:val="Hyperlink"/>
            <w:rFonts w:ascii="Arial" w:hAnsi="Arial" w:cs="Arial"/>
            <w:sz w:val="20"/>
            <w:szCs w:val="20"/>
          </w:rPr>
          <w:t xml:space="preserve"> – Tribunal Pleno</w:t>
        </w:r>
      </w:hyperlink>
      <w:r w:rsidRPr="0022060B">
        <w:rPr>
          <w:rFonts w:ascii="Arial" w:hAnsi="Arial" w:cs="Arial"/>
          <w:sz w:val="20"/>
          <w:szCs w:val="20"/>
        </w:rPr>
        <w:t xml:space="preserve"> - Rel. Conselheiro Fernando Augusto Mello Guimarães.  </w:t>
      </w:r>
    </w:p>
    <w:p w:rsidR="00B22E46" w:rsidRPr="0022060B" w:rsidRDefault="00B22E46" w:rsidP="00816942">
      <w:pPr>
        <w:autoSpaceDE w:val="0"/>
        <w:autoSpaceDN w:val="0"/>
        <w:adjustRightInd w:val="0"/>
        <w:spacing w:after="0"/>
        <w:jc w:val="both"/>
        <w:rPr>
          <w:rFonts w:ascii="Arial" w:hAnsi="Arial" w:cs="Arial"/>
          <w:b/>
          <w:color w:val="000000"/>
          <w:sz w:val="20"/>
          <w:szCs w:val="20"/>
          <w:shd w:val="clear" w:color="auto" w:fill="FFFFFF"/>
        </w:rPr>
      </w:pPr>
    </w:p>
    <w:p w:rsidR="00211A49" w:rsidRDefault="001D4D9A" w:rsidP="00816942">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10. </w:t>
      </w:r>
      <w:r w:rsidR="00211A49" w:rsidRPr="0022060B">
        <w:rPr>
          <w:rFonts w:ascii="Arial" w:hAnsi="Arial" w:cs="Arial"/>
          <w:b/>
          <w:sz w:val="20"/>
          <w:szCs w:val="20"/>
        </w:rPr>
        <w:t xml:space="preserve">Representação da Lei Nº 8.666/1993. </w:t>
      </w:r>
      <w:r w:rsidR="00E07C16">
        <w:rPr>
          <w:rFonts w:ascii="Arial" w:hAnsi="Arial" w:cs="Arial"/>
          <w:b/>
          <w:sz w:val="20"/>
          <w:szCs w:val="20"/>
        </w:rPr>
        <w:t xml:space="preserve">Licitação. Fracionamento. </w:t>
      </w:r>
      <w:r w:rsidR="00E07C16" w:rsidRPr="00E07C16">
        <w:rPr>
          <w:rFonts w:ascii="Arial" w:hAnsi="Arial" w:cs="Arial"/>
          <w:b/>
          <w:sz w:val="20"/>
          <w:szCs w:val="20"/>
        </w:rPr>
        <w:t>Art. 23, § 5 da Lei 8.666/19933.</w:t>
      </w:r>
    </w:p>
    <w:p w:rsidR="0080643E" w:rsidRPr="0022060B" w:rsidRDefault="0080643E" w:rsidP="00816942">
      <w:pPr>
        <w:autoSpaceDE w:val="0"/>
        <w:autoSpaceDN w:val="0"/>
        <w:adjustRightInd w:val="0"/>
        <w:spacing w:after="0"/>
        <w:jc w:val="both"/>
        <w:rPr>
          <w:rFonts w:ascii="Arial" w:hAnsi="Arial" w:cs="Arial"/>
          <w:b/>
          <w:sz w:val="20"/>
          <w:szCs w:val="20"/>
        </w:rPr>
      </w:pPr>
    </w:p>
    <w:p w:rsidR="00073F9F" w:rsidRPr="0022060B" w:rsidRDefault="00211A49"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A realização de licitações com vistas à aquisição de bens destinados a diversas áreas, como no caso de combustíveis, por exemplo, deve ser realizada de forma conjunta, com a finalidade de favorecer a economia de escala, pois quanto maior a quantia a ser adquirida, maior poderá ser o desconto. Quando a Administração Pública determina o fracionamento da contratação e isto desfigura a modalidade licitatória legalmente aplicada ao seu caso, adotando-se modalidade de licitação mais flexível, torna-se a conduta ilegal, contrária, portanto ao disposto no Art. 23, § 5 da Lei 8.666/19933.</w:t>
      </w:r>
    </w:p>
    <w:p w:rsidR="0080643E" w:rsidRDefault="0080643E" w:rsidP="00816942">
      <w:pPr>
        <w:autoSpaceDE w:val="0"/>
        <w:autoSpaceDN w:val="0"/>
        <w:adjustRightInd w:val="0"/>
        <w:spacing w:after="0"/>
        <w:jc w:val="both"/>
        <w:rPr>
          <w:rFonts w:ascii="Arial" w:hAnsi="Arial" w:cs="Arial"/>
          <w:sz w:val="20"/>
          <w:szCs w:val="20"/>
        </w:rPr>
      </w:pPr>
    </w:p>
    <w:p w:rsidR="00211A49" w:rsidRPr="0022060B" w:rsidRDefault="00211A49"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Processo n° 363382/09 - </w:t>
      </w:r>
      <w:hyperlink r:id="rId17" w:history="1">
        <w:r w:rsidRPr="0022060B">
          <w:rPr>
            <w:rStyle w:val="Hyperlink"/>
            <w:rFonts w:ascii="Arial" w:hAnsi="Arial" w:cs="Arial"/>
            <w:sz w:val="20"/>
            <w:szCs w:val="20"/>
          </w:rPr>
          <w:t xml:space="preserve">Acórdão n° 2107 </w:t>
        </w:r>
        <w:r w:rsidR="0080643E">
          <w:rPr>
            <w:rStyle w:val="Hyperlink"/>
            <w:rFonts w:ascii="Arial" w:hAnsi="Arial" w:cs="Arial"/>
            <w:sz w:val="20"/>
            <w:szCs w:val="20"/>
          </w:rPr>
          <w:t>-</w:t>
        </w:r>
        <w:r w:rsidRPr="0022060B">
          <w:rPr>
            <w:rStyle w:val="Hyperlink"/>
            <w:rFonts w:ascii="Arial" w:hAnsi="Arial" w:cs="Arial"/>
            <w:sz w:val="20"/>
            <w:szCs w:val="20"/>
          </w:rPr>
          <w:t xml:space="preserve"> Tribunal Pleno</w:t>
        </w:r>
      </w:hyperlink>
      <w:r w:rsidRPr="0022060B">
        <w:rPr>
          <w:rFonts w:ascii="Arial" w:hAnsi="Arial" w:cs="Arial"/>
          <w:sz w:val="20"/>
          <w:szCs w:val="20"/>
        </w:rPr>
        <w:t xml:space="preserve"> - Rel. Conselheiro Fernando Augusto Mello Guimarães.  </w:t>
      </w:r>
    </w:p>
    <w:p w:rsidR="0022060B" w:rsidRDefault="0022060B" w:rsidP="00816942">
      <w:pPr>
        <w:spacing w:after="0"/>
        <w:jc w:val="both"/>
        <w:rPr>
          <w:rFonts w:ascii="Arial" w:hAnsi="Arial" w:cs="Arial"/>
          <w:b/>
          <w:color w:val="000000"/>
          <w:sz w:val="20"/>
          <w:szCs w:val="20"/>
        </w:rPr>
      </w:pPr>
    </w:p>
    <w:p w:rsidR="0022060B" w:rsidRPr="0022060B" w:rsidRDefault="001D4D9A" w:rsidP="00816942">
      <w:pPr>
        <w:spacing w:after="0"/>
        <w:jc w:val="both"/>
        <w:rPr>
          <w:rFonts w:ascii="Arial" w:hAnsi="Arial" w:cs="Arial"/>
          <w:b/>
          <w:color w:val="000000"/>
          <w:sz w:val="20"/>
          <w:szCs w:val="20"/>
        </w:rPr>
      </w:pPr>
      <w:r>
        <w:rPr>
          <w:rFonts w:ascii="Arial" w:hAnsi="Arial" w:cs="Arial"/>
          <w:b/>
          <w:color w:val="000000"/>
          <w:sz w:val="20"/>
          <w:szCs w:val="20"/>
        </w:rPr>
        <w:t xml:space="preserve">11. </w:t>
      </w:r>
      <w:r w:rsidR="0022060B" w:rsidRPr="0022060B">
        <w:rPr>
          <w:rFonts w:ascii="Arial" w:hAnsi="Arial" w:cs="Arial"/>
          <w:b/>
          <w:color w:val="000000"/>
          <w:sz w:val="20"/>
          <w:szCs w:val="20"/>
        </w:rPr>
        <w:t xml:space="preserve">Representação. Acumulação remunerada de cargos públicos. Técnico bancário e professor. Impossibilidade. Não caracterização de cargo técnico. Procedência. </w:t>
      </w:r>
    </w:p>
    <w:p w:rsidR="0080643E" w:rsidRDefault="0080643E" w:rsidP="00816942">
      <w:pPr>
        <w:spacing w:after="0"/>
        <w:jc w:val="both"/>
        <w:rPr>
          <w:rFonts w:ascii="Arial" w:hAnsi="Arial" w:cs="Arial"/>
          <w:color w:val="000000"/>
          <w:sz w:val="20"/>
          <w:szCs w:val="20"/>
        </w:rPr>
      </w:pPr>
    </w:p>
    <w:p w:rsidR="0022060B" w:rsidRPr="0022060B" w:rsidRDefault="0022060B" w:rsidP="00816942">
      <w:pPr>
        <w:spacing w:after="0"/>
        <w:jc w:val="both"/>
        <w:rPr>
          <w:rFonts w:ascii="Arial" w:hAnsi="Arial" w:cs="Arial"/>
          <w:color w:val="000000"/>
          <w:sz w:val="20"/>
          <w:szCs w:val="20"/>
        </w:rPr>
      </w:pPr>
      <w:r w:rsidRPr="0022060B">
        <w:rPr>
          <w:rFonts w:ascii="Arial" w:hAnsi="Arial" w:cs="Arial"/>
          <w:color w:val="000000"/>
          <w:sz w:val="20"/>
          <w:szCs w:val="20"/>
        </w:rPr>
        <w:t xml:space="preserve">Comunicado do Tribunal de Contas da União trouxe ao conhecimento deste TCE o julgamento do Relatório de Auditoria nº 030.771/2011-0 daquela Corte, que apontou irregularidades no acúmulo de cargos por servidores e empregados federais. </w:t>
      </w:r>
    </w:p>
    <w:p w:rsidR="0080643E" w:rsidRDefault="0080643E" w:rsidP="00816942">
      <w:pPr>
        <w:spacing w:after="0"/>
        <w:jc w:val="both"/>
        <w:rPr>
          <w:rFonts w:ascii="Arial" w:hAnsi="Arial" w:cs="Arial"/>
          <w:color w:val="000000"/>
          <w:sz w:val="20"/>
          <w:szCs w:val="20"/>
        </w:rPr>
      </w:pPr>
    </w:p>
    <w:p w:rsidR="0022060B" w:rsidRPr="0022060B" w:rsidRDefault="0022060B" w:rsidP="00816942">
      <w:pPr>
        <w:spacing w:after="0"/>
        <w:jc w:val="both"/>
        <w:rPr>
          <w:rFonts w:ascii="Arial" w:hAnsi="Arial" w:cs="Arial"/>
          <w:color w:val="000000"/>
          <w:sz w:val="20"/>
          <w:szCs w:val="20"/>
        </w:rPr>
      </w:pPr>
      <w:r w:rsidRPr="0022060B">
        <w:rPr>
          <w:rFonts w:ascii="Arial" w:hAnsi="Arial" w:cs="Arial"/>
          <w:color w:val="000000"/>
          <w:sz w:val="20"/>
          <w:szCs w:val="20"/>
        </w:rPr>
        <w:t>Vislumbrou-se o exercício concomitante da atividade de técnico bancário na Caixa Econômica Federal, mediante aprovação em concurso público e de professor da rede pública do Estado do Paraná, com carga horária de 20 horas semanais.</w:t>
      </w:r>
    </w:p>
    <w:p w:rsidR="0080643E" w:rsidRDefault="0080643E" w:rsidP="00816942">
      <w:pPr>
        <w:spacing w:after="0"/>
        <w:jc w:val="both"/>
        <w:rPr>
          <w:rFonts w:ascii="Arial" w:hAnsi="Arial" w:cs="Arial"/>
          <w:color w:val="000000"/>
          <w:sz w:val="20"/>
          <w:szCs w:val="20"/>
        </w:rPr>
      </w:pPr>
    </w:p>
    <w:p w:rsidR="0022060B" w:rsidRPr="0022060B" w:rsidRDefault="0022060B" w:rsidP="00816942">
      <w:pPr>
        <w:spacing w:after="0"/>
        <w:jc w:val="both"/>
        <w:rPr>
          <w:rFonts w:ascii="Arial" w:hAnsi="Arial" w:cs="Arial"/>
          <w:color w:val="000000"/>
          <w:sz w:val="20"/>
          <w:szCs w:val="20"/>
        </w:rPr>
      </w:pPr>
      <w:r w:rsidRPr="0022060B">
        <w:rPr>
          <w:rFonts w:ascii="Arial" w:hAnsi="Arial" w:cs="Arial"/>
          <w:color w:val="000000"/>
          <w:sz w:val="20"/>
          <w:szCs w:val="20"/>
        </w:rPr>
        <w:t>Segundo a norma contida no artigo 37, inciso XVI, da Constituição Federal, é vedada a acumulação de cargos públicos, sendo permitida, excepcionalmente, quando houver compatibilidade de horários e se tratar de (i) dois cargos de professor; (</w:t>
      </w:r>
      <w:proofErr w:type="spellStart"/>
      <w:r w:rsidRPr="0022060B">
        <w:rPr>
          <w:rFonts w:ascii="Arial" w:hAnsi="Arial" w:cs="Arial"/>
          <w:color w:val="000000"/>
          <w:sz w:val="20"/>
          <w:szCs w:val="20"/>
        </w:rPr>
        <w:t>ii</w:t>
      </w:r>
      <w:proofErr w:type="spellEnd"/>
      <w:r w:rsidRPr="0022060B">
        <w:rPr>
          <w:rFonts w:ascii="Arial" w:hAnsi="Arial" w:cs="Arial"/>
          <w:color w:val="000000"/>
          <w:sz w:val="20"/>
          <w:szCs w:val="20"/>
        </w:rPr>
        <w:t>) um cargo de professor e outro técnico ou científico; ou (</w:t>
      </w:r>
      <w:proofErr w:type="spellStart"/>
      <w:r w:rsidRPr="0022060B">
        <w:rPr>
          <w:rFonts w:ascii="Arial" w:hAnsi="Arial" w:cs="Arial"/>
          <w:color w:val="000000"/>
          <w:sz w:val="20"/>
          <w:szCs w:val="20"/>
        </w:rPr>
        <w:t>iii</w:t>
      </w:r>
      <w:proofErr w:type="spellEnd"/>
      <w:r w:rsidRPr="0022060B">
        <w:rPr>
          <w:rFonts w:ascii="Arial" w:hAnsi="Arial" w:cs="Arial"/>
          <w:color w:val="000000"/>
          <w:sz w:val="20"/>
          <w:szCs w:val="20"/>
        </w:rPr>
        <w:t xml:space="preserve">) dois cargos ou empregos privativos de profissionais de saúde, com profissões regulamentadas, regramento que se estende também às empresas públicas. </w:t>
      </w:r>
    </w:p>
    <w:p w:rsidR="0022060B" w:rsidRPr="0022060B" w:rsidRDefault="0022060B" w:rsidP="00816942">
      <w:pPr>
        <w:spacing w:after="0"/>
        <w:jc w:val="both"/>
        <w:rPr>
          <w:rFonts w:ascii="Arial" w:hAnsi="Arial" w:cs="Arial"/>
          <w:i/>
          <w:color w:val="000000"/>
          <w:sz w:val="20"/>
          <w:szCs w:val="20"/>
        </w:rPr>
      </w:pPr>
      <w:r w:rsidRPr="0022060B">
        <w:rPr>
          <w:rFonts w:ascii="Arial" w:hAnsi="Arial" w:cs="Arial"/>
          <w:color w:val="000000"/>
          <w:sz w:val="20"/>
          <w:szCs w:val="20"/>
        </w:rPr>
        <w:t xml:space="preserve">O cargo ocupado junto à Caixa Econômica Federal não se caracteriza como técnico ou científico para fins de acumulação, tampouco a função de avaliador de penhor, também exercida pelo mesmo profissional nominado no Relatório do TCU. Isso porque, conforme jurisprudência do Superior Tribunal de Justiça, cargo técnico é aquele que exige conhecimentos específicos na área de atuação, com habilitação específica de grau universitário ou profissionalizante de 2º grau. Veja-se excerto da decisão, em que foi relator o Min. Napoleão Nunes Maia Filho, julgado em </w:t>
      </w:r>
      <w:r w:rsidRPr="0022060B">
        <w:rPr>
          <w:rFonts w:ascii="Arial" w:hAnsi="Arial" w:cs="Arial"/>
          <w:color w:val="000000"/>
          <w:sz w:val="20"/>
          <w:szCs w:val="20"/>
        </w:rPr>
        <w:lastRenderedPageBreak/>
        <w:t>16.02.17: “</w:t>
      </w:r>
      <w:r w:rsidRPr="0022060B">
        <w:rPr>
          <w:rFonts w:ascii="Arial" w:hAnsi="Arial" w:cs="Arial"/>
          <w:i/>
          <w:color w:val="000000"/>
          <w:sz w:val="20"/>
          <w:szCs w:val="20"/>
        </w:rPr>
        <w:t>Da leitura do acórdão recorrido, depreende-se que o cargo ocupado pela recorrente junto ao Banco do Brasil – Escriturário – não pode ser considerado técnico no sentido constitucional, uma vez que exige apenas formação no ensino médio e exercício de atividades burocráticas, não sendo necessários conhecimentos concentrados em determinada área do saber”.</w:t>
      </w:r>
    </w:p>
    <w:p w:rsidR="0022060B" w:rsidRPr="0022060B" w:rsidRDefault="0022060B" w:rsidP="00816942">
      <w:pPr>
        <w:spacing w:after="0"/>
        <w:jc w:val="both"/>
        <w:rPr>
          <w:rFonts w:ascii="Arial" w:hAnsi="Arial" w:cs="Arial"/>
          <w:color w:val="000000"/>
          <w:sz w:val="20"/>
          <w:szCs w:val="20"/>
        </w:rPr>
      </w:pPr>
      <w:r w:rsidRPr="0022060B">
        <w:rPr>
          <w:rFonts w:ascii="Arial" w:hAnsi="Arial" w:cs="Arial"/>
          <w:color w:val="000000"/>
          <w:sz w:val="20"/>
          <w:szCs w:val="20"/>
        </w:rPr>
        <w:t xml:space="preserve">A Representação foi conhecida e recebida, sem, entretanto, aplicação de sansão ao profissional, sem aplicação de multa, haja vista o seu afastamento da Caixa Econômica Federal, mediante rescisão contratual por justa causa. </w:t>
      </w:r>
    </w:p>
    <w:p w:rsidR="00DA4004" w:rsidRDefault="00DA4004" w:rsidP="00816942">
      <w:pPr>
        <w:spacing w:after="0"/>
        <w:jc w:val="both"/>
        <w:rPr>
          <w:rFonts w:ascii="Arial" w:hAnsi="Arial" w:cs="Arial"/>
          <w:color w:val="000000"/>
          <w:sz w:val="20"/>
          <w:szCs w:val="20"/>
        </w:rPr>
      </w:pPr>
    </w:p>
    <w:p w:rsidR="0022060B" w:rsidRPr="0022060B" w:rsidRDefault="0022060B" w:rsidP="00816942">
      <w:pPr>
        <w:spacing w:after="0"/>
        <w:jc w:val="both"/>
        <w:rPr>
          <w:rFonts w:ascii="Arial" w:hAnsi="Arial" w:cs="Arial"/>
          <w:color w:val="000000"/>
          <w:sz w:val="20"/>
          <w:szCs w:val="20"/>
        </w:rPr>
      </w:pPr>
      <w:r w:rsidRPr="0022060B">
        <w:rPr>
          <w:rFonts w:ascii="Arial" w:hAnsi="Arial" w:cs="Arial"/>
          <w:color w:val="000000"/>
          <w:sz w:val="20"/>
          <w:szCs w:val="20"/>
        </w:rPr>
        <w:t xml:space="preserve">Processo nº 8849/14 </w:t>
      </w:r>
      <w:r w:rsidR="00DA4004">
        <w:rPr>
          <w:rFonts w:ascii="Arial" w:hAnsi="Arial" w:cs="Arial"/>
          <w:color w:val="000000"/>
          <w:sz w:val="20"/>
          <w:szCs w:val="20"/>
        </w:rPr>
        <w:t>-</w:t>
      </w:r>
      <w:r w:rsidRPr="0022060B">
        <w:rPr>
          <w:rFonts w:ascii="Arial" w:hAnsi="Arial" w:cs="Arial"/>
          <w:color w:val="000000"/>
          <w:sz w:val="20"/>
          <w:szCs w:val="20"/>
        </w:rPr>
        <w:t xml:space="preserve"> </w:t>
      </w:r>
      <w:hyperlink r:id="rId18" w:history="1">
        <w:r w:rsidRPr="0022060B">
          <w:rPr>
            <w:rStyle w:val="Hyperlink"/>
            <w:rFonts w:ascii="Arial" w:hAnsi="Arial" w:cs="Arial"/>
            <w:sz w:val="20"/>
            <w:szCs w:val="20"/>
          </w:rPr>
          <w:t>Acórdão nº 2244/17- Tribunal Pleno</w:t>
        </w:r>
      </w:hyperlink>
      <w:r w:rsidRPr="0022060B">
        <w:rPr>
          <w:rFonts w:ascii="Arial" w:hAnsi="Arial" w:cs="Arial"/>
          <w:color w:val="000000"/>
          <w:sz w:val="20"/>
          <w:szCs w:val="20"/>
        </w:rPr>
        <w:t xml:space="preserve"> </w:t>
      </w:r>
      <w:r w:rsidR="00DA4004">
        <w:rPr>
          <w:rFonts w:ascii="Arial" w:hAnsi="Arial" w:cs="Arial"/>
          <w:color w:val="000000"/>
          <w:sz w:val="20"/>
          <w:szCs w:val="20"/>
        </w:rPr>
        <w:t>-</w:t>
      </w:r>
      <w:r w:rsidRPr="0022060B">
        <w:rPr>
          <w:rFonts w:ascii="Arial" w:hAnsi="Arial" w:cs="Arial"/>
          <w:color w:val="000000"/>
          <w:sz w:val="20"/>
          <w:szCs w:val="20"/>
        </w:rPr>
        <w:t xml:space="preserve"> Rel. Conselheiro Ivan </w:t>
      </w:r>
      <w:proofErr w:type="spellStart"/>
      <w:r w:rsidRPr="0022060B">
        <w:rPr>
          <w:rFonts w:ascii="Arial" w:hAnsi="Arial" w:cs="Arial"/>
          <w:color w:val="000000"/>
          <w:sz w:val="20"/>
          <w:szCs w:val="20"/>
        </w:rPr>
        <w:t>Lelis</w:t>
      </w:r>
      <w:proofErr w:type="spellEnd"/>
      <w:r w:rsidRPr="0022060B">
        <w:rPr>
          <w:rFonts w:ascii="Arial" w:hAnsi="Arial" w:cs="Arial"/>
          <w:color w:val="000000"/>
          <w:sz w:val="20"/>
          <w:szCs w:val="20"/>
        </w:rPr>
        <w:t xml:space="preserve"> Bonilha.</w:t>
      </w:r>
    </w:p>
    <w:p w:rsidR="0022060B" w:rsidRPr="0022060B" w:rsidRDefault="0022060B" w:rsidP="00816942">
      <w:pPr>
        <w:spacing w:after="0"/>
        <w:jc w:val="both"/>
        <w:rPr>
          <w:rFonts w:ascii="Arial" w:hAnsi="Arial" w:cs="Arial"/>
          <w:color w:val="000000"/>
          <w:sz w:val="20"/>
          <w:szCs w:val="20"/>
        </w:rPr>
      </w:pPr>
    </w:p>
    <w:p w:rsidR="0022060B" w:rsidRPr="0022060B" w:rsidRDefault="001D4D9A" w:rsidP="00816942">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12. </w:t>
      </w:r>
      <w:r w:rsidR="0022060B" w:rsidRPr="0022060B">
        <w:rPr>
          <w:rStyle w:val="Hyperlink"/>
          <w:rFonts w:ascii="Arial" w:hAnsi="Arial" w:cs="Arial"/>
          <w:b/>
          <w:color w:val="000000" w:themeColor="text1"/>
          <w:sz w:val="20"/>
          <w:szCs w:val="20"/>
          <w:u w:val="none"/>
        </w:rPr>
        <w:t xml:space="preserve">Representação. Pregão Presencial. Contratação de serviços de vale-refeição. Vedação de oferta de taxa zero ou taxa negativa. Cláusula restritiva. Impossibilidade. Não afronta à Lei nº 8.666/93, art. 44, § 3º. Pela procedência com recomendações e aplicação de multa administrativa ao assessor jurídico e ao Diretor Presidente da entidade. </w:t>
      </w:r>
    </w:p>
    <w:p w:rsidR="0080643E" w:rsidRDefault="0080643E" w:rsidP="00816942">
      <w:pPr>
        <w:spacing w:after="0"/>
        <w:jc w:val="both"/>
        <w:rPr>
          <w:rStyle w:val="Hyperlink"/>
          <w:rFonts w:ascii="Arial" w:hAnsi="Arial" w:cs="Arial"/>
          <w:color w:val="000000" w:themeColor="text1"/>
          <w:sz w:val="20"/>
          <w:szCs w:val="20"/>
          <w:u w:val="none"/>
        </w:rPr>
      </w:pPr>
    </w:p>
    <w:p w:rsidR="0022060B" w:rsidRPr="0022060B"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color w:val="000000" w:themeColor="text1"/>
          <w:sz w:val="20"/>
          <w:szCs w:val="20"/>
          <w:u w:val="none"/>
        </w:rPr>
        <w:t xml:space="preserve">A Companhia Municipal de Trânsito e Urbanização de Londrina efetuou contratação por meio do Pregão Presencial nº 18/2009 para prestação de serviços de gerenciamento, implementação e administração de benefício de alimentação aos seus servidores (vale-alimentação). </w:t>
      </w:r>
    </w:p>
    <w:p w:rsidR="0022060B" w:rsidRPr="0022060B"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color w:val="000000" w:themeColor="text1"/>
          <w:sz w:val="20"/>
          <w:szCs w:val="20"/>
          <w:u w:val="none"/>
        </w:rPr>
        <w:t xml:space="preserve">O Edital do referido Pregão, vedava que os licitantes pudessem ofertar taxa zero ou taxa negativa, tendo adotado que o critério de julgamento adotado fosse o de menor taxa de administração, exigência contra a qual, entre outras, insurgiu-se a empresa </w:t>
      </w:r>
      <w:proofErr w:type="spellStart"/>
      <w:r w:rsidRPr="0022060B">
        <w:rPr>
          <w:rStyle w:val="Hyperlink"/>
          <w:rFonts w:ascii="Arial" w:hAnsi="Arial" w:cs="Arial"/>
          <w:color w:val="000000" w:themeColor="text1"/>
          <w:sz w:val="20"/>
          <w:szCs w:val="20"/>
          <w:u w:val="none"/>
        </w:rPr>
        <w:t>Trivale</w:t>
      </w:r>
      <w:proofErr w:type="spellEnd"/>
      <w:r w:rsidRPr="0022060B">
        <w:rPr>
          <w:rStyle w:val="Hyperlink"/>
          <w:rFonts w:ascii="Arial" w:hAnsi="Arial" w:cs="Arial"/>
          <w:color w:val="000000" w:themeColor="text1"/>
          <w:sz w:val="20"/>
          <w:szCs w:val="20"/>
          <w:u w:val="none"/>
        </w:rPr>
        <w:t xml:space="preserve"> Administração Ltda. </w:t>
      </w:r>
    </w:p>
    <w:p w:rsidR="0080643E" w:rsidRDefault="0080643E" w:rsidP="00816942">
      <w:pPr>
        <w:spacing w:after="0"/>
        <w:jc w:val="both"/>
        <w:rPr>
          <w:rStyle w:val="Hyperlink"/>
          <w:rFonts w:ascii="Arial" w:hAnsi="Arial" w:cs="Arial"/>
          <w:color w:val="000000" w:themeColor="text1"/>
          <w:sz w:val="20"/>
          <w:szCs w:val="20"/>
          <w:u w:val="none"/>
        </w:rPr>
      </w:pPr>
    </w:p>
    <w:p w:rsidR="0022060B" w:rsidRPr="0022060B"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color w:val="000000" w:themeColor="text1"/>
          <w:sz w:val="20"/>
          <w:szCs w:val="20"/>
          <w:u w:val="none"/>
        </w:rPr>
        <w:t xml:space="preserve">A Representada, CMTU-LD, justificou que a oferta de taxa zero ou negativa fere o disposto no § 3º do art. 44 da Lei nº 8.666/93, que veda a aceitação de propostas que apresentem preços simbólicos, irrisórios ou de valor zero, incompatíveis com os preços dos insumos e salários de mercado. </w:t>
      </w:r>
    </w:p>
    <w:p w:rsidR="0080643E" w:rsidRDefault="0080643E" w:rsidP="00816942">
      <w:pPr>
        <w:spacing w:after="0"/>
        <w:jc w:val="both"/>
        <w:rPr>
          <w:rStyle w:val="Hyperlink"/>
          <w:rFonts w:ascii="Arial" w:hAnsi="Arial" w:cs="Arial"/>
          <w:color w:val="000000" w:themeColor="text1"/>
          <w:sz w:val="20"/>
          <w:szCs w:val="20"/>
          <w:u w:val="none"/>
        </w:rPr>
      </w:pPr>
    </w:p>
    <w:p w:rsidR="0022060B" w:rsidRPr="0022060B"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color w:val="000000" w:themeColor="text1"/>
          <w:sz w:val="20"/>
          <w:szCs w:val="20"/>
          <w:u w:val="none"/>
        </w:rPr>
        <w:t>Contudo, as empresas de administração de benefício alimentação não obtêm seu faturamento somente das taxas de administração - constatou o Relator, em seu voto acolhido por unanimidade -</w:t>
      </w:r>
      <w:proofErr w:type="gramStart"/>
      <w:r w:rsidRPr="0022060B">
        <w:rPr>
          <w:rStyle w:val="Hyperlink"/>
          <w:rFonts w:ascii="Arial" w:hAnsi="Arial" w:cs="Arial"/>
          <w:color w:val="000000" w:themeColor="text1"/>
          <w:sz w:val="20"/>
          <w:szCs w:val="20"/>
          <w:u w:val="none"/>
        </w:rPr>
        <w:t>,  mas</w:t>
      </w:r>
      <w:proofErr w:type="gramEnd"/>
      <w:r w:rsidRPr="0022060B">
        <w:rPr>
          <w:rStyle w:val="Hyperlink"/>
          <w:rFonts w:ascii="Arial" w:hAnsi="Arial" w:cs="Arial"/>
          <w:color w:val="000000" w:themeColor="text1"/>
          <w:sz w:val="20"/>
          <w:szCs w:val="20"/>
          <w:u w:val="none"/>
        </w:rPr>
        <w:t xml:space="preserve"> também, de aplicações dos recursos administrados no mercado financeiro e de taxas de serviço dos estabelecimentos credenciados. </w:t>
      </w:r>
    </w:p>
    <w:p w:rsidR="0080643E" w:rsidRDefault="0080643E" w:rsidP="00816942">
      <w:pPr>
        <w:spacing w:after="0"/>
        <w:jc w:val="both"/>
        <w:rPr>
          <w:rStyle w:val="Hyperlink"/>
          <w:rFonts w:ascii="Arial" w:hAnsi="Arial" w:cs="Arial"/>
          <w:color w:val="000000" w:themeColor="text1"/>
          <w:sz w:val="20"/>
          <w:szCs w:val="20"/>
          <w:u w:val="none"/>
        </w:rPr>
      </w:pPr>
    </w:p>
    <w:p w:rsidR="0022060B" w:rsidRPr="0022060B" w:rsidRDefault="0022060B" w:rsidP="00816942">
      <w:pPr>
        <w:spacing w:after="0"/>
        <w:jc w:val="both"/>
        <w:rPr>
          <w:rStyle w:val="Hyperlink"/>
          <w:rFonts w:ascii="Arial" w:hAnsi="Arial" w:cs="Arial"/>
          <w:i/>
          <w:color w:val="000000" w:themeColor="text1"/>
          <w:sz w:val="20"/>
          <w:szCs w:val="20"/>
          <w:u w:val="none"/>
        </w:rPr>
      </w:pPr>
      <w:r w:rsidRPr="0022060B">
        <w:rPr>
          <w:rStyle w:val="Hyperlink"/>
          <w:rFonts w:ascii="Arial" w:hAnsi="Arial" w:cs="Arial"/>
          <w:color w:val="000000" w:themeColor="text1"/>
          <w:sz w:val="20"/>
          <w:szCs w:val="20"/>
          <w:u w:val="none"/>
        </w:rPr>
        <w:t xml:space="preserve">O voto, então, acompanha entendimento do Tribunal de Contas da União, constante das Decisões </w:t>
      </w:r>
      <w:proofErr w:type="spellStart"/>
      <w:r w:rsidRPr="0022060B">
        <w:rPr>
          <w:rStyle w:val="Hyperlink"/>
          <w:rFonts w:ascii="Arial" w:hAnsi="Arial" w:cs="Arial"/>
          <w:color w:val="000000" w:themeColor="text1"/>
          <w:sz w:val="20"/>
          <w:szCs w:val="20"/>
          <w:u w:val="none"/>
        </w:rPr>
        <w:t>nºs</w:t>
      </w:r>
      <w:proofErr w:type="spellEnd"/>
      <w:r w:rsidRPr="0022060B">
        <w:rPr>
          <w:rStyle w:val="Hyperlink"/>
          <w:rFonts w:ascii="Arial" w:hAnsi="Arial" w:cs="Arial"/>
          <w:color w:val="000000" w:themeColor="text1"/>
          <w:sz w:val="20"/>
          <w:szCs w:val="20"/>
          <w:u w:val="none"/>
        </w:rPr>
        <w:t xml:space="preserve"> 582 e 38/1996-Plenário, nesta última, com descrição, pelo Ministro Relator, da maneira de obtenção de renda deste ramo de atividade: </w:t>
      </w:r>
      <w:r w:rsidRPr="0022060B">
        <w:rPr>
          <w:rStyle w:val="Hyperlink"/>
          <w:rFonts w:ascii="Arial" w:hAnsi="Arial" w:cs="Arial"/>
          <w:i/>
          <w:color w:val="000000" w:themeColor="text1"/>
          <w:sz w:val="20"/>
          <w:szCs w:val="20"/>
          <w:u w:val="none"/>
        </w:rPr>
        <w:t xml:space="preserve">“Isso porque, conforme foi apurado na inspeção em apreço, a remuneração das empresas desse ramo não se restringe à taxa de administração cobrada ou aos rendimentos eventualmente obtidos no mercado financeiro. Fica assente neste trabalho que a remuneração dessas empresas advém também das taxas de serviços cobradas dos estabelecimentos conveniados (as quais variam de 1 a 8%), das sobras de caixa que são aplicadas no mercado financeiro e das diferenças em número de dias existentes </w:t>
      </w:r>
      <w:r w:rsidRPr="0022060B">
        <w:rPr>
          <w:rStyle w:val="Hyperlink"/>
          <w:rFonts w:ascii="Arial" w:hAnsi="Arial" w:cs="Arial"/>
          <w:i/>
          <w:color w:val="000000" w:themeColor="text1"/>
          <w:sz w:val="20"/>
          <w:szCs w:val="20"/>
          <w:u w:val="none"/>
        </w:rPr>
        <w:lastRenderedPageBreak/>
        <w:t xml:space="preserve">entre as operações que realiza como emissão de tíquetes, utilização desse pelo usuário, pagamento dos tíquetes pelo cliente, reembolso à rede de credenciados (varia de 7 a 16 </w:t>
      </w:r>
      <w:proofErr w:type="gramStart"/>
      <w:r w:rsidRPr="0022060B">
        <w:rPr>
          <w:rStyle w:val="Hyperlink"/>
          <w:rFonts w:ascii="Arial" w:hAnsi="Arial" w:cs="Arial"/>
          <w:i/>
          <w:color w:val="000000" w:themeColor="text1"/>
          <w:sz w:val="20"/>
          <w:szCs w:val="20"/>
          <w:u w:val="none"/>
        </w:rPr>
        <w:t>dias)”</w:t>
      </w:r>
      <w:proofErr w:type="gramEnd"/>
      <w:r w:rsidRPr="0022060B">
        <w:rPr>
          <w:rStyle w:val="Hyperlink"/>
          <w:rFonts w:ascii="Arial" w:hAnsi="Arial" w:cs="Arial"/>
          <w:i/>
          <w:color w:val="000000" w:themeColor="text1"/>
          <w:sz w:val="20"/>
          <w:szCs w:val="20"/>
          <w:u w:val="none"/>
        </w:rPr>
        <w:t>.</w:t>
      </w:r>
    </w:p>
    <w:p w:rsidR="0022060B" w:rsidRPr="0022060B"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color w:val="000000" w:themeColor="text1"/>
          <w:sz w:val="20"/>
          <w:szCs w:val="20"/>
          <w:u w:val="none"/>
        </w:rPr>
        <w:t xml:space="preserve">A Representação foi julgada procedente com imputação da multa do art.87, III, “d” da Lei Complementar Estadual nº 113/2005 ao assessor jurídico e ao Diretor Presidente da entidade, com recomendação, entre outras, de que em licitação de serviços de administração de auxílio-alimentação abstenha-se de estabelecer cláusula restritiva que negue a aceitação de ofertas de taxas de administração negativas ou de valor zero. </w:t>
      </w:r>
    </w:p>
    <w:p w:rsidR="00DA4004" w:rsidRDefault="00DA4004" w:rsidP="00816942">
      <w:pPr>
        <w:spacing w:after="0"/>
        <w:jc w:val="both"/>
        <w:rPr>
          <w:rStyle w:val="Hyperlink"/>
          <w:rFonts w:ascii="Arial" w:hAnsi="Arial" w:cs="Arial"/>
          <w:color w:val="000000" w:themeColor="text1"/>
          <w:sz w:val="20"/>
          <w:szCs w:val="20"/>
          <w:u w:val="none"/>
        </w:rPr>
      </w:pPr>
    </w:p>
    <w:p w:rsidR="0022060B" w:rsidRPr="0022060B"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color w:val="000000" w:themeColor="text1"/>
          <w:sz w:val="20"/>
          <w:szCs w:val="20"/>
          <w:u w:val="none"/>
        </w:rPr>
        <w:t xml:space="preserve">Processo nº 462623/10 – </w:t>
      </w:r>
      <w:hyperlink r:id="rId19" w:history="1">
        <w:r w:rsidRPr="0022060B">
          <w:rPr>
            <w:rStyle w:val="Hyperlink"/>
            <w:rFonts w:ascii="Arial" w:hAnsi="Arial" w:cs="Arial"/>
            <w:sz w:val="20"/>
            <w:szCs w:val="20"/>
          </w:rPr>
          <w:t>Acórdão nº 2252/17- Tribunal Pleno</w:t>
        </w:r>
      </w:hyperlink>
      <w:r w:rsidRPr="0022060B">
        <w:rPr>
          <w:rStyle w:val="Hyperlink"/>
          <w:rFonts w:ascii="Arial" w:hAnsi="Arial" w:cs="Arial"/>
          <w:color w:val="000000" w:themeColor="text1"/>
          <w:sz w:val="20"/>
          <w:szCs w:val="20"/>
          <w:u w:val="none"/>
        </w:rPr>
        <w:t xml:space="preserve"> – Rel. Conselheiro Ivens Zschoerper Linhares.</w:t>
      </w:r>
    </w:p>
    <w:p w:rsidR="0022060B" w:rsidRPr="00BA12A2"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i/>
          <w:color w:val="000000" w:themeColor="text1"/>
          <w:sz w:val="20"/>
          <w:szCs w:val="20"/>
          <w:u w:val="none"/>
        </w:rPr>
        <w:t xml:space="preserve"> </w:t>
      </w:r>
    </w:p>
    <w:p w:rsidR="0022060B" w:rsidRPr="0022060B" w:rsidRDefault="001D4D9A" w:rsidP="00816942">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13. </w:t>
      </w:r>
      <w:r w:rsidR="0022060B" w:rsidRPr="0022060B">
        <w:rPr>
          <w:rStyle w:val="Hyperlink"/>
          <w:rFonts w:ascii="Arial" w:hAnsi="Arial" w:cs="Arial"/>
          <w:b/>
          <w:color w:val="000000" w:themeColor="text1"/>
          <w:sz w:val="20"/>
          <w:szCs w:val="20"/>
          <w:u w:val="none"/>
        </w:rPr>
        <w:t xml:space="preserve">Consulta. COHAPAR. Sociedade de economia mista. Regime jurídico predominantemente privado, com derrogação parcial por normas de direito público. Possibilidade de realização de acordos judiciais, desde que previamente regulamentados. Necessidade de demonstração da economicidade e atendimento ao interesse público da avença. Solução voltada à implementação de mecanismos consensuais de resolução de conflitos. </w:t>
      </w:r>
    </w:p>
    <w:p w:rsidR="0080643E" w:rsidRDefault="0080643E" w:rsidP="00816942">
      <w:pPr>
        <w:spacing w:after="0"/>
        <w:jc w:val="both"/>
        <w:rPr>
          <w:rStyle w:val="Hyperlink"/>
          <w:rFonts w:ascii="Arial" w:hAnsi="Arial" w:cs="Arial"/>
          <w:color w:val="000000" w:themeColor="text1"/>
          <w:sz w:val="20"/>
          <w:szCs w:val="20"/>
          <w:u w:val="none"/>
        </w:rPr>
      </w:pPr>
    </w:p>
    <w:p w:rsidR="0022060B" w:rsidRPr="0022060B"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color w:val="000000" w:themeColor="text1"/>
          <w:sz w:val="20"/>
          <w:szCs w:val="20"/>
          <w:u w:val="none"/>
        </w:rPr>
        <w:t xml:space="preserve">A </w:t>
      </w:r>
      <w:proofErr w:type="gramStart"/>
      <w:r w:rsidRPr="0022060B">
        <w:rPr>
          <w:rStyle w:val="Hyperlink"/>
          <w:rFonts w:ascii="Arial" w:hAnsi="Arial" w:cs="Arial"/>
          <w:color w:val="000000" w:themeColor="text1"/>
          <w:sz w:val="20"/>
          <w:szCs w:val="20"/>
          <w:u w:val="none"/>
        </w:rPr>
        <w:t>COAHPAR,  tendo</w:t>
      </w:r>
      <w:proofErr w:type="gramEnd"/>
      <w:r w:rsidRPr="0022060B">
        <w:rPr>
          <w:rStyle w:val="Hyperlink"/>
          <w:rFonts w:ascii="Arial" w:hAnsi="Arial" w:cs="Arial"/>
          <w:color w:val="000000" w:themeColor="text1"/>
          <w:sz w:val="20"/>
          <w:szCs w:val="20"/>
          <w:u w:val="none"/>
        </w:rPr>
        <w:t xml:space="preserve"> formalizado parceria com associações de beneficiários de Programa Habitacional com fornecimento de assistência técnica gratuita, passou a ser demandada, na qualidade de responsável solidária, por trabalhadores que efetuavam serviços de empreitada aos beneficiários do referido Programa. Em tais demandas, os trabalhadores buscam o reconhecimento do vínculo empregatício com a respectiva Associação e o pagamento de verbas trabalhistas, sendo a COAHPAR frequentemente condenada, por força da Súmula 331 do Tribunal Superior do Trabalho. </w:t>
      </w:r>
    </w:p>
    <w:p w:rsidR="0080643E" w:rsidRDefault="0080643E" w:rsidP="00816942">
      <w:pPr>
        <w:spacing w:after="0"/>
        <w:jc w:val="both"/>
        <w:rPr>
          <w:rStyle w:val="Hyperlink"/>
          <w:rFonts w:ascii="Arial" w:hAnsi="Arial" w:cs="Arial"/>
          <w:color w:val="000000" w:themeColor="text1"/>
          <w:sz w:val="20"/>
          <w:szCs w:val="20"/>
          <w:u w:val="none"/>
        </w:rPr>
      </w:pPr>
    </w:p>
    <w:p w:rsidR="0022060B" w:rsidRPr="0022060B"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color w:val="000000" w:themeColor="text1"/>
          <w:sz w:val="20"/>
          <w:szCs w:val="20"/>
          <w:u w:val="none"/>
        </w:rPr>
        <w:t xml:space="preserve">Neste contexto, a entidade indaga a esta Corte de Contas quanto à possibilidade de realização de acordo antes da prolação da sentença, como medida de economia na gestão de riscos do passivo trabalhista. </w:t>
      </w:r>
    </w:p>
    <w:p w:rsidR="0080643E" w:rsidRDefault="0080643E" w:rsidP="00816942">
      <w:pPr>
        <w:spacing w:after="0"/>
        <w:jc w:val="both"/>
        <w:rPr>
          <w:rStyle w:val="Hyperlink"/>
          <w:rFonts w:ascii="Arial" w:hAnsi="Arial" w:cs="Arial"/>
          <w:color w:val="000000" w:themeColor="text1"/>
          <w:sz w:val="20"/>
          <w:szCs w:val="20"/>
          <w:u w:val="none"/>
        </w:rPr>
      </w:pPr>
    </w:p>
    <w:p w:rsidR="0022060B" w:rsidRPr="0022060B"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color w:val="000000" w:themeColor="text1"/>
          <w:sz w:val="20"/>
          <w:szCs w:val="20"/>
          <w:u w:val="none"/>
        </w:rPr>
        <w:t xml:space="preserve">A COFIE, Unidade Técnica que analisou a consulta, e o Ministério Público de Contas, ambos compartilharam o entendimento pela possibilidade de celebração de acordos judiciais por entidades da Administração Pública, neste caso, a COAHAPAR, que se trata de uma sociedade de economia mista. Divergiram apenas quanto aos requisitos necessários, uma vez que a Coordenadoria sustenta que possibilidade de acordo deve estar prevista em norma autorizativa estadual, enquanto o </w:t>
      </w:r>
      <w:r w:rsidRPr="0022060B">
        <w:rPr>
          <w:rStyle w:val="Hyperlink"/>
          <w:rFonts w:ascii="Arial" w:hAnsi="Arial" w:cs="Arial"/>
          <w:i/>
          <w:color w:val="000000" w:themeColor="text1"/>
          <w:sz w:val="20"/>
          <w:szCs w:val="20"/>
          <w:u w:val="none"/>
        </w:rPr>
        <w:t>Parquet</w:t>
      </w:r>
      <w:r w:rsidRPr="0022060B">
        <w:rPr>
          <w:rStyle w:val="Hyperlink"/>
          <w:rFonts w:ascii="Arial" w:hAnsi="Arial" w:cs="Arial"/>
          <w:color w:val="000000" w:themeColor="text1"/>
          <w:sz w:val="20"/>
          <w:szCs w:val="20"/>
          <w:u w:val="none"/>
        </w:rPr>
        <w:t xml:space="preserve"> sustenta que a regulamentação administrativa do assunto pela entidade já seria o bastante. </w:t>
      </w:r>
    </w:p>
    <w:p w:rsidR="0080643E" w:rsidRDefault="0080643E" w:rsidP="00816942">
      <w:pPr>
        <w:spacing w:after="0"/>
        <w:jc w:val="both"/>
        <w:rPr>
          <w:rStyle w:val="Hyperlink"/>
          <w:rFonts w:ascii="Arial" w:hAnsi="Arial" w:cs="Arial"/>
          <w:color w:val="000000" w:themeColor="text1"/>
          <w:sz w:val="20"/>
          <w:szCs w:val="20"/>
          <w:u w:val="none"/>
        </w:rPr>
      </w:pPr>
    </w:p>
    <w:p w:rsidR="0022060B" w:rsidRPr="0022060B"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color w:val="000000" w:themeColor="text1"/>
          <w:sz w:val="20"/>
          <w:szCs w:val="20"/>
          <w:u w:val="none"/>
        </w:rPr>
        <w:t xml:space="preserve">No curso do voto, foram reconhecidas as características específicas das sociedades de economia mista e apontados diplomas legais, para se afirmar que as mesmas podem realizar acordos sujeitos à homologação judicial, desde que atendidos certos requisitos, como a legalidade, a demonstração da economicidade do acordo e o atendimento ao interesse público </w:t>
      </w:r>
      <w:r w:rsidRPr="0022060B">
        <w:rPr>
          <w:rStyle w:val="Hyperlink"/>
          <w:rFonts w:ascii="Arial" w:hAnsi="Arial" w:cs="Arial"/>
          <w:color w:val="000000" w:themeColor="text1"/>
          <w:sz w:val="20"/>
          <w:szCs w:val="20"/>
          <w:u w:val="none"/>
        </w:rPr>
        <w:lastRenderedPageBreak/>
        <w:t xml:space="preserve">subjacente, desde que os requisitos e condições sejam previstos em regulamentação administrativa no âmbito interno da entidade. </w:t>
      </w:r>
    </w:p>
    <w:p w:rsidR="0022060B" w:rsidRPr="0022060B" w:rsidRDefault="0022060B" w:rsidP="00816942">
      <w:pPr>
        <w:spacing w:after="0"/>
        <w:jc w:val="both"/>
        <w:rPr>
          <w:rStyle w:val="Hyperlink"/>
          <w:rFonts w:ascii="Arial" w:hAnsi="Arial" w:cs="Arial"/>
          <w:i/>
          <w:color w:val="000000" w:themeColor="text1"/>
          <w:sz w:val="20"/>
          <w:szCs w:val="20"/>
          <w:u w:val="none"/>
        </w:rPr>
      </w:pPr>
      <w:r w:rsidRPr="0022060B">
        <w:rPr>
          <w:rStyle w:val="Hyperlink"/>
          <w:rFonts w:ascii="Arial" w:hAnsi="Arial" w:cs="Arial"/>
          <w:color w:val="000000" w:themeColor="text1"/>
          <w:sz w:val="20"/>
          <w:szCs w:val="20"/>
          <w:u w:val="none"/>
        </w:rPr>
        <w:t xml:space="preserve"> Quanto aos aludidos diplomais legais, foram ressaltados a Lei nº 13.140/2015, que regulou a autocomposição de conflitos para os órgãos da Administração Direta, suas autarquias e fundações. Também, o Novo Código de Processo </w:t>
      </w:r>
      <w:proofErr w:type="gramStart"/>
      <w:r w:rsidRPr="0022060B">
        <w:rPr>
          <w:rStyle w:val="Hyperlink"/>
          <w:rFonts w:ascii="Arial" w:hAnsi="Arial" w:cs="Arial"/>
          <w:color w:val="000000" w:themeColor="text1"/>
          <w:sz w:val="20"/>
          <w:szCs w:val="20"/>
          <w:u w:val="none"/>
        </w:rPr>
        <w:t>Civil,  “</w:t>
      </w:r>
      <w:proofErr w:type="gramEnd"/>
      <w:r w:rsidRPr="0022060B">
        <w:rPr>
          <w:rStyle w:val="Hyperlink"/>
          <w:rFonts w:ascii="Arial" w:hAnsi="Arial" w:cs="Arial"/>
          <w:i/>
          <w:color w:val="000000" w:themeColor="text1"/>
          <w:sz w:val="20"/>
          <w:szCs w:val="20"/>
          <w:u w:val="none"/>
        </w:rPr>
        <w:t xml:space="preserve">acolheu a perspectiva da solução consensual de conflitos e conferiu grande destaque para conciliação e mediação, dedicando uma seção inteira ao tema no Capítulo III, bem como instituiu mecanismos fundamentais para solução dos conflitos e preferência pela autocomposição”. </w:t>
      </w:r>
    </w:p>
    <w:p w:rsidR="00DA4004" w:rsidRDefault="00DA4004" w:rsidP="00816942">
      <w:pPr>
        <w:spacing w:after="0"/>
        <w:jc w:val="both"/>
        <w:rPr>
          <w:rStyle w:val="Hyperlink"/>
          <w:rFonts w:ascii="Arial" w:hAnsi="Arial" w:cs="Arial"/>
          <w:color w:val="000000" w:themeColor="text1"/>
          <w:sz w:val="20"/>
          <w:szCs w:val="20"/>
          <w:u w:val="none"/>
        </w:rPr>
      </w:pPr>
    </w:p>
    <w:p w:rsidR="0022060B" w:rsidRPr="0022060B" w:rsidRDefault="0022060B" w:rsidP="00816942">
      <w:pPr>
        <w:spacing w:after="0"/>
        <w:jc w:val="both"/>
        <w:rPr>
          <w:rStyle w:val="Hyperlink"/>
          <w:rFonts w:ascii="Arial" w:hAnsi="Arial" w:cs="Arial"/>
          <w:color w:val="000000" w:themeColor="text1"/>
          <w:sz w:val="20"/>
          <w:szCs w:val="20"/>
          <w:u w:val="none"/>
        </w:rPr>
      </w:pPr>
      <w:r w:rsidRPr="0022060B">
        <w:rPr>
          <w:rStyle w:val="Hyperlink"/>
          <w:rFonts w:ascii="Arial" w:hAnsi="Arial" w:cs="Arial"/>
          <w:color w:val="000000" w:themeColor="text1"/>
          <w:sz w:val="20"/>
          <w:szCs w:val="20"/>
          <w:u w:val="none"/>
        </w:rPr>
        <w:t xml:space="preserve">Processo nº 557239/16 </w:t>
      </w:r>
      <w:r w:rsidR="00DA4004">
        <w:rPr>
          <w:rStyle w:val="Hyperlink"/>
          <w:rFonts w:ascii="Arial" w:hAnsi="Arial" w:cs="Arial"/>
          <w:color w:val="000000" w:themeColor="text1"/>
          <w:sz w:val="20"/>
          <w:szCs w:val="20"/>
          <w:u w:val="none"/>
        </w:rPr>
        <w:t>-</w:t>
      </w:r>
      <w:r w:rsidRPr="0022060B">
        <w:rPr>
          <w:rStyle w:val="Hyperlink"/>
          <w:rFonts w:ascii="Arial" w:hAnsi="Arial" w:cs="Arial"/>
          <w:color w:val="000000" w:themeColor="text1"/>
          <w:sz w:val="20"/>
          <w:szCs w:val="20"/>
          <w:u w:val="none"/>
        </w:rPr>
        <w:t xml:space="preserve"> </w:t>
      </w:r>
      <w:hyperlink r:id="rId20" w:history="1">
        <w:r w:rsidRPr="0022060B">
          <w:rPr>
            <w:rStyle w:val="Hyperlink"/>
            <w:rFonts w:ascii="Arial" w:hAnsi="Arial" w:cs="Arial"/>
            <w:sz w:val="20"/>
            <w:szCs w:val="20"/>
          </w:rPr>
          <w:t>Acórdão nº 2697/17</w:t>
        </w:r>
        <w:r w:rsidR="00DA4004">
          <w:rPr>
            <w:rStyle w:val="Hyperlink"/>
            <w:rFonts w:ascii="Arial" w:hAnsi="Arial" w:cs="Arial"/>
            <w:sz w:val="20"/>
            <w:szCs w:val="20"/>
          </w:rPr>
          <w:t xml:space="preserve"> </w:t>
        </w:r>
        <w:r w:rsidRPr="0022060B">
          <w:rPr>
            <w:rStyle w:val="Hyperlink"/>
            <w:rFonts w:ascii="Arial" w:hAnsi="Arial" w:cs="Arial"/>
            <w:sz w:val="20"/>
            <w:szCs w:val="20"/>
          </w:rPr>
          <w:t>- Tribunal Pleno</w:t>
        </w:r>
      </w:hyperlink>
      <w:r w:rsidRPr="0022060B">
        <w:rPr>
          <w:rStyle w:val="Hyperlink"/>
          <w:rFonts w:ascii="Arial" w:hAnsi="Arial" w:cs="Arial"/>
          <w:color w:val="000000" w:themeColor="text1"/>
          <w:sz w:val="20"/>
          <w:szCs w:val="20"/>
          <w:u w:val="none"/>
        </w:rPr>
        <w:t xml:space="preserve"> </w:t>
      </w:r>
      <w:r w:rsidR="00DA4004">
        <w:rPr>
          <w:rStyle w:val="Hyperlink"/>
          <w:rFonts w:ascii="Arial" w:hAnsi="Arial" w:cs="Arial"/>
          <w:color w:val="000000" w:themeColor="text1"/>
          <w:sz w:val="20"/>
          <w:szCs w:val="20"/>
          <w:u w:val="none"/>
        </w:rPr>
        <w:t>-</w:t>
      </w:r>
      <w:r w:rsidRPr="0022060B">
        <w:rPr>
          <w:rStyle w:val="Hyperlink"/>
          <w:rFonts w:ascii="Arial" w:hAnsi="Arial" w:cs="Arial"/>
          <w:color w:val="000000" w:themeColor="text1"/>
          <w:sz w:val="20"/>
          <w:szCs w:val="20"/>
          <w:u w:val="none"/>
        </w:rPr>
        <w:t xml:space="preserve"> Rel. Conselheiro Ivens Zschoerper Linhares.</w:t>
      </w:r>
    </w:p>
    <w:p w:rsidR="00BD4E7A" w:rsidRPr="0022060B"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601974" w:rsidRPr="0022060B" w:rsidRDefault="00601974" w:rsidP="00816942">
      <w:pPr>
        <w:spacing w:after="0"/>
        <w:rPr>
          <w:rFonts w:ascii="Arial" w:hAnsi="Arial" w:cs="Arial"/>
          <w:b/>
          <w:color w:val="000000"/>
          <w:sz w:val="20"/>
          <w:szCs w:val="20"/>
        </w:rPr>
      </w:pPr>
    </w:p>
    <w:p w:rsidR="005603B3" w:rsidRPr="0022060B" w:rsidRDefault="005603B3" w:rsidP="00816942">
      <w:pPr>
        <w:spacing w:after="0"/>
        <w:jc w:val="both"/>
        <w:rPr>
          <w:rFonts w:ascii="Arial" w:hAnsi="Arial" w:cs="Arial"/>
          <w:b/>
          <w:color w:val="000000"/>
          <w:sz w:val="20"/>
          <w:szCs w:val="20"/>
        </w:rPr>
      </w:pPr>
      <w:r w:rsidRPr="0022060B">
        <w:rPr>
          <w:rFonts w:ascii="Arial" w:hAnsi="Arial" w:cs="Arial"/>
          <w:b/>
          <w:color w:val="000000"/>
          <w:sz w:val="20"/>
          <w:szCs w:val="20"/>
        </w:rPr>
        <w:t>Supremo Tribunal Federal:</w:t>
      </w:r>
    </w:p>
    <w:p w:rsidR="00CD0DCE" w:rsidRPr="0022060B" w:rsidRDefault="00CD0DCE" w:rsidP="00816942">
      <w:pPr>
        <w:spacing w:after="0"/>
        <w:jc w:val="both"/>
        <w:rPr>
          <w:rFonts w:ascii="Arial" w:hAnsi="Arial" w:cs="Arial"/>
          <w:sz w:val="20"/>
          <w:szCs w:val="20"/>
        </w:rPr>
      </w:pPr>
    </w:p>
    <w:p w:rsidR="0016028F" w:rsidRPr="0022060B" w:rsidRDefault="007D0ED5" w:rsidP="00816942">
      <w:pPr>
        <w:spacing w:after="0"/>
        <w:jc w:val="both"/>
        <w:rPr>
          <w:rFonts w:ascii="Arial" w:hAnsi="Arial" w:cs="Arial"/>
          <w:sz w:val="20"/>
          <w:szCs w:val="20"/>
        </w:rPr>
      </w:pPr>
      <w:hyperlink r:id="rId21" w:history="1">
        <w:r w:rsidR="0016028F" w:rsidRPr="0022060B">
          <w:rPr>
            <w:rStyle w:val="Hyperlink"/>
            <w:rFonts w:ascii="Arial" w:hAnsi="Arial" w:cs="Arial"/>
            <w:b/>
            <w:sz w:val="20"/>
            <w:szCs w:val="20"/>
          </w:rPr>
          <w:t>ADC 41/DF</w:t>
        </w:r>
      </w:hyperlink>
      <w:r w:rsidR="0016028F" w:rsidRPr="0022060B">
        <w:rPr>
          <w:rFonts w:ascii="Arial" w:hAnsi="Arial" w:cs="Arial"/>
          <w:sz w:val="20"/>
          <w:szCs w:val="20"/>
        </w:rPr>
        <w:t xml:space="preserve">, Rel. Min. Roberto Barroso, julgamento em 8.6.2017. </w:t>
      </w:r>
    </w:p>
    <w:p w:rsidR="00F25D9B" w:rsidRDefault="00F25D9B" w:rsidP="00816942">
      <w:pPr>
        <w:spacing w:after="0"/>
        <w:jc w:val="both"/>
        <w:rPr>
          <w:rFonts w:ascii="Arial" w:hAnsi="Arial" w:cs="Arial"/>
          <w:b/>
          <w:sz w:val="20"/>
          <w:szCs w:val="20"/>
        </w:rPr>
      </w:pPr>
    </w:p>
    <w:p w:rsidR="00CD0DCE" w:rsidRPr="0022060B" w:rsidRDefault="00CD0DCE" w:rsidP="00816942">
      <w:pPr>
        <w:spacing w:after="0"/>
        <w:jc w:val="both"/>
        <w:rPr>
          <w:rFonts w:ascii="Arial" w:hAnsi="Arial" w:cs="Arial"/>
          <w:b/>
          <w:sz w:val="20"/>
          <w:szCs w:val="20"/>
        </w:rPr>
      </w:pPr>
      <w:r w:rsidRPr="0022060B">
        <w:rPr>
          <w:rFonts w:ascii="Arial" w:hAnsi="Arial" w:cs="Arial"/>
          <w:b/>
          <w:sz w:val="20"/>
          <w:szCs w:val="20"/>
        </w:rPr>
        <w:t>Cotas raciais: vagas em cargos e empregos públicos e mecanismo de controle de fraude</w:t>
      </w:r>
      <w:r w:rsidR="006F39CF" w:rsidRPr="0022060B">
        <w:rPr>
          <w:rFonts w:ascii="Arial" w:hAnsi="Arial" w:cs="Arial"/>
          <w:b/>
          <w:sz w:val="20"/>
          <w:szCs w:val="20"/>
        </w:rPr>
        <w:t>.</w:t>
      </w:r>
      <w:r w:rsidRPr="0022060B">
        <w:rPr>
          <w:rFonts w:ascii="Arial" w:hAnsi="Arial" w:cs="Arial"/>
          <w:b/>
          <w:sz w:val="20"/>
          <w:szCs w:val="20"/>
        </w:rPr>
        <w:t xml:space="preserve"> </w:t>
      </w:r>
    </w:p>
    <w:p w:rsidR="00F25D9B" w:rsidRDefault="00F25D9B" w:rsidP="00816942">
      <w:pPr>
        <w:spacing w:after="0"/>
        <w:jc w:val="both"/>
        <w:rPr>
          <w:rFonts w:ascii="Arial" w:hAnsi="Arial" w:cs="Arial"/>
          <w:sz w:val="20"/>
          <w:szCs w:val="20"/>
        </w:rPr>
      </w:pPr>
    </w:p>
    <w:p w:rsidR="005603B3" w:rsidRPr="0022060B" w:rsidRDefault="00CD0DCE" w:rsidP="00816942">
      <w:pPr>
        <w:spacing w:after="0"/>
        <w:jc w:val="both"/>
        <w:rPr>
          <w:rFonts w:ascii="Arial" w:hAnsi="Arial" w:cs="Arial"/>
          <w:sz w:val="20"/>
          <w:szCs w:val="20"/>
        </w:rPr>
      </w:pPr>
      <w:r w:rsidRPr="0022060B">
        <w:rPr>
          <w:rFonts w:ascii="Arial" w:hAnsi="Arial" w:cs="Arial"/>
          <w:sz w:val="20"/>
          <w:szCs w:val="20"/>
        </w:rPr>
        <w:t>É constitucional a reserva de 20% das vagas oferecidas nos concursos públicos para provimento de cargos efetivos e empregos públicos no âmbito da Administração Pública Direta e Indireta.</w:t>
      </w:r>
      <w:r w:rsidR="006F39CF" w:rsidRPr="0022060B">
        <w:rPr>
          <w:rFonts w:ascii="Arial" w:hAnsi="Arial" w:cs="Arial"/>
          <w:sz w:val="20"/>
          <w:szCs w:val="20"/>
        </w:rPr>
        <w:t xml:space="preserve"> </w:t>
      </w:r>
      <w:r w:rsidRPr="0022060B">
        <w:rPr>
          <w:rFonts w:ascii="Arial" w:hAnsi="Arial" w:cs="Arial"/>
          <w:sz w:val="20"/>
          <w:szCs w:val="20"/>
        </w:rPr>
        <w:t xml:space="preserve">É legítima a utilização, além da </w:t>
      </w:r>
      <w:proofErr w:type="spellStart"/>
      <w:r w:rsidRPr="0022060B">
        <w:rPr>
          <w:rFonts w:ascii="Arial" w:hAnsi="Arial" w:cs="Arial"/>
          <w:sz w:val="20"/>
          <w:szCs w:val="20"/>
        </w:rPr>
        <w:t>autodeclaração</w:t>
      </w:r>
      <w:proofErr w:type="spellEnd"/>
      <w:r w:rsidRPr="0022060B">
        <w:rPr>
          <w:rFonts w:ascii="Arial" w:hAnsi="Arial" w:cs="Arial"/>
          <w:sz w:val="20"/>
          <w:szCs w:val="20"/>
        </w:rPr>
        <w:t xml:space="preserve">, de critérios subsidiários de </w:t>
      </w:r>
      <w:proofErr w:type="spellStart"/>
      <w:r w:rsidRPr="0022060B">
        <w:rPr>
          <w:rFonts w:ascii="Arial" w:hAnsi="Arial" w:cs="Arial"/>
          <w:sz w:val="20"/>
          <w:szCs w:val="20"/>
        </w:rPr>
        <w:t>heteroidentificação</w:t>
      </w:r>
      <w:proofErr w:type="spellEnd"/>
      <w:r w:rsidRPr="0022060B">
        <w:rPr>
          <w:rFonts w:ascii="Arial" w:hAnsi="Arial" w:cs="Arial"/>
          <w:sz w:val="20"/>
          <w:szCs w:val="20"/>
        </w:rPr>
        <w:t>, desde que respeitada a dignidade da pessoa humana e garantidos o contraditório e a ampla defesa.</w:t>
      </w:r>
      <w:r w:rsidR="006F39CF" w:rsidRPr="0022060B">
        <w:rPr>
          <w:rFonts w:ascii="Arial" w:hAnsi="Arial" w:cs="Arial"/>
          <w:sz w:val="20"/>
          <w:szCs w:val="20"/>
        </w:rPr>
        <w:t xml:space="preserve"> </w:t>
      </w:r>
      <w:r w:rsidRPr="0022060B">
        <w:rPr>
          <w:rFonts w:ascii="Arial" w:hAnsi="Arial" w:cs="Arial"/>
          <w:sz w:val="20"/>
          <w:szCs w:val="20"/>
        </w:rPr>
        <w:t>Com base nesses entendimentos, o Plenário, por unanimidade, julgou procedente o pedido formulado em ação declaratória de constitucionalidade em que se discutia a legitimidade da Lei federal nº 12.990/2014.</w:t>
      </w:r>
    </w:p>
    <w:p w:rsidR="00BA5A9D" w:rsidRPr="0022060B" w:rsidRDefault="00BA5A9D" w:rsidP="00816942">
      <w:pPr>
        <w:spacing w:after="0"/>
        <w:rPr>
          <w:rFonts w:ascii="Arial" w:hAnsi="Arial" w:cs="Arial"/>
          <w:b/>
          <w:sz w:val="20"/>
          <w:szCs w:val="20"/>
        </w:rPr>
      </w:pPr>
    </w:p>
    <w:p w:rsidR="0016028F" w:rsidRPr="0022060B" w:rsidRDefault="007D0ED5" w:rsidP="00816942">
      <w:pPr>
        <w:spacing w:after="0"/>
        <w:rPr>
          <w:rFonts w:ascii="Arial" w:hAnsi="Arial" w:cs="Arial"/>
          <w:sz w:val="20"/>
          <w:szCs w:val="20"/>
        </w:rPr>
      </w:pPr>
      <w:hyperlink r:id="rId22" w:history="1">
        <w:r w:rsidR="0016028F" w:rsidRPr="0022060B">
          <w:rPr>
            <w:rStyle w:val="Hyperlink"/>
            <w:rFonts w:ascii="Arial" w:hAnsi="Arial" w:cs="Arial"/>
            <w:b/>
            <w:sz w:val="20"/>
            <w:szCs w:val="20"/>
          </w:rPr>
          <w:t>RE 629392 RG/MT</w:t>
        </w:r>
      </w:hyperlink>
      <w:r w:rsidR="0016028F" w:rsidRPr="0022060B">
        <w:rPr>
          <w:rFonts w:ascii="Arial" w:hAnsi="Arial" w:cs="Arial"/>
          <w:sz w:val="20"/>
          <w:szCs w:val="20"/>
        </w:rPr>
        <w:t xml:space="preserve">, rel. Min. Marco Aurélio, julgamento em 8.6.2017. </w:t>
      </w:r>
    </w:p>
    <w:p w:rsidR="00F25D9B" w:rsidRDefault="00F25D9B" w:rsidP="00816942">
      <w:pPr>
        <w:spacing w:after="0"/>
        <w:jc w:val="both"/>
        <w:rPr>
          <w:rFonts w:ascii="Arial" w:hAnsi="Arial" w:cs="Arial"/>
          <w:b/>
          <w:sz w:val="20"/>
          <w:szCs w:val="20"/>
        </w:rPr>
      </w:pPr>
    </w:p>
    <w:p w:rsidR="0016028F" w:rsidRPr="0022060B" w:rsidRDefault="0016028F" w:rsidP="00816942">
      <w:pPr>
        <w:spacing w:after="0"/>
        <w:jc w:val="both"/>
        <w:rPr>
          <w:rFonts w:ascii="Arial" w:hAnsi="Arial" w:cs="Arial"/>
          <w:b/>
          <w:sz w:val="20"/>
          <w:szCs w:val="20"/>
        </w:rPr>
      </w:pPr>
      <w:r w:rsidRPr="0022060B">
        <w:rPr>
          <w:rFonts w:ascii="Arial" w:hAnsi="Arial" w:cs="Arial"/>
          <w:b/>
          <w:sz w:val="20"/>
          <w:szCs w:val="20"/>
        </w:rPr>
        <w:t>Promoção funcional retroativa nas nomeações por ato judicial.</w:t>
      </w:r>
    </w:p>
    <w:p w:rsidR="00F25D9B" w:rsidRDefault="00F25D9B" w:rsidP="00816942">
      <w:pPr>
        <w:shd w:val="clear" w:color="auto" w:fill="FFFFFF"/>
        <w:spacing w:after="0"/>
        <w:jc w:val="both"/>
        <w:rPr>
          <w:rFonts w:ascii="Arial" w:hAnsi="Arial" w:cs="Arial"/>
          <w:color w:val="212121"/>
          <w:sz w:val="20"/>
          <w:szCs w:val="20"/>
        </w:rPr>
      </w:pPr>
    </w:p>
    <w:p w:rsidR="0016028F" w:rsidRPr="0022060B" w:rsidRDefault="0016028F" w:rsidP="00F25D9B">
      <w:pPr>
        <w:shd w:val="clear" w:color="auto" w:fill="FFFFFF"/>
        <w:spacing w:after="0"/>
        <w:jc w:val="both"/>
        <w:rPr>
          <w:rFonts w:ascii="Arial" w:hAnsi="Arial" w:cs="Arial"/>
          <w:color w:val="212121"/>
          <w:sz w:val="20"/>
          <w:szCs w:val="20"/>
        </w:rPr>
      </w:pPr>
      <w:r w:rsidRPr="0022060B">
        <w:rPr>
          <w:rFonts w:ascii="Arial" w:hAnsi="Arial" w:cs="Arial"/>
          <w:color w:val="212121"/>
          <w:sz w:val="20"/>
          <w:szCs w:val="20"/>
        </w:rPr>
        <w:t>A nomeação tardia de candidatos aprovados em concurso público, por meio de ato judicial, à</w:t>
      </w:r>
      <w:r w:rsidR="00F25D9B">
        <w:rPr>
          <w:rFonts w:ascii="Arial" w:hAnsi="Arial" w:cs="Arial"/>
          <w:color w:val="212121"/>
          <w:sz w:val="20"/>
          <w:szCs w:val="20"/>
        </w:rPr>
        <w:t xml:space="preserve"> </w:t>
      </w:r>
      <w:r w:rsidRPr="0022060B">
        <w:rPr>
          <w:rFonts w:ascii="Arial" w:hAnsi="Arial" w:cs="Arial"/>
          <w:color w:val="212121"/>
          <w:sz w:val="20"/>
          <w:szCs w:val="20"/>
        </w:rPr>
        <w:t>qual atribuída eficácia retroativa, não gera direito às promoções ou progressões funcionais que alcançariam houvesse ocorrido, a tempo e modo, a nomeação.</w:t>
      </w:r>
    </w:p>
    <w:p w:rsidR="00443CA1" w:rsidRPr="0022060B" w:rsidRDefault="00443CA1" w:rsidP="00816942">
      <w:pPr>
        <w:spacing w:after="0"/>
        <w:jc w:val="both"/>
        <w:rPr>
          <w:rFonts w:ascii="Arial" w:hAnsi="Arial" w:cs="Arial"/>
          <w:b/>
          <w:color w:val="000000"/>
          <w:sz w:val="20"/>
          <w:szCs w:val="20"/>
        </w:rPr>
      </w:pPr>
    </w:p>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16028F" w:rsidRPr="0022060B" w:rsidRDefault="0016028F" w:rsidP="00816942">
      <w:pPr>
        <w:spacing w:after="0"/>
        <w:jc w:val="both"/>
        <w:rPr>
          <w:rFonts w:ascii="Arial" w:hAnsi="Arial" w:cs="Arial"/>
          <w:sz w:val="20"/>
          <w:szCs w:val="20"/>
          <w:shd w:val="clear" w:color="auto" w:fill="FFFFFF"/>
        </w:rPr>
      </w:pPr>
    </w:p>
    <w:p w:rsidR="0016028F" w:rsidRPr="0022060B" w:rsidRDefault="007D0ED5" w:rsidP="00816942">
      <w:pPr>
        <w:spacing w:after="0"/>
        <w:jc w:val="both"/>
        <w:rPr>
          <w:rFonts w:ascii="Arial" w:hAnsi="Arial" w:cs="Arial"/>
          <w:sz w:val="20"/>
          <w:szCs w:val="20"/>
        </w:rPr>
      </w:pPr>
      <w:hyperlink r:id="rId23" w:history="1">
        <w:proofErr w:type="spellStart"/>
        <w:r w:rsidR="00BA5A9D" w:rsidRPr="0022060B">
          <w:rPr>
            <w:rStyle w:val="Hyperlink"/>
            <w:rFonts w:ascii="Arial" w:hAnsi="Arial" w:cs="Arial"/>
            <w:b/>
            <w:sz w:val="20"/>
            <w:szCs w:val="20"/>
          </w:rPr>
          <w:t>REsp</w:t>
        </w:r>
        <w:proofErr w:type="spellEnd"/>
        <w:r w:rsidR="00BA5A9D" w:rsidRPr="0022060B">
          <w:rPr>
            <w:rStyle w:val="Hyperlink"/>
            <w:rFonts w:ascii="Arial" w:hAnsi="Arial" w:cs="Arial"/>
            <w:b/>
            <w:sz w:val="20"/>
            <w:szCs w:val="20"/>
          </w:rPr>
          <w:t xml:space="preserve"> 1.532.514-SP</w:t>
        </w:r>
      </w:hyperlink>
      <w:r w:rsidR="00BA5A9D" w:rsidRPr="0022060B">
        <w:rPr>
          <w:rFonts w:ascii="Arial" w:hAnsi="Arial" w:cs="Arial"/>
          <w:sz w:val="20"/>
          <w:szCs w:val="20"/>
        </w:rPr>
        <w:t xml:space="preserve">, </w:t>
      </w:r>
      <w:r w:rsidR="00BA5A9D" w:rsidRPr="0022060B">
        <w:rPr>
          <w:rFonts w:ascii="Arial" w:hAnsi="Arial" w:cs="Arial"/>
          <w:b/>
          <w:sz w:val="20"/>
          <w:szCs w:val="20"/>
        </w:rPr>
        <w:t xml:space="preserve">Rel. Min. </w:t>
      </w:r>
      <w:proofErr w:type="spellStart"/>
      <w:r w:rsidR="00BA5A9D" w:rsidRPr="0022060B">
        <w:rPr>
          <w:rFonts w:ascii="Arial" w:hAnsi="Arial" w:cs="Arial"/>
          <w:b/>
          <w:sz w:val="20"/>
          <w:szCs w:val="20"/>
        </w:rPr>
        <w:t>Og</w:t>
      </w:r>
      <w:proofErr w:type="spellEnd"/>
      <w:r w:rsidR="00BA5A9D" w:rsidRPr="0022060B">
        <w:rPr>
          <w:rFonts w:ascii="Arial" w:hAnsi="Arial" w:cs="Arial"/>
          <w:b/>
          <w:sz w:val="20"/>
          <w:szCs w:val="20"/>
        </w:rPr>
        <w:t xml:space="preserve"> Fernandes, Primeira Seção, por unanimidade, julgado em 10/5/2017, </w:t>
      </w:r>
      <w:proofErr w:type="spellStart"/>
      <w:r w:rsidR="00BA5A9D" w:rsidRPr="0022060B">
        <w:rPr>
          <w:rFonts w:ascii="Arial" w:hAnsi="Arial" w:cs="Arial"/>
          <w:b/>
          <w:sz w:val="20"/>
          <w:szCs w:val="20"/>
        </w:rPr>
        <w:t>DJe</w:t>
      </w:r>
      <w:proofErr w:type="spellEnd"/>
      <w:r w:rsidR="00BA5A9D" w:rsidRPr="0022060B">
        <w:rPr>
          <w:rFonts w:ascii="Arial" w:hAnsi="Arial" w:cs="Arial"/>
          <w:b/>
          <w:sz w:val="20"/>
          <w:szCs w:val="20"/>
        </w:rPr>
        <w:t xml:space="preserve"> 17/5/2017</w:t>
      </w:r>
      <w:r w:rsidR="00BA5A9D" w:rsidRPr="0022060B">
        <w:rPr>
          <w:rFonts w:ascii="Arial" w:hAnsi="Arial" w:cs="Arial"/>
          <w:sz w:val="20"/>
          <w:szCs w:val="20"/>
        </w:rPr>
        <w:t>.</w:t>
      </w:r>
    </w:p>
    <w:p w:rsidR="00F25D9B" w:rsidRDefault="00F25D9B" w:rsidP="00816942">
      <w:pPr>
        <w:shd w:val="clear" w:color="auto" w:fill="FFFFFF"/>
        <w:spacing w:after="0"/>
        <w:jc w:val="both"/>
        <w:rPr>
          <w:rFonts w:ascii="Arial" w:hAnsi="Arial" w:cs="Arial"/>
          <w:color w:val="212121"/>
          <w:sz w:val="20"/>
          <w:szCs w:val="20"/>
        </w:rPr>
      </w:pPr>
    </w:p>
    <w:p w:rsidR="0016028F" w:rsidRPr="0022060B" w:rsidRDefault="0016028F" w:rsidP="00816942">
      <w:pPr>
        <w:shd w:val="clear" w:color="auto" w:fill="FFFFFF"/>
        <w:spacing w:after="0"/>
        <w:jc w:val="both"/>
        <w:rPr>
          <w:rFonts w:ascii="Arial" w:hAnsi="Arial" w:cs="Arial"/>
          <w:color w:val="212121"/>
          <w:sz w:val="20"/>
          <w:szCs w:val="20"/>
        </w:rPr>
      </w:pPr>
      <w:r w:rsidRPr="0022060B">
        <w:rPr>
          <w:rFonts w:ascii="Arial" w:hAnsi="Arial" w:cs="Arial"/>
          <w:color w:val="212121"/>
          <w:sz w:val="20"/>
          <w:szCs w:val="20"/>
        </w:rPr>
        <w:t>O prazo prescricional para as ações de repetição de indébito relativo às tarifas de serviços de água e esgoto cobradas indevidamente é de: (a) 20 (vinte) anos, na forma do art. 177 do Código Civil de 1916; ou (b) 10 (dez) anos, tal como previsto no art. 205 do Código Civil de 2002, observando-se a regra de direito intertemporal, estabelecida no art. 2.028 do Código Civil de 2002.</w:t>
      </w:r>
    </w:p>
    <w:p w:rsidR="0016028F" w:rsidRPr="0022060B" w:rsidRDefault="0016028F" w:rsidP="00816942">
      <w:pPr>
        <w:spacing w:after="0"/>
        <w:jc w:val="both"/>
        <w:rPr>
          <w:rFonts w:ascii="Arial" w:hAnsi="Arial" w:cs="Arial"/>
          <w:sz w:val="20"/>
          <w:szCs w:val="20"/>
          <w:shd w:val="clear" w:color="auto" w:fill="FFFFFF"/>
        </w:rPr>
      </w:pPr>
    </w:p>
    <w:p w:rsidR="000800D1" w:rsidRPr="0022060B" w:rsidRDefault="000800D1" w:rsidP="00816942">
      <w:pPr>
        <w:spacing w:after="0"/>
        <w:rPr>
          <w:rFonts w:ascii="Arial" w:hAnsi="Arial" w:cs="Arial"/>
          <w:b/>
          <w:color w:val="000000"/>
          <w:sz w:val="20"/>
          <w:szCs w:val="20"/>
        </w:rPr>
      </w:pPr>
      <w:r w:rsidRPr="0022060B">
        <w:rPr>
          <w:rFonts w:ascii="Arial" w:hAnsi="Arial" w:cs="Arial"/>
          <w:b/>
          <w:color w:val="000000"/>
          <w:sz w:val="20"/>
          <w:szCs w:val="20"/>
        </w:rPr>
        <w:t>Tribunal de Contas da União:</w:t>
      </w:r>
    </w:p>
    <w:p w:rsidR="002A2E6C" w:rsidRPr="0022060B" w:rsidRDefault="002A2E6C" w:rsidP="00816942">
      <w:pPr>
        <w:spacing w:after="0"/>
        <w:rPr>
          <w:rFonts w:ascii="Arial" w:hAnsi="Arial" w:cs="Arial"/>
          <w:b/>
          <w:color w:val="000000"/>
          <w:sz w:val="20"/>
          <w:szCs w:val="20"/>
        </w:rPr>
      </w:pPr>
    </w:p>
    <w:p w:rsidR="002A2E6C" w:rsidRPr="0022060B" w:rsidRDefault="007D0ED5" w:rsidP="00816942">
      <w:pPr>
        <w:shd w:val="clear" w:color="auto" w:fill="FFFFFF"/>
        <w:spacing w:after="0"/>
        <w:jc w:val="both"/>
        <w:rPr>
          <w:rFonts w:ascii="Arial" w:hAnsi="Arial" w:cs="Arial"/>
          <w:color w:val="212121"/>
          <w:sz w:val="20"/>
          <w:szCs w:val="20"/>
        </w:rPr>
      </w:pPr>
      <w:hyperlink r:id="rId24" w:history="1">
        <w:r w:rsidR="002A2E6C" w:rsidRPr="0022060B">
          <w:rPr>
            <w:rStyle w:val="Hyperlink"/>
            <w:rFonts w:ascii="Arial" w:hAnsi="Arial" w:cs="Arial"/>
            <w:b/>
            <w:sz w:val="20"/>
            <w:szCs w:val="20"/>
          </w:rPr>
          <w:t>Acórdão 1122/2017 - Plenário </w:t>
        </w:r>
      </w:hyperlink>
      <w:r w:rsidR="002A2E6C" w:rsidRPr="0022060B">
        <w:rPr>
          <w:rFonts w:ascii="Arial" w:hAnsi="Arial" w:cs="Arial"/>
          <w:b/>
          <w:bCs/>
          <w:color w:val="212121"/>
          <w:sz w:val="20"/>
          <w:szCs w:val="20"/>
        </w:rPr>
        <w:t xml:space="preserve">(Auditoria, Relator Ministro Benjamin </w:t>
      </w:r>
      <w:proofErr w:type="spellStart"/>
      <w:r w:rsidR="002A2E6C" w:rsidRPr="0022060B">
        <w:rPr>
          <w:rFonts w:ascii="Arial" w:hAnsi="Arial" w:cs="Arial"/>
          <w:b/>
          <w:bCs/>
          <w:color w:val="212121"/>
          <w:sz w:val="20"/>
          <w:szCs w:val="20"/>
        </w:rPr>
        <w:t>Zymler</w:t>
      </w:r>
      <w:proofErr w:type="spellEnd"/>
      <w:r w:rsidR="002A2E6C" w:rsidRPr="0022060B">
        <w:rPr>
          <w:rFonts w:ascii="Arial" w:hAnsi="Arial" w:cs="Arial"/>
          <w:b/>
          <w:bCs/>
          <w:color w:val="212121"/>
          <w:sz w:val="20"/>
          <w:szCs w:val="20"/>
        </w:rPr>
        <w:t>)</w:t>
      </w:r>
    </w:p>
    <w:p w:rsidR="00F25D9B" w:rsidRDefault="00F25D9B" w:rsidP="00816942">
      <w:pPr>
        <w:shd w:val="clear" w:color="auto" w:fill="FFFFFF"/>
        <w:spacing w:after="0"/>
        <w:jc w:val="both"/>
        <w:rPr>
          <w:rFonts w:ascii="Arial" w:hAnsi="Arial" w:cs="Arial"/>
          <w:b/>
          <w:bCs/>
          <w:color w:val="212121"/>
          <w:sz w:val="20"/>
          <w:szCs w:val="20"/>
        </w:rPr>
      </w:pPr>
    </w:p>
    <w:p w:rsidR="002A2E6C" w:rsidRPr="0022060B" w:rsidRDefault="002A2E6C" w:rsidP="00816942">
      <w:pPr>
        <w:shd w:val="clear" w:color="auto" w:fill="FFFFFF"/>
        <w:spacing w:after="0"/>
        <w:jc w:val="both"/>
        <w:rPr>
          <w:rFonts w:ascii="Arial" w:hAnsi="Arial" w:cs="Arial"/>
          <w:color w:val="212121"/>
          <w:sz w:val="20"/>
          <w:szCs w:val="20"/>
        </w:rPr>
      </w:pPr>
      <w:r w:rsidRPr="0022060B">
        <w:rPr>
          <w:rFonts w:ascii="Arial" w:hAnsi="Arial" w:cs="Arial"/>
          <w:b/>
          <w:bCs/>
          <w:color w:val="212121"/>
          <w:sz w:val="20"/>
          <w:szCs w:val="20"/>
        </w:rPr>
        <w:t>Responsabilidade. Licitação. Conduta omissiva. Inércia da Administração. Emergência. Dispensa de Licitação.</w:t>
      </w:r>
    </w:p>
    <w:p w:rsidR="00F25D9B" w:rsidRDefault="00F25D9B" w:rsidP="00816942">
      <w:pPr>
        <w:shd w:val="clear" w:color="auto" w:fill="FFFFFF"/>
        <w:spacing w:after="0"/>
        <w:jc w:val="both"/>
        <w:rPr>
          <w:rFonts w:ascii="Arial" w:hAnsi="Arial" w:cs="Arial"/>
          <w:color w:val="212121"/>
          <w:sz w:val="20"/>
          <w:szCs w:val="20"/>
        </w:rPr>
      </w:pPr>
    </w:p>
    <w:p w:rsidR="002A2E6C" w:rsidRPr="0022060B" w:rsidRDefault="002A2E6C" w:rsidP="00816942">
      <w:pPr>
        <w:shd w:val="clear" w:color="auto" w:fill="FFFFFF"/>
        <w:spacing w:after="0"/>
        <w:jc w:val="both"/>
        <w:rPr>
          <w:rFonts w:ascii="Arial" w:hAnsi="Arial" w:cs="Arial"/>
          <w:color w:val="212121"/>
          <w:sz w:val="20"/>
          <w:szCs w:val="20"/>
        </w:rPr>
      </w:pPr>
      <w:r w:rsidRPr="0022060B">
        <w:rPr>
          <w:rFonts w:ascii="Arial" w:hAnsi="Arial" w:cs="Arial"/>
          <w:color w:val="212121"/>
          <w:sz w:val="20"/>
          <w:szCs w:val="20"/>
        </w:rPr>
        <w:t>A situação de contratação emergencial decorrente da falta de planejamento, da desídia administrativa ou da má gestão dos recursos públicos pode implicar a responsabilização do gestor que lhe deu causa, em face de sua omissão ao dever de agir a tempo, adotando as medidas cabíveis para a realização do regular procedimento licitatório.</w:t>
      </w:r>
    </w:p>
    <w:p w:rsidR="002A2E6C" w:rsidRPr="0022060B" w:rsidRDefault="002A2E6C" w:rsidP="00816942">
      <w:pPr>
        <w:shd w:val="clear" w:color="auto" w:fill="FFFFFF"/>
        <w:spacing w:after="0"/>
        <w:jc w:val="both"/>
        <w:rPr>
          <w:rFonts w:ascii="Arial" w:hAnsi="Arial" w:cs="Arial"/>
          <w:color w:val="212121"/>
          <w:sz w:val="20"/>
          <w:szCs w:val="20"/>
        </w:rPr>
      </w:pPr>
      <w:r w:rsidRPr="0022060B">
        <w:rPr>
          <w:rFonts w:ascii="Arial" w:hAnsi="Arial" w:cs="Arial"/>
          <w:color w:val="212121"/>
          <w:sz w:val="20"/>
          <w:szCs w:val="20"/>
        </w:rPr>
        <w:t> </w:t>
      </w:r>
    </w:p>
    <w:p w:rsidR="002A2E6C" w:rsidRPr="0022060B" w:rsidRDefault="007D0ED5" w:rsidP="00816942">
      <w:pPr>
        <w:shd w:val="clear" w:color="auto" w:fill="FFFFFF"/>
        <w:spacing w:after="0"/>
        <w:jc w:val="both"/>
        <w:rPr>
          <w:rFonts w:ascii="Arial" w:hAnsi="Arial" w:cs="Arial"/>
          <w:color w:val="212121"/>
          <w:sz w:val="20"/>
          <w:szCs w:val="20"/>
        </w:rPr>
      </w:pPr>
      <w:hyperlink r:id="rId25" w:tgtFrame="_blank" w:history="1">
        <w:r w:rsidR="002A2E6C" w:rsidRPr="0022060B">
          <w:rPr>
            <w:rStyle w:val="Hyperlink"/>
            <w:rFonts w:ascii="Arial" w:hAnsi="Arial" w:cs="Arial"/>
            <w:b/>
            <w:bCs/>
            <w:sz w:val="20"/>
            <w:szCs w:val="20"/>
          </w:rPr>
          <w:t>Acórdão 1134/2017 - Plenário</w:t>
        </w:r>
      </w:hyperlink>
      <w:r w:rsidR="002A2E6C" w:rsidRPr="0022060B">
        <w:rPr>
          <w:rFonts w:ascii="Arial" w:hAnsi="Arial" w:cs="Arial"/>
          <w:b/>
          <w:bCs/>
          <w:color w:val="212121"/>
          <w:sz w:val="20"/>
          <w:szCs w:val="20"/>
        </w:rPr>
        <w:t> (Auditoria, Relator Ministro-Substituto Augusto Sherman)</w:t>
      </w:r>
    </w:p>
    <w:p w:rsidR="00F25D9B" w:rsidRDefault="00F25D9B" w:rsidP="00816942">
      <w:pPr>
        <w:shd w:val="clear" w:color="auto" w:fill="FFFFFF"/>
        <w:spacing w:after="0"/>
        <w:jc w:val="both"/>
        <w:rPr>
          <w:rFonts w:ascii="Arial" w:hAnsi="Arial" w:cs="Arial"/>
          <w:b/>
          <w:bCs/>
          <w:color w:val="212121"/>
          <w:sz w:val="20"/>
          <w:szCs w:val="20"/>
        </w:rPr>
      </w:pPr>
    </w:p>
    <w:p w:rsidR="002A2E6C" w:rsidRPr="0022060B" w:rsidRDefault="002A2E6C" w:rsidP="00816942">
      <w:pPr>
        <w:shd w:val="clear" w:color="auto" w:fill="FFFFFF"/>
        <w:spacing w:after="0"/>
        <w:jc w:val="both"/>
        <w:rPr>
          <w:rFonts w:ascii="Arial" w:hAnsi="Arial" w:cs="Arial"/>
          <w:color w:val="212121"/>
          <w:sz w:val="20"/>
          <w:szCs w:val="20"/>
        </w:rPr>
      </w:pPr>
      <w:r w:rsidRPr="0022060B">
        <w:rPr>
          <w:rFonts w:ascii="Arial" w:hAnsi="Arial" w:cs="Arial"/>
          <w:b/>
          <w:bCs/>
          <w:color w:val="212121"/>
          <w:sz w:val="20"/>
          <w:szCs w:val="20"/>
        </w:rPr>
        <w:t>Licitação. Dispensa de licitação. Remanescente de contrato. Serviços contínuos. Prorrogação de contrato.</w:t>
      </w:r>
    </w:p>
    <w:p w:rsidR="00F25D9B" w:rsidRDefault="00F25D9B" w:rsidP="00816942">
      <w:pPr>
        <w:pStyle w:val="tcu-epgrafe0"/>
        <w:shd w:val="clear" w:color="auto" w:fill="FFFFFF"/>
        <w:spacing w:before="0" w:beforeAutospacing="0" w:after="0" w:afterAutospacing="0" w:line="276" w:lineRule="auto"/>
        <w:jc w:val="both"/>
        <w:rPr>
          <w:rFonts w:ascii="Arial" w:hAnsi="Arial" w:cs="Arial"/>
          <w:color w:val="212121"/>
          <w:sz w:val="20"/>
          <w:szCs w:val="20"/>
        </w:rPr>
      </w:pPr>
    </w:p>
    <w:p w:rsidR="002A2E6C" w:rsidRPr="0022060B" w:rsidRDefault="002A2E6C" w:rsidP="00816942">
      <w:pPr>
        <w:pStyle w:val="tcu-epgrafe0"/>
        <w:shd w:val="clear" w:color="auto" w:fill="FFFFFF"/>
        <w:spacing w:before="0" w:beforeAutospacing="0" w:after="0" w:afterAutospacing="0" w:line="276" w:lineRule="auto"/>
        <w:jc w:val="both"/>
        <w:rPr>
          <w:rFonts w:ascii="Arial" w:hAnsi="Arial" w:cs="Arial"/>
          <w:color w:val="212121"/>
          <w:sz w:val="20"/>
          <w:szCs w:val="20"/>
        </w:rPr>
      </w:pPr>
      <w:r w:rsidRPr="0022060B">
        <w:rPr>
          <w:rFonts w:ascii="Arial" w:hAnsi="Arial" w:cs="Arial"/>
          <w:color w:val="212121"/>
          <w:sz w:val="20"/>
          <w:szCs w:val="20"/>
        </w:rPr>
        <w:t>A ausência de interesse da contratada em fazer nova prorrogação de avença de prestação de serviços de natureza continuada autoriza a realização de dispensa de licitação para contratação de remanescente de obra, serviço ou fornecimento (art. 24, inciso XI, da </w:t>
      </w:r>
      <w:hyperlink r:id="rId26" w:tgtFrame="_blank" w:history="1">
        <w:r w:rsidRPr="0022060B">
          <w:rPr>
            <w:rFonts w:ascii="Arial" w:hAnsi="Arial" w:cs="Arial"/>
            <w:color w:val="212121"/>
            <w:sz w:val="20"/>
            <w:szCs w:val="20"/>
          </w:rPr>
          <w:t>Lei 8.666/1993</w:t>
        </w:r>
      </w:hyperlink>
      <w:r w:rsidRPr="0022060B">
        <w:rPr>
          <w:rFonts w:ascii="Arial" w:hAnsi="Arial" w:cs="Arial"/>
          <w:color w:val="212121"/>
          <w:sz w:val="20"/>
          <w:szCs w:val="20"/>
        </w:rPr>
        <w:t>), desde que atendida a ordem de classificação da licitação anterior e aceitas as mesmas condições oferecidas pelo licitante vencedor, inclusive quanto ao preço.</w:t>
      </w:r>
    </w:p>
    <w:p w:rsidR="002A2E6C" w:rsidRPr="0022060B" w:rsidRDefault="002A2E6C" w:rsidP="00816942">
      <w:pPr>
        <w:pStyle w:val="tcu-epgrafe0"/>
        <w:shd w:val="clear" w:color="auto" w:fill="FFFFFF"/>
        <w:spacing w:before="0" w:beforeAutospacing="0" w:after="0" w:afterAutospacing="0" w:line="276" w:lineRule="auto"/>
        <w:jc w:val="both"/>
        <w:rPr>
          <w:rFonts w:ascii="Arial" w:hAnsi="Arial" w:cs="Arial"/>
          <w:color w:val="212121"/>
          <w:sz w:val="20"/>
          <w:szCs w:val="20"/>
        </w:rPr>
      </w:pPr>
    </w:p>
    <w:p w:rsidR="002A2E6C" w:rsidRPr="0022060B" w:rsidRDefault="007D0ED5" w:rsidP="00816942">
      <w:pPr>
        <w:shd w:val="clear" w:color="auto" w:fill="FFFFFF"/>
        <w:spacing w:after="0"/>
        <w:jc w:val="both"/>
        <w:rPr>
          <w:rFonts w:ascii="Arial" w:hAnsi="Arial" w:cs="Arial"/>
          <w:color w:val="212121"/>
          <w:sz w:val="20"/>
          <w:szCs w:val="20"/>
        </w:rPr>
      </w:pPr>
      <w:hyperlink r:id="rId27" w:tgtFrame="_blank" w:history="1">
        <w:r w:rsidR="002A2E6C" w:rsidRPr="0022060B">
          <w:rPr>
            <w:rStyle w:val="Hyperlink"/>
            <w:rFonts w:ascii="Arial" w:hAnsi="Arial" w:cs="Arial"/>
            <w:b/>
            <w:bCs/>
            <w:sz w:val="20"/>
            <w:szCs w:val="20"/>
          </w:rPr>
          <w:t>Acórdão 3890/2017 - Primeira Câmara</w:t>
        </w:r>
      </w:hyperlink>
      <w:r w:rsidR="002A2E6C" w:rsidRPr="0022060B">
        <w:rPr>
          <w:rFonts w:ascii="Arial" w:hAnsi="Arial" w:cs="Arial"/>
          <w:b/>
          <w:bCs/>
          <w:color w:val="212121"/>
          <w:sz w:val="20"/>
          <w:szCs w:val="20"/>
        </w:rPr>
        <w:t> </w:t>
      </w:r>
      <w:r w:rsidR="002A2E6C" w:rsidRPr="0022060B">
        <w:rPr>
          <w:rFonts w:ascii="Arial" w:hAnsi="Arial" w:cs="Arial"/>
          <w:color w:val="212121"/>
          <w:sz w:val="20"/>
          <w:szCs w:val="20"/>
        </w:rPr>
        <w:t>(Tomada de Contas Especial, Relator Ministro Walton Alencar Rodrigues)</w:t>
      </w:r>
    </w:p>
    <w:p w:rsidR="00F25D9B" w:rsidRDefault="00F25D9B" w:rsidP="00816942">
      <w:pPr>
        <w:shd w:val="clear" w:color="auto" w:fill="FFFFFF"/>
        <w:spacing w:after="0"/>
        <w:jc w:val="both"/>
        <w:rPr>
          <w:rFonts w:ascii="Arial" w:hAnsi="Arial" w:cs="Arial"/>
          <w:b/>
          <w:bCs/>
          <w:color w:val="212121"/>
          <w:sz w:val="20"/>
          <w:szCs w:val="20"/>
        </w:rPr>
      </w:pPr>
    </w:p>
    <w:p w:rsidR="002A2E6C" w:rsidRPr="0022060B" w:rsidRDefault="002A2E6C" w:rsidP="00816942">
      <w:pPr>
        <w:shd w:val="clear" w:color="auto" w:fill="FFFFFF"/>
        <w:spacing w:after="0"/>
        <w:jc w:val="both"/>
        <w:rPr>
          <w:rFonts w:ascii="Arial" w:hAnsi="Arial" w:cs="Arial"/>
          <w:color w:val="212121"/>
          <w:sz w:val="20"/>
          <w:szCs w:val="20"/>
        </w:rPr>
      </w:pPr>
      <w:proofErr w:type="gramStart"/>
      <w:r w:rsidRPr="0022060B">
        <w:rPr>
          <w:rFonts w:ascii="Arial" w:hAnsi="Arial" w:cs="Arial"/>
          <w:b/>
          <w:bCs/>
          <w:color w:val="212121"/>
          <w:sz w:val="20"/>
          <w:szCs w:val="20"/>
        </w:rPr>
        <w:t>Direito Processual</w:t>
      </w:r>
      <w:proofErr w:type="gramEnd"/>
      <w:r w:rsidRPr="0022060B">
        <w:rPr>
          <w:rFonts w:ascii="Arial" w:hAnsi="Arial" w:cs="Arial"/>
          <w:b/>
          <w:bCs/>
          <w:color w:val="212121"/>
          <w:sz w:val="20"/>
          <w:szCs w:val="20"/>
        </w:rPr>
        <w:t>. Princípio da ampla defesa. Requisito. Princípio da verdade material. Princípio da presunção de veracidade. Alegação de defesa.</w:t>
      </w:r>
    </w:p>
    <w:p w:rsidR="00F25D9B" w:rsidRDefault="00F25D9B" w:rsidP="00816942">
      <w:pPr>
        <w:autoSpaceDE w:val="0"/>
        <w:autoSpaceDN w:val="0"/>
        <w:adjustRightInd w:val="0"/>
        <w:spacing w:after="0"/>
        <w:jc w:val="both"/>
        <w:rPr>
          <w:rFonts w:ascii="Arial" w:hAnsi="Arial" w:cs="Arial"/>
          <w:sz w:val="20"/>
          <w:szCs w:val="20"/>
        </w:rPr>
      </w:pPr>
    </w:p>
    <w:p w:rsidR="002A2E6C" w:rsidRPr="0022060B" w:rsidRDefault="002A2E6C"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Cabe ao responsável o ônus de produzir defesa especificada, sob pena de presumirem-se verdadeiras as alegações de fato não impugnadas (art. 341 da </w:t>
      </w:r>
      <w:hyperlink r:id="rId28" w:tgtFrame="_blank" w:history="1">
        <w:r w:rsidRPr="0022060B">
          <w:rPr>
            <w:rFonts w:ascii="Arial" w:hAnsi="Arial" w:cs="Arial"/>
            <w:sz w:val="20"/>
            <w:szCs w:val="20"/>
          </w:rPr>
          <w:t>Lei 13.105/2015</w:t>
        </w:r>
      </w:hyperlink>
      <w:r w:rsidRPr="0022060B">
        <w:rPr>
          <w:rFonts w:ascii="Arial" w:hAnsi="Arial" w:cs="Arial"/>
          <w:sz w:val="20"/>
          <w:szCs w:val="20"/>
        </w:rPr>
        <w:t>). A defesa genérica produz efeitos semelhantes ao da revelia (art. 344 do CPC). Escapam da presunção de veracidade apenas as situações descritas no art. 345 do CPC, em especial a identificação de que as alegações formuladas são inverossímeis ou estão em contradição com prova dos autos.</w:t>
      </w:r>
    </w:p>
    <w:p w:rsidR="00567328" w:rsidRPr="0022060B" w:rsidRDefault="00567328" w:rsidP="00816942">
      <w:pPr>
        <w:autoSpaceDE w:val="0"/>
        <w:autoSpaceDN w:val="0"/>
        <w:adjustRightInd w:val="0"/>
        <w:spacing w:after="0"/>
        <w:jc w:val="both"/>
        <w:rPr>
          <w:rFonts w:ascii="Arial" w:hAnsi="Arial" w:cs="Arial"/>
          <w:sz w:val="20"/>
          <w:szCs w:val="20"/>
        </w:rPr>
      </w:pPr>
    </w:p>
    <w:p w:rsidR="002874A2" w:rsidRPr="0022060B" w:rsidRDefault="0060126D" w:rsidP="00816942">
      <w:pPr>
        <w:spacing w:after="0"/>
        <w:jc w:val="center"/>
        <w:rPr>
          <w:rStyle w:val="Hyperlink"/>
          <w:rFonts w:ascii="Arial" w:hAnsi="Arial" w:cs="Arial"/>
          <w:i/>
          <w:color w:val="000000" w:themeColor="text1"/>
          <w:sz w:val="20"/>
          <w:szCs w:val="20"/>
          <w:u w:val="none"/>
        </w:rPr>
      </w:pPr>
      <w:r w:rsidRPr="0022060B">
        <w:rPr>
          <w:rFonts w:ascii="Arial" w:hAnsi="Arial" w:cs="Arial"/>
          <w:noProof/>
          <w:sz w:val="20"/>
          <w:szCs w:val="20"/>
          <w:lang w:eastAsia="pt-BR"/>
        </w:rPr>
        <w:lastRenderedPageBreak/>
        <mc:AlternateContent>
          <mc:Choice Requires="wps">
            <w:drawing>
              <wp:anchor distT="0" distB="0" distL="114300" distR="114300" simplePos="0" relativeHeight="251657728" behindDoc="0" locked="0" layoutInCell="1" allowOverlap="1" wp14:anchorId="32880E73" wp14:editId="289F161D">
                <wp:simplePos x="0" y="0"/>
                <wp:positionH relativeFrom="margin">
                  <wp:posOffset>-6985</wp:posOffset>
                </wp:positionH>
                <wp:positionV relativeFrom="paragraph">
                  <wp:posOffset>97155</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5D0DB0" id="Conector reto 5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7.65pt" to="433.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" strokecolor="black [3200]" strokeweight="2pt">
                <v:shadow on="t" color="black" opacity="24903f" origin=",.5" offset="0,.55556mm"/>
                <w10:wrap anchorx="margin"/>
              </v:line>
            </w:pict>
          </mc:Fallback>
        </mc:AlternateContent>
      </w:r>
    </w:p>
    <w:p w:rsidR="008D7542" w:rsidRPr="0022060B" w:rsidRDefault="00E30DE6" w:rsidP="00816942">
      <w:pPr>
        <w:widowControl w:val="0"/>
        <w:autoSpaceDE w:val="0"/>
        <w:autoSpaceDN w:val="0"/>
        <w:spacing w:after="0"/>
        <w:jc w:val="center"/>
        <w:rPr>
          <w:rFonts w:ascii="Arial" w:hAnsi="Arial" w:cs="Arial"/>
          <w:b/>
          <w:sz w:val="20"/>
          <w:szCs w:val="20"/>
        </w:rPr>
      </w:pPr>
      <w:r w:rsidRPr="0022060B">
        <w:rPr>
          <w:rStyle w:val="Hyperlink"/>
          <w:rFonts w:ascii="Arial" w:hAnsi="Arial" w:cs="Arial"/>
          <w:i/>
          <w:color w:val="000000" w:themeColor="text1"/>
          <w:sz w:val="20"/>
          <w:szCs w:val="20"/>
          <w:u w:val="none"/>
        </w:rPr>
        <w:t xml:space="preserve">Elaboração: Escola de Gestão Pública </w:t>
      </w:r>
      <w:r w:rsidR="001A16DE" w:rsidRPr="0022060B">
        <w:rPr>
          <w:rStyle w:val="Hyperlink"/>
          <w:rFonts w:ascii="Arial" w:hAnsi="Arial" w:cs="Arial"/>
          <w:i/>
          <w:color w:val="000000" w:themeColor="text1"/>
          <w:sz w:val="20"/>
          <w:szCs w:val="20"/>
          <w:u w:val="none"/>
        </w:rPr>
        <w:t>-</w:t>
      </w:r>
      <w:r w:rsidRPr="0022060B">
        <w:rPr>
          <w:rStyle w:val="Hyperlink"/>
          <w:rFonts w:ascii="Arial" w:hAnsi="Arial" w:cs="Arial"/>
          <w:i/>
          <w:color w:val="000000" w:themeColor="text1"/>
          <w:sz w:val="20"/>
          <w:szCs w:val="20"/>
          <w:u w:val="none"/>
        </w:rPr>
        <w:t xml:space="preserve"> Jurisprudência</w:t>
      </w:r>
    </w:p>
    <w:p w:rsidR="00E01524" w:rsidRPr="0022060B" w:rsidRDefault="00E01524" w:rsidP="00816942">
      <w:pPr>
        <w:widowControl w:val="0"/>
        <w:autoSpaceDE w:val="0"/>
        <w:autoSpaceDN w:val="0"/>
        <w:spacing w:after="0"/>
        <w:jc w:val="both"/>
        <w:rPr>
          <w:rFonts w:ascii="Arial" w:hAnsi="Arial" w:cs="Arial"/>
          <w:b/>
          <w:sz w:val="20"/>
          <w:szCs w:val="20"/>
        </w:rPr>
      </w:pPr>
    </w:p>
    <w:sectPr w:rsidR="00E01524" w:rsidRPr="0022060B">
      <w:headerReference w:type="default" r:id="rId29"/>
      <w:footerReference w:type="default" r:id="rId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7D0ED5">
      <w:rPr>
        <w:noProof/>
        <w:sz w:val="16"/>
        <w:szCs w:val="16"/>
      </w:rPr>
      <w:t>13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08"/>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840"/>
    <w:rsid w:val="00017EBA"/>
    <w:rsid w:val="00021B0A"/>
    <w:rsid w:val="00025971"/>
    <w:rsid w:val="000262AD"/>
    <w:rsid w:val="00027A03"/>
    <w:rsid w:val="00027FAB"/>
    <w:rsid w:val="000300F4"/>
    <w:rsid w:val="00033E69"/>
    <w:rsid w:val="00040EBA"/>
    <w:rsid w:val="00042502"/>
    <w:rsid w:val="00042DF3"/>
    <w:rsid w:val="000433EC"/>
    <w:rsid w:val="000439FD"/>
    <w:rsid w:val="00045700"/>
    <w:rsid w:val="00046191"/>
    <w:rsid w:val="00046E21"/>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9260D"/>
    <w:rsid w:val="000926D4"/>
    <w:rsid w:val="00092E5D"/>
    <w:rsid w:val="0009482D"/>
    <w:rsid w:val="0009711C"/>
    <w:rsid w:val="0009762F"/>
    <w:rsid w:val="00097B00"/>
    <w:rsid w:val="000A0748"/>
    <w:rsid w:val="000A0E48"/>
    <w:rsid w:val="000A29BE"/>
    <w:rsid w:val="000A3C2D"/>
    <w:rsid w:val="000A47FD"/>
    <w:rsid w:val="000A4EB6"/>
    <w:rsid w:val="000A5F01"/>
    <w:rsid w:val="000A71D1"/>
    <w:rsid w:val="000B11D2"/>
    <w:rsid w:val="000B1E10"/>
    <w:rsid w:val="000B31B6"/>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AC8"/>
    <w:rsid w:val="000F04ED"/>
    <w:rsid w:val="000F18DA"/>
    <w:rsid w:val="000F1FFA"/>
    <w:rsid w:val="000F314C"/>
    <w:rsid w:val="000F639D"/>
    <w:rsid w:val="000F7C1B"/>
    <w:rsid w:val="00100B9C"/>
    <w:rsid w:val="00110517"/>
    <w:rsid w:val="00110BD6"/>
    <w:rsid w:val="00111B86"/>
    <w:rsid w:val="00111C26"/>
    <w:rsid w:val="00112B60"/>
    <w:rsid w:val="00113EF1"/>
    <w:rsid w:val="00114B62"/>
    <w:rsid w:val="001159C9"/>
    <w:rsid w:val="00120862"/>
    <w:rsid w:val="0012211A"/>
    <w:rsid w:val="00122E13"/>
    <w:rsid w:val="00123D02"/>
    <w:rsid w:val="00126447"/>
    <w:rsid w:val="00127DF2"/>
    <w:rsid w:val="00130717"/>
    <w:rsid w:val="0013298B"/>
    <w:rsid w:val="001342E3"/>
    <w:rsid w:val="0013514C"/>
    <w:rsid w:val="0013583F"/>
    <w:rsid w:val="00135D5F"/>
    <w:rsid w:val="001411E6"/>
    <w:rsid w:val="001415BA"/>
    <w:rsid w:val="00142D10"/>
    <w:rsid w:val="00144712"/>
    <w:rsid w:val="001472C1"/>
    <w:rsid w:val="00150844"/>
    <w:rsid w:val="001529D8"/>
    <w:rsid w:val="00156185"/>
    <w:rsid w:val="00157806"/>
    <w:rsid w:val="00157D64"/>
    <w:rsid w:val="0016028F"/>
    <w:rsid w:val="00161AA2"/>
    <w:rsid w:val="0016670D"/>
    <w:rsid w:val="00166A96"/>
    <w:rsid w:val="00170F9D"/>
    <w:rsid w:val="00171401"/>
    <w:rsid w:val="001720EB"/>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E1817"/>
    <w:rsid w:val="001E2E5A"/>
    <w:rsid w:val="001E5F2E"/>
    <w:rsid w:val="001E6CAA"/>
    <w:rsid w:val="001E73FF"/>
    <w:rsid w:val="001F7A25"/>
    <w:rsid w:val="002013D1"/>
    <w:rsid w:val="0020195B"/>
    <w:rsid w:val="00202E6D"/>
    <w:rsid w:val="00202F4B"/>
    <w:rsid w:val="002036C8"/>
    <w:rsid w:val="002100EE"/>
    <w:rsid w:val="00211A49"/>
    <w:rsid w:val="002147AC"/>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A5"/>
    <w:rsid w:val="00253ADA"/>
    <w:rsid w:val="00255360"/>
    <w:rsid w:val="00256A12"/>
    <w:rsid w:val="00256CEA"/>
    <w:rsid w:val="002571B4"/>
    <w:rsid w:val="00260758"/>
    <w:rsid w:val="00260D58"/>
    <w:rsid w:val="0026477F"/>
    <w:rsid w:val="002659BA"/>
    <w:rsid w:val="0026729F"/>
    <w:rsid w:val="00271154"/>
    <w:rsid w:val="00271655"/>
    <w:rsid w:val="002805F1"/>
    <w:rsid w:val="00286EB4"/>
    <w:rsid w:val="002874A2"/>
    <w:rsid w:val="002921E2"/>
    <w:rsid w:val="0029566D"/>
    <w:rsid w:val="00295F4B"/>
    <w:rsid w:val="002A00AC"/>
    <w:rsid w:val="002A0792"/>
    <w:rsid w:val="002A1D5F"/>
    <w:rsid w:val="002A2E6C"/>
    <w:rsid w:val="002B070A"/>
    <w:rsid w:val="002B14B7"/>
    <w:rsid w:val="002B297F"/>
    <w:rsid w:val="002B38A8"/>
    <w:rsid w:val="002B6BA0"/>
    <w:rsid w:val="002C05FF"/>
    <w:rsid w:val="002C19EA"/>
    <w:rsid w:val="002C480F"/>
    <w:rsid w:val="002C56C9"/>
    <w:rsid w:val="002C7487"/>
    <w:rsid w:val="002D1923"/>
    <w:rsid w:val="002D48D1"/>
    <w:rsid w:val="002D5B56"/>
    <w:rsid w:val="002D6612"/>
    <w:rsid w:val="002D68F2"/>
    <w:rsid w:val="002D7650"/>
    <w:rsid w:val="002E0A60"/>
    <w:rsid w:val="002E4277"/>
    <w:rsid w:val="002E4551"/>
    <w:rsid w:val="002E5303"/>
    <w:rsid w:val="002E72FA"/>
    <w:rsid w:val="002E7DFF"/>
    <w:rsid w:val="002F0BE9"/>
    <w:rsid w:val="002F13A0"/>
    <w:rsid w:val="002F1634"/>
    <w:rsid w:val="002F1D70"/>
    <w:rsid w:val="002F22FA"/>
    <w:rsid w:val="002F73BA"/>
    <w:rsid w:val="003005B3"/>
    <w:rsid w:val="0030165B"/>
    <w:rsid w:val="00302340"/>
    <w:rsid w:val="00303C9C"/>
    <w:rsid w:val="00305A67"/>
    <w:rsid w:val="00306B80"/>
    <w:rsid w:val="00307038"/>
    <w:rsid w:val="003132BE"/>
    <w:rsid w:val="00320577"/>
    <w:rsid w:val="0032266D"/>
    <w:rsid w:val="00325E2F"/>
    <w:rsid w:val="003269A9"/>
    <w:rsid w:val="00327DF9"/>
    <w:rsid w:val="00331533"/>
    <w:rsid w:val="0033604C"/>
    <w:rsid w:val="003407F0"/>
    <w:rsid w:val="00343C28"/>
    <w:rsid w:val="00344A3D"/>
    <w:rsid w:val="00344A41"/>
    <w:rsid w:val="0034575E"/>
    <w:rsid w:val="00345C65"/>
    <w:rsid w:val="00350CC2"/>
    <w:rsid w:val="00351206"/>
    <w:rsid w:val="0035203F"/>
    <w:rsid w:val="00352A72"/>
    <w:rsid w:val="0035371B"/>
    <w:rsid w:val="00353FEB"/>
    <w:rsid w:val="00356987"/>
    <w:rsid w:val="00356FB0"/>
    <w:rsid w:val="00361DA5"/>
    <w:rsid w:val="00361F1D"/>
    <w:rsid w:val="00364392"/>
    <w:rsid w:val="00365E61"/>
    <w:rsid w:val="00365EFF"/>
    <w:rsid w:val="00365F51"/>
    <w:rsid w:val="00375DB6"/>
    <w:rsid w:val="0038012F"/>
    <w:rsid w:val="00380BAB"/>
    <w:rsid w:val="0038751C"/>
    <w:rsid w:val="0038778B"/>
    <w:rsid w:val="00394451"/>
    <w:rsid w:val="0039584A"/>
    <w:rsid w:val="00396E93"/>
    <w:rsid w:val="003A4828"/>
    <w:rsid w:val="003A6622"/>
    <w:rsid w:val="003A673F"/>
    <w:rsid w:val="003B502C"/>
    <w:rsid w:val="003C6B35"/>
    <w:rsid w:val="003C7C21"/>
    <w:rsid w:val="003D650C"/>
    <w:rsid w:val="003D6E90"/>
    <w:rsid w:val="003D7C37"/>
    <w:rsid w:val="003E110D"/>
    <w:rsid w:val="003E3529"/>
    <w:rsid w:val="003E3D02"/>
    <w:rsid w:val="003E3E6A"/>
    <w:rsid w:val="003E55BC"/>
    <w:rsid w:val="003E6EAF"/>
    <w:rsid w:val="003F0088"/>
    <w:rsid w:val="003F03C6"/>
    <w:rsid w:val="003F2DDE"/>
    <w:rsid w:val="003F4721"/>
    <w:rsid w:val="003F5060"/>
    <w:rsid w:val="003F5829"/>
    <w:rsid w:val="003F677C"/>
    <w:rsid w:val="003F7090"/>
    <w:rsid w:val="00402651"/>
    <w:rsid w:val="004043AD"/>
    <w:rsid w:val="00405A6A"/>
    <w:rsid w:val="00406D2C"/>
    <w:rsid w:val="0041120A"/>
    <w:rsid w:val="0041337A"/>
    <w:rsid w:val="00416A72"/>
    <w:rsid w:val="00420AE1"/>
    <w:rsid w:val="0042728A"/>
    <w:rsid w:val="004276DC"/>
    <w:rsid w:val="0042779B"/>
    <w:rsid w:val="0043291F"/>
    <w:rsid w:val="00434347"/>
    <w:rsid w:val="004371F9"/>
    <w:rsid w:val="0043728E"/>
    <w:rsid w:val="00437541"/>
    <w:rsid w:val="00441D38"/>
    <w:rsid w:val="00441E59"/>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AC5"/>
    <w:rsid w:val="00463BA8"/>
    <w:rsid w:val="004641AA"/>
    <w:rsid w:val="00464835"/>
    <w:rsid w:val="004654D3"/>
    <w:rsid w:val="00470218"/>
    <w:rsid w:val="00471B9D"/>
    <w:rsid w:val="0047206A"/>
    <w:rsid w:val="0048130C"/>
    <w:rsid w:val="00482FA5"/>
    <w:rsid w:val="00484E6E"/>
    <w:rsid w:val="00485819"/>
    <w:rsid w:val="00487D31"/>
    <w:rsid w:val="00490000"/>
    <w:rsid w:val="00491F60"/>
    <w:rsid w:val="00492026"/>
    <w:rsid w:val="004920C5"/>
    <w:rsid w:val="004927D6"/>
    <w:rsid w:val="00492E16"/>
    <w:rsid w:val="00494AE3"/>
    <w:rsid w:val="00494C04"/>
    <w:rsid w:val="0049557F"/>
    <w:rsid w:val="004965C3"/>
    <w:rsid w:val="004A0574"/>
    <w:rsid w:val="004A22CF"/>
    <w:rsid w:val="004A5804"/>
    <w:rsid w:val="004A794E"/>
    <w:rsid w:val="004B142E"/>
    <w:rsid w:val="004B3D26"/>
    <w:rsid w:val="004B44C1"/>
    <w:rsid w:val="004B623F"/>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10B62"/>
    <w:rsid w:val="00511F85"/>
    <w:rsid w:val="00516673"/>
    <w:rsid w:val="00517B69"/>
    <w:rsid w:val="00520368"/>
    <w:rsid w:val="00523227"/>
    <w:rsid w:val="00523246"/>
    <w:rsid w:val="005237FD"/>
    <w:rsid w:val="005246B4"/>
    <w:rsid w:val="00525F8B"/>
    <w:rsid w:val="0052651B"/>
    <w:rsid w:val="00527179"/>
    <w:rsid w:val="00530F1E"/>
    <w:rsid w:val="00532F0D"/>
    <w:rsid w:val="00533C06"/>
    <w:rsid w:val="0053401E"/>
    <w:rsid w:val="00535AAB"/>
    <w:rsid w:val="00540B8E"/>
    <w:rsid w:val="00542636"/>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7D1"/>
    <w:rsid w:val="00597215"/>
    <w:rsid w:val="005A0FD0"/>
    <w:rsid w:val="005A1468"/>
    <w:rsid w:val="005A4536"/>
    <w:rsid w:val="005A5AF2"/>
    <w:rsid w:val="005A742F"/>
    <w:rsid w:val="005A7C78"/>
    <w:rsid w:val="005B4F6C"/>
    <w:rsid w:val="005B7055"/>
    <w:rsid w:val="005C4763"/>
    <w:rsid w:val="005C4DB7"/>
    <w:rsid w:val="005C5DC8"/>
    <w:rsid w:val="005C661E"/>
    <w:rsid w:val="005D1E9E"/>
    <w:rsid w:val="005D48C8"/>
    <w:rsid w:val="005D58CE"/>
    <w:rsid w:val="005D6DB4"/>
    <w:rsid w:val="005E2760"/>
    <w:rsid w:val="005E2D13"/>
    <w:rsid w:val="005E350B"/>
    <w:rsid w:val="005E4648"/>
    <w:rsid w:val="005E64B3"/>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6DD6"/>
    <w:rsid w:val="0062719D"/>
    <w:rsid w:val="006331E3"/>
    <w:rsid w:val="00633776"/>
    <w:rsid w:val="00633C62"/>
    <w:rsid w:val="006361F0"/>
    <w:rsid w:val="006372A4"/>
    <w:rsid w:val="006375ED"/>
    <w:rsid w:val="0064029E"/>
    <w:rsid w:val="00640861"/>
    <w:rsid w:val="00640A36"/>
    <w:rsid w:val="00640BDC"/>
    <w:rsid w:val="00646004"/>
    <w:rsid w:val="00646AD1"/>
    <w:rsid w:val="006473BA"/>
    <w:rsid w:val="00650E4E"/>
    <w:rsid w:val="00654D9D"/>
    <w:rsid w:val="00660C02"/>
    <w:rsid w:val="0066130F"/>
    <w:rsid w:val="006641F4"/>
    <w:rsid w:val="006645D9"/>
    <w:rsid w:val="00665EBC"/>
    <w:rsid w:val="00667637"/>
    <w:rsid w:val="00667BE8"/>
    <w:rsid w:val="0067150D"/>
    <w:rsid w:val="00673A29"/>
    <w:rsid w:val="00673AD9"/>
    <w:rsid w:val="006766F4"/>
    <w:rsid w:val="00681787"/>
    <w:rsid w:val="0068250F"/>
    <w:rsid w:val="00685FFE"/>
    <w:rsid w:val="00686729"/>
    <w:rsid w:val="00686CAC"/>
    <w:rsid w:val="00686D5A"/>
    <w:rsid w:val="00687871"/>
    <w:rsid w:val="00693247"/>
    <w:rsid w:val="0069336E"/>
    <w:rsid w:val="00694174"/>
    <w:rsid w:val="006A27BC"/>
    <w:rsid w:val="006A27D6"/>
    <w:rsid w:val="006A3A42"/>
    <w:rsid w:val="006A41B4"/>
    <w:rsid w:val="006A5FD7"/>
    <w:rsid w:val="006B143E"/>
    <w:rsid w:val="006B30E3"/>
    <w:rsid w:val="006B5E72"/>
    <w:rsid w:val="006B6205"/>
    <w:rsid w:val="006C058F"/>
    <w:rsid w:val="006C3252"/>
    <w:rsid w:val="006C7A04"/>
    <w:rsid w:val="006D1B83"/>
    <w:rsid w:val="006D1BE7"/>
    <w:rsid w:val="006D5C98"/>
    <w:rsid w:val="006D6FCC"/>
    <w:rsid w:val="006E0A9F"/>
    <w:rsid w:val="006E26E8"/>
    <w:rsid w:val="006E76B0"/>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2895"/>
    <w:rsid w:val="00742B72"/>
    <w:rsid w:val="00742BC9"/>
    <w:rsid w:val="00743251"/>
    <w:rsid w:val="007436B5"/>
    <w:rsid w:val="00743D5F"/>
    <w:rsid w:val="00745634"/>
    <w:rsid w:val="007469FC"/>
    <w:rsid w:val="00746A92"/>
    <w:rsid w:val="00747EAE"/>
    <w:rsid w:val="00750DEB"/>
    <w:rsid w:val="007515C1"/>
    <w:rsid w:val="007528B2"/>
    <w:rsid w:val="00754C7E"/>
    <w:rsid w:val="007557BC"/>
    <w:rsid w:val="007608F0"/>
    <w:rsid w:val="00762976"/>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255F"/>
    <w:rsid w:val="007C0E7E"/>
    <w:rsid w:val="007C10CC"/>
    <w:rsid w:val="007C250E"/>
    <w:rsid w:val="007C2CD7"/>
    <w:rsid w:val="007D009C"/>
    <w:rsid w:val="007D0ED5"/>
    <w:rsid w:val="007D2162"/>
    <w:rsid w:val="007D5A53"/>
    <w:rsid w:val="007D62D9"/>
    <w:rsid w:val="007D73C9"/>
    <w:rsid w:val="007E1FB4"/>
    <w:rsid w:val="007E28C1"/>
    <w:rsid w:val="007F0840"/>
    <w:rsid w:val="007F2086"/>
    <w:rsid w:val="00801004"/>
    <w:rsid w:val="0080111C"/>
    <w:rsid w:val="008058BC"/>
    <w:rsid w:val="0080643E"/>
    <w:rsid w:val="00806D7C"/>
    <w:rsid w:val="00807854"/>
    <w:rsid w:val="00811012"/>
    <w:rsid w:val="00811A90"/>
    <w:rsid w:val="00813846"/>
    <w:rsid w:val="00815C4F"/>
    <w:rsid w:val="008161C2"/>
    <w:rsid w:val="00816942"/>
    <w:rsid w:val="0081738B"/>
    <w:rsid w:val="0082026A"/>
    <w:rsid w:val="008219BA"/>
    <w:rsid w:val="00824136"/>
    <w:rsid w:val="00826075"/>
    <w:rsid w:val="008267CA"/>
    <w:rsid w:val="00826A19"/>
    <w:rsid w:val="008317C8"/>
    <w:rsid w:val="00831915"/>
    <w:rsid w:val="0083305B"/>
    <w:rsid w:val="00834578"/>
    <w:rsid w:val="0083648B"/>
    <w:rsid w:val="00836500"/>
    <w:rsid w:val="00841EAB"/>
    <w:rsid w:val="00844977"/>
    <w:rsid w:val="00844B97"/>
    <w:rsid w:val="00845BB4"/>
    <w:rsid w:val="00847BF3"/>
    <w:rsid w:val="00853D0B"/>
    <w:rsid w:val="00854B16"/>
    <w:rsid w:val="00854BCA"/>
    <w:rsid w:val="00855A43"/>
    <w:rsid w:val="008561BF"/>
    <w:rsid w:val="008633B6"/>
    <w:rsid w:val="00866481"/>
    <w:rsid w:val="0087076A"/>
    <w:rsid w:val="00870853"/>
    <w:rsid w:val="008731E4"/>
    <w:rsid w:val="008745D6"/>
    <w:rsid w:val="00874DCA"/>
    <w:rsid w:val="00875D64"/>
    <w:rsid w:val="00875E32"/>
    <w:rsid w:val="0087668E"/>
    <w:rsid w:val="008800F4"/>
    <w:rsid w:val="0088277A"/>
    <w:rsid w:val="0088297B"/>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A65"/>
    <w:rsid w:val="008A70A5"/>
    <w:rsid w:val="008B201B"/>
    <w:rsid w:val="008B2D64"/>
    <w:rsid w:val="008B368E"/>
    <w:rsid w:val="008B38A4"/>
    <w:rsid w:val="008B38EE"/>
    <w:rsid w:val="008B4F2F"/>
    <w:rsid w:val="008B55B4"/>
    <w:rsid w:val="008B6A00"/>
    <w:rsid w:val="008C0269"/>
    <w:rsid w:val="008C257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3B20"/>
    <w:rsid w:val="009263DF"/>
    <w:rsid w:val="00927338"/>
    <w:rsid w:val="0093018E"/>
    <w:rsid w:val="0093167C"/>
    <w:rsid w:val="00932A3A"/>
    <w:rsid w:val="00934143"/>
    <w:rsid w:val="00935444"/>
    <w:rsid w:val="009378F0"/>
    <w:rsid w:val="00942696"/>
    <w:rsid w:val="00942EB6"/>
    <w:rsid w:val="0094307C"/>
    <w:rsid w:val="00944802"/>
    <w:rsid w:val="009470DD"/>
    <w:rsid w:val="009518D9"/>
    <w:rsid w:val="0095236F"/>
    <w:rsid w:val="00952404"/>
    <w:rsid w:val="00953350"/>
    <w:rsid w:val="00965F52"/>
    <w:rsid w:val="0096737A"/>
    <w:rsid w:val="0097392A"/>
    <w:rsid w:val="009749C0"/>
    <w:rsid w:val="00977C0A"/>
    <w:rsid w:val="00982FF8"/>
    <w:rsid w:val="0098512F"/>
    <w:rsid w:val="0098550A"/>
    <w:rsid w:val="00985728"/>
    <w:rsid w:val="009857DD"/>
    <w:rsid w:val="009859AB"/>
    <w:rsid w:val="00987A4E"/>
    <w:rsid w:val="009907A9"/>
    <w:rsid w:val="00993DE4"/>
    <w:rsid w:val="00993F38"/>
    <w:rsid w:val="00994A4B"/>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5C75"/>
    <w:rsid w:val="009D2A29"/>
    <w:rsid w:val="009D59DE"/>
    <w:rsid w:val="009E1362"/>
    <w:rsid w:val="009E1BC1"/>
    <w:rsid w:val="009E1F6B"/>
    <w:rsid w:val="009E3E77"/>
    <w:rsid w:val="009E4DF2"/>
    <w:rsid w:val="009E6D60"/>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11A3"/>
    <w:rsid w:val="00A2357E"/>
    <w:rsid w:val="00A24629"/>
    <w:rsid w:val="00A25A27"/>
    <w:rsid w:val="00A27485"/>
    <w:rsid w:val="00A30038"/>
    <w:rsid w:val="00A309E8"/>
    <w:rsid w:val="00A3514D"/>
    <w:rsid w:val="00A40F98"/>
    <w:rsid w:val="00A41EF2"/>
    <w:rsid w:val="00A42619"/>
    <w:rsid w:val="00A4267D"/>
    <w:rsid w:val="00A427B2"/>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3174"/>
    <w:rsid w:val="00AA3A41"/>
    <w:rsid w:val="00AA6D45"/>
    <w:rsid w:val="00AA7585"/>
    <w:rsid w:val="00AA7DED"/>
    <w:rsid w:val="00AB031D"/>
    <w:rsid w:val="00AB08A6"/>
    <w:rsid w:val="00AB18B3"/>
    <w:rsid w:val="00AB1A1E"/>
    <w:rsid w:val="00AB236C"/>
    <w:rsid w:val="00AC06B6"/>
    <w:rsid w:val="00AD1557"/>
    <w:rsid w:val="00AD35F3"/>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40B7"/>
    <w:rsid w:val="00B04A55"/>
    <w:rsid w:val="00B04D46"/>
    <w:rsid w:val="00B104C5"/>
    <w:rsid w:val="00B10F47"/>
    <w:rsid w:val="00B1385B"/>
    <w:rsid w:val="00B15DBF"/>
    <w:rsid w:val="00B17D70"/>
    <w:rsid w:val="00B22AD7"/>
    <w:rsid w:val="00B22D31"/>
    <w:rsid w:val="00B22E46"/>
    <w:rsid w:val="00B27853"/>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21DC"/>
    <w:rsid w:val="00B74715"/>
    <w:rsid w:val="00B7669D"/>
    <w:rsid w:val="00B766D9"/>
    <w:rsid w:val="00B80A28"/>
    <w:rsid w:val="00B82D73"/>
    <w:rsid w:val="00B84A2C"/>
    <w:rsid w:val="00B871D6"/>
    <w:rsid w:val="00B87A02"/>
    <w:rsid w:val="00BA0DCC"/>
    <w:rsid w:val="00BA12A2"/>
    <w:rsid w:val="00BA16EF"/>
    <w:rsid w:val="00BA18D0"/>
    <w:rsid w:val="00BA242E"/>
    <w:rsid w:val="00BA3207"/>
    <w:rsid w:val="00BA3317"/>
    <w:rsid w:val="00BA5A9D"/>
    <w:rsid w:val="00BA6363"/>
    <w:rsid w:val="00BB2D9C"/>
    <w:rsid w:val="00BB3512"/>
    <w:rsid w:val="00BB5D1E"/>
    <w:rsid w:val="00BB7ED6"/>
    <w:rsid w:val="00BC137A"/>
    <w:rsid w:val="00BC4347"/>
    <w:rsid w:val="00BC45E0"/>
    <w:rsid w:val="00BC54B5"/>
    <w:rsid w:val="00BC5D9D"/>
    <w:rsid w:val="00BC6803"/>
    <w:rsid w:val="00BC7BCB"/>
    <w:rsid w:val="00BD109B"/>
    <w:rsid w:val="00BD2944"/>
    <w:rsid w:val="00BD2B5E"/>
    <w:rsid w:val="00BD3AFF"/>
    <w:rsid w:val="00BD4E7A"/>
    <w:rsid w:val="00BD531B"/>
    <w:rsid w:val="00BE00E5"/>
    <w:rsid w:val="00BE2E5A"/>
    <w:rsid w:val="00BE4A21"/>
    <w:rsid w:val="00BE5859"/>
    <w:rsid w:val="00BE717E"/>
    <w:rsid w:val="00BE7E27"/>
    <w:rsid w:val="00BF183C"/>
    <w:rsid w:val="00BF4C15"/>
    <w:rsid w:val="00C0782F"/>
    <w:rsid w:val="00C11F50"/>
    <w:rsid w:val="00C12603"/>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B6"/>
    <w:rsid w:val="00C63FC8"/>
    <w:rsid w:val="00C64F57"/>
    <w:rsid w:val="00C65D21"/>
    <w:rsid w:val="00C66E11"/>
    <w:rsid w:val="00C6789D"/>
    <w:rsid w:val="00C71A97"/>
    <w:rsid w:val="00C73FFD"/>
    <w:rsid w:val="00C74512"/>
    <w:rsid w:val="00C84F07"/>
    <w:rsid w:val="00C851A6"/>
    <w:rsid w:val="00C855D4"/>
    <w:rsid w:val="00C87639"/>
    <w:rsid w:val="00C9099A"/>
    <w:rsid w:val="00C9240A"/>
    <w:rsid w:val="00C93D5B"/>
    <w:rsid w:val="00C9442C"/>
    <w:rsid w:val="00C9532C"/>
    <w:rsid w:val="00C95BCF"/>
    <w:rsid w:val="00C95D16"/>
    <w:rsid w:val="00C95DCF"/>
    <w:rsid w:val="00C9621B"/>
    <w:rsid w:val="00CA184E"/>
    <w:rsid w:val="00CA23C4"/>
    <w:rsid w:val="00CA575F"/>
    <w:rsid w:val="00CA5AEC"/>
    <w:rsid w:val="00CA6114"/>
    <w:rsid w:val="00CA704A"/>
    <w:rsid w:val="00CB0797"/>
    <w:rsid w:val="00CB644C"/>
    <w:rsid w:val="00CB78ED"/>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515D"/>
    <w:rsid w:val="00CF53F5"/>
    <w:rsid w:val="00CF6B3F"/>
    <w:rsid w:val="00D002B4"/>
    <w:rsid w:val="00D03845"/>
    <w:rsid w:val="00D03DCB"/>
    <w:rsid w:val="00D05257"/>
    <w:rsid w:val="00D054DF"/>
    <w:rsid w:val="00D057A5"/>
    <w:rsid w:val="00D05D1F"/>
    <w:rsid w:val="00D144D0"/>
    <w:rsid w:val="00D14FC0"/>
    <w:rsid w:val="00D1656D"/>
    <w:rsid w:val="00D167CC"/>
    <w:rsid w:val="00D16943"/>
    <w:rsid w:val="00D211AE"/>
    <w:rsid w:val="00D21662"/>
    <w:rsid w:val="00D23DE4"/>
    <w:rsid w:val="00D23F50"/>
    <w:rsid w:val="00D24867"/>
    <w:rsid w:val="00D318E3"/>
    <w:rsid w:val="00D323A7"/>
    <w:rsid w:val="00D346BF"/>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4004"/>
    <w:rsid w:val="00DA7899"/>
    <w:rsid w:val="00DB0923"/>
    <w:rsid w:val="00DB29CA"/>
    <w:rsid w:val="00DB30C8"/>
    <w:rsid w:val="00DB5F2B"/>
    <w:rsid w:val="00DB74AF"/>
    <w:rsid w:val="00DC1AB8"/>
    <w:rsid w:val="00DC5C19"/>
    <w:rsid w:val="00DC7068"/>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3977"/>
    <w:rsid w:val="00E4415D"/>
    <w:rsid w:val="00E44AB8"/>
    <w:rsid w:val="00E47BD8"/>
    <w:rsid w:val="00E50D3F"/>
    <w:rsid w:val="00E520BE"/>
    <w:rsid w:val="00E5484A"/>
    <w:rsid w:val="00E54E17"/>
    <w:rsid w:val="00E56A7A"/>
    <w:rsid w:val="00E60419"/>
    <w:rsid w:val="00E60E01"/>
    <w:rsid w:val="00E617D3"/>
    <w:rsid w:val="00E61E36"/>
    <w:rsid w:val="00E633C1"/>
    <w:rsid w:val="00E667B0"/>
    <w:rsid w:val="00E67390"/>
    <w:rsid w:val="00E71365"/>
    <w:rsid w:val="00E74904"/>
    <w:rsid w:val="00E770A4"/>
    <w:rsid w:val="00E81192"/>
    <w:rsid w:val="00E83B51"/>
    <w:rsid w:val="00E8626C"/>
    <w:rsid w:val="00E86BDE"/>
    <w:rsid w:val="00E8762F"/>
    <w:rsid w:val="00E90AB8"/>
    <w:rsid w:val="00E919D9"/>
    <w:rsid w:val="00E921C1"/>
    <w:rsid w:val="00E93C8B"/>
    <w:rsid w:val="00E93D8F"/>
    <w:rsid w:val="00E9531E"/>
    <w:rsid w:val="00E95E41"/>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E15B5"/>
    <w:rsid w:val="00EE2087"/>
    <w:rsid w:val="00EE20A1"/>
    <w:rsid w:val="00EE74AF"/>
    <w:rsid w:val="00EF1F0E"/>
    <w:rsid w:val="00EF29F6"/>
    <w:rsid w:val="00EF518E"/>
    <w:rsid w:val="00EF5DF0"/>
    <w:rsid w:val="00EF69AE"/>
    <w:rsid w:val="00EF6E2C"/>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5D9B"/>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25B5"/>
    <w:rsid w:val="00F543B9"/>
    <w:rsid w:val="00F56177"/>
    <w:rsid w:val="00F575D3"/>
    <w:rsid w:val="00F5786C"/>
    <w:rsid w:val="00F62117"/>
    <w:rsid w:val="00F62365"/>
    <w:rsid w:val="00F630A7"/>
    <w:rsid w:val="00F66225"/>
    <w:rsid w:val="00F662BC"/>
    <w:rsid w:val="00F6708D"/>
    <w:rsid w:val="00F707F0"/>
    <w:rsid w:val="00F71AD5"/>
    <w:rsid w:val="00F733B8"/>
    <w:rsid w:val="00F74F50"/>
    <w:rsid w:val="00F75192"/>
    <w:rsid w:val="00F77822"/>
    <w:rsid w:val="00F838B6"/>
    <w:rsid w:val="00F83B0D"/>
    <w:rsid w:val="00F83C31"/>
    <w:rsid w:val="00F85F05"/>
    <w:rsid w:val="00F86AD1"/>
    <w:rsid w:val="00F9222A"/>
    <w:rsid w:val="00F922EA"/>
    <w:rsid w:val="00F92927"/>
    <w:rsid w:val="00F95A28"/>
    <w:rsid w:val="00F979B3"/>
    <w:rsid w:val="00F97CCD"/>
    <w:rsid w:val="00FA320D"/>
    <w:rsid w:val="00FA362B"/>
    <w:rsid w:val="00FA53E9"/>
    <w:rsid w:val="00FA60EC"/>
    <w:rsid w:val="00FB04E9"/>
    <w:rsid w:val="00FB1179"/>
    <w:rsid w:val="00FB1C6B"/>
    <w:rsid w:val="00FB3361"/>
    <w:rsid w:val="00FB3638"/>
    <w:rsid w:val="00FB42B4"/>
    <w:rsid w:val="00FB4841"/>
    <w:rsid w:val="00FB6C94"/>
    <w:rsid w:val="00FB7F8B"/>
    <w:rsid w:val="00FC3753"/>
    <w:rsid w:val="00FC5743"/>
    <w:rsid w:val="00FC6240"/>
    <w:rsid w:val="00FD118C"/>
    <w:rsid w:val="00FD332F"/>
    <w:rsid w:val="00FD430C"/>
    <w:rsid w:val="00FE1CC1"/>
    <w:rsid w:val="00FE385E"/>
    <w:rsid w:val="00FE3CE2"/>
    <w:rsid w:val="00FE54AD"/>
    <w:rsid w:val="00FE5633"/>
    <w:rsid w:val="00FE6F7A"/>
    <w:rsid w:val="00FE7B14"/>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393DF73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5/pdf/00316231.pdf" TargetMode="External"/><Relationship Id="rId13" Type="http://schemas.openxmlformats.org/officeDocument/2006/relationships/hyperlink" Target="http://www1.tce.pr.gov.br/multimidia/2017/5/pdf/00316853.pdf" TargetMode="External"/><Relationship Id="rId18" Type="http://schemas.openxmlformats.org/officeDocument/2006/relationships/hyperlink" Target="http://www1.tce.pr.gov.br/multimidia/2017/5/pdf/00316687.pdf" TargetMode="External"/><Relationship Id="rId26" Type="http://schemas.openxmlformats.org/officeDocument/2006/relationships/hyperlink" Target="http://www.planalto.gov.br/ccivil_03/leis/L8666cons.htm" TargetMode="External"/><Relationship Id="rId3" Type="http://schemas.openxmlformats.org/officeDocument/2006/relationships/styles" Target="styles.xml"/><Relationship Id="rId21" Type="http://schemas.openxmlformats.org/officeDocument/2006/relationships/hyperlink" Target="http://www.stf.jus.br/arquivo/informativo/documento/informativo868.htm" TargetMode="External"/><Relationship Id="rId7" Type="http://schemas.openxmlformats.org/officeDocument/2006/relationships/endnotes" Target="endnotes.xml"/><Relationship Id="rId12" Type="http://schemas.openxmlformats.org/officeDocument/2006/relationships/hyperlink" Target="http://www1.tce.pr.gov.br/multimidia/2017/5/pdf/00316852.pdf" TargetMode="External"/><Relationship Id="rId17" Type="http://schemas.openxmlformats.org/officeDocument/2006/relationships/hyperlink" Target="http://www1.tce.pr.gov.br/multimidia/2017/5/pdf/00316568.pdf" TargetMode="External"/><Relationship Id="rId25" Type="http://schemas.openxmlformats.org/officeDocument/2006/relationships/hyperlink" Target="https://contas.tcu.gov.br/sagas/SvlVisualizarRelVotoAcRtf?codFiltro=SAGAS-SESSAO-ENCERRADA&amp;seOcultaPagina=S&amp;item0=585039" TargetMode="External"/><Relationship Id="rId2" Type="http://schemas.openxmlformats.org/officeDocument/2006/relationships/numbering" Target="numbering.xml"/><Relationship Id="rId16" Type="http://schemas.openxmlformats.org/officeDocument/2006/relationships/hyperlink" Target="http://www1.tce.pr.gov.br/multimidia/2017/5/pdf/00316582.pdf" TargetMode="External"/><Relationship Id="rId20" Type="http://schemas.openxmlformats.org/officeDocument/2006/relationships/hyperlink" Target="http://www1.tce.pr.gov.br/multimidia/2017/6/pdf/00317937.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5/pdf/00316833.pdf" TargetMode="External"/><Relationship Id="rId24" Type="http://schemas.openxmlformats.org/officeDocument/2006/relationships/hyperlink" Target="file:///\\tcprofiles\usersprofiles$\tc518662\Downloads\Ac&#243;rd&#227;o%201122\2017%20-%20Plen&#225;ri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tce.pr.gov.br/multimidia/2017/5/pdf/00316608.pdf" TargetMode="External"/><Relationship Id="rId23" Type="http://schemas.openxmlformats.org/officeDocument/2006/relationships/hyperlink" Target="http://www.stj.jus.br/docs_internet/informativos/PDF/Inf0603.pdf" TargetMode="External"/><Relationship Id="rId28" Type="http://schemas.openxmlformats.org/officeDocument/2006/relationships/hyperlink" Target="http://www.planalto.gov.br/ccivil_03/_ato2015-2018/2015/lei/l13105.htm" TargetMode="External"/><Relationship Id="rId10" Type="http://schemas.openxmlformats.org/officeDocument/2006/relationships/hyperlink" Target="http://www1.tce.pr.gov.br/multimidia/2017/6/pdf/00317381.pdf" TargetMode="External"/><Relationship Id="rId19" Type="http://schemas.openxmlformats.org/officeDocument/2006/relationships/hyperlink" Target="http://www1.tce.pr.gov.br/multimidia/2017/5/pdf/00316692.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1.tce.pr.gov.br/multimidia/2017/5/pdf/00316364.pdf" TargetMode="External"/><Relationship Id="rId14" Type="http://schemas.openxmlformats.org/officeDocument/2006/relationships/hyperlink" Target="http://www1.tce.pr.gov.br/multimidia/2017/5/pdf/00316846.pdf" TargetMode="External"/><Relationship Id="rId22" Type="http://schemas.openxmlformats.org/officeDocument/2006/relationships/hyperlink" Target="http://www.stf.jus.br/arquivo/informativo/documento/informativo868.htm" TargetMode="External"/><Relationship Id="rId27" Type="http://schemas.openxmlformats.org/officeDocument/2006/relationships/hyperlink" Target="https://contas.tcu.gov.br/sagas/SvlVisualizarRelVotoAcRtf?codFiltro=SAGAS-SESSAO-ENCERRADA&amp;seOcultaPagina=S&amp;item0=587900"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7625D-26E1-4E9D-A505-71FD6B58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5202</Words>
  <Characters>28097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11</cp:revision>
  <cp:lastPrinted>2017-07-17T20:40:00Z</cp:lastPrinted>
  <dcterms:created xsi:type="dcterms:W3CDTF">2017-07-17T21:24:00Z</dcterms:created>
  <dcterms:modified xsi:type="dcterms:W3CDTF">2018-03-05T17:01:00Z</dcterms:modified>
</cp:coreProperties>
</file>