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BE7ED0" w:rsidRDefault="007C18E7" w:rsidP="00C831A3">
      <w:pPr>
        <w:pStyle w:val="Cabealho"/>
        <w:spacing w:line="276" w:lineRule="auto"/>
        <w:jc w:val="center"/>
        <w:rPr>
          <w:rFonts w:ascii="Arial" w:hAnsi="Arial" w:cs="Arial"/>
          <w:sz w:val="20"/>
          <w:szCs w:val="20"/>
        </w:rPr>
      </w:pPr>
      <w:r w:rsidRPr="00BE7ED0">
        <w:rPr>
          <w:rFonts w:ascii="Arial" w:hAnsi="Arial" w:cs="Arial"/>
          <w:b/>
          <w:sz w:val="20"/>
          <w:szCs w:val="20"/>
        </w:rPr>
        <w:t>Boletim de Jurisprudência TCE/PR</w:t>
      </w:r>
      <w:r w:rsidRPr="00BE7ED0">
        <w:rPr>
          <w:rFonts w:ascii="Arial" w:hAnsi="Arial" w:cs="Arial"/>
          <w:sz w:val="20"/>
          <w:szCs w:val="20"/>
        </w:rPr>
        <w:t xml:space="preserve"> </w:t>
      </w:r>
    </w:p>
    <w:p w14:paraId="4EF0156F" w14:textId="77777777" w:rsidR="007C18E7" w:rsidRPr="00BE7ED0" w:rsidRDefault="007C18E7" w:rsidP="00C831A3">
      <w:pPr>
        <w:spacing w:after="0"/>
        <w:jc w:val="center"/>
        <w:rPr>
          <w:rFonts w:ascii="Arial" w:hAnsi="Arial" w:cs="Arial"/>
          <w:b/>
          <w:sz w:val="20"/>
          <w:szCs w:val="20"/>
        </w:rPr>
      </w:pPr>
    </w:p>
    <w:p w14:paraId="6B732960" w14:textId="632F2C30" w:rsidR="007C18E7" w:rsidRPr="00BE7ED0" w:rsidRDefault="007C18E7" w:rsidP="00C831A3">
      <w:pPr>
        <w:spacing w:after="0"/>
        <w:jc w:val="center"/>
        <w:rPr>
          <w:rFonts w:ascii="Arial" w:hAnsi="Arial" w:cs="Arial"/>
          <w:b/>
          <w:sz w:val="20"/>
          <w:szCs w:val="20"/>
        </w:rPr>
      </w:pPr>
      <w:r w:rsidRPr="00BE7ED0">
        <w:rPr>
          <w:rFonts w:ascii="Arial" w:hAnsi="Arial" w:cs="Arial"/>
          <w:b/>
          <w:sz w:val="20"/>
          <w:szCs w:val="20"/>
        </w:rPr>
        <w:t xml:space="preserve">Número </w:t>
      </w:r>
      <w:r w:rsidR="00E66EA0">
        <w:rPr>
          <w:rFonts w:ascii="Arial" w:hAnsi="Arial" w:cs="Arial"/>
          <w:b/>
          <w:sz w:val="20"/>
          <w:szCs w:val="20"/>
        </w:rPr>
        <w:t>60</w:t>
      </w:r>
    </w:p>
    <w:p w14:paraId="3C0730DA" w14:textId="77777777" w:rsidR="007C18E7" w:rsidRPr="00BE7ED0" w:rsidRDefault="007C18E7" w:rsidP="00C831A3">
      <w:pPr>
        <w:spacing w:after="0"/>
        <w:jc w:val="center"/>
        <w:rPr>
          <w:rFonts w:ascii="Arial" w:hAnsi="Arial" w:cs="Arial"/>
          <w:b/>
          <w:sz w:val="20"/>
          <w:szCs w:val="20"/>
          <w:highlight w:val="yellow"/>
        </w:rPr>
      </w:pPr>
    </w:p>
    <w:p w14:paraId="7AE9E11A" w14:textId="2E065929" w:rsidR="007C18E7" w:rsidRPr="00BE7ED0" w:rsidRDefault="007C18E7" w:rsidP="00C831A3">
      <w:pPr>
        <w:spacing w:after="0"/>
        <w:jc w:val="center"/>
        <w:rPr>
          <w:rFonts w:ascii="Arial" w:hAnsi="Arial" w:cs="Arial"/>
          <w:b/>
          <w:sz w:val="20"/>
          <w:szCs w:val="20"/>
        </w:rPr>
      </w:pPr>
      <w:r w:rsidRPr="00551B25">
        <w:rPr>
          <w:rFonts w:ascii="Arial" w:hAnsi="Arial" w:cs="Arial"/>
          <w:b/>
          <w:sz w:val="20"/>
          <w:szCs w:val="20"/>
        </w:rPr>
        <w:t xml:space="preserve">Sessões: </w:t>
      </w:r>
      <w:r w:rsidR="00E66EA0">
        <w:rPr>
          <w:rFonts w:ascii="Arial" w:hAnsi="Arial" w:cs="Arial"/>
          <w:b/>
          <w:sz w:val="20"/>
          <w:szCs w:val="20"/>
        </w:rPr>
        <w:t>10</w:t>
      </w:r>
      <w:r w:rsidRPr="00551B25">
        <w:rPr>
          <w:rFonts w:ascii="Arial" w:hAnsi="Arial" w:cs="Arial"/>
          <w:b/>
          <w:sz w:val="20"/>
          <w:szCs w:val="20"/>
        </w:rPr>
        <w:t>.0</w:t>
      </w:r>
      <w:r w:rsidR="00E66EA0">
        <w:rPr>
          <w:rFonts w:ascii="Arial" w:hAnsi="Arial" w:cs="Arial"/>
          <w:b/>
          <w:sz w:val="20"/>
          <w:szCs w:val="20"/>
        </w:rPr>
        <w:t>6</w:t>
      </w:r>
      <w:r w:rsidRPr="00551B25">
        <w:rPr>
          <w:rFonts w:ascii="Arial" w:hAnsi="Arial" w:cs="Arial"/>
          <w:b/>
          <w:sz w:val="20"/>
          <w:szCs w:val="20"/>
        </w:rPr>
        <w:t xml:space="preserve"> a </w:t>
      </w:r>
      <w:r w:rsidR="00E66EA0">
        <w:rPr>
          <w:rFonts w:ascii="Arial" w:hAnsi="Arial" w:cs="Arial"/>
          <w:b/>
          <w:sz w:val="20"/>
          <w:szCs w:val="20"/>
        </w:rPr>
        <w:t>19</w:t>
      </w:r>
      <w:r w:rsidRPr="00551B25">
        <w:rPr>
          <w:rFonts w:ascii="Arial" w:hAnsi="Arial" w:cs="Arial"/>
          <w:b/>
          <w:sz w:val="20"/>
          <w:szCs w:val="20"/>
        </w:rPr>
        <w:t>.0</w:t>
      </w:r>
      <w:r w:rsidR="0089198B">
        <w:rPr>
          <w:rFonts w:ascii="Arial" w:hAnsi="Arial" w:cs="Arial"/>
          <w:b/>
          <w:sz w:val="20"/>
          <w:szCs w:val="20"/>
        </w:rPr>
        <w:t>6</w:t>
      </w:r>
      <w:r w:rsidRPr="00551B25">
        <w:rPr>
          <w:rFonts w:ascii="Arial" w:hAnsi="Arial" w:cs="Arial"/>
          <w:b/>
          <w:sz w:val="20"/>
          <w:szCs w:val="20"/>
        </w:rPr>
        <w:t xml:space="preserve"> de 201</w:t>
      </w:r>
      <w:r w:rsidR="00731AB4" w:rsidRPr="00551B25">
        <w:rPr>
          <w:rFonts w:ascii="Arial" w:hAnsi="Arial" w:cs="Arial"/>
          <w:b/>
          <w:sz w:val="20"/>
          <w:szCs w:val="20"/>
        </w:rPr>
        <w:t>9</w:t>
      </w:r>
    </w:p>
    <w:p w14:paraId="796D8E57" w14:textId="77777777" w:rsidR="007C18E7" w:rsidRPr="00BE7ED0" w:rsidRDefault="007C18E7" w:rsidP="00C831A3">
      <w:pPr>
        <w:spacing w:after="0"/>
        <w:jc w:val="both"/>
        <w:rPr>
          <w:rFonts w:ascii="Arial" w:hAnsi="Arial" w:cs="Arial"/>
          <w:sz w:val="20"/>
          <w:szCs w:val="20"/>
        </w:rPr>
      </w:pPr>
    </w:p>
    <w:p w14:paraId="7AFA8F05" w14:textId="77777777" w:rsidR="007C18E7" w:rsidRPr="00BE7ED0" w:rsidRDefault="007C18E7" w:rsidP="00C831A3">
      <w:pPr>
        <w:spacing w:after="0"/>
        <w:jc w:val="both"/>
        <w:rPr>
          <w:rFonts w:ascii="Arial" w:hAnsi="Arial" w:cs="Arial"/>
          <w:sz w:val="20"/>
          <w:szCs w:val="20"/>
        </w:rPr>
      </w:pPr>
      <w:r w:rsidRPr="00BE7ED0">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BE7ED0">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BE7ED0">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BE7ED0">
        <w:rPr>
          <w:rFonts w:ascii="Arial" w:hAnsi="Arial" w:cs="Arial"/>
          <w:color w:val="212121"/>
          <w:sz w:val="20"/>
          <w:szCs w:val="20"/>
        </w:rPr>
        <w:t xml:space="preserve"> </w:t>
      </w:r>
      <w:r w:rsidRPr="00BE7ED0">
        <w:rPr>
          <w:rFonts w:ascii="Arial" w:hAnsi="Arial" w:cs="Arial"/>
          <w:sz w:val="20"/>
          <w:szCs w:val="20"/>
        </w:rPr>
        <w:t>As informações aqui apresentadas não são repositórios oficiais de jurisprudência.</w:t>
      </w:r>
    </w:p>
    <w:p w14:paraId="794DB6E9" w14:textId="77777777" w:rsidR="007C18E7" w:rsidRPr="00BE7ED0" w:rsidRDefault="007C18E7" w:rsidP="00C831A3">
      <w:pPr>
        <w:spacing w:after="0"/>
        <w:jc w:val="both"/>
        <w:rPr>
          <w:rFonts w:ascii="Arial" w:hAnsi="Arial" w:cs="Arial"/>
          <w:sz w:val="20"/>
          <w:szCs w:val="20"/>
        </w:rPr>
      </w:pPr>
    </w:p>
    <w:p w14:paraId="356F11D7" w14:textId="77777777" w:rsidR="007C18E7" w:rsidRPr="00BE7ED0" w:rsidRDefault="007C18E7" w:rsidP="00C831A3">
      <w:pPr>
        <w:spacing w:after="0"/>
        <w:jc w:val="both"/>
        <w:rPr>
          <w:rFonts w:ascii="Arial" w:hAnsi="Arial" w:cs="Arial"/>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BE7ED0" w:rsidRDefault="007C18E7" w:rsidP="00C831A3">
      <w:pPr>
        <w:shd w:val="pct10" w:color="auto" w:fill="auto"/>
        <w:spacing w:after="0"/>
        <w:jc w:val="center"/>
        <w:rPr>
          <w:rFonts w:ascii="Arial" w:hAnsi="Arial" w:cs="Arial"/>
          <w:b/>
          <w:sz w:val="20"/>
          <w:szCs w:val="20"/>
        </w:rPr>
      </w:pPr>
      <w:r w:rsidRPr="00BE7ED0">
        <w:rPr>
          <w:rFonts w:ascii="Arial" w:hAnsi="Arial" w:cs="Arial"/>
          <w:b/>
          <w:sz w:val="20"/>
          <w:szCs w:val="20"/>
        </w:rPr>
        <w:t>SUMÁRIO</w:t>
      </w:r>
    </w:p>
    <w:p w14:paraId="24B01F8F" w14:textId="77777777" w:rsidR="009766BD" w:rsidRDefault="009766BD" w:rsidP="00C831A3">
      <w:pPr>
        <w:autoSpaceDE w:val="0"/>
        <w:autoSpaceDN w:val="0"/>
        <w:adjustRightInd w:val="0"/>
        <w:spacing w:after="0"/>
        <w:jc w:val="both"/>
        <w:rPr>
          <w:rFonts w:ascii="Arial" w:hAnsi="Arial" w:cs="Arial"/>
          <w:sz w:val="20"/>
          <w:szCs w:val="20"/>
        </w:rPr>
      </w:pPr>
    </w:p>
    <w:p w14:paraId="67F54DEB" w14:textId="77777777"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1. Aposentadoria Municipal. Professor de Educação Infantil. Leis Municipais nos 10.390/2002, 14.580/2014 e 14.581/2014. Aplicação dos princípios da segurança jurídica, da proteção da confiança e da boa-fé. Registro do ato de inativação.</w:t>
      </w:r>
    </w:p>
    <w:p w14:paraId="46D60F18" w14:textId="77777777" w:rsidR="00C831A3" w:rsidRDefault="00C831A3" w:rsidP="00C831A3">
      <w:pPr>
        <w:autoSpaceDE w:val="0"/>
        <w:autoSpaceDN w:val="0"/>
        <w:adjustRightInd w:val="0"/>
        <w:spacing w:after="0"/>
        <w:jc w:val="both"/>
        <w:rPr>
          <w:rFonts w:ascii="Arial" w:hAnsi="Arial" w:cs="Arial"/>
          <w:sz w:val="20"/>
          <w:szCs w:val="20"/>
        </w:rPr>
      </w:pPr>
    </w:p>
    <w:p w14:paraId="48BB2CD4" w14:textId="690A2FBB"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2. Admissão de Pessoal. Concurso Público. Acúmulo de cargo público e proventos de aposentadoria decorrente de outro cargo público, porém concedida pelo Regime Geral de Previdência Social. Possibilidade. Legalidade e registro.</w:t>
      </w:r>
    </w:p>
    <w:p w14:paraId="3BBEB302" w14:textId="77777777" w:rsidR="00C831A3" w:rsidRDefault="00C831A3" w:rsidP="00C831A3">
      <w:pPr>
        <w:autoSpaceDE w:val="0"/>
        <w:autoSpaceDN w:val="0"/>
        <w:adjustRightInd w:val="0"/>
        <w:spacing w:after="0"/>
        <w:jc w:val="both"/>
        <w:rPr>
          <w:rFonts w:ascii="Arial" w:hAnsi="Arial" w:cs="Arial"/>
          <w:sz w:val="20"/>
          <w:szCs w:val="20"/>
        </w:rPr>
      </w:pPr>
    </w:p>
    <w:p w14:paraId="1EEB2DD4" w14:textId="77777777" w:rsid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 xml:space="preserve">3. Comunicação de Irregularidade. Consórcio Intermunicipal de Saúde. Provimento de cargos em comissão inexistentes no quadro de pessoal do Consórcio. Necessidade de lei formal para criação de cargos. Desnecessidade de abertura de Tomada de Contas Extraordinária. Aplicação </w:t>
      </w:r>
    </w:p>
    <w:p w14:paraId="4FB38F8A" w14:textId="1DE6161E"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de multa ao gestor.</w:t>
      </w:r>
    </w:p>
    <w:p w14:paraId="117A57F8" w14:textId="77777777" w:rsidR="00C831A3" w:rsidRDefault="00C831A3" w:rsidP="00C831A3">
      <w:pPr>
        <w:autoSpaceDE w:val="0"/>
        <w:autoSpaceDN w:val="0"/>
        <w:adjustRightInd w:val="0"/>
        <w:spacing w:after="0"/>
        <w:jc w:val="both"/>
        <w:rPr>
          <w:rFonts w:ascii="Arial" w:hAnsi="Arial" w:cs="Arial"/>
          <w:sz w:val="20"/>
          <w:szCs w:val="20"/>
        </w:rPr>
      </w:pPr>
    </w:p>
    <w:p w14:paraId="369688C2" w14:textId="3F49E8F2"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4. Certidão Liberatória. Para fim de cálculo do índice constitucional de gastos com educação, é possível que sejam consideradas despesas efetuadas no exercício anterior sem cobertura financeira e quitadas nos três primeiros meses do exercício subsequente.</w:t>
      </w:r>
    </w:p>
    <w:p w14:paraId="5970D287" w14:textId="77777777" w:rsidR="00C831A3" w:rsidRDefault="00C831A3" w:rsidP="00C831A3">
      <w:pPr>
        <w:autoSpaceDE w:val="0"/>
        <w:autoSpaceDN w:val="0"/>
        <w:adjustRightInd w:val="0"/>
        <w:spacing w:after="0"/>
        <w:jc w:val="both"/>
        <w:rPr>
          <w:rFonts w:ascii="Arial" w:hAnsi="Arial" w:cs="Arial"/>
          <w:sz w:val="20"/>
          <w:szCs w:val="20"/>
        </w:rPr>
      </w:pPr>
    </w:p>
    <w:p w14:paraId="48095C55" w14:textId="1D8D8695"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5. Ato de Inativação. Transposição de cargos. Reenquadramento. Pela legalidade do registro.</w:t>
      </w:r>
    </w:p>
    <w:p w14:paraId="11373C5F" w14:textId="77777777" w:rsidR="00C831A3" w:rsidRDefault="00C831A3" w:rsidP="00C831A3">
      <w:pPr>
        <w:autoSpaceDE w:val="0"/>
        <w:autoSpaceDN w:val="0"/>
        <w:adjustRightInd w:val="0"/>
        <w:spacing w:after="0"/>
        <w:jc w:val="both"/>
        <w:rPr>
          <w:rFonts w:ascii="Arial" w:hAnsi="Arial" w:cs="Arial"/>
          <w:sz w:val="20"/>
          <w:szCs w:val="20"/>
        </w:rPr>
      </w:pPr>
    </w:p>
    <w:p w14:paraId="2A280B43" w14:textId="58495B0F"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6. Consulta. Remuneração de Procurador Municipal. Honorários de sucumbência. Inovação do Código de Processo Civil, prevendo a possibilidade de regulamentação legal de atribuição dessa verba aos advogados públicos.</w:t>
      </w:r>
    </w:p>
    <w:p w14:paraId="05CEABAD" w14:textId="77777777" w:rsidR="00C831A3" w:rsidRDefault="00C831A3" w:rsidP="00C831A3">
      <w:pPr>
        <w:autoSpaceDE w:val="0"/>
        <w:autoSpaceDN w:val="0"/>
        <w:adjustRightInd w:val="0"/>
        <w:spacing w:after="0"/>
        <w:jc w:val="both"/>
        <w:rPr>
          <w:rFonts w:ascii="Arial" w:hAnsi="Arial" w:cs="Arial"/>
          <w:sz w:val="20"/>
          <w:szCs w:val="20"/>
        </w:rPr>
      </w:pPr>
    </w:p>
    <w:p w14:paraId="5D44CFC5" w14:textId="0F13CDE6"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7. Representação. Contratação de serviços jurídicos e contábeis. Irregularidade. Aplicação de multa ao Gestor e ao Parecerista.</w:t>
      </w:r>
    </w:p>
    <w:p w14:paraId="6E337000" w14:textId="77777777" w:rsidR="00C831A3" w:rsidRDefault="00C831A3" w:rsidP="00C831A3">
      <w:pPr>
        <w:autoSpaceDE w:val="0"/>
        <w:autoSpaceDN w:val="0"/>
        <w:adjustRightInd w:val="0"/>
        <w:spacing w:after="0"/>
        <w:jc w:val="both"/>
        <w:rPr>
          <w:rFonts w:ascii="Arial" w:hAnsi="Arial" w:cs="Arial"/>
          <w:sz w:val="20"/>
          <w:szCs w:val="20"/>
        </w:rPr>
      </w:pPr>
    </w:p>
    <w:p w14:paraId="33E3AEE1" w14:textId="649CCB63"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8. Possibilidade de exclusão de despesas com terceirização de serviços médicos não incluídos na atenção básica à saúde do cálculo do limite de despesas com pessoal do Poder Executivo Municipal. Precedentes.</w:t>
      </w:r>
    </w:p>
    <w:p w14:paraId="6B1D4104" w14:textId="77777777" w:rsidR="00C831A3" w:rsidRDefault="00C831A3" w:rsidP="00C831A3">
      <w:pPr>
        <w:autoSpaceDE w:val="0"/>
        <w:autoSpaceDN w:val="0"/>
        <w:adjustRightInd w:val="0"/>
        <w:spacing w:after="0"/>
        <w:jc w:val="both"/>
        <w:rPr>
          <w:rFonts w:ascii="Arial" w:hAnsi="Arial" w:cs="Arial"/>
          <w:sz w:val="20"/>
          <w:szCs w:val="20"/>
        </w:rPr>
      </w:pPr>
    </w:p>
    <w:p w14:paraId="40B8C04F" w14:textId="465CA470"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9. Representação da Lei nº 8.666/1993. Pregão Presencial. Aquisição de pneus, câmaras de ar e protetores novos. Exigência de cadastro CFT- IBAMA dos licitantes, independente da atividade realizada. Exigência restritiva. Inexistência de prejuízo ao erário. Pareceres uniformes. Pela procedência com expedição de recomendação.</w:t>
      </w:r>
    </w:p>
    <w:p w14:paraId="2140F0B7" w14:textId="77777777" w:rsidR="00C831A3" w:rsidRDefault="00C831A3" w:rsidP="00C831A3">
      <w:pPr>
        <w:autoSpaceDE w:val="0"/>
        <w:autoSpaceDN w:val="0"/>
        <w:adjustRightInd w:val="0"/>
        <w:spacing w:after="0"/>
        <w:jc w:val="both"/>
        <w:rPr>
          <w:rFonts w:ascii="Arial" w:hAnsi="Arial" w:cs="Arial"/>
          <w:sz w:val="20"/>
          <w:szCs w:val="20"/>
        </w:rPr>
      </w:pPr>
    </w:p>
    <w:p w14:paraId="0AB676FC" w14:textId="5C54189C"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10. Denúncia. Cargos comissionados. Poder Executivo. Afronta à Constituição Federal e ao Prejulgado nº 25-TCE/PR. Procedência com expedição de determinação e recomendação.</w:t>
      </w:r>
    </w:p>
    <w:p w14:paraId="0D00BF5B" w14:textId="77777777" w:rsidR="00C831A3" w:rsidRDefault="00C831A3" w:rsidP="00C831A3">
      <w:pPr>
        <w:autoSpaceDE w:val="0"/>
        <w:autoSpaceDN w:val="0"/>
        <w:adjustRightInd w:val="0"/>
        <w:spacing w:after="0"/>
        <w:jc w:val="both"/>
        <w:rPr>
          <w:rFonts w:ascii="Arial" w:hAnsi="Arial" w:cs="Arial"/>
          <w:sz w:val="20"/>
          <w:szCs w:val="20"/>
        </w:rPr>
      </w:pPr>
    </w:p>
    <w:p w14:paraId="14FF64B0" w14:textId="535F605D"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11. Representação da Lei nº 8.666/93. Tomada de Preços. Participação de Microempresas e Empresas de Pequeno Porte. Não concessão dos benefícios contidos na LC 123/2006. Irregularidade. Procedência parcial. Emissão de recomendação.</w:t>
      </w:r>
    </w:p>
    <w:p w14:paraId="22B8CFCB" w14:textId="77777777" w:rsidR="00C831A3" w:rsidRDefault="00C831A3" w:rsidP="00C831A3">
      <w:pPr>
        <w:autoSpaceDE w:val="0"/>
        <w:autoSpaceDN w:val="0"/>
        <w:adjustRightInd w:val="0"/>
        <w:spacing w:after="0"/>
        <w:jc w:val="both"/>
        <w:rPr>
          <w:rFonts w:ascii="Arial" w:hAnsi="Arial" w:cs="Arial"/>
          <w:sz w:val="20"/>
          <w:szCs w:val="20"/>
        </w:rPr>
      </w:pPr>
    </w:p>
    <w:p w14:paraId="24C65DD3" w14:textId="70B9CB4A" w:rsidR="00C831A3" w:rsidRPr="00C831A3" w:rsidRDefault="00C831A3"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12. Prejulgado. Interpretação das regras de transição da EC 41/03, 47/05 e 70/12, da Constituição Federal. Aprovação. Enunciados.</w:t>
      </w:r>
    </w:p>
    <w:p w14:paraId="36CCC02D" w14:textId="77777777" w:rsidR="00C831A3" w:rsidRPr="00BE7ED0" w:rsidRDefault="00C831A3" w:rsidP="00C831A3">
      <w:pPr>
        <w:autoSpaceDE w:val="0"/>
        <w:autoSpaceDN w:val="0"/>
        <w:adjustRightInd w:val="0"/>
        <w:spacing w:after="0"/>
        <w:jc w:val="both"/>
        <w:rPr>
          <w:rFonts w:ascii="Arial" w:hAnsi="Arial" w:cs="Arial"/>
          <w:sz w:val="20"/>
          <w:szCs w:val="20"/>
        </w:rPr>
      </w:pPr>
    </w:p>
    <w:p w14:paraId="0BE91B35" w14:textId="77777777" w:rsidR="007C18E7" w:rsidRPr="00BE7ED0" w:rsidRDefault="007C18E7" w:rsidP="00C831A3">
      <w:pPr>
        <w:shd w:val="pct10" w:color="auto" w:fill="auto"/>
        <w:spacing w:after="0"/>
        <w:jc w:val="center"/>
        <w:rPr>
          <w:rFonts w:ascii="Arial" w:hAnsi="Arial" w:cs="Arial"/>
          <w:b/>
          <w:sz w:val="20"/>
          <w:szCs w:val="20"/>
        </w:rPr>
      </w:pPr>
      <w:r w:rsidRPr="00BE7ED0">
        <w:rPr>
          <w:rFonts w:ascii="Arial" w:hAnsi="Arial" w:cs="Arial"/>
          <w:b/>
          <w:sz w:val="20"/>
          <w:szCs w:val="20"/>
        </w:rPr>
        <w:t xml:space="preserve">PRIMEIRA CÂMARA </w:t>
      </w:r>
    </w:p>
    <w:p w14:paraId="4DFEEB83" w14:textId="5695F94B" w:rsidR="008F627B" w:rsidRDefault="008F627B" w:rsidP="00C831A3">
      <w:pPr>
        <w:autoSpaceDE w:val="0"/>
        <w:autoSpaceDN w:val="0"/>
        <w:adjustRightInd w:val="0"/>
        <w:spacing w:after="0"/>
        <w:jc w:val="both"/>
        <w:rPr>
          <w:rFonts w:ascii="Arial" w:hAnsi="Arial" w:cs="Arial"/>
          <w:b/>
          <w:sz w:val="20"/>
          <w:szCs w:val="20"/>
        </w:rPr>
      </w:pPr>
    </w:p>
    <w:p w14:paraId="29288ED1" w14:textId="77777777" w:rsidR="00E66EA0" w:rsidRDefault="00E66EA0" w:rsidP="00C831A3">
      <w:pPr>
        <w:autoSpaceDE w:val="0"/>
        <w:autoSpaceDN w:val="0"/>
        <w:adjustRightInd w:val="0"/>
        <w:spacing w:after="0"/>
        <w:jc w:val="both"/>
        <w:rPr>
          <w:rFonts w:ascii="Arial" w:hAnsi="Arial" w:cs="Arial"/>
          <w:b/>
          <w:sz w:val="20"/>
          <w:szCs w:val="20"/>
        </w:rPr>
      </w:pPr>
      <w:r w:rsidRPr="00B8112B">
        <w:rPr>
          <w:rFonts w:ascii="Arial" w:hAnsi="Arial" w:cs="Arial"/>
          <w:b/>
          <w:sz w:val="20"/>
          <w:szCs w:val="20"/>
        </w:rPr>
        <w:t>1.</w:t>
      </w:r>
      <w:r>
        <w:rPr>
          <w:rFonts w:ascii="Arial" w:hAnsi="Arial" w:cs="Arial"/>
          <w:b/>
          <w:sz w:val="20"/>
          <w:szCs w:val="20"/>
        </w:rPr>
        <w:t xml:space="preserve"> </w:t>
      </w:r>
      <w:r w:rsidRPr="006322F5">
        <w:rPr>
          <w:rFonts w:ascii="Arial" w:hAnsi="Arial" w:cs="Arial"/>
          <w:b/>
          <w:sz w:val="20"/>
          <w:szCs w:val="20"/>
        </w:rPr>
        <w:t>Aposentadoria Municipal. Professor de Educação Infantil. Leis Municipais</w:t>
      </w:r>
      <w:r>
        <w:rPr>
          <w:rFonts w:ascii="Arial" w:hAnsi="Arial" w:cs="Arial"/>
          <w:b/>
          <w:sz w:val="20"/>
          <w:szCs w:val="20"/>
        </w:rPr>
        <w:t xml:space="preserve"> </w:t>
      </w:r>
      <w:r w:rsidRPr="006322F5">
        <w:rPr>
          <w:rFonts w:ascii="Arial" w:hAnsi="Arial" w:cs="Arial"/>
          <w:b/>
          <w:sz w:val="20"/>
          <w:szCs w:val="20"/>
        </w:rPr>
        <w:t>nos 10.390/2002, 14.580/2014 e 14.581/2014. Aplicação dos princípios da segurança jurídica, da proteção da confiança e da boa-fé. Registro do ato de inativação.</w:t>
      </w:r>
    </w:p>
    <w:p w14:paraId="13FBC344" w14:textId="77777777" w:rsidR="00E66EA0" w:rsidRDefault="00E66EA0" w:rsidP="00C831A3">
      <w:pPr>
        <w:autoSpaceDE w:val="0"/>
        <w:autoSpaceDN w:val="0"/>
        <w:adjustRightInd w:val="0"/>
        <w:spacing w:after="0"/>
        <w:jc w:val="both"/>
        <w:rPr>
          <w:rFonts w:ascii="Arial" w:hAnsi="Arial" w:cs="Arial"/>
          <w:b/>
          <w:sz w:val="20"/>
          <w:szCs w:val="20"/>
        </w:rPr>
      </w:pPr>
    </w:p>
    <w:p w14:paraId="3C7ECB4A" w14:textId="77777777" w:rsidR="00E66EA0" w:rsidRPr="00B8112B" w:rsidRDefault="00E66EA0" w:rsidP="00C831A3">
      <w:pPr>
        <w:autoSpaceDE w:val="0"/>
        <w:autoSpaceDN w:val="0"/>
        <w:adjustRightInd w:val="0"/>
        <w:spacing w:after="0"/>
        <w:jc w:val="both"/>
        <w:rPr>
          <w:rFonts w:ascii="Arial" w:hAnsi="Arial" w:cs="Arial"/>
          <w:sz w:val="20"/>
          <w:szCs w:val="20"/>
        </w:rPr>
      </w:pPr>
      <w:r w:rsidRPr="00B8112B">
        <w:rPr>
          <w:rFonts w:ascii="Arial" w:hAnsi="Arial" w:cs="Arial"/>
          <w:sz w:val="20"/>
          <w:szCs w:val="20"/>
        </w:rPr>
        <w:t>O cargo no qual a servidora foi aposentada foi irrelevante para a definição do valor de seus proventos, uma vez que a regra pela qual foi inativada (art. 40, §1°, III, “b” c/c §§3° e 8° da Constituição Federal) não prevê a integralidade ou paridade dos proventos de aposentadoria com os vencimentos dos servidores em atividade, sendo os proventos calculados a partir da média dos salários de contribuição.</w:t>
      </w:r>
    </w:p>
    <w:p w14:paraId="6749A993" w14:textId="77777777" w:rsidR="00E66EA0" w:rsidRPr="00B8112B" w:rsidRDefault="00E66EA0" w:rsidP="00C831A3">
      <w:pPr>
        <w:autoSpaceDE w:val="0"/>
        <w:autoSpaceDN w:val="0"/>
        <w:adjustRightInd w:val="0"/>
        <w:spacing w:after="0"/>
        <w:jc w:val="both"/>
        <w:rPr>
          <w:rFonts w:ascii="Arial" w:hAnsi="Arial" w:cs="Arial"/>
          <w:b/>
          <w:sz w:val="20"/>
          <w:szCs w:val="20"/>
        </w:rPr>
      </w:pPr>
    </w:p>
    <w:p w14:paraId="0FFB687D" w14:textId="77777777" w:rsidR="00E66EA0" w:rsidRPr="00B8112B" w:rsidRDefault="00E66EA0" w:rsidP="00C831A3">
      <w:pPr>
        <w:autoSpaceDE w:val="0"/>
        <w:autoSpaceDN w:val="0"/>
        <w:adjustRightInd w:val="0"/>
        <w:spacing w:after="0"/>
        <w:jc w:val="both"/>
        <w:rPr>
          <w:rFonts w:ascii="Arial" w:hAnsi="Arial" w:cs="Arial"/>
          <w:b/>
          <w:sz w:val="20"/>
          <w:szCs w:val="20"/>
        </w:rPr>
      </w:pPr>
      <w:r w:rsidRPr="00B8112B">
        <w:rPr>
          <w:rFonts w:ascii="Arial" w:hAnsi="Arial" w:cs="Arial"/>
          <w:sz w:val="20"/>
          <w:szCs w:val="20"/>
        </w:rPr>
        <w:t>Esta Corte, têm concedido o registro a aposentadorias em casos análogos, mesmo quando assegurados a integralidade e a paridade aos proventos, e a despeito das leis alegadamente inconstitucionais que beneficiaram diversos servidores da área de educação do Município, alçando-os ao cargo de professor de educação infantil sem a realização de concurso público, tendo como fundamento os princípios da segurança jurídica, da proteção da confiança e da boa-fé.</w:t>
      </w:r>
    </w:p>
    <w:p w14:paraId="5EEF8196" w14:textId="77777777" w:rsidR="00E66EA0" w:rsidRPr="00454F62" w:rsidRDefault="00E66EA0" w:rsidP="00C831A3">
      <w:pPr>
        <w:autoSpaceDE w:val="0"/>
        <w:autoSpaceDN w:val="0"/>
        <w:adjustRightInd w:val="0"/>
        <w:spacing w:after="0"/>
        <w:jc w:val="both"/>
        <w:rPr>
          <w:rFonts w:ascii="Arial" w:hAnsi="Arial" w:cs="Arial"/>
          <w:b/>
          <w:sz w:val="20"/>
          <w:szCs w:val="20"/>
        </w:rPr>
      </w:pPr>
    </w:p>
    <w:p w14:paraId="254B377A" w14:textId="02B04AE4" w:rsidR="00E66EA0" w:rsidRPr="00B8112B" w:rsidRDefault="00E66EA0" w:rsidP="00C831A3">
      <w:pPr>
        <w:autoSpaceDE w:val="0"/>
        <w:autoSpaceDN w:val="0"/>
        <w:adjustRightInd w:val="0"/>
        <w:spacing w:after="0"/>
        <w:jc w:val="both"/>
        <w:rPr>
          <w:rFonts w:ascii="Arial" w:hAnsi="Arial" w:cs="Arial"/>
          <w:sz w:val="20"/>
          <w:szCs w:val="20"/>
        </w:rPr>
      </w:pPr>
      <w:r w:rsidRPr="00B8112B">
        <w:rPr>
          <w:rFonts w:ascii="Arial" w:hAnsi="Arial" w:cs="Arial"/>
          <w:sz w:val="20"/>
          <w:szCs w:val="20"/>
        </w:rPr>
        <w:t xml:space="preserve">Processo nº 489233/16 – </w:t>
      </w:r>
      <w:hyperlink r:id="rId8" w:history="1">
        <w:r w:rsidRPr="00B8112B">
          <w:rPr>
            <w:rStyle w:val="Hyperlink"/>
            <w:rFonts w:ascii="Arial" w:hAnsi="Arial" w:cs="Arial"/>
            <w:sz w:val="20"/>
            <w:szCs w:val="20"/>
          </w:rPr>
          <w:t>Acórdão nº 1550/19 – Primeira Câmara</w:t>
        </w:r>
        <w:r>
          <w:rPr>
            <w:rStyle w:val="Hyperlink"/>
            <w:rFonts w:ascii="Arial" w:hAnsi="Arial" w:cs="Arial"/>
            <w:sz w:val="20"/>
            <w:szCs w:val="20"/>
          </w:rPr>
          <w:t xml:space="preserve"> </w:t>
        </w:r>
        <w:r w:rsidRPr="00B8112B">
          <w:rPr>
            <w:rStyle w:val="Hyperlink"/>
            <w:rFonts w:ascii="Arial" w:hAnsi="Arial" w:cs="Arial"/>
            <w:sz w:val="20"/>
            <w:szCs w:val="20"/>
          </w:rPr>
          <w:t>-</w:t>
        </w:r>
      </w:hyperlink>
      <w:r w:rsidRPr="00B8112B">
        <w:rPr>
          <w:rFonts w:ascii="Arial" w:hAnsi="Arial" w:cs="Arial"/>
          <w:sz w:val="20"/>
          <w:szCs w:val="20"/>
        </w:rPr>
        <w:t xml:space="preserve"> Relator Auditor Tiago Alvarez Pedroso.</w:t>
      </w:r>
    </w:p>
    <w:p w14:paraId="3F6CE8F8" w14:textId="2CFA9CEE" w:rsidR="00782C9C" w:rsidRDefault="00782C9C" w:rsidP="00C831A3">
      <w:pPr>
        <w:autoSpaceDE w:val="0"/>
        <w:autoSpaceDN w:val="0"/>
        <w:adjustRightInd w:val="0"/>
        <w:spacing w:after="0"/>
        <w:jc w:val="both"/>
        <w:rPr>
          <w:rFonts w:ascii="Arial" w:hAnsi="Arial" w:cs="Arial"/>
          <w:sz w:val="20"/>
          <w:szCs w:val="20"/>
        </w:rPr>
      </w:pPr>
    </w:p>
    <w:p w14:paraId="68AE323D" w14:textId="0C720653" w:rsidR="008C72F2"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lastRenderedPageBreak/>
        <w:t>2</w:t>
      </w:r>
      <w:r w:rsidRPr="00230603">
        <w:rPr>
          <w:rFonts w:ascii="Arial" w:hAnsi="Arial" w:cs="Arial"/>
          <w:b/>
          <w:sz w:val="20"/>
          <w:szCs w:val="20"/>
        </w:rPr>
        <w:t xml:space="preserve">. </w:t>
      </w:r>
      <w:r>
        <w:rPr>
          <w:rFonts w:ascii="Arial" w:hAnsi="Arial" w:cs="Arial"/>
          <w:b/>
          <w:sz w:val="20"/>
          <w:szCs w:val="20"/>
        </w:rPr>
        <w:t>Admissão de Pessoal. Concurso Público. Acúmulo de cargo público e proventos de aposentadoria decorrente de outro cargo público, porém concedida pelo Regime Geral de Previdência Social. Possibilidade. Legalidade e registro.</w:t>
      </w:r>
    </w:p>
    <w:p w14:paraId="7DCA39E7" w14:textId="77777777" w:rsidR="008C72F2" w:rsidRPr="00230603" w:rsidRDefault="008C72F2" w:rsidP="00C831A3">
      <w:pPr>
        <w:autoSpaceDE w:val="0"/>
        <w:autoSpaceDN w:val="0"/>
        <w:adjustRightInd w:val="0"/>
        <w:spacing w:after="0"/>
        <w:jc w:val="both"/>
        <w:rPr>
          <w:rFonts w:ascii="Arial" w:hAnsi="Arial" w:cs="Arial"/>
          <w:b/>
          <w:sz w:val="20"/>
          <w:szCs w:val="20"/>
        </w:rPr>
      </w:pPr>
    </w:p>
    <w:p w14:paraId="521C5AC3" w14:textId="77777777" w:rsidR="008C72F2" w:rsidRPr="004E471F" w:rsidRDefault="008C72F2" w:rsidP="00C831A3">
      <w:pPr>
        <w:autoSpaceDE w:val="0"/>
        <w:autoSpaceDN w:val="0"/>
        <w:adjustRightInd w:val="0"/>
        <w:spacing w:after="0"/>
        <w:jc w:val="both"/>
        <w:rPr>
          <w:rFonts w:ascii="Arial" w:hAnsi="Arial" w:cs="Arial"/>
          <w:sz w:val="20"/>
          <w:szCs w:val="20"/>
        </w:rPr>
      </w:pPr>
      <w:r w:rsidRPr="004E471F">
        <w:rPr>
          <w:rFonts w:ascii="Arial" w:hAnsi="Arial" w:cs="Arial"/>
          <w:sz w:val="20"/>
          <w:szCs w:val="20"/>
        </w:rPr>
        <w:t>Depreende-se do texto constitucional que a vedação se limita apenas e</w:t>
      </w:r>
      <w:r>
        <w:rPr>
          <w:rFonts w:ascii="Arial" w:hAnsi="Arial" w:cs="Arial"/>
          <w:sz w:val="20"/>
          <w:szCs w:val="20"/>
        </w:rPr>
        <w:t xml:space="preserve"> </w:t>
      </w:r>
      <w:r w:rsidRPr="004E471F">
        <w:rPr>
          <w:rFonts w:ascii="Arial" w:hAnsi="Arial" w:cs="Arial"/>
          <w:sz w:val="20"/>
          <w:szCs w:val="20"/>
        </w:rPr>
        <w:t>tão somente à acumulação de remuneração de cargo público com proventos de</w:t>
      </w:r>
      <w:r>
        <w:rPr>
          <w:rFonts w:ascii="Arial" w:hAnsi="Arial" w:cs="Arial"/>
          <w:sz w:val="20"/>
          <w:szCs w:val="20"/>
        </w:rPr>
        <w:t xml:space="preserve"> </w:t>
      </w:r>
      <w:r w:rsidRPr="004E471F">
        <w:rPr>
          <w:rFonts w:ascii="Arial" w:hAnsi="Arial" w:cs="Arial"/>
          <w:sz w:val="20"/>
          <w:szCs w:val="20"/>
        </w:rPr>
        <w:t>aposentadorias concedidas pelo regime próprio de previdência social, sejam de</w:t>
      </w:r>
      <w:r>
        <w:rPr>
          <w:rFonts w:ascii="Arial" w:hAnsi="Arial" w:cs="Arial"/>
          <w:sz w:val="20"/>
          <w:szCs w:val="20"/>
        </w:rPr>
        <w:t xml:space="preserve"> </w:t>
      </w:r>
      <w:r w:rsidRPr="004E471F">
        <w:rPr>
          <w:rFonts w:ascii="Arial" w:hAnsi="Arial" w:cs="Arial"/>
          <w:sz w:val="20"/>
          <w:szCs w:val="20"/>
        </w:rPr>
        <w:t>servidores civis (art. 40) ou militares (</w:t>
      </w:r>
      <w:proofErr w:type="spellStart"/>
      <w:r w:rsidRPr="004E471F">
        <w:rPr>
          <w:rFonts w:ascii="Arial" w:hAnsi="Arial" w:cs="Arial"/>
          <w:sz w:val="20"/>
          <w:szCs w:val="20"/>
        </w:rPr>
        <w:t>arts</w:t>
      </w:r>
      <w:proofErr w:type="spellEnd"/>
      <w:r w:rsidRPr="004E471F">
        <w:rPr>
          <w:rFonts w:ascii="Arial" w:hAnsi="Arial" w:cs="Arial"/>
          <w:sz w:val="20"/>
          <w:szCs w:val="20"/>
        </w:rPr>
        <w:t>. 42 e 142). Não há qualquer vedação para a</w:t>
      </w:r>
      <w:r>
        <w:rPr>
          <w:rFonts w:ascii="Arial" w:hAnsi="Arial" w:cs="Arial"/>
          <w:sz w:val="20"/>
          <w:szCs w:val="20"/>
        </w:rPr>
        <w:t xml:space="preserve"> </w:t>
      </w:r>
      <w:r w:rsidRPr="004E471F">
        <w:rPr>
          <w:rFonts w:ascii="Arial" w:hAnsi="Arial" w:cs="Arial"/>
          <w:sz w:val="20"/>
          <w:szCs w:val="20"/>
        </w:rPr>
        <w:t>acumulação de cargos públicos com aposentadorias concedidas pelo regime geral de</w:t>
      </w:r>
      <w:r>
        <w:rPr>
          <w:rFonts w:ascii="Arial" w:hAnsi="Arial" w:cs="Arial"/>
          <w:sz w:val="20"/>
          <w:szCs w:val="20"/>
        </w:rPr>
        <w:t xml:space="preserve"> </w:t>
      </w:r>
      <w:r w:rsidRPr="004E471F">
        <w:rPr>
          <w:rFonts w:ascii="Arial" w:hAnsi="Arial" w:cs="Arial"/>
          <w:sz w:val="20"/>
          <w:szCs w:val="20"/>
        </w:rPr>
        <w:t>previdência social.</w:t>
      </w:r>
    </w:p>
    <w:p w14:paraId="24D2D0D2" w14:textId="77777777" w:rsidR="008C72F2" w:rsidRDefault="008C72F2" w:rsidP="00C831A3">
      <w:pPr>
        <w:autoSpaceDE w:val="0"/>
        <w:autoSpaceDN w:val="0"/>
        <w:adjustRightInd w:val="0"/>
        <w:spacing w:after="0"/>
        <w:jc w:val="both"/>
        <w:rPr>
          <w:rFonts w:ascii="Arial" w:hAnsi="Arial" w:cs="Arial"/>
          <w:sz w:val="20"/>
          <w:szCs w:val="20"/>
        </w:rPr>
      </w:pPr>
    </w:p>
    <w:p w14:paraId="46A1C3EF" w14:textId="77777777" w:rsidR="008C72F2" w:rsidRPr="004E471F" w:rsidRDefault="008C72F2" w:rsidP="00C831A3">
      <w:pPr>
        <w:autoSpaceDE w:val="0"/>
        <w:autoSpaceDN w:val="0"/>
        <w:adjustRightInd w:val="0"/>
        <w:spacing w:after="0"/>
        <w:jc w:val="both"/>
        <w:rPr>
          <w:rFonts w:ascii="Arial" w:hAnsi="Arial" w:cs="Arial"/>
          <w:sz w:val="20"/>
          <w:szCs w:val="20"/>
        </w:rPr>
      </w:pPr>
      <w:r w:rsidRPr="004E471F">
        <w:rPr>
          <w:rFonts w:ascii="Arial" w:hAnsi="Arial" w:cs="Arial"/>
          <w:sz w:val="20"/>
          <w:szCs w:val="20"/>
        </w:rPr>
        <w:t>Como ficou evidenciado na instrução dos autos, a aposentadoria da</w:t>
      </w:r>
      <w:r>
        <w:rPr>
          <w:rFonts w:ascii="Arial" w:hAnsi="Arial" w:cs="Arial"/>
          <w:sz w:val="20"/>
          <w:szCs w:val="20"/>
        </w:rPr>
        <w:t xml:space="preserve"> </w:t>
      </w:r>
      <w:r w:rsidRPr="004E471F">
        <w:rPr>
          <w:rFonts w:ascii="Arial" w:hAnsi="Arial" w:cs="Arial"/>
          <w:sz w:val="20"/>
          <w:szCs w:val="20"/>
        </w:rPr>
        <w:t>servidora em questão, apesar de ter ocorrido em cargo público, foi concedida pelo</w:t>
      </w:r>
      <w:r>
        <w:rPr>
          <w:rFonts w:ascii="Arial" w:hAnsi="Arial" w:cs="Arial"/>
          <w:sz w:val="20"/>
          <w:szCs w:val="20"/>
        </w:rPr>
        <w:t xml:space="preserve"> </w:t>
      </w:r>
      <w:r w:rsidRPr="004E471F">
        <w:rPr>
          <w:rFonts w:ascii="Arial" w:hAnsi="Arial" w:cs="Arial"/>
          <w:sz w:val="20"/>
          <w:szCs w:val="20"/>
        </w:rPr>
        <w:t>regime geral de previdência social, razão pela qual não há qualquer ilegalidade em sua</w:t>
      </w:r>
      <w:r>
        <w:rPr>
          <w:rFonts w:ascii="Arial" w:hAnsi="Arial" w:cs="Arial"/>
          <w:sz w:val="20"/>
          <w:szCs w:val="20"/>
        </w:rPr>
        <w:t xml:space="preserve"> </w:t>
      </w:r>
      <w:r w:rsidRPr="004E471F">
        <w:rPr>
          <w:rFonts w:ascii="Arial" w:hAnsi="Arial" w:cs="Arial"/>
          <w:sz w:val="20"/>
          <w:szCs w:val="20"/>
        </w:rPr>
        <w:t>admissão.</w:t>
      </w:r>
    </w:p>
    <w:p w14:paraId="46E671C7" w14:textId="77777777" w:rsidR="008C72F2" w:rsidRDefault="008C72F2" w:rsidP="00C831A3">
      <w:pPr>
        <w:autoSpaceDE w:val="0"/>
        <w:autoSpaceDN w:val="0"/>
        <w:adjustRightInd w:val="0"/>
        <w:spacing w:after="0"/>
        <w:jc w:val="both"/>
        <w:rPr>
          <w:rFonts w:ascii="Arial" w:hAnsi="Arial" w:cs="Arial"/>
          <w:sz w:val="20"/>
          <w:szCs w:val="20"/>
        </w:rPr>
      </w:pPr>
    </w:p>
    <w:p w14:paraId="11A7C3DA" w14:textId="77777777" w:rsidR="008C72F2" w:rsidRPr="004E471F" w:rsidRDefault="008C72F2" w:rsidP="00C831A3">
      <w:pPr>
        <w:autoSpaceDE w:val="0"/>
        <w:autoSpaceDN w:val="0"/>
        <w:adjustRightInd w:val="0"/>
        <w:spacing w:after="0"/>
        <w:jc w:val="both"/>
        <w:rPr>
          <w:rFonts w:ascii="Arial" w:hAnsi="Arial" w:cs="Arial"/>
          <w:sz w:val="20"/>
          <w:szCs w:val="20"/>
        </w:rPr>
      </w:pPr>
      <w:r w:rsidRPr="004E471F">
        <w:rPr>
          <w:rFonts w:ascii="Arial" w:hAnsi="Arial" w:cs="Arial"/>
          <w:sz w:val="20"/>
          <w:szCs w:val="20"/>
        </w:rPr>
        <w:t>Destac</w:t>
      </w:r>
      <w:r>
        <w:rPr>
          <w:rFonts w:ascii="Arial" w:hAnsi="Arial" w:cs="Arial"/>
          <w:sz w:val="20"/>
          <w:szCs w:val="20"/>
        </w:rPr>
        <w:t>a-se</w:t>
      </w:r>
      <w:r w:rsidRPr="004E471F">
        <w:rPr>
          <w:rFonts w:ascii="Arial" w:hAnsi="Arial" w:cs="Arial"/>
          <w:sz w:val="20"/>
          <w:szCs w:val="20"/>
        </w:rPr>
        <w:t xml:space="preserve"> que não seria apropriado dar interpretação extensiva ao § 10</w:t>
      </w:r>
      <w:r>
        <w:rPr>
          <w:rFonts w:ascii="Arial" w:hAnsi="Arial" w:cs="Arial"/>
          <w:sz w:val="20"/>
          <w:szCs w:val="20"/>
        </w:rPr>
        <w:t xml:space="preserve"> </w:t>
      </w:r>
      <w:r w:rsidRPr="004E471F">
        <w:rPr>
          <w:rFonts w:ascii="Arial" w:hAnsi="Arial" w:cs="Arial"/>
          <w:sz w:val="20"/>
          <w:szCs w:val="20"/>
        </w:rPr>
        <w:t>do art. 37 da Constituição, de modo a proibir também a acumulação de remuneração</w:t>
      </w:r>
      <w:r>
        <w:rPr>
          <w:rFonts w:ascii="Arial" w:hAnsi="Arial" w:cs="Arial"/>
          <w:sz w:val="20"/>
          <w:szCs w:val="20"/>
        </w:rPr>
        <w:t xml:space="preserve"> </w:t>
      </w:r>
      <w:r w:rsidRPr="004E471F">
        <w:rPr>
          <w:rFonts w:ascii="Arial" w:hAnsi="Arial" w:cs="Arial"/>
          <w:sz w:val="20"/>
          <w:szCs w:val="20"/>
        </w:rPr>
        <w:t>de cargo público com proventos de aposentadoria provenientes do RGPS, quando a</w:t>
      </w:r>
      <w:r>
        <w:rPr>
          <w:rFonts w:ascii="Arial" w:hAnsi="Arial" w:cs="Arial"/>
          <w:sz w:val="20"/>
          <w:szCs w:val="20"/>
        </w:rPr>
        <w:t xml:space="preserve"> </w:t>
      </w:r>
      <w:r w:rsidRPr="004E471F">
        <w:rPr>
          <w:rFonts w:ascii="Arial" w:hAnsi="Arial" w:cs="Arial"/>
          <w:sz w:val="20"/>
          <w:szCs w:val="20"/>
        </w:rPr>
        <w:t>aposentadoria se dá em decorrência do exercício de cargo público.</w:t>
      </w:r>
      <w:r>
        <w:rPr>
          <w:rFonts w:ascii="Arial" w:hAnsi="Arial" w:cs="Arial"/>
          <w:sz w:val="20"/>
          <w:szCs w:val="20"/>
        </w:rPr>
        <w:t xml:space="preserve"> </w:t>
      </w:r>
      <w:r w:rsidRPr="004E471F">
        <w:rPr>
          <w:rFonts w:ascii="Arial" w:hAnsi="Arial" w:cs="Arial"/>
          <w:sz w:val="20"/>
          <w:szCs w:val="20"/>
        </w:rPr>
        <w:t>Tal interpretação criaria uma distinção desarrazoada entre</w:t>
      </w:r>
      <w:r>
        <w:rPr>
          <w:rFonts w:ascii="Arial" w:hAnsi="Arial" w:cs="Arial"/>
          <w:sz w:val="20"/>
          <w:szCs w:val="20"/>
        </w:rPr>
        <w:t xml:space="preserve"> </w:t>
      </w:r>
      <w:r w:rsidRPr="004E471F">
        <w:rPr>
          <w:rFonts w:ascii="Arial" w:hAnsi="Arial" w:cs="Arial"/>
          <w:sz w:val="20"/>
          <w:szCs w:val="20"/>
        </w:rPr>
        <w:t>aposentados do RGPS que laboraram em setores diversos (público e privado), mas</w:t>
      </w:r>
      <w:r>
        <w:rPr>
          <w:rFonts w:ascii="Arial" w:hAnsi="Arial" w:cs="Arial"/>
          <w:sz w:val="20"/>
          <w:szCs w:val="20"/>
        </w:rPr>
        <w:t xml:space="preserve"> </w:t>
      </w:r>
      <w:r w:rsidRPr="004E471F">
        <w:rPr>
          <w:rFonts w:ascii="Arial" w:hAnsi="Arial" w:cs="Arial"/>
          <w:sz w:val="20"/>
          <w:szCs w:val="20"/>
        </w:rPr>
        <w:t>que se submeteram exatamente às mesmas regras para aposentadoria, o que feriria o princípio da isonomia.</w:t>
      </w:r>
    </w:p>
    <w:p w14:paraId="6C112C87" w14:textId="77777777" w:rsidR="008C72F2" w:rsidRPr="00230603" w:rsidRDefault="008C72F2" w:rsidP="00C831A3">
      <w:pPr>
        <w:autoSpaceDE w:val="0"/>
        <w:autoSpaceDN w:val="0"/>
        <w:adjustRightInd w:val="0"/>
        <w:spacing w:after="0"/>
        <w:jc w:val="both"/>
        <w:rPr>
          <w:rFonts w:ascii="Arial" w:hAnsi="Arial" w:cs="Arial"/>
          <w:sz w:val="20"/>
          <w:szCs w:val="20"/>
        </w:rPr>
      </w:pPr>
    </w:p>
    <w:p w14:paraId="69E628EF" w14:textId="77777777" w:rsidR="008C72F2" w:rsidRPr="00230603" w:rsidRDefault="008C72F2"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897122/17</w:t>
      </w:r>
      <w:r w:rsidRPr="00230603">
        <w:rPr>
          <w:rFonts w:ascii="Arial" w:hAnsi="Arial" w:cs="Arial"/>
          <w:sz w:val="20"/>
          <w:szCs w:val="20"/>
        </w:rPr>
        <w:t xml:space="preserve"> – </w:t>
      </w:r>
      <w:hyperlink r:id="rId9" w:history="1">
        <w:r w:rsidRPr="00230603">
          <w:rPr>
            <w:rStyle w:val="Hyperlink"/>
            <w:rFonts w:ascii="Arial" w:hAnsi="Arial" w:cs="Arial"/>
            <w:sz w:val="20"/>
            <w:szCs w:val="20"/>
          </w:rPr>
          <w:t>Acórdão nº 1</w:t>
        </w:r>
        <w:r>
          <w:rPr>
            <w:rStyle w:val="Hyperlink"/>
            <w:rFonts w:ascii="Arial" w:hAnsi="Arial" w:cs="Arial"/>
            <w:sz w:val="20"/>
            <w:szCs w:val="20"/>
          </w:rPr>
          <w:t>642</w:t>
        </w:r>
        <w:r w:rsidRPr="00230603">
          <w:rPr>
            <w:rStyle w:val="Hyperlink"/>
            <w:rFonts w:ascii="Arial" w:hAnsi="Arial" w:cs="Arial"/>
            <w:sz w:val="20"/>
            <w:szCs w:val="20"/>
          </w:rPr>
          <w:t xml:space="preserve">/19 – </w:t>
        </w:r>
        <w:r>
          <w:rPr>
            <w:rStyle w:val="Hyperlink"/>
            <w:rFonts w:ascii="Arial" w:hAnsi="Arial" w:cs="Arial"/>
            <w:sz w:val="20"/>
            <w:szCs w:val="20"/>
          </w:rPr>
          <w:t>Primeira Câmara</w:t>
        </w:r>
      </w:hyperlink>
      <w:r w:rsidRPr="00230603">
        <w:rPr>
          <w:rFonts w:ascii="Arial" w:hAnsi="Arial" w:cs="Arial"/>
          <w:sz w:val="20"/>
          <w:szCs w:val="20"/>
        </w:rPr>
        <w:t xml:space="preserve"> - Relator </w:t>
      </w:r>
      <w:r>
        <w:rPr>
          <w:rFonts w:ascii="Arial" w:hAnsi="Arial" w:cs="Arial"/>
          <w:sz w:val="20"/>
          <w:szCs w:val="20"/>
        </w:rPr>
        <w:t>Auditor Tiago Alvarez Pedroso</w:t>
      </w:r>
      <w:r w:rsidRPr="00230603">
        <w:rPr>
          <w:rFonts w:ascii="Arial" w:hAnsi="Arial" w:cs="Arial"/>
          <w:sz w:val="20"/>
          <w:szCs w:val="20"/>
        </w:rPr>
        <w:t>.</w:t>
      </w:r>
    </w:p>
    <w:p w14:paraId="1ED76F39" w14:textId="77777777" w:rsidR="008C72F2" w:rsidRDefault="008C72F2" w:rsidP="00C831A3">
      <w:pPr>
        <w:autoSpaceDE w:val="0"/>
        <w:autoSpaceDN w:val="0"/>
        <w:adjustRightInd w:val="0"/>
        <w:spacing w:after="0"/>
        <w:jc w:val="both"/>
        <w:rPr>
          <w:rFonts w:ascii="Arial" w:hAnsi="Arial" w:cs="Arial"/>
          <w:sz w:val="20"/>
          <w:szCs w:val="20"/>
        </w:rPr>
      </w:pPr>
    </w:p>
    <w:p w14:paraId="49D2B11A" w14:textId="1D87127D" w:rsidR="008C72F2"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3</w:t>
      </w:r>
      <w:r w:rsidRPr="00230603">
        <w:rPr>
          <w:rFonts w:ascii="Arial" w:hAnsi="Arial" w:cs="Arial"/>
          <w:b/>
          <w:sz w:val="20"/>
          <w:szCs w:val="20"/>
        </w:rPr>
        <w:t xml:space="preserve">. </w:t>
      </w:r>
      <w:r>
        <w:rPr>
          <w:rFonts w:ascii="Arial" w:hAnsi="Arial" w:cs="Arial"/>
          <w:b/>
          <w:sz w:val="20"/>
          <w:szCs w:val="20"/>
        </w:rPr>
        <w:t>Comunicação de Irregularidade. Consórcio Intermunicipal de Saúde. Provimento de cargos em comissão inexistentes no quadro de pessoal do Consórcio. Necessidade de lei formal para criação de cargos. Desnecessidade de abertura de Tomada de Contas Extraordinária. Aplicação de multa ao gestor.</w:t>
      </w:r>
    </w:p>
    <w:p w14:paraId="32E112A8" w14:textId="77777777" w:rsidR="008C72F2" w:rsidRDefault="008C72F2" w:rsidP="00C831A3">
      <w:pPr>
        <w:autoSpaceDE w:val="0"/>
        <w:autoSpaceDN w:val="0"/>
        <w:adjustRightInd w:val="0"/>
        <w:spacing w:after="0"/>
        <w:jc w:val="both"/>
        <w:rPr>
          <w:rFonts w:ascii="Arial" w:hAnsi="Arial" w:cs="Arial"/>
          <w:b/>
          <w:sz w:val="20"/>
          <w:szCs w:val="20"/>
        </w:rPr>
      </w:pPr>
    </w:p>
    <w:p w14:paraId="7F957332" w14:textId="77777777" w:rsidR="008C72F2" w:rsidRPr="00517883" w:rsidRDefault="008C72F2" w:rsidP="00C831A3">
      <w:pPr>
        <w:autoSpaceDE w:val="0"/>
        <w:autoSpaceDN w:val="0"/>
        <w:adjustRightInd w:val="0"/>
        <w:spacing w:after="0"/>
        <w:jc w:val="both"/>
        <w:rPr>
          <w:rFonts w:ascii="Arial" w:hAnsi="Arial" w:cs="Arial"/>
          <w:sz w:val="20"/>
          <w:szCs w:val="20"/>
        </w:rPr>
      </w:pPr>
      <w:r>
        <w:rPr>
          <w:rFonts w:ascii="Arial" w:hAnsi="Arial" w:cs="Arial"/>
          <w:sz w:val="20"/>
          <w:szCs w:val="20"/>
        </w:rPr>
        <w:t>R</w:t>
      </w:r>
      <w:r w:rsidRPr="00517883">
        <w:rPr>
          <w:rFonts w:ascii="Arial" w:hAnsi="Arial" w:cs="Arial"/>
          <w:sz w:val="20"/>
          <w:szCs w:val="20"/>
        </w:rPr>
        <w:t>estou incontroverso, sendo admitido inclusive</w:t>
      </w:r>
      <w:r>
        <w:rPr>
          <w:rFonts w:ascii="Arial" w:hAnsi="Arial" w:cs="Arial"/>
          <w:sz w:val="20"/>
          <w:szCs w:val="20"/>
        </w:rPr>
        <w:t xml:space="preserve"> </w:t>
      </w:r>
      <w:r w:rsidRPr="00517883">
        <w:rPr>
          <w:rFonts w:ascii="Arial" w:hAnsi="Arial" w:cs="Arial"/>
          <w:sz w:val="20"/>
          <w:szCs w:val="20"/>
        </w:rPr>
        <w:t>pelo gestor do CONSÓRCIO INTERMUNICIPAL DE SAÚDE o provimento de cargos em comissão inexistentes</w:t>
      </w:r>
      <w:r>
        <w:rPr>
          <w:rFonts w:ascii="Arial" w:hAnsi="Arial" w:cs="Arial"/>
          <w:sz w:val="20"/>
          <w:szCs w:val="20"/>
        </w:rPr>
        <w:t xml:space="preserve"> </w:t>
      </w:r>
      <w:r w:rsidRPr="00517883">
        <w:rPr>
          <w:rFonts w:ascii="Arial" w:hAnsi="Arial" w:cs="Arial"/>
          <w:sz w:val="20"/>
          <w:szCs w:val="20"/>
        </w:rPr>
        <w:t>formalmente no quadro de pessoal do Consórcio entre os anos de 2015 a 2018.</w:t>
      </w:r>
      <w:r>
        <w:rPr>
          <w:rFonts w:ascii="Arial" w:hAnsi="Arial" w:cs="Arial"/>
          <w:sz w:val="20"/>
          <w:szCs w:val="20"/>
        </w:rPr>
        <w:t xml:space="preserve"> </w:t>
      </w:r>
      <w:r w:rsidRPr="00517883">
        <w:rPr>
          <w:rFonts w:ascii="Arial" w:hAnsi="Arial" w:cs="Arial"/>
          <w:sz w:val="20"/>
          <w:szCs w:val="20"/>
        </w:rPr>
        <w:t xml:space="preserve">Conforme apontado pela </w:t>
      </w:r>
      <w:r>
        <w:rPr>
          <w:rFonts w:ascii="Arial" w:hAnsi="Arial" w:cs="Arial"/>
          <w:sz w:val="20"/>
          <w:szCs w:val="20"/>
        </w:rPr>
        <w:t>Unidade Técnica</w:t>
      </w:r>
      <w:r w:rsidRPr="00517883">
        <w:rPr>
          <w:rFonts w:ascii="Arial" w:hAnsi="Arial" w:cs="Arial"/>
          <w:sz w:val="20"/>
          <w:szCs w:val="20"/>
        </w:rPr>
        <w:t>, tal conduta viola o Princípio da</w:t>
      </w:r>
      <w:r>
        <w:rPr>
          <w:rFonts w:ascii="Arial" w:hAnsi="Arial" w:cs="Arial"/>
          <w:sz w:val="20"/>
          <w:szCs w:val="20"/>
        </w:rPr>
        <w:t xml:space="preserve"> </w:t>
      </w:r>
      <w:r w:rsidRPr="00517883">
        <w:rPr>
          <w:rFonts w:ascii="Arial" w:hAnsi="Arial" w:cs="Arial"/>
          <w:sz w:val="20"/>
          <w:szCs w:val="20"/>
        </w:rPr>
        <w:t xml:space="preserve">Legalidade, trazido no artigo 37, </w:t>
      </w:r>
      <w:r w:rsidRPr="00517883">
        <w:rPr>
          <w:rFonts w:ascii="Arial,Italic" w:hAnsi="Arial,Italic" w:cs="Arial,Italic"/>
          <w:i/>
          <w:iCs/>
          <w:sz w:val="20"/>
          <w:szCs w:val="20"/>
        </w:rPr>
        <w:t>caput</w:t>
      </w:r>
      <w:r w:rsidRPr="00517883">
        <w:rPr>
          <w:rFonts w:ascii="Arial" w:hAnsi="Arial" w:cs="Arial"/>
          <w:sz w:val="20"/>
          <w:szCs w:val="20"/>
        </w:rPr>
        <w:t>, da Constituição Federal2 e seu inciso V, bem</w:t>
      </w:r>
      <w:r>
        <w:rPr>
          <w:rFonts w:ascii="Arial" w:hAnsi="Arial" w:cs="Arial"/>
          <w:sz w:val="20"/>
          <w:szCs w:val="20"/>
        </w:rPr>
        <w:t xml:space="preserve"> </w:t>
      </w:r>
      <w:r w:rsidRPr="00517883">
        <w:rPr>
          <w:rFonts w:ascii="Arial" w:hAnsi="Arial" w:cs="Arial"/>
          <w:sz w:val="20"/>
          <w:szCs w:val="20"/>
        </w:rPr>
        <w:t>como o Prejulgado n.º 253 deste Tribunal de Contas, que prevê a necessidade da</w:t>
      </w:r>
      <w:r>
        <w:rPr>
          <w:rFonts w:ascii="Arial" w:hAnsi="Arial" w:cs="Arial"/>
          <w:sz w:val="20"/>
          <w:szCs w:val="20"/>
        </w:rPr>
        <w:t xml:space="preserve"> </w:t>
      </w:r>
      <w:r w:rsidRPr="00517883">
        <w:rPr>
          <w:rFonts w:ascii="Arial" w:hAnsi="Arial" w:cs="Arial"/>
          <w:sz w:val="20"/>
          <w:szCs w:val="20"/>
        </w:rPr>
        <w:t>edição de lei em sentido formal para a criação de cargos de provimento em comissão e</w:t>
      </w:r>
      <w:r>
        <w:rPr>
          <w:rFonts w:ascii="Arial" w:hAnsi="Arial" w:cs="Arial"/>
          <w:sz w:val="20"/>
          <w:szCs w:val="20"/>
        </w:rPr>
        <w:t xml:space="preserve"> </w:t>
      </w:r>
      <w:r w:rsidRPr="00517883">
        <w:rPr>
          <w:rFonts w:ascii="Arial" w:hAnsi="Arial" w:cs="Arial"/>
          <w:sz w:val="20"/>
          <w:szCs w:val="20"/>
        </w:rPr>
        <w:t>funções de confiança.</w:t>
      </w:r>
    </w:p>
    <w:p w14:paraId="23713FE6" w14:textId="77777777" w:rsidR="008C72F2" w:rsidRDefault="008C72F2" w:rsidP="00C831A3">
      <w:pPr>
        <w:autoSpaceDE w:val="0"/>
        <w:autoSpaceDN w:val="0"/>
        <w:adjustRightInd w:val="0"/>
        <w:spacing w:after="0"/>
        <w:jc w:val="both"/>
        <w:rPr>
          <w:rFonts w:ascii="Arial" w:hAnsi="Arial" w:cs="Arial"/>
          <w:sz w:val="20"/>
          <w:szCs w:val="20"/>
        </w:rPr>
      </w:pPr>
    </w:p>
    <w:p w14:paraId="4AAD2269" w14:textId="77777777" w:rsidR="008C72F2" w:rsidRPr="00517883" w:rsidRDefault="008C72F2" w:rsidP="00C831A3">
      <w:pPr>
        <w:autoSpaceDE w:val="0"/>
        <w:autoSpaceDN w:val="0"/>
        <w:adjustRightInd w:val="0"/>
        <w:spacing w:after="0"/>
        <w:jc w:val="both"/>
        <w:rPr>
          <w:rFonts w:ascii="Arial" w:hAnsi="Arial" w:cs="Arial"/>
          <w:sz w:val="20"/>
          <w:szCs w:val="20"/>
        </w:rPr>
      </w:pPr>
      <w:r w:rsidRPr="00517883">
        <w:rPr>
          <w:rFonts w:ascii="Arial" w:hAnsi="Arial" w:cs="Arial"/>
          <w:sz w:val="20"/>
          <w:szCs w:val="20"/>
        </w:rPr>
        <w:t>Assim, restando incontroverso o provimento dos apontados cargos em</w:t>
      </w:r>
      <w:r>
        <w:rPr>
          <w:rFonts w:ascii="Arial" w:hAnsi="Arial" w:cs="Arial"/>
          <w:sz w:val="20"/>
          <w:szCs w:val="20"/>
        </w:rPr>
        <w:t xml:space="preserve"> </w:t>
      </w:r>
      <w:r w:rsidRPr="00517883">
        <w:rPr>
          <w:rFonts w:ascii="Arial" w:hAnsi="Arial" w:cs="Arial"/>
          <w:sz w:val="20"/>
          <w:szCs w:val="20"/>
        </w:rPr>
        <w:t>comissão à margem da legalidade, em face da inexistência de sua criação, fica clara a</w:t>
      </w:r>
      <w:r>
        <w:rPr>
          <w:rFonts w:ascii="Arial" w:hAnsi="Arial" w:cs="Arial"/>
          <w:sz w:val="20"/>
          <w:szCs w:val="20"/>
        </w:rPr>
        <w:t xml:space="preserve"> </w:t>
      </w:r>
      <w:r w:rsidRPr="00517883">
        <w:rPr>
          <w:rFonts w:ascii="Arial" w:hAnsi="Arial" w:cs="Arial"/>
          <w:sz w:val="20"/>
          <w:szCs w:val="20"/>
        </w:rPr>
        <w:t>ofensa ao ordenamento jurídico, o que demanda a atuação punitiva desta Corte de</w:t>
      </w:r>
      <w:r>
        <w:rPr>
          <w:rFonts w:ascii="Arial" w:hAnsi="Arial" w:cs="Arial"/>
          <w:sz w:val="20"/>
          <w:szCs w:val="20"/>
        </w:rPr>
        <w:t xml:space="preserve"> </w:t>
      </w:r>
      <w:r w:rsidRPr="00517883">
        <w:rPr>
          <w:rFonts w:ascii="Arial" w:hAnsi="Arial" w:cs="Arial"/>
          <w:sz w:val="20"/>
          <w:szCs w:val="20"/>
        </w:rPr>
        <w:t>Cotas.</w:t>
      </w:r>
    </w:p>
    <w:p w14:paraId="6F0DF766" w14:textId="77777777" w:rsidR="008C72F2" w:rsidRDefault="008C72F2" w:rsidP="00C831A3">
      <w:pPr>
        <w:autoSpaceDE w:val="0"/>
        <w:autoSpaceDN w:val="0"/>
        <w:adjustRightInd w:val="0"/>
        <w:spacing w:after="0"/>
        <w:jc w:val="both"/>
        <w:rPr>
          <w:rFonts w:ascii="Arial" w:hAnsi="Arial" w:cs="Arial"/>
          <w:sz w:val="20"/>
          <w:szCs w:val="20"/>
        </w:rPr>
      </w:pPr>
    </w:p>
    <w:p w14:paraId="05D8FB6B" w14:textId="77777777" w:rsidR="008C72F2" w:rsidRDefault="008C72F2" w:rsidP="00C831A3">
      <w:pPr>
        <w:autoSpaceDE w:val="0"/>
        <w:autoSpaceDN w:val="0"/>
        <w:adjustRightInd w:val="0"/>
        <w:spacing w:after="0"/>
        <w:jc w:val="both"/>
        <w:rPr>
          <w:rFonts w:ascii="Arial" w:hAnsi="Arial" w:cs="Arial"/>
          <w:sz w:val="20"/>
          <w:szCs w:val="20"/>
        </w:rPr>
      </w:pPr>
      <w:r w:rsidRPr="00517883">
        <w:rPr>
          <w:rFonts w:ascii="Arial" w:hAnsi="Arial" w:cs="Arial"/>
          <w:sz w:val="20"/>
          <w:szCs w:val="20"/>
        </w:rPr>
        <w:lastRenderedPageBreak/>
        <w:t>Todavia, a conduta do gestor, diferentemente do que</w:t>
      </w:r>
      <w:r>
        <w:rPr>
          <w:rFonts w:ascii="Arial" w:hAnsi="Arial" w:cs="Arial"/>
          <w:sz w:val="20"/>
          <w:szCs w:val="20"/>
        </w:rPr>
        <w:t xml:space="preserve"> </w:t>
      </w:r>
      <w:r w:rsidRPr="00517883">
        <w:rPr>
          <w:rFonts w:ascii="Arial" w:hAnsi="Arial" w:cs="Arial"/>
          <w:sz w:val="20"/>
          <w:szCs w:val="20"/>
        </w:rPr>
        <w:t xml:space="preserve">aponta a unidade técnica e o </w:t>
      </w:r>
      <w:r w:rsidRPr="00517883">
        <w:rPr>
          <w:rFonts w:ascii="Arial,Italic" w:hAnsi="Arial,Italic" w:cs="Arial,Italic"/>
          <w:i/>
          <w:iCs/>
          <w:sz w:val="20"/>
          <w:szCs w:val="20"/>
        </w:rPr>
        <w:t>Parquet</w:t>
      </w:r>
      <w:r w:rsidRPr="00517883">
        <w:rPr>
          <w:rFonts w:ascii="Arial" w:hAnsi="Arial" w:cs="Arial"/>
          <w:sz w:val="20"/>
          <w:szCs w:val="20"/>
        </w:rPr>
        <w:t>, não se amolda às previsões</w:t>
      </w:r>
      <w:r>
        <w:rPr>
          <w:rFonts w:ascii="Arial" w:hAnsi="Arial" w:cs="Arial"/>
          <w:sz w:val="20"/>
          <w:szCs w:val="20"/>
        </w:rPr>
        <w:t xml:space="preserve"> </w:t>
      </w:r>
      <w:r w:rsidRPr="00517883">
        <w:rPr>
          <w:rFonts w:ascii="Arial" w:hAnsi="Arial" w:cs="Arial"/>
          <w:sz w:val="20"/>
          <w:szCs w:val="20"/>
        </w:rPr>
        <w:t>de aplicação das multas do artigo 87, V, “a”5 e artigo 87, II, “c” da Lei Complementar</w:t>
      </w:r>
      <w:r>
        <w:rPr>
          <w:rFonts w:ascii="Arial" w:hAnsi="Arial" w:cs="Arial"/>
          <w:sz w:val="20"/>
          <w:szCs w:val="20"/>
        </w:rPr>
        <w:t xml:space="preserve"> </w:t>
      </w:r>
      <w:r w:rsidRPr="00517883">
        <w:rPr>
          <w:rFonts w:ascii="Arial" w:hAnsi="Arial" w:cs="Arial"/>
          <w:sz w:val="20"/>
          <w:szCs w:val="20"/>
        </w:rPr>
        <w:t>Estadual n.º 113/2005 respectivamente. No primeiro caso, porque não restou</w:t>
      </w:r>
      <w:r>
        <w:rPr>
          <w:rFonts w:ascii="Arial" w:hAnsi="Arial" w:cs="Arial"/>
          <w:sz w:val="20"/>
          <w:szCs w:val="20"/>
        </w:rPr>
        <w:t xml:space="preserve"> </w:t>
      </w:r>
      <w:r w:rsidRPr="00517883">
        <w:rPr>
          <w:rFonts w:ascii="Arial" w:hAnsi="Arial" w:cs="Arial"/>
          <w:sz w:val="20"/>
          <w:szCs w:val="20"/>
        </w:rPr>
        <w:t>caracterizado tratar-se de subterfúgio para evitar a realização de seleção, e, no</w:t>
      </w:r>
      <w:r>
        <w:rPr>
          <w:rFonts w:ascii="Arial" w:hAnsi="Arial" w:cs="Arial"/>
          <w:sz w:val="20"/>
          <w:szCs w:val="20"/>
        </w:rPr>
        <w:t xml:space="preserve"> </w:t>
      </w:r>
      <w:r w:rsidRPr="00517883">
        <w:rPr>
          <w:rFonts w:ascii="Arial" w:hAnsi="Arial" w:cs="Arial"/>
          <w:sz w:val="20"/>
          <w:szCs w:val="20"/>
        </w:rPr>
        <w:t>segundo caso, porque não foi confirmado que as funções exercidas não seriam de</w:t>
      </w:r>
      <w:r>
        <w:rPr>
          <w:rFonts w:ascii="Arial" w:hAnsi="Arial" w:cs="Arial"/>
          <w:sz w:val="20"/>
          <w:szCs w:val="20"/>
        </w:rPr>
        <w:t xml:space="preserve"> </w:t>
      </w:r>
      <w:r w:rsidRPr="00517883">
        <w:rPr>
          <w:rFonts w:ascii="Arial" w:hAnsi="Arial" w:cs="Arial"/>
          <w:sz w:val="20"/>
          <w:szCs w:val="20"/>
        </w:rPr>
        <w:t xml:space="preserve">direção, chefia ou assessoramento. </w:t>
      </w:r>
    </w:p>
    <w:p w14:paraId="7031F8FB" w14:textId="77777777" w:rsidR="008C72F2" w:rsidRDefault="008C72F2" w:rsidP="00C831A3">
      <w:pPr>
        <w:autoSpaceDE w:val="0"/>
        <w:autoSpaceDN w:val="0"/>
        <w:adjustRightInd w:val="0"/>
        <w:spacing w:after="0"/>
        <w:jc w:val="both"/>
        <w:rPr>
          <w:rFonts w:ascii="Arial" w:hAnsi="Arial" w:cs="Arial"/>
          <w:sz w:val="20"/>
          <w:szCs w:val="20"/>
        </w:rPr>
      </w:pPr>
    </w:p>
    <w:p w14:paraId="4829AF77" w14:textId="77777777" w:rsidR="008C72F2" w:rsidRPr="00517883" w:rsidRDefault="008C72F2" w:rsidP="00C831A3">
      <w:pPr>
        <w:autoSpaceDE w:val="0"/>
        <w:autoSpaceDN w:val="0"/>
        <w:adjustRightInd w:val="0"/>
        <w:spacing w:after="0"/>
        <w:jc w:val="both"/>
        <w:rPr>
          <w:rFonts w:ascii="Arial" w:hAnsi="Arial" w:cs="Arial"/>
          <w:sz w:val="20"/>
          <w:szCs w:val="20"/>
        </w:rPr>
      </w:pPr>
      <w:r w:rsidRPr="00517883">
        <w:rPr>
          <w:rFonts w:ascii="Arial" w:hAnsi="Arial" w:cs="Arial"/>
          <w:sz w:val="20"/>
          <w:szCs w:val="20"/>
        </w:rPr>
        <w:t>Conquanto o Ministério Público de Contas deduza</w:t>
      </w:r>
      <w:r>
        <w:rPr>
          <w:rFonts w:ascii="Arial" w:hAnsi="Arial" w:cs="Arial"/>
          <w:sz w:val="20"/>
          <w:szCs w:val="20"/>
        </w:rPr>
        <w:t xml:space="preserve"> </w:t>
      </w:r>
      <w:r w:rsidRPr="00517883">
        <w:rPr>
          <w:rFonts w:ascii="Arial" w:hAnsi="Arial" w:cs="Arial"/>
          <w:sz w:val="20"/>
          <w:szCs w:val="20"/>
        </w:rPr>
        <w:t>que a inexistência legal dos cargos não permite aferir se os mesmos se enquadrariam</w:t>
      </w:r>
      <w:r>
        <w:rPr>
          <w:rFonts w:ascii="Arial" w:hAnsi="Arial" w:cs="Arial"/>
          <w:sz w:val="20"/>
          <w:szCs w:val="20"/>
        </w:rPr>
        <w:t xml:space="preserve"> </w:t>
      </w:r>
      <w:r w:rsidRPr="00517883">
        <w:rPr>
          <w:rFonts w:ascii="Arial" w:hAnsi="Arial" w:cs="Arial"/>
          <w:sz w:val="20"/>
          <w:szCs w:val="20"/>
        </w:rPr>
        <w:t>como cargos de direção, chefia ou assessoramento, te</w:t>
      </w:r>
      <w:r>
        <w:rPr>
          <w:rFonts w:ascii="Arial" w:hAnsi="Arial" w:cs="Arial"/>
          <w:sz w:val="20"/>
          <w:szCs w:val="20"/>
        </w:rPr>
        <w:t>m-se</w:t>
      </w:r>
      <w:r w:rsidRPr="00517883">
        <w:rPr>
          <w:rFonts w:ascii="Arial" w:hAnsi="Arial" w:cs="Arial"/>
          <w:sz w:val="20"/>
          <w:szCs w:val="20"/>
        </w:rPr>
        <w:t xml:space="preserve"> que o sancionamento deve</w:t>
      </w:r>
      <w:r>
        <w:rPr>
          <w:rFonts w:ascii="Arial" w:hAnsi="Arial" w:cs="Arial"/>
          <w:sz w:val="20"/>
          <w:szCs w:val="20"/>
        </w:rPr>
        <w:t xml:space="preserve"> </w:t>
      </w:r>
      <w:r w:rsidRPr="00517883">
        <w:rPr>
          <w:rFonts w:ascii="Arial" w:hAnsi="Arial" w:cs="Arial"/>
          <w:sz w:val="20"/>
          <w:szCs w:val="20"/>
        </w:rPr>
        <w:t>ocorrer justamente quanto ao fato de que houve a nomeação de pessoas para ocupar</w:t>
      </w:r>
      <w:r>
        <w:rPr>
          <w:rFonts w:ascii="Arial" w:hAnsi="Arial" w:cs="Arial"/>
          <w:sz w:val="20"/>
          <w:szCs w:val="20"/>
        </w:rPr>
        <w:t xml:space="preserve"> </w:t>
      </w:r>
      <w:r w:rsidRPr="00517883">
        <w:rPr>
          <w:rFonts w:ascii="Arial" w:hAnsi="Arial" w:cs="Arial"/>
          <w:sz w:val="20"/>
          <w:szCs w:val="20"/>
        </w:rPr>
        <w:t>cargos inexistentes. Nestes termos, a situação se amolda, de forma</w:t>
      </w:r>
      <w:r>
        <w:rPr>
          <w:rFonts w:ascii="Arial" w:hAnsi="Arial" w:cs="Arial"/>
          <w:sz w:val="20"/>
          <w:szCs w:val="20"/>
        </w:rPr>
        <w:t xml:space="preserve"> </w:t>
      </w:r>
      <w:r w:rsidRPr="00517883">
        <w:rPr>
          <w:rFonts w:ascii="Arial" w:hAnsi="Arial" w:cs="Arial"/>
          <w:sz w:val="20"/>
          <w:szCs w:val="20"/>
        </w:rPr>
        <w:t xml:space="preserve">residual, à hipótese do art. 87, IV, “g”, de forma que </w:t>
      </w:r>
      <w:proofErr w:type="gramStart"/>
      <w:r w:rsidRPr="00517883">
        <w:rPr>
          <w:rFonts w:ascii="Arial" w:hAnsi="Arial" w:cs="Arial"/>
          <w:sz w:val="20"/>
          <w:szCs w:val="20"/>
        </w:rPr>
        <w:t>prop</w:t>
      </w:r>
      <w:r>
        <w:rPr>
          <w:rFonts w:ascii="Arial" w:hAnsi="Arial" w:cs="Arial"/>
          <w:sz w:val="20"/>
          <w:szCs w:val="20"/>
        </w:rPr>
        <w:t>õe-se</w:t>
      </w:r>
      <w:proofErr w:type="gramEnd"/>
      <w:r w:rsidRPr="00517883">
        <w:rPr>
          <w:rFonts w:ascii="Arial" w:hAnsi="Arial" w:cs="Arial"/>
          <w:sz w:val="20"/>
          <w:szCs w:val="20"/>
        </w:rPr>
        <w:t xml:space="preserve"> a aplicação desta multa</w:t>
      </w:r>
      <w:r>
        <w:rPr>
          <w:rFonts w:ascii="Arial" w:hAnsi="Arial" w:cs="Arial"/>
          <w:sz w:val="20"/>
          <w:szCs w:val="20"/>
        </w:rPr>
        <w:t xml:space="preserve"> </w:t>
      </w:r>
      <w:r w:rsidRPr="00517883">
        <w:rPr>
          <w:rFonts w:ascii="Arial" w:hAnsi="Arial" w:cs="Arial"/>
          <w:sz w:val="20"/>
          <w:szCs w:val="20"/>
        </w:rPr>
        <w:t>somente uma vez, em atenção à teoria da continuidade delitiva na infração</w:t>
      </w:r>
      <w:r>
        <w:rPr>
          <w:rFonts w:ascii="Arial" w:hAnsi="Arial" w:cs="Arial"/>
          <w:sz w:val="20"/>
          <w:szCs w:val="20"/>
        </w:rPr>
        <w:t xml:space="preserve"> </w:t>
      </w:r>
      <w:r w:rsidRPr="00517883">
        <w:rPr>
          <w:rFonts w:ascii="Arial" w:hAnsi="Arial" w:cs="Arial"/>
          <w:sz w:val="20"/>
          <w:szCs w:val="20"/>
        </w:rPr>
        <w:t>administrativa, em linha com a jurisprudência deste Tribunal.</w:t>
      </w:r>
    </w:p>
    <w:p w14:paraId="023D52DC" w14:textId="77777777" w:rsidR="008C72F2" w:rsidRPr="0024040A" w:rsidRDefault="008C72F2" w:rsidP="00C831A3">
      <w:pPr>
        <w:autoSpaceDE w:val="0"/>
        <w:autoSpaceDN w:val="0"/>
        <w:adjustRightInd w:val="0"/>
        <w:spacing w:after="0"/>
        <w:jc w:val="both"/>
        <w:rPr>
          <w:rFonts w:ascii="Arial" w:hAnsi="Arial" w:cs="Arial"/>
          <w:sz w:val="24"/>
          <w:szCs w:val="24"/>
        </w:rPr>
      </w:pPr>
      <w:r w:rsidRPr="00517883">
        <w:rPr>
          <w:rFonts w:ascii="Arial" w:hAnsi="Arial" w:cs="Arial"/>
          <w:sz w:val="20"/>
          <w:szCs w:val="20"/>
        </w:rPr>
        <w:t xml:space="preserve">Por fim, assim como o </w:t>
      </w:r>
      <w:r w:rsidRPr="00517883">
        <w:rPr>
          <w:rFonts w:ascii="Arial,Italic" w:hAnsi="Arial,Italic" w:cs="Arial,Italic"/>
          <w:i/>
          <w:iCs/>
          <w:sz w:val="20"/>
          <w:szCs w:val="20"/>
        </w:rPr>
        <w:t>Parquet</w:t>
      </w:r>
      <w:r w:rsidRPr="00517883">
        <w:rPr>
          <w:rFonts w:ascii="Arial" w:hAnsi="Arial" w:cs="Arial"/>
          <w:sz w:val="20"/>
          <w:szCs w:val="20"/>
        </w:rPr>
        <w:t xml:space="preserve">, </w:t>
      </w:r>
      <w:r>
        <w:rPr>
          <w:rFonts w:ascii="Arial" w:hAnsi="Arial" w:cs="Arial"/>
          <w:sz w:val="20"/>
          <w:szCs w:val="20"/>
        </w:rPr>
        <w:t xml:space="preserve">entende-se </w:t>
      </w:r>
      <w:r w:rsidRPr="00517883">
        <w:rPr>
          <w:rFonts w:ascii="Arial" w:hAnsi="Arial" w:cs="Arial"/>
          <w:sz w:val="20"/>
          <w:szCs w:val="20"/>
        </w:rPr>
        <w:t>desnecessária a conversão do</w:t>
      </w:r>
      <w:r>
        <w:rPr>
          <w:rFonts w:ascii="Arial" w:hAnsi="Arial" w:cs="Arial"/>
          <w:sz w:val="20"/>
          <w:szCs w:val="20"/>
        </w:rPr>
        <w:t xml:space="preserve"> </w:t>
      </w:r>
      <w:r w:rsidRPr="00517883">
        <w:rPr>
          <w:rFonts w:ascii="Arial" w:hAnsi="Arial" w:cs="Arial"/>
          <w:sz w:val="20"/>
          <w:szCs w:val="20"/>
        </w:rPr>
        <w:t>presente feito em Tomada de Contas Extraordinária, por não ter restado devidamente</w:t>
      </w:r>
      <w:r>
        <w:rPr>
          <w:rFonts w:ascii="Arial" w:hAnsi="Arial" w:cs="Arial"/>
          <w:sz w:val="20"/>
          <w:szCs w:val="20"/>
        </w:rPr>
        <w:t xml:space="preserve"> </w:t>
      </w:r>
      <w:r w:rsidRPr="00517883">
        <w:rPr>
          <w:rFonts w:ascii="Arial" w:hAnsi="Arial" w:cs="Arial"/>
          <w:sz w:val="20"/>
          <w:szCs w:val="20"/>
        </w:rPr>
        <w:t>demonstrado nos autos que a conduta ilegal do gestor caracterizou prejuízo ao erário –</w:t>
      </w:r>
      <w:r>
        <w:rPr>
          <w:rFonts w:ascii="Arial" w:hAnsi="Arial" w:cs="Arial"/>
          <w:sz w:val="20"/>
          <w:szCs w:val="20"/>
        </w:rPr>
        <w:t xml:space="preserve"> </w:t>
      </w:r>
      <w:r w:rsidRPr="00517883">
        <w:rPr>
          <w:rFonts w:ascii="Arial" w:hAnsi="Arial" w:cs="Arial"/>
          <w:sz w:val="20"/>
          <w:szCs w:val="20"/>
        </w:rPr>
        <w:t>não constam dos autos indícios de que as atividades não tenham sido desempenhadas</w:t>
      </w:r>
      <w:r>
        <w:rPr>
          <w:rFonts w:ascii="Arial" w:hAnsi="Arial" w:cs="Arial"/>
          <w:sz w:val="20"/>
          <w:szCs w:val="20"/>
        </w:rPr>
        <w:t xml:space="preserve"> </w:t>
      </w:r>
      <w:r w:rsidRPr="00517883">
        <w:rPr>
          <w:rFonts w:ascii="Arial" w:hAnsi="Arial" w:cs="Arial"/>
          <w:sz w:val="20"/>
          <w:szCs w:val="20"/>
        </w:rPr>
        <w:t xml:space="preserve">pelas envolvidas – tem-se desatendido o prescrito no artigo 236, </w:t>
      </w:r>
      <w:r w:rsidRPr="00517883">
        <w:rPr>
          <w:rFonts w:ascii="Arial,Italic" w:hAnsi="Arial,Italic" w:cs="Arial,Italic"/>
          <w:i/>
          <w:iCs/>
          <w:sz w:val="20"/>
          <w:szCs w:val="20"/>
        </w:rPr>
        <w:t>caput, in fine</w:t>
      </w:r>
      <w:r w:rsidRPr="00517883">
        <w:rPr>
          <w:rFonts w:ascii="Arial" w:hAnsi="Arial" w:cs="Arial"/>
          <w:sz w:val="20"/>
          <w:szCs w:val="20"/>
        </w:rPr>
        <w:t>, do</w:t>
      </w:r>
      <w:r>
        <w:rPr>
          <w:rFonts w:ascii="Arial" w:hAnsi="Arial" w:cs="Arial"/>
          <w:sz w:val="20"/>
          <w:szCs w:val="20"/>
        </w:rPr>
        <w:t xml:space="preserve"> </w:t>
      </w:r>
      <w:r w:rsidRPr="00517883">
        <w:rPr>
          <w:rFonts w:ascii="Arial" w:hAnsi="Arial" w:cs="Arial"/>
          <w:sz w:val="20"/>
          <w:szCs w:val="20"/>
        </w:rPr>
        <w:t>Regimento Interno desta Corte, que trata das hipóteses de cabimento da medida</w:t>
      </w:r>
      <w:r>
        <w:rPr>
          <w:rFonts w:ascii="Arial" w:hAnsi="Arial" w:cs="Arial"/>
          <w:sz w:val="20"/>
          <w:szCs w:val="20"/>
        </w:rPr>
        <w:t xml:space="preserve"> </w:t>
      </w:r>
      <w:r w:rsidRPr="00517883">
        <w:rPr>
          <w:rFonts w:ascii="Arial" w:hAnsi="Arial" w:cs="Arial"/>
          <w:sz w:val="20"/>
          <w:szCs w:val="20"/>
        </w:rPr>
        <w:t>propugnada pela unidade técnica.</w:t>
      </w:r>
    </w:p>
    <w:p w14:paraId="05A0613F" w14:textId="77777777" w:rsidR="008C72F2" w:rsidRDefault="008C72F2" w:rsidP="00C831A3">
      <w:pPr>
        <w:autoSpaceDE w:val="0"/>
        <w:autoSpaceDN w:val="0"/>
        <w:adjustRightInd w:val="0"/>
        <w:spacing w:after="0"/>
        <w:jc w:val="both"/>
        <w:rPr>
          <w:rFonts w:ascii="Arial" w:hAnsi="Arial" w:cs="Arial"/>
          <w:b/>
          <w:sz w:val="20"/>
          <w:szCs w:val="20"/>
        </w:rPr>
      </w:pPr>
    </w:p>
    <w:p w14:paraId="74BF5E84" w14:textId="77777777" w:rsidR="008C72F2" w:rsidRPr="00230603" w:rsidRDefault="008C72F2"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858902/18</w:t>
      </w:r>
      <w:r w:rsidRPr="00230603">
        <w:rPr>
          <w:rFonts w:ascii="Arial" w:hAnsi="Arial" w:cs="Arial"/>
          <w:sz w:val="20"/>
          <w:szCs w:val="20"/>
        </w:rPr>
        <w:t xml:space="preserve"> –</w:t>
      </w:r>
      <w:hyperlink r:id="rId10" w:history="1">
        <w:r w:rsidRPr="00517883">
          <w:rPr>
            <w:rStyle w:val="Hyperlink"/>
            <w:rFonts w:ascii="Arial" w:hAnsi="Arial" w:cs="Arial"/>
            <w:sz w:val="20"/>
            <w:szCs w:val="20"/>
          </w:rPr>
          <w:t xml:space="preserve"> Acórdão nº 1635/19 – Primeira Câmara</w:t>
        </w:r>
      </w:hyperlink>
      <w:r w:rsidRPr="00230603">
        <w:rPr>
          <w:rFonts w:ascii="Arial" w:hAnsi="Arial" w:cs="Arial"/>
          <w:sz w:val="20"/>
          <w:szCs w:val="20"/>
        </w:rPr>
        <w:t xml:space="preserve"> - Relator </w:t>
      </w:r>
      <w:r>
        <w:rPr>
          <w:rFonts w:ascii="Arial" w:hAnsi="Arial" w:cs="Arial"/>
          <w:sz w:val="20"/>
          <w:szCs w:val="20"/>
        </w:rPr>
        <w:t>Auditor Thiago Barbosa Cordeiro</w:t>
      </w:r>
      <w:r w:rsidRPr="00230603">
        <w:rPr>
          <w:rFonts w:ascii="Arial" w:hAnsi="Arial" w:cs="Arial"/>
          <w:sz w:val="20"/>
          <w:szCs w:val="20"/>
        </w:rPr>
        <w:t>.</w:t>
      </w:r>
    </w:p>
    <w:p w14:paraId="655B0C68" w14:textId="77777777" w:rsidR="008C72F2" w:rsidRDefault="008C72F2" w:rsidP="00C831A3">
      <w:pPr>
        <w:autoSpaceDE w:val="0"/>
        <w:autoSpaceDN w:val="0"/>
        <w:adjustRightInd w:val="0"/>
        <w:spacing w:after="0"/>
        <w:jc w:val="both"/>
        <w:rPr>
          <w:rFonts w:ascii="Arial" w:hAnsi="Arial" w:cs="Arial"/>
          <w:b/>
          <w:sz w:val="20"/>
          <w:szCs w:val="20"/>
        </w:rPr>
      </w:pPr>
    </w:p>
    <w:p w14:paraId="70F7DDE6" w14:textId="77EB4F9D" w:rsidR="008C72F2"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4</w:t>
      </w:r>
      <w:r w:rsidRPr="00230603">
        <w:rPr>
          <w:rFonts w:ascii="Arial" w:hAnsi="Arial" w:cs="Arial"/>
          <w:b/>
          <w:sz w:val="20"/>
          <w:szCs w:val="20"/>
        </w:rPr>
        <w:t xml:space="preserve">. </w:t>
      </w:r>
      <w:r>
        <w:rPr>
          <w:rFonts w:ascii="Arial" w:hAnsi="Arial" w:cs="Arial"/>
          <w:b/>
          <w:sz w:val="20"/>
          <w:szCs w:val="20"/>
        </w:rPr>
        <w:t>Certidão Liberatória. Para fim de cálculo do índice constitucional de gastos com educação, é possível que sejam consideradas despesas efetuadas no exercício anterior sem cobertura financeira e quitadas nos três primeiros meses do exercício subsequente.</w:t>
      </w:r>
    </w:p>
    <w:p w14:paraId="7008C4E0" w14:textId="77777777" w:rsidR="008C72F2" w:rsidRDefault="008C72F2" w:rsidP="00C831A3">
      <w:pPr>
        <w:autoSpaceDE w:val="0"/>
        <w:autoSpaceDN w:val="0"/>
        <w:adjustRightInd w:val="0"/>
        <w:spacing w:after="0"/>
        <w:jc w:val="both"/>
        <w:rPr>
          <w:rFonts w:ascii="Arial" w:hAnsi="Arial" w:cs="Arial"/>
          <w:b/>
          <w:sz w:val="20"/>
          <w:szCs w:val="20"/>
        </w:rPr>
      </w:pPr>
    </w:p>
    <w:p w14:paraId="1B75BD30" w14:textId="77777777" w:rsidR="008C72F2" w:rsidRPr="009B091C" w:rsidRDefault="008C72F2" w:rsidP="00C831A3">
      <w:pPr>
        <w:autoSpaceDE w:val="0"/>
        <w:autoSpaceDN w:val="0"/>
        <w:adjustRightInd w:val="0"/>
        <w:spacing w:after="0"/>
        <w:jc w:val="both"/>
        <w:rPr>
          <w:rFonts w:ascii="Arial" w:hAnsi="Arial" w:cs="Arial"/>
          <w:sz w:val="20"/>
          <w:szCs w:val="20"/>
        </w:rPr>
      </w:pPr>
      <w:r w:rsidRPr="009B091C">
        <w:rPr>
          <w:rFonts w:ascii="Arial" w:hAnsi="Arial" w:cs="Arial"/>
          <w:sz w:val="20"/>
          <w:szCs w:val="20"/>
        </w:rPr>
        <w:t>O art. 21, da Lei 11.494/072, ao regulamentar o Fundo de Manutenção e Desenvolvimento da Educação Básica e de Valorização dos Profissionais da</w:t>
      </w:r>
      <w:r>
        <w:rPr>
          <w:rFonts w:ascii="Arial" w:hAnsi="Arial" w:cs="Arial"/>
          <w:sz w:val="20"/>
          <w:szCs w:val="20"/>
        </w:rPr>
        <w:t xml:space="preserve"> </w:t>
      </w:r>
      <w:r w:rsidRPr="009B091C">
        <w:rPr>
          <w:rFonts w:ascii="Arial" w:hAnsi="Arial" w:cs="Arial"/>
          <w:sz w:val="20"/>
          <w:szCs w:val="20"/>
        </w:rPr>
        <w:t>Educação (FUNDEB), prevê que 5% dos valores repassados em um exercício poderão</w:t>
      </w:r>
      <w:r>
        <w:rPr>
          <w:rFonts w:ascii="Arial" w:hAnsi="Arial" w:cs="Arial"/>
          <w:sz w:val="20"/>
          <w:szCs w:val="20"/>
        </w:rPr>
        <w:t xml:space="preserve"> </w:t>
      </w:r>
      <w:r w:rsidRPr="009B091C">
        <w:rPr>
          <w:rFonts w:ascii="Arial" w:hAnsi="Arial" w:cs="Arial"/>
          <w:sz w:val="20"/>
          <w:szCs w:val="20"/>
        </w:rPr>
        <w:t>ser aplicados no primeiro trimestre do exercício seguinte, mediante abertura de crédito adicional, cuja utilização depende da existência de recursos nos moldes previstos no</w:t>
      </w:r>
      <w:r>
        <w:rPr>
          <w:rFonts w:ascii="Arial" w:hAnsi="Arial" w:cs="Arial"/>
          <w:sz w:val="20"/>
          <w:szCs w:val="20"/>
        </w:rPr>
        <w:t xml:space="preserve"> </w:t>
      </w:r>
      <w:r w:rsidRPr="009B091C">
        <w:rPr>
          <w:rFonts w:ascii="Arial" w:hAnsi="Arial" w:cs="Arial"/>
          <w:sz w:val="20"/>
          <w:szCs w:val="20"/>
        </w:rPr>
        <w:t>art. 43, da Lei 4.320/643.</w:t>
      </w:r>
    </w:p>
    <w:p w14:paraId="0EE79F00" w14:textId="77777777" w:rsidR="008C72F2" w:rsidRDefault="008C72F2" w:rsidP="00C831A3">
      <w:pPr>
        <w:autoSpaceDE w:val="0"/>
        <w:autoSpaceDN w:val="0"/>
        <w:adjustRightInd w:val="0"/>
        <w:spacing w:after="0"/>
        <w:jc w:val="both"/>
        <w:rPr>
          <w:rFonts w:ascii="Arial" w:hAnsi="Arial" w:cs="Arial"/>
          <w:sz w:val="20"/>
          <w:szCs w:val="20"/>
        </w:rPr>
      </w:pPr>
    </w:p>
    <w:p w14:paraId="66CB7E31" w14:textId="77777777" w:rsidR="008C72F2" w:rsidRPr="009B091C" w:rsidRDefault="008C72F2" w:rsidP="00C831A3">
      <w:pPr>
        <w:autoSpaceDE w:val="0"/>
        <w:autoSpaceDN w:val="0"/>
        <w:adjustRightInd w:val="0"/>
        <w:spacing w:after="0"/>
        <w:jc w:val="both"/>
        <w:rPr>
          <w:rFonts w:ascii="Arial" w:hAnsi="Arial" w:cs="Arial"/>
          <w:sz w:val="20"/>
          <w:szCs w:val="20"/>
        </w:rPr>
      </w:pPr>
      <w:r w:rsidRPr="009B091C">
        <w:rPr>
          <w:rFonts w:ascii="Arial" w:hAnsi="Arial" w:cs="Arial"/>
          <w:sz w:val="20"/>
          <w:szCs w:val="20"/>
        </w:rPr>
        <w:t>Portanto, tal dispositivo regula matéria diversa da ora analisada, não</w:t>
      </w:r>
      <w:r>
        <w:rPr>
          <w:rFonts w:ascii="Arial" w:hAnsi="Arial" w:cs="Arial"/>
          <w:sz w:val="20"/>
          <w:szCs w:val="20"/>
        </w:rPr>
        <w:t xml:space="preserve"> </w:t>
      </w:r>
      <w:r w:rsidRPr="009B091C">
        <w:rPr>
          <w:rFonts w:ascii="Arial" w:hAnsi="Arial" w:cs="Arial"/>
          <w:sz w:val="20"/>
          <w:szCs w:val="20"/>
        </w:rPr>
        <w:t>podendo ser invocado como a norma a ser aplicada, mas apenas como possível</w:t>
      </w:r>
      <w:r>
        <w:rPr>
          <w:rFonts w:ascii="Arial" w:hAnsi="Arial" w:cs="Arial"/>
          <w:sz w:val="20"/>
          <w:szCs w:val="20"/>
        </w:rPr>
        <w:t xml:space="preserve"> </w:t>
      </w:r>
      <w:r w:rsidRPr="009B091C">
        <w:rPr>
          <w:rFonts w:ascii="Arial" w:hAnsi="Arial" w:cs="Arial"/>
          <w:sz w:val="20"/>
          <w:szCs w:val="20"/>
        </w:rPr>
        <w:t>paradigma para situações que apresentem alguma similaridade.</w:t>
      </w:r>
      <w:r>
        <w:rPr>
          <w:rFonts w:ascii="Arial" w:hAnsi="Arial" w:cs="Arial"/>
          <w:sz w:val="20"/>
          <w:szCs w:val="20"/>
        </w:rPr>
        <w:t xml:space="preserve"> </w:t>
      </w:r>
      <w:r w:rsidRPr="009B091C">
        <w:rPr>
          <w:rFonts w:ascii="Arial" w:hAnsi="Arial" w:cs="Arial"/>
          <w:sz w:val="20"/>
          <w:szCs w:val="20"/>
        </w:rPr>
        <w:t>Para apuração do índice constitucional de gastos com educação, a</w:t>
      </w:r>
      <w:r>
        <w:rPr>
          <w:rFonts w:ascii="Arial" w:hAnsi="Arial" w:cs="Arial"/>
          <w:sz w:val="20"/>
          <w:szCs w:val="20"/>
        </w:rPr>
        <w:t xml:space="preserve"> </w:t>
      </w:r>
      <w:r w:rsidRPr="009B091C">
        <w:rPr>
          <w:rFonts w:ascii="Arial" w:hAnsi="Arial" w:cs="Arial"/>
          <w:sz w:val="20"/>
          <w:szCs w:val="20"/>
        </w:rPr>
        <w:t>questão deve ser examinada pelo prisma do regime de competência, aplicável às</w:t>
      </w:r>
      <w:r>
        <w:rPr>
          <w:rFonts w:ascii="Arial" w:hAnsi="Arial" w:cs="Arial"/>
          <w:sz w:val="20"/>
          <w:szCs w:val="20"/>
        </w:rPr>
        <w:t xml:space="preserve"> </w:t>
      </w:r>
      <w:r w:rsidRPr="009B091C">
        <w:rPr>
          <w:rFonts w:ascii="Arial" w:hAnsi="Arial" w:cs="Arial"/>
          <w:sz w:val="20"/>
          <w:szCs w:val="20"/>
        </w:rPr>
        <w:t>despesas na contabilidade pública pátria, segundo o qual a apropriação deve ser</w:t>
      </w:r>
      <w:r>
        <w:rPr>
          <w:rFonts w:ascii="Arial" w:hAnsi="Arial" w:cs="Arial"/>
          <w:sz w:val="20"/>
          <w:szCs w:val="20"/>
        </w:rPr>
        <w:t xml:space="preserve"> </w:t>
      </w:r>
      <w:r w:rsidRPr="009B091C">
        <w:rPr>
          <w:rFonts w:ascii="Arial" w:hAnsi="Arial" w:cs="Arial"/>
          <w:sz w:val="20"/>
          <w:szCs w:val="20"/>
        </w:rPr>
        <w:t>efetuada quando da realização do fato gerador.</w:t>
      </w:r>
      <w:r>
        <w:rPr>
          <w:rFonts w:ascii="Arial" w:hAnsi="Arial" w:cs="Arial"/>
          <w:sz w:val="20"/>
          <w:szCs w:val="20"/>
        </w:rPr>
        <w:t xml:space="preserve"> </w:t>
      </w:r>
      <w:r w:rsidRPr="009B091C">
        <w:rPr>
          <w:rFonts w:ascii="Arial" w:hAnsi="Arial" w:cs="Arial"/>
          <w:sz w:val="20"/>
          <w:szCs w:val="20"/>
        </w:rPr>
        <w:t>E nem poderia ser diferente, afinal, se o objetivo do mandamento</w:t>
      </w:r>
      <w:r>
        <w:rPr>
          <w:rFonts w:ascii="Arial" w:hAnsi="Arial" w:cs="Arial"/>
          <w:sz w:val="20"/>
          <w:szCs w:val="20"/>
        </w:rPr>
        <w:t xml:space="preserve"> </w:t>
      </w:r>
      <w:r w:rsidRPr="009B091C">
        <w:rPr>
          <w:rFonts w:ascii="Arial" w:hAnsi="Arial" w:cs="Arial"/>
          <w:sz w:val="20"/>
          <w:szCs w:val="20"/>
        </w:rPr>
        <w:t>constitucional é garantir a aplicação de determinada quantia de recursos na área da</w:t>
      </w:r>
      <w:r>
        <w:rPr>
          <w:rFonts w:ascii="Arial" w:hAnsi="Arial" w:cs="Arial"/>
          <w:sz w:val="20"/>
          <w:szCs w:val="20"/>
        </w:rPr>
        <w:t xml:space="preserve"> </w:t>
      </w:r>
      <w:r w:rsidRPr="009B091C">
        <w:rPr>
          <w:rFonts w:ascii="Arial" w:hAnsi="Arial" w:cs="Arial"/>
          <w:sz w:val="20"/>
          <w:szCs w:val="20"/>
        </w:rPr>
        <w:t xml:space="preserve">educação </w:t>
      </w:r>
      <w:r w:rsidRPr="009B091C">
        <w:rPr>
          <w:rFonts w:ascii="Arial" w:hAnsi="Arial" w:cs="Arial"/>
          <w:sz w:val="20"/>
          <w:szCs w:val="20"/>
        </w:rPr>
        <w:lastRenderedPageBreak/>
        <w:t>em cada exercício, deve ser examinado em qual exercício foi efetivamente</w:t>
      </w:r>
      <w:r>
        <w:rPr>
          <w:rFonts w:ascii="Arial" w:hAnsi="Arial" w:cs="Arial"/>
          <w:sz w:val="20"/>
          <w:szCs w:val="20"/>
        </w:rPr>
        <w:t xml:space="preserve"> </w:t>
      </w:r>
      <w:r w:rsidRPr="009B091C">
        <w:rPr>
          <w:rFonts w:ascii="Arial" w:hAnsi="Arial" w:cs="Arial"/>
          <w:sz w:val="20"/>
          <w:szCs w:val="20"/>
        </w:rPr>
        <w:t>colhido o benefício do dispêndio.</w:t>
      </w:r>
    </w:p>
    <w:p w14:paraId="27B50AAC" w14:textId="77777777" w:rsidR="008C72F2" w:rsidRDefault="008C72F2" w:rsidP="00C831A3">
      <w:pPr>
        <w:autoSpaceDE w:val="0"/>
        <w:autoSpaceDN w:val="0"/>
        <w:adjustRightInd w:val="0"/>
        <w:spacing w:after="0"/>
        <w:jc w:val="both"/>
        <w:rPr>
          <w:rFonts w:ascii="Arial" w:hAnsi="Arial" w:cs="Arial"/>
          <w:sz w:val="20"/>
          <w:szCs w:val="20"/>
        </w:rPr>
      </w:pPr>
    </w:p>
    <w:p w14:paraId="67673F66" w14:textId="77777777" w:rsidR="008C72F2" w:rsidRPr="009B091C" w:rsidRDefault="008C72F2" w:rsidP="00C831A3">
      <w:pPr>
        <w:autoSpaceDE w:val="0"/>
        <w:autoSpaceDN w:val="0"/>
        <w:adjustRightInd w:val="0"/>
        <w:spacing w:after="0"/>
        <w:jc w:val="both"/>
        <w:rPr>
          <w:rFonts w:ascii="Arial" w:hAnsi="Arial" w:cs="Arial"/>
          <w:sz w:val="20"/>
          <w:szCs w:val="20"/>
        </w:rPr>
      </w:pPr>
      <w:r w:rsidRPr="009B091C">
        <w:rPr>
          <w:rFonts w:ascii="Arial" w:hAnsi="Arial" w:cs="Arial"/>
          <w:sz w:val="20"/>
          <w:szCs w:val="20"/>
        </w:rPr>
        <w:t xml:space="preserve">A </w:t>
      </w:r>
      <w:r>
        <w:rPr>
          <w:rFonts w:ascii="Arial" w:hAnsi="Arial" w:cs="Arial"/>
          <w:sz w:val="20"/>
          <w:szCs w:val="20"/>
        </w:rPr>
        <w:t xml:space="preserve">unidade técnica </w:t>
      </w:r>
      <w:r w:rsidRPr="009B091C">
        <w:rPr>
          <w:rFonts w:ascii="Arial" w:hAnsi="Arial" w:cs="Arial"/>
          <w:sz w:val="20"/>
          <w:szCs w:val="20"/>
        </w:rPr>
        <w:t>desconsidera os gastos, pois eles foram efetuados no exercício</w:t>
      </w:r>
      <w:r>
        <w:rPr>
          <w:rFonts w:ascii="Arial" w:hAnsi="Arial" w:cs="Arial"/>
          <w:sz w:val="20"/>
          <w:szCs w:val="20"/>
        </w:rPr>
        <w:t xml:space="preserve"> </w:t>
      </w:r>
      <w:r w:rsidRPr="009B091C">
        <w:rPr>
          <w:rFonts w:ascii="Arial" w:hAnsi="Arial" w:cs="Arial"/>
          <w:sz w:val="20"/>
          <w:szCs w:val="20"/>
        </w:rPr>
        <w:t>imediatamente anterior ao corrente sem a necessária cobertura financeira. Contudo,</w:t>
      </w:r>
      <w:r>
        <w:rPr>
          <w:rFonts w:ascii="Arial" w:hAnsi="Arial" w:cs="Arial"/>
          <w:sz w:val="20"/>
          <w:szCs w:val="20"/>
        </w:rPr>
        <w:t xml:space="preserve"> </w:t>
      </w:r>
      <w:r w:rsidRPr="009B091C">
        <w:rPr>
          <w:rFonts w:ascii="Arial" w:hAnsi="Arial" w:cs="Arial"/>
          <w:sz w:val="20"/>
          <w:szCs w:val="20"/>
        </w:rPr>
        <w:t>considerando o regime de competência aplicado às despesas públicas, tais dispêndios</w:t>
      </w:r>
      <w:r>
        <w:rPr>
          <w:rFonts w:ascii="Arial" w:hAnsi="Arial" w:cs="Arial"/>
          <w:sz w:val="20"/>
          <w:szCs w:val="20"/>
        </w:rPr>
        <w:t xml:space="preserve"> </w:t>
      </w:r>
      <w:r w:rsidRPr="009B091C">
        <w:rPr>
          <w:rFonts w:ascii="Arial" w:hAnsi="Arial" w:cs="Arial"/>
          <w:sz w:val="20"/>
          <w:szCs w:val="20"/>
        </w:rPr>
        <w:t>também não poderão ser computados no exercício em que foram pagos.</w:t>
      </w:r>
      <w:r>
        <w:rPr>
          <w:rFonts w:ascii="Arial" w:hAnsi="Arial" w:cs="Arial"/>
          <w:sz w:val="20"/>
          <w:szCs w:val="20"/>
        </w:rPr>
        <w:t xml:space="preserve"> </w:t>
      </w:r>
      <w:r w:rsidRPr="009B091C">
        <w:rPr>
          <w:rFonts w:ascii="Arial" w:hAnsi="Arial" w:cs="Arial"/>
          <w:sz w:val="20"/>
          <w:szCs w:val="20"/>
        </w:rPr>
        <w:t>Tal orientação acaba por criar uma situação facciosa, na qual,</w:t>
      </w:r>
      <w:r>
        <w:rPr>
          <w:rFonts w:ascii="Arial" w:hAnsi="Arial" w:cs="Arial"/>
          <w:sz w:val="20"/>
          <w:szCs w:val="20"/>
        </w:rPr>
        <w:t xml:space="preserve"> </w:t>
      </w:r>
      <w:r w:rsidRPr="009B091C">
        <w:rPr>
          <w:rFonts w:ascii="Arial" w:hAnsi="Arial" w:cs="Arial"/>
          <w:sz w:val="20"/>
          <w:szCs w:val="20"/>
        </w:rPr>
        <w:t>inobstante comprovadamente tenham sido realizados gastos para a área de educação,</w:t>
      </w:r>
      <w:r>
        <w:rPr>
          <w:rFonts w:ascii="Arial" w:hAnsi="Arial" w:cs="Arial"/>
          <w:sz w:val="20"/>
          <w:szCs w:val="20"/>
        </w:rPr>
        <w:t xml:space="preserve"> </w:t>
      </w:r>
      <w:r w:rsidRPr="00C831A3">
        <w:rPr>
          <w:rFonts w:ascii="Arial" w:hAnsi="Arial" w:cs="Arial"/>
          <w:sz w:val="20"/>
          <w:szCs w:val="20"/>
        </w:rPr>
        <w:t>eles não comporão o respectivo índice constitucional de nenhum exercício</w:t>
      </w:r>
      <w:r w:rsidRPr="009B091C">
        <w:rPr>
          <w:rFonts w:ascii="Arial" w:hAnsi="Arial" w:cs="Arial"/>
          <w:sz w:val="20"/>
          <w:szCs w:val="20"/>
        </w:rPr>
        <w:t>.</w:t>
      </w:r>
    </w:p>
    <w:p w14:paraId="7EF820DD" w14:textId="77777777" w:rsidR="008C72F2" w:rsidRDefault="008C72F2" w:rsidP="00C831A3">
      <w:pPr>
        <w:autoSpaceDE w:val="0"/>
        <w:autoSpaceDN w:val="0"/>
        <w:adjustRightInd w:val="0"/>
        <w:spacing w:after="0"/>
        <w:jc w:val="both"/>
        <w:rPr>
          <w:rFonts w:ascii="Arial" w:hAnsi="Arial" w:cs="Arial"/>
          <w:sz w:val="20"/>
          <w:szCs w:val="20"/>
        </w:rPr>
      </w:pPr>
    </w:p>
    <w:p w14:paraId="1011C54F" w14:textId="77777777" w:rsidR="008C72F2" w:rsidRPr="00C831A3" w:rsidRDefault="008C72F2" w:rsidP="00C831A3">
      <w:pPr>
        <w:autoSpaceDE w:val="0"/>
        <w:autoSpaceDN w:val="0"/>
        <w:adjustRightInd w:val="0"/>
        <w:spacing w:after="0"/>
        <w:jc w:val="both"/>
        <w:rPr>
          <w:rFonts w:ascii="Arial" w:hAnsi="Arial" w:cs="Arial"/>
          <w:sz w:val="20"/>
          <w:szCs w:val="20"/>
        </w:rPr>
      </w:pPr>
      <w:r w:rsidRPr="009B091C">
        <w:rPr>
          <w:rFonts w:ascii="Arial" w:hAnsi="Arial" w:cs="Arial"/>
          <w:sz w:val="20"/>
          <w:szCs w:val="20"/>
        </w:rPr>
        <w:t>Além disso, verifica-se que esse sistema é inconsistente, pois os restos</w:t>
      </w:r>
      <w:r>
        <w:rPr>
          <w:rFonts w:ascii="Arial" w:hAnsi="Arial" w:cs="Arial"/>
          <w:sz w:val="20"/>
          <w:szCs w:val="20"/>
        </w:rPr>
        <w:t xml:space="preserve"> </w:t>
      </w:r>
      <w:r w:rsidRPr="009B091C">
        <w:rPr>
          <w:rFonts w:ascii="Arial" w:hAnsi="Arial" w:cs="Arial"/>
          <w:sz w:val="20"/>
          <w:szCs w:val="20"/>
        </w:rPr>
        <w:t>a pagar de 2018 relativos a gastos com educação, caso cancelados, acabam sendo</w:t>
      </w:r>
      <w:r>
        <w:rPr>
          <w:rFonts w:ascii="Arial" w:hAnsi="Arial" w:cs="Arial"/>
          <w:sz w:val="20"/>
          <w:szCs w:val="20"/>
        </w:rPr>
        <w:t xml:space="preserve"> </w:t>
      </w:r>
      <w:r w:rsidRPr="009B091C">
        <w:rPr>
          <w:rFonts w:ascii="Arial" w:hAnsi="Arial" w:cs="Arial"/>
          <w:sz w:val="20"/>
          <w:szCs w:val="20"/>
        </w:rPr>
        <w:t xml:space="preserve">deduzidos do índice em 2019, de modo que, </w:t>
      </w:r>
      <w:r w:rsidRPr="00C831A3">
        <w:rPr>
          <w:rFonts w:ascii="Arial" w:hAnsi="Arial" w:cs="Arial"/>
          <w:sz w:val="20"/>
          <w:szCs w:val="20"/>
        </w:rPr>
        <w:t>mutatis mutandis</w:t>
      </w:r>
      <w:r w:rsidRPr="009B091C">
        <w:rPr>
          <w:rFonts w:ascii="Arial" w:hAnsi="Arial" w:cs="Arial"/>
          <w:sz w:val="20"/>
          <w:szCs w:val="20"/>
        </w:rPr>
        <w:t>, o que for pago em 2019</w:t>
      </w:r>
      <w:r>
        <w:rPr>
          <w:rFonts w:ascii="Arial" w:hAnsi="Arial" w:cs="Arial"/>
          <w:sz w:val="20"/>
          <w:szCs w:val="20"/>
        </w:rPr>
        <w:t xml:space="preserve"> </w:t>
      </w:r>
      <w:r w:rsidRPr="009B091C">
        <w:rPr>
          <w:rFonts w:ascii="Arial" w:hAnsi="Arial" w:cs="Arial"/>
          <w:sz w:val="20"/>
          <w:szCs w:val="20"/>
        </w:rPr>
        <w:t>também deve ser incluído nos cálculos referentes ao ano anterior.</w:t>
      </w:r>
      <w:r>
        <w:rPr>
          <w:rFonts w:ascii="Arial" w:hAnsi="Arial" w:cs="Arial"/>
          <w:sz w:val="20"/>
          <w:szCs w:val="20"/>
        </w:rPr>
        <w:t xml:space="preserve"> </w:t>
      </w:r>
      <w:r w:rsidRPr="00C831A3">
        <w:rPr>
          <w:rFonts w:ascii="Arial" w:hAnsi="Arial" w:cs="Arial"/>
          <w:sz w:val="20"/>
          <w:szCs w:val="20"/>
        </w:rPr>
        <w:t xml:space="preserve">In </w:t>
      </w:r>
      <w:proofErr w:type="spellStart"/>
      <w:r w:rsidRPr="00C831A3">
        <w:rPr>
          <w:rFonts w:ascii="Arial" w:hAnsi="Arial" w:cs="Arial"/>
          <w:sz w:val="20"/>
          <w:szCs w:val="20"/>
        </w:rPr>
        <w:t>casu</w:t>
      </w:r>
      <w:proofErr w:type="spellEnd"/>
      <w:r w:rsidRPr="009B091C">
        <w:rPr>
          <w:rFonts w:ascii="Arial" w:hAnsi="Arial" w:cs="Arial"/>
          <w:sz w:val="20"/>
          <w:szCs w:val="20"/>
        </w:rPr>
        <w:t>, contudo, não há como ser acolhido o pleito do Município.</w:t>
      </w:r>
      <w:r>
        <w:rPr>
          <w:rFonts w:ascii="Arial" w:hAnsi="Arial" w:cs="Arial"/>
          <w:sz w:val="20"/>
          <w:szCs w:val="20"/>
        </w:rPr>
        <w:t xml:space="preserve"> </w:t>
      </w:r>
      <w:r w:rsidRPr="009B091C">
        <w:rPr>
          <w:rFonts w:ascii="Arial" w:hAnsi="Arial" w:cs="Arial"/>
          <w:sz w:val="20"/>
          <w:szCs w:val="20"/>
        </w:rPr>
        <w:t>Primeiramente, observa-se que uma das alterações nos cálculos do</w:t>
      </w:r>
      <w:r>
        <w:rPr>
          <w:rFonts w:ascii="Arial" w:hAnsi="Arial" w:cs="Arial"/>
          <w:sz w:val="20"/>
          <w:szCs w:val="20"/>
        </w:rPr>
        <w:t xml:space="preserve"> </w:t>
      </w:r>
      <w:r w:rsidRPr="009B091C">
        <w:rPr>
          <w:rFonts w:ascii="Arial" w:hAnsi="Arial" w:cs="Arial"/>
          <w:sz w:val="20"/>
          <w:szCs w:val="20"/>
        </w:rPr>
        <w:t>índice está fundamentada em glosa em relação à qual não foram trazidos quaisquer</w:t>
      </w:r>
      <w:r>
        <w:rPr>
          <w:rFonts w:ascii="Arial" w:hAnsi="Arial" w:cs="Arial"/>
          <w:sz w:val="20"/>
          <w:szCs w:val="20"/>
        </w:rPr>
        <w:t xml:space="preserve"> </w:t>
      </w:r>
      <w:r w:rsidRPr="009B091C">
        <w:rPr>
          <w:rFonts w:ascii="Arial" w:hAnsi="Arial" w:cs="Arial"/>
          <w:sz w:val="20"/>
          <w:szCs w:val="20"/>
        </w:rPr>
        <w:t>dados para exame. Além disso, e mais importante, mesmo que homologados os</w:t>
      </w:r>
      <w:r>
        <w:rPr>
          <w:rFonts w:ascii="Arial" w:hAnsi="Arial" w:cs="Arial"/>
          <w:sz w:val="20"/>
          <w:szCs w:val="20"/>
        </w:rPr>
        <w:t xml:space="preserve"> </w:t>
      </w:r>
      <w:r w:rsidRPr="009B091C">
        <w:rPr>
          <w:rFonts w:ascii="Arial" w:hAnsi="Arial" w:cs="Arial"/>
          <w:sz w:val="20"/>
          <w:szCs w:val="20"/>
        </w:rPr>
        <w:t>cálculos apresentados (que indicam gastos com educação no patamar de 24,50%), não</w:t>
      </w:r>
      <w:r>
        <w:rPr>
          <w:rFonts w:ascii="Arial" w:hAnsi="Arial" w:cs="Arial"/>
          <w:sz w:val="20"/>
          <w:szCs w:val="20"/>
        </w:rPr>
        <w:t xml:space="preserve"> </w:t>
      </w:r>
      <w:r w:rsidRPr="009B091C">
        <w:rPr>
          <w:rFonts w:ascii="Arial" w:hAnsi="Arial" w:cs="Arial"/>
          <w:sz w:val="20"/>
          <w:szCs w:val="20"/>
        </w:rPr>
        <w:t>se cumpriria o respectivo mandamento constitucional.</w:t>
      </w:r>
    </w:p>
    <w:p w14:paraId="14CB2777" w14:textId="77777777" w:rsidR="008C72F2" w:rsidRDefault="008C72F2" w:rsidP="00C831A3">
      <w:pPr>
        <w:autoSpaceDE w:val="0"/>
        <w:autoSpaceDN w:val="0"/>
        <w:adjustRightInd w:val="0"/>
        <w:spacing w:after="0"/>
        <w:jc w:val="both"/>
        <w:rPr>
          <w:rFonts w:ascii="Arial" w:hAnsi="Arial" w:cs="Arial"/>
          <w:b/>
          <w:sz w:val="20"/>
          <w:szCs w:val="20"/>
        </w:rPr>
      </w:pPr>
    </w:p>
    <w:p w14:paraId="50B5C9CF" w14:textId="77777777" w:rsidR="008C72F2" w:rsidRPr="00230603" w:rsidRDefault="008C72F2"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358563/19</w:t>
      </w:r>
      <w:r w:rsidRPr="00230603">
        <w:rPr>
          <w:rFonts w:ascii="Arial" w:hAnsi="Arial" w:cs="Arial"/>
          <w:sz w:val="20"/>
          <w:szCs w:val="20"/>
        </w:rPr>
        <w:t xml:space="preserve"> –</w:t>
      </w:r>
      <w:hyperlink r:id="rId11" w:history="1">
        <w:r w:rsidRPr="00D037A4">
          <w:rPr>
            <w:rStyle w:val="Hyperlink"/>
            <w:rFonts w:ascii="Arial" w:hAnsi="Arial" w:cs="Arial"/>
            <w:sz w:val="20"/>
            <w:szCs w:val="20"/>
          </w:rPr>
          <w:t xml:space="preserve"> Acórdão nº 1630/19 – Primeira Câmara -</w:t>
        </w:r>
      </w:hyperlink>
      <w:r w:rsidRPr="00230603">
        <w:rPr>
          <w:rFonts w:ascii="Arial" w:hAnsi="Arial" w:cs="Arial"/>
          <w:sz w:val="20"/>
          <w:szCs w:val="20"/>
        </w:rPr>
        <w:t xml:space="preserve"> Relator </w:t>
      </w:r>
      <w:r>
        <w:rPr>
          <w:rFonts w:ascii="Arial" w:hAnsi="Arial" w:cs="Arial"/>
          <w:sz w:val="20"/>
          <w:szCs w:val="20"/>
        </w:rPr>
        <w:t>Conselheiro Fernando Augusto Mello Guimarães</w:t>
      </w:r>
      <w:r w:rsidRPr="00230603">
        <w:rPr>
          <w:rFonts w:ascii="Arial" w:hAnsi="Arial" w:cs="Arial"/>
          <w:sz w:val="20"/>
          <w:szCs w:val="20"/>
        </w:rPr>
        <w:t>.</w:t>
      </w:r>
    </w:p>
    <w:p w14:paraId="412E59BC" w14:textId="77777777" w:rsidR="006A0628" w:rsidRPr="00BE7ED0" w:rsidRDefault="006A0628" w:rsidP="00C831A3">
      <w:pPr>
        <w:autoSpaceDE w:val="0"/>
        <w:autoSpaceDN w:val="0"/>
        <w:adjustRightInd w:val="0"/>
        <w:spacing w:after="0"/>
        <w:jc w:val="both"/>
        <w:rPr>
          <w:rFonts w:ascii="Arial" w:hAnsi="Arial" w:cs="Arial"/>
          <w:sz w:val="20"/>
          <w:szCs w:val="20"/>
        </w:rPr>
      </w:pPr>
    </w:p>
    <w:p w14:paraId="5A295F03" w14:textId="77777777" w:rsidR="007C18E7" w:rsidRPr="00BE7ED0" w:rsidRDefault="007C18E7" w:rsidP="00C831A3">
      <w:pPr>
        <w:shd w:val="pct10" w:color="auto" w:fill="auto"/>
        <w:spacing w:after="0"/>
        <w:jc w:val="center"/>
        <w:rPr>
          <w:rFonts w:ascii="Arial" w:hAnsi="Arial" w:cs="Arial"/>
          <w:b/>
          <w:sz w:val="20"/>
          <w:szCs w:val="20"/>
        </w:rPr>
      </w:pPr>
      <w:r w:rsidRPr="00BE7ED0">
        <w:rPr>
          <w:rFonts w:ascii="Arial" w:hAnsi="Arial" w:cs="Arial"/>
          <w:b/>
          <w:sz w:val="20"/>
          <w:szCs w:val="20"/>
        </w:rPr>
        <w:t xml:space="preserve">SEGUNDA CÂMARA </w:t>
      </w:r>
    </w:p>
    <w:p w14:paraId="002EDED8" w14:textId="67CD1112" w:rsidR="007C18E7" w:rsidRDefault="007C18E7" w:rsidP="00C831A3">
      <w:pPr>
        <w:autoSpaceDE w:val="0"/>
        <w:autoSpaceDN w:val="0"/>
        <w:adjustRightInd w:val="0"/>
        <w:spacing w:after="0"/>
        <w:jc w:val="both"/>
        <w:rPr>
          <w:rFonts w:ascii="Arial" w:hAnsi="Arial" w:cs="Arial"/>
          <w:b/>
          <w:sz w:val="20"/>
          <w:szCs w:val="20"/>
        </w:rPr>
      </w:pPr>
    </w:p>
    <w:p w14:paraId="58F7EC46" w14:textId="33625FF6"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5</w:t>
      </w:r>
      <w:r w:rsidR="00E66EA0" w:rsidRPr="00C4057D">
        <w:rPr>
          <w:rFonts w:ascii="Arial" w:hAnsi="Arial" w:cs="Arial"/>
          <w:b/>
          <w:sz w:val="20"/>
          <w:szCs w:val="20"/>
        </w:rPr>
        <w:t>.</w:t>
      </w:r>
      <w:r w:rsidR="00E66EA0" w:rsidRPr="003626A0">
        <w:rPr>
          <w:rFonts w:ascii="Arial" w:hAnsi="Arial" w:cs="Arial"/>
          <w:b/>
          <w:sz w:val="20"/>
          <w:szCs w:val="20"/>
        </w:rPr>
        <w:t xml:space="preserve"> Ato de Inativação. Transposição de cargos. Reenquadramento. Pela legalidade do registro.</w:t>
      </w:r>
    </w:p>
    <w:p w14:paraId="3A300BDA" w14:textId="77777777" w:rsidR="00E66EA0" w:rsidRPr="00C831A3" w:rsidRDefault="00E66EA0" w:rsidP="00C831A3">
      <w:pPr>
        <w:autoSpaceDE w:val="0"/>
        <w:autoSpaceDN w:val="0"/>
        <w:adjustRightInd w:val="0"/>
        <w:spacing w:after="0"/>
        <w:jc w:val="both"/>
        <w:rPr>
          <w:rFonts w:ascii="Arial" w:hAnsi="Arial" w:cs="Arial"/>
          <w:sz w:val="20"/>
          <w:szCs w:val="20"/>
        </w:rPr>
      </w:pPr>
    </w:p>
    <w:p w14:paraId="60437C8A" w14:textId="77777777" w:rsidR="00E66EA0" w:rsidRPr="00C4057D" w:rsidRDefault="00E66EA0" w:rsidP="00C831A3">
      <w:pPr>
        <w:autoSpaceDE w:val="0"/>
        <w:autoSpaceDN w:val="0"/>
        <w:adjustRightInd w:val="0"/>
        <w:spacing w:after="0"/>
        <w:jc w:val="both"/>
        <w:rPr>
          <w:rFonts w:ascii="Arial" w:hAnsi="Arial" w:cs="Arial"/>
          <w:sz w:val="20"/>
          <w:szCs w:val="20"/>
        </w:rPr>
      </w:pPr>
      <w:r w:rsidRPr="00C4057D">
        <w:rPr>
          <w:rFonts w:ascii="Arial" w:hAnsi="Arial" w:cs="Arial"/>
          <w:sz w:val="20"/>
          <w:szCs w:val="20"/>
        </w:rPr>
        <w:t>Da análise do histórico funcional e da legislação que trata dos quadros da Assembleia Legislativa depreende-se que o reenquadramento realizado é legítimo, haja vista que a promoção da servidora ao cargo de Procurador, em 2003, ocorreu sob a vigência da atual Carta Magna, cuja disposição passou a vedar a transposição derivada de cargos públicos.</w:t>
      </w:r>
    </w:p>
    <w:p w14:paraId="180DABE0" w14:textId="77777777" w:rsidR="00E66EA0" w:rsidRPr="00C831A3" w:rsidRDefault="00E66EA0" w:rsidP="00C831A3">
      <w:pPr>
        <w:autoSpaceDE w:val="0"/>
        <w:autoSpaceDN w:val="0"/>
        <w:adjustRightInd w:val="0"/>
        <w:spacing w:after="0"/>
        <w:jc w:val="both"/>
        <w:rPr>
          <w:rFonts w:ascii="Arial" w:hAnsi="Arial" w:cs="Arial"/>
          <w:sz w:val="20"/>
          <w:szCs w:val="20"/>
        </w:rPr>
      </w:pPr>
    </w:p>
    <w:p w14:paraId="5F877FDF" w14:textId="7F9B665C" w:rsidR="00E66EA0" w:rsidRPr="00C4057D" w:rsidRDefault="00E66EA0" w:rsidP="00C831A3">
      <w:pPr>
        <w:autoSpaceDE w:val="0"/>
        <w:autoSpaceDN w:val="0"/>
        <w:adjustRightInd w:val="0"/>
        <w:spacing w:after="0"/>
        <w:jc w:val="both"/>
        <w:rPr>
          <w:rFonts w:ascii="Arial" w:hAnsi="Arial" w:cs="Arial"/>
          <w:sz w:val="20"/>
          <w:szCs w:val="20"/>
        </w:rPr>
      </w:pPr>
      <w:r w:rsidRPr="00C4057D">
        <w:rPr>
          <w:rFonts w:ascii="Arial" w:hAnsi="Arial" w:cs="Arial"/>
          <w:sz w:val="20"/>
          <w:szCs w:val="20"/>
        </w:rPr>
        <w:t>Conforme documentos constantes dos autos, em 1965 a servidora ingressou mediante o regime celetista nos quadros da Assembl</w:t>
      </w:r>
      <w:r w:rsidR="00C831A3">
        <w:rPr>
          <w:rFonts w:ascii="Arial" w:hAnsi="Arial" w:cs="Arial"/>
          <w:sz w:val="20"/>
          <w:szCs w:val="20"/>
        </w:rPr>
        <w:t>e</w:t>
      </w:r>
      <w:r w:rsidRPr="00C4057D">
        <w:rPr>
          <w:rFonts w:ascii="Arial" w:hAnsi="Arial" w:cs="Arial"/>
          <w:sz w:val="20"/>
          <w:szCs w:val="20"/>
        </w:rPr>
        <w:t>ia Legislativa do Paraná como Oficial Administrativo, tendo sido classificada em 1970 para o cargo de Advogado, após sua conclusão no curso de Direito. Em 02.01.1980 foi enquadrada como Assessor Legislativo e, em 29.06.1984, passou a exercer a função de Consultor Legislativo. Finalmente, galgou, por promoção, o cargo de Procurador, no qual foi inativada, tendo como base a Lei Estadual nº 8.425/86.</w:t>
      </w:r>
    </w:p>
    <w:p w14:paraId="6C41837F" w14:textId="77777777" w:rsidR="00E66EA0" w:rsidRPr="00C831A3" w:rsidRDefault="00E66EA0" w:rsidP="00C831A3">
      <w:pPr>
        <w:autoSpaceDE w:val="0"/>
        <w:autoSpaceDN w:val="0"/>
        <w:adjustRightInd w:val="0"/>
        <w:spacing w:after="0"/>
        <w:jc w:val="both"/>
        <w:rPr>
          <w:rFonts w:ascii="Arial" w:hAnsi="Arial" w:cs="Arial"/>
          <w:sz w:val="20"/>
          <w:szCs w:val="20"/>
        </w:rPr>
      </w:pPr>
    </w:p>
    <w:p w14:paraId="285E9826" w14:textId="77777777" w:rsidR="00E66EA0" w:rsidRDefault="00E66EA0" w:rsidP="00C831A3">
      <w:pPr>
        <w:autoSpaceDE w:val="0"/>
        <w:autoSpaceDN w:val="0"/>
        <w:adjustRightInd w:val="0"/>
        <w:spacing w:after="0"/>
        <w:jc w:val="both"/>
        <w:rPr>
          <w:rFonts w:ascii="Arial" w:hAnsi="Arial" w:cs="Arial"/>
          <w:sz w:val="20"/>
          <w:szCs w:val="20"/>
        </w:rPr>
      </w:pPr>
      <w:r w:rsidRPr="00C4057D">
        <w:rPr>
          <w:rFonts w:ascii="Arial" w:hAnsi="Arial" w:cs="Arial"/>
          <w:sz w:val="20"/>
          <w:szCs w:val="20"/>
        </w:rPr>
        <w:t xml:space="preserve">Quanto à incorporação da verba de representação, acompanho o opinativo da Coordenadoria de Gestão Estadual e do Ministério Público junto ao Tribunal de Contas - PR, para declarar a sua </w:t>
      </w:r>
      <w:r w:rsidRPr="00C4057D">
        <w:rPr>
          <w:rFonts w:ascii="Arial" w:hAnsi="Arial" w:cs="Arial"/>
          <w:sz w:val="20"/>
          <w:szCs w:val="20"/>
        </w:rPr>
        <w:lastRenderedPageBreak/>
        <w:t>legalidade, considerando que a questionada Lei Estadual nº 16.390/2010 goza de presunção de constitucionalidade.</w:t>
      </w:r>
    </w:p>
    <w:p w14:paraId="4FFFAAC4" w14:textId="77777777" w:rsidR="00E66EA0" w:rsidRPr="00C831A3" w:rsidRDefault="00E66EA0" w:rsidP="00C831A3">
      <w:pPr>
        <w:autoSpaceDE w:val="0"/>
        <w:autoSpaceDN w:val="0"/>
        <w:adjustRightInd w:val="0"/>
        <w:spacing w:after="0"/>
        <w:jc w:val="both"/>
        <w:rPr>
          <w:rFonts w:ascii="Arial" w:hAnsi="Arial" w:cs="Arial"/>
          <w:sz w:val="20"/>
          <w:szCs w:val="20"/>
        </w:rPr>
      </w:pPr>
    </w:p>
    <w:p w14:paraId="1E470D8D" w14:textId="77777777" w:rsidR="00E66EA0" w:rsidRPr="00C831A3" w:rsidRDefault="00E66EA0" w:rsidP="00C831A3">
      <w:pPr>
        <w:autoSpaceDE w:val="0"/>
        <w:autoSpaceDN w:val="0"/>
        <w:adjustRightInd w:val="0"/>
        <w:spacing w:after="0"/>
        <w:jc w:val="both"/>
        <w:rPr>
          <w:rFonts w:ascii="Arial" w:hAnsi="Arial" w:cs="Arial"/>
          <w:sz w:val="20"/>
          <w:szCs w:val="20"/>
        </w:rPr>
      </w:pPr>
      <w:r w:rsidRPr="00C4057D">
        <w:rPr>
          <w:rFonts w:ascii="Arial" w:hAnsi="Arial" w:cs="Arial"/>
          <w:sz w:val="20"/>
          <w:szCs w:val="20"/>
        </w:rPr>
        <w:t>Neste caminho, concernente aos processos de inativação e pensão envolvendo servidores da ALEP, esta Corte de Contas firmou entendimento</w:t>
      </w:r>
      <w:r>
        <w:rPr>
          <w:rFonts w:ascii="Arial" w:hAnsi="Arial" w:cs="Arial"/>
          <w:sz w:val="20"/>
          <w:szCs w:val="20"/>
        </w:rPr>
        <w:t xml:space="preserve"> </w:t>
      </w:r>
      <w:r w:rsidRPr="00C4057D">
        <w:rPr>
          <w:rFonts w:ascii="Arial" w:hAnsi="Arial" w:cs="Arial"/>
          <w:sz w:val="20"/>
          <w:szCs w:val="20"/>
        </w:rPr>
        <w:t>no sentido de conceder o registro, considerando que a Ação Direta de Inconstitucionalidade ADI 4814, que questiona a Lei Estadual nº 16.390/2010, não foi julgada até o momento, somando-se ao fato de não ter sido concedida liminar suspendendo os seus efeitos.</w:t>
      </w:r>
    </w:p>
    <w:p w14:paraId="6D0BF280" w14:textId="77777777" w:rsidR="00E66EA0" w:rsidRPr="008D462D" w:rsidRDefault="00E66EA0" w:rsidP="00C831A3">
      <w:pPr>
        <w:autoSpaceDE w:val="0"/>
        <w:autoSpaceDN w:val="0"/>
        <w:adjustRightInd w:val="0"/>
        <w:spacing w:after="0"/>
        <w:jc w:val="both"/>
        <w:rPr>
          <w:rFonts w:ascii="Arial" w:hAnsi="Arial" w:cs="Arial"/>
          <w:b/>
          <w:sz w:val="20"/>
          <w:szCs w:val="20"/>
        </w:rPr>
      </w:pPr>
    </w:p>
    <w:p w14:paraId="7E631CE5" w14:textId="03E1CDFB" w:rsidR="00E66EA0" w:rsidRDefault="00E66EA0" w:rsidP="00C831A3">
      <w:pPr>
        <w:autoSpaceDE w:val="0"/>
        <w:autoSpaceDN w:val="0"/>
        <w:adjustRightInd w:val="0"/>
        <w:spacing w:after="0"/>
        <w:jc w:val="both"/>
        <w:rPr>
          <w:rFonts w:ascii="Arial" w:hAnsi="Arial" w:cs="Arial"/>
          <w:sz w:val="20"/>
          <w:szCs w:val="20"/>
        </w:rPr>
      </w:pPr>
      <w:r w:rsidRPr="00C4057D">
        <w:rPr>
          <w:rFonts w:ascii="Arial" w:hAnsi="Arial" w:cs="Arial"/>
          <w:sz w:val="20"/>
          <w:szCs w:val="20"/>
        </w:rPr>
        <w:t xml:space="preserve">Processo nº 490262/04 – </w:t>
      </w:r>
      <w:hyperlink r:id="rId12" w:history="1">
        <w:r w:rsidRPr="00C4057D">
          <w:rPr>
            <w:rStyle w:val="Hyperlink"/>
            <w:rFonts w:ascii="Arial" w:hAnsi="Arial" w:cs="Arial"/>
            <w:sz w:val="20"/>
            <w:szCs w:val="20"/>
          </w:rPr>
          <w:t>Acórdão nº 1656/19 – Segunda Câmara</w:t>
        </w:r>
        <w:r>
          <w:rPr>
            <w:rStyle w:val="Hyperlink"/>
            <w:rFonts w:ascii="Arial" w:hAnsi="Arial" w:cs="Arial"/>
            <w:sz w:val="20"/>
            <w:szCs w:val="20"/>
          </w:rPr>
          <w:t xml:space="preserve"> </w:t>
        </w:r>
        <w:r w:rsidRPr="00C4057D">
          <w:rPr>
            <w:rStyle w:val="Hyperlink"/>
            <w:rFonts w:ascii="Arial" w:hAnsi="Arial" w:cs="Arial"/>
            <w:sz w:val="20"/>
            <w:szCs w:val="20"/>
          </w:rPr>
          <w:t>-</w:t>
        </w:r>
      </w:hyperlink>
      <w:r w:rsidRPr="00C4057D">
        <w:rPr>
          <w:rFonts w:ascii="Arial" w:hAnsi="Arial" w:cs="Arial"/>
          <w:sz w:val="20"/>
          <w:szCs w:val="20"/>
        </w:rPr>
        <w:t xml:space="preserve"> Relator Conselheiro </w:t>
      </w:r>
      <w:proofErr w:type="spellStart"/>
      <w:r w:rsidRPr="00C4057D">
        <w:rPr>
          <w:rFonts w:ascii="Arial" w:hAnsi="Arial" w:cs="Arial"/>
          <w:sz w:val="20"/>
          <w:szCs w:val="20"/>
        </w:rPr>
        <w:t>Artagão</w:t>
      </w:r>
      <w:proofErr w:type="spellEnd"/>
      <w:r w:rsidRPr="00C4057D">
        <w:rPr>
          <w:rFonts w:ascii="Arial" w:hAnsi="Arial" w:cs="Arial"/>
          <w:sz w:val="20"/>
          <w:szCs w:val="20"/>
        </w:rPr>
        <w:t xml:space="preserve"> de Mattos Leão.</w:t>
      </w:r>
    </w:p>
    <w:p w14:paraId="5A232A18" w14:textId="77777777" w:rsidR="003319D0" w:rsidRPr="00BE7ED0" w:rsidRDefault="003319D0" w:rsidP="00C831A3">
      <w:pPr>
        <w:autoSpaceDE w:val="0"/>
        <w:autoSpaceDN w:val="0"/>
        <w:adjustRightInd w:val="0"/>
        <w:spacing w:after="0"/>
        <w:jc w:val="both"/>
        <w:rPr>
          <w:rFonts w:ascii="Arial" w:hAnsi="Arial" w:cs="Arial"/>
          <w:b/>
          <w:sz w:val="20"/>
          <w:szCs w:val="20"/>
          <w:highlight w:val="yellow"/>
        </w:rPr>
      </w:pPr>
    </w:p>
    <w:p w14:paraId="544ABA9D" w14:textId="77777777" w:rsidR="007C18E7" w:rsidRPr="00BE7ED0" w:rsidRDefault="007C18E7" w:rsidP="00C831A3">
      <w:pPr>
        <w:shd w:val="pct10" w:color="auto" w:fill="auto"/>
        <w:spacing w:after="0"/>
        <w:jc w:val="center"/>
        <w:rPr>
          <w:rFonts w:ascii="Arial" w:hAnsi="Arial" w:cs="Arial"/>
          <w:b/>
          <w:sz w:val="20"/>
          <w:szCs w:val="20"/>
        </w:rPr>
      </w:pPr>
      <w:r w:rsidRPr="00BE7ED0">
        <w:rPr>
          <w:rFonts w:ascii="Arial" w:hAnsi="Arial" w:cs="Arial"/>
          <w:b/>
          <w:sz w:val="20"/>
          <w:szCs w:val="20"/>
        </w:rPr>
        <w:t>TRIBUNAL PLENO</w:t>
      </w:r>
    </w:p>
    <w:p w14:paraId="51E60262" w14:textId="6E7ECAD0" w:rsidR="007C18E7" w:rsidRDefault="007C18E7" w:rsidP="00C831A3">
      <w:pPr>
        <w:autoSpaceDE w:val="0"/>
        <w:autoSpaceDN w:val="0"/>
        <w:adjustRightInd w:val="0"/>
        <w:spacing w:after="0"/>
        <w:jc w:val="both"/>
        <w:rPr>
          <w:rFonts w:ascii="Arial" w:hAnsi="Arial" w:cs="Arial"/>
          <w:sz w:val="20"/>
          <w:szCs w:val="20"/>
        </w:rPr>
      </w:pPr>
    </w:p>
    <w:p w14:paraId="563EFEF8" w14:textId="378B2AF8" w:rsidR="004D10CC"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E129F7">
        <w:rPr>
          <w:rFonts w:ascii="Arial" w:hAnsi="Arial" w:cs="Arial"/>
          <w:b/>
          <w:sz w:val="20"/>
          <w:szCs w:val="20"/>
        </w:rPr>
        <w:t xml:space="preserve">. </w:t>
      </w:r>
      <w:r w:rsidR="004D10CC" w:rsidRPr="004D10CC">
        <w:rPr>
          <w:rFonts w:ascii="Arial" w:hAnsi="Arial" w:cs="Arial"/>
          <w:b/>
          <w:sz w:val="20"/>
          <w:szCs w:val="20"/>
        </w:rPr>
        <w:t>Consulta. Remuneração de Procurador Municipal. Honorários de sucumbência. Inovação do Código de Processo Civil, prevendo a possibilidade de regulamentação legal de atribuição dessa verba aos advogados públicos.</w:t>
      </w:r>
    </w:p>
    <w:p w14:paraId="240864A7" w14:textId="77777777" w:rsidR="004D10CC" w:rsidRPr="004D10CC" w:rsidRDefault="004D10CC" w:rsidP="00C831A3">
      <w:pPr>
        <w:autoSpaceDE w:val="0"/>
        <w:autoSpaceDN w:val="0"/>
        <w:adjustRightInd w:val="0"/>
        <w:spacing w:after="0"/>
        <w:jc w:val="both"/>
        <w:rPr>
          <w:rFonts w:ascii="Arial" w:hAnsi="Arial" w:cs="Arial"/>
          <w:sz w:val="20"/>
          <w:szCs w:val="20"/>
        </w:rPr>
      </w:pPr>
    </w:p>
    <w:p w14:paraId="51A495E6" w14:textId="77777777" w:rsidR="004D10CC" w:rsidRPr="004D10CC" w:rsidRDefault="004D10CC" w:rsidP="00C831A3">
      <w:pPr>
        <w:autoSpaceDE w:val="0"/>
        <w:autoSpaceDN w:val="0"/>
        <w:adjustRightInd w:val="0"/>
        <w:spacing w:after="0"/>
        <w:jc w:val="both"/>
        <w:rPr>
          <w:rFonts w:ascii="Arial" w:hAnsi="Arial" w:cs="Arial"/>
          <w:sz w:val="20"/>
          <w:szCs w:val="20"/>
        </w:rPr>
      </w:pPr>
      <w:r w:rsidRPr="004D10CC">
        <w:rPr>
          <w:rFonts w:ascii="Arial" w:hAnsi="Arial" w:cs="Arial"/>
          <w:sz w:val="20"/>
          <w:szCs w:val="20"/>
        </w:rPr>
        <w:t>De acordo com a tese fixada pelo Supremo Tribunal Federal no julgamento do RE n. 663.696/MG, de repercussão geral, a remuneração dos procuradores municipais encontra-se submetida ao teto dos Desembargadores do Tribunal de Justiça, que equivale a noventa inteiros e vinte e cinco centésimos por cento do subsídio mensal, em espécie, dos Ministros do Supremo Tribunal Federal.</w:t>
      </w:r>
    </w:p>
    <w:p w14:paraId="0C2630AD" w14:textId="77777777" w:rsidR="00633D2D" w:rsidRDefault="00633D2D" w:rsidP="00C831A3">
      <w:pPr>
        <w:autoSpaceDE w:val="0"/>
        <w:autoSpaceDN w:val="0"/>
        <w:adjustRightInd w:val="0"/>
        <w:spacing w:after="0"/>
        <w:jc w:val="both"/>
        <w:rPr>
          <w:rFonts w:ascii="Arial" w:hAnsi="Arial" w:cs="Arial"/>
          <w:sz w:val="20"/>
          <w:szCs w:val="20"/>
        </w:rPr>
      </w:pPr>
    </w:p>
    <w:p w14:paraId="2AE36F9E" w14:textId="3B56CDE9" w:rsidR="004D10CC" w:rsidRPr="004D10CC" w:rsidRDefault="004D10CC" w:rsidP="00C831A3">
      <w:pPr>
        <w:autoSpaceDE w:val="0"/>
        <w:autoSpaceDN w:val="0"/>
        <w:adjustRightInd w:val="0"/>
        <w:spacing w:after="0"/>
        <w:jc w:val="both"/>
        <w:rPr>
          <w:rFonts w:ascii="Arial" w:hAnsi="Arial" w:cs="Arial"/>
          <w:sz w:val="20"/>
          <w:szCs w:val="20"/>
        </w:rPr>
      </w:pPr>
      <w:r w:rsidRPr="004D10CC">
        <w:rPr>
          <w:rFonts w:ascii="Arial" w:hAnsi="Arial" w:cs="Arial"/>
          <w:sz w:val="20"/>
          <w:szCs w:val="20"/>
        </w:rPr>
        <w:t>A remuneração dos Procuradores Municipais deve ser fixada por meio de subsídio.</w:t>
      </w:r>
    </w:p>
    <w:p w14:paraId="1423C55A" w14:textId="77777777" w:rsidR="00633D2D" w:rsidRDefault="00633D2D" w:rsidP="00C831A3">
      <w:pPr>
        <w:autoSpaceDE w:val="0"/>
        <w:autoSpaceDN w:val="0"/>
        <w:adjustRightInd w:val="0"/>
        <w:spacing w:after="0"/>
        <w:jc w:val="both"/>
        <w:rPr>
          <w:rFonts w:ascii="Arial" w:hAnsi="Arial" w:cs="Arial"/>
          <w:sz w:val="20"/>
          <w:szCs w:val="20"/>
        </w:rPr>
      </w:pPr>
    </w:p>
    <w:p w14:paraId="2D6549BB" w14:textId="223631DE" w:rsidR="004D10CC" w:rsidRPr="004D10CC" w:rsidRDefault="004D10CC" w:rsidP="00C831A3">
      <w:pPr>
        <w:autoSpaceDE w:val="0"/>
        <w:autoSpaceDN w:val="0"/>
        <w:adjustRightInd w:val="0"/>
        <w:spacing w:after="0"/>
        <w:jc w:val="both"/>
        <w:rPr>
          <w:rFonts w:ascii="Arial" w:hAnsi="Arial" w:cs="Arial"/>
          <w:sz w:val="20"/>
          <w:szCs w:val="20"/>
        </w:rPr>
      </w:pPr>
      <w:r w:rsidRPr="004D10CC">
        <w:rPr>
          <w:rFonts w:ascii="Arial" w:hAnsi="Arial" w:cs="Arial"/>
          <w:sz w:val="20"/>
          <w:szCs w:val="20"/>
        </w:rPr>
        <w:t>Se a lei de regulamentação do cargo assim dispuser, os Procuradores Municipais têm direito à percepção da verba honorária de sucumbência, mesmo nas carreiras nas quais tenha sido instituído o subsídio como forma de remuneração.</w:t>
      </w:r>
    </w:p>
    <w:p w14:paraId="43275523" w14:textId="77777777" w:rsidR="003F5DEE" w:rsidRDefault="003F5DEE" w:rsidP="00C831A3">
      <w:pPr>
        <w:autoSpaceDE w:val="0"/>
        <w:autoSpaceDN w:val="0"/>
        <w:adjustRightInd w:val="0"/>
        <w:spacing w:after="0"/>
        <w:jc w:val="both"/>
        <w:rPr>
          <w:rFonts w:ascii="Arial" w:hAnsi="Arial" w:cs="Arial"/>
          <w:sz w:val="20"/>
          <w:szCs w:val="20"/>
        </w:rPr>
      </w:pPr>
    </w:p>
    <w:p w14:paraId="588056C2" w14:textId="08EE556A" w:rsidR="004D10CC" w:rsidRPr="00454F62" w:rsidRDefault="004D10CC" w:rsidP="00C831A3">
      <w:pPr>
        <w:autoSpaceDE w:val="0"/>
        <w:autoSpaceDN w:val="0"/>
        <w:adjustRightInd w:val="0"/>
        <w:spacing w:after="0"/>
        <w:jc w:val="both"/>
        <w:rPr>
          <w:rFonts w:ascii="Arial" w:hAnsi="Arial" w:cs="Arial"/>
          <w:sz w:val="20"/>
          <w:szCs w:val="20"/>
        </w:rPr>
      </w:pPr>
      <w:r w:rsidRPr="00454F62">
        <w:rPr>
          <w:rFonts w:ascii="Arial" w:hAnsi="Arial" w:cs="Arial"/>
          <w:sz w:val="20"/>
          <w:szCs w:val="20"/>
        </w:rPr>
        <w:t xml:space="preserve">Processo nº </w:t>
      </w:r>
      <w:r>
        <w:rPr>
          <w:rFonts w:ascii="Arial" w:hAnsi="Arial" w:cs="Arial"/>
          <w:sz w:val="20"/>
          <w:szCs w:val="20"/>
        </w:rPr>
        <w:t>81588</w:t>
      </w:r>
      <w:r w:rsidRPr="00454F62">
        <w:rPr>
          <w:rFonts w:ascii="Arial" w:hAnsi="Arial" w:cs="Arial"/>
          <w:sz w:val="20"/>
          <w:szCs w:val="20"/>
        </w:rPr>
        <w:t>/1</w:t>
      </w:r>
      <w:r>
        <w:rPr>
          <w:rFonts w:ascii="Arial" w:hAnsi="Arial" w:cs="Arial"/>
          <w:sz w:val="20"/>
          <w:szCs w:val="20"/>
        </w:rPr>
        <w:t>7</w:t>
      </w:r>
      <w:r w:rsidRPr="00454F62">
        <w:rPr>
          <w:rFonts w:ascii="Arial" w:hAnsi="Arial" w:cs="Arial"/>
          <w:sz w:val="20"/>
          <w:szCs w:val="20"/>
        </w:rPr>
        <w:t xml:space="preserve">– </w:t>
      </w:r>
      <w:hyperlink r:id="rId13" w:history="1">
        <w:r w:rsidRPr="002F0E59">
          <w:rPr>
            <w:rStyle w:val="Hyperlink"/>
            <w:rFonts w:ascii="Arial" w:hAnsi="Arial" w:cs="Arial"/>
            <w:sz w:val="20"/>
            <w:szCs w:val="20"/>
          </w:rPr>
          <w:t>Acórdão nº 1457/19 – Tribunal Pleno</w:t>
        </w:r>
      </w:hyperlink>
      <w:r w:rsidR="002F0E59">
        <w:rPr>
          <w:rFonts w:ascii="Arial" w:hAnsi="Arial" w:cs="Arial"/>
          <w:sz w:val="20"/>
          <w:szCs w:val="20"/>
        </w:rPr>
        <w:t xml:space="preserve"> </w:t>
      </w:r>
      <w:r w:rsidRPr="004D10CC">
        <w:rPr>
          <w:rFonts w:ascii="Arial" w:hAnsi="Arial" w:cs="Arial"/>
          <w:sz w:val="20"/>
          <w:szCs w:val="20"/>
        </w:rPr>
        <w:t xml:space="preserve">- </w:t>
      </w:r>
      <w:r w:rsidRPr="00454F62">
        <w:rPr>
          <w:rFonts w:ascii="Arial" w:hAnsi="Arial" w:cs="Arial"/>
          <w:sz w:val="20"/>
          <w:szCs w:val="20"/>
        </w:rPr>
        <w:t xml:space="preserve">Relator Conselheiro </w:t>
      </w:r>
      <w:r w:rsidRPr="004D10CC">
        <w:rPr>
          <w:rFonts w:ascii="Arial" w:hAnsi="Arial" w:cs="Arial"/>
          <w:sz w:val="20"/>
          <w:szCs w:val="20"/>
        </w:rPr>
        <w:t>Fernando Augusto Mello Guimarães</w:t>
      </w:r>
      <w:r w:rsidRPr="00454F62">
        <w:rPr>
          <w:rFonts w:ascii="Arial" w:hAnsi="Arial" w:cs="Arial"/>
          <w:sz w:val="20"/>
          <w:szCs w:val="20"/>
        </w:rPr>
        <w:t>.</w:t>
      </w:r>
    </w:p>
    <w:p w14:paraId="6A556AF2" w14:textId="00B442D0" w:rsidR="004D10CC" w:rsidRDefault="004D10CC" w:rsidP="00C831A3">
      <w:pPr>
        <w:autoSpaceDE w:val="0"/>
        <w:autoSpaceDN w:val="0"/>
        <w:adjustRightInd w:val="0"/>
        <w:spacing w:after="0"/>
        <w:jc w:val="both"/>
        <w:rPr>
          <w:rFonts w:ascii="Arial" w:hAnsi="Arial" w:cs="Arial"/>
          <w:b/>
          <w:sz w:val="20"/>
          <w:szCs w:val="20"/>
        </w:rPr>
      </w:pPr>
    </w:p>
    <w:p w14:paraId="4CF784FB" w14:textId="1772E640"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E66EA0" w:rsidRPr="00230603">
        <w:rPr>
          <w:rFonts w:ascii="Arial" w:hAnsi="Arial" w:cs="Arial"/>
          <w:b/>
          <w:sz w:val="20"/>
          <w:szCs w:val="20"/>
        </w:rPr>
        <w:t xml:space="preserve">. </w:t>
      </w:r>
      <w:r w:rsidR="00E66EA0">
        <w:rPr>
          <w:rFonts w:ascii="Arial" w:hAnsi="Arial" w:cs="Arial"/>
          <w:b/>
          <w:sz w:val="20"/>
          <w:szCs w:val="20"/>
        </w:rPr>
        <w:t>Representação. Contratação de serviços jurídicos e contábeis. Irregularidade. Aplicação de multa ao Gestor e ao Parecerista.</w:t>
      </w:r>
    </w:p>
    <w:p w14:paraId="4EB57403" w14:textId="77777777" w:rsidR="00E66EA0" w:rsidRPr="00230603" w:rsidRDefault="00E66EA0" w:rsidP="00C831A3">
      <w:pPr>
        <w:autoSpaceDE w:val="0"/>
        <w:autoSpaceDN w:val="0"/>
        <w:adjustRightInd w:val="0"/>
        <w:spacing w:after="0"/>
        <w:jc w:val="both"/>
        <w:rPr>
          <w:rFonts w:ascii="Arial" w:hAnsi="Arial" w:cs="Arial"/>
          <w:b/>
          <w:sz w:val="20"/>
          <w:szCs w:val="20"/>
        </w:rPr>
      </w:pPr>
    </w:p>
    <w:p w14:paraId="22308756" w14:textId="77777777" w:rsidR="00E66EA0" w:rsidRPr="00C831A3" w:rsidRDefault="00E66EA0" w:rsidP="00C831A3">
      <w:pPr>
        <w:autoSpaceDE w:val="0"/>
        <w:autoSpaceDN w:val="0"/>
        <w:adjustRightInd w:val="0"/>
        <w:spacing w:after="0"/>
        <w:jc w:val="both"/>
        <w:rPr>
          <w:rFonts w:ascii="Arial" w:hAnsi="Arial" w:cs="Arial"/>
          <w:sz w:val="20"/>
          <w:szCs w:val="20"/>
        </w:rPr>
      </w:pPr>
      <w:r>
        <w:rPr>
          <w:rFonts w:ascii="Arial" w:hAnsi="Arial" w:cs="Arial"/>
          <w:sz w:val="20"/>
          <w:szCs w:val="20"/>
        </w:rPr>
        <w:t>C</w:t>
      </w:r>
      <w:r w:rsidRPr="003E6B1F">
        <w:rPr>
          <w:rFonts w:ascii="Arial" w:hAnsi="Arial" w:cs="Arial"/>
          <w:sz w:val="20"/>
          <w:szCs w:val="20"/>
        </w:rPr>
        <w:t>omo bem lançado no Acórdão n.º 1341/19, de</w:t>
      </w:r>
      <w:r>
        <w:rPr>
          <w:rFonts w:ascii="Arial" w:hAnsi="Arial" w:cs="Arial"/>
          <w:sz w:val="20"/>
          <w:szCs w:val="20"/>
        </w:rPr>
        <w:t xml:space="preserve"> </w:t>
      </w:r>
      <w:r w:rsidRPr="003E6B1F">
        <w:rPr>
          <w:rFonts w:ascii="Arial" w:hAnsi="Arial" w:cs="Arial"/>
          <w:sz w:val="20"/>
          <w:szCs w:val="20"/>
        </w:rPr>
        <w:t>relatoria do Cons. Ivan Bonilha, quando tratou das questões envolvendo</w:t>
      </w:r>
      <w:r>
        <w:rPr>
          <w:rFonts w:ascii="Arial" w:hAnsi="Arial" w:cs="Arial"/>
          <w:sz w:val="20"/>
          <w:szCs w:val="20"/>
        </w:rPr>
        <w:t xml:space="preserve"> </w:t>
      </w:r>
      <w:r w:rsidRPr="003E6B1F">
        <w:rPr>
          <w:rFonts w:ascii="Arial" w:hAnsi="Arial" w:cs="Arial"/>
          <w:sz w:val="20"/>
          <w:szCs w:val="20"/>
        </w:rPr>
        <w:t>indevida terceirização de serviços públicos e a atuação do</w:t>
      </w:r>
      <w:r>
        <w:rPr>
          <w:rFonts w:ascii="Arial" w:hAnsi="Arial" w:cs="Arial"/>
          <w:sz w:val="20"/>
          <w:szCs w:val="20"/>
        </w:rPr>
        <w:t xml:space="preserve"> p</w:t>
      </w:r>
      <w:r w:rsidRPr="003E6B1F">
        <w:rPr>
          <w:rFonts w:ascii="Arial" w:hAnsi="Arial" w:cs="Arial"/>
          <w:sz w:val="20"/>
          <w:szCs w:val="20"/>
        </w:rPr>
        <w:t xml:space="preserve">arecerista, </w:t>
      </w:r>
      <w:r w:rsidRPr="00C831A3">
        <w:rPr>
          <w:rFonts w:ascii="Arial" w:hAnsi="Arial" w:cs="Arial"/>
          <w:sz w:val="20"/>
          <w:szCs w:val="20"/>
        </w:rPr>
        <w:t>“a vedação legal, neste caso, é bastante clara e de aplicação direta, tendo inclusive constado do edital do certame, de modo que caberia ao parecerista tê-la observado.”</w:t>
      </w:r>
    </w:p>
    <w:p w14:paraId="3AC4A577" w14:textId="77777777" w:rsidR="00E66EA0" w:rsidRPr="00C831A3" w:rsidRDefault="00E66EA0" w:rsidP="00C831A3">
      <w:pPr>
        <w:autoSpaceDE w:val="0"/>
        <w:autoSpaceDN w:val="0"/>
        <w:adjustRightInd w:val="0"/>
        <w:spacing w:after="0"/>
        <w:jc w:val="both"/>
        <w:rPr>
          <w:rFonts w:ascii="Arial" w:hAnsi="Arial" w:cs="Arial"/>
          <w:sz w:val="20"/>
          <w:szCs w:val="20"/>
        </w:rPr>
      </w:pPr>
    </w:p>
    <w:p w14:paraId="250C9B0D" w14:textId="77777777" w:rsidR="00E66EA0" w:rsidRPr="003E6B1F" w:rsidRDefault="00E66EA0" w:rsidP="00C831A3">
      <w:pPr>
        <w:autoSpaceDE w:val="0"/>
        <w:autoSpaceDN w:val="0"/>
        <w:adjustRightInd w:val="0"/>
        <w:spacing w:after="0"/>
        <w:jc w:val="both"/>
        <w:rPr>
          <w:rFonts w:ascii="Arial" w:hAnsi="Arial" w:cs="Arial"/>
          <w:sz w:val="20"/>
          <w:szCs w:val="20"/>
        </w:rPr>
      </w:pPr>
      <w:r w:rsidRPr="003E6B1F">
        <w:rPr>
          <w:rFonts w:ascii="Arial" w:hAnsi="Arial" w:cs="Arial"/>
          <w:sz w:val="20"/>
          <w:szCs w:val="20"/>
        </w:rPr>
        <w:lastRenderedPageBreak/>
        <w:t>Nestas circunstâncias, sendo flagrante a vedação</w:t>
      </w:r>
      <w:r>
        <w:rPr>
          <w:rFonts w:ascii="Arial" w:hAnsi="Arial" w:cs="Arial"/>
          <w:sz w:val="20"/>
          <w:szCs w:val="20"/>
        </w:rPr>
        <w:t xml:space="preserve"> </w:t>
      </w:r>
      <w:r w:rsidRPr="003E6B1F">
        <w:rPr>
          <w:rFonts w:ascii="Arial" w:hAnsi="Arial" w:cs="Arial"/>
          <w:sz w:val="20"/>
          <w:szCs w:val="20"/>
        </w:rPr>
        <w:t>constitucional a substituição de mão de obra com atividades finalistas,</w:t>
      </w:r>
      <w:r>
        <w:rPr>
          <w:rFonts w:ascii="Arial" w:hAnsi="Arial" w:cs="Arial"/>
          <w:sz w:val="20"/>
          <w:szCs w:val="20"/>
        </w:rPr>
        <w:t xml:space="preserve"> </w:t>
      </w:r>
      <w:r w:rsidRPr="003E6B1F">
        <w:rPr>
          <w:rFonts w:ascii="Arial" w:hAnsi="Arial" w:cs="Arial"/>
          <w:sz w:val="20"/>
          <w:szCs w:val="20"/>
        </w:rPr>
        <w:t>mediante burla ao concurso público, cabe a responsabilização</w:t>
      </w:r>
      <w:r>
        <w:rPr>
          <w:rFonts w:ascii="Arial" w:hAnsi="Arial" w:cs="Arial"/>
          <w:sz w:val="20"/>
          <w:szCs w:val="20"/>
        </w:rPr>
        <w:t xml:space="preserve"> </w:t>
      </w:r>
      <w:r w:rsidRPr="003E6B1F">
        <w:rPr>
          <w:rFonts w:ascii="Arial" w:hAnsi="Arial" w:cs="Arial"/>
          <w:sz w:val="20"/>
          <w:szCs w:val="20"/>
        </w:rPr>
        <w:t>do profissional parecerista, diante da existência de vício de dolo, erro</w:t>
      </w:r>
      <w:r>
        <w:rPr>
          <w:rFonts w:ascii="Arial" w:hAnsi="Arial" w:cs="Arial"/>
          <w:sz w:val="20"/>
          <w:szCs w:val="20"/>
        </w:rPr>
        <w:t xml:space="preserve"> </w:t>
      </w:r>
      <w:r w:rsidRPr="003E6B1F">
        <w:rPr>
          <w:rFonts w:ascii="Arial" w:hAnsi="Arial" w:cs="Arial"/>
          <w:sz w:val="20"/>
          <w:szCs w:val="20"/>
        </w:rPr>
        <w:t>grosseiro ou fraude, não alertada pela peça vinculante.</w:t>
      </w:r>
    </w:p>
    <w:p w14:paraId="6FA50CE0" w14:textId="77777777" w:rsidR="00E66EA0" w:rsidRPr="00FC38A5" w:rsidRDefault="00E66EA0" w:rsidP="00C831A3">
      <w:pPr>
        <w:autoSpaceDE w:val="0"/>
        <w:autoSpaceDN w:val="0"/>
        <w:adjustRightInd w:val="0"/>
        <w:spacing w:after="0"/>
        <w:jc w:val="both"/>
        <w:rPr>
          <w:rFonts w:ascii="Arial" w:hAnsi="Arial" w:cs="Arial"/>
          <w:sz w:val="20"/>
          <w:szCs w:val="20"/>
        </w:rPr>
      </w:pPr>
    </w:p>
    <w:p w14:paraId="29EBCE55" w14:textId="77777777" w:rsidR="00E66EA0" w:rsidRPr="00230603" w:rsidRDefault="00E66EA0"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896983/17</w:t>
      </w:r>
      <w:r w:rsidRPr="00230603">
        <w:rPr>
          <w:rFonts w:ascii="Arial" w:hAnsi="Arial" w:cs="Arial"/>
          <w:sz w:val="20"/>
          <w:szCs w:val="20"/>
        </w:rPr>
        <w:t xml:space="preserve"> – </w:t>
      </w:r>
      <w:hyperlink r:id="rId14" w:history="1">
        <w:r w:rsidRPr="003E6B1F">
          <w:rPr>
            <w:rStyle w:val="Hyperlink"/>
            <w:rFonts w:ascii="Arial" w:hAnsi="Arial" w:cs="Arial"/>
            <w:sz w:val="20"/>
            <w:szCs w:val="20"/>
          </w:rPr>
          <w:t>Acórdão nº 1598/19 – Tribunal Pleno</w:t>
        </w:r>
      </w:hyperlink>
      <w:r w:rsidRPr="00230603">
        <w:rPr>
          <w:rFonts w:ascii="Arial" w:hAnsi="Arial" w:cs="Arial"/>
          <w:sz w:val="20"/>
          <w:szCs w:val="20"/>
        </w:rPr>
        <w:t xml:space="preserve"> - Relator </w:t>
      </w:r>
      <w:r>
        <w:rPr>
          <w:rFonts w:ascii="Arial" w:hAnsi="Arial" w:cs="Arial"/>
          <w:sz w:val="20"/>
          <w:szCs w:val="20"/>
        </w:rPr>
        <w:t xml:space="preserve">Conselheiro </w:t>
      </w:r>
      <w:proofErr w:type="spellStart"/>
      <w:r>
        <w:rPr>
          <w:rFonts w:ascii="Arial" w:hAnsi="Arial" w:cs="Arial"/>
          <w:sz w:val="20"/>
          <w:szCs w:val="20"/>
        </w:rPr>
        <w:t>Artagão</w:t>
      </w:r>
      <w:proofErr w:type="spellEnd"/>
      <w:r>
        <w:rPr>
          <w:rFonts w:ascii="Arial" w:hAnsi="Arial" w:cs="Arial"/>
          <w:sz w:val="20"/>
          <w:szCs w:val="20"/>
        </w:rPr>
        <w:t xml:space="preserve"> de Mattos Leão.</w:t>
      </w:r>
    </w:p>
    <w:p w14:paraId="56576E84" w14:textId="77777777" w:rsidR="00E66EA0" w:rsidRDefault="00E66EA0" w:rsidP="00C831A3">
      <w:pPr>
        <w:autoSpaceDE w:val="0"/>
        <w:autoSpaceDN w:val="0"/>
        <w:adjustRightInd w:val="0"/>
        <w:spacing w:after="0"/>
        <w:jc w:val="both"/>
        <w:rPr>
          <w:rFonts w:ascii="Arial" w:hAnsi="Arial" w:cs="Arial"/>
          <w:sz w:val="20"/>
          <w:szCs w:val="20"/>
        </w:rPr>
      </w:pPr>
    </w:p>
    <w:p w14:paraId="73379D69" w14:textId="1B83C3BD"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E66EA0" w:rsidRPr="00230603">
        <w:rPr>
          <w:rFonts w:ascii="Arial" w:hAnsi="Arial" w:cs="Arial"/>
          <w:b/>
          <w:sz w:val="20"/>
          <w:szCs w:val="20"/>
        </w:rPr>
        <w:t xml:space="preserve">. </w:t>
      </w:r>
      <w:r w:rsidR="00E66EA0">
        <w:rPr>
          <w:rFonts w:ascii="Arial" w:hAnsi="Arial" w:cs="Arial"/>
          <w:b/>
          <w:sz w:val="20"/>
          <w:szCs w:val="20"/>
        </w:rPr>
        <w:t>Possibilidade de exclusão de despesas com terceirização de serviços médicos não incluídos na atenção básica à saúde do cálculo do limite de despesas com pessoal do Poder Executivo Municipal. Precedentes.</w:t>
      </w:r>
    </w:p>
    <w:p w14:paraId="379EAEB8" w14:textId="77777777" w:rsidR="00E66EA0" w:rsidRPr="00230603" w:rsidRDefault="00E66EA0" w:rsidP="00C831A3">
      <w:pPr>
        <w:autoSpaceDE w:val="0"/>
        <w:autoSpaceDN w:val="0"/>
        <w:adjustRightInd w:val="0"/>
        <w:spacing w:after="0"/>
        <w:jc w:val="both"/>
        <w:rPr>
          <w:rFonts w:ascii="Arial" w:hAnsi="Arial" w:cs="Arial"/>
          <w:b/>
          <w:sz w:val="20"/>
          <w:szCs w:val="20"/>
        </w:rPr>
      </w:pPr>
    </w:p>
    <w:p w14:paraId="5DA1A022" w14:textId="77777777" w:rsidR="00E66EA0" w:rsidRPr="00F16961" w:rsidRDefault="00E66EA0" w:rsidP="00C831A3">
      <w:pPr>
        <w:autoSpaceDE w:val="0"/>
        <w:autoSpaceDN w:val="0"/>
        <w:adjustRightInd w:val="0"/>
        <w:spacing w:after="0"/>
        <w:jc w:val="both"/>
        <w:rPr>
          <w:rFonts w:ascii="Arial" w:hAnsi="Arial" w:cs="Arial"/>
          <w:sz w:val="20"/>
          <w:szCs w:val="20"/>
        </w:rPr>
      </w:pPr>
      <w:r>
        <w:rPr>
          <w:rFonts w:ascii="Arial" w:hAnsi="Arial" w:cs="Arial"/>
          <w:sz w:val="20"/>
          <w:szCs w:val="20"/>
        </w:rPr>
        <w:t>A</w:t>
      </w:r>
      <w:r w:rsidRPr="00F16961">
        <w:rPr>
          <w:rFonts w:ascii="Arial" w:hAnsi="Arial" w:cs="Arial"/>
          <w:sz w:val="20"/>
          <w:szCs w:val="20"/>
        </w:rPr>
        <w:t xml:space="preserve"> Lei 8.080/90 dispõe sobre as condições para a</w:t>
      </w:r>
      <w:r>
        <w:rPr>
          <w:rFonts w:ascii="Arial" w:hAnsi="Arial" w:cs="Arial"/>
          <w:sz w:val="20"/>
          <w:szCs w:val="20"/>
        </w:rPr>
        <w:t xml:space="preserve"> </w:t>
      </w:r>
      <w:r w:rsidRPr="00F16961">
        <w:rPr>
          <w:rFonts w:ascii="Arial" w:hAnsi="Arial" w:cs="Arial"/>
          <w:sz w:val="20"/>
          <w:szCs w:val="20"/>
        </w:rPr>
        <w:t>promoção, proteção e recuperação da saúde, a organização e o funcionamento dos</w:t>
      </w:r>
      <w:r>
        <w:rPr>
          <w:rFonts w:ascii="Arial" w:hAnsi="Arial" w:cs="Arial"/>
          <w:sz w:val="20"/>
          <w:szCs w:val="20"/>
        </w:rPr>
        <w:t xml:space="preserve"> </w:t>
      </w:r>
      <w:r w:rsidRPr="00F16961">
        <w:rPr>
          <w:rFonts w:ascii="Arial" w:hAnsi="Arial" w:cs="Arial"/>
          <w:sz w:val="20"/>
          <w:szCs w:val="20"/>
        </w:rPr>
        <w:t>serviços correspondentes, prevendo as atribuições e competências da União,</w:t>
      </w:r>
      <w:r>
        <w:rPr>
          <w:rFonts w:ascii="Arial" w:hAnsi="Arial" w:cs="Arial"/>
          <w:sz w:val="20"/>
          <w:szCs w:val="20"/>
        </w:rPr>
        <w:t xml:space="preserve"> </w:t>
      </w:r>
      <w:r w:rsidRPr="00F16961">
        <w:rPr>
          <w:rFonts w:ascii="Arial" w:hAnsi="Arial" w:cs="Arial"/>
          <w:sz w:val="20"/>
          <w:szCs w:val="20"/>
        </w:rPr>
        <w:t>Estados, Distrito Federal e Municípios quanto aos serviços de saúde pública.</w:t>
      </w:r>
    </w:p>
    <w:p w14:paraId="1C8929A5" w14:textId="77777777" w:rsidR="00E66EA0" w:rsidRDefault="00E66EA0" w:rsidP="00C831A3">
      <w:pPr>
        <w:autoSpaceDE w:val="0"/>
        <w:autoSpaceDN w:val="0"/>
        <w:adjustRightInd w:val="0"/>
        <w:spacing w:after="0"/>
        <w:jc w:val="both"/>
        <w:rPr>
          <w:rFonts w:ascii="Arial" w:hAnsi="Arial" w:cs="Arial"/>
          <w:sz w:val="20"/>
          <w:szCs w:val="20"/>
        </w:rPr>
      </w:pPr>
    </w:p>
    <w:p w14:paraId="550F6AFE" w14:textId="77777777" w:rsidR="00E66EA0" w:rsidRPr="00F16961" w:rsidRDefault="00E66EA0" w:rsidP="00C831A3">
      <w:pPr>
        <w:autoSpaceDE w:val="0"/>
        <w:autoSpaceDN w:val="0"/>
        <w:adjustRightInd w:val="0"/>
        <w:spacing w:after="0"/>
        <w:jc w:val="both"/>
        <w:rPr>
          <w:rFonts w:ascii="Arial" w:hAnsi="Arial" w:cs="Arial"/>
          <w:sz w:val="20"/>
          <w:szCs w:val="20"/>
        </w:rPr>
      </w:pPr>
      <w:r w:rsidRPr="00F16961">
        <w:rPr>
          <w:rFonts w:ascii="Arial" w:hAnsi="Arial" w:cs="Arial"/>
          <w:sz w:val="20"/>
          <w:szCs w:val="20"/>
        </w:rPr>
        <w:t>Conforme con</w:t>
      </w:r>
      <w:r>
        <w:rPr>
          <w:rFonts w:ascii="Arial" w:hAnsi="Arial" w:cs="Arial"/>
          <w:sz w:val="20"/>
          <w:szCs w:val="20"/>
        </w:rPr>
        <w:t>s</w:t>
      </w:r>
      <w:r w:rsidRPr="00F16961">
        <w:rPr>
          <w:rFonts w:ascii="Arial" w:hAnsi="Arial" w:cs="Arial"/>
          <w:sz w:val="20"/>
          <w:szCs w:val="20"/>
        </w:rPr>
        <w:t>ta da própria decisão recorrida, é cediço que cabe aos</w:t>
      </w:r>
      <w:r>
        <w:rPr>
          <w:rFonts w:ascii="Arial" w:hAnsi="Arial" w:cs="Arial"/>
          <w:sz w:val="20"/>
          <w:szCs w:val="20"/>
        </w:rPr>
        <w:t xml:space="preserve"> </w:t>
      </w:r>
      <w:r w:rsidRPr="00F16961">
        <w:rPr>
          <w:rFonts w:ascii="Arial" w:hAnsi="Arial" w:cs="Arial"/>
          <w:sz w:val="20"/>
          <w:szCs w:val="20"/>
        </w:rPr>
        <w:t>municípios a execução dos serviços de atenção básica à saúde, nestes incluídos</w:t>
      </w:r>
      <w:r>
        <w:rPr>
          <w:rFonts w:ascii="Arial" w:hAnsi="Arial" w:cs="Arial"/>
          <w:sz w:val="20"/>
          <w:szCs w:val="20"/>
        </w:rPr>
        <w:t xml:space="preserve"> </w:t>
      </w:r>
      <w:r w:rsidRPr="00F16961">
        <w:rPr>
          <w:rFonts w:ascii="Arial" w:hAnsi="Arial" w:cs="Arial"/>
          <w:sz w:val="20"/>
          <w:szCs w:val="20"/>
        </w:rPr>
        <w:t>apenas os atendimentos de urgência durante o período diurno. Desse modo, as</w:t>
      </w:r>
      <w:r>
        <w:rPr>
          <w:rFonts w:ascii="Arial" w:hAnsi="Arial" w:cs="Arial"/>
          <w:sz w:val="20"/>
          <w:szCs w:val="20"/>
        </w:rPr>
        <w:t xml:space="preserve"> </w:t>
      </w:r>
      <w:r w:rsidRPr="00F16961">
        <w:rPr>
          <w:rFonts w:ascii="Arial" w:hAnsi="Arial" w:cs="Arial"/>
          <w:sz w:val="20"/>
          <w:szCs w:val="20"/>
        </w:rPr>
        <w:t>despesas com terceirização de serviços médicos relativos a atendimentos de</w:t>
      </w:r>
      <w:r>
        <w:rPr>
          <w:rFonts w:ascii="Arial" w:hAnsi="Arial" w:cs="Arial"/>
          <w:sz w:val="20"/>
          <w:szCs w:val="20"/>
        </w:rPr>
        <w:t xml:space="preserve"> </w:t>
      </w:r>
      <w:r w:rsidRPr="00F16961">
        <w:rPr>
          <w:rFonts w:ascii="Arial" w:hAnsi="Arial" w:cs="Arial"/>
          <w:sz w:val="20"/>
          <w:szCs w:val="20"/>
        </w:rPr>
        <w:t>urgência no período noturno e em fins de semana e feriados, por serem meramente</w:t>
      </w:r>
      <w:r>
        <w:rPr>
          <w:rFonts w:ascii="Arial" w:hAnsi="Arial" w:cs="Arial"/>
          <w:sz w:val="20"/>
          <w:szCs w:val="20"/>
        </w:rPr>
        <w:t xml:space="preserve"> </w:t>
      </w:r>
      <w:r w:rsidRPr="00F16961">
        <w:rPr>
          <w:rFonts w:ascii="Arial" w:hAnsi="Arial" w:cs="Arial"/>
          <w:sz w:val="20"/>
          <w:szCs w:val="20"/>
        </w:rPr>
        <w:t>complementares à atenção básica, não devem ser enquadrados no conceito de substituição de mão de obra para fins do cálculo da despesa de pessoal, conforme</w:t>
      </w:r>
      <w:r>
        <w:rPr>
          <w:rFonts w:ascii="Arial" w:hAnsi="Arial" w:cs="Arial"/>
          <w:sz w:val="20"/>
          <w:szCs w:val="20"/>
        </w:rPr>
        <w:t xml:space="preserve"> </w:t>
      </w:r>
      <w:r w:rsidRPr="00F16961">
        <w:rPr>
          <w:rFonts w:ascii="Arial" w:hAnsi="Arial" w:cs="Arial"/>
          <w:sz w:val="20"/>
          <w:szCs w:val="20"/>
        </w:rPr>
        <w:t>prevê o § 1º do art. 18 da LRF.</w:t>
      </w:r>
    </w:p>
    <w:p w14:paraId="4B887A20" w14:textId="77777777" w:rsidR="00E66EA0" w:rsidRDefault="00E66EA0" w:rsidP="00C831A3">
      <w:pPr>
        <w:autoSpaceDE w:val="0"/>
        <w:autoSpaceDN w:val="0"/>
        <w:adjustRightInd w:val="0"/>
        <w:spacing w:after="0"/>
        <w:jc w:val="both"/>
        <w:rPr>
          <w:rFonts w:ascii="Arial" w:hAnsi="Arial" w:cs="Arial"/>
          <w:sz w:val="20"/>
          <w:szCs w:val="20"/>
        </w:rPr>
      </w:pPr>
    </w:p>
    <w:p w14:paraId="4DC1EE06" w14:textId="77777777" w:rsidR="00E66EA0" w:rsidRPr="00F16961" w:rsidRDefault="00E66EA0" w:rsidP="00C831A3">
      <w:pPr>
        <w:autoSpaceDE w:val="0"/>
        <w:autoSpaceDN w:val="0"/>
        <w:adjustRightInd w:val="0"/>
        <w:spacing w:after="0"/>
        <w:jc w:val="both"/>
        <w:rPr>
          <w:rFonts w:ascii="Arial" w:hAnsi="Arial" w:cs="Arial"/>
          <w:sz w:val="20"/>
          <w:szCs w:val="20"/>
        </w:rPr>
      </w:pPr>
      <w:r w:rsidRPr="00F16961">
        <w:rPr>
          <w:rFonts w:ascii="Arial" w:hAnsi="Arial" w:cs="Arial"/>
          <w:sz w:val="20"/>
          <w:szCs w:val="20"/>
        </w:rPr>
        <w:t>Merece relevo o fato de ser assente nesta Corte de Contas a</w:t>
      </w:r>
      <w:r>
        <w:rPr>
          <w:rFonts w:ascii="Arial" w:hAnsi="Arial" w:cs="Arial"/>
          <w:sz w:val="20"/>
          <w:szCs w:val="20"/>
        </w:rPr>
        <w:t xml:space="preserve"> </w:t>
      </w:r>
      <w:r w:rsidRPr="00F16961">
        <w:rPr>
          <w:rFonts w:ascii="Arial" w:hAnsi="Arial" w:cs="Arial"/>
          <w:sz w:val="20"/>
          <w:szCs w:val="20"/>
        </w:rPr>
        <w:t>possibilidade de exclusão de valores despendidos com a terceirização de serviços</w:t>
      </w:r>
      <w:r>
        <w:rPr>
          <w:rFonts w:ascii="Arial" w:hAnsi="Arial" w:cs="Arial"/>
          <w:sz w:val="20"/>
          <w:szCs w:val="20"/>
        </w:rPr>
        <w:t xml:space="preserve"> </w:t>
      </w:r>
      <w:r w:rsidRPr="00F16961">
        <w:rPr>
          <w:rFonts w:ascii="Arial" w:hAnsi="Arial" w:cs="Arial"/>
          <w:sz w:val="20"/>
          <w:szCs w:val="20"/>
        </w:rPr>
        <w:t>médicos que não estão compreendidos na atenção básica à saúde do cálculo da</w:t>
      </w:r>
      <w:r>
        <w:rPr>
          <w:rFonts w:ascii="Arial" w:hAnsi="Arial" w:cs="Arial"/>
          <w:sz w:val="20"/>
          <w:szCs w:val="20"/>
        </w:rPr>
        <w:t xml:space="preserve"> </w:t>
      </w:r>
      <w:r w:rsidRPr="00F16961">
        <w:rPr>
          <w:rFonts w:ascii="Arial" w:hAnsi="Arial" w:cs="Arial"/>
          <w:sz w:val="20"/>
          <w:szCs w:val="20"/>
        </w:rPr>
        <w:t>despesa de pessoal dos municípios. Nesse sentido, os Acórdãos nº 3894/16 e</w:t>
      </w:r>
      <w:r>
        <w:rPr>
          <w:rFonts w:ascii="Arial" w:hAnsi="Arial" w:cs="Arial"/>
          <w:sz w:val="20"/>
          <w:szCs w:val="20"/>
        </w:rPr>
        <w:t xml:space="preserve"> </w:t>
      </w:r>
      <w:r w:rsidRPr="00F16961">
        <w:rPr>
          <w:rFonts w:ascii="Arial" w:hAnsi="Arial" w:cs="Arial"/>
          <w:sz w:val="20"/>
          <w:szCs w:val="20"/>
        </w:rPr>
        <w:t>2617/2017, ambos da Segunda Câmara.</w:t>
      </w:r>
    </w:p>
    <w:p w14:paraId="23D53233" w14:textId="77777777" w:rsidR="00E66EA0" w:rsidRDefault="00E66EA0" w:rsidP="00C831A3">
      <w:pPr>
        <w:autoSpaceDE w:val="0"/>
        <w:autoSpaceDN w:val="0"/>
        <w:adjustRightInd w:val="0"/>
        <w:spacing w:after="0"/>
        <w:jc w:val="both"/>
        <w:rPr>
          <w:rFonts w:ascii="Arial" w:hAnsi="Arial" w:cs="Arial"/>
          <w:sz w:val="20"/>
          <w:szCs w:val="20"/>
        </w:rPr>
      </w:pPr>
    </w:p>
    <w:p w14:paraId="44F39615" w14:textId="77777777" w:rsidR="00E66EA0" w:rsidRPr="00F16961" w:rsidRDefault="00E66EA0" w:rsidP="00C831A3">
      <w:pPr>
        <w:autoSpaceDE w:val="0"/>
        <w:autoSpaceDN w:val="0"/>
        <w:adjustRightInd w:val="0"/>
        <w:spacing w:after="0"/>
        <w:jc w:val="both"/>
        <w:rPr>
          <w:rFonts w:ascii="Arial" w:hAnsi="Arial" w:cs="Arial"/>
          <w:sz w:val="20"/>
          <w:szCs w:val="20"/>
        </w:rPr>
      </w:pPr>
      <w:r w:rsidRPr="00F16961">
        <w:rPr>
          <w:rFonts w:ascii="Arial" w:hAnsi="Arial" w:cs="Arial"/>
          <w:sz w:val="20"/>
          <w:szCs w:val="20"/>
        </w:rPr>
        <w:t>Assim, em linha com os pareceres dos autos, devem</w:t>
      </w:r>
      <w:r>
        <w:rPr>
          <w:rFonts w:ascii="Arial" w:hAnsi="Arial" w:cs="Arial"/>
          <w:sz w:val="20"/>
          <w:szCs w:val="20"/>
        </w:rPr>
        <w:t xml:space="preserve"> </w:t>
      </w:r>
      <w:r w:rsidRPr="00F16961">
        <w:rPr>
          <w:rFonts w:ascii="Arial" w:hAnsi="Arial" w:cs="Arial"/>
          <w:sz w:val="20"/>
          <w:szCs w:val="20"/>
        </w:rPr>
        <w:t>ser excluídos</w:t>
      </w:r>
      <w:r>
        <w:rPr>
          <w:rFonts w:ascii="Arial" w:hAnsi="Arial" w:cs="Arial"/>
          <w:sz w:val="20"/>
          <w:szCs w:val="20"/>
        </w:rPr>
        <w:t xml:space="preserve"> referidos gastos das</w:t>
      </w:r>
      <w:r w:rsidRPr="00F16961">
        <w:rPr>
          <w:rFonts w:ascii="Arial" w:hAnsi="Arial" w:cs="Arial"/>
          <w:sz w:val="20"/>
          <w:szCs w:val="20"/>
        </w:rPr>
        <w:t xml:space="preserve"> despesas de pessoal do Poder Executivo</w:t>
      </w:r>
      <w:r>
        <w:rPr>
          <w:rFonts w:ascii="Arial" w:hAnsi="Arial" w:cs="Arial"/>
          <w:sz w:val="20"/>
          <w:szCs w:val="20"/>
        </w:rPr>
        <w:t xml:space="preserve"> </w:t>
      </w:r>
      <w:r w:rsidRPr="00F16961">
        <w:rPr>
          <w:rFonts w:ascii="Arial" w:hAnsi="Arial" w:cs="Arial"/>
          <w:sz w:val="20"/>
          <w:szCs w:val="20"/>
        </w:rPr>
        <w:t xml:space="preserve">Municipal, </w:t>
      </w:r>
      <w:r>
        <w:rPr>
          <w:rFonts w:ascii="Arial" w:hAnsi="Arial" w:cs="Arial"/>
          <w:sz w:val="20"/>
          <w:szCs w:val="20"/>
        </w:rPr>
        <w:t>com a consequente alteração d</w:t>
      </w:r>
      <w:r w:rsidRPr="00F16961">
        <w:rPr>
          <w:rFonts w:ascii="Arial" w:hAnsi="Arial" w:cs="Arial"/>
          <w:sz w:val="20"/>
          <w:szCs w:val="20"/>
        </w:rPr>
        <w:t>o cálculo do limite para o período de junho/2016</w:t>
      </w:r>
      <w:r>
        <w:rPr>
          <w:rFonts w:ascii="Arial" w:hAnsi="Arial" w:cs="Arial"/>
          <w:sz w:val="20"/>
          <w:szCs w:val="20"/>
        </w:rPr>
        <w:t>.</w:t>
      </w:r>
    </w:p>
    <w:p w14:paraId="4FD18F60" w14:textId="77777777" w:rsidR="00E66EA0" w:rsidRDefault="00E66EA0" w:rsidP="00C831A3">
      <w:pPr>
        <w:autoSpaceDE w:val="0"/>
        <w:autoSpaceDN w:val="0"/>
        <w:adjustRightInd w:val="0"/>
        <w:spacing w:after="0"/>
        <w:jc w:val="both"/>
        <w:rPr>
          <w:rFonts w:ascii="Arial" w:hAnsi="Arial" w:cs="Arial"/>
          <w:sz w:val="20"/>
          <w:szCs w:val="20"/>
        </w:rPr>
      </w:pPr>
    </w:p>
    <w:p w14:paraId="3576375C" w14:textId="77777777" w:rsidR="00E66EA0" w:rsidRPr="00230603" w:rsidRDefault="00E66EA0"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198430/18</w:t>
      </w:r>
      <w:r w:rsidRPr="00230603">
        <w:rPr>
          <w:rFonts w:ascii="Arial" w:hAnsi="Arial" w:cs="Arial"/>
          <w:sz w:val="20"/>
          <w:szCs w:val="20"/>
        </w:rPr>
        <w:t xml:space="preserve"> – </w:t>
      </w:r>
      <w:hyperlink r:id="rId15" w:history="1">
        <w:r w:rsidRPr="003E6B1F">
          <w:rPr>
            <w:rStyle w:val="Hyperlink"/>
            <w:rFonts w:ascii="Arial" w:hAnsi="Arial" w:cs="Arial"/>
            <w:sz w:val="20"/>
            <w:szCs w:val="20"/>
          </w:rPr>
          <w:t xml:space="preserve">Acórdão nº </w:t>
        </w:r>
        <w:r>
          <w:rPr>
            <w:rStyle w:val="Hyperlink"/>
            <w:rFonts w:ascii="Arial" w:hAnsi="Arial" w:cs="Arial"/>
            <w:sz w:val="20"/>
            <w:szCs w:val="20"/>
          </w:rPr>
          <w:t>1622</w:t>
        </w:r>
        <w:r w:rsidRPr="003E6B1F">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Auditor Tiago Alvarez Pedroso.</w:t>
      </w:r>
    </w:p>
    <w:p w14:paraId="133683F7" w14:textId="77777777" w:rsidR="00E66EA0" w:rsidRDefault="00E66EA0" w:rsidP="00C831A3">
      <w:pPr>
        <w:autoSpaceDE w:val="0"/>
        <w:autoSpaceDN w:val="0"/>
        <w:adjustRightInd w:val="0"/>
        <w:spacing w:after="0"/>
        <w:jc w:val="both"/>
        <w:rPr>
          <w:rFonts w:ascii="Arial" w:hAnsi="Arial" w:cs="Arial"/>
          <w:sz w:val="20"/>
          <w:szCs w:val="20"/>
        </w:rPr>
      </w:pPr>
    </w:p>
    <w:p w14:paraId="2D714F68" w14:textId="7316A208"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E66EA0" w:rsidRPr="00230603">
        <w:rPr>
          <w:rFonts w:ascii="Arial" w:hAnsi="Arial" w:cs="Arial"/>
          <w:b/>
          <w:sz w:val="20"/>
          <w:szCs w:val="20"/>
        </w:rPr>
        <w:t xml:space="preserve">. </w:t>
      </w:r>
      <w:r w:rsidR="00E66EA0">
        <w:rPr>
          <w:rFonts w:ascii="Arial" w:hAnsi="Arial" w:cs="Arial"/>
          <w:b/>
          <w:sz w:val="20"/>
          <w:szCs w:val="20"/>
        </w:rPr>
        <w:t>Representação da Lei nº 8.666/1993. Pregão Presencial. Aquisição de pneus, câmaras de ar e protetores novos. Exigência de cadastro CFT- IBAMA dos licitantes, independente da atividade realizada. Exigência restritiva. Inexistência de prejuízo ao erário. Pareceres uniformes. Pela procedência com expedição de recomendação.</w:t>
      </w:r>
    </w:p>
    <w:p w14:paraId="6F0016DB" w14:textId="77777777" w:rsidR="00E66EA0" w:rsidRDefault="00E66EA0" w:rsidP="00C831A3">
      <w:pPr>
        <w:autoSpaceDE w:val="0"/>
        <w:autoSpaceDN w:val="0"/>
        <w:adjustRightInd w:val="0"/>
        <w:spacing w:after="0"/>
        <w:jc w:val="both"/>
        <w:rPr>
          <w:rFonts w:ascii="Arial" w:hAnsi="Arial" w:cs="Arial"/>
          <w:b/>
          <w:sz w:val="20"/>
          <w:szCs w:val="20"/>
        </w:rPr>
      </w:pPr>
    </w:p>
    <w:p w14:paraId="7179B3BC" w14:textId="77777777" w:rsidR="00E66EA0" w:rsidRDefault="00E66EA0" w:rsidP="00C831A3">
      <w:pPr>
        <w:autoSpaceDE w:val="0"/>
        <w:autoSpaceDN w:val="0"/>
        <w:adjustRightInd w:val="0"/>
        <w:spacing w:after="0"/>
        <w:jc w:val="both"/>
        <w:rPr>
          <w:rFonts w:ascii="Arial" w:hAnsi="Arial" w:cs="Arial"/>
          <w:sz w:val="20"/>
          <w:szCs w:val="20"/>
        </w:rPr>
      </w:pPr>
      <w:r>
        <w:rPr>
          <w:rFonts w:ascii="Arial" w:hAnsi="Arial" w:cs="Arial"/>
          <w:sz w:val="20"/>
          <w:szCs w:val="20"/>
        </w:rPr>
        <w:lastRenderedPageBreak/>
        <w:t xml:space="preserve">No </w:t>
      </w:r>
      <w:r w:rsidRPr="000B56BE">
        <w:rPr>
          <w:rFonts w:ascii="Arial" w:hAnsi="Arial" w:cs="Arial"/>
          <w:sz w:val="20"/>
          <w:szCs w:val="20"/>
        </w:rPr>
        <w:t>caso em espécie exigiu-se Cadastro</w:t>
      </w:r>
      <w:r>
        <w:rPr>
          <w:rFonts w:ascii="Arial" w:hAnsi="Arial" w:cs="Arial"/>
          <w:sz w:val="20"/>
          <w:szCs w:val="20"/>
        </w:rPr>
        <w:t xml:space="preserve"> </w:t>
      </w:r>
      <w:r w:rsidRPr="000B56BE">
        <w:rPr>
          <w:rFonts w:ascii="Arial" w:hAnsi="Arial" w:cs="Arial"/>
          <w:sz w:val="20"/>
          <w:szCs w:val="20"/>
        </w:rPr>
        <w:t xml:space="preserve">Técnico Federal (CTF) junto ao IBAMA </w:t>
      </w:r>
      <w:r w:rsidRPr="00C831A3">
        <w:rPr>
          <w:rFonts w:ascii="Arial" w:hAnsi="Arial" w:cs="Arial"/>
          <w:sz w:val="20"/>
          <w:szCs w:val="20"/>
        </w:rPr>
        <w:t>de todas as licitantes</w:t>
      </w:r>
      <w:r w:rsidRPr="000B56BE">
        <w:rPr>
          <w:rFonts w:ascii="Arial" w:hAnsi="Arial" w:cs="Arial"/>
          <w:sz w:val="20"/>
          <w:szCs w:val="20"/>
        </w:rPr>
        <w:t xml:space="preserve">, </w:t>
      </w:r>
      <w:r w:rsidRPr="00C831A3">
        <w:rPr>
          <w:rFonts w:ascii="Arial" w:hAnsi="Arial" w:cs="Arial"/>
          <w:sz w:val="20"/>
          <w:szCs w:val="20"/>
        </w:rPr>
        <w:t xml:space="preserve">e não apenas das licitantes que importam, fabricam, reformam e recondicionam pneus. </w:t>
      </w:r>
      <w:r w:rsidRPr="000B56BE">
        <w:rPr>
          <w:rFonts w:ascii="Arial" w:hAnsi="Arial" w:cs="Arial"/>
          <w:sz w:val="20"/>
          <w:szCs w:val="20"/>
        </w:rPr>
        <w:t>Conforme bem apontado pela unidade técnica, tanto a</w:t>
      </w:r>
      <w:r>
        <w:rPr>
          <w:rFonts w:ascii="Arial" w:hAnsi="Arial" w:cs="Arial"/>
          <w:sz w:val="20"/>
          <w:szCs w:val="20"/>
        </w:rPr>
        <w:t xml:space="preserve"> </w:t>
      </w:r>
      <w:r w:rsidRPr="000B56BE">
        <w:rPr>
          <w:rFonts w:ascii="Arial" w:hAnsi="Arial" w:cs="Arial"/>
          <w:sz w:val="20"/>
          <w:szCs w:val="20"/>
        </w:rPr>
        <w:t>Lei nº 6.938/1981, quanto a Instrução Normativa nº 06/2013 e a Resolução nº</w:t>
      </w:r>
      <w:r>
        <w:rPr>
          <w:rFonts w:ascii="Arial" w:hAnsi="Arial" w:cs="Arial"/>
          <w:sz w:val="20"/>
          <w:szCs w:val="20"/>
        </w:rPr>
        <w:t xml:space="preserve"> </w:t>
      </w:r>
      <w:r w:rsidRPr="000B56BE">
        <w:rPr>
          <w:rFonts w:ascii="Arial" w:hAnsi="Arial" w:cs="Arial"/>
          <w:sz w:val="20"/>
          <w:szCs w:val="20"/>
        </w:rPr>
        <w:t>416/2009 do CONAMA consideram que o Certificado de Regularidade no Cadastro</w:t>
      </w:r>
      <w:r>
        <w:rPr>
          <w:rFonts w:ascii="Arial" w:hAnsi="Arial" w:cs="Arial"/>
          <w:sz w:val="20"/>
          <w:szCs w:val="20"/>
        </w:rPr>
        <w:t xml:space="preserve"> </w:t>
      </w:r>
      <w:r w:rsidRPr="000B56BE">
        <w:rPr>
          <w:rFonts w:ascii="Arial" w:hAnsi="Arial" w:cs="Arial"/>
          <w:sz w:val="20"/>
          <w:szCs w:val="20"/>
        </w:rPr>
        <w:t>Técnico Federal (CTF) junto ao IBAMA somente é requisito para as empresas que</w:t>
      </w:r>
      <w:r>
        <w:rPr>
          <w:rFonts w:ascii="Arial" w:hAnsi="Arial" w:cs="Arial"/>
          <w:sz w:val="20"/>
          <w:szCs w:val="20"/>
        </w:rPr>
        <w:t xml:space="preserve"> </w:t>
      </w:r>
      <w:r w:rsidRPr="000B56BE">
        <w:rPr>
          <w:rFonts w:ascii="Arial" w:hAnsi="Arial" w:cs="Arial"/>
          <w:sz w:val="20"/>
          <w:szCs w:val="20"/>
        </w:rPr>
        <w:t>importam, fabricam, reformam e recondicionam pneus.</w:t>
      </w:r>
    </w:p>
    <w:p w14:paraId="64F12DF4" w14:textId="77777777" w:rsidR="00E66EA0" w:rsidRPr="000B56BE" w:rsidRDefault="00E66EA0" w:rsidP="00C831A3">
      <w:pPr>
        <w:autoSpaceDE w:val="0"/>
        <w:autoSpaceDN w:val="0"/>
        <w:adjustRightInd w:val="0"/>
        <w:spacing w:after="0"/>
        <w:jc w:val="both"/>
        <w:rPr>
          <w:rFonts w:ascii="Arial" w:hAnsi="Arial" w:cs="Arial"/>
          <w:sz w:val="20"/>
          <w:szCs w:val="20"/>
        </w:rPr>
      </w:pPr>
    </w:p>
    <w:p w14:paraId="137CD0D2" w14:textId="77777777" w:rsidR="00E66EA0" w:rsidRPr="000B56BE" w:rsidRDefault="00E66EA0" w:rsidP="00C831A3">
      <w:pPr>
        <w:autoSpaceDE w:val="0"/>
        <w:autoSpaceDN w:val="0"/>
        <w:adjustRightInd w:val="0"/>
        <w:spacing w:after="0"/>
        <w:jc w:val="both"/>
        <w:rPr>
          <w:rFonts w:ascii="Arial" w:hAnsi="Arial" w:cs="Arial"/>
          <w:sz w:val="20"/>
          <w:szCs w:val="20"/>
        </w:rPr>
      </w:pPr>
      <w:r w:rsidRPr="000B56BE">
        <w:rPr>
          <w:rFonts w:ascii="Arial" w:hAnsi="Arial" w:cs="Arial"/>
          <w:sz w:val="20"/>
          <w:szCs w:val="20"/>
        </w:rPr>
        <w:t>Deste modo, licitantes como a empresa representante, que apenas</w:t>
      </w:r>
      <w:r>
        <w:rPr>
          <w:rFonts w:ascii="Arial" w:hAnsi="Arial" w:cs="Arial"/>
          <w:sz w:val="20"/>
          <w:szCs w:val="20"/>
        </w:rPr>
        <w:t xml:space="preserve"> </w:t>
      </w:r>
      <w:r w:rsidRPr="000B56BE">
        <w:rPr>
          <w:rFonts w:ascii="Arial" w:hAnsi="Arial" w:cs="Arial"/>
          <w:sz w:val="20"/>
          <w:szCs w:val="20"/>
        </w:rPr>
        <w:t>atuam como distribuidores, revendedores e comerciantes de pneus podem ter sido</w:t>
      </w:r>
      <w:r>
        <w:rPr>
          <w:rFonts w:ascii="Arial" w:hAnsi="Arial" w:cs="Arial"/>
          <w:sz w:val="20"/>
          <w:szCs w:val="20"/>
        </w:rPr>
        <w:t xml:space="preserve"> </w:t>
      </w:r>
      <w:r w:rsidRPr="000B56BE">
        <w:rPr>
          <w:rFonts w:ascii="Arial" w:hAnsi="Arial" w:cs="Arial"/>
          <w:sz w:val="20"/>
          <w:szCs w:val="20"/>
        </w:rPr>
        <w:t>afastados indevidamente do certame, caracterizando restrição ilegal da</w:t>
      </w:r>
      <w:r>
        <w:rPr>
          <w:rFonts w:ascii="Arial" w:hAnsi="Arial" w:cs="Arial"/>
          <w:sz w:val="20"/>
          <w:szCs w:val="20"/>
        </w:rPr>
        <w:t xml:space="preserve"> </w:t>
      </w:r>
      <w:r w:rsidRPr="000B56BE">
        <w:rPr>
          <w:rFonts w:ascii="Arial" w:hAnsi="Arial" w:cs="Arial"/>
          <w:sz w:val="20"/>
          <w:szCs w:val="20"/>
        </w:rPr>
        <w:t>competitividade.</w:t>
      </w:r>
      <w:r>
        <w:rPr>
          <w:rFonts w:ascii="Arial" w:hAnsi="Arial" w:cs="Arial"/>
          <w:sz w:val="20"/>
          <w:szCs w:val="20"/>
        </w:rPr>
        <w:t xml:space="preserve"> </w:t>
      </w:r>
      <w:r w:rsidRPr="000B56BE">
        <w:rPr>
          <w:rFonts w:ascii="Arial" w:hAnsi="Arial" w:cs="Arial"/>
          <w:sz w:val="20"/>
          <w:szCs w:val="20"/>
        </w:rPr>
        <w:t>Assim, diante da irregularidade perpetrada na cláusula do</w:t>
      </w:r>
      <w:r>
        <w:rPr>
          <w:rFonts w:ascii="Arial" w:hAnsi="Arial" w:cs="Arial"/>
          <w:sz w:val="20"/>
          <w:szCs w:val="20"/>
        </w:rPr>
        <w:t xml:space="preserve"> </w:t>
      </w:r>
      <w:r w:rsidRPr="000B56BE">
        <w:rPr>
          <w:rFonts w:ascii="Arial" w:hAnsi="Arial" w:cs="Arial"/>
          <w:sz w:val="20"/>
          <w:szCs w:val="20"/>
        </w:rPr>
        <w:t xml:space="preserve">edital do Pregão Presencial nº 53/2018, </w:t>
      </w:r>
      <w:r>
        <w:rPr>
          <w:rFonts w:ascii="Arial" w:hAnsi="Arial" w:cs="Arial"/>
          <w:sz w:val="20"/>
          <w:szCs w:val="20"/>
        </w:rPr>
        <w:t xml:space="preserve">merece procedência </w:t>
      </w:r>
      <w:r w:rsidRPr="000B56BE">
        <w:rPr>
          <w:rFonts w:ascii="Arial" w:hAnsi="Arial" w:cs="Arial"/>
          <w:sz w:val="20"/>
          <w:szCs w:val="20"/>
        </w:rPr>
        <w:t>a Representação.</w:t>
      </w:r>
    </w:p>
    <w:p w14:paraId="3663C056" w14:textId="77777777" w:rsidR="00E66EA0" w:rsidRDefault="00E66EA0" w:rsidP="00C831A3">
      <w:pPr>
        <w:autoSpaceDE w:val="0"/>
        <w:autoSpaceDN w:val="0"/>
        <w:adjustRightInd w:val="0"/>
        <w:spacing w:after="0"/>
        <w:jc w:val="both"/>
        <w:rPr>
          <w:rFonts w:ascii="Arial" w:hAnsi="Arial" w:cs="Arial"/>
          <w:sz w:val="20"/>
          <w:szCs w:val="20"/>
        </w:rPr>
      </w:pPr>
    </w:p>
    <w:p w14:paraId="2BD677FD" w14:textId="77777777" w:rsidR="00E66EA0" w:rsidRPr="00FC38A5" w:rsidRDefault="00E66EA0" w:rsidP="00C831A3">
      <w:pPr>
        <w:autoSpaceDE w:val="0"/>
        <w:autoSpaceDN w:val="0"/>
        <w:adjustRightInd w:val="0"/>
        <w:spacing w:after="0"/>
        <w:jc w:val="both"/>
        <w:rPr>
          <w:rFonts w:ascii="Arial" w:hAnsi="Arial" w:cs="Arial"/>
          <w:sz w:val="20"/>
          <w:szCs w:val="20"/>
        </w:rPr>
      </w:pPr>
      <w:r w:rsidRPr="000B56BE">
        <w:rPr>
          <w:rFonts w:ascii="Arial" w:hAnsi="Arial" w:cs="Arial"/>
          <w:sz w:val="20"/>
          <w:szCs w:val="20"/>
        </w:rPr>
        <w:t>Entretanto, consider</w:t>
      </w:r>
      <w:r>
        <w:rPr>
          <w:rFonts w:ascii="Arial" w:hAnsi="Arial" w:cs="Arial"/>
          <w:sz w:val="20"/>
          <w:szCs w:val="20"/>
        </w:rPr>
        <w:t>ando</w:t>
      </w:r>
      <w:r w:rsidRPr="000B56BE">
        <w:rPr>
          <w:rFonts w:ascii="Arial" w:hAnsi="Arial" w:cs="Arial"/>
          <w:sz w:val="20"/>
          <w:szCs w:val="20"/>
        </w:rPr>
        <w:t xml:space="preserve"> que não houve má-fé dos interessados com a</w:t>
      </w:r>
      <w:r>
        <w:rPr>
          <w:rFonts w:ascii="Arial" w:hAnsi="Arial" w:cs="Arial"/>
          <w:sz w:val="20"/>
          <w:szCs w:val="20"/>
        </w:rPr>
        <w:t xml:space="preserve"> </w:t>
      </w:r>
      <w:r w:rsidRPr="000B56BE">
        <w:rPr>
          <w:rFonts w:ascii="Arial" w:hAnsi="Arial" w:cs="Arial"/>
          <w:sz w:val="20"/>
          <w:szCs w:val="20"/>
        </w:rPr>
        <w:t>inserção da exigência em questão no edital, tampouco prejuízo ao erário ou</w:t>
      </w:r>
      <w:r>
        <w:rPr>
          <w:rFonts w:ascii="Arial" w:hAnsi="Arial" w:cs="Arial"/>
          <w:sz w:val="20"/>
          <w:szCs w:val="20"/>
        </w:rPr>
        <w:t xml:space="preserve"> </w:t>
      </w:r>
      <w:r w:rsidRPr="000B56BE">
        <w:rPr>
          <w:rFonts w:ascii="Arial" w:hAnsi="Arial" w:cs="Arial"/>
          <w:sz w:val="20"/>
          <w:szCs w:val="20"/>
        </w:rPr>
        <w:t>direcionamento do certame, de</w:t>
      </w:r>
      <w:r>
        <w:rPr>
          <w:rFonts w:ascii="Arial" w:hAnsi="Arial" w:cs="Arial"/>
          <w:sz w:val="20"/>
          <w:szCs w:val="20"/>
        </w:rPr>
        <w:t>ixa-se</w:t>
      </w:r>
      <w:r w:rsidRPr="000B56BE">
        <w:rPr>
          <w:rFonts w:ascii="Arial" w:hAnsi="Arial" w:cs="Arial"/>
          <w:sz w:val="20"/>
          <w:szCs w:val="20"/>
        </w:rPr>
        <w:t xml:space="preserve"> de aplicar multas administrativas</w:t>
      </w:r>
      <w:r>
        <w:rPr>
          <w:rFonts w:ascii="Arial" w:hAnsi="Arial" w:cs="Arial"/>
          <w:sz w:val="20"/>
          <w:szCs w:val="20"/>
        </w:rPr>
        <w:t xml:space="preserve"> </w:t>
      </w:r>
      <w:r w:rsidRPr="000B56BE">
        <w:rPr>
          <w:rFonts w:ascii="Arial" w:hAnsi="Arial" w:cs="Arial"/>
          <w:sz w:val="20"/>
          <w:szCs w:val="20"/>
        </w:rPr>
        <w:t>pela irregularidade narrada.</w:t>
      </w:r>
      <w:r>
        <w:rPr>
          <w:rFonts w:ascii="Arial" w:hAnsi="Arial" w:cs="Arial"/>
          <w:sz w:val="20"/>
          <w:szCs w:val="20"/>
        </w:rPr>
        <w:t xml:space="preserve"> </w:t>
      </w:r>
      <w:r w:rsidRPr="000B56BE">
        <w:rPr>
          <w:rFonts w:ascii="Arial" w:hAnsi="Arial" w:cs="Arial"/>
          <w:sz w:val="20"/>
          <w:szCs w:val="20"/>
        </w:rPr>
        <w:t>Cabe, todavia, em conformidade com a unidade técnica e órgão</w:t>
      </w:r>
      <w:r>
        <w:rPr>
          <w:rFonts w:ascii="Arial" w:hAnsi="Arial" w:cs="Arial"/>
          <w:sz w:val="20"/>
          <w:szCs w:val="20"/>
        </w:rPr>
        <w:t xml:space="preserve"> </w:t>
      </w:r>
      <w:r w:rsidRPr="000B56BE">
        <w:rPr>
          <w:rFonts w:ascii="Arial" w:hAnsi="Arial" w:cs="Arial"/>
          <w:sz w:val="20"/>
          <w:szCs w:val="20"/>
        </w:rPr>
        <w:t>ministerial, recomendar ao Município que, em futuras licitações para</w:t>
      </w:r>
      <w:r>
        <w:rPr>
          <w:rFonts w:ascii="Arial" w:hAnsi="Arial" w:cs="Arial"/>
          <w:sz w:val="20"/>
          <w:szCs w:val="20"/>
        </w:rPr>
        <w:t xml:space="preserve"> </w:t>
      </w:r>
      <w:r w:rsidRPr="000B56BE">
        <w:rPr>
          <w:rFonts w:ascii="Arial" w:hAnsi="Arial" w:cs="Arial"/>
          <w:sz w:val="20"/>
          <w:szCs w:val="20"/>
        </w:rPr>
        <w:t>aquisição de pneus, se limite a exigir Certificado de Regularidade do IBAMA em</w:t>
      </w:r>
      <w:r>
        <w:rPr>
          <w:rFonts w:ascii="Arial" w:hAnsi="Arial" w:cs="Arial"/>
          <w:sz w:val="20"/>
          <w:szCs w:val="20"/>
        </w:rPr>
        <w:t xml:space="preserve"> </w:t>
      </w:r>
      <w:r w:rsidRPr="000B56BE">
        <w:rPr>
          <w:rFonts w:ascii="Arial" w:hAnsi="Arial" w:cs="Arial"/>
          <w:sz w:val="20"/>
          <w:szCs w:val="20"/>
        </w:rPr>
        <w:t>relação às pessoas jurídicas que são efetivamente sujeitos passivos dessa</w:t>
      </w:r>
      <w:r>
        <w:rPr>
          <w:rFonts w:ascii="Arial" w:hAnsi="Arial" w:cs="Arial"/>
          <w:sz w:val="20"/>
          <w:szCs w:val="20"/>
        </w:rPr>
        <w:t xml:space="preserve"> </w:t>
      </w:r>
      <w:r w:rsidRPr="000B56BE">
        <w:rPr>
          <w:rFonts w:ascii="Arial" w:hAnsi="Arial" w:cs="Arial"/>
          <w:sz w:val="20"/>
          <w:szCs w:val="20"/>
        </w:rPr>
        <w:t>obrigação conforme legislação especial aplicável.</w:t>
      </w:r>
      <w:r>
        <w:rPr>
          <w:rFonts w:ascii="Arial" w:hAnsi="Arial" w:cs="Arial"/>
          <w:sz w:val="20"/>
          <w:szCs w:val="20"/>
        </w:rPr>
        <w:t xml:space="preserve"> </w:t>
      </w:r>
      <w:r w:rsidRPr="000B56BE">
        <w:rPr>
          <w:rFonts w:ascii="Arial" w:hAnsi="Arial" w:cs="Arial"/>
          <w:sz w:val="20"/>
          <w:szCs w:val="20"/>
        </w:rPr>
        <w:t>Ressalte-se que providências nesse sentido vêm sendo adotadas</w:t>
      </w:r>
      <w:r>
        <w:rPr>
          <w:rFonts w:ascii="Arial" w:hAnsi="Arial" w:cs="Arial"/>
          <w:sz w:val="20"/>
          <w:szCs w:val="20"/>
        </w:rPr>
        <w:t xml:space="preserve"> </w:t>
      </w:r>
      <w:r w:rsidRPr="000B56BE">
        <w:rPr>
          <w:rFonts w:ascii="Arial" w:hAnsi="Arial" w:cs="Arial"/>
          <w:sz w:val="20"/>
          <w:szCs w:val="20"/>
        </w:rPr>
        <w:t>por este Tribunal de Contas em relação às irregularidades verificadas em licitações destinadas a aquisições de pneus e outros, cite-se a exemplo o Acórdão n° 1045/164</w:t>
      </w:r>
      <w:r>
        <w:rPr>
          <w:rFonts w:ascii="Arial" w:hAnsi="Arial" w:cs="Arial"/>
          <w:sz w:val="20"/>
          <w:szCs w:val="20"/>
        </w:rPr>
        <w:t xml:space="preserve"> </w:t>
      </w:r>
      <w:r w:rsidRPr="000B56BE">
        <w:rPr>
          <w:rFonts w:ascii="Arial" w:hAnsi="Arial" w:cs="Arial"/>
          <w:sz w:val="20"/>
          <w:szCs w:val="20"/>
        </w:rPr>
        <w:t>do Tribunal Pleno.</w:t>
      </w:r>
    </w:p>
    <w:p w14:paraId="5DC5E918" w14:textId="77777777" w:rsidR="00E66EA0" w:rsidRDefault="00E66EA0" w:rsidP="00C831A3">
      <w:pPr>
        <w:autoSpaceDE w:val="0"/>
        <w:autoSpaceDN w:val="0"/>
        <w:adjustRightInd w:val="0"/>
        <w:spacing w:after="0"/>
        <w:jc w:val="both"/>
        <w:rPr>
          <w:rFonts w:ascii="Arial" w:hAnsi="Arial" w:cs="Arial"/>
          <w:sz w:val="20"/>
          <w:szCs w:val="20"/>
        </w:rPr>
      </w:pPr>
    </w:p>
    <w:p w14:paraId="0C8C22CD" w14:textId="77777777" w:rsidR="00E66EA0" w:rsidRPr="00230603" w:rsidRDefault="00E66EA0"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700756/18</w:t>
      </w:r>
      <w:r w:rsidRPr="00230603">
        <w:rPr>
          <w:rFonts w:ascii="Arial" w:hAnsi="Arial" w:cs="Arial"/>
          <w:sz w:val="20"/>
          <w:szCs w:val="20"/>
        </w:rPr>
        <w:t xml:space="preserve"> – </w:t>
      </w:r>
      <w:hyperlink r:id="rId16" w:history="1">
        <w:r w:rsidRPr="003E6B1F">
          <w:rPr>
            <w:rStyle w:val="Hyperlink"/>
            <w:rFonts w:ascii="Arial" w:hAnsi="Arial" w:cs="Arial"/>
            <w:sz w:val="20"/>
            <w:szCs w:val="20"/>
          </w:rPr>
          <w:t>Acórdão nº 1</w:t>
        </w:r>
        <w:r>
          <w:rPr>
            <w:rStyle w:val="Hyperlink"/>
            <w:rFonts w:ascii="Arial" w:hAnsi="Arial" w:cs="Arial"/>
            <w:sz w:val="20"/>
            <w:szCs w:val="20"/>
          </w:rPr>
          <w:t>607</w:t>
        </w:r>
        <w:r w:rsidRPr="003E6B1F">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 xml:space="preserve">Conselheiro Ivan </w:t>
      </w:r>
      <w:proofErr w:type="spellStart"/>
      <w:r>
        <w:rPr>
          <w:rFonts w:ascii="Arial" w:hAnsi="Arial" w:cs="Arial"/>
          <w:sz w:val="20"/>
          <w:szCs w:val="20"/>
        </w:rPr>
        <w:t>Lelis</w:t>
      </w:r>
      <w:proofErr w:type="spellEnd"/>
      <w:r>
        <w:rPr>
          <w:rFonts w:ascii="Arial" w:hAnsi="Arial" w:cs="Arial"/>
          <w:sz w:val="20"/>
          <w:szCs w:val="20"/>
        </w:rPr>
        <w:t xml:space="preserve"> Bonilha.</w:t>
      </w:r>
    </w:p>
    <w:p w14:paraId="192AAAC1" w14:textId="77777777" w:rsidR="00E66EA0" w:rsidRDefault="00E66EA0" w:rsidP="00C831A3">
      <w:pPr>
        <w:autoSpaceDE w:val="0"/>
        <w:autoSpaceDN w:val="0"/>
        <w:adjustRightInd w:val="0"/>
        <w:spacing w:after="0"/>
        <w:jc w:val="both"/>
        <w:rPr>
          <w:rFonts w:ascii="Arial" w:hAnsi="Arial" w:cs="Arial"/>
          <w:sz w:val="20"/>
          <w:szCs w:val="20"/>
        </w:rPr>
      </w:pPr>
    </w:p>
    <w:p w14:paraId="14E567E3" w14:textId="4744DF13"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10</w:t>
      </w:r>
      <w:r w:rsidR="00E66EA0" w:rsidRPr="00230603">
        <w:rPr>
          <w:rFonts w:ascii="Arial" w:hAnsi="Arial" w:cs="Arial"/>
          <w:b/>
          <w:sz w:val="20"/>
          <w:szCs w:val="20"/>
        </w:rPr>
        <w:t xml:space="preserve">. </w:t>
      </w:r>
      <w:r w:rsidR="00E66EA0">
        <w:rPr>
          <w:rFonts w:ascii="Arial" w:hAnsi="Arial" w:cs="Arial"/>
          <w:b/>
          <w:sz w:val="20"/>
          <w:szCs w:val="20"/>
        </w:rPr>
        <w:t>Denúncia. Cargos comissionados. Poder Executivo. Afronta à Constituição Federal e ao Prejulgado nº 25-TCE/PR. Procedência com expedição de determinação e recomendação.</w:t>
      </w:r>
    </w:p>
    <w:p w14:paraId="3FCF24AA" w14:textId="77777777" w:rsidR="00E66EA0" w:rsidRPr="00C831A3" w:rsidRDefault="00E66EA0" w:rsidP="00C831A3">
      <w:pPr>
        <w:autoSpaceDE w:val="0"/>
        <w:autoSpaceDN w:val="0"/>
        <w:adjustRightInd w:val="0"/>
        <w:spacing w:after="0"/>
        <w:jc w:val="both"/>
        <w:rPr>
          <w:rFonts w:ascii="Arial" w:hAnsi="Arial" w:cs="Arial"/>
          <w:sz w:val="20"/>
          <w:szCs w:val="20"/>
        </w:rPr>
      </w:pPr>
    </w:p>
    <w:p w14:paraId="08BE6640" w14:textId="77777777" w:rsidR="00E66EA0" w:rsidRDefault="00E66EA0"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ACORDAM os</w:t>
      </w:r>
      <w:r w:rsidRPr="005D1759">
        <w:rPr>
          <w:rFonts w:ascii="Arial" w:hAnsi="Arial" w:cs="Arial"/>
          <w:sz w:val="20"/>
          <w:szCs w:val="20"/>
        </w:rPr>
        <w:t xml:space="preserve"> membros do </w:t>
      </w:r>
      <w:r w:rsidRPr="00C831A3">
        <w:rPr>
          <w:rFonts w:ascii="Arial" w:hAnsi="Arial" w:cs="Arial"/>
          <w:sz w:val="20"/>
          <w:szCs w:val="20"/>
        </w:rPr>
        <w:t xml:space="preserve">Tribunal Pleno </w:t>
      </w:r>
      <w:r w:rsidRPr="005D1759">
        <w:rPr>
          <w:rFonts w:ascii="Arial" w:hAnsi="Arial" w:cs="Arial"/>
          <w:sz w:val="20"/>
          <w:szCs w:val="20"/>
        </w:rPr>
        <w:t>do TRIBUNAL DE CONTAS DO</w:t>
      </w:r>
      <w:r>
        <w:rPr>
          <w:rFonts w:ascii="Arial" w:hAnsi="Arial" w:cs="Arial"/>
          <w:sz w:val="20"/>
          <w:szCs w:val="20"/>
        </w:rPr>
        <w:t xml:space="preserve"> </w:t>
      </w:r>
      <w:r w:rsidRPr="005D1759">
        <w:rPr>
          <w:rFonts w:ascii="Arial" w:hAnsi="Arial" w:cs="Arial"/>
          <w:sz w:val="20"/>
          <w:szCs w:val="20"/>
        </w:rPr>
        <w:t>ESTADO DO</w:t>
      </w:r>
      <w:r>
        <w:rPr>
          <w:rFonts w:ascii="Arial" w:hAnsi="Arial" w:cs="Arial"/>
          <w:sz w:val="20"/>
          <w:szCs w:val="20"/>
        </w:rPr>
        <w:t xml:space="preserve"> P</w:t>
      </w:r>
      <w:r w:rsidRPr="005D1759">
        <w:rPr>
          <w:rFonts w:ascii="Arial" w:hAnsi="Arial" w:cs="Arial"/>
          <w:sz w:val="20"/>
          <w:szCs w:val="20"/>
        </w:rPr>
        <w:t>ARANÁ, nos termos do voto do Relator, por unanimidade em:</w:t>
      </w:r>
    </w:p>
    <w:p w14:paraId="0B656C96" w14:textId="77777777" w:rsidR="00E66EA0" w:rsidRPr="00C831A3" w:rsidRDefault="00E66EA0" w:rsidP="00C831A3">
      <w:pPr>
        <w:autoSpaceDE w:val="0"/>
        <w:autoSpaceDN w:val="0"/>
        <w:adjustRightInd w:val="0"/>
        <w:spacing w:after="0"/>
        <w:jc w:val="both"/>
        <w:rPr>
          <w:rFonts w:ascii="Arial" w:hAnsi="Arial" w:cs="Arial"/>
          <w:sz w:val="20"/>
          <w:szCs w:val="20"/>
        </w:rPr>
      </w:pPr>
    </w:p>
    <w:p w14:paraId="4D0366F8" w14:textId="77777777" w:rsidR="00E66EA0" w:rsidRPr="005D1759" w:rsidRDefault="00E66EA0" w:rsidP="00C831A3">
      <w:pPr>
        <w:autoSpaceDE w:val="0"/>
        <w:autoSpaceDN w:val="0"/>
        <w:adjustRightInd w:val="0"/>
        <w:spacing w:after="0"/>
        <w:jc w:val="both"/>
        <w:rPr>
          <w:rFonts w:ascii="Arial" w:hAnsi="Arial" w:cs="Arial"/>
          <w:sz w:val="20"/>
          <w:szCs w:val="20"/>
        </w:rPr>
      </w:pPr>
      <w:r w:rsidRPr="005D1759">
        <w:rPr>
          <w:rFonts w:ascii="Arial" w:hAnsi="Arial" w:cs="Arial"/>
          <w:sz w:val="20"/>
          <w:szCs w:val="20"/>
        </w:rPr>
        <w:t>I. Julgar pela procedência desta Denúncia, tendo em vista que os cargos em comissão CC6, CC7 e CC8</w:t>
      </w:r>
      <w:r>
        <w:rPr>
          <w:rFonts w:ascii="Arial" w:hAnsi="Arial" w:cs="Arial"/>
          <w:sz w:val="20"/>
          <w:szCs w:val="20"/>
        </w:rPr>
        <w:t xml:space="preserve"> </w:t>
      </w:r>
      <w:r w:rsidRPr="005D1759">
        <w:rPr>
          <w:rFonts w:ascii="Arial" w:hAnsi="Arial" w:cs="Arial"/>
          <w:sz w:val="20"/>
          <w:szCs w:val="20"/>
        </w:rPr>
        <w:t>englobam atribuições a serem desenvolvidas por servidores efetivos, caracterizando</w:t>
      </w:r>
      <w:r>
        <w:rPr>
          <w:rFonts w:ascii="Arial" w:hAnsi="Arial" w:cs="Arial"/>
          <w:sz w:val="20"/>
          <w:szCs w:val="20"/>
        </w:rPr>
        <w:t xml:space="preserve"> </w:t>
      </w:r>
      <w:r w:rsidRPr="005D1759">
        <w:rPr>
          <w:rFonts w:ascii="Arial" w:hAnsi="Arial" w:cs="Arial"/>
          <w:sz w:val="20"/>
          <w:szCs w:val="20"/>
        </w:rPr>
        <w:t>tal situação afronta à Constituição Federal e ao entendimento consolidado no</w:t>
      </w:r>
      <w:r>
        <w:rPr>
          <w:rFonts w:ascii="Arial" w:hAnsi="Arial" w:cs="Arial"/>
          <w:sz w:val="20"/>
          <w:szCs w:val="20"/>
        </w:rPr>
        <w:t xml:space="preserve"> </w:t>
      </w:r>
      <w:r w:rsidRPr="005D1759">
        <w:rPr>
          <w:rFonts w:ascii="Arial" w:hAnsi="Arial" w:cs="Arial"/>
          <w:sz w:val="20"/>
          <w:szCs w:val="20"/>
        </w:rPr>
        <w:t>Prejulgado n.º 25-TCE/PR;</w:t>
      </w:r>
    </w:p>
    <w:p w14:paraId="169225F1" w14:textId="77777777" w:rsidR="00E66EA0" w:rsidRPr="005D1759" w:rsidRDefault="00E66EA0" w:rsidP="00C831A3">
      <w:pPr>
        <w:autoSpaceDE w:val="0"/>
        <w:autoSpaceDN w:val="0"/>
        <w:adjustRightInd w:val="0"/>
        <w:spacing w:after="0"/>
        <w:jc w:val="both"/>
        <w:rPr>
          <w:rFonts w:ascii="Arial" w:hAnsi="Arial" w:cs="Arial"/>
          <w:sz w:val="20"/>
          <w:szCs w:val="20"/>
        </w:rPr>
      </w:pPr>
      <w:r w:rsidRPr="005D1759">
        <w:rPr>
          <w:rFonts w:ascii="Arial" w:hAnsi="Arial" w:cs="Arial"/>
          <w:sz w:val="20"/>
          <w:szCs w:val="20"/>
        </w:rPr>
        <w:t>II. Determinar ao Município que providencie, no prazo</w:t>
      </w:r>
      <w:r>
        <w:rPr>
          <w:rFonts w:ascii="Arial" w:hAnsi="Arial" w:cs="Arial"/>
          <w:sz w:val="20"/>
          <w:szCs w:val="20"/>
        </w:rPr>
        <w:t xml:space="preserve"> </w:t>
      </w:r>
      <w:r w:rsidRPr="005D1759">
        <w:rPr>
          <w:rFonts w:ascii="Arial" w:hAnsi="Arial" w:cs="Arial"/>
          <w:sz w:val="20"/>
          <w:szCs w:val="20"/>
        </w:rPr>
        <w:t>de 180 (cento e oitenta) dias, as devidas alterações na Lei Municipal n.º 3.744/2015,</w:t>
      </w:r>
      <w:r>
        <w:rPr>
          <w:rFonts w:ascii="Arial" w:hAnsi="Arial" w:cs="Arial"/>
          <w:sz w:val="20"/>
          <w:szCs w:val="20"/>
        </w:rPr>
        <w:t xml:space="preserve"> </w:t>
      </w:r>
      <w:r w:rsidRPr="005D1759">
        <w:rPr>
          <w:rFonts w:ascii="Arial" w:hAnsi="Arial" w:cs="Arial"/>
          <w:sz w:val="20"/>
          <w:szCs w:val="20"/>
        </w:rPr>
        <w:t>especificamente quanto aos cargos comissionados acima enumerados;</w:t>
      </w:r>
    </w:p>
    <w:p w14:paraId="7FC64CF6" w14:textId="0945B472" w:rsidR="00E66EA0" w:rsidRPr="005D1759" w:rsidRDefault="00E66EA0" w:rsidP="00C831A3">
      <w:pPr>
        <w:autoSpaceDE w:val="0"/>
        <w:autoSpaceDN w:val="0"/>
        <w:adjustRightInd w:val="0"/>
        <w:spacing w:after="0"/>
        <w:jc w:val="both"/>
        <w:rPr>
          <w:rFonts w:ascii="Arial" w:hAnsi="Arial" w:cs="Arial"/>
          <w:sz w:val="20"/>
          <w:szCs w:val="20"/>
        </w:rPr>
      </w:pPr>
      <w:r w:rsidRPr="005D1759">
        <w:rPr>
          <w:rFonts w:ascii="Arial" w:hAnsi="Arial" w:cs="Arial"/>
          <w:sz w:val="20"/>
          <w:szCs w:val="20"/>
        </w:rPr>
        <w:t>III. Recomendar à municipalidade que mantenha a constante</w:t>
      </w:r>
      <w:r>
        <w:rPr>
          <w:rFonts w:ascii="Arial" w:hAnsi="Arial" w:cs="Arial"/>
          <w:sz w:val="20"/>
          <w:szCs w:val="20"/>
        </w:rPr>
        <w:t xml:space="preserve"> </w:t>
      </w:r>
      <w:r w:rsidRPr="005D1759">
        <w:rPr>
          <w:rFonts w:ascii="Arial" w:hAnsi="Arial" w:cs="Arial"/>
          <w:sz w:val="20"/>
          <w:szCs w:val="20"/>
        </w:rPr>
        <w:t>redução no índice de despesas com pessoal, até que seja atingida a completa</w:t>
      </w:r>
      <w:r>
        <w:rPr>
          <w:rFonts w:ascii="Arial" w:hAnsi="Arial" w:cs="Arial"/>
          <w:sz w:val="20"/>
          <w:szCs w:val="20"/>
        </w:rPr>
        <w:t xml:space="preserve"> </w:t>
      </w:r>
      <w:r w:rsidRPr="005D1759">
        <w:rPr>
          <w:rFonts w:ascii="Arial" w:hAnsi="Arial" w:cs="Arial"/>
          <w:sz w:val="20"/>
          <w:szCs w:val="20"/>
        </w:rPr>
        <w:t>regularização</w:t>
      </w:r>
      <w:r w:rsidR="00C831A3">
        <w:rPr>
          <w:rFonts w:ascii="Arial" w:hAnsi="Arial" w:cs="Arial"/>
          <w:sz w:val="20"/>
          <w:szCs w:val="20"/>
        </w:rPr>
        <w:t>.</w:t>
      </w:r>
    </w:p>
    <w:p w14:paraId="75838555" w14:textId="77777777" w:rsidR="00E66EA0" w:rsidRPr="00FC38A5" w:rsidRDefault="00E66EA0" w:rsidP="00C831A3">
      <w:pPr>
        <w:autoSpaceDE w:val="0"/>
        <w:autoSpaceDN w:val="0"/>
        <w:adjustRightInd w:val="0"/>
        <w:spacing w:after="0"/>
        <w:jc w:val="both"/>
        <w:rPr>
          <w:rFonts w:ascii="Arial" w:hAnsi="Arial" w:cs="Arial"/>
          <w:sz w:val="20"/>
          <w:szCs w:val="20"/>
        </w:rPr>
      </w:pPr>
    </w:p>
    <w:p w14:paraId="519EF368" w14:textId="77777777" w:rsidR="00E66EA0" w:rsidRPr="00230603" w:rsidRDefault="00E66EA0"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lastRenderedPageBreak/>
        <w:t xml:space="preserve">Processo nº </w:t>
      </w:r>
      <w:r>
        <w:rPr>
          <w:rFonts w:ascii="Arial" w:hAnsi="Arial" w:cs="Arial"/>
          <w:sz w:val="20"/>
          <w:szCs w:val="20"/>
        </w:rPr>
        <w:t>793967/18</w:t>
      </w:r>
      <w:r w:rsidRPr="00230603">
        <w:rPr>
          <w:rFonts w:ascii="Arial" w:hAnsi="Arial" w:cs="Arial"/>
          <w:sz w:val="20"/>
          <w:szCs w:val="20"/>
        </w:rPr>
        <w:t xml:space="preserve"> –</w:t>
      </w:r>
      <w:hyperlink r:id="rId17" w:history="1">
        <w:r w:rsidRPr="00493AB0">
          <w:rPr>
            <w:rStyle w:val="Hyperlink"/>
            <w:rFonts w:ascii="Arial" w:hAnsi="Arial" w:cs="Arial"/>
            <w:sz w:val="20"/>
            <w:szCs w:val="20"/>
          </w:rPr>
          <w:t xml:space="preserve"> Acórdão nº 1610/19 – Tribunal Pleno</w:t>
        </w:r>
      </w:hyperlink>
      <w:r w:rsidRPr="00230603">
        <w:rPr>
          <w:rFonts w:ascii="Arial" w:hAnsi="Arial" w:cs="Arial"/>
          <w:sz w:val="20"/>
          <w:szCs w:val="20"/>
        </w:rPr>
        <w:t xml:space="preserve"> - Relator </w:t>
      </w:r>
      <w:r>
        <w:rPr>
          <w:rFonts w:ascii="Arial" w:hAnsi="Arial" w:cs="Arial"/>
          <w:sz w:val="20"/>
          <w:szCs w:val="20"/>
        </w:rPr>
        <w:t>Conselheiro Jose Durval Mattos do Amaral.</w:t>
      </w:r>
    </w:p>
    <w:p w14:paraId="59ECBB6A" w14:textId="77777777" w:rsidR="00E66EA0" w:rsidRDefault="00E66EA0" w:rsidP="00C831A3">
      <w:pPr>
        <w:autoSpaceDE w:val="0"/>
        <w:autoSpaceDN w:val="0"/>
        <w:adjustRightInd w:val="0"/>
        <w:spacing w:after="0"/>
        <w:jc w:val="both"/>
        <w:rPr>
          <w:rFonts w:ascii="Arial" w:hAnsi="Arial" w:cs="Arial"/>
          <w:sz w:val="20"/>
          <w:szCs w:val="20"/>
        </w:rPr>
      </w:pPr>
    </w:p>
    <w:p w14:paraId="69DEBB28" w14:textId="33EE10BC"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11</w:t>
      </w:r>
      <w:r w:rsidR="00E66EA0">
        <w:rPr>
          <w:rFonts w:ascii="Arial" w:hAnsi="Arial" w:cs="Arial"/>
          <w:b/>
          <w:sz w:val="20"/>
          <w:szCs w:val="20"/>
        </w:rPr>
        <w:t>. Representação da Lei nº 8.666/93. Tomada de Preços. Participação de Microempresas e Empresas de Pequeno Porte. Não concessão dos benefícios contidos na LC 123/2006. Irregularidade. Procedência parcial. Emissão de recomendação.</w:t>
      </w:r>
    </w:p>
    <w:p w14:paraId="20BECBB8" w14:textId="77777777" w:rsidR="00E66EA0" w:rsidRDefault="00E66EA0" w:rsidP="00C831A3">
      <w:pPr>
        <w:autoSpaceDE w:val="0"/>
        <w:autoSpaceDN w:val="0"/>
        <w:adjustRightInd w:val="0"/>
        <w:spacing w:after="0"/>
        <w:jc w:val="both"/>
        <w:rPr>
          <w:rFonts w:ascii="Arial" w:hAnsi="Arial" w:cs="Arial"/>
          <w:b/>
          <w:sz w:val="20"/>
          <w:szCs w:val="20"/>
        </w:rPr>
      </w:pPr>
    </w:p>
    <w:p w14:paraId="529A11AF" w14:textId="77777777" w:rsidR="00E66EA0" w:rsidRDefault="00E66EA0"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Parcialmente procedente a representação</w:t>
      </w:r>
      <w:r w:rsidRPr="00917077">
        <w:rPr>
          <w:rFonts w:ascii="Arial" w:hAnsi="Arial" w:cs="Arial"/>
          <w:sz w:val="20"/>
          <w:szCs w:val="20"/>
        </w:rPr>
        <w:t>, em razão de exigência de regularização da habilitação fiscal e trabalhista de microempresas e</w:t>
      </w:r>
      <w:r>
        <w:rPr>
          <w:rFonts w:ascii="Arial" w:hAnsi="Arial" w:cs="Arial"/>
          <w:sz w:val="20"/>
          <w:szCs w:val="20"/>
        </w:rPr>
        <w:t xml:space="preserve"> </w:t>
      </w:r>
      <w:r w:rsidRPr="00917077">
        <w:rPr>
          <w:rFonts w:ascii="Arial" w:hAnsi="Arial" w:cs="Arial"/>
          <w:sz w:val="20"/>
          <w:szCs w:val="20"/>
        </w:rPr>
        <w:t>empresas de pequeno antes do momento de formalização de contratos administrativos,</w:t>
      </w:r>
      <w:r>
        <w:rPr>
          <w:rFonts w:ascii="Arial" w:hAnsi="Arial" w:cs="Arial"/>
          <w:sz w:val="20"/>
          <w:szCs w:val="20"/>
        </w:rPr>
        <w:t xml:space="preserve"> </w:t>
      </w:r>
      <w:r w:rsidRPr="00917077">
        <w:rPr>
          <w:rFonts w:ascii="Arial" w:hAnsi="Arial" w:cs="Arial"/>
          <w:sz w:val="20"/>
          <w:szCs w:val="20"/>
        </w:rPr>
        <w:t>em violação ao previsto nos artigos 42 e 43 da LC nº 123/2006</w:t>
      </w:r>
      <w:r>
        <w:rPr>
          <w:rFonts w:ascii="Arial" w:hAnsi="Arial" w:cs="Arial"/>
          <w:sz w:val="20"/>
          <w:szCs w:val="20"/>
        </w:rPr>
        <w:t>.</w:t>
      </w:r>
    </w:p>
    <w:p w14:paraId="7BA5371E" w14:textId="77777777" w:rsidR="00E66EA0" w:rsidRDefault="00E66EA0" w:rsidP="00C831A3">
      <w:pPr>
        <w:autoSpaceDE w:val="0"/>
        <w:autoSpaceDN w:val="0"/>
        <w:adjustRightInd w:val="0"/>
        <w:spacing w:after="0"/>
        <w:jc w:val="both"/>
        <w:rPr>
          <w:rFonts w:ascii="Arial" w:hAnsi="Arial" w:cs="Arial"/>
          <w:sz w:val="20"/>
          <w:szCs w:val="20"/>
        </w:rPr>
      </w:pPr>
    </w:p>
    <w:p w14:paraId="0C408438" w14:textId="219FBAFD" w:rsidR="00E66EA0" w:rsidRPr="00917077" w:rsidRDefault="00E66EA0" w:rsidP="00C831A3">
      <w:pPr>
        <w:autoSpaceDE w:val="0"/>
        <w:autoSpaceDN w:val="0"/>
        <w:adjustRightInd w:val="0"/>
        <w:spacing w:after="0"/>
        <w:jc w:val="both"/>
        <w:rPr>
          <w:rFonts w:ascii="Arial" w:hAnsi="Arial" w:cs="Arial"/>
          <w:sz w:val="20"/>
          <w:szCs w:val="20"/>
        </w:rPr>
      </w:pPr>
      <w:r>
        <w:rPr>
          <w:rFonts w:ascii="Arial" w:hAnsi="Arial" w:cs="Arial"/>
          <w:sz w:val="20"/>
          <w:szCs w:val="20"/>
        </w:rPr>
        <w:t>R</w:t>
      </w:r>
      <w:r w:rsidRPr="00C831A3">
        <w:rPr>
          <w:rFonts w:ascii="Arial" w:hAnsi="Arial" w:cs="Arial"/>
          <w:sz w:val="20"/>
          <w:szCs w:val="20"/>
        </w:rPr>
        <w:t xml:space="preserve">ecomendação </w:t>
      </w:r>
      <w:r w:rsidRPr="00917077">
        <w:rPr>
          <w:rFonts w:ascii="Arial" w:hAnsi="Arial" w:cs="Arial"/>
          <w:sz w:val="20"/>
          <w:szCs w:val="20"/>
        </w:rPr>
        <w:t>ao Município para que atenda</w:t>
      </w:r>
      <w:r>
        <w:rPr>
          <w:rFonts w:ascii="Arial" w:hAnsi="Arial" w:cs="Arial"/>
          <w:sz w:val="20"/>
          <w:szCs w:val="20"/>
        </w:rPr>
        <w:t xml:space="preserve"> </w:t>
      </w:r>
      <w:r w:rsidRPr="00917077">
        <w:rPr>
          <w:rFonts w:ascii="Arial" w:hAnsi="Arial" w:cs="Arial"/>
          <w:sz w:val="20"/>
          <w:szCs w:val="20"/>
        </w:rPr>
        <w:t>adequadamente ao que prescreve o § 2º do art. 22 da Lei 8.666/93, permitindo a</w:t>
      </w:r>
      <w:r>
        <w:rPr>
          <w:rFonts w:ascii="Arial" w:hAnsi="Arial" w:cs="Arial"/>
          <w:sz w:val="20"/>
          <w:szCs w:val="20"/>
        </w:rPr>
        <w:t xml:space="preserve"> </w:t>
      </w:r>
      <w:r w:rsidRPr="00917077">
        <w:rPr>
          <w:rFonts w:ascii="Arial" w:hAnsi="Arial" w:cs="Arial"/>
          <w:sz w:val="20"/>
          <w:szCs w:val="20"/>
        </w:rPr>
        <w:t>regularização dos cadastramentos realizados dos interessados, mesmo após o período</w:t>
      </w:r>
      <w:r>
        <w:rPr>
          <w:rFonts w:ascii="Arial" w:hAnsi="Arial" w:cs="Arial"/>
          <w:sz w:val="20"/>
          <w:szCs w:val="20"/>
        </w:rPr>
        <w:t xml:space="preserve"> </w:t>
      </w:r>
      <w:r w:rsidRPr="00917077">
        <w:rPr>
          <w:rFonts w:ascii="Arial" w:hAnsi="Arial" w:cs="Arial"/>
          <w:sz w:val="20"/>
          <w:szCs w:val="20"/>
        </w:rPr>
        <w:t>de 3 dias prévios a apresentação dos envelopes, devendo atender também ao que</w:t>
      </w:r>
      <w:r>
        <w:rPr>
          <w:rFonts w:ascii="Arial" w:hAnsi="Arial" w:cs="Arial"/>
          <w:sz w:val="20"/>
          <w:szCs w:val="20"/>
        </w:rPr>
        <w:t xml:space="preserve"> </w:t>
      </w:r>
      <w:r w:rsidRPr="00917077">
        <w:rPr>
          <w:rFonts w:ascii="Arial" w:hAnsi="Arial" w:cs="Arial"/>
          <w:sz w:val="20"/>
          <w:szCs w:val="20"/>
        </w:rPr>
        <w:t>prescreve o art. 42 da Lei Complementar nº 123/2006, permitindo a regularização da</w:t>
      </w:r>
      <w:r>
        <w:rPr>
          <w:rFonts w:ascii="Arial" w:hAnsi="Arial" w:cs="Arial"/>
          <w:sz w:val="20"/>
          <w:szCs w:val="20"/>
        </w:rPr>
        <w:t xml:space="preserve"> </w:t>
      </w:r>
      <w:r w:rsidRPr="00917077">
        <w:rPr>
          <w:rFonts w:ascii="Arial" w:hAnsi="Arial" w:cs="Arial"/>
          <w:sz w:val="20"/>
          <w:szCs w:val="20"/>
        </w:rPr>
        <w:t>habilitação fiscal e trabalhista de Microempresas e Empresas de Pequeno Porte até o</w:t>
      </w:r>
      <w:r>
        <w:rPr>
          <w:rFonts w:ascii="Arial" w:hAnsi="Arial" w:cs="Arial"/>
          <w:sz w:val="20"/>
          <w:szCs w:val="20"/>
        </w:rPr>
        <w:t xml:space="preserve"> </w:t>
      </w:r>
      <w:r w:rsidRPr="00917077">
        <w:rPr>
          <w:rFonts w:ascii="Arial" w:hAnsi="Arial" w:cs="Arial"/>
          <w:sz w:val="20"/>
          <w:szCs w:val="20"/>
        </w:rPr>
        <w:t>momento da formalização dos respectivos contratos administrativos</w:t>
      </w:r>
      <w:r w:rsidR="00C831A3">
        <w:rPr>
          <w:rFonts w:ascii="Arial" w:hAnsi="Arial" w:cs="Arial"/>
          <w:sz w:val="20"/>
          <w:szCs w:val="20"/>
        </w:rPr>
        <w:t>.</w:t>
      </w:r>
    </w:p>
    <w:p w14:paraId="221D17CF" w14:textId="77777777" w:rsidR="00E66EA0" w:rsidRDefault="00E66EA0" w:rsidP="00C831A3">
      <w:pPr>
        <w:autoSpaceDE w:val="0"/>
        <w:autoSpaceDN w:val="0"/>
        <w:adjustRightInd w:val="0"/>
        <w:spacing w:after="0"/>
        <w:jc w:val="both"/>
        <w:rPr>
          <w:rFonts w:ascii="Arial" w:hAnsi="Arial" w:cs="Arial"/>
          <w:sz w:val="20"/>
          <w:szCs w:val="20"/>
        </w:rPr>
      </w:pPr>
    </w:p>
    <w:p w14:paraId="51273445" w14:textId="77777777" w:rsidR="00E66EA0" w:rsidRPr="00230603" w:rsidRDefault="00E66EA0"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695736/18</w:t>
      </w:r>
      <w:r w:rsidRPr="00230603">
        <w:rPr>
          <w:rFonts w:ascii="Arial" w:hAnsi="Arial" w:cs="Arial"/>
          <w:sz w:val="20"/>
          <w:szCs w:val="20"/>
        </w:rPr>
        <w:t xml:space="preserve"> –</w:t>
      </w:r>
      <w:hyperlink r:id="rId18" w:history="1">
        <w:r w:rsidRPr="00493AB0">
          <w:rPr>
            <w:rStyle w:val="Hyperlink"/>
            <w:rFonts w:ascii="Arial" w:hAnsi="Arial" w:cs="Arial"/>
            <w:sz w:val="20"/>
            <w:szCs w:val="20"/>
          </w:rPr>
          <w:t xml:space="preserve"> Acórdão nº 16</w:t>
        </w:r>
        <w:r>
          <w:rPr>
            <w:rStyle w:val="Hyperlink"/>
            <w:rFonts w:ascii="Arial" w:hAnsi="Arial" w:cs="Arial"/>
            <w:sz w:val="20"/>
            <w:szCs w:val="20"/>
          </w:rPr>
          <w:t>01</w:t>
        </w:r>
        <w:r w:rsidRPr="00493AB0">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Conselheiro Fernando Augusto Mello Guimarães.</w:t>
      </w:r>
    </w:p>
    <w:p w14:paraId="57C2A725" w14:textId="77777777" w:rsidR="00E66EA0" w:rsidRDefault="00E66EA0" w:rsidP="00C831A3">
      <w:pPr>
        <w:autoSpaceDE w:val="0"/>
        <w:autoSpaceDN w:val="0"/>
        <w:adjustRightInd w:val="0"/>
        <w:spacing w:after="0"/>
        <w:jc w:val="both"/>
        <w:rPr>
          <w:rFonts w:ascii="Arial" w:hAnsi="Arial" w:cs="Arial"/>
          <w:sz w:val="20"/>
          <w:szCs w:val="20"/>
        </w:rPr>
      </w:pPr>
    </w:p>
    <w:p w14:paraId="61930E2E" w14:textId="79951CA2" w:rsidR="00E66EA0" w:rsidRDefault="008C72F2" w:rsidP="00C831A3">
      <w:pPr>
        <w:autoSpaceDE w:val="0"/>
        <w:autoSpaceDN w:val="0"/>
        <w:adjustRightInd w:val="0"/>
        <w:spacing w:after="0"/>
        <w:jc w:val="both"/>
        <w:rPr>
          <w:rFonts w:ascii="Arial" w:hAnsi="Arial" w:cs="Arial"/>
          <w:b/>
          <w:sz w:val="20"/>
          <w:szCs w:val="20"/>
        </w:rPr>
      </w:pPr>
      <w:r>
        <w:rPr>
          <w:rFonts w:ascii="Arial" w:hAnsi="Arial" w:cs="Arial"/>
          <w:b/>
          <w:sz w:val="20"/>
          <w:szCs w:val="20"/>
        </w:rPr>
        <w:t>12</w:t>
      </w:r>
      <w:r w:rsidR="00E66EA0" w:rsidRPr="00230603">
        <w:rPr>
          <w:rFonts w:ascii="Arial" w:hAnsi="Arial" w:cs="Arial"/>
          <w:b/>
          <w:sz w:val="20"/>
          <w:szCs w:val="20"/>
        </w:rPr>
        <w:t xml:space="preserve">. </w:t>
      </w:r>
      <w:r w:rsidR="00E66EA0">
        <w:rPr>
          <w:rFonts w:ascii="Arial" w:hAnsi="Arial" w:cs="Arial"/>
          <w:b/>
          <w:sz w:val="20"/>
          <w:szCs w:val="20"/>
        </w:rPr>
        <w:t>Prejulgado. Interpretação das regras de transição da EC 41/03, 47/05 e 70/12, da Constituição Federal. Aprovação. Enunciados.</w:t>
      </w:r>
    </w:p>
    <w:p w14:paraId="6193EF73" w14:textId="77777777" w:rsidR="00E66EA0" w:rsidRPr="00E411CB" w:rsidRDefault="00E66EA0" w:rsidP="00C831A3">
      <w:pPr>
        <w:autoSpaceDE w:val="0"/>
        <w:autoSpaceDN w:val="0"/>
        <w:adjustRightInd w:val="0"/>
        <w:spacing w:after="0"/>
        <w:jc w:val="both"/>
        <w:rPr>
          <w:rFonts w:ascii="Arial" w:hAnsi="Arial" w:cs="Arial"/>
          <w:b/>
          <w:sz w:val="20"/>
          <w:szCs w:val="20"/>
        </w:rPr>
      </w:pPr>
    </w:p>
    <w:p w14:paraId="0355E878" w14:textId="77777777" w:rsidR="00E66EA0" w:rsidRDefault="00E66EA0" w:rsidP="00C831A3">
      <w:pPr>
        <w:autoSpaceDE w:val="0"/>
        <w:autoSpaceDN w:val="0"/>
        <w:adjustRightInd w:val="0"/>
        <w:spacing w:after="0"/>
        <w:jc w:val="both"/>
        <w:rPr>
          <w:rFonts w:ascii="Arial" w:hAnsi="Arial" w:cs="Arial"/>
          <w:sz w:val="20"/>
          <w:szCs w:val="20"/>
        </w:rPr>
      </w:pPr>
      <w:r w:rsidRPr="00C831A3">
        <w:rPr>
          <w:rFonts w:ascii="Arial" w:hAnsi="Arial" w:cs="Arial"/>
          <w:sz w:val="20"/>
          <w:szCs w:val="20"/>
        </w:rPr>
        <w:t xml:space="preserve">I. </w:t>
      </w:r>
      <w:r w:rsidRPr="00E411CB">
        <w:rPr>
          <w:rFonts w:ascii="Arial" w:hAnsi="Arial" w:cs="Arial"/>
          <w:sz w:val="20"/>
          <w:szCs w:val="20"/>
        </w:rPr>
        <w:t>aprovar o Prejulgado, em razão dos fundamentos expostos,</w:t>
      </w:r>
      <w:r>
        <w:rPr>
          <w:rFonts w:ascii="Arial" w:hAnsi="Arial" w:cs="Arial"/>
          <w:sz w:val="20"/>
          <w:szCs w:val="20"/>
        </w:rPr>
        <w:t xml:space="preserve"> </w:t>
      </w:r>
      <w:r w:rsidRPr="00E411CB">
        <w:rPr>
          <w:rFonts w:ascii="Arial" w:hAnsi="Arial" w:cs="Arial"/>
          <w:sz w:val="20"/>
          <w:szCs w:val="20"/>
        </w:rPr>
        <w:t>encerrando-o com os seguintes enunciados:</w:t>
      </w:r>
    </w:p>
    <w:p w14:paraId="285A0326"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a) Tempo de efetivo exercício no serviço público: tem interpretação</w:t>
      </w:r>
      <w:r>
        <w:rPr>
          <w:rFonts w:ascii="Arial" w:hAnsi="Arial" w:cs="Arial"/>
          <w:sz w:val="20"/>
          <w:szCs w:val="20"/>
        </w:rPr>
        <w:t xml:space="preserve"> </w:t>
      </w:r>
      <w:r w:rsidRPr="00E411CB">
        <w:rPr>
          <w:rFonts w:ascii="Arial" w:hAnsi="Arial" w:cs="Arial"/>
          <w:sz w:val="20"/>
          <w:szCs w:val="20"/>
        </w:rPr>
        <w:t>ampla nos termos do inciso VIII, do art. 2°, da Orientação Normativa n° 02/2009, do</w:t>
      </w:r>
      <w:r>
        <w:rPr>
          <w:rFonts w:ascii="Arial" w:hAnsi="Arial" w:cs="Arial"/>
          <w:sz w:val="20"/>
          <w:szCs w:val="20"/>
        </w:rPr>
        <w:t xml:space="preserve"> </w:t>
      </w:r>
      <w:r w:rsidRPr="00E411CB">
        <w:rPr>
          <w:rFonts w:ascii="Arial" w:hAnsi="Arial" w:cs="Arial"/>
          <w:sz w:val="20"/>
          <w:szCs w:val="20"/>
        </w:rPr>
        <w:t>Ministério da Previdência Social;</w:t>
      </w:r>
    </w:p>
    <w:p w14:paraId="20379648"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 xml:space="preserve">b) A expressão “ingressado no serviço público”, constante no </w:t>
      </w:r>
      <w:r w:rsidRPr="00C831A3">
        <w:rPr>
          <w:rFonts w:ascii="Arial" w:hAnsi="Arial" w:cs="Arial"/>
          <w:sz w:val="20"/>
          <w:szCs w:val="20"/>
        </w:rPr>
        <w:t xml:space="preserve">caput </w:t>
      </w:r>
      <w:r w:rsidRPr="00E411CB">
        <w:rPr>
          <w:rFonts w:ascii="Arial" w:hAnsi="Arial" w:cs="Arial"/>
          <w:sz w:val="20"/>
          <w:szCs w:val="20"/>
        </w:rPr>
        <w:t>dos</w:t>
      </w:r>
      <w:r>
        <w:rPr>
          <w:rFonts w:ascii="Arial" w:hAnsi="Arial" w:cs="Arial"/>
          <w:sz w:val="20"/>
          <w:szCs w:val="20"/>
        </w:rPr>
        <w:t xml:space="preserve"> </w:t>
      </w:r>
      <w:proofErr w:type="spellStart"/>
      <w:r w:rsidRPr="00E411CB">
        <w:rPr>
          <w:rFonts w:ascii="Arial" w:hAnsi="Arial" w:cs="Arial"/>
          <w:sz w:val="20"/>
          <w:szCs w:val="20"/>
        </w:rPr>
        <w:t>arts</w:t>
      </w:r>
      <w:proofErr w:type="spellEnd"/>
      <w:r w:rsidRPr="00E411CB">
        <w:rPr>
          <w:rFonts w:ascii="Arial" w:hAnsi="Arial" w:cs="Arial"/>
          <w:sz w:val="20"/>
          <w:szCs w:val="20"/>
        </w:rPr>
        <w:t>. 6° da EC 41/03 e 3° da EC 47/05 tem aplicação restritiva:</w:t>
      </w:r>
    </w:p>
    <w:p w14:paraId="0F8D1AF5"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b.1) aceita apenas o ingresso ocorrido na Administração Pública direta,</w:t>
      </w:r>
      <w:r>
        <w:rPr>
          <w:rFonts w:ascii="Arial" w:hAnsi="Arial" w:cs="Arial"/>
          <w:sz w:val="20"/>
          <w:szCs w:val="20"/>
        </w:rPr>
        <w:t xml:space="preserve"> </w:t>
      </w:r>
      <w:r w:rsidRPr="00E411CB">
        <w:rPr>
          <w:rFonts w:ascii="Arial" w:hAnsi="Arial" w:cs="Arial"/>
          <w:sz w:val="20"/>
          <w:szCs w:val="20"/>
        </w:rPr>
        <w:t>autárquica e fundacional;</w:t>
      </w:r>
    </w:p>
    <w:p w14:paraId="334FD177"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b.2) não aceita o ingresso ocorrido nas empresas públicas e</w:t>
      </w:r>
      <w:r>
        <w:rPr>
          <w:rFonts w:ascii="Arial" w:hAnsi="Arial" w:cs="Arial"/>
          <w:sz w:val="20"/>
          <w:szCs w:val="20"/>
        </w:rPr>
        <w:t xml:space="preserve"> </w:t>
      </w:r>
      <w:r w:rsidRPr="00E411CB">
        <w:rPr>
          <w:rFonts w:ascii="Arial" w:hAnsi="Arial" w:cs="Arial"/>
          <w:sz w:val="20"/>
          <w:szCs w:val="20"/>
        </w:rPr>
        <w:t>sociedades de economia mista;</w:t>
      </w:r>
    </w:p>
    <w:p w14:paraId="18239F5E"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b.3) aceita apenas o ingresso em cargo de provimento efetivo até as</w:t>
      </w:r>
      <w:r>
        <w:rPr>
          <w:rFonts w:ascii="Arial" w:hAnsi="Arial" w:cs="Arial"/>
          <w:sz w:val="20"/>
          <w:szCs w:val="20"/>
        </w:rPr>
        <w:t xml:space="preserve"> </w:t>
      </w:r>
      <w:r w:rsidRPr="00E411CB">
        <w:rPr>
          <w:rFonts w:ascii="Arial" w:hAnsi="Arial" w:cs="Arial"/>
          <w:sz w:val="20"/>
          <w:szCs w:val="20"/>
        </w:rPr>
        <w:t>datas das publicações das Emendas;</w:t>
      </w:r>
    </w:p>
    <w:p w14:paraId="29A5AA86"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c) A expressão “serviço público” constante dos incisos dos art. 6°, da</w:t>
      </w:r>
      <w:r>
        <w:rPr>
          <w:rFonts w:ascii="Arial" w:hAnsi="Arial" w:cs="Arial"/>
          <w:sz w:val="20"/>
          <w:szCs w:val="20"/>
        </w:rPr>
        <w:t xml:space="preserve"> </w:t>
      </w:r>
      <w:r w:rsidRPr="00E411CB">
        <w:rPr>
          <w:rFonts w:ascii="Arial" w:hAnsi="Arial" w:cs="Arial"/>
          <w:sz w:val="20"/>
          <w:szCs w:val="20"/>
        </w:rPr>
        <w:t>EC 41/03 e 3°, da EC 47/05 não possui condicionantes, motivo pelo qual deve ser</w:t>
      </w:r>
      <w:r>
        <w:rPr>
          <w:rFonts w:ascii="Arial" w:hAnsi="Arial" w:cs="Arial"/>
          <w:sz w:val="20"/>
          <w:szCs w:val="20"/>
        </w:rPr>
        <w:t xml:space="preserve"> </w:t>
      </w:r>
      <w:r w:rsidRPr="00E411CB">
        <w:rPr>
          <w:rFonts w:ascii="Arial" w:hAnsi="Arial" w:cs="Arial"/>
          <w:sz w:val="20"/>
          <w:szCs w:val="20"/>
        </w:rPr>
        <w:t>amplamente interpretada;</w:t>
      </w:r>
    </w:p>
    <w:p w14:paraId="538B9432"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d) Servidores que sofreram transposição de regime jurídico e que não</w:t>
      </w:r>
      <w:r>
        <w:rPr>
          <w:rFonts w:ascii="Arial" w:hAnsi="Arial" w:cs="Arial"/>
          <w:sz w:val="20"/>
          <w:szCs w:val="20"/>
        </w:rPr>
        <w:t xml:space="preserve"> </w:t>
      </w:r>
      <w:r w:rsidRPr="00E411CB">
        <w:rPr>
          <w:rFonts w:ascii="Arial" w:hAnsi="Arial" w:cs="Arial"/>
          <w:sz w:val="20"/>
          <w:szCs w:val="20"/>
        </w:rPr>
        <w:t>passaram pelo crivo de novo concurso público não detêm cargo em caráter efetivo,</w:t>
      </w:r>
      <w:r>
        <w:rPr>
          <w:rFonts w:ascii="Arial" w:hAnsi="Arial" w:cs="Arial"/>
          <w:sz w:val="20"/>
          <w:szCs w:val="20"/>
        </w:rPr>
        <w:t xml:space="preserve"> </w:t>
      </w:r>
      <w:r w:rsidRPr="00E411CB">
        <w:rPr>
          <w:rFonts w:ascii="Arial" w:hAnsi="Arial" w:cs="Arial"/>
          <w:sz w:val="20"/>
          <w:szCs w:val="20"/>
        </w:rPr>
        <w:t>logo, não poderão ser enquadrados nas regras de transição;</w:t>
      </w:r>
    </w:p>
    <w:p w14:paraId="2CC120E0"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lastRenderedPageBreak/>
        <w:t>e) os destinatários das regras de transição são definidos pelo momento</w:t>
      </w:r>
      <w:r>
        <w:rPr>
          <w:rFonts w:ascii="Arial" w:hAnsi="Arial" w:cs="Arial"/>
          <w:sz w:val="20"/>
          <w:szCs w:val="20"/>
        </w:rPr>
        <w:t xml:space="preserve"> </w:t>
      </w:r>
      <w:r w:rsidRPr="00E411CB">
        <w:rPr>
          <w:rFonts w:ascii="Arial" w:hAnsi="Arial" w:cs="Arial"/>
          <w:sz w:val="20"/>
          <w:szCs w:val="20"/>
        </w:rPr>
        <w:t xml:space="preserve">em que </w:t>
      </w:r>
      <w:r w:rsidRPr="00C831A3">
        <w:rPr>
          <w:rFonts w:ascii="Arial" w:hAnsi="Arial" w:cs="Arial"/>
          <w:sz w:val="20"/>
          <w:szCs w:val="20"/>
        </w:rPr>
        <w:t>ingressaram no RPPS</w:t>
      </w:r>
      <w:r w:rsidRPr="00E411CB">
        <w:rPr>
          <w:rFonts w:ascii="Arial" w:hAnsi="Arial" w:cs="Arial"/>
          <w:sz w:val="20"/>
          <w:szCs w:val="20"/>
        </w:rPr>
        <w:t>, ou seja, quem ingressou no regime previdenciário</w:t>
      </w:r>
      <w:r>
        <w:rPr>
          <w:rFonts w:ascii="Arial" w:hAnsi="Arial" w:cs="Arial"/>
          <w:sz w:val="20"/>
          <w:szCs w:val="20"/>
        </w:rPr>
        <w:t xml:space="preserve"> </w:t>
      </w:r>
      <w:r w:rsidRPr="00E411CB">
        <w:rPr>
          <w:rFonts w:ascii="Arial" w:hAnsi="Arial" w:cs="Arial"/>
          <w:sz w:val="20"/>
          <w:szCs w:val="20"/>
        </w:rPr>
        <w:t>próprio até as datas limites das emendas constitucionais estarão a elas submetidos:</w:t>
      </w:r>
    </w:p>
    <w:p w14:paraId="0816FBA2"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e.1) quem ingressou em cargo de provimento efetivo e estava</w:t>
      </w:r>
      <w:r>
        <w:rPr>
          <w:rFonts w:ascii="Arial" w:hAnsi="Arial" w:cs="Arial"/>
          <w:sz w:val="20"/>
          <w:szCs w:val="20"/>
        </w:rPr>
        <w:t xml:space="preserve"> </w:t>
      </w:r>
      <w:r w:rsidRPr="00E411CB">
        <w:rPr>
          <w:rFonts w:ascii="Arial" w:hAnsi="Arial" w:cs="Arial"/>
          <w:sz w:val="20"/>
          <w:szCs w:val="20"/>
        </w:rPr>
        <w:t>vinculado ao RPPS até 16 de dezembro de 1998 – EC 20;</w:t>
      </w:r>
    </w:p>
    <w:p w14:paraId="74C0298D" w14:textId="77777777"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e.2) quem ingressou em cargo de provimento efetivo e estava</w:t>
      </w:r>
      <w:r>
        <w:rPr>
          <w:rFonts w:ascii="Arial" w:hAnsi="Arial" w:cs="Arial"/>
          <w:sz w:val="20"/>
          <w:szCs w:val="20"/>
        </w:rPr>
        <w:t xml:space="preserve"> </w:t>
      </w:r>
      <w:r w:rsidRPr="00E411CB">
        <w:rPr>
          <w:rFonts w:ascii="Arial" w:hAnsi="Arial" w:cs="Arial"/>
          <w:sz w:val="20"/>
          <w:szCs w:val="20"/>
        </w:rPr>
        <w:t>vinculado ao RPPS até 31 de dezembro de 2003 – EC 41;</w:t>
      </w:r>
    </w:p>
    <w:p w14:paraId="0B06ECCE" w14:textId="14AE696F" w:rsidR="00E66EA0" w:rsidRPr="00E411CB" w:rsidRDefault="00E66EA0" w:rsidP="00C831A3">
      <w:pPr>
        <w:autoSpaceDE w:val="0"/>
        <w:autoSpaceDN w:val="0"/>
        <w:adjustRightInd w:val="0"/>
        <w:spacing w:after="0"/>
        <w:jc w:val="both"/>
        <w:rPr>
          <w:rFonts w:ascii="Arial" w:hAnsi="Arial" w:cs="Arial"/>
          <w:sz w:val="20"/>
          <w:szCs w:val="20"/>
        </w:rPr>
      </w:pPr>
      <w:r w:rsidRPr="00E411CB">
        <w:rPr>
          <w:rFonts w:ascii="Arial" w:hAnsi="Arial" w:cs="Arial"/>
          <w:sz w:val="20"/>
          <w:szCs w:val="20"/>
        </w:rPr>
        <w:t>e.3) quem ingressou em cargo de provimento efetivo e estava</w:t>
      </w:r>
      <w:r>
        <w:rPr>
          <w:rFonts w:ascii="Arial" w:hAnsi="Arial" w:cs="Arial"/>
          <w:sz w:val="20"/>
          <w:szCs w:val="20"/>
        </w:rPr>
        <w:t xml:space="preserve"> </w:t>
      </w:r>
      <w:r w:rsidRPr="00E411CB">
        <w:rPr>
          <w:rFonts w:ascii="Arial" w:hAnsi="Arial" w:cs="Arial"/>
          <w:sz w:val="20"/>
          <w:szCs w:val="20"/>
        </w:rPr>
        <w:t>vinculado ao RPPS até 06 de julho de 2005 – EC 47</w:t>
      </w:r>
      <w:r>
        <w:rPr>
          <w:rFonts w:ascii="Arial" w:hAnsi="Arial" w:cs="Arial"/>
          <w:sz w:val="20"/>
          <w:szCs w:val="20"/>
        </w:rPr>
        <w:t>.</w:t>
      </w:r>
    </w:p>
    <w:p w14:paraId="23B74193" w14:textId="77777777" w:rsidR="00E66EA0" w:rsidRDefault="00E66EA0" w:rsidP="00C831A3">
      <w:pPr>
        <w:autoSpaceDE w:val="0"/>
        <w:autoSpaceDN w:val="0"/>
        <w:adjustRightInd w:val="0"/>
        <w:spacing w:after="0"/>
        <w:jc w:val="both"/>
        <w:rPr>
          <w:rFonts w:ascii="Arial" w:hAnsi="Arial" w:cs="Arial"/>
          <w:sz w:val="20"/>
          <w:szCs w:val="20"/>
        </w:rPr>
      </w:pPr>
    </w:p>
    <w:p w14:paraId="485B7AB8" w14:textId="77777777" w:rsidR="00E66EA0" w:rsidRPr="00230603" w:rsidRDefault="00E66EA0" w:rsidP="00C831A3">
      <w:pPr>
        <w:autoSpaceDE w:val="0"/>
        <w:autoSpaceDN w:val="0"/>
        <w:adjustRightInd w:val="0"/>
        <w:spacing w:after="0"/>
        <w:jc w:val="both"/>
        <w:rPr>
          <w:rFonts w:ascii="Arial" w:hAnsi="Arial" w:cs="Arial"/>
          <w:sz w:val="20"/>
          <w:szCs w:val="20"/>
        </w:rPr>
      </w:pPr>
      <w:r w:rsidRPr="00230603">
        <w:rPr>
          <w:rFonts w:ascii="Arial" w:hAnsi="Arial" w:cs="Arial"/>
          <w:sz w:val="20"/>
          <w:szCs w:val="20"/>
        </w:rPr>
        <w:t xml:space="preserve">Processo nº </w:t>
      </w:r>
      <w:r>
        <w:rPr>
          <w:rFonts w:ascii="Arial" w:hAnsi="Arial" w:cs="Arial"/>
          <w:sz w:val="20"/>
          <w:szCs w:val="20"/>
        </w:rPr>
        <w:t>593585/18</w:t>
      </w:r>
      <w:r w:rsidRPr="00230603">
        <w:rPr>
          <w:rFonts w:ascii="Arial" w:hAnsi="Arial" w:cs="Arial"/>
          <w:sz w:val="20"/>
          <w:szCs w:val="20"/>
        </w:rPr>
        <w:t xml:space="preserve"> –</w:t>
      </w:r>
      <w:hyperlink r:id="rId19" w:history="1">
        <w:r w:rsidRPr="00493AB0">
          <w:rPr>
            <w:rStyle w:val="Hyperlink"/>
            <w:rFonts w:ascii="Arial" w:hAnsi="Arial" w:cs="Arial"/>
            <w:sz w:val="20"/>
            <w:szCs w:val="20"/>
          </w:rPr>
          <w:t xml:space="preserve"> Acórdão nº 16</w:t>
        </w:r>
        <w:r>
          <w:rPr>
            <w:rStyle w:val="Hyperlink"/>
            <w:rFonts w:ascii="Arial" w:hAnsi="Arial" w:cs="Arial"/>
            <w:sz w:val="20"/>
            <w:szCs w:val="20"/>
          </w:rPr>
          <w:t>03</w:t>
        </w:r>
        <w:r w:rsidRPr="00493AB0">
          <w:rPr>
            <w:rStyle w:val="Hyperlink"/>
            <w:rFonts w:ascii="Arial" w:hAnsi="Arial" w:cs="Arial"/>
            <w:sz w:val="20"/>
            <w:szCs w:val="20"/>
          </w:rPr>
          <w:t>/19 – Tribunal Pleno</w:t>
        </w:r>
      </w:hyperlink>
      <w:r w:rsidRPr="00230603">
        <w:rPr>
          <w:rFonts w:ascii="Arial" w:hAnsi="Arial" w:cs="Arial"/>
          <w:sz w:val="20"/>
          <w:szCs w:val="20"/>
        </w:rPr>
        <w:t xml:space="preserve"> - Relator </w:t>
      </w:r>
      <w:r>
        <w:rPr>
          <w:rFonts w:ascii="Arial" w:hAnsi="Arial" w:cs="Arial"/>
          <w:sz w:val="20"/>
          <w:szCs w:val="20"/>
        </w:rPr>
        <w:t>Conselheiro Fernando Augusto Mello Guimarães.</w:t>
      </w:r>
    </w:p>
    <w:p w14:paraId="5E9CFD7F" w14:textId="77777777" w:rsidR="00415D4A" w:rsidRPr="00BE7ED0" w:rsidRDefault="00415D4A" w:rsidP="00C831A3">
      <w:pPr>
        <w:autoSpaceDE w:val="0"/>
        <w:autoSpaceDN w:val="0"/>
        <w:adjustRightInd w:val="0"/>
        <w:spacing w:after="0"/>
        <w:jc w:val="both"/>
        <w:rPr>
          <w:rFonts w:ascii="Arial" w:hAnsi="Arial" w:cs="Arial"/>
          <w:sz w:val="20"/>
          <w:szCs w:val="20"/>
        </w:rPr>
      </w:pPr>
    </w:p>
    <w:p w14:paraId="4A70CAD0" w14:textId="362E850F" w:rsidR="007C18E7" w:rsidRPr="00BE7ED0" w:rsidRDefault="007C18E7" w:rsidP="00C831A3">
      <w:pPr>
        <w:autoSpaceDE w:val="0"/>
        <w:autoSpaceDN w:val="0"/>
        <w:adjustRightInd w:val="0"/>
        <w:spacing w:after="0"/>
        <w:jc w:val="both"/>
        <w:rPr>
          <w:rFonts w:ascii="Arial" w:hAnsi="Arial" w:cs="Arial"/>
          <w:sz w:val="20"/>
          <w:szCs w:val="20"/>
        </w:rPr>
      </w:pPr>
      <w:r w:rsidRPr="00BE7ED0">
        <w:rPr>
          <w:rFonts w:ascii="Arial" w:hAnsi="Arial" w:cs="Arial"/>
          <w:sz w:val="20"/>
          <w:szCs w:val="20"/>
        </w:rPr>
        <w:t xml:space="preserve">Observações: </w:t>
      </w:r>
    </w:p>
    <w:p w14:paraId="6421775C" w14:textId="77777777" w:rsidR="007C18E7" w:rsidRPr="00BE7ED0" w:rsidRDefault="007C18E7" w:rsidP="00C831A3">
      <w:pPr>
        <w:spacing w:after="0"/>
        <w:rPr>
          <w:rFonts w:ascii="Arial" w:hAnsi="Arial" w:cs="Arial"/>
          <w:b/>
          <w:color w:val="000000"/>
          <w:sz w:val="20"/>
          <w:szCs w:val="20"/>
        </w:rPr>
      </w:pPr>
      <w:r w:rsidRPr="00BE7ED0">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15E1555D" w14:textId="77777777" w:rsidR="00C31BD9" w:rsidRPr="00BE7ED0" w:rsidRDefault="00C31BD9" w:rsidP="00C831A3">
      <w:pPr>
        <w:spacing w:after="0"/>
        <w:rPr>
          <w:rFonts w:ascii="Arial" w:hAnsi="Arial" w:cs="Arial"/>
          <w:color w:val="000000"/>
          <w:sz w:val="20"/>
          <w:szCs w:val="20"/>
        </w:rPr>
      </w:pPr>
    </w:p>
    <w:p w14:paraId="72ECF08A" w14:textId="538E51B4" w:rsidR="007C18E7" w:rsidRPr="00BE7ED0" w:rsidRDefault="007C18E7" w:rsidP="00C831A3">
      <w:pPr>
        <w:spacing w:after="0"/>
        <w:rPr>
          <w:rFonts w:ascii="Arial" w:hAnsi="Arial" w:cs="Arial"/>
          <w:color w:val="000000"/>
          <w:sz w:val="20"/>
          <w:szCs w:val="20"/>
        </w:rPr>
      </w:pPr>
      <w:r w:rsidRPr="00BE7ED0">
        <w:rPr>
          <w:rFonts w:ascii="Arial" w:hAnsi="Arial" w:cs="Arial"/>
          <w:color w:val="000000"/>
          <w:sz w:val="20"/>
          <w:szCs w:val="20"/>
        </w:rPr>
        <w:t xml:space="preserve">Jurisprudência Selecionada: </w:t>
      </w:r>
    </w:p>
    <w:p w14:paraId="6A58012F" w14:textId="68785C33" w:rsidR="0056381E" w:rsidRDefault="0056381E" w:rsidP="00C831A3">
      <w:pPr>
        <w:autoSpaceDE w:val="0"/>
        <w:autoSpaceDN w:val="0"/>
        <w:adjustRightInd w:val="0"/>
        <w:spacing w:after="0"/>
        <w:jc w:val="both"/>
        <w:rPr>
          <w:rFonts w:ascii="Arial" w:hAnsi="Arial" w:cs="Arial"/>
          <w:sz w:val="20"/>
          <w:szCs w:val="20"/>
        </w:rPr>
      </w:pPr>
    </w:p>
    <w:p w14:paraId="6C75F95A" w14:textId="2708669B" w:rsidR="008C72F2" w:rsidRDefault="00EC79AC" w:rsidP="00C831A3">
      <w:pPr>
        <w:autoSpaceDE w:val="0"/>
        <w:autoSpaceDN w:val="0"/>
        <w:adjustRightInd w:val="0"/>
        <w:spacing w:after="0"/>
        <w:jc w:val="both"/>
        <w:rPr>
          <w:rFonts w:ascii="Arial" w:hAnsi="Arial" w:cs="Arial"/>
          <w:sz w:val="20"/>
          <w:szCs w:val="20"/>
        </w:rPr>
      </w:pPr>
      <w:r>
        <w:rPr>
          <w:rFonts w:ascii="Arial" w:hAnsi="Arial" w:cs="Arial"/>
          <w:sz w:val="20"/>
          <w:szCs w:val="20"/>
        </w:rPr>
        <w:t>Tribunal de Contas da União</w:t>
      </w:r>
    </w:p>
    <w:p w14:paraId="08550335" w14:textId="77777777" w:rsidR="00C831A3" w:rsidRDefault="00C831A3" w:rsidP="00C831A3">
      <w:pPr>
        <w:autoSpaceDE w:val="0"/>
        <w:autoSpaceDN w:val="0"/>
        <w:adjustRightInd w:val="0"/>
        <w:spacing w:after="0"/>
        <w:jc w:val="both"/>
        <w:rPr>
          <w:rFonts w:ascii="Arial" w:hAnsi="Arial" w:cs="Arial"/>
          <w:sz w:val="20"/>
          <w:szCs w:val="20"/>
        </w:rPr>
      </w:pPr>
      <w:bookmarkStart w:id="0" w:name="_GoBack"/>
      <w:bookmarkEnd w:id="0"/>
    </w:p>
    <w:p w14:paraId="74272CF8" w14:textId="57DBD44F" w:rsidR="00EC79AC" w:rsidRDefault="009052D8" w:rsidP="00C831A3">
      <w:pPr>
        <w:pStyle w:val="TCU-Epgrafe"/>
        <w:spacing w:line="276" w:lineRule="auto"/>
        <w:ind w:left="0"/>
        <w:rPr>
          <w:rFonts w:ascii="Arial" w:hAnsi="Arial" w:cs="Arial"/>
          <w:sz w:val="20"/>
        </w:rPr>
      </w:pPr>
      <w:hyperlink r:id="rId20" w:history="1">
        <w:r w:rsidR="00EC592E" w:rsidRPr="009052D8">
          <w:rPr>
            <w:rStyle w:val="Hyperlink"/>
            <w:rFonts w:ascii="Arial" w:hAnsi="Arial" w:cs="Arial"/>
            <w:b/>
            <w:sz w:val="20"/>
          </w:rPr>
          <w:t>Acórdão 1529/2019 Plenário</w:t>
        </w:r>
      </w:hyperlink>
      <w:r w:rsidR="00EC592E" w:rsidRPr="00F76D36">
        <w:rPr>
          <w:rFonts w:ascii="Arial" w:hAnsi="Arial" w:cs="Arial"/>
          <w:sz w:val="20"/>
        </w:rPr>
        <w:t xml:space="preserve"> (Pedido de Reexame, Relator Ministro Benjamin </w:t>
      </w:r>
      <w:proofErr w:type="spellStart"/>
      <w:r w:rsidR="00EC592E" w:rsidRPr="00F76D36">
        <w:rPr>
          <w:rFonts w:ascii="Arial" w:hAnsi="Arial" w:cs="Arial"/>
          <w:sz w:val="20"/>
        </w:rPr>
        <w:t>Zymler</w:t>
      </w:r>
      <w:proofErr w:type="spellEnd"/>
      <w:r w:rsidR="00EC592E" w:rsidRPr="00F76D36">
        <w:rPr>
          <w:rFonts w:ascii="Arial" w:hAnsi="Arial" w:cs="Arial"/>
          <w:sz w:val="20"/>
        </w:rPr>
        <w:t xml:space="preserve">) Responsabilidade. Culpa. Supervisão. Culpa in vigilando. Culpa in </w:t>
      </w:r>
      <w:proofErr w:type="spellStart"/>
      <w:r w:rsidR="00EC592E" w:rsidRPr="00F76D36">
        <w:rPr>
          <w:rFonts w:ascii="Arial" w:hAnsi="Arial" w:cs="Arial"/>
          <w:sz w:val="20"/>
        </w:rPr>
        <w:t>eligendo</w:t>
      </w:r>
      <w:proofErr w:type="spellEnd"/>
      <w:r w:rsidR="00EC592E" w:rsidRPr="00F76D36">
        <w:rPr>
          <w:rFonts w:ascii="Arial" w:hAnsi="Arial" w:cs="Arial"/>
          <w:sz w:val="20"/>
        </w:rPr>
        <w:t>. Gestor. Não cabe a responsabilização de dirigente de órgão ou entidade por irregularidade que só poderia ser detectada mediante completa e minuciosa revisão dos atos praticados pelos subordinados, sobretudo na presença de pareceres técnico e jurídico recomendando a prática do negócio jurídico, salvo quando se tratar de falha grosseira ou situação recorrente, que impede o reconhecimento da irregularidade como caso isolado.</w:t>
      </w:r>
    </w:p>
    <w:p w14:paraId="276CACBF" w14:textId="77777777" w:rsidR="00C831A3" w:rsidRDefault="00C831A3" w:rsidP="00C831A3">
      <w:pPr>
        <w:pStyle w:val="TCU-Epgrafe"/>
        <w:spacing w:line="276" w:lineRule="auto"/>
        <w:ind w:left="0"/>
        <w:rPr>
          <w:rFonts w:ascii="Arial" w:hAnsi="Arial" w:cs="Arial"/>
          <w:sz w:val="20"/>
        </w:rPr>
      </w:pPr>
    </w:p>
    <w:p w14:paraId="17C434F1" w14:textId="4EDB735A" w:rsidR="00F76D36" w:rsidRPr="00F76D36" w:rsidRDefault="009052D8" w:rsidP="00C831A3">
      <w:pPr>
        <w:pStyle w:val="TCU-Epgrafe"/>
        <w:spacing w:line="276" w:lineRule="auto"/>
        <w:ind w:left="0"/>
        <w:rPr>
          <w:rFonts w:ascii="Arial" w:hAnsi="Arial" w:cs="Arial"/>
          <w:sz w:val="20"/>
        </w:rPr>
      </w:pPr>
      <w:hyperlink r:id="rId21" w:history="1">
        <w:r w:rsidR="00EC592E" w:rsidRPr="009052D8">
          <w:rPr>
            <w:rStyle w:val="Hyperlink"/>
            <w:rFonts w:ascii="Arial" w:hAnsi="Arial" w:cs="Arial"/>
            <w:b/>
            <w:sz w:val="20"/>
          </w:rPr>
          <w:t>Acórdão 4476/2019 Segunda Câmara</w:t>
        </w:r>
      </w:hyperlink>
      <w:r w:rsidR="00EC592E" w:rsidRPr="00F76D36">
        <w:rPr>
          <w:rFonts w:ascii="Arial" w:hAnsi="Arial" w:cs="Arial"/>
          <w:sz w:val="20"/>
        </w:rPr>
        <w:t xml:space="preserve"> (Tomada de Contas Especial, Relator Ministro-Substituto Marcos </w:t>
      </w:r>
      <w:proofErr w:type="spellStart"/>
      <w:r w:rsidR="00EC592E" w:rsidRPr="00F76D36">
        <w:rPr>
          <w:rFonts w:ascii="Arial" w:hAnsi="Arial" w:cs="Arial"/>
          <w:sz w:val="20"/>
        </w:rPr>
        <w:t>Bemquerer</w:t>
      </w:r>
      <w:proofErr w:type="spellEnd"/>
      <w:r w:rsidR="00EC592E" w:rsidRPr="00F76D36">
        <w:rPr>
          <w:rFonts w:ascii="Arial" w:hAnsi="Arial" w:cs="Arial"/>
          <w:sz w:val="20"/>
        </w:rPr>
        <w:t xml:space="preserve">) </w:t>
      </w:r>
    </w:p>
    <w:p w14:paraId="543643BE" w14:textId="4B65B456" w:rsidR="00EC592E" w:rsidRPr="00F76D36" w:rsidRDefault="00EC592E" w:rsidP="00C831A3">
      <w:pPr>
        <w:pStyle w:val="TCU-Epgrafe"/>
        <w:spacing w:line="276" w:lineRule="auto"/>
        <w:ind w:left="0"/>
        <w:rPr>
          <w:rFonts w:ascii="Arial" w:hAnsi="Arial" w:cs="Arial"/>
          <w:sz w:val="20"/>
        </w:rPr>
      </w:pPr>
      <w:r w:rsidRPr="00F76D36">
        <w:rPr>
          <w:rFonts w:ascii="Arial" w:hAnsi="Arial" w:cs="Arial"/>
          <w:sz w:val="20"/>
        </w:rPr>
        <w:t>Responsabilidade. Entidade de direito privado. Empresário individual. Débito. No caso de firma individual ou de empresário individual, os bens particulares respondem integral e solidariamente por débito imputado pelo TCU, já que o empresário atua em nome próprio, não havendo distinção entre o patrimônio da empresa e o da pessoa física do sócio único.</w:t>
      </w:r>
    </w:p>
    <w:p w14:paraId="29967D8C" w14:textId="0D5B360F" w:rsidR="00EC592E" w:rsidRPr="00F76D36" w:rsidRDefault="00EC592E" w:rsidP="00C831A3">
      <w:pPr>
        <w:pStyle w:val="TCU-Epgrafe"/>
        <w:spacing w:line="276" w:lineRule="auto"/>
        <w:ind w:left="0"/>
        <w:rPr>
          <w:rFonts w:ascii="Arial" w:hAnsi="Arial" w:cs="Arial"/>
          <w:sz w:val="20"/>
        </w:rPr>
      </w:pPr>
    </w:p>
    <w:p w14:paraId="7F359AE3" w14:textId="18FF1645" w:rsidR="00EC592E" w:rsidRDefault="009052D8" w:rsidP="00C831A3">
      <w:pPr>
        <w:pStyle w:val="TCU-Epgrafe"/>
        <w:spacing w:line="276" w:lineRule="auto"/>
        <w:ind w:left="0"/>
        <w:rPr>
          <w:rFonts w:ascii="Arial" w:hAnsi="Arial" w:cs="Arial"/>
          <w:sz w:val="20"/>
        </w:rPr>
      </w:pPr>
      <w:hyperlink r:id="rId22" w:history="1">
        <w:r w:rsidR="00EC592E" w:rsidRPr="009052D8">
          <w:rPr>
            <w:rStyle w:val="Hyperlink"/>
            <w:rFonts w:ascii="Arial" w:hAnsi="Arial" w:cs="Arial"/>
            <w:b/>
            <w:sz w:val="20"/>
          </w:rPr>
          <w:t>Acórdão 1435/2019 Plenário</w:t>
        </w:r>
      </w:hyperlink>
      <w:r w:rsidR="00EC592E" w:rsidRPr="00F76D36">
        <w:rPr>
          <w:rFonts w:ascii="Arial" w:hAnsi="Arial" w:cs="Arial"/>
          <w:sz w:val="20"/>
        </w:rPr>
        <w:t xml:space="preserve"> (Aposentadoria, Redator Ministro Walton Alencar Rodrigues) Tempo de serviço. Advocacia. Magistrado. Contribuição previdenciária. Certidão. Marco temporal. OAB. É legal, para fins de aposentadoria de magistrado, a contagem do tempo exercido como advogado, independentemente do recolhimento das contribuições previdenciárias, desde que comprovado por meio de certidão da OAB, apenas para os interessados que ingressaram na carreira antes do advento da EC 20, de 16/12/1998.</w:t>
      </w:r>
    </w:p>
    <w:p w14:paraId="1567DAE0" w14:textId="77777777" w:rsidR="00B268CE" w:rsidRDefault="00B268CE" w:rsidP="00C831A3">
      <w:pPr>
        <w:autoSpaceDE w:val="0"/>
        <w:autoSpaceDN w:val="0"/>
        <w:adjustRightInd w:val="0"/>
        <w:spacing w:after="0"/>
        <w:jc w:val="both"/>
        <w:rPr>
          <w:rFonts w:ascii="Arial" w:hAnsi="Arial" w:cs="Arial"/>
          <w:sz w:val="20"/>
          <w:szCs w:val="20"/>
        </w:rPr>
      </w:pPr>
    </w:p>
    <w:p w14:paraId="252D7D0D" w14:textId="77777777" w:rsidR="007C18E7" w:rsidRPr="00BE7ED0" w:rsidRDefault="007C18E7" w:rsidP="00C831A3">
      <w:pPr>
        <w:pStyle w:val="Default"/>
        <w:spacing w:line="276" w:lineRule="auto"/>
        <w:jc w:val="both"/>
        <w:rPr>
          <w:b/>
          <w:sz w:val="20"/>
          <w:szCs w:val="20"/>
        </w:rPr>
      </w:pPr>
      <w:r w:rsidRPr="00BE7ED0">
        <w:rPr>
          <w:b/>
          <w:sz w:val="20"/>
          <w:szCs w:val="20"/>
        </w:rPr>
        <w:lastRenderedPageBreak/>
        <w:t xml:space="preserve">Acesse também: </w:t>
      </w:r>
    </w:p>
    <w:p w14:paraId="5D2329DF" w14:textId="77777777" w:rsidR="007C18E7" w:rsidRPr="00BE7ED0" w:rsidRDefault="00C831A3" w:rsidP="00C831A3">
      <w:pPr>
        <w:pStyle w:val="Default"/>
        <w:spacing w:line="276" w:lineRule="auto"/>
        <w:jc w:val="center"/>
        <w:rPr>
          <w:rStyle w:val="Hyperlink"/>
          <w:b/>
          <w:sz w:val="20"/>
          <w:szCs w:val="20"/>
        </w:rPr>
      </w:pPr>
      <w:hyperlink r:id="rId23" w:history="1">
        <w:r w:rsidR="007C18E7" w:rsidRPr="00BE7ED0">
          <w:rPr>
            <w:rStyle w:val="Hyperlink"/>
            <w:b/>
            <w:sz w:val="20"/>
            <w:szCs w:val="20"/>
          </w:rPr>
          <w:t>Pesquisas Prontas</w:t>
        </w:r>
      </w:hyperlink>
    </w:p>
    <w:p w14:paraId="290A3B29" w14:textId="77777777" w:rsidR="007C18E7" w:rsidRPr="00BE7ED0" w:rsidRDefault="007C18E7" w:rsidP="00C831A3">
      <w:pPr>
        <w:pStyle w:val="Default"/>
        <w:spacing w:line="276" w:lineRule="auto"/>
        <w:jc w:val="center"/>
        <w:rPr>
          <w:rStyle w:val="Hyperlink"/>
          <w:b/>
          <w:sz w:val="20"/>
          <w:szCs w:val="20"/>
        </w:rPr>
      </w:pPr>
    </w:p>
    <w:p w14:paraId="088C63FF" w14:textId="77777777" w:rsidR="007C18E7" w:rsidRPr="00BE7ED0" w:rsidRDefault="00C831A3" w:rsidP="00C831A3">
      <w:pPr>
        <w:pStyle w:val="Default"/>
        <w:spacing w:line="276" w:lineRule="auto"/>
        <w:jc w:val="center"/>
        <w:rPr>
          <w:rStyle w:val="Hyperlink"/>
          <w:b/>
          <w:sz w:val="20"/>
          <w:szCs w:val="20"/>
        </w:rPr>
      </w:pPr>
      <w:hyperlink r:id="rId24" w:history="1">
        <w:r w:rsidR="007C18E7" w:rsidRPr="00BE7ED0">
          <w:rPr>
            <w:rStyle w:val="Hyperlink"/>
            <w:b/>
            <w:sz w:val="20"/>
            <w:szCs w:val="20"/>
          </w:rPr>
          <w:t>Teses Ambientais</w:t>
        </w:r>
      </w:hyperlink>
      <w:r w:rsidR="007C18E7" w:rsidRPr="00BE7ED0">
        <w:rPr>
          <w:rStyle w:val="Hyperlink"/>
          <w:b/>
          <w:sz w:val="20"/>
          <w:szCs w:val="20"/>
        </w:rPr>
        <w:t xml:space="preserve"> </w:t>
      </w:r>
    </w:p>
    <w:p w14:paraId="0CE4E7C9" w14:textId="77777777" w:rsidR="007C18E7" w:rsidRPr="00BE7ED0" w:rsidRDefault="007C18E7" w:rsidP="00C831A3">
      <w:pPr>
        <w:pStyle w:val="Default"/>
        <w:spacing w:line="276" w:lineRule="auto"/>
        <w:jc w:val="center"/>
        <w:rPr>
          <w:rStyle w:val="Hyperlink"/>
          <w:b/>
          <w:sz w:val="20"/>
          <w:szCs w:val="20"/>
        </w:rPr>
      </w:pPr>
    </w:p>
    <w:p w14:paraId="449CBBB2" w14:textId="77777777" w:rsidR="007C18E7" w:rsidRPr="00BE7ED0" w:rsidRDefault="00C831A3" w:rsidP="00C831A3">
      <w:pPr>
        <w:pStyle w:val="Default"/>
        <w:spacing w:line="276" w:lineRule="auto"/>
        <w:jc w:val="center"/>
        <w:rPr>
          <w:b/>
          <w:sz w:val="20"/>
          <w:szCs w:val="20"/>
        </w:rPr>
      </w:pPr>
      <w:hyperlink r:id="rId25" w:history="1">
        <w:proofErr w:type="spellStart"/>
        <w:r w:rsidR="007C18E7" w:rsidRPr="00BE7ED0">
          <w:rPr>
            <w:rStyle w:val="Hyperlink"/>
            <w:b/>
            <w:sz w:val="20"/>
            <w:szCs w:val="20"/>
          </w:rPr>
          <w:t>Interjuris</w:t>
        </w:r>
        <w:proofErr w:type="spellEnd"/>
      </w:hyperlink>
    </w:p>
    <w:p w14:paraId="4BD985E9" w14:textId="77777777" w:rsidR="007C18E7" w:rsidRPr="00BE7ED0" w:rsidRDefault="007C18E7" w:rsidP="00C831A3">
      <w:pPr>
        <w:pStyle w:val="Default"/>
        <w:spacing w:line="276" w:lineRule="auto"/>
        <w:jc w:val="center"/>
        <w:rPr>
          <w:sz w:val="20"/>
          <w:szCs w:val="20"/>
        </w:rPr>
      </w:pPr>
    </w:p>
    <w:p w14:paraId="72F32B36" w14:textId="77777777" w:rsidR="007C18E7" w:rsidRPr="00BE7ED0" w:rsidRDefault="00C831A3" w:rsidP="00C831A3">
      <w:pPr>
        <w:pStyle w:val="Default"/>
        <w:spacing w:line="276" w:lineRule="auto"/>
        <w:jc w:val="center"/>
        <w:rPr>
          <w:rStyle w:val="Hyperlink"/>
          <w:b/>
          <w:sz w:val="20"/>
          <w:szCs w:val="20"/>
        </w:rPr>
      </w:pPr>
      <w:hyperlink r:id="rId26" w:history="1">
        <w:r w:rsidR="007C18E7" w:rsidRPr="00BE7ED0">
          <w:rPr>
            <w:rStyle w:val="Hyperlink"/>
            <w:b/>
            <w:sz w:val="20"/>
            <w:szCs w:val="20"/>
          </w:rPr>
          <w:t>Repercussão Geral do Supremo Tribunal Federal - STF e os Tribunais de Contas</w:t>
        </w:r>
      </w:hyperlink>
    </w:p>
    <w:p w14:paraId="75CDA236" w14:textId="77777777" w:rsidR="007C18E7" w:rsidRPr="00BE7ED0" w:rsidRDefault="007C18E7" w:rsidP="00C831A3">
      <w:pPr>
        <w:pStyle w:val="Default"/>
        <w:spacing w:line="276" w:lineRule="auto"/>
        <w:jc w:val="center"/>
        <w:rPr>
          <w:rStyle w:val="Hyperlink"/>
          <w:b/>
          <w:sz w:val="20"/>
          <w:szCs w:val="20"/>
        </w:rPr>
      </w:pPr>
    </w:p>
    <w:p w14:paraId="6CD4EB86" w14:textId="77777777" w:rsidR="007C18E7" w:rsidRPr="00BE7ED0" w:rsidRDefault="00C831A3" w:rsidP="00C831A3">
      <w:pPr>
        <w:pStyle w:val="Default"/>
        <w:spacing w:line="276" w:lineRule="auto"/>
        <w:jc w:val="center"/>
        <w:rPr>
          <w:rStyle w:val="Hyperlink"/>
          <w:b/>
          <w:sz w:val="20"/>
          <w:szCs w:val="20"/>
        </w:rPr>
      </w:pPr>
      <w:hyperlink r:id="rId27" w:history="1">
        <w:r w:rsidR="007C18E7" w:rsidRPr="00BE7ED0">
          <w:rPr>
            <w:rStyle w:val="Hyperlink"/>
            <w:b/>
            <w:sz w:val="20"/>
            <w:szCs w:val="20"/>
          </w:rPr>
          <w:t>Súmulas Selecionadas</w:t>
        </w:r>
      </w:hyperlink>
    </w:p>
    <w:p w14:paraId="3F5C61E6" w14:textId="77777777" w:rsidR="007C18E7" w:rsidRPr="00BE7ED0" w:rsidRDefault="007C18E7" w:rsidP="00C831A3">
      <w:pPr>
        <w:pStyle w:val="TCU-Epgrafe"/>
        <w:spacing w:line="276" w:lineRule="auto"/>
        <w:ind w:left="0"/>
        <w:rPr>
          <w:rFonts w:ascii="Arial" w:hAnsi="Arial" w:cs="Arial"/>
          <w:sz w:val="20"/>
        </w:rPr>
      </w:pPr>
      <w:r w:rsidRPr="00BE7ED0">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BE7ED0" w:rsidRDefault="007C18E7" w:rsidP="00C831A3">
      <w:pPr>
        <w:spacing w:after="0"/>
        <w:jc w:val="center"/>
        <w:rPr>
          <w:rStyle w:val="Hyperlink"/>
          <w:rFonts w:ascii="Arial" w:hAnsi="Arial" w:cs="Arial"/>
          <w:i/>
          <w:color w:val="000000" w:themeColor="text1"/>
          <w:sz w:val="20"/>
          <w:szCs w:val="20"/>
          <w:u w:val="none"/>
        </w:rPr>
      </w:pPr>
    </w:p>
    <w:p w14:paraId="5496FD6E" w14:textId="77777777" w:rsidR="007C18E7" w:rsidRPr="00BE7ED0" w:rsidRDefault="007C18E7" w:rsidP="00C831A3">
      <w:pPr>
        <w:spacing w:after="0"/>
        <w:jc w:val="center"/>
        <w:rPr>
          <w:rStyle w:val="Hyperlink"/>
          <w:rFonts w:ascii="Arial" w:hAnsi="Arial" w:cs="Arial"/>
          <w:i/>
          <w:color w:val="auto"/>
          <w:sz w:val="20"/>
          <w:szCs w:val="20"/>
          <w:u w:val="none"/>
        </w:rPr>
      </w:pPr>
      <w:r w:rsidRPr="00BE7ED0">
        <w:rPr>
          <w:rStyle w:val="Hyperlink"/>
          <w:rFonts w:ascii="Arial" w:hAnsi="Arial" w:cs="Arial"/>
          <w:i/>
          <w:color w:val="auto"/>
          <w:sz w:val="20"/>
          <w:szCs w:val="20"/>
          <w:u w:val="none"/>
        </w:rPr>
        <w:t>Elaboração: Escola de Gestão Pública - Jurisprudência</w:t>
      </w:r>
    </w:p>
    <w:p w14:paraId="3F85483E" w14:textId="77777777" w:rsidR="007C18E7" w:rsidRPr="00BE7ED0" w:rsidRDefault="007C18E7" w:rsidP="00C831A3">
      <w:pPr>
        <w:spacing w:after="0"/>
        <w:jc w:val="center"/>
        <w:rPr>
          <w:rFonts w:ascii="Arial" w:hAnsi="Arial" w:cs="Arial"/>
          <w:b/>
          <w:sz w:val="20"/>
          <w:szCs w:val="20"/>
        </w:rPr>
      </w:pPr>
      <w:r w:rsidRPr="00BE7ED0">
        <w:rPr>
          <w:rStyle w:val="nfase"/>
          <w:rFonts w:ascii="Arial" w:hAnsi="Arial" w:cs="Arial"/>
          <w:sz w:val="20"/>
          <w:szCs w:val="20"/>
        </w:rPr>
        <w:t>E-mail: jurisprudencia@tce.pr.gov.br</w:t>
      </w:r>
    </w:p>
    <w:p w14:paraId="77313FD9" w14:textId="77777777" w:rsidR="007C18E7" w:rsidRPr="00BE7ED0" w:rsidRDefault="007C18E7" w:rsidP="00C831A3">
      <w:pPr>
        <w:widowControl w:val="0"/>
        <w:autoSpaceDE w:val="0"/>
        <w:autoSpaceDN w:val="0"/>
        <w:spacing w:after="0"/>
        <w:jc w:val="both"/>
        <w:rPr>
          <w:rFonts w:ascii="Arial" w:hAnsi="Arial" w:cs="Arial"/>
          <w:b/>
          <w:sz w:val="20"/>
          <w:szCs w:val="20"/>
        </w:rPr>
      </w:pPr>
    </w:p>
    <w:p w14:paraId="376B530E" w14:textId="77777777" w:rsidR="007C18E7" w:rsidRPr="00BE7ED0" w:rsidRDefault="007C18E7" w:rsidP="00C831A3">
      <w:pPr>
        <w:spacing w:after="0"/>
        <w:rPr>
          <w:rFonts w:ascii="Arial" w:hAnsi="Arial" w:cs="Arial"/>
          <w:color w:val="000000"/>
          <w:sz w:val="20"/>
          <w:szCs w:val="20"/>
        </w:rPr>
      </w:pPr>
    </w:p>
    <w:p w14:paraId="2B5E173B" w14:textId="77777777" w:rsidR="00E01524" w:rsidRPr="00BE7ED0" w:rsidRDefault="00E01524" w:rsidP="00C831A3">
      <w:pPr>
        <w:spacing w:after="0"/>
        <w:rPr>
          <w:rFonts w:ascii="Arial" w:hAnsi="Arial" w:cs="Arial"/>
          <w:sz w:val="20"/>
          <w:szCs w:val="20"/>
        </w:rPr>
      </w:pPr>
    </w:p>
    <w:sectPr w:rsidR="00E01524" w:rsidRPr="00BE7ED0">
      <w:headerReference w:type="default" r:id="rId28"/>
      <w:footerReference w:type="default" r:id="rId2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13"/>
  </w:num>
  <w:num w:numId="6">
    <w:abstractNumId w:val="8"/>
  </w:num>
  <w:num w:numId="7">
    <w:abstractNumId w:val="0"/>
  </w:num>
  <w:num w:numId="8">
    <w:abstractNumId w:val="1"/>
  </w:num>
  <w:num w:numId="9">
    <w:abstractNumId w:val="5"/>
  </w:num>
  <w:num w:numId="10">
    <w:abstractNumId w:val="2"/>
  </w:num>
  <w:num w:numId="11">
    <w:abstractNumId w:val="3"/>
  </w:num>
  <w:num w:numId="12">
    <w:abstractNumId w:val="7"/>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40EBA"/>
    <w:rsid w:val="00042502"/>
    <w:rsid w:val="00042DF3"/>
    <w:rsid w:val="000433EC"/>
    <w:rsid w:val="000439FD"/>
    <w:rsid w:val="00045700"/>
    <w:rsid w:val="00046191"/>
    <w:rsid w:val="00046E21"/>
    <w:rsid w:val="00047EF1"/>
    <w:rsid w:val="00052862"/>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9E5"/>
    <w:rsid w:val="00076184"/>
    <w:rsid w:val="000800D1"/>
    <w:rsid w:val="00081051"/>
    <w:rsid w:val="00081B5D"/>
    <w:rsid w:val="00082716"/>
    <w:rsid w:val="0008272B"/>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30D1"/>
    <w:rsid w:val="001942C5"/>
    <w:rsid w:val="00196437"/>
    <w:rsid w:val="001975AB"/>
    <w:rsid w:val="001A0FCC"/>
    <w:rsid w:val="001A16DE"/>
    <w:rsid w:val="001A5D2D"/>
    <w:rsid w:val="001A7DB7"/>
    <w:rsid w:val="001B096B"/>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7A25"/>
    <w:rsid w:val="002013D1"/>
    <w:rsid w:val="0020195B"/>
    <w:rsid w:val="00202E6D"/>
    <w:rsid w:val="00202F4B"/>
    <w:rsid w:val="002036C8"/>
    <w:rsid w:val="0020476A"/>
    <w:rsid w:val="00204BFC"/>
    <w:rsid w:val="002100EE"/>
    <w:rsid w:val="00211A49"/>
    <w:rsid w:val="00213BD0"/>
    <w:rsid w:val="002147AC"/>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F20"/>
    <w:rsid w:val="002B14B7"/>
    <w:rsid w:val="002B297F"/>
    <w:rsid w:val="002B38A8"/>
    <w:rsid w:val="002B5E9F"/>
    <w:rsid w:val="002B6BA0"/>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145D"/>
    <w:rsid w:val="003B2612"/>
    <w:rsid w:val="003B4678"/>
    <w:rsid w:val="003B4F77"/>
    <w:rsid w:val="003B502C"/>
    <w:rsid w:val="003C48DF"/>
    <w:rsid w:val="003C6B35"/>
    <w:rsid w:val="003C7C21"/>
    <w:rsid w:val="003D0632"/>
    <w:rsid w:val="003D650C"/>
    <w:rsid w:val="003D6713"/>
    <w:rsid w:val="003D6E90"/>
    <w:rsid w:val="003D7C37"/>
    <w:rsid w:val="003E110D"/>
    <w:rsid w:val="003E3529"/>
    <w:rsid w:val="003E3D02"/>
    <w:rsid w:val="003E3E6A"/>
    <w:rsid w:val="003E55BC"/>
    <w:rsid w:val="003E6EAF"/>
    <w:rsid w:val="003F0088"/>
    <w:rsid w:val="003F03C6"/>
    <w:rsid w:val="003F2DDE"/>
    <w:rsid w:val="003F314F"/>
    <w:rsid w:val="003F4721"/>
    <w:rsid w:val="003F4BFB"/>
    <w:rsid w:val="003F5060"/>
    <w:rsid w:val="003F5829"/>
    <w:rsid w:val="003F5DEE"/>
    <w:rsid w:val="003F63DA"/>
    <w:rsid w:val="003F677C"/>
    <w:rsid w:val="003F7090"/>
    <w:rsid w:val="00401EE0"/>
    <w:rsid w:val="004043AD"/>
    <w:rsid w:val="0040583E"/>
    <w:rsid w:val="00405A6A"/>
    <w:rsid w:val="00406D2C"/>
    <w:rsid w:val="0041120A"/>
    <w:rsid w:val="00411935"/>
    <w:rsid w:val="0041337A"/>
    <w:rsid w:val="00415D4A"/>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109A"/>
    <w:rsid w:val="004E3B94"/>
    <w:rsid w:val="004E6410"/>
    <w:rsid w:val="004E7C93"/>
    <w:rsid w:val="004F3C8F"/>
    <w:rsid w:val="00500939"/>
    <w:rsid w:val="00501FC7"/>
    <w:rsid w:val="005025F4"/>
    <w:rsid w:val="00502AAF"/>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19D2"/>
    <w:rsid w:val="00582374"/>
    <w:rsid w:val="00582DF8"/>
    <w:rsid w:val="00583800"/>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204C"/>
    <w:rsid w:val="00623188"/>
    <w:rsid w:val="00626DD6"/>
    <w:rsid w:val="0062719D"/>
    <w:rsid w:val="00627316"/>
    <w:rsid w:val="00627FDF"/>
    <w:rsid w:val="00630296"/>
    <w:rsid w:val="006331E3"/>
    <w:rsid w:val="00633776"/>
    <w:rsid w:val="00633C62"/>
    <w:rsid w:val="00633D2D"/>
    <w:rsid w:val="006361F0"/>
    <w:rsid w:val="006372A4"/>
    <w:rsid w:val="006375ED"/>
    <w:rsid w:val="006378AB"/>
    <w:rsid w:val="0064029E"/>
    <w:rsid w:val="00640861"/>
    <w:rsid w:val="00640A36"/>
    <w:rsid w:val="00640BDC"/>
    <w:rsid w:val="0064171C"/>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4C5B"/>
    <w:rsid w:val="00726974"/>
    <w:rsid w:val="007270DB"/>
    <w:rsid w:val="007306BB"/>
    <w:rsid w:val="007319AD"/>
    <w:rsid w:val="00731AB4"/>
    <w:rsid w:val="00732257"/>
    <w:rsid w:val="00734DDB"/>
    <w:rsid w:val="007400EB"/>
    <w:rsid w:val="00740240"/>
    <w:rsid w:val="0074037C"/>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C0579"/>
    <w:rsid w:val="007C0E7E"/>
    <w:rsid w:val="007C10CC"/>
    <w:rsid w:val="007C18E7"/>
    <w:rsid w:val="007C250E"/>
    <w:rsid w:val="007C2CD7"/>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40F9"/>
    <w:rsid w:val="00904136"/>
    <w:rsid w:val="00904309"/>
    <w:rsid w:val="0090479F"/>
    <w:rsid w:val="00904BFC"/>
    <w:rsid w:val="009052D8"/>
    <w:rsid w:val="00906692"/>
    <w:rsid w:val="00906853"/>
    <w:rsid w:val="00906CF8"/>
    <w:rsid w:val="009073CB"/>
    <w:rsid w:val="0090752A"/>
    <w:rsid w:val="00910805"/>
    <w:rsid w:val="00911A42"/>
    <w:rsid w:val="00912D60"/>
    <w:rsid w:val="009140A2"/>
    <w:rsid w:val="009141D0"/>
    <w:rsid w:val="00920480"/>
    <w:rsid w:val="00920D01"/>
    <w:rsid w:val="00923B20"/>
    <w:rsid w:val="009263DF"/>
    <w:rsid w:val="00927338"/>
    <w:rsid w:val="0093018E"/>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7A9"/>
    <w:rsid w:val="00993DE4"/>
    <w:rsid w:val="00993F38"/>
    <w:rsid w:val="00994A4B"/>
    <w:rsid w:val="0099606C"/>
    <w:rsid w:val="00996D25"/>
    <w:rsid w:val="009A043C"/>
    <w:rsid w:val="009A12ED"/>
    <w:rsid w:val="009A201F"/>
    <w:rsid w:val="009A62FC"/>
    <w:rsid w:val="009A6989"/>
    <w:rsid w:val="009A72EB"/>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E1362"/>
    <w:rsid w:val="009E1848"/>
    <w:rsid w:val="009E1BC1"/>
    <w:rsid w:val="009E1F6B"/>
    <w:rsid w:val="009E3E77"/>
    <w:rsid w:val="009E4DF2"/>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4629"/>
    <w:rsid w:val="00A25A27"/>
    <w:rsid w:val="00A27485"/>
    <w:rsid w:val="00A30038"/>
    <w:rsid w:val="00A309E8"/>
    <w:rsid w:val="00A3514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5CAE"/>
    <w:rsid w:val="00CB644C"/>
    <w:rsid w:val="00CB6CAA"/>
    <w:rsid w:val="00CB78ED"/>
    <w:rsid w:val="00CC0004"/>
    <w:rsid w:val="00CC19A0"/>
    <w:rsid w:val="00CC4E55"/>
    <w:rsid w:val="00CC550E"/>
    <w:rsid w:val="00CC5AC6"/>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3FB0"/>
    <w:rsid w:val="00CF515D"/>
    <w:rsid w:val="00CF53F5"/>
    <w:rsid w:val="00CF6B3F"/>
    <w:rsid w:val="00D002B4"/>
    <w:rsid w:val="00D03845"/>
    <w:rsid w:val="00D03DCB"/>
    <w:rsid w:val="00D05257"/>
    <w:rsid w:val="00D054DF"/>
    <w:rsid w:val="00D057A5"/>
    <w:rsid w:val="00D05D1F"/>
    <w:rsid w:val="00D06531"/>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6043"/>
    <w:rsid w:val="00D870D4"/>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C8B"/>
    <w:rsid w:val="00E93D8F"/>
    <w:rsid w:val="00E9531E"/>
    <w:rsid w:val="00E95E41"/>
    <w:rsid w:val="00E95E4C"/>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10D7"/>
    <w:rsid w:val="00F331D6"/>
    <w:rsid w:val="00F368B9"/>
    <w:rsid w:val="00F3739F"/>
    <w:rsid w:val="00F374C1"/>
    <w:rsid w:val="00F37B34"/>
    <w:rsid w:val="00F37C53"/>
    <w:rsid w:val="00F41C34"/>
    <w:rsid w:val="00F4212F"/>
    <w:rsid w:val="00F43D9F"/>
    <w:rsid w:val="00F447DB"/>
    <w:rsid w:val="00F447FA"/>
    <w:rsid w:val="00F44BD1"/>
    <w:rsid w:val="00F469B9"/>
    <w:rsid w:val="00F46C32"/>
    <w:rsid w:val="00F46ECB"/>
    <w:rsid w:val="00F50F94"/>
    <w:rsid w:val="00F525B5"/>
    <w:rsid w:val="00F53D53"/>
    <w:rsid w:val="00F543B9"/>
    <w:rsid w:val="00F54602"/>
    <w:rsid w:val="00F56177"/>
    <w:rsid w:val="00F56187"/>
    <w:rsid w:val="00F575D3"/>
    <w:rsid w:val="00F5786C"/>
    <w:rsid w:val="00F62117"/>
    <w:rsid w:val="00F62365"/>
    <w:rsid w:val="00F630A7"/>
    <w:rsid w:val="00F6520C"/>
    <w:rsid w:val="00F66225"/>
    <w:rsid w:val="00F662BC"/>
    <w:rsid w:val="00F6708D"/>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F8B"/>
    <w:rsid w:val="00FC0FC4"/>
    <w:rsid w:val="00FC22F5"/>
    <w:rsid w:val="00FC3753"/>
    <w:rsid w:val="00FC5170"/>
    <w:rsid w:val="00FC5743"/>
    <w:rsid w:val="00FC6240"/>
    <w:rsid w:val="00FD118C"/>
    <w:rsid w:val="00FD332F"/>
    <w:rsid w:val="00FD739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6/pdf/00337648.pdf" TargetMode="External"/><Relationship Id="rId13" Type="http://schemas.openxmlformats.org/officeDocument/2006/relationships/hyperlink" Target="http://www1.tce.pr.gov.br/multimidia/2019/6/pdf/00337186.pdf" TargetMode="External"/><Relationship Id="rId18" Type="http://schemas.openxmlformats.org/officeDocument/2006/relationships/hyperlink" Target="http://www1.tce.pr.gov.br/multimidia/2019/6/pdf/00337519.pdf" TargetMode="External"/><Relationship Id="rId26" Type="http://schemas.openxmlformats.org/officeDocument/2006/relationships/hyperlink" Target="http://www1.tce.pr.gov.br/conteudo/repercussao-geral-no-stf-e-os-tribunais-de-contas/307026/area/249" TargetMode="External"/><Relationship Id="rId3" Type="http://schemas.openxmlformats.org/officeDocument/2006/relationships/styles" Target="styles.xml"/><Relationship Id="rId21" Type="http://schemas.openxmlformats.org/officeDocument/2006/relationships/hyperlink" Target="https://portal.tcu.gov.br/jurisprudencia/boletins-e-informativos/boletim-de-pessoal.htm" TargetMode="External"/><Relationship Id="rId7" Type="http://schemas.openxmlformats.org/officeDocument/2006/relationships/endnotes" Target="endnotes.xml"/><Relationship Id="rId12" Type="http://schemas.openxmlformats.org/officeDocument/2006/relationships/hyperlink" Target="http://www1.tce.pr.gov.br/multimidia/2019/7/pdf/00337904.pdf" TargetMode="External"/><Relationship Id="rId17" Type="http://schemas.openxmlformats.org/officeDocument/2006/relationships/hyperlink" Target="http://www1.tce.pr.gov.br/multimidia/2019/6/pdf/00337527.pdf" TargetMode="External"/><Relationship Id="rId25" Type="http://schemas.openxmlformats.org/officeDocument/2006/relationships/hyperlink" Target="http://www1.tce.pr.gov.br/conteudo/boletim-de-jurisprudencia-internacional/316601/area/249" TargetMode="External"/><Relationship Id="rId2" Type="http://schemas.openxmlformats.org/officeDocument/2006/relationships/numbering" Target="numbering.xml"/><Relationship Id="rId16" Type="http://schemas.openxmlformats.org/officeDocument/2006/relationships/hyperlink" Target="http://www1.tce.pr.gov.br/multimidia/2019/6/pdf/00337525.pdf" TargetMode="External"/><Relationship Id="rId20" Type="http://schemas.openxmlformats.org/officeDocument/2006/relationships/hyperlink" Target="https://portal.tcu.gov.br/jurisprudencia/boletins-e-informativos/boletim-de-pessoal.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6/pdf/00337642.pdf" TargetMode="External"/><Relationship Id="rId24" Type="http://schemas.openxmlformats.org/officeDocument/2006/relationships/hyperlink" Target="http://www1.tce.pr.gov.br/conteudo/teses-ambientais/316603/area/249" TargetMode="External"/><Relationship Id="rId5" Type="http://schemas.openxmlformats.org/officeDocument/2006/relationships/webSettings" Target="webSettings.xml"/><Relationship Id="rId15" Type="http://schemas.openxmlformats.org/officeDocument/2006/relationships/hyperlink" Target="http://www1.tce.pr.gov.br/multimidia/2019/6/pdf/00337538.pdf" TargetMode="External"/><Relationship Id="rId23" Type="http://schemas.openxmlformats.org/officeDocument/2006/relationships/hyperlink" Target="http://www1.tce.pr.gov.br/conteudo/pesquisas-prontas/308475/area/249" TargetMode="External"/><Relationship Id="rId28" Type="http://schemas.openxmlformats.org/officeDocument/2006/relationships/header" Target="header1.xml"/><Relationship Id="rId10" Type="http://schemas.openxmlformats.org/officeDocument/2006/relationships/hyperlink" Target="http://www1.tce.pr.gov.br/multimidia/2019/7/pdf/00337908.pdf" TargetMode="External"/><Relationship Id="rId19" Type="http://schemas.openxmlformats.org/officeDocument/2006/relationships/hyperlink" Target="http://www1.tce.pr.gov.br/multimidia/2019/6/pdf/00337521.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1.tce.pr.gov.br/multimidia/2019/7/pdf/00337914.pdf" TargetMode="External"/><Relationship Id="rId14" Type="http://schemas.openxmlformats.org/officeDocument/2006/relationships/hyperlink" Target="http://www1.tce.pr.gov.br/multimidia/2019/6/pdf/00337646.pdf" TargetMode="External"/><Relationship Id="rId22" Type="http://schemas.openxmlformats.org/officeDocument/2006/relationships/hyperlink" Target="https://portal.tcu.gov.br/jurisprudencia/boletins-e-informativos/boletim-de-pessoal.htm" TargetMode="External"/><Relationship Id="rId27" Type="http://schemas.openxmlformats.org/officeDocument/2006/relationships/hyperlink" Target="http://www1.tce.pr.gov.br/conteudo/sumulas-selecionadas/316602/area/249"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3FCCA-E708-4D56-A60E-0F3873BA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4201</Words>
  <Characters>22689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5</cp:revision>
  <cp:lastPrinted>2019-04-17T13:57:00Z</cp:lastPrinted>
  <dcterms:created xsi:type="dcterms:W3CDTF">2019-07-24T16:24:00Z</dcterms:created>
  <dcterms:modified xsi:type="dcterms:W3CDTF">2019-07-24T19:32:00Z</dcterms:modified>
</cp:coreProperties>
</file>