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766752">
        <w:rPr>
          <w:rFonts w:ascii="Arial" w:hAnsi="Arial" w:cs="Arial"/>
          <w:b/>
          <w:sz w:val="20"/>
          <w:szCs w:val="20"/>
        </w:rPr>
        <w:t>2</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5C62E6">
        <w:rPr>
          <w:rFonts w:ascii="Arial" w:hAnsi="Arial" w:cs="Arial"/>
          <w:b/>
          <w:sz w:val="20"/>
          <w:szCs w:val="20"/>
        </w:rPr>
        <w:t>08.08</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5C62E6">
        <w:rPr>
          <w:rFonts w:ascii="Arial" w:hAnsi="Arial" w:cs="Arial"/>
          <w:b/>
          <w:sz w:val="20"/>
          <w:szCs w:val="20"/>
        </w:rPr>
        <w:t>17</w:t>
      </w:r>
      <w:r w:rsidR="005A0FD0" w:rsidRPr="0022060B">
        <w:rPr>
          <w:rFonts w:ascii="Arial" w:hAnsi="Arial" w:cs="Arial"/>
          <w:b/>
          <w:sz w:val="20"/>
          <w:szCs w:val="20"/>
        </w:rPr>
        <w:t>.0</w:t>
      </w:r>
      <w:r w:rsidR="005C62E6">
        <w:rPr>
          <w:rFonts w:ascii="Arial" w:hAnsi="Arial" w:cs="Arial"/>
          <w:b/>
          <w:sz w:val="20"/>
          <w:szCs w:val="20"/>
        </w:rPr>
        <w:t>8</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414A47" w:rsidRPr="001C5B0C" w:rsidRDefault="00414A47" w:rsidP="00414A47">
      <w:pPr>
        <w:jc w:val="both"/>
        <w:rPr>
          <w:rFonts w:ascii="Arial" w:hAnsi="Arial" w:cs="Arial"/>
          <w:sz w:val="20"/>
          <w:szCs w:val="20"/>
        </w:rPr>
      </w:pPr>
      <w:r w:rsidRPr="001C5B0C">
        <w:rPr>
          <w:rFonts w:ascii="Arial" w:hAnsi="Arial" w:cs="Arial"/>
          <w:sz w:val="20"/>
          <w:szCs w:val="20"/>
        </w:rPr>
        <w:t>1. Revisão de Proventos. Perda de benefício. Exclusão. Policial Militar. Reserva remunerada. Cancelamento de benefício.</w:t>
      </w:r>
    </w:p>
    <w:p w:rsidR="00414A47" w:rsidRPr="001C5B0C" w:rsidRDefault="00414A47" w:rsidP="00414A47">
      <w:pPr>
        <w:spacing w:after="120"/>
        <w:jc w:val="both"/>
        <w:rPr>
          <w:rFonts w:ascii="Arial" w:hAnsi="Arial" w:cs="Arial"/>
          <w:sz w:val="20"/>
          <w:szCs w:val="20"/>
        </w:rPr>
      </w:pPr>
      <w:r w:rsidRPr="001C5B0C">
        <w:rPr>
          <w:rFonts w:ascii="Arial" w:hAnsi="Arial" w:cs="Arial"/>
          <w:sz w:val="20"/>
          <w:szCs w:val="20"/>
        </w:rPr>
        <w:t xml:space="preserve">2. Prestação de contas. Câmara Municipal. Contabilidade executada por profissional terceirizado. Vedação. Inteligência do Prejulgado 06. Irregularidade das contas com aplicação de multa ao gestor. </w:t>
      </w:r>
    </w:p>
    <w:p w:rsidR="009F27D1" w:rsidRPr="001C5B0C" w:rsidRDefault="009F27D1" w:rsidP="009F27D1">
      <w:pPr>
        <w:jc w:val="both"/>
        <w:rPr>
          <w:rFonts w:ascii="Arial" w:hAnsi="Arial" w:cs="Arial"/>
          <w:sz w:val="20"/>
          <w:szCs w:val="20"/>
        </w:rPr>
      </w:pPr>
      <w:r w:rsidRPr="001C5B0C">
        <w:rPr>
          <w:rFonts w:ascii="Arial" w:hAnsi="Arial" w:cs="Arial"/>
          <w:sz w:val="20"/>
          <w:szCs w:val="20"/>
        </w:rPr>
        <w:t xml:space="preserve">3. Prestação de Contas Anual. Cargo Público. Acumulação. Assessoria Contábil. Artigo 37 da Constituição Federal. </w:t>
      </w:r>
    </w:p>
    <w:p w:rsidR="009F27D1" w:rsidRPr="001C5B0C" w:rsidRDefault="009F27D1" w:rsidP="009F27D1">
      <w:pPr>
        <w:jc w:val="both"/>
        <w:rPr>
          <w:rFonts w:ascii="Arial" w:hAnsi="Arial" w:cs="Arial"/>
          <w:sz w:val="20"/>
          <w:szCs w:val="20"/>
        </w:rPr>
      </w:pPr>
      <w:r w:rsidRPr="001C5B0C">
        <w:rPr>
          <w:rFonts w:ascii="Arial" w:hAnsi="Arial" w:cs="Arial"/>
          <w:sz w:val="20"/>
          <w:szCs w:val="20"/>
        </w:rPr>
        <w:t>4. Admissão de Pessoal. Concurso Público. Docente. Edital. Critérios. Princípio da Publicidade. Princípio da Transparência.</w:t>
      </w:r>
    </w:p>
    <w:p w:rsidR="009F27D1" w:rsidRPr="001C5B0C" w:rsidRDefault="009F27D1" w:rsidP="009F27D1">
      <w:pPr>
        <w:spacing w:after="120"/>
        <w:jc w:val="both"/>
        <w:rPr>
          <w:rFonts w:ascii="Arial" w:hAnsi="Arial" w:cs="Arial"/>
          <w:sz w:val="20"/>
          <w:szCs w:val="20"/>
        </w:rPr>
      </w:pPr>
      <w:r w:rsidRPr="001C5B0C">
        <w:rPr>
          <w:rFonts w:ascii="Arial" w:hAnsi="Arial" w:cs="Arial"/>
          <w:sz w:val="20"/>
          <w:szCs w:val="20"/>
        </w:rPr>
        <w:t xml:space="preserve">5. Admissão de pessoal. Concurso público. Negativa de registro da admissão de candidato aprovado que, na condição de assessor jurídico comissionado, emitiu parecer jurídico favorável à contratação da empresa organizadora do concurso público. </w:t>
      </w:r>
    </w:p>
    <w:p w:rsidR="009F27D1" w:rsidRPr="001C5B0C" w:rsidRDefault="009F27D1" w:rsidP="009F27D1">
      <w:pPr>
        <w:spacing w:after="120"/>
        <w:jc w:val="both"/>
        <w:rPr>
          <w:rFonts w:ascii="Arial" w:hAnsi="Arial" w:cs="Arial"/>
          <w:sz w:val="20"/>
          <w:szCs w:val="20"/>
        </w:rPr>
      </w:pPr>
      <w:r w:rsidRPr="001C5B0C">
        <w:rPr>
          <w:rFonts w:ascii="Arial" w:hAnsi="Arial" w:cs="Arial"/>
          <w:sz w:val="20"/>
          <w:szCs w:val="20"/>
        </w:rPr>
        <w:t>6. Comunicação de Irregularidade convertida em Tomada de Contas Extraordinária. PROAR. Despesas com medicamentos. Ausência de controle. Procedência. Irregularidade do objeto.</w:t>
      </w:r>
    </w:p>
    <w:p w:rsidR="009F27D1" w:rsidRPr="001C5B0C" w:rsidRDefault="009F27D1" w:rsidP="009F27D1">
      <w:pPr>
        <w:spacing w:after="120"/>
        <w:jc w:val="both"/>
        <w:rPr>
          <w:rFonts w:ascii="Arial" w:hAnsi="Arial" w:cs="Arial"/>
          <w:sz w:val="20"/>
          <w:szCs w:val="20"/>
        </w:rPr>
      </w:pPr>
      <w:r w:rsidRPr="001C5B0C">
        <w:rPr>
          <w:rFonts w:ascii="Arial" w:hAnsi="Arial" w:cs="Arial"/>
          <w:sz w:val="20"/>
          <w:szCs w:val="20"/>
        </w:rPr>
        <w:t xml:space="preserve">7. Ato de inativação. Ausência de declaração de não acúmulo de benefícios assinada pelo servidor. Negativa de registro e aplicação de multa administrativa ao gestor da entidade previdenciária. </w:t>
      </w:r>
    </w:p>
    <w:p w:rsidR="001C5B0C" w:rsidRDefault="001C5B0C" w:rsidP="001C5B0C">
      <w:pPr>
        <w:autoSpaceDE w:val="0"/>
        <w:autoSpaceDN w:val="0"/>
        <w:adjustRightInd w:val="0"/>
        <w:spacing w:after="0" w:line="240" w:lineRule="auto"/>
        <w:jc w:val="both"/>
        <w:rPr>
          <w:rFonts w:ascii="Arial" w:hAnsi="Arial" w:cs="Arial"/>
          <w:sz w:val="20"/>
          <w:szCs w:val="20"/>
        </w:rPr>
      </w:pPr>
      <w:r w:rsidRPr="001C5B0C">
        <w:rPr>
          <w:rFonts w:ascii="Arial" w:hAnsi="Arial" w:cs="Arial"/>
          <w:sz w:val="20"/>
          <w:szCs w:val="20"/>
        </w:rPr>
        <w:t>8. Prejulgado. Interpretação do inciso V, do art. 37, da Constituição Federal. Aprovação. Enunciados.</w:t>
      </w:r>
    </w:p>
    <w:p w:rsidR="001C5B0C" w:rsidRPr="001C5B0C" w:rsidRDefault="001C5B0C" w:rsidP="001C5B0C">
      <w:pPr>
        <w:autoSpaceDE w:val="0"/>
        <w:autoSpaceDN w:val="0"/>
        <w:adjustRightInd w:val="0"/>
        <w:spacing w:after="0" w:line="240" w:lineRule="auto"/>
        <w:jc w:val="both"/>
        <w:rPr>
          <w:rFonts w:ascii="Arial" w:hAnsi="Arial" w:cs="Arial"/>
          <w:sz w:val="20"/>
          <w:szCs w:val="20"/>
        </w:rPr>
      </w:pPr>
    </w:p>
    <w:p w:rsidR="001C5B0C" w:rsidRPr="001C5B0C" w:rsidRDefault="001C5B0C" w:rsidP="001C5B0C">
      <w:pPr>
        <w:autoSpaceDE w:val="0"/>
        <w:autoSpaceDN w:val="0"/>
        <w:adjustRightInd w:val="0"/>
        <w:spacing w:after="0" w:line="240" w:lineRule="auto"/>
        <w:jc w:val="both"/>
        <w:rPr>
          <w:rFonts w:ascii="Arial" w:hAnsi="Arial" w:cs="Arial"/>
          <w:sz w:val="20"/>
          <w:szCs w:val="20"/>
        </w:rPr>
      </w:pPr>
      <w:r w:rsidRPr="001C5B0C">
        <w:rPr>
          <w:rFonts w:ascii="Arial" w:hAnsi="Arial" w:cs="Arial"/>
          <w:sz w:val="20"/>
          <w:szCs w:val="20"/>
        </w:rPr>
        <w:lastRenderedPageBreak/>
        <w:t>9. Prejulgado. Pagamento de honorários contábeis com recursos de transferências voluntárias. Possibilidade desde que observadas condicionantes.</w:t>
      </w:r>
    </w:p>
    <w:p w:rsidR="001C5B0C" w:rsidRPr="001C5B0C" w:rsidRDefault="001C5B0C" w:rsidP="001C5B0C">
      <w:pPr>
        <w:autoSpaceDE w:val="0"/>
        <w:autoSpaceDN w:val="0"/>
        <w:adjustRightInd w:val="0"/>
        <w:spacing w:after="0" w:line="240" w:lineRule="auto"/>
        <w:jc w:val="both"/>
        <w:rPr>
          <w:rFonts w:ascii="Arial" w:hAnsi="Arial" w:cs="Arial"/>
          <w:iCs/>
          <w:sz w:val="20"/>
          <w:szCs w:val="20"/>
        </w:rPr>
      </w:pPr>
    </w:p>
    <w:p w:rsidR="001C5B0C" w:rsidRPr="001C5B0C" w:rsidRDefault="001C5B0C" w:rsidP="001C5B0C">
      <w:pPr>
        <w:autoSpaceDE w:val="0"/>
        <w:autoSpaceDN w:val="0"/>
        <w:adjustRightInd w:val="0"/>
        <w:spacing w:after="0" w:line="240" w:lineRule="auto"/>
        <w:jc w:val="both"/>
        <w:rPr>
          <w:rFonts w:ascii="Arial" w:hAnsi="Arial" w:cs="Arial"/>
          <w:sz w:val="20"/>
          <w:szCs w:val="20"/>
        </w:rPr>
      </w:pPr>
      <w:r w:rsidRPr="001C5B0C">
        <w:rPr>
          <w:rFonts w:ascii="Arial" w:hAnsi="Arial" w:cs="Arial"/>
          <w:iCs/>
          <w:sz w:val="20"/>
          <w:szCs w:val="20"/>
        </w:rPr>
        <w:t xml:space="preserve">10. Representação da Lei nº 8.666/93. Requisitos de qualificação técnica. Necessidade de justificativa prévia e fundamentada para exigências potencialmente restritivas. Exigência de vínculo empregatício com os profissionais detentores das Certidões de Acervo Técnico. Aparente contrariedade a precedentes desta Corte Estadual e do Tribunal de Contas da União. Ofensa aos princípios da competitividade e da isonomia. </w:t>
      </w:r>
    </w:p>
    <w:p w:rsidR="001C5B0C" w:rsidRPr="001C5B0C" w:rsidRDefault="001C5B0C" w:rsidP="001C5B0C">
      <w:pPr>
        <w:autoSpaceDE w:val="0"/>
        <w:autoSpaceDN w:val="0"/>
        <w:adjustRightInd w:val="0"/>
        <w:spacing w:after="0" w:line="240" w:lineRule="auto"/>
        <w:jc w:val="both"/>
        <w:rPr>
          <w:rFonts w:ascii="Arial" w:hAnsi="Arial" w:cs="Arial"/>
          <w:sz w:val="20"/>
          <w:szCs w:val="20"/>
        </w:rPr>
      </w:pPr>
    </w:p>
    <w:p w:rsidR="001C5B0C" w:rsidRPr="001C5B0C" w:rsidRDefault="001C5B0C" w:rsidP="001C5B0C">
      <w:pPr>
        <w:autoSpaceDE w:val="0"/>
        <w:autoSpaceDN w:val="0"/>
        <w:adjustRightInd w:val="0"/>
        <w:spacing w:after="0" w:line="240" w:lineRule="auto"/>
        <w:jc w:val="both"/>
        <w:rPr>
          <w:rFonts w:ascii="Arial" w:hAnsi="Arial" w:cs="Arial"/>
          <w:sz w:val="20"/>
          <w:szCs w:val="20"/>
        </w:rPr>
      </w:pPr>
      <w:r w:rsidRPr="001C5B0C">
        <w:rPr>
          <w:rFonts w:ascii="Arial" w:hAnsi="Arial" w:cs="Arial"/>
          <w:sz w:val="20"/>
          <w:szCs w:val="20"/>
        </w:rPr>
        <w:t>11. Recurso de Revista. Admissão de Pessoal. Banca examinadora. Qualificação. Nulidade do certame. Inocorrência. Princípios da boa-fé, segurança jurídica e razoabilidade. Não provimento.</w:t>
      </w:r>
    </w:p>
    <w:p w:rsidR="001C5B0C" w:rsidRPr="001C5B0C" w:rsidRDefault="001C5B0C" w:rsidP="001C5B0C">
      <w:pPr>
        <w:autoSpaceDE w:val="0"/>
        <w:autoSpaceDN w:val="0"/>
        <w:adjustRightInd w:val="0"/>
        <w:spacing w:after="0" w:line="240" w:lineRule="auto"/>
        <w:jc w:val="both"/>
        <w:rPr>
          <w:rFonts w:ascii="Arial" w:hAnsi="Arial" w:cs="Arial"/>
          <w:sz w:val="20"/>
          <w:szCs w:val="20"/>
        </w:rPr>
      </w:pPr>
    </w:p>
    <w:p w:rsidR="001C5B0C" w:rsidRPr="001C5B0C" w:rsidRDefault="001C5B0C" w:rsidP="001C5B0C">
      <w:pPr>
        <w:autoSpaceDE w:val="0"/>
        <w:autoSpaceDN w:val="0"/>
        <w:adjustRightInd w:val="0"/>
        <w:spacing w:after="0" w:line="240" w:lineRule="auto"/>
        <w:jc w:val="both"/>
        <w:rPr>
          <w:rFonts w:ascii="Arial" w:hAnsi="Arial" w:cs="Arial"/>
          <w:sz w:val="20"/>
          <w:szCs w:val="20"/>
        </w:rPr>
      </w:pPr>
      <w:r w:rsidRPr="001C5B0C">
        <w:rPr>
          <w:rFonts w:ascii="Arial" w:hAnsi="Arial" w:cs="Arial"/>
          <w:sz w:val="20"/>
          <w:szCs w:val="20"/>
        </w:rPr>
        <w:t>12. Consulta. Reajuste salarial professor. Gratificações. Não incidência de efeito cascata. O reajuste não incide automaticamente sobre as demais gratificações, mas somente para o piso. Incidência quando calculadas pelo piso. Caso contrário, dependem de lei.</w:t>
      </w:r>
    </w:p>
    <w:p w:rsidR="00414A47" w:rsidRDefault="00414A47"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11728E" w:rsidRPr="00814CAE" w:rsidRDefault="00C06999" w:rsidP="0011728E">
      <w:pPr>
        <w:jc w:val="both"/>
        <w:rPr>
          <w:rFonts w:ascii="Arial" w:hAnsi="Arial" w:cs="Arial"/>
          <w:b/>
          <w:sz w:val="20"/>
          <w:szCs w:val="20"/>
        </w:rPr>
      </w:pPr>
      <w:r>
        <w:rPr>
          <w:rFonts w:ascii="Arial" w:hAnsi="Arial" w:cs="Arial"/>
          <w:b/>
          <w:sz w:val="20"/>
          <w:szCs w:val="20"/>
        </w:rPr>
        <w:t xml:space="preserve">1. </w:t>
      </w:r>
      <w:r w:rsidR="0011728E" w:rsidRPr="00814CAE">
        <w:rPr>
          <w:rFonts w:ascii="Arial" w:hAnsi="Arial" w:cs="Arial"/>
          <w:b/>
          <w:sz w:val="20"/>
          <w:szCs w:val="20"/>
        </w:rPr>
        <w:t>Revisão de Proventos. Perda de benefício. Exclusão. Policial Militar. Reserva remunerada. Cancelamento de benefício.</w:t>
      </w:r>
    </w:p>
    <w:p w:rsidR="0011728E" w:rsidRPr="00814CAE" w:rsidRDefault="0011728E" w:rsidP="0011728E">
      <w:pPr>
        <w:jc w:val="both"/>
        <w:rPr>
          <w:rFonts w:ascii="Arial" w:hAnsi="Arial" w:cs="Arial"/>
          <w:sz w:val="20"/>
          <w:szCs w:val="20"/>
        </w:rPr>
      </w:pPr>
      <w:r w:rsidRPr="00814CAE">
        <w:rPr>
          <w:rFonts w:ascii="Arial" w:hAnsi="Arial" w:cs="Arial"/>
          <w:sz w:val="20"/>
          <w:szCs w:val="20"/>
        </w:rPr>
        <w:t xml:space="preserve">Decisão judicial transitada em julgado que exclui militar dos quadros da Polícia Militar autoriza o cancelamento a perda do benefício previdenciário decorrente da transferência para a reserva remunerada. </w:t>
      </w:r>
    </w:p>
    <w:p w:rsidR="004429A2" w:rsidRDefault="0011728E" w:rsidP="00814CAE">
      <w:pPr>
        <w:jc w:val="both"/>
        <w:rPr>
          <w:rFonts w:ascii="Arial" w:hAnsi="Arial" w:cs="Arial"/>
          <w:sz w:val="20"/>
          <w:szCs w:val="20"/>
        </w:rPr>
      </w:pPr>
      <w:r w:rsidRPr="00814CAE">
        <w:rPr>
          <w:rFonts w:ascii="Arial" w:hAnsi="Arial" w:cs="Arial"/>
          <w:sz w:val="20"/>
          <w:szCs w:val="20"/>
        </w:rPr>
        <w:t xml:space="preserve">Processo 288030/15 </w:t>
      </w:r>
      <w:r w:rsidR="00B35D7F">
        <w:rPr>
          <w:rFonts w:ascii="Arial" w:hAnsi="Arial" w:cs="Arial"/>
          <w:sz w:val="20"/>
          <w:szCs w:val="20"/>
        </w:rPr>
        <w:t>-</w:t>
      </w:r>
      <w:r w:rsidRPr="00814CAE">
        <w:rPr>
          <w:rFonts w:ascii="Arial" w:hAnsi="Arial" w:cs="Arial"/>
          <w:sz w:val="20"/>
          <w:szCs w:val="20"/>
        </w:rPr>
        <w:t xml:space="preserve"> </w:t>
      </w:r>
      <w:hyperlink r:id="rId8" w:history="1">
        <w:r w:rsidRPr="00814CAE">
          <w:rPr>
            <w:rStyle w:val="Hyperlink"/>
            <w:rFonts w:ascii="Arial" w:hAnsi="Arial" w:cs="Arial"/>
            <w:sz w:val="20"/>
            <w:szCs w:val="20"/>
          </w:rPr>
          <w:t>Acórdão</w:t>
        </w:r>
        <w:r w:rsidR="00EA255E">
          <w:rPr>
            <w:rStyle w:val="Hyperlink"/>
            <w:rFonts w:ascii="Arial" w:hAnsi="Arial" w:cs="Arial"/>
            <w:sz w:val="20"/>
            <w:szCs w:val="20"/>
          </w:rPr>
          <w:t xml:space="preserve"> n°</w:t>
        </w:r>
        <w:r w:rsidRPr="00814CAE">
          <w:rPr>
            <w:rStyle w:val="Hyperlink"/>
            <w:rFonts w:ascii="Arial" w:hAnsi="Arial" w:cs="Arial"/>
            <w:sz w:val="20"/>
            <w:szCs w:val="20"/>
          </w:rPr>
          <w:t xml:space="preserve"> 3526/17 - Primeira Câmara</w:t>
        </w:r>
      </w:hyperlink>
      <w:r w:rsidRPr="00814CAE">
        <w:rPr>
          <w:rFonts w:ascii="Arial" w:hAnsi="Arial" w:cs="Arial"/>
          <w:sz w:val="20"/>
          <w:szCs w:val="20"/>
        </w:rPr>
        <w:t xml:space="preserve"> - Relator Auditor Sérgio Valadares Fonseca. </w:t>
      </w:r>
    </w:p>
    <w:p w:rsidR="00EA255E" w:rsidRDefault="00C06999" w:rsidP="00EA255E">
      <w:pPr>
        <w:spacing w:after="120"/>
        <w:jc w:val="both"/>
        <w:rPr>
          <w:rFonts w:ascii="Arial" w:hAnsi="Arial" w:cs="Arial"/>
          <w:b/>
          <w:sz w:val="20"/>
          <w:szCs w:val="20"/>
        </w:rPr>
      </w:pPr>
      <w:r>
        <w:rPr>
          <w:rFonts w:ascii="Arial" w:hAnsi="Arial" w:cs="Arial"/>
          <w:b/>
          <w:sz w:val="20"/>
          <w:szCs w:val="20"/>
        </w:rPr>
        <w:t xml:space="preserve">2. </w:t>
      </w:r>
      <w:r w:rsidR="00EA255E">
        <w:rPr>
          <w:rFonts w:ascii="Arial" w:hAnsi="Arial" w:cs="Arial"/>
          <w:b/>
          <w:sz w:val="20"/>
          <w:szCs w:val="20"/>
        </w:rPr>
        <w:t xml:space="preserve">Prestação de contas. Câmara Municipal. Contabilidade executada por profissional terceirizado. Vedação. Inteligência do Prejulgado 06. Irregularidade das contas com aplicação de multa ao gestor. </w:t>
      </w:r>
    </w:p>
    <w:p w:rsidR="00EA255E" w:rsidRDefault="00EA255E" w:rsidP="00EA255E">
      <w:pPr>
        <w:spacing w:after="120"/>
        <w:jc w:val="both"/>
        <w:rPr>
          <w:rFonts w:ascii="Arial" w:hAnsi="Arial" w:cs="Arial"/>
          <w:sz w:val="20"/>
          <w:szCs w:val="20"/>
        </w:rPr>
      </w:pPr>
      <w:r>
        <w:rPr>
          <w:rFonts w:ascii="Arial" w:hAnsi="Arial" w:cs="Arial"/>
          <w:sz w:val="20"/>
          <w:szCs w:val="20"/>
        </w:rPr>
        <w:t xml:space="preserve">Em prestação de contas anual restou evidenciado que a contabilidade de câmara municipal estava sendo realizada por profissional contratado em procedimento licitatório, em desacordo com o Prejulgado nº 06, desta Corte. </w:t>
      </w:r>
    </w:p>
    <w:p w:rsidR="00EA255E" w:rsidRDefault="00EA255E" w:rsidP="00EA255E">
      <w:pPr>
        <w:spacing w:after="120"/>
        <w:jc w:val="both"/>
        <w:rPr>
          <w:rFonts w:ascii="Arial" w:hAnsi="Arial" w:cs="Arial"/>
          <w:sz w:val="20"/>
          <w:szCs w:val="20"/>
        </w:rPr>
      </w:pPr>
      <w:r>
        <w:rPr>
          <w:rFonts w:ascii="Arial" w:hAnsi="Arial" w:cs="Arial"/>
          <w:sz w:val="20"/>
          <w:szCs w:val="20"/>
        </w:rPr>
        <w:t xml:space="preserve">O Relator do julgado enfatizou que a atividade estava sendo exercida por funcionária terceirizada desde o exercício de 2013, sendo que o último concurso para admissão de servidor, realizado em 2010, foi infrutífero. </w:t>
      </w:r>
    </w:p>
    <w:p w:rsidR="00EA255E" w:rsidRDefault="00EA255E" w:rsidP="00EA255E">
      <w:pPr>
        <w:spacing w:after="120"/>
        <w:jc w:val="both"/>
        <w:rPr>
          <w:rFonts w:ascii="Arial" w:hAnsi="Arial" w:cs="Arial"/>
          <w:sz w:val="20"/>
          <w:szCs w:val="20"/>
        </w:rPr>
      </w:pPr>
      <w:r>
        <w:rPr>
          <w:rFonts w:ascii="Arial" w:hAnsi="Arial" w:cs="Arial"/>
          <w:sz w:val="20"/>
          <w:szCs w:val="20"/>
        </w:rPr>
        <w:t xml:space="preserve">Diante deste fato, as contas foram julgadas irregulares com imputação de multa administrativa ao gestor do Poder Legislativo Municipal. </w:t>
      </w:r>
    </w:p>
    <w:p w:rsidR="00EA255E" w:rsidRDefault="00EA255E" w:rsidP="00EA255E">
      <w:pPr>
        <w:spacing w:after="120"/>
        <w:jc w:val="both"/>
        <w:rPr>
          <w:rFonts w:ascii="Arial" w:hAnsi="Arial" w:cs="Arial"/>
          <w:sz w:val="20"/>
          <w:szCs w:val="20"/>
        </w:rPr>
      </w:pPr>
      <w:r>
        <w:rPr>
          <w:rFonts w:ascii="Arial" w:hAnsi="Arial" w:cs="Arial"/>
          <w:sz w:val="20"/>
          <w:szCs w:val="20"/>
        </w:rPr>
        <w:t xml:space="preserve">Processo nº 280647/14 - </w:t>
      </w:r>
      <w:hyperlink r:id="rId9" w:history="1">
        <w:r>
          <w:rPr>
            <w:rStyle w:val="Hyperlink"/>
            <w:rFonts w:ascii="Arial" w:hAnsi="Arial" w:cs="Arial"/>
            <w:sz w:val="20"/>
            <w:szCs w:val="20"/>
          </w:rPr>
          <w:t>Acórdão nº 3627/17 - Primeira Câmara</w:t>
        </w:r>
      </w:hyperlink>
      <w:r>
        <w:rPr>
          <w:rFonts w:ascii="Arial" w:hAnsi="Arial" w:cs="Arial"/>
          <w:sz w:val="20"/>
          <w:szCs w:val="20"/>
        </w:rPr>
        <w:t xml:space="preserve"> - Rel. Conselheiro Nestor Baptista. </w:t>
      </w:r>
    </w:p>
    <w:p w:rsidR="001C5B0C" w:rsidRDefault="001C5B0C" w:rsidP="00EA255E">
      <w:pPr>
        <w:spacing w:after="12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814CAE" w:rsidRPr="00814CAE" w:rsidRDefault="00D16556" w:rsidP="00814CAE">
      <w:pPr>
        <w:jc w:val="both"/>
        <w:rPr>
          <w:rFonts w:ascii="Arial" w:hAnsi="Arial" w:cs="Arial"/>
          <w:b/>
          <w:sz w:val="20"/>
          <w:szCs w:val="20"/>
        </w:rPr>
      </w:pPr>
      <w:r>
        <w:rPr>
          <w:rFonts w:ascii="Arial" w:hAnsi="Arial" w:cs="Arial"/>
          <w:b/>
          <w:sz w:val="20"/>
          <w:szCs w:val="20"/>
        </w:rPr>
        <w:t xml:space="preserve">3. </w:t>
      </w:r>
      <w:r w:rsidR="00814CAE" w:rsidRPr="00814CAE">
        <w:rPr>
          <w:rFonts w:ascii="Arial" w:hAnsi="Arial" w:cs="Arial"/>
          <w:b/>
          <w:sz w:val="20"/>
          <w:szCs w:val="20"/>
        </w:rPr>
        <w:t xml:space="preserve">Prestação de Contas Anual. Cargo Público. Acumulação. Assessoria Contábil. Artigo 37 da Constituição Federal. </w:t>
      </w:r>
    </w:p>
    <w:p w:rsidR="00814CAE" w:rsidRPr="00814CAE" w:rsidRDefault="00814CAE" w:rsidP="00814CAE">
      <w:pPr>
        <w:jc w:val="both"/>
        <w:rPr>
          <w:rFonts w:ascii="Arial" w:hAnsi="Arial" w:cs="Arial"/>
          <w:sz w:val="20"/>
          <w:szCs w:val="20"/>
        </w:rPr>
      </w:pPr>
      <w:r w:rsidRPr="00814CAE">
        <w:rPr>
          <w:rFonts w:ascii="Arial" w:hAnsi="Arial" w:cs="Arial"/>
          <w:sz w:val="20"/>
          <w:szCs w:val="20"/>
        </w:rPr>
        <w:t xml:space="preserve">A condição de sócio de empresa que presta assessoria contábil a ente público não constitui exercício de cargo público para fins da vedação de acumulação de cargos prevista no artigo 37 da Constituição Federal. Assim, o exercício concomitante de cargo público em um ente público e o condição de sócio de empresa de contabilidade prestadora de serviços em outro ente público não acarreta, por si só, acumulação de cargos públicos. </w:t>
      </w:r>
    </w:p>
    <w:p w:rsidR="00814CAE" w:rsidRPr="00814CAE" w:rsidRDefault="00814CAE" w:rsidP="00814CAE">
      <w:pPr>
        <w:jc w:val="both"/>
        <w:rPr>
          <w:rFonts w:ascii="Arial" w:hAnsi="Arial" w:cs="Arial"/>
          <w:sz w:val="20"/>
          <w:szCs w:val="20"/>
        </w:rPr>
      </w:pPr>
      <w:r w:rsidRPr="00814CAE">
        <w:rPr>
          <w:rFonts w:ascii="Arial" w:hAnsi="Arial" w:cs="Arial"/>
          <w:sz w:val="20"/>
          <w:szCs w:val="20"/>
        </w:rPr>
        <w:t>Processo 204120/15</w:t>
      </w:r>
      <w:r>
        <w:rPr>
          <w:rFonts w:ascii="Arial" w:hAnsi="Arial" w:cs="Arial"/>
          <w:sz w:val="20"/>
          <w:szCs w:val="20"/>
        </w:rPr>
        <w:t xml:space="preserve"> - </w:t>
      </w:r>
      <w:hyperlink r:id="rId10" w:history="1">
        <w:r w:rsidRPr="00814CAE">
          <w:rPr>
            <w:rStyle w:val="Hyperlink"/>
            <w:rFonts w:ascii="Arial" w:hAnsi="Arial" w:cs="Arial"/>
            <w:sz w:val="20"/>
            <w:szCs w:val="20"/>
          </w:rPr>
          <w:t xml:space="preserve">Acórdão 3641/17 </w:t>
        </w:r>
        <w:r>
          <w:rPr>
            <w:rStyle w:val="Hyperlink"/>
            <w:rFonts w:ascii="Arial" w:hAnsi="Arial" w:cs="Arial"/>
            <w:sz w:val="20"/>
            <w:szCs w:val="20"/>
          </w:rPr>
          <w:t>-</w:t>
        </w:r>
        <w:r w:rsidRPr="00814CAE">
          <w:rPr>
            <w:rStyle w:val="Hyperlink"/>
            <w:rFonts w:ascii="Arial" w:hAnsi="Arial" w:cs="Arial"/>
            <w:sz w:val="20"/>
            <w:szCs w:val="20"/>
          </w:rPr>
          <w:t xml:space="preserve"> Segunda Câmara</w:t>
        </w:r>
      </w:hyperlink>
      <w:r>
        <w:rPr>
          <w:rFonts w:ascii="Arial" w:hAnsi="Arial" w:cs="Arial"/>
          <w:sz w:val="20"/>
          <w:szCs w:val="20"/>
        </w:rPr>
        <w:t xml:space="preserve"> - </w:t>
      </w:r>
      <w:r w:rsidRPr="00814CAE">
        <w:rPr>
          <w:rFonts w:ascii="Arial" w:hAnsi="Arial" w:cs="Arial"/>
          <w:sz w:val="20"/>
          <w:szCs w:val="20"/>
        </w:rPr>
        <w:t xml:space="preserve">Relator Conselheiro </w:t>
      </w:r>
      <w:proofErr w:type="spellStart"/>
      <w:r w:rsidRPr="00814CAE">
        <w:rPr>
          <w:rFonts w:ascii="Arial" w:hAnsi="Arial" w:cs="Arial"/>
          <w:sz w:val="20"/>
          <w:szCs w:val="20"/>
        </w:rPr>
        <w:t>Artagão</w:t>
      </w:r>
      <w:proofErr w:type="spellEnd"/>
      <w:r w:rsidRPr="00814CAE">
        <w:rPr>
          <w:rFonts w:ascii="Arial" w:hAnsi="Arial" w:cs="Arial"/>
          <w:sz w:val="20"/>
          <w:szCs w:val="20"/>
        </w:rPr>
        <w:t xml:space="preserve"> de Mattos Leão.</w:t>
      </w:r>
    </w:p>
    <w:p w:rsidR="00814CAE" w:rsidRPr="00814CAE" w:rsidRDefault="00D16556" w:rsidP="00814CAE">
      <w:pPr>
        <w:jc w:val="both"/>
        <w:rPr>
          <w:rFonts w:ascii="Arial" w:hAnsi="Arial" w:cs="Arial"/>
          <w:b/>
          <w:sz w:val="20"/>
          <w:szCs w:val="20"/>
        </w:rPr>
      </w:pPr>
      <w:r>
        <w:rPr>
          <w:rFonts w:ascii="Arial" w:hAnsi="Arial" w:cs="Arial"/>
          <w:b/>
          <w:sz w:val="20"/>
          <w:szCs w:val="20"/>
        </w:rPr>
        <w:t xml:space="preserve">4. </w:t>
      </w:r>
      <w:r w:rsidR="00814CAE" w:rsidRPr="00814CAE">
        <w:rPr>
          <w:rFonts w:ascii="Arial" w:hAnsi="Arial" w:cs="Arial"/>
          <w:b/>
          <w:sz w:val="20"/>
          <w:szCs w:val="20"/>
        </w:rPr>
        <w:t>Admissão de Pessoal. Concurso Público. Docente. Edital. Critérios. Princípio da Publicidade. Princípio da Transparência.</w:t>
      </w:r>
    </w:p>
    <w:p w:rsidR="00814CAE" w:rsidRPr="00814CAE" w:rsidRDefault="00814CAE" w:rsidP="00814CAE">
      <w:pPr>
        <w:jc w:val="both"/>
        <w:rPr>
          <w:rFonts w:ascii="Arial" w:hAnsi="Arial" w:cs="Arial"/>
          <w:sz w:val="20"/>
          <w:szCs w:val="20"/>
        </w:rPr>
      </w:pPr>
      <w:r w:rsidRPr="00814CAE">
        <w:rPr>
          <w:rFonts w:ascii="Arial" w:hAnsi="Arial" w:cs="Arial"/>
          <w:sz w:val="20"/>
          <w:szCs w:val="20"/>
        </w:rPr>
        <w:t>Edital de concurso público deve prever todos os critérios correspondentes a avaliação dos candidatos. A previsão procedimento para gratuidade de inscrições, a publicação de gabaritos de prova escrita e didática, quando houver, e informações a respeito da qualificação da banca examinadora são previsões básicas de atendimento aos princípios da publicidade e da transparência de certames públicos.</w:t>
      </w:r>
    </w:p>
    <w:p w:rsidR="00814CAE" w:rsidRDefault="00814CAE" w:rsidP="00814CAE">
      <w:pPr>
        <w:jc w:val="both"/>
        <w:rPr>
          <w:rFonts w:ascii="Arial" w:hAnsi="Arial" w:cs="Arial"/>
          <w:sz w:val="20"/>
          <w:szCs w:val="20"/>
        </w:rPr>
      </w:pPr>
      <w:r w:rsidRPr="00814CAE">
        <w:rPr>
          <w:rFonts w:ascii="Arial" w:hAnsi="Arial" w:cs="Arial"/>
          <w:sz w:val="20"/>
          <w:szCs w:val="20"/>
        </w:rPr>
        <w:t>Processo 605941/13</w:t>
      </w:r>
      <w:r>
        <w:rPr>
          <w:rFonts w:ascii="Arial" w:hAnsi="Arial" w:cs="Arial"/>
          <w:sz w:val="20"/>
          <w:szCs w:val="20"/>
        </w:rPr>
        <w:t xml:space="preserve"> - </w:t>
      </w:r>
      <w:hyperlink r:id="rId11" w:history="1">
        <w:r w:rsidRPr="00814CAE">
          <w:rPr>
            <w:rStyle w:val="Hyperlink"/>
            <w:rFonts w:ascii="Arial" w:hAnsi="Arial" w:cs="Arial"/>
            <w:sz w:val="20"/>
            <w:szCs w:val="20"/>
          </w:rPr>
          <w:t xml:space="preserve">Acórdão 3661/17 </w:t>
        </w:r>
        <w:r>
          <w:rPr>
            <w:rStyle w:val="Hyperlink"/>
            <w:rFonts w:ascii="Arial" w:hAnsi="Arial" w:cs="Arial"/>
            <w:sz w:val="20"/>
            <w:szCs w:val="20"/>
          </w:rPr>
          <w:t>-</w:t>
        </w:r>
        <w:r w:rsidRPr="00814CAE">
          <w:rPr>
            <w:rStyle w:val="Hyperlink"/>
            <w:rFonts w:ascii="Arial" w:hAnsi="Arial" w:cs="Arial"/>
            <w:sz w:val="20"/>
            <w:szCs w:val="20"/>
          </w:rPr>
          <w:t xml:space="preserve"> Segunda Câmara</w:t>
        </w:r>
      </w:hyperlink>
      <w:r>
        <w:rPr>
          <w:rFonts w:ascii="Arial" w:hAnsi="Arial" w:cs="Arial"/>
          <w:sz w:val="20"/>
          <w:szCs w:val="20"/>
        </w:rPr>
        <w:t xml:space="preserve"> - </w:t>
      </w:r>
      <w:r w:rsidRPr="00814CAE">
        <w:rPr>
          <w:rFonts w:ascii="Arial" w:hAnsi="Arial" w:cs="Arial"/>
          <w:sz w:val="20"/>
          <w:szCs w:val="20"/>
        </w:rPr>
        <w:t xml:space="preserve">Relator Auditor Thiago Barbosa Cordeiro. </w:t>
      </w:r>
    </w:p>
    <w:p w:rsidR="00EA255E" w:rsidRDefault="00D16556" w:rsidP="00EA255E">
      <w:pPr>
        <w:spacing w:after="120"/>
        <w:jc w:val="both"/>
        <w:rPr>
          <w:rFonts w:ascii="Arial" w:hAnsi="Arial" w:cs="Arial"/>
          <w:b/>
          <w:sz w:val="20"/>
          <w:szCs w:val="20"/>
        </w:rPr>
      </w:pPr>
      <w:r>
        <w:rPr>
          <w:rFonts w:ascii="Arial" w:hAnsi="Arial" w:cs="Arial"/>
          <w:b/>
          <w:sz w:val="20"/>
          <w:szCs w:val="20"/>
        </w:rPr>
        <w:t xml:space="preserve">5. </w:t>
      </w:r>
      <w:r w:rsidR="00EA255E">
        <w:rPr>
          <w:rFonts w:ascii="Arial" w:hAnsi="Arial" w:cs="Arial"/>
          <w:b/>
          <w:sz w:val="20"/>
          <w:szCs w:val="20"/>
        </w:rPr>
        <w:t xml:space="preserve">Admissão de pessoal. Concurso público. Negativa de registro da admissão de candidato aprovado que, na condição de assessor jurídico comissionado, emitiu parecer jurídico favorável à contratação da empresa organizadora do concurso público. </w:t>
      </w:r>
    </w:p>
    <w:p w:rsidR="00EA255E" w:rsidRDefault="00EA255E" w:rsidP="00EA255E">
      <w:pPr>
        <w:spacing w:after="120"/>
        <w:jc w:val="both"/>
        <w:rPr>
          <w:rFonts w:ascii="Arial" w:hAnsi="Arial" w:cs="Arial"/>
          <w:sz w:val="20"/>
          <w:szCs w:val="20"/>
        </w:rPr>
      </w:pPr>
      <w:r>
        <w:rPr>
          <w:rFonts w:ascii="Arial" w:hAnsi="Arial" w:cs="Arial"/>
          <w:sz w:val="20"/>
          <w:szCs w:val="20"/>
        </w:rPr>
        <w:t xml:space="preserve">Constatou-se a efetiva participação do servidor admitido em atos preparatórios do concurso público enquanto ocupava o cargo comissionado de assessor jurídico na Câmara Municipal, ocasião em que emitiu parecer opinando pela contratação direta da empresa responsável pela realização das provas do certame. </w:t>
      </w:r>
    </w:p>
    <w:p w:rsidR="00EA255E" w:rsidRDefault="00EA255E" w:rsidP="00EA255E">
      <w:pPr>
        <w:spacing w:after="120"/>
        <w:jc w:val="both"/>
        <w:rPr>
          <w:rFonts w:ascii="Arial" w:hAnsi="Arial" w:cs="Arial"/>
          <w:sz w:val="20"/>
          <w:szCs w:val="20"/>
        </w:rPr>
      </w:pPr>
      <w:r>
        <w:rPr>
          <w:rFonts w:ascii="Arial" w:hAnsi="Arial" w:cs="Arial"/>
          <w:sz w:val="20"/>
          <w:szCs w:val="20"/>
        </w:rPr>
        <w:t xml:space="preserve">Enumerando precedentes desta Casa que vedam a situação em análise, o Relator do </w:t>
      </w:r>
      <w:proofErr w:type="gramStart"/>
      <w:r>
        <w:rPr>
          <w:rFonts w:ascii="Arial" w:hAnsi="Arial" w:cs="Arial"/>
          <w:sz w:val="20"/>
          <w:szCs w:val="20"/>
        </w:rPr>
        <w:t>processo,  enfatizou</w:t>
      </w:r>
      <w:proofErr w:type="gramEnd"/>
      <w:r>
        <w:rPr>
          <w:rFonts w:ascii="Arial" w:hAnsi="Arial" w:cs="Arial"/>
          <w:sz w:val="20"/>
          <w:szCs w:val="20"/>
        </w:rPr>
        <w:t xml:space="preserve"> que “</w:t>
      </w:r>
      <w:r w:rsidRPr="00EA255E">
        <w:rPr>
          <w:rFonts w:ascii="Arial" w:hAnsi="Arial" w:cs="Arial"/>
          <w:i/>
          <w:sz w:val="20"/>
          <w:szCs w:val="20"/>
        </w:rPr>
        <w:t>a mera atuação no processo já é capaz de gerar uma situação de privilégio em relação às informações do certame, capaz de comprometer a impessoalidade que deve nortear todos os atos do certame</w:t>
      </w:r>
      <w:r>
        <w:rPr>
          <w:rFonts w:ascii="Arial" w:hAnsi="Arial" w:cs="Arial"/>
          <w:sz w:val="20"/>
          <w:szCs w:val="20"/>
        </w:rPr>
        <w:t xml:space="preserve">”. </w:t>
      </w:r>
    </w:p>
    <w:p w:rsidR="00EA255E" w:rsidRDefault="00EA255E" w:rsidP="00EA255E">
      <w:pPr>
        <w:spacing w:after="120"/>
        <w:jc w:val="both"/>
        <w:rPr>
          <w:rFonts w:ascii="Arial" w:hAnsi="Arial" w:cs="Arial"/>
          <w:sz w:val="20"/>
          <w:szCs w:val="20"/>
        </w:rPr>
      </w:pPr>
      <w:r>
        <w:rPr>
          <w:rFonts w:ascii="Arial" w:hAnsi="Arial" w:cs="Arial"/>
          <w:sz w:val="20"/>
          <w:szCs w:val="20"/>
        </w:rPr>
        <w:t xml:space="preserve">Assim, negou-se registro ao ato de ingresso, com fulcro nos princípios da impessoalidade, da igualdade e da moralidade. </w:t>
      </w:r>
    </w:p>
    <w:p w:rsidR="00EA255E" w:rsidRDefault="00EA255E" w:rsidP="00EA255E">
      <w:pPr>
        <w:spacing w:after="120"/>
        <w:jc w:val="both"/>
        <w:rPr>
          <w:rFonts w:ascii="Arial" w:hAnsi="Arial" w:cs="Arial"/>
          <w:sz w:val="20"/>
          <w:szCs w:val="20"/>
        </w:rPr>
      </w:pPr>
      <w:r>
        <w:rPr>
          <w:rFonts w:ascii="Arial" w:hAnsi="Arial" w:cs="Arial"/>
          <w:sz w:val="20"/>
          <w:szCs w:val="20"/>
        </w:rPr>
        <w:t xml:space="preserve">Processo nº 38353-7/10 - </w:t>
      </w:r>
      <w:hyperlink r:id="rId12" w:history="1">
        <w:r>
          <w:rPr>
            <w:rStyle w:val="Hyperlink"/>
            <w:rFonts w:ascii="Arial" w:hAnsi="Arial" w:cs="Arial"/>
            <w:sz w:val="20"/>
            <w:szCs w:val="20"/>
          </w:rPr>
          <w:t>Acórdão nº 3542/17 - Segunda Câmara</w:t>
        </w:r>
      </w:hyperlink>
      <w:r>
        <w:rPr>
          <w:rFonts w:ascii="Arial" w:hAnsi="Arial" w:cs="Arial"/>
          <w:sz w:val="20"/>
          <w:szCs w:val="20"/>
        </w:rPr>
        <w:t xml:space="preserve"> - Rel.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EA255E" w:rsidRDefault="00D16556" w:rsidP="00EA255E">
      <w:pPr>
        <w:spacing w:after="120"/>
        <w:jc w:val="both"/>
        <w:rPr>
          <w:rFonts w:ascii="Arial" w:hAnsi="Arial" w:cs="Arial"/>
          <w:b/>
          <w:sz w:val="20"/>
          <w:szCs w:val="20"/>
        </w:rPr>
      </w:pPr>
      <w:r>
        <w:rPr>
          <w:rFonts w:ascii="Arial" w:hAnsi="Arial" w:cs="Arial"/>
          <w:b/>
          <w:sz w:val="20"/>
          <w:szCs w:val="20"/>
        </w:rPr>
        <w:lastRenderedPageBreak/>
        <w:t xml:space="preserve">6. </w:t>
      </w:r>
      <w:r w:rsidR="00EA255E">
        <w:rPr>
          <w:rFonts w:ascii="Arial" w:hAnsi="Arial" w:cs="Arial"/>
          <w:b/>
          <w:sz w:val="20"/>
          <w:szCs w:val="20"/>
        </w:rPr>
        <w:t xml:space="preserve">Comunicação de Irregularidade convertida em Tomada de Contas Extraordinária. </w:t>
      </w:r>
      <w:r w:rsidR="00B27C9D">
        <w:rPr>
          <w:rFonts w:ascii="Arial" w:hAnsi="Arial" w:cs="Arial"/>
          <w:b/>
          <w:sz w:val="20"/>
          <w:szCs w:val="20"/>
        </w:rPr>
        <w:t>PROAR</w:t>
      </w:r>
      <w:r w:rsidR="00EA255E">
        <w:rPr>
          <w:rFonts w:ascii="Arial" w:hAnsi="Arial" w:cs="Arial"/>
          <w:b/>
          <w:sz w:val="20"/>
          <w:szCs w:val="20"/>
        </w:rPr>
        <w:t>. Despesas com medicamentos. Ausência de controle. Procedência. Irregularidade do objeto.</w:t>
      </w:r>
    </w:p>
    <w:p w:rsidR="00EA255E" w:rsidRDefault="00EA255E" w:rsidP="00EA255E">
      <w:pPr>
        <w:spacing w:after="120"/>
        <w:jc w:val="both"/>
        <w:rPr>
          <w:rFonts w:ascii="Arial" w:hAnsi="Arial" w:cs="Arial"/>
          <w:sz w:val="20"/>
          <w:szCs w:val="20"/>
        </w:rPr>
      </w:pPr>
      <w:r>
        <w:rPr>
          <w:rFonts w:ascii="Arial" w:hAnsi="Arial" w:cs="Arial"/>
          <w:sz w:val="20"/>
          <w:szCs w:val="20"/>
        </w:rPr>
        <w:t xml:space="preserve">Verificou-se que o Município não possuía controle de entrada e saída de medicamentos. Como bem ponderado pela Unidade Técnica desta Corte, em excerto transcrito no relatório do voto </w:t>
      </w:r>
      <w:r w:rsidRPr="00B27C9D">
        <w:rPr>
          <w:rFonts w:ascii="Arial" w:hAnsi="Arial" w:cs="Arial"/>
          <w:i/>
          <w:sz w:val="20"/>
          <w:szCs w:val="20"/>
        </w:rPr>
        <w:t>“(...) diante do fato de que o gestor não possui formas de controle e</w:t>
      </w:r>
      <w:r w:rsidR="00510064">
        <w:rPr>
          <w:rFonts w:ascii="Arial" w:hAnsi="Arial" w:cs="Arial"/>
          <w:i/>
          <w:sz w:val="20"/>
          <w:szCs w:val="20"/>
        </w:rPr>
        <w:t>,</w:t>
      </w:r>
      <w:r w:rsidRPr="00B27C9D">
        <w:rPr>
          <w:rFonts w:ascii="Arial" w:hAnsi="Arial" w:cs="Arial"/>
          <w:i/>
          <w:sz w:val="20"/>
          <w:szCs w:val="20"/>
        </w:rPr>
        <w:t xml:space="preserve"> por conseguinte, não prestou as contas acerca desse item de despesa (medicamentos), nem o controle interno atuou para que as informações fossem devidamente prestadas, em verdade descumpriram obrigação de prestar contas corretamente, pois não fazem controle de despesas e de seu patrimônio”. </w:t>
      </w:r>
    </w:p>
    <w:p w:rsidR="00EA255E" w:rsidRDefault="00EA255E" w:rsidP="00EA255E">
      <w:pPr>
        <w:spacing w:after="120"/>
        <w:jc w:val="both"/>
        <w:rPr>
          <w:rFonts w:ascii="Arial" w:hAnsi="Arial" w:cs="Arial"/>
          <w:sz w:val="20"/>
          <w:szCs w:val="20"/>
        </w:rPr>
      </w:pPr>
      <w:r>
        <w:rPr>
          <w:rFonts w:ascii="Arial" w:hAnsi="Arial" w:cs="Arial"/>
          <w:sz w:val="20"/>
          <w:szCs w:val="20"/>
        </w:rPr>
        <w:t xml:space="preserve">A TCE foi julgada procedente com imputação de multa administrativa ao Prefeito e Controlador </w:t>
      </w:r>
      <w:proofErr w:type="gramStart"/>
      <w:r>
        <w:rPr>
          <w:rFonts w:ascii="Arial" w:hAnsi="Arial" w:cs="Arial"/>
          <w:sz w:val="20"/>
          <w:szCs w:val="20"/>
        </w:rPr>
        <w:t>Interno  à</w:t>
      </w:r>
      <w:proofErr w:type="gramEnd"/>
      <w:r>
        <w:rPr>
          <w:rFonts w:ascii="Arial" w:hAnsi="Arial" w:cs="Arial"/>
          <w:sz w:val="20"/>
          <w:szCs w:val="20"/>
        </w:rPr>
        <w:t xml:space="preserve"> época.  </w:t>
      </w:r>
    </w:p>
    <w:p w:rsidR="00EA255E" w:rsidRDefault="00B27C9D" w:rsidP="00EA255E">
      <w:pPr>
        <w:spacing w:after="120"/>
        <w:jc w:val="both"/>
        <w:rPr>
          <w:rFonts w:ascii="Arial" w:hAnsi="Arial" w:cs="Arial"/>
          <w:sz w:val="20"/>
          <w:szCs w:val="20"/>
        </w:rPr>
      </w:pPr>
      <w:r>
        <w:rPr>
          <w:rFonts w:ascii="Arial" w:hAnsi="Arial" w:cs="Arial"/>
          <w:sz w:val="20"/>
          <w:szCs w:val="20"/>
        </w:rPr>
        <w:t>Processo nº 536124/16 -</w:t>
      </w:r>
      <w:r w:rsidR="00EA255E">
        <w:rPr>
          <w:rFonts w:ascii="Arial" w:hAnsi="Arial" w:cs="Arial"/>
          <w:sz w:val="20"/>
          <w:szCs w:val="20"/>
        </w:rPr>
        <w:t xml:space="preserve"> </w:t>
      </w:r>
      <w:hyperlink r:id="rId13" w:history="1">
        <w:r w:rsidR="00EA255E">
          <w:rPr>
            <w:rStyle w:val="Hyperlink"/>
            <w:rFonts w:ascii="Arial" w:hAnsi="Arial" w:cs="Arial"/>
            <w:sz w:val="20"/>
            <w:szCs w:val="20"/>
          </w:rPr>
          <w:t>Acórdão nº 3540/17</w:t>
        </w:r>
        <w:r>
          <w:rPr>
            <w:rStyle w:val="Hyperlink"/>
            <w:rFonts w:ascii="Arial" w:hAnsi="Arial" w:cs="Arial"/>
            <w:sz w:val="20"/>
            <w:szCs w:val="20"/>
          </w:rPr>
          <w:t xml:space="preserve"> - Segunda </w:t>
        </w:r>
        <w:r w:rsidR="00EA255E">
          <w:rPr>
            <w:rStyle w:val="Hyperlink"/>
            <w:rFonts w:ascii="Arial" w:hAnsi="Arial" w:cs="Arial"/>
            <w:sz w:val="20"/>
            <w:szCs w:val="20"/>
          </w:rPr>
          <w:t>Câmara</w:t>
        </w:r>
      </w:hyperlink>
      <w:r w:rsidR="00EA255E">
        <w:rPr>
          <w:rFonts w:ascii="Arial" w:hAnsi="Arial" w:cs="Arial"/>
          <w:sz w:val="20"/>
          <w:szCs w:val="20"/>
        </w:rPr>
        <w:t xml:space="preserve"> </w:t>
      </w:r>
      <w:r>
        <w:rPr>
          <w:rFonts w:ascii="Arial" w:hAnsi="Arial" w:cs="Arial"/>
          <w:sz w:val="20"/>
          <w:szCs w:val="20"/>
        </w:rPr>
        <w:t>-</w:t>
      </w:r>
      <w:r w:rsidR="00EA255E">
        <w:rPr>
          <w:rFonts w:ascii="Arial" w:hAnsi="Arial" w:cs="Arial"/>
          <w:sz w:val="20"/>
          <w:szCs w:val="20"/>
        </w:rPr>
        <w:t xml:space="preserve"> Rel. Conselheiro Ivan </w:t>
      </w:r>
      <w:proofErr w:type="spellStart"/>
      <w:r w:rsidR="00EA255E">
        <w:rPr>
          <w:rFonts w:ascii="Arial" w:hAnsi="Arial" w:cs="Arial"/>
          <w:sz w:val="20"/>
          <w:szCs w:val="20"/>
        </w:rPr>
        <w:t>Lelis</w:t>
      </w:r>
      <w:proofErr w:type="spellEnd"/>
      <w:r w:rsidR="00EA255E">
        <w:rPr>
          <w:rFonts w:ascii="Arial" w:hAnsi="Arial" w:cs="Arial"/>
          <w:sz w:val="20"/>
          <w:szCs w:val="20"/>
        </w:rPr>
        <w:t xml:space="preserve"> Bonilha.  </w:t>
      </w:r>
    </w:p>
    <w:p w:rsidR="00EA255E" w:rsidRDefault="00D16556" w:rsidP="00EA255E">
      <w:pPr>
        <w:spacing w:after="120"/>
        <w:jc w:val="both"/>
        <w:rPr>
          <w:rFonts w:ascii="Arial" w:hAnsi="Arial" w:cs="Arial"/>
          <w:b/>
          <w:sz w:val="20"/>
          <w:szCs w:val="20"/>
        </w:rPr>
      </w:pPr>
      <w:r>
        <w:rPr>
          <w:rFonts w:ascii="Arial" w:hAnsi="Arial" w:cs="Arial"/>
          <w:b/>
          <w:sz w:val="20"/>
          <w:szCs w:val="20"/>
        </w:rPr>
        <w:t xml:space="preserve">7. </w:t>
      </w:r>
      <w:r w:rsidR="00EA255E">
        <w:rPr>
          <w:rFonts w:ascii="Arial" w:hAnsi="Arial" w:cs="Arial"/>
          <w:b/>
          <w:sz w:val="20"/>
          <w:szCs w:val="20"/>
        </w:rPr>
        <w:t xml:space="preserve">Ato de inativação. Ausência de declaração de não acúmulo de benefícios assinada pelo servidor. Negativa de registro e aplicação de multa administrativa ao gestor da entidade previdenciária. </w:t>
      </w:r>
    </w:p>
    <w:p w:rsidR="00EA255E" w:rsidRDefault="00EA255E" w:rsidP="00EA255E">
      <w:pPr>
        <w:spacing w:after="120"/>
        <w:jc w:val="both"/>
        <w:rPr>
          <w:rFonts w:ascii="Arial" w:hAnsi="Arial" w:cs="Arial"/>
          <w:sz w:val="20"/>
          <w:szCs w:val="20"/>
        </w:rPr>
      </w:pPr>
      <w:r>
        <w:rPr>
          <w:rFonts w:ascii="Arial" w:hAnsi="Arial" w:cs="Arial"/>
          <w:sz w:val="20"/>
          <w:szCs w:val="20"/>
        </w:rPr>
        <w:t>A declaração de não acúmulo de cargo público é documento de juntada obrigatória nos termos das normativas desta Corte, pois é documento indispensável à análise da legalidade do ato, na medida em que a acumulação de proventos está restrita às hipóteses permitidas no art. 37, § 10, da Constituição Federal.</w:t>
      </w:r>
    </w:p>
    <w:p w:rsidR="00EA255E" w:rsidRDefault="00EA255E" w:rsidP="00EA255E">
      <w:pPr>
        <w:spacing w:after="120"/>
        <w:jc w:val="both"/>
        <w:rPr>
          <w:rFonts w:ascii="Arial" w:hAnsi="Arial" w:cs="Arial"/>
          <w:sz w:val="20"/>
          <w:szCs w:val="20"/>
        </w:rPr>
      </w:pPr>
      <w:r>
        <w:rPr>
          <w:rFonts w:ascii="Arial" w:hAnsi="Arial" w:cs="Arial"/>
          <w:sz w:val="20"/>
          <w:szCs w:val="20"/>
        </w:rPr>
        <w:t xml:space="preserve">Sem a declaração firmada pelo servidor não é possível aferir a inexistência de acúmulo, ou se este se dá nas hipóteses previstas constitucionalmente. Registro do ato negado com aplicação de multa ao gestor da entidade previdenciária. </w:t>
      </w:r>
    </w:p>
    <w:p w:rsidR="00EA255E" w:rsidRDefault="00EA255E" w:rsidP="00EA255E">
      <w:pPr>
        <w:spacing w:after="120"/>
        <w:jc w:val="both"/>
        <w:rPr>
          <w:rFonts w:ascii="Arial" w:hAnsi="Arial" w:cs="Arial"/>
          <w:sz w:val="20"/>
          <w:szCs w:val="20"/>
        </w:rPr>
      </w:pPr>
      <w:r>
        <w:rPr>
          <w:rFonts w:ascii="Arial" w:hAnsi="Arial" w:cs="Arial"/>
          <w:sz w:val="20"/>
          <w:szCs w:val="20"/>
        </w:rPr>
        <w:t xml:space="preserve">Processo nº 71959/13 </w:t>
      </w:r>
      <w:r w:rsidR="00B27C9D">
        <w:rPr>
          <w:rFonts w:ascii="Arial" w:hAnsi="Arial" w:cs="Arial"/>
          <w:sz w:val="20"/>
          <w:szCs w:val="20"/>
        </w:rPr>
        <w:t>-</w:t>
      </w:r>
      <w:r>
        <w:rPr>
          <w:rFonts w:ascii="Arial" w:hAnsi="Arial" w:cs="Arial"/>
          <w:sz w:val="20"/>
          <w:szCs w:val="20"/>
        </w:rPr>
        <w:t xml:space="preserve"> </w:t>
      </w:r>
      <w:hyperlink r:id="rId14" w:history="1">
        <w:r>
          <w:rPr>
            <w:rStyle w:val="Hyperlink"/>
            <w:rFonts w:ascii="Arial" w:hAnsi="Arial" w:cs="Arial"/>
            <w:sz w:val="20"/>
            <w:szCs w:val="20"/>
          </w:rPr>
          <w:t>Acórdão nº 3562/17</w:t>
        </w:r>
        <w:r w:rsidR="00B27C9D">
          <w:rPr>
            <w:rStyle w:val="Hyperlink"/>
            <w:rFonts w:ascii="Arial" w:hAnsi="Arial" w:cs="Arial"/>
            <w:sz w:val="20"/>
            <w:szCs w:val="20"/>
          </w:rPr>
          <w:t xml:space="preserve">- Segunda </w:t>
        </w:r>
        <w:r>
          <w:rPr>
            <w:rStyle w:val="Hyperlink"/>
            <w:rFonts w:ascii="Arial" w:hAnsi="Arial" w:cs="Arial"/>
            <w:sz w:val="20"/>
            <w:szCs w:val="20"/>
          </w:rPr>
          <w:t>Câmara</w:t>
        </w:r>
      </w:hyperlink>
      <w:r>
        <w:rPr>
          <w:rFonts w:ascii="Arial" w:hAnsi="Arial" w:cs="Arial"/>
          <w:sz w:val="20"/>
          <w:szCs w:val="20"/>
        </w:rPr>
        <w:t xml:space="preserve"> </w:t>
      </w:r>
      <w:r w:rsidR="00B27C9D">
        <w:rPr>
          <w:rFonts w:ascii="Arial" w:hAnsi="Arial" w:cs="Arial"/>
          <w:sz w:val="20"/>
          <w:szCs w:val="20"/>
        </w:rPr>
        <w:t>-</w:t>
      </w:r>
      <w:r>
        <w:rPr>
          <w:rFonts w:ascii="Arial" w:hAnsi="Arial" w:cs="Arial"/>
          <w:sz w:val="20"/>
          <w:szCs w:val="20"/>
        </w:rPr>
        <w:t xml:space="preserve"> Rel. Conselheiro Ivens Zschoerper Linhares. </w: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35209C" w:rsidRPr="00C8641B" w:rsidRDefault="00F647F2" w:rsidP="0035209C">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8. </w:t>
      </w:r>
      <w:r w:rsidR="0035209C" w:rsidRPr="00C8641B">
        <w:rPr>
          <w:rFonts w:ascii="Arial" w:hAnsi="Arial" w:cs="Arial"/>
          <w:b/>
          <w:sz w:val="20"/>
          <w:szCs w:val="20"/>
        </w:rPr>
        <w:t>Prejulgado. Interpretação do inciso V, do art. 37, da Constituição Federal. Aprovação. Enunciados.</w:t>
      </w:r>
    </w:p>
    <w:p w:rsidR="0035209C" w:rsidRPr="00C8641B" w:rsidRDefault="0035209C" w:rsidP="00816942">
      <w:pPr>
        <w:autoSpaceDE w:val="0"/>
        <w:autoSpaceDN w:val="0"/>
        <w:adjustRightInd w:val="0"/>
        <w:spacing w:after="0"/>
        <w:jc w:val="both"/>
        <w:rPr>
          <w:rFonts w:ascii="Arial" w:hAnsi="Arial" w:cs="Arial"/>
          <w:sz w:val="20"/>
          <w:szCs w:val="20"/>
        </w:rPr>
      </w:pPr>
    </w:p>
    <w:p w:rsidR="00C8641B" w:rsidRPr="00C8641B" w:rsidRDefault="00C8641B" w:rsidP="00C8641B">
      <w:pPr>
        <w:autoSpaceDE w:val="0"/>
        <w:autoSpaceDN w:val="0"/>
        <w:adjustRightInd w:val="0"/>
        <w:spacing w:after="0" w:line="240" w:lineRule="auto"/>
        <w:jc w:val="both"/>
        <w:rPr>
          <w:rFonts w:ascii="Arial" w:hAnsi="Arial" w:cs="Arial"/>
          <w:sz w:val="20"/>
          <w:szCs w:val="20"/>
        </w:rPr>
      </w:pPr>
      <w:r w:rsidRPr="00883257">
        <w:rPr>
          <w:rFonts w:ascii="Arial" w:hAnsi="Arial" w:cs="Arial"/>
          <w:bCs/>
          <w:sz w:val="20"/>
          <w:szCs w:val="20"/>
        </w:rPr>
        <w:t>I.</w:t>
      </w:r>
      <w:r w:rsidRPr="00C8641B">
        <w:rPr>
          <w:rFonts w:ascii="Arial" w:hAnsi="Arial" w:cs="Arial"/>
          <w:b/>
          <w:bCs/>
          <w:sz w:val="20"/>
          <w:szCs w:val="20"/>
        </w:rPr>
        <w:t xml:space="preserve"> </w:t>
      </w:r>
      <w:r w:rsidRPr="00C8641B">
        <w:rPr>
          <w:rFonts w:ascii="Arial" w:hAnsi="Arial" w:cs="Arial"/>
          <w:sz w:val="20"/>
          <w:szCs w:val="20"/>
        </w:rPr>
        <w:t>A criação de cargos de provimento em comissão e funções de confiança demanda a edição de lei em sentido formal que deverá, necessariamente, observar os princípios da razoabilidade, proporcionalidade e eficiência, prevendo a denominação, o quantitativo de vagas e a remuneração, podendo ser objeto de ato normativo regulamentar a definição das atribuições e eventuais requisitos de investidura, observada a competência de iniciativa em cada caso.</w:t>
      </w:r>
    </w:p>
    <w:p w:rsidR="001C5B0C" w:rsidRDefault="001C5B0C" w:rsidP="00C8641B">
      <w:pPr>
        <w:autoSpaceDE w:val="0"/>
        <w:autoSpaceDN w:val="0"/>
        <w:adjustRightInd w:val="0"/>
        <w:spacing w:after="0" w:line="240" w:lineRule="auto"/>
        <w:jc w:val="both"/>
        <w:rPr>
          <w:rFonts w:ascii="Arial" w:hAnsi="Arial" w:cs="Arial"/>
          <w:sz w:val="20"/>
          <w:szCs w:val="20"/>
        </w:rPr>
      </w:pPr>
    </w:p>
    <w:p w:rsidR="00C8641B" w:rsidRDefault="00C8641B" w:rsidP="00C8641B">
      <w:pPr>
        <w:autoSpaceDE w:val="0"/>
        <w:autoSpaceDN w:val="0"/>
        <w:adjustRightInd w:val="0"/>
        <w:spacing w:after="0" w:line="240" w:lineRule="auto"/>
        <w:jc w:val="both"/>
        <w:rPr>
          <w:rFonts w:ascii="Arial" w:hAnsi="Arial" w:cs="Arial"/>
          <w:sz w:val="20"/>
          <w:szCs w:val="20"/>
        </w:rPr>
      </w:pPr>
      <w:r w:rsidRPr="00C8641B">
        <w:rPr>
          <w:rFonts w:ascii="Arial" w:hAnsi="Arial" w:cs="Arial"/>
          <w:sz w:val="20"/>
          <w:szCs w:val="20"/>
        </w:rPr>
        <w:t>II. O Poder Legislativo, a depender da disciplina vigente sobre o</w:t>
      </w:r>
      <w:r>
        <w:rPr>
          <w:rFonts w:ascii="Arial" w:hAnsi="Arial" w:cs="Arial"/>
          <w:sz w:val="20"/>
          <w:szCs w:val="20"/>
        </w:rPr>
        <w:t xml:space="preserve"> </w:t>
      </w:r>
      <w:r w:rsidRPr="00C8641B">
        <w:rPr>
          <w:rFonts w:ascii="Arial" w:hAnsi="Arial" w:cs="Arial"/>
          <w:sz w:val="20"/>
          <w:szCs w:val="20"/>
        </w:rPr>
        <w:t>respectivo processo legislativo, poderá dispor sobre o tema por meio</w:t>
      </w:r>
      <w:r>
        <w:rPr>
          <w:rFonts w:ascii="Arial" w:hAnsi="Arial" w:cs="Arial"/>
          <w:sz w:val="20"/>
          <w:szCs w:val="20"/>
        </w:rPr>
        <w:t xml:space="preserve"> </w:t>
      </w:r>
      <w:r w:rsidRPr="00C8641B">
        <w:rPr>
          <w:rFonts w:ascii="Arial" w:hAnsi="Arial" w:cs="Arial"/>
          <w:sz w:val="20"/>
          <w:szCs w:val="20"/>
        </w:rPr>
        <w:t>de Resolução, exceto quanto à definição da remuneração do cargo</w:t>
      </w:r>
      <w:r>
        <w:rPr>
          <w:rFonts w:ascii="Arial" w:hAnsi="Arial" w:cs="Arial"/>
          <w:sz w:val="20"/>
          <w:szCs w:val="20"/>
        </w:rPr>
        <w:t xml:space="preserve"> </w:t>
      </w:r>
      <w:r w:rsidRPr="00C8641B">
        <w:rPr>
          <w:rFonts w:ascii="Arial" w:hAnsi="Arial" w:cs="Arial"/>
          <w:sz w:val="20"/>
          <w:szCs w:val="20"/>
        </w:rPr>
        <w:t>ou função, que carece de lei em sentido formal em qualquer hipótese</w:t>
      </w:r>
      <w:r>
        <w:rPr>
          <w:rFonts w:ascii="Arial" w:hAnsi="Arial" w:cs="Arial"/>
          <w:sz w:val="20"/>
          <w:szCs w:val="20"/>
        </w:rPr>
        <w:t>.</w:t>
      </w:r>
    </w:p>
    <w:p w:rsidR="00C8641B" w:rsidRDefault="00C8641B" w:rsidP="00C8641B">
      <w:pPr>
        <w:autoSpaceDE w:val="0"/>
        <w:autoSpaceDN w:val="0"/>
        <w:adjustRightInd w:val="0"/>
        <w:spacing w:after="0" w:line="240" w:lineRule="auto"/>
        <w:jc w:val="both"/>
        <w:rPr>
          <w:rFonts w:ascii="Arial" w:hAnsi="Arial" w:cs="Arial"/>
          <w:sz w:val="20"/>
          <w:szCs w:val="20"/>
        </w:rPr>
      </w:pPr>
    </w:p>
    <w:p w:rsidR="00C8641B" w:rsidRPr="00C8641B" w:rsidRDefault="00C8641B" w:rsidP="00C8641B">
      <w:pPr>
        <w:autoSpaceDE w:val="0"/>
        <w:autoSpaceDN w:val="0"/>
        <w:adjustRightInd w:val="0"/>
        <w:spacing w:after="0" w:line="240" w:lineRule="auto"/>
        <w:jc w:val="both"/>
        <w:rPr>
          <w:rFonts w:ascii="Arial" w:hAnsi="Arial" w:cs="Arial"/>
          <w:sz w:val="20"/>
          <w:szCs w:val="20"/>
        </w:rPr>
      </w:pPr>
      <w:r w:rsidRPr="00C8641B">
        <w:rPr>
          <w:rFonts w:ascii="Arial" w:hAnsi="Arial" w:cs="Arial"/>
          <w:sz w:val="20"/>
          <w:szCs w:val="20"/>
        </w:rPr>
        <w:lastRenderedPageBreak/>
        <w:t>III. Direção e chefia pressupõem competências decisórias e o exercício</w:t>
      </w:r>
      <w:r>
        <w:rPr>
          <w:rFonts w:ascii="Arial" w:hAnsi="Arial" w:cs="Arial"/>
          <w:sz w:val="20"/>
          <w:szCs w:val="20"/>
        </w:rPr>
        <w:t xml:space="preserve"> </w:t>
      </w:r>
      <w:r w:rsidRPr="00C8641B">
        <w:rPr>
          <w:rFonts w:ascii="Arial" w:hAnsi="Arial" w:cs="Arial"/>
          <w:sz w:val="20"/>
          <w:szCs w:val="20"/>
        </w:rPr>
        <w:t>do poder hierárquico em relação a outros servidores, nos termos</w:t>
      </w:r>
      <w:r>
        <w:rPr>
          <w:rFonts w:ascii="Arial" w:hAnsi="Arial" w:cs="Arial"/>
          <w:sz w:val="20"/>
          <w:szCs w:val="20"/>
        </w:rPr>
        <w:t xml:space="preserve"> </w:t>
      </w:r>
      <w:r w:rsidRPr="00C8641B">
        <w:rPr>
          <w:rFonts w:ascii="Arial" w:hAnsi="Arial" w:cs="Arial"/>
          <w:sz w:val="20"/>
          <w:szCs w:val="20"/>
        </w:rPr>
        <w:t>previstos em ato normativo; os cargos de direção estão relacionados</w:t>
      </w:r>
      <w:r>
        <w:rPr>
          <w:rFonts w:ascii="Arial" w:hAnsi="Arial" w:cs="Arial"/>
          <w:sz w:val="20"/>
          <w:szCs w:val="20"/>
        </w:rPr>
        <w:t xml:space="preserve"> </w:t>
      </w:r>
      <w:r w:rsidRPr="00C8641B">
        <w:rPr>
          <w:rFonts w:ascii="Arial" w:hAnsi="Arial" w:cs="Arial"/>
          <w:sz w:val="20"/>
          <w:szCs w:val="20"/>
        </w:rPr>
        <w:t>ao nível estratégico da organização, enquanto os cargos de chefia</w:t>
      </w:r>
      <w:r>
        <w:rPr>
          <w:rFonts w:ascii="Arial" w:hAnsi="Arial" w:cs="Arial"/>
          <w:sz w:val="20"/>
          <w:szCs w:val="20"/>
        </w:rPr>
        <w:t xml:space="preserve"> </w:t>
      </w:r>
      <w:r w:rsidRPr="00C8641B">
        <w:rPr>
          <w:rFonts w:ascii="Arial" w:hAnsi="Arial" w:cs="Arial"/>
          <w:sz w:val="20"/>
          <w:szCs w:val="20"/>
        </w:rPr>
        <w:t>atuam no nível tático e operacional.</w:t>
      </w:r>
    </w:p>
    <w:p w:rsidR="00C8641B" w:rsidRDefault="00C8641B" w:rsidP="00C8641B">
      <w:pPr>
        <w:autoSpaceDE w:val="0"/>
        <w:autoSpaceDN w:val="0"/>
        <w:adjustRightInd w:val="0"/>
        <w:spacing w:after="0" w:line="240" w:lineRule="auto"/>
        <w:jc w:val="both"/>
        <w:rPr>
          <w:rFonts w:ascii="Arial" w:hAnsi="Arial" w:cs="Arial"/>
          <w:sz w:val="24"/>
          <w:szCs w:val="24"/>
        </w:rPr>
      </w:pPr>
    </w:p>
    <w:p w:rsidR="00C8641B" w:rsidRPr="00C8641B" w:rsidRDefault="00C8641B" w:rsidP="00C8641B">
      <w:pPr>
        <w:autoSpaceDE w:val="0"/>
        <w:autoSpaceDN w:val="0"/>
        <w:adjustRightInd w:val="0"/>
        <w:spacing w:after="0" w:line="240" w:lineRule="auto"/>
        <w:jc w:val="both"/>
        <w:rPr>
          <w:rFonts w:ascii="Arial" w:hAnsi="Arial" w:cs="Arial"/>
          <w:sz w:val="20"/>
          <w:szCs w:val="20"/>
        </w:rPr>
      </w:pPr>
      <w:r w:rsidRPr="00C8641B">
        <w:rPr>
          <w:rFonts w:ascii="Arial" w:hAnsi="Arial" w:cs="Arial"/>
          <w:sz w:val="20"/>
          <w:szCs w:val="20"/>
        </w:rPr>
        <w:t>IV. A função de assessoramento diz respeito ao exercício de atribuições</w:t>
      </w:r>
      <w:r>
        <w:rPr>
          <w:rFonts w:ascii="Arial" w:hAnsi="Arial" w:cs="Arial"/>
          <w:sz w:val="20"/>
          <w:szCs w:val="20"/>
        </w:rPr>
        <w:t xml:space="preserve"> </w:t>
      </w:r>
      <w:r w:rsidRPr="00C8641B">
        <w:rPr>
          <w:rFonts w:ascii="Arial" w:hAnsi="Arial" w:cs="Arial"/>
          <w:sz w:val="20"/>
          <w:szCs w:val="20"/>
        </w:rPr>
        <w:t>de auxílio, quando, para o seu desempenho, for exigida relação de</w:t>
      </w:r>
      <w:r>
        <w:rPr>
          <w:rFonts w:ascii="Arial" w:hAnsi="Arial" w:cs="Arial"/>
          <w:sz w:val="20"/>
          <w:szCs w:val="20"/>
        </w:rPr>
        <w:t xml:space="preserve"> </w:t>
      </w:r>
      <w:r w:rsidRPr="00C8641B">
        <w:rPr>
          <w:rFonts w:ascii="Arial" w:hAnsi="Arial" w:cs="Arial"/>
          <w:sz w:val="20"/>
          <w:szCs w:val="20"/>
        </w:rPr>
        <w:t>confiança pessoal com o servidor nomeado, hipótese em que deverá</w:t>
      </w:r>
      <w:r>
        <w:rPr>
          <w:rFonts w:ascii="Arial" w:hAnsi="Arial" w:cs="Arial"/>
          <w:sz w:val="20"/>
          <w:szCs w:val="20"/>
        </w:rPr>
        <w:t xml:space="preserve"> </w:t>
      </w:r>
      <w:r w:rsidRPr="00C8641B">
        <w:rPr>
          <w:rFonts w:ascii="Arial" w:hAnsi="Arial" w:cs="Arial"/>
          <w:sz w:val="20"/>
          <w:szCs w:val="20"/>
        </w:rPr>
        <w:t>ser observada a compatibilidade da formação ou experiência</w:t>
      </w:r>
      <w:r>
        <w:rPr>
          <w:rFonts w:ascii="Arial" w:hAnsi="Arial" w:cs="Arial"/>
          <w:sz w:val="20"/>
          <w:szCs w:val="20"/>
        </w:rPr>
        <w:t xml:space="preserve"> </w:t>
      </w:r>
      <w:r w:rsidRPr="00C8641B">
        <w:rPr>
          <w:rFonts w:ascii="Arial" w:hAnsi="Arial" w:cs="Arial"/>
          <w:sz w:val="20"/>
          <w:szCs w:val="20"/>
        </w:rPr>
        <w:t>profissional com as atividades a serem desenvolvidas</w:t>
      </w:r>
      <w:r>
        <w:rPr>
          <w:rFonts w:ascii="Arial" w:hAnsi="Arial" w:cs="Arial"/>
          <w:sz w:val="20"/>
          <w:szCs w:val="20"/>
        </w:rPr>
        <w:t>.</w:t>
      </w:r>
    </w:p>
    <w:p w:rsidR="00C8641B" w:rsidRPr="00C8641B" w:rsidRDefault="00C8641B" w:rsidP="00C8641B">
      <w:pPr>
        <w:autoSpaceDE w:val="0"/>
        <w:autoSpaceDN w:val="0"/>
        <w:adjustRightInd w:val="0"/>
        <w:spacing w:after="0" w:line="240" w:lineRule="auto"/>
        <w:jc w:val="both"/>
        <w:rPr>
          <w:rFonts w:ascii="Arial" w:hAnsi="Arial" w:cs="Arial"/>
          <w:sz w:val="20"/>
          <w:szCs w:val="20"/>
        </w:rPr>
      </w:pPr>
    </w:p>
    <w:p w:rsidR="0035209C" w:rsidRDefault="00C8641B" w:rsidP="00C8641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w:t>
      </w:r>
      <w:r w:rsidRPr="00C8641B">
        <w:rPr>
          <w:rFonts w:ascii="Arial" w:hAnsi="Arial" w:cs="Arial"/>
          <w:sz w:val="20"/>
          <w:szCs w:val="20"/>
        </w:rPr>
        <w:t>É vedada a criação de cargos em comissão para o exercício de</w:t>
      </w:r>
      <w:r>
        <w:rPr>
          <w:rFonts w:ascii="Arial" w:hAnsi="Arial" w:cs="Arial"/>
          <w:sz w:val="20"/>
          <w:szCs w:val="20"/>
        </w:rPr>
        <w:t xml:space="preserve"> </w:t>
      </w:r>
      <w:r w:rsidRPr="00C8641B">
        <w:rPr>
          <w:rFonts w:ascii="Arial" w:hAnsi="Arial" w:cs="Arial"/>
          <w:sz w:val="20"/>
          <w:szCs w:val="20"/>
        </w:rPr>
        <w:t>atribuições técnicas-</w:t>
      </w:r>
      <w:r>
        <w:rPr>
          <w:rFonts w:ascii="Arial" w:hAnsi="Arial" w:cs="Arial"/>
          <w:sz w:val="20"/>
          <w:szCs w:val="20"/>
        </w:rPr>
        <w:t xml:space="preserve"> </w:t>
      </w:r>
      <w:r w:rsidRPr="00C8641B">
        <w:rPr>
          <w:rFonts w:ascii="Arial" w:hAnsi="Arial" w:cs="Arial"/>
          <w:sz w:val="20"/>
          <w:szCs w:val="20"/>
        </w:rPr>
        <w:t>operacionais ou burocráticas, exceto quando o</w:t>
      </w:r>
      <w:r>
        <w:rPr>
          <w:rFonts w:ascii="Arial" w:hAnsi="Arial" w:cs="Arial"/>
          <w:sz w:val="20"/>
          <w:szCs w:val="20"/>
        </w:rPr>
        <w:t xml:space="preserve"> </w:t>
      </w:r>
      <w:r w:rsidRPr="00C8641B">
        <w:rPr>
          <w:rFonts w:ascii="Arial" w:hAnsi="Arial" w:cs="Arial"/>
          <w:sz w:val="20"/>
          <w:szCs w:val="20"/>
        </w:rPr>
        <w:t>exercício dessa atividade exigir vínculo de confiança pessoal com o</w:t>
      </w:r>
      <w:r>
        <w:rPr>
          <w:rFonts w:ascii="Arial" w:hAnsi="Arial" w:cs="Arial"/>
          <w:sz w:val="20"/>
          <w:szCs w:val="20"/>
        </w:rPr>
        <w:t xml:space="preserve"> </w:t>
      </w:r>
      <w:r w:rsidRPr="00C8641B">
        <w:rPr>
          <w:rFonts w:ascii="Arial" w:hAnsi="Arial" w:cs="Arial"/>
          <w:sz w:val="20"/>
          <w:szCs w:val="20"/>
        </w:rPr>
        <w:t>servidor nomeado.</w:t>
      </w:r>
    </w:p>
    <w:p w:rsidR="00C8641B" w:rsidRDefault="00C8641B" w:rsidP="00C8641B">
      <w:pPr>
        <w:autoSpaceDE w:val="0"/>
        <w:autoSpaceDN w:val="0"/>
        <w:adjustRightInd w:val="0"/>
        <w:spacing w:after="0" w:line="240" w:lineRule="auto"/>
        <w:jc w:val="both"/>
        <w:rPr>
          <w:rFonts w:ascii="Arial" w:hAnsi="Arial" w:cs="Arial"/>
          <w:sz w:val="20"/>
          <w:szCs w:val="20"/>
        </w:rPr>
      </w:pPr>
    </w:p>
    <w:p w:rsidR="00C8641B" w:rsidRDefault="00C8641B" w:rsidP="00C8641B">
      <w:pPr>
        <w:autoSpaceDE w:val="0"/>
        <w:autoSpaceDN w:val="0"/>
        <w:adjustRightInd w:val="0"/>
        <w:spacing w:after="0" w:line="240" w:lineRule="auto"/>
        <w:jc w:val="both"/>
        <w:rPr>
          <w:rFonts w:ascii="Arial" w:hAnsi="Arial" w:cs="Arial"/>
          <w:color w:val="000000"/>
          <w:sz w:val="20"/>
          <w:szCs w:val="20"/>
        </w:rPr>
      </w:pPr>
      <w:r w:rsidRPr="00C8641B">
        <w:rPr>
          <w:rFonts w:ascii="Arial" w:hAnsi="Arial" w:cs="Arial"/>
          <w:sz w:val="20"/>
          <w:szCs w:val="20"/>
        </w:rPr>
        <w:t xml:space="preserve">VI. </w:t>
      </w:r>
      <w:r w:rsidRPr="00C8641B">
        <w:rPr>
          <w:rFonts w:ascii="Arial" w:hAnsi="Arial" w:cs="Arial"/>
          <w:color w:val="000000"/>
          <w:sz w:val="20"/>
          <w:szCs w:val="20"/>
        </w:rPr>
        <w:t>É imperioso o estabelecimento, nas legislações municipais e</w:t>
      </w:r>
      <w:r>
        <w:rPr>
          <w:rFonts w:ascii="Arial" w:hAnsi="Arial" w:cs="Arial"/>
          <w:color w:val="000000"/>
          <w:sz w:val="20"/>
          <w:szCs w:val="20"/>
        </w:rPr>
        <w:t xml:space="preserve"> </w:t>
      </w:r>
      <w:r w:rsidRPr="00C8641B">
        <w:rPr>
          <w:rFonts w:ascii="Arial" w:hAnsi="Arial" w:cs="Arial"/>
          <w:color w:val="000000"/>
          <w:sz w:val="20"/>
          <w:szCs w:val="20"/>
        </w:rPr>
        <w:t>estaduais, dos casos,</w:t>
      </w:r>
      <w:r>
        <w:rPr>
          <w:rFonts w:ascii="Arial" w:hAnsi="Arial" w:cs="Arial"/>
          <w:color w:val="000000"/>
          <w:sz w:val="20"/>
          <w:szCs w:val="20"/>
        </w:rPr>
        <w:t xml:space="preserve"> </w:t>
      </w:r>
      <w:r w:rsidRPr="00C8641B">
        <w:rPr>
          <w:rFonts w:ascii="Arial" w:hAnsi="Arial" w:cs="Arial"/>
          <w:color w:val="000000"/>
          <w:sz w:val="20"/>
          <w:szCs w:val="20"/>
        </w:rPr>
        <w:t>condições e percentuais mínimos para</w:t>
      </w:r>
      <w:r>
        <w:rPr>
          <w:rFonts w:ascii="Arial" w:hAnsi="Arial" w:cs="Arial"/>
          <w:color w:val="000000"/>
          <w:sz w:val="20"/>
          <w:szCs w:val="20"/>
        </w:rPr>
        <w:t xml:space="preserve"> </w:t>
      </w:r>
      <w:r w:rsidRPr="00C8641B">
        <w:rPr>
          <w:rFonts w:ascii="Arial" w:hAnsi="Arial" w:cs="Arial"/>
          <w:color w:val="000000"/>
          <w:sz w:val="20"/>
          <w:szCs w:val="20"/>
        </w:rPr>
        <w:t>ocupação, por servidores de carreira, de cargos em comissão,</w:t>
      </w:r>
      <w:r>
        <w:rPr>
          <w:rFonts w:ascii="Arial" w:hAnsi="Arial" w:cs="Arial"/>
          <w:color w:val="000000"/>
          <w:sz w:val="20"/>
          <w:szCs w:val="20"/>
        </w:rPr>
        <w:t xml:space="preserve"> </w:t>
      </w:r>
      <w:r w:rsidRPr="00C8641B">
        <w:rPr>
          <w:rFonts w:ascii="Arial" w:hAnsi="Arial" w:cs="Arial"/>
          <w:color w:val="000000"/>
          <w:sz w:val="20"/>
          <w:szCs w:val="20"/>
        </w:rPr>
        <w:t>competindo ao Tribunal de Contas verificar, em concreto, se a</w:t>
      </w:r>
      <w:r>
        <w:rPr>
          <w:rFonts w:ascii="Arial" w:hAnsi="Arial" w:cs="Arial"/>
          <w:color w:val="000000"/>
          <w:sz w:val="20"/>
          <w:szCs w:val="20"/>
        </w:rPr>
        <w:t xml:space="preserve"> </w:t>
      </w:r>
      <w:r w:rsidRPr="00C8641B">
        <w:rPr>
          <w:rFonts w:ascii="Arial" w:hAnsi="Arial" w:cs="Arial"/>
          <w:color w:val="000000"/>
          <w:sz w:val="20"/>
          <w:szCs w:val="20"/>
        </w:rPr>
        <w:t>legislação local atende aos princípios da proporcionalidade e da</w:t>
      </w:r>
      <w:r>
        <w:rPr>
          <w:rFonts w:ascii="Arial" w:hAnsi="Arial" w:cs="Arial"/>
          <w:color w:val="000000"/>
          <w:sz w:val="20"/>
          <w:szCs w:val="20"/>
        </w:rPr>
        <w:t xml:space="preserve"> </w:t>
      </w:r>
      <w:r w:rsidRPr="00C8641B">
        <w:rPr>
          <w:rFonts w:ascii="Arial" w:hAnsi="Arial" w:cs="Arial"/>
          <w:color w:val="000000"/>
          <w:sz w:val="20"/>
          <w:szCs w:val="20"/>
        </w:rPr>
        <w:t>eficiência.</w:t>
      </w:r>
    </w:p>
    <w:p w:rsidR="00C8641B" w:rsidRDefault="00C8641B" w:rsidP="00C8641B">
      <w:pPr>
        <w:autoSpaceDE w:val="0"/>
        <w:autoSpaceDN w:val="0"/>
        <w:adjustRightInd w:val="0"/>
        <w:spacing w:after="0" w:line="240" w:lineRule="auto"/>
        <w:jc w:val="both"/>
        <w:rPr>
          <w:rFonts w:ascii="Arial" w:hAnsi="Arial" w:cs="Arial"/>
          <w:color w:val="000000"/>
          <w:sz w:val="20"/>
          <w:szCs w:val="20"/>
        </w:rPr>
      </w:pPr>
    </w:p>
    <w:p w:rsidR="00C8641B" w:rsidRDefault="00C8641B" w:rsidP="00C8641B">
      <w:pPr>
        <w:autoSpaceDE w:val="0"/>
        <w:autoSpaceDN w:val="0"/>
        <w:adjustRightInd w:val="0"/>
        <w:spacing w:after="0" w:line="240" w:lineRule="auto"/>
        <w:jc w:val="both"/>
        <w:rPr>
          <w:rFonts w:ascii="Arial" w:hAnsi="Arial" w:cs="Arial"/>
          <w:sz w:val="20"/>
          <w:szCs w:val="20"/>
        </w:rPr>
      </w:pPr>
      <w:r w:rsidRPr="00C8641B">
        <w:rPr>
          <w:rFonts w:ascii="Arial" w:hAnsi="Arial" w:cs="Arial"/>
          <w:color w:val="000000"/>
          <w:sz w:val="20"/>
          <w:szCs w:val="20"/>
        </w:rPr>
        <w:t xml:space="preserve">VII. </w:t>
      </w:r>
      <w:r w:rsidRPr="00C8641B">
        <w:rPr>
          <w:rFonts w:ascii="Arial" w:hAnsi="Arial" w:cs="Arial"/>
          <w:sz w:val="20"/>
          <w:szCs w:val="20"/>
        </w:rPr>
        <w:t>O quantitativo de vagas para cargos de provimento em comissão</w:t>
      </w:r>
      <w:r>
        <w:rPr>
          <w:rFonts w:ascii="Arial" w:hAnsi="Arial" w:cs="Arial"/>
          <w:sz w:val="20"/>
          <w:szCs w:val="20"/>
        </w:rPr>
        <w:t xml:space="preserve"> </w:t>
      </w:r>
      <w:r w:rsidRPr="00C8641B">
        <w:rPr>
          <w:rFonts w:ascii="Arial" w:hAnsi="Arial" w:cs="Arial"/>
          <w:sz w:val="20"/>
          <w:szCs w:val="20"/>
        </w:rPr>
        <w:t>deverá guardar correlação com a estrutura administrativa do</w:t>
      </w:r>
      <w:r>
        <w:rPr>
          <w:rFonts w:ascii="Arial" w:hAnsi="Arial" w:cs="Arial"/>
          <w:sz w:val="20"/>
          <w:szCs w:val="20"/>
        </w:rPr>
        <w:t xml:space="preserve"> </w:t>
      </w:r>
      <w:r w:rsidRPr="00C8641B">
        <w:rPr>
          <w:rFonts w:ascii="Arial" w:hAnsi="Arial" w:cs="Arial"/>
          <w:sz w:val="20"/>
          <w:szCs w:val="20"/>
        </w:rPr>
        <w:t>órgão/entidade, com critérios de razoabilidade sobre a</w:t>
      </w:r>
      <w:r>
        <w:rPr>
          <w:rFonts w:ascii="Arial" w:hAnsi="Arial" w:cs="Arial"/>
          <w:sz w:val="20"/>
          <w:szCs w:val="20"/>
        </w:rPr>
        <w:t xml:space="preserve"> </w:t>
      </w:r>
      <w:r w:rsidRPr="00C8641B">
        <w:rPr>
          <w:rFonts w:ascii="Arial" w:hAnsi="Arial" w:cs="Arial"/>
          <w:sz w:val="20"/>
          <w:szCs w:val="20"/>
        </w:rPr>
        <w:t>proporcionalidade, incluindo as funções e características do órgão e</w:t>
      </w:r>
      <w:r>
        <w:rPr>
          <w:rFonts w:ascii="Arial" w:hAnsi="Arial" w:cs="Arial"/>
          <w:sz w:val="20"/>
          <w:szCs w:val="20"/>
        </w:rPr>
        <w:t xml:space="preserve"> </w:t>
      </w:r>
      <w:r w:rsidRPr="00C8641B">
        <w:rPr>
          <w:rFonts w:ascii="Arial" w:hAnsi="Arial" w:cs="Arial"/>
          <w:sz w:val="20"/>
          <w:szCs w:val="20"/>
        </w:rPr>
        <w:t>suas a</w:t>
      </w:r>
      <w:r>
        <w:rPr>
          <w:rFonts w:ascii="Arial" w:hAnsi="Arial" w:cs="Arial"/>
          <w:sz w:val="20"/>
          <w:szCs w:val="20"/>
        </w:rPr>
        <w:t>tividades-fim e atividades-meio.</w:t>
      </w:r>
    </w:p>
    <w:p w:rsidR="00C8641B" w:rsidRPr="00D030B4" w:rsidRDefault="00C8641B" w:rsidP="00C8641B">
      <w:pPr>
        <w:autoSpaceDE w:val="0"/>
        <w:autoSpaceDN w:val="0"/>
        <w:adjustRightInd w:val="0"/>
        <w:spacing w:after="0" w:line="240" w:lineRule="auto"/>
        <w:jc w:val="both"/>
        <w:rPr>
          <w:rFonts w:ascii="Arial" w:hAnsi="Arial" w:cs="Arial"/>
          <w:color w:val="000000"/>
          <w:sz w:val="24"/>
          <w:szCs w:val="24"/>
        </w:rPr>
      </w:pPr>
    </w:p>
    <w:p w:rsidR="00D030B4" w:rsidRPr="00D030B4" w:rsidRDefault="00C8641B" w:rsidP="00D030B4">
      <w:pPr>
        <w:autoSpaceDE w:val="0"/>
        <w:autoSpaceDN w:val="0"/>
        <w:adjustRightInd w:val="0"/>
        <w:spacing w:after="0" w:line="240" w:lineRule="auto"/>
        <w:jc w:val="both"/>
        <w:rPr>
          <w:rFonts w:ascii="Arial" w:hAnsi="Arial" w:cs="Arial"/>
          <w:sz w:val="20"/>
          <w:szCs w:val="20"/>
        </w:rPr>
      </w:pPr>
      <w:r w:rsidRPr="00D030B4">
        <w:rPr>
          <w:rFonts w:ascii="Arial" w:hAnsi="Arial" w:cs="Arial"/>
          <w:color w:val="000000"/>
          <w:sz w:val="20"/>
          <w:szCs w:val="20"/>
        </w:rPr>
        <w:t>VIII.</w:t>
      </w:r>
      <w:r w:rsidR="00D030B4" w:rsidRPr="00D030B4">
        <w:rPr>
          <w:rFonts w:ascii="Arial" w:hAnsi="Arial" w:cs="Arial"/>
          <w:sz w:val="20"/>
          <w:szCs w:val="20"/>
        </w:rPr>
        <w:t xml:space="preserve"> É vedado(a):</w:t>
      </w:r>
      <w:r w:rsidR="00D030B4">
        <w:rPr>
          <w:rFonts w:ascii="Arial" w:hAnsi="Arial" w:cs="Arial"/>
          <w:sz w:val="20"/>
          <w:szCs w:val="20"/>
        </w:rPr>
        <w:t xml:space="preserve"> </w:t>
      </w:r>
      <w:r w:rsidR="00D030B4" w:rsidRPr="00D030B4">
        <w:rPr>
          <w:rFonts w:ascii="Arial" w:hAnsi="Arial" w:cs="Arial"/>
          <w:sz w:val="20"/>
          <w:szCs w:val="20"/>
        </w:rPr>
        <w:t>a</w:t>
      </w:r>
      <w:r w:rsidR="00D030B4">
        <w:rPr>
          <w:rFonts w:ascii="Arial" w:hAnsi="Arial" w:cs="Arial"/>
          <w:sz w:val="20"/>
          <w:szCs w:val="20"/>
        </w:rPr>
        <w:t>)</w:t>
      </w:r>
      <w:r w:rsidR="00D030B4" w:rsidRPr="00D030B4">
        <w:rPr>
          <w:rFonts w:ascii="Arial" w:hAnsi="Arial" w:cs="Arial"/>
          <w:sz w:val="20"/>
          <w:szCs w:val="20"/>
        </w:rPr>
        <w:t xml:space="preserve"> A acumulação de cargos em comissão e funções</w:t>
      </w:r>
      <w:r w:rsidR="00D030B4">
        <w:rPr>
          <w:rFonts w:ascii="Arial" w:hAnsi="Arial" w:cs="Arial"/>
          <w:sz w:val="20"/>
          <w:szCs w:val="20"/>
        </w:rPr>
        <w:t xml:space="preserve"> </w:t>
      </w:r>
      <w:r w:rsidR="00D030B4" w:rsidRPr="00D030B4">
        <w:rPr>
          <w:rFonts w:ascii="Arial" w:hAnsi="Arial" w:cs="Arial"/>
          <w:sz w:val="20"/>
          <w:szCs w:val="20"/>
        </w:rPr>
        <w:t>comissionadas e o estabelecimento de gratificação por tempo</w:t>
      </w:r>
      <w:r w:rsidR="00D030B4">
        <w:rPr>
          <w:rFonts w:ascii="Arial" w:hAnsi="Arial" w:cs="Arial"/>
          <w:sz w:val="20"/>
          <w:szCs w:val="20"/>
        </w:rPr>
        <w:t xml:space="preserve"> </w:t>
      </w:r>
      <w:r w:rsidR="00D030B4" w:rsidRPr="00D030B4">
        <w:rPr>
          <w:rFonts w:ascii="Arial" w:hAnsi="Arial" w:cs="Arial"/>
          <w:sz w:val="20"/>
          <w:szCs w:val="20"/>
        </w:rPr>
        <w:t>integral e dedicação exclusiva a ocupante de cargo em comissão;</w:t>
      </w:r>
      <w:r w:rsidR="00D030B4">
        <w:rPr>
          <w:rFonts w:ascii="Arial" w:hAnsi="Arial" w:cs="Arial"/>
          <w:sz w:val="20"/>
          <w:szCs w:val="20"/>
        </w:rPr>
        <w:t xml:space="preserve"> b) </w:t>
      </w:r>
      <w:r w:rsidR="00D030B4" w:rsidRPr="00D030B4">
        <w:rPr>
          <w:rFonts w:ascii="Arial" w:hAnsi="Arial" w:cs="Arial"/>
          <w:sz w:val="20"/>
          <w:szCs w:val="20"/>
        </w:rPr>
        <w:t>A cessão do servidor ocupante de cargo comissionado a outro</w:t>
      </w:r>
      <w:r w:rsidR="00D030B4">
        <w:rPr>
          <w:rFonts w:ascii="Arial" w:hAnsi="Arial" w:cs="Arial"/>
          <w:sz w:val="20"/>
          <w:szCs w:val="20"/>
        </w:rPr>
        <w:t xml:space="preserve"> </w:t>
      </w:r>
      <w:r w:rsidR="00D030B4" w:rsidRPr="00D030B4">
        <w:rPr>
          <w:rFonts w:ascii="Arial" w:hAnsi="Arial" w:cs="Arial"/>
          <w:sz w:val="20"/>
          <w:szCs w:val="20"/>
        </w:rPr>
        <w:t>órgão caso configurada desvinculação hierárquica da autoridade</w:t>
      </w:r>
      <w:r w:rsidR="00D030B4">
        <w:rPr>
          <w:rFonts w:ascii="Arial" w:hAnsi="Arial" w:cs="Arial"/>
          <w:sz w:val="20"/>
          <w:szCs w:val="20"/>
        </w:rPr>
        <w:t xml:space="preserve"> </w:t>
      </w:r>
      <w:r w:rsidR="00D030B4" w:rsidRPr="00D030B4">
        <w:rPr>
          <w:rFonts w:ascii="Arial" w:hAnsi="Arial" w:cs="Arial"/>
          <w:sz w:val="20"/>
          <w:szCs w:val="20"/>
        </w:rPr>
        <w:t>nomeante;</w:t>
      </w:r>
      <w:r w:rsidR="00D030B4">
        <w:rPr>
          <w:rFonts w:ascii="Arial" w:hAnsi="Arial" w:cs="Arial"/>
          <w:sz w:val="20"/>
          <w:szCs w:val="20"/>
        </w:rPr>
        <w:t xml:space="preserve"> c) </w:t>
      </w:r>
      <w:r w:rsidR="00D030B4" w:rsidRPr="00D030B4">
        <w:rPr>
          <w:rFonts w:ascii="Arial" w:hAnsi="Arial" w:cs="Arial"/>
          <w:sz w:val="20"/>
          <w:szCs w:val="20"/>
        </w:rPr>
        <w:t>A remuneração a título de hora extra aos ocupantes de cargo</w:t>
      </w:r>
      <w:r w:rsidR="00D030B4">
        <w:rPr>
          <w:rFonts w:ascii="Arial" w:hAnsi="Arial" w:cs="Arial"/>
          <w:sz w:val="20"/>
          <w:szCs w:val="20"/>
        </w:rPr>
        <w:t xml:space="preserve"> </w:t>
      </w:r>
      <w:r w:rsidR="00D030B4" w:rsidRPr="00D030B4">
        <w:rPr>
          <w:rFonts w:ascii="Arial" w:hAnsi="Arial" w:cs="Arial"/>
          <w:sz w:val="20"/>
          <w:szCs w:val="20"/>
        </w:rPr>
        <w:t>em comissão e funções de confiança;</w:t>
      </w:r>
      <w:r w:rsidR="00D030B4">
        <w:rPr>
          <w:rFonts w:ascii="Arial" w:hAnsi="Arial" w:cs="Arial"/>
          <w:sz w:val="20"/>
          <w:szCs w:val="20"/>
        </w:rPr>
        <w:t xml:space="preserve"> d) </w:t>
      </w:r>
      <w:r w:rsidR="00D030B4" w:rsidRPr="00D030B4">
        <w:rPr>
          <w:rFonts w:ascii="Arial" w:hAnsi="Arial" w:cs="Arial"/>
          <w:sz w:val="20"/>
          <w:szCs w:val="20"/>
        </w:rPr>
        <w:t>O recolhimento de Fundo de Garantia por Tempo de Serviço</w:t>
      </w:r>
      <w:r w:rsidR="00D030B4">
        <w:rPr>
          <w:rFonts w:ascii="Arial" w:hAnsi="Arial" w:cs="Arial"/>
          <w:sz w:val="20"/>
          <w:szCs w:val="20"/>
        </w:rPr>
        <w:t xml:space="preserve"> </w:t>
      </w:r>
      <w:r w:rsidR="00D030B4" w:rsidRPr="00D030B4">
        <w:rPr>
          <w:rFonts w:ascii="Arial" w:hAnsi="Arial" w:cs="Arial"/>
          <w:sz w:val="20"/>
          <w:szCs w:val="20"/>
        </w:rPr>
        <w:t>para servidores ocupantes de cargo em comissão</w:t>
      </w:r>
      <w:r w:rsidR="00D030B4">
        <w:rPr>
          <w:rFonts w:ascii="Arial" w:hAnsi="Arial" w:cs="Arial"/>
          <w:sz w:val="20"/>
          <w:szCs w:val="20"/>
        </w:rPr>
        <w:t>.</w:t>
      </w:r>
    </w:p>
    <w:p w:rsidR="00D030B4" w:rsidRDefault="00D030B4" w:rsidP="00C8641B">
      <w:pPr>
        <w:autoSpaceDE w:val="0"/>
        <w:autoSpaceDN w:val="0"/>
        <w:adjustRightInd w:val="0"/>
        <w:spacing w:after="0" w:line="240" w:lineRule="auto"/>
        <w:jc w:val="both"/>
        <w:rPr>
          <w:rFonts w:ascii="Arial" w:hAnsi="Arial" w:cs="Arial"/>
          <w:sz w:val="20"/>
          <w:szCs w:val="20"/>
        </w:rPr>
      </w:pPr>
    </w:p>
    <w:p w:rsidR="00D030B4" w:rsidRDefault="00D030B4" w:rsidP="00D030B4">
      <w:pPr>
        <w:autoSpaceDE w:val="0"/>
        <w:autoSpaceDN w:val="0"/>
        <w:adjustRightInd w:val="0"/>
        <w:spacing w:after="0" w:line="240" w:lineRule="auto"/>
        <w:jc w:val="both"/>
        <w:rPr>
          <w:rFonts w:ascii="Arial" w:hAnsi="Arial" w:cs="Arial"/>
          <w:sz w:val="20"/>
          <w:szCs w:val="20"/>
        </w:rPr>
      </w:pPr>
      <w:r w:rsidRPr="00D030B4">
        <w:rPr>
          <w:rFonts w:ascii="Arial" w:hAnsi="Arial" w:cs="Arial"/>
          <w:sz w:val="20"/>
          <w:szCs w:val="20"/>
        </w:rPr>
        <w:t>IX. É garantida à servidora pública gestante detentora de cargo em</w:t>
      </w:r>
      <w:r>
        <w:rPr>
          <w:rFonts w:ascii="Arial" w:hAnsi="Arial" w:cs="Arial"/>
          <w:sz w:val="20"/>
          <w:szCs w:val="20"/>
        </w:rPr>
        <w:t xml:space="preserve"> </w:t>
      </w:r>
      <w:r w:rsidRPr="00D030B4">
        <w:rPr>
          <w:rFonts w:ascii="Arial" w:hAnsi="Arial" w:cs="Arial"/>
          <w:sz w:val="20"/>
          <w:szCs w:val="20"/>
        </w:rPr>
        <w:t>comissão a estabilidade provisória desde a confirmação da gravidez</w:t>
      </w:r>
      <w:r>
        <w:rPr>
          <w:rFonts w:ascii="Arial" w:hAnsi="Arial" w:cs="Arial"/>
          <w:sz w:val="20"/>
          <w:szCs w:val="20"/>
        </w:rPr>
        <w:t xml:space="preserve"> </w:t>
      </w:r>
      <w:r w:rsidRPr="00D030B4">
        <w:rPr>
          <w:rFonts w:ascii="Arial" w:hAnsi="Arial" w:cs="Arial"/>
          <w:sz w:val="20"/>
          <w:szCs w:val="20"/>
        </w:rPr>
        <w:t>até cinco meses após o parto.</w:t>
      </w:r>
    </w:p>
    <w:p w:rsidR="00D030B4" w:rsidRDefault="00D030B4" w:rsidP="00D030B4">
      <w:pPr>
        <w:autoSpaceDE w:val="0"/>
        <w:autoSpaceDN w:val="0"/>
        <w:adjustRightInd w:val="0"/>
        <w:spacing w:after="0" w:line="240" w:lineRule="auto"/>
        <w:jc w:val="both"/>
        <w:rPr>
          <w:rFonts w:ascii="Arial" w:hAnsi="Arial" w:cs="Arial"/>
          <w:sz w:val="20"/>
          <w:szCs w:val="20"/>
        </w:rPr>
      </w:pPr>
    </w:p>
    <w:p w:rsidR="00D030B4" w:rsidRDefault="00D030B4" w:rsidP="00D030B4">
      <w:pPr>
        <w:autoSpaceDE w:val="0"/>
        <w:autoSpaceDN w:val="0"/>
        <w:adjustRightInd w:val="0"/>
        <w:spacing w:after="0" w:line="240" w:lineRule="auto"/>
        <w:jc w:val="both"/>
        <w:rPr>
          <w:rFonts w:ascii="Arial" w:hAnsi="Arial" w:cs="Arial"/>
          <w:sz w:val="20"/>
          <w:szCs w:val="20"/>
        </w:rPr>
      </w:pPr>
      <w:r w:rsidRPr="00D030B4">
        <w:rPr>
          <w:rFonts w:ascii="Arial" w:hAnsi="Arial" w:cs="Arial"/>
          <w:sz w:val="20"/>
          <w:szCs w:val="20"/>
        </w:rPr>
        <w:t>X. As atividades de magistério poderão ser exercidas por servidores</w:t>
      </w:r>
      <w:r>
        <w:rPr>
          <w:rFonts w:ascii="Arial" w:hAnsi="Arial" w:cs="Arial"/>
          <w:sz w:val="20"/>
          <w:szCs w:val="20"/>
        </w:rPr>
        <w:t xml:space="preserve"> </w:t>
      </w:r>
      <w:r w:rsidRPr="00D030B4">
        <w:rPr>
          <w:rFonts w:ascii="Arial" w:hAnsi="Arial" w:cs="Arial"/>
          <w:sz w:val="20"/>
          <w:szCs w:val="20"/>
        </w:rPr>
        <w:t>detentores de cargos em comissão desde que demonstrada a</w:t>
      </w:r>
      <w:r>
        <w:rPr>
          <w:rFonts w:ascii="Arial" w:hAnsi="Arial" w:cs="Arial"/>
          <w:sz w:val="20"/>
          <w:szCs w:val="20"/>
        </w:rPr>
        <w:t xml:space="preserve"> </w:t>
      </w:r>
      <w:r w:rsidRPr="00D030B4">
        <w:rPr>
          <w:rFonts w:ascii="Arial" w:hAnsi="Arial" w:cs="Arial"/>
          <w:sz w:val="20"/>
          <w:szCs w:val="20"/>
        </w:rPr>
        <w:t>compatibilidade de horário e sem prejuízo do desempenho de suas</w:t>
      </w:r>
      <w:r>
        <w:rPr>
          <w:rFonts w:ascii="Arial" w:hAnsi="Arial" w:cs="Arial"/>
          <w:sz w:val="20"/>
          <w:szCs w:val="20"/>
        </w:rPr>
        <w:t xml:space="preserve"> </w:t>
      </w:r>
      <w:r w:rsidRPr="00D030B4">
        <w:rPr>
          <w:rFonts w:ascii="Arial" w:hAnsi="Arial" w:cs="Arial"/>
          <w:sz w:val="20"/>
          <w:szCs w:val="20"/>
        </w:rPr>
        <w:t>funções, devendo ser aprovada e motivada pela autoridade</w:t>
      </w:r>
      <w:r>
        <w:rPr>
          <w:rFonts w:ascii="Arial" w:hAnsi="Arial" w:cs="Arial"/>
          <w:sz w:val="20"/>
          <w:szCs w:val="20"/>
        </w:rPr>
        <w:t xml:space="preserve"> </w:t>
      </w:r>
      <w:r w:rsidRPr="00D030B4">
        <w:rPr>
          <w:rFonts w:ascii="Arial" w:hAnsi="Arial" w:cs="Arial"/>
          <w:sz w:val="20"/>
          <w:szCs w:val="20"/>
        </w:rPr>
        <w:t>nomeante.</w:t>
      </w:r>
    </w:p>
    <w:p w:rsidR="00D030B4" w:rsidRDefault="00D030B4" w:rsidP="00D030B4">
      <w:pPr>
        <w:autoSpaceDE w:val="0"/>
        <w:autoSpaceDN w:val="0"/>
        <w:adjustRightInd w:val="0"/>
        <w:spacing w:after="0" w:line="240" w:lineRule="auto"/>
        <w:jc w:val="both"/>
        <w:rPr>
          <w:rFonts w:ascii="Arial" w:hAnsi="Arial" w:cs="Arial"/>
          <w:sz w:val="20"/>
          <w:szCs w:val="20"/>
        </w:rPr>
      </w:pPr>
    </w:p>
    <w:p w:rsidR="00D030B4" w:rsidRPr="00A12DA1" w:rsidRDefault="00D030B4" w:rsidP="00D030B4">
      <w:pPr>
        <w:autoSpaceDE w:val="0"/>
        <w:autoSpaceDN w:val="0"/>
        <w:adjustRightInd w:val="0"/>
        <w:spacing w:after="0" w:line="240" w:lineRule="auto"/>
        <w:jc w:val="both"/>
        <w:rPr>
          <w:rFonts w:ascii="Arial" w:hAnsi="Arial" w:cs="Arial"/>
          <w:sz w:val="20"/>
          <w:szCs w:val="20"/>
        </w:rPr>
      </w:pPr>
      <w:r w:rsidRPr="00A12DA1">
        <w:rPr>
          <w:rFonts w:ascii="Arial" w:hAnsi="Arial" w:cs="Arial"/>
          <w:sz w:val="20"/>
          <w:szCs w:val="20"/>
        </w:rPr>
        <w:t>Processo n</w:t>
      </w:r>
      <w:r w:rsidR="00A12DA1" w:rsidRPr="00A12DA1">
        <w:rPr>
          <w:rFonts w:ascii="Arial" w:hAnsi="Arial" w:cs="Arial"/>
          <w:sz w:val="20"/>
          <w:szCs w:val="20"/>
        </w:rPr>
        <w:t xml:space="preserve">° 90189/15 - </w:t>
      </w:r>
      <w:hyperlink r:id="rId15" w:history="1">
        <w:r w:rsidR="00A12DA1" w:rsidRPr="00B11A37">
          <w:rPr>
            <w:rStyle w:val="Hyperlink"/>
            <w:rFonts w:ascii="Arial" w:hAnsi="Arial" w:cs="Arial"/>
            <w:sz w:val="20"/>
            <w:szCs w:val="20"/>
          </w:rPr>
          <w:t>Acórdão n° 3595/17 - Tribunal Pleno</w:t>
        </w:r>
      </w:hyperlink>
      <w:r w:rsidR="00A12DA1" w:rsidRPr="00A12DA1">
        <w:rPr>
          <w:rFonts w:ascii="Arial" w:hAnsi="Arial" w:cs="Arial"/>
          <w:sz w:val="20"/>
          <w:szCs w:val="20"/>
        </w:rPr>
        <w:t xml:space="preserve"> - Rel. Cons. Fernando Augusto Mello Guimarães.</w:t>
      </w:r>
    </w:p>
    <w:p w:rsidR="00D030B4" w:rsidRDefault="00D030B4" w:rsidP="00C8641B">
      <w:pPr>
        <w:autoSpaceDE w:val="0"/>
        <w:autoSpaceDN w:val="0"/>
        <w:adjustRightInd w:val="0"/>
        <w:spacing w:after="0" w:line="240" w:lineRule="auto"/>
        <w:jc w:val="both"/>
        <w:rPr>
          <w:rFonts w:ascii="Arial" w:hAnsi="Arial" w:cs="Arial"/>
          <w:sz w:val="20"/>
          <w:szCs w:val="20"/>
        </w:rPr>
      </w:pPr>
    </w:p>
    <w:p w:rsidR="00883257" w:rsidRDefault="00F647F2" w:rsidP="00883257">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9. </w:t>
      </w:r>
      <w:r w:rsidR="00883257" w:rsidRPr="00883257">
        <w:rPr>
          <w:rFonts w:ascii="Arial" w:hAnsi="Arial" w:cs="Arial"/>
          <w:b/>
          <w:sz w:val="20"/>
          <w:szCs w:val="20"/>
        </w:rPr>
        <w:t>Prejulgado. Pagamento de honorários contábeis com recursos de transferências voluntárias. Possibilidade desde que observadas condicionantes.</w:t>
      </w:r>
    </w:p>
    <w:p w:rsidR="00883257" w:rsidRPr="00883257" w:rsidRDefault="00883257" w:rsidP="00883257">
      <w:pPr>
        <w:autoSpaceDE w:val="0"/>
        <w:autoSpaceDN w:val="0"/>
        <w:adjustRightInd w:val="0"/>
        <w:spacing w:after="0" w:line="240" w:lineRule="auto"/>
        <w:jc w:val="both"/>
        <w:rPr>
          <w:rFonts w:ascii="Arial" w:hAnsi="Arial" w:cs="Arial"/>
          <w:b/>
          <w:sz w:val="20"/>
          <w:szCs w:val="20"/>
        </w:rPr>
      </w:pPr>
    </w:p>
    <w:p w:rsidR="00883257" w:rsidRDefault="00883257" w:rsidP="00050E1C">
      <w:pPr>
        <w:autoSpaceDE w:val="0"/>
        <w:autoSpaceDN w:val="0"/>
        <w:adjustRightInd w:val="0"/>
        <w:spacing w:after="0" w:line="240" w:lineRule="auto"/>
        <w:jc w:val="both"/>
        <w:rPr>
          <w:rFonts w:ascii="Arial" w:hAnsi="Arial" w:cs="Arial"/>
          <w:sz w:val="20"/>
          <w:szCs w:val="20"/>
        </w:rPr>
      </w:pPr>
      <w:r w:rsidRPr="00050E1C">
        <w:rPr>
          <w:rFonts w:ascii="Arial" w:hAnsi="Arial" w:cs="Arial"/>
          <w:sz w:val="20"/>
          <w:szCs w:val="20"/>
        </w:rPr>
        <w:t>É possível a utilização</w:t>
      </w:r>
      <w:r w:rsidR="00050E1C">
        <w:rPr>
          <w:rFonts w:ascii="Arial" w:hAnsi="Arial" w:cs="Arial"/>
          <w:sz w:val="20"/>
          <w:szCs w:val="20"/>
        </w:rPr>
        <w:t xml:space="preserve"> dos recursos fi</w:t>
      </w:r>
      <w:r w:rsidRPr="00050E1C">
        <w:rPr>
          <w:rFonts w:ascii="Arial" w:hAnsi="Arial" w:cs="Arial"/>
          <w:sz w:val="20"/>
          <w:szCs w:val="20"/>
        </w:rPr>
        <w:t>nanceiros</w:t>
      </w:r>
      <w:r w:rsidR="00050E1C">
        <w:rPr>
          <w:rFonts w:ascii="Arial" w:hAnsi="Arial" w:cs="Arial"/>
          <w:sz w:val="20"/>
          <w:szCs w:val="20"/>
        </w:rPr>
        <w:t xml:space="preserve"> </w:t>
      </w:r>
      <w:r w:rsidRPr="00050E1C">
        <w:rPr>
          <w:rFonts w:ascii="Arial" w:hAnsi="Arial" w:cs="Arial"/>
          <w:sz w:val="20"/>
          <w:szCs w:val="20"/>
        </w:rPr>
        <w:t>repassados a título de transferência voluntária para o pagamento de</w:t>
      </w:r>
      <w:r w:rsidR="00050E1C">
        <w:rPr>
          <w:rFonts w:ascii="Arial" w:hAnsi="Arial" w:cs="Arial"/>
          <w:sz w:val="20"/>
          <w:szCs w:val="20"/>
        </w:rPr>
        <w:t xml:space="preserve"> </w:t>
      </w:r>
      <w:r w:rsidRPr="00050E1C">
        <w:rPr>
          <w:rFonts w:ascii="Arial" w:hAnsi="Arial" w:cs="Arial"/>
          <w:sz w:val="20"/>
          <w:szCs w:val="20"/>
        </w:rPr>
        <w:t>honorários contábeis desde que estes: a) guardem pertinência com</w:t>
      </w:r>
      <w:r w:rsidR="00050E1C">
        <w:rPr>
          <w:rFonts w:ascii="Arial" w:hAnsi="Arial" w:cs="Arial"/>
          <w:sz w:val="20"/>
          <w:szCs w:val="20"/>
        </w:rPr>
        <w:t xml:space="preserve"> </w:t>
      </w:r>
      <w:r w:rsidRPr="00050E1C">
        <w:rPr>
          <w:rFonts w:ascii="Arial" w:hAnsi="Arial" w:cs="Arial"/>
          <w:sz w:val="20"/>
          <w:szCs w:val="20"/>
        </w:rPr>
        <w:t>o objeto da parceria; b) observem o princípio da economicidade e</w:t>
      </w:r>
      <w:r w:rsidR="00050E1C">
        <w:rPr>
          <w:rFonts w:ascii="Arial" w:hAnsi="Arial" w:cs="Arial"/>
          <w:sz w:val="20"/>
          <w:szCs w:val="20"/>
        </w:rPr>
        <w:t xml:space="preserve"> </w:t>
      </w:r>
      <w:r w:rsidRPr="00050E1C">
        <w:rPr>
          <w:rFonts w:ascii="Arial" w:hAnsi="Arial" w:cs="Arial"/>
          <w:sz w:val="20"/>
          <w:szCs w:val="20"/>
        </w:rPr>
        <w:t>estejam expressamente previstos e aprovados no Plano de</w:t>
      </w:r>
      <w:r w:rsidR="00050E1C">
        <w:rPr>
          <w:rFonts w:ascii="Arial" w:hAnsi="Arial" w:cs="Arial"/>
          <w:sz w:val="20"/>
          <w:szCs w:val="20"/>
        </w:rPr>
        <w:t xml:space="preserve"> </w:t>
      </w:r>
      <w:r w:rsidRPr="00050E1C">
        <w:rPr>
          <w:rFonts w:ascii="Arial" w:hAnsi="Arial" w:cs="Arial"/>
          <w:sz w:val="20"/>
          <w:szCs w:val="20"/>
        </w:rPr>
        <w:t xml:space="preserve">Trabalho; c) estejam devidamente documentados para fins </w:t>
      </w:r>
      <w:r w:rsidRPr="00050E1C">
        <w:rPr>
          <w:rFonts w:ascii="Arial" w:hAnsi="Arial" w:cs="Arial"/>
          <w:sz w:val="20"/>
          <w:szCs w:val="20"/>
        </w:rPr>
        <w:lastRenderedPageBreak/>
        <w:t>de</w:t>
      </w:r>
      <w:r w:rsidR="00050E1C">
        <w:rPr>
          <w:rFonts w:ascii="Arial" w:hAnsi="Arial" w:cs="Arial"/>
          <w:sz w:val="20"/>
          <w:szCs w:val="20"/>
        </w:rPr>
        <w:t xml:space="preserve"> </w:t>
      </w:r>
      <w:r w:rsidRPr="00050E1C">
        <w:rPr>
          <w:rFonts w:ascii="Arial" w:hAnsi="Arial" w:cs="Arial"/>
          <w:sz w:val="20"/>
          <w:szCs w:val="20"/>
        </w:rPr>
        <w:t>instrução da prestação de contas; d) no caso de a Entidade</w:t>
      </w:r>
      <w:r w:rsidR="00050E1C">
        <w:rPr>
          <w:rFonts w:ascii="Arial" w:hAnsi="Arial" w:cs="Arial"/>
          <w:sz w:val="20"/>
          <w:szCs w:val="20"/>
        </w:rPr>
        <w:t xml:space="preserve"> </w:t>
      </w:r>
      <w:r w:rsidRPr="00050E1C">
        <w:rPr>
          <w:rFonts w:ascii="Arial" w:hAnsi="Arial" w:cs="Arial"/>
          <w:sz w:val="20"/>
          <w:szCs w:val="20"/>
        </w:rPr>
        <w:t>Tomadora receber recursos por mais de uma parceria, seja</w:t>
      </w:r>
      <w:r w:rsidR="00050E1C">
        <w:rPr>
          <w:rFonts w:ascii="Arial" w:hAnsi="Arial" w:cs="Arial"/>
          <w:sz w:val="20"/>
          <w:szCs w:val="20"/>
        </w:rPr>
        <w:t xml:space="preserve"> </w:t>
      </w:r>
      <w:r w:rsidRPr="00050E1C">
        <w:rPr>
          <w:rFonts w:ascii="Arial" w:hAnsi="Arial" w:cs="Arial"/>
          <w:sz w:val="20"/>
          <w:szCs w:val="20"/>
        </w:rPr>
        <w:t>apresentada memória de cálculo para fins de comprovação e</w:t>
      </w:r>
      <w:r w:rsidR="00050E1C">
        <w:rPr>
          <w:rFonts w:ascii="Arial" w:hAnsi="Arial" w:cs="Arial"/>
          <w:sz w:val="20"/>
          <w:szCs w:val="20"/>
        </w:rPr>
        <w:t xml:space="preserve"> </w:t>
      </w:r>
      <w:r w:rsidRPr="00050E1C">
        <w:rPr>
          <w:rFonts w:ascii="Arial" w:hAnsi="Arial" w:cs="Arial"/>
          <w:sz w:val="20"/>
          <w:szCs w:val="20"/>
        </w:rPr>
        <w:t>aferição da forma de rateio, evitando-se que a mesma despesa seja</w:t>
      </w:r>
      <w:r w:rsidR="00050E1C">
        <w:rPr>
          <w:rFonts w:ascii="Arial" w:hAnsi="Arial" w:cs="Arial"/>
          <w:sz w:val="20"/>
          <w:szCs w:val="20"/>
        </w:rPr>
        <w:t xml:space="preserve"> </w:t>
      </w:r>
      <w:r w:rsidRPr="00050E1C">
        <w:rPr>
          <w:rFonts w:ascii="Arial" w:hAnsi="Arial" w:cs="Arial"/>
          <w:sz w:val="20"/>
          <w:szCs w:val="20"/>
        </w:rPr>
        <w:t>integralmente utilizada para prestação de contas em processos</w:t>
      </w:r>
      <w:r w:rsidR="00050E1C">
        <w:rPr>
          <w:rFonts w:ascii="Arial" w:hAnsi="Arial" w:cs="Arial"/>
          <w:sz w:val="20"/>
          <w:szCs w:val="20"/>
        </w:rPr>
        <w:t xml:space="preserve"> </w:t>
      </w:r>
      <w:r w:rsidRPr="00050E1C">
        <w:rPr>
          <w:rFonts w:ascii="Arial" w:hAnsi="Arial" w:cs="Arial"/>
          <w:sz w:val="20"/>
          <w:szCs w:val="20"/>
        </w:rPr>
        <w:t>diversos; e) que a permissão de pagamento de custos indiretos com</w:t>
      </w:r>
      <w:r w:rsidR="00050E1C">
        <w:rPr>
          <w:rFonts w:ascii="Arial" w:hAnsi="Arial" w:cs="Arial"/>
          <w:sz w:val="20"/>
          <w:szCs w:val="20"/>
        </w:rPr>
        <w:t xml:space="preserve"> </w:t>
      </w:r>
      <w:r w:rsidRPr="00050E1C">
        <w:rPr>
          <w:rFonts w:ascii="Arial" w:hAnsi="Arial" w:cs="Arial"/>
          <w:sz w:val="20"/>
          <w:szCs w:val="20"/>
        </w:rPr>
        <w:t>recursos das parcerias não desonera o administrador público</w:t>
      </w:r>
      <w:r w:rsidR="00050E1C" w:rsidRPr="00050E1C">
        <w:rPr>
          <w:rFonts w:ascii="Arial" w:hAnsi="Arial" w:cs="Arial"/>
          <w:sz w:val="20"/>
          <w:szCs w:val="20"/>
        </w:rPr>
        <w:t xml:space="preserve"> responsável pela transferência dos recursos, ao promover a escolha</w:t>
      </w:r>
      <w:r w:rsidR="00050E1C">
        <w:rPr>
          <w:rFonts w:ascii="Arial" w:hAnsi="Arial" w:cs="Arial"/>
          <w:sz w:val="20"/>
          <w:szCs w:val="20"/>
        </w:rPr>
        <w:t xml:space="preserve"> </w:t>
      </w:r>
      <w:r w:rsidR="00050E1C" w:rsidRPr="00050E1C">
        <w:rPr>
          <w:rFonts w:ascii="Arial" w:hAnsi="Arial" w:cs="Arial"/>
          <w:sz w:val="20"/>
          <w:szCs w:val="20"/>
        </w:rPr>
        <w:t>da entidade parceria, observar as suas condições mínimas de</w:t>
      </w:r>
      <w:r w:rsidR="00050E1C">
        <w:rPr>
          <w:rFonts w:ascii="Arial" w:hAnsi="Arial" w:cs="Arial"/>
          <w:sz w:val="20"/>
          <w:szCs w:val="20"/>
        </w:rPr>
        <w:t xml:space="preserve"> </w:t>
      </w:r>
      <w:r w:rsidR="00050E1C" w:rsidRPr="00050E1C">
        <w:rPr>
          <w:rFonts w:ascii="Arial" w:hAnsi="Arial" w:cs="Arial"/>
          <w:sz w:val="20"/>
          <w:szCs w:val="20"/>
        </w:rPr>
        <w:t>funcionamento, inclusive sob o prisma da economicidade e da</w:t>
      </w:r>
      <w:r w:rsidR="00050E1C">
        <w:rPr>
          <w:rFonts w:ascii="Arial" w:hAnsi="Arial" w:cs="Arial"/>
          <w:sz w:val="20"/>
          <w:szCs w:val="20"/>
        </w:rPr>
        <w:t xml:space="preserve"> </w:t>
      </w:r>
      <w:r w:rsidR="00050E1C" w:rsidRPr="00050E1C">
        <w:rPr>
          <w:rFonts w:ascii="Arial" w:hAnsi="Arial" w:cs="Arial"/>
          <w:sz w:val="20"/>
          <w:szCs w:val="20"/>
        </w:rPr>
        <w:t>eficiência, visando o melhor aproveitamento dos recursos públicos,</w:t>
      </w:r>
      <w:r w:rsidR="00050E1C">
        <w:rPr>
          <w:rFonts w:ascii="Arial" w:hAnsi="Arial" w:cs="Arial"/>
          <w:sz w:val="20"/>
          <w:szCs w:val="20"/>
        </w:rPr>
        <w:t xml:space="preserve"> </w:t>
      </w:r>
      <w:r w:rsidR="00050E1C" w:rsidRPr="00050E1C">
        <w:rPr>
          <w:rFonts w:ascii="Arial" w:hAnsi="Arial" w:cs="Arial"/>
          <w:sz w:val="20"/>
          <w:szCs w:val="20"/>
        </w:rPr>
        <w:t>nos termos do art. 17 da Lei nº 4.320/1964.</w:t>
      </w:r>
    </w:p>
    <w:p w:rsidR="00050E1C" w:rsidRDefault="00050E1C" w:rsidP="00050E1C">
      <w:pPr>
        <w:autoSpaceDE w:val="0"/>
        <w:autoSpaceDN w:val="0"/>
        <w:adjustRightInd w:val="0"/>
        <w:spacing w:after="0" w:line="240" w:lineRule="auto"/>
        <w:jc w:val="both"/>
        <w:rPr>
          <w:rFonts w:ascii="Arial" w:hAnsi="Arial" w:cs="Arial"/>
          <w:sz w:val="20"/>
          <w:szCs w:val="20"/>
        </w:rPr>
      </w:pPr>
    </w:p>
    <w:p w:rsidR="00050E1C" w:rsidRDefault="00050E1C" w:rsidP="00050E1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243190/17 - </w:t>
      </w:r>
      <w:hyperlink r:id="rId16" w:history="1">
        <w:r w:rsidRPr="00050E1C">
          <w:rPr>
            <w:rStyle w:val="Hyperlink"/>
            <w:rFonts w:ascii="Arial" w:hAnsi="Arial" w:cs="Arial"/>
            <w:sz w:val="20"/>
            <w:szCs w:val="20"/>
          </w:rPr>
          <w:t>Acórdão n° 3614/17 - Tribunal Pleno</w:t>
        </w:r>
      </w:hyperlink>
      <w:r>
        <w:rPr>
          <w:rFonts w:ascii="Arial" w:hAnsi="Arial" w:cs="Arial"/>
          <w:sz w:val="20"/>
          <w:szCs w:val="20"/>
        </w:rPr>
        <w:t xml:space="preserve"> - Rel. Cons. Ivens Zschoerper Linhares.</w:t>
      </w:r>
    </w:p>
    <w:p w:rsidR="0075688A" w:rsidRDefault="0075688A" w:rsidP="00050E1C">
      <w:pPr>
        <w:autoSpaceDE w:val="0"/>
        <w:autoSpaceDN w:val="0"/>
        <w:adjustRightInd w:val="0"/>
        <w:spacing w:after="0" w:line="240" w:lineRule="auto"/>
        <w:jc w:val="both"/>
        <w:rPr>
          <w:rFonts w:ascii="Arial" w:hAnsi="Arial" w:cs="Arial"/>
          <w:sz w:val="20"/>
          <w:szCs w:val="20"/>
        </w:rPr>
      </w:pPr>
    </w:p>
    <w:p w:rsidR="00883257" w:rsidRPr="00D105B6" w:rsidRDefault="00F647F2" w:rsidP="00D105B6">
      <w:pPr>
        <w:autoSpaceDE w:val="0"/>
        <w:autoSpaceDN w:val="0"/>
        <w:adjustRightInd w:val="0"/>
        <w:spacing w:after="0" w:line="240" w:lineRule="auto"/>
        <w:jc w:val="both"/>
        <w:rPr>
          <w:rFonts w:ascii="Arial" w:hAnsi="Arial" w:cs="Arial"/>
          <w:b/>
          <w:sz w:val="20"/>
          <w:szCs w:val="20"/>
        </w:rPr>
      </w:pPr>
      <w:r>
        <w:rPr>
          <w:rFonts w:ascii="Arial" w:hAnsi="Arial" w:cs="Arial"/>
          <w:b/>
          <w:iCs/>
          <w:sz w:val="20"/>
          <w:szCs w:val="20"/>
        </w:rPr>
        <w:t xml:space="preserve">10. </w:t>
      </w:r>
      <w:r w:rsidR="0075688A" w:rsidRPr="00D105B6">
        <w:rPr>
          <w:rFonts w:ascii="Arial" w:hAnsi="Arial" w:cs="Arial"/>
          <w:b/>
          <w:iCs/>
          <w:sz w:val="20"/>
          <w:szCs w:val="20"/>
        </w:rPr>
        <w:t>Representação da Lei nº 8.666/93.</w:t>
      </w:r>
      <w:r w:rsidR="00D105B6" w:rsidRPr="00D105B6">
        <w:rPr>
          <w:rFonts w:ascii="Arial" w:hAnsi="Arial" w:cs="Arial"/>
          <w:b/>
          <w:iCs/>
          <w:sz w:val="20"/>
          <w:szCs w:val="20"/>
        </w:rPr>
        <w:t xml:space="preserve"> </w:t>
      </w:r>
      <w:r w:rsidR="00D105B6">
        <w:rPr>
          <w:rFonts w:ascii="Arial" w:hAnsi="Arial" w:cs="Arial"/>
          <w:b/>
          <w:iCs/>
          <w:sz w:val="20"/>
          <w:szCs w:val="20"/>
        </w:rPr>
        <w:t>R</w:t>
      </w:r>
      <w:r w:rsidR="0075688A" w:rsidRPr="00D105B6">
        <w:rPr>
          <w:rFonts w:ascii="Arial" w:hAnsi="Arial" w:cs="Arial"/>
          <w:b/>
          <w:iCs/>
          <w:sz w:val="20"/>
          <w:szCs w:val="20"/>
        </w:rPr>
        <w:t>equisitos de qualificação técnica</w:t>
      </w:r>
      <w:r w:rsidR="00D105B6">
        <w:rPr>
          <w:rFonts w:ascii="Arial" w:hAnsi="Arial" w:cs="Arial"/>
          <w:b/>
          <w:iCs/>
          <w:sz w:val="20"/>
          <w:szCs w:val="20"/>
        </w:rPr>
        <w:t>.</w:t>
      </w:r>
      <w:r w:rsidR="00D105B6" w:rsidRPr="00D105B6">
        <w:rPr>
          <w:rFonts w:ascii="Arial" w:hAnsi="Arial" w:cs="Arial"/>
          <w:b/>
          <w:iCs/>
          <w:sz w:val="20"/>
          <w:szCs w:val="20"/>
        </w:rPr>
        <w:t xml:space="preserve"> </w:t>
      </w:r>
      <w:r w:rsidR="0075688A" w:rsidRPr="00D105B6">
        <w:rPr>
          <w:rFonts w:ascii="Arial" w:hAnsi="Arial" w:cs="Arial"/>
          <w:b/>
          <w:iCs/>
          <w:sz w:val="20"/>
          <w:szCs w:val="20"/>
        </w:rPr>
        <w:t>Necessidade de justificativa prévia e fundamentada para</w:t>
      </w:r>
      <w:r w:rsidR="00D105B6" w:rsidRPr="00D105B6">
        <w:rPr>
          <w:rFonts w:ascii="Arial" w:hAnsi="Arial" w:cs="Arial"/>
          <w:b/>
          <w:iCs/>
          <w:sz w:val="20"/>
          <w:szCs w:val="20"/>
        </w:rPr>
        <w:t xml:space="preserve"> </w:t>
      </w:r>
      <w:r w:rsidR="0075688A" w:rsidRPr="00D105B6">
        <w:rPr>
          <w:rFonts w:ascii="Arial" w:hAnsi="Arial" w:cs="Arial"/>
          <w:b/>
          <w:iCs/>
          <w:sz w:val="20"/>
          <w:szCs w:val="20"/>
        </w:rPr>
        <w:t>exigências potencialmente restritivas. Exigência de vínculo</w:t>
      </w:r>
      <w:r w:rsidR="00D105B6" w:rsidRPr="00D105B6">
        <w:rPr>
          <w:rFonts w:ascii="Arial" w:hAnsi="Arial" w:cs="Arial"/>
          <w:b/>
          <w:iCs/>
          <w:sz w:val="20"/>
          <w:szCs w:val="20"/>
        </w:rPr>
        <w:t xml:space="preserve"> </w:t>
      </w:r>
      <w:r w:rsidR="0075688A" w:rsidRPr="00D105B6">
        <w:rPr>
          <w:rFonts w:ascii="Arial" w:hAnsi="Arial" w:cs="Arial"/>
          <w:b/>
          <w:iCs/>
          <w:sz w:val="20"/>
          <w:szCs w:val="20"/>
        </w:rPr>
        <w:t>empregatício com os profissionais detentores das Certidões de</w:t>
      </w:r>
      <w:r w:rsidR="00D105B6" w:rsidRPr="00D105B6">
        <w:rPr>
          <w:rFonts w:ascii="Arial" w:hAnsi="Arial" w:cs="Arial"/>
          <w:b/>
          <w:iCs/>
          <w:sz w:val="20"/>
          <w:szCs w:val="20"/>
        </w:rPr>
        <w:t xml:space="preserve"> </w:t>
      </w:r>
      <w:r w:rsidR="0075688A" w:rsidRPr="00D105B6">
        <w:rPr>
          <w:rFonts w:ascii="Arial" w:hAnsi="Arial" w:cs="Arial"/>
          <w:b/>
          <w:iCs/>
          <w:sz w:val="20"/>
          <w:szCs w:val="20"/>
        </w:rPr>
        <w:t>Acervo Técnico. Aparente contrariedade a precedentes desta</w:t>
      </w:r>
      <w:r w:rsidR="00D105B6" w:rsidRPr="00D105B6">
        <w:rPr>
          <w:rFonts w:ascii="Arial" w:hAnsi="Arial" w:cs="Arial"/>
          <w:b/>
          <w:iCs/>
          <w:sz w:val="20"/>
          <w:szCs w:val="20"/>
        </w:rPr>
        <w:t xml:space="preserve"> </w:t>
      </w:r>
      <w:r w:rsidR="0075688A" w:rsidRPr="00D105B6">
        <w:rPr>
          <w:rFonts w:ascii="Arial" w:hAnsi="Arial" w:cs="Arial"/>
          <w:b/>
          <w:iCs/>
          <w:sz w:val="20"/>
          <w:szCs w:val="20"/>
        </w:rPr>
        <w:t xml:space="preserve">Corte Estadual e do Tribunal de Contas da União. </w:t>
      </w:r>
      <w:r w:rsidR="00D105B6">
        <w:rPr>
          <w:rFonts w:ascii="Arial" w:hAnsi="Arial" w:cs="Arial"/>
          <w:b/>
          <w:iCs/>
          <w:sz w:val="20"/>
          <w:szCs w:val="20"/>
        </w:rPr>
        <w:t>O</w:t>
      </w:r>
      <w:r w:rsidR="0075688A" w:rsidRPr="00D105B6">
        <w:rPr>
          <w:rFonts w:ascii="Arial" w:hAnsi="Arial" w:cs="Arial"/>
          <w:b/>
          <w:iCs/>
          <w:sz w:val="20"/>
          <w:szCs w:val="20"/>
        </w:rPr>
        <w:t>fensa aos princípios da competitividade e da isonomia.</w:t>
      </w:r>
      <w:r w:rsidR="00D105B6" w:rsidRPr="00D105B6">
        <w:rPr>
          <w:rFonts w:ascii="Arial" w:hAnsi="Arial" w:cs="Arial"/>
          <w:b/>
          <w:iCs/>
          <w:sz w:val="20"/>
          <w:szCs w:val="20"/>
        </w:rPr>
        <w:t xml:space="preserve"> </w:t>
      </w:r>
    </w:p>
    <w:p w:rsidR="0075688A" w:rsidRDefault="0075688A" w:rsidP="00C8641B">
      <w:pPr>
        <w:autoSpaceDE w:val="0"/>
        <w:autoSpaceDN w:val="0"/>
        <w:adjustRightInd w:val="0"/>
        <w:spacing w:after="0" w:line="240" w:lineRule="auto"/>
        <w:jc w:val="both"/>
        <w:rPr>
          <w:rFonts w:ascii="Arial" w:hAnsi="Arial" w:cs="Arial"/>
          <w:sz w:val="20"/>
          <w:szCs w:val="20"/>
        </w:rPr>
      </w:pPr>
    </w:p>
    <w:p w:rsidR="00D105B6" w:rsidRPr="00D105B6" w:rsidRDefault="00D105B6" w:rsidP="00D105B6">
      <w:pPr>
        <w:autoSpaceDE w:val="0"/>
        <w:autoSpaceDN w:val="0"/>
        <w:adjustRightInd w:val="0"/>
        <w:spacing w:after="0" w:line="240" w:lineRule="auto"/>
        <w:jc w:val="both"/>
        <w:rPr>
          <w:rFonts w:ascii="Arial" w:hAnsi="Arial" w:cs="Arial"/>
          <w:sz w:val="20"/>
          <w:szCs w:val="20"/>
        </w:rPr>
      </w:pPr>
      <w:r w:rsidRPr="00D105B6">
        <w:rPr>
          <w:rFonts w:ascii="Arial" w:hAnsi="Arial" w:cs="Arial"/>
          <w:sz w:val="20"/>
          <w:szCs w:val="20"/>
        </w:rPr>
        <w:t>Este Tribunal já se manifestou no sentido de que a lei exige a definição de quais são os serviços</w:t>
      </w:r>
    </w:p>
    <w:p w:rsidR="00D105B6" w:rsidRDefault="00D105B6" w:rsidP="00D105B6">
      <w:pPr>
        <w:autoSpaceDE w:val="0"/>
        <w:autoSpaceDN w:val="0"/>
        <w:adjustRightInd w:val="0"/>
        <w:spacing w:after="0" w:line="240" w:lineRule="auto"/>
        <w:jc w:val="both"/>
        <w:rPr>
          <w:rFonts w:ascii="Arial" w:hAnsi="Arial" w:cs="Arial"/>
          <w:sz w:val="20"/>
          <w:szCs w:val="20"/>
        </w:rPr>
      </w:pPr>
      <w:r w:rsidRPr="00D105B6">
        <w:rPr>
          <w:rFonts w:ascii="Arial" w:hAnsi="Arial" w:cs="Arial"/>
          <w:sz w:val="20"/>
          <w:szCs w:val="20"/>
        </w:rPr>
        <w:t xml:space="preserve">relevantes e que a experiência anterior deva ser demonstrada no aspecto principal do contrato, conforme se depreende da seguinte passagem da fundamentação do Acórdão nº 4663/16 - Tribunal Pleno, da lavra do então Corregedor Geral, Conselheiro José Durval Mattos do Amaral. </w:t>
      </w:r>
    </w:p>
    <w:p w:rsidR="00D105B6" w:rsidRDefault="00D105B6" w:rsidP="00D105B6">
      <w:pPr>
        <w:autoSpaceDE w:val="0"/>
        <w:autoSpaceDN w:val="0"/>
        <w:adjustRightInd w:val="0"/>
        <w:spacing w:after="0" w:line="240" w:lineRule="auto"/>
        <w:jc w:val="both"/>
        <w:rPr>
          <w:rFonts w:ascii="Arial" w:hAnsi="Arial" w:cs="Arial"/>
          <w:sz w:val="20"/>
          <w:szCs w:val="20"/>
        </w:rPr>
      </w:pPr>
    </w:p>
    <w:p w:rsidR="00D105B6" w:rsidRDefault="00D105B6" w:rsidP="00D105B6">
      <w:pPr>
        <w:autoSpaceDE w:val="0"/>
        <w:autoSpaceDN w:val="0"/>
        <w:adjustRightInd w:val="0"/>
        <w:spacing w:after="0" w:line="240" w:lineRule="auto"/>
        <w:jc w:val="both"/>
        <w:rPr>
          <w:rFonts w:ascii="Arial" w:hAnsi="Arial" w:cs="Arial"/>
          <w:sz w:val="20"/>
          <w:szCs w:val="20"/>
        </w:rPr>
      </w:pPr>
      <w:r w:rsidRPr="00D105B6">
        <w:rPr>
          <w:rFonts w:ascii="Arial" w:hAnsi="Arial" w:cs="Arial"/>
          <w:sz w:val="20"/>
          <w:szCs w:val="20"/>
        </w:rPr>
        <w:t xml:space="preserve">Por sua vez, a exigência de vínculo empregatício para fins de comprovação de que os profissionais detentores das Certidões de Acervo Técnico fazem parte do quadro permanente da empresa licitante, efetivamente, contraria precedentes desta Corte Estadual e do Tribunal de Contas da União, de modo que poderá, em tese, vir a ser reputada excessivamente restritiva à concorrência. </w:t>
      </w:r>
    </w:p>
    <w:p w:rsidR="00D105B6" w:rsidRDefault="00D105B6" w:rsidP="00D105B6">
      <w:pPr>
        <w:autoSpaceDE w:val="0"/>
        <w:autoSpaceDN w:val="0"/>
        <w:adjustRightInd w:val="0"/>
        <w:spacing w:after="0" w:line="240" w:lineRule="auto"/>
        <w:jc w:val="both"/>
        <w:rPr>
          <w:rFonts w:ascii="Arial" w:hAnsi="Arial" w:cs="Arial"/>
          <w:sz w:val="20"/>
          <w:szCs w:val="20"/>
        </w:rPr>
      </w:pPr>
    </w:p>
    <w:p w:rsidR="00D105B6" w:rsidRPr="00D105B6" w:rsidRDefault="00D105B6" w:rsidP="00D105B6">
      <w:pPr>
        <w:autoSpaceDE w:val="0"/>
        <w:autoSpaceDN w:val="0"/>
        <w:adjustRightInd w:val="0"/>
        <w:spacing w:after="0" w:line="240" w:lineRule="auto"/>
        <w:jc w:val="both"/>
        <w:rPr>
          <w:rFonts w:ascii="Arial" w:hAnsi="Arial" w:cs="Arial"/>
          <w:sz w:val="20"/>
          <w:szCs w:val="20"/>
        </w:rPr>
      </w:pPr>
      <w:r w:rsidRPr="00D105B6">
        <w:rPr>
          <w:rFonts w:ascii="Arial" w:hAnsi="Arial" w:cs="Arial"/>
          <w:sz w:val="20"/>
          <w:szCs w:val="20"/>
        </w:rPr>
        <w:t>Está-se diante, portanto, de possíveis exigências excessivas,</w:t>
      </w:r>
      <w:r>
        <w:rPr>
          <w:rFonts w:ascii="Arial" w:hAnsi="Arial" w:cs="Arial"/>
          <w:sz w:val="20"/>
          <w:szCs w:val="20"/>
        </w:rPr>
        <w:t xml:space="preserve"> </w:t>
      </w:r>
      <w:r w:rsidRPr="00D105B6">
        <w:rPr>
          <w:rFonts w:ascii="Arial" w:hAnsi="Arial" w:cs="Arial"/>
          <w:sz w:val="20"/>
          <w:szCs w:val="20"/>
        </w:rPr>
        <w:t>capazes de macular, a princípio, os princípios da competitividade e da isonomia,</w:t>
      </w:r>
      <w:r>
        <w:rPr>
          <w:rFonts w:ascii="Arial" w:hAnsi="Arial" w:cs="Arial"/>
          <w:sz w:val="20"/>
          <w:szCs w:val="20"/>
        </w:rPr>
        <w:t xml:space="preserve"> </w:t>
      </w:r>
      <w:r w:rsidRPr="00D105B6">
        <w:rPr>
          <w:rFonts w:ascii="Arial" w:hAnsi="Arial" w:cs="Arial"/>
          <w:sz w:val="20"/>
          <w:szCs w:val="20"/>
        </w:rPr>
        <w:t xml:space="preserve">previstos pelo art. 3º, </w:t>
      </w:r>
      <w:r w:rsidRPr="00D105B6">
        <w:rPr>
          <w:rFonts w:ascii="Arial" w:hAnsi="Arial" w:cs="Arial"/>
          <w:i/>
          <w:iCs/>
          <w:sz w:val="20"/>
          <w:szCs w:val="20"/>
        </w:rPr>
        <w:t xml:space="preserve">caput </w:t>
      </w:r>
      <w:r w:rsidRPr="00D105B6">
        <w:rPr>
          <w:rFonts w:ascii="Arial" w:hAnsi="Arial" w:cs="Arial"/>
          <w:sz w:val="20"/>
          <w:szCs w:val="20"/>
        </w:rPr>
        <w:t>e § 1º, I, da Lei Geral de Licitações</w:t>
      </w:r>
      <w:r>
        <w:rPr>
          <w:rFonts w:ascii="Arial" w:hAnsi="Arial" w:cs="Arial"/>
          <w:sz w:val="20"/>
          <w:szCs w:val="20"/>
        </w:rPr>
        <w:t>.</w:t>
      </w:r>
    </w:p>
    <w:p w:rsidR="00D105B6" w:rsidRDefault="00D105B6" w:rsidP="00D105B6">
      <w:pPr>
        <w:autoSpaceDE w:val="0"/>
        <w:autoSpaceDN w:val="0"/>
        <w:adjustRightInd w:val="0"/>
        <w:spacing w:after="0" w:line="240" w:lineRule="auto"/>
        <w:jc w:val="both"/>
        <w:rPr>
          <w:rFonts w:ascii="Arial" w:hAnsi="Arial" w:cs="Arial"/>
          <w:sz w:val="20"/>
          <w:szCs w:val="20"/>
        </w:rPr>
      </w:pPr>
    </w:p>
    <w:p w:rsidR="00D105B6" w:rsidRDefault="00D105B6" w:rsidP="00D105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w:t>
      </w:r>
      <w:r w:rsidR="00D32FE3">
        <w:rPr>
          <w:rFonts w:ascii="Arial" w:hAnsi="Arial" w:cs="Arial"/>
          <w:sz w:val="20"/>
          <w:szCs w:val="20"/>
        </w:rPr>
        <w:t xml:space="preserve">538726/17 - </w:t>
      </w:r>
      <w:hyperlink r:id="rId17" w:history="1">
        <w:r w:rsidR="00D32FE3" w:rsidRPr="00907834">
          <w:rPr>
            <w:rStyle w:val="Hyperlink"/>
            <w:rFonts w:ascii="Arial" w:hAnsi="Arial" w:cs="Arial"/>
            <w:sz w:val="20"/>
            <w:szCs w:val="20"/>
          </w:rPr>
          <w:t>Acórdão n° 3613/17 - Tribunal Pleno</w:t>
        </w:r>
      </w:hyperlink>
      <w:r w:rsidR="00D32FE3">
        <w:rPr>
          <w:rFonts w:ascii="Arial" w:hAnsi="Arial" w:cs="Arial"/>
          <w:sz w:val="20"/>
          <w:szCs w:val="20"/>
        </w:rPr>
        <w:t xml:space="preserve"> - Rel. Cons. Ivens </w:t>
      </w:r>
      <w:proofErr w:type="spellStart"/>
      <w:r w:rsidR="00D32FE3">
        <w:rPr>
          <w:rFonts w:ascii="Arial" w:hAnsi="Arial" w:cs="Arial"/>
          <w:sz w:val="20"/>
          <w:szCs w:val="20"/>
        </w:rPr>
        <w:t>Zshoerper</w:t>
      </w:r>
      <w:proofErr w:type="spellEnd"/>
      <w:r w:rsidR="00D32FE3">
        <w:rPr>
          <w:rFonts w:ascii="Arial" w:hAnsi="Arial" w:cs="Arial"/>
          <w:sz w:val="20"/>
          <w:szCs w:val="20"/>
        </w:rPr>
        <w:t xml:space="preserve"> Linhares.</w:t>
      </w:r>
    </w:p>
    <w:p w:rsidR="001C5B0C" w:rsidRDefault="001C5B0C" w:rsidP="00D105B6">
      <w:pPr>
        <w:autoSpaceDE w:val="0"/>
        <w:autoSpaceDN w:val="0"/>
        <w:adjustRightInd w:val="0"/>
        <w:spacing w:after="0" w:line="240" w:lineRule="auto"/>
        <w:jc w:val="both"/>
        <w:rPr>
          <w:rFonts w:ascii="Arial" w:hAnsi="Arial" w:cs="Arial"/>
          <w:sz w:val="20"/>
          <w:szCs w:val="20"/>
        </w:rPr>
      </w:pPr>
    </w:p>
    <w:p w:rsidR="003547F8" w:rsidRPr="003547F8" w:rsidRDefault="00F647F2" w:rsidP="003547F8">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11. </w:t>
      </w:r>
      <w:r w:rsidR="003547F8" w:rsidRPr="003547F8">
        <w:rPr>
          <w:rFonts w:ascii="Arial" w:hAnsi="Arial" w:cs="Arial"/>
          <w:b/>
          <w:sz w:val="20"/>
          <w:szCs w:val="20"/>
        </w:rPr>
        <w:t>Recurso de Revista. Admissão de Pessoal.</w:t>
      </w:r>
      <w:r w:rsidR="003547F8">
        <w:rPr>
          <w:rFonts w:ascii="Arial" w:hAnsi="Arial" w:cs="Arial"/>
          <w:b/>
          <w:sz w:val="20"/>
          <w:szCs w:val="20"/>
        </w:rPr>
        <w:t xml:space="preserve"> </w:t>
      </w:r>
      <w:r w:rsidR="003547F8" w:rsidRPr="003547F8">
        <w:rPr>
          <w:rFonts w:ascii="Arial" w:hAnsi="Arial" w:cs="Arial"/>
          <w:b/>
          <w:sz w:val="20"/>
          <w:szCs w:val="20"/>
        </w:rPr>
        <w:t>Banca examinadora. Qualificação. Nulidade</w:t>
      </w:r>
      <w:r w:rsidR="003547F8">
        <w:rPr>
          <w:rFonts w:ascii="Arial" w:hAnsi="Arial" w:cs="Arial"/>
          <w:b/>
          <w:sz w:val="20"/>
          <w:szCs w:val="20"/>
        </w:rPr>
        <w:t xml:space="preserve"> </w:t>
      </w:r>
      <w:r w:rsidR="003547F8" w:rsidRPr="003547F8">
        <w:rPr>
          <w:rFonts w:ascii="Arial" w:hAnsi="Arial" w:cs="Arial"/>
          <w:b/>
          <w:sz w:val="20"/>
          <w:szCs w:val="20"/>
        </w:rPr>
        <w:t>do certame. Inocorrência. Princípios da boa-fé,</w:t>
      </w:r>
      <w:r w:rsidR="003547F8">
        <w:rPr>
          <w:rFonts w:ascii="Arial" w:hAnsi="Arial" w:cs="Arial"/>
          <w:b/>
          <w:sz w:val="20"/>
          <w:szCs w:val="20"/>
        </w:rPr>
        <w:t xml:space="preserve"> </w:t>
      </w:r>
      <w:r w:rsidR="003547F8" w:rsidRPr="003547F8">
        <w:rPr>
          <w:rFonts w:ascii="Arial" w:hAnsi="Arial" w:cs="Arial"/>
          <w:b/>
          <w:sz w:val="20"/>
          <w:szCs w:val="20"/>
        </w:rPr>
        <w:t>segurança jurídica e razoabilidade. Não provimento.</w:t>
      </w:r>
    </w:p>
    <w:p w:rsidR="003547F8" w:rsidRDefault="003547F8" w:rsidP="003547F8">
      <w:pPr>
        <w:autoSpaceDE w:val="0"/>
        <w:autoSpaceDN w:val="0"/>
        <w:adjustRightInd w:val="0"/>
        <w:spacing w:after="0" w:line="240" w:lineRule="auto"/>
        <w:jc w:val="both"/>
        <w:rPr>
          <w:rFonts w:ascii="Arial" w:hAnsi="Arial" w:cs="Arial"/>
          <w:sz w:val="20"/>
          <w:szCs w:val="20"/>
        </w:rPr>
      </w:pPr>
      <w:r w:rsidRPr="003547F8">
        <w:rPr>
          <w:rFonts w:ascii="Arial" w:hAnsi="Arial" w:cs="Arial"/>
          <w:sz w:val="20"/>
          <w:szCs w:val="20"/>
        </w:rPr>
        <w:t>Consoante entendimento pacífico des</w:t>
      </w:r>
      <w:r w:rsidR="00D96D3C">
        <w:rPr>
          <w:rFonts w:ascii="Arial" w:hAnsi="Arial" w:cs="Arial"/>
          <w:sz w:val="20"/>
          <w:szCs w:val="20"/>
        </w:rPr>
        <w:t>ta</w:t>
      </w:r>
      <w:r w:rsidRPr="003547F8">
        <w:rPr>
          <w:rFonts w:ascii="Arial" w:hAnsi="Arial" w:cs="Arial"/>
          <w:sz w:val="20"/>
          <w:szCs w:val="20"/>
        </w:rPr>
        <w:t xml:space="preserve"> Corte de Contas, embora a banca examinadora deva ser composta por pessoal com formação na mesma área das funções em que se visa o preenchimento, a inobservância desse preceito não possui o condão de impedir o registro dos</w:t>
      </w:r>
      <w:r w:rsidR="00A7114E">
        <w:rPr>
          <w:rFonts w:ascii="Arial" w:hAnsi="Arial" w:cs="Arial"/>
          <w:sz w:val="20"/>
          <w:szCs w:val="20"/>
        </w:rPr>
        <w:t xml:space="preserve"> </w:t>
      </w:r>
      <w:r w:rsidRPr="003547F8">
        <w:rPr>
          <w:rFonts w:ascii="Arial" w:hAnsi="Arial" w:cs="Arial"/>
          <w:sz w:val="20"/>
          <w:szCs w:val="20"/>
        </w:rPr>
        <w:t>respectivos atos, especialmente se verificado, tal como no presente caso, que as provas foram elaboradas exclusivamente com questões objetivas.</w:t>
      </w:r>
    </w:p>
    <w:p w:rsidR="003547F8" w:rsidRPr="003547F8" w:rsidRDefault="003547F8" w:rsidP="003547F8">
      <w:pPr>
        <w:autoSpaceDE w:val="0"/>
        <w:autoSpaceDN w:val="0"/>
        <w:adjustRightInd w:val="0"/>
        <w:spacing w:after="0" w:line="240" w:lineRule="auto"/>
        <w:jc w:val="both"/>
        <w:rPr>
          <w:rFonts w:ascii="Arial" w:hAnsi="Arial" w:cs="Arial"/>
          <w:sz w:val="20"/>
          <w:szCs w:val="20"/>
        </w:rPr>
      </w:pPr>
    </w:p>
    <w:p w:rsidR="003547F8" w:rsidRPr="003547F8" w:rsidRDefault="003547F8" w:rsidP="003547F8">
      <w:pPr>
        <w:autoSpaceDE w:val="0"/>
        <w:autoSpaceDN w:val="0"/>
        <w:adjustRightInd w:val="0"/>
        <w:spacing w:after="0" w:line="240" w:lineRule="auto"/>
        <w:jc w:val="both"/>
        <w:rPr>
          <w:rFonts w:ascii="Arial" w:hAnsi="Arial" w:cs="Arial"/>
          <w:sz w:val="20"/>
          <w:szCs w:val="20"/>
        </w:rPr>
      </w:pPr>
      <w:r w:rsidRPr="003547F8">
        <w:rPr>
          <w:rFonts w:ascii="Arial" w:hAnsi="Arial" w:cs="Arial"/>
          <w:sz w:val="20"/>
          <w:szCs w:val="20"/>
        </w:rPr>
        <w:t>Ademais, não se verificam indícios de fraude, favorecimento dos</w:t>
      </w:r>
      <w:r w:rsidR="00A7114E">
        <w:rPr>
          <w:rFonts w:ascii="Arial" w:hAnsi="Arial" w:cs="Arial"/>
          <w:sz w:val="20"/>
          <w:szCs w:val="20"/>
        </w:rPr>
        <w:t xml:space="preserve"> nomeados ou quaisquer outras i</w:t>
      </w:r>
      <w:r w:rsidRPr="003547F8">
        <w:rPr>
          <w:rFonts w:ascii="Arial" w:hAnsi="Arial" w:cs="Arial"/>
          <w:sz w:val="20"/>
          <w:szCs w:val="20"/>
        </w:rPr>
        <w:t>rregularidades que tenham maculado o certame em estudo, devendo se</w:t>
      </w:r>
      <w:r w:rsidR="00D96D3C">
        <w:rPr>
          <w:rFonts w:ascii="Arial" w:hAnsi="Arial" w:cs="Arial"/>
          <w:sz w:val="20"/>
          <w:szCs w:val="20"/>
        </w:rPr>
        <w:t>r</w:t>
      </w:r>
      <w:r w:rsidRPr="003547F8">
        <w:rPr>
          <w:rFonts w:ascii="Arial" w:hAnsi="Arial" w:cs="Arial"/>
          <w:sz w:val="20"/>
          <w:szCs w:val="20"/>
        </w:rPr>
        <w:t xml:space="preserve"> considerado o longo </w:t>
      </w:r>
      <w:r w:rsidRPr="003547F8">
        <w:rPr>
          <w:rFonts w:ascii="Arial" w:hAnsi="Arial" w:cs="Arial"/>
          <w:sz w:val="20"/>
          <w:szCs w:val="20"/>
        </w:rPr>
        <w:lastRenderedPageBreak/>
        <w:t>transcurso de tempo desde sua realização (mais de cinco anos), atentando-se também aos Princípios da Segurança Jurídica, Boa-fé e da Razoabilidade, razão pela qual a decisão recorrida não merece reparos.</w:t>
      </w:r>
    </w:p>
    <w:p w:rsidR="003547F8" w:rsidRDefault="003547F8" w:rsidP="00D105B6">
      <w:pPr>
        <w:autoSpaceDE w:val="0"/>
        <w:autoSpaceDN w:val="0"/>
        <w:adjustRightInd w:val="0"/>
        <w:spacing w:after="0" w:line="240" w:lineRule="auto"/>
        <w:jc w:val="both"/>
        <w:rPr>
          <w:rFonts w:ascii="Arial" w:hAnsi="Arial" w:cs="Arial"/>
          <w:sz w:val="20"/>
          <w:szCs w:val="20"/>
        </w:rPr>
      </w:pPr>
    </w:p>
    <w:p w:rsidR="003547F8" w:rsidRDefault="003547F8" w:rsidP="00D105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433092/16 - </w:t>
      </w:r>
      <w:hyperlink r:id="rId18" w:history="1">
        <w:r w:rsidRPr="00A11C3C">
          <w:rPr>
            <w:rStyle w:val="Hyperlink"/>
            <w:rFonts w:ascii="Arial" w:hAnsi="Arial" w:cs="Arial"/>
            <w:sz w:val="20"/>
            <w:szCs w:val="20"/>
          </w:rPr>
          <w:t>Acórdão n° 3669/17 - Tribunal Pleno</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3C16A8" w:rsidRDefault="003C16A8" w:rsidP="00D105B6">
      <w:pPr>
        <w:autoSpaceDE w:val="0"/>
        <w:autoSpaceDN w:val="0"/>
        <w:adjustRightInd w:val="0"/>
        <w:spacing w:after="0" w:line="240" w:lineRule="auto"/>
        <w:jc w:val="both"/>
        <w:rPr>
          <w:rFonts w:ascii="Arial" w:hAnsi="Arial" w:cs="Arial"/>
          <w:sz w:val="20"/>
          <w:szCs w:val="20"/>
        </w:rPr>
      </w:pPr>
    </w:p>
    <w:p w:rsidR="003C16A8" w:rsidRDefault="00F647F2" w:rsidP="003C16A8">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12. </w:t>
      </w:r>
      <w:r w:rsidR="003C16A8" w:rsidRPr="003C16A8">
        <w:rPr>
          <w:rFonts w:ascii="Arial" w:hAnsi="Arial" w:cs="Arial"/>
          <w:b/>
          <w:sz w:val="20"/>
          <w:szCs w:val="20"/>
        </w:rPr>
        <w:t>Consulta. Reajuste salarial professor. Gratificações. Não incidência de efeito cascata. O reajuste não incide automaticamente sobre as demais gratificações, mas somente para o piso. Incidência quando calculadas pelo piso. Caso contrário, dependem de lei.</w:t>
      </w:r>
    </w:p>
    <w:p w:rsidR="003C16A8" w:rsidRDefault="003C16A8" w:rsidP="003C16A8">
      <w:pPr>
        <w:autoSpaceDE w:val="0"/>
        <w:autoSpaceDN w:val="0"/>
        <w:adjustRightInd w:val="0"/>
        <w:spacing w:after="0" w:line="240" w:lineRule="auto"/>
        <w:jc w:val="both"/>
        <w:rPr>
          <w:rFonts w:ascii="Arial" w:hAnsi="Arial" w:cs="Arial"/>
          <w:b/>
          <w:sz w:val="20"/>
          <w:szCs w:val="20"/>
        </w:rPr>
      </w:pPr>
    </w:p>
    <w:p w:rsidR="003C16A8" w:rsidRPr="003C16A8" w:rsidRDefault="003C16A8" w:rsidP="003C16A8">
      <w:pPr>
        <w:autoSpaceDE w:val="0"/>
        <w:autoSpaceDN w:val="0"/>
        <w:adjustRightInd w:val="0"/>
        <w:spacing w:after="0" w:line="240" w:lineRule="auto"/>
        <w:jc w:val="both"/>
        <w:rPr>
          <w:rFonts w:ascii="Arial" w:hAnsi="Arial" w:cs="Arial"/>
          <w:i/>
          <w:sz w:val="20"/>
          <w:szCs w:val="20"/>
        </w:rPr>
      </w:pPr>
      <w:r w:rsidRPr="003C16A8">
        <w:rPr>
          <w:rFonts w:ascii="Arial" w:hAnsi="Arial" w:cs="Arial"/>
          <w:i/>
          <w:sz w:val="20"/>
          <w:szCs w:val="20"/>
        </w:rPr>
        <w:t xml:space="preserve">a) Quando for decretado o novo piso salarial dos professores, pelo Governo Federal, o percentual concedido terá o efeito cascata para todas as gratificações (Progressão, Graduação, </w:t>
      </w:r>
      <w:proofErr w:type="spellStart"/>
      <w:r w:rsidRPr="003C16A8">
        <w:rPr>
          <w:rFonts w:ascii="Arial" w:hAnsi="Arial" w:cs="Arial"/>
          <w:i/>
          <w:sz w:val="20"/>
          <w:szCs w:val="20"/>
        </w:rPr>
        <w:t>etc</w:t>
      </w:r>
      <w:proofErr w:type="spellEnd"/>
      <w:r w:rsidRPr="003C16A8">
        <w:rPr>
          <w:rFonts w:ascii="Arial" w:hAnsi="Arial" w:cs="Arial"/>
          <w:i/>
          <w:sz w:val="20"/>
          <w:szCs w:val="20"/>
        </w:rPr>
        <w:t xml:space="preserve">), ou o reajuste será somente para o piso? </w:t>
      </w:r>
    </w:p>
    <w:p w:rsidR="003C16A8" w:rsidRDefault="003C16A8" w:rsidP="003C16A8">
      <w:pPr>
        <w:autoSpaceDE w:val="0"/>
        <w:autoSpaceDN w:val="0"/>
        <w:adjustRightInd w:val="0"/>
        <w:spacing w:after="0" w:line="240" w:lineRule="auto"/>
        <w:jc w:val="both"/>
        <w:rPr>
          <w:rFonts w:ascii="Arial" w:hAnsi="Arial" w:cs="Arial"/>
          <w:sz w:val="20"/>
          <w:szCs w:val="20"/>
        </w:rPr>
      </w:pPr>
    </w:p>
    <w:p w:rsidR="003C16A8" w:rsidRPr="003C16A8" w:rsidRDefault="003C16A8" w:rsidP="003C16A8">
      <w:pPr>
        <w:autoSpaceDE w:val="0"/>
        <w:autoSpaceDN w:val="0"/>
        <w:adjustRightInd w:val="0"/>
        <w:spacing w:after="0" w:line="240" w:lineRule="auto"/>
        <w:jc w:val="both"/>
        <w:rPr>
          <w:rFonts w:ascii="Arial" w:hAnsi="Arial" w:cs="Arial"/>
          <w:sz w:val="20"/>
          <w:szCs w:val="20"/>
        </w:rPr>
      </w:pPr>
      <w:r w:rsidRPr="003C16A8">
        <w:rPr>
          <w:rFonts w:ascii="Arial" w:hAnsi="Arial" w:cs="Arial"/>
          <w:sz w:val="20"/>
          <w:szCs w:val="20"/>
        </w:rPr>
        <w:t>R: Não. O reajuste não incide automaticamente sobre as demais</w:t>
      </w:r>
      <w:r>
        <w:rPr>
          <w:rFonts w:ascii="Arial" w:hAnsi="Arial" w:cs="Arial"/>
          <w:sz w:val="20"/>
          <w:szCs w:val="20"/>
        </w:rPr>
        <w:t xml:space="preserve"> </w:t>
      </w:r>
      <w:r w:rsidRPr="003C16A8">
        <w:rPr>
          <w:rFonts w:ascii="Arial" w:hAnsi="Arial" w:cs="Arial"/>
          <w:sz w:val="20"/>
          <w:szCs w:val="20"/>
        </w:rPr>
        <w:t>gratificações, mas somente para o piso.</w:t>
      </w:r>
    </w:p>
    <w:p w:rsidR="003C16A8" w:rsidRDefault="003C16A8" w:rsidP="003C16A8">
      <w:pPr>
        <w:autoSpaceDE w:val="0"/>
        <w:autoSpaceDN w:val="0"/>
        <w:adjustRightInd w:val="0"/>
        <w:spacing w:after="0" w:line="240" w:lineRule="auto"/>
        <w:jc w:val="both"/>
        <w:rPr>
          <w:rFonts w:ascii="Arial" w:hAnsi="Arial" w:cs="Arial"/>
          <w:sz w:val="20"/>
          <w:szCs w:val="20"/>
        </w:rPr>
      </w:pPr>
    </w:p>
    <w:p w:rsidR="003C16A8" w:rsidRPr="003C16A8" w:rsidRDefault="003C16A8" w:rsidP="003C16A8">
      <w:pPr>
        <w:autoSpaceDE w:val="0"/>
        <w:autoSpaceDN w:val="0"/>
        <w:adjustRightInd w:val="0"/>
        <w:spacing w:after="0" w:line="240" w:lineRule="auto"/>
        <w:jc w:val="both"/>
        <w:rPr>
          <w:rFonts w:ascii="Arial" w:hAnsi="Arial" w:cs="Arial"/>
          <w:i/>
          <w:sz w:val="20"/>
          <w:szCs w:val="20"/>
        </w:rPr>
      </w:pPr>
      <w:r w:rsidRPr="003C16A8">
        <w:rPr>
          <w:rFonts w:ascii="Arial" w:hAnsi="Arial" w:cs="Arial"/>
          <w:i/>
          <w:sz w:val="20"/>
          <w:szCs w:val="20"/>
        </w:rPr>
        <w:t xml:space="preserve">b) Se a concessão do reajuste for somente para o piso salarial, descartando assim as gratificações, qual a legalidade e quando será a reposição das gratificações? </w:t>
      </w:r>
    </w:p>
    <w:p w:rsidR="003C16A8" w:rsidRDefault="003C16A8" w:rsidP="003C16A8">
      <w:pPr>
        <w:autoSpaceDE w:val="0"/>
        <w:autoSpaceDN w:val="0"/>
        <w:adjustRightInd w:val="0"/>
        <w:spacing w:after="0" w:line="240" w:lineRule="auto"/>
        <w:jc w:val="both"/>
        <w:rPr>
          <w:rFonts w:ascii="Arial" w:hAnsi="Arial" w:cs="Arial"/>
          <w:sz w:val="20"/>
          <w:szCs w:val="20"/>
        </w:rPr>
      </w:pPr>
    </w:p>
    <w:p w:rsidR="0075688A" w:rsidRDefault="003C16A8" w:rsidP="003C16A8">
      <w:pPr>
        <w:autoSpaceDE w:val="0"/>
        <w:autoSpaceDN w:val="0"/>
        <w:adjustRightInd w:val="0"/>
        <w:spacing w:after="0" w:line="240" w:lineRule="auto"/>
        <w:jc w:val="both"/>
        <w:rPr>
          <w:rFonts w:ascii="Arial" w:hAnsi="Arial" w:cs="Arial"/>
          <w:sz w:val="20"/>
          <w:szCs w:val="20"/>
        </w:rPr>
      </w:pPr>
      <w:r w:rsidRPr="003C16A8">
        <w:rPr>
          <w:rFonts w:ascii="Arial" w:hAnsi="Arial" w:cs="Arial"/>
          <w:sz w:val="20"/>
          <w:szCs w:val="20"/>
        </w:rPr>
        <w:t>R: “(...) o percentual concedido a título de reajuste deverá, em tese,</w:t>
      </w:r>
      <w:r>
        <w:rPr>
          <w:rFonts w:ascii="Arial" w:hAnsi="Arial" w:cs="Arial"/>
          <w:sz w:val="20"/>
          <w:szCs w:val="20"/>
        </w:rPr>
        <w:t xml:space="preserve"> </w:t>
      </w:r>
      <w:r w:rsidRPr="003C16A8">
        <w:rPr>
          <w:rFonts w:ascii="Arial" w:hAnsi="Arial" w:cs="Arial"/>
          <w:sz w:val="20"/>
          <w:szCs w:val="20"/>
        </w:rPr>
        <w:t>incidir sobre o piso. As gratificações, quando fixadas em percentual do piso, terão,</w:t>
      </w:r>
      <w:r>
        <w:rPr>
          <w:rFonts w:ascii="Arial" w:hAnsi="Arial" w:cs="Arial"/>
          <w:sz w:val="20"/>
          <w:szCs w:val="20"/>
        </w:rPr>
        <w:t xml:space="preserve"> </w:t>
      </w:r>
      <w:r w:rsidRPr="003C16A8">
        <w:rPr>
          <w:rFonts w:ascii="Arial" w:hAnsi="Arial" w:cs="Arial"/>
          <w:sz w:val="20"/>
          <w:szCs w:val="20"/>
        </w:rPr>
        <w:t>consequentemente, igual aumento, caso contrário, terão que se socorrer do</w:t>
      </w:r>
      <w:r>
        <w:rPr>
          <w:rFonts w:ascii="Arial" w:hAnsi="Arial" w:cs="Arial"/>
          <w:sz w:val="20"/>
          <w:szCs w:val="20"/>
        </w:rPr>
        <w:t xml:space="preserve"> </w:t>
      </w:r>
      <w:r w:rsidRPr="003C16A8">
        <w:rPr>
          <w:rFonts w:ascii="Arial" w:hAnsi="Arial" w:cs="Arial"/>
          <w:sz w:val="20"/>
          <w:szCs w:val="20"/>
        </w:rPr>
        <w:t>mecanismo normativo exigido pela Lei Orgânica do Município para a concessão de</w:t>
      </w:r>
      <w:r>
        <w:rPr>
          <w:rFonts w:ascii="Arial" w:hAnsi="Arial" w:cs="Arial"/>
          <w:sz w:val="20"/>
          <w:szCs w:val="20"/>
        </w:rPr>
        <w:t xml:space="preserve"> </w:t>
      </w:r>
      <w:r w:rsidRPr="003C16A8">
        <w:rPr>
          <w:rFonts w:ascii="Arial" w:hAnsi="Arial" w:cs="Arial"/>
          <w:sz w:val="20"/>
          <w:szCs w:val="20"/>
        </w:rPr>
        <w:t>reajuste de remuneração dos servidores.”</w:t>
      </w:r>
    </w:p>
    <w:p w:rsidR="003C16A8" w:rsidRDefault="003C16A8" w:rsidP="003C16A8">
      <w:pPr>
        <w:autoSpaceDE w:val="0"/>
        <w:autoSpaceDN w:val="0"/>
        <w:adjustRightInd w:val="0"/>
        <w:spacing w:after="0" w:line="240" w:lineRule="auto"/>
        <w:jc w:val="both"/>
        <w:rPr>
          <w:rFonts w:ascii="Arial" w:hAnsi="Arial" w:cs="Arial"/>
          <w:sz w:val="20"/>
          <w:szCs w:val="20"/>
        </w:rPr>
      </w:pPr>
    </w:p>
    <w:p w:rsidR="003C16A8" w:rsidRDefault="003C16A8" w:rsidP="003C16A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223512/17 - </w:t>
      </w:r>
      <w:hyperlink r:id="rId19" w:history="1">
        <w:r w:rsidRPr="00087B9C">
          <w:rPr>
            <w:rStyle w:val="Hyperlink"/>
            <w:rFonts w:ascii="Arial" w:hAnsi="Arial" w:cs="Arial"/>
            <w:sz w:val="20"/>
            <w:szCs w:val="20"/>
          </w:rPr>
          <w:t>Acórdão n° 3666/17 - Tribunal Pleno</w:t>
        </w:r>
      </w:hyperlink>
      <w:r>
        <w:rPr>
          <w:rFonts w:ascii="Arial" w:hAnsi="Arial" w:cs="Arial"/>
          <w:sz w:val="20"/>
          <w:szCs w:val="20"/>
        </w:rPr>
        <w:t xml:space="preserve"> - Relator Conselheiro Nestor Baptista.  </w:t>
      </w:r>
    </w:p>
    <w:p w:rsidR="000B6511" w:rsidRDefault="000B6511" w:rsidP="003C16A8">
      <w:pPr>
        <w:autoSpaceDE w:val="0"/>
        <w:autoSpaceDN w:val="0"/>
        <w:adjustRightInd w:val="0"/>
        <w:spacing w:after="0" w:line="240" w:lineRule="auto"/>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816942">
      <w:pPr>
        <w:spacing w:after="0"/>
        <w:rPr>
          <w:rFonts w:ascii="Arial" w:hAnsi="Arial" w:cs="Arial"/>
          <w:b/>
          <w:color w:val="000000"/>
          <w:sz w:val="20"/>
          <w:szCs w:val="20"/>
        </w:rPr>
      </w:pPr>
    </w:p>
    <w:p w:rsidR="005603B3" w:rsidRPr="00C8641B" w:rsidRDefault="005603B3" w:rsidP="00816942">
      <w:pPr>
        <w:spacing w:after="0"/>
        <w:jc w:val="both"/>
        <w:rPr>
          <w:rFonts w:ascii="Arial" w:hAnsi="Arial" w:cs="Arial"/>
          <w:b/>
          <w:color w:val="000000"/>
          <w:sz w:val="20"/>
          <w:szCs w:val="20"/>
        </w:rPr>
      </w:pPr>
      <w:r w:rsidRPr="00C8641B">
        <w:rPr>
          <w:rFonts w:ascii="Arial" w:hAnsi="Arial" w:cs="Arial"/>
          <w:b/>
          <w:color w:val="000000"/>
          <w:sz w:val="20"/>
          <w:szCs w:val="20"/>
        </w:rPr>
        <w:t>Supremo Tribunal Federal:</w:t>
      </w:r>
    </w:p>
    <w:p w:rsidR="006E12D5" w:rsidRPr="00C8641B" w:rsidRDefault="006E12D5" w:rsidP="00816942">
      <w:pPr>
        <w:spacing w:after="0"/>
        <w:jc w:val="both"/>
        <w:rPr>
          <w:rFonts w:ascii="Arial" w:hAnsi="Arial" w:cs="Arial"/>
          <w:b/>
          <w:color w:val="000000"/>
          <w:sz w:val="20"/>
          <w:szCs w:val="20"/>
        </w:rPr>
      </w:pPr>
    </w:p>
    <w:p w:rsidR="008F0253" w:rsidRPr="00C8641B" w:rsidRDefault="00D96D3C" w:rsidP="00816942">
      <w:pPr>
        <w:spacing w:after="0"/>
        <w:jc w:val="both"/>
        <w:rPr>
          <w:rFonts w:ascii="Arial" w:hAnsi="Arial" w:cs="Arial"/>
          <w:b/>
          <w:bCs/>
          <w:sz w:val="20"/>
          <w:szCs w:val="20"/>
          <w:shd w:val="clear" w:color="auto" w:fill="FFFFFF"/>
        </w:rPr>
      </w:pPr>
      <w:hyperlink r:id="rId20" w:history="1">
        <w:r w:rsidR="008F0253" w:rsidRPr="00C8641B">
          <w:rPr>
            <w:rStyle w:val="Hyperlink"/>
            <w:rFonts w:ascii="Arial" w:hAnsi="Arial" w:cs="Arial"/>
            <w:b/>
            <w:sz w:val="20"/>
            <w:szCs w:val="20"/>
            <w:shd w:val="clear" w:color="auto" w:fill="FFFFFF"/>
          </w:rPr>
          <w:t xml:space="preserve">RHC 133118/CE, rel. Min. Dias </w:t>
        </w:r>
        <w:proofErr w:type="spellStart"/>
        <w:r w:rsidR="008F0253" w:rsidRPr="00C8641B">
          <w:rPr>
            <w:rStyle w:val="Hyperlink"/>
            <w:rFonts w:ascii="Arial" w:hAnsi="Arial" w:cs="Arial"/>
            <w:b/>
            <w:sz w:val="20"/>
            <w:szCs w:val="20"/>
            <w:shd w:val="clear" w:color="auto" w:fill="FFFFFF"/>
          </w:rPr>
          <w:t>Toffoli</w:t>
        </w:r>
        <w:proofErr w:type="spellEnd"/>
        <w:r w:rsidR="008F0253" w:rsidRPr="00C8641B">
          <w:rPr>
            <w:rStyle w:val="Hyperlink"/>
            <w:rFonts w:ascii="Arial" w:hAnsi="Arial" w:cs="Arial"/>
            <w:b/>
            <w:sz w:val="20"/>
            <w:szCs w:val="20"/>
            <w:shd w:val="clear" w:color="auto" w:fill="FFFFFF"/>
          </w:rPr>
          <w:t>, julgamento em 26.9.2017 - (RHC-133118)</w:t>
        </w:r>
      </w:hyperlink>
      <w:r w:rsidR="008F0253" w:rsidRPr="00C8641B">
        <w:rPr>
          <w:rFonts w:ascii="Arial" w:hAnsi="Arial" w:cs="Arial"/>
          <w:b/>
          <w:bCs/>
          <w:sz w:val="20"/>
          <w:szCs w:val="20"/>
          <w:shd w:val="clear" w:color="auto" w:fill="FFFFFF"/>
        </w:rPr>
        <w:t xml:space="preserve"> - Quebra de sigilo bancário de contas públicas e requisição pelo Ministério Público.</w:t>
      </w:r>
    </w:p>
    <w:p w:rsidR="008F0253" w:rsidRPr="00C8641B" w:rsidRDefault="008F0253" w:rsidP="00816942">
      <w:pPr>
        <w:spacing w:after="0"/>
        <w:jc w:val="both"/>
        <w:rPr>
          <w:rFonts w:ascii="Arial" w:hAnsi="Arial" w:cs="Arial"/>
          <w:sz w:val="20"/>
          <w:szCs w:val="20"/>
          <w:shd w:val="clear" w:color="auto" w:fill="FFFFFF"/>
        </w:rPr>
      </w:pPr>
    </w:p>
    <w:p w:rsidR="008F0253" w:rsidRPr="00C8641B" w:rsidRDefault="008F0253" w:rsidP="00816942">
      <w:pPr>
        <w:spacing w:after="0"/>
        <w:jc w:val="both"/>
        <w:rPr>
          <w:rFonts w:ascii="Arial" w:hAnsi="Arial" w:cs="Arial"/>
          <w:sz w:val="20"/>
          <w:szCs w:val="20"/>
          <w:shd w:val="clear" w:color="auto" w:fill="FFFFFF"/>
        </w:rPr>
      </w:pPr>
      <w:r w:rsidRPr="00C8641B">
        <w:rPr>
          <w:rFonts w:ascii="Arial" w:hAnsi="Arial" w:cs="Arial"/>
          <w:sz w:val="20"/>
          <w:szCs w:val="20"/>
          <w:shd w:val="clear" w:color="auto" w:fill="FFFFFF"/>
        </w:rPr>
        <w:t>O Colegiado asseverou que o sigilo de informações necessário à preservação da intimidade é relativizado quando há interesse da sociedade em conhecer o destino dos recursos públicos.</w:t>
      </w:r>
      <w:r w:rsidRPr="00C8641B">
        <w:rPr>
          <w:rFonts w:ascii="Arial" w:hAnsi="Arial" w:cs="Arial"/>
          <w:sz w:val="20"/>
          <w:szCs w:val="20"/>
        </w:rPr>
        <w:br/>
      </w:r>
      <w:r w:rsidRPr="00C8641B">
        <w:rPr>
          <w:rFonts w:ascii="Arial" w:hAnsi="Arial" w:cs="Arial"/>
          <w:sz w:val="20"/>
          <w:szCs w:val="20"/>
        </w:rPr>
        <w:br/>
      </w:r>
      <w:r w:rsidRPr="00C8641B">
        <w:rPr>
          <w:rFonts w:ascii="Arial" w:hAnsi="Arial" w:cs="Arial"/>
          <w:sz w:val="20"/>
          <w:szCs w:val="20"/>
          <w:shd w:val="clear" w:color="auto" w:fill="FFFFFF"/>
        </w:rPr>
        <w:t xml:space="preserve">Diante da existência de indícios da prática de ilícitos penais envolvendo verbas públicas, cabe ao MP, no exercício de seus poderes investigatórios CF, art. 129, VIII, requisitar os registros de operações financeiras relativos aos recursos movimentados a partir de </w:t>
      </w:r>
      <w:proofErr w:type="spellStart"/>
      <w:r w:rsidRPr="00C8641B">
        <w:rPr>
          <w:rFonts w:ascii="Arial" w:hAnsi="Arial" w:cs="Arial"/>
          <w:sz w:val="20"/>
          <w:szCs w:val="20"/>
          <w:shd w:val="clear" w:color="auto" w:fill="FFFFFF"/>
        </w:rPr>
        <w:t>conta</w:t>
      </w:r>
      <w:r w:rsidR="00D96D3C">
        <w:rPr>
          <w:rFonts w:ascii="Arial" w:hAnsi="Arial" w:cs="Arial"/>
          <w:sz w:val="20"/>
          <w:szCs w:val="20"/>
          <w:shd w:val="clear" w:color="auto" w:fill="FFFFFF"/>
        </w:rPr>
        <w:t>-</w:t>
      </w:r>
      <w:r w:rsidRPr="00C8641B">
        <w:rPr>
          <w:rFonts w:ascii="Arial" w:hAnsi="Arial" w:cs="Arial"/>
          <w:sz w:val="20"/>
          <w:szCs w:val="20"/>
          <w:shd w:val="clear" w:color="auto" w:fill="FFFFFF"/>
        </w:rPr>
        <w:t>corrente</w:t>
      </w:r>
      <w:proofErr w:type="spellEnd"/>
      <w:r w:rsidRPr="00C8641B">
        <w:rPr>
          <w:rFonts w:ascii="Arial" w:hAnsi="Arial" w:cs="Arial"/>
          <w:sz w:val="20"/>
          <w:szCs w:val="20"/>
          <w:shd w:val="clear" w:color="auto" w:fill="FFFFFF"/>
        </w:rPr>
        <w:t xml:space="preserve"> de titularidade da prefeitura municipal. Essa requisição compreende, por extensão, o acesso aos </w:t>
      </w:r>
      <w:r w:rsidRPr="00C8641B">
        <w:rPr>
          <w:rFonts w:ascii="Arial" w:hAnsi="Arial" w:cs="Arial"/>
          <w:sz w:val="20"/>
          <w:szCs w:val="20"/>
          <w:shd w:val="clear" w:color="auto" w:fill="FFFFFF"/>
        </w:rPr>
        <w:lastRenderedPageBreak/>
        <w:t>registros das operações bancárias sucessivas, ainda que realizadas por particulares, e objetiva garantir o acesso ao real destino desses recursos públicos.</w:t>
      </w:r>
    </w:p>
    <w:p w:rsidR="008F0253" w:rsidRPr="00C8641B" w:rsidRDefault="008F0253" w:rsidP="00816942">
      <w:pPr>
        <w:spacing w:after="0"/>
        <w:jc w:val="both"/>
        <w:rPr>
          <w:rFonts w:ascii="Arial" w:hAnsi="Arial" w:cs="Arial"/>
          <w:b/>
          <w:sz w:val="20"/>
          <w:szCs w:val="20"/>
        </w:rPr>
      </w:pPr>
      <w:r w:rsidRPr="00C8641B">
        <w:rPr>
          <w:rFonts w:ascii="Arial" w:hAnsi="Arial" w:cs="Arial"/>
          <w:sz w:val="20"/>
          <w:szCs w:val="20"/>
        </w:rPr>
        <w:br/>
      </w:r>
      <w:r w:rsidRPr="00C8641B">
        <w:rPr>
          <w:rFonts w:ascii="Arial" w:hAnsi="Arial" w:cs="Arial"/>
          <w:sz w:val="20"/>
          <w:szCs w:val="20"/>
          <w:shd w:val="clear" w:color="auto" w:fill="FFFFFF"/>
        </w:rPr>
        <w:t>Decidir em sentido contrário implicaria o esvaziamento da própria finalidade do princípio da publicidade, que é permitir o controle da atuação do administrador público e do emprego de verbas públicas.</w:t>
      </w:r>
    </w:p>
    <w:p w:rsidR="008F0253" w:rsidRPr="00C8641B" w:rsidRDefault="008F0253" w:rsidP="00816942">
      <w:pPr>
        <w:spacing w:after="0"/>
        <w:jc w:val="both"/>
        <w:rPr>
          <w:rFonts w:ascii="Arial" w:hAnsi="Arial" w:cs="Arial"/>
          <w:b/>
          <w:color w:val="000000"/>
          <w:sz w:val="20"/>
          <w:szCs w:val="20"/>
        </w:rPr>
      </w:pPr>
    </w:p>
    <w:p w:rsidR="000800D1" w:rsidRPr="00C8641B" w:rsidRDefault="000800D1" w:rsidP="00816942">
      <w:pPr>
        <w:spacing w:after="0"/>
        <w:jc w:val="both"/>
        <w:rPr>
          <w:rFonts w:ascii="Arial" w:hAnsi="Arial" w:cs="Arial"/>
          <w:b/>
          <w:color w:val="000000"/>
          <w:sz w:val="20"/>
          <w:szCs w:val="20"/>
        </w:rPr>
      </w:pPr>
      <w:r w:rsidRPr="00C8641B">
        <w:rPr>
          <w:rFonts w:ascii="Arial" w:hAnsi="Arial" w:cs="Arial"/>
          <w:b/>
          <w:color w:val="000000"/>
          <w:sz w:val="20"/>
          <w:szCs w:val="20"/>
        </w:rPr>
        <w:t>Superior Tribunal de Justiça:</w:t>
      </w:r>
    </w:p>
    <w:p w:rsidR="00CC4E55" w:rsidRPr="00C8641B" w:rsidRDefault="00CC4E55" w:rsidP="006E12D5">
      <w:pPr>
        <w:spacing w:after="0"/>
        <w:jc w:val="both"/>
        <w:rPr>
          <w:rFonts w:ascii="Arial" w:hAnsi="Arial" w:cs="Arial"/>
          <w:b/>
          <w:color w:val="000000"/>
          <w:sz w:val="20"/>
          <w:szCs w:val="20"/>
        </w:rPr>
      </w:pPr>
    </w:p>
    <w:p w:rsidR="00A20F2F" w:rsidRPr="00C8641B" w:rsidRDefault="00D96D3C" w:rsidP="006E12D5">
      <w:pPr>
        <w:spacing w:after="0"/>
        <w:jc w:val="both"/>
        <w:rPr>
          <w:rFonts w:ascii="Arial" w:hAnsi="Arial" w:cs="Arial"/>
          <w:b/>
          <w:sz w:val="20"/>
          <w:szCs w:val="20"/>
        </w:rPr>
      </w:pPr>
      <w:hyperlink r:id="rId21" w:history="1">
        <w:r w:rsidR="00F75286" w:rsidRPr="00C8641B">
          <w:rPr>
            <w:rStyle w:val="Hyperlink"/>
            <w:rFonts w:ascii="Arial" w:hAnsi="Arial" w:cs="Arial"/>
            <w:b/>
            <w:sz w:val="20"/>
            <w:szCs w:val="20"/>
            <w:shd w:val="clear" w:color="auto" w:fill="FFFFFF"/>
          </w:rPr>
          <w:t>RMS 52.741-GO</w:t>
        </w:r>
      </w:hyperlink>
      <w:r w:rsidR="00F75286" w:rsidRPr="00C8641B">
        <w:rPr>
          <w:rStyle w:val="Forte"/>
          <w:rFonts w:ascii="Arial" w:hAnsi="Arial" w:cs="Arial"/>
          <w:b w:val="0"/>
          <w:sz w:val="20"/>
          <w:szCs w:val="20"/>
          <w:shd w:val="clear" w:color="auto" w:fill="FFFFFF"/>
        </w:rPr>
        <w:t xml:space="preserve">, Rel. Min. Herman Benjamin, por unanimidade, julgado em 8/8/2017, </w:t>
      </w:r>
      <w:proofErr w:type="spellStart"/>
      <w:r w:rsidR="00F75286" w:rsidRPr="00C8641B">
        <w:rPr>
          <w:rStyle w:val="Forte"/>
          <w:rFonts w:ascii="Arial" w:hAnsi="Arial" w:cs="Arial"/>
          <w:b w:val="0"/>
          <w:sz w:val="20"/>
          <w:szCs w:val="20"/>
          <w:shd w:val="clear" w:color="auto" w:fill="FFFFFF"/>
        </w:rPr>
        <w:t>DJe</w:t>
      </w:r>
      <w:proofErr w:type="spellEnd"/>
      <w:r w:rsidR="00F75286" w:rsidRPr="00C8641B">
        <w:rPr>
          <w:rStyle w:val="Forte"/>
          <w:rFonts w:ascii="Arial" w:hAnsi="Arial" w:cs="Arial"/>
          <w:b w:val="0"/>
          <w:sz w:val="20"/>
          <w:szCs w:val="20"/>
          <w:shd w:val="clear" w:color="auto" w:fill="FFFFFF"/>
        </w:rPr>
        <w:t xml:space="preserve"> 12/9/2017.</w:t>
      </w:r>
    </w:p>
    <w:p w:rsidR="00A20F2F" w:rsidRPr="00C8641B" w:rsidRDefault="008F0253" w:rsidP="006E12D5">
      <w:pPr>
        <w:spacing w:after="0"/>
        <w:jc w:val="both"/>
        <w:rPr>
          <w:rFonts w:ascii="Arial" w:hAnsi="Arial" w:cs="Arial"/>
          <w:b/>
          <w:sz w:val="20"/>
          <w:szCs w:val="20"/>
        </w:rPr>
      </w:pPr>
      <w:r w:rsidRPr="00C8641B">
        <w:rPr>
          <w:rFonts w:ascii="Arial" w:hAnsi="Arial" w:cs="Arial"/>
          <w:b/>
          <w:sz w:val="20"/>
          <w:szCs w:val="20"/>
          <w:shd w:val="clear" w:color="auto" w:fill="FFFFFF"/>
        </w:rPr>
        <w:t>Mandado de Segurança. Legitimidade do Ministério Público de Contas. Impetração contra acórdão do Tribunal de Contas Estadual que determinou a extinção e arquivamento de representação.</w:t>
      </w:r>
    </w:p>
    <w:p w:rsidR="00A20F2F" w:rsidRPr="00C8641B" w:rsidRDefault="00A20F2F" w:rsidP="006E12D5">
      <w:pPr>
        <w:spacing w:after="0"/>
        <w:jc w:val="both"/>
        <w:rPr>
          <w:rFonts w:ascii="Arial" w:hAnsi="Arial" w:cs="Arial"/>
          <w:b/>
          <w:color w:val="000000"/>
          <w:sz w:val="20"/>
          <w:szCs w:val="20"/>
        </w:rPr>
      </w:pPr>
    </w:p>
    <w:p w:rsidR="008F0253" w:rsidRPr="00C8641B" w:rsidRDefault="008F0253" w:rsidP="006E12D5">
      <w:pPr>
        <w:spacing w:after="0"/>
        <w:jc w:val="both"/>
        <w:rPr>
          <w:rFonts w:ascii="Arial" w:hAnsi="Arial" w:cs="Arial"/>
          <w:sz w:val="20"/>
          <w:szCs w:val="20"/>
        </w:rPr>
      </w:pPr>
      <w:r w:rsidRPr="00C8641B">
        <w:rPr>
          <w:rFonts w:ascii="Arial" w:hAnsi="Arial" w:cs="Arial"/>
          <w:sz w:val="20"/>
          <w:szCs w:val="20"/>
          <w:shd w:val="clear" w:color="auto" w:fill="FFFFFF"/>
        </w:rPr>
        <w:t>O membro do Ministério Público que atua perante o Tribunal de Contas possui legitimidade e capacidade postulatória para impetrar mandado de segurança, em defesa de suas prerrogativas institucionais, contra acórdão prolatado pela respectiva Corte de Contas.</w:t>
      </w:r>
    </w:p>
    <w:p w:rsidR="008F0253" w:rsidRPr="00C8641B" w:rsidRDefault="008F0253" w:rsidP="006E12D5">
      <w:pPr>
        <w:spacing w:after="0"/>
        <w:jc w:val="both"/>
        <w:rPr>
          <w:rFonts w:ascii="Arial" w:hAnsi="Arial" w:cs="Arial"/>
          <w:b/>
          <w:color w:val="000000"/>
          <w:sz w:val="20"/>
          <w:szCs w:val="20"/>
        </w:rPr>
      </w:pPr>
    </w:p>
    <w:p w:rsidR="000800D1" w:rsidRPr="00C8641B" w:rsidRDefault="000800D1" w:rsidP="006E12D5">
      <w:pPr>
        <w:spacing w:after="0"/>
        <w:jc w:val="both"/>
        <w:rPr>
          <w:rFonts w:ascii="Arial" w:hAnsi="Arial" w:cs="Arial"/>
          <w:b/>
          <w:color w:val="000000"/>
          <w:sz w:val="20"/>
          <w:szCs w:val="20"/>
        </w:rPr>
      </w:pPr>
      <w:r w:rsidRPr="00C8641B">
        <w:rPr>
          <w:rFonts w:ascii="Arial" w:hAnsi="Arial" w:cs="Arial"/>
          <w:b/>
          <w:color w:val="000000"/>
          <w:sz w:val="20"/>
          <w:szCs w:val="20"/>
        </w:rPr>
        <w:t>Tribunal de Contas da União:</w:t>
      </w:r>
    </w:p>
    <w:p w:rsidR="001C5B0C" w:rsidRDefault="001C5B0C" w:rsidP="001C5B0C">
      <w:pPr>
        <w:widowControl w:val="0"/>
        <w:autoSpaceDE w:val="0"/>
        <w:autoSpaceDN w:val="0"/>
        <w:spacing w:after="0"/>
        <w:jc w:val="both"/>
      </w:pPr>
    </w:p>
    <w:p w:rsidR="0039625A" w:rsidRPr="00C8641B" w:rsidRDefault="00D96D3C" w:rsidP="00836A79">
      <w:pPr>
        <w:widowControl w:val="0"/>
        <w:autoSpaceDE w:val="0"/>
        <w:autoSpaceDN w:val="0"/>
        <w:jc w:val="both"/>
        <w:rPr>
          <w:rFonts w:ascii="Arial" w:hAnsi="Arial" w:cs="Arial"/>
          <w:b/>
          <w:sz w:val="20"/>
          <w:szCs w:val="20"/>
        </w:rPr>
      </w:pPr>
      <w:hyperlink r:id="rId22" w:history="1">
        <w:r w:rsidR="0039625A" w:rsidRPr="00C8641B">
          <w:rPr>
            <w:rStyle w:val="Hyperlink"/>
            <w:rFonts w:ascii="Arial" w:hAnsi="Arial" w:cs="Arial"/>
            <w:b/>
            <w:sz w:val="20"/>
            <w:szCs w:val="20"/>
          </w:rPr>
          <w:t>Acórdão 1702/2017</w:t>
        </w:r>
        <w:r w:rsidR="00836A79" w:rsidRPr="00C8641B">
          <w:rPr>
            <w:rStyle w:val="Hyperlink"/>
            <w:rFonts w:ascii="Arial" w:hAnsi="Arial" w:cs="Arial"/>
            <w:b/>
            <w:sz w:val="20"/>
            <w:szCs w:val="20"/>
          </w:rPr>
          <w:t xml:space="preserve"> -</w:t>
        </w:r>
        <w:r w:rsidR="0039625A" w:rsidRPr="00C8641B">
          <w:rPr>
            <w:rStyle w:val="Hyperlink"/>
            <w:rFonts w:ascii="Arial" w:hAnsi="Arial" w:cs="Arial"/>
            <w:b/>
            <w:sz w:val="20"/>
            <w:szCs w:val="20"/>
          </w:rPr>
          <w:t xml:space="preserve"> Plenário</w:t>
        </w:r>
      </w:hyperlink>
      <w:r w:rsidR="0039625A" w:rsidRPr="00C8641B">
        <w:rPr>
          <w:rFonts w:ascii="Arial" w:hAnsi="Arial" w:cs="Arial"/>
          <w:b/>
          <w:sz w:val="20"/>
          <w:szCs w:val="20"/>
        </w:rPr>
        <w:t xml:space="preserve"> </w:t>
      </w:r>
      <w:r w:rsidR="0039625A" w:rsidRPr="00C8641B">
        <w:rPr>
          <w:rFonts w:ascii="Arial" w:hAnsi="Arial" w:cs="Arial"/>
          <w:sz w:val="20"/>
          <w:szCs w:val="20"/>
        </w:rPr>
        <w:t>(Pedido de Reexame, Relator Ministro Walton Alencar Rodrigues)</w:t>
      </w:r>
    </w:p>
    <w:p w:rsidR="0039625A" w:rsidRPr="00C8641B" w:rsidRDefault="0039625A" w:rsidP="00836A79">
      <w:pPr>
        <w:jc w:val="both"/>
        <w:rPr>
          <w:rFonts w:ascii="Arial" w:hAnsi="Arial" w:cs="Arial"/>
          <w:b/>
          <w:sz w:val="20"/>
          <w:szCs w:val="20"/>
        </w:rPr>
      </w:pPr>
      <w:r w:rsidRPr="00C8641B">
        <w:rPr>
          <w:rFonts w:ascii="Arial" w:hAnsi="Arial" w:cs="Arial"/>
          <w:b/>
          <w:sz w:val="20"/>
          <w:szCs w:val="20"/>
        </w:rPr>
        <w:t>Licitação. Direito de preferência. Pequena empresa. Enquadramento. Receita bruta. Atividade econômica.</w:t>
      </w:r>
    </w:p>
    <w:p w:rsidR="0039625A" w:rsidRPr="00C8641B" w:rsidRDefault="0039625A" w:rsidP="00836A79">
      <w:pPr>
        <w:pStyle w:val="TCU-Epgrafe"/>
        <w:spacing w:after="200" w:line="276" w:lineRule="auto"/>
        <w:ind w:left="0"/>
        <w:rPr>
          <w:rFonts w:ascii="Arial" w:hAnsi="Arial" w:cs="Arial"/>
          <w:sz w:val="20"/>
        </w:rPr>
      </w:pPr>
      <w:r w:rsidRPr="00C8641B">
        <w:rPr>
          <w:rFonts w:ascii="Arial" w:hAnsi="Arial" w:cs="Arial"/>
          <w:sz w:val="20"/>
        </w:rPr>
        <w:t xml:space="preserve">Para efeito de enquadramento na definição de microempresa ou empresa de pequeno porte a que alude a </w:t>
      </w:r>
      <w:hyperlink r:id="rId23" w:history="1">
        <w:r w:rsidRPr="00C8641B">
          <w:rPr>
            <w:rStyle w:val="Hyperlink"/>
            <w:rFonts w:ascii="Arial" w:hAnsi="Arial" w:cs="Arial"/>
            <w:color w:val="0000FF" w:themeColor="hyperlink"/>
            <w:sz w:val="20"/>
          </w:rPr>
          <w:t>LC 123/2006</w:t>
        </w:r>
      </w:hyperlink>
      <w:r w:rsidRPr="00C8641B">
        <w:rPr>
          <w:rFonts w:ascii="Arial" w:hAnsi="Arial" w:cs="Arial"/>
          <w:sz w:val="20"/>
        </w:rPr>
        <w:t>, a receita bruta a ser considerada é a referente à atividade efetivamente exercida como fato gerador dos tributos, não importando para tanto a natureza jurídica da empresa ou a descrição de suas atividades no cadastro de pessoas jurídicas.</w:t>
      </w:r>
    </w:p>
    <w:p w:rsidR="00AA2AC5" w:rsidRPr="00C8641B" w:rsidRDefault="00D96D3C" w:rsidP="00836A79">
      <w:pPr>
        <w:widowControl w:val="0"/>
        <w:autoSpaceDE w:val="0"/>
        <w:autoSpaceDN w:val="0"/>
        <w:jc w:val="both"/>
        <w:rPr>
          <w:rFonts w:ascii="Arial" w:hAnsi="Arial" w:cs="Arial"/>
          <w:b/>
          <w:sz w:val="20"/>
          <w:szCs w:val="20"/>
        </w:rPr>
      </w:pPr>
      <w:hyperlink r:id="rId24" w:history="1">
        <w:r w:rsidR="00AA2AC5" w:rsidRPr="00C8641B">
          <w:rPr>
            <w:rStyle w:val="Hyperlink"/>
            <w:rFonts w:ascii="Arial" w:hAnsi="Arial" w:cs="Arial"/>
            <w:b/>
            <w:sz w:val="20"/>
            <w:szCs w:val="20"/>
          </w:rPr>
          <w:t>Acórdão 1712/2017</w:t>
        </w:r>
        <w:r w:rsidR="00836A79" w:rsidRPr="00C8641B">
          <w:rPr>
            <w:rStyle w:val="Hyperlink"/>
            <w:rFonts w:ascii="Arial" w:hAnsi="Arial" w:cs="Arial"/>
            <w:b/>
            <w:sz w:val="20"/>
            <w:szCs w:val="20"/>
          </w:rPr>
          <w:t xml:space="preserve"> - </w:t>
        </w:r>
        <w:r w:rsidR="00AA2AC5" w:rsidRPr="00C8641B">
          <w:rPr>
            <w:rStyle w:val="Hyperlink"/>
            <w:rFonts w:ascii="Arial" w:hAnsi="Arial" w:cs="Arial"/>
            <w:b/>
            <w:sz w:val="20"/>
            <w:szCs w:val="20"/>
          </w:rPr>
          <w:t>Plenário</w:t>
        </w:r>
      </w:hyperlink>
      <w:r w:rsidR="00AA2AC5" w:rsidRPr="00C8641B">
        <w:rPr>
          <w:rFonts w:ascii="Arial" w:hAnsi="Arial" w:cs="Arial"/>
          <w:b/>
          <w:sz w:val="20"/>
          <w:szCs w:val="20"/>
        </w:rPr>
        <w:t xml:space="preserve"> </w:t>
      </w:r>
      <w:r w:rsidR="00AA2AC5" w:rsidRPr="00C8641B">
        <w:rPr>
          <w:rFonts w:ascii="Arial" w:hAnsi="Arial" w:cs="Arial"/>
          <w:sz w:val="20"/>
          <w:szCs w:val="20"/>
        </w:rPr>
        <w:t>(Acompanhamento, Relator Ministro Vital do Rêgo)</w:t>
      </w:r>
    </w:p>
    <w:p w:rsidR="00AA2AC5" w:rsidRPr="00C8641B" w:rsidRDefault="00AA2AC5" w:rsidP="00836A79">
      <w:pPr>
        <w:jc w:val="both"/>
        <w:rPr>
          <w:rFonts w:ascii="Arial" w:hAnsi="Arial" w:cs="Arial"/>
          <w:b/>
          <w:sz w:val="20"/>
          <w:szCs w:val="20"/>
        </w:rPr>
      </w:pPr>
      <w:r w:rsidRPr="00C8641B">
        <w:rPr>
          <w:rFonts w:ascii="Arial" w:hAnsi="Arial" w:cs="Arial"/>
          <w:b/>
          <w:sz w:val="20"/>
          <w:szCs w:val="20"/>
        </w:rPr>
        <w:t>Finanças Públicas. Orçamento da União. Classificação orçamentária. Contingenciamento.</w:t>
      </w:r>
    </w:p>
    <w:p w:rsidR="00AA2AC5" w:rsidRPr="00C8641B" w:rsidRDefault="00AA2AC5" w:rsidP="00836A79">
      <w:pPr>
        <w:jc w:val="both"/>
        <w:rPr>
          <w:rFonts w:ascii="Arial" w:hAnsi="Arial" w:cs="Arial"/>
          <w:sz w:val="20"/>
          <w:szCs w:val="20"/>
        </w:rPr>
      </w:pPr>
      <w:r w:rsidRPr="00C8641B">
        <w:rPr>
          <w:rFonts w:ascii="Arial" w:hAnsi="Arial" w:cs="Arial"/>
          <w:sz w:val="20"/>
          <w:szCs w:val="20"/>
        </w:rPr>
        <w:t>Para fins orçamentários, não são despesas obrigatórias as relacionadas a locação de imóveis, serviços terceirizados, serviços de água, esgoto, energia elétrica e telecomunicações, estando, portanto, sujeitas a contingenciamento. Tais despesas administrativas são de caráter tipicamente discricionário, na medida em que permitem ao gestor público flexibilidade quanto ao estabelecimento de seu montante e à oportunidade de sua execução.</w:t>
      </w:r>
    </w:p>
    <w:p w:rsidR="00A43DEB" w:rsidRPr="00C8641B" w:rsidRDefault="00D96D3C" w:rsidP="00836A79">
      <w:pPr>
        <w:widowControl w:val="0"/>
        <w:autoSpaceDE w:val="0"/>
        <w:autoSpaceDN w:val="0"/>
        <w:jc w:val="both"/>
        <w:rPr>
          <w:rFonts w:ascii="Arial" w:hAnsi="Arial" w:cs="Arial"/>
          <w:b/>
          <w:sz w:val="20"/>
          <w:szCs w:val="20"/>
        </w:rPr>
      </w:pPr>
      <w:hyperlink r:id="rId25" w:history="1">
        <w:r w:rsidR="00A43DEB" w:rsidRPr="00C8641B">
          <w:rPr>
            <w:rStyle w:val="Hyperlink"/>
            <w:rFonts w:ascii="Arial" w:hAnsi="Arial" w:cs="Arial"/>
            <w:b/>
            <w:sz w:val="20"/>
            <w:szCs w:val="20"/>
          </w:rPr>
          <w:t xml:space="preserve">Acórdão 7201/2017 </w:t>
        </w:r>
        <w:r w:rsidR="007D611F" w:rsidRPr="00C8641B">
          <w:rPr>
            <w:rStyle w:val="Hyperlink"/>
            <w:rFonts w:ascii="Arial" w:hAnsi="Arial" w:cs="Arial"/>
            <w:b/>
            <w:sz w:val="20"/>
            <w:szCs w:val="20"/>
          </w:rPr>
          <w:t xml:space="preserve">- </w:t>
        </w:r>
        <w:r w:rsidR="00A43DEB" w:rsidRPr="00C8641B">
          <w:rPr>
            <w:rStyle w:val="Hyperlink"/>
            <w:rFonts w:ascii="Arial" w:hAnsi="Arial" w:cs="Arial"/>
            <w:b/>
            <w:sz w:val="20"/>
            <w:szCs w:val="20"/>
          </w:rPr>
          <w:t>Segunda Câmara</w:t>
        </w:r>
      </w:hyperlink>
      <w:r w:rsidR="00A43DEB" w:rsidRPr="00C8641B">
        <w:rPr>
          <w:rFonts w:ascii="Arial" w:hAnsi="Arial" w:cs="Arial"/>
          <w:b/>
          <w:sz w:val="20"/>
          <w:szCs w:val="20"/>
        </w:rPr>
        <w:t xml:space="preserve"> </w:t>
      </w:r>
      <w:r w:rsidR="00A43DEB" w:rsidRPr="00C8641B">
        <w:rPr>
          <w:rFonts w:ascii="Arial" w:hAnsi="Arial" w:cs="Arial"/>
          <w:sz w:val="20"/>
          <w:szCs w:val="20"/>
        </w:rPr>
        <w:t>(Pensão Civil, Relator Ministro Aroldo Cedraz)</w:t>
      </w:r>
    </w:p>
    <w:p w:rsidR="00A43DEB" w:rsidRPr="00C8641B" w:rsidRDefault="00A43DEB" w:rsidP="00836A79">
      <w:pPr>
        <w:jc w:val="both"/>
        <w:rPr>
          <w:rFonts w:ascii="Arial" w:hAnsi="Arial" w:cs="Arial"/>
          <w:b/>
          <w:sz w:val="20"/>
          <w:szCs w:val="20"/>
        </w:rPr>
      </w:pPr>
      <w:r w:rsidRPr="00C8641B">
        <w:rPr>
          <w:rFonts w:ascii="Arial" w:hAnsi="Arial" w:cs="Arial"/>
          <w:b/>
          <w:sz w:val="20"/>
          <w:szCs w:val="20"/>
        </w:rPr>
        <w:lastRenderedPageBreak/>
        <w:t>Pessoal. Pensão civil. Invalidez. Filho. Transitoriedade. Perícia médica.</w:t>
      </w:r>
    </w:p>
    <w:p w:rsidR="00A43DEB" w:rsidRPr="00C8641B" w:rsidRDefault="00A43DEB" w:rsidP="00836A79">
      <w:pPr>
        <w:pStyle w:val="TCU-Epgrafe"/>
        <w:spacing w:after="200" w:line="276" w:lineRule="auto"/>
        <w:ind w:left="0"/>
        <w:rPr>
          <w:rFonts w:ascii="Arial" w:hAnsi="Arial" w:cs="Arial"/>
          <w:sz w:val="20"/>
        </w:rPr>
      </w:pPr>
      <w:r w:rsidRPr="00C8641B">
        <w:rPr>
          <w:rFonts w:ascii="Arial" w:hAnsi="Arial" w:cs="Arial"/>
          <w:sz w:val="20"/>
        </w:rPr>
        <w:t xml:space="preserve">A pensão civil concedida a filho maior inválido tem caráter temporário, sujeita a verificação periódica dos critérios de atendimento das condições de concessão. </w:t>
      </w:r>
    </w:p>
    <w:p w:rsidR="001D7E4B" w:rsidRPr="00C8641B" w:rsidRDefault="00D96D3C" w:rsidP="00836A79">
      <w:pPr>
        <w:widowControl w:val="0"/>
        <w:autoSpaceDE w:val="0"/>
        <w:autoSpaceDN w:val="0"/>
        <w:jc w:val="both"/>
        <w:rPr>
          <w:rFonts w:ascii="Arial" w:hAnsi="Arial" w:cs="Arial"/>
          <w:b/>
          <w:sz w:val="20"/>
          <w:szCs w:val="20"/>
        </w:rPr>
      </w:pPr>
      <w:hyperlink r:id="rId26" w:history="1">
        <w:r w:rsidR="001D7E4B" w:rsidRPr="00C8641B">
          <w:rPr>
            <w:rStyle w:val="Hyperlink"/>
            <w:rFonts w:ascii="Arial" w:hAnsi="Arial" w:cs="Arial"/>
            <w:b/>
            <w:sz w:val="20"/>
            <w:szCs w:val="20"/>
          </w:rPr>
          <w:t>Acórdão 1776/2017</w:t>
        </w:r>
        <w:r w:rsidR="0003335A" w:rsidRPr="00C8641B">
          <w:rPr>
            <w:rStyle w:val="Hyperlink"/>
            <w:rFonts w:ascii="Arial" w:hAnsi="Arial" w:cs="Arial"/>
            <w:b/>
            <w:sz w:val="20"/>
            <w:szCs w:val="20"/>
          </w:rPr>
          <w:t xml:space="preserve"> -</w:t>
        </w:r>
        <w:r w:rsidR="001D7E4B" w:rsidRPr="00C8641B">
          <w:rPr>
            <w:rStyle w:val="Hyperlink"/>
            <w:rFonts w:ascii="Arial" w:hAnsi="Arial" w:cs="Arial"/>
            <w:b/>
            <w:sz w:val="20"/>
            <w:szCs w:val="20"/>
          </w:rPr>
          <w:t xml:space="preserve"> Plenário</w:t>
        </w:r>
      </w:hyperlink>
      <w:r w:rsidR="001D7E4B" w:rsidRPr="00C8641B">
        <w:rPr>
          <w:rFonts w:ascii="Arial" w:hAnsi="Arial" w:cs="Arial"/>
          <w:b/>
          <w:sz w:val="20"/>
          <w:szCs w:val="20"/>
        </w:rPr>
        <w:t xml:space="preserve"> </w:t>
      </w:r>
      <w:r w:rsidR="001D7E4B" w:rsidRPr="00C8641B">
        <w:rPr>
          <w:rFonts w:ascii="Arial" w:hAnsi="Arial" w:cs="Arial"/>
          <w:sz w:val="20"/>
          <w:szCs w:val="20"/>
        </w:rPr>
        <w:t xml:space="preserve">(Pedido de Reexame, Relator Ministro Benjamin </w:t>
      </w:r>
      <w:proofErr w:type="spellStart"/>
      <w:r w:rsidR="001D7E4B" w:rsidRPr="00C8641B">
        <w:rPr>
          <w:rFonts w:ascii="Arial" w:hAnsi="Arial" w:cs="Arial"/>
          <w:sz w:val="20"/>
          <w:szCs w:val="20"/>
        </w:rPr>
        <w:t>Zymler</w:t>
      </w:r>
      <w:proofErr w:type="spellEnd"/>
      <w:r w:rsidR="001D7E4B" w:rsidRPr="00C8641B">
        <w:rPr>
          <w:rFonts w:ascii="Arial" w:hAnsi="Arial" w:cs="Arial"/>
          <w:sz w:val="20"/>
          <w:szCs w:val="20"/>
        </w:rPr>
        <w:t>)</w:t>
      </w:r>
    </w:p>
    <w:p w:rsidR="001D7E4B" w:rsidRPr="00C8641B" w:rsidRDefault="001D7E4B" w:rsidP="00836A79">
      <w:pPr>
        <w:jc w:val="both"/>
        <w:rPr>
          <w:rFonts w:ascii="Arial" w:hAnsi="Arial" w:cs="Arial"/>
          <w:b/>
          <w:sz w:val="20"/>
          <w:szCs w:val="20"/>
        </w:rPr>
      </w:pPr>
      <w:r w:rsidRPr="00C8641B">
        <w:rPr>
          <w:rFonts w:ascii="Arial" w:hAnsi="Arial" w:cs="Arial"/>
          <w:b/>
          <w:sz w:val="20"/>
          <w:szCs w:val="20"/>
        </w:rPr>
        <w:t>Direito Processual. Parte processual. Representante. Habilitação de interessado. Lesão a direito. Licitação. Interesse recursal.</w:t>
      </w:r>
    </w:p>
    <w:p w:rsidR="001D7E4B" w:rsidRPr="00C8641B" w:rsidRDefault="001D7E4B" w:rsidP="00836A79">
      <w:pPr>
        <w:pStyle w:val="TCU-Epgrafe"/>
        <w:spacing w:after="200" w:line="276" w:lineRule="auto"/>
        <w:ind w:left="0"/>
        <w:rPr>
          <w:rFonts w:ascii="Arial" w:hAnsi="Arial" w:cs="Arial"/>
          <w:sz w:val="20"/>
        </w:rPr>
      </w:pPr>
      <w:r w:rsidRPr="00C8641B">
        <w:rPr>
          <w:rFonts w:ascii="Arial" w:hAnsi="Arial" w:cs="Arial"/>
          <w:sz w:val="20"/>
        </w:rPr>
        <w:t>Quando demonstrado por representante que seus interesses em processo licitatório foram afetados em decorrência de ilegalidades na licitação, os interesses particulares e públicos estão em consonância, o que justifica a admissão do representante como interessado nos autos e o reconhecimento de sua legitimidade recursal.</w:t>
      </w:r>
    </w:p>
    <w:p w:rsidR="00533E30" w:rsidRPr="00C8641B" w:rsidRDefault="00D96D3C" w:rsidP="00836A79">
      <w:pPr>
        <w:widowControl w:val="0"/>
        <w:autoSpaceDE w:val="0"/>
        <w:autoSpaceDN w:val="0"/>
        <w:jc w:val="both"/>
        <w:rPr>
          <w:rFonts w:ascii="Arial" w:hAnsi="Arial" w:cs="Arial"/>
          <w:b/>
          <w:sz w:val="20"/>
          <w:szCs w:val="20"/>
        </w:rPr>
      </w:pPr>
      <w:hyperlink r:id="rId27" w:history="1">
        <w:r w:rsidR="00533E30" w:rsidRPr="00C8641B">
          <w:rPr>
            <w:rStyle w:val="Hyperlink"/>
            <w:rFonts w:ascii="Arial" w:hAnsi="Arial" w:cs="Arial"/>
            <w:b/>
            <w:sz w:val="20"/>
            <w:szCs w:val="20"/>
          </w:rPr>
          <w:t>Acórdão 1839/2017</w:t>
        </w:r>
        <w:r w:rsidR="002D0BF4" w:rsidRPr="00C8641B">
          <w:rPr>
            <w:rStyle w:val="Hyperlink"/>
            <w:rFonts w:ascii="Arial" w:hAnsi="Arial" w:cs="Arial"/>
            <w:b/>
            <w:sz w:val="20"/>
            <w:szCs w:val="20"/>
          </w:rPr>
          <w:t xml:space="preserve"> - </w:t>
        </w:r>
        <w:r w:rsidR="00533E30" w:rsidRPr="00C8641B">
          <w:rPr>
            <w:rStyle w:val="Hyperlink"/>
            <w:rFonts w:ascii="Arial" w:hAnsi="Arial" w:cs="Arial"/>
            <w:b/>
            <w:sz w:val="20"/>
            <w:szCs w:val="20"/>
          </w:rPr>
          <w:t>Plenário</w:t>
        </w:r>
      </w:hyperlink>
      <w:r w:rsidR="00533E30" w:rsidRPr="00C8641B">
        <w:rPr>
          <w:rFonts w:ascii="Arial" w:hAnsi="Arial" w:cs="Arial"/>
          <w:b/>
          <w:sz w:val="20"/>
          <w:szCs w:val="20"/>
        </w:rPr>
        <w:t xml:space="preserve"> </w:t>
      </w:r>
      <w:r w:rsidR="00533E30" w:rsidRPr="00C8641B">
        <w:rPr>
          <w:rFonts w:ascii="Arial" w:hAnsi="Arial" w:cs="Arial"/>
          <w:sz w:val="20"/>
          <w:szCs w:val="20"/>
        </w:rPr>
        <w:t>(Recurso de Reconsideração, Relator Ministro Bruno Dantas)</w:t>
      </w:r>
    </w:p>
    <w:p w:rsidR="00533E30" w:rsidRPr="00C8641B" w:rsidRDefault="00533E30" w:rsidP="00836A79">
      <w:pPr>
        <w:jc w:val="both"/>
        <w:rPr>
          <w:rFonts w:ascii="Arial" w:hAnsi="Arial" w:cs="Arial"/>
          <w:b/>
          <w:sz w:val="20"/>
          <w:szCs w:val="20"/>
        </w:rPr>
      </w:pPr>
      <w:r w:rsidRPr="00C8641B">
        <w:rPr>
          <w:rFonts w:ascii="Arial" w:hAnsi="Arial" w:cs="Arial"/>
          <w:b/>
          <w:sz w:val="20"/>
          <w:szCs w:val="20"/>
        </w:rPr>
        <w:t>Responsabilidade. Débito. Desconsideração da personalidade jurídica. Sócio. Gestor.</w:t>
      </w:r>
    </w:p>
    <w:p w:rsidR="00533E30" w:rsidRPr="00C8641B" w:rsidRDefault="00533E30" w:rsidP="00836A79">
      <w:pPr>
        <w:pStyle w:val="TCU-Epgrafe"/>
        <w:spacing w:after="200" w:line="276" w:lineRule="auto"/>
        <w:ind w:left="0"/>
        <w:rPr>
          <w:rFonts w:ascii="Arial" w:hAnsi="Arial" w:cs="Arial"/>
          <w:sz w:val="20"/>
        </w:rPr>
      </w:pPr>
      <w:r w:rsidRPr="00C8641B">
        <w:rPr>
          <w:rFonts w:ascii="Arial" w:hAnsi="Arial" w:cs="Arial"/>
          <w:sz w:val="20"/>
        </w:rPr>
        <w:t>O instituto da desconsideração da personalidade jurídica é medida excepcional e somente pode incidir sobre os administradores e sócios, quando comprovada conduta ilícita, que tenham algum poder de decisão na empresa, não alcançando, em regra, os sócios cotistas, uma vez que não pode ser utilizado como mero instrumento para aumentar a possibilidade de se recompor os cofres públicos.</w:t>
      </w:r>
    </w:p>
    <w:p w:rsidR="00264F10" w:rsidRPr="00C8641B" w:rsidRDefault="00D96D3C" w:rsidP="00836A79">
      <w:pPr>
        <w:widowControl w:val="0"/>
        <w:autoSpaceDE w:val="0"/>
        <w:autoSpaceDN w:val="0"/>
        <w:jc w:val="both"/>
        <w:rPr>
          <w:rFonts w:ascii="Arial" w:hAnsi="Arial" w:cs="Arial"/>
          <w:b/>
          <w:sz w:val="20"/>
          <w:szCs w:val="20"/>
        </w:rPr>
      </w:pPr>
      <w:hyperlink r:id="rId28" w:history="1">
        <w:r w:rsidR="00264F10" w:rsidRPr="00C8641B">
          <w:rPr>
            <w:rStyle w:val="Hyperlink"/>
            <w:rFonts w:ascii="Arial" w:hAnsi="Arial" w:cs="Arial"/>
            <w:b/>
            <w:sz w:val="20"/>
            <w:szCs w:val="20"/>
          </w:rPr>
          <w:t>Acórdão 1826/2017</w:t>
        </w:r>
        <w:r w:rsidR="009F16EE" w:rsidRPr="00C8641B">
          <w:rPr>
            <w:rStyle w:val="Hyperlink"/>
            <w:rFonts w:ascii="Arial" w:hAnsi="Arial" w:cs="Arial"/>
            <w:b/>
            <w:sz w:val="20"/>
            <w:szCs w:val="20"/>
          </w:rPr>
          <w:t xml:space="preserve"> -</w:t>
        </w:r>
        <w:r w:rsidR="00264F10" w:rsidRPr="00C8641B">
          <w:rPr>
            <w:rStyle w:val="Hyperlink"/>
            <w:rFonts w:ascii="Arial" w:hAnsi="Arial" w:cs="Arial"/>
            <w:b/>
            <w:sz w:val="20"/>
            <w:szCs w:val="20"/>
          </w:rPr>
          <w:t xml:space="preserve"> Plenário</w:t>
        </w:r>
      </w:hyperlink>
      <w:r w:rsidR="00264F10" w:rsidRPr="00C8641B">
        <w:rPr>
          <w:rFonts w:ascii="Arial" w:hAnsi="Arial" w:cs="Arial"/>
          <w:b/>
          <w:sz w:val="20"/>
          <w:szCs w:val="20"/>
        </w:rPr>
        <w:t xml:space="preserve"> </w:t>
      </w:r>
      <w:r w:rsidR="00264F10" w:rsidRPr="00C8641B">
        <w:rPr>
          <w:rFonts w:ascii="Arial" w:hAnsi="Arial" w:cs="Arial"/>
          <w:sz w:val="20"/>
          <w:szCs w:val="20"/>
        </w:rPr>
        <w:t>(Representação, Relator Ministro Vital do Rêgo)</w:t>
      </w:r>
    </w:p>
    <w:p w:rsidR="00264F10" w:rsidRPr="00C8641B" w:rsidRDefault="00264F10" w:rsidP="00836A79">
      <w:pPr>
        <w:jc w:val="both"/>
        <w:rPr>
          <w:rFonts w:ascii="Arial" w:hAnsi="Arial" w:cs="Arial"/>
          <w:b/>
          <w:sz w:val="20"/>
          <w:szCs w:val="20"/>
        </w:rPr>
      </w:pPr>
      <w:r w:rsidRPr="00C8641B">
        <w:rPr>
          <w:rFonts w:ascii="Arial" w:hAnsi="Arial" w:cs="Arial"/>
          <w:b/>
          <w:sz w:val="20"/>
          <w:szCs w:val="20"/>
        </w:rPr>
        <w:t>Licitação. Edital de licitação. Pagamento. Antecipação. Justificativa.</w:t>
      </w:r>
    </w:p>
    <w:p w:rsidR="00264F10" w:rsidRPr="00C8641B" w:rsidRDefault="00264F10" w:rsidP="00836A79">
      <w:pPr>
        <w:pStyle w:val="TCU-Epgrafe"/>
        <w:spacing w:after="200" w:line="276" w:lineRule="auto"/>
        <w:ind w:left="0"/>
        <w:rPr>
          <w:rFonts w:ascii="Arial" w:hAnsi="Arial" w:cs="Arial"/>
          <w:sz w:val="20"/>
        </w:rPr>
      </w:pPr>
      <w:r w:rsidRPr="00C8641B">
        <w:rPr>
          <w:rFonts w:ascii="Arial" w:hAnsi="Arial" w:cs="Arial"/>
          <w:sz w:val="20"/>
        </w:rPr>
        <w:t xml:space="preserve">A inclusão de cláusula de antecipação de pagamento fundamentada no art. 40, inciso XIV, alínea d, da </w:t>
      </w:r>
      <w:hyperlink r:id="rId29" w:history="1">
        <w:r w:rsidRPr="00C8641B">
          <w:rPr>
            <w:rStyle w:val="Hyperlink"/>
            <w:rFonts w:ascii="Arial" w:hAnsi="Arial" w:cs="Arial"/>
            <w:color w:val="0000FF" w:themeColor="hyperlink"/>
            <w:sz w:val="20"/>
          </w:rPr>
          <w:t>Lei 8.666/1993</w:t>
        </w:r>
      </w:hyperlink>
      <w:r w:rsidRPr="00C8641B">
        <w:rPr>
          <w:rFonts w:ascii="Arial" w:hAnsi="Arial" w:cs="Arial"/>
          <w:sz w:val="20"/>
        </w:rPr>
        <w:t xml:space="preserve"> deve ser precedida de estudos que comprovem sua real necessidade e economicidade para a Administração Pública.</w:t>
      </w:r>
    </w:p>
    <w:p w:rsidR="00F729ED" w:rsidRPr="00C8641B" w:rsidRDefault="00F729ED" w:rsidP="00F729ED">
      <w:pPr>
        <w:pStyle w:val="Default"/>
        <w:spacing w:after="200" w:line="276" w:lineRule="auto"/>
        <w:jc w:val="both"/>
        <w:rPr>
          <w:b/>
          <w:sz w:val="20"/>
          <w:szCs w:val="20"/>
        </w:rPr>
      </w:pPr>
      <w:r w:rsidRPr="00C8641B">
        <w:rPr>
          <w:b/>
          <w:sz w:val="20"/>
          <w:szCs w:val="20"/>
        </w:rPr>
        <w:t xml:space="preserve">Acesse também: </w:t>
      </w:r>
    </w:p>
    <w:p w:rsidR="005B04C9" w:rsidRPr="00C8641B" w:rsidRDefault="00D96D3C" w:rsidP="005B04C9">
      <w:pPr>
        <w:pStyle w:val="Default"/>
        <w:spacing w:after="200" w:line="276" w:lineRule="auto"/>
        <w:jc w:val="center"/>
        <w:rPr>
          <w:rStyle w:val="Hyperlink"/>
          <w:b/>
          <w:sz w:val="20"/>
          <w:szCs w:val="20"/>
        </w:rPr>
      </w:pPr>
      <w:hyperlink r:id="rId30" w:anchor="1" w:history="1">
        <w:r w:rsidR="005B04C9" w:rsidRPr="00C8641B">
          <w:rPr>
            <w:rStyle w:val="Hyperlink"/>
            <w:b/>
            <w:sz w:val="20"/>
            <w:szCs w:val="20"/>
          </w:rPr>
          <w:t>Revista Digital do Tribunal de Contas do Estado do Paraná - Edição n° 17</w:t>
        </w:r>
      </w:hyperlink>
    </w:p>
    <w:p w:rsidR="005B04C9" w:rsidRPr="00C8641B" w:rsidRDefault="00D96D3C" w:rsidP="005B04C9">
      <w:pPr>
        <w:pStyle w:val="Default"/>
        <w:spacing w:after="200" w:line="276" w:lineRule="auto"/>
        <w:jc w:val="center"/>
        <w:rPr>
          <w:sz w:val="20"/>
          <w:szCs w:val="20"/>
        </w:rPr>
      </w:pPr>
      <w:hyperlink r:id="rId31" w:history="1">
        <w:r w:rsidR="005B04C9" w:rsidRPr="00C8641B">
          <w:rPr>
            <w:rStyle w:val="Hyperlink"/>
            <w:b/>
            <w:sz w:val="20"/>
            <w:szCs w:val="20"/>
          </w:rPr>
          <w:t>Repercussão Geral do Supremo Tribunal Federal - STF e os Tribunais de Contas</w:t>
        </w:r>
      </w:hyperlink>
    </w:p>
    <w:bookmarkStart w:id="0" w:name="_GoBack"/>
    <w:bookmarkEnd w:id="0"/>
    <w:p w:rsidR="004B6EA7" w:rsidRDefault="004B6EA7" w:rsidP="00E67D3C">
      <w:pPr>
        <w:pStyle w:val="TCU-Epgrafe"/>
        <w:spacing w:after="200"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4B6EA7">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p>
    <w:sectPr w:rsidR="00E01524" w:rsidRPr="0022060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A7114E">
      <w:rPr>
        <w:noProof/>
        <w:sz w:val="16"/>
        <w:szCs w:val="16"/>
      </w:rPr>
      <w:t>9</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335A"/>
    <w:rsid w:val="00033E69"/>
    <w:rsid w:val="00040EBA"/>
    <w:rsid w:val="00042502"/>
    <w:rsid w:val="00042DF3"/>
    <w:rsid w:val="000433EC"/>
    <w:rsid w:val="000439FD"/>
    <w:rsid w:val="00045700"/>
    <w:rsid w:val="00046191"/>
    <w:rsid w:val="00046E21"/>
    <w:rsid w:val="00047EF1"/>
    <w:rsid w:val="00050E1C"/>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7B9C"/>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B6511"/>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B86"/>
    <w:rsid w:val="00111C26"/>
    <w:rsid w:val="00112B60"/>
    <w:rsid w:val="00113EF1"/>
    <w:rsid w:val="00114B62"/>
    <w:rsid w:val="001159C9"/>
    <w:rsid w:val="0011728E"/>
    <w:rsid w:val="00120862"/>
    <w:rsid w:val="0012211A"/>
    <w:rsid w:val="00122E13"/>
    <w:rsid w:val="00123D02"/>
    <w:rsid w:val="00124A0F"/>
    <w:rsid w:val="00126447"/>
    <w:rsid w:val="00127DF2"/>
    <w:rsid w:val="00130717"/>
    <w:rsid w:val="0013298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C5B0C"/>
    <w:rsid w:val="001D0693"/>
    <w:rsid w:val="001D0DD1"/>
    <w:rsid w:val="001D4D9A"/>
    <w:rsid w:val="001D51BD"/>
    <w:rsid w:val="001D6665"/>
    <w:rsid w:val="001D684B"/>
    <w:rsid w:val="001D6ADC"/>
    <w:rsid w:val="001D7E4B"/>
    <w:rsid w:val="001E1817"/>
    <w:rsid w:val="001E2E5A"/>
    <w:rsid w:val="001E5F2E"/>
    <w:rsid w:val="001E6CAA"/>
    <w:rsid w:val="001E73FF"/>
    <w:rsid w:val="001F7A25"/>
    <w:rsid w:val="002013D1"/>
    <w:rsid w:val="0020195B"/>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4034"/>
    <w:rsid w:val="00255360"/>
    <w:rsid w:val="00256A12"/>
    <w:rsid w:val="00256CEA"/>
    <w:rsid w:val="002571B4"/>
    <w:rsid w:val="00260758"/>
    <w:rsid w:val="00260D58"/>
    <w:rsid w:val="0026477F"/>
    <w:rsid w:val="00264F10"/>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B070A"/>
    <w:rsid w:val="002B0F20"/>
    <w:rsid w:val="002B14B7"/>
    <w:rsid w:val="002B297F"/>
    <w:rsid w:val="002B38A8"/>
    <w:rsid w:val="002B6BA0"/>
    <w:rsid w:val="002C05FF"/>
    <w:rsid w:val="002C19EA"/>
    <w:rsid w:val="002C480F"/>
    <w:rsid w:val="002C56C9"/>
    <w:rsid w:val="002C7487"/>
    <w:rsid w:val="002D0BF4"/>
    <w:rsid w:val="002D1923"/>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9A9"/>
    <w:rsid w:val="00327DF9"/>
    <w:rsid w:val="00331533"/>
    <w:rsid w:val="00333875"/>
    <w:rsid w:val="0033604C"/>
    <w:rsid w:val="003407F0"/>
    <w:rsid w:val="00343C28"/>
    <w:rsid w:val="00344A3D"/>
    <w:rsid w:val="00344A41"/>
    <w:rsid w:val="0034575E"/>
    <w:rsid w:val="00345C65"/>
    <w:rsid w:val="00350CC2"/>
    <w:rsid w:val="00351206"/>
    <w:rsid w:val="0035203F"/>
    <w:rsid w:val="0035209C"/>
    <w:rsid w:val="00352A72"/>
    <w:rsid w:val="0035371B"/>
    <w:rsid w:val="00353FEB"/>
    <w:rsid w:val="003547F8"/>
    <w:rsid w:val="00356987"/>
    <w:rsid w:val="00356FB0"/>
    <w:rsid w:val="00361DA5"/>
    <w:rsid w:val="00361F1D"/>
    <w:rsid w:val="00364392"/>
    <w:rsid w:val="00365E61"/>
    <w:rsid w:val="00365EFF"/>
    <w:rsid w:val="00365F51"/>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502C"/>
    <w:rsid w:val="003C16A8"/>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1EE0"/>
    <w:rsid w:val="004043AD"/>
    <w:rsid w:val="00405A6A"/>
    <w:rsid w:val="00406D2C"/>
    <w:rsid w:val="0041120A"/>
    <w:rsid w:val="0041337A"/>
    <w:rsid w:val="00414A47"/>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064"/>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55D"/>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491"/>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04C9"/>
    <w:rsid w:val="005B3FD2"/>
    <w:rsid w:val="005B4F6C"/>
    <w:rsid w:val="005B7055"/>
    <w:rsid w:val="005C4763"/>
    <w:rsid w:val="005C4DB7"/>
    <w:rsid w:val="005C5DC8"/>
    <w:rsid w:val="005C62E6"/>
    <w:rsid w:val="005C661E"/>
    <w:rsid w:val="005D1E9E"/>
    <w:rsid w:val="005D48C8"/>
    <w:rsid w:val="005D58CE"/>
    <w:rsid w:val="005D6DB4"/>
    <w:rsid w:val="005E2760"/>
    <w:rsid w:val="005E2D13"/>
    <w:rsid w:val="005E350B"/>
    <w:rsid w:val="005E4648"/>
    <w:rsid w:val="005E606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3247"/>
    <w:rsid w:val="0069336E"/>
    <w:rsid w:val="00694174"/>
    <w:rsid w:val="006A27BC"/>
    <w:rsid w:val="006A27D6"/>
    <w:rsid w:val="006A3A42"/>
    <w:rsid w:val="006A41B4"/>
    <w:rsid w:val="006A5FD7"/>
    <w:rsid w:val="006A62BA"/>
    <w:rsid w:val="006B143E"/>
    <w:rsid w:val="006B30E3"/>
    <w:rsid w:val="006B5E72"/>
    <w:rsid w:val="006B6205"/>
    <w:rsid w:val="006C058F"/>
    <w:rsid w:val="006C3252"/>
    <w:rsid w:val="006C7A04"/>
    <w:rsid w:val="006D1B83"/>
    <w:rsid w:val="006D1BE7"/>
    <w:rsid w:val="006D5C98"/>
    <w:rsid w:val="006D6FCC"/>
    <w:rsid w:val="006E0A9F"/>
    <w:rsid w:val="006E12D5"/>
    <w:rsid w:val="006E26E8"/>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5688A"/>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2162"/>
    <w:rsid w:val="007D5A53"/>
    <w:rsid w:val="007D611F"/>
    <w:rsid w:val="007D62D9"/>
    <w:rsid w:val="007D73C9"/>
    <w:rsid w:val="007E1FB4"/>
    <w:rsid w:val="007E28C1"/>
    <w:rsid w:val="007F0840"/>
    <w:rsid w:val="007F2086"/>
    <w:rsid w:val="00800773"/>
    <w:rsid w:val="00801004"/>
    <w:rsid w:val="0080111C"/>
    <w:rsid w:val="008058BC"/>
    <w:rsid w:val="00806D7C"/>
    <w:rsid w:val="00807854"/>
    <w:rsid w:val="00811012"/>
    <w:rsid w:val="00811A90"/>
    <w:rsid w:val="00813846"/>
    <w:rsid w:val="00814325"/>
    <w:rsid w:val="00814CAE"/>
    <w:rsid w:val="00815C4F"/>
    <w:rsid w:val="008161C2"/>
    <w:rsid w:val="00816942"/>
    <w:rsid w:val="0081738B"/>
    <w:rsid w:val="0082026A"/>
    <w:rsid w:val="008219BA"/>
    <w:rsid w:val="00824136"/>
    <w:rsid w:val="00825836"/>
    <w:rsid w:val="00826075"/>
    <w:rsid w:val="008267CA"/>
    <w:rsid w:val="00826A19"/>
    <w:rsid w:val="008312D4"/>
    <w:rsid w:val="008317C8"/>
    <w:rsid w:val="00831915"/>
    <w:rsid w:val="0083305B"/>
    <w:rsid w:val="00834578"/>
    <w:rsid w:val="0083648B"/>
    <w:rsid w:val="00836500"/>
    <w:rsid w:val="00836A79"/>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3257"/>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0253"/>
    <w:rsid w:val="008F1622"/>
    <w:rsid w:val="008F2E20"/>
    <w:rsid w:val="00900BC5"/>
    <w:rsid w:val="00901036"/>
    <w:rsid w:val="00904136"/>
    <w:rsid w:val="00904309"/>
    <w:rsid w:val="0090479F"/>
    <w:rsid w:val="00904BFC"/>
    <w:rsid w:val="00906692"/>
    <w:rsid w:val="00906853"/>
    <w:rsid w:val="00906CF8"/>
    <w:rsid w:val="009073CB"/>
    <w:rsid w:val="0090752A"/>
    <w:rsid w:val="00907834"/>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55BDA"/>
    <w:rsid w:val="00965F52"/>
    <w:rsid w:val="0096737A"/>
    <w:rsid w:val="0097392A"/>
    <w:rsid w:val="009749C0"/>
    <w:rsid w:val="00977C0A"/>
    <w:rsid w:val="00982FF8"/>
    <w:rsid w:val="0098512F"/>
    <w:rsid w:val="0098550A"/>
    <w:rsid w:val="00985728"/>
    <w:rsid w:val="009857DD"/>
    <w:rsid w:val="009859AB"/>
    <w:rsid w:val="00987A4E"/>
    <w:rsid w:val="009907A9"/>
    <w:rsid w:val="00993DE4"/>
    <w:rsid w:val="00993F38"/>
    <w:rsid w:val="00994A4B"/>
    <w:rsid w:val="009A043C"/>
    <w:rsid w:val="009A12ED"/>
    <w:rsid w:val="009A1B1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1362"/>
    <w:rsid w:val="009E1848"/>
    <w:rsid w:val="009E1BC1"/>
    <w:rsid w:val="009E1F6B"/>
    <w:rsid w:val="009E25D0"/>
    <w:rsid w:val="009E3E77"/>
    <w:rsid w:val="009E4DF2"/>
    <w:rsid w:val="009E6D60"/>
    <w:rsid w:val="009F16EE"/>
    <w:rsid w:val="009F27D1"/>
    <w:rsid w:val="009F3962"/>
    <w:rsid w:val="009F6ED7"/>
    <w:rsid w:val="009F7401"/>
    <w:rsid w:val="009F78F2"/>
    <w:rsid w:val="00A01C9B"/>
    <w:rsid w:val="00A065F5"/>
    <w:rsid w:val="00A10857"/>
    <w:rsid w:val="00A11C3C"/>
    <w:rsid w:val="00A1221A"/>
    <w:rsid w:val="00A1269B"/>
    <w:rsid w:val="00A12DA1"/>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7D62"/>
    <w:rsid w:val="00A53AA1"/>
    <w:rsid w:val="00A53CDD"/>
    <w:rsid w:val="00A53EE6"/>
    <w:rsid w:val="00A5538A"/>
    <w:rsid w:val="00A564AE"/>
    <w:rsid w:val="00A57A4A"/>
    <w:rsid w:val="00A57C0E"/>
    <w:rsid w:val="00A614EB"/>
    <w:rsid w:val="00A62886"/>
    <w:rsid w:val="00A63E79"/>
    <w:rsid w:val="00A6719E"/>
    <w:rsid w:val="00A672B2"/>
    <w:rsid w:val="00A7114E"/>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40B7"/>
    <w:rsid w:val="00B04A55"/>
    <w:rsid w:val="00B04D46"/>
    <w:rsid w:val="00B104C5"/>
    <w:rsid w:val="00B10F47"/>
    <w:rsid w:val="00B11A37"/>
    <w:rsid w:val="00B1385B"/>
    <w:rsid w:val="00B13B1B"/>
    <w:rsid w:val="00B15DBF"/>
    <w:rsid w:val="00B17D70"/>
    <w:rsid w:val="00B22AD7"/>
    <w:rsid w:val="00B22D31"/>
    <w:rsid w:val="00B22E46"/>
    <w:rsid w:val="00B27853"/>
    <w:rsid w:val="00B27C9D"/>
    <w:rsid w:val="00B306F7"/>
    <w:rsid w:val="00B30BB8"/>
    <w:rsid w:val="00B30FE2"/>
    <w:rsid w:val="00B3272E"/>
    <w:rsid w:val="00B32C71"/>
    <w:rsid w:val="00B330C4"/>
    <w:rsid w:val="00B35D7F"/>
    <w:rsid w:val="00B37580"/>
    <w:rsid w:val="00B4137A"/>
    <w:rsid w:val="00B50B77"/>
    <w:rsid w:val="00B51290"/>
    <w:rsid w:val="00B52215"/>
    <w:rsid w:val="00B530CA"/>
    <w:rsid w:val="00B53AC4"/>
    <w:rsid w:val="00B54527"/>
    <w:rsid w:val="00B57ADA"/>
    <w:rsid w:val="00B61EE9"/>
    <w:rsid w:val="00B6496C"/>
    <w:rsid w:val="00B65745"/>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317"/>
    <w:rsid w:val="00BA5A9D"/>
    <w:rsid w:val="00BA6363"/>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6999"/>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641B"/>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644C"/>
    <w:rsid w:val="00CB78ED"/>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0B4"/>
    <w:rsid w:val="00D03845"/>
    <w:rsid w:val="00D03DCB"/>
    <w:rsid w:val="00D05257"/>
    <w:rsid w:val="00D054DF"/>
    <w:rsid w:val="00D057A5"/>
    <w:rsid w:val="00D05D1F"/>
    <w:rsid w:val="00D105B6"/>
    <w:rsid w:val="00D144D0"/>
    <w:rsid w:val="00D14FC0"/>
    <w:rsid w:val="00D16556"/>
    <w:rsid w:val="00D1656D"/>
    <w:rsid w:val="00D167CC"/>
    <w:rsid w:val="00D16943"/>
    <w:rsid w:val="00D211AE"/>
    <w:rsid w:val="00D21662"/>
    <w:rsid w:val="00D23DE4"/>
    <w:rsid w:val="00D23F50"/>
    <w:rsid w:val="00D24867"/>
    <w:rsid w:val="00D318E3"/>
    <w:rsid w:val="00D323A7"/>
    <w:rsid w:val="00D32FE3"/>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6D3C"/>
    <w:rsid w:val="00D97059"/>
    <w:rsid w:val="00D97A1D"/>
    <w:rsid w:val="00DA0181"/>
    <w:rsid w:val="00DA2411"/>
    <w:rsid w:val="00DA2C81"/>
    <w:rsid w:val="00DA65C4"/>
    <w:rsid w:val="00DA7899"/>
    <w:rsid w:val="00DB0923"/>
    <w:rsid w:val="00DB29CA"/>
    <w:rsid w:val="00DB30C8"/>
    <w:rsid w:val="00DB5F2B"/>
    <w:rsid w:val="00DB74AF"/>
    <w:rsid w:val="00DC1AB8"/>
    <w:rsid w:val="00DC2C26"/>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08E8"/>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1192"/>
    <w:rsid w:val="00E83B51"/>
    <w:rsid w:val="00E8626C"/>
    <w:rsid w:val="00E86BDE"/>
    <w:rsid w:val="00E8762F"/>
    <w:rsid w:val="00E90726"/>
    <w:rsid w:val="00E90AB8"/>
    <w:rsid w:val="00E919D9"/>
    <w:rsid w:val="00E921C1"/>
    <w:rsid w:val="00E93C8B"/>
    <w:rsid w:val="00E93D8F"/>
    <w:rsid w:val="00E9531E"/>
    <w:rsid w:val="00E95E41"/>
    <w:rsid w:val="00E977CE"/>
    <w:rsid w:val="00E97E05"/>
    <w:rsid w:val="00EA255E"/>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257F"/>
    <w:rsid w:val="00F0782D"/>
    <w:rsid w:val="00F10B74"/>
    <w:rsid w:val="00F11EB3"/>
    <w:rsid w:val="00F13F39"/>
    <w:rsid w:val="00F14B9B"/>
    <w:rsid w:val="00F14CCC"/>
    <w:rsid w:val="00F168DE"/>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75D3"/>
    <w:rsid w:val="00F5786C"/>
    <w:rsid w:val="00F62117"/>
    <w:rsid w:val="00F62365"/>
    <w:rsid w:val="00F630A7"/>
    <w:rsid w:val="00F647F2"/>
    <w:rsid w:val="00F66225"/>
    <w:rsid w:val="00F662BC"/>
    <w:rsid w:val="00F6708D"/>
    <w:rsid w:val="00F707F0"/>
    <w:rsid w:val="00F71AD5"/>
    <w:rsid w:val="00F729ED"/>
    <w:rsid w:val="00F733B8"/>
    <w:rsid w:val="00F74F50"/>
    <w:rsid w:val="00F75192"/>
    <w:rsid w:val="00F75286"/>
    <w:rsid w:val="00F77822"/>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3361"/>
    <w:rsid w:val="00FB42B4"/>
    <w:rsid w:val="00FB4841"/>
    <w:rsid w:val="00FB4C93"/>
    <w:rsid w:val="00FB6C94"/>
    <w:rsid w:val="00FB78DC"/>
    <w:rsid w:val="00FB7F8B"/>
    <w:rsid w:val="00FC3753"/>
    <w:rsid w:val="00FC5743"/>
    <w:rsid w:val="00FC6240"/>
    <w:rsid w:val="00FD118C"/>
    <w:rsid w:val="00FD332F"/>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27360908"/>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836A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2275730">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06618797">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3535615">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9/pdf/00320547.pdf" TargetMode="External"/><Relationship Id="rId13" Type="http://schemas.openxmlformats.org/officeDocument/2006/relationships/hyperlink" Target="http://www1.tce.pr.gov.br/multimidia/2017/8/pdf/00319811.pdf" TargetMode="External"/><Relationship Id="rId18" Type="http://schemas.openxmlformats.org/officeDocument/2006/relationships/hyperlink" Target="http://www1.tce.pr.gov.br/multimidia/2017/9/pdf/00320159.pdf" TargetMode="External"/><Relationship Id="rId26" Type="http://schemas.openxmlformats.org/officeDocument/2006/relationships/hyperlink" Target="https://contas.tcu.gov.br/sagas/SvlVisualizarRelVotoAcRtf?codFiltro=SAGAS-SESSAO-ENCERRADA&amp;seOcultaPagina=S&amp;item0=598748" TargetMode="External"/><Relationship Id="rId3" Type="http://schemas.openxmlformats.org/officeDocument/2006/relationships/styles" Target="styles.xml"/><Relationship Id="rId21" Type="http://schemas.openxmlformats.org/officeDocument/2006/relationships/hyperlink" Target="https://ww2.stj.jus.br/processo/revista/documento/mediado/?componente=ATC&amp;sequencial=72488283&amp;num_registro=201603304559&amp;data=20170912&amp;tipo=51&amp;formato=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7/8/pdf/00319813.pdf" TargetMode="External"/><Relationship Id="rId17" Type="http://schemas.openxmlformats.org/officeDocument/2006/relationships/hyperlink" Target="http://www1.tce.pr.gov.br/multimidia/2017/8/pdf/00319755.pdf" TargetMode="External"/><Relationship Id="rId25" Type="http://schemas.openxmlformats.org/officeDocument/2006/relationships/hyperlink" Target="https://contas.tcu.gov.br/sagas/SvlVisualizarRelVotoAcRtf?codFiltro=SAGAS-SESSAO-ENCERRADA&amp;seOcultaPagina=S&amp;item0=59599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7/8/pdf/00319780.pdf" TargetMode="External"/><Relationship Id="rId20" Type="http://schemas.openxmlformats.org/officeDocument/2006/relationships/hyperlink" Target="http://www.stf.jus.br/portal/processo/verProcessoAndamento.asp?numero=133118&amp;classe=RHC&amp;origem=AP&amp;recurso=0&amp;tipoJulgamento=M" TargetMode="External"/><Relationship Id="rId29" Type="http://schemas.openxmlformats.org/officeDocument/2006/relationships/hyperlink" Target="http://www.planalto.gov.br/ccivil_03/Leis/L8666con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9/pdf/00320332.pdf" TargetMode="External"/><Relationship Id="rId24" Type="http://schemas.openxmlformats.org/officeDocument/2006/relationships/hyperlink" Target="https://contas.tcu.gov.br/sagas/SvlVisualizarRelVotoAcRtf?codFiltro=SAGAS-SESSAO-ENCERRADA&amp;seOcultaPagina=S&amp;item0=59738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7/8/pdf/00320045.pdf" TargetMode="External"/><Relationship Id="rId23" Type="http://schemas.openxmlformats.org/officeDocument/2006/relationships/hyperlink" Target="http://www.planalto.gov.br/ccivil_03/Leis/LCP/Lcp123.htm" TargetMode="External"/><Relationship Id="rId28" Type="http://schemas.openxmlformats.org/officeDocument/2006/relationships/hyperlink" Target="https://contas.tcu.gov.br/sagas/SvlVisualizarRelVotoAcRtf?codFiltro=SAGAS-SESSAO-ENCERRADA&amp;seOcultaPagina=S&amp;item0=599513" TargetMode="External"/><Relationship Id="rId10" Type="http://schemas.openxmlformats.org/officeDocument/2006/relationships/hyperlink" Target="http://www1.tce.pr.gov.br/multimidia/2017/8/pdf/00320006.pdf" TargetMode="External"/><Relationship Id="rId19" Type="http://schemas.openxmlformats.org/officeDocument/2006/relationships/hyperlink" Target="http://www1.tce.pr.gov.br/multimidia/2017/8/pdf/00320130.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www1.tce.pr.gov.br/multimidia/2017/9/pdf/00320241.pdf" TargetMode="External"/><Relationship Id="rId14" Type="http://schemas.openxmlformats.org/officeDocument/2006/relationships/hyperlink" Target="http://www1.tce.pr.gov.br/multimidia/2017/8/pdf/00319900.pdf" TargetMode="External"/><Relationship Id="rId22" Type="http://schemas.openxmlformats.org/officeDocument/2006/relationships/hyperlink" Target="https://contas.tcu.gov.br/sagas/SvlVisualizarRelVotoAcRtf?codFiltro=SAGAS-SESSAO-ENCERRADA&amp;seOcultaPagina=S&amp;item0=593948" TargetMode="External"/><Relationship Id="rId27" Type="http://schemas.openxmlformats.org/officeDocument/2006/relationships/hyperlink" Target="https://contas.tcu.gov.br/sagas/SvlVisualizarRelVotoAcRtf?codFiltro=SAGAS-SESSAO-ENCERRADA&amp;seOcultaPagina=S&amp;item0=596956" TargetMode="External"/><Relationship Id="rId30" Type="http://schemas.openxmlformats.org/officeDocument/2006/relationships/hyperlink" Target="http://www1.tce.pr.gov.br/multimidia/2017/7/flipbook/318496/files/assets/basic-html/index.htm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3EE0-E73C-4A58-B927-C1522853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3790</Words>
  <Characters>20472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103</cp:revision>
  <cp:lastPrinted>2017-07-10T20:46:00Z</cp:lastPrinted>
  <dcterms:created xsi:type="dcterms:W3CDTF">2017-07-10T20:45:00Z</dcterms:created>
  <dcterms:modified xsi:type="dcterms:W3CDTF">2018-12-11T14:30:00Z</dcterms:modified>
</cp:coreProperties>
</file>