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E8663B">
        <w:rPr>
          <w:rFonts w:ascii="Arial" w:hAnsi="Arial" w:cs="Arial"/>
          <w:b/>
          <w:sz w:val="20"/>
          <w:szCs w:val="20"/>
        </w:rPr>
        <w:t>9</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8E14A4">
        <w:rPr>
          <w:rFonts w:ascii="Arial" w:hAnsi="Arial" w:cs="Arial"/>
          <w:b/>
          <w:sz w:val="20"/>
          <w:szCs w:val="20"/>
        </w:rPr>
        <w:t xml:space="preserve">Sessões: </w:t>
      </w:r>
      <w:r w:rsidR="008E14A4" w:rsidRPr="008E14A4">
        <w:rPr>
          <w:rFonts w:ascii="Arial" w:hAnsi="Arial" w:cs="Arial"/>
          <w:b/>
          <w:sz w:val="20"/>
          <w:szCs w:val="20"/>
        </w:rPr>
        <w:t>22.01</w:t>
      </w:r>
      <w:r w:rsidR="005A0FD0" w:rsidRPr="008E14A4">
        <w:rPr>
          <w:rFonts w:ascii="Arial" w:hAnsi="Arial" w:cs="Arial"/>
          <w:b/>
          <w:sz w:val="20"/>
          <w:szCs w:val="20"/>
        </w:rPr>
        <w:t xml:space="preserve"> </w:t>
      </w:r>
      <w:r w:rsidR="000D4DE6" w:rsidRPr="008E14A4">
        <w:rPr>
          <w:rFonts w:ascii="Arial" w:hAnsi="Arial" w:cs="Arial"/>
          <w:b/>
          <w:sz w:val="20"/>
          <w:szCs w:val="20"/>
        </w:rPr>
        <w:t>a</w:t>
      </w:r>
      <w:r w:rsidRPr="008E14A4">
        <w:rPr>
          <w:rFonts w:ascii="Arial" w:hAnsi="Arial" w:cs="Arial"/>
          <w:b/>
          <w:sz w:val="20"/>
          <w:szCs w:val="20"/>
        </w:rPr>
        <w:t xml:space="preserve"> </w:t>
      </w:r>
      <w:r w:rsidR="008E14A4" w:rsidRPr="008E14A4">
        <w:rPr>
          <w:rFonts w:ascii="Arial" w:hAnsi="Arial" w:cs="Arial"/>
          <w:b/>
          <w:sz w:val="20"/>
          <w:szCs w:val="20"/>
        </w:rPr>
        <w:t>01</w:t>
      </w:r>
      <w:r w:rsidR="005A0FD0" w:rsidRPr="008E14A4">
        <w:rPr>
          <w:rFonts w:ascii="Arial" w:hAnsi="Arial" w:cs="Arial"/>
          <w:b/>
          <w:sz w:val="20"/>
          <w:szCs w:val="20"/>
        </w:rPr>
        <w:t>.</w:t>
      </w:r>
      <w:r w:rsidR="008E14A4" w:rsidRPr="008E14A4">
        <w:rPr>
          <w:rFonts w:ascii="Arial" w:hAnsi="Arial" w:cs="Arial"/>
          <w:b/>
          <w:sz w:val="20"/>
          <w:szCs w:val="20"/>
        </w:rPr>
        <w:t>0</w:t>
      </w:r>
      <w:r w:rsidR="00BD1101" w:rsidRPr="008E14A4">
        <w:rPr>
          <w:rFonts w:ascii="Arial" w:hAnsi="Arial" w:cs="Arial"/>
          <w:b/>
          <w:sz w:val="20"/>
          <w:szCs w:val="20"/>
        </w:rPr>
        <w:t>2</w:t>
      </w:r>
      <w:r w:rsidRPr="008E14A4">
        <w:rPr>
          <w:rFonts w:ascii="Arial" w:hAnsi="Arial" w:cs="Arial"/>
          <w:b/>
          <w:sz w:val="20"/>
          <w:szCs w:val="20"/>
        </w:rPr>
        <w:t xml:space="preserve"> de 201</w:t>
      </w:r>
      <w:r w:rsidR="008E14A4" w:rsidRPr="008E14A4">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6A1724" w:rsidRDefault="006A1724" w:rsidP="006A1724">
      <w:pPr>
        <w:autoSpaceDE w:val="0"/>
        <w:autoSpaceDN w:val="0"/>
        <w:adjustRightInd w:val="0"/>
        <w:spacing w:after="0"/>
        <w:jc w:val="both"/>
        <w:rPr>
          <w:rFonts w:ascii="Arial" w:hAnsi="Arial" w:cs="Arial"/>
          <w:b/>
          <w:sz w:val="20"/>
          <w:szCs w:val="20"/>
        </w:rPr>
      </w:pPr>
    </w:p>
    <w:p w:rsidR="006A1724" w:rsidRPr="006A1724" w:rsidRDefault="006A1724" w:rsidP="0093406B">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Pr="006A1724">
        <w:rPr>
          <w:rFonts w:ascii="Arial" w:hAnsi="Arial" w:cs="Arial"/>
          <w:sz w:val="20"/>
          <w:szCs w:val="20"/>
        </w:rPr>
        <w:t>Aposentadoria Municipal. Professor de Educação Infantil. Leis Municipais de Curitiba 10.390/2002,14.580/2014 e 14.581/2014. Aplicação dos princípios da segurança jurídica, da proteção da confiança e da boa-fé.</w:t>
      </w:r>
    </w:p>
    <w:p w:rsidR="004429A2" w:rsidRPr="006A1724" w:rsidRDefault="004429A2" w:rsidP="0093406B">
      <w:pPr>
        <w:spacing w:after="0"/>
        <w:jc w:val="both"/>
        <w:rPr>
          <w:rStyle w:val="Hyperlink"/>
          <w:rFonts w:ascii="Arial" w:hAnsi="Arial" w:cs="Arial"/>
          <w:color w:val="000000" w:themeColor="text1"/>
          <w:sz w:val="20"/>
          <w:szCs w:val="20"/>
          <w:u w:val="none"/>
        </w:rPr>
      </w:pPr>
    </w:p>
    <w:p w:rsidR="006A1724" w:rsidRDefault="006A1724" w:rsidP="0093406B">
      <w:pPr>
        <w:autoSpaceDE w:val="0"/>
        <w:autoSpaceDN w:val="0"/>
        <w:adjustRightInd w:val="0"/>
        <w:spacing w:after="0"/>
        <w:jc w:val="both"/>
        <w:rPr>
          <w:rFonts w:ascii="Arial" w:hAnsi="Arial" w:cs="Arial"/>
          <w:sz w:val="20"/>
        </w:rPr>
      </w:pPr>
      <w:r>
        <w:rPr>
          <w:rFonts w:ascii="Arial" w:hAnsi="Arial" w:cs="Arial"/>
          <w:sz w:val="20"/>
        </w:rPr>
        <w:t xml:space="preserve">2. </w:t>
      </w:r>
      <w:r w:rsidRPr="006A1724">
        <w:rPr>
          <w:rFonts w:ascii="Arial" w:hAnsi="Arial" w:cs="Arial"/>
          <w:sz w:val="20"/>
        </w:rPr>
        <w:t>Tomada de Contas Extraordinária. Administração Pública. Diárias. Licitude. Interesse público. Justificativa. Economicidade. Eficiência.</w:t>
      </w:r>
    </w:p>
    <w:p w:rsidR="000D6BD7" w:rsidRDefault="000D6BD7" w:rsidP="0093406B">
      <w:pPr>
        <w:autoSpaceDE w:val="0"/>
        <w:autoSpaceDN w:val="0"/>
        <w:adjustRightInd w:val="0"/>
        <w:spacing w:after="0"/>
        <w:jc w:val="both"/>
        <w:rPr>
          <w:rFonts w:ascii="Arial" w:hAnsi="Arial" w:cs="Arial"/>
          <w:sz w:val="20"/>
        </w:rPr>
      </w:pPr>
    </w:p>
    <w:p w:rsidR="000D6BD7" w:rsidRPr="00F302AB" w:rsidRDefault="00F302AB" w:rsidP="0093406B">
      <w:pPr>
        <w:autoSpaceDE w:val="0"/>
        <w:autoSpaceDN w:val="0"/>
        <w:adjustRightInd w:val="0"/>
        <w:spacing w:after="0"/>
        <w:jc w:val="both"/>
        <w:rPr>
          <w:rFonts w:ascii="Arial" w:hAnsi="Arial" w:cs="Arial"/>
          <w:sz w:val="20"/>
          <w:szCs w:val="20"/>
        </w:rPr>
      </w:pPr>
      <w:r>
        <w:rPr>
          <w:rFonts w:ascii="Arial" w:hAnsi="Arial" w:cs="Arial"/>
          <w:sz w:val="20"/>
          <w:szCs w:val="20"/>
        </w:rPr>
        <w:t xml:space="preserve">3. </w:t>
      </w:r>
      <w:r w:rsidR="000D6BD7" w:rsidRPr="00F302AB">
        <w:rPr>
          <w:rFonts w:ascii="Arial" w:hAnsi="Arial" w:cs="Arial"/>
          <w:sz w:val="20"/>
          <w:szCs w:val="20"/>
        </w:rPr>
        <w:t>Prestação de Contas Anual</w:t>
      </w:r>
      <w:r w:rsidR="003F2CD0">
        <w:rPr>
          <w:rFonts w:ascii="Arial" w:hAnsi="Arial" w:cs="Arial"/>
          <w:sz w:val="20"/>
          <w:szCs w:val="20"/>
        </w:rPr>
        <w:t>.</w:t>
      </w:r>
      <w:r w:rsidR="000D6BD7" w:rsidRPr="00F302AB">
        <w:rPr>
          <w:rFonts w:ascii="Arial" w:hAnsi="Arial" w:cs="Arial"/>
          <w:sz w:val="20"/>
          <w:szCs w:val="20"/>
        </w:rPr>
        <w:t xml:space="preserve"> Ausência de registro de servidores no sistema SIMAP. Possível acúmulo de cargos por servidor. Remessa dos autos à Coordenadoria de Fiscalização de Atos de Pessoal para adoção de providências. Regularidade.</w:t>
      </w:r>
    </w:p>
    <w:p w:rsidR="000D6BD7" w:rsidRPr="00F302AB" w:rsidRDefault="000D6BD7" w:rsidP="0093406B">
      <w:pPr>
        <w:autoSpaceDE w:val="0"/>
        <w:autoSpaceDN w:val="0"/>
        <w:adjustRightInd w:val="0"/>
        <w:spacing w:after="0"/>
        <w:jc w:val="both"/>
        <w:rPr>
          <w:rFonts w:ascii="Arial" w:hAnsi="Arial" w:cs="Arial"/>
          <w:sz w:val="20"/>
        </w:rPr>
      </w:pPr>
    </w:p>
    <w:p w:rsidR="000D6BD7" w:rsidRPr="00F302AB" w:rsidRDefault="00F302AB" w:rsidP="0093406B">
      <w:pPr>
        <w:spacing w:after="0"/>
        <w:jc w:val="both"/>
        <w:rPr>
          <w:rFonts w:ascii="Arial" w:hAnsi="Arial" w:cs="Arial"/>
          <w:sz w:val="20"/>
          <w:szCs w:val="20"/>
        </w:rPr>
      </w:pPr>
      <w:r>
        <w:rPr>
          <w:rFonts w:ascii="Arial" w:hAnsi="Arial" w:cs="Arial"/>
          <w:sz w:val="20"/>
          <w:szCs w:val="20"/>
        </w:rPr>
        <w:t xml:space="preserve">4. </w:t>
      </w:r>
      <w:r w:rsidR="000D6BD7" w:rsidRPr="00F302AB">
        <w:rPr>
          <w:rFonts w:ascii="Arial" w:hAnsi="Arial" w:cs="Arial"/>
          <w:sz w:val="20"/>
          <w:szCs w:val="20"/>
        </w:rPr>
        <w:t xml:space="preserve">Comunicação de Irregularidade convertida em Tomada de Contas Extraordinária. Serviços Administrativos. Terceirização indevida. Atividade-fim. Dano ao erário. Irregularidade, multa e restituição dos valores. </w:t>
      </w:r>
    </w:p>
    <w:p w:rsidR="000D6BD7" w:rsidRPr="00F302AB" w:rsidRDefault="000D6BD7" w:rsidP="0093406B">
      <w:pPr>
        <w:spacing w:after="0"/>
        <w:jc w:val="both"/>
        <w:rPr>
          <w:rFonts w:ascii="Arial" w:hAnsi="Arial" w:cs="Arial"/>
          <w:sz w:val="20"/>
          <w:szCs w:val="20"/>
        </w:rPr>
      </w:pPr>
    </w:p>
    <w:p w:rsidR="000D6BD7" w:rsidRPr="00F302AB" w:rsidRDefault="00F302AB" w:rsidP="0093406B">
      <w:pPr>
        <w:spacing w:after="0"/>
        <w:jc w:val="both"/>
        <w:rPr>
          <w:rFonts w:ascii="Arial" w:hAnsi="Arial" w:cs="Arial"/>
          <w:sz w:val="20"/>
          <w:szCs w:val="20"/>
        </w:rPr>
      </w:pPr>
      <w:r>
        <w:rPr>
          <w:rFonts w:ascii="Arial" w:hAnsi="Arial" w:cs="Arial"/>
          <w:sz w:val="20"/>
          <w:szCs w:val="20"/>
        </w:rPr>
        <w:t xml:space="preserve">5. </w:t>
      </w:r>
      <w:r w:rsidR="000D6BD7" w:rsidRPr="00F302AB">
        <w:rPr>
          <w:rFonts w:ascii="Arial" w:hAnsi="Arial" w:cs="Arial"/>
          <w:sz w:val="20"/>
          <w:szCs w:val="20"/>
        </w:rPr>
        <w:t xml:space="preserve">Prestação de Contas. Fundação Municipal. Documentação atinente ao Controle Interno, incompleta. Análise inviabilizada. Contas irregulares com aplicação de multa. </w:t>
      </w:r>
    </w:p>
    <w:p w:rsidR="000D6BD7" w:rsidRPr="00F302AB" w:rsidRDefault="000D6BD7" w:rsidP="0093406B">
      <w:pPr>
        <w:autoSpaceDE w:val="0"/>
        <w:autoSpaceDN w:val="0"/>
        <w:adjustRightInd w:val="0"/>
        <w:spacing w:after="0"/>
        <w:jc w:val="both"/>
        <w:rPr>
          <w:rFonts w:ascii="Arial" w:hAnsi="Arial" w:cs="Arial"/>
          <w:sz w:val="20"/>
        </w:rPr>
      </w:pPr>
    </w:p>
    <w:p w:rsidR="000D6BD7" w:rsidRPr="00F302AB" w:rsidRDefault="00F302AB" w:rsidP="0093406B">
      <w:pPr>
        <w:spacing w:after="0"/>
        <w:jc w:val="both"/>
        <w:rPr>
          <w:rFonts w:ascii="Arial" w:hAnsi="Arial" w:cs="Arial"/>
          <w:sz w:val="20"/>
          <w:szCs w:val="20"/>
        </w:rPr>
      </w:pPr>
      <w:r>
        <w:rPr>
          <w:rFonts w:ascii="Arial" w:hAnsi="Arial" w:cs="Arial"/>
          <w:sz w:val="20"/>
          <w:szCs w:val="20"/>
        </w:rPr>
        <w:t xml:space="preserve">6. </w:t>
      </w:r>
      <w:r w:rsidR="000D6BD7" w:rsidRPr="00F302AB">
        <w:rPr>
          <w:rFonts w:ascii="Arial" w:hAnsi="Arial" w:cs="Arial"/>
          <w:sz w:val="20"/>
          <w:szCs w:val="20"/>
        </w:rPr>
        <w:t xml:space="preserve">Tomada de Contas Ordinária. Ausência de provas da efetiva instituição do controle interno na entidade durante o exercício. Irregularidade e aplicação de multa.  </w:t>
      </w:r>
    </w:p>
    <w:p w:rsidR="006A1724" w:rsidRDefault="006A1724" w:rsidP="0093406B">
      <w:pPr>
        <w:spacing w:after="0"/>
        <w:jc w:val="both"/>
        <w:rPr>
          <w:rStyle w:val="Hyperlink"/>
          <w:rFonts w:ascii="Arial" w:hAnsi="Arial" w:cs="Arial"/>
          <w:b/>
          <w:color w:val="000000" w:themeColor="text1"/>
          <w:sz w:val="20"/>
          <w:szCs w:val="20"/>
          <w:u w:val="none"/>
        </w:rPr>
      </w:pPr>
    </w:p>
    <w:p w:rsidR="00EF7606" w:rsidRPr="00EF7606" w:rsidRDefault="00EF7606" w:rsidP="0093406B">
      <w:pPr>
        <w:autoSpaceDE w:val="0"/>
        <w:autoSpaceDN w:val="0"/>
        <w:adjustRightInd w:val="0"/>
        <w:spacing w:after="0"/>
        <w:jc w:val="both"/>
        <w:rPr>
          <w:rFonts w:ascii="Arial" w:hAnsi="Arial" w:cs="Arial"/>
          <w:sz w:val="20"/>
          <w:szCs w:val="20"/>
        </w:rPr>
      </w:pPr>
      <w:r>
        <w:rPr>
          <w:rFonts w:ascii="Arial" w:hAnsi="Arial" w:cs="Arial"/>
          <w:sz w:val="20"/>
          <w:szCs w:val="20"/>
        </w:rPr>
        <w:t xml:space="preserve">7. </w:t>
      </w:r>
      <w:r w:rsidRPr="00EF7606">
        <w:rPr>
          <w:rFonts w:ascii="Arial" w:hAnsi="Arial" w:cs="Arial"/>
          <w:sz w:val="20"/>
          <w:szCs w:val="20"/>
        </w:rPr>
        <w:t>Consulta. Administração Pública. Contratação de meio de comunicação. Divulgação. Procedimento licitatório.</w:t>
      </w:r>
    </w:p>
    <w:p w:rsidR="00EF7606" w:rsidRPr="00EF7606" w:rsidRDefault="00EF7606" w:rsidP="0093406B">
      <w:pPr>
        <w:autoSpaceDE w:val="0"/>
        <w:autoSpaceDN w:val="0"/>
        <w:adjustRightInd w:val="0"/>
        <w:spacing w:after="0"/>
        <w:jc w:val="both"/>
        <w:rPr>
          <w:rFonts w:ascii="Arial" w:hAnsi="Arial" w:cs="Arial"/>
          <w:sz w:val="20"/>
          <w:szCs w:val="20"/>
        </w:rPr>
      </w:pPr>
    </w:p>
    <w:p w:rsidR="00EF7606" w:rsidRPr="00EF7606" w:rsidRDefault="00EF7606" w:rsidP="0093406B">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8. </w:t>
      </w:r>
      <w:r w:rsidRPr="00EF7606">
        <w:rPr>
          <w:rFonts w:ascii="Arial" w:hAnsi="Arial" w:cs="Arial"/>
          <w:sz w:val="20"/>
          <w:szCs w:val="20"/>
        </w:rPr>
        <w:t xml:space="preserve">Comunicação de Irregularidade. Licitação. Princípio da isonomia. Competitividade. Marcas. Restrição de competição. Inexigibilidade. </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A86FEC" w:rsidRDefault="00A86FEC" w:rsidP="00A86FEC">
      <w:pPr>
        <w:autoSpaceDE w:val="0"/>
        <w:autoSpaceDN w:val="0"/>
        <w:adjustRightInd w:val="0"/>
        <w:spacing w:after="0"/>
        <w:jc w:val="both"/>
        <w:rPr>
          <w:rFonts w:ascii="Arial" w:hAnsi="Arial" w:cs="Arial"/>
          <w:b/>
          <w:sz w:val="20"/>
          <w:szCs w:val="20"/>
        </w:rPr>
      </w:pPr>
    </w:p>
    <w:p w:rsidR="00A86FEC" w:rsidRDefault="00995A32" w:rsidP="00A86FEC">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A86FEC" w:rsidRPr="008F2110">
        <w:rPr>
          <w:rFonts w:ascii="Arial" w:hAnsi="Arial" w:cs="Arial"/>
          <w:b/>
          <w:sz w:val="20"/>
          <w:szCs w:val="20"/>
        </w:rPr>
        <w:t>Aposentadoria Municipal. Professor de Educação Infantil. Leis Municipais de Curitiba 10.390/2002,14.580/2014 e 14.581/2014. Aplicação dos princípios da segurança jurídica, da proteção da confiança e da boa-fé.</w:t>
      </w:r>
    </w:p>
    <w:p w:rsidR="00A86FEC" w:rsidRDefault="00A86FEC" w:rsidP="00A86FEC">
      <w:pPr>
        <w:autoSpaceDE w:val="0"/>
        <w:autoSpaceDN w:val="0"/>
        <w:adjustRightInd w:val="0"/>
        <w:spacing w:after="0"/>
        <w:jc w:val="both"/>
        <w:rPr>
          <w:rFonts w:ascii="Arial" w:hAnsi="Arial" w:cs="Arial"/>
          <w:b/>
          <w:sz w:val="20"/>
          <w:szCs w:val="20"/>
        </w:rPr>
      </w:pPr>
    </w:p>
    <w:p w:rsidR="00A86FEC" w:rsidRDefault="00A86FEC" w:rsidP="00A86FEC">
      <w:pPr>
        <w:autoSpaceDE w:val="0"/>
        <w:autoSpaceDN w:val="0"/>
        <w:adjustRightInd w:val="0"/>
        <w:spacing w:after="0"/>
        <w:jc w:val="both"/>
        <w:rPr>
          <w:rFonts w:ascii="Arial" w:hAnsi="Arial" w:cs="Arial"/>
          <w:sz w:val="20"/>
          <w:szCs w:val="20"/>
        </w:rPr>
      </w:pPr>
      <w:r>
        <w:rPr>
          <w:rFonts w:ascii="Arial" w:hAnsi="Arial" w:cs="Arial"/>
          <w:sz w:val="20"/>
          <w:szCs w:val="20"/>
        </w:rPr>
        <w:t>D</w:t>
      </w:r>
      <w:r w:rsidRPr="006A5F8D">
        <w:rPr>
          <w:rFonts w:ascii="Arial" w:hAnsi="Arial" w:cs="Arial"/>
          <w:sz w:val="20"/>
          <w:szCs w:val="20"/>
        </w:rPr>
        <w:t>esta</w:t>
      </w:r>
      <w:r>
        <w:rPr>
          <w:rFonts w:ascii="Arial" w:hAnsi="Arial" w:cs="Arial"/>
          <w:sz w:val="20"/>
          <w:szCs w:val="20"/>
        </w:rPr>
        <w:t>ca-se</w:t>
      </w:r>
      <w:r w:rsidRPr="006A5F8D">
        <w:rPr>
          <w:rFonts w:ascii="Arial" w:hAnsi="Arial" w:cs="Arial"/>
          <w:sz w:val="20"/>
          <w:szCs w:val="20"/>
        </w:rPr>
        <w:t xml:space="preserve"> que as Leis Municipais nº 12.083/2006,</w:t>
      </w:r>
      <w:r>
        <w:rPr>
          <w:rFonts w:ascii="Arial" w:hAnsi="Arial" w:cs="Arial"/>
          <w:sz w:val="20"/>
          <w:szCs w:val="20"/>
        </w:rPr>
        <w:t xml:space="preserve"> </w:t>
      </w:r>
      <w:r w:rsidRPr="006A5F8D">
        <w:rPr>
          <w:rFonts w:ascii="Arial" w:hAnsi="Arial" w:cs="Arial"/>
          <w:sz w:val="20"/>
          <w:szCs w:val="20"/>
        </w:rPr>
        <w:t>14.580/2014 e 14.581/2014 reestruturaram as carreiras as quais pertenciam os</w:t>
      </w:r>
      <w:r>
        <w:rPr>
          <w:rFonts w:ascii="Arial" w:hAnsi="Arial" w:cs="Arial"/>
          <w:sz w:val="20"/>
          <w:szCs w:val="20"/>
        </w:rPr>
        <w:t xml:space="preserve"> </w:t>
      </w:r>
      <w:r w:rsidRPr="006A5F8D">
        <w:rPr>
          <w:rFonts w:ascii="Arial" w:hAnsi="Arial" w:cs="Arial"/>
          <w:sz w:val="20"/>
          <w:szCs w:val="20"/>
        </w:rPr>
        <w:t>cargos ocupados pela servidora, alterando os requisitos de escolaridade (incluindo a</w:t>
      </w:r>
      <w:r>
        <w:rPr>
          <w:rFonts w:ascii="Arial" w:hAnsi="Arial" w:cs="Arial"/>
          <w:sz w:val="20"/>
          <w:szCs w:val="20"/>
        </w:rPr>
        <w:t xml:space="preserve"> </w:t>
      </w:r>
      <w:r w:rsidRPr="006A5F8D">
        <w:rPr>
          <w:rFonts w:ascii="Arial" w:hAnsi="Arial" w:cs="Arial"/>
          <w:sz w:val="20"/>
          <w:szCs w:val="20"/>
        </w:rPr>
        <w:t>obrigatoriedade de formação na área de magistério) e a sua denominação, sem</w:t>
      </w:r>
      <w:r>
        <w:rPr>
          <w:rFonts w:ascii="Arial" w:hAnsi="Arial" w:cs="Arial"/>
          <w:sz w:val="20"/>
          <w:szCs w:val="20"/>
        </w:rPr>
        <w:t xml:space="preserve"> </w:t>
      </w:r>
      <w:r w:rsidRPr="006A5F8D">
        <w:rPr>
          <w:rFonts w:ascii="Arial" w:hAnsi="Arial" w:cs="Arial"/>
          <w:sz w:val="20"/>
          <w:szCs w:val="20"/>
        </w:rPr>
        <w:t>alterações substanciais em suas atribuições. Tais alterações, portanto, não podem</w:t>
      </w:r>
      <w:r>
        <w:rPr>
          <w:rFonts w:ascii="Arial" w:hAnsi="Arial" w:cs="Arial"/>
          <w:sz w:val="20"/>
          <w:szCs w:val="20"/>
        </w:rPr>
        <w:t xml:space="preserve"> </w:t>
      </w:r>
      <w:r w:rsidRPr="006A5F8D">
        <w:rPr>
          <w:rFonts w:ascii="Arial" w:hAnsi="Arial" w:cs="Arial"/>
          <w:sz w:val="20"/>
          <w:szCs w:val="20"/>
        </w:rPr>
        <w:t>ser comparadas à “ascensão funcional” ou burla à necessidade de concurso público.</w:t>
      </w:r>
    </w:p>
    <w:p w:rsidR="00A86FEC" w:rsidRPr="006A5F8D" w:rsidRDefault="00A86FEC" w:rsidP="00A86FEC">
      <w:pPr>
        <w:autoSpaceDE w:val="0"/>
        <w:autoSpaceDN w:val="0"/>
        <w:adjustRightInd w:val="0"/>
        <w:spacing w:after="0"/>
        <w:jc w:val="both"/>
        <w:rPr>
          <w:rFonts w:ascii="Arial" w:hAnsi="Arial" w:cs="Arial"/>
          <w:sz w:val="20"/>
          <w:szCs w:val="20"/>
        </w:rPr>
      </w:pPr>
    </w:p>
    <w:p w:rsidR="00A86FEC" w:rsidRPr="006A5F8D" w:rsidRDefault="00A86FEC" w:rsidP="00A86FEC">
      <w:pPr>
        <w:autoSpaceDE w:val="0"/>
        <w:autoSpaceDN w:val="0"/>
        <w:adjustRightInd w:val="0"/>
        <w:spacing w:after="0"/>
        <w:jc w:val="both"/>
        <w:rPr>
          <w:rFonts w:ascii="Arial" w:hAnsi="Arial" w:cs="Arial"/>
          <w:b/>
          <w:sz w:val="20"/>
          <w:szCs w:val="20"/>
        </w:rPr>
      </w:pPr>
      <w:r>
        <w:rPr>
          <w:rFonts w:ascii="Arial" w:hAnsi="Arial" w:cs="Arial"/>
          <w:sz w:val="20"/>
          <w:szCs w:val="20"/>
        </w:rPr>
        <w:t>Observa-se</w:t>
      </w:r>
      <w:r w:rsidRPr="006A5F8D">
        <w:rPr>
          <w:rFonts w:ascii="Arial" w:hAnsi="Arial" w:cs="Arial"/>
          <w:sz w:val="20"/>
          <w:szCs w:val="20"/>
        </w:rPr>
        <w:t xml:space="preserve"> que a Lei Municipal nº 10.390/2002 foi editada há quase</w:t>
      </w:r>
      <w:r>
        <w:rPr>
          <w:rFonts w:ascii="Arial" w:hAnsi="Arial" w:cs="Arial"/>
          <w:sz w:val="20"/>
          <w:szCs w:val="20"/>
        </w:rPr>
        <w:t xml:space="preserve"> </w:t>
      </w:r>
      <w:r w:rsidRPr="006A5F8D">
        <w:rPr>
          <w:rFonts w:ascii="Arial" w:hAnsi="Arial" w:cs="Arial"/>
          <w:sz w:val="20"/>
          <w:szCs w:val="20"/>
        </w:rPr>
        <w:t>quinze anos, gerando desde então os seus efeitos, sem haver notícia de que tenham</w:t>
      </w:r>
      <w:r>
        <w:rPr>
          <w:rFonts w:ascii="Arial" w:hAnsi="Arial" w:cs="Arial"/>
          <w:sz w:val="20"/>
          <w:szCs w:val="20"/>
        </w:rPr>
        <w:t xml:space="preserve"> </w:t>
      </w:r>
      <w:r w:rsidRPr="006A5F8D">
        <w:rPr>
          <w:rFonts w:ascii="Arial" w:hAnsi="Arial" w:cs="Arial"/>
          <w:sz w:val="20"/>
          <w:szCs w:val="20"/>
        </w:rPr>
        <w:t>sido levantadas anteriormente dúvidas sobre sua constitucionalidade na seara</w:t>
      </w:r>
      <w:r>
        <w:rPr>
          <w:rFonts w:ascii="Arial" w:hAnsi="Arial" w:cs="Arial"/>
          <w:sz w:val="20"/>
          <w:szCs w:val="20"/>
        </w:rPr>
        <w:t xml:space="preserve"> </w:t>
      </w:r>
      <w:r w:rsidRPr="006A5F8D">
        <w:rPr>
          <w:rFonts w:ascii="Arial" w:hAnsi="Arial" w:cs="Arial"/>
          <w:sz w:val="20"/>
          <w:szCs w:val="20"/>
        </w:rPr>
        <w:t>administrativa ou judicial.</w:t>
      </w:r>
    </w:p>
    <w:p w:rsidR="00A86FEC" w:rsidRDefault="00A86FEC" w:rsidP="00A86FEC">
      <w:pPr>
        <w:autoSpaceDE w:val="0"/>
        <w:autoSpaceDN w:val="0"/>
        <w:adjustRightInd w:val="0"/>
        <w:spacing w:after="0" w:line="240" w:lineRule="auto"/>
        <w:jc w:val="both"/>
        <w:rPr>
          <w:rFonts w:ascii="Arial" w:hAnsi="Arial" w:cs="Arial"/>
          <w:sz w:val="20"/>
          <w:szCs w:val="20"/>
        </w:rPr>
      </w:pPr>
    </w:p>
    <w:p w:rsidR="00A86FEC" w:rsidRDefault="00A86FEC" w:rsidP="00A86FEC">
      <w:pPr>
        <w:autoSpaceDE w:val="0"/>
        <w:autoSpaceDN w:val="0"/>
        <w:adjustRightInd w:val="0"/>
        <w:spacing w:after="0"/>
        <w:jc w:val="both"/>
        <w:rPr>
          <w:rFonts w:ascii="Arial" w:hAnsi="Arial" w:cs="Arial"/>
          <w:sz w:val="20"/>
          <w:szCs w:val="20"/>
        </w:rPr>
      </w:pPr>
      <w:r w:rsidRPr="0028166A">
        <w:rPr>
          <w:rFonts w:ascii="Arial" w:hAnsi="Arial" w:cs="Arial"/>
          <w:sz w:val="20"/>
          <w:szCs w:val="20"/>
        </w:rPr>
        <w:t>Durante todo esse tempo, a servidora efetivamente exerceu o cargo</w:t>
      </w:r>
      <w:r>
        <w:rPr>
          <w:rFonts w:ascii="Arial" w:hAnsi="Arial" w:cs="Arial"/>
          <w:sz w:val="20"/>
          <w:szCs w:val="20"/>
        </w:rPr>
        <w:t xml:space="preserve"> </w:t>
      </w:r>
      <w:r w:rsidRPr="0028166A">
        <w:rPr>
          <w:rFonts w:ascii="Arial" w:hAnsi="Arial" w:cs="Arial"/>
          <w:sz w:val="20"/>
          <w:szCs w:val="20"/>
        </w:rPr>
        <w:t>de Educador e posteriormente de Professor de Educação Infantil, recebendo os</w:t>
      </w:r>
      <w:r>
        <w:rPr>
          <w:rFonts w:ascii="Arial" w:hAnsi="Arial" w:cs="Arial"/>
          <w:sz w:val="20"/>
          <w:szCs w:val="20"/>
        </w:rPr>
        <w:t xml:space="preserve"> </w:t>
      </w:r>
      <w:r w:rsidRPr="0028166A">
        <w:rPr>
          <w:rFonts w:ascii="Arial" w:hAnsi="Arial" w:cs="Arial"/>
          <w:sz w:val="20"/>
          <w:szCs w:val="20"/>
        </w:rPr>
        <w:t>vencimentos correspondentes e contribuindo para o sistema previdenciário. Negar o</w:t>
      </w:r>
      <w:r>
        <w:rPr>
          <w:rFonts w:ascii="Arial" w:hAnsi="Arial" w:cs="Arial"/>
          <w:sz w:val="20"/>
          <w:szCs w:val="20"/>
        </w:rPr>
        <w:t xml:space="preserve"> </w:t>
      </w:r>
      <w:r w:rsidRPr="0028166A">
        <w:rPr>
          <w:rFonts w:ascii="Arial" w:hAnsi="Arial" w:cs="Arial"/>
          <w:sz w:val="20"/>
          <w:szCs w:val="20"/>
        </w:rPr>
        <w:t>registro da aposentadoria da servidora neste momento afrontaria os princípios da</w:t>
      </w:r>
      <w:r>
        <w:rPr>
          <w:rFonts w:ascii="Arial" w:hAnsi="Arial" w:cs="Arial"/>
          <w:sz w:val="20"/>
          <w:szCs w:val="20"/>
        </w:rPr>
        <w:t xml:space="preserve"> </w:t>
      </w:r>
      <w:r w:rsidRPr="0028166A">
        <w:rPr>
          <w:rFonts w:ascii="Arial" w:hAnsi="Arial" w:cs="Arial"/>
          <w:sz w:val="20"/>
          <w:szCs w:val="20"/>
        </w:rPr>
        <w:t>segurança jurídica, da proteção da confiança e da boa-fé.</w:t>
      </w:r>
    </w:p>
    <w:p w:rsidR="00A86FEC" w:rsidRPr="0028166A" w:rsidRDefault="00A86FEC" w:rsidP="00A86FEC">
      <w:pPr>
        <w:autoSpaceDE w:val="0"/>
        <w:autoSpaceDN w:val="0"/>
        <w:adjustRightInd w:val="0"/>
        <w:spacing w:after="0"/>
        <w:jc w:val="both"/>
        <w:rPr>
          <w:rFonts w:ascii="Arial" w:hAnsi="Arial" w:cs="Arial"/>
          <w:sz w:val="20"/>
          <w:szCs w:val="20"/>
        </w:rPr>
      </w:pPr>
    </w:p>
    <w:p w:rsidR="00A86FEC" w:rsidRDefault="00A86FEC" w:rsidP="00A86FEC">
      <w:pPr>
        <w:autoSpaceDE w:val="0"/>
        <w:autoSpaceDN w:val="0"/>
        <w:adjustRightInd w:val="0"/>
        <w:spacing w:after="0"/>
        <w:jc w:val="both"/>
        <w:rPr>
          <w:rFonts w:ascii="Arial" w:hAnsi="Arial" w:cs="Arial"/>
          <w:sz w:val="20"/>
          <w:szCs w:val="20"/>
        </w:rPr>
      </w:pPr>
      <w:r w:rsidRPr="0028166A">
        <w:rPr>
          <w:rFonts w:ascii="Arial" w:hAnsi="Arial" w:cs="Arial"/>
          <w:sz w:val="20"/>
          <w:szCs w:val="20"/>
        </w:rPr>
        <w:t>Sabidamente, os princípios da segurança e da proteção da</w:t>
      </w:r>
      <w:r>
        <w:rPr>
          <w:rFonts w:ascii="Arial" w:hAnsi="Arial" w:cs="Arial"/>
          <w:sz w:val="20"/>
          <w:szCs w:val="20"/>
        </w:rPr>
        <w:t xml:space="preserve"> </w:t>
      </w:r>
      <w:r w:rsidRPr="0028166A">
        <w:rPr>
          <w:rFonts w:ascii="Arial" w:hAnsi="Arial" w:cs="Arial"/>
          <w:sz w:val="20"/>
          <w:szCs w:val="20"/>
        </w:rPr>
        <w:t>confiança buscam garantir a exigibilidade de direito certo, estável e previsível,</w:t>
      </w:r>
      <w:r>
        <w:rPr>
          <w:rFonts w:ascii="Arial" w:hAnsi="Arial" w:cs="Arial"/>
          <w:sz w:val="20"/>
          <w:szCs w:val="20"/>
        </w:rPr>
        <w:t xml:space="preserve"> </w:t>
      </w:r>
      <w:r w:rsidRPr="0028166A">
        <w:rPr>
          <w:rFonts w:ascii="Arial" w:hAnsi="Arial" w:cs="Arial"/>
          <w:sz w:val="20"/>
          <w:szCs w:val="20"/>
        </w:rPr>
        <w:t>devidamente justificado e motivado com vistas à realização da justiça. O servidor</w:t>
      </w:r>
      <w:r>
        <w:rPr>
          <w:rFonts w:ascii="Arial" w:hAnsi="Arial" w:cs="Arial"/>
          <w:sz w:val="20"/>
          <w:szCs w:val="20"/>
        </w:rPr>
        <w:t xml:space="preserve"> </w:t>
      </w:r>
      <w:r w:rsidRPr="0028166A">
        <w:rPr>
          <w:rFonts w:ascii="Arial" w:hAnsi="Arial" w:cs="Arial"/>
          <w:sz w:val="20"/>
          <w:szCs w:val="20"/>
        </w:rPr>
        <w:t>deve confiar que os atos ou as decisões incidentes sobre os seus direitos e posições</w:t>
      </w:r>
      <w:r>
        <w:rPr>
          <w:rFonts w:ascii="Arial" w:hAnsi="Arial" w:cs="Arial"/>
          <w:sz w:val="20"/>
          <w:szCs w:val="20"/>
        </w:rPr>
        <w:t xml:space="preserve"> </w:t>
      </w:r>
      <w:r w:rsidRPr="0028166A">
        <w:rPr>
          <w:rFonts w:ascii="Arial" w:hAnsi="Arial" w:cs="Arial"/>
          <w:sz w:val="20"/>
          <w:szCs w:val="20"/>
        </w:rPr>
        <w:t>jurídicas sejam praticados de acordo com as normas jurídicas vigentes e tenham</w:t>
      </w:r>
      <w:r>
        <w:rPr>
          <w:rFonts w:ascii="Arial" w:hAnsi="Arial" w:cs="Arial"/>
          <w:sz w:val="20"/>
          <w:szCs w:val="20"/>
        </w:rPr>
        <w:t xml:space="preserve"> </w:t>
      </w:r>
      <w:r w:rsidRPr="0028166A">
        <w:rPr>
          <w:rFonts w:ascii="Arial" w:hAnsi="Arial" w:cs="Arial"/>
          <w:sz w:val="20"/>
          <w:szCs w:val="20"/>
        </w:rPr>
        <w:t>efeitos duradouros, previstos ou calculados com base nessas mesmas normas.</w:t>
      </w:r>
    </w:p>
    <w:p w:rsidR="00A86FEC" w:rsidRDefault="00A86FEC" w:rsidP="00A86FEC">
      <w:pPr>
        <w:autoSpaceDE w:val="0"/>
        <w:autoSpaceDN w:val="0"/>
        <w:adjustRightInd w:val="0"/>
        <w:spacing w:after="0"/>
        <w:jc w:val="both"/>
        <w:rPr>
          <w:rFonts w:ascii="Arial" w:hAnsi="Arial" w:cs="Arial"/>
          <w:sz w:val="20"/>
          <w:szCs w:val="20"/>
        </w:rPr>
      </w:pPr>
    </w:p>
    <w:p w:rsidR="00A86FEC" w:rsidRDefault="00A86FEC" w:rsidP="00A86FEC">
      <w:pPr>
        <w:autoSpaceDE w:val="0"/>
        <w:autoSpaceDN w:val="0"/>
        <w:adjustRightInd w:val="0"/>
        <w:spacing w:after="0"/>
        <w:jc w:val="both"/>
        <w:rPr>
          <w:rFonts w:ascii="Arial" w:hAnsi="Arial" w:cs="Arial"/>
          <w:sz w:val="20"/>
          <w:szCs w:val="20"/>
        </w:rPr>
      </w:pPr>
      <w:r w:rsidRPr="00784CB5">
        <w:rPr>
          <w:rFonts w:ascii="Arial" w:hAnsi="Arial" w:cs="Arial"/>
          <w:sz w:val="20"/>
          <w:szCs w:val="20"/>
        </w:rPr>
        <w:t>Assim, a proteção da confiança e a segurança jurídica, enquanto</w:t>
      </w:r>
      <w:r>
        <w:rPr>
          <w:rFonts w:ascii="Arial" w:hAnsi="Arial" w:cs="Arial"/>
          <w:sz w:val="20"/>
          <w:szCs w:val="20"/>
        </w:rPr>
        <w:t xml:space="preserve"> </w:t>
      </w:r>
      <w:r w:rsidRPr="00784CB5">
        <w:rPr>
          <w:rFonts w:ascii="Arial" w:hAnsi="Arial" w:cs="Arial"/>
          <w:sz w:val="20"/>
          <w:szCs w:val="20"/>
        </w:rPr>
        <w:t>valores constitucionais de ordem ético-jurídica, vedam que a Administração anule</w:t>
      </w:r>
      <w:r>
        <w:rPr>
          <w:rFonts w:ascii="Arial" w:hAnsi="Arial" w:cs="Arial"/>
          <w:sz w:val="20"/>
          <w:szCs w:val="20"/>
        </w:rPr>
        <w:t xml:space="preserve"> </w:t>
      </w:r>
      <w:r w:rsidRPr="00784CB5">
        <w:rPr>
          <w:rFonts w:ascii="Arial" w:hAnsi="Arial" w:cs="Arial"/>
          <w:sz w:val="20"/>
          <w:szCs w:val="20"/>
        </w:rPr>
        <w:t>situações desconformes com o postulado da legalidade administrativa, quando</w:t>
      </w:r>
      <w:r>
        <w:rPr>
          <w:rFonts w:ascii="Arial" w:hAnsi="Arial" w:cs="Arial"/>
          <w:sz w:val="20"/>
          <w:szCs w:val="20"/>
        </w:rPr>
        <w:t xml:space="preserve"> </w:t>
      </w:r>
      <w:r w:rsidRPr="00784CB5">
        <w:rPr>
          <w:rFonts w:ascii="Arial" w:hAnsi="Arial" w:cs="Arial"/>
          <w:sz w:val="20"/>
          <w:szCs w:val="20"/>
        </w:rPr>
        <w:t>revestidas de aparência de legalidade, de boa-fé e consolidadas no tempo por</w:t>
      </w:r>
      <w:r>
        <w:rPr>
          <w:rFonts w:ascii="Arial" w:hAnsi="Arial" w:cs="Arial"/>
          <w:sz w:val="20"/>
          <w:szCs w:val="20"/>
        </w:rPr>
        <w:t xml:space="preserve"> </w:t>
      </w:r>
      <w:r w:rsidRPr="00784CB5">
        <w:rPr>
          <w:rFonts w:ascii="Arial" w:hAnsi="Arial" w:cs="Arial"/>
          <w:sz w:val="20"/>
          <w:szCs w:val="20"/>
        </w:rPr>
        <w:t>inércia do próprio ente público que as originou ou lhes deu causa.</w:t>
      </w:r>
    </w:p>
    <w:p w:rsidR="00A86FEC" w:rsidRDefault="00A86FEC" w:rsidP="00A86FEC">
      <w:pPr>
        <w:autoSpaceDE w:val="0"/>
        <w:autoSpaceDN w:val="0"/>
        <w:adjustRightInd w:val="0"/>
        <w:spacing w:after="0"/>
        <w:jc w:val="both"/>
        <w:rPr>
          <w:rFonts w:ascii="Arial" w:hAnsi="Arial" w:cs="Arial"/>
          <w:sz w:val="20"/>
          <w:szCs w:val="20"/>
        </w:rPr>
      </w:pPr>
    </w:p>
    <w:p w:rsidR="00A86FEC" w:rsidRDefault="00A86FEC" w:rsidP="00A86FEC">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622812/16 - </w:t>
      </w:r>
      <w:hyperlink r:id="rId8" w:history="1">
        <w:r w:rsidRPr="004E10F7">
          <w:rPr>
            <w:rStyle w:val="Hyperlink"/>
            <w:rFonts w:ascii="Arial" w:hAnsi="Arial" w:cs="Arial"/>
            <w:sz w:val="20"/>
            <w:szCs w:val="20"/>
          </w:rPr>
          <w:t>Acórdão n° 33/18 - Primeira Câmara</w:t>
        </w:r>
      </w:hyperlink>
      <w:r>
        <w:rPr>
          <w:rFonts w:ascii="Arial" w:hAnsi="Arial" w:cs="Arial"/>
          <w:sz w:val="20"/>
          <w:szCs w:val="20"/>
        </w:rPr>
        <w:t xml:space="preserve"> - Rel. Auditor Tiago Alvarez Pedroso.</w:t>
      </w:r>
    </w:p>
    <w:p w:rsidR="00920205" w:rsidRDefault="00920205" w:rsidP="00A86FEC">
      <w:pPr>
        <w:autoSpaceDE w:val="0"/>
        <w:autoSpaceDN w:val="0"/>
        <w:adjustRightInd w:val="0"/>
        <w:spacing w:after="0"/>
        <w:jc w:val="both"/>
        <w:rPr>
          <w:rFonts w:ascii="Arial" w:hAnsi="Arial" w:cs="Arial"/>
          <w:sz w:val="20"/>
          <w:szCs w:val="20"/>
        </w:rPr>
      </w:pPr>
    </w:p>
    <w:p w:rsidR="00920205" w:rsidRDefault="00995A32" w:rsidP="00920205">
      <w:pPr>
        <w:autoSpaceDE w:val="0"/>
        <w:autoSpaceDN w:val="0"/>
        <w:adjustRightInd w:val="0"/>
        <w:spacing w:after="0"/>
        <w:jc w:val="both"/>
        <w:rPr>
          <w:rFonts w:ascii="Arial" w:hAnsi="Arial" w:cs="Arial"/>
          <w:b/>
          <w:sz w:val="20"/>
        </w:rPr>
      </w:pPr>
      <w:r>
        <w:rPr>
          <w:rFonts w:ascii="Arial" w:hAnsi="Arial" w:cs="Arial"/>
          <w:b/>
          <w:sz w:val="20"/>
        </w:rPr>
        <w:t xml:space="preserve">2. </w:t>
      </w:r>
      <w:r w:rsidR="00920205" w:rsidRPr="006F76A9">
        <w:rPr>
          <w:rFonts w:ascii="Arial" w:hAnsi="Arial" w:cs="Arial"/>
          <w:b/>
          <w:sz w:val="20"/>
        </w:rPr>
        <w:t>Tomada de Contas Extraordinária.</w:t>
      </w:r>
      <w:r w:rsidR="00920205">
        <w:rPr>
          <w:rFonts w:ascii="Arial" w:hAnsi="Arial" w:cs="Arial"/>
          <w:b/>
          <w:sz w:val="20"/>
        </w:rPr>
        <w:t xml:space="preserve"> Administração Pública. Diárias. Licitude. Interesse público. Justificativa. Economicidade. Eficiência.</w:t>
      </w:r>
    </w:p>
    <w:p w:rsidR="00461FD2" w:rsidRPr="006F76A9" w:rsidRDefault="00461FD2" w:rsidP="00920205">
      <w:pPr>
        <w:autoSpaceDE w:val="0"/>
        <w:autoSpaceDN w:val="0"/>
        <w:adjustRightInd w:val="0"/>
        <w:spacing w:after="0"/>
        <w:jc w:val="both"/>
        <w:rPr>
          <w:rFonts w:ascii="Arial" w:hAnsi="Arial" w:cs="Arial"/>
          <w:b/>
          <w:sz w:val="18"/>
          <w:szCs w:val="20"/>
        </w:rPr>
      </w:pPr>
    </w:p>
    <w:p w:rsidR="00920205" w:rsidRDefault="00920205" w:rsidP="00920205">
      <w:pPr>
        <w:autoSpaceDE w:val="0"/>
        <w:autoSpaceDN w:val="0"/>
        <w:adjustRightInd w:val="0"/>
        <w:spacing w:after="0"/>
        <w:jc w:val="both"/>
        <w:rPr>
          <w:rFonts w:ascii="Arial" w:hAnsi="Arial" w:cs="Arial"/>
          <w:sz w:val="20"/>
          <w:szCs w:val="20"/>
        </w:rPr>
      </w:pPr>
      <w:r w:rsidRPr="006F76A9">
        <w:rPr>
          <w:rFonts w:ascii="Arial" w:hAnsi="Arial" w:cs="Arial"/>
          <w:sz w:val="20"/>
          <w:szCs w:val="20"/>
        </w:rPr>
        <w:lastRenderedPageBreak/>
        <w:t xml:space="preserve">O pagamento de diárias é possível e lícito, contudo deve ser previsto em lei e realizado apenas mediante interesse público. Ademais, esse tipo de despesa deve ser </w:t>
      </w:r>
      <w:proofErr w:type="gramStart"/>
      <w:r w:rsidRPr="006F76A9">
        <w:rPr>
          <w:rFonts w:ascii="Arial" w:hAnsi="Arial" w:cs="Arial"/>
          <w:sz w:val="20"/>
          <w:szCs w:val="20"/>
        </w:rPr>
        <w:t>pensada e realizada</w:t>
      </w:r>
      <w:proofErr w:type="gramEnd"/>
      <w:r w:rsidRPr="006F76A9">
        <w:rPr>
          <w:rFonts w:ascii="Arial" w:hAnsi="Arial" w:cs="Arial"/>
          <w:sz w:val="20"/>
          <w:szCs w:val="20"/>
        </w:rPr>
        <w:t xml:space="preserve"> com estrita observância aos princípios constitucionais que regem a administração pública. A administração pública deve perseguir rigorosamente a eficiência e a economicidade no planejamento e execução dos gastos públicos, evitando aqueles que não se destinam a uma finalidade exclusivamente pública, ainda que indireta.</w:t>
      </w:r>
    </w:p>
    <w:p w:rsidR="00920205" w:rsidRDefault="00920205" w:rsidP="00920205">
      <w:pPr>
        <w:autoSpaceDE w:val="0"/>
        <w:autoSpaceDN w:val="0"/>
        <w:adjustRightInd w:val="0"/>
        <w:spacing w:after="0"/>
        <w:jc w:val="both"/>
        <w:rPr>
          <w:rFonts w:ascii="Arial" w:hAnsi="Arial" w:cs="Arial"/>
          <w:sz w:val="20"/>
          <w:szCs w:val="20"/>
        </w:rPr>
      </w:pPr>
    </w:p>
    <w:p w:rsidR="00920205" w:rsidRPr="001C155B" w:rsidRDefault="00920205" w:rsidP="00920205">
      <w:pPr>
        <w:autoSpaceDE w:val="0"/>
        <w:autoSpaceDN w:val="0"/>
        <w:adjustRightInd w:val="0"/>
        <w:spacing w:after="0"/>
        <w:jc w:val="both"/>
        <w:rPr>
          <w:rFonts w:ascii="Arial" w:hAnsi="Arial" w:cs="Arial"/>
          <w:sz w:val="20"/>
          <w:szCs w:val="20"/>
        </w:rPr>
      </w:pPr>
      <w:r w:rsidRPr="001C155B">
        <w:rPr>
          <w:rFonts w:ascii="Arial" w:hAnsi="Arial" w:cs="Arial"/>
          <w:sz w:val="20"/>
          <w:szCs w:val="20"/>
        </w:rPr>
        <w:t>Processo</w:t>
      </w:r>
      <w:r w:rsidR="00087F2B">
        <w:rPr>
          <w:rFonts w:ascii="Arial" w:hAnsi="Arial" w:cs="Arial"/>
          <w:sz w:val="20"/>
          <w:szCs w:val="20"/>
        </w:rPr>
        <w:t xml:space="preserve"> n°</w:t>
      </w:r>
      <w:r w:rsidRPr="001C155B">
        <w:rPr>
          <w:rFonts w:ascii="Arial" w:hAnsi="Arial" w:cs="Arial"/>
          <w:sz w:val="20"/>
          <w:szCs w:val="20"/>
        </w:rPr>
        <w:t xml:space="preserve"> 889983/16</w:t>
      </w:r>
      <w:r>
        <w:rPr>
          <w:rFonts w:ascii="Arial" w:hAnsi="Arial" w:cs="Arial"/>
          <w:sz w:val="20"/>
          <w:szCs w:val="20"/>
        </w:rPr>
        <w:t xml:space="preserve"> - </w:t>
      </w:r>
      <w:hyperlink r:id="rId9" w:history="1">
        <w:r w:rsidRPr="00620C81">
          <w:rPr>
            <w:rStyle w:val="Hyperlink"/>
            <w:rFonts w:ascii="Arial" w:hAnsi="Arial" w:cs="Arial"/>
            <w:sz w:val="20"/>
            <w:szCs w:val="20"/>
          </w:rPr>
          <w:t xml:space="preserve">Acórdão nº 112/18 </w:t>
        </w:r>
        <w:r>
          <w:rPr>
            <w:rStyle w:val="Hyperlink"/>
            <w:rFonts w:ascii="Arial" w:hAnsi="Arial" w:cs="Arial"/>
            <w:sz w:val="20"/>
            <w:szCs w:val="20"/>
          </w:rPr>
          <w:t>-</w:t>
        </w:r>
        <w:r w:rsidRPr="00620C81">
          <w:rPr>
            <w:rStyle w:val="Hyperlink"/>
            <w:rFonts w:ascii="Arial" w:hAnsi="Arial" w:cs="Arial"/>
            <w:sz w:val="20"/>
            <w:szCs w:val="20"/>
          </w:rPr>
          <w:t xml:space="preserve"> Primeira Câmara</w:t>
        </w:r>
      </w:hyperlink>
      <w:r w:rsidRPr="00920205">
        <w:rPr>
          <w:rStyle w:val="Hyperlink"/>
          <w:rFonts w:ascii="Arial" w:hAnsi="Arial" w:cs="Arial"/>
          <w:sz w:val="20"/>
          <w:szCs w:val="20"/>
          <w:u w:val="none"/>
        </w:rPr>
        <w:t xml:space="preserve"> </w:t>
      </w:r>
      <w:r>
        <w:rPr>
          <w:rStyle w:val="Hyperlink"/>
          <w:rFonts w:ascii="Arial" w:hAnsi="Arial" w:cs="Arial"/>
          <w:sz w:val="20"/>
          <w:szCs w:val="20"/>
          <w:u w:val="none"/>
        </w:rPr>
        <w:t xml:space="preserve">- </w:t>
      </w:r>
      <w:r w:rsidRPr="001C155B">
        <w:rPr>
          <w:rFonts w:ascii="Arial" w:hAnsi="Arial" w:cs="Arial"/>
          <w:sz w:val="20"/>
          <w:szCs w:val="20"/>
        </w:rPr>
        <w:t>Relator Conselheiro Nestor Baptista.</w:t>
      </w:r>
    </w:p>
    <w:p w:rsidR="00920205" w:rsidRDefault="00920205" w:rsidP="00920205">
      <w:pPr>
        <w:autoSpaceDE w:val="0"/>
        <w:autoSpaceDN w:val="0"/>
        <w:adjustRightInd w:val="0"/>
        <w:spacing w:after="0"/>
        <w:jc w:val="both"/>
        <w:rPr>
          <w:rFonts w:ascii="Arial" w:hAnsi="Arial" w:cs="Arial"/>
          <w:b/>
          <w:sz w:val="20"/>
          <w:szCs w:val="20"/>
        </w:rPr>
      </w:pPr>
    </w:p>
    <w:p w:rsidR="00A86FEC" w:rsidRPr="0022060B" w:rsidRDefault="00A86FEC" w:rsidP="00A86FEC">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5F7E35" w:rsidRDefault="005F7E35" w:rsidP="00816942">
      <w:pPr>
        <w:autoSpaceDE w:val="0"/>
        <w:autoSpaceDN w:val="0"/>
        <w:adjustRightInd w:val="0"/>
        <w:spacing w:after="0"/>
        <w:jc w:val="both"/>
        <w:rPr>
          <w:rFonts w:ascii="Arial" w:hAnsi="Arial" w:cs="Arial"/>
          <w:sz w:val="20"/>
          <w:szCs w:val="20"/>
        </w:rPr>
      </w:pPr>
    </w:p>
    <w:p w:rsidR="004429A2" w:rsidRPr="00C25888" w:rsidRDefault="00995A32" w:rsidP="00C25888">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3. </w:t>
      </w:r>
      <w:r w:rsidR="00B25CE6" w:rsidRPr="00C25888">
        <w:rPr>
          <w:rFonts w:ascii="Arial" w:hAnsi="Arial" w:cs="Arial"/>
          <w:b/>
          <w:sz w:val="20"/>
          <w:szCs w:val="20"/>
        </w:rPr>
        <w:t>Prestação de Contas Anual</w:t>
      </w:r>
      <w:r w:rsidR="00087F2B">
        <w:rPr>
          <w:rFonts w:ascii="Arial" w:hAnsi="Arial" w:cs="Arial"/>
          <w:b/>
          <w:sz w:val="20"/>
          <w:szCs w:val="20"/>
        </w:rPr>
        <w:t>.</w:t>
      </w:r>
      <w:r w:rsidR="00C25888" w:rsidRPr="00C25888">
        <w:rPr>
          <w:rFonts w:ascii="Arial" w:hAnsi="Arial" w:cs="Arial"/>
          <w:b/>
          <w:sz w:val="20"/>
          <w:szCs w:val="20"/>
        </w:rPr>
        <w:t xml:space="preserve"> Ausência de registro de servidores no sistema SIMAP. Possível acúmulo de cargos por servidor. Remessa dos autos à Coordenadoria de Fiscalização de Atos de Pessoal para adoção de providências.</w:t>
      </w:r>
      <w:r w:rsidR="000D1E88" w:rsidRPr="00C25888">
        <w:rPr>
          <w:rFonts w:ascii="Arial" w:hAnsi="Arial" w:cs="Arial"/>
          <w:b/>
          <w:sz w:val="20"/>
          <w:szCs w:val="20"/>
        </w:rPr>
        <w:t xml:space="preserve"> Regularidade.</w:t>
      </w:r>
    </w:p>
    <w:p w:rsidR="000D1E88" w:rsidRDefault="000D1E88" w:rsidP="000D1E88">
      <w:pPr>
        <w:autoSpaceDE w:val="0"/>
        <w:autoSpaceDN w:val="0"/>
        <w:adjustRightInd w:val="0"/>
        <w:spacing w:after="0" w:line="240" w:lineRule="auto"/>
        <w:jc w:val="both"/>
        <w:rPr>
          <w:rFonts w:ascii="Arial" w:hAnsi="Arial" w:cs="Arial"/>
          <w:b/>
          <w:sz w:val="20"/>
          <w:szCs w:val="20"/>
        </w:rPr>
      </w:pPr>
    </w:p>
    <w:p w:rsidR="000D1E88" w:rsidRPr="000D1E88" w:rsidRDefault="000D1E88" w:rsidP="000D1E88">
      <w:pPr>
        <w:autoSpaceDE w:val="0"/>
        <w:autoSpaceDN w:val="0"/>
        <w:adjustRightInd w:val="0"/>
        <w:spacing w:after="0"/>
        <w:jc w:val="both"/>
        <w:rPr>
          <w:rFonts w:ascii="Arial" w:hAnsi="Arial" w:cs="Arial"/>
          <w:i/>
          <w:iCs/>
          <w:sz w:val="20"/>
          <w:szCs w:val="20"/>
        </w:rPr>
      </w:pPr>
      <w:r w:rsidRPr="000D1E88">
        <w:rPr>
          <w:rFonts w:ascii="Arial" w:hAnsi="Arial" w:cs="Arial"/>
          <w:sz w:val="20"/>
          <w:szCs w:val="20"/>
        </w:rPr>
        <w:t>É</w:t>
      </w:r>
      <w:r>
        <w:rPr>
          <w:rFonts w:ascii="Arial" w:hAnsi="Arial" w:cs="Arial"/>
          <w:sz w:val="20"/>
          <w:szCs w:val="20"/>
        </w:rPr>
        <w:t xml:space="preserve"> </w:t>
      </w:r>
      <w:r w:rsidRPr="000D1E88">
        <w:rPr>
          <w:rFonts w:ascii="Arial" w:hAnsi="Arial" w:cs="Arial"/>
          <w:sz w:val="20"/>
          <w:szCs w:val="20"/>
        </w:rPr>
        <w:t>oportuno destacar que, em face da disposição</w:t>
      </w:r>
      <w:r>
        <w:rPr>
          <w:rFonts w:ascii="Arial" w:hAnsi="Arial" w:cs="Arial"/>
          <w:sz w:val="20"/>
          <w:szCs w:val="20"/>
        </w:rPr>
        <w:t xml:space="preserve"> </w:t>
      </w:r>
      <w:r w:rsidRPr="000D1E88">
        <w:rPr>
          <w:rFonts w:ascii="Arial" w:hAnsi="Arial" w:cs="Arial"/>
          <w:sz w:val="20"/>
          <w:szCs w:val="20"/>
        </w:rPr>
        <w:t>expressa do art. 226, §2º, do Regimento Interno, decorrente do exercício do poder</w:t>
      </w:r>
      <w:r>
        <w:rPr>
          <w:rFonts w:ascii="Arial" w:hAnsi="Arial" w:cs="Arial"/>
          <w:sz w:val="20"/>
          <w:szCs w:val="20"/>
        </w:rPr>
        <w:t xml:space="preserve"> </w:t>
      </w:r>
      <w:r w:rsidRPr="000D1E88">
        <w:rPr>
          <w:rFonts w:ascii="Arial" w:hAnsi="Arial" w:cs="Arial"/>
          <w:sz w:val="20"/>
          <w:szCs w:val="20"/>
        </w:rPr>
        <w:t>de auto-regulamentação desta Corte, previsto no art. 2º, I, de sua Lei Orgânica, “</w:t>
      </w:r>
      <w:r w:rsidRPr="000D1E88">
        <w:rPr>
          <w:rFonts w:ascii="Arial" w:hAnsi="Arial" w:cs="Arial"/>
          <w:i/>
          <w:iCs/>
          <w:sz w:val="20"/>
          <w:szCs w:val="20"/>
        </w:rPr>
        <w:t>O</w:t>
      </w:r>
      <w:r>
        <w:rPr>
          <w:rFonts w:ascii="Arial" w:hAnsi="Arial" w:cs="Arial"/>
          <w:i/>
          <w:iCs/>
          <w:sz w:val="20"/>
          <w:szCs w:val="20"/>
        </w:rPr>
        <w:t xml:space="preserve"> </w:t>
      </w:r>
      <w:r w:rsidRPr="000D1E88">
        <w:rPr>
          <w:rFonts w:ascii="Arial" w:hAnsi="Arial" w:cs="Arial"/>
          <w:i/>
          <w:iCs/>
          <w:sz w:val="20"/>
          <w:szCs w:val="20"/>
        </w:rPr>
        <w:t>escopo de análise das prestações de contas anuais de gestão e a forma e</w:t>
      </w:r>
    </w:p>
    <w:p w:rsidR="000D1E88" w:rsidRDefault="000D1E88" w:rsidP="000D1E88">
      <w:pPr>
        <w:autoSpaceDE w:val="0"/>
        <w:autoSpaceDN w:val="0"/>
        <w:adjustRightInd w:val="0"/>
        <w:spacing w:after="0"/>
        <w:jc w:val="both"/>
        <w:rPr>
          <w:rFonts w:ascii="Arial" w:hAnsi="Arial" w:cs="Arial"/>
          <w:sz w:val="20"/>
          <w:szCs w:val="20"/>
        </w:rPr>
      </w:pPr>
      <w:proofErr w:type="gramStart"/>
      <w:r w:rsidRPr="000D1E88">
        <w:rPr>
          <w:rFonts w:ascii="Arial" w:hAnsi="Arial" w:cs="Arial"/>
          <w:i/>
          <w:iCs/>
          <w:sz w:val="20"/>
          <w:szCs w:val="20"/>
        </w:rPr>
        <w:t>composição</w:t>
      </w:r>
      <w:proofErr w:type="gramEnd"/>
      <w:r w:rsidRPr="000D1E88">
        <w:rPr>
          <w:rFonts w:ascii="Arial" w:hAnsi="Arial" w:cs="Arial"/>
          <w:i/>
          <w:iCs/>
          <w:sz w:val="20"/>
          <w:szCs w:val="20"/>
        </w:rPr>
        <w:t xml:space="preserve"> da Prestação de Contas Municipal </w:t>
      </w:r>
      <w:r>
        <w:rPr>
          <w:rFonts w:ascii="Arial" w:hAnsi="Arial" w:cs="Arial"/>
          <w:i/>
          <w:iCs/>
          <w:sz w:val="20"/>
          <w:szCs w:val="20"/>
        </w:rPr>
        <w:t>-</w:t>
      </w:r>
      <w:r w:rsidRPr="000D1E88">
        <w:rPr>
          <w:rFonts w:ascii="Arial" w:hAnsi="Arial" w:cs="Arial"/>
          <w:i/>
          <w:iCs/>
          <w:sz w:val="20"/>
          <w:szCs w:val="20"/>
        </w:rPr>
        <w:t xml:space="preserve"> PCA, serão disciplinadas por</w:t>
      </w:r>
      <w:r>
        <w:rPr>
          <w:rFonts w:ascii="Arial" w:hAnsi="Arial" w:cs="Arial"/>
          <w:i/>
          <w:iCs/>
          <w:sz w:val="20"/>
          <w:szCs w:val="20"/>
        </w:rPr>
        <w:t xml:space="preserve"> </w:t>
      </w:r>
      <w:r w:rsidRPr="000D1E88">
        <w:rPr>
          <w:rFonts w:ascii="Arial" w:hAnsi="Arial" w:cs="Arial"/>
          <w:i/>
          <w:iCs/>
          <w:sz w:val="20"/>
          <w:szCs w:val="20"/>
        </w:rPr>
        <w:t>Instrução Normativa</w:t>
      </w:r>
      <w:r w:rsidRPr="000D1E88">
        <w:rPr>
          <w:rFonts w:ascii="Arial" w:hAnsi="Arial" w:cs="Arial"/>
          <w:sz w:val="20"/>
          <w:szCs w:val="20"/>
        </w:rPr>
        <w:t>” (grifamos).</w:t>
      </w:r>
    </w:p>
    <w:p w:rsidR="000D1E88" w:rsidRPr="000D1E88" w:rsidRDefault="000D1E88" w:rsidP="000D1E88">
      <w:pPr>
        <w:autoSpaceDE w:val="0"/>
        <w:autoSpaceDN w:val="0"/>
        <w:adjustRightInd w:val="0"/>
        <w:spacing w:after="0"/>
        <w:jc w:val="both"/>
        <w:rPr>
          <w:rFonts w:ascii="Arial" w:hAnsi="Arial" w:cs="Arial"/>
          <w:sz w:val="20"/>
          <w:szCs w:val="20"/>
        </w:rPr>
      </w:pPr>
    </w:p>
    <w:p w:rsidR="000D1E88" w:rsidRPr="000D1E88" w:rsidRDefault="000D1E88" w:rsidP="000D1E88">
      <w:pPr>
        <w:autoSpaceDE w:val="0"/>
        <w:autoSpaceDN w:val="0"/>
        <w:adjustRightInd w:val="0"/>
        <w:spacing w:after="0"/>
        <w:jc w:val="both"/>
        <w:rPr>
          <w:rFonts w:ascii="Arial" w:hAnsi="Arial" w:cs="Arial"/>
          <w:sz w:val="20"/>
          <w:szCs w:val="20"/>
        </w:rPr>
      </w:pPr>
      <w:r w:rsidRPr="000D1E88">
        <w:rPr>
          <w:rFonts w:ascii="Arial" w:hAnsi="Arial" w:cs="Arial"/>
          <w:sz w:val="20"/>
          <w:szCs w:val="20"/>
        </w:rPr>
        <w:t>Acrescente-se que, à exceção da ausência de registro de servidores</w:t>
      </w:r>
      <w:r>
        <w:rPr>
          <w:rFonts w:ascii="Arial" w:hAnsi="Arial" w:cs="Arial"/>
          <w:sz w:val="20"/>
          <w:szCs w:val="20"/>
        </w:rPr>
        <w:t xml:space="preserve"> </w:t>
      </w:r>
      <w:r w:rsidRPr="000D1E88">
        <w:rPr>
          <w:rFonts w:ascii="Arial" w:hAnsi="Arial" w:cs="Arial"/>
          <w:sz w:val="20"/>
          <w:szCs w:val="20"/>
        </w:rPr>
        <w:t>no SIM-AP, os pedidos de documentação complementar e de esclarecimentos</w:t>
      </w:r>
      <w:r>
        <w:rPr>
          <w:rFonts w:ascii="Arial" w:hAnsi="Arial" w:cs="Arial"/>
          <w:sz w:val="20"/>
          <w:szCs w:val="20"/>
        </w:rPr>
        <w:t xml:space="preserve"> </w:t>
      </w:r>
      <w:r w:rsidRPr="000D1E88">
        <w:rPr>
          <w:rFonts w:ascii="Arial" w:hAnsi="Arial" w:cs="Arial"/>
          <w:sz w:val="20"/>
          <w:szCs w:val="20"/>
        </w:rPr>
        <w:t>formulado pelo Ministério Público de Contas não identificam situações concretas de</w:t>
      </w:r>
      <w:r>
        <w:rPr>
          <w:rFonts w:ascii="Arial" w:hAnsi="Arial" w:cs="Arial"/>
          <w:sz w:val="20"/>
          <w:szCs w:val="20"/>
        </w:rPr>
        <w:t xml:space="preserve"> </w:t>
      </w:r>
      <w:r w:rsidRPr="000D1E88">
        <w:rPr>
          <w:rFonts w:ascii="Arial" w:hAnsi="Arial" w:cs="Arial"/>
          <w:sz w:val="20"/>
          <w:szCs w:val="20"/>
        </w:rPr>
        <w:t>eventuais irregularidades, mas, projetam a instrução, abstratamente, para além do</w:t>
      </w:r>
      <w:r>
        <w:rPr>
          <w:rFonts w:ascii="Arial" w:hAnsi="Arial" w:cs="Arial"/>
          <w:sz w:val="20"/>
          <w:szCs w:val="20"/>
        </w:rPr>
        <w:t xml:space="preserve"> </w:t>
      </w:r>
      <w:r w:rsidRPr="000D1E88">
        <w:rPr>
          <w:rFonts w:ascii="Arial" w:hAnsi="Arial" w:cs="Arial"/>
          <w:sz w:val="20"/>
          <w:szCs w:val="20"/>
        </w:rPr>
        <w:t>seu escopo original, circunstâncias em que esses pedidos têm sido</w:t>
      </w:r>
    </w:p>
    <w:p w:rsidR="000D1E88" w:rsidRDefault="000D1E88" w:rsidP="000D1E88">
      <w:pPr>
        <w:autoSpaceDE w:val="0"/>
        <w:autoSpaceDN w:val="0"/>
        <w:adjustRightInd w:val="0"/>
        <w:spacing w:after="0"/>
        <w:jc w:val="both"/>
        <w:rPr>
          <w:rFonts w:ascii="Arial" w:hAnsi="Arial" w:cs="Arial"/>
          <w:sz w:val="20"/>
          <w:szCs w:val="20"/>
        </w:rPr>
      </w:pPr>
      <w:proofErr w:type="gramStart"/>
      <w:r w:rsidRPr="000D1E88">
        <w:rPr>
          <w:rFonts w:ascii="Arial" w:hAnsi="Arial" w:cs="Arial"/>
          <w:sz w:val="20"/>
          <w:szCs w:val="20"/>
        </w:rPr>
        <w:t>sistematicamente</w:t>
      </w:r>
      <w:proofErr w:type="gramEnd"/>
      <w:r w:rsidRPr="000D1E88">
        <w:rPr>
          <w:rFonts w:ascii="Arial" w:hAnsi="Arial" w:cs="Arial"/>
          <w:sz w:val="20"/>
          <w:szCs w:val="20"/>
        </w:rPr>
        <w:t xml:space="preserve"> indeferidos, ressalvada a possibilidade de modificação do referido</w:t>
      </w:r>
      <w:r>
        <w:rPr>
          <w:rFonts w:ascii="Arial" w:hAnsi="Arial" w:cs="Arial"/>
          <w:sz w:val="20"/>
          <w:szCs w:val="20"/>
        </w:rPr>
        <w:t xml:space="preserve"> </w:t>
      </w:r>
      <w:r w:rsidRPr="000D1E88">
        <w:rPr>
          <w:rFonts w:ascii="Arial" w:hAnsi="Arial" w:cs="Arial"/>
          <w:sz w:val="20"/>
          <w:szCs w:val="20"/>
        </w:rPr>
        <w:t>escopo de análise, na forma apontada pela Unidade Técnica.</w:t>
      </w:r>
    </w:p>
    <w:p w:rsidR="000D1E88" w:rsidRPr="000D1E88" w:rsidRDefault="000D1E88" w:rsidP="000D1E88">
      <w:pPr>
        <w:autoSpaceDE w:val="0"/>
        <w:autoSpaceDN w:val="0"/>
        <w:adjustRightInd w:val="0"/>
        <w:spacing w:after="0"/>
        <w:jc w:val="both"/>
        <w:rPr>
          <w:rFonts w:ascii="Arial" w:hAnsi="Arial" w:cs="Arial"/>
          <w:sz w:val="20"/>
          <w:szCs w:val="20"/>
        </w:rPr>
      </w:pPr>
    </w:p>
    <w:p w:rsidR="000D1E88" w:rsidRDefault="000D1E88" w:rsidP="000D1E88">
      <w:pPr>
        <w:autoSpaceDE w:val="0"/>
        <w:autoSpaceDN w:val="0"/>
        <w:adjustRightInd w:val="0"/>
        <w:spacing w:after="0"/>
        <w:jc w:val="both"/>
        <w:rPr>
          <w:rFonts w:ascii="Arial" w:hAnsi="Arial" w:cs="Arial"/>
          <w:sz w:val="20"/>
          <w:szCs w:val="20"/>
        </w:rPr>
      </w:pPr>
      <w:r w:rsidRPr="000D1E88">
        <w:rPr>
          <w:rFonts w:ascii="Arial" w:hAnsi="Arial" w:cs="Arial"/>
          <w:sz w:val="20"/>
          <w:szCs w:val="20"/>
        </w:rPr>
        <w:t>Com relação à ausência de registro dos servidores, mostra-se mais</w:t>
      </w:r>
      <w:r>
        <w:rPr>
          <w:rFonts w:ascii="Arial" w:hAnsi="Arial" w:cs="Arial"/>
          <w:sz w:val="20"/>
          <w:szCs w:val="20"/>
        </w:rPr>
        <w:t xml:space="preserve"> </w:t>
      </w:r>
      <w:r w:rsidRPr="000D1E88">
        <w:rPr>
          <w:rFonts w:ascii="Arial" w:hAnsi="Arial" w:cs="Arial"/>
          <w:sz w:val="20"/>
          <w:szCs w:val="20"/>
        </w:rPr>
        <w:t>eficiente o encaminhamento dos autos à Coordenadoria de Fiscalização de Atos de</w:t>
      </w:r>
      <w:r>
        <w:rPr>
          <w:rFonts w:ascii="Arial" w:hAnsi="Arial" w:cs="Arial"/>
          <w:sz w:val="20"/>
          <w:szCs w:val="20"/>
        </w:rPr>
        <w:t xml:space="preserve"> </w:t>
      </w:r>
      <w:r w:rsidRPr="000D1E88">
        <w:rPr>
          <w:rFonts w:ascii="Arial" w:hAnsi="Arial" w:cs="Arial"/>
          <w:sz w:val="20"/>
          <w:szCs w:val="20"/>
        </w:rPr>
        <w:t>Pessoal, competente para a análise específica da matéria, a fim de que, no âmbito</w:t>
      </w:r>
      <w:r>
        <w:rPr>
          <w:rFonts w:ascii="Arial" w:hAnsi="Arial" w:cs="Arial"/>
          <w:sz w:val="20"/>
          <w:szCs w:val="20"/>
        </w:rPr>
        <w:t xml:space="preserve"> </w:t>
      </w:r>
      <w:r w:rsidRPr="000D1E88">
        <w:rPr>
          <w:rFonts w:ascii="Arial" w:hAnsi="Arial" w:cs="Arial"/>
          <w:sz w:val="20"/>
          <w:szCs w:val="20"/>
        </w:rPr>
        <w:t>de sua atuação, adote as providências que entender pertinentes.</w:t>
      </w:r>
      <w:r w:rsidR="00703BA9">
        <w:rPr>
          <w:rFonts w:ascii="Arial" w:hAnsi="Arial" w:cs="Arial"/>
          <w:sz w:val="20"/>
          <w:szCs w:val="20"/>
        </w:rPr>
        <w:t xml:space="preserve"> </w:t>
      </w:r>
      <w:r w:rsidRPr="000D1E88">
        <w:rPr>
          <w:rFonts w:ascii="Arial" w:hAnsi="Arial" w:cs="Arial"/>
          <w:sz w:val="20"/>
          <w:szCs w:val="20"/>
        </w:rPr>
        <w:t xml:space="preserve">Assim, não subsistem os argumentos do </w:t>
      </w:r>
      <w:r w:rsidRPr="000D1E88">
        <w:rPr>
          <w:rFonts w:ascii="Arial" w:hAnsi="Arial" w:cs="Arial"/>
          <w:i/>
          <w:iCs/>
          <w:sz w:val="20"/>
          <w:szCs w:val="20"/>
        </w:rPr>
        <w:t xml:space="preserve">Parquet </w:t>
      </w:r>
      <w:r w:rsidRPr="000D1E88">
        <w:rPr>
          <w:rFonts w:ascii="Arial" w:hAnsi="Arial" w:cs="Arial"/>
          <w:sz w:val="20"/>
          <w:szCs w:val="20"/>
        </w:rPr>
        <w:t>quanto à</w:t>
      </w:r>
      <w:r w:rsidR="00703BA9">
        <w:rPr>
          <w:rFonts w:ascii="Arial" w:hAnsi="Arial" w:cs="Arial"/>
          <w:sz w:val="20"/>
          <w:szCs w:val="20"/>
        </w:rPr>
        <w:t xml:space="preserve"> </w:t>
      </w:r>
      <w:r w:rsidRPr="000D1E88">
        <w:rPr>
          <w:rFonts w:ascii="Arial" w:hAnsi="Arial" w:cs="Arial"/>
          <w:sz w:val="20"/>
          <w:szCs w:val="20"/>
        </w:rPr>
        <w:t>impossibilidade de análise da presente prestação de contas.</w:t>
      </w:r>
    </w:p>
    <w:p w:rsidR="00703BA9" w:rsidRDefault="00703BA9" w:rsidP="000D1E88">
      <w:pPr>
        <w:autoSpaceDE w:val="0"/>
        <w:autoSpaceDN w:val="0"/>
        <w:adjustRightInd w:val="0"/>
        <w:spacing w:after="0"/>
        <w:jc w:val="both"/>
        <w:rPr>
          <w:rFonts w:ascii="Arial" w:hAnsi="Arial" w:cs="Arial"/>
          <w:b/>
          <w:sz w:val="20"/>
          <w:szCs w:val="20"/>
        </w:rPr>
      </w:pPr>
    </w:p>
    <w:p w:rsidR="00A4538C" w:rsidRDefault="00A4538C" w:rsidP="000D1E88">
      <w:pPr>
        <w:autoSpaceDE w:val="0"/>
        <w:autoSpaceDN w:val="0"/>
        <w:adjustRightInd w:val="0"/>
        <w:spacing w:after="0"/>
        <w:jc w:val="both"/>
        <w:rPr>
          <w:rFonts w:ascii="Arial" w:hAnsi="Arial" w:cs="Arial"/>
          <w:sz w:val="20"/>
          <w:szCs w:val="20"/>
        </w:rPr>
      </w:pPr>
      <w:r w:rsidRPr="00A86FEC">
        <w:rPr>
          <w:rFonts w:ascii="Arial" w:hAnsi="Arial" w:cs="Arial"/>
          <w:sz w:val="20"/>
          <w:szCs w:val="20"/>
        </w:rPr>
        <w:t xml:space="preserve">Processo n° 253272/16 - </w:t>
      </w:r>
      <w:hyperlink r:id="rId10" w:history="1">
        <w:r w:rsidRPr="00A86FEC">
          <w:rPr>
            <w:rStyle w:val="Hyperlink"/>
            <w:rFonts w:ascii="Arial" w:hAnsi="Arial" w:cs="Arial"/>
            <w:sz w:val="20"/>
            <w:szCs w:val="20"/>
          </w:rPr>
          <w:t>Acórdão n° 151/18 - Segunda Câmara</w:t>
        </w:r>
      </w:hyperlink>
      <w:r w:rsidRPr="00A86FEC">
        <w:rPr>
          <w:rFonts w:ascii="Arial" w:hAnsi="Arial" w:cs="Arial"/>
          <w:sz w:val="20"/>
          <w:szCs w:val="20"/>
        </w:rPr>
        <w:t xml:space="preserve"> - Rel. Conselheiro Ivens Zs</w:t>
      </w:r>
      <w:r w:rsidR="003F2CD0">
        <w:rPr>
          <w:rFonts w:ascii="Arial" w:hAnsi="Arial" w:cs="Arial"/>
          <w:sz w:val="20"/>
          <w:szCs w:val="20"/>
        </w:rPr>
        <w:t>c</w:t>
      </w:r>
      <w:r w:rsidRPr="00A86FEC">
        <w:rPr>
          <w:rFonts w:ascii="Arial" w:hAnsi="Arial" w:cs="Arial"/>
          <w:sz w:val="20"/>
          <w:szCs w:val="20"/>
        </w:rPr>
        <w:t>hoerper Linhares.</w:t>
      </w:r>
    </w:p>
    <w:p w:rsidR="00D53B20" w:rsidRDefault="00D53B20" w:rsidP="00132B9F">
      <w:pPr>
        <w:spacing w:after="0"/>
        <w:jc w:val="both"/>
        <w:rPr>
          <w:rFonts w:ascii="Arial" w:hAnsi="Arial" w:cs="Arial"/>
          <w:b/>
          <w:sz w:val="20"/>
          <w:szCs w:val="20"/>
        </w:rPr>
      </w:pPr>
      <w:bookmarkStart w:id="0" w:name="_GoBack"/>
      <w:bookmarkEnd w:id="0"/>
    </w:p>
    <w:p w:rsidR="00091A89" w:rsidRDefault="0079113C" w:rsidP="00132B9F">
      <w:pPr>
        <w:spacing w:after="0"/>
        <w:jc w:val="both"/>
        <w:rPr>
          <w:rFonts w:ascii="Arial" w:hAnsi="Arial" w:cs="Arial"/>
          <w:b/>
          <w:sz w:val="20"/>
          <w:szCs w:val="20"/>
        </w:rPr>
      </w:pPr>
      <w:r>
        <w:rPr>
          <w:rFonts w:ascii="Arial" w:hAnsi="Arial" w:cs="Arial"/>
          <w:b/>
          <w:sz w:val="20"/>
          <w:szCs w:val="20"/>
        </w:rPr>
        <w:t xml:space="preserve">4. </w:t>
      </w:r>
      <w:r w:rsidR="00091A89" w:rsidRPr="008B30B5">
        <w:rPr>
          <w:rFonts w:ascii="Arial" w:hAnsi="Arial" w:cs="Arial"/>
          <w:b/>
          <w:sz w:val="20"/>
          <w:szCs w:val="20"/>
        </w:rPr>
        <w:t xml:space="preserve">Comunicação de Irregularidade convertida em Tomada de Contas Extraordinária. Serviços Administrativos. Terceirização indevida. Atividade-fim. </w:t>
      </w:r>
      <w:proofErr w:type="spellStart"/>
      <w:r w:rsidR="00091A89" w:rsidRPr="008B30B5">
        <w:rPr>
          <w:rFonts w:ascii="Arial" w:hAnsi="Arial" w:cs="Arial"/>
          <w:b/>
          <w:sz w:val="20"/>
          <w:szCs w:val="20"/>
        </w:rPr>
        <w:t>Dano</w:t>
      </w:r>
      <w:proofErr w:type="spellEnd"/>
      <w:r w:rsidR="00091A89" w:rsidRPr="008B30B5">
        <w:rPr>
          <w:rFonts w:ascii="Arial" w:hAnsi="Arial" w:cs="Arial"/>
          <w:b/>
          <w:sz w:val="20"/>
          <w:szCs w:val="20"/>
        </w:rPr>
        <w:t xml:space="preserve"> ao erário. Irregularidade, multa e restituição dos valores. </w:t>
      </w:r>
    </w:p>
    <w:p w:rsidR="00132B9F" w:rsidRDefault="00132B9F" w:rsidP="00132B9F">
      <w:pPr>
        <w:spacing w:after="0"/>
        <w:jc w:val="both"/>
        <w:rPr>
          <w:rFonts w:ascii="Arial" w:hAnsi="Arial" w:cs="Arial"/>
          <w:b/>
          <w:sz w:val="20"/>
          <w:szCs w:val="20"/>
        </w:rPr>
      </w:pPr>
    </w:p>
    <w:p w:rsidR="00091A89" w:rsidRDefault="00091A89" w:rsidP="00132B9F">
      <w:pPr>
        <w:spacing w:after="0"/>
        <w:jc w:val="both"/>
        <w:rPr>
          <w:rFonts w:ascii="Arial" w:hAnsi="Arial" w:cs="Arial"/>
          <w:sz w:val="20"/>
          <w:szCs w:val="20"/>
        </w:rPr>
      </w:pPr>
      <w:r>
        <w:rPr>
          <w:rFonts w:ascii="Arial" w:hAnsi="Arial" w:cs="Arial"/>
          <w:sz w:val="20"/>
          <w:szCs w:val="20"/>
        </w:rPr>
        <w:lastRenderedPageBreak/>
        <w:t>Inspeção no Poder Legislativo de Município identificou a realização de licitações para a contratação de serviços contábeis e jurídicos, ambos de necessidade permanente, em flagrante violação à regra constitucional do concurso público.</w:t>
      </w:r>
    </w:p>
    <w:p w:rsidR="00132B9F" w:rsidRDefault="00132B9F" w:rsidP="00132B9F">
      <w:pPr>
        <w:spacing w:after="0"/>
        <w:jc w:val="both"/>
        <w:rPr>
          <w:rFonts w:ascii="Arial" w:hAnsi="Arial" w:cs="Arial"/>
          <w:sz w:val="20"/>
          <w:szCs w:val="20"/>
        </w:rPr>
      </w:pPr>
    </w:p>
    <w:p w:rsidR="00091A89" w:rsidRDefault="00091A89" w:rsidP="00132B9F">
      <w:pPr>
        <w:spacing w:after="0"/>
        <w:jc w:val="both"/>
        <w:rPr>
          <w:rFonts w:ascii="Arial" w:hAnsi="Arial" w:cs="Arial"/>
          <w:sz w:val="20"/>
          <w:szCs w:val="20"/>
        </w:rPr>
      </w:pPr>
      <w:r>
        <w:rPr>
          <w:rFonts w:ascii="Arial" w:hAnsi="Arial" w:cs="Arial"/>
          <w:sz w:val="20"/>
          <w:szCs w:val="20"/>
        </w:rPr>
        <w:t xml:space="preserve"> Não se tratando de atividades meio (mas sim explicitamente próprias da administração), elas deveriam ter sido realizadas diretamente pelos servidores da Câmara Municipal. </w:t>
      </w:r>
    </w:p>
    <w:p w:rsidR="00132B9F" w:rsidRDefault="00132B9F" w:rsidP="00132B9F">
      <w:pPr>
        <w:spacing w:after="0"/>
        <w:jc w:val="both"/>
        <w:rPr>
          <w:rFonts w:ascii="Arial" w:hAnsi="Arial" w:cs="Arial"/>
          <w:sz w:val="20"/>
          <w:szCs w:val="20"/>
        </w:rPr>
      </w:pPr>
    </w:p>
    <w:p w:rsidR="00091A89" w:rsidRDefault="00091A89" w:rsidP="00132B9F">
      <w:pPr>
        <w:spacing w:after="0"/>
        <w:jc w:val="both"/>
        <w:rPr>
          <w:rFonts w:ascii="Arial" w:hAnsi="Arial" w:cs="Arial"/>
          <w:sz w:val="20"/>
          <w:szCs w:val="20"/>
        </w:rPr>
      </w:pPr>
      <w:r>
        <w:rPr>
          <w:rFonts w:ascii="Arial" w:hAnsi="Arial" w:cs="Arial"/>
          <w:sz w:val="20"/>
          <w:szCs w:val="20"/>
        </w:rPr>
        <w:t xml:space="preserve">As contratações acarretaram a inadmissível terceirização de atividades-fim.  Ao ignorar as atribuições próprias dos servidores, os gestores ensejaram uma despesa desnecessária aos cofres públicos, a qual deve ser reparada. </w:t>
      </w:r>
    </w:p>
    <w:p w:rsidR="00132B9F" w:rsidRDefault="00132B9F" w:rsidP="00132B9F">
      <w:pPr>
        <w:spacing w:after="0"/>
        <w:jc w:val="both"/>
        <w:rPr>
          <w:rFonts w:ascii="Arial" w:hAnsi="Arial" w:cs="Arial"/>
          <w:sz w:val="20"/>
          <w:szCs w:val="20"/>
        </w:rPr>
      </w:pPr>
    </w:p>
    <w:p w:rsidR="00091A89" w:rsidRDefault="00091A89" w:rsidP="00132B9F">
      <w:pPr>
        <w:spacing w:after="0"/>
        <w:jc w:val="both"/>
        <w:rPr>
          <w:rFonts w:ascii="Arial" w:hAnsi="Arial" w:cs="Arial"/>
          <w:sz w:val="20"/>
          <w:szCs w:val="20"/>
        </w:rPr>
      </w:pPr>
      <w:r>
        <w:rPr>
          <w:rFonts w:ascii="Arial" w:hAnsi="Arial" w:cs="Arial"/>
          <w:sz w:val="20"/>
          <w:szCs w:val="20"/>
        </w:rPr>
        <w:t xml:space="preserve">A decisão foi no sentido da irregularidade das contratações com imposição de multa administrativa aos gestores, responsáveis solidários, inclusive pela restituição dos valores relativos a todo o montante indevidamente despendido. </w:t>
      </w:r>
    </w:p>
    <w:p w:rsidR="00132B9F" w:rsidRDefault="00132B9F" w:rsidP="00132B9F">
      <w:pPr>
        <w:spacing w:after="0"/>
        <w:jc w:val="both"/>
        <w:rPr>
          <w:rFonts w:ascii="Arial" w:hAnsi="Arial" w:cs="Arial"/>
          <w:sz w:val="20"/>
          <w:szCs w:val="20"/>
        </w:rPr>
      </w:pPr>
    </w:p>
    <w:p w:rsidR="00091A89" w:rsidRDefault="00091A89" w:rsidP="00132B9F">
      <w:pPr>
        <w:spacing w:after="0"/>
        <w:jc w:val="both"/>
        <w:rPr>
          <w:rFonts w:ascii="Arial" w:hAnsi="Arial" w:cs="Arial"/>
          <w:sz w:val="20"/>
          <w:szCs w:val="20"/>
        </w:rPr>
      </w:pPr>
      <w:r>
        <w:rPr>
          <w:rFonts w:ascii="Arial" w:hAnsi="Arial" w:cs="Arial"/>
          <w:sz w:val="20"/>
          <w:szCs w:val="20"/>
        </w:rPr>
        <w:t xml:space="preserve">Processo nº 796847/12 - </w:t>
      </w:r>
      <w:hyperlink r:id="rId11" w:history="1">
        <w:r w:rsidRPr="00626749">
          <w:rPr>
            <w:rStyle w:val="Hyperlink"/>
            <w:rFonts w:ascii="Arial" w:hAnsi="Arial" w:cs="Arial"/>
            <w:sz w:val="20"/>
            <w:szCs w:val="20"/>
          </w:rPr>
          <w:t>Acórdão nº 36/18</w:t>
        </w:r>
        <w:r w:rsidR="00810504" w:rsidRPr="00626749">
          <w:rPr>
            <w:rStyle w:val="Hyperlink"/>
            <w:rFonts w:ascii="Arial" w:hAnsi="Arial" w:cs="Arial"/>
            <w:sz w:val="20"/>
            <w:szCs w:val="20"/>
          </w:rPr>
          <w:t xml:space="preserve"> </w:t>
        </w:r>
        <w:r w:rsidRPr="00626749">
          <w:rPr>
            <w:rStyle w:val="Hyperlink"/>
            <w:rFonts w:ascii="Arial" w:hAnsi="Arial" w:cs="Arial"/>
            <w:sz w:val="20"/>
            <w:szCs w:val="20"/>
          </w:rPr>
          <w:t>-</w:t>
        </w:r>
        <w:r w:rsidR="00F51BEA" w:rsidRPr="00626749">
          <w:rPr>
            <w:rStyle w:val="Hyperlink"/>
            <w:rFonts w:ascii="Arial" w:hAnsi="Arial" w:cs="Arial"/>
            <w:sz w:val="20"/>
            <w:szCs w:val="20"/>
          </w:rPr>
          <w:t xml:space="preserve"> Segunda </w:t>
        </w:r>
        <w:r w:rsidRPr="00626749">
          <w:rPr>
            <w:rStyle w:val="Hyperlink"/>
            <w:rFonts w:ascii="Arial" w:hAnsi="Arial" w:cs="Arial"/>
            <w:sz w:val="20"/>
            <w:szCs w:val="20"/>
          </w:rPr>
          <w:t>Câmara</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0D7E46" w:rsidRDefault="000D7E46" w:rsidP="00132B9F">
      <w:pPr>
        <w:spacing w:after="0"/>
        <w:jc w:val="both"/>
        <w:rPr>
          <w:rFonts w:ascii="Arial" w:hAnsi="Arial" w:cs="Arial"/>
          <w:sz w:val="20"/>
          <w:szCs w:val="20"/>
        </w:rPr>
      </w:pPr>
    </w:p>
    <w:p w:rsidR="000D7E46" w:rsidRPr="0056656A" w:rsidRDefault="0079113C" w:rsidP="00132B9F">
      <w:pPr>
        <w:spacing w:after="0"/>
        <w:jc w:val="both"/>
        <w:rPr>
          <w:rFonts w:ascii="Arial" w:hAnsi="Arial" w:cs="Arial"/>
          <w:b/>
          <w:sz w:val="20"/>
          <w:szCs w:val="20"/>
        </w:rPr>
      </w:pPr>
      <w:r>
        <w:rPr>
          <w:rFonts w:ascii="Arial" w:hAnsi="Arial" w:cs="Arial"/>
          <w:b/>
          <w:sz w:val="20"/>
          <w:szCs w:val="20"/>
        </w:rPr>
        <w:t xml:space="preserve">5. </w:t>
      </w:r>
      <w:r w:rsidR="000D7E46" w:rsidRPr="0056656A">
        <w:rPr>
          <w:rFonts w:ascii="Arial" w:hAnsi="Arial" w:cs="Arial"/>
          <w:b/>
          <w:sz w:val="20"/>
          <w:szCs w:val="20"/>
        </w:rPr>
        <w:t xml:space="preserve">Prestação de Contas. Fundação Municipal. Documentação atinente ao Controle Interno, incompleta. Análise inviabilizada. Contas irregulares com aplicação de multa. </w:t>
      </w:r>
    </w:p>
    <w:p w:rsidR="000D7E46" w:rsidRDefault="000D7E46" w:rsidP="00132B9F">
      <w:pPr>
        <w:spacing w:after="0"/>
        <w:jc w:val="both"/>
        <w:rPr>
          <w:rFonts w:ascii="Arial" w:hAnsi="Arial" w:cs="Arial"/>
          <w:sz w:val="20"/>
          <w:szCs w:val="20"/>
        </w:rPr>
      </w:pPr>
    </w:p>
    <w:p w:rsidR="000D7E46" w:rsidRDefault="000D7E46" w:rsidP="00132B9F">
      <w:pPr>
        <w:spacing w:after="0"/>
        <w:jc w:val="both"/>
        <w:rPr>
          <w:rFonts w:ascii="Arial" w:hAnsi="Arial" w:cs="Arial"/>
          <w:sz w:val="20"/>
          <w:szCs w:val="20"/>
        </w:rPr>
      </w:pPr>
      <w:r>
        <w:rPr>
          <w:rFonts w:ascii="Arial" w:hAnsi="Arial" w:cs="Arial"/>
          <w:sz w:val="20"/>
          <w:szCs w:val="20"/>
        </w:rPr>
        <w:t xml:space="preserve">Em Prestação de Contas verificou-se que a entidade, uma fundação municipal, deixou de apresentar: </w:t>
      </w:r>
      <w:r>
        <w:rPr>
          <w:rFonts w:ascii="Arial" w:hAnsi="Arial" w:cs="Arial"/>
          <w:i/>
          <w:sz w:val="20"/>
          <w:szCs w:val="20"/>
        </w:rPr>
        <w:t xml:space="preserve">i) </w:t>
      </w:r>
      <w:r>
        <w:rPr>
          <w:rFonts w:ascii="Arial" w:hAnsi="Arial" w:cs="Arial"/>
          <w:sz w:val="20"/>
          <w:szCs w:val="20"/>
        </w:rPr>
        <w:t xml:space="preserve">Relatório e Parecer do Controle Interno; </w:t>
      </w:r>
      <w:proofErr w:type="spellStart"/>
      <w:r>
        <w:rPr>
          <w:rFonts w:ascii="Arial" w:hAnsi="Arial" w:cs="Arial"/>
          <w:i/>
          <w:sz w:val="20"/>
          <w:szCs w:val="20"/>
        </w:rPr>
        <w:t>ii</w:t>
      </w:r>
      <w:proofErr w:type="spellEnd"/>
      <w:r>
        <w:rPr>
          <w:rFonts w:ascii="Arial" w:hAnsi="Arial" w:cs="Arial"/>
          <w:i/>
          <w:sz w:val="20"/>
          <w:szCs w:val="20"/>
        </w:rPr>
        <w:t xml:space="preserve">) </w:t>
      </w:r>
      <w:r>
        <w:rPr>
          <w:rFonts w:ascii="Arial" w:hAnsi="Arial" w:cs="Arial"/>
          <w:sz w:val="20"/>
          <w:szCs w:val="20"/>
        </w:rPr>
        <w:t xml:space="preserve">Relatório de funcionamento da unidade de Controle Interno ou composição do quadro da unidade de controle interno. </w:t>
      </w:r>
    </w:p>
    <w:p w:rsidR="004D3A28" w:rsidRDefault="004D3A28" w:rsidP="00132B9F">
      <w:pPr>
        <w:spacing w:after="0"/>
        <w:jc w:val="both"/>
        <w:rPr>
          <w:rFonts w:ascii="Arial" w:hAnsi="Arial" w:cs="Arial"/>
          <w:sz w:val="20"/>
          <w:szCs w:val="20"/>
        </w:rPr>
      </w:pPr>
    </w:p>
    <w:p w:rsidR="000D7E46" w:rsidRDefault="000D7E46" w:rsidP="00132B9F">
      <w:pPr>
        <w:spacing w:after="0"/>
        <w:jc w:val="both"/>
        <w:rPr>
          <w:rFonts w:ascii="Arial" w:hAnsi="Arial" w:cs="Arial"/>
          <w:sz w:val="20"/>
          <w:szCs w:val="20"/>
        </w:rPr>
      </w:pPr>
      <w:r>
        <w:rPr>
          <w:rFonts w:ascii="Arial" w:hAnsi="Arial" w:cs="Arial"/>
          <w:sz w:val="20"/>
          <w:szCs w:val="20"/>
        </w:rPr>
        <w:t xml:space="preserve">Tais </w:t>
      </w:r>
      <w:proofErr w:type="gramStart"/>
      <w:r>
        <w:rPr>
          <w:rFonts w:ascii="Arial" w:hAnsi="Arial" w:cs="Arial"/>
          <w:sz w:val="20"/>
          <w:szCs w:val="20"/>
        </w:rPr>
        <w:t>ausências  inviabilizaram</w:t>
      </w:r>
      <w:proofErr w:type="gramEnd"/>
      <w:r>
        <w:rPr>
          <w:rFonts w:ascii="Arial" w:hAnsi="Arial" w:cs="Arial"/>
          <w:sz w:val="20"/>
          <w:szCs w:val="20"/>
        </w:rPr>
        <w:t xml:space="preserve"> a verificação do efetivo cumprimento das atribuições do sistema de controle. </w:t>
      </w:r>
    </w:p>
    <w:p w:rsidR="00132B9F" w:rsidRDefault="00132B9F" w:rsidP="00132B9F">
      <w:pPr>
        <w:spacing w:after="0"/>
        <w:jc w:val="both"/>
        <w:rPr>
          <w:rFonts w:ascii="Arial" w:hAnsi="Arial" w:cs="Arial"/>
          <w:sz w:val="20"/>
          <w:szCs w:val="20"/>
        </w:rPr>
      </w:pPr>
    </w:p>
    <w:p w:rsidR="000D7E46" w:rsidRDefault="000D7E46" w:rsidP="00132B9F">
      <w:pPr>
        <w:spacing w:after="0"/>
        <w:jc w:val="both"/>
        <w:rPr>
          <w:rFonts w:ascii="Arial" w:hAnsi="Arial" w:cs="Arial"/>
          <w:sz w:val="20"/>
          <w:szCs w:val="20"/>
        </w:rPr>
      </w:pPr>
      <w:r>
        <w:rPr>
          <w:rFonts w:ascii="Arial" w:hAnsi="Arial" w:cs="Arial"/>
          <w:sz w:val="20"/>
          <w:szCs w:val="20"/>
        </w:rPr>
        <w:t xml:space="preserve">Ainda que tenha sido aberto prazo para manifestação dos gestores da entidade, os mesmos deixaram de se pronunciar. </w:t>
      </w:r>
    </w:p>
    <w:p w:rsidR="00132B9F" w:rsidRDefault="00132B9F" w:rsidP="00132B9F">
      <w:pPr>
        <w:spacing w:after="0"/>
        <w:jc w:val="both"/>
        <w:rPr>
          <w:rFonts w:ascii="Arial" w:hAnsi="Arial" w:cs="Arial"/>
          <w:sz w:val="20"/>
          <w:szCs w:val="20"/>
        </w:rPr>
      </w:pPr>
    </w:p>
    <w:p w:rsidR="000D7E46" w:rsidRDefault="000D7E46" w:rsidP="00132B9F">
      <w:pPr>
        <w:spacing w:after="0"/>
        <w:jc w:val="both"/>
        <w:rPr>
          <w:rFonts w:ascii="Arial" w:hAnsi="Arial" w:cs="Arial"/>
          <w:sz w:val="20"/>
          <w:szCs w:val="20"/>
        </w:rPr>
      </w:pPr>
      <w:r>
        <w:rPr>
          <w:rFonts w:ascii="Arial" w:hAnsi="Arial" w:cs="Arial"/>
          <w:sz w:val="20"/>
          <w:szCs w:val="20"/>
        </w:rPr>
        <w:t xml:space="preserve">A unidade técnica, em pronunciamento acolhido pelo voto, asseverou que os documentos atinentes ao assunto são vinculados e a restrição em um inviabiliza a análise dos demais, sendo que o Relatório do Controle Interno, o respectivo Parecer, o relatório funcional e de composição do quadro da unidade devem ser os da entidade e não os do Poder Executivo. </w:t>
      </w:r>
    </w:p>
    <w:p w:rsidR="00132B9F" w:rsidRDefault="00132B9F" w:rsidP="00132B9F">
      <w:pPr>
        <w:spacing w:after="0"/>
        <w:jc w:val="both"/>
        <w:rPr>
          <w:rFonts w:ascii="Arial" w:hAnsi="Arial" w:cs="Arial"/>
          <w:sz w:val="20"/>
          <w:szCs w:val="20"/>
        </w:rPr>
      </w:pPr>
    </w:p>
    <w:p w:rsidR="000D7E46" w:rsidRDefault="000D7E46" w:rsidP="00132B9F">
      <w:pPr>
        <w:spacing w:after="0"/>
        <w:jc w:val="both"/>
        <w:rPr>
          <w:rFonts w:ascii="Arial" w:hAnsi="Arial" w:cs="Arial"/>
          <w:sz w:val="20"/>
          <w:szCs w:val="20"/>
        </w:rPr>
      </w:pPr>
      <w:r>
        <w:rPr>
          <w:rFonts w:ascii="Arial" w:hAnsi="Arial" w:cs="Arial"/>
          <w:sz w:val="20"/>
          <w:szCs w:val="20"/>
        </w:rPr>
        <w:t xml:space="preserve">A inviabilidade de análise das contas, causada pela ausência de manifestação dos gestores da fundação, não obstante tenha sido aberto prazo para tanto, ensejou a irregularidade das contas e aplicação de multa aos gestores. </w:t>
      </w:r>
    </w:p>
    <w:p w:rsidR="00132B9F" w:rsidRDefault="00132B9F" w:rsidP="00132B9F">
      <w:pPr>
        <w:spacing w:after="0"/>
        <w:jc w:val="both"/>
        <w:rPr>
          <w:rFonts w:ascii="Arial" w:hAnsi="Arial" w:cs="Arial"/>
          <w:sz w:val="20"/>
          <w:szCs w:val="20"/>
        </w:rPr>
      </w:pPr>
    </w:p>
    <w:p w:rsidR="000D7E46" w:rsidRDefault="000D7E46" w:rsidP="00132B9F">
      <w:pPr>
        <w:spacing w:after="0"/>
        <w:jc w:val="both"/>
        <w:rPr>
          <w:rFonts w:ascii="Arial" w:hAnsi="Arial" w:cs="Arial"/>
          <w:sz w:val="20"/>
          <w:szCs w:val="20"/>
        </w:rPr>
      </w:pPr>
      <w:r>
        <w:rPr>
          <w:rFonts w:ascii="Arial" w:hAnsi="Arial" w:cs="Arial"/>
          <w:sz w:val="20"/>
          <w:szCs w:val="20"/>
        </w:rPr>
        <w:t xml:space="preserve">Processo nº 373629/14 - </w:t>
      </w:r>
      <w:hyperlink r:id="rId12" w:history="1">
        <w:r w:rsidRPr="004D601A">
          <w:rPr>
            <w:rStyle w:val="Hyperlink"/>
            <w:rFonts w:ascii="Arial" w:hAnsi="Arial" w:cs="Arial"/>
            <w:sz w:val="20"/>
            <w:szCs w:val="20"/>
          </w:rPr>
          <w:t>Acórdão nº 40/18 - Segunda Câmara</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0D7E46" w:rsidRPr="00723FBA" w:rsidRDefault="0079113C" w:rsidP="00251CF2">
      <w:pPr>
        <w:spacing w:after="0"/>
        <w:jc w:val="both"/>
        <w:rPr>
          <w:rFonts w:ascii="Arial" w:hAnsi="Arial" w:cs="Arial"/>
          <w:b/>
          <w:sz w:val="20"/>
          <w:szCs w:val="20"/>
        </w:rPr>
      </w:pPr>
      <w:r>
        <w:rPr>
          <w:rFonts w:ascii="Arial" w:hAnsi="Arial" w:cs="Arial"/>
          <w:b/>
          <w:sz w:val="20"/>
          <w:szCs w:val="20"/>
        </w:rPr>
        <w:lastRenderedPageBreak/>
        <w:t xml:space="preserve">6. </w:t>
      </w:r>
      <w:r w:rsidR="000D7E46" w:rsidRPr="00723FBA">
        <w:rPr>
          <w:rFonts w:ascii="Arial" w:hAnsi="Arial" w:cs="Arial"/>
          <w:b/>
          <w:sz w:val="20"/>
          <w:szCs w:val="20"/>
        </w:rPr>
        <w:t xml:space="preserve">Tomada de Contas Ordinária. Ausência de provas da efetiva instituição do controle interno na entidade durante o exercício. Irregularidade e aplicação de multa.  </w:t>
      </w:r>
    </w:p>
    <w:p w:rsidR="000D7E46" w:rsidRPr="00723FBA" w:rsidRDefault="000D7E46" w:rsidP="00251CF2">
      <w:pPr>
        <w:spacing w:after="0"/>
        <w:jc w:val="both"/>
        <w:rPr>
          <w:rFonts w:ascii="Arial" w:hAnsi="Arial" w:cs="Arial"/>
          <w:b/>
          <w:sz w:val="20"/>
          <w:szCs w:val="20"/>
        </w:rPr>
      </w:pPr>
    </w:p>
    <w:p w:rsidR="000D7E46" w:rsidRDefault="000D7E46" w:rsidP="00251CF2">
      <w:pPr>
        <w:spacing w:after="0"/>
        <w:jc w:val="both"/>
        <w:rPr>
          <w:rFonts w:ascii="Arial" w:hAnsi="Arial" w:cs="Arial"/>
          <w:sz w:val="20"/>
          <w:szCs w:val="20"/>
        </w:rPr>
      </w:pPr>
      <w:r>
        <w:rPr>
          <w:rFonts w:ascii="Arial" w:hAnsi="Arial" w:cs="Arial"/>
          <w:sz w:val="20"/>
          <w:szCs w:val="20"/>
        </w:rPr>
        <w:t xml:space="preserve">Relatório do Controle Interno encaminhado por Consórcio, não tem validade para fins de prestação de contas, na medida em que o responsável pela unidade não estava cadastrado no </w:t>
      </w:r>
      <w:r w:rsidR="004D3A28">
        <w:rPr>
          <w:rFonts w:ascii="Arial" w:hAnsi="Arial" w:cs="Arial"/>
          <w:sz w:val="20"/>
          <w:szCs w:val="20"/>
        </w:rPr>
        <w:t>SICAD</w:t>
      </w:r>
      <w:r>
        <w:rPr>
          <w:rFonts w:ascii="Arial" w:hAnsi="Arial" w:cs="Arial"/>
          <w:sz w:val="20"/>
          <w:szCs w:val="20"/>
        </w:rPr>
        <w:t xml:space="preserve"> (Sistema de Cadastro do Tribunal de Contas). Outras impropriedades, entre as quais, o Relatório Funcional ter sido apresentado em branco, demonstraram a falta de estruturação do Controle Interno no exercício financeiro em análise. </w:t>
      </w:r>
    </w:p>
    <w:p w:rsidR="00251CF2" w:rsidRDefault="00251CF2" w:rsidP="00251CF2">
      <w:pPr>
        <w:spacing w:after="0"/>
        <w:jc w:val="both"/>
        <w:rPr>
          <w:rFonts w:ascii="Arial" w:hAnsi="Arial" w:cs="Arial"/>
          <w:sz w:val="20"/>
          <w:szCs w:val="20"/>
        </w:rPr>
      </w:pPr>
    </w:p>
    <w:p w:rsidR="000D7E46" w:rsidRDefault="000D7E46" w:rsidP="00251CF2">
      <w:pPr>
        <w:spacing w:after="0"/>
        <w:jc w:val="both"/>
        <w:rPr>
          <w:rFonts w:ascii="Arial" w:hAnsi="Arial" w:cs="Arial"/>
          <w:sz w:val="20"/>
          <w:szCs w:val="20"/>
        </w:rPr>
      </w:pPr>
      <w:r>
        <w:rPr>
          <w:rFonts w:ascii="Arial" w:hAnsi="Arial" w:cs="Arial"/>
          <w:sz w:val="20"/>
          <w:szCs w:val="20"/>
        </w:rPr>
        <w:t xml:space="preserve">Ressaltou o relator em seu voto, que o Relatório de Controle Interno de 2013   somente foi emitido em 2016, não havendo prova da efetiva nomeação do Controlador Interno no exercício em análise. Disse ele: “Assim, não fica clara a efetiva estruturação do controle interno da entidade no exercício de 2013, o que, em meu entendimento, é a principal irregularidade. A não apresentação de documentos referentes à atuação da Unidade de Controle Interno é apenas consequência. Portanto, em relação ao presente item, entendo que deve ensejar a irregularidade das contas a ausência de estruturação do controle interno no exercício de 2013”. </w:t>
      </w:r>
    </w:p>
    <w:p w:rsidR="00251CF2" w:rsidRDefault="00251CF2" w:rsidP="00251CF2">
      <w:pPr>
        <w:spacing w:after="0"/>
        <w:jc w:val="both"/>
        <w:rPr>
          <w:rFonts w:ascii="Arial" w:hAnsi="Arial" w:cs="Arial"/>
          <w:sz w:val="20"/>
          <w:szCs w:val="20"/>
        </w:rPr>
      </w:pPr>
    </w:p>
    <w:p w:rsidR="000D7E46" w:rsidRDefault="000D7E46" w:rsidP="00251CF2">
      <w:pPr>
        <w:spacing w:after="0"/>
        <w:jc w:val="both"/>
        <w:rPr>
          <w:rFonts w:ascii="Arial" w:hAnsi="Arial" w:cs="Arial"/>
          <w:sz w:val="20"/>
          <w:szCs w:val="20"/>
        </w:rPr>
      </w:pPr>
      <w:r>
        <w:rPr>
          <w:rFonts w:ascii="Arial" w:hAnsi="Arial" w:cs="Arial"/>
          <w:sz w:val="20"/>
          <w:szCs w:val="20"/>
        </w:rPr>
        <w:t xml:space="preserve">O Colegiado, unanimemente, acolheu a proposta de voto, julgado irregulares as contas do Consórcio, com aplicação de multa ao gestor. </w:t>
      </w:r>
    </w:p>
    <w:p w:rsidR="000D7E46" w:rsidRDefault="000D7E46" w:rsidP="00251CF2">
      <w:pPr>
        <w:spacing w:after="0"/>
        <w:jc w:val="both"/>
        <w:rPr>
          <w:rFonts w:ascii="Arial" w:hAnsi="Arial" w:cs="Arial"/>
          <w:sz w:val="20"/>
          <w:szCs w:val="20"/>
        </w:rPr>
      </w:pPr>
    </w:p>
    <w:p w:rsidR="000D7E46" w:rsidRDefault="000D7E46" w:rsidP="00251CF2">
      <w:pPr>
        <w:spacing w:after="0"/>
        <w:jc w:val="both"/>
        <w:rPr>
          <w:rFonts w:ascii="Arial" w:hAnsi="Arial" w:cs="Arial"/>
          <w:sz w:val="20"/>
          <w:szCs w:val="20"/>
        </w:rPr>
      </w:pPr>
      <w:r>
        <w:rPr>
          <w:rFonts w:ascii="Arial" w:hAnsi="Arial" w:cs="Arial"/>
          <w:sz w:val="20"/>
          <w:szCs w:val="20"/>
        </w:rPr>
        <w:t xml:space="preserve">Processo nº 569691/15 </w:t>
      </w:r>
      <w:r w:rsidR="00251CF2">
        <w:rPr>
          <w:rFonts w:ascii="Arial" w:hAnsi="Arial" w:cs="Arial"/>
          <w:sz w:val="20"/>
          <w:szCs w:val="20"/>
        </w:rPr>
        <w:t>-</w:t>
      </w:r>
      <w:r>
        <w:rPr>
          <w:rFonts w:ascii="Arial" w:hAnsi="Arial" w:cs="Arial"/>
          <w:sz w:val="20"/>
          <w:szCs w:val="20"/>
        </w:rPr>
        <w:t xml:space="preserve"> </w:t>
      </w:r>
      <w:hyperlink r:id="rId13" w:history="1">
        <w:r w:rsidRPr="00D53B20">
          <w:rPr>
            <w:rStyle w:val="Hyperlink"/>
            <w:rFonts w:ascii="Arial" w:hAnsi="Arial" w:cs="Arial"/>
            <w:sz w:val="20"/>
            <w:szCs w:val="20"/>
          </w:rPr>
          <w:t>Acórdão nº 51/18</w:t>
        </w:r>
        <w:r w:rsidR="00251CF2" w:rsidRPr="00D53B20">
          <w:rPr>
            <w:rStyle w:val="Hyperlink"/>
            <w:rFonts w:ascii="Arial" w:hAnsi="Arial" w:cs="Arial"/>
            <w:sz w:val="20"/>
            <w:szCs w:val="20"/>
          </w:rPr>
          <w:t xml:space="preserve"> - Segunda Câmara</w:t>
        </w:r>
      </w:hyperlink>
      <w:r w:rsidR="00251CF2">
        <w:rPr>
          <w:rFonts w:ascii="Arial" w:hAnsi="Arial" w:cs="Arial"/>
          <w:sz w:val="20"/>
          <w:szCs w:val="20"/>
        </w:rPr>
        <w:t xml:space="preserve"> -</w:t>
      </w:r>
      <w:r>
        <w:rPr>
          <w:rFonts w:ascii="Arial" w:hAnsi="Arial" w:cs="Arial"/>
          <w:sz w:val="20"/>
          <w:szCs w:val="20"/>
        </w:rPr>
        <w:t xml:space="preserve"> Relator Conselheiro Ivens Zschoerper Linhares. </w:t>
      </w:r>
    </w:p>
    <w:p w:rsidR="00D53B20" w:rsidRDefault="00D53B20" w:rsidP="00251CF2">
      <w:pPr>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2579AA" w:rsidRDefault="0079113C" w:rsidP="002579A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2579AA" w:rsidRPr="002579AA">
        <w:rPr>
          <w:rFonts w:ascii="Arial" w:hAnsi="Arial" w:cs="Arial"/>
          <w:b/>
          <w:sz w:val="20"/>
          <w:szCs w:val="20"/>
        </w:rPr>
        <w:t>Consulta. Administração Pública. Contratação de meio de comunicação. Divulgação. Procedimento licitatório.</w:t>
      </w:r>
    </w:p>
    <w:p w:rsidR="002579AA" w:rsidRPr="002579AA" w:rsidRDefault="002579AA" w:rsidP="002579AA">
      <w:pPr>
        <w:autoSpaceDE w:val="0"/>
        <w:autoSpaceDN w:val="0"/>
        <w:adjustRightInd w:val="0"/>
        <w:spacing w:after="0"/>
        <w:jc w:val="both"/>
        <w:rPr>
          <w:rFonts w:ascii="Arial" w:hAnsi="Arial" w:cs="Arial"/>
          <w:b/>
          <w:sz w:val="20"/>
          <w:szCs w:val="20"/>
        </w:rPr>
      </w:pPr>
    </w:p>
    <w:p w:rsidR="002579AA" w:rsidRDefault="002579AA" w:rsidP="002579AA">
      <w:pPr>
        <w:autoSpaceDE w:val="0"/>
        <w:autoSpaceDN w:val="0"/>
        <w:adjustRightInd w:val="0"/>
        <w:spacing w:after="0"/>
        <w:jc w:val="both"/>
        <w:rPr>
          <w:rFonts w:ascii="Arial" w:hAnsi="Arial" w:cs="Arial"/>
          <w:sz w:val="20"/>
          <w:szCs w:val="20"/>
        </w:rPr>
      </w:pPr>
      <w:r w:rsidRPr="002579AA">
        <w:rPr>
          <w:rFonts w:ascii="Arial" w:hAnsi="Arial" w:cs="Arial"/>
          <w:sz w:val="20"/>
          <w:szCs w:val="20"/>
        </w:rPr>
        <w:t>A contratação de emissoras de televisão, rádio e jornal, para a mera divulgação de conteúdo produzido pelo próprio Município, que não envolva o trabalho intelectual de estudo, planejamento, conceituação, concepção e criação do material a ser distribuído, pode ser realizada mediante o processo licitatório disciplinado pela Lei nº 8.666/93, não se aplicando, na hipótese, a Lei nº 12.232/10.</w:t>
      </w:r>
    </w:p>
    <w:p w:rsidR="002579AA" w:rsidRPr="002579AA" w:rsidRDefault="002579AA" w:rsidP="002579AA">
      <w:pPr>
        <w:autoSpaceDE w:val="0"/>
        <w:autoSpaceDN w:val="0"/>
        <w:adjustRightInd w:val="0"/>
        <w:spacing w:after="0"/>
        <w:jc w:val="both"/>
        <w:rPr>
          <w:rFonts w:ascii="Arial" w:hAnsi="Arial" w:cs="Arial"/>
          <w:sz w:val="20"/>
          <w:szCs w:val="20"/>
        </w:rPr>
      </w:pPr>
    </w:p>
    <w:p w:rsidR="002579AA" w:rsidRPr="002579AA" w:rsidRDefault="002579AA" w:rsidP="002579AA">
      <w:pPr>
        <w:autoSpaceDE w:val="0"/>
        <w:autoSpaceDN w:val="0"/>
        <w:adjustRightInd w:val="0"/>
        <w:spacing w:after="0"/>
        <w:jc w:val="both"/>
        <w:rPr>
          <w:rFonts w:ascii="Arial" w:hAnsi="Arial" w:cs="Arial"/>
          <w:sz w:val="20"/>
          <w:szCs w:val="20"/>
        </w:rPr>
      </w:pPr>
      <w:r w:rsidRPr="002579AA">
        <w:rPr>
          <w:rFonts w:ascii="Arial" w:hAnsi="Arial" w:cs="Arial"/>
          <w:sz w:val="20"/>
          <w:szCs w:val="20"/>
        </w:rPr>
        <w:t>Processo 291321/17</w:t>
      </w:r>
      <w:r>
        <w:rPr>
          <w:rFonts w:ascii="Arial" w:hAnsi="Arial" w:cs="Arial"/>
          <w:sz w:val="20"/>
          <w:szCs w:val="20"/>
        </w:rPr>
        <w:t xml:space="preserve"> - </w:t>
      </w:r>
      <w:hyperlink r:id="rId14" w:history="1">
        <w:r w:rsidRPr="002579AA">
          <w:rPr>
            <w:rStyle w:val="Hyperlink"/>
            <w:rFonts w:ascii="Arial" w:hAnsi="Arial" w:cs="Arial"/>
            <w:sz w:val="20"/>
            <w:szCs w:val="20"/>
          </w:rPr>
          <w:t xml:space="preserve">Acórdão nº 105/18 </w:t>
        </w:r>
        <w:r>
          <w:rPr>
            <w:rStyle w:val="Hyperlink"/>
            <w:rFonts w:ascii="Arial" w:hAnsi="Arial" w:cs="Arial"/>
            <w:sz w:val="20"/>
            <w:szCs w:val="20"/>
          </w:rPr>
          <w:t>-</w:t>
        </w:r>
        <w:r w:rsidRPr="002579AA">
          <w:rPr>
            <w:rStyle w:val="Hyperlink"/>
            <w:rFonts w:ascii="Arial" w:hAnsi="Arial" w:cs="Arial"/>
            <w:sz w:val="20"/>
            <w:szCs w:val="20"/>
          </w:rPr>
          <w:t xml:space="preserve"> Tribunal Pleno</w:t>
        </w:r>
      </w:hyperlink>
      <w:r w:rsidRPr="002579AA">
        <w:rPr>
          <w:rStyle w:val="Hyperlink"/>
          <w:rFonts w:ascii="Arial" w:hAnsi="Arial" w:cs="Arial"/>
          <w:sz w:val="20"/>
          <w:szCs w:val="20"/>
          <w:u w:val="none"/>
        </w:rPr>
        <w:t xml:space="preserve"> </w:t>
      </w:r>
      <w:r>
        <w:rPr>
          <w:rStyle w:val="Hyperlink"/>
          <w:rFonts w:ascii="Arial" w:hAnsi="Arial" w:cs="Arial"/>
          <w:sz w:val="20"/>
          <w:szCs w:val="20"/>
          <w:u w:val="none"/>
        </w:rPr>
        <w:t xml:space="preserve">- </w:t>
      </w:r>
      <w:r w:rsidRPr="002579AA">
        <w:rPr>
          <w:rFonts w:ascii="Arial" w:hAnsi="Arial" w:cs="Arial"/>
          <w:sz w:val="20"/>
          <w:szCs w:val="20"/>
        </w:rPr>
        <w:t>Relator Conselheiro Ivens Zschoerper Linhares.</w:t>
      </w:r>
    </w:p>
    <w:p w:rsidR="002579AA" w:rsidRPr="002579AA" w:rsidRDefault="002579AA" w:rsidP="002579AA">
      <w:pPr>
        <w:autoSpaceDE w:val="0"/>
        <w:autoSpaceDN w:val="0"/>
        <w:adjustRightInd w:val="0"/>
        <w:spacing w:after="0"/>
        <w:jc w:val="both"/>
        <w:rPr>
          <w:rFonts w:ascii="Arial" w:hAnsi="Arial" w:cs="Arial"/>
          <w:sz w:val="20"/>
          <w:szCs w:val="20"/>
        </w:rPr>
      </w:pPr>
    </w:p>
    <w:p w:rsidR="002579AA" w:rsidRDefault="0079113C" w:rsidP="002579A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2579AA" w:rsidRPr="002579AA">
        <w:rPr>
          <w:rFonts w:ascii="Arial" w:hAnsi="Arial" w:cs="Arial"/>
          <w:b/>
          <w:sz w:val="20"/>
          <w:szCs w:val="20"/>
        </w:rPr>
        <w:t xml:space="preserve">Comunicação de Irregularidade. Licitação. Princípio da isonomia. Competitividade. Marcas. Restrição de competição. Inexigibilidade. </w:t>
      </w:r>
    </w:p>
    <w:p w:rsidR="0079113C" w:rsidRDefault="0079113C" w:rsidP="002579AA">
      <w:pPr>
        <w:autoSpaceDE w:val="0"/>
        <w:autoSpaceDN w:val="0"/>
        <w:adjustRightInd w:val="0"/>
        <w:spacing w:after="0"/>
        <w:jc w:val="both"/>
        <w:rPr>
          <w:rFonts w:ascii="Arial" w:hAnsi="Arial" w:cs="Arial"/>
          <w:b/>
          <w:sz w:val="20"/>
          <w:szCs w:val="20"/>
        </w:rPr>
      </w:pPr>
    </w:p>
    <w:p w:rsidR="002579AA" w:rsidRDefault="002579AA" w:rsidP="002579AA">
      <w:pPr>
        <w:autoSpaceDE w:val="0"/>
        <w:autoSpaceDN w:val="0"/>
        <w:adjustRightInd w:val="0"/>
        <w:spacing w:after="0"/>
        <w:jc w:val="both"/>
        <w:rPr>
          <w:rFonts w:ascii="Arial" w:hAnsi="Arial" w:cs="Arial"/>
          <w:sz w:val="20"/>
          <w:szCs w:val="20"/>
        </w:rPr>
      </w:pPr>
      <w:r w:rsidRPr="002579AA">
        <w:rPr>
          <w:rFonts w:ascii="Arial" w:hAnsi="Arial" w:cs="Arial"/>
          <w:sz w:val="20"/>
          <w:szCs w:val="20"/>
        </w:rPr>
        <w:t xml:space="preserve">No caso de contratação de fornecedores exclusivos de determinado produto, não há que se falar em restrição de competitividade pela contratação por inexigibilidade, na forma do art. 25 da Lei </w:t>
      </w:r>
      <w:r w:rsidRPr="002579AA">
        <w:rPr>
          <w:rFonts w:ascii="Arial" w:hAnsi="Arial" w:cs="Arial"/>
          <w:sz w:val="20"/>
          <w:szCs w:val="20"/>
        </w:rPr>
        <w:lastRenderedPageBreak/>
        <w:t>8.666/93. Seria impossível se falar em restrição indevida à isonomia e à competitividade, quando o objeto licitado sequer permite a competição.</w:t>
      </w:r>
    </w:p>
    <w:p w:rsidR="002579AA" w:rsidRPr="002579AA" w:rsidRDefault="002579AA" w:rsidP="002579AA">
      <w:pPr>
        <w:autoSpaceDE w:val="0"/>
        <w:autoSpaceDN w:val="0"/>
        <w:adjustRightInd w:val="0"/>
        <w:spacing w:after="0"/>
        <w:jc w:val="both"/>
        <w:rPr>
          <w:rFonts w:ascii="Arial" w:hAnsi="Arial" w:cs="Arial"/>
          <w:sz w:val="20"/>
          <w:szCs w:val="20"/>
        </w:rPr>
      </w:pPr>
    </w:p>
    <w:p w:rsidR="002579AA" w:rsidRPr="002579AA" w:rsidRDefault="002579AA" w:rsidP="002579AA">
      <w:pPr>
        <w:autoSpaceDE w:val="0"/>
        <w:autoSpaceDN w:val="0"/>
        <w:adjustRightInd w:val="0"/>
        <w:spacing w:after="0"/>
        <w:jc w:val="both"/>
        <w:rPr>
          <w:rFonts w:ascii="Arial" w:hAnsi="Arial" w:cs="Arial"/>
          <w:sz w:val="20"/>
          <w:szCs w:val="20"/>
        </w:rPr>
      </w:pPr>
      <w:r w:rsidRPr="002579AA">
        <w:rPr>
          <w:rFonts w:ascii="Arial" w:hAnsi="Arial" w:cs="Arial"/>
          <w:sz w:val="20"/>
          <w:szCs w:val="20"/>
        </w:rPr>
        <w:t>Processo 38922/17</w:t>
      </w:r>
      <w:r w:rsidR="00F644C8">
        <w:rPr>
          <w:rFonts w:ascii="Arial" w:hAnsi="Arial" w:cs="Arial"/>
          <w:sz w:val="20"/>
          <w:szCs w:val="20"/>
        </w:rPr>
        <w:t xml:space="preserve"> - </w:t>
      </w:r>
      <w:hyperlink r:id="rId15" w:history="1">
        <w:r w:rsidRPr="002579AA">
          <w:rPr>
            <w:rStyle w:val="Hyperlink"/>
            <w:rFonts w:ascii="Arial" w:hAnsi="Arial" w:cs="Arial"/>
            <w:sz w:val="20"/>
            <w:szCs w:val="20"/>
          </w:rPr>
          <w:t xml:space="preserve">Acórdão nº 96/18 </w:t>
        </w:r>
        <w:r>
          <w:rPr>
            <w:rStyle w:val="Hyperlink"/>
            <w:rFonts w:ascii="Arial" w:hAnsi="Arial" w:cs="Arial"/>
            <w:sz w:val="20"/>
            <w:szCs w:val="20"/>
          </w:rPr>
          <w:t>-</w:t>
        </w:r>
        <w:r w:rsidRPr="002579AA">
          <w:rPr>
            <w:rStyle w:val="Hyperlink"/>
            <w:rFonts w:ascii="Arial" w:hAnsi="Arial" w:cs="Arial"/>
            <w:sz w:val="20"/>
            <w:szCs w:val="20"/>
          </w:rPr>
          <w:t xml:space="preserve"> Tribunal Pleno</w:t>
        </w:r>
      </w:hyperlink>
      <w:r w:rsidR="00F644C8">
        <w:rPr>
          <w:rStyle w:val="Hyperlink"/>
          <w:rFonts w:ascii="Arial" w:hAnsi="Arial" w:cs="Arial"/>
          <w:sz w:val="20"/>
          <w:szCs w:val="20"/>
        </w:rPr>
        <w:t xml:space="preserve"> </w:t>
      </w:r>
      <w:r w:rsidR="00F644C8" w:rsidRPr="00F644C8">
        <w:rPr>
          <w:rStyle w:val="Hyperlink"/>
          <w:rFonts w:ascii="Arial" w:hAnsi="Arial" w:cs="Arial"/>
          <w:sz w:val="20"/>
          <w:szCs w:val="20"/>
          <w:u w:val="none"/>
        </w:rPr>
        <w:t xml:space="preserve">- </w:t>
      </w:r>
      <w:r w:rsidRPr="002579AA">
        <w:rPr>
          <w:rFonts w:ascii="Arial" w:hAnsi="Arial" w:cs="Arial"/>
          <w:sz w:val="20"/>
          <w:szCs w:val="20"/>
        </w:rPr>
        <w:t>Relator Conselheiro Ivens Zschoerper Linhares.</w:t>
      </w:r>
    </w:p>
    <w:p w:rsidR="002579AA" w:rsidRDefault="002579AA" w:rsidP="002579AA">
      <w:pPr>
        <w:autoSpaceDE w:val="0"/>
        <w:autoSpaceDN w:val="0"/>
        <w:adjustRightInd w:val="0"/>
        <w:spacing w:after="0"/>
        <w:jc w:val="both"/>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C203C4" w:rsidRDefault="0026477F" w:rsidP="00816942">
      <w:pPr>
        <w:spacing w:after="0"/>
        <w:rPr>
          <w:rFonts w:ascii="Arial" w:hAnsi="Arial" w:cs="Arial"/>
          <w:color w:val="000000"/>
          <w:sz w:val="20"/>
          <w:szCs w:val="20"/>
        </w:rPr>
      </w:pPr>
      <w:r w:rsidRPr="00C203C4">
        <w:rPr>
          <w:rFonts w:ascii="Arial" w:hAnsi="Arial" w:cs="Arial"/>
          <w:color w:val="000000"/>
          <w:sz w:val="20"/>
          <w:szCs w:val="20"/>
        </w:rPr>
        <w:t>Ju</w:t>
      </w:r>
      <w:r w:rsidR="00AD528F" w:rsidRPr="00C203C4">
        <w:rPr>
          <w:rFonts w:ascii="Arial" w:hAnsi="Arial" w:cs="Arial"/>
          <w:color w:val="000000"/>
          <w:sz w:val="20"/>
          <w:szCs w:val="20"/>
        </w:rPr>
        <w:t xml:space="preserve">risprudência Selecionada: </w:t>
      </w:r>
    </w:p>
    <w:p w:rsidR="000B2FD9" w:rsidRPr="00C203C4" w:rsidRDefault="000B2FD9" w:rsidP="000B2FD9">
      <w:pPr>
        <w:spacing w:after="0"/>
        <w:jc w:val="both"/>
        <w:rPr>
          <w:rFonts w:ascii="Arial" w:hAnsi="Arial" w:cs="Arial"/>
          <w:b/>
          <w:color w:val="000000"/>
          <w:sz w:val="20"/>
          <w:szCs w:val="20"/>
        </w:rPr>
      </w:pPr>
    </w:p>
    <w:p w:rsidR="000B2FD9" w:rsidRPr="00C203C4" w:rsidRDefault="000B2FD9" w:rsidP="000B2FD9">
      <w:pPr>
        <w:spacing w:after="0"/>
        <w:jc w:val="both"/>
        <w:rPr>
          <w:rFonts w:ascii="Arial" w:hAnsi="Arial" w:cs="Arial"/>
          <w:b/>
          <w:color w:val="000000"/>
          <w:sz w:val="20"/>
          <w:szCs w:val="20"/>
        </w:rPr>
      </w:pPr>
      <w:r w:rsidRPr="00C203C4">
        <w:rPr>
          <w:rFonts w:ascii="Arial" w:hAnsi="Arial" w:cs="Arial"/>
          <w:b/>
          <w:color w:val="000000"/>
          <w:sz w:val="20"/>
          <w:szCs w:val="20"/>
        </w:rPr>
        <w:t>Supremo Tribunal Federal:</w:t>
      </w:r>
    </w:p>
    <w:p w:rsidR="00601974" w:rsidRDefault="00601974" w:rsidP="00816942">
      <w:pPr>
        <w:spacing w:after="0"/>
        <w:rPr>
          <w:rFonts w:ascii="Arial" w:hAnsi="Arial" w:cs="Arial"/>
          <w:b/>
          <w:color w:val="000000"/>
          <w:sz w:val="20"/>
          <w:szCs w:val="20"/>
        </w:rPr>
      </w:pPr>
    </w:p>
    <w:p w:rsidR="00EA3EB6" w:rsidRDefault="003F2CD0" w:rsidP="00063677">
      <w:pPr>
        <w:spacing w:after="0"/>
        <w:jc w:val="both"/>
        <w:rPr>
          <w:rFonts w:ascii="Arial" w:hAnsi="Arial" w:cs="Arial"/>
          <w:b/>
          <w:bCs/>
          <w:sz w:val="20"/>
          <w:szCs w:val="20"/>
          <w:shd w:val="clear" w:color="auto" w:fill="FFFFFF"/>
        </w:rPr>
      </w:pPr>
      <w:hyperlink r:id="rId16" w:history="1">
        <w:r w:rsidR="00EA3EB6" w:rsidRPr="00A714FC">
          <w:rPr>
            <w:rStyle w:val="Hyperlink"/>
            <w:rFonts w:ascii="Arial" w:hAnsi="Arial" w:cs="Arial"/>
            <w:b/>
            <w:sz w:val="20"/>
            <w:szCs w:val="20"/>
            <w:shd w:val="clear" w:color="auto" w:fill="FFFFFF"/>
          </w:rPr>
          <w:t>ADI 4874/DF</w:t>
        </w:r>
      </w:hyperlink>
      <w:r w:rsidR="00EA3EB6" w:rsidRPr="00063677">
        <w:rPr>
          <w:rFonts w:ascii="Arial" w:hAnsi="Arial" w:cs="Arial"/>
          <w:b/>
          <w:bCs/>
          <w:sz w:val="20"/>
          <w:szCs w:val="20"/>
          <w:shd w:val="clear" w:color="auto" w:fill="FFFFFF"/>
        </w:rPr>
        <w:t>, rel. Min. Rosa Weber, julgamento em 1.2.2018. (ADI-4874)</w:t>
      </w:r>
      <w:r w:rsidR="00063677" w:rsidRPr="00063677">
        <w:rPr>
          <w:rFonts w:ascii="Arial" w:hAnsi="Arial" w:cs="Arial"/>
          <w:b/>
          <w:bCs/>
          <w:sz w:val="20"/>
          <w:szCs w:val="20"/>
          <w:shd w:val="clear" w:color="auto" w:fill="FFFFFF"/>
        </w:rPr>
        <w:t xml:space="preserve"> - </w:t>
      </w:r>
      <w:r w:rsidR="00EA3EB6" w:rsidRPr="00063677">
        <w:rPr>
          <w:rFonts w:ascii="Arial" w:hAnsi="Arial" w:cs="Arial"/>
          <w:b/>
          <w:bCs/>
          <w:sz w:val="20"/>
          <w:szCs w:val="20"/>
          <w:shd w:val="clear" w:color="auto" w:fill="FFFFFF"/>
        </w:rPr>
        <w:t>Agênc</w:t>
      </w:r>
      <w:r w:rsidR="00063677" w:rsidRPr="00063677">
        <w:rPr>
          <w:rFonts w:ascii="Arial" w:hAnsi="Arial" w:cs="Arial"/>
          <w:b/>
          <w:bCs/>
          <w:sz w:val="20"/>
          <w:szCs w:val="20"/>
          <w:shd w:val="clear" w:color="auto" w:fill="FFFFFF"/>
        </w:rPr>
        <w:t>ias R</w:t>
      </w:r>
      <w:r w:rsidR="00063677">
        <w:rPr>
          <w:rFonts w:ascii="Arial" w:hAnsi="Arial" w:cs="Arial"/>
          <w:b/>
          <w:bCs/>
          <w:sz w:val="20"/>
          <w:szCs w:val="20"/>
          <w:shd w:val="clear" w:color="auto" w:fill="FFFFFF"/>
        </w:rPr>
        <w:t>eguladoras e F</w:t>
      </w:r>
      <w:r w:rsidR="00EA3EB6" w:rsidRPr="00063677">
        <w:rPr>
          <w:rFonts w:ascii="Arial" w:hAnsi="Arial" w:cs="Arial"/>
          <w:b/>
          <w:bCs/>
          <w:sz w:val="20"/>
          <w:szCs w:val="20"/>
          <w:shd w:val="clear" w:color="auto" w:fill="FFFFFF"/>
        </w:rPr>
        <w:t>unção normativa</w:t>
      </w:r>
      <w:r w:rsidR="00063677">
        <w:rPr>
          <w:rFonts w:ascii="Arial" w:hAnsi="Arial" w:cs="Arial"/>
          <w:b/>
          <w:bCs/>
          <w:sz w:val="20"/>
          <w:szCs w:val="20"/>
          <w:shd w:val="clear" w:color="auto" w:fill="FFFFFF"/>
        </w:rPr>
        <w:t>.</w:t>
      </w:r>
    </w:p>
    <w:p w:rsidR="00063677" w:rsidRDefault="00063677" w:rsidP="00063677">
      <w:pPr>
        <w:spacing w:after="0"/>
        <w:jc w:val="both"/>
        <w:rPr>
          <w:rFonts w:ascii="Arial" w:hAnsi="Arial" w:cs="Arial"/>
          <w:b/>
          <w:bCs/>
          <w:sz w:val="20"/>
          <w:szCs w:val="20"/>
          <w:shd w:val="clear" w:color="auto" w:fill="FFFFFF"/>
        </w:rPr>
      </w:pPr>
    </w:p>
    <w:p w:rsidR="00D63E82" w:rsidRDefault="00D63E82" w:rsidP="00D63E82">
      <w:pPr>
        <w:spacing w:after="0"/>
        <w:jc w:val="both"/>
        <w:rPr>
          <w:rFonts w:ascii="Arial" w:hAnsi="Arial" w:cs="Arial"/>
          <w:sz w:val="20"/>
          <w:szCs w:val="20"/>
          <w:shd w:val="clear" w:color="auto" w:fill="FFFFFF"/>
        </w:rPr>
      </w:pPr>
      <w:r w:rsidRPr="00810C49">
        <w:rPr>
          <w:rFonts w:ascii="Arial" w:hAnsi="Arial" w:cs="Arial"/>
          <w:sz w:val="20"/>
          <w:szCs w:val="20"/>
          <w:shd w:val="clear" w:color="auto" w:fill="FFFFFF"/>
        </w:rPr>
        <w:t>O poder de polícia da administração, no entanto, manifesta-se tanto pela prática de atos específicos, de efeitos concretos, quanto pela edição de atos normativos abstratos, de alcance generalizado. Não se mostra estranha ao poder geral de polícia da Administração, portanto, a competência das agências reguladoras para editar atos normativos visando à organização e à fiscalização das atividades por elas reguladas.</w:t>
      </w:r>
    </w:p>
    <w:p w:rsidR="0093406B" w:rsidRPr="00810C49" w:rsidRDefault="0093406B" w:rsidP="00D63E82">
      <w:pPr>
        <w:spacing w:after="0"/>
        <w:jc w:val="both"/>
        <w:rPr>
          <w:rFonts w:ascii="Arial" w:hAnsi="Arial" w:cs="Arial"/>
          <w:sz w:val="20"/>
          <w:szCs w:val="20"/>
          <w:shd w:val="clear" w:color="auto" w:fill="FFFFFF"/>
        </w:rPr>
      </w:pPr>
    </w:p>
    <w:p w:rsidR="00810C49" w:rsidRPr="00810C49" w:rsidRDefault="00D63E82" w:rsidP="00D63E82">
      <w:pPr>
        <w:spacing w:after="0"/>
        <w:jc w:val="both"/>
        <w:rPr>
          <w:rFonts w:ascii="Arial" w:hAnsi="Arial" w:cs="Arial"/>
          <w:sz w:val="20"/>
          <w:szCs w:val="20"/>
          <w:shd w:val="clear" w:color="auto" w:fill="FFFFFF"/>
        </w:rPr>
      </w:pPr>
      <w:r w:rsidRPr="00810C49">
        <w:rPr>
          <w:rFonts w:ascii="Arial" w:hAnsi="Arial" w:cs="Arial"/>
          <w:sz w:val="20"/>
          <w:szCs w:val="20"/>
          <w:shd w:val="clear" w:color="auto" w:fill="FFFFFF"/>
        </w:rPr>
        <w:t>A função normativa das agências reguladoras, no entanto, notadamente quando atinge direitos e deveres dos administrados ligados ao Estado tão somente por vínculo de sujeição geral, subordina-se necessariamente ao que disposto em lei. Assim, embora dotadas de considerável autonomia, a medida da competência normativa em que são investidas as agências reguladoras será aquela perfeitamente especificada nas leis pelas quais são criadas.</w:t>
      </w:r>
    </w:p>
    <w:p w:rsidR="00063677" w:rsidRPr="00810C49" w:rsidRDefault="00D63E82" w:rsidP="00D63E82">
      <w:pPr>
        <w:spacing w:after="0"/>
        <w:jc w:val="both"/>
        <w:rPr>
          <w:rFonts w:ascii="Arial" w:hAnsi="Arial" w:cs="Arial"/>
          <w:b/>
          <w:sz w:val="20"/>
          <w:szCs w:val="20"/>
        </w:rPr>
      </w:pPr>
      <w:r w:rsidRPr="00810C49">
        <w:rPr>
          <w:rFonts w:ascii="Arial" w:hAnsi="Arial" w:cs="Arial"/>
          <w:sz w:val="20"/>
          <w:szCs w:val="20"/>
        </w:rPr>
        <w:br/>
      </w:r>
      <w:r w:rsidRPr="00810C49">
        <w:rPr>
          <w:rFonts w:ascii="Arial" w:hAnsi="Arial" w:cs="Arial"/>
          <w:sz w:val="20"/>
          <w:szCs w:val="20"/>
          <w:shd w:val="clear" w:color="auto" w:fill="FFFFFF"/>
        </w:rPr>
        <w:t>Entretanto, tais assertivas não implicam em reduzir a regulação setorial ao preenchimento de lacunas e muito menos à execução mecânica da lei. Dotada de inquestionável relevância e responsabilidade, a função regulatória só é dignificada pelo reconhecimento de que não é inferior nem exterior à legislação. Exerce-se, isto sim, em um espaço que se revela qualitativamente diferente, pelo seu viés técnico, ainda que conformada pela ordem constitucional e legal vigentes.</w:t>
      </w:r>
    </w:p>
    <w:p w:rsidR="00543DF0" w:rsidRPr="00D63E82" w:rsidRDefault="00543DF0" w:rsidP="00D63E82">
      <w:pPr>
        <w:spacing w:after="0"/>
        <w:jc w:val="both"/>
        <w:rPr>
          <w:rFonts w:ascii="Arial" w:hAnsi="Arial" w:cs="Arial"/>
          <w:b/>
          <w:sz w:val="20"/>
          <w:szCs w:val="20"/>
        </w:rPr>
      </w:pPr>
    </w:p>
    <w:p w:rsidR="000800D1" w:rsidRPr="00C203C4" w:rsidRDefault="000800D1" w:rsidP="00816942">
      <w:pPr>
        <w:spacing w:after="0"/>
        <w:jc w:val="both"/>
        <w:rPr>
          <w:rFonts w:ascii="Arial" w:hAnsi="Arial" w:cs="Arial"/>
          <w:b/>
          <w:color w:val="000000"/>
          <w:sz w:val="20"/>
          <w:szCs w:val="20"/>
        </w:rPr>
      </w:pPr>
      <w:r w:rsidRPr="00C203C4">
        <w:rPr>
          <w:rFonts w:ascii="Arial" w:hAnsi="Arial" w:cs="Arial"/>
          <w:b/>
          <w:color w:val="000000"/>
          <w:sz w:val="20"/>
          <w:szCs w:val="20"/>
        </w:rPr>
        <w:t>Superior Tribunal de Justiça:</w:t>
      </w:r>
    </w:p>
    <w:p w:rsidR="00483D14" w:rsidRDefault="00483D14" w:rsidP="006E12D5">
      <w:pPr>
        <w:spacing w:after="0"/>
        <w:jc w:val="both"/>
      </w:pPr>
    </w:p>
    <w:p w:rsidR="004028AF" w:rsidRPr="00483D14" w:rsidRDefault="003F2CD0" w:rsidP="006E12D5">
      <w:pPr>
        <w:spacing w:after="0"/>
        <w:jc w:val="both"/>
        <w:rPr>
          <w:rFonts w:ascii="Arial" w:hAnsi="Arial" w:cs="Arial"/>
          <w:b/>
          <w:sz w:val="20"/>
          <w:szCs w:val="20"/>
          <w:shd w:val="clear" w:color="auto" w:fill="FFFFFF"/>
        </w:rPr>
      </w:pPr>
      <w:hyperlink r:id="rId17" w:history="1">
        <w:proofErr w:type="spellStart"/>
        <w:r w:rsidR="00483D14" w:rsidRPr="00483D14">
          <w:rPr>
            <w:rStyle w:val="Hyperlink"/>
            <w:rFonts w:ascii="Arial" w:hAnsi="Arial" w:cs="Arial"/>
            <w:b/>
            <w:sz w:val="20"/>
            <w:szCs w:val="20"/>
            <w:shd w:val="clear" w:color="auto" w:fill="FFFFFF"/>
          </w:rPr>
          <w:t>REsp</w:t>
        </w:r>
        <w:proofErr w:type="spellEnd"/>
        <w:r w:rsidR="00483D14" w:rsidRPr="00483D14">
          <w:rPr>
            <w:rStyle w:val="Hyperlink"/>
            <w:rFonts w:ascii="Arial" w:hAnsi="Arial" w:cs="Arial"/>
            <w:b/>
            <w:sz w:val="20"/>
            <w:szCs w:val="20"/>
            <w:shd w:val="clear" w:color="auto" w:fill="FFFFFF"/>
          </w:rPr>
          <w:t xml:space="preserve"> 1.238.344-MG</w:t>
        </w:r>
      </w:hyperlink>
      <w:r w:rsidR="00483D14" w:rsidRPr="00483D14">
        <w:rPr>
          <w:rFonts w:ascii="Arial" w:hAnsi="Arial" w:cs="Arial"/>
          <w:b/>
          <w:sz w:val="20"/>
          <w:szCs w:val="20"/>
          <w:shd w:val="clear" w:color="auto" w:fill="FFFFFF"/>
        </w:rPr>
        <w:t xml:space="preserve">, Rel. Min. Sérgio </w:t>
      </w:r>
      <w:proofErr w:type="spellStart"/>
      <w:r w:rsidR="00483D14" w:rsidRPr="00483D14">
        <w:rPr>
          <w:rFonts w:ascii="Arial" w:hAnsi="Arial" w:cs="Arial"/>
          <w:b/>
          <w:sz w:val="20"/>
          <w:szCs w:val="20"/>
          <w:shd w:val="clear" w:color="auto" w:fill="FFFFFF"/>
        </w:rPr>
        <w:t>Kukina</w:t>
      </w:r>
      <w:proofErr w:type="spellEnd"/>
      <w:r w:rsidR="00483D14" w:rsidRPr="00483D14">
        <w:rPr>
          <w:rFonts w:ascii="Arial" w:hAnsi="Arial" w:cs="Arial"/>
          <w:b/>
          <w:sz w:val="20"/>
          <w:szCs w:val="20"/>
          <w:shd w:val="clear" w:color="auto" w:fill="FFFFFF"/>
        </w:rPr>
        <w:t xml:space="preserve">, por maioria, julgado em 30/11/2017, </w:t>
      </w:r>
      <w:proofErr w:type="spellStart"/>
      <w:r w:rsidR="00483D14" w:rsidRPr="00483D14">
        <w:rPr>
          <w:rFonts w:ascii="Arial" w:hAnsi="Arial" w:cs="Arial"/>
          <w:b/>
          <w:sz w:val="20"/>
          <w:szCs w:val="20"/>
          <w:shd w:val="clear" w:color="auto" w:fill="FFFFFF"/>
        </w:rPr>
        <w:t>DJe</w:t>
      </w:r>
      <w:proofErr w:type="spellEnd"/>
      <w:r w:rsidR="00483D14" w:rsidRPr="00483D14">
        <w:rPr>
          <w:rFonts w:ascii="Arial" w:hAnsi="Arial" w:cs="Arial"/>
          <w:b/>
          <w:sz w:val="20"/>
          <w:szCs w:val="20"/>
          <w:shd w:val="clear" w:color="auto" w:fill="FFFFFF"/>
        </w:rPr>
        <w:t xml:space="preserve"> 19/12/2017</w:t>
      </w:r>
      <w:r w:rsidR="005C1D75">
        <w:rPr>
          <w:rFonts w:ascii="Arial" w:hAnsi="Arial" w:cs="Arial"/>
          <w:b/>
          <w:sz w:val="20"/>
          <w:szCs w:val="20"/>
          <w:shd w:val="clear" w:color="auto" w:fill="FFFFFF"/>
        </w:rPr>
        <w:t>.</w:t>
      </w:r>
    </w:p>
    <w:p w:rsidR="00483D14" w:rsidRDefault="00483D14" w:rsidP="006E12D5">
      <w:pPr>
        <w:spacing w:after="0"/>
        <w:jc w:val="both"/>
        <w:rPr>
          <w:rFonts w:ascii="Verdana" w:hAnsi="Verdana"/>
          <w:color w:val="575756"/>
          <w:sz w:val="20"/>
          <w:szCs w:val="20"/>
          <w:shd w:val="clear" w:color="auto" w:fill="FFFFFF"/>
        </w:rPr>
      </w:pPr>
    </w:p>
    <w:p w:rsidR="00CC4E55" w:rsidRDefault="004028AF" w:rsidP="006E12D5">
      <w:pPr>
        <w:spacing w:after="0"/>
        <w:jc w:val="both"/>
        <w:rPr>
          <w:rFonts w:ascii="Arial" w:hAnsi="Arial" w:cs="Arial"/>
          <w:b/>
          <w:sz w:val="20"/>
          <w:szCs w:val="20"/>
          <w:shd w:val="clear" w:color="auto" w:fill="FFFFFF"/>
        </w:rPr>
      </w:pPr>
      <w:r w:rsidRPr="004028AF">
        <w:rPr>
          <w:rFonts w:ascii="Arial" w:hAnsi="Arial" w:cs="Arial"/>
          <w:b/>
          <w:sz w:val="20"/>
          <w:szCs w:val="20"/>
          <w:shd w:val="clear" w:color="auto" w:fill="FFFFFF"/>
        </w:rPr>
        <w:t>Concurso público. Nomeação tardia. Erro reconhecido pela Administração. Indenização. Remuneração retroativa. Impossibilidade.</w:t>
      </w:r>
    </w:p>
    <w:p w:rsidR="004028AF" w:rsidRDefault="004028AF" w:rsidP="006E12D5">
      <w:pPr>
        <w:spacing w:after="0"/>
        <w:jc w:val="both"/>
        <w:rPr>
          <w:rFonts w:ascii="Arial" w:hAnsi="Arial" w:cs="Arial"/>
          <w:color w:val="575756"/>
          <w:sz w:val="20"/>
          <w:szCs w:val="20"/>
          <w:shd w:val="clear" w:color="auto" w:fill="FFFFFF"/>
        </w:rPr>
      </w:pPr>
    </w:p>
    <w:p w:rsidR="004028AF" w:rsidRPr="00483D14" w:rsidRDefault="004028AF" w:rsidP="006E12D5">
      <w:pPr>
        <w:spacing w:after="0"/>
        <w:jc w:val="both"/>
        <w:rPr>
          <w:rFonts w:ascii="Arial" w:hAnsi="Arial" w:cs="Arial"/>
          <w:b/>
          <w:sz w:val="20"/>
          <w:szCs w:val="20"/>
          <w:shd w:val="clear" w:color="auto" w:fill="FFFFFF"/>
        </w:rPr>
      </w:pPr>
      <w:r w:rsidRPr="00483D14">
        <w:rPr>
          <w:rFonts w:ascii="Arial" w:hAnsi="Arial" w:cs="Arial"/>
          <w:sz w:val="20"/>
          <w:szCs w:val="20"/>
          <w:shd w:val="clear" w:color="auto" w:fill="FFFFFF"/>
        </w:rPr>
        <w:lastRenderedPageBreak/>
        <w:t>A nomeação tardia de candidatos aprovados em concurso público não gera direito à indenização, ainda que a demora tenha origem em erro reconhecido pela própria Administração Pública.</w:t>
      </w:r>
    </w:p>
    <w:p w:rsidR="00D83E83" w:rsidRDefault="00D83E83" w:rsidP="006E12D5">
      <w:pPr>
        <w:spacing w:after="0"/>
        <w:jc w:val="both"/>
        <w:rPr>
          <w:rFonts w:ascii="Arial" w:hAnsi="Arial" w:cs="Arial"/>
          <w:b/>
          <w:color w:val="000000"/>
          <w:sz w:val="20"/>
          <w:szCs w:val="20"/>
        </w:rPr>
      </w:pPr>
    </w:p>
    <w:p w:rsidR="005C1D75" w:rsidRDefault="003F2CD0" w:rsidP="006E12D5">
      <w:pPr>
        <w:spacing w:after="0"/>
        <w:jc w:val="both"/>
        <w:rPr>
          <w:rFonts w:ascii="Arial" w:hAnsi="Arial" w:cs="Arial"/>
          <w:b/>
          <w:sz w:val="20"/>
          <w:szCs w:val="20"/>
          <w:shd w:val="clear" w:color="auto" w:fill="FFFFFF"/>
        </w:rPr>
      </w:pPr>
      <w:hyperlink r:id="rId18" w:history="1">
        <w:proofErr w:type="spellStart"/>
        <w:r w:rsidR="005C1D75" w:rsidRPr="001A1E2B">
          <w:rPr>
            <w:rStyle w:val="Hyperlink"/>
            <w:rFonts w:ascii="Arial" w:hAnsi="Arial" w:cs="Arial"/>
            <w:b/>
            <w:sz w:val="20"/>
            <w:szCs w:val="20"/>
            <w:shd w:val="clear" w:color="auto" w:fill="FFFFFF"/>
          </w:rPr>
          <w:t>REsp</w:t>
        </w:r>
        <w:proofErr w:type="spellEnd"/>
        <w:r w:rsidR="005C1D75" w:rsidRPr="001A1E2B">
          <w:rPr>
            <w:rStyle w:val="Hyperlink"/>
            <w:rFonts w:ascii="Arial" w:hAnsi="Arial" w:cs="Arial"/>
            <w:b/>
            <w:sz w:val="20"/>
            <w:szCs w:val="20"/>
            <w:shd w:val="clear" w:color="auto" w:fill="FFFFFF"/>
          </w:rPr>
          <w:t xml:space="preserve"> 1.353.602-RS</w:t>
        </w:r>
      </w:hyperlink>
      <w:r w:rsidR="005C1D75" w:rsidRPr="001A1E2B">
        <w:rPr>
          <w:rFonts w:ascii="Arial" w:hAnsi="Arial" w:cs="Arial"/>
          <w:b/>
          <w:sz w:val="20"/>
          <w:szCs w:val="20"/>
          <w:shd w:val="clear" w:color="auto" w:fill="FFFFFF"/>
        </w:rPr>
        <w:t xml:space="preserve">, Rel. Min. Napoleão Nunes Maia Filho, por unanimidade, julgado em 30/11/2017, </w:t>
      </w:r>
      <w:proofErr w:type="spellStart"/>
      <w:r w:rsidR="005C1D75" w:rsidRPr="001A1E2B">
        <w:rPr>
          <w:rFonts w:ascii="Arial" w:hAnsi="Arial" w:cs="Arial"/>
          <w:b/>
          <w:sz w:val="20"/>
          <w:szCs w:val="20"/>
          <w:shd w:val="clear" w:color="auto" w:fill="FFFFFF"/>
        </w:rPr>
        <w:t>DJe</w:t>
      </w:r>
      <w:proofErr w:type="spellEnd"/>
      <w:r w:rsidR="005C1D75" w:rsidRPr="001A1E2B">
        <w:rPr>
          <w:rFonts w:ascii="Arial" w:hAnsi="Arial" w:cs="Arial"/>
          <w:b/>
          <w:sz w:val="20"/>
          <w:szCs w:val="20"/>
          <w:shd w:val="clear" w:color="auto" w:fill="FFFFFF"/>
        </w:rPr>
        <w:t xml:space="preserve"> 07/12/2017.</w:t>
      </w:r>
    </w:p>
    <w:p w:rsidR="0093406B" w:rsidRPr="001A1E2B" w:rsidRDefault="0093406B" w:rsidP="006E12D5">
      <w:pPr>
        <w:spacing w:after="0"/>
        <w:jc w:val="both"/>
        <w:rPr>
          <w:rFonts w:ascii="Arial" w:hAnsi="Arial" w:cs="Arial"/>
          <w:b/>
          <w:sz w:val="20"/>
          <w:szCs w:val="20"/>
          <w:shd w:val="clear" w:color="auto" w:fill="FFFFFF"/>
        </w:rPr>
      </w:pPr>
    </w:p>
    <w:p w:rsidR="005C1D75" w:rsidRPr="001A1E2B" w:rsidRDefault="001A1E2B" w:rsidP="006E12D5">
      <w:pPr>
        <w:spacing w:after="0"/>
        <w:jc w:val="both"/>
        <w:rPr>
          <w:rFonts w:ascii="Arial" w:hAnsi="Arial" w:cs="Arial"/>
          <w:b/>
          <w:sz w:val="20"/>
          <w:szCs w:val="20"/>
          <w:shd w:val="clear" w:color="auto" w:fill="FFFFFF"/>
        </w:rPr>
      </w:pPr>
      <w:r w:rsidRPr="001A1E2B">
        <w:rPr>
          <w:rFonts w:ascii="Arial" w:hAnsi="Arial" w:cs="Arial"/>
          <w:b/>
          <w:sz w:val="20"/>
          <w:szCs w:val="20"/>
          <w:shd w:val="clear" w:color="auto" w:fill="FFFFFF"/>
        </w:rPr>
        <w:t>Ação cautelar de exibição de documentos. Dados coletados pelo IBGE. Repasse sem finalidades estatísticas. Impossibilidade. Sigilo das informações individualizadas. Proteção legal.</w:t>
      </w:r>
    </w:p>
    <w:p w:rsidR="001A1E2B" w:rsidRDefault="001A1E2B" w:rsidP="006E12D5">
      <w:pPr>
        <w:spacing w:after="0"/>
        <w:jc w:val="both"/>
        <w:rPr>
          <w:rFonts w:ascii="Arial" w:hAnsi="Arial" w:cs="Arial"/>
          <w:b/>
          <w:sz w:val="20"/>
          <w:szCs w:val="20"/>
        </w:rPr>
      </w:pPr>
    </w:p>
    <w:p w:rsidR="001A1E2B" w:rsidRDefault="001A1E2B" w:rsidP="006E12D5">
      <w:pPr>
        <w:spacing w:after="0"/>
        <w:jc w:val="both"/>
        <w:rPr>
          <w:rFonts w:ascii="Arial" w:hAnsi="Arial" w:cs="Arial"/>
          <w:sz w:val="20"/>
          <w:szCs w:val="20"/>
          <w:shd w:val="clear" w:color="auto" w:fill="FFFFFF"/>
        </w:rPr>
      </w:pPr>
      <w:r w:rsidRPr="005439FD">
        <w:rPr>
          <w:rFonts w:ascii="Arial" w:hAnsi="Arial" w:cs="Arial"/>
          <w:sz w:val="20"/>
          <w:szCs w:val="20"/>
          <w:shd w:val="clear" w:color="auto" w:fill="FFFFFF"/>
        </w:rPr>
        <w:t xml:space="preserve">O Instituto Brasileiro de Geografia e Estatística </w:t>
      </w:r>
      <w:r w:rsidR="005439FD">
        <w:rPr>
          <w:rFonts w:ascii="Arial" w:hAnsi="Arial" w:cs="Arial"/>
          <w:sz w:val="20"/>
          <w:szCs w:val="20"/>
          <w:shd w:val="clear" w:color="auto" w:fill="FFFFFF"/>
        </w:rPr>
        <w:t>-</w:t>
      </w:r>
      <w:r w:rsidRPr="005439FD">
        <w:rPr>
          <w:rFonts w:ascii="Arial" w:hAnsi="Arial" w:cs="Arial"/>
          <w:sz w:val="20"/>
          <w:szCs w:val="20"/>
          <w:shd w:val="clear" w:color="auto" w:fill="FFFFFF"/>
        </w:rPr>
        <w:t xml:space="preserve"> IBGE está legalmente impedido de fornecer a quem quer que seja as informações individualizadas que coleta, no desempenho de suas atribuições, para que sirvam de prova em quaisquer outros procedimentos administrativos.</w:t>
      </w:r>
    </w:p>
    <w:p w:rsidR="005439FD" w:rsidRDefault="005439FD" w:rsidP="006E12D5">
      <w:pPr>
        <w:spacing w:after="0"/>
        <w:jc w:val="both"/>
        <w:rPr>
          <w:rFonts w:ascii="Arial" w:hAnsi="Arial" w:cs="Arial"/>
          <w:sz w:val="20"/>
          <w:szCs w:val="20"/>
          <w:shd w:val="clear" w:color="auto" w:fill="FFFFFF"/>
        </w:rPr>
      </w:pPr>
    </w:p>
    <w:p w:rsidR="005439FD" w:rsidRPr="00DB1FEA" w:rsidRDefault="003F2CD0" w:rsidP="006E12D5">
      <w:pPr>
        <w:spacing w:after="0"/>
        <w:jc w:val="both"/>
        <w:rPr>
          <w:rFonts w:ascii="Arial" w:hAnsi="Arial" w:cs="Arial"/>
          <w:b/>
          <w:sz w:val="20"/>
          <w:szCs w:val="20"/>
        </w:rPr>
      </w:pPr>
      <w:hyperlink r:id="rId19" w:history="1">
        <w:r w:rsidR="005439FD" w:rsidRPr="00DB1FEA">
          <w:rPr>
            <w:rStyle w:val="Hyperlink"/>
            <w:rFonts w:ascii="Arial" w:hAnsi="Arial" w:cs="Arial"/>
            <w:b/>
            <w:sz w:val="20"/>
            <w:szCs w:val="20"/>
            <w:shd w:val="clear" w:color="auto" w:fill="FFFFFF"/>
          </w:rPr>
          <w:t>RHC 88.804-RN</w:t>
        </w:r>
      </w:hyperlink>
      <w:r w:rsidR="005439FD" w:rsidRPr="00DB1FEA">
        <w:rPr>
          <w:rFonts w:ascii="Arial" w:hAnsi="Arial" w:cs="Arial"/>
          <w:b/>
          <w:sz w:val="20"/>
          <w:szCs w:val="20"/>
          <w:shd w:val="clear" w:color="auto" w:fill="FFFFFF"/>
        </w:rPr>
        <w:t xml:space="preserve">, Rel. Min. Reynaldo Soares Da Fonseca, por unanimidade, julgado em 07/11/2017, </w:t>
      </w:r>
      <w:proofErr w:type="spellStart"/>
      <w:r w:rsidR="005439FD" w:rsidRPr="00DB1FEA">
        <w:rPr>
          <w:rFonts w:ascii="Arial" w:hAnsi="Arial" w:cs="Arial"/>
          <w:b/>
          <w:sz w:val="20"/>
          <w:szCs w:val="20"/>
          <w:shd w:val="clear" w:color="auto" w:fill="FFFFFF"/>
        </w:rPr>
        <w:t>DJe</w:t>
      </w:r>
      <w:proofErr w:type="spellEnd"/>
      <w:r w:rsidR="005439FD" w:rsidRPr="00DB1FEA">
        <w:rPr>
          <w:rFonts w:ascii="Arial" w:hAnsi="Arial" w:cs="Arial"/>
          <w:b/>
          <w:sz w:val="20"/>
          <w:szCs w:val="20"/>
          <w:shd w:val="clear" w:color="auto" w:fill="FFFFFF"/>
        </w:rPr>
        <w:t xml:space="preserve"> 14/11/2017</w:t>
      </w:r>
    </w:p>
    <w:p w:rsidR="005C1D75" w:rsidRDefault="005C1D75" w:rsidP="006E12D5">
      <w:pPr>
        <w:spacing w:after="0"/>
        <w:jc w:val="both"/>
        <w:rPr>
          <w:rFonts w:ascii="Arial" w:hAnsi="Arial" w:cs="Arial"/>
          <w:b/>
          <w:color w:val="000000"/>
          <w:sz w:val="20"/>
          <w:szCs w:val="20"/>
        </w:rPr>
      </w:pPr>
    </w:p>
    <w:p w:rsidR="005439FD" w:rsidRPr="005439FD" w:rsidRDefault="005439FD" w:rsidP="006E12D5">
      <w:pPr>
        <w:spacing w:after="0"/>
        <w:jc w:val="both"/>
        <w:rPr>
          <w:rFonts w:ascii="Arial" w:hAnsi="Arial" w:cs="Arial"/>
          <w:b/>
          <w:sz w:val="20"/>
          <w:szCs w:val="20"/>
        </w:rPr>
      </w:pPr>
      <w:r w:rsidRPr="005439FD">
        <w:rPr>
          <w:rFonts w:ascii="Arial" w:hAnsi="Arial" w:cs="Arial"/>
          <w:b/>
          <w:sz w:val="20"/>
          <w:szCs w:val="20"/>
          <w:shd w:val="clear" w:color="auto" w:fill="FFFFFF"/>
        </w:rPr>
        <w:t>Medida cautelar de afastamento das funções públicas de vereador e presidente de câmara municipal. ADI n. 5.526/DF. Parlamentares municipais. Não incidência.</w:t>
      </w:r>
    </w:p>
    <w:p w:rsidR="005439FD" w:rsidRDefault="005439FD" w:rsidP="006E12D5">
      <w:pPr>
        <w:spacing w:after="0"/>
        <w:jc w:val="both"/>
        <w:rPr>
          <w:rFonts w:ascii="Arial" w:hAnsi="Arial" w:cs="Arial"/>
          <w:b/>
          <w:color w:val="000000"/>
          <w:sz w:val="20"/>
          <w:szCs w:val="20"/>
        </w:rPr>
      </w:pPr>
    </w:p>
    <w:p w:rsidR="005439FD" w:rsidRPr="005439FD" w:rsidRDefault="005439FD" w:rsidP="006E12D5">
      <w:pPr>
        <w:spacing w:after="0"/>
        <w:jc w:val="both"/>
        <w:rPr>
          <w:rFonts w:ascii="Arial" w:hAnsi="Arial" w:cs="Arial"/>
          <w:sz w:val="20"/>
          <w:szCs w:val="20"/>
        </w:rPr>
      </w:pPr>
      <w:r w:rsidRPr="005439FD">
        <w:rPr>
          <w:rFonts w:ascii="Arial" w:hAnsi="Arial" w:cs="Arial"/>
          <w:sz w:val="20"/>
          <w:szCs w:val="20"/>
          <w:shd w:val="clear" w:color="auto" w:fill="FFFFFF"/>
        </w:rPr>
        <w:t>É possível que o Juiz de primeiro grau, fundamentadamente, imponha a parlamentares municipais as medidas cautelares de afastamento de suas funções legislativas sem necessidade de remessa à Casa respectiva para deliberação.</w:t>
      </w:r>
    </w:p>
    <w:p w:rsidR="005439FD" w:rsidRDefault="005439FD" w:rsidP="006E12D5">
      <w:pPr>
        <w:spacing w:after="0"/>
        <w:jc w:val="both"/>
        <w:rPr>
          <w:rFonts w:ascii="Arial" w:hAnsi="Arial" w:cs="Arial"/>
          <w:b/>
          <w:color w:val="000000"/>
          <w:sz w:val="20"/>
          <w:szCs w:val="20"/>
        </w:rPr>
      </w:pPr>
    </w:p>
    <w:p w:rsidR="000800D1" w:rsidRPr="00C203C4" w:rsidRDefault="000800D1" w:rsidP="006E12D5">
      <w:pPr>
        <w:spacing w:after="0"/>
        <w:jc w:val="both"/>
        <w:rPr>
          <w:rFonts w:ascii="Arial" w:hAnsi="Arial" w:cs="Arial"/>
          <w:b/>
          <w:color w:val="000000"/>
          <w:sz w:val="20"/>
          <w:szCs w:val="20"/>
        </w:rPr>
      </w:pPr>
      <w:r w:rsidRPr="00C203C4">
        <w:rPr>
          <w:rFonts w:ascii="Arial" w:hAnsi="Arial" w:cs="Arial"/>
          <w:b/>
          <w:color w:val="000000"/>
          <w:sz w:val="20"/>
          <w:szCs w:val="20"/>
        </w:rPr>
        <w:t>Tribunal de Contas da União:</w:t>
      </w:r>
    </w:p>
    <w:p w:rsidR="00EF7606" w:rsidRDefault="00EF7606" w:rsidP="00033422">
      <w:pPr>
        <w:widowControl w:val="0"/>
        <w:autoSpaceDE w:val="0"/>
        <w:autoSpaceDN w:val="0"/>
        <w:jc w:val="both"/>
      </w:pPr>
    </w:p>
    <w:p w:rsidR="00033422" w:rsidRPr="00C203C4" w:rsidRDefault="003F2CD0" w:rsidP="00033422">
      <w:pPr>
        <w:widowControl w:val="0"/>
        <w:autoSpaceDE w:val="0"/>
        <w:autoSpaceDN w:val="0"/>
        <w:jc w:val="both"/>
        <w:rPr>
          <w:rFonts w:ascii="Arial" w:hAnsi="Arial" w:cs="Arial"/>
          <w:b/>
          <w:sz w:val="20"/>
          <w:szCs w:val="20"/>
        </w:rPr>
      </w:pPr>
      <w:hyperlink r:id="rId20" w:history="1">
        <w:r w:rsidR="00033422" w:rsidRPr="00C203C4">
          <w:rPr>
            <w:rStyle w:val="Hyperlink"/>
            <w:rFonts w:ascii="Arial" w:hAnsi="Arial"/>
            <w:b/>
            <w:sz w:val="20"/>
            <w:szCs w:val="20"/>
          </w:rPr>
          <w:t>Acórdão 10132/2017</w:t>
        </w:r>
        <w:r w:rsidR="008F23FE" w:rsidRPr="00C203C4">
          <w:rPr>
            <w:rStyle w:val="Hyperlink"/>
            <w:rFonts w:ascii="Arial" w:hAnsi="Arial"/>
            <w:b/>
            <w:sz w:val="20"/>
            <w:szCs w:val="20"/>
          </w:rPr>
          <w:t xml:space="preserve"> -</w:t>
        </w:r>
        <w:r w:rsidR="00033422" w:rsidRPr="00C203C4">
          <w:rPr>
            <w:rStyle w:val="Hyperlink"/>
            <w:rFonts w:ascii="Arial" w:hAnsi="Arial"/>
            <w:b/>
            <w:sz w:val="20"/>
            <w:szCs w:val="20"/>
          </w:rPr>
          <w:t xml:space="preserve"> Segunda Câmara</w:t>
        </w:r>
      </w:hyperlink>
      <w:r w:rsidR="00033422" w:rsidRPr="00C203C4">
        <w:rPr>
          <w:rFonts w:ascii="Arial" w:hAnsi="Arial"/>
          <w:b/>
          <w:sz w:val="20"/>
          <w:szCs w:val="20"/>
        </w:rPr>
        <w:t xml:space="preserve"> </w:t>
      </w:r>
      <w:r w:rsidR="00033422" w:rsidRPr="00C203C4">
        <w:rPr>
          <w:rFonts w:ascii="Arial" w:hAnsi="Arial"/>
          <w:sz w:val="20"/>
          <w:szCs w:val="20"/>
        </w:rPr>
        <w:t>(Pedido de Reexame, Relator Ministro Aroldo Cedraz)</w:t>
      </w:r>
    </w:p>
    <w:p w:rsidR="00033422" w:rsidRPr="00C203C4" w:rsidRDefault="00033422" w:rsidP="00033422">
      <w:pPr>
        <w:jc w:val="both"/>
        <w:rPr>
          <w:rFonts w:ascii="Arial" w:hAnsi="Arial" w:cs="Arial"/>
          <w:b/>
          <w:sz w:val="20"/>
          <w:szCs w:val="20"/>
        </w:rPr>
      </w:pPr>
      <w:r w:rsidRPr="00C203C4">
        <w:rPr>
          <w:rFonts w:ascii="Arial" w:hAnsi="Arial"/>
          <w:b/>
          <w:sz w:val="20"/>
          <w:szCs w:val="20"/>
        </w:rPr>
        <w:t>Pensão civil. Dependência econômica. Comprovação. Declaração de bens e rendas.</w:t>
      </w:r>
    </w:p>
    <w:p w:rsidR="00033422" w:rsidRPr="00C203C4" w:rsidRDefault="00033422" w:rsidP="00033422">
      <w:pPr>
        <w:pStyle w:val="TCU-Epgrafe"/>
        <w:spacing w:after="200" w:line="276" w:lineRule="auto"/>
        <w:ind w:left="0"/>
        <w:rPr>
          <w:rFonts w:ascii="Arial" w:hAnsi="Arial"/>
          <w:sz w:val="20"/>
          <w:shd w:val="clear" w:color="auto" w:fill="FFFFFF"/>
        </w:rPr>
      </w:pPr>
      <w:r w:rsidRPr="00C203C4">
        <w:rPr>
          <w:rFonts w:ascii="Arial" w:hAnsi="Arial"/>
          <w:sz w:val="20"/>
          <w:shd w:val="clear" w:color="auto" w:fill="FFFFFF"/>
        </w:rPr>
        <w:t>A condição de dependente para efeitos fiscais (declaração de ajuste anual de imposto de renda) não é bastante para comprovar a efetiva dependência econômica do beneficiário da pensão em relação ao instituidor, que deve ser corroborada por outros elementos, uma vez que a dependência para fins tributários não se confunde com a dependência econômica para fins previdenciários, pois há distinções de natureza, propósito e abrangência entre elas.</w:t>
      </w:r>
    </w:p>
    <w:p w:rsidR="00847302" w:rsidRPr="00C203C4" w:rsidRDefault="003F2CD0" w:rsidP="00847302">
      <w:pPr>
        <w:widowControl w:val="0"/>
        <w:autoSpaceDE w:val="0"/>
        <w:autoSpaceDN w:val="0"/>
        <w:jc w:val="both"/>
        <w:rPr>
          <w:rFonts w:ascii="Arial" w:hAnsi="Arial" w:cs="Arial"/>
          <w:b/>
          <w:sz w:val="20"/>
          <w:szCs w:val="20"/>
        </w:rPr>
      </w:pPr>
      <w:hyperlink r:id="rId21" w:history="1">
        <w:r w:rsidR="00847302" w:rsidRPr="00C203C4">
          <w:rPr>
            <w:rStyle w:val="Hyperlink"/>
            <w:rFonts w:ascii="Arial" w:hAnsi="Arial"/>
            <w:b/>
            <w:sz w:val="20"/>
            <w:szCs w:val="20"/>
          </w:rPr>
          <w:t>Acórdão 2736/2017</w:t>
        </w:r>
        <w:r w:rsidR="006F23B9" w:rsidRPr="00C203C4">
          <w:rPr>
            <w:rStyle w:val="Hyperlink"/>
            <w:rFonts w:ascii="Arial" w:hAnsi="Arial"/>
            <w:b/>
            <w:sz w:val="20"/>
            <w:szCs w:val="20"/>
          </w:rPr>
          <w:t xml:space="preserve"> -</w:t>
        </w:r>
        <w:r w:rsidR="00847302" w:rsidRPr="00C203C4">
          <w:rPr>
            <w:rStyle w:val="Hyperlink"/>
            <w:rFonts w:ascii="Arial" w:hAnsi="Arial"/>
            <w:b/>
            <w:sz w:val="20"/>
            <w:szCs w:val="20"/>
          </w:rPr>
          <w:t xml:space="preserve"> Plenário</w:t>
        </w:r>
      </w:hyperlink>
      <w:r w:rsidR="00847302" w:rsidRPr="00C203C4">
        <w:rPr>
          <w:rFonts w:ascii="Arial" w:hAnsi="Arial"/>
          <w:b/>
          <w:sz w:val="20"/>
          <w:szCs w:val="20"/>
        </w:rPr>
        <w:t xml:space="preserve"> </w:t>
      </w:r>
      <w:r w:rsidR="00847302" w:rsidRPr="00C203C4">
        <w:rPr>
          <w:rFonts w:ascii="Arial" w:hAnsi="Arial"/>
          <w:sz w:val="20"/>
          <w:szCs w:val="20"/>
        </w:rPr>
        <w:t xml:space="preserve">(Embargos de Declaração, Relator Ministro Benjamin </w:t>
      </w:r>
      <w:proofErr w:type="spellStart"/>
      <w:r w:rsidR="00847302" w:rsidRPr="00C203C4">
        <w:rPr>
          <w:rFonts w:ascii="Arial" w:hAnsi="Arial"/>
          <w:sz w:val="20"/>
          <w:szCs w:val="20"/>
        </w:rPr>
        <w:t>Zymler</w:t>
      </w:r>
      <w:proofErr w:type="spellEnd"/>
      <w:r w:rsidR="00847302" w:rsidRPr="00C203C4">
        <w:rPr>
          <w:rFonts w:ascii="Arial" w:hAnsi="Arial"/>
          <w:sz w:val="20"/>
          <w:szCs w:val="20"/>
        </w:rPr>
        <w:t>)</w:t>
      </w:r>
    </w:p>
    <w:p w:rsidR="00847302" w:rsidRPr="00C203C4" w:rsidRDefault="00847302" w:rsidP="00847302">
      <w:pPr>
        <w:jc w:val="both"/>
        <w:rPr>
          <w:rFonts w:ascii="Arial" w:hAnsi="Arial" w:cs="Arial"/>
          <w:b/>
          <w:sz w:val="20"/>
          <w:szCs w:val="20"/>
        </w:rPr>
      </w:pPr>
      <w:proofErr w:type="gramStart"/>
      <w:r w:rsidRPr="00C203C4">
        <w:rPr>
          <w:rFonts w:ascii="Arial" w:hAnsi="Arial"/>
          <w:b/>
          <w:sz w:val="20"/>
          <w:szCs w:val="20"/>
        </w:rPr>
        <w:t>Direito Processual</w:t>
      </w:r>
      <w:proofErr w:type="gramEnd"/>
      <w:r w:rsidRPr="00C203C4">
        <w:rPr>
          <w:rFonts w:ascii="Arial" w:hAnsi="Arial"/>
          <w:b/>
          <w:sz w:val="20"/>
          <w:szCs w:val="20"/>
        </w:rPr>
        <w:t>. Princípio da ampla defesa. Auditoria. Tomada de contas especial. Desconsideração da personalidade jurídica.</w:t>
      </w:r>
    </w:p>
    <w:p w:rsidR="00847302" w:rsidRPr="00C203C4" w:rsidRDefault="00847302" w:rsidP="00847302">
      <w:pPr>
        <w:pStyle w:val="TCU-Epgrafe"/>
        <w:spacing w:after="200" w:line="276" w:lineRule="auto"/>
        <w:ind w:left="0"/>
        <w:rPr>
          <w:sz w:val="20"/>
        </w:rPr>
      </w:pPr>
      <w:r w:rsidRPr="00C203C4">
        <w:rPr>
          <w:rFonts w:ascii="Arial" w:hAnsi="Arial"/>
          <w:sz w:val="20"/>
        </w:rPr>
        <w:lastRenderedPageBreak/>
        <w:t xml:space="preserve">A decisão que determina a instauração de tomada de contas especial tem natureza preliminar, sem caráter punitivo, inexistindo, portanto, obrigação legal para que o TCU ofereça contraditório prévio, inclusive no caso de desconsideração da personalidade jurídica para a citação de sócios e administradores de empresas envolvidas em atos ilícitos. </w:t>
      </w:r>
    </w:p>
    <w:p w:rsidR="009C29C5" w:rsidRPr="00C203C4" w:rsidRDefault="003F2CD0" w:rsidP="009C29C5">
      <w:pPr>
        <w:widowControl w:val="0"/>
        <w:autoSpaceDE w:val="0"/>
        <w:autoSpaceDN w:val="0"/>
        <w:jc w:val="both"/>
        <w:rPr>
          <w:rFonts w:ascii="Arial" w:hAnsi="Arial" w:cs="Arial"/>
          <w:b/>
          <w:sz w:val="20"/>
          <w:szCs w:val="20"/>
        </w:rPr>
      </w:pPr>
      <w:hyperlink r:id="rId22" w:history="1">
        <w:r w:rsidR="009C29C5" w:rsidRPr="00C203C4">
          <w:rPr>
            <w:rStyle w:val="Hyperlink"/>
            <w:rFonts w:ascii="Arial" w:hAnsi="Arial"/>
            <w:b/>
            <w:sz w:val="20"/>
            <w:szCs w:val="20"/>
          </w:rPr>
          <w:t>Acórdão 2742/2017</w:t>
        </w:r>
        <w:r w:rsidR="009402BA" w:rsidRPr="00C203C4">
          <w:rPr>
            <w:rStyle w:val="Hyperlink"/>
            <w:rFonts w:ascii="Arial" w:hAnsi="Arial"/>
            <w:b/>
            <w:sz w:val="20"/>
            <w:szCs w:val="20"/>
          </w:rPr>
          <w:t xml:space="preserve"> -</w:t>
        </w:r>
        <w:r w:rsidR="009C29C5" w:rsidRPr="00C203C4">
          <w:rPr>
            <w:rStyle w:val="Hyperlink"/>
            <w:rFonts w:ascii="Arial" w:hAnsi="Arial"/>
            <w:b/>
            <w:sz w:val="20"/>
            <w:szCs w:val="20"/>
          </w:rPr>
          <w:t xml:space="preserve"> Plenário</w:t>
        </w:r>
      </w:hyperlink>
      <w:r w:rsidR="009C29C5" w:rsidRPr="00C203C4">
        <w:rPr>
          <w:rFonts w:ascii="Arial" w:hAnsi="Arial"/>
          <w:b/>
          <w:sz w:val="20"/>
          <w:szCs w:val="20"/>
        </w:rPr>
        <w:t xml:space="preserve"> </w:t>
      </w:r>
      <w:r w:rsidR="009C29C5" w:rsidRPr="00C203C4">
        <w:rPr>
          <w:rFonts w:ascii="Arial" w:hAnsi="Arial"/>
          <w:sz w:val="20"/>
          <w:szCs w:val="20"/>
        </w:rPr>
        <w:t>(Representação, Relator Ministro Aroldo Cedraz)</w:t>
      </w:r>
    </w:p>
    <w:p w:rsidR="009C29C5" w:rsidRPr="00C203C4" w:rsidRDefault="009C29C5" w:rsidP="009C29C5">
      <w:pPr>
        <w:jc w:val="both"/>
        <w:rPr>
          <w:rFonts w:ascii="Arial" w:hAnsi="Arial" w:cs="Arial"/>
          <w:b/>
          <w:sz w:val="20"/>
          <w:szCs w:val="20"/>
        </w:rPr>
      </w:pPr>
      <w:r w:rsidRPr="00C203C4">
        <w:rPr>
          <w:rFonts w:ascii="Arial" w:hAnsi="Arial"/>
          <w:b/>
          <w:sz w:val="20"/>
          <w:szCs w:val="20"/>
        </w:rPr>
        <w:t>Licitação. Julgamento. Erro material. Composição de custo unitário. Preço unitário.</w:t>
      </w:r>
    </w:p>
    <w:p w:rsidR="009C29C5" w:rsidRPr="00C203C4" w:rsidRDefault="009C29C5" w:rsidP="009C29C5">
      <w:pPr>
        <w:pStyle w:val="TCU-Epgrafe"/>
        <w:spacing w:after="200" w:line="276" w:lineRule="auto"/>
        <w:ind w:left="0"/>
        <w:rPr>
          <w:sz w:val="20"/>
        </w:rPr>
      </w:pPr>
      <w:r w:rsidRPr="00C203C4">
        <w:rPr>
          <w:rFonts w:ascii="Arial" w:hAnsi="Arial"/>
          <w:sz w:val="20"/>
        </w:rPr>
        <w:t>Estando os preços global e unitários ofertados pelo licitante dentro dos limites fixados pela Administração, é de excessivo rigor a desclassificação da proposta por divergência entre seus preços unitários e respectivas composições detalhadas de custos, por afronta aos princípios da razoabilidade, da ampla competitividade dos certames e da busca de economicidade nas contratações. Referida divergência se resolve com a retificação das composições, sem necessidade de modificações ou ajustes em quaisquer dos valores lançados na proposta a título de preços unitários.</w:t>
      </w:r>
    </w:p>
    <w:p w:rsidR="00497639" w:rsidRPr="00C203C4" w:rsidRDefault="003F2CD0" w:rsidP="00497639">
      <w:pPr>
        <w:widowControl w:val="0"/>
        <w:autoSpaceDE w:val="0"/>
        <w:autoSpaceDN w:val="0"/>
        <w:jc w:val="both"/>
        <w:rPr>
          <w:rFonts w:ascii="Arial" w:hAnsi="Arial" w:cs="Arial"/>
          <w:b/>
          <w:sz w:val="20"/>
          <w:szCs w:val="20"/>
        </w:rPr>
      </w:pPr>
      <w:hyperlink r:id="rId23" w:history="1">
        <w:r w:rsidR="00497639" w:rsidRPr="00C203C4">
          <w:rPr>
            <w:rStyle w:val="Hyperlink"/>
            <w:rFonts w:ascii="Arial" w:hAnsi="Arial"/>
            <w:b/>
            <w:sz w:val="20"/>
            <w:szCs w:val="20"/>
          </w:rPr>
          <w:t xml:space="preserve">Acórdão 11215/2017 </w:t>
        </w:r>
        <w:r w:rsidR="003117D9" w:rsidRPr="00C203C4">
          <w:rPr>
            <w:rStyle w:val="Hyperlink"/>
            <w:rFonts w:ascii="Arial" w:hAnsi="Arial"/>
            <w:b/>
            <w:sz w:val="20"/>
            <w:szCs w:val="20"/>
          </w:rPr>
          <w:t xml:space="preserve">- </w:t>
        </w:r>
        <w:r w:rsidR="00497639" w:rsidRPr="00C203C4">
          <w:rPr>
            <w:rStyle w:val="Hyperlink"/>
            <w:rFonts w:ascii="Arial" w:hAnsi="Arial"/>
            <w:b/>
            <w:sz w:val="20"/>
            <w:szCs w:val="20"/>
          </w:rPr>
          <w:t>Primeira Câmara</w:t>
        </w:r>
      </w:hyperlink>
      <w:r w:rsidR="00497639" w:rsidRPr="00C203C4">
        <w:rPr>
          <w:rFonts w:ascii="Arial" w:hAnsi="Arial"/>
          <w:b/>
          <w:sz w:val="20"/>
          <w:szCs w:val="20"/>
        </w:rPr>
        <w:t xml:space="preserve"> </w:t>
      </w:r>
      <w:r w:rsidR="00497639" w:rsidRPr="00C203C4">
        <w:rPr>
          <w:rFonts w:ascii="Arial" w:hAnsi="Arial"/>
          <w:sz w:val="20"/>
          <w:szCs w:val="20"/>
        </w:rPr>
        <w:t>(Monitoramento, Relator Ministro Walton Alencar Rodrigues)</w:t>
      </w:r>
    </w:p>
    <w:p w:rsidR="00497639" w:rsidRPr="00C203C4" w:rsidRDefault="00497639" w:rsidP="00497639">
      <w:pPr>
        <w:jc w:val="both"/>
        <w:rPr>
          <w:rFonts w:ascii="Arial" w:hAnsi="Arial" w:cs="Arial"/>
          <w:b/>
          <w:sz w:val="20"/>
          <w:szCs w:val="20"/>
        </w:rPr>
      </w:pPr>
      <w:r w:rsidRPr="00C203C4">
        <w:rPr>
          <w:rFonts w:ascii="Arial" w:hAnsi="Arial"/>
          <w:b/>
          <w:sz w:val="20"/>
          <w:szCs w:val="20"/>
        </w:rPr>
        <w:t>Pessoal. Adicional por tempo de serviço. Cálculo. Interrupção. Vínculo.</w:t>
      </w:r>
    </w:p>
    <w:p w:rsidR="00497639" w:rsidRPr="00C203C4" w:rsidRDefault="00497639" w:rsidP="00497639">
      <w:pPr>
        <w:pStyle w:val="TCU-Epgrafe"/>
        <w:spacing w:after="200" w:line="276" w:lineRule="auto"/>
        <w:ind w:left="0"/>
        <w:rPr>
          <w:rFonts w:ascii="Arial" w:hAnsi="Arial"/>
          <w:sz w:val="20"/>
        </w:rPr>
      </w:pPr>
      <w:r w:rsidRPr="00C203C4">
        <w:rPr>
          <w:rFonts w:ascii="Arial" w:hAnsi="Arial"/>
          <w:sz w:val="20"/>
        </w:rPr>
        <w:t>A contagem de tempo relativo a cargo público pregresso para percepção de adicional por tempo de serviço somente é permitida quando não houver rompimento do vínculo jurídico do servidor, ou seja, quando existir simultaneidade entre a vacância de um cargo e a ocupação de outro.</w:t>
      </w:r>
    </w:p>
    <w:p w:rsidR="00E95E4C" w:rsidRPr="00C203C4" w:rsidRDefault="003F2CD0" w:rsidP="00E95E4C">
      <w:pPr>
        <w:widowControl w:val="0"/>
        <w:autoSpaceDE w:val="0"/>
        <w:autoSpaceDN w:val="0"/>
        <w:jc w:val="both"/>
        <w:rPr>
          <w:rFonts w:ascii="Arial" w:hAnsi="Arial" w:cs="Arial"/>
          <w:b/>
          <w:sz w:val="20"/>
          <w:szCs w:val="20"/>
        </w:rPr>
      </w:pPr>
      <w:hyperlink r:id="rId24" w:history="1">
        <w:r w:rsidR="00E95E4C" w:rsidRPr="001F7D53">
          <w:rPr>
            <w:rStyle w:val="Hyperlink"/>
            <w:rFonts w:ascii="Arial" w:hAnsi="Arial"/>
            <w:b/>
            <w:sz w:val="20"/>
            <w:szCs w:val="20"/>
          </w:rPr>
          <w:t>Acórdão 10362/2017</w:t>
        </w:r>
        <w:r w:rsidR="001F7D53" w:rsidRPr="001F7D53">
          <w:rPr>
            <w:rStyle w:val="Hyperlink"/>
            <w:rFonts w:ascii="Arial" w:hAnsi="Arial"/>
            <w:b/>
            <w:sz w:val="20"/>
            <w:szCs w:val="20"/>
          </w:rPr>
          <w:t xml:space="preserve"> -</w:t>
        </w:r>
        <w:r w:rsidR="00E95E4C" w:rsidRPr="001F7D53">
          <w:rPr>
            <w:rStyle w:val="Hyperlink"/>
            <w:rFonts w:ascii="Arial" w:hAnsi="Arial"/>
            <w:b/>
            <w:sz w:val="20"/>
            <w:szCs w:val="20"/>
          </w:rPr>
          <w:t xml:space="preserve"> Segunda Câmara</w:t>
        </w:r>
      </w:hyperlink>
      <w:r w:rsidR="00E95E4C" w:rsidRPr="00C203C4">
        <w:rPr>
          <w:rFonts w:ascii="Arial" w:hAnsi="Arial"/>
          <w:b/>
          <w:sz w:val="20"/>
          <w:szCs w:val="20"/>
        </w:rPr>
        <w:t xml:space="preserve"> </w:t>
      </w:r>
      <w:r w:rsidR="00E95E4C" w:rsidRPr="00C203C4">
        <w:rPr>
          <w:rFonts w:ascii="Arial" w:hAnsi="Arial"/>
          <w:sz w:val="20"/>
          <w:szCs w:val="20"/>
        </w:rPr>
        <w:t xml:space="preserve">(Representação, Relator Ministro-Substituto Marcos </w:t>
      </w:r>
      <w:proofErr w:type="spellStart"/>
      <w:r w:rsidR="00E95E4C" w:rsidRPr="00C203C4">
        <w:rPr>
          <w:rFonts w:ascii="Arial" w:hAnsi="Arial"/>
          <w:sz w:val="20"/>
          <w:szCs w:val="20"/>
        </w:rPr>
        <w:t>Bemquerer</w:t>
      </w:r>
      <w:proofErr w:type="spellEnd"/>
      <w:r w:rsidR="00E95E4C" w:rsidRPr="00C203C4">
        <w:rPr>
          <w:rFonts w:ascii="Arial" w:hAnsi="Arial"/>
          <w:sz w:val="20"/>
          <w:szCs w:val="20"/>
        </w:rPr>
        <w:t>)</w:t>
      </w:r>
    </w:p>
    <w:p w:rsidR="00E95E4C" w:rsidRPr="008B7654" w:rsidRDefault="00E95E4C" w:rsidP="00E95E4C">
      <w:pPr>
        <w:jc w:val="both"/>
        <w:rPr>
          <w:rFonts w:ascii="Arial" w:hAnsi="Arial" w:cs="Arial"/>
          <w:b/>
          <w:sz w:val="20"/>
          <w:szCs w:val="20"/>
        </w:rPr>
      </w:pPr>
      <w:r w:rsidRPr="008B7654">
        <w:rPr>
          <w:rFonts w:ascii="Arial" w:hAnsi="Arial"/>
          <w:b/>
          <w:sz w:val="20"/>
          <w:szCs w:val="20"/>
        </w:rPr>
        <w:t>Licitação. Qualificação técnica. Conselho de fiscalização profissional. CREA. Local.</w:t>
      </w:r>
    </w:p>
    <w:p w:rsidR="00E95E4C" w:rsidRPr="00C203C4" w:rsidRDefault="00E95E4C" w:rsidP="00E95E4C">
      <w:pPr>
        <w:pStyle w:val="TCU-Epgrafe"/>
        <w:spacing w:after="200" w:line="276" w:lineRule="auto"/>
        <w:ind w:left="0"/>
        <w:rPr>
          <w:rFonts w:ascii="Arial" w:hAnsi="Arial"/>
          <w:sz w:val="20"/>
        </w:rPr>
      </w:pPr>
      <w:r w:rsidRPr="00C203C4">
        <w:rPr>
          <w:rFonts w:ascii="Arial" w:hAnsi="Arial"/>
          <w:sz w:val="20"/>
        </w:rPr>
        <w:t>A exigência de registro no Crea do local de realização da obra licitada somente deve ocorrer no momento da contratação, não na fase de qualificação técnica, de forma a evitar que as licitantes tenham despesas desnecessárias para participar de licitação.</w:t>
      </w:r>
    </w:p>
    <w:p w:rsidR="00EF39E8" w:rsidRPr="00C203C4" w:rsidRDefault="003F2CD0" w:rsidP="00EF39E8">
      <w:pPr>
        <w:widowControl w:val="0"/>
        <w:autoSpaceDE w:val="0"/>
        <w:autoSpaceDN w:val="0"/>
        <w:jc w:val="both"/>
        <w:rPr>
          <w:rFonts w:ascii="Arial" w:hAnsi="Arial" w:cs="Arial"/>
          <w:b/>
          <w:sz w:val="20"/>
          <w:szCs w:val="20"/>
        </w:rPr>
      </w:pPr>
      <w:hyperlink r:id="rId25" w:history="1">
        <w:r w:rsidR="00EF39E8" w:rsidRPr="00842062">
          <w:rPr>
            <w:rStyle w:val="Hyperlink"/>
            <w:rFonts w:ascii="Arial" w:hAnsi="Arial"/>
            <w:b/>
            <w:sz w:val="20"/>
            <w:szCs w:val="20"/>
          </w:rPr>
          <w:t xml:space="preserve">Acórdão 51/2018 </w:t>
        </w:r>
        <w:r w:rsidR="00842062" w:rsidRPr="00842062">
          <w:rPr>
            <w:rStyle w:val="Hyperlink"/>
            <w:rFonts w:ascii="Arial" w:hAnsi="Arial"/>
            <w:b/>
            <w:sz w:val="20"/>
            <w:szCs w:val="20"/>
          </w:rPr>
          <w:t xml:space="preserve">- </w:t>
        </w:r>
        <w:r w:rsidR="00EF39E8" w:rsidRPr="00842062">
          <w:rPr>
            <w:rStyle w:val="Hyperlink"/>
            <w:rFonts w:ascii="Arial" w:hAnsi="Arial"/>
            <w:b/>
            <w:sz w:val="20"/>
            <w:szCs w:val="20"/>
          </w:rPr>
          <w:t>Plenário</w:t>
        </w:r>
      </w:hyperlink>
      <w:r w:rsidR="00EF39E8" w:rsidRPr="00C203C4">
        <w:rPr>
          <w:rFonts w:ascii="Arial" w:hAnsi="Arial"/>
          <w:b/>
          <w:sz w:val="20"/>
          <w:szCs w:val="20"/>
        </w:rPr>
        <w:t xml:space="preserve"> </w:t>
      </w:r>
      <w:r w:rsidR="00EF39E8" w:rsidRPr="00C203C4">
        <w:rPr>
          <w:rFonts w:ascii="Arial" w:hAnsi="Arial"/>
          <w:sz w:val="20"/>
          <w:szCs w:val="20"/>
        </w:rPr>
        <w:t>(Monitoramento, Relator Ministro-Substituto Augusto Sherman)</w:t>
      </w:r>
    </w:p>
    <w:p w:rsidR="00EF39E8" w:rsidRPr="008B7654" w:rsidRDefault="00EF39E8" w:rsidP="00EF39E8">
      <w:pPr>
        <w:jc w:val="both"/>
        <w:rPr>
          <w:rFonts w:ascii="Arial" w:hAnsi="Arial" w:cs="Arial"/>
          <w:b/>
          <w:sz w:val="20"/>
          <w:szCs w:val="20"/>
        </w:rPr>
      </w:pPr>
      <w:r w:rsidRPr="008B7654">
        <w:rPr>
          <w:rFonts w:ascii="Arial" w:hAnsi="Arial"/>
          <w:b/>
          <w:sz w:val="20"/>
          <w:szCs w:val="20"/>
        </w:rPr>
        <w:t xml:space="preserve">Contrato Administrativo. Aditivo. Limite. Extrapolação. </w:t>
      </w:r>
      <w:proofErr w:type="spellStart"/>
      <w:r w:rsidRPr="008B7654">
        <w:rPr>
          <w:rFonts w:ascii="Arial" w:hAnsi="Arial"/>
          <w:b/>
          <w:sz w:val="20"/>
          <w:szCs w:val="20"/>
        </w:rPr>
        <w:t>Dano</w:t>
      </w:r>
      <w:proofErr w:type="spellEnd"/>
      <w:r w:rsidRPr="008B7654">
        <w:rPr>
          <w:rFonts w:ascii="Arial" w:hAnsi="Arial"/>
          <w:b/>
          <w:sz w:val="20"/>
          <w:szCs w:val="20"/>
        </w:rPr>
        <w:t xml:space="preserve"> ao erário.</w:t>
      </w:r>
    </w:p>
    <w:p w:rsidR="00EF39E8" w:rsidRPr="00C203C4" w:rsidRDefault="00EF39E8" w:rsidP="00EF39E8">
      <w:pPr>
        <w:jc w:val="both"/>
        <w:rPr>
          <w:rFonts w:ascii="Arial" w:hAnsi="Arial"/>
          <w:iCs/>
          <w:sz w:val="20"/>
          <w:szCs w:val="20"/>
          <w:lang w:eastAsia="ar-SA"/>
        </w:rPr>
      </w:pPr>
      <w:r w:rsidRPr="00C203C4">
        <w:rPr>
          <w:rFonts w:ascii="Arial" w:hAnsi="Arial"/>
          <w:iCs/>
          <w:sz w:val="20"/>
          <w:szCs w:val="20"/>
          <w:lang w:eastAsia="ar-SA"/>
        </w:rPr>
        <w:t xml:space="preserve">Embora a celebração de aditivo em percentual superior a 25% do valor original do contrato seja irregularidade grave, por infringência direta à </w:t>
      </w:r>
      <w:hyperlink r:id="rId26" w:tgtFrame="_blank" w:history="1">
        <w:r w:rsidRPr="00C203C4">
          <w:rPr>
            <w:rStyle w:val="Hyperlink"/>
            <w:rFonts w:ascii="Arial" w:hAnsi="Arial"/>
            <w:color w:val="0000FF" w:themeColor="hyperlink"/>
            <w:sz w:val="20"/>
            <w:szCs w:val="20"/>
          </w:rPr>
          <w:t>Lei 8.666/1993</w:t>
        </w:r>
      </w:hyperlink>
      <w:r w:rsidRPr="00C203C4">
        <w:rPr>
          <w:rFonts w:ascii="Arial" w:hAnsi="Arial"/>
          <w:iCs/>
          <w:sz w:val="20"/>
          <w:szCs w:val="20"/>
          <w:lang w:eastAsia="ar-SA"/>
        </w:rPr>
        <w:t>, o que deveria implicar a nulidade do ato e de suas consequências jurídicas, não há dano se o objeto do aditivo tiver sido executado adequadamente, sob pena de enriquecimento ilícito da Administração.</w:t>
      </w:r>
    </w:p>
    <w:p w:rsidR="00DE167D" w:rsidRPr="00C203C4" w:rsidRDefault="003F2CD0" w:rsidP="00DE167D">
      <w:pPr>
        <w:widowControl w:val="0"/>
        <w:autoSpaceDE w:val="0"/>
        <w:autoSpaceDN w:val="0"/>
        <w:jc w:val="both"/>
        <w:rPr>
          <w:rFonts w:ascii="Arial" w:hAnsi="Arial" w:cs="Arial"/>
          <w:b/>
          <w:sz w:val="20"/>
          <w:szCs w:val="20"/>
        </w:rPr>
      </w:pPr>
      <w:hyperlink r:id="rId27" w:history="1">
        <w:r w:rsidR="00DE167D" w:rsidRPr="006D288B">
          <w:rPr>
            <w:rStyle w:val="Hyperlink"/>
            <w:rFonts w:ascii="Arial" w:hAnsi="Arial"/>
            <w:b/>
            <w:sz w:val="20"/>
            <w:szCs w:val="20"/>
          </w:rPr>
          <w:t xml:space="preserve">Acórdão 51/2018 </w:t>
        </w:r>
        <w:r w:rsidR="006D288B">
          <w:rPr>
            <w:rStyle w:val="Hyperlink"/>
            <w:rFonts w:ascii="Arial" w:hAnsi="Arial"/>
            <w:b/>
            <w:sz w:val="20"/>
            <w:szCs w:val="20"/>
          </w:rPr>
          <w:t xml:space="preserve">- </w:t>
        </w:r>
        <w:r w:rsidR="00DE167D" w:rsidRPr="006D288B">
          <w:rPr>
            <w:rStyle w:val="Hyperlink"/>
            <w:rFonts w:ascii="Arial" w:hAnsi="Arial"/>
            <w:b/>
            <w:sz w:val="20"/>
            <w:szCs w:val="20"/>
          </w:rPr>
          <w:t>Plenário</w:t>
        </w:r>
      </w:hyperlink>
      <w:r w:rsidR="00DE167D" w:rsidRPr="00C203C4">
        <w:rPr>
          <w:rFonts w:ascii="Arial" w:hAnsi="Arial"/>
          <w:b/>
          <w:sz w:val="20"/>
          <w:szCs w:val="20"/>
        </w:rPr>
        <w:t xml:space="preserve"> </w:t>
      </w:r>
      <w:r w:rsidR="00DE167D" w:rsidRPr="00C203C4">
        <w:rPr>
          <w:rFonts w:ascii="Arial" w:hAnsi="Arial"/>
          <w:sz w:val="20"/>
          <w:szCs w:val="20"/>
        </w:rPr>
        <w:t>(Monitoramento, Relator Ministro-Substituto Augusto Sherman)</w:t>
      </w:r>
    </w:p>
    <w:p w:rsidR="00DE167D" w:rsidRPr="008B7654" w:rsidRDefault="00DE167D" w:rsidP="00DE167D">
      <w:pPr>
        <w:jc w:val="both"/>
        <w:rPr>
          <w:rFonts w:ascii="Arial" w:hAnsi="Arial" w:cs="Arial"/>
          <w:b/>
          <w:sz w:val="20"/>
          <w:szCs w:val="20"/>
        </w:rPr>
      </w:pPr>
      <w:r w:rsidRPr="008B7654">
        <w:rPr>
          <w:rFonts w:ascii="Arial" w:hAnsi="Arial"/>
          <w:b/>
          <w:sz w:val="20"/>
          <w:szCs w:val="20"/>
        </w:rPr>
        <w:t>Responsabilidade. Licitação. Parecer jurídico. Fundamentação. Parecerista.</w:t>
      </w:r>
    </w:p>
    <w:p w:rsidR="00DE167D" w:rsidRPr="00C203C4" w:rsidRDefault="00DE167D" w:rsidP="00DE167D">
      <w:pPr>
        <w:pStyle w:val="TCU-Epgrafe"/>
        <w:spacing w:after="200" w:line="276" w:lineRule="auto"/>
        <w:ind w:left="0"/>
        <w:rPr>
          <w:sz w:val="20"/>
        </w:rPr>
      </w:pPr>
      <w:r w:rsidRPr="00C203C4">
        <w:rPr>
          <w:rFonts w:ascii="Arial" w:hAnsi="Arial"/>
          <w:iCs/>
          <w:sz w:val="20"/>
          <w:lang w:eastAsia="ar-SA"/>
        </w:rPr>
        <w:t xml:space="preserve">O parecerista jurídico pode ser responsabilizado pela emissão de parecer obrigatório, nos termos do art. 38, parágrafo único, da </w:t>
      </w:r>
      <w:hyperlink r:id="rId28" w:history="1">
        <w:r w:rsidRPr="00C203C4">
          <w:rPr>
            <w:rStyle w:val="Hyperlink"/>
            <w:rFonts w:ascii="Arial" w:hAnsi="Arial"/>
            <w:iCs/>
            <w:color w:val="0000FF" w:themeColor="hyperlink"/>
            <w:sz w:val="20"/>
            <w:lang w:eastAsia="ar-SA"/>
          </w:rPr>
          <w:t>Lei 8.666/1993</w:t>
        </w:r>
      </w:hyperlink>
      <w:r w:rsidRPr="00C203C4">
        <w:rPr>
          <w:rFonts w:ascii="Arial" w:hAnsi="Arial"/>
          <w:iCs/>
          <w:sz w:val="20"/>
          <w:lang w:eastAsia="ar-SA"/>
        </w:rPr>
        <w:t xml:space="preserve">, não devidamente fundamentado, que defenda tese não aceitável, por se mostrar frontalmente contrário </w:t>
      </w:r>
      <w:proofErr w:type="gramStart"/>
      <w:r w:rsidRPr="00C203C4">
        <w:rPr>
          <w:rFonts w:ascii="Arial" w:hAnsi="Arial"/>
          <w:iCs/>
          <w:sz w:val="20"/>
          <w:lang w:eastAsia="ar-SA"/>
        </w:rPr>
        <w:t>à</w:t>
      </w:r>
      <w:proofErr w:type="gramEnd"/>
      <w:r w:rsidRPr="00C203C4">
        <w:rPr>
          <w:rFonts w:ascii="Arial" w:hAnsi="Arial"/>
          <w:iCs/>
          <w:sz w:val="20"/>
          <w:lang w:eastAsia="ar-SA"/>
        </w:rPr>
        <w:t xml:space="preserve"> lei.</w:t>
      </w:r>
    </w:p>
    <w:p w:rsidR="00543DF0" w:rsidRPr="00C203C4" w:rsidRDefault="00543DF0" w:rsidP="00543DF0">
      <w:pPr>
        <w:pStyle w:val="Default"/>
        <w:spacing w:after="200" w:line="276" w:lineRule="auto"/>
        <w:jc w:val="both"/>
        <w:rPr>
          <w:b/>
          <w:sz w:val="20"/>
          <w:szCs w:val="20"/>
        </w:rPr>
      </w:pPr>
      <w:r w:rsidRPr="00C203C4">
        <w:rPr>
          <w:b/>
          <w:sz w:val="20"/>
          <w:szCs w:val="20"/>
        </w:rPr>
        <w:t xml:space="preserve">Acesse também: </w:t>
      </w:r>
    </w:p>
    <w:p w:rsidR="00270E2F" w:rsidRPr="00C203C4" w:rsidRDefault="003F2CD0" w:rsidP="00270E2F">
      <w:pPr>
        <w:pStyle w:val="Default"/>
        <w:spacing w:line="276" w:lineRule="auto"/>
        <w:jc w:val="center"/>
        <w:rPr>
          <w:b/>
          <w:sz w:val="20"/>
          <w:szCs w:val="20"/>
        </w:rPr>
      </w:pPr>
      <w:hyperlink r:id="rId29" w:history="1">
        <w:r w:rsidR="00270E2F" w:rsidRPr="00C203C4">
          <w:rPr>
            <w:rStyle w:val="Hyperlink"/>
            <w:b/>
            <w:sz w:val="20"/>
            <w:szCs w:val="20"/>
          </w:rPr>
          <w:t>Pesquisas Prontas</w:t>
        </w:r>
      </w:hyperlink>
    </w:p>
    <w:p w:rsidR="00270E2F" w:rsidRPr="00C203C4" w:rsidRDefault="00270E2F" w:rsidP="00270E2F">
      <w:pPr>
        <w:pStyle w:val="Default"/>
        <w:spacing w:line="276" w:lineRule="auto"/>
        <w:jc w:val="center"/>
        <w:rPr>
          <w:sz w:val="20"/>
          <w:szCs w:val="20"/>
        </w:rPr>
      </w:pPr>
    </w:p>
    <w:p w:rsidR="00270E2F" w:rsidRPr="00C203C4" w:rsidRDefault="003F2CD0" w:rsidP="00270E2F">
      <w:pPr>
        <w:pStyle w:val="Default"/>
        <w:spacing w:line="276" w:lineRule="auto"/>
        <w:jc w:val="center"/>
        <w:rPr>
          <w:rStyle w:val="Hyperlink"/>
          <w:b/>
          <w:sz w:val="20"/>
          <w:szCs w:val="20"/>
        </w:rPr>
      </w:pPr>
      <w:hyperlink r:id="rId30" w:history="1">
        <w:r w:rsidR="00270E2F" w:rsidRPr="00C203C4">
          <w:rPr>
            <w:rStyle w:val="Hyperlink"/>
            <w:b/>
            <w:sz w:val="20"/>
            <w:szCs w:val="20"/>
          </w:rPr>
          <w:t>Repercussão Geral do Supremo Tribunal Federal - STF e os Tribunais de Contas</w:t>
        </w:r>
      </w:hyperlink>
    </w:p>
    <w:p w:rsidR="00270E2F" w:rsidRPr="00C203C4" w:rsidRDefault="00270E2F" w:rsidP="00270E2F">
      <w:pPr>
        <w:pStyle w:val="Default"/>
        <w:spacing w:line="276" w:lineRule="auto"/>
        <w:jc w:val="center"/>
        <w:rPr>
          <w:rStyle w:val="Hyperlink"/>
          <w:b/>
          <w:sz w:val="20"/>
          <w:szCs w:val="20"/>
        </w:rPr>
      </w:pPr>
    </w:p>
    <w:p w:rsidR="002A00E8" w:rsidRPr="00C203C4" w:rsidRDefault="003F2CD0" w:rsidP="002A00E8">
      <w:pPr>
        <w:pStyle w:val="Default"/>
        <w:spacing w:line="276" w:lineRule="auto"/>
        <w:jc w:val="center"/>
        <w:rPr>
          <w:rStyle w:val="Hyperlink"/>
          <w:b/>
          <w:sz w:val="20"/>
          <w:szCs w:val="20"/>
        </w:rPr>
      </w:pPr>
      <w:hyperlink r:id="rId31" w:history="1">
        <w:r w:rsidR="002A00E8" w:rsidRPr="00C203C4">
          <w:rPr>
            <w:rStyle w:val="Hyperlink"/>
            <w:b/>
            <w:sz w:val="20"/>
            <w:szCs w:val="20"/>
          </w:rPr>
          <w:t>Revista Digital do Tribunal de Contas do Estado do Paraná - Edição n° 19</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3F2CD0">
      <w:rPr>
        <w:noProof/>
        <w:sz w:val="16"/>
        <w:szCs w:val="16"/>
      </w:rPr>
      <w:t>9</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3677"/>
    <w:rsid w:val="000657AB"/>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87F2B"/>
    <w:rsid w:val="00091A89"/>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1E88"/>
    <w:rsid w:val="000D2D5B"/>
    <w:rsid w:val="000D357D"/>
    <w:rsid w:val="000D4DE6"/>
    <w:rsid w:val="000D6BD7"/>
    <w:rsid w:val="000D6D01"/>
    <w:rsid w:val="000D7E46"/>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1352"/>
    <w:rsid w:val="0012211A"/>
    <w:rsid w:val="00122E13"/>
    <w:rsid w:val="00123D02"/>
    <w:rsid w:val="0012498C"/>
    <w:rsid w:val="00124A0F"/>
    <w:rsid w:val="001253AF"/>
    <w:rsid w:val="00126447"/>
    <w:rsid w:val="00127DF2"/>
    <w:rsid w:val="00130717"/>
    <w:rsid w:val="0013298B"/>
    <w:rsid w:val="00132B9F"/>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1E2B"/>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0554"/>
    <w:rsid w:val="001E1817"/>
    <w:rsid w:val="001E2E5A"/>
    <w:rsid w:val="001E5F2E"/>
    <w:rsid w:val="001E6CAA"/>
    <w:rsid w:val="001E73FF"/>
    <w:rsid w:val="001F7A25"/>
    <w:rsid w:val="001F7D53"/>
    <w:rsid w:val="002013D1"/>
    <w:rsid w:val="0020195B"/>
    <w:rsid w:val="00202E6D"/>
    <w:rsid w:val="00202F4B"/>
    <w:rsid w:val="002036C8"/>
    <w:rsid w:val="00204927"/>
    <w:rsid w:val="002100EE"/>
    <w:rsid w:val="00211A49"/>
    <w:rsid w:val="00213BD0"/>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CF2"/>
    <w:rsid w:val="00252A2A"/>
    <w:rsid w:val="00252AA5"/>
    <w:rsid w:val="00253ADA"/>
    <w:rsid w:val="00255360"/>
    <w:rsid w:val="00256A12"/>
    <w:rsid w:val="00256CEA"/>
    <w:rsid w:val="002571B4"/>
    <w:rsid w:val="002579AA"/>
    <w:rsid w:val="00260758"/>
    <w:rsid w:val="00260D58"/>
    <w:rsid w:val="00264198"/>
    <w:rsid w:val="0026477F"/>
    <w:rsid w:val="00264F10"/>
    <w:rsid w:val="0026510B"/>
    <w:rsid w:val="002659BA"/>
    <w:rsid w:val="0026729F"/>
    <w:rsid w:val="00270E2F"/>
    <w:rsid w:val="00271154"/>
    <w:rsid w:val="00271655"/>
    <w:rsid w:val="002805F1"/>
    <w:rsid w:val="0028166A"/>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7284"/>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17D9"/>
    <w:rsid w:val="00313238"/>
    <w:rsid w:val="003132BE"/>
    <w:rsid w:val="00320577"/>
    <w:rsid w:val="0032266D"/>
    <w:rsid w:val="00325E2F"/>
    <w:rsid w:val="003265DB"/>
    <w:rsid w:val="003269A9"/>
    <w:rsid w:val="00327DF9"/>
    <w:rsid w:val="0033073E"/>
    <w:rsid w:val="003307D2"/>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5692"/>
    <w:rsid w:val="00375DB6"/>
    <w:rsid w:val="0038012F"/>
    <w:rsid w:val="00380BAB"/>
    <w:rsid w:val="00381A0E"/>
    <w:rsid w:val="0038751C"/>
    <w:rsid w:val="0038778B"/>
    <w:rsid w:val="00394451"/>
    <w:rsid w:val="0039584A"/>
    <w:rsid w:val="0039625A"/>
    <w:rsid w:val="00396E93"/>
    <w:rsid w:val="003A236A"/>
    <w:rsid w:val="003A4828"/>
    <w:rsid w:val="003A64CB"/>
    <w:rsid w:val="003A6622"/>
    <w:rsid w:val="003A673F"/>
    <w:rsid w:val="003B145D"/>
    <w:rsid w:val="003B4678"/>
    <w:rsid w:val="003B4F77"/>
    <w:rsid w:val="003B502C"/>
    <w:rsid w:val="003C6B35"/>
    <w:rsid w:val="003C7C21"/>
    <w:rsid w:val="003D650C"/>
    <w:rsid w:val="003D6713"/>
    <w:rsid w:val="003D6E90"/>
    <w:rsid w:val="003D7C37"/>
    <w:rsid w:val="003E110D"/>
    <w:rsid w:val="003E3529"/>
    <w:rsid w:val="003E3D02"/>
    <w:rsid w:val="003E3E6A"/>
    <w:rsid w:val="003E55BC"/>
    <w:rsid w:val="003E6EAF"/>
    <w:rsid w:val="003F0088"/>
    <w:rsid w:val="003F03C6"/>
    <w:rsid w:val="003F2CD0"/>
    <w:rsid w:val="003F2DDE"/>
    <w:rsid w:val="003F314F"/>
    <w:rsid w:val="003F4721"/>
    <w:rsid w:val="003F5060"/>
    <w:rsid w:val="003F5829"/>
    <w:rsid w:val="003F63DA"/>
    <w:rsid w:val="003F677C"/>
    <w:rsid w:val="003F7090"/>
    <w:rsid w:val="00401EE0"/>
    <w:rsid w:val="004028AF"/>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1FD2"/>
    <w:rsid w:val="0046207E"/>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3D14"/>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098C"/>
    <w:rsid w:val="004C11DE"/>
    <w:rsid w:val="004C13DB"/>
    <w:rsid w:val="004D00EF"/>
    <w:rsid w:val="004D14AD"/>
    <w:rsid w:val="004D376C"/>
    <w:rsid w:val="004D3864"/>
    <w:rsid w:val="004D3A28"/>
    <w:rsid w:val="004D58CD"/>
    <w:rsid w:val="004D5EEF"/>
    <w:rsid w:val="004D601A"/>
    <w:rsid w:val="004D75B0"/>
    <w:rsid w:val="004D7DC5"/>
    <w:rsid w:val="004E109A"/>
    <w:rsid w:val="004E10F7"/>
    <w:rsid w:val="004E1CE6"/>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9FD"/>
    <w:rsid w:val="00543DF0"/>
    <w:rsid w:val="00544AB5"/>
    <w:rsid w:val="00546D89"/>
    <w:rsid w:val="00547AFC"/>
    <w:rsid w:val="0055022A"/>
    <w:rsid w:val="005503E5"/>
    <w:rsid w:val="00551267"/>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4F6C"/>
    <w:rsid w:val="005B7055"/>
    <w:rsid w:val="005B7BBD"/>
    <w:rsid w:val="005C1D7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749"/>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82F"/>
    <w:rsid w:val="00660C02"/>
    <w:rsid w:val="0066104E"/>
    <w:rsid w:val="0066130F"/>
    <w:rsid w:val="006641F4"/>
    <w:rsid w:val="006645D9"/>
    <w:rsid w:val="00665EBC"/>
    <w:rsid w:val="00667637"/>
    <w:rsid w:val="00667BE8"/>
    <w:rsid w:val="0067150D"/>
    <w:rsid w:val="00673A29"/>
    <w:rsid w:val="00673AD9"/>
    <w:rsid w:val="00673B9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1724"/>
    <w:rsid w:val="006A27BC"/>
    <w:rsid w:val="006A27D6"/>
    <w:rsid w:val="006A3A42"/>
    <w:rsid w:val="006A41B4"/>
    <w:rsid w:val="006A5F8D"/>
    <w:rsid w:val="006A5FD7"/>
    <w:rsid w:val="006A62B0"/>
    <w:rsid w:val="006B143E"/>
    <w:rsid w:val="006B30E3"/>
    <w:rsid w:val="006B5E72"/>
    <w:rsid w:val="006B6205"/>
    <w:rsid w:val="006C058F"/>
    <w:rsid w:val="006C3252"/>
    <w:rsid w:val="006C7A04"/>
    <w:rsid w:val="006D158F"/>
    <w:rsid w:val="006D1B83"/>
    <w:rsid w:val="006D1BE7"/>
    <w:rsid w:val="006D288B"/>
    <w:rsid w:val="006D31C4"/>
    <w:rsid w:val="006D5C98"/>
    <w:rsid w:val="006D6FCC"/>
    <w:rsid w:val="006E0A9F"/>
    <w:rsid w:val="006E12D5"/>
    <w:rsid w:val="006E26E8"/>
    <w:rsid w:val="006E4493"/>
    <w:rsid w:val="006E76B0"/>
    <w:rsid w:val="006F08D4"/>
    <w:rsid w:val="006F23B9"/>
    <w:rsid w:val="006F3318"/>
    <w:rsid w:val="006F39CF"/>
    <w:rsid w:val="006F4894"/>
    <w:rsid w:val="006F58F5"/>
    <w:rsid w:val="006F676D"/>
    <w:rsid w:val="00700672"/>
    <w:rsid w:val="00701319"/>
    <w:rsid w:val="00701A95"/>
    <w:rsid w:val="00702F7C"/>
    <w:rsid w:val="00703BA9"/>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455"/>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4CB5"/>
    <w:rsid w:val="00785DB0"/>
    <w:rsid w:val="0079113C"/>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E1FB4"/>
    <w:rsid w:val="007E28C1"/>
    <w:rsid w:val="007F0840"/>
    <w:rsid w:val="007F1E49"/>
    <w:rsid w:val="007F2086"/>
    <w:rsid w:val="007F67A7"/>
    <w:rsid w:val="007F6F0A"/>
    <w:rsid w:val="00800773"/>
    <w:rsid w:val="00801004"/>
    <w:rsid w:val="0080111C"/>
    <w:rsid w:val="00801EFD"/>
    <w:rsid w:val="008058BC"/>
    <w:rsid w:val="00806D7C"/>
    <w:rsid w:val="00807854"/>
    <w:rsid w:val="00810504"/>
    <w:rsid w:val="00810C49"/>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2062"/>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1D34"/>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B7654"/>
    <w:rsid w:val="008C0269"/>
    <w:rsid w:val="008C257C"/>
    <w:rsid w:val="008D0FDE"/>
    <w:rsid w:val="008D1051"/>
    <w:rsid w:val="008D22BE"/>
    <w:rsid w:val="008D7542"/>
    <w:rsid w:val="008D7F7C"/>
    <w:rsid w:val="008E0835"/>
    <w:rsid w:val="008E14A4"/>
    <w:rsid w:val="008E16ED"/>
    <w:rsid w:val="008E280E"/>
    <w:rsid w:val="008E2BA7"/>
    <w:rsid w:val="008E5642"/>
    <w:rsid w:val="008E5CC2"/>
    <w:rsid w:val="008E7970"/>
    <w:rsid w:val="008F2110"/>
    <w:rsid w:val="008F23FE"/>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205"/>
    <w:rsid w:val="00920480"/>
    <w:rsid w:val="00920D01"/>
    <w:rsid w:val="00923B20"/>
    <w:rsid w:val="009263DF"/>
    <w:rsid w:val="00927338"/>
    <w:rsid w:val="0093018E"/>
    <w:rsid w:val="0093167C"/>
    <w:rsid w:val="00932A3A"/>
    <w:rsid w:val="0093406B"/>
    <w:rsid w:val="00934143"/>
    <w:rsid w:val="00934679"/>
    <w:rsid w:val="00935444"/>
    <w:rsid w:val="009378F0"/>
    <w:rsid w:val="009402BA"/>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5A32"/>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538C"/>
    <w:rsid w:val="00A47D62"/>
    <w:rsid w:val="00A53CDD"/>
    <w:rsid w:val="00A53EE6"/>
    <w:rsid w:val="00A5538A"/>
    <w:rsid w:val="00A564AE"/>
    <w:rsid w:val="00A57A4A"/>
    <w:rsid w:val="00A57C0E"/>
    <w:rsid w:val="00A614EB"/>
    <w:rsid w:val="00A62886"/>
    <w:rsid w:val="00A63E79"/>
    <w:rsid w:val="00A6719E"/>
    <w:rsid w:val="00A672B2"/>
    <w:rsid w:val="00A714FC"/>
    <w:rsid w:val="00A74C51"/>
    <w:rsid w:val="00A77682"/>
    <w:rsid w:val="00A80C19"/>
    <w:rsid w:val="00A83279"/>
    <w:rsid w:val="00A83750"/>
    <w:rsid w:val="00A84631"/>
    <w:rsid w:val="00A86498"/>
    <w:rsid w:val="00A86A0A"/>
    <w:rsid w:val="00A86FEC"/>
    <w:rsid w:val="00A9067C"/>
    <w:rsid w:val="00A90A24"/>
    <w:rsid w:val="00A90BD3"/>
    <w:rsid w:val="00A91402"/>
    <w:rsid w:val="00A92FBB"/>
    <w:rsid w:val="00A93C1C"/>
    <w:rsid w:val="00A96790"/>
    <w:rsid w:val="00A97543"/>
    <w:rsid w:val="00AA0DFE"/>
    <w:rsid w:val="00AA2502"/>
    <w:rsid w:val="00AA262E"/>
    <w:rsid w:val="00AA2AC5"/>
    <w:rsid w:val="00AA2F7B"/>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5CE6"/>
    <w:rsid w:val="00B27853"/>
    <w:rsid w:val="00B30291"/>
    <w:rsid w:val="00B306F7"/>
    <w:rsid w:val="00B30BB8"/>
    <w:rsid w:val="00B30FE2"/>
    <w:rsid w:val="00B3272E"/>
    <w:rsid w:val="00B32C71"/>
    <w:rsid w:val="00B330C4"/>
    <w:rsid w:val="00B37050"/>
    <w:rsid w:val="00B37580"/>
    <w:rsid w:val="00B4137A"/>
    <w:rsid w:val="00B50B77"/>
    <w:rsid w:val="00B51290"/>
    <w:rsid w:val="00B52215"/>
    <w:rsid w:val="00B530CA"/>
    <w:rsid w:val="00B53AC4"/>
    <w:rsid w:val="00B54527"/>
    <w:rsid w:val="00B57ADA"/>
    <w:rsid w:val="00B61EE9"/>
    <w:rsid w:val="00B62A16"/>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180"/>
    <w:rsid w:val="00BA6363"/>
    <w:rsid w:val="00BB2D9C"/>
    <w:rsid w:val="00BB3512"/>
    <w:rsid w:val="00BB5D1E"/>
    <w:rsid w:val="00BB62CC"/>
    <w:rsid w:val="00BB7ED6"/>
    <w:rsid w:val="00BC137A"/>
    <w:rsid w:val="00BC2495"/>
    <w:rsid w:val="00BC4347"/>
    <w:rsid w:val="00BC45E0"/>
    <w:rsid w:val="00BC54B5"/>
    <w:rsid w:val="00BC5D9D"/>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782F"/>
    <w:rsid w:val="00C11F50"/>
    <w:rsid w:val="00C12603"/>
    <w:rsid w:val="00C12C7C"/>
    <w:rsid w:val="00C131FD"/>
    <w:rsid w:val="00C15322"/>
    <w:rsid w:val="00C16DA8"/>
    <w:rsid w:val="00C17352"/>
    <w:rsid w:val="00C203C4"/>
    <w:rsid w:val="00C21959"/>
    <w:rsid w:val="00C25888"/>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036F"/>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3B20"/>
    <w:rsid w:val="00D55A28"/>
    <w:rsid w:val="00D5605F"/>
    <w:rsid w:val="00D615BF"/>
    <w:rsid w:val="00D61FBD"/>
    <w:rsid w:val="00D62519"/>
    <w:rsid w:val="00D625AA"/>
    <w:rsid w:val="00D63CBD"/>
    <w:rsid w:val="00D63E82"/>
    <w:rsid w:val="00D6500C"/>
    <w:rsid w:val="00D65E36"/>
    <w:rsid w:val="00D66392"/>
    <w:rsid w:val="00D66959"/>
    <w:rsid w:val="00D70A39"/>
    <w:rsid w:val="00D71A7E"/>
    <w:rsid w:val="00D7643D"/>
    <w:rsid w:val="00D76DE0"/>
    <w:rsid w:val="00D80DF0"/>
    <w:rsid w:val="00D83E83"/>
    <w:rsid w:val="00D83ED5"/>
    <w:rsid w:val="00D86043"/>
    <w:rsid w:val="00D870D4"/>
    <w:rsid w:val="00D87800"/>
    <w:rsid w:val="00D9398E"/>
    <w:rsid w:val="00D9464E"/>
    <w:rsid w:val="00D954E0"/>
    <w:rsid w:val="00D97059"/>
    <w:rsid w:val="00D97A1D"/>
    <w:rsid w:val="00DA0181"/>
    <w:rsid w:val="00DA2411"/>
    <w:rsid w:val="00DA2C81"/>
    <w:rsid w:val="00DA65C4"/>
    <w:rsid w:val="00DA7899"/>
    <w:rsid w:val="00DB0923"/>
    <w:rsid w:val="00DB1FEA"/>
    <w:rsid w:val="00DB29CA"/>
    <w:rsid w:val="00DB3073"/>
    <w:rsid w:val="00DB30C8"/>
    <w:rsid w:val="00DB558E"/>
    <w:rsid w:val="00DB5F2B"/>
    <w:rsid w:val="00DB74AF"/>
    <w:rsid w:val="00DC1AB8"/>
    <w:rsid w:val="00DC5C19"/>
    <w:rsid w:val="00DC7068"/>
    <w:rsid w:val="00DD0411"/>
    <w:rsid w:val="00DD265A"/>
    <w:rsid w:val="00DD6B9B"/>
    <w:rsid w:val="00DE07A1"/>
    <w:rsid w:val="00DE167D"/>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977"/>
    <w:rsid w:val="00E43C34"/>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3260"/>
    <w:rsid w:val="00E745CB"/>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531E"/>
    <w:rsid w:val="00E95E41"/>
    <w:rsid w:val="00E95E4C"/>
    <w:rsid w:val="00E977CE"/>
    <w:rsid w:val="00E97E05"/>
    <w:rsid w:val="00EA34E2"/>
    <w:rsid w:val="00EA3EB6"/>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39E8"/>
    <w:rsid w:val="00EF4FBF"/>
    <w:rsid w:val="00EF518E"/>
    <w:rsid w:val="00EF5DF0"/>
    <w:rsid w:val="00EF69AE"/>
    <w:rsid w:val="00EF6E2C"/>
    <w:rsid w:val="00EF7106"/>
    <w:rsid w:val="00EF76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02AB"/>
    <w:rsid w:val="00F310D7"/>
    <w:rsid w:val="00F32EBA"/>
    <w:rsid w:val="00F368B9"/>
    <w:rsid w:val="00F3739F"/>
    <w:rsid w:val="00F374C1"/>
    <w:rsid w:val="00F37B34"/>
    <w:rsid w:val="00F41C34"/>
    <w:rsid w:val="00F4212F"/>
    <w:rsid w:val="00F447DB"/>
    <w:rsid w:val="00F447FA"/>
    <w:rsid w:val="00F469B9"/>
    <w:rsid w:val="00F46C32"/>
    <w:rsid w:val="00F46ECB"/>
    <w:rsid w:val="00F50F94"/>
    <w:rsid w:val="00F516BF"/>
    <w:rsid w:val="00F51BEA"/>
    <w:rsid w:val="00F525B5"/>
    <w:rsid w:val="00F53D53"/>
    <w:rsid w:val="00F543B9"/>
    <w:rsid w:val="00F56177"/>
    <w:rsid w:val="00F56187"/>
    <w:rsid w:val="00F575D3"/>
    <w:rsid w:val="00F5786C"/>
    <w:rsid w:val="00F61C9B"/>
    <w:rsid w:val="00F62117"/>
    <w:rsid w:val="00F62365"/>
    <w:rsid w:val="00F630A7"/>
    <w:rsid w:val="00F644C8"/>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1C48"/>
    <w:rsid w:val="00F9222A"/>
    <w:rsid w:val="00F922EA"/>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23C7ADF"/>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2/pdf/00324619.pdf" TargetMode="External"/><Relationship Id="rId13" Type="http://schemas.openxmlformats.org/officeDocument/2006/relationships/hyperlink" Target="http://www1.tce.pr.gov.br/multimidia/2018/2/pdf/00324582.pdf" TargetMode="External"/><Relationship Id="rId18" Type="http://schemas.openxmlformats.org/officeDocument/2006/relationships/hyperlink" Target="https://ww2.stj.jus.br/processo/revista/documento/mediado/?componente=ATC&amp;sequencial=67725558&amp;num_registro=201202392255&amp;data=20171207&amp;tipo=51&amp;formato=PDF" TargetMode="External"/><Relationship Id="rId26" Type="http://schemas.openxmlformats.org/officeDocument/2006/relationships/hyperlink" Target="https://www.planalto.gov.br/ccivil_03/leis/l8666cons.htm"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95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8/1/pdf/00324505.pdf" TargetMode="External"/><Relationship Id="rId17" Type="http://schemas.openxmlformats.org/officeDocument/2006/relationships/hyperlink" Target="https://ww2.stj.jus.br/processo/revista/documento/mediado/?componente=ATC&amp;sequencial=78018704&amp;num_registro=201100324940&amp;data=20171219&amp;tipo=51&amp;formato=PDF" TargetMode="External"/><Relationship Id="rId25" Type="http://schemas.openxmlformats.org/officeDocument/2006/relationships/hyperlink" Target="https://contas.tcu.gov.br/sagas/SvlVisualizarRelVotoAcRtf?codFiltro=SAGAS-SESSAO-ENCERRADA&amp;seOcultaPagina=S&amp;item0=60621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f.jus.br/portal/processo/verProcessoAndamento.asp?numero=4874&amp;classe=ADI&amp;origem=AP&amp;recurso=0&amp;tipoJulgamento=M" TargetMode="External"/><Relationship Id="rId20" Type="http://schemas.openxmlformats.org/officeDocument/2006/relationships/hyperlink" Target="https://contas.tcu.gov.br/sagas/SvlVisualizarRelVotoAcRtf?codFiltro=SAGAS-SESSAO-ENCERRADA&amp;seOcultaPagina=S&amp;item0=606650" TargetMode="External"/><Relationship Id="rId29"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1/pdf/00324503.pdf" TargetMode="External"/><Relationship Id="rId24" Type="http://schemas.openxmlformats.org/officeDocument/2006/relationships/hyperlink" Target="https://contas.tcu.gov.br/sagas/SvlVisualizarRelVotoAcRtf?codFiltro=SAGAS-SESSAO-ENCERRADA&amp;seOcultaPagina=S&amp;item0=60801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8/1/pdf/00324492.pdf" TargetMode="External"/><Relationship Id="rId23" Type="http://schemas.openxmlformats.org/officeDocument/2006/relationships/hyperlink" Target="https://contas.tcu.gov.br/sagas/SvlVisualizarRelVotoAcRtf?codFiltro=SAGAS-SESSAO-ENCERRADA&amp;seOcultaPagina=S&amp;item0=601687" TargetMode="External"/><Relationship Id="rId28" Type="http://schemas.openxmlformats.org/officeDocument/2006/relationships/hyperlink" Target="http://www.planalto.gov.br/ccivil_03/Leis/L8666cons.htm" TargetMode="External"/><Relationship Id="rId10" Type="http://schemas.openxmlformats.org/officeDocument/2006/relationships/hyperlink" Target="http://www1.tce.pr.gov.br/multimidia/2018/2/pdf/00324684.pdf" TargetMode="External"/><Relationship Id="rId19" Type="http://schemas.openxmlformats.org/officeDocument/2006/relationships/hyperlink" Target="https://ww2.stj.jus.br/processo/revista/documento/mediado/?componente=ATC&amp;sequencial=77966181&amp;num_registro=201702263253&amp;data=20171114&amp;tipo=5&amp;formato=PDF" TargetMode="External"/><Relationship Id="rId31" Type="http://schemas.openxmlformats.org/officeDocument/2006/relationships/hyperlink" Target="http://www1.tce.pr.gov.br/conteudo/revista-digital-do-tce-pr/234678/area/46" TargetMode="External"/><Relationship Id="rId4" Type="http://schemas.openxmlformats.org/officeDocument/2006/relationships/settings" Target="settings.xml"/><Relationship Id="rId9" Type="http://schemas.openxmlformats.org/officeDocument/2006/relationships/hyperlink" Target="http://www1.tce.pr.gov.br/multimidia/2018/2/pdf/00324775.pdf" TargetMode="External"/><Relationship Id="rId14" Type="http://schemas.openxmlformats.org/officeDocument/2006/relationships/hyperlink" Target="http://www1.tce.pr.gov.br/multimidia/2018/2/pdf/00324499.pdf" TargetMode="External"/><Relationship Id="rId22" Type="http://schemas.openxmlformats.org/officeDocument/2006/relationships/hyperlink" Target="https://contas.tcu.gov.br/sagas/SvlVisualizarRelVotoAcRtf?codFiltro=SAGAS-SESSAO-ENCERRADA&amp;seOcultaPagina=S&amp;item0=609081" TargetMode="External"/><Relationship Id="rId27" Type="http://schemas.openxmlformats.org/officeDocument/2006/relationships/hyperlink" Target="https://contas.tcu.gov.br/sagas/SvlVisualizarRelVotoAcRtf?codFiltro=SAGAS-SESSAO-ENCERRADA&amp;seOcultaPagina=S&amp;item0=606211"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BA91-1180-4A79-9E9F-5E96C58F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3378</Words>
  <Characters>18245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251</cp:revision>
  <cp:lastPrinted>2017-07-10T20:46:00Z</cp:lastPrinted>
  <dcterms:created xsi:type="dcterms:W3CDTF">2017-07-10T20:45:00Z</dcterms:created>
  <dcterms:modified xsi:type="dcterms:W3CDTF">2018-03-07T14:50:00Z</dcterms:modified>
</cp:coreProperties>
</file>