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1B8DD" w14:textId="771E0AF0" w:rsidR="00912417" w:rsidRPr="00706FEF" w:rsidRDefault="47D69A2E" w:rsidP="00F76263">
      <w:pPr>
        <w:pBdr>
          <w:top w:val="nil"/>
          <w:left w:val="nil"/>
          <w:bottom w:val="nil"/>
          <w:right w:val="nil"/>
          <w:between w:val="nil"/>
        </w:pBdr>
        <w:tabs>
          <w:tab w:val="center" w:pos="4252"/>
          <w:tab w:val="right" w:pos="8504"/>
        </w:tabs>
        <w:spacing w:after="0"/>
        <w:jc w:val="center"/>
        <w:rPr>
          <w:rFonts w:ascii="Arial" w:eastAsia="Arial" w:hAnsi="Arial" w:cs="Arial"/>
          <w:b/>
          <w:bCs/>
          <w:color w:val="000000" w:themeColor="text1"/>
          <w:sz w:val="24"/>
          <w:szCs w:val="24"/>
        </w:rPr>
      </w:pPr>
      <w:r w:rsidRPr="00706FEF">
        <w:rPr>
          <w:rFonts w:ascii="Arial" w:eastAsia="Arial" w:hAnsi="Arial" w:cs="Arial"/>
          <w:b/>
          <w:bCs/>
          <w:color w:val="000000" w:themeColor="text1"/>
          <w:sz w:val="28"/>
          <w:szCs w:val="28"/>
        </w:rPr>
        <w:t xml:space="preserve">Boletim </w:t>
      </w:r>
      <w:r w:rsidR="7F010698" w:rsidRPr="00706FEF">
        <w:rPr>
          <w:rFonts w:ascii="Arial" w:eastAsia="Arial" w:hAnsi="Arial" w:cs="Arial"/>
          <w:b/>
          <w:bCs/>
          <w:color w:val="000000" w:themeColor="text1"/>
          <w:sz w:val="28"/>
          <w:szCs w:val="28"/>
        </w:rPr>
        <w:t xml:space="preserve">Informativo </w:t>
      </w:r>
      <w:r w:rsidRPr="00706FEF">
        <w:rPr>
          <w:rFonts w:ascii="Arial" w:eastAsia="Arial" w:hAnsi="Arial" w:cs="Arial"/>
          <w:b/>
          <w:bCs/>
          <w:color w:val="000000" w:themeColor="text1"/>
          <w:sz w:val="28"/>
          <w:szCs w:val="28"/>
        </w:rPr>
        <w:t xml:space="preserve">de Jurisprudência </w:t>
      </w:r>
      <w:r w:rsidR="7F010698" w:rsidRPr="00706FEF">
        <w:rPr>
          <w:rFonts w:ascii="Arial" w:eastAsia="Arial" w:hAnsi="Arial" w:cs="Arial"/>
          <w:b/>
          <w:bCs/>
          <w:color w:val="000000" w:themeColor="text1"/>
          <w:sz w:val="28"/>
          <w:szCs w:val="28"/>
        </w:rPr>
        <w:t>n.º 1</w:t>
      </w:r>
      <w:r w:rsidR="00625CB1">
        <w:rPr>
          <w:rFonts w:ascii="Arial" w:eastAsia="Arial" w:hAnsi="Arial" w:cs="Arial"/>
          <w:b/>
          <w:bCs/>
          <w:color w:val="000000" w:themeColor="text1"/>
          <w:sz w:val="28"/>
          <w:szCs w:val="28"/>
        </w:rPr>
        <w:t>4</w:t>
      </w:r>
      <w:r w:rsidR="00710227">
        <w:rPr>
          <w:rFonts w:ascii="Arial" w:eastAsia="Arial" w:hAnsi="Arial" w:cs="Arial"/>
          <w:b/>
          <w:bCs/>
          <w:color w:val="000000" w:themeColor="text1"/>
          <w:sz w:val="28"/>
          <w:szCs w:val="28"/>
        </w:rPr>
        <w:t>5</w:t>
      </w:r>
    </w:p>
    <w:p w14:paraId="5889FBC7" w14:textId="77777777" w:rsidR="00BA6D21" w:rsidRPr="00F76263" w:rsidRDefault="00BA6D21" w:rsidP="00F76263">
      <w:pPr>
        <w:pBdr>
          <w:top w:val="nil"/>
          <w:left w:val="nil"/>
          <w:bottom w:val="nil"/>
          <w:right w:val="nil"/>
          <w:between w:val="nil"/>
        </w:pBdr>
        <w:tabs>
          <w:tab w:val="center" w:pos="4252"/>
          <w:tab w:val="right" w:pos="8504"/>
        </w:tabs>
        <w:spacing w:after="0"/>
        <w:jc w:val="center"/>
        <w:rPr>
          <w:rFonts w:ascii="Arial" w:eastAsia="Arial" w:hAnsi="Arial" w:cs="Arial"/>
          <w:b/>
          <w:bCs/>
          <w:color w:val="000000"/>
          <w:sz w:val="20"/>
          <w:szCs w:val="20"/>
        </w:rPr>
      </w:pPr>
    </w:p>
    <w:tbl>
      <w:tblPr>
        <w:tblStyle w:val="Tabelacomgrade"/>
        <w:tblW w:w="0" w:type="auto"/>
        <w:tblInd w:w="-5" w:type="dxa"/>
        <w:tblLook w:val="04A0" w:firstRow="1" w:lastRow="0" w:firstColumn="1" w:lastColumn="0" w:noHBand="0" w:noVBand="1"/>
      </w:tblPr>
      <w:tblGrid>
        <w:gridCol w:w="2072"/>
        <w:gridCol w:w="3480"/>
        <w:gridCol w:w="1127"/>
        <w:gridCol w:w="1820"/>
      </w:tblGrid>
      <w:tr w:rsidR="00A9662E" w:rsidRPr="00F76263" w14:paraId="46E33099" w14:textId="77777777" w:rsidTr="0085416C">
        <w:tc>
          <w:tcPr>
            <w:tcW w:w="8499" w:type="dxa"/>
            <w:gridSpan w:val="4"/>
            <w:shd w:val="clear" w:color="auto" w:fill="8BA6B4"/>
            <w:vAlign w:val="center"/>
          </w:tcPr>
          <w:p w14:paraId="04583483" w14:textId="54D21B45" w:rsidR="00A9662E" w:rsidRPr="00F76263" w:rsidRDefault="00A9662E" w:rsidP="00F76263">
            <w:pPr>
              <w:spacing w:line="276" w:lineRule="auto"/>
              <w:jc w:val="center"/>
              <w:rPr>
                <w:rFonts w:ascii="Arial" w:eastAsia="Arial" w:hAnsi="Arial" w:cs="Arial"/>
                <w:b/>
                <w:bCs/>
                <w:color w:val="FFFFFF" w:themeColor="background1"/>
                <w:sz w:val="20"/>
                <w:szCs w:val="20"/>
              </w:rPr>
            </w:pPr>
            <w:r w:rsidRPr="00F76263">
              <w:rPr>
                <w:rFonts w:ascii="Arial" w:eastAsia="Arial" w:hAnsi="Arial" w:cs="Arial"/>
                <w:b/>
                <w:bCs/>
                <w:color w:val="FFFFFF" w:themeColor="background1"/>
                <w:sz w:val="20"/>
                <w:szCs w:val="20"/>
              </w:rPr>
              <w:t>Sessões analisadas</w:t>
            </w:r>
          </w:p>
        </w:tc>
      </w:tr>
      <w:tr w:rsidR="00912417" w:rsidRPr="00F76263" w14:paraId="5895E27F" w14:textId="77777777" w:rsidTr="0020291A">
        <w:tc>
          <w:tcPr>
            <w:tcW w:w="2072" w:type="dxa"/>
            <w:shd w:val="clear" w:color="auto" w:fill="8BA6B4"/>
            <w:vAlign w:val="center"/>
          </w:tcPr>
          <w:p w14:paraId="3EEDB36D" w14:textId="78DC5B57" w:rsidR="00912417" w:rsidRPr="00F76263" w:rsidRDefault="00710B2D" w:rsidP="00F76263">
            <w:pPr>
              <w:spacing w:line="276" w:lineRule="auto"/>
              <w:jc w:val="center"/>
              <w:rPr>
                <w:rFonts w:ascii="Arial" w:eastAsia="Arial" w:hAnsi="Arial" w:cs="Arial"/>
                <w:b/>
                <w:bCs/>
                <w:color w:val="FFFFFF" w:themeColor="background1"/>
                <w:sz w:val="20"/>
                <w:szCs w:val="20"/>
              </w:rPr>
            </w:pPr>
            <w:r w:rsidRPr="00F76263">
              <w:rPr>
                <w:rFonts w:ascii="Arial" w:eastAsia="Arial" w:hAnsi="Arial" w:cs="Arial"/>
                <w:b/>
                <w:bCs/>
                <w:color w:val="FFFFFF" w:themeColor="background1"/>
                <w:sz w:val="20"/>
                <w:szCs w:val="20"/>
              </w:rPr>
              <w:t>Órgão</w:t>
            </w:r>
          </w:p>
        </w:tc>
        <w:tc>
          <w:tcPr>
            <w:tcW w:w="3480" w:type="dxa"/>
            <w:shd w:val="clear" w:color="auto" w:fill="8BA6B4"/>
            <w:vAlign w:val="center"/>
          </w:tcPr>
          <w:p w14:paraId="40093ED4" w14:textId="391E585C" w:rsidR="00912417" w:rsidRPr="00F76263" w:rsidRDefault="00881568" w:rsidP="00F76263">
            <w:pPr>
              <w:spacing w:line="276" w:lineRule="auto"/>
              <w:jc w:val="center"/>
              <w:rPr>
                <w:rFonts w:ascii="Arial" w:eastAsia="Arial" w:hAnsi="Arial" w:cs="Arial"/>
                <w:b/>
                <w:bCs/>
                <w:color w:val="FFFFFF" w:themeColor="background1"/>
                <w:sz w:val="20"/>
                <w:szCs w:val="20"/>
              </w:rPr>
            </w:pPr>
            <w:r w:rsidRPr="00F76263">
              <w:rPr>
                <w:rFonts w:ascii="Arial" w:eastAsia="Arial" w:hAnsi="Arial" w:cs="Arial"/>
                <w:b/>
                <w:bCs/>
                <w:color w:val="FFFFFF" w:themeColor="background1"/>
                <w:sz w:val="20"/>
                <w:szCs w:val="20"/>
              </w:rPr>
              <w:t>Tipo</w:t>
            </w:r>
          </w:p>
        </w:tc>
        <w:tc>
          <w:tcPr>
            <w:tcW w:w="1127" w:type="dxa"/>
            <w:shd w:val="clear" w:color="auto" w:fill="8BA6B4"/>
            <w:vAlign w:val="center"/>
          </w:tcPr>
          <w:p w14:paraId="3DBC29E0" w14:textId="3802ACA2" w:rsidR="00912417" w:rsidRPr="00F76263" w:rsidRDefault="00710B2D" w:rsidP="00F76263">
            <w:pPr>
              <w:spacing w:line="276" w:lineRule="auto"/>
              <w:jc w:val="center"/>
              <w:rPr>
                <w:rFonts w:ascii="Arial" w:eastAsia="Arial" w:hAnsi="Arial" w:cs="Arial"/>
                <w:b/>
                <w:bCs/>
                <w:color w:val="FFFFFF" w:themeColor="background1"/>
                <w:sz w:val="20"/>
                <w:szCs w:val="20"/>
              </w:rPr>
            </w:pPr>
            <w:r w:rsidRPr="00F76263">
              <w:rPr>
                <w:rFonts w:ascii="Arial" w:eastAsia="Arial" w:hAnsi="Arial" w:cs="Arial"/>
                <w:b/>
                <w:bCs/>
                <w:color w:val="FFFFFF" w:themeColor="background1"/>
                <w:sz w:val="20"/>
                <w:szCs w:val="20"/>
              </w:rPr>
              <w:t>Número</w:t>
            </w:r>
          </w:p>
        </w:tc>
        <w:tc>
          <w:tcPr>
            <w:tcW w:w="1820" w:type="dxa"/>
            <w:shd w:val="clear" w:color="auto" w:fill="8BA6B4"/>
            <w:vAlign w:val="center"/>
          </w:tcPr>
          <w:p w14:paraId="769F4E90" w14:textId="46AE86A4" w:rsidR="00912417" w:rsidRPr="00F76263" w:rsidRDefault="00710B2D" w:rsidP="00F76263">
            <w:pPr>
              <w:spacing w:line="276" w:lineRule="auto"/>
              <w:jc w:val="center"/>
              <w:rPr>
                <w:rFonts w:ascii="Arial" w:eastAsia="Arial" w:hAnsi="Arial" w:cs="Arial"/>
                <w:b/>
                <w:bCs/>
                <w:color w:val="FFFFFF" w:themeColor="background1"/>
                <w:sz w:val="20"/>
                <w:szCs w:val="20"/>
              </w:rPr>
            </w:pPr>
            <w:r w:rsidRPr="00F76263">
              <w:rPr>
                <w:rFonts w:ascii="Arial" w:eastAsia="Arial" w:hAnsi="Arial" w:cs="Arial"/>
                <w:b/>
                <w:bCs/>
                <w:color w:val="FFFFFF" w:themeColor="background1"/>
                <w:sz w:val="20"/>
                <w:szCs w:val="20"/>
              </w:rPr>
              <w:t>Data</w:t>
            </w:r>
          </w:p>
        </w:tc>
      </w:tr>
      <w:tr w:rsidR="00881568" w:rsidRPr="00F76263" w14:paraId="326D319E" w14:textId="77777777" w:rsidTr="0020291A">
        <w:tc>
          <w:tcPr>
            <w:tcW w:w="2072" w:type="dxa"/>
          </w:tcPr>
          <w:p w14:paraId="2B46CC6E" w14:textId="798AB6FA" w:rsidR="00881568" w:rsidRPr="00F76263" w:rsidRDefault="006820ED" w:rsidP="00F76263">
            <w:pPr>
              <w:spacing w:line="276" w:lineRule="auto"/>
              <w:jc w:val="center"/>
              <w:rPr>
                <w:rFonts w:ascii="Arial" w:eastAsia="Arial" w:hAnsi="Arial" w:cs="Arial"/>
                <w:sz w:val="20"/>
                <w:szCs w:val="20"/>
              </w:rPr>
            </w:pPr>
            <w:r>
              <w:rPr>
                <w:rFonts w:ascii="Arial" w:eastAsia="Arial" w:hAnsi="Arial" w:cs="Arial"/>
                <w:sz w:val="20"/>
                <w:szCs w:val="20"/>
              </w:rPr>
              <w:t>Tribunal Pleno</w:t>
            </w:r>
          </w:p>
        </w:tc>
        <w:tc>
          <w:tcPr>
            <w:tcW w:w="3480" w:type="dxa"/>
            <w:vAlign w:val="center"/>
          </w:tcPr>
          <w:p w14:paraId="561D61EA" w14:textId="7CC6CA1B" w:rsidR="00881568" w:rsidRPr="00F76263" w:rsidRDefault="00881568" w:rsidP="00F76263">
            <w:pPr>
              <w:spacing w:line="276" w:lineRule="auto"/>
              <w:jc w:val="center"/>
              <w:rPr>
                <w:rFonts w:ascii="Arial" w:eastAsia="Arial" w:hAnsi="Arial" w:cs="Arial"/>
                <w:sz w:val="20"/>
                <w:szCs w:val="20"/>
              </w:rPr>
            </w:pPr>
            <w:r w:rsidRPr="00F76263">
              <w:rPr>
                <w:rFonts w:ascii="Arial" w:eastAsia="Arial" w:hAnsi="Arial" w:cs="Arial"/>
                <w:sz w:val="20"/>
                <w:szCs w:val="20"/>
              </w:rPr>
              <w:t>Ordinária</w:t>
            </w:r>
          </w:p>
        </w:tc>
        <w:tc>
          <w:tcPr>
            <w:tcW w:w="1127" w:type="dxa"/>
          </w:tcPr>
          <w:p w14:paraId="40423290" w14:textId="1C80F5DE" w:rsidR="00881568" w:rsidRPr="00F76263" w:rsidRDefault="0062772E" w:rsidP="00F76263">
            <w:pPr>
              <w:spacing w:line="276" w:lineRule="auto"/>
              <w:jc w:val="center"/>
              <w:rPr>
                <w:rFonts w:ascii="Arial" w:eastAsia="Arial" w:hAnsi="Arial" w:cs="Arial"/>
                <w:sz w:val="20"/>
                <w:szCs w:val="20"/>
              </w:rPr>
            </w:pPr>
            <w:r>
              <w:rPr>
                <w:rFonts w:ascii="Arial" w:eastAsia="Arial" w:hAnsi="Arial" w:cs="Arial"/>
                <w:sz w:val="20"/>
                <w:szCs w:val="20"/>
              </w:rPr>
              <w:t>1</w:t>
            </w:r>
            <w:r w:rsidR="00F6543D">
              <w:rPr>
                <w:rFonts w:ascii="Arial" w:eastAsia="Arial" w:hAnsi="Arial" w:cs="Arial"/>
                <w:sz w:val="20"/>
                <w:szCs w:val="20"/>
              </w:rPr>
              <w:t>6</w:t>
            </w:r>
          </w:p>
        </w:tc>
        <w:tc>
          <w:tcPr>
            <w:tcW w:w="1820" w:type="dxa"/>
          </w:tcPr>
          <w:p w14:paraId="469A8F03" w14:textId="31ACF028" w:rsidR="00881568" w:rsidRPr="00F76263" w:rsidRDefault="00637617" w:rsidP="00F76263">
            <w:pPr>
              <w:spacing w:line="276" w:lineRule="auto"/>
              <w:jc w:val="center"/>
              <w:rPr>
                <w:rFonts w:ascii="Arial" w:eastAsia="Arial" w:hAnsi="Arial" w:cs="Arial"/>
                <w:sz w:val="20"/>
                <w:szCs w:val="20"/>
              </w:rPr>
            </w:pPr>
            <w:r>
              <w:rPr>
                <w:rFonts w:ascii="Arial" w:eastAsia="Arial" w:hAnsi="Arial" w:cs="Arial"/>
                <w:sz w:val="20"/>
                <w:szCs w:val="20"/>
              </w:rPr>
              <w:t>2</w:t>
            </w:r>
            <w:r w:rsidR="00F6543D">
              <w:rPr>
                <w:rFonts w:ascii="Arial" w:eastAsia="Arial" w:hAnsi="Arial" w:cs="Arial"/>
                <w:sz w:val="20"/>
                <w:szCs w:val="20"/>
              </w:rPr>
              <w:t>7</w:t>
            </w:r>
            <w:r w:rsidR="00FF5133">
              <w:rPr>
                <w:rFonts w:ascii="Arial" w:eastAsia="Arial" w:hAnsi="Arial" w:cs="Arial"/>
                <w:sz w:val="20"/>
                <w:szCs w:val="20"/>
              </w:rPr>
              <w:t>/</w:t>
            </w:r>
            <w:r w:rsidR="00710227">
              <w:rPr>
                <w:rFonts w:ascii="Arial" w:eastAsia="Arial" w:hAnsi="Arial" w:cs="Arial"/>
                <w:sz w:val="20"/>
                <w:szCs w:val="20"/>
              </w:rPr>
              <w:t>5</w:t>
            </w:r>
            <w:r w:rsidR="00FF5133">
              <w:rPr>
                <w:rFonts w:ascii="Arial" w:eastAsia="Arial" w:hAnsi="Arial" w:cs="Arial"/>
                <w:sz w:val="20"/>
                <w:szCs w:val="20"/>
              </w:rPr>
              <w:t>/2024</w:t>
            </w:r>
          </w:p>
        </w:tc>
      </w:tr>
      <w:tr w:rsidR="002653F5" w:rsidRPr="00F76263" w14:paraId="79010889" w14:textId="77777777" w:rsidTr="0020291A">
        <w:tc>
          <w:tcPr>
            <w:tcW w:w="2072" w:type="dxa"/>
          </w:tcPr>
          <w:p w14:paraId="304D56CF" w14:textId="61DC4F3A" w:rsidR="002653F5" w:rsidRDefault="002653F5" w:rsidP="002653F5">
            <w:pPr>
              <w:jc w:val="center"/>
              <w:rPr>
                <w:rFonts w:ascii="Arial" w:eastAsia="Arial" w:hAnsi="Arial" w:cs="Arial"/>
                <w:sz w:val="20"/>
                <w:szCs w:val="20"/>
              </w:rPr>
            </w:pPr>
            <w:r>
              <w:rPr>
                <w:rFonts w:ascii="Arial" w:eastAsia="Arial" w:hAnsi="Arial" w:cs="Arial"/>
                <w:sz w:val="20"/>
                <w:szCs w:val="20"/>
              </w:rPr>
              <w:t>Tribunal Pleno</w:t>
            </w:r>
          </w:p>
        </w:tc>
        <w:tc>
          <w:tcPr>
            <w:tcW w:w="3480" w:type="dxa"/>
            <w:vAlign w:val="center"/>
          </w:tcPr>
          <w:p w14:paraId="22081B78" w14:textId="5BD855F6" w:rsidR="002653F5" w:rsidRPr="00F76263" w:rsidRDefault="002653F5" w:rsidP="002653F5">
            <w:pPr>
              <w:jc w:val="center"/>
              <w:rPr>
                <w:rFonts w:ascii="Arial" w:eastAsia="Arial" w:hAnsi="Arial" w:cs="Arial"/>
                <w:sz w:val="20"/>
                <w:szCs w:val="20"/>
              </w:rPr>
            </w:pPr>
            <w:r w:rsidRPr="00F76263">
              <w:rPr>
                <w:rFonts w:ascii="Arial" w:eastAsia="Arial" w:hAnsi="Arial" w:cs="Arial"/>
                <w:sz w:val="20"/>
                <w:szCs w:val="20"/>
              </w:rPr>
              <w:t>Ordinária</w:t>
            </w:r>
          </w:p>
        </w:tc>
        <w:tc>
          <w:tcPr>
            <w:tcW w:w="1127" w:type="dxa"/>
          </w:tcPr>
          <w:p w14:paraId="2C127D06" w14:textId="78D9CEC1" w:rsidR="002653F5" w:rsidRDefault="0062772E" w:rsidP="002653F5">
            <w:pPr>
              <w:jc w:val="center"/>
              <w:rPr>
                <w:rFonts w:ascii="Arial" w:eastAsia="Arial" w:hAnsi="Arial" w:cs="Arial"/>
                <w:sz w:val="20"/>
                <w:szCs w:val="20"/>
              </w:rPr>
            </w:pPr>
            <w:r>
              <w:rPr>
                <w:rFonts w:ascii="Arial" w:eastAsia="Arial" w:hAnsi="Arial" w:cs="Arial"/>
                <w:sz w:val="20"/>
                <w:szCs w:val="20"/>
              </w:rPr>
              <w:t>1</w:t>
            </w:r>
            <w:r w:rsidR="00F6543D">
              <w:rPr>
                <w:rFonts w:ascii="Arial" w:eastAsia="Arial" w:hAnsi="Arial" w:cs="Arial"/>
                <w:sz w:val="20"/>
                <w:szCs w:val="20"/>
              </w:rPr>
              <w:t>7</w:t>
            </w:r>
          </w:p>
        </w:tc>
        <w:tc>
          <w:tcPr>
            <w:tcW w:w="1820" w:type="dxa"/>
          </w:tcPr>
          <w:p w14:paraId="5C530C05" w14:textId="58F7BC61" w:rsidR="002653F5" w:rsidRDefault="00F6543D" w:rsidP="002653F5">
            <w:pPr>
              <w:jc w:val="center"/>
              <w:rPr>
                <w:rFonts w:ascii="Arial" w:eastAsia="Arial" w:hAnsi="Arial" w:cs="Arial"/>
                <w:sz w:val="20"/>
                <w:szCs w:val="20"/>
              </w:rPr>
            </w:pPr>
            <w:r>
              <w:rPr>
                <w:rFonts w:ascii="Arial" w:eastAsia="Arial" w:hAnsi="Arial" w:cs="Arial"/>
                <w:sz w:val="20"/>
                <w:szCs w:val="20"/>
              </w:rPr>
              <w:t>5</w:t>
            </w:r>
            <w:r w:rsidR="002653F5">
              <w:rPr>
                <w:rFonts w:ascii="Arial" w:eastAsia="Arial" w:hAnsi="Arial" w:cs="Arial"/>
                <w:sz w:val="20"/>
                <w:szCs w:val="20"/>
              </w:rPr>
              <w:t>/</w:t>
            </w:r>
            <w:r>
              <w:rPr>
                <w:rFonts w:ascii="Arial" w:eastAsia="Arial" w:hAnsi="Arial" w:cs="Arial"/>
                <w:sz w:val="20"/>
                <w:szCs w:val="20"/>
              </w:rPr>
              <w:t>6</w:t>
            </w:r>
            <w:r w:rsidR="002653F5">
              <w:rPr>
                <w:rFonts w:ascii="Arial" w:eastAsia="Arial" w:hAnsi="Arial" w:cs="Arial"/>
                <w:sz w:val="20"/>
                <w:szCs w:val="20"/>
              </w:rPr>
              <w:t>/2024</w:t>
            </w:r>
          </w:p>
        </w:tc>
      </w:tr>
      <w:tr w:rsidR="002653F5" w:rsidRPr="00F76263" w14:paraId="22F6D8B9" w14:textId="77777777" w:rsidTr="0020291A">
        <w:tc>
          <w:tcPr>
            <w:tcW w:w="2072" w:type="dxa"/>
          </w:tcPr>
          <w:p w14:paraId="14783302" w14:textId="07603BE6" w:rsidR="002653F5" w:rsidRPr="00F76263" w:rsidRDefault="002653F5" w:rsidP="002653F5">
            <w:pPr>
              <w:spacing w:line="276" w:lineRule="auto"/>
              <w:jc w:val="center"/>
              <w:rPr>
                <w:rFonts w:ascii="Arial" w:eastAsia="Arial" w:hAnsi="Arial" w:cs="Arial"/>
                <w:sz w:val="20"/>
                <w:szCs w:val="20"/>
              </w:rPr>
            </w:pPr>
            <w:r>
              <w:rPr>
                <w:rFonts w:ascii="Arial" w:eastAsia="Arial" w:hAnsi="Arial" w:cs="Arial"/>
                <w:sz w:val="20"/>
                <w:szCs w:val="20"/>
              </w:rPr>
              <w:t>Tribunal Pleno</w:t>
            </w:r>
          </w:p>
        </w:tc>
        <w:tc>
          <w:tcPr>
            <w:tcW w:w="3480" w:type="dxa"/>
            <w:vAlign w:val="center"/>
          </w:tcPr>
          <w:p w14:paraId="624984A7" w14:textId="6DFD880C" w:rsidR="002653F5" w:rsidRPr="00F76263" w:rsidRDefault="002653F5" w:rsidP="002653F5">
            <w:pPr>
              <w:spacing w:line="276" w:lineRule="auto"/>
              <w:jc w:val="center"/>
              <w:rPr>
                <w:rFonts w:ascii="Arial" w:eastAsia="Arial" w:hAnsi="Arial" w:cs="Arial"/>
                <w:sz w:val="20"/>
                <w:szCs w:val="20"/>
              </w:rPr>
            </w:pPr>
            <w:r w:rsidRPr="00F76263">
              <w:rPr>
                <w:rFonts w:ascii="Arial" w:eastAsia="Arial" w:hAnsi="Arial" w:cs="Arial"/>
                <w:sz w:val="20"/>
                <w:szCs w:val="20"/>
              </w:rPr>
              <w:t>Ordinária (Plenário Virtual)</w:t>
            </w:r>
          </w:p>
        </w:tc>
        <w:tc>
          <w:tcPr>
            <w:tcW w:w="1127" w:type="dxa"/>
          </w:tcPr>
          <w:p w14:paraId="3972EBF6" w14:textId="41394945" w:rsidR="002653F5" w:rsidRPr="00F76263" w:rsidRDefault="00710227" w:rsidP="002653F5">
            <w:pPr>
              <w:spacing w:line="276" w:lineRule="auto"/>
              <w:jc w:val="center"/>
              <w:rPr>
                <w:rFonts w:ascii="Arial" w:eastAsia="Arial" w:hAnsi="Arial" w:cs="Arial"/>
                <w:sz w:val="20"/>
                <w:szCs w:val="20"/>
              </w:rPr>
            </w:pPr>
            <w:r>
              <w:rPr>
                <w:rFonts w:ascii="Arial" w:eastAsia="Arial" w:hAnsi="Arial" w:cs="Arial"/>
                <w:sz w:val="20"/>
                <w:szCs w:val="20"/>
              </w:rPr>
              <w:t>9</w:t>
            </w:r>
          </w:p>
        </w:tc>
        <w:tc>
          <w:tcPr>
            <w:tcW w:w="1820" w:type="dxa"/>
          </w:tcPr>
          <w:p w14:paraId="08D3086C" w14:textId="03B83874" w:rsidR="002653F5" w:rsidRPr="00F76263" w:rsidRDefault="00710227" w:rsidP="002653F5">
            <w:pPr>
              <w:spacing w:line="276" w:lineRule="auto"/>
              <w:jc w:val="center"/>
              <w:rPr>
                <w:rFonts w:ascii="Arial" w:eastAsia="Arial" w:hAnsi="Arial" w:cs="Arial"/>
                <w:sz w:val="20"/>
                <w:szCs w:val="20"/>
              </w:rPr>
            </w:pPr>
            <w:r>
              <w:rPr>
                <w:rFonts w:ascii="Arial" w:eastAsia="Arial" w:hAnsi="Arial" w:cs="Arial"/>
                <w:sz w:val="20"/>
                <w:szCs w:val="20"/>
              </w:rPr>
              <w:t>20</w:t>
            </w:r>
            <w:r w:rsidR="002653F5">
              <w:rPr>
                <w:rFonts w:ascii="Arial" w:eastAsia="Arial" w:hAnsi="Arial" w:cs="Arial"/>
                <w:sz w:val="20"/>
                <w:szCs w:val="20"/>
              </w:rPr>
              <w:t>/</w:t>
            </w:r>
            <w:r w:rsidR="007539A0">
              <w:rPr>
                <w:rFonts w:ascii="Arial" w:eastAsia="Arial" w:hAnsi="Arial" w:cs="Arial"/>
                <w:sz w:val="20"/>
                <w:szCs w:val="20"/>
              </w:rPr>
              <w:t>5</w:t>
            </w:r>
            <w:r w:rsidR="002653F5">
              <w:rPr>
                <w:rFonts w:ascii="Arial" w:eastAsia="Arial" w:hAnsi="Arial" w:cs="Arial"/>
                <w:sz w:val="20"/>
                <w:szCs w:val="20"/>
              </w:rPr>
              <w:t>/2024</w:t>
            </w:r>
          </w:p>
        </w:tc>
      </w:tr>
      <w:tr w:rsidR="002653F5" w:rsidRPr="00F76263" w14:paraId="0CC783B7" w14:textId="77777777" w:rsidTr="0020291A">
        <w:tc>
          <w:tcPr>
            <w:tcW w:w="2072" w:type="dxa"/>
          </w:tcPr>
          <w:p w14:paraId="132E7434" w14:textId="0B7B4C85" w:rsidR="002653F5" w:rsidRPr="00F76263" w:rsidRDefault="002653F5" w:rsidP="002653F5">
            <w:pPr>
              <w:jc w:val="center"/>
              <w:rPr>
                <w:rFonts w:ascii="Arial" w:eastAsia="Arial" w:hAnsi="Arial" w:cs="Arial"/>
                <w:sz w:val="20"/>
                <w:szCs w:val="20"/>
              </w:rPr>
            </w:pPr>
            <w:r w:rsidRPr="00F76263">
              <w:rPr>
                <w:rFonts w:ascii="Arial" w:eastAsia="Arial" w:hAnsi="Arial" w:cs="Arial"/>
                <w:sz w:val="20"/>
                <w:szCs w:val="20"/>
              </w:rPr>
              <w:t>1ª Câmara</w:t>
            </w:r>
          </w:p>
        </w:tc>
        <w:tc>
          <w:tcPr>
            <w:tcW w:w="3480" w:type="dxa"/>
            <w:vAlign w:val="center"/>
          </w:tcPr>
          <w:p w14:paraId="782C9B2C" w14:textId="14334CEE" w:rsidR="002653F5" w:rsidRPr="00F76263" w:rsidRDefault="002653F5" w:rsidP="002653F5">
            <w:pPr>
              <w:jc w:val="center"/>
              <w:rPr>
                <w:rFonts w:ascii="Arial" w:eastAsia="Arial" w:hAnsi="Arial" w:cs="Arial"/>
                <w:sz w:val="20"/>
                <w:szCs w:val="20"/>
              </w:rPr>
            </w:pPr>
            <w:r w:rsidRPr="00F76263">
              <w:rPr>
                <w:rFonts w:ascii="Arial" w:eastAsia="Arial" w:hAnsi="Arial" w:cs="Arial"/>
                <w:sz w:val="20"/>
                <w:szCs w:val="20"/>
              </w:rPr>
              <w:t>Ordinária (Plenário Virtual)</w:t>
            </w:r>
          </w:p>
        </w:tc>
        <w:tc>
          <w:tcPr>
            <w:tcW w:w="1127" w:type="dxa"/>
          </w:tcPr>
          <w:p w14:paraId="6249CE3C" w14:textId="5881FAA5" w:rsidR="002653F5" w:rsidRDefault="00710227" w:rsidP="002653F5">
            <w:pPr>
              <w:jc w:val="center"/>
              <w:rPr>
                <w:rFonts w:ascii="Arial" w:eastAsia="Arial" w:hAnsi="Arial" w:cs="Arial"/>
                <w:sz w:val="20"/>
                <w:szCs w:val="20"/>
              </w:rPr>
            </w:pPr>
            <w:r>
              <w:rPr>
                <w:rFonts w:ascii="Arial" w:eastAsia="Arial" w:hAnsi="Arial" w:cs="Arial"/>
                <w:sz w:val="20"/>
                <w:szCs w:val="20"/>
              </w:rPr>
              <w:t>9</w:t>
            </w:r>
          </w:p>
        </w:tc>
        <w:tc>
          <w:tcPr>
            <w:tcW w:w="1820" w:type="dxa"/>
          </w:tcPr>
          <w:p w14:paraId="4479B953" w14:textId="35454A3E" w:rsidR="002653F5" w:rsidRPr="00F76263" w:rsidRDefault="00710227" w:rsidP="002653F5">
            <w:pPr>
              <w:jc w:val="center"/>
              <w:rPr>
                <w:rFonts w:ascii="Arial" w:eastAsia="Arial" w:hAnsi="Arial" w:cs="Arial"/>
                <w:sz w:val="20"/>
                <w:szCs w:val="20"/>
              </w:rPr>
            </w:pPr>
            <w:r>
              <w:rPr>
                <w:rFonts w:ascii="Arial" w:eastAsia="Arial" w:hAnsi="Arial" w:cs="Arial"/>
                <w:sz w:val="20"/>
                <w:szCs w:val="20"/>
              </w:rPr>
              <w:t>10</w:t>
            </w:r>
            <w:r w:rsidR="002653F5">
              <w:rPr>
                <w:rFonts w:ascii="Arial" w:eastAsia="Arial" w:hAnsi="Arial" w:cs="Arial"/>
                <w:sz w:val="20"/>
                <w:szCs w:val="20"/>
              </w:rPr>
              <w:t>/</w:t>
            </w:r>
            <w:r>
              <w:rPr>
                <w:rFonts w:ascii="Arial" w:eastAsia="Arial" w:hAnsi="Arial" w:cs="Arial"/>
                <w:sz w:val="20"/>
                <w:szCs w:val="20"/>
              </w:rPr>
              <w:t>6</w:t>
            </w:r>
            <w:r w:rsidR="002653F5">
              <w:rPr>
                <w:rFonts w:ascii="Arial" w:eastAsia="Arial" w:hAnsi="Arial" w:cs="Arial"/>
                <w:sz w:val="20"/>
                <w:szCs w:val="20"/>
              </w:rPr>
              <w:t>/2024</w:t>
            </w:r>
          </w:p>
        </w:tc>
      </w:tr>
      <w:tr w:rsidR="002653F5" w:rsidRPr="00F76263" w14:paraId="29C895D0" w14:textId="77777777" w:rsidTr="0020291A">
        <w:tc>
          <w:tcPr>
            <w:tcW w:w="2072" w:type="dxa"/>
          </w:tcPr>
          <w:p w14:paraId="531D92E5" w14:textId="1BB37E2D" w:rsidR="002653F5" w:rsidRPr="00F76263" w:rsidRDefault="002653F5" w:rsidP="002653F5">
            <w:pPr>
              <w:jc w:val="center"/>
              <w:rPr>
                <w:rFonts w:ascii="Arial" w:eastAsia="Arial" w:hAnsi="Arial" w:cs="Arial"/>
                <w:sz w:val="20"/>
                <w:szCs w:val="20"/>
              </w:rPr>
            </w:pPr>
            <w:r w:rsidRPr="00F76263">
              <w:rPr>
                <w:rFonts w:ascii="Arial" w:eastAsia="Arial" w:hAnsi="Arial" w:cs="Arial"/>
                <w:sz w:val="20"/>
                <w:szCs w:val="20"/>
              </w:rPr>
              <w:t>2ª Câmara</w:t>
            </w:r>
          </w:p>
        </w:tc>
        <w:tc>
          <w:tcPr>
            <w:tcW w:w="3480" w:type="dxa"/>
            <w:vAlign w:val="center"/>
          </w:tcPr>
          <w:p w14:paraId="3099413F" w14:textId="4FFC5186" w:rsidR="002653F5" w:rsidRPr="00F76263" w:rsidRDefault="002653F5" w:rsidP="002653F5">
            <w:pPr>
              <w:jc w:val="center"/>
              <w:rPr>
                <w:rFonts w:ascii="Arial" w:eastAsia="Arial" w:hAnsi="Arial" w:cs="Arial"/>
                <w:sz w:val="20"/>
                <w:szCs w:val="20"/>
              </w:rPr>
            </w:pPr>
            <w:r w:rsidRPr="00F76263">
              <w:rPr>
                <w:rFonts w:ascii="Arial" w:eastAsia="Arial" w:hAnsi="Arial" w:cs="Arial"/>
                <w:sz w:val="20"/>
                <w:szCs w:val="20"/>
              </w:rPr>
              <w:t>Ordinária (Plenário Virtual)</w:t>
            </w:r>
          </w:p>
        </w:tc>
        <w:tc>
          <w:tcPr>
            <w:tcW w:w="1127" w:type="dxa"/>
          </w:tcPr>
          <w:p w14:paraId="0268D081" w14:textId="08EB912C" w:rsidR="002653F5" w:rsidRDefault="00710227" w:rsidP="002653F5">
            <w:pPr>
              <w:jc w:val="center"/>
              <w:rPr>
                <w:rFonts w:ascii="Arial" w:eastAsia="Arial" w:hAnsi="Arial" w:cs="Arial"/>
                <w:sz w:val="20"/>
                <w:szCs w:val="20"/>
              </w:rPr>
            </w:pPr>
            <w:r>
              <w:rPr>
                <w:rFonts w:ascii="Arial" w:eastAsia="Arial" w:hAnsi="Arial" w:cs="Arial"/>
                <w:sz w:val="20"/>
                <w:szCs w:val="20"/>
              </w:rPr>
              <w:t>9</w:t>
            </w:r>
          </w:p>
        </w:tc>
        <w:tc>
          <w:tcPr>
            <w:tcW w:w="1820" w:type="dxa"/>
          </w:tcPr>
          <w:p w14:paraId="0A138456" w14:textId="30CAF22A" w:rsidR="002653F5" w:rsidRPr="00F76263" w:rsidRDefault="00710227" w:rsidP="002653F5">
            <w:pPr>
              <w:jc w:val="center"/>
              <w:rPr>
                <w:rFonts w:ascii="Arial" w:eastAsia="Arial" w:hAnsi="Arial" w:cs="Arial"/>
                <w:sz w:val="20"/>
                <w:szCs w:val="20"/>
              </w:rPr>
            </w:pPr>
            <w:r>
              <w:rPr>
                <w:rFonts w:ascii="Arial" w:eastAsia="Arial" w:hAnsi="Arial" w:cs="Arial"/>
                <w:sz w:val="20"/>
                <w:szCs w:val="20"/>
              </w:rPr>
              <w:t>10</w:t>
            </w:r>
            <w:r w:rsidR="002653F5">
              <w:rPr>
                <w:rFonts w:ascii="Arial" w:eastAsia="Arial" w:hAnsi="Arial" w:cs="Arial"/>
                <w:sz w:val="20"/>
                <w:szCs w:val="20"/>
              </w:rPr>
              <w:t>/</w:t>
            </w:r>
            <w:r>
              <w:rPr>
                <w:rFonts w:ascii="Arial" w:eastAsia="Arial" w:hAnsi="Arial" w:cs="Arial"/>
                <w:sz w:val="20"/>
                <w:szCs w:val="20"/>
              </w:rPr>
              <w:t>6</w:t>
            </w:r>
            <w:r w:rsidR="002653F5">
              <w:rPr>
                <w:rFonts w:ascii="Arial" w:eastAsia="Arial" w:hAnsi="Arial" w:cs="Arial"/>
                <w:sz w:val="20"/>
                <w:szCs w:val="20"/>
              </w:rPr>
              <w:t>/2024</w:t>
            </w:r>
          </w:p>
        </w:tc>
      </w:tr>
    </w:tbl>
    <w:p w14:paraId="1F2BD992" w14:textId="77777777" w:rsidR="00BA6D21" w:rsidRPr="00F76263" w:rsidRDefault="00BA6D21" w:rsidP="00F76263">
      <w:pPr>
        <w:spacing w:after="0"/>
        <w:jc w:val="both"/>
        <w:rPr>
          <w:rFonts w:ascii="Arial" w:eastAsia="Arial" w:hAnsi="Arial" w:cs="Arial"/>
          <w:color w:val="000000" w:themeColor="text1"/>
          <w:sz w:val="20"/>
          <w:szCs w:val="20"/>
        </w:rPr>
      </w:pPr>
    </w:p>
    <w:p w14:paraId="4671700D" w14:textId="7A121617" w:rsidR="007826F1" w:rsidRPr="00F76263" w:rsidRDefault="007826F1" w:rsidP="00631596">
      <w:pPr>
        <w:spacing w:after="120"/>
        <w:jc w:val="both"/>
        <w:rPr>
          <w:rFonts w:ascii="Arial" w:eastAsia="Arial" w:hAnsi="Arial" w:cs="Arial"/>
          <w:color w:val="000000" w:themeColor="text1"/>
          <w:sz w:val="20"/>
          <w:szCs w:val="20"/>
        </w:rPr>
      </w:pPr>
      <w:r w:rsidRPr="00F76263">
        <w:rPr>
          <w:rFonts w:ascii="Arial" w:eastAsia="Arial" w:hAnsi="Arial" w:cs="Arial"/>
          <w:color w:val="000000" w:themeColor="text1"/>
          <w:sz w:val="20"/>
          <w:szCs w:val="20"/>
        </w:rPr>
        <w:t>O Boletim Informativo de Jurisprudência do TCE</w:t>
      </w:r>
      <w:r w:rsidR="004F6800" w:rsidRPr="00F76263">
        <w:rPr>
          <w:rFonts w:ascii="Arial" w:eastAsia="Arial" w:hAnsi="Arial" w:cs="Arial"/>
          <w:color w:val="000000" w:themeColor="text1"/>
          <w:sz w:val="20"/>
          <w:szCs w:val="20"/>
        </w:rPr>
        <w:t>-</w:t>
      </w:r>
      <w:r w:rsidRPr="00F76263">
        <w:rPr>
          <w:rFonts w:ascii="Arial" w:eastAsia="Arial" w:hAnsi="Arial" w:cs="Arial"/>
          <w:color w:val="000000" w:themeColor="text1"/>
          <w:sz w:val="20"/>
          <w:szCs w:val="20"/>
        </w:rPr>
        <w:t>PR apresenta decisões proferidas</w:t>
      </w:r>
      <w:r w:rsidR="00340BA8">
        <w:rPr>
          <w:rFonts w:ascii="Arial" w:eastAsia="Arial" w:hAnsi="Arial" w:cs="Arial"/>
          <w:color w:val="000000" w:themeColor="text1"/>
          <w:sz w:val="20"/>
          <w:szCs w:val="20"/>
        </w:rPr>
        <w:t xml:space="preserve"> pelo Tribunal</w:t>
      </w:r>
      <w:r w:rsidRPr="00F76263">
        <w:rPr>
          <w:rFonts w:ascii="Arial" w:eastAsia="Arial" w:hAnsi="Arial" w:cs="Arial"/>
          <w:color w:val="000000" w:themeColor="text1"/>
          <w:sz w:val="20"/>
          <w:szCs w:val="20"/>
        </w:rPr>
        <w:t xml:space="preserve"> que receberam indicação de relevância jurisprudencial nas sessões de julgamento acima indicadas. A seleção das decisões leva em consideração o ineditismo da deliberação, a discussão no colegiado e/ou a reiteração de entendimento importante</w:t>
      </w:r>
      <w:r w:rsidR="00175977">
        <w:rPr>
          <w:rFonts w:ascii="Arial" w:eastAsia="Arial" w:hAnsi="Arial" w:cs="Arial"/>
          <w:color w:val="000000" w:themeColor="text1"/>
          <w:sz w:val="20"/>
          <w:szCs w:val="20"/>
        </w:rPr>
        <w:t>, cujo</w:t>
      </w:r>
      <w:r w:rsidRPr="00F76263">
        <w:rPr>
          <w:rFonts w:ascii="Arial" w:eastAsia="Arial" w:hAnsi="Arial" w:cs="Arial"/>
          <w:color w:val="000000" w:themeColor="text1"/>
          <w:sz w:val="20"/>
          <w:szCs w:val="20"/>
        </w:rPr>
        <w:t xml:space="preserve"> objetivo é facilitar </w:t>
      </w:r>
      <w:r w:rsidR="00637617" w:rsidRPr="00F76263">
        <w:rPr>
          <w:rFonts w:ascii="Arial" w:eastAsia="Arial" w:hAnsi="Arial" w:cs="Arial"/>
          <w:color w:val="000000" w:themeColor="text1"/>
          <w:sz w:val="20"/>
          <w:szCs w:val="20"/>
        </w:rPr>
        <w:t>ao</w:t>
      </w:r>
      <w:r w:rsidRPr="00F76263">
        <w:rPr>
          <w:rFonts w:ascii="Arial" w:eastAsia="Arial" w:hAnsi="Arial" w:cs="Arial"/>
          <w:color w:val="000000" w:themeColor="text1"/>
          <w:sz w:val="20"/>
          <w:szCs w:val="20"/>
        </w:rPr>
        <w:t xml:space="preserve"> acompanhamento dos acórdãos mais importantes do Tribunal</w:t>
      </w:r>
      <w:r w:rsidR="00175977">
        <w:rPr>
          <w:rFonts w:ascii="Arial" w:eastAsia="Arial" w:hAnsi="Arial" w:cs="Arial"/>
          <w:color w:val="000000" w:themeColor="text1"/>
          <w:sz w:val="20"/>
          <w:szCs w:val="20"/>
        </w:rPr>
        <w:t xml:space="preserve"> pelos interessados</w:t>
      </w:r>
      <w:r w:rsidRPr="00F76263">
        <w:rPr>
          <w:rFonts w:ascii="Arial" w:eastAsia="Arial" w:hAnsi="Arial" w:cs="Arial"/>
          <w:color w:val="000000" w:themeColor="text1"/>
          <w:sz w:val="20"/>
          <w:szCs w:val="20"/>
        </w:rPr>
        <w:t>. Para aprofundamento, o leitor pode acessar o inteiro teor das deliberações por meio dos links disponíveis.</w:t>
      </w:r>
    </w:p>
    <w:p w14:paraId="33948FCD" w14:textId="302DF5D6" w:rsidR="002B3FB5" w:rsidRPr="00F76263" w:rsidRDefault="007826F1" w:rsidP="00F76263">
      <w:pPr>
        <w:spacing w:after="0"/>
        <w:jc w:val="both"/>
        <w:rPr>
          <w:rFonts w:ascii="Arial" w:eastAsia="Arial" w:hAnsi="Arial" w:cs="Arial"/>
          <w:color w:val="000000" w:themeColor="text1"/>
          <w:sz w:val="20"/>
          <w:szCs w:val="20"/>
        </w:rPr>
      </w:pPr>
      <w:r w:rsidRPr="00F76263">
        <w:rPr>
          <w:rFonts w:ascii="Arial" w:eastAsia="Arial" w:hAnsi="Arial" w:cs="Arial"/>
          <w:color w:val="000000" w:themeColor="text1"/>
          <w:sz w:val="20"/>
          <w:szCs w:val="20"/>
        </w:rPr>
        <w:t>As informações aqui apresentadas não representam repositórios oficiais de jurisprudência.</w:t>
      </w:r>
    </w:p>
    <w:p w14:paraId="54C07DE0" w14:textId="77777777" w:rsidR="004D5AAE" w:rsidRDefault="004D5AAE" w:rsidP="00F76263">
      <w:pPr>
        <w:spacing w:after="0"/>
        <w:jc w:val="both"/>
        <w:rPr>
          <w:rFonts w:ascii="Arial" w:eastAsia="Arial" w:hAnsi="Arial" w:cs="Arial"/>
          <w:color w:val="000000" w:themeColor="text1"/>
          <w:sz w:val="20"/>
          <w:szCs w:val="20"/>
        </w:rPr>
      </w:pPr>
    </w:p>
    <w:sdt>
      <w:sdtPr>
        <w:rPr>
          <w:rFonts w:ascii="Arial" w:hAnsi="Arial"/>
          <w:bCs/>
          <w:iCs/>
          <w:noProof/>
          <w:sz w:val="20"/>
          <w:szCs w:val="24"/>
        </w:rPr>
        <w:id w:val="238527377"/>
        <w:docPartObj>
          <w:docPartGallery w:val="Table of Contents"/>
          <w:docPartUnique/>
        </w:docPartObj>
      </w:sdtPr>
      <w:sdtEndPr>
        <w:rPr>
          <w:b/>
        </w:rPr>
      </w:sdtEndPr>
      <w:sdtContent>
        <w:p w14:paraId="09FA4007" w14:textId="22F1490C" w:rsidR="00AB3B5A" w:rsidRPr="00AB3B5A" w:rsidRDefault="00AB3B5A" w:rsidP="00AB3B5A">
          <w:pPr>
            <w:shd w:val="clear" w:color="auto" w:fill="EEECE1" w:themeFill="background2"/>
            <w:tabs>
              <w:tab w:val="center" w:pos="4252"/>
            </w:tabs>
            <w:spacing w:after="0"/>
            <w:rPr>
              <w:rFonts w:ascii="Arial" w:eastAsia="Arial" w:hAnsi="Arial" w:cs="Arial"/>
              <w:b/>
              <w:bCs/>
              <w:sz w:val="20"/>
              <w:szCs w:val="20"/>
            </w:rPr>
          </w:pPr>
          <w:r w:rsidRPr="00F76263">
            <w:rPr>
              <w:rFonts w:ascii="Arial" w:eastAsia="Arial" w:hAnsi="Arial" w:cs="Arial"/>
              <w:b/>
              <w:bCs/>
              <w:sz w:val="20"/>
              <w:szCs w:val="20"/>
            </w:rPr>
            <w:tab/>
          </w:r>
          <w:r>
            <w:rPr>
              <w:rFonts w:ascii="Arial" w:eastAsia="Arial" w:hAnsi="Arial" w:cs="Arial"/>
              <w:b/>
              <w:bCs/>
              <w:sz w:val="20"/>
              <w:szCs w:val="20"/>
            </w:rPr>
            <w:t>SUMÁRIO</w:t>
          </w:r>
          <w:r>
            <w:tab/>
          </w:r>
        </w:p>
        <w:p w14:paraId="364F6E49" w14:textId="561FC1C5" w:rsidR="00681802" w:rsidRDefault="00AB3B5A">
          <w:pPr>
            <w:pStyle w:val="Sumrio1"/>
            <w:rPr>
              <w:rFonts w:asciiTheme="minorHAnsi" w:eastAsiaTheme="minorEastAsia" w:hAnsiTheme="minorHAnsi" w:cstheme="minorBidi"/>
              <w:bCs w:val="0"/>
              <w:iCs w:val="0"/>
              <w:kern w:val="2"/>
              <w:sz w:val="24"/>
              <w14:ligatures w14:val="standardContextual"/>
            </w:rPr>
          </w:pPr>
          <w:r>
            <w:fldChar w:fldCharType="begin"/>
          </w:r>
          <w:r>
            <w:instrText xml:space="preserve"> TOC \o "1-3" \h \z \u </w:instrText>
          </w:r>
          <w:r>
            <w:fldChar w:fldCharType="separate"/>
          </w:r>
          <w:hyperlink w:anchor="_Toc171896151" w:history="1">
            <w:r w:rsidR="00681802" w:rsidRPr="00454C48">
              <w:rPr>
                <w:rStyle w:val="Hyperlink"/>
              </w:rPr>
              <w:t>1. Ato de Inativação. Aposentadoria por idade. Cargo de professor. Ausência de CTC. Coordenadoria de Gestão Municipal pela negativa de registro. Ministério Público de Contas pelo registro à luz da Lei n.º 13.846/19. Pelo registro.</w:t>
            </w:r>
            <w:r w:rsidR="00681802">
              <w:rPr>
                <w:webHidden/>
              </w:rPr>
              <w:tab/>
            </w:r>
            <w:r w:rsidR="00681802">
              <w:rPr>
                <w:webHidden/>
              </w:rPr>
              <w:fldChar w:fldCharType="begin"/>
            </w:r>
            <w:r w:rsidR="00681802">
              <w:rPr>
                <w:webHidden/>
              </w:rPr>
              <w:instrText xml:space="preserve"> PAGEREF _Toc171896151 \h </w:instrText>
            </w:r>
            <w:r w:rsidR="00681802">
              <w:rPr>
                <w:webHidden/>
              </w:rPr>
            </w:r>
            <w:r w:rsidR="00681802">
              <w:rPr>
                <w:webHidden/>
              </w:rPr>
              <w:fldChar w:fldCharType="separate"/>
            </w:r>
            <w:r w:rsidR="00681802">
              <w:rPr>
                <w:webHidden/>
              </w:rPr>
              <w:t>2</w:t>
            </w:r>
            <w:r w:rsidR="00681802">
              <w:rPr>
                <w:webHidden/>
              </w:rPr>
              <w:fldChar w:fldCharType="end"/>
            </w:r>
          </w:hyperlink>
        </w:p>
        <w:p w14:paraId="2046B69F" w14:textId="176028D8" w:rsidR="00681802" w:rsidRDefault="00681802">
          <w:pPr>
            <w:pStyle w:val="Sumrio1"/>
            <w:rPr>
              <w:rFonts w:asciiTheme="minorHAnsi" w:eastAsiaTheme="minorEastAsia" w:hAnsiTheme="minorHAnsi" w:cstheme="minorBidi"/>
              <w:bCs w:val="0"/>
              <w:iCs w:val="0"/>
              <w:kern w:val="2"/>
              <w:sz w:val="24"/>
              <w14:ligatures w14:val="standardContextual"/>
            </w:rPr>
          </w:pPr>
          <w:hyperlink w:anchor="_Toc171896152" w:history="1">
            <w:r w:rsidRPr="00454C48">
              <w:rPr>
                <w:rStyle w:val="Hyperlink"/>
              </w:rPr>
              <w:t>2. Representação. Superioridade de vencimentos dos cargos do Poder Legislativo Municipal em relação a cargos assemelhados do Poder Executivo. Irregularidade. Artigo 3</w:t>
            </w:r>
            <w:r w:rsidRPr="00454C48">
              <w:rPr>
                <w:rStyle w:val="Hyperlink"/>
              </w:rPr>
              <w:t>7</w:t>
            </w:r>
            <w:r w:rsidRPr="00454C48">
              <w:rPr>
                <w:rStyle w:val="Hyperlink"/>
              </w:rPr>
              <w:t>, inciso XII, da Constituição Federal. Precedente normativo e vinculante neste Tribunal de Contas. Decisões colacionadas apontando divergentes entendimentos jurisprudenciais. Procedência, com recomendação e expedições de comunicações.</w:t>
            </w:r>
            <w:r>
              <w:rPr>
                <w:webHidden/>
              </w:rPr>
              <w:tab/>
            </w:r>
            <w:r>
              <w:rPr>
                <w:webHidden/>
              </w:rPr>
              <w:fldChar w:fldCharType="begin"/>
            </w:r>
            <w:r>
              <w:rPr>
                <w:webHidden/>
              </w:rPr>
              <w:instrText xml:space="preserve"> PAGEREF _Toc171896152 \h </w:instrText>
            </w:r>
            <w:r>
              <w:rPr>
                <w:webHidden/>
              </w:rPr>
            </w:r>
            <w:r>
              <w:rPr>
                <w:webHidden/>
              </w:rPr>
              <w:fldChar w:fldCharType="separate"/>
            </w:r>
            <w:r>
              <w:rPr>
                <w:webHidden/>
              </w:rPr>
              <w:t>3</w:t>
            </w:r>
            <w:r>
              <w:rPr>
                <w:webHidden/>
              </w:rPr>
              <w:fldChar w:fldCharType="end"/>
            </w:r>
          </w:hyperlink>
        </w:p>
        <w:p w14:paraId="3A47BB53" w14:textId="062B9A72" w:rsidR="00681802" w:rsidRDefault="00681802">
          <w:pPr>
            <w:pStyle w:val="Sumrio1"/>
            <w:rPr>
              <w:rFonts w:asciiTheme="minorHAnsi" w:eastAsiaTheme="minorEastAsia" w:hAnsiTheme="minorHAnsi" w:cstheme="minorBidi"/>
              <w:bCs w:val="0"/>
              <w:iCs w:val="0"/>
              <w:kern w:val="2"/>
              <w:sz w:val="24"/>
              <w14:ligatures w14:val="standardContextual"/>
            </w:rPr>
          </w:pPr>
          <w:hyperlink w:anchor="_Toc171896154" w:history="1">
            <w:r w:rsidRPr="00454C48">
              <w:rPr>
                <w:rStyle w:val="Hyperlink"/>
              </w:rPr>
              <w:t>3. Representação da Lei de Licitações. Pregão Presencial. Princípios do formalismo moderado e da economicidade. Pareceres uniformes. Pela procedência com determinação.</w:t>
            </w:r>
            <w:r>
              <w:rPr>
                <w:webHidden/>
              </w:rPr>
              <w:tab/>
            </w:r>
            <w:r>
              <w:rPr>
                <w:webHidden/>
              </w:rPr>
              <w:fldChar w:fldCharType="begin"/>
            </w:r>
            <w:r>
              <w:rPr>
                <w:webHidden/>
              </w:rPr>
              <w:instrText xml:space="preserve"> PAGEREF _Toc171896154 \h </w:instrText>
            </w:r>
            <w:r>
              <w:rPr>
                <w:webHidden/>
              </w:rPr>
            </w:r>
            <w:r>
              <w:rPr>
                <w:webHidden/>
              </w:rPr>
              <w:fldChar w:fldCharType="separate"/>
            </w:r>
            <w:r>
              <w:rPr>
                <w:webHidden/>
              </w:rPr>
              <w:t>5</w:t>
            </w:r>
            <w:r>
              <w:rPr>
                <w:webHidden/>
              </w:rPr>
              <w:fldChar w:fldCharType="end"/>
            </w:r>
          </w:hyperlink>
        </w:p>
        <w:p w14:paraId="6CEA2309" w14:textId="201522BC" w:rsidR="00681802" w:rsidRDefault="00681802">
          <w:pPr>
            <w:pStyle w:val="Sumrio1"/>
            <w:rPr>
              <w:rFonts w:asciiTheme="minorHAnsi" w:eastAsiaTheme="minorEastAsia" w:hAnsiTheme="minorHAnsi" w:cstheme="minorBidi"/>
              <w:bCs w:val="0"/>
              <w:iCs w:val="0"/>
              <w:kern w:val="2"/>
              <w:sz w:val="24"/>
              <w14:ligatures w14:val="standardContextual"/>
            </w:rPr>
          </w:pPr>
          <w:hyperlink w:anchor="_Toc171896155" w:history="1">
            <w:r w:rsidRPr="00454C48">
              <w:rPr>
                <w:rStyle w:val="Hyperlink"/>
              </w:rPr>
              <w:t>4. Representação da Lei de Licitações. Medida cautelar de suspensão de procedimento licitatório. Homologação.</w:t>
            </w:r>
            <w:r>
              <w:rPr>
                <w:webHidden/>
              </w:rPr>
              <w:tab/>
            </w:r>
            <w:r>
              <w:rPr>
                <w:webHidden/>
              </w:rPr>
              <w:fldChar w:fldCharType="begin"/>
            </w:r>
            <w:r>
              <w:rPr>
                <w:webHidden/>
              </w:rPr>
              <w:instrText xml:space="preserve"> PAGEREF _Toc171896155 \h </w:instrText>
            </w:r>
            <w:r>
              <w:rPr>
                <w:webHidden/>
              </w:rPr>
            </w:r>
            <w:r>
              <w:rPr>
                <w:webHidden/>
              </w:rPr>
              <w:fldChar w:fldCharType="separate"/>
            </w:r>
            <w:r>
              <w:rPr>
                <w:webHidden/>
              </w:rPr>
              <w:t>5</w:t>
            </w:r>
            <w:r>
              <w:rPr>
                <w:webHidden/>
              </w:rPr>
              <w:fldChar w:fldCharType="end"/>
            </w:r>
          </w:hyperlink>
        </w:p>
        <w:p w14:paraId="6D4EFFD6" w14:textId="229B3B6A" w:rsidR="00681802" w:rsidRDefault="00681802">
          <w:pPr>
            <w:pStyle w:val="Sumrio1"/>
            <w:rPr>
              <w:rFonts w:asciiTheme="minorHAnsi" w:eastAsiaTheme="minorEastAsia" w:hAnsiTheme="minorHAnsi" w:cstheme="minorBidi"/>
              <w:bCs w:val="0"/>
              <w:iCs w:val="0"/>
              <w:kern w:val="2"/>
              <w:sz w:val="24"/>
              <w14:ligatures w14:val="standardContextual"/>
            </w:rPr>
          </w:pPr>
          <w:hyperlink w:anchor="_Toc171896156" w:history="1">
            <w:r w:rsidRPr="00454C48">
              <w:rPr>
                <w:rStyle w:val="Hyperlink"/>
              </w:rPr>
              <w:t>5. Representação. Concurso Público nº 003/2024. Medida cautelar de suspensão na continuidade do certame apenas no que diz respeito aos cargos de Técnico de Enfermagem. Homologação.</w:t>
            </w:r>
            <w:r>
              <w:rPr>
                <w:webHidden/>
              </w:rPr>
              <w:tab/>
            </w:r>
            <w:r>
              <w:rPr>
                <w:webHidden/>
              </w:rPr>
              <w:fldChar w:fldCharType="begin"/>
            </w:r>
            <w:r>
              <w:rPr>
                <w:webHidden/>
              </w:rPr>
              <w:instrText xml:space="preserve"> PAGEREF _Toc171896156 \h </w:instrText>
            </w:r>
            <w:r>
              <w:rPr>
                <w:webHidden/>
              </w:rPr>
            </w:r>
            <w:r>
              <w:rPr>
                <w:webHidden/>
              </w:rPr>
              <w:fldChar w:fldCharType="separate"/>
            </w:r>
            <w:r>
              <w:rPr>
                <w:webHidden/>
              </w:rPr>
              <w:t>6</w:t>
            </w:r>
            <w:r>
              <w:rPr>
                <w:webHidden/>
              </w:rPr>
              <w:fldChar w:fldCharType="end"/>
            </w:r>
          </w:hyperlink>
        </w:p>
        <w:p w14:paraId="00637017" w14:textId="0AB9A06B" w:rsidR="00F76263" w:rsidRPr="00B91AD7" w:rsidRDefault="00AB3B5A" w:rsidP="00B91AD7">
          <w:pPr>
            <w:pStyle w:val="Sumrio1"/>
          </w:pPr>
          <w:r>
            <w:rPr>
              <w:b/>
              <w:bCs w:val="0"/>
            </w:rPr>
            <w:fldChar w:fldCharType="end"/>
          </w:r>
        </w:p>
      </w:sdtContent>
    </w:sdt>
    <w:p w14:paraId="34757F54" w14:textId="6FDD2CFC" w:rsidR="00C76540" w:rsidRPr="00F76263" w:rsidRDefault="00BE08EE" w:rsidP="00C76540">
      <w:pPr>
        <w:shd w:val="clear" w:color="auto" w:fill="EEECE1" w:themeFill="background2"/>
        <w:spacing w:after="0"/>
        <w:jc w:val="center"/>
        <w:rPr>
          <w:rFonts w:ascii="Arial" w:eastAsia="Arial" w:hAnsi="Arial" w:cs="Arial"/>
          <w:b/>
          <w:bCs/>
          <w:sz w:val="20"/>
          <w:szCs w:val="20"/>
        </w:rPr>
      </w:pPr>
      <w:r>
        <w:rPr>
          <w:rFonts w:ascii="Arial" w:eastAsia="Arial" w:hAnsi="Arial" w:cs="Arial"/>
          <w:b/>
          <w:bCs/>
          <w:sz w:val="20"/>
          <w:szCs w:val="20"/>
        </w:rPr>
        <w:t>PRIMEIRA</w:t>
      </w:r>
      <w:r w:rsidR="00C76540">
        <w:rPr>
          <w:rFonts w:ascii="Arial" w:eastAsia="Arial" w:hAnsi="Arial" w:cs="Arial"/>
          <w:b/>
          <w:bCs/>
          <w:sz w:val="20"/>
          <w:szCs w:val="20"/>
        </w:rPr>
        <w:t xml:space="preserve"> CÂMARA</w:t>
      </w:r>
    </w:p>
    <w:p w14:paraId="61EB4142" w14:textId="7E3F0783" w:rsidR="002B6EFF" w:rsidRPr="00E57E4F" w:rsidRDefault="006E239F" w:rsidP="002B6EFF">
      <w:pPr>
        <w:pStyle w:val="Ttulo1"/>
        <w:spacing w:before="120"/>
      </w:pPr>
      <w:bookmarkStart w:id="0" w:name="_Toc171896151"/>
      <w:r>
        <w:lastRenderedPageBreak/>
        <w:t>1</w:t>
      </w:r>
      <w:r w:rsidR="003B133A">
        <w:t>.</w:t>
      </w:r>
      <w:r w:rsidR="002B6EFF">
        <w:t xml:space="preserve"> </w:t>
      </w:r>
      <w:r w:rsidR="00BE08EE" w:rsidRPr="00BE08EE">
        <w:t xml:space="preserve">Ato de </w:t>
      </w:r>
      <w:proofErr w:type="spellStart"/>
      <w:r w:rsidR="00BE08EE" w:rsidRPr="00BE08EE">
        <w:t>Inativação</w:t>
      </w:r>
      <w:proofErr w:type="spellEnd"/>
      <w:r w:rsidR="00BE08EE" w:rsidRPr="00BE08EE">
        <w:t xml:space="preserve">. Aposentadoria por idade. Cargo de professor. </w:t>
      </w:r>
      <w:proofErr w:type="spellStart"/>
      <w:r w:rsidR="00BE08EE" w:rsidRPr="00BE08EE">
        <w:t>Ausência</w:t>
      </w:r>
      <w:proofErr w:type="spellEnd"/>
      <w:r w:rsidR="00BE08EE" w:rsidRPr="00BE08EE">
        <w:t xml:space="preserve"> de CTC. Coordenadoria de </w:t>
      </w:r>
      <w:proofErr w:type="spellStart"/>
      <w:r w:rsidR="00BE08EE" w:rsidRPr="00BE08EE">
        <w:t>Gestão</w:t>
      </w:r>
      <w:proofErr w:type="spellEnd"/>
      <w:r w:rsidR="00BE08EE" w:rsidRPr="00BE08EE">
        <w:t xml:space="preserve"> Municipal pela negativa de registro. </w:t>
      </w:r>
      <w:proofErr w:type="spellStart"/>
      <w:r w:rsidR="00BE08EE" w:rsidRPr="00BE08EE">
        <w:t>Ministério</w:t>
      </w:r>
      <w:proofErr w:type="spellEnd"/>
      <w:r w:rsidR="00BE08EE" w:rsidRPr="00BE08EE">
        <w:t xml:space="preserve"> </w:t>
      </w:r>
      <w:proofErr w:type="spellStart"/>
      <w:r w:rsidR="00BE08EE" w:rsidRPr="00BE08EE">
        <w:t>Público</w:t>
      </w:r>
      <w:proofErr w:type="spellEnd"/>
      <w:r w:rsidR="00BE08EE" w:rsidRPr="00BE08EE">
        <w:t xml:space="preserve"> de Contas pelo registro à luz da Lei n.º 13.846/19. Pelo registro.</w:t>
      </w:r>
      <w:bookmarkEnd w:id="0"/>
      <w:r w:rsidR="00BE08EE" w:rsidRPr="00BE08EE">
        <w:t xml:space="preserve"> </w:t>
      </w:r>
    </w:p>
    <w:p w14:paraId="64F6789F" w14:textId="3D49714B" w:rsidR="00BE08EE" w:rsidRPr="00BE08EE" w:rsidRDefault="00BE08EE" w:rsidP="00260156">
      <w:pPr>
        <w:autoSpaceDE w:val="0"/>
        <w:autoSpaceDN w:val="0"/>
        <w:adjustRightInd w:val="0"/>
        <w:spacing w:after="0" w:line="240" w:lineRule="auto"/>
        <w:ind w:firstLine="567"/>
        <w:jc w:val="both"/>
        <w:rPr>
          <w:rFonts w:ascii="Arial" w:hAnsi="Arial" w:cs="Arial"/>
          <w:sz w:val="20"/>
          <w:szCs w:val="20"/>
        </w:rPr>
      </w:pPr>
      <w:r w:rsidRPr="00BE08EE">
        <w:rPr>
          <w:rFonts w:ascii="Arial" w:hAnsi="Arial" w:cs="Arial"/>
          <w:sz w:val="20"/>
          <w:szCs w:val="20"/>
        </w:rPr>
        <w:t xml:space="preserve">No que se refere à </w:t>
      </w:r>
      <w:proofErr w:type="spellStart"/>
      <w:r w:rsidRPr="00BE08EE">
        <w:rPr>
          <w:rFonts w:ascii="Arial" w:hAnsi="Arial" w:cs="Arial"/>
          <w:sz w:val="20"/>
          <w:szCs w:val="20"/>
        </w:rPr>
        <w:t>ausência</w:t>
      </w:r>
      <w:proofErr w:type="spellEnd"/>
      <w:r w:rsidRPr="00BE08EE">
        <w:rPr>
          <w:rFonts w:ascii="Arial" w:hAnsi="Arial" w:cs="Arial"/>
          <w:sz w:val="20"/>
          <w:szCs w:val="20"/>
        </w:rPr>
        <w:t xml:space="preserve"> da </w:t>
      </w:r>
      <w:proofErr w:type="spellStart"/>
      <w:r w:rsidRPr="00BE08EE">
        <w:rPr>
          <w:rFonts w:ascii="Arial" w:hAnsi="Arial" w:cs="Arial"/>
          <w:sz w:val="20"/>
          <w:szCs w:val="20"/>
        </w:rPr>
        <w:t>Certidão</w:t>
      </w:r>
      <w:proofErr w:type="spellEnd"/>
      <w:r w:rsidRPr="00BE08EE">
        <w:rPr>
          <w:rFonts w:ascii="Arial" w:hAnsi="Arial" w:cs="Arial"/>
          <w:sz w:val="20"/>
          <w:szCs w:val="20"/>
        </w:rPr>
        <w:t xml:space="preserve"> por Tempo de </w:t>
      </w:r>
      <w:proofErr w:type="spellStart"/>
      <w:r w:rsidRPr="00BE08EE">
        <w:rPr>
          <w:rFonts w:ascii="Arial" w:hAnsi="Arial" w:cs="Arial"/>
          <w:sz w:val="20"/>
          <w:szCs w:val="20"/>
        </w:rPr>
        <w:t>Contribuição</w:t>
      </w:r>
      <w:proofErr w:type="spellEnd"/>
      <w:r w:rsidRPr="00BE08EE">
        <w:rPr>
          <w:rFonts w:ascii="Arial" w:hAnsi="Arial" w:cs="Arial"/>
          <w:sz w:val="20"/>
          <w:szCs w:val="20"/>
        </w:rPr>
        <w:t xml:space="preserve"> (CTC) expedida pelo INSS, acompanho o opinativo ministerial pela possibilidade de registro do ato, ressaltando o advento da Lei n.</w:t>
      </w:r>
      <w:r>
        <w:rPr>
          <w:rFonts w:ascii="Arial" w:hAnsi="Arial" w:cs="Arial"/>
          <w:sz w:val="20"/>
          <w:szCs w:val="20"/>
        </w:rPr>
        <w:t>º</w:t>
      </w:r>
      <w:r w:rsidRPr="00BE08EE">
        <w:rPr>
          <w:rFonts w:ascii="Arial" w:hAnsi="Arial" w:cs="Arial"/>
          <w:sz w:val="20"/>
          <w:szCs w:val="20"/>
        </w:rPr>
        <w:t xml:space="preserve"> 13.846/193, que alterou a Lei </w:t>
      </w:r>
      <w:proofErr w:type="spellStart"/>
      <w:r w:rsidRPr="00BE08EE">
        <w:rPr>
          <w:rFonts w:ascii="Arial" w:hAnsi="Arial" w:cs="Arial"/>
          <w:sz w:val="20"/>
          <w:szCs w:val="20"/>
        </w:rPr>
        <w:t>n.o</w:t>
      </w:r>
      <w:proofErr w:type="spellEnd"/>
      <w:r w:rsidRPr="00BE08EE">
        <w:rPr>
          <w:rFonts w:ascii="Arial" w:hAnsi="Arial" w:cs="Arial"/>
          <w:sz w:val="20"/>
          <w:szCs w:val="20"/>
        </w:rPr>
        <w:t xml:space="preserve"> 8213/91. </w:t>
      </w:r>
    </w:p>
    <w:p w14:paraId="5E7E672B" w14:textId="5D246749" w:rsidR="00BE08EE" w:rsidRPr="00BE08EE" w:rsidRDefault="00BE08EE" w:rsidP="00260156">
      <w:pPr>
        <w:autoSpaceDE w:val="0"/>
        <w:autoSpaceDN w:val="0"/>
        <w:adjustRightInd w:val="0"/>
        <w:spacing w:after="120" w:line="240" w:lineRule="auto"/>
        <w:jc w:val="both"/>
        <w:rPr>
          <w:rFonts w:ascii="Arial" w:hAnsi="Arial" w:cs="Arial"/>
          <w:sz w:val="20"/>
          <w:szCs w:val="20"/>
        </w:rPr>
      </w:pPr>
      <w:r w:rsidRPr="00BE08EE">
        <w:rPr>
          <w:rFonts w:ascii="Arial" w:hAnsi="Arial" w:cs="Arial"/>
          <w:sz w:val="20"/>
          <w:szCs w:val="20"/>
        </w:rPr>
        <w:t>A Lei n.</w:t>
      </w:r>
      <w:r>
        <w:rPr>
          <w:rFonts w:ascii="Arial" w:hAnsi="Arial" w:cs="Arial"/>
          <w:sz w:val="20"/>
          <w:szCs w:val="20"/>
        </w:rPr>
        <w:t>º</w:t>
      </w:r>
      <w:r w:rsidRPr="00BE08EE">
        <w:rPr>
          <w:rFonts w:ascii="Arial" w:hAnsi="Arial" w:cs="Arial"/>
          <w:sz w:val="20"/>
          <w:szCs w:val="20"/>
        </w:rPr>
        <w:t xml:space="preserve"> 8213, de 1991, que </w:t>
      </w:r>
      <w:proofErr w:type="spellStart"/>
      <w:r w:rsidRPr="00BE08EE">
        <w:rPr>
          <w:rFonts w:ascii="Arial" w:hAnsi="Arial" w:cs="Arial"/>
          <w:sz w:val="20"/>
          <w:szCs w:val="20"/>
        </w:rPr>
        <w:t>dispõe</w:t>
      </w:r>
      <w:proofErr w:type="spellEnd"/>
      <w:r w:rsidRPr="00BE08EE">
        <w:rPr>
          <w:rFonts w:ascii="Arial" w:hAnsi="Arial" w:cs="Arial"/>
          <w:sz w:val="20"/>
          <w:szCs w:val="20"/>
        </w:rPr>
        <w:t xml:space="preserve"> sobre os planos de </w:t>
      </w:r>
      <w:proofErr w:type="spellStart"/>
      <w:r w:rsidRPr="00BE08EE">
        <w:rPr>
          <w:rFonts w:ascii="Arial" w:hAnsi="Arial" w:cs="Arial"/>
          <w:sz w:val="20"/>
          <w:szCs w:val="20"/>
        </w:rPr>
        <w:t>benefícios</w:t>
      </w:r>
      <w:proofErr w:type="spellEnd"/>
      <w:r w:rsidRPr="00BE08EE">
        <w:rPr>
          <w:rFonts w:ascii="Arial" w:hAnsi="Arial" w:cs="Arial"/>
          <w:sz w:val="20"/>
          <w:szCs w:val="20"/>
        </w:rPr>
        <w:t xml:space="preserve"> da </w:t>
      </w:r>
      <w:proofErr w:type="spellStart"/>
      <w:r w:rsidRPr="00BE08EE">
        <w:rPr>
          <w:rFonts w:ascii="Arial" w:hAnsi="Arial" w:cs="Arial"/>
          <w:sz w:val="20"/>
          <w:szCs w:val="20"/>
        </w:rPr>
        <w:t>Previdência</w:t>
      </w:r>
      <w:proofErr w:type="spellEnd"/>
      <w:r w:rsidRPr="00BE08EE">
        <w:rPr>
          <w:rFonts w:ascii="Arial" w:hAnsi="Arial" w:cs="Arial"/>
          <w:sz w:val="20"/>
          <w:szCs w:val="20"/>
        </w:rPr>
        <w:t xml:space="preserve"> Social, teve </w:t>
      </w:r>
      <w:proofErr w:type="spellStart"/>
      <w:r w:rsidRPr="00BE08EE">
        <w:rPr>
          <w:rFonts w:ascii="Arial" w:hAnsi="Arial" w:cs="Arial"/>
          <w:sz w:val="20"/>
          <w:szCs w:val="20"/>
        </w:rPr>
        <w:t>restrições</w:t>
      </w:r>
      <w:proofErr w:type="spellEnd"/>
      <w:r w:rsidRPr="00BE08EE">
        <w:rPr>
          <w:rFonts w:ascii="Arial" w:hAnsi="Arial" w:cs="Arial"/>
          <w:sz w:val="20"/>
          <w:szCs w:val="20"/>
        </w:rPr>
        <w:t xml:space="preserve"> impostas por meio da Lei n.</w:t>
      </w:r>
      <w:r>
        <w:rPr>
          <w:rFonts w:ascii="Arial" w:hAnsi="Arial" w:cs="Arial"/>
          <w:sz w:val="20"/>
          <w:szCs w:val="20"/>
        </w:rPr>
        <w:t>º</w:t>
      </w:r>
      <w:r w:rsidRPr="00BE08EE">
        <w:rPr>
          <w:rFonts w:ascii="Arial" w:hAnsi="Arial" w:cs="Arial"/>
          <w:sz w:val="20"/>
          <w:szCs w:val="20"/>
        </w:rPr>
        <w:t xml:space="preserve"> 13.846, de 2019, dentre elas, a constante do artigo 96, inciso VII: </w:t>
      </w:r>
    </w:p>
    <w:p w14:paraId="3248BCAE" w14:textId="19867879" w:rsidR="00BE08EE" w:rsidRPr="00BE08EE" w:rsidRDefault="00BE08EE" w:rsidP="00260156">
      <w:pPr>
        <w:autoSpaceDE w:val="0"/>
        <w:autoSpaceDN w:val="0"/>
        <w:adjustRightInd w:val="0"/>
        <w:spacing w:after="120" w:line="240" w:lineRule="auto"/>
        <w:jc w:val="both"/>
        <w:rPr>
          <w:rFonts w:ascii="Arial" w:hAnsi="Arial" w:cs="Arial"/>
          <w:sz w:val="20"/>
          <w:szCs w:val="20"/>
        </w:rPr>
      </w:pPr>
      <w:r>
        <w:rPr>
          <w:rFonts w:ascii="Arial" w:hAnsi="Arial" w:cs="Arial"/>
          <w:sz w:val="20"/>
          <w:szCs w:val="20"/>
        </w:rPr>
        <w:t>(</w:t>
      </w:r>
      <w:r w:rsidRPr="00BE08EE">
        <w:rPr>
          <w:rFonts w:ascii="Arial" w:hAnsi="Arial" w:cs="Arial"/>
          <w:sz w:val="20"/>
          <w:szCs w:val="20"/>
        </w:rPr>
        <w:t>...</w:t>
      </w:r>
      <w:r>
        <w:rPr>
          <w:rFonts w:ascii="Arial" w:hAnsi="Arial" w:cs="Arial"/>
          <w:sz w:val="20"/>
          <w:szCs w:val="20"/>
        </w:rPr>
        <w:t>)</w:t>
      </w:r>
    </w:p>
    <w:p w14:paraId="2B7B33CE" w14:textId="77777777" w:rsidR="00BE08EE" w:rsidRPr="00BE08EE" w:rsidRDefault="00BE08EE" w:rsidP="00260156">
      <w:pPr>
        <w:autoSpaceDE w:val="0"/>
        <w:autoSpaceDN w:val="0"/>
        <w:adjustRightInd w:val="0"/>
        <w:spacing w:after="0" w:line="240" w:lineRule="auto"/>
        <w:ind w:firstLine="567"/>
        <w:jc w:val="both"/>
        <w:rPr>
          <w:rFonts w:ascii="Arial" w:hAnsi="Arial" w:cs="Arial"/>
          <w:sz w:val="20"/>
          <w:szCs w:val="20"/>
        </w:rPr>
      </w:pPr>
      <w:r w:rsidRPr="00BE08EE">
        <w:rPr>
          <w:rFonts w:ascii="Arial" w:hAnsi="Arial" w:cs="Arial"/>
          <w:sz w:val="20"/>
          <w:szCs w:val="20"/>
        </w:rPr>
        <w:t xml:space="preserve">A referida </w:t>
      </w:r>
      <w:proofErr w:type="spellStart"/>
      <w:r w:rsidRPr="00BE08EE">
        <w:rPr>
          <w:rFonts w:ascii="Arial" w:hAnsi="Arial" w:cs="Arial"/>
          <w:sz w:val="20"/>
          <w:szCs w:val="20"/>
        </w:rPr>
        <w:t>modificação</w:t>
      </w:r>
      <w:proofErr w:type="spellEnd"/>
      <w:r w:rsidRPr="00BE08EE">
        <w:rPr>
          <w:rFonts w:ascii="Arial" w:hAnsi="Arial" w:cs="Arial"/>
          <w:sz w:val="20"/>
          <w:szCs w:val="20"/>
        </w:rPr>
        <w:t xml:space="preserve"> trouxe, a partir de </w:t>
      </w:r>
      <w:proofErr w:type="spellStart"/>
      <w:r w:rsidRPr="00BE08EE">
        <w:rPr>
          <w:rFonts w:ascii="Arial" w:hAnsi="Arial" w:cs="Arial"/>
          <w:sz w:val="20"/>
          <w:szCs w:val="20"/>
        </w:rPr>
        <w:t>então</w:t>
      </w:r>
      <w:proofErr w:type="spellEnd"/>
      <w:r w:rsidRPr="00BE08EE">
        <w:rPr>
          <w:rFonts w:ascii="Arial" w:hAnsi="Arial" w:cs="Arial"/>
          <w:sz w:val="20"/>
          <w:szCs w:val="20"/>
        </w:rPr>
        <w:t xml:space="preserve">, o cancelamento da </w:t>
      </w:r>
      <w:proofErr w:type="spellStart"/>
      <w:r w:rsidRPr="00BE08EE">
        <w:rPr>
          <w:rFonts w:ascii="Arial" w:hAnsi="Arial" w:cs="Arial"/>
          <w:sz w:val="20"/>
          <w:szCs w:val="20"/>
        </w:rPr>
        <w:t>averbação</w:t>
      </w:r>
      <w:proofErr w:type="spellEnd"/>
      <w:r w:rsidRPr="00BE08EE">
        <w:rPr>
          <w:rFonts w:ascii="Arial" w:hAnsi="Arial" w:cs="Arial"/>
          <w:sz w:val="20"/>
          <w:szCs w:val="20"/>
        </w:rPr>
        <w:t xml:space="preserve"> </w:t>
      </w:r>
      <w:proofErr w:type="spellStart"/>
      <w:r w:rsidRPr="00BE08EE">
        <w:rPr>
          <w:rFonts w:ascii="Arial" w:hAnsi="Arial" w:cs="Arial"/>
          <w:sz w:val="20"/>
          <w:szCs w:val="20"/>
        </w:rPr>
        <w:t>automática</w:t>
      </w:r>
      <w:proofErr w:type="spellEnd"/>
      <w:r w:rsidRPr="00BE08EE">
        <w:rPr>
          <w:rFonts w:ascii="Arial" w:hAnsi="Arial" w:cs="Arial"/>
          <w:sz w:val="20"/>
          <w:szCs w:val="20"/>
        </w:rPr>
        <w:t xml:space="preserve"> de tempo de </w:t>
      </w:r>
      <w:proofErr w:type="spellStart"/>
      <w:r w:rsidRPr="00BE08EE">
        <w:rPr>
          <w:rFonts w:ascii="Arial" w:hAnsi="Arial" w:cs="Arial"/>
          <w:sz w:val="20"/>
          <w:szCs w:val="20"/>
        </w:rPr>
        <w:t>contribuição</w:t>
      </w:r>
      <w:proofErr w:type="spellEnd"/>
      <w:r w:rsidRPr="00BE08EE">
        <w:rPr>
          <w:rFonts w:ascii="Arial" w:hAnsi="Arial" w:cs="Arial"/>
          <w:sz w:val="20"/>
          <w:szCs w:val="20"/>
        </w:rPr>
        <w:t xml:space="preserve"> para servidor </w:t>
      </w:r>
      <w:proofErr w:type="spellStart"/>
      <w:r w:rsidRPr="00BE08EE">
        <w:rPr>
          <w:rFonts w:ascii="Arial" w:hAnsi="Arial" w:cs="Arial"/>
          <w:sz w:val="20"/>
          <w:szCs w:val="20"/>
        </w:rPr>
        <w:t>público</w:t>
      </w:r>
      <w:proofErr w:type="spellEnd"/>
      <w:r w:rsidRPr="00BE08EE">
        <w:rPr>
          <w:rFonts w:ascii="Arial" w:hAnsi="Arial" w:cs="Arial"/>
          <w:sz w:val="20"/>
          <w:szCs w:val="20"/>
        </w:rPr>
        <w:t xml:space="preserve">, antes admitida no caso de tempo de </w:t>
      </w:r>
      <w:proofErr w:type="spellStart"/>
      <w:r w:rsidRPr="00BE08EE">
        <w:rPr>
          <w:rFonts w:ascii="Arial" w:hAnsi="Arial" w:cs="Arial"/>
          <w:sz w:val="20"/>
          <w:szCs w:val="20"/>
        </w:rPr>
        <w:t>contribuição</w:t>
      </w:r>
      <w:proofErr w:type="spellEnd"/>
      <w:r w:rsidRPr="00BE08EE">
        <w:rPr>
          <w:rFonts w:ascii="Arial" w:hAnsi="Arial" w:cs="Arial"/>
          <w:sz w:val="20"/>
          <w:szCs w:val="20"/>
        </w:rPr>
        <w:t xml:space="preserve"> ao RGPS prestado pelo servidor </w:t>
      </w:r>
      <w:proofErr w:type="spellStart"/>
      <w:r w:rsidRPr="00BE08EE">
        <w:rPr>
          <w:rFonts w:ascii="Arial" w:hAnsi="Arial" w:cs="Arial"/>
          <w:sz w:val="20"/>
          <w:szCs w:val="20"/>
        </w:rPr>
        <w:t>público</w:t>
      </w:r>
      <w:proofErr w:type="spellEnd"/>
      <w:r w:rsidRPr="00BE08EE">
        <w:rPr>
          <w:rFonts w:ascii="Arial" w:hAnsi="Arial" w:cs="Arial"/>
          <w:sz w:val="20"/>
          <w:szCs w:val="20"/>
        </w:rPr>
        <w:t xml:space="preserve"> com </w:t>
      </w:r>
      <w:proofErr w:type="spellStart"/>
      <w:r w:rsidRPr="00BE08EE">
        <w:rPr>
          <w:rFonts w:ascii="Arial" w:hAnsi="Arial" w:cs="Arial"/>
          <w:sz w:val="20"/>
          <w:szCs w:val="20"/>
        </w:rPr>
        <w:t>vínculo</w:t>
      </w:r>
      <w:proofErr w:type="spellEnd"/>
      <w:r w:rsidRPr="00BE08EE">
        <w:rPr>
          <w:rFonts w:ascii="Arial" w:hAnsi="Arial" w:cs="Arial"/>
          <w:sz w:val="20"/>
          <w:szCs w:val="20"/>
        </w:rPr>
        <w:t xml:space="preserve"> funcional ao </w:t>
      </w:r>
      <w:proofErr w:type="spellStart"/>
      <w:r w:rsidRPr="00BE08EE">
        <w:rPr>
          <w:rFonts w:ascii="Arial" w:hAnsi="Arial" w:cs="Arial"/>
          <w:sz w:val="20"/>
          <w:szCs w:val="20"/>
        </w:rPr>
        <w:t>próprio</w:t>
      </w:r>
      <w:proofErr w:type="spellEnd"/>
      <w:r w:rsidRPr="00BE08EE">
        <w:rPr>
          <w:rFonts w:ascii="Arial" w:hAnsi="Arial" w:cs="Arial"/>
          <w:sz w:val="20"/>
          <w:szCs w:val="20"/>
        </w:rPr>
        <w:t xml:space="preserve"> ente instituidor. </w:t>
      </w:r>
    </w:p>
    <w:p w14:paraId="307F4273" w14:textId="77777777" w:rsidR="00BE08EE" w:rsidRPr="00BE08EE" w:rsidRDefault="00BE08EE" w:rsidP="00BE08EE">
      <w:pPr>
        <w:autoSpaceDE w:val="0"/>
        <w:autoSpaceDN w:val="0"/>
        <w:adjustRightInd w:val="0"/>
        <w:spacing w:after="120" w:line="240" w:lineRule="auto"/>
        <w:jc w:val="both"/>
        <w:rPr>
          <w:rFonts w:ascii="Arial" w:hAnsi="Arial" w:cs="Arial"/>
          <w:sz w:val="20"/>
          <w:szCs w:val="20"/>
        </w:rPr>
      </w:pPr>
      <w:r w:rsidRPr="00BE08EE">
        <w:rPr>
          <w:rFonts w:ascii="Arial" w:hAnsi="Arial" w:cs="Arial"/>
          <w:sz w:val="20"/>
          <w:szCs w:val="20"/>
        </w:rPr>
        <w:t xml:space="preserve">Especificamente quanto à </w:t>
      </w:r>
      <w:proofErr w:type="spellStart"/>
      <w:r w:rsidRPr="00BE08EE">
        <w:rPr>
          <w:rFonts w:ascii="Arial" w:hAnsi="Arial" w:cs="Arial"/>
          <w:sz w:val="20"/>
          <w:szCs w:val="20"/>
        </w:rPr>
        <w:t>emissão</w:t>
      </w:r>
      <w:proofErr w:type="spellEnd"/>
      <w:r w:rsidRPr="00BE08EE">
        <w:rPr>
          <w:rFonts w:ascii="Arial" w:hAnsi="Arial" w:cs="Arial"/>
          <w:sz w:val="20"/>
          <w:szCs w:val="20"/>
        </w:rPr>
        <w:t xml:space="preserve"> da </w:t>
      </w:r>
      <w:proofErr w:type="spellStart"/>
      <w:r w:rsidRPr="00BE08EE">
        <w:rPr>
          <w:rFonts w:ascii="Arial" w:hAnsi="Arial" w:cs="Arial"/>
          <w:sz w:val="20"/>
          <w:szCs w:val="20"/>
        </w:rPr>
        <w:t>Certidão</w:t>
      </w:r>
      <w:proofErr w:type="spellEnd"/>
      <w:r w:rsidRPr="00BE08EE">
        <w:rPr>
          <w:rFonts w:ascii="Arial" w:hAnsi="Arial" w:cs="Arial"/>
          <w:sz w:val="20"/>
          <w:szCs w:val="20"/>
        </w:rPr>
        <w:t xml:space="preserve"> por Tempo de </w:t>
      </w:r>
      <w:proofErr w:type="spellStart"/>
      <w:r w:rsidRPr="00BE08EE">
        <w:rPr>
          <w:rFonts w:ascii="Arial" w:hAnsi="Arial" w:cs="Arial"/>
          <w:sz w:val="20"/>
          <w:szCs w:val="20"/>
        </w:rPr>
        <w:t>Contribuição</w:t>
      </w:r>
      <w:proofErr w:type="spellEnd"/>
      <w:r w:rsidRPr="00BE08EE">
        <w:rPr>
          <w:rFonts w:ascii="Arial" w:hAnsi="Arial" w:cs="Arial"/>
          <w:sz w:val="20"/>
          <w:szCs w:val="20"/>
        </w:rPr>
        <w:t xml:space="preserve"> (CTC) pelo INSS, </w:t>
      </w:r>
      <w:proofErr w:type="spellStart"/>
      <w:r w:rsidRPr="00BE08EE">
        <w:rPr>
          <w:rFonts w:ascii="Arial" w:hAnsi="Arial" w:cs="Arial"/>
          <w:sz w:val="20"/>
          <w:szCs w:val="20"/>
        </w:rPr>
        <w:t>após</w:t>
      </w:r>
      <w:proofErr w:type="spellEnd"/>
      <w:r w:rsidRPr="00BE08EE">
        <w:rPr>
          <w:rFonts w:ascii="Arial" w:hAnsi="Arial" w:cs="Arial"/>
          <w:sz w:val="20"/>
          <w:szCs w:val="20"/>
        </w:rPr>
        <w:t xml:space="preserve"> o advento da nova lei, a Subsecretaria dos Regimes </w:t>
      </w:r>
      <w:proofErr w:type="spellStart"/>
      <w:r w:rsidRPr="00BE08EE">
        <w:rPr>
          <w:rFonts w:ascii="Arial" w:hAnsi="Arial" w:cs="Arial"/>
          <w:sz w:val="20"/>
          <w:szCs w:val="20"/>
        </w:rPr>
        <w:t>Próprios</w:t>
      </w:r>
      <w:proofErr w:type="spellEnd"/>
      <w:r w:rsidRPr="00BE08EE">
        <w:rPr>
          <w:rFonts w:ascii="Arial" w:hAnsi="Arial" w:cs="Arial"/>
          <w:sz w:val="20"/>
          <w:szCs w:val="20"/>
        </w:rPr>
        <w:t xml:space="preserve"> de </w:t>
      </w:r>
      <w:proofErr w:type="spellStart"/>
      <w:r w:rsidRPr="00BE08EE">
        <w:rPr>
          <w:rFonts w:ascii="Arial" w:hAnsi="Arial" w:cs="Arial"/>
          <w:sz w:val="20"/>
          <w:szCs w:val="20"/>
        </w:rPr>
        <w:t>Previdência</w:t>
      </w:r>
      <w:proofErr w:type="spellEnd"/>
      <w:r w:rsidRPr="00BE08EE">
        <w:rPr>
          <w:rFonts w:ascii="Arial" w:hAnsi="Arial" w:cs="Arial"/>
          <w:sz w:val="20"/>
          <w:szCs w:val="20"/>
        </w:rPr>
        <w:t xml:space="preserve"> Social emitiu a Nota Informativa SEI </w:t>
      </w:r>
      <w:proofErr w:type="spellStart"/>
      <w:r w:rsidRPr="00BE08EE">
        <w:rPr>
          <w:rFonts w:ascii="Arial" w:hAnsi="Arial" w:cs="Arial"/>
          <w:sz w:val="20"/>
          <w:szCs w:val="20"/>
        </w:rPr>
        <w:t>n.o</w:t>
      </w:r>
      <w:proofErr w:type="spellEnd"/>
      <w:r w:rsidRPr="00BE08EE">
        <w:rPr>
          <w:rFonts w:ascii="Arial" w:hAnsi="Arial" w:cs="Arial"/>
          <w:sz w:val="20"/>
          <w:szCs w:val="20"/>
        </w:rPr>
        <w:t xml:space="preserve"> 2/2019/CONOR/CGNAL/SRPPS/SPREV/SEPRT-ME4, esclarecendo que: </w:t>
      </w:r>
    </w:p>
    <w:p w14:paraId="1D24FCBD" w14:textId="77777777" w:rsidR="00BE08EE" w:rsidRPr="00BE08EE" w:rsidRDefault="00BE08EE" w:rsidP="00BE08EE">
      <w:pPr>
        <w:autoSpaceDE w:val="0"/>
        <w:autoSpaceDN w:val="0"/>
        <w:adjustRightInd w:val="0"/>
        <w:spacing w:after="0" w:line="240" w:lineRule="auto"/>
        <w:ind w:left="1134"/>
        <w:jc w:val="both"/>
        <w:rPr>
          <w:rFonts w:ascii="Arial" w:hAnsi="Arial" w:cs="Arial"/>
          <w:sz w:val="20"/>
          <w:szCs w:val="20"/>
        </w:rPr>
      </w:pPr>
      <w:r w:rsidRPr="00BE08EE">
        <w:rPr>
          <w:rFonts w:ascii="Arial" w:hAnsi="Arial" w:cs="Arial"/>
          <w:sz w:val="20"/>
          <w:szCs w:val="20"/>
        </w:rPr>
        <w:t xml:space="preserve">11. Entretanto, o tempo </w:t>
      </w:r>
      <w:proofErr w:type="spellStart"/>
      <w:r w:rsidRPr="00BE08EE">
        <w:rPr>
          <w:rFonts w:ascii="Arial" w:hAnsi="Arial" w:cs="Arial"/>
          <w:sz w:val="20"/>
          <w:szCs w:val="20"/>
        </w:rPr>
        <w:t>ja</w:t>
      </w:r>
      <w:proofErr w:type="spellEnd"/>
      <w:r w:rsidRPr="00BE08EE">
        <w:rPr>
          <w:rFonts w:ascii="Arial" w:hAnsi="Arial" w:cs="Arial"/>
          <w:sz w:val="20"/>
          <w:szCs w:val="20"/>
        </w:rPr>
        <w:t xml:space="preserve">́ regularmente reconhecido e averbado pelos RPPS até a </w:t>
      </w:r>
      <w:proofErr w:type="spellStart"/>
      <w:r w:rsidRPr="00BE08EE">
        <w:rPr>
          <w:rFonts w:ascii="Arial" w:hAnsi="Arial" w:cs="Arial"/>
          <w:sz w:val="20"/>
          <w:szCs w:val="20"/>
        </w:rPr>
        <w:t>edição</w:t>
      </w:r>
      <w:proofErr w:type="spellEnd"/>
      <w:r w:rsidRPr="00BE08EE">
        <w:rPr>
          <w:rFonts w:ascii="Arial" w:hAnsi="Arial" w:cs="Arial"/>
          <w:sz w:val="20"/>
          <w:szCs w:val="20"/>
        </w:rPr>
        <w:t xml:space="preserve"> da MP n° 871/2019, conforme </w:t>
      </w:r>
      <w:proofErr w:type="spellStart"/>
      <w:r w:rsidRPr="00BE08EE">
        <w:rPr>
          <w:rFonts w:ascii="Arial" w:hAnsi="Arial" w:cs="Arial"/>
          <w:sz w:val="20"/>
          <w:szCs w:val="20"/>
        </w:rPr>
        <w:t>previsões</w:t>
      </w:r>
      <w:proofErr w:type="spellEnd"/>
      <w:r w:rsidRPr="00BE08EE">
        <w:rPr>
          <w:rFonts w:ascii="Arial" w:hAnsi="Arial" w:cs="Arial"/>
          <w:sz w:val="20"/>
          <w:szCs w:val="20"/>
        </w:rPr>
        <w:t xml:space="preserve"> anteriores das </w:t>
      </w:r>
      <w:proofErr w:type="spellStart"/>
      <w:r w:rsidRPr="00BE08EE">
        <w:rPr>
          <w:rFonts w:ascii="Arial" w:hAnsi="Arial" w:cs="Arial"/>
          <w:sz w:val="20"/>
          <w:szCs w:val="20"/>
        </w:rPr>
        <w:t>Instruções</w:t>
      </w:r>
      <w:proofErr w:type="spellEnd"/>
      <w:r w:rsidRPr="00BE08EE">
        <w:rPr>
          <w:rFonts w:ascii="Arial" w:hAnsi="Arial" w:cs="Arial"/>
          <w:sz w:val="20"/>
          <w:szCs w:val="20"/>
        </w:rPr>
        <w:t xml:space="preserve"> Normativas do INSS e do Decreto n° 3.112/1999, </w:t>
      </w:r>
      <w:proofErr w:type="spellStart"/>
      <w:r w:rsidRPr="00BE08EE">
        <w:rPr>
          <w:rFonts w:ascii="Arial" w:hAnsi="Arial" w:cs="Arial"/>
          <w:sz w:val="20"/>
          <w:szCs w:val="20"/>
        </w:rPr>
        <w:t>podera</w:t>
      </w:r>
      <w:proofErr w:type="spellEnd"/>
      <w:r w:rsidRPr="00BE08EE">
        <w:rPr>
          <w:rFonts w:ascii="Arial" w:hAnsi="Arial" w:cs="Arial"/>
          <w:sz w:val="20"/>
          <w:szCs w:val="20"/>
        </w:rPr>
        <w:t xml:space="preserve">́ ser objeto de contagem e </w:t>
      </w:r>
      <w:proofErr w:type="spellStart"/>
      <w:r w:rsidRPr="00BE08EE">
        <w:rPr>
          <w:rFonts w:ascii="Arial" w:hAnsi="Arial" w:cs="Arial"/>
          <w:sz w:val="20"/>
          <w:szCs w:val="20"/>
        </w:rPr>
        <w:t>concessão</w:t>
      </w:r>
      <w:proofErr w:type="spellEnd"/>
      <w:r w:rsidRPr="00BE08EE">
        <w:rPr>
          <w:rFonts w:ascii="Arial" w:hAnsi="Arial" w:cs="Arial"/>
          <w:sz w:val="20"/>
          <w:szCs w:val="20"/>
        </w:rPr>
        <w:t xml:space="preserve"> de </w:t>
      </w:r>
      <w:proofErr w:type="spellStart"/>
      <w:r w:rsidRPr="00BE08EE">
        <w:rPr>
          <w:rFonts w:ascii="Arial" w:hAnsi="Arial" w:cs="Arial"/>
          <w:sz w:val="20"/>
          <w:szCs w:val="20"/>
        </w:rPr>
        <w:t>benefícios</w:t>
      </w:r>
      <w:proofErr w:type="spellEnd"/>
      <w:r w:rsidRPr="00BE08EE">
        <w:rPr>
          <w:rFonts w:ascii="Arial" w:hAnsi="Arial" w:cs="Arial"/>
          <w:sz w:val="20"/>
          <w:szCs w:val="20"/>
        </w:rPr>
        <w:t xml:space="preserve">, bem como de requerimento de </w:t>
      </w:r>
      <w:proofErr w:type="spellStart"/>
      <w:r w:rsidRPr="00BE08EE">
        <w:rPr>
          <w:rFonts w:ascii="Arial" w:hAnsi="Arial" w:cs="Arial"/>
          <w:sz w:val="20"/>
          <w:szCs w:val="20"/>
        </w:rPr>
        <w:t>compensação</w:t>
      </w:r>
      <w:proofErr w:type="spellEnd"/>
      <w:r w:rsidRPr="00BE08EE">
        <w:rPr>
          <w:rFonts w:ascii="Arial" w:hAnsi="Arial" w:cs="Arial"/>
          <w:sz w:val="20"/>
          <w:szCs w:val="20"/>
        </w:rPr>
        <w:t xml:space="preserve"> financeira, sem a necessidade de </w:t>
      </w:r>
      <w:proofErr w:type="spellStart"/>
      <w:r w:rsidRPr="00BE08EE">
        <w:rPr>
          <w:rFonts w:ascii="Arial" w:hAnsi="Arial" w:cs="Arial"/>
          <w:sz w:val="20"/>
          <w:szCs w:val="20"/>
        </w:rPr>
        <w:t>emissão</w:t>
      </w:r>
      <w:proofErr w:type="spellEnd"/>
      <w:r w:rsidRPr="00BE08EE">
        <w:rPr>
          <w:rFonts w:ascii="Arial" w:hAnsi="Arial" w:cs="Arial"/>
          <w:sz w:val="20"/>
          <w:szCs w:val="20"/>
        </w:rPr>
        <w:t xml:space="preserve"> de CTC pelo INSS, desde que observados os requisitos exigidos à </w:t>
      </w:r>
      <w:proofErr w:type="spellStart"/>
      <w:r w:rsidRPr="00BE08EE">
        <w:rPr>
          <w:rFonts w:ascii="Arial" w:hAnsi="Arial" w:cs="Arial"/>
          <w:sz w:val="20"/>
          <w:szCs w:val="20"/>
        </w:rPr>
        <w:t>época</w:t>
      </w:r>
      <w:proofErr w:type="spellEnd"/>
      <w:r w:rsidRPr="00BE08EE">
        <w:rPr>
          <w:rFonts w:ascii="Arial" w:hAnsi="Arial" w:cs="Arial"/>
          <w:sz w:val="20"/>
          <w:szCs w:val="20"/>
        </w:rPr>
        <w:t xml:space="preserve">, </w:t>
      </w:r>
      <w:proofErr w:type="spellStart"/>
      <w:r w:rsidRPr="00BE08EE">
        <w:rPr>
          <w:rFonts w:ascii="Arial" w:hAnsi="Arial" w:cs="Arial"/>
          <w:sz w:val="20"/>
          <w:szCs w:val="20"/>
        </w:rPr>
        <w:t>ja</w:t>
      </w:r>
      <w:proofErr w:type="spellEnd"/>
      <w:r w:rsidRPr="00BE08EE">
        <w:rPr>
          <w:rFonts w:ascii="Arial" w:hAnsi="Arial" w:cs="Arial"/>
          <w:sz w:val="20"/>
          <w:szCs w:val="20"/>
        </w:rPr>
        <w:t xml:space="preserve">́ que foram obedecidas as normas vigentes no </w:t>
      </w:r>
      <w:proofErr w:type="spellStart"/>
      <w:r w:rsidRPr="00BE08EE">
        <w:rPr>
          <w:rFonts w:ascii="Arial" w:hAnsi="Arial" w:cs="Arial"/>
          <w:sz w:val="20"/>
          <w:szCs w:val="20"/>
        </w:rPr>
        <w:t>âmbito</w:t>
      </w:r>
      <w:proofErr w:type="spellEnd"/>
      <w:r w:rsidRPr="00BE08EE">
        <w:rPr>
          <w:rFonts w:ascii="Arial" w:hAnsi="Arial" w:cs="Arial"/>
          <w:sz w:val="20"/>
          <w:szCs w:val="20"/>
        </w:rPr>
        <w:t xml:space="preserve"> do RGPS quando da </w:t>
      </w:r>
      <w:proofErr w:type="spellStart"/>
      <w:r w:rsidRPr="00BE08EE">
        <w:rPr>
          <w:rFonts w:ascii="Arial" w:hAnsi="Arial" w:cs="Arial"/>
          <w:sz w:val="20"/>
          <w:szCs w:val="20"/>
        </w:rPr>
        <w:t>realização</w:t>
      </w:r>
      <w:proofErr w:type="spellEnd"/>
      <w:r w:rsidRPr="00BE08EE">
        <w:rPr>
          <w:rFonts w:ascii="Arial" w:hAnsi="Arial" w:cs="Arial"/>
          <w:sz w:val="20"/>
          <w:szCs w:val="20"/>
        </w:rPr>
        <w:t xml:space="preserve"> da </w:t>
      </w:r>
      <w:proofErr w:type="spellStart"/>
      <w:r w:rsidRPr="00BE08EE">
        <w:rPr>
          <w:rFonts w:ascii="Arial" w:hAnsi="Arial" w:cs="Arial"/>
          <w:sz w:val="20"/>
          <w:szCs w:val="20"/>
        </w:rPr>
        <w:t>averbação</w:t>
      </w:r>
      <w:proofErr w:type="spellEnd"/>
      <w:r w:rsidRPr="00BE08EE">
        <w:rPr>
          <w:rFonts w:ascii="Arial" w:hAnsi="Arial" w:cs="Arial"/>
          <w:sz w:val="20"/>
          <w:szCs w:val="20"/>
        </w:rPr>
        <w:t xml:space="preserve">. Portanto, a </w:t>
      </w:r>
      <w:proofErr w:type="spellStart"/>
      <w:r w:rsidRPr="00BE08EE">
        <w:rPr>
          <w:rFonts w:ascii="Arial" w:hAnsi="Arial" w:cs="Arial"/>
          <w:sz w:val="20"/>
          <w:szCs w:val="20"/>
        </w:rPr>
        <w:t>vedação</w:t>
      </w:r>
      <w:proofErr w:type="spellEnd"/>
      <w:r w:rsidRPr="00BE08EE">
        <w:rPr>
          <w:rFonts w:ascii="Arial" w:hAnsi="Arial" w:cs="Arial"/>
          <w:sz w:val="20"/>
          <w:szCs w:val="20"/>
        </w:rPr>
        <w:t xml:space="preserve"> de </w:t>
      </w:r>
      <w:proofErr w:type="spellStart"/>
      <w:r w:rsidRPr="00BE08EE">
        <w:rPr>
          <w:rFonts w:ascii="Arial" w:hAnsi="Arial" w:cs="Arial"/>
          <w:sz w:val="20"/>
          <w:szCs w:val="20"/>
        </w:rPr>
        <w:t>averbação</w:t>
      </w:r>
      <w:proofErr w:type="spellEnd"/>
      <w:r w:rsidRPr="00BE08EE">
        <w:rPr>
          <w:rFonts w:ascii="Arial" w:hAnsi="Arial" w:cs="Arial"/>
          <w:sz w:val="20"/>
          <w:szCs w:val="20"/>
        </w:rPr>
        <w:t xml:space="preserve"> </w:t>
      </w:r>
      <w:proofErr w:type="spellStart"/>
      <w:r w:rsidRPr="00BE08EE">
        <w:rPr>
          <w:rFonts w:ascii="Arial" w:hAnsi="Arial" w:cs="Arial"/>
          <w:sz w:val="20"/>
          <w:szCs w:val="20"/>
        </w:rPr>
        <w:t>automática</w:t>
      </w:r>
      <w:proofErr w:type="spellEnd"/>
      <w:r w:rsidRPr="00BE08EE">
        <w:rPr>
          <w:rFonts w:ascii="Arial" w:hAnsi="Arial" w:cs="Arial"/>
          <w:sz w:val="20"/>
          <w:szCs w:val="20"/>
        </w:rPr>
        <w:t xml:space="preserve"> produzirá efeitos apenas para o futuro, a partir da </w:t>
      </w:r>
      <w:proofErr w:type="spellStart"/>
      <w:r w:rsidRPr="00BE08EE">
        <w:rPr>
          <w:rFonts w:ascii="Arial" w:hAnsi="Arial" w:cs="Arial"/>
          <w:sz w:val="20"/>
          <w:szCs w:val="20"/>
        </w:rPr>
        <w:t>vigência</w:t>
      </w:r>
      <w:proofErr w:type="spellEnd"/>
      <w:r w:rsidRPr="00BE08EE">
        <w:rPr>
          <w:rFonts w:ascii="Arial" w:hAnsi="Arial" w:cs="Arial"/>
          <w:sz w:val="20"/>
          <w:szCs w:val="20"/>
        </w:rPr>
        <w:t xml:space="preserve"> da referida Medida </w:t>
      </w:r>
      <w:proofErr w:type="spellStart"/>
      <w:r w:rsidRPr="00BE08EE">
        <w:rPr>
          <w:rFonts w:ascii="Arial" w:hAnsi="Arial" w:cs="Arial"/>
          <w:sz w:val="20"/>
          <w:szCs w:val="20"/>
        </w:rPr>
        <w:t>Provisória</w:t>
      </w:r>
      <w:proofErr w:type="spellEnd"/>
      <w:r w:rsidRPr="00BE08EE">
        <w:rPr>
          <w:rFonts w:ascii="Arial" w:hAnsi="Arial" w:cs="Arial"/>
          <w:sz w:val="20"/>
          <w:szCs w:val="20"/>
        </w:rPr>
        <w:t xml:space="preserve"> (que foi publicada no </w:t>
      </w:r>
      <w:proofErr w:type="spellStart"/>
      <w:r w:rsidRPr="00BE08EE">
        <w:rPr>
          <w:rFonts w:ascii="Arial" w:hAnsi="Arial" w:cs="Arial"/>
          <w:sz w:val="20"/>
          <w:szCs w:val="20"/>
        </w:rPr>
        <w:t>Diário</w:t>
      </w:r>
      <w:proofErr w:type="spellEnd"/>
      <w:r w:rsidRPr="00BE08EE">
        <w:rPr>
          <w:rFonts w:ascii="Arial" w:hAnsi="Arial" w:cs="Arial"/>
          <w:sz w:val="20"/>
          <w:szCs w:val="20"/>
        </w:rPr>
        <w:t xml:space="preserve"> Oficial da </w:t>
      </w:r>
      <w:proofErr w:type="spellStart"/>
      <w:r w:rsidRPr="00BE08EE">
        <w:rPr>
          <w:rFonts w:ascii="Arial" w:hAnsi="Arial" w:cs="Arial"/>
          <w:sz w:val="20"/>
          <w:szCs w:val="20"/>
        </w:rPr>
        <w:t>União</w:t>
      </w:r>
      <w:proofErr w:type="spellEnd"/>
      <w:r w:rsidRPr="00BE08EE">
        <w:rPr>
          <w:rFonts w:ascii="Arial" w:hAnsi="Arial" w:cs="Arial"/>
          <w:sz w:val="20"/>
          <w:szCs w:val="20"/>
        </w:rPr>
        <w:t xml:space="preserve"> em 18/01/2019). (sem grifos no original) </w:t>
      </w:r>
    </w:p>
    <w:p w14:paraId="7182428C" w14:textId="657F25F0" w:rsidR="002B6EFF" w:rsidRPr="0091590B" w:rsidRDefault="00BE08EE" w:rsidP="00260156">
      <w:pPr>
        <w:autoSpaceDE w:val="0"/>
        <w:autoSpaceDN w:val="0"/>
        <w:adjustRightInd w:val="0"/>
        <w:spacing w:before="120" w:after="120" w:line="240" w:lineRule="auto"/>
        <w:ind w:firstLine="567"/>
        <w:jc w:val="both"/>
        <w:rPr>
          <w:rFonts w:ascii="Arial" w:hAnsi="Arial" w:cs="Arial"/>
          <w:sz w:val="20"/>
          <w:szCs w:val="20"/>
        </w:rPr>
      </w:pPr>
      <w:r w:rsidRPr="00BE08EE">
        <w:rPr>
          <w:rFonts w:ascii="Arial" w:hAnsi="Arial" w:cs="Arial"/>
          <w:sz w:val="20"/>
          <w:szCs w:val="20"/>
        </w:rPr>
        <w:t xml:space="preserve">No presente caso, portanto, conforme defendido pela entidade </w:t>
      </w:r>
      <w:proofErr w:type="spellStart"/>
      <w:r w:rsidRPr="00BE08EE">
        <w:rPr>
          <w:rFonts w:ascii="Arial" w:hAnsi="Arial" w:cs="Arial"/>
          <w:sz w:val="20"/>
          <w:szCs w:val="20"/>
        </w:rPr>
        <w:t>previdenciária</w:t>
      </w:r>
      <w:proofErr w:type="spellEnd"/>
      <w:r w:rsidRPr="00BE08EE">
        <w:rPr>
          <w:rFonts w:ascii="Arial" w:hAnsi="Arial" w:cs="Arial"/>
          <w:sz w:val="20"/>
          <w:szCs w:val="20"/>
        </w:rPr>
        <w:t xml:space="preserve">, o tempo de </w:t>
      </w:r>
      <w:proofErr w:type="spellStart"/>
      <w:r w:rsidRPr="00BE08EE">
        <w:rPr>
          <w:rFonts w:ascii="Arial" w:hAnsi="Arial" w:cs="Arial"/>
          <w:sz w:val="20"/>
          <w:szCs w:val="20"/>
        </w:rPr>
        <w:t>contribuição</w:t>
      </w:r>
      <w:proofErr w:type="spellEnd"/>
      <w:r w:rsidRPr="00BE08EE">
        <w:rPr>
          <w:rFonts w:ascii="Arial" w:hAnsi="Arial" w:cs="Arial"/>
          <w:sz w:val="20"/>
          <w:szCs w:val="20"/>
        </w:rPr>
        <w:t xml:space="preserve"> da servidora, regularmente averbado pelo </w:t>
      </w:r>
      <w:proofErr w:type="spellStart"/>
      <w:r w:rsidRPr="00BE08EE">
        <w:rPr>
          <w:rFonts w:ascii="Arial" w:hAnsi="Arial" w:cs="Arial"/>
          <w:sz w:val="20"/>
          <w:szCs w:val="20"/>
        </w:rPr>
        <w:t>município</w:t>
      </w:r>
      <w:proofErr w:type="spellEnd"/>
      <w:r w:rsidRPr="00BE08EE">
        <w:rPr>
          <w:rFonts w:ascii="Arial" w:hAnsi="Arial" w:cs="Arial"/>
          <w:sz w:val="20"/>
          <w:szCs w:val="20"/>
        </w:rPr>
        <w:t xml:space="preserve"> pode ser objeto de contagem e </w:t>
      </w:r>
      <w:proofErr w:type="spellStart"/>
      <w:r w:rsidRPr="00BE08EE">
        <w:rPr>
          <w:rFonts w:ascii="Arial" w:hAnsi="Arial" w:cs="Arial"/>
          <w:sz w:val="20"/>
          <w:szCs w:val="20"/>
        </w:rPr>
        <w:t>concessão</w:t>
      </w:r>
      <w:proofErr w:type="spellEnd"/>
      <w:r w:rsidRPr="00BE08EE">
        <w:rPr>
          <w:rFonts w:ascii="Arial" w:hAnsi="Arial" w:cs="Arial"/>
          <w:sz w:val="20"/>
          <w:szCs w:val="20"/>
        </w:rPr>
        <w:t xml:space="preserve"> de </w:t>
      </w:r>
      <w:proofErr w:type="spellStart"/>
      <w:r w:rsidRPr="00BE08EE">
        <w:rPr>
          <w:rFonts w:ascii="Arial" w:hAnsi="Arial" w:cs="Arial"/>
          <w:sz w:val="20"/>
          <w:szCs w:val="20"/>
        </w:rPr>
        <w:t>benefício</w:t>
      </w:r>
      <w:proofErr w:type="spellEnd"/>
      <w:r w:rsidRPr="00BE08EE">
        <w:rPr>
          <w:rFonts w:ascii="Arial" w:hAnsi="Arial" w:cs="Arial"/>
          <w:sz w:val="20"/>
          <w:szCs w:val="20"/>
        </w:rPr>
        <w:t xml:space="preserve">, sem a necessidade de </w:t>
      </w:r>
      <w:proofErr w:type="spellStart"/>
      <w:r w:rsidRPr="00BE08EE">
        <w:rPr>
          <w:rFonts w:ascii="Arial" w:hAnsi="Arial" w:cs="Arial"/>
          <w:sz w:val="20"/>
          <w:szCs w:val="20"/>
        </w:rPr>
        <w:t>apresentação</w:t>
      </w:r>
      <w:proofErr w:type="spellEnd"/>
      <w:r w:rsidRPr="00BE08EE">
        <w:rPr>
          <w:rFonts w:ascii="Arial" w:hAnsi="Arial" w:cs="Arial"/>
          <w:sz w:val="20"/>
          <w:szCs w:val="20"/>
        </w:rPr>
        <w:t xml:space="preserve"> da </w:t>
      </w:r>
      <w:proofErr w:type="spellStart"/>
      <w:r w:rsidRPr="00BE08EE">
        <w:rPr>
          <w:rFonts w:ascii="Arial" w:hAnsi="Arial" w:cs="Arial"/>
          <w:sz w:val="20"/>
          <w:szCs w:val="20"/>
        </w:rPr>
        <w:t>Certidão</w:t>
      </w:r>
      <w:proofErr w:type="spellEnd"/>
      <w:r w:rsidRPr="00BE08EE">
        <w:rPr>
          <w:rFonts w:ascii="Arial" w:hAnsi="Arial" w:cs="Arial"/>
          <w:sz w:val="20"/>
          <w:szCs w:val="20"/>
        </w:rPr>
        <w:t xml:space="preserve"> por Tempo de </w:t>
      </w:r>
      <w:proofErr w:type="spellStart"/>
      <w:r w:rsidRPr="00BE08EE">
        <w:rPr>
          <w:rFonts w:ascii="Arial" w:hAnsi="Arial" w:cs="Arial"/>
          <w:sz w:val="20"/>
          <w:szCs w:val="20"/>
        </w:rPr>
        <w:t>Contribuição</w:t>
      </w:r>
      <w:proofErr w:type="spellEnd"/>
      <w:r w:rsidRPr="00BE08EE">
        <w:rPr>
          <w:rFonts w:ascii="Arial" w:hAnsi="Arial" w:cs="Arial"/>
          <w:sz w:val="20"/>
          <w:szCs w:val="20"/>
        </w:rPr>
        <w:t xml:space="preserve"> expedida pelo INSS. Diante da legalidade do ato, cujas impropriedades restaram sanadas ou justificadas, entendo pelo seu registro.</w:t>
      </w:r>
    </w:p>
    <w:p w14:paraId="7D92BECF" w14:textId="5B25B28C" w:rsidR="00184F4B" w:rsidRPr="00184F4B" w:rsidRDefault="002B6EFF" w:rsidP="002B6EFF">
      <w:pPr>
        <w:pStyle w:val="PargrafodaLista"/>
        <w:autoSpaceDE w:val="0"/>
        <w:autoSpaceDN w:val="0"/>
        <w:adjustRightInd w:val="0"/>
        <w:spacing w:after="240"/>
        <w:ind w:left="0"/>
        <w:jc w:val="both"/>
        <w:rPr>
          <w:rFonts w:ascii="Arial" w:eastAsia="Arial" w:hAnsi="Arial" w:cs="Arial"/>
          <w:color w:val="000000" w:themeColor="text1"/>
          <w:sz w:val="20"/>
          <w:szCs w:val="20"/>
        </w:rPr>
      </w:pPr>
      <w:r w:rsidRPr="00FB381F">
        <w:rPr>
          <w:rFonts w:ascii="Arial" w:eastAsia="Arial" w:hAnsi="Arial" w:cs="Arial"/>
          <w:color w:val="000000" w:themeColor="text1"/>
          <w:sz w:val="20"/>
          <w:szCs w:val="20"/>
        </w:rPr>
        <w:t>Processo n.º</w:t>
      </w:r>
      <w:r w:rsidRPr="00FB381F">
        <w:rPr>
          <w:rFonts w:ascii="Arial" w:eastAsia="Arial" w:hAnsi="Arial" w:cs="Arial"/>
          <w:sz w:val="20"/>
          <w:szCs w:val="20"/>
        </w:rPr>
        <w:t xml:space="preserve"> </w:t>
      </w:r>
      <w:r w:rsidR="00BE08EE">
        <w:rPr>
          <w:rFonts w:ascii="Arial" w:eastAsia="Arial" w:hAnsi="Arial" w:cs="Arial"/>
          <w:sz w:val="20"/>
          <w:szCs w:val="20"/>
        </w:rPr>
        <w:t>807864/19</w:t>
      </w:r>
      <w:r w:rsidRPr="00FB381F">
        <w:rPr>
          <w:rFonts w:ascii="Arial" w:eastAsia="Arial" w:hAnsi="Arial" w:cs="Arial"/>
          <w:sz w:val="20"/>
          <w:szCs w:val="20"/>
        </w:rPr>
        <w:t>,</w:t>
      </w:r>
      <w:r>
        <w:rPr>
          <w:rFonts w:ascii="Arial" w:eastAsia="Arial" w:hAnsi="Arial" w:cs="Arial"/>
          <w:sz w:val="20"/>
          <w:szCs w:val="20"/>
        </w:rPr>
        <w:t xml:space="preserve"> </w:t>
      </w:r>
      <w:hyperlink r:id="rId12" w:history="1">
        <w:r w:rsidR="00BE08EE">
          <w:rPr>
            <w:rStyle w:val="Hyperlink"/>
            <w:rFonts w:ascii="Arial" w:eastAsia="Arial" w:hAnsi="Arial" w:cs="Arial"/>
            <w:sz w:val="20"/>
            <w:szCs w:val="20"/>
          </w:rPr>
          <w:t>Acórdão n.º 1592/24</w:t>
        </w:r>
      </w:hyperlink>
      <w:hyperlink r:id="rId13" w:history="1"/>
      <w:r w:rsidRPr="00B0632B">
        <w:rPr>
          <w:rFonts w:ascii="Arial" w:eastAsia="Arial" w:hAnsi="Arial" w:cs="Arial"/>
          <w:color w:val="000000" w:themeColor="text1"/>
          <w:sz w:val="20"/>
          <w:szCs w:val="20"/>
        </w:rPr>
        <w:t xml:space="preserve">, </w:t>
      </w:r>
      <w:r w:rsidR="00BE08EE">
        <w:rPr>
          <w:rFonts w:ascii="Arial" w:eastAsia="Arial" w:hAnsi="Arial" w:cs="Arial"/>
          <w:color w:val="000000" w:themeColor="text1"/>
          <w:sz w:val="20"/>
          <w:szCs w:val="20"/>
        </w:rPr>
        <w:t>Primeira</w:t>
      </w:r>
      <w:r>
        <w:rPr>
          <w:rFonts w:ascii="Arial" w:eastAsia="Arial" w:hAnsi="Arial" w:cs="Arial"/>
          <w:color w:val="000000" w:themeColor="text1"/>
          <w:sz w:val="20"/>
          <w:szCs w:val="20"/>
        </w:rPr>
        <w:t xml:space="preserve"> Câmara</w:t>
      </w:r>
      <w:r w:rsidRPr="00FB381F">
        <w:rPr>
          <w:rFonts w:ascii="Arial" w:eastAsia="Arial" w:hAnsi="Arial" w:cs="Arial"/>
          <w:color w:val="000000" w:themeColor="text1"/>
          <w:sz w:val="20"/>
          <w:szCs w:val="20"/>
        </w:rPr>
        <w:t xml:space="preserve">, Relator Conselheiro </w:t>
      </w:r>
      <w:r w:rsidR="00BE08EE">
        <w:rPr>
          <w:rFonts w:ascii="Arial" w:eastAsia="Arial" w:hAnsi="Arial" w:cs="Arial"/>
          <w:color w:val="000000" w:themeColor="text1"/>
          <w:sz w:val="20"/>
          <w:szCs w:val="20"/>
        </w:rPr>
        <w:t>José Durval Mattos do Amaral</w:t>
      </w:r>
      <w:r w:rsidRPr="00FB381F">
        <w:rPr>
          <w:rFonts w:ascii="Arial" w:eastAsia="Arial" w:hAnsi="Arial" w:cs="Arial"/>
          <w:color w:val="000000" w:themeColor="text1"/>
          <w:sz w:val="20"/>
          <w:szCs w:val="20"/>
        </w:rPr>
        <w:t xml:space="preserve">, julgado em </w:t>
      </w:r>
      <w:r w:rsidR="00BE08EE">
        <w:rPr>
          <w:rFonts w:ascii="Arial" w:eastAsia="Arial" w:hAnsi="Arial" w:cs="Arial"/>
          <w:color w:val="000000" w:themeColor="text1"/>
          <w:sz w:val="20"/>
          <w:szCs w:val="20"/>
        </w:rPr>
        <w:t>13</w:t>
      </w:r>
      <w:r w:rsidRPr="00FB381F">
        <w:rPr>
          <w:rFonts w:ascii="Arial" w:eastAsia="Arial" w:hAnsi="Arial" w:cs="Arial"/>
          <w:color w:val="000000" w:themeColor="text1"/>
          <w:sz w:val="20"/>
          <w:szCs w:val="20"/>
        </w:rPr>
        <w:t>/</w:t>
      </w:r>
      <w:r w:rsidR="00BE08EE">
        <w:rPr>
          <w:rFonts w:ascii="Arial" w:eastAsia="Arial" w:hAnsi="Arial" w:cs="Arial"/>
          <w:color w:val="000000" w:themeColor="text1"/>
          <w:sz w:val="20"/>
          <w:szCs w:val="20"/>
        </w:rPr>
        <w:t>6</w:t>
      </w:r>
      <w:r w:rsidRPr="00FB381F">
        <w:rPr>
          <w:rFonts w:ascii="Arial" w:eastAsia="Arial" w:hAnsi="Arial" w:cs="Arial"/>
          <w:color w:val="000000" w:themeColor="text1"/>
          <w:sz w:val="20"/>
          <w:szCs w:val="20"/>
        </w:rPr>
        <w:t xml:space="preserve">/2024 e veiculado em </w:t>
      </w:r>
      <w:r w:rsidR="00BE08EE">
        <w:rPr>
          <w:rFonts w:ascii="Arial" w:eastAsia="Arial" w:hAnsi="Arial" w:cs="Arial"/>
          <w:color w:val="000000" w:themeColor="text1"/>
          <w:sz w:val="20"/>
          <w:szCs w:val="20"/>
        </w:rPr>
        <w:t>21</w:t>
      </w:r>
      <w:r w:rsidRPr="00FB381F">
        <w:rPr>
          <w:rFonts w:ascii="Arial" w:eastAsia="Arial" w:hAnsi="Arial" w:cs="Arial"/>
          <w:color w:val="000000" w:themeColor="text1"/>
          <w:sz w:val="20"/>
          <w:szCs w:val="20"/>
        </w:rPr>
        <w:t>/</w:t>
      </w:r>
      <w:r>
        <w:rPr>
          <w:rFonts w:ascii="Arial" w:eastAsia="Arial" w:hAnsi="Arial" w:cs="Arial"/>
          <w:color w:val="000000" w:themeColor="text1"/>
          <w:sz w:val="20"/>
          <w:szCs w:val="20"/>
        </w:rPr>
        <w:t>6</w:t>
      </w:r>
      <w:r w:rsidRPr="00FB381F">
        <w:rPr>
          <w:rFonts w:ascii="Arial" w:eastAsia="Arial" w:hAnsi="Arial" w:cs="Arial"/>
          <w:color w:val="000000" w:themeColor="text1"/>
          <w:sz w:val="20"/>
          <w:szCs w:val="20"/>
        </w:rPr>
        <w:t>/2024.</w:t>
      </w:r>
    </w:p>
    <w:p w14:paraId="76E27C5A" w14:textId="6F5906C3" w:rsidR="00A45FC5" w:rsidRPr="00F76263" w:rsidRDefault="00A45FC5" w:rsidP="00A45FC5">
      <w:pPr>
        <w:shd w:val="clear" w:color="auto" w:fill="EEECE1" w:themeFill="background2"/>
        <w:spacing w:after="0"/>
        <w:jc w:val="center"/>
        <w:rPr>
          <w:rFonts w:ascii="Arial" w:eastAsia="Arial" w:hAnsi="Arial" w:cs="Arial"/>
          <w:b/>
          <w:bCs/>
          <w:sz w:val="20"/>
          <w:szCs w:val="20"/>
        </w:rPr>
      </w:pPr>
      <w:r>
        <w:rPr>
          <w:rFonts w:ascii="Arial" w:eastAsia="Arial" w:hAnsi="Arial" w:cs="Arial"/>
          <w:b/>
          <w:bCs/>
          <w:sz w:val="20"/>
          <w:szCs w:val="20"/>
        </w:rPr>
        <w:t>TRIBUNAL PLENO</w:t>
      </w:r>
    </w:p>
    <w:p w14:paraId="10331FEC" w14:textId="562ECBE2" w:rsidR="009C0E72" w:rsidRPr="009C0E72" w:rsidRDefault="006E239F" w:rsidP="009C0E72">
      <w:pPr>
        <w:pStyle w:val="Ttulo1"/>
        <w:spacing w:before="120"/>
      </w:pPr>
      <w:bookmarkStart w:id="1" w:name="_Toc171896152"/>
      <w:r>
        <w:t>2</w:t>
      </w:r>
      <w:r w:rsidR="00E25FE0">
        <w:t xml:space="preserve">. </w:t>
      </w:r>
      <w:r w:rsidR="009C0E72" w:rsidRPr="009C0E72">
        <w:t>Representação. Superioridade de vencimentos dos cargos do Poder Legislativo Municipal em relação a cargos assemelhados do Poder Executivo. Irregularidade. Artigo 37, inciso XII, da Constituição Federal. Precedente normativo e vinculante neste Tribunal de Contas. Decisões colacionadas apontando divergentes entendimentos jurisprudenciais. Procedência, com recomendação e expedições de comunicações.</w:t>
      </w:r>
      <w:bookmarkEnd w:id="1"/>
    </w:p>
    <w:p w14:paraId="3C85476A" w14:textId="27B3795B" w:rsidR="009C0E72" w:rsidRPr="000711E9" w:rsidRDefault="009C0E72" w:rsidP="00681802">
      <w:pPr>
        <w:autoSpaceDE w:val="0"/>
        <w:autoSpaceDN w:val="0"/>
        <w:adjustRightInd w:val="0"/>
        <w:spacing w:after="120" w:line="240" w:lineRule="auto"/>
        <w:ind w:firstLine="567"/>
        <w:jc w:val="both"/>
        <w:rPr>
          <w:rFonts w:ascii="Arial" w:hAnsi="Arial" w:cs="Arial"/>
          <w:sz w:val="20"/>
          <w:szCs w:val="20"/>
        </w:rPr>
      </w:pPr>
      <w:r w:rsidRPr="000711E9">
        <w:rPr>
          <w:rFonts w:ascii="Arial" w:hAnsi="Arial" w:cs="Arial"/>
          <w:sz w:val="20"/>
          <w:szCs w:val="20"/>
        </w:rPr>
        <w:lastRenderedPageBreak/>
        <w:t xml:space="preserve">Trata-se de Recurso de Revista interposto pelo Ministério Público de Contas, em face do Acórdão 1883/23 – STP, mantido pelo Acórdão 2498/23 – STP, que considerou aplicável o Prejulgado </w:t>
      </w:r>
      <w:proofErr w:type="spellStart"/>
      <w:r w:rsidRPr="000711E9">
        <w:rPr>
          <w:rFonts w:ascii="Arial" w:hAnsi="Arial" w:cs="Arial"/>
          <w:sz w:val="20"/>
          <w:szCs w:val="20"/>
        </w:rPr>
        <w:t>n.°</w:t>
      </w:r>
      <w:proofErr w:type="spellEnd"/>
      <w:r w:rsidRPr="000711E9">
        <w:rPr>
          <w:rFonts w:ascii="Arial" w:hAnsi="Arial" w:cs="Arial"/>
          <w:sz w:val="20"/>
          <w:szCs w:val="20"/>
        </w:rPr>
        <w:t xml:space="preserve"> 31 e extinguiu a Representação </w:t>
      </w:r>
      <w:proofErr w:type="spellStart"/>
      <w:r w:rsidRPr="000711E9">
        <w:rPr>
          <w:rFonts w:ascii="Arial" w:hAnsi="Arial" w:cs="Arial"/>
          <w:sz w:val="20"/>
          <w:szCs w:val="20"/>
        </w:rPr>
        <w:t>n.°</w:t>
      </w:r>
      <w:proofErr w:type="spellEnd"/>
      <w:r w:rsidRPr="000711E9">
        <w:rPr>
          <w:rFonts w:ascii="Arial" w:hAnsi="Arial" w:cs="Arial"/>
          <w:sz w:val="20"/>
          <w:szCs w:val="20"/>
        </w:rPr>
        <w:t xml:space="preserve"> 125663/22, com determinação de revogação da Portaria </w:t>
      </w:r>
      <w:proofErr w:type="spellStart"/>
      <w:r w:rsidRPr="000711E9">
        <w:rPr>
          <w:rFonts w:ascii="Arial" w:hAnsi="Arial" w:cs="Arial"/>
          <w:sz w:val="20"/>
          <w:szCs w:val="20"/>
        </w:rPr>
        <w:t>n.°</w:t>
      </w:r>
      <w:proofErr w:type="spellEnd"/>
      <w:r w:rsidRPr="000711E9">
        <w:rPr>
          <w:rFonts w:ascii="Arial" w:hAnsi="Arial" w:cs="Arial"/>
          <w:sz w:val="20"/>
          <w:szCs w:val="20"/>
        </w:rPr>
        <w:t xml:space="preserve"> 315/2022, autos em que se buscava a declaração de nulidade absoluta do Despacho de Homologação de Benefício </w:t>
      </w:r>
      <w:proofErr w:type="spellStart"/>
      <w:r w:rsidRPr="000711E9">
        <w:rPr>
          <w:rFonts w:ascii="Arial" w:hAnsi="Arial" w:cs="Arial"/>
          <w:sz w:val="20"/>
          <w:szCs w:val="20"/>
        </w:rPr>
        <w:t>n.°</w:t>
      </w:r>
      <w:proofErr w:type="spellEnd"/>
      <w:r w:rsidRPr="000711E9">
        <w:rPr>
          <w:rFonts w:ascii="Arial" w:hAnsi="Arial" w:cs="Arial"/>
          <w:sz w:val="20"/>
          <w:szCs w:val="20"/>
        </w:rPr>
        <w:t xml:space="preserve"> 39/2017-COFAP/GP, especificamente quanto ao Registro da Portaria </w:t>
      </w:r>
      <w:proofErr w:type="spellStart"/>
      <w:r w:rsidRPr="000711E9">
        <w:rPr>
          <w:rFonts w:ascii="Arial" w:hAnsi="Arial" w:cs="Arial"/>
          <w:sz w:val="20"/>
          <w:szCs w:val="20"/>
        </w:rPr>
        <w:t>n.°</w:t>
      </w:r>
      <w:proofErr w:type="spellEnd"/>
      <w:r w:rsidRPr="000711E9">
        <w:rPr>
          <w:rFonts w:ascii="Arial" w:hAnsi="Arial" w:cs="Arial"/>
          <w:sz w:val="20"/>
          <w:szCs w:val="20"/>
        </w:rPr>
        <w:t xml:space="preserve"> 16/2015, retificada pela Portaria n° 137/2017, relativa à aposentadoria com proventos integrais da servidora </w:t>
      </w:r>
      <w:proofErr w:type="spellStart"/>
      <w:r w:rsidRPr="000711E9">
        <w:rPr>
          <w:rFonts w:ascii="Arial" w:hAnsi="Arial" w:cs="Arial"/>
          <w:sz w:val="20"/>
          <w:szCs w:val="20"/>
        </w:rPr>
        <w:t>Dicionélia</w:t>
      </w:r>
      <w:proofErr w:type="spellEnd"/>
      <w:r w:rsidRPr="000711E9">
        <w:rPr>
          <w:rFonts w:ascii="Arial" w:hAnsi="Arial" w:cs="Arial"/>
          <w:sz w:val="20"/>
          <w:szCs w:val="20"/>
        </w:rPr>
        <w:t xml:space="preserve"> Josefa Moscardi </w:t>
      </w:r>
      <w:proofErr w:type="spellStart"/>
      <w:r w:rsidRPr="000711E9">
        <w:rPr>
          <w:rFonts w:ascii="Arial" w:hAnsi="Arial" w:cs="Arial"/>
          <w:sz w:val="20"/>
          <w:szCs w:val="20"/>
        </w:rPr>
        <w:t>Gulis</w:t>
      </w:r>
      <w:proofErr w:type="spellEnd"/>
      <w:r w:rsidRPr="000711E9">
        <w:rPr>
          <w:rFonts w:ascii="Arial" w:hAnsi="Arial" w:cs="Arial"/>
          <w:sz w:val="20"/>
          <w:szCs w:val="20"/>
        </w:rPr>
        <w:t xml:space="preserve">, no cargo de Professor com fundamento na regra de transição prevista no art. 6° da EC </w:t>
      </w:r>
      <w:proofErr w:type="spellStart"/>
      <w:r w:rsidRPr="000711E9">
        <w:rPr>
          <w:rFonts w:ascii="Arial" w:hAnsi="Arial" w:cs="Arial"/>
          <w:sz w:val="20"/>
          <w:szCs w:val="20"/>
        </w:rPr>
        <w:t>n.°</w:t>
      </w:r>
      <w:proofErr w:type="spellEnd"/>
      <w:r w:rsidRPr="000711E9">
        <w:rPr>
          <w:rFonts w:ascii="Arial" w:hAnsi="Arial" w:cs="Arial"/>
          <w:sz w:val="20"/>
          <w:szCs w:val="20"/>
        </w:rPr>
        <w:t xml:space="preserve"> 41/2003, o qual, para o Representante, seria inaplicável à servidora.</w:t>
      </w:r>
    </w:p>
    <w:p w14:paraId="60118C24" w14:textId="77777777" w:rsidR="009C0E72" w:rsidRPr="000711E9" w:rsidRDefault="009C0E72" w:rsidP="00681802">
      <w:pPr>
        <w:autoSpaceDE w:val="0"/>
        <w:autoSpaceDN w:val="0"/>
        <w:adjustRightInd w:val="0"/>
        <w:spacing w:after="120" w:line="240" w:lineRule="auto"/>
        <w:jc w:val="both"/>
        <w:rPr>
          <w:rFonts w:ascii="Arial" w:hAnsi="Arial" w:cs="Arial"/>
          <w:sz w:val="20"/>
          <w:szCs w:val="20"/>
        </w:rPr>
      </w:pPr>
      <w:r w:rsidRPr="000711E9">
        <w:rPr>
          <w:rFonts w:ascii="Arial" w:hAnsi="Arial" w:cs="Arial"/>
          <w:sz w:val="20"/>
          <w:szCs w:val="20"/>
        </w:rPr>
        <w:t>(...)</w:t>
      </w:r>
    </w:p>
    <w:p w14:paraId="1C3A2ABB" w14:textId="77777777" w:rsidR="009C0E72" w:rsidRPr="000711E9" w:rsidRDefault="009C0E72" w:rsidP="009C0E72">
      <w:pPr>
        <w:autoSpaceDE w:val="0"/>
        <w:autoSpaceDN w:val="0"/>
        <w:adjustRightInd w:val="0"/>
        <w:spacing w:after="240"/>
        <w:ind w:firstLine="567"/>
        <w:jc w:val="both"/>
        <w:rPr>
          <w:rFonts w:ascii="Arial" w:hAnsi="Arial" w:cs="Arial"/>
          <w:sz w:val="20"/>
          <w:szCs w:val="20"/>
        </w:rPr>
      </w:pPr>
      <w:r w:rsidRPr="000711E9">
        <w:rPr>
          <w:rFonts w:ascii="Arial" w:hAnsi="Arial" w:cs="Arial"/>
          <w:sz w:val="20"/>
          <w:szCs w:val="20"/>
        </w:rPr>
        <w:t xml:space="preserve">Compulsando os autos, verifica-se à peça 57 a Portaria 315/2022, em cujo teor consta expressamente ter sido emitida em observância às cautelares concedidas por este Tribunal nos autos de Representação </w:t>
      </w:r>
      <w:proofErr w:type="spellStart"/>
      <w:r w:rsidRPr="000711E9">
        <w:rPr>
          <w:rFonts w:ascii="Arial" w:hAnsi="Arial" w:cs="Arial"/>
          <w:sz w:val="20"/>
          <w:szCs w:val="20"/>
        </w:rPr>
        <w:t>n.°</w:t>
      </w:r>
      <w:proofErr w:type="spellEnd"/>
      <w:r w:rsidRPr="000711E9">
        <w:rPr>
          <w:rFonts w:ascii="Arial" w:hAnsi="Arial" w:cs="Arial"/>
          <w:sz w:val="20"/>
          <w:szCs w:val="20"/>
        </w:rPr>
        <w:t xml:space="preserve"> 657793/21, acórdão 1331/21 – STP, que determinou: </w:t>
      </w:r>
    </w:p>
    <w:p w14:paraId="7E85FFC0" w14:textId="61A46E1E" w:rsidR="009C0E72" w:rsidRPr="000711E9" w:rsidRDefault="009C0E72" w:rsidP="009C0E72">
      <w:pPr>
        <w:autoSpaceDE w:val="0"/>
        <w:autoSpaceDN w:val="0"/>
        <w:adjustRightInd w:val="0"/>
        <w:spacing w:after="240"/>
        <w:ind w:left="1701"/>
        <w:jc w:val="both"/>
        <w:rPr>
          <w:rFonts w:ascii="Arial" w:hAnsi="Arial" w:cs="Arial"/>
          <w:sz w:val="20"/>
          <w:szCs w:val="20"/>
        </w:rPr>
      </w:pPr>
      <w:r>
        <w:rPr>
          <w:rFonts w:ascii="Arial" w:hAnsi="Arial" w:cs="Arial"/>
          <w:sz w:val="20"/>
          <w:szCs w:val="20"/>
        </w:rPr>
        <w:t>“</w:t>
      </w:r>
      <w:r w:rsidRPr="000711E9">
        <w:rPr>
          <w:rFonts w:ascii="Arial" w:hAnsi="Arial" w:cs="Arial"/>
          <w:sz w:val="20"/>
          <w:szCs w:val="20"/>
        </w:rPr>
        <w:t xml:space="preserve">4.2 </w:t>
      </w:r>
      <w:r w:rsidRPr="000711E9">
        <w:rPr>
          <w:rFonts w:ascii="Arial" w:hAnsi="Arial" w:cs="Arial"/>
          <w:b/>
          <w:bCs/>
          <w:sz w:val="20"/>
          <w:szCs w:val="20"/>
          <w:u w:val="single"/>
        </w:rPr>
        <w:t>que revisem, no prazo de 30 dias, o cálculo de todas as aposentadorias e pensões concedidas em desacordo com os enunciados fixados no Prejulgado n.º 28</w:t>
      </w:r>
      <w:r w:rsidRPr="000711E9">
        <w:rPr>
          <w:rFonts w:ascii="Arial" w:hAnsi="Arial" w:cs="Arial"/>
          <w:sz w:val="20"/>
          <w:szCs w:val="20"/>
        </w:rPr>
        <w:t>, mediante a edição de atos revisionais que adequem o valor dos benefícios à metodologia prevista no art. 16 da LCM nº 53/2006 no caso de Paranaguá, e no art. 25 da LM nº 862/2006 no caso de Piraquara; -realcei</w:t>
      </w:r>
      <w:r>
        <w:rPr>
          <w:rFonts w:ascii="Arial" w:hAnsi="Arial" w:cs="Arial"/>
          <w:sz w:val="20"/>
          <w:szCs w:val="20"/>
        </w:rPr>
        <w:t>”</w:t>
      </w:r>
      <w:r w:rsidRPr="000711E9">
        <w:rPr>
          <w:rFonts w:ascii="Arial" w:hAnsi="Arial" w:cs="Arial"/>
          <w:sz w:val="20"/>
          <w:szCs w:val="20"/>
        </w:rPr>
        <w:t>.</w:t>
      </w:r>
    </w:p>
    <w:p w14:paraId="75B17550" w14:textId="77777777" w:rsidR="009C0E72" w:rsidRPr="000711E9" w:rsidRDefault="009C0E72" w:rsidP="009C0E72">
      <w:pPr>
        <w:autoSpaceDE w:val="0"/>
        <w:autoSpaceDN w:val="0"/>
        <w:adjustRightInd w:val="0"/>
        <w:spacing w:after="120"/>
        <w:ind w:firstLine="567"/>
        <w:jc w:val="both"/>
        <w:rPr>
          <w:rFonts w:ascii="Arial" w:hAnsi="Arial" w:cs="Arial"/>
          <w:sz w:val="20"/>
          <w:szCs w:val="20"/>
        </w:rPr>
      </w:pPr>
      <w:r w:rsidRPr="000711E9">
        <w:rPr>
          <w:rFonts w:ascii="Arial" w:hAnsi="Arial" w:cs="Arial"/>
          <w:sz w:val="20"/>
          <w:szCs w:val="20"/>
        </w:rPr>
        <w:t xml:space="preserve">Posteriormente, ainda em sede de cautelar, foi proferido o Acórdão 2288/21-STP em que foi determinada a suspensão da execução da cautelar de que trata o item 4.2 do Acórdão 1331/21, em relação aos atos de benefício protocolados nesta Corte há mais de 5 anos, </w:t>
      </w:r>
      <w:r w:rsidRPr="000711E9">
        <w:rPr>
          <w:rFonts w:ascii="Arial" w:hAnsi="Arial" w:cs="Arial"/>
          <w:b/>
          <w:bCs/>
          <w:sz w:val="20"/>
          <w:szCs w:val="20"/>
          <w:u w:val="single"/>
        </w:rPr>
        <w:t>haja ou não decisão definitiva</w:t>
      </w:r>
      <w:r w:rsidRPr="000711E9">
        <w:rPr>
          <w:rFonts w:ascii="Arial" w:hAnsi="Arial" w:cs="Arial"/>
          <w:sz w:val="20"/>
          <w:szCs w:val="20"/>
        </w:rPr>
        <w:t xml:space="preserve">, até a decisão final do Prejulgado </w:t>
      </w:r>
      <w:proofErr w:type="spellStart"/>
      <w:r w:rsidRPr="000711E9">
        <w:rPr>
          <w:rFonts w:ascii="Arial" w:hAnsi="Arial" w:cs="Arial"/>
          <w:sz w:val="20"/>
          <w:szCs w:val="20"/>
        </w:rPr>
        <w:t>n.°</w:t>
      </w:r>
      <w:proofErr w:type="spellEnd"/>
      <w:r w:rsidRPr="000711E9">
        <w:rPr>
          <w:rFonts w:ascii="Arial" w:hAnsi="Arial" w:cs="Arial"/>
          <w:sz w:val="20"/>
          <w:szCs w:val="20"/>
        </w:rPr>
        <w:t xml:space="preserve"> 324000/21. Ainda que se tenha expressado o respeito ao juiz natural dos processos em trâmite ao tempo dessas decisões e da possibilidade de que tenha havido algum equívoco da entidade quanto à contagem do prazo decadencial, fato é que a entidade previdenciária foi provocada a revisar os atos de aposentadoria e a expressão “todas” mencionadas no item 4.2 supra não deixa dúvidas da abrangência da ordem emanada pelo Tribunal Pleno desta Corte. No caso, o ato concessivo da aposentadoria já se encontrava registrado nesta Corte, ou seja, já havia decisão definitiva como ressaltando no decisum concessivo de cautelar. Assim, não há como reconhecer que o advento da Portaria </w:t>
      </w:r>
      <w:proofErr w:type="spellStart"/>
      <w:r w:rsidRPr="000711E9">
        <w:rPr>
          <w:rFonts w:ascii="Arial" w:hAnsi="Arial" w:cs="Arial"/>
          <w:sz w:val="20"/>
          <w:szCs w:val="20"/>
        </w:rPr>
        <w:t>n.°</w:t>
      </w:r>
      <w:proofErr w:type="spellEnd"/>
      <w:r w:rsidRPr="000711E9">
        <w:rPr>
          <w:rFonts w:ascii="Arial" w:hAnsi="Arial" w:cs="Arial"/>
          <w:sz w:val="20"/>
          <w:szCs w:val="20"/>
        </w:rPr>
        <w:t xml:space="preserve"> 315/2022, expedida em outubro de 2022, em cumprimento da decisão cautelar proferida por este Tribunal seja reflexo do exercício da autotutela administrativa, porquanto não se trata de ato espontaneamente emitido pela entidade de previdência, sendo sim, lídima expressão do cumprimento de decisão proferida no âmbito do controle externo, exercido por esta Corte nos atos de inativações e cuja concessão foi requerida pelo D. Procurador subscritor do presente recurso em inúmeros expedientes protocolados neste Tribunal. Observa-se dos atos de aposentadoria advindos de Paranaguá que a entidade previdenciária foi uma ferrenha defensora dos atos por si emitidos e, ressalvada alguma hipótese de equívoco, somente agiu no sentido de retificar os atos de inativação a partir das cautelares concedidas por esta Corte. Nestas condições, plenamente aplicável o Prejulgado </w:t>
      </w:r>
      <w:proofErr w:type="spellStart"/>
      <w:r w:rsidRPr="000711E9">
        <w:rPr>
          <w:rFonts w:ascii="Arial" w:hAnsi="Arial" w:cs="Arial"/>
          <w:sz w:val="20"/>
          <w:szCs w:val="20"/>
        </w:rPr>
        <w:t>n.°</w:t>
      </w:r>
      <w:proofErr w:type="spellEnd"/>
      <w:r w:rsidRPr="000711E9">
        <w:rPr>
          <w:rFonts w:ascii="Arial" w:hAnsi="Arial" w:cs="Arial"/>
          <w:sz w:val="20"/>
          <w:szCs w:val="20"/>
        </w:rPr>
        <w:t xml:space="preserve"> 31 ao caso, o qual uniformizou o </w:t>
      </w:r>
      <w:r w:rsidRPr="000711E9">
        <w:rPr>
          <w:rFonts w:ascii="Arial" w:hAnsi="Arial" w:cs="Arial"/>
          <w:sz w:val="20"/>
          <w:szCs w:val="20"/>
        </w:rPr>
        <w:lastRenderedPageBreak/>
        <w:t>posicionamento deste Tribunal a respeito da aplicabilidade do Tema 445 do Supremo Tribunal Federal aos atos de aposentadoria, reforma ou pensão em trâmite nesta Corte de Contas.</w:t>
      </w:r>
    </w:p>
    <w:p w14:paraId="33EE74FA" w14:textId="77777777" w:rsidR="009C0E72" w:rsidRPr="000711E9" w:rsidRDefault="009C0E72" w:rsidP="009C0E72">
      <w:pPr>
        <w:autoSpaceDE w:val="0"/>
        <w:autoSpaceDN w:val="0"/>
        <w:adjustRightInd w:val="0"/>
        <w:spacing w:after="120"/>
        <w:jc w:val="both"/>
        <w:rPr>
          <w:rFonts w:ascii="Arial" w:hAnsi="Arial" w:cs="Arial"/>
          <w:sz w:val="20"/>
          <w:szCs w:val="20"/>
        </w:rPr>
      </w:pPr>
      <w:r w:rsidRPr="000711E9">
        <w:rPr>
          <w:rFonts w:ascii="Arial" w:hAnsi="Arial" w:cs="Arial"/>
          <w:sz w:val="20"/>
          <w:szCs w:val="20"/>
        </w:rPr>
        <w:t>(...)</w:t>
      </w:r>
    </w:p>
    <w:p w14:paraId="5E0A587C" w14:textId="77777777" w:rsidR="009C0E72" w:rsidRPr="000711E9" w:rsidRDefault="009C0E72" w:rsidP="009C0E72">
      <w:pPr>
        <w:autoSpaceDE w:val="0"/>
        <w:autoSpaceDN w:val="0"/>
        <w:adjustRightInd w:val="0"/>
        <w:spacing w:after="240"/>
        <w:ind w:firstLine="567"/>
        <w:jc w:val="both"/>
        <w:rPr>
          <w:rFonts w:ascii="Arial" w:hAnsi="Arial" w:cs="Arial"/>
          <w:sz w:val="20"/>
          <w:szCs w:val="20"/>
        </w:rPr>
      </w:pPr>
      <w:r w:rsidRPr="000711E9">
        <w:rPr>
          <w:rFonts w:ascii="Arial" w:hAnsi="Arial" w:cs="Arial"/>
          <w:sz w:val="20"/>
          <w:szCs w:val="20"/>
        </w:rPr>
        <w:t xml:space="preserve">Assim, conforme pontuado pela Coordenadoria de Gestão Municipal: </w:t>
      </w:r>
    </w:p>
    <w:p w14:paraId="4DF179B1" w14:textId="09A16F3A" w:rsidR="009C0E72" w:rsidRPr="009C0E72" w:rsidRDefault="009C0E72" w:rsidP="009C0E72">
      <w:pPr>
        <w:autoSpaceDE w:val="0"/>
        <w:autoSpaceDN w:val="0"/>
        <w:adjustRightInd w:val="0"/>
        <w:spacing w:after="240"/>
        <w:ind w:left="1701"/>
        <w:jc w:val="both"/>
        <w:rPr>
          <w:rFonts w:ascii="Arial" w:hAnsi="Arial" w:cs="Arial"/>
          <w:sz w:val="20"/>
          <w:szCs w:val="20"/>
        </w:rPr>
      </w:pPr>
      <w:r>
        <w:rPr>
          <w:rFonts w:ascii="Arial" w:hAnsi="Arial" w:cs="Arial"/>
          <w:sz w:val="20"/>
          <w:szCs w:val="20"/>
        </w:rPr>
        <w:t>“</w:t>
      </w:r>
      <w:r w:rsidRPr="009C0E72">
        <w:rPr>
          <w:rFonts w:ascii="Arial" w:hAnsi="Arial" w:cs="Arial"/>
          <w:sz w:val="20"/>
          <w:szCs w:val="20"/>
        </w:rPr>
        <w:t>Analisando a situação apresentada nota-se que a questão se resume ao entendimento de o instituto da decadência ser ou não aplicada ao caso em análise, não havendo mais nenhum assunto a ser analisado posteriormente a este, já que a partir do momento de que a decadência tenha ocorrido a Representação deverá ser extinta com resolução de mérito. [...] A questão a ser analisada não é de autotutela, conforme tenta reivindicar o Recorrente, mas sim de análise de legalidade de ato concessivo de aposentadoria. Assim, considerando que o prazo decadencial se iniciou em 03/07/2017, momento da chegada do processo no TCE, a Administração Pública tinha até a data de 03/07/2022 para revisar e/ou anular o ato administrativo, sob pena de decadência, conforme reconhecido pelo E. STF no julgamento do TEMA 445</w:t>
      </w:r>
      <w:r>
        <w:rPr>
          <w:rFonts w:ascii="Arial" w:hAnsi="Arial" w:cs="Arial"/>
          <w:sz w:val="20"/>
          <w:szCs w:val="20"/>
        </w:rPr>
        <w:t>”</w:t>
      </w:r>
      <w:r w:rsidRPr="009C0E72">
        <w:rPr>
          <w:rFonts w:ascii="Arial" w:hAnsi="Arial" w:cs="Arial"/>
          <w:sz w:val="20"/>
          <w:szCs w:val="20"/>
        </w:rPr>
        <w:t xml:space="preserve">. </w:t>
      </w:r>
    </w:p>
    <w:p w14:paraId="58EE2CD7" w14:textId="43D663AD" w:rsidR="000118CD" w:rsidRPr="009C0E72" w:rsidRDefault="009C0E72" w:rsidP="009C0E72">
      <w:pPr>
        <w:pStyle w:val="Ttulo1"/>
        <w:spacing w:before="120"/>
        <w:ind w:firstLine="567"/>
        <w:rPr>
          <w:b w:val="0"/>
          <w:bCs w:val="0"/>
        </w:rPr>
      </w:pPr>
      <w:bookmarkStart w:id="2" w:name="_Toc171896153"/>
      <w:r w:rsidRPr="009C0E72">
        <w:rPr>
          <w:b w:val="0"/>
          <w:bCs w:val="0"/>
        </w:rPr>
        <w:t>Como dito, o histórico dos atos de inativações demonstra que a flagrante inconstitucionalidade defendida pela Parquet nem sempre foi assim compreendida. A matéria demandou um Prejulgado para ser uniformizada nesta Corte situação, fato que impede a procedência da alegação do exercício da autotutela também por parte deste Tribunal. No que diz respeito ao ato ter sido inicialmente registrado sem a oitiva do Ministério Público, compreendo que a análise automática do feito permitiu o tratamento concedido ao caso, não repercutindo a tese de violação ao devido processo legal arguida pelo Parquet. Desta forma, em consonância com a instrução da Coordenadoria de Gestão Municipal (Instrução 53411/23, peça 89), VOTO pelo conhecimento do recurso e, no mérito, pelo seu não provimento, mantendo-se a decisão recorrida.</w:t>
      </w:r>
      <w:bookmarkEnd w:id="2"/>
    </w:p>
    <w:p w14:paraId="3B126B1C" w14:textId="4E78EABC" w:rsidR="00F60526" w:rsidRDefault="000118CD" w:rsidP="000118CD">
      <w:pPr>
        <w:autoSpaceDE w:val="0"/>
        <w:autoSpaceDN w:val="0"/>
        <w:adjustRightInd w:val="0"/>
        <w:spacing w:after="240"/>
        <w:jc w:val="both"/>
        <w:rPr>
          <w:rFonts w:ascii="Arial" w:eastAsia="Arial" w:hAnsi="Arial" w:cs="Arial"/>
          <w:color w:val="000000" w:themeColor="text1"/>
          <w:sz w:val="20"/>
          <w:szCs w:val="20"/>
        </w:rPr>
      </w:pPr>
      <w:r w:rsidRPr="00C6231F">
        <w:rPr>
          <w:rFonts w:ascii="Arial" w:eastAsia="Arial" w:hAnsi="Arial" w:cs="Arial"/>
          <w:color w:val="000000" w:themeColor="text1"/>
          <w:sz w:val="20"/>
          <w:szCs w:val="20"/>
        </w:rPr>
        <w:t>Processo n.º</w:t>
      </w:r>
      <w:r w:rsidRPr="00C6231F">
        <w:rPr>
          <w:rFonts w:ascii="Arial" w:eastAsia="Arial" w:hAnsi="Arial" w:cs="Arial"/>
          <w:sz w:val="20"/>
          <w:szCs w:val="20"/>
        </w:rPr>
        <w:t xml:space="preserve"> </w:t>
      </w:r>
      <w:r w:rsidR="009C0E72">
        <w:rPr>
          <w:rFonts w:ascii="Arial" w:eastAsia="Arial" w:hAnsi="Arial" w:cs="Arial"/>
          <w:sz w:val="20"/>
          <w:szCs w:val="20"/>
        </w:rPr>
        <w:t>622768</w:t>
      </w:r>
      <w:r w:rsidR="00260156">
        <w:rPr>
          <w:rFonts w:ascii="Arial" w:eastAsia="Arial" w:hAnsi="Arial" w:cs="Arial"/>
          <w:sz w:val="20"/>
          <w:szCs w:val="20"/>
        </w:rPr>
        <w:t>/2</w:t>
      </w:r>
      <w:r w:rsidR="009C0E72">
        <w:rPr>
          <w:rFonts w:ascii="Arial" w:eastAsia="Arial" w:hAnsi="Arial" w:cs="Arial"/>
          <w:sz w:val="20"/>
          <w:szCs w:val="20"/>
        </w:rPr>
        <w:t>3</w:t>
      </w:r>
      <w:r w:rsidRPr="00C6231F">
        <w:rPr>
          <w:rFonts w:ascii="Arial" w:eastAsia="Arial" w:hAnsi="Arial" w:cs="Arial"/>
          <w:sz w:val="20"/>
          <w:szCs w:val="20"/>
        </w:rPr>
        <w:t xml:space="preserve">, </w:t>
      </w:r>
      <w:hyperlink r:id="rId14" w:history="1">
        <w:r w:rsidR="009C0E72">
          <w:rPr>
            <w:rStyle w:val="Hyperlink"/>
            <w:rFonts w:ascii="Arial" w:hAnsi="Arial" w:cs="Arial"/>
            <w:sz w:val="20"/>
            <w:szCs w:val="20"/>
          </w:rPr>
          <w:t>Acórdão n.º 1375/24</w:t>
        </w:r>
      </w:hyperlink>
      <w:hyperlink r:id="rId15" w:history="1"/>
      <w:r w:rsidRPr="00C6231F">
        <w:rPr>
          <w:rFonts w:ascii="Arial" w:eastAsia="Arial" w:hAnsi="Arial" w:cs="Arial"/>
          <w:color w:val="000000" w:themeColor="text1"/>
          <w:sz w:val="20"/>
          <w:szCs w:val="20"/>
        </w:rPr>
        <w:t xml:space="preserve">, Tribunal Pleno, Relator </w:t>
      </w:r>
      <w:r w:rsidR="009C0E72" w:rsidRPr="000711E9">
        <w:rPr>
          <w:rFonts w:ascii="Arial" w:eastAsia="Arial" w:hAnsi="Arial" w:cs="Arial"/>
          <w:color w:val="000000" w:themeColor="text1"/>
          <w:sz w:val="20"/>
          <w:szCs w:val="20"/>
        </w:rPr>
        <w:t>José Durval Mattos do Amaral, julgado em 23/5/2024 e veiculado em 5/6/2024</w:t>
      </w:r>
      <w:r w:rsidRPr="00C6231F">
        <w:rPr>
          <w:rFonts w:ascii="Arial" w:eastAsia="Arial" w:hAnsi="Arial" w:cs="Arial"/>
          <w:color w:val="000000" w:themeColor="text1"/>
          <w:sz w:val="20"/>
          <w:szCs w:val="20"/>
        </w:rPr>
        <w:t>.</w:t>
      </w:r>
    </w:p>
    <w:p w14:paraId="57133927" w14:textId="76AAD00C" w:rsidR="009C0E72" w:rsidRPr="00E25FE0" w:rsidRDefault="009C0E72" w:rsidP="009C0E72">
      <w:pPr>
        <w:pStyle w:val="Ttulo1"/>
        <w:spacing w:before="120"/>
      </w:pPr>
      <w:bookmarkStart w:id="3" w:name="_Toc171896154"/>
      <w:r>
        <w:t>3</w:t>
      </w:r>
      <w:r>
        <w:t xml:space="preserve">. </w:t>
      </w:r>
      <w:proofErr w:type="spellStart"/>
      <w:r w:rsidR="00260156" w:rsidRPr="00260156">
        <w:t>Representação</w:t>
      </w:r>
      <w:proofErr w:type="spellEnd"/>
      <w:r w:rsidR="00260156" w:rsidRPr="00260156">
        <w:t xml:space="preserve"> da Lei de </w:t>
      </w:r>
      <w:proofErr w:type="spellStart"/>
      <w:r w:rsidR="00260156" w:rsidRPr="00260156">
        <w:t>Licitações</w:t>
      </w:r>
      <w:proofErr w:type="spellEnd"/>
      <w:r w:rsidR="00260156" w:rsidRPr="00260156">
        <w:t xml:space="preserve">. </w:t>
      </w:r>
      <w:proofErr w:type="spellStart"/>
      <w:r w:rsidR="00260156" w:rsidRPr="00260156">
        <w:t>Pregão</w:t>
      </w:r>
      <w:proofErr w:type="spellEnd"/>
      <w:r w:rsidR="00260156" w:rsidRPr="00260156">
        <w:t xml:space="preserve"> Presencial. </w:t>
      </w:r>
      <w:proofErr w:type="spellStart"/>
      <w:r w:rsidR="00260156" w:rsidRPr="00260156">
        <w:t>Princípios</w:t>
      </w:r>
      <w:proofErr w:type="spellEnd"/>
      <w:r w:rsidR="00260156" w:rsidRPr="00260156">
        <w:t xml:space="preserve"> do formalismo moderado e da economicidade. Pareceres uniformes. Pela </w:t>
      </w:r>
      <w:proofErr w:type="spellStart"/>
      <w:r w:rsidR="00260156" w:rsidRPr="00260156">
        <w:t>procedência</w:t>
      </w:r>
      <w:proofErr w:type="spellEnd"/>
      <w:r w:rsidR="00260156" w:rsidRPr="00260156">
        <w:t xml:space="preserve"> com </w:t>
      </w:r>
      <w:proofErr w:type="spellStart"/>
      <w:r w:rsidR="00260156" w:rsidRPr="00260156">
        <w:t>determinação</w:t>
      </w:r>
      <w:proofErr w:type="spellEnd"/>
      <w:r w:rsidR="00260156" w:rsidRPr="00260156">
        <w:t>.</w:t>
      </w:r>
      <w:bookmarkEnd w:id="3"/>
    </w:p>
    <w:p w14:paraId="17846416" w14:textId="77777777" w:rsidR="009C0E72" w:rsidRPr="00260156" w:rsidRDefault="009C0E72" w:rsidP="009C0E72">
      <w:pPr>
        <w:pStyle w:val="PargrafodaLista"/>
        <w:spacing w:after="240"/>
        <w:ind w:left="0" w:firstLine="567"/>
        <w:jc w:val="both"/>
        <w:rPr>
          <w:rFonts w:ascii="Arial" w:hAnsi="Arial" w:cs="Arial"/>
          <w:sz w:val="20"/>
          <w:szCs w:val="20"/>
        </w:rPr>
      </w:pPr>
      <w:proofErr w:type="spellStart"/>
      <w:r w:rsidRPr="00260156">
        <w:rPr>
          <w:rFonts w:ascii="Arial" w:hAnsi="Arial" w:cs="Arial"/>
          <w:sz w:val="20"/>
          <w:szCs w:val="20"/>
        </w:rPr>
        <w:t>Não</w:t>
      </w:r>
      <w:proofErr w:type="spellEnd"/>
      <w:r w:rsidRPr="00260156">
        <w:rPr>
          <w:rFonts w:ascii="Arial" w:hAnsi="Arial" w:cs="Arial"/>
          <w:sz w:val="20"/>
          <w:szCs w:val="20"/>
        </w:rPr>
        <w:t xml:space="preserve"> obstante tais </w:t>
      </w:r>
      <w:proofErr w:type="spellStart"/>
      <w:r w:rsidRPr="00260156">
        <w:rPr>
          <w:rFonts w:ascii="Arial" w:hAnsi="Arial" w:cs="Arial"/>
          <w:sz w:val="20"/>
          <w:szCs w:val="20"/>
        </w:rPr>
        <w:t>alegações</w:t>
      </w:r>
      <w:proofErr w:type="spellEnd"/>
      <w:r w:rsidRPr="00260156">
        <w:rPr>
          <w:rFonts w:ascii="Arial" w:hAnsi="Arial" w:cs="Arial"/>
          <w:sz w:val="20"/>
          <w:szCs w:val="20"/>
        </w:rPr>
        <w:t xml:space="preserve">, denota-se que, no caso, a </w:t>
      </w:r>
      <w:proofErr w:type="spellStart"/>
      <w:r w:rsidRPr="00260156">
        <w:rPr>
          <w:rFonts w:ascii="Arial" w:hAnsi="Arial" w:cs="Arial"/>
          <w:sz w:val="20"/>
          <w:szCs w:val="20"/>
        </w:rPr>
        <w:t>Administração</w:t>
      </w:r>
      <w:proofErr w:type="spellEnd"/>
      <w:r w:rsidRPr="00260156">
        <w:rPr>
          <w:rFonts w:ascii="Arial" w:hAnsi="Arial" w:cs="Arial"/>
          <w:sz w:val="20"/>
          <w:szCs w:val="20"/>
        </w:rPr>
        <w:t xml:space="preserve"> deixou de observar o </w:t>
      </w:r>
      <w:proofErr w:type="spellStart"/>
      <w:r w:rsidRPr="00260156">
        <w:rPr>
          <w:rFonts w:ascii="Arial" w:hAnsi="Arial" w:cs="Arial"/>
          <w:sz w:val="20"/>
          <w:szCs w:val="20"/>
        </w:rPr>
        <w:t>princípio</w:t>
      </w:r>
      <w:proofErr w:type="spellEnd"/>
      <w:r w:rsidRPr="00260156">
        <w:rPr>
          <w:rFonts w:ascii="Arial" w:hAnsi="Arial" w:cs="Arial"/>
          <w:sz w:val="20"/>
          <w:szCs w:val="20"/>
        </w:rPr>
        <w:t xml:space="preserve"> do formalismo moderado, o qual visa a evitar que o excesso de rigor reduza a competitividade do certame e, por conseguinte, a </w:t>
      </w:r>
      <w:proofErr w:type="spellStart"/>
      <w:r w:rsidRPr="00260156">
        <w:rPr>
          <w:rFonts w:ascii="Arial" w:hAnsi="Arial" w:cs="Arial"/>
          <w:sz w:val="20"/>
          <w:szCs w:val="20"/>
        </w:rPr>
        <w:t>própria</w:t>
      </w:r>
      <w:proofErr w:type="spellEnd"/>
      <w:r w:rsidRPr="00260156">
        <w:rPr>
          <w:rFonts w:ascii="Arial" w:hAnsi="Arial" w:cs="Arial"/>
          <w:sz w:val="20"/>
          <w:szCs w:val="20"/>
        </w:rPr>
        <w:t xml:space="preserve"> economicidade da </w:t>
      </w:r>
      <w:proofErr w:type="spellStart"/>
      <w:r w:rsidRPr="00260156">
        <w:rPr>
          <w:rFonts w:ascii="Arial" w:hAnsi="Arial" w:cs="Arial"/>
          <w:sz w:val="20"/>
          <w:szCs w:val="20"/>
        </w:rPr>
        <w:t>contratação</w:t>
      </w:r>
      <w:proofErr w:type="spellEnd"/>
      <w:r w:rsidRPr="00260156">
        <w:rPr>
          <w:rFonts w:ascii="Arial" w:hAnsi="Arial" w:cs="Arial"/>
          <w:sz w:val="20"/>
          <w:szCs w:val="20"/>
        </w:rPr>
        <w:t xml:space="preserve">, contrariando, assim, o </w:t>
      </w:r>
      <w:proofErr w:type="spellStart"/>
      <w:r w:rsidRPr="00260156">
        <w:rPr>
          <w:rFonts w:ascii="Arial" w:hAnsi="Arial" w:cs="Arial"/>
          <w:sz w:val="20"/>
          <w:szCs w:val="20"/>
        </w:rPr>
        <w:t>princípio</w:t>
      </w:r>
      <w:proofErr w:type="spellEnd"/>
      <w:r w:rsidRPr="00260156">
        <w:rPr>
          <w:rFonts w:ascii="Arial" w:hAnsi="Arial" w:cs="Arial"/>
          <w:sz w:val="20"/>
          <w:szCs w:val="20"/>
        </w:rPr>
        <w:t xml:space="preserve"> da vantajosidade. </w:t>
      </w:r>
    </w:p>
    <w:p w14:paraId="4D006E71" w14:textId="77777777" w:rsidR="009C0E72" w:rsidRPr="00260156" w:rsidRDefault="009C0E72" w:rsidP="009C0E72">
      <w:pPr>
        <w:pStyle w:val="PargrafodaLista"/>
        <w:spacing w:after="240"/>
        <w:ind w:left="0" w:firstLine="567"/>
        <w:jc w:val="both"/>
        <w:rPr>
          <w:rFonts w:ascii="Arial" w:hAnsi="Arial" w:cs="Arial"/>
          <w:sz w:val="20"/>
          <w:szCs w:val="20"/>
        </w:rPr>
      </w:pPr>
      <w:r w:rsidRPr="00260156">
        <w:rPr>
          <w:rFonts w:ascii="Arial" w:hAnsi="Arial" w:cs="Arial"/>
          <w:sz w:val="20"/>
          <w:szCs w:val="20"/>
        </w:rPr>
        <w:t xml:space="preserve">Com efeito, as </w:t>
      </w:r>
      <w:proofErr w:type="spellStart"/>
      <w:r w:rsidRPr="00260156">
        <w:rPr>
          <w:rFonts w:ascii="Arial" w:hAnsi="Arial" w:cs="Arial"/>
          <w:sz w:val="20"/>
          <w:szCs w:val="20"/>
        </w:rPr>
        <w:t>especificações</w:t>
      </w:r>
      <w:proofErr w:type="spellEnd"/>
      <w:r w:rsidRPr="00260156">
        <w:rPr>
          <w:rFonts w:ascii="Arial" w:hAnsi="Arial" w:cs="Arial"/>
          <w:sz w:val="20"/>
          <w:szCs w:val="20"/>
        </w:rPr>
        <w:t xml:space="preserve"> do produto que ensejaram a </w:t>
      </w:r>
      <w:proofErr w:type="spellStart"/>
      <w:r w:rsidRPr="00260156">
        <w:rPr>
          <w:rFonts w:ascii="Arial" w:hAnsi="Arial" w:cs="Arial"/>
          <w:sz w:val="20"/>
          <w:szCs w:val="20"/>
        </w:rPr>
        <w:t>inabilitação</w:t>
      </w:r>
      <w:proofErr w:type="spellEnd"/>
      <w:r w:rsidRPr="00260156">
        <w:rPr>
          <w:rFonts w:ascii="Arial" w:hAnsi="Arial" w:cs="Arial"/>
          <w:sz w:val="20"/>
          <w:szCs w:val="20"/>
        </w:rPr>
        <w:t xml:space="preserve"> da representante constituem detalhes </w:t>
      </w:r>
      <w:proofErr w:type="spellStart"/>
      <w:r w:rsidRPr="00260156">
        <w:rPr>
          <w:rFonts w:ascii="Arial" w:hAnsi="Arial" w:cs="Arial"/>
          <w:sz w:val="20"/>
          <w:szCs w:val="20"/>
        </w:rPr>
        <w:t>técnicos</w:t>
      </w:r>
      <w:proofErr w:type="spellEnd"/>
      <w:r w:rsidRPr="00260156">
        <w:rPr>
          <w:rFonts w:ascii="Arial" w:hAnsi="Arial" w:cs="Arial"/>
          <w:sz w:val="20"/>
          <w:szCs w:val="20"/>
        </w:rPr>
        <w:t xml:space="preserve"> que </w:t>
      </w:r>
      <w:proofErr w:type="spellStart"/>
      <w:r w:rsidRPr="00260156">
        <w:rPr>
          <w:rFonts w:ascii="Arial" w:hAnsi="Arial" w:cs="Arial"/>
          <w:sz w:val="20"/>
          <w:szCs w:val="20"/>
        </w:rPr>
        <w:t>não</w:t>
      </w:r>
      <w:proofErr w:type="spellEnd"/>
      <w:r w:rsidRPr="00260156">
        <w:rPr>
          <w:rFonts w:ascii="Arial" w:hAnsi="Arial" w:cs="Arial"/>
          <w:sz w:val="20"/>
          <w:szCs w:val="20"/>
        </w:rPr>
        <w:t xml:space="preserve"> alteram o resultado nem a </w:t>
      </w:r>
      <w:proofErr w:type="spellStart"/>
      <w:r w:rsidRPr="00260156">
        <w:rPr>
          <w:rFonts w:ascii="Arial" w:hAnsi="Arial" w:cs="Arial"/>
          <w:sz w:val="20"/>
          <w:szCs w:val="20"/>
        </w:rPr>
        <w:t>essência</w:t>
      </w:r>
      <w:proofErr w:type="spellEnd"/>
      <w:r w:rsidRPr="00260156">
        <w:rPr>
          <w:rFonts w:ascii="Arial" w:hAnsi="Arial" w:cs="Arial"/>
          <w:sz w:val="20"/>
          <w:szCs w:val="20"/>
        </w:rPr>
        <w:t xml:space="preserve"> dos equipamentos. </w:t>
      </w:r>
    </w:p>
    <w:p w14:paraId="2499C5B6" w14:textId="77777777" w:rsidR="009C0E72" w:rsidRPr="00260156" w:rsidRDefault="009C0E72" w:rsidP="00BE68AA">
      <w:pPr>
        <w:pStyle w:val="PargrafodaLista"/>
        <w:spacing w:after="240"/>
        <w:ind w:left="0" w:firstLine="567"/>
        <w:jc w:val="both"/>
        <w:rPr>
          <w:rFonts w:ascii="Arial" w:hAnsi="Arial" w:cs="Arial"/>
          <w:sz w:val="20"/>
          <w:szCs w:val="20"/>
        </w:rPr>
      </w:pPr>
      <w:r w:rsidRPr="00260156">
        <w:rPr>
          <w:rFonts w:ascii="Arial" w:hAnsi="Arial" w:cs="Arial"/>
          <w:sz w:val="20"/>
          <w:szCs w:val="20"/>
        </w:rPr>
        <w:lastRenderedPageBreak/>
        <w:t xml:space="preserve">Conforme ressaltou a CGM, embora a amostra conte com uma pasta </w:t>
      </w:r>
      <w:proofErr w:type="spellStart"/>
      <w:r w:rsidRPr="00260156">
        <w:rPr>
          <w:rFonts w:ascii="Arial" w:hAnsi="Arial" w:cs="Arial"/>
          <w:sz w:val="20"/>
          <w:szCs w:val="20"/>
        </w:rPr>
        <w:t>térmica</w:t>
      </w:r>
      <w:proofErr w:type="spellEnd"/>
      <w:r w:rsidRPr="00260156">
        <w:rPr>
          <w:rFonts w:ascii="Arial" w:hAnsi="Arial" w:cs="Arial"/>
          <w:sz w:val="20"/>
          <w:szCs w:val="20"/>
        </w:rPr>
        <w:t xml:space="preserve">, e </w:t>
      </w:r>
      <w:proofErr w:type="spellStart"/>
      <w:r w:rsidRPr="00260156">
        <w:rPr>
          <w:rFonts w:ascii="Arial" w:hAnsi="Arial" w:cs="Arial"/>
          <w:sz w:val="20"/>
          <w:szCs w:val="20"/>
        </w:rPr>
        <w:t>não</w:t>
      </w:r>
      <w:proofErr w:type="spellEnd"/>
      <w:r w:rsidRPr="00260156">
        <w:rPr>
          <w:rFonts w:ascii="Arial" w:hAnsi="Arial" w:cs="Arial"/>
          <w:sz w:val="20"/>
          <w:szCs w:val="20"/>
        </w:rPr>
        <w:t xml:space="preserve"> uma manta </w:t>
      </w:r>
      <w:proofErr w:type="spellStart"/>
      <w:r w:rsidRPr="00260156">
        <w:rPr>
          <w:rFonts w:ascii="Arial" w:hAnsi="Arial" w:cs="Arial"/>
          <w:sz w:val="20"/>
          <w:szCs w:val="20"/>
        </w:rPr>
        <w:t>térmica</w:t>
      </w:r>
      <w:proofErr w:type="spellEnd"/>
      <w:r w:rsidRPr="00260156">
        <w:rPr>
          <w:rFonts w:ascii="Arial" w:hAnsi="Arial" w:cs="Arial"/>
          <w:sz w:val="20"/>
          <w:szCs w:val="20"/>
        </w:rPr>
        <w:t xml:space="preserve">, como exigido no edital, ambos os componentes </w:t>
      </w:r>
      <w:proofErr w:type="spellStart"/>
      <w:r w:rsidRPr="00260156">
        <w:rPr>
          <w:rFonts w:ascii="Arial" w:hAnsi="Arial" w:cs="Arial"/>
          <w:sz w:val="20"/>
          <w:szCs w:val="20"/>
        </w:rPr>
        <w:t>são</w:t>
      </w:r>
      <w:proofErr w:type="spellEnd"/>
      <w:r w:rsidRPr="00260156">
        <w:rPr>
          <w:rFonts w:ascii="Arial" w:hAnsi="Arial" w:cs="Arial"/>
          <w:sz w:val="20"/>
          <w:szCs w:val="20"/>
        </w:rPr>
        <w:t xml:space="preserve"> isolantes </w:t>
      </w:r>
      <w:proofErr w:type="spellStart"/>
      <w:r w:rsidRPr="00260156">
        <w:rPr>
          <w:rFonts w:ascii="Arial" w:hAnsi="Arial" w:cs="Arial"/>
          <w:sz w:val="20"/>
          <w:szCs w:val="20"/>
        </w:rPr>
        <w:t>térmicos</w:t>
      </w:r>
      <w:proofErr w:type="spellEnd"/>
      <w:r w:rsidRPr="00260156">
        <w:rPr>
          <w:rFonts w:ascii="Arial" w:hAnsi="Arial" w:cs="Arial"/>
          <w:sz w:val="20"/>
          <w:szCs w:val="20"/>
        </w:rPr>
        <w:t xml:space="preserve">, possuindo a mesma </w:t>
      </w:r>
      <w:proofErr w:type="spellStart"/>
      <w:r w:rsidRPr="00260156">
        <w:rPr>
          <w:rFonts w:ascii="Arial" w:hAnsi="Arial" w:cs="Arial"/>
          <w:sz w:val="20"/>
          <w:szCs w:val="20"/>
        </w:rPr>
        <w:t>função</w:t>
      </w:r>
      <w:proofErr w:type="spellEnd"/>
      <w:r w:rsidRPr="00260156">
        <w:rPr>
          <w:rFonts w:ascii="Arial" w:hAnsi="Arial" w:cs="Arial"/>
          <w:sz w:val="20"/>
          <w:szCs w:val="20"/>
        </w:rPr>
        <w:t xml:space="preserve">. </w:t>
      </w:r>
    </w:p>
    <w:p w14:paraId="3A4296BB" w14:textId="77777777" w:rsidR="009C0E72" w:rsidRPr="00260156" w:rsidRDefault="009C0E72" w:rsidP="009C0E72">
      <w:pPr>
        <w:pStyle w:val="PargrafodaLista"/>
        <w:spacing w:after="240"/>
        <w:ind w:left="0" w:firstLine="567"/>
        <w:jc w:val="both"/>
        <w:rPr>
          <w:rFonts w:ascii="Arial" w:hAnsi="Arial" w:cs="Arial"/>
          <w:sz w:val="20"/>
          <w:szCs w:val="20"/>
        </w:rPr>
      </w:pPr>
      <w:r w:rsidRPr="00260156">
        <w:rPr>
          <w:rFonts w:ascii="Arial" w:hAnsi="Arial" w:cs="Arial"/>
          <w:sz w:val="20"/>
          <w:szCs w:val="20"/>
        </w:rPr>
        <w:t xml:space="preserve">Importa destacar que o detalhamento da amostra demonstra que o produto possui condutividade </w:t>
      </w:r>
      <w:proofErr w:type="spellStart"/>
      <w:r w:rsidRPr="00260156">
        <w:rPr>
          <w:rFonts w:ascii="Arial" w:hAnsi="Arial" w:cs="Arial"/>
          <w:sz w:val="20"/>
          <w:szCs w:val="20"/>
        </w:rPr>
        <w:t>térmica</w:t>
      </w:r>
      <w:proofErr w:type="spellEnd"/>
      <w:r w:rsidRPr="00260156">
        <w:rPr>
          <w:rFonts w:ascii="Arial" w:hAnsi="Arial" w:cs="Arial"/>
          <w:sz w:val="20"/>
          <w:szCs w:val="20"/>
        </w:rPr>
        <w:t xml:space="preserve"> de 7,0 W/m.K7, ou seja, dentro da margem de 6 a 350W/</w:t>
      </w:r>
      <w:proofErr w:type="spellStart"/>
      <w:r w:rsidRPr="00260156">
        <w:rPr>
          <w:rFonts w:ascii="Arial" w:hAnsi="Arial" w:cs="Arial"/>
          <w:sz w:val="20"/>
          <w:szCs w:val="20"/>
        </w:rPr>
        <w:t>m.K</w:t>
      </w:r>
      <w:proofErr w:type="spellEnd"/>
      <w:r w:rsidRPr="00260156">
        <w:rPr>
          <w:rFonts w:ascii="Arial" w:hAnsi="Arial" w:cs="Arial"/>
          <w:sz w:val="20"/>
          <w:szCs w:val="20"/>
        </w:rPr>
        <w:t xml:space="preserve">, solicitada no certame. </w:t>
      </w:r>
    </w:p>
    <w:p w14:paraId="279D65F1" w14:textId="61234426" w:rsidR="009C0E72" w:rsidRPr="00C6231F" w:rsidRDefault="009C0E72" w:rsidP="009C0E72">
      <w:pPr>
        <w:pStyle w:val="PargrafodaLista"/>
        <w:autoSpaceDE w:val="0"/>
        <w:autoSpaceDN w:val="0"/>
        <w:adjustRightInd w:val="0"/>
        <w:spacing w:after="120"/>
        <w:ind w:left="0" w:firstLine="567"/>
        <w:jc w:val="both"/>
        <w:rPr>
          <w:rFonts w:ascii="Arial" w:hAnsi="Arial" w:cs="Arial"/>
          <w:sz w:val="20"/>
          <w:szCs w:val="20"/>
        </w:rPr>
      </w:pPr>
      <w:r w:rsidRPr="00260156">
        <w:rPr>
          <w:rFonts w:ascii="Arial" w:hAnsi="Arial" w:cs="Arial"/>
          <w:sz w:val="20"/>
          <w:szCs w:val="20"/>
        </w:rPr>
        <w:t xml:space="preserve">Ademais, consoante salientou a Coordenadoria, </w:t>
      </w:r>
      <w:proofErr w:type="spellStart"/>
      <w:r w:rsidRPr="00260156">
        <w:rPr>
          <w:rFonts w:ascii="Arial" w:hAnsi="Arial" w:cs="Arial"/>
          <w:sz w:val="20"/>
          <w:szCs w:val="20"/>
        </w:rPr>
        <w:t>não</w:t>
      </w:r>
      <w:proofErr w:type="spellEnd"/>
      <w:r w:rsidRPr="00260156">
        <w:rPr>
          <w:rFonts w:ascii="Arial" w:hAnsi="Arial" w:cs="Arial"/>
          <w:sz w:val="20"/>
          <w:szCs w:val="20"/>
        </w:rPr>
        <w:t xml:space="preserve"> há que se falar que a pasta </w:t>
      </w:r>
      <w:proofErr w:type="spellStart"/>
      <w:r w:rsidRPr="00260156">
        <w:rPr>
          <w:rFonts w:ascii="Arial" w:hAnsi="Arial" w:cs="Arial"/>
          <w:sz w:val="20"/>
          <w:szCs w:val="20"/>
        </w:rPr>
        <w:t>térmica</w:t>
      </w:r>
      <w:proofErr w:type="spellEnd"/>
      <w:r w:rsidRPr="00260156">
        <w:rPr>
          <w:rFonts w:ascii="Arial" w:hAnsi="Arial" w:cs="Arial"/>
          <w:sz w:val="20"/>
          <w:szCs w:val="20"/>
        </w:rPr>
        <w:t xml:space="preserve"> </w:t>
      </w:r>
      <w:proofErr w:type="spellStart"/>
      <w:r w:rsidRPr="00260156">
        <w:rPr>
          <w:rFonts w:ascii="Arial" w:hAnsi="Arial" w:cs="Arial"/>
          <w:sz w:val="20"/>
          <w:szCs w:val="20"/>
        </w:rPr>
        <w:t>não</w:t>
      </w:r>
      <w:proofErr w:type="spellEnd"/>
      <w:r w:rsidRPr="00260156">
        <w:rPr>
          <w:rFonts w:ascii="Arial" w:hAnsi="Arial" w:cs="Arial"/>
          <w:sz w:val="20"/>
          <w:szCs w:val="20"/>
        </w:rPr>
        <w:t xml:space="preserve"> cubra, em sua integralidade, a </w:t>
      </w:r>
      <w:proofErr w:type="spellStart"/>
      <w:r w:rsidRPr="00260156">
        <w:rPr>
          <w:rFonts w:ascii="Arial" w:hAnsi="Arial" w:cs="Arial"/>
          <w:sz w:val="20"/>
          <w:szCs w:val="20"/>
        </w:rPr>
        <w:t>área</w:t>
      </w:r>
      <w:proofErr w:type="spellEnd"/>
      <w:r w:rsidRPr="00260156">
        <w:rPr>
          <w:rFonts w:ascii="Arial" w:hAnsi="Arial" w:cs="Arial"/>
          <w:sz w:val="20"/>
          <w:szCs w:val="20"/>
        </w:rPr>
        <w:t xml:space="preserve"> </w:t>
      </w:r>
      <w:proofErr w:type="spellStart"/>
      <w:r w:rsidRPr="00260156">
        <w:rPr>
          <w:rFonts w:ascii="Arial" w:hAnsi="Arial" w:cs="Arial"/>
          <w:sz w:val="20"/>
          <w:szCs w:val="20"/>
        </w:rPr>
        <w:t>necessária</w:t>
      </w:r>
      <w:proofErr w:type="spellEnd"/>
      <w:r w:rsidRPr="00260156">
        <w:rPr>
          <w:rFonts w:ascii="Arial" w:hAnsi="Arial" w:cs="Arial"/>
          <w:sz w:val="20"/>
          <w:szCs w:val="20"/>
        </w:rPr>
        <w:t xml:space="preserve">, pois, na </w:t>
      </w:r>
      <w:proofErr w:type="spellStart"/>
      <w:r w:rsidRPr="00260156">
        <w:rPr>
          <w:rFonts w:ascii="Arial" w:hAnsi="Arial" w:cs="Arial"/>
          <w:sz w:val="20"/>
          <w:szCs w:val="20"/>
        </w:rPr>
        <w:t>mídia</w:t>
      </w:r>
      <w:proofErr w:type="spellEnd"/>
      <w:r w:rsidRPr="00260156">
        <w:rPr>
          <w:rFonts w:ascii="Arial" w:hAnsi="Arial" w:cs="Arial"/>
          <w:sz w:val="20"/>
          <w:szCs w:val="20"/>
        </w:rPr>
        <w:t xml:space="preserve"> indicada pela representante para demonstrar o passo a passo do processo de </w:t>
      </w:r>
      <w:proofErr w:type="spellStart"/>
      <w:r w:rsidRPr="00260156">
        <w:rPr>
          <w:rFonts w:ascii="Arial" w:hAnsi="Arial" w:cs="Arial"/>
          <w:sz w:val="20"/>
          <w:szCs w:val="20"/>
        </w:rPr>
        <w:t>aplicação</w:t>
      </w:r>
      <w:proofErr w:type="spellEnd"/>
      <w:r w:rsidRPr="00260156">
        <w:rPr>
          <w:rFonts w:ascii="Arial" w:hAnsi="Arial" w:cs="Arial"/>
          <w:sz w:val="20"/>
          <w:szCs w:val="20"/>
        </w:rPr>
        <w:t xml:space="preserve"> da placa </w:t>
      </w:r>
      <w:proofErr w:type="spellStart"/>
      <w:r w:rsidRPr="00260156">
        <w:rPr>
          <w:rFonts w:ascii="Arial" w:hAnsi="Arial" w:cs="Arial"/>
          <w:sz w:val="20"/>
          <w:szCs w:val="20"/>
        </w:rPr>
        <w:t>térmica</w:t>
      </w:r>
      <w:proofErr w:type="spellEnd"/>
      <w:r w:rsidRPr="00260156">
        <w:rPr>
          <w:rFonts w:ascii="Arial" w:hAnsi="Arial" w:cs="Arial"/>
          <w:sz w:val="20"/>
          <w:szCs w:val="20"/>
        </w:rPr>
        <w:t xml:space="preserve">, é </w:t>
      </w:r>
      <w:proofErr w:type="spellStart"/>
      <w:r w:rsidRPr="00260156">
        <w:rPr>
          <w:rFonts w:ascii="Arial" w:hAnsi="Arial" w:cs="Arial"/>
          <w:sz w:val="20"/>
          <w:szCs w:val="20"/>
        </w:rPr>
        <w:t>possível</w:t>
      </w:r>
      <w:proofErr w:type="spellEnd"/>
      <w:r w:rsidRPr="00260156">
        <w:rPr>
          <w:rFonts w:ascii="Arial" w:hAnsi="Arial" w:cs="Arial"/>
          <w:sz w:val="20"/>
          <w:szCs w:val="20"/>
        </w:rPr>
        <w:t xml:space="preserve"> verificar que o material é espalhado por toda a </w:t>
      </w:r>
      <w:proofErr w:type="spellStart"/>
      <w:r w:rsidRPr="00260156">
        <w:rPr>
          <w:rFonts w:ascii="Arial" w:hAnsi="Arial" w:cs="Arial"/>
          <w:sz w:val="20"/>
          <w:szCs w:val="20"/>
        </w:rPr>
        <w:t>superfície</w:t>
      </w:r>
      <w:proofErr w:type="spellEnd"/>
      <w:r w:rsidRPr="00260156">
        <w:rPr>
          <w:rFonts w:ascii="Arial" w:hAnsi="Arial" w:cs="Arial"/>
          <w:sz w:val="20"/>
          <w:szCs w:val="20"/>
        </w:rPr>
        <w:t xml:space="preserve"> indicada, </w:t>
      </w:r>
      <w:proofErr w:type="spellStart"/>
      <w:r w:rsidRPr="00260156">
        <w:rPr>
          <w:rFonts w:ascii="Arial" w:hAnsi="Arial" w:cs="Arial"/>
          <w:sz w:val="20"/>
          <w:szCs w:val="20"/>
        </w:rPr>
        <w:t>além</w:t>
      </w:r>
      <w:proofErr w:type="spellEnd"/>
      <w:r w:rsidRPr="00260156">
        <w:rPr>
          <w:rFonts w:ascii="Arial" w:hAnsi="Arial" w:cs="Arial"/>
          <w:sz w:val="20"/>
          <w:szCs w:val="20"/>
        </w:rPr>
        <w:t xml:space="preserve"> do que, como argumentou a empresa, “a </w:t>
      </w:r>
      <w:proofErr w:type="spellStart"/>
      <w:r w:rsidRPr="00260156">
        <w:rPr>
          <w:rFonts w:ascii="Arial" w:hAnsi="Arial" w:cs="Arial"/>
          <w:sz w:val="20"/>
          <w:szCs w:val="20"/>
        </w:rPr>
        <w:t>própria</w:t>
      </w:r>
      <w:proofErr w:type="spellEnd"/>
      <w:r w:rsidRPr="00260156">
        <w:rPr>
          <w:rFonts w:ascii="Arial" w:hAnsi="Arial" w:cs="Arial"/>
          <w:sz w:val="20"/>
          <w:szCs w:val="20"/>
        </w:rPr>
        <w:t xml:space="preserve"> que o </w:t>
      </w:r>
      <w:proofErr w:type="spellStart"/>
      <w:r w:rsidRPr="00260156">
        <w:rPr>
          <w:rFonts w:ascii="Arial" w:hAnsi="Arial" w:cs="Arial"/>
          <w:sz w:val="20"/>
          <w:szCs w:val="20"/>
        </w:rPr>
        <w:t>Município</w:t>
      </w:r>
      <w:proofErr w:type="spellEnd"/>
      <w:r w:rsidRPr="00260156">
        <w:rPr>
          <w:rFonts w:ascii="Arial" w:hAnsi="Arial" w:cs="Arial"/>
          <w:sz w:val="20"/>
          <w:szCs w:val="20"/>
        </w:rPr>
        <w:t xml:space="preserve"> indica como prova de que a pasta </w:t>
      </w:r>
      <w:proofErr w:type="spellStart"/>
      <w:r w:rsidRPr="00260156">
        <w:rPr>
          <w:rFonts w:ascii="Arial" w:hAnsi="Arial" w:cs="Arial"/>
          <w:sz w:val="20"/>
          <w:szCs w:val="20"/>
        </w:rPr>
        <w:t>não</w:t>
      </w:r>
      <w:proofErr w:type="spellEnd"/>
      <w:r w:rsidRPr="00260156">
        <w:rPr>
          <w:rFonts w:ascii="Arial" w:hAnsi="Arial" w:cs="Arial"/>
          <w:sz w:val="20"/>
          <w:szCs w:val="20"/>
        </w:rPr>
        <w:t xml:space="preserve"> cobre todo o dispositivo, revela o preenchimento integral do dispositivo. Há material (pasta) espalhado por toda a </w:t>
      </w:r>
      <w:proofErr w:type="spellStart"/>
      <w:r w:rsidRPr="00260156">
        <w:rPr>
          <w:rFonts w:ascii="Arial" w:hAnsi="Arial" w:cs="Arial"/>
          <w:sz w:val="20"/>
          <w:szCs w:val="20"/>
        </w:rPr>
        <w:t>luminária</w:t>
      </w:r>
      <w:proofErr w:type="spellEnd"/>
      <w:r w:rsidRPr="00260156">
        <w:rPr>
          <w:rFonts w:ascii="Arial" w:hAnsi="Arial" w:cs="Arial"/>
          <w:sz w:val="20"/>
          <w:szCs w:val="20"/>
        </w:rPr>
        <w:t xml:space="preserve"> (tanto na parte da tampa como na parte inferior).</w:t>
      </w:r>
    </w:p>
    <w:p w14:paraId="23F1D833" w14:textId="6753716A" w:rsidR="009C0E72" w:rsidRDefault="009C0E72" w:rsidP="000118CD">
      <w:pPr>
        <w:autoSpaceDE w:val="0"/>
        <w:autoSpaceDN w:val="0"/>
        <w:adjustRightInd w:val="0"/>
        <w:spacing w:after="240"/>
        <w:jc w:val="both"/>
        <w:rPr>
          <w:rFonts w:ascii="Arial" w:eastAsia="Arial" w:hAnsi="Arial" w:cs="Arial"/>
          <w:color w:val="000000" w:themeColor="text1"/>
          <w:sz w:val="20"/>
          <w:szCs w:val="20"/>
        </w:rPr>
      </w:pPr>
      <w:r w:rsidRPr="00C6231F">
        <w:rPr>
          <w:rFonts w:ascii="Arial" w:eastAsia="Arial" w:hAnsi="Arial" w:cs="Arial"/>
          <w:color w:val="000000" w:themeColor="text1"/>
          <w:sz w:val="20"/>
          <w:szCs w:val="20"/>
        </w:rPr>
        <w:t>Processo n.º</w:t>
      </w:r>
      <w:r w:rsidRPr="00C6231F">
        <w:rPr>
          <w:rFonts w:ascii="Arial" w:eastAsia="Arial" w:hAnsi="Arial" w:cs="Arial"/>
          <w:sz w:val="20"/>
          <w:szCs w:val="20"/>
        </w:rPr>
        <w:t xml:space="preserve"> </w:t>
      </w:r>
      <w:r>
        <w:rPr>
          <w:rFonts w:ascii="Arial" w:eastAsia="Arial" w:hAnsi="Arial" w:cs="Arial"/>
          <w:sz w:val="20"/>
          <w:szCs w:val="20"/>
        </w:rPr>
        <w:t>30339/24</w:t>
      </w:r>
      <w:r w:rsidRPr="00C6231F">
        <w:rPr>
          <w:rFonts w:ascii="Arial" w:eastAsia="Arial" w:hAnsi="Arial" w:cs="Arial"/>
          <w:sz w:val="20"/>
          <w:szCs w:val="20"/>
        </w:rPr>
        <w:t xml:space="preserve">, </w:t>
      </w:r>
      <w:hyperlink r:id="rId16" w:history="1">
        <w:r>
          <w:rPr>
            <w:rStyle w:val="Hyperlink"/>
            <w:rFonts w:ascii="Arial" w:hAnsi="Arial" w:cs="Arial"/>
            <w:sz w:val="20"/>
            <w:szCs w:val="20"/>
          </w:rPr>
          <w:t>Acórdão n.º 1406/24</w:t>
        </w:r>
      </w:hyperlink>
      <w:hyperlink r:id="rId17" w:history="1"/>
      <w:r w:rsidRPr="00C6231F">
        <w:rPr>
          <w:rFonts w:ascii="Arial" w:eastAsia="Arial" w:hAnsi="Arial" w:cs="Arial"/>
          <w:color w:val="000000" w:themeColor="text1"/>
          <w:sz w:val="20"/>
          <w:szCs w:val="20"/>
        </w:rPr>
        <w:t xml:space="preserve">, Tribunal Pleno, Relator Conselheiro </w:t>
      </w:r>
      <w:r>
        <w:rPr>
          <w:rFonts w:ascii="Arial" w:eastAsia="Arial" w:hAnsi="Arial" w:cs="Arial"/>
          <w:color w:val="000000" w:themeColor="text1"/>
          <w:sz w:val="20"/>
          <w:szCs w:val="20"/>
        </w:rPr>
        <w:t>Ivan Lelis Bonilha</w:t>
      </w:r>
      <w:r w:rsidRPr="00C6231F">
        <w:rPr>
          <w:rFonts w:ascii="Arial" w:eastAsia="Arial" w:hAnsi="Arial" w:cs="Arial"/>
          <w:color w:val="000000" w:themeColor="text1"/>
          <w:sz w:val="20"/>
          <w:szCs w:val="20"/>
        </w:rPr>
        <w:t xml:space="preserve">, julgado em </w:t>
      </w:r>
      <w:r>
        <w:rPr>
          <w:rFonts w:ascii="Arial" w:eastAsia="Arial" w:hAnsi="Arial" w:cs="Arial"/>
          <w:color w:val="000000" w:themeColor="text1"/>
          <w:sz w:val="20"/>
          <w:szCs w:val="20"/>
        </w:rPr>
        <w:t>29</w:t>
      </w:r>
      <w:r w:rsidRPr="00C6231F">
        <w:rPr>
          <w:rFonts w:ascii="Arial" w:eastAsia="Arial" w:hAnsi="Arial" w:cs="Arial"/>
          <w:color w:val="000000" w:themeColor="text1"/>
          <w:sz w:val="20"/>
          <w:szCs w:val="20"/>
        </w:rPr>
        <w:t>/5/2024 e veiculado em 5/</w:t>
      </w:r>
      <w:r>
        <w:rPr>
          <w:rFonts w:ascii="Arial" w:eastAsia="Arial" w:hAnsi="Arial" w:cs="Arial"/>
          <w:color w:val="000000" w:themeColor="text1"/>
          <w:sz w:val="20"/>
          <w:szCs w:val="20"/>
        </w:rPr>
        <w:t>6</w:t>
      </w:r>
      <w:r w:rsidRPr="00C6231F">
        <w:rPr>
          <w:rFonts w:ascii="Arial" w:eastAsia="Arial" w:hAnsi="Arial" w:cs="Arial"/>
          <w:color w:val="000000" w:themeColor="text1"/>
          <w:sz w:val="20"/>
          <w:szCs w:val="20"/>
        </w:rPr>
        <w:t>/2024.</w:t>
      </w:r>
    </w:p>
    <w:p w14:paraId="4C8751FF" w14:textId="0A229F67" w:rsidR="00681802" w:rsidRPr="00E25FE0" w:rsidRDefault="00681802" w:rsidP="00681802">
      <w:pPr>
        <w:pStyle w:val="Ttulo1"/>
        <w:spacing w:before="120"/>
      </w:pPr>
      <w:bookmarkStart w:id="4" w:name="_Toc171896155"/>
      <w:r>
        <w:t>4</w:t>
      </w:r>
      <w:r>
        <w:t xml:space="preserve">. </w:t>
      </w:r>
      <w:proofErr w:type="spellStart"/>
      <w:r w:rsidR="00D67C77" w:rsidRPr="00D67C77">
        <w:t>Representação</w:t>
      </w:r>
      <w:proofErr w:type="spellEnd"/>
      <w:r w:rsidR="00D67C77" w:rsidRPr="00D67C77">
        <w:t xml:space="preserve"> da Lei de </w:t>
      </w:r>
      <w:proofErr w:type="spellStart"/>
      <w:r w:rsidR="00D67C77" w:rsidRPr="00D67C77">
        <w:t>Licitações</w:t>
      </w:r>
      <w:proofErr w:type="spellEnd"/>
      <w:r w:rsidR="00D67C77" w:rsidRPr="00D67C77">
        <w:t xml:space="preserve">. Medida cautelar de </w:t>
      </w:r>
      <w:proofErr w:type="spellStart"/>
      <w:r w:rsidR="00D67C77" w:rsidRPr="00D67C77">
        <w:t>suspensão</w:t>
      </w:r>
      <w:proofErr w:type="spellEnd"/>
      <w:r w:rsidR="00D67C77" w:rsidRPr="00D67C77">
        <w:t xml:space="preserve"> de procedimento </w:t>
      </w:r>
      <w:proofErr w:type="spellStart"/>
      <w:r w:rsidR="00D67C77" w:rsidRPr="00D67C77">
        <w:t>licitatório</w:t>
      </w:r>
      <w:proofErr w:type="spellEnd"/>
      <w:r w:rsidR="00D67C77" w:rsidRPr="00D67C77">
        <w:t xml:space="preserve">. </w:t>
      </w:r>
      <w:proofErr w:type="spellStart"/>
      <w:r w:rsidR="00D67C77" w:rsidRPr="00D67C77">
        <w:t>Homologação</w:t>
      </w:r>
      <w:proofErr w:type="spellEnd"/>
      <w:r w:rsidR="00D67C77" w:rsidRPr="00D67C77">
        <w:t>.</w:t>
      </w:r>
      <w:bookmarkEnd w:id="4"/>
      <w:r w:rsidRPr="006E239F">
        <w:t xml:space="preserve"> </w:t>
      </w:r>
    </w:p>
    <w:p w14:paraId="7E617036" w14:textId="77777777" w:rsidR="00681802" w:rsidRPr="00D67C77" w:rsidRDefault="00681802" w:rsidP="00681802">
      <w:pPr>
        <w:autoSpaceDE w:val="0"/>
        <w:autoSpaceDN w:val="0"/>
        <w:adjustRightInd w:val="0"/>
        <w:spacing w:after="0"/>
        <w:ind w:firstLine="567"/>
        <w:jc w:val="both"/>
        <w:rPr>
          <w:rFonts w:ascii="Arial" w:hAnsi="Arial" w:cs="Arial"/>
          <w:sz w:val="20"/>
          <w:szCs w:val="20"/>
        </w:rPr>
      </w:pPr>
      <w:r w:rsidRPr="00D67C77">
        <w:rPr>
          <w:rFonts w:ascii="Arial" w:hAnsi="Arial" w:cs="Arial"/>
          <w:sz w:val="20"/>
          <w:szCs w:val="20"/>
        </w:rPr>
        <w:t xml:space="preserve">Ao se analisar os autos, verifica-se que neste expediente um dos apontamentos feitos pela representante refere-se justamente à </w:t>
      </w:r>
      <w:proofErr w:type="spellStart"/>
      <w:r w:rsidRPr="00D67C77">
        <w:rPr>
          <w:rFonts w:ascii="Arial" w:hAnsi="Arial" w:cs="Arial"/>
          <w:sz w:val="20"/>
          <w:szCs w:val="20"/>
        </w:rPr>
        <w:t>admissão</w:t>
      </w:r>
      <w:proofErr w:type="spellEnd"/>
      <w:r w:rsidRPr="00D67C77">
        <w:rPr>
          <w:rFonts w:ascii="Arial" w:hAnsi="Arial" w:cs="Arial"/>
          <w:sz w:val="20"/>
          <w:szCs w:val="20"/>
        </w:rPr>
        <w:t xml:space="preserve"> de taxa de</w:t>
      </w:r>
      <w:r>
        <w:rPr>
          <w:rFonts w:ascii="Arial" w:hAnsi="Arial" w:cs="Arial"/>
          <w:sz w:val="20"/>
          <w:szCs w:val="20"/>
        </w:rPr>
        <w:t xml:space="preserve"> </w:t>
      </w:r>
      <w:proofErr w:type="spellStart"/>
      <w:r w:rsidRPr="00D67C77">
        <w:rPr>
          <w:rFonts w:ascii="Arial" w:hAnsi="Arial" w:cs="Arial"/>
          <w:sz w:val="20"/>
          <w:szCs w:val="20"/>
        </w:rPr>
        <w:t>administração</w:t>
      </w:r>
      <w:proofErr w:type="spellEnd"/>
      <w:r w:rsidRPr="00D67C77">
        <w:rPr>
          <w:rFonts w:ascii="Arial" w:hAnsi="Arial" w:cs="Arial"/>
          <w:sz w:val="20"/>
          <w:szCs w:val="20"/>
        </w:rPr>
        <w:t xml:space="preserve"> negativa. </w:t>
      </w:r>
    </w:p>
    <w:p w14:paraId="7B1AB9E1" w14:textId="77777777" w:rsidR="00681802" w:rsidRPr="006E239F" w:rsidRDefault="00681802" w:rsidP="00681802">
      <w:pPr>
        <w:autoSpaceDE w:val="0"/>
        <w:autoSpaceDN w:val="0"/>
        <w:adjustRightInd w:val="0"/>
        <w:spacing w:after="240"/>
        <w:ind w:firstLine="567"/>
        <w:jc w:val="both"/>
        <w:rPr>
          <w:rFonts w:ascii="Arial" w:hAnsi="Arial" w:cs="Arial"/>
          <w:sz w:val="20"/>
          <w:szCs w:val="20"/>
        </w:rPr>
      </w:pPr>
      <w:r w:rsidRPr="00D67C77">
        <w:rPr>
          <w:rFonts w:ascii="Arial" w:hAnsi="Arial" w:cs="Arial"/>
          <w:sz w:val="20"/>
          <w:szCs w:val="20"/>
        </w:rPr>
        <w:t xml:space="preserve">Nesse ponto, informo que recentemente o TCE-PR, por meio do </w:t>
      </w:r>
      <w:proofErr w:type="spellStart"/>
      <w:r w:rsidRPr="00D67C77">
        <w:rPr>
          <w:rFonts w:ascii="Arial" w:hAnsi="Arial" w:cs="Arial"/>
          <w:sz w:val="20"/>
          <w:szCs w:val="20"/>
        </w:rPr>
        <w:t>Acórdão</w:t>
      </w:r>
      <w:proofErr w:type="spellEnd"/>
      <w:r w:rsidRPr="00D67C77">
        <w:rPr>
          <w:rFonts w:ascii="Arial" w:hAnsi="Arial" w:cs="Arial"/>
          <w:sz w:val="20"/>
          <w:szCs w:val="20"/>
        </w:rPr>
        <w:t xml:space="preserve"> n.</w:t>
      </w:r>
      <w:r>
        <w:rPr>
          <w:rFonts w:ascii="Arial" w:hAnsi="Arial" w:cs="Arial"/>
          <w:sz w:val="20"/>
          <w:szCs w:val="20"/>
        </w:rPr>
        <w:t>º</w:t>
      </w:r>
      <w:r w:rsidRPr="00D67C77">
        <w:rPr>
          <w:rFonts w:ascii="Arial" w:hAnsi="Arial" w:cs="Arial"/>
          <w:sz w:val="20"/>
          <w:szCs w:val="20"/>
        </w:rPr>
        <w:t xml:space="preserve"> 1053/24-STP, publicado em 02/05/2024, referente ao Prejulgado n.</w:t>
      </w:r>
      <w:r>
        <w:rPr>
          <w:rFonts w:ascii="Arial" w:hAnsi="Arial" w:cs="Arial"/>
          <w:sz w:val="20"/>
          <w:szCs w:val="20"/>
        </w:rPr>
        <w:t>º</w:t>
      </w:r>
      <w:r w:rsidRPr="00D67C77">
        <w:rPr>
          <w:rFonts w:ascii="Arial" w:hAnsi="Arial" w:cs="Arial"/>
          <w:sz w:val="20"/>
          <w:szCs w:val="20"/>
        </w:rPr>
        <w:t xml:space="preserve"> 34, consolidou o entendimento de que a </w:t>
      </w:r>
      <w:proofErr w:type="spellStart"/>
      <w:r w:rsidRPr="00D67C77">
        <w:rPr>
          <w:rFonts w:ascii="Arial" w:hAnsi="Arial" w:cs="Arial"/>
          <w:sz w:val="20"/>
          <w:szCs w:val="20"/>
        </w:rPr>
        <w:t>proibição</w:t>
      </w:r>
      <w:proofErr w:type="spellEnd"/>
      <w:r w:rsidRPr="00D67C77">
        <w:rPr>
          <w:rFonts w:ascii="Arial" w:hAnsi="Arial" w:cs="Arial"/>
          <w:sz w:val="20"/>
          <w:szCs w:val="20"/>
        </w:rPr>
        <w:t xml:space="preserve"> estabelecida no art. 3</w:t>
      </w:r>
      <w:r>
        <w:rPr>
          <w:rFonts w:ascii="Arial" w:hAnsi="Arial" w:cs="Arial"/>
          <w:sz w:val="20"/>
          <w:szCs w:val="20"/>
        </w:rPr>
        <w:t>º</w:t>
      </w:r>
      <w:r w:rsidRPr="00D67C77">
        <w:rPr>
          <w:rFonts w:ascii="Arial" w:hAnsi="Arial" w:cs="Arial"/>
          <w:sz w:val="20"/>
          <w:szCs w:val="20"/>
        </w:rPr>
        <w:t>, I e III, da Lei n</w:t>
      </w:r>
      <w:r>
        <w:rPr>
          <w:rFonts w:ascii="Arial" w:hAnsi="Arial" w:cs="Arial"/>
          <w:sz w:val="20"/>
          <w:szCs w:val="20"/>
        </w:rPr>
        <w:t>.º</w:t>
      </w:r>
      <w:r w:rsidRPr="00D67C77">
        <w:rPr>
          <w:rFonts w:ascii="Arial" w:hAnsi="Arial" w:cs="Arial"/>
          <w:sz w:val="20"/>
          <w:szCs w:val="20"/>
        </w:rPr>
        <w:t xml:space="preserve"> 14.442/22 aplica-se apenas aos </w:t>
      </w:r>
      <w:proofErr w:type="spellStart"/>
      <w:r w:rsidRPr="00D67C77">
        <w:rPr>
          <w:rFonts w:ascii="Arial" w:hAnsi="Arial" w:cs="Arial"/>
          <w:sz w:val="20"/>
          <w:szCs w:val="20"/>
        </w:rPr>
        <w:t>órgãos</w:t>
      </w:r>
      <w:proofErr w:type="spellEnd"/>
      <w:r w:rsidRPr="00D67C77">
        <w:rPr>
          <w:rFonts w:ascii="Arial" w:hAnsi="Arial" w:cs="Arial"/>
          <w:sz w:val="20"/>
          <w:szCs w:val="20"/>
        </w:rPr>
        <w:t xml:space="preserve"> e entidades da </w:t>
      </w:r>
      <w:proofErr w:type="spellStart"/>
      <w:r w:rsidRPr="00D67C77">
        <w:rPr>
          <w:rFonts w:ascii="Arial" w:hAnsi="Arial" w:cs="Arial"/>
          <w:sz w:val="20"/>
          <w:szCs w:val="20"/>
        </w:rPr>
        <w:t>Administração</w:t>
      </w:r>
      <w:proofErr w:type="spellEnd"/>
      <w:r w:rsidRPr="00D67C77">
        <w:rPr>
          <w:rFonts w:ascii="Arial" w:hAnsi="Arial" w:cs="Arial"/>
          <w:sz w:val="20"/>
          <w:szCs w:val="20"/>
        </w:rPr>
        <w:t xml:space="preserve"> </w:t>
      </w:r>
      <w:proofErr w:type="spellStart"/>
      <w:r w:rsidRPr="00D67C77">
        <w:rPr>
          <w:rFonts w:ascii="Arial" w:hAnsi="Arial" w:cs="Arial"/>
          <w:sz w:val="20"/>
          <w:szCs w:val="20"/>
        </w:rPr>
        <w:t>Pública</w:t>
      </w:r>
      <w:proofErr w:type="spellEnd"/>
      <w:r w:rsidRPr="00D67C77">
        <w:rPr>
          <w:rFonts w:ascii="Arial" w:hAnsi="Arial" w:cs="Arial"/>
          <w:sz w:val="20"/>
          <w:szCs w:val="20"/>
        </w:rPr>
        <w:t xml:space="preserve"> cujo quadro de pessoal seja formado por empregados </w:t>
      </w:r>
      <w:proofErr w:type="spellStart"/>
      <w:r w:rsidRPr="00D67C77">
        <w:rPr>
          <w:rFonts w:ascii="Arial" w:hAnsi="Arial" w:cs="Arial"/>
          <w:sz w:val="20"/>
          <w:szCs w:val="20"/>
        </w:rPr>
        <w:t>públicos</w:t>
      </w:r>
      <w:proofErr w:type="spellEnd"/>
      <w:r w:rsidRPr="00D67C77">
        <w:rPr>
          <w:rFonts w:ascii="Arial" w:hAnsi="Arial" w:cs="Arial"/>
          <w:sz w:val="20"/>
          <w:szCs w:val="20"/>
        </w:rPr>
        <w:t>, submetidos ao regime celetista, vejamos:</w:t>
      </w:r>
      <w:r w:rsidRPr="006E239F">
        <w:rPr>
          <w:rFonts w:ascii="Arial" w:hAnsi="Arial" w:cs="Arial"/>
          <w:sz w:val="20"/>
          <w:szCs w:val="20"/>
        </w:rPr>
        <w:t xml:space="preserve"> </w:t>
      </w:r>
    </w:p>
    <w:p w14:paraId="4B59ED17" w14:textId="77777777" w:rsidR="00681802" w:rsidRPr="00D67C77" w:rsidRDefault="00681802" w:rsidP="00681802">
      <w:pPr>
        <w:autoSpaceDE w:val="0"/>
        <w:autoSpaceDN w:val="0"/>
        <w:adjustRightInd w:val="0"/>
        <w:spacing w:after="0"/>
        <w:ind w:left="2268"/>
        <w:jc w:val="both"/>
        <w:rPr>
          <w:rFonts w:ascii="Arial" w:hAnsi="Arial" w:cs="Arial"/>
          <w:sz w:val="20"/>
          <w:szCs w:val="20"/>
        </w:rPr>
      </w:pPr>
      <w:r>
        <w:rPr>
          <w:rFonts w:ascii="Arial" w:hAnsi="Arial" w:cs="Arial"/>
          <w:sz w:val="20"/>
          <w:szCs w:val="20"/>
        </w:rPr>
        <w:t>“</w:t>
      </w:r>
      <w:r w:rsidRPr="00D67C77">
        <w:rPr>
          <w:rFonts w:ascii="Arial" w:hAnsi="Arial" w:cs="Arial"/>
          <w:sz w:val="20"/>
          <w:szCs w:val="20"/>
        </w:rPr>
        <w:t xml:space="preserve">A </w:t>
      </w:r>
      <w:proofErr w:type="spellStart"/>
      <w:r w:rsidRPr="00D67C77">
        <w:rPr>
          <w:rFonts w:ascii="Arial" w:hAnsi="Arial" w:cs="Arial"/>
          <w:sz w:val="20"/>
          <w:szCs w:val="20"/>
        </w:rPr>
        <w:t>proibição</w:t>
      </w:r>
      <w:proofErr w:type="spellEnd"/>
      <w:r w:rsidRPr="00D67C77">
        <w:rPr>
          <w:rFonts w:ascii="Arial" w:hAnsi="Arial" w:cs="Arial"/>
          <w:sz w:val="20"/>
          <w:szCs w:val="20"/>
        </w:rPr>
        <w:t xml:space="preserve"> estabelecida no art. 3°, I e III, da Lei n° 14.442/22 aplica-se apenas aos </w:t>
      </w:r>
      <w:proofErr w:type="spellStart"/>
      <w:r w:rsidRPr="00D67C77">
        <w:rPr>
          <w:rFonts w:ascii="Arial" w:hAnsi="Arial" w:cs="Arial"/>
          <w:sz w:val="20"/>
          <w:szCs w:val="20"/>
        </w:rPr>
        <w:t>órgãos</w:t>
      </w:r>
      <w:proofErr w:type="spellEnd"/>
      <w:r w:rsidRPr="00D67C77">
        <w:rPr>
          <w:rFonts w:ascii="Arial" w:hAnsi="Arial" w:cs="Arial"/>
          <w:sz w:val="20"/>
          <w:szCs w:val="20"/>
        </w:rPr>
        <w:t xml:space="preserve"> e entidades da </w:t>
      </w:r>
      <w:proofErr w:type="spellStart"/>
      <w:r w:rsidRPr="00D67C77">
        <w:rPr>
          <w:rFonts w:ascii="Arial" w:hAnsi="Arial" w:cs="Arial"/>
          <w:sz w:val="20"/>
          <w:szCs w:val="20"/>
        </w:rPr>
        <w:t>Administração</w:t>
      </w:r>
      <w:proofErr w:type="spellEnd"/>
      <w:r w:rsidRPr="00D67C77">
        <w:rPr>
          <w:rFonts w:ascii="Arial" w:hAnsi="Arial" w:cs="Arial"/>
          <w:sz w:val="20"/>
          <w:szCs w:val="20"/>
        </w:rPr>
        <w:t xml:space="preserve"> </w:t>
      </w:r>
      <w:proofErr w:type="spellStart"/>
      <w:r w:rsidRPr="00D67C77">
        <w:rPr>
          <w:rFonts w:ascii="Arial" w:hAnsi="Arial" w:cs="Arial"/>
          <w:sz w:val="20"/>
          <w:szCs w:val="20"/>
        </w:rPr>
        <w:t>Pública</w:t>
      </w:r>
      <w:proofErr w:type="spellEnd"/>
      <w:r w:rsidRPr="00D67C77">
        <w:rPr>
          <w:rFonts w:ascii="Arial" w:hAnsi="Arial" w:cs="Arial"/>
          <w:sz w:val="20"/>
          <w:szCs w:val="20"/>
        </w:rPr>
        <w:t xml:space="preserve"> cujo quadro de pessoal seja formado por empregados </w:t>
      </w:r>
      <w:proofErr w:type="spellStart"/>
      <w:r w:rsidRPr="00D67C77">
        <w:rPr>
          <w:rFonts w:ascii="Arial" w:hAnsi="Arial" w:cs="Arial"/>
          <w:sz w:val="20"/>
          <w:szCs w:val="20"/>
        </w:rPr>
        <w:t>públicos</w:t>
      </w:r>
      <w:proofErr w:type="spellEnd"/>
      <w:r w:rsidRPr="00D67C77">
        <w:rPr>
          <w:rFonts w:ascii="Arial" w:hAnsi="Arial" w:cs="Arial"/>
          <w:sz w:val="20"/>
          <w:szCs w:val="20"/>
        </w:rPr>
        <w:t xml:space="preserve">, submetidos ao regime celetista, ficando vedada, por conseguinte, nesses casos, a </w:t>
      </w:r>
      <w:proofErr w:type="spellStart"/>
      <w:r w:rsidRPr="00D67C77">
        <w:rPr>
          <w:rFonts w:ascii="Arial" w:hAnsi="Arial" w:cs="Arial"/>
          <w:sz w:val="20"/>
          <w:szCs w:val="20"/>
        </w:rPr>
        <w:t>aceitação</w:t>
      </w:r>
      <w:proofErr w:type="spellEnd"/>
      <w:r w:rsidRPr="00D67C77">
        <w:rPr>
          <w:rFonts w:ascii="Arial" w:hAnsi="Arial" w:cs="Arial"/>
          <w:sz w:val="20"/>
          <w:szCs w:val="20"/>
        </w:rPr>
        <w:t xml:space="preserve"> de taxas de </w:t>
      </w:r>
      <w:proofErr w:type="spellStart"/>
      <w:r w:rsidRPr="00D67C77">
        <w:rPr>
          <w:rFonts w:ascii="Arial" w:hAnsi="Arial" w:cs="Arial"/>
          <w:sz w:val="20"/>
          <w:szCs w:val="20"/>
        </w:rPr>
        <w:t>administração</w:t>
      </w:r>
      <w:proofErr w:type="spellEnd"/>
      <w:r w:rsidRPr="00D67C77">
        <w:rPr>
          <w:rFonts w:ascii="Arial" w:hAnsi="Arial" w:cs="Arial"/>
          <w:sz w:val="20"/>
          <w:szCs w:val="20"/>
        </w:rPr>
        <w:t xml:space="preserve"> negativas em </w:t>
      </w:r>
      <w:proofErr w:type="spellStart"/>
      <w:r w:rsidRPr="00D67C77">
        <w:rPr>
          <w:rFonts w:ascii="Arial" w:hAnsi="Arial" w:cs="Arial"/>
          <w:sz w:val="20"/>
          <w:szCs w:val="20"/>
        </w:rPr>
        <w:t>licitações</w:t>
      </w:r>
      <w:proofErr w:type="spellEnd"/>
      <w:r w:rsidRPr="00D67C77">
        <w:rPr>
          <w:rFonts w:ascii="Arial" w:hAnsi="Arial" w:cs="Arial"/>
          <w:sz w:val="20"/>
          <w:szCs w:val="20"/>
        </w:rPr>
        <w:t xml:space="preserve"> para a </w:t>
      </w:r>
      <w:proofErr w:type="spellStart"/>
      <w:r w:rsidRPr="00D67C77">
        <w:rPr>
          <w:rFonts w:ascii="Arial" w:hAnsi="Arial" w:cs="Arial"/>
          <w:sz w:val="20"/>
          <w:szCs w:val="20"/>
        </w:rPr>
        <w:t>contratação</w:t>
      </w:r>
      <w:proofErr w:type="spellEnd"/>
      <w:r w:rsidRPr="00D67C77">
        <w:rPr>
          <w:rFonts w:ascii="Arial" w:hAnsi="Arial" w:cs="Arial"/>
          <w:sz w:val="20"/>
          <w:szCs w:val="20"/>
        </w:rPr>
        <w:t xml:space="preserve"> de pessoas </w:t>
      </w:r>
      <w:proofErr w:type="spellStart"/>
      <w:r w:rsidRPr="00D67C77">
        <w:rPr>
          <w:rFonts w:ascii="Arial" w:hAnsi="Arial" w:cs="Arial"/>
          <w:sz w:val="20"/>
          <w:szCs w:val="20"/>
        </w:rPr>
        <w:t>jurídicas</w:t>
      </w:r>
      <w:proofErr w:type="spellEnd"/>
      <w:r w:rsidRPr="00D67C77">
        <w:rPr>
          <w:rFonts w:ascii="Arial" w:hAnsi="Arial" w:cs="Arial"/>
          <w:sz w:val="20"/>
          <w:szCs w:val="20"/>
        </w:rPr>
        <w:t xml:space="preserve"> para o gerenciamento e fornecimento de </w:t>
      </w:r>
      <w:proofErr w:type="spellStart"/>
      <w:r w:rsidRPr="00D67C77">
        <w:rPr>
          <w:rFonts w:ascii="Arial" w:hAnsi="Arial" w:cs="Arial"/>
          <w:sz w:val="20"/>
          <w:szCs w:val="20"/>
        </w:rPr>
        <w:t>auxílio-alimentação</w:t>
      </w:r>
      <w:proofErr w:type="spellEnd"/>
      <w:r w:rsidRPr="00D67C77">
        <w:rPr>
          <w:rFonts w:ascii="Arial" w:hAnsi="Arial" w:cs="Arial"/>
          <w:sz w:val="20"/>
          <w:szCs w:val="20"/>
        </w:rPr>
        <w:t xml:space="preserve"> por meio de </w:t>
      </w:r>
      <w:proofErr w:type="spellStart"/>
      <w:r w:rsidRPr="00D67C77">
        <w:rPr>
          <w:rFonts w:ascii="Arial" w:hAnsi="Arial" w:cs="Arial"/>
          <w:sz w:val="20"/>
          <w:szCs w:val="20"/>
        </w:rPr>
        <w:t>cartões</w:t>
      </w:r>
      <w:proofErr w:type="spellEnd"/>
      <w:r w:rsidRPr="00D67C77">
        <w:rPr>
          <w:rFonts w:ascii="Arial" w:hAnsi="Arial" w:cs="Arial"/>
          <w:sz w:val="20"/>
          <w:szCs w:val="20"/>
        </w:rPr>
        <w:t xml:space="preserve"> ou instrumentos </w:t>
      </w:r>
      <w:proofErr w:type="spellStart"/>
      <w:r w:rsidRPr="00D67C77">
        <w:rPr>
          <w:rFonts w:ascii="Arial" w:hAnsi="Arial" w:cs="Arial"/>
          <w:sz w:val="20"/>
          <w:szCs w:val="20"/>
        </w:rPr>
        <w:t>congêneres</w:t>
      </w:r>
      <w:proofErr w:type="spellEnd"/>
      <w:r w:rsidRPr="00D67C77">
        <w:rPr>
          <w:rFonts w:ascii="Arial" w:hAnsi="Arial" w:cs="Arial"/>
          <w:sz w:val="20"/>
          <w:szCs w:val="20"/>
        </w:rPr>
        <w:t xml:space="preserve">. </w:t>
      </w:r>
    </w:p>
    <w:p w14:paraId="53E96B0A" w14:textId="77777777" w:rsidR="00681802" w:rsidRPr="00D67C77" w:rsidRDefault="00681802" w:rsidP="00681802">
      <w:pPr>
        <w:autoSpaceDE w:val="0"/>
        <w:autoSpaceDN w:val="0"/>
        <w:adjustRightInd w:val="0"/>
        <w:spacing w:after="0"/>
        <w:ind w:left="2268"/>
        <w:jc w:val="both"/>
        <w:rPr>
          <w:rFonts w:ascii="Arial" w:hAnsi="Arial" w:cs="Arial"/>
          <w:sz w:val="20"/>
          <w:szCs w:val="20"/>
        </w:rPr>
      </w:pPr>
      <w:r w:rsidRPr="00D67C77">
        <w:rPr>
          <w:rFonts w:ascii="Arial" w:hAnsi="Arial" w:cs="Arial"/>
          <w:sz w:val="20"/>
          <w:szCs w:val="20"/>
        </w:rPr>
        <w:t xml:space="preserve">Quanto aos demais entes da </w:t>
      </w:r>
      <w:proofErr w:type="spellStart"/>
      <w:r w:rsidRPr="00D67C77">
        <w:rPr>
          <w:rFonts w:ascii="Arial" w:hAnsi="Arial" w:cs="Arial"/>
          <w:sz w:val="20"/>
          <w:szCs w:val="20"/>
        </w:rPr>
        <w:t>Administração</w:t>
      </w:r>
      <w:proofErr w:type="spellEnd"/>
      <w:r w:rsidRPr="00D67C77">
        <w:rPr>
          <w:rFonts w:ascii="Arial" w:hAnsi="Arial" w:cs="Arial"/>
          <w:sz w:val="20"/>
          <w:szCs w:val="20"/>
        </w:rPr>
        <w:t xml:space="preserve"> </w:t>
      </w:r>
      <w:proofErr w:type="spellStart"/>
      <w:r w:rsidRPr="00D67C77">
        <w:rPr>
          <w:rFonts w:ascii="Arial" w:hAnsi="Arial" w:cs="Arial"/>
          <w:sz w:val="20"/>
          <w:szCs w:val="20"/>
        </w:rPr>
        <w:t>Pública</w:t>
      </w:r>
      <w:proofErr w:type="spellEnd"/>
      <w:r w:rsidRPr="00D67C77">
        <w:rPr>
          <w:rFonts w:ascii="Arial" w:hAnsi="Arial" w:cs="Arial"/>
          <w:sz w:val="20"/>
          <w:szCs w:val="20"/>
        </w:rPr>
        <w:t xml:space="preserve">, que concedem o </w:t>
      </w:r>
      <w:proofErr w:type="spellStart"/>
      <w:r w:rsidRPr="00D67C77">
        <w:rPr>
          <w:rFonts w:ascii="Arial" w:hAnsi="Arial" w:cs="Arial"/>
          <w:sz w:val="20"/>
          <w:szCs w:val="20"/>
        </w:rPr>
        <w:t>auxílio-alimentação</w:t>
      </w:r>
      <w:proofErr w:type="spellEnd"/>
      <w:r w:rsidRPr="00D67C77">
        <w:rPr>
          <w:rFonts w:ascii="Arial" w:hAnsi="Arial" w:cs="Arial"/>
          <w:sz w:val="20"/>
          <w:szCs w:val="20"/>
        </w:rPr>
        <w:t xml:space="preserve"> ou </w:t>
      </w:r>
      <w:proofErr w:type="spellStart"/>
      <w:r w:rsidRPr="00D67C77">
        <w:rPr>
          <w:rFonts w:ascii="Arial" w:hAnsi="Arial" w:cs="Arial"/>
          <w:sz w:val="20"/>
          <w:szCs w:val="20"/>
        </w:rPr>
        <w:t>benefício</w:t>
      </w:r>
      <w:proofErr w:type="spellEnd"/>
      <w:r w:rsidRPr="00D67C77">
        <w:rPr>
          <w:rFonts w:ascii="Arial" w:hAnsi="Arial" w:cs="Arial"/>
          <w:sz w:val="20"/>
          <w:szCs w:val="20"/>
        </w:rPr>
        <w:t xml:space="preserve"> de nomenclatura similar com base em </w:t>
      </w:r>
      <w:proofErr w:type="spellStart"/>
      <w:r w:rsidRPr="00D67C77">
        <w:rPr>
          <w:rFonts w:ascii="Arial" w:hAnsi="Arial" w:cs="Arial"/>
          <w:sz w:val="20"/>
          <w:szCs w:val="20"/>
        </w:rPr>
        <w:t>previsão</w:t>
      </w:r>
      <w:proofErr w:type="spellEnd"/>
      <w:r w:rsidRPr="00D67C77">
        <w:rPr>
          <w:rFonts w:ascii="Arial" w:hAnsi="Arial" w:cs="Arial"/>
          <w:sz w:val="20"/>
          <w:szCs w:val="20"/>
        </w:rPr>
        <w:t xml:space="preserve"> </w:t>
      </w:r>
      <w:proofErr w:type="spellStart"/>
      <w:r w:rsidRPr="00D67C77">
        <w:rPr>
          <w:rFonts w:ascii="Arial" w:hAnsi="Arial" w:cs="Arial"/>
          <w:sz w:val="20"/>
          <w:szCs w:val="20"/>
        </w:rPr>
        <w:t>estatutária</w:t>
      </w:r>
      <w:proofErr w:type="spellEnd"/>
      <w:r w:rsidRPr="00D67C77">
        <w:rPr>
          <w:rFonts w:ascii="Arial" w:hAnsi="Arial" w:cs="Arial"/>
          <w:sz w:val="20"/>
          <w:szCs w:val="20"/>
        </w:rPr>
        <w:t xml:space="preserve">, </w:t>
      </w:r>
      <w:proofErr w:type="spellStart"/>
      <w:r w:rsidRPr="00D67C77">
        <w:rPr>
          <w:rFonts w:ascii="Arial" w:hAnsi="Arial" w:cs="Arial"/>
          <w:sz w:val="20"/>
          <w:szCs w:val="20"/>
        </w:rPr>
        <w:t>não</w:t>
      </w:r>
      <w:proofErr w:type="spellEnd"/>
      <w:r w:rsidRPr="00D67C77">
        <w:rPr>
          <w:rFonts w:ascii="Arial" w:hAnsi="Arial" w:cs="Arial"/>
          <w:sz w:val="20"/>
          <w:szCs w:val="20"/>
        </w:rPr>
        <w:t xml:space="preserve"> se aplica a </w:t>
      </w:r>
      <w:proofErr w:type="spellStart"/>
      <w:r w:rsidRPr="00D67C77">
        <w:rPr>
          <w:rFonts w:ascii="Arial" w:hAnsi="Arial" w:cs="Arial"/>
          <w:sz w:val="20"/>
          <w:szCs w:val="20"/>
        </w:rPr>
        <w:t>restrição</w:t>
      </w:r>
      <w:proofErr w:type="spellEnd"/>
      <w:r w:rsidRPr="00D67C77">
        <w:rPr>
          <w:rFonts w:ascii="Arial" w:hAnsi="Arial" w:cs="Arial"/>
          <w:sz w:val="20"/>
          <w:szCs w:val="20"/>
        </w:rPr>
        <w:t xml:space="preserve"> do art. 3°, I e III, da Lei n° 14.442/22, admitindo-se a taxa de </w:t>
      </w:r>
      <w:proofErr w:type="spellStart"/>
      <w:r w:rsidRPr="00D67C77">
        <w:rPr>
          <w:rFonts w:ascii="Arial" w:hAnsi="Arial" w:cs="Arial"/>
          <w:sz w:val="20"/>
          <w:szCs w:val="20"/>
        </w:rPr>
        <w:t>administração</w:t>
      </w:r>
      <w:proofErr w:type="spellEnd"/>
      <w:r w:rsidRPr="00D67C77">
        <w:rPr>
          <w:rFonts w:ascii="Arial" w:hAnsi="Arial" w:cs="Arial"/>
          <w:sz w:val="20"/>
          <w:szCs w:val="20"/>
        </w:rPr>
        <w:t xml:space="preserve"> negativa nas respectivas </w:t>
      </w:r>
      <w:proofErr w:type="spellStart"/>
      <w:r w:rsidRPr="00D67C77">
        <w:rPr>
          <w:rFonts w:ascii="Arial" w:hAnsi="Arial" w:cs="Arial"/>
          <w:sz w:val="20"/>
          <w:szCs w:val="20"/>
        </w:rPr>
        <w:t>licitações</w:t>
      </w:r>
      <w:proofErr w:type="spellEnd"/>
      <w:r w:rsidRPr="00D67C77">
        <w:rPr>
          <w:rFonts w:ascii="Arial" w:hAnsi="Arial" w:cs="Arial"/>
          <w:sz w:val="20"/>
          <w:szCs w:val="20"/>
        </w:rPr>
        <w:t xml:space="preserve"> para este objeto</w:t>
      </w:r>
      <w:r>
        <w:rPr>
          <w:rFonts w:ascii="Arial" w:hAnsi="Arial" w:cs="Arial"/>
          <w:sz w:val="20"/>
          <w:szCs w:val="20"/>
        </w:rPr>
        <w:t>”</w:t>
      </w:r>
      <w:r w:rsidRPr="00D67C77">
        <w:rPr>
          <w:rFonts w:ascii="Arial" w:hAnsi="Arial" w:cs="Arial"/>
          <w:sz w:val="20"/>
          <w:szCs w:val="20"/>
        </w:rPr>
        <w:t xml:space="preserve">. </w:t>
      </w:r>
    </w:p>
    <w:p w14:paraId="3CBC36C0" w14:textId="77777777" w:rsidR="00681802" w:rsidRPr="006E239F" w:rsidRDefault="00681802" w:rsidP="00681802">
      <w:pPr>
        <w:autoSpaceDE w:val="0"/>
        <w:autoSpaceDN w:val="0"/>
        <w:adjustRightInd w:val="0"/>
        <w:spacing w:before="120" w:after="120"/>
        <w:ind w:firstLine="567"/>
        <w:jc w:val="both"/>
        <w:rPr>
          <w:rFonts w:ascii="Arial" w:hAnsi="Arial" w:cs="Arial"/>
          <w:sz w:val="20"/>
          <w:szCs w:val="20"/>
        </w:rPr>
      </w:pPr>
      <w:r w:rsidRPr="00D67C77">
        <w:rPr>
          <w:rFonts w:ascii="Arial" w:hAnsi="Arial" w:cs="Arial"/>
          <w:sz w:val="20"/>
          <w:szCs w:val="20"/>
        </w:rPr>
        <w:lastRenderedPageBreak/>
        <w:t xml:space="preserve">Logo, a </w:t>
      </w:r>
      <w:proofErr w:type="spellStart"/>
      <w:r w:rsidRPr="00D67C77">
        <w:rPr>
          <w:rFonts w:ascii="Arial" w:hAnsi="Arial" w:cs="Arial"/>
          <w:sz w:val="20"/>
          <w:szCs w:val="20"/>
        </w:rPr>
        <w:t>alegação</w:t>
      </w:r>
      <w:proofErr w:type="spellEnd"/>
      <w:r w:rsidRPr="00D67C77">
        <w:rPr>
          <w:rFonts w:ascii="Arial" w:hAnsi="Arial" w:cs="Arial"/>
          <w:sz w:val="20"/>
          <w:szCs w:val="20"/>
        </w:rPr>
        <w:t xml:space="preserve"> de suposta irregularidade na </w:t>
      </w:r>
      <w:proofErr w:type="spellStart"/>
      <w:r w:rsidRPr="00D67C77">
        <w:rPr>
          <w:rFonts w:ascii="Arial" w:hAnsi="Arial" w:cs="Arial"/>
          <w:sz w:val="20"/>
          <w:szCs w:val="20"/>
        </w:rPr>
        <w:t>admissão</w:t>
      </w:r>
      <w:proofErr w:type="spellEnd"/>
      <w:r w:rsidRPr="00D67C77">
        <w:rPr>
          <w:rFonts w:ascii="Arial" w:hAnsi="Arial" w:cs="Arial"/>
          <w:sz w:val="20"/>
          <w:szCs w:val="20"/>
        </w:rPr>
        <w:t xml:space="preserve"> de taxa</w:t>
      </w:r>
      <w:r>
        <w:rPr>
          <w:rFonts w:ascii="Arial" w:hAnsi="Arial" w:cs="Arial"/>
          <w:sz w:val="20"/>
          <w:szCs w:val="20"/>
        </w:rPr>
        <w:t xml:space="preserve"> </w:t>
      </w:r>
      <w:r w:rsidRPr="00D67C77">
        <w:rPr>
          <w:rFonts w:ascii="Arial" w:hAnsi="Arial" w:cs="Arial"/>
          <w:sz w:val="20"/>
          <w:szCs w:val="20"/>
        </w:rPr>
        <w:t xml:space="preserve">negativa no certame em </w:t>
      </w:r>
      <w:proofErr w:type="spellStart"/>
      <w:r w:rsidRPr="00D67C77">
        <w:rPr>
          <w:rFonts w:ascii="Arial" w:hAnsi="Arial" w:cs="Arial"/>
          <w:sz w:val="20"/>
          <w:szCs w:val="20"/>
        </w:rPr>
        <w:t>apreço</w:t>
      </w:r>
      <w:proofErr w:type="spellEnd"/>
      <w:r w:rsidRPr="00D67C77">
        <w:rPr>
          <w:rFonts w:ascii="Arial" w:hAnsi="Arial" w:cs="Arial"/>
          <w:sz w:val="20"/>
          <w:szCs w:val="20"/>
        </w:rPr>
        <w:t xml:space="preserve"> </w:t>
      </w:r>
      <w:proofErr w:type="spellStart"/>
      <w:r w:rsidRPr="00D67C77">
        <w:rPr>
          <w:rFonts w:ascii="Arial" w:hAnsi="Arial" w:cs="Arial"/>
          <w:sz w:val="20"/>
          <w:szCs w:val="20"/>
        </w:rPr>
        <w:t>não</w:t>
      </w:r>
      <w:proofErr w:type="spellEnd"/>
      <w:r w:rsidRPr="00D67C77">
        <w:rPr>
          <w:rFonts w:ascii="Arial" w:hAnsi="Arial" w:cs="Arial"/>
          <w:sz w:val="20"/>
          <w:szCs w:val="20"/>
        </w:rPr>
        <w:t xml:space="preserve"> merece prosperar, uma vez que este caso se trata de servidores </w:t>
      </w:r>
      <w:proofErr w:type="spellStart"/>
      <w:r w:rsidRPr="00D67C77">
        <w:rPr>
          <w:rFonts w:ascii="Arial" w:hAnsi="Arial" w:cs="Arial"/>
          <w:sz w:val="20"/>
          <w:szCs w:val="20"/>
        </w:rPr>
        <w:t>públicos</w:t>
      </w:r>
      <w:proofErr w:type="spellEnd"/>
      <w:r w:rsidRPr="00D67C77">
        <w:rPr>
          <w:rFonts w:ascii="Arial" w:hAnsi="Arial" w:cs="Arial"/>
          <w:sz w:val="20"/>
          <w:szCs w:val="20"/>
        </w:rPr>
        <w:t xml:space="preserve"> </w:t>
      </w:r>
      <w:proofErr w:type="spellStart"/>
      <w:r w:rsidRPr="00D67C77">
        <w:rPr>
          <w:rFonts w:ascii="Arial" w:hAnsi="Arial" w:cs="Arial"/>
          <w:sz w:val="20"/>
          <w:szCs w:val="20"/>
        </w:rPr>
        <w:t>estatutários</w:t>
      </w:r>
      <w:proofErr w:type="spellEnd"/>
      <w:r w:rsidRPr="00D67C77">
        <w:rPr>
          <w:rFonts w:ascii="Arial" w:hAnsi="Arial" w:cs="Arial"/>
          <w:sz w:val="20"/>
          <w:szCs w:val="20"/>
        </w:rPr>
        <w:t xml:space="preserve">, </w:t>
      </w:r>
      <w:proofErr w:type="spellStart"/>
      <w:r w:rsidRPr="00D67C77">
        <w:rPr>
          <w:rFonts w:ascii="Arial" w:hAnsi="Arial" w:cs="Arial"/>
          <w:sz w:val="20"/>
          <w:szCs w:val="20"/>
        </w:rPr>
        <w:t>razão</w:t>
      </w:r>
      <w:proofErr w:type="spellEnd"/>
      <w:r w:rsidRPr="00D67C77">
        <w:rPr>
          <w:rFonts w:ascii="Arial" w:hAnsi="Arial" w:cs="Arial"/>
          <w:sz w:val="20"/>
          <w:szCs w:val="20"/>
        </w:rPr>
        <w:t xml:space="preserve"> pela qual </w:t>
      </w:r>
      <w:proofErr w:type="spellStart"/>
      <w:r w:rsidRPr="00D67C77">
        <w:rPr>
          <w:rFonts w:ascii="Arial" w:hAnsi="Arial" w:cs="Arial"/>
          <w:sz w:val="20"/>
          <w:szCs w:val="20"/>
        </w:rPr>
        <w:t>não</w:t>
      </w:r>
      <w:proofErr w:type="spellEnd"/>
      <w:r w:rsidRPr="00D67C77">
        <w:rPr>
          <w:rFonts w:ascii="Arial" w:hAnsi="Arial" w:cs="Arial"/>
          <w:sz w:val="20"/>
          <w:szCs w:val="20"/>
        </w:rPr>
        <w:t xml:space="preserve"> recebi a </w:t>
      </w:r>
      <w:proofErr w:type="spellStart"/>
      <w:r w:rsidRPr="00D67C77">
        <w:rPr>
          <w:rFonts w:ascii="Arial" w:hAnsi="Arial" w:cs="Arial"/>
          <w:sz w:val="20"/>
          <w:szCs w:val="20"/>
        </w:rPr>
        <w:t>representação</w:t>
      </w:r>
      <w:proofErr w:type="spellEnd"/>
      <w:r w:rsidRPr="00D67C77">
        <w:rPr>
          <w:rFonts w:ascii="Arial" w:hAnsi="Arial" w:cs="Arial"/>
          <w:sz w:val="20"/>
          <w:szCs w:val="20"/>
        </w:rPr>
        <w:t xml:space="preserve"> quanto a esse apontamento.</w:t>
      </w:r>
      <w:r w:rsidRPr="006E239F">
        <w:rPr>
          <w:rFonts w:ascii="Arial" w:hAnsi="Arial" w:cs="Arial"/>
          <w:sz w:val="20"/>
          <w:szCs w:val="20"/>
        </w:rPr>
        <w:t xml:space="preserve"> </w:t>
      </w:r>
    </w:p>
    <w:p w14:paraId="1B8D2E9B" w14:textId="77777777" w:rsidR="00681802" w:rsidRPr="006E239F" w:rsidRDefault="00681802" w:rsidP="00681802">
      <w:pPr>
        <w:autoSpaceDE w:val="0"/>
        <w:autoSpaceDN w:val="0"/>
        <w:adjustRightInd w:val="0"/>
        <w:spacing w:after="120"/>
        <w:jc w:val="both"/>
        <w:rPr>
          <w:rFonts w:ascii="Arial" w:hAnsi="Arial" w:cs="Arial"/>
          <w:sz w:val="20"/>
          <w:szCs w:val="20"/>
        </w:rPr>
      </w:pPr>
      <w:r>
        <w:rPr>
          <w:rFonts w:ascii="Arial" w:hAnsi="Arial" w:cs="Arial"/>
          <w:sz w:val="20"/>
          <w:szCs w:val="20"/>
        </w:rPr>
        <w:t>(</w:t>
      </w:r>
      <w:r w:rsidRPr="006E239F">
        <w:rPr>
          <w:rFonts w:ascii="Arial" w:hAnsi="Arial" w:cs="Arial"/>
          <w:sz w:val="20"/>
          <w:szCs w:val="20"/>
        </w:rPr>
        <w:t>...</w:t>
      </w:r>
      <w:r>
        <w:rPr>
          <w:rFonts w:ascii="Arial" w:hAnsi="Arial" w:cs="Arial"/>
          <w:sz w:val="20"/>
          <w:szCs w:val="20"/>
        </w:rPr>
        <w:t>)</w:t>
      </w:r>
    </w:p>
    <w:p w14:paraId="1241B565" w14:textId="77777777" w:rsidR="00681802" w:rsidRDefault="00681802" w:rsidP="00681802">
      <w:pPr>
        <w:autoSpaceDE w:val="0"/>
        <w:autoSpaceDN w:val="0"/>
        <w:adjustRightInd w:val="0"/>
        <w:spacing w:after="0"/>
        <w:ind w:firstLine="567"/>
        <w:jc w:val="both"/>
        <w:rPr>
          <w:rFonts w:ascii="Arial" w:hAnsi="Arial" w:cs="Arial"/>
          <w:sz w:val="20"/>
          <w:szCs w:val="20"/>
        </w:rPr>
      </w:pPr>
      <w:r w:rsidRPr="00D67C77">
        <w:rPr>
          <w:rFonts w:ascii="Arial" w:hAnsi="Arial" w:cs="Arial"/>
          <w:sz w:val="20"/>
          <w:szCs w:val="20"/>
        </w:rPr>
        <w:t xml:space="preserve">Nesse </w:t>
      </w:r>
      <w:proofErr w:type="spellStart"/>
      <w:r w:rsidRPr="00D67C77">
        <w:rPr>
          <w:rFonts w:ascii="Arial" w:hAnsi="Arial" w:cs="Arial"/>
          <w:sz w:val="20"/>
          <w:szCs w:val="20"/>
        </w:rPr>
        <w:t>tópico</w:t>
      </w:r>
      <w:proofErr w:type="spellEnd"/>
      <w:r w:rsidRPr="00D67C77">
        <w:rPr>
          <w:rFonts w:ascii="Arial" w:hAnsi="Arial" w:cs="Arial"/>
          <w:sz w:val="20"/>
          <w:szCs w:val="20"/>
        </w:rPr>
        <w:t xml:space="preserve">, deve-se destacar que a escolha de um </w:t>
      </w:r>
      <w:proofErr w:type="spellStart"/>
      <w:r w:rsidRPr="00D67C77">
        <w:rPr>
          <w:rFonts w:ascii="Arial" w:hAnsi="Arial" w:cs="Arial"/>
          <w:sz w:val="20"/>
          <w:szCs w:val="20"/>
        </w:rPr>
        <w:t>número</w:t>
      </w:r>
      <w:proofErr w:type="spellEnd"/>
      <w:r w:rsidRPr="00D67C77">
        <w:rPr>
          <w:rFonts w:ascii="Arial" w:hAnsi="Arial" w:cs="Arial"/>
          <w:sz w:val="20"/>
          <w:szCs w:val="20"/>
        </w:rPr>
        <w:t xml:space="preserve"> </w:t>
      </w:r>
      <w:proofErr w:type="spellStart"/>
      <w:r w:rsidRPr="00D67C77">
        <w:rPr>
          <w:rFonts w:ascii="Arial" w:hAnsi="Arial" w:cs="Arial"/>
          <w:sz w:val="20"/>
          <w:szCs w:val="20"/>
        </w:rPr>
        <w:t>mínimo</w:t>
      </w:r>
      <w:proofErr w:type="spellEnd"/>
      <w:r w:rsidRPr="00D67C77">
        <w:rPr>
          <w:rFonts w:ascii="Arial" w:hAnsi="Arial" w:cs="Arial"/>
          <w:sz w:val="20"/>
          <w:szCs w:val="20"/>
        </w:rPr>
        <w:t xml:space="preserve"> de estabelecimentos credenciados está dentro do poder </w:t>
      </w:r>
      <w:proofErr w:type="spellStart"/>
      <w:r w:rsidRPr="00D67C77">
        <w:rPr>
          <w:rFonts w:ascii="Arial" w:hAnsi="Arial" w:cs="Arial"/>
          <w:sz w:val="20"/>
          <w:szCs w:val="20"/>
        </w:rPr>
        <w:t>discricionário</w:t>
      </w:r>
      <w:proofErr w:type="spellEnd"/>
      <w:r w:rsidRPr="00D67C77">
        <w:rPr>
          <w:rFonts w:ascii="Arial" w:hAnsi="Arial" w:cs="Arial"/>
          <w:sz w:val="20"/>
          <w:szCs w:val="20"/>
        </w:rPr>
        <w:t xml:space="preserve"> da  </w:t>
      </w:r>
      <w:proofErr w:type="spellStart"/>
      <w:r w:rsidRPr="00D67C77">
        <w:rPr>
          <w:rFonts w:ascii="Arial" w:hAnsi="Arial" w:cs="Arial"/>
          <w:sz w:val="20"/>
          <w:szCs w:val="20"/>
        </w:rPr>
        <w:t>Administração</w:t>
      </w:r>
      <w:proofErr w:type="spellEnd"/>
      <w:r w:rsidRPr="00D67C77">
        <w:rPr>
          <w:rFonts w:ascii="Arial" w:hAnsi="Arial" w:cs="Arial"/>
          <w:sz w:val="20"/>
          <w:szCs w:val="20"/>
        </w:rPr>
        <w:t xml:space="preserve">. Entretanto,  mostra-se devido que a </w:t>
      </w:r>
      <w:proofErr w:type="spellStart"/>
      <w:r w:rsidRPr="00D67C77">
        <w:rPr>
          <w:rFonts w:ascii="Arial" w:hAnsi="Arial" w:cs="Arial"/>
          <w:sz w:val="20"/>
          <w:szCs w:val="20"/>
        </w:rPr>
        <w:t>Administração</w:t>
      </w:r>
      <w:proofErr w:type="spellEnd"/>
      <w:r w:rsidRPr="00D67C77">
        <w:rPr>
          <w:rFonts w:ascii="Arial" w:hAnsi="Arial" w:cs="Arial"/>
          <w:sz w:val="20"/>
          <w:szCs w:val="20"/>
        </w:rPr>
        <w:t xml:space="preserve"> demonstre no processo </w:t>
      </w:r>
      <w:proofErr w:type="spellStart"/>
      <w:r w:rsidRPr="00D67C77">
        <w:rPr>
          <w:rFonts w:ascii="Arial" w:hAnsi="Arial" w:cs="Arial"/>
          <w:sz w:val="20"/>
          <w:szCs w:val="20"/>
        </w:rPr>
        <w:t>licitatório</w:t>
      </w:r>
      <w:proofErr w:type="spellEnd"/>
      <w:r w:rsidRPr="00D67C77">
        <w:rPr>
          <w:rFonts w:ascii="Arial" w:hAnsi="Arial" w:cs="Arial"/>
          <w:sz w:val="20"/>
          <w:szCs w:val="20"/>
        </w:rPr>
        <w:t xml:space="preserve"> que esse quantitativo </w:t>
      </w:r>
      <w:proofErr w:type="spellStart"/>
      <w:r w:rsidRPr="00D67C77">
        <w:rPr>
          <w:rFonts w:ascii="Arial" w:hAnsi="Arial" w:cs="Arial"/>
          <w:sz w:val="20"/>
          <w:szCs w:val="20"/>
        </w:rPr>
        <w:t>mínimo</w:t>
      </w:r>
      <w:proofErr w:type="spellEnd"/>
      <w:r w:rsidRPr="00D67C77">
        <w:rPr>
          <w:rFonts w:ascii="Arial" w:hAnsi="Arial" w:cs="Arial"/>
          <w:sz w:val="20"/>
          <w:szCs w:val="20"/>
        </w:rPr>
        <w:t xml:space="preserve"> exigido é </w:t>
      </w:r>
      <w:proofErr w:type="spellStart"/>
      <w:r w:rsidRPr="00D67C77">
        <w:rPr>
          <w:rFonts w:ascii="Arial" w:hAnsi="Arial" w:cs="Arial"/>
          <w:sz w:val="20"/>
          <w:szCs w:val="20"/>
        </w:rPr>
        <w:t>razoável</w:t>
      </w:r>
      <w:proofErr w:type="spellEnd"/>
      <w:r w:rsidRPr="00D67C77">
        <w:rPr>
          <w:rFonts w:ascii="Arial" w:hAnsi="Arial" w:cs="Arial"/>
          <w:sz w:val="20"/>
          <w:szCs w:val="20"/>
        </w:rPr>
        <w:t xml:space="preserve"> e proporcional e está embasado em levantamentos </w:t>
      </w:r>
      <w:proofErr w:type="spellStart"/>
      <w:r w:rsidRPr="00D67C77">
        <w:rPr>
          <w:rFonts w:ascii="Arial" w:hAnsi="Arial" w:cs="Arial"/>
          <w:sz w:val="20"/>
          <w:szCs w:val="20"/>
        </w:rPr>
        <w:t>estatísticos</w:t>
      </w:r>
      <w:proofErr w:type="spellEnd"/>
      <w:r w:rsidRPr="00D67C77">
        <w:rPr>
          <w:rFonts w:ascii="Arial" w:hAnsi="Arial" w:cs="Arial"/>
          <w:sz w:val="20"/>
          <w:szCs w:val="20"/>
        </w:rPr>
        <w:t xml:space="preserve"> e/ou estudos </w:t>
      </w:r>
      <w:proofErr w:type="spellStart"/>
      <w:r w:rsidRPr="00D67C77">
        <w:rPr>
          <w:rFonts w:ascii="Arial" w:hAnsi="Arial" w:cs="Arial"/>
          <w:sz w:val="20"/>
          <w:szCs w:val="20"/>
        </w:rPr>
        <w:t>técnicos</w:t>
      </w:r>
      <w:proofErr w:type="spellEnd"/>
      <w:r w:rsidRPr="00D67C77">
        <w:rPr>
          <w:rFonts w:ascii="Arial" w:hAnsi="Arial" w:cs="Arial"/>
          <w:sz w:val="20"/>
          <w:szCs w:val="20"/>
        </w:rPr>
        <w:t xml:space="preserve"> previamente realizados, o que </w:t>
      </w:r>
      <w:proofErr w:type="spellStart"/>
      <w:r w:rsidRPr="00D67C77">
        <w:rPr>
          <w:rFonts w:ascii="Arial" w:hAnsi="Arial" w:cs="Arial"/>
          <w:sz w:val="20"/>
          <w:szCs w:val="20"/>
        </w:rPr>
        <w:t>não</w:t>
      </w:r>
      <w:proofErr w:type="spellEnd"/>
      <w:r w:rsidRPr="00D67C77">
        <w:rPr>
          <w:rFonts w:ascii="Arial" w:hAnsi="Arial" w:cs="Arial"/>
          <w:sz w:val="20"/>
          <w:szCs w:val="20"/>
        </w:rPr>
        <w:t xml:space="preserve"> foi </w:t>
      </w:r>
      <w:proofErr w:type="spellStart"/>
      <w:r w:rsidRPr="00D67C77">
        <w:rPr>
          <w:rFonts w:ascii="Arial" w:hAnsi="Arial" w:cs="Arial"/>
          <w:sz w:val="20"/>
          <w:szCs w:val="20"/>
        </w:rPr>
        <w:t>possível</w:t>
      </w:r>
      <w:proofErr w:type="spellEnd"/>
      <w:r w:rsidRPr="00D67C77">
        <w:rPr>
          <w:rFonts w:ascii="Arial" w:hAnsi="Arial" w:cs="Arial"/>
          <w:sz w:val="20"/>
          <w:szCs w:val="20"/>
        </w:rPr>
        <w:t xml:space="preserve"> constatar no presente caso com base nos elementos contidos nos autos.</w:t>
      </w:r>
    </w:p>
    <w:p w14:paraId="7DD8A94C" w14:textId="77777777" w:rsidR="00681802" w:rsidRDefault="00681802" w:rsidP="00681802">
      <w:pPr>
        <w:autoSpaceDE w:val="0"/>
        <w:autoSpaceDN w:val="0"/>
        <w:adjustRightInd w:val="0"/>
        <w:spacing w:after="120"/>
        <w:ind w:firstLine="567"/>
        <w:jc w:val="both"/>
        <w:rPr>
          <w:rFonts w:ascii="Arial" w:hAnsi="Arial" w:cs="Arial"/>
          <w:sz w:val="20"/>
          <w:szCs w:val="20"/>
        </w:rPr>
      </w:pPr>
      <w:proofErr w:type="spellStart"/>
      <w:r w:rsidRPr="00D67C77">
        <w:rPr>
          <w:rFonts w:ascii="Arial" w:hAnsi="Arial" w:cs="Arial"/>
          <w:sz w:val="20"/>
          <w:szCs w:val="20"/>
        </w:rPr>
        <w:t>Além</w:t>
      </w:r>
      <w:proofErr w:type="spellEnd"/>
      <w:r w:rsidRPr="00D67C77">
        <w:rPr>
          <w:rFonts w:ascii="Arial" w:hAnsi="Arial" w:cs="Arial"/>
          <w:sz w:val="20"/>
          <w:szCs w:val="20"/>
        </w:rPr>
        <w:t xml:space="preserve"> disso, observa-se do item 5.14.3.2 do edital, abaixo transcrito, que a referida </w:t>
      </w:r>
      <w:proofErr w:type="spellStart"/>
      <w:r w:rsidRPr="00D67C77">
        <w:rPr>
          <w:rFonts w:ascii="Arial" w:hAnsi="Arial" w:cs="Arial"/>
          <w:sz w:val="20"/>
          <w:szCs w:val="20"/>
        </w:rPr>
        <w:t>exigência</w:t>
      </w:r>
      <w:proofErr w:type="spellEnd"/>
      <w:r w:rsidRPr="00D67C77">
        <w:rPr>
          <w:rFonts w:ascii="Arial" w:hAnsi="Arial" w:cs="Arial"/>
          <w:sz w:val="20"/>
          <w:szCs w:val="20"/>
        </w:rPr>
        <w:t xml:space="preserve"> foi feita para fins de </w:t>
      </w:r>
      <w:proofErr w:type="spellStart"/>
      <w:r w:rsidRPr="00D67C77">
        <w:rPr>
          <w:rFonts w:ascii="Arial" w:hAnsi="Arial" w:cs="Arial"/>
          <w:sz w:val="20"/>
          <w:szCs w:val="20"/>
        </w:rPr>
        <w:t>habilitação</w:t>
      </w:r>
      <w:proofErr w:type="spellEnd"/>
      <w:r w:rsidRPr="00D67C77">
        <w:rPr>
          <w:rFonts w:ascii="Arial" w:hAnsi="Arial" w:cs="Arial"/>
          <w:sz w:val="20"/>
          <w:szCs w:val="20"/>
        </w:rPr>
        <w:t xml:space="preserve"> no certame, o que </w:t>
      </w:r>
      <w:proofErr w:type="spellStart"/>
      <w:r w:rsidRPr="00D67C77">
        <w:rPr>
          <w:rFonts w:ascii="Arial" w:hAnsi="Arial" w:cs="Arial"/>
          <w:sz w:val="20"/>
          <w:szCs w:val="20"/>
        </w:rPr>
        <w:t>não</w:t>
      </w:r>
      <w:proofErr w:type="spellEnd"/>
      <w:r>
        <w:rPr>
          <w:rFonts w:ascii="Arial" w:hAnsi="Arial" w:cs="Arial"/>
          <w:sz w:val="20"/>
          <w:szCs w:val="20"/>
        </w:rPr>
        <w:t xml:space="preserve"> </w:t>
      </w:r>
      <w:r w:rsidRPr="00D67C77">
        <w:rPr>
          <w:rFonts w:ascii="Arial" w:hAnsi="Arial" w:cs="Arial"/>
          <w:sz w:val="20"/>
          <w:szCs w:val="20"/>
        </w:rPr>
        <w:t xml:space="preserve">se admite, podendo ser exigida </w:t>
      </w:r>
      <w:proofErr w:type="spellStart"/>
      <w:r w:rsidRPr="00D67C77">
        <w:rPr>
          <w:rFonts w:ascii="Arial" w:hAnsi="Arial" w:cs="Arial"/>
          <w:sz w:val="20"/>
          <w:szCs w:val="20"/>
        </w:rPr>
        <w:t>tão</w:t>
      </w:r>
      <w:proofErr w:type="spellEnd"/>
      <w:r w:rsidRPr="00D67C77">
        <w:rPr>
          <w:rFonts w:ascii="Arial" w:hAnsi="Arial" w:cs="Arial"/>
          <w:sz w:val="20"/>
          <w:szCs w:val="20"/>
        </w:rPr>
        <w:t xml:space="preserve"> somente na fase de </w:t>
      </w:r>
      <w:proofErr w:type="spellStart"/>
      <w:r w:rsidRPr="00D67C77">
        <w:rPr>
          <w:rFonts w:ascii="Arial" w:hAnsi="Arial" w:cs="Arial"/>
          <w:sz w:val="20"/>
          <w:szCs w:val="20"/>
        </w:rPr>
        <w:t>contratação</w:t>
      </w:r>
      <w:proofErr w:type="spellEnd"/>
      <w:r w:rsidRPr="00D67C77">
        <w:rPr>
          <w:rFonts w:ascii="Arial" w:hAnsi="Arial" w:cs="Arial"/>
          <w:sz w:val="20"/>
          <w:szCs w:val="20"/>
        </w:rPr>
        <w:t>,</w:t>
      </w:r>
      <w:r>
        <w:rPr>
          <w:rFonts w:ascii="Arial" w:hAnsi="Arial" w:cs="Arial"/>
          <w:sz w:val="20"/>
          <w:szCs w:val="20"/>
        </w:rPr>
        <w:t xml:space="preserve"> </w:t>
      </w:r>
      <w:r w:rsidRPr="00D67C77">
        <w:rPr>
          <w:rFonts w:ascii="Arial" w:hAnsi="Arial" w:cs="Arial"/>
          <w:sz w:val="20"/>
          <w:szCs w:val="20"/>
        </w:rPr>
        <w:t xml:space="preserve">concedendo-se ao licitante vencedor prazo </w:t>
      </w:r>
      <w:proofErr w:type="spellStart"/>
      <w:r w:rsidRPr="00D67C77">
        <w:rPr>
          <w:rFonts w:ascii="Arial" w:hAnsi="Arial" w:cs="Arial"/>
          <w:sz w:val="20"/>
          <w:szCs w:val="20"/>
        </w:rPr>
        <w:t>razoável</w:t>
      </w:r>
      <w:proofErr w:type="spellEnd"/>
      <w:r w:rsidRPr="00D67C77">
        <w:rPr>
          <w:rFonts w:ascii="Arial" w:hAnsi="Arial" w:cs="Arial"/>
          <w:sz w:val="20"/>
          <w:szCs w:val="20"/>
        </w:rPr>
        <w:t xml:space="preserve"> para seu cumprimento</w:t>
      </w:r>
      <w:r>
        <w:rPr>
          <w:rFonts w:ascii="Arial" w:hAnsi="Arial" w:cs="Arial"/>
          <w:sz w:val="20"/>
          <w:szCs w:val="20"/>
        </w:rPr>
        <w:t>:</w:t>
      </w:r>
    </w:p>
    <w:p w14:paraId="7BE3BEFE" w14:textId="77777777" w:rsidR="00681802" w:rsidRDefault="00681802" w:rsidP="00681802">
      <w:pPr>
        <w:autoSpaceDE w:val="0"/>
        <w:autoSpaceDN w:val="0"/>
        <w:adjustRightInd w:val="0"/>
        <w:spacing w:after="120"/>
        <w:jc w:val="both"/>
        <w:rPr>
          <w:rFonts w:ascii="Arial" w:hAnsi="Arial" w:cs="Arial"/>
          <w:sz w:val="20"/>
          <w:szCs w:val="20"/>
        </w:rPr>
      </w:pPr>
      <w:r>
        <w:rPr>
          <w:rFonts w:ascii="Arial" w:hAnsi="Arial" w:cs="Arial"/>
          <w:sz w:val="20"/>
          <w:szCs w:val="20"/>
        </w:rPr>
        <w:t>(...)</w:t>
      </w:r>
    </w:p>
    <w:p w14:paraId="6B23162C" w14:textId="77777777" w:rsidR="00681802" w:rsidRPr="00D67C77" w:rsidRDefault="00681802" w:rsidP="00681802">
      <w:pPr>
        <w:autoSpaceDE w:val="0"/>
        <w:autoSpaceDN w:val="0"/>
        <w:adjustRightInd w:val="0"/>
        <w:spacing w:after="0"/>
        <w:ind w:firstLine="567"/>
        <w:jc w:val="both"/>
        <w:rPr>
          <w:rFonts w:ascii="Arial" w:hAnsi="Arial" w:cs="Arial"/>
          <w:sz w:val="20"/>
          <w:szCs w:val="20"/>
        </w:rPr>
      </w:pPr>
      <w:r w:rsidRPr="00D67C77">
        <w:rPr>
          <w:rFonts w:ascii="Arial" w:hAnsi="Arial" w:cs="Arial"/>
          <w:sz w:val="20"/>
          <w:szCs w:val="20"/>
        </w:rPr>
        <w:t xml:space="preserve">Portanto, na fase de </w:t>
      </w:r>
      <w:proofErr w:type="spellStart"/>
      <w:r w:rsidRPr="00D67C77">
        <w:rPr>
          <w:rFonts w:ascii="Arial" w:hAnsi="Arial" w:cs="Arial"/>
          <w:sz w:val="20"/>
          <w:szCs w:val="20"/>
        </w:rPr>
        <w:t>habilitação</w:t>
      </w:r>
      <w:proofErr w:type="spellEnd"/>
      <w:r w:rsidRPr="00D67C77">
        <w:rPr>
          <w:rFonts w:ascii="Arial" w:hAnsi="Arial" w:cs="Arial"/>
          <w:sz w:val="20"/>
          <w:szCs w:val="20"/>
        </w:rPr>
        <w:t xml:space="preserve"> </w:t>
      </w:r>
      <w:proofErr w:type="spellStart"/>
      <w:r w:rsidRPr="00D67C77">
        <w:rPr>
          <w:rFonts w:ascii="Arial" w:hAnsi="Arial" w:cs="Arial"/>
          <w:sz w:val="20"/>
          <w:szCs w:val="20"/>
        </w:rPr>
        <w:t>não</w:t>
      </w:r>
      <w:proofErr w:type="spellEnd"/>
      <w:r w:rsidRPr="00D67C77">
        <w:rPr>
          <w:rFonts w:ascii="Arial" w:hAnsi="Arial" w:cs="Arial"/>
          <w:sz w:val="20"/>
          <w:szCs w:val="20"/>
        </w:rPr>
        <w:t xml:space="preserve"> é </w:t>
      </w:r>
      <w:proofErr w:type="spellStart"/>
      <w:r w:rsidRPr="00D67C77">
        <w:rPr>
          <w:rFonts w:ascii="Arial" w:hAnsi="Arial" w:cs="Arial"/>
          <w:sz w:val="20"/>
          <w:szCs w:val="20"/>
        </w:rPr>
        <w:t>possível</w:t>
      </w:r>
      <w:proofErr w:type="spellEnd"/>
      <w:r w:rsidRPr="00D67C77">
        <w:rPr>
          <w:rFonts w:ascii="Arial" w:hAnsi="Arial" w:cs="Arial"/>
          <w:sz w:val="20"/>
          <w:szCs w:val="20"/>
        </w:rPr>
        <w:t xml:space="preserve"> exigir a </w:t>
      </w:r>
      <w:proofErr w:type="spellStart"/>
      <w:r w:rsidRPr="00D67C77">
        <w:rPr>
          <w:rFonts w:ascii="Arial" w:hAnsi="Arial" w:cs="Arial"/>
          <w:sz w:val="20"/>
          <w:szCs w:val="20"/>
        </w:rPr>
        <w:t>comprovação</w:t>
      </w:r>
      <w:proofErr w:type="spellEnd"/>
      <w:r w:rsidRPr="00D67C77">
        <w:rPr>
          <w:rFonts w:ascii="Arial" w:hAnsi="Arial" w:cs="Arial"/>
          <w:sz w:val="20"/>
          <w:szCs w:val="20"/>
        </w:rPr>
        <w:t xml:space="preserve"> da rede de credenciados, sendo admitida a </w:t>
      </w:r>
      <w:proofErr w:type="spellStart"/>
      <w:r w:rsidRPr="00D67C77">
        <w:rPr>
          <w:rFonts w:ascii="Arial" w:hAnsi="Arial" w:cs="Arial"/>
          <w:sz w:val="20"/>
          <w:szCs w:val="20"/>
        </w:rPr>
        <w:t>exigência</w:t>
      </w:r>
      <w:proofErr w:type="spellEnd"/>
      <w:r w:rsidRPr="00D67C77">
        <w:rPr>
          <w:rFonts w:ascii="Arial" w:hAnsi="Arial" w:cs="Arial"/>
          <w:sz w:val="20"/>
          <w:szCs w:val="20"/>
        </w:rPr>
        <w:t xml:space="preserve"> de juntada de </w:t>
      </w:r>
      <w:proofErr w:type="spellStart"/>
      <w:r w:rsidRPr="00D67C77">
        <w:rPr>
          <w:rFonts w:ascii="Arial" w:hAnsi="Arial" w:cs="Arial"/>
          <w:sz w:val="20"/>
          <w:szCs w:val="20"/>
        </w:rPr>
        <w:t>declaração</w:t>
      </w:r>
      <w:proofErr w:type="spellEnd"/>
      <w:r w:rsidRPr="00D67C77">
        <w:rPr>
          <w:rFonts w:ascii="Arial" w:hAnsi="Arial" w:cs="Arial"/>
          <w:sz w:val="20"/>
          <w:szCs w:val="20"/>
        </w:rPr>
        <w:t xml:space="preserve"> de que o licitante se obriga a apresentar a </w:t>
      </w:r>
      <w:proofErr w:type="spellStart"/>
      <w:r w:rsidRPr="00D67C77">
        <w:rPr>
          <w:rFonts w:ascii="Arial" w:hAnsi="Arial" w:cs="Arial"/>
          <w:sz w:val="20"/>
          <w:szCs w:val="20"/>
        </w:rPr>
        <w:t>relação</w:t>
      </w:r>
      <w:proofErr w:type="spellEnd"/>
      <w:r w:rsidRPr="00D67C77">
        <w:rPr>
          <w:rFonts w:ascii="Arial" w:hAnsi="Arial" w:cs="Arial"/>
          <w:sz w:val="20"/>
          <w:szCs w:val="20"/>
        </w:rPr>
        <w:t xml:space="preserve"> completa da rede de credenciados no ato de assinatura do contrato, garantindo-lhe um prazo </w:t>
      </w:r>
      <w:proofErr w:type="spellStart"/>
      <w:r w:rsidRPr="00D67C77">
        <w:rPr>
          <w:rFonts w:ascii="Arial" w:hAnsi="Arial" w:cs="Arial"/>
          <w:sz w:val="20"/>
          <w:szCs w:val="20"/>
        </w:rPr>
        <w:t>razoável</w:t>
      </w:r>
      <w:proofErr w:type="spellEnd"/>
      <w:r w:rsidRPr="00D67C77">
        <w:rPr>
          <w:rFonts w:ascii="Arial" w:hAnsi="Arial" w:cs="Arial"/>
          <w:sz w:val="20"/>
          <w:szCs w:val="20"/>
        </w:rPr>
        <w:t xml:space="preserve"> para tal fim. </w:t>
      </w:r>
    </w:p>
    <w:p w14:paraId="3C169896" w14:textId="77777777" w:rsidR="00681802" w:rsidRPr="00D67C77" w:rsidRDefault="00681802" w:rsidP="00681802">
      <w:pPr>
        <w:autoSpaceDE w:val="0"/>
        <w:autoSpaceDN w:val="0"/>
        <w:adjustRightInd w:val="0"/>
        <w:spacing w:after="120"/>
        <w:ind w:firstLine="567"/>
        <w:jc w:val="both"/>
        <w:rPr>
          <w:rFonts w:ascii="Arial" w:hAnsi="Arial" w:cs="Arial"/>
          <w:sz w:val="20"/>
          <w:szCs w:val="20"/>
        </w:rPr>
      </w:pPr>
      <w:r w:rsidRPr="00D67C77">
        <w:rPr>
          <w:rFonts w:ascii="Arial" w:hAnsi="Arial" w:cs="Arial"/>
          <w:sz w:val="20"/>
          <w:szCs w:val="20"/>
        </w:rPr>
        <w:t>Desse modo, vislumbro quanto a esses dois apontamentos a</w:t>
      </w:r>
      <w:r>
        <w:rPr>
          <w:rFonts w:ascii="Arial" w:hAnsi="Arial" w:cs="Arial"/>
          <w:sz w:val="20"/>
          <w:szCs w:val="20"/>
        </w:rPr>
        <w:t xml:space="preserve"> </w:t>
      </w:r>
      <w:proofErr w:type="spellStart"/>
      <w:r w:rsidRPr="00D67C77">
        <w:rPr>
          <w:rFonts w:ascii="Arial" w:hAnsi="Arial" w:cs="Arial"/>
          <w:sz w:val="20"/>
          <w:szCs w:val="20"/>
        </w:rPr>
        <w:t>presença</w:t>
      </w:r>
      <w:proofErr w:type="spellEnd"/>
      <w:r w:rsidRPr="00D67C77">
        <w:rPr>
          <w:rFonts w:ascii="Arial" w:hAnsi="Arial" w:cs="Arial"/>
          <w:sz w:val="20"/>
          <w:szCs w:val="20"/>
        </w:rPr>
        <w:t xml:space="preserve"> do pressuposto da plausibilidade </w:t>
      </w:r>
      <w:proofErr w:type="spellStart"/>
      <w:r w:rsidRPr="00D67C77">
        <w:rPr>
          <w:rFonts w:ascii="Arial" w:hAnsi="Arial" w:cs="Arial"/>
          <w:sz w:val="20"/>
          <w:szCs w:val="20"/>
        </w:rPr>
        <w:t>jurídica</w:t>
      </w:r>
      <w:proofErr w:type="spellEnd"/>
      <w:r w:rsidRPr="00D67C77">
        <w:rPr>
          <w:rFonts w:ascii="Arial" w:hAnsi="Arial" w:cs="Arial"/>
          <w:sz w:val="20"/>
          <w:szCs w:val="20"/>
        </w:rPr>
        <w:t xml:space="preserve"> para a </w:t>
      </w:r>
      <w:proofErr w:type="spellStart"/>
      <w:r w:rsidRPr="00D67C77">
        <w:rPr>
          <w:rFonts w:ascii="Arial" w:hAnsi="Arial" w:cs="Arial"/>
          <w:sz w:val="20"/>
          <w:szCs w:val="20"/>
        </w:rPr>
        <w:t>concessão</w:t>
      </w:r>
      <w:proofErr w:type="spellEnd"/>
      <w:r w:rsidRPr="00D67C77">
        <w:rPr>
          <w:rFonts w:ascii="Arial" w:hAnsi="Arial" w:cs="Arial"/>
          <w:sz w:val="20"/>
          <w:szCs w:val="20"/>
        </w:rPr>
        <w:t xml:space="preserve"> da cautelar, uma vez que </w:t>
      </w:r>
      <w:proofErr w:type="spellStart"/>
      <w:r w:rsidRPr="00D67C77">
        <w:rPr>
          <w:rFonts w:ascii="Arial" w:hAnsi="Arial" w:cs="Arial"/>
          <w:sz w:val="20"/>
          <w:szCs w:val="20"/>
        </w:rPr>
        <w:t>não</w:t>
      </w:r>
      <w:proofErr w:type="spellEnd"/>
      <w:r w:rsidRPr="00D67C77">
        <w:rPr>
          <w:rFonts w:ascii="Arial" w:hAnsi="Arial" w:cs="Arial"/>
          <w:sz w:val="20"/>
          <w:szCs w:val="20"/>
        </w:rPr>
        <w:t xml:space="preserve"> foi </w:t>
      </w:r>
      <w:proofErr w:type="spellStart"/>
      <w:r w:rsidRPr="00D67C77">
        <w:rPr>
          <w:rFonts w:ascii="Arial" w:hAnsi="Arial" w:cs="Arial"/>
          <w:sz w:val="20"/>
          <w:szCs w:val="20"/>
        </w:rPr>
        <w:t>possível</w:t>
      </w:r>
      <w:proofErr w:type="spellEnd"/>
      <w:r w:rsidRPr="00D67C77">
        <w:rPr>
          <w:rFonts w:ascii="Arial" w:hAnsi="Arial" w:cs="Arial"/>
          <w:sz w:val="20"/>
          <w:szCs w:val="20"/>
        </w:rPr>
        <w:t xml:space="preserve"> verificar as justificativas para a </w:t>
      </w:r>
      <w:proofErr w:type="spellStart"/>
      <w:r w:rsidRPr="00D67C77">
        <w:rPr>
          <w:rFonts w:ascii="Arial" w:hAnsi="Arial" w:cs="Arial"/>
          <w:sz w:val="20"/>
          <w:szCs w:val="20"/>
        </w:rPr>
        <w:t>exigência</w:t>
      </w:r>
      <w:proofErr w:type="spellEnd"/>
      <w:r w:rsidRPr="00D67C77">
        <w:rPr>
          <w:rFonts w:ascii="Arial" w:hAnsi="Arial" w:cs="Arial"/>
          <w:sz w:val="20"/>
          <w:szCs w:val="20"/>
        </w:rPr>
        <w:t xml:space="preserve"> da escolha da quantidade </w:t>
      </w:r>
      <w:proofErr w:type="spellStart"/>
      <w:r w:rsidRPr="00D67C77">
        <w:rPr>
          <w:rFonts w:ascii="Arial" w:hAnsi="Arial" w:cs="Arial"/>
          <w:sz w:val="20"/>
          <w:szCs w:val="20"/>
        </w:rPr>
        <w:t>mínima</w:t>
      </w:r>
      <w:proofErr w:type="spellEnd"/>
      <w:r w:rsidRPr="00D67C77">
        <w:rPr>
          <w:rFonts w:ascii="Arial" w:hAnsi="Arial" w:cs="Arial"/>
          <w:sz w:val="20"/>
          <w:szCs w:val="20"/>
        </w:rPr>
        <w:t xml:space="preserve"> de estabelecimentos, bem como foi constatada a indevida </w:t>
      </w:r>
      <w:proofErr w:type="spellStart"/>
      <w:r w:rsidRPr="00D67C77">
        <w:rPr>
          <w:rFonts w:ascii="Arial" w:hAnsi="Arial" w:cs="Arial"/>
          <w:sz w:val="20"/>
          <w:szCs w:val="20"/>
        </w:rPr>
        <w:t>exigência</w:t>
      </w:r>
      <w:proofErr w:type="spellEnd"/>
      <w:r w:rsidRPr="00D67C77">
        <w:rPr>
          <w:rFonts w:ascii="Arial" w:hAnsi="Arial" w:cs="Arial"/>
          <w:sz w:val="20"/>
          <w:szCs w:val="20"/>
        </w:rPr>
        <w:t xml:space="preserve"> de </w:t>
      </w:r>
      <w:proofErr w:type="spellStart"/>
      <w:r w:rsidRPr="00D67C77">
        <w:rPr>
          <w:rFonts w:ascii="Arial" w:hAnsi="Arial" w:cs="Arial"/>
          <w:sz w:val="20"/>
          <w:szCs w:val="20"/>
        </w:rPr>
        <w:t>comprovação</w:t>
      </w:r>
      <w:proofErr w:type="spellEnd"/>
      <w:r w:rsidRPr="00D67C77">
        <w:rPr>
          <w:rFonts w:ascii="Arial" w:hAnsi="Arial" w:cs="Arial"/>
          <w:sz w:val="20"/>
          <w:szCs w:val="20"/>
        </w:rPr>
        <w:t xml:space="preserve"> dessa rede de credenciados na fase de </w:t>
      </w:r>
      <w:proofErr w:type="spellStart"/>
      <w:r w:rsidRPr="00D67C77">
        <w:rPr>
          <w:rFonts w:ascii="Arial" w:hAnsi="Arial" w:cs="Arial"/>
          <w:sz w:val="20"/>
          <w:szCs w:val="20"/>
        </w:rPr>
        <w:t>habilitação</w:t>
      </w:r>
      <w:proofErr w:type="spellEnd"/>
      <w:r w:rsidRPr="00D67C77">
        <w:rPr>
          <w:rFonts w:ascii="Arial" w:hAnsi="Arial" w:cs="Arial"/>
          <w:sz w:val="20"/>
          <w:szCs w:val="20"/>
        </w:rPr>
        <w:t>, o que pode comprometer demasiadamente a competitividade do certame.</w:t>
      </w:r>
    </w:p>
    <w:p w14:paraId="5769CA29" w14:textId="74BDC609" w:rsidR="00681802" w:rsidRPr="00681802" w:rsidRDefault="00681802" w:rsidP="000118CD">
      <w:pPr>
        <w:autoSpaceDE w:val="0"/>
        <w:autoSpaceDN w:val="0"/>
        <w:adjustRightInd w:val="0"/>
        <w:spacing w:after="240"/>
        <w:jc w:val="both"/>
        <w:rPr>
          <w:rFonts w:ascii="Arial" w:hAnsi="Arial" w:cs="Arial"/>
          <w:sz w:val="20"/>
          <w:szCs w:val="20"/>
        </w:rPr>
      </w:pPr>
      <w:r>
        <w:rPr>
          <w:rFonts w:ascii="Arial" w:hAnsi="Arial" w:cs="Arial"/>
          <w:sz w:val="20"/>
          <w:szCs w:val="20"/>
        </w:rPr>
        <w:t>Processo</w:t>
      </w:r>
      <w:r w:rsidRPr="006E239F">
        <w:rPr>
          <w:rFonts w:ascii="Arial" w:hAnsi="Arial" w:cs="Arial"/>
          <w:sz w:val="20"/>
          <w:szCs w:val="20"/>
        </w:rPr>
        <w:t xml:space="preserve"> n.</w:t>
      </w:r>
      <w:r>
        <w:rPr>
          <w:rFonts w:ascii="Arial" w:hAnsi="Arial" w:cs="Arial"/>
          <w:sz w:val="20"/>
          <w:szCs w:val="20"/>
        </w:rPr>
        <w:t>º</w:t>
      </w:r>
      <w:r w:rsidRPr="006E239F">
        <w:rPr>
          <w:rFonts w:ascii="Arial" w:hAnsi="Arial" w:cs="Arial"/>
          <w:sz w:val="20"/>
          <w:szCs w:val="20"/>
        </w:rPr>
        <w:t xml:space="preserve"> </w:t>
      </w:r>
      <w:r>
        <w:rPr>
          <w:rFonts w:ascii="Arial" w:hAnsi="Arial" w:cs="Arial"/>
          <w:sz w:val="20"/>
          <w:szCs w:val="20"/>
        </w:rPr>
        <w:t>373001</w:t>
      </w:r>
      <w:r w:rsidRPr="006E239F">
        <w:rPr>
          <w:rFonts w:ascii="Arial" w:hAnsi="Arial" w:cs="Arial"/>
          <w:sz w:val="20"/>
          <w:szCs w:val="20"/>
        </w:rPr>
        <w:t>/2</w:t>
      </w:r>
      <w:r>
        <w:rPr>
          <w:rFonts w:ascii="Arial" w:hAnsi="Arial" w:cs="Arial"/>
          <w:sz w:val="20"/>
          <w:szCs w:val="20"/>
        </w:rPr>
        <w:t>4</w:t>
      </w:r>
      <w:r w:rsidRPr="006E239F">
        <w:rPr>
          <w:rFonts w:ascii="Arial" w:hAnsi="Arial" w:cs="Arial"/>
          <w:sz w:val="20"/>
          <w:szCs w:val="20"/>
        </w:rPr>
        <w:t xml:space="preserve">, </w:t>
      </w:r>
      <w:hyperlink r:id="rId18">
        <w:r>
          <w:rPr>
            <w:rStyle w:val="Hyperlink"/>
            <w:rFonts w:ascii="Arial" w:hAnsi="Arial" w:cs="Arial"/>
            <w:sz w:val="20"/>
            <w:szCs w:val="20"/>
          </w:rPr>
          <w:t>Acórdão n.º 1407/24</w:t>
        </w:r>
      </w:hyperlink>
      <w:r w:rsidRPr="006E239F">
        <w:rPr>
          <w:rFonts w:ascii="Arial" w:hAnsi="Arial" w:cs="Arial"/>
          <w:sz w:val="20"/>
          <w:szCs w:val="20"/>
        </w:rPr>
        <w:t xml:space="preserve">, </w:t>
      </w:r>
      <w:r>
        <w:rPr>
          <w:rFonts w:ascii="Arial" w:hAnsi="Arial" w:cs="Arial"/>
          <w:sz w:val="20"/>
          <w:szCs w:val="20"/>
        </w:rPr>
        <w:t>Tribunal Pleno</w:t>
      </w:r>
      <w:r w:rsidRPr="006E239F">
        <w:rPr>
          <w:rFonts w:ascii="Arial" w:hAnsi="Arial" w:cs="Arial"/>
          <w:sz w:val="20"/>
          <w:szCs w:val="20"/>
        </w:rPr>
        <w:t xml:space="preserve">, </w:t>
      </w:r>
      <w:r>
        <w:rPr>
          <w:rFonts w:ascii="Arial" w:hAnsi="Arial" w:cs="Arial"/>
          <w:sz w:val="20"/>
          <w:szCs w:val="20"/>
        </w:rPr>
        <w:t>Relator</w:t>
      </w:r>
      <w:r w:rsidRPr="006E239F">
        <w:rPr>
          <w:rFonts w:ascii="Arial" w:hAnsi="Arial" w:cs="Arial"/>
          <w:sz w:val="20"/>
          <w:szCs w:val="20"/>
        </w:rPr>
        <w:t xml:space="preserve"> Jose Durval Mattos </w:t>
      </w:r>
      <w:r>
        <w:rPr>
          <w:rFonts w:ascii="Arial" w:hAnsi="Arial" w:cs="Arial"/>
          <w:sz w:val="20"/>
          <w:szCs w:val="20"/>
        </w:rPr>
        <w:t>d</w:t>
      </w:r>
      <w:r w:rsidRPr="006E239F">
        <w:rPr>
          <w:rFonts w:ascii="Arial" w:hAnsi="Arial" w:cs="Arial"/>
          <w:sz w:val="20"/>
          <w:szCs w:val="20"/>
        </w:rPr>
        <w:t xml:space="preserve">o Amaral, julgado em </w:t>
      </w:r>
      <w:r>
        <w:rPr>
          <w:rFonts w:ascii="Arial" w:hAnsi="Arial" w:cs="Arial"/>
          <w:sz w:val="20"/>
          <w:szCs w:val="20"/>
        </w:rPr>
        <w:t>29</w:t>
      </w:r>
      <w:r w:rsidRPr="006E239F">
        <w:rPr>
          <w:rFonts w:ascii="Arial" w:hAnsi="Arial" w:cs="Arial"/>
          <w:sz w:val="20"/>
          <w:szCs w:val="20"/>
        </w:rPr>
        <w:t xml:space="preserve">/5/2024 e veiculado em </w:t>
      </w:r>
      <w:r>
        <w:rPr>
          <w:rFonts w:ascii="Arial" w:hAnsi="Arial" w:cs="Arial"/>
          <w:sz w:val="20"/>
          <w:szCs w:val="20"/>
        </w:rPr>
        <w:t>5</w:t>
      </w:r>
      <w:r w:rsidRPr="006E239F">
        <w:rPr>
          <w:rFonts w:ascii="Arial" w:hAnsi="Arial" w:cs="Arial"/>
          <w:sz w:val="20"/>
          <w:szCs w:val="20"/>
        </w:rPr>
        <w:t>/6/2024.</w:t>
      </w:r>
    </w:p>
    <w:p w14:paraId="2B8BCD97" w14:textId="46F9D461" w:rsidR="005A13EB" w:rsidRPr="00E25FE0" w:rsidRDefault="00681802" w:rsidP="005A13EB">
      <w:pPr>
        <w:pStyle w:val="Ttulo1"/>
      </w:pPr>
      <w:bookmarkStart w:id="5" w:name="_Toc171896156"/>
      <w:r>
        <w:t>5</w:t>
      </w:r>
      <w:r w:rsidR="005A13EB">
        <w:t xml:space="preserve">. </w:t>
      </w:r>
      <w:r w:rsidR="005A13EB" w:rsidRPr="005A13EB">
        <w:t>Representação. Concurso Público nº 003/2024. Medida cautelar de suspensão na continuidade do certame apenas no que diz respeito aos cargos de Técnico de Enfermagem. Homologação.</w:t>
      </w:r>
      <w:bookmarkEnd w:id="5"/>
    </w:p>
    <w:p w14:paraId="54220532" w14:textId="77777777" w:rsidR="005A13EB" w:rsidRPr="005A13EB" w:rsidRDefault="005A13EB" w:rsidP="005A13EB">
      <w:pPr>
        <w:autoSpaceDE w:val="0"/>
        <w:autoSpaceDN w:val="0"/>
        <w:adjustRightInd w:val="0"/>
        <w:spacing w:after="0"/>
        <w:ind w:firstLine="567"/>
        <w:jc w:val="both"/>
        <w:rPr>
          <w:rFonts w:ascii="Arial" w:hAnsi="Arial" w:cs="Arial"/>
          <w:sz w:val="20"/>
          <w:szCs w:val="20"/>
        </w:rPr>
      </w:pPr>
      <w:r w:rsidRPr="005A13EB">
        <w:rPr>
          <w:rFonts w:ascii="Arial" w:hAnsi="Arial" w:cs="Arial"/>
          <w:sz w:val="20"/>
          <w:szCs w:val="20"/>
        </w:rPr>
        <w:t xml:space="preserve">Trata o presente processo de Representação formulada pelo Ministério Público de Contas, com pedido de liminar, contra ato do Prefeito Municipal de Pato Branco, Robson </w:t>
      </w:r>
      <w:proofErr w:type="spellStart"/>
      <w:r w:rsidRPr="005A13EB">
        <w:rPr>
          <w:rFonts w:ascii="Arial" w:hAnsi="Arial" w:cs="Arial"/>
          <w:sz w:val="20"/>
          <w:szCs w:val="20"/>
        </w:rPr>
        <w:t>Cantu</w:t>
      </w:r>
      <w:proofErr w:type="spellEnd"/>
      <w:r w:rsidRPr="005A13EB">
        <w:rPr>
          <w:rFonts w:ascii="Arial" w:hAnsi="Arial" w:cs="Arial"/>
          <w:sz w:val="20"/>
          <w:szCs w:val="20"/>
        </w:rPr>
        <w:t xml:space="preserve">, consubstanciado em edital de Concurso Público sob o n.º 003/2024, especificamente em relação aos cargos de Técnico de Enfermagem. Em cumprimento ao Despacho n.º 577/24 (peça n.º 09), a municipalidade, em manifestação prévia, justifica, em suma, que a previsão do Edital n.º 03/2024, pertinente à remuneração fixada para os cargos de Técnico de Enfermagem em desconformidade com os ditames da Lei Federal n.º 14.434/2022 – que instituiu o piso salarial nacional do Enfermeiro, do Técnico de Enfermagem, do Auxiliar de Enfermagem e da Parteira –, decorre do fato de que o Governo Federal é responsável pela complementação salarial para </w:t>
      </w:r>
      <w:r w:rsidRPr="005A13EB">
        <w:rPr>
          <w:rFonts w:ascii="Arial" w:hAnsi="Arial" w:cs="Arial"/>
          <w:sz w:val="20"/>
          <w:szCs w:val="20"/>
        </w:rPr>
        <w:lastRenderedPageBreak/>
        <w:t>atendimento do piso legal, razão pela qual não houve alteração do valor da remuneração na legislação municipal. Enfatizou, na mesma oportunidade que até o presente momento o Governo Federal tem regularmente efetuado os repasses de recursos financeiros para complementação da diferença resultante entre o piso nacional da categoria e a remuneração prevista na legislação municipal, razão pela qual não há como o Município afirmar sobre a continuidade dos repasses por se tratar de orçamento federal.</w:t>
      </w:r>
    </w:p>
    <w:p w14:paraId="382E2C60" w14:textId="77777777" w:rsidR="005A13EB" w:rsidRPr="005A13EB" w:rsidRDefault="005A13EB" w:rsidP="00681802">
      <w:pPr>
        <w:autoSpaceDE w:val="0"/>
        <w:autoSpaceDN w:val="0"/>
        <w:adjustRightInd w:val="0"/>
        <w:spacing w:after="120"/>
        <w:ind w:firstLine="567"/>
        <w:jc w:val="both"/>
        <w:rPr>
          <w:rFonts w:ascii="Arial" w:hAnsi="Arial" w:cs="Arial"/>
          <w:sz w:val="20"/>
          <w:szCs w:val="20"/>
        </w:rPr>
      </w:pPr>
      <w:r w:rsidRPr="005A13EB">
        <w:rPr>
          <w:rFonts w:ascii="Arial" w:hAnsi="Arial" w:cs="Arial"/>
          <w:sz w:val="20"/>
          <w:szCs w:val="20"/>
        </w:rPr>
        <w:t>De plano, ressalto que na ADI n.º 7.222/DF, inobstante tenha o Supremo Tribunal Federal inicialmente deferido a suspensão da lei em comento, posteriormente à aprovação da Emenda Constitucional n.º 127/20221 e da Lei n.º 14.581/232 , acabou por revogar parcialmente a cautelar concedida, instituindo que em relação aos servidores públicos dos Estados, Distrito Federal, Municípios e de suas autarquias, bem como aos profissionais contratados por entidades privadas que atendam, no mínimo, 60% de seus pacientes pelo SUS, a implementação da diferença resultante do piso salarial nacional deve se dar em toda a extensão coberta pelos recursos provenientes da assistência financeira da União. A questão trazida pelo Parquet de Contas vem sendo levada ao Poder Judiciário e tem ensejado a determinação da suspensão de concursos públicos, a exemplo do que se extrai da notícia a seguir transcrita, disponibilizada em 15/04/2024, no site da Justiça Federal do Estado do Paraná.</w:t>
      </w:r>
    </w:p>
    <w:p w14:paraId="5E693737" w14:textId="7D724C02" w:rsidR="005A13EB" w:rsidRPr="005A13EB" w:rsidRDefault="00681802" w:rsidP="00681802">
      <w:pPr>
        <w:autoSpaceDE w:val="0"/>
        <w:autoSpaceDN w:val="0"/>
        <w:adjustRightInd w:val="0"/>
        <w:spacing w:after="0"/>
        <w:ind w:left="1701"/>
        <w:jc w:val="both"/>
        <w:rPr>
          <w:rFonts w:ascii="Arial" w:hAnsi="Arial" w:cs="Arial"/>
          <w:sz w:val="20"/>
          <w:szCs w:val="20"/>
        </w:rPr>
      </w:pPr>
      <w:r>
        <w:rPr>
          <w:rFonts w:ascii="Arial" w:hAnsi="Arial" w:cs="Arial"/>
          <w:sz w:val="20"/>
          <w:szCs w:val="20"/>
        </w:rPr>
        <w:t>“</w:t>
      </w:r>
      <w:r w:rsidR="005A13EB" w:rsidRPr="005A13EB">
        <w:rPr>
          <w:rFonts w:ascii="Arial" w:hAnsi="Arial" w:cs="Arial"/>
          <w:sz w:val="20"/>
          <w:szCs w:val="20"/>
        </w:rPr>
        <w:t xml:space="preserve">A Justiça Federal suspendeu três concursos públicos em andamento nos Municípios de </w:t>
      </w:r>
      <w:proofErr w:type="spellStart"/>
      <w:r w:rsidR="005A13EB" w:rsidRPr="005A13EB">
        <w:rPr>
          <w:rFonts w:ascii="Arial" w:hAnsi="Arial" w:cs="Arial"/>
          <w:sz w:val="20"/>
          <w:szCs w:val="20"/>
        </w:rPr>
        <w:t>Goioxim</w:t>
      </w:r>
      <w:proofErr w:type="spellEnd"/>
      <w:r w:rsidR="005A13EB" w:rsidRPr="005A13EB">
        <w:rPr>
          <w:rFonts w:ascii="Arial" w:hAnsi="Arial" w:cs="Arial"/>
          <w:sz w:val="20"/>
          <w:szCs w:val="20"/>
        </w:rPr>
        <w:t xml:space="preserve">, Guarapuava e Prudentópolis, todos na região centro-sul do Paraná, por não atenderem aos níveis salariais do piso da Enfermagem. As decisões foram proferidas em mandados de segurança pela juíza federal Marta Ribeiro Pacheco, da </w:t>
      </w:r>
      <w:r w:rsidR="005A13EB" w:rsidRPr="005A13EB">
        <w:rPr>
          <w:rFonts w:ascii="Arial" w:hAnsi="Arial" w:cs="Arial"/>
          <w:b/>
          <w:bCs/>
          <w:sz w:val="20"/>
          <w:szCs w:val="20"/>
        </w:rPr>
        <w:t>1ª Vara Federal de Guarapuava</w:t>
      </w:r>
      <w:r w:rsidR="005A13EB" w:rsidRPr="005A13EB">
        <w:rPr>
          <w:rFonts w:ascii="Arial" w:hAnsi="Arial" w:cs="Arial"/>
          <w:sz w:val="20"/>
          <w:szCs w:val="20"/>
        </w:rPr>
        <w:t xml:space="preserve">, frente a pedidos do Conselho Regional de Enfermagem do Paraná (COREN/PR) e têm validade, exclusivamente, em relação aos cargos de enfermeiro e de técnico de enfermagem. O COREN/PR informou que o problema reside justamente na previsão salarial que consta nos Editais, que afrontam a lei que instituiu o piso salarial para os profissionais da enfermagem. Para o Município de </w:t>
      </w:r>
      <w:proofErr w:type="spellStart"/>
      <w:r w:rsidR="005A13EB" w:rsidRPr="005A13EB">
        <w:rPr>
          <w:rFonts w:ascii="Arial" w:hAnsi="Arial" w:cs="Arial"/>
          <w:sz w:val="20"/>
          <w:szCs w:val="20"/>
        </w:rPr>
        <w:t>Goioxim</w:t>
      </w:r>
      <w:proofErr w:type="spellEnd"/>
      <w:r w:rsidR="005A13EB" w:rsidRPr="005A13EB">
        <w:rPr>
          <w:rFonts w:ascii="Arial" w:hAnsi="Arial" w:cs="Arial"/>
          <w:sz w:val="20"/>
          <w:szCs w:val="20"/>
        </w:rPr>
        <w:t xml:space="preserve">, o edital era para cargo de enfermeiro e técnico de enfermagem, em Prudentópolis para técnico de enfermagem, e em Guarapuava também para técnico de enfermagem. Em sua decisão, a magistrada destacou que a relação jurídica referente ao direito subjetivo dos servidores públicos ao piso salarial é distinta daquela existente entre o Município e a União consistente no repasse do aporte para cobrir a diferença de remuneração. “Desse modo, a discussão sobre eventual ausência de efetivos repasses dos recursos pela União ao Município para implementação do piso salarial de servidores públicos não consiste no objeto do presente mandado de segurança, de maneira que deverá ser objeto de medidas administrativas e judiciais próprias para tanto entre os entes federativos envolvidos”, complementou a magistrada. Marta Ribeiro Pacheco frisou ainda que o perigo da demora está consubstanciado no princípio da vinculação do concurso ao edital, segundo o qual a Administração e todos os </w:t>
      </w:r>
      <w:r w:rsidR="005A13EB" w:rsidRPr="005A13EB">
        <w:rPr>
          <w:rFonts w:ascii="Arial" w:hAnsi="Arial" w:cs="Arial"/>
          <w:sz w:val="20"/>
          <w:szCs w:val="20"/>
        </w:rPr>
        <w:lastRenderedPageBreak/>
        <w:t>candidatos se sujeitam às previsões editalícias. “Manter tal edital, mesmo dotado da ilegalidade reconhecida na fundamentação supra, seria evidentemente temerário - o prosseguimento do concurso público, nos moldes em que formatado originalmente, acarretará prejuízo de difícil reparação ao próprio Município e à coletividade, porque, além de inibir a participação de eventuais interessados, poderá vir a ser, ao final, anulado, para a realização de novo certame”. “No mais, consigno que não cabe ao Judiciário se imiscuir nas escolhas da Administração Pública quando, em juízo de oportunidade e conveniência, estabelece normas editalícias para contratação de pessoal. Sem prejuízo do controle de legalidade ora realizado, a alteração judicial das normas do edital implicaria indevida substituição da vontade do gestor público para a realização do concurso público em questão”. “Nestes termos, não cabe ao Juízo determinar a retificação da remuneração constante do edital ora questionado; contudo, se não houver adequação ao disposto na lei de regência, o concurso público não poderá prosseguir em relação aos cargos ocupados por enfermeiros e dos técnicos de enfermagem”, finalizou a juíza da 1ª Vara Federal de Guarapuava</w:t>
      </w:r>
      <w:r>
        <w:rPr>
          <w:rFonts w:ascii="Arial" w:hAnsi="Arial" w:cs="Arial"/>
          <w:sz w:val="20"/>
          <w:szCs w:val="20"/>
        </w:rPr>
        <w:t>”</w:t>
      </w:r>
      <w:r w:rsidR="005A13EB" w:rsidRPr="005A13EB">
        <w:rPr>
          <w:rFonts w:ascii="Arial" w:hAnsi="Arial" w:cs="Arial"/>
          <w:sz w:val="20"/>
          <w:szCs w:val="20"/>
        </w:rPr>
        <w:t>.</w:t>
      </w:r>
    </w:p>
    <w:p w14:paraId="7616E0FF" w14:textId="286071C3" w:rsidR="005A13EB" w:rsidRDefault="005A13EB" w:rsidP="00681802">
      <w:pPr>
        <w:autoSpaceDE w:val="0"/>
        <w:autoSpaceDN w:val="0"/>
        <w:adjustRightInd w:val="0"/>
        <w:spacing w:before="120" w:after="240"/>
        <w:jc w:val="both"/>
        <w:rPr>
          <w:rFonts w:ascii="Arial" w:hAnsi="Arial" w:cs="Arial"/>
          <w:sz w:val="20"/>
          <w:szCs w:val="20"/>
        </w:rPr>
      </w:pPr>
      <w:r w:rsidRPr="005A13EB">
        <w:rPr>
          <w:rFonts w:ascii="Arial" w:hAnsi="Arial" w:cs="Arial"/>
          <w:sz w:val="20"/>
          <w:szCs w:val="20"/>
        </w:rPr>
        <w:t xml:space="preserve">Assim, em </w:t>
      </w:r>
      <w:r w:rsidRPr="005A13EB">
        <w:rPr>
          <w:rFonts w:ascii="Arial" w:hAnsi="Arial" w:cs="Arial"/>
          <w:sz w:val="20"/>
          <w:szCs w:val="20"/>
          <w:u w:val="single"/>
        </w:rPr>
        <w:t>análise preliminar</w:t>
      </w:r>
      <w:r w:rsidRPr="005A13EB">
        <w:rPr>
          <w:rFonts w:ascii="Arial" w:hAnsi="Arial" w:cs="Arial"/>
          <w:sz w:val="20"/>
          <w:szCs w:val="20"/>
        </w:rPr>
        <w:t xml:space="preserve">, verifico indícios de irregularidades em relação às questões relatadas, o que me leva a concluir que os fatos relatados na presente representação merecem exame minucioso por parte desta Corte de Contas. Da mesma forma, diante da demonstração da verossimilhança do direito alegado e do periculum in mora, uma vez que o documento intitulado “Resultado Final e Classificação do Concurso” foi divulgado em 22/05/2024, sendo, portanto, iminente a convocação dos aprovados, por meio do Despacho nº 621/2024, </w:t>
      </w:r>
      <w:r w:rsidRPr="005A13EB">
        <w:rPr>
          <w:rFonts w:ascii="Arial" w:hAnsi="Arial" w:cs="Arial"/>
          <w:b/>
          <w:bCs/>
          <w:sz w:val="20"/>
          <w:szCs w:val="20"/>
        </w:rPr>
        <w:t>determinei a suspensão na continuidade do certame apenas no que diz respeito aos cargos de Técnico de Enfermagem.</w:t>
      </w:r>
    </w:p>
    <w:p w14:paraId="6290238E" w14:textId="394A3024" w:rsidR="005A13EB" w:rsidRDefault="005A13EB" w:rsidP="005A13EB">
      <w:pPr>
        <w:autoSpaceDE w:val="0"/>
        <w:autoSpaceDN w:val="0"/>
        <w:adjustRightInd w:val="0"/>
        <w:spacing w:after="240"/>
        <w:jc w:val="both"/>
        <w:rPr>
          <w:rFonts w:ascii="Arial" w:eastAsia="Arial" w:hAnsi="Arial" w:cs="Arial"/>
          <w:color w:val="000000" w:themeColor="text1"/>
          <w:sz w:val="20"/>
          <w:szCs w:val="20"/>
        </w:rPr>
      </w:pPr>
      <w:r w:rsidRPr="00C6231F">
        <w:rPr>
          <w:rFonts w:ascii="Arial" w:eastAsia="Arial" w:hAnsi="Arial" w:cs="Arial"/>
          <w:color w:val="000000" w:themeColor="text1"/>
          <w:sz w:val="20"/>
          <w:szCs w:val="20"/>
        </w:rPr>
        <w:t>Processo n.º</w:t>
      </w:r>
      <w:r w:rsidRPr="00C6231F">
        <w:rPr>
          <w:rFonts w:ascii="Arial" w:eastAsia="Arial" w:hAnsi="Arial" w:cs="Arial"/>
          <w:sz w:val="20"/>
          <w:szCs w:val="20"/>
        </w:rPr>
        <w:t xml:space="preserve"> </w:t>
      </w:r>
      <w:r w:rsidR="00681802">
        <w:rPr>
          <w:rFonts w:ascii="Arial" w:eastAsia="Arial" w:hAnsi="Arial" w:cs="Arial"/>
          <w:sz w:val="20"/>
          <w:szCs w:val="20"/>
        </w:rPr>
        <w:t>351199</w:t>
      </w:r>
      <w:r>
        <w:rPr>
          <w:rFonts w:ascii="Arial" w:eastAsia="Arial" w:hAnsi="Arial" w:cs="Arial"/>
          <w:sz w:val="20"/>
          <w:szCs w:val="20"/>
        </w:rPr>
        <w:t>/24</w:t>
      </w:r>
      <w:r w:rsidRPr="00C6231F">
        <w:rPr>
          <w:rFonts w:ascii="Arial" w:eastAsia="Arial" w:hAnsi="Arial" w:cs="Arial"/>
          <w:sz w:val="20"/>
          <w:szCs w:val="20"/>
        </w:rPr>
        <w:t xml:space="preserve">, </w:t>
      </w:r>
      <w:hyperlink r:id="rId19" w:history="1">
        <w:r w:rsidR="00681802">
          <w:rPr>
            <w:rStyle w:val="Hyperlink"/>
            <w:rFonts w:ascii="Arial" w:hAnsi="Arial" w:cs="Arial"/>
            <w:sz w:val="20"/>
            <w:szCs w:val="20"/>
          </w:rPr>
          <w:t>Acórdão n.º 1480/24</w:t>
        </w:r>
      </w:hyperlink>
      <w:hyperlink r:id="rId20" w:history="1"/>
      <w:r w:rsidRPr="00C6231F">
        <w:rPr>
          <w:rFonts w:ascii="Arial" w:eastAsia="Arial" w:hAnsi="Arial" w:cs="Arial"/>
          <w:color w:val="000000" w:themeColor="text1"/>
          <w:sz w:val="20"/>
          <w:szCs w:val="20"/>
        </w:rPr>
        <w:t xml:space="preserve">, Tribunal Pleno, Relator </w:t>
      </w:r>
      <w:r w:rsidR="00681802" w:rsidRPr="0051592D">
        <w:rPr>
          <w:rFonts w:ascii="Arial" w:eastAsia="Arial" w:hAnsi="Arial" w:cs="Arial"/>
          <w:color w:val="000000" w:themeColor="text1"/>
          <w:sz w:val="20"/>
          <w:szCs w:val="20"/>
        </w:rPr>
        <w:t xml:space="preserve">José Durval Mattos do Amaral, julgado em 5/6/2024 e veiculado em </w:t>
      </w:r>
      <w:r w:rsidR="00681802">
        <w:rPr>
          <w:rFonts w:ascii="Arial" w:eastAsia="Arial" w:hAnsi="Arial" w:cs="Arial"/>
          <w:color w:val="000000" w:themeColor="text1"/>
          <w:sz w:val="20"/>
          <w:szCs w:val="20"/>
        </w:rPr>
        <w:t>13</w:t>
      </w:r>
      <w:r w:rsidR="00681802" w:rsidRPr="0051592D">
        <w:rPr>
          <w:rFonts w:ascii="Arial" w:eastAsia="Arial" w:hAnsi="Arial" w:cs="Arial"/>
          <w:color w:val="000000" w:themeColor="text1"/>
          <w:sz w:val="20"/>
          <w:szCs w:val="20"/>
        </w:rPr>
        <w:t>/</w:t>
      </w:r>
      <w:r w:rsidR="00681802">
        <w:rPr>
          <w:rFonts w:ascii="Arial" w:eastAsia="Arial" w:hAnsi="Arial" w:cs="Arial"/>
          <w:color w:val="000000" w:themeColor="text1"/>
          <w:sz w:val="20"/>
          <w:szCs w:val="20"/>
        </w:rPr>
        <w:t>6</w:t>
      </w:r>
      <w:r w:rsidR="00681802" w:rsidRPr="0051592D">
        <w:rPr>
          <w:rFonts w:ascii="Arial" w:eastAsia="Arial" w:hAnsi="Arial" w:cs="Arial"/>
          <w:color w:val="000000" w:themeColor="text1"/>
          <w:sz w:val="20"/>
          <w:szCs w:val="20"/>
        </w:rPr>
        <w:t>/2024</w:t>
      </w:r>
      <w:r w:rsidRPr="00C6231F">
        <w:rPr>
          <w:rFonts w:ascii="Arial" w:eastAsia="Arial" w:hAnsi="Arial" w:cs="Arial"/>
          <w:color w:val="000000" w:themeColor="text1"/>
          <w:sz w:val="20"/>
          <w:szCs w:val="20"/>
        </w:rPr>
        <w:t>.</w:t>
      </w:r>
    </w:p>
    <w:p w14:paraId="65A1FED8" w14:textId="6DB3B5A7" w:rsidR="00CA1B67" w:rsidRPr="00F76263" w:rsidRDefault="00D36992" w:rsidP="00F76263">
      <w:pPr>
        <w:pBdr>
          <w:top w:val="nil"/>
          <w:left w:val="nil"/>
          <w:bottom w:val="nil"/>
          <w:right w:val="nil"/>
          <w:between w:val="nil"/>
        </w:pBdr>
        <w:spacing w:after="0"/>
        <w:jc w:val="both"/>
        <w:rPr>
          <w:rFonts w:ascii="Arial" w:eastAsia="Arial" w:hAnsi="Arial" w:cs="Arial"/>
          <w:b/>
          <w:color w:val="000000"/>
          <w:sz w:val="20"/>
          <w:szCs w:val="20"/>
        </w:rPr>
      </w:pPr>
      <w:r w:rsidRPr="00F76263">
        <w:rPr>
          <w:rFonts w:ascii="Arial" w:eastAsia="Arial" w:hAnsi="Arial" w:cs="Arial"/>
          <w:b/>
          <w:color w:val="000000"/>
          <w:sz w:val="20"/>
          <w:szCs w:val="20"/>
        </w:rPr>
        <w:t xml:space="preserve">Acesse também: </w:t>
      </w:r>
    </w:p>
    <w:p w14:paraId="1ACE08DF" w14:textId="77777777" w:rsidR="00E46AF1" w:rsidRPr="00F76263" w:rsidRDefault="00E46AF1" w:rsidP="00F76263">
      <w:pPr>
        <w:pBdr>
          <w:top w:val="nil"/>
          <w:left w:val="nil"/>
          <w:bottom w:val="nil"/>
          <w:right w:val="nil"/>
          <w:between w:val="nil"/>
        </w:pBdr>
        <w:spacing w:after="0"/>
        <w:jc w:val="both"/>
        <w:rPr>
          <w:rFonts w:ascii="Arial" w:eastAsia="Arial" w:hAnsi="Arial" w:cs="Arial"/>
          <w:b/>
          <w:color w:val="000000"/>
          <w:sz w:val="20"/>
          <w:szCs w:val="20"/>
        </w:rPr>
      </w:pPr>
    </w:p>
    <w:p w14:paraId="6D370031" w14:textId="77777777" w:rsidR="00CA1B67" w:rsidRPr="00F76263" w:rsidRDefault="00000000" w:rsidP="00F76263">
      <w:pPr>
        <w:pBdr>
          <w:top w:val="nil"/>
          <w:left w:val="nil"/>
          <w:bottom w:val="nil"/>
          <w:right w:val="nil"/>
          <w:between w:val="nil"/>
        </w:pBdr>
        <w:spacing w:after="0"/>
        <w:jc w:val="center"/>
        <w:rPr>
          <w:rFonts w:ascii="Arial" w:eastAsia="Arial" w:hAnsi="Arial" w:cs="Arial"/>
          <w:b/>
          <w:color w:val="0000FF"/>
          <w:sz w:val="20"/>
          <w:szCs w:val="20"/>
          <w:u w:val="single"/>
        </w:rPr>
      </w:pPr>
      <w:hyperlink r:id="rId21">
        <w:r w:rsidR="00D36992" w:rsidRPr="00F76263">
          <w:rPr>
            <w:rFonts w:ascii="Arial" w:eastAsia="Arial" w:hAnsi="Arial" w:cs="Arial"/>
            <w:b/>
            <w:color w:val="0000FF"/>
            <w:sz w:val="20"/>
            <w:szCs w:val="20"/>
            <w:u w:val="single"/>
          </w:rPr>
          <w:t>Pesquisas Prontas</w:t>
        </w:r>
      </w:hyperlink>
    </w:p>
    <w:p w14:paraId="720F45F1" w14:textId="77777777" w:rsidR="00CA1B67" w:rsidRPr="00F76263" w:rsidRDefault="00CA1B67" w:rsidP="00F76263">
      <w:pPr>
        <w:spacing w:after="0"/>
        <w:jc w:val="both"/>
        <w:rPr>
          <w:rFonts w:ascii="Arial" w:eastAsia="Arial" w:hAnsi="Arial" w:cs="Arial"/>
          <w:sz w:val="20"/>
          <w:szCs w:val="20"/>
        </w:rPr>
      </w:pPr>
    </w:p>
    <w:p w14:paraId="4EFB2F5A" w14:textId="77777777" w:rsidR="00CA1B67" w:rsidRPr="00F76263" w:rsidRDefault="00000000" w:rsidP="00F76263">
      <w:pPr>
        <w:pBdr>
          <w:top w:val="nil"/>
          <w:left w:val="nil"/>
          <w:bottom w:val="nil"/>
          <w:right w:val="nil"/>
          <w:between w:val="nil"/>
        </w:pBdr>
        <w:spacing w:after="0"/>
        <w:jc w:val="center"/>
        <w:rPr>
          <w:rFonts w:ascii="Arial" w:eastAsia="Arial" w:hAnsi="Arial" w:cs="Arial"/>
          <w:b/>
          <w:color w:val="0000FF"/>
          <w:sz w:val="20"/>
          <w:szCs w:val="20"/>
          <w:u w:val="single"/>
        </w:rPr>
      </w:pPr>
      <w:hyperlink r:id="rId22">
        <w:r w:rsidR="00D36992" w:rsidRPr="00F76263">
          <w:rPr>
            <w:rFonts w:ascii="Arial" w:eastAsia="Arial" w:hAnsi="Arial" w:cs="Arial"/>
            <w:b/>
            <w:color w:val="0000FF"/>
            <w:sz w:val="20"/>
            <w:szCs w:val="20"/>
            <w:u w:val="single"/>
          </w:rPr>
          <w:t>Teses Ambientais</w:t>
        </w:r>
      </w:hyperlink>
    </w:p>
    <w:p w14:paraId="155472D4" w14:textId="77777777" w:rsidR="00CA1B67" w:rsidRPr="00F76263" w:rsidRDefault="00CA1B67" w:rsidP="00F76263">
      <w:pPr>
        <w:pBdr>
          <w:top w:val="nil"/>
          <w:left w:val="nil"/>
          <w:bottom w:val="nil"/>
          <w:right w:val="nil"/>
          <w:between w:val="nil"/>
        </w:pBdr>
        <w:spacing w:after="0"/>
        <w:jc w:val="center"/>
        <w:rPr>
          <w:rFonts w:ascii="Arial" w:eastAsia="Arial" w:hAnsi="Arial" w:cs="Arial"/>
          <w:b/>
          <w:color w:val="0000FF"/>
          <w:sz w:val="20"/>
          <w:szCs w:val="20"/>
          <w:u w:val="single"/>
        </w:rPr>
      </w:pPr>
    </w:p>
    <w:p w14:paraId="63C5EE67" w14:textId="77777777" w:rsidR="00CA1B67" w:rsidRPr="00F76263" w:rsidRDefault="00000000" w:rsidP="00F76263">
      <w:pPr>
        <w:pBdr>
          <w:top w:val="nil"/>
          <w:left w:val="nil"/>
          <w:bottom w:val="nil"/>
          <w:right w:val="nil"/>
          <w:between w:val="nil"/>
        </w:pBdr>
        <w:spacing w:after="0"/>
        <w:jc w:val="center"/>
        <w:rPr>
          <w:rFonts w:ascii="Arial" w:eastAsia="Arial" w:hAnsi="Arial" w:cs="Arial"/>
          <w:b/>
          <w:color w:val="000000"/>
          <w:sz w:val="20"/>
          <w:szCs w:val="20"/>
        </w:rPr>
      </w:pPr>
      <w:hyperlink r:id="rId23">
        <w:proofErr w:type="spellStart"/>
        <w:r w:rsidR="00D36992" w:rsidRPr="00F76263">
          <w:rPr>
            <w:rFonts w:ascii="Arial" w:eastAsia="Arial" w:hAnsi="Arial" w:cs="Arial"/>
            <w:b/>
            <w:color w:val="0000FF"/>
            <w:sz w:val="20"/>
            <w:szCs w:val="20"/>
            <w:u w:val="single"/>
          </w:rPr>
          <w:t>Interjuris</w:t>
        </w:r>
        <w:proofErr w:type="spellEnd"/>
      </w:hyperlink>
    </w:p>
    <w:p w14:paraId="3B57D8E2" w14:textId="77777777" w:rsidR="00CA1B67" w:rsidRPr="00F76263" w:rsidRDefault="00CA1B67" w:rsidP="00F76263">
      <w:pPr>
        <w:pBdr>
          <w:top w:val="nil"/>
          <w:left w:val="nil"/>
          <w:bottom w:val="nil"/>
          <w:right w:val="nil"/>
          <w:between w:val="nil"/>
        </w:pBdr>
        <w:spacing w:after="0"/>
        <w:jc w:val="center"/>
        <w:rPr>
          <w:rFonts w:ascii="Arial" w:eastAsia="Arial" w:hAnsi="Arial" w:cs="Arial"/>
          <w:color w:val="000000"/>
          <w:sz w:val="20"/>
          <w:szCs w:val="20"/>
        </w:rPr>
      </w:pPr>
    </w:p>
    <w:p w14:paraId="34282C6C" w14:textId="77777777" w:rsidR="00CA1B67" w:rsidRPr="00F76263" w:rsidRDefault="00000000" w:rsidP="00F76263">
      <w:pPr>
        <w:pBdr>
          <w:top w:val="nil"/>
          <w:left w:val="nil"/>
          <w:bottom w:val="nil"/>
          <w:right w:val="nil"/>
          <w:between w:val="nil"/>
        </w:pBdr>
        <w:spacing w:after="0"/>
        <w:jc w:val="center"/>
        <w:rPr>
          <w:rFonts w:ascii="Arial" w:eastAsia="Arial" w:hAnsi="Arial" w:cs="Arial"/>
          <w:b/>
          <w:color w:val="0000FF"/>
          <w:sz w:val="20"/>
          <w:szCs w:val="20"/>
          <w:u w:val="single"/>
        </w:rPr>
      </w:pPr>
      <w:hyperlink r:id="rId24">
        <w:r w:rsidR="00D36992" w:rsidRPr="00F76263">
          <w:rPr>
            <w:rFonts w:ascii="Arial" w:eastAsia="Arial" w:hAnsi="Arial" w:cs="Arial"/>
            <w:b/>
            <w:color w:val="0000FF"/>
            <w:sz w:val="20"/>
            <w:szCs w:val="20"/>
            <w:u w:val="single"/>
          </w:rPr>
          <w:t>Repercussão Geral do Supremo Tribunal Federal - STF e os Tribunais de Contas</w:t>
        </w:r>
      </w:hyperlink>
    </w:p>
    <w:p w14:paraId="043CE84E" w14:textId="77777777" w:rsidR="00CA1B67" w:rsidRPr="00F76263" w:rsidRDefault="00CA1B67" w:rsidP="00F76263">
      <w:pPr>
        <w:pBdr>
          <w:top w:val="nil"/>
          <w:left w:val="nil"/>
          <w:bottom w:val="nil"/>
          <w:right w:val="nil"/>
          <w:between w:val="nil"/>
        </w:pBdr>
        <w:spacing w:after="0"/>
        <w:jc w:val="center"/>
        <w:rPr>
          <w:rFonts w:ascii="Arial" w:eastAsia="Arial" w:hAnsi="Arial" w:cs="Arial"/>
          <w:b/>
          <w:color w:val="0000FF"/>
          <w:sz w:val="20"/>
          <w:szCs w:val="20"/>
          <w:u w:val="single"/>
        </w:rPr>
      </w:pPr>
    </w:p>
    <w:p w14:paraId="2FA8AD3D" w14:textId="77777777" w:rsidR="00CA1B67" w:rsidRPr="00F76263" w:rsidRDefault="00000000" w:rsidP="00F76263">
      <w:pPr>
        <w:pBdr>
          <w:top w:val="nil"/>
          <w:left w:val="nil"/>
          <w:bottom w:val="nil"/>
          <w:right w:val="nil"/>
          <w:between w:val="nil"/>
        </w:pBdr>
        <w:spacing w:after="0"/>
        <w:jc w:val="center"/>
        <w:rPr>
          <w:rFonts w:ascii="Arial" w:eastAsia="Arial" w:hAnsi="Arial" w:cs="Arial"/>
          <w:b/>
          <w:color w:val="0000FF"/>
          <w:sz w:val="20"/>
          <w:szCs w:val="20"/>
          <w:u w:val="single"/>
        </w:rPr>
      </w:pPr>
      <w:hyperlink r:id="rId25">
        <w:r w:rsidR="00D36992" w:rsidRPr="00F76263">
          <w:rPr>
            <w:rFonts w:ascii="Arial" w:eastAsia="Arial" w:hAnsi="Arial" w:cs="Arial"/>
            <w:b/>
            <w:color w:val="0000FF"/>
            <w:sz w:val="20"/>
            <w:szCs w:val="20"/>
            <w:u w:val="single"/>
          </w:rPr>
          <w:t>Súmulas Selecionadas</w:t>
        </w:r>
      </w:hyperlink>
    </w:p>
    <w:p w14:paraId="750AB9C6" w14:textId="77777777" w:rsidR="00EA1A1F" w:rsidRPr="00F76263" w:rsidRDefault="00EA1A1F" w:rsidP="00F76263">
      <w:pPr>
        <w:spacing w:after="0"/>
        <w:rPr>
          <w:rFonts w:ascii="Arial" w:eastAsia="Arial" w:hAnsi="Arial" w:cs="Arial"/>
          <w:i/>
          <w:color w:val="000000"/>
          <w:sz w:val="20"/>
          <w:szCs w:val="20"/>
        </w:rPr>
      </w:pPr>
    </w:p>
    <w:p w14:paraId="3785DF1C" w14:textId="77777777" w:rsidR="00CA1B67" w:rsidRPr="00F76263" w:rsidRDefault="00D36992" w:rsidP="00F76263">
      <w:pPr>
        <w:spacing w:after="0"/>
        <w:jc w:val="center"/>
        <w:rPr>
          <w:rFonts w:ascii="Arial" w:eastAsia="Arial" w:hAnsi="Arial" w:cs="Arial"/>
          <w:i/>
          <w:color w:val="000000"/>
          <w:sz w:val="20"/>
          <w:szCs w:val="20"/>
        </w:rPr>
      </w:pPr>
      <w:r w:rsidRPr="00F76263">
        <w:rPr>
          <w:rFonts w:ascii="Arial" w:eastAsia="Arial" w:hAnsi="Arial" w:cs="Arial"/>
          <w:i/>
          <w:color w:val="000000"/>
          <w:sz w:val="20"/>
          <w:szCs w:val="20"/>
        </w:rPr>
        <w:t>Elaboração: Escola de Gestão Pública - Jurisprudência</w:t>
      </w:r>
    </w:p>
    <w:p w14:paraId="25CD0A84" w14:textId="77777777" w:rsidR="00CA1B67" w:rsidRPr="00F76263" w:rsidRDefault="00D36992" w:rsidP="00F76263">
      <w:pPr>
        <w:spacing w:after="0"/>
        <w:jc w:val="center"/>
        <w:rPr>
          <w:rFonts w:ascii="Arial" w:eastAsia="Arial" w:hAnsi="Arial" w:cs="Arial"/>
          <w:sz w:val="20"/>
          <w:szCs w:val="20"/>
        </w:rPr>
      </w:pPr>
      <w:r w:rsidRPr="00F76263">
        <w:rPr>
          <w:rFonts w:ascii="Arial" w:eastAsia="Arial" w:hAnsi="Arial" w:cs="Arial"/>
          <w:i/>
          <w:sz w:val="20"/>
          <w:szCs w:val="20"/>
        </w:rPr>
        <w:lastRenderedPageBreak/>
        <w:t>E-mail: jurisprudencia@tce.pr.gov.br</w:t>
      </w:r>
    </w:p>
    <w:sectPr w:rsidR="00CA1B67" w:rsidRPr="00F76263" w:rsidSect="00DF2930">
      <w:headerReference w:type="default" r:id="rId26"/>
      <w:footerReference w:type="default" r:id="rId27"/>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ED53C" w14:textId="77777777" w:rsidR="004B4ACD" w:rsidRDefault="004B4ACD">
      <w:pPr>
        <w:spacing w:after="0" w:line="240" w:lineRule="auto"/>
      </w:pPr>
      <w:r>
        <w:separator/>
      </w:r>
    </w:p>
  </w:endnote>
  <w:endnote w:type="continuationSeparator" w:id="0">
    <w:p w14:paraId="2A094F38" w14:textId="77777777" w:rsidR="004B4ACD" w:rsidRDefault="004B4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8A081" w14:textId="77777777" w:rsidR="00CA1B67" w:rsidRDefault="00D36992">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noProof/>
        <w:color w:val="000000"/>
        <w:sz w:val="24"/>
        <w:szCs w:val="24"/>
      </w:rPr>
      <w:drawing>
        <wp:inline distT="0" distB="0" distL="0" distR="0" wp14:anchorId="6C45F636" wp14:editId="53035872">
          <wp:extent cx="467873" cy="233936"/>
          <wp:effectExtent l="0" t="0" r="0" b="0"/>
          <wp:docPr id="10" name="image2.png" descr="Resultado de imagem para EGP TCE"/>
          <wp:cNvGraphicFramePr/>
          <a:graphic xmlns:a="http://schemas.openxmlformats.org/drawingml/2006/main">
            <a:graphicData uri="http://schemas.openxmlformats.org/drawingml/2006/picture">
              <pic:pic xmlns:pic="http://schemas.openxmlformats.org/drawingml/2006/picture">
                <pic:nvPicPr>
                  <pic:cNvPr id="0" name="image2.png" descr="Resultado de imagem para EGP TCE"/>
                  <pic:cNvPicPr preferRelativeResize="0"/>
                </pic:nvPicPr>
                <pic:blipFill>
                  <a:blip r:embed="rId1"/>
                  <a:srcRect/>
                  <a:stretch>
                    <a:fillRect/>
                  </a:stretch>
                </pic:blipFill>
                <pic:spPr>
                  <a:xfrm>
                    <a:off x="0" y="0"/>
                    <a:ext cx="467873" cy="233936"/>
                  </a:xfrm>
                  <a:prstGeom prst="rect">
                    <a:avLst/>
                  </a:prstGeom>
                  <a:ln/>
                </pic:spPr>
              </pic:pic>
            </a:graphicData>
          </a:graphic>
        </wp:inline>
      </w:drawing>
    </w:r>
  </w:p>
  <w:p w14:paraId="3BA23501" w14:textId="77777777" w:rsidR="00CA1B67" w:rsidRDefault="003E0504">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fldChar w:fldCharType="begin"/>
    </w:r>
    <w:r w:rsidR="00D36992">
      <w:rPr>
        <w:rFonts w:ascii="Times New Roman" w:eastAsia="Times New Roman" w:hAnsi="Times New Roman" w:cs="Times New Roman"/>
        <w:color w:val="000000"/>
        <w:sz w:val="16"/>
        <w:szCs w:val="16"/>
      </w:rPr>
      <w:instrText>PAGE</w:instrText>
    </w:r>
    <w:r>
      <w:rPr>
        <w:rFonts w:ascii="Times New Roman" w:eastAsia="Times New Roman" w:hAnsi="Times New Roman" w:cs="Times New Roman"/>
        <w:color w:val="000000"/>
        <w:sz w:val="16"/>
        <w:szCs w:val="16"/>
      </w:rPr>
      <w:fldChar w:fldCharType="separate"/>
    </w:r>
    <w:r w:rsidR="0092155D">
      <w:rPr>
        <w:rFonts w:ascii="Times New Roman" w:eastAsia="Times New Roman" w:hAnsi="Times New Roman" w:cs="Times New Roman"/>
        <w:noProof/>
        <w:color w:val="000000"/>
        <w:sz w:val="16"/>
        <w:szCs w:val="16"/>
      </w:rPr>
      <w:t>1</w:t>
    </w:r>
    <w:r>
      <w:rPr>
        <w:rFonts w:ascii="Times New Roman" w:eastAsia="Times New Roman" w:hAnsi="Times New Roman" w:cs="Times New Roman"/>
        <w:color w:val="000000"/>
        <w:sz w:val="16"/>
        <w:szCs w:val="16"/>
      </w:rPr>
      <w:fldChar w:fldCharType="end"/>
    </w:r>
  </w:p>
  <w:p w14:paraId="58D82D6C" w14:textId="77777777" w:rsidR="00CA1B67" w:rsidRDefault="00CA1B67"/>
  <w:p w14:paraId="78535BB4" w14:textId="77777777" w:rsidR="00CA1B67" w:rsidRDefault="00CA1B67"/>
  <w:p w14:paraId="30F1EF91" w14:textId="77777777" w:rsidR="00CA1B67" w:rsidRDefault="00CA1B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3DF3F" w14:textId="77777777" w:rsidR="004B4ACD" w:rsidRDefault="004B4ACD">
      <w:pPr>
        <w:spacing w:after="0" w:line="240" w:lineRule="auto"/>
      </w:pPr>
      <w:r>
        <w:separator/>
      </w:r>
    </w:p>
  </w:footnote>
  <w:footnote w:type="continuationSeparator" w:id="0">
    <w:p w14:paraId="1F153FA0" w14:textId="77777777" w:rsidR="004B4ACD" w:rsidRDefault="004B4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BEE81" w14:textId="77777777" w:rsidR="00CA1B67" w:rsidRDefault="00CA1B67">
    <w:pPr>
      <w:pBdr>
        <w:top w:val="nil"/>
        <w:left w:val="nil"/>
        <w:bottom w:val="nil"/>
        <w:right w:val="nil"/>
        <w:between w:val="nil"/>
      </w:pBdr>
      <w:tabs>
        <w:tab w:val="center" w:pos="4252"/>
        <w:tab w:val="right" w:pos="8504"/>
      </w:tabs>
      <w:spacing w:after="280" w:line="240" w:lineRule="auto"/>
      <w:jc w:val="center"/>
      <w:rPr>
        <w:rFonts w:ascii="Times New Roman" w:eastAsia="Times New Roman" w:hAnsi="Times New Roman" w:cs="Times New Roman"/>
        <w:b/>
        <w:color w:val="000000"/>
        <w:sz w:val="24"/>
        <w:szCs w:val="24"/>
      </w:rPr>
    </w:pPr>
  </w:p>
  <w:p w14:paraId="4213D044" w14:textId="04D9B8CC" w:rsidR="00424623" w:rsidRDefault="00D36992" w:rsidP="00071A04">
    <w:pPr>
      <w:pBdr>
        <w:top w:val="nil"/>
        <w:left w:val="nil"/>
        <w:bottom w:val="nil"/>
        <w:right w:val="nil"/>
        <w:between w:val="nil"/>
      </w:pBdr>
      <w:tabs>
        <w:tab w:val="center" w:pos="4252"/>
        <w:tab w:val="right" w:pos="8504"/>
      </w:tabs>
      <w:spacing w:after="24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noProof/>
        <w:color w:val="000000"/>
        <w:sz w:val="24"/>
        <w:szCs w:val="24"/>
      </w:rPr>
      <w:drawing>
        <wp:inline distT="0" distB="0" distL="0" distR="0" wp14:anchorId="379BECBD" wp14:editId="73D5CDD2">
          <wp:extent cx="4071668" cy="872501"/>
          <wp:effectExtent l="0" t="0" r="0" b="0"/>
          <wp:docPr id="9" name="image1.png" descr="Resultado de imagem para EGP TCE"/>
          <wp:cNvGraphicFramePr/>
          <a:graphic xmlns:a="http://schemas.openxmlformats.org/drawingml/2006/main">
            <a:graphicData uri="http://schemas.openxmlformats.org/drawingml/2006/picture">
              <pic:pic xmlns:pic="http://schemas.openxmlformats.org/drawingml/2006/picture">
                <pic:nvPicPr>
                  <pic:cNvPr id="0" name="image1.png" descr="Resultado de imagem para EGP TCE"/>
                  <pic:cNvPicPr preferRelativeResize="0"/>
                </pic:nvPicPr>
                <pic:blipFill>
                  <a:blip r:embed="rId1"/>
                  <a:srcRect/>
                  <a:stretch>
                    <a:fillRect/>
                  </a:stretch>
                </pic:blipFill>
                <pic:spPr>
                  <a:xfrm>
                    <a:off x="0" y="0"/>
                    <a:ext cx="4071668" cy="872501"/>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93E3C"/>
    <w:multiLevelType w:val="hybridMultilevel"/>
    <w:tmpl w:val="0A4EB7DC"/>
    <w:lvl w:ilvl="0" w:tplc="29388DD2">
      <w:start w:val="1"/>
      <w:numFmt w:val="bullet"/>
      <w:lvlText w:val="-"/>
      <w:lvlJc w:val="left"/>
      <w:pPr>
        <w:ind w:left="1854" w:hanging="360"/>
      </w:pPr>
      <w:rPr>
        <w:rFonts w:ascii="Calibri" w:hAnsi="Calibri" w:hint="default"/>
      </w:rPr>
    </w:lvl>
    <w:lvl w:ilvl="1" w:tplc="4BAEB09E">
      <w:start w:val="1"/>
      <w:numFmt w:val="bullet"/>
      <w:lvlText w:val="o"/>
      <w:lvlJc w:val="left"/>
      <w:pPr>
        <w:ind w:left="2574" w:hanging="360"/>
      </w:pPr>
      <w:rPr>
        <w:rFonts w:ascii="Courier New" w:hAnsi="Courier New" w:hint="default"/>
      </w:rPr>
    </w:lvl>
    <w:lvl w:ilvl="2" w:tplc="0B727FCA">
      <w:start w:val="1"/>
      <w:numFmt w:val="bullet"/>
      <w:lvlText w:val=""/>
      <w:lvlJc w:val="left"/>
      <w:pPr>
        <w:ind w:left="3294" w:hanging="360"/>
      </w:pPr>
      <w:rPr>
        <w:rFonts w:ascii="Wingdings" w:hAnsi="Wingdings" w:hint="default"/>
      </w:rPr>
    </w:lvl>
    <w:lvl w:ilvl="3" w:tplc="E65CD52A">
      <w:start w:val="1"/>
      <w:numFmt w:val="bullet"/>
      <w:lvlText w:val=""/>
      <w:lvlJc w:val="left"/>
      <w:pPr>
        <w:ind w:left="4014" w:hanging="360"/>
      </w:pPr>
      <w:rPr>
        <w:rFonts w:ascii="Symbol" w:hAnsi="Symbol" w:hint="default"/>
      </w:rPr>
    </w:lvl>
    <w:lvl w:ilvl="4" w:tplc="2CB80356">
      <w:start w:val="1"/>
      <w:numFmt w:val="bullet"/>
      <w:lvlText w:val="o"/>
      <w:lvlJc w:val="left"/>
      <w:pPr>
        <w:ind w:left="4734" w:hanging="360"/>
      </w:pPr>
      <w:rPr>
        <w:rFonts w:ascii="Courier New" w:hAnsi="Courier New" w:hint="default"/>
      </w:rPr>
    </w:lvl>
    <w:lvl w:ilvl="5" w:tplc="78245F38">
      <w:start w:val="1"/>
      <w:numFmt w:val="bullet"/>
      <w:lvlText w:val=""/>
      <w:lvlJc w:val="left"/>
      <w:pPr>
        <w:ind w:left="5454" w:hanging="360"/>
      </w:pPr>
      <w:rPr>
        <w:rFonts w:ascii="Wingdings" w:hAnsi="Wingdings" w:hint="default"/>
      </w:rPr>
    </w:lvl>
    <w:lvl w:ilvl="6" w:tplc="7B6EC316">
      <w:start w:val="1"/>
      <w:numFmt w:val="bullet"/>
      <w:lvlText w:val=""/>
      <w:lvlJc w:val="left"/>
      <w:pPr>
        <w:ind w:left="6174" w:hanging="360"/>
      </w:pPr>
      <w:rPr>
        <w:rFonts w:ascii="Symbol" w:hAnsi="Symbol" w:hint="default"/>
      </w:rPr>
    </w:lvl>
    <w:lvl w:ilvl="7" w:tplc="D0B2B4AA">
      <w:start w:val="1"/>
      <w:numFmt w:val="bullet"/>
      <w:lvlText w:val="o"/>
      <w:lvlJc w:val="left"/>
      <w:pPr>
        <w:ind w:left="6894" w:hanging="360"/>
      </w:pPr>
      <w:rPr>
        <w:rFonts w:ascii="Courier New" w:hAnsi="Courier New" w:hint="default"/>
      </w:rPr>
    </w:lvl>
    <w:lvl w:ilvl="8" w:tplc="86667B12">
      <w:start w:val="1"/>
      <w:numFmt w:val="bullet"/>
      <w:lvlText w:val=""/>
      <w:lvlJc w:val="left"/>
      <w:pPr>
        <w:ind w:left="7614" w:hanging="360"/>
      </w:pPr>
      <w:rPr>
        <w:rFonts w:ascii="Wingdings" w:hAnsi="Wingdings" w:hint="default"/>
      </w:rPr>
    </w:lvl>
  </w:abstractNum>
  <w:abstractNum w:abstractNumId="1" w15:restartNumberingAfterBreak="0">
    <w:nsid w:val="093F75A3"/>
    <w:multiLevelType w:val="hybridMultilevel"/>
    <w:tmpl w:val="C5805C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D7A3F65"/>
    <w:multiLevelType w:val="hybridMultilevel"/>
    <w:tmpl w:val="60CCC5F2"/>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8C20903"/>
    <w:multiLevelType w:val="hybridMultilevel"/>
    <w:tmpl w:val="231677BA"/>
    <w:lvl w:ilvl="0" w:tplc="9C3AE49E">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BE5554"/>
    <w:multiLevelType w:val="hybridMultilevel"/>
    <w:tmpl w:val="2D848D2E"/>
    <w:lvl w:ilvl="0" w:tplc="A97CA274">
      <w:start w:val="1"/>
      <w:numFmt w:val="decimal"/>
      <w:lvlText w:val="%1."/>
      <w:lvlJc w:val="left"/>
      <w:pPr>
        <w:ind w:left="720" w:hanging="360"/>
      </w:pPr>
      <w:rPr>
        <w:rFonts w:ascii="Calibri" w:hAnsi="Calibri" w:hint="default"/>
      </w:rPr>
    </w:lvl>
    <w:lvl w:ilvl="1" w:tplc="B76C41B2">
      <w:start w:val="1"/>
      <w:numFmt w:val="lowerLetter"/>
      <w:lvlText w:val="%2."/>
      <w:lvlJc w:val="left"/>
      <w:pPr>
        <w:ind w:left="1440" w:hanging="360"/>
      </w:pPr>
    </w:lvl>
    <w:lvl w:ilvl="2" w:tplc="AE7EAA8C">
      <w:start w:val="1"/>
      <w:numFmt w:val="lowerRoman"/>
      <w:lvlText w:val="%3."/>
      <w:lvlJc w:val="right"/>
      <w:pPr>
        <w:ind w:left="2160" w:hanging="180"/>
      </w:pPr>
    </w:lvl>
    <w:lvl w:ilvl="3" w:tplc="3DC40528">
      <w:start w:val="1"/>
      <w:numFmt w:val="decimal"/>
      <w:lvlText w:val="%4."/>
      <w:lvlJc w:val="left"/>
      <w:pPr>
        <w:ind w:left="2880" w:hanging="360"/>
      </w:pPr>
    </w:lvl>
    <w:lvl w:ilvl="4" w:tplc="517EA018">
      <w:start w:val="1"/>
      <w:numFmt w:val="lowerLetter"/>
      <w:lvlText w:val="%5."/>
      <w:lvlJc w:val="left"/>
      <w:pPr>
        <w:ind w:left="3600" w:hanging="360"/>
      </w:pPr>
    </w:lvl>
    <w:lvl w:ilvl="5" w:tplc="255ED8B4">
      <w:start w:val="1"/>
      <w:numFmt w:val="lowerRoman"/>
      <w:lvlText w:val="%6."/>
      <w:lvlJc w:val="right"/>
      <w:pPr>
        <w:ind w:left="4320" w:hanging="180"/>
      </w:pPr>
    </w:lvl>
    <w:lvl w:ilvl="6" w:tplc="21ECD0FA">
      <w:start w:val="1"/>
      <w:numFmt w:val="decimal"/>
      <w:lvlText w:val="%7."/>
      <w:lvlJc w:val="left"/>
      <w:pPr>
        <w:ind w:left="5040" w:hanging="360"/>
      </w:pPr>
    </w:lvl>
    <w:lvl w:ilvl="7" w:tplc="A44CA9AA">
      <w:start w:val="1"/>
      <w:numFmt w:val="lowerLetter"/>
      <w:lvlText w:val="%8."/>
      <w:lvlJc w:val="left"/>
      <w:pPr>
        <w:ind w:left="5760" w:hanging="360"/>
      </w:pPr>
    </w:lvl>
    <w:lvl w:ilvl="8" w:tplc="547C9EEA">
      <w:start w:val="1"/>
      <w:numFmt w:val="lowerRoman"/>
      <w:lvlText w:val="%9."/>
      <w:lvlJc w:val="right"/>
      <w:pPr>
        <w:ind w:left="6480" w:hanging="180"/>
      </w:pPr>
    </w:lvl>
  </w:abstractNum>
  <w:abstractNum w:abstractNumId="5" w15:restartNumberingAfterBreak="0">
    <w:nsid w:val="1FDC638E"/>
    <w:multiLevelType w:val="hybridMultilevel"/>
    <w:tmpl w:val="42425AA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3F4E877"/>
    <w:multiLevelType w:val="hybridMultilevel"/>
    <w:tmpl w:val="D4066B72"/>
    <w:lvl w:ilvl="0" w:tplc="8A263C94">
      <w:start w:val="1"/>
      <w:numFmt w:val="bullet"/>
      <w:lvlText w:val="-"/>
      <w:lvlJc w:val="left"/>
      <w:pPr>
        <w:ind w:left="720" w:hanging="360"/>
      </w:pPr>
      <w:rPr>
        <w:rFonts w:ascii="Calibri" w:hAnsi="Calibri" w:hint="default"/>
      </w:rPr>
    </w:lvl>
    <w:lvl w:ilvl="1" w:tplc="8B18C146">
      <w:start w:val="1"/>
      <w:numFmt w:val="bullet"/>
      <w:lvlText w:val="o"/>
      <w:lvlJc w:val="left"/>
      <w:pPr>
        <w:ind w:left="1440" w:hanging="360"/>
      </w:pPr>
      <w:rPr>
        <w:rFonts w:ascii="Courier New" w:hAnsi="Courier New" w:hint="default"/>
      </w:rPr>
    </w:lvl>
    <w:lvl w:ilvl="2" w:tplc="18E69D5A">
      <w:start w:val="1"/>
      <w:numFmt w:val="bullet"/>
      <w:lvlText w:val=""/>
      <w:lvlJc w:val="left"/>
      <w:pPr>
        <w:ind w:left="2160" w:hanging="360"/>
      </w:pPr>
      <w:rPr>
        <w:rFonts w:ascii="Wingdings" w:hAnsi="Wingdings" w:hint="default"/>
      </w:rPr>
    </w:lvl>
    <w:lvl w:ilvl="3" w:tplc="35CC2F66">
      <w:start w:val="1"/>
      <w:numFmt w:val="bullet"/>
      <w:lvlText w:val=""/>
      <w:lvlJc w:val="left"/>
      <w:pPr>
        <w:ind w:left="2880" w:hanging="360"/>
      </w:pPr>
      <w:rPr>
        <w:rFonts w:ascii="Symbol" w:hAnsi="Symbol" w:hint="default"/>
      </w:rPr>
    </w:lvl>
    <w:lvl w:ilvl="4" w:tplc="B76E8228">
      <w:start w:val="1"/>
      <w:numFmt w:val="bullet"/>
      <w:lvlText w:val="o"/>
      <w:lvlJc w:val="left"/>
      <w:pPr>
        <w:ind w:left="3600" w:hanging="360"/>
      </w:pPr>
      <w:rPr>
        <w:rFonts w:ascii="Courier New" w:hAnsi="Courier New" w:hint="default"/>
      </w:rPr>
    </w:lvl>
    <w:lvl w:ilvl="5" w:tplc="9CA84B78">
      <w:start w:val="1"/>
      <w:numFmt w:val="bullet"/>
      <w:lvlText w:val=""/>
      <w:lvlJc w:val="left"/>
      <w:pPr>
        <w:ind w:left="4320" w:hanging="360"/>
      </w:pPr>
      <w:rPr>
        <w:rFonts w:ascii="Wingdings" w:hAnsi="Wingdings" w:hint="default"/>
      </w:rPr>
    </w:lvl>
    <w:lvl w:ilvl="6" w:tplc="AD7601CA">
      <w:start w:val="1"/>
      <w:numFmt w:val="bullet"/>
      <w:lvlText w:val=""/>
      <w:lvlJc w:val="left"/>
      <w:pPr>
        <w:ind w:left="5040" w:hanging="360"/>
      </w:pPr>
      <w:rPr>
        <w:rFonts w:ascii="Symbol" w:hAnsi="Symbol" w:hint="default"/>
      </w:rPr>
    </w:lvl>
    <w:lvl w:ilvl="7" w:tplc="F8BE4F0C">
      <w:start w:val="1"/>
      <w:numFmt w:val="bullet"/>
      <w:lvlText w:val="o"/>
      <w:lvlJc w:val="left"/>
      <w:pPr>
        <w:ind w:left="5760" w:hanging="360"/>
      </w:pPr>
      <w:rPr>
        <w:rFonts w:ascii="Courier New" w:hAnsi="Courier New" w:hint="default"/>
      </w:rPr>
    </w:lvl>
    <w:lvl w:ilvl="8" w:tplc="F27C2200">
      <w:start w:val="1"/>
      <w:numFmt w:val="bullet"/>
      <w:lvlText w:val=""/>
      <w:lvlJc w:val="left"/>
      <w:pPr>
        <w:ind w:left="6480" w:hanging="360"/>
      </w:pPr>
      <w:rPr>
        <w:rFonts w:ascii="Wingdings" w:hAnsi="Wingdings" w:hint="default"/>
      </w:rPr>
    </w:lvl>
  </w:abstractNum>
  <w:abstractNum w:abstractNumId="7" w15:restartNumberingAfterBreak="0">
    <w:nsid w:val="265E2022"/>
    <w:multiLevelType w:val="hybridMultilevel"/>
    <w:tmpl w:val="8AAC559C"/>
    <w:lvl w:ilvl="0" w:tplc="EEFA7BE6">
      <w:start w:val="3"/>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8" w15:restartNumberingAfterBreak="0">
    <w:nsid w:val="28E8FEF5"/>
    <w:multiLevelType w:val="hybridMultilevel"/>
    <w:tmpl w:val="9AB8ED56"/>
    <w:lvl w:ilvl="0" w:tplc="C60A29A4">
      <w:start w:val="1"/>
      <w:numFmt w:val="bullet"/>
      <w:lvlText w:val="-"/>
      <w:lvlJc w:val="left"/>
      <w:pPr>
        <w:ind w:left="720" w:hanging="360"/>
      </w:pPr>
      <w:rPr>
        <w:rFonts w:ascii="Calibri" w:hAnsi="Calibri" w:hint="default"/>
      </w:rPr>
    </w:lvl>
    <w:lvl w:ilvl="1" w:tplc="F4700172">
      <w:start w:val="1"/>
      <w:numFmt w:val="bullet"/>
      <w:lvlText w:val="o"/>
      <w:lvlJc w:val="left"/>
      <w:pPr>
        <w:ind w:left="1440" w:hanging="360"/>
      </w:pPr>
      <w:rPr>
        <w:rFonts w:ascii="Courier New" w:hAnsi="Courier New" w:hint="default"/>
      </w:rPr>
    </w:lvl>
    <w:lvl w:ilvl="2" w:tplc="CAC0B8A8">
      <w:start w:val="1"/>
      <w:numFmt w:val="bullet"/>
      <w:lvlText w:val=""/>
      <w:lvlJc w:val="left"/>
      <w:pPr>
        <w:ind w:left="2160" w:hanging="360"/>
      </w:pPr>
      <w:rPr>
        <w:rFonts w:ascii="Wingdings" w:hAnsi="Wingdings" w:hint="default"/>
      </w:rPr>
    </w:lvl>
    <w:lvl w:ilvl="3" w:tplc="9BB0278E">
      <w:start w:val="1"/>
      <w:numFmt w:val="bullet"/>
      <w:lvlText w:val=""/>
      <w:lvlJc w:val="left"/>
      <w:pPr>
        <w:ind w:left="2880" w:hanging="360"/>
      </w:pPr>
      <w:rPr>
        <w:rFonts w:ascii="Symbol" w:hAnsi="Symbol" w:hint="default"/>
      </w:rPr>
    </w:lvl>
    <w:lvl w:ilvl="4" w:tplc="B560A31A">
      <w:start w:val="1"/>
      <w:numFmt w:val="bullet"/>
      <w:lvlText w:val="o"/>
      <w:lvlJc w:val="left"/>
      <w:pPr>
        <w:ind w:left="3600" w:hanging="360"/>
      </w:pPr>
      <w:rPr>
        <w:rFonts w:ascii="Courier New" w:hAnsi="Courier New" w:hint="default"/>
      </w:rPr>
    </w:lvl>
    <w:lvl w:ilvl="5" w:tplc="B84CE55E">
      <w:start w:val="1"/>
      <w:numFmt w:val="bullet"/>
      <w:lvlText w:val=""/>
      <w:lvlJc w:val="left"/>
      <w:pPr>
        <w:ind w:left="4320" w:hanging="360"/>
      </w:pPr>
      <w:rPr>
        <w:rFonts w:ascii="Wingdings" w:hAnsi="Wingdings" w:hint="default"/>
      </w:rPr>
    </w:lvl>
    <w:lvl w:ilvl="6" w:tplc="05469170">
      <w:start w:val="1"/>
      <w:numFmt w:val="bullet"/>
      <w:lvlText w:val=""/>
      <w:lvlJc w:val="left"/>
      <w:pPr>
        <w:ind w:left="5040" w:hanging="360"/>
      </w:pPr>
      <w:rPr>
        <w:rFonts w:ascii="Symbol" w:hAnsi="Symbol" w:hint="default"/>
      </w:rPr>
    </w:lvl>
    <w:lvl w:ilvl="7" w:tplc="F04A0184">
      <w:start w:val="1"/>
      <w:numFmt w:val="bullet"/>
      <w:lvlText w:val="o"/>
      <w:lvlJc w:val="left"/>
      <w:pPr>
        <w:ind w:left="5760" w:hanging="360"/>
      </w:pPr>
      <w:rPr>
        <w:rFonts w:ascii="Courier New" w:hAnsi="Courier New" w:hint="default"/>
      </w:rPr>
    </w:lvl>
    <w:lvl w:ilvl="8" w:tplc="99EA18A8">
      <w:start w:val="1"/>
      <w:numFmt w:val="bullet"/>
      <w:lvlText w:val=""/>
      <w:lvlJc w:val="left"/>
      <w:pPr>
        <w:ind w:left="6480" w:hanging="360"/>
      </w:pPr>
      <w:rPr>
        <w:rFonts w:ascii="Wingdings" w:hAnsi="Wingdings" w:hint="default"/>
      </w:rPr>
    </w:lvl>
  </w:abstractNum>
  <w:abstractNum w:abstractNumId="9" w15:restartNumberingAfterBreak="0">
    <w:nsid w:val="32106FBA"/>
    <w:multiLevelType w:val="hybridMultilevel"/>
    <w:tmpl w:val="8E64F740"/>
    <w:lvl w:ilvl="0" w:tplc="094AC77A">
      <w:start w:val="1"/>
      <w:numFmt w:val="decimal"/>
      <w:lvlText w:val="%1."/>
      <w:lvlJc w:val="left"/>
      <w:pPr>
        <w:ind w:left="720" w:hanging="360"/>
      </w:pPr>
    </w:lvl>
    <w:lvl w:ilvl="1" w:tplc="42DE9A68">
      <w:start w:val="1"/>
      <w:numFmt w:val="lowerLetter"/>
      <w:lvlText w:val="%2."/>
      <w:lvlJc w:val="left"/>
      <w:pPr>
        <w:ind w:left="1440" w:hanging="360"/>
      </w:pPr>
    </w:lvl>
    <w:lvl w:ilvl="2" w:tplc="211ECB8C">
      <w:start w:val="1"/>
      <w:numFmt w:val="lowerRoman"/>
      <w:lvlText w:val="%3."/>
      <w:lvlJc w:val="right"/>
      <w:pPr>
        <w:ind w:left="2160" w:hanging="180"/>
      </w:pPr>
    </w:lvl>
    <w:lvl w:ilvl="3" w:tplc="5544ADC6">
      <w:start w:val="1"/>
      <w:numFmt w:val="decimal"/>
      <w:lvlText w:val="%4."/>
      <w:lvlJc w:val="left"/>
      <w:pPr>
        <w:ind w:left="2880" w:hanging="360"/>
      </w:pPr>
    </w:lvl>
    <w:lvl w:ilvl="4" w:tplc="04E2D5BA">
      <w:start w:val="1"/>
      <w:numFmt w:val="lowerLetter"/>
      <w:lvlText w:val="%5."/>
      <w:lvlJc w:val="left"/>
      <w:pPr>
        <w:ind w:left="3600" w:hanging="360"/>
      </w:pPr>
    </w:lvl>
    <w:lvl w:ilvl="5" w:tplc="E2D82B74">
      <w:start w:val="1"/>
      <w:numFmt w:val="lowerRoman"/>
      <w:lvlText w:val="%6."/>
      <w:lvlJc w:val="right"/>
      <w:pPr>
        <w:ind w:left="4320" w:hanging="180"/>
      </w:pPr>
    </w:lvl>
    <w:lvl w:ilvl="6" w:tplc="7B54B8B4">
      <w:start w:val="1"/>
      <w:numFmt w:val="decimal"/>
      <w:lvlText w:val="%7."/>
      <w:lvlJc w:val="left"/>
      <w:pPr>
        <w:ind w:left="5040" w:hanging="360"/>
      </w:pPr>
    </w:lvl>
    <w:lvl w:ilvl="7" w:tplc="75EA3712">
      <w:start w:val="1"/>
      <w:numFmt w:val="lowerLetter"/>
      <w:lvlText w:val="%8."/>
      <w:lvlJc w:val="left"/>
      <w:pPr>
        <w:ind w:left="5760" w:hanging="360"/>
      </w:pPr>
    </w:lvl>
    <w:lvl w:ilvl="8" w:tplc="289AEED0">
      <w:start w:val="1"/>
      <w:numFmt w:val="lowerRoman"/>
      <w:lvlText w:val="%9."/>
      <w:lvlJc w:val="right"/>
      <w:pPr>
        <w:ind w:left="6480" w:hanging="180"/>
      </w:pPr>
    </w:lvl>
  </w:abstractNum>
  <w:abstractNum w:abstractNumId="10" w15:restartNumberingAfterBreak="0">
    <w:nsid w:val="37073B86"/>
    <w:multiLevelType w:val="hybridMultilevel"/>
    <w:tmpl w:val="BC5800CE"/>
    <w:lvl w:ilvl="0" w:tplc="5A388D88">
      <w:start w:val="1"/>
      <w:numFmt w:val="decimal"/>
      <w:lvlText w:val="%1."/>
      <w:lvlJc w:val="left"/>
      <w:pPr>
        <w:ind w:left="720" w:hanging="360"/>
      </w:pPr>
    </w:lvl>
    <w:lvl w:ilvl="1" w:tplc="45485650">
      <w:start w:val="1"/>
      <w:numFmt w:val="lowerLetter"/>
      <w:lvlText w:val="%2."/>
      <w:lvlJc w:val="left"/>
      <w:pPr>
        <w:ind w:left="1440" w:hanging="360"/>
      </w:pPr>
    </w:lvl>
    <w:lvl w:ilvl="2" w:tplc="B2F01F10">
      <w:start w:val="1"/>
      <w:numFmt w:val="lowerRoman"/>
      <w:lvlText w:val="%3."/>
      <w:lvlJc w:val="right"/>
      <w:pPr>
        <w:ind w:left="2160" w:hanging="180"/>
      </w:pPr>
    </w:lvl>
    <w:lvl w:ilvl="3" w:tplc="1FA21180">
      <w:start w:val="1"/>
      <w:numFmt w:val="decimal"/>
      <w:lvlText w:val="%4."/>
      <w:lvlJc w:val="left"/>
      <w:pPr>
        <w:ind w:left="2880" w:hanging="360"/>
      </w:pPr>
    </w:lvl>
    <w:lvl w:ilvl="4" w:tplc="AEFEE6D0">
      <w:start w:val="1"/>
      <w:numFmt w:val="lowerLetter"/>
      <w:lvlText w:val="%5."/>
      <w:lvlJc w:val="left"/>
      <w:pPr>
        <w:ind w:left="3600" w:hanging="360"/>
      </w:pPr>
    </w:lvl>
    <w:lvl w:ilvl="5" w:tplc="64940FE8">
      <w:start w:val="1"/>
      <w:numFmt w:val="lowerRoman"/>
      <w:lvlText w:val="%6."/>
      <w:lvlJc w:val="right"/>
      <w:pPr>
        <w:ind w:left="4320" w:hanging="180"/>
      </w:pPr>
    </w:lvl>
    <w:lvl w:ilvl="6" w:tplc="893438BC">
      <w:start w:val="1"/>
      <w:numFmt w:val="decimal"/>
      <w:lvlText w:val="%7."/>
      <w:lvlJc w:val="left"/>
      <w:pPr>
        <w:ind w:left="5040" w:hanging="360"/>
      </w:pPr>
    </w:lvl>
    <w:lvl w:ilvl="7" w:tplc="11A66674">
      <w:start w:val="1"/>
      <w:numFmt w:val="lowerLetter"/>
      <w:lvlText w:val="%8."/>
      <w:lvlJc w:val="left"/>
      <w:pPr>
        <w:ind w:left="5760" w:hanging="360"/>
      </w:pPr>
    </w:lvl>
    <w:lvl w:ilvl="8" w:tplc="F58A4634">
      <w:start w:val="1"/>
      <w:numFmt w:val="lowerRoman"/>
      <w:lvlText w:val="%9."/>
      <w:lvlJc w:val="right"/>
      <w:pPr>
        <w:ind w:left="6480" w:hanging="180"/>
      </w:pPr>
    </w:lvl>
  </w:abstractNum>
  <w:abstractNum w:abstractNumId="11" w15:restartNumberingAfterBreak="0">
    <w:nsid w:val="3AB44959"/>
    <w:multiLevelType w:val="hybridMultilevel"/>
    <w:tmpl w:val="6538AD10"/>
    <w:lvl w:ilvl="0" w:tplc="831C311A">
      <w:start w:val="1"/>
      <w:numFmt w:val="decimal"/>
      <w:lvlText w:val="%1."/>
      <w:lvlJc w:val="left"/>
      <w:pPr>
        <w:ind w:left="502" w:hanging="360"/>
      </w:pPr>
      <w:rPr>
        <w:rFonts w:ascii="Arial" w:hAnsi="Arial" w:cs="Arial"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B9759D5"/>
    <w:multiLevelType w:val="hybridMultilevel"/>
    <w:tmpl w:val="B67A0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900A53"/>
    <w:multiLevelType w:val="hybridMultilevel"/>
    <w:tmpl w:val="4EC2CBE4"/>
    <w:lvl w:ilvl="0" w:tplc="5798F9D0">
      <w:start w:val="5"/>
      <w:numFmt w:val="decimal"/>
      <w:lvlText w:val="%1."/>
      <w:lvlJc w:val="left"/>
      <w:pPr>
        <w:ind w:left="720" w:hanging="360"/>
      </w:pPr>
      <w:rPr>
        <w:rFonts w:eastAsia="Calibri"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1349534"/>
    <w:multiLevelType w:val="hybridMultilevel"/>
    <w:tmpl w:val="6AEEA728"/>
    <w:lvl w:ilvl="0" w:tplc="198EE4D6">
      <w:start w:val="1"/>
      <w:numFmt w:val="decimal"/>
      <w:lvlText w:val="%1."/>
      <w:lvlJc w:val="left"/>
      <w:pPr>
        <w:ind w:left="720" w:hanging="360"/>
      </w:pPr>
      <w:rPr>
        <w:rFonts w:ascii="Calibri" w:hAnsi="Calibri" w:hint="default"/>
      </w:rPr>
    </w:lvl>
    <w:lvl w:ilvl="1" w:tplc="AA923DBE">
      <w:start w:val="1"/>
      <w:numFmt w:val="lowerLetter"/>
      <w:lvlText w:val="%2."/>
      <w:lvlJc w:val="left"/>
      <w:pPr>
        <w:ind w:left="1440" w:hanging="360"/>
      </w:pPr>
    </w:lvl>
    <w:lvl w:ilvl="2" w:tplc="FFBA31E6">
      <w:start w:val="1"/>
      <w:numFmt w:val="lowerRoman"/>
      <w:lvlText w:val="%3."/>
      <w:lvlJc w:val="right"/>
      <w:pPr>
        <w:ind w:left="2160" w:hanging="180"/>
      </w:pPr>
    </w:lvl>
    <w:lvl w:ilvl="3" w:tplc="C2CED968">
      <w:start w:val="1"/>
      <w:numFmt w:val="decimal"/>
      <w:lvlText w:val="%4."/>
      <w:lvlJc w:val="left"/>
      <w:pPr>
        <w:ind w:left="2880" w:hanging="360"/>
      </w:pPr>
    </w:lvl>
    <w:lvl w:ilvl="4" w:tplc="F6DC1B34">
      <w:start w:val="1"/>
      <w:numFmt w:val="lowerLetter"/>
      <w:lvlText w:val="%5."/>
      <w:lvlJc w:val="left"/>
      <w:pPr>
        <w:ind w:left="3600" w:hanging="360"/>
      </w:pPr>
    </w:lvl>
    <w:lvl w:ilvl="5" w:tplc="E80E1DDE">
      <w:start w:val="1"/>
      <w:numFmt w:val="lowerRoman"/>
      <w:lvlText w:val="%6."/>
      <w:lvlJc w:val="right"/>
      <w:pPr>
        <w:ind w:left="4320" w:hanging="180"/>
      </w:pPr>
    </w:lvl>
    <w:lvl w:ilvl="6" w:tplc="51D0F8C8">
      <w:start w:val="1"/>
      <w:numFmt w:val="decimal"/>
      <w:lvlText w:val="%7."/>
      <w:lvlJc w:val="left"/>
      <w:pPr>
        <w:ind w:left="5040" w:hanging="360"/>
      </w:pPr>
    </w:lvl>
    <w:lvl w:ilvl="7" w:tplc="BB60C354">
      <w:start w:val="1"/>
      <w:numFmt w:val="lowerLetter"/>
      <w:lvlText w:val="%8."/>
      <w:lvlJc w:val="left"/>
      <w:pPr>
        <w:ind w:left="5760" w:hanging="360"/>
      </w:pPr>
    </w:lvl>
    <w:lvl w:ilvl="8" w:tplc="F7AE7DEE">
      <w:start w:val="1"/>
      <w:numFmt w:val="lowerRoman"/>
      <w:lvlText w:val="%9."/>
      <w:lvlJc w:val="right"/>
      <w:pPr>
        <w:ind w:left="6480" w:hanging="180"/>
      </w:pPr>
    </w:lvl>
  </w:abstractNum>
  <w:abstractNum w:abstractNumId="15" w15:restartNumberingAfterBreak="0">
    <w:nsid w:val="47B64693"/>
    <w:multiLevelType w:val="hybridMultilevel"/>
    <w:tmpl w:val="27A4123C"/>
    <w:lvl w:ilvl="0" w:tplc="831C311A">
      <w:start w:val="1"/>
      <w:numFmt w:val="decimal"/>
      <w:lvlText w:val="%1."/>
      <w:lvlJc w:val="left"/>
      <w:pPr>
        <w:ind w:left="720" w:hanging="360"/>
      </w:pPr>
      <w:rPr>
        <w:rFonts w:ascii="Arial" w:hAnsi="Arial" w:cs="Arial"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EEF5999"/>
    <w:multiLevelType w:val="hybridMultilevel"/>
    <w:tmpl w:val="A3D2505A"/>
    <w:lvl w:ilvl="0" w:tplc="F072008C">
      <w:start w:val="1"/>
      <w:numFmt w:val="decimal"/>
      <w:lvlText w:val="%1."/>
      <w:lvlJc w:val="left"/>
      <w:pPr>
        <w:ind w:left="720" w:hanging="360"/>
      </w:pPr>
      <w:rPr>
        <w:rFonts w:ascii="Arial" w:hAnsi="Arial" w:cs="Arial" w:hint="default"/>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F35754D"/>
    <w:multiLevelType w:val="hybridMultilevel"/>
    <w:tmpl w:val="8D7A2C34"/>
    <w:lvl w:ilvl="0" w:tplc="EE3AB126">
      <w:start w:val="2"/>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34A7670"/>
    <w:multiLevelType w:val="hybridMultilevel"/>
    <w:tmpl w:val="2642FC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83BA5C7"/>
    <w:multiLevelType w:val="hybridMultilevel"/>
    <w:tmpl w:val="D87A40DE"/>
    <w:lvl w:ilvl="0" w:tplc="FD58CA3E">
      <w:start w:val="2"/>
      <w:numFmt w:val="decimal"/>
      <w:lvlText w:val="%1."/>
      <w:lvlJc w:val="left"/>
      <w:pPr>
        <w:ind w:left="720" w:hanging="360"/>
      </w:pPr>
      <w:rPr>
        <w:rFonts w:ascii="Arial" w:hAnsi="Arial" w:hint="default"/>
      </w:rPr>
    </w:lvl>
    <w:lvl w:ilvl="1" w:tplc="52782FE2">
      <w:start w:val="1"/>
      <w:numFmt w:val="lowerLetter"/>
      <w:lvlText w:val="%2."/>
      <w:lvlJc w:val="left"/>
      <w:pPr>
        <w:ind w:left="1440" w:hanging="360"/>
      </w:pPr>
    </w:lvl>
    <w:lvl w:ilvl="2" w:tplc="54746E6A">
      <w:start w:val="1"/>
      <w:numFmt w:val="lowerRoman"/>
      <w:lvlText w:val="%3."/>
      <w:lvlJc w:val="right"/>
      <w:pPr>
        <w:ind w:left="2160" w:hanging="180"/>
      </w:pPr>
    </w:lvl>
    <w:lvl w:ilvl="3" w:tplc="5F1E6A7A">
      <w:start w:val="1"/>
      <w:numFmt w:val="decimal"/>
      <w:lvlText w:val="%4."/>
      <w:lvlJc w:val="left"/>
      <w:pPr>
        <w:ind w:left="2880" w:hanging="360"/>
      </w:pPr>
    </w:lvl>
    <w:lvl w:ilvl="4" w:tplc="5478EABA">
      <w:start w:val="1"/>
      <w:numFmt w:val="lowerLetter"/>
      <w:lvlText w:val="%5."/>
      <w:lvlJc w:val="left"/>
      <w:pPr>
        <w:ind w:left="3600" w:hanging="360"/>
      </w:pPr>
    </w:lvl>
    <w:lvl w:ilvl="5" w:tplc="AA5C3EB4">
      <w:start w:val="1"/>
      <w:numFmt w:val="lowerRoman"/>
      <w:lvlText w:val="%6."/>
      <w:lvlJc w:val="right"/>
      <w:pPr>
        <w:ind w:left="4320" w:hanging="180"/>
      </w:pPr>
    </w:lvl>
    <w:lvl w:ilvl="6" w:tplc="02E8C770">
      <w:start w:val="1"/>
      <w:numFmt w:val="decimal"/>
      <w:lvlText w:val="%7."/>
      <w:lvlJc w:val="left"/>
      <w:pPr>
        <w:ind w:left="5040" w:hanging="360"/>
      </w:pPr>
    </w:lvl>
    <w:lvl w:ilvl="7" w:tplc="907C6D3A">
      <w:start w:val="1"/>
      <w:numFmt w:val="lowerLetter"/>
      <w:lvlText w:val="%8."/>
      <w:lvlJc w:val="left"/>
      <w:pPr>
        <w:ind w:left="5760" w:hanging="360"/>
      </w:pPr>
    </w:lvl>
    <w:lvl w:ilvl="8" w:tplc="B26206BA">
      <w:start w:val="1"/>
      <w:numFmt w:val="lowerRoman"/>
      <w:lvlText w:val="%9."/>
      <w:lvlJc w:val="right"/>
      <w:pPr>
        <w:ind w:left="6480" w:hanging="180"/>
      </w:pPr>
    </w:lvl>
  </w:abstractNum>
  <w:abstractNum w:abstractNumId="20" w15:restartNumberingAfterBreak="0">
    <w:nsid w:val="59FC690B"/>
    <w:multiLevelType w:val="hybridMultilevel"/>
    <w:tmpl w:val="0D024B9A"/>
    <w:lvl w:ilvl="0" w:tplc="E730B0C6">
      <w:start w:val="1"/>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1" w15:restartNumberingAfterBreak="0">
    <w:nsid w:val="5BA3437F"/>
    <w:multiLevelType w:val="hybridMultilevel"/>
    <w:tmpl w:val="25ACB142"/>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0CB840F"/>
    <w:multiLevelType w:val="hybridMultilevel"/>
    <w:tmpl w:val="6D140CBE"/>
    <w:lvl w:ilvl="0" w:tplc="17F45990">
      <w:start w:val="1"/>
      <w:numFmt w:val="decimal"/>
      <w:lvlText w:val="%1."/>
      <w:lvlJc w:val="left"/>
      <w:pPr>
        <w:ind w:left="720" w:hanging="360"/>
      </w:pPr>
      <w:rPr>
        <w:rFonts w:ascii="Calibri" w:hAnsi="Calibri" w:hint="default"/>
      </w:rPr>
    </w:lvl>
    <w:lvl w:ilvl="1" w:tplc="511C0F74">
      <w:start w:val="1"/>
      <w:numFmt w:val="lowerLetter"/>
      <w:lvlText w:val="%2."/>
      <w:lvlJc w:val="left"/>
      <w:pPr>
        <w:ind w:left="1440" w:hanging="360"/>
      </w:pPr>
    </w:lvl>
    <w:lvl w:ilvl="2" w:tplc="27D8F7BE">
      <w:start w:val="1"/>
      <w:numFmt w:val="lowerRoman"/>
      <w:lvlText w:val="%3."/>
      <w:lvlJc w:val="right"/>
      <w:pPr>
        <w:ind w:left="2160" w:hanging="180"/>
      </w:pPr>
    </w:lvl>
    <w:lvl w:ilvl="3" w:tplc="D21881BC">
      <w:start w:val="1"/>
      <w:numFmt w:val="decimal"/>
      <w:lvlText w:val="%4."/>
      <w:lvlJc w:val="left"/>
      <w:pPr>
        <w:ind w:left="2880" w:hanging="360"/>
      </w:pPr>
    </w:lvl>
    <w:lvl w:ilvl="4" w:tplc="A5A08E52">
      <w:start w:val="1"/>
      <w:numFmt w:val="lowerLetter"/>
      <w:lvlText w:val="%5."/>
      <w:lvlJc w:val="left"/>
      <w:pPr>
        <w:ind w:left="3600" w:hanging="360"/>
      </w:pPr>
    </w:lvl>
    <w:lvl w:ilvl="5" w:tplc="469A0258">
      <w:start w:val="1"/>
      <w:numFmt w:val="lowerRoman"/>
      <w:lvlText w:val="%6."/>
      <w:lvlJc w:val="right"/>
      <w:pPr>
        <w:ind w:left="4320" w:hanging="180"/>
      </w:pPr>
    </w:lvl>
    <w:lvl w:ilvl="6" w:tplc="32265DE8">
      <w:start w:val="1"/>
      <w:numFmt w:val="decimal"/>
      <w:lvlText w:val="%7."/>
      <w:lvlJc w:val="left"/>
      <w:pPr>
        <w:ind w:left="5040" w:hanging="360"/>
      </w:pPr>
    </w:lvl>
    <w:lvl w:ilvl="7" w:tplc="EF7C3274">
      <w:start w:val="1"/>
      <w:numFmt w:val="lowerLetter"/>
      <w:lvlText w:val="%8."/>
      <w:lvlJc w:val="left"/>
      <w:pPr>
        <w:ind w:left="5760" w:hanging="360"/>
      </w:pPr>
    </w:lvl>
    <w:lvl w:ilvl="8" w:tplc="F984DBA2">
      <w:start w:val="1"/>
      <w:numFmt w:val="lowerRoman"/>
      <w:lvlText w:val="%9."/>
      <w:lvlJc w:val="right"/>
      <w:pPr>
        <w:ind w:left="6480" w:hanging="180"/>
      </w:pPr>
    </w:lvl>
  </w:abstractNum>
  <w:abstractNum w:abstractNumId="23" w15:restartNumberingAfterBreak="0">
    <w:nsid w:val="689E3526"/>
    <w:multiLevelType w:val="hybridMultilevel"/>
    <w:tmpl w:val="F0CC6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473581"/>
    <w:multiLevelType w:val="hybridMultilevel"/>
    <w:tmpl w:val="1E9E0A28"/>
    <w:lvl w:ilvl="0" w:tplc="F9C6AC30">
      <w:start w:val="1"/>
      <w:numFmt w:val="decimal"/>
      <w:lvlText w:val="%1."/>
      <w:lvlJc w:val="left"/>
      <w:pPr>
        <w:ind w:left="720" w:hanging="360"/>
      </w:pPr>
      <w:rPr>
        <w:rFonts w:ascii="Arial" w:hAnsi="Arial" w:hint="default"/>
      </w:rPr>
    </w:lvl>
    <w:lvl w:ilvl="1" w:tplc="2A22E110">
      <w:start w:val="1"/>
      <w:numFmt w:val="lowerLetter"/>
      <w:lvlText w:val="%2."/>
      <w:lvlJc w:val="left"/>
      <w:pPr>
        <w:ind w:left="1440" w:hanging="360"/>
      </w:pPr>
    </w:lvl>
    <w:lvl w:ilvl="2" w:tplc="B56A19D8">
      <w:start w:val="1"/>
      <w:numFmt w:val="lowerRoman"/>
      <w:lvlText w:val="%3."/>
      <w:lvlJc w:val="right"/>
      <w:pPr>
        <w:ind w:left="2160" w:hanging="180"/>
      </w:pPr>
    </w:lvl>
    <w:lvl w:ilvl="3" w:tplc="DA2C573C">
      <w:start w:val="1"/>
      <w:numFmt w:val="decimal"/>
      <w:lvlText w:val="%4."/>
      <w:lvlJc w:val="left"/>
      <w:pPr>
        <w:ind w:left="2880" w:hanging="360"/>
      </w:pPr>
    </w:lvl>
    <w:lvl w:ilvl="4" w:tplc="FDBA7806">
      <w:start w:val="1"/>
      <w:numFmt w:val="lowerLetter"/>
      <w:lvlText w:val="%5."/>
      <w:lvlJc w:val="left"/>
      <w:pPr>
        <w:ind w:left="3600" w:hanging="360"/>
      </w:pPr>
    </w:lvl>
    <w:lvl w:ilvl="5" w:tplc="157C78EC">
      <w:start w:val="1"/>
      <w:numFmt w:val="lowerRoman"/>
      <w:lvlText w:val="%6."/>
      <w:lvlJc w:val="right"/>
      <w:pPr>
        <w:ind w:left="4320" w:hanging="180"/>
      </w:pPr>
    </w:lvl>
    <w:lvl w:ilvl="6" w:tplc="77EAD0AA">
      <w:start w:val="1"/>
      <w:numFmt w:val="decimal"/>
      <w:lvlText w:val="%7."/>
      <w:lvlJc w:val="left"/>
      <w:pPr>
        <w:ind w:left="5040" w:hanging="360"/>
      </w:pPr>
    </w:lvl>
    <w:lvl w:ilvl="7" w:tplc="A7AC08FC">
      <w:start w:val="1"/>
      <w:numFmt w:val="lowerLetter"/>
      <w:lvlText w:val="%8."/>
      <w:lvlJc w:val="left"/>
      <w:pPr>
        <w:ind w:left="5760" w:hanging="360"/>
      </w:pPr>
    </w:lvl>
    <w:lvl w:ilvl="8" w:tplc="000894CA">
      <w:start w:val="1"/>
      <w:numFmt w:val="lowerRoman"/>
      <w:lvlText w:val="%9."/>
      <w:lvlJc w:val="right"/>
      <w:pPr>
        <w:ind w:left="6480" w:hanging="180"/>
      </w:pPr>
    </w:lvl>
  </w:abstractNum>
  <w:abstractNum w:abstractNumId="25" w15:restartNumberingAfterBreak="0">
    <w:nsid w:val="7D3E184D"/>
    <w:multiLevelType w:val="hybridMultilevel"/>
    <w:tmpl w:val="1C0C670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982471205">
    <w:abstractNumId w:val="10"/>
  </w:num>
  <w:num w:numId="2" w16cid:durableId="364985962">
    <w:abstractNumId w:val="9"/>
  </w:num>
  <w:num w:numId="3" w16cid:durableId="1868985579">
    <w:abstractNumId w:val="19"/>
  </w:num>
  <w:num w:numId="4" w16cid:durableId="361903457">
    <w:abstractNumId w:val="24"/>
  </w:num>
  <w:num w:numId="5" w16cid:durableId="323094274">
    <w:abstractNumId w:val="4"/>
  </w:num>
  <w:num w:numId="6" w16cid:durableId="283343696">
    <w:abstractNumId w:val="22"/>
  </w:num>
  <w:num w:numId="7" w16cid:durableId="477696485">
    <w:abstractNumId w:val="14"/>
  </w:num>
  <w:num w:numId="8" w16cid:durableId="1048647625">
    <w:abstractNumId w:val="8"/>
  </w:num>
  <w:num w:numId="9" w16cid:durableId="797450374">
    <w:abstractNumId w:val="6"/>
  </w:num>
  <w:num w:numId="10" w16cid:durableId="136604948">
    <w:abstractNumId w:val="0"/>
  </w:num>
  <w:num w:numId="11" w16cid:durableId="1899659199">
    <w:abstractNumId w:val="15"/>
  </w:num>
  <w:num w:numId="12" w16cid:durableId="1736656733">
    <w:abstractNumId w:val="11"/>
  </w:num>
  <w:num w:numId="13" w16cid:durableId="313029854">
    <w:abstractNumId w:val="21"/>
  </w:num>
  <w:num w:numId="14" w16cid:durableId="101269713">
    <w:abstractNumId w:val="2"/>
  </w:num>
  <w:num w:numId="15" w16cid:durableId="14585966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574301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60545748">
    <w:abstractNumId w:val="18"/>
  </w:num>
  <w:num w:numId="18" w16cid:durableId="901451161">
    <w:abstractNumId w:val="3"/>
  </w:num>
  <w:num w:numId="19" w16cid:durableId="1962344934">
    <w:abstractNumId w:val="25"/>
  </w:num>
  <w:num w:numId="20" w16cid:durableId="1665087133">
    <w:abstractNumId w:val="20"/>
  </w:num>
  <w:num w:numId="21" w16cid:durableId="998113885">
    <w:abstractNumId w:val="12"/>
  </w:num>
  <w:num w:numId="22" w16cid:durableId="1210872058">
    <w:abstractNumId w:val="7"/>
  </w:num>
  <w:num w:numId="23" w16cid:durableId="598950765">
    <w:abstractNumId w:val="17"/>
  </w:num>
  <w:num w:numId="24" w16cid:durableId="1267811189">
    <w:abstractNumId w:val="5"/>
  </w:num>
  <w:num w:numId="25" w16cid:durableId="2100708927">
    <w:abstractNumId w:val="13"/>
  </w:num>
  <w:num w:numId="26" w16cid:durableId="405423668">
    <w:abstractNumId w:val="23"/>
  </w:num>
  <w:num w:numId="27" w16cid:durableId="28069195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B67"/>
    <w:rsid w:val="000079D5"/>
    <w:rsid w:val="000118CD"/>
    <w:rsid w:val="000122C7"/>
    <w:rsid w:val="00023844"/>
    <w:rsid w:val="0002503F"/>
    <w:rsid w:val="0003033F"/>
    <w:rsid w:val="00045AFE"/>
    <w:rsid w:val="000507DD"/>
    <w:rsid w:val="00053863"/>
    <w:rsid w:val="00056800"/>
    <w:rsid w:val="00071A04"/>
    <w:rsid w:val="00073FBF"/>
    <w:rsid w:val="00081A94"/>
    <w:rsid w:val="0008704C"/>
    <w:rsid w:val="0008C501"/>
    <w:rsid w:val="000A3E93"/>
    <w:rsid w:val="000B0D47"/>
    <w:rsid w:val="000C314E"/>
    <w:rsid w:val="000C406B"/>
    <w:rsid w:val="000C7D8E"/>
    <w:rsid w:val="000E35C4"/>
    <w:rsid w:val="000E4FE5"/>
    <w:rsid w:val="000E69B6"/>
    <w:rsid w:val="000F0485"/>
    <w:rsid w:val="000F308C"/>
    <w:rsid w:val="000F761B"/>
    <w:rsid w:val="000F7EF7"/>
    <w:rsid w:val="00101E4D"/>
    <w:rsid w:val="00102C0D"/>
    <w:rsid w:val="001300D7"/>
    <w:rsid w:val="001323D9"/>
    <w:rsid w:val="00133928"/>
    <w:rsid w:val="0016654A"/>
    <w:rsid w:val="001704D0"/>
    <w:rsid w:val="00175977"/>
    <w:rsid w:val="00182254"/>
    <w:rsid w:val="00184F4B"/>
    <w:rsid w:val="00192260"/>
    <w:rsid w:val="001B1768"/>
    <w:rsid w:val="001B23D3"/>
    <w:rsid w:val="001B3720"/>
    <w:rsid w:val="001B4D13"/>
    <w:rsid w:val="001B784B"/>
    <w:rsid w:val="001B7DAE"/>
    <w:rsid w:val="001D0055"/>
    <w:rsid w:val="001D05F2"/>
    <w:rsid w:val="001D2B24"/>
    <w:rsid w:val="001D7293"/>
    <w:rsid w:val="001E0230"/>
    <w:rsid w:val="001F19DB"/>
    <w:rsid w:val="001F1BCF"/>
    <w:rsid w:val="00202455"/>
    <w:rsid w:val="0020291A"/>
    <w:rsid w:val="00202E25"/>
    <w:rsid w:val="00206332"/>
    <w:rsid w:val="00214172"/>
    <w:rsid w:val="002149B4"/>
    <w:rsid w:val="0022409B"/>
    <w:rsid w:val="00227CFF"/>
    <w:rsid w:val="00236F8B"/>
    <w:rsid w:val="002411AF"/>
    <w:rsid w:val="00244F5E"/>
    <w:rsid w:val="00260156"/>
    <w:rsid w:val="00262356"/>
    <w:rsid w:val="002653F5"/>
    <w:rsid w:val="00267AA9"/>
    <w:rsid w:val="00284A7E"/>
    <w:rsid w:val="00286FEA"/>
    <w:rsid w:val="00295373"/>
    <w:rsid w:val="00295BB0"/>
    <w:rsid w:val="002A08B9"/>
    <w:rsid w:val="002B3FB5"/>
    <w:rsid w:val="002B6EFF"/>
    <w:rsid w:val="002C563C"/>
    <w:rsid w:val="002F063D"/>
    <w:rsid w:val="00301362"/>
    <w:rsid w:val="003052B8"/>
    <w:rsid w:val="0031120D"/>
    <w:rsid w:val="00311F4F"/>
    <w:rsid w:val="0032071B"/>
    <w:rsid w:val="003223A8"/>
    <w:rsid w:val="00327CD6"/>
    <w:rsid w:val="0033179D"/>
    <w:rsid w:val="003335B8"/>
    <w:rsid w:val="00337552"/>
    <w:rsid w:val="00340BA8"/>
    <w:rsid w:val="00345F45"/>
    <w:rsid w:val="00350D94"/>
    <w:rsid w:val="00353053"/>
    <w:rsid w:val="00353ADC"/>
    <w:rsid w:val="003562B0"/>
    <w:rsid w:val="00361F95"/>
    <w:rsid w:val="00383A81"/>
    <w:rsid w:val="003A0A2F"/>
    <w:rsid w:val="003A58E5"/>
    <w:rsid w:val="003B133A"/>
    <w:rsid w:val="003C15BE"/>
    <w:rsid w:val="003E0504"/>
    <w:rsid w:val="003E65D0"/>
    <w:rsid w:val="003E7DD1"/>
    <w:rsid w:val="003F03EE"/>
    <w:rsid w:val="004040D7"/>
    <w:rsid w:val="004212CD"/>
    <w:rsid w:val="00424623"/>
    <w:rsid w:val="00424A9B"/>
    <w:rsid w:val="00425D0E"/>
    <w:rsid w:val="00430321"/>
    <w:rsid w:val="004309B2"/>
    <w:rsid w:val="00435479"/>
    <w:rsid w:val="00437F36"/>
    <w:rsid w:val="00441CF0"/>
    <w:rsid w:val="00447CF7"/>
    <w:rsid w:val="00450335"/>
    <w:rsid w:val="00450412"/>
    <w:rsid w:val="004552B2"/>
    <w:rsid w:val="00457411"/>
    <w:rsid w:val="004725E5"/>
    <w:rsid w:val="00474BBE"/>
    <w:rsid w:val="0047585A"/>
    <w:rsid w:val="00494025"/>
    <w:rsid w:val="004B341D"/>
    <w:rsid w:val="004B4ACD"/>
    <w:rsid w:val="004D2E2A"/>
    <w:rsid w:val="004D5AAE"/>
    <w:rsid w:val="004E20EA"/>
    <w:rsid w:val="004F6800"/>
    <w:rsid w:val="00506E40"/>
    <w:rsid w:val="00525E3E"/>
    <w:rsid w:val="00533C51"/>
    <w:rsid w:val="00536951"/>
    <w:rsid w:val="00541CB7"/>
    <w:rsid w:val="00557162"/>
    <w:rsid w:val="005926F2"/>
    <w:rsid w:val="005973DB"/>
    <w:rsid w:val="005A13EB"/>
    <w:rsid w:val="005B318E"/>
    <w:rsid w:val="005B427D"/>
    <w:rsid w:val="005B618C"/>
    <w:rsid w:val="005C1160"/>
    <w:rsid w:val="005C4F9C"/>
    <w:rsid w:val="005C7370"/>
    <w:rsid w:val="005D0870"/>
    <w:rsid w:val="005D25D0"/>
    <w:rsid w:val="005E284C"/>
    <w:rsid w:val="005E4A67"/>
    <w:rsid w:val="005E59AC"/>
    <w:rsid w:val="005E6292"/>
    <w:rsid w:val="005F010F"/>
    <w:rsid w:val="0060512A"/>
    <w:rsid w:val="006067B3"/>
    <w:rsid w:val="0061399E"/>
    <w:rsid w:val="00625CB1"/>
    <w:rsid w:val="00626740"/>
    <w:rsid w:val="0062772E"/>
    <w:rsid w:val="00630CE5"/>
    <w:rsid w:val="0063148B"/>
    <w:rsid w:val="00631596"/>
    <w:rsid w:val="00633BFD"/>
    <w:rsid w:val="00637617"/>
    <w:rsid w:val="00641B1B"/>
    <w:rsid w:val="006425CC"/>
    <w:rsid w:val="00647EE6"/>
    <w:rsid w:val="00660513"/>
    <w:rsid w:val="00666A66"/>
    <w:rsid w:val="0067428C"/>
    <w:rsid w:val="00676248"/>
    <w:rsid w:val="00677602"/>
    <w:rsid w:val="00681802"/>
    <w:rsid w:val="006820ED"/>
    <w:rsid w:val="00685F7A"/>
    <w:rsid w:val="006A31DD"/>
    <w:rsid w:val="006A5BFE"/>
    <w:rsid w:val="006C304D"/>
    <w:rsid w:val="006C5926"/>
    <w:rsid w:val="006D2BA5"/>
    <w:rsid w:val="006E07C9"/>
    <w:rsid w:val="006E239F"/>
    <w:rsid w:val="006F11CE"/>
    <w:rsid w:val="006F706E"/>
    <w:rsid w:val="006F79DD"/>
    <w:rsid w:val="0070558A"/>
    <w:rsid w:val="00706FEF"/>
    <w:rsid w:val="00710227"/>
    <w:rsid w:val="00710B2D"/>
    <w:rsid w:val="007149CA"/>
    <w:rsid w:val="00716B32"/>
    <w:rsid w:val="00730181"/>
    <w:rsid w:val="00740E8A"/>
    <w:rsid w:val="007411D6"/>
    <w:rsid w:val="00741D54"/>
    <w:rsid w:val="0074420A"/>
    <w:rsid w:val="00745221"/>
    <w:rsid w:val="00751F53"/>
    <w:rsid w:val="007528B6"/>
    <w:rsid w:val="007539A0"/>
    <w:rsid w:val="00761A2A"/>
    <w:rsid w:val="00763D6F"/>
    <w:rsid w:val="00767A5C"/>
    <w:rsid w:val="00775102"/>
    <w:rsid w:val="0077680D"/>
    <w:rsid w:val="00780D4A"/>
    <w:rsid w:val="007826F1"/>
    <w:rsid w:val="00783232"/>
    <w:rsid w:val="00784A83"/>
    <w:rsid w:val="007B1129"/>
    <w:rsid w:val="007B33D2"/>
    <w:rsid w:val="007C53C2"/>
    <w:rsid w:val="007F618E"/>
    <w:rsid w:val="00821E0B"/>
    <w:rsid w:val="0082617B"/>
    <w:rsid w:val="00835218"/>
    <w:rsid w:val="00852A90"/>
    <w:rsid w:val="00852E95"/>
    <w:rsid w:val="00854CB3"/>
    <w:rsid w:val="00856A04"/>
    <w:rsid w:val="0086338E"/>
    <w:rsid w:val="00871D88"/>
    <w:rsid w:val="00876DD7"/>
    <w:rsid w:val="00881568"/>
    <w:rsid w:val="00884F9C"/>
    <w:rsid w:val="00887EE8"/>
    <w:rsid w:val="0089527F"/>
    <w:rsid w:val="00897009"/>
    <w:rsid w:val="00897D4F"/>
    <w:rsid w:val="008A28A5"/>
    <w:rsid w:val="008C0E12"/>
    <w:rsid w:val="008C379E"/>
    <w:rsid w:val="008C4CF3"/>
    <w:rsid w:val="008D22D0"/>
    <w:rsid w:val="008D6727"/>
    <w:rsid w:val="008E6186"/>
    <w:rsid w:val="008F02C5"/>
    <w:rsid w:val="008F02DB"/>
    <w:rsid w:val="00911B93"/>
    <w:rsid w:val="00912100"/>
    <w:rsid w:val="00912417"/>
    <w:rsid w:val="00914C35"/>
    <w:rsid w:val="0092155D"/>
    <w:rsid w:val="00927AFF"/>
    <w:rsid w:val="00940928"/>
    <w:rsid w:val="00942042"/>
    <w:rsid w:val="00945CB3"/>
    <w:rsid w:val="0094729F"/>
    <w:rsid w:val="0094732B"/>
    <w:rsid w:val="00950936"/>
    <w:rsid w:val="009515E2"/>
    <w:rsid w:val="009530F5"/>
    <w:rsid w:val="00974196"/>
    <w:rsid w:val="00983948"/>
    <w:rsid w:val="009B3743"/>
    <w:rsid w:val="009B730A"/>
    <w:rsid w:val="009C0E72"/>
    <w:rsid w:val="009C3D2B"/>
    <w:rsid w:val="009C459B"/>
    <w:rsid w:val="009C541E"/>
    <w:rsid w:val="009D4843"/>
    <w:rsid w:val="009E7071"/>
    <w:rsid w:val="009F2973"/>
    <w:rsid w:val="00A006B4"/>
    <w:rsid w:val="00A04E86"/>
    <w:rsid w:val="00A0520B"/>
    <w:rsid w:val="00A06C9E"/>
    <w:rsid w:val="00A115F5"/>
    <w:rsid w:val="00A14218"/>
    <w:rsid w:val="00A15DF8"/>
    <w:rsid w:val="00A23D54"/>
    <w:rsid w:val="00A27371"/>
    <w:rsid w:val="00A31424"/>
    <w:rsid w:val="00A34361"/>
    <w:rsid w:val="00A414BB"/>
    <w:rsid w:val="00A45FC5"/>
    <w:rsid w:val="00A620BF"/>
    <w:rsid w:val="00A65D15"/>
    <w:rsid w:val="00A677D7"/>
    <w:rsid w:val="00A70C92"/>
    <w:rsid w:val="00A7282C"/>
    <w:rsid w:val="00A7362D"/>
    <w:rsid w:val="00A81862"/>
    <w:rsid w:val="00A917DE"/>
    <w:rsid w:val="00A920C7"/>
    <w:rsid w:val="00A92998"/>
    <w:rsid w:val="00A9662E"/>
    <w:rsid w:val="00AA0B6F"/>
    <w:rsid w:val="00AA192B"/>
    <w:rsid w:val="00AA2C80"/>
    <w:rsid w:val="00AA511A"/>
    <w:rsid w:val="00AA5CA4"/>
    <w:rsid w:val="00AB3B5A"/>
    <w:rsid w:val="00AB5535"/>
    <w:rsid w:val="00AD270D"/>
    <w:rsid w:val="00AE1D7B"/>
    <w:rsid w:val="00AE52B2"/>
    <w:rsid w:val="00AE533D"/>
    <w:rsid w:val="00AF0D74"/>
    <w:rsid w:val="00B160AA"/>
    <w:rsid w:val="00B20A5F"/>
    <w:rsid w:val="00B231F7"/>
    <w:rsid w:val="00B2336D"/>
    <w:rsid w:val="00B52F11"/>
    <w:rsid w:val="00B53324"/>
    <w:rsid w:val="00B53532"/>
    <w:rsid w:val="00B61EFC"/>
    <w:rsid w:val="00B6764D"/>
    <w:rsid w:val="00B703FC"/>
    <w:rsid w:val="00B82CE3"/>
    <w:rsid w:val="00B84A70"/>
    <w:rsid w:val="00B877E4"/>
    <w:rsid w:val="00B91AD7"/>
    <w:rsid w:val="00B94030"/>
    <w:rsid w:val="00BA6D21"/>
    <w:rsid w:val="00BB55A0"/>
    <w:rsid w:val="00BD4B55"/>
    <w:rsid w:val="00BE08EE"/>
    <w:rsid w:val="00BE14BC"/>
    <w:rsid w:val="00BE6096"/>
    <w:rsid w:val="00BE65B6"/>
    <w:rsid w:val="00BE68AA"/>
    <w:rsid w:val="00C01523"/>
    <w:rsid w:val="00C17D49"/>
    <w:rsid w:val="00C20189"/>
    <w:rsid w:val="00C221B7"/>
    <w:rsid w:val="00C30832"/>
    <w:rsid w:val="00C31DFF"/>
    <w:rsid w:val="00C40E2D"/>
    <w:rsid w:val="00C50370"/>
    <w:rsid w:val="00C76540"/>
    <w:rsid w:val="00C82472"/>
    <w:rsid w:val="00C830B7"/>
    <w:rsid w:val="00C83A07"/>
    <w:rsid w:val="00C8766A"/>
    <w:rsid w:val="00C94731"/>
    <w:rsid w:val="00C97882"/>
    <w:rsid w:val="00CA1B67"/>
    <w:rsid w:val="00CB2357"/>
    <w:rsid w:val="00CB2E1F"/>
    <w:rsid w:val="00CB7B7E"/>
    <w:rsid w:val="00CC7A49"/>
    <w:rsid w:val="00CD6B1F"/>
    <w:rsid w:val="00CE103A"/>
    <w:rsid w:val="00CF042B"/>
    <w:rsid w:val="00D0558B"/>
    <w:rsid w:val="00D133FB"/>
    <w:rsid w:val="00D2014D"/>
    <w:rsid w:val="00D31C57"/>
    <w:rsid w:val="00D36992"/>
    <w:rsid w:val="00D502A1"/>
    <w:rsid w:val="00D538AD"/>
    <w:rsid w:val="00D66EC6"/>
    <w:rsid w:val="00D67C77"/>
    <w:rsid w:val="00D7172D"/>
    <w:rsid w:val="00D74830"/>
    <w:rsid w:val="00D75020"/>
    <w:rsid w:val="00D82C48"/>
    <w:rsid w:val="00DA3AC4"/>
    <w:rsid w:val="00DB3A15"/>
    <w:rsid w:val="00DB763B"/>
    <w:rsid w:val="00DB7C6A"/>
    <w:rsid w:val="00DC42FE"/>
    <w:rsid w:val="00DC5AD6"/>
    <w:rsid w:val="00DC6245"/>
    <w:rsid w:val="00DD3506"/>
    <w:rsid w:val="00DF2930"/>
    <w:rsid w:val="00DF2DFB"/>
    <w:rsid w:val="00DF74A7"/>
    <w:rsid w:val="00E00DB2"/>
    <w:rsid w:val="00E05519"/>
    <w:rsid w:val="00E13A97"/>
    <w:rsid w:val="00E24DF0"/>
    <w:rsid w:val="00E259ED"/>
    <w:rsid w:val="00E25FE0"/>
    <w:rsid w:val="00E267CA"/>
    <w:rsid w:val="00E26864"/>
    <w:rsid w:val="00E34606"/>
    <w:rsid w:val="00E3791D"/>
    <w:rsid w:val="00E46AF1"/>
    <w:rsid w:val="00E54A0B"/>
    <w:rsid w:val="00E56A8B"/>
    <w:rsid w:val="00E65687"/>
    <w:rsid w:val="00E7407C"/>
    <w:rsid w:val="00E80C5F"/>
    <w:rsid w:val="00E8349E"/>
    <w:rsid w:val="00E84D78"/>
    <w:rsid w:val="00E85031"/>
    <w:rsid w:val="00E91A30"/>
    <w:rsid w:val="00E93295"/>
    <w:rsid w:val="00EA1A1F"/>
    <w:rsid w:val="00EA624C"/>
    <w:rsid w:val="00EC3550"/>
    <w:rsid w:val="00ED6151"/>
    <w:rsid w:val="00F0381A"/>
    <w:rsid w:val="00F11402"/>
    <w:rsid w:val="00F54F03"/>
    <w:rsid w:val="00F5507E"/>
    <w:rsid w:val="00F60526"/>
    <w:rsid w:val="00F6321C"/>
    <w:rsid w:val="00F6543D"/>
    <w:rsid w:val="00F76263"/>
    <w:rsid w:val="00F82533"/>
    <w:rsid w:val="00F95297"/>
    <w:rsid w:val="00F956E1"/>
    <w:rsid w:val="00FA086F"/>
    <w:rsid w:val="00FA112B"/>
    <w:rsid w:val="00FA2A84"/>
    <w:rsid w:val="00FA4C9B"/>
    <w:rsid w:val="00FB305C"/>
    <w:rsid w:val="00FC657E"/>
    <w:rsid w:val="00FC74FF"/>
    <w:rsid w:val="00FC7BD8"/>
    <w:rsid w:val="00FE1304"/>
    <w:rsid w:val="00FE3343"/>
    <w:rsid w:val="00FF50DD"/>
    <w:rsid w:val="00FF5133"/>
    <w:rsid w:val="00FF742D"/>
    <w:rsid w:val="0163342D"/>
    <w:rsid w:val="01A49562"/>
    <w:rsid w:val="0226C6CC"/>
    <w:rsid w:val="02366533"/>
    <w:rsid w:val="03D72DC2"/>
    <w:rsid w:val="047F3B30"/>
    <w:rsid w:val="04C4B31A"/>
    <w:rsid w:val="04D3BF23"/>
    <w:rsid w:val="04ECA45F"/>
    <w:rsid w:val="04F22A01"/>
    <w:rsid w:val="059383DB"/>
    <w:rsid w:val="05CACA26"/>
    <w:rsid w:val="0636A550"/>
    <w:rsid w:val="0829CAC3"/>
    <w:rsid w:val="089B9902"/>
    <w:rsid w:val="08B605F1"/>
    <w:rsid w:val="0926E1E3"/>
    <w:rsid w:val="0CD75FC3"/>
    <w:rsid w:val="0D02717D"/>
    <w:rsid w:val="0D1D0644"/>
    <w:rsid w:val="0E41B735"/>
    <w:rsid w:val="0FA9AAA7"/>
    <w:rsid w:val="0FDD8796"/>
    <w:rsid w:val="104A5C39"/>
    <w:rsid w:val="1124EC99"/>
    <w:rsid w:val="121F80EC"/>
    <w:rsid w:val="12ADBD6C"/>
    <w:rsid w:val="12C44A7D"/>
    <w:rsid w:val="130580B0"/>
    <w:rsid w:val="148205E8"/>
    <w:rsid w:val="15A64F43"/>
    <w:rsid w:val="15B485EF"/>
    <w:rsid w:val="16C0C15C"/>
    <w:rsid w:val="16CDB717"/>
    <w:rsid w:val="17207668"/>
    <w:rsid w:val="177E9343"/>
    <w:rsid w:val="17FA94B6"/>
    <w:rsid w:val="185C91BD"/>
    <w:rsid w:val="18DC5C6E"/>
    <w:rsid w:val="191A63A4"/>
    <w:rsid w:val="19579546"/>
    <w:rsid w:val="198C5762"/>
    <w:rsid w:val="19DDCE63"/>
    <w:rsid w:val="1A9EF028"/>
    <w:rsid w:val="1AA52341"/>
    <w:rsid w:val="1B381741"/>
    <w:rsid w:val="1B570B23"/>
    <w:rsid w:val="1BC6ADD4"/>
    <w:rsid w:val="1BDA646D"/>
    <w:rsid w:val="1C9845B9"/>
    <w:rsid w:val="1D3E3602"/>
    <w:rsid w:val="1DD80669"/>
    <w:rsid w:val="1E629194"/>
    <w:rsid w:val="1EF37B03"/>
    <w:rsid w:val="1F555B02"/>
    <w:rsid w:val="20321152"/>
    <w:rsid w:val="2086F2AB"/>
    <w:rsid w:val="2098F742"/>
    <w:rsid w:val="20B2AC37"/>
    <w:rsid w:val="21C6F67F"/>
    <w:rsid w:val="22E135C7"/>
    <w:rsid w:val="23CEF9D5"/>
    <w:rsid w:val="23F7A1EC"/>
    <w:rsid w:val="244747ED"/>
    <w:rsid w:val="247D0628"/>
    <w:rsid w:val="24A7743E"/>
    <w:rsid w:val="256ACA36"/>
    <w:rsid w:val="25895382"/>
    <w:rsid w:val="2636184E"/>
    <w:rsid w:val="266ADA6A"/>
    <w:rsid w:val="27069A97"/>
    <w:rsid w:val="29A27B2C"/>
    <w:rsid w:val="2A7F151A"/>
    <w:rsid w:val="2A964216"/>
    <w:rsid w:val="2AE9207E"/>
    <w:rsid w:val="2B098971"/>
    <w:rsid w:val="2C5A4758"/>
    <w:rsid w:val="2CC85934"/>
    <w:rsid w:val="2DB4B684"/>
    <w:rsid w:val="2EFAA5AA"/>
    <w:rsid w:val="308FCFD0"/>
    <w:rsid w:val="314386D9"/>
    <w:rsid w:val="31FFC3E6"/>
    <w:rsid w:val="325D3843"/>
    <w:rsid w:val="3279AF05"/>
    <w:rsid w:val="32F43263"/>
    <w:rsid w:val="33F783DF"/>
    <w:rsid w:val="3407F36E"/>
    <w:rsid w:val="34EA59EA"/>
    <w:rsid w:val="3539C8E5"/>
    <w:rsid w:val="358B064D"/>
    <w:rsid w:val="35ADA325"/>
    <w:rsid w:val="35F1B86B"/>
    <w:rsid w:val="362BD325"/>
    <w:rsid w:val="379A84A5"/>
    <w:rsid w:val="38C2A70F"/>
    <w:rsid w:val="39818A8D"/>
    <w:rsid w:val="3C0C1A20"/>
    <w:rsid w:val="3CA6295D"/>
    <w:rsid w:val="3D2B1EC2"/>
    <w:rsid w:val="3D61BFA8"/>
    <w:rsid w:val="3F28CEF4"/>
    <w:rsid w:val="4028397D"/>
    <w:rsid w:val="44FD9084"/>
    <w:rsid w:val="45A12A17"/>
    <w:rsid w:val="45E82EBC"/>
    <w:rsid w:val="460EFAAD"/>
    <w:rsid w:val="4783B7CF"/>
    <w:rsid w:val="47D69A2E"/>
    <w:rsid w:val="488D99E0"/>
    <w:rsid w:val="48A386BD"/>
    <w:rsid w:val="48A3AC3C"/>
    <w:rsid w:val="48D8CAD9"/>
    <w:rsid w:val="49B3656F"/>
    <w:rsid w:val="4A2988C0"/>
    <w:rsid w:val="4A32A25A"/>
    <w:rsid w:val="4A3F7C9D"/>
    <w:rsid w:val="4C48F6F5"/>
    <w:rsid w:val="4C701221"/>
    <w:rsid w:val="4C82E51A"/>
    <w:rsid w:val="4CB925F9"/>
    <w:rsid w:val="4D52500C"/>
    <w:rsid w:val="4D76F7E0"/>
    <w:rsid w:val="4DBE0C8C"/>
    <w:rsid w:val="4DE4C756"/>
    <w:rsid w:val="4E2E4734"/>
    <w:rsid w:val="4F28567C"/>
    <w:rsid w:val="4F61CC32"/>
    <w:rsid w:val="502E7DB3"/>
    <w:rsid w:val="50C8ED5D"/>
    <w:rsid w:val="50EBCA44"/>
    <w:rsid w:val="5129C543"/>
    <w:rsid w:val="521184AB"/>
    <w:rsid w:val="523A52E9"/>
    <w:rsid w:val="52F1B054"/>
    <w:rsid w:val="575B0BC8"/>
    <w:rsid w:val="57629D91"/>
    <w:rsid w:val="57A439E2"/>
    <w:rsid w:val="58FE6DF2"/>
    <w:rsid w:val="5A42FFC0"/>
    <w:rsid w:val="5A5C4268"/>
    <w:rsid w:val="5B1A27B2"/>
    <w:rsid w:val="5B5E1904"/>
    <w:rsid w:val="5BC2548E"/>
    <w:rsid w:val="5C2E7CEB"/>
    <w:rsid w:val="5CCBE5DF"/>
    <w:rsid w:val="5CF9355D"/>
    <w:rsid w:val="5D35EC17"/>
    <w:rsid w:val="5D47E752"/>
    <w:rsid w:val="5D7D677F"/>
    <w:rsid w:val="5E5015A2"/>
    <w:rsid w:val="5F4CEB88"/>
    <w:rsid w:val="5FCA3507"/>
    <w:rsid w:val="5FEBFFC1"/>
    <w:rsid w:val="6101AA64"/>
    <w:rsid w:val="6153CBCE"/>
    <w:rsid w:val="6190636B"/>
    <w:rsid w:val="61DC88A4"/>
    <w:rsid w:val="62295B1E"/>
    <w:rsid w:val="6267544D"/>
    <w:rsid w:val="63EFC1EB"/>
    <w:rsid w:val="652FC325"/>
    <w:rsid w:val="659BCDE1"/>
    <w:rsid w:val="6657B70C"/>
    <w:rsid w:val="665CF9C7"/>
    <w:rsid w:val="669D8175"/>
    <w:rsid w:val="674D3BC0"/>
    <w:rsid w:val="684BCA28"/>
    <w:rsid w:val="688A0281"/>
    <w:rsid w:val="69CE3304"/>
    <w:rsid w:val="6A033448"/>
    <w:rsid w:val="6A25D2E2"/>
    <w:rsid w:val="6A54AB49"/>
    <w:rsid w:val="6B258F29"/>
    <w:rsid w:val="6B2D366A"/>
    <w:rsid w:val="6BF17FEE"/>
    <w:rsid w:val="6D26B4D9"/>
    <w:rsid w:val="6F13A5EA"/>
    <w:rsid w:val="6F3E3905"/>
    <w:rsid w:val="6FEEB52F"/>
    <w:rsid w:val="703DB3B0"/>
    <w:rsid w:val="704080CF"/>
    <w:rsid w:val="707275CC"/>
    <w:rsid w:val="70FFA6AC"/>
    <w:rsid w:val="710FD428"/>
    <w:rsid w:val="719C77EE"/>
    <w:rsid w:val="71B4246D"/>
    <w:rsid w:val="7279F4B9"/>
    <w:rsid w:val="7312584F"/>
    <w:rsid w:val="744774EA"/>
    <w:rsid w:val="7509E43D"/>
    <w:rsid w:val="75135FD0"/>
    <w:rsid w:val="75387F97"/>
    <w:rsid w:val="75CE8D40"/>
    <w:rsid w:val="75E3454B"/>
    <w:rsid w:val="7661E2BA"/>
    <w:rsid w:val="76AB6DD2"/>
    <w:rsid w:val="774C6CBF"/>
    <w:rsid w:val="777888DB"/>
    <w:rsid w:val="7A195812"/>
    <w:rsid w:val="7B4B223B"/>
    <w:rsid w:val="7B939F99"/>
    <w:rsid w:val="7C703F99"/>
    <w:rsid w:val="7CA8EB66"/>
    <w:rsid w:val="7CD1243E"/>
    <w:rsid w:val="7CEA4C9B"/>
    <w:rsid w:val="7D1BAAF0"/>
    <w:rsid w:val="7DB54FAA"/>
    <w:rsid w:val="7F010698"/>
    <w:rsid w:val="7F59CDF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6D37D"/>
  <w15:docId w15:val="{F83A5018-1DE6-B34C-8FFE-C475972CA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504"/>
  </w:style>
  <w:style w:type="paragraph" w:styleId="Ttulo1">
    <w:name w:val="heading 1"/>
    <w:basedOn w:val="Normal"/>
    <w:next w:val="Normal"/>
    <w:link w:val="Ttulo1Char"/>
    <w:uiPriority w:val="9"/>
    <w:qFormat/>
    <w:rsid w:val="00E8349E"/>
    <w:pPr>
      <w:autoSpaceDE w:val="0"/>
      <w:autoSpaceDN w:val="0"/>
      <w:adjustRightInd w:val="0"/>
      <w:spacing w:after="120"/>
      <w:jc w:val="both"/>
      <w:outlineLvl w:val="0"/>
    </w:pPr>
    <w:rPr>
      <w:rFonts w:ascii="Arial" w:hAnsi="Arial" w:cs="Arial"/>
      <w:b/>
      <w:bCs/>
      <w:sz w:val="20"/>
      <w:szCs w:val="20"/>
    </w:rPr>
  </w:style>
  <w:style w:type="paragraph" w:styleId="Ttulo2">
    <w:name w:val="heading 2"/>
    <w:basedOn w:val="Normal"/>
    <w:next w:val="Normal"/>
    <w:uiPriority w:val="9"/>
    <w:semiHidden/>
    <w:unhideWhenUsed/>
    <w:qFormat/>
    <w:rsid w:val="003E0504"/>
    <w:pPr>
      <w:widowControl w:val="0"/>
      <w:spacing w:before="1" w:after="0" w:line="240" w:lineRule="auto"/>
      <w:ind w:left="1824" w:right="322"/>
      <w:outlineLvl w:val="1"/>
    </w:pPr>
    <w:rPr>
      <w:b/>
      <w:sz w:val="32"/>
      <w:szCs w:val="32"/>
    </w:rPr>
  </w:style>
  <w:style w:type="paragraph" w:styleId="Ttulo3">
    <w:name w:val="heading 3"/>
    <w:basedOn w:val="Normal"/>
    <w:next w:val="Normal"/>
    <w:uiPriority w:val="9"/>
    <w:semiHidden/>
    <w:unhideWhenUsed/>
    <w:qFormat/>
    <w:rsid w:val="003E0504"/>
    <w:pPr>
      <w:keepNext/>
      <w:keepLines/>
      <w:spacing w:before="320"/>
      <w:outlineLvl w:val="2"/>
    </w:pPr>
    <w:rPr>
      <w:rFonts w:ascii="Arial" w:eastAsia="Arial" w:hAnsi="Arial" w:cs="Arial"/>
      <w:sz w:val="30"/>
      <w:szCs w:val="30"/>
    </w:rPr>
  </w:style>
  <w:style w:type="paragraph" w:styleId="Ttulo4">
    <w:name w:val="heading 4"/>
    <w:basedOn w:val="Normal"/>
    <w:next w:val="Normal"/>
    <w:uiPriority w:val="9"/>
    <w:semiHidden/>
    <w:unhideWhenUsed/>
    <w:qFormat/>
    <w:rsid w:val="003E0504"/>
    <w:pPr>
      <w:keepNext/>
      <w:keepLines/>
      <w:spacing w:before="320"/>
      <w:outlineLvl w:val="3"/>
    </w:pPr>
    <w:rPr>
      <w:rFonts w:ascii="Arial" w:eastAsia="Arial" w:hAnsi="Arial" w:cs="Arial"/>
      <w:b/>
      <w:sz w:val="26"/>
      <w:szCs w:val="26"/>
    </w:rPr>
  </w:style>
  <w:style w:type="paragraph" w:styleId="Ttulo5">
    <w:name w:val="heading 5"/>
    <w:basedOn w:val="Normal"/>
    <w:next w:val="Normal"/>
    <w:uiPriority w:val="9"/>
    <w:semiHidden/>
    <w:unhideWhenUsed/>
    <w:qFormat/>
    <w:rsid w:val="003E0504"/>
    <w:pPr>
      <w:keepNext/>
      <w:keepLines/>
      <w:spacing w:before="320"/>
      <w:outlineLvl w:val="4"/>
    </w:pPr>
    <w:rPr>
      <w:rFonts w:ascii="Arial" w:eastAsia="Arial" w:hAnsi="Arial" w:cs="Arial"/>
      <w:b/>
      <w:sz w:val="24"/>
      <w:szCs w:val="24"/>
    </w:rPr>
  </w:style>
  <w:style w:type="paragraph" w:styleId="Ttulo6">
    <w:name w:val="heading 6"/>
    <w:basedOn w:val="Normal"/>
    <w:next w:val="Normal"/>
    <w:uiPriority w:val="9"/>
    <w:semiHidden/>
    <w:unhideWhenUsed/>
    <w:qFormat/>
    <w:rsid w:val="003E0504"/>
    <w:pPr>
      <w:keepNext/>
      <w:keepLines/>
      <w:spacing w:before="320"/>
      <w:outlineLvl w:val="5"/>
    </w:pPr>
    <w:rPr>
      <w:rFonts w:ascii="Arial" w:eastAsia="Arial" w:hAnsi="Arial" w:cs="Arial"/>
      <w:b/>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NormalTable0">
    <w:name w:val="Normal Table0"/>
    <w:rsid w:val="003E0504"/>
    <w:tblPr>
      <w:tblCellMar>
        <w:top w:w="0" w:type="dxa"/>
        <w:left w:w="0" w:type="dxa"/>
        <w:bottom w:w="0" w:type="dxa"/>
        <w:right w:w="0" w:type="dxa"/>
      </w:tblCellMar>
    </w:tblPr>
  </w:style>
  <w:style w:type="paragraph" w:styleId="Ttulo">
    <w:name w:val="Title"/>
    <w:basedOn w:val="Ttulo1"/>
    <w:next w:val="Normal"/>
    <w:uiPriority w:val="10"/>
    <w:qFormat/>
    <w:rsid w:val="005B427D"/>
  </w:style>
  <w:style w:type="table" w:customStyle="1" w:styleId="NormalTable1">
    <w:name w:val="Normal Table1"/>
    <w:rsid w:val="003E0504"/>
    <w:tblPr>
      <w:tblCellMar>
        <w:top w:w="0" w:type="dxa"/>
        <w:left w:w="0" w:type="dxa"/>
        <w:bottom w:w="0" w:type="dxa"/>
        <w:right w:w="0" w:type="dxa"/>
      </w:tblCellMar>
    </w:tblPr>
  </w:style>
  <w:style w:type="paragraph" w:styleId="Subttulo">
    <w:name w:val="Subtitle"/>
    <w:basedOn w:val="Normal"/>
    <w:next w:val="Normal"/>
    <w:uiPriority w:val="11"/>
    <w:qFormat/>
    <w:rsid w:val="003E0504"/>
    <w:pPr>
      <w:spacing w:before="200"/>
    </w:pPr>
    <w:rPr>
      <w:sz w:val="24"/>
      <w:szCs w:val="24"/>
    </w:rPr>
  </w:style>
  <w:style w:type="character" w:styleId="Hyperlink">
    <w:name w:val="Hyperlink"/>
    <w:basedOn w:val="Fontepargpadro"/>
    <w:uiPriority w:val="99"/>
    <w:unhideWhenUsed/>
    <w:rsid w:val="00C94731"/>
    <w:rPr>
      <w:color w:val="0000FF" w:themeColor="hyperlink"/>
      <w:u w:val="single"/>
    </w:rPr>
  </w:style>
  <w:style w:type="character" w:customStyle="1" w:styleId="MenoPendente1">
    <w:name w:val="Menção Pendente1"/>
    <w:basedOn w:val="Fontepargpadro"/>
    <w:uiPriority w:val="99"/>
    <w:semiHidden/>
    <w:unhideWhenUsed/>
    <w:rsid w:val="00C94731"/>
    <w:rPr>
      <w:color w:val="605E5C"/>
      <w:shd w:val="clear" w:color="auto" w:fill="E1DFDD"/>
    </w:rPr>
  </w:style>
  <w:style w:type="character" w:styleId="HiperlinkVisitado">
    <w:name w:val="FollowedHyperlink"/>
    <w:basedOn w:val="Fontepargpadro"/>
    <w:uiPriority w:val="99"/>
    <w:semiHidden/>
    <w:unhideWhenUsed/>
    <w:rsid w:val="00EA1A1F"/>
    <w:rPr>
      <w:color w:val="800080" w:themeColor="followedHyperlink"/>
      <w:u w:val="single"/>
    </w:rPr>
  </w:style>
  <w:style w:type="paragraph" w:styleId="NormalWeb">
    <w:name w:val="Normal (Web)"/>
    <w:basedOn w:val="Normal"/>
    <w:uiPriority w:val="99"/>
    <w:semiHidden/>
    <w:unhideWhenUsed/>
    <w:rsid w:val="00C830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3317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33179D"/>
  </w:style>
  <w:style w:type="character" w:customStyle="1" w:styleId="eop">
    <w:name w:val="eop"/>
    <w:basedOn w:val="Fontepargpadro"/>
    <w:rsid w:val="0033179D"/>
  </w:style>
  <w:style w:type="character" w:customStyle="1" w:styleId="spellingerror">
    <w:name w:val="spellingerror"/>
    <w:basedOn w:val="Fontepargpadro"/>
    <w:rsid w:val="0033179D"/>
  </w:style>
  <w:style w:type="character" w:customStyle="1" w:styleId="contextualspellingandgrammarerror">
    <w:name w:val="contextualspellingandgrammarerror"/>
    <w:basedOn w:val="Fontepargpadro"/>
    <w:rsid w:val="0033179D"/>
  </w:style>
  <w:style w:type="paragraph" w:styleId="PargrafodaLista">
    <w:name w:val="List Paragraph"/>
    <w:basedOn w:val="Normal"/>
    <w:uiPriority w:val="34"/>
    <w:qFormat/>
    <w:rsid w:val="008D22D0"/>
    <w:pPr>
      <w:ind w:left="720"/>
      <w:contextualSpacing/>
    </w:pPr>
  </w:style>
  <w:style w:type="table" w:styleId="Tabelacomgrade">
    <w:name w:val="Table Grid"/>
    <w:basedOn w:val="Tabelanormal"/>
    <w:uiPriority w:val="39"/>
    <w:rsid w:val="00912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506E4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06E40"/>
  </w:style>
  <w:style w:type="paragraph" w:styleId="Rodap">
    <w:name w:val="footer"/>
    <w:basedOn w:val="Normal"/>
    <w:link w:val="RodapChar"/>
    <w:uiPriority w:val="99"/>
    <w:unhideWhenUsed/>
    <w:rsid w:val="00506E40"/>
    <w:pPr>
      <w:tabs>
        <w:tab w:val="center" w:pos="4252"/>
        <w:tab w:val="right" w:pos="8504"/>
      </w:tabs>
      <w:spacing w:after="0" w:line="240" w:lineRule="auto"/>
    </w:pPr>
  </w:style>
  <w:style w:type="character" w:customStyle="1" w:styleId="RodapChar">
    <w:name w:val="Rodapé Char"/>
    <w:basedOn w:val="Fontepargpadro"/>
    <w:link w:val="Rodap"/>
    <w:uiPriority w:val="99"/>
    <w:rsid w:val="00506E40"/>
  </w:style>
  <w:style w:type="paragraph" w:styleId="CabealhodoSumrio">
    <w:name w:val="TOC Heading"/>
    <w:basedOn w:val="Ttulo1"/>
    <w:next w:val="Normal"/>
    <w:uiPriority w:val="39"/>
    <w:unhideWhenUsed/>
    <w:qFormat/>
    <w:rsid w:val="00912100"/>
    <w:pPr>
      <w:keepNext/>
      <w:keepLines/>
      <w:spacing w:before="480"/>
      <w:outlineLvl w:val="9"/>
    </w:pPr>
    <w:rPr>
      <w:rFonts w:asciiTheme="majorHAnsi" w:eastAsiaTheme="majorEastAsia" w:hAnsiTheme="majorHAnsi" w:cstheme="majorBidi"/>
      <w:bCs w:val="0"/>
      <w:color w:val="365F91" w:themeColor="accent1" w:themeShade="BF"/>
      <w:sz w:val="28"/>
      <w:szCs w:val="28"/>
    </w:rPr>
  </w:style>
  <w:style w:type="paragraph" w:styleId="Sumrio1">
    <w:name w:val="toc 1"/>
    <w:basedOn w:val="Normal"/>
    <w:next w:val="Normal"/>
    <w:autoRedefine/>
    <w:uiPriority w:val="39"/>
    <w:unhideWhenUsed/>
    <w:rsid w:val="004B341D"/>
    <w:pPr>
      <w:tabs>
        <w:tab w:val="right" w:leader="dot" w:pos="8494"/>
      </w:tabs>
      <w:spacing w:before="120" w:after="0"/>
      <w:jc w:val="both"/>
    </w:pPr>
    <w:rPr>
      <w:rFonts w:ascii="Arial" w:hAnsi="Arial"/>
      <w:bCs/>
      <w:iCs/>
      <w:noProof/>
      <w:sz w:val="20"/>
      <w:szCs w:val="24"/>
    </w:rPr>
  </w:style>
  <w:style w:type="paragraph" w:styleId="Sumrio2">
    <w:name w:val="toc 2"/>
    <w:basedOn w:val="Normal"/>
    <w:next w:val="Normal"/>
    <w:autoRedefine/>
    <w:uiPriority w:val="39"/>
    <w:semiHidden/>
    <w:unhideWhenUsed/>
    <w:rsid w:val="00912100"/>
    <w:pPr>
      <w:spacing w:before="120" w:after="0"/>
      <w:ind w:left="220"/>
    </w:pPr>
    <w:rPr>
      <w:rFonts w:asciiTheme="minorHAnsi" w:hAnsiTheme="minorHAnsi"/>
      <w:b/>
      <w:bCs/>
    </w:rPr>
  </w:style>
  <w:style w:type="paragraph" w:styleId="Sumrio3">
    <w:name w:val="toc 3"/>
    <w:basedOn w:val="Normal"/>
    <w:next w:val="Normal"/>
    <w:autoRedefine/>
    <w:uiPriority w:val="39"/>
    <w:semiHidden/>
    <w:unhideWhenUsed/>
    <w:rsid w:val="00912100"/>
    <w:pPr>
      <w:spacing w:after="0"/>
      <w:ind w:left="440"/>
    </w:pPr>
    <w:rPr>
      <w:rFonts w:asciiTheme="minorHAnsi" w:hAnsiTheme="minorHAnsi"/>
      <w:sz w:val="20"/>
      <w:szCs w:val="20"/>
    </w:rPr>
  </w:style>
  <w:style w:type="paragraph" w:styleId="Sumrio4">
    <w:name w:val="toc 4"/>
    <w:basedOn w:val="Normal"/>
    <w:next w:val="Normal"/>
    <w:autoRedefine/>
    <w:uiPriority w:val="39"/>
    <w:semiHidden/>
    <w:unhideWhenUsed/>
    <w:rsid w:val="00912100"/>
    <w:pPr>
      <w:spacing w:after="0"/>
      <w:ind w:left="660"/>
    </w:pPr>
    <w:rPr>
      <w:rFonts w:asciiTheme="minorHAnsi" w:hAnsiTheme="minorHAnsi"/>
      <w:sz w:val="20"/>
      <w:szCs w:val="20"/>
    </w:rPr>
  </w:style>
  <w:style w:type="paragraph" w:styleId="Sumrio5">
    <w:name w:val="toc 5"/>
    <w:basedOn w:val="Normal"/>
    <w:next w:val="Normal"/>
    <w:autoRedefine/>
    <w:uiPriority w:val="39"/>
    <w:semiHidden/>
    <w:unhideWhenUsed/>
    <w:rsid w:val="00912100"/>
    <w:pPr>
      <w:spacing w:after="0"/>
      <w:ind w:left="880"/>
    </w:pPr>
    <w:rPr>
      <w:rFonts w:asciiTheme="minorHAnsi" w:hAnsiTheme="minorHAnsi"/>
      <w:sz w:val="20"/>
      <w:szCs w:val="20"/>
    </w:rPr>
  </w:style>
  <w:style w:type="paragraph" w:styleId="Sumrio6">
    <w:name w:val="toc 6"/>
    <w:basedOn w:val="Normal"/>
    <w:next w:val="Normal"/>
    <w:autoRedefine/>
    <w:uiPriority w:val="39"/>
    <w:semiHidden/>
    <w:unhideWhenUsed/>
    <w:rsid w:val="00912100"/>
    <w:pPr>
      <w:spacing w:after="0"/>
      <w:ind w:left="1100"/>
    </w:pPr>
    <w:rPr>
      <w:rFonts w:asciiTheme="minorHAnsi" w:hAnsiTheme="minorHAnsi"/>
      <w:sz w:val="20"/>
      <w:szCs w:val="20"/>
    </w:rPr>
  </w:style>
  <w:style w:type="paragraph" w:styleId="Sumrio7">
    <w:name w:val="toc 7"/>
    <w:basedOn w:val="Normal"/>
    <w:next w:val="Normal"/>
    <w:autoRedefine/>
    <w:uiPriority w:val="39"/>
    <w:semiHidden/>
    <w:unhideWhenUsed/>
    <w:rsid w:val="00912100"/>
    <w:pPr>
      <w:spacing w:after="0"/>
      <w:ind w:left="1320"/>
    </w:pPr>
    <w:rPr>
      <w:rFonts w:asciiTheme="minorHAnsi" w:hAnsiTheme="minorHAnsi"/>
      <w:sz w:val="20"/>
      <w:szCs w:val="20"/>
    </w:rPr>
  </w:style>
  <w:style w:type="paragraph" w:styleId="Sumrio8">
    <w:name w:val="toc 8"/>
    <w:basedOn w:val="Normal"/>
    <w:next w:val="Normal"/>
    <w:autoRedefine/>
    <w:uiPriority w:val="39"/>
    <w:semiHidden/>
    <w:unhideWhenUsed/>
    <w:rsid w:val="00912100"/>
    <w:pPr>
      <w:spacing w:after="0"/>
      <w:ind w:left="1540"/>
    </w:pPr>
    <w:rPr>
      <w:rFonts w:asciiTheme="minorHAnsi" w:hAnsiTheme="minorHAnsi"/>
      <w:sz w:val="20"/>
      <w:szCs w:val="20"/>
    </w:rPr>
  </w:style>
  <w:style w:type="paragraph" w:styleId="Sumrio9">
    <w:name w:val="toc 9"/>
    <w:basedOn w:val="Normal"/>
    <w:next w:val="Normal"/>
    <w:autoRedefine/>
    <w:uiPriority w:val="39"/>
    <w:semiHidden/>
    <w:unhideWhenUsed/>
    <w:rsid w:val="00912100"/>
    <w:pPr>
      <w:spacing w:after="0"/>
      <w:ind w:left="1760"/>
    </w:pPr>
    <w:rPr>
      <w:rFonts w:asciiTheme="minorHAnsi" w:hAnsiTheme="minorHAnsi"/>
      <w:sz w:val="20"/>
      <w:szCs w:val="20"/>
    </w:rPr>
  </w:style>
  <w:style w:type="paragraph" w:styleId="SemEspaamento">
    <w:name w:val="No Spacing"/>
    <w:uiPriority w:val="1"/>
    <w:qFormat/>
    <w:rsid w:val="00FE3343"/>
    <w:pPr>
      <w:spacing w:after="0" w:line="240" w:lineRule="auto"/>
    </w:pPr>
  </w:style>
  <w:style w:type="paragraph" w:styleId="Textodebalo">
    <w:name w:val="Balloon Text"/>
    <w:basedOn w:val="Normal"/>
    <w:link w:val="TextodebaloChar"/>
    <w:uiPriority w:val="99"/>
    <w:semiHidden/>
    <w:unhideWhenUsed/>
    <w:rsid w:val="0083521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35218"/>
    <w:rPr>
      <w:rFonts w:ascii="Tahoma" w:hAnsi="Tahoma" w:cs="Tahoma"/>
      <w:sz w:val="16"/>
      <w:szCs w:val="16"/>
    </w:rPr>
  </w:style>
  <w:style w:type="character" w:customStyle="1" w:styleId="Ttulo1Char">
    <w:name w:val="Título 1 Char"/>
    <w:basedOn w:val="Fontepargpadro"/>
    <w:link w:val="Ttulo1"/>
    <w:uiPriority w:val="9"/>
    <w:rsid w:val="00BE65B6"/>
    <w:rPr>
      <w:rFonts w:ascii="Arial" w:hAnsi="Arial" w:cs="Arial"/>
      <w:b/>
      <w:bCs/>
      <w:sz w:val="20"/>
      <w:szCs w:val="20"/>
    </w:rPr>
  </w:style>
  <w:style w:type="character" w:styleId="MenoPendente">
    <w:name w:val="Unresolved Mention"/>
    <w:basedOn w:val="Fontepargpadro"/>
    <w:uiPriority w:val="99"/>
    <w:semiHidden/>
    <w:unhideWhenUsed/>
    <w:rsid w:val="000079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67296">
      <w:bodyDiv w:val="1"/>
      <w:marLeft w:val="0"/>
      <w:marRight w:val="0"/>
      <w:marTop w:val="0"/>
      <w:marBottom w:val="0"/>
      <w:divBdr>
        <w:top w:val="none" w:sz="0" w:space="0" w:color="auto"/>
        <w:left w:val="none" w:sz="0" w:space="0" w:color="auto"/>
        <w:bottom w:val="none" w:sz="0" w:space="0" w:color="auto"/>
        <w:right w:val="none" w:sz="0" w:space="0" w:color="auto"/>
      </w:divBdr>
      <w:divsChild>
        <w:div w:id="48773811">
          <w:marLeft w:val="0"/>
          <w:marRight w:val="0"/>
          <w:marTop w:val="0"/>
          <w:marBottom w:val="0"/>
          <w:divBdr>
            <w:top w:val="none" w:sz="0" w:space="0" w:color="auto"/>
            <w:left w:val="none" w:sz="0" w:space="0" w:color="auto"/>
            <w:bottom w:val="none" w:sz="0" w:space="0" w:color="auto"/>
            <w:right w:val="none" w:sz="0" w:space="0" w:color="auto"/>
          </w:divBdr>
        </w:div>
        <w:div w:id="87119836">
          <w:marLeft w:val="0"/>
          <w:marRight w:val="0"/>
          <w:marTop w:val="0"/>
          <w:marBottom w:val="0"/>
          <w:divBdr>
            <w:top w:val="none" w:sz="0" w:space="0" w:color="auto"/>
            <w:left w:val="none" w:sz="0" w:space="0" w:color="auto"/>
            <w:bottom w:val="none" w:sz="0" w:space="0" w:color="auto"/>
            <w:right w:val="none" w:sz="0" w:space="0" w:color="auto"/>
          </w:divBdr>
        </w:div>
        <w:div w:id="219900796">
          <w:marLeft w:val="0"/>
          <w:marRight w:val="0"/>
          <w:marTop w:val="0"/>
          <w:marBottom w:val="0"/>
          <w:divBdr>
            <w:top w:val="none" w:sz="0" w:space="0" w:color="auto"/>
            <w:left w:val="none" w:sz="0" w:space="0" w:color="auto"/>
            <w:bottom w:val="none" w:sz="0" w:space="0" w:color="auto"/>
            <w:right w:val="none" w:sz="0" w:space="0" w:color="auto"/>
          </w:divBdr>
        </w:div>
        <w:div w:id="548297713">
          <w:marLeft w:val="0"/>
          <w:marRight w:val="0"/>
          <w:marTop w:val="0"/>
          <w:marBottom w:val="0"/>
          <w:divBdr>
            <w:top w:val="none" w:sz="0" w:space="0" w:color="auto"/>
            <w:left w:val="none" w:sz="0" w:space="0" w:color="auto"/>
            <w:bottom w:val="none" w:sz="0" w:space="0" w:color="auto"/>
            <w:right w:val="none" w:sz="0" w:space="0" w:color="auto"/>
          </w:divBdr>
        </w:div>
        <w:div w:id="554973233">
          <w:marLeft w:val="0"/>
          <w:marRight w:val="0"/>
          <w:marTop w:val="0"/>
          <w:marBottom w:val="0"/>
          <w:divBdr>
            <w:top w:val="none" w:sz="0" w:space="0" w:color="auto"/>
            <w:left w:val="none" w:sz="0" w:space="0" w:color="auto"/>
            <w:bottom w:val="none" w:sz="0" w:space="0" w:color="auto"/>
            <w:right w:val="none" w:sz="0" w:space="0" w:color="auto"/>
          </w:divBdr>
        </w:div>
        <w:div w:id="584457721">
          <w:marLeft w:val="0"/>
          <w:marRight w:val="0"/>
          <w:marTop w:val="0"/>
          <w:marBottom w:val="0"/>
          <w:divBdr>
            <w:top w:val="none" w:sz="0" w:space="0" w:color="auto"/>
            <w:left w:val="none" w:sz="0" w:space="0" w:color="auto"/>
            <w:bottom w:val="none" w:sz="0" w:space="0" w:color="auto"/>
            <w:right w:val="none" w:sz="0" w:space="0" w:color="auto"/>
          </w:divBdr>
        </w:div>
        <w:div w:id="634020087">
          <w:marLeft w:val="0"/>
          <w:marRight w:val="0"/>
          <w:marTop w:val="0"/>
          <w:marBottom w:val="0"/>
          <w:divBdr>
            <w:top w:val="none" w:sz="0" w:space="0" w:color="auto"/>
            <w:left w:val="none" w:sz="0" w:space="0" w:color="auto"/>
            <w:bottom w:val="none" w:sz="0" w:space="0" w:color="auto"/>
            <w:right w:val="none" w:sz="0" w:space="0" w:color="auto"/>
          </w:divBdr>
        </w:div>
        <w:div w:id="651719706">
          <w:marLeft w:val="0"/>
          <w:marRight w:val="0"/>
          <w:marTop w:val="0"/>
          <w:marBottom w:val="0"/>
          <w:divBdr>
            <w:top w:val="none" w:sz="0" w:space="0" w:color="auto"/>
            <w:left w:val="none" w:sz="0" w:space="0" w:color="auto"/>
            <w:bottom w:val="none" w:sz="0" w:space="0" w:color="auto"/>
            <w:right w:val="none" w:sz="0" w:space="0" w:color="auto"/>
          </w:divBdr>
        </w:div>
        <w:div w:id="658969934">
          <w:marLeft w:val="0"/>
          <w:marRight w:val="0"/>
          <w:marTop w:val="0"/>
          <w:marBottom w:val="0"/>
          <w:divBdr>
            <w:top w:val="none" w:sz="0" w:space="0" w:color="auto"/>
            <w:left w:val="none" w:sz="0" w:space="0" w:color="auto"/>
            <w:bottom w:val="none" w:sz="0" w:space="0" w:color="auto"/>
            <w:right w:val="none" w:sz="0" w:space="0" w:color="auto"/>
          </w:divBdr>
        </w:div>
        <w:div w:id="701129298">
          <w:marLeft w:val="0"/>
          <w:marRight w:val="0"/>
          <w:marTop w:val="0"/>
          <w:marBottom w:val="0"/>
          <w:divBdr>
            <w:top w:val="none" w:sz="0" w:space="0" w:color="auto"/>
            <w:left w:val="none" w:sz="0" w:space="0" w:color="auto"/>
            <w:bottom w:val="none" w:sz="0" w:space="0" w:color="auto"/>
            <w:right w:val="none" w:sz="0" w:space="0" w:color="auto"/>
          </w:divBdr>
        </w:div>
        <w:div w:id="957830897">
          <w:marLeft w:val="0"/>
          <w:marRight w:val="0"/>
          <w:marTop w:val="0"/>
          <w:marBottom w:val="0"/>
          <w:divBdr>
            <w:top w:val="none" w:sz="0" w:space="0" w:color="auto"/>
            <w:left w:val="none" w:sz="0" w:space="0" w:color="auto"/>
            <w:bottom w:val="none" w:sz="0" w:space="0" w:color="auto"/>
            <w:right w:val="none" w:sz="0" w:space="0" w:color="auto"/>
          </w:divBdr>
        </w:div>
        <w:div w:id="1008172484">
          <w:marLeft w:val="0"/>
          <w:marRight w:val="0"/>
          <w:marTop w:val="0"/>
          <w:marBottom w:val="0"/>
          <w:divBdr>
            <w:top w:val="none" w:sz="0" w:space="0" w:color="auto"/>
            <w:left w:val="none" w:sz="0" w:space="0" w:color="auto"/>
            <w:bottom w:val="none" w:sz="0" w:space="0" w:color="auto"/>
            <w:right w:val="none" w:sz="0" w:space="0" w:color="auto"/>
          </w:divBdr>
        </w:div>
        <w:div w:id="1035427642">
          <w:marLeft w:val="0"/>
          <w:marRight w:val="0"/>
          <w:marTop w:val="0"/>
          <w:marBottom w:val="0"/>
          <w:divBdr>
            <w:top w:val="none" w:sz="0" w:space="0" w:color="auto"/>
            <w:left w:val="none" w:sz="0" w:space="0" w:color="auto"/>
            <w:bottom w:val="none" w:sz="0" w:space="0" w:color="auto"/>
            <w:right w:val="none" w:sz="0" w:space="0" w:color="auto"/>
          </w:divBdr>
        </w:div>
        <w:div w:id="1039666862">
          <w:marLeft w:val="0"/>
          <w:marRight w:val="0"/>
          <w:marTop w:val="0"/>
          <w:marBottom w:val="0"/>
          <w:divBdr>
            <w:top w:val="none" w:sz="0" w:space="0" w:color="auto"/>
            <w:left w:val="none" w:sz="0" w:space="0" w:color="auto"/>
            <w:bottom w:val="none" w:sz="0" w:space="0" w:color="auto"/>
            <w:right w:val="none" w:sz="0" w:space="0" w:color="auto"/>
          </w:divBdr>
        </w:div>
        <w:div w:id="1067147299">
          <w:marLeft w:val="0"/>
          <w:marRight w:val="0"/>
          <w:marTop w:val="0"/>
          <w:marBottom w:val="0"/>
          <w:divBdr>
            <w:top w:val="none" w:sz="0" w:space="0" w:color="auto"/>
            <w:left w:val="none" w:sz="0" w:space="0" w:color="auto"/>
            <w:bottom w:val="none" w:sz="0" w:space="0" w:color="auto"/>
            <w:right w:val="none" w:sz="0" w:space="0" w:color="auto"/>
          </w:divBdr>
        </w:div>
        <w:div w:id="1092504208">
          <w:marLeft w:val="0"/>
          <w:marRight w:val="0"/>
          <w:marTop w:val="0"/>
          <w:marBottom w:val="0"/>
          <w:divBdr>
            <w:top w:val="none" w:sz="0" w:space="0" w:color="auto"/>
            <w:left w:val="none" w:sz="0" w:space="0" w:color="auto"/>
            <w:bottom w:val="none" w:sz="0" w:space="0" w:color="auto"/>
            <w:right w:val="none" w:sz="0" w:space="0" w:color="auto"/>
          </w:divBdr>
        </w:div>
        <w:div w:id="1231229071">
          <w:marLeft w:val="0"/>
          <w:marRight w:val="0"/>
          <w:marTop w:val="0"/>
          <w:marBottom w:val="0"/>
          <w:divBdr>
            <w:top w:val="none" w:sz="0" w:space="0" w:color="auto"/>
            <w:left w:val="none" w:sz="0" w:space="0" w:color="auto"/>
            <w:bottom w:val="none" w:sz="0" w:space="0" w:color="auto"/>
            <w:right w:val="none" w:sz="0" w:space="0" w:color="auto"/>
          </w:divBdr>
        </w:div>
        <w:div w:id="1303191033">
          <w:marLeft w:val="0"/>
          <w:marRight w:val="0"/>
          <w:marTop w:val="0"/>
          <w:marBottom w:val="0"/>
          <w:divBdr>
            <w:top w:val="none" w:sz="0" w:space="0" w:color="auto"/>
            <w:left w:val="none" w:sz="0" w:space="0" w:color="auto"/>
            <w:bottom w:val="none" w:sz="0" w:space="0" w:color="auto"/>
            <w:right w:val="none" w:sz="0" w:space="0" w:color="auto"/>
          </w:divBdr>
        </w:div>
        <w:div w:id="1500272661">
          <w:marLeft w:val="0"/>
          <w:marRight w:val="0"/>
          <w:marTop w:val="0"/>
          <w:marBottom w:val="0"/>
          <w:divBdr>
            <w:top w:val="none" w:sz="0" w:space="0" w:color="auto"/>
            <w:left w:val="none" w:sz="0" w:space="0" w:color="auto"/>
            <w:bottom w:val="none" w:sz="0" w:space="0" w:color="auto"/>
            <w:right w:val="none" w:sz="0" w:space="0" w:color="auto"/>
          </w:divBdr>
        </w:div>
        <w:div w:id="1521771695">
          <w:marLeft w:val="0"/>
          <w:marRight w:val="0"/>
          <w:marTop w:val="0"/>
          <w:marBottom w:val="0"/>
          <w:divBdr>
            <w:top w:val="none" w:sz="0" w:space="0" w:color="auto"/>
            <w:left w:val="none" w:sz="0" w:space="0" w:color="auto"/>
            <w:bottom w:val="none" w:sz="0" w:space="0" w:color="auto"/>
            <w:right w:val="none" w:sz="0" w:space="0" w:color="auto"/>
          </w:divBdr>
        </w:div>
        <w:div w:id="1554537363">
          <w:marLeft w:val="0"/>
          <w:marRight w:val="0"/>
          <w:marTop w:val="0"/>
          <w:marBottom w:val="0"/>
          <w:divBdr>
            <w:top w:val="none" w:sz="0" w:space="0" w:color="auto"/>
            <w:left w:val="none" w:sz="0" w:space="0" w:color="auto"/>
            <w:bottom w:val="none" w:sz="0" w:space="0" w:color="auto"/>
            <w:right w:val="none" w:sz="0" w:space="0" w:color="auto"/>
          </w:divBdr>
        </w:div>
        <w:div w:id="1559634218">
          <w:marLeft w:val="0"/>
          <w:marRight w:val="0"/>
          <w:marTop w:val="0"/>
          <w:marBottom w:val="0"/>
          <w:divBdr>
            <w:top w:val="none" w:sz="0" w:space="0" w:color="auto"/>
            <w:left w:val="none" w:sz="0" w:space="0" w:color="auto"/>
            <w:bottom w:val="none" w:sz="0" w:space="0" w:color="auto"/>
            <w:right w:val="none" w:sz="0" w:space="0" w:color="auto"/>
          </w:divBdr>
        </w:div>
        <w:div w:id="1668553603">
          <w:marLeft w:val="0"/>
          <w:marRight w:val="0"/>
          <w:marTop w:val="0"/>
          <w:marBottom w:val="0"/>
          <w:divBdr>
            <w:top w:val="none" w:sz="0" w:space="0" w:color="auto"/>
            <w:left w:val="none" w:sz="0" w:space="0" w:color="auto"/>
            <w:bottom w:val="none" w:sz="0" w:space="0" w:color="auto"/>
            <w:right w:val="none" w:sz="0" w:space="0" w:color="auto"/>
          </w:divBdr>
        </w:div>
        <w:div w:id="1738162554">
          <w:marLeft w:val="0"/>
          <w:marRight w:val="0"/>
          <w:marTop w:val="0"/>
          <w:marBottom w:val="0"/>
          <w:divBdr>
            <w:top w:val="none" w:sz="0" w:space="0" w:color="auto"/>
            <w:left w:val="none" w:sz="0" w:space="0" w:color="auto"/>
            <w:bottom w:val="none" w:sz="0" w:space="0" w:color="auto"/>
            <w:right w:val="none" w:sz="0" w:space="0" w:color="auto"/>
          </w:divBdr>
        </w:div>
        <w:div w:id="1831671608">
          <w:marLeft w:val="0"/>
          <w:marRight w:val="0"/>
          <w:marTop w:val="0"/>
          <w:marBottom w:val="0"/>
          <w:divBdr>
            <w:top w:val="none" w:sz="0" w:space="0" w:color="auto"/>
            <w:left w:val="none" w:sz="0" w:space="0" w:color="auto"/>
            <w:bottom w:val="none" w:sz="0" w:space="0" w:color="auto"/>
            <w:right w:val="none" w:sz="0" w:space="0" w:color="auto"/>
          </w:divBdr>
        </w:div>
        <w:div w:id="1837457548">
          <w:marLeft w:val="0"/>
          <w:marRight w:val="0"/>
          <w:marTop w:val="0"/>
          <w:marBottom w:val="0"/>
          <w:divBdr>
            <w:top w:val="none" w:sz="0" w:space="0" w:color="auto"/>
            <w:left w:val="none" w:sz="0" w:space="0" w:color="auto"/>
            <w:bottom w:val="none" w:sz="0" w:space="0" w:color="auto"/>
            <w:right w:val="none" w:sz="0" w:space="0" w:color="auto"/>
          </w:divBdr>
        </w:div>
        <w:div w:id="1975526411">
          <w:marLeft w:val="0"/>
          <w:marRight w:val="0"/>
          <w:marTop w:val="0"/>
          <w:marBottom w:val="0"/>
          <w:divBdr>
            <w:top w:val="none" w:sz="0" w:space="0" w:color="auto"/>
            <w:left w:val="none" w:sz="0" w:space="0" w:color="auto"/>
            <w:bottom w:val="none" w:sz="0" w:space="0" w:color="auto"/>
            <w:right w:val="none" w:sz="0" w:space="0" w:color="auto"/>
          </w:divBdr>
        </w:div>
        <w:div w:id="2029795311">
          <w:marLeft w:val="0"/>
          <w:marRight w:val="0"/>
          <w:marTop w:val="0"/>
          <w:marBottom w:val="0"/>
          <w:divBdr>
            <w:top w:val="none" w:sz="0" w:space="0" w:color="auto"/>
            <w:left w:val="none" w:sz="0" w:space="0" w:color="auto"/>
            <w:bottom w:val="none" w:sz="0" w:space="0" w:color="auto"/>
            <w:right w:val="none" w:sz="0" w:space="0" w:color="auto"/>
          </w:divBdr>
        </w:div>
        <w:div w:id="2050716951">
          <w:marLeft w:val="0"/>
          <w:marRight w:val="0"/>
          <w:marTop w:val="0"/>
          <w:marBottom w:val="0"/>
          <w:divBdr>
            <w:top w:val="none" w:sz="0" w:space="0" w:color="auto"/>
            <w:left w:val="none" w:sz="0" w:space="0" w:color="auto"/>
            <w:bottom w:val="none" w:sz="0" w:space="0" w:color="auto"/>
            <w:right w:val="none" w:sz="0" w:space="0" w:color="auto"/>
          </w:divBdr>
        </w:div>
        <w:div w:id="2109155589">
          <w:marLeft w:val="0"/>
          <w:marRight w:val="0"/>
          <w:marTop w:val="0"/>
          <w:marBottom w:val="0"/>
          <w:divBdr>
            <w:top w:val="none" w:sz="0" w:space="0" w:color="auto"/>
            <w:left w:val="none" w:sz="0" w:space="0" w:color="auto"/>
            <w:bottom w:val="none" w:sz="0" w:space="0" w:color="auto"/>
            <w:right w:val="none" w:sz="0" w:space="0" w:color="auto"/>
          </w:divBdr>
        </w:div>
        <w:div w:id="2114587985">
          <w:marLeft w:val="0"/>
          <w:marRight w:val="0"/>
          <w:marTop w:val="0"/>
          <w:marBottom w:val="0"/>
          <w:divBdr>
            <w:top w:val="none" w:sz="0" w:space="0" w:color="auto"/>
            <w:left w:val="none" w:sz="0" w:space="0" w:color="auto"/>
            <w:bottom w:val="none" w:sz="0" w:space="0" w:color="auto"/>
            <w:right w:val="none" w:sz="0" w:space="0" w:color="auto"/>
          </w:divBdr>
        </w:div>
      </w:divsChild>
    </w:div>
    <w:div w:id="71591613">
      <w:bodyDiv w:val="1"/>
      <w:marLeft w:val="0"/>
      <w:marRight w:val="0"/>
      <w:marTop w:val="0"/>
      <w:marBottom w:val="0"/>
      <w:divBdr>
        <w:top w:val="none" w:sz="0" w:space="0" w:color="auto"/>
        <w:left w:val="none" w:sz="0" w:space="0" w:color="auto"/>
        <w:bottom w:val="none" w:sz="0" w:space="0" w:color="auto"/>
        <w:right w:val="none" w:sz="0" w:space="0" w:color="auto"/>
      </w:divBdr>
      <w:divsChild>
        <w:div w:id="1995138559">
          <w:marLeft w:val="0"/>
          <w:marRight w:val="0"/>
          <w:marTop w:val="0"/>
          <w:marBottom w:val="0"/>
          <w:divBdr>
            <w:top w:val="none" w:sz="0" w:space="0" w:color="auto"/>
            <w:left w:val="none" w:sz="0" w:space="0" w:color="auto"/>
            <w:bottom w:val="none" w:sz="0" w:space="0" w:color="auto"/>
            <w:right w:val="none" w:sz="0" w:space="0" w:color="auto"/>
          </w:divBdr>
          <w:divsChild>
            <w:div w:id="168448382">
              <w:marLeft w:val="0"/>
              <w:marRight w:val="0"/>
              <w:marTop w:val="0"/>
              <w:marBottom w:val="0"/>
              <w:divBdr>
                <w:top w:val="none" w:sz="0" w:space="0" w:color="auto"/>
                <w:left w:val="none" w:sz="0" w:space="0" w:color="auto"/>
                <w:bottom w:val="none" w:sz="0" w:space="0" w:color="auto"/>
                <w:right w:val="none" w:sz="0" w:space="0" w:color="auto"/>
              </w:divBdr>
              <w:divsChild>
                <w:div w:id="7297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09898">
      <w:bodyDiv w:val="1"/>
      <w:marLeft w:val="0"/>
      <w:marRight w:val="0"/>
      <w:marTop w:val="0"/>
      <w:marBottom w:val="0"/>
      <w:divBdr>
        <w:top w:val="none" w:sz="0" w:space="0" w:color="auto"/>
        <w:left w:val="none" w:sz="0" w:space="0" w:color="auto"/>
        <w:bottom w:val="none" w:sz="0" w:space="0" w:color="auto"/>
        <w:right w:val="none" w:sz="0" w:space="0" w:color="auto"/>
      </w:divBdr>
      <w:divsChild>
        <w:div w:id="1727415544">
          <w:marLeft w:val="0"/>
          <w:marRight w:val="0"/>
          <w:marTop w:val="0"/>
          <w:marBottom w:val="0"/>
          <w:divBdr>
            <w:top w:val="none" w:sz="0" w:space="0" w:color="auto"/>
            <w:left w:val="none" w:sz="0" w:space="0" w:color="auto"/>
            <w:bottom w:val="none" w:sz="0" w:space="0" w:color="auto"/>
            <w:right w:val="none" w:sz="0" w:space="0" w:color="auto"/>
          </w:divBdr>
          <w:divsChild>
            <w:div w:id="396436505">
              <w:marLeft w:val="0"/>
              <w:marRight w:val="0"/>
              <w:marTop w:val="0"/>
              <w:marBottom w:val="0"/>
              <w:divBdr>
                <w:top w:val="none" w:sz="0" w:space="0" w:color="auto"/>
                <w:left w:val="none" w:sz="0" w:space="0" w:color="auto"/>
                <w:bottom w:val="none" w:sz="0" w:space="0" w:color="auto"/>
                <w:right w:val="none" w:sz="0" w:space="0" w:color="auto"/>
              </w:divBdr>
              <w:divsChild>
                <w:div w:id="91678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43877">
      <w:bodyDiv w:val="1"/>
      <w:marLeft w:val="0"/>
      <w:marRight w:val="0"/>
      <w:marTop w:val="0"/>
      <w:marBottom w:val="0"/>
      <w:divBdr>
        <w:top w:val="none" w:sz="0" w:space="0" w:color="auto"/>
        <w:left w:val="none" w:sz="0" w:space="0" w:color="auto"/>
        <w:bottom w:val="none" w:sz="0" w:space="0" w:color="auto"/>
        <w:right w:val="none" w:sz="0" w:space="0" w:color="auto"/>
      </w:divBdr>
      <w:divsChild>
        <w:div w:id="1150172338">
          <w:marLeft w:val="0"/>
          <w:marRight w:val="0"/>
          <w:marTop w:val="0"/>
          <w:marBottom w:val="0"/>
          <w:divBdr>
            <w:top w:val="none" w:sz="0" w:space="0" w:color="auto"/>
            <w:left w:val="none" w:sz="0" w:space="0" w:color="auto"/>
            <w:bottom w:val="none" w:sz="0" w:space="0" w:color="auto"/>
            <w:right w:val="none" w:sz="0" w:space="0" w:color="auto"/>
          </w:divBdr>
          <w:divsChild>
            <w:div w:id="743332025">
              <w:marLeft w:val="0"/>
              <w:marRight w:val="0"/>
              <w:marTop w:val="0"/>
              <w:marBottom w:val="0"/>
              <w:divBdr>
                <w:top w:val="none" w:sz="0" w:space="0" w:color="auto"/>
                <w:left w:val="none" w:sz="0" w:space="0" w:color="auto"/>
                <w:bottom w:val="none" w:sz="0" w:space="0" w:color="auto"/>
                <w:right w:val="none" w:sz="0" w:space="0" w:color="auto"/>
              </w:divBdr>
              <w:divsChild>
                <w:div w:id="146191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243461">
      <w:bodyDiv w:val="1"/>
      <w:marLeft w:val="0"/>
      <w:marRight w:val="0"/>
      <w:marTop w:val="0"/>
      <w:marBottom w:val="0"/>
      <w:divBdr>
        <w:top w:val="none" w:sz="0" w:space="0" w:color="auto"/>
        <w:left w:val="none" w:sz="0" w:space="0" w:color="auto"/>
        <w:bottom w:val="none" w:sz="0" w:space="0" w:color="auto"/>
        <w:right w:val="none" w:sz="0" w:space="0" w:color="auto"/>
      </w:divBdr>
      <w:divsChild>
        <w:div w:id="119538487">
          <w:marLeft w:val="0"/>
          <w:marRight w:val="0"/>
          <w:marTop w:val="0"/>
          <w:marBottom w:val="0"/>
          <w:divBdr>
            <w:top w:val="none" w:sz="0" w:space="0" w:color="auto"/>
            <w:left w:val="none" w:sz="0" w:space="0" w:color="auto"/>
            <w:bottom w:val="none" w:sz="0" w:space="0" w:color="auto"/>
            <w:right w:val="none" w:sz="0" w:space="0" w:color="auto"/>
          </w:divBdr>
        </w:div>
        <w:div w:id="170490579">
          <w:marLeft w:val="0"/>
          <w:marRight w:val="0"/>
          <w:marTop w:val="0"/>
          <w:marBottom w:val="0"/>
          <w:divBdr>
            <w:top w:val="none" w:sz="0" w:space="0" w:color="auto"/>
            <w:left w:val="none" w:sz="0" w:space="0" w:color="auto"/>
            <w:bottom w:val="none" w:sz="0" w:space="0" w:color="auto"/>
            <w:right w:val="none" w:sz="0" w:space="0" w:color="auto"/>
          </w:divBdr>
        </w:div>
        <w:div w:id="319894192">
          <w:marLeft w:val="0"/>
          <w:marRight w:val="0"/>
          <w:marTop w:val="0"/>
          <w:marBottom w:val="0"/>
          <w:divBdr>
            <w:top w:val="none" w:sz="0" w:space="0" w:color="auto"/>
            <w:left w:val="none" w:sz="0" w:space="0" w:color="auto"/>
            <w:bottom w:val="none" w:sz="0" w:space="0" w:color="auto"/>
            <w:right w:val="none" w:sz="0" w:space="0" w:color="auto"/>
          </w:divBdr>
        </w:div>
        <w:div w:id="551039265">
          <w:marLeft w:val="0"/>
          <w:marRight w:val="0"/>
          <w:marTop w:val="0"/>
          <w:marBottom w:val="0"/>
          <w:divBdr>
            <w:top w:val="none" w:sz="0" w:space="0" w:color="auto"/>
            <w:left w:val="none" w:sz="0" w:space="0" w:color="auto"/>
            <w:bottom w:val="none" w:sz="0" w:space="0" w:color="auto"/>
            <w:right w:val="none" w:sz="0" w:space="0" w:color="auto"/>
          </w:divBdr>
        </w:div>
        <w:div w:id="651448503">
          <w:marLeft w:val="0"/>
          <w:marRight w:val="0"/>
          <w:marTop w:val="0"/>
          <w:marBottom w:val="0"/>
          <w:divBdr>
            <w:top w:val="none" w:sz="0" w:space="0" w:color="auto"/>
            <w:left w:val="none" w:sz="0" w:space="0" w:color="auto"/>
            <w:bottom w:val="none" w:sz="0" w:space="0" w:color="auto"/>
            <w:right w:val="none" w:sz="0" w:space="0" w:color="auto"/>
          </w:divBdr>
        </w:div>
        <w:div w:id="799883500">
          <w:marLeft w:val="0"/>
          <w:marRight w:val="0"/>
          <w:marTop w:val="0"/>
          <w:marBottom w:val="0"/>
          <w:divBdr>
            <w:top w:val="none" w:sz="0" w:space="0" w:color="auto"/>
            <w:left w:val="none" w:sz="0" w:space="0" w:color="auto"/>
            <w:bottom w:val="none" w:sz="0" w:space="0" w:color="auto"/>
            <w:right w:val="none" w:sz="0" w:space="0" w:color="auto"/>
          </w:divBdr>
        </w:div>
        <w:div w:id="878205997">
          <w:marLeft w:val="0"/>
          <w:marRight w:val="0"/>
          <w:marTop w:val="0"/>
          <w:marBottom w:val="0"/>
          <w:divBdr>
            <w:top w:val="none" w:sz="0" w:space="0" w:color="auto"/>
            <w:left w:val="none" w:sz="0" w:space="0" w:color="auto"/>
            <w:bottom w:val="none" w:sz="0" w:space="0" w:color="auto"/>
            <w:right w:val="none" w:sz="0" w:space="0" w:color="auto"/>
          </w:divBdr>
        </w:div>
        <w:div w:id="905336649">
          <w:marLeft w:val="0"/>
          <w:marRight w:val="0"/>
          <w:marTop w:val="0"/>
          <w:marBottom w:val="0"/>
          <w:divBdr>
            <w:top w:val="none" w:sz="0" w:space="0" w:color="auto"/>
            <w:left w:val="none" w:sz="0" w:space="0" w:color="auto"/>
            <w:bottom w:val="none" w:sz="0" w:space="0" w:color="auto"/>
            <w:right w:val="none" w:sz="0" w:space="0" w:color="auto"/>
          </w:divBdr>
        </w:div>
        <w:div w:id="911238125">
          <w:marLeft w:val="0"/>
          <w:marRight w:val="0"/>
          <w:marTop w:val="0"/>
          <w:marBottom w:val="0"/>
          <w:divBdr>
            <w:top w:val="none" w:sz="0" w:space="0" w:color="auto"/>
            <w:left w:val="none" w:sz="0" w:space="0" w:color="auto"/>
            <w:bottom w:val="none" w:sz="0" w:space="0" w:color="auto"/>
            <w:right w:val="none" w:sz="0" w:space="0" w:color="auto"/>
          </w:divBdr>
        </w:div>
        <w:div w:id="1047727495">
          <w:marLeft w:val="0"/>
          <w:marRight w:val="0"/>
          <w:marTop w:val="0"/>
          <w:marBottom w:val="0"/>
          <w:divBdr>
            <w:top w:val="none" w:sz="0" w:space="0" w:color="auto"/>
            <w:left w:val="none" w:sz="0" w:space="0" w:color="auto"/>
            <w:bottom w:val="none" w:sz="0" w:space="0" w:color="auto"/>
            <w:right w:val="none" w:sz="0" w:space="0" w:color="auto"/>
          </w:divBdr>
        </w:div>
        <w:div w:id="1060515149">
          <w:marLeft w:val="0"/>
          <w:marRight w:val="0"/>
          <w:marTop w:val="0"/>
          <w:marBottom w:val="0"/>
          <w:divBdr>
            <w:top w:val="none" w:sz="0" w:space="0" w:color="auto"/>
            <w:left w:val="none" w:sz="0" w:space="0" w:color="auto"/>
            <w:bottom w:val="none" w:sz="0" w:space="0" w:color="auto"/>
            <w:right w:val="none" w:sz="0" w:space="0" w:color="auto"/>
          </w:divBdr>
        </w:div>
        <w:div w:id="1126243515">
          <w:marLeft w:val="0"/>
          <w:marRight w:val="0"/>
          <w:marTop w:val="0"/>
          <w:marBottom w:val="0"/>
          <w:divBdr>
            <w:top w:val="none" w:sz="0" w:space="0" w:color="auto"/>
            <w:left w:val="none" w:sz="0" w:space="0" w:color="auto"/>
            <w:bottom w:val="none" w:sz="0" w:space="0" w:color="auto"/>
            <w:right w:val="none" w:sz="0" w:space="0" w:color="auto"/>
          </w:divBdr>
        </w:div>
        <w:div w:id="1295021194">
          <w:marLeft w:val="0"/>
          <w:marRight w:val="0"/>
          <w:marTop w:val="0"/>
          <w:marBottom w:val="0"/>
          <w:divBdr>
            <w:top w:val="none" w:sz="0" w:space="0" w:color="auto"/>
            <w:left w:val="none" w:sz="0" w:space="0" w:color="auto"/>
            <w:bottom w:val="none" w:sz="0" w:space="0" w:color="auto"/>
            <w:right w:val="none" w:sz="0" w:space="0" w:color="auto"/>
          </w:divBdr>
        </w:div>
        <w:div w:id="1389919080">
          <w:marLeft w:val="0"/>
          <w:marRight w:val="0"/>
          <w:marTop w:val="0"/>
          <w:marBottom w:val="0"/>
          <w:divBdr>
            <w:top w:val="none" w:sz="0" w:space="0" w:color="auto"/>
            <w:left w:val="none" w:sz="0" w:space="0" w:color="auto"/>
            <w:bottom w:val="none" w:sz="0" w:space="0" w:color="auto"/>
            <w:right w:val="none" w:sz="0" w:space="0" w:color="auto"/>
          </w:divBdr>
        </w:div>
        <w:div w:id="1450128279">
          <w:marLeft w:val="0"/>
          <w:marRight w:val="0"/>
          <w:marTop w:val="0"/>
          <w:marBottom w:val="0"/>
          <w:divBdr>
            <w:top w:val="none" w:sz="0" w:space="0" w:color="auto"/>
            <w:left w:val="none" w:sz="0" w:space="0" w:color="auto"/>
            <w:bottom w:val="none" w:sz="0" w:space="0" w:color="auto"/>
            <w:right w:val="none" w:sz="0" w:space="0" w:color="auto"/>
          </w:divBdr>
        </w:div>
        <w:div w:id="1717045806">
          <w:marLeft w:val="0"/>
          <w:marRight w:val="0"/>
          <w:marTop w:val="0"/>
          <w:marBottom w:val="0"/>
          <w:divBdr>
            <w:top w:val="none" w:sz="0" w:space="0" w:color="auto"/>
            <w:left w:val="none" w:sz="0" w:space="0" w:color="auto"/>
            <w:bottom w:val="none" w:sz="0" w:space="0" w:color="auto"/>
            <w:right w:val="none" w:sz="0" w:space="0" w:color="auto"/>
          </w:divBdr>
        </w:div>
        <w:div w:id="2000578289">
          <w:marLeft w:val="0"/>
          <w:marRight w:val="0"/>
          <w:marTop w:val="0"/>
          <w:marBottom w:val="0"/>
          <w:divBdr>
            <w:top w:val="none" w:sz="0" w:space="0" w:color="auto"/>
            <w:left w:val="none" w:sz="0" w:space="0" w:color="auto"/>
            <w:bottom w:val="none" w:sz="0" w:space="0" w:color="auto"/>
            <w:right w:val="none" w:sz="0" w:space="0" w:color="auto"/>
          </w:divBdr>
        </w:div>
      </w:divsChild>
    </w:div>
    <w:div w:id="506290354">
      <w:bodyDiv w:val="1"/>
      <w:marLeft w:val="0"/>
      <w:marRight w:val="0"/>
      <w:marTop w:val="0"/>
      <w:marBottom w:val="0"/>
      <w:divBdr>
        <w:top w:val="none" w:sz="0" w:space="0" w:color="auto"/>
        <w:left w:val="none" w:sz="0" w:space="0" w:color="auto"/>
        <w:bottom w:val="none" w:sz="0" w:space="0" w:color="auto"/>
        <w:right w:val="none" w:sz="0" w:space="0" w:color="auto"/>
      </w:divBdr>
      <w:divsChild>
        <w:div w:id="250086863">
          <w:marLeft w:val="0"/>
          <w:marRight w:val="0"/>
          <w:marTop w:val="0"/>
          <w:marBottom w:val="0"/>
          <w:divBdr>
            <w:top w:val="none" w:sz="0" w:space="0" w:color="auto"/>
            <w:left w:val="none" w:sz="0" w:space="0" w:color="auto"/>
            <w:bottom w:val="none" w:sz="0" w:space="0" w:color="auto"/>
            <w:right w:val="none" w:sz="0" w:space="0" w:color="auto"/>
          </w:divBdr>
        </w:div>
        <w:div w:id="264387683">
          <w:marLeft w:val="0"/>
          <w:marRight w:val="0"/>
          <w:marTop w:val="0"/>
          <w:marBottom w:val="0"/>
          <w:divBdr>
            <w:top w:val="none" w:sz="0" w:space="0" w:color="auto"/>
            <w:left w:val="none" w:sz="0" w:space="0" w:color="auto"/>
            <w:bottom w:val="none" w:sz="0" w:space="0" w:color="auto"/>
            <w:right w:val="none" w:sz="0" w:space="0" w:color="auto"/>
          </w:divBdr>
        </w:div>
        <w:div w:id="287660858">
          <w:marLeft w:val="0"/>
          <w:marRight w:val="0"/>
          <w:marTop w:val="0"/>
          <w:marBottom w:val="0"/>
          <w:divBdr>
            <w:top w:val="none" w:sz="0" w:space="0" w:color="auto"/>
            <w:left w:val="none" w:sz="0" w:space="0" w:color="auto"/>
            <w:bottom w:val="none" w:sz="0" w:space="0" w:color="auto"/>
            <w:right w:val="none" w:sz="0" w:space="0" w:color="auto"/>
          </w:divBdr>
        </w:div>
        <w:div w:id="523330638">
          <w:marLeft w:val="0"/>
          <w:marRight w:val="0"/>
          <w:marTop w:val="0"/>
          <w:marBottom w:val="0"/>
          <w:divBdr>
            <w:top w:val="none" w:sz="0" w:space="0" w:color="auto"/>
            <w:left w:val="none" w:sz="0" w:space="0" w:color="auto"/>
            <w:bottom w:val="none" w:sz="0" w:space="0" w:color="auto"/>
            <w:right w:val="none" w:sz="0" w:space="0" w:color="auto"/>
          </w:divBdr>
        </w:div>
        <w:div w:id="660043253">
          <w:marLeft w:val="0"/>
          <w:marRight w:val="0"/>
          <w:marTop w:val="0"/>
          <w:marBottom w:val="0"/>
          <w:divBdr>
            <w:top w:val="none" w:sz="0" w:space="0" w:color="auto"/>
            <w:left w:val="none" w:sz="0" w:space="0" w:color="auto"/>
            <w:bottom w:val="none" w:sz="0" w:space="0" w:color="auto"/>
            <w:right w:val="none" w:sz="0" w:space="0" w:color="auto"/>
          </w:divBdr>
        </w:div>
        <w:div w:id="699360132">
          <w:marLeft w:val="0"/>
          <w:marRight w:val="0"/>
          <w:marTop w:val="0"/>
          <w:marBottom w:val="0"/>
          <w:divBdr>
            <w:top w:val="none" w:sz="0" w:space="0" w:color="auto"/>
            <w:left w:val="none" w:sz="0" w:space="0" w:color="auto"/>
            <w:bottom w:val="none" w:sz="0" w:space="0" w:color="auto"/>
            <w:right w:val="none" w:sz="0" w:space="0" w:color="auto"/>
          </w:divBdr>
        </w:div>
        <w:div w:id="743794081">
          <w:marLeft w:val="0"/>
          <w:marRight w:val="0"/>
          <w:marTop w:val="0"/>
          <w:marBottom w:val="0"/>
          <w:divBdr>
            <w:top w:val="none" w:sz="0" w:space="0" w:color="auto"/>
            <w:left w:val="none" w:sz="0" w:space="0" w:color="auto"/>
            <w:bottom w:val="none" w:sz="0" w:space="0" w:color="auto"/>
            <w:right w:val="none" w:sz="0" w:space="0" w:color="auto"/>
          </w:divBdr>
        </w:div>
        <w:div w:id="832141293">
          <w:marLeft w:val="0"/>
          <w:marRight w:val="0"/>
          <w:marTop w:val="0"/>
          <w:marBottom w:val="0"/>
          <w:divBdr>
            <w:top w:val="none" w:sz="0" w:space="0" w:color="auto"/>
            <w:left w:val="none" w:sz="0" w:space="0" w:color="auto"/>
            <w:bottom w:val="none" w:sz="0" w:space="0" w:color="auto"/>
            <w:right w:val="none" w:sz="0" w:space="0" w:color="auto"/>
          </w:divBdr>
        </w:div>
        <w:div w:id="855003905">
          <w:marLeft w:val="0"/>
          <w:marRight w:val="0"/>
          <w:marTop w:val="0"/>
          <w:marBottom w:val="0"/>
          <w:divBdr>
            <w:top w:val="none" w:sz="0" w:space="0" w:color="auto"/>
            <w:left w:val="none" w:sz="0" w:space="0" w:color="auto"/>
            <w:bottom w:val="none" w:sz="0" w:space="0" w:color="auto"/>
            <w:right w:val="none" w:sz="0" w:space="0" w:color="auto"/>
          </w:divBdr>
        </w:div>
        <w:div w:id="1044673411">
          <w:marLeft w:val="0"/>
          <w:marRight w:val="0"/>
          <w:marTop w:val="0"/>
          <w:marBottom w:val="0"/>
          <w:divBdr>
            <w:top w:val="none" w:sz="0" w:space="0" w:color="auto"/>
            <w:left w:val="none" w:sz="0" w:space="0" w:color="auto"/>
            <w:bottom w:val="none" w:sz="0" w:space="0" w:color="auto"/>
            <w:right w:val="none" w:sz="0" w:space="0" w:color="auto"/>
          </w:divBdr>
        </w:div>
        <w:div w:id="1067219654">
          <w:marLeft w:val="0"/>
          <w:marRight w:val="0"/>
          <w:marTop w:val="0"/>
          <w:marBottom w:val="0"/>
          <w:divBdr>
            <w:top w:val="none" w:sz="0" w:space="0" w:color="auto"/>
            <w:left w:val="none" w:sz="0" w:space="0" w:color="auto"/>
            <w:bottom w:val="none" w:sz="0" w:space="0" w:color="auto"/>
            <w:right w:val="none" w:sz="0" w:space="0" w:color="auto"/>
          </w:divBdr>
        </w:div>
        <w:div w:id="1087312753">
          <w:marLeft w:val="0"/>
          <w:marRight w:val="0"/>
          <w:marTop w:val="0"/>
          <w:marBottom w:val="0"/>
          <w:divBdr>
            <w:top w:val="none" w:sz="0" w:space="0" w:color="auto"/>
            <w:left w:val="none" w:sz="0" w:space="0" w:color="auto"/>
            <w:bottom w:val="none" w:sz="0" w:space="0" w:color="auto"/>
            <w:right w:val="none" w:sz="0" w:space="0" w:color="auto"/>
          </w:divBdr>
        </w:div>
        <w:div w:id="1095057817">
          <w:marLeft w:val="0"/>
          <w:marRight w:val="0"/>
          <w:marTop w:val="0"/>
          <w:marBottom w:val="0"/>
          <w:divBdr>
            <w:top w:val="none" w:sz="0" w:space="0" w:color="auto"/>
            <w:left w:val="none" w:sz="0" w:space="0" w:color="auto"/>
            <w:bottom w:val="none" w:sz="0" w:space="0" w:color="auto"/>
            <w:right w:val="none" w:sz="0" w:space="0" w:color="auto"/>
          </w:divBdr>
        </w:div>
        <w:div w:id="1115058615">
          <w:marLeft w:val="0"/>
          <w:marRight w:val="0"/>
          <w:marTop w:val="0"/>
          <w:marBottom w:val="0"/>
          <w:divBdr>
            <w:top w:val="none" w:sz="0" w:space="0" w:color="auto"/>
            <w:left w:val="none" w:sz="0" w:space="0" w:color="auto"/>
            <w:bottom w:val="none" w:sz="0" w:space="0" w:color="auto"/>
            <w:right w:val="none" w:sz="0" w:space="0" w:color="auto"/>
          </w:divBdr>
        </w:div>
        <w:div w:id="1232694184">
          <w:marLeft w:val="0"/>
          <w:marRight w:val="0"/>
          <w:marTop w:val="0"/>
          <w:marBottom w:val="0"/>
          <w:divBdr>
            <w:top w:val="none" w:sz="0" w:space="0" w:color="auto"/>
            <w:left w:val="none" w:sz="0" w:space="0" w:color="auto"/>
            <w:bottom w:val="none" w:sz="0" w:space="0" w:color="auto"/>
            <w:right w:val="none" w:sz="0" w:space="0" w:color="auto"/>
          </w:divBdr>
        </w:div>
        <w:div w:id="1326544588">
          <w:marLeft w:val="0"/>
          <w:marRight w:val="0"/>
          <w:marTop w:val="0"/>
          <w:marBottom w:val="0"/>
          <w:divBdr>
            <w:top w:val="none" w:sz="0" w:space="0" w:color="auto"/>
            <w:left w:val="none" w:sz="0" w:space="0" w:color="auto"/>
            <w:bottom w:val="none" w:sz="0" w:space="0" w:color="auto"/>
            <w:right w:val="none" w:sz="0" w:space="0" w:color="auto"/>
          </w:divBdr>
        </w:div>
        <w:div w:id="1346788351">
          <w:marLeft w:val="0"/>
          <w:marRight w:val="0"/>
          <w:marTop w:val="0"/>
          <w:marBottom w:val="0"/>
          <w:divBdr>
            <w:top w:val="none" w:sz="0" w:space="0" w:color="auto"/>
            <w:left w:val="none" w:sz="0" w:space="0" w:color="auto"/>
            <w:bottom w:val="none" w:sz="0" w:space="0" w:color="auto"/>
            <w:right w:val="none" w:sz="0" w:space="0" w:color="auto"/>
          </w:divBdr>
        </w:div>
        <w:div w:id="1405563430">
          <w:marLeft w:val="0"/>
          <w:marRight w:val="0"/>
          <w:marTop w:val="0"/>
          <w:marBottom w:val="0"/>
          <w:divBdr>
            <w:top w:val="none" w:sz="0" w:space="0" w:color="auto"/>
            <w:left w:val="none" w:sz="0" w:space="0" w:color="auto"/>
            <w:bottom w:val="none" w:sz="0" w:space="0" w:color="auto"/>
            <w:right w:val="none" w:sz="0" w:space="0" w:color="auto"/>
          </w:divBdr>
        </w:div>
        <w:div w:id="1472022011">
          <w:marLeft w:val="0"/>
          <w:marRight w:val="0"/>
          <w:marTop w:val="0"/>
          <w:marBottom w:val="0"/>
          <w:divBdr>
            <w:top w:val="none" w:sz="0" w:space="0" w:color="auto"/>
            <w:left w:val="none" w:sz="0" w:space="0" w:color="auto"/>
            <w:bottom w:val="none" w:sz="0" w:space="0" w:color="auto"/>
            <w:right w:val="none" w:sz="0" w:space="0" w:color="auto"/>
          </w:divBdr>
        </w:div>
        <w:div w:id="1521698240">
          <w:marLeft w:val="0"/>
          <w:marRight w:val="0"/>
          <w:marTop w:val="0"/>
          <w:marBottom w:val="0"/>
          <w:divBdr>
            <w:top w:val="none" w:sz="0" w:space="0" w:color="auto"/>
            <w:left w:val="none" w:sz="0" w:space="0" w:color="auto"/>
            <w:bottom w:val="none" w:sz="0" w:space="0" w:color="auto"/>
            <w:right w:val="none" w:sz="0" w:space="0" w:color="auto"/>
          </w:divBdr>
        </w:div>
        <w:div w:id="1525097080">
          <w:marLeft w:val="0"/>
          <w:marRight w:val="0"/>
          <w:marTop w:val="0"/>
          <w:marBottom w:val="0"/>
          <w:divBdr>
            <w:top w:val="none" w:sz="0" w:space="0" w:color="auto"/>
            <w:left w:val="none" w:sz="0" w:space="0" w:color="auto"/>
            <w:bottom w:val="none" w:sz="0" w:space="0" w:color="auto"/>
            <w:right w:val="none" w:sz="0" w:space="0" w:color="auto"/>
          </w:divBdr>
        </w:div>
        <w:div w:id="1567302161">
          <w:marLeft w:val="0"/>
          <w:marRight w:val="0"/>
          <w:marTop w:val="0"/>
          <w:marBottom w:val="0"/>
          <w:divBdr>
            <w:top w:val="none" w:sz="0" w:space="0" w:color="auto"/>
            <w:left w:val="none" w:sz="0" w:space="0" w:color="auto"/>
            <w:bottom w:val="none" w:sz="0" w:space="0" w:color="auto"/>
            <w:right w:val="none" w:sz="0" w:space="0" w:color="auto"/>
          </w:divBdr>
        </w:div>
        <w:div w:id="1599824219">
          <w:marLeft w:val="0"/>
          <w:marRight w:val="0"/>
          <w:marTop w:val="0"/>
          <w:marBottom w:val="0"/>
          <w:divBdr>
            <w:top w:val="none" w:sz="0" w:space="0" w:color="auto"/>
            <w:left w:val="none" w:sz="0" w:space="0" w:color="auto"/>
            <w:bottom w:val="none" w:sz="0" w:space="0" w:color="auto"/>
            <w:right w:val="none" w:sz="0" w:space="0" w:color="auto"/>
          </w:divBdr>
        </w:div>
        <w:div w:id="1620263051">
          <w:marLeft w:val="0"/>
          <w:marRight w:val="0"/>
          <w:marTop w:val="0"/>
          <w:marBottom w:val="0"/>
          <w:divBdr>
            <w:top w:val="none" w:sz="0" w:space="0" w:color="auto"/>
            <w:left w:val="none" w:sz="0" w:space="0" w:color="auto"/>
            <w:bottom w:val="none" w:sz="0" w:space="0" w:color="auto"/>
            <w:right w:val="none" w:sz="0" w:space="0" w:color="auto"/>
          </w:divBdr>
        </w:div>
        <w:div w:id="1755783485">
          <w:marLeft w:val="0"/>
          <w:marRight w:val="0"/>
          <w:marTop w:val="0"/>
          <w:marBottom w:val="0"/>
          <w:divBdr>
            <w:top w:val="none" w:sz="0" w:space="0" w:color="auto"/>
            <w:left w:val="none" w:sz="0" w:space="0" w:color="auto"/>
            <w:bottom w:val="none" w:sz="0" w:space="0" w:color="auto"/>
            <w:right w:val="none" w:sz="0" w:space="0" w:color="auto"/>
          </w:divBdr>
        </w:div>
        <w:div w:id="1851141837">
          <w:marLeft w:val="0"/>
          <w:marRight w:val="0"/>
          <w:marTop w:val="0"/>
          <w:marBottom w:val="0"/>
          <w:divBdr>
            <w:top w:val="none" w:sz="0" w:space="0" w:color="auto"/>
            <w:left w:val="none" w:sz="0" w:space="0" w:color="auto"/>
            <w:bottom w:val="none" w:sz="0" w:space="0" w:color="auto"/>
            <w:right w:val="none" w:sz="0" w:space="0" w:color="auto"/>
          </w:divBdr>
        </w:div>
        <w:div w:id="1857697205">
          <w:marLeft w:val="0"/>
          <w:marRight w:val="0"/>
          <w:marTop w:val="0"/>
          <w:marBottom w:val="0"/>
          <w:divBdr>
            <w:top w:val="none" w:sz="0" w:space="0" w:color="auto"/>
            <w:left w:val="none" w:sz="0" w:space="0" w:color="auto"/>
            <w:bottom w:val="none" w:sz="0" w:space="0" w:color="auto"/>
            <w:right w:val="none" w:sz="0" w:space="0" w:color="auto"/>
          </w:divBdr>
        </w:div>
        <w:div w:id="1864905766">
          <w:marLeft w:val="0"/>
          <w:marRight w:val="0"/>
          <w:marTop w:val="0"/>
          <w:marBottom w:val="0"/>
          <w:divBdr>
            <w:top w:val="none" w:sz="0" w:space="0" w:color="auto"/>
            <w:left w:val="none" w:sz="0" w:space="0" w:color="auto"/>
            <w:bottom w:val="none" w:sz="0" w:space="0" w:color="auto"/>
            <w:right w:val="none" w:sz="0" w:space="0" w:color="auto"/>
          </w:divBdr>
        </w:div>
        <w:div w:id="1872107358">
          <w:marLeft w:val="0"/>
          <w:marRight w:val="0"/>
          <w:marTop w:val="0"/>
          <w:marBottom w:val="0"/>
          <w:divBdr>
            <w:top w:val="none" w:sz="0" w:space="0" w:color="auto"/>
            <w:left w:val="none" w:sz="0" w:space="0" w:color="auto"/>
            <w:bottom w:val="none" w:sz="0" w:space="0" w:color="auto"/>
            <w:right w:val="none" w:sz="0" w:space="0" w:color="auto"/>
          </w:divBdr>
        </w:div>
        <w:div w:id="1923179559">
          <w:marLeft w:val="0"/>
          <w:marRight w:val="0"/>
          <w:marTop w:val="0"/>
          <w:marBottom w:val="0"/>
          <w:divBdr>
            <w:top w:val="none" w:sz="0" w:space="0" w:color="auto"/>
            <w:left w:val="none" w:sz="0" w:space="0" w:color="auto"/>
            <w:bottom w:val="none" w:sz="0" w:space="0" w:color="auto"/>
            <w:right w:val="none" w:sz="0" w:space="0" w:color="auto"/>
          </w:divBdr>
        </w:div>
        <w:div w:id="1933197199">
          <w:marLeft w:val="0"/>
          <w:marRight w:val="0"/>
          <w:marTop w:val="0"/>
          <w:marBottom w:val="0"/>
          <w:divBdr>
            <w:top w:val="none" w:sz="0" w:space="0" w:color="auto"/>
            <w:left w:val="none" w:sz="0" w:space="0" w:color="auto"/>
            <w:bottom w:val="none" w:sz="0" w:space="0" w:color="auto"/>
            <w:right w:val="none" w:sz="0" w:space="0" w:color="auto"/>
          </w:divBdr>
        </w:div>
        <w:div w:id="1938556027">
          <w:marLeft w:val="0"/>
          <w:marRight w:val="0"/>
          <w:marTop w:val="0"/>
          <w:marBottom w:val="0"/>
          <w:divBdr>
            <w:top w:val="none" w:sz="0" w:space="0" w:color="auto"/>
            <w:left w:val="none" w:sz="0" w:space="0" w:color="auto"/>
            <w:bottom w:val="none" w:sz="0" w:space="0" w:color="auto"/>
            <w:right w:val="none" w:sz="0" w:space="0" w:color="auto"/>
          </w:divBdr>
        </w:div>
        <w:div w:id="1971281976">
          <w:marLeft w:val="0"/>
          <w:marRight w:val="0"/>
          <w:marTop w:val="0"/>
          <w:marBottom w:val="0"/>
          <w:divBdr>
            <w:top w:val="none" w:sz="0" w:space="0" w:color="auto"/>
            <w:left w:val="none" w:sz="0" w:space="0" w:color="auto"/>
            <w:bottom w:val="none" w:sz="0" w:space="0" w:color="auto"/>
            <w:right w:val="none" w:sz="0" w:space="0" w:color="auto"/>
          </w:divBdr>
        </w:div>
        <w:div w:id="1985349346">
          <w:marLeft w:val="0"/>
          <w:marRight w:val="0"/>
          <w:marTop w:val="0"/>
          <w:marBottom w:val="0"/>
          <w:divBdr>
            <w:top w:val="none" w:sz="0" w:space="0" w:color="auto"/>
            <w:left w:val="none" w:sz="0" w:space="0" w:color="auto"/>
            <w:bottom w:val="none" w:sz="0" w:space="0" w:color="auto"/>
            <w:right w:val="none" w:sz="0" w:space="0" w:color="auto"/>
          </w:divBdr>
        </w:div>
        <w:div w:id="2082831454">
          <w:marLeft w:val="0"/>
          <w:marRight w:val="0"/>
          <w:marTop w:val="0"/>
          <w:marBottom w:val="0"/>
          <w:divBdr>
            <w:top w:val="none" w:sz="0" w:space="0" w:color="auto"/>
            <w:left w:val="none" w:sz="0" w:space="0" w:color="auto"/>
            <w:bottom w:val="none" w:sz="0" w:space="0" w:color="auto"/>
            <w:right w:val="none" w:sz="0" w:space="0" w:color="auto"/>
          </w:divBdr>
        </w:div>
        <w:div w:id="2142728223">
          <w:marLeft w:val="0"/>
          <w:marRight w:val="0"/>
          <w:marTop w:val="0"/>
          <w:marBottom w:val="0"/>
          <w:divBdr>
            <w:top w:val="none" w:sz="0" w:space="0" w:color="auto"/>
            <w:left w:val="none" w:sz="0" w:space="0" w:color="auto"/>
            <w:bottom w:val="none" w:sz="0" w:space="0" w:color="auto"/>
            <w:right w:val="none" w:sz="0" w:space="0" w:color="auto"/>
          </w:divBdr>
        </w:div>
        <w:div w:id="2147308079">
          <w:marLeft w:val="0"/>
          <w:marRight w:val="0"/>
          <w:marTop w:val="0"/>
          <w:marBottom w:val="0"/>
          <w:divBdr>
            <w:top w:val="none" w:sz="0" w:space="0" w:color="auto"/>
            <w:left w:val="none" w:sz="0" w:space="0" w:color="auto"/>
            <w:bottom w:val="none" w:sz="0" w:space="0" w:color="auto"/>
            <w:right w:val="none" w:sz="0" w:space="0" w:color="auto"/>
          </w:divBdr>
        </w:div>
      </w:divsChild>
    </w:div>
    <w:div w:id="596409678">
      <w:bodyDiv w:val="1"/>
      <w:marLeft w:val="0"/>
      <w:marRight w:val="0"/>
      <w:marTop w:val="0"/>
      <w:marBottom w:val="0"/>
      <w:divBdr>
        <w:top w:val="none" w:sz="0" w:space="0" w:color="auto"/>
        <w:left w:val="none" w:sz="0" w:space="0" w:color="auto"/>
        <w:bottom w:val="none" w:sz="0" w:space="0" w:color="auto"/>
        <w:right w:val="none" w:sz="0" w:space="0" w:color="auto"/>
      </w:divBdr>
      <w:divsChild>
        <w:div w:id="497043138">
          <w:marLeft w:val="0"/>
          <w:marRight w:val="0"/>
          <w:marTop w:val="0"/>
          <w:marBottom w:val="0"/>
          <w:divBdr>
            <w:top w:val="none" w:sz="0" w:space="0" w:color="auto"/>
            <w:left w:val="none" w:sz="0" w:space="0" w:color="auto"/>
            <w:bottom w:val="none" w:sz="0" w:space="0" w:color="auto"/>
            <w:right w:val="none" w:sz="0" w:space="0" w:color="auto"/>
          </w:divBdr>
          <w:divsChild>
            <w:div w:id="1037048948">
              <w:marLeft w:val="0"/>
              <w:marRight w:val="0"/>
              <w:marTop w:val="0"/>
              <w:marBottom w:val="0"/>
              <w:divBdr>
                <w:top w:val="none" w:sz="0" w:space="0" w:color="auto"/>
                <w:left w:val="none" w:sz="0" w:space="0" w:color="auto"/>
                <w:bottom w:val="none" w:sz="0" w:space="0" w:color="auto"/>
                <w:right w:val="none" w:sz="0" w:space="0" w:color="auto"/>
              </w:divBdr>
              <w:divsChild>
                <w:div w:id="197748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804756">
      <w:bodyDiv w:val="1"/>
      <w:marLeft w:val="0"/>
      <w:marRight w:val="0"/>
      <w:marTop w:val="0"/>
      <w:marBottom w:val="0"/>
      <w:divBdr>
        <w:top w:val="none" w:sz="0" w:space="0" w:color="auto"/>
        <w:left w:val="none" w:sz="0" w:space="0" w:color="auto"/>
        <w:bottom w:val="none" w:sz="0" w:space="0" w:color="auto"/>
        <w:right w:val="none" w:sz="0" w:space="0" w:color="auto"/>
      </w:divBdr>
    </w:div>
    <w:div w:id="775636066">
      <w:bodyDiv w:val="1"/>
      <w:marLeft w:val="0"/>
      <w:marRight w:val="0"/>
      <w:marTop w:val="0"/>
      <w:marBottom w:val="0"/>
      <w:divBdr>
        <w:top w:val="none" w:sz="0" w:space="0" w:color="auto"/>
        <w:left w:val="none" w:sz="0" w:space="0" w:color="auto"/>
        <w:bottom w:val="none" w:sz="0" w:space="0" w:color="auto"/>
        <w:right w:val="none" w:sz="0" w:space="0" w:color="auto"/>
      </w:divBdr>
      <w:divsChild>
        <w:div w:id="95634276">
          <w:marLeft w:val="0"/>
          <w:marRight w:val="0"/>
          <w:marTop w:val="0"/>
          <w:marBottom w:val="0"/>
          <w:divBdr>
            <w:top w:val="none" w:sz="0" w:space="0" w:color="auto"/>
            <w:left w:val="none" w:sz="0" w:space="0" w:color="auto"/>
            <w:bottom w:val="none" w:sz="0" w:space="0" w:color="auto"/>
            <w:right w:val="none" w:sz="0" w:space="0" w:color="auto"/>
          </w:divBdr>
        </w:div>
        <w:div w:id="123893743">
          <w:marLeft w:val="0"/>
          <w:marRight w:val="0"/>
          <w:marTop w:val="0"/>
          <w:marBottom w:val="0"/>
          <w:divBdr>
            <w:top w:val="none" w:sz="0" w:space="0" w:color="auto"/>
            <w:left w:val="none" w:sz="0" w:space="0" w:color="auto"/>
            <w:bottom w:val="none" w:sz="0" w:space="0" w:color="auto"/>
            <w:right w:val="none" w:sz="0" w:space="0" w:color="auto"/>
          </w:divBdr>
        </w:div>
        <w:div w:id="159391911">
          <w:marLeft w:val="0"/>
          <w:marRight w:val="0"/>
          <w:marTop w:val="0"/>
          <w:marBottom w:val="0"/>
          <w:divBdr>
            <w:top w:val="none" w:sz="0" w:space="0" w:color="auto"/>
            <w:left w:val="none" w:sz="0" w:space="0" w:color="auto"/>
            <w:bottom w:val="none" w:sz="0" w:space="0" w:color="auto"/>
            <w:right w:val="none" w:sz="0" w:space="0" w:color="auto"/>
          </w:divBdr>
        </w:div>
        <w:div w:id="181632303">
          <w:marLeft w:val="0"/>
          <w:marRight w:val="0"/>
          <w:marTop w:val="0"/>
          <w:marBottom w:val="0"/>
          <w:divBdr>
            <w:top w:val="none" w:sz="0" w:space="0" w:color="auto"/>
            <w:left w:val="none" w:sz="0" w:space="0" w:color="auto"/>
            <w:bottom w:val="none" w:sz="0" w:space="0" w:color="auto"/>
            <w:right w:val="none" w:sz="0" w:space="0" w:color="auto"/>
          </w:divBdr>
        </w:div>
        <w:div w:id="193542485">
          <w:marLeft w:val="0"/>
          <w:marRight w:val="0"/>
          <w:marTop w:val="0"/>
          <w:marBottom w:val="0"/>
          <w:divBdr>
            <w:top w:val="none" w:sz="0" w:space="0" w:color="auto"/>
            <w:left w:val="none" w:sz="0" w:space="0" w:color="auto"/>
            <w:bottom w:val="none" w:sz="0" w:space="0" w:color="auto"/>
            <w:right w:val="none" w:sz="0" w:space="0" w:color="auto"/>
          </w:divBdr>
        </w:div>
        <w:div w:id="203375307">
          <w:marLeft w:val="0"/>
          <w:marRight w:val="0"/>
          <w:marTop w:val="0"/>
          <w:marBottom w:val="0"/>
          <w:divBdr>
            <w:top w:val="none" w:sz="0" w:space="0" w:color="auto"/>
            <w:left w:val="none" w:sz="0" w:space="0" w:color="auto"/>
            <w:bottom w:val="none" w:sz="0" w:space="0" w:color="auto"/>
            <w:right w:val="none" w:sz="0" w:space="0" w:color="auto"/>
          </w:divBdr>
        </w:div>
        <w:div w:id="205291136">
          <w:marLeft w:val="0"/>
          <w:marRight w:val="0"/>
          <w:marTop w:val="0"/>
          <w:marBottom w:val="0"/>
          <w:divBdr>
            <w:top w:val="none" w:sz="0" w:space="0" w:color="auto"/>
            <w:left w:val="none" w:sz="0" w:space="0" w:color="auto"/>
            <w:bottom w:val="none" w:sz="0" w:space="0" w:color="auto"/>
            <w:right w:val="none" w:sz="0" w:space="0" w:color="auto"/>
          </w:divBdr>
        </w:div>
        <w:div w:id="254438491">
          <w:marLeft w:val="0"/>
          <w:marRight w:val="0"/>
          <w:marTop w:val="0"/>
          <w:marBottom w:val="0"/>
          <w:divBdr>
            <w:top w:val="none" w:sz="0" w:space="0" w:color="auto"/>
            <w:left w:val="none" w:sz="0" w:space="0" w:color="auto"/>
            <w:bottom w:val="none" w:sz="0" w:space="0" w:color="auto"/>
            <w:right w:val="none" w:sz="0" w:space="0" w:color="auto"/>
          </w:divBdr>
        </w:div>
        <w:div w:id="264264491">
          <w:marLeft w:val="0"/>
          <w:marRight w:val="0"/>
          <w:marTop w:val="0"/>
          <w:marBottom w:val="0"/>
          <w:divBdr>
            <w:top w:val="none" w:sz="0" w:space="0" w:color="auto"/>
            <w:left w:val="none" w:sz="0" w:space="0" w:color="auto"/>
            <w:bottom w:val="none" w:sz="0" w:space="0" w:color="auto"/>
            <w:right w:val="none" w:sz="0" w:space="0" w:color="auto"/>
          </w:divBdr>
        </w:div>
        <w:div w:id="274169001">
          <w:marLeft w:val="0"/>
          <w:marRight w:val="0"/>
          <w:marTop w:val="0"/>
          <w:marBottom w:val="0"/>
          <w:divBdr>
            <w:top w:val="none" w:sz="0" w:space="0" w:color="auto"/>
            <w:left w:val="none" w:sz="0" w:space="0" w:color="auto"/>
            <w:bottom w:val="none" w:sz="0" w:space="0" w:color="auto"/>
            <w:right w:val="none" w:sz="0" w:space="0" w:color="auto"/>
          </w:divBdr>
        </w:div>
        <w:div w:id="347371185">
          <w:marLeft w:val="0"/>
          <w:marRight w:val="0"/>
          <w:marTop w:val="0"/>
          <w:marBottom w:val="0"/>
          <w:divBdr>
            <w:top w:val="none" w:sz="0" w:space="0" w:color="auto"/>
            <w:left w:val="none" w:sz="0" w:space="0" w:color="auto"/>
            <w:bottom w:val="none" w:sz="0" w:space="0" w:color="auto"/>
            <w:right w:val="none" w:sz="0" w:space="0" w:color="auto"/>
          </w:divBdr>
        </w:div>
        <w:div w:id="374889839">
          <w:marLeft w:val="0"/>
          <w:marRight w:val="0"/>
          <w:marTop w:val="0"/>
          <w:marBottom w:val="0"/>
          <w:divBdr>
            <w:top w:val="none" w:sz="0" w:space="0" w:color="auto"/>
            <w:left w:val="none" w:sz="0" w:space="0" w:color="auto"/>
            <w:bottom w:val="none" w:sz="0" w:space="0" w:color="auto"/>
            <w:right w:val="none" w:sz="0" w:space="0" w:color="auto"/>
          </w:divBdr>
        </w:div>
        <w:div w:id="383717455">
          <w:marLeft w:val="0"/>
          <w:marRight w:val="0"/>
          <w:marTop w:val="0"/>
          <w:marBottom w:val="0"/>
          <w:divBdr>
            <w:top w:val="none" w:sz="0" w:space="0" w:color="auto"/>
            <w:left w:val="none" w:sz="0" w:space="0" w:color="auto"/>
            <w:bottom w:val="none" w:sz="0" w:space="0" w:color="auto"/>
            <w:right w:val="none" w:sz="0" w:space="0" w:color="auto"/>
          </w:divBdr>
        </w:div>
        <w:div w:id="447356158">
          <w:marLeft w:val="0"/>
          <w:marRight w:val="0"/>
          <w:marTop w:val="0"/>
          <w:marBottom w:val="0"/>
          <w:divBdr>
            <w:top w:val="none" w:sz="0" w:space="0" w:color="auto"/>
            <w:left w:val="none" w:sz="0" w:space="0" w:color="auto"/>
            <w:bottom w:val="none" w:sz="0" w:space="0" w:color="auto"/>
            <w:right w:val="none" w:sz="0" w:space="0" w:color="auto"/>
          </w:divBdr>
        </w:div>
        <w:div w:id="571503120">
          <w:marLeft w:val="0"/>
          <w:marRight w:val="0"/>
          <w:marTop w:val="0"/>
          <w:marBottom w:val="0"/>
          <w:divBdr>
            <w:top w:val="none" w:sz="0" w:space="0" w:color="auto"/>
            <w:left w:val="none" w:sz="0" w:space="0" w:color="auto"/>
            <w:bottom w:val="none" w:sz="0" w:space="0" w:color="auto"/>
            <w:right w:val="none" w:sz="0" w:space="0" w:color="auto"/>
          </w:divBdr>
        </w:div>
        <w:div w:id="629290251">
          <w:marLeft w:val="0"/>
          <w:marRight w:val="0"/>
          <w:marTop w:val="0"/>
          <w:marBottom w:val="0"/>
          <w:divBdr>
            <w:top w:val="none" w:sz="0" w:space="0" w:color="auto"/>
            <w:left w:val="none" w:sz="0" w:space="0" w:color="auto"/>
            <w:bottom w:val="none" w:sz="0" w:space="0" w:color="auto"/>
            <w:right w:val="none" w:sz="0" w:space="0" w:color="auto"/>
          </w:divBdr>
        </w:div>
        <w:div w:id="653946112">
          <w:marLeft w:val="0"/>
          <w:marRight w:val="0"/>
          <w:marTop w:val="0"/>
          <w:marBottom w:val="0"/>
          <w:divBdr>
            <w:top w:val="none" w:sz="0" w:space="0" w:color="auto"/>
            <w:left w:val="none" w:sz="0" w:space="0" w:color="auto"/>
            <w:bottom w:val="none" w:sz="0" w:space="0" w:color="auto"/>
            <w:right w:val="none" w:sz="0" w:space="0" w:color="auto"/>
          </w:divBdr>
        </w:div>
        <w:div w:id="658196011">
          <w:marLeft w:val="0"/>
          <w:marRight w:val="0"/>
          <w:marTop w:val="0"/>
          <w:marBottom w:val="0"/>
          <w:divBdr>
            <w:top w:val="none" w:sz="0" w:space="0" w:color="auto"/>
            <w:left w:val="none" w:sz="0" w:space="0" w:color="auto"/>
            <w:bottom w:val="none" w:sz="0" w:space="0" w:color="auto"/>
            <w:right w:val="none" w:sz="0" w:space="0" w:color="auto"/>
          </w:divBdr>
        </w:div>
        <w:div w:id="699430302">
          <w:marLeft w:val="0"/>
          <w:marRight w:val="0"/>
          <w:marTop w:val="0"/>
          <w:marBottom w:val="0"/>
          <w:divBdr>
            <w:top w:val="none" w:sz="0" w:space="0" w:color="auto"/>
            <w:left w:val="none" w:sz="0" w:space="0" w:color="auto"/>
            <w:bottom w:val="none" w:sz="0" w:space="0" w:color="auto"/>
            <w:right w:val="none" w:sz="0" w:space="0" w:color="auto"/>
          </w:divBdr>
        </w:div>
        <w:div w:id="740953908">
          <w:marLeft w:val="0"/>
          <w:marRight w:val="0"/>
          <w:marTop w:val="0"/>
          <w:marBottom w:val="0"/>
          <w:divBdr>
            <w:top w:val="none" w:sz="0" w:space="0" w:color="auto"/>
            <w:left w:val="none" w:sz="0" w:space="0" w:color="auto"/>
            <w:bottom w:val="none" w:sz="0" w:space="0" w:color="auto"/>
            <w:right w:val="none" w:sz="0" w:space="0" w:color="auto"/>
          </w:divBdr>
        </w:div>
        <w:div w:id="752361502">
          <w:marLeft w:val="0"/>
          <w:marRight w:val="0"/>
          <w:marTop w:val="0"/>
          <w:marBottom w:val="0"/>
          <w:divBdr>
            <w:top w:val="none" w:sz="0" w:space="0" w:color="auto"/>
            <w:left w:val="none" w:sz="0" w:space="0" w:color="auto"/>
            <w:bottom w:val="none" w:sz="0" w:space="0" w:color="auto"/>
            <w:right w:val="none" w:sz="0" w:space="0" w:color="auto"/>
          </w:divBdr>
        </w:div>
        <w:div w:id="863596697">
          <w:marLeft w:val="0"/>
          <w:marRight w:val="0"/>
          <w:marTop w:val="0"/>
          <w:marBottom w:val="0"/>
          <w:divBdr>
            <w:top w:val="none" w:sz="0" w:space="0" w:color="auto"/>
            <w:left w:val="none" w:sz="0" w:space="0" w:color="auto"/>
            <w:bottom w:val="none" w:sz="0" w:space="0" w:color="auto"/>
            <w:right w:val="none" w:sz="0" w:space="0" w:color="auto"/>
          </w:divBdr>
        </w:div>
        <w:div w:id="864438005">
          <w:marLeft w:val="0"/>
          <w:marRight w:val="0"/>
          <w:marTop w:val="0"/>
          <w:marBottom w:val="0"/>
          <w:divBdr>
            <w:top w:val="none" w:sz="0" w:space="0" w:color="auto"/>
            <w:left w:val="none" w:sz="0" w:space="0" w:color="auto"/>
            <w:bottom w:val="none" w:sz="0" w:space="0" w:color="auto"/>
            <w:right w:val="none" w:sz="0" w:space="0" w:color="auto"/>
          </w:divBdr>
        </w:div>
        <w:div w:id="940604742">
          <w:marLeft w:val="0"/>
          <w:marRight w:val="0"/>
          <w:marTop w:val="0"/>
          <w:marBottom w:val="0"/>
          <w:divBdr>
            <w:top w:val="none" w:sz="0" w:space="0" w:color="auto"/>
            <w:left w:val="none" w:sz="0" w:space="0" w:color="auto"/>
            <w:bottom w:val="none" w:sz="0" w:space="0" w:color="auto"/>
            <w:right w:val="none" w:sz="0" w:space="0" w:color="auto"/>
          </w:divBdr>
        </w:div>
        <w:div w:id="952982240">
          <w:marLeft w:val="0"/>
          <w:marRight w:val="0"/>
          <w:marTop w:val="0"/>
          <w:marBottom w:val="0"/>
          <w:divBdr>
            <w:top w:val="none" w:sz="0" w:space="0" w:color="auto"/>
            <w:left w:val="none" w:sz="0" w:space="0" w:color="auto"/>
            <w:bottom w:val="none" w:sz="0" w:space="0" w:color="auto"/>
            <w:right w:val="none" w:sz="0" w:space="0" w:color="auto"/>
          </w:divBdr>
        </w:div>
        <w:div w:id="1085147427">
          <w:marLeft w:val="0"/>
          <w:marRight w:val="0"/>
          <w:marTop w:val="0"/>
          <w:marBottom w:val="0"/>
          <w:divBdr>
            <w:top w:val="none" w:sz="0" w:space="0" w:color="auto"/>
            <w:left w:val="none" w:sz="0" w:space="0" w:color="auto"/>
            <w:bottom w:val="none" w:sz="0" w:space="0" w:color="auto"/>
            <w:right w:val="none" w:sz="0" w:space="0" w:color="auto"/>
          </w:divBdr>
        </w:div>
        <w:div w:id="1117455314">
          <w:marLeft w:val="0"/>
          <w:marRight w:val="0"/>
          <w:marTop w:val="0"/>
          <w:marBottom w:val="0"/>
          <w:divBdr>
            <w:top w:val="none" w:sz="0" w:space="0" w:color="auto"/>
            <w:left w:val="none" w:sz="0" w:space="0" w:color="auto"/>
            <w:bottom w:val="none" w:sz="0" w:space="0" w:color="auto"/>
            <w:right w:val="none" w:sz="0" w:space="0" w:color="auto"/>
          </w:divBdr>
        </w:div>
        <w:div w:id="1166440037">
          <w:marLeft w:val="0"/>
          <w:marRight w:val="0"/>
          <w:marTop w:val="0"/>
          <w:marBottom w:val="0"/>
          <w:divBdr>
            <w:top w:val="none" w:sz="0" w:space="0" w:color="auto"/>
            <w:left w:val="none" w:sz="0" w:space="0" w:color="auto"/>
            <w:bottom w:val="none" w:sz="0" w:space="0" w:color="auto"/>
            <w:right w:val="none" w:sz="0" w:space="0" w:color="auto"/>
          </w:divBdr>
        </w:div>
        <w:div w:id="1174342584">
          <w:marLeft w:val="0"/>
          <w:marRight w:val="0"/>
          <w:marTop w:val="0"/>
          <w:marBottom w:val="0"/>
          <w:divBdr>
            <w:top w:val="none" w:sz="0" w:space="0" w:color="auto"/>
            <w:left w:val="none" w:sz="0" w:space="0" w:color="auto"/>
            <w:bottom w:val="none" w:sz="0" w:space="0" w:color="auto"/>
            <w:right w:val="none" w:sz="0" w:space="0" w:color="auto"/>
          </w:divBdr>
        </w:div>
        <w:div w:id="1192497151">
          <w:marLeft w:val="0"/>
          <w:marRight w:val="0"/>
          <w:marTop w:val="0"/>
          <w:marBottom w:val="0"/>
          <w:divBdr>
            <w:top w:val="none" w:sz="0" w:space="0" w:color="auto"/>
            <w:left w:val="none" w:sz="0" w:space="0" w:color="auto"/>
            <w:bottom w:val="none" w:sz="0" w:space="0" w:color="auto"/>
            <w:right w:val="none" w:sz="0" w:space="0" w:color="auto"/>
          </w:divBdr>
        </w:div>
        <w:div w:id="1231308263">
          <w:marLeft w:val="0"/>
          <w:marRight w:val="0"/>
          <w:marTop w:val="0"/>
          <w:marBottom w:val="0"/>
          <w:divBdr>
            <w:top w:val="none" w:sz="0" w:space="0" w:color="auto"/>
            <w:left w:val="none" w:sz="0" w:space="0" w:color="auto"/>
            <w:bottom w:val="none" w:sz="0" w:space="0" w:color="auto"/>
            <w:right w:val="none" w:sz="0" w:space="0" w:color="auto"/>
          </w:divBdr>
        </w:div>
        <w:div w:id="1248491275">
          <w:marLeft w:val="0"/>
          <w:marRight w:val="0"/>
          <w:marTop w:val="0"/>
          <w:marBottom w:val="0"/>
          <w:divBdr>
            <w:top w:val="none" w:sz="0" w:space="0" w:color="auto"/>
            <w:left w:val="none" w:sz="0" w:space="0" w:color="auto"/>
            <w:bottom w:val="none" w:sz="0" w:space="0" w:color="auto"/>
            <w:right w:val="none" w:sz="0" w:space="0" w:color="auto"/>
          </w:divBdr>
        </w:div>
        <w:div w:id="1356812852">
          <w:marLeft w:val="0"/>
          <w:marRight w:val="0"/>
          <w:marTop w:val="0"/>
          <w:marBottom w:val="0"/>
          <w:divBdr>
            <w:top w:val="none" w:sz="0" w:space="0" w:color="auto"/>
            <w:left w:val="none" w:sz="0" w:space="0" w:color="auto"/>
            <w:bottom w:val="none" w:sz="0" w:space="0" w:color="auto"/>
            <w:right w:val="none" w:sz="0" w:space="0" w:color="auto"/>
          </w:divBdr>
        </w:div>
        <w:div w:id="1387605522">
          <w:marLeft w:val="0"/>
          <w:marRight w:val="0"/>
          <w:marTop w:val="0"/>
          <w:marBottom w:val="0"/>
          <w:divBdr>
            <w:top w:val="none" w:sz="0" w:space="0" w:color="auto"/>
            <w:left w:val="none" w:sz="0" w:space="0" w:color="auto"/>
            <w:bottom w:val="none" w:sz="0" w:space="0" w:color="auto"/>
            <w:right w:val="none" w:sz="0" w:space="0" w:color="auto"/>
          </w:divBdr>
        </w:div>
        <w:div w:id="1396122552">
          <w:marLeft w:val="0"/>
          <w:marRight w:val="0"/>
          <w:marTop w:val="0"/>
          <w:marBottom w:val="0"/>
          <w:divBdr>
            <w:top w:val="none" w:sz="0" w:space="0" w:color="auto"/>
            <w:left w:val="none" w:sz="0" w:space="0" w:color="auto"/>
            <w:bottom w:val="none" w:sz="0" w:space="0" w:color="auto"/>
            <w:right w:val="none" w:sz="0" w:space="0" w:color="auto"/>
          </w:divBdr>
        </w:div>
        <w:div w:id="1563518058">
          <w:marLeft w:val="0"/>
          <w:marRight w:val="0"/>
          <w:marTop w:val="0"/>
          <w:marBottom w:val="0"/>
          <w:divBdr>
            <w:top w:val="none" w:sz="0" w:space="0" w:color="auto"/>
            <w:left w:val="none" w:sz="0" w:space="0" w:color="auto"/>
            <w:bottom w:val="none" w:sz="0" w:space="0" w:color="auto"/>
            <w:right w:val="none" w:sz="0" w:space="0" w:color="auto"/>
          </w:divBdr>
        </w:div>
        <w:div w:id="1682469048">
          <w:marLeft w:val="0"/>
          <w:marRight w:val="0"/>
          <w:marTop w:val="0"/>
          <w:marBottom w:val="0"/>
          <w:divBdr>
            <w:top w:val="none" w:sz="0" w:space="0" w:color="auto"/>
            <w:left w:val="none" w:sz="0" w:space="0" w:color="auto"/>
            <w:bottom w:val="none" w:sz="0" w:space="0" w:color="auto"/>
            <w:right w:val="none" w:sz="0" w:space="0" w:color="auto"/>
          </w:divBdr>
        </w:div>
        <w:div w:id="1717852567">
          <w:marLeft w:val="0"/>
          <w:marRight w:val="0"/>
          <w:marTop w:val="0"/>
          <w:marBottom w:val="0"/>
          <w:divBdr>
            <w:top w:val="none" w:sz="0" w:space="0" w:color="auto"/>
            <w:left w:val="none" w:sz="0" w:space="0" w:color="auto"/>
            <w:bottom w:val="none" w:sz="0" w:space="0" w:color="auto"/>
            <w:right w:val="none" w:sz="0" w:space="0" w:color="auto"/>
          </w:divBdr>
        </w:div>
        <w:div w:id="1749307906">
          <w:marLeft w:val="0"/>
          <w:marRight w:val="0"/>
          <w:marTop w:val="0"/>
          <w:marBottom w:val="0"/>
          <w:divBdr>
            <w:top w:val="none" w:sz="0" w:space="0" w:color="auto"/>
            <w:left w:val="none" w:sz="0" w:space="0" w:color="auto"/>
            <w:bottom w:val="none" w:sz="0" w:space="0" w:color="auto"/>
            <w:right w:val="none" w:sz="0" w:space="0" w:color="auto"/>
          </w:divBdr>
        </w:div>
        <w:div w:id="1836992381">
          <w:marLeft w:val="0"/>
          <w:marRight w:val="0"/>
          <w:marTop w:val="0"/>
          <w:marBottom w:val="0"/>
          <w:divBdr>
            <w:top w:val="none" w:sz="0" w:space="0" w:color="auto"/>
            <w:left w:val="none" w:sz="0" w:space="0" w:color="auto"/>
            <w:bottom w:val="none" w:sz="0" w:space="0" w:color="auto"/>
            <w:right w:val="none" w:sz="0" w:space="0" w:color="auto"/>
          </w:divBdr>
        </w:div>
        <w:div w:id="1959528144">
          <w:marLeft w:val="0"/>
          <w:marRight w:val="0"/>
          <w:marTop w:val="0"/>
          <w:marBottom w:val="0"/>
          <w:divBdr>
            <w:top w:val="none" w:sz="0" w:space="0" w:color="auto"/>
            <w:left w:val="none" w:sz="0" w:space="0" w:color="auto"/>
            <w:bottom w:val="none" w:sz="0" w:space="0" w:color="auto"/>
            <w:right w:val="none" w:sz="0" w:space="0" w:color="auto"/>
          </w:divBdr>
        </w:div>
        <w:div w:id="2121875946">
          <w:marLeft w:val="0"/>
          <w:marRight w:val="0"/>
          <w:marTop w:val="0"/>
          <w:marBottom w:val="0"/>
          <w:divBdr>
            <w:top w:val="none" w:sz="0" w:space="0" w:color="auto"/>
            <w:left w:val="none" w:sz="0" w:space="0" w:color="auto"/>
            <w:bottom w:val="none" w:sz="0" w:space="0" w:color="auto"/>
            <w:right w:val="none" w:sz="0" w:space="0" w:color="auto"/>
          </w:divBdr>
        </w:div>
        <w:div w:id="2136634488">
          <w:marLeft w:val="0"/>
          <w:marRight w:val="0"/>
          <w:marTop w:val="0"/>
          <w:marBottom w:val="0"/>
          <w:divBdr>
            <w:top w:val="none" w:sz="0" w:space="0" w:color="auto"/>
            <w:left w:val="none" w:sz="0" w:space="0" w:color="auto"/>
            <w:bottom w:val="none" w:sz="0" w:space="0" w:color="auto"/>
            <w:right w:val="none" w:sz="0" w:space="0" w:color="auto"/>
          </w:divBdr>
        </w:div>
        <w:div w:id="2140106734">
          <w:marLeft w:val="0"/>
          <w:marRight w:val="0"/>
          <w:marTop w:val="0"/>
          <w:marBottom w:val="0"/>
          <w:divBdr>
            <w:top w:val="none" w:sz="0" w:space="0" w:color="auto"/>
            <w:left w:val="none" w:sz="0" w:space="0" w:color="auto"/>
            <w:bottom w:val="none" w:sz="0" w:space="0" w:color="auto"/>
            <w:right w:val="none" w:sz="0" w:space="0" w:color="auto"/>
          </w:divBdr>
        </w:div>
      </w:divsChild>
    </w:div>
    <w:div w:id="832179632">
      <w:bodyDiv w:val="1"/>
      <w:marLeft w:val="0"/>
      <w:marRight w:val="0"/>
      <w:marTop w:val="0"/>
      <w:marBottom w:val="0"/>
      <w:divBdr>
        <w:top w:val="none" w:sz="0" w:space="0" w:color="auto"/>
        <w:left w:val="none" w:sz="0" w:space="0" w:color="auto"/>
        <w:bottom w:val="none" w:sz="0" w:space="0" w:color="auto"/>
        <w:right w:val="none" w:sz="0" w:space="0" w:color="auto"/>
      </w:divBdr>
      <w:divsChild>
        <w:div w:id="879169315">
          <w:marLeft w:val="0"/>
          <w:marRight w:val="0"/>
          <w:marTop w:val="0"/>
          <w:marBottom w:val="0"/>
          <w:divBdr>
            <w:top w:val="none" w:sz="0" w:space="0" w:color="auto"/>
            <w:left w:val="none" w:sz="0" w:space="0" w:color="auto"/>
            <w:bottom w:val="none" w:sz="0" w:space="0" w:color="auto"/>
            <w:right w:val="none" w:sz="0" w:space="0" w:color="auto"/>
          </w:divBdr>
          <w:divsChild>
            <w:div w:id="1981497837">
              <w:marLeft w:val="0"/>
              <w:marRight w:val="0"/>
              <w:marTop w:val="0"/>
              <w:marBottom w:val="0"/>
              <w:divBdr>
                <w:top w:val="none" w:sz="0" w:space="0" w:color="auto"/>
                <w:left w:val="none" w:sz="0" w:space="0" w:color="auto"/>
                <w:bottom w:val="none" w:sz="0" w:space="0" w:color="auto"/>
                <w:right w:val="none" w:sz="0" w:space="0" w:color="auto"/>
              </w:divBdr>
              <w:divsChild>
                <w:div w:id="62049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855257">
      <w:bodyDiv w:val="1"/>
      <w:marLeft w:val="0"/>
      <w:marRight w:val="0"/>
      <w:marTop w:val="0"/>
      <w:marBottom w:val="0"/>
      <w:divBdr>
        <w:top w:val="none" w:sz="0" w:space="0" w:color="auto"/>
        <w:left w:val="none" w:sz="0" w:space="0" w:color="auto"/>
        <w:bottom w:val="none" w:sz="0" w:space="0" w:color="auto"/>
        <w:right w:val="none" w:sz="0" w:space="0" w:color="auto"/>
      </w:divBdr>
      <w:divsChild>
        <w:div w:id="357015">
          <w:marLeft w:val="0"/>
          <w:marRight w:val="0"/>
          <w:marTop w:val="0"/>
          <w:marBottom w:val="0"/>
          <w:divBdr>
            <w:top w:val="none" w:sz="0" w:space="0" w:color="auto"/>
            <w:left w:val="none" w:sz="0" w:space="0" w:color="auto"/>
            <w:bottom w:val="none" w:sz="0" w:space="0" w:color="auto"/>
            <w:right w:val="none" w:sz="0" w:space="0" w:color="auto"/>
          </w:divBdr>
        </w:div>
        <w:div w:id="18359165">
          <w:marLeft w:val="0"/>
          <w:marRight w:val="0"/>
          <w:marTop w:val="0"/>
          <w:marBottom w:val="0"/>
          <w:divBdr>
            <w:top w:val="none" w:sz="0" w:space="0" w:color="auto"/>
            <w:left w:val="none" w:sz="0" w:space="0" w:color="auto"/>
            <w:bottom w:val="none" w:sz="0" w:space="0" w:color="auto"/>
            <w:right w:val="none" w:sz="0" w:space="0" w:color="auto"/>
          </w:divBdr>
        </w:div>
        <w:div w:id="28072410">
          <w:marLeft w:val="0"/>
          <w:marRight w:val="0"/>
          <w:marTop w:val="0"/>
          <w:marBottom w:val="0"/>
          <w:divBdr>
            <w:top w:val="none" w:sz="0" w:space="0" w:color="auto"/>
            <w:left w:val="none" w:sz="0" w:space="0" w:color="auto"/>
            <w:bottom w:val="none" w:sz="0" w:space="0" w:color="auto"/>
            <w:right w:val="none" w:sz="0" w:space="0" w:color="auto"/>
          </w:divBdr>
        </w:div>
        <w:div w:id="30308704">
          <w:marLeft w:val="0"/>
          <w:marRight w:val="0"/>
          <w:marTop w:val="0"/>
          <w:marBottom w:val="0"/>
          <w:divBdr>
            <w:top w:val="none" w:sz="0" w:space="0" w:color="auto"/>
            <w:left w:val="none" w:sz="0" w:space="0" w:color="auto"/>
            <w:bottom w:val="none" w:sz="0" w:space="0" w:color="auto"/>
            <w:right w:val="none" w:sz="0" w:space="0" w:color="auto"/>
          </w:divBdr>
        </w:div>
        <w:div w:id="155463787">
          <w:marLeft w:val="0"/>
          <w:marRight w:val="0"/>
          <w:marTop w:val="0"/>
          <w:marBottom w:val="0"/>
          <w:divBdr>
            <w:top w:val="none" w:sz="0" w:space="0" w:color="auto"/>
            <w:left w:val="none" w:sz="0" w:space="0" w:color="auto"/>
            <w:bottom w:val="none" w:sz="0" w:space="0" w:color="auto"/>
            <w:right w:val="none" w:sz="0" w:space="0" w:color="auto"/>
          </w:divBdr>
        </w:div>
        <w:div w:id="159079844">
          <w:marLeft w:val="0"/>
          <w:marRight w:val="0"/>
          <w:marTop w:val="0"/>
          <w:marBottom w:val="0"/>
          <w:divBdr>
            <w:top w:val="none" w:sz="0" w:space="0" w:color="auto"/>
            <w:left w:val="none" w:sz="0" w:space="0" w:color="auto"/>
            <w:bottom w:val="none" w:sz="0" w:space="0" w:color="auto"/>
            <w:right w:val="none" w:sz="0" w:space="0" w:color="auto"/>
          </w:divBdr>
        </w:div>
        <w:div w:id="216204937">
          <w:marLeft w:val="0"/>
          <w:marRight w:val="0"/>
          <w:marTop w:val="0"/>
          <w:marBottom w:val="0"/>
          <w:divBdr>
            <w:top w:val="none" w:sz="0" w:space="0" w:color="auto"/>
            <w:left w:val="none" w:sz="0" w:space="0" w:color="auto"/>
            <w:bottom w:val="none" w:sz="0" w:space="0" w:color="auto"/>
            <w:right w:val="none" w:sz="0" w:space="0" w:color="auto"/>
          </w:divBdr>
        </w:div>
        <w:div w:id="238905276">
          <w:marLeft w:val="0"/>
          <w:marRight w:val="0"/>
          <w:marTop w:val="0"/>
          <w:marBottom w:val="0"/>
          <w:divBdr>
            <w:top w:val="none" w:sz="0" w:space="0" w:color="auto"/>
            <w:left w:val="none" w:sz="0" w:space="0" w:color="auto"/>
            <w:bottom w:val="none" w:sz="0" w:space="0" w:color="auto"/>
            <w:right w:val="none" w:sz="0" w:space="0" w:color="auto"/>
          </w:divBdr>
        </w:div>
        <w:div w:id="263810611">
          <w:marLeft w:val="0"/>
          <w:marRight w:val="0"/>
          <w:marTop w:val="0"/>
          <w:marBottom w:val="0"/>
          <w:divBdr>
            <w:top w:val="none" w:sz="0" w:space="0" w:color="auto"/>
            <w:left w:val="none" w:sz="0" w:space="0" w:color="auto"/>
            <w:bottom w:val="none" w:sz="0" w:space="0" w:color="auto"/>
            <w:right w:val="none" w:sz="0" w:space="0" w:color="auto"/>
          </w:divBdr>
        </w:div>
        <w:div w:id="293606714">
          <w:marLeft w:val="0"/>
          <w:marRight w:val="0"/>
          <w:marTop w:val="0"/>
          <w:marBottom w:val="0"/>
          <w:divBdr>
            <w:top w:val="none" w:sz="0" w:space="0" w:color="auto"/>
            <w:left w:val="none" w:sz="0" w:space="0" w:color="auto"/>
            <w:bottom w:val="none" w:sz="0" w:space="0" w:color="auto"/>
            <w:right w:val="none" w:sz="0" w:space="0" w:color="auto"/>
          </w:divBdr>
        </w:div>
        <w:div w:id="328365190">
          <w:marLeft w:val="0"/>
          <w:marRight w:val="0"/>
          <w:marTop w:val="0"/>
          <w:marBottom w:val="0"/>
          <w:divBdr>
            <w:top w:val="none" w:sz="0" w:space="0" w:color="auto"/>
            <w:left w:val="none" w:sz="0" w:space="0" w:color="auto"/>
            <w:bottom w:val="none" w:sz="0" w:space="0" w:color="auto"/>
            <w:right w:val="none" w:sz="0" w:space="0" w:color="auto"/>
          </w:divBdr>
        </w:div>
        <w:div w:id="372534342">
          <w:marLeft w:val="0"/>
          <w:marRight w:val="0"/>
          <w:marTop w:val="0"/>
          <w:marBottom w:val="0"/>
          <w:divBdr>
            <w:top w:val="none" w:sz="0" w:space="0" w:color="auto"/>
            <w:left w:val="none" w:sz="0" w:space="0" w:color="auto"/>
            <w:bottom w:val="none" w:sz="0" w:space="0" w:color="auto"/>
            <w:right w:val="none" w:sz="0" w:space="0" w:color="auto"/>
          </w:divBdr>
        </w:div>
        <w:div w:id="626592047">
          <w:marLeft w:val="0"/>
          <w:marRight w:val="0"/>
          <w:marTop w:val="0"/>
          <w:marBottom w:val="0"/>
          <w:divBdr>
            <w:top w:val="none" w:sz="0" w:space="0" w:color="auto"/>
            <w:left w:val="none" w:sz="0" w:space="0" w:color="auto"/>
            <w:bottom w:val="none" w:sz="0" w:space="0" w:color="auto"/>
            <w:right w:val="none" w:sz="0" w:space="0" w:color="auto"/>
          </w:divBdr>
        </w:div>
        <w:div w:id="658734000">
          <w:marLeft w:val="0"/>
          <w:marRight w:val="0"/>
          <w:marTop w:val="0"/>
          <w:marBottom w:val="0"/>
          <w:divBdr>
            <w:top w:val="none" w:sz="0" w:space="0" w:color="auto"/>
            <w:left w:val="none" w:sz="0" w:space="0" w:color="auto"/>
            <w:bottom w:val="none" w:sz="0" w:space="0" w:color="auto"/>
            <w:right w:val="none" w:sz="0" w:space="0" w:color="auto"/>
          </w:divBdr>
        </w:div>
        <w:div w:id="675767740">
          <w:marLeft w:val="0"/>
          <w:marRight w:val="0"/>
          <w:marTop w:val="0"/>
          <w:marBottom w:val="0"/>
          <w:divBdr>
            <w:top w:val="none" w:sz="0" w:space="0" w:color="auto"/>
            <w:left w:val="none" w:sz="0" w:space="0" w:color="auto"/>
            <w:bottom w:val="none" w:sz="0" w:space="0" w:color="auto"/>
            <w:right w:val="none" w:sz="0" w:space="0" w:color="auto"/>
          </w:divBdr>
        </w:div>
        <w:div w:id="686641334">
          <w:marLeft w:val="0"/>
          <w:marRight w:val="0"/>
          <w:marTop w:val="0"/>
          <w:marBottom w:val="0"/>
          <w:divBdr>
            <w:top w:val="none" w:sz="0" w:space="0" w:color="auto"/>
            <w:left w:val="none" w:sz="0" w:space="0" w:color="auto"/>
            <w:bottom w:val="none" w:sz="0" w:space="0" w:color="auto"/>
            <w:right w:val="none" w:sz="0" w:space="0" w:color="auto"/>
          </w:divBdr>
        </w:div>
        <w:div w:id="698970213">
          <w:marLeft w:val="0"/>
          <w:marRight w:val="0"/>
          <w:marTop w:val="0"/>
          <w:marBottom w:val="0"/>
          <w:divBdr>
            <w:top w:val="none" w:sz="0" w:space="0" w:color="auto"/>
            <w:left w:val="none" w:sz="0" w:space="0" w:color="auto"/>
            <w:bottom w:val="none" w:sz="0" w:space="0" w:color="auto"/>
            <w:right w:val="none" w:sz="0" w:space="0" w:color="auto"/>
          </w:divBdr>
        </w:div>
        <w:div w:id="738789180">
          <w:marLeft w:val="0"/>
          <w:marRight w:val="0"/>
          <w:marTop w:val="0"/>
          <w:marBottom w:val="0"/>
          <w:divBdr>
            <w:top w:val="none" w:sz="0" w:space="0" w:color="auto"/>
            <w:left w:val="none" w:sz="0" w:space="0" w:color="auto"/>
            <w:bottom w:val="none" w:sz="0" w:space="0" w:color="auto"/>
            <w:right w:val="none" w:sz="0" w:space="0" w:color="auto"/>
          </w:divBdr>
        </w:div>
        <w:div w:id="850489645">
          <w:marLeft w:val="0"/>
          <w:marRight w:val="0"/>
          <w:marTop w:val="0"/>
          <w:marBottom w:val="0"/>
          <w:divBdr>
            <w:top w:val="none" w:sz="0" w:space="0" w:color="auto"/>
            <w:left w:val="none" w:sz="0" w:space="0" w:color="auto"/>
            <w:bottom w:val="none" w:sz="0" w:space="0" w:color="auto"/>
            <w:right w:val="none" w:sz="0" w:space="0" w:color="auto"/>
          </w:divBdr>
        </w:div>
        <w:div w:id="879631408">
          <w:marLeft w:val="0"/>
          <w:marRight w:val="0"/>
          <w:marTop w:val="0"/>
          <w:marBottom w:val="0"/>
          <w:divBdr>
            <w:top w:val="none" w:sz="0" w:space="0" w:color="auto"/>
            <w:left w:val="none" w:sz="0" w:space="0" w:color="auto"/>
            <w:bottom w:val="none" w:sz="0" w:space="0" w:color="auto"/>
            <w:right w:val="none" w:sz="0" w:space="0" w:color="auto"/>
          </w:divBdr>
        </w:div>
        <w:div w:id="901991020">
          <w:marLeft w:val="0"/>
          <w:marRight w:val="0"/>
          <w:marTop w:val="0"/>
          <w:marBottom w:val="0"/>
          <w:divBdr>
            <w:top w:val="none" w:sz="0" w:space="0" w:color="auto"/>
            <w:left w:val="none" w:sz="0" w:space="0" w:color="auto"/>
            <w:bottom w:val="none" w:sz="0" w:space="0" w:color="auto"/>
            <w:right w:val="none" w:sz="0" w:space="0" w:color="auto"/>
          </w:divBdr>
        </w:div>
        <w:div w:id="1003360061">
          <w:marLeft w:val="0"/>
          <w:marRight w:val="0"/>
          <w:marTop w:val="0"/>
          <w:marBottom w:val="0"/>
          <w:divBdr>
            <w:top w:val="none" w:sz="0" w:space="0" w:color="auto"/>
            <w:left w:val="none" w:sz="0" w:space="0" w:color="auto"/>
            <w:bottom w:val="none" w:sz="0" w:space="0" w:color="auto"/>
            <w:right w:val="none" w:sz="0" w:space="0" w:color="auto"/>
          </w:divBdr>
        </w:div>
        <w:div w:id="1056464447">
          <w:marLeft w:val="0"/>
          <w:marRight w:val="0"/>
          <w:marTop w:val="0"/>
          <w:marBottom w:val="0"/>
          <w:divBdr>
            <w:top w:val="none" w:sz="0" w:space="0" w:color="auto"/>
            <w:left w:val="none" w:sz="0" w:space="0" w:color="auto"/>
            <w:bottom w:val="none" w:sz="0" w:space="0" w:color="auto"/>
            <w:right w:val="none" w:sz="0" w:space="0" w:color="auto"/>
          </w:divBdr>
        </w:div>
        <w:div w:id="1062872313">
          <w:marLeft w:val="0"/>
          <w:marRight w:val="0"/>
          <w:marTop w:val="0"/>
          <w:marBottom w:val="0"/>
          <w:divBdr>
            <w:top w:val="none" w:sz="0" w:space="0" w:color="auto"/>
            <w:left w:val="none" w:sz="0" w:space="0" w:color="auto"/>
            <w:bottom w:val="none" w:sz="0" w:space="0" w:color="auto"/>
            <w:right w:val="none" w:sz="0" w:space="0" w:color="auto"/>
          </w:divBdr>
        </w:div>
        <w:div w:id="1121805405">
          <w:marLeft w:val="0"/>
          <w:marRight w:val="0"/>
          <w:marTop w:val="0"/>
          <w:marBottom w:val="0"/>
          <w:divBdr>
            <w:top w:val="none" w:sz="0" w:space="0" w:color="auto"/>
            <w:left w:val="none" w:sz="0" w:space="0" w:color="auto"/>
            <w:bottom w:val="none" w:sz="0" w:space="0" w:color="auto"/>
            <w:right w:val="none" w:sz="0" w:space="0" w:color="auto"/>
          </w:divBdr>
        </w:div>
        <w:div w:id="1211303209">
          <w:marLeft w:val="0"/>
          <w:marRight w:val="0"/>
          <w:marTop w:val="0"/>
          <w:marBottom w:val="0"/>
          <w:divBdr>
            <w:top w:val="none" w:sz="0" w:space="0" w:color="auto"/>
            <w:left w:val="none" w:sz="0" w:space="0" w:color="auto"/>
            <w:bottom w:val="none" w:sz="0" w:space="0" w:color="auto"/>
            <w:right w:val="none" w:sz="0" w:space="0" w:color="auto"/>
          </w:divBdr>
        </w:div>
        <w:div w:id="1236627560">
          <w:marLeft w:val="0"/>
          <w:marRight w:val="0"/>
          <w:marTop w:val="0"/>
          <w:marBottom w:val="0"/>
          <w:divBdr>
            <w:top w:val="none" w:sz="0" w:space="0" w:color="auto"/>
            <w:left w:val="none" w:sz="0" w:space="0" w:color="auto"/>
            <w:bottom w:val="none" w:sz="0" w:space="0" w:color="auto"/>
            <w:right w:val="none" w:sz="0" w:space="0" w:color="auto"/>
          </w:divBdr>
        </w:div>
        <w:div w:id="1263221155">
          <w:marLeft w:val="0"/>
          <w:marRight w:val="0"/>
          <w:marTop w:val="0"/>
          <w:marBottom w:val="0"/>
          <w:divBdr>
            <w:top w:val="none" w:sz="0" w:space="0" w:color="auto"/>
            <w:left w:val="none" w:sz="0" w:space="0" w:color="auto"/>
            <w:bottom w:val="none" w:sz="0" w:space="0" w:color="auto"/>
            <w:right w:val="none" w:sz="0" w:space="0" w:color="auto"/>
          </w:divBdr>
        </w:div>
        <w:div w:id="1295795224">
          <w:marLeft w:val="0"/>
          <w:marRight w:val="0"/>
          <w:marTop w:val="0"/>
          <w:marBottom w:val="0"/>
          <w:divBdr>
            <w:top w:val="none" w:sz="0" w:space="0" w:color="auto"/>
            <w:left w:val="none" w:sz="0" w:space="0" w:color="auto"/>
            <w:bottom w:val="none" w:sz="0" w:space="0" w:color="auto"/>
            <w:right w:val="none" w:sz="0" w:space="0" w:color="auto"/>
          </w:divBdr>
        </w:div>
        <w:div w:id="1421607460">
          <w:marLeft w:val="0"/>
          <w:marRight w:val="0"/>
          <w:marTop w:val="0"/>
          <w:marBottom w:val="0"/>
          <w:divBdr>
            <w:top w:val="none" w:sz="0" w:space="0" w:color="auto"/>
            <w:left w:val="none" w:sz="0" w:space="0" w:color="auto"/>
            <w:bottom w:val="none" w:sz="0" w:space="0" w:color="auto"/>
            <w:right w:val="none" w:sz="0" w:space="0" w:color="auto"/>
          </w:divBdr>
        </w:div>
        <w:div w:id="1465193595">
          <w:marLeft w:val="0"/>
          <w:marRight w:val="0"/>
          <w:marTop w:val="0"/>
          <w:marBottom w:val="0"/>
          <w:divBdr>
            <w:top w:val="none" w:sz="0" w:space="0" w:color="auto"/>
            <w:left w:val="none" w:sz="0" w:space="0" w:color="auto"/>
            <w:bottom w:val="none" w:sz="0" w:space="0" w:color="auto"/>
            <w:right w:val="none" w:sz="0" w:space="0" w:color="auto"/>
          </w:divBdr>
        </w:div>
        <w:div w:id="1481459103">
          <w:marLeft w:val="0"/>
          <w:marRight w:val="0"/>
          <w:marTop w:val="0"/>
          <w:marBottom w:val="0"/>
          <w:divBdr>
            <w:top w:val="none" w:sz="0" w:space="0" w:color="auto"/>
            <w:left w:val="none" w:sz="0" w:space="0" w:color="auto"/>
            <w:bottom w:val="none" w:sz="0" w:space="0" w:color="auto"/>
            <w:right w:val="none" w:sz="0" w:space="0" w:color="auto"/>
          </w:divBdr>
        </w:div>
        <w:div w:id="1660308552">
          <w:marLeft w:val="0"/>
          <w:marRight w:val="0"/>
          <w:marTop w:val="0"/>
          <w:marBottom w:val="0"/>
          <w:divBdr>
            <w:top w:val="none" w:sz="0" w:space="0" w:color="auto"/>
            <w:left w:val="none" w:sz="0" w:space="0" w:color="auto"/>
            <w:bottom w:val="none" w:sz="0" w:space="0" w:color="auto"/>
            <w:right w:val="none" w:sz="0" w:space="0" w:color="auto"/>
          </w:divBdr>
        </w:div>
        <w:div w:id="1737127799">
          <w:marLeft w:val="0"/>
          <w:marRight w:val="0"/>
          <w:marTop w:val="0"/>
          <w:marBottom w:val="0"/>
          <w:divBdr>
            <w:top w:val="none" w:sz="0" w:space="0" w:color="auto"/>
            <w:left w:val="none" w:sz="0" w:space="0" w:color="auto"/>
            <w:bottom w:val="none" w:sz="0" w:space="0" w:color="auto"/>
            <w:right w:val="none" w:sz="0" w:space="0" w:color="auto"/>
          </w:divBdr>
        </w:div>
        <w:div w:id="1929726853">
          <w:marLeft w:val="0"/>
          <w:marRight w:val="0"/>
          <w:marTop w:val="0"/>
          <w:marBottom w:val="0"/>
          <w:divBdr>
            <w:top w:val="none" w:sz="0" w:space="0" w:color="auto"/>
            <w:left w:val="none" w:sz="0" w:space="0" w:color="auto"/>
            <w:bottom w:val="none" w:sz="0" w:space="0" w:color="auto"/>
            <w:right w:val="none" w:sz="0" w:space="0" w:color="auto"/>
          </w:divBdr>
        </w:div>
        <w:div w:id="1930429951">
          <w:marLeft w:val="0"/>
          <w:marRight w:val="0"/>
          <w:marTop w:val="0"/>
          <w:marBottom w:val="0"/>
          <w:divBdr>
            <w:top w:val="none" w:sz="0" w:space="0" w:color="auto"/>
            <w:left w:val="none" w:sz="0" w:space="0" w:color="auto"/>
            <w:bottom w:val="none" w:sz="0" w:space="0" w:color="auto"/>
            <w:right w:val="none" w:sz="0" w:space="0" w:color="auto"/>
          </w:divBdr>
        </w:div>
        <w:div w:id="1931306024">
          <w:marLeft w:val="0"/>
          <w:marRight w:val="0"/>
          <w:marTop w:val="0"/>
          <w:marBottom w:val="0"/>
          <w:divBdr>
            <w:top w:val="none" w:sz="0" w:space="0" w:color="auto"/>
            <w:left w:val="none" w:sz="0" w:space="0" w:color="auto"/>
            <w:bottom w:val="none" w:sz="0" w:space="0" w:color="auto"/>
            <w:right w:val="none" w:sz="0" w:space="0" w:color="auto"/>
          </w:divBdr>
        </w:div>
        <w:div w:id="1961761958">
          <w:marLeft w:val="0"/>
          <w:marRight w:val="0"/>
          <w:marTop w:val="0"/>
          <w:marBottom w:val="0"/>
          <w:divBdr>
            <w:top w:val="none" w:sz="0" w:space="0" w:color="auto"/>
            <w:left w:val="none" w:sz="0" w:space="0" w:color="auto"/>
            <w:bottom w:val="none" w:sz="0" w:space="0" w:color="auto"/>
            <w:right w:val="none" w:sz="0" w:space="0" w:color="auto"/>
          </w:divBdr>
        </w:div>
        <w:div w:id="1972397253">
          <w:marLeft w:val="0"/>
          <w:marRight w:val="0"/>
          <w:marTop w:val="0"/>
          <w:marBottom w:val="0"/>
          <w:divBdr>
            <w:top w:val="none" w:sz="0" w:space="0" w:color="auto"/>
            <w:left w:val="none" w:sz="0" w:space="0" w:color="auto"/>
            <w:bottom w:val="none" w:sz="0" w:space="0" w:color="auto"/>
            <w:right w:val="none" w:sz="0" w:space="0" w:color="auto"/>
          </w:divBdr>
        </w:div>
        <w:div w:id="1993168819">
          <w:marLeft w:val="0"/>
          <w:marRight w:val="0"/>
          <w:marTop w:val="0"/>
          <w:marBottom w:val="0"/>
          <w:divBdr>
            <w:top w:val="none" w:sz="0" w:space="0" w:color="auto"/>
            <w:left w:val="none" w:sz="0" w:space="0" w:color="auto"/>
            <w:bottom w:val="none" w:sz="0" w:space="0" w:color="auto"/>
            <w:right w:val="none" w:sz="0" w:space="0" w:color="auto"/>
          </w:divBdr>
        </w:div>
        <w:div w:id="2053309011">
          <w:marLeft w:val="0"/>
          <w:marRight w:val="0"/>
          <w:marTop w:val="0"/>
          <w:marBottom w:val="0"/>
          <w:divBdr>
            <w:top w:val="none" w:sz="0" w:space="0" w:color="auto"/>
            <w:left w:val="none" w:sz="0" w:space="0" w:color="auto"/>
            <w:bottom w:val="none" w:sz="0" w:space="0" w:color="auto"/>
            <w:right w:val="none" w:sz="0" w:space="0" w:color="auto"/>
          </w:divBdr>
        </w:div>
        <w:div w:id="2086611214">
          <w:marLeft w:val="0"/>
          <w:marRight w:val="0"/>
          <w:marTop w:val="0"/>
          <w:marBottom w:val="0"/>
          <w:divBdr>
            <w:top w:val="none" w:sz="0" w:space="0" w:color="auto"/>
            <w:left w:val="none" w:sz="0" w:space="0" w:color="auto"/>
            <w:bottom w:val="none" w:sz="0" w:space="0" w:color="auto"/>
            <w:right w:val="none" w:sz="0" w:space="0" w:color="auto"/>
          </w:divBdr>
        </w:div>
        <w:div w:id="2100440415">
          <w:marLeft w:val="0"/>
          <w:marRight w:val="0"/>
          <w:marTop w:val="0"/>
          <w:marBottom w:val="0"/>
          <w:divBdr>
            <w:top w:val="none" w:sz="0" w:space="0" w:color="auto"/>
            <w:left w:val="none" w:sz="0" w:space="0" w:color="auto"/>
            <w:bottom w:val="none" w:sz="0" w:space="0" w:color="auto"/>
            <w:right w:val="none" w:sz="0" w:space="0" w:color="auto"/>
          </w:divBdr>
        </w:div>
        <w:div w:id="2103338303">
          <w:marLeft w:val="0"/>
          <w:marRight w:val="0"/>
          <w:marTop w:val="0"/>
          <w:marBottom w:val="0"/>
          <w:divBdr>
            <w:top w:val="none" w:sz="0" w:space="0" w:color="auto"/>
            <w:left w:val="none" w:sz="0" w:space="0" w:color="auto"/>
            <w:bottom w:val="none" w:sz="0" w:space="0" w:color="auto"/>
            <w:right w:val="none" w:sz="0" w:space="0" w:color="auto"/>
          </w:divBdr>
        </w:div>
      </w:divsChild>
    </w:div>
    <w:div w:id="1219364713">
      <w:bodyDiv w:val="1"/>
      <w:marLeft w:val="0"/>
      <w:marRight w:val="0"/>
      <w:marTop w:val="0"/>
      <w:marBottom w:val="0"/>
      <w:divBdr>
        <w:top w:val="none" w:sz="0" w:space="0" w:color="auto"/>
        <w:left w:val="none" w:sz="0" w:space="0" w:color="auto"/>
        <w:bottom w:val="none" w:sz="0" w:space="0" w:color="auto"/>
        <w:right w:val="none" w:sz="0" w:space="0" w:color="auto"/>
      </w:divBdr>
    </w:div>
    <w:div w:id="1228343626">
      <w:bodyDiv w:val="1"/>
      <w:marLeft w:val="0"/>
      <w:marRight w:val="0"/>
      <w:marTop w:val="0"/>
      <w:marBottom w:val="0"/>
      <w:divBdr>
        <w:top w:val="none" w:sz="0" w:space="0" w:color="auto"/>
        <w:left w:val="none" w:sz="0" w:space="0" w:color="auto"/>
        <w:bottom w:val="none" w:sz="0" w:space="0" w:color="auto"/>
        <w:right w:val="none" w:sz="0" w:space="0" w:color="auto"/>
      </w:divBdr>
      <w:divsChild>
        <w:div w:id="1868788462">
          <w:marLeft w:val="0"/>
          <w:marRight w:val="0"/>
          <w:marTop w:val="0"/>
          <w:marBottom w:val="0"/>
          <w:divBdr>
            <w:top w:val="none" w:sz="0" w:space="0" w:color="auto"/>
            <w:left w:val="none" w:sz="0" w:space="0" w:color="auto"/>
            <w:bottom w:val="none" w:sz="0" w:space="0" w:color="auto"/>
            <w:right w:val="none" w:sz="0" w:space="0" w:color="auto"/>
          </w:divBdr>
          <w:divsChild>
            <w:div w:id="638194866">
              <w:marLeft w:val="0"/>
              <w:marRight w:val="0"/>
              <w:marTop w:val="0"/>
              <w:marBottom w:val="0"/>
              <w:divBdr>
                <w:top w:val="none" w:sz="0" w:space="0" w:color="auto"/>
                <w:left w:val="none" w:sz="0" w:space="0" w:color="auto"/>
                <w:bottom w:val="none" w:sz="0" w:space="0" w:color="auto"/>
                <w:right w:val="none" w:sz="0" w:space="0" w:color="auto"/>
              </w:divBdr>
              <w:divsChild>
                <w:div w:id="116570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537697">
      <w:bodyDiv w:val="1"/>
      <w:marLeft w:val="0"/>
      <w:marRight w:val="0"/>
      <w:marTop w:val="0"/>
      <w:marBottom w:val="0"/>
      <w:divBdr>
        <w:top w:val="none" w:sz="0" w:space="0" w:color="auto"/>
        <w:left w:val="none" w:sz="0" w:space="0" w:color="auto"/>
        <w:bottom w:val="none" w:sz="0" w:space="0" w:color="auto"/>
        <w:right w:val="none" w:sz="0" w:space="0" w:color="auto"/>
      </w:divBdr>
      <w:divsChild>
        <w:div w:id="1304388036">
          <w:marLeft w:val="0"/>
          <w:marRight w:val="0"/>
          <w:marTop w:val="0"/>
          <w:marBottom w:val="0"/>
          <w:divBdr>
            <w:top w:val="none" w:sz="0" w:space="0" w:color="auto"/>
            <w:left w:val="none" w:sz="0" w:space="0" w:color="auto"/>
            <w:bottom w:val="none" w:sz="0" w:space="0" w:color="auto"/>
            <w:right w:val="none" w:sz="0" w:space="0" w:color="auto"/>
          </w:divBdr>
          <w:divsChild>
            <w:div w:id="198126280">
              <w:marLeft w:val="0"/>
              <w:marRight w:val="0"/>
              <w:marTop w:val="0"/>
              <w:marBottom w:val="0"/>
              <w:divBdr>
                <w:top w:val="none" w:sz="0" w:space="0" w:color="auto"/>
                <w:left w:val="none" w:sz="0" w:space="0" w:color="auto"/>
                <w:bottom w:val="none" w:sz="0" w:space="0" w:color="auto"/>
                <w:right w:val="none" w:sz="0" w:space="0" w:color="auto"/>
              </w:divBdr>
              <w:divsChild>
                <w:div w:id="110291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191665">
      <w:bodyDiv w:val="1"/>
      <w:marLeft w:val="0"/>
      <w:marRight w:val="0"/>
      <w:marTop w:val="0"/>
      <w:marBottom w:val="0"/>
      <w:divBdr>
        <w:top w:val="none" w:sz="0" w:space="0" w:color="auto"/>
        <w:left w:val="none" w:sz="0" w:space="0" w:color="auto"/>
        <w:bottom w:val="none" w:sz="0" w:space="0" w:color="auto"/>
        <w:right w:val="none" w:sz="0" w:space="0" w:color="auto"/>
      </w:divBdr>
      <w:divsChild>
        <w:div w:id="2049717370">
          <w:marLeft w:val="0"/>
          <w:marRight w:val="0"/>
          <w:marTop w:val="0"/>
          <w:marBottom w:val="0"/>
          <w:divBdr>
            <w:top w:val="none" w:sz="0" w:space="0" w:color="auto"/>
            <w:left w:val="none" w:sz="0" w:space="0" w:color="auto"/>
            <w:bottom w:val="none" w:sz="0" w:space="0" w:color="auto"/>
            <w:right w:val="none" w:sz="0" w:space="0" w:color="auto"/>
          </w:divBdr>
          <w:divsChild>
            <w:div w:id="1084691417">
              <w:marLeft w:val="0"/>
              <w:marRight w:val="0"/>
              <w:marTop w:val="0"/>
              <w:marBottom w:val="0"/>
              <w:divBdr>
                <w:top w:val="none" w:sz="0" w:space="0" w:color="auto"/>
                <w:left w:val="none" w:sz="0" w:space="0" w:color="auto"/>
                <w:bottom w:val="none" w:sz="0" w:space="0" w:color="auto"/>
                <w:right w:val="none" w:sz="0" w:space="0" w:color="auto"/>
              </w:divBdr>
              <w:divsChild>
                <w:div w:id="110896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725323">
      <w:bodyDiv w:val="1"/>
      <w:marLeft w:val="0"/>
      <w:marRight w:val="0"/>
      <w:marTop w:val="0"/>
      <w:marBottom w:val="0"/>
      <w:divBdr>
        <w:top w:val="none" w:sz="0" w:space="0" w:color="auto"/>
        <w:left w:val="none" w:sz="0" w:space="0" w:color="auto"/>
        <w:bottom w:val="none" w:sz="0" w:space="0" w:color="auto"/>
        <w:right w:val="none" w:sz="0" w:space="0" w:color="auto"/>
      </w:divBdr>
      <w:divsChild>
        <w:div w:id="1336612384">
          <w:marLeft w:val="0"/>
          <w:marRight w:val="0"/>
          <w:marTop w:val="0"/>
          <w:marBottom w:val="0"/>
          <w:divBdr>
            <w:top w:val="none" w:sz="0" w:space="0" w:color="auto"/>
            <w:left w:val="none" w:sz="0" w:space="0" w:color="auto"/>
            <w:bottom w:val="none" w:sz="0" w:space="0" w:color="auto"/>
            <w:right w:val="none" w:sz="0" w:space="0" w:color="auto"/>
          </w:divBdr>
          <w:divsChild>
            <w:div w:id="1982154602">
              <w:marLeft w:val="0"/>
              <w:marRight w:val="0"/>
              <w:marTop w:val="0"/>
              <w:marBottom w:val="0"/>
              <w:divBdr>
                <w:top w:val="none" w:sz="0" w:space="0" w:color="auto"/>
                <w:left w:val="none" w:sz="0" w:space="0" w:color="auto"/>
                <w:bottom w:val="none" w:sz="0" w:space="0" w:color="auto"/>
                <w:right w:val="none" w:sz="0" w:space="0" w:color="auto"/>
              </w:divBdr>
              <w:divsChild>
                <w:div w:id="149313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942375">
      <w:bodyDiv w:val="1"/>
      <w:marLeft w:val="0"/>
      <w:marRight w:val="0"/>
      <w:marTop w:val="0"/>
      <w:marBottom w:val="0"/>
      <w:divBdr>
        <w:top w:val="none" w:sz="0" w:space="0" w:color="auto"/>
        <w:left w:val="none" w:sz="0" w:space="0" w:color="auto"/>
        <w:bottom w:val="none" w:sz="0" w:space="0" w:color="auto"/>
        <w:right w:val="none" w:sz="0" w:space="0" w:color="auto"/>
      </w:divBdr>
      <w:divsChild>
        <w:div w:id="338460429">
          <w:marLeft w:val="0"/>
          <w:marRight w:val="0"/>
          <w:marTop w:val="0"/>
          <w:marBottom w:val="0"/>
          <w:divBdr>
            <w:top w:val="none" w:sz="0" w:space="0" w:color="auto"/>
            <w:left w:val="none" w:sz="0" w:space="0" w:color="auto"/>
            <w:bottom w:val="none" w:sz="0" w:space="0" w:color="auto"/>
            <w:right w:val="none" w:sz="0" w:space="0" w:color="auto"/>
          </w:divBdr>
          <w:divsChild>
            <w:div w:id="1686905936">
              <w:marLeft w:val="0"/>
              <w:marRight w:val="0"/>
              <w:marTop w:val="0"/>
              <w:marBottom w:val="0"/>
              <w:divBdr>
                <w:top w:val="none" w:sz="0" w:space="0" w:color="auto"/>
                <w:left w:val="none" w:sz="0" w:space="0" w:color="auto"/>
                <w:bottom w:val="none" w:sz="0" w:space="0" w:color="auto"/>
                <w:right w:val="none" w:sz="0" w:space="0" w:color="auto"/>
              </w:divBdr>
              <w:divsChild>
                <w:div w:id="53877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175589">
      <w:bodyDiv w:val="1"/>
      <w:marLeft w:val="0"/>
      <w:marRight w:val="0"/>
      <w:marTop w:val="0"/>
      <w:marBottom w:val="0"/>
      <w:divBdr>
        <w:top w:val="none" w:sz="0" w:space="0" w:color="auto"/>
        <w:left w:val="none" w:sz="0" w:space="0" w:color="auto"/>
        <w:bottom w:val="none" w:sz="0" w:space="0" w:color="auto"/>
        <w:right w:val="none" w:sz="0" w:space="0" w:color="auto"/>
      </w:divBdr>
      <w:divsChild>
        <w:div w:id="372927151">
          <w:marLeft w:val="0"/>
          <w:marRight w:val="0"/>
          <w:marTop w:val="0"/>
          <w:marBottom w:val="0"/>
          <w:divBdr>
            <w:top w:val="none" w:sz="0" w:space="0" w:color="auto"/>
            <w:left w:val="none" w:sz="0" w:space="0" w:color="auto"/>
            <w:bottom w:val="none" w:sz="0" w:space="0" w:color="auto"/>
            <w:right w:val="none" w:sz="0" w:space="0" w:color="auto"/>
          </w:divBdr>
          <w:divsChild>
            <w:div w:id="621612087">
              <w:marLeft w:val="0"/>
              <w:marRight w:val="0"/>
              <w:marTop w:val="0"/>
              <w:marBottom w:val="0"/>
              <w:divBdr>
                <w:top w:val="none" w:sz="0" w:space="0" w:color="auto"/>
                <w:left w:val="none" w:sz="0" w:space="0" w:color="auto"/>
                <w:bottom w:val="none" w:sz="0" w:space="0" w:color="auto"/>
                <w:right w:val="none" w:sz="0" w:space="0" w:color="auto"/>
              </w:divBdr>
              <w:divsChild>
                <w:div w:id="82145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996870">
      <w:bodyDiv w:val="1"/>
      <w:marLeft w:val="0"/>
      <w:marRight w:val="0"/>
      <w:marTop w:val="0"/>
      <w:marBottom w:val="0"/>
      <w:divBdr>
        <w:top w:val="none" w:sz="0" w:space="0" w:color="auto"/>
        <w:left w:val="none" w:sz="0" w:space="0" w:color="auto"/>
        <w:bottom w:val="none" w:sz="0" w:space="0" w:color="auto"/>
        <w:right w:val="none" w:sz="0" w:space="0" w:color="auto"/>
      </w:divBdr>
      <w:divsChild>
        <w:div w:id="1511681344">
          <w:marLeft w:val="0"/>
          <w:marRight w:val="0"/>
          <w:marTop w:val="0"/>
          <w:marBottom w:val="0"/>
          <w:divBdr>
            <w:top w:val="none" w:sz="0" w:space="0" w:color="auto"/>
            <w:left w:val="none" w:sz="0" w:space="0" w:color="auto"/>
            <w:bottom w:val="none" w:sz="0" w:space="0" w:color="auto"/>
            <w:right w:val="none" w:sz="0" w:space="0" w:color="auto"/>
          </w:divBdr>
          <w:divsChild>
            <w:div w:id="1207257212">
              <w:marLeft w:val="0"/>
              <w:marRight w:val="0"/>
              <w:marTop w:val="0"/>
              <w:marBottom w:val="0"/>
              <w:divBdr>
                <w:top w:val="none" w:sz="0" w:space="0" w:color="auto"/>
                <w:left w:val="none" w:sz="0" w:space="0" w:color="auto"/>
                <w:bottom w:val="none" w:sz="0" w:space="0" w:color="auto"/>
                <w:right w:val="none" w:sz="0" w:space="0" w:color="auto"/>
              </w:divBdr>
              <w:divsChild>
                <w:div w:id="149179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794318">
      <w:bodyDiv w:val="1"/>
      <w:marLeft w:val="0"/>
      <w:marRight w:val="0"/>
      <w:marTop w:val="0"/>
      <w:marBottom w:val="0"/>
      <w:divBdr>
        <w:top w:val="none" w:sz="0" w:space="0" w:color="auto"/>
        <w:left w:val="none" w:sz="0" w:space="0" w:color="auto"/>
        <w:bottom w:val="none" w:sz="0" w:space="0" w:color="auto"/>
        <w:right w:val="none" w:sz="0" w:space="0" w:color="auto"/>
      </w:divBdr>
    </w:div>
    <w:div w:id="1573546268">
      <w:bodyDiv w:val="1"/>
      <w:marLeft w:val="0"/>
      <w:marRight w:val="0"/>
      <w:marTop w:val="0"/>
      <w:marBottom w:val="0"/>
      <w:divBdr>
        <w:top w:val="none" w:sz="0" w:space="0" w:color="auto"/>
        <w:left w:val="none" w:sz="0" w:space="0" w:color="auto"/>
        <w:bottom w:val="none" w:sz="0" w:space="0" w:color="auto"/>
        <w:right w:val="none" w:sz="0" w:space="0" w:color="auto"/>
      </w:divBdr>
      <w:divsChild>
        <w:div w:id="1668240422">
          <w:marLeft w:val="0"/>
          <w:marRight w:val="0"/>
          <w:marTop w:val="0"/>
          <w:marBottom w:val="0"/>
          <w:divBdr>
            <w:top w:val="none" w:sz="0" w:space="0" w:color="auto"/>
            <w:left w:val="none" w:sz="0" w:space="0" w:color="auto"/>
            <w:bottom w:val="none" w:sz="0" w:space="0" w:color="auto"/>
            <w:right w:val="none" w:sz="0" w:space="0" w:color="auto"/>
          </w:divBdr>
          <w:divsChild>
            <w:div w:id="731387094">
              <w:marLeft w:val="0"/>
              <w:marRight w:val="0"/>
              <w:marTop w:val="0"/>
              <w:marBottom w:val="0"/>
              <w:divBdr>
                <w:top w:val="none" w:sz="0" w:space="0" w:color="auto"/>
                <w:left w:val="none" w:sz="0" w:space="0" w:color="auto"/>
                <w:bottom w:val="none" w:sz="0" w:space="0" w:color="auto"/>
                <w:right w:val="none" w:sz="0" w:space="0" w:color="auto"/>
              </w:divBdr>
              <w:divsChild>
                <w:div w:id="43039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557815">
      <w:bodyDiv w:val="1"/>
      <w:marLeft w:val="0"/>
      <w:marRight w:val="0"/>
      <w:marTop w:val="0"/>
      <w:marBottom w:val="0"/>
      <w:divBdr>
        <w:top w:val="none" w:sz="0" w:space="0" w:color="auto"/>
        <w:left w:val="none" w:sz="0" w:space="0" w:color="auto"/>
        <w:bottom w:val="none" w:sz="0" w:space="0" w:color="auto"/>
        <w:right w:val="none" w:sz="0" w:space="0" w:color="auto"/>
      </w:divBdr>
      <w:divsChild>
        <w:div w:id="189298455">
          <w:marLeft w:val="0"/>
          <w:marRight w:val="0"/>
          <w:marTop w:val="0"/>
          <w:marBottom w:val="0"/>
          <w:divBdr>
            <w:top w:val="none" w:sz="0" w:space="0" w:color="auto"/>
            <w:left w:val="none" w:sz="0" w:space="0" w:color="auto"/>
            <w:bottom w:val="none" w:sz="0" w:space="0" w:color="auto"/>
            <w:right w:val="none" w:sz="0" w:space="0" w:color="auto"/>
          </w:divBdr>
          <w:divsChild>
            <w:div w:id="722607303">
              <w:marLeft w:val="0"/>
              <w:marRight w:val="0"/>
              <w:marTop w:val="0"/>
              <w:marBottom w:val="0"/>
              <w:divBdr>
                <w:top w:val="none" w:sz="0" w:space="0" w:color="auto"/>
                <w:left w:val="none" w:sz="0" w:space="0" w:color="auto"/>
                <w:bottom w:val="none" w:sz="0" w:space="0" w:color="auto"/>
                <w:right w:val="none" w:sz="0" w:space="0" w:color="auto"/>
              </w:divBdr>
              <w:divsChild>
                <w:div w:id="24399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299483">
      <w:bodyDiv w:val="1"/>
      <w:marLeft w:val="0"/>
      <w:marRight w:val="0"/>
      <w:marTop w:val="0"/>
      <w:marBottom w:val="0"/>
      <w:divBdr>
        <w:top w:val="none" w:sz="0" w:space="0" w:color="auto"/>
        <w:left w:val="none" w:sz="0" w:space="0" w:color="auto"/>
        <w:bottom w:val="none" w:sz="0" w:space="0" w:color="auto"/>
        <w:right w:val="none" w:sz="0" w:space="0" w:color="auto"/>
      </w:divBdr>
      <w:divsChild>
        <w:div w:id="1589002070">
          <w:marLeft w:val="0"/>
          <w:marRight w:val="0"/>
          <w:marTop w:val="0"/>
          <w:marBottom w:val="0"/>
          <w:divBdr>
            <w:top w:val="none" w:sz="0" w:space="0" w:color="auto"/>
            <w:left w:val="none" w:sz="0" w:space="0" w:color="auto"/>
            <w:bottom w:val="none" w:sz="0" w:space="0" w:color="auto"/>
            <w:right w:val="none" w:sz="0" w:space="0" w:color="auto"/>
          </w:divBdr>
          <w:divsChild>
            <w:div w:id="124852578">
              <w:marLeft w:val="0"/>
              <w:marRight w:val="0"/>
              <w:marTop w:val="0"/>
              <w:marBottom w:val="0"/>
              <w:divBdr>
                <w:top w:val="none" w:sz="0" w:space="0" w:color="auto"/>
                <w:left w:val="none" w:sz="0" w:space="0" w:color="auto"/>
                <w:bottom w:val="none" w:sz="0" w:space="0" w:color="auto"/>
                <w:right w:val="none" w:sz="0" w:space="0" w:color="auto"/>
              </w:divBdr>
              <w:divsChild>
                <w:div w:id="6403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750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1.tce.pr.gov.br/multimidia/2024/4/pdf/00383747.pdf" TargetMode="External"/><Relationship Id="rId18" Type="http://schemas.openxmlformats.org/officeDocument/2006/relationships/hyperlink" Target="https://www1.tce.pr.gov.br/multimidia/2024/6/pdf/00385726.pdf"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1.tce.pr.gov.br/conteudo/pesquisas-prontas/308475/area/249" TargetMode="External"/><Relationship Id="rId7" Type="http://schemas.openxmlformats.org/officeDocument/2006/relationships/styles" Target="styles.xml"/><Relationship Id="rId12" Type="http://schemas.openxmlformats.org/officeDocument/2006/relationships/hyperlink" Target="https://www1.tce.pr.gov.br/multimidia/2024/6/pdf/00386095.pdf" TargetMode="External"/><Relationship Id="rId17" Type="http://schemas.openxmlformats.org/officeDocument/2006/relationships/hyperlink" Target="https://www1.tce.pr.gov.br/multimidia/2024/4/pdf/00383747.pdf" TargetMode="External"/><Relationship Id="rId25" Type="http://schemas.openxmlformats.org/officeDocument/2006/relationships/hyperlink" Target="http://www1.tce.pr.gov.br/conteudo/sumulas-selecionadas/316602/area/249" TargetMode="External"/><Relationship Id="rId2" Type="http://schemas.openxmlformats.org/officeDocument/2006/relationships/customXml" Target="../customXml/item2.xml"/><Relationship Id="rId16" Type="http://schemas.openxmlformats.org/officeDocument/2006/relationships/hyperlink" Target="https://www1.tce.pr.gov.br/multimidia/2024/6/pdf/00385725.pdf" TargetMode="External"/><Relationship Id="rId20" Type="http://schemas.openxmlformats.org/officeDocument/2006/relationships/hyperlink" Target="https://www1.tce.pr.gov.br/multimidia/2024/4/pdf/00383747.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1.tce.pr.gov.br/conteudo/repercussao-geral-no-stf-e-os-tribunais-de-contas/307026/area/249" TargetMode="External"/><Relationship Id="rId5" Type="http://schemas.openxmlformats.org/officeDocument/2006/relationships/customXml" Target="../customXml/item5.xml"/><Relationship Id="rId15" Type="http://schemas.openxmlformats.org/officeDocument/2006/relationships/hyperlink" Target="https://www1.tce.pr.gov.br/multimidia/2024/4/pdf/00383747.pdf" TargetMode="External"/><Relationship Id="rId23" Type="http://schemas.openxmlformats.org/officeDocument/2006/relationships/hyperlink" Target="http://www1.tce.pr.gov.br/conteudo/boletim-de-jurisprudencia-internacional/316601/area/249"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1.tce.pr.gov.br/multimidia/2024/6/pdf/00385949.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1.tce.pr.gov.br/multimidia/2024/6/pdf/00385733.pdf" TargetMode="External"/><Relationship Id="rId22" Type="http://schemas.openxmlformats.org/officeDocument/2006/relationships/hyperlink" Target="http://www1.tce.pr.gov.br/conteudo/teses-ambientais/316603/area/249"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j1WaZ57oWgmG+x55m+ksCdsl6A==">AMUW2mUhP3Z+Zv/Kp+73SKBog/nhBTGkZHQck/NAIAfPL0TsGEn1cX+xD0gaYcIpBhansl+Zbrh6QaIOXhX3VxeGw8LbLIWYNj6NQQZOdvo9Rg/razBD0VUmpN4sf1LOhYvzSTpXh7xTVvNcmEwpChRuEIjHZ1zvzXuVC4U8/tWFOl7eQNwWXHA=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0B866433455D4A44B3FF26D3E158E8A3" ma:contentTypeVersion="7" ma:contentTypeDescription="Crie um novo documento." ma:contentTypeScope="" ma:versionID="5f6fe9857337afd2487d84d6a9f99569">
  <xsd:schema xmlns:xsd="http://www.w3.org/2001/XMLSchema" xmlns:xs="http://www.w3.org/2001/XMLSchema" xmlns:p="http://schemas.microsoft.com/office/2006/metadata/properties" xmlns:ns2="f62bad52-2a6e-40b3-a3af-2da62eb33b1b" xmlns:ns3="0679600b-37c4-4a70-a7c4-c4f216b34211" targetNamespace="http://schemas.microsoft.com/office/2006/metadata/properties" ma:root="true" ma:fieldsID="d1cedce80267e40600dc352f2429a5d7" ns2:_="" ns3:_="">
    <xsd:import namespace="f62bad52-2a6e-40b3-a3af-2da62eb33b1b"/>
    <xsd:import namespace="0679600b-37c4-4a70-a7c4-c4f216b342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2bad52-2a6e-40b3-a3af-2da62eb33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79600b-37c4-4a70-a7c4-c4f216b34211" elementFormDefault="qualified">
    <xsd:import namespace="http://schemas.microsoft.com/office/2006/documentManagement/types"/>
    <xsd:import namespace="http://schemas.microsoft.com/office/infopath/2007/PartnerControls"/>
    <xsd:element name="SharedWithUsers" ma:index="12"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CDCCE19-B0C8-4E19-9B2A-61002977013A}">
  <ds:schemaRefs>
    <ds:schemaRef ds:uri="http://schemas.openxmlformats.org/officeDocument/2006/bibliography"/>
  </ds:schemaRefs>
</ds:datastoreItem>
</file>

<file path=customXml/itemProps3.xml><?xml version="1.0" encoding="utf-8"?>
<ds:datastoreItem xmlns:ds="http://schemas.openxmlformats.org/officeDocument/2006/customXml" ds:itemID="{6B208239-AE8C-447E-8C19-CD8972E9E1ED}">
  <ds:schemaRefs>
    <ds:schemaRef ds:uri="http://schemas.microsoft.com/sharepoint/v3/contenttype/forms"/>
  </ds:schemaRefs>
</ds:datastoreItem>
</file>

<file path=customXml/itemProps4.xml><?xml version="1.0" encoding="utf-8"?>
<ds:datastoreItem xmlns:ds="http://schemas.openxmlformats.org/officeDocument/2006/customXml" ds:itemID="{AE8BC35C-67BB-4CBE-870B-ABC08BF014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2bad52-2a6e-40b3-a3af-2da62eb33b1b"/>
    <ds:schemaRef ds:uri="0679600b-37c4-4a70-a7c4-c4f216b342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DDDA57E-0C77-4226-AF69-B25669B5317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9</Pages>
  <Words>3726</Words>
  <Characters>20123</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Isidio Martins</dc:creator>
  <cp:keywords/>
  <dc:description/>
  <cp:lastModifiedBy>Fernando do Rego Barros Filho</cp:lastModifiedBy>
  <cp:revision>8</cp:revision>
  <cp:lastPrinted>2023-07-25T17:06:00Z</cp:lastPrinted>
  <dcterms:created xsi:type="dcterms:W3CDTF">2024-07-15T02:45:00Z</dcterms:created>
  <dcterms:modified xsi:type="dcterms:W3CDTF">2024-07-15T03:47:00Z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0x0101000B866433455D4A44B3FF26D3E158E8A3</vt:lpwstr>
  </property>
</Properties>
</file>