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23E62" w14:textId="140E3E5B" w:rsidR="007C18E7" w:rsidRPr="00F6070E" w:rsidRDefault="007C18E7" w:rsidP="00F6070E">
      <w:pPr>
        <w:pStyle w:val="Cabealho"/>
        <w:spacing w:line="276" w:lineRule="auto"/>
        <w:jc w:val="center"/>
        <w:rPr>
          <w:rFonts w:ascii="Arial" w:hAnsi="Arial" w:cs="Arial"/>
          <w:sz w:val="20"/>
          <w:szCs w:val="20"/>
        </w:rPr>
      </w:pPr>
      <w:r w:rsidRPr="00F6070E">
        <w:rPr>
          <w:rFonts w:ascii="Arial" w:hAnsi="Arial" w:cs="Arial"/>
          <w:b/>
          <w:sz w:val="20"/>
          <w:szCs w:val="20"/>
        </w:rPr>
        <w:t>Boletim de Jurisprudência TCEPR</w:t>
      </w:r>
      <w:r w:rsidRPr="00F6070E">
        <w:rPr>
          <w:rFonts w:ascii="Arial" w:hAnsi="Arial" w:cs="Arial"/>
          <w:sz w:val="20"/>
          <w:szCs w:val="20"/>
        </w:rPr>
        <w:t xml:space="preserve"> </w:t>
      </w:r>
    </w:p>
    <w:p w14:paraId="4EF0156F" w14:textId="77777777" w:rsidR="007C18E7" w:rsidRPr="00F6070E" w:rsidRDefault="007C18E7" w:rsidP="00F6070E">
      <w:pPr>
        <w:spacing w:after="0"/>
        <w:jc w:val="center"/>
        <w:rPr>
          <w:rFonts w:ascii="Arial" w:hAnsi="Arial" w:cs="Arial"/>
          <w:b/>
          <w:sz w:val="20"/>
          <w:szCs w:val="20"/>
        </w:rPr>
      </w:pPr>
    </w:p>
    <w:p w14:paraId="6B732960" w14:textId="2B430A3D" w:rsidR="007C18E7" w:rsidRPr="00F6070E" w:rsidRDefault="007C18E7" w:rsidP="00F6070E">
      <w:pPr>
        <w:spacing w:after="0"/>
        <w:jc w:val="center"/>
        <w:rPr>
          <w:rFonts w:ascii="Arial" w:hAnsi="Arial" w:cs="Arial"/>
          <w:b/>
          <w:sz w:val="20"/>
          <w:szCs w:val="20"/>
        </w:rPr>
      </w:pPr>
      <w:r w:rsidRPr="00F6070E">
        <w:rPr>
          <w:rFonts w:ascii="Arial" w:hAnsi="Arial" w:cs="Arial"/>
          <w:b/>
          <w:sz w:val="20"/>
          <w:szCs w:val="20"/>
        </w:rPr>
        <w:t xml:space="preserve">Número </w:t>
      </w:r>
      <w:r w:rsidR="008B531B">
        <w:rPr>
          <w:rFonts w:ascii="Arial" w:hAnsi="Arial" w:cs="Arial"/>
          <w:b/>
          <w:sz w:val="20"/>
          <w:szCs w:val="20"/>
        </w:rPr>
        <w:t>90</w:t>
      </w:r>
    </w:p>
    <w:p w14:paraId="3C0730DA" w14:textId="77777777" w:rsidR="007C18E7" w:rsidRPr="00F6070E" w:rsidRDefault="007C18E7" w:rsidP="00F6070E">
      <w:pPr>
        <w:spacing w:after="0"/>
        <w:jc w:val="center"/>
        <w:rPr>
          <w:rFonts w:ascii="Arial" w:hAnsi="Arial" w:cs="Arial"/>
          <w:b/>
          <w:sz w:val="20"/>
          <w:szCs w:val="20"/>
          <w:highlight w:val="yellow"/>
        </w:rPr>
      </w:pPr>
    </w:p>
    <w:p w14:paraId="7AE9E11A" w14:textId="70FF98B9" w:rsidR="007C18E7" w:rsidRPr="00F6070E" w:rsidRDefault="007C18E7" w:rsidP="00F6070E">
      <w:pPr>
        <w:spacing w:after="0"/>
        <w:jc w:val="center"/>
        <w:rPr>
          <w:rFonts w:ascii="Arial" w:hAnsi="Arial" w:cs="Arial"/>
          <w:b/>
          <w:strike/>
          <w:sz w:val="20"/>
          <w:szCs w:val="20"/>
        </w:rPr>
      </w:pPr>
      <w:r w:rsidRPr="00F6070E">
        <w:rPr>
          <w:rFonts w:ascii="Arial" w:hAnsi="Arial" w:cs="Arial"/>
          <w:b/>
          <w:sz w:val="20"/>
          <w:szCs w:val="20"/>
        </w:rPr>
        <w:t xml:space="preserve">Sessões: </w:t>
      </w:r>
      <w:r w:rsidR="008B531B">
        <w:rPr>
          <w:rFonts w:ascii="Arial" w:hAnsi="Arial" w:cs="Arial"/>
          <w:b/>
          <w:sz w:val="20"/>
          <w:szCs w:val="20"/>
        </w:rPr>
        <w:t>09</w:t>
      </w:r>
      <w:r w:rsidRPr="00F6070E">
        <w:rPr>
          <w:rFonts w:ascii="Arial" w:hAnsi="Arial" w:cs="Arial"/>
          <w:b/>
          <w:sz w:val="20"/>
          <w:szCs w:val="20"/>
        </w:rPr>
        <w:t>.</w:t>
      </w:r>
      <w:r w:rsidR="008B1B32" w:rsidRPr="00F6070E">
        <w:rPr>
          <w:rFonts w:ascii="Arial" w:hAnsi="Arial" w:cs="Arial"/>
          <w:b/>
          <w:sz w:val="20"/>
          <w:szCs w:val="20"/>
        </w:rPr>
        <w:t>1</w:t>
      </w:r>
      <w:r w:rsidR="008B531B">
        <w:rPr>
          <w:rFonts w:ascii="Arial" w:hAnsi="Arial" w:cs="Arial"/>
          <w:b/>
          <w:sz w:val="20"/>
          <w:szCs w:val="20"/>
        </w:rPr>
        <w:t>1</w:t>
      </w:r>
      <w:r w:rsidR="00D36D68" w:rsidRPr="00F6070E">
        <w:rPr>
          <w:rFonts w:ascii="Arial" w:hAnsi="Arial" w:cs="Arial"/>
          <w:b/>
          <w:sz w:val="20"/>
          <w:szCs w:val="20"/>
        </w:rPr>
        <w:t>.20</w:t>
      </w:r>
      <w:r w:rsidR="006B3A64" w:rsidRPr="00F6070E">
        <w:rPr>
          <w:rFonts w:ascii="Arial" w:hAnsi="Arial" w:cs="Arial"/>
          <w:b/>
          <w:sz w:val="20"/>
          <w:szCs w:val="20"/>
        </w:rPr>
        <w:t>20</w:t>
      </w:r>
      <w:r w:rsidRPr="00F6070E">
        <w:rPr>
          <w:rFonts w:ascii="Arial" w:hAnsi="Arial" w:cs="Arial"/>
          <w:b/>
          <w:sz w:val="20"/>
          <w:szCs w:val="20"/>
        </w:rPr>
        <w:t xml:space="preserve"> a</w:t>
      </w:r>
      <w:r w:rsidR="00E94A7F" w:rsidRPr="00F6070E">
        <w:rPr>
          <w:rFonts w:ascii="Arial" w:hAnsi="Arial" w:cs="Arial"/>
          <w:b/>
          <w:sz w:val="20"/>
          <w:szCs w:val="20"/>
        </w:rPr>
        <w:t xml:space="preserve"> </w:t>
      </w:r>
      <w:r w:rsidR="008B531B">
        <w:rPr>
          <w:rFonts w:ascii="Arial" w:hAnsi="Arial" w:cs="Arial"/>
          <w:b/>
          <w:sz w:val="20"/>
          <w:szCs w:val="20"/>
        </w:rPr>
        <w:t>16</w:t>
      </w:r>
      <w:r w:rsidRPr="00F6070E">
        <w:rPr>
          <w:rFonts w:ascii="Arial" w:hAnsi="Arial" w:cs="Arial"/>
          <w:b/>
          <w:sz w:val="20"/>
          <w:szCs w:val="20"/>
        </w:rPr>
        <w:t>.</w:t>
      </w:r>
      <w:r w:rsidR="008B1B32" w:rsidRPr="00F6070E">
        <w:rPr>
          <w:rFonts w:ascii="Arial" w:hAnsi="Arial" w:cs="Arial"/>
          <w:b/>
          <w:sz w:val="20"/>
          <w:szCs w:val="20"/>
        </w:rPr>
        <w:t>1</w:t>
      </w:r>
      <w:r w:rsidR="008B531B">
        <w:rPr>
          <w:rFonts w:ascii="Arial" w:hAnsi="Arial" w:cs="Arial"/>
          <w:b/>
          <w:sz w:val="20"/>
          <w:szCs w:val="20"/>
        </w:rPr>
        <w:t>1</w:t>
      </w:r>
      <w:r w:rsidR="00D36D68" w:rsidRPr="00F6070E">
        <w:rPr>
          <w:rFonts w:ascii="Arial" w:hAnsi="Arial" w:cs="Arial"/>
          <w:b/>
          <w:sz w:val="20"/>
          <w:szCs w:val="20"/>
        </w:rPr>
        <w:t>.</w:t>
      </w:r>
      <w:r w:rsidRPr="00F6070E">
        <w:rPr>
          <w:rFonts w:ascii="Arial" w:hAnsi="Arial" w:cs="Arial"/>
          <w:b/>
          <w:sz w:val="20"/>
          <w:szCs w:val="20"/>
        </w:rPr>
        <w:t>20</w:t>
      </w:r>
      <w:r w:rsidR="00D36D68" w:rsidRPr="00F6070E">
        <w:rPr>
          <w:rFonts w:ascii="Arial" w:hAnsi="Arial" w:cs="Arial"/>
          <w:b/>
          <w:sz w:val="20"/>
          <w:szCs w:val="20"/>
        </w:rPr>
        <w:t>20</w:t>
      </w:r>
    </w:p>
    <w:p w14:paraId="796D8E57" w14:textId="77777777" w:rsidR="007C18E7" w:rsidRPr="00F6070E" w:rsidRDefault="007C18E7" w:rsidP="00F6070E">
      <w:pPr>
        <w:spacing w:after="0"/>
        <w:jc w:val="both"/>
        <w:rPr>
          <w:rFonts w:ascii="Arial" w:hAnsi="Arial" w:cs="Arial"/>
          <w:sz w:val="20"/>
          <w:szCs w:val="20"/>
        </w:rPr>
      </w:pPr>
    </w:p>
    <w:p w14:paraId="794DB6E9" w14:textId="643703E3" w:rsidR="007C18E7" w:rsidRPr="008B531B" w:rsidRDefault="007C18E7" w:rsidP="00F6070E">
      <w:pPr>
        <w:spacing w:after="0"/>
        <w:jc w:val="both"/>
        <w:rPr>
          <w:rFonts w:ascii="Arial" w:hAnsi="Arial" w:cs="Arial"/>
          <w:color w:val="000000" w:themeColor="text1"/>
          <w:sz w:val="20"/>
          <w:szCs w:val="20"/>
        </w:rPr>
      </w:pPr>
      <w:r w:rsidRPr="008B531B">
        <w:rPr>
          <w:rFonts w:ascii="Arial" w:hAnsi="Arial" w:cs="Arial"/>
          <w:color w:val="000000" w:themeColor="text1"/>
          <w:sz w:val="20"/>
          <w:szCs w:val="20"/>
        </w:rPr>
        <w:t>Este Boletim contém informações sintéticas de decisões proferidas pelos Colegiados do TCEPR que receberam indicação de relevância sob o prisma jurisprudencial no período acima indicado. A seleção das decisões leva em consideração ao menos um dos seguintes fatores: ineditismo da deliberação, discussão no colegiado ou reiteração de entendimento importante. O objetivo é facilitar ao interessado o acompanhamento dos acórdãos mais importantes do Tribunal. Para aprofundamento, o leitor pode acessar o inteiro teor das deliberações por meio dos links disponíveis. As informações aqui apresentadas não são repositórios oficiais de jurisprudência.</w:t>
      </w:r>
    </w:p>
    <w:p w14:paraId="356F11D7" w14:textId="77777777" w:rsidR="007C18E7" w:rsidRPr="00F6070E" w:rsidRDefault="007C18E7" w:rsidP="00F6070E">
      <w:pPr>
        <w:spacing w:after="0"/>
        <w:jc w:val="both"/>
        <w:rPr>
          <w:rFonts w:ascii="Arial" w:hAnsi="Arial" w:cs="Arial"/>
          <w:sz w:val="20"/>
          <w:szCs w:val="20"/>
        </w:rPr>
      </w:pPr>
      <w:r w:rsidRPr="00F6070E">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F6070E" w:rsidRDefault="007C18E7" w:rsidP="00F6070E">
      <w:pPr>
        <w:shd w:val="pct10" w:color="auto" w:fill="auto"/>
        <w:spacing w:after="0"/>
        <w:jc w:val="center"/>
        <w:rPr>
          <w:rFonts w:ascii="Arial" w:hAnsi="Arial" w:cs="Arial"/>
          <w:b/>
          <w:sz w:val="20"/>
          <w:szCs w:val="20"/>
        </w:rPr>
      </w:pPr>
      <w:r w:rsidRPr="00F6070E">
        <w:rPr>
          <w:rFonts w:ascii="Arial" w:hAnsi="Arial" w:cs="Arial"/>
          <w:b/>
          <w:sz w:val="20"/>
          <w:szCs w:val="20"/>
        </w:rPr>
        <w:t>SUMÁRIO</w:t>
      </w:r>
    </w:p>
    <w:p w14:paraId="2E26773E" w14:textId="7DD84D01" w:rsidR="007612A8" w:rsidRPr="008B531B" w:rsidRDefault="007612A8" w:rsidP="00F6070E">
      <w:pPr>
        <w:autoSpaceDE w:val="0"/>
        <w:autoSpaceDN w:val="0"/>
        <w:adjustRightInd w:val="0"/>
        <w:spacing w:after="0"/>
        <w:jc w:val="both"/>
        <w:rPr>
          <w:rFonts w:ascii="Arial" w:hAnsi="Arial" w:cs="Arial"/>
          <w:sz w:val="20"/>
          <w:szCs w:val="20"/>
        </w:rPr>
      </w:pPr>
    </w:p>
    <w:p w14:paraId="14F037D5"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 xml:space="preserve">1. Inativação. Ato de aposentadoria desprovido de fundamento legal. Ausência de contribuições previdenciárias. Inexistência de regime próprio de previdência para custear o benefício. Não implemento dos requisitos para aposentadoria até a Emenda Constitucional n.º 20/98. Negativa de registro. </w:t>
      </w:r>
    </w:p>
    <w:p w14:paraId="636F0B57" w14:textId="3612F0AF" w:rsidR="00676E3C" w:rsidRDefault="00676E3C" w:rsidP="00676E3C">
      <w:pPr>
        <w:autoSpaceDE w:val="0"/>
        <w:autoSpaceDN w:val="0"/>
        <w:adjustRightInd w:val="0"/>
        <w:spacing w:after="0"/>
        <w:jc w:val="both"/>
        <w:rPr>
          <w:rFonts w:ascii="Arial" w:hAnsi="Arial" w:cs="Arial"/>
          <w:sz w:val="20"/>
          <w:szCs w:val="20"/>
        </w:rPr>
      </w:pPr>
    </w:p>
    <w:p w14:paraId="0FA82884" w14:textId="61379254" w:rsidR="00676E3C" w:rsidRDefault="00676E3C" w:rsidP="008B531B">
      <w:pPr>
        <w:autoSpaceDE w:val="0"/>
        <w:autoSpaceDN w:val="0"/>
        <w:adjustRightInd w:val="0"/>
        <w:spacing w:after="0" w:line="240" w:lineRule="auto"/>
        <w:jc w:val="both"/>
        <w:rPr>
          <w:rFonts w:ascii="Arial" w:hAnsi="Arial" w:cs="Arial"/>
          <w:b/>
          <w:bCs/>
          <w:sz w:val="20"/>
          <w:szCs w:val="20"/>
        </w:rPr>
      </w:pPr>
      <w:r w:rsidRPr="00676E3C">
        <w:rPr>
          <w:rFonts w:ascii="Arial" w:hAnsi="Arial" w:cs="Arial"/>
          <w:bCs/>
          <w:sz w:val="20"/>
          <w:szCs w:val="20"/>
        </w:rPr>
        <w:t xml:space="preserve">2. </w:t>
      </w:r>
      <w:r w:rsidR="008B531B" w:rsidRPr="008B531B">
        <w:rPr>
          <w:rFonts w:ascii="Arial" w:hAnsi="Arial" w:cs="Arial"/>
          <w:sz w:val="20"/>
          <w:szCs w:val="20"/>
        </w:rPr>
        <w:t>Admissão. Teste Seletivo. Edital n° 21/2017. Ausência de registro das contratações referentes à 4ª fase no sistema SIAP. Omissão do gestor em cumprir prazos e normas exarados por este Tribunal de Contas. Determinação. Multa.</w:t>
      </w:r>
    </w:p>
    <w:p w14:paraId="2BF59ABA" w14:textId="77777777" w:rsidR="008B531B" w:rsidRPr="00676E3C" w:rsidRDefault="008B531B" w:rsidP="008B531B">
      <w:pPr>
        <w:autoSpaceDE w:val="0"/>
        <w:autoSpaceDN w:val="0"/>
        <w:adjustRightInd w:val="0"/>
        <w:spacing w:after="0" w:line="240" w:lineRule="auto"/>
        <w:jc w:val="both"/>
        <w:rPr>
          <w:rFonts w:ascii="Arial" w:hAnsi="Arial" w:cs="Arial"/>
          <w:bCs/>
          <w:sz w:val="20"/>
          <w:szCs w:val="20"/>
        </w:rPr>
      </w:pPr>
    </w:p>
    <w:p w14:paraId="78433F65" w14:textId="384BC8E5" w:rsidR="008B531B" w:rsidRPr="008B531B" w:rsidRDefault="00676E3C"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3.</w:t>
      </w:r>
      <w:r w:rsidR="008B531B" w:rsidRPr="008B531B">
        <w:rPr>
          <w:rFonts w:ascii="Arial" w:hAnsi="Arial" w:cs="Arial"/>
          <w:bCs/>
          <w:sz w:val="20"/>
          <w:szCs w:val="20"/>
        </w:rPr>
        <w:t xml:space="preserve"> Prestação de Contas ANUAL. CONTROLE INTERNO. Controle Interno exercido por servidor ocupante de cargo de nível médio. Servidor efetivo no cargo de auxiliar legislativo com experiência que indica o conhecimento necessário ao desempenho do controle interno. Aprimoramento do quadro de servidores que poderá viabilizar nova composição do setor com atendimento da legislação. Ressalva conforme precedentes deste Tribunal. Contas Regulares com ressalva.</w:t>
      </w:r>
    </w:p>
    <w:p w14:paraId="5AE31DE4" w14:textId="46E3F6D5" w:rsidR="000900B0" w:rsidRDefault="000900B0" w:rsidP="008B531B">
      <w:pPr>
        <w:autoSpaceDE w:val="0"/>
        <w:autoSpaceDN w:val="0"/>
        <w:adjustRightInd w:val="0"/>
        <w:spacing w:after="0" w:line="240" w:lineRule="auto"/>
        <w:jc w:val="both"/>
        <w:rPr>
          <w:rFonts w:ascii="Arial" w:hAnsi="Arial" w:cs="Arial"/>
          <w:bCs/>
          <w:sz w:val="20"/>
          <w:szCs w:val="20"/>
        </w:rPr>
      </w:pPr>
    </w:p>
    <w:p w14:paraId="3E600919"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4. Prestação de contas de transferência voluntária. Movimentação financeira não individualizada. Falhas formais. Pela regularidade das contas com ressalva e expedição de recomendações.</w:t>
      </w:r>
    </w:p>
    <w:p w14:paraId="4DD0017C" w14:textId="3FD5E151" w:rsidR="00676E3C" w:rsidRPr="007E66A1" w:rsidRDefault="00676E3C" w:rsidP="00676E3C">
      <w:pPr>
        <w:autoSpaceDE w:val="0"/>
        <w:autoSpaceDN w:val="0"/>
        <w:adjustRightInd w:val="0"/>
        <w:spacing w:after="0" w:line="240" w:lineRule="auto"/>
        <w:jc w:val="both"/>
        <w:rPr>
          <w:rFonts w:ascii="Arial" w:hAnsi="Arial" w:cs="Arial"/>
          <w:sz w:val="20"/>
          <w:szCs w:val="20"/>
        </w:rPr>
      </w:pPr>
    </w:p>
    <w:p w14:paraId="36F485B6"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5. Representação. Comissão permanente de licitação. Composição. Servidores efetivos. Art. 51, caput, da Lei nº 8666/93. Consulta n.º 332354/17. Multa. Procedência.</w:t>
      </w:r>
    </w:p>
    <w:p w14:paraId="633B3B94" w14:textId="77777777" w:rsidR="00676E3C" w:rsidRPr="00F6070E" w:rsidRDefault="00676E3C" w:rsidP="00F6070E">
      <w:pPr>
        <w:autoSpaceDE w:val="0"/>
        <w:autoSpaceDN w:val="0"/>
        <w:adjustRightInd w:val="0"/>
        <w:spacing w:after="0"/>
        <w:jc w:val="both"/>
        <w:rPr>
          <w:rFonts w:ascii="Arial" w:hAnsi="Arial" w:cs="Arial"/>
          <w:bCs/>
          <w:sz w:val="20"/>
          <w:szCs w:val="20"/>
        </w:rPr>
      </w:pPr>
    </w:p>
    <w:p w14:paraId="689D2797" w14:textId="6E634E74" w:rsidR="000900B0" w:rsidRPr="00F6070E" w:rsidRDefault="000900B0" w:rsidP="00F6070E">
      <w:pPr>
        <w:shd w:val="pct10" w:color="auto" w:fill="auto"/>
        <w:spacing w:after="0"/>
        <w:jc w:val="center"/>
        <w:rPr>
          <w:rFonts w:ascii="Arial" w:hAnsi="Arial" w:cs="Arial"/>
          <w:b/>
          <w:sz w:val="20"/>
          <w:szCs w:val="20"/>
        </w:rPr>
      </w:pPr>
      <w:r w:rsidRPr="00F6070E">
        <w:rPr>
          <w:rFonts w:ascii="Arial" w:hAnsi="Arial" w:cs="Arial"/>
          <w:b/>
          <w:sz w:val="20"/>
          <w:szCs w:val="20"/>
        </w:rPr>
        <w:t>PRIMEIRA CÂMARA</w:t>
      </w:r>
    </w:p>
    <w:p w14:paraId="21B666F4" w14:textId="5C89CE32" w:rsidR="007612A8" w:rsidRPr="00F6070E" w:rsidRDefault="007612A8" w:rsidP="00F6070E">
      <w:pPr>
        <w:autoSpaceDE w:val="0"/>
        <w:autoSpaceDN w:val="0"/>
        <w:adjustRightInd w:val="0"/>
        <w:spacing w:after="0"/>
        <w:jc w:val="both"/>
        <w:rPr>
          <w:rFonts w:ascii="Arial" w:hAnsi="Arial" w:cs="Arial"/>
          <w:b/>
          <w:sz w:val="20"/>
          <w:szCs w:val="20"/>
        </w:rPr>
      </w:pPr>
    </w:p>
    <w:p w14:paraId="78627B5B" w14:textId="77777777" w:rsidR="008B531B" w:rsidRPr="00263253" w:rsidRDefault="008B531B" w:rsidP="008B531B">
      <w:pPr>
        <w:autoSpaceDE w:val="0"/>
        <w:autoSpaceDN w:val="0"/>
        <w:adjustRightInd w:val="0"/>
        <w:spacing w:after="0" w:line="240" w:lineRule="auto"/>
        <w:jc w:val="both"/>
        <w:rPr>
          <w:rFonts w:ascii="Arial" w:hAnsi="Arial" w:cs="Arial"/>
          <w:b/>
          <w:bCs/>
          <w:sz w:val="20"/>
          <w:szCs w:val="20"/>
        </w:rPr>
      </w:pPr>
      <w:r w:rsidRPr="00F90DAB">
        <w:rPr>
          <w:rFonts w:ascii="Arial" w:hAnsi="Arial" w:cs="Arial"/>
          <w:b/>
          <w:sz w:val="20"/>
          <w:szCs w:val="20"/>
        </w:rPr>
        <w:t>1.</w:t>
      </w:r>
      <w:r>
        <w:rPr>
          <w:rFonts w:ascii="Arial" w:hAnsi="Arial" w:cs="Arial"/>
          <w:b/>
          <w:bCs/>
          <w:sz w:val="20"/>
          <w:szCs w:val="20"/>
        </w:rPr>
        <w:t xml:space="preserve"> </w:t>
      </w:r>
      <w:r w:rsidRPr="00263253">
        <w:rPr>
          <w:rFonts w:ascii="Arial" w:hAnsi="Arial" w:cs="Arial"/>
          <w:b/>
          <w:bCs/>
          <w:sz w:val="20"/>
          <w:szCs w:val="20"/>
        </w:rPr>
        <w:t>Inativação. Ato de aposentadoria desprovido de fundamento legal.</w:t>
      </w:r>
      <w:r>
        <w:rPr>
          <w:rFonts w:ascii="Arial" w:hAnsi="Arial" w:cs="Arial"/>
          <w:b/>
          <w:bCs/>
          <w:sz w:val="20"/>
          <w:szCs w:val="20"/>
        </w:rPr>
        <w:t xml:space="preserve"> </w:t>
      </w:r>
      <w:r w:rsidRPr="00263253">
        <w:rPr>
          <w:rFonts w:ascii="Arial" w:hAnsi="Arial" w:cs="Arial"/>
          <w:b/>
          <w:bCs/>
          <w:sz w:val="20"/>
          <w:szCs w:val="20"/>
        </w:rPr>
        <w:t>Ausência de contribuições previdenciárias. Inexistência de regime</w:t>
      </w:r>
      <w:r>
        <w:rPr>
          <w:rFonts w:ascii="Arial" w:hAnsi="Arial" w:cs="Arial"/>
          <w:b/>
          <w:bCs/>
          <w:sz w:val="20"/>
          <w:szCs w:val="20"/>
        </w:rPr>
        <w:t xml:space="preserve"> </w:t>
      </w:r>
      <w:r w:rsidRPr="00263253">
        <w:rPr>
          <w:rFonts w:ascii="Arial" w:hAnsi="Arial" w:cs="Arial"/>
          <w:b/>
          <w:bCs/>
          <w:sz w:val="20"/>
          <w:szCs w:val="20"/>
        </w:rPr>
        <w:t>próprio de previdência para custear o benefício. Não implemento</w:t>
      </w:r>
      <w:r>
        <w:rPr>
          <w:rFonts w:ascii="Arial" w:hAnsi="Arial" w:cs="Arial"/>
          <w:b/>
          <w:bCs/>
          <w:sz w:val="20"/>
          <w:szCs w:val="20"/>
        </w:rPr>
        <w:t xml:space="preserve"> </w:t>
      </w:r>
      <w:r w:rsidRPr="00263253">
        <w:rPr>
          <w:rFonts w:ascii="Arial" w:hAnsi="Arial" w:cs="Arial"/>
          <w:b/>
          <w:bCs/>
          <w:sz w:val="20"/>
          <w:szCs w:val="20"/>
        </w:rPr>
        <w:t>dos requisitos para aposentadoria até a Emenda Constitucional n.º</w:t>
      </w:r>
      <w:r>
        <w:rPr>
          <w:rFonts w:ascii="Arial" w:hAnsi="Arial" w:cs="Arial"/>
          <w:b/>
          <w:bCs/>
          <w:sz w:val="20"/>
          <w:szCs w:val="20"/>
        </w:rPr>
        <w:t xml:space="preserve"> </w:t>
      </w:r>
      <w:r w:rsidRPr="00263253">
        <w:rPr>
          <w:rFonts w:ascii="Arial" w:hAnsi="Arial" w:cs="Arial"/>
          <w:b/>
          <w:bCs/>
          <w:sz w:val="20"/>
          <w:szCs w:val="20"/>
        </w:rPr>
        <w:t xml:space="preserve">20/98. Negativa de registro. </w:t>
      </w:r>
    </w:p>
    <w:p w14:paraId="75233E67" w14:textId="77777777" w:rsidR="008B531B" w:rsidRPr="00C94FDE" w:rsidRDefault="008B531B" w:rsidP="008B531B">
      <w:pPr>
        <w:autoSpaceDE w:val="0"/>
        <w:autoSpaceDN w:val="0"/>
        <w:adjustRightInd w:val="0"/>
        <w:spacing w:after="0" w:line="240" w:lineRule="auto"/>
        <w:jc w:val="both"/>
        <w:rPr>
          <w:rFonts w:ascii="Arial" w:hAnsi="Arial" w:cs="Arial"/>
          <w:sz w:val="20"/>
          <w:szCs w:val="20"/>
        </w:rPr>
      </w:pPr>
    </w:p>
    <w:p w14:paraId="641DE86E" w14:textId="77777777" w:rsidR="008B531B" w:rsidRPr="00C94FDE" w:rsidRDefault="008B531B" w:rsidP="008B531B">
      <w:pPr>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lastRenderedPageBreak/>
        <w:t xml:space="preserve">É </w:t>
      </w:r>
      <w:r w:rsidRPr="00C94FDE">
        <w:rPr>
          <w:rFonts w:ascii="Arial" w:hAnsi="Arial" w:cs="Arial"/>
          <w:sz w:val="20"/>
          <w:szCs w:val="20"/>
        </w:rPr>
        <w:t>pacífico que não há direito adquirido ao regime jurídico existente ao tempo do ingresso</w:t>
      </w:r>
      <w:r>
        <w:rPr>
          <w:rFonts w:ascii="Arial" w:hAnsi="Arial" w:cs="Arial"/>
          <w:sz w:val="20"/>
          <w:szCs w:val="20"/>
        </w:rPr>
        <w:t xml:space="preserve"> </w:t>
      </w:r>
      <w:r w:rsidRPr="00C94FDE">
        <w:rPr>
          <w:rFonts w:ascii="Arial" w:hAnsi="Arial" w:cs="Arial"/>
          <w:sz w:val="20"/>
          <w:szCs w:val="20"/>
        </w:rPr>
        <w:t>no serviço público, assim como não é assegurada a opção por determinado regime em</w:t>
      </w:r>
      <w:r>
        <w:rPr>
          <w:rFonts w:ascii="Arial" w:hAnsi="Arial" w:cs="Arial"/>
          <w:sz w:val="20"/>
          <w:szCs w:val="20"/>
        </w:rPr>
        <w:t xml:space="preserve"> </w:t>
      </w:r>
      <w:r w:rsidRPr="00C94FDE">
        <w:rPr>
          <w:rFonts w:ascii="Arial" w:hAnsi="Arial" w:cs="Arial"/>
          <w:sz w:val="20"/>
          <w:szCs w:val="20"/>
        </w:rPr>
        <w:t>matéria previdenciária, salvo diante da implementação de todos os requisitos para</w:t>
      </w:r>
      <w:r>
        <w:rPr>
          <w:rFonts w:ascii="Arial" w:hAnsi="Arial" w:cs="Arial"/>
          <w:sz w:val="20"/>
          <w:szCs w:val="20"/>
        </w:rPr>
        <w:t xml:space="preserve"> </w:t>
      </w:r>
      <w:r w:rsidRPr="00C94FDE">
        <w:rPr>
          <w:rFonts w:ascii="Arial" w:hAnsi="Arial" w:cs="Arial"/>
          <w:sz w:val="20"/>
          <w:szCs w:val="20"/>
        </w:rPr>
        <w:t>obter a aposentadoria ainda na vigência da legislação invocada. Tais premissas são o</w:t>
      </w:r>
      <w:r>
        <w:rPr>
          <w:rFonts w:ascii="Arial" w:hAnsi="Arial" w:cs="Arial"/>
          <w:sz w:val="20"/>
          <w:szCs w:val="20"/>
        </w:rPr>
        <w:t xml:space="preserve"> </w:t>
      </w:r>
      <w:r w:rsidRPr="00C94FDE">
        <w:rPr>
          <w:rFonts w:ascii="Arial" w:hAnsi="Arial" w:cs="Arial"/>
          <w:sz w:val="20"/>
          <w:szCs w:val="20"/>
        </w:rPr>
        <w:t xml:space="preserve">corolário do já referido princípio </w:t>
      </w:r>
      <w:r w:rsidRPr="00C94FDE">
        <w:rPr>
          <w:rFonts w:ascii="Arial" w:hAnsi="Arial" w:cs="Arial"/>
          <w:i/>
          <w:iCs/>
          <w:sz w:val="20"/>
          <w:szCs w:val="20"/>
        </w:rPr>
        <w:t xml:space="preserve">tempus </w:t>
      </w:r>
      <w:proofErr w:type="spellStart"/>
      <w:r w:rsidRPr="00C94FDE">
        <w:rPr>
          <w:rFonts w:ascii="Arial" w:hAnsi="Arial" w:cs="Arial"/>
          <w:i/>
          <w:iCs/>
          <w:sz w:val="20"/>
          <w:szCs w:val="20"/>
        </w:rPr>
        <w:t>regit</w:t>
      </w:r>
      <w:proofErr w:type="spellEnd"/>
      <w:r w:rsidRPr="00C94FDE">
        <w:rPr>
          <w:rFonts w:ascii="Arial" w:hAnsi="Arial" w:cs="Arial"/>
          <w:i/>
          <w:iCs/>
          <w:sz w:val="20"/>
          <w:szCs w:val="20"/>
        </w:rPr>
        <w:t xml:space="preserve"> </w:t>
      </w:r>
      <w:proofErr w:type="spellStart"/>
      <w:r w:rsidRPr="00C94FDE">
        <w:rPr>
          <w:rFonts w:ascii="Arial" w:hAnsi="Arial" w:cs="Arial"/>
          <w:i/>
          <w:iCs/>
          <w:sz w:val="20"/>
          <w:szCs w:val="20"/>
        </w:rPr>
        <w:t>actum</w:t>
      </w:r>
      <w:proofErr w:type="spellEnd"/>
      <w:r w:rsidRPr="00C94FDE">
        <w:rPr>
          <w:rFonts w:ascii="Arial" w:hAnsi="Arial" w:cs="Arial"/>
          <w:sz w:val="20"/>
          <w:szCs w:val="20"/>
        </w:rPr>
        <w:t>, que rege o direito previdenciário.</w:t>
      </w:r>
      <w:r>
        <w:rPr>
          <w:rFonts w:ascii="Arial" w:hAnsi="Arial" w:cs="Arial"/>
          <w:sz w:val="20"/>
          <w:szCs w:val="20"/>
        </w:rPr>
        <w:t xml:space="preserve"> </w:t>
      </w:r>
      <w:r w:rsidRPr="00C94FDE">
        <w:rPr>
          <w:rFonts w:ascii="Arial" w:hAnsi="Arial" w:cs="Arial"/>
          <w:sz w:val="20"/>
          <w:szCs w:val="20"/>
        </w:rPr>
        <w:t>No caso em tela, não tendo o servidor completado 35 anos de tempo</w:t>
      </w:r>
      <w:r>
        <w:rPr>
          <w:rFonts w:ascii="Arial" w:hAnsi="Arial" w:cs="Arial"/>
          <w:sz w:val="20"/>
          <w:szCs w:val="20"/>
        </w:rPr>
        <w:t xml:space="preserve"> </w:t>
      </w:r>
      <w:r w:rsidRPr="00C94FDE">
        <w:rPr>
          <w:rFonts w:ascii="Arial" w:hAnsi="Arial" w:cs="Arial"/>
          <w:sz w:val="20"/>
          <w:szCs w:val="20"/>
        </w:rPr>
        <w:t>de serviço6 e 59 anos de idade7 ao tempo da publicação da Emenda Constitucional n.º</w:t>
      </w:r>
      <w:r>
        <w:rPr>
          <w:rFonts w:ascii="Arial" w:hAnsi="Arial" w:cs="Arial"/>
          <w:sz w:val="20"/>
          <w:szCs w:val="20"/>
        </w:rPr>
        <w:t xml:space="preserve"> </w:t>
      </w:r>
      <w:r w:rsidRPr="00C94FDE">
        <w:rPr>
          <w:rFonts w:ascii="Arial" w:hAnsi="Arial" w:cs="Arial"/>
          <w:sz w:val="20"/>
          <w:szCs w:val="20"/>
        </w:rPr>
        <w:t>20/98 (16 de dezembro de 1998), mas somente quando da edição do ato de inativação</w:t>
      </w:r>
      <w:r>
        <w:rPr>
          <w:rFonts w:ascii="Arial" w:hAnsi="Arial" w:cs="Arial"/>
          <w:sz w:val="20"/>
          <w:szCs w:val="20"/>
        </w:rPr>
        <w:t xml:space="preserve"> </w:t>
      </w:r>
      <w:r w:rsidRPr="00C94FDE">
        <w:rPr>
          <w:rFonts w:ascii="Arial" w:hAnsi="Arial" w:cs="Arial"/>
          <w:sz w:val="20"/>
          <w:szCs w:val="20"/>
        </w:rPr>
        <w:t>(peça 4, fl. 9), em 1º de agosto de 2013, incabível o fundamento utilizado. De outra</w:t>
      </w:r>
      <w:r>
        <w:rPr>
          <w:rFonts w:ascii="Arial" w:hAnsi="Arial" w:cs="Arial"/>
          <w:sz w:val="20"/>
          <w:szCs w:val="20"/>
        </w:rPr>
        <w:t xml:space="preserve"> </w:t>
      </w:r>
      <w:r w:rsidRPr="00C94FDE">
        <w:rPr>
          <w:rFonts w:ascii="Arial" w:hAnsi="Arial" w:cs="Arial"/>
          <w:sz w:val="20"/>
          <w:szCs w:val="20"/>
        </w:rPr>
        <w:t>feita, o interessado não preenchia nenhuma das regras de transição do artigo 3º da EC</w:t>
      </w:r>
      <w:r>
        <w:rPr>
          <w:rFonts w:ascii="Arial" w:hAnsi="Arial" w:cs="Arial"/>
          <w:sz w:val="20"/>
          <w:szCs w:val="20"/>
        </w:rPr>
        <w:t xml:space="preserve"> </w:t>
      </w:r>
      <w:r w:rsidRPr="00C94FDE">
        <w:rPr>
          <w:rFonts w:ascii="Arial" w:hAnsi="Arial" w:cs="Arial"/>
          <w:sz w:val="20"/>
          <w:szCs w:val="20"/>
        </w:rPr>
        <w:t>n.º 47/05, do art. 6º da EC n.º 41/03 ou mesmo do art. 40, §1º, III, “a” da Constituição,</w:t>
      </w:r>
      <w:r>
        <w:rPr>
          <w:rFonts w:ascii="Arial" w:hAnsi="Arial" w:cs="Arial"/>
          <w:sz w:val="20"/>
          <w:szCs w:val="20"/>
        </w:rPr>
        <w:t xml:space="preserve"> </w:t>
      </w:r>
      <w:r w:rsidRPr="00C94FDE">
        <w:rPr>
          <w:rFonts w:ascii="Arial" w:hAnsi="Arial" w:cs="Arial"/>
          <w:sz w:val="20"/>
          <w:szCs w:val="20"/>
        </w:rPr>
        <w:t>com a redação dada pela EC n.º 20/98, que exigem 35 anos de tempo de contribuição.</w:t>
      </w:r>
    </w:p>
    <w:p w14:paraId="6A6ABD44" w14:textId="77777777" w:rsidR="008B531B" w:rsidRPr="00C94FDE" w:rsidRDefault="008B531B" w:rsidP="008B531B">
      <w:pPr>
        <w:autoSpaceDE w:val="0"/>
        <w:autoSpaceDN w:val="0"/>
        <w:adjustRightInd w:val="0"/>
        <w:spacing w:after="0" w:line="240" w:lineRule="auto"/>
        <w:jc w:val="both"/>
        <w:rPr>
          <w:rFonts w:ascii="Arial" w:hAnsi="Arial" w:cs="Arial"/>
          <w:sz w:val="20"/>
          <w:szCs w:val="20"/>
        </w:rPr>
      </w:pPr>
    </w:p>
    <w:p w14:paraId="1BEBDCD5" w14:textId="77777777" w:rsidR="008B531B" w:rsidRPr="00C94FDE" w:rsidRDefault="008B531B" w:rsidP="008B531B">
      <w:pPr>
        <w:autoSpaceDE w:val="0"/>
        <w:autoSpaceDN w:val="0"/>
        <w:adjustRightInd w:val="0"/>
        <w:spacing w:after="0" w:line="240" w:lineRule="auto"/>
        <w:jc w:val="both"/>
        <w:rPr>
          <w:rFonts w:ascii="Arial" w:hAnsi="Arial" w:cs="Arial"/>
          <w:sz w:val="20"/>
          <w:szCs w:val="20"/>
        </w:rPr>
      </w:pPr>
      <w:r w:rsidRPr="00C94FDE">
        <w:rPr>
          <w:rFonts w:ascii="Arial" w:hAnsi="Arial" w:cs="Arial"/>
          <w:sz w:val="20"/>
          <w:szCs w:val="20"/>
        </w:rPr>
        <w:t xml:space="preserve">De fato, </w:t>
      </w:r>
      <w:r w:rsidRPr="00C94FDE">
        <w:rPr>
          <w:rFonts w:ascii="Arial" w:hAnsi="Arial" w:cs="Arial"/>
          <w:b/>
          <w:bCs/>
          <w:sz w:val="20"/>
          <w:szCs w:val="20"/>
        </w:rPr>
        <w:t>não existia regime próprio de previdência a embasar a</w:t>
      </w:r>
      <w:r>
        <w:rPr>
          <w:rFonts w:ascii="Arial" w:hAnsi="Arial" w:cs="Arial"/>
          <w:b/>
          <w:bCs/>
          <w:sz w:val="20"/>
          <w:szCs w:val="20"/>
        </w:rPr>
        <w:t xml:space="preserve"> </w:t>
      </w:r>
      <w:r w:rsidRPr="00C94FDE">
        <w:rPr>
          <w:rFonts w:ascii="Arial" w:hAnsi="Arial" w:cs="Arial"/>
          <w:b/>
          <w:bCs/>
          <w:sz w:val="20"/>
          <w:szCs w:val="20"/>
        </w:rPr>
        <w:t>concessão do benefício</w:t>
      </w:r>
      <w:r w:rsidRPr="00C94FDE">
        <w:rPr>
          <w:rFonts w:ascii="Arial" w:hAnsi="Arial" w:cs="Arial"/>
          <w:sz w:val="20"/>
          <w:szCs w:val="20"/>
        </w:rPr>
        <w:t>, pois restou incontroverso nos autos que as Leis Municipais</w:t>
      </w:r>
      <w:r>
        <w:rPr>
          <w:rFonts w:ascii="Arial" w:hAnsi="Arial" w:cs="Arial"/>
          <w:sz w:val="20"/>
          <w:szCs w:val="20"/>
        </w:rPr>
        <w:t xml:space="preserve"> </w:t>
      </w:r>
      <w:r w:rsidRPr="00C94FDE">
        <w:rPr>
          <w:rFonts w:ascii="Arial" w:hAnsi="Arial" w:cs="Arial"/>
          <w:sz w:val="20"/>
          <w:szCs w:val="20"/>
        </w:rPr>
        <w:t>n.º 94/98 e 95/98 (peças 55-56) extinguiram o regime próprio do município em 1998.</w:t>
      </w:r>
      <w:r>
        <w:rPr>
          <w:rFonts w:ascii="Arial" w:hAnsi="Arial" w:cs="Arial"/>
          <w:sz w:val="20"/>
          <w:szCs w:val="20"/>
        </w:rPr>
        <w:t xml:space="preserve"> </w:t>
      </w:r>
      <w:r w:rsidRPr="00C94FDE">
        <w:rPr>
          <w:rFonts w:ascii="Arial" w:hAnsi="Arial" w:cs="Arial"/>
          <w:sz w:val="20"/>
          <w:szCs w:val="20"/>
        </w:rPr>
        <w:t>Desse modo, salvo na hipótese do cumprimento de todos os requisitos para</w:t>
      </w:r>
      <w:r>
        <w:rPr>
          <w:rFonts w:ascii="Arial" w:hAnsi="Arial" w:cs="Arial"/>
          <w:sz w:val="20"/>
          <w:szCs w:val="20"/>
        </w:rPr>
        <w:t xml:space="preserve"> </w:t>
      </w:r>
      <w:r w:rsidRPr="00C94FDE">
        <w:rPr>
          <w:rFonts w:ascii="Arial" w:hAnsi="Arial" w:cs="Arial"/>
          <w:sz w:val="20"/>
          <w:szCs w:val="20"/>
        </w:rPr>
        <w:t>aposentadoria ainda na vigência do dito regime, os demais servidores</w:t>
      </w:r>
      <w:r>
        <w:rPr>
          <w:rFonts w:ascii="Arial" w:hAnsi="Arial" w:cs="Arial"/>
          <w:sz w:val="20"/>
          <w:szCs w:val="20"/>
        </w:rPr>
        <w:t xml:space="preserve"> </w:t>
      </w:r>
      <w:r w:rsidRPr="00C94FDE">
        <w:rPr>
          <w:rFonts w:ascii="Arial" w:hAnsi="Arial" w:cs="Arial"/>
          <w:sz w:val="20"/>
          <w:szCs w:val="20"/>
        </w:rPr>
        <w:t>passariam a integrar o regime geral de previdência social, conforme</w:t>
      </w:r>
      <w:r>
        <w:rPr>
          <w:rFonts w:ascii="Arial" w:hAnsi="Arial" w:cs="Arial"/>
          <w:sz w:val="20"/>
          <w:szCs w:val="20"/>
        </w:rPr>
        <w:t xml:space="preserve"> </w:t>
      </w:r>
      <w:r w:rsidRPr="00C94FDE">
        <w:rPr>
          <w:rFonts w:ascii="Arial" w:hAnsi="Arial" w:cs="Arial"/>
          <w:sz w:val="20"/>
          <w:szCs w:val="20"/>
        </w:rPr>
        <w:t xml:space="preserve">se depreende do artigo 13, </w:t>
      </w:r>
      <w:r w:rsidRPr="00C94FDE">
        <w:rPr>
          <w:rFonts w:ascii="Arial" w:hAnsi="Arial" w:cs="Arial"/>
          <w:i/>
          <w:iCs/>
          <w:sz w:val="20"/>
          <w:szCs w:val="20"/>
        </w:rPr>
        <w:t>caput</w:t>
      </w:r>
      <w:r w:rsidRPr="00C94FDE">
        <w:rPr>
          <w:rFonts w:ascii="Arial" w:hAnsi="Arial" w:cs="Arial"/>
          <w:sz w:val="20"/>
          <w:szCs w:val="20"/>
        </w:rPr>
        <w:t>, parte final9 da Lei n.º 8212/91.</w:t>
      </w:r>
      <w:r>
        <w:rPr>
          <w:rFonts w:ascii="Arial" w:hAnsi="Arial" w:cs="Arial"/>
          <w:sz w:val="20"/>
          <w:szCs w:val="20"/>
        </w:rPr>
        <w:t xml:space="preserve"> </w:t>
      </w:r>
      <w:r w:rsidRPr="00C94FDE">
        <w:rPr>
          <w:rFonts w:ascii="Arial" w:hAnsi="Arial" w:cs="Arial"/>
          <w:sz w:val="20"/>
          <w:szCs w:val="20"/>
        </w:rPr>
        <w:t>Desse modo, competia à Câmara Municipal inscrever o interessado junto ao regime geral de previdência, bem como efetuar o</w:t>
      </w:r>
      <w:r>
        <w:rPr>
          <w:rFonts w:ascii="Arial" w:hAnsi="Arial" w:cs="Arial"/>
          <w:sz w:val="20"/>
          <w:szCs w:val="20"/>
        </w:rPr>
        <w:t xml:space="preserve"> </w:t>
      </w:r>
      <w:r w:rsidRPr="00C94FDE">
        <w:rPr>
          <w:rFonts w:ascii="Arial" w:hAnsi="Arial" w:cs="Arial"/>
          <w:sz w:val="20"/>
          <w:szCs w:val="20"/>
        </w:rPr>
        <w:t>desconto e repassar as contribuições previdenciárias devidas, além de realizar a</w:t>
      </w:r>
      <w:r>
        <w:rPr>
          <w:rFonts w:ascii="Arial" w:hAnsi="Arial" w:cs="Arial"/>
          <w:sz w:val="20"/>
          <w:szCs w:val="20"/>
        </w:rPr>
        <w:t xml:space="preserve"> </w:t>
      </w:r>
      <w:r w:rsidRPr="00C94FDE">
        <w:rPr>
          <w:rFonts w:ascii="Arial" w:hAnsi="Arial" w:cs="Arial"/>
          <w:sz w:val="20"/>
          <w:szCs w:val="20"/>
        </w:rPr>
        <w:t>respectiva contribuição patronal, o que não foi realizado de forma adequada, conforme</w:t>
      </w:r>
      <w:r>
        <w:rPr>
          <w:rFonts w:ascii="Arial" w:hAnsi="Arial" w:cs="Arial"/>
          <w:sz w:val="20"/>
          <w:szCs w:val="20"/>
        </w:rPr>
        <w:t xml:space="preserve"> </w:t>
      </w:r>
      <w:r w:rsidRPr="00C94FDE">
        <w:rPr>
          <w:rFonts w:ascii="Arial" w:hAnsi="Arial" w:cs="Arial"/>
          <w:sz w:val="20"/>
          <w:szCs w:val="20"/>
        </w:rPr>
        <w:t>apurou-se</w:t>
      </w:r>
      <w:r>
        <w:rPr>
          <w:rFonts w:ascii="Arial" w:hAnsi="Arial" w:cs="Arial"/>
          <w:sz w:val="20"/>
          <w:szCs w:val="20"/>
        </w:rPr>
        <w:t xml:space="preserve">. </w:t>
      </w:r>
      <w:r w:rsidRPr="00C94FDE">
        <w:rPr>
          <w:rFonts w:ascii="Arial" w:hAnsi="Arial" w:cs="Arial"/>
          <w:sz w:val="20"/>
          <w:szCs w:val="20"/>
        </w:rPr>
        <w:t>Desta feita, à míngua da existência de regime próprio para suportar o</w:t>
      </w:r>
      <w:r>
        <w:rPr>
          <w:rFonts w:ascii="Arial" w:hAnsi="Arial" w:cs="Arial"/>
          <w:sz w:val="20"/>
          <w:szCs w:val="20"/>
        </w:rPr>
        <w:t xml:space="preserve"> </w:t>
      </w:r>
      <w:r w:rsidRPr="00C94FDE">
        <w:rPr>
          <w:rFonts w:ascii="Arial" w:hAnsi="Arial" w:cs="Arial"/>
          <w:sz w:val="20"/>
          <w:szCs w:val="20"/>
        </w:rPr>
        <w:t>pagamento da presente aposentadoria diretamente pela entidade, considerando a</w:t>
      </w:r>
      <w:r>
        <w:rPr>
          <w:rFonts w:ascii="Arial" w:hAnsi="Arial" w:cs="Arial"/>
          <w:sz w:val="20"/>
          <w:szCs w:val="20"/>
        </w:rPr>
        <w:t xml:space="preserve"> </w:t>
      </w:r>
      <w:r w:rsidRPr="00C94FDE">
        <w:rPr>
          <w:rFonts w:ascii="Arial" w:hAnsi="Arial" w:cs="Arial"/>
          <w:sz w:val="20"/>
          <w:szCs w:val="20"/>
        </w:rPr>
        <w:t xml:space="preserve">obrigatoriedade de sua vinculação ao regime geral de previdência, deve a </w:t>
      </w:r>
      <w:proofErr w:type="gramStart"/>
      <w:r w:rsidRPr="00C94FDE">
        <w:rPr>
          <w:rFonts w:ascii="Arial" w:hAnsi="Arial" w:cs="Arial"/>
          <w:sz w:val="20"/>
          <w:szCs w:val="20"/>
        </w:rPr>
        <w:t>mesma ser</w:t>
      </w:r>
      <w:proofErr w:type="gramEnd"/>
      <w:r>
        <w:rPr>
          <w:rFonts w:ascii="Arial" w:hAnsi="Arial" w:cs="Arial"/>
          <w:sz w:val="20"/>
          <w:szCs w:val="20"/>
        </w:rPr>
        <w:t xml:space="preserve"> </w:t>
      </w:r>
      <w:r w:rsidRPr="00C94FDE">
        <w:rPr>
          <w:rFonts w:ascii="Arial" w:hAnsi="Arial" w:cs="Arial"/>
          <w:sz w:val="20"/>
          <w:szCs w:val="20"/>
        </w:rPr>
        <w:t xml:space="preserve">buscada perante o INSS, competindo à Câmara Municipal </w:t>
      </w:r>
      <w:r>
        <w:rPr>
          <w:rFonts w:ascii="Arial" w:hAnsi="Arial" w:cs="Arial"/>
          <w:sz w:val="20"/>
          <w:szCs w:val="20"/>
        </w:rPr>
        <w:t xml:space="preserve">como gestora, </w:t>
      </w:r>
      <w:r w:rsidRPr="00C94FDE">
        <w:rPr>
          <w:rFonts w:ascii="Arial" w:hAnsi="Arial" w:cs="Arial"/>
          <w:sz w:val="20"/>
          <w:szCs w:val="20"/>
        </w:rPr>
        <w:t>adotar</w:t>
      </w:r>
      <w:r>
        <w:rPr>
          <w:rFonts w:ascii="Arial" w:hAnsi="Arial" w:cs="Arial"/>
          <w:sz w:val="20"/>
          <w:szCs w:val="20"/>
        </w:rPr>
        <w:t xml:space="preserve"> </w:t>
      </w:r>
      <w:r w:rsidRPr="00C94FDE">
        <w:rPr>
          <w:rFonts w:ascii="Arial" w:hAnsi="Arial" w:cs="Arial"/>
          <w:sz w:val="20"/>
          <w:szCs w:val="20"/>
        </w:rPr>
        <w:t>as providências necessárias para regularizar a situação do servidor.</w:t>
      </w:r>
      <w:r>
        <w:rPr>
          <w:rFonts w:ascii="Arial" w:hAnsi="Arial" w:cs="Arial"/>
          <w:sz w:val="20"/>
          <w:szCs w:val="20"/>
        </w:rPr>
        <w:t xml:space="preserve"> </w:t>
      </w:r>
      <w:r w:rsidRPr="00C94FDE">
        <w:rPr>
          <w:rFonts w:ascii="Arial" w:hAnsi="Arial" w:cs="Arial"/>
          <w:sz w:val="20"/>
          <w:szCs w:val="20"/>
        </w:rPr>
        <w:t>Assim, à luz da absoluta violação da legislação previdenciária pelo Ato</w:t>
      </w:r>
      <w:r>
        <w:rPr>
          <w:rFonts w:ascii="Arial" w:hAnsi="Arial" w:cs="Arial"/>
          <w:sz w:val="20"/>
          <w:szCs w:val="20"/>
        </w:rPr>
        <w:t xml:space="preserve"> </w:t>
      </w:r>
      <w:r w:rsidRPr="00C94FDE">
        <w:rPr>
          <w:rFonts w:ascii="Arial" w:hAnsi="Arial" w:cs="Arial"/>
          <w:sz w:val="20"/>
          <w:szCs w:val="20"/>
        </w:rPr>
        <w:t>Administrativo</w:t>
      </w:r>
      <w:r>
        <w:rPr>
          <w:rFonts w:ascii="Arial" w:hAnsi="Arial" w:cs="Arial"/>
          <w:sz w:val="20"/>
          <w:szCs w:val="20"/>
        </w:rPr>
        <w:t xml:space="preserve"> emitido pela referida </w:t>
      </w:r>
      <w:r w:rsidRPr="00C94FDE">
        <w:rPr>
          <w:rFonts w:ascii="Arial" w:hAnsi="Arial" w:cs="Arial"/>
          <w:sz w:val="20"/>
          <w:szCs w:val="20"/>
        </w:rPr>
        <w:t>Câmara Municipal, não resta</w:t>
      </w:r>
      <w:r>
        <w:rPr>
          <w:rFonts w:ascii="Arial" w:hAnsi="Arial" w:cs="Arial"/>
          <w:sz w:val="20"/>
          <w:szCs w:val="20"/>
        </w:rPr>
        <w:t xml:space="preserve"> </w:t>
      </w:r>
      <w:r w:rsidRPr="00C94FDE">
        <w:rPr>
          <w:rFonts w:ascii="Arial" w:hAnsi="Arial" w:cs="Arial"/>
          <w:sz w:val="20"/>
          <w:szCs w:val="20"/>
        </w:rPr>
        <w:t>outra alternativa senão a negativa de seu registro.</w:t>
      </w:r>
    </w:p>
    <w:p w14:paraId="428385E9" w14:textId="77777777" w:rsidR="008B531B" w:rsidRDefault="008B531B" w:rsidP="008B531B">
      <w:pPr>
        <w:autoSpaceDE w:val="0"/>
        <w:autoSpaceDN w:val="0"/>
        <w:adjustRightInd w:val="0"/>
        <w:spacing w:after="0" w:line="240" w:lineRule="auto"/>
        <w:jc w:val="both"/>
        <w:rPr>
          <w:rFonts w:ascii="Arial" w:hAnsi="Arial" w:cs="Arial"/>
        </w:rPr>
      </w:pPr>
    </w:p>
    <w:p w14:paraId="4AB50DC4" w14:textId="77777777" w:rsidR="008B531B" w:rsidRDefault="008B531B" w:rsidP="008B531B">
      <w:pPr>
        <w:autoSpaceDE w:val="0"/>
        <w:autoSpaceDN w:val="0"/>
        <w:adjustRightInd w:val="0"/>
        <w:spacing w:after="0" w:line="240" w:lineRule="auto"/>
        <w:jc w:val="both"/>
        <w:rPr>
          <w:rFonts w:ascii="Arial" w:hAnsi="Arial" w:cs="Arial"/>
          <w:sz w:val="20"/>
          <w:szCs w:val="20"/>
        </w:rPr>
      </w:pPr>
      <w:r w:rsidRPr="00F90DAB">
        <w:rPr>
          <w:rFonts w:ascii="Arial" w:hAnsi="Arial" w:cs="Arial"/>
          <w:sz w:val="20"/>
          <w:szCs w:val="20"/>
        </w:rPr>
        <w:t xml:space="preserve">Processo nº </w:t>
      </w:r>
      <w:r>
        <w:rPr>
          <w:rFonts w:ascii="Arial" w:hAnsi="Arial" w:cs="Arial"/>
          <w:sz w:val="20"/>
          <w:szCs w:val="20"/>
        </w:rPr>
        <w:t>391994/19</w:t>
      </w:r>
      <w:r w:rsidRPr="00F90DAB">
        <w:rPr>
          <w:rFonts w:ascii="Arial" w:hAnsi="Arial" w:cs="Arial"/>
          <w:sz w:val="20"/>
          <w:szCs w:val="20"/>
        </w:rPr>
        <w:t xml:space="preserve"> –</w:t>
      </w:r>
      <w:hyperlink r:id="rId8" w:history="1">
        <w:r w:rsidRPr="00F90DAB">
          <w:rPr>
            <w:rStyle w:val="Hyperlink"/>
            <w:rFonts w:ascii="Arial" w:hAnsi="Arial" w:cs="Arial"/>
            <w:sz w:val="20"/>
            <w:szCs w:val="20"/>
          </w:rPr>
          <w:t xml:space="preserve"> Acórdão nº </w:t>
        </w:r>
        <w:r>
          <w:rPr>
            <w:rStyle w:val="Hyperlink"/>
            <w:rFonts w:ascii="Arial" w:hAnsi="Arial" w:cs="Arial"/>
            <w:sz w:val="20"/>
            <w:szCs w:val="20"/>
          </w:rPr>
          <w:t>3465/20</w:t>
        </w:r>
        <w:r w:rsidRPr="00F90DAB">
          <w:rPr>
            <w:rStyle w:val="Hyperlink"/>
            <w:rFonts w:ascii="Arial" w:hAnsi="Arial" w:cs="Arial"/>
            <w:sz w:val="20"/>
            <w:szCs w:val="20"/>
          </w:rPr>
          <w:t xml:space="preserve"> – </w:t>
        </w:r>
        <w:r>
          <w:rPr>
            <w:rStyle w:val="Hyperlink"/>
            <w:rFonts w:ascii="Arial" w:hAnsi="Arial" w:cs="Arial"/>
            <w:sz w:val="20"/>
            <w:szCs w:val="20"/>
          </w:rPr>
          <w:t>Primeira Câmara</w:t>
        </w:r>
        <w:r w:rsidRPr="00F90DAB">
          <w:rPr>
            <w:rStyle w:val="Hyperlink"/>
            <w:rFonts w:ascii="Arial" w:hAnsi="Arial" w:cs="Arial"/>
            <w:sz w:val="20"/>
            <w:szCs w:val="20"/>
          </w:rPr>
          <w:t xml:space="preserve"> -</w:t>
        </w:r>
      </w:hyperlink>
      <w:r w:rsidRPr="00F90DAB">
        <w:rPr>
          <w:rFonts w:ascii="Arial" w:hAnsi="Arial" w:cs="Arial"/>
          <w:sz w:val="20"/>
          <w:szCs w:val="20"/>
        </w:rPr>
        <w:t xml:space="preserve"> Relator </w:t>
      </w:r>
      <w:r>
        <w:rPr>
          <w:rFonts w:ascii="Arial" w:hAnsi="Arial" w:cs="Arial"/>
          <w:sz w:val="20"/>
          <w:szCs w:val="20"/>
        </w:rPr>
        <w:t>Auditor Thiago Barbosa Cordeiro.</w:t>
      </w:r>
    </w:p>
    <w:p w14:paraId="4AE5B533" w14:textId="77777777" w:rsidR="008B531B" w:rsidRDefault="008B531B" w:rsidP="008B531B">
      <w:pPr>
        <w:autoSpaceDE w:val="0"/>
        <w:autoSpaceDN w:val="0"/>
        <w:adjustRightInd w:val="0"/>
        <w:spacing w:after="0" w:line="240" w:lineRule="auto"/>
        <w:jc w:val="both"/>
        <w:rPr>
          <w:rFonts w:ascii="Arial" w:hAnsi="Arial" w:cs="Arial"/>
          <w:sz w:val="18"/>
          <w:szCs w:val="18"/>
        </w:rPr>
      </w:pPr>
    </w:p>
    <w:p w14:paraId="50762A72" w14:textId="2EDC0CD9" w:rsidR="008B531B" w:rsidRDefault="008B531B" w:rsidP="008B531B">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2</w:t>
      </w:r>
      <w:r w:rsidRPr="009513F5">
        <w:rPr>
          <w:rFonts w:ascii="Arial" w:hAnsi="Arial" w:cs="Arial"/>
          <w:b/>
          <w:sz w:val="20"/>
          <w:szCs w:val="20"/>
        </w:rPr>
        <w:t>. Admissão. Teste Seletivo. Edital n° 21/2017. Ausência de registro das contratações referentes à 4ª fase no sistema SIAP. Omissão do gestor em cumprir prazos e normas exarados por este Tribunal de Contas. Determinação. Multa.</w:t>
      </w:r>
    </w:p>
    <w:p w14:paraId="604725DD" w14:textId="77777777" w:rsidR="008B531B" w:rsidRDefault="008B531B" w:rsidP="008B531B">
      <w:pPr>
        <w:autoSpaceDE w:val="0"/>
        <w:autoSpaceDN w:val="0"/>
        <w:adjustRightInd w:val="0"/>
        <w:spacing w:after="0" w:line="240" w:lineRule="auto"/>
        <w:jc w:val="both"/>
        <w:rPr>
          <w:rFonts w:ascii="Arial" w:hAnsi="Arial" w:cs="Arial"/>
          <w:b/>
          <w:sz w:val="20"/>
          <w:szCs w:val="20"/>
        </w:rPr>
      </w:pPr>
    </w:p>
    <w:p w14:paraId="24846FF2" w14:textId="77777777" w:rsidR="008B531B" w:rsidRPr="009513F5" w:rsidRDefault="008B531B" w:rsidP="008B531B">
      <w:pPr>
        <w:autoSpaceDE w:val="0"/>
        <w:autoSpaceDN w:val="0"/>
        <w:adjustRightInd w:val="0"/>
        <w:spacing w:after="0" w:line="240" w:lineRule="auto"/>
        <w:jc w:val="both"/>
        <w:rPr>
          <w:rFonts w:ascii="Arial" w:hAnsi="Arial" w:cs="Arial"/>
          <w:sz w:val="18"/>
          <w:szCs w:val="18"/>
        </w:rPr>
      </w:pPr>
      <w:r w:rsidRPr="009513F5">
        <w:rPr>
          <w:rFonts w:ascii="Arial" w:hAnsi="Arial" w:cs="Arial"/>
          <w:sz w:val="18"/>
          <w:szCs w:val="18"/>
        </w:rPr>
        <w:t xml:space="preserve">A Instrução Normativa n° 142/206 que dispõe sobre envio de atos de admissão de pessoal e demais informações e documentos relativos a atos de pessoal em geral, e o Módulo Admissões – SIAP, estão vigentes há quase 4 anos e, neste sentido, não há razões para a falta de alimentação do sistema. </w:t>
      </w:r>
    </w:p>
    <w:p w14:paraId="07C75688" w14:textId="77777777" w:rsidR="008B531B" w:rsidRPr="009513F5" w:rsidRDefault="008B531B" w:rsidP="008B531B">
      <w:pPr>
        <w:autoSpaceDE w:val="0"/>
        <w:autoSpaceDN w:val="0"/>
        <w:adjustRightInd w:val="0"/>
        <w:spacing w:after="0" w:line="240" w:lineRule="auto"/>
        <w:jc w:val="both"/>
        <w:rPr>
          <w:rFonts w:ascii="Arial" w:hAnsi="Arial" w:cs="Arial"/>
          <w:sz w:val="18"/>
          <w:szCs w:val="18"/>
        </w:rPr>
      </w:pPr>
    </w:p>
    <w:p w14:paraId="054F5B0E" w14:textId="77777777" w:rsidR="008B531B" w:rsidRPr="009513F5" w:rsidRDefault="008B531B" w:rsidP="008B531B">
      <w:pPr>
        <w:autoSpaceDE w:val="0"/>
        <w:autoSpaceDN w:val="0"/>
        <w:adjustRightInd w:val="0"/>
        <w:spacing w:after="0" w:line="240" w:lineRule="auto"/>
        <w:jc w:val="both"/>
        <w:rPr>
          <w:rFonts w:ascii="Arial" w:hAnsi="Arial" w:cs="Arial"/>
          <w:sz w:val="18"/>
          <w:szCs w:val="18"/>
        </w:rPr>
      </w:pPr>
      <w:r w:rsidRPr="009513F5">
        <w:rPr>
          <w:rFonts w:ascii="Arial" w:hAnsi="Arial" w:cs="Arial"/>
          <w:sz w:val="18"/>
          <w:szCs w:val="18"/>
        </w:rPr>
        <w:t>Este Tribunal assegurou diversas oportunidades para que o senhor representante legal da Secretaria de Estado da Educação e do Esporte, regularizasse a impropriedade apontada pela unidade técnica, a fim de alimentar o SIAP com as informações referentes às contratações realizadas no processo de seleção de Edital n° 21/2017, referente à 4ª fase do concurso desde maio de 2019 (peças 59, 71, 79 e 120).</w:t>
      </w:r>
    </w:p>
    <w:p w14:paraId="5064CBAD" w14:textId="77777777" w:rsidR="008B531B" w:rsidRPr="009513F5" w:rsidRDefault="008B531B" w:rsidP="008B531B">
      <w:pPr>
        <w:autoSpaceDE w:val="0"/>
        <w:autoSpaceDN w:val="0"/>
        <w:adjustRightInd w:val="0"/>
        <w:spacing w:after="0" w:line="240" w:lineRule="auto"/>
        <w:jc w:val="both"/>
        <w:rPr>
          <w:rFonts w:ascii="Arial" w:hAnsi="Arial" w:cs="Arial"/>
          <w:sz w:val="18"/>
          <w:szCs w:val="18"/>
        </w:rPr>
      </w:pPr>
    </w:p>
    <w:p w14:paraId="45E69067" w14:textId="77777777" w:rsidR="008B531B" w:rsidRPr="009513F5" w:rsidRDefault="008B531B" w:rsidP="008B531B">
      <w:pPr>
        <w:autoSpaceDE w:val="0"/>
        <w:autoSpaceDN w:val="0"/>
        <w:adjustRightInd w:val="0"/>
        <w:spacing w:after="0" w:line="240" w:lineRule="auto"/>
        <w:jc w:val="both"/>
        <w:rPr>
          <w:rFonts w:ascii="Arial" w:hAnsi="Arial" w:cs="Arial"/>
          <w:sz w:val="18"/>
          <w:szCs w:val="18"/>
        </w:rPr>
      </w:pPr>
      <w:r w:rsidRPr="009513F5">
        <w:rPr>
          <w:rFonts w:ascii="Arial" w:hAnsi="Arial" w:cs="Arial"/>
          <w:sz w:val="18"/>
          <w:szCs w:val="18"/>
        </w:rPr>
        <w:t xml:space="preserve"> Entretanto, inobstante ter assegurado o exercício do direito ao contraditório e à ampla defesa, as informações atinentes às contratações realizadas não foram enviadas, o que denota a total omissão do gestor que possui o dever legal de cumprir com as normas exaradas por este Tribunal.</w:t>
      </w:r>
    </w:p>
    <w:p w14:paraId="393E901E" w14:textId="77777777" w:rsidR="008B531B" w:rsidRPr="009513F5" w:rsidRDefault="008B531B" w:rsidP="008B531B">
      <w:pPr>
        <w:autoSpaceDE w:val="0"/>
        <w:autoSpaceDN w:val="0"/>
        <w:adjustRightInd w:val="0"/>
        <w:spacing w:after="0" w:line="240" w:lineRule="auto"/>
        <w:jc w:val="both"/>
        <w:rPr>
          <w:rFonts w:ascii="Arial" w:hAnsi="Arial" w:cs="Arial"/>
          <w:sz w:val="18"/>
          <w:szCs w:val="18"/>
        </w:rPr>
      </w:pPr>
    </w:p>
    <w:p w14:paraId="302B9A6D" w14:textId="77777777" w:rsidR="008B531B" w:rsidRDefault="008B531B" w:rsidP="008B531B">
      <w:pPr>
        <w:autoSpaceDE w:val="0"/>
        <w:autoSpaceDN w:val="0"/>
        <w:adjustRightInd w:val="0"/>
        <w:spacing w:after="0" w:line="240" w:lineRule="auto"/>
        <w:jc w:val="both"/>
        <w:rPr>
          <w:rFonts w:ascii="Arial" w:hAnsi="Arial" w:cs="Arial"/>
          <w:sz w:val="18"/>
          <w:szCs w:val="18"/>
        </w:rPr>
      </w:pPr>
      <w:r w:rsidRPr="009513F5">
        <w:rPr>
          <w:rFonts w:ascii="Arial" w:hAnsi="Arial" w:cs="Arial"/>
          <w:sz w:val="18"/>
          <w:szCs w:val="18"/>
        </w:rPr>
        <w:lastRenderedPageBreak/>
        <w:t xml:space="preserve">Processo nº 376696/17 – </w:t>
      </w:r>
      <w:hyperlink r:id="rId9" w:history="1">
        <w:r w:rsidRPr="009513F5">
          <w:rPr>
            <w:rStyle w:val="Hyperlink"/>
            <w:rFonts w:ascii="Arial" w:hAnsi="Arial" w:cs="Arial"/>
            <w:sz w:val="18"/>
            <w:szCs w:val="18"/>
          </w:rPr>
          <w:t xml:space="preserve"> Acórdão nº3271/20 – Primeira Câmara -</w:t>
        </w:r>
      </w:hyperlink>
      <w:r w:rsidRPr="009513F5">
        <w:rPr>
          <w:rStyle w:val="Hyperlink"/>
          <w:rFonts w:ascii="Arial" w:hAnsi="Arial" w:cs="Arial"/>
          <w:sz w:val="18"/>
          <w:szCs w:val="18"/>
        </w:rPr>
        <w:t xml:space="preserve"> </w:t>
      </w:r>
      <w:r w:rsidRPr="009513F5">
        <w:rPr>
          <w:rFonts w:ascii="Arial" w:hAnsi="Arial" w:cs="Arial"/>
          <w:sz w:val="18"/>
          <w:szCs w:val="18"/>
        </w:rPr>
        <w:t xml:space="preserve">  Relator Conselheiro Fabio de Souza Camargo.</w:t>
      </w:r>
    </w:p>
    <w:p w14:paraId="7FED9DF3" w14:textId="77777777" w:rsidR="00676E3C" w:rsidRPr="00F6070E" w:rsidRDefault="00676E3C" w:rsidP="00676E3C">
      <w:pPr>
        <w:autoSpaceDE w:val="0"/>
        <w:autoSpaceDN w:val="0"/>
        <w:adjustRightInd w:val="0"/>
        <w:spacing w:after="0"/>
        <w:jc w:val="both"/>
        <w:rPr>
          <w:rFonts w:ascii="Arial" w:hAnsi="Arial" w:cs="Arial"/>
          <w:b/>
          <w:bCs/>
          <w:sz w:val="20"/>
          <w:szCs w:val="20"/>
        </w:rPr>
      </w:pPr>
    </w:p>
    <w:p w14:paraId="632DD162" w14:textId="537FD415" w:rsidR="002748D1" w:rsidRPr="00F6070E" w:rsidRDefault="002748D1" w:rsidP="00F6070E">
      <w:pPr>
        <w:shd w:val="pct10" w:color="auto" w:fill="auto"/>
        <w:spacing w:after="0"/>
        <w:jc w:val="center"/>
        <w:rPr>
          <w:rFonts w:ascii="Arial" w:hAnsi="Arial" w:cs="Arial"/>
          <w:b/>
          <w:sz w:val="20"/>
          <w:szCs w:val="20"/>
        </w:rPr>
      </w:pPr>
      <w:r w:rsidRPr="00F6070E">
        <w:rPr>
          <w:rFonts w:ascii="Arial" w:hAnsi="Arial" w:cs="Arial"/>
          <w:b/>
          <w:sz w:val="20"/>
          <w:szCs w:val="20"/>
        </w:rPr>
        <w:t>SEGUNDA CÂMARA</w:t>
      </w:r>
    </w:p>
    <w:p w14:paraId="3005C4EE" w14:textId="4E2BA616" w:rsidR="004801E7" w:rsidRPr="00F6070E" w:rsidRDefault="004801E7" w:rsidP="00F6070E">
      <w:pPr>
        <w:autoSpaceDE w:val="0"/>
        <w:autoSpaceDN w:val="0"/>
        <w:adjustRightInd w:val="0"/>
        <w:spacing w:after="0"/>
        <w:jc w:val="both"/>
        <w:rPr>
          <w:rFonts w:ascii="Arial" w:hAnsi="Arial" w:cs="Arial"/>
          <w:sz w:val="20"/>
          <w:szCs w:val="20"/>
        </w:rPr>
      </w:pPr>
    </w:p>
    <w:p w14:paraId="4CDC6E89" w14:textId="1607F26A" w:rsidR="008B531B" w:rsidRPr="00691F26" w:rsidRDefault="008B531B" w:rsidP="008B531B">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3</w:t>
      </w:r>
      <w:r w:rsidRPr="00691F26">
        <w:rPr>
          <w:rFonts w:ascii="Arial" w:hAnsi="Arial" w:cs="Arial"/>
          <w:b/>
          <w:sz w:val="20"/>
          <w:szCs w:val="20"/>
        </w:rPr>
        <w:t>. Prestação de Contas ANUAL. CONTROLE INTERNO. Controle Interno exercido por servidor ocupante de cargo de nível médio. Servidor efetivo no cargo de auxiliar legislativo com experiência que indica o conhecimento necessário ao desempenho do controle interno. Aprimoramento do quadro de servidores que poderá viabilizar nova composição do setor com atendimento da legislação. Ressalva conforme precedentes deste Tribunal. Contas Regulares com ressalva.</w:t>
      </w:r>
    </w:p>
    <w:p w14:paraId="3F894B19" w14:textId="77777777" w:rsidR="008B531B" w:rsidRDefault="008B531B" w:rsidP="008B531B">
      <w:pPr>
        <w:autoSpaceDE w:val="0"/>
        <w:autoSpaceDN w:val="0"/>
        <w:adjustRightInd w:val="0"/>
        <w:spacing w:after="0" w:line="240" w:lineRule="auto"/>
        <w:jc w:val="both"/>
        <w:rPr>
          <w:rFonts w:ascii="Arial" w:hAnsi="Arial" w:cs="Arial"/>
          <w:b/>
          <w:sz w:val="20"/>
          <w:szCs w:val="20"/>
        </w:rPr>
      </w:pPr>
    </w:p>
    <w:p w14:paraId="1112C2F2" w14:textId="77777777" w:rsidR="008B531B" w:rsidRDefault="008B531B" w:rsidP="008B531B">
      <w:pPr>
        <w:autoSpaceDE w:val="0"/>
        <w:autoSpaceDN w:val="0"/>
        <w:adjustRightInd w:val="0"/>
        <w:spacing w:after="0" w:line="240" w:lineRule="auto"/>
        <w:jc w:val="both"/>
        <w:rPr>
          <w:rFonts w:ascii="Arial" w:hAnsi="Arial" w:cs="Arial"/>
          <w:b/>
          <w:sz w:val="20"/>
          <w:szCs w:val="20"/>
        </w:rPr>
      </w:pPr>
    </w:p>
    <w:p w14:paraId="17CD6E9F"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r w:rsidRPr="00547774">
        <w:rPr>
          <w:rFonts w:ascii="Arial" w:hAnsi="Arial" w:cs="Arial"/>
          <w:sz w:val="18"/>
          <w:szCs w:val="18"/>
        </w:rPr>
        <w:t>A falha ora discutida decorreu da ausência de efetiva comprovação de conhecimento de áreas correlatas ao Controle Interno, pelo servidor ocupante da função, o Sr., Auxiliar Legislativo, com formação de nível médio, conforme indicado no Relatório de Controle Interno (peça 6).</w:t>
      </w:r>
    </w:p>
    <w:p w14:paraId="3F197FC9"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p>
    <w:p w14:paraId="50481A6F"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r w:rsidRPr="00547774">
        <w:rPr>
          <w:rFonts w:ascii="Arial" w:hAnsi="Arial" w:cs="Arial"/>
          <w:sz w:val="18"/>
          <w:szCs w:val="18"/>
        </w:rPr>
        <w:t>Inicialmente, é relevante considerar, como justificado pela Câmara Municipal, seu quadro de servidores apresentava apenas 4 cargos: Advogado, Contador, Auxiliar Legislativo e Zeladora. Assim, em face da indispensável segmentação de funções, tornou-se necessária a nomeação do Sr. Auxiliar.</w:t>
      </w:r>
    </w:p>
    <w:p w14:paraId="792AFB0C"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p>
    <w:p w14:paraId="00EDFCB1"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r w:rsidRPr="00547774">
        <w:rPr>
          <w:rFonts w:ascii="Arial" w:hAnsi="Arial" w:cs="Arial"/>
          <w:sz w:val="18"/>
          <w:szCs w:val="18"/>
        </w:rPr>
        <w:t>Em que pese a ausência de comprovação formal de conhecimento nas áreas relacionadas ao Controle Interno, a experiência do servidor, em princípio, apresenta indicativos desse conhecimento, uma vez que exerceu o cargo comissionado de Diretor de Secretaria desde 3/12/1991 (peça 23) e foi posteriormente nomeado para o cargo efetivo de Auxiliar Legislativo em 19/05/2003 (peça 22).</w:t>
      </w:r>
    </w:p>
    <w:p w14:paraId="4503B332"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p>
    <w:p w14:paraId="39FE550A"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r w:rsidRPr="00547774">
        <w:rPr>
          <w:rFonts w:ascii="Arial" w:hAnsi="Arial" w:cs="Arial"/>
          <w:sz w:val="18"/>
          <w:szCs w:val="18"/>
        </w:rPr>
        <w:t>De outra forma, em relação à formação de nível médio do servidor, é necessário considerar que o exercício do cargo de Controlador Interno por servidor ocupante de cargo de nível superior é exigência razoável, mas não imprescindível, bastando que haja efetivo conhecimento de áreas correlatas ao exercício da função. Nesse sentido são os precedentes deste Tribunal, conforme já citados em sede de defesa.</w:t>
      </w:r>
    </w:p>
    <w:p w14:paraId="6D1137B2"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p>
    <w:p w14:paraId="4892AA6A"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r w:rsidRPr="00547774">
        <w:rPr>
          <w:rFonts w:ascii="Arial" w:hAnsi="Arial" w:cs="Arial"/>
          <w:sz w:val="18"/>
          <w:szCs w:val="18"/>
        </w:rPr>
        <w:t xml:space="preserve">Por fim, é necessário ter em conta que a Câmara Municipal comprovou a adoção de medidas para adequar o cargo, conforme Projeto de Lei </w:t>
      </w:r>
      <w:proofErr w:type="spellStart"/>
      <w:r w:rsidRPr="00547774">
        <w:rPr>
          <w:rFonts w:ascii="Arial" w:hAnsi="Arial" w:cs="Arial"/>
          <w:sz w:val="18"/>
          <w:szCs w:val="18"/>
        </w:rPr>
        <w:t>n.°</w:t>
      </w:r>
      <w:proofErr w:type="spellEnd"/>
      <w:r w:rsidRPr="00547774">
        <w:rPr>
          <w:rFonts w:ascii="Arial" w:hAnsi="Arial" w:cs="Arial"/>
          <w:sz w:val="18"/>
          <w:szCs w:val="18"/>
        </w:rPr>
        <w:t xml:space="preserve"> 03/2020 (peça 24), que extingue o cargo de Auxiliar Legislativo e cria o cargo de nível superior de Técnico-Legislativo e tornará, portanto, viável a nomeação de servidor com formação de nível superior.</w:t>
      </w:r>
    </w:p>
    <w:p w14:paraId="3DA07D00"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p>
    <w:p w14:paraId="50E83055"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r w:rsidRPr="00547774">
        <w:rPr>
          <w:rFonts w:ascii="Arial" w:hAnsi="Arial" w:cs="Arial"/>
          <w:sz w:val="18"/>
          <w:szCs w:val="18"/>
        </w:rPr>
        <w:t>Dessa forma, evidenciada a experiência funcional do servidor, a limitação do quadro de servidores à época da nomeação realizada, a não exigência de formação em nível superior pela jurisprudência deste Tribunal e as medidas adotadas com vistas a aprimorar o quadro funcional e a viabilizar nova composição do Controle Interno, acompanha-se as manifestações da Coordenadoria de Gestão Municipal e do Ministério Público de Contas, para converter o fato em causa de ressalva das contas.</w:t>
      </w:r>
    </w:p>
    <w:p w14:paraId="5B821FDD" w14:textId="77777777" w:rsidR="008B531B" w:rsidRPr="00547774" w:rsidRDefault="008B531B" w:rsidP="008B531B">
      <w:pPr>
        <w:autoSpaceDE w:val="0"/>
        <w:autoSpaceDN w:val="0"/>
        <w:adjustRightInd w:val="0"/>
        <w:spacing w:after="0" w:line="240" w:lineRule="auto"/>
        <w:jc w:val="both"/>
        <w:rPr>
          <w:rFonts w:ascii="Arial" w:hAnsi="Arial" w:cs="Arial"/>
          <w:sz w:val="18"/>
          <w:szCs w:val="18"/>
        </w:rPr>
      </w:pPr>
    </w:p>
    <w:p w14:paraId="2A0D54D4" w14:textId="77777777" w:rsidR="008B531B" w:rsidRDefault="008B531B" w:rsidP="008B531B">
      <w:pPr>
        <w:autoSpaceDE w:val="0"/>
        <w:autoSpaceDN w:val="0"/>
        <w:adjustRightInd w:val="0"/>
        <w:spacing w:after="0" w:line="240" w:lineRule="auto"/>
        <w:jc w:val="both"/>
        <w:rPr>
          <w:rFonts w:ascii="Arial" w:hAnsi="Arial" w:cs="Arial"/>
          <w:sz w:val="18"/>
          <w:szCs w:val="18"/>
        </w:rPr>
      </w:pPr>
      <w:r w:rsidRPr="00547774">
        <w:rPr>
          <w:rFonts w:ascii="Arial" w:hAnsi="Arial" w:cs="Arial"/>
          <w:sz w:val="18"/>
          <w:szCs w:val="18"/>
        </w:rPr>
        <w:t xml:space="preserve">Processo nº 249748/20 – </w:t>
      </w:r>
      <w:hyperlink r:id="rId10" w:history="1">
        <w:r w:rsidRPr="00547774">
          <w:rPr>
            <w:rStyle w:val="Hyperlink"/>
            <w:rFonts w:ascii="Arial" w:hAnsi="Arial" w:cs="Arial"/>
            <w:sz w:val="18"/>
            <w:szCs w:val="18"/>
          </w:rPr>
          <w:t xml:space="preserve"> Acórdão nº 3418/20 – Segunda Câmara -</w:t>
        </w:r>
      </w:hyperlink>
      <w:r w:rsidRPr="00547774">
        <w:rPr>
          <w:rFonts w:ascii="Arial" w:hAnsi="Arial" w:cs="Arial"/>
          <w:sz w:val="18"/>
          <w:szCs w:val="18"/>
        </w:rPr>
        <w:t xml:space="preserve"> Relator Conselheiro Ivens </w:t>
      </w:r>
      <w:proofErr w:type="spellStart"/>
      <w:r w:rsidRPr="00547774">
        <w:rPr>
          <w:rFonts w:ascii="Arial" w:hAnsi="Arial" w:cs="Arial"/>
          <w:sz w:val="18"/>
          <w:szCs w:val="18"/>
        </w:rPr>
        <w:t>Zschoerper</w:t>
      </w:r>
      <w:proofErr w:type="spellEnd"/>
      <w:r w:rsidRPr="00547774">
        <w:rPr>
          <w:rFonts w:ascii="Arial" w:hAnsi="Arial" w:cs="Arial"/>
          <w:sz w:val="18"/>
          <w:szCs w:val="18"/>
        </w:rPr>
        <w:t xml:space="preserve"> Linhares.</w:t>
      </w:r>
    </w:p>
    <w:p w14:paraId="1D3F275A" w14:textId="77777777" w:rsidR="00676E3C" w:rsidRPr="00676E3C" w:rsidRDefault="00676E3C" w:rsidP="00676E3C">
      <w:pPr>
        <w:autoSpaceDE w:val="0"/>
        <w:autoSpaceDN w:val="0"/>
        <w:adjustRightInd w:val="0"/>
        <w:spacing w:after="0" w:line="240" w:lineRule="auto"/>
        <w:jc w:val="both"/>
        <w:rPr>
          <w:rFonts w:ascii="Arial" w:hAnsi="Arial" w:cs="Arial"/>
          <w:sz w:val="20"/>
          <w:szCs w:val="20"/>
        </w:rPr>
      </w:pPr>
    </w:p>
    <w:p w14:paraId="538D2D17" w14:textId="23672FC3" w:rsidR="008B531B" w:rsidRPr="00F86D1F" w:rsidRDefault="008B531B" w:rsidP="008B531B">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4</w:t>
      </w:r>
      <w:r w:rsidRPr="00F86D1F">
        <w:rPr>
          <w:rFonts w:ascii="Arial" w:hAnsi="Arial" w:cs="Arial"/>
          <w:b/>
          <w:sz w:val="20"/>
          <w:szCs w:val="20"/>
        </w:rPr>
        <w:t>. Prestação de contas de transferência voluntária. Movimentação financeira não individualizada. Falhas formais. Pela regularidade das contas com ressalva e expedição de recomendações.</w:t>
      </w:r>
    </w:p>
    <w:p w14:paraId="6A07A425" w14:textId="77777777" w:rsidR="008B531B" w:rsidRPr="00F86D1F" w:rsidRDefault="008B531B" w:rsidP="008B531B">
      <w:pPr>
        <w:autoSpaceDE w:val="0"/>
        <w:autoSpaceDN w:val="0"/>
        <w:adjustRightInd w:val="0"/>
        <w:spacing w:after="0" w:line="240" w:lineRule="auto"/>
        <w:jc w:val="both"/>
        <w:rPr>
          <w:rFonts w:ascii="Arial" w:hAnsi="Arial" w:cs="Arial"/>
          <w:b/>
          <w:sz w:val="20"/>
          <w:szCs w:val="20"/>
        </w:rPr>
      </w:pPr>
    </w:p>
    <w:p w14:paraId="423102A6"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 xml:space="preserve">Trata-se de processo de Prestação de Contas de Transferência Voluntária autuada pelo Sistema Integrado de Transferências – SIT, sob nº, mediante o Termo de Convênio nº, em cuja vigência (23/03/2012 a </w:t>
      </w:r>
      <w:r w:rsidRPr="001C4E8C">
        <w:rPr>
          <w:rFonts w:ascii="Arial" w:hAnsi="Arial" w:cs="Arial"/>
          <w:sz w:val="18"/>
          <w:szCs w:val="18"/>
        </w:rPr>
        <w:lastRenderedPageBreak/>
        <w:t>31/12/2012) o Município repassou recursos financeiros, R$ 22.000,00 (vinte e dois mil reais), à Clube Esportivo, os quais se destinariam a executar “... o programa alimentando sonhos, e motivar o desenvolvimento de ações esportivas inovadoras e sustentáveis”.</w:t>
      </w:r>
    </w:p>
    <w:p w14:paraId="6D3F60A9"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p>
    <w:p w14:paraId="336C22BD"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Conforme manifestações no processo, devem ser julgadas regulares com ressalva as presentes contas de transferência voluntária e expedidas recomendações aos jurisdicionados.</w:t>
      </w:r>
    </w:p>
    <w:p w14:paraId="567D8380"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p>
    <w:p w14:paraId="282AB359"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No que se refere a Movimentação financeira (das despesas) não individualizada, a Coordenadoria de Gestão Municipal constatou despesas, relacionadas na Instrução n° 4307/13-DAT (peça n° 05), que não foram compensadas pelo banco e disparidade entre os extratos bancários relativos à movimentação financeira da transferência e as despesas informadas. Destacou que, nos extratos acostados na defesa, as despesas não foram compensadas pelo banco porque houve saques de dinheiro da conta para o pagamento destas despesas.</w:t>
      </w:r>
    </w:p>
    <w:p w14:paraId="092F1BC0"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p>
    <w:p w14:paraId="6F4853FD"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Observou, ainda, que o saque de valores com a finalidade de pagar despesas de convênio é vedado pelo § 5º, do art. 13, da Resolução 28/2011 do TCE-PR.</w:t>
      </w:r>
    </w:p>
    <w:p w14:paraId="44CAF670"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p>
    <w:p w14:paraId="395D0553"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Porém, reiterou a Unidade Técnica que, da maioria das decisões exaradas dos julgamentos realizados por esta Corte em 2017, surgiu firme jurisprudência no sentido de que, nas situações em que os recursos tenham sido integralmente aplicados no objeto da avença, constantes do plano de trabalho/aplicação, e não havendo indícios de dano e/ou prejuízos no cumprimento das metas pactuadas, para aquelas ocorrências de natureza formal, as contas podem ser aprovadas com ressalvas, mas sem a aplicação de sanções.</w:t>
      </w:r>
    </w:p>
    <w:p w14:paraId="40A20470"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p>
    <w:p w14:paraId="22911AE0"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Desse modo, acompanh</w:t>
      </w:r>
      <w:r>
        <w:rPr>
          <w:rFonts w:ascii="Arial" w:hAnsi="Arial" w:cs="Arial"/>
          <w:sz w:val="18"/>
          <w:szCs w:val="18"/>
        </w:rPr>
        <w:t>a-se</w:t>
      </w:r>
      <w:r w:rsidRPr="001C4E8C">
        <w:rPr>
          <w:rFonts w:ascii="Arial" w:hAnsi="Arial" w:cs="Arial"/>
          <w:sz w:val="18"/>
          <w:szCs w:val="18"/>
        </w:rPr>
        <w:t xml:space="preserve"> os opinativos uniformes da Unidade Técnica e do Ministério Público de Contas que concluíram que a impropriedade não interferiu no atingimento dos objetivos do convênio e não causou danos ao patrimônio público, razão pela qual deve ser convertida em ressalva.</w:t>
      </w:r>
    </w:p>
    <w:p w14:paraId="33C0C337"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p>
    <w:p w14:paraId="050DE588"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Em relação ao Atraso do Tomador no envio das informações bimestrais; Atraso do Concedente no envio das informações bimestrais; Ausência de certidões na formalização da transferência; e Conta bancária aberta em instituição financeira não oficial, considerando que se trata de impropriedades de natureza formal, entend</w:t>
      </w:r>
      <w:r>
        <w:rPr>
          <w:rFonts w:ascii="Arial" w:hAnsi="Arial" w:cs="Arial"/>
          <w:sz w:val="18"/>
          <w:szCs w:val="18"/>
        </w:rPr>
        <w:t>e-se</w:t>
      </w:r>
      <w:r w:rsidRPr="001C4E8C">
        <w:rPr>
          <w:rFonts w:ascii="Arial" w:hAnsi="Arial" w:cs="Arial"/>
          <w:sz w:val="18"/>
          <w:szCs w:val="18"/>
        </w:rPr>
        <w:t xml:space="preserve"> que tais itens podem ser relevados, devendo-se levar em conta a necessidade de adaptação dos jurisdicionados aos novos procedimentos de alimentação de dados junto ao Sistema Integrado de Transferências – SIT, conforme sublinhado pela unidade técnica, solução esta já adotada em prestações de contas municipais no período.</w:t>
      </w:r>
    </w:p>
    <w:p w14:paraId="012B5000"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p>
    <w:p w14:paraId="68261C8F" w14:textId="02136665"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Por esse motivo, aliás, deve ser imposta recomendação aos gestores do Concedente e da Tomadora, com vistas a adotar medidas visando ao cumprimento da Instrução Normativa nº 61/2011 e da Resolução nº 28/2011, ambas desta Corte de Contas.</w:t>
      </w:r>
    </w:p>
    <w:p w14:paraId="19227FEE" w14:textId="77777777" w:rsidR="008B531B" w:rsidRPr="001C4E8C" w:rsidRDefault="008B531B" w:rsidP="008B531B">
      <w:pPr>
        <w:autoSpaceDE w:val="0"/>
        <w:autoSpaceDN w:val="0"/>
        <w:adjustRightInd w:val="0"/>
        <w:spacing w:after="0" w:line="240" w:lineRule="auto"/>
        <w:jc w:val="both"/>
        <w:rPr>
          <w:rFonts w:ascii="Arial" w:hAnsi="Arial" w:cs="Arial"/>
          <w:sz w:val="18"/>
          <w:szCs w:val="18"/>
        </w:rPr>
      </w:pPr>
    </w:p>
    <w:p w14:paraId="5B92891A" w14:textId="4A6A8786" w:rsidR="008B531B" w:rsidRPr="001C4E8C" w:rsidRDefault="008B531B" w:rsidP="008B531B">
      <w:pPr>
        <w:autoSpaceDE w:val="0"/>
        <w:autoSpaceDN w:val="0"/>
        <w:adjustRightInd w:val="0"/>
        <w:spacing w:after="0" w:line="240" w:lineRule="auto"/>
        <w:jc w:val="both"/>
        <w:rPr>
          <w:rFonts w:ascii="Arial" w:hAnsi="Arial" w:cs="Arial"/>
          <w:sz w:val="18"/>
          <w:szCs w:val="18"/>
        </w:rPr>
      </w:pPr>
      <w:r w:rsidRPr="001C4E8C">
        <w:rPr>
          <w:rFonts w:ascii="Arial" w:hAnsi="Arial" w:cs="Arial"/>
          <w:sz w:val="18"/>
          <w:szCs w:val="18"/>
        </w:rPr>
        <w:t>Processo n</w:t>
      </w:r>
      <w:r>
        <w:rPr>
          <w:rFonts w:ascii="Arial" w:hAnsi="Arial" w:cs="Arial"/>
          <w:sz w:val="18"/>
          <w:szCs w:val="18"/>
        </w:rPr>
        <w:t>.</w:t>
      </w:r>
      <w:r w:rsidRPr="001C4E8C">
        <w:rPr>
          <w:rFonts w:ascii="Arial" w:hAnsi="Arial" w:cs="Arial"/>
          <w:sz w:val="18"/>
          <w:szCs w:val="18"/>
        </w:rPr>
        <w:t xml:space="preserve">º 87871/13 – </w:t>
      </w:r>
      <w:hyperlink r:id="rId11" w:history="1">
        <w:r w:rsidRPr="001C4E8C">
          <w:rPr>
            <w:rStyle w:val="Hyperlink"/>
            <w:rFonts w:ascii="Arial" w:hAnsi="Arial" w:cs="Arial"/>
            <w:sz w:val="18"/>
            <w:szCs w:val="18"/>
          </w:rPr>
          <w:t xml:space="preserve"> Acórdão nº 3406/20 – Segunda Câmara -</w:t>
        </w:r>
      </w:hyperlink>
      <w:r w:rsidRPr="001C4E8C">
        <w:rPr>
          <w:rFonts w:ascii="Arial" w:hAnsi="Arial" w:cs="Arial"/>
          <w:sz w:val="18"/>
          <w:szCs w:val="18"/>
        </w:rPr>
        <w:t xml:space="preserve"> Relator Conselheiro Ivens </w:t>
      </w:r>
      <w:proofErr w:type="spellStart"/>
      <w:r w:rsidRPr="001C4E8C">
        <w:rPr>
          <w:rFonts w:ascii="Arial" w:hAnsi="Arial" w:cs="Arial"/>
          <w:sz w:val="18"/>
          <w:szCs w:val="18"/>
        </w:rPr>
        <w:t>Zschoerper</w:t>
      </w:r>
      <w:proofErr w:type="spellEnd"/>
      <w:r w:rsidRPr="001C4E8C">
        <w:rPr>
          <w:rFonts w:ascii="Arial" w:hAnsi="Arial" w:cs="Arial"/>
          <w:sz w:val="18"/>
          <w:szCs w:val="18"/>
        </w:rPr>
        <w:t xml:space="preserve"> Linhares.</w:t>
      </w:r>
    </w:p>
    <w:p w14:paraId="2F047039" w14:textId="77777777" w:rsidR="00676E3C" w:rsidRPr="00F6070E" w:rsidRDefault="00676E3C" w:rsidP="00F6070E">
      <w:pPr>
        <w:autoSpaceDE w:val="0"/>
        <w:autoSpaceDN w:val="0"/>
        <w:adjustRightInd w:val="0"/>
        <w:spacing w:after="0"/>
        <w:jc w:val="both"/>
        <w:rPr>
          <w:rFonts w:ascii="Arial" w:hAnsi="Arial" w:cs="Arial"/>
          <w:sz w:val="20"/>
          <w:szCs w:val="20"/>
        </w:rPr>
      </w:pPr>
    </w:p>
    <w:p w14:paraId="726810AE" w14:textId="59005946" w:rsidR="006972B9" w:rsidRPr="00F6070E" w:rsidRDefault="006972B9" w:rsidP="00F6070E">
      <w:pPr>
        <w:shd w:val="pct10" w:color="auto" w:fill="auto"/>
        <w:spacing w:after="0"/>
        <w:jc w:val="center"/>
        <w:rPr>
          <w:rFonts w:ascii="Arial" w:hAnsi="Arial" w:cs="Arial"/>
          <w:b/>
          <w:sz w:val="20"/>
          <w:szCs w:val="20"/>
        </w:rPr>
      </w:pPr>
      <w:r w:rsidRPr="00F6070E">
        <w:rPr>
          <w:rFonts w:ascii="Arial" w:hAnsi="Arial" w:cs="Arial"/>
          <w:b/>
          <w:sz w:val="20"/>
          <w:szCs w:val="20"/>
        </w:rPr>
        <w:t>TRIBUNAL PLENO</w:t>
      </w:r>
    </w:p>
    <w:p w14:paraId="2BEB83C6" w14:textId="75F7B193" w:rsidR="008B531B" w:rsidRPr="008B531B" w:rsidRDefault="008B531B" w:rsidP="008B531B">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5</w:t>
      </w:r>
      <w:r w:rsidRPr="008B531B">
        <w:rPr>
          <w:rFonts w:ascii="Arial" w:hAnsi="Arial" w:cs="Arial"/>
          <w:b/>
          <w:sz w:val="20"/>
          <w:szCs w:val="20"/>
        </w:rPr>
        <w:t>. Representação. Comissão permanente de licitação. Composição. Servidores efetivos. Art. 51, caput, da Lei nº 8666/93. Consulta n.º 332354/17. Multa. Procedência.</w:t>
      </w:r>
    </w:p>
    <w:p w14:paraId="052B17D4" w14:textId="77777777" w:rsidR="008B531B" w:rsidRPr="008B531B" w:rsidRDefault="008B531B" w:rsidP="008B531B">
      <w:pPr>
        <w:autoSpaceDE w:val="0"/>
        <w:autoSpaceDN w:val="0"/>
        <w:adjustRightInd w:val="0"/>
        <w:spacing w:after="0" w:line="240" w:lineRule="auto"/>
        <w:jc w:val="both"/>
        <w:rPr>
          <w:rFonts w:ascii="Arial" w:hAnsi="Arial" w:cs="Arial"/>
          <w:b/>
          <w:sz w:val="20"/>
          <w:szCs w:val="20"/>
        </w:rPr>
      </w:pPr>
    </w:p>
    <w:p w14:paraId="613DCBC6"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Trata-se de Representação formulada por Controlador Interno da CÂMARA MUNICIPAL, que noticia supostas irregularidades na Tomada de Preços n.º 01/20, daquele órgão, que tem como objeto a “contratação de empresa especializada para execução de obra de revitalização/reforma e ampliação do prédio da Câmara Municipal”, alegando que a respectiva sessão foi realizada sem a presença dos três membros da Comissão de Licitação, nem observando a composição mínima de servidores efetivos, violando-se o art. 51 da Lei nº 8666/93.</w:t>
      </w:r>
    </w:p>
    <w:p w14:paraId="1ABF47C5"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37310611"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 xml:space="preserve">Cinge-se a controvérsia à constatação de inobservância do disposto no art. 51, caput, da Lei n.º 8.666/93, quando da sessão de julgamento da Tomada de Preços n.º 01/20 da CÂMARA MUNICIPAL. </w:t>
      </w:r>
    </w:p>
    <w:p w14:paraId="6EC2882C"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37EF038F"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Referida norma dispõe sobre indispensabilidade do acompanhamento e julgamento da habilitação preliminar, da inscrição em registro cadastral e das propostas, por comissão formada, ao menos, por três servidores, dos quais dois pertencentes aos quadros permanentes da Administração.</w:t>
      </w:r>
    </w:p>
    <w:p w14:paraId="67685D4A"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29CFBFA5"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Ainda, esta Corte de Contas já se pronunciou sobre a matéria, quando do julgamento da Consulta n.º 332354/17, mediante o Acórdão n.º 2298/19, do Tribunal Pleno, de relatoria do d. Cons. JOSÉ DURVAL MATTOS DO AMARAL, publicada em 22/08/2019.</w:t>
      </w:r>
    </w:p>
    <w:p w14:paraId="21F7D5AA"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3BCCA17E"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Trazendo-se tais considerações iniciais ao presente caso concreto, depreende-se a partir do documento de peça n. º 21, fls. 47/50, assim como da manifestação preliminar da CÂMARA MUNICIPAL, que é fato incontroverso que a sessão pública da Tomada de Preços n.º 01/20, realizada em 11/03/2020, assim o foi mediante acompanhamento e julgamento de Comissão Permanente de Licitação formada apenas por duas servidoras, ambas comissionadas, logo, em desacordo com o art. 51, caput, da Lei n.º 8.666/93 e com o teor da Consulta acima citada.</w:t>
      </w:r>
    </w:p>
    <w:p w14:paraId="345C243C"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4DE6D3E2"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Não se ignorando a inércia dos Interessados, que não apresentaram contraditório, embora regularmente citados, é de se destacar que as teses defensivas levantadas na manifestação preliminar de peças n.º 12 e seguintes não são passíveis de afastar a irregularidade do apontamento.</w:t>
      </w:r>
    </w:p>
    <w:p w14:paraId="2B5B66E2"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6C86C783"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 xml:space="preserve">Outrossim, o argumento de que possui apenas um servidor efetivo e que este faltou no dia da sessão em razão da pandemia derivada da infecção humana pelo </w:t>
      </w:r>
      <w:proofErr w:type="spellStart"/>
      <w:r w:rsidRPr="008B531B">
        <w:rPr>
          <w:rFonts w:ascii="Arial" w:hAnsi="Arial" w:cs="Arial"/>
          <w:bCs/>
          <w:sz w:val="20"/>
          <w:szCs w:val="20"/>
        </w:rPr>
        <w:t>coronavírus</w:t>
      </w:r>
      <w:proofErr w:type="spellEnd"/>
      <w:r w:rsidRPr="008B531B">
        <w:rPr>
          <w:rFonts w:ascii="Arial" w:hAnsi="Arial" w:cs="Arial"/>
          <w:bCs/>
          <w:sz w:val="20"/>
          <w:szCs w:val="20"/>
        </w:rPr>
        <w:t xml:space="preserve"> (COVID-19) não afasta a irregularidade, uma vez que, conforme já tratado, na carência de pessoal, pode a Câmara Legislativa se valer dos servidores do Poder Executivo, nos exatos termos da Consulta n.º 332354/17, tal como no presente caso em que a irregularidade perdurou por todo o procedimento licitatório, com a atuação de Comissão Permanente de Licitação formada por três servidores, dos quais, duas comissionadas.</w:t>
      </w:r>
    </w:p>
    <w:p w14:paraId="09A0DD83"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7B5E93DF"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Da mesma forma, a suposta ausência de prejuízo efetivo ao certame pela inobservância da lei não afasta a responsabilização dos envolvidos, não se tratando, neste caso concreto, razoável ignorar o disposto no art. 87 da LC 113/05.</w:t>
      </w:r>
    </w:p>
    <w:p w14:paraId="765BD56F"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7E01BE2B" w14:textId="2B3609E4"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 xml:space="preserve">Por fim, é de se destacar que o Controlador Interno agiu </w:t>
      </w:r>
      <w:proofErr w:type="spellStart"/>
      <w:r w:rsidRPr="008B531B">
        <w:rPr>
          <w:rFonts w:ascii="Arial" w:hAnsi="Arial" w:cs="Arial"/>
          <w:bCs/>
          <w:sz w:val="20"/>
          <w:szCs w:val="20"/>
        </w:rPr>
        <w:t>escorreitamente</w:t>
      </w:r>
      <w:proofErr w:type="spellEnd"/>
      <w:r w:rsidRPr="008B531B">
        <w:rPr>
          <w:rFonts w:ascii="Arial" w:hAnsi="Arial" w:cs="Arial"/>
          <w:bCs/>
          <w:sz w:val="20"/>
          <w:szCs w:val="20"/>
        </w:rPr>
        <w:t xml:space="preserve"> no desempenho de suas funções, ao tomar providência frente a ilegalidade constatada, não havendo razões nestes autos para embasar sua </w:t>
      </w:r>
      <w:proofErr w:type="spellStart"/>
      <w:r w:rsidRPr="008B531B">
        <w:rPr>
          <w:rFonts w:ascii="Arial" w:hAnsi="Arial" w:cs="Arial"/>
          <w:bCs/>
          <w:sz w:val="20"/>
          <w:szCs w:val="20"/>
        </w:rPr>
        <w:t>corresponsabilização</w:t>
      </w:r>
      <w:proofErr w:type="spellEnd"/>
      <w:r w:rsidRPr="008B531B">
        <w:rPr>
          <w:rFonts w:ascii="Arial" w:hAnsi="Arial" w:cs="Arial"/>
          <w:bCs/>
          <w:sz w:val="20"/>
          <w:szCs w:val="20"/>
        </w:rPr>
        <w:t>.</w:t>
      </w:r>
    </w:p>
    <w:p w14:paraId="23E97B0C" w14:textId="77777777" w:rsidR="008B531B" w:rsidRPr="008B531B" w:rsidRDefault="008B531B" w:rsidP="008B531B">
      <w:pPr>
        <w:autoSpaceDE w:val="0"/>
        <w:autoSpaceDN w:val="0"/>
        <w:adjustRightInd w:val="0"/>
        <w:spacing w:after="0" w:line="240" w:lineRule="auto"/>
        <w:jc w:val="both"/>
        <w:rPr>
          <w:rFonts w:ascii="Arial" w:hAnsi="Arial" w:cs="Arial"/>
          <w:bCs/>
          <w:sz w:val="20"/>
          <w:szCs w:val="20"/>
        </w:rPr>
      </w:pPr>
    </w:p>
    <w:p w14:paraId="4F2245EA" w14:textId="201D249E" w:rsidR="008B531B" w:rsidRPr="008B531B" w:rsidRDefault="008B531B" w:rsidP="008B531B">
      <w:pPr>
        <w:autoSpaceDE w:val="0"/>
        <w:autoSpaceDN w:val="0"/>
        <w:adjustRightInd w:val="0"/>
        <w:spacing w:after="0" w:line="240" w:lineRule="auto"/>
        <w:jc w:val="both"/>
        <w:rPr>
          <w:rFonts w:ascii="Arial" w:hAnsi="Arial" w:cs="Arial"/>
          <w:bCs/>
          <w:sz w:val="20"/>
          <w:szCs w:val="20"/>
        </w:rPr>
      </w:pPr>
      <w:r w:rsidRPr="008B531B">
        <w:rPr>
          <w:rFonts w:ascii="Arial" w:hAnsi="Arial" w:cs="Arial"/>
          <w:bCs/>
          <w:sz w:val="20"/>
          <w:szCs w:val="20"/>
        </w:rPr>
        <w:t>Processo n</w:t>
      </w:r>
      <w:r w:rsidRPr="008B531B">
        <w:rPr>
          <w:rFonts w:ascii="Arial" w:hAnsi="Arial" w:cs="Arial"/>
          <w:bCs/>
          <w:sz w:val="20"/>
          <w:szCs w:val="20"/>
        </w:rPr>
        <w:t>.</w:t>
      </w:r>
      <w:r w:rsidRPr="008B531B">
        <w:rPr>
          <w:rFonts w:ascii="Arial" w:hAnsi="Arial" w:cs="Arial"/>
          <w:bCs/>
          <w:sz w:val="20"/>
          <w:szCs w:val="20"/>
        </w:rPr>
        <w:t xml:space="preserve">º 164661/20 – </w:t>
      </w:r>
      <w:hyperlink r:id="rId12" w:history="1">
        <w:r w:rsidRPr="008B531B">
          <w:rPr>
            <w:rStyle w:val="Hyperlink"/>
            <w:rFonts w:ascii="Arial" w:hAnsi="Arial" w:cs="Arial"/>
            <w:bCs/>
            <w:sz w:val="20"/>
            <w:szCs w:val="20"/>
          </w:rPr>
          <w:t xml:space="preserve"> Acórdão nº3192/20 – Tribunal Pleno -</w:t>
        </w:r>
      </w:hyperlink>
      <w:r w:rsidRPr="008B531B">
        <w:rPr>
          <w:rFonts w:ascii="Arial" w:hAnsi="Arial" w:cs="Arial"/>
          <w:bCs/>
          <w:sz w:val="20"/>
          <w:szCs w:val="20"/>
        </w:rPr>
        <w:t xml:space="preserve"> Relator Conselheiro </w:t>
      </w:r>
      <w:proofErr w:type="spellStart"/>
      <w:r w:rsidRPr="008B531B">
        <w:rPr>
          <w:rFonts w:ascii="Arial" w:hAnsi="Arial" w:cs="Arial"/>
          <w:bCs/>
          <w:sz w:val="20"/>
          <w:szCs w:val="20"/>
        </w:rPr>
        <w:t>Artag</w:t>
      </w:r>
      <w:r w:rsidRPr="008B531B">
        <w:rPr>
          <w:rFonts w:ascii="Arial" w:hAnsi="Arial" w:cs="Arial"/>
          <w:bCs/>
          <w:sz w:val="20"/>
          <w:szCs w:val="20"/>
        </w:rPr>
        <w:t>ã</w:t>
      </w:r>
      <w:r w:rsidRPr="008B531B">
        <w:rPr>
          <w:rFonts w:ascii="Arial" w:hAnsi="Arial" w:cs="Arial"/>
          <w:bCs/>
          <w:sz w:val="20"/>
          <w:szCs w:val="20"/>
        </w:rPr>
        <w:t>o</w:t>
      </w:r>
      <w:proofErr w:type="spellEnd"/>
      <w:r w:rsidRPr="008B531B">
        <w:rPr>
          <w:rFonts w:ascii="Arial" w:hAnsi="Arial" w:cs="Arial"/>
          <w:bCs/>
          <w:sz w:val="20"/>
          <w:szCs w:val="20"/>
        </w:rPr>
        <w:t xml:space="preserve"> de Mattos Leão.</w:t>
      </w:r>
    </w:p>
    <w:p w14:paraId="3FA59CC2" w14:textId="77777777" w:rsidR="007E66A1" w:rsidRDefault="007E66A1" w:rsidP="007E66A1">
      <w:pPr>
        <w:autoSpaceDE w:val="0"/>
        <w:autoSpaceDN w:val="0"/>
        <w:adjustRightInd w:val="0"/>
        <w:spacing w:after="0" w:line="240" w:lineRule="auto"/>
        <w:jc w:val="both"/>
        <w:rPr>
          <w:rFonts w:ascii="Arial" w:hAnsi="Arial" w:cs="Arial"/>
          <w:b/>
          <w:sz w:val="20"/>
          <w:szCs w:val="20"/>
        </w:rPr>
      </w:pPr>
    </w:p>
    <w:p w14:paraId="5FB94C58" w14:textId="77777777" w:rsidR="00AF51CD" w:rsidRPr="00F6070E" w:rsidRDefault="00AF51CD" w:rsidP="007E66A1">
      <w:pPr>
        <w:autoSpaceDE w:val="0"/>
        <w:autoSpaceDN w:val="0"/>
        <w:adjustRightInd w:val="0"/>
        <w:spacing w:after="0" w:line="240" w:lineRule="auto"/>
        <w:jc w:val="both"/>
        <w:rPr>
          <w:rFonts w:ascii="Arial" w:hAnsi="Arial" w:cs="Arial"/>
          <w:b/>
          <w:bCs/>
          <w:sz w:val="20"/>
          <w:szCs w:val="20"/>
        </w:rPr>
      </w:pPr>
    </w:p>
    <w:p w14:paraId="6421775C" w14:textId="77777777" w:rsidR="007C18E7" w:rsidRPr="00F6070E" w:rsidRDefault="007C18E7" w:rsidP="007E66A1">
      <w:pPr>
        <w:spacing w:after="0" w:line="240" w:lineRule="auto"/>
        <w:rPr>
          <w:rFonts w:ascii="Arial" w:hAnsi="Arial" w:cs="Arial"/>
          <w:b/>
          <w:color w:val="000000"/>
          <w:sz w:val="20"/>
          <w:szCs w:val="20"/>
        </w:rPr>
      </w:pPr>
      <w:r w:rsidRPr="00F6070E">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AFE70EE" w14:textId="77777777" w:rsidR="00AF51CD" w:rsidRPr="00F6070E" w:rsidRDefault="00AF51CD" w:rsidP="00F6070E">
      <w:pPr>
        <w:autoSpaceDE w:val="0"/>
        <w:autoSpaceDN w:val="0"/>
        <w:adjustRightInd w:val="0"/>
        <w:spacing w:after="0"/>
        <w:jc w:val="both"/>
        <w:rPr>
          <w:rFonts w:ascii="Arial" w:hAnsi="Arial" w:cs="Arial"/>
          <w:sz w:val="20"/>
          <w:szCs w:val="20"/>
        </w:rPr>
      </w:pPr>
    </w:p>
    <w:p w14:paraId="6A7CD7A9" w14:textId="77777777" w:rsidR="001D1424" w:rsidRPr="00F6070E" w:rsidRDefault="001D1424" w:rsidP="00F6070E">
      <w:pPr>
        <w:pStyle w:val="Default"/>
        <w:spacing w:line="276" w:lineRule="auto"/>
        <w:jc w:val="both"/>
        <w:rPr>
          <w:b/>
          <w:sz w:val="20"/>
          <w:szCs w:val="20"/>
        </w:rPr>
      </w:pPr>
      <w:r w:rsidRPr="00F6070E">
        <w:rPr>
          <w:b/>
          <w:sz w:val="20"/>
          <w:szCs w:val="20"/>
        </w:rPr>
        <w:lastRenderedPageBreak/>
        <w:t xml:space="preserve">Acesse também: </w:t>
      </w:r>
    </w:p>
    <w:p w14:paraId="7A9289B7" w14:textId="77777777" w:rsidR="006C063B" w:rsidRPr="00F6070E" w:rsidRDefault="006C063B" w:rsidP="00F6070E">
      <w:pPr>
        <w:pStyle w:val="Default"/>
        <w:spacing w:line="276" w:lineRule="auto"/>
        <w:jc w:val="both"/>
        <w:rPr>
          <w:b/>
          <w:sz w:val="20"/>
          <w:szCs w:val="20"/>
        </w:rPr>
      </w:pPr>
    </w:p>
    <w:p w14:paraId="5D2329DF" w14:textId="77777777" w:rsidR="007C18E7" w:rsidRPr="00F6070E" w:rsidRDefault="00C62AC1" w:rsidP="007E66A1">
      <w:pPr>
        <w:pStyle w:val="Default"/>
        <w:jc w:val="center"/>
        <w:rPr>
          <w:rStyle w:val="Hyperlink"/>
          <w:b/>
          <w:sz w:val="20"/>
          <w:szCs w:val="20"/>
        </w:rPr>
      </w:pPr>
      <w:hyperlink r:id="rId13" w:history="1">
        <w:r w:rsidR="007C18E7" w:rsidRPr="00F6070E">
          <w:rPr>
            <w:rStyle w:val="Hyperlink"/>
            <w:b/>
            <w:sz w:val="20"/>
            <w:szCs w:val="20"/>
          </w:rPr>
          <w:t>Pesquisas Prontas</w:t>
        </w:r>
      </w:hyperlink>
    </w:p>
    <w:p w14:paraId="290A3B29" w14:textId="77777777" w:rsidR="007C18E7" w:rsidRPr="00F6070E" w:rsidRDefault="007C18E7" w:rsidP="007E66A1">
      <w:pPr>
        <w:autoSpaceDE w:val="0"/>
        <w:autoSpaceDN w:val="0"/>
        <w:adjustRightInd w:val="0"/>
        <w:spacing w:after="0" w:line="240" w:lineRule="auto"/>
        <w:jc w:val="both"/>
        <w:rPr>
          <w:rFonts w:ascii="Arial" w:hAnsi="Arial" w:cs="Arial"/>
          <w:sz w:val="20"/>
          <w:szCs w:val="20"/>
        </w:rPr>
      </w:pPr>
    </w:p>
    <w:p w14:paraId="088C63FF" w14:textId="77777777" w:rsidR="007C18E7" w:rsidRPr="00F6070E" w:rsidRDefault="00C62AC1" w:rsidP="007E66A1">
      <w:pPr>
        <w:pStyle w:val="Default"/>
        <w:jc w:val="center"/>
        <w:rPr>
          <w:rStyle w:val="Hyperlink"/>
          <w:b/>
          <w:sz w:val="20"/>
          <w:szCs w:val="20"/>
        </w:rPr>
      </w:pPr>
      <w:hyperlink r:id="rId14" w:history="1">
        <w:r w:rsidR="007C18E7" w:rsidRPr="00F6070E">
          <w:rPr>
            <w:rStyle w:val="Hyperlink"/>
            <w:b/>
            <w:sz w:val="20"/>
            <w:szCs w:val="20"/>
          </w:rPr>
          <w:t>Teses Ambientais</w:t>
        </w:r>
      </w:hyperlink>
      <w:r w:rsidR="007C18E7" w:rsidRPr="00F6070E">
        <w:rPr>
          <w:rStyle w:val="Hyperlink"/>
          <w:b/>
          <w:sz w:val="20"/>
          <w:szCs w:val="20"/>
        </w:rPr>
        <w:t xml:space="preserve"> </w:t>
      </w:r>
    </w:p>
    <w:p w14:paraId="0CE4E7C9" w14:textId="77777777" w:rsidR="007C18E7" w:rsidRPr="00F6070E" w:rsidRDefault="007C18E7" w:rsidP="007E66A1">
      <w:pPr>
        <w:pStyle w:val="Default"/>
        <w:jc w:val="center"/>
        <w:rPr>
          <w:rStyle w:val="Hyperlink"/>
          <w:b/>
          <w:sz w:val="20"/>
          <w:szCs w:val="20"/>
        </w:rPr>
      </w:pPr>
    </w:p>
    <w:p w14:paraId="449CBBB2" w14:textId="77777777" w:rsidR="007C18E7" w:rsidRPr="00F6070E" w:rsidRDefault="00C62AC1" w:rsidP="007E66A1">
      <w:pPr>
        <w:pStyle w:val="Default"/>
        <w:jc w:val="center"/>
        <w:rPr>
          <w:b/>
          <w:sz w:val="20"/>
          <w:szCs w:val="20"/>
        </w:rPr>
      </w:pPr>
      <w:hyperlink r:id="rId15" w:history="1">
        <w:proofErr w:type="spellStart"/>
        <w:r w:rsidR="007C18E7" w:rsidRPr="00F6070E">
          <w:rPr>
            <w:rStyle w:val="Hyperlink"/>
            <w:b/>
            <w:sz w:val="20"/>
            <w:szCs w:val="20"/>
          </w:rPr>
          <w:t>Interjuris</w:t>
        </w:r>
        <w:proofErr w:type="spellEnd"/>
      </w:hyperlink>
    </w:p>
    <w:p w14:paraId="4BD985E9" w14:textId="77777777" w:rsidR="007C18E7" w:rsidRPr="00F6070E" w:rsidRDefault="007C18E7" w:rsidP="007E66A1">
      <w:pPr>
        <w:pStyle w:val="Default"/>
        <w:jc w:val="center"/>
        <w:rPr>
          <w:sz w:val="20"/>
          <w:szCs w:val="20"/>
        </w:rPr>
      </w:pPr>
    </w:p>
    <w:p w14:paraId="72F32B36" w14:textId="77777777" w:rsidR="007C18E7" w:rsidRPr="00F6070E" w:rsidRDefault="00C62AC1" w:rsidP="007E66A1">
      <w:pPr>
        <w:pStyle w:val="Default"/>
        <w:jc w:val="center"/>
        <w:rPr>
          <w:rStyle w:val="Hyperlink"/>
          <w:b/>
          <w:sz w:val="20"/>
          <w:szCs w:val="20"/>
        </w:rPr>
      </w:pPr>
      <w:hyperlink r:id="rId16" w:history="1">
        <w:r w:rsidR="007C18E7" w:rsidRPr="00F6070E">
          <w:rPr>
            <w:rStyle w:val="Hyperlink"/>
            <w:b/>
            <w:sz w:val="20"/>
            <w:szCs w:val="20"/>
          </w:rPr>
          <w:t>Repercussão Geral do Supremo Tribunal Federal - STF e os Tribunais de Contas</w:t>
        </w:r>
      </w:hyperlink>
    </w:p>
    <w:p w14:paraId="75CDA236" w14:textId="77777777" w:rsidR="007C18E7" w:rsidRPr="00F6070E" w:rsidRDefault="007C18E7" w:rsidP="007E66A1">
      <w:pPr>
        <w:pStyle w:val="Default"/>
        <w:jc w:val="center"/>
        <w:rPr>
          <w:rStyle w:val="Hyperlink"/>
          <w:b/>
          <w:sz w:val="20"/>
          <w:szCs w:val="20"/>
        </w:rPr>
      </w:pPr>
    </w:p>
    <w:p w14:paraId="6CD4EB86" w14:textId="77777777" w:rsidR="007C18E7" w:rsidRPr="00F6070E" w:rsidRDefault="00C62AC1" w:rsidP="007E66A1">
      <w:pPr>
        <w:pStyle w:val="Default"/>
        <w:jc w:val="center"/>
        <w:rPr>
          <w:rStyle w:val="Hyperlink"/>
          <w:b/>
          <w:sz w:val="20"/>
          <w:szCs w:val="20"/>
        </w:rPr>
      </w:pPr>
      <w:hyperlink r:id="rId17" w:history="1">
        <w:r w:rsidR="007C18E7" w:rsidRPr="00F6070E">
          <w:rPr>
            <w:rStyle w:val="Hyperlink"/>
            <w:b/>
            <w:sz w:val="20"/>
            <w:szCs w:val="20"/>
          </w:rPr>
          <w:t>Súmulas Selecionadas</w:t>
        </w:r>
      </w:hyperlink>
    </w:p>
    <w:p w14:paraId="3F5C61E6" w14:textId="77777777" w:rsidR="007C18E7" w:rsidRPr="00F6070E" w:rsidRDefault="007C18E7" w:rsidP="00F6070E">
      <w:pPr>
        <w:pStyle w:val="TCU-Epgrafe"/>
        <w:spacing w:line="276" w:lineRule="auto"/>
        <w:ind w:left="0"/>
        <w:rPr>
          <w:rFonts w:ascii="Arial" w:hAnsi="Arial" w:cs="Arial"/>
          <w:sz w:val="20"/>
        </w:rPr>
      </w:pPr>
      <w:r w:rsidRPr="00F6070E">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F6070E" w:rsidRDefault="007C18E7" w:rsidP="00F6070E">
      <w:pPr>
        <w:spacing w:after="0"/>
        <w:jc w:val="center"/>
        <w:rPr>
          <w:rStyle w:val="Hyperlink"/>
          <w:rFonts w:ascii="Arial" w:hAnsi="Arial" w:cs="Arial"/>
          <w:i/>
          <w:color w:val="000000" w:themeColor="text1"/>
          <w:sz w:val="20"/>
          <w:szCs w:val="20"/>
          <w:u w:val="none"/>
        </w:rPr>
      </w:pPr>
    </w:p>
    <w:p w14:paraId="5496FD6E" w14:textId="77777777" w:rsidR="007C18E7" w:rsidRPr="00F6070E" w:rsidRDefault="007C18E7" w:rsidP="00F6070E">
      <w:pPr>
        <w:spacing w:after="0"/>
        <w:jc w:val="center"/>
        <w:rPr>
          <w:rStyle w:val="Hyperlink"/>
          <w:rFonts w:ascii="Arial" w:hAnsi="Arial" w:cs="Arial"/>
          <w:i/>
          <w:color w:val="auto"/>
          <w:sz w:val="20"/>
          <w:szCs w:val="20"/>
          <w:u w:val="none"/>
        </w:rPr>
      </w:pPr>
      <w:r w:rsidRPr="00F6070E">
        <w:rPr>
          <w:rStyle w:val="Hyperlink"/>
          <w:rFonts w:ascii="Arial" w:hAnsi="Arial" w:cs="Arial"/>
          <w:i/>
          <w:color w:val="auto"/>
          <w:sz w:val="20"/>
          <w:szCs w:val="20"/>
          <w:u w:val="none"/>
        </w:rPr>
        <w:t>Elaboração: Escola de Gestão Pública - Jurisprudência</w:t>
      </w:r>
    </w:p>
    <w:p w14:paraId="2B5E173B" w14:textId="08E78418" w:rsidR="00E01524" w:rsidRPr="00F6070E" w:rsidRDefault="007C18E7" w:rsidP="00F6070E">
      <w:pPr>
        <w:spacing w:after="0"/>
        <w:jc w:val="center"/>
        <w:rPr>
          <w:rFonts w:ascii="Arial" w:hAnsi="Arial" w:cs="Arial"/>
          <w:sz w:val="20"/>
          <w:szCs w:val="20"/>
        </w:rPr>
      </w:pPr>
      <w:r w:rsidRPr="00F6070E">
        <w:rPr>
          <w:rStyle w:val="nfase"/>
          <w:rFonts w:ascii="Arial" w:hAnsi="Arial" w:cs="Arial"/>
          <w:sz w:val="20"/>
          <w:szCs w:val="20"/>
        </w:rPr>
        <w:t>E-mail: jurisprudencia@tce.pr.gov.br</w:t>
      </w:r>
    </w:p>
    <w:sectPr w:rsidR="00E01524" w:rsidRPr="00F6070E">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5BC11" w14:textId="77777777" w:rsidR="00C62AC1" w:rsidRDefault="00C62AC1" w:rsidP="00350CC2">
      <w:pPr>
        <w:spacing w:after="0" w:line="240" w:lineRule="auto"/>
      </w:pPr>
      <w:r>
        <w:separator/>
      </w:r>
    </w:p>
  </w:endnote>
  <w:endnote w:type="continuationSeparator" w:id="0">
    <w:p w14:paraId="39336B2B" w14:textId="77777777" w:rsidR="00C62AC1" w:rsidRDefault="00C62AC1"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13EA7" w14:textId="77777777" w:rsidR="00C62AC1" w:rsidRDefault="00C62AC1" w:rsidP="00350CC2">
      <w:pPr>
        <w:spacing w:after="0" w:line="240" w:lineRule="auto"/>
      </w:pPr>
      <w:r>
        <w:separator/>
      </w:r>
    </w:p>
  </w:footnote>
  <w:footnote w:type="continuationSeparator" w:id="0">
    <w:p w14:paraId="7908BC60" w14:textId="77777777" w:rsidR="00C62AC1" w:rsidRDefault="00C62AC1"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6E3C"/>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E66A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31B"/>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1EFC"/>
    <w:rsid w:val="00C044CF"/>
    <w:rsid w:val="00C06025"/>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2AC1"/>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A1E"/>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2/pdf/00352433.pd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1.tce.pr.gov.br/multimidia/2020/11/pdf/00352616.pdf"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11/pdf/00352454.pdf"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www1.tce.pr.gov.br/multimidia/2020/12/pdf/00352466.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20/11/pdf/00352524.pdf" TargetMode="External"/><Relationship Id="rId14" Type="http://schemas.openxmlformats.org/officeDocument/2006/relationships/hyperlink" Target="http://www1.tce.pr.gov.br/conteudo/teses-ambientais/316603/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747A-6176-4BFB-BEF6-2972EFD9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2615</Words>
  <Characters>14121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Fernando Do Rego Barros Filho</cp:lastModifiedBy>
  <cp:revision>2</cp:revision>
  <cp:lastPrinted>2020-06-08T18:39:00Z</cp:lastPrinted>
  <dcterms:created xsi:type="dcterms:W3CDTF">2020-12-18T19:23:00Z</dcterms:created>
  <dcterms:modified xsi:type="dcterms:W3CDTF">2020-12-18T19:23:00Z</dcterms:modified>
</cp:coreProperties>
</file>