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3E62" w14:textId="140E3E5B" w:rsidR="007C18E7" w:rsidRPr="00F6070E" w:rsidRDefault="007C18E7" w:rsidP="00F6070E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>Boletim de Jurisprudência TCEPR</w:t>
      </w:r>
      <w:r w:rsidRPr="00F6070E">
        <w:rPr>
          <w:rFonts w:ascii="Arial" w:hAnsi="Arial" w:cs="Arial"/>
          <w:sz w:val="20"/>
          <w:szCs w:val="20"/>
        </w:rPr>
        <w:t xml:space="preserve"> </w:t>
      </w:r>
    </w:p>
    <w:p w14:paraId="4EF0156F" w14:textId="77777777" w:rsidR="007C18E7" w:rsidRPr="00F6070E" w:rsidRDefault="007C18E7" w:rsidP="00F6070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B732960" w14:textId="43E36515" w:rsidR="007C18E7" w:rsidRPr="00F6070E" w:rsidRDefault="007C18E7" w:rsidP="00F6070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 xml:space="preserve">Número </w:t>
      </w:r>
      <w:r w:rsidR="00E3147C" w:rsidRPr="00F6070E">
        <w:rPr>
          <w:rFonts w:ascii="Arial" w:hAnsi="Arial" w:cs="Arial"/>
          <w:b/>
          <w:sz w:val="20"/>
          <w:szCs w:val="20"/>
        </w:rPr>
        <w:t>8</w:t>
      </w:r>
      <w:r w:rsidR="00676E3C">
        <w:rPr>
          <w:rFonts w:ascii="Arial" w:hAnsi="Arial" w:cs="Arial"/>
          <w:b/>
          <w:sz w:val="20"/>
          <w:szCs w:val="20"/>
        </w:rPr>
        <w:t>9</w:t>
      </w:r>
    </w:p>
    <w:p w14:paraId="3C0730DA" w14:textId="77777777" w:rsidR="007C18E7" w:rsidRPr="00F6070E" w:rsidRDefault="007C18E7" w:rsidP="00F6070E">
      <w:pPr>
        <w:spacing w:after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7AE9E11A" w14:textId="446528A0" w:rsidR="007C18E7" w:rsidRPr="00F6070E" w:rsidRDefault="007C18E7" w:rsidP="00F6070E">
      <w:pPr>
        <w:spacing w:after="0"/>
        <w:jc w:val="center"/>
        <w:rPr>
          <w:rFonts w:ascii="Arial" w:hAnsi="Arial" w:cs="Arial"/>
          <w:b/>
          <w:strike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 xml:space="preserve">Sessões: </w:t>
      </w:r>
      <w:r w:rsidR="00676E3C">
        <w:rPr>
          <w:rFonts w:ascii="Arial" w:hAnsi="Arial" w:cs="Arial"/>
          <w:b/>
          <w:sz w:val="20"/>
          <w:szCs w:val="20"/>
        </w:rPr>
        <w:t>19</w:t>
      </w:r>
      <w:r w:rsidRPr="00F6070E">
        <w:rPr>
          <w:rFonts w:ascii="Arial" w:hAnsi="Arial" w:cs="Arial"/>
          <w:b/>
          <w:sz w:val="20"/>
          <w:szCs w:val="20"/>
        </w:rPr>
        <w:t>.</w:t>
      </w:r>
      <w:r w:rsidR="008B1B32" w:rsidRPr="00F6070E">
        <w:rPr>
          <w:rFonts w:ascii="Arial" w:hAnsi="Arial" w:cs="Arial"/>
          <w:b/>
          <w:sz w:val="20"/>
          <w:szCs w:val="20"/>
        </w:rPr>
        <w:t>10</w:t>
      </w:r>
      <w:r w:rsidR="00D36D68" w:rsidRPr="00F6070E">
        <w:rPr>
          <w:rFonts w:ascii="Arial" w:hAnsi="Arial" w:cs="Arial"/>
          <w:b/>
          <w:sz w:val="20"/>
          <w:szCs w:val="20"/>
        </w:rPr>
        <w:t>.20</w:t>
      </w:r>
      <w:r w:rsidR="006B3A64" w:rsidRPr="00F6070E">
        <w:rPr>
          <w:rFonts w:ascii="Arial" w:hAnsi="Arial" w:cs="Arial"/>
          <w:b/>
          <w:sz w:val="20"/>
          <w:szCs w:val="20"/>
        </w:rPr>
        <w:t>20</w:t>
      </w:r>
      <w:r w:rsidRPr="00F6070E">
        <w:rPr>
          <w:rFonts w:ascii="Arial" w:hAnsi="Arial" w:cs="Arial"/>
          <w:b/>
          <w:sz w:val="20"/>
          <w:szCs w:val="20"/>
        </w:rPr>
        <w:t xml:space="preserve"> a</w:t>
      </w:r>
      <w:r w:rsidR="00E94A7F" w:rsidRPr="00F6070E">
        <w:rPr>
          <w:rFonts w:ascii="Arial" w:hAnsi="Arial" w:cs="Arial"/>
          <w:b/>
          <w:sz w:val="20"/>
          <w:szCs w:val="20"/>
        </w:rPr>
        <w:t xml:space="preserve"> </w:t>
      </w:r>
      <w:r w:rsidR="00676E3C">
        <w:rPr>
          <w:rFonts w:ascii="Arial" w:hAnsi="Arial" w:cs="Arial"/>
          <w:b/>
          <w:sz w:val="20"/>
          <w:szCs w:val="20"/>
        </w:rPr>
        <w:t>28</w:t>
      </w:r>
      <w:r w:rsidRPr="00F6070E">
        <w:rPr>
          <w:rFonts w:ascii="Arial" w:hAnsi="Arial" w:cs="Arial"/>
          <w:b/>
          <w:sz w:val="20"/>
          <w:szCs w:val="20"/>
        </w:rPr>
        <w:t>.</w:t>
      </w:r>
      <w:r w:rsidR="008B1B32" w:rsidRPr="00F6070E">
        <w:rPr>
          <w:rFonts w:ascii="Arial" w:hAnsi="Arial" w:cs="Arial"/>
          <w:b/>
          <w:sz w:val="20"/>
          <w:szCs w:val="20"/>
        </w:rPr>
        <w:t>10</w:t>
      </w:r>
      <w:r w:rsidR="00D36D68" w:rsidRPr="00F6070E">
        <w:rPr>
          <w:rFonts w:ascii="Arial" w:hAnsi="Arial" w:cs="Arial"/>
          <w:b/>
          <w:sz w:val="20"/>
          <w:szCs w:val="20"/>
        </w:rPr>
        <w:t>.</w:t>
      </w:r>
      <w:r w:rsidRPr="00F6070E">
        <w:rPr>
          <w:rFonts w:ascii="Arial" w:hAnsi="Arial" w:cs="Arial"/>
          <w:b/>
          <w:sz w:val="20"/>
          <w:szCs w:val="20"/>
        </w:rPr>
        <w:t>20</w:t>
      </w:r>
      <w:r w:rsidR="00D36D68" w:rsidRPr="00F6070E">
        <w:rPr>
          <w:rFonts w:ascii="Arial" w:hAnsi="Arial" w:cs="Arial"/>
          <w:b/>
          <w:sz w:val="20"/>
          <w:szCs w:val="20"/>
        </w:rPr>
        <w:t>20</w:t>
      </w:r>
    </w:p>
    <w:p w14:paraId="796D8E57" w14:textId="77777777" w:rsidR="007C18E7" w:rsidRPr="00F6070E" w:rsidRDefault="007C18E7" w:rsidP="00F607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4DB6E9" w14:textId="643703E3" w:rsidR="007C18E7" w:rsidRPr="00F6070E" w:rsidRDefault="007C18E7" w:rsidP="00F6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70E">
        <w:rPr>
          <w:rFonts w:ascii="Arial" w:hAnsi="Arial" w:cs="Arial"/>
          <w:sz w:val="20"/>
          <w:szCs w:val="20"/>
        </w:rPr>
        <w:t xml:space="preserve">Este Boletim contém informações sintéticas de decisões proferidas pelos Colegiados do TCEPR que receberam indicação de relevância sob o prisma jurisprudencial no período acima indicado. </w:t>
      </w:r>
      <w:r w:rsidRPr="00F6070E">
        <w:rPr>
          <w:rFonts w:ascii="Arial" w:hAnsi="Arial" w:cs="Arial"/>
          <w:color w:val="212121"/>
          <w:sz w:val="20"/>
          <w:szCs w:val="20"/>
        </w:rPr>
        <w:t>A seleção das decisões leva em consideração ao menos um dos seguintes fatores: ineditismo da deliberação, discussão no colegiado ou reiteração de entendimento importante.</w:t>
      </w:r>
      <w:r w:rsidRPr="00F6070E">
        <w:rPr>
          <w:rFonts w:ascii="Arial" w:hAnsi="Arial" w:cs="Arial"/>
          <w:sz w:val="20"/>
          <w:szCs w:val="20"/>
        </w:rPr>
        <w:t xml:space="preserve"> O objetivo é facilitar ao interessado o acompanhamento dos acórdãos mais importantes do Tribunal. Para aprofundamento, o leitor pode acessar o inteiro teor das deliberações por meio dos links disponíveis.</w:t>
      </w:r>
      <w:r w:rsidRPr="00F6070E">
        <w:rPr>
          <w:rFonts w:ascii="Arial" w:hAnsi="Arial" w:cs="Arial"/>
          <w:color w:val="212121"/>
          <w:sz w:val="20"/>
          <w:szCs w:val="20"/>
        </w:rPr>
        <w:t xml:space="preserve"> </w:t>
      </w:r>
      <w:r w:rsidRPr="00F6070E">
        <w:rPr>
          <w:rFonts w:ascii="Arial" w:hAnsi="Arial" w:cs="Arial"/>
          <w:sz w:val="20"/>
          <w:szCs w:val="20"/>
        </w:rPr>
        <w:t>As informações aqui apresentadas não são repositórios oficiais de jurisprudência.</w:t>
      </w:r>
    </w:p>
    <w:p w14:paraId="356F11D7" w14:textId="77777777" w:rsidR="007C18E7" w:rsidRPr="00F6070E" w:rsidRDefault="007C18E7" w:rsidP="00F607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070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DEF6D" wp14:editId="52C6FCE4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1595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010C2F10" w14:textId="77777777" w:rsidR="007C18E7" w:rsidRPr="00F6070E" w:rsidRDefault="007C18E7" w:rsidP="00F6070E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>SUMÁRIO</w:t>
      </w:r>
    </w:p>
    <w:p w14:paraId="2E26773E" w14:textId="7DD84D01" w:rsidR="007612A8" w:rsidRDefault="007612A8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269830A" w14:textId="1E31469F" w:rsidR="00676E3C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1. Aposentadoria de professor. Utilização de tempo de serviço já considerado quando da concessão da primeira aposentadoria da servidora. Ilegalidade e negativa de registro, com determinação ao Fundo Previdenciário.</w:t>
      </w:r>
    </w:p>
    <w:p w14:paraId="636F0B57" w14:textId="3612F0AF" w:rsidR="00676E3C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127199C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6E3C">
        <w:rPr>
          <w:rFonts w:ascii="Arial" w:hAnsi="Arial" w:cs="Arial"/>
          <w:bCs/>
          <w:sz w:val="20"/>
          <w:szCs w:val="20"/>
        </w:rPr>
        <w:t xml:space="preserve">2. Ato de inativação. Aposentadoria. Incidente de Inconstitucionalidade. Sobrestamento. Declaração inconstitucionalidade de normas municipais por meio do Acórdão nº 3.555/18-Pleno. Concessão de efeitos </w:t>
      </w:r>
      <w:proofErr w:type="spellStart"/>
      <w:r w:rsidRPr="00676E3C">
        <w:rPr>
          <w:rFonts w:ascii="Arial" w:hAnsi="Arial" w:cs="Arial"/>
          <w:bCs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bCs/>
          <w:sz w:val="20"/>
          <w:szCs w:val="20"/>
        </w:rPr>
        <w:t xml:space="preserve"> nunc. Ato posterior à data fixada no Acórdão nº 3.267/20-Pleno. Pareceres uniformes pela legalidade e registro. Registro.</w:t>
      </w:r>
    </w:p>
    <w:p w14:paraId="0FA82884" w14:textId="77777777" w:rsidR="00676E3C" w:rsidRPr="00676E3C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6ADFB68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6E3C">
        <w:rPr>
          <w:rFonts w:ascii="Arial" w:hAnsi="Arial" w:cs="Arial"/>
          <w:bCs/>
          <w:sz w:val="20"/>
          <w:szCs w:val="20"/>
        </w:rPr>
        <w:t xml:space="preserve">3. Ato de inativação. Aposentadoria. Incidente de Inconstitucionalidade. Sobrestamento. Declaração de inconstitucionalidade de normas municipais por meio do Acórdão nº 3.555/18-Pleno. Concessão de efeitos </w:t>
      </w:r>
      <w:proofErr w:type="spellStart"/>
      <w:r w:rsidRPr="00676E3C">
        <w:rPr>
          <w:rFonts w:ascii="Arial" w:hAnsi="Arial" w:cs="Arial"/>
          <w:bCs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bCs/>
          <w:sz w:val="20"/>
          <w:szCs w:val="20"/>
        </w:rPr>
        <w:t xml:space="preserve"> nunc. Ato posterior à data fixada no Acórdão nº 3.267/20-Pleno. Pareceres uniformes pela legalidade e registro. Considerações do relator quanto à instrução processual. Registro.</w:t>
      </w:r>
    </w:p>
    <w:p w14:paraId="5AE31DE4" w14:textId="25F4DC44" w:rsidR="000900B0" w:rsidRDefault="000900B0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B2E456" w14:textId="26BA22A6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6E3C">
        <w:rPr>
          <w:rFonts w:ascii="Arial" w:hAnsi="Arial" w:cs="Arial"/>
          <w:bCs/>
          <w:sz w:val="20"/>
          <w:szCs w:val="20"/>
        </w:rPr>
        <w:t>4. Inativação de servidor municipal. Cálculo dos proventos. Ausência de violação ao art. 40, §2º, da CF, sustentada pelo Ministério Público de Contas. Observância do disposto no Acórdão 3155/14 – Pleno. Última remuneração não se equivale ao último contracheque, mas à totalidade das verbas incorporáveis. Cálculo das verbas transitórias foi realizado com base em lei municipal julgada inconstitucional, com efeitos “</w:t>
      </w:r>
      <w:proofErr w:type="spellStart"/>
      <w:r w:rsidRPr="00676E3C">
        <w:rPr>
          <w:rFonts w:ascii="Arial" w:hAnsi="Arial" w:cs="Arial"/>
          <w:bCs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bCs/>
          <w:sz w:val="20"/>
          <w:szCs w:val="20"/>
        </w:rPr>
        <w:t xml:space="preserve"> nunc”. Ato anterior à publicação da decisão. Registro, conforme parecer da Coordenadoria de Gestão Municipal.</w:t>
      </w:r>
    </w:p>
    <w:p w14:paraId="4DD0017C" w14:textId="3FD5E151" w:rsidR="00676E3C" w:rsidRPr="007E66A1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8D9D3" w14:textId="51D1A124" w:rsidR="007E66A1" w:rsidRDefault="007E66A1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66A1">
        <w:rPr>
          <w:rFonts w:ascii="Arial" w:hAnsi="Arial" w:cs="Arial"/>
          <w:sz w:val="20"/>
          <w:szCs w:val="20"/>
        </w:rPr>
        <w:t>5. Representação da Lei nº 8666/93. Edital com cláusula restritiva à competitividade. Exigência de que a vencedora possuísse instalação física dentro do Município. Procedência parcial. Multa administrativa à gestora e expedição de recomendações para adequação aos ditames da lei de licitações.</w:t>
      </w:r>
    </w:p>
    <w:p w14:paraId="721FD46A" w14:textId="4A24EDC1" w:rsidR="007E66A1" w:rsidRDefault="007E66A1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C9D15D" w14:textId="77777777" w:rsidR="007E66A1" w:rsidRPr="007E66A1" w:rsidRDefault="007E66A1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E66A1">
        <w:rPr>
          <w:rFonts w:ascii="Arial" w:hAnsi="Arial" w:cs="Arial"/>
          <w:bCs/>
          <w:sz w:val="20"/>
          <w:szCs w:val="20"/>
        </w:rPr>
        <w:t xml:space="preserve">6. Alerta. Cálculo da Despesa Total com Pessoal. Inclusão do Imposto de Renda Retido na Fonte. Grandeza simétrica que se anula sob o ponto de vista econômico, pois o valor pago é retido e </w:t>
      </w:r>
      <w:r w:rsidRPr="007E66A1">
        <w:rPr>
          <w:rFonts w:ascii="Arial" w:hAnsi="Arial" w:cs="Arial"/>
          <w:bCs/>
          <w:sz w:val="20"/>
          <w:szCs w:val="20"/>
        </w:rPr>
        <w:lastRenderedPageBreak/>
        <w:t>lançado como receita do ente pagador. Situação de calamidade pública decorrente dos efeitos da pandemia do COVID-19. Exclusão do montante referente ao Imposto de Renda Retido na Fonte para o cálculo da despesa total com pessoal. Nova instrução processual.</w:t>
      </w:r>
    </w:p>
    <w:p w14:paraId="633B3B94" w14:textId="77777777" w:rsidR="00676E3C" w:rsidRPr="00F6070E" w:rsidRDefault="00676E3C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89D2797" w14:textId="6E634E74" w:rsidR="000900B0" w:rsidRPr="00F6070E" w:rsidRDefault="000900B0" w:rsidP="00F6070E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>PRIMEIRA CÂMARA</w:t>
      </w:r>
    </w:p>
    <w:p w14:paraId="21B666F4" w14:textId="5C89CE32" w:rsidR="007612A8" w:rsidRPr="00F6070E" w:rsidRDefault="007612A8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8D5C58C" w14:textId="77777777" w:rsidR="00676E3C" w:rsidRPr="006F54D3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4D3">
        <w:rPr>
          <w:rFonts w:ascii="Arial" w:hAnsi="Arial" w:cs="Arial"/>
          <w:b/>
          <w:sz w:val="20"/>
          <w:szCs w:val="20"/>
        </w:rPr>
        <w:t>1. Aposentadoria de professor. Utilização de tempo de serviço já considerado quando da concessão da primeira aposentadoria da servidora. Ilegalidade e negativa de registro, com determinação ao Fundo Previdenciário</w:t>
      </w:r>
      <w:r w:rsidRPr="006F54D3">
        <w:rPr>
          <w:rFonts w:ascii="Arial" w:hAnsi="Arial" w:cs="Arial"/>
          <w:sz w:val="20"/>
          <w:szCs w:val="20"/>
        </w:rPr>
        <w:t>.</w:t>
      </w:r>
    </w:p>
    <w:p w14:paraId="5C085C42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C825FE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128">
        <w:rPr>
          <w:rFonts w:ascii="Arial" w:hAnsi="Arial" w:cs="Arial"/>
          <w:sz w:val="18"/>
          <w:szCs w:val="18"/>
        </w:rPr>
        <w:t>Após inúmeras diligências à origem, constatou-se que o tempo de contribuição utilizado para a concessão da aposentadoria agora analisada já havia sido computado quando da concessão da primeira aposentadoria da servidora no cargo de Professor (autos 871587/13).</w:t>
      </w:r>
    </w:p>
    <w:p w14:paraId="64666F31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C4968C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128">
        <w:rPr>
          <w:rFonts w:ascii="Arial" w:hAnsi="Arial" w:cs="Arial"/>
          <w:sz w:val="18"/>
          <w:szCs w:val="18"/>
        </w:rPr>
        <w:t>A utilização do tempo de contribuição já utilizado para a concessão de outro benefício não é admitida em nosso ordenamento, situação que se encontra bem pacificada inclusive em âmbito judicial.</w:t>
      </w:r>
    </w:p>
    <w:p w14:paraId="38D05A58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26A182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128">
        <w:rPr>
          <w:rFonts w:ascii="Arial" w:hAnsi="Arial" w:cs="Arial"/>
          <w:sz w:val="18"/>
          <w:szCs w:val="18"/>
        </w:rPr>
        <w:t>Assim, uma vez que a unidade técnica identificou a utilização de tempo de serviço já utilizado para a concessão da primeira aposentadoria da servidora, nos termos consignados pelo Ministério Público de Contas, impõe-se a julgar pela ilegalidade do ato com a negativa de seu registro.</w:t>
      </w:r>
    </w:p>
    <w:p w14:paraId="610ED343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CBA5C8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128">
        <w:rPr>
          <w:rFonts w:ascii="Arial" w:hAnsi="Arial" w:cs="Arial"/>
          <w:sz w:val="18"/>
          <w:szCs w:val="18"/>
        </w:rPr>
        <w:t xml:space="preserve">De toda sorte, faz-se necessário possibilitar que a servidora retorne ao cargo em que se deu a aposentadoria, a fim de completar o tempo faltante ou, se cumprir com os demais requisitos, seja o ato de aposentadoria revisto, a fim de se adequar ao tempo de serviço desconsiderando o tempo já utilizado em outro ato de aposentadoria. </w:t>
      </w:r>
    </w:p>
    <w:p w14:paraId="6FA3A778" w14:textId="77777777" w:rsidR="00676E3C" w:rsidRPr="00C7412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5CA12C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4128">
        <w:rPr>
          <w:rFonts w:ascii="Arial" w:hAnsi="Arial" w:cs="Arial"/>
          <w:sz w:val="18"/>
          <w:szCs w:val="18"/>
        </w:rPr>
        <w:t>Assim, nos termos dos Pareceres da unidade instrutiva e do Ministério Público de Contas, julga-se pela ilegalidade do ato em questão, com a negativa de seu registro, devendo o Órgão Previdenciário possibilitar, com urgência, o retorno da servidora à atividade ou a revisão do ato de aposentadoria, nos termos acima consignados, além de intimá-la quanto à negativa de registro do ato de inativação por esta Corte de Contas.</w:t>
      </w:r>
    </w:p>
    <w:p w14:paraId="20A01B7C" w14:textId="77777777" w:rsidR="00676E3C" w:rsidRPr="007E66A1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C6BAFC" w14:textId="0420C879" w:rsidR="007F0420" w:rsidRPr="007E66A1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7E66A1">
        <w:rPr>
          <w:rFonts w:ascii="Arial" w:hAnsi="Arial" w:cs="Arial"/>
          <w:sz w:val="20"/>
          <w:szCs w:val="20"/>
        </w:rPr>
        <w:t xml:space="preserve">Processo nº 1012865/15 – </w:t>
      </w:r>
      <w:hyperlink r:id="rId8" w:history="1">
        <w:r w:rsidRPr="007E66A1">
          <w:rPr>
            <w:rStyle w:val="Hyperlink"/>
            <w:rFonts w:ascii="Arial" w:hAnsi="Arial" w:cs="Arial"/>
            <w:sz w:val="20"/>
            <w:szCs w:val="20"/>
          </w:rPr>
          <w:t xml:space="preserve"> Acórdão nº 3007/20 – Primeira Câmara -</w:t>
        </w:r>
      </w:hyperlink>
      <w:r w:rsidRPr="007E66A1">
        <w:rPr>
          <w:rFonts w:ascii="Arial" w:hAnsi="Arial" w:cs="Arial"/>
          <w:sz w:val="20"/>
          <w:szCs w:val="20"/>
        </w:rPr>
        <w:t xml:space="preserve"> Relator Conselheiro Jose Durval Mattos do Amaral.</w:t>
      </w:r>
    </w:p>
    <w:p w14:paraId="78B78406" w14:textId="3350D19E" w:rsidR="00676E3C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447FB85A" w14:textId="1D599CA5" w:rsidR="00676E3C" w:rsidRPr="00DF092B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F90DA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Ato de inativação. Aposentadoria.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Incidente de Inconstitucionalidade.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Sobrestamento. Declaração inconstitucionalidade de normas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municipais por meio do Acórdão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nº 3.555/18-Pleno. Concessão de efeitos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F092B">
        <w:rPr>
          <w:rFonts w:ascii="Arial" w:hAnsi="Arial" w:cs="Arial"/>
          <w:b/>
          <w:bCs/>
          <w:sz w:val="20"/>
          <w:szCs w:val="20"/>
        </w:rPr>
        <w:t>ex</w:t>
      </w:r>
      <w:proofErr w:type="spellEnd"/>
      <w:r w:rsidRPr="00DF092B">
        <w:rPr>
          <w:rFonts w:ascii="Arial" w:hAnsi="Arial" w:cs="Arial"/>
          <w:b/>
          <w:bCs/>
          <w:sz w:val="20"/>
          <w:szCs w:val="20"/>
        </w:rPr>
        <w:t xml:space="preserve"> nunc. Ato posterior à data fixada 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Acórdão nº 3.267/20-Pleno. Pareceres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uniformes pela legalidade e registro.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F092B">
        <w:rPr>
          <w:rFonts w:ascii="Arial" w:hAnsi="Arial" w:cs="Arial"/>
          <w:b/>
          <w:bCs/>
          <w:sz w:val="20"/>
          <w:szCs w:val="20"/>
        </w:rPr>
        <w:t>Registro.</w:t>
      </w:r>
    </w:p>
    <w:p w14:paraId="72D03B92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8A38F0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230C16">
        <w:rPr>
          <w:rFonts w:ascii="Arial" w:hAnsi="Arial" w:cs="Arial"/>
          <w:sz w:val="20"/>
          <w:szCs w:val="20"/>
        </w:rPr>
        <w:t>única controvérsia na análise do presente processo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consistia no fato de o cálculo dos proventos da aposentadoria em apreço ter sido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fundamentado em normas municipais que foram declaradas inconstitucionais por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esta Corte no processo nº 47720/17 (Acórdão nº 3.555/18 - Pleno).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Entretanto, foram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 xml:space="preserve">conferidos efeitos </w:t>
      </w:r>
      <w:proofErr w:type="spellStart"/>
      <w:r w:rsidRPr="00230C16">
        <w:rPr>
          <w:rFonts w:ascii="Arial" w:hAnsi="Arial" w:cs="Arial"/>
          <w:i/>
          <w:iCs/>
          <w:sz w:val="20"/>
          <w:szCs w:val="20"/>
        </w:rPr>
        <w:t>ex</w:t>
      </w:r>
      <w:proofErr w:type="spellEnd"/>
      <w:r w:rsidRPr="00230C16">
        <w:rPr>
          <w:rFonts w:ascii="Arial" w:hAnsi="Arial" w:cs="Arial"/>
          <w:i/>
          <w:iCs/>
          <w:sz w:val="20"/>
          <w:szCs w:val="20"/>
        </w:rPr>
        <w:t xml:space="preserve"> nunc </w:t>
      </w:r>
      <w:r w:rsidRPr="00230C16">
        <w:rPr>
          <w:rFonts w:ascii="Arial" w:hAnsi="Arial" w:cs="Arial"/>
          <w:sz w:val="20"/>
          <w:szCs w:val="20"/>
        </w:rPr>
        <w:t>à referida decisão por meio de decisão proferida no Recurso de Revisão nº 870317/18 (Acórdão nº 3.267/19 - Pleno), segundo a qual 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tese fixada no Acórdão nº 3.555/18 - Pleno só deve atingir os atos de inativação cuja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concessão do respectivo benefício tenha se dado após a publicação da referida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decisão, ou seja, a partir de 29/11/2018. Assim sendo, conforme exposto pela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unidade técnica, o referido entendimento não é aplicável à apreciação da legalidade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do ato de inativação em apreço.</w:t>
      </w:r>
    </w:p>
    <w:p w14:paraId="06B7346B" w14:textId="77777777" w:rsidR="00676E3C" w:rsidRPr="00230C16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62AF8F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0C16">
        <w:rPr>
          <w:rFonts w:ascii="Arial" w:hAnsi="Arial" w:cs="Arial"/>
          <w:sz w:val="20"/>
          <w:szCs w:val="20"/>
        </w:rPr>
        <w:lastRenderedPageBreak/>
        <w:t>De outro lado, a unidade técnica informou que foi concedida liminar no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Mandado de Segurança nº 0015027-07.2020.8.16.0000 suspendendo os efeitos dos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Acórdãos supracitados, de modo que o entendimento fixado nestas decisões não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vincularia mais a apreciação da legalidade do ato de inativação objeto dos presentes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autos. Segundo a referida decisão judicial, esta Corte de Contas não teria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competência para declarar a inconstitucionalidade de ato normativo do Poder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Público, ou seja, seria cabível apenas o controle de constitucionalidade a ser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realizado por cada julgador no caso concreto. A referida decisão, entretanto, foi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afastada pelo Órgão Especial do Tribunal de Justiça do Paraná, que denegou 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segurança incialmente concedida, reestabelecendo-se os efeitos da decisão pela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inconstitucionalidade de dispositivos da Lei Municipal nº 5.773/2011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(Acórdão nº 3.555/18 – Pleno), assim como a decisão que modulou os efeitos desta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(Acórdão nº 3.267/19 - Pleno).</w:t>
      </w:r>
    </w:p>
    <w:p w14:paraId="0DF5CDC1" w14:textId="77777777" w:rsidR="00676E3C" w:rsidRPr="00230C16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E31F8F" w14:textId="77777777" w:rsidR="00676E3C" w:rsidRPr="00230C16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0C16">
        <w:rPr>
          <w:rFonts w:ascii="Arial" w:hAnsi="Arial" w:cs="Arial"/>
          <w:sz w:val="20"/>
          <w:szCs w:val="20"/>
        </w:rPr>
        <w:t>Conforme o exposto, considerando que a decisão que declarou a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inconstitucionalidade das normas municipais que fundamentaram o cálculo dos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proventos não é aplicável ao ato objeto dos presentes autos e que não foi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constatada nenhuma outra irregularidade na concessão do benefício em apreço,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acolh</w:t>
      </w:r>
      <w:r>
        <w:rPr>
          <w:rFonts w:ascii="Arial" w:hAnsi="Arial" w:cs="Arial"/>
          <w:sz w:val="20"/>
          <w:szCs w:val="20"/>
        </w:rPr>
        <w:t>idos</w:t>
      </w:r>
      <w:r w:rsidRPr="00230C16">
        <w:rPr>
          <w:rFonts w:ascii="Arial" w:hAnsi="Arial" w:cs="Arial"/>
          <w:sz w:val="20"/>
          <w:szCs w:val="20"/>
        </w:rPr>
        <w:t xml:space="preserve"> os opinativos uniformes propondo seja a aposentadoria em análise</w:t>
      </w:r>
      <w:r>
        <w:rPr>
          <w:rFonts w:ascii="Arial" w:hAnsi="Arial" w:cs="Arial"/>
          <w:sz w:val="20"/>
          <w:szCs w:val="20"/>
        </w:rPr>
        <w:t xml:space="preserve"> </w:t>
      </w:r>
      <w:r w:rsidRPr="00230C16">
        <w:rPr>
          <w:rFonts w:ascii="Arial" w:hAnsi="Arial" w:cs="Arial"/>
          <w:sz w:val="20"/>
          <w:szCs w:val="20"/>
        </w:rPr>
        <w:t>considerada legal, concedendo-lhe o respectivo registro.</w:t>
      </w:r>
    </w:p>
    <w:p w14:paraId="093E7E81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6628E" w14:textId="4570EB19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0DAB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163621/16</w:t>
      </w:r>
      <w:r w:rsidRPr="00F90DAB">
        <w:rPr>
          <w:rFonts w:ascii="Arial" w:hAnsi="Arial" w:cs="Arial"/>
          <w:sz w:val="20"/>
          <w:szCs w:val="20"/>
        </w:rPr>
        <w:t xml:space="preserve"> –</w:t>
      </w:r>
      <w:hyperlink r:id="rId9" w:history="1"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Acórdão nº </w:t>
        </w:r>
        <w:r>
          <w:rPr>
            <w:rStyle w:val="Hyperlink"/>
            <w:rFonts w:ascii="Arial" w:hAnsi="Arial" w:cs="Arial"/>
            <w:sz w:val="20"/>
            <w:szCs w:val="20"/>
          </w:rPr>
          <w:t>3170/20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– </w:t>
        </w:r>
        <w:r>
          <w:rPr>
            <w:rStyle w:val="Hyperlink"/>
            <w:rFonts w:ascii="Arial" w:hAnsi="Arial" w:cs="Arial"/>
            <w:sz w:val="20"/>
            <w:szCs w:val="20"/>
          </w:rPr>
          <w:t>Primeira Câmara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-</w:t>
        </w:r>
      </w:hyperlink>
      <w:r w:rsidRPr="00F90DAB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 xml:space="preserve">Auditor Cláudio Augusto </w:t>
      </w:r>
      <w:proofErr w:type="spellStart"/>
      <w:r>
        <w:rPr>
          <w:rFonts w:ascii="Arial" w:hAnsi="Arial" w:cs="Arial"/>
          <w:sz w:val="20"/>
          <w:szCs w:val="20"/>
        </w:rPr>
        <w:t>Kania</w:t>
      </w:r>
      <w:proofErr w:type="spellEnd"/>
      <w:r w:rsidRPr="00F90DAB">
        <w:rPr>
          <w:rFonts w:ascii="Arial" w:hAnsi="Arial" w:cs="Arial"/>
          <w:sz w:val="20"/>
          <w:szCs w:val="20"/>
        </w:rPr>
        <w:t>.</w:t>
      </w:r>
    </w:p>
    <w:p w14:paraId="7FED9DF3" w14:textId="77777777" w:rsidR="00676E3C" w:rsidRPr="00F6070E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32DD162" w14:textId="537FD415" w:rsidR="002748D1" w:rsidRPr="00F6070E" w:rsidRDefault="002748D1" w:rsidP="00F6070E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>SEGUNDA CÂMARA</w:t>
      </w:r>
    </w:p>
    <w:p w14:paraId="3005C4EE" w14:textId="4E2BA616" w:rsidR="004801E7" w:rsidRPr="00F6070E" w:rsidRDefault="004801E7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8520975" w14:textId="67A9598B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b/>
          <w:sz w:val="20"/>
          <w:szCs w:val="20"/>
        </w:rPr>
        <w:t>3</w:t>
      </w:r>
      <w:r w:rsidRPr="00676E3C">
        <w:rPr>
          <w:rFonts w:ascii="Arial" w:hAnsi="Arial" w:cs="Arial"/>
          <w:b/>
          <w:sz w:val="20"/>
          <w:szCs w:val="20"/>
        </w:rPr>
        <w:t xml:space="preserve">. Ato de inativação. Aposentadoria. Incidente de Inconstitucionalidade. Sobrestamento. Declaração de inconstitucionalidade de normas municipais por meio do Acórdão nº 3.555/18-Pleno. Concessão de efeitos </w:t>
      </w:r>
      <w:proofErr w:type="spellStart"/>
      <w:r w:rsidRPr="00676E3C">
        <w:rPr>
          <w:rFonts w:ascii="Arial" w:hAnsi="Arial" w:cs="Arial"/>
          <w:b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b/>
          <w:sz w:val="20"/>
          <w:szCs w:val="20"/>
        </w:rPr>
        <w:t xml:space="preserve"> nunc. Ato posterior à data fixada no Acórdão nº 3.267/20-Pleno. Pareceres uniformes pela legalidade e registro. Considerações do relator quanto à instrução processual. Registro.</w:t>
      </w:r>
    </w:p>
    <w:p w14:paraId="5E41A3AB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30D2FB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Preliminarmente, a unidade técnica (Parecer nº 5626/16– peça processual nº 014) opinou por diligência para esclarecimentos quanto ao cálculo dos proventos.</w:t>
      </w:r>
    </w:p>
    <w:p w14:paraId="471AA453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1EE662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 xml:space="preserve">Ressalta-se que a única controvérsia na análise do presente processo consistia no fato de o cálculo dos proventos da aposentadoria em apreço ter sido fundamentado em normas municipais que foram declaradas inconstitucionais por esta Corte no processo nº 47720/17 (Acórdão nº 3.555/18 - Pleno). Entretanto, foram conferidos efeitos </w:t>
      </w:r>
      <w:proofErr w:type="spellStart"/>
      <w:r w:rsidRPr="00676E3C">
        <w:rPr>
          <w:rFonts w:ascii="Arial" w:hAnsi="Arial" w:cs="Arial"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sz w:val="20"/>
          <w:szCs w:val="20"/>
        </w:rPr>
        <w:t xml:space="preserve"> nunc à referida decisão por meio de decisão proferida no Recurso de Revisão nº 870317/18 (Acórdão nº 3.267/19 - Pleno), segundo a qual a tese fixada no Acórdão nº 3.555/18 - Pleno só deve atingir os atos de inativação cuja concessão do respectivo benefício tenha se dado após a publicação da referida decisão. </w:t>
      </w:r>
    </w:p>
    <w:p w14:paraId="10791C77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5B310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Considerando que a decisão que declarou a inconstitucionalidade das normas municipais que fundamentaram o cálculo dos proventos não é aplicável ao ato objeto dos presentes autos e que não foi constatada nenhuma outra irregularidade na concessão do benefício em apreço, acolhe-se os opinativos uniformes propondo por que seja a aposentadoria em análise considerada legal, concedendo-lhe o respectivo registro.</w:t>
      </w:r>
    </w:p>
    <w:p w14:paraId="39F31846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5746AD" w14:textId="5BA18095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lastRenderedPageBreak/>
        <w:t xml:space="preserve">Processo nº 163621/16  – </w:t>
      </w:r>
      <w:hyperlink r:id="rId10" w:history="1">
        <w:r w:rsidRPr="00676E3C">
          <w:rPr>
            <w:rStyle w:val="Hyperlink"/>
            <w:rFonts w:ascii="Arial" w:hAnsi="Arial" w:cs="Arial"/>
            <w:sz w:val="20"/>
            <w:szCs w:val="20"/>
          </w:rPr>
          <w:t xml:space="preserve"> Acórdão nº 3170/20 – Segunda Câmara -</w:t>
        </w:r>
      </w:hyperlink>
      <w:r w:rsidRPr="00676E3C">
        <w:rPr>
          <w:rFonts w:ascii="Arial" w:hAnsi="Arial" w:cs="Arial"/>
          <w:sz w:val="20"/>
          <w:szCs w:val="20"/>
        </w:rPr>
        <w:t xml:space="preserve"> Relator Auditor Claudio Augusto </w:t>
      </w:r>
      <w:proofErr w:type="spellStart"/>
      <w:r w:rsidRPr="00676E3C">
        <w:rPr>
          <w:rFonts w:ascii="Arial" w:hAnsi="Arial" w:cs="Arial"/>
          <w:sz w:val="20"/>
          <w:szCs w:val="20"/>
        </w:rPr>
        <w:t>Kania</w:t>
      </w:r>
      <w:proofErr w:type="spellEnd"/>
      <w:r w:rsidRPr="00676E3C">
        <w:rPr>
          <w:rFonts w:ascii="Arial" w:hAnsi="Arial" w:cs="Arial"/>
          <w:sz w:val="20"/>
          <w:szCs w:val="20"/>
        </w:rPr>
        <w:t xml:space="preserve">. </w:t>
      </w:r>
    </w:p>
    <w:p w14:paraId="1D3F275A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56CA2" w14:textId="4BD23E01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6E3C">
        <w:rPr>
          <w:rFonts w:ascii="Arial" w:hAnsi="Arial" w:cs="Arial"/>
          <w:b/>
          <w:sz w:val="20"/>
          <w:szCs w:val="20"/>
        </w:rPr>
        <w:t>4</w:t>
      </w:r>
      <w:r w:rsidRPr="00676E3C">
        <w:rPr>
          <w:rFonts w:ascii="Arial" w:hAnsi="Arial" w:cs="Arial"/>
          <w:b/>
          <w:sz w:val="20"/>
          <w:szCs w:val="20"/>
        </w:rPr>
        <w:t>. Inativação de servidor municipal. Cálculo dos proventos. Ausência de violação ao art. 40, §2º, da CF, sustentada pelo Ministério Público de Contas. Observância do disposto no Acórdão 3155/14 – Pleno. Última remuneração não se equivale ao último contracheque, mas à totalidade das verbas incorporáveis. Cálculo das verbas transitórias foi realizado com base em lei municipal julgada inconstitucional, com efeitos “</w:t>
      </w:r>
      <w:proofErr w:type="spellStart"/>
      <w:r w:rsidRPr="00676E3C">
        <w:rPr>
          <w:rFonts w:ascii="Arial" w:hAnsi="Arial" w:cs="Arial"/>
          <w:b/>
          <w:sz w:val="20"/>
          <w:szCs w:val="20"/>
        </w:rPr>
        <w:t>ex</w:t>
      </w:r>
      <w:proofErr w:type="spellEnd"/>
      <w:r w:rsidRPr="00676E3C">
        <w:rPr>
          <w:rFonts w:ascii="Arial" w:hAnsi="Arial" w:cs="Arial"/>
          <w:b/>
          <w:sz w:val="20"/>
          <w:szCs w:val="20"/>
        </w:rPr>
        <w:t xml:space="preserve"> nunc”. Ato anterior à publicação da decisão. Registro, conforme parecer da Coordenadoria de Gestão Municipal.</w:t>
      </w:r>
    </w:p>
    <w:p w14:paraId="08B53A87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92FEF2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Trata-se de processo de inativação de professora da rede pública de ensino municipal, com base no art. 6º, da Emenda Constitucional no 41/2003, promovido pelo Decreto 11.990/2014, publicado em 27/09/2014.</w:t>
      </w:r>
    </w:p>
    <w:p w14:paraId="414B62B4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16769A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Compulsando os autos identifica-se que tanto a Coordenadoria de Gestão Municipal quanto o Ministério Público de Contas são uniformes quanto à implementação dos requisitos para a inativação da Sra., com base no art. 6º, da Emenda Constitucional 41/2003, pois a controvérsia travada refere-se, exclusivamente, ao cálculo dos proventos.</w:t>
      </w:r>
    </w:p>
    <w:p w14:paraId="6CD091F0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B9389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Em seu derradeiro opinativo, o Ministério Público de Contas apontou possível ofensa ao art. 40 § 2º, da Constituição Federal, pois o valor dos proventos teria excedido o valor da última remuneração.</w:t>
      </w:r>
    </w:p>
    <w:p w14:paraId="57D79F3F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0521BC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Não assiste razão ao órgão ministerial, na medida em que o relatório circunstanciado e o comprovante de remuneração (peças 3 e 7) indicam que o valor da última remuneração, utilizado como base para cálculo da contribuição previdenciária, totalizou R$ 2.710,67, enquanto os proventos, compostos de vencimento, ATS e média de gratificações transitórias, foram fixados em R$ 2.710.67.</w:t>
      </w:r>
    </w:p>
    <w:p w14:paraId="0DEBE7B7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516B9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Assim, considerando que o valor dos proventos foi equivalente ao valor da remuneração utilizada como base para os descontos previdenciários, afasta-se a alegada ofensa ao dispositivo constitucional.</w:t>
      </w:r>
    </w:p>
    <w:p w14:paraId="5FE5765F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FAF913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Saliente-se, inclusive, que o valor da última remuneração não se confunde com o último contracheque, mas se refere à totalidade das verbas incorporáveis, conforme já decidido por esta Corte de Contas no Prejulgado 7, pelo Acórdão no 3155/14, do Tribunal Pleno.</w:t>
      </w:r>
    </w:p>
    <w:p w14:paraId="37320A38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BEE8A7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E, por fim, em relação ao cálculo das verbas transitórias incorporadas, que se fundamentaram nos dispositivos da Lei Municipal 5773/2011, em especial art. 5º, § 2º, conforme bem delineado pela Coordenadoria de Gestão Municipal, houve a concessão de eficácia prospectiva em sede recursal ao Acórdão nº 3555/18-STP, proferido no Incidente de Inconstitucionalidade nº 47720/17, que considerou inconstitucionais alguns dispositivos da supracitada lei municipal, razão pela qual os efeitos da decisão não atingem as aposentadorias concedidas antes de 29/11/2018.</w:t>
      </w:r>
    </w:p>
    <w:p w14:paraId="57F01998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2CEA3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 xml:space="preserve">No caso em exame, o ato de inativação foi publicado em 27 de setembro de 2014 (Decreto nº 11.990/14, peça 11). </w:t>
      </w:r>
    </w:p>
    <w:p w14:paraId="398E04B4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73DCB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>Por este mesmo motivo, acompanha o entendimento de que a liminar concedida nos autos do Mandado de Segurança nº 0015027- 07.2020.8.16.0000, que suspendeu os acórdãos proferidos no referido incidente de inconstitucionalidade, não interfere na análise do presente processo.</w:t>
      </w:r>
    </w:p>
    <w:p w14:paraId="65EA4466" w14:textId="77777777" w:rsidR="00676E3C" w:rsidRP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449FD" w14:textId="674EEAF9" w:rsidR="008B1B32" w:rsidRPr="00676E3C" w:rsidRDefault="00676E3C" w:rsidP="00676E3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76E3C">
        <w:rPr>
          <w:rFonts w:ascii="Arial" w:hAnsi="Arial" w:cs="Arial"/>
          <w:sz w:val="20"/>
          <w:szCs w:val="20"/>
        </w:rPr>
        <w:t xml:space="preserve">Processo nº 1029692/14  – </w:t>
      </w:r>
      <w:hyperlink r:id="rId11" w:history="1">
        <w:r w:rsidRPr="00676E3C">
          <w:rPr>
            <w:rStyle w:val="Hyperlink"/>
            <w:rFonts w:ascii="Arial" w:hAnsi="Arial" w:cs="Arial"/>
            <w:sz w:val="20"/>
            <w:szCs w:val="20"/>
          </w:rPr>
          <w:t xml:space="preserve"> Acórdão nº 3159/20 – Segunda Câmara -</w:t>
        </w:r>
      </w:hyperlink>
      <w:r w:rsidRPr="00676E3C">
        <w:rPr>
          <w:rFonts w:ascii="Arial" w:hAnsi="Arial" w:cs="Arial"/>
          <w:sz w:val="20"/>
          <w:szCs w:val="20"/>
        </w:rPr>
        <w:t xml:space="preserve"> Relator Conselheiro Ivens </w:t>
      </w:r>
      <w:proofErr w:type="spellStart"/>
      <w:r w:rsidRPr="00676E3C">
        <w:rPr>
          <w:rFonts w:ascii="Arial" w:hAnsi="Arial" w:cs="Arial"/>
          <w:sz w:val="20"/>
          <w:szCs w:val="20"/>
        </w:rPr>
        <w:t>Zschoerper</w:t>
      </w:r>
      <w:proofErr w:type="spellEnd"/>
      <w:r w:rsidRPr="00676E3C">
        <w:rPr>
          <w:rFonts w:ascii="Arial" w:hAnsi="Arial" w:cs="Arial"/>
          <w:sz w:val="20"/>
          <w:szCs w:val="20"/>
        </w:rPr>
        <w:t xml:space="preserve"> Linhares.</w:t>
      </w:r>
    </w:p>
    <w:p w14:paraId="2F047039" w14:textId="77777777" w:rsidR="00676E3C" w:rsidRPr="00F6070E" w:rsidRDefault="00676E3C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26810AE" w14:textId="59005946" w:rsidR="006972B9" w:rsidRPr="00F6070E" w:rsidRDefault="006972B9" w:rsidP="00F6070E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6070E">
        <w:rPr>
          <w:rFonts w:ascii="Arial" w:hAnsi="Arial" w:cs="Arial"/>
          <w:b/>
          <w:sz w:val="20"/>
          <w:szCs w:val="20"/>
        </w:rPr>
        <w:t>TRIBUNAL PLENO</w:t>
      </w:r>
    </w:p>
    <w:p w14:paraId="3FA59CC2" w14:textId="77777777" w:rsidR="007E66A1" w:rsidRDefault="007E66A1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D17A22" w14:textId="16791EF7" w:rsidR="00676E3C" w:rsidRPr="004F33E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F90DA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3E8">
        <w:rPr>
          <w:rFonts w:ascii="Arial" w:hAnsi="Arial" w:cs="Arial"/>
          <w:b/>
          <w:bCs/>
          <w:sz w:val="20"/>
          <w:szCs w:val="20"/>
        </w:rPr>
        <w:t>Representação da Lei nº 8666/93. Edital com cláusula restritiva à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3E8">
        <w:rPr>
          <w:rFonts w:ascii="Arial" w:hAnsi="Arial" w:cs="Arial"/>
          <w:b/>
          <w:bCs/>
          <w:sz w:val="20"/>
          <w:szCs w:val="20"/>
        </w:rPr>
        <w:t>competitividade. Exigência de que a vencedora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3E8">
        <w:rPr>
          <w:rFonts w:ascii="Arial" w:hAnsi="Arial" w:cs="Arial"/>
          <w:b/>
          <w:bCs/>
          <w:sz w:val="20"/>
          <w:szCs w:val="20"/>
        </w:rPr>
        <w:t>possuísse instalação física dentro do Município.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3E8">
        <w:rPr>
          <w:rFonts w:ascii="Arial" w:hAnsi="Arial" w:cs="Arial"/>
          <w:b/>
          <w:bCs/>
          <w:sz w:val="20"/>
          <w:szCs w:val="20"/>
        </w:rPr>
        <w:t xml:space="preserve">Procedência 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4F33E8">
        <w:rPr>
          <w:rFonts w:ascii="Arial" w:hAnsi="Arial" w:cs="Arial"/>
          <w:b/>
          <w:bCs/>
          <w:sz w:val="20"/>
          <w:szCs w:val="20"/>
        </w:rPr>
        <w:t xml:space="preserve">arcial.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4F33E8">
        <w:rPr>
          <w:rFonts w:ascii="Arial" w:hAnsi="Arial" w:cs="Arial"/>
          <w:b/>
          <w:bCs/>
          <w:sz w:val="20"/>
          <w:szCs w:val="20"/>
        </w:rPr>
        <w:t>ulta administrativa à gestora e expedição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33E8">
        <w:rPr>
          <w:rFonts w:ascii="Arial" w:hAnsi="Arial" w:cs="Arial"/>
          <w:b/>
          <w:bCs/>
          <w:sz w:val="20"/>
          <w:szCs w:val="20"/>
        </w:rPr>
        <w:t>de recomendações</w:t>
      </w:r>
      <w:r>
        <w:rPr>
          <w:rFonts w:ascii="Arial" w:hAnsi="Arial" w:cs="Arial"/>
          <w:b/>
          <w:bCs/>
          <w:sz w:val="20"/>
          <w:szCs w:val="20"/>
        </w:rPr>
        <w:t xml:space="preserve"> para </w:t>
      </w:r>
      <w:r w:rsidRPr="004F33E8">
        <w:rPr>
          <w:rFonts w:ascii="Arial" w:hAnsi="Arial" w:cs="Arial"/>
          <w:b/>
          <w:bCs/>
          <w:sz w:val="20"/>
          <w:szCs w:val="20"/>
        </w:rPr>
        <w:t xml:space="preserve">adequação aos ditames da lei </w:t>
      </w:r>
      <w:r>
        <w:rPr>
          <w:rFonts w:ascii="Arial" w:hAnsi="Arial" w:cs="Arial"/>
          <w:b/>
          <w:bCs/>
          <w:sz w:val="20"/>
          <w:szCs w:val="20"/>
        </w:rPr>
        <w:t>de licitações</w:t>
      </w:r>
      <w:r w:rsidRPr="004F33E8">
        <w:rPr>
          <w:rFonts w:ascii="Arial" w:hAnsi="Arial" w:cs="Arial"/>
          <w:b/>
          <w:bCs/>
          <w:sz w:val="20"/>
          <w:szCs w:val="20"/>
        </w:rPr>
        <w:t>.</w:t>
      </w:r>
    </w:p>
    <w:p w14:paraId="3147471D" w14:textId="77777777" w:rsidR="00676E3C" w:rsidRPr="004655CF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7FF86F" w14:textId="77777777" w:rsidR="00676E3C" w:rsidRPr="009B3D04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Além </w:t>
      </w:r>
      <w:r w:rsidRPr="009B3D04">
        <w:rPr>
          <w:rFonts w:ascii="Arial" w:hAnsi="Arial" w:cs="Arial"/>
          <w:sz w:val="20"/>
          <w:szCs w:val="20"/>
        </w:rPr>
        <w:t>de haver ofensa à lei de regência, não há qualquer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3D04">
        <w:rPr>
          <w:rFonts w:ascii="Arial" w:hAnsi="Arial" w:cs="Arial"/>
          <w:sz w:val="20"/>
          <w:szCs w:val="20"/>
        </w:rPr>
        <w:t>vantajosidade</w:t>
      </w:r>
      <w:proofErr w:type="spellEnd"/>
      <w:r w:rsidRPr="009B3D04">
        <w:rPr>
          <w:rFonts w:ascii="Arial" w:hAnsi="Arial" w:cs="Arial"/>
          <w:sz w:val="20"/>
          <w:szCs w:val="20"/>
        </w:rPr>
        <w:t xml:space="preserve"> à Administração quanto à restrição imposta no edital. A instalação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física do licitante vencedor dentro do próprio município não reflete em melhor preço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ou agilidade no conserto dos veículos, mas tão somente reflete a concessão de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vantagem às empresas que lá já se encontravam instaladas,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ou ainda, em aumento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indevido de custos a aqueles que quisessem prestar os serviços à municipalidade, já</w:t>
      </w:r>
    </w:p>
    <w:p w14:paraId="466A6615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3D04">
        <w:rPr>
          <w:rFonts w:ascii="Arial" w:hAnsi="Arial" w:cs="Arial"/>
          <w:sz w:val="20"/>
          <w:szCs w:val="20"/>
        </w:rPr>
        <w:t>que precisariam fazer a instalação física de escritório, barracão, alocação de mão</w:t>
      </w:r>
      <w:r>
        <w:rPr>
          <w:rFonts w:ascii="Arial" w:hAnsi="Arial" w:cs="Arial"/>
          <w:sz w:val="20"/>
          <w:szCs w:val="20"/>
        </w:rPr>
        <w:t>-</w:t>
      </w:r>
      <w:r w:rsidRPr="009B3D04">
        <w:rPr>
          <w:rFonts w:ascii="Arial" w:hAnsi="Arial" w:cs="Arial"/>
          <w:sz w:val="20"/>
          <w:szCs w:val="20"/>
        </w:rPr>
        <w:t xml:space="preserve">de-obra, </w:t>
      </w:r>
      <w:proofErr w:type="spellStart"/>
      <w:r w:rsidRPr="009B3D04">
        <w:rPr>
          <w:rFonts w:ascii="Arial" w:hAnsi="Arial" w:cs="Arial"/>
          <w:sz w:val="20"/>
          <w:szCs w:val="20"/>
        </w:rPr>
        <w:t>etc</w:t>
      </w:r>
      <w:proofErr w:type="spellEnd"/>
      <w:r w:rsidRPr="009B3D04">
        <w:rPr>
          <w:rFonts w:ascii="Arial" w:hAnsi="Arial" w:cs="Arial"/>
          <w:sz w:val="20"/>
          <w:szCs w:val="20"/>
        </w:rPr>
        <w:t>, no prazo de 15 dias (a partir da assinatura da ata de registro de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preços).</w:t>
      </w:r>
    </w:p>
    <w:p w14:paraId="7ADB1076" w14:textId="77777777" w:rsidR="00676E3C" w:rsidRPr="009B3D04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138118" w14:textId="77777777" w:rsidR="00676E3C" w:rsidRPr="009B3D04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3D04">
        <w:rPr>
          <w:rFonts w:ascii="Arial" w:hAnsi="Arial" w:cs="Arial"/>
          <w:sz w:val="20"/>
          <w:szCs w:val="20"/>
        </w:rPr>
        <w:t>Assim, entend</w:t>
      </w:r>
      <w:r>
        <w:rPr>
          <w:rFonts w:ascii="Arial" w:hAnsi="Arial" w:cs="Arial"/>
          <w:sz w:val="20"/>
          <w:szCs w:val="20"/>
        </w:rPr>
        <w:t xml:space="preserve">e-se </w:t>
      </w:r>
      <w:r w:rsidRPr="009B3D04">
        <w:rPr>
          <w:rFonts w:ascii="Arial" w:hAnsi="Arial" w:cs="Arial"/>
          <w:sz w:val="20"/>
          <w:szCs w:val="20"/>
        </w:rPr>
        <w:t>que à então gestora, deve ser aplicada a multa administrativa prevista no art. 87, IV, “g”, da LCE nº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113/2005, por ter autorizado a realização de licitação de certame em que o edital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apresentava cláusula que compromete o caráter competitivo</w:t>
      </w:r>
      <w:r>
        <w:rPr>
          <w:rFonts w:ascii="Arial" w:hAnsi="Arial" w:cs="Arial"/>
          <w:sz w:val="20"/>
          <w:szCs w:val="20"/>
        </w:rPr>
        <w:t xml:space="preserve">, bem como, a expedição das seguintes recomendações quanto aos demais itens: </w:t>
      </w:r>
      <w:r w:rsidRPr="009B3D04">
        <w:rPr>
          <w:rFonts w:ascii="Arial" w:hAnsi="Arial" w:cs="Arial"/>
          <w:sz w:val="20"/>
          <w:szCs w:val="20"/>
        </w:rPr>
        <w:t>(i) para que em futuras licitações para contratação de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semelhantes, que realize as devidas especificações quanto ao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serviço de remoção de veículos;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(</w:t>
      </w:r>
      <w:proofErr w:type="spellStart"/>
      <w:r w:rsidRPr="009B3D04">
        <w:rPr>
          <w:rFonts w:ascii="Arial" w:hAnsi="Arial" w:cs="Arial"/>
          <w:sz w:val="20"/>
          <w:szCs w:val="20"/>
        </w:rPr>
        <w:t>ii</w:t>
      </w:r>
      <w:proofErr w:type="spellEnd"/>
      <w:r w:rsidRPr="009B3D04">
        <w:rPr>
          <w:rFonts w:ascii="Arial" w:hAnsi="Arial" w:cs="Arial"/>
          <w:sz w:val="20"/>
          <w:szCs w:val="20"/>
        </w:rPr>
        <w:t>) que se abstenha de prever a aceitação de cheques como forma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de garantia à execução contratual, considerando a ausência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previsão legal para tanto; e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(</w:t>
      </w:r>
      <w:proofErr w:type="spellStart"/>
      <w:r w:rsidRPr="009B3D04">
        <w:rPr>
          <w:rFonts w:ascii="Arial" w:hAnsi="Arial" w:cs="Arial"/>
          <w:sz w:val="20"/>
          <w:szCs w:val="20"/>
        </w:rPr>
        <w:t>iii</w:t>
      </w:r>
      <w:proofErr w:type="spellEnd"/>
      <w:r w:rsidRPr="009B3D04">
        <w:rPr>
          <w:rFonts w:ascii="Arial" w:hAnsi="Arial" w:cs="Arial"/>
          <w:sz w:val="20"/>
          <w:szCs w:val="20"/>
        </w:rPr>
        <w:t>) que dê cumprimento ao disposto no §5º, do art. 31, da Lei nº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8666/93, relativamente à devida justificação do índice do grau de</w:t>
      </w:r>
      <w:r>
        <w:rPr>
          <w:rFonts w:ascii="Arial" w:hAnsi="Arial" w:cs="Arial"/>
          <w:sz w:val="20"/>
          <w:szCs w:val="20"/>
        </w:rPr>
        <w:t xml:space="preserve"> </w:t>
      </w:r>
      <w:r w:rsidRPr="009B3D04">
        <w:rPr>
          <w:rFonts w:ascii="Arial" w:hAnsi="Arial" w:cs="Arial"/>
          <w:sz w:val="20"/>
          <w:szCs w:val="20"/>
        </w:rPr>
        <w:t>endividamento dos licitantes.</w:t>
      </w:r>
    </w:p>
    <w:p w14:paraId="244C43DF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D486CC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0DAB">
        <w:rPr>
          <w:rFonts w:ascii="Arial" w:hAnsi="Arial" w:cs="Arial"/>
          <w:sz w:val="20"/>
          <w:szCs w:val="20"/>
        </w:rPr>
        <w:t xml:space="preserve">Processo nº </w:t>
      </w:r>
      <w:r w:rsidRPr="009B3D04">
        <w:rPr>
          <w:rFonts w:ascii="Arial" w:hAnsi="Arial" w:cs="Arial"/>
          <w:sz w:val="20"/>
          <w:szCs w:val="20"/>
        </w:rPr>
        <w:t>538109/15</w:t>
      </w:r>
      <w:r w:rsidRPr="00F90DAB">
        <w:rPr>
          <w:rFonts w:ascii="Arial" w:hAnsi="Arial" w:cs="Arial"/>
          <w:sz w:val="20"/>
          <w:szCs w:val="20"/>
        </w:rPr>
        <w:t xml:space="preserve"> –</w:t>
      </w:r>
      <w:hyperlink r:id="rId12" w:history="1"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Acórdão nº </w:t>
        </w:r>
        <w:r>
          <w:rPr>
            <w:rStyle w:val="Hyperlink"/>
            <w:rFonts w:ascii="Arial" w:hAnsi="Arial" w:cs="Arial"/>
            <w:sz w:val="20"/>
            <w:szCs w:val="20"/>
          </w:rPr>
          <w:t>2973/20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– </w:t>
        </w:r>
        <w:r>
          <w:rPr>
            <w:rStyle w:val="Hyperlink"/>
            <w:rFonts w:ascii="Arial" w:hAnsi="Arial" w:cs="Arial"/>
            <w:sz w:val="20"/>
            <w:szCs w:val="20"/>
          </w:rPr>
          <w:t>Tribunal Pleno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-</w:t>
        </w:r>
      </w:hyperlink>
      <w:r w:rsidRPr="00F90DAB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 xml:space="preserve">Conselheiro </w:t>
      </w:r>
      <w:proofErr w:type="spellStart"/>
      <w:r>
        <w:rPr>
          <w:rFonts w:ascii="Arial" w:hAnsi="Arial" w:cs="Arial"/>
          <w:sz w:val="20"/>
          <w:szCs w:val="20"/>
        </w:rPr>
        <w:t>Artagão</w:t>
      </w:r>
      <w:proofErr w:type="spellEnd"/>
      <w:r>
        <w:rPr>
          <w:rFonts w:ascii="Arial" w:hAnsi="Arial" w:cs="Arial"/>
          <w:sz w:val="20"/>
          <w:szCs w:val="20"/>
        </w:rPr>
        <w:t xml:space="preserve"> de Mattos Leão.</w:t>
      </w:r>
    </w:p>
    <w:p w14:paraId="20441036" w14:textId="77777777" w:rsidR="00676E3C" w:rsidRPr="0011188E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2EA1C2" w14:textId="6AFA703C" w:rsidR="00676E3C" w:rsidRPr="00342B6A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F90DA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Alerta. Cálculo da Despesa Total com Pessoal.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Inclusão do Imposto de Renda Retido na Fonte.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Grandeza simétrica que se anula sob o ponto 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vista econômico, pois o valor pago é retido 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lançado como receita do ente pagador. Situação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de calamidade pública decorrente dos efeitos 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pandemia do COVID-19. Exclusão do montante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referente ao Imposto de Renda Retido na Fonte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para o cálculo da despesa total com pessoal. Nova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42B6A">
        <w:rPr>
          <w:rFonts w:ascii="Arial" w:hAnsi="Arial" w:cs="Arial"/>
          <w:b/>
          <w:bCs/>
          <w:sz w:val="20"/>
          <w:szCs w:val="20"/>
        </w:rPr>
        <w:t>instrução processual.</w:t>
      </w:r>
    </w:p>
    <w:p w14:paraId="0E008DE2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4FDB10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2B6A">
        <w:rPr>
          <w:rFonts w:ascii="Arial" w:hAnsi="Arial" w:cs="Arial"/>
          <w:sz w:val="20"/>
          <w:szCs w:val="20"/>
        </w:rPr>
        <w:t>De acordo com o Manual Técnico de Demonstrativos Fiscais –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MDF3, emitido pelo Tesouro Nacional, o Imposto de Renda Retido na Fonte não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poderá ser deduzido da Despesa Bruta com Pessoal para cálculo da Despesa Total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com Pessoal, visto que tal tributo, do ponto de vista do ente empregador, não é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 xml:space="preserve">despesa, mas receita tributária. De outra forma, a despesa com a </w:t>
      </w:r>
      <w:r w:rsidRPr="00342B6A">
        <w:rPr>
          <w:rFonts w:ascii="Arial" w:hAnsi="Arial" w:cs="Arial"/>
          <w:sz w:val="20"/>
          <w:szCs w:val="20"/>
        </w:rPr>
        <w:lastRenderedPageBreak/>
        <w:t>remuneração bruta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do servidor, a qual engloba o valor que, em um momento posterior, será retido para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pagamento do Imposto de Renda Retido na Fonte, é despesa com pessoal.</w:t>
      </w:r>
    </w:p>
    <w:p w14:paraId="0093C4FD" w14:textId="77777777" w:rsidR="00676E3C" w:rsidRPr="00342B6A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8DF06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2B6A">
        <w:rPr>
          <w:rFonts w:ascii="Arial" w:hAnsi="Arial" w:cs="Arial"/>
          <w:sz w:val="20"/>
          <w:szCs w:val="20"/>
        </w:rPr>
        <w:t>Nestes termos, a remuneração bruta do servidor é despesa com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pessoal para fins de apuração dos limites de que trata a Lei Complementar nº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101/2000, pois diminui o Patrimônio Líquido da entidade, ao passo que o Imposto de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Renda Retido na Fonte pelo ente é receita, pois aumenta o seu Patrimônio Líquido.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Conforme se depreende, o posicionamento da Secretaria do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Tesouro Nacional se estriba em fundamentos estritamente contábeis.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O Imposto de Renda Retido na Fonte representa uma grandeza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simétrica que se anula sob o ponto de vista econômico, pois o valor pago é retido e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lançado como receita do ente pagador.</w:t>
      </w:r>
    </w:p>
    <w:p w14:paraId="4990BD1A" w14:textId="77777777" w:rsidR="00676E3C" w:rsidRPr="00342B6A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B35E2B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2B6A">
        <w:rPr>
          <w:rFonts w:ascii="Arial" w:hAnsi="Arial" w:cs="Arial"/>
          <w:sz w:val="20"/>
          <w:szCs w:val="20"/>
        </w:rPr>
        <w:t>Neste contexto, ao se incorporar o montante pago do IRRF para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composição do índice de gastos com despesas de pessoal, o ente público será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penalizado na medida em que a despesa foi anulada pela sua retenção e o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respectivo valor lançado como receita própria, não havendo justificativa para sua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inclusão no índice como despesa total com pessoal, uma vez que a despesa, de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fato, não ocorreu.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Tal efeito se mostra mais acentuado e visível em situações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escassez de recursos que impedem o crescimento projetado da RCL.</w:t>
      </w:r>
    </w:p>
    <w:p w14:paraId="0C307BA7" w14:textId="77777777" w:rsidR="00676E3C" w:rsidRPr="00342B6A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47BF4" w14:textId="77777777" w:rsidR="00676E3C" w:rsidRPr="00342B6A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2B6A">
        <w:rPr>
          <w:rFonts w:ascii="Arial" w:hAnsi="Arial" w:cs="Arial"/>
          <w:sz w:val="20"/>
          <w:szCs w:val="20"/>
        </w:rPr>
        <w:t>Portanto, considerando a atual situação de calamidade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decorrente dos efeitos da pandemia do COVID-19 pela qual passamos, cujos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reflexos deverão ser sentidos mais rigorosamente nos próximos exercícios diante da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expectativa de baixo crescimento sustentado do País, mostra-se oportuno, até que a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situação conjuntural se altere satisfatoriamente, que este Tribunal de Contas,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excepcionalmente, passe a desconsiderar o montante referente ao IRRF pago pelo</w:t>
      </w:r>
      <w:r>
        <w:rPr>
          <w:rFonts w:ascii="Arial" w:hAnsi="Arial" w:cs="Arial"/>
          <w:sz w:val="20"/>
          <w:szCs w:val="20"/>
        </w:rPr>
        <w:t xml:space="preserve"> </w:t>
      </w:r>
      <w:r w:rsidRPr="00342B6A">
        <w:rPr>
          <w:rFonts w:ascii="Arial" w:hAnsi="Arial" w:cs="Arial"/>
          <w:sz w:val="20"/>
          <w:szCs w:val="20"/>
        </w:rPr>
        <w:t>ente público para o cálculo da despesa total com pessoal.</w:t>
      </w:r>
    </w:p>
    <w:p w14:paraId="361401A7" w14:textId="77777777" w:rsidR="00676E3C" w:rsidRPr="004F33E8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903E7B" w14:textId="77777777" w:rsidR="00676E3C" w:rsidRDefault="00676E3C" w:rsidP="00676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0DAB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359772/20</w:t>
      </w:r>
      <w:r w:rsidRPr="00F90DAB">
        <w:rPr>
          <w:rFonts w:ascii="Arial" w:hAnsi="Arial" w:cs="Arial"/>
          <w:sz w:val="20"/>
          <w:szCs w:val="20"/>
        </w:rPr>
        <w:t xml:space="preserve"> –</w:t>
      </w:r>
      <w:hyperlink r:id="rId13" w:history="1"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Acórdão nº </w:t>
        </w:r>
        <w:r>
          <w:rPr>
            <w:rStyle w:val="Hyperlink"/>
            <w:rFonts w:ascii="Arial" w:hAnsi="Arial" w:cs="Arial"/>
            <w:sz w:val="20"/>
            <w:szCs w:val="20"/>
          </w:rPr>
          <w:t>2980/20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– </w:t>
        </w:r>
        <w:r>
          <w:rPr>
            <w:rStyle w:val="Hyperlink"/>
            <w:rFonts w:ascii="Arial" w:hAnsi="Arial" w:cs="Arial"/>
            <w:sz w:val="20"/>
            <w:szCs w:val="20"/>
          </w:rPr>
          <w:t>Tribunal Pleno</w:t>
        </w:r>
        <w:r w:rsidRPr="00F90DAB">
          <w:rPr>
            <w:rStyle w:val="Hyperlink"/>
            <w:rFonts w:ascii="Arial" w:hAnsi="Arial" w:cs="Arial"/>
            <w:sz w:val="20"/>
            <w:szCs w:val="20"/>
          </w:rPr>
          <w:t xml:space="preserve"> -</w:t>
        </w:r>
      </w:hyperlink>
      <w:r w:rsidRPr="00F90DAB">
        <w:rPr>
          <w:rFonts w:ascii="Arial" w:hAnsi="Arial" w:cs="Arial"/>
          <w:sz w:val="20"/>
          <w:szCs w:val="20"/>
        </w:rPr>
        <w:t xml:space="preserve"> Relator </w:t>
      </w:r>
      <w:r>
        <w:rPr>
          <w:rFonts w:ascii="Arial" w:hAnsi="Arial" w:cs="Arial"/>
          <w:sz w:val="20"/>
          <w:szCs w:val="20"/>
        </w:rPr>
        <w:t>Conselheiro Fábio de Souza Camargo.</w:t>
      </w:r>
    </w:p>
    <w:p w14:paraId="5FB94C58" w14:textId="77777777" w:rsidR="00AF51CD" w:rsidRPr="00F6070E" w:rsidRDefault="00AF51CD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21775C" w14:textId="77777777" w:rsidR="007C18E7" w:rsidRPr="00F6070E" w:rsidRDefault="007C18E7" w:rsidP="007E66A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6070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09DEE" wp14:editId="62178AE7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1BCC3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AFE70EE" w14:textId="77777777" w:rsidR="00AF51CD" w:rsidRPr="00F6070E" w:rsidRDefault="00AF51CD" w:rsidP="00F60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A7CD7A9" w14:textId="77777777" w:rsidR="001D1424" w:rsidRPr="00F6070E" w:rsidRDefault="001D1424" w:rsidP="00F6070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F6070E">
        <w:rPr>
          <w:b/>
          <w:sz w:val="20"/>
          <w:szCs w:val="20"/>
        </w:rPr>
        <w:t xml:space="preserve">Acesse também: </w:t>
      </w:r>
    </w:p>
    <w:p w14:paraId="7A9289B7" w14:textId="77777777" w:rsidR="006C063B" w:rsidRPr="00F6070E" w:rsidRDefault="006C063B" w:rsidP="00F6070E">
      <w:pPr>
        <w:pStyle w:val="Default"/>
        <w:spacing w:line="276" w:lineRule="auto"/>
        <w:jc w:val="both"/>
        <w:rPr>
          <w:b/>
          <w:sz w:val="20"/>
          <w:szCs w:val="20"/>
        </w:rPr>
      </w:pPr>
    </w:p>
    <w:p w14:paraId="5D2329DF" w14:textId="77777777" w:rsidR="007C18E7" w:rsidRPr="00F6070E" w:rsidRDefault="00C06025" w:rsidP="007E66A1">
      <w:pPr>
        <w:pStyle w:val="Default"/>
        <w:jc w:val="center"/>
        <w:rPr>
          <w:rStyle w:val="Hyperlink"/>
          <w:b/>
          <w:sz w:val="20"/>
          <w:szCs w:val="20"/>
        </w:rPr>
      </w:pPr>
      <w:hyperlink r:id="rId14" w:history="1">
        <w:r w:rsidR="007C18E7" w:rsidRPr="00F6070E">
          <w:rPr>
            <w:rStyle w:val="Hyperlink"/>
            <w:b/>
            <w:sz w:val="20"/>
            <w:szCs w:val="20"/>
          </w:rPr>
          <w:t>Pesquisas Prontas</w:t>
        </w:r>
      </w:hyperlink>
    </w:p>
    <w:p w14:paraId="290A3B29" w14:textId="77777777" w:rsidR="007C18E7" w:rsidRPr="00F6070E" w:rsidRDefault="007C18E7" w:rsidP="007E66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C63FF" w14:textId="77777777" w:rsidR="007C18E7" w:rsidRPr="00F6070E" w:rsidRDefault="00C06025" w:rsidP="007E66A1">
      <w:pPr>
        <w:pStyle w:val="Default"/>
        <w:jc w:val="center"/>
        <w:rPr>
          <w:rStyle w:val="Hyperlink"/>
          <w:b/>
          <w:sz w:val="20"/>
          <w:szCs w:val="20"/>
        </w:rPr>
      </w:pPr>
      <w:hyperlink r:id="rId15" w:history="1">
        <w:r w:rsidR="007C18E7" w:rsidRPr="00F6070E">
          <w:rPr>
            <w:rStyle w:val="Hyperlink"/>
            <w:b/>
            <w:sz w:val="20"/>
            <w:szCs w:val="20"/>
          </w:rPr>
          <w:t>Teses Ambientais</w:t>
        </w:r>
      </w:hyperlink>
      <w:r w:rsidR="007C18E7" w:rsidRPr="00F6070E">
        <w:rPr>
          <w:rStyle w:val="Hyperlink"/>
          <w:b/>
          <w:sz w:val="20"/>
          <w:szCs w:val="20"/>
        </w:rPr>
        <w:t xml:space="preserve"> </w:t>
      </w:r>
    </w:p>
    <w:p w14:paraId="0CE4E7C9" w14:textId="77777777" w:rsidR="007C18E7" w:rsidRPr="00F6070E" w:rsidRDefault="007C18E7" w:rsidP="007E66A1">
      <w:pPr>
        <w:pStyle w:val="Default"/>
        <w:jc w:val="center"/>
        <w:rPr>
          <w:rStyle w:val="Hyperlink"/>
          <w:b/>
          <w:sz w:val="20"/>
          <w:szCs w:val="20"/>
        </w:rPr>
      </w:pPr>
    </w:p>
    <w:p w14:paraId="449CBBB2" w14:textId="77777777" w:rsidR="007C18E7" w:rsidRPr="00F6070E" w:rsidRDefault="00C06025" w:rsidP="007E66A1">
      <w:pPr>
        <w:pStyle w:val="Default"/>
        <w:jc w:val="center"/>
        <w:rPr>
          <w:b/>
          <w:sz w:val="20"/>
          <w:szCs w:val="20"/>
        </w:rPr>
      </w:pPr>
      <w:hyperlink r:id="rId16" w:history="1">
        <w:proofErr w:type="spellStart"/>
        <w:r w:rsidR="007C18E7" w:rsidRPr="00F6070E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4BD985E9" w14:textId="77777777" w:rsidR="007C18E7" w:rsidRPr="00F6070E" w:rsidRDefault="007C18E7" w:rsidP="007E66A1">
      <w:pPr>
        <w:pStyle w:val="Default"/>
        <w:jc w:val="center"/>
        <w:rPr>
          <w:sz w:val="20"/>
          <w:szCs w:val="20"/>
        </w:rPr>
      </w:pPr>
    </w:p>
    <w:p w14:paraId="72F32B36" w14:textId="77777777" w:rsidR="007C18E7" w:rsidRPr="00F6070E" w:rsidRDefault="00C06025" w:rsidP="007E66A1">
      <w:pPr>
        <w:pStyle w:val="Default"/>
        <w:jc w:val="center"/>
        <w:rPr>
          <w:rStyle w:val="Hyperlink"/>
          <w:b/>
          <w:sz w:val="20"/>
          <w:szCs w:val="20"/>
        </w:rPr>
      </w:pPr>
      <w:hyperlink r:id="rId17" w:history="1">
        <w:r w:rsidR="007C18E7" w:rsidRPr="00F6070E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75CDA236" w14:textId="77777777" w:rsidR="007C18E7" w:rsidRPr="00F6070E" w:rsidRDefault="007C18E7" w:rsidP="007E66A1">
      <w:pPr>
        <w:pStyle w:val="Default"/>
        <w:jc w:val="center"/>
        <w:rPr>
          <w:rStyle w:val="Hyperlink"/>
          <w:b/>
          <w:sz w:val="20"/>
          <w:szCs w:val="20"/>
        </w:rPr>
      </w:pPr>
    </w:p>
    <w:p w14:paraId="6CD4EB86" w14:textId="77777777" w:rsidR="007C18E7" w:rsidRPr="00F6070E" w:rsidRDefault="00C06025" w:rsidP="007E66A1">
      <w:pPr>
        <w:pStyle w:val="Default"/>
        <w:jc w:val="center"/>
        <w:rPr>
          <w:rStyle w:val="Hyperlink"/>
          <w:b/>
          <w:sz w:val="20"/>
          <w:szCs w:val="20"/>
        </w:rPr>
      </w:pPr>
      <w:hyperlink r:id="rId18" w:history="1">
        <w:r w:rsidR="007C18E7" w:rsidRPr="00F6070E">
          <w:rPr>
            <w:rStyle w:val="Hyperlink"/>
            <w:b/>
            <w:sz w:val="20"/>
            <w:szCs w:val="20"/>
          </w:rPr>
          <w:t>Súmulas Selecionadas</w:t>
        </w:r>
      </w:hyperlink>
    </w:p>
    <w:p w14:paraId="3F5C61E6" w14:textId="77777777" w:rsidR="007C18E7" w:rsidRPr="00F6070E" w:rsidRDefault="007C18E7" w:rsidP="00F6070E">
      <w:pPr>
        <w:pStyle w:val="TCU-Epgrafe"/>
        <w:spacing w:line="276" w:lineRule="auto"/>
        <w:ind w:left="0"/>
        <w:rPr>
          <w:rFonts w:ascii="Arial" w:hAnsi="Arial" w:cs="Arial"/>
          <w:sz w:val="20"/>
        </w:rPr>
      </w:pPr>
      <w:r w:rsidRPr="00F6070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898C9" wp14:editId="624A1AD4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BECA9" id="Conector reto 5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62495E3" w14:textId="77777777" w:rsidR="007C18E7" w:rsidRPr="00F6070E" w:rsidRDefault="007C18E7" w:rsidP="00F6070E">
      <w:pPr>
        <w:spacing w:after="0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5496FD6E" w14:textId="77777777" w:rsidR="007C18E7" w:rsidRPr="00F6070E" w:rsidRDefault="007C18E7" w:rsidP="00F6070E">
      <w:pPr>
        <w:spacing w:after="0"/>
        <w:jc w:val="center"/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</w:pPr>
      <w:r w:rsidRPr="00F6070E">
        <w:rPr>
          <w:rStyle w:val="Hyperlink"/>
          <w:rFonts w:ascii="Arial" w:hAnsi="Arial" w:cs="Arial"/>
          <w:i/>
          <w:color w:val="auto"/>
          <w:sz w:val="20"/>
          <w:szCs w:val="20"/>
          <w:u w:val="none"/>
        </w:rPr>
        <w:t>Elaboração: Escola de Gestão Pública - Jurisprudência</w:t>
      </w:r>
    </w:p>
    <w:p w14:paraId="2B5E173B" w14:textId="08E78418" w:rsidR="00E01524" w:rsidRPr="00F6070E" w:rsidRDefault="007C18E7" w:rsidP="00F6070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070E">
        <w:rPr>
          <w:rStyle w:val="nfase"/>
          <w:rFonts w:ascii="Arial" w:hAnsi="Arial" w:cs="Arial"/>
          <w:sz w:val="20"/>
          <w:szCs w:val="20"/>
        </w:rPr>
        <w:t>E-mail: jurisprudencia@tce.pr.gov.br</w:t>
      </w:r>
    </w:p>
    <w:sectPr w:rsidR="00E01524" w:rsidRPr="00F6070E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7A2D6" w14:textId="77777777" w:rsidR="00C06025" w:rsidRDefault="00C06025" w:rsidP="00350CC2">
      <w:pPr>
        <w:spacing w:after="0" w:line="240" w:lineRule="auto"/>
      </w:pPr>
      <w:r>
        <w:separator/>
      </w:r>
    </w:p>
  </w:endnote>
  <w:endnote w:type="continuationSeparator" w:id="0">
    <w:p w14:paraId="2B48D5F4" w14:textId="77777777" w:rsidR="00C06025" w:rsidRDefault="00C06025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A781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015F5A8D" wp14:editId="42218AE5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8E35E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151A70">
      <w:rPr>
        <w:noProof/>
        <w:sz w:val="16"/>
        <w:szCs w:val="16"/>
      </w:rPr>
      <w:t>9</w:t>
    </w:r>
    <w:r w:rsidRPr="00722924">
      <w:rPr>
        <w:sz w:val="16"/>
        <w:szCs w:val="16"/>
      </w:rPr>
      <w:fldChar w:fldCharType="end"/>
    </w:r>
  </w:p>
  <w:p w14:paraId="60F76F61" w14:textId="77777777" w:rsidR="00375DB6" w:rsidRDefault="00375DB6"/>
  <w:p w14:paraId="0F78BB1A" w14:textId="77777777" w:rsidR="00375DB6" w:rsidRDefault="00375DB6"/>
  <w:p w14:paraId="25AE8646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985D1" w14:textId="77777777" w:rsidR="00C06025" w:rsidRDefault="00C06025" w:rsidP="00350CC2">
      <w:pPr>
        <w:spacing w:after="0" w:line="240" w:lineRule="auto"/>
      </w:pPr>
      <w:r>
        <w:separator/>
      </w:r>
    </w:p>
  </w:footnote>
  <w:footnote w:type="continuationSeparator" w:id="0">
    <w:p w14:paraId="4AED2B2C" w14:textId="77777777" w:rsidR="00C06025" w:rsidRDefault="00C06025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FC5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5B19F144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3BBB5EC0" wp14:editId="1E2EB841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6ED1"/>
    <w:multiLevelType w:val="hybridMultilevel"/>
    <w:tmpl w:val="F2764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5A7D"/>
    <w:multiLevelType w:val="hybridMultilevel"/>
    <w:tmpl w:val="CC14B61C"/>
    <w:lvl w:ilvl="0" w:tplc="D2DE44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206C5"/>
    <w:multiLevelType w:val="hybridMultilevel"/>
    <w:tmpl w:val="0DA4B564"/>
    <w:lvl w:ilvl="0" w:tplc="A0426D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053B"/>
    <w:multiLevelType w:val="hybridMultilevel"/>
    <w:tmpl w:val="BBB6D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7354"/>
    <w:multiLevelType w:val="hybridMultilevel"/>
    <w:tmpl w:val="31142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6464"/>
    <w:multiLevelType w:val="hybridMultilevel"/>
    <w:tmpl w:val="2B388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C4E55"/>
    <w:multiLevelType w:val="hybridMultilevel"/>
    <w:tmpl w:val="BC385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E2E4F"/>
    <w:multiLevelType w:val="hybridMultilevel"/>
    <w:tmpl w:val="36D4E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852F5"/>
    <w:multiLevelType w:val="hybridMultilevel"/>
    <w:tmpl w:val="1E9809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001C6"/>
    <w:multiLevelType w:val="hybridMultilevel"/>
    <w:tmpl w:val="7CAA1F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90739"/>
    <w:multiLevelType w:val="hybridMultilevel"/>
    <w:tmpl w:val="29FC2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2798"/>
    <w:multiLevelType w:val="hybridMultilevel"/>
    <w:tmpl w:val="A26E0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20"/>
  </w:num>
  <w:num w:numId="5">
    <w:abstractNumId w:val="23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21"/>
  </w:num>
  <w:num w:numId="14">
    <w:abstractNumId w:val="15"/>
  </w:num>
  <w:num w:numId="15">
    <w:abstractNumId w:val="22"/>
  </w:num>
  <w:num w:numId="16">
    <w:abstractNumId w:val="17"/>
  </w:num>
  <w:num w:numId="17">
    <w:abstractNumId w:val="5"/>
  </w:num>
  <w:num w:numId="18">
    <w:abstractNumId w:val="11"/>
  </w:num>
  <w:num w:numId="19">
    <w:abstractNumId w:val="12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C03"/>
    <w:rsid w:val="00003D1E"/>
    <w:rsid w:val="0000505F"/>
    <w:rsid w:val="000078B5"/>
    <w:rsid w:val="00007F7A"/>
    <w:rsid w:val="00007FD0"/>
    <w:rsid w:val="00010B69"/>
    <w:rsid w:val="00010F88"/>
    <w:rsid w:val="000112A3"/>
    <w:rsid w:val="00011BFC"/>
    <w:rsid w:val="0001200F"/>
    <w:rsid w:val="000126A0"/>
    <w:rsid w:val="00012CBB"/>
    <w:rsid w:val="00013654"/>
    <w:rsid w:val="00013691"/>
    <w:rsid w:val="00013840"/>
    <w:rsid w:val="00015FB0"/>
    <w:rsid w:val="0001675E"/>
    <w:rsid w:val="00017EBA"/>
    <w:rsid w:val="00021B0A"/>
    <w:rsid w:val="00025971"/>
    <w:rsid w:val="000262AD"/>
    <w:rsid w:val="00027A03"/>
    <w:rsid w:val="00027FAB"/>
    <w:rsid w:val="000300F4"/>
    <w:rsid w:val="00032A26"/>
    <w:rsid w:val="00033422"/>
    <w:rsid w:val="00033D45"/>
    <w:rsid w:val="00033E69"/>
    <w:rsid w:val="0003502C"/>
    <w:rsid w:val="00040EBA"/>
    <w:rsid w:val="00042502"/>
    <w:rsid w:val="00042DF3"/>
    <w:rsid w:val="000433EC"/>
    <w:rsid w:val="000439FD"/>
    <w:rsid w:val="00045700"/>
    <w:rsid w:val="00046191"/>
    <w:rsid w:val="00046E21"/>
    <w:rsid w:val="0004703D"/>
    <w:rsid w:val="00047EF1"/>
    <w:rsid w:val="00052862"/>
    <w:rsid w:val="00052DE8"/>
    <w:rsid w:val="00053B72"/>
    <w:rsid w:val="00056028"/>
    <w:rsid w:val="00056686"/>
    <w:rsid w:val="00056E6F"/>
    <w:rsid w:val="000572CE"/>
    <w:rsid w:val="000617CF"/>
    <w:rsid w:val="00062737"/>
    <w:rsid w:val="00067E01"/>
    <w:rsid w:val="00070009"/>
    <w:rsid w:val="0007004D"/>
    <w:rsid w:val="00070B14"/>
    <w:rsid w:val="000713DD"/>
    <w:rsid w:val="00071DE3"/>
    <w:rsid w:val="0007200C"/>
    <w:rsid w:val="00073CD1"/>
    <w:rsid w:val="00073F9F"/>
    <w:rsid w:val="00074287"/>
    <w:rsid w:val="000747BF"/>
    <w:rsid w:val="00074FAB"/>
    <w:rsid w:val="000753DC"/>
    <w:rsid w:val="000759E5"/>
    <w:rsid w:val="00076184"/>
    <w:rsid w:val="000800D1"/>
    <w:rsid w:val="00081051"/>
    <w:rsid w:val="00081B5D"/>
    <w:rsid w:val="00082716"/>
    <w:rsid w:val="0008272B"/>
    <w:rsid w:val="000850BF"/>
    <w:rsid w:val="000900B0"/>
    <w:rsid w:val="000919D8"/>
    <w:rsid w:val="0009260D"/>
    <w:rsid w:val="000926D4"/>
    <w:rsid w:val="0009287E"/>
    <w:rsid w:val="00092E5D"/>
    <w:rsid w:val="0009482D"/>
    <w:rsid w:val="0009711C"/>
    <w:rsid w:val="0009762F"/>
    <w:rsid w:val="00097B00"/>
    <w:rsid w:val="00097EF1"/>
    <w:rsid w:val="000A0748"/>
    <w:rsid w:val="000A0E48"/>
    <w:rsid w:val="000A1C3A"/>
    <w:rsid w:val="000A29BE"/>
    <w:rsid w:val="000A3C2D"/>
    <w:rsid w:val="000A3E63"/>
    <w:rsid w:val="000A47FD"/>
    <w:rsid w:val="000A4EB6"/>
    <w:rsid w:val="000A5F01"/>
    <w:rsid w:val="000A6610"/>
    <w:rsid w:val="000A71D1"/>
    <w:rsid w:val="000B04A0"/>
    <w:rsid w:val="000B11D2"/>
    <w:rsid w:val="000B1E10"/>
    <w:rsid w:val="000B2FD9"/>
    <w:rsid w:val="000B311A"/>
    <w:rsid w:val="000B31B6"/>
    <w:rsid w:val="000B47C0"/>
    <w:rsid w:val="000B78DD"/>
    <w:rsid w:val="000C0C8E"/>
    <w:rsid w:val="000C2948"/>
    <w:rsid w:val="000C3582"/>
    <w:rsid w:val="000C4F73"/>
    <w:rsid w:val="000C5093"/>
    <w:rsid w:val="000C5460"/>
    <w:rsid w:val="000C5EB3"/>
    <w:rsid w:val="000C63BC"/>
    <w:rsid w:val="000C7A38"/>
    <w:rsid w:val="000C7D67"/>
    <w:rsid w:val="000D06CC"/>
    <w:rsid w:val="000D2D5B"/>
    <w:rsid w:val="000D357D"/>
    <w:rsid w:val="000D4DE6"/>
    <w:rsid w:val="000D6D01"/>
    <w:rsid w:val="000E300B"/>
    <w:rsid w:val="000E3ACE"/>
    <w:rsid w:val="000E3FC6"/>
    <w:rsid w:val="000E464B"/>
    <w:rsid w:val="000E52A3"/>
    <w:rsid w:val="000E5AC8"/>
    <w:rsid w:val="000F042A"/>
    <w:rsid w:val="000F04ED"/>
    <w:rsid w:val="000F18DA"/>
    <w:rsid w:val="000F1FFA"/>
    <w:rsid w:val="000F314C"/>
    <w:rsid w:val="000F5AE7"/>
    <w:rsid w:val="000F639D"/>
    <w:rsid w:val="000F7356"/>
    <w:rsid w:val="000F7C1B"/>
    <w:rsid w:val="00100B9C"/>
    <w:rsid w:val="00100DB1"/>
    <w:rsid w:val="00106AA9"/>
    <w:rsid w:val="00110517"/>
    <w:rsid w:val="00110BD6"/>
    <w:rsid w:val="001119DC"/>
    <w:rsid w:val="00111B86"/>
    <w:rsid w:val="00111C26"/>
    <w:rsid w:val="00112B60"/>
    <w:rsid w:val="00113BBC"/>
    <w:rsid w:val="00113EF1"/>
    <w:rsid w:val="00114B62"/>
    <w:rsid w:val="001159C9"/>
    <w:rsid w:val="00117CA9"/>
    <w:rsid w:val="00120862"/>
    <w:rsid w:val="00121994"/>
    <w:rsid w:val="0012211A"/>
    <w:rsid w:val="00122E13"/>
    <w:rsid w:val="00123D02"/>
    <w:rsid w:val="0012498C"/>
    <w:rsid w:val="00124A0F"/>
    <w:rsid w:val="00124CD0"/>
    <w:rsid w:val="00126447"/>
    <w:rsid w:val="00127DF2"/>
    <w:rsid w:val="00130717"/>
    <w:rsid w:val="00130EC7"/>
    <w:rsid w:val="0013298B"/>
    <w:rsid w:val="0013396B"/>
    <w:rsid w:val="001342E3"/>
    <w:rsid w:val="00134733"/>
    <w:rsid w:val="0013514C"/>
    <w:rsid w:val="0013583F"/>
    <w:rsid w:val="00135D5F"/>
    <w:rsid w:val="001411E6"/>
    <w:rsid w:val="001415BA"/>
    <w:rsid w:val="00142D10"/>
    <w:rsid w:val="001435E8"/>
    <w:rsid w:val="00144712"/>
    <w:rsid w:val="001472C1"/>
    <w:rsid w:val="00150844"/>
    <w:rsid w:val="00150ADC"/>
    <w:rsid w:val="00151A70"/>
    <w:rsid w:val="00151AD7"/>
    <w:rsid w:val="001529D8"/>
    <w:rsid w:val="00154C6F"/>
    <w:rsid w:val="00156185"/>
    <w:rsid w:val="00156F74"/>
    <w:rsid w:val="00157806"/>
    <w:rsid w:val="00157D64"/>
    <w:rsid w:val="0016028F"/>
    <w:rsid w:val="00160D8D"/>
    <w:rsid w:val="00161AA2"/>
    <w:rsid w:val="00164520"/>
    <w:rsid w:val="0016670D"/>
    <w:rsid w:val="00166A96"/>
    <w:rsid w:val="00170F9D"/>
    <w:rsid w:val="00171228"/>
    <w:rsid w:val="00171401"/>
    <w:rsid w:val="001720EB"/>
    <w:rsid w:val="00172248"/>
    <w:rsid w:val="0017455D"/>
    <w:rsid w:val="00175303"/>
    <w:rsid w:val="001770AF"/>
    <w:rsid w:val="001800A9"/>
    <w:rsid w:val="001823E7"/>
    <w:rsid w:val="0018272D"/>
    <w:rsid w:val="0018319A"/>
    <w:rsid w:val="001863AE"/>
    <w:rsid w:val="00187BD5"/>
    <w:rsid w:val="001901A8"/>
    <w:rsid w:val="00190B94"/>
    <w:rsid w:val="00192EE2"/>
    <w:rsid w:val="001930D1"/>
    <w:rsid w:val="001942C5"/>
    <w:rsid w:val="00195B9E"/>
    <w:rsid w:val="00196437"/>
    <w:rsid w:val="001975AB"/>
    <w:rsid w:val="001A0FCC"/>
    <w:rsid w:val="001A16DE"/>
    <w:rsid w:val="001A1A83"/>
    <w:rsid w:val="001A5D2D"/>
    <w:rsid w:val="001A7DB7"/>
    <w:rsid w:val="001B096B"/>
    <w:rsid w:val="001B0C72"/>
    <w:rsid w:val="001B5B65"/>
    <w:rsid w:val="001B5F7A"/>
    <w:rsid w:val="001B609A"/>
    <w:rsid w:val="001B6E08"/>
    <w:rsid w:val="001C0F23"/>
    <w:rsid w:val="001C1CCC"/>
    <w:rsid w:val="001C46A8"/>
    <w:rsid w:val="001D0693"/>
    <w:rsid w:val="001D0DD1"/>
    <w:rsid w:val="001D1424"/>
    <w:rsid w:val="001D4D9A"/>
    <w:rsid w:val="001D51BD"/>
    <w:rsid w:val="001D6665"/>
    <w:rsid w:val="001D684B"/>
    <w:rsid w:val="001D6ADC"/>
    <w:rsid w:val="001D7E4B"/>
    <w:rsid w:val="001E01CF"/>
    <w:rsid w:val="001E1817"/>
    <w:rsid w:val="001E2E5A"/>
    <w:rsid w:val="001E57DF"/>
    <w:rsid w:val="001E5F2E"/>
    <w:rsid w:val="001E6CAA"/>
    <w:rsid w:val="001E73FF"/>
    <w:rsid w:val="001E75A7"/>
    <w:rsid w:val="001F3D9A"/>
    <w:rsid w:val="001F7A25"/>
    <w:rsid w:val="002013D1"/>
    <w:rsid w:val="0020195B"/>
    <w:rsid w:val="00202E6D"/>
    <w:rsid w:val="00202F4B"/>
    <w:rsid w:val="002036C8"/>
    <w:rsid w:val="0020476A"/>
    <w:rsid w:val="00204BFC"/>
    <w:rsid w:val="002073B6"/>
    <w:rsid w:val="002100EE"/>
    <w:rsid w:val="00210B48"/>
    <w:rsid w:val="00211A49"/>
    <w:rsid w:val="00213BD0"/>
    <w:rsid w:val="002147AC"/>
    <w:rsid w:val="0021544D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D0B"/>
    <w:rsid w:val="00232878"/>
    <w:rsid w:val="0023318C"/>
    <w:rsid w:val="00234AE0"/>
    <w:rsid w:val="0023557F"/>
    <w:rsid w:val="00235F82"/>
    <w:rsid w:val="00237C21"/>
    <w:rsid w:val="0024200E"/>
    <w:rsid w:val="002426C3"/>
    <w:rsid w:val="002450AA"/>
    <w:rsid w:val="002456AD"/>
    <w:rsid w:val="00245F7B"/>
    <w:rsid w:val="002478B9"/>
    <w:rsid w:val="00251273"/>
    <w:rsid w:val="002514DC"/>
    <w:rsid w:val="00252A2A"/>
    <w:rsid w:val="00252AA5"/>
    <w:rsid w:val="0025355C"/>
    <w:rsid w:val="00253ADA"/>
    <w:rsid w:val="00255360"/>
    <w:rsid w:val="00256A12"/>
    <w:rsid w:val="00256CEA"/>
    <w:rsid w:val="002571B4"/>
    <w:rsid w:val="00260758"/>
    <w:rsid w:val="00260D58"/>
    <w:rsid w:val="002618E8"/>
    <w:rsid w:val="0026477F"/>
    <w:rsid w:val="00264F10"/>
    <w:rsid w:val="0026510B"/>
    <w:rsid w:val="002659BA"/>
    <w:rsid w:val="00265A92"/>
    <w:rsid w:val="0026729F"/>
    <w:rsid w:val="00270E2F"/>
    <w:rsid w:val="00271154"/>
    <w:rsid w:val="00271655"/>
    <w:rsid w:val="002748D1"/>
    <w:rsid w:val="00275451"/>
    <w:rsid w:val="002805F1"/>
    <w:rsid w:val="00282B14"/>
    <w:rsid w:val="00282CC7"/>
    <w:rsid w:val="0028334C"/>
    <w:rsid w:val="002869C1"/>
    <w:rsid w:val="00286EB4"/>
    <w:rsid w:val="002874A2"/>
    <w:rsid w:val="002921E2"/>
    <w:rsid w:val="002944E5"/>
    <w:rsid w:val="00294B6C"/>
    <w:rsid w:val="0029566D"/>
    <w:rsid w:val="00295F4B"/>
    <w:rsid w:val="002A00AC"/>
    <w:rsid w:val="002A00E8"/>
    <w:rsid w:val="002A0792"/>
    <w:rsid w:val="002A1D5F"/>
    <w:rsid w:val="002A2E6C"/>
    <w:rsid w:val="002B070A"/>
    <w:rsid w:val="002B098E"/>
    <w:rsid w:val="002B0F20"/>
    <w:rsid w:val="002B14B7"/>
    <w:rsid w:val="002B297F"/>
    <w:rsid w:val="002B38A8"/>
    <w:rsid w:val="002B5E9F"/>
    <w:rsid w:val="002B6BA0"/>
    <w:rsid w:val="002B7769"/>
    <w:rsid w:val="002C05FF"/>
    <w:rsid w:val="002C19EA"/>
    <w:rsid w:val="002C3EA5"/>
    <w:rsid w:val="002C480F"/>
    <w:rsid w:val="002C56C9"/>
    <w:rsid w:val="002C7487"/>
    <w:rsid w:val="002D1923"/>
    <w:rsid w:val="002D3BD3"/>
    <w:rsid w:val="002D48D1"/>
    <w:rsid w:val="002D5B56"/>
    <w:rsid w:val="002D6612"/>
    <w:rsid w:val="002D6BC3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59"/>
    <w:rsid w:val="002F1004"/>
    <w:rsid w:val="002F13A0"/>
    <w:rsid w:val="002F1634"/>
    <w:rsid w:val="002F1848"/>
    <w:rsid w:val="002F1D70"/>
    <w:rsid w:val="002F22FA"/>
    <w:rsid w:val="002F4C2F"/>
    <w:rsid w:val="002F73BA"/>
    <w:rsid w:val="003005B3"/>
    <w:rsid w:val="0030165B"/>
    <w:rsid w:val="00302340"/>
    <w:rsid w:val="00303C9C"/>
    <w:rsid w:val="003045B0"/>
    <w:rsid w:val="00305A67"/>
    <w:rsid w:val="00306B80"/>
    <w:rsid w:val="00307038"/>
    <w:rsid w:val="00310492"/>
    <w:rsid w:val="00313238"/>
    <w:rsid w:val="003132BE"/>
    <w:rsid w:val="00320502"/>
    <w:rsid w:val="00320577"/>
    <w:rsid w:val="0032266D"/>
    <w:rsid w:val="00325E2F"/>
    <w:rsid w:val="003265DB"/>
    <w:rsid w:val="003269A9"/>
    <w:rsid w:val="00327DF9"/>
    <w:rsid w:val="0033073E"/>
    <w:rsid w:val="00331533"/>
    <w:rsid w:val="003319D0"/>
    <w:rsid w:val="0033240F"/>
    <w:rsid w:val="00333875"/>
    <w:rsid w:val="00334948"/>
    <w:rsid w:val="0033604C"/>
    <w:rsid w:val="003407F0"/>
    <w:rsid w:val="00340EB2"/>
    <w:rsid w:val="00343C28"/>
    <w:rsid w:val="00344A3D"/>
    <w:rsid w:val="00344A41"/>
    <w:rsid w:val="0034575E"/>
    <w:rsid w:val="00345C65"/>
    <w:rsid w:val="00350CC2"/>
    <w:rsid w:val="00351206"/>
    <w:rsid w:val="0035203F"/>
    <w:rsid w:val="0035212E"/>
    <w:rsid w:val="003528A1"/>
    <w:rsid w:val="00352A72"/>
    <w:rsid w:val="0035371B"/>
    <w:rsid w:val="0035371E"/>
    <w:rsid w:val="00353FEB"/>
    <w:rsid w:val="00356987"/>
    <w:rsid w:val="00356FB0"/>
    <w:rsid w:val="00361DA5"/>
    <w:rsid w:val="00361F1D"/>
    <w:rsid w:val="00363A74"/>
    <w:rsid w:val="00364392"/>
    <w:rsid w:val="003652D5"/>
    <w:rsid w:val="00365E61"/>
    <w:rsid w:val="00365EFF"/>
    <w:rsid w:val="00365F51"/>
    <w:rsid w:val="0036625D"/>
    <w:rsid w:val="00373E05"/>
    <w:rsid w:val="00375692"/>
    <w:rsid w:val="00375DB6"/>
    <w:rsid w:val="0038012F"/>
    <w:rsid w:val="00380BAB"/>
    <w:rsid w:val="00381A0E"/>
    <w:rsid w:val="00385D41"/>
    <w:rsid w:val="0038751C"/>
    <w:rsid w:val="0038778B"/>
    <w:rsid w:val="00394451"/>
    <w:rsid w:val="0039584A"/>
    <w:rsid w:val="00395F8B"/>
    <w:rsid w:val="0039625A"/>
    <w:rsid w:val="00396E93"/>
    <w:rsid w:val="003A4828"/>
    <w:rsid w:val="003A64CB"/>
    <w:rsid w:val="003A6622"/>
    <w:rsid w:val="003A673F"/>
    <w:rsid w:val="003B0345"/>
    <w:rsid w:val="003B0980"/>
    <w:rsid w:val="003B145D"/>
    <w:rsid w:val="003B2612"/>
    <w:rsid w:val="003B4678"/>
    <w:rsid w:val="003B4F77"/>
    <w:rsid w:val="003B502C"/>
    <w:rsid w:val="003C218A"/>
    <w:rsid w:val="003C48DF"/>
    <w:rsid w:val="003C4D7D"/>
    <w:rsid w:val="003C6B35"/>
    <w:rsid w:val="003C7C21"/>
    <w:rsid w:val="003D0632"/>
    <w:rsid w:val="003D0E4F"/>
    <w:rsid w:val="003D650C"/>
    <w:rsid w:val="003D6713"/>
    <w:rsid w:val="003D6E90"/>
    <w:rsid w:val="003D7C37"/>
    <w:rsid w:val="003E110D"/>
    <w:rsid w:val="003E3529"/>
    <w:rsid w:val="003E3D02"/>
    <w:rsid w:val="003E3E6A"/>
    <w:rsid w:val="003E44CC"/>
    <w:rsid w:val="003E55BC"/>
    <w:rsid w:val="003E6EAF"/>
    <w:rsid w:val="003F0088"/>
    <w:rsid w:val="003F03C6"/>
    <w:rsid w:val="003F1ACF"/>
    <w:rsid w:val="003F2DDE"/>
    <w:rsid w:val="003F314F"/>
    <w:rsid w:val="003F4721"/>
    <w:rsid w:val="003F4BFB"/>
    <w:rsid w:val="003F5060"/>
    <w:rsid w:val="003F5829"/>
    <w:rsid w:val="003F5DEE"/>
    <w:rsid w:val="003F63DA"/>
    <w:rsid w:val="003F6598"/>
    <w:rsid w:val="003F677C"/>
    <w:rsid w:val="003F7090"/>
    <w:rsid w:val="00401EE0"/>
    <w:rsid w:val="00402930"/>
    <w:rsid w:val="004043AD"/>
    <w:rsid w:val="0040583E"/>
    <w:rsid w:val="00405A6A"/>
    <w:rsid w:val="00406D2C"/>
    <w:rsid w:val="00406D7E"/>
    <w:rsid w:val="0041120A"/>
    <w:rsid w:val="00411935"/>
    <w:rsid w:val="0041337A"/>
    <w:rsid w:val="00415D4A"/>
    <w:rsid w:val="004162F9"/>
    <w:rsid w:val="00416A72"/>
    <w:rsid w:val="00420AE1"/>
    <w:rsid w:val="00421BE3"/>
    <w:rsid w:val="0042361D"/>
    <w:rsid w:val="0042728A"/>
    <w:rsid w:val="004276DC"/>
    <w:rsid w:val="0042779B"/>
    <w:rsid w:val="004324A7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BCC"/>
    <w:rsid w:val="00443CA1"/>
    <w:rsid w:val="00444C25"/>
    <w:rsid w:val="0044532C"/>
    <w:rsid w:val="00445725"/>
    <w:rsid w:val="00447BB2"/>
    <w:rsid w:val="004527ED"/>
    <w:rsid w:val="00455387"/>
    <w:rsid w:val="00455AAB"/>
    <w:rsid w:val="00457317"/>
    <w:rsid w:val="004611E1"/>
    <w:rsid w:val="0046165B"/>
    <w:rsid w:val="00462460"/>
    <w:rsid w:val="004624E9"/>
    <w:rsid w:val="00462A13"/>
    <w:rsid w:val="00462BE4"/>
    <w:rsid w:val="00462F2A"/>
    <w:rsid w:val="00463986"/>
    <w:rsid w:val="00463AC5"/>
    <w:rsid w:val="00463BA8"/>
    <w:rsid w:val="004641AA"/>
    <w:rsid w:val="00464835"/>
    <w:rsid w:val="004654D3"/>
    <w:rsid w:val="00470218"/>
    <w:rsid w:val="004710C3"/>
    <w:rsid w:val="00471B9D"/>
    <w:rsid w:val="0047206A"/>
    <w:rsid w:val="00474978"/>
    <w:rsid w:val="0047499A"/>
    <w:rsid w:val="00474C78"/>
    <w:rsid w:val="00475AAE"/>
    <w:rsid w:val="004801E7"/>
    <w:rsid w:val="00480934"/>
    <w:rsid w:val="0048130C"/>
    <w:rsid w:val="00482FA5"/>
    <w:rsid w:val="00484E6E"/>
    <w:rsid w:val="00485819"/>
    <w:rsid w:val="00486733"/>
    <w:rsid w:val="00487D31"/>
    <w:rsid w:val="00490000"/>
    <w:rsid w:val="00491A7B"/>
    <w:rsid w:val="00491F60"/>
    <w:rsid w:val="00492026"/>
    <w:rsid w:val="004920C5"/>
    <w:rsid w:val="0049263C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5FE"/>
    <w:rsid w:val="004A5804"/>
    <w:rsid w:val="004A794E"/>
    <w:rsid w:val="004B0DC1"/>
    <w:rsid w:val="004B142E"/>
    <w:rsid w:val="004B3D26"/>
    <w:rsid w:val="004B44C1"/>
    <w:rsid w:val="004B623F"/>
    <w:rsid w:val="004B6EA7"/>
    <w:rsid w:val="004C11DE"/>
    <w:rsid w:val="004C13DB"/>
    <w:rsid w:val="004C3F40"/>
    <w:rsid w:val="004C5B6F"/>
    <w:rsid w:val="004D00EF"/>
    <w:rsid w:val="004D10CC"/>
    <w:rsid w:val="004D14AD"/>
    <w:rsid w:val="004D2E74"/>
    <w:rsid w:val="004D376C"/>
    <w:rsid w:val="004D3864"/>
    <w:rsid w:val="004D58CD"/>
    <w:rsid w:val="004D5EEF"/>
    <w:rsid w:val="004D75B0"/>
    <w:rsid w:val="004D7DC5"/>
    <w:rsid w:val="004E0EC5"/>
    <w:rsid w:val="004E109A"/>
    <w:rsid w:val="004E3B94"/>
    <w:rsid w:val="004E6410"/>
    <w:rsid w:val="004E7C93"/>
    <w:rsid w:val="004F0D4D"/>
    <w:rsid w:val="004F364F"/>
    <w:rsid w:val="004F3C8F"/>
    <w:rsid w:val="00500939"/>
    <w:rsid w:val="00501FC7"/>
    <w:rsid w:val="005025F4"/>
    <w:rsid w:val="00502AAF"/>
    <w:rsid w:val="0050422A"/>
    <w:rsid w:val="005067E0"/>
    <w:rsid w:val="00510B62"/>
    <w:rsid w:val="00511F85"/>
    <w:rsid w:val="00516673"/>
    <w:rsid w:val="00516CE6"/>
    <w:rsid w:val="00517B69"/>
    <w:rsid w:val="00520368"/>
    <w:rsid w:val="00523227"/>
    <w:rsid w:val="00523246"/>
    <w:rsid w:val="005237FD"/>
    <w:rsid w:val="005246B4"/>
    <w:rsid w:val="00525F8B"/>
    <w:rsid w:val="0052651B"/>
    <w:rsid w:val="00530F1E"/>
    <w:rsid w:val="00531764"/>
    <w:rsid w:val="00532F0D"/>
    <w:rsid w:val="00533C06"/>
    <w:rsid w:val="00533E30"/>
    <w:rsid w:val="0053401E"/>
    <w:rsid w:val="00535AAB"/>
    <w:rsid w:val="0053649B"/>
    <w:rsid w:val="00540B8E"/>
    <w:rsid w:val="00542636"/>
    <w:rsid w:val="00543DF0"/>
    <w:rsid w:val="00544AB5"/>
    <w:rsid w:val="0054545F"/>
    <w:rsid w:val="00546D89"/>
    <w:rsid w:val="00547AFC"/>
    <w:rsid w:val="0055022A"/>
    <w:rsid w:val="005503E5"/>
    <w:rsid w:val="005513B0"/>
    <w:rsid w:val="00551B25"/>
    <w:rsid w:val="00553B5B"/>
    <w:rsid w:val="005542AD"/>
    <w:rsid w:val="00556F73"/>
    <w:rsid w:val="005576B5"/>
    <w:rsid w:val="005576BE"/>
    <w:rsid w:val="00557AD3"/>
    <w:rsid w:val="00560217"/>
    <w:rsid w:val="005603B3"/>
    <w:rsid w:val="00561787"/>
    <w:rsid w:val="0056193C"/>
    <w:rsid w:val="00561EF9"/>
    <w:rsid w:val="0056381E"/>
    <w:rsid w:val="005649D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03FA"/>
    <w:rsid w:val="005806DC"/>
    <w:rsid w:val="005819D2"/>
    <w:rsid w:val="00582374"/>
    <w:rsid w:val="00582DF8"/>
    <w:rsid w:val="00583800"/>
    <w:rsid w:val="00583C6A"/>
    <w:rsid w:val="00584BC6"/>
    <w:rsid w:val="0058559D"/>
    <w:rsid w:val="005856F2"/>
    <w:rsid w:val="00585A3B"/>
    <w:rsid w:val="00586D7A"/>
    <w:rsid w:val="00590FA0"/>
    <w:rsid w:val="00593EFC"/>
    <w:rsid w:val="00594F73"/>
    <w:rsid w:val="0059537A"/>
    <w:rsid w:val="005957D1"/>
    <w:rsid w:val="00597215"/>
    <w:rsid w:val="005A0FD0"/>
    <w:rsid w:val="005A1468"/>
    <w:rsid w:val="005A4536"/>
    <w:rsid w:val="005A5AF2"/>
    <w:rsid w:val="005A5D21"/>
    <w:rsid w:val="005A742F"/>
    <w:rsid w:val="005A7C78"/>
    <w:rsid w:val="005B0193"/>
    <w:rsid w:val="005B0873"/>
    <w:rsid w:val="005B4F6C"/>
    <w:rsid w:val="005B7055"/>
    <w:rsid w:val="005C0460"/>
    <w:rsid w:val="005C4763"/>
    <w:rsid w:val="005C4DB7"/>
    <w:rsid w:val="005C5DC8"/>
    <w:rsid w:val="005C632C"/>
    <w:rsid w:val="005C661E"/>
    <w:rsid w:val="005C7258"/>
    <w:rsid w:val="005D05C6"/>
    <w:rsid w:val="005D1E5B"/>
    <w:rsid w:val="005D1E9E"/>
    <w:rsid w:val="005D23BC"/>
    <w:rsid w:val="005D48C8"/>
    <w:rsid w:val="005D58CE"/>
    <w:rsid w:val="005D6DB4"/>
    <w:rsid w:val="005E14F6"/>
    <w:rsid w:val="005E2760"/>
    <w:rsid w:val="005E2D13"/>
    <w:rsid w:val="005E350B"/>
    <w:rsid w:val="005E4648"/>
    <w:rsid w:val="005E47DE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5B1"/>
    <w:rsid w:val="005F66CC"/>
    <w:rsid w:val="005F75E5"/>
    <w:rsid w:val="005F7DEC"/>
    <w:rsid w:val="005F7E35"/>
    <w:rsid w:val="00600AA5"/>
    <w:rsid w:val="0060126D"/>
    <w:rsid w:val="0060146A"/>
    <w:rsid w:val="00601974"/>
    <w:rsid w:val="00601CE8"/>
    <w:rsid w:val="00602DA5"/>
    <w:rsid w:val="006045AF"/>
    <w:rsid w:val="00606B1E"/>
    <w:rsid w:val="006105E3"/>
    <w:rsid w:val="00610B98"/>
    <w:rsid w:val="006115E2"/>
    <w:rsid w:val="00613D08"/>
    <w:rsid w:val="00613E53"/>
    <w:rsid w:val="0061491F"/>
    <w:rsid w:val="00615FC7"/>
    <w:rsid w:val="00620DEF"/>
    <w:rsid w:val="00621203"/>
    <w:rsid w:val="0062204C"/>
    <w:rsid w:val="00623188"/>
    <w:rsid w:val="00623ECD"/>
    <w:rsid w:val="00626DD6"/>
    <w:rsid w:val="0062719D"/>
    <w:rsid w:val="00627316"/>
    <w:rsid w:val="00627847"/>
    <w:rsid w:val="00627FDF"/>
    <w:rsid w:val="00630296"/>
    <w:rsid w:val="006331E3"/>
    <w:rsid w:val="006336AD"/>
    <w:rsid w:val="00633776"/>
    <w:rsid w:val="00633C62"/>
    <w:rsid w:val="00633D2D"/>
    <w:rsid w:val="00634FF9"/>
    <w:rsid w:val="006361F0"/>
    <w:rsid w:val="006372A4"/>
    <w:rsid w:val="006375ED"/>
    <w:rsid w:val="006378AB"/>
    <w:rsid w:val="0064029E"/>
    <w:rsid w:val="00640861"/>
    <w:rsid w:val="00640A36"/>
    <w:rsid w:val="00640BDC"/>
    <w:rsid w:val="0064171C"/>
    <w:rsid w:val="00644986"/>
    <w:rsid w:val="00646004"/>
    <w:rsid w:val="00646AD1"/>
    <w:rsid w:val="006473BA"/>
    <w:rsid w:val="0065046C"/>
    <w:rsid w:val="00650E4E"/>
    <w:rsid w:val="0065458A"/>
    <w:rsid w:val="00654D9D"/>
    <w:rsid w:val="006572FA"/>
    <w:rsid w:val="0065764C"/>
    <w:rsid w:val="00657DDD"/>
    <w:rsid w:val="00660C02"/>
    <w:rsid w:val="0066104E"/>
    <w:rsid w:val="0066130F"/>
    <w:rsid w:val="0066131A"/>
    <w:rsid w:val="00662CE0"/>
    <w:rsid w:val="0066398B"/>
    <w:rsid w:val="006641F4"/>
    <w:rsid w:val="006645D9"/>
    <w:rsid w:val="00664D28"/>
    <w:rsid w:val="006650FB"/>
    <w:rsid w:val="006657BF"/>
    <w:rsid w:val="00665EBC"/>
    <w:rsid w:val="0066711B"/>
    <w:rsid w:val="00667637"/>
    <w:rsid w:val="00667BE8"/>
    <w:rsid w:val="00670727"/>
    <w:rsid w:val="0067150D"/>
    <w:rsid w:val="00673A29"/>
    <w:rsid w:val="00673AD9"/>
    <w:rsid w:val="006766F4"/>
    <w:rsid w:val="00676E3C"/>
    <w:rsid w:val="006777B6"/>
    <w:rsid w:val="00681341"/>
    <w:rsid w:val="0068178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2B9"/>
    <w:rsid w:val="00697D60"/>
    <w:rsid w:val="006A0628"/>
    <w:rsid w:val="006A27BC"/>
    <w:rsid w:val="006A27D6"/>
    <w:rsid w:val="006A3A42"/>
    <w:rsid w:val="006A41B4"/>
    <w:rsid w:val="006A5FD7"/>
    <w:rsid w:val="006A62B0"/>
    <w:rsid w:val="006B143E"/>
    <w:rsid w:val="006B30E3"/>
    <w:rsid w:val="006B3A64"/>
    <w:rsid w:val="006B5E72"/>
    <w:rsid w:val="006B6205"/>
    <w:rsid w:val="006B7CCB"/>
    <w:rsid w:val="006C058F"/>
    <w:rsid w:val="006C063B"/>
    <w:rsid w:val="006C275F"/>
    <w:rsid w:val="006C3252"/>
    <w:rsid w:val="006C7A04"/>
    <w:rsid w:val="006D158F"/>
    <w:rsid w:val="006D1B83"/>
    <w:rsid w:val="006D1BE7"/>
    <w:rsid w:val="006D5C98"/>
    <w:rsid w:val="006D6FCC"/>
    <w:rsid w:val="006E0A9F"/>
    <w:rsid w:val="006E12D5"/>
    <w:rsid w:val="006E26E8"/>
    <w:rsid w:val="006E36B0"/>
    <w:rsid w:val="006E4493"/>
    <w:rsid w:val="006E76B0"/>
    <w:rsid w:val="006E76F6"/>
    <w:rsid w:val="006F08D4"/>
    <w:rsid w:val="006F3318"/>
    <w:rsid w:val="006F39CF"/>
    <w:rsid w:val="006F4894"/>
    <w:rsid w:val="006F58F5"/>
    <w:rsid w:val="006F676D"/>
    <w:rsid w:val="006F7FA8"/>
    <w:rsid w:val="00700672"/>
    <w:rsid w:val="00701319"/>
    <w:rsid w:val="00701A95"/>
    <w:rsid w:val="007027E5"/>
    <w:rsid w:val="00702F7C"/>
    <w:rsid w:val="007041E6"/>
    <w:rsid w:val="00706127"/>
    <w:rsid w:val="007077CD"/>
    <w:rsid w:val="00712A93"/>
    <w:rsid w:val="00714CF1"/>
    <w:rsid w:val="00715CEB"/>
    <w:rsid w:val="00717A58"/>
    <w:rsid w:val="0072181E"/>
    <w:rsid w:val="00722924"/>
    <w:rsid w:val="00723D30"/>
    <w:rsid w:val="00723F1A"/>
    <w:rsid w:val="00723F6B"/>
    <w:rsid w:val="00724C5B"/>
    <w:rsid w:val="00726974"/>
    <w:rsid w:val="007270DB"/>
    <w:rsid w:val="007306BB"/>
    <w:rsid w:val="007319AD"/>
    <w:rsid w:val="00731AB4"/>
    <w:rsid w:val="00732257"/>
    <w:rsid w:val="00732C4F"/>
    <w:rsid w:val="00734DDB"/>
    <w:rsid w:val="00735083"/>
    <w:rsid w:val="00736462"/>
    <w:rsid w:val="007400EB"/>
    <w:rsid w:val="00740240"/>
    <w:rsid w:val="0074037C"/>
    <w:rsid w:val="00740658"/>
    <w:rsid w:val="00740BA6"/>
    <w:rsid w:val="00740FC9"/>
    <w:rsid w:val="00742895"/>
    <w:rsid w:val="00742B72"/>
    <w:rsid w:val="00742BC9"/>
    <w:rsid w:val="00743251"/>
    <w:rsid w:val="007436B5"/>
    <w:rsid w:val="00743D5F"/>
    <w:rsid w:val="00744DC0"/>
    <w:rsid w:val="00745634"/>
    <w:rsid w:val="007469FC"/>
    <w:rsid w:val="00746A92"/>
    <w:rsid w:val="00747E04"/>
    <w:rsid w:val="00747EAE"/>
    <w:rsid w:val="00750DEB"/>
    <w:rsid w:val="007515C1"/>
    <w:rsid w:val="007528B2"/>
    <w:rsid w:val="00753BFA"/>
    <w:rsid w:val="00754C7E"/>
    <w:rsid w:val="007557BC"/>
    <w:rsid w:val="007608F0"/>
    <w:rsid w:val="007612A8"/>
    <w:rsid w:val="00762976"/>
    <w:rsid w:val="00762CBC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0646"/>
    <w:rsid w:val="00781A2C"/>
    <w:rsid w:val="00781F5F"/>
    <w:rsid w:val="00782B3A"/>
    <w:rsid w:val="00782C9C"/>
    <w:rsid w:val="00783479"/>
    <w:rsid w:val="00783696"/>
    <w:rsid w:val="00783D3E"/>
    <w:rsid w:val="00784B5D"/>
    <w:rsid w:val="00785DB0"/>
    <w:rsid w:val="00787A03"/>
    <w:rsid w:val="00791384"/>
    <w:rsid w:val="00791D74"/>
    <w:rsid w:val="00791E5B"/>
    <w:rsid w:val="007931D7"/>
    <w:rsid w:val="007949B4"/>
    <w:rsid w:val="0079708B"/>
    <w:rsid w:val="0079779E"/>
    <w:rsid w:val="007A4670"/>
    <w:rsid w:val="007A6DC9"/>
    <w:rsid w:val="007A71B5"/>
    <w:rsid w:val="007A797E"/>
    <w:rsid w:val="007B1216"/>
    <w:rsid w:val="007B255F"/>
    <w:rsid w:val="007B55C5"/>
    <w:rsid w:val="007B6BAA"/>
    <w:rsid w:val="007C0579"/>
    <w:rsid w:val="007C0E7E"/>
    <w:rsid w:val="007C10CC"/>
    <w:rsid w:val="007C18E7"/>
    <w:rsid w:val="007C250E"/>
    <w:rsid w:val="007C2CD7"/>
    <w:rsid w:val="007C3EBC"/>
    <w:rsid w:val="007C3ECB"/>
    <w:rsid w:val="007C579C"/>
    <w:rsid w:val="007D009C"/>
    <w:rsid w:val="007D0643"/>
    <w:rsid w:val="007D2162"/>
    <w:rsid w:val="007D5A53"/>
    <w:rsid w:val="007D62D9"/>
    <w:rsid w:val="007D73C9"/>
    <w:rsid w:val="007E1FB4"/>
    <w:rsid w:val="007E28C1"/>
    <w:rsid w:val="007E66A1"/>
    <w:rsid w:val="007F0420"/>
    <w:rsid w:val="007F0840"/>
    <w:rsid w:val="007F2086"/>
    <w:rsid w:val="007F67A7"/>
    <w:rsid w:val="007F69BA"/>
    <w:rsid w:val="007F6F0A"/>
    <w:rsid w:val="007F706F"/>
    <w:rsid w:val="007F7362"/>
    <w:rsid w:val="0080061B"/>
    <w:rsid w:val="00800773"/>
    <w:rsid w:val="00801004"/>
    <w:rsid w:val="0080111C"/>
    <w:rsid w:val="00801EFD"/>
    <w:rsid w:val="00804B80"/>
    <w:rsid w:val="008058BC"/>
    <w:rsid w:val="0080614B"/>
    <w:rsid w:val="00806D7C"/>
    <w:rsid w:val="00807854"/>
    <w:rsid w:val="00810545"/>
    <w:rsid w:val="00811012"/>
    <w:rsid w:val="00811A90"/>
    <w:rsid w:val="00813846"/>
    <w:rsid w:val="00814325"/>
    <w:rsid w:val="00815C4F"/>
    <w:rsid w:val="008161C2"/>
    <w:rsid w:val="00816942"/>
    <w:rsid w:val="0081738B"/>
    <w:rsid w:val="0082026A"/>
    <w:rsid w:val="008219BA"/>
    <w:rsid w:val="00821F92"/>
    <w:rsid w:val="00824136"/>
    <w:rsid w:val="00826075"/>
    <w:rsid w:val="00826373"/>
    <w:rsid w:val="008267CA"/>
    <w:rsid w:val="00826A19"/>
    <w:rsid w:val="00830AA9"/>
    <w:rsid w:val="008312D4"/>
    <w:rsid w:val="008317C8"/>
    <w:rsid w:val="00831915"/>
    <w:rsid w:val="0083305B"/>
    <w:rsid w:val="00834578"/>
    <w:rsid w:val="0083648B"/>
    <w:rsid w:val="00836500"/>
    <w:rsid w:val="008367C0"/>
    <w:rsid w:val="008413CD"/>
    <w:rsid w:val="00841EAB"/>
    <w:rsid w:val="00844977"/>
    <w:rsid w:val="00844B97"/>
    <w:rsid w:val="00844E05"/>
    <w:rsid w:val="00845BB4"/>
    <w:rsid w:val="008464F9"/>
    <w:rsid w:val="008469C2"/>
    <w:rsid w:val="00847003"/>
    <w:rsid w:val="008470D5"/>
    <w:rsid w:val="00847302"/>
    <w:rsid w:val="00847BF3"/>
    <w:rsid w:val="00852A15"/>
    <w:rsid w:val="00853512"/>
    <w:rsid w:val="00853D0B"/>
    <w:rsid w:val="00854B16"/>
    <w:rsid w:val="00854BCA"/>
    <w:rsid w:val="00855A43"/>
    <w:rsid w:val="008561BF"/>
    <w:rsid w:val="00861E25"/>
    <w:rsid w:val="008633B6"/>
    <w:rsid w:val="00866481"/>
    <w:rsid w:val="0087076A"/>
    <w:rsid w:val="00870853"/>
    <w:rsid w:val="008731E4"/>
    <w:rsid w:val="008745D6"/>
    <w:rsid w:val="0087463D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16E6"/>
    <w:rsid w:val="0089198B"/>
    <w:rsid w:val="008928B6"/>
    <w:rsid w:val="00894CA0"/>
    <w:rsid w:val="00895461"/>
    <w:rsid w:val="008957B1"/>
    <w:rsid w:val="00896190"/>
    <w:rsid w:val="00897C5E"/>
    <w:rsid w:val="008A0656"/>
    <w:rsid w:val="008A1517"/>
    <w:rsid w:val="008A2307"/>
    <w:rsid w:val="008A29B9"/>
    <w:rsid w:val="008A2B8F"/>
    <w:rsid w:val="008A2BB7"/>
    <w:rsid w:val="008A2BC9"/>
    <w:rsid w:val="008A4000"/>
    <w:rsid w:val="008A4A65"/>
    <w:rsid w:val="008A6621"/>
    <w:rsid w:val="008A70A5"/>
    <w:rsid w:val="008B1B32"/>
    <w:rsid w:val="008B201B"/>
    <w:rsid w:val="008B2ADB"/>
    <w:rsid w:val="008B2B1C"/>
    <w:rsid w:val="008B2D64"/>
    <w:rsid w:val="008B368E"/>
    <w:rsid w:val="008B38A4"/>
    <w:rsid w:val="008B38EE"/>
    <w:rsid w:val="008B4F2F"/>
    <w:rsid w:val="008B55B4"/>
    <w:rsid w:val="008B6A00"/>
    <w:rsid w:val="008C0269"/>
    <w:rsid w:val="008C076F"/>
    <w:rsid w:val="008C257C"/>
    <w:rsid w:val="008C5756"/>
    <w:rsid w:val="008C72F2"/>
    <w:rsid w:val="008D0FDE"/>
    <w:rsid w:val="008D1051"/>
    <w:rsid w:val="008D22BE"/>
    <w:rsid w:val="008D6417"/>
    <w:rsid w:val="008D7542"/>
    <w:rsid w:val="008D7F7C"/>
    <w:rsid w:val="008E0835"/>
    <w:rsid w:val="008E16ED"/>
    <w:rsid w:val="008E280E"/>
    <w:rsid w:val="008E2BA7"/>
    <w:rsid w:val="008E3435"/>
    <w:rsid w:val="008E5642"/>
    <w:rsid w:val="008E5CC2"/>
    <w:rsid w:val="008F2E20"/>
    <w:rsid w:val="008F627B"/>
    <w:rsid w:val="0090061C"/>
    <w:rsid w:val="00900BC5"/>
    <w:rsid w:val="00900D9B"/>
    <w:rsid w:val="00901036"/>
    <w:rsid w:val="009011A0"/>
    <w:rsid w:val="00903037"/>
    <w:rsid w:val="009040F9"/>
    <w:rsid w:val="00904136"/>
    <w:rsid w:val="00904309"/>
    <w:rsid w:val="0090479F"/>
    <w:rsid w:val="00904BFC"/>
    <w:rsid w:val="009052D8"/>
    <w:rsid w:val="009064FA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646E"/>
    <w:rsid w:val="00920480"/>
    <w:rsid w:val="00920D01"/>
    <w:rsid w:val="00921638"/>
    <w:rsid w:val="00923B20"/>
    <w:rsid w:val="00926224"/>
    <w:rsid w:val="009263DF"/>
    <w:rsid w:val="00927338"/>
    <w:rsid w:val="0093018E"/>
    <w:rsid w:val="00931206"/>
    <w:rsid w:val="0093167C"/>
    <w:rsid w:val="009328B6"/>
    <w:rsid w:val="00932A3A"/>
    <w:rsid w:val="00933B64"/>
    <w:rsid w:val="00933DBA"/>
    <w:rsid w:val="00934143"/>
    <w:rsid w:val="00934679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537DB"/>
    <w:rsid w:val="00953AFB"/>
    <w:rsid w:val="00955BDA"/>
    <w:rsid w:val="00960EF4"/>
    <w:rsid w:val="0096328F"/>
    <w:rsid w:val="00965F52"/>
    <w:rsid w:val="0096737A"/>
    <w:rsid w:val="00971DD2"/>
    <w:rsid w:val="0097392A"/>
    <w:rsid w:val="00973970"/>
    <w:rsid w:val="00973D15"/>
    <w:rsid w:val="009749C0"/>
    <w:rsid w:val="00974E8B"/>
    <w:rsid w:val="009766BD"/>
    <w:rsid w:val="00977C0A"/>
    <w:rsid w:val="00977E1A"/>
    <w:rsid w:val="00982FF8"/>
    <w:rsid w:val="00984E8B"/>
    <w:rsid w:val="0098512F"/>
    <w:rsid w:val="0098550A"/>
    <w:rsid w:val="00985728"/>
    <w:rsid w:val="009857DD"/>
    <w:rsid w:val="009859AB"/>
    <w:rsid w:val="00987A4E"/>
    <w:rsid w:val="009902BD"/>
    <w:rsid w:val="009907A9"/>
    <w:rsid w:val="00990ADA"/>
    <w:rsid w:val="00993DE4"/>
    <w:rsid w:val="00993F38"/>
    <w:rsid w:val="00994A4B"/>
    <w:rsid w:val="0099606C"/>
    <w:rsid w:val="00996D25"/>
    <w:rsid w:val="009A043C"/>
    <w:rsid w:val="009A12ED"/>
    <w:rsid w:val="009A201F"/>
    <w:rsid w:val="009A62FC"/>
    <w:rsid w:val="009A6989"/>
    <w:rsid w:val="009A72EB"/>
    <w:rsid w:val="009A7493"/>
    <w:rsid w:val="009B105E"/>
    <w:rsid w:val="009B1133"/>
    <w:rsid w:val="009B2B4E"/>
    <w:rsid w:val="009B396E"/>
    <w:rsid w:val="009B39A2"/>
    <w:rsid w:val="009B3B97"/>
    <w:rsid w:val="009B49F3"/>
    <w:rsid w:val="009B4E5D"/>
    <w:rsid w:val="009B567A"/>
    <w:rsid w:val="009B5806"/>
    <w:rsid w:val="009C0C12"/>
    <w:rsid w:val="009C29C5"/>
    <w:rsid w:val="009C4680"/>
    <w:rsid w:val="009C5426"/>
    <w:rsid w:val="009C5C75"/>
    <w:rsid w:val="009D1C23"/>
    <w:rsid w:val="009D2A29"/>
    <w:rsid w:val="009D417F"/>
    <w:rsid w:val="009D53AF"/>
    <w:rsid w:val="009D59DE"/>
    <w:rsid w:val="009D6885"/>
    <w:rsid w:val="009D7A03"/>
    <w:rsid w:val="009E1362"/>
    <w:rsid w:val="009E1848"/>
    <w:rsid w:val="009E1BC1"/>
    <w:rsid w:val="009E1F6B"/>
    <w:rsid w:val="009E3E77"/>
    <w:rsid w:val="009E4DF2"/>
    <w:rsid w:val="009E6273"/>
    <w:rsid w:val="009E6D60"/>
    <w:rsid w:val="009F08A6"/>
    <w:rsid w:val="009F1918"/>
    <w:rsid w:val="009F2D0A"/>
    <w:rsid w:val="009F3962"/>
    <w:rsid w:val="009F6ED7"/>
    <w:rsid w:val="009F707B"/>
    <w:rsid w:val="009F7401"/>
    <w:rsid w:val="009F78F2"/>
    <w:rsid w:val="00A01C9B"/>
    <w:rsid w:val="00A065F5"/>
    <w:rsid w:val="00A10430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357E"/>
    <w:rsid w:val="00A23A31"/>
    <w:rsid w:val="00A23D1B"/>
    <w:rsid w:val="00A24629"/>
    <w:rsid w:val="00A25A27"/>
    <w:rsid w:val="00A27485"/>
    <w:rsid w:val="00A30038"/>
    <w:rsid w:val="00A309E8"/>
    <w:rsid w:val="00A3514D"/>
    <w:rsid w:val="00A36010"/>
    <w:rsid w:val="00A4051D"/>
    <w:rsid w:val="00A40F98"/>
    <w:rsid w:val="00A41EF2"/>
    <w:rsid w:val="00A42619"/>
    <w:rsid w:val="00A4267D"/>
    <w:rsid w:val="00A427B2"/>
    <w:rsid w:val="00A43DEB"/>
    <w:rsid w:val="00A44DDA"/>
    <w:rsid w:val="00A46277"/>
    <w:rsid w:val="00A47D62"/>
    <w:rsid w:val="00A53CDD"/>
    <w:rsid w:val="00A53EE6"/>
    <w:rsid w:val="00A5538A"/>
    <w:rsid w:val="00A564AE"/>
    <w:rsid w:val="00A57A4A"/>
    <w:rsid w:val="00A57C0E"/>
    <w:rsid w:val="00A61278"/>
    <w:rsid w:val="00A614EB"/>
    <w:rsid w:val="00A62886"/>
    <w:rsid w:val="00A63E79"/>
    <w:rsid w:val="00A6719E"/>
    <w:rsid w:val="00A672B2"/>
    <w:rsid w:val="00A74C51"/>
    <w:rsid w:val="00A75F3A"/>
    <w:rsid w:val="00A77682"/>
    <w:rsid w:val="00A80C19"/>
    <w:rsid w:val="00A8195A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6CE2"/>
    <w:rsid w:val="00A97543"/>
    <w:rsid w:val="00AA0DFE"/>
    <w:rsid w:val="00AA1EB9"/>
    <w:rsid w:val="00AA2502"/>
    <w:rsid w:val="00AA262E"/>
    <w:rsid w:val="00AA2AC5"/>
    <w:rsid w:val="00AA3174"/>
    <w:rsid w:val="00AA3A41"/>
    <w:rsid w:val="00AA5AE9"/>
    <w:rsid w:val="00AA6D45"/>
    <w:rsid w:val="00AA7585"/>
    <w:rsid w:val="00AA7DED"/>
    <w:rsid w:val="00AB031D"/>
    <w:rsid w:val="00AB08A6"/>
    <w:rsid w:val="00AB18B3"/>
    <w:rsid w:val="00AB1A1E"/>
    <w:rsid w:val="00AB1D9D"/>
    <w:rsid w:val="00AB236C"/>
    <w:rsid w:val="00AB6CEF"/>
    <w:rsid w:val="00AC0054"/>
    <w:rsid w:val="00AC06B6"/>
    <w:rsid w:val="00AC0947"/>
    <w:rsid w:val="00AC2B37"/>
    <w:rsid w:val="00AC44B5"/>
    <w:rsid w:val="00AC4C6A"/>
    <w:rsid w:val="00AC7830"/>
    <w:rsid w:val="00AD1557"/>
    <w:rsid w:val="00AD25B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2464"/>
    <w:rsid w:val="00AE2652"/>
    <w:rsid w:val="00AE4F42"/>
    <w:rsid w:val="00AE728D"/>
    <w:rsid w:val="00AE7589"/>
    <w:rsid w:val="00AF08CB"/>
    <w:rsid w:val="00AF2833"/>
    <w:rsid w:val="00AF3716"/>
    <w:rsid w:val="00AF3C46"/>
    <w:rsid w:val="00AF43E1"/>
    <w:rsid w:val="00AF4D71"/>
    <w:rsid w:val="00AF51CD"/>
    <w:rsid w:val="00AF5603"/>
    <w:rsid w:val="00AF5921"/>
    <w:rsid w:val="00B0092E"/>
    <w:rsid w:val="00B018B2"/>
    <w:rsid w:val="00B018E8"/>
    <w:rsid w:val="00B02CA0"/>
    <w:rsid w:val="00B03BF6"/>
    <w:rsid w:val="00B03CDF"/>
    <w:rsid w:val="00B040B7"/>
    <w:rsid w:val="00B04A55"/>
    <w:rsid w:val="00B04D46"/>
    <w:rsid w:val="00B06574"/>
    <w:rsid w:val="00B0732B"/>
    <w:rsid w:val="00B104C5"/>
    <w:rsid w:val="00B10F47"/>
    <w:rsid w:val="00B1385B"/>
    <w:rsid w:val="00B13B1B"/>
    <w:rsid w:val="00B159A9"/>
    <w:rsid w:val="00B15DBF"/>
    <w:rsid w:val="00B165C9"/>
    <w:rsid w:val="00B16F6C"/>
    <w:rsid w:val="00B17D70"/>
    <w:rsid w:val="00B22AD7"/>
    <w:rsid w:val="00B22D31"/>
    <w:rsid w:val="00B22E46"/>
    <w:rsid w:val="00B23DDC"/>
    <w:rsid w:val="00B23EF3"/>
    <w:rsid w:val="00B2425E"/>
    <w:rsid w:val="00B268CE"/>
    <w:rsid w:val="00B27853"/>
    <w:rsid w:val="00B30291"/>
    <w:rsid w:val="00B306F7"/>
    <w:rsid w:val="00B30BB8"/>
    <w:rsid w:val="00B30FE2"/>
    <w:rsid w:val="00B3272E"/>
    <w:rsid w:val="00B32C71"/>
    <w:rsid w:val="00B330C4"/>
    <w:rsid w:val="00B3324D"/>
    <w:rsid w:val="00B37580"/>
    <w:rsid w:val="00B4137A"/>
    <w:rsid w:val="00B50529"/>
    <w:rsid w:val="00B50B77"/>
    <w:rsid w:val="00B51290"/>
    <w:rsid w:val="00B514F8"/>
    <w:rsid w:val="00B52215"/>
    <w:rsid w:val="00B52C03"/>
    <w:rsid w:val="00B530CA"/>
    <w:rsid w:val="00B53AC4"/>
    <w:rsid w:val="00B54527"/>
    <w:rsid w:val="00B569F8"/>
    <w:rsid w:val="00B57ADA"/>
    <w:rsid w:val="00B57E7E"/>
    <w:rsid w:val="00B61EE9"/>
    <w:rsid w:val="00B6496C"/>
    <w:rsid w:val="00B65962"/>
    <w:rsid w:val="00B66B6C"/>
    <w:rsid w:val="00B7033E"/>
    <w:rsid w:val="00B7071A"/>
    <w:rsid w:val="00B7076B"/>
    <w:rsid w:val="00B71858"/>
    <w:rsid w:val="00B71A39"/>
    <w:rsid w:val="00B721DC"/>
    <w:rsid w:val="00B72BC5"/>
    <w:rsid w:val="00B74715"/>
    <w:rsid w:val="00B7484C"/>
    <w:rsid w:val="00B7669D"/>
    <w:rsid w:val="00B766D9"/>
    <w:rsid w:val="00B80A28"/>
    <w:rsid w:val="00B82B41"/>
    <w:rsid w:val="00B82D73"/>
    <w:rsid w:val="00B84A2C"/>
    <w:rsid w:val="00B871D6"/>
    <w:rsid w:val="00B87A02"/>
    <w:rsid w:val="00B9299C"/>
    <w:rsid w:val="00B93557"/>
    <w:rsid w:val="00B93C23"/>
    <w:rsid w:val="00B96204"/>
    <w:rsid w:val="00B97B4D"/>
    <w:rsid w:val="00BA0233"/>
    <w:rsid w:val="00BA0A1E"/>
    <w:rsid w:val="00BA0DCC"/>
    <w:rsid w:val="00BA12A2"/>
    <w:rsid w:val="00BA16EF"/>
    <w:rsid w:val="00BA18D0"/>
    <w:rsid w:val="00BA1CB6"/>
    <w:rsid w:val="00BA242E"/>
    <w:rsid w:val="00BA2ABF"/>
    <w:rsid w:val="00BA3317"/>
    <w:rsid w:val="00BA49F8"/>
    <w:rsid w:val="00BA4A5A"/>
    <w:rsid w:val="00BA5A9D"/>
    <w:rsid w:val="00BA6363"/>
    <w:rsid w:val="00BB2D9C"/>
    <w:rsid w:val="00BB3512"/>
    <w:rsid w:val="00BB3C4D"/>
    <w:rsid w:val="00BB5AA4"/>
    <w:rsid w:val="00BB5D1E"/>
    <w:rsid w:val="00BB62CC"/>
    <w:rsid w:val="00BB7ED6"/>
    <w:rsid w:val="00BC137A"/>
    <w:rsid w:val="00BC308C"/>
    <w:rsid w:val="00BC4347"/>
    <w:rsid w:val="00BC45E0"/>
    <w:rsid w:val="00BC54B5"/>
    <w:rsid w:val="00BC5D9D"/>
    <w:rsid w:val="00BC60E1"/>
    <w:rsid w:val="00BC628C"/>
    <w:rsid w:val="00BC6803"/>
    <w:rsid w:val="00BC7BCB"/>
    <w:rsid w:val="00BD109B"/>
    <w:rsid w:val="00BD1101"/>
    <w:rsid w:val="00BD14CF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4C30"/>
    <w:rsid w:val="00BE5859"/>
    <w:rsid w:val="00BE5DB1"/>
    <w:rsid w:val="00BE717E"/>
    <w:rsid w:val="00BE7E27"/>
    <w:rsid w:val="00BE7ED0"/>
    <w:rsid w:val="00BF0A00"/>
    <w:rsid w:val="00BF183C"/>
    <w:rsid w:val="00BF2333"/>
    <w:rsid w:val="00BF2AF9"/>
    <w:rsid w:val="00BF4C15"/>
    <w:rsid w:val="00BF7FDC"/>
    <w:rsid w:val="00C002B2"/>
    <w:rsid w:val="00C01EFC"/>
    <w:rsid w:val="00C044CF"/>
    <w:rsid w:val="00C06025"/>
    <w:rsid w:val="00C0782F"/>
    <w:rsid w:val="00C11F50"/>
    <w:rsid w:val="00C12603"/>
    <w:rsid w:val="00C12C7C"/>
    <w:rsid w:val="00C131FD"/>
    <w:rsid w:val="00C14106"/>
    <w:rsid w:val="00C15322"/>
    <w:rsid w:val="00C16DA8"/>
    <w:rsid w:val="00C17352"/>
    <w:rsid w:val="00C21959"/>
    <w:rsid w:val="00C30A7D"/>
    <w:rsid w:val="00C31169"/>
    <w:rsid w:val="00C3169F"/>
    <w:rsid w:val="00C318F6"/>
    <w:rsid w:val="00C31BD9"/>
    <w:rsid w:val="00C37522"/>
    <w:rsid w:val="00C42EFD"/>
    <w:rsid w:val="00C43D8B"/>
    <w:rsid w:val="00C44042"/>
    <w:rsid w:val="00C46AF0"/>
    <w:rsid w:val="00C47A8E"/>
    <w:rsid w:val="00C47DC9"/>
    <w:rsid w:val="00C52956"/>
    <w:rsid w:val="00C53AE1"/>
    <w:rsid w:val="00C53CAD"/>
    <w:rsid w:val="00C543C3"/>
    <w:rsid w:val="00C54893"/>
    <w:rsid w:val="00C560A1"/>
    <w:rsid w:val="00C56E9E"/>
    <w:rsid w:val="00C56EB6"/>
    <w:rsid w:val="00C571E2"/>
    <w:rsid w:val="00C63FC8"/>
    <w:rsid w:val="00C64F57"/>
    <w:rsid w:val="00C65D21"/>
    <w:rsid w:val="00C66B65"/>
    <w:rsid w:val="00C66E11"/>
    <w:rsid w:val="00C6789D"/>
    <w:rsid w:val="00C71A97"/>
    <w:rsid w:val="00C72FFE"/>
    <w:rsid w:val="00C73FFD"/>
    <w:rsid w:val="00C7439B"/>
    <w:rsid w:val="00C74512"/>
    <w:rsid w:val="00C75071"/>
    <w:rsid w:val="00C770F1"/>
    <w:rsid w:val="00C77EB0"/>
    <w:rsid w:val="00C81ECE"/>
    <w:rsid w:val="00C831A3"/>
    <w:rsid w:val="00C84F07"/>
    <w:rsid w:val="00C851A6"/>
    <w:rsid w:val="00C855D4"/>
    <w:rsid w:val="00C87639"/>
    <w:rsid w:val="00C90685"/>
    <w:rsid w:val="00C9099A"/>
    <w:rsid w:val="00C9240A"/>
    <w:rsid w:val="00C93214"/>
    <w:rsid w:val="00C93D5B"/>
    <w:rsid w:val="00C9442C"/>
    <w:rsid w:val="00C9532C"/>
    <w:rsid w:val="00C95494"/>
    <w:rsid w:val="00C95BCF"/>
    <w:rsid w:val="00C95D16"/>
    <w:rsid w:val="00C95DCF"/>
    <w:rsid w:val="00C96BE7"/>
    <w:rsid w:val="00C976DB"/>
    <w:rsid w:val="00C97B9D"/>
    <w:rsid w:val="00CA184E"/>
    <w:rsid w:val="00CA23C4"/>
    <w:rsid w:val="00CA575F"/>
    <w:rsid w:val="00CA5AEC"/>
    <w:rsid w:val="00CA6114"/>
    <w:rsid w:val="00CA704A"/>
    <w:rsid w:val="00CB0797"/>
    <w:rsid w:val="00CB21FF"/>
    <w:rsid w:val="00CB2527"/>
    <w:rsid w:val="00CB2BAF"/>
    <w:rsid w:val="00CB5CAE"/>
    <w:rsid w:val="00CB644C"/>
    <w:rsid w:val="00CB6CAA"/>
    <w:rsid w:val="00CB78ED"/>
    <w:rsid w:val="00CC0004"/>
    <w:rsid w:val="00CC19A0"/>
    <w:rsid w:val="00CC1BA2"/>
    <w:rsid w:val="00CC4E55"/>
    <w:rsid w:val="00CC550E"/>
    <w:rsid w:val="00CC5AC6"/>
    <w:rsid w:val="00CC7465"/>
    <w:rsid w:val="00CD0DCE"/>
    <w:rsid w:val="00CD1628"/>
    <w:rsid w:val="00CD1D27"/>
    <w:rsid w:val="00CD27B7"/>
    <w:rsid w:val="00CD2867"/>
    <w:rsid w:val="00CD3807"/>
    <w:rsid w:val="00CD3AE7"/>
    <w:rsid w:val="00CD3C10"/>
    <w:rsid w:val="00CD4210"/>
    <w:rsid w:val="00CD5194"/>
    <w:rsid w:val="00CD5981"/>
    <w:rsid w:val="00CD6292"/>
    <w:rsid w:val="00CD79FA"/>
    <w:rsid w:val="00CE0E7C"/>
    <w:rsid w:val="00CE10E6"/>
    <w:rsid w:val="00CE59A8"/>
    <w:rsid w:val="00CE657B"/>
    <w:rsid w:val="00CF0873"/>
    <w:rsid w:val="00CF237E"/>
    <w:rsid w:val="00CF2AB6"/>
    <w:rsid w:val="00CF3FB0"/>
    <w:rsid w:val="00CF515D"/>
    <w:rsid w:val="00CF53F5"/>
    <w:rsid w:val="00CF6B3F"/>
    <w:rsid w:val="00D002B4"/>
    <w:rsid w:val="00D03845"/>
    <w:rsid w:val="00D03DCB"/>
    <w:rsid w:val="00D05257"/>
    <w:rsid w:val="00D054DF"/>
    <w:rsid w:val="00D057A5"/>
    <w:rsid w:val="00D05D1F"/>
    <w:rsid w:val="00D06531"/>
    <w:rsid w:val="00D0799B"/>
    <w:rsid w:val="00D144D0"/>
    <w:rsid w:val="00D14FC0"/>
    <w:rsid w:val="00D163A3"/>
    <w:rsid w:val="00D1656D"/>
    <w:rsid w:val="00D167CC"/>
    <w:rsid w:val="00D16943"/>
    <w:rsid w:val="00D211AE"/>
    <w:rsid w:val="00D21662"/>
    <w:rsid w:val="00D21AB8"/>
    <w:rsid w:val="00D22416"/>
    <w:rsid w:val="00D23DE4"/>
    <w:rsid w:val="00D23F50"/>
    <w:rsid w:val="00D24447"/>
    <w:rsid w:val="00D24867"/>
    <w:rsid w:val="00D26F02"/>
    <w:rsid w:val="00D318E3"/>
    <w:rsid w:val="00D323A7"/>
    <w:rsid w:val="00D346BF"/>
    <w:rsid w:val="00D34A4B"/>
    <w:rsid w:val="00D36D68"/>
    <w:rsid w:val="00D416EB"/>
    <w:rsid w:val="00D41B20"/>
    <w:rsid w:val="00D44615"/>
    <w:rsid w:val="00D45321"/>
    <w:rsid w:val="00D468E2"/>
    <w:rsid w:val="00D50324"/>
    <w:rsid w:val="00D54C30"/>
    <w:rsid w:val="00D553D6"/>
    <w:rsid w:val="00D557E2"/>
    <w:rsid w:val="00D55A28"/>
    <w:rsid w:val="00D55DE5"/>
    <w:rsid w:val="00D5605F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43D"/>
    <w:rsid w:val="00D76DE0"/>
    <w:rsid w:val="00D80DF0"/>
    <w:rsid w:val="00D83ED5"/>
    <w:rsid w:val="00D844FC"/>
    <w:rsid w:val="00D86043"/>
    <w:rsid w:val="00D870D4"/>
    <w:rsid w:val="00D92ACC"/>
    <w:rsid w:val="00D93709"/>
    <w:rsid w:val="00D9398E"/>
    <w:rsid w:val="00D9464E"/>
    <w:rsid w:val="00D954E0"/>
    <w:rsid w:val="00D97059"/>
    <w:rsid w:val="00D97A1D"/>
    <w:rsid w:val="00DA0181"/>
    <w:rsid w:val="00DA1F24"/>
    <w:rsid w:val="00DA2411"/>
    <w:rsid w:val="00DA2C81"/>
    <w:rsid w:val="00DA65C4"/>
    <w:rsid w:val="00DA7899"/>
    <w:rsid w:val="00DB0464"/>
    <w:rsid w:val="00DB0923"/>
    <w:rsid w:val="00DB29CA"/>
    <w:rsid w:val="00DB30C8"/>
    <w:rsid w:val="00DB558E"/>
    <w:rsid w:val="00DB5F2B"/>
    <w:rsid w:val="00DB74AF"/>
    <w:rsid w:val="00DC1AB8"/>
    <w:rsid w:val="00DC5C19"/>
    <w:rsid w:val="00DC7068"/>
    <w:rsid w:val="00DD0411"/>
    <w:rsid w:val="00DD265A"/>
    <w:rsid w:val="00DD523C"/>
    <w:rsid w:val="00DD6B9B"/>
    <w:rsid w:val="00DE07A1"/>
    <w:rsid w:val="00DE21A2"/>
    <w:rsid w:val="00DE2776"/>
    <w:rsid w:val="00DE3B11"/>
    <w:rsid w:val="00DE4540"/>
    <w:rsid w:val="00DE5EE7"/>
    <w:rsid w:val="00DE7183"/>
    <w:rsid w:val="00DF1DAC"/>
    <w:rsid w:val="00DF2165"/>
    <w:rsid w:val="00DF5A24"/>
    <w:rsid w:val="00DF60E6"/>
    <w:rsid w:val="00DF6105"/>
    <w:rsid w:val="00DF659E"/>
    <w:rsid w:val="00DF65F7"/>
    <w:rsid w:val="00DF7D50"/>
    <w:rsid w:val="00E011BA"/>
    <w:rsid w:val="00E01524"/>
    <w:rsid w:val="00E0320F"/>
    <w:rsid w:val="00E041D3"/>
    <w:rsid w:val="00E07C16"/>
    <w:rsid w:val="00E1021D"/>
    <w:rsid w:val="00E129F7"/>
    <w:rsid w:val="00E1428E"/>
    <w:rsid w:val="00E14900"/>
    <w:rsid w:val="00E15903"/>
    <w:rsid w:val="00E218D3"/>
    <w:rsid w:val="00E22321"/>
    <w:rsid w:val="00E229ED"/>
    <w:rsid w:val="00E23091"/>
    <w:rsid w:val="00E23E21"/>
    <w:rsid w:val="00E245A0"/>
    <w:rsid w:val="00E25964"/>
    <w:rsid w:val="00E25E9F"/>
    <w:rsid w:val="00E27565"/>
    <w:rsid w:val="00E30DE6"/>
    <w:rsid w:val="00E3147C"/>
    <w:rsid w:val="00E31944"/>
    <w:rsid w:val="00E32395"/>
    <w:rsid w:val="00E32A52"/>
    <w:rsid w:val="00E32E0D"/>
    <w:rsid w:val="00E332E3"/>
    <w:rsid w:val="00E33FD9"/>
    <w:rsid w:val="00E34DBA"/>
    <w:rsid w:val="00E3534F"/>
    <w:rsid w:val="00E35435"/>
    <w:rsid w:val="00E37194"/>
    <w:rsid w:val="00E3788B"/>
    <w:rsid w:val="00E40C6A"/>
    <w:rsid w:val="00E410B7"/>
    <w:rsid w:val="00E431EE"/>
    <w:rsid w:val="00E43977"/>
    <w:rsid w:val="00E4415D"/>
    <w:rsid w:val="00E44AB8"/>
    <w:rsid w:val="00E47BD8"/>
    <w:rsid w:val="00E50D3F"/>
    <w:rsid w:val="00E520BE"/>
    <w:rsid w:val="00E521DB"/>
    <w:rsid w:val="00E526B1"/>
    <w:rsid w:val="00E53413"/>
    <w:rsid w:val="00E5484A"/>
    <w:rsid w:val="00E54E17"/>
    <w:rsid w:val="00E55086"/>
    <w:rsid w:val="00E563F6"/>
    <w:rsid w:val="00E56A7A"/>
    <w:rsid w:val="00E60419"/>
    <w:rsid w:val="00E60E01"/>
    <w:rsid w:val="00E613F0"/>
    <w:rsid w:val="00E617D3"/>
    <w:rsid w:val="00E61E36"/>
    <w:rsid w:val="00E633C1"/>
    <w:rsid w:val="00E65532"/>
    <w:rsid w:val="00E667B0"/>
    <w:rsid w:val="00E66EA0"/>
    <w:rsid w:val="00E67390"/>
    <w:rsid w:val="00E71365"/>
    <w:rsid w:val="00E74904"/>
    <w:rsid w:val="00E75CFA"/>
    <w:rsid w:val="00E770A4"/>
    <w:rsid w:val="00E805B3"/>
    <w:rsid w:val="00E8097A"/>
    <w:rsid w:val="00E81192"/>
    <w:rsid w:val="00E83B51"/>
    <w:rsid w:val="00E8626C"/>
    <w:rsid w:val="00E8663B"/>
    <w:rsid w:val="00E86BDE"/>
    <w:rsid w:val="00E8762F"/>
    <w:rsid w:val="00E90171"/>
    <w:rsid w:val="00E90AB8"/>
    <w:rsid w:val="00E919D9"/>
    <w:rsid w:val="00E91EFF"/>
    <w:rsid w:val="00E92003"/>
    <w:rsid w:val="00E921C1"/>
    <w:rsid w:val="00E9280F"/>
    <w:rsid w:val="00E9394D"/>
    <w:rsid w:val="00E93C8B"/>
    <w:rsid w:val="00E93D8F"/>
    <w:rsid w:val="00E94A7F"/>
    <w:rsid w:val="00E9531E"/>
    <w:rsid w:val="00E95E41"/>
    <w:rsid w:val="00E95E4C"/>
    <w:rsid w:val="00E96B1B"/>
    <w:rsid w:val="00E977CE"/>
    <w:rsid w:val="00E97E05"/>
    <w:rsid w:val="00EA1655"/>
    <w:rsid w:val="00EA34E2"/>
    <w:rsid w:val="00EA52D1"/>
    <w:rsid w:val="00EA703E"/>
    <w:rsid w:val="00EA791F"/>
    <w:rsid w:val="00EB13F2"/>
    <w:rsid w:val="00EB2670"/>
    <w:rsid w:val="00EB4CDC"/>
    <w:rsid w:val="00EB671F"/>
    <w:rsid w:val="00EB70E7"/>
    <w:rsid w:val="00EB76D6"/>
    <w:rsid w:val="00EC02E8"/>
    <w:rsid w:val="00EC1139"/>
    <w:rsid w:val="00EC3842"/>
    <w:rsid w:val="00EC4299"/>
    <w:rsid w:val="00EC49D6"/>
    <w:rsid w:val="00EC4D4D"/>
    <w:rsid w:val="00EC592E"/>
    <w:rsid w:val="00EC5D5D"/>
    <w:rsid w:val="00EC7908"/>
    <w:rsid w:val="00EC79AC"/>
    <w:rsid w:val="00EC7C2B"/>
    <w:rsid w:val="00ED1F02"/>
    <w:rsid w:val="00ED213D"/>
    <w:rsid w:val="00ED4274"/>
    <w:rsid w:val="00EE15B5"/>
    <w:rsid w:val="00EE2087"/>
    <w:rsid w:val="00EE20A1"/>
    <w:rsid w:val="00EE25EB"/>
    <w:rsid w:val="00EE6670"/>
    <w:rsid w:val="00EE74AF"/>
    <w:rsid w:val="00EF1F0E"/>
    <w:rsid w:val="00EF29F6"/>
    <w:rsid w:val="00EF4623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3099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6E4"/>
    <w:rsid w:val="00F22A39"/>
    <w:rsid w:val="00F22AE0"/>
    <w:rsid w:val="00F23DDE"/>
    <w:rsid w:val="00F2601A"/>
    <w:rsid w:val="00F26701"/>
    <w:rsid w:val="00F30155"/>
    <w:rsid w:val="00F310D7"/>
    <w:rsid w:val="00F331D6"/>
    <w:rsid w:val="00F368B9"/>
    <w:rsid w:val="00F3739F"/>
    <w:rsid w:val="00F374C1"/>
    <w:rsid w:val="00F37B34"/>
    <w:rsid w:val="00F37C53"/>
    <w:rsid w:val="00F41C34"/>
    <w:rsid w:val="00F4212F"/>
    <w:rsid w:val="00F43D9F"/>
    <w:rsid w:val="00F447DB"/>
    <w:rsid w:val="00F447FA"/>
    <w:rsid w:val="00F44BD1"/>
    <w:rsid w:val="00F4656F"/>
    <w:rsid w:val="00F469B9"/>
    <w:rsid w:val="00F46BF9"/>
    <w:rsid w:val="00F46C32"/>
    <w:rsid w:val="00F46ECB"/>
    <w:rsid w:val="00F50F94"/>
    <w:rsid w:val="00F525B5"/>
    <w:rsid w:val="00F53D53"/>
    <w:rsid w:val="00F543B9"/>
    <w:rsid w:val="00F54602"/>
    <w:rsid w:val="00F56177"/>
    <w:rsid w:val="00F56187"/>
    <w:rsid w:val="00F575D3"/>
    <w:rsid w:val="00F5786C"/>
    <w:rsid w:val="00F60151"/>
    <w:rsid w:val="00F6070E"/>
    <w:rsid w:val="00F61E94"/>
    <w:rsid w:val="00F62117"/>
    <w:rsid w:val="00F62365"/>
    <w:rsid w:val="00F630A7"/>
    <w:rsid w:val="00F6520C"/>
    <w:rsid w:val="00F66225"/>
    <w:rsid w:val="00F662BC"/>
    <w:rsid w:val="00F6708D"/>
    <w:rsid w:val="00F6729F"/>
    <w:rsid w:val="00F707F0"/>
    <w:rsid w:val="00F71AD5"/>
    <w:rsid w:val="00F726A1"/>
    <w:rsid w:val="00F729ED"/>
    <w:rsid w:val="00F733B8"/>
    <w:rsid w:val="00F74F50"/>
    <w:rsid w:val="00F75192"/>
    <w:rsid w:val="00F76D36"/>
    <w:rsid w:val="00F77822"/>
    <w:rsid w:val="00F838B6"/>
    <w:rsid w:val="00F83B0D"/>
    <w:rsid w:val="00F83C31"/>
    <w:rsid w:val="00F85F05"/>
    <w:rsid w:val="00F86AD1"/>
    <w:rsid w:val="00F90D96"/>
    <w:rsid w:val="00F9222A"/>
    <w:rsid w:val="00F922EA"/>
    <w:rsid w:val="00F92927"/>
    <w:rsid w:val="00F949E0"/>
    <w:rsid w:val="00F94F0F"/>
    <w:rsid w:val="00F9627D"/>
    <w:rsid w:val="00F979B3"/>
    <w:rsid w:val="00F97CCD"/>
    <w:rsid w:val="00FA1A6D"/>
    <w:rsid w:val="00FA320D"/>
    <w:rsid w:val="00FA362B"/>
    <w:rsid w:val="00FA444C"/>
    <w:rsid w:val="00FA53E9"/>
    <w:rsid w:val="00FA60EC"/>
    <w:rsid w:val="00FA641B"/>
    <w:rsid w:val="00FA6CB4"/>
    <w:rsid w:val="00FB04E9"/>
    <w:rsid w:val="00FB1179"/>
    <w:rsid w:val="00FB1C6B"/>
    <w:rsid w:val="00FB2B27"/>
    <w:rsid w:val="00FB3361"/>
    <w:rsid w:val="00FB42B4"/>
    <w:rsid w:val="00FB4841"/>
    <w:rsid w:val="00FB6C94"/>
    <w:rsid w:val="00FB7304"/>
    <w:rsid w:val="00FB7F8B"/>
    <w:rsid w:val="00FC0FC4"/>
    <w:rsid w:val="00FC22F5"/>
    <w:rsid w:val="00FC3753"/>
    <w:rsid w:val="00FC5170"/>
    <w:rsid w:val="00FC5743"/>
    <w:rsid w:val="00FC60DF"/>
    <w:rsid w:val="00FC6240"/>
    <w:rsid w:val="00FC6F5C"/>
    <w:rsid w:val="00FD118C"/>
    <w:rsid w:val="00FD332F"/>
    <w:rsid w:val="00FD7395"/>
    <w:rsid w:val="00FD74C5"/>
    <w:rsid w:val="00FE1810"/>
    <w:rsid w:val="00FE1CC1"/>
    <w:rsid w:val="00FE353C"/>
    <w:rsid w:val="00FE385E"/>
    <w:rsid w:val="00FE3CE2"/>
    <w:rsid w:val="00FE54AD"/>
    <w:rsid w:val="00FE5633"/>
    <w:rsid w:val="00FE6F7A"/>
    <w:rsid w:val="00FE78A1"/>
    <w:rsid w:val="00FE7B14"/>
    <w:rsid w:val="00FF02D5"/>
    <w:rsid w:val="00FF0846"/>
    <w:rsid w:val="00FF0AA6"/>
    <w:rsid w:val="00FF248B"/>
    <w:rsid w:val="00FF3E6F"/>
    <w:rsid w:val="00FF5A63"/>
    <w:rsid w:val="00FF6DB4"/>
    <w:rsid w:val="00FF7425"/>
    <w:rsid w:val="00FF757A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DABC3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E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468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lsinformativotextotitulo">
    <w:name w:val="clsinformativotextotitulo"/>
    <w:basedOn w:val="Fontepargpadro"/>
    <w:rsid w:val="00EB13F2"/>
  </w:style>
  <w:style w:type="character" w:customStyle="1" w:styleId="clsinformativotexto">
    <w:name w:val="clsinformativotexto"/>
    <w:basedOn w:val="Fontepargpadro"/>
    <w:rsid w:val="00EB13F2"/>
  </w:style>
  <w:style w:type="character" w:styleId="MenoPendente">
    <w:name w:val="Unresolved Mention"/>
    <w:basedOn w:val="Fontepargpadro"/>
    <w:uiPriority w:val="99"/>
    <w:semiHidden/>
    <w:unhideWhenUsed/>
    <w:rsid w:val="00FA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10/pdf/00351545.pdf" TargetMode="External"/><Relationship Id="rId13" Type="http://schemas.openxmlformats.org/officeDocument/2006/relationships/hyperlink" Target="https://www1.tce.pr.gov.br/multimidia/2020/10/pdf/00351391.pdf" TargetMode="External"/><Relationship Id="rId18" Type="http://schemas.openxmlformats.org/officeDocument/2006/relationships/hyperlink" Target="http://www1.tce.pr.gov.br/conteudo/sumulas-selecionadas/316602/area/24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multimidia/2020/10/pdf/00351528.pdf" TargetMode="External"/><Relationship Id="rId17" Type="http://schemas.openxmlformats.org/officeDocument/2006/relationships/hyperlink" Target="http://www1.tce.pr.gov.br/conteudo/repercussao-geral-no-stf-e-os-tribunais-de-contas/307026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boletim-de-jurisprudencia-internacional/316601/area/24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multimidia/2020/11/pdf/003527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teses-ambientais/316603/area/249" TargetMode="External"/><Relationship Id="rId10" Type="http://schemas.openxmlformats.org/officeDocument/2006/relationships/hyperlink" Target="https://www1.tce.pr.gov.br/multimidia/2020/11/pdf/00351660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0/11/pdf/00351660.pdf" TargetMode="External"/><Relationship Id="rId14" Type="http://schemas.openxmlformats.org/officeDocument/2006/relationships/hyperlink" Target="http://www1.tce.pr.gov.br/conteudo/pesquisas-prontas/308475/area/249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747A-6176-4BFB-BEF6-2972EFD9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2830</Words>
  <Characters>15284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Fernando Barros</cp:lastModifiedBy>
  <cp:revision>2</cp:revision>
  <cp:lastPrinted>2020-06-08T18:39:00Z</cp:lastPrinted>
  <dcterms:created xsi:type="dcterms:W3CDTF">2020-12-15T09:31:00Z</dcterms:created>
  <dcterms:modified xsi:type="dcterms:W3CDTF">2020-12-15T09:31:00Z</dcterms:modified>
</cp:coreProperties>
</file>