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54545F">
        <w:rPr>
          <w:rFonts w:ascii="Arial" w:hAnsi="Arial" w:cs="Arial"/>
          <w:b/>
          <w:sz w:val="20"/>
          <w:szCs w:val="20"/>
        </w:rPr>
        <w:t>3</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90061C">
        <w:rPr>
          <w:rFonts w:ascii="Arial" w:hAnsi="Arial" w:cs="Arial"/>
          <w:b/>
          <w:sz w:val="20"/>
          <w:szCs w:val="20"/>
        </w:rPr>
        <w:t xml:space="preserve">Sessões: </w:t>
      </w:r>
      <w:r w:rsidR="0090061C" w:rsidRPr="0090061C">
        <w:rPr>
          <w:rFonts w:ascii="Arial" w:hAnsi="Arial" w:cs="Arial"/>
          <w:b/>
          <w:sz w:val="20"/>
          <w:szCs w:val="20"/>
        </w:rPr>
        <w:t>03</w:t>
      </w:r>
      <w:r w:rsidR="00814325" w:rsidRPr="0090061C">
        <w:rPr>
          <w:rFonts w:ascii="Arial" w:hAnsi="Arial" w:cs="Arial"/>
          <w:b/>
          <w:sz w:val="20"/>
          <w:szCs w:val="20"/>
        </w:rPr>
        <w:t>.</w:t>
      </w:r>
      <w:r w:rsidR="00015FB0" w:rsidRPr="0090061C">
        <w:rPr>
          <w:rFonts w:ascii="Arial" w:hAnsi="Arial" w:cs="Arial"/>
          <w:b/>
          <w:sz w:val="20"/>
          <w:szCs w:val="20"/>
        </w:rPr>
        <w:t>0</w:t>
      </w:r>
      <w:r w:rsidR="0090061C" w:rsidRPr="0090061C">
        <w:rPr>
          <w:rFonts w:ascii="Arial" w:hAnsi="Arial" w:cs="Arial"/>
          <w:b/>
          <w:sz w:val="20"/>
          <w:szCs w:val="20"/>
        </w:rPr>
        <w:t>4</w:t>
      </w:r>
      <w:r w:rsidR="005A0FD0" w:rsidRPr="0090061C">
        <w:rPr>
          <w:rFonts w:ascii="Arial" w:hAnsi="Arial" w:cs="Arial"/>
          <w:b/>
          <w:sz w:val="20"/>
          <w:szCs w:val="20"/>
        </w:rPr>
        <w:t xml:space="preserve"> </w:t>
      </w:r>
      <w:r w:rsidR="000D4DE6" w:rsidRPr="0090061C">
        <w:rPr>
          <w:rFonts w:ascii="Arial" w:hAnsi="Arial" w:cs="Arial"/>
          <w:b/>
          <w:sz w:val="20"/>
          <w:szCs w:val="20"/>
        </w:rPr>
        <w:t>a</w:t>
      </w:r>
      <w:r w:rsidRPr="0090061C">
        <w:rPr>
          <w:rFonts w:ascii="Arial" w:hAnsi="Arial" w:cs="Arial"/>
          <w:b/>
          <w:sz w:val="20"/>
          <w:szCs w:val="20"/>
        </w:rPr>
        <w:t xml:space="preserve"> </w:t>
      </w:r>
      <w:r w:rsidR="0090061C" w:rsidRPr="0090061C">
        <w:rPr>
          <w:rFonts w:ascii="Arial" w:hAnsi="Arial" w:cs="Arial"/>
          <w:b/>
          <w:sz w:val="20"/>
          <w:szCs w:val="20"/>
        </w:rPr>
        <w:t>12</w:t>
      </w:r>
      <w:r w:rsidR="005A0FD0" w:rsidRPr="0090061C">
        <w:rPr>
          <w:rFonts w:ascii="Arial" w:hAnsi="Arial" w:cs="Arial"/>
          <w:b/>
          <w:sz w:val="20"/>
          <w:szCs w:val="20"/>
        </w:rPr>
        <w:t>.</w:t>
      </w:r>
      <w:r w:rsidR="00015FB0" w:rsidRPr="0090061C">
        <w:rPr>
          <w:rFonts w:ascii="Arial" w:hAnsi="Arial" w:cs="Arial"/>
          <w:b/>
          <w:sz w:val="20"/>
          <w:szCs w:val="20"/>
        </w:rPr>
        <w:t>0</w:t>
      </w:r>
      <w:r w:rsidR="0090061C" w:rsidRPr="0090061C">
        <w:rPr>
          <w:rFonts w:ascii="Arial" w:hAnsi="Arial" w:cs="Arial"/>
          <w:b/>
          <w:sz w:val="20"/>
          <w:szCs w:val="20"/>
        </w:rPr>
        <w:t>4</w:t>
      </w:r>
      <w:r w:rsidRPr="0090061C">
        <w:rPr>
          <w:rFonts w:ascii="Arial" w:hAnsi="Arial" w:cs="Arial"/>
          <w:b/>
          <w:sz w:val="20"/>
          <w:szCs w:val="20"/>
        </w:rPr>
        <w:t xml:space="preserve"> de 201</w:t>
      </w:r>
      <w:r w:rsidR="00015FB0" w:rsidRPr="0090061C">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Pr="00586AA0" w:rsidRDefault="004429A2" w:rsidP="00816942">
      <w:pPr>
        <w:spacing w:after="0"/>
        <w:jc w:val="both"/>
        <w:rPr>
          <w:rStyle w:val="Hyperlink"/>
          <w:rFonts w:ascii="Arial" w:hAnsi="Arial" w:cs="Arial"/>
          <w:color w:val="000000" w:themeColor="text1"/>
          <w:sz w:val="20"/>
          <w:szCs w:val="20"/>
          <w:u w:val="none"/>
        </w:rPr>
      </w:pPr>
    </w:p>
    <w:p w:rsidR="00383880" w:rsidRPr="00586AA0" w:rsidRDefault="00383880" w:rsidP="00503D16">
      <w:pPr>
        <w:autoSpaceDE w:val="0"/>
        <w:autoSpaceDN w:val="0"/>
        <w:adjustRightInd w:val="0"/>
        <w:spacing w:after="0"/>
        <w:jc w:val="both"/>
        <w:rPr>
          <w:rFonts w:ascii="Arial" w:hAnsi="Arial" w:cs="Arial"/>
          <w:sz w:val="20"/>
          <w:szCs w:val="20"/>
        </w:rPr>
      </w:pPr>
      <w:r w:rsidRPr="00586AA0">
        <w:rPr>
          <w:rFonts w:ascii="Arial" w:hAnsi="Arial" w:cs="Arial"/>
          <w:sz w:val="20"/>
          <w:szCs w:val="20"/>
        </w:rPr>
        <w:t>1. Pensão. União estável. Prova. Preenchimentos dos requisitos legais. Registro.</w:t>
      </w:r>
    </w:p>
    <w:p w:rsidR="00503D16" w:rsidRDefault="00503D16" w:rsidP="00503D16">
      <w:pPr>
        <w:spacing w:after="0"/>
        <w:jc w:val="both"/>
        <w:rPr>
          <w:rFonts w:ascii="Arial" w:hAnsi="Arial" w:cs="Arial"/>
          <w:sz w:val="20"/>
          <w:szCs w:val="20"/>
        </w:rPr>
      </w:pPr>
    </w:p>
    <w:p w:rsidR="00383880" w:rsidRPr="00586AA0" w:rsidRDefault="00383880" w:rsidP="00503D16">
      <w:pPr>
        <w:spacing w:after="0"/>
        <w:jc w:val="both"/>
        <w:rPr>
          <w:rFonts w:ascii="Arial" w:hAnsi="Arial" w:cs="Arial"/>
          <w:sz w:val="20"/>
          <w:szCs w:val="20"/>
        </w:rPr>
      </w:pPr>
      <w:r w:rsidRPr="00586AA0">
        <w:rPr>
          <w:rFonts w:ascii="Arial" w:hAnsi="Arial" w:cs="Arial"/>
          <w:sz w:val="20"/>
          <w:szCs w:val="20"/>
        </w:rPr>
        <w:t>2. Prestação de Contas de Transferência Voluntária. Irregularidade. Devolução. Multa. Recomendação.</w:t>
      </w:r>
    </w:p>
    <w:p w:rsidR="00503D16" w:rsidRDefault="00503D16" w:rsidP="00503D16">
      <w:pPr>
        <w:spacing w:after="0"/>
        <w:jc w:val="both"/>
        <w:rPr>
          <w:rFonts w:ascii="Arial" w:hAnsi="Arial" w:cs="Arial"/>
          <w:sz w:val="20"/>
          <w:szCs w:val="20"/>
        </w:rPr>
      </w:pPr>
    </w:p>
    <w:p w:rsidR="00586AA0" w:rsidRPr="00586AA0" w:rsidRDefault="00586AA0" w:rsidP="00503D16">
      <w:pPr>
        <w:spacing w:after="0"/>
        <w:jc w:val="both"/>
        <w:rPr>
          <w:rFonts w:ascii="Arial" w:hAnsi="Arial" w:cs="Arial"/>
          <w:sz w:val="20"/>
          <w:szCs w:val="20"/>
        </w:rPr>
      </w:pPr>
      <w:r w:rsidRPr="00586AA0">
        <w:rPr>
          <w:rFonts w:ascii="Arial" w:hAnsi="Arial" w:cs="Arial"/>
          <w:sz w:val="20"/>
          <w:szCs w:val="20"/>
        </w:rPr>
        <w:t>3. Admissão de pessoal. Teste Seletivo. Falta de Justificativa. Cargos de natureza permanente. Registro. Determinações. Aplicação de multa.</w:t>
      </w:r>
    </w:p>
    <w:p w:rsidR="00503D16" w:rsidRDefault="00503D16" w:rsidP="00503D16">
      <w:pPr>
        <w:spacing w:after="0"/>
        <w:jc w:val="both"/>
        <w:rPr>
          <w:rFonts w:ascii="Arial" w:hAnsi="Arial" w:cs="Arial"/>
          <w:sz w:val="20"/>
          <w:szCs w:val="20"/>
        </w:rPr>
      </w:pPr>
    </w:p>
    <w:p w:rsidR="00586AA0" w:rsidRPr="00586AA0" w:rsidRDefault="00586AA0" w:rsidP="00503D16">
      <w:pPr>
        <w:spacing w:after="0"/>
        <w:jc w:val="both"/>
        <w:rPr>
          <w:rFonts w:ascii="Arial" w:hAnsi="Arial" w:cs="Arial"/>
          <w:sz w:val="20"/>
          <w:szCs w:val="20"/>
        </w:rPr>
      </w:pPr>
      <w:r w:rsidRPr="00586AA0">
        <w:rPr>
          <w:rFonts w:ascii="Arial" w:hAnsi="Arial" w:cs="Arial"/>
          <w:sz w:val="20"/>
          <w:szCs w:val="20"/>
        </w:rPr>
        <w:t>4. Prestação de Contas Anual. Falta de Repasse de contribuições retidas dos Servidores para o INSS.</w:t>
      </w:r>
    </w:p>
    <w:p w:rsidR="00503D16" w:rsidRDefault="00503D16" w:rsidP="00503D16">
      <w:pPr>
        <w:autoSpaceDE w:val="0"/>
        <w:autoSpaceDN w:val="0"/>
        <w:adjustRightInd w:val="0"/>
        <w:spacing w:after="0"/>
        <w:jc w:val="both"/>
        <w:rPr>
          <w:rFonts w:ascii="Arial" w:hAnsi="Arial" w:cs="Arial"/>
          <w:sz w:val="20"/>
          <w:szCs w:val="20"/>
        </w:rPr>
      </w:pPr>
    </w:p>
    <w:p w:rsidR="00586AA0" w:rsidRPr="00586AA0" w:rsidRDefault="00586AA0" w:rsidP="00503D16">
      <w:pPr>
        <w:autoSpaceDE w:val="0"/>
        <w:autoSpaceDN w:val="0"/>
        <w:adjustRightInd w:val="0"/>
        <w:spacing w:after="0"/>
        <w:jc w:val="both"/>
        <w:rPr>
          <w:rFonts w:ascii="Arial" w:hAnsi="Arial" w:cs="Arial"/>
          <w:color w:val="000000"/>
          <w:sz w:val="20"/>
          <w:szCs w:val="20"/>
          <w:shd w:val="clear" w:color="auto" w:fill="FFFFFF"/>
        </w:rPr>
      </w:pPr>
      <w:r w:rsidRPr="00586AA0">
        <w:rPr>
          <w:rFonts w:ascii="Arial" w:hAnsi="Arial" w:cs="Arial"/>
          <w:sz w:val="20"/>
          <w:szCs w:val="20"/>
        </w:rPr>
        <w:t>5. Recurso de Revista. Prestação de Contas Municipal. Subsídios dos agentes políticos. Reajuste. Ato normativo. Decreto. Impossibilidade. Necessidade de edição de lei específica de iniciativa da Câmara Municipal. Manutenção da irregularidade e da responsabilização. Recurso desprovido.</w:t>
      </w:r>
    </w:p>
    <w:p w:rsidR="00503D16" w:rsidRDefault="00503D16" w:rsidP="00503D16">
      <w:pPr>
        <w:autoSpaceDE w:val="0"/>
        <w:autoSpaceDN w:val="0"/>
        <w:adjustRightInd w:val="0"/>
        <w:spacing w:after="0"/>
        <w:jc w:val="both"/>
        <w:rPr>
          <w:rFonts w:ascii="Arial" w:hAnsi="Arial" w:cs="Arial"/>
          <w:sz w:val="20"/>
          <w:szCs w:val="20"/>
        </w:rPr>
      </w:pPr>
    </w:p>
    <w:p w:rsidR="00586AA0" w:rsidRPr="00586AA0" w:rsidRDefault="00586AA0" w:rsidP="00503D16">
      <w:pPr>
        <w:autoSpaceDE w:val="0"/>
        <w:autoSpaceDN w:val="0"/>
        <w:adjustRightInd w:val="0"/>
        <w:spacing w:after="0"/>
        <w:jc w:val="both"/>
        <w:rPr>
          <w:rFonts w:ascii="Arial" w:hAnsi="Arial" w:cs="Arial"/>
          <w:sz w:val="20"/>
          <w:szCs w:val="20"/>
        </w:rPr>
      </w:pPr>
      <w:r w:rsidRPr="00586AA0">
        <w:rPr>
          <w:rFonts w:ascii="Arial" w:hAnsi="Arial" w:cs="Arial"/>
          <w:sz w:val="20"/>
          <w:szCs w:val="20"/>
        </w:rPr>
        <w:t>6. Tomada de Contas Extraordinária. Aditivo contratual. Unificação de Contratos. Ausência de licitação. ANTAQ. Convalidação do aditivo. Acolhimento da decisão. Improcedência.</w:t>
      </w:r>
    </w:p>
    <w:p w:rsidR="00503D16" w:rsidRDefault="00503D16" w:rsidP="00503D16">
      <w:pPr>
        <w:autoSpaceDE w:val="0"/>
        <w:autoSpaceDN w:val="0"/>
        <w:adjustRightInd w:val="0"/>
        <w:spacing w:after="0"/>
        <w:jc w:val="both"/>
        <w:rPr>
          <w:rFonts w:ascii="Arial" w:hAnsi="Arial" w:cs="Arial"/>
          <w:sz w:val="20"/>
          <w:szCs w:val="20"/>
        </w:rPr>
      </w:pPr>
    </w:p>
    <w:p w:rsidR="00586AA0" w:rsidRPr="00586AA0" w:rsidRDefault="00586AA0" w:rsidP="00503D16">
      <w:pPr>
        <w:autoSpaceDE w:val="0"/>
        <w:autoSpaceDN w:val="0"/>
        <w:adjustRightInd w:val="0"/>
        <w:spacing w:after="0"/>
        <w:jc w:val="both"/>
        <w:rPr>
          <w:rFonts w:ascii="Arial" w:hAnsi="Arial" w:cs="Arial"/>
          <w:color w:val="000000"/>
          <w:sz w:val="20"/>
          <w:szCs w:val="20"/>
          <w:shd w:val="clear" w:color="auto" w:fill="FFFFFF"/>
        </w:rPr>
      </w:pPr>
      <w:r w:rsidRPr="00586AA0">
        <w:rPr>
          <w:rFonts w:ascii="Arial" w:hAnsi="Arial" w:cs="Arial"/>
          <w:sz w:val="20"/>
          <w:szCs w:val="20"/>
        </w:rPr>
        <w:t>7. Consulta. Convênios entre o Tribunal de Justiça e instituições privadas de ensino para criação das redes conciliatórias e de assistência judiciária. Ausência de repasses de recursos públicos. Exigências previstas na Lei de Licitações Estadual para formalização de convênios. Possibilidade de dispensa de tais exigências.</w:t>
      </w:r>
    </w:p>
    <w:p w:rsidR="00503D16" w:rsidRDefault="00503D16" w:rsidP="00503D16">
      <w:pPr>
        <w:autoSpaceDE w:val="0"/>
        <w:autoSpaceDN w:val="0"/>
        <w:adjustRightInd w:val="0"/>
        <w:spacing w:after="0"/>
        <w:jc w:val="both"/>
        <w:rPr>
          <w:rFonts w:ascii="Arial" w:hAnsi="Arial" w:cs="Arial"/>
          <w:sz w:val="20"/>
          <w:szCs w:val="20"/>
        </w:rPr>
      </w:pPr>
    </w:p>
    <w:p w:rsidR="00586AA0" w:rsidRPr="00586AA0" w:rsidRDefault="00586AA0" w:rsidP="00503D16">
      <w:pPr>
        <w:autoSpaceDE w:val="0"/>
        <w:autoSpaceDN w:val="0"/>
        <w:adjustRightInd w:val="0"/>
        <w:spacing w:after="0"/>
        <w:jc w:val="both"/>
        <w:rPr>
          <w:rFonts w:ascii="Arial" w:hAnsi="Arial" w:cs="Arial"/>
          <w:sz w:val="20"/>
          <w:szCs w:val="20"/>
        </w:rPr>
      </w:pPr>
      <w:r w:rsidRPr="00586AA0">
        <w:rPr>
          <w:rFonts w:ascii="Arial" w:hAnsi="Arial" w:cs="Arial"/>
          <w:sz w:val="20"/>
          <w:szCs w:val="20"/>
        </w:rPr>
        <w:lastRenderedPageBreak/>
        <w:t>8. Recurso de agravo contra o indeferimento de liminar suspensiva de decisão do TCE/PR. O transcurso do prazo para recolhimento de multa aplicada por esta Corte não configura possível dano de difícil reparação, que só é verificado quando comprovada a iminência de ato específico de constrição de bens em sede de execução judicial. Desprovimento.</w:t>
      </w:r>
    </w:p>
    <w:p w:rsidR="00503D16" w:rsidRDefault="00503D16" w:rsidP="00503D16">
      <w:pPr>
        <w:autoSpaceDE w:val="0"/>
        <w:autoSpaceDN w:val="0"/>
        <w:adjustRightInd w:val="0"/>
        <w:spacing w:after="0"/>
        <w:jc w:val="both"/>
        <w:rPr>
          <w:rFonts w:ascii="Arial" w:hAnsi="Arial" w:cs="Arial"/>
          <w:sz w:val="20"/>
          <w:szCs w:val="20"/>
        </w:rPr>
      </w:pPr>
    </w:p>
    <w:p w:rsidR="00586AA0" w:rsidRPr="00586AA0" w:rsidRDefault="00586AA0" w:rsidP="00503D16">
      <w:pPr>
        <w:autoSpaceDE w:val="0"/>
        <w:autoSpaceDN w:val="0"/>
        <w:adjustRightInd w:val="0"/>
        <w:spacing w:after="0"/>
        <w:jc w:val="both"/>
        <w:rPr>
          <w:rFonts w:ascii="Arial" w:hAnsi="Arial" w:cs="Arial"/>
          <w:sz w:val="20"/>
          <w:szCs w:val="20"/>
        </w:rPr>
      </w:pPr>
      <w:bookmarkStart w:id="0" w:name="_GoBack"/>
      <w:bookmarkEnd w:id="0"/>
      <w:r w:rsidRPr="00586AA0">
        <w:rPr>
          <w:rFonts w:ascii="Arial" w:hAnsi="Arial" w:cs="Arial"/>
          <w:sz w:val="20"/>
          <w:szCs w:val="20"/>
        </w:rPr>
        <w:t>9. Representação da Lei 8.666/93. Licitação para contratação de empresa para fornecimento de sistemas informatizados. Concessão de suspensão do pregão em razão de ausência de descrição mínima do treinamento requisitado. Restrição à competividade.</w:t>
      </w:r>
    </w:p>
    <w:p w:rsidR="004429A2" w:rsidRPr="0022060B" w:rsidRDefault="004429A2" w:rsidP="00F567EB">
      <w:pPr>
        <w:spacing w:after="0"/>
        <w:jc w:val="both"/>
        <w:rPr>
          <w:rStyle w:val="Hyperlink"/>
          <w:rFonts w:ascii="Arial" w:hAnsi="Arial" w:cs="Arial"/>
          <w:b/>
          <w:color w:val="000000" w:themeColor="text1"/>
          <w:sz w:val="20"/>
          <w:szCs w:val="20"/>
          <w:u w:val="none"/>
        </w:rPr>
      </w:pPr>
    </w:p>
    <w:p w:rsidR="00712A93" w:rsidRPr="0022060B" w:rsidRDefault="00712A93" w:rsidP="00F567EB">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F567EB">
      <w:pPr>
        <w:autoSpaceDE w:val="0"/>
        <w:autoSpaceDN w:val="0"/>
        <w:adjustRightInd w:val="0"/>
        <w:spacing w:after="0"/>
        <w:jc w:val="both"/>
        <w:rPr>
          <w:rFonts w:ascii="Arial" w:hAnsi="Arial" w:cs="Arial"/>
          <w:sz w:val="20"/>
          <w:szCs w:val="20"/>
        </w:rPr>
      </w:pPr>
    </w:p>
    <w:p w:rsidR="00365F4B" w:rsidRDefault="00F74568" w:rsidP="00F567E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365F4B">
        <w:rPr>
          <w:rFonts w:ascii="Arial" w:hAnsi="Arial" w:cs="Arial"/>
          <w:b/>
          <w:sz w:val="20"/>
          <w:szCs w:val="20"/>
        </w:rPr>
        <w:t>Pensão. União estável. Prova. Preenchimentos dos requisitos legais. Registro.</w:t>
      </w:r>
    </w:p>
    <w:p w:rsidR="00365F4B" w:rsidRDefault="00365F4B" w:rsidP="00F567EB">
      <w:pPr>
        <w:autoSpaceDE w:val="0"/>
        <w:autoSpaceDN w:val="0"/>
        <w:adjustRightInd w:val="0"/>
        <w:spacing w:after="0"/>
        <w:jc w:val="both"/>
        <w:rPr>
          <w:rFonts w:ascii="Arial" w:hAnsi="Arial" w:cs="Arial"/>
          <w:b/>
          <w:sz w:val="20"/>
          <w:szCs w:val="20"/>
        </w:rPr>
      </w:pPr>
    </w:p>
    <w:p w:rsidR="00365F4B" w:rsidRPr="00692FD6" w:rsidRDefault="00365F4B" w:rsidP="00F567EB">
      <w:pPr>
        <w:autoSpaceDE w:val="0"/>
        <w:autoSpaceDN w:val="0"/>
        <w:adjustRightInd w:val="0"/>
        <w:spacing w:after="0"/>
        <w:jc w:val="both"/>
        <w:rPr>
          <w:rFonts w:ascii="Arial" w:hAnsi="Arial" w:cs="Arial"/>
          <w:sz w:val="20"/>
          <w:szCs w:val="20"/>
        </w:rPr>
      </w:pPr>
      <w:r w:rsidRPr="00692FD6">
        <w:rPr>
          <w:rFonts w:ascii="Arial" w:hAnsi="Arial" w:cs="Arial"/>
          <w:sz w:val="20"/>
          <w:szCs w:val="20"/>
        </w:rPr>
        <w:t xml:space="preserve">A unidade técnica por meio de Parecer entendeu que o comprovante de coabitação entre o </w:t>
      </w:r>
      <w:r w:rsidRPr="007C7B88">
        <w:rPr>
          <w:rFonts w:ascii="Arial" w:hAnsi="Arial" w:cs="Arial"/>
          <w:i/>
          <w:sz w:val="20"/>
          <w:szCs w:val="20"/>
        </w:rPr>
        <w:t>“de cujus”</w:t>
      </w:r>
      <w:r w:rsidRPr="00692FD6">
        <w:rPr>
          <w:rFonts w:ascii="Arial" w:hAnsi="Arial" w:cs="Arial"/>
          <w:sz w:val="20"/>
          <w:szCs w:val="20"/>
        </w:rPr>
        <w:t xml:space="preserve"> e o beneficiário é insuficiente para a comprovação da união estável, manifestando-se pela negativa de registro da pensão. Da análise dos autos, verificou-se que, a documentação pertinente à comprovação da união estável foi apresentada pela própria servidora por ocasião de seu pedido de inclusão de seu companheiro, no cadastro do ente previdenciário. Assim, considerando que o interessado estava devidamente cadastrado como dependente da servidora e, que o documento no cadastro do Instituto de Previdência dos Servidores do Município tem presunção de veracidade, a decisão foi pelo registro do ato de pensão concedida.</w:t>
      </w:r>
    </w:p>
    <w:p w:rsidR="00365F4B" w:rsidRDefault="00365F4B" w:rsidP="00F567EB">
      <w:pPr>
        <w:autoSpaceDE w:val="0"/>
        <w:autoSpaceDN w:val="0"/>
        <w:adjustRightInd w:val="0"/>
        <w:spacing w:after="0"/>
        <w:jc w:val="both"/>
        <w:rPr>
          <w:rFonts w:ascii="Arial" w:hAnsi="Arial" w:cs="Arial"/>
          <w:sz w:val="20"/>
          <w:szCs w:val="20"/>
        </w:rPr>
      </w:pPr>
    </w:p>
    <w:p w:rsidR="00365F4B" w:rsidRPr="00D0548F" w:rsidRDefault="00365F4B" w:rsidP="00F567EB">
      <w:pPr>
        <w:autoSpaceDE w:val="0"/>
        <w:autoSpaceDN w:val="0"/>
        <w:adjustRightInd w:val="0"/>
        <w:spacing w:after="0"/>
        <w:jc w:val="both"/>
        <w:rPr>
          <w:rFonts w:ascii="Arial" w:hAnsi="Arial" w:cs="Arial"/>
          <w:sz w:val="20"/>
          <w:szCs w:val="20"/>
        </w:rPr>
      </w:pPr>
      <w:r w:rsidRPr="00D0548F">
        <w:rPr>
          <w:rFonts w:ascii="Arial" w:hAnsi="Arial" w:cs="Arial"/>
          <w:sz w:val="20"/>
          <w:szCs w:val="20"/>
        </w:rPr>
        <w:t>Processo nº 8</w:t>
      </w:r>
      <w:r>
        <w:rPr>
          <w:rFonts w:ascii="Arial" w:hAnsi="Arial" w:cs="Arial"/>
          <w:sz w:val="20"/>
          <w:szCs w:val="20"/>
        </w:rPr>
        <w:t>29688/13</w:t>
      </w:r>
      <w:r w:rsidRPr="00D0548F">
        <w:t xml:space="preserve"> - </w:t>
      </w:r>
      <w:hyperlink r:id="rId8" w:history="1">
        <w:r w:rsidRPr="00705A21">
          <w:rPr>
            <w:rStyle w:val="Hyperlink"/>
            <w:rFonts w:ascii="Arial" w:hAnsi="Arial" w:cs="Arial"/>
            <w:sz w:val="20"/>
            <w:szCs w:val="20"/>
          </w:rPr>
          <w:t xml:space="preserve">Acórdão nº 850/18 </w:t>
        </w:r>
        <w:r>
          <w:rPr>
            <w:rStyle w:val="Hyperlink"/>
            <w:rFonts w:ascii="Arial" w:hAnsi="Arial" w:cs="Arial"/>
            <w:sz w:val="20"/>
            <w:szCs w:val="20"/>
          </w:rPr>
          <w:t>-</w:t>
        </w:r>
        <w:r w:rsidRPr="00705A21">
          <w:rPr>
            <w:rStyle w:val="Hyperlink"/>
            <w:rFonts w:ascii="Arial" w:hAnsi="Arial" w:cs="Arial"/>
            <w:sz w:val="20"/>
            <w:szCs w:val="20"/>
          </w:rPr>
          <w:t xml:space="preserve"> Primeira Câmara</w:t>
        </w:r>
      </w:hyperlink>
      <w:r w:rsidRPr="00D0548F">
        <w:t xml:space="preserve"> - </w:t>
      </w:r>
      <w:r w:rsidRPr="00D0548F">
        <w:rPr>
          <w:rFonts w:ascii="Arial" w:hAnsi="Arial" w:cs="Arial"/>
          <w:sz w:val="20"/>
          <w:szCs w:val="20"/>
        </w:rPr>
        <w:t xml:space="preserve">Relator </w:t>
      </w:r>
      <w:r>
        <w:rPr>
          <w:rFonts w:ascii="Arial" w:hAnsi="Arial" w:cs="Arial"/>
          <w:sz w:val="20"/>
          <w:szCs w:val="20"/>
        </w:rPr>
        <w:t>Conselheiro Fabio de Souza Camargo</w:t>
      </w:r>
      <w:r w:rsidRPr="00D0548F">
        <w:rPr>
          <w:rFonts w:ascii="Arial" w:hAnsi="Arial" w:cs="Arial"/>
          <w:sz w:val="20"/>
          <w:szCs w:val="20"/>
        </w:rPr>
        <w:t xml:space="preserve">. </w:t>
      </w:r>
    </w:p>
    <w:p w:rsidR="004429A2" w:rsidRPr="0022060B" w:rsidRDefault="004429A2" w:rsidP="00F567EB">
      <w:pPr>
        <w:autoSpaceDE w:val="0"/>
        <w:autoSpaceDN w:val="0"/>
        <w:adjustRightInd w:val="0"/>
        <w:spacing w:after="0"/>
        <w:jc w:val="both"/>
        <w:rPr>
          <w:rFonts w:ascii="Arial" w:hAnsi="Arial" w:cs="Arial"/>
          <w:sz w:val="20"/>
          <w:szCs w:val="20"/>
        </w:rPr>
      </w:pPr>
    </w:p>
    <w:p w:rsidR="00EC3842" w:rsidRPr="0022060B" w:rsidRDefault="00EC3842" w:rsidP="00F567EB">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F567EB">
      <w:pPr>
        <w:autoSpaceDE w:val="0"/>
        <w:autoSpaceDN w:val="0"/>
        <w:adjustRightInd w:val="0"/>
        <w:spacing w:after="0"/>
        <w:rPr>
          <w:rFonts w:ascii="Arial" w:hAnsi="Arial" w:cs="Arial"/>
          <w:sz w:val="20"/>
          <w:szCs w:val="20"/>
        </w:rPr>
      </w:pPr>
    </w:p>
    <w:p w:rsidR="004227A6" w:rsidRDefault="00F74568" w:rsidP="00F567EB">
      <w:pPr>
        <w:spacing w:after="0"/>
        <w:jc w:val="both"/>
        <w:rPr>
          <w:rFonts w:ascii="Arial" w:hAnsi="Arial" w:cs="Arial"/>
          <w:b/>
          <w:sz w:val="20"/>
          <w:szCs w:val="20"/>
        </w:rPr>
      </w:pPr>
      <w:r>
        <w:rPr>
          <w:rFonts w:ascii="Arial" w:hAnsi="Arial" w:cs="Arial"/>
          <w:b/>
          <w:sz w:val="20"/>
          <w:szCs w:val="20"/>
        </w:rPr>
        <w:t xml:space="preserve">2. </w:t>
      </w:r>
      <w:r w:rsidR="004227A6">
        <w:rPr>
          <w:rFonts w:ascii="Arial" w:hAnsi="Arial" w:cs="Arial"/>
          <w:b/>
          <w:sz w:val="20"/>
          <w:szCs w:val="20"/>
        </w:rPr>
        <w:t>Prestação de Contas de Transferência Voluntária. Irregularidade. Devolução. Multa. Recomendação.</w:t>
      </w:r>
    </w:p>
    <w:p w:rsidR="004227A6" w:rsidRDefault="004227A6" w:rsidP="00F567EB">
      <w:pPr>
        <w:autoSpaceDE w:val="0"/>
        <w:autoSpaceDN w:val="0"/>
        <w:adjustRightInd w:val="0"/>
        <w:spacing w:after="0"/>
        <w:jc w:val="both"/>
        <w:rPr>
          <w:rFonts w:ascii="Arial" w:hAnsi="Arial" w:cs="Arial"/>
          <w:sz w:val="20"/>
          <w:szCs w:val="20"/>
        </w:rPr>
      </w:pPr>
    </w:p>
    <w:p w:rsidR="004227A6" w:rsidRDefault="004227A6" w:rsidP="00F567EB">
      <w:pPr>
        <w:autoSpaceDE w:val="0"/>
        <w:autoSpaceDN w:val="0"/>
        <w:adjustRightInd w:val="0"/>
        <w:spacing w:after="0"/>
        <w:jc w:val="both"/>
        <w:rPr>
          <w:rFonts w:ascii="Arial" w:hAnsi="Arial" w:cs="Arial"/>
          <w:sz w:val="20"/>
          <w:szCs w:val="20"/>
        </w:rPr>
      </w:pPr>
      <w:r>
        <w:rPr>
          <w:rFonts w:ascii="Arial" w:hAnsi="Arial" w:cs="Arial"/>
          <w:sz w:val="20"/>
          <w:szCs w:val="20"/>
        </w:rPr>
        <w:t xml:space="preserve">Termo de Parceria firmado por Município e Instituto Privado para prestação de serviços de apoio na área de Desenvolvimento Econômico e Geração de Renda. Irregularidades na prestação de contas. Objeto inapropriado para transferência voluntária. Ausência de Regulamento Próprio de Compras. Ausência de Consulta ao Conselho de Política Pública. Ausência de Concurso de Projetos para a escolha da OSCIP parceira. Repasses superiores aos previstos. Saldo final do convênio não comprado. Despesas com pessoal e encargos não comprovadas. Realização </w:t>
      </w:r>
      <w:proofErr w:type="gramStart"/>
      <w:r>
        <w:rPr>
          <w:rFonts w:ascii="Arial" w:hAnsi="Arial" w:cs="Arial"/>
          <w:sz w:val="20"/>
          <w:szCs w:val="20"/>
        </w:rPr>
        <w:t>de  despesas</w:t>
      </w:r>
      <w:proofErr w:type="gramEnd"/>
      <w:r>
        <w:rPr>
          <w:rFonts w:ascii="Arial" w:hAnsi="Arial" w:cs="Arial"/>
          <w:sz w:val="20"/>
          <w:szCs w:val="20"/>
        </w:rPr>
        <w:t xml:space="preserve"> não comprovadas a título de custos operacionais. Realização de despesas a título de tarifas bancárias. Realização de despesas não comprovadas a título de verbas rescisórias e multas do FGTS. Retenções previdenciárias não comprovadas. Irregularidade das contas com aplicação de multa administrativa, recolhimento parcial dos recursos repassados ao Instituto, inclusão no cadastro de responsáveis com contas irregulares e recomendações.</w:t>
      </w:r>
    </w:p>
    <w:p w:rsidR="004227A6" w:rsidRPr="001C34B8" w:rsidRDefault="004227A6" w:rsidP="00F567EB">
      <w:pPr>
        <w:autoSpaceDE w:val="0"/>
        <w:autoSpaceDN w:val="0"/>
        <w:adjustRightInd w:val="0"/>
        <w:spacing w:after="0"/>
        <w:jc w:val="both"/>
        <w:rPr>
          <w:rFonts w:ascii="Arial" w:hAnsi="Arial" w:cs="Arial"/>
          <w:sz w:val="20"/>
          <w:szCs w:val="20"/>
        </w:rPr>
      </w:pPr>
    </w:p>
    <w:p w:rsidR="004227A6" w:rsidRDefault="004227A6" w:rsidP="00F567EB">
      <w:pPr>
        <w:spacing w:after="0"/>
        <w:jc w:val="both"/>
        <w:rPr>
          <w:rFonts w:ascii="Arial" w:hAnsi="Arial" w:cs="Arial"/>
          <w:sz w:val="20"/>
          <w:szCs w:val="20"/>
        </w:rPr>
      </w:pPr>
      <w:r>
        <w:rPr>
          <w:rFonts w:ascii="Arial" w:hAnsi="Arial" w:cs="Arial"/>
          <w:sz w:val="20"/>
          <w:szCs w:val="20"/>
        </w:rPr>
        <w:lastRenderedPageBreak/>
        <w:t xml:space="preserve">Processo nº 602675/13 - </w:t>
      </w:r>
      <w:hyperlink r:id="rId9" w:history="1">
        <w:r w:rsidRPr="00BE15E2">
          <w:rPr>
            <w:rStyle w:val="Hyperlink"/>
            <w:rFonts w:ascii="Arial" w:hAnsi="Arial" w:cs="Arial"/>
            <w:sz w:val="20"/>
            <w:szCs w:val="20"/>
          </w:rPr>
          <w:t xml:space="preserve">Acórdão nº </w:t>
        </w:r>
        <w:r>
          <w:rPr>
            <w:rStyle w:val="Hyperlink"/>
            <w:rFonts w:ascii="Arial" w:hAnsi="Arial" w:cs="Arial"/>
            <w:sz w:val="20"/>
            <w:szCs w:val="20"/>
          </w:rPr>
          <w:t>787</w:t>
        </w:r>
        <w:r w:rsidRPr="00BE15E2">
          <w:rPr>
            <w:rStyle w:val="Hyperlink"/>
            <w:rFonts w:ascii="Arial" w:hAnsi="Arial" w:cs="Arial"/>
            <w:sz w:val="20"/>
            <w:szCs w:val="20"/>
          </w:rPr>
          <w:t>/18 - Segunda Câmara</w:t>
        </w:r>
      </w:hyperlink>
      <w:r>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4227A6" w:rsidRDefault="004227A6" w:rsidP="00F567EB">
      <w:pPr>
        <w:spacing w:after="0"/>
        <w:jc w:val="both"/>
        <w:rPr>
          <w:rFonts w:ascii="Arial" w:hAnsi="Arial" w:cs="Arial"/>
          <w:sz w:val="20"/>
          <w:szCs w:val="20"/>
        </w:rPr>
      </w:pPr>
    </w:p>
    <w:p w:rsidR="004227A6" w:rsidRDefault="00F74568" w:rsidP="00F567EB">
      <w:pPr>
        <w:spacing w:after="0"/>
        <w:jc w:val="both"/>
        <w:rPr>
          <w:rFonts w:ascii="Arial" w:hAnsi="Arial" w:cs="Arial"/>
          <w:b/>
          <w:sz w:val="20"/>
          <w:szCs w:val="20"/>
        </w:rPr>
      </w:pPr>
      <w:r>
        <w:rPr>
          <w:rFonts w:ascii="Arial" w:hAnsi="Arial" w:cs="Arial"/>
          <w:b/>
          <w:sz w:val="20"/>
          <w:szCs w:val="20"/>
        </w:rPr>
        <w:t xml:space="preserve">3. </w:t>
      </w:r>
      <w:r w:rsidR="004227A6">
        <w:rPr>
          <w:rFonts w:ascii="Arial" w:hAnsi="Arial" w:cs="Arial"/>
          <w:b/>
          <w:sz w:val="20"/>
          <w:szCs w:val="20"/>
        </w:rPr>
        <w:t>Admissão de pessoal. Teste Seletivo. Falta de Justificativa. Cargos de natureza permanente. Registro. Determinações. Aplicação de multa.</w:t>
      </w:r>
    </w:p>
    <w:p w:rsidR="004227A6" w:rsidRDefault="004227A6" w:rsidP="00F567EB">
      <w:pPr>
        <w:spacing w:after="0"/>
        <w:jc w:val="both"/>
        <w:rPr>
          <w:rFonts w:ascii="Arial" w:hAnsi="Arial" w:cs="Arial"/>
          <w:b/>
          <w:sz w:val="20"/>
          <w:szCs w:val="20"/>
        </w:rPr>
      </w:pPr>
    </w:p>
    <w:p w:rsidR="00E43278" w:rsidRDefault="004227A6" w:rsidP="00F567EB">
      <w:pPr>
        <w:autoSpaceDE w:val="0"/>
        <w:autoSpaceDN w:val="0"/>
        <w:adjustRightInd w:val="0"/>
        <w:spacing w:after="0"/>
        <w:jc w:val="both"/>
        <w:rPr>
          <w:rFonts w:ascii="Arial" w:hAnsi="Arial" w:cs="Arial"/>
          <w:sz w:val="20"/>
          <w:szCs w:val="20"/>
        </w:rPr>
      </w:pPr>
      <w:r w:rsidRPr="003948CE">
        <w:rPr>
          <w:rFonts w:ascii="Arial" w:hAnsi="Arial" w:cs="Arial"/>
          <w:sz w:val="20"/>
          <w:szCs w:val="20"/>
        </w:rPr>
        <w:t xml:space="preserve">Análise de admissão de pessoal para provimento de cargos de serviços gerais, operário, pedreiro, encanador, marceneiro e eletricista, através de Teste Seletivo. O Município justifica as contratações para “arrastões contra dengue e outras epidemias”, bem como para suprir temporariamente falta de servidores até a realização de novo concurso público, cobrir licenças e outros impedimentos. Perpetuação de provimento para cargos de natureza permanente por meio de testes seletivos. </w:t>
      </w:r>
    </w:p>
    <w:p w:rsidR="00E43278" w:rsidRDefault="00E43278" w:rsidP="00F567EB">
      <w:pPr>
        <w:autoSpaceDE w:val="0"/>
        <w:autoSpaceDN w:val="0"/>
        <w:adjustRightInd w:val="0"/>
        <w:spacing w:after="0"/>
        <w:jc w:val="both"/>
        <w:rPr>
          <w:rFonts w:ascii="Arial" w:hAnsi="Arial" w:cs="Arial"/>
          <w:sz w:val="20"/>
          <w:szCs w:val="20"/>
        </w:rPr>
      </w:pPr>
    </w:p>
    <w:p w:rsidR="004227A6" w:rsidRDefault="004227A6" w:rsidP="00F567EB">
      <w:pPr>
        <w:autoSpaceDE w:val="0"/>
        <w:autoSpaceDN w:val="0"/>
        <w:adjustRightInd w:val="0"/>
        <w:spacing w:after="0"/>
        <w:jc w:val="both"/>
        <w:rPr>
          <w:rFonts w:ascii="Arial" w:hAnsi="Arial" w:cs="Arial"/>
          <w:sz w:val="20"/>
          <w:szCs w:val="20"/>
        </w:rPr>
      </w:pPr>
      <w:r w:rsidRPr="003948CE">
        <w:rPr>
          <w:rFonts w:ascii="Arial" w:hAnsi="Arial" w:cs="Arial"/>
          <w:sz w:val="20"/>
          <w:szCs w:val="20"/>
        </w:rPr>
        <w:t xml:space="preserve">A justificativa deve atender ao requisito de necessidade temporária de excepcional interesse público em razão dos cargos serem de natureza permanente. Perda do objeto em razão do exaurimento dos contratos temporários. Determinação para que o Poder Executivo utilize de concurso público para provimento de cargos </w:t>
      </w:r>
      <w:r>
        <w:rPr>
          <w:rFonts w:ascii="Arial" w:hAnsi="Arial" w:cs="Arial"/>
          <w:sz w:val="20"/>
          <w:szCs w:val="20"/>
        </w:rPr>
        <w:t xml:space="preserve">de natureza </w:t>
      </w:r>
      <w:r w:rsidRPr="003948CE">
        <w:rPr>
          <w:rFonts w:ascii="Arial" w:hAnsi="Arial" w:cs="Arial"/>
          <w:sz w:val="20"/>
          <w:szCs w:val="20"/>
        </w:rPr>
        <w:t>permanente, em atenção ao que dispõe o artigo 37, II e IX da Constituição Federal, e ainda para que junte cópia das rescisões contratuais de todos os servidores admitidos</w:t>
      </w:r>
      <w:r>
        <w:rPr>
          <w:rFonts w:ascii="Arial" w:hAnsi="Arial" w:cs="Arial"/>
          <w:sz w:val="20"/>
          <w:szCs w:val="20"/>
        </w:rPr>
        <w:t>. A</w:t>
      </w:r>
      <w:r w:rsidRPr="003948CE">
        <w:rPr>
          <w:rFonts w:ascii="Arial" w:hAnsi="Arial" w:cs="Arial"/>
          <w:sz w:val="20"/>
          <w:szCs w:val="20"/>
        </w:rPr>
        <w:t>plicação de multa ao gestor.</w:t>
      </w:r>
    </w:p>
    <w:p w:rsidR="004227A6" w:rsidRPr="003948CE" w:rsidRDefault="004227A6" w:rsidP="00F567EB">
      <w:pPr>
        <w:autoSpaceDE w:val="0"/>
        <w:autoSpaceDN w:val="0"/>
        <w:adjustRightInd w:val="0"/>
        <w:spacing w:after="0"/>
        <w:jc w:val="both"/>
        <w:rPr>
          <w:rFonts w:ascii="Arial" w:hAnsi="Arial" w:cs="Arial"/>
          <w:sz w:val="20"/>
          <w:szCs w:val="20"/>
        </w:rPr>
      </w:pPr>
    </w:p>
    <w:p w:rsidR="004227A6" w:rsidRDefault="004227A6" w:rsidP="00F567EB">
      <w:pPr>
        <w:spacing w:after="0"/>
        <w:jc w:val="both"/>
        <w:rPr>
          <w:rFonts w:ascii="Arial" w:hAnsi="Arial" w:cs="Arial"/>
          <w:sz w:val="20"/>
          <w:szCs w:val="20"/>
        </w:rPr>
      </w:pPr>
      <w:r>
        <w:rPr>
          <w:rFonts w:ascii="Arial" w:hAnsi="Arial" w:cs="Arial"/>
          <w:sz w:val="20"/>
          <w:szCs w:val="20"/>
        </w:rPr>
        <w:t xml:space="preserve">Processo nº 1016712/15 - </w:t>
      </w:r>
      <w:hyperlink r:id="rId10" w:history="1">
        <w:r w:rsidRPr="004D5935">
          <w:rPr>
            <w:rStyle w:val="Hyperlink"/>
            <w:rFonts w:ascii="Arial" w:hAnsi="Arial" w:cs="Arial"/>
            <w:sz w:val="20"/>
            <w:szCs w:val="20"/>
          </w:rPr>
          <w:t xml:space="preserve">Acórdão nº </w:t>
        </w:r>
        <w:r>
          <w:rPr>
            <w:rStyle w:val="Hyperlink"/>
            <w:rFonts w:ascii="Arial" w:hAnsi="Arial" w:cs="Arial"/>
            <w:sz w:val="20"/>
            <w:szCs w:val="20"/>
          </w:rPr>
          <w:t>789</w:t>
        </w:r>
        <w:r w:rsidRPr="004D5935">
          <w:rPr>
            <w:rStyle w:val="Hyperlink"/>
            <w:rFonts w:ascii="Arial" w:hAnsi="Arial" w:cs="Arial"/>
            <w:sz w:val="20"/>
            <w:szCs w:val="20"/>
          </w:rPr>
          <w:t>/18 - Segunda Câmara</w:t>
        </w:r>
      </w:hyperlink>
      <w:r>
        <w:rPr>
          <w:rFonts w:ascii="Arial" w:hAnsi="Arial" w:cs="Arial"/>
          <w:sz w:val="20"/>
          <w:szCs w:val="20"/>
        </w:rPr>
        <w:t xml:space="preserve"> </w:t>
      </w:r>
      <w:r w:rsidR="00247A4B">
        <w:rPr>
          <w:rFonts w:ascii="Arial" w:hAnsi="Arial" w:cs="Arial"/>
          <w:sz w:val="20"/>
          <w:szCs w:val="20"/>
        </w:rPr>
        <w:t>-</w:t>
      </w:r>
      <w:r>
        <w:rPr>
          <w:rFonts w:ascii="Arial" w:hAnsi="Arial" w:cs="Arial"/>
          <w:sz w:val="20"/>
          <w:szCs w:val="20"/>
        </w:rPr>
        <w:t xml:space="preserve"> Rel</w:t>
      </w:r>
      <w:r w:rsidR="00247A4B">
        <w:rPr>
          <w:rFonts w:ascii="Arial" w:hAnsi="Arial" w:cs="Arial"/>
          <w:sz w:val="20"/>
          <w:szCs w:val="20"/>
        </w:rPr>
        <w:t>.</w:t>
      </w:r>
      <w:r>
        <w:rPr>
          <w:rFonts w:ascii="Arial" w:hAnsi="Arial" w:cs="Arial"/>
          <w:sz w:val="20"/>
          <w:szCs w:val="20"/>
        </w:rPr>
        <w:t xml:space="preserve">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E91D32" w:rsidRDefault="00E91D32" w:rsidP="00F567EB">
      <w:pPr>
        <w:spacing w:after="0"/>
        <w:jc w:val="both"/>
        <w:rPr>
          <w:rFonts w:ascii="Arial" w:hAnsi="Arial" w:cs="Arial"/>
          <w:sz w:val="20"/>
          <w:szCs w:val="20"/>
        </w:rPr>
      </w:pPr>
    </w:p>
    <w:p w:rsidR="00E91D32" w:rsidRDefault="00F74568" w:rsidP="00E91D32">
      <w:pPr>
        <w:spacing w:after="0"/>
        <w:jc w:val="both"/>
        <w:rPr>
          <w:rFonts w:ascii="Arial" w:hAnsi="Arial" w:cs="Arial"/>
          <w:b/>
          <w:sz w:val="20"/>
          <w:szCs w:val="20"/>
        </w:rPr>
      </w:pPr>
      <w:r>
        <w:rPr>
          <w:rFonts w:ascii="Arial" w:hAnsi="Arial" w:cs="Arial"/>
          <w:b/>
          <w:sz w:val="20"/>
          <w:szCs w:val="20"/>
        </w:rPr>
        <w:t xml:space="preserve">4. </w:t>
      </w:r>
      <w:r w:rsidR="00E91D32">
        <w:rPr>
          <w:rFonts w:ascii="Arial" w:hAnsi="Arial" w:cs="Arial"/>
          <w:b/>
          <w:sz w:val="20"/>
          <w:szCs w:val="20"/>
        </w:rPr>
        <w:t xml:space="preserve">Prestação de Contas Anual. </w:t>
      </w:r>
      <w:r w:rsidR="00E91D32" w:rsidRPr="00012728">
        <w:rPr>
          <w:rFonts w:ascii="Arial" w:hAnsi="Arial" w:cs="Arial"/>
          <w:b/>
          <w:sz w:val="20"/>
          <w:szCs w:val="20"/>
        </w:rPr>
        <w:t>Falta de Repasse de contribuições retid</w:t>
      </w:r>
      <w:r w:rsidR="00E91D32">
        <w:rPr>
          <w:rFonts w:ascii="Arial" w:hAnsi="Arial" w:cs="Arial"/>
          <w:b/>
          <w:sz w:val="20"/>
          <w:szCs w:val="20"/>
        </w:rPr>
        <w:t>as dos Servidores para o INSS.</w:t>
      </w:r>
    </w:p>
    <w:p w:rsidR="00E91D32" w:rsidRDefault="00E91D32" w:rsidP="00E91D32">
      <w:pPr>
        <w:autoSpaceDE w:val="0"/>
        <w:autoSpaceDN w:val="0"/>
        <w:adjustRightInd w:val="0"/>
        <w:spacing w:after="0"/>
        <w:jc w:val="both"/>
        <w:rPr>
          <w:rFonts w:ascii="Arial" w:hAnsi="Arial" w:cs="Arial"/>
          <w:sz w:val="20"/>
          <w:szCs w:val="20"/>
        </w:rPr>
      </w:pPr>
    </w:p>
    <w:p w:rsidR="00E91D32" w:rsidRDefault="00E91D32" w:rsidP="00E91D32">
      <w:pPr>
        <w:autoSpaceDE w:val="0"/>
        <w:autoSpaceDN w:val="0"/>
        <w:adjustRightInd w:val="0"/>
        <w:spacing w:after="0"/>
        <w:jc w:val="both"/>
        <w:rPr>
          <w:rFonts w:ascii="Arial" w:hAnsi="Arial" w:cs="Arial"/>
          <w:sz w:val="20"/>
          <w:szCs w:val="20"/>
        </w:rPr>
      </w:pPr>
      <w:r>
        <w:rPr>
          <w:rFonts w:ascii="Arial" w:hAnsi="Arial" w:cs="Arial"/>
          <w:sz w:val="20"/>
          <w:szCs w:val="20"/>
        </w:rPr>
        <w:t xml:space="preserve">A realização de </w:t>
      </w:r>
      <w:r w:rsidRPr="00012728">
        <w:rPr>
          <w:rFonts w:ascii="Arial" w:hAnsi="Arial" w:cs="Arial"/>
          <w:sz w:val="20"/>
          <w:szCs w:val="20"/>
        </w:rPr>
        <w:t>descontos previdenciários dos servidores/empregados públicos sem o devido repasse à Autarqui</w:t>
      </w:r>
      <w:r>
        <w:rPr>
          <w:rFonts w:ascii="Arial" w:hAnsi="Arial" w:cs="Arial"/>
          <w:sz w:val="20"/>
          <w:szCs w:val="20"/>
        </w:rPr>
        <w:t>a Previdenciária Federal (INSS)</w:t>
      </w:r>
      <w:r w:rsidRPr="00012728">
        <w:rPr>
          <w:rFonts w:ascii="Arial" w:hAnsi="Arial" w:cs="Arial"/>
          <w:sz w:val="20"/>
          <w:szCs w:val="20"/>
        </w:rPr>
        <w:t xml:space="preserve"> </w:t>
      </w:r>
      <w:r>
        <w:rPr>
          <w:rFonts w:ascii="Arial" w:hAnsi="Arial" w:cs="Arial"/>
          <w:sz w:val="20"/>
          <w:szCs w:val="20"/>
        </w:rPr>
        <w:t>configura</w:t>
      </w:r>
      <w:r w:rsidRPr="00012728">
        <w:rPr>
          <w:rFonts w:ascii="Arial" w:hAnsi="Arial" w:cs="Arial"/>
          <w:sz w:val="20"/>
          <w:szCs w:val="20"/>
        </w:rPr>
        <w:t xml:space="preserve"> afronta ao Sistema Previdenciário</w:t>
      </w:r>
      <w:r>
        <w:rPr>
          <w:rFonts w:ascii="Arial" w:hAnsi="Arial" w:cs="Arial"/>
          <w:sz w:val="20"/>
          <w:szCs w:val="20"/>
        </w:rPr>
        <w:t xml:space="preserve">, sem prejuízo da apuração da </w:t>
      </w:r>
      <w:r w:rsidRPr="00012728">
        <w:rPr>
          <w:rFonts w:ascii="Arial" w:hAnsi="Arial" w:cs="Arial"/>
          <w:sz w:val="20"/>
          <w:szCs w:val="20"/>
        </w:rPr>
        <w:t>apropriação indébita dos valores por parte do Gestor.</w:t>
      </w:r>
    </w:p>
    <w:p w:rsidR="00E91D32" w:rsidRDefault="00E91D32" w:rsidP="00E91D32">
      <w:pPr>
        <w:spacing w:after="0"/>
        <w:jc w:val="both"/>
        <w:rPr>
          <w:rFonts w:ascii="Arial" w:hAnsi="Arial" w:cs="Arial"/>
          <w:sz w:val="20"/>
          <w:szCs w:val="20"/>
        </w:rPr>
      </w:pPr>
    </w:p>
    <w:p w:rsidR="00E91D32" w:rsidRDefault="00E91D32" w:rsidP="00E91D32">
      <w:pPr>
        <w:spacing w:after="0"/>
        <w:jc w:val="both"/>
        <w:rPr>
          <w:rFonts w:ascii="Arial" w:hAnsi="Arial" w:cs="Arial"/>
          <w:sz w:val="20"/>
          <w:szCs w:val="20"/>
        </w:rPr>
      </w:pPr>
      <w:r>
        <w:rPr>
          <w:rFonts w:ascii="Arial" w:hAnsi="Arial" w:cs="Arial"/>
          <w:sz w:val="20"/>
          <w:szCs w:val="20"/>
        </w:rPr>
        <w:t xml:space="preserve">Processo nº 393140/14 - </w:t>
      </w:r>
      <w:hyperlink r:id="rId11" w:history="1">
        <w:r w:rsidRPr="00012728">
          <w:rPr>
            <w:rStyle w:val="Hyperlink"/>
            <w:rFonts w:ascii="Arial" w:hAnsi="Arial" w:cs="Arial"/>
            <w:sz w:val="20"/>
            <w:szCs w:val="20"/>
          </w:rPr>
          <w:t>Acórdão nº 865/18 - Segunda Câmara</w:t>
        </w:r>
      </w:hyperlink>
      <w:r>
        <w:rPr>
          <w:rFonts w:ascii="Arial" w:hAnsi="Arial" w:cs="Arial"/>
          <w:sz w:val="20"/>
          <w:szCs w:val="20"/>
        </w:rPr>
        <w:t xml:space="preserve"> </w:t>
      </w:r>
      <w:r>
        <w:rPr>
          <w:rFonts w:ascii="Arial" w:hAnsi="Arial" w:cs="Arial"/>
          <w:sz w:val="20"/>
          <w:szCs w:val="20"/>
        </w:rPr>
        <w:t>-</w:t>
      </w:r>
      <w:r>
        <w:rPr>
          <w:rFonts w:ascii="Arial" w:hAnsi="Arial" w:cs="Arial"/>
          <w:sz w:val="20"/>
          <w:szCs w:val="20"/>
        </w:rPr>
        <w:t xml:space="preserve"> Rel</w:t>
      </w:r>
      <w:r>
        <w:rPr>
          <w:rFonts w:ascii="Arial" w:hAnsi="Arial" w:cs="Arial"/>
          <w:sz w:val="20"/>
          <w:szCs w:val="20"/>
        </w:rPr>
        <w:t>.</w:t>
      </w:r>
      <w:r>
        <w:rPr>
          <w:rFonts w:ascii="Arial" w:hAnsi="Arial" w:cs="Arial"/>
          <w:sz w:val="20"/>
          <w:szCs w:val="20"/>
        </w:rPr>
        <w:t xml:space="preserve">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AE4F42" w:rsidRPr="0022060B" w:rsidRDefault="00AE4F42" w:rsidP="00F567EB">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F567EB">
      <w:pPr>
        <w:autoSpaceDE w:val="0"/>
        <w:autoSpaceDN w:val="0"/>
        <w:adjustRightInd w:val="0"/>
        <w:spacing w:after="0"/>
        <w:jc w:val="both"/>
        <w:rPr>
          <w:rFonts w:ascii="Arial" w:hAnsi="Arial" w:cs="Arial"/>
          <w:b/>
          <w:color w:val="000000"/>
          <w:sz w:val="20"/>
          <w:szCs w:val="20"/>
          <w:shd w:val="clear" w:color="auto" w:fill="FFFFFF"/>
        </w:rPr>
      </w:pPr>
    </w:p>
    <w:p w:rsidR="00D53692" w:rsidRPr="00837D1D" w:rsidRDefault="00F74568" w:rsidP="00F567EB">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sz w:val="20"/>
          <w:szCs w:val="20"/>
        </w:rPr>
        <w:t xml:space="preserve">5. </w:t>
      </w:r>
      <w:r w:rsidR="00837D1D" w:rsidRPr="00837D1D">
        <w:rPr>
          <w:rFonts w:ascii="Arial" w:hAnsi="Arial" w:cs="Arial"/>
          <w:b/>
          <w:sz w:val="20"/>
          <w:szCs w:val="20"/>
        </w:rPr>
        <w:t>Recurso de Revista. Prestação de Contas Municipal. Subsídios dos agentes políticos. Reajuste. Ato normativo. Decreto. Impossibil</w:t>
      </w:r>
      <w:r w:rsidR="00F85634">
        <w:rPr>
          <w:rFonts w:ascii="Arial" w:hAnsi="Arial" w:cs="Arial"/>
          <w:b/>
          <w:sz w:val="20"/>
          <w:szCs w:val="20"/>
        </w:rPr>
        <w:t>i</w:t>
      </w:r>
      <w:r w:rsidR="00837D1D" w:rsidRPr="00837D1D">
        <w:rPr>
          <w:rFonts w:ascii="Arial" w:hAnsi="Arial" w:cs="Arial"/>
          <w:b/>
          <w:sz w:val="20"/>
          <w:szCs w:val="20"/>
        </w:rPr>
        <w:t>dade. Necessidade de edição de lei específica de iniciativa da Câmara Municipal. Manutenção da irregularidade e da responsabilização. Recurso desprovido.</w:t>
      </w:r>
    </w:p>
    <w:p w:rsidR="00D53692" w:rsidRDefault="00D53692" w:rsidP="00F567EB">
      <w:pPr>
        <w:autoSpaceDE w:val="0"/>
        <w:autoSpaceDN w:val="0"/>
        <w:adjustRightInd w:val="0"/>
        <w:spacing w:after="0"/>
        <w:jc w:val="both"/>
        <w:rPr>
          <w:rFonts w:ascii="Arial" w:hAnsi="Arial" w:cs="Arial"/>
          <w:b/>
          <w:color w:val="000000"/>
          <w:sz w:val="20"/>
          <w:szCs w:val="20"/>
          <w:shd w:val="clear" w:color="auto" w:fill="FFFFFF"/>
        </w:rPr>
      </w:pPr>
    </w:p>
    <w:p w:rsidR="005F43EF" w:rsidRDefault="005F43EF" w:rsidP="00F567EB">
      <w:pPr>
        <w:autoSpaceDE w:val="0"/>
        <w:autoSpaceDN w:val="0"/>
        <w:adjustRightInd w:val="0"/>
        <w:spacing w:after="0"/>
        <w:jc w:val="both"/>
        <w:rPr>
          <w:rFonts w:ascii="Arial" w:hAnsi="Arial" w:cs="Arial"/>
          <w:sz w:val="20"/>
          <w:szCs w:val="20"/>
        </w:rPr>
      </w:pPr>
      <w:r w:rsidRPr="005F43EF">
        <w:rPr>
          <w:rFonts w:ascii="Arial" w:hAnsi="Arial" w:cs="Arial"/>
          <w:sz w:val="20"/>
          <w:szCs w:val="20"/>
        </w:rPr>
        <w:t>Considerando</w:t>
      </w:r>
      <w:r>
        <w:rPr>
          <w:rFonts w:ascii="Arial" w:hAnsi="Arial" w:cs="Arial"/>
          <w:sz w:val="20"/>
          <w:szCs w:val="20"/>
        </w:rPr>
        <w:t xml:space="preserve"> </w:t>
      </w:r>
      <w:r w:rsidRPr="005F43EF">
        <w:rPr>
          <w:rFonts w:ascii="Arial" w:hAnsi="Arial" w:cs="Arial"/>
          <w:sz w:val="20"/>
          <w:szCs w:val="20"/>
        </w:rPr>
        <w:t xml:space="preserve">o Decreto </w:t>
      </w:r>
      <w:proofErr w:type="gramStart"/>
      <w:r w:rsidRPr="005F43EF">
        <w:rPr>
          <w:rFonts w:ascii="Arial" w:hAnsi="Arial" w:cs="Arial"/>
          <w:sz w:val="20"/>
          <w:szCs w:val="20"/>
        </w:rPr>
        <w:t>n.º</w:t>
      </w:r>
      <w:proofErr w:type="gramEnd"/>
      <w:r w:rsidRPr="005F43EF">
        <w:rPr>
          <w:rFonts w:ascii="Arial" w:hAnsi="Arial" w:cs="Arial"/>
          <w:sz w:val="20"/>
          <w:szCs w:val="20"/>
        </w:rPr>
        <w:t xml:space="preserve"> 122/06 ou o</w:t>
      </w:r>
      <w:r>
        <w:rPr>
          <w:rFonts w:ascii="Arial" w:hAnsi="Arial" w:cs="Arial"/>
          <w:sz w:val="20"/>
          <w:szCs w:val="20"/>
        </w:rPr>
        <w:t xml:space="preserve"> </w:t>
      </w:r>
      <w:r w:rsidRPr="005F43EF">
        <w:rPr>
          <w:rFonts w:ascii="Arial" w:hAnsi="Arial" w:cs="Arial"/>
          <w:sz w:val="20"/>
          <w:szCs w:val="20"/>
        </w:rPr>
        <w:t>Decreto n.º 206/07, os citados reajustes não precederam de Lei específica</w:t>
      </w:r>
      <w:r>
        <w:rPr>
          <w:rFonts w:ascii="Arial" w:hAnsi="Arial" w:cs="Arial"/>
          <w:sz w:val="20"/>
          <w:szCs w:val="20"/>
        </w:rPr>
        <w:t xml:space="preserve"> </w:t>
      </w:r>
      <w:r w:rsidRPr="005F43EF">
        <w:rPr>
          <w:rFonts w:ascii="Arial" w:hAnsi="Arial" w:cs="Arial"/>
          <w:sz w:val="20"/>
          <w:szCs w:val="20"/>
        </w:rPr>
        <w:t xml:space="preserve">para tanto. Salienta-se que o citado art. 4º da Lei Municipal </w:t>
      </w:r>
      <w:proofErr w:type="gramStart"/>
      <w:r w:rsidRPr="005F43EF">
        <w:rPr>
          <w:rFonts w:ascii="Arial" w:hAnsi="Arial" w:cs="Arial"/>
          <w:sz w:val="20"/>
          <w:szCs w:val="20"/>
        </w:rPr>
        <w:t>n.º</w:t>
      </w:r>
      <w:proofErr w:type="gramEnd"/>
      <w:r w:rsidRPr="005F43EF">
        <w:rPr>
          <w:rFonts w:ascii="Arial" w:hAnsi="Arial" w:cs="Arial"/>
          <w:sz w:val="20"/>
          <w:szCs w:val="20"/>
        </w:rPr>
        <w:t xml:space="preserve"> 1.595/04</w:t>
      </w:r>
      <w:r>
        <w:rPr>
          <w:rFonts w:ascii="Arial" w:hAnsi="Arial" w:cs="Arial"/>
          <w:sz w:val="20"/>
          <w:szCs w:val="20"/>
        </w:rPr>
        <w:t xml:space="preserve"> </w:t>
      </w:r>
      <w:r w:rsidRPr="005F43EF">
        <w:rPr>
          <w:rFonts w:ascii="Arial" w:hAnsi="Arial" w:cs="Arial"/>
          <w:sz w:val="20"/>
          <w:szCs w:val="20"/>
        </w:rPr>
        <w:t>consiste em norma de caráter genérico, que não cumpre com o Princípio da</w:t>
      </w:r>
      <w:r>
        <w:rPr>
          <w:rFonts w:ascii="Arial" w:hAnsi="Arial" w:cs="Arial"/>
          <w:sz w:val="20"/>
          <w:szCs w:val="20"/>
        </w:rPr>
        <w:t xml:space="preserve"> </w:t>
      </w:r>
      <w:r w:rsidRPr="005F43EF">
        <w:rPr>
          <w:rFonts w:ascii="Arial" w:hAnsi="Arial" w:cs="Arial"/>
          <w:sz w:val="20"/>
          <w:szCs w:val="20"/>
        </w:rPr>
        <w:t xml:space="preserve">Legalidade, exigindo-se a </w:t>
      </w:r>
      <w:r w:rsidRPr="005F43EF">
        <w:rPr>
          <w:rFonts w:ascii="Arial" w:hAnsi="Arial" w:cs="Arial"/>
          <w:sz w:val="20"/>
          <w:szCs w:val="20"/>
        </w:rPr>
        <w:lastRenderedPageBreak/>
        <w:t>iniciativa da Câmara Municipal, o que revela a</w:t>
      </w:r>
      <w:r>
        <w:rPr>
          <w:rFonts w:ascii="Arial" w:hAnsi="Arial" w:cs="Arial"/>
          <w:sz w:val="20"/>
          <w:szCs w:val="20"/>
        </w:rPr>
        <w:t xml:space="preserve"> </w:t>
      </w:r>
      <w:r w:rsidRPr="005F43EF">
        <w:rPr>
          <w:rFonts w:ascii="Arial" w:hAnsi="Arial" w:cs="Arial"/>
          <w:sz w:val="20"/>
          <w:szCs w:val="20"/>
        </w:rPr>
        <w:t>violação ao que trata o Provimento 56/05 desta Corte de Contas.</w:t>
      </w:r>
      <w:r>
        <w:rPr>
          <w:rFonts w:ascii="Arial" w:hAnsi="Arial" w:cs="Arial"/>
          <w:sz w:val="20"/>
          <w:szCs w:val="20"/>
        </w:rPr>
        <w:t xml:space="preserve"> </w:t>
      </w:r>
      <w:r w:rsidRPr="005F43EF">
        <w:rPr>
          <w:rFonts w:ascii="Arial" w:hAnsi="Arial" w:cs="Arial"/>
          <w:sz w:val="20"/>
          <w:szCs w:val="20"/>
        </w:rPr>
        <w:t>Seguindo essa linha de raciocínio, é a jurisprudência desta</w:t>
      </w:r>
      <w:r>
        <w:rPr>
          <w:rFonts w:ascii="Arial" w:hAnsi="Arial" w:cs="Arial"/>
          <w:sz w:val="20"/>
          <w:szCs w:val="20"/>
        </w:rPr>
        <w:t xml:space="preserve"> </w:t>
      </w:r>
      <w:r w:rsidRPr="005F43EF">
        <w:rPr>
          <w:rFonts w:ascii="Arial" w:hAnsi="Arial" w:cs="Arial"/>
          <w:sz w:val="20"/>
          <w:szCs w:val="20"/>
        </w:rPr>
        <w:t>Corte de Contas:</w:t>
      </w:r>
    </w:p>
    <w:p w:rsidR="005F43EF" w:rsidRDefault="005F43EF" w:rsidP="00F567EB">
      <w:pPr>
        <w:autoSpaceDE w:val="0"/>
        <w:autoSpaceDN w:val="0"/>
        <w:adjustRightInd w:val="0"/>
        <w:spacing w:after="0"/>
        <w:jc w:val="both"/>
        <w:rPr>
          <w:rFonts w:ascii="Arial" w:hAnsi="Arial" w:cs="Arial"/>
          <w:sz w:val="20"/>
          <w:szCs w:val="20"/>
        </w:rPr>
      </w:pPr>
    </w:p>
    <w:p w:rsidR="00A70686" w:rsidRDefault="005F43EF" w:rsidP="00F567EB">
      <w:pPr>
        <w:autoSpaceDE w:val="0"/>
        <w:autoSpaceDN w:val="0"/>
        <w:adjustRightInd w:val="0"/>
        <w:spacing w:after="0"/>
        <w:jc w:val="both"/>
        <w:rPr>
          <w:rFonts w:ascii="Arial" w:hAnsi="Arial" w:cs="Arial"/>
          <w:i/>
          <w:iCs/>
          <w:sz w:val="20"/>
          <w:szCs w:val="20"/>
        </w:rPr>
      </w:pPr>
      <w:r w:rsidRPr="005F43EF">
        <w:rPr>
          <w:rFonts w:ascii="Arial" w:hAnsi="Arial" w:cs="Arial"/>
          <w:i/>
          <w:iCs/>
          <w:sz w:val="20"/>
          <w:szCs w:val="20"/>
        </w:rPr>
        <w:t>TOMADA DE CONTAS EXTRAORDINÁRIA.</w:t>
      </w:r>
      <w:r>
        <w:rPr>
          <w:rFonts w:ascii="Arial" w:hAnsi="Arial" w:cs="Arial"/>
          <w:i/>
          <w:iCs/>
          <w:sz w:val="20"/>
          <w:szCs w:val="20"/>
        </w:rPr>
        <w:t xml:space="preserve"> </w:t>
      </w:r>
      <w:r w:rsidRPr="005F43EF">
        <w:rPr>
          <w:rFonts w:ascii="Arial" w:hAnsi="Arial" w:cs="Arial"/>
          <w:i/>
          <w:iCs/>
          <w:sz w:val="20"/>
          <w:szCs w:val="20"/>
        </w:rPr>
        <w:t>REMUNERAÇÃO DOS AGENTES POLÍTICOS. PREFEITO</w:t>
      </w:r>
      <w:r>
        <w:rPr>
          <w:rFonts w:ascii="Arial" w:hAnsi="Arial" w:cs="Arial"/>
          <w:i/>
          <w:iCs/>
          <w:sz w:val="20"/>
          <w:szCs w:val="20"/>
        </w:rPr>
        <w:t xml:space="preserve"> </w:t>
      </w:r>
      <w:r w:rsidRPr="005F43EF">
        <w:rPr>
          <w:rFonts w:ascii="Arial" w:hAnsi="Arial" w:cs="Arial"/>
          <w:i/>
          <w:iCs/>
          <w:sz w:val="20"/>
          <w:szCs w:val="20"/>
        </w:rPr>
        <w:t>MUNICIPAL. INAPLICABILIDADE DE ANTERIORIDADE DE</w:t>
      </w:r>
      <w:r>
        <w:rPr>
          <w:rFonts w:ascii="Arial" w:hAnsi="Arial" w:cs="Arial"/>
          <w:i/>
          <w:iCs/>
          <w:sz w:val="20"/>
          <w:szCs w:val="20"/>
        </w:rPr>
        <w:t xml:space="preserve"> </w:t>
      </w:r>
      <w:r w:rsidRPr="005F43EF">
        <w:rPr>
          <w:rFonts w:ascii="Arial" w:hAnsi="Arial" w:cs="Arial"/>
          <w:i/>
          <w:iCs/>
          <w:sz w:val="20"/>
          <w:szCs w:val="20"/>
        </w:rPr>
        <w:t>LEGISLATURA.</w:t>
      </w:r>
      <w:r w:rsidR="00E76440">
        <w:rPr>
          <w:rFonts w:ascii="Arial" w:hAnsi="Arial" w:cs="Arial"/>
          <w:i/>
          <w:iCs/>
          <w:sz w:val="20"/>
          <w:szCs w:val="20"/>
        </w:rPr>
        <w:t xml:space="preserve"> </w:t>
      </w:r>
      <w:r w:rsidRPr="005F43EF">
        <w:rPr>
          <w:rFonts w:ascii="Arial" w:hAnsi="Arial" w:cs="Arial"/>
          <w:i/>
          <w:iCs/>
          <w:sz w:val="20"/>
          <w:szCs w:val="20"/>
        </w:rPr>
        <w:t>(...)</w:t>
      </w:r>
      <w:r>
        <w:rPr>
          <w:rFonts w:ascii="Arial" w:hAnsi="Arial" w:cs="Arial"/>
          <w:i/>
          <w:iCs/>
          <w:sz w:val="20"/>
          <w:szCs w:val="20"/>
        </w:rPr>
        <w:t xml:space="preserve"> </w:t>
      </w:r>
      <w:r w:rsidRPr="005F43EF">
        <w:rPr>
          <w:rFonts w:ascii="Arial" w:hAnsi="Arial" w:cs="Arial"/>
          <w:i/>
          <w:iCs/>
          <w:sz w:val="20"/>
          <w:szCs w:val="20"/>
        </w:rPr>
        <w:t>Prefeito Municipal. Remuneração. Reajuste</w:t>
      </w:r>
      <w:r>
        <w:rPr>
          <w:rFonts w:ascii="Arial" w:hAnsi="Arial" w:cs="Arial"/>
          <w:i/>
          <w:iCs/>
          <w:sz w:val="20"/>
          <w:szCs w:val="20"/>
        </w:rPr>
        <w:t xml:space="preserve"> </w:t>
      </w:r>
      <w:r w:rsidRPr="005F43EF">
        <w:rPr>
          <w:rFonts w:ascii="Arial" w:hAnsi="Arial" w:cs="Arial"/>
          <w:i/>
          <w:iCs/>
          <w:sz w:val="20"/>
          <w:szCs w:val="20"/>
        </w:rPr>
        <w:t>acima da inflação. Subsídios do Chefe do Poder Executivo não</w:t>
      </w:r>
      <w:r>
        <w:rPr>
          <w:rFonts w:ascii="Arial" w:hAnsi="Arial" w:cs="Arial"/>
          <w:i/>
          <w:iCs/>
          <w:sz w:val="20"/>
          <w:szCs w:val="20"/>
        </w:rPr>
        <w:t xml:space="preserve"> </w:t>
      </w:r>
      <w:r w:rsidRPr="005F43EF">
        <w:rPr>
          <w:rFonts w:ascii="Arial" w:hAnsi="Arial" w:cs="Arial"/>
          <w:i/>
          <w:iCs/>
          <w:sz w:val="20"/>
          <w:szCs w:val="20"/>
        </w:rPr>
        <w:t>são submetidos ao princípio da anterioridade de legislatura.</w:t>
      </w:r>
      <w:r>
        <w:rPr>
          <w:rFonts w:ascii="Arial" w:hAnsi="Arial" w:cs="Arial"/>
          <w:i/>
          <w:iCs/>
          <w:sz w:val="20"/>
          <w:szCs w:val="20"/>
        </w:rPr>
        <w:t xml:space="preserve"> </w:t>
      </w:r>
      <w:r w:rsidRPr="005F43EF">
        <w:rPr>
          <w:rFonts w:ascii="Arial" w:hAnsi="Arial" w:cs="Arial"/>
          <w:i/>
          <w:iCs/>
          <w:sz w:val="20"/>
          <w:szCs w:val="20"/>
        </w:rPr>
        <w:t>Falha configurada em razão da alteração inicial da</w:t>
      </w:r>
      <w:r>
        <w:rPr>
          <w:rFonts w:ascii="Arial" w:hAnsi="Arial" w:cs="Arial"/>
          <w:i/>
          <w:iCs/>
          <w:sz w:val="20"/>
          <w:szCs w:val="20"/>
        </w:rPr>
        <w:t xml:space="preserve"> </w:t>
      </w:r>
      <w:r w:rsidRPr="005F43EF">
        <w:rPr>
          <w:rFonts w:ascii="Arial" w:hAnsi="Arial" w:cs="Arial"/>
          <w:i/>
          <w:iCs/>
          <w:sz w:val="20"/>
          <w:szCs w:val="20"/>
        </w:rPr>
        <w:t>remuneração por Decreto. Conversão em ressalva em face da ratificação do ato por Lei Municipal durante o mesmo exercício.</w:t>
      </w:r>
      <w:r>
        <w:rPr>
          <w:rFonts w:ascii="Arial" w:hAnsi="Arial" w:cs="Arial"/>
          <w:i/>
          <w:iCs/>
          <w:sz w:val="20"/>
          <w:szCs w:val="20"/>
        </w:rPr>
        <w:t xml:space="preserve"> </w:t>
      </w:r>
      <w:r w:rsidRPr="005F43EF">
        <w:rPr>
          <w:rFonts w:ascii="Arial" w:hAnsi="Arial" w:cs="Arial"/>
          <w:i/>
          <w:iCs/>
          <w:sz w:val="20"/>
          <w:szCs w:val="20"/>
        </w:rPr>
        <w:t>Vício de iniciativa, em ofensa ao art. 29, V, da Constituição</w:t>
      </w:r>
      <w:r>
        <w:rPr>
          <w:rFonts w:ascii="Arial" w:hAnsi="Arial" w:cs="Arial"/>
          <w:i/>
          <w:iCs/>
          <w:sz w:val="20"/>
          <w:szCs w:val="20"/>
        </w:rPr>
        <w:t xml:space="preserve"> </w:t>
      </w:r>
      <w:r w:rsidRPr="005F43EF">
        <w:rPr>
          <w:rFonts w:ascii="Arial" w:hAnsi="Arial" w:cs="Arial"/>
          <w:i/>
          <w:iCs/>
          <w:sz w:val="20"/>
          <w:szCs w:val="20"/>
        </w:rPr>
        <w:t>Fed</w:t>
      </w:r>
      <w:r>
        <w:rPr>
          <w:rFonts w:ascii="Arial" w:hAnsi="Arial" w:cs="Arial"/>
          <w:i/>
          <w:iCs/>
          <w:sz w:val="20"/>
          <w:szCs w:val="20"/>
        </w:rPr>
        <w:t>eral.</w:t>
      </w:r>
      <w:r w:rsidR="00A70686">
        <w:rPr>
          <w:rFonts w:ascii="Arial" w:hAnsi="Arial" w:cs="Arial"/>
          <w:i/>
          <w:iCs/>
          <w:sz w:val="20"/>
          <w:szCs w:val="20"/>
        </w:rPr>
        <w:t xml:space="preserve"> </w:t>
      </w:r>
    </w:p>
    <w:p w:rsidR="00A70686" w:rsidRDefault="00A70686" w:rsidP="00F567EB">
      <w:pPr>
        <w:autoSpaceDE w:val="0"/>
        <w:autoSpaceDN w:val="0"/>
        <w:adjustRightInd w:val="0"/>
        <w:spacing w:after="0"/>
        <w:jc w:val="both"/>
        <w:rPr>
          <w:rFonts w:ascii="Arial" w:hAnsi="Arial" w:cs="Arial"/>
          <w:i/>
          <w:iCs/>
          <w:sz w:val="20"/>
          <w:szCs w:val="20"/>
        </w:rPr>
      </w:pPr>
    </w:p>
    <w:p w:rsidR="0026510B" w:rsidRPr="005F43EF" w:rsidRDefault="005F43EF" w:rsidP="00F567EB">
      <w:pPr>
        <w:autoSpaceDE w:val="0"/>
        <w:autoSpaceDN w:val="0"/>
        <w:adjustRightInd w:val="0"/>
        <w:spacing w:after="0"/>
        <w:jc w:val="both"/>
        <w:rPr>
          <w:rFonts w:ascii="Arial" w:hAnsi="Arial" w:cs="Arial"/>
          <w:color w:val="000000"/>
          <w:sz w:val="20"/>
          <w:szCs w:val="20"/>
          <w:shd w:val="clear" w:color="auto" w:fill="FFFFFF"/>
        </w:rPr>
      </w:pPr>
      <w:r w:rsidRPr="005F43EF">
        <w:rPr>
          <w:rFonts w:ascii="Arial" w:hAnsi="Arial" w:cs="Arial"/>
          <w:sz w:val="20"/>
          <w:szCs w:val="20"/>
        </w:rPr>
        <w:t>Portanto, a manutenção das conclusões do acórdão recorrido e</w:t>
      </w:r>
      <w:r w:rsidR="00A70686">
        <w:rPr>
          <w:rFonts w:ascii="Arial" w:hAnsi="Arial" w:cs="Arial"/>
          <w:sz w:val="20"/>
          <w:szCs w:val="20"/>
        </w:rPr>
        <w:t xml:space="preserve"> </w:t>
      </w:r>
      <w:r w:rsidRPr="005F43EF">
        <w:rPr>
          <w:rFonts w:ascii="Arial" w:hAnsi="Arial" w:cs="Arial"/>
          <w:sz w:val="20"/>
          <w:szCs w:val="20"/>
        </w:rPr>
        <w:t>consequente responsabi</w:t>
      </w:r>
      <w:r w:rsidR="00A70686">
        <w:rPr>
          <w:rFonts w:ascii="Arial" w:hAnsi="Arial" w:cs="Arial"/>
          <w:sz w:val="20"/>
          <w:szCs w:val="20"/>
        </w:rPr>
        <w:t>lização dos r</w:t>
      </w:r>
      <w:r w:rsidRPr="005F43EF">
        <w:rPr>
          <w:rFonts w:ascii="Arial" w:hAnsi="Arial" w:cs="Arial"/>
          <w:sz w:val="20"/>
          <w:szCs w:val="20"/>
        </w:rPr>
        <w:t>ecorrentes devem ser mantidos.</w:t>
      </w:r>
    </w:p>
    <w:p w:rsidR="005F43EF" w:rsidRDefault="005F43EF" w:rsidP="00F567EB">
      <w:pPr>
        <w:autoSpaceDE w:val="0"/>
        <w:autoSpaceDN w:val="0"/>
        <w:adjustRightInd w:val="0"/>
        <w:spacing w:after="0"/>
        <w:jc w:val="both"/>
        <w:rPr>
          <w:rFonts w:ascii="Arial" w:hAnsi="Arial" w:cs="Arial"/>
          <w:color w:val="000000"/>
          <w:sz w:val="20"/>
          <w:szCs w:val="20"/>
          <w:shd w:val="clear" w:color="auto" w:fill="FFFFFF"/>
        </w:rPr>
      </w:pPr>
    </w:p>
    <w:p w:rsidR="005F43EF" w:rsidRDefault="0012118B" w:rsidP="00F567EB">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w:t>
      </w:r>
      <w:r w:rsidR="00247A4B">
        <w:rPr>
          <w:rFonts w:ascii="Arial" w:hAnsi="Arial" w:cs="Arial"/>
          <w:color w:val="000000"/>
          <w:sz w:val="20"/>
          <w:szCs w:val="20"/>
          <w:shd w:val="clear" w:color="auto" w:fill="FFFFFF"/>
        </w:rPr>
        <w:t xml:space="preserve">452330/16 - </w:t>
      </w:r>
      <w:hyperlink r:id="rId12" w:history="1">
        <w:r w:rsidR="00247A4B" w:rsidRPr="00713ED4">
          <w:rPr>
            <w:rStyle w:val="Hyperlink"/>
            <w:rFonts w:ascii="Arial" w:hAnsi="Arial" w:cs="Arial"/>
            <w:sz w:val="20"/>
            <w:szCs w:val="20"/>
            <w:shd w:val="clear" w:color="auto" w:fill="FFFFFF"/>
          </w:rPr>
          <w:t>Acórdão n° 898/18 - Tribunal Pleno</w:t>
        </w:r>
      </w:hyperlink>
      <w:r w:rsidR="00247A4B">
        <w:rPr>
          <w:rFonts w:ascii="Arial" w:hAnsi="Arial" w:cs="Arial"/>
          <w:color w:val="000000"/>
          <w:sz w:val="20"/>
          <w:szCs w:val="20"/>
          <w:shd w:val="clear" w:color="auto" w:fill="FFFFFF"/>
        </w:rPr>
        <w:t xml:space="preserve"> - Rel. Cons. </w:t>
      </w:r>
      <w:proofErr w:type="spellStart"/>
      <w:r w:rsidR="00247A4B">
        <w:rPr>
          <w:rFonts w:ascii="Arial" w:hAnsi="Arial" w:cs="Arial"/>
          <w:color w:val="000000"/>
          <w:sz w:val="20"/>
          <w:szCs w:val="20"/>
          <w:shd w:val="clear" w:color="auto" w:fill="FFFFFF"/>
        </w:rPr>
        <w:t>Artagão</w:t>
      </w:r>
      <w:proofErr w:type="spellEnd"/>
      <w:r w:rsidR="00247A4B">
        <w:rPr>
          <w:rFonts w:ascii="Arial" w:hAnsi="Arial" w:cs="Arial"/>
          <w:color w:val="000000"/>
          <w:sz w:val="20"/>
          <w:szCs w:val="20"/>
          <w:shd w:val="clear" w:color="auto" w:fill="FFFFFF"/>
        </w:rPr>
        <w:t xml:space="preserve"> de Mattos Leão.</w:t>
      </w:r>
    </w:p>
    <w:p w:rsidR="005F43EF" w:rsidRDefault="005F43EF" w:rsidP="00F567EB">
      <w:pPr>
        <w:autoSpaceDE w:val="0"/>
        <w:autoSpaceDN w:val="0"/>
        <w:adjustRightInd w:val="0"/>
        <w:spacing w:after="0"/>
        <w:jc w:val="both"/>
        <w:rPr>
          <w:rFonts w:ascii="Arial" w:hAnsi="Arial" w:cs="Arial"/>
          <w:color w:val="000000"/>
          <w:sz w:val="20"/>
          <w:szCs w:val="20"/>
          <w:shd w:val="clear" w:color="auto" w:fill="FFFFFF"/>
        </w:rPr>
      </w:pPr>
    </w:p>
    <w:p w:rsidR="00E76440" w:rsidRDefault="007337D6" w:rsidP="00F567E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1A580E" w:rsidRPr="00E76C4E">
        <w:rPr>
          <w:rFonts w:ascii="Arial" w:hAnsi="Arial" w:cs="Arial"/>
          <w:b/>
          <w:sz w:val="20"/>
          <w:szCs w:val="20"/>
        </w:rPr>
        <w:t>Tomada de Contas Extraordinária. Aditivo contratual. Unificação de Contratos. Ausência de</w:t>
      </w:r>
      <w:r w:rsidR="00E76C4E" w:rsidRPr="00E76C4E">
        <w:rPr>
          <w:rFonts w:ascii="Arial" w:hAnsi="Arial" w:cs="Arial"/>
          <w:b/>
          <w:sz w:val="20"/>
          <w:szCs w:val="20"/>
        </w:rPr>
        <w:t xml:space="preserve"> </w:t>
      </w:r>
      <w:r w:rsidR="001A580E" w:rsidRPr="00E76C4E">
        <w:rPr>
          <w:rFonts w:ascii="Arial" w:hAnsi="Arial" w:cs="Arial"/>
          <w:b/>
          <w:sz w:val="20"/>
          <w:szCs w:val="20"/>
        </w:rPr>
        <w:t>licitação. ANTAQ.</w:t>
      </w:r>
      <w:r w:rsidR="00E76C4E" w:rsidRPr="00E76C4E">
        <w:rPr>
          <w:rFonts w:ascii="Arial" w:hAnsi="Arial" w:cs="Arial"/>
          <w:b/>
          <w:sz w:val="20"/>
          <w:szCs w:val="20"/>
        </w:rPr>
        <w:t xml:space="preserve"> </w:t>
      </w:r>
      <w:r w:rsidR="001A580E" w:rsidRPr="00E76C4E">
        <w:rPr>
          <w:rFonts w:ascii="Arial" w:hAnsi="Arial" w:cs="Arial"/>
          <w:b/>
          <w:sz w:val="20"/>
          <w:szCs w:val="20"/>
        </w:rPr>
        <w:t xml:space="preserve">Convalidação do aditivo. Acolhimento da decisão. </w:t>
      </w:r>
      <w:r w:rsidR="00E76C4E" w:rsidRPr="00E76C4E">
        <w:rPr>
          <w:rFonts w:ascii="Arial" w:hAnsi="Arial" w:cs="Arial"/>
          <w:b/>
          <w:sz w:val="20"/>
          <w:szCs w:val="20"/>
        </w:rPr>
        <w:t>I</w:t>
      </w:r>
      <w:r w:rsidR="001A580E" w:rsidRPr="00E76C4E">
        <w:rPr>
          <w:rFonts w:ascii="Arial" w:hAnsi="Arial" w:cs="Arial"/>
          <w:b/>
          <w:sz w:val="20"/>
          <w:szCs w:val="20"/>
        </w:rPr>
        <w:t>mprocedência</w:t>
      </w:r>
      <w:r w:rsidR="0089554D">
        <w:rPr>
          <w:rFonts w:ascii="Arial" w:hAnsi="Arial" w:cs="Arial"/>
          <w:b/>
          <w:sz w:val="20"/>
          <w:szCs w:val="20"/>
        </w:rPr>
        <w:t>.</w:t>
      </w:r>
    </w:p>
    <w:p w:rsidR="000C6036" w:rsidRDefault="000C6036" w:rsidP="00F567EB">
      <w:pPr>
        <w:autoSpaceDE w:val="0"/>
        <w:autoSpaceDN w:val="0"/>
        <w:adjustRightInd w:val="0"/>
        <w:spacing w:after="0"/>
        <w:jc w:val="both"/>
        <w:rPr>
          <w:rFonts w:ascii="Arial" w:hAnsi="Arial" w:cs="Arial"/>
          <w:b/>
          <w:sz w:val="20"/>
          <w:szCs w:val="20"/>
        </w:rPr>
      </w:pPr>
    </w:p>
    <w:p w:rsidR="000C6036" w:rsidRPr="000C6036" w:rsidRDefault="000C6036" w:rsidP="00F567EB">
      <w:pPr>
        <w:autoSpaceDE w:val="0"/>
        <w:autoSpaceDN w:val="0"/>
        <w:adjustRightInd w:val="0"/>
        <w:spacing w:after="0"/>
        <w:jc w:val="both"/>
        <w:rPr>
          <w:rFonts w:ascii="Arial" w:hAnsi="Arial" w:cs="Arial"/>
          <w:sz w:val="20"/>
          <w:szCs w:val="20"/>
        </w:rPr>
      </w:pPr>
      <w:r>
        <w:rPr>
          <w:rFonts w:ascii="Arial" w:hAnsi="Arial" w:cs="Arial"/>
          <w:sz w:val="20"/>
          <w:szCs w:val="20"/>
        </w:rPr>
        <w:t>A</w:t>
      </w:r>
      <w:r w:rsidRPr="000C6036">
        <w:rPr>
          <w:rFonts w:ascii="Arial" w:hAnsi="Arial" w:cs="Arial"/>
          <w:sz w:val="20"/>
          <w:szCs w:val="20"/>
        </w:rPr>
        <w:t xml:space="preserve"> ANTAQ entendeu pela impossibilidade da dissociação</w:t>
      </w:r>
      <w:r>
        <w:rPr>
          <w:rFonts w:ascii="Arial" w:hAnsi="Arial" w:cs="Arial"/>
          <w:sz w:val="20"/>
          <w:szCs w:val="20"/>
        </w:rPr>
        <w:t xml:space="preserve"> </w:t>
      </w:r>
      <w:r w:rsidRPr="000C6036">
        <w:rPr>
          <w:rFonts w:ascii="Arial" w:hAnsi="Arial" w:cs="Arial"/>
          <w:sz w:val="20"/>
          <w:szCs w:val="20"/>
        </w:rPr>
        <w:t>das áreas que integram o terminal,</w:t>
      </w:r>
      <w:r>
        <w:rPr>
          <w:rFonts w:ascii="Arial" w:hAnsi="Arial" w:cs="Arial"/>
          <w:sz w:val="20"/>
          <w:szCs w:val="20"/>
        </w:rPr>
        <w:t xml:space="preserve"> </w:t>
      </w:r>
      <w:r w:rsidRPr="000C6036">
        <w:rPr>
          <w:rFonts w:ascii="Arial" w:hAnsi="Arial" w:cs="Arial"/>
          <w:sz w:val="20"/>
          <w:szCs w:val="20"/>
        </w:rPr>
        <w:t>pois se constituem em uma única instalação</w:t>
      </w:r>
      <w:r>
        <w:rPr>
          <w:rFonts w:ascii="Arial" w:hAnsi="Arial" w:cs="Arial"/>
          <w:sz w:val="20"/>
          <w:szCs w:val="20"/>
        </w:rPr>
        <w:t xml:space="preserve"> </w:t>
      </w:r>
      <w:r w:rsidRPr="000C6036">
        <w:rPr>
          <w:rFonts w:ascii="Arial" w:hAnsi="Arial" w:cs="Arial"/>
          <w:sz w:val="20"/>
          <w:szCs w:val="20"/>
        </w:rPr>
        <w:t>portuária. Do contrário, acarretaria em perda de eficiência, dada a sinergia</w:t>
      </w:r>
      <w:r>
        <w:rPr>
          <w:rFonts w:ascii="Arial" w:hAnsi="Arial" w:cs="Arial"/>
          <w:sz w:val="20"/>
          <w:szCs w:val="20"/>
        </w:rPr>
        <w:t xml:space="preserve"> </w:t>
      </w:r>
      <w:r w:rsidRPr="000C6036">
        <w:rPr>
          <w:rFonts w:ascii="Arial" w:hAnsi="Arial" w:cs="Arial"/>
          <w:sz w:val="20"/>
          <w:szCs w:val="20"/>
        </w:rPr>
        <w:t>observada na operação conjunta das áreas integrantes do terminal.</w:t>
      </w:r>
    </w:p>
    <w:p w:rsidR="000C6036" w:rsidRPr="000C6036" w:rsidRDefault="000C6036" w:rsidP="00F567EB">
      <w:pPr>
        <w:autoSpaceDE w:val="0"/>
        <w:autoSpaceDN w:val="0"/>
        <w:adjustRightInd w:val="0"/>
        <w:spacing w:after="0"/>
        <w:jc w:val="both"/>
        <w:rPr>
          <w:rFonts w:ascii="Arial" w:hAnsi="Arial" w:cs="Arial"/>
          <w:sz w:val="20"/>
          <w:szCs w:val="20"/>
        </w:rPr>
      </w:pPr>
    </w:p>
    <w:p w:rsidR="000C6036" w:rsidRDefault="000C6036" w:rsidP="00F567EB">
      <w:pPr>
        <w:autoSpaceDE w:val="0"/>
        <w:autoSpaceDN w:val="0"/>
        <w:adjustRightInd w:val="0"/>
        <w:spacing w:after="0"/>
        <w:jc w:val="both"/>
        <w:rPr>
          <w:rFonts w:ascii="Arial" w:hAnsi="Arial" w:cs="Arial"/>
          <w:i/>
          <w:iCs/>
          <w:sz w:val="20"/>
          <w:szCs w:val="20"/>
        </w:rPr>
      </w:pPr>
      <w:r w:rsidRPr="000C6036">
        <w:rPr>
          <w:rFonts w:ascii="Arial" w:hAnsi="Arial" w:cs="Arial"/>
          <w:sz w:val="20"/>
          <w:szCs w:val="20"/>
        </w:rPr>
        <w:t xml:space="preserve">Ademais, o próprio Acórdão determinou pela </w:t>
      </w:r>
      <w:r w:rsidRPr="000C6036">
        <w:rPr>
          <w:rFonts w:ascii="Arial" w:hAnsi="Arial" w:cs="Arial"/>
          <w:i/>
          <w:iCs/>
          <w:sz w:val="20"/>
          <w:szCs w:val="20"/>
        </w:rPr>
        <w:t>“impossibilidade de</w:t>
      </w:r>
      <w:r>
        <w:rPr>
          <w:rFonts w:ascii="Arial" w:hAnsi="Arial" w:cs="Arial"/>
          <w:i/>
          <w:iCs/>
          <w:sz w:val="20"/>
          <w:szCs w:val="20"/>
        </w:rPr>
        <w:t xml:space="preserve"> </w:t>
      </w:r>
      <w:r w:rsidRPr="000C6036">
        <w:rPr>
          <w:rFonts w:ascii="Arial" w:hAnsi="Arial" w:cs="Arial"/>
          <w:i/>
          <w:iCs/>
          <w:sz w:val="20"/>
          <w:szCs w:val="20"/>
        </w:rPr>
        <w:t>qualquer prorrogação contratual a partir de 04/03/2016, data em que todas as áreas deverão ser</w:t>
      </w:r>
      <w:r>
        <w:rPr>
          <w:rFonts w:ascii="Arial" w:hAnsi="Arial" w:cs="Arial"/>
          <w:i/>
          <w:iCs/>
          <w:sz w:val="20"/>
          <w:szCs w:val="20"/>
        </w:rPr>
        <w:t xml:space="preserve"> </w:t>
      </w:r>
      <w:r w:rsidRPr="000C6036">
        <w:rPr>
          <w:rFonts w:ascii="Arial" w:hAnsi="Arial" w:cs="Arial"/>
          <w:i/>
          <w:iCs/>
          <w:sz w:val="20"/>
          <w:szCs w:val="20"/>
        </w:rPr>
        <w:t>entregues à assunção por parte da empresa vencedora do certame licitatório a ser promovido por</w:t>
      </w:r>
      <w:r>
        <w:rPr>
          <w:rFonts w:ascii="Arial" w:hAnsi="Arial" w:cs="Arial"/>
          <w:i/>
          <w:iCs/>
          <w:sz w:val="20"/>
          <w:szCs w:val="20"/>
        </w:rPr>
        <w:t xml:space="preserve"> </w:t>
      </w:r>
      <w:r w:rsidRPr="000C6036">
        <w:rPr>
          <w:rFonts w:ascii="Arial" w:hAnsi="Arial" w:cs="Arial"/>
          <w:i/>
          <w:iCs/>
          <w:sz w:val="20"/>
          <w:szCs w:val="20"/>
        </w:rPr>
        <w:t>esta Agência, esclarecendo que todos os contratos celebrados e unificados (de nº 56/90; 11/93; 26/99</w:t>
      </w:r>
      <w:r>
        <w:rPr>
          <w:rFonts w:ascii="Arial" w:hAnsi="Arial" w:cs="Arial"/>
          <w:i/>
          <w:iCs/>
          <w:sz w:val="20"/>
          <w:szCs w:val="20"/>
        </w:rPr>
        <w:t xml:space="preserve"> </w:t>
      </w:r>
      <w:r w:rsidRPr="000C6036">
        <w:rPr>
          <w:rFonts w:ascii="Arial" w:hAnsi="Arial" w:cs="Arial"/>
          <w:i/>
          <w:iCs/>
          <w:sz w:val="20"/>
          <w:szCs w:val="20"/>
        </w:rPr>
        <w:t>e 13/01) passarão a integrar um único instrumento, cujo vencimento improrrogável se dará em</w:t>
      </w:r>
      <w:r>
        <w:rPr>
          <w:rFonts w:ascii="Arial" w:hAnsi="Arial" w:cs="Arial"/>
          <w:i/>
          <w:iCs/>
          <w:sz w:val="20"/>
          <w:szCs w:val="20"/>
        </w:rPr>
        <w:t xml:space="preserve"> </w:t>
      </w:r>
      <w:r w:rsidRPr="000C6036">
        <w:rPr>
          <w:rFonts w:ascii="Arial" w:hAnsi="Arial" w:cs="Arial"/>
          <w:i/>
          <w:iCs/>
          <w:sz w:val="20"/>
          <w:szCs w:val="20"/>
        </w:rPr>
        <w:t>04/03/ 2016”.</w:t>
      </w:r>
    </w:p>
    <w:p w:rsidR="000C6036" w:rsidRPr="000C6036" w:rsidRDefault="000C6036" w:rsidP="00F567EB">
      <w:pPr>
        <w:autoSpaceDE w:val="0"/>
        <w:autoSpaceDN w:val="0"/>
        <w:adjustRightInd w:val="0"/>
        <w:spacing w:after="0"/>
        <w:jc w:val="both"/>
        <w:rPr>
          <w:rFonts w:ascii="Arial" w:hAnsi="Arial" w:cs="Arial"/>
          <w:i/>
          <w:iCs/>
          <w:sz w:val="20"/>
          <w:szCs w:val="20"/>
        </w:rPr>
      </w:pPr>
    </w:p>
    <w:p w:rsidR="000C6036" w:rsidRDefault="000C6036" w:rsidP="00F567EB">
      <w:pPr>
        <w:autoSpaceDE w:val="0"/>
        <w:autoSpaceDN w:val="0"/>
        <w:adjustRightInd w:val="0"/>
        <w:spacing w:after="0"/>
        <w:jc w:val="both"/>
        <w:rPr>
          <w:rFonts w:ascii="Arial" w:hAnsi="Arial" w:cs="Arial"/>
          <w:sz w:val="20"/>
          <w:szCs w:val="20"/>
        </w:rPr>
      </w:pPr>
      <w:r w:rsidRPr="000C6036">
        <w:rPr>
          <w:rFonts w:ascii="Arial" w:hAnsi="Arial" w:cs="Arial"/>
          <w:sz w:val="20"/>
          <w:szCs w:val="20"/>
        </w:rPr>
        <w:t>Ou seja, a própria ANTAQ referendou e entendeu correta a</w:t>
      </w:r>
      <w:r>
        <w:rPr>
          <w:rFonts w:ascii="Arial" w:hAnsi="Arial" w:cs="Arial"/>
          <w:sz w:val="20"/>
          <w:szCs w:val="20"/>
        </w:rPr>
        <w:t xml:space="preserve"> </w:t>
      </w:r>
      <w:r w:rsidRPr="000C6036">
        <w:rPr>
          <w:rFonts w:ascii="Arial" w:hAnsi="Arial" w:cs="Arial"/>
          <w:sz w:val="20"/>
          <w:szCs w:val="20"/>
        </w:rPr>
        <w:t>unificação dos contratos, que a partir da decisão passaram a integrar instrumento</w:t>
      </w:r>
      <w:r>
        <w:rPr>
          <w:rFonts w:ascii="Arial" w:hAnsi="Arial" w:cs="Arial"/>
          <w:sz w:val="20"/>
          <w:szCs w:val="20"/>
        </w:rPr>
        <w:t xml:space="preserve"> </w:t>
      </w:r>
      <w:r w:rsidRPr="000C6036">
        <w:rPr>
          <w:rFonts w:ascii="Arial" w:hAnsi="Arial" w:cs="Arial"/>
          <w:sz w:val="20"/>
          <w:szCs w:val="20"/>
        </w:rPr>
        <w:t>único, visando a otimização serviços.</w:t>
      </w:r>
      <w:r>
        <w:rPr>
          <w:rFonts w:ascii="Arial" w:hAnsi="Arial" w:cs="Arial"/>
          <w:sz w:val="20"/>
          <w:szCs w:val="20"/>
        </w:rPr>
        <w:t xml:space="preserve"> </w:t>
      </w:r>
      <w:r w:rsidRPr="000C6036">
        <w:rPr>
          <w:rFonts w:ascii="Arial" w:hAnsi="Arial" w:cs="Arial"/>
          <w:sz w:val="20"/>
          <w:szCs w:val="20"/>
        </w:rPr>
        <w:t xml:space="preserve">Conforme destacado pela </w:t>
      </w:r>
      <w:r>
        <w:rPr>
          <w:rFonts w:ascii="Arial" w:hAnsi="Arial" w:cs="Arial"/>
          <w:sz w:val="20"/>
          <w:szCs w:val="20"/>
        </w:rPr>
        <w:t xml:space="preserve">unidade técnica </w:t>
      </w:r>
      <w:r w:rsidRPr="000C6036">
        <w:rPr>
          <w:rFonts w:ascii="Arial" w:hAnsi="Arial" w:cs="Arial"/>
          <w:sz w:val="20"/>
          <w:szCs w:val="20"/>
        </w:rPr>
        <w:t>o Tribunal de Contas da União entendeu que a disciplina da Lei dos Portos, Lei nº</w:t>
      </w:r>
      <w:r>
        <w:rPr>
          <w:rFonts w:ascii="Arial" w:hAnsi="Arial" w:cs="Arial"/>
          <w:sz w:val="20"/>
          <w:szCs w:val="20"/>
        </w:rPr>
        <w:t xml:space="preserve"> </w:t>
      </w:r>
      <w:r w:rsidRPr="000C6036">
        <w:rPr>
          <w:rFonts w:ascii="Arial" w:hAnsi="Arial" w:cs="Arial"/>
          <w:sz w:val="20"/>
          <w:szCs w:val="20"/>
        </w:rPr>
        <w:t>12.815/13, em seu art. 6º, §6º, regulamentado pelo Decreto nº 8.033/13 e alterações</w:t>
      </w:r>
      <w:r>
        <w:rPr>
          <w:rFonts w:ascii="Arial" w:hAnsi="Arial" w:cs="Arial"/>
          <w:sz w:val="20"/>
          <w:szCs w:val="20"/>
        </w:rPr>
        <w:t xml:space="preserve"> </w:t>
      </w:r>
      <w:r w:rsidRPr="000C6036">
        <w:rPr>
          <w:rFonts w:ascii="Arial" w:hAnsi="Arial" w:cs="Arial"/>
          <w:sz w:val="20"/>
          <w:szCs w:val="20"/>
        </w:rPr>
        <w:t>do Decreto nº 8.464/15, tem cabimento e deve ser observada (Acórdão TCU</w:t>
      </w:r>
      <w:r>
        <w:rPr>
          <w:rFonts w:ascii="Arial" w:hAnsi="Arial" w:cs="Arial"/>
          <w:sz w:val="20"/>
          <w:szCs w:val="20"/>
        </w:rPr>
        <w:t xml:space="preserve"> </w:t>
      </w:r>
      <w:r w:rsidRPr="000C6036">
        <w:rPr>
          <w:rFonts w:ascii="Arial" w:hAnsi="Arial" w:cs="Arial"/>
          <w:sz w:val="20"/>
          <w:szCs w:val="20"/>
        </w:rPr>
        <w:t>2338/2015. Relator: Ana Arraes. Data de Julgamento: 16/09/2015), ou seja, “</w:t>
      </w:r>
      <w:r w:rsidRPr="000C6036">
        <w:rPr>
          <w:rFonts w:ascii="Arial" w:hAnsi="Arial" w:cs="Arial"/>
          <w:i/>
          <w:iCs/>
          <w:sz w:val="20"/>
          <w:szCs w:val="20"/>
        </w:rPr>
        <w:t>o poder</w:t>
      </w:r>
      <w:r>
        <w:rPr>
          <w:rFonts w:ascii="Arial" w:hAnsi="Arial" w:cs="Arial"/>
          <w:i/>
          <w:iCs/>
          <w:sz w:val="20"/>
          <w:szCs w:val="20"/>
        </w:rPr>
        <w:t xml:space="preserve"> </w:t>
      </w:r>
      <w:r w:rsidRPr="000C6036">
        <w:rPr>
          <w:rFonts w:ascii="Arial" w:hAnsi="Arial" w:cs="Arial"/>
          <w:i/>
          <w:iCs/>
          <w:sz w:val="20"/>
          <w:szCs w:val="20"/>
        </w:rPr>
        <w:t>concedente poderá autorizar, mediante requerimento do arrendatário, na forma do regulamento,</w:t>
      </w:r>
      <w:r>
        <w:rPr>
          <w:rFonts w:ascii="Arial" w:hAnsi="Arial" w:cs="Arial"/>
          <w:i/>
          <w:iCs/>
          <w:sz w:val="20"/>
          <w:szCs w:val="20"/>
        </w:rPr>
        <w:t xml:space="preserve"> </w:t>
      </w:r>
      <w:r w:rsidRPr="000C6036">
        <w:rPr>
          <w:rFonts w:ascii="Arial" w:hAnsi="Arial" w:cs="Arial"/>
          <w:i/>
          <w:iCs/>
          <w:sz w:val="20"/>
          <w:szCs w:val="20"/>
        </w:rPr>
        <w:t>expansão da área arrendada para área contígua dentro da poligonal do porto organizado, sempre que</w:t>
      </w:r>
      <w:r>
        <w:rPr>
          <w:rFonts w:ascii="Arial" w:hAnsi="Arial" w:cs="Arial"/>
          <w:i/>
          <w:iCs/>
          <w:sz w:val="20"/>
          <w:szCs w:val="20"/>
        </w:rPr>
        <w:t xml:space="preserve"> </w:t>
      </w:r>
      <w:r w:rsidRPr="000C6036">
        <w:rPr>
          <w:rFonts w:ascii="Arial" w:hAnsi="Arial" w:cs="Arial"/>
          <w:i/>
          <w:iCs/>
          <w:sz w:val="20"/>
          <w:szCs w:val="20"/>
        </w:rPr>
        <w:t>a medida trouxer comprovadamente eficiência na operação portuária</w:t>
      </w:r>
      <w:r w:rsidRPr="000C6036">
        <w:rPr>
          <w:rFonts w:ascii="Arial" w:hAnsi="Arial" w:cs="Arial"/>
          <w:sz w:val="20"/>
          <w:szCs w:val="20"/>
        </w:rPr>
        <w:t xml:space="preserve">”. </w:t>
      </w:r>
    </w:p>
    <w:p w:rsidR="00470DFA" w:rsidRDefault="00470DFA" w:rsidP="00F567EB">
      <w:pPr>
        <w:autoSpaceDE w:val="0"/>
        <w:autoSpaceDN w:val="0"/>
        <w:adjustRightInd w:val="0"/>
        <w:spacing w:after="0"/>
        <w:jc w:val="both"/>
        <w:rPr>
          <w:rFonts w:ascii="Arial" w:hAnsi="Arial" w:cs="Arial"/>
          <w:sz w:val="20"/>
          <w:szCs w:val="20"/>
        </w:rPr>
      </w:pPr>
    </w:p>
    <w:p w:rsidR="00470DFA" w:rsidRDefault="00470DFA" w:rsidP="00F567EB">
      <w:pPr>
        <w:autoSpaceDE w:val="0"/>
        <w:autoSpaceDN w:val="0"/>
        <w:adjustRightInd w:val="0"/>
        <w:spacing w:after="0"/>
        <w:jc w:val="both"/>
        <w:rPr>
          <w:rFonts w:ascii="Arial" w:hAnsi="Arial" w:cs="Arial"/>
          <w:sz w:val="20"/>
          <w:szCs w:val="20"/>
        </w:rPr>
      </w:pPr>
      <w:r>
        <w:rPr>
          <w:rFonts w:ascii="Arial" w:hAnsi="Arial" w:cs="Arial"/>
          <w:sz w:val="20"/>
          <w:szCs w:val="20"/>
        </w:rPr>
        <w:lastRenderedPageBreak/>
        <w:t>Processo n° 440990/13</w:t>
      </w:r>
      <w:r w:rsidR="0064501B">
        <w:rPr>
          <w:rFonts w:ascii="Arial" w:hAnsi="Arial" w:cs="Arial"/>
          <w:sz w:val="20"/>
          <w:szCs w:val="20"/>
        </w:rPr>
        <w:t xml:space="preserve"> </w:t>
      </w:r>
      <w:r w:rsidR="00707DB5">
        <w:rPr>
          <w:rFonts w:ascii="Arial" w:hAnsi="Arial" w:cs="Arial"/>
          <w:sz w:val="20"/>
          <w:szCs w:val="20"/>
        </w:rPr>
        <w:t>-</w:t>
      </w:r>
      <w:r w:rsidR="0064501B">
        <w:rPr>
          <w:rFonts w:ascii="Arial" w:hAnsi="Arial" w:cs="Arial"/>
          <w:sz w:val="20"/>
          <w:szCs w:val="20"/>
        </w:rPr>
        <w:t xml:space="preserve"> </w:t>
      </w:r>
      <w:hyperlink r:id="rId13" w:history="1">
        <w:r w:rsidR="0064501B" w:rsidRPr="00707DB5">
          <w:rPr>
            <w:rStyle w:val="Hyperlink"/>
            <w:rFonts w:ascii="Arial" w:hAnsi="Arial" w:cs="Arial"/>
            <w:sz w:val="20"/>
            <w:szCs w:val="20"/>
          </w:rPr>
          <w:t xml:space="preserve">Acórdão n° 909/18 </w:t>
        </w:r>
        <w:r w:rsidR="00707DB5" w:rsidRPr="00707DB5">
          <w:rPr>
            <w:rStyle w:val="Hyperlink"/>
            <w:rFonts w:ascii="Arial" w:hAnsi="Arial" w:cs="Arial"/>
            <w:sz w:val="20"/>
            <w:szCs w:val="20"/>
          </w:rPr>
          <w:t>-</w:t>
        </w:r>
        <w:r w:rsidR="0064501B" w:rsidRPr="00707DB5">
          <w:rPr>
            <w:rStyle w:val="Hyperlink"/>
            <w:rFonts w:ascii="Arial" w:hAnsi="Arial" w:cs="Arial"/>
            <w:sz w:val="20"/>
            <w:szCs w:val="20"/>
          </w:rPr>
          <w:t xml:space="preserve"> Tribunal Pleno</w:t>
        </w:r>
      </w:hyperlink>
      <w:r w:rsidR="0064501B">
        <w:rPr>
          <w:rFonts w:ascii="Arial" w:hAnsi="Arial" w:cs="Arial"/>
          <w:sz w:val="20"/>
          <w:szCs w:val="20"/>
        </w:rPr>
        <w:t xml:space="preserve"> </w:t>
      </w:r>
      <w:r w:rsidR="00707DB5">
        <w:rPr>
          <w:rFonts w:ascii="Arial" w:hAnsi="Arial" w:cs="Arial"/>
          <w:sz w:val="20"/>
          <w:szCs w:val="20"/>
        </w:rPr>
        <w:t>-</w:t>
      </w:r>
      <w:r w:rsidR="0064501B">
        <w:rPr>
          <w:rFonts w:ascii="Arial" w:hAnsi="Arial" w:cs="Arial"/>
          <w:sz w:val="20"/>
          <w:szCs w:val="20"/>
        </w:rPr>
        <w:t xml:space="preserve"> </w:t>
      </w:r>
      <w:r w:rsidR="00707DB5">
        <w:rPr>
          <w:rFonts w:ascii="Arial" w:hAnsi="Arial" w:cs="Arial"/>
          <w:sz w:val="20"/>
          <w:szCs w:val="20"/>
        </w:rPr>
        <w:t>Rel. Cons. Fabio de Souza Camargo.</w:t>
      </w:r>
      <w:r>
        <w:rPr>
          <w:rFonts w:ascii="Arial" w:hAnsi="Arial" w:cs="Arial"/>
          <w:sz w:val="20"/>
          <w:szCs w:val="20"/>
        </w:rPr>
        <w:t xml:space="preserve"> </w:t>
      </w:r>
    </w:p>
    <w:p w:rsidR="0000169E" w:rsidRDefault="0000169E" w:rsidP="00F567EB">
      <w:pPr>
        <w:autoSpaceDE w:val="0"/>
        <w:autoSpaceDN w:val="0"/>
        <w:adjustRightInd w:val="0"/>
        <w:spacing w:after="0"/>
        <w:jc w:val="both"/>
        <w:rPr>
          <w:rFonts w:ascii="Arial" w:hAnsi="Arial" w:cs="Arial"/>
          <w:sz w:val="20"/>
          <w:szCs w:val="20"/>
        </w:rPr>
      </w:pPr>
    </w:p>
    <w:p w:rsidR="0000169E" w:rsidRPr="0000169E" w:rsidRDefault="007337D6" w:rsidP="00F567EB">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sz w:val="20"/>
          <w:szCs w:val="20"/>
        </w:rPr>
        <w:t xml:space="preserve">7. </w:t>
      </w:r>
      <w:r w:rsidR="0000169E" w:rsidRPr="0000169E">
        <w:rPr>
          <w:rFonts w:ascii="Arial" w:hAnsi="Arial" w:cs="Arial"/>
          <w:b/>
          <w:sz w:val="20"/>
          <w:szCs w:val="20"/>
        </w:rPr>
        <w:t>Consulta. Convênios entre o Tribunal de Justiça e instituições privadas de ensino para criação das redes conciliatórias e de assistência judiciária. Ausência de repasses de recursos públicos. Exigências previstas na Lei de Licitações Estadual para formalização de convênios. Possibilidade de dispensa de tais exigências.</w:t>
      </w:r>
    </w:p>
    <w:p w:rsidR="00E76440" w:rsidRDefault="00E76440" w:rsidP="00F567EB">
      <w:pPr>
        <w:autoSpaceDE w:val="0"/>
        <w:autoSpaceDN w:val="0"/>
        <w:adjustRightInd w:val="0"/>
        <w:spacing w:after="0"/>
        <w:jc w:val="both"/>
        <w:rPr>
          <w:rFonts w:ascii="Arial" w:hAnsi="Arial" w:cs="Arial"/>
          <w:color w:val="000000"/>
          <w:sz w:val="20"/>
          <w:szCs w:val="20"/>
          <w:shd w:val="clear" w:color="auto" w:fill="FFFFFF"/>
        </w:rPr>
      </w:pPr>
    </w:p>
    <w:p w:rsidR="0000169E" w:rsidRDefault="008274A0" w:rsidP="00F567EB">
      <w:pPr>
        <w:autoSpaceDE w:val="0"/>
        <w:autoSpaceDN w:val="0"/>
        <w:adjustRightInd w:val="0"/>
        <w:spacing w:after="0"/>
        <w:jc w:val="both"/>
        <w:rPr>
          <w:rFonts w:ascii="Arial" w:hAnsi="Arial" w:cs="Arial"/>
          <w:sz w:val="20"/>
          <w:szCs w:val="20"/>
        </w:rPr>
      </w:pPr>
      <w:r w:rsidRPr="008274A0">
        <w:rPr>
          <w:rFonts w:ascii="Arial" w:hAnsi="Arial" w:cs="Arial"/>
          <w:sz w:val="20"/>
          <w:szCs w:val="20"/>
        </w:rPr>
        <w:t>É possível dispensar a exigência de certidões e demais documentos</w:t>
      </w:r>
      <w:r>
        <w:rPr>
          <w:rFonts w:ascii="Arial" w:hAnsi="Arial" w:cs="Arial"/>
          <w:sz w:val="20"/>
          <w:szCs w:val="20"/>
        </w:rPr>
        <w:t xml:space="preserve"> </w:t>
      </w:r>
      <w:r w:rsidRPr="008274A0">
        <w:rPr>
          <w:rFonts w:ascii="Arial" w:hAnsi="Arial" w:cs="Arial"/>
          <w:sz w:val="20"/>
          <w:szCs w:val="20"/>
        </w:rPr>
        <w:t>constantes do artigo 136 da Lei Estadual nº 15.608/07 na elaboração de termos de</w:t>
      </w:r>
      <w:r>
        <w:rPr>
          <w:rFonts w:ascii="Arial" w:hAnsi="Arial" w:cs="Arial"/>
          <w:sz w:val="20"/>
          <w:szCs w:val="20"/>
        </w:rPr>
        <w:t xml:space="preserve"> </w:t>
      </w:r>
      <w:r w:rsidRPr="008274A0">
        <w:rPr>
          <w:rFonts w:ascii="Arial" w:hAnsi="Arial" w:cs="Arial"/>
          <w:sz w:val="20"/>
          <w:szCs w:val="20"/>
        </w:rPr>
        <w:t>parceria entre o Tribunal de Justiça e as entidades privadas de ensino que visem à</w:t>
      </w:r>
      <w:r>
        <w:rPr>
          <w:rFonts w:ascii="Arial" w:hAnsi="Arial" w:cs="Arial"/>
          <w:sz w:val="20"/>
          <w:szCs w:val="20"/>
        </w:rPr>
        <w:t xml:space="preserve"> </w:t>
      </w:r>
      <w:r w:rsidRPr="008274A0">
        <w:rPr>
          <w:rFonts w:ascii="Arial" w:hAnsi="Arial" w:cs="Arial"/>
          <w:sz w:val="20"/>
          <w:szCs w:val="20"/>
        </w:rPr>
        <w:t>prestação de trabalhos voluntários em atividades envolvendo a conciliação e</w:t>
      </w:r>
      <w:r>
        <w:rPr>
          <w:rFonts w:ascii="Arial" w:hAnsi="Arial" w:cs="Arial"/>
          <w:sz w:val="20"/>
          <w:szCs w:val="20"/>
        </w:rPr>
        <w:t xml:space="preserve"> </w:t>
      </w:r>
      <w:r w:rsidRPr="008274A0">
        <w:rPr>
          <w:rFonts w:ascii="Arial" w:hAnsi="Arial" w:cs="Arial"/>
          <w:sz w:val="20"/>
          <w:szCs w:val="20"/>
        </w:rPr>
        <w:t>mediação, os núcleos de assistência aos necessitados e demais atividades</w:t>
      </w:r>
      <w:r>
        <w:rPr>
          <w:rFonts w:ascii="Arial" w:hAnsi="Arial" w:cs="Arial"/>
          <w:sz w:val="20"/>
          <w:szCs w:val="20"/>
        </w:rPr>
        <w:t xml:space="preserve"> </w:t>
      </w:r>
      <w:r w:rsidRPr="008274A0">
        <w:rPr>
          <w:rFonts w:ascii="Arial" w:hAnsi="Arial" w:cs="Arial"/>
          <w:sz w:val="20"/>
          <w:szCs w:val="20"/>
        </w:rPr>
        <w:t>congêneres, em que não haja o repasse de recursos públicos para os entes</w:t>
      </w:r>
      <w:r>
        <w:rPr>
          <w:rFonts w:ascii="Arial" w:hAnsi="Arial" w:cs="Arial"/>
          <w:sz w:val="20"/>
          <w:szCs w:val="20"/>
        </w:rPr>
        <w:t xml:space="preserve"> </w:t>
      </w:r>
      <w:r w:rsidRPr="008274A0">
        <w:rPr>
          <w:rFonts w:ascii="Arial" w:hAnsi="Arial" w:cs="Arial"/>
          <w:sz w:val="20"/>
          <w:szCs w:val="20"/>
        </w:rPr>
        <w:t>privados, tendo que vista que a referida documentação visa resguardar os repasses</w:t>
      </w:r>
      <w:r>
        <w:rPr>
          <w:rFonts w:ascii="Arial" w:hAnsi="Arial" w:cs="Arial"/>
          <w:sz w:val="20"/>
          <w:szCs w:val="20"/>
        </w:rPr>
        <w:t xml:space="preserve"> </w:t>
      </w:r>
      <w:r w:rsidRPr="008274A0">
        <w:rPr>
          <w:rFonts w:ascii="Arial" w:hAnsi="Arial" w:cs="Arial"/>
          <w:sz w:val="20"/>
          <w:szCs w:val="20"/>
        </w:rPr>
        <w:t>de recursos públicos, o que não ocorrerá nas citadas parcerias, sendo necessário,</w:t>
      </w:r>
      <w:r>
        <w:rPr>
          <w:rFonts w:ascii="Arial" w:hAnsi="Arial" w:cs="Arial"/>
          <w:sz w:val="20"/>
          <w:szCs w:val="20"/>
        </w:rPr>
        <w:t xml:space="preserve"> </w:t>
      </w:r>
      <w:r w:rsidRPr="008274A0">
        <w:rPr>
          <w:rFonts w:ascii="Arial" w:hAnsi="Arial" w:cs="Arial"/>
          <w:sz w:val="20"/>
          <w:szCs w:val="20"/>
        </w:rPr>
        <w:t>no entanto, a utilização de critérios objetivos de escolha das entidades de ensino,</w:t>
      </w:r>
      <w:r>
        <w:rPr>
          <w:rFonts w:ascii="Arial" w:hAnsi="Arial" w:cs="Arial"/>
          <w:sz w:val="20"/>
          <w:szCs w:val="20"/>
        </w:rPr>
        <w:t xml:space="preserve"> </w:t>
      </w:r>
      <w:r w:rsidRPr="008274A0">
        <w:rPr>
          <w:rFonts w:ascii="Arial" w:hAnsi="Arial" w:cs="Arial"/>
          <w:sz w:val="20"/>
          <w:szCs w:val="20"/>
        </w:rPr>
        <w:t>como credenciamento ou outro mecanismo a ser definido pelo Tribunal de Justiça.</w:t>
      </w:r>
    </w:p>
    <w:p w:rsidR="00E05654" w:rsidRDefault="00E05654" w:rsidP="00F567EB">
      <w:pPr>
        <w:autoSpaceDE w:val="0"/>
        <w:autoSpaceDN w:val="0"/>
        <w:adjustRightInd w:val="0"/>
        <w:spacing w:after="0"/>
        <w:jc w:val="both"/>
        <w:rPr>
          <w:rFonts w:ascii="Arial" w:hAnsi="Arial" w:cs="Arial"/>
          <w:sz w:val="20"/>
          <w:szCs w:val="20"/>
        </w:rPr>
      </w:pPr>
    </w:p>
    <w:p w:rsidR="004F6EF6" w:rsidRDefault="004F6EF6" w:rsidP="00F567E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535301/17 </w:t>
      </w:r>
      <w:r w:rsidR="00013446">
        <w:rPr>
          <w:rFonts w:ascii="Arial" w:hAnsi="Arial" w:cs="Arial"/>
          <w:sz w:val="20"/>
          <w:szCs w:val="20"/>
        </w:rPr>
        <w:t>-</w:t>
      </w:r>
      <w:r>
        <w:rPr>
          <w:rFonts w:ascii="Arial" w:hAnsi="Arial" w:cs="Arial"/>
          <w:sz w:val="20"/>
          <w:szCs w:val="20"/>
        </w:rPr>
        <w:t xml:space="preserve"> </w:t>
      </w:r>
      <w:hyperlink r:id="rId14" w:history="1">
        <w:r w:rsidRPr="002F3CB0">
          <w:rPr>
            <w:rStyle w:val="Hyperlink"/>
            <w:rFonts w:ascii="Arial" w:hAnsi="Arial" w:cs="Arial"/>
            <w:sz w:val="20"/>
            <w:szCs w:val="20"/>
          </w:rPr>
          <w:t xml:space="preserve">Acórdão n° 907/18 </w:t>
        </w:r>
        <w:r w:rsidR="00013446" w:rsidRPr="002F3CB0">
          <w:rPr>
            <w:rStyle w:val="Hyperlink"/>
            <w:rFonts w:ascii="Arial" w:hAnsi="Arial" w:cs="Arial"/>
            <w:sz w:val="20"/>
            <w:szCs w:val="20"/>
          </w:rPr>
          <w:t>-</w:t>
        </w:r>
        <w:r w:rsidRPr="002F3CB0">
          <w:rPr>
            <w:rStyle w:val="Hyperlink"/>
            <w:rFonts w:ascii="Arial" w:hAnsi="Arial" w:cs="Arial"/>
            <w:sz w:val="20"/>
            <w:szCs w:val="20"/>
          </w:rPr>
          <w:t xml:space="preserve"> Tribunal Pleno</w:t>
        </w:r>
      </w:hyperlink>
      <w:r>
        <w:rPr>
          <w:rFonts w:ascii="Arial" w:hAnsi="Arial" w:cs="Arial"/>
          <w:sz w:val="20"/>
          <w:szCs w:val="20"/>
        </w:rPr>
        <w:t xml:space="preserve"> </w:t>
      </w:r>
      <w:r w:rsidR="00013446">
        <w:rPr>
          <w:rFonts w:ascii="Arial" w:hAnsi="Arial" w:cs="Arial"/>
          <w:sz w:val="20"/>
          <w:szCs w:val="20"/>
        </w:rPr>
        <w:t>-</w:t>
      </w:r>
      <w:r>
        <w:rPr>
          <w:rFonts w:ascii="Arial" w:hAnsi="Arial" w:cs="Arial"/>
          <w:sz w:val="20"/>
          <w:szCs w:val="20"/>
        </w:rPr>
        <w:t xml:space="preserve"> </w:t>
      </w:r>
      <w:r w:rsidR="00013446">
        <w:rPr>
          <w:rFonts w:ascii="Arial" w:hAnsi="Arial" w:cs="Arial"/>
          <w:sz w:val="20"/>
          <w:szCs w:val="20"/>
        </w:rPr>
        <w:t>Rel. Cons. Fernando Augusto Mello Guimarães.</w:t>
      </w:r>
    </w:p>
    <w:p w:rsidR="00E05654" w:rsidRDefault="00E05654" w:rsidP="00F567EB">
      <w:pPr>
        <w:autoSpaceDE w:val="0"/>
        <w:autoSpaceDN w:val="0"/>
        <w:adjustRightInd w:val="0"/>
        <w:spacing w:after="0"/>
        <w:jc w:val="both"/>
        <w:rPr>
          <w:rFonts w:ascii="Arial" w:hAnsi="Arial" w:cs="Arial"/>
          <w:sz w:val="20"/>
          <w:szCs w:val="20"/>
        </w:rPr>
      </w:pPr>
    </w:p>
    <w:p w:rsidR="00B83A9B" w:rsidRPr="00B83A9B" w:rsidRDefault="007337D6" w:rsidP="00F567E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B83A9B" w:rsidRPr="00B83A9B">
        <w:rPr>
          <w:rFonts w:ascii="Arial" w:hAnsi="Arial" w:cs="Arial"/>
          <w:b/>
          <w:sz w:val="20"/>
          <w:szCs w:val="20"/>
        </w:rPr>
        <w:t>Recurso de agravo contra o indeferimento de liminar suspensiva de decisão do TCE/PR. O transcurso do prazo para recolhimento de multa aplicada por esta Corte não configura possível dano de difícil reparação, que só é verificado quando comprovada a iminência de ato específico de constrição de bens em sede de execução judicial. Desprovimento.</w:t>
      </w:r>
    </w:p>
    <w:p w:rsidR="00E05654" w:rsidRDefault="00E05654" w:rsidP="00F567EB">
      <w:pPr>
        <w:autoSpaceDE w:val="0"/>
        <w:autoSpaceDN w:val="0"/>
        <w:adjustRightInd w:val="0"/>
        <w:spacing w:after="0"/>
        <w:jc w:val="both"/>
        <w:rPr>
          <w:rFonts w:ascii="Arial" w:hAnsi="Arial" w:cs="Arial"/>
          <w:sz w:val="20"/>
          <w:szCs w:val="20"/>
        </w:rPr>
      </w:pPr>
    </w:p>
    <w:p w:rsidR="00163CC7" w:rsidRDefault="00163CC7" w:rsidP="00F567EB">
      <w:pPr>
        <w:autoSpaceDE w:val="0"/>
        <w:autoSpaceDN w:val="0"/>
        <w:adjustRightInd w:val="0"/>
        <w:spacing w:after="0"/>
        <w:jc w:val="both"/>
        <w:rPr>
          <w:rFonts w:ascii="Arial" w:hAnsi="Arial" w:cs="Arial"/>
          <w:sz w:val="20"/>
          <w:szCs w:val="20"/>
        </w:rPr>
      </w:pPr>
      <w:r w:rsidRPr="00163CC7">
        <w:rPr>
          <w:rFonts w:ascii="Arial" w:hAnsi="Arial" w:cs="Arial"/>
          <w:sz w:val="20"/>
          <w:szCs w:val="20"/>
        </w:rPr>
        <w:t>Das duas condições regimentalmente previstas para a concessão de</w:t>
      </w:r>
      <w:r>
        <w:rPr>
          <w:rFonts w:ascii="Arial" w:hAnsi="Arial" w:cs="Arial"/>
          <w:sz w:val="20"/>
          <w:szCs w:val="20"/>
        </w:rPr>
        <w:t xml:space="preserve"> </w:t>
      </w:r>
      <w:r w:rsidRPr="00163CC7">
        <w:rPr>
          <w:rFonts w:ascii="Arial" w:hAnsi="Arial" w:cs="Arial"/>
          <w:sz w:val="20"/>
          <w:szCs w:val="20"/>
        </w:rPr>
        <w:t>liminar em pedidos de rescisão – quais sejam: prova inequívoca do direito e receio</w:t>
      </w:r>
      <w:r>
        <w:rPr>
          <w:rFonts w:ascii="Arial" w:hAnsi="Arial" w:cs="Arial"/>
          <w:sz w:val="20"/>
          <w:szCs w:val="20"/>
        </w:rPr>
        <w:t xml:space="preserve"> </w:t>
      </w:r>
      <w:r w:rsidRPr="00163CC7">
        <w:rPr>
          <w:rFonts w:ascii="Arial" w:hAnsi="Arial" w:cs="Arial"/>
          <w:sz w:val="20"/>
          <w:szCs w:val="20"/>
        </w:rPr>
        <w:t>de dano de difícil reparação –, entendo que não existe discussão em relação ao</w:t>
      </w:r>
      <w:r>
        <w:rPr>
          <w:rFonts w:ascii="Arial" w:hAnsi="Arial" w:cs="Arial"/>
          <w:sz w:val="20"/>
          <w:szCs w:val="20"/>
        </w:rPr>
        <w:t xml:space="preserve"> </w:t>
      </w:r>
      <w:r w:rsidRPr="00163CC7">
        <w:rPr>
          <w:rFonts w:ascii="Arial,Italic" w:hAnsi="Arial,Italic" w:cs="Arial,Italic"/>
          <w:i/>
          <w:iCs/>
          <w:sz w:val="20"/>
          <w:szCs w:val="20"/>
        </w:rPr>
        <w:t>fumus boni iuris</w:t>
      </w:r>
      <w:r w:rsidRPr="00163CC7">
        <w:rPr>
          <w:rFonts w:ascii="Arial" w:hAnsi="Arial" w:cs="Arial"/>
          <w:sz w:val="20"/>
          <w:szCs w:val="20"/>
        </w:rPr>
        <w:t xml:space="preserve">. Porém, o mesmo não se pode dizer do </w:t>
      </w:r>
      <w:r w:rsidRPr="00163CC7">
        <w:rPr>
          <w:rFonts w:ascii="Arial,Italic" w:hAnsi="Arial,Italic" w:cs="Arial,Italic"/>
          <w:i/>
          <w:iCs/>
          <w:sz w:val="20"/>
          <w:szCs w:val="20"/>
        </w:rPr>
        <w:t>periculum in mora</w:t>
      </w:r>
      <w:r w:rsidRPr="00163CC7">
        <w:rPr>
          <w:rFonts w:ascii="Arial" w:hAnsi="Arial" w:cs="Arial"/>
          <w:sz w:val="20"/>
          <w:szCs w:val="20"/>
        </w:rPr>
        <w:t>.</w:t>
      </w:r>
      <w:r>
        <w:rPr>
          <w:rFonts w:ascii="Arial" w:hAnsi="Arial" w:cs="Arial"/>
          <w:sz w:val="20"/>
          <w:szCs w:val="20"/>
        </w:rPr>
        <w:t xml:space="preserve"> </w:t>
      </w:r>
      <w:r w:rsidRPr="00163CC7">
        <w:rPr>
          <w:rFonts w:ascii="Arial" w:hAnsi="Arial" w:cs="Arial"/>
          <w:sz w:val="20"/>
          <w:szCs w:val="20"/>
        </w:rPr>
        <w:t>Não há dúvidas de que as penalidades pecuniárias aplicadas à</w:t>
      </w:r>
      <w:r>
        <w:rPr>
          <w:rFonts w:ascii="Arial" w:hAnsi="Arial" w:cs="Arial"/>
          <w:sz w:val="20"/>
          <w:szCs w:val="20"/>
        </w:rPr>
        <w:t xml:space="preserve"> </w:t>
      </w:r>
      <w:r w:rsidRPr="00163CC7">
        <w:rPr>
          <w:rFonts w:ascii="Arial" w:hAnsi="Arial" w:cs="Arial"/>
          <w:sz w:val="20"/>
          <w:szCs w:val="20"/>
        </w:rPr>
        <w:t xml:space="preserve">Recorrente somam uma quantia considerável (R$ 28.880,46). </w:t>
      </w:r>
    </w:p>
    <w:p w:rsidR="00163CC7" w:rsidRDefault="00163CC7" w:rsidP="00F567EB">
      <w:pPr>
        <w:autoSpaceDE w:val="0"/>
        <w:autoSpaceDN w:val="0"/>
        <w:adjustRightInd w:val="0"/>
        <w:spacing w:after="0"/>
        <w:jc w:val="both"/>
        <w:rPr>
          <w:rFonts w:ascii="Arial" w:hAnsi="Arial" w:cs="Arial"/>
          <w:sz w:val="20"/>
          <w:szCs w:val="20"/>
        </w:rPr>
      </w:pPr>
    </w:p>
    <w:p w:rsidR="008274A0" w:rsidRPr="00163CC7" w:rsidRDefault="00163CC7" w:rsidP="00F567EB">
      <w:pPr>
        <w:autoSpaceDE w:val="0"/>
        <w:autoSpaceDN w:val="0"/>
        <w:adjustRightInd w:val="0"/>
        <w:spacing w:after="0"/>
        <w:jc w:val="both"/>
        <w:rPr>
          <w:rFonts w:ascii="Arial" w:hAnsi="Arial" w:cs="Arial"/>
          <w:color w:val="000000"/>
          <w:sz w:val="20"/>
          <w:szCs w:val="20"/>
          <w:shd w:val="clear" w:color="auto" w:fill="FFFFFF"/>
        </w:rPr>
      </w:pPr>
      <w:r w:rsidRPr="00163CC7">
        <w:rPr>
          <w:rFonts w:ascii="Arial" w:hAnsi="Arial" w:cs="Arial"/>
          <w:sz w:val="20"/>
          <w:szCs w:val="20"/>
        </w:rPr>
        <w:t>No entanto, conforme</w:t>
      </w:r>
      <w:r>
        <w:rPr>
          <w:rFonts w:ascii="Arial" w:hAnsi="Arial" w:cs="Arial"/>
          <w:sz w:val="20"/>
          <w:szCs w:val="20"/>
        </w:rPr>
        <w:t xml:space="preserve"> </w:t>
      </w:r>
      <w:r w:rsidRPr="00163CC7">
        <w:rPr>
          <w:rFonts w:ascii="Arial" w:hAnsi="Arial" w:cs="Arial"/>
          <w:sz w:val="20"/>
          <w:szCs w:val="20"/>
        </w:rPr>
        <w:t>já asseverado no despacho vergastado, “</w:t>
      </w:r>
      <w:r w:rsidRPr="00163CC7">
        <w:rPr>
          <w:rFonts w:ascii="Arial,Italic" w:hAnsi="Arial,Italic" w:cs="Arial,Italic"/>
          <w:i/>
          <w:iCs/>
          <w:sz w:val="20"/>
          <w:szCs w:val="20"/>
        </w:rPr>
        <w:t>o simples transcurso do prazo para</w:t>
      </w:r>
      <w:r>
        <w:rPr>
          <w:rFonts w:ascii="Arial,Italic" w:hAnsi="Arial,Italic" w:cs="Arial,Italic"/>
          <w:i/>
          <w:iCs/>
          <w:sz w:val="20"/>
          <w:szCs w:val="20"/>
        </w:rPr>
        <w:t xml:space="preserve"> </w:t>
      </w:r>
      <w:r w:rsidRPr="00163CC7">
        <w:rPr>
          <w:rFonts w:ascii="Arial,Italic" w:hAnsi="Arial,Italic" w:cs="Arial,Italic"/>
          <w:i/>
          <w:iCs/>
          <w:sz w:val="20"/>
          <w:szCs w:val="20"/>
        </w:rPr>
        <w:t>recolhimento de multa aplicada por esta Corte não configura possível dano de difícil</w:t>
      </w:r>
      <w:r>
        <w:rPr>
          <w:rFonts w:ascii="Arial,Italic" w:hAnsi="Arial,Italic" w:cs="Arial,Italic"/>
          <w:i/>
          <w:iCs/>
          <w:sz w:val="20"/>
          <w:szCs w:val="20"/>
        </w:rPr>
        <w:t xml:space="preserve"> </w:t>
      </w:r>
      <w:r w:rsidRPr="00163CC7">
        <w:rPr>
          <w:rFonts w:ascii="Arial,Italic" w:hAnsi="Arial,Italic" w:cs="Arial,Italic"/>
          <w:i/>
          <w:iCs/>
          <w:sz w:val="20"/>
          <w:szCs w:val="20"/>
        </w:rPr>
        <w:t>reparação, não havendo qualquer implicação direta no patrimônio da Interessada</w:t>
      </w:r>
      <w:r w:rsidRPr="00163CC7">
        <w:rPr>
          <w:rFonts w:ascii="Arial" w:hAnsi="Arial" w:cs="Arial"/>
          <w:sz w:val="20"/>
          <w:szCs w:val="20"/>
        </w:rPr>
        <w:t>”.</w:t>
      </w:r>
      <w:r>
        <w:rPr>
          <w:rFonts w:ascii="Arial" w:hAnsi="Arial" w:cs="Arial"/>
          <w:sz w:val="20"/>
          <w:szCs w:val="20"/>
        </w:rPr>
        <w:t xml:space="preserve"> </w:t>
      </w:r>
      <w:r w:rsidRPr="00163CC7">
        <w:rPr>
          <w:rFonts w:ascii="Arial" w:hAnsi="Arial" w:cs="Arial"/>
          <w:sz w:val="20"/>
          <w:szCs w:val="20"/>
        </w:rPr>
        <w:t>Caso já houvesse sido proposta execução judicial e atos específicos</w:t>
      </w:r>
      <w:r>
        <w:rPr>
          <w:rFonts w:ascii="Arial" w:hAnsi="Arial" w:cs="Arial"/>
          <w:sz w:val="20"/>
          <w:szCs w:val="20"/>
        </w:rPr>
        <w:t xml:space="preserve"> </w:t>
      </w:r>
      <w:r w:rsidRPr="00163CC7">
        <w:rPr>
          <w:rFonts w:ascii="Arial" w:hAnsi="Arial" w:cs="Arial"/>
          <w:sz w:val="20"/>
          <w:szCs w:val="20"/>
        </w:rPr>
        <w:t>que pudessem vir a atingir o patrimônio da Requerente (</w:t>
      </w:r>
      <w:r w:rsidRPr="00163CC7">
        <w:rPr>
          <w:rFonts w:ascii="Arial,Italic" w:hAnsi="Arial,Italic" w:cs="Arial,Italic"/>
          <w:i/>
          <w:iCs/>
          <w:sz w:val="20"/>
          <w:szCs w:val="20"/>
        </w:rPr>
        <w:t xml:space="preserve">v.g. </w:t>
      </w:r>
      <w:r w:rsidRPr="00163CC7">
        <w:rPr>
          <w:rFonts w:ascii="Arial" w:hAnsi="Arial" w:cs="Arial"/>
          <w:sz w:val="20"/>
          <w:szCs w:val="20"/>
        </w:rPr>
        <w:t>penhora de bens)</w:t>
      </w:r>
      <w:r>
        <w:rPr>
          <w:rFonts w:ascii="Arial" w:hAnsi="Arial" w:cs="Arial"/>
          <w:sz w:val="20"/>
          <w:szCs w:val="20"/>
        </w:rPr>
        <w:t xml:space="preserve"> </w:t>
      </w:r>
      <w:r w:rsidRPr="00163CC7">
        <w:rPr>
          <w:rFonts w:ascii="Arial" w:hAnsi="Arial" w:cs="Arial"/>
          <w:sz w:val="20"/>
          <w:szCs w:val="20"/>
        </w:rPr>
        <w:t>fossem iminentes, o perigo da demora restaria configurado.</w:t>
      </w:r>
    </w:p>
    <w:p w:rsidR="00163CC7" w:rsidRDefault="00163CC7" w:rsidP="00F567EB">
      <w:pPr>
        <w:autoSpaceDE w:val="0"/>
        <w:autoSpaceDN w:val="0"/>
        <w:adjustRightInd w:val="0"/>
        <w:spacing w:after="0"/>
        <w:jc w:val="both"/>
        <w:rPr>
          <w:rFonts w:ascii="Arial" w:hAnsi="Arial" w:cs="Arial"/>
          <w:color w:val="000000"/>
          <w:sz w:val="20"/>
          <w:szCs w:val="20"/>
          <w:shd w:val="clear" w:color="auto" w:fill="FFFFFF"/>
        </w:rPr>
      </w:pPr>
    </w:p>
    <w:p w:rsidR="004D5D14" w:rsidRPr="004D5D14" w:rsidRDefault="004D5D14" w:rsidP="00F567EB">
      <w:pPr>
        <w:autoSpaceDE w:val="0"/>
        <w:autoSpaceDN w:val="0"/>
        <w:adjustRightInd w:val="0"/>
        <w:spacing w:after="0"/>
        <w:jc w:val="both"/>
        <w:rPr>
          <w:rFonts w:ascii="Arial" w:hAnsi="Arial" w:cs="Arial"/>
          <w:color w:val="000000"/>
          <w:sz w:val="20"/>
          <w:szCs w:val="20"/>
          <w:shd w:val="clear" w:color="auto" w:fill="FFFFFF"/>
        </w:rPr>
      </w:pPr>
      <w:r w:rsidRPr="004D5D14">
        <w:rPr>
          <w:rFonts w:ascii="Arial" w:hAnsi="Arial" w:cs="Arial"/>
          <w:sz w:val="20"/>
          <w:szCs w:val="20"/>
        </w:rPr>
        <w:t xml:space="preserve">Desta feita, e considerando que o recurso </w:t>
      </w:r>
      <w:proofErr w:type="gramStart"/>
      <w:r w:rsidRPr="004D5D14">
        <w:rPr>
          <w:rFonts w:ascii="Arial" w:hAnsi="Arial" w:cs="Arial"/>
          <w:sz w:val="20"/>
          <w:szCs w:val="20"/>
        </w:rPr>
        <w:t>limitou-se</w:t>
      </w:r>
      <w:proofErr w:type="gramEnd"/>
      <w:r w:rsidRPr="004D5D14">
        <w:rPr>
          <w:rFonts w:ascii="Arial" w:hAnsi="Arial" w:cs="Arial"/>
          <w:sz w:val="20"/>
          <w:szCs w:val="20"/>
        </w:rPr>
        <w:t xml:space="preserve"> a demonstrar a</w:t>
      </w:r>
      <w:r>
        <w:rPr>
          <w:rFonts w:ascii="Arial" w:hAnsi="Arial" w:cs="Arial"/>
          <w:sz w:val="20"/>
          <w:szCs w:val="20"/>
        </w:rPr>
        <w:t xml:space="preserve"> </w:t>
      </w:r>
      <w:r w:rsidRPr="004D5D14">
        <w:rPr>
          <w:rFonts w:ascii="Arial" w:hAnsi="Arial" w:cs="Arial"/>
          <w:sz w:val="20"/>
          <w:szCs w:val="20"/>
        </w:rPr>
        <w:t xml:space="preserve">relevância do valor das multas em contraposição aos bens constantes de declaração de imposto de renda, sem </w:t>
      </w:r>
      <w:r w:rsidRPr="004D5D14">
        <w:rPr>
          <w:rFonts w:ascii="Arial" w:hAnsi="Arial" w:cs="Arial"/>
          <w:sz w:val="20"/>
          <w:szCs w:val="20"/>
        </w:rPr>
        <w:lastRenderedPageBreak/>
        <w:t xml:space="preserve">efetivamente enfrentar os motivos do </w:t>
      </w:r>
      <w:r w:rsidRPr="004D5D14">
        <w:rPr>
          <w:rFonts w:ascii="Arial" w:hAnsi="Arial" w:cs="Arial"/>
          <w:i/>
          <w:iCs/>
          <w:sz w:val="20"/>
          <w:szCs w:val="20"/>
        </w:rPr>
        <w:t>decisum</w:t>
      </w:r>
      <w:r w:rsidRPr="004D5D14">
        <w:rPr>
          <w:rFonts w:ascii="Arial" w:hAnsi="Arial" w:cs="Arial"/>
          <w:sz w:val="20"/>
          <w:szCs w:val="20"/>
        </w:rPr>
        <w:t xml:space="preserve">, </w:t>
      </w:r>
      <w:r>
        <w:rPr>
          <w:rFonts w:ascii="Arial" w:hAnsi="Arial" w:cs="Arial"/>
          <w:sz w:val="20"/>
          <w:szCs w:val="20"/>
        </w:rPr>
        <w:t xml:space="preserve">o presente recurso </w:t>
      </w:r>
      <w:r w:rsidRPr="004D5D14">
        <w:rPr>
          <w:rFonts w:ascii="Arial" w:hAnsi="Arial" w:cs="Arial"/>
          <w:sz w:val="20"/>
          <w:szCs w:val="20"/>
        </w:rPr>
        <w:t>deve ser negado provimento ao recurso.</w:t>
      </w:r>
    </w:p>
    <w:p w:rsidR="004D5D14" w:rsidRDefault="004D5D14" w:rsidP="00F567EB">
      <w:pPr>
        <w:autoSpaceDE w:val="0"/>
        <w:autoSpaceDN w:val="0"/>
        <w:adjustRightInd w:val="0"/>
        <w:spacing w:after="0"/>
        <w:jc w:val="both"/>
        <w:rPr>
          <w:rFonts w:ascii="Arial" w:hAnsi="Arial" w:cs="Arial"/>
          <w:color w:val="000000"/>
          <w:sz w:val="20"/>
          <w:szCs w:val="20"/>
          <w:shd w:val="clear" w:color="auto" w:fill="FFFFFF"/>
        </w:rPr>
      </w:pPr>
    </w:p>
    <w:p w:rsidR="00163CC7" w:rsidRDefault="00163CC7" w:rsidP="00F567EB">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120350/18 - </w:t>
      </w:r>
      <w:hyperlink r:id="rId15" w:history="1">
        <w:r w:rsidRPr="004D5D14">
          <w:rPr>
            <w:rStyle w:val="Hyperlink"/>
            <w:rFonts w:ascii="Arial" w:hAnsi="Arial" w:cs="Arial"/>
            <w:sz w:val="20"/>
            <w:szCs w:val="20"/>
            <w:shd w:val="clear" w:color="auto" w:fill="FFFFFF"/>
          </w:rPr>
          <w:t xml:space="preserve">Acórdão n° 906/18 </w:t>
        </w:r>
        <w:r w:rsidR="004754B1" w:rsidRPr="004D5D14">
          <w:rPr>
            <w:rStyle w:val="Hyperlink"/>
            <w:rFonts w:ascii="Arial" w:hAnsi="Arial" w:cs="Arial"/>
            <w:sz w:val="20"/>
            <w:szCs w:val="20"/>
            <w:shd w:val="clear" w:color="auto" w:fill="FFFFFF"/>
          </w:rPr>
          <w:t>-</w:t>
        </w:r>
        <w:r w:rsidRPr="004D5D14">
          <w:rPr>
            <w:rStyle w:val="Hyperlink"/>
            <w:rFonts w:ascii="Arial" w:hAnsi="Arial" w:cs="Arial"/>
            <w:sz w:val="20"/>
            <w:szCs w:val="20"/>
            <w:shd w:val="clear" w:color="auto" w:fill="FFFFFF"/>
          </w:rPr>
          <w:t xml:space="preserve"> Tribunal Pleno</w:t>
        </w:r>
      </w:hyperlink>
      <w:r>
        <w:rPr>
          <w:rFonts w:ascii="Arial" w:hAnsi="Arial" w:cs="Arial"/>
          <w:color w:val="000000"/>
          <w:sz w:val="20"/>
          <w:szCs w:val="20"/>
          <w:shd w:val="clear" w:color="auto" w:fill="FFFFFF"/>
        </w:rPr>
        <w:t xml:space="preserve"> -  </w:t>
      </w:r>
      <w:r w:rsidR="004754B1">
        <w:rPr>
          <w:rFonts w:ascii="Arial" w:hAnsi="Arial" w:cs="Arial"/>
          <w:color w:val="000000"/>
          <w:sz w:val="20"/>
          <w:szCs w:val="20"/>
          <w:shd w:val="clear" w:color="auto" w:fill="FFFFFF"/>
        </w:rPr>
        <w:t>Rel. Cons. Fernando Augusto Mello Guimarães.</w:t>
      </w:r>
    </w:p>
    <w:p w:rsidR="00E91D32" w:rsidRDefault="00E91D32" w:rsidP="00F567EB">
      <w:pPr>
        <w:autoSpaceDE w:val="0"/>
        <w:autoSpaceDN w:val="0"/>
        <w:adjustRightInd w:val="0"/>
        <w:spacing w:after="0"/>
        <w:jc w:val="both"/>
        <w:rPr>
          <w:rFonts w:ascii="Arial" w:hAnsi="Arial" w:cs="Arial"/>
          <w:color w:val="000000"/>
          <w:sz w:val="20"/>
          <w:szCs w:val="20"/>
          <w:shd w:val="clear" w:color="auto" w:fill="FFFFFF"/>
        </w:rPr>
      </w:pPr>
    </w:p>
    <w:p w:rsidR="00E91D32" w:rsidRPr="00986868" w:rsidRDefault="007337D6" w:rsidP="00E91D3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E91D32" w:rsidRPr="00986868">
        <w:rPr>
          <w:rFonts w:ascii="Arial" w:hAnsi="Arial" w:cs="Arial"/>
          <w:b/>
          <w:sz w:val="20"/>
          <w:szCs w:val="20"/>
        </w:rPr>
        <w:t>Representação da Lei 8.666/93. Licitação para contratação de empresa para fornecimento de sistemas informatizados. Concessão de suspensão do pregão em razão de ausência de descrição mínima do treinamento requisitado. Restrição à competividade.</w:t>
      </w:r>
    </w:p>
    <w:p w:rsidR="00E91D32" w:rsidRDefault="00E91D32" w:rsidP="00E91D32">
      <w:pPr>
        <w:autoSpaceDE w:val="0"/>
        <w:autoSpaceDN w:val="0"/>
        <w:adjustRightInd w:val="0"/>
        <w:spacing w:after="0"/>
        <w:jc w:val="both"/>
        <w:rPr>
          <w:rFonts w:ascii="Arial" w:hAnsi="Arial" w:cs="Arial"/>
          <w:sz w:val="20"/>
          <w:szCs w:val="20"/>
        </w:rPr>
      </w:pPr>
    </w:p>
    <w:p w:rsidR="00E91D32" w:rsidRDefault="00E91D32" w:rsidP="00E91D32">
      <w:pPr>
        <w:autoSpaceDE w:val="0"/>
        <w:autoSpaceDN w:val="0"/>
        <w:adjustRightInd w:val="0"/>
        <w:spacing w:after="0"/>
        <w:jc w:val="both"/>
        <w:rPr>
          <w:rFonts w:ascii="Arial" w:hAnsi="Arial" w:cs="Arial"/>
          <w:sz w:val="20"/>
          <w:szCs w:val="20"/>
        </w:rPr>
      </w:pPr>
      <w:r w:rsidRPr="00986868">
        <w:rPr>
          <w:rFonts w:ascii="Arial" w:hAnsi="Arial" w:cs="Arial"/>
          <w:sz w:val="20"/>
          <w:szCs w:val="20"/>
        </w:rPr>
        <w:t xml:space="preserve">Edital </w:t>
      </w:r>
      <w:r>
        <w:rPr>
          <w:rFonts w:ascii="Arial" w:hAnsi="Arial" w:cs="Arial"/>
          <w:sz w:val="20"/>
          <w:szCs w:val="20"/>
        </w:rPr>
        <w:t xml:space="preserve">que </w:t>
      </w:r>
      <w:r w:rsidRPr="00986868">
        <w:rPr>
          <w:rFonts w:ascii="Arial" w:hAnsi="Arial" w:cs="Arial"/>
          <w:sz w:val="20"/>
          <w:szCs w:val="20"/>
        </w:rPr>
        <w:t>deixa ao critério da empresa vencedora da licitação a definição do treinamento a ser realizado para os usuários do sistema impossi</w:t>
      </w:r>
      <w:r>
        <w:rPr>
          <w:rFonts w:ascii="Arial" w:hAnsi="Arial" w:cs="Arial"/>
          <w:sz w:val="20"/>
          <w:szCs w:val="20"/>
        </w:rPr>
        <w:t>bilita</w:t>
      </w:r>
      <w:r w:rsidRPr="00986868">
        <w:rPr>
          <w:rFonts w:ascii="Arial" w:hAnsi="Arial" w:cs="Arial"/>
          <w:sz w:val="20"/>
          <w:szCs w:val="20"/>
        </w:rPr>
        <w:t xml:space="preserve"> que os licitantes possuam critérios objetivos para a formação de seus preços na fase de apresentação das propostas, principalmente em relação à quantidade de pessoas que devem treinar e o nível de aprofundamento de tal treinamento, além da carga horária, programa, prazo e local, material didático, dentre outras.</w:t>
      </w:r>
    </w:p>
    <w:p w:rsidR="00E91D32" w:rsidRDefault="00E91D32" w:rsidP="00E91D32">
      <w:pPr>
        <w:autoSpaceDE w:val="0"/>
        <w:autoSpaceDN w:val="0"/>
        <w:adjustRightInd w:val="0"/>
        <w:spacing w:after="0"/>
        <w:jc w:val="both"/>
        <w:rPr>
          <w:rFonts w:ascii="Arial" w:hAnsi="Arial" w:cs="Arial"/>
          <w:sz w:val="20"/>
          <w:szCs w:val="20"/>
        </w:rPr>
      </w:pPr>
    </w:p>
    <w:p w:rsidR="00E91D32" w:rsidRDefault="00E91D32" w:rsidP="00E91D32">
      <w:pPr>
        <w:autoSpaceDE w:val="0"/>
        <w:autoSpaceDN w:val="0"/>
        <w:adjustRightInd w:val="0"/>
        <w:spacing w:after="0"/>
        <w:jc w:val="both"/>
        <w:rPr>
          <w:rFonts w:ascii="Arial" w:hAnsi="Arial" w:cs="Arial"/>
          <w:sz w:val="20"/>
          <w:szCs w:val="20"/>
        </w:rPr>
      </w:pPr>
      <w:r w:rsidRPr="00986868">
        <w:rPr>
          <w:rFonts w:ascii="Arial" w:hAnsi="Arial" w:cs="Arial"/>
          <w:sz w:val="20"/>
          <w:szCs w:val="20"/>
        </w:rPr>
        <w:t>A ausência de tais critérios impossibilita que a Administração Pública exija do vencedor da licitação a devida prestação dos serviços contratados, pois não pode cobrar por aquilo que não definiu ou definiu de modo precário.</w:t>
      </w:r>
    </w:p>
    <w:p w:rsidR="00E91D32" w:rsidRPr="00986868" w:rsidRDefault="00E91D32" w:rsidP="00E91D32">
      <w:pPr>
        <w:autoSpaceDE w:val="0"/>
        <w:autoSpaceDN w:val="0"/>
        <w:adjustRightInd w:val="0"/>
        <w:spacing w:after="0"/>
        <w:jc w:val="both"/>
        <w:rPr>
          <w:rFonts w:ascii="Arial" w:hAnsi="Arial" w:cs="Arial"/>
          <w:sz w:val="20"/>
          <w:szCs w:val="20"/>
        </w:rPr>
      </w:pPr>
    </w:p>
    <w:p w:rsidR="00E91D32" w:rsidRPr="00986868" w:rsidRDefault="00E91D32" w:rsidP="00E91D32">
      <w:pPr>
        <w:autoSpaceDE w:val="0"/>
        <w:autoSpaceDN w:val="0"/>
        <w:adjustRightInd w:val="0"/>
        <w:spacing w:after="0"/>
        <w:jc w:val="both"/>
        <w:rPr>
          <w:rFonts w:ascii="Arial" w:hAnsi="Arial" w:cs="Arial"/>
          <w:sz w:val="20"/>
          <w:szCs w:val="20"/>
        </w:rPr>
      </w:pPr>
      <w:r w:rsidRPr="00986868">
        <w:rPr>
          <w:rFonts w:ascii="Arial" w:hAnsi="Arial" w:cs="Arial"/>
          <w:sz w:val="20"/>
          <w:szCs w:val="20"/>
        </w:rPr>
        <w:t xml:space="preserve">A insuficiência da descrição do treinamento e capacitação dos usuários e técnicos operacionais dos sistemas de informática a serem contratados, o que inviabiliza a formação de preços pelos licitantes e, consequentemente, compromete a competividade do certame, devendo o </w:t>
      </w:r>
      <w:r>
        <w:rPr>
          <w:rFonts w:ascii="Arial" w:hAnsi="Arial" w:cs="Arial"/>
          <w:sz w:val="20"/>
          <w:szCs w:val="20"/>
        </w:rPr>
        <w:t>Ente público</w:t>
      </w:r>
      <w:r w:rsidRPr="00986868">
        <w:rPr>
          <w:rFonts w:ascii="Arial" w:hAnsi="Arial" w:cs="Arial"/>
          <w:sz w:val="20"/>
          <w:szCs w:val="20"/>
        </w:rPr>
        <w:t>, a fim de possibilitar aos licitantes e à própria Administração o conhecimento da exata delimitação e definição do objeto, nos termos da Lei nº 8.666/93.</w:t>
      </w:r>
    </w:p>
    <w:p w:rsidR="00E91D32" w:rsidRDefault="00E91D32" w:rsidP="00E91D32">
      <w:pPr>
        <w:autoSpaceDE w:val="0"/>
        <w:autoSpaceDN w:val="0"/>
        <w:adjustRightInd w:val="0"/>
        <w:spacing w:after="0"/>
        <w:jc w:val="both"/>
        <w:rPr>
          <w:rFonts w:ascii="Arial" w:hAnsi="Arial" w:cs="Arial"/>
          <w:color w:val="000000"/>
          <w:sz w:val="20"/>
          <w:szCs w:val="20"/>
          <w:shd w:val="clear" w:color="auto" w:fill="FFFFFF"/>
        </w:rPr>
      </w:pPr>
    </w:p>
    <w:p w:rsidR="00E91D32" w:rsidRDefault="00E91D32" w:rsidP="00E91D3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189121/18 - </w:t>
      </w:r>
      <w:hyperlink r:id="rId16" w:history="1">
        <w:r w:rsidRPr="00986868">
          <w:rPr>
            <w:rStyle w:val="Hyperlink"/>
            <w:rFonts w:ascii="Arial" w:hAnsi="Arial" w:cs="Arial"/>
            <w:sz w:val="20"/>
            <w:szCs w:val="20"/>
            <w:shd w:val="clear" w:color="auto" w:fill="FFFFFF"/>
          </w:rPr>
          <w:t>Acórdão n° 817/18 - Tribunal Pleno</w:t>
        </w:r>
      </w:hyperlink>
      <w:r>
        <w:rPr>
          <w:rFonts w:ascii="Arial" w:hAnsi="Arial" w:cs="Arial"/>
          <w:color w:val="000000"/>
          <w:sz w:val="20"/>
          <w:szCs w:val="20"/>
          <w:shd w:val="clear" w:color="auto" w:fill="FFFFFF"/>
        </w:rPr>
        <w:t xml:space="preserve"> -  Rel. Cons. Fernando Augusto Mello Guimarães.</w:t>
      </w:r>
    </w:p>
    <w:p w:rsidR="00E91D32" w:rsidRDefault="00E91D32" w:rsidP="00E91D32">
      <w:pPr>
        <w:autoSpaceDE w:val="0"/>
        <w:autoSpaceDN w:val="0"/>
        <w:adjustRightInd w:val="0"/>
        <w:spacing w:after="0"/>
        <w:jc w:val="both"/>
        <w:rPr>
          <w:rFonts w:ascii="Arial" w:hAnsi="Arial" w:cs="Arial"/>
          <w:b/>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816942">
      <w:pPr>
        <w:spacing w:after="0"/>
        <w:rPr>
          <w:rFonts w:ascii="Arial" w:hAnsi="Arial" w:cs="Arial"/>
          <w:b/>
          <w:color w:val="000000"/>
          <w:sz w:val="20"/>
          <w:szCs w:val="20"/>
        </w:rPr>
      </w:pPr>
    </w:p>
    <w:p w:rsidR="00CC4E55" w:rsidRPr="00D53692" w:rsidRDefault="00503D16" w:rsidP="006E12D5">
      <w:pPr>
        <w:spacing w:after="0"/>
        <w:jc w:val="both"/>
        <w:rPr>
          <w:rFonts w:ascii="Arial" w:hAnsi="Arial" w:cs="Arial"/>
          <w:b/>
          <w:bCs/>
          <w:sz w:val="20"/>
          <w:szCs w:val="20"/>
          <w:shd w:val="clear" w:color="auto" w:fill="FFFFFF"/>
        </w:rPr>
      </w:pPr>
      <w:hyperlink r:id="rId17" w:history="1">
        <w:r w:rsidR="004F1C6A" w:rsidRPr="00D53692">
          <w:rPr>
            <w:rStyle w:val="Hyperlink"/>
            <w:rFonts w:ascii="Arial" w:hAnsi="Arial" w:cs="Arial"/>
            <w:b/>
            <w:sz w:val="20"/>
            <w:szCs w:val="20"/>
            <w:shd w:val="clear" w:color="auto" w:fill="FFFFFF"/>
          </w:rPr>
          <w:t xml:space="preserve">MS 32703/DF, rel. Min. Dias </w:t>
        </w:r>
        <w:proofErr w:type="spellStart"/>
        <w:r w:rsidR="004F1C6A" w:rsidRPr="00D53692">
          <w:rPr>
            <w:rStyle w:val="Hyperlink"/>
            <w:rFonts w:ascii="Arial" w:hAnsi="Arial" w:cs="Arial"/>
            <w:b/>
            <w:sz w:val="20"/>
            <w:szCs w:val="20"/>
            <w:shd w:val="clear" w:color="auto" w:fill="FFFFFF"/>
          </w:rPr>
          <w:t>Tóffoli</w:t>
        </w:r>
        <w:proofErr w:type="spellEnd"/>
        <w:r w:rsidR="004F1C6A" w:rsidRPr="00D53692">
          <w:rPr>
            <w:rStyle w:val="Hyperlink"/>
            <w:rFonts w:ascii="Arial" w:hAnsi="Arial" w:cs="Arial"/>
            <w:b/>
            <w:sz w:val="20"/>
            <w:szCs w:val="20"/>
            <w:shd w:val="clear" w:color="auto" w:fill="FFFFFF"/>
          </w:rPr>
          <w:t>, julgamento em 10.4.2018. (MS-32703)</w:t>
        </w:r>
      </w:hyperlink>
    </w:p>
    <w:p w:rsidR="00151D8A" w:rsidRPr="00D53692" w:rsidRDefault="00151D8A" w:rsidP="006E12D5">
      <w:pPr>
        <w:spacing w:after="0"/>
        <w:jc w:val="both"/>
        <w:rPr>
          <w:rFonts w:ascii="Arial" w:hAnsi="Arial" w:cs="Arial"/>
          <w:color w:val="587E93"/>
          <w:sz w:val="20"/>
          <w:szCs w:val="20"/>
          <w:shd w:val="clear" w:color="auto" w:fill="FFFFFF"/>
        </w:rPr>
      </w:pPr>
    </w:p>
    <w:p w:rsidR="00151D8A" w:rsidRPr="00D53692" w:rsidRDefault="00151D8A" w:rsidP="006E12D5">
      <w:pPr>
        <w:spacing w:after="0"/>
        <w:jc w:val="both"/>
        <w:rPr>
          <w:rFonts w:ascii="Arial" w:hAnsi="Arial" w:cs="Arial"/>
          <w:sz w:val="20"/>
          <w:szCs w:val="20"/>
          <w:shd w:val="clear" w:color="auto" w:fill="FFFFFF"/>
        </w:rPr>
      </w:pPr>
      <w:r w:rsidRPr="00D53692">
        <w:rPr>
          <w:rFonts w:ascii="Arial" w:hAnsi="Arial" w:cs="Arial"/>
          <w:sz w:val="20"/>
          <w:szCs w:val="20"/>
          <w:shd w:val="clear" w:color="auto" w:fill="FFFFFF"/>
        </w:rPr>
        <w:t>Por possuírem caráter eminentemente público, os recursos provenientes do Banco do Brasil (BB) destinados à Fundação Banco do Brasil (FBB) se submetem à fiscalização do Tribunal de Contas da União (TCU).</w:t>
      </w:r>
    </w:p>
    <w:p w:rsidR="00151D8A" w:rsidRPr="00D53692" w:rsidRDefault="00151D8A" w:rsidP="006E12D5">
      <w:pPr>
        <w:spacing w:after="0"/>
        <w:jc w:val="both"/>
        <w:rPr>
          <w:rFonts w:ascii="Arial" w:hAnsi="Arial" w:cs="Arial"/>
          <w:sz w:val="20"/>
          <w:szCs w:val="20"/>
          <w:shd w:val="clear" w:color="auto" w:fill="FFFFFF"/>
        </w:rPr>
      </w:pPr>
    </w:p>
    <w:p w:rsidR="00151D8A" w:rsidRPr="00D53692" w:rsidRDefault="00151D8A" w:rsidP="006E12D5">
      <w:pPr>
        <w:spacing w:after="0"/>
        <w:jc w:val="both"/>
        <w:rPr>
          <w:rFonts w:ascii="Arial" w:hAnsi="Arial" w:cs="Arial"/>
          <w:sz w:val="20"/>
          <w:szCs w:val="20"/>
          <w:shd w:val="clear" w:color="auto" w:fill="FFFFFF"/>
        </w:rPr>
      </w:pPr>
      <w:r w:rsidRPr="00D53692">
        <w:rPr>
          <w:rFonts w:ascii="Arial" w:hAnsi="Arial" w:cs="Arial"/>
          <w:sz w:val="20"/>
          <w:szCs w:val="20"/>
          <w:shd w:val="clear" w:color="auto" w:fill="FFFFFF"/>
        </w:rPr>
        <w:lastRenderedPageBreak/>
        <w:t>O Colegiado entendeu que, por se tratar de pessoa jurídica de direito privado não integrante da Administração Pública, a FBB não necessita se submeter aos ditames da gestão pública quando repassar recursos próprios a terceiros por meio de convênios.</w:t>
      </w:r>
    </w:p>
    <w:p w:rsidR="00151D8A" w:rsidRPr="00D53692" w:rsidRDefault="00151D8A" w:rsidP="006E12D5">
      <w:pPr>
        <w:spacing w:after="0"/>
        <w:jc w:val="both"/>
        <w:rPr>
          <w:rFonts w:ascii="Arial" w:hAnsi="Arial" w:cs="Arial"/>
          <w:sz w:val="20"/>
          <w:szCs w:val="20"/>
          <w:shd w:val="clear" w:color="auto" w:fill="FFFFFF"/>
        </w:rPr>
      </w:pPr>
    </w:p>
    <w:p w:rsidR="00151D8A" w:rsidRPr="00D53692" w:rsidRDefault="00151D8A" w:rsidP="006E12D5">
      <w:pPr>
        <w:spacing w:after="0"/>
        <w:jc w:val="both"/>
        <w:rPr>
          <w:rFonts w:ascii="Arial" w:hAnsi="Arial" w:cs="Arial"/>
          <w:b/>
          <w:sz w:val="20"/>
          <w:szCs w:val="20"/>
        </w:rPr>
      </w:pPr>
      <w:r w:rsidRPr="00D53692">
        <w:rPr>
          <w:rFonts w:ascii="Arial" w:hAnsi="Arial" w:cs="Arial"/>
          <w:sz w:val="20"/>
          <w:szCs w:val="20"/>
          <w:shd w:val="clear" w:color="auto" w:fill="FFFFFF"/>
        </w:rPr>
        <w:t>Entretanto, quando a FBB receber recursos provenientes do BB - sociedade de economia mista que sofre a incidência dos princípios da Administração Pública previstos no art. 37, “caput”, da Constituição Federal (CF), - ficará sujeita à fiscalização do TCU.</w:t>
      </w:r>
    </w:p>
    <w:p w:rsidR="00543DF0" w:rsidRDefault="00543DF0" w:rsidP="006E12D5">
      <w:pPr>
        <w:spacing w:after="0"/>
        <w:jc w:val="both"/>
        <w:rPr>
          <w:rFonts w:ascii="Arial" w:hAnsi="Arial" w:cs="Arial"/>
          <w:b/>
          <w:color w:val="000000"/>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CC53EA" w:rsidRDefault="00CC53EA" w:rsidP="00CC53EA">
      <w:pPr>
        <w:widowControl w:val="0"/>
        <w:autoSpaceDE w:val="0"/>
        <w:autoSpaceDN w:val="0"/>
        <w:spacing w:after="0"/>
        <w:jc w:val="both"/>
      </w:pPr>
    </w:p>
    <w:p w:rsidR="005B0873" w:rsidRPr="00E15903" w:rsidRDefault="00503D16" w:rsidP="005B0873">
      <w:pPr>
        <w:widowControl w:val="0"/>
        <w:autoSpaceDE w:val="0"/>
        <w:autoSpaceDN w:val="0"/>
        <w:jc w:val="both"/>
        <w:rPr>
          <w:rFonts w:ascii="Arial" w:hAnsi="Arial" w:cs="Arial"/>
          <w:b/>
          <w:sz w:val="20"/>
          <w:szCs w:val="20"/>
        </w:rPr>
      </w:pPr>
      <w:hyperlink r:id="rId18" w:history="1">
        <w:r w:rsidR="005B0873" w:rsidRPr="00CA4B5D">
          <w:rPr>
            <w:rStyle w:val="Hyperlink"/>
            <w:rFonts w:ascii="Arial" w:hAnsi="Arial"/>
            <w:b/>
            <w:sz w:val="20"/>
            <w:szCs w:val="20"/>
          </w:rPr>
          <w:t>Acórdão 291/2018</w:t>
        </w:r>
        <w:r w:rsidR="0003271C" w:rsidRPr="00CA4B5D">
          <w:rPr>
            <w:rStyle w:val="Hyperlink"/>
            <w:rFonts w:ascii="Arial" w:hAnsi="Arial"/>
            <w:b/>
            <w:sz w:val="20"/>
            <w:szCs w:val="20"/>
          </w:rPr>
          <w:t xml:space="preserve"> -</w:t>
        </w:r>
        <w:r w:rsidR="005B0873" w:rsidRPr="00CA4B5D">
          <w:rPr>
            <w:rStyle w:val="Hyperlink"/>
            <w:rFonts w:ascii="Arial" w:hAnsi="Arial"/>
            <w:b/>
            <w:sz w:val="20"/>
            <w:szCs w:val="20"/>
          </w:rPr>
          <w:t xml:space="preserve"> Plenário</w:t>
        </w:r>
      </w:hyperlink>
      <w:r w:rsidR="005B0873" w:rsidRPr="00E15903">
        <w:rPr>
          <w:rFonts w:ascii="Arial" w:hAnsi="Arial"/>
          <w:b/>
          <w:sz w:val="20"/>
          <w:szCs w:val="20"/>
        </w:rPr>
        <w:t xml:space="preserve"> </w:t>
      </w:r>
      <w:r w:rsidR="005B0873" w:rsidRPr="00E15903">
        <w:rPr>
          <w:rFonts w:ascii="Arial" w:hAnsi="Arial"/>
          <w:sz w:val="20"/>
          <w:szCs w:val="20"/>
        </w:rPr>
        <w:t>(Representação, Relator Ministro Walton Alencar Rodrigues)</w:t>
      </w:r>
    </w:p>
    <w:p w:rsidR="005B0873" w:rsidRPr="00CA4B5D" w:rsidRDefault="005B0873" w:rsidP="005B0873">
      <w:pPr>
        <w:jc w:val="both"/>
        <w:rPr>
          <w:rFonts w:ascii="Arial" w:hAnsi="Arial" w:cs="Arial"/>
          <w:b/>
          <w:sz w:val="20"/>
          <w:szCs w:val="20"/>
        </w:rPr>
      </w:pPr>
      <w:r w:rsidRPr="00CA4B5D">
        <w:rPr>
          <w:rFonts w:ascii="Arial" w:hAnsi="Arial"/>
          <w:b/>
          <w:sz w:val="20"/>
          <w:szCs w:val="20"/>
        </w:rPr>
        <w:t>Medida cautelar. Oportunidade. Remuneração. Pagamento indevido. Periculum in mora.</w:t>
      </w:r>
    </w:p>
    <w:p w:rsidR="005B0873" w:rsidRPr="00E15903" w:rsidRDefault="005B0873" w:rsidP="005B0873">
      <w:pPr>
        <w:pStyle w:val="TCU-Epgrafe"/>
        <w:spacing w:after="200" w:line="276" w:lineRule="auto"/>
        <w:ind w:left="0"/>
        <w:rPr>
          <w:b/>
          <w:sz w:val="20"/>
        </w:rPr>
      </w:pPr>
      <w:r w:rsidRPr="00E15903">
        <w:rPr>
          <w:rFonts w:ascii="Arial" w:hAnsi="Arial"/>
          <w:sz w:val="20"/>
        </w:rPr>
        <w:t>O pagamento de parcela ilegal que compõe remuneração de servidor público configura prejuízo ao erário que se renova mês a mês, sendo apto a demonstrar a presença do requisito da urgência (</w:t>
      </w:r>
      <w:r w:rsidRPr="00E15903">
        <w:rPr>
          <w:rFonts w:ascii="Arial" w:hAnsi="Arial"/>
          <w:i/>
          <w:sz w:val="20"/>
        </w:rPr>
        <w:t>periculum in mora</w:t>
      </w:r>
      <w:r w:rsidRPr="00E15903">
        <w:rPr>
          <w:rFonts w:ascii="Arial" w:hAnsi="Arial"/>
          <w:sz w:val="20"/>
        </w:rPr>
        <w:t>) para fins de concessão de medida cautelar, mesmo que a irregularidade tenha se iniciado há vários anos.</w:t>
      </w:r>
    </w:p>
    <w:bookmarkStart w:id="1" w:name="_Hlk509848623"/>
    <w:p w:rsidR="005B0873" w:rsidRPr="00E15903" w:rsidRDefault="002E050E" w:rsidP="005B0873">
      <w:pPr>
        <w:widowControl w:val="0"/>
        <w:autoSpaceDE w:val="0"/>
        <w:autoSpaceDN w:val="0"/>
        <w:jc w:val="both"/>
        <w:rPr>
          <w:rFonts w:ascii="Arial" w:hAnsi="Arial" w:cs="Arial"/>
          <w:b/>
          <w:sz w:val="20"/>
          <w:szCs w:val="20"/>
        </w:rPr>
      </w:pPr>
      <w:r w:rsidRPr="00301CAB">
        <w:rPr>
          <w:rFonts w:ascii="Arial" w:hAnsi="Arial"/>
          <w:b/>
          <w:sz w:val="20"/>
          <w:szCs w:val="20"/>
        </w:rPr>
        <w:fldChar w:fldCharType="begin"/>
      </w:r>
      <w:r w:rsidRPr="00301CAB">
        <w:rPr>
          <w:rFonts w:ascii="Arial" w:hAnsi="Arial"/>
          <w:b/>
          <w:sz w:val="20"/>
          <w:szCs w:val="20"/>
        </w:rPr>
        <w:instrText xml:space="preserve"> HYPERLINK "https://contas.tcu.gov.br/sagas/SvlVisualizarRelVotoAcRtf?codFiltro=SAGAS-SESSAO-ENCERRADA&amp;seOcultaPagina=S&amp;item0=611045" </w:instrText>
      </w:r>
      <w:r w:rsidRPr="00301CAB">
        <w:rPr>
          <w:rFonts w:ascii="Arial" w:hAnsi="Arial"/>
          <w:b/>
          <w:sz w:val="20"/>
          <w:szCs w:val="20"/>
        </w:rPr>
        <w:fldChar w:fldCharType="separate"/>
      </w:r>
      <w:r w:rsidR="005B0873" w:rsidRPr="00301CAB">
        <w:rPr>
          <w:rStyle w:val="Hyperlink"/>
          <w:rFonts w:ascii="Arial" w:hAnsi="Arial"/>
          <w:b/>
          <w:sz w:val="20"/>
          <w:szCs w:val="20"/>
        </w:rPr>
        <w:t>Acórdão 1041/2018</w:t>
      </w:r>
      <w:r w:rsidRPr="00301CAB">
        <w:rPr>
          <w:rStyle w:val="Hyperlink"/>
          <w:rFonts w:ascii="Arial" w:hAnsi="Arial"/>
          <w:b/>
          <w:sz w:val="20"/>
          <w:szCs w:val="20"/>
        </w:rPr>
        <w:t xml:space="preserve"> -</w:t>
      </w:r>
      <w:r w:rsidR="005B0873" w:rsidRPr="00301CAB">
        <w:rPr>
          <w:rStyle w:val="Hyperlink"/>
          <w:rFonts w:ascii="Arial" w:hAnsi="Arial"/>
          <w:b/>
          <w:sz w:val="20"/>
          <w:szCs w:val="20"/>
        </w:rPr>
        <w:t xml:space="preserve"> Primeira Câmara</w:t>
      </w:r>
      <w:r w:rsidRPr="00301CAB">
        <w:rPr>
          <w:rFonts w:ascii="Arial" w:hAnsi="Arial"/>
          <w:b/>
          <w:sz w:val="20"/>
          <w:szCs w:val="20"/>
        </w:rPr>
        <w:fldChar w:fldCharType="end"/>
      </w:r>
      <w:r w:rsidR="005B0873" w:rsidRPr="00E15903">
        <w:rPr>
          <w:rFonts w:ascii="Arial" w:hAnsi="Arial"/>
          <w:b/>
          <w:sz w:val="20"/>
          <w:szCs w:val="20"/>
        </w:rPr>
        <w:t xml:space="preserve"> </w:t>
      </w:r>
      <w:r w:rsidR="005B0873" w:rsidRPr="00E15903">
        <w:rPr>
          <w:rFonts w:ascii="Arial" w:hAnsi="Arial"/>
          <w:sz w:val="20"/>
          <w:szCs w:val="20"/>
        </w:rPr>
        <w:t>(Pedido de Reexame, Relator Ministro Walton Alencar Rodrigues)</w:t>
      </w:r>
    </w:p>
    <w:p w:rsidR="005B0873" w:rsidRPr="00301CAB" w:rsidRDefault="005B0873" w:rsidP="005B0873">
      <w:pPr>
        <w:jc w:val="both"/>
        <w:rPr>
          <w:rFonts w:ascii="Arial" w:hAnsi="Arial" w:cs="Arial"/>
          <w:b/>
          <w:sz w:val="20"/>
          <w:szCs w:val="20"/>
        </w:rPr>
      </w:pPr>
      <w:r w:rsidRPr="00301CAB">
        <w:rPr>
          <w:rFonts w:ascii="Arial" w:hAnsi="Arial"/>
          <w:b/>
          <w:sz w:val="20"/>
          <w:szCs w:val="20"/>
        </w:rPr>
        <w:t>Função de confiança. Criação. Transformação. Ato administrativo.</w:t>
      </w:r>
    </w:p>
    <w:p w:rsidR="005B0873" w:rsidRPr="00E15903" w:rsidRDefault="005B0873" w:rsidP="005B0873">
      <w:pPr>
        <w:pStyle w:val="TCU-Epgrafe"/>
        <w:spacing w:after="200" w:line="276" w:lineRule="auto"/>
        <w:ind w:left="0"/>
        <w:rPr>
          <w:sz w:val="20"/>
        </w:rPr>
      </w:pPr>
      <w:r w:rsidRPr="00E15903">
        <w:rPr>
          <w:rFonts w:ascii="Arial" w:hAnsi="Arial"/>
          <w:sz w:val="20"/>
        </w:rPr>
        <w:t xml:space="preserve">A transformação de função comissionada não pode ser realizada por ato administrativo, consoante o art. 48, inciso X, da Constituição Federal, que exige lei formal para criação, transformação e extinção de cargos, empregos e funções públicas. </w:t>
      </w:r>
    </w:p>
    <w:bookmarkEnd w:id="1"/>
    <w:p w:rsidR="005B0873" w:rsidRPr="00E15903" w:rsidRDefault="00824A08" w:rsidP="005B0873">
      <w:pPr>
        <w:widowControl w:val="0"/>
        <w:autoSpaceDE w:val="0"/>
        <w:autoSpaceDN w:val="0"/>
        <w:jc w:val="both"/>
        <w:rPr>
          <w:rFonts w:ascii="Arial" w:hAnsi="Arial" w:cs="Arial"/>
          <w:b/>
          <w:sz w:val="20"/>
          <w:szCs w:val="20"/>
        </w:rPr>
      </w:pPr>
      <w:r w:rsidRPr="00824A08">
        <w:rPr>
          <w:rFonts w:ascii="Arial" w:hAnsi="Arial"/>
          <w:b/>
          <w:sz w:val="20"/>
          <w:szCs w:val="20"/>
        </w:rPr>
        <w:fldChar w:fldCharType="begin"/>
      </w:r>
      <w:r w:rsidRPr="00824A08">
        <w:rPr>
          <w:rFonts w:ascii="Arial" w:hAnsi="Arial"/>
          <w:b/>
          <w:sz w:val="20"/>
          <w:szCs w:val="20"/>
        </w:rPr>
        <w:instrText xml:space="preserve"> HYPERLINK "https://contas.tcu.gov.br/sagas/SvlVisualizarRelVotoAcRtf?codFiltro=SAGAS-SESSAO-ENCERRADA&amp;seOcultaPagina=S&amp;item0=612098" </w:instrText>
      </w:r>
      <w:r w:rsidRPr="00824A08">
        <w:rPr>
          <w:rFonts w:ascii="Arial" w:hAnsi="Arial"/>
          <w:b/>
          <w:sz w:val="20"/>
          <w:szCs w:val="20"/>
        </w:rPr>
        <w:fldChar w:fldCharType="separate"/>
      </w:r>
      <w:r w:rsidR="005B0873" w:rsidRPr="00824A08">
        <w:rPr>
          <w:rStyle w:val="Hyperlink"/>
          <w:rFonts w:ascii="Arial" w:hAnsi="Arial"/>
          <w:b/>
          <w:sz w:val="20"/>
          <w:szCs w:val="20"/>
        </w:rPr>
        <w:t>Acórdão 1308/2018</w:t>
      </w:r>
      <w:r w:rsidRPr="00824A08">
        <w:rPr>
          <w:rStyle w:val="Hyperlink"/>
          <w:rFonts w:ascii="Arial" w:hAnsi="Arial"/>
          <w:b/>
          <w:sz w:val="20"/>
          <w:szCs w:val="20"/>
        </w:rPr>
        <w:t xml:space="preserve"> -</w:t>
      </w:r>
      <w:r w:rsidR="005B0873" w:rsidRPr="00824A08">
        <w:rPr>
          <w:rStyle w:val="Hyperlink"/>
          <w:rFonts w:ascii="Arial" w:hAnsi="Arial"/>
          <w:b/>
          <w:sz w:val="20"/>
          <w:szCs w:val="20"/>
        </w:rPr>
        <w:t xml:space="preserve"> Primeira Câmara</w:t>
      </w:r>
      <w:r w:rsidRPr="00824A08">
        <w:rPr>
          <w:rFonts w:ascii="Arial" w:hAnsi="Arial"/>
          <w:b/>
          <w:sz w:val="20"/>
          <w:szCs w:val="20"/>
        </w:rPr>
        <w:fldChar w:fldCharType="end"/>
      </w:r>
      <w:r w:rsidR="005B0873" w:rsidRPr="00E15903">
        <w:rPr>
          <w:rFonts w:ascii="Arial" w:hAnsi="Arial"/>
          <w:b/>
          <w:sz w:val="20"/>
          <w:szCs w:val="20"/>
        </w:rPr>
        <w:t xml:space="preserve"> </w:t>
      </w:r>
      <w:r w:rsidR="005B0873" w:rsidRPr="00E15903">
        <w:rPr>
          <w:rFonts w:ascii="Arial" w:hAnsi="Arial"/>
          <w:sz w:val="20"/>
          <w:szCs w:val="20"/>
        </w:rPr>
        <w:t>(Pedido de Reexame, Relator Ministro Vital do Rêgo)</w:t>
      </w:r>
    </w:p>
    <w:p w:rsidR="005B0873" w:rsidRPr="00824A08" w:rsidRDefault="005B0873" w:rsidP="005B0873">
      <w:pPr>
        <w:jc w:val="both"/>
        <w:rPr>
          <w:rFonts w:ascii="Arial" w:hAnsi="Arial" w:cs="Arial"/>
          <w:b/>
          <w:sz w:val="20"/>
          <w:szCs w:val="20"/>
        </w:rPr>
      </w:pPr>
      <w:r w:rsidRPr="00824A08">
        <w:rPr>
          <w:rFonts w:ascii="Arial" w:hAnsi="Arial"/>
          <w:b/>
          <w:sz w:val="20"/>
          <w:szCs w:val="20"/>
        </w:rPr>
        <w:t>Ressarcimento administrativo. Dispensa. Princípio da boa-fé. Aposentadoria. Revisão. Aposentadoria por invalidez. Constituição Federal. Descumprimento.</w:t>
      </w:r>
    </w:p>
    <w:p w:rsidR="005B0873" w:rsidRPr="00E15903" w:rsidRDefault="005B0873" w:rsidP="005B0873">
      <w:pPr>
        <w:pStyle w:val="TCU-Epgrafe"/>
        <w:spacing w:after="200" w:line="276" w:lineRule="auto"/>
        <w:ind w:left="0"/>
        <w:rPr>
          <w:sz w:val="20"/>
        </w:rPr>
      </w:pPr>
      <w:r w:rsidRPr="00E15903">
        <w:rPr>
          <w:rFonts w:ascii="Arial" w:hAnsi="Arial"/>
          <w:sz w:val="20"/>
        </w:rPr>
        <w:t xml:space="preserve">A possibilidade de dispensa da reposição ao erário de valores indevidos recebidos de boa-fé, prevista na Súmula TCU 106, não se aplica à retroação dos efeitos financeiros de revisões de aposentadorias concedidas com base no art. 6º-A da </w:t>
      </w:r>
      <w:hyperlink r:id="rId19" w:history="1">
        <w:r w:rsidRPr="00E15903">
          <w:rPr>
            <w:rStyle w:val="Hyperlink"/>
            <w:rFonts w:ascii="Arial" w:hAnsi="Arial"/>
            <w:color w:val="0000FF" w:themeColor="hyperlink"/>
            <w:sz w:val="20"/>
          </w:rPr>
          <w:t>EC 41/2003</w:t>
        </w:r>
      </w:hyperlink>
      <w:r w:rsidRPr="00E15903">
        <w:rPr>
          <w:rFonts w:ascii="Arial" w:hAnsi="Arial"/>
          <w:sz w:val="20"/>
        </w:rPr>
        <w:t xml:space="preserve">, introduzido pela </w:t>
      </w:r>
      <w:hyperlink r:id="rId20" w:history="1">
        <w:r w:rsidRPr="00E15903">
          <w:rPr>
            <w:rStyle w:val="Hyperlink"/>
            <w:rFonts w:ascii="Arial" w:hAnsi="Arial"/>
            <w:color w:val="0000FF" w:themeColor="hyperlink"/>
            <w:sz w:val="20"/>
          </w:rPr>
          <w:t>EC 70/2012</w:t>
        </w:r>
      </w:hyperlink>
      <w:r w:rsidRPr="00E15903">
        <w:rPr>
          <w:rFonts w:ascii="Arial" w:hAnsi="Arial"/>
          <w:sz w:val="20"/>
        </w:rPr>
        <w:t>, para períodos anteriores a 30/2/2012, pois configura violação a norma constitucional expressa.</w:t>
      </w:r>
    </w:p>
    <w:p w:rsidR="005B0873" w:rsidRPr="00E15903" w:rsidRDefault="00503D16" w:rsidP="005B0873">
      <w:pPr>
        <w:widowControl w:val="0"/>
        <w:autoSpaceDE w:val="0"/>
        <w:autoSpaceDN w:val="0"/>
        <w:jc w:val="both"/>
        <w:rPr>
          <w:rFonts w:ascii="Arial" w:hAnsi="Arial" w:cs="Arial"/>
          <w:b/>
          <w:sz w:val="20"/>
          <w:szCs w:val="20"/>
        </w:rPr>
      </w:pPr>
      <w:hyperlink r:id="rId21" w:history="1">
        <w:r w:rsidR="005B0873" w:rsidRPr="000450D2">
          <w:rPr>
            <w:rStyle w:val="Hyperlink"/>
            <w:rFonts w:ascii="Arial" w:hAnsi="Arial"/>
            <w:b/>
            <w:sz w:val="20"/>
            <w:szCs w:val="20"/>
          </w:rPr>
          <w:t xml:space="preserve">Acórdão 1502/2018 </w:t>
        </w:r>
        <w:r w:rsidR="000450D2" w:rsidRPr="000450D2">
          <w:rPr>
            <w:rStyle w:val="Hyperlink"/>
            <w:rFonts w:ascii="Arial" w:hAnsi="Arial"/>
            <w:b/>
            <w:sz w:val="20"/>
            <w:szCs w:val="20"/>
          </w:rPr>
          <w:t xml:space="preserve">- </w:t>
        </w:r>
        <w:r w:rsidR="005B0873" w:rsidRPr="000450D2">
          <w:rPr>
            <w:rStyle w:val="Hyperlink"/>
            <w:rFonts w:ascii="Arial" w:hAnsi="Arial"/>
            <w:b/>
            <w:sz w:val="20"/>
            <w:szCs w:val="20"/>
          </w:rPr>
          <w:t>Primeira Câmara</w:t>
        </w:r>
      </w:hyperlink>
      <w:r w:rsidR="005B0873" w:rsidRPr="00E15903">
        <w:rPr>
          <w:rFonts w:ascii="Arial" w:hAnsi="Arial"/>
          <w:b/>
          <w:sz w:val="20"/>
          <w:szCs w:val="20"/>
        </w:rPr>
        <w:t xml:space="preserve"> </w:t>
      </w:r>
      <w:r w:rsidR="005B0873" w:rsidRPr="00E15903">
        <w:rPr>
          <w:rFonts w:ascii="Arial" w:hAnsi="Arial"/>
          <w:sz w:val="20"/>
          <w:szCs w:val="20"/>
        </w:rPr>
        <w:t xml:space="preserve">(Pedido de Reexame, Relator Ministro Benjamin </w:t>
      </w:r>
      <w:proofErr w:type="spellStart"/>
      <w:r w:rsidR="005B0873" w:rsidRPr="00E15903">
        <w:rPr>
          <w:rFonts w:ascii="Arial" w:hAnsi="Arial"/>
          <w:sz w:val="20"/>
          <w:szCs w:val="20"/>
        </w:rPr>
        <w:t>Zymler</w:t>
      </w:r>
      <w:proofErr w:type="spellEnd"/>
      <w:r w:rsidR="005B0873" w:rsidRPr="00E15903">
        <w:rPr>
          <w:rFonts w:ascii="Arial" w:hAnsi="Arial"/>
          <w:sz w:val="20"/>
          <w:szCs w:val="20"/>
        </w:rPr>
        <w:t>)</w:t>
      </w:r>
    </w:p>
    <w:p w:rsidR="005B0873" w:rsidRPr="002F5299" w:rsidRDefault="005B0873" w:rsidP="005B0873">
      <w:pPr>
        <w:jc w:val="both"/>
        <w:rPr>
          <w:rFonts w:ascii="Arial" w:hAnsi="Arial" w:cs="Arial"/>
          <w:b/>
          <w:sz w:val="20"/>
          <w:szCs w:val="20"/>
        </w:rPr>
      </w:pPr>
      <w:r w:rsidRPr="002F5299">
        <w:rPr>
          <w:rFonts w:ascii="Arial" w:hAnsi="Arial"/>
          <w:b/>
          <w:sz w:val="20"/>
          <w:szCs w:val="20"/>
        </w:rPr>
        <w:t>Aposentadoria especial. Pessoa com deficiência. Proventos. Cálculo. Paridade.</w:t>
      </w:r>
    </w:p>
    <w:p w:rsidR="005B0873" w:rsidRDefault="005B0873" w:rsidP="005B0873">
      <w:pPr>
        <w:pStyle w:val="TCU-Epgrafe"/>
        <w:spacing w:after="200" w:line="276" w:lineRule="auto"/>
        <w:ind w:left="0"/>
        <w:rPr>
          <w:rFonts w:ascii="Arial" w:hAnsi="Arial"/>
          <w:sz w:val="20"/>
        </w:rPr>
      </w:pPr>
      <w:r w:rsidRPr="00E15903">
        <w:rPr>
          <w:rFonts w:ascii="Arial" w:hAnsi="Arial"/>
          <w:sz w:val="20"/>
        </w:rPr>
        <w:t xml:space="preserve">Em regra, é ilegal a adoção da integralidade e paridade no cálculo de proventos de aposentadoria especial a portador de deficiência concedida com fundamento no art. 40, § 4º, inciso I, da </w:t>
      </w:r>
      <w:hyperlink r:id="rId22" w:history="1">
        <w:r w:rsidRPr="00E15903">
          <w:rPr>
            <w:rStyle w:val="Hyperlink"/>
            <w:rFonts w:ascii="Arial" w:hAnsi="Arial"/>
            <w:color w:val="0000FF" w:themeColor="hyperlink"/>
            <w:sz w:val="20"/>
          </w:rPr>
          <w:t>Constituição Federal</w:t>
        </w:r>
      </w:hyperlink>
      <w:r w:rsidRPr="00E15903">
        <w:rPr>
          <w:rFonts w:ascii="Arial" w:hAnsi="Arial"/>
          <w:sz w:val="20"/>
        </w:rPr>
        <w:t xml:space="preserve">, incluído pela </w:t>
      </w:r>
      <w:hyperlink r:id="rId23" w:history="1">
        <w:r w:rsidRPr="00E15903">
          <w:rPr>
            <w:rStyle w:val="Hyperlink"/>
            <w:rFonts w:ascii="Arial" w:hAnsi="Arial"/>
            <w:color w:val="0000FF" w:themeColor="hyperlink"/>
            <w:sz w:val="20"/>
          </w:rPr>
          <w:t>EC 47/2005</w:t>
        </w:r>
      </w:hyperlink>
      <w:r w:rsidRPr="00E15903">
        <w:rPr>
          <w:rFonts w:ascii="Arial" w:hAnsi="Arial"/>
          <w:sz w:val="20"/>
        </w:rPr>
        <w:t xml:space="preserve">, pois essas concessões devem observar a norma geral estabelecida no art. 40, § 1º, da </w:t>
      </w:r>
      <w:hyperlink r:id="rId24" w:history="1">
        <w:r w:rsidRPr="00E15903">
          <w:rPr>
            <w:rStyle w:val="Hyperlink"/>
            <w:rFonts w:ascii="Arial" w:hAnsi="Arial"/>
            <w:color w:val="0000FF" w:themeColor="hyperlink"/>
            <w:sz w:val="20"/>
          </w:rPr>
          <w:t>Carta Magna</w:t>
        </w:r>
      </w:hyperlink>
      <w:r w:rsidRPr="00E15903">
        <w:rPr>
          <w:rFonts w:ascii="Arial" w:hAnsi="Arial"/>
          <w:sz w:val="20"/>
        </w:rPr>
        <w:t>, segundo a qual os proventos devem ser calculados pela média das remunerações de contribuição.</w:t>
      </w:r>
    </w:p>
    <w:p w:rsidR="00333098" w:rsidRPr="00333098" w:rsidRDefault="00503D16" w:rsidP="00333098">
      <w:pPr>
        <w:widowControl w:val="0"/>
        <w:autoSpaceDE w:val="0"/>
        <w:autoSpaceDN w:val="0"/>
        <w:jc w:val="both"/>
        <w:rPr>
          <w:rFonts w:ascii="Arial" w:hAnsi="Arial" w:cs="Arial"/>
          <w:b/>
          <w:sz w:val="20"/>
          <w:szCs w:val="20"/>
        </w:rPr>
      </w:pPr>
      <w:hyperlink r:id="rId25" w:history="1">
        <w:r w:rsidR="00333098" w:rsidRPr="002F5299">
          <w:rPr>
            <w:rStyle w:val="Hyperlink"/>
            <w:rFonts w:ascii="Arial" w:hAnsi="Arial"/>
            <w:b/>
            <w:sz w:val="20"/>
            <w:szCs w:val="20"/>
          </w:rPr>
          <w:t>Acórdão 504/2018</w:t>
        </w:r>
        <w:r w:rsidR="002F5299" w:rsidRPr="002F5299">
          <w:rPr>
            <w:rStyle w:val="Hyperlink"/>
            <w:rFonts w:ascii="Arial" w:hAnsi="Arial"/>
            <w:b/>
            <w:sz w:val="20"/>
            <w:szCs w:val="20"/>
          </w:rPr>
          <w:t xml:space="preserve"> - </w:t>
        </w:r>
        <w:r w:rsidR="00333098" w:rsidRPr="002F5299">
          <w:rPr>
            <w:rStyle w:val="Hyperlink"/>
            <w:rFonts w:ascii="Arial" w:hAnsi="Arial"/>
            <w:b/>
            <w:sz w:val="20"/>
            <w:szCs w:val="20"/>
          </w:rPr>
          <w:t>Plenário</w:t>
        </w:r>
      </w:hyperlink>
      <w:r w:rsidR="00333098" w:rsidRPr="002F5299">
        <w:rPr>
          <w:rFonts w:ascii="Arial" w:hAnsi="Arial"/>
          <w:b/>
          <w:sz w:val="20"/>
          <w:szCs w:val="20"/>
        </w:rPr>
        <w:t xml:space="preserve"> </w:t>
      </w:r>
      <w:r w:rsidR="00333098" w:rsidRPr="00333098">
        <w:rPr>
          <w:rFonts w:ascii="Arial" w:hAnsi="Arial"/>
          <w:sz w:val="20"/>
          <w:szCs w:val="20"/>
        </w:rPr>
        <w:t xml:space="preserve">(Consulta, Relator Ministro-Substituto Marcos </w:t>
      </w:r>
      <w:proofErr w:type="spellStart"/>
      <w:r w:rsidR="00333098" w:rsidRPr="00333098">
        <w:rPr>
          <w:rFonts w:ascii="Arial" w:hAnsi="Arial"/>
          <w:sz w:val="20"/>
          <w:szCs w:val="20"/>
        </w:rPr>
        <w:t>Bemquerer</w:t>
      </w:r>
      <w:proofErr w:type="spellEnd"/>
      <w:r w:rsidR="00333098" w:rsidRPr="00333098">
        <w:rPr>
          <w:rFonts w:ascii="Arial" w:hAnsi="Arial"/>
          <w:sz w:val="20"/>
          <w:szCs w:val="20"/>
        </w:rPr>
        <w:t>)</w:t>
      </w:r>
    </w:p>
    <w:p w:rsidR="00333098" w:rsidRPr="002F5299" w:rsidRDefault="00333098" w:rsidP="00333098">
      <w:pPr>
        <w:jc w:val="both"/>
        <w:rPr>
          <w:rFonts w:ascii="Arial" w:hAnsi="Arial" w:cs="Arial"/>
          <w:b/>
          <w:sz w:val="20"/>
          <w:szCs w:val="20"/>
        </w:rPr>
      </w:pPr>
      <w:r w:rsidRPr="002F5299">
        <w:rPr>
          <w:rFonts w:ascii="Arial" w:hAnsi="Arial"/>
          <w:b/>
          <w:sz w:val="20"/>
          <w:szCs w:val="20"/>
        </w:rPr>
        <w:t>Pessoal. Remuneração. Tributo. Proventos. Teto constitucional. Abate-teto. Base de cálculo. Imposto de renda. Contribuição social. Consulta.</w:t>
      </w:r>
    </w:p>
    <w:p w:rsidR="00333098" w:rsidRDefault="00333098" w:rsidP="00333098">
      <w:pPr>
        <w:pStyle w:val="TCU-Epgrafe"/>
        <w:spacing w:after="200" w:line="276" w:lineRule="auto"/>
        <w:ind w:left="0"/>
        <w:rPr>
          <w:rFonts w:ascii="Arial" w:hAnsi="Arial"/>
          <w:sz w:val="20"/>
        </w:rPr>
      </w:pPr>
      <w:r w:rsidRPr="00333098">
        <w:rPr>
          <w:rFonts w:ascii="Arial" w:hAnsi="Arial"/>
          <w:sz w:val="20"/>
        </w:rPr>
        <w:t>Quando a remuneração ou os proventos de servidor público estiver acima do teto constitucional, a base de cálculo dos descontos obrigatórios (imposto de renda, contribuição social, etc.) deve excluir a parcela excedente ao teto.</w:t>
      </w:r>
    </w:p>
    <w:p w:rsidR="006C4933" w:rsidRPr="006C4933" w:rsidRDefault="00503D16" w:rsidP="006C4933">
      <w:pPr>
        <w:widowControl w:val="0"/>
        <w:autoSpaceDE w:val="0"/>
        <w:autoSpaceDN w:val="0"/>
        <w:jc w:val="both"/>
        <w:rPr>
          <w:rFonts w:ascii="Arial" w:hAnsi="Arial" w:cs="Arial"/>
          <w:b/>
          <w:sz w:val="20"/>
          <w:szCs w:val="20"/>
        </w:rPr>
      </w:pPr>
      <w:hyperlink r:id="rId26" w:history="1">
        <w:r w:rsidR="006C4933" w:rsidRPr="002F5299">
          <w:rPr>
            <w:rStyle w:val="Hyperlink"/>
            <w:rFonts w:ascii="Arial" w:hAnsi="Arial" w:cs="Arial"/>
            <w:b/>
            <w:sz w:val="20"/>
            <w:szCs w:val="20"/>
          </w:rPr>
          <w:t xml:space="preserve">Acórdão 504/2018 </w:t>
        </w:r>
        <w:r w:rsidR="002F5299" w:rsidRPr="002F5299">
          <w:rPr>
            <w:rStyle w:val="Hyperlink"/>
            <w:rFonts w:ascii="Arial" w:hAnsi="Arial" w:cs="Arial"/>
            <w:b/>
            <w:sz w:val="20"/>
            <w:szCs w:val="20"/>
          </w:rPr>
          <w:t xml:space="preserve">- </w:t>
        </w:r>
        <w:r w:rsidR="006C4933" w:rsidRPr="002F5299">
          <w:rPr>
            <w:rStyle w:val="Hyperlink"/>
            <w:rFonts w:ascii="Arial" w:hAnsi="Arial" w:cs="Arial"/>
            <w:b/>
            <w:sz w:val="20"/>
            <w:szCs w:val="20"/>
          </w:rPr>
          <w:t>Plenário</w:t>
        </w:r>
      </w:hyperlink>
      <w:r w:rsidR="006C4933" w:rsidRPr="006C4933">
        <w:rPr>
          <w:rFonts w:ascii="Arial" w:hAnsi="Arial" w:cs="Arial"/>
          <w:b/>
          <w:sz w:val="20"/>
          <w:szCs w:val="20"/>
        </w:rPr>
        <w:t xml:space="preserve"> </w:t>
      </w:r>
      <w:r w:rsidR="006C4933" w:rsidRPr="006C4933">
        <w:rPr>
          <w:rFonts w:ascii="Arial" w:hAnsi="Arial" w:cs="Arial"/>
          <w:sz w:val="20"/>
          <w:szCs w:val="20"/>
        </w:rPr>
        <w:t xml:space="preserve">(Consulta, Relator Ministro-Substituto Marcos </w:t>
      </w:r>
      <w:proofErr w:type="spellStart"/>
      <w:r w:rsidR="006C4933" w:rsidRPr="006C4933">
        <w:rPr>
          <w:rFonts w:ascii="Arial" w:hAnsi="Arial" w:cs="Arial"/>
          <w:sz w:val="20"/>
          <w:szCs w:val="20"/>
        </w:rPr>
        <w:t>Bemquerer</w:t>
      </w:r>
      <w:proofErr w:type="spellEnd"/>
      <w:r w:rsidR="006C4933" w:rsidRPr="006C4933">
        <w:rPr>
          <w:rFonts w:ascii="Arial" w:hAnsi="Arial" w:cs="Arial"/>
          <w:sz w:val="20"/>
          <w:szCs w:val="20"/>
        </w:rPr>
        <w:t>)</w:t>
      </w:r>
    </w:p>
    <w:p w:rsidR="006C4933" w:rsidRPr="002F5299" w:rsidRDefault="006C4933" w:rsidP="006C4933">
      <w:pPr>
        <w:jc w:val="both"/>
        <w:rPr>
          <w:rFonts w:ascii="Arial" w:hAnsi="Arial" w:cs="Arial"/>
          <w:b/>
          <w:sz w:val="20"/>
          <w:szCs w:val="20"/>
        </w:rPr>
      </w:pPr>
      <w:r w:rsidRPr="002F5299">
        <w:rPr>
          <w:rFonts w:ascii="Arial" w:hAnsi="Arial" w:cs="Arial"/>
          <w:b/>
          <w:sz w:val="20"/>
          <w:szCs w:val="20"/>
        </w:rPr>
        <w:t>Pessoal. Teto constitucional. Acumulação de cargo público. Ressarcimento ao erário. Marco temporal. STF. Repercussão geral. Consulta.</w:t>
      </w:r>
    </w:p>
    <w:p w:rsidR="006C4933" w:rsidRPr="006C4933" w:rsidRDefault="006C4933" w:rsidP="006C4933">
      <w:pPr>
        <w:pStyle w:val="TCU-Epgrafe"/>
        <w:spacing w:after="200" w:line="276" w:lineRule="auto"/>
        <w:ind w:left="0"/>
        <w:rPr>
          <w:rFonts w:ascii="Arial" w:hAnsi="Arial" w:cs="Arial"/>
          <w:sz w:val="20"/>
        </w:rPr>
      </w:pPr>
      <w:r w:rsidRPr="006C4933">
        <w:rPr>
          <w:rFonts w:ascii="Arial" w:hAnsi="Arial" w:cs="Arial"/>
          <w:sz w:val="20"/>
        </w:rPr>
        <w:t xml:space="preserve">As reposições ao erário de valores recebidos acima do teto constitucional, pagos a título de remuneração ou proventos decorrentes de acumulações lícitas de cargos públicos, devem ter como marco inicial o dia 4/5/2017, data de publicação da Ata de Julgamento dos </w:t>
      </w:r>
      <w:proofErr w:type="spellStart"/>
      <w:r w:rsidRPr="006C4933">
        <w:rPr>
          <w:rFonts w:ascii="Arial" w:hAnsi="Arial" w:cs="Arial"/>
          <w:sz w:val="20"/>
        </w:rPr>
        <w:t>REs</w:t>
      </w:r>
      <w:proofErr w:type="spellEnd"/>
      <w:r w:rsidRPr="006C4933">
        <w:rPr>
          <w:rFonts w:ascii="Arial" w:hAnsi="Arial" w:cs="Arial"/>
          <w:sz w:val="20"/>
        </w:rPr>
        <w:t xml:space="preserve"> 602.043 e 612.975, apreciados definitivamente pelo STF, com reconhecimento de repercussão geral. Nessas situações, devem ser instaurados processos administrativos, a fim de assegurar aos interessados o direito ao contraditório e à ampla defesa, sem que sejam afastados outros marcos temporais definidos em processos específicos do TCU, vedando-se, em qualquer caso, a aplicação retroativa do entendimento firmado no Acórdão 504/2018-TCU-Plenário. </w:t>
      </w:r>
    </w:p>
    <w:p w:rsidR="00C709C4" w:rsidRPr="00C709C4" w:rsidRDefault="00503D16" w:rsidP="00C709C4">
      <w:pPr>
        <w:widowControl w:val="0"/>
        <w:autoSpaceDE w:val="0"/>
        <w:autoSpaceDN w:val="0"/>
        <w:jc w:val="both"/>
        <w:rPr>
          <w:rFonts w:ascii="Arial" w:hAnsi="Arial" w:cs="Arial"/>
          <w:b/>
          <w:sz w:val="20"/>
          <w:szCs w:val="20"/>
        </w:rPr>
      </w:pPr>
      <w:hyperlink r:id="rId27" w:history="1">
        <w:r w:rsidR="00C709C4" w:rsidRPr="009C09C1">
          <w:rPr>
            <w:rStyle w:val="Hyperlink"/>
            <w:rFonts w:ascii="Arial" w:hAnsi="Arial"/>
            <w:b/>
            <w:sz w:val="20"/>
            <w:szCs w:val="20"/>
          </w:rPr>
          <w:t>Acórdão 505/2018</w:t>
        </w:r>
        <w:r w:rsidR="009C09C1" w:rsidRPr="009C09C1">
          <w:rPr>
            <w:rStyle w:val="Hyperlink"/>
            <w:rFonts w:ascii="Arial" w:hAnsi="Arial"/>
            <w:b/>
            <w:sz w:val="20"/>
            <w:szCs w:val="20"/>
          </w:rPr>
          <w:t xml:space="preserve"> -</w:t>
        </w:r>
        <w:r w:rsidR="00C709C4" w:rsidRPr="009C09C1">
          <w:rPr>
            <w:rStyle w:val="Hyperlink"/>
            <w:rFonts w:ascii="Arial" w:hAnsi="Arial"/>
            <w:b/>
            <w:sz w:val="20"/>
            <w:szCs w:val="20"/>
          </w:rPr>
          <w:t xml:space="preserve"> Plenário</w:t>
        </w:r>
      </w:hyperlink>
      <w:r w:rsidR="00C709C4" w:rsidRPr="00C709C4">
        <w:rPr>
          <w:rFonts w:ascii="Arial" w:hAnsi="Arial"/>
          <w:b/>
          <w:sz w:val="20"/>
          <w:szCs w:val="20"/>
        </w:rPr>
        <w:t xml:space="preserve"> </w:t>
      </w:r>
      <w:r w:rsidR="00C709C4" w:rsidRPr="00C709C4">
        <w:rPr>
          <w:rFonts w:ascii="Arial" w:hAnsi="Arial"/>
          <w:sz w:val="20"/>
          <w:szCs w:val="20"/>
        </w:rPr>
        <w:t xml:space="preserve">(Representação, Relator Ministro Augusto </w:t>
      </w:r>
      <w:proofErr w:type="spellStart"/>
      <w:r w:rsidR="00C709C4" w:rsidRPr="00C709C4">
        <w:rPr>
          <w:rFonts w:ascii="Arial" w:hAnsi="Arial"/>
          <w:sz w:val="20"/>
          <w:szCs w:val="20"/>
        </w:rPr>
        <w:t>Nardes</w:t>
      </w:r>
      <w:proofErr w:type="spellEnd"/>
      <w:r w:rsidR="00C709C4" w:rsidRPr="00C709C4">
        <w:rPr>
          <w:rFonts w:ascii="Arial" w:hAnsi="Arial"/>
          <w:sz w:val="20"/>
          <w:szCs w:val="20"/>
        </w:rPr>
        <w:t>)</w:t>
      </w:r>
    </w:p>
    <w:p w:rsidR="00C709C4" w:rsidRPr="00761506" w:rsidRDefault="00C709C4" w:rsidP="00C709C4">
      <w:pPr>
        <w:jc w:val="both"/>
        <w:rPr>
          <w:rFonts w:ascii="Arial" w:hAnsi="Arial" w:cs="Arial"/>
          <w:b/>
          <w:sz w:val="20"/>
          <w:szCs w:val="20"/>
        </w:rPr>
      </w:pPr>
      <w:r w:rsidRPr="00761506">
        <w:rPr>
          <w:rFonts w:ascii="Arial" w:hAnsi="Arial"/>
          <w:b/>
          <w:sz w:val="20"/>
          <w:szCs w:val="20"/>
        </w:rPr>
        <w:t>Licitação. Terceirização. Atestado de capacidade técnica. Soma. Capacidade técnico-operacional. Habilitação de licitante.</w:t>
      </w:r>
    </w:p>
    <w:p w:rsidR="00C709C4" w:rsidRPr="00C709C4" w:rsidRDefault="00C709C4" w:rsidP="00C709C4">
      <w:pPr>
        <w:pStyle w:val="TCU-Epgrafe"/>
        <w:spacing w:after="200" w:line="276" w:lineRule="auto"/>
        <w:ind w:left="0"/>
        <w:rPr>
          <w:sz w:val="20"/>
        </w:rPr>
      </w:pPr>
      <w:r w:rsidRPr="00C709C4">
        <w:rPr>
          <w:rFonts w:ascii="Arial" w:hAnsi="Arial"/>
          <w:sz w:val="20"/>
        </w:rPr>
        <w:t>Em licitações de serviços de terceirização de mão de obra, só deve ser aceito o somatório de atestados para fins de qualificação técnico-operacional quando eles se referirem a serviços executados de forma concomitante, pois essa situação equivale, para comprovação da capacidade técnica das licitantes, a uma única contratação.</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503D16" w:rsidP="00270E2F">
      <w:pPr>
        <w:pStyle w:val="Default"/>
        <w:spacing w:line="276" w:lineRule="auto"/>
        <w:jc w:val="center"/>
        <w:rPr>
          <w:b/>
          <w:sz w:val="20"/>
          <w:szCs w:val="20"/>
        </w:rPr>
      </w:pPr>
      <w:hyperlink r:id="rId28"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503D16" w:rsidP="00270E2F">
      <w:pPr>
        <w:pStyle w:val="Default"/>
        <w:spacing w:line="276" w:lineRule="auto"/>
        <w:jc w:val="center"/>
        <w:rPr>
          <w:rStyle w:val="Hyperlink"/>
          <w:b/>
          <w:sz w:val="20"/>
          <w:szCs w:val="20"/>
        </w:rPr>
      </w:pPr>
      <w:hyperlink r:id="rId29"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D3BD3" w:rsidRDefault="00503D16" w:rsidP="002D3BD3">
      <w:pPr>
        <w:pStyle w:val="Default"/>
        <w:spacing w:line="276" w:lineRule="auto"/>
        <w:jc w:val="center"/>
        <w:rPr>
          <w:rStyle w:val="Hyperlink"/>
          <w:b/>
          <w:sz w:val="20"/>
          <w:szCs w:val="20"/>
        </w:rPr>
      </w:pPr>
      <w:hyperlink r:id="rId30" w:history="1">
        <w:r w:rsidR="002D3BD3">
          <w:rPr>
            <w:rStyle w:val="Hyperlink"/>
            <w:b/>
            <w:sz w:val="20"/>
            <w:szCs w:val="20"/>
          </w:rPr>
          <w:t>Revista Digital do Tribunal de Contas do Estado do Paraná - Edição n° 20</w:t>
        </w:r>
      </w:hyperlink>
    </w:p>
    <w:p w:rsidR="00270E2F" w:rsidRDefault="00270E2F" w:rsidP="00270E2F">
      <w:pPr>
        <w:pStyle w:val="TCU-Epgrafe"/>
        <w:spacing w:line="276" w:lineRule="auto"/>
        <w:ind w:left="0"/>
        <w:rPr>
          <w:sz w:val="22"/>
          <w:szCs w:val="22"/>
        </w:rPr>
      </w:pPr>
      <w:r w:rsidRPr="0022060B">
        <w:rPr>
          <w:rFonts w:ascii="Arial" w:hAnsi="Arial" w:cs="Arial"/>
          <w:noProof/>
          <w:sz w:val="20"/>
        </w:rPr>
        <w:lastRenderedPageBreak/>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503D16">
      <w:rPr>
        <w:noProof/>
        <w:sz w:val="16"/>
        <w:szCs w:val="16"/>
      </w:rPr>
      <w:t>2</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69E"/>
    <w:rsid w:val="00001F0E"/>
    <w:rsid w:val="00003C03"/>
    <w:rsid w:val="0000505F"/>
    <w:rsid w:val="000078B5"/>
    <w:rsid w:val="00007F7A"/>
    <w:rsid w:val="00007FD0"/>
    <w:rsid w:val="00010B69"/>
    <w:rsid w:val="00010F88"/>
    <w:rsid w:val="0001200F"/>
    <w:rsid w:val="000126A0"/>
    <w:rsid w:val="00012CBB"/>
    <w:rsid w:val="00013446"/>
    <w:rsid w:val="00013691"/>
    <w:rsid w:val="00013840"/>
    <w:rsid w:val="00014C1A"/>
    <w:rsid w:val="00015FB0"/>
    <w:rsid w:val="00017EBA"/>
    <w:rsid w:val="00021B0A"/>
    <w:rsid w:val="00025971"/>
    <w:rsid w:val="000262AD"/>
    <w:rsid w:val="00027A03"/>
    <w:rsid w:val="00027FAB"/>
    <w:rsid w:val="000300F4"/>
    <w:rsid w:val="0003271C"/>
    <w:rsid w:val="00032A26"/>
    <w:rsid w:val="00033422"/>
    <w:rsid w:val="00033E69"/>
    <w:rsid w:val="00040EBA"/>
    <w:rsid w:val="00042502"/>
    <w:rsid w:val="00042DF3"/>
    <w:rsid w:val="000433EC"/>
    <w:rsid w:val="000439FD"/>
    <w:rsid w:val="000450D2"/>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036"/>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0F7DCB"/>
    <w:rsid w:val="00100B9C"/>
    <w:rsid w:val="00106AA9"/>
    <w:rsid w:val="00110517"/>
    <w:rsid w:val="00110BD6"/>
    <w:rsid w:val="001119DC"/>
    <w:rsid w:val="00111B86"/>
    <w:rsid w:val="00111C26"/>
    <w:rsid w:val="00112B60"/>
    <w:rsid w:val="00113EF1"/>
    <w:rsid w:val="00114B62"/>
    <w:rsid w:val="001159C9"/>
    <w:rsid w:val="00120862"/>
    <w:rsid w:val="0012118B"/>
    <w:rsid w:val="0012211A"/>
    <w:rsid w:val="00122E13"/>
    <w:rsid w:val="00123D02"/>
    <w:rsid w:val="0012498C"/>
    <w:rsid w:val="00124A0F"/>
    <w:rsid w:val="00126447"/>
    <w:rsid w:val="00127DF2"/>
    <w:rsid w:val="00130717"/>
    <w:rsid w:val="0013298B"/>
    <w:rsid w:val="0013396B"/>
    <w:rsid w:val="001342E3"/>
    <w:rsid w:val="0013514C"/>
    <w:rsid w:val="0013583F"/>
    <w:rsid w:val="001359A1"/>
    <w:rsid w:val="00135D5F"/>
    <w:rsid w:val="001411E6"/>
    <w:rsid w:val="001415BA"/>
    <w:rsid w:val="00142A82"/>
    <w:rsid w:val="00142D10"/>
    <w:rsid w:val="00144712"/>
    <w:rsid w:val="001472C1"/>
    <w:rsid w:val="00150844"/>
    <w:rsid w:val="00151D8A"/>
    <w:rsid w:val="001529D8"/>
    <w:rsid w:val="00156185"/>
    <w:rsid w:val="00156F74"/>
    <w:rsid w:val="00157806"/>
    <w:rsid w:val="00157D64"/>
    <w:rsid w:val="0016028F"/>
    <w:rsid w:val="00161AA2"/>
    <w:rsid w:val="00163CC7"/>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80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47A4B"/>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50E"/>
    <w:rsid w:val="002E09B1"/>
    <w:rsid w:val="002E0A60"/>
    <w:rsid w:val="002E4277"/>
    <w:rsid w:val="002E5303"/>
    <w:rsid w:val="002E6626"/>
    <w:rsid w:val="002E72FA"/>
    <w:rsid w:val="002E7DFF"/>
    <w:rsid w:val="002F0BE9"/>
    <w:rsid w:val="002F13A0"/>
    <w:rsid w:val="002F1634"/>
    <w:rsid w:val="002F1848"/>
    <w:rsid w:val="002F1D70"/>
    <w:rsid w:val="002F22FA"/>
    <w:rsid w:val="002F3CB0"/>
    <w:rsid w:val="002F5299"/>
    <w:rsid w:val="002F73BA"/>
    <w:rsid w:val="003005B3"/>
    <w:rsid w:val="0030165B"/>
    <w:rsid w:val="00301CAB"/>
    <w:rsid w:val="00302340"/>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098"/>
    <w:rsid w:val="00333875"/>
    <w:rsid w:val="00334F99"/>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4B"/>
    <w:rsid w:val="00365F51"/>
    <w:rsid w:val="00373E05"/>
    <w:rsid w:val="00375692"/>
    <w:rsid w:val="00375DB6"/>
    <w:rsid w:val="0038012F"/>
    <w:rsid w:val="00380BAB"/>
    <w:rsid w:val="00381A0E"/>
    <w:rsid w:val="00383880"/>
    <w:rsid w:val="0038751C"/>
    <w:rsid w:val="0038778B"/>
    <w:rsid w:val="00394451"/>
    <w:rsid w:val="0039584A"/>
    <w:rsid w:val="0039625A"/>
    <w:rsid w:val="00396E93"/>
    <w:rsid w:val="003A23E5"/>
    <w:rsid w:val="003A4828"/>
    <w:rsid w:val="003A64CB"/>
    <w:rsid w:val="003A6622"/>
    <w:rsid w:val="003A673F"/>
    <w:rsid w:val="003B145D"/>
    <w:rsid w:val="003B4678"/>
    <w:rsid w:val="003B4F77"/>
    <w:rsid w:val="003B502C"/>
    <w:rsid w:val="003C6B35"/>
    <w:rsid w:val="003C7C21"/>
    <w:rsid w:val="003D0632"/>
    <w:rsid w:val="003D5C17"/>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27A6"/>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0DFA"/>
    <w:rsid w:val="00471B9D"/>
    <w:rsid w:val="0047206A"/>
    <w:rsid w:val="00474978"/>
    <w:rsid w:val="0047499A"/>
    <w:rsid w:val="00474C78"/>
    <w:rsid w:val="004754B1"/>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4091"/>
    <w:rsid w:val="004D58CD"/>
    <w:rsid w:val="004D5D14"/>
    <w:rsid w:val="004D5EEF"/>
    <w:rsid w:val="004D75B0"/>
    <w:rsid w:val="004D7DC5"/>
    <w:rsid w:val="004E109A"/>
    <w:rsid w:val="004E3B94"/>
    <w:rsid w:val="004E6410"/>
    <w:rsid w:val="004E7C93"/>
    <w:rsid w:val="004F1C6A"/>
    <w:rsid w:val="004F3C8F"/>
    <w:rsid w:val="004F6EF6"/>
    <w:rsid w:val="00500939"/>
    <w:rsid w:val="00501FC7"/>
    <w:rsid w:val="005025F4"/>
    <w:rsid w:val="00502AAF"/>
    <w:rsid w:val="00503D16"/>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37961"/>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AA0"/>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499A"/>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3EF"/>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501B"/>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4933"/>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07DB5"/>
    <w:rsid w:val="00712A93"/>
    <w:rsid w:val="00713ED4"/>
    <w:rsid w:val="00714CF1"/>
    <w:rsid w:val="00715CEB"/>
    <w:rsid w:val="00717A58"/>
    <w:rsid w:val="00722924"/>
    <w:rsid w:val="00723D30"/>
    <w:rsid w:val="00723F1A"/>
    <w:rsid w:val="00726974"/>
    <w:rsid w:val="007306BB"/>
    <w:rsid w:val="007319AD"/>
    <w:rsid w:val="00732257"/>
    <w:rsid w:val="007337D6"/>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1506"/>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C7B88"/>
    <w:rsid w:val="007D009C"/>
    <w:rsid w:val="007D2162"/>
    <w:rsid w:val="007D5A53"/>
    <w:rsid w:val="007D62D9"/>
    <w:rsid w:val="007D73C9"/>
    <w:rsid w:val="007E1FB4"/>
    <w:rsid w:val="007E28C1"/>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4A08"/>
    <w:rsid w:val="00826075"/>
    <w:rsid w:val="008267CA"/>
    <w:rsid w:val="00826A19"/>
    <w:rsid w:val="008274A0"/>
    <w:rsid w:val="008312D4"/>
    <w:rsid w:val="008317C8"/>
    <w:rsid w:val="00831915"/>
    <w:rsid w:val="0083305B"/>
    <w:rsid w:val="00834578"/>
    <w:rsid w:val="0083648B"/>
    <w:rsid w:val="00836500"/>
    <w:rsid w:val="00837D1D"/>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54D"/>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1472"/>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09C1"/>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7D62"/>
    <w:rsid w:val="00A53CDD"/>
    <w:rsid w:val="00A53EE6"/>
    <w:rsid w:val="00A5538A"/>
    <w:rsid w:val="00A564AE"/>
    <w:rsid w:val="00A57A4A"/>
    <w:rsid w:val="00A57C0E"/>
    <w:rsid w:val="00A614EB"/>
    <w:rsid w:val="00A62886"/>
    <w:rsid w:val="00A63E79"/>
    <w:rsid w:val="00A6719E"/>
    <w:rsid w:val="00A672B2"/>
    <w:rsid w:val="00A70686"/>
    <w:rsid w:val="00A74C51"/>
    <w:rsid w:val="00A77682"/>
    <w:rsid w:val="00A80C19"/>
    <w:rsid w:val="00A83279"/>
    <w:rsid w:val="00A83750"/>
    <w:rsid w:val="00A84631"/>
    <w:rsid w:val="00A86498"/>
    <w:rsid w:val="00A86A0A"/>
    <w:rsid w:val="00A87D1B"/>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46B52"/>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3A9B"/>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0949"/>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09C4"/>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4B5D"/>
    <w:rsid w:val="00CA575F"/>
    <w:rsid w:val="00CA5AEC"/>
    <w:rsid w:val="00CA6114"/>
    <w:rsid w:val="00CA704A"/>
    <w:rsid w:val="00CB0797"/>
    <w:rsid w:val="00CB21FF"/>
    <w:rsid w:val="00CB5CAE"/>
    <w:rsid w:val="00CB644C"/>
    <w:rsid w:val="00CB78ED"/>
    <w:rsid w:val="00CC0004"/>
    <w:rsid w:val="00CC4E55"/>
    <w:rsid w:val="00CC53EA"/>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3692"/>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5654"/>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278"/>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6440"/>
    <w:rsid w:val="00E76C4E"/>
    <w:rsid w:val="00E770A4"/>
    <w:rsid w:val="00E8097A"/>
    <w:rsid w:val="00E81192"/>
    <w:rsid w:val="00E83B51"/>
    <w:rsid w:val="00E8626C"/>
    <w:rsid w:val="00E8663B"/>
    <w:rsid w:val="00E86BDE"/>
    <w:rsid w:val="00E8762F"/>
    <w:rsid w:val="00E90AB8"/>
    <w:rsid w:val="00E919D9"/>
    <w:rsid w:val="00E91D32"/>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67EB"/>
    <w:rsid w:val="00F575D3"/>
    <w:rsid w:val="00F5786C"/>
    <w:rsid w:val="00F62117"/>
    <w:rsid w:val="00F62365"/>
    <w:rsid w:val="00F630A7"/>
    <w:rsid w:val="00F66225"/>
    <w:rsid w:val="00F662BC"/>
    <w:rsid w:val="00F6708D"/>
    <w:rsid w:val="00F707F0"/>
    <w:rsid w:val="00F71AD5"/>
    <w:rsid w:val="00F729ED"/>
    <w:rsid w:val="00F733B8"/>
    <w:rsid w:val="00F74568"/>
    <w:rsid w:val="00F74F50"/>
    <w:rsid w:val="00F75192"/>
    <w:rsid w:val="00F77822"/>
    <w:rsid w:val="00F838B6"/>
    <w:rsid w:val="00F83B0D"/>
    <w:rsid w:val="00F83C31"/>
    <w:rsid w:val="00F841D1"/>
    <w:rsid w:val="00F85634"/>
    <w:rsid w:val="00F85F05"/>
    <w:rsid w:val="00F86AD1"/>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172A9909"/>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4/pdf/00326485.pdf" TargetMode="External"/><Relationship Id="rId13" Type="http://schemas.openxmlformats.org/officeDocument/2006/relationships/hyperlink" Target="http://www1.tce.pr.gov.br/multimidia/2018/4/pdf/00326512.pdf" TargetMode="External"/><Relationship Id="rId18" Type="http://schemas.openxmlformats.org/officeDocument/2006/relationships/hyperlink" Target="https://contas.tcu.gov.br/sagas/SvlVisualizarRelVotoAcRtf?codFiltro=SAGAS-SESSAO-ENCERRADA&amp;seOcultaPagina=S&amp;item0=613884" TargetMode="External"/><Relationship Id="rId26" Type="http://schemas.openxmlformats.org/officeDocument/2006/relationships/hyperlink" Target="https://contas.tcu.gov.br/sagas/SvlVisualizarRelVotoAcRtf?codFiltro=SAGAS-SESSAO-ENCERRADA&amp;seOcultaPagina=S&amp;item0=602415"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1018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tce.pr.gov.br/conteudo/acordao-898-2018-do-tribunal-pleno/313649/area/10" TargetMode="External"/><Relationship Id="rId17" Type="http://schemas.openxmlformats.org/officeDocument/2006/relationships/hyperlink" Target="http://www.stf.jus.br/portal/processo/verProcessoAndamento.asp?numero=32703&amp;classe=MS&amp;origem=AP&amp;recurso=0&amp;tipoJulgamento=M" TargetMode="External"/><Relationship Id="rId25" Type="http://schemas.openxmlformats.org/officeDocument/2006/relationships/hyperlink" Target="https://contas.tcu.gov.br/sagas/SvlVisualizarRelVotoAcRtf?codFiltro=SAGAS-SESSAO-ENCERRADA&amp;seOcultaPagina=S&amp;item0=60241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multimidia/2018/4/pdf/00326438.pdf" TargetMode="External"/><Relationship Id="rId20" Type="http://schemas.openxmlformats.org/officeDocument/2006/relationships/hyperlink" Target="http://www.planalto.gov.br/ccivil_03/constituicao/emendas/emc/emc70.htm"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4/pdf/00326571.pdf" TargetMode="External"/><Relationship Id="rId24" Type="http://schemas.openxmlformats.org/officeDocument/2006/relationships/hyperlink" Target="http://www.planalto.gov.br/ccivil_03/constituicao/constituicao.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8/4/pdf/00326475.pdf" TargetMode="External"/><Relationship Id="rId23" Type="http://schemas.openxmlformats.org/officeDocument/2006/relationships/hyperlink" Target="http://www.planalto.gov.br/ccivil_03/constituicao/emendas/emc/emc47.htm" TargetMode="External"/><Relationship Id="rId28" Type="http://schemas.openxmlformats.org/officeDocument/2006/relationships/hyperlink" Target="http://www1.tce.pr.gov.br/conteudo/pesquisas-prontas/308475/area/249" TargetMode="External"/><Relationship Id="rId10" Type="http://schemas.openxmlformats.org/officeDocument/2006/relationships/hyperlink" Target="http://www1.tce.pr.gov.br/multimidia/2018/4/pdf/00326293.pdf" TargetMode="External"/><Relationship Id="rId19" Type="http://schemas.openxmlformats.org/officeDocument/2006/relationships/hyperlink" Target="http://www.planalto.gov.br/ccivil_03/constituicao/emendas/emc/emc41.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multimidia/2018/4/pdf/00326291.pdf" TargetMode="External"/><Relationship Id="rId14" Type="http://schemas.openxmlformats.org/officeDocument/2006/relationships/hyperlink" Target="http://www1.tce.pr.gov.br/multimidia/2018/4/pdf/00326511.pdf" TargetMode="External"/><Relationship Id="rId22" Type="http://schemas.openxmlformats.org/officeDocument/2006/relationships/hyperlink" Target="http://www.planalto.gov.br/ccivil_03/constituicao/constituicao.htm" TargetMode="External"/><Relationship Id="rId27" Type="http://schemas.openxmlformats.org/officeDocument/2006/relationships/hyperlink" Target="https://contas.tcu.gov.br/sagas/SvlVisualizarRelVotoAcRtf?codFiltro=SAGAS-SESSAO-ENCERRADA&amp;seOcultaPagina=S&amp;item0=615032" TargetMode="External"/><Relationship Id="rId30" Type="http://schemas.openxmlformats.org/officeDocument/2006/relationships/hyperlink" Target="http://www1.tce.pr.gov.br/multimidia/2018/4/pdf/0032618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E02A-2090-4ED2-B092-FA2A0E4F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3400</Words>
  <Characters>18364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239</cp:revision>
  <cp:lastPrinted>2017-07-10T20:46:00Z</cp:lastPrinted>
  <dcterms:created xsi:type="dcterms:W3CDTF">2017-07-10T20:45:00Z</dcterms:created>
  <dcterms:modified xsi:type="dcterms:W3CDTF">2018-05-04T13:47:00Z</dcterms:modified>
</cp:coreProperties>
</file>