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2F" w:rsidRPr="00640BDC" w:rsidRDefault="0038012F" w:rsidP="0038012F">
      <w:pPr>
        <w:pStyle w:val="Cabealho"/>
        <w:spacing w:after="100" w:afterAutospacing="1"/>
        <w:jc w:val="center"/>
        <w:rPr>
          <w:rFonts w:ascii="Arial" w:hAnsi="Arial" w:cs="Arial"/>
        </w:rPr>
      </w:pPr>
      <w:r w:rsidRPr="00640BDC">
        <w:rPr>
          <w:rFonts w:ascii="Arial" w:hAnsi="Arial" w:cs="Arial"/>
          <w:b/>
        </w:rPr>
        <w:t>Boletim de Jurisprudência TCE/PR</w:t>
      </w:r>
      <w:r w:rsidRPr="00640BDC">
        <w:rPr>
          <w:rFonts w:ascii="Arial" w:hAnsi="Arial" w:cs="Arial"/>
        </w:rPr>
        <w:t xml:space="preserve"> </w:t>
      </w:r>
    </w:p>
    <w:p w:rsidR="001B5F7A" w:rsidRPr="002147AC" w:rsidRDefault="001B5F7A" w:rsidP="001B5F7A">
      <w:pPr>
        <w:spacing w:after="120"/>
        <w:jc w:val="center"/>
        <w:rPr>
          <w:rFonts w:ascii="Arial" w:hAnsi="Arial" w:cs="Arial"/>
          <w:b/>
          <w:sz w:val="20"/>
          <w:szCs w:val="20"/>
        </w:rPr>
      </w:pPr>
      <w:r w:rsidRPr="002147AC">
        <w:rPr>
          <w:rFonts w:ascii="Arial" w:hAnsi="Arial" w:cs="Arial"/>
          <w:b/>
          <w:sz w:val="20"/>
          <w:szCs w:val="20"/>
        </w:rPr>
        <w:t>Número 0</w:t>
      </w:r>
      <w:r w:rsidR="00A5538A">
        <w:rPr>
          <w:rFonts w:ascii="Arial" w:hAnsi="Arial" w:cs="Arial"/>
          <w:b/>
          <w:sz w:val="20"/>
          <w:szCs w:val="20"/>
        </w:rPr>
        <w:t>9</w:t>
      </w:r>
    </w:p>
    <w:p w:rsidR="001B5F7A" w:rsidRPr="002147AC" w:rsidRDefault="001B5F7A" w:rsidP="001B5F7A">
      <w:pPr>
        <w:spacing w:after="120"/>
        <w:jc w:val="center"/>
        <w:rPr>
          <w:rFonts w:ascii="Arial" w:hAnsi="Arial" w:cs="Arial"/>
          <w:b/>
          <w:sz w:val="20"/>
          <w:szCs w:val="20"/>
        </w:rPr>
      </w:pPr>
      <w:r w:rsidRPr="00C42EFD">
        <w:rPr>
          <w:rFonts w:ascii="Arial" w:hAnsi="Arial" w:cs="Arial"/>
          <w:b/>
          <w:sz w:val="20"/>
          <w:szCs w:val="20"/>
        </w:rPr>
        <w:t xml:space="preserve">Sessões: </w:t>
      </w:r>
      <w:r w:rsidR="00C42EFD" w:rsidRPr="00C42EFD">
        <w:rPr>
          <w:rFonts w:ascii="Arial" w:hAnsi="Arial" w:cs="Arial"/>
          <w:b/>
          <w:sz w:val="20"/>
          <w:szCs w:val="20"/>
        </w:rPr>
        <w:t>07</w:t>
      </w:r>
      <w:r w:rsidR="005A0FD0" w:rsidRPr="00C42EFD">
        <w:rPr>
          <w:rFonts w:ascii="Arial" w:hAnsi="Arial" w:cs="Arial"/>
          <w:b/>
          <w:sz w:val="20"/>
          <w:szCs w:val="20"/>
        </w:rPr>
        <w:t>.0</w:t>
      </w:r>
      <w:r w:rsidR="00C42EFD" w:rsidRPr="00C42EFD">
        <w:rPr>
          <w:rFonts w:ascii="Arial" w:hAnsi="Arial" w:cs="Arial"/>
          <w:b/>
          <w:sz w:val="20"/>
          <w:szCs w:val="20"/>
        </w:rPr>
        <w:t>3</w:t>
      </w:r>
      <w:r w:rsidR="005A0FD0" w:rsidRPr="00C42EFD">
        <w:rPr>
          <w:rFonts w:ascii="Arial" w:hAnsi="Arial" w:cs="Arial"/>
          <w:b/>
          <w:sz w:val="20"/>
          <w:szCs w:val="20"/>
        </w:rPr>
        <w:t xml:space="preserve"> </w:t>
      </w:r>
      <w:r w:rsidR="000D4DE6" w:rsidRPr="00C42EFD">
        <w:rPr>
          <w:rFonts w:ascii="Arial" w:hAnsi="Arial" w:cs="Arial"/>
          <w:b/>
          <w:sz w:val="20"/>
          <w:szCs w:val="20"/>
        </w:rPr>
        <w:t>a</w:t>
      </w:r>
      <w:r w:rsidRPr="00C42EFD">
        <w:rPr>
          <w:rFonts w:ascii="Arial" w:hAnsi="Arial" w:cs="Arial"/>
          <w:b/>
          <w:sz w:val="20"/>
          <w:szCs w:val="20"/>
        </w:rPr>
        <w:t xml:space="preserve"> </w:t>
      </w:r>
      <w:r w:rsidR="00C42EFD" w:rsidRPr="00C42EFD">
        <w:rPr>
          <w:rFonts w:ascii="Arial" w:hAnsi="Arial" w:cs="Arial"/>
          <w:b/>
          <w:sz w:val="20"/>
          <w:szCs w:val="20"/>
        </w:rPr>
        <w:t>09</w:t>
      </w:r>
      <w:r w:rsidR="005A0FD0" w:rsidRPr="00C42EFD">
        <w:rPr>
          <w:rFonts w:ascii="Arial" w:hAnsi="Arial" w:cs="Arial"/>
          <w:b/>
          <w:sz w:val="20"/>
          <w:szCs w:val="20"/>
        </w:rPr>
        <w:t>.0</w:t>
      </w:r>
      <w:r w:rsidR="00C42EFD" w:rsidRPr="00C42EFD">
        <w:rPr>
          <w:rFonts w:ascii="Arial" w:hAnsi="Arial" w:cs="Arial"/>
          <w:b/>
          <w:sz w:val="20"/>
          <w:szCs w:val="20"/>
        </w:rPr>
        <w:t>3</w:t>
      </w:r>
      <w:r w:rsidRPr="00C42EFD">
        <w:rPr>
          <w:rFonts w:ascii="Arial" w:hAnsi="Arial" w:cs="Arial"/>
          <w:b/>
          <w:sz w:val="20"/>
          <w:szCs w:val="20"/>
        </w:rPr>
        <w:t xml:space="preserve"> de 201</w:t>
      </w:r>
      <w:r w:rsidR="005A0FD0" w:rsidRPr="00C42EFD">
        <w:rPr>
          <w:rFonts w:ascii="Arial" w:hAnsi="Arial" w:cs="Arial"/>
          <w:b/>
          <w:sz w:val="20"/>
          <w:szCs w:val="20"/>
        </w:rPr>
        <w:t>7</w:t>
      </w:r>
    </w:p>
    <w:p w:rsidR="001B5F7A" w:rsidRPr="006375ED" w:rsidRDefault="001B5F7A" w:rsidP="001B5F7A">
      <w:pPr>
        <w:spacing w:after="120"/>
        <w:jc w:val="both"/>
        <w:rPr>
          <w:rFonts w:ascii="Arial" w:hAnsi="Arial" w:cs="Arial"/>
          <w:sz w:val="18"/>
          <w:szCs w:val="18"/>
        </w:rPr>
      </w:pPr>
      <w:r w:rsidRPr="006375ED">
        <w:rPr>
          <w:rFonts w:ascii="Arial" w:hAnsi="Arial" w:cs="Arial"/>
          <w:sz w:val="18"/>
          <w:szCs w:val="18"/>
        </w:rPr>
        <w:t xml:space="preserve">Este Boletim contém informações sintéticas de decisões proferidas pelos Colegiados do TCE/PR que receberam indicação de relevância sob o prisma jurisprudencial no período acima indicado. </w:t>
      </w:r>
      <w:r w:rsidR="00BC137A" w:rsidRPr="006375ED">
        <w:rPr>
          <w:rFonts w:ascii="Arial" w:hAnsi="Arial" w:cs="Arial"/>
          <w:color w:val="212121"/>
          <w:sz w:val="18"/>
          <w:szCs w:val="18"/>
        </w:rPr>
        <w:t>A seleção das decisões leva em consideração ao menos um dos seguintes fatores: ineditismo da deliberação, discussão no colegiado ou reiteração de entendimento importante</w:t>
      </w:r>
      <w:r w:rsidR="00F3739F" w:rsidRPr="006375ED">
        <w:rPr>
          <w:rFonts w:ascii="Arial" w:hAnsi="Arial" w:cs="Arial"/>
          <w:color w:val="212121"/>
          <w:sz w:val="18"/>
          <w:szCs w:val="18"/>
        </w:rPr>
        <w:t>.</w:t>
      </w:r>
      <w:r w:rsidR="00BC137A" w:rsidRPr="006375ED">
        <w:rPr>
          <w:rFonts w:ascii="Arial" w:hAnsi="Arial" w:cs="Arial"/>
          <w:sz w:val="18"/>
          <w:szCs w:val="18"/>
        </w:rPr>
        <w:t xml:space="preserve"> </w:t>
      </w:r>
      <w:r w:rsidRPr="006375ED">
        <w:rPr>
          <w:rFonts w:ascii="Arial" w:hAnsi="Arial" w:cs="Arial"/>
          <w:sz w:val="18"/>
          <w:szCs w:val="18"/>
        </w:rPr>
        <w:t>O objetivo é facilitar ao interessado o acompanhamento dos acórdãos mais importantes do Tribunal. Para aprofundamento, o leitor pode acessar o inteiro teor das deliberações por meio dos links disponíveis.</w:t>
      </w:r>
      <w:r w:rsidR="00BC137A" w:rsidRPr="006375ED">
        <w:rPr>
          <w:rFonts w:ascii="Arial" w:hAnsi="Arial" w:cs="Arial"/>
          <w:color w:val="212121"/>
          <w:sz w:val="18"/>
          <w:szCs w:val="18"/>
        </w:rPr>
        <w:t xml:space="preserve"> </w:t>
      </w:r>
      <w:r w:rsidRPr="006375ED">
        <w:rPr>
          <w:rFonts w:ascii="Arial" w:hAnsi="Arial" w:cs="Arial"/>
          <w:sz w:val="18"/>
          <w:szCs w:val="18"/>
        </w:rPr>
        <w:t>As informações aqui apresentadas não são repositórios oficiais de jurisprudência.</w:t>
      </w:r>
    </w:p>
    <w:p w:rsidR="001B5F7A" w:rsidRDefault="001B5F7A" w:rsidP="000F639D">
      <w:pPr>
        <w:spacing w:after="120"/>
        <w:jc w:val="both"/>
      </w:pPr>
      <w:r>
        <w:rPr>
          <w:rFonts w:ascii="Times New Roman" w:hAnsi="Times New Roman"/>
          <w:noProof/>
          <w:lang w:eastAsia="pt-BR"/>
        </w:rPr>
        <mc:AlternateContent>
          <mc:Choice Requires="wps">
            <w:drawing>
              <wp:anchor distT="0" distB="0" distL="114300" distR="114300" simplePos="0" relativeHeight="251659264" behindDoc="0" locked="0" layoutInCell="1" allowOverlap="1" wp14:anchorId="416D0D3C" wp14:editId="0FA18267">
                <wp:simplePos x="0" y="0"/>
                <wp:positionH relativeFrom="margin">
                  <wp:posOffset>520</wp:posOffset>
                </wp:positionH>
                <wp:positionV relativeFrom="paragraph">
                  <wp:posOffset>31222</wp:posOffset>
                </wp:positionV>
                <wp:extent cx="5421085" cy="0"/>
                <wp:effectExtent l="0" t="0" r="27305"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108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45pt" to="426.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" strokecolor="black [3200]" strokeweight="2pt">
                <v:shadow on="t" color="black" opacity="24903f" origin=",.5" offset="0,.55556mm"/>
                <w10:wrap anchorx="margin"/>
              </v:line>
            </w:pict>
          </mc:Fallback>
        </mc:AlternateContent>
      </w:r>
    </w:p>
    <w:p w:rsidR="00AE4F42" w:rsidRPr="00722924" w:rsidRDefault="00AE4F42" w:rsidP="00AE4F42">
      <w:pPr>
        <w:shd w:val="pct10" w:color="auto" w:fill="auto"/>
        <w:jc w:val="center"/>
        <w:rPr>
          <w:rFonts w:ascii="Arial" w:hAnsi="Arial" w:cs="Arial"/>
          <w:b/>
        </w:rPr>
      </w:pPr>
      <w:r>
        <w:rPr>
          <w:rFonts w:ascii="Arial" w:hAnsi="Arial" w:cs="Arial"/>
          <w:b/>
        </w:rPr>
        <w:t>S</w:t>
      </w:r>
      <w:r w:rsidR="00221D15">
        <w:rPr>
          <w:rFonts w:ascii="Arial" w:hAnsi="Arial" w:cs="Arial"/>
          <w:b/>
        </w:rPr>
        <w:t>U</w:t>
      </w:r>
      <w:r>
        <w:rPr>
          <w:rFonts w:ascii="Arial" w:hAnsi="Arial" w:cs="Arial"/>
          <w:b/>
        </w:rPr>
        <w:t>MÁRIO</w:t>
      </w:r>
    </w:p>
    <w:p w:rsidR="00F368B9" w:rsidRPr="001E3417" w:rsidRDefault="00781066" w:rsidP="00034FD3">
      <w:pPr>
        <w:spacing w:after="0"/>
        <w:jc w:val="both"/>
        <w:rPr>
          <w:rFonts w:ascii="Arial" w:hAnsi="Arial" w:cs="Arial"/>
          <w:sz w:val="20"/>
          <w:szCs w:val="20"/>
        </w:rPr>
      </w:pPr>
      <w:r w:rsidRPr="001E3417">
        <w:rPr>
          <w:rFonts w:ascii="Arial" w:hAnsi="Arial" w:cs="Arial"/>
          <w:sz w:val="20"/>
          <w:szCs w:val="20"/>
        </w:rPr>
        <w:t>1.</w:t>
      </w:r>
      <w:r w:rsidR="001E3417" w:rsidRPr="001E3417">
        <w:rPr>
          <w:rFonts w:ascii="Arial" w:hAnsi="Arial" w:cs="Arial"/>
          <w:sz w:val="20"/>
          <w:szCs w:val="20"/>
        </w:rPr>
        <w:t xml:space="preserve"> Admissão de Pessoal. Concurso Público. Publicidade. Meios de inscrição. Inscrição exclusivamente presencial. Horário restrito de inscrição.</w:t>
      </w:r>
    </w:p>
    <w:p w:rsidR="00781066" w:rsidRPr="001E3417" w:rsidRDefault="00781066" w:rsidP="00034FD3">
      <w:pPr>
        <w:spacing w:after="0"/>
        <w:jc w:val="both"/>
        <w:rPr>
          <w:rFonts w:ascii="Arial" w:hAnsi="Arial" w:cs="Arial"/>
          <w:sz w:val="20"/>
          <w:szCs w:val="20"/>
        </w:rPr>
      </w:pPr>
    </w:p>
    <w:p w:rsidR="001E3417" w:rsidRPr="001E3417" w:rsidRDefault="00781066" w:rsidP="00034FD3">
      <w:pPr>
        <w:spacing w:after="0"/>
        <w:jc w:val="both"/>
        <w:rPr>
          <w:rFonts w:ascii="Arial" w:hAnsi="Arial" w:cs="Arial"/>
          <w:sz w:val="20"/>
          <w:szCs w:val="20"/>
        </w:rPr>
      </w:pPr>
      <w:r w:rsidRPr="001E3417">
        <w:rPr>
          <w:rFonts w:ascii="Arial" w:hAnsi="Arial" w:cs="Arial"/>
          <w:sz w:val="20"/>
          <w:szCs w:val="20"/>
        </w:rPr>
        <w:t>2.</w:t>
      </w:r>
      <w:r w:rsidR="001E3417" w:rsidRPr="001E3417">
        <w:rPr>
          <w:rFonts w:ascii="Arial" w:hAnsi="Arial" w:cs="Arial"/>
          <w:sz w:val="20"/>
          <w:szCs w:val="20"/>
        </w:rPr>
        <w:t xml:space="preserve"> Alerta. Lei de Responsabilidade Fiscal. Limite de gastos. Queda de Receita. Providências.</w:t>
      </w:r>
    </w:p>
    <w:p w:rsidR="001E3417" w:rsidRPr="001E3417" w:rsidRDefault="001E3417" w:rsidP="00034FD3">
      <w:pPr>
        <w:spacing w:after="0"/>
        <w:jc w:val="both"/>
        <w:rPr>
          <w:rFonts w:ascii="Arial" w:hAnsi="Arial" w:cs="Arial"/>
          <w:b/>
          <w:szCs w:val="20"/>
        </w:rPr>
      </w:pPr>
    </w:p>
    <w:p w:rsidR="001B6F6D" w:rsidRDefault="00781066" w:rsidP="00034FD3">
      <w:pPr>
        <w:autoSpaceDE w:val="0"/>
        <w:autoSpaceDN w:val="0"/>
        <w:adjustRightInd w:val="0"/>
        <w:spacing w:after="0"/>
        <w:jc w:val="both"/>
        <w:rPr>
          <w:rFonts w:ascii="Arial" w:hAnsi="Arial" w:cs="Arial"/>
          <w:sz w:val="20"/>
          <w:szCs w:val="20"/>
        </w:rPr>
      </w:pPr>
      <w:r>
        <w:rPr>
          <w:rFonts w:ascii="Arial" w:hAnsi="Arial" w:cs="Arial"/>
          <w:sz w:val="20"/>
          <w:szCs w:val="20"/>
        </w:rPr>
        <w:t>3.</w:t>
      </w:r>
      <w:r w:rsidR="001B6F6D" w:rsidRPr="001B6F6D">
        <w:rPr>
          <w:rFonts w:ascii="Arial" w:hAnsi="Arial" w:cs="Arial"/>
          <w:sz w:val="20"/>
          <w:szCs w:val="20"/>
        </w:rPr>
        <w:t xml:space="preserve"> </w:t>
      </w:r>
      <w:r w:rsidR="001B6F6D">
        <w:rPr>
          <w:rFonts w:ascii="Arial" w:hAnsi="Arial" w:cs="Arial"/>
          <w:sz w:val="20"/>
          <w:szCs w:val="20"/>
        </w:rPr>
        <w:t>Ato de Inativação. Câmara Municipal de Curitiba. Cálculo dos proventos em desacordo com o parecer do Instituto de Previdência dos Servidores do Município de Curitiba. Pela negativa de registro, com fixação de prazo para edição de novo ato.</w:t>
      </w:r>
    </w:p>
    <w:p w:rsidR="00781066" w:rsidRDefault="00781066" w:rsidP="00034FD3">
      <w:pPr>
        <w:spacing w:after="0"/>
        <w:jc w:val="both"/>
        <w:rPr>
          <w:rFonts w:ascii="Arial" w:hAnsi="Arial" w:cs="Arial"/>
          <w:sz w:val="20"/>
          <w:szCs w:val="20"/>
        </w:rPr>
      </w:pPr>
    </w:p>
    <w:p w:rsidR="00781066" w:rsidRDefault="00781066" w:rsidP="00034FD3">
      <w:pPr>
        <w:spacing w:after="0"/>
        <w:jc w:val="both"/>
        <w:rPr>
          <w:rFonts w:ascii="Arial" w:hAnsi="Arial" w:cs="Arial"/>
          <w:sz w:val="20"/>
          <w:szCs w:val="20"/>
        </w:rPr>
      </w:pPr>
      <w:r>
        <w:rPr>
          <w:rFonts w:ascii="Arial" w:hAnsi="Arial" w:cs="Arial"/>
          <w:sz w:val="20"/>
          <w:szCs w:val="20"/>
        </w:rPr>
        <w:t>4.</w:t>
      </w:r>
      <w:r w:rsidR="00AD5D72" w:rsidRPr="00AD5D72">
        <w:rPr>
          <w:rFonts w:ascii="Arial" w:hAnsi="Arial" w:cs="Arial"/>
          <w:b/>
          <w:sz w:val="20"/>
          <w:szCs w:val="20"/>
        </w:rPr>
        <w:t xml:space="preserve"> </w:t>
      </w:r>
      <w:r w:rsidR="00AD5D72" w:rsidRPr="00AD5D72">
        <w:rPr>
          <w:rFonts w:ascii="Arial" w:hAnsi="Arial" w:cs="Arial"/>
          <w:sz w:val="20"/>
          <w:szCs w:val="20"/>
        </w:rPr>
        <w:t>A</w:t>
      </w:r>
      <w:r w:rsidR="000B785D">
        <w:rPr>
          <w:rFonts w:ascii="Arial" w:hAnsi="Arial" w:cs="Arial"/>
          <w:sz w:val="20"/>
          <w:szCs w:val="20"/>
        </w:rPr>
        <w:t>to de Inativação</w:t>
      </w:r>
      <w:r w:rsidR="00AD5D72" w:rsidRPr="00AD5D72">
        <w:rPr>
          <w:rFonts w:ascii="Arial" w:hAnsi="Arial" w:cs="Arial"/>
          <w:sz w:val="20"/>
          <w:szCs w:val="20"/>
        </w:rPr>
        <w:t xml:space="preserve">. Adicional de Enquadramento. Incorporação diretamente à remuneração e não apenas aos proventos. Desnecessidade de </w:t>
      </w:r>
      <w:proofErr w:type="spellStart"/>
      <w:r w:rsidR="00AD5D72" w:rsidRPr="00AD5D72">
        <w:rPr>
          <w:rFonts w:ascii="Arial" w:hAnsi="Arial" w:cs="Arial"/>
          <w:sz w:val="20"/>
          <w:szCs w:val="20"/>
        </w:rPr>
        <w:t>proporcionalização</w:t>
      </w:r>
      <w:proofErr w:type="spellEnd"/>
      <w:r w:rsidR="00AD5D72" w:rsidRPr="00AD5D72">
        <w:rPr>
          <w:rFonts w:ascii="Arial" w:hAnsi="Arial" w:cs="Arial"/>
          <w:sz w:val="20"/>
          <w:szCs w:val="20"/>
        </w:rPr>
        <w:t xml:space="preserve"> da verba, conforme decisões anteriores desta Corte. </w:t>
      </w:r>
      <w:r w:rsidR="00AD5D72" w:rsidRPr="00AD5D72">
        <w:rPr>
          <w:rFonts w:ascii="Arial,Bold" w:hAnsi="Arial,Bold" w:cs="Arial,Bold"/>
          <w:bCs/>
          <w:sz w:val="20"/>
          <w:szCs w:val="20"/>
        </w:rPr>
        <w:t>Registro do Ato de Inativação com recomendação ao Município.</w:t>
      </w:r>
    </w:p>
    <w:p w:rsidR="00781066" w:rsidRDefault="00781066" w:rsidP="00034FD3">
      <w:pPr>
        <w:spacing w:after="0"/>
        <w:jc w:val="both"/>
        <w:rPr>
          <w:rFonts w:ascii="Arial" w:hAnsi="Arial" w:cs="Arial"/>
          <w:sz w:val="20"/>
          <w:szCs w:val="20"/>
        </w:rPr>
      </w:pPr>
    </w:p>
    <w:p w:rsidR="00034FD3" w:rsidRDefault="00781066" w:rsidP="00034FD3">
      <w:pPr>
        <w:spacing w:after="0"/>
        <w:jc w:val="both"/>
        <w:rPr>
          <w:rFonts w:ascii="Arial" w:hAnsi="Arial" w:cs="Arial"/>
          <w:sz w:val="20"/>
          <w:szCs w:val="20"/>
        </w:rPr>
      </w:pPr>
      <w:r>
        <w:rPr>
          <w:rFonts w:ascii="Arial" w:hAnsi="Arial" w:cs="Arial"/>
          <w:sz w:val="20"/>
          <w:szCs w:val="20"/>
        </w:rPr>
        <w:t>5.</w:t>
      </w:r>
      <w:r w:rsidR="00034FD3">
        <w:rPr>
          <w:rFonts w:ascii="Arial" w:hAnsi="Arial" w:cs="Arial"/>
          <w:sz w:val="20"/>
          <w:szCs w:val="20"/>
        </w:rPr>
        <w:t xml:space="preserve"> Representação. Licitação. Edital. Aglutinação de serviços de natureza incompatível. Nutricionistas. Quantidade mínima de profissionais. Ficha técnica dos produtos. Habilitação. Exigências desnecessárias. Menor preço global. Possibilidade. Celeridade. Economicidade. Controle. Multa. Determinação. Recomendação. Parcial procedência. </w:t>
      </w:r>
    </w:p>
    <w:p w:rsidR="00034FD3" w:rsidRDefault="00034FD3" w:rsidP="00034FD3">
      <w:pPr>
        <w:spacing w:after="0"/>
        <w:jc w:val="both"/>
        <w:rPr>
          <w:rFonts w:ascii="Arial" w:hAnsi="Arial" w:cs="Arial"/>
          <w:sz w:val="20"/>
          <w:szCs w:val="20"/>
        </w:rPr>
      </w:pPr>
    </w:p>
    <w:p w:rsidR="00034FD3" w:rsidRDefault="00034FD3" w:rsidP="00034FD3">
      <w:pPr>
        <w:spacing w:after="0"/>
        <w:jc w:val="both"/>
        <w:rPr>
          <w:rFonts w:ascii="Arial" w:hAnsi="Arial" w:cs="Arial"/>
          <w:sz w:val="20"/>
          <w:szCs w:val="20"/>
        </w:rPr>
      </w:pPr>
      <w:r>
        <w:rPr>
          <w:rFonts w:ascii="Arial" w:hAnsi="Arial" w:cs="Arial"/>
          <w:sz w:val="20"/>
          <w:szCs w:val="20"/>
        </w:rPr>
        <w:t xml:space="preserve">6. Prestação de Contas Estadual. Fundo de Previdência do Estado do Paraná. Instrução da </w:t>
      </w:r>
      <w:r w:rsidR="00173564">
        <w:rPr>
          <w:rFonts w:ascii="Arial" w:hAnsi="Arial" w:cs="Arial"/>
          <w:sz w:val="20"/>
          <w:szCs w:val="20"/>
        </w:rPr>
        <w:t xml:space="preserve">Unidade Técnica </w:t>
      </w:r>
      <w:r>
        <w:rPr>
          <w:rFonts w:ascii="Arial" w:hAnsi="Arial" w:cs="Arial"/>
          <w:sz w:val="20"/>
          <w:szCs w:val="20"/>
        </w:rPr>
        <w:t xml:space="preserve">pela regularidade com recomendação. Parecer do MPC pela irregularidade em razão da omissão dos responsáveis em adotar providências visando impedir a apropriação ilegal de recursos previdenciários afetados a uma clientela definida. Regularidade das contas com recomendação. </w:t>
      </w:r>
    </w:p>
    <w:p w:rsidR="00034FD3" w:rsidRDefault="00034FD3" w:rsidP="00034FD3">
      <w:pPr>
        <w:spacing w:after="0"/>
        <w:jc w:val="both"/>
        <w:rPr>
          <w:rFonts w:ascii="Arial" w:hAnsi="Arial" w:cs="Arial"/>
          <w:sz w:val="20"/>
          <w:szCs w:val="20"/>
        </w:rPr>
      </w:pPr>
    </w:p>
    <w:p w:rsidR="00034FD3" w:rsidRDefault="00034FD3" w:rsidP="00034FD3">
      <w:pPr>
        <w:spacing w:after="0"/>
        <w:jc w:val="both"/>
        <w:rPr>
          <w:rFonts w:ascii="Arial" w:hAnsi="Arial" w:cs="Arial"/>
          <w:sz w:val="20"/>
          <w:szCs w:val="20"/>
        </w:rPr>
      </w:pPr>
      <w:r>
        <w:rPr>
          <w:rFonts w:ascii="Arial" w:hAnsi="Arial" w:cs="Arial"/>
          <w:sz w:val="20"/>
          <w:szCs w:val="20"/>
        </w:rPr>
        <w:t xml:space="preserve">7. Denúncia. Procedência parcial. Utilização de recursos da educação básica para custeio do transporte de alunos do ensino superior, que resultou em ofensa ao art. 6º da Lei nº 11.721/97, sem aplicação de multa contra gestores. Demais irregularidades não comprovadas. Imposição de determinação ao Legislativo Municipal acerca do procedimento legal para a apreciação de requerimentos visando à investigação do Chefe do Poder Executivo Municipal. </w:t>
      </w:r>
    </w:p>
    <w:p w:rsidR="00034FD3" w:rsidRDefault="00034FD3" w:rsidP="00034FD3">
      <w:pPr>
        <w:spacing w:after="0"/>
        <w:jc w:val="both"/>
        <w:rPr>
          <w:rFonts w:ascii="Arial" w:hAnsi="Arial" w:cs="Arial"/>
          <w:sz w:val="20"/>
          <w:szCs w:val="20"/>
        </w:rPr>
      </w:pPr>
    </w:p>
    <w:p w:rsidR="00034FD3" w:rsidRDefault="00034FD3" w:rsidP="00034FD3">
      <w:pPr>
        <w:spacing w:after="0"/>
        <w:jc w:val="both"/>
        <w:rPr>
          <w:rFonts w:ascii="Arial" w:hAnsi="Arial" w:cs="Arial"/>
          <w:sz w:val="20"/>
          <w:szCs w:val="20"/>
        </w:rPr>
      </w:pPr>
      <w:r>
        <w:rPr>
          <w:rFonts w:ascii="Arial" w:hAnsi="Arial" w:cs="Arial"/>
          <w:sz w:val="20"/>
          <w:szCs w:val="20"/>
        </w:rPr>
        <w:lastRenderedPageBreak/>
        <w:t xml:space="preserve">8. Pedido de Rescisão. Prestação de Contas do Executivo Municipal de Manoel Ribas. Exercício de 2005. Novos elementos de prova. Recebimento parcial. Pedido parcialmente procedente. Emissão de Parecer Prévio recomendando a irregularidade das contas. </w:t>
      </w:r>
    </w:p>
    <w:p w:rsidR="00F14B9B" w:rsidRDefault="00F14B9B" w:rsidP="006375ED">
      <w:pPr>
        <w:spacing w:after="0" w:line="240" w:lineRule="atLeast"/>
        <w:jc w:val="both"/>
        <w:rPr>
          <w:rFonts w:ascii="Arial" w:hAnsi="Arial" w:cs="Arial"/>
          <w:b/>
          <w:color w:val="000000"/>
          <w:sz w:val="20"/>
          <w:szCs w:val="20"/>
        </w:rPr>
      </w:pPr>
    </w:p>
    <w:p w:rsidR="00712A93" w:rsidRPr="00722924" w:rsidRDefault="00712A93" w:rsidP="00722924">
      <w:pPr>
        <w:shd w:val="pct10" w:color="auto" w:fill="auto"/>
        <w:jc w:val="center"/>
        <w:rPr>
          <w:rFonts w:ascii="Arial" w:hAnsi="Arial" w:cs="Arial"/>
          <w:b/>
        </w:rPr>
      </w:pPr>
      <w:r w:rsidRPr="00722924">
        <w:rPr>
          <w:rFonts w:ascii="Arial" w:hAnsi="Arial" w:cs="Arial"/>
          <w:b/>
        </w:rPr>
        <w:t>PRIMEIRA CÂMARA</w:t>
      </w:r>
    </w:p>
    <w:p w:rsidR="001E3417" w:rsidRPr="00536E4B" w:rsidRDefault="001E3417" w:rsidP="00536E4B">
      <w:pPr>
        <w:spacing w:after="0"/>
        <w:jc w:val="both"/>
        <w:rPr>
          <w:rFonts w:ascii="Arial" w:hAnsi="Arial" w:cs="Arial"/>
          <w:sz w:val="20"/>
          <w:szCs w:val="20"/>
        </w:rPr>
      </w:pPr>
      <w:r w:rsidRPr="00536E4B">
        <w:rPr>
          <w:rFonts w:ascii="Arial" w:hAnsi="Arial" w:cs="Arial"/>
          <w:b/>
          <w:sz w:val="20"/>
          <w:szCs w:val="20"/>
        </w:rPr>
        <w:t>1. Admissão de Pessoal. Concurso Público. Publicidade. Meios de inscrição. Inscrição exclusivamente presencial. Horário restrito de inscrição.</w:t>
      </w:r>
    </w:p>
    <w:p w:rsidR="001E3417" w:rsidRPr="00536E4B" w:rsidRDefault="001E3417" w:rsidP="00536E4B">
      <w:pPr>
        <w:spacing w:after="0"/>
        <w:jc w:val="both"/>
        <w:rPr>
          <w:rFonts w:ascii="Arial" w:hAnsi="Arial" w:cs="Arial"/>
          <w:sz w:val="20"/>
          <w:szCs w:val="20"/>
        </w:rPr>
      </w:pPr>
    </w:p>
    <w:p w:rsidR="001E3417" w:rsidRPr="00536E4B" w:rsidRDefault="001E3417" w:rsidP="00536E4B">
      <w:pPr>
        <w:spacing w:after="0"/>
        <w:jc w:val="both"/>
        <w:rPr>
          <w:rFonts w:ascii="Arial" w:hAnsi="Arial" w:cs="Arial"/>
          <w:sz w:val="20"/>
          <w:szCs w:val="20"/>
        </w:rPr>
      </w:pPr>
      <w:r w:rsidRPr="00536E4B">
        <w:rPr>
          <w:rFonts w:ascii="Arial" w:hAnsi="Arial" w:cs="Arial"/>
          <w:sz w:val="20"/>
          <w:szCs w:val="20"/>
        </w:rPr>
        <w:t xml:space="preserve">O ente público deve proporcionar os meios de publicidade e inscrição em concurso </w:t>
      </w:r>
      <w:proofErr w:type="gramStart"/>
      <w:r w:rsidRPr="00536E4B">
        <w:rPr>
          <w:rFonts w:ascii="Arial" w:hAnsi="Arial" w:cs="Arial"/>
          <w:sz w:val="20"/>
          <w:szCs w:val="20"/>
        </w:rPr>
        <w:t>público adequados para concretização do livre acesso aos cargos públicos</w:t>
      </w:r>
      <w:proofErr w:type="gramEnd"/>
      <w:r w:rsidRPr="00536E4B">
        <w:rPr>
          <w:rFonts w:ascii="Arial" w:hAnsi="Arial" w:cs="Arial"/>
          <w:sz w:val="20"/>
          <w:szCs w:val="20"/>
        </w:rPr>
        <w:t xml:space="preserve">. Assim, cabe </w:t>
      </w:r>
      <w:r w:rsidR="00996CBA">
        <w:rPr>
          <w:rFonts w:ascii="Arial" w:hAnsi="Arial" w:cs="Arial"/>
          <w:sz w:val="20"/>
          <w:szCs w:val="20"/>
        </w:rPr>
        <w:t xml:space="preserve">a entidade </w:t>
      </w:r>
      <w:r w:rsidRPr="00536E4B">
        <w:rPr>
          <w:rFonts w:ascii="Arial" w:hAnsi="Arial" w:cs="Arial"/>
          <w:sz w:val="20"/>
          <w:szCs w:val="20"/>
        </w:rPr>
        <w:t xml:space="preserve">a adoção de normas e procedimentos para coibir a restrição ou </w:t>
      </w:r>
      <w:proofErr w:type="spellStart"/>
      <w:r w:rsidRPr="00536E4B">
        <w:rPr>
          <w:rFonts w:ascii="Arial" w:hAnsi="Arial" w:cs="Arial"/>
          <w:sz w:val="20"/>
          <w:szCs w:val="20"/>
        </w:rPr>
        <w:t>obstacularização</w:t>
      </w:r>
      <w:proofErr w:type="spellEnd"/>
      <w:r w:rsidRPr="00536E4B">
        <w:rPr>
          <w:rFonts w:ascii="Arial" w:hAnsi="Arial" w:cs="Arial"/>
          <w:sz w:val="20"/>
          <w:szCs w:val="20"/>
        </w:rPr>
        <w:t xml:space="preserve"> de inscrição de candidatos em concursos públicos, como a inscrição exclusivamente presencial e em horário restrito. </w:t>
      </w:r>
    </w:p>
    <w:p w:rsidR="00AE25D3" w:rsidRDefault="00AE25D3" w:rsidP="00536E4B">
      <w:pPr>
        <w:spacing w:after="0"/>
        <w:jc w:val="both"/>
        <w:rPr>
          <w:rFonts w:ascii="Arial" w:hAnsi="Arial" w:cs="Arial"/>
          <w:sz w:val="20"/>
          <w:szCs w:val="20"/>
        </w:rPr>
      </w:pPr>
    </w:p>
    <w:p w:rsidR="001E3417" w:rsidRPr="00536E4B" w:rsidRDefault="001E3417" w:rsidP="00536E4B">
      <w:pPr>
        <w:spacing w:after="0"/>
        <w:jc w:val="both"/>
        <w:rPr>
          <w:rFonts w:ascii="Arial" w:hAnsi="Arial" w:cs="Arial"/>
          <w:sz w:val="20"/>
          <w:szCs w:val="20"/>
        </w:rPr>
      </w:pPr>
      <w:r w:rsidRPr="00536E4B">
        <w:rPr>
          <w:rFonts w:ascii="Arial" w:hAnsi="Arial" w:cs="Arial"/>
          <w:sz w:val="20"/>
          <w:szCs w:val="20"/>
        </w:rPr>
        <w:t xml:space="preserve">Processo n° 210048/12 - </w:t>
      </w:r>
      <w:hyperlink r:id="rId9" w:history="1">
        <w:r w:rsidRPr="00536E4B">
          <w:rPr>
            <w:rStyle w:val="Hyperlink"/>
            <w:rFonts w:ascii="Arial" w:hAnsi="Arial" w:cs="Arial"/>
            <w:sz w:val="20"/>
            <w:szCs w:val="20"/>
          </w:rPr>
          <w:t xml:space="preserve">Acórdão n° 797/17 </w:t>
        </w:r>
        <w:r w:rsidR="00AE25D3">
          <w:rPr>
            <w:rStyle w:val="Hyperlink"/>
            <w:rFonts w:ascii="Arial" w:hAnsi="Arial" w:cs="Arial"/>
            <w:sz w:val="20"/>
            <w:szCs w:val="20"/>
          </w:rPr>
          <w:t>-</w:t>
        </w:r>
        <w:r w:rsidRPr="00536E4B">
          <w:rPr>
            <w:rStyle w:val="Hyperlink"/>
            <w:rFonts w:ascii="Arial" w:hAnsi="Arial" w:cs="Arial"/>
            <w:sz w:val="20"/>
            <w:szCs w:val="20"/>
          </w:rPr>
          <w:t xml:space="preserve"> Primeira Câmara</w:t>
        </w:r>
      </w:hyperlink>
      <w:r w:rsidRPr="00536E4B">
        <w:rPr>
          <w:rFonts w:ascii="Arial" w:hAnsi="Arial" w:cs="Arial"/>
          <w:sz w:val="20"/>
          <w:szCs w:val="20"/>
        </w:rPr>
        <w:t xml:space="preserve"> - Rel. Auditor Sérgio Ricardo Valadares Fonseca.</w:t>
      </w:r>
    </w:p>
    <w:p w:rsidR="001E3417" w:rsidRPr="00536E4B" w:rsidRDefault="001E3417" w:rsidP="00536E4B">
      <w:pPr>
        <w:spacing w:after="0"/>
        <w:jc w:val="both"/>
        <w:rPr>
          <w:rFonts w:ascii="Arial" w:hAnsi="Arial" w:cs="Arial"/>
          <w:sz w:val="20"/>
          <w:szCs w:val="20"/>
        </w:rPr>
      </w:pPr>
    </w:p>
    <w:p w:rsidR="001E3417" w:rsidRPr="00536E4B" w:rsidRDefault="001E3417" w:rsidP="00536E4B">
      <w:pPr>
        <w:spacing w:after="0"/>
        <w:jc w:val="both"/>
        <w:rPr>
          <w:rFonts w:ascii="Arial" w:hAnsi="Arial" w:cs="Arial"/>
          <w:b/>
          <w:sz w:val="20"/>
          <w:szCs w:val="20"/>
        </w:rPr>
      </w:pPr>
      <w:r w:rsidRPr="00050CCF">
        <w:rPr>
          <w:rFonts w:ascii="Arial" w:hAnsi="Arial" w:cs="Arial"/>
          <w:b/>
          <w:sz w:val="20"/>
          <w:szCs w:val="20"/>
        </w:rPr>
        <w:t>2.</w:t>
      </w:r>
      <w:r w:rsidRPr="00536E4B">
        <w:rPr>
          <w:rFonts w:ascii="Arial" w:hAnsi="Arial" w:cs="Arial"/>
          <w:sz w:val="20"/>
          <w:szCs w:val="20"/>
        </w:rPr>
        <w:t xml:space="preserve"> </w:t>
      </w:r>
      <w:r w:rsidRPr="00536E4B">
        <w:rPr>
          <w:rFonts w:ascii="Arial" w:hAnsi="Arial" w:cs="Arial"/>
          <w:b/>
          <w:sz w:val="20"/>
          <w:szCs w:val="20"/>
        </w:rPr>
        <w:t>Alerta. Lei de Responsabilidade Fiscal. Limite de gastos. Queda de Receita. Providências.</w:t>
      </w:r>
    </w:p>
    <w:p w:rsidR="001E3417" w:rsidRPr="00536E4B" w:rsidRDefault="001E3417" w:rsidP="00536E4B">
      <w:pPr>
        <w:spacing w:after="0"/>
        <w:jc w:val="both"/>
        <w:rPr>
          <w:rFonts w:ascii="Arial" w:hAnsi="Arial" w:cs="Arial"/>
          <w:b/>
          <w:sz w:val="20"/>
          <w:szCs w:val="20"/>
        </w:rPr>
      </w:pPr>
    </w:p>
    <w:p w:rsidR="0095728F" w:rsidRDefault="001E3417" w:rsidP="00536E4B">
      <w:pPr>
        <w:spacing w:after="0"/>
        <w:jc w:val="both"/>
        <w:rPr>
          <w:rFonts w:ascii="Arial" w:hAnsi="Arial" w:cs="Arial"/>
          <w:sz w:val="20"/>
          <w:szCs w:val="20"/>
        </w:rPr>
      </w:pPr>
      <w:r w:rsidRPr="00536E4B">
        <w:rPr>
          <w:rFonts w:ascii="Arial" w:hAnsi="Arial" w:cs="Arial"/>
          <w:sz w:val="20"/>
          <w:szCs w:val="20"/>
        </w:rPr>
        <w:t xml:space="preserve">A queda de arrecadação não isenta o Município da observância dos limites de gastos com pessoal previstos na LRF. As regras de responsabilidade fiscal não são aplicáveis apenas em períodos de fartura, mostrando-se até mais importantes para a Administração seu atendimento nos períodos de dificuldades, quando se observa baixa arrecadação, exigindo-se dos agentes públicos máxima eficiência na utilização dos recursos públicos. </w:t>
      </w:r>
    </w:p>
    <w:p w:rsidR="0095728F" w:rsidRDefault="0095728F" w:rsidP="00536E4B">
      <w:pPr>
        <w:spacing w:after="0"/>
        <w:jc w:val="both"/>
        <w:rPr>
          <w:rFonts w:ascii="Arial" w:hAnsi="Arial" w:cs="Arial"/>
          <w:sz w:val="20"/>
          <w:szCs w:val="20"/>
        </w:rPr>
      </w:pPr>
    </w:p>
    <w:p w:rsidR="001E3417" w:rsidRPr="00536E4B" w:rsidRDefault="001E3417" w:rsidP="00536E4B">
      <w:pPr>
        <w:spacing w:after="0"/>
        <w:jc w:val="both"/>
        <w:rPr>
          <w:rFonts w:ascii="Arial" w:hAnsi="Arial" w:cs="Arial"/>
          <w:sz w:val="20"/>
          <w:szCs w:val="20"/>
        </w:rPr>
      </w:pPr>
      <w:r w:rsidRPr="00536E4B">
        <w:rPr>
          <w:rFonts w:ascii="Arial" w:hAnsi="Arial" w:cs="Arial"/>
          <w:sz w:val="20"/>
          <w:szCs w:val="20"/>
        </w:rPr>
        <w:t xml:space="preserve">Dessa forma, diante da queda da arrecadação, a Administração deve adotar medidas para baixar os gastos e a própria LRF aponta possíveis providências a </w:t>
      </w:r>
      <w:proofErr w:type="gramStart"/>
      <w:r w:rsidRPr="00536E4B">
        <w:rPr>
          <w:rFonts w:ascii="Arial" w:hAnsi="Arial" w:cs="Arial"/>
          <w:sz w:val="20"/>
          <w:szCs w:val="20"/>
        </w:rPr>
        <w:t>serem</w:t>
      </w:r>
      <w:proofErr w:type="gramEnd"/>
      <w:r w:rsidRPr="00536E4B">
        <w:rPr>
          <w:rFonts w:ascii="Arial" w:hAnsi="Arial" w:cs="Arial"/>
          <w:sz w:val="20"/>
          <w:szCs w:val="20"/>
        </w:rPr>
        <w:t xml:space="preserve"> tomadas, como a suspensão de aumentos e reajustes de salários, redução temporária da jornada de trabalho com adequação proporcional dos salários, extinção de cargos e funções ou redução dos valores atribuídos a eles.</w:t>
      </w:r>
    </w:p>
    <w:p w:rsidR="001E3417" w:rsidRPr="00536E4B" w:rsidRDefault="001E3417" w:rsidP="00536E4B">
      <w:pPr>
        <w:spacing w:after="0"/>
        <w:jc w:val="both"/>
        <w:rPr>
          <w:rFonts w:ascii="Arial" w:hAnsi="Arial" w:cs="Arial"/>
          <w:sz w:val="20"/>
          <w:szCs w:val="20"/>
        </w:rPr>
      </w:pPr>
    </w:p>
    <w:p w:rsidR="001E3417" w:rsidRPr="00536E4B" w:rsidRDefault="001E3417" w:rsidP="00536E4B">
      <w:pPr>
        <w:spacing w:after="0"/>
        <w:jc w:val="both"/>
        <w:rPr>
          <w:rFonts w:ascii="Arial" w:hAnsi="Arial" w:cs="Arial"/>
          <w:sz w:val="20"/>
          <w:szCs w:val="20"/>
        </w:rPr>
      </w:pPr>
      <w:r w:rsidRPr="00536E4B">
        <w:rPr>
          <w:rFonts w:ascii="Arial" w:hAnsi="Arial" w:cs="Arial"/>
          <w:sz w:val="20"/>
          <w:szCs w:val="20"/>
        </w:rPr>
        <w:t xml:space="preserve">Processo n° 1014496/16 - </w:t>
      </w:r>
      <w:hyperlink r:id="rId10" w:history="1">
        <w:r w:rsidRPr="00536E4B">
          <w:rPr>
            <w:rStyle w:val="Hyperlink"/>
            <w:rFonts w:ascii="Arial" w:hAnsi="Arial" w:cs="Arial"/>
            <w:sz w:val="20"/>
            <w:szCs w:val="20"/>
          </w:rPr>
          <w:t xml:space="preserve">Acórdão n° 763/17 </w:t>
        </w:r>
        <w:r w:rsidR="004B12D5">
          <w:rPr>
            <w:rStyle w:val="Hyperlink"/>
            <w:rFonts w:ascii="Arial" w:hAnsi="Arial" w:cs="Arial"/>
            <w:sz w:val="20"/>
            <w:szCs w:val="20"/>
          </w:rPr>
          <w:t>-</w:t>
        </w:r>
        <w:r w:rsidRPr="00536E4B">
          <w:rPr>
            <w:rStyle w:val="Hyperlink"/>
            <w:rFonts w:ascii="Arial" w:hAnsi="Arial" w:cs="Arial"/>
            <w:sz w:val="20"/>
            <w:szCs w:val="20"/>
          </w:rPr>
          <w:t xml:space="preserve"> Primeira Câmara</w:t>
        </w:r>
      </w:hyperlink>
      <w:r w:rsidRPr="00536E4B">
        <w:rPr>
          <w:rFonts w:ascii="Arial" w:hAnsi="Arial" w:cs="Arial"/>
          <w:sz w:val="20"/>
          <w:szCs w:val="20"/>
        </w:rPr>
        <w:t xml:space="preserve"> - Rel. Conselheiro Fernando Augusto Mello Guimarães.</w:t>
      </w:r>
    </w:p>
    <w:p w:rsidR="00D03845" w:rsidRPr="00123D02" w:rsidRDefault="00D03845" w:rsidP="006375ED">
      <w:pPr>
        <w:spacing w:after="0"/>
        <w:jc w:val="both"/>
        <w:rPr>
          <w:rFonts w:ascii="Arial" w:hAnsi="Arial" w:cs="Arial"/>
          <w:sz w:val="20"/>
          <w:szCs w:val="20"/>
        </w:rPr>
      </w:pPr>
    </w:p>
    <w:p w:rsidR="00EC3842" w:rsidRPr="00722924" w:rsidRDefault="00EC3842" w:rsidP="00EC3842">
      <w:pPr>
        <w:shd w:val="pct10" w:color="auto" w:fill="auto"/>
        <w:jc w:val="center"/>
        <w:rPr>
          <w:rFonts w:ascii="Arial" w:hAnsi="Arial" w:cs="Arial"/>
          <w:b/>
        </w:rPr>
      </w:pPr>
      <w:r>
        <w:rPr>
          <w:rFonts w:ascii="Arial" w:hAnsi="Arial" w:cs="Arial"/>
          <w:b/>
        </w:rPr>
        <w:t>SEGUNDA</w:t>
      </w:r>
      <w:r w:rsidRPr="00722924">
        <w:rPr>
          <w:rFonts w:ascii="Arial" w:hAnsi="Arial" w:cs="Arial"/>
          <w:b/>
        </w:rPr>
        <w:t xml:space="preserve"> CÂMARA</w:t>
      </w:r>
    </w:p>
    <w:p w:rsidR="00781066" w:rsidRPr="001C3DF0" w:rsidRDefault="001B6F6D" w:rsidP="00F16A26">
      <w:pPr>
        <w:autoSpaceDE w:val="0"/>
        <w:autoSpaceDN w:val="0"/>
        <w:adjustRightInd w:val="0"/>
        <w:spacing w:after="0"/>
        <w:jc w:val="both"/>
        <w:rPr>
          <w:rFonts w:ascii="Arial" w:hAnsi="Arial" w:cs="Arial"/>
          <w:b/>
          <w:sz w:val="20"/>
          <w:szCs w:val="20"/>
        </w:rPr>
      </w:pPr>
      <w:r w:rsidRPr="001C3DF0">
        <w:rPr>
          <w:rFonts w:ascii="Arial" w:hAnsi="Arial" w:cs="Arial"/>
          <w:b/>
          <w:sz w:val="20"/>
          <w:szCs w:val="20"/>
        </w:rPr>
        <w:t xml:space="preserve">3. </w:t>
      </w:r>
      <w:r w:rsidR="00781066" w:rsidRPr="001C3DF0">
        <w:rPr>
          <w:rFonts w:ascii="Arial" w:hAnsi="Arial" w:cs="Arial"/>
          <w:b/>
          <w:sz w:val="20"/>
          <w:szCs w:val="20"/>
        </w:rPr>
        <w:t>Ato de Inativação. Câmara Municipal de Curitiba. Cálculo dos proventos em desacordo com o parecer do Instituto de Previdência dos Servidores do Município de Curitiba. Pela negativa de registro, com fixação de prazo para edição de novo ato.</w:t>
      </w:r>
    </w:p>
    <w:p w:rsidR="00781066" w:rsidRDefault="00781066" w:rsidP="00F16A26">
      <w:pPr>
        <w:autoSpaceDE w:val="0"/>
        <w:autoSpaceDN w:val="0"/>
        <w:adjustRightInd w:val="0"/>
        <w:spacing w:after="0"/>
        <w:jc w:val="both"/>
        <w:rPr>
          <w:rFonts w:ascii="Arial" w:hAnsi="Arial" w:cs="Arial"/>
          <w:sz w:val="20"/>
          <w:szCs w:val="20"/>
        </w:rPr>
      </w:pPr>
    </w:p>
    <w:p w:rsidR="00437205" w:rsidRDefault="00064935" w:rsidP="00F16A26">
      <w:pPr>
        <w:autoSpaceDE w:val="0"/>
        <w:autoSpaceDN w:val="0"/>
        <w:adjustRightInd w:val="0"/>
        <w:spacing w:after="0"/>
        <w:jc w:val="both"/>
        <w:rPr>
          <w:rFonts w:ascii="Arial" w:hAnsi="Arial" w:cs="Arial"/>
          <w:sz w:val="20"/>
          <w:szCs w:val="20"/>
        </w:rPr>
      </w:pPr>
      <w:r w:rsidRPr="001C3DF0">
        <w:rPr>
          <w:rFonts w:ascii="Arial" w:hAnsi="Arial" w:cs="Arial"/>
          <w:sz w:val="20"/>
          <w:szCs w:val="20"/>
        </w:rPr>
        <w:t>Os proventos da aposentadoria fundamentada no art. 3º da EC nº 47/2005 são calculados com base na totalidade da remuneração no cargo efetivo em que se deu a inativação, não faz jus o servidor à incorporação aos proventos de verbas transitórias incidentes sobre cargo distinto.</w:t>
      </w:r>
      <w:r w:rsidR="00437205">
        <w:rPr>
          <w:rFonts w:ascii="Arial" w:hAnsi="Arial" w:cs="Arial"/>
          <w:sz w:val="20"/>
          <w:szCs w:val="20"/>
        </w:rPr>
        <w:t xml:space="preserve"> </w:t>
      </w:r>
      <w:r w:rsidR="001C3DF0" w:rsidRPr="001C3DF0">
        <w:rPr>
          <w:rFonts w:ascii="Arial" w:hAnsi="Arial" w:cs="Arial"/>
          <w:sz w:val="20"/>
          <w:szCs w:val="20"/>
        </w:rPr>
        <w:t>Com efeito, o período de tempo de serviço prestado sob o regime</w:t>
      </w:r>
      <w:r w:rsidR="001C3DF0">
        <w:rPr>
          <w:rFonts w:ascii="Arial" w:hAnsi="Arial" w:cs="Arial"/>
          <w:sz w:val="20"/>
          <w:szCs w:val="20"/>
        </w:rPr>
        <w:t xml:space="preserve"> </w:t>
      </w:r>
      <w:r w:rsidR="001C3DF0" w:rsidRPr="001C3DF0">
        <w:rPr>
          <w:rFonts w:ascii="Arial" w:hAnsi="Arial" w:cs="Arial"/>
          <w:sz w:val="20"/>
          <w:szCs w:val="20"/>
        </w:rPr>
        <w:t>celetista, de 02/06/1976 a 01/09/1984, não poderá</w:t>
      </w:r>
      <w:r w:rsidR="001C3DF0">
        <w:rPr>
          <w:rFonts w:ascii="Arial" w:hAnsi="Arial" w:cs="Arial"/>
          <w:sz w:val="20"/>
          <w:szCs w:val="20"/>
        </w:rPr>
        <w:t xml:space="preserve"> </w:t>
      </w:r>
      <w:r w:rsidR="001C3DF0" w:rsidRPr="001C3DF0">
        <w:rPr>
          <w:rFonts w:ascii="Arial" w:hAnsi="Arial" w:cs="Arial"/>
          <w:sz w:val="20"/>
          <w:szCs w:val="20"/>
        </w:rPr>
        <w:t xml:space="preserve">ser considerado para a composição da Gratificação da Lei Municipal nº </w:t>
      </w:r>
      <w:r w:rsidR="001C3DF0" w:rsidRPr="001C3DF0">
        <w:rPr>
          <w:rFonts w:ascii="Arial" w:hAnsi="Arial" w:cs="Arial"/>
          <w:sz w:val="20"/>
          <w:szCs w:val="20"/>
        </w:rPr>
        <w:lastRenderedPageBreak/>
        <w:t>10.817/03,</w:t>
      </w:r>
      <w:r w:rsidR="001C3DF0">
        <w:rPr>
          <w:rFonts w:ascii="Arial" w:hAnsi="Arial" w:cs="Arial"/>
          <w:sz w:val="20"/>
          <w:szCs w:val="20"/>
        </w:rPr>
        <w:t xml:space="preserve"> </w:t>
      </w:r>
      <w:r w:rsidR="001C3DF0" w:rsidRPr="001C3DF0">
        <w:rPr>
          <w:rFonts w:ascii="Arial" w:hAnsi="Arial" w:cs="Arial"/>
          <w:sz w:val="20"/>
          <w:szCs w:val="20"/>
        </w:rPr>
        <w:t>não apenas pelo fato de a contribuição ter sido destinada ao INSS e não ao IPMC,</w:t>
      </w:r>
      <w:r w:rsidR="001C3DF0">
        <w:rPr>
          <w:rFonts w:ascii="Arial" w:hAnsi="Arial" w:cs="Arial"/>
          <w:sz w:val="20"/>
          <w:szCs w:val="20"/>
        </w:rPr>
        <w:t xml:space="preserve"> </w:t>
      </w:r>
      <w:r w:rsidR="001C3DF0" w:rsidRPr="001C3DF0">
        <w:rPr>
          <w:rFonts w:ascii="Arial" w:hAnsi="Arial" w:cs="Arial"/>
          <w:sz w:val="20"/>
          <w:szCs w:val="20"/>
        </w:rPr>
        <w:t>mas, também, em razão de o servidor somente ter passado a compor o quadro</w:t>
      </w:r>
      <w:r w:rsidR="001C3DF0">
        <w:rPr>
          <w:rFonts w:ascii="Arial" w:hAnsi="Arial" w:cs="Arial"/>
          <w:sz w:val="20"/>
          <w:szCs w:val="20"/>
        </w:rPr>
        <w:t xml:space="preserve"> </w:t>
      </w:r>
      <w:r w:rsidR="001C3DF0" w:rsidRPr="001C3DF0">
        <w:rPr>
          <w:rFonts w:ascii="Arial" w:hAnsi="Arial" w:cs="Arial"/>
          <w:sz w:val="20"/>
          <w:szCs w:val="20"/>
        </w:rPr>
        <w:t>efetivo da Câmara Municipal em 01/09/1984</w:t>
      </w:r>
      <w:r w:rsidR="00E85746">
        <w:rPr>
          <w:rFonts w:ascii="Arial" w:hAnsi="Arial" w:cs="Arial"/>
          <w:sz w:val="20"/>
          <w:szCs w:val="20"/>
        </w:rPr>
        <w:t xml:space="preserve">, </w:t>
      </w:r>
      <w:r w:rsidR="001C3DF0" w:rsidRPr="001C3DF0">
        <w:rPr>
          <w:rFonts w:ascii="Arial" w:hAnsi="Arial" w:cs="Arial"/>
          <w:sz w:val="20"/>
          <w:szCs w:val="20"/>
        </w:rPr>
        <w:t>sob o regime estatutário.</w:t>
      </w:r>
      <w:r w:rsidR="00437205">
        <w:rPr>
          <w:rFonts w:ascii="Arial" w:hAnsi="Arial" w:cs="Arial"/>
          <w:sz w:val="20"/>
          <w:szCs w:val="20"/>
        </w:rPr>
        <w:t xml:space="preserve"> </w:t>
      </w:r>
    </w:p>
    <w:p w:rsidR="00437205" w:rsidRDefault="00437205" w:rsidP="00F16A26">
      <w:pPr>
        <w:autoSpaceDE w:val="0"/>
        <w:autoSpaceDN w:val="0"/>
        <w:adjustRightInd w:val="0"/>
        <w:spacing w:after="0"/>
        <w:jc w:val="both"/>
        <w:rPr>
          <w:rFonts w:ascii="Arial" w:hAnsi="Arial" w:cs="Arial"/>
          <w:sz w:val="20"/>
          <w:szCs w:val="20"/>
        </w:rPr>
      </w:pPr>
    </w:p>
    <w:p w:rsidR="00E85746" w:rsidRDefault="00E85746" w:rsidP="00F16A26">
      <w:pPr>
        <w:autoSpaceDE w:val="0"/>
        <w:autoSpaceDN w:val="0"/>
        <w:adjustRightInd w:val="0"/>
        <w:spacing w:after="0"/>
        <w:jc w:val="both"/>
        <w:rPr>
          <w:rFonts w:ascii="Arial" w:hAnsi="Arial" w:cs="Arial"/>
          <w:sz w:val="20"/>
          <w:szCs w:val="20"/>
        </w:rPr>
      </w:pPr>
      <w:r w:rsidRPr="00437205">
        <w:rPr>
          <w:rFonts w:ascii="Arial" w:hAnsi="Arial" w:cs="Arial"/>
          <w:sz w:val="20"/>
          <w:szCs w:val="20"/>
        </w:rPr>
        <w:t>Já com relação à necessidade de consideração em separado das</w:t>
      </w:r>
      <w:r w:rsidR="00437205">
        <w:rPr>
          <w:rFonts w:ascii="Arial" w:hAnsi="Arial" w:cs="Arial"/>
          <w:sz w:val="20"/>
          <w:szCs w:val="20"/>
        </w:rPr>
        <w:t xml:space="preserve"> </w:t>
      </w:r>
      <w:r w:rsidRPr="00437205">
        <w:rPr>
          <w:rFonts w:ascii="Arial" w:hAnsi="Arial" w:cs="Arial"/>
          <w:sz w:val="20"/>
          <w:szCs w:val="20"/>
        </w:rPr>
        <w:t>verbas correspondentes aos símbolos CA2 e FG7 para fins de incorporação aos</w:t>
      </w:r>
      <w:r w:rsidR="00437205">
        <w:rPr>
          <w:rFonts w:ascii="Arial" w:hAnsi="Arial" w:cs="Arial"/>
          <w:sz w:val="20"/>
          <w:szCs w:val="20"/>
        </w:rPr>
        <w:t xml:space="preserve"> </w:t>
      </w:r>
      <w:r w:rsidRPr="00437205">
        <w:rPr>
          <w:rFonts w:ascii="Arial" w:hAnsi="Arial" w:cs="Arial"/>
          <w:sz w:val="20"/>
          <w:szCs w:val="20"/>
        </w:rPr>
        <w:t xml:space="preserve">proventos, mostra-se pertinente </w:t>
      </w:r>
      <w:proofErr w:type="gramStart"/>
      <w:r w:rsidRPr="00437205">
        <w:rPr>
          <w:rFonts w:ascii="Arial" w:hAnsi="Arial" w:cs="Arial"/>
          <w:sz w:val="20"/>
          <w:szCs w:val="20"/>
        </w:rPr>
        <w:t>a</w:t>
      </w:r>
      <w:proofErr w:type="gramEnd"/>
      <w:r w:rsidRPr="00437205">
        <w:rPr>
          <w:rFonts w:ascii="Arial" w:hAnsi="Arial" w:cs="Arial"/>
          <w:sz w:val="20"/>
          <w:szCs w:val="20"/>
        </w:rPr>
        <w:t xml:space="preserve"> recomendação do IPMC, de modo que, a partir da</w:t>
      </w:r>
      <w:r w:rsidR="00437205">
        <w:rPr>
          <w:rFonts w:ascii="Arial" w:hAnsi="Arial" w:cs="Arial"/>
          <w:sz w:val="20"/>
          <w:szCs w:val="20"/>
        </w:rPr>
        <w:t xml:space="preserve"> </w:t>
      </w:r>
      <w:r w:rsidRPr="00437205">
        <w:rPr>
          <w:rFonts w:ascii="Arial" w:hAnsi="Arial" w:cs="Arial"/>
          <w:sz w:val="20"/>
          <w:szCs w:val="20"/>
        </w:rPr>
        <w:t>demonstração da base de cálculo e do tempo de contribuição de cada uma das</w:t>
      </w:r>
      <w:r w:rsidR="00437205">
        <w:rPr>
          <w:rFonts w:ascii="Arial" w:hAnsi="Arial" w:cs="Arial"/>
          <w:sz w:val="20"/>
          <w:szCs w:val="20"/>
        </w:rPr>
        <w:t xml:space="preserve"> </w:t>
      </w:r>
      <w:r w:rsidRPr="00437205">
        <w:rPr>
          <w:rFonts w:ascii="Arial" w:hAnsi="Arial" w:cs="Arial"/>
          <w:sz w:val="20"/>
          <w:szCs w:val="20"/>
        </w:rPr>
        <w:t>verbas, se garanta o atendimento ao princípio contributivo</w:t>
      </w:r>
      <w:r w:rsidR="00437205">
        <w:rPr>
          <w:rFonts w:ascii="Arial" w:hAnsi="Arial" w:cs="Arial"/>
          <w:sz w:val="20"/>
          <w:szCs w:val="20"/>
        </w:rPr>
        <w:t>.</w:t>
      </w:r>
    </w:p>
    <w:p w:rsidR="00AC4B53" w:rsidRDefault="00AC4B53" w:rsidP="00F16A26">
      <w:pPr>
        <w:autoSpaceDE w:val="0"/>
        <w:autoSpaceDN w:val="0"/>
        <w:adjustRightInd w:val="0"/>
        <w:spacing w:after="0"/>
        <w:jc w:val="both"/>
        <w:rPr>
          <w:rFonts w:ascii="Arial" w:hAnsi="Arial" w:cs="Arial"/>
          <w:sz w:val="20"/>
          <w:szCs w:val="20"/>
        </w:rPr>
      </w:pPr>
    </w:p>
    <w:p w:rsidR="00AC4B53" w:rsidRDefault="00AC4B53" w:rsidP="00F16A26">
      <w:pPr>
        <w:autoSpaceDE w:val="0"/>
        <w:autoSpaceDN w:val="0"/>
        <w:adjustRightInd w:val="0"/>
        <w:spacing w:after="0"/>
        <w:jc w:val="both"/>
        <w:rPr>
          <w:rFonts w:ascii="Arial" w:hAnsi="Arial" w:cs="Arial"/>
          <w:sz w:val="20"/>
          <w:szCs w:val="20"/>
        </w:rPr>
      </w:pPr>
      <w:r>
        <w:rPr>
          <w:rFonts w:ascii="Arial" w:hAnsi="Arial" w:cs="Arial"/>
          <w:sz w:val="20"/>
          <w:szCs w:val="20"/>
        </w:rPr>
        <w:t xml:space="preserve">Processo n° </w:t>
      </w:r>
      <w:r w:rsidR="00285FE4">
        <w:rPr>
          <w:rFonts w:ascii="Arial" w:hAnsi="Arial" w:cs="Arial"/>
          <w:sz w:val="20"/>
          <w:szCs w:val="20"/>
        </w:rPr>
        <w:t>747006</w:t>
      </w:r>
      <w:r>
        <w:rPr>
          <w:rFonts w:ascii="Arial" w:hAnsi="Arial" w:cs="Arial"/>
          <w:sz w:val="20"/>
          <w:szCs w:val="20"/>
        </w:rPr>
        <w:t>/1</w:t>
      </w:r>
      <w:r w:rsidR="00285FE4">
        <w:rPr>
          <w:rFonts w:ascii="Arial" w:hAnsi="Arial" w:cs="Arial"/>
          <w:sz w:val="20"/>
          <w:szCs w:val="20"/>
        </w:rPr>
        <w:t>4</w:t>
      </w:r>
      <w:r>
        <w:rPr>
          <w:rFonts w:ascii="Arial" w:hAnsi="Arial" w:cs="Arial"/>
          <w:sz w:val="20"/>
          <w:szCs w:val="20"/>
        </w:rPr>
        <w:t xml:space="preserve"> </w:t>
      </w:r>
      <w:r w:rsidR="00A6474D">
        <w:rPr>
          <w:rFonts w:ascii="Arial" w:hAnsi="Arial" w:cs="Arial"/>
          <w:sz w:val="20"/>
          <w:szCs w:val="20"/>
        </w:rPr>
        <w:t xml:space="preserve">- </w:t>
      </w:r>
      <w:hyperlink r:id="rId11" w:history="1">
        <w:r w:rsidR="00A6474D" w:rsidRPr="007D21C0">
          <w:rPr>
            <w:rStyle w:val="Hyperlink"/>
            <w:rFonts w:ascii="Arial" w:hAnsi="Arial" w:cs="Arial"/>
            <w:sz w:val="20"/>
            <w:szCs w:val="20"/>
          </w:rPr>
          <w:t>Acórdão n° 855/17 - Segunda Câmara</w:t>
        </w:r>
      </w:hyperlink>
      <w:r w:rsidR="00A6474D">
        <w:rPr>
          <w:rFonts w:ascii="Arial" w:hAnsi="Arial" w:cs="Arial"/>
          <w:sz w:val="20"/>
          <w:szCs w:val="20"/>
        </w:rPr>
        <w:t xml:space="preserve"> - Rel. Conselheiro Ivens Zschoerper Linhares. </w:t>
      </w:r>
    </w:p>
    <w:p w:rsidR="00034FD3" w:rsidRDefault="00034FD3" w:rsidP="00F16A26">
      <w:pPr>
        <w:autoSpaceDE w:val="0"/>
        <w:autoSpaceDN w:val="0"/>
        <w:adjustRightInd w:val="0"/>
        <w:spacing w:after="0"/>
        <w:jc w:val="both"/>
        <w:rPr>
          <w:rFonts w:ascii="Arial" w:hAnsi="Arial" w:cs="Arial"/>
          <w:sz w:val="20"/>
          <w:szCs w:val="20"/>
        </w:rPr>
      </w:pPr>
    </w:p>
    <w:p w:rsidR="006B772D" w:rsidRDefault="006B772D" w:rsidP="00F16A26">
      <w:pPr>
        <w:autoSpaceDE w:val="0"/>
        <w:autoSpaceDN w:val="0"/>
        <w:adjustRightInd w:val="0"/>
        <w:spacing w:after="0"/>
        <w:jc w:val="both"/>
        <w:rPr>
          <w:rFonts w:ascii="Arial,Bold" w:hAnsi="Arial,Bold" w:cs="Arial,Bold"/>
          <w:b/>
          <w:bCs/>
          <w:sz w:val="20"/>
          <w:szCs w:val="20"/>
        </w:rPr>
      </w:pPr>
      <w:r w:rsidRPr="00AD5D72">
        <w:rPr>
          <w:rFonts w:ascii="Arial" w:hAnsi="Arial" w:cs="Arial"/>
          <w:b/>
          <w:sz w:val="20"/>
          <w:szCs w:val="20"/>
        </w:rPr>
        <w:t xml:space="preserve">4 - </w:t>
      </w:r>
      <w:r w:rsidR="000B785D" w:rsidRPr="001C3DF0">
        <w:rPr>
          <w:rFonts w:ascii="Arial" w:hAnsi="Arial" w:cs="Arial"/>
          <w:b/>
          <w:sz w:val="20"/>
          <w:szCs w:val="20"/>
        </w:rPr>
        <w:t>Ato de Inativação</w:t>
      </w:r>
      <w:r w:rsidRPr="00AD5D72">
        <w:rPr>
          <w:rFonts w:ascii="Arial" w:hAnsi="Arial" w:cs="Arial"/>
          <w:b/>
          <w:sz w:val="20"/>
          <w:szCs w:val="20"/>
        </w:rPr>
        <w:t>. Adicional</w:t>
      </w:r>
      <w:r w:rsidR="00A36211" w:rsidRPr="00AD5D72">
        <w:rPr>
          <w:rFonts w:ascii="Arial" w:hAnsi="Arial" w:cs="Arial"/>
          <w:b/>
          <w:sz w:val="20"/>
          <w:szCs w:val="20"/>
        </w:rPr>
        <w:t xml:space="preserve"> </w:t>
      </w:r>
      <w:r w:rsidRPr="00AD5D72">
        <w:rPr>
          <w:rFonts w:ascii="Arial" w:hAnsi="Arial" w:cs="Arial"/>
          <w:b/>
          <w:sz w:val="20"/>
          <w:szCs w:val="20"/>
        </w:rPr>
        <w:t>de Enquadramento. Incorporação diretamente à</w:t>
      </w:r>
      <w:r w:rsidR="00A36211" w:rsidRPr="00AD5D72">
        <w:rPr>
          <w:rFonts w:ascii="Arial" w:hAnsi="Arial" w:cs="Arial"/>
          <w:b/>
          <w:sz w:val="20"/>
          <w:szCs w:val="20"/>
        </w:rPr>
        <w:t xml:space="preserve"> </w:t>
      </w:r>
      <w:r w:rsidRPr="00AD5D72">
        <w:rPr>
          <w:rFonts w:ascii="Arial" w:hAnsi="Arial" w:cs="Arial"/>
          <w:b/>
          <w:sz w:val="20"/>
          <w:szCs w:val="20"/>
        </w:rPr>
        <w:t>remuneração e não apenas aos proventos.</w:t>
      </w:r>
      <w:r w:rsidR="00A36211" w:rsidRPr="00AD5D72">
        <w:rPr>
          <w:rFonts w:ascii="Arial" w:hAnsi="Arial" w:cs="Arial"/>
          <w:b/>
          <w:sz w:val="20"/>
          <w:szCs w:val="20"/>
        </w:rPr>
        <w:t xml:space="preserve"> </w:t>
      </w:r>
      <w:r w:rsidRPr="00AD5D72">
        <w:rPr>
          <w:rFonts w:ascii="Arial" w:hAnsi="Arial" w:cs="Arial"/>
          <w:b/>
          <w:sz w:val="20"/>
          <w:szCs w:val="20"/>
        </w:rPr>
        <w:t xml:space="preserve">Desnecessidade de </w:t>
      </w:r>
      <w:proofErr w:type="spellStart"/>
      <w:r w:rsidRPr="00AD5D72">
        <w:rPr>
          <w:rFonts w:ascii="Arial" w:hAnsi="Arial" w:cs="Arial"/>
          <w:b/>
          <w:sz w:val="20"/>
          <w:szCs w:val="20"/>
        </w:rPr>
        <w:t>proporcionalização</w:t>
      </w:r>
      <w:proofErr w:type="spellEnd"/>
      <w:r w:rsidRPr="00AD5D72">
        <w:rPr>
          <w:rFonts w:ascii="Arial" w:hAnsi="Arial" w:cs="Arial"/>
          <w:b/>
          <w:sz w:val="20"/>
          <w:szCs w:val="20"/>
        </w:rPr>
        <w:t xml:space="preserve"> da verba,</w:t>
      </w:r>
      <w:r w:rsidR="00A36211" w:rsidRPr="00AD5D72">
        <w:rPr>
          <w:rFonts w:ascii="Arial" w:hAnsi="Arial" w:cs="Arial"/>
          <w:b/>
          <w:sz w:val="20"/>
          <w:szCs w:val="20"/>
        </w:rPr>
        <w:t xml:space="preserve"> </w:t>
      </w:r>
      <w:r w:rsidRPr="00AD5D72">
        <w:rPr>
          <w:rFonts w:ascii="Arial" w:hAnsi="Arial" w:cs="Arial"/>
          <w:b/>
          <w:sz w:val="20"/>
          <w:szCs w:val="20"/>
        </w:rPr>
        <w:t xml:space="preserve">conforme decisões anteriores desta Corte. </w:t>
      </w:r>
      <w:r w:rsidRPr="00AD5D72">
        <w:rPr>
          <w:rFonts w:ascii="Arial,Bold" w:hAnsi="Arial,Bold" w:cs="Arial,Bold"/>
          <w:b/>
          <w:bCs/>
          <w:sz w:val="20"/>
          <w:szCs w:val="20"/>
        </w:rPr>
        <w:t>Registro do</w:t>
      </w:r>
      <w:r w:rsidR="00A36211" w:rsidRPr="00AD5D72">
        <w:rPr>
          <w:rFonts w:ascii="Arial,Bold" w:hAnsi="Arial,Bold" w:cs="Arial,Bold"/>
          <w:b/>
          <w:bCs/>
          <w:sz w:val="20"/>
          <w:szCs w:val="20"/>
        </w:rPr>
        <w:t xml:space="preserve"> </w:t>
      </w:r>
      <w:r w:rsidRPr="00AD5D72">
        <w:rPr>
          <w:rFonts w:ascii="Arial,Bold" w:hAnsi="Arial,Bold" w:cs="Arial,Bold"/>
          <w:b/>
          <w:bCs/>
          <w:sz w:val="20"/>
          <w:szCs w:val="20"/>
        </w:rPr>
        <w:t>Ato de Inativação com recomendação ao Município.</w:t>
      </w:r>
    </w:p>
    <w:p w:rsidR="00906F79" w:rsidRDefault="00906F79" w:rsidP="00F16A26">
      <w:pPr>
        <w:autoSpaceDE w:val="0"/>
        <w:autoSpaceDN w:val="0"/>
        <w:adjustRightInd w:val="0"/>
        <w:spacing w:after="0"/>
        <w:jc w:val="both"/>
        <w:rPr>
          <w:rFonts w:ascii="Arial,Bold" w:hAnsi="Arial,Bold" w:cs="Arial,Bold"/>
          <w:b/>
          <w:bCs/>
          <w:sz w:val="20"/>
          <w:szCs w:val="20"/>
        </w:rPr>
      </w:pPr>
    </w:p>
    <w:p w:rsidR="00906F79" w:rsidRDefault="00906F79" w:rsidP="00F16A26">
      <w:pPr>
        <w:autoSpaceDE w:val="0"/>
        <w:autoSpaceDN w:val="0"/>
        <w:adjustRightInd w:val="0"/>
        <w:spacing w:after="0"/>
        <w:jc w:val="both"/>
        <w:rPr>
          <w:rFonts w:ascii="Arial" w:hAnsi="Arial" w:cs="Arial"/>
          <w:sz w:val="20"/>
          <w:szCs w:val="20"/>
        </w:rPr>
      </w:pPr>
      <w:r w:rsidRPr="00906F79">
        <w:rPr>
          <w:rFonts w:ascii="Arial" w:hAnsi="Arial" w:cs="Arial"/>
          <w:sz w:val="20"/>
          <w:szCs w:val="20"/>
        </w:rPr>
        <w:t xml:space="preserve">Nota-se que </w:t>
      </w:r>
      <w:r w:rsidR="00185C68">
        <w:rPr>
          <w:rFonts w:ascii="Arial" w:hAnsi="Arial" w:cs="Arial"/>
          <w:sz w:val="20"/>
          <w:szCs w:val="20"/>
        </w:rPr>
        <w:t xml:space="preserve">a entidade </w:t>
      </w:r>
      <w:r w:rsidRPr="00906F79">
        <w:rPr>
          <w:rFonts w:ascii="Arial" w:hAnsi="Arial" w:cs="Arial"/>
          <w:sz w:val="20"/>
          <w:szCs w:val="20"/>
        </w:rPr>
        <w:t>criou uma verba permanente a</w:t>
      </w:r>
      <w:r w:rsidR="00F04984">
        <w:rPr>
          <w:rFonts w:ascii="Arial" w:hAnsi="Arial" w:cs="Arial"/>
          <w:sz w:val="20"/>
          <w:szCs w:val="20"/>
        </w:rPr>
        <w:t xml:space="preserve"> </w:t>
      </w:r>
      <w:r w:rsidRPr="00906F79">
        <w:rPr>
          <w:rFonts w:ascii="Arial" w:hAnsi="Arial" w:cs="Arial"/>
          <w:sz w:val="20"/>
          <w:szCs w:val="20"/>
        </w:rPr>
        <w:t>partir da percepção de verbas transitórias. Considerando, contudo, que o adicional</w:t>
      </w:r>
      <w:r w:rsidR="00F04984">
        <w:rPr>
          <w:rFonts w:ascii="Arial" w:hAnsi="Arial" w:cs="Arial"/>
          <w:sz w:val="20"/>
          <w:szCs w:val="20"/>
        </w:rPr>
        <w:t xml:space="preserve"> </w:t>
      </w:r>
      <w:r w:rsidRPr="00906F79">
        <w:rPr>
          <w:rFonts w:ascii="Arial" w:hAnsi="Arial" w:cs="Arial"/>
          <w:sz w:val="20"/>
          <w:szCs w:val="20"/>
        </w:rPr>
        <w:t>de enquadramento se incorpora diretamente à remuneração e não apenas aos</w:t>
      </w:r>
      <w:r w:rsidR="00F04984">
        <w:rPr>
          <w:rFonts w:ascii="Arial" w:hAnsi="Arial" w:cs="Arial"/>
          <w:sz w:val="20"/>
          <w:szCs w:val="20"/>
        </w:rPr>
        <w:t xml:space="preserve"> </w:t>
      </w:r>
      <w:r w:rsidRPr="00906F79">
        <w:rPr>
          <w:rFonts w:ascii="Arial" w:hAnsi="Arial" w:cs="Arial"/>
          <w:sz w:val="20"/>
          <w:szCs w:val="20"/>
        </w:rPr>
        <w:t xml:space="preserve">proventos, não há de se aplicar o princípio da </w:t>
      </w:r>
      <w:proofErr w:type="spellStart"/>
      <w:r w:rsidRPr="00906F79">
        <w:rPr>
          <w:rFonts w:ascii="Arial" w:hAnsi="Arial" w:cs="Arial"/>
          <w:sz w:val="20"/>
          <w:szCs w:val="20"/>
        </w:rPr>
        <w:t>contributividade</w:t>
      </w:r>
      <w:proofErr w:type="spellEnd"/>
      <w:r w:rsidRPr="00906F79">
        <w:rPr>
          <w:rFonts w:ascii="Arial" w:hAnsi="Arial" w:cs="Arial"/>
          <w:sz w:val="20"/>
          <w:szCs w:val="20"/>
        </w:rPr>
        <w:t xml:space="preserve"> neste caso, sendo</w:t>
      </w:r>
      <w:r w:rsidR="00F04984">
        <w:rPr>
          <w:rFonts w:ascii="Arial" w:hAnsi="Arial" w:cs="Arial"/>
          <w:sz w:val="20"/>
          <w:szCs w:val="20"/>
        </w:rPr>
        <w:t xml:space="preserve"> </w:t>
      </w:r>
      <w:r w:rsidRPr="00906F79">
        <w:rPr>
          <w:rFonts w:ascii="Arial" w:hAnsi="Arial" w:cs="Arial"/>
          <w:sz w:val="20"/>
          <w:szCs w:val="20"/>
        </w:rPr>
        <w:t xml:space="preserve">descabida a </w:t>
      </w:r>
      <w:proofErr w:type="spellStart"/>
      <w:r w:rsidRPr="00906F79">
        <w:rPr>
          <w:rFonts w:ascii="Arial" w:hAnsi="Arial" w:cs="Arial"/>
          <w:sz w:val="20"/>
          <w:szCs w:val="20"/>
        </w:rPr>
        <w:t>proporcionalização</w:t>
      </w:r>
      <w:proofErr w:type="spellEnd"/>
      <w:r w:rsidRPr="00906F79">
        <w:rPr>
          <w:rFonts w:ascii="Arial" w:hAnsi="Arial" w:cs="Arial"/>
          <w:sz w:val="20"/>
          <w:szCs w:val="20"/>
        </w:rPr>
        <w:t xml:space="preserve"> da verba, vez que a concessão do referido adicional</w:t>
      </w:r>
      <w:r w:rsidR="00F04984">
        <w:rPr>
          <w:rFonts w:ascii="Arial" w:hAnsi="Arial" w:cs="Arial"/>
          <w:sz w:val="20"/>
          <w:szCs w:val="20"/>
        </w:rPr>
        <w:t xml:space="preserve"> </w:t>
      </w:r>
      <w:r w:rsidRPr="00906F79">
        <w:rPr>
          <w:rFonts w:ascii="Arial" w:hAnsi="Arial" w:cs="Arial"/>
          <w:sz w:val="20"/>
          <w:szCs w:val="20"/>
        </w:rPr>
        <w:t>adveio de expressa previsão legal.</w:t>
      </w:r>
    </w:p>
    <w:p w:rsidR="00F04984" w:rsidRPr="00906F79" w:rsidRDefault="00F04984" w:rsidP="00F16A26">
      <w:pPr>
        <w:autoSpaceDE w:val="0"/>
        <w:autoSpaceDN w:val="0"/>
        <w:adjustRightInd w:val="0"/>
        <w:spacing w:after="0"/>
        <w:jc w:val="both"/>
        <w:rPr>
          <w:rFonts w:ascii="Arial" w:hAnsi="Arial" w:cs="Arial"/>
          <w:sz w:val="20"/>
          <w:szCs w:val="20"/>
        </w:rPr>
      </w:pPr>
    </w:p>
    <w:p w:rsidR="00906F79" w:rsidRDefault="00906F79" w:rsidP="00F16A26">
      <w:pPr>
        <w:autoSpaceDE w:val="0"/>
        <w:autoSpaceDN w:val="0"/>
        <w:adjustRightInd w:val="0"/>
        <w:spacing w:after="0"/>
        <w:jc w:val="both"/>
        <w:rPr>
          <w:rFonts w:ascii="Arial" w:hAnsi="Arial" w:cs="Arial"/>
          <w:sz w:val="20"/>
          <w:szCs w:val="20"/>
        </w:rPr>
      </w:pPr>
      <w:r w:rsidRPr="00906F79">
        <w:rPr>
          <w:rFonts w:ascii="Arial" w:hAnsi="Arial" w:cs="Arial"/>
          <w:sz w:val="20"/>
          <w:szCs w:val="20"/>
        </w:rPr>
        <w:t xml:space="preserve">Questão semelhante foi discutida no Acórdão nº 1.536/15 </w:t>
      </w:r>
      <w:r w:rsidR="00F04984">
        <w:rPr>
          <w:rFonts w:ascii="Arial" w:hAnsi="Arial" w:cs="Arial"/>
          <w:sz w:val="20"/>
          <w:szCs w:val="20"/>
        </w:rPr>
        <w:t>-</w:t>
      </w:r>
      <w:r w:rsidRPr="00906F79">
        <w:rPr>
          <w:rFonts w:ascii="Arial" w:hAnsi="Arial" w:cs="Arial"/>
          <w:sz w:val="20"/>
          <w:szCs w:val="20"/>
        </w:rPr>
        <w:t xml:space="preserve"> Primeira</w:t>
      </w:r>
      <w:r w:rsidR="00F04984">
        <w:rPr>
          <w:rFonts w:ascii="Arial" w:hAnsi="Arial" w:cs="Arial"/>
          <w:sz w:val="20"/>
          <w:szCs w:val="20"/>
        </w:rPr>
        <w:t xml:space="preserve"> </w:t>
      </w:r>
      <w:r w:rsidRPr="00906F79">
        <w:rPr>
          <w:rFonts w:ascii="Arial" w:hAnsi="Arial" w:cs="Arial"/>
          <w:sz w:val="20"/>
          <w:szCs w:val="20"/>
        </w:rPr>
        <w:t>Câmara (Conselheiro Ivens Zschoerper Linhares)</w:t>
      </w:r>
      <w:r w:rsidR="00F04984">
        <w:rPr>
          <w:rFonts w:ascii="Arial" w:hAnsi="Arial" w:cs="Arial"/>
          <w:sz w:val="20"/>
          <w:szCs w:val="20"/>
        </w:rPr>
        <w:t xml:space="preserve"> </w:t>
      </w:r>
      <w:r w:rsidRPr="00906F79">
        <w:rPr>
          <w:rFonts w:ascii="Arial" w:hAnsi="Arial" w:cs="Arial"/>
          <w:sz w:val="20"/>
          <w:szCs w:val="20"/>
        </w:rPr>
        <w:t>que, julgando incorporação de</w:t>
      </w:r>
      <w:r w:rsidR="00F04984">
        <w:rPr>
          <w:rFonts w:ascii="Arial" w:hAnsi="Arial" w:cs="Arial"/>
          <w:sz w:val="20"/>
          <w:szCs w:val="20"/>
        </w:rPr>
        <w:t xml:space="preserve"> </w:t>
      </w:r>
      <w:r w:rsidRPr="00906F79">
        <w:rPr>
          <w:rFonts w:ascii="Arial" w:hAnsi="Arial" w:cs="Arial"/>
          <w:sz w:val="20"/>
          <w:szCs w:val="20"/>
        </w:rPr>
        <w:t>verba em aposentadoria do Instituto de Previdência, Pensões e Aposentadorias dos</w:t>
      </w:r>
      <w:r w:rsidR="00F04984">
        <w:rPr>
          <w:rFonts w:ascii="Arial" w:hAnsi="Arial" w:cs="Arial"/>
          <w:sz w:val="20"/>
          <w:szCs w:val="20"/>
        </w:rPr>
        <w:t xml:space="preserve"> </w:t>
      </w:r>
      <w:r w:rsidRPr="00906F79">
        <w:rPr>
          <w:rFonts w:ascii="Arial" w:hAnsi="Arial" w:cs="Arial"/>
          <w:sz w:val="20"/>
          <w:szCs w:val="20"/>
        </w:rPr>
        <w:t>Servidores de Arapongas, diferenciou incorporação à remuneração de incorporação</w:t>
      </w:r>
      <w:r w:rsidR="00F04984">
        <w:rPr>
          <w:rFonts w:ascii="Arial" w:hAnsi="Arial" w:cs="Arial"/>
          <w:sz w:val="20"/>
          <w:szCs w:val="20"/>
        </w:rPr>
        <w:t xml:space="preserve"> </w:t>
      </w:r>
      <w:r w:rsidRPr="00906F79">
        <w:rPr>
          <w:rFonts w:ascii="Arial" w:hAnsi="Arial" w:cs="Arial"/>
          <w:sz w:val="20"/>
          <w:szCs w:val="20"/>
        </w:rPr>
        <w:t>aos proventos.</w:t>
      </w:r>
      <w:r w:rsidR="005D589F">
        <w:rPr>
          <w:rFonts w:ascii="Arial" w:hAnsi="Arial" w:cs="Arial"/>
          <w:sz w:val="20"/>
          <w:szCs w:val="20"/>
        </w:rPr>
        <w:t xml:space="preserve"> </w:t>
      </w:r>
      <w:r w:rsidRPr="00906F79">
        <w:rPr>
          <w:rFonts w:ascii="Arial" w:hAnsi="Arial" w:cs="Arial"/>
          <w:sz w:val="20"/>
          <w:szCs w:val="20"/>
        </w:rPr>
        <w:t xml:space="preserve">No mesmo sentido, manifestou-se esta Corte de Contas no </w:t>
      </w:r>
      <w:r w:rsidRPr="00F04984">
        <w:rPr>
          <w:rFonts w:ascii="Arial" w:hAnsi="Arial" w:cs="Arial"/>
          <w:bCs/>
          <w:sz w:val="20"/>
          <w:szCs w:val="20"/>
        </w:rPr>
        <w:t>Acórdão</w:t>
      </w:r>
      <w:r w:rsidR="00F04984" w:rsidRPr="00F04984">
        <w:rPr>
          <w:rFonts w:ascii="Arial" w:hAnsi="Arial" w:cs="Arial"/>
          <w:bCs/>
          <w:sz w:val="20"/>
          <w:szCs w:val="20"/>
        </w:rPr>
        <w:t xml:space="preserve"> </w:t>
      </w:r>
      <w:r w:rsidRPr="00F04984">
        <w:rPr>
          <w:rFonts w:ascii="Arial" w:hAnsi="Arial" w:cs="Arial"/>
          <w:bCs/>
          <w:sz w:val="20"/>
          <w:szCs w:val="20"/>
        </w:rPr>
        <w:t>nº 3435/15 - Primeira Câmara,</w:t>
      </w:r>
      <w:r w:rsidRPr="00906F79">
        <w:rPr>
          <w:rFonts w:ascii="Arial" w:hAnsi="Arial" w:cs="Arial"/>
          <w:b/>
          <w:bCs/>
          <w:sz w:val="20"/>
          <w:szCs w:val="20"/>
        </w:rPr>
        <w:t xml:space="preserve"> </w:t>
      </w:r>
      <w:r w:rsidRPr="00906F79">
        <w:rPr>
          <w:rFonts w:ascii="Arial" w:hAnsi="Arial" w:cs="Arial"/>
          <w:sz w:val="20"/>
          <w:szCs w:val="20"/>
        </w:rPr>
        <w:t>com recomendação à Municipalidade para que</w:t>
      </w:r>
      <w:r w:rsidR="00F04984">
        <w:rPr>
          <w:rFonts w:ascii="Arial" w:hAnsi="Arial" w:cs="Arial"/>
          <w:sz w:val="20"/>
          <w:szCs w:val="20"/>
        </w:rPr>
        <w:t xml:space="preserve"> </w:t>
      </w:r>
      <w:r w:rsidRPr="00906F79">
        <w:rPr>
          <w:rFonts w:ascii="Arial" w:hAnsi="Arial" w:cs="Arial"/>
          <w:sz w:val="20"/>
          <w:szCs w:val="20"/>
        </w:rPr>
        <w:t>proceda à alteração legislativa, excluindo a possibilidade de incorporação de</w:t>
      </w:r>
      <w:r w:rsidR="00F04984">
        <w:rPr>
          <w:rFonts w:ascii="Arial" w:hAnsi="Arial" w:cs="Arial"/>
          <w:sz w:val="20"/>
          <w:szCs w:val="20"/>
        </w:rPr>
        <w:t xml:space="preserve"> </w:t>
      </w:r>
      <w:r w:rsidRPr="00906F79">
        <w:rPr>
          <w:rFonts w:ascii="Arial" w:hAnsi="Arial" w:cs="Arial"/>
          <w:sz w:val="20"/>
          <w:szCs w:val="20"/>
        </w:rPr>
        <w:t>gratificações transitórias à remuneração.</w:t>
      </w:r>
    </w:p>
    <w:p w:rsidR="00185C68" w:rsidRDefault="00185C68" w:rsidP="00F16A26">
      <w:pPr>
        <w:autoSpaceDE w:val="0"/>
        <w:autoSpaceDN w:val="0"/>
        <w:adjustRightInd w:val="0"/>
        <w:spacing w:after="0"/>
        <w:jc w:val="both"/>
        <w:rPr>
          <w:rFonts w:ascii="Arial" w:hAnsi="Arial" w:cs="Arial"/>
          <w:sz w:val="20"/>
          <w:szCs w:val="20"/>
        </w:rPr>
      </w:pPr>
    </w:p>
    <w:p w:rsidR="00185C68" w:rsidRDefault="00185C68" w:rsidP="00F16A26">
      <w:pPr>
        <w:autoSpaceDE w:val="0"/>
        <w:autoSpaceDN w:val="0"/>
        <w:adjustRightInd w:val="0"/>
        <w:spacing w:after="0"/>
        <w:jc w:val="both"/>
        <w:rPr>
          <w:rFonts w:ascii="Arial" w:hAnsi="Arial" w:cs="Arial"/>
          <w:sz w:val="20"/>
          <w:szCs w:val="20"/>
        </w:rPr>
      </w:pPr>
      <w:r>
        <w:rPr>
          <w:rFonts w:ascii="Arial" w:hAnsi="Arial" w:cs="Arial"/>
          <w:sz w:val="20"/>
          <w:szCs w:val="20"/>
        </w:rPr>
        <w:t>Processo n° 315</w:t>
      </w:r>
      <w:r w:rsidR="00C81192">
        <w:rPr>
          <w:rFonts w:ascii="Arial" w:hAnsi="Arial" w:cs="Arial"/>
          <w:sz w:val="20"/>
          <w:szCs w:val="20"/>
        </w:rPr>
        <w:t>428</w:t>
      </w:r>
      <w:r>
        <w:rPr>
          <w:rFonts w:ascii="Arial" w:hAnsi="Arial" w:cs="Arial"/>
          <w:sz w:val="20"/>
          <w:szCs w:val="20"/>
        </w:rPr>
        <w:t>/1</w:t>
      </w:r>
      <w:r w:rsidR="00C81192">
        <w:rPr>
          <w:rFonts w:ascii="Arial" w:hAnsi="Arial" w:cs="Arial"/>
          <w:sz w:val="20"/>
          <w:szCs w:val="20"/>
        </w:rPr>
        <w:t>5</w:t>
      </w:r>
      <w:r>
        <w:rPr>
          <w:rFonts w:ascii="Arial" w:hAnsi="Arial" w:cs="Arial"/>
          <w:sz w:val="20"/>
          <w:szCs w:val="20"/>
        </w:rPr>
        <w:t xml:space="preserve"> </w:t>
      </w:r>
      <w:r w:rsidR="00C81192">
        <w:rPr>
          <w:rFonts w:ascii="Arial" w:hAnsi="Arial" w:cs="Arial"/>
          <w:sz w:val="20"/>
          <w:szCs w:val="20"/>
        </w:rPr>
        <w:t>-</w:t>
      </w:r>
      <w:r>
        <w:rPr>
          <w:rFonts w:ascii="Arial" w:hAnsi="Arial" w:cs="Arial"/>
          <w:sz w:val="20"/>
          <w:szCs w:val="20"/>
        </w:rPr>
        <w:t xml:space="preserve"> </w:t>
      </w:r>
      <w:hyperlink r:id="rId12" w:history="1">
        <w:r w:rsidR="00C81192" w:rsidRPr="0070752C">
          <w:rPr>
            <w:rStyle w:val="Hyperlink"/>
            <w:rFonts w:ascii="Arial" w:hAnsi="Arial" w:cs="Arial"/>
            <w:sz w:val="20"/>
            <w:szCs w:val="20"/>
          </w:rPr>
          <w:t>Acórdão n° 817/17 - Segunda Câmara</w:t>
        </w:r>
      </w:hyperlink>
      <w:r w:rsidR="00C81192">
        <w:rPr>
          <w:rFonts w:ascii="Arial" w:hAnsi="Arial" w:cs="Arial"/>
          <w:sz w:val="20"/>
          <w:szCs w:val="20"/>
        </w:rPr>
        <w:t xml:space="preserve"> </w:t>
      </w:r>
      <w:r>
        <w:rPr>
          <w:rFonts w:ascii="Arial" w:hAnsi="Arial" w:cs="Arial"/>
          <w:sz w:val="20"/>
          <w:szCs w:val="20"/>
        </w:rPr>
        <w:t xml:space="preserve">- Rel. Conselheiro </w:t>
      </w:r>
      <w:proofErr w:type="spellStart"/>
      <w:r w:rsidR="00C81192">
        <w:rPr>
          <w:rFonts w:ascii="Arial" w:hAnsi="Arial" w:cs="Arial"/>
          <w:sz w:val="20"/>
          <w:szCs w:val="20"/>
        </w:rPr>
        <w:t>Artagão</w:t>
      </w:r>
      <w:proofErr w:type="spellEnd"/>
      <w:r w:rsidR="00C81192">
        <w:rPr>
          <w:rFonts w:ascii="Arial" w:hAnsi="Arial" w:cs="Arial"/>
          <w:sz w:val="20"/>
          <w:szCs w:val="20"/>
        </w:rPr>
        <w:t xml:space="preserve"> de Mattos Leão. </w:t>
      </w:r>
      <w:r>
        <w:rPr>
          <w:rFonts w:ascii="Arial" w:hAnsi="Arial" w:cs="Arial"/>
          <w:sz w:val="20"/>
          <w:szCs w:val="20"/>
        </w:rPr>
        <w:t xml:space="preserve"> </w:t>
      </w:r>
    </w:p>
    <w:p w:rsidR="00185C68" w:rsidRPr="00906F79" w:rsidRDefault="00185C68" w:rsidP="00FB4159">
      <w:pPr>
        <w:autoSpaceDE w:val="0"/>
        <w:autoSpaceDN w:val="0"/>
        <w:adjustRightInd w:val="0"/>
        <w:spacing w:after="0"/>
        <w:jc w:val="both"/>
        <w:rPr>
          <w:rFonts w:ascii="Arial" w:hAnsi="Arial" w:cs="Arial"/>
          <w:b/>
          <w:sz w:val="20"/>
          <w:szCs w:val="20"/>
        </w:rPr>
      </w:pPr>
    </w:p>
    <w:p w:rsidR="00AE4F42" w:rsidRPr="00722924" w:rsidRDefault="00AE4F42" w:rsidP="00AE4F42">
      <w:pPr>
        <w:shd w:val="pct10" w:color="auto" w:fill="auto"/>
        <w:jc w:val="center"/>
        <w:rPr>
          <w:rFonts w:ascii="Arial" w:hAnsi="Arial" w:cs="Arial"/>
          <w:b/>
        </w:rPr>
      </w:pPr>
      <w:r>
        <w:rPr>
          <w:rFonts w:ascii="Arial" w:hAnsi="Arial" w:cs="Arial"/>
          <w:b/>
        </w:rPr>
        <w:t>TRIBUNAL PLENO</w:t>
      </w:r>
    </w:p>
    <w:p w:rsidR="00034FD3" w:rsidRPr="00034FD3" w:rsidRDefault="00034FD3" w:rsidP="00C738A1">
      <w:pPr>
        <w:spacing w:after="0"/>
        <w:jc w:val="both"/>
        <w:rPr>
          <w:rFonts w:ascii="Arial" w:hAnsi="Arial" w:cs="Arial"/>
          <w:b/>
          <w:sz w:val="20"/>
          <w:szCs w:val="20"/>
        </w:rPr>
      </w:pPr>
      <w:r w:rsidRPr="00034FD3">
        <w:rPr>
          <w:rFonts w:ascii="Arial" w:hAnsi="Arial" w:cs="Arial"/>
          <w:b/>
          <w:sz w:val="20"/>
          <w:szCs w:val="20"/>
        </w:rPr>
        <w:t xml:space="preserve">5. Representação. Licitação. Edital. Aglutinação de serviços de natureza incompatível. Nutricionistas. Quantidade mínima de profissionais. Ficha técnica dos produtos. Habilitação. Exigências desnecessárias. Menor preço global. Possibilidade. Celeridade. Economicidade. Controle. Multa. Determinação. Recomendação. Parcial procedência. </w:t>
      </w:r>
    </w:p>
    <w:p w:rsidR="00034FD3" w:rsidRDefault="00034FD3" w:rsidP="00C738A1">
      <w:pPr>
        <w:autoSpaceDE w:val="0"/>
        <w:autoSpaceDN w:val="0"/>
        <w:adjustRightInd w:val="0"/>
        <w:spacing w:after="0"/>
        <w:jc w:val="both"/>
        <w:rPr>
          <w:rFonts w:ascii="Arial" w:hAnsi="Arial" w:cs="Arial"/>
          <w:sz w:val="20"/>
          <w:szCs w:val="20"/>
        </w:rPr>
      </w:pPr>
    </w:p>
    <w:p w:rsidR="00C738A1"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A Representação em tela noticiou supostas irregularidades referentes à Pregão Presencial realizado para contratação de empresa para fornecimento de gêneros alimentícios compreendendo entrega, apoio técnico, treinamento e consultoria nutricional. Ocorreu, portanto, aglutinação da contratação de serviços que deveriam ser licitados separadamente, em violação ao artigo 23, § 1º da Lei nº 8.666/93. Isso porque, de um lado, o serviço de entrega </w:t>
      </w:r>
      <w:r>
        <w:rPr>
          <w:rFonts w:ascii="Arial" w:hAnsi="Arial" w:cs="Arial"/>
          <w:color w:val="000000"/>
          <w:sz w:val="20"/>
          <w:szCs w:val="20"/>
        </w:rPr>
        <w:lastRenderedPageBreak/>
        <w:t>de gêneros alimentícios é intrínseco ao seu fornecimento. Contudo, a prestação de serviços de apoio técnico, treinamento e consultoria nutricional não guardam nenhuma correlação técnica com o suprimento de alimentos.</w:t>
      </w: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 </w:t>
      </w: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Ademais, depreende-se que os serviços de apoio técnico, treinamento e consultoria nutricional, são inerentes à rotina da municipalidade e que por isso, deveriam ser </w:t>
      </w:r>
      <w:proofErr w:type="gramStart"/>
      <w:r>
        <w:rPr>
          <w:rFonts w:ascii="Arial" w:hAnsi="Arial" w:cs="Arial"/>
          <w:color w:val="000000"/>
          <w:sz w:val="20"/>
          <w:szCs w:val="20"/>
        </w:rPr>
        <w:t>desempenhadas</w:t>
      </w:r>
      <w:proofErr w:type="gramEnd"/>
      <w:r>
        <w:rPr>
          <w:rFonts w:ascii="Arial" w:hAnsi="Arial" w:cs="Arial"/>
          <w:color w:val="000000"/>
          <w:sz w:val="20"/>
          <w:szCs w:val="20"/>
        </w:rPr>
        <w:t xml:space="preserve"> por servidores efetivos.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A exigência, em sede de habilitação de número mínimo de nutricionistas no quadro funcional da empresa ofende o disposto no artigo 30 da Lei nº 8.666/93, refreando a competitividade necessária para o procedimento licitatório. Também incompatível com a fase de habilitação, a obrigação de apresentação de ficha técnica do fabricante dos produtos. Ambos os itens assemelham-se à obrigação de apresentação de amostras dos produtos, que também deve estar prevista em edital para atendimento da Resolução nº 38/09 do Fundo Nacional de Desenvolvimento da Educação.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Procedente a Representação, eis que configurada ofensa ao artigo 3º, §1º, I, da Lei nº 8.666/93 e aos princípios da isonomia e da ampla competitividade da licitação, com aplicação da multa prevista no art. 87, III, “d” da Lei Complementar Estadual nº 113/2005 aos Secretários Municipais de Administração, da Fazenda, de Obras e Viação, de Educação, de Cultura e Esporte, da Saúde, de Urbanismo e Habitação, da Ação Social e Trabalho e do Meio Ambiente.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Processo nº 508512/14 - </w:t>
      </w:r>
      <w:hyperlink r:id="rId13" w:history="1">
        <w:r w:rsidRPr="00E82BF5">
          <w:rPr>
            <w:rStyle w:val="Hyperlink"/>
            <w:rFonts w:ascii="Arial" w:hAnsi="Arial" w:cs="Arial"/>
            <w:sz w:val="20"/>
            <w:szCs w:val="20"/>
          </w:rPr>
          <w:t>Acórdão nº 962/17</w:t>
        </w:r>
        <w:r w:rsidR="006D443C">
          <w:rPr>
            <w:rStyle w:val="Hyperlink"/>
            <w:rFonts w:ascii="Arial" w:hAnsi="Arial" w:cs="Arial"/>
            <w:sz w:val="20"/>
            <w:szCs w:val="20"/>
          </w:rPr>
          <w:t xml:space="preserve"> </w:t>
        </w:r>
        <w:r w:rsidRPr="00E82BF5">
          <w:rPr>
            <w:rStyle w:val="Hyperlink"/>
            <w:rFonts w:ascii="Arial" w:hAnsi="Arial" w:cs="Arial"/>
            <w:sz w:val="20"/>
            <w:szCs w:val="20"/>
          </w:rPr>
          <w:t>-</w:t>
        </w:r>
        <w:r w:rsidR="006D443C">
          <w:rPr>
            <w:rStyle w:val="Hyperlink"/>
            <w:rFonts w:ascii="Arial" w:hAnsi="Arial" w:cs="Arial"/>
            <w:sz w:val="20"/>
            <w:szCs w:val="20"/>
          </w:rPr>
          <w:t xml:space="preserve"> </w:t>
        </w:r>
        <w:r>
          <w:rPr>
            <w:rStyle w:val="Hyperlink"/>
            <w:rFonts w:ascii="Arial" w:hAnsi="Arial" w:cs="Arial"/>
            <w:sz w:val="20"/>
            <w:szCs w:val="20"/>
          </w:rPr>
          <w:t xml:space="preserve">Tribunal Pleno </w:t>
        </w:r>
      </w:hyperlink>
      <w:r>
        <w:rPr>
          <w:rStyle w:val="Hyperlink"/>
          <w:rFonts w:ascii="Arial" w:hAnsi="Arial" w:cs="Arial"/>
          <w:sz w:val="20"/>
          <w:szCs w:val="20"/>
        </w:rPr>
        <w:t>-</w:t>
      </w:r>
      <w:r>
        <w:rPr>
          <w:rFonts w:ascii="Arial" w:hAnsi="Arial" w:cs="Arial"/>
          <w:color w:val="000000"/>
          <w:sz w:val="20"/>
          <w:szCs w:val="20"/>
        </w:rPr>
        <w:t xml:space="preserve"> Rel. Cons. </w:t>
      </w:r>
      <w:proofErr w:type="spellStart"/>
      <w:r>
        <w:rPr>
          <w:rFonts w:ascii="Arial" w:hAnsi="Arial" w:cs="Arial"/>
          <w:color w:val="000000"/>
          <w:sz w:val="20"/>
          <w:szCs w:val="20"/>
        </w:rPr>
        <w:t>Artagão</w:t>
      </w:r>
      <w:proofErr w:type="spellEnd"/>
      <w:r>
        <w:rPr>
          <w:rFonts w:ascii="Arial" w:hAnsi="Arial" w:cs="Arial"/>
          <w:color w:val="000000"/>
          <w:sz w:val="20"/>
          <w:szCs w:val="20"/>
        </w:rPr>
        <w:t xml:space="preserve"> de Mattos Leão. </w:t>
      </w:r>
    </w:p>
    <w:p w:rsidR="00C738A1" w:rsidRDefault="00C738A1" w:rsidP="00C738A1">
      <w:pPr>
        <w:spacing w:after="0"/>
        <w:jc w:val="both"/>
        <w:rPr>
          <w:rFonts w:ascii="Arial" w:hAnsi="Arial" w:cs="Arial"/>
          <w:color w:val="000000"/>
          <w:sz w:val="20"/>
          <w:szCs w:val="20"/>
        </w:rPr>
      </w:pPr>
    </w:p>
    <w:p w:rsidR="006D443C" w:rsidRPr="006D443C" w:rsidRDefault="006D443C" w:rsidP="00C738A1">
      <w:pPr>
        <w:spacing w:after="0"/>
        <w:jc w:val="both"/>
        <w:rPr>
          <w:rFonts w:ascii="Arial" w:hAnsi="Arial" w:cs="Arial"/>
          <w:b/>
          <w:sz w:val="20"/>
          <w:szCs w:val="20"/>
        </w:rPr>
      </w:pPr>
      <w:r w:rsidRPr="006D443C">
        <w:rPr>
          <w:rFonts w:ascii="Arial" w:hAnsi="Arial" w:cs="Arial"/>
          <w:b/>
          <w:sz w:val="20"/>
          <w:szCs w:val="20"/>
        </w:rPr>
        <w:t xml:space="preserve">6. Prestação de Contas Estadual. Fundo de Previdência do Estado do Paraná. Instrução da COFIE pela regularidade com recomendação. Parecer do MPC pela irregularidade em razão da omissão dos responsáveis em adotar providências visando impedir a apropriação ilegal de recursos previdenciários afetados a uma clientela definida. Regularidade das contas com recomendação.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O exercício financeiro de 2015, exercício atinente à prestação de contas em comento, da </w:t>
      </w:r>
      <w:proofErr w:type="spellStart"/>
      <w:r>
        <w:rPr>
          <w:rFonts w:ascii="Arial" w:hAnsi="Arial" w:cs="Arial"/>
          <w:color w:val="000000"/>
          <w:sz w:val="20"/>
          <w:szCs w:val="20"/>
        </w:rPr>
        <w:t>Paranaprevidência</w:t>
      </w:r>
      <w:proofErr w:type="spellEnd"/>
      <w:r>
        <w:rPr>
          <w:rFonts w:ascii="Arial" w:hAnsi="Arial" w:cs="Arial"/>
          <w:color w:val="000000"/>
          <w:sz w:val="20"/>
          <w:szCs w:val="20"/>
        </w:rPr>
        <w:t>, foi o ano de implantação no Sistema DEI-CED, dos módulos de licitação, contratos e controle interno. Tal fato</w:t>
      </w:r>
      <w:proofErr w:type="gramStart"/>
      <w:r>
        <w:rPr>
          <w:rFonts w:ascii="Arial" w:hAnsi="Arial" w:cs="Arial"/>
          <w:color w:val="000000"/>
          <w:sz w:val="20"/>
          <w:szCs w:val="20"/>
        </w:rPr>
        <w:t>, exigiu</w:t>
      </w:r>
      <w:proofErr w:type="gramEnd"/>
      <w:r>
        <w:rPr>
          <w:rFonts w:ascii="Arial" w:hAnsi="Arial" w:cs="Arial"/>
          <w:color w:val="000000"/>
          <w:sz w:val="20"/>
          <w:szCs w:val="20"/>
        </w:rPr>
        <w:t xml:space="preserve"> adaptação das entidades à nova plataforma, o que permitiu o entendimento pela regularidade das contas e a não aplicação das medidas sancionatórias previstas nos artigos 87 e 89 da Lei Complementar Estadual nº113/05.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A omissão dos gestores das contas em adotar providências para adequação da migração de segurados do Fundo de Previdência para os Fundos Financeiro e Militar, </w:t>
      </w:r>
      <w:proofErr w:type="gramStart"/>
      <w:r>
        <w:rPr>
          <w:rFonts w:ascii="Arial" w:hAnsi="Arial" w:cs="Arial"/>
          <w:color w:val="000000"/>
          <w:sz w:val="20"/>
          <w:szCs w:val="20"/>
        </w:rPr>
        <w:t>implementados</w:t>
      </w:r>
      <w:proofErr w:type="gramEnd"/>
      <w:r>
        <w:rPr>
          <w:rFonts w:ascii="Arial" w:hAnsi="Arial" w:cs="Arial"/>
          <w:color w:val="000000"/>
          <w:sz w:val="20"/>
          <w:szCs w:val="20"/>
        </w:rPr>
        <w:t xml:space="preserve"> pela Lei Estadual nº 17.435/12, afronta a Lei Federal nº 9.717/98, artigo 1º, incisos II e VII, segundo apontado pelo MPC.</w:t>
      </w:r>
      <w:r w:rsidR="00777D26">
        <w:rPr>
          <w:rFonts w:ascii="Arial" w:hAnsi="Arial" w:cs="Arial"/>
          <w:color w:val="000000"/>
          <w:sz w:val="20"/>
          <w:szCs w:val="20"/>
        </w:rPr>
        <w:t xml:space="preserve"> </w:t>
      </w:r>
      <w:r>
        <w:rPr>
          <w:rFonts w:ascii="Arial" w:hAnsi="Arial" w:cs="Arial"/>
          <w:color w:val="000000"/>
          <w:sz w:val="20"/>
          <w:szCs w:val="20"/>
        </w:rPr>
        <w:t xml:space="preserve">De extrema relevância, a questão está em análise no Processo nº 165080/16, de Comunicação de Irregularidade, ficando na presente prestação de contas, a recomendação de que a entidade observe os prazos de remessas dos dados via SEI-CED para os exercícios subsequentes.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Processo nº 354664/16 </w:t>
      </w:r>
      <w:r w:rsidR="006D443C">
        <w:rPr>
          <w:rFonts w:ascii="Arial" w:hAnsi="Arial" w:cs="Arial"/>
          <w:color w:val="000000"/>
          <w:sz w:val="20"/>
          <w:szCs w:val="20"/>
        </w:rPr>
        <w:t>-</w:t>
      </w:r>
      <w:r>
        <w:rPr>
          <w:rFonts w:ascii="Arial" w:hAnsi="Arial" w:cs="Arial"/>
          <w:color w:val="000000"/>
          <w:sz w:val="20"/>
          <w:szCs w:val="20"/>
        </w:rPr>
        <w:t xml:space="preserve"> </w:t>
      </w:r>
      <w:hyperlink r:id="rId14" w:history="1">
        <w:r w:rsidRPr="00E82BF5">
          <w:rPr>
            <w:rStyle w:val="Hyperlink"/>
            <w:rFonts w:ascii="Arial" w:hAnsi="Arial" w:cs="Arial"/>
            <w:sz w:val="20"/>
            <w:szCs w:val="20"/>
          </w:rPr>
          <w:t>Acórdão nº 959/17</w:t>
        </w:r>
        <w:r w:rsidR="006D443C">
          <w:rPr>
            <w:rStyle w:val="Hyperlink"/>
            <w:rFonts w:ascii="Arial" w:hAnsi="Arial" w:cs="Arial"/>
            <w:sz w:val="20"/>
            <w:szCs w:val="20"/>
          </w:rPr>
          <w:t xml:space="preserve"> - Tribunal Pleno </w:t>
        </w:r>
      </w:hyperlink>
      <w:r w:rsidR="006D443C">
        <w:rPr>
          <w:rStyle w:val="Hyperlink"/>
          <w:rFonts w:ascii="Arial" w:hAnsi="Arial" w:cs="Arial"/>
          <w:sz w:val="20"/>
          <w:szCs w:val="20"/>
        </w:rPr>
        <w:t>-</w:t>
      </w:r>
      <w:r>
        <w:rPr>
          <w:rFonts w:ascii="Arial" w:hAnsi="Arial" w:cs="Arial"/>
          <w:color w:val="000000"/>
          <w:sz w:val="20"/>
          <w:szCs w:val="20"/>
        </w:rPr>
        <w:t xml:space="preserve"> Rel. Cons</w:t>
      </w:r>
      <w:r w:rsidR="006D443C">
        <w:rPr>
          <w:rFonts w:ascii="Arial" w:hAnsi="Arial" w:cs="Arial"/>
          <w:color w:val="000000"/>
          <w:sz w:val="20"/>
          <w:szCs w:val="20"/>
        </w:rPr>
        <w:t xml:space="preserve">elheiro </w:t>
      </w:r>
      <w:r>
        <w:rPr>
          <w:rFonts w:ascii="Arial" w:hAnsi="Arial" w:cs="Arial"/>
          <w:color w:val="000000"/>
          <w:sz w:val="20"/>
          <w:szCs w:val="20"/>
        </w:rPr>
        <w:t xml:space="preserve">Nestor Baptista. </w:t>
      </w:r>
    </w:p>
    <w:p w:rsidR="00034FD3" w:rsidRDefault="00A76309" w:rsidP="00C738A1">
      <w:pPr>
        <w:spacing w:after="0"/>
        <w:jc w:val="both"/>
        <w:rPr>
          <w:rFonts w:ascii="Arial" w:hAnsi="Arial" w:cs="Arial"/>
          <w:b/>
          <w:sz w:val="20"/>
          <w:szCs w:val="20"/>
        </w:rPr>
      </w:pPr>
      <w:r w:rsidRPr="00A76309">
        <w:rPr>
          <w:rFonts w:ascii="Arial" w:hAnsi="Arial" w:cs="Arial"/>
          <w:b/>
          <w:sz w:val="20"/>
          <w:szCs w:val="20"/>
        </w:rPr>
        <w:lastRenderedPageBreak/>
        <w:t>7. Denúncia. Procedência parcial. Utilização de recursos da educação básica para custeio do transporte de alunos do ensino superior, que resultou em ofensa ao art. 6º da Lei nº 11.721/97, sem aplicação de multa contra gestores. Demais irregularidades não comprovadas. Imposição de determinação ao Legislativo Municipal acerca do procedimento legal para a apreciação de requerimentos visando à investigação do Chefe do Poder Executivo Municipal.</w:t>
      </w:r>
    </w:p>
    <w:p w:rsidR="00C738A1" w:rsidRPr="00A76309" w:rsidRDefault="00C738A1" w:rsidP="00C738A1">
      <w:pPr>
        <w:spacing w:after="0"/>
        <w:jc w:val="both"/>
        <w:rPr>
          <w:rFonts w:ascii="Arial" w:hAnsi="Arial" w:cs="Arial"/>
          <w:b/>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Na presente Denúncia restou caracterizado que o Município utilizou verbas do ensino fundamental para o custeio de despesas com o transporte de alunos de nível superior. A então Diretoria de Contas Municipais (atual Coordenadoria de Fiscalização Municipal) aduziu que o Programa Nacional de Apoio ao Transporte Escolar (PNATE) foi instituído pela Lei nº 10.880 de </w:t>
      </w:r>
      <w:proofErr w:type="gramStart"/>
      <w:r>
        <w:rPr>
          <w:rFonts w:ascii="Arial" w:hAnsi="Arial" w:cs="Arial"/>
          <w:color w:val="000000"/>
          <w:sz w:val="20"/>
          <w:szCs w:val="20"/>
        </w:rPr>
        <w:t>9</w:t>
      </w:r>
      <w:proofErr w:type="gramEnd"/>
      <w:r>
        <w:rPr>
          <w:rFonts w:ascii="Arial" w:hAnsi="Arial" w:cs="Arial"/>
          <w:color w:val="000000"/>
          <w:sz w:val="20"/>
          <w:szCs w:val="20"/>
        </w:rPr>
        <w:t xml:space="preserve"> de junho de 2004, com o objetivo de garantir o acesso e a permanência nos estabelecimentos escolares dos alunos do ensino fundamental público residentes em área rural que utilizem transporte escolar, por meio de assistência financeira, em caráter suplementar, aos Estados, Distrito Federal e Municípios. O programa foi ampliado para toda a educação básica. Posteriormente, a Lei nº 11.721/97, instituiu o Programa Estadual de Transporte Escolar (PETE), com as diretrizes para o transporte de alunos da rede pública de ensino no Estado do Paraná.</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A sugerida imputação da multa prevista no artigo 87, IV, “g” da Lei Complementar Estadual nº 113/2005, por infração aos diplomas legais acima mencionados não foi aplicada. O baixo valor envolvido não afetou o atingimento do índice constitucional de despesa no ensino básico do exercício em questão, aliado à absoluta ausência de dano ao erário.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Decidiu-se, assim, pela procedência parcial da Denúncia com determinação ao Legislativo Municipal, para que aja em estrita obediência ao art. 86 da Constituição Federal, Lei Orgânica Municipal e Regimento Interno da Câmara. </w:t>
      </w:r>
      <w:bookmarkStart w:id="0" w:name="_GoBack"/>
      <w:bookmarkEnd w:id="0"/>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Processo nº 472640/14 </w:t>
      </w:r>
      <w:r w:rsidR="00A76309">
        <w:rPr>
          <w:rFonts w:ascii="Arial" w:hAnsi="Arial" w:cs="Arial"/>
          <w:color w:val="000000"/>
          <w:sz w:val="20"/>
          <w:szCs w:val="20"/>
        </w:rPr>
        <w:t>-</w:t>
      </w:r>
      <w:r>
        <w:rPr>
          <w:rFonts w:ascii="Arial" w:hAnsi="Arial" w:cs="Arial"/>
          <w:color w:val="000000"/>
          <w:sz w:val="20"/>
          <w:szCs w:val="20"/>
        </w:rPr>
        <w:t xml:space="preserve"> </w:t>
      </w:r>
      <w:hyperlink r:id="rId15" w:history="1">
        <w:r w:rsidRPr="00E82BF5">
          <w:rPr>
            <w:rStyle w:val="Hyperlink"/>
            <w:rFonts w:ascii="Arial" w:hAnsi="Arial" w:cs="Arial"/>
            <w:sz w:val="20"/>
            <w:szCs w:val="20"/>
          </w:rPr>
          <w:t>Acórdão nº 976/17-T</w:t>
        </w:r>
        <w:r w:rsidR="00A76309">
          <w:rPr>
            <w:rStyle w:val="Hyperlink"/>
            <w:rFonts w:ascii="Arial" w:hAnsi="Arial" w:cs="Arial"/>
            <w:sz w:val="20"/>
            <w:szCs w:val="20"/>
          </w:rPr>
          <w:t>ribunal Pleno</w:t>
        </w:r>
      </w:hyperlink>
      <w:r w:rsidR="00394DF3" w:rsidRPr="00394DF3">
        <w:rPr>
          <w:rStyle w:val="Hyperlink"/>
          <w:rFonts w:ascii="Arial" w:hAnsi="Arial" w:cs="Arial"/>
          <w:sz w:val="20"/>
          <w:szCs w:val="20"/>
          <w:u w:val="none"/>
        </w:rPr>
        <w:t xml:space="preserve"> </w:t>
      </w:r>
      <w:r w:rsidR="00A76309" w:rsidRPr="002020F7">
        <w:rPr>
          <w:rStyle w:val="Hyperlink"/>
          <w:rFonts w:ascii="Arial" w:hAnsi="Arial" w:cs="Arial"/>
          <w:sz w:val="20"/>
          <w:szCs w:val="20"/>
          <w:u w:val="none"/>
        </w:rPr>
        <w:t>-</w:t>
      </w:r>
      <w:r w:rsidR="002020F7" w:rsidRPr="002020F7">
        <w:rPr>
          <w:rStyle w:val="Hyperlink"/>
          <w:rFonts w:ascii="Arial" w:hAnsi="Arial" w:cs="Arial"/>
          <w:sz w:val="20"/>
          <w:szCs w:val="20"/>
          <w:u w:val="none"/>
        </w:rPr>
        <w:t xml:space="preserve"> </w:t>
      </w:r>
      <w:r>
        <w:rPr>
          <w:rFonts w:ascii="Arial" w:hAnsi="Arial" w:cs="Arial"/>
          <w:color w:val="000000"/>
          <w:sz w:val="20"/>
          <w:szCs w:val="20"/>
        </w:rPr>
        <w:t>Rel.</w:t>
      </w:r>
      <w:r w:rsidR="00A76309">
        <w:rPr>
          <w:rFonts w:ascii="Arial" w:hAnsi="Arial" w:cs="Arial"/>
          <w:color w:val="000000"/>
          <w:sz w:val="20"/>
          <w:szCs w:val="20"/>
        </w:rPr>
        <w:t xml:space="preserve"> </w:t>
      </w:r>
      <w:r>
        <w:rPr>
          <w:rFonts w:ascii="Arial" w:hAnsi="Arial" w:cs="Arial"/>
          <w:color w:val="000000"/>
          <w:sz w:val="20"/>
          <w:szCs w:val="20"/>
        </w:rPr>
        <w:t>Cons</w:t>
      </w:r>
      <w:r w:rsidR="00A76309">
        <w:rPr>
          <w:rFonts w:ascii="Arial" w:hAnsi="Arial" w:cs="Arial"/>
          <w:color w:val="000000"/>
          <w:sz w:val="20"/>
          <w:szCs w:val="20"/>
        </w:rPr>
        <w:t xml:space="preserve">elheiro </w:t>
      </w:r>
      <w:r w:rsidR="002020F7">
        <w:rPr>
          <w:rFonts w:ascii="Arial" w:hAnsi="Arial" w:cs="Arial"/>
          <w:color w:val="000000"/>
          <w:sz w:val="20"/>
          <w:szCs w:val="20"/>
        </w:rPr>
        <w:t>Ivens Zs</w:t>
      </w:r>
      <w:r>
        <w:rPr>
          <w:rFonts w:ascii="Arial" w:hAnsi="Arial" w:cs="Arial"/>
          <w:color w:val="000000"/>
          <w:sz w:val="20"/>
          <w:szCs w:val="20"/>
        </w:rPr>
        <w:t>choerper Linhares</w:t>
      </w:r>
      <w:r w:rsidR="00A76309">
        <w:rPr>
          <w:rFonts w:ascii="Arial" w:hAnsi="Arial" w:cs="Arial"/>
          <w:color w:val="000000"/>
          <w:sz w:val="20"/>
          <w:szCs w:val="20"/>
        </w:rPr>
        <w:t>.</w:t>
      </w:r>
      <w:r>
        <w:rPr>
          <w:rFonts w:ascii="Arial" w:hAnsi="Arial" w:cs="Arial"/>
          <w:color w:val="000000"/>
          <w:sz w:val="20"/>
          <w:szCs w:val="20"/>
        </w:rPr>
        <w:t xml:space="preserve"> </w:t>
      </w:r>
    </w:p>
    <w:p w:rsidR="00C738A1" w:rsidRDefault="00C738A1" w:rsidP="00C738A1">
      <w:pPr>
        <w:spacing w:after="0"/>
        <w:jc w:val="both"/>
        <w:rPr>
          <w:rFonts w:ascii="Arial" w:hAnsi="Arial" w:cs="Arial"/>
          <w:b/>
          <w:sz w:val="20"/>
          <w:szCs w:val="20"/>
        </w:rPr>
      </w:pPr>
    </w:p>
    <w:p w:rsidR="00A76309" w:rsidRPr="00A76309" w:rsidRDefault="00A76309" w:rsidP="00C738A1">
      <w:pPr>
        <w:spacing w:after="0"/>
        <w:jc w:val="both"/>
        <w:rPr>
          <w:rFonts w:ascii="Arial" w:hAnsi="Arial" w:cs="Arial"/>
          <w:b/>
          <w:sz w:val="20"/>
          <w:szCs w:val="20"/>
        </w:rPr>
      </w:pPr>
      <w:r w:rsidRPr="00A76309">
        <w:rPr>
          <w:rFonts w:ascii="Arial" w:hAnsi="Arial" w:cs="Arial"/>
          <w:b/>
          <w:sz w:val="20"/>
          <w:szCs w:val="20"/>
        </w:rPr>
        <w:t xml:space="preserve">8. Pedido de Rescisão. Prestação de Contas do Executivo Municipal de Manoel Ribas. Exercício de 2005. Novos elementos de prova. Recebimento parcial. Pedido parcialmente procedente. Emissão de Parecer Prévio recomendando a irregularidade das contas.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O objeto do presente Pedido de Rescisão é a obtenção de afastamento dos apontamentos relativos à abertura de créditos adicionais acima do autorizado na Lei Orçamentária Anual, a falta de retenção das contribuições dos agentes políticos ao INSS e à falta de retenção do IRRF sobre a remuneração dos agentes políticos.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Os documentos apresentados pelo autor do pedido quanto à falta de retenção de IRRF, sem que se adentrasse </w:t>
      </w:r>
      <w:proofErr w:type="gramStart"/>
      <w:r>
        <w:rPr>
          <w:rFonts w:ascii="Arial" w:hAnsi="Arial" w:cs="Arial"/>
          <w:color w:val="000000"/>
          <w:sz w:val="20"/>
          <w:szCs w:val="20"/>
        </w:rPr>
        <w:t>à</w:t>
      </w:r>
      <w:proofErr w:type="gramEnd"/>
      <w:r>
        <w:rPr>
          <w:rFonts w:ascii="Arial" w:hAnsi="Arial" w:cs="Arial"/>
          <w:color w:val="000000"/>
          <w:sz w:val="20"/>
          <w:szCs w:val="20"/>
        </w:rPr>
        <w:t xml:space="preserve"> discussão sobre a validade ou não dos pagamentos, demonstram que o tributo fora recolhido posteriormente à prolação da decisão que quer o postulante ver rescindida.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De acordo com o Prejulgado nº 4 desta Corte, novo elemento de prova deve ser entendido como um documento desconhecido pelo Tribunal no momento da decisão, mas existente à </w:t>
      </w:r>
      <w:r>
        <w:rPr>
          <w:rFonts w:ascii="Arial" w:hAnsi="Arial" w:cs="Arial"/>
          <w:color w:val="000000"/>
          <w:sz w:val="20"/>
          <w:szCs w:val="20"/>
        </w:rPr>
        <w:lastRenderedPageBreak/>
        <w:t xml:space="preserve">época dos fatos. Sendo assim, a situação não encontra amparo no taxativo rol de hipóteses que permitem a via rescisória.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Já a retenção das contribuições ao INSS do </w:t>
      </w:r>
      <w:r w:rsidR="00394DF3">
        <w:rPr>
          <w:rFonts w:ascii="Arial" w:hAnsi="Arial" w:cs="Arial"/>
          <w:color w:val="000000"/>
          <w:sz w:val="20"/>
          <w:szCs w:val="20"/>
        </w:rPr>
        <w:t>V</w:t>
      </w:r>
      <w:r>
        <w:rPr>
          <w:rFonts w:ascii="Arial" w:hAnsi="Arial" w:cs="Arial"/>
          <w:color w:val="000000"/>
          <w:sz w:val="20"/>
          <w:szCs w:val="20"/>
        </w:rPr>
        <w:t>ice-Prefeito, restou afastada. Quanto ao Prefeito, foi convertida em ressalva. A abertura de créditos adicionais acima do autorizado na LOA</w:t>
      </w:r>
      <w:proofErr w:type="gramStart"/>
      <w:r>
        <w:rPr>
          <w:rFonts w:ascii="Arial" w:hAnsi="Arial" w:cs="Arial"/>
          <w:color w:val="000000"/>
          <w:sz w:val="20"/>
          <w:szCs w:val="20"/>
        </w:rPr>
        <w:t>, foi</w:t>
      </w:r>
      <w:proofErr w:type="gramEnd"/>
      <w:r>
        <w:rPr>
          <w:rFonts w:ascii="Arial" w:hAnsi="Arial" w:cs="Arial"/>
          <w:color w:val="000000"/>
          <w:sz w:val="20"/>
          <w:szCs w:val="20"/>
        </w:rPr>
        <w:t xml:space="preserve">, também, convertida em ressalva, dado que a extrapolação ocorreu em percentual de 0,63%. Decidiu-se, com isso, pela procedência parcial do pedido. </w:t>
      </w:r>
    </w:p>
    <w:p w:rsidR="00C738A1" w:rsidRDefault="00C738A1" w:rsidP="00C738A1">
      <w:pPr>
        <w:spacing w:after="0"/>
        <w:jc w:val="both"/>
        <w:rPr>
          <w:rFonts w:ascii="Arial" w:hAnsi="Arial" w:cs="Arial"/>
          <w:color w:val="000000"/>
          <w:sz w:val="20"/>
          <w:szCs w:val="20"/>
        </w:rPr>
      </w:pPr>
    </w:p>
    <w:p w:rsidR="00034FD3" w:rsidRDefault="00034FD3" w:rsidP="00C738A1">
      <w:pPr>
        <w:spacing w:after="0"/>
        <w:jc w:val="both"/>
        <w:rPr>
          <w:rFonts w:ascii="Arial" w:hAnsi="Arial" w:cs="Arial"/>
          <w:color w:val="000000"/>
          <w:sz w:val="20"/>
          <w:szCs w:val="20"/>
        </w:rPr>
      </w:pPr>
      <w:r>
        <w:rPr>
          <w:rFonts w:ascii="Arial" w:hAnsi="Arial" w:cs="Arial"/>
          <w:color w:val="000000"/>
          <w:sz w:val="20"/>
          <w:szCs w:val="20"/>
        </w:rPr>
        <w:t xml:space="preserve">Processo nº 423349/08 </w:t>
      </w:r>
      <w:r w:rsidR="00C738A1">
        <w:rPr>
          <w:rFonts w:ascii="Arial" w:hAnsi="Arial" w:cs="Arial"/>
          <w:color w:val="000000"/>
          <w:sz w:val="20"/>
          <w:szCs w:val="20"/>
        </w:rPr>
        <w:t>-</w:t>
      </w:r>
      <w:r>
        <w:rPr>
          <w:rFonts w:ascii="Arial" w:hAnsi="Arial" w:cs="Arial"/>
          <w:color w:val="000000"/>
          <w:sz w:val="20"/>
          <w:szCs w:val="20"/>
        </w:rPr>
        <w:t xml:space="preserve"> </w:t>
      </w:r>
      <w:hyperlink r:id="rId16" w:history="1">
        <w:r w:rsidRPr="00E82BF5">
          <w:rPr>
            <w:rStyle w:val="Hyperlink"/>
            <w:rFonts w:ascii="Arial" w:hAnsi="Arial" w:cs="Arial"/>
            <w:sz w:val="20"/>
            <w:szCs w:val="20"/>
          </w:rPr>
          <w:t>Acórdão de Parecer Prévio nº 77/17</w:t>
        </w:r>
        <w:r w:rsidR="00C738A1">
          <w:rPr>
            <w:rStyle w:val="Hyperlink"/>
            <w:rFonts w:ascii="Arial" w:hAnsi="Arial" w:cs="Arial"/>
            <w:sz w:val="20"/>
            <w:szCs w:val="20"/>
          </w:rPr>
          <w:t xml:space="preserve"> - Tribunal Pleno </w:t>
        </w:r>
      </w:hyperlink>
      <w:r w:rsidR="00C738A1">
        <w:rPr>
          <w:rStyle w:val="Hyperlink"/>
          <w:rFonts w:ascii="Arial" w:hAnsi="Arial" w:cs="Arial"/>
          <w:sz w:val="20"/>
          <w:szCs w:val="20"/>
        </w:rPr>
        <w:t>-</w:t>
      </w:r>
      <w:r>
        <w:rPr>
          <w:rFonts w:ascii="Arial" w:hAnsi="Arial" w:cs="Arial"/>
          <w:color w:val="000000"/>
          <w:sz w:val="20"/>
          <w:szCs w:val="20"/>
        </w:rPr>
        <w:t xml:space="preserve"> Cons. Rel. Ivan </w:t>
      </w:r>
      <w:proofErr w:type="spellStart"/>
      <w:r>
        <w:rPr>
          <w:rFonts w:ascii="Arial" w:hAnsi="Arial" w:cs="Arial"/>
          <w:color w:val="000000"/>
          <w:sz w:val="20"/>
          <w:szCs w:val="20"/>
        </w:rPr>
        <w:t>Lelis</w:t>
      </w:r>
      <w:proofErr w:type="spellEnd"/>
      <w:r>
        <w:rPr>
          <w:rFonts w:ascii="Arial" w:hAnsi="Arial" w:cs="Arial"/>
          <w:color w:val="000000"/>
          <w:sz w:val="20"/>
          <w:szCs w:val="20"/>
        </w:rPr>
        <w:t xml:space="preserve"> Bonilha.</w:t>
      </w:r>
    </w:p>
    <w:p w:rsidR="00C738A1" w:rsidRDefault="00C738A1" w:rsidP="00C738A1">
      <w:pPr>
        <w:spacing w:after="0"/>
        <w:jc w:val="both"/>
        <w:rPr>
          <w:rFonts w:ascii="Arial" w:hAnsi="Arial" w:cs="Arial"/>
          <w:color w:val="000000"/>
          <w:sz w:val="20"/>
          <w:szCs w:val="20"/>
        </w:rPr>
      </w:pPr>
    </w:p>
    <w:p w:rsidR="00E8762F" w:rsidRPr="00AA3A41" w:rsidRDefault="00E8762F" w:rsidP="00F46C32">
      <w:pPr>
        <w:autoSpaceDE w:val="0"/>
        <w:autoSpaceDN w:val="0"/>
        <w:adjustRightInd w:val="0"/>
        <w:spacing w:after="0" w:line="240" w:lineRule="auto"/>
        <w:jc w:val="both"/>
        <w:rPr>
          <w:rFonts w:ascii="Arial" w:hAnsi="Arial" w:cs="Arial"/>
          <w:sz w:val="20"/>
          <w:szCs w:val="20"/>
        </w:rPr>
      </w:pPr>
      <w:r w:rsidRPr="00AA3A41">
        <w:rPr>
          <w:rFonts w:ascii="Arial" w:hAnsi="Arial" w:cs="Arial"/>
          <w:sz w:val="20"/>
          <w:szCs w:val="20"/>
        </w:rPr>
        <w:t xml:space="preserve">Observações: </w:t>
      </w:r>
    </w:p>
    <w:p w:rsidR="005C4DB7" w:rsidRDefault="00E4415D" w:rsidP="00E8762F">
      <w:pPr>
        <w:rPr>
          <w:rFonts w:ascii="Arial" w:hAnsi="Arial" w:cs="Arial"/>
          <w:b/>
          <w:color w:val="000000"/>
          <w:sz w:val="20"/>
          <w:szCs w:val="20"/>
        </w:rPr>
      </w:pPr>
      <w:r w:rsidRPr="005C4DB7">
        <w:rPr>
          <w:rFonts w:ascii="Arial" w:hAnsi="Arial" w:cs="Arial"/>
          <w:noProof/>
          <w:sz w:val="20"/>
          <w:szCs w:val="20"/>
          <w:lang w:eastAsia="pt-BR"/>
        </w:rPr>
        <mc:AlternateContent>
          <mc:Choice Requires="wps">
            <w:drawing>
              <wp:anchor distT="0" distB="0" distL="114300" distR="114300" simplePos="0" relativeHeight="251665408" behindDoc="0" locked="0" layoutInCell="1" allowOverlap="1" wp14:anchorId="15D64EE6" wp14:editId="599D7F15">
                <wp:simplePos x="0" y="0"/>
                <wp:positionH relativeFrom="margin">
                  <wp:posOffset>-6350</wp:posOffset>
                </wp:positionH>
                <wp:positionV relativeFrom="paragraph">
                  <wp:posOffset>69850</wp:posOffset>
                </wp:positionV>
                <wp:extent cx="5420995" cy="0"/>
                <wp:effectExtent l="0" t="0" r="27305" b="57150"/>
                <wp:wrapNone/>
                <wp:docPr id="58" name="Conector re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99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8"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5.5pt" to="42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" strokecolor="black [3200]" strokeweight="2pt">
                <v:shadow on="t" color="black" opacity="24903f" origin=",.5" offset="0,.55556mm"/>
                <w10:wrap anchorx="margin"/>
              </v:line>
            </w:pict>
          </mc:Fallback>
        </mc:AlternateContent>
      </w:r>
    </w:p>
    <w:p w:rsidR="0026477F" w:rsidRDefault="0026477F" w:rsidP="00601974">
      <w:pPr>
        <w:spacing w:after="0"/>
        <w:rPr>
          <w:rFonts w:ascii="Arial" w:hAnsi="Arial" w:cs="Arial"/>
          <w:color w:val="000000"/>
          <w:sz w:val="20"/>
          <w:szCs w:val="20"/>
        </w:rPr>
      </w:pPr>
      <w:r w:rsidRPr="00AD528F">
        <w:rPr>
          <w:rFonts w:ascii="Arial" w:hAnsi="Arial" w:cs="Arial"/>
          <w:color w:val="000000"/>
          <w:sz w:val="20"/>
          <w:szCs w:val="20"/>
        </w:rPr>
        <w:t>Ju</w:t>
      </w:r>
      <w:r w:rsidR="00AD528F" w:rsidRPr="00AD528F">
        <w:rPr>
          <w:rFonts w:ascii="Arial" w:hAnsi="Arial" w:cs="Arial"/>
          <w:color w:val="000000"/>
          <w:sz w:val="20"/>
          <w:szCs w:val="20"/>
        </w:rPr>
        <w:t xml:space="preserve">risprudência Selecionada: </w:t>
      </w:r>
    </w:p>
    <w:p w:rsidR="00601974" w:rsidRDefault="00601974" w:rsidP="00601974">
      <w:pPr>
        <w:spacing w:after="0"/>
        <w:rPr>
          <w:rFonts w:ascii="Arial" w:hAnsi="Arial" w:cs="Arial"/>
          <w:b/>
          <w:color w:val="000000"/>
          <w:sz w:val="20"/>
          <w:szCs w:val="20"/>
        </w:rPr>
      </w:pPr>
    </w:p>
    <w:p w:rsidR="008633B6" w:rsidRDefault="008633B6" w:rsidP="00601974">
      <w:pPr>
        <w:spacing w:after="0"/>
        <w:rPr>
          <w:rFonts w:ascii="Arial" w:hAnsi="Arial" w:cs="Arial"/>
          <w:b/>
          <w:color w:val="000000"/>
          <w:sz w:val="20"/>
          <w:szCs w:val="20"/>
        </w:rPr>
      </w:pPr>
      <w:r>
        <w:rPr>
          <w:rFonts w:ascii="Arial" w:hAnsi="Arial" w:cs="Arial"/>
          <w:b/>
          <w:color w:val="000000"/>
          <w:sz w:val="20"/>
          <w:szCs w:val="20"/>
        </w:rPr>
        <w:t>Tribunal de Contas da União:</w:t>
      </w:r>
    </w:p>
    <w:p w:rsidR="007E50B0" w:rsidRDefault="007E50B0" w:rsidP="00601974">
      <w:pPr>
        <w:spacing w:after="0"/>
        <w:rPr>
          <w:rFonts w:ascii="Arial" w:hAnsi="Arial" w:cs="Arial"/>
          <w:b/>
          <w:color w:val="000000"/>
          <w:sz w:val="20"/>
          <w:szCs w:val="20"/>
        </w:rPr>
      </w:pPr>
    </w:p>
    <w:p w:rsidR="007E50B0" w:rsidRPr="00322B44" w:rsidRDefault="0084049E" w:rsidP="00322B44">
      <w:pPr>
        <w:spacing w:after="0"/>
        <w:jc w:val="both"/>
        <w:rPr>
          <w:rFonts w:ascii="Arial" w:hAnsi="Arial" w:cs="Arial"/>
          <w:color w:val="000000"/>
          <w:sz w:val="20"/>
          <w:szCs w:val="20"/>
        </w:rPr>
      </w:pPr>
      <w:hyperlink r:id="rId17" w:history="1">
        <w:r w:rsidR="007E50B0" w:rsidRPr="00F446B6">
          <w:rPr>
            <w:rStyle w:val="Hyperlink"/>
            <w:rFonts w:ascii="Arial" w:hAnsi="Arial" w:cs="Arial"/>
            <w:b/>
            <w:sz w:val="20"/>
            <w:szCs w:val="20"/>
          </w:rPr>
          <w:t>Acórdão n° 934/2017 - Primeira Câmara</w:t>
        </w:r>
      </w:hyperlink>
      <w:r w:rsidR="007E50B0" w:rsidRPr="00322B44">
        <w:rPr>
          <w:rFonts w:ascii="Arial" w:hAnsi="Arial" w:cs="Arial"/>
          <w:color w:val="000000"/>
          <w:sz w:val="20"/>
          <w:szCs w:val="20"/>
        </w:rPr>
        <w:t xml:space="preserve"> (Tomada de Contas Especial, Relator Ministro Benjamin </w:t>
      </w:r>
      <w:proofErr w:type="spellStart"/>
      <w:r w:rsidR="007E50B0" w:rsidRPr="00322B44">
        <w:rPr>
          <w:rFonts w:ascii="Arial" w:hAnsi="Arial" w:cs="Arial"/>
          <w:color w:val="000000"/>
          <w:sz w:val="20"/>
          <w:szCs w:val="20"/>
        </w:rPr>
        <w:t>Zymler</w:t>
      </w:r>
      <w:proofErr w:type="spellEnd"/>
      <w:r w:rsidR="007E50B0" w:rsidRPr="00322B44">
        <w:rPr>
          <w:rFonts w:ascii="Arial" w:hAnsi="Arial" w:cs="Arial"/>
          <w:color w:val="000000"/>
          <w:sz w:val="20"/>
          <w:szCs w:val="20"/>
        </w:rPr>
        <w:t>).</w:t>
      </w:r>
    </w:p>
    <w:p w:rsidR="007E50B0" w:rsidRPr="00322B44" w:rsidRDefault="007E50B0" w:rsidP="00322B44">
      <w:pPr>
        <w:spacing w:after="0"/>
        <w:jc w:val="both"/>
        <w:rPr>
          <w:rFonts w:ascii="Arial" w:hAnsi="Arial" w:cs="Arial"/>
          <w:b/>
          <w:color w:val="000000"/>
          <w:sz w:val="20"/>
          <w:szCs w:val="20"/>
        </w:rPr>
      </w:pPr>
    </w:p>
    <w:p w:rsidR="008A5881" w:rsidRDefault="008A5881" w:rsidP="00322B44">
      <w:pPr>
        <w:spacing w:after="0"/>
        <w:jc w:val="both"/>
        <w:rPr>
          <w:rFonts w:ascii="Arial" w:hAnsi="Arial" w:cs="Arial"/>
          <w:sz w:val="20"/>
          <w:szCs w:val="20"/>
        </w:rPr>
      </w:pPr>
      <w:r w:rsidRPr="00322B44">
        <w:rPr>
          <w:rFonts w:ascii="Arial" w:hAnsi="Arial" w:cs="Arial"/>
          <w:sz w:val="20"/>
          <w:szCs w:val="20"/>
        </w:rPr>
        <w:t>Responsabilidade. Débito. Agente privado. Empresa privada. Sócio. Desconsideração da personalidade jurídica.</w:t>
      </w:r>
    </w:p>
    <w:p w:rsidR="00322B44" w:rsidRPr="00322B44" w:rsidRDefault="00322B44" w:rsidP="00322B44">
      <w:pPr>
        <w:spacing w:after="0"/>
        <w:jc w:val="both"/>
        <w:rPr>
          <w:rFonts w:ascii="Arial" w:hAnsi="Arial" w:cs="Arial"/>
          <w:sz w:val="20"/>
          <w:szCs w:val="20"/>
        </w:rPr>
      </w:pPr>
    </w:p>
    <w:p w:rsidR="008A5881" w:rsidRDefault="008A5881" w:rsidP="00322B44">
      <w:pPr>
        <w:pStyle w:val="TCU-Epgrafe"/>
        <w:spacing w:line="276" w:lineRule="auto"/>
        <w:ind w:left="0"/>
        <w:rPr>
          <w:rFonts w:ascii="Arial" w:hAnsi="Arial" w:cs="Arial"/>
          <w:sz w:val="20"/>
        </w:rPr>
      </w:pPr>
      <w:r w:rsidRPr="00322B44">
        <w:rPr>
          <w:rFonts w:ascii="Arial" w:hAnsi="Arial" w:cs="Arial"/>
          <w:sz w:val="20"/>
        </w:rPr>
        <w:t xml:space="preserve">Quando o vínculo entre a Administração Pública e o particular deriva de um contrato, a responsabilidade é prioritariamente da pessoa jurídica contratada, por ter sido ela que se obrigou perante o Estado, não podendo o TCU atribuir </w:t>
      </w:r>
      <w:proofErr w:type="gramStart"/>
      <w:r w:rsidRPr="00322B44">
        <w:rPr>
          <w:rFonts w:ascii="Arial" w:hAnsi="Arial" w:cs="Arial"/>
          <w:sz w:val="20"/>
        </w:rPr>
        <w:t>a</w:t>
      </w:r>
      <w:proofErr w:type="gramEnd"/>
      <w:r w:rsidRPr="00322B44">
        <w:rPr>
          <w:rFonts w:ascii="Arial" w:hAnsi="Arial" w:cs="Arial"/>
          <w:sz w:val="20"/>
        </w:rPr>
        <w:t xml:space="preserve"> obrigação de indenizar às pessoas físicas que assinaram o termo contratual ou praticaram atos relacionados à avença na condição de representantes da contratada; salvo em hipóteses excepcionais relativas a conluios, abuso de direito ou prática de atos ilegais ou contrários às normas constitutivas ou regulamentares da entidade contratada, situações em que se aplica a desconsideração da personalidade jurídica para alcançar sócios ou administradores.</w:t>
      </w:r>
    </w:p>
    <w:p w:rsidR="00322B44" w:rsidRPr="00322B44" w:rsidRDefault="00322B44" w:rsidP="00322B44">
      <w:pPr>
        <w:pStyle w:val="TCU-Epgrafe"/>
        <w:spacing w:line="276" w:lineRule="auto"/>
        <w:ind w:left="0"/>
        <w:rPr>
          <w:rFonts w:ascii="Arial" w:hAnsi="Arial" w:cs="Arial"/>
          <w:b/>
          <w:sz w:val="20"/>
        </w:rPr>
      </w:pPr>
    </w:p>
    <w:p w:rsidR="00386EB9" w:rsidRDefault="0084049E" w:rsidP="00322B44">
      <w:pPr>
        <w:widowControl w:val="0"/>
        <w:autoSpaceDE w:val="0"/>
        <w:autoSpaceDN w:val="0"/>
        <w:spacing w:after="0"/>
        <w:jc w:val="both"/>
        <w:rPr>
          <w:rFonts w:ascii="Arial" w:hAnsi="Arial" w:cs="Arial"/>
          <w:sz w:val="20"/>
          <w:szCs w:val="20"/>
        </w:rPr>
      </w:pPr>
      <w:hyperlink r:id="rId18" w:history="1">
        <w:r w:rsidR="00386EB9" w:rsidRPr="00C86422">
          <w:rPr>
            <w:rStyle w:val="Hyperlink"/>
            <w:rFonts w:ascii="Arial" w:hAnsi="Arial" w:cs="Arial"/>
            <w:b/>
            <w:sz w:val="20"/>
            <w:szCs w:val="20"/>
          </w:rPr>
          <w:t>Acórdão</w:t>
        </w:r>
        <w:r w:rsidR="001A249F" w:rsidRPr="00C86422">
          <w:rPr>
            <w:rStyle w:val="Hyperlink"/>
            <w:rFonts w:ascii="Arial" w:hAnsi="Arial" w:cs="Arial"/>
            <w:b/>
            <w:sz w:val="20"/>
            <w:szCs w:val="20"/>
          </w:rPr>
          <w:t xml:space="preserve"> n°</w:t>
        </w:r>
        <w:r w:rsidR="00386EB9" w:rsidRPr="00C86422">
          <w:rPr>
            <w:rStyle w:val="Hyperlink"/>
            <w:rFonts w:ascii="Arial" w:hAnsi="Arial" w:cs="Arial"/>
            <w:b/>
            <w:sz w:val="20"/>
            <w:szCs w:val="20"/>
          </w:rPr>
          <w:t xml:space="preserve"> 1115/2017</w:t>
        </w:r>
        <w:r w:rsidR="001A249F" w:rsidRPr="00C86422">
          <w:rPr>
            <w:rStyle w:val="Hyperlink"/>
            <w:rFonts w:ascii="Arial" w:hAnsi="Arial" w:cs="Arial"/>
            <w:b/>
            <w:sz w:val="20"/>
            <w:szCs w:val="20"/>
          </w:rPr>
          <w:t xml:space="preserve"> -</w:t>
        </w:r>
        <w:r w:rsidR="00386EB9" w:rsidRPr="00C86422">
          <w:rPr>
            <w:rStyle w:val="Hyperlink"/>
            <w:rFonts w:ascii="Arial" w:hAnsi="Arial" w:cs="Arial"/>
            <w:b/>
            <w:sz w:val="20"/>
            <w:szCs w:val="20"/>
          </w:rPr>
          <w:t xml:space="preserve"> Primeira Câmara</w:t>
        </w:r>
      </w:hyperlink>
      <w:r w:rsidR="00386EB9" w:rsidRPr="00322B44">
        <w:rPr>
          <w:rFonts w:ascii="Arial" w:hAnsi="Arial" w:cs="Arial"/>
          <w:b/>
          <w:sz w:val="20"/>
          <w:szCs w:val="20"/>
        </w:rPr>
        <w:t xml:space="preserve"> </w:t>
      </w:r>
      <w:r w:rsidR="00386EB9" w:rsidRPr="00322B44">
        <w:rPr>
          <w:rFonts w:ascii="Arial" w:hAnsi="Arial" w:cs="Arial"/>
          <w:sz w:val="20"/>
          <w:szCs w:val="20"/>
        </w:rPr>
        <w:t>(Embargos de Declaração, Relator Ministro Bruno Dantas)</w:t>
      </w:r>
      <w:r w:rsidR="009F33BF">
        <w:rPr>
          <w:rFonts w:ascii="Arial" w:hAnsi="Arial" w:cs="Arial"/>
          <w:sz w:val="20"/>
          <w:szCs w:val="20"/>
        </w:rPr>
        <w:t>.</w:t>
      </w:r>
    </w:p>
    <w:p w:rsidR="00322B44" w:rsidRPr="00322B44" w:rsidRDefault="00322B44" w:rsidP="00322B44">
      <w:pPr>
        <w:widowControl w:val="0"/>
        <w:autoSpaceDE w:val="0"/>
        <w:autoSpaceDN w:val="0"/>
        <w:spacing w:after="0"/>
        <w:jc w:val="both"/>
        <w:rPr>
          <w:rFonts w:ascii="Arial" w:hAnsi="Arial" w:cs="Arial"/>
          <w:b/>
          <w:sz w:val="20"/>
          <w:szCs w:val="20"/>
        </w:rPr>
      </w:pPr>
    </w:p>
    <w:p w:rsidR="00386EB9" w:rsidRDefault="00386EB9" w:rsidP="00322B44">
      <w:pPr>
        <w:spacing w:after="0"/>
        <w:jc w:val="both"/>
        <w:rPr>
          <w:rFonts w:ascii="Arial" w:hAnsi="Arial" w:cs="Arial"/>
          <w:sz w:val="20"/>
          <w:szCs w:val="20"/>
        </w:rPr>
      </w:pPr>
      <w:r w:rsidRPr="00322B44">
        <w:rPr>
          <w:rFonts w:ascii="Arial" w:hAnsi="Arial" w:cs="Arial"/>
          <w:sz w:val="20"/>
          <w:szCs w:val="20"/>
        </w:rPr>
        <w:t>Competência do TCU. Princípio da independência das instâncias. Decisão judicial. Repercussão geral. Sobrestamento.</w:t>
      </w:r>
    </w:p>
    <w:p w:rsidR="00322B44" w:rsidRPr="00322B44" w:rsidRDefault="00322B44" w:rsidP="00322B44">
      <w:pPr>
        <w:spacing w:after="0"/>
        <w:jc w:val="both"/>
        <w:rPr>
          <w:rFonts w:ascii="Arial" w:hAnsi="Arial" w:cs="Arial"/>
          <w:sz w:val="20"/>
          <w:szCs w:val="20"/>
        </w:rPr>
      </w:pPr>
    </w:p>
    <w:p w:rsidR="00386EB9" w:rsidRDefault="00386EB9" w:rsidP="00322B44">
      <w:pPr>
        <w:spacing w:after="0"/>
        <w:jc w:val="both"/>
        <w:rPr>
          <w:rFonts w:ascii="Arial" w:hAnsi="Arial" w:cs="Arial"/>
          <w:sz w:val="20"/>
          <w:szCs w:val="20"/>
          <w:shd w:val="clear" w:color="auto" w:fill="FFFFFF"/>
          <w:lang w:eastAsia="pt-BR"/>
        </w:rPr>
      </w:pPr>
      <w:r w:rsidRPr="00322B44">
        <w:rPr>
          <w:rFonts w:ascii="Arial" w:hAnsi="Arial" w:cs="Arial"/>
          <w:sz w:val="20"/>
          <w:szCs w:val="20"/>
          <w:shd w:val="clear" w:color="auto" w:fill="FFFFFF"/>
          <w:lang w:eastAsia="pt-BR"/>
        </w:rPr>
        <w:t>A existência de recurso extraordinário no STF, com repercussão geral reconhecida, pendente de apreciação, não obriga o sobrestamento de processos no âmbito do TCU, em respeito ao princípio da independência de instâncias. Compete ao TCU exercer juízo de conveniência e oportunidade quanto ao sobrestamento de seus processos.</w:t>
      </w:r>
    </w:p>
    <w:p w:rsidR="00C738A1" w:rsidRDefault="00C738A1" w:rsidP="00322B44">
      <w:pPr>
        <w:spacing w:after="0"/>
        <w:jc w:val="both"/>
        <w:rPr>
          <w:rFonts w:ascii="Arial" w:hAnsi="Arial" w:cs="Arial"/>
          <w:sz w:val="20"/>
          <w:szCs w:val="20"/>
          <w:shd w:val="clear" w:color="auto" w:fill="FFFFFF"/>
          <w:lang w:eastAsia="pt-BR"/>
        </w:rPr>
      </w:pPr>
    </w:p>
    <w:p w:rsidR="00C738A1" w:rsidRDefault="00C738A1" w:rsidP="00322B44">
      <w:pPr>
        <w:spacing w:after="0"/>
        <w:jc w:val="both"/>
        <w:rPr>
          <w:rFonts w:ascii="Arial" w:hAnsi="Arial" w:cs="Arial"/>
          <w:sz w:val="20"/>
          <w:szCs w:val="20"/>
          <w:shd w:val="clear" w:color="auto" w:fill="FFFFFF"/>
          <w:lang w:eastAsia="pt-BR"/>
        </w:rPr>
      </w:pPr>
    </w:p>
    <w:p w:rsidR="00C738A1" w:rsidRDefault="00C738A1" w:rsidP="00322B44">
      <w:pPr>
        <w:spacing w:after="0"/>
        <w:jc w:val="both"/>
        <w:rPr>
          <w:rFonts w:ascii="Arial" w:hAnsi="Arial" w:cs="Arial"/>
          <w:sz w:val="20"/>
          <w:szCs w:val="20"/>
          <w:shd w:val="clear" w:color="auto" w:fill="FFFFFF"/>
          <w:lang w:eastAsia="pt-BR"/>
        </w:rPr>
      </w:pPr>
    </w:p>
    <w:p w:rsidR="00322B44" w:rsidRPr="00322B44" w:rsidRDefault="00322B44" w:rsidP="00322B44">
      <w:pPr>
        <w:spacing w:after="0"/>
        <w:jc w:val="both"/>
        <w:rPr>
          <w:rFonts w:ascii="Arial" w:hAnsi="Arial" w:cs="Arial"/>
          <w:sz w:val="20"/>
          <w:szCs w:val="20"/>
        </w:rPr>
      </w:pPr>
    </w:p>
    <w:p w:rsidR="00386EB9" w:rsidRDefault="0084049E" w:rsidP="00322B44">
      <w:pPr>
        <w:widowControl w:val="0"/>
        <w:autoSpaceDE w:val="0"/>
        <w:autoSpaceDN w:val="0"/>
        <w:spacing w:after="0"/>
        <w:jc w:val="both"/>
        <w:rPr>
          <w:rFonts w:ascii="Arial" w:hAnsi="Arial" w:cs="Arial"/>
          <w:sz w:val="20"/>
          <w:szCs w:val="20"/>
        </w:rPr>
      </w:pPr>
      <w:hyperlink r:id="rId19" w:history="1">
        <w:r w:rsidR="00386EB9" w:rsidRPr="00C54799">
          <w:rPr>
            <w:rStyle w:val="Hyperlink"/>
            <w:rFonts w:ascii="Arial" w:hAnsi="Arial" w:cs="Arial"/>
            <w:b/>
            <w:sz w:val="20"/>
            <w:szCs w:val="20"/>
          </w:rPr>
          <w:t>Acórdão</w:t>
        </w:r>
        <w:r w:rsidR="00AF2C87" w:rsidRPr="00C54799">
          <w:rPr>
            <w:rStyle w:val="Hyperlink"/>
            <w:rFonts w:ascii="Arial" w:hAnsi="Arial" w:cs="Arial"/>
            <w:b/>
            <w:sz w:val="20"/>
            <w:szCs w:val="20"/>
          </w:rPr>
          <w:t xml:space="preserve"> n°</w:t>
        </w:r>
        <w:r w:rsidR="00386EB9" w:rsidRPr="00C54799">
          <w:rPr>
            <w:rStyle w:val="Hyperlink"/>
            <w:rFonts w:ascii="Arial" w:hAnsi="Arial" w:cs="Arial"/>
            <w:b/>
            <w:sz w:val="20"/>
            <w:szCs w:val="20"/>
          </w:rPr>
          <w:t xml:space="preserve"> 1130/2017</w:t>
        </w:r>
        <w:r w:rsidR="00AF2C87" w:rsidRPr="00C54799">
          <w:rPr>
            <w:rStyle w:val="Hyperlink"/>
            <w:rFonts w:ascii="Arial" w:hAnsi="Arial" w:cs="Arial"/>
            <w:b/>
            <w:sz w:val="20"/>
            <w:szCs w:val="20"/>
          </w:rPr>
          <w:t xml:space="preserve"> -</w:t>
        </w:r>
        <w:r w:rsidR="00386EB9" w:rsidRPr="00C54799">
          <w:rPr>
            <w:rStyle w:val="Hyperlink"/>
            <w:rFonts w:ascii="Arial" w:hAnsi="Arial" w:cs="Arial"/>
            <w:b/>
            <w:sz w:val="20"/>
            <w:szCs w:val="20"/>
          </w:rPr>
          <w:t xml:space="preserve"> Primeira Câmara</w:t>
        </w:r>
      </w:hyperlink>
      <w:r w:rsidR="00386EB9" w:rsidRPr="00322B44">
        <w:rPr>
          <w:rFonts w:ascii="Arial" w:hAnsi="Arial" w:cs="Arial"/>
          <w:b/>
          <w:sz w:val="20"/>
          <w:szCs w:val="20"/>
        </w:rPr>
        <w:t xml:space="preserve"> </w:t>
      </w:r>
      <w:r w:rsidR="00386EB9" w:rsidRPr="00322B44">
        <w:rPr>
          <w:rFonts w:ascii="Arial" w:hAnsi="Arial" w:cs="Arial"/>
          <w:sz w:val="20"/>
          <w:szCs w:val="20"/>
        </w:rPr>
        <w:t xml:space="preserve">(Tomada de Contas Especial, Relator Ministro-Substituto </w:t>
      </w:r>
      <w:proofErr w:type="spellStart"/>
      <w:r w:rsidR="00386EB9" w:rsidRPr="00322B44">
        <w:rPr>
          <w:rFonts w:ascii="Arial" w:hAnsi="Arial" w:cs="Arial"/>
          <w:sz w:val="20"/>
          <w:szCs w:val="20"/>
        </w:rPr>
        <w:t>Weder</w:t>
      </w:r>
      <w:proofErr w:type="spellEnd"/>
      <w:r w:rsidR="00386EB9" w:rsidRPr="00322B44">
        <w:rPr>
          <w:rFonts w:ascii="Arial" w:hAnsi="Arial" w:cs="Arial"/>
          <w:sz w:val="20"/>
          <w:szCs w:val="20"/>
        </w:rPr>
        <w:t xml:space="preserve"> de Oliveira</w:t>
      </w:r>
      <w:proofErr w:type="gramStart"/>
      <w:r w:rsidR="00386EB9" w:rsidRPr="00322B44">
        <w:rPr>
          <w:rFonts w:ascii="Arial" w:hAnsi="Arial" w:cs="Arial"/>
          <w:sz w:val="20"/>
          <w:szCs w:val="20"/>
        </w:rPr>
        <w:t>)</w:t>
      </w:r>
      <w:proofErr w:type="gramEnd"/>
    </w:p>
    <w:p w:rsidR="00322B44" w:rsidRPr="00322B44" w:rsidRDefault="00322B44" w:rsidP="00322B44">
      <w:pPr>
        <w:widowControl w:val="0"/>
        <w:autoSpaceDE w:val="0"/>
        <w:autoSpaceDN w:val="0"/>
        <w:spacing w:after="0"/>
        <w:jc w:val="both"/>
        <w:rPr>
          <w:rFonts w:ascii="Arial" w:hAnsi="Arial" w:cs="Arial"/>
          <w:b/>
          <w:sz w:val="20"/>
          <w:szCs w:val="20"/>
        </w:rPr>
      </w:pPr>
    </w:p>
    <w:p w:rsidR="00386EB9" w:rsidRDefault="00386EB9" w:rsidP="00322B44">
      <w:pPr>
        <w:spacing w:after="0"/>
        <w:jc w:val="both"/>
        <w:rPr>
          <w:rFonts w:ascii="Arial" w:hAnsi="Arial" w:cs="Arial"/>
          <w:sz w:val="20"/>
          <w:szCs w:val="20"/>
        </w:rPr>
      </w:pPr>
      <w:r w:rsidRPr="00322B44">
        <w:rPr>
          <w:rFonts w:ascii="Arial" w:hAnsi="Arial" w:cs="Arial"/>
          <w:sz w:val="20"/>
          <w:szCs w:val="20"/>
        </w:rPr>
        <w:t>Convênio. Execução financeira. Nexo de causalidade. Cheque. Endosso.</w:t>
      </w:r>
    </w:p>
    <w:p w:rsidR="00322B44" w:rsidRPr="00322B44" w:rsidRDefault="00322B44" w:rsidP="00322B44">
      <w:pPr>
        <w:spacing w:after="0"/>
        <w:jc w:val="both"/>
        <w:rPr>
          <w:rFonts w:ascii="Arial" w:hAnsi="Arial" w:cs="Arial"/>
          <w:sz w:val="20"/>
          <w:szCs w:val="20"/>
        </w:rPr>
      </w:pPr>
    </w:p>
    <w:p w:rsidR="00386EB9" w:rsidRPr="00322B44" w:rsidRDefault="00386EB9" w:rsidP="00322B44">
      <w:pPr>
        <w:pStyle w:val="TCU-Epgrafe"/>
        <w:spacing w:line="276" w:lineRule="auto"/>
        <w:ind w:left="0"/>
        <w:rPr>
          <w:rFonts w:ascii="Arial" w:hAnsi="Arial" w:cs="Arial"/>
          <w:sz w:val="20"/>
        </w:rPr>
      </w:pPr>
      <w:r w:rsidRPr="00322B44">
        <w:rPr>
          <w:rFonts w:ascii="Arial" w:hAnsi="Arial" w:cs="Arial"/>
          <w:sz w:val="20"/>
        </w:rPr>
        <w:t xml:space="preserve">O fato de o cheque ter sido emitido em nome da empresa contratada, e, posteriormente, por ela endossado e depositado em conta do município não pode ser considerado, isoladamente, como elemento comprovador da quebra do nexo causal dos recursos, pois o endosso, permitido pela </w:t>
      </w:r>
      <w:hyperlink r:id="rId20" w:tgtFrame="_blank" w:history="1">
        <w:r w:rsidRPr="00322B44">
          <w:rPr>
            <w:rStyle w:val="Hyperlink"/>
            <w:rFonts w:ascii="Arial" w:hAnsi="Arial" w:cs="Arial"/>
            <w:color w:val="0000FF" w:themeColor="hyperlink"/>
            <w:sz w:val="20"/>
            <w:shd w:val="clear" w:color="auto" w:fill="FFFFFF"/>
          </w:rPr>
          <w:t>Lei 7.357/1985</w:t>
        </w:r>
      </w:hyperlink>
      <w:r w:rsidRPr="00322B44">
        <w:rPr>
          <w:rFonts w:ascii="Arial" w:hAnsi="Arial" w:cs="Arial"/>
          <w:sz w:val="20"/>
        </w:rPr>
        <w:t>, não descaracteriza o pagamento ao primeiro favorecido e não constitui argumento suficiente para imputação de dano ao erário por não comprovação de aplicação dos recursos no objeto do convênio.</w:t>
      </w:r>
    </w:p>
    <w:p w:rsidR="00386EB9" w:rsidRPr="00322B44" w:rsidRDefault="00386EB9" w:rsidP="00322B44">
      <w:pPr>
        <w:tabs>
          <w:tab w:val="left" w:pos="2280"/>
        </w:tabs>
        <w:spacing w:after="0"/>
        <w:rPr>
          <w:rStyle w:val="Hyperlink"/>
          <w:rFonts w:ascii="Arial" w:hAnsi="Arial" w:cs="Arial"/>
          <w:i/>
          <w:color w:val="000000" w:themeColor="text1"/>
          <w:sz w:val="20"/>
          <w:szCs w:val="20"/>
          <w:u w:val="none"/>
        </w:rPr>
      </w:pPr>
      <w:r w:rsidRPr="00322B44">
        <w:rPr>
          <w:rStyle w:val="Hyperlink"/>
          <w:rFonts w:ascii="Arial" w:hAnsi="Arial" w:cs="Arial"/>
          <w:i/>
          <w:color w:val="000000" w:themeColor="text1"/>
          <w:sz w:val="20"/>
          <w:szCs w:val="20"/>
          <w:u w:val="none"/>
        </w:rPr>
        <w:tab/>
      </w:r>
    </w:p>
    <w:p w:rsidR="00386EB9" w:rsidRDefault="0084049E" w:rsidP="00322B44">
      <w:pPr>
        <w:widowControl w:val="0"/>
        <w:autoSpaceDE w:val="0"/>
        <w:autoSpaceDN w:val="0"/>
        <w:spacing w:after="0"/>
        <w:jc w:val="both"/>
        <w:rPr>
          <w:rFonts w:ascii="Arial" w:hAnsi="Arial" w:cs="Arial"/>
          <w:sz w:val="20"/>
          <w:szCs w:val="20"/>
        </w:rPr>
      </w:pPr>
      <w:hyperlink r:id="rId21" w:history="1">
        <w:r w:rsidR="00386EB9" w:rsidRPr="00047A87">
          <w:rPr>
            <w:rStyle w:val="Hyperlink"/>
            <w:rFonts w:ascii="Arial" w:hAnsi="Arial" w:cs="Arial"/>
            <w:b/>
            <w:sz w:val="20"/>
            <w:szCs w:val="20"/>
          </w:rPr>
          <w:t>Acórdão</w:t>
        </w:r>
        <w:r w:rsidR="007062A0" w:rsidRPr="00047A87">
          <w:rPr>
            <w:rStyle w:val="Hyperlink"/>
            <w:rFonts w:ascii="Arial" w:hAnsi="Arial" w:cs="Arial"/>
            <w:b/>
            <w:sz w:val="20"/>
            <w:szCs w:val="20"/>
          </w:rPr>
          <w:t xml:space="preserve"> n°</w:t>
        </w:r>
        <w:r w:rsidR="00386EB9" w:rsidRPr="00047A87">
          <w:rPr>
            <w:rStyle w:val="Hyperlink"/>
            <w:rFonts w:ascii="Arial" w:hAnsi="Arial" w:cs="Arial"/>
            <w:b/>
            <w:sz w:val="20"/>
            <w:szCs w:val="20"/>
          </w:rPr>
          <w:t xml:space="preserve"> 364/2017</w:t>
        </w:r>
        <w:r w:rsidR="007062A0" w:rsidRPr="00047A87">
          <w:rPr>
            <w:rStyle w:val="Hyperlink"/>
            <w:rFonts w:ascii="Arial" w:hAnsi="Arial" w:cs="Arial"/>
            <w:b/>
            <w:sz w:val="20"/>
            <w:szCs w:val="20"/>
          </w:rPr>
          <w:t xml:space="preserve"> -</w:t>
        </w:r>
        <w:r w:rsidR="00386EB9" w:rsidRPr="00047A87">
          <w:rPr>
            <w:rStyle w:val="Hyperlink"/>
            <w:rFonts w:ascii="Arial" w:hAnsi="Arial" w:cs="Arial"/>
            <w:b/>
            <w:sz w:val="20"/>
            <w:szCs w:val="20"/>
          </w:rPr>
          <w:t xml:space="preserve"> Plenário</w:t>
        </w:r>
      </w:hyperlink>
      <w:r w:rsidR="00386EB9" w:rsidRPr="00322B44">
        <w:rPr>
          <w:rFonts w:ascii="Arial" w:hAnsi="Arial" w:cs="Arial"/>
          <w:b/>
          <w:sz w:val="20"/>
          <w:szCs w:val="20"/>
        </w:rPr>
        <w:t xml:space="preserve"> </w:t>
      </w:r>
      <w:r w:rsidR="00386EB9" w:rsidRPr="00322B44">
        <w:rPr>
          <w:rFonts w:ascii="Arial" w:hAnsi="Arial" w:cs="Arial"/>
          <w:sz w:val="20"/>
          <w:szCs w:val="20"/>
        </w:rPr>
        <w:t xml:space="preserve">(Solicitação do Congresso Nacional, Relator Ministro Benjamin </w:t>
      </w:r>
      <w:proofErr w:type="spellStart"/>
      <w:r w:rsidR="00386EB9" w:rsidRPr="00322B44">
        <w:rPr>
          <w:rFonts w:ascii="Arial" w:hAnsi="Arial" w:cs="Arial"/>
          <w:sz w:val="20"/>
          <w:szCs w:val="20"/>
        </w:rPr>
        <w:t>Zymler</w:t>
      </w:r>
      <w:proofErr w:type="spellEnd"/>
      <w:proofErr w:type="gramStart"/>
      <w:r w:rsidR="00386EB9" w:rsidRPr="00322B44">
        <w:rPr>
          <w:rFonts w:ascii="Arial" w:hAnsi="Arial" w:cs="Arial"/>
          <w:sz w:val="20"/>
          <w:szCs w:val="20"/>
        </w:rPr>
        <w:t>)</w:t>
      </w:r>
      <w:proofErr w:type="gramEnd"/>
    </w:p>
    <w:p w:rsidR="00322B44" w:rsidRPr="00322B44" w:rsidRDefault="00322B44" w:rsidP="00322B44">
      <w:pPr>
        <w:widowControl w:val="0"/>
        <w:autoSpaceDE w:val="0"/>
        <w:autoSpaceDN w:val="0"/>
        <w:spacing w:after="0"/>
        <w:jc w:val="both"/>
        <w:rPr>
          <w:rFonts w:ascii="Arial" w:hAnsi="Arial" w:cs="Arial"/>
          <w:b/>
          <w:sz w:val="20"/>
          <w:szCs w:val="20"/>
        </w:rPr>
      </w:pPr>
    </w:p>
    <w:p w:rsidR="00386EB9" w:rsidRDefault="00386EB9" w:rsidP="00322B44">
      <w:pPr>
        <w:spacing w:after="0"/>
        <w:jc w:val="both"/>
        <w:rPr>
          <w:rFonts w:ascii="Arial" w:hAnsi="Arial" w:cs="Arial"/>
          <w:sz w:val="20"/>
          <w:szCs w:val="20"/>
        </w:rPr>
      </w:pPr>
      <w:r w:rsidRPr="00322B44">
        <w:rPr>
          <w:rFonts w:ascii="Arial" w:hAnsi="Arial" w:cs="Arial"/>
          <w:sz w:val="20"/>
          <w:szCs w:val="20"/>
        </w:rPr>
        <w:t>Direito Processual. Representação. Admissibilidade. Relator. Diligência. Unidade técnica.</w:t>
      </w:r>
    </w:p>
    <w:p w:rsidR="00322B44" w:rsidRPr="00322B44" w:rsidRDefault="00322B44" w:rsidP="00322B44">
      <w:pPr>
        <w:spacing w:after="0"/>
        <w:jc w:val="both"/>
        <w:rPr>
          <w:rFonts w:ascii="Arial" w:hAnsi="Arial" w:cs="Arial"/>
          <w:sz w:val="20"/>
          <w:szCs w:val="20"/>
        </w:rPr>
      </w:pPr>
    </w:p>
    <w:p w:rsidR="00386EB9" w:rsidRPr="00322B44" w:rsidRDefault="00386EB9" w:rsidP="00322B44">
      <w:pPr>
        <w:spacing w:after="0"/>
        <w:jc w:val="both"/>
        <w:rPr>
          <w:rFonts w:ascii="Arial" w:hAnsi="Arial" w:cs="Arial"/>
          <w:sz w:val="20"/>
          <w:szCs w:val="20"/>
        </w:rPr>
      </w:pPr>
      <w:r w:rsidRPr="00322B44">
        <w:rPr>
          <w:rFonts w:ascii="Arial" w:hAnsi="Arial" w:cs="Arial"/>
          <w:sz w:val="20"/>
          <w:szCs w:val="20"/>
        </w:rPr>
        <w:t>O processo de representação deve ser submetido preliminarmente pela unidade técnica ao respectivo relator, com análise de admissibilidade, para só depois, se acolhida, realizarem-se as correspondentes diligências. Não há que se falar em saneamento dos autos quando ainda não há nem mesmo o acolhimento da representação.</w:t>
      </w:r>
    </w:p>
    <w:p w:rsidR="00601974" w:rsidRDefault="00601974" w:rsidP="00601974">
      <w:pPr>
        <w:spacing w:after="0"/>
        <w:rPr>
          <w:rFonts w:ascii="Arial" w:hAnsi="Arial" w:cs="Arial"/>
          <w:color w:val="000000"/>
          <w:sz w:val="20"/>
          <w:szCs w:val="20"/>
        </w:rPr>
      </w:pPr>
    </w:p>
    <w:p w:rsidR="002874A2" w:rsidRDefault="0060126D" w:rsidP="007D62D9">
      <w:pPr>
        <w:rPr>
          <w:rStyle w:val="Hyperlink"/>
          <w:rFonts w:ascii="Arial" w:hAnsi="Arial" w:cs="Arial"/>
          <w:i/>
          <w:color w:val="000000" w:themeColor="text1"/>
          <w:sz w:val="18"/>
          <w:szCs w:val="18"/>
          <w:u w:val="none"/>
        </w:rPr>
      </w:pPr>
      <w:r w:rsidRPr="005C4DB7">
        <w:rPr>
          <w:rFonts w:ascii="Arial" w:hAnsi="Arial" w:cs="Arial"/>
          <w:noProof/>
          <w:sz w:val="20"/>
          <w:szCs w:val="20"/>
          <w:lang w:eastAsia="pt-BR"/>
        </w:rPr>
        <mc:AlternateContent>
          <mc:Choice Requires="wps">
            <w:drawing>
              <wp:anchor distT="0" distB="0" distL="114300" distR="114300" simplePos="0" relativeHeight="251667456" behindDoc="0" locked="0" layoutInCell="1" allowOverlap="1" wp14:anchorId="3947CCDE" wp14:editId="128B3492">
                <wp:simplePos x="0" y="0"/>
                <wp:positionH relativeFrom="margin">
                  <wp:posOffset>-10160</wp:posOffset>
                </wp:positionH>
                <wp:positionV relativeFrom="paragraph">
                  <wp:posOffset>97625</wp:posOffset>
                </wp:positionV>
                <wp:extent cx="5420995" cy="0"/>
                <wp:effectExtent l="0" t="0" r="27305"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0995"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Conector reto 59"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7.7pt" to="426.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" strokecolor="black [3200]" strokeweight="2pt">
                <v:shadow on="t" color="black" opacity="24903f" origin=",.5" offset="0,.55556mm"/>
                <w10:wrap anchorx="margin"/>
              </v:line>
            </w:pict>
          </mc:Fallback>
        </mc:AlternateContent>
      </w:r>
    </w:p>
    <w:p w:rsidR="00E30DE6" w:rsidRDefault="00E30DE6" w:rsidP="00E30DE6">
      <w:pPr>
        <w:spacing w:before="60" w:after="60"/>
        <w:jc w:val="center"/>
        <w:rPr>
          <w:rStyle w:val="Hyperlink"/>
          <w:rFonts w:ascii="Arial" w:hAnsi="Arial" w:cs="Arial"/>
          <w:i/>
          <w:color w:val="000000" w:themeColor="text1"/>
          <w:sz w:val="18"/>
          <w:szCs w:val="18"/>
          <w:u w:val="none"/>
        </w:rPr>
      </w:pPr>
      <w:r w:rsidRPr="00F41C34">
        <w:rPr>
          <w:rStyle w:val="Hyperlink"/>
          <w:rFonts w:ascii="Arial" w:hAnsi="Arial" w:cs="Arial"/>
          <w:i/>
          <w:color w:val="000000" w:themeColor="text1"/>
          <w:sz w:val="18"/>
          <w:szCs w:val="18"/>
          <w:u w:val="none"/>
        </w:rPr>
        <w:t xml:space="preserve">Elaboração: Escola de Gestão Pública </w:t>
      </w:r>
      <w:r w:rsidR="001A16DE">
        <w:rPr>
          <w:rStyle w:val="Hyperlink"/>
          <w:rFonts w:ascii="Arial" w:hAnsi="Arial" w:cs="Arial"/>
          <w:i/>
          <w:color w:val="000000" w:themeColor="text1"/>
          <w:sz w:val="18"/>
          <w:szCs w:val="18"/>
          <w:u w:val="none"/>
        </w:rPr>
        <w:t>-</w:t>
      </w:r>
      <w:r w:rsidRPr="00F41C34">
        <w:rPr>
          <w:rStyle w:val="Hyperlink"/>
          <w:rFonts w:ascii="Arial" w:hAnsi="Arial" w:cs="Arial"/>
          <w:i/>
          <w:color w:val="000000" w:themeColor="text1"/>
          <w:sz w:val="18"/>
          <w:szCs w:val="18"/>
          <w:u w:val="none"/>
        </w:rPr>
        <w:t xml:space="preserve"> Jurisprudência</w:t>
      </w:r>
    </w:p>
    <w:p w:rsidR="001A16DE" w:rsidRDefault="001A16DE" w:rsidP="00E30DE6">
      <w:pPr>
        <w:spacing w:before="60" w:after="60"/>
        <w:jc w:val="center"/>
        <w:rPr>
          <w:rStyle w:val="Hyperlink"/>
          <w:rFonts w:ascii="Arial" w:hAnsi="Arial" w:cs="Arial"/>
          <w:i/>
          <w:color w:val="000000" w:themeColor="text1"/>
          <w:sz w:val="18"/>
          <w:szCs w:val="18"/>
          <w:u w:val="none"/>
        </w:rPr>
      </w:pPr>
    </w:p>
    <w:p w:rsidR="0012211A" w:rsidRPr="0012211A" w:rsidRDefault="0012211A" w:rsidP="0012211A">
      <w:pPr>
        <w:spacing w:after="0" w:line="240" w:lineRule="auto"/>
        <w:rPr>
          <w:rFonts w:ascii="Times New Roman" w:eastAsia="Times New Roman" w:hAnsi="Times New Roman"/>
          <w:vanish/>
          <w:sz w:val="24"/>
          <w:szCs w:val="24"/>
          <w:lang w:eastAsia="pt-BR"/>
        </w:rPr>
      </w:pPr>
    </w:p>
    <w:p w:rsidR="004043AD" w:rsidRDefault="004043AD" w:rsidP="00646004">
      <w:pPr>
        <w:jc w:val="center"/>
        <w:rPr>
          <w:b/>
          <w:color w:val="212121"/>
        </w:rPr>
      </w:pPr>
    </w:p>
    <w:sectPr w:rsidR="004043AD">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7A9" w:rsidRDefault="009907A9" w:rsidP="00350CC2">
      <w:pPr>
        <w:spacing w:after="0" w:line="240" w:lineRule="auto"/>
      </w:pPr>
      <w:r>
        <w:separator/>
      </w:r>
    </w:p>
  </w:endnote>
  <w:endnote w:type="continuationSeparator" w:id="0">
    <w:p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5DE" w:rsidRDefault="002245DE" w:rsidP="002245DE">
    <w:pPr>
      <w:pStyle w:val="Rodap"/>
      <w:jc w:val="center"/>
      <w:rPr>
        <w:sz w:val="16"/>
        <w:szCs w:val="16"/>
      </w:rPr>
    </w:pPr>
    <w:r>
      <w:rPr>
        <w:noProof/>
        <w:lang w:eastAsia="pt-BR"/>
      </w:rPr>
      <w:drawing>
        <wp:inline distT="0" distB="0" distL="0" distR="0" wp14:anchorId="59336967" wp14:editId="245F8B5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84049E">
      <w:rPr>
        <w:noProof/>
        <w:sz w:val="16"/>
        <w:szCs w:val="16"/>
      </w:rPr>
      <w:t>7</w:t>
    </w:r>
    <w:r w:rsidRPr="00722924">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7A9" w:rsidRDefault="009907A9" w:rsidP="00350CC2">
      <w:pPr>
        <w:spacing w:after="0" w:line="240" w:lineRule="auto"/>
      </w:pPr>
      <w:r>
        <w:separator/>
      </w:r>
    </w:p>
  </w:footnote>
  <w:footnote w:type="continuationSeparator" w:id="0">
    <w:p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FD7" w:rsidRDefault="006A5FD7" w:rsidP="00F14CCC">
    <w:pPr>
      <w:pStyle w:val="Cabealho"/>
      <w:spacing w:after="100" w:afterAutospacing="1"/>
      <w:jc w:val="center"/>
      <w:rPr>
        <w:b/>
      </w:rPr>
    </w:pPr>
  </w:p>
  <w:p w:rsidR="006A5FD7" w:rsidRDefault="006A5FD7" w:rsidP="00F14CCC">
    <w:pPr>
      <w:pStyle w:val="Cabealho"/>
      <w:spacing w:after="100" w:afterAutospacing="1"/>
      <w:jc w:val="center"/>
      <w:rPr>
        <w:b/>
      </w:rPr>
    </w:pPr>
    <w:r>
      <w:rPr>
        <w:noProof/>
        <w:lang w:eastAsia="pt-BR"/>
      </w:rPr>
      <w:drawing>
        <wp:inline distT="0" distB="0" distL="0" distR="0" wp14:anchorId="577658B6" wp14:editId="723631CE">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69341B1"/>
    <w:multiLevelType w:val="hybridMultilevel"/>
    <w:tmpl w:val="953C9DC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1"/>
    <w:rsid w:val="0000505F"/>
    <w:rsid w:val="000078B5"/>
    <w:rsid w:val="00007F7A"/>
    <w:rsid w:val="00007FD0"/>
    <w:rsid w:val="00010F88"/>
    <w:rsid w:val="00012CBB"/>
    <w:rsid w:val="00013840"/>
    <w:rsid w:val="00017EBA"/>
    <w:rsid w:val="000300F4"/>
    <w:rsid w:val="00033E69"/>
    <w:rsid w:val="00034FD3"/>
    <w:rsid w:val="00046191"/>
    <w:rsid w:val="00047A87"/>
    <w:rsid w:val="00047EF1"/>
    <w:rsid w:val="00050CCF"/>
    <w:rsid w:val="00052862"/>
    <w:rsid w:val="00056686"/>
    <w:rsid w:val="00056E6F"/>
    <w:rsid w:val="000617CF"/>
    <w:rsid w:val="00062737"/>
    <w:rsid w:val="00064935"/>
    <w:rsid w:val="00070009"/>
    <w:rsid w:val="00070B14"/>
    <w:rsid w:val="0007200C"/>
    <w:rsid w:val="00074287"/>
    <w:rsid w:val="00074FAB"/>
    <w:rsid w:val="000759E5"/>
    <w:rsid w:val="000926D4"/>
    <w:rsid w:val="00092E5D"/>
    <w:rsid w:val="0009482D"/>
    <w:rsid w:val="000A29BE"/>
    <w:rsid w:val="000A4EB6"/>
    <w:rsid w:val="000A5F01"/>
    <w:rsid w:val="000A71D1"/>
    <w:rsid w:val="000B1E10"/>
    <w:rsid w:val="000B31B6"/>
    <w:rsid w:val="000B785D"/>
    <w:rsid w:val="000C3582"/>
    <w:rsid w:val="000C5093"/>
    <w:rsid w:val="000C63BC"/>
    <w:rsid w:val="000D4DE6"/>
    <w:rsid w:val="000E3FC6"/>
    <w:rsid w:val="000E5AC8"/>
    <w:rsid w:val="000F04ED"/>
    <w:rsid w:val="000F639D"/>
    <w:rsid w:val="00100B9C"/>
    <w:rsid w:val="001065C8"/>
    <w:rsid w:val="00110BD6"/>
    <w:rsid w:val="00111C26"/>
    <w:rsid w:val="00120862"/>
    <w:rsid w:val="0012211A"/>
    <w:rsid w:val="00123D02"/>
    <w:rsid w:val="00126447"/>
    <w:rsid w:val="00127DF2"/>
    <w:rsid w:val="001342E3"/>
    <w:rsid w:val="00135D5F"/>
    <w:rsid w:val="001472C1"/>
    <w:rsid w:val="00157806"/>
    <w:rsid w:val="001720EB"/>
    <w:rsid w:val="00173564"/>
    <w:rsid w:val="0018272D"/>
    <w:rsid w:val="00185C68"/>
    <w:rsid w:val="00190B94"/>
    <w:rsid w:val="001930D1"/>
    <w:rsid w:val="00196437"/>
    <w:rsid w:val="001A16DE"/>
    <w:rsid w:val="001A249F"/>
    <w:rsid w:val="001B5F7A"/>
    <w:rsid w:val="001B6E08"/>
    <w:rsid w:val="001B6F6D"/>
    <w:rsid w:val="001C3DF0"/>
    <w:rsid w:val="001D51BD"/>
    <w:rsid w:val="001D684B"/>
    <w:rsid w:val="001E3417"/>
    <w:rsid w:val="001E6CAA"/>
    <w:rsid w:val="002013D1"/>
    <w:rsid w:val="002020F7"/>
    <w:rsid w:val="002036C8"/>
    <w:rsid w:val="002100EE"/>
    <w:rsid w:val="002146A1"/>
    <w:rsid w:val="002147AC"/>
    <w:rsid w:val="00221D15"/>
    <w:rsid w:val="00223A59"/>
    <w:rsid w:val="002245DE"/>
    <w:rsid w:val="0023318C"/>
    <w:rsid w:val="00234AE0"/>
    <w:rsid w:val="00235F82"/>
    <w:rsid w:val="00237C21"/>
    <w:rsid w:val="002411EC"/>
    <w:rsid w:val="00256CEA"/>
    <w:rsid w:val="00260758"/>
    <w:rsid w:val="00260D58"/>
    <w:rsid w:val="0026477F"/>
    <w:rsid w:val="00271154"/>
    <w:rsid w:val="00285FE4"/>
    <w:rsid w:val="002874A2"/>
    <w:rsid w:val="002921E2"/>
    <w:rsid w:val="0029566D"/>
    <w:rsid w:val="00295F4B"/>
    <w:rsid w:val="002A00AC"/>
    <w:rsid w:val="002A1D5F"/>
    <w:rsid w:val="002B070A"/>
    <w:rsid w:val="002B14B7"/>
    <w:rsid w:val="002C56C9"/>
    <w:rsid w:val="002D5B56"/>
    <w:rsid w:val="002D6612"/>
    <w:rsid w:val="002D7650"/>
    <w:rsid w:val="002E3E55"/>
    <w:rsid w:val="002E4277"/>
    <w:rsid w:val="002E44C2"/>
    <w:rsid w:val="002E72FA"/>
    <w:rsid w:val="002E7DFF"/>
    <w:rsid w:val="002F0BE9"/>
    <w:rsid w:val="002F13A0"/>
    <w:rsid w:val="002F1634"/>
    <w:rsid w:val="002F1C06"/>
    <w:rsid w:val="002F22FA"/>
    <w:rsid w:val="00307038"/>
    <w:rsid w:val="00320577"/>
    <w:rsid w:val="0032266D"/>
    <w:rsid w:val="00322B44"/>
    <w:rsid w:val="00331533"/>
    <w:rsid w:val="00343C28"/>
    <w:rsid w:val="00344A41"/>
    <w:rsid w:val="0034575E"/>
    <w:rsid w:val="00350CC2"/>
    <w:rsid w:val="00353FEB"/>
    <w:rsid w:val="00356FB0"/>
    <w:rsid w:val="00361F1D"/>
    <w:rsid w:val="00365E61"/>
    <w:rsid w:val="0038012F"/>
    <w:rsid w:val="00386EB9"/>
    <w:rsid w:val="00394DF3"/>
    <w:rsid w:val="003C2057"/>
    <w:rsid w:val="003C6B35"/>
    <w:rsid w:val="003D7C37"/>
    <w:rsid w:val="003E55BC"/>
    <w:rsid w:val="003F03C6"/>
    <w:rsid w:val="003F677C"/>
    <w:rsid w:val="003F7090"/>
    <w:rsid w:val="004043AD"/>
    <w:rsid w:val="00406D2C"/>
    <w:rsid w:val="0041337A"/>
    <w:rsid w:val="00420AE1"/>
    <w:rsid w:val="0042728A"/>
    <w:rsid w:val="004276DC"/>
    <w:rsid w:val="0043291F"/>
    <w:rsid w:val="00437205"/>
    <w:rsid w:val="00437541"/>
    <w:rsid w:val="00441D38"/>
    <w:rsid w:val="00447BB2"/>
    <w:rsid w:val="00455AAB"/>
    <w:rsid w:val="0046165B"/>
    <w:rsid w:val="00462460"/>
    <w:rsid w:val="00462A13"/>
    <w:rsid w:val="00470218"/>
    <w:rsid w:val="00474EF7"/>
    <w:rsid w:val="00482FA5"/>
    <w:rsid w:val="00487D31"/>
    <w:rsid w:val="004920C5"/>
    <w:rsid w:val="004927D6"/>
    <w:rsid w:val="004965C3"/>
    <w:rsid w:val="004A5804"/>
    <w:rsid w:val="004A794E"/>
    <w:rsid w:val="004B12D5"/>
    <w:rsid w:val="004B142E"/>
    <w:rsid w:val="004B623F"/>
    <w:rsid w:val="004C11DE"/>
    <w:rsid w:val="004E6410"/>
    <w:rsid w:val="00501FC7"/>
    <w:rsid w:val="005025F4"/>
    <w:rsid w:val="00502AAF"/>
    <w:rsid w:val="00511F85"/>
    <w:rsid w:val="00517B69"/>
    <w:rsid w:val="00520368"/>
    <w:rsid w:val="00530F1E"/>
    <w:rsid w:val="00532F0D"/>
    <w:rsid w:val="00533C06"/>
    <w:rsid w:val="0053401E"/>
    <w:rsid w:val="00536E4B"/>
    <w:rsid w:val="00542636"/>
    <w:rsid w:val="00544AB5"/>
    <w:rsid w:val="00547AFC"/>
    <w:rsid w:val="0055022A"/>
    <w:rsid w:val="00556F73"/>
    <w:rsid w:val="00561787"/>
    <w:rsid w:val="0056193C"/>
    <w:rsid w:val="005650CD"/>
    <w:rsid w:val="00566AE8"/>
    <w:rsid w:val="005706D5"/>
    <w:rsid w:val="005759E4"/>
    <w:rsid w:val="005819D2"/>
    <w:rsid w:val="00584BC6"/>
    <w:rsid w:val="0058559D"/>
    <w:rsid w:val="00585A3B"/>
    <w:rsid w:val="005957D1"/>
    <w:rsid w:val="005A0FD0"/>
    <w:rsid w:val="005B7055"/>
    <w:rsid w:val="005C4DB7"/>
    <w:rsid w:val="005C5DC8"/>
    <w:rsid w:val="005D48C8"/>
    <w:rsid w:val="005D589F"/>
    <w:rsid w:val="005D58CE"/>
    <w:rsid w:val="005E2760"/>
    <w:rsid w:val="005F0C51"/>
    <w:rsid w:val="005F16DB"/>
    <w:rsid w:val="005F2BB5"/>
    <w:rsid w:val="005F3A96"/>
    <w:rsid w:val="005F4DBF"/>
    <w:rsid w:val="0060126D"/>
    <w:rsid w:val="00601974"/>
    <w:rsid w:val="006105E3"/>
    <w:rsid w:val="0061491F"/>
    <w:rsid w:val="00620DEF"/>
    <w:rsid w:val="00626DD6"/>
    <w:rsid w:val="0063211C"/>
    <w:rsid w:val="006331E3"/>
    <w:rsid w:val="00633C62"/>
    <w:rsid w:val="006361F0"/>
    <w:rsid w:val="006375ED"/>
    <w:rsid w:val="00640861"/>
    <w:rsid w:val="00640BDC"/>
    <w:rsid w:val="00646004"/>
    <w:rsid w:val="006536CC"/>
    <w:rsid w:val="0066130F"/>
    <w:rsid w:val="00667637"/>
    <w:rsid w:val="0068250F"/>
    <w:rsid w:val="00694174"/>
    <w:rsid w:val="006A27D6"/>
    <w:rsid w:val="006A5FD7"/>
    <w:rsid w:val="006B143E"/>
    <w:rsid w:val="006B5E72"/>
    <w:rsid w:val="006B772D"/>
    <w:rsid w:val="006C7A04"/>
    <w:rsid w:val="006D1BE7"/>
    <w:rsid w:val="006D443C"/>
    <w:rsid w:val="006D6FCC"/>
    <w:rsid w:val="006E26E8"/>
    <w:rsid w:val="006F341F"/>
    <w:rsid w:val="006F4894"/>
    <w:rsid w:val="00700672"/>
    <w:rsid w:val="007062A0"/>
    <w:rsid w:val="0070752C"/>
    <w:rsid w:val="00712A93"/>
    <w:rsid w:val="00714CF1"/>
    <w:rsid w:val="00715CEB"/>
    <w:rsid w:val="00722924"/>
    <w:rsid w:val="00723F1A"/>
    <w:rsid w:val="0073052B"/>
    <w:rsid w:val="007319AD"/>
    <w:rsid w:val="00740240"/>
    <w:rsid w:val="00742895"/>
    <w:rsid w:val="00742BC9"/>
    <w:rsid w:val="00744023"/>
    <w:rsid w:val="00745634"/>
    <w:rsid w:val="00747EAE"/>
    <w:rsid w:val="00750DEB"/>
    <w:rsid w:val="007557BC"/>
    <w:rsid w:val="00762976"/>
    <w:rsid w:val="00766834"/>
    <w:rsid w:val="0077082D"/>
    <w:rsid w:val="0077181C"/>
    <w:rsid w:val="0077499E"/>
    <w:rsid w:val="00777D26"/>
    <w:rsid w:val="00781066"/>
    <w:rsid w:val="00783479"/>
    <w:rsid w:val="0079708B"/>
    <w:rsid w:val="0079779E"/>
    <w:rsid w:val="007C0E7E"/>
    <w:rsid w:val="007D009C"/>
    <w:rsid w:val="007D2162"/>
    <w:rsid w:val="007D21C0"/>
    <w:rsid w:val="007D62D9"/>
    <w:rsid w:val="007D73C9"/>
    <w:rsid w:val="007E28C1"/>
    <w:rsid w:val="007E50B0"/>
    <w:rsid w:val="00801004"/>
    <w:rsid w:val="008058BC"/>
    <w:rsid w:val="00807854"/>
    <w:rsid w:val="00811A90"/>
    <w:rsid w:val="00815C4F"/>
    <w:rsid w:val="0082026A"/>
    <w:rsid w:val="00826075"/>
    <w:rsid w:val="008267CA"/>
    <w:rsid w:val="00826A19"/>
    <w:rsid w:val="00831915"/>
    <w:rsid w:val="0083305B"/>
    <w:rsid w:val="00834578"/>
    <w:rsid w:val="0084049E"/>
    <w:rsid w:val="0084086C"/>
    <w:rsid w:val="00841EAB"/>
    <w:rsid w:val="00844977"/>
    <w:rsid w:val="00845BB4"/>
    <w:rsid w:val="00847BF3"/>
    <w:rsid w:val="00853D0B"/>
    <w:rsid w:val="00854B16"/>
    <w:rsid w:val="00854BCA"/>
    <w:rsid w:val="008633B6"/>
    <w:rsid w:val="00866481"/>
    <w:rsid w:val="0087076A"/>
    <w:rsid w:val="008731E4"/>
    <w:rsid w:val="008745D6"/>
    <w:rsid w:val="00874DCA"/>
    <w:rsid w:val="00875D64"/>
    <w:rsid w:val="0088277A"/>
    <w:rsid w:val="0088297B"/>
    <w:rsid w:val="00890A70"/>
    <w:rsid w:val="008928B6"/>
    <w:rsid w:val="00894CA0"/>
    <w:rsid w:val="00895461"/>
    <w:rsid w:val="00895FB7"/>
    <w:rsid w:val="00897C5E"/>
    <w:rsid w:val="008A2307"/>
    <w:rsid w:val="008A2BB7"/>
    <w:rsid w:val="008A5881"/>
    <w:rsid w:val="008B55B4"/>
    <w:rsid w:val="008B6A00"/>
    <w:rsid w:val="008B75F8"/>
    <w:rsid w:val="008C0269"/>
    <w:rsid w:val="008C13D1"/>
    <w:rsid w:val="008C257C"/>
    <w:rsid w:val="008D0FDE"/>
    <w:rsid w:val="008D7F7C"/>
    <w:rsid w:val="008E16ED"/>
    <w:rsid w:val="008E280E"/>
    <w:rsid w:val="008E2BA7"/>
    <w:rsid w:val="008E5642"/>
    <w:rsid w:val="008E5CC2"/>
    <w:rsid w:val="008F2E20"/>
    <w:rsid w:val="00906F79"/>
    <w:rsid w:val="00912D60"/>
    <w:rsid w:val="00923B20"/>
    <w:rsid w:val="009263DF"/>
    <w:rsid w:val="00932A3A"/>
    <w:rsid w:val="00935444"/>
    <w:rsid w:val="009518D9"/>
    <w:rsid w:val="0095236F"/>
    <w:rsid w:val="00953350"/>
    <w:rsid w:val="0095728F"/>
    <w:rsid w:val="0097392A"/>
    <w:rsid w:val="0098512F"/>
    <w:rsid w:val="00985728"/>
    <w:rsid w:val="009857DD"/>
    <w:rsid w:val="009859AB"/>
    <w:rsid w:val="009907A9"/>
    <w:rsid w:val="00993DE4"/>
    <w:rsid w:val="00993F38"/>
    <w:rsid w:val="00996CBA"/>
    <w:rsid w:val="009A12ED"/>
    <w:rsid w:val="009A62FC"/>
    <w:rsid w:val="009B105E"/>
    <w:rsid w:val="009B396E"/>
    <w:rsid w:val="009B39A2"/>
    <w:rsid w:val="009B3B97"/>
    <w:rsid w:val="009B567A"/>
    <w:rsid w:val="009B5F93"/>
    <w:rsid w:val="009C5C75"/>
    <w:rsid w:val="009D2A29"/>
    <w:rsid w:val="009E4DF2"/>
    <w:rsid w:val="009E5946"/>
    <w:rsid w:val="009E6D60"/>
    <w:rsid w:val="009F33BF"/>
    <w:rsid w:val="009F3962"/>
    <w:rsid w:val="009F7401"/>
    <w:rsid w:val="009F78F2"/>
    <w:rsid w:val="00A10857"/>
    <w:rsid w:val="00A1269B"/>
    <w:rsid w:val="00A130F9"/>
    <w:rsid w:val="00A1585F"/>
    <w:rsid w:val="00A16000"/>
    <w:rsid w:val="00A16398"/>
    <w:rsid w:val="00A211A3"/>
    <w:rsid w:val="00A24629"/>
    <w:rsid w:val="00A27485"/>
    <w:rsid w:val="00A30038"/>
    <w:rsid w:val="00A309E8"/>
    <w:rsid w:val="00A343B0"/>
    <w:rsid w:val="00A3514D"/>
    <w:rsid w:val="00A36211"/>
    <w:rsid w:val="00A40F98"/>
    <w:rsid w:val="00A42619"/>
    <w:rsid w:val="00A4267D"/>
    <w:rsid w:val="00A5538A"/>
    <w:rsid w:val="00A63E79"/>
    <w:rsid w:val="00A6474D"/>
    <w:rsid w:val="00A672B2"/>
    <w:rsid w:val="00A74C51"/>
    <w:rsid w:val="00A76309"/>
    <w:rsid w:val="00A77682"/>
    <w:rsid w:val="00A80C19"/>
    <w:rsid w:val="00A90A24"/>
    <w:rsid w:val="00A90BD3"/>
    <w:rsid w:val="00A91402"/>
    <w:rsid w:val="00AA0DFE"/>
    <w:rsid w:val="00AA262E"/>
    <w:rsid w:val="00AA3174"/>
    <w:rsid w:val="00AA3A41"/>
    <w:rsid w:val="00AA6D45"/>
    <w:rsid w:val="00AA7585"/>
    <w:rsid w:val="00AB031D"/>
    <w:rsid w:val="00AB236C"/>
    <w:rsid w:val="00AC4B53"/>
    <w:rsid w:val="00AD528F"/>
    <w:rsid w:val="00AD5D72"/>
    <w:rsid w:val="00AD6EB3"/>
    <w:rsid w:val="00AD741D"/>
    <w:rsid w:val="00AD791C"/>
    <w:rsid w:val="00AE25D3"/>
    <w:rsid w:val="00AE4F42"/>
    <w:rsid w:val="00AE7140"/>
    <w:rsid w:val="00AE728D"/>
    <w:rsid w:val="00AF2833"/>
    <w:rsid w:val="00AF2C87"/>
    <w:rsid w:val="00AF3716"/>
    <w:rsid w:val="00AF4D71"/>
    <w:rsid w:val="00B03BF6"/>
    <w:rsid w:val="00B04D46"/>
    <w:rsid w:val="00B1385B"/>
    <w:rsid w:val="00B22AD7"/>
    <w:rsid w:val="00B22D31"/>
    <w:rsid w:val="00B27853"/>
    <w:rsid w:val="00B306F7"/>
    <w:rsid w:val="00B30FE2"/>
    <w:rsid w:val="00B37580"/>
    <w:rsid w:val="00B52215"/>
    <w:rsid w:val="00B530CA"/>
    <w:rsid w:val="00B54527"/>
    <w:rsid w:val="00B57ADA"/>
    <w:rsid w:val="00B6496C"/>
    <w:rsid w:val="00B65962"/>
    <w:rsid w:val="00B82D73"/>
    <w:rsid w:val="00B84A2C"/>
    <w:rsid w:val="00B84C72"/>
    <w:rsid w:val="00BA0DCC"/>
    <w:rsid w:val="00BB3512"/>
    <w:rsid w:val="00BC137A"/>
    <w:rsid w:val="00BC4347"/>
    <w:rsid w:val="00BC7BCB"/>
    <w:rsid w:val="00BD109B"/>
    <w:rsid w:val="00BD2B5E"/>
    <w:rsid w:val="00BD531B"/>
    <w:rsid w:val="00BE7E27"/>
    <w:rsid w:val="00C131FD"/>
    <w:rsid w:val="00C31169"/>
    <w:rsid w:val="00C37522"/>
    <w:rsid w:val="00C42EFD"/>
    <w:rsid w:val="00C43D8B"/>
    <w:rsid w:val="00C44042"/>
    <w:rsid w:val="00C46AF0"/>
    <w:rsid w:val="00C52956"/>
    <w:rsid w:val="00C53AE1"/>
    <w:rsid w:val="00C54799"/>
    <w:rsid w:val="00C54893"/>
    <w:rsid w:val="00C56EB6"/>
    <w:rsid w:val="00C6789D"/>
    <w:rsid w:val="00C738A1"/>
    <w:rsid w:val="00C81192"/>
    <w:rsid w:val="00C84F07"/>
    <w:rsid w:val="00C855D4"/>
    <w:rsid w:val="00C86422"/>
    <w:rsid w:val="00C9442C"/>
    <w:rsid w:val="00C95BCF"/>
    <w:rsid w:val="00C95D16"/>
    <w:rsid w:val="00C95DCF"/>
    <w:rsid w:val="00CA23C4"/>
    <w:rsid w:val="00CA575F"/>
    <w:rsid w:val="00CA6114"/>
    <w:rsid w:val="00CB0797"/>
    <w:rsid w:val="00CB644C"/>
    <w:rsid w:val="00CC5AC6"/>
    <w:rsid w:val="00CD1628"/>
    <w:rsid w:val="00CD1D27"/>
    <w:rsid w:val="00CD3AE7"/>
    <w:rsid w:val="00CD79FA"/>
    <w:rsid w:val="00CE02F3"/>
    <w:rsid w:val="00CF5009"/>
    <w:rsid w:val="00CF6B3F"/>
    <w:rsid w:val="00D03845"/>
    <w:rsid w:val="00D03DCB"/>
    <w:rsid w:val="00D16943"/>
    <w:rsid w:val="00D211AE"/>
    <w:rsid w:val="00D279D9"/>
    <w:rsid w:val="00D318E3"/>
    <w:rsid w:val="00D41B20"/>
    <w:rsid w:val="00D44615"/>
    <w:rsid w:val="00D45321"/>
    <w:rsid w:val="00D5605F"/>
    <w:rsid w:val="00D62519"/>
    <w:rsid w:val="00D625AA"/>
    <w:rsid w:val="00D63CBD"/>
    <w:rsid w:val="00D66392"/>
    <w:rsid w:val="00D66959"/>
    <w:rsid w:val="00D70A39"/>
    <w:rsid w:val="00D71A7E"/>
    <w:rsid w:val="00D870D4"/>
    <w:rsid w:val="00D9398E"/>
    <w:rsid w:val="00D97059"/>
    <w:rsid w:val="00DB29CA"/>
    <w:rsid w:val="00DB30C8"/>
    <w:rsid w:val="00DB5F2B"/>
    <w:rsid w:val="00DC1AB8"/>
    <w:rsid w:val="00DC5C19"/>
    <w:rsid w:val="00DC7068"/>
    <w:rsid w:val="00DC7660"/>
    <w:rsid w:val="00DE21A2"/>
    <w:rsid w:val="00DF1DAC"/>
    <w:rsid w:val="00DF60E6"/>
    <w:rsid w:val="00DF6105"/>
    <w:rsid w:val="00E1428E"/>
    <w:rsid w:val="00E14900"/>
    <w:rsid w:val="00E218D3"/>
    <w:rsid w:val="00E30DE6"/>
    <w:rsid w:val="00E31944"/>
    <w:rsid w:val="00E35435"/>
    <w:rsid w:val="00E37194"/>
    <w:rsid w:val="00E4415D"/>
    <w:rsid w:val="00E44AB8"/>
    <w:rsid w:val="00E50D3F"/>
    <w:rsid w:val="00E520BE"/>
    <w:rsid w:val="00E54E17"/>
    <w:rsid w:val="00E56A7A"/>
    <w:rsid w:val="00E60419"/>
    <w:rsid w:val="00E617D3"/>
    <w:rsid w:val="00E633C1"/>
    <w:rsid w:val="00E71365"/>
    <w:rsid w:val="00E83B51"/>
    <w:rsid w:val="00E85746"/>
    <w:rsid w:val="00E8762F"/>
    <w:rsid w:val="00E90AB8"/>
    <w:rsid w:val="00EA34E2"/>
    <w:rsid w:val="00EA52D1"/>
    <w:rsid w:val="00EB70E7"/>
    <w:rsid w:val="00EB76D6"/>
    <w:rsid w:val="00EC02E8"/>
    <w:rsid w:val="00EC3842"/>
    <w:rsid w:val="00EC39A5"/>
    <w:rsid w:val="00EC5D5D"/>
    <w:rsid w:val="00EC7908"/>
    <w:rsid w:val="00EC7C2B"/>
    <w:rsid w:val="00ED1F02"/>
    <w:rsid w:val="00EE20A1"/>
    <w:rsid w:val="00EF0A41"/>
    <w:rsid w:val="00EF518E"/>
    <w:rsid w:val="00EF69AE"/>
    <w:rsid w:val="00EF6E2C"/>
    <w:rsid w:val="00F04984"/>
    <w:rsid w:val="00F0782D"/>
    <w:rsid w:val="00F14B9B"/>
    <w:rsid w:val="00F14CCC"/>
    <w:rsid w:val="00F16A26"/>
    <w:rsid w:val="00F20C09"/>
    <w:rsid w:val="00F217DF"/>
    <w:rsid w:val="00F21CAE"/>
    <w:rsid w:val="00F21E4F"/>
    <w:rsid w:val="00F368B9"/>
    <w:rsid w:val="00F3739F"/>
    <w:rsid w:val="00F374C1"/>
    <w:rsid w:val="00F37B34"/>
    <w:rsid w:val="00F41C34"/>
    <w:rsid w:val="00F446B6"/>
    <w:rsid w:val="00F469B9"/>
    <w:rsid w:val="00F46C32"/>
    <w:rsid w:val="00F525B5"/>
    <w:rsid w:val="00F57A17"/>
    <w:rsid w:val="00F62365"/>
    <w:rsid w:val="00F74F50"/>
    <w:rsid w:val="00F81DB4"/>
    <w:rsid w:val="00F83B0D"/>
    <w:rsid w:val="00F9222A"/>
    <w:rsid w:val="00F922EA"/>
    <w:rsid w:val="00F92927"/>
    <w:rsid w:val="00F979B3"/>
    <w:rsid w:val="00F97CCD"/>
    <w:rsid w:val="00FA320D"/>
    <w:rsid w:val="00FA53E9"/>
    <w:rsid w:val="00FA60EC"/>
    <w:rsid w:val="00FB04E9"/>
    <w:rsid w:val="00FB1179"/>
    <w:rsid w:val="00FB1C6B"/>
    <w:rsid w:val="00FB4159"/>
    <w:rsid w:val="00FB4841"/>
    <w:rsid w:val="00FB6C94"/>
    <w:rsid w:val="00FB7F8B"/>
    <w:rsid w:val="00FC3753"/>
    <w:rsid w:val="00FC5743"/>
    <w:rsid w:val="00FD118C"/>
    <w:rsid w:val="00FD332F"/>
    <w:rsid w:val="00FE1CC1"/>
    <w:rsid w:val="00FE6F7A"/>
    <w:rsid w:val="00FF248B"/>
    <w:rsid w:val="00FF3E6F"/>
    <w:rsid w:val="00FF7425"/>
    <w:rsid w:val="00FF7B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25149386">
      <w:bodyDiv w:val="1"/>
      <w:marLeft w:val="0"/>
      <w:marRight w:val="0"/>
      <w:marTop w:val="0"/>
      <w:marBottom w:val="0"/>
      <w:divBdr>
        <w:top w:val="none" w:sz="0" w:space="0" w:color="auto"/>
        <w:left w:val="none" w:sz="0" w:space="0" w:color="auto"/>
        <w:bottom w:val="none" w:sz="0" w:space="0" w:color="auto"/>
        <w:right w:val="none" w:sz="0" w:space="0" w:color="auto"/>
      </w:divBdr>
    </w:div>
    <w:div w:id="1824544976">
      <w:bodyDiv w:val="1"/>
      <w:marLeft w:val="0"/>
      <w:marRight w:val="0"/>
      <w:marTop w:val="0"/>
      <w:marBottom w:val="0"/>
      <w:divBdr>
        <w:top w:val="none" w:sz="0" w:space="0" w:color="auto"/>
        <w:left w:val="none" w:sz="0" w:space="0" w:color="auto"/>
        <w:bottom w:val="none" w:sz="0" w:space="0" w:color="auto"/>
        <w:right w:val="none" w:sz="0" w:space="0" w:color="auto"/>
      </w:divBdr>
    </w:div>
    <w:div w:id="1846554612">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tce.pr.gov.br/multimidia/2017/3/pdf/00311329.pdf" TargetMode="External"/><Relationship Id="rId18" Type="http://schemas.openxmlformats.org/officeDocument/2006/relationships/hyperlink" Target="https://contas.tcu.gov.br/sagas/SvlVisualizarRelVotoAcRtf?codFiltro=SAGAS-SESSAO-ENCERRADA&amp;seOcultaPagina=S&amp;item0=576314" TargetMode="External"/><Relationship Id="rId3" Type="http://schemas.openxmlformats.org/officeDocument/2006/relationships/styles" Target="styles.xml"/><Relationship Id="rId21" Type="http://schemas.openxmlformats.org/officeDocument/2006/relationships/hyperlink" Target="https://contas.tcu.gov.br/sagas/SvlVisualizarRelVotoAcRtf?codFiltro=SAGAS-SESSAO-ENCERRADA&amp;seOcultaPagina=S&amp;item0=584075" TargetMode="External"/><Relationship Id="rId7" Type="http://schemas.openxmlformats.org/officeDocument/2006/relationships/footnotes" Target="footnotes.xml"/><Relationship Id="rId12" Type="http://schemas.openxmlformats.org/officeDocument/2006/relationships/hyperlink" Target="http://www1.tce.pr.gov.br/multimidia/2017/3/pdf/00314297.pdf" TargetMode="External"/><Relationship Id="rId17" Type="http://schemas.openxmlformats.org/officeDocument/2006/relationships/hyperlink" Target="https://contas.tcu.gov.br/sagas/SvlVisualizarRelVotoAcRtf?codFiltro=SAGAS-SESSAO-ENCERRADA&amp;seOcultaPagina=S&amp;item0=5813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1.tce.pr.gov.br/multimidia/2017/3/pdf/00314242.pdf" TargetMode="External"/><Relationship Id="rId20" Type="http://schemas.openxmlformats.org/officeDocument/2006/relationships/hyperlink" Target="https://www.planalto.gov.br/ccivil_03/leis/l7357.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tce.pr.gov.br/multimidia/2017/3/pdf/00314149.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1.tce.pr.gov.br/multimidia/2017/3/pdf/00311342.pdf" TargetMode="External"/><Relationship Id="rId23" Type="http://schemas.openxmlformats.org/officeDocument/2006/relationships/footer" Target="footer1.xml"/><Relationship Id="rId10" Type="http://schemas.openxmlformats.org/officeDocument/2006/relationships/hyperlink" Target="http://www1.tce.pr.gov.br/multimidia/2017/3/pdf/00314314.pdf" TargetMode="External"/><Relationship Id="rId19" Type="http://schemas.openxmlformats.org/officeDocument/2006/relationships/hyperlink" Target="https://contas.tcu.gov.br/sagas/SvlVisualizarRelVotoAcRtf?codFiltro=SAGAS-SESSAO-ENCERRADA&amp;seOcultaPagina=S&amp;item0=578975" TargetMode="External"/><Relationship Id="rId4" Type="http://schemas.microsoft.com/office/2007/relationships/stylesWithEffects" Target="stylesWithEffects.xml"/><Relationship Id="rId9" Type="http://schemas.openxmlformats.org/officeDocument/2006/relationships/hyperlink" Target="http://www1.tce.pr.gov.br/multimidia/2017/3/pdf/00314343.pdf" TargetMode="External"/><Relationship Id="rId14" Type="http://schemas.openxmlformats.org/officeDocument/2006/relationships/hyperlink" Target="http://www1.tce.pr.gov.br/multimidia/2017/3/pdf/00311326.pdf"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C083E-39D7-480C-AF80-8E14C98C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7</Pages>
  <Words>2931</Words>
  <Characters>15831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234</cp:revision>
  <cp:lastPrinted>2017-04-18T17:52:00Z</cp:lastPrinted>
  <dcterms:created xsi:type="dcterms:W3CDTF">2017-01-30T19:05:00Z</dcterms:created>
  <dcterms:modified xsi:type="dcterms:W3CDTF">2017-04-18T17:53:00Z</dcterms:modified>
</cp:coreProperties>
</file>