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C0365" w14:textId="77777777" w:rsidR="00741F5F" w:rsidRPr="005871C2" w:rsidRDefault="008D425B" w:rsidP="005871C2">
      <w:pPr>
        <w:pStyle w:val="Cabealho"/>
        <w:spacing w:line="276" w:lineRule="auto"/>
        <w:jc w:val="center"/>
        <w:rPr>
          <w:rFonts w:ascii="Arial" w:hAnsi="Arial" w:cs="Arial"/>
          <w:sz w:val="20"/>
          <w:szCs w:val="20"/>
        </w:rPr>
      </w:pPr>
      <w:r w:rsidRPr="005871C2">
        <w:rPr>
          <w:rFonts w:ascii="Arial" w:hAnsi="Arial" w:cs="Arial"/>
          <w:b/>
          <w:sz w:val="20"/>
          <w:szCs w:val="20"/>
        </w:rPr>
        <w:t>Boletim de Jurisprudência TCE/PR</w:t>
      </w:r>
      <w:r w:rsidRPr="005871C2">
        <w:rPr>
          <w:rFonts w:ascii="Arial" w:hAnsi="Arial" w:cs="Arial"/>
          <w:sz w:val="20"/>
          <w:szCs w:val="20"/>
        </w:rPr>
        <w:t xml:space="preserve"> </w:t>
      </w:r>
    </w:p>
    <w:p w14:paraId="63CB3519" w14:textId="77777777" w:rsidR="00741F5F" w:rsidRPr="005871C2" w:rsidRDefault="00741F5F" w:rsidP="005871C2">
      <w:pPr>
        <w:spacing w:after="0"/>
        <w:jc w:val="center"/>
        <w:rPr>
          <w:rFonts w:ascii="Arial" w:hAnsi="Arial" w:cs="Arial"/>
          <w:b/>
          <w:sz w:val="20"/>
          <w:szCs w:val="20"/>
        </w:rPr>
      </w:pPr>
    </w:p>
    <w:p w14:paraId="05C0E038" w14:textId="6FB013C7" w:rsidR="00741F5F" w:rsidRPr="005871C2" w:rsidRDefault="008D425B" w:rsidP="005871C2">
      <w:pPr>
        <w:spacing w:after="0"/>
        <w:jc w:val="center"/>
        <w:rPr>
          <w:rFonts w:ascii="Arial" w:hAnsi="Arial" w:cs="Arial"/>
          <w:b/>
          <w:sz w:val="20"/>
          <w:szCs w:val="20"/>
        </w:rPr>
      </w:pPr>
      <w:r w:rsidRPr="005871C2">
        <w:rPr>
          <w:rFonts w:ascii="Arial" w:hAnsi="Arial" w:cs="Arial"/>
          <w:b/>
          <w:sz w:val="20"/>
          <w:szCs w:val="20"/>
        </w:rPr>
        <w:t>Número 1</w:t>
      </w:r>
      <w:r w:rsidR="005C2B13" w:rsidRPr="005871C2">
        <w:rPr>
          <w:rFonts w:ascii="Arial" w:hAnsi="Arial" w:cs="Arial"/>
          <w:b/>
          <w:sz w:val="20"/>
          <w:szCs w:val="20"/>
        </w:rPr>
        <w:t>10</w:t>
      </w:r>
    </w:p>
    <w:p w14:paraId="5366798B" w14:textId="77777777" w:rsidR="00741F5F" w:rsidRPr="005871C2" w:rsidRDefault="008D425B" w:rsidP="005871C2">
      <w:pPr>
        <w:spacing w:after="0"/>
        <w:jc w:val="center"/>
        <w:rPr>
          <w:rFonts w:ascii="Arial" w:hAnsi="Arial" w:cs="Arial"/>
          <w:b/>
          <w:sz w:val="20"/>
          <w:szCs w:val="20"/>
        </w:rPr>
      </w:pPr>
      <w:r w:rsidRPr="005871C2">
        <w:rPr>
          <w:rFonts w:ascii="Arial" w:hAnsi="Arial" w:cs="Arial"/>
          <w:b/>
          <w:sz w:val="20"/>
          <w:szCs w:val="20"/>
        </w:rPr>
        <w:t xml:space="preserve">Sessões: </w:t>
      </w:r>
    </w:p>
    <w:p w14:paraId="1D51A1FD" w14:textId="320A9E80" w:rsidR="00741F5F" w:rsidRPr="005871C2" w:rsidRDefault="008D425B" w:rsidP="005871C2">
      <w:pPr>
        <w:spacing w:after="0"/>
        <w:jc w:val="center"/>
        <w:rPr>
          <w:rFonts w:ascii="Arial" w:hAnsi="Arial" w:cs="Arial"/>
          <w:b/>
          <w:sz w:val="20"/>
          <w:szCs w:val="20"/>
        </w:rPr>
      </w:pPr>
      <w:r w:rsidRPr="005871C2">
        <w:rPr>
          <w:rFonts w:ascii="Arial" w:hAnsi="Arial" w:cs="Arial"/>
          <w:b/>
          <w:sz w:val="20"/>
          <w:szCs w:val="20"/>
        </w:rPr>
        <w:t xml:space="preserve">Sessões ordinárias nº </w:t>
      </w:r>
      <w:r w:rsidR="00E56CC6" w:rsidRPr="005871C2">
        <w:rPr>
          <w:rFonts w:ascii="Arial" w:hAnsi="Arial" w:cs="Arial"/>
          <w:b/>
          <w:sz w:val="20"/>
          <w:szCs w:val="20"/>
        </w:rPr>
        <w:t>12</w:t>
      </w:r>
      <w:r w:rsidRPr="005871C2">
        <w:rPr>
          <w:rFonts w:ascii="Arial" w:hAnsi="Arial" w:cs="Arial"/>
          <w:b/>
          <w:sz w:val="20"/>
          <w:szCs w:val="20"/>
        </w:rPr>
        <w:t xml:space="preserve">, </w:t>
      </w:r>
      <w:r w:rsidR="008A6A3F" w:rsidRPr="005871C2">
        <w:rPr>
          <w:rFonts w:ascii="Arial" w:hAnsi="Arial" w:cs="Arial"/>
          <w:b/>
          <w:sz w:val="20"/>
          <w:szCs w:val="20"/>
        </w:rPr>
        <w:t>1</w:t>
      </w:r>
      <w:r w:rsidR="00E56CC6" w:rsidRPr="005871C2">
        <w:rPr>
          <w:rFonts w:ascii="Arial" w:hAnsi="Arial" w:cs="Arial"/>
          <w:b/>
          <w:sz w:val="20"/>
          <w:szCs w:val="20"/>
        </w:rPr>
        <w:t>3</w:t>
      </w:r>
      <w:r w:rsidRPr="005871C2">
        <w:rPr>
          <w:rFonts w:ascii="Arial" w:hAnsi="Arial" w:cs="Arial"/>
          <w:b/>
          <w:sz w:val="20"/>
          <w:szCs w:val="20"/>
        </w:rPr>
        <w:t xml:space="preserve"> e </w:t>
      </w:r>
      <w:r w:rsidR="008A6A3F" w:rsidRPr="005871C2">
        <w:rPr>
          <w:rFonts w:ascii="Arial" w:hAnsi="Arial" w:cs="Arial"/>
          <w:b/>
          <w:sz w:val="20"/>
          <w:szCs w:val="20"/>
        </w:rPr>
        <w:t>1</w:t>
      </w:r>
      <w:r w:rsidR="00E56CC6" w:rsidRPr="005871C2">
        <w:rPr>
          <w:rFonts w:ascii="Arial" w:hAnsi="Arial" w:cs="Arial"/>
          <w:b/>
          <w:sz w:val="20"/>
          <w:szCs w:val="20"/>
        </w:rPr>
        <w:t>4</w:t>
      </w:r>
      <w:r w:rsidRPr="005871C2">
        <w:rPr>
          <w:rFonts w:ascii="Arial" w:hAnsi="Arial" w:cs="Arial"/>
          <w:b/>
          <w:sz w:val="20"/>
          <w:szCs w:val="20"/>
        </w:rPr>
        <w:t xml:space="preserve"> do Tribunal Pleno.</w:t>
      </w:r>
    </w:p>
    <w:p w14:paraId="5FC02E3E" w14:textId="481E005C" w:rsidR="00741F5F" w:rsidRPr="005871C2" w:rsidRDefault="008D425B" w:rsidP="005871C2">
      <w:pPr>
        <w:spacing w:after="0"/>
        <w:jc w:val="center"/>
        <w:rPr>
          <w:rFonts w:ascii="Arial" w:hAnsi="Arial" w:cs="Arial"/>
          <w:b/>
          <w:sz w:val="20"/>
          <w:szCs w:val="20"/>
        </w:rPr>
      </w:pPr>
      <w:r w:rsidRPr="005871C2">
        <w:rPr>
          <w:rFonts w:ascii="Arial" w:hAnsi="Arial" w:cs="Arial"/>
          <w:b/>
          <w:sz w:val="20"/>
          <w:szCs w:val="20"/>
        </w:rPr>
        <w:t xml:space="preserve">Sessões Virtuais nº </w:t>
      </w:r>
      <w:r w:rsidR="00423BE5" w:rsidRPr="005871C2">
        <w:rPr>
          <w:rFonts w:ascii="Arial" w:hAnsi="Arial" w:cs="Arial"/>
          <w:b/>
          <w:sz w:val="20"/>
          <w:szCs w:val="20"/>
        </w:rPr>
        <w:t>9</w:t>
      </w:r>
      <w:r w:rsidRPr="005871C2">
        <w:rPr>
          <w:rFonts w:ascii="Arial" w:hAnsi="Arial" w:cs="Arial"/>
          <w:b/>
          <w:sz w:val="20"/>
          <w:szCs w:val="20"/>
        </w:rPr>
        <w:t xml:space="preserve"> da Primeira Câmara;</w:t>
      </w:r>
      <w:r w:rsidR="00423BE5" w:rsidRPr="005871C2">
        <w:rPr>
          <w:rFonts w:ascii="Arial" w:hAnsi="Arial" w:cs="Arial"/>
          <w:b/>
          <w:sz w:val="20"/>
          <w:szCs w:val="20"/>
        </w:rPr>
        <w:t xml:space="preserve"> e</w:t>
      </w:r>
      <w:r w:rsidRPr="005871C2">
        <w:rPr>
          <w:rFonts w:ascii="Arial" w:hAnsi="Arial" w:cs="Arial"/>
          <w:b/>
          <w:sz w:val="20"/>
          <w:szCs w:val="20"/>
        </w:rPr>
        <w:t xml:space="preserve"> nº </w:t>
      </w:r>
      <w:r w:rsidR="00423BE5" w:rsidRPr="005871C2">
        <w:rPr>
          <w:rFonts w:ascii="Arial" w:hAnsi="Arial" w:cs="Arial"/>
          <w:b/>
          <w:sz w:val="20"/>
          <w:szCs w:val="20"/>
        </w:rPr>
        <w:t>8</w:t>
      </w:r>
      <w:r w:rsidRPr="005871C2">
        <w:rPr>
          <w:rFonts w:ascii="Arial" w:hAnsi="Arial" w:cs="Arial"/>
          <w:b/>
          <w:sz w:val="20"/>
          <w:szCs w:val="20"/>
        </w:rPr>
        <w:t xml:space="preserve"> e </w:t>
      </w:r>
      <w:r w:rsidR="00423BE5" w:rsidRPr="005871C2">
        <w:rPr>
          <w:rFonts w:ascii="Arial" w:hAnsi="Arial" w:cs="Arial"/>
          <w:b/>
          <w:sz w:val="20"/>
          <w:szCs w:val="20"/>
        </w:rPr>
        <w:t>9</w:t>
      </w:r>
      <w:r w:rsidRPr="005871C2">
        <w:rPr>
          <w:rFonts w:ascii="Arial" w:hAnsi="Arial" w:cs="Arial"/>
          <w:b/>
          <w:sz w:val="20"/>
          <w:szCs w:val="20"/>
        </w:rPr>
        <w:t xml:space="preserve"> da Segunda Câmara.</w:t>
      </w:r>
    </w:p>
    <w:p w14:paraId="6ABAD75D" w14:textId="77777777" w:rsidR="00741F5F" w:rsidRPr="005871C2" w:rsidRDefault="00741F5F" w:rsidP="005871C2">
      <w:pPr>
        <w:spacing w:after="0"/>
        <w:jc w:val="both"/>
        <w:rPr>
          <w:rFonts w:ascii="Arial" w:hAnsi="Arial" w:cs="Arial"/>
          <w:sz w:val="20"/>
          <w:szCs w:val="20"/>
        </w:rPr>
      </w:pPr>
    </w:p>
    <w:p w14:paraId="1CE4F8A2" w14:textId="77777777" w:rsidR="00741F5F" w:rsidRPr="005871C2" w:rsidRDefault="008D425B" w:rsidP="005871C2">
      <w:pPr>
        <w:spacing w:after="0"/>
        <w:jc w:val="both"/>
        <w:rPr>
          <w:rFonts w:ascii="Arial" w:hAnsi="Arial" w:cs="Arial"/>
          <w:sz w:val="20"/>
          <w:szCs w:val="20"/>
        </w:rPr>
      </w:pPr>
      <w:r w:rsidRPr="005871C2">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5871C2">
        <w:rPr>
          <w:rFonts w:ascii="Arial" w:hAnsi="Arial" w:cs="Arial"/>
          <w:color w:val="212121"/>
          <w:sz w:val="20"/>
          <w:szCs w:val="20"/>
        </w:rPr>
        <w:t>A seleção das decisões leva em consideração ao menos um dos seguintes fatores: ineditismo da deliberação, discussão no colegiado ou reiteração de entendimento importante.</w:t>
      </w:r>
      <w:r w:rsidRPr="005871C2">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5871C2">
        <w:rPr>
          <w:rFonts w:ascii="Arial" w:hAnsi="Arial" w:cs="Arial"/>
          <w:color w:val="212121"/>
          <w:sz w:val="20"/>
          <w:szCs w:val="20"/>
        </w:rPr>
        <w:t xml:space="preserve"> </w:t>
      </w:r>
      <w:r w:rsidRPr="005871C2">
        <w:rPr>
          <w:rFonts w:ascii="Arial" w:hAnsi="Arial" w:cs="Arial"/>
          <w:sz w:val="20"/>
          <w:szCs w:val="20"/>
        </w:rPr>
        <w:t>As informações aqui apresentadas não são repositórios oficiais de jurisprudência.</w:t>
      </w:r>
    </w:p>
    <w:p w14:paraId="17231D45" w14:textId="77777777" w:rsidR="00741F5F" w:rsidRPr="005871C2" w:rsidRDefault="00741F5F" w:rsidP="005871C2">
      <w:pPr>
        <w:spacing w:after="0"/>
        <w:jc w:val="both"/>
        <w:rPr>
          <w:rFonts w:ascii="Arial" w:hAnsi="Arial" w:cs="Arial"/>
          <w:sz w:val="20"/>
          <w:szCs w:val="20"/>
        </w:rPr>
      </w:pPr>
    </w:p>
    <w:p w14:paraId="39269F4E" w14:textId="77777777" w:rsidR="00741F5F" w:rsidRPr="005871C2" w:rsidRDefault="008D425B" w:rsidP="005871C2">
      <w:pPr>
        <w:spacing w:after="0"/>
        <w:jc w:val="both"/>
        <w:rPr>
          <w:rFonts w:ascii="Arial" w:hAnsi="Arial" w:cs="Arial"/>
          <w:sz w:val="20"/>
          <w:szCs w:val="20"/>
        </w:rPr>
      </w:pPr>
      <w:r w:rsidRPr="005871C2">
        <w:rPr>
          <w:rFonts w:ascii="Arial" w:hAnsi="Arial" w:cs="Arial"/>
          <w:noProof/>
          <w:sz w:val="20"/>
          <w:szCs w:val="20"/>
          <w:lang w:eastAsia="pt-BR"/>
        </w:rPr>
        <mc:AlternateContent>
          <mc:Choice Requires="wpg">
            <w:drawing>
              <wp:anchor distT="0" distB="0" distL="114300" distR="114300" simplePos="0" relativeHeight="251659264" behindDoc="0" locked="0" layoutInCell="1" allowOverlap="1" wp14:anchorId="27A304FA" wp14:editId="3402C1AA">
                <wp:simplePos x="0" y="0"/>
                <wp:positionH relativeFrom="margin">
                  <wp:posOffset>-635</wp:posOffset>
                </wp:positionH>
                <wp:positionV relativeFrom="paragraph">
                  <wp:posOffset>29845</wp:posOffset>
                </wp:positionV>
                <wp:extent cx="5397500" cy="0"/>
                <wp:effectExtent l="0" t="0" r="12700" b="57150"/>
                <wp:wrapNone/>
                <wp:docPr id="3" name="Conector reto 1"/>
                <wp:cNvGraphicFramePr/>
                <a:graphic xmlns:a="http://schemas.openxmlformats.org/drawingml/2006/main">
                  <a:graphicData uri="http://schemas.microsoft.com/office/word/2010/wordprocessingShape">
                    <wps:wsp>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2" o:spid="_x0000_s2" o:spt="20" style="position:absolute;mso-wrap-distance-left:9.0pt;mso-wrap-distance-top:0.0pt;mso-wrap-distance-right:9.0pt;mso-wrap-distance-bottom:0.0pt;z-index:251659264;o:allowoverlap:true;o:allowincell:true;mso-position-horizontal-relative:margin;margin-left:-0.0pt;mso-position-horizontal:absolute;mso-position-vertical-relative:text;margin-top:2.4pt;mso-position-vertical:absolute;width:425.0pt;height:0.0pt;" coordsize="100000,100000" path="" filled="f" strokecolor="#000000" strokeweight="2.00pt">
                <v:path textboxrect="0,0,0,0"/>
              </v:shape>
            </w:pict>
          </mc:Fallback>
        </mc:AlternateContent>
      </w:r>
    </w:p>
    <w:p w14:paraId="19BA58DE" w14:textId="77777777" w:rsidR="00741F5F" w:rsidRPr="005871C2" w:rsidRDefault="008D425B" w:rsidP="005871C2">
      <w:pPr>
        <w:shd w:val="clear" w:color="auto" w:fill="D9D9D9" w:themeFill="background1" w:themeFillShade="D9"/>
        <w:spacing w:after="0"/>
        <w:jc w:val="center"/>
        <w:rPr>
          <w:rFonts w:ascii="Arial" w:eastAsia="Arial" w:hAnsi="Arial" w:cs="Arial"/>
          <w:b/>
          <w:sz w:val="20"/>
          <w:szCs w:val="20"/>
        </w:rPr>
      </w:pPr>
      <w:r w:rsidRPr="005871C2">
        <w:rPr>
          <w:rFonts w:ascii="Arial" w:eastAsia="Arial" w:hAnsi="Arial" w:cs="Arial"/>
          <w:b/>
          <w:sz w:val="20"/>
          <w:szCs w:val="20"/>
        </w:rPr>
        <w:t>SUMÁRIO</w:t>
      </w:r>
    </w:p>
    <w:p w14:paraId="7DAFE143" w14:textId="77777777" w:rsidR="002E15A3" w:rsidRDefault="002E15A3" w:rsidP="002E15A3">
      <w:pPr>
        <w:autoSpaceDE w:val="0"/>
        <w:autoSpaceDN w:val="0"/>
        <w:adjustRightInd w:val="0"/>
        <w:spacing w:after="0"/>
        <w:jc w:val="both"/>
        <w:rPr>
          <w:rFonts w:ascii="Arial" w:hAnsi="Arial" w:cs="Arial"/>
          <w:bCs/>
          <w:sz w:val="20"/>
          <w:szCs w:val="20"/>
        </w:rPr>
      </w:pPr>
    </w:p>
    <w:p w14:paraId="0D1941EF" w14:textId="586033CB" w:rsidR="002E15A3" w:rsidRPr="002E15A3" w:rsidRDefault="002E15A3" w:rsidP="002E15A3">
      <w:pPr>
        <w:autoSpaceDE w:val="0"/>
        <w:autoSpaceDN w:val="0"/>
        <w:adjustRightInd w:val="0"/>
        <w:spacing w:after="0"/>
        <w:jc w:val="both"/>
        <w:rPr>
          <w:rFonts w:ascii="Arial" w:hAnsi="Arial" w:cs="Arial"/>
          <w:bCs/>
          <w:sz w:val="20"/>
          <w:szCs w:val="20"/>
        </w:rPr>
      </w:pPr>
      <w:r w:rsidRPr="002E15A3">
        <w:rPr>
          <w:rFonts w:ascii="Arial" w:hAnsi="Arial" w:cs="Arial"/>
          <w:bCs/>
          <w:sz w:val="20"/>
          <w:szCs w:val="20"/>
        </w:rPr>
        <w:t>1. Tomada de Contas Extraordinária. Pavimentação. Medição e aceite de serviços cuja qualidade não atende ao especificado nos projetos e normas técnicas. Obras de reparo. Saneamento da irregularidade durante a instrução processual. Súmula nº 8. Regularidade das contas com ressalva, com determinações e recomendações.</w:t>
      </w:r>
    </w:p>
    <w:p w14:paraId="44BB169F" w14:textId="77777777" w:rsidR="002E15A3" w:rsidRDefault="002E15A3" w:rsidP="002E15A3">
      <w:pPr>
        <w:autoSpaceDE w:val="0"/>
        <w:autoSpaceDN w:val="0"/>
        <w:adjustRightInd w:val="0"/>
        <w:spacing w:after="0"/>
        <w:jc w:val="both"/>
        <w:rPr>
          <w:rFonts w:ascii="Arial" w:hAnsi="Arial" w:cs="Arial"/>
          <w:bCs/>
          <w:sz w:val="20"/>
          <w:szCs w:val="20"/>
        </w:rPr>
      </w:pPr>
    </w:p>
    <w:p w14:paraId="1D032E6A" w14:textId="5F61C478" w:rsidR="002E15A3" w:rsidRPr="002E15A3" w:rsidRDefault="002E15A3" w:rsidP="002E15A3">
      <w:pPr>
        <w:autoSpaceDE w:val="0"/>
        <w:autoSpaceDN w:val="0"/>
        <w:adjustRightInd w:val="0"/>
        <w:spacing w:after="0"/>
        <w:jc w:val="both"/>
        <w:rPr>
          <w:rFonts w:ascii="Arial" w:hAnsi="Arial" w:cs="Arial"/>
          <w:bCs/>
          <w:sz w:val="20"/>
          <w:szCs w:val="20"/>
        </w:rPr>
      </w:pPr>
      <w:r w:rsidRPr="002E15A3">
        <w:rPr>
          <w:rFonts w:ascii="Arial" w:hAnsi="Arial" w:cs="Arial"/>
          <w:bCs/>
          <w:sz w:val="20"/>
          <w:szCs w:val="20"/>
        </w:rPr>
        <w:t>2. Tomada de relativa Contas a possível pagamento por supostos serviços não prestados – Prescrição da pretensão punitiva – Comprovação da execução os serviços – Regularidade das contas.</w:t>
      </w:r>
    </w:p>
    <w:p w14:paraId="67DFB4C8" w14:textId="77777777" w:rsidR="002E15A3" w:rsidRDefault="002E15A3" w:rsidP="002E15A3">
      <w:pPr>
        <w:autoSpaceDE w:val="0"/>
        <w:autoSpaceDN w:val="0"/>
        <w:adjustRightInd w:val="0"/>
        <w:spacing w:after="0"/>
        <w:jc w:val="both"/>
        <w:rPr>
          <w:rFonts w:ascii="Arial" w:hAnsi="Arial" w:cs="Arial"/>
          <w:bCs/>
          <w:sz w:val="20"/>
          <w:szCs w:val="20"/>
        </w:rPr>
      </w:pPr>
    </w:p>
    <w:p w14:paraId="1E186204" w14:textId="585FA23C" w:rsidR="002E15A3" w:rsidRPr="002E15A3" w:rsidRDefault="002E15A3" w:rsidP="002E15A3">
      <w:pPr>
        <w:autoSpaceDE w:val="0"/>
        <w:autoSpaceDN w:val="0"/>
        <w:adjustRightInd w:val="0"/>
        <w:spacing w:after="0"/>
        <w:jc w:val="both"/>
        <w:rPr>
          <w:rFonts w:ascii="Arial" w:hAnsi="Arial" w:cs="Arial"/>
          <w:bCs/>
          <w:sz w:val="20"/>
          <w:szCs w:val="20"/>
        </w:rPr>
      </w:pPr>
      <w:r w:rsidRPr="002E15A3">
        <w:rPr>
          <w:rFonts w:ascii="Arial" w:hAnsi="Arial" w:cs="Arial"/>
          <w:bCs/>
          <w:sz w:val="20"/>
          <w:szCs w:val="20"/>
        </w:rPr>
        <w:t xml:space="preserve">3. Tomada de Contas Extraordinária. Irregularidades em contratos administrativos. </w:t>
      </w:r>
      <w:proofErr w:type="spellStart"/>
      <w:r w:rsidRPr="002E15A3">
        <w:rPr>
          <w:rFonts w:ascii="Arial" w:hAnsi="Arial" w:cs="Arial"/>
          <w:bCs/>
          <w:sz w:val="20"/>
          <w:szCs w:val="20"/>
        </w:rPr>
        <w:t>Dano</w:t>
      </w:r>
      <w:proofErr w:type="spellEnd"/>
      <w:r w:rsidRPr="002E15A3">
        <w:rPr>
          <w:rFonts w:ascii="Arial" w:hAnsi="Arial" w:cs="Arial"/>
          <w:bCs/>
          <w:sz w:val="20"/>
          <w:szCs w:val="20"/>
        </w:rPr>
        <w:t xml:space="preserve"> ao erário constatado. Ressarcimento promovido. Pela procedência, com o respectivo reconhecimento da irregularidade nas contas prestadas, com aplicação de multa administrativa.</w:t>
      </w:r>
    </w:p>
    <w:p w14:paraId="59C6BC43" w14:textId="77777777" w:rsidR="002E15A3" w:rsidRDefault="002E15A3" w:rsidP="002E15A3">
      <w:pPr>
        <w:autoSpaceDE w:val="0"/>
        <w:autoSpaceDN w:val="0"/>
        <w:adjustRightInd w:val="0"/>
        <w:spacing w:after="0"/>
        <w:jc w:val="both"/>
        <w:rPr>
          <w:rFonts w:ascii="Arial" w:hAnsi="Arial" w:cs="Arial"/>
          <w:bCs/>
          <w:sz w:val="20"/>
          <w:szCs w:val="20"/>
        </w:rPr>
      </w:pPr>
    </w:p>
    <w:p w14:paraId="2874EE33" w14:textId="0C274675" w:rsidR="002E15A3" w:rsidRPr="002E15A3" w:rsidRDefault="002E15A3" w:rsidP="002E15A3">
      <w:pPr>
        <w:autoSpaceDE w:val="0"/>
        <w:autoSpaceDN w:val="0"/>
        <w:adjustRightInd w:val="0"/>
        <w:spacing w:after="0"/>
        <w:jc w:val="both"/>
        <w:rPr>
          <w:rFonts w:ascii="Arial" w:hAnsi="Arial" w:cs="Arial"/>
          <w:bCs/>
          <w:sz w:val="20"/>
          <w:szCs w:val="20"/>
        </w:rPr>
      </w:pPr>
      <w:r w:rsidRPr="002E15A3">
        <w:rPr>
          <w:rFonts w:ascii="Arial" w:hAnsi="Arial" w:cs="Arial"/>
          <w:bCs/>
          <w:sz w:val="20"/>
          <w:szCs w:val="20"/>
        </w:rPr>
        <w:t>4. Aposentadoria de servidora municipal – Ausência de comprovação de tempo de magistério e inconsistência nas informações acerca do tempo de contribuição – Negativa de registro.</w:t>
      </w:r>
    </w:p>
    <w:p w14:paraId="52B03F45" w14:textId="77777777" w:rsidR="002E15A3" w:rsidRDefault="002E15A3" w:rsidP="002E15A3">
      <w:pPr>
        <w:autoSpaceDE w:val="0"/>
        <w:autoSpaceDN w:val="0"/>
        <w:adjustRightInd w:val="0"/>
        <w:spacing w:after="0"/>
        <w:jc w:val="both"/>
        <w:rPr>
          <w:rFonts w:ascii="Arial" w:hAnsi="Arial" w:cs="Arial"/>
          <w:bCs/>
          <w:sz w:val="20"/>
          <w:szCs w:val="20"/>
        </w:rPr>
      </w:pPr>
    </w:p>
    <w:p w14:paraId="28E2DD97" w14:textId="3831344D" w:rsidR="002E15A3" w:rsidRPr="002E15A3" w:rsidRDefault="002E15A3" w:rsidP="002E15A3">
      <w:pPr>
        <w:autoSpaceDE w:val="0"/>
        <w:autoSpaceDN w:val="0"/>
        <w:adjustRightInd w:val="0"/>
        <w:spacing w:after="0"/>
        <w:jc w:val="both"/>
        <w:rPr>
          <w:rFonts w:ascii="Arial" w:hAnsi="Arial" w:cs="Arial"/>
          <w:bCs/>
          <w:sz w:val="20"/>
          <w:szCs w:val="20"/>
        </w:rPr>
      </w:pPr>
      <w:r w:rsidRPr="002E15A3">
        <w:rPr>
          <w:rFonts w:ascii="Arial" w:hAnsi="Arial" w:cs="Arial"/>
          <w:bCs/>
          <w:sz w:val="20"/>
          <w:szCs w:val="20"/>
        </w:rPr>
        <w:t>5. Representação da Lei n.º 8.666/1993. Pregão Eletrônico. Prestação de serviços de transmissão simultânea de conteúdos escolares e educacionais. Inabilitação de licitante em razão da apresentação de balanço patrimonial desacompanhado do termo de abertura e encerramento e não comprovação de qualificação técnica. Inocorrência de impropriedades. Improcedência.</w:t>
      </w:r>
    </w:p>
    <w:p w14:paraId="701657A6" w14:textId="77777777" w:rsidR="002E15A3" w:rsidRDefault="002E15A3" w:rsidP="002E15A3">
      <w:pPr>
        <w:pStyle w:val="Default"/>
        <w:spacing w:line="276" w:lineRule="auto"/>
        <w:jc w:val="both"/>
        <w:rPr>
          <w:bCs/>
          <w:sz w:val="20"/>
          <w:szCs w:val="20"/>
        </w:rPr>
      </w:pPr>
    </w:p>
    <w:p w14:paraId="225BB323" w14:textId="4E7816FA" w:rsidR="002E15A3" w:rsidRPr="002E15A3" w:rsidRDefault="002E15A3" w:rsidP="002E15A3">
      <w:pPr>
        <w:pStyle w:val="Default"/>
        <w:spacing w:line="276" w:lineRule="auto"/>
        <w:jc w:val="both"/>
        <w:rPr>
          <w:bCs/>
          <w:sz w:val="20"/>
          <w:szCs w:val="20"/>
        </w:rPr>
      </w:pPr>
      <w:r w:rsidRPr="002E15A3">
        <w:rPr>
          <w:bCs/>
          <w:sz w:val="20"/>
          <w:szCs w:val="20"/>
        </w:rPr>
        <w:t xml:space="preserve">6. Representação da Lei nº 8.666/93. Tomada de Preços nº 03/2022. Presença do elemento da verossimilhança relativamente a aparente irregularidade na inabilitação de licitante por ausência </w:t>
      </w:r>
      <w:r w:rsidRPr="002E15A3">
        <w:rPr>
          <w:bCs/>
          <w:sz w:val="20"/>
          <w:szCs w:val="20"/>
        </w:rPr>
        <w:lastRenderedPageBreak/>
        <w:t>de atualização das últimas alterações sociais em certidão de registro de pessoa jurídica junto ao CREA. Precedentes desta Corte Estadual e do Tribunal de Contas da União. Ratificação de medida cautelar que determinou a imediata suspensão do procedimento licitatório.</w:t>
      </w:r>
    </w:p>
    <w:p w14:paraId="7D83B797" w14:textId="77777777" w:rsidR="002E15A3" w:rsidRDefault="002E15A3" w:rsidP="002E15A3">
      <w:pPr>
        <w:pStyle w:val="Default"/>
        <w:spacing w:line="276" w:lineRule="auto"/>
        <w:jc w:val="both"/>
        <w:rPr>
          <w:bCs/>
          <w:sz w:val="20"/>
          <w:szCs w:val="20"/>
        </w:rPr>
      </w:pPr>
    </w:p>
    <w:p w14:paraId="32F411EB" w14:textId="242D6B8D" w:rsidR="002E15A3" w:rsidRPr="002E15A3" w:rsidRDefault="002E15A3" w:rsidP="002E15A3">
      <w:pPr>
        <w:pStyle w:val="Default"/>
        <w:spacing w:line="276" w:lineRule="auto"/>
        <w:jc w:val="both"/>
        <w:rPr>
          <w:bCs/>
          <w:sz w:val="20"/>
          <w:szCs w:val="20"/>
        </w:rPr>
      </w:pPr>
      <w:r w:rsidRPr="002E15A3">
        <w:rPr>
          <w:bCs/>
          <w:sz w:val="20"/>
          <w:szCs w:val="20"/>
        </w:rPr>
        <w:t>7. Representação da Lei 8.666/93. Previsões editalícias indevidas – Monocraticamente deferida cautelar suspendendo o certame – Homologação da cautelar.</w:t>
      </w:r>
    </w:p>
    <w:p w14:paraId="0C09C62B" w14:textId="77777777" w:rsidR="00EB3390" w:rsidRPr="005871C2" w:rsidRDefault="00EB3390" w:rsidP="005871C2">
      <w:pPr>
        <w:spacing w:after="0"/>
        <w:jc w:val="both"/>
        <w:rPr>
          <w:rFonts w:ascii="Arial" w:eastAsia="Arial" w:hAnsi="Arial" w:cs="Arial"/>
          <w:b/>
          <w:bCs/>
          <w:sz w:val="20"/>
          <w:szCs w:val="20"/>
        </w:rPr>
      </w:pPr>
    </w:p>
    <w:p w14:paraId="0B44C809" w14:textId="77777777" w:rsidR="00741F5F" w:rsidRPr="005871C2" w:rsidRDefault="008D425B" w:rsidP="005871C2">
      <w:pPr>
        <w:shd w:val="clear" w:color="auto" w:fill="D9D9D9" w:themeFill="background1" w:themeFillShade="D9"/>
        <w:spacing w:after="0"/>
        <w:jc w:val="center"/>
        <w:rPr>
          <w:rFonts w:ascii="Arial" w:eastAsia="Arial" w:hAnsi="Arial" w:cs="Arial"/>
          <w:b/>
          <w:sz w:val="20"/>
          <w:szCs w:val="20"/>
        </w:rPr>
      </w:pPr>
      <w:r w:rsidRPr="005871C2">
        <w:rPr>
          <w:rFonts w:ascii="Arial" w:eastAsia="Arial" w:hAnsi="Arial" w:cs="Arial"/>
          <w:b/>
          <w:sz w:val="20"/>
          <w:szCs w:val="20"/>
        </w:rPr>
        <w:t>SEGUNDA CÂMARA</w:t>
      </w:r>
    </w:p>
    <w:p w14:paraId="68BAB2F2" w14:textId="0F41E963" w:rsidR="00741F5F" w:rsidRPr="005871C2" w:rsidRDefault="00741F5F" w:rsidP="005871C2">
      <w:pPr>
        <w:spacing w:after="0"/>
        <w:jc w:val="both"/>
        <w:rPr>
          <w:rFonts w:ascii="Arial" w:eastAsia="Arial" w:hAnsi="Arial" w:cs="Arial"/>
          <w:b/>
          <w:sz w:val="20"/>
          <w:szCs w:val="20"/>
        </w:rPr>
      </w:pPr>
    </w:p>
    <w:p w14:paraId="043C821B" w14:textId="77777777" w:rsidR="00513C83" w:rsidRPr="005871C2" w:rsidRDefault="00513C83" w:rsidP="005871C2">
      <w:pPr>
        <w:autoSpaceDE w:val="0"/>
        <w:autoSpaceDN w:val="0"/>
        <w:adjustRightInd w:val="0"/>
        <w:spacing w:after="0"/>
        <w:jc w:val="both"/>
        <w:rPr>
          <w:rFonts w:ascii="Arial" w:hAnsi="Arial" w:cs="Arial"/>
          <w:b/>
          <w:sz w:val="20"/>
          <w:szCs w:val="20"/>
        </w:rPr>
      </w:pPr>
      <w:r w:rsidRPr="005871C2">
        <w:rPr>
          <w:rFonts w:ascii="Arial" w:hAnsi="Arial" w:cs="Arial"/>
          <w:b/>
          <w:sz w:val="20"/>
          <w:szCs w:val="20"/>
        </w:rPr>
        <w:t>1. Tomada de Contas Extraordinária. Pavimentação. Medição e aceite de serviços cuja qualidade não atende ao especificado nos projetos e normas técnicas. Obras de reparo. Saneamento da irregularidade durante a instrução processual. Súmula nº 8. Regularidade das contas com ressalva, com determinações e recomendações.</w:t>
      </w:r>
    </w:p>
    <w:p w14:paraId="347F7B8C" w14:textId="77777777" w:rsidR="00513C83" w:rsidRPr="005871C2" w:rsidRDefault="00513C83" w:rsidP="005871C2">
      <w:pPr>
        <w:autoSpaceDE w:val="0"/>
        <w:autoSpaceDN w:val="0"/>
        <w:adjustRightInd w:val="0"/>
        <w:spacing w:after="0"/>
        <w:jc w:val="both"/>
        <w:rPr>
          <w:rFonts w:ascii="Arial" w:hAnsi="Arial" w:cs="Arial"/>
          <w:sz w:val="20"/>
          <w:szCs w:val="20"/>
        </w:rPr>
      </w:pPr>
    </w:p>
    <w:p w14:paraId="20580A5F" w14:textId="4F7AC90B" w:rsidR="00513C83" w:rsidRPr="005871C2" w:rsidRDefault="00513C83" w:rsidP="005871C2">
      <w:pPr>
        <w:autoSpaceDE w:val="0"/>
        <w:autoSpaceDN w:val="0"/>
        <w:adjustRightInd w:val="0"/>
        <w:spacing w:after="0"/>
        <w:jc w:val="both"/>
        <w:rPr>
          <w:rFonts w:ascii="Arial" w:hAnsi="Arial" w:cs="Arial"/>
          <w:sz w:val="20"/>
          <w:szCs w:val="20"/>
        </w:rPr>
      </w:pPr>
      <w:r w:rsidRPr="005871C2">
        <w:rPr>
          <w:rFonts w:ascii="Arial" w:hAnsi="Arial" w:cs="Arial"/>
          <w:sz w:val="20"/>
          <w:szCs w:val="20"/>
        </w:rPr>
        <w:t>Trata-se de tomada de contas extraordinária apresentada pela Coordenadoria de Obras Públicas, em virtude de irregularidades identificadas quando da realização de auditoria de pavimentação, em cumprimento ao PAF 2019, em que se fiscalizou a execução das obras referentes à Concorrência nº 04/2018, que resultou no contrato de pavimentação em CBUQ, sob nº 240/2018, firmado entre a municipalidade e empresa.</w:t>
      </w:r>
    </w:p>
    <w:p w14:paraId="3C682212" w14:textId="77777777" w:rsidR="005871C2" w:rsidRPr="005871C2" w:rsidRDefault="005871C2" w:rsidP="005871C2">
      <w:pPr>
        <w:autoSpaceDE w:val="0"/>
        <w:autoSpaceDN w:val="0"/>
        <w:adjustRightInd w:val="0"/>
        <w:spacing w:after="0"/>
        <w:jc w:val="both"/>
        <w:rPr>
          <w:rFonts w:ascii="Arial" w:hAnsi="Arial" w:cs="Arial"/>
          <w:sz w:val="20"/>
          <w:szCs w:val="20"/>
        </w:rPr>
      </w:pPr>
    </w:p>
    <w:p w14:paraId="6C9299B4" w14:textId="7C895AAA" w:rsidR="00513C83" w:rsidRPr="005871C2" w:rsidRDefault="00513C83" w:rsidP="005871C2">
      <w:pPr>
        <w:autoSpaceDE w:val="0"/>
        <w:autoSpaceDN w:val="0"/>
        <w:adjustRightInd w:val="0"/>
        <w:spacing w:after="0"/>
        <w:jc w:val="both"/>
        <w:rPr>
          <w:rFonts w:ascii="Arial" w:hAnsi="Arial" w:cs="Arial"/>
          <w:sz w:val="20"/>
          <w:szCs w:val="20"/>
        </w:rPr>
      </w:pPr>
      <w:r w:rsidRPr="005871C2">
        <w:rPr>
          <w:rFonts w:ascii="Arial" w:hAnsi="Arial" w:cs="Arial"/>
          <w:sz w:val="20"/>
          <w:szCs w:val="20"/>
        </w:rPr>
        <w:t xml:space="preserve">Na peça inicial foi apontado o seguinte achado de auditoria:  Achado n.º 1 - Medição e aceite de serviços cuja qualidade não atende ao especificado nos projetos e normas técnicas.  </w:t>
      </w:r>
    </w:p>
    <w:p w14:paraId="4F1F7B43" w14:textId="77777777" w:rsidR="00513C83" w:rsidRPr="005871C2" w:rsidRDefault="00513C83" w:rsidP="005871C2">
      <w:pPr>
        <w:autoSpaceDE w:val="0"/>
        <w:autoSpaceDN w:val="0"/>
        <w:adjustRightInd w:val="0"/>
        <w:spacing w:after="0"/>
        <w:jc w:val="both"/>
        <w:rPr>
          <w:rFonts w:ascii="Arial" w:hAnsi="Arial" w:cs="Arial"/>
          <w:sz w:val="20"/>
          <w:szCs w:val="20"/>
        </w:rPr>
      </w:pPr>
      <w:r w:rsidRPr="005871C2">
        <w:rPr>
          <w:rFonts w:ascii="Arial" w:hAnsi="Arial" w:cs="Arial"/>
          <w:sz w:val="20"/>
          <w:szCs w:val="20"/>
        </w:rPr>
        <w:t>Após o apontamento pela equipe da Coordenadoria de Obras Públicas de irregularidade atinente à medição e aceite de serviços cuja qualidade não atendia ao especificado nos projetos e normas técnicas, o Município notificou a empresa executora dos serviços que promoveu as obras de reparo, adequando-as aos parâmetros técnicos.</w:t>
      </w:r>
    </w:p>
    <w:p w14:paraId="6A51F553" w14:textId="77777777" w:rsidR="005871C2" w:rsidRPr="005871C2" w:rsidRDefault="005871C2" w:rsidP="005871C2">
      <w:pPr>
        <w:autoSpaceDE w:val="0"/>
        <w:autoSpaceDN w:val="0"/>
        <w:adjustRightInd w:val="0"/>
        <w:spacing w:after="0"/>
        <w:jc w:val="both"/>
        <w:rPr>
          <w:rFonts w:ascii="Arial" w:hAnsi="Arial" w:cs="Arial"/>
          <w:sz w:val="20"/>
          <w:szCs w:val="20"/>
        </w:rPr>
      </w:pPr>
    </w:p>
    <w:p w14:paraId="05C89056" w14:textId="01EFDF30" w:rsidR="00513C83" w:rsidRPr="005871C2" w:rsidRDefault="00513C83" w:rsidP="005871C2">
      <w:pPr>
        <w:autoSpaceDE w:val="0"/>
        <w:autoSpaceDN w:val="0"/>
        <w:adjustRightInd w:val="0"/>
        <w:spacing w:after="0"/>
        <w:jc w:val="both"/>
        <w:rPr>
          <w:rFonts w:ascii="Arial" w:hAnsi="Arial" w:cs="Arial"/>
          <w:sz w:val="20"/>
          <w:szCs w:val="20"/>
        </w:rPr>
      </w:pPr>
      <w:r w:rsidRPr="005871C2">
        <w:rPr>
          <w:rFonts w:ascii="Arial" w:hAnsi="Arial" w:cs="Arial"/>
          <w:sz w:val="20"/>
          <w:szCs w:val="20"/>
        </w:rPr>
        <w:t>Nesse contexto, considerando, portanto, que a irregularidade apontada foi sanada, em conformidade com a Súmula 8, deste Tribunal, as contas devem ser julgadas regulares com ressalva.</w:t>
      </w:r>
    </w:p>
    <w:p w14:paraId="4BD75A25" w14:textId="77777777" w:rsidR="00513C83" w:rsidRPr="005871C2" w:rsidRDefault="00513C83" w:rsidP="005871C2">
      <w:pPr>
        <w:autoSpaceDE w:val="0"/>
        <w:autoSpaceDN w:val="0"/>
        <w:adjustRightInd w:val="0"/>
        <w:spacing w:after="0"/>
        <w:jc w:val="both"/>
        <w:rPr>
          <w:rFonts w:ascii="Arial" w:hAnsi="Arial" w:cs="Arial"/>
          <w:sz w:val="20"/>
          <w:szCs w:val="20"/>
        </w:rPr>
      </w:pPr>
    </w:p>
    <w:p w14:paraId="1FAA23DF" w14:textId="0D787355" w:rsidR="00513C83" w:rsidRPr="005871C2" w:rsidRDefault="00513C83" w:rsidP="005871C2">
      <w:pPr>
        <w:autoSpaceDE w:val="0"/>
        <w:autoSpaceDN w:val="0"/>
        <w:adjustRightInd w:val="0"/>
        <w:spacing w:after="0"/>
        <w:jc w:val="both"/>
        <w:rPr>
          <w:rFonts w:ascii="Arial" w:hAnsi="Arial" w:cs="Arial"/>
          <w:sz w:val="20"/>
          <w:szCs w:val="20"/>
        </w:rPr>
      </w:pPr>
      <w:r w:rsidRPr="005871C2">
        <w:rPr>
          <w:rFonts w:ascii="Arial" w:hAnsi="Arial" w:cs="Arial"/>
          <w:sz w:val="20"/>
          <w:szCs w:val="20"/>
        </w:rPr>
        <w:t xml:space="preserve">PROCESSO Nº: 233128/21. </w:t>
      </w:r>
      <w:r w:rsidR="00D2329C" w:rsidRPr="005871C2">
        <w:rPr>
          <w:rStyle w:val="Hyperlink"/>
          <w:rFonts w:ascii="Arial" w:hAnsi="Arial" w:cs="Arial"/>
          <w:b/>
          <w:bCs/>
          <w:color w:val="004C78"/>
          <w:sz w:val="20"/>
          <w:szCs w:val="20"/>
        </w:rPr>
        <w:t>ACÓRDÃO Nº 208/22 – 2ª Câmara</w:t>
      </w:r>
      <w:r w:rsidRPr="005871C2">
        <w:rPr>
          <w:rFonts w:ascii="Arial" w:hAnsi="Arial" w:cs="Arial"/>
          <w:sz w:val="20"/>
          <w:szCs w:val="20"/>
        </w:rPr>
        <w:t xml:space="preserve">. Relator Conselheiro Ivens </w:t>
      </w:r>
      <w:proofErr w:type="spellStart"/>
      <w:r w:rsidRPr="005871C2">
        <w:rPr>
          <w:rFonts w:ascii="Arial" w:hAnsi="Arial" w:cs="Arial"/>
          <w:sz w:val="20"/>
          <w:szCs w:val="20"/>
        </w:rPr>
        <w:t>Zschoerper</w:t>
      </w:r>
      <w:proofErr w:type="spellEnd"/>
      <w:r w:rsidRPr="005871C2">
        <w:rPr>
          <w:rFonts w:ascii="Arial" w:hAnsi="Arial" w:cs="Arial"/>
          <w:sz w:val="20"/>
          <w:szCs w:val="20"/>
        </w:rPr>
        <w:t xml:space="preserve"> Linhares.</w:t>
      </w:r>
    </w:p>
    <w:p w14:paraId="5D2EE11A" w14:textId="77777777" w:rsidR="00513C83" w:rsidRPr="005871C2" w:rsidRDefault="00513C83" w:rsidP="005871C2">
      <w:pPr>
        <w:autoSpaceDE w:val="0"/>
        <w:autoSpaceDN w:val="0"/>
        <w:adjustRightInd w:val="0"/>
        <w:spacing w:after="0"/>
        <w:jc w:val="both"/>
        <w:rPr>
          <w:rFonts w:ascii="Arial" w:hAnsi="Arial" w:cs="Arial"/>
          <w:sz w:val="20"/>
          <w:szCs w:val="20"/>
        </w:rPr>
      </w:pPr>
    </w:p>
    <w:p w14:paraId="12948C75" w14:textId="1322173D" w:rsidR="00513C83" w:rsidRDefault="00513C83" w:rsidP="005871C2">
      <w:pPr>
        <w:autoSpaceDE w:val="0"/>
        <w:autoSpaceDN w:val="0"/>
        <w:adjustRightInd w:val="0"/>
        <w:spacing w:after="0"/>
        <w:jc w:val="both"/>
        <w:rPr>
          <w:rFonts w:ascii="Arial" w:hAnsi="Arial" w:cs="Arial"/>
          <w:b/>
          <w:sz w:val="20"/>
          <w:szCs w:val="20"/>
        </w:rPr>
      </w:pPr>
      <w:r w:rsidRPr="005871C2">
        <w:rPr>
          <w:rFonts w:ascii="Arial" w:hAnsi="Arial" w:cs="Arial"/>
          <w:b/>
          <w:sz w:val="20"/>
          <w:szCs w:val="20"/>
        </w:rPr>
        <w:t xml:space="preserve">2. </w:t>
      </w:r>
      <w:r w:rsidR="008D425B" w:rsidRPr="008D425B">
        <w:rPr>
          <w:rFonts w:ascii="Arial" w:hAnsi="Arial" w:cs="Arial"/>
          <w:b/>
          <w:sz w:val="20"/>
          <w:szCs w:val="20"/>
        </w:rPr>
        <w:t>Tomada de Contas Extraordinária relativa a possível pagamento por serviços não prestados – Prescrição da pretensão punitiva – Comprovação da execução os serviços – Regularidade das contas.</w:t>
      </w:r>
    </w:p>
    <w:p w14:paraId="1DE229CC" w14:textId="77777777" w:rsidR="008D425B" w:rsidRPr="005871C2" w:rsidRDefault="008D425B" w:rsidP="005871C2">
      <w:pPr>
        <w:autoSpaceDE w:val="0"/>
        <w:autoSpaceDN w:val="0"/>
        <w:adjustRightInd w:val="0"/>
        <w:spacing w:after="0"/>
        <w:jc w:val="both"/>
        <w:rPr>
          <w:rFonts w:ascii="Arial" w:hAnsi="Arial" w:cs="Arial"/>
          <w:sz w:val="20"/>
          <w:szCs w:val="20"/>
        </w:rPr>
      </w:pPr>
    </w:p>
    <w:p w14:paraId="111C9213" w14:textId="19B36774" w:rsidR="00513C83" w:rsidRPr="005871C2" w:rsidRDefault="00513C83" w:rsidP="005871C2">
      <w:pPr>
        <w:autoSpaceDE w:val="0"/>
        <w:autoSpaceDN w:val="0"/>
        <w:adjustRightInd w:val="0"/>
        <w:spacing w:after="0"/>
        <w:jc w:val="both"/>
        <w:rPr>
          <w:rFonts w:ascii="Arial" w:hAnsi="Arial" w:cs="Arial"/>
          <w:sz w:val="20"/>
          <w:szCs w:val="20"/>
        </w:rPr>
      </w:pPr>
      <w:r w:rsidRPr="005871C2">
        <w:rPr>
          <w:rFonts w:ascii="Arial" w:hAnsi="Arial" w:cs="Arial"/>
          <w:sz w:val="20"/>
          <w:szCs w:val="20"/>
        </w:rPr>
        <w:t xml:space="preserve">A presente tomada de contas foi instaurada a partir de determinação contida no Acórdão 1464/16-STP. Ocorre que o transcurso do lapso prescricional acabaria por impossibilitar a aplicação de penalidades. O Prejulgado 26-TCE/PR estabeleceu o prazo prescricional de cinco anos para aplicação de multas e outras sanções pessoais, contado da data da prática do ato </w:t>
      </w:r>
      <w:r w:rsidRPr="005871C2">
        <w:rPr>
          <w:rFonts w:ascii="Arial" w:hAnsi="Arial" w:cs="Arial"/>
          <w:sz w:val="20"/>
          <w:szCs w:val="20"/>
        </w:rPr>
        <w:lastRenderedPageBreak/>
        <w:t xml:space="preserve">irregular ou, no caso de infração permanente ou continuada, do dia em que tiver cessado, tendo como marco interruptivo o despacho que ordenar a citação. Desse modo, resta impossibilitada a aplicação de quaisquer sanções por este Tribunal de Contas, tendo em vista que se passaram aproximadamente 10 anos entre a ocorrência dos fatos e a determinação de citação dos agentes envolvidos. </w:t>
      </w:r>
    </w:p>
    <w:p w14:paraId="2AB989A8" w14:textId="77777777" w:rsidR="00513C83" w:rsidRPr="005871C2" w:rsidRDefault="00513C83" w:rsidP="005871C2">
      <w:pPr>
        <w:autoSpaceDE w:val="0"/>
        <w:autoSpaceDN w:val="0"/>
        <w:adjustRightInd w:val="0"/>
        <w:spacing w:after="0"/>
        <w:jc w:val="both"/>
        <w:rPr>
          <w:rFonts w:ascii="Arial" w:hAnsi="Arial" w:cs="Arial"/>
          <w:sz w:val="20"/>
          <w:szCs w:val="20"/>
        </w:rPr>
      </w:pPr>
    </w:p>
    <w:p w14:paraId="101C9E79" w14:textId="67DD2AA2" w:rsidR="00513C83" w:rsidRPr="005871C2" w:rsidRDefault="00513C83" w:rsidP="005871C2">
      <w:pPr>
        <w:autoSpaceDE w:val="0"/>
        <w:autoSpaceDN w:val="0"/>
        <w:adjustRightInd w:val="0"/>
        <w:spacing w:after="0"/>
        <w:jc w:val="both"/>
        <w:rPr>
          <w:rFonts w:ascii="Arial" w:hAnsi="Arial" w:cs="Arial"/>
          <w:sz w:val="20"/>
          <w:szCs w:val="20"/>
        </w:rPr>
      </w:pPr>
      <w:r w:rsidRPr="005871C2">
        <w:rPr>
          <w:rFonts w:ascii="Arial" w:hAnsi="Arial" w:cs="Arial"/>
          <w:sz w:val="20"/>
          <w:szCs w:val="20"/>
        </w:rPr>
        <w:t xml:space="preserve">Quanto à possibilidade de ressarcimento ao erário, é verificável a ocorrência de prescrição, tendo em vista o longo tempo da ocorrência dos fatos, havendo grande potencial de prejuízo ao direito de defesa e ofensa ao princípio da segurança jurídica. Promover a citação de eventuais responsáveis após dez anos da ocorrência dos fatos possivelmente irregulares prejudica o exercício efetivo de seu direito constitucional à ampla defesa, frente às dificuldades em produzir provas e comprovações da regular aplicação do patrimônio público, principalmente em razão de eventuais documentos ou comprovações se sujeitarem à guarda do Município, não sendo os então gestores ou servidores municipais responsáveis por sua guarda. </w:t>
      </w:r>
    </w:p>
    <w:p w14:paraId="34F84AF2" w14:textId="77777777" w:rsidR="00513C83" w:rsidRPr="005871C2" w:rsidRDefault="00513C83" w:rsidP="005871C2">
      <w:pPr>
        <w:autoSpaceDE w:val="0"/>
        <w:autoSpaceDN w:val="0"/>
        <w:adjustRightInd w:val="0"/>
        <w:spacing w:after="0"/>
        <w:jc w:val="both"/>
        <w:rPr>
          <w:rFonts w:ascii="Arial" w:hAnsi="Arial" w:cs="Arial"/>
          <w:sz w:val="20"/>
          <w:szCs w:val="20"/>
        </w:rPr>
      </w:pPr>
      <w:r w:rsidRPr="005871C2">
        <w:rPr>
          <w:rFonts w:ascii="Arial" w:hAnsi="Arial" w:cs="Arial"/>
          <w:sz w:val="20"/>
          <w:szCs w:val="20"/>
        </w:rPr>
        <w:t>Além disso, manter a possibilidade deste Tribunal de Contas exigir a devida prestação de contas após delongado período da ocorrência dos fatos contraria o princípio da segurança jurídica, uma vez que o instituto da prescrição visa garantir a mínima segurança das relações jurídicas e garantir a certeza do direito, principalmente quanto a modificações ou aplicações retroativas por tempo indefinido de normas jurídicas.</w:t>
      </w:r>
    </w:p>
    <w:p w14:paraId="5555CDFE" w14:textId="77777777" w:rsidR="00513C83" w:rsidRPr="005871C2" w:rsidRDefault="00513C83" w:rsidP="005871C2">
      <w:pPr>
        <w:autoSpaceDE w:val="0"/>
        <w:autoSpaceDN w:val="0"/>
        <w:adjustRightInd w:val="0"/>
        <w:spacing w:after="0"/>
        <w:jc w:val="both"/>
        <w:rPr>
          <w:rFonts w:ascii="Arial" w:hAnsi="Arial" w:cs="Arial"/>
          <w:sz w:val="20"/>
          <w:szCs w:val="20"/>
        </w:rPr>
      </w:pPr>
    </w:p>
    <w:p w14:paraId="345FE83A" w14:textId="2AE2AEBA" w:rsidR="00513C83" w:rsidRPr="005871C2" w:rsidRDefault="00513C83" w:rsidP="005871C2">
      <w:pPr>
        <w:autoSpaceDE w:val="0"/>
        <w:autoSpaceDN w:val="0"/>
        <w:adjustRightInd w:val="0"/>
        <w:spacing w:after="0"/>
        <w:jc w:val="both"/>
        <w:rPr>
          <w:rFonts w:ascii="Arial" w:hAnsi="Arial" w:cs="Arial"/>
          <w:sz w:val="20"/>
          <w:szCs w:val="20"/>
        </w:rPr>
      </w:pPr>
      <w:r w:rsidRPr="005871C2">
        <w:rPr>
          <w:rFonts w:ascii="Arial" w:hAnsi="Arial" w:cs="Arial"/>
          <w:sz w:val="20"/>
          <w:szCs w:val="20"/>
        </w:rPr>
        <w:t>Em recente decisão, o Supremo Tribunal Federal, no Recurso Extraordinário 636886/AL, que resultou no Tema de Repercussão Geral 899, transitada em julgado em outubro de 2021, concluiu que somente são imprescritíveis as ações de ressarcimento ao erário fundadas na prática de ato de improbidade administrativa doloso tipificado na Lei de Improbidade Administrativa – Lei 8.429/1992, sendo que a todos os demais atos ilícitos, inclusive os atentatórios à probidade da administração não dolosos e aos anteriores à edição da Lei 8.429/1992, aplica-se o Tema 666, sendo prescritível a ação de reparação de danos à Fazenda Pública</w:t>
      </w:r>
    </w:p>
    <w:p w14:paraId="55B89014" w14:textId="77777777" w:rsidR="00513C83" w:rsidRPr="005871C2" w:rsidRDefault="00513C83" w:rsidP="005871C2">
      <w:pPr>
        <w:autoSpaceDE w:val="0"/>
        <w:autoSpaceDN w:val="0"/>
        <w:adjustRightInd w:val="0"/>
        <w:spacing w:after="0"/>
        <w:jc w:val="both"/>
        <w:rPr>
          <w:rFonts w:ascii="Arial" w:hAnsi="Arial" w:cs="Arial"/>
          <w:sz w:val="20"/>
          <w:szCs w:val="20"/>
        </w:rPr>
      </w:pPr>
    </w:p>
    <w:p w14:paraId="5E5CC964" w14:textId="57CC5A7F" w:rsidR="00513C83" w:rsidRPr="005871C2" w:rsidRDefault="00513C83" w:rsidP="005871C2">
      <w:pPr>
        <w:autoSpaceDE w:val="0"/>
        <w:autoSpaceDN w:val="0"/>
        <w:adjustRightInd w:val="0"/>
        <w:spacing w:after="0"/>
        <w:jc w:val="both"/>
        <w:rPr>
          <w:rFonts w:ascii="Arial" w:hAnsi="Arial" w:cs="Arial"/>
          <w:sz w:val="20"/>
          <w:szCs w:val="20"/>
        </w:rPr>
      </w:pPr>
      <w:r w:rsidRPr="005871C2">
        <w:rPr>
          <w:rFonts w:ascii="Arial" w:hAnsi="Arial" w:cs="Arial"/>
          <w:sz w:val="20"/>
          <w:szCs w:val="20"/>
        </w:rPr>
        <w:t>Apesar de se tratar de prescrição da pretensão executória dos Tribunais de Contas, ou seja, tratar da prescrição da execução judicial dos títulos provenientes das decisões condenatórias emitidas pelos Tribunais de Contas, o STF deixou explicito nos fundamentos de sua decisão que tal medida decorre da necessidade da observância dos princípios da segurança jurídica e do devido processo legal, devendo ser garantida a efetiva e real proteção contra o exercício do arbítrio, com a imposição de restrições ao poder do Estado em relação à liberdade e à propriedade individuais, entre as quais a impossibilidade de permanência infinita do poder persecutório do Estado.</w:t>
      </w:r>
    </w:p>
    <w:p w14:paraId="4C38CBD9" w14:textId="77777777" w:rsidR="00513C83" w:rsidRPr="005871C2" w:rsidRDefault="00513C83" w:rsidP="005871C2">
      <w:pPr>
        <w:autoSpaceDE w:val="0"/>
        <w:autoSpaceDN w:val="0"/>
        <w:adjustRightInd w:val="0"/>
        <w:spacing w:after="0"/>
        <w:jc w:val="both"/>
        <w:rPr>
          <w:rFonts w:ascii="Arial" w:hAnsi="Arial" w:cs="Arial"/>
          <w:sz w:val="20"/>
          <w:szCs w:val="20"/>
        </w:rPr>
      </w:pPr>
    </w:p>
    <w:p w14:paraId="28A6F6BE" w14:textId="009FE21A" w:rsidR="00513C83" w:rsidRPr="005871C2" w:rsidRDefault="00513C83" w:rsidP="005871C2">
      <w:pPr>
        <w:autoSpaceDE w:val="0"/>
        <w:autoSpaceDN w:val="0"/>
        <w:adjustRightInd w:val="0"/>
        <w:spacing w:after="0"/>
        <w:jc w:val="both"/>
        <w:rPr>
          <w:rFonts w:ascii="Arial" w:hAnsi="Arial" w:cs="Arial"/>
          <w:sz w:val="20"/>
          <w:szCs w:val="20"/>
        </w:rPr>
      </w:pPr>
      <w:r w:rsidRPr="005871C2">
        <w:rPr>
          <w:rFonts w:ascii="Arial" w:hAnsi="Arial" w:cs="Arial"/>
          <w:sz w:val="20"/>
          <w:szCs w:val="20"/>
        </w:rPr>
        <w:t xml:space="preserve">PROCESSO Nº: 405625/16. </w:t>
      </w:r>
      <w:hyperlink r:id="rId8" w:history="1">
        <w:r w:rsidRPr="00BC6295">
          <w:rPr>
            <w:rStyle w:val="Hyperlink"/>
            <w:rFonts w:ascii="Arial" w:hAnsi="Arial" w:cs="Arial"/>
            <w:b/>
            <w:bCs/>
            <w:sz w:val="20"/>
            <w:szCs w:val="20"/>
          </w:rPr>
          <w:t xml:space="preserve">ACÓRDÃO Nº </w:t>
        </w:r>
        <w:r w:rsidR="00A35211" w:rsidRPr="00BC6295">
          <w:rPr>
            <w:rStyle w:val="Hyperlink"/>
            <w:rFonts w:ascii="Arial" w:hAnsi="Arial" w:cs="Arial"/>
            <w:b/>
            <w:bCs/>
            <w:sz w:val="20"/>
            <w:szCs w:val="20"/>
          </w:rPr>
          <w:t>1322</w:t>
        </w:r>
        <w:r w:rsidRPr="00BC6295">
          <w:rPr>
            <w:rStyle w:val="Hyperlink"/>
            <w:rFonts w:ascii="Arial" w:hAnsi="Arial" w:cs="Arial"/>
            <w:b/>
            <w:bCs/>
            <w:sz w:val="20"/>
            <w:szCs w:val="20"/>
          </w:rPr>
          <w:t>/22 – 2ª Câmara</w:t>
        </w:r>
      </w:hyperlink>
      <w:r w:rsidRPr="005871C2">
        <w:rPr>
          <w:rFonts w:ascii="Arial" w:hAnsi="Arial" w:cs="Arial"/>
          <w:sz w:val="20"/>
          <w:szCs w:val="20"/>
        </w:rPr>
        <w:t>. Relator Conselheiro Fernando Augusto Mello Guimarães</w:t>
      </w:r>
    </w:p>
    <w:p w14:paraId="51F29866" w14:textId="77777777" w:rsidR="00513C83" w:rsidRPr="005871C2" w:rsidRDefault="00513C83" w:rsidP="005871C2">
      <w:pPr>
        <w:autoSpaceDE w:val="0"/>
        <w:autoSpaceDN w:val="0"/>
        <w:adjustRightInd w:val="0"/>
        <w:spacing w:after="0"/>
        <w:jc w:val="both"/>
        <w:rPr>
          <w:rFonts w:ascii="Arial" w:hAnsi="Arial" w:cs="Arial"/>
          <w:sz w:val="20"/>
          <w:szCs w:val="20"/>
        </w:rPr>
      </w:pPr>
    </w:p>
    <w:p w14:paraId="62CD660E" w14:textId="77777777" w:rsidR="00513C83" w:rsidRPr="005871C2" w:rsidRDefault="00513C83" w:rsidP="005871C2">
      <w:pPr>
        <w:autoSpaceDE w:val="0"/>
        <w:autoSpaceDN w:val="0"/>
        <w:adjustRightInd w:val="0"/>
        <w:spacing w:after="0"/>
        <w:jc w:val="both"/>
        <w:rPr>
          <w:rFonts w:ascii="Arial" w:hAnsi="Arial" w:cs="Arial"/>
          <w:b/>
          <w:sz w:val="20"/>
          <w:szCs w:val="20"/>
        </w:rPr>
      </w:pPr>
      <w:r w:rsidRPr="005871C2">
        <w:rPr>
          <w:rFonts w:ascii="Arial" w:hAnsi="Arial" w:cs="Arial"/>
          <w:b/>
          <w:sz w:val="20"/>
          <w:szCs w:val="20"/>
        </w:rPr>
        <w:lastRenderedPageBreak/>
        <w:t xml:space="preserve">3. Tomada de Contas Extraordinária. Irregularidades em contratos administrativos. </w:t>
      </w:r>
      <w:proofErr w:type="spellStart"/>
      <w:r w:rsidRPr="005871C2">
        <w:rPr>
          <w:rFonts w:ascii="Arial" w:hAnsi="Arial" w:cs="Arial"/>
          <w:b/>
          <w:sz w:val="20"/>
          <w:szCs w:val="20"/>
        </w:rPr>
        <w:t>Dano</w:t>
      </w:r>
      <w:proofErr w:type="spellEnd"/>
      <w:r w:rsidRPr="005871C2">
        <w:rPr>
          <w:rFonts w:ascii="Arial" w:hAnsi="Arial" w:cs="Arial"/>
          <w:b/>
          <w:sz w:val="20"/>
          <w:szCs w:val="20"/>
        </w:rPr>
        <w:t xml:space="preserve"> ao erário constatado. Ressarcimento promovido. Pela procedência, com o respectivo reconhecimento da irregularidade nas contas prestadas, com aplicação de multa administrativa.</w:t>
      </w:r>
    </w:p>
    <w:p w14:paraId="7322F49C" w14:textId="77777777" w:rsidR="00513C83" w:rsidRPr="005871C2" w:rsidRDefault="00513C83" w:rsidP="005871C2">
      <w:pPr>
        <w:autoSpaceDE w:val="0"/>
        <w:autoSpaceDN w:val="0"/>
        <w:adjustRightInd w:val="0"/>
        <w:spacing w:after="0"/>
        <w:jc w:val="both"/>
        <w:rPr>
          <w:rFonts w:ascii="Arial" w:hAnsi="Arial" w:cs="Arial"/>
          <w:sz w:val="20"/>
          <w:szCs w:val="20"/>
        </w:rPr>
      </w:pPr>
    </w:p>
    <w:p w14:paraId="7CD12197" w14:textId="39F124F1" w:rsidR="00513C83" w:rsidRPr="005871C2" w:rsidRDefault="00513C83" w:rsidP="005871C2">
      <w:pPr>
        <w:autoSpaceDE w:val="0"/>
        <w:autoSpaceDN w:val="0"/>
        <w:adjustRightInd w:val="0"/>
        <w:spacing w:after="0"/>
        <w:jc w:val="both"/>
        <w:rPr>
          <w:rFonts w:ascii="Arial" w:hAnsi="Arial" w:cs="Arial"/>
          <w:sz w:val="20"/>
          <w:szCs w:val="20"/>
        </w:rPr>
      </w:pPr>
      <w:r w:rsidRPr="005871C2">
        <w:rPr>
          <w:rFonts w:ascii="Arial" w:hAnsi="Arial" w:cs="Arial"/>
          <w:sz w:val="20"/>
          <w:szCs w:val="20"/>
        </w:rPr>
        <w:t>Cuida-se de Tomada de Contas Extraordinária instaurada em razão de supostas irregularidades nas contratações efetuadas por Município para serviços de telefonia por internet banda larga, no exercício de 2008, sem prévio procedimento licitatório.</w:t>
      </w:r>
    </w:p>
    <w:p w14:paraId="1BBF93C8" w14:textId="77777777" w:rsidR="00513C83" w:rsidRPr="005871C2" w:rsidRDefault="00513C83" w:rsidP="005871C2">
      <w:pPr>
        <w:autoSpaceDE w:val="0"/>
        <w:autoSpaceDN w:val="0"/>
        <w:adjustRightInd w:val="0"/>
        <w:spacing w:after="0"/>
        <w:jc w:val="both"/>
        <w:rPr>
          <w:rFonts w:ascii="Arial" w:hAnsi="Arial" w:cs="Arial"/>
          <w:sz w:val="20"/>
          <w:szCs w:val="20"/>
        </w:rPr>
      </w:pPr>
    </w:p>
    <w:p w14:paraId="7E029D61" w14:textId="1F0EF451" w:rsidR="00513C83" w:rsidRPr="005871C2" w:rsidRDefault="00513C83" w:rsidP="005871C2">
      <w:pPr>
        <w:autoSpaceDE w:val="0"/>
        <w:autoSpaceDN w:val="0"/>
        <w:adjustRightInd w:val="0"/>
        <w:spacing w:after="0"/>
        <w:jc w:val="both"/>
        <w:rPr>
          <w:rFonts w:ascii="Arial" w:hAnsi="Arial" w:cs="Arial"/>
          <w:sz w:val="20"/>
          <w:szCs w:val="20"/>
        </w:rPr>
      </w:pPr>
      <w:r w:rsidRPr="005871C2">
        <w:rPr>
          <w:rFonts w:ascii="Arial" w:hAnsi="Arial" w:cs="Arial"/>
          <w:sz w:val="20"/>
          <w:szCs w:val="20"/>
        </w:rPr>
        <w:t>Muito embora não se tenha admitida a inexecução dos serviços de telefonia digital contratados, o ex-Prefeito Municipal apresentou Termo de Confissão e Parcelamento de Dívida, por meio do qual informou o parcelamento do valor atualizado, à título de restituição ao erário, de R$ 60.482,48 (sessenta mil quatrocentos e oitenta e dois reais e quarenta e oito centavos).  Em junho de 2016, apresentou o comprovante de quitação integral do débito, realizado em 40 (quarenta) parcelas, requerendo, por via de consequência, a baixa de responsabilidade. A municipalidade, por seu turno, confirmou o pagamento integral, conforme relatório emitido pelo Departamento de Finanças e declaração da contadoria da Prefeitura.</w:t>
      </w:r>
    </w:p>
    <w:p w14:paraId="661ACCE8" w14:textId="77777777" w:rsidR="00513C83" w:rsidRPr="005871C2" w:rsidRDefault="00513C83" w:rsidP="005871C2">
      <w:pPr>
        <w:autoSpaceDE w:val="0"/>
        <w:autoSpaceDN w:val="0"/>
        <w:adjustRightInd w:val="0"/>
        <w:spacing w:after="0"/>
        <w:jc w:val="both"/>
        <w:rPr>
          <w:rFonts w:ascii="Arial" w:hAnsi="Arial" w:cs="Arial"/>
          <w:sz w:val="20"/>
          <w:szCs w:val="20"/>
        </w:rPr>
      </w:pPr>
    </w:p>
    <w:p w14:paraId="455C986F" w14:textId="7407B0E9" w:rsidR="00513C83" w:rsidRPr="005871C2" w:rsidRDefault="00513C83" w:rsidP="005871C2">
      <w:pPr>
        <w:autoSpaceDE w:val="0"/>
        <w:autoSpaceDN w:val="0"/>
        <w:adjustRightInd w:val="0"/>
        <w:spacing w:after="0"/>
        <w:jc w:val="both"/>
        <w:rPr>
          <w:rFonts w:ascii="Arial" w:hAnsi="Arial" w:cs="Arial"/>
          <w:sz w:val="20"/>
          <w:szCs w:val="20"/>
        </w:rPr>
      </w:pPr>
      <w:r w:rsidRPr="005871C2">
        <w:rPr>
          <w:rFonts w:ascii="Arial" w:hAnsi="Arial" w:cs="Arial"/>
          <w:sz w:val="20"/>
          <w:szCs w:val="20"/>
        </w:rPr>
        <w:t xml:space="preserve">Embora seja </w:t>
      </w:r>
      <w:proofErr w:type="spellStart"/>
      <w:r w:rsidRPr="005871C2">
        <w:rPr>
          <w:rFonts w:ascii="Arial" w:hAnsi="Arial" w:cs="Arial"/>
          <w:sz w:val="20"/>
          <w:szCs w:val="20"/>
        </w:rPr>
        <w:t>exaltável</w:t>
      </w:r>
      <w:proofErr w:type="spellEnd"/>
      <w:r w:rsidRPr="005871C2">
        <w:rPr>
          <w:rFonts w:ascii="Arial" w:hAnsi="Arial" w:cs="Arial"/>
          <w:sz w:val="20"/>
          <w:szCs w:val="20"/>
        </w:rPr>
        <w:t xml:space="preserve"> a restituição dos valores ao erário por parte do gestor responsável à época, tal fato não o exime da responsabilidade em razão das irregularidades constatadas, tendo em vista a evidente deficiência na prática dos atos de gestão dos recursos públicos, notadamente pela ausência de procedimento licitatório adequado, assim como pela omissão no dever de fiscalização.</w:t>
      </w:r>
    </w:p>
    <w:p w14:paraId="3A3D8676" w14:textId="77777777" w:rsidR="00513C83" w:rsidRPr="005871C2" w:rsidRDefault="00513C83" w:rsidP="005871C2">
      <w:pPr>
        <w:autoSpaceDE w:val="0"/>
        <w:autoSpaceDN w:val="0"/>
        <w:adjustRightInd w:val="0"/>
        <w:spacing w:after="0"/>
        <w:jc w:val="both"/>
        <w:rPr>
          <w:rFonts w:ascii="Arial" w:hAnsi="Arial" w:cs="Arial"/>
          <w:sz w:val="20"/>
          <w:szCs w:val="20"/>
        </w:rPr>
      </w:pPr>
    </w:p>
    <w:p w14:paraId="0C50C074" w14:textId="2D33E0A3" w:rsidR="00513C83" w:rsidRPr="005871C2" w:rsidRDefault="00513C83" w:rsidP="005871C2">
      <w:pPr>
        <w:autoSpaceDE w:val="0"/>
        <w:autoSpaceDN w:val="0"/>
        <w:adjustRightInd w:val="0"/>
        <w:spacing w:after="0"/>
        <w:jc w:val="both"/>
        <w:rPr>
          <w:rFonts w:ascii="Arial" w:hAnsi="Arial" w:cs="Arial"/>
          <w:sz w:val="20"/>
          <w:szCs w:val="20"/>
        </w:rPr>
      </w:pPr>
      <w:r w:rsidRPr="005871C2">
        <w:rPr>
          <w:rFonts w:ascii="Arial" w:hAnsi="Arial" w:cs="Arial"/>
          <w:sz w:val="20"/>
          <w:szCs w:val="20"/>
        </w:rPr>
        <w:t>Assim, levando-se em conta as disposições da Súmula n.º 08 deste Tribunal de Contas, uma vez caracterizadas as irregularidades, ainda que devidamente ressarcidos os valores aos cofres públicos, o ato possui caráter sancionatório, de modo que seu recolhimento nunca acarretará a regularização de um ato impróprio, sendo, ainda, uma das manifestações concretas do exercício da função administrativa de controle, entendida como poder-dever.</w:t>
      </w:r>
    </w:p>
    <w:p w14:paraId="1C5E1E6E" w14:textId="77777777" w:rsidR="00513C83" w:rsidRPr="005871C2" w:rsidRDefault="00513C83" w:rsidP="005871C2">
      <w:pPr>
        <w:autoSpaceDE w:val="0"/>
        <w:autoSpaceDN w:val="0"/>
        <w:adjustRightInd w:val="0"/>
        <w:spacing w:after="0"/>
        <w:jc w:val="both"/>
        <w:rPr>
          <w:rFonts w:ascii="Arial" w:hAnsi="Arial" w:cs="Arial"/>
          <w:sz w:val="20"/>
          <w:szCs w:val="20"/>
        </w:rPr>
      </w:pPr>
    </w:p>
    <w:p w14:paraId="10F3EBB9" w14:textId="668CB7F3" w:rsidR="00513C83" w:rsidRPr="005871C2" w:rsidRDefault="00513C83" w:rsidP="005871C2">
      <w:pPr>
        <w:autoSpaceDE w:val="0"/>
        <w:autoSpaceDN w:val="0"/>
        <w:adjustRightInd w:val="0"/>
        <w:spacing w:after="0"/>
        <w:jc w:val="both"/>
        <w:rPr>
          <w:rFonts w:ascii="Arial" w:hAnsi="Arial" w:cs="Arial"/>
          <w:sz w:val="20"/>
          <w:szCs w:val="20"/>
        </w:rPr>
      </w:pPr>
      <w:r w:rsidRPr="005871C2">
        <w:rPr>
          <w:rFonts w:ascii="Arial" w:hAnsi="Arial" w:cs="Arial"/>
          <w:sz w:val="20"/>
          <w:szCs w:val="20"/>
        </w:rPr>
        <w:t>PROCESSO Nº: 564248/09.</w:t>
      </w:r>
      <w:r w:rsidRPr="005871C2">
        <w:rPr>
          <w:rFonts w:ascii="Arial" w:hAnsi="Arial" w:cs="Arial"/>
          <w:b/>
          <w:bCs/>
          <w:sz w:val="20"/>
          <w:szCs w:val="20"/>
        </w:rPr>
        <w:t xml:space="preserve"> </w:t>
      </w:r>
      <w:r w:rsidRPr="005871C2">
        <w:rPr>
          <w:rStyle w:val="Hyperlink"/>
          <w:rFonts w:ascii="Arial" w:hAnsi="Arial" w:cs="Arial"/>
          <w:b/>
          <w:bCs/>
          <w:color w:val="004C78"/>
          <w:sz w:val="20"/>
          <w:szCs w:val="20"/>
        </w:rPr>
        <w:t>ACÓRDÃO Nº 212/</w:t>
      </w:r>
      <w:proofErr w:type="gramStart"/>
      <w:r w:rsidRPr="005871C2">
        <w:rPr>
          <w:rStyle w:val="Hyperlink"/>
          <w:rFonts w:ascii="Arial" w:hAnsi="Arial" w:cs="Arial"/>
          <w:b/>
          <w:bCs/>
          <w:color w:val="004C78"/>
          <w:sz w:val="20"/>
          <w:szCs w:val="20"/>
        </w:rPr>
        <w:t>22  -</w:t>
      </w:r>
      <w:proofErr w:type="gramEnd"/>
      <w:r w:rsidRPr="005871C2">
        <w:rPr>
          <w:rStyle w:val="Hyperlink"/>
          <w:rFonts w:ascii="Arial" w:hAnsi="Arial" w:cs="Arial"/>
          <w:b/>
          <w:bCs/>
          <w:color w:val="004C78"/>
          <w:sz w:val="20"/>
          <w:szCs w:val="20"/>
        </w:rPr>
        <w:t xml:space="preserve"> 2ª Câmara</w:t>
      </w:r>
      <w:r w:rsidRPr="005871C2">
        <w:rPr>
          <w:rFonts w:ascii="Arial" w:hAnsi="Arial" w:cs="Arial"/>
          <w:sz w:val="20"/>
          <w:szCs w:val="20"/>
        </w:rPr>
        <w:t>. Relator Conselheiro Nestor Batista.</w:t>
      </w:r>
    </w:p>
    <w:p w14:paraId="3F79DB97" w14:textId="40EA026D" w:rsidR="00513C83" w:rsidRPr="005871C2" w:rsidRDefault="00513C83" w:rsidP="005871C2">
      <w:pPr>
        <w:autoSpaceDE w:val="0"/>
        <w:autoSpaceDN w:val="0"/>
        <w:adjustRightInd w:val="0"/>
        <w:spacing w:after="0"/>
        <w:jc w:val="both"/>
        <w:rPr>
          <w:rFonts w:ascii="Arial" w:hAnsi="Arial" w:cs="Arial"/>
          <w:sz w:val="20"/>
          <w:szCs w:val="20"/>
        </w:rPr>
      </w:pPr>
    </w:p>
    <w:p w14:paraId="03DE743E" w14:textId="2676D16A" w:rsidR="00513C83" w:rsidRPr="005871C2" w:rsidRDefault="005871C2" w:rsidP="005871C2">
      <w:pPr>
        <w:autoSpaceDE w:val="0"/>
        <w:autoSpaceDN w:val="0"/>
        <w:adjustRightInd w:val="0"/>
        <w:spacing w:after="0"/>
        <w:jc w:val="both"/>
        <w:rPr>
          <w:rFonts w:ascii="Arial" w:hAnsi="Arial" w:cs="Arial"/>
          <w:sz w:val="20"/>
          <w:szCs w:val="20"/>
        </w:rPr>
      </w:pPr>
      <w:r>
        <w:rPr>
          <w:rFonts w:ascii="Arial" w:hAnsi="Arial" w:cs="Arial"/>
          <w:b/>
          <w:bCs/>
          <w:sz w:val="20"/>
          <w:szCs w:val="20"/>
        </w:rPr>
        <w:t>4</w:t>
      </w:r>
      <w:r w:rsidR="00513C83" w:rsidRPr="005871C2">
        <w:rPr>
          <w:rFonts w:ascii="Arial" w:hAnsi="Arial" w:cs="Arial"/>
          <w:b/>
          <w:bCs/>
          <w:sz w:val="20"/>
          <w:szCs w:val="20"/>
        </w:rPr>
        <w:t>. Aposentadoria de servidora municipal – Ausência de comprovação de tempo de magistério e inconsistência nas informações acerca do tempo de contribuição – Negativa de registro</w:t>
      </w:r>
      <w:r w:rsidR="00513C83" w:rsidRPr="005871C2">
        <w:rPr>
          <w:rFonts w:ascii="Arial" w:hAnsi="Arial" w:cs="Arial"/>
          <w:sz w:val="20"/>
          <w:szCs w:val="20"/>
        </w:rPr>
        <w:t>.</w:t>
      </w:r>
    </w:p>
    <w:p w14:paraId="081E1869" w14:textId="77777777" w:rsidR="00513C83" w:rsidRPr="005871C2" w:rsidRDefault="00513C83" w:rsidP="005871C2">
      <w:pPr>
        <w:autoSpaceDE w:val="0"/>
        <w:autoSpaceDN w:val="0"/>
        <w:adjustRightInd w:val="0"/>
        <w:spacing w:after="0"/>
        <w:jc w:val="both"/>
        <w:rPr>
          <w:rFonts w:ascii="Arial" w:hAnsi="Arial" w:cs="Arial"/>
          <w:sz w:val="20"/>
          <w:szCs w:val="20"/>
        </w:rPr>
      </w:pPr>
    </w:p>
    <w:p w14:paraId="059B3C3B" w14:textId="77777777" w:rsidR="00513C83" w:rsidRPr="005871C2" w:rsidRDefault="00513C83" w:rsidP="005871C2">
      <w:pPr>
        <w:autoSpaceDE w:val="0"/>
        <w:autoSpaceDN w:val="0"/>
        <w:adjustRightInd w:val="0"/>
        <w:spacing w:after="0"/>
        <w:jc w:val="both"/>
        <w:rPr>
          <w:rFonts w:ascii="Arial" w:hAnsi="Arial" w:cs="Arial"/>
          <w:sz w:val="20"/>
          <w:szCs w:val="20"/>
        </w:rPr>
      </w:pPr>
      <w:r w:rsidRPr="005871C2">
        <w:rPr>
          <w:rFonts w:ascii="Arial" w:hAnsi="Arial" w:cs="Arial"/>
          <w:sz w:val="20"/>
          <w:szCs w:val="20"/>
        </w:rPr>
        <w:t>Trata o presente feito de análise da legalidade para fins de registro da Portaria nº, publicada no D.O. n°, referente à inativação da servidora municipal, no cargo de Professora.</w:t>
      </w:r>
    </w:p>
    <w:p w14:paraId="2F624CDF" w14:textId="77777777" w:rsidR="00513C83" w:rsidRPr="005871C2" w:rsidRDefault="00513C83" w:rsidP="005871C2">
      <w:pPr>
        <w:autoSpaceDE w:val="0"/>
        <w:autoSpaceDN w:val="0"/>
        <w:adjustRightInd w:val="0"/>
        <w:spacing w:after="0"/>
        <w:jc w:val="both"/>
        <w:rPr>
          <w:rFonts w:ascii="Arial" w:hAnsi="Arial" w:cs="Arial"/>
          <w:sz w:val="20"/>
          <w:szCs w:val="20"/>
        </w:rPr>
      </w:pPr>
    </w:p>
    <w:p w14:paraId="692BCBA5" w14:textId="77777777" w:rsidR="00513C83" w:rsidRPr="005871C2" w:rsidRDefault="00513C83" w:rsidP="005871C2">
      <w:pPr>
        <w:autoSpaceDE w:val="0"/>
        <w:autoSpaceDN w:val="0"/>
        <w:adjustRightInd w:val="0"/>
        <w:spacing w:after="0"/>
        <w:jc w:val="both"/>
        <w:rPr>
          <w:rFonts w:ascii="Arial" w:hAnsi="Arial" w:cs="Arial"/>
          <w:sz w:val="20"/>
          <w:szCs w:val="20"/>
        </w:rPr>
      </w:pPr>
      <w:r w:rsidRPr="005871C2">
        <w:rPr>
          <w:rFonts w:ascii="Arial" w:hAnsi="Arial" w:cs="Arial"/>
          <w:sz w:val="20"/>
          <w:szCs w:val="20"/>
        </w:rPr>
        <w:lastRenderedPageBreak/>
        <w:t xml:space="preserve"> A servidora foi admitida em 13 de fevereiro de 1992 e requereu aposentadoria voluntária por idade e tempo de contribuição, fundamentada no art. 6º, da ECF 41/03, contando com tempo total de contribuição de 25 anos, 01 mês e 17 dias. </w:t>
      </w:r>
    </w:p>
    <w:p w14:paraId="50306177" w14:textId="77777777" w:rsidR="00513C83" w:rsidRPr="005871C2" w:rsidRDefault="00513C83" w:rsidP="005871C2">
      <w:pPr>
        <w:autoSpaceDE w:val="0"/>
        <w:autoSpaceDN w:val="0"/>
        <w:adjustRightInd w:val="0"/>
        <w:spacing w:after="0"/>
        <w:jc w:val="both"/>
        <w:rPr>
          <w:rFonts w:ascii="Arial" w:hAnsi="Arial" w:cs="Arial"/>
          <w:sz w:val="20"/>
          <w:szCs w:val="20"/>
        </w:rPr>
      </w:pPr>
    </w:p>
    <w:p w14:paraId="6B17FAFA" w14:textId="77777777" w:rsidR="00513C83" w:rsidRPr="005871C2" w:rsidRDefault="00513C83" w:rsidP="005871C2">
      <w:pPr>
        <w:autoSpaceDE w:val="0"/>
        <w:autoSpaceDN w:val="0"/>
        <w:adjustRightInd w:val="0"/>
        <w:spacing w:after="0"/>
        <w:jc w:val="both"/>
        <w:rPr>
          <w:rFonts w:ascii="Arial" w:hAnsi="Arial" w:cs="Arial"/>
          <w:sz w:val="20"/>
          <w:szCs w:val="20"/>
        </w:rPr>
      </w:pPr>
      <w:r w:rsidRPr="005871C2">
        <w:rPr>
          <w:rFonts w:ascii="Arial" w:hAnsi="Arial" w:cs="Arial"/>
          <w:sz w:val="20"/>
          <w:szCs w:val="20"/>
        </w:rPr>
        <w:t xml:space="preserve">O Órgão Previdenciário assegurou não terem sido localizados os dados de registro da admissão da servidora. </w:t>
      </w:r>
    </w:p>
    <w:p w14:paraId="1204467A" w14:textId="77777777" w:rsidR="00513C83" w:rsidRPr="005871C2" w:rsidRDefault="00513C83" w:rsidP="005871C2">
      <w:pPr>
        <w:autoSpaceDE w:val="0"/>
        <w:autoSpaceDN w:val="0"/>
        <w:adjustRightInd w:val="0"/>
        <w:spacing w:after="0"/>
        <w:jc w:val="both"/>
        <w:rPr>
          <w:rFonts w:ascii="Arial" w:hAnsi="Arial" w:cs="Arial"/>
          <w:sz w:val="20"/>
          <w:szCs w:val="20"/>
        </w:rPr>
      </w:pPr>
    </w:p>
    <w:p w14:paraId="49108153" w14:textId="77777777" w:rsidR="00513C83" w:rsidRPr="005871C2" w:rsidRDefault="00513C83" w:rsidP="005871C2">
      <w:pPr>
        <w:autoSpaceDE w:val="0"/>
        <w:autoSpaceDN w:val="0"/>
        <w:adjustRightInd w:val="0"/>
        <w:spacing w:after="0"/>
        <w:jc w:val="both"/>
        <w:rPr>
          <w:rFonts w:ascii="Arial" w:hAnsi="Arial" w:cs="Arial"/>
          <w:sz w:val="20"/>
          <w:szCs w:val="20"/>
        </w:rPr>
      </w:pPr>
      <w:r w:rsidRPr="005871C2">
        <w:rPr>
          <w:rFonts w:ascii="Arial" w:hAnsi="Arial" w:cs="Arial"/>
          <w:sz w:val="20"/>
          <w:szCs w:val="20"/>
        </w:rPr>
        <w:t>Em primeira análise, a Coordenadoria de Acompanhamento de Atos de Gestão apurou que existem folhas de pagamento para a servidora na entidade MUNICIPIO, porém com matrícula '392201', diferente de '783', que foi a matrícula informada na aposentadoria.</w:t>
      </w:r>
    </w:p>
    <w:p w14:paraId="193E202D" w14:textId="77777777" w:rsidR="00513C83" w:rsidRPr="005871C2" w:rsidRDefault="00513C83" w:rsidP="005871C2">
      <w:pPr>
        <w:autoSpaceDE w:val="0"/>
        <w:autoSpaceDN w:val="0"/>
        <w:adjustRightInd w:val="0"/>
        <w:spacing w:after="0"/>
        <w:jc w:val="both"/>
        <w:rPr>
          <w:rFonts w:ascii="Arial" w:hAnsi="Arial" w:cs="Arial"/>
          <w:sz w:val="20"/>
          <w:szCs w:val="20"/>
        </w:rPr>
      </w:pPr>
    </w:p>
    <w:p w14:paraId="7F651BB6" w14:textId="77777777" w:rsidR="00513C83" w:rsidRPr="005871C2" w:rsidRDefault="00513C83" w:rsidP="005871C2">
      <w:pPr>
        <w:autoSpaceDE w:val="0"/>
        <w:autoSpaceDN w:val="0"/>
        <w:adjustRightInd w:val="0"/>
        <w:spacing w:after="0"/>
        <w:jc w:val="both"/>
        <w:rPr>
          <w:rFonts w:ascii="Arial" w:hAnsi="Arial" w:cs="Arial"/>
          <w:sz w:val="20"/>
          <w:szCs w:val="20"/>
        </w:rPr>
      </w:pPr>
      <w:r w:rsidRPr="005871C2">
        <w:rPr>
          <w:rFonts w:ascii="Arial" w:hAnsi="Arial" w:cs="Arial"/>
          <w:sz w:val="20"/>
          <w:szCs w:val="20"/>
        </w:rPr>
        <w:t xml:space="preserve"> A Colombo Previdência informou já ter regularizado a nova versão SIAP e, com tais correções, entendeu que não haveria impedimento para legalidade da aposentadoria.</w:t>
      </w:r>
    </w:p>
    <w:p w14:paraId="64E50C40" w14:textId="77777777" w:rsidR="00513C83" w:rsidRPr="005871C2" w:rsidRDefault="00513C83" w:rsidP="005871C2">
      <w:pPr>
        <w:autoSpaceDE w:val="0"/>
        <w:autoSpaceDN w:val="0"/>
        <w:adjustRightInd w:val="0"/>
        <w:spacing w:after="0"/>
        <w:jc w:val="both"/>
        <w:rPr>
          <w:rFonts w:ascii="Arial" w:hAnsi="Arial" w:cs="Arial"/>
          <w:sz w:val="20"/>
          <w:szCs w:val="20"/>
        </w:rPr>
      </w:pPr>
      <w:r w:rsidRPr="005871C2">
        <w:rPr>
          <w:rFonts w:ascii="Arial" w:hAnsi="Arial" w:cs="Arial"/>
          <w:sz w:val="20"/>
          <w:szCs w:val="20"/>
        </w:rPr>
        <w:t xml:space="preserve">Analisando os autos, entende-se irrefutáveis as conclusões da Coordenadoria de Acompanhamento de Atos de Gestão, que acabam por demonstrar que a servidora não cumpriu os requisitos necessários para a aposentadoria pleiteada. </w:t>
      </w:r>
    </w:p>
    <w:p w14:paraId="4213EC42" w14:textId="77777777" w:rsidR="00513C83" w:rsidRPr="005871C2" w:rsidRDefault="00513C83" w:rsidP="005871C2">
      <w:pPr>
        <w:autoSpaceDE w:val="0"/>
        <w:autoSpaceDN w:val="0"/>
        <w:adjustRightInd w:val="0"/>
        <w:spacing w:after="0"/>
        <w:jc w:val="both"/>
        <w:rPr>
          <w:rFonts w:ascii="Arial" w:hAnsi="Arial" w:cs="Arial"/>
          <w:sz w:val="20"/>
          <w:szCs w:val="20"/>
        </w:rPr>
      </w:pPr>
    </w:p>
    <w:p w14:paraId="115B873B" w14:textId="77777777" w:rsidR="00513C83" w:rsidRPr="005871C2" w:rsidRDefault="00513C83" w:rsidP="005871C2">
      <w:pPr>
        <w:autoSpaceDE w:val="0"/>
        <w:autoSpaceDN w:val="0"/>
        <w:adjustRightInd w:val="0"/>
        <w:spacing w:after="0"/>
        <w:jc w:val="both"/>
        <w:rPr>
          <w:rFonts w:ascii="Arial" w:hAnsi="Arial" w:cs="Arial"/>
          <w:sz w:val="20"/>
          <w:szCs w:val="20"/>
        </w:rPr>
      </w:pPr>
      <w:r w:rsidRPr="005871C2">
        <w:rPr>
          <w:rFonts w:ascii="Arial" w:hAnsi="Arial" w:cs="Arial"/>
          <w:sz w:val="20"/>
          <w:szCs w:val="20"/>
        </w:rPr>
        <w:t xml:space="preserve">Destaque-se que os apontamentos feitos pela unidade técnica na Instrução 3242/22 não foram objeto de apontamentos por parte do Órgão Previdenciário Municipal. </w:t>
      </w:r>
    </w:p>
    <w:p w14:paraId="7F5FA172" w14:textId="77777777" w:rsidR="00513C83" w:rsidRPr="005871C2" w:rsidRDefault="00513C83" w:rsidP="005871C2">
      <w:pPr>
        <w:autoSpaceDE w:val="0"/>
        <w:autoSpaceDN w:val="0"/>
        <w:adjustRightInd w:val="0"/>
        <w:spacing w:after="0"/>
        <w:jc w:val="both"/>
        <w:rPr>
          <w:rFonts w:ascii="Arial" w:hAnsi="Arial" w:cs="Arial"/>
          <w:sz w:val="20"/>
          <w:szCs w:val="20"/>
        </w:rPr>
      </w:pPr>
    </w:p>
    <w:p w14:paraId="12C18967" w14:textId="77777777" w:rsidR="00513C83" w:rsidRPr="005871C2" w:rsidRDefault="00513C83" w:rsidP="005871C2">
      <w:pPr>
        <w:autoSpaceDE w:val="0"/>
        <w:autoSpaceDN w:val="0"/>
        <w:adjustRightInd w:val="0"/>
        <w:spacing w:after="0"/>
        <w:jc w:val="both"/>
        <w:rPr>
          <w:rFonts w:ascii="Arial" w:hAnsi="Arial" w:cs="Arial"/>
          <w:sz w:val="20"/>
          <w:szCs w:val="20"/>
        </w:rPr>
      </w:pPr>
      <w:r w:rsidRPr="005871C2">
        <w:rPr>
          <w:rFonts w:ascii="Arial" w:hAnsi="Arial" w:cs="Arial"/>
          <w:sz w:val="20"/>
          <w:szCs w:val="20"/>
        </w:rPr>
        <w:t xml:space="preserve">Embora devidamente intimada, a entidade limitou-se a afirmar que a questão foi regularizada, juntando nas peças 21 e 29 o mesmo relatório circunstanciado trazido anteriormente, embora com data de geração distinta. </w:t>
      </w:r>
    </w:p>
    <w:p w14:paraId="25C0F8FB" w14:textId="77777777" w:rsidR="00513C83" w:rsidRPr="005871C2" w:rsidRDefault="00513C83" w:rsidP="005871C2">
      <w:pPr>
        <w:autoSpaceDE w:val="0"/>
        <w:autoSpaceDN w:val="0"/>
        <w:adjustRightInd w:val="0"/>
        <w:spacing w:after="0"/>
        <w:jc w:val="both"/>
        <w:rPr>
          <w:rFonts w:ascii="Arial" w:hAnsi="Arial" w:cs="Arial"/>
          <w:sz w:val="20"/>
          <w:szCs w:val="20"/>
        </w:rPr>
      </w:pPr>
    </w:p>
    <w:p w14:paraId="771C7060" w14:textId="77777777" w:rsidR="00513C83" w:rsidRPr="005871C2" w:rsidRDefault="00513C83" w:rsidP="005871C2">
      <w:pPr>
        <w:autoSpaceDE w:val="0"/>
        <w:autoSpaceDN w:val="0"/>
        <w:adjustRightInd w:val="0"/>
        <w:spacing w:after="0"/>
        <w:jc w:val="both"/>
        <w:rPr>
          <w:rFonts w:ascii="Arial" w:hAnsi="Arial" w:cs="Arial"/>
          <w:sz w:val="20"/>
          <w:szCs w:val="20"/>
        </w:rPr>
      </w:pPr>
      <w:r w:rsidRPr="005871C2">
        <w:rPr>
          <w:rFonts w:ascii="Arial" w:hAnsi="Arial" w:cs="Arial"/>
          <w:sz w:val="20"/>
          <w:szCs w:val="20"/>
        </w:rPr>
        <w:t xml:space="preserve">Em razão disso, tendo em vista a impossibilidade de aferir a legalidade do ato </w:t>
      </w:r>
      <w:proofErr w:type="spellStart"/>
      <w:r w:rsidRPr="005871C2">
        <w:rPr>
          <w:rFonts w:ascii="Arial" w:hAnsi="Arial" w:cs="Arial"/>
          <w:sz w:val="20"/>
          <w:szCs w:val="20"/>
        </w:rPr>
        <w:t>aposentatório</w:t>
      </w:r>
      <w:proofErr w:type="spellEnd"/>
      <w:r w:rsidRPr="005871C2">
        <w:rPr>
          <w:rFonts w:ascii="Arial" w:hAnsi="Arial" w:cs="Arial"/>
          <w:sz w:val="20"/>
          <w:szCs w:val="20"/>
        </w:rPr>
        <w:t>.</w:t>
      </w:r>
    </w:p>
    <w:p w14:paraId="190FFFC0" w14:textId="77777777" w:rsidR="00513C83" w:rsidRPr="005871C2" w:rsidRDefault="00513C83" w:rsidP="005871C2">
      <w:pPr>
        <w:autoSpaceDE w:val="0"/>
        <w:autoSpaceDN w:val="0"/>
        <w:adjustRightInd w:val="0"/>
        <w:spacing w:after="0"/>
        <w:jc w:val="both"/>
        <w:rPr>
          <w:rFonts w:ascii="Arial" w:hAnsi="Arial" w:cs="Arial"/>
          <w:sz w:val="20"/>
          <w:szCs w:val="20"/>
        </w:rPr>
      </w:pPr>
    </w:p>
    <w:p w14:paraId="15D31962" w14:textId="77777777" w:rsidR="00513C83" w:rsidRPr="005871C2" w:rsidRDefault="00513C83" w:rsidP="005871C2">
      <w:pPr>
        <w:autoSpaceDE w:val="0"/>
        <w:autoSpaceDN w:val="0"/>
        <w:adjustRightInd w:val="0"/>
        <w:spacing w:after="0"/>
        <w:jc w:val="both"/>
        <w:rPr>
          <w:rFonts w:ascii="Arial" w:hAnsi="Arial" w:cs="Arial"/>
          <w:sz w:val="20"/>
          <w:szCs w:val="20"/>
        </w:rPr>
      </w:pPr>
      <w:r w:rsidRPr="005871C2">
        <w:rPr>
          <w:rFonts w:ascii="Arial" w:hAnsi="Arial" w:cs="Arial"/>
          <w:sz w:val="20"/>
          <w:szCs w:val="20"/>
        </w:rPr>
        <w:t>Mormente no que diz respeito à ausência de comprovação de tempo de efetivo magistério e de inconsistências nos documentos colacionados (já havendo utilização de tempo de contribuição da Interessada para obtenção de outra aposentadoria), acompanha-se a instrução processual pela negativa de registro.</w:t>
      </w:r>
    </w:p>
    <w:p w14:paraId="5E8173A8" w14:textId="77777777" w:rsidR="00513C83" w:rsidRPr="005871C2" w:rsidRDefault="00513C83" w:rsidP="005871C2">
      <w:pPr>
        <w:autoSpaceDE w:val="0"/>
        <w:autoSpaceDN w:val="0"/>
        <w:adjustRightInd w:val="0"/>
        <w:spacing w:after="0"/>
        <w:jc w:val="both"/>
        <w:rPr>
          <w:rFonts w:ascii="Arial" w:hAnsi="Arial" w:cs="Arial"/>
          <w:sz w:val="20"/>
          <w:szCs w:val="20"/>
        </w:rPr>
      </w:pPr>
    </w:p>
    <w:p w14:paraId="273ED092" w14:textId="77777777" w:rsidR="00513C83" w:rsidRPr="005871C2" w:rsidRDefault="00513C83" w:rsidP="005871C2">
      <w:pPr>
        <w:autoSpaceDE w:val="0"/>
        <w:autoSpaceDN w:val="0"/>
        <w:adjustRightInd w:val="0"/>
        <w:spacing w:after="0"/>
        <w:jc w:val="both"/>
        <w:rPr>
          <w:rFonts w:ascii="Arial" w:hAnsi="Arial" w:cs="Arial"/>
          <w:sz w:val="20"/>
          <w:szCs w:val="20"/>
        </w:rPr>
      </w:pPr>
      <w:r w:rsidRPr="005871C2">
        <w:rPr>
          <w:rFonts w:ascii="Arial" w:hAnsi="Arial" w:cs="Arial"/>
          <w:sz w:val="20"/>
          <w:szCs w:val="20"/>
        </w:rPr>
        <w:t xml:space="preserve">Processo nº 419490/19  </w:t>
      </w:r>
      <w:hyperlink r:id="rId9" w:history="1">
        <w:r w:rsidRPr="005871C2">
          <w:rPr>
            <w:rStyle w:val="Hyperlink"/>
            <w:rFonts w:ascii="Arial" w:hAnsi="Arial" w:cs="Arial"/>
            <w:sz w:val="20"/>
            <w:szCs w:val="20"/>
          </w:rPr>
          <w:t>– Acórdão nº 1096/22 – Segunda Câmara -</w:t>
        </w:r>
      </w:hyperlink>
      <w:r w:rsidRPr="005871C2">
        <w:rPr>
          <w:rFonts w:ascii="Arial" w:hAnsi="Arial" w:cs="Arial"/>
          <w:sz w:val="20"/>
          <w:szCs w:val="20"/>
        </w:rPr>
        <w:t xml:space="preserve"> Relator Conselheiro Fernando Augusto Mello Guimarães.</w:t>
      </w:r>
    </w:p>
    <w:p w14:paraId="59B2E29E" w14:textId="77777777" w:rsidR="00741F5F" w:rsidRPr="005871C2" w:rsidRDefault="00741F5F" w:rsidP="005871C2">
      <w:pPr>
        <w:spacing w:after="0"/>
        <w:jc w:val="both"/>
        <w:rPr>
          <w:rFonts w:ascii="Arial" w:eastAsia="Arial" w:hAnsi="Arial" w:cs="Arial"/>
          <w:sz w:val="20"/>
          <w:szCs w:val="20"/>
        </w:rPr>
      </w:pPr>
    </w:p>
    <w:p w14:paraId="3EACA3B6" w14:textId="77777777" w:rsidR="00741F5F" w:rsidRPr="005871C2" w:rsidRDefault="008D425B" w:rsidP="005871C2">
      <w:pPr>
        <w:shd w:val="clear" w:color="auto" w:fill="D9D9D9" w:themeFill="background1" w:themeFillShade="D9"/>
        <w:spacing w:after="0"/>
        <w:jc w:val="center"/>
        <w:rPr>
          <w:rFonts w:ascii="Arial" w:eastAsia="Arial" w:hAnsi="Arial" w:cs="Arial"/>
          <w:b/>
          <w:sz w:val="20"/>
          <w:szCs w:val="20"/>
        </w:rPr>
      </w:pPr>
      <w:r w:rsidRPr="005871C2">
        <w:rPr>
          <w:rFonts w:ascii="Arial" w:eastAsia="Arial" w:hAnsi="Arial" w:cs="Arial"/>
          <w:b/>
          <w:sz w:val="20"/>
          <w:szCs w:val="20"/>
        </w:rPr>
        <w:t>TRIBUNAL PLENO</w:t>
      </w:r>
    </w:p>
    <w:p w14:paraId="00114E92" w14:textId="3BBF7BED" w:rsidR="00741F5F" w:rsidRPr="005871C2" w:rsidRDefault="00741F5F" w:rsidP="005871C2">
      <w:pPr>
        <w:spacing w:after="0"/>
        <w:jc w:val="both"/>
        <w:rPr>
          <w:rFonts w:ascii="Arial" w:eastAsia="Arial" w:hAnsi="Arial" w:cs="Arial"/>
          <w:sz w:val="20"/>
          <w:szCs w:val="20"/>
        </w:rPr>
      </w:pPr>
    </w:p>
    <w:p w14:paraId="4C962449" w14:textId="1317EC5C" w:rsidR="00A27D3C" w:rsidRPr="005871C2" w:rsidRDefault="005871C2" w:rsidP="005871C2">
      <w:pPr>
        <w:autoSpaceDE w:val="0"/>
        <w:autoSpaceDN w:val="0"/>
        <w:adjustRightInd w:val="0"/>
        <w:spacing w:after="0"/>
        <w:jc w:val="both"/>
        <w:rPr>
          <w:rFonts w:ascii="Arial" w:hAnsi="Arial" w:cs="Arial"/>
          <w:b/>
          <w:bCs/>
          <w:sz w:val="20"/>
          <w:szCs w:val="20"/>
        </w:rPr>
      </w:pPr>
      <w:r>
        <w:rPr>
          <w:rFonts w:ascii="Arial" w:hAnsi="Arial" w:cs="Arial"/>
          <w:b/>
          <w:bCs/>
          <w:sz w:val="20"/>
          <w:szCs w:val="20"/>
        </w:rPr>
        <w:t>5</w:t>
      </w:r>
      <w:r w:rsidR="00A27D3C" w:rsidRPr="005871C2">
        <w:rPr>
          <w:rFonts w:ascii="Arial" w:hAnsi="Arial" w:cs="Arial"/>
          <w:b/>
          <w:bCs/>
          <w:sz w:val="20"/>
          <w:szCs w:val="20"/>
        </w:rPr>
        <w:t>. Representação da Lei n.º 8.666/1993. Pregão Eletrônico. Prestação de serviços de transmissão simultânea de conteúdos escolares e educacionais. Inabilitação de licitante em razão da apresentação de balanço patrimonial desacompanhado do termo de abertura e encerramento e não comprovação de qualificação técnica. Inocorrência de impropriedades. Improcedência.</w:t>
      </w:r>
    </w:p>
    <w:p w14:paraId="36FAE674" w14:textId="77777777" w:rsidR="00A27D3C" w:rsidRPr="005871C2" w:rsidRDefault="00A27D3C" w:rsidP="005871C2">
      <w:pPr>
        <w:autoSpaceDE w:val="0"/>
        <w:autoSpaceDN w:val="0"/>
        <w:adjustRightInd w:val="0"/>
        <w:spacing w:after="0"/>
        <w:jc w:val="both"/>
        <w:rPr>
          <w:rFonts w:ascii="Arial" w:hAnsi="Arial" w:cs="Arial"/>
          <w:b/>
          <w:bCs/>
          <w:sz w:val="20"/>
          <w:szCs w:val="20"/>
        </w:rPr>
      </w:pPr>
    </w:p>
    <w:p w14:paraId="5267B320" w14:textId="77777777" w:rsidR="00A27D3C" w:rsidRPr="005871C2" w:rsidRDefault="00A27D3C" w:rsidP="005871C2">
      <w:pPr>
        <w:autoSpaceDE w:val="0"/>
        <w:autoSpaceDN w:val="0"/>
        <w:adjustRightInd w:val="0"/>
        <w:spacing w:after="0"/>
        <w:jc w:val="both"/>
        <w:rPr>
          <w:rFonts w:ascii="Arial" w:hAnsi="Arial" w:cs="Arial"/>
          <w:sz w:val="20"/>
          <w:szCs w:val="20"/>
        </w:rPr>
      </w:pPr>
      <w:r w:rsidRPr="005871C2">
        <w:rPr>
          <w:rFonts w:ascii="Arial" w:hAnsi="Arial" w:cs="Arial"/>
          <w:sz w:val="20"/>
          <w:szCs w:val="20"/>
        </w:rPr>
        <w:lastRenderedPageBreak/>
        <w:t>Encerram os autos representação lastreada no artigo 113, § 1º, da Lei n.º 8.666, de 21/06/1993, com pedido liminar de suspensão do certame, e formulada pela RADIO E TELEVISÃO LTDA. – REDE DE TELECOMUNICAÇÃO em face do Pregão Eletrônico, realizado pela SECRETARIA, que tem por objeto a contratação de pessoa jurídica de direito privado para a prestação de serviços de transmissão simultânea de conteúdos escolares e educacionais, através de sinais de televisão, para transmissão de aulas aos alunos matriculados na rede pública estadual de ensino.</w:t>
      </w:r>
    </w:p>
    <w:p w14:paraId="6F4FBB4C" w14:textId="77777777" w:rsidR="00A27D3C" w:rsidRPr="005871C2" w:rsidRDefault="00A27D3C" w:rsidP="005871C2">
      <w:pPr>
        <w:autoSpaceDE w:val="0"/>
        <w:autoSpaceDN w:val="0"/>
        <w:adjustRightInd w:val="0"/>
        <w:spacing w:after="0"/>
        <w:jc w:val="both"/>
        <w:rPr>
          <w:rFonts w:ascii="Arial" w:hAnsi="Arial" w:cs="Arial"/>
          <w:sz w:val="20"/>
          <w:szCs w:val="20"/>
        </w:rPr>
      </w:pPr>
    </w:p>
    <w:p w14:paraId="60D1494B" w14:textId="77777777" w:rsidR="00A27D3C" w:rsidRPr="005871C2" w:rsidRDefault="00A27D3C" w:rsidP="005871C2">
      <w:pPr>
        <w:autoSpaceDE w:val="0"/>
        <w:autoSpaceDN w:val="0"/>
        <w:adjustRightInd w:val="0"/>
        <w:spacing w:after="0"/>
        <w:jc w:val="both"/>
        <w:rPr>
          <w:rFonts w:ascii="Arial" w:hAnsi="Arial" w:cs="Arial"/>
          <w:sz w:val="20"/>
          <w:szCs w:val="20"/>
        </w:rPr>
      </w:pPr>
      <w:r w:rsidRPr="005871C2">
        <w:rPr>
          <w:rFonts w:ascii="Arial" w:hAnsi="Arial" w:cs="Arial"/>
          <w:sz w:val="20"/>
          <w:szCs w:val="20"/>
        </w:rPr>
        <w:t>Da representação, colhem-se como impropriedades: (i) irregularidade da inabilitação da representante, sob o argumento de que não teria apresentado o termo de abertura e encerramento do balanço patrimonial e da não comprovação da execução de serviços compatíveis com o objeto da licitação, em sede de qualificação técnica; (</w:t>
      </w:r>
      <w:proofErr w:type="spellStart"/>
      <w:r w:rsidRPr="005871C2">
        <w:rPr>
          <w:rFonts w:ascii="Arial" w:hAnsi="Arial" w:cs="Arial"/>
          <w:sz w:val="20"/>
          <w:szCs w:val="20"/>
        </w:rPr>
        <w:t>ii</w:t>
      </w:r>
      <w:proofErr w:type="spellEnd"/>
      <w:r w:rsidRPr="005871C2">
        <w:rPr>
          <w:rFonts w:ascii="Arial" w:hAnsi="Arial" w:cs="Arial"/>
          <w:sz w:val="20"/>
          <w:szCs w:val="20"/>
        </w:rPr>
        <w:t>) prejuízo ao erário em razão da sua inabilitação, eis que a sua proposta de preços era mais vantajosa do que a da licitante posteriormente convocada; e (</w:t>
      </w:r>
      <w:proofErr w:type="spellStart"/>
      <w:r w:rsidRPr="005871C2">
        <w:rPr>
          <w:rFonts w:ascii="Arial" w:hAnsi="Arial" w:cs="Arial"/>
          <w:sz w:val="20"/>
          <w:szCs w:val="20"/>
        </w:rPr>
        <w:t>iii</w:t>
      </w:r>
      <w:proofErr w:type="spellEnd"/>
      <w:r w:rsidRPr="005871C2">
        <w:rPr>
          <w:rFonts w:ascii="Arial" w:hAnsi="Arial" w:cs="Arial"/>
          <w:sz w:val="20"/>
          <w:szCs w:val="20"/>
        </w:rPr>
        <w:t>) a empresa vencedora da licitação apresentou, originalmente, proposta sem o valor unitário, em desconformidade com o edital.</w:t>
      </w:r>
    </w:p>
    <w:p w14:paraId="57F5B7A8" w14:textId="77777777" w:rsidR="00A27D3C" w:rsidRPr="005871C2" w:rsidRDefault="00A27D3C" w:rsidP="005871C2">
      <w:pPr>
        <w:autoSpaceDE w:val="0"/>
        <w:autoSpaceDN w:val="0"/>
        <w:adjustRightInd w:val="0"/>
        <w:spacing w:after="0"/>
        <w:jc w:val="both"/>
        <w:rPr>
          <w:rFonts w:ascii="Arial" w:hAnsi="Arial" w:cs="Arial"/>
          <w:sz w:val="20"/>
          <w:szCs w:val="20"/>
        </w:rPr>
      </w:pPr>
    </w:p>
    <w:p w14:paraId="08939A13" w14:textId="77777777" w:rsidR="00A27D3C" w:rsidRPr="005871C2" w:rsidRDefault="00A27D3C" w:rsidP="005871C2">
      <w:pPr>
        <w:autoSpaceDE w:val="0"/>
        <w:autoSpaceDN w:val="0"/>
        <w:adjustRightInd w:val="0"/>
        <w:spacing w:after="0"/>
        <w:jc w:val="both"/>
        <w:rPr>
          <w:rFonts w:ascii="Arial" w:hAnsi="Arial" w:cs="Arial"/>
          <w:sz w:val="20"/>
          <w:szCs w:val="20"/>
        </w:rPr>
      </w:pPr>
      <w:r w:rsidRPr="005871C2">
        <w:rPr>
          <w:rFonts w:ascii="Arial" w:hAnsi="Arial" w:cs="Arial"/>
          <w:sz w:val="20"/>
          <w:szCs w:val="20"/>
        </w:rPr>
        <w:t>Duas são as impropriedades ventiladas na presente representação, quais sejam, a inabilitação de licitante em razão da apresentação de balanço patrimonial desacompanhado de termo de abertura e encerramento e a não demonstração da qualificação técnica.</w:t>
      </w:r>
    </w:p>
    <w:p w14:paraId="218A8FEA" w14:textId="77777777" w:rsidR="00A27D3C" w:rsidRPr="005871C2" w:rsidRDefault="00A27D3C" w:rsidP="005871C2">
      <w:pPr>
        <w:autoSpaceDE w:val="0"/>
        <w:autoSpaceDN w:val="0"/>
        <w:adjustRightInd w:val="0"/>
        <w:spacing w:after="0"/>
        <w:jc w:val="both"/>
        <w:rPr>
          <w:rFonts w:ascii="Arial" w:hAnsi="Arial" w:cs="Arial"/>
          <w:sz w:val="20"/>
          <w:szCs w:val="20"/>
        </w:rPr>
      </w:pPr>
      <w:r w:rsidRPr="005871C2">
        <w:rPr>
          <w:rFonts w:ascii="Arial" w:hAnsi="Arial" w:cs="Arial"/>
          <w:sz w:val="20"/>
          <w:szCs w:val="20"/>
        </w:rPr>
        <w:t>Relativamente à primeira impropriedade, consta da decisão do pregoeiro que: “Não apresentou o Balanço patrimonial na forma da lei, deixando de apresentar o Termo de Abertura e Encerramento do Balanço, assim infringindo o item do Edital Licitatório.</w:t>
      </w:r>
    </w:p>
    <w:p w14:paraId="5BBFC2A6" w14:textId="77777777" w:rsidR="00A27D3C" w:rsidRPr="005871C2" w:rsidRDefault="00A27D3C" w:rsidP="005871C2">
      <w:pPr>
        <w:autoSpaceDE w:val="0"/>
        <w:autoSpaceDN w:val="0"/>
        <w:adjustRightInd w:val="0"/>
        <w:spacing w:after="0"/>
        <w:jc w:val="both"/>
        <w:rPr>
          <w:rFonts w:ascii="Arial" w:hAnsi="Arial" w:cs="Arial"/>
          <w:sz w:val="20"/>
          <w:szCs w:val="20"/>
        </w:rPr>
      </w:pPr>
    </w:p>
    <w:p w14:paraId="669B2E72" w14:textId="77777777" w:rsidR="00A27D3C" w:rsidRPr="005871C2" w:rsidRDefault="00A27D3C" w:rsidP="005871C2">
      <w:pPr>
        <w:autoSpaceDE w:val="0"/>
        <w:autoSpaceDN w:val="0"/>
        <w:adjustRightInd w:val="0"/>
        <w:spacing w:after="0"/>
        <w:jc w:val="both"/>
        <w:rPr>
          <w:rFonts w:ascii="Arial" w:hAnsi="Arial" w:cs="Arial"/>
          <w:sz w:val="20"/>
          <w:szCs w:val="20"/>
        </w:rPr>
      </w:pPr>
      <w:r w:rsidRPr="005871C2">
        <w:rPr>
          <w:rFonts w:ascii="Arial" w:hAnsi="Arial" w:cs="Arial"/>
          <w:sz w:val="20"/>
          <w:szCs w:val="20"/>
        </w:rPr>
        <w:t>Quando foi concedida a medida cautelar de suspensão do certame (Despacho n.º), foi expressamente consignado que:</w:t>
      </w:r>
    </w:p>
    <w:p w14:paraId="6A51CAF1" w14:textId="77777777" w:rsidR="00A27D3C" w:rsidRPr="005871C2" w:rsidRDefault="00A27D3C" w:rsidP="005871C2">
      <w:pPr>
        <w:autoSpaceDE w:val="0"/>
        <w:autoSpaceDN w:val="0"/>
        <w:adjustRightInd w:val="0"/>
        <w:spacing w:after="0"/>
        <w:jc w:val="both"/>
        <w:rPr>
          <w:rFonts w:ascii="Arial" w:hAnsi="Arial" w:cs="Arial"/>
          <w:sz w:val="20"/>
          <w:szCs w:val="20"/>
        </w:rPr>
      </w:pPr>
    </w:p>
    <w:p w14:paraId="5EE35F3C" w14:textId="77777777" w:rsidR="00A27D3C" w:rsidRPr="005871C2" w:rsidRDefault="00A27D3C" w:rsidP="005871C2">
      <w:pPr>
        <w:autoSpaceDE w:val="0"/>
        <w:autoSpaceDN w:val="0"/>
        <w:adjustRightInd w:val="0"/>
        <w:spacing w:after="0"/>
        <w:jc w:val="both"/>
        <w:rPr>
          <w:rFonts w:ascii="Arial" w:hAnsi="Arial" w:cs="Arial"/>
          <w:sz w:val="20"/>
          <w:szCs w:val="20"/>
        </w:rPr>
      </w:pPr>
      <w:r w:rsidRPr="005871C2">
        <w:rPr>
          <w:rFonts w:ascii="Arial" w:hAnsi="Arial" w:cs="Arial"/>
          <w:sz w:val="20"/>
          <w:szCs w:val="20"/>
        </w:rPr>
        <w:t>“De fato, a regra do edital não prevê expressamente a necessidade de apresentação de termo de abertura e de encerramento do balanço patrimonial, destacando apenas que ele deve ser apresentado “na forma da lei”. Alguns precedentes apontam a irregularidade da exigência de termo de abertura e de encerramento, sinalizando a irregularidade da inabilitação da representante (...)”.</w:t>
      </w:r>
    </w:p>
    <w:p w14:paraId="53C958E9" w14:textId="77777777" w:rsidR="00A27D3C" w:rsidRPr="005871C2" w:rsidRDefault="00A27D3C" w:rsidP="005871C2">
      <w:pPr>
        <w:autoSpaceDE w:val="0"/>
        <w:autoSpaceDN w:val="0"/>
        <w:adjustRightInd w:val="0"/>
        <w:spacing w:after="0"/>
        <w:jc w:val="both"/>
        <w:rPr>
          <w:rFonts w:ascii="Arial" w:hAnsi="Arial" w:cs="Arial"/>
          <w:sz w:val="20"/>
          <w:szCs w:val="20"/>
        </w:rPr>
      </w:pPr>
    </w:p>
    <w:p w14:paraId="6E64D3DC" w14:textId="77777777" w:rsidR="00A27D3C" w:rsidRPr="005871C2" w:rsidRDefault="00A27D3C" w:rsidP="005871C2">
      <w:pPr>
        <w:autoSpaceDE w:val="0"/>
        <w:autoSpaceDN w:val="0"/>
        <w:adjustRightInd w:val="0"/>
        <w:spacing w:after="0"/>
        <w:jc w:val="both"/>
        <w:rPr>
          <w:rFonts w:ascii="Arial" w:hAnsi="Arial" w:cs="Arial"/>
          <w:sz w:val="20"/>
          <w:szCs w:val="20"/>
        </w:rPr>
      </w:pPr>
      <w:r w:rsidRPr="005871C2">
        <w:rPr>
          <w:rFonts w:ascii="Arial" w:hAnsi="Arial" w:cs="Arial"/>
          <w:sz w:val="20"/>
          <w:szCs w:val="20"/>
        </w:rPr>
        <w:t>O Item 1.3.1.1 do Anexo II (Documentos de Habilitação) do edital, utilizado como fundamento pelo pregoeiro para a inabilitação da licitação, repete os termos do inciso I do artigo 31 da Lei n.º 8.666/1993.</w:t>
      </w:r>
    </w:p>
    <w:p w14:paraId="2D208A5F" w14:textId="77777777" w:rsidR="00A27D3C" w:rsidRPr="005871C2" w:rsidRDefault="00A27D3C" w:rsidP="005871C2">
      <w:pPr>
        <w:autoSpaceDE w:val="0"/>
        <w:autoSpaceDN w:val="0"/>
        <w:adjustRightInd w:val="0"/>
        <w:spacing w:after="0"/>
        <w:jc w:val="both"/>
        <w:rPr>
          <w:rFonts w:ascii="Arial" w:hAnsi="Arial" w:cs="Arial"/>
          <w:sz w:val="20"/>
          <w:szCs w:val="20"/>
        </w:rPr>
      </w:pPr>
    </w:p>
    <w:p w14:paraId="54692445" w14:textId="77777777" w:rsidR="00A27D3C" w:rsidRPr="005871C2" w:rsidRDefault="00A27D3C" w:rsidP="005871C2">
      <w:pPr>
        <w:autoSpaceDE w:val="0"/>
        <w:autoSpaceDN w:val="0"/>
        <w:adjustRightInd w:val="0"/>
        <w:spacing w:after="0"/>
        <w:jc w:val="both"/>
        <w:rPr>
          <w:rFonts w:ascii="Arial" w:hAnsi="Arial" w:cs="Arial"/>
          <w:sz w:val="20"/>
          <w:szCs w:val="20"/>
        </w:rPr>
      </w:pPr>
      <w:r w:rsidRPr="005871C2">
        <w:rPr>
          <w:rFonts w:ascii="Arial" w:hAnsi="Arial" w:cs="Arial"/>
          <w:sz w:val="20"/>
          <w:szCs w:val="20"/>
        </w:rPr>
        <w:t xml:space="preserve">Perceba-se que, a princípio, a regra não traz explicitamente a necessidade de termo de abertura e encerramento do balanço patrimonial, apenas destaca que essa demonstração contábil há que ser apresentada “nos termos da lei”. E nesse sentido, o Conselho Federal de Contabilidade (CFC) editou a Resolução CFC n.º 1330/2011, que aprovou as Normas Brasileiras de Contabilidade – ITG 2000 – Escrituração Contábil, regulamentando para cada tipo societário de </w:t>
      </w:r>
      <w:r w:rsidRPr="005871C2">
        <w:rPr>
          <w:rFonts w:ascii="Arial" w:hAnsi="Arial" w:cs="Arial"/>
          <w:sz w:val="20"/>
          <w:szCs w:val="20"/>
        </w:rPr>
        <w:lastRenderedPageBreak/>
        <w:t>sociedade empresária as formalidades a serem observadas na elaboração do balanço patrimonial.</w:t>
      </w:r>
    </w:p>
    <w:p w14:paraId="60A14906" w14:textId="77777777" w:rsidR="00A27D3C" w:rsidRPr="005871C2" w:rsidRDefault="00A27D3C" w:rsidP="005871C2">
      <w:pPr>
        <w:autoSpaceDE w:val="0"/>
        <w:autoSpaceDN w:val="0"/>
        <w:adjustRightInd w:val="0"/>
        <w:spacing w:after="0"/>
        <w:jc w:val="both"/>
        <w:rPr>
          <w:rFonts w:ascii="Arial" w:hAnsi="Arial" w:cs="Arial"/>
          <w:sz w:val="20"/>
          <w:szCs w:val="20"/>
        </w:rPr>
      </w:pPr>
    </w:p>
    <w:p w14:paraId="267B62D8" w14:textId="77777777" w:rsidR="00A27D3C" w:rsidRPr="005871C2" w:rsidRDefault="00A27D3C" w:rsidP="005871C2">
      <w:pPr>
        <w:autoSpaceDE w:val="0"/>
        <w:autoSpaceDN w:val="0"/>
        <w:adjustRightInd w:val="0"/>
        <w:spacing w:after="0"/>
        <w:jc w:val="both"/>
        <w:rPr>
          <w:rFonts w:ascii="Arial" w:hAnsi="Arial" w:cs="Arial"/>
          <w:sz w:val="20"/>
          <w:szCs w:val="20"/>
        </w:rPr>
      </w:pPr>
      <w:r w:rsidRPr="005871C2">
        <w:rPr>
          <w:rFonts w:ascii="Arial" w:hAnsi="Arial" w:cs="Arial"/>
          <w:sz w:val="20"/>
          <w:szCs w:val="20"/>
        </w:rPr>
        <w:t xml:space="preserve">Em que pese o acima expendido, embora a expressão “nos termos da lei” invoque a necessidade de observância das regras de apresentação de balanço na forma prescrita pelo CFC, de fato, como anteriormente professado, o edital não previu de forma expressa a necessidade de apresentação de termo de abertura e encerramento do balanço patrimonial. </w:t>
      </w:r>
    </w:p>
    <w:p w14:paraId="668BAF04" w14:textId="77777777" w:rsidR="00A27D3C" w:rsidRPr="005871C2" w:rsidRDefault="00A27D3C" w:rsidP="005871C2">
      <w:pPr>
        <w:autoSpaceDE w:val="0"/>
        <w:autoSpaceDN w:val="0"/>
        <w:adjustRightInd w:val="0"/>
        <w:spacing w:after="0"/>
        <w:jc w:val="both"/>
        <w:rPr>
          <w:rFonts w:ascii="Arial" w:hAnsi="Arial" w:cs="Arial"/>
          <w:sz w:val="20"/>
          <w:szCs w:val="20"/>
        </w:rPr>
      </w:pPr>
    </w:p>
    <w:p w14:paraId="17C60F49" w14:textId="77777777" w:rsidR="00A27D3C" w:rsidRPr="005871C2" w:rsidRDefault="00A27D3C" w:rsidP="005871C2">
      <w:pPr>
        <w:autoSpaceDE w:val="0"/>
        <w:autoSpaceDN w:val="0"/>
        <w:adjustRightInd w:val="0"/>
        <w:spacing w:after="0"/>
        <w:jc w:val="both"/>
        <w:rPr>
          <w:rFonts w:ascii="Arial" w:hAnsi="Arial" w:cs="Arial"/>
          <w:sz w:val="20"/>
          <w:szCs w:val="20"/>
        </w:rPr>
      </w:pPr>
      <w:r w:rsidRPr="005871C2">
        <w:rPr>
          <w:rFonts w:ascii="Arial" w:hAnsi="Arial" w:cs="Arial"/>
          <w:sz w:val="20"/>
          <w:szCs w:val="20"/>
        </w:rPr>
        <w:t>Ainda que isso não se afigure irregularidade, quadra aqui prescrever que, para se evitar a repetição do ocorrido, há que se recomendar à SEED que consigne expressamente em seus futuros editais, quando da regulamentação da qualificação econômico-financeira, a necessidade de apresentação do balanço patrimonial acompanhado do seu respectivo termo de abertura e encerramento.</w:t>
      </w:r>
    </w:p>
    <w:p w14:paraId="24452D67" w14:textId="77777777" w:rsidR="00A27D3C" w:rsidRPr="005871C2" w:rsidRDefault="00A27D3C" w:rsidP="005871C2">
      <w:pPr>
        <w:autoSpaceDE w:val="0"/>
        <w:autoSpaceDN w:val="0"/>
        <w:adjustRightInd w:val="0"/>
        <w:spacing w:after="0"/>
        <w:jc w:val="both"/>
        <w:rPr>
          <w:rFonts w:ascii="Arial" w:hAnsi="Arial" w:cs="Arial"/>
          <w:sz w:val="20"/>
          <w:szCs w:val="20"/>
        </w:rPr>
      </w:pPr>
    </w:p>
    <w:p w14:paraId="0CEB7FA5" w14:textId="77777777" w:rsidR="00A27D3C" w:rsidRPr="005871C2" w:rsidRDefault="00A27D3C" w:rsidP="005871C2">
      <w:pPr>
        <w:autoSpaceDE w:val="0"/>
        <w:autoSpaceDN w:val="0"/>
        <w:adjustRightInd w:val="0"/>
        <w:spacing w:after="0"/>
        <w:jc w:val="both"/>
        <w:rPr>
          <w:rFonts w:ascii="Arial" w:hAnsi="Arial" w:cs="Arial"/>
          <w:sz w:val="20"/>
          <w:szCs w:val="20"/>
        </w:rPr>
      </w:pPr>
      <w:r w:rsidRPr="005871C2">
        <w:rPr>
          <w:rFonts w:ascii="Arial" w:hAnsi="Arial" w:cs="Arial"/>
          <w:sz w:val="20"/>
          <w:szCs w:val="20"/>
        </w:rPr>
        <w:t xml:space="preserve">No concernente à inabilitação da representação em razão da não demonstração de qualificação técnica, quando da revogação da cautelar de suspensão do certame (Despacho n.º), também é assentado que de fato, o atestado de capacidade técnica apresentado pela representante não demonstra experiência anterior na realização de objeto similar ao licitado, eis que tão somente se verifica uma declaração de que a representante estaria apta tecnicamente para o cumprimento do futuro objeto do contrato. </w:t>
      </w:r>
    </w:p>
    <w:p w14:paraId="418C8B66" w14:textId="77777777" w:rsidR="00A27D3C" w:rsidRPr="005871C2" w:rsidRDefault="00A27D3C" w:rsidP="005871C2">
      <w:pPr>
        <w:autoSpaceDE w:val="0"/>
        <w:autoSpaceDN w:val="0"/>
        <w:adjustRightInd w:val="0"/>
        <w:spacing w:after="0"/>
        <w:jc w:val="both"/>
        <w:rPr>
          <w:rFonts w:ascii="Arial" w:hAnsi="Arial" w:cs="Arial"/>
          <w:sz w:val="20"/>
          <w:szCs w:val="20"/>
        </w:rPr>
      </w:pPr>
    </w:p>
    <w:p w14:paraId="47CC9335" w14:textId="77777777" w:rsidR="00A27D3C" w:rsidRPr="005871C2" w:rsidRDefault="00A27D3C" w:rsidP="005871C2">
      <w:pPr>
        <w:autoSpaceDE w:val="0"/>
        <w:autoSpaceDN w:val="0"/>
        <w:adjustRightInd w:val="0"/>
        <w:spacing w:after="0"/>
        <w:jc w:val="both"/>
        <w:rPr>
          <w:rFonts w:ascii="Arial" w:hAnsi="Arial" w:cs="Arial"/>
          <w:sz w:val="20"/>
          <w:szCs w:val="20"/>
        </w:rPr>
      </w:pPr>
      <w:r w:rsidRPr="005871C2">
        <w:rPr>
          <w:rFonts w:ascii="Arial" w:hAnsi="Arial" w:cs="Arial"/>
          <w:sz w:val="20"/>
          <w:szCs w:val="20"/>
        </w:rPr>
        <w:t>Em momento algum, ressoa do referido atestado que a interessada tenha efetivamente prestado os serviços. Declarar aptidão discrepa da “comprovação de aptidão”, referida expressamente no inciso II do art. 30 da Lei n.º 8.666/1993, que vindica a demonstração efetiva da execução pretérita de objeto análogo ao do certame.</w:t>
      </w:r>
    </w:p>
    <w:p w14:paraId="0E383937" w14:textId="77777777" w:rsidR="00A27D3C" w:rsidRPr="005871C2" w:rsidRDefault="00A27D3C" w:rsidP="005871C2">
      <w:pPr>
        <w:autoSpaceDE w:val="0"/>
        <w:autoSpaceDN w:val="0"/>
        <w:adjustRightInd w:val="0"/>
        <w:spacing w:after="0"/>
        <w:jc w:val="both"/>
        <w:rPr>
          <w:rFonts w:ascii="Arial" w:hAnsi="Arial" w:cs="Arial"/>
          <w:sz w:val="20"/>
          <w:szCs w:val="20"/>
        </w:rPr>
      </w:pPr>
    </w:p>
    <w:p w14:paraId="1DF7A81B" w14:textId="77777777" w:rsidR="00A27D3C" w:rsidRPr="005871C2" w:rsidRDefault="00A27D3C" w:rsidP="005871C2">
      <w:pPr>
        <w:autoSpaceDE w:val="0"/>
        <w:autoSpaceDN w:val="0"/>
        <w:adjustRightInd w:val="0"/>
        <w:spacing w:after="0"/>
        <w:jc w:val="both"/>
        <w:rPr>
          <w:rFonts w:ascii="Arial" w:hAnsi="Arial" w:cs="Arial"/>
          <w:b/>
          <w:bCs/>
          <w:sz w:val="20"/>
          <w:szCs w:val="20"/>
        </w:rPr>
      </w:pPr>
      <w:r w:rsidRPr="005871C2">
        <w:rPr>
          <w:rFonts w:ascii="Arial" w:hAnsi="Arial" w:cs="Arial"/>
          <w:sz w:val="20"/>
          <w:szCs w:val="20"/>
        </w:rPr>
        <w:t>Veja-se que, desse escólio doutrinário, a demonstração da capacidade técnica reside em comprovar a realização passada e a contento de similar objeto ao licitado, reverberando assim que a conduta do pregoeiro, inabilitando a representante, ao não reconhecer a sua qualificação técnica se amolda ao preceituado na legislação aplicável à espécie.</w:t>
      </w:r>
    </w:p>
    <w:p w14:paraId="5D0CC858" w14:textId="77777777" w:rsidR="00A27D3C" w:rsidRPr="005871C2" w:rsidRDefault="00A27D3C" w:rsidP="005871C2">
      <w:pPr>
        <w:autoSpaceDE w:val="0"/>
        <w:autoSpaceDN w:val="0"/>
        <w:adjustRightInd w:val="0"/>
        <w:spacing w:after="0"/>
        <w:jc w:val="both"/>
        <w:rPr>
          <w:rFonts w:ascii="Arial" w:hAnsi="Arial" w:cs="Arial"/>
          <w:sz w:val="20"/>
          <w:szCs w:val="20"/>
        </w:rPr>
      </w:pPr>
    </w:p>
    <w:p w14:paraId="4E6EC956" w14:textId="25A6DD5E" w:rsidR="00A27D3C" w:rsidRPr="005871C2" w:rsidRDefault="00A27D3C" w:rsidP="005871C2">
      <w:pPr>
        <w:autoSpaceDE w:val="0"/>
        <w:autoSpaceDN w:val="0"/>
        <w:adjustRightInd w:val="0"/>
        <w:spacing w:after="0"/>
        <w:jc w:val="both"/>
        <w:rPr>
          <w:rFonts w:ascii="Arial" w:hAnsi="Arial" w:cs="Arial"/>
          <w:sz w:val="20"/>
          <w:szCs w:val="20"/>
        </w:rPr>
      </w:pPr>
      <w:r w:rsidRPr="005871C2">
        <w:rPr>
          <w:rFonts w:ascii="Arial" w:hAnsi="Arial" w:cs="Arial"/>
          <w:sz w:val="20"/>
          <w:szCs w:val="20"/>
        </w:rPr>
        <w:t xml:space="preserve">Processo nº 313504/21 </w:t>
      </w:r>
      <w:hyperlink r:id="rId10" w:history="1">
        <w:r w:rsidRPr="005871C2">
          <w:rPr>
            <w:rStyle w:val="Hyperlink"/>
            <w:rFonts w:ascii="Arial" w:hAnsi="Arial" w:cs="Arial"/>
            <w:sz w:val="20"/>
            <w:szCs w:val="20"/>
          </w:rPr>
          <w:t>– Acórdão nº 1068/22 – Tribunal Pleno -</w:t>
        </w:r>
      </w:hyperlink>
      <w:r w:rsidRPr="005871C2">
        <w:rPr>
          <w:rFonts w:ascii="Arial" w:hAnsi="Arial" w:cs="Arial"/>
          <w:sz w:val="20"/>
          <w:szCs w:val="20"/>
        </w:rPr>
        <w:t xml:space="preserve"> Relator Conselheiro Jose Durval Mattos do Amaral.</w:t>
      </w:r>
    </w:p>
    <w:p w14:paraId="0D871D44" w14:textId="137A8370" w:rsidR="005871C2" w:rsidRPr="005871C2" w:rsidRDefault="005871C2" w:rsidP="005871C2">
      <w:pPr>
        <w:autoSpaceDE w:val="0"/>
        <w:autoSpaceDN w:val="0"/>
        <w:adjustRightInd w:val="0"/>
        <w:spacing w:after="0"/>
        <w:jc w:val="both"/>
        <w:rPr>
          <w:rFonts w:ascii="Arial" w:hAnsi="Arial" w:cs="Arial"/>
          <w:sz w:val="20"/>
          <w:szCs w:val="20"/>
        </w:rPr>
      </w:pPr>
    </w:p>
    <w:p w14:paraId="4E921584" w14:textId="6ED19433" w:rsidR="005871C2" w:rsidRPr="005871C2" w:rsidRDefault="005871C2" w:rsidP="005871C2">
      <w:pPr>
        <w:pStyle w:val="Default"/>
        <w:spacing w:line="276" w:lineRule="auto"/>
        <w:jc w:val="both"/>
        <w:rPr>
          <w:b/>
          <w:bCs/>
          <w:sz w:val="20"/>
          <w:szCs w:val="20"/>
        </w:rPr>
      </w:pPr>
      <w:r>
        <w:rPr>
          <w:b/>
          <w:bCs/>
          <w:sz w:val="20"/>
          <w:szCs w:val="20"/>
        </w:rPr>
        <w:t xml:space="preserve">6. </w:t>
      </w:r>
      <w:r w:rsidRPr="005871C2">
        <w:rPr>
          <w:b/>
          <w:bCs/>
          <w:sz w:val="20"/>
          <w:szCs w:val="20"/>
        </w:rPr>
        <w:t>Representação da Lei nº 8.666/93. Tomada de Preços nº 03/2022. Presença do elemento da verossimilhança relativamente a aparente irregularidade na inabilitação de licitante por ausência de atualização das últimas alterações sociais em certidão de registro de pessoa jurídica junto ao CREA. Precedentes desta Corte Estadual e do Tribunal de Contas da União. Ratificação de medida cautelar que determinou a imediata suspensão do procedimento licitatório.</w:t>
      </w:r>
    </w:p>
    <w:p w14:paraId="555059B8" w14:textId="77777777" w:rsidR="005871C2" w:rsidRPr="005871C2" w:rsidRDefault="005871C2" w:rsidP="005871C2">
      <w:pPr>
        <w:pStyle w:val="Default"/>
        <w:spacing w:line="276" w:lineRule="auto"/>
        <w:jc w:val="both"/>
        <w:rPr>
          <w:sz w:val="20"/>
          <w:szCs w:val="20"/>
        </w:rPr>
      </w:pPr>
    </w:p>
    <w:p w14:paraId="068ECFD9" w14:textId="77777777" w:rsidR="005871C2" w:rsidRPr="005871C2" w:rsidRDefault="005871C2" w:rsidP="005871C2">
      <w:pPr>
        <w:pStyle w:val="Default"/>
        <w:spacing w:line="276" w:lineRule="auto"/>
        <w:jc w:val="both"/>
        <w:rPr>
          <w:sz w:val="20"/>
          <w:szCs w:val="20"/>
        </w:rPr>
      </w:pPr>
      <w:r w:rsidRPr="005871C2">
        <w:rPr>
          <w:sz w:val="20"/>
          <w:szCs w:val="20"/>
        </w:rPr>
        <w:lastRenderedPageBreak/>
        <w:t>Constitui formalismo excessivo a inabilitação de licitantes por ausência de atualização das últimas alterações sociais em certidão de registro de pessoa jurídica junto ao CREA, em razão de sua apresentação ter apenas a finalidade de demonstrar o cadastramento empresarial no órgão de classe, nos termos do art. 30, I, da Lei Federal nº 8.666/93.</w:t>
      </w:r>
    </w:p>
    <w:p w14:paraId="2FC86FCE" w14:textId="77777777" w:rsidR="005871C2" w:rsidRPr="005871C2" w:rsidRDefault="005871C2" w:rsidP="005871C2">
      <w:pPr>
        <w:pStyle w:val="Default"/>
        <w:spacing w:line="276" w:lineRule="auto"/>
        <w:jc w:val="both"/>
        <w:rPr>
          <w:sz w:val="20"/>
          <w:szCs w:val="20"/>
        </w:rPr>
      </w:pPr>
    </w:p>
    <w:p w14:paraId="3775FF9D" w14:textId="77777777" w:rsidR="005871C2" w:rsidRPr="005871C2" w:rsidRDefault="005871C2" w:rsidP="005871C2">
      <w:pPr>
        <w:pStyle w:val="Default"/>
        <w:spacing w:line="276" w:lineRule="auto"/>
        <w:jc w:val="both"/>
        <w:rPr>
          <w:sz w:val="20"/>
          <w:szCs w:val="20"/>
        </w:rPr>
      </w:pPr>
      <w:r w:rsidRPr="005871C2">
        <w:rPr>
          <w:sz w:val="20"/>
          <w:szCs w:val="20"/>
        </w:rPr>
        <w:t xml:space="preserve">Processo Nº 259597/22. </w:t>
      </w:r>
      <w:hyperlink r:id="rId11" w:history="1">
        <w:r w:rsidRPr="005871C2">
          <w:rPr>
            <w:rStyle w:val="Hyperlink"/>
            <w:sz w:val="20"/>
            <w:szCs w:val="20"/>
          </w:rPr>
          <w:t>Acórdão Nº 961/22 - Tribunal Pleno</w:t>
        </w:r>
      </w:hyperlink>
      <w:r w:rsidRPr="005871C2">
        <w:rPr>
          <w:sz w:val="20"/>
          <w:szCs w:val="20"/>
        </w:rPr>
        <w:t xml:space="preserve">. Relator Conselheiro Ivens </w:t>
      </w:r>
      <w:proofErr w:type="spellStart"/>
      <w:r w:rsidRPr="005871C2">
        <w:rPr>
          <w:sz w:val="20"/>
          <w:szCs w:val="20"/>
        </w:rPr>
        <w:t>Zschoerper</w:t>
      </w:r>
      <w:proofErr w:type="spellEnd"/>
      <w:r w:rsidRPr="005871C2">
        <w:rPr>
          <w:sz w:val="20"/>
          <w:szCs w:val="20"/>
        </w:rPr>
        <w:t xml:space="preserve"> Linhares.</w:t>
      </w:r>
    </w:p>
    <w:p w14:paraId="44DBF257" w14:textId="77777777" w:rsidR="005871C2" w:rsidRPr="005871C2" w:rsidRDefault="005871C2" w:rsidP="005871C2">
      <w:pPr>
        <w:pStyle w:val="Default"/>
        <w:spacing w:line="276" w:lineRule="auto"/>
        <w:jc w:val="both"/>
        <w:rPr>
          <w:sz w:val="20"/>
          <w:szCs w:val="20"/>
        </w:rPr>
      </w:pPr>
    </w:p>
    <w:p w14:paraId="44ECD84F" w14:textId="704DC944" w:rsidR="005871C2" w:rsidRPr="005871C2" w:rsidRDefault="005871C2" w:rsidP="005871C2">
      <w:pPr>
        <w:pStyle w:val="Default"/>
        <w:spacing w:line="276" w:lineRule="auto"/>
        <w:jc w:val="both"/>
        <w:rPr>
          <w:b/>
          <w:bCs/>
          <w:sz w:val="20"/>
          <w:szCs w:val="20"/>
        </w:rPr>
      </w:pPr>
      <w:r>
        <w:rPr>
          <w:b/>
          <w:bCs/>
          <w:sz w:val="20"/>
          <w:szCs w:val="20"/>
        </w:rPr>
        <w:t xml:space="preserve">7. </w:t>
      </w:r>
      <w:r w:rsidRPr="005871C2">
        <w:rPr>
          <w:b/>
          <w:bCs/>
          <w:sz w:val="20"/>
          <w:szCs w:val="20"/>
        </w:rPr>
        <w:t>Representação da Lei 8.666/93. Previsões editalícias indevidas – Monocraticamente deferida cautelar suspendendo o certame – Homologação da cautelar.</w:t>
      </w:r>
    </w:p>
    <w:p w14:paraId="4D332D55" w14:textId="77777777" w:rsidR="005871C2" w:rsidRPr="005871C2" w:rsidRDefault="005871C2" w:rsidP="005871C2">
      <w:pPr>
        <w:pStyle w:val="Default"/>
        <w:spacing w:line="276" w:lineRule="auto"/>
        <w:jc w:val="both"/>
        <w:rPr>
          <w:sz w:val="20"/>
          <w:szCs w:val="20"/>
        </w:rPr>
      </w:pPr>
    </w:p>
    <w:p w14:paraId="3F5EFF87" w14:textId="77777777" w:rsidR="005871C2" w:rsidRPr="005871C2" w:rsidRDefault="005871C2" w:rsidP="005871C2">
      <w:pPr>
        <w:pStyle w:val="Default"/>
        <w:spacing w:line="276" w:lineRule="auto"/>
        <w:jc w:val="both"/>
        <w:rPr>
          <w:sz w:val="20"/>
          <w:szCs w:val="20"/>
        </w:rPr>
      </w:pPr>
      <w:r w:rsidRPr="005871C2">
        <w:rPr>
          <w:sz w:val="20"/>
          <w:szCs w:val="20"/>
        </w:rPr>
        <w:t>Nas licitações do tipo técnica e preço, é indevida a atribuição de excessiva valoração ao quesito técnica, em detrimento do preço, sem amparo em estudo suficiente a demonstrar a sua necessidade. Desta feita, verifica-se clara ofensa às diretrizes da Lei 8.666/93, com intenso potencial de possibilitar a seleção de proposta não vantajosa.</w:t>
      </w:r>
    </w:p>
    <w:p w14:paraId="3A7DBC3A" w14:textId="77777777" w:rsidR="005871C2" w:rsidRPr="005871C2" w:rsidRDefault="005871C2" w:rsidP="005871C2">
      <w:pPr>
        <w:pStyle w:val="Default"/>
        <w:spacing w:line="276" w:lineRule="auto"/>
        <w:jc w:val="both"/>
        <w:rPr>
          <w:sz w:val="20"/>
          <w:szCs w:val="20"/>
        </w:rPr>
      </w:pPr>
    </w:p>
    <w:p w14:paraId="04AAE347" w14:textId="77777777" w:rsidR="005871C2" w:rsidRPr="005871C2" w:rsidRDefault="005871C2" w:rsidP="005871C2">
      <w:pPr>
        <w:pStyle w:val="Default"/>
        <w:spacing w:line="276" w:lineRule="auto"/>
        <w:jc w:val="both"/>
        <w:rPr>
          <w:sz w:val="20"/>
          <w:szCs w:val="20"/>
        </w:rPr>
      </w:pPr>
      <w:r w:rsidRPr="005871C2">
        <w:rPr>
          <w:sz w:val="20"/>
          <w:szCs w:val="20"/>
        </w:rPr>
        <w:t xml:space="preserve">Processo Nº 262067/22. </w:t>
      </w:r>
      <w:hyperlink r:id="rId12" w:history="1">
        <w:r w:rsidRPr="005871C2">
          <w:rPr>
            <w:rStyle w:val="Hyperlink"/>
            <w:sz w:val="20"/>
            <w:szCs w:val="20"/>
          </w:rPr>
          <w:t>Acórdão Nº 951/22 - Tribunal Pleno</w:t>
        </w:r>
      </w:hyperlink>
      <w:r w:rsidRPr="005871C2">
        <w:rPr>
          <w:sz w:val="20"/>
          <w:szCs w:val="20"/>
        </w:rPr>
        <w:t>. Relator Conselheiro Fernando Augusto Mello Guimarães.</w:t>
      </w:r>
    </w:p>
    <w:p w14:paraId="592E9009" w14:textId="77777777" w:rsidR="00EB3390" w:rsidRPr="005871C2" w:rsidRDefault="00EB3390" w:rsidP="005871C2">
      <w:pPr>
        <w:spacing w:after="0"/>
        <w:jc w:val="both"/>
        <w:rPr>
          <w:rFonts w:ascii="Arial" w:eastAsia="Arial" w:hAnsi="Arial" w:cs="Arial"/>
          <w:b/>
          <w:bCs/>
          <w:sz w:val="20"/>
          <w:szCs w:val="20"/>
        </w:rPr>
      </w:pPr>
    </w:p>
    <w:p w14:paraId="5A7EF696" w14:textId="77777777" w:rsidR="00741F5F" w:rsidRPr="005871C2" w:rsidRDefault="008D425B" w:rsidP="005871C2">
      <w:pPr>
        <w:spacing w:after="0"/>
        <w:rPr>
          <w:rFonts w:ascii="Arial" w:eastAsia="Arial" w:hAnsi="Arial" w:cs="Arial"/>
          <w:b/>
          <w:color w:val="000000"/>
          <w:sz w:val="20"/>
          <w:szCs w:val="20"/>
        </w:rPr>
      </w:pPr>
      <w:r w:rsidRPr="005871C2">
        <w:rPr>
          <w:rFonts w:ascii="Arial" w:eastAsia="Arial" w:hAnsi="Arial" w:cs="Arial"/>
          <w:noProof/>
          <w:sz w:val="20"/>
          <w:szCs w:val="20"/>
          <w:lang w:eastAsia="pt-BR"/>
        </w:rPr>
        <mc:AlternateContent>
          <mc:Choice Requires="wpg">
            <w:drawing>
              <wp:anchor distT="0" distB="0" distL="114300" distR="114300" simplePos="0" relativeHeight="251660288" behindDoc="0" locked="0" layoutInCell="1" allowOverlap="1" wp14:anchorId="68CC5E3D" wp14:editId="03482EF1">
                <wp:simplePos x="0" y="0"/>
                <wp:positionH relativeFrom="margin">
                  <wp:posOffset>-6985</wp:posOffset>
                </wp:positionH>
                <wp:positionV relativeFrom="paragraph">
                  <wp:posOffset>73660</wp:posOffset>
                </wp:positionV>
                <wp:extent cx="5499100" cy="0"/>
                <wp:effectExtent l="0" t="0" r="25400" b="57150"/>
                <wp:wrapNone/>
                <wp:docPr id="4" name="Conector reto 2"/>
                <wp:cNvGraphicFramePr/>
                <a:graphic xmlns:a="http://schemas.openxmlformats.org/drawingml/2006/main">
                  <a:graphicData uri="http://schemas.microsoft.com/office/word/2010/wordprocessingShape">
                    <wps:wsp>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3" o:spid="_x0000_s3" o:spt="20" style="position:absolute;mso-wrap-distance-left:9.0pt;mso-wrap-distance-top:0.0pt;mso-wrap-distance-right:9.0pt;mso-wrap-distance-bottom:0.0pt;z-index:251660288;o:allowoverlap:true;o:allowincell:true;mso-position-horizontal-relative:margin;margin-left:-0.5pt;mso-position-horizontal:absolute;mso-position-vertical-relative:text;margin-top:5.8pt;mso-position-vertical:absolute;width:433.0pt;height:0.0pt;" coordsize="100000,100000" path="" filled="f" strokecolor="#000000" strokeweight="2.00pt">
                <v:path textboxrect="0,0,0,0"/>
              </v:shape>
            </w:pict>
          </mc:Fallback>
        </mc:AlternateContent>
      </w:r>
    </w:p>
    <w:p w14:paraId="53C6BEC5" w14:textId="77777777" w:rsidR="00741F5F" w:rsidRPr="005871C2" w:rsidRDefault="00741F5F" w:rsidP="005871C2">
      <w:pPr>
        <w:spacing w:after="0"/>
        <w:jc w:val="both"/>
        <w:rPr>
          <w:rFonts w:ascii="Arial" w:eastAsia="Arial" w:hAnsi="Arial" w:cs="Arial"/>
          <w:sz w:val="20"/>
          <w:szCs w:val="20"/>
        </w:rPr>
      </w:pPr>
    </w:p>
    <w:p w14:paraId="1ADAC272" w14:textId="77777777" w:rsidR="00741F5F" w:rsidRPr="005871C2" w:rsidRDefault="008D425B" w:rsidP="005871C2">
      <w:pPr>
        <w:pStyle w:val="Default"/>
        <w:spacing w:line="276" w:lineRule="auto"/>
        <w:jc w:val="both"/>
        <w:rPr>
          <w:b/>
          <w:sz w:val="20"/>
          <w:szCs w:val="20"/>
        </w:rPr>
      </w:pPr>
      <w:r w:rsidRPr="005871C2">
        <w:rPr>
          <w:b/>
          <w:sz w:val="20"/>
          <w:szCs w:val="20"/>
        </w:rPr>
        <w:t xml:space="preserve">Acesse também: </w:t>
      </w:r>
    </w:p>
    <w:p w14:paraId="55626129" w14:textId="77777777" w:rsidR="00741F5F" w:rsidRPr="005871C2" w:rsidRDefault="00741F5F" w:rsidP="005871C2">
      <w:pPr>
        <w:pStyle w:val="Default"/>
        <w:spacing w:line="276" w:lineRule="auto"/>
        <w:jc w:val="both"/>
        <w:rPr>
          <w:b/>
          <w:sz w:val="20"/>
          <w:szCs w:val="20"/>
        </w:rPr>
      </w:pPr>
    </w:p>
    <w:p w14:paraId="3A364241" w14:textId="77777777" w:rsidR="00741F5F" w:rsidRPr="005871C2" w:rsidRDefault="00BC6295" w:rsidP="005871C2">
      <w:pPr>
        <w:pStyle w:val="Default"/>
        <w:spacing w:line="276" w:lineRule="auto"/>
        <w:jc w:val="center"/>
        <w:rPr>
          <w:rStyle w:val="Hyperlink"/>
          <w:b/>
          <w:sz w:val="20"/>
          <w:szCs w:val="20"/>
        </w:rPr>
      </w:pPr>
      <w:hyperlink r:id="rId13" w:tooltip="http://www1.tce.pr.gov.br/conteudo/pesquisas-prontas/308475/area/249" w:history="1">
        <w:r w:rsidR="008D425B" w:rsidRPr="005871C2">
          <w:rPr>
            <w:rStyle w:val="Hyperlink"/>
            <w:b/>
            <w:sz w:val="20"/>
            <w:szCs w:val="20"/>
          </w:rPr>
          <w:t>Pesquisas Prontas</w:t>
        </w:r>
      </w:hyperlink>
    </w:p>
    <w:p w14:paraId="4E9881B8" w14:textId="77777777" w:rsidR="00741F5F" w:rsidRPr="005871C2" w:rsidRDefault="00741F5F" w:rsidP="005871C2">
      <w:pPr>
        <w:spacing w:after="0"/>
        <w:jc w:val="both"/>
        <w:rPr>
          <w:rFonts w:ascii="Arial" w:hAnsi="Arial" w:cs="Arial"/>
          <w:sz w:val="20"/>
          <w:szCs w:val="20"/>
        </w:rPr>
      </w:pPr>
    </w:p>
    <w:p w14:paraId="4BB53BF8" w14:textId="77777777" w:rsidR="00741F5F" w:rsidRPr="005871C2" w:rsidRDefault="00BC6295" w:rsidP="005871C2">
      <w:pPr>
        <w:pStyle w:val="Default"/>
        <w:spacing w:line="276" w:lineRule="auto"/>
        <w:jc w:val="center"/>
        <w:rPr>
          <w:rStyle w:val="Hyperlink"/>
          <w:b/>
          <w:sz w:val="20"/>
          <w:szCs w:val="20"/>
        </w:rPr>
      </w:pPr>
      <w:hyperlink r:id="rId14" w:tooltip="http://www1.tce.pr.gov.br/conteudo/teses-ambientais/316603/area/249" w:history="1">
        <w:r w:rsidR="008D425B" w:rsidRPr="005871C2">
          <w:rPr>
            <w:rStyle w:val="Hyperlink"/>
            <w:b/>
            <w:sz w:val="20"/>
            <w:szCs w:val="20"/>
          </w:rPr>
          <w:t>Teses Ambientais</w:t>
        </w:r>
      </w:hyperlink>
      <w:r w:rsidR="008D425B" w:rsidRPr="005871C2">
        <w:rPr>
          <w:rStyle w:val="Hyperlink"/>
          <w:b/>
          <w:sz w:val="20"/>
          <w:szCs w:val="20"/>
        </w:rPr>
        <w:t xml:space="preserve"> </w:t>
      </w:r>
    </w:p>
    <w:p w14:paraId="02CA87EB" w14:textId="77777777" w:rsidR="00741F5F" w:rsidRPr="005871C2" w:rsidRDefault="00741F5F" w:rsidP="005871C2">
      <w:pPr>
        <w:pStyle w:val="Default"/>
        <w:spacing w:line="276" w:lineRule="auto"/>
        <w:jc w:val="center"/>
        <w:rPr>
          <w:rStyle w:val="Hyperlink"/>
          <w:b/>
          <w:sz w:val="20"/>
          <w:szCs w:val="20"/>
        </w:rPr>
      </w:pPr>
    </w:p>
    <w:p w14:paraId="2ECCE849" w14:textId="77777777" w:rsidR="00741F5F" w:rsidRPr="005871C2" w:rsidRDefault="00BC6295" w:rsidP="005871C2">
      <w:pPr>
        <w:pStyle w:val="Default"/>
        <w:spacing w:line="276" w:lineRule="auto"/>
        <w:jc w:val="center"/>
        <w:rPr>
          <w:b/>
          <w:sz w:val="20"/>
          <w:szCs w:val="20"/>
        </w:rPr>
      </w:pPr>
      <w:hyperlink r:id="rId15" w:tooltip="http://www1.tce.pr.gov.br/conteudo/boletim-de-jurisprudencia-internacional/316601/area/249" w:history="1">
        <w:proofErr w:type="spellStart"/>
        <w:r w:rsidR="008D425B" w:rsidRPr="005871C2">
          <w:rPr>
            <w:rStyle w:val="Hyperlink"/>
            <w:b/>
            <w:sz w:val="20"/>
            <w:szCs w:val="20"/>
          </w:rPr>
          <w:t>Interjuris</w:t>
        </w:r>
        <w:proofErr w:type="spellEnd"/>
      </w:hyperlink>
    </w:p>
    <w:p w14:paraId="05F80EEB" w14:textId="77777777" w:rsidR="00741F5F" w:rsidRPr="005871C2" w:rsidRDefault="00741F5F" w:rsidP="005871C2">
      <w:pPr>
        <w:pStyle w:val="Default"/>
        <w:spacing w:line="276" w:lineRule="auto"/>
        <w:jc w:val="center"/>
        <w:rPr>
          <w:sz w:val="20"/>
          <w:szCs w:val="20"/>
        </w:rPr>
      </w:pPr>
    </w:p>
    <w:p w14:paraId="1861020C" w14:textId="77777777" w:rsidR="00741F5F" w:rsidRPr="005871C2" w:rsidRDefault="00BC6295" w:rsidP="005871C2">
      <w:pPr>
        <w:pStyle w:val="Default"/>
        <w:spacing w:line="276" w:lineRule="auto"/>
        <w:jc w:val="center"/>
        <w:rPr>
          <w:rStyle w:val="Hyperlink"/>
          <w:b/>
          <w:sz w:val="20"/>
          <w:szCs w:val="20"/>
        </w:rPr>
      </w:pPr>
      <w:hyperlink r:id="rId16" w:tooltip="http://www1.tce.pr.gov.br/conteudo/repercussao-geral-no-stf-e-os-tribunais-de-contas/307026/area/249" w:history="1">
        <w:r w:rsidR="008D425B" w:rsidRPr="005871C2">
          <w:rPr>
            <w:rStyle w:val="Hyperlink"/>
            <w:b/>
            <w:sz w:val="20"/>
            <w:szCs w:val="20"/>
          </w:rPr>
          <w:t>Repercussão Geral do Supremo Tribunal Federal - STF e os Tribunais de Contas</w:t>
        </w:r>
      </w:hyperlink>
    </w:p>
    <w:p w14:paraId="5C98546F" w14:textId="77777777" w:rsidR="00741F5F" w:rsidRPr="005871C2" w:rsidRDefault="00741F5F" w:rsidP="005871C2">
      <w:pPr>
        <w:pStyle w:val="Default"/>
        <w:spacing w:line="276" w:lineRule="auto"/>
        <w:jc w:val="center"/>
        <w:rPr>
          <w:rStyle w:val="Hyperlink"/>
          <w:b/>
          <w:sz w:val="20"/>
          <w:szCs w:val="20"/>
        </w:rPr>
      </w:pPr>
    </w:p>
    <w:p w14:paraId="5AEC0A81" w14:textId="77777777" w:rsidR="00741F5F" w:rsidRPr="005871C2" w:rsidRDefault="00BC6295" w:rsidP="005871C2">
      <w:pPr>
        <w:pStyle w:val="Default"/>
        <w:spacing w:line="276" w:lineRule="auto"/>
        <w:jc w:val="center"/>
        <w:rPr>
          <w:rStyle w:val="Hyperlink"/>
          <w:b/>
          <w:sz w:val="20"/>
          <w:szCs w:val="20"/>
        </w:rPr>
      </w:pPr>
      <w:hyperlink r:id="rId17" w:tooltip="http://www1.tce.pr.gov.br/conteudo/sumulas-selecionadas/316602/area/249" w:history="1">
        <w:r w:rsidR="008D425B" w:rsidRPr="005871C2">
          <w:rPr>
            <w:rStyle w:val="Hyperlink"/>
            <w:b/>
            <w:sz w:val="20"/>
            <w:szCs w:val="20"/>
          </w:rPr>
          <w:t>Súmulas Selecionadas</w:t>
        </w:r>
      </w:hyperlink>
    </w:p>
    <w:p w14:paraId="2C5BCB16" w14:textId="77777777" w:rsidR="00741F5F" w:rsidRPr="005871C2" w:rsidRDefault="008D425B" w:rsidP="005871C2">
      <w:pPr>
        <w:pStyle w:val="TCU-Epgrafe"/>
        <w:spacing w:line="276" w:lineRule="auto"/>
        <w:ind w:left="0"/>
        <w:rPr>
          <w:rFonts w:ascii="Arial" w:hAnsi="Arial" w:cs="Arial"/>
          <w:sz w:val="20"/>
        </w:rPr>
      </w:pPr>
      <w:r w:rsidRPr="005871C2">
        <w:rPr>
          <w:rFonts w:ascii="Arial" w:hAnsi="Arial" w:cs="Arial"/>
          <w:noProof/>
          <w:sz w:val="20"/>
        </w:rPr>
        <mc:AlternateContent>
          <mc:Choice Requires="wpg">
            <w:drawing>
              <wp:anchor distT="0" distB="0" distL="114300" distR="114300" simplePos="0" relativeHeight="251661312" behindDoc="0" locked="0" layoutInCell="1" allowOverlap="1" wp14:anchorId="033D92CB" wp14:editId="6C3534E9">
                <wp:simplePos x="0" y="0"/>
                <wp:positionH relativeFrom="margin">
                  <wp:posOffset>-18205</wp:posOffset>
                </wp:positionH>
                <wp:positionV relativeFrom="paragraph">
                  <wp:posOffset>117229</wp:posOffset>
                </wp:positionV>
                <wp:extent cx="5518150" cy="0"/>
                <wp:effectExtent l="0" t="0" r="25400" b="57150"/>
                <wp:wrapNone/>
                <wp:docPr id="5" name="Conector reto 59"/>
                <wp:cNvGraphicFramePr/>
                <a:graphic xmlns:a="http://schemas.openxmlformats.org/drawingml/2006/main">
                  <a:graphicData uri="http://schemas.microsoft.com/office/word/2010/wordprocessingShape">
                    <wps:wsp>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wps:spPr>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4" o:spid="_x0000_s4" o:spt="20" style="position:absolute;mso-wrap-distance-left:9.0pt;mso-wrap-distance-top:0.0pt;mso-wrap-distance-right:9.0pt;mso-wrap-distance-bottom:0.0pt;z-index:251661312;o:allowoverlap:true;o:allowincell:true;mso-position-horizontal-relative:margin;margin-left:-1.4pt;mso-position-horizontal:absolute;mso-position-vertical-relative:text;margin-top:9.2pt;mso-position-vertical:absolute;width:434.5pt;height:0.0pt;" coordsize="100000,100000" path="" filled="f" strokecolor="#000000" strokeweight="2.00pt">
                <v:path textboxrect="0,0,0,0"/>
              </v:shape>
            </w:pict>
          </mc:Fallback>
        </mc:AlternateContent>
      </w:r>
    </w:p>
    <w:p w14:paraId="588AC4C3" w14:textId="77777777" w:rsidR="00741F5F" w:rsidRPr="005871C2" w:rsidRDefault="00741F5F" w:rsidP="005871C2">
      <w:pPr>
        <w:spacing w:after="0"/>
        <w:jc w:val="center"/>
        <w:rPr>
          <w:rStyle w:val="Hyperlink"/>
          <w:rFonts w:ascii="Arial" w:hAnsi="Arial" w:cs="Arial"/>
          <w:i/>
          <w:color w:val="000000"/>
          <w:sz w:val="20"/>
          <w:szCs w:val="20"/>
          <w:u w:val="none"/>
        </w:rPr>
      </w:pPr>
    </w:p>
    <w:p w14:paraId="5EAB4867" w14:textId="77777777" w:rsidR="00741F5F" w:rsidRPr="005871C2" w:rsidRDefault="008D425B" w:rsidP="005871C2">
      <w:pPr>
        <w:spacing w:after="0"/>
        <w:jc w:val="center"/>
        <w:rPr>
          <w:rStyle w:val="Hyperlink"/>
          <w:rFonts w:ascii="Arial" w:hAnsi="Arial" w:cs="Arial"/>
          <w:i/>
          <w:color w:val="auto"/>
          <w:sz w:val="20"/>
          <w:szCs w:val="20"/>
          <w:u w:val="none"/>
        </w:rPr>
      </w:pPr>
      <w:r w:rsidRPr="005871C2">
        <w:rPr>
          <w:rStyle w:val="Hyperlink"/>
          <w:rFonts w:ascii="Arial" w:hAnsi="Arial" w:cs="Arial"/>
          <w:i/>
          <w:color w:val="auto"/>
          <w:sz w:val="20"/>
          <w:szCs w:val="20"/>
          <w:u w:val="none"/>
        </w:rPr>
        <w:t>Elaboração: Escola de Gestão Pública - Jurisprudência</w:t>
      </w:r>
    </w:p>
    <w:p w14:paraId="6C056FE8" w14:textId="77777777" w:rsidR="00741F5F" w:rsidRPr="005871C2" w:rsidRDefault="008D425B" w:rsidP="005871C2">
      <w:pPr>
        <w:spacing w:after="0"/>
        <w:jc w:val="center"/>
        <w:rPr>
          <w:rFonts w:ascii="Arial" w:hAnsi="Arial" w:cs="Arial"/>
          <w:sz w:val="20"/>
          <w:szCs w:val="20"/>
        </w:rPr>
      </w:pPr>
      <w:r w:rsidRPr="005871C2">
        <w:rPr>
          <w:rStyle w:val="nfase"/>
          <w:rFonts w:ascii="Arial" w:hAnsi="Arial" w:cs="Arial"/>
          <w:sz w:val="20"/>
          <w:szCs w:val="20"/>
        </w:rPr>
        <w:t>E-mail: jurisprudencia@tce.pr.gov.br</w:t>
      </w:r>
    </w:p>
    <w:sectPr w:rsidR="00741F5F" w:rsidRPr="005871C2">
      <w:headerReference w:type="default" r:id="rId18"/>
      <w:footerReference w:type="default" r:id="rId1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64ABE1" w14:textId="77777777" w:rsidR="00B91479" w:rsidRDefault="00B91479">
      <w:pPr>
        <w:spacing w:after="0" w:line="240" w:lineRule="auto"/>
      </w:pPr>
      <w:r>
        <w:separator/>
      </w:r>
    </w:p>
  </w:endnote>
  <w:endnote w:type="continuationSeparator" w:id="0">
    <w:p w14:paraId="6E9232CC" w14:textId="77777777" w:rsidR="00B91479" w:rsidRDefault="00B914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3880C" w14:textId="77777777" w:rsidR="00741F5F" w:rsidRDefault="008D425B">
    <w:pPr>
      <w:pStyle w:val="Rodap"/>
      <w:jc w:val="center"/>
      <w:rPr>
        <w:sz w:val="16"/>
        <w:szCs w:val="16"/>
      </w:rPr>
    </w:pPr>
    <w:r>
      <w:rPr>
        <w:noProof/>
        <w:lang w:eastAsia="pt-BR"/>
      </w:rPr>
      <mc:AlternateContent>
        <mc:Choice Requires="wpg">
          <w:drawing>
            <wp:inline distT="0" distB="0" distL="0" distR="0" wp14:anchorId="4AA3D4C6" wp14:editId="0A269EFA">
              <wp:extent cx="463138" cy="231569"/>
              <wp:effectExtent l="0" t="0" r="0" b="0"/>
              <wp:docPr id="2"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pic:cNvPicPr>
                    </pic:nvPicPr>
                    <pic:blipFill>
                      <a:blip r:embed="rId1"/>
                      <a:stretch/>
                    </pic:blipFill>
                    <pic:spPr bwMode="auto">
                      <a:xfrm>
                        <a:off x="0" y="0"/>
                        <a:ext cx="467873" cy="233936"/>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mso-wrap-distance-left:0.0pt;mso-wrap-distance-top:0.0pt;mso-wrap-distance-right:0.0pt;mso-wrap-distance-bottom:0.0pt;width:36.5pt;height:18.2pt;" stroked="f">
              <v:path textboxrect="0,0,0,0"/>
              <v:imagedata r:id="rId2" o:title=""/>
            </v:shape>
          </w:pict>
        </mc:Fallback>
      </mc:AlternateContent>
    </w:r>
  </w:p>
  <w:p w14:paraId="3DD70E20" w14:textId="77777777" w:rsidR="00741F5F" w:rsidRDefault="008D425B">
    <w:pPr>
      <w:pStyle w:val="Rodap"/>
      <w:jc w:val="center"/>
      <w:rPr>
        <w:sz w:val="16"/>
        <w:szCs w:val="16"/>
      </w:rPr>
    </w:pPr>
    <w:r>
      <w:rPr>
        <w:sz w:val="16"/>
        <w:szCs w:val="16"/>
      </w:rPr>
      <w:fldChar w:fldCharType="begin"/>
    </w:r>
    <w:r>
      <w:rPr>
        <w:sz w:val="16"/>
        <w:szCs w:val="16"/>
      </w:rPr>
      <w:instrText xml:space="preserve"> PAGE   \* MERGEFORMAT </w:instrText>
    </w:r>
    <w:r>
      <w:rPr>
        <w:sz w:val="16"/>
        <w:szCs w:val="16"/>
      </w:rPr>
      <w:fldChar w:fldCharType="separate"/>
    </w:r>
    <w:r>
      <w:rPr>
        <w:sz w:val="16"/>
        <w:szCs w:val="16"/>
      </w:rPr>
      <w:t>9</w:t>
    </w:r>
    <w:r>
      <w:rPr>
        <w:sz w:val="16"/>
        <w:szCs w:val="16"/>
      </w:rPr>
      <w:fldChar w:fldCharType="end"/>
    </w:r>
  </w:p>
  <w:p w14:paraId="7E45AC53" w14:textId="77777777" w:rsidR="00741F5F" w:rsidRDefault="00741F5F"/>
  <w:p w14:paraId="51F0F006" w14:textId="77777777" w:rsidR="00741F5F" w:rsidRDefault="00741F5F"/>
  <w:p w14:paraId="23350A65" w14:textId="77777777" w:rsidR="00741F5F" w:rsidRDefault="00741F5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945E0F" w14:textId="77777777" w:rsidR="00B91479" w:rsidRDefault="00B91479">
      <w:pPr>
        <w:spacing w:after="0" w:line="240" w:lineRule="auto"/>
      </w:pPr>
      <w:r>
        <w:separator/>
      </w:r>
    </w:p>
  </w:footnote>
  <w:footnote w:type="continuationSeparator" w:id="0">
    <w:p w14:paraId="45F7DC0D" w14:textId="77777777" w:rsidR="00B91479" w:rsidRDefault="00B914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F69BE" w14:textId="77777777" w:rsidR="00741F5F" w:rsidRDefault="00741F5F">
    <w:pPr>
      <w:pStyle w:val="Cabealho"/>
      <w:spacing w:after="100" w:afterAutospacing="1"/>
      <w:jc w:val="center"/>
      <w:rPr>
        <w:b/>
      </w:rPr>
    </w:pPr>
  </w:p>
  <w:p w14:paraId="7AD87F0D" w14:textId="77777777" w:rsidR="00741F5F" w:rsidRDefault="008D425B">
    <w:pPr>
      <w:pStyle w:val="Cabealho"/>
      <w:spacing w:after="100" w:afterAutospacing="1"/>
      <w:jc w:val="center"/>
      <w:rPr>
        <w:b/>
      </w:rPr>
    </w:pPr>
    <w:r>
      <w:rPr>
        <w:noProof/>
        <w:lang w:eastAsia="pt-BR"/>
      </w:rPr>
      <mc:AlternateContent>
        <mc:Choice Requires="wpg">
          <w:drawing>
            <wp:inline distT="0" distB="0" distL="0" distR="0" wp14:anchorId="7AC71B11" wp14:editId="436667AB">
              <wp:extent cx="4073236" cy="872837"/>
              <wp:effectExtent l="0" t="0" r="3810" b="3810"/>
              <wp:docPr id="1"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pic:cNvPicPr>
                    </pic:nvPicPr>
                    <pic:blipFill>
                      <a:blip r:embed="rId1"/>
                      <a:stretch/>
                    </pic:blipFill>
                    <pic:spPr bwMode="auto">
                      <a:xfrm>
                        <a:off x="0" y="0"/>
                        <a:ext cx="4071668" cy="872501"/>
                      </a:xfrm>
                      <a:prstGeom prst="rect">
                        <a:avLst/>
                      </a:prstGeom>
                      <a:noFill/>
                      <a:ln>
                        <a:noFill/>
                        <a:miter/>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mso-wrap-distance-left:0.0pt;mso-wrap-distance-top:0.0pt;mso-wrap-distance-right:0.0pt;mso-wrap-distance-bottom:0.0pt;width:320.7pt;height:68.7pt;" stroked="f">
              <v:path textboxrect="0,0,0,0"/>
              <v:imagedata r:id="rId2" o:titl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03739"/>
    <w:multiLevelType w:val="hybridMultilevel"/>
    <w:tmpl w:val="71729E7E"/>
    <w:lvl w:ilvl="0" w:tplc="EBC0ECB0">
      <w:start w:val="1"/>
      <w:numFmt w:val="decimal"/>
      <w:lvlText w:val="%1."/>
      <w:lvlJc w:val="left"/>
      <w:pPr>
        <w:ind w:left="720" w:hanging="360"/>
      </w:pPr>
      <w:rPr>
        <w:rFonts w:hint="default"/>
      </w:rPr>
    </w:lvl>
    <w:lvl w:ilvl="1" w:tplc="A3487AD6">
      <w:start w:val="1"/>
      <w:numFmt w:val="lowerLetter"/>
      <w:lvlText w:val="%2."/>
      <w:lvlJc w:val="left"/>
      <w:pPr>
        <w:ind w:left="1440" w:hanging="360"/>
      </w:pPr>
    </w:lvl>
    <w:lvl w:ilvl="2" w:tplc="F73ECD8E">
      <w:start w:val="1"/>
      <w:numFmt w:val="lowerRoman"/>
      <w:lvlText w:val="%3."/>
      <w:lvlJc w:val="right"/>
      <w:pPr>
        <w:ind w:left="2160" w:hanging="180"/>
      </w:pPr>
    </w:lvl>
    <w:lvl w:ilvl="3" w:tplc="3E1C45B8">
      <w:start w:val="1"/>
      <w:numFmt w:val="decimal"/>
      <w:lvlText w:val="%4."/>
      <w:lvlJc w:val="left"/>
      <w:pPr>
        <w:ind w:left="2880" w:hanging="360"/>
      </w:pPr>
    </w:lvl>
    <w:lvl w:ilvl="4" w:tplc="2E108DC0">
      <w:start w:val="1"/>
      <w:numFmt w:val="lowerLetter"/>
      <w:lvlText w:val="%5."/>
      <w:lvlJc w:val="left"/>
      <w:pPr>
        <w:ind w:left="3600" w:hanging="360"/>
      </w:pPr>
    </w:lvl>
    <w:lvl w:ilvl="5" w:tplc="6C7C4774">
      <w:start w:val="1"/>
      <w:numFmt w:val="lowerRoman"/>
      <w:lvlText w:val="%6."/>
      <w:lvlJc w:val="right"/>
      <w:pPr>
        <w:ind w:left="4320" w:hanging="180"/>
      </w:pPr>
    </w:lvl>
    <w:lvl w:ilvl="6" w:tplc="7E5E5BE8">
      <w:start w:val="1"/>
      <w:numFmt w:val="decimal"/>
      <w:lvlText w:val="%7."/>
      <w:lvlJc w:val="left"/>
      <w:pPr>
        <w:ind w:left="5040" w:hanging="360"/>
      </w:pPr>
    </w:lvl>
    <w:lvl w:ilvl="7" w:tplc="59F2F4BA">
      <w:start w:val="1"/>
      <w:numFmt w:val="lowerLetter"/>
      <w:lvlText w:val="%8."/>
      <w:lvlJc w:val="left"/>
      <w:pPr>
        <w:ind w:left="5760" w:hanging="360"/>
      </w:pPr>
    </w:lvl>
    <w:lvl w:ilvl="8" w:tplc="43D018A0">
      <w:start w:val="1"/>
      <w:numFmt w:val="lowerRoman"/>
      <w:lvlText w:val="%9."/>
      <w:lvlJc w:val="right"/>
      <w:pPr>
        <w:ind w:left="6480" w:hanging="180"/>
      </w:pPr>
    </w:lvl>
  </w:abstractNum>
  <w:abstractNum w:abstractNumId="1" w15:restartNumberingAfterBreak="0">
    <w:nsid w:val="13ED23D9"/>
    <w:multiLevelType w:val="hybridMultilevel"/>
    <w:tmpl w:val="D2522D7A"/>
    <w:lvl w:ilvl="0" w:tplc="EF9E4110">
      <w:start w:val="1"/>
      <w:numFmt w:val="decimal"/>
      <w:lvlText w:val="%1."/>
      <w:lvlJc w:val="left"/>
      <w:pPr>
        <w:ind w:left="720" w:hanging="360"/>
      </w:pPr>
      <w:rPr>
        <w:rFonts w:hint="default"/>
      </w:rPr>
    </w:lvl>
    <w:lvl w:ilvl="1" w:tplc="6FA21368">
      <w:start w:val="1"/>
      <w:numFmt w:val="lowerLetter"/>
      <w:lvlText w:val="%2."/>
      <w:lvlJc w:val="left"/>
      <w:pPr>
        <w:ind w:left="1440" w:hanging="360"/>
      </w:pPr>
    </w:lvl>
    <w:lvl w:ilvl="2" w:tplc="D742A278">
      <w:start w:val="1"/>
      <w:numFmt w:val="lowerRoman"/>
      <w:lvlText w:val="%3."/>
      <w:lvlJc w:val="right"/>
      <w:pPr>
        <w:ind w:left="2160" w:hanging="180"/>
      </w:pPr>
    </w:lvl>
    <w:lvl w:ilvl="3" w:tplc="521A46D4">
      <w:start w:val="1"/>
      <w:numFmt w:val="decimal"/>
      <w:lvlText w:val="%4."/>
      <w:lvlJc w:val="left"/>
      <w:pPr>
        <w:ind w:left="2880" w:hanging="360"/>
      </w:pPr>
    </w:lvl>
    <w:lvl w:ilvl="4" w:tplc="C95C75FE">
      <w:start w:val="1"/>
      <w:numFmt w:val="lowerLetter"/>
      <w:lvlText w:val="%5."/>
      <w:lvlJc w:val="left"/>
      <w:pPr>
        <w:ind w:left="3600" w:hanging="360"/>
      </w:pPr>
    </w:lvl>
    <w:lvl w:ilvl="5" w:tplc="02C0F2EC">
      <w:start w:val="1"/>
      <w:numFmt w:val="lowerRoman"/>
      <w:lvlText w:val="%6."/>
      <w:lvlJc w:val="right"/>
      <w:pPr>
        <w:ind w:left="4320" w:hanging="180"/>
      </w:pPr>
    </w:lvl>
    <w:lvl w:ilvl="6" w:tplc="FE4C3F0A">
      <w:start w:val="1"/>
      <w:numFmt w:val="decimal"/>
      <w:lvlText w:val="%7."/>
      <w:lvlJc w:val="left"/>
      <w:pPr>
        <w:ind w:left="5040" w:hanging="360"/>
      </w:pPr>
    </w:lvl>
    <w:lvl w:ilvl="7" w:tplc="D02CE5F4">
      <w:start w:val="1"/>
      <w:numFmt w:val="lowerLetter"/>
      <w:lvlText w:val="%8."/>
      <w:lvlJc w:val="left"/>
      <w:pPr>
        <w:ind w:left="5760" w:hanging="360"/>
      </w:pPr>
    </w:lvl>
    <w:lvl w:ilvl="8" w:tplc="62A82730">
      <w:start w:val="1"/>
      <w:numFmt w:val="lowerRoman"/>
      <w:lvlText w:val="%9."/>
      <w:lvlJc w:val="right"/>
      <w:pPr>
        <w:ind w:left="6480" w:hanging="180"/>
      </w:pPr>
    </w:lvl>
  </w:abstractNum>
  <w:abstractNum w:abstractNumId="2" w15:restartNumberingAfterBreak="0">
    <w:nsid w:val="18AF2283"/>
    <w:multiLevelType w:val="hybridMultilevel"/>
    <w:tmpl w:val="49FA4C0C"/>
    <w:lvl w:ilvl="0" w:tplc="D3B8E7B8">
      <w:start w:val="1"/>
      <w:numFmt w:val="decimal"/>
      <w:lvlText w:val="%1."/>
      <w:lvlJc w:val="left"/>
      <w:pPr>
        <w:ind w:left="720" w:hanging="360"/>
      </w:pPr>
      <w:rPr>
        <w:rFonts w:hint="default"/>
      </w:rPr>
    </w:lvl>
    <w:lvl w:ilvl="1" w:tplc="3EACC650">
      <w:start w:val="1"/>
      <w:numFmt w:val="lowerLetter"/>
      <w:lvlText w:val="%2."/>
      <w:lvlJc w:val="left"/>
      <w:pPr>
        <w:ind w:left="1440" w:hanging="360"/>
      </w:pPr>
    </w:lvl>
    <w:lvl w:ilvl="2" w:tplc="88047C44">
      <w:start w:val="1"/>
      <w:numFmt w:val="lowerRoman"/>
      <w:lvlText w:val="%3."/>
      <w:lvlJc w:val="right"/>
      <w:pPr>
        <w:ind w:left="2160" w:hanging="180"/>
      </w:pPr>
    </w:lvl>
    <w:lvl w:ilvl="3" w:tplc="CFEAE4B2">
      <w:start w:val="1"/>
      <w:numFmt w:val="decimal"/>
      <w:lvlText w:val="%4."/>
      <w:lvlJc w:val="left"/>
      <w:pPr>
        <w:ind w:left="2880" w:hanging="360"/>
      </w:pPr>
    </w:lvl>
    <w:lvl w:ilvl="4" w:tplc="2450523E">
      <w:start w:val="1"/>
      <w:numFmt w:val="lowerLetter"/>
      <w:lvlText w:val="%5."/>
      <w:lvlJc w:val="left"/>
      <w:pPr>
        <w:ind w:left="3600" w:hanging="360"/>
      </w:pPr>
    </w:lvl>
    <w:lvl w:ilvl="5" w:tplc="8A78B0EC">
      <w:start w:val="1"/>
      <w:numFmt w:val="lowerRoman"/>
      <w:lvlText w:val="%6."/>
      <w:lvlJc w:val="right"/>
      <w:pPr>
        <w:ind w:left="4320" w:hanging="180"/>
      </w:pPr>
    </w:lvl>
    <w:lvl w:ilvl="6" w:tplc="C1BCD904">
      <w:start w:val="1"/>
      <w:numFmt w:val="decimal"/>
      <w:lvlText w:val="%7."/>
      <w:lvlJc w:val="left"/>
      <w:pPr>
        <w:ind w:left="5040" w:hanging="360"/>
      </w:pPr>
    </w:lvl>
    <w:lvl w:ilvl="7" w:tplc="10CCAE1E">
      <w:start w:val="1"/>
      <w:numFmt w:val="lowerLetter"/>
      <w:lvlText w:val="%8."/>
      <w:lvlJc w:val="left"/>
      <w:pPr>
        <w:ind w:left="5760" w:hanging="360"/>
      </w:pPr>
    </w:lvl>
    <w:lvl w:ilvl="8" w:tplc="3DE4B4AE">
      <w:start w:val="1"/>
      <w:numFmt w:val="lowerRoman"/>
      <w:lvlText w:val="%9."/>
      <w:lvlJc w:val="right"/>
      <w:pPr>
        <w:ind w:left="6480" w:hanging="180"/>
      </w:pPr>
    </w:lvl>
  </w:abstractNum>
  <w:abstractNum w:abstractNumId="3" w15:restartNumberingAfterBreak="0">
    <w:nsid w:val="24EE6FF8"/>
    <w:multiLevelType w:val="hybridMultilevel"/>
    <w:tmpl w:val="9762375A"/>
    <w:lvl w:ilvl="0" w:tplc="C7823D0A">
      <w:start w:val="1"/>
      <w:numFmt w:val="decimal"/>
      <w:lvlText w:val="%1."/>
      <w:lvlJc w:val="left"/>
      <w:pPr>
        <w:ind w:left="720" w:hanging="360"/>
      </w:pPr>
      <w:rPr>
        <w:rFonts w:hint="default"/>
      </w:rPr>
    </w:lvl>
    <w:lvl w:ilvl="1" w:tplc="2DDE06A6">
      <w:start w:val="1"/>
      <w:numFmt w:val="lowerLetter"/>
      <w:lvlText w:val="%2."/>
      <w:lvlJc w:val="left"/>
      <w:pPr>
        <w:ind w:left="1440" w:hanging="360"/>
      </w:pPr>
    </w:lvl>
    <w:lvl w:ilvl="2" w:tplc="7CE291F4">
      <w:start w:val="1"/>
      <w:numFmt w:val="lowerRoman"/>
      <w:lvlText w:val="%3."/>
      <w:lvlJc w:val="right"/>
      <w:pPr>
        <w:ind w:left="2160" w:hanging="180"/>
      </w:pPr>
    </w:lvl>
    <w:lvl w:ilvl="3" w:tplc="E3A6FC22">
      <w:start w:val="1"/>
      <w:numFmt w:val="decimal"/>
      <w:lvlText w:val="%4."/>
      <w:lvlJc w:val="left"/>
      <w:pPr>
        <w:ind w:left="2880" w:hanging="360"/>
      </w:pPr>
    </w:lvl>
    <w:lvl w:ilvl="4" w:tplc="71322634">
      <w:start w:val="1"/>
      <w:numFmt w:val="lowerLetter"/>
      <w:lvlText w:val="%5."/>
      <w:lvlJc w:val="left"/>
      <w:pPr>
        <w:ind w:left="3600" w:hanging="360"/>
      </w:pPr>
    </w:lvl>
    <w:lvl w:ilvl="5" w:tplc="09846490">
      <w:start w:val="1"/>
      <w:numFmt w:val="lowerRoman"/>
      <w:lvlText w:val="%6."/>
      <w:lvlJc w:val="right"/>
      <w:pPr>
        <w:ind w:left="4320" w:hanging="180"/>
      </w:pPr>
    </w:lvl>
    <w:lvl w:ilvl="6" w:tplc="6F348DA4">
      <w:start w:val="1"/>
      <w:numFmt w:val="decimal"/>
      <w:lvlText w:val="%7."/>
      <w:lvlJc w:val="left"/>
      <w:pPr>
        <w:ind w:left="5040" w:hanging="360"/>
      </w:pPr>
    </w:lvl>
    <w:lvl w:ilvl="7" w:tplc="5CB2990E">
      <w:start w:val="1"/>
      <w:numFmt w:val="lowerLetter"/>
      <w:lvlText w:val="%8."/>
      <w:lvlJc w:val="left"/>
      <w:pPr>
        <w:ind w:left="5760" w:hanging="360"/>
      </w:pPr>
    </w:lvl>
    <w:lvl w:ilvl="8" w:tplc="3C4ED070">
      <w:start w:val="1"/>
      <w:numFmt w:val="lowerRoman"/>
      <w:lvlText w:val="%9."/>
      <w:lvlJc w:val="right"/>
      <w:pPr>
        <w:ind w:left="6480" w:hanging="180"/>
      </w:pPr>
    </w:lvl>
  </w:abstractNum>
  <w:abstractNum w:abstractNumId="4" w15:restartNumberingAfterBreak="0">
    <w:nsid w:val="282B3E3F"/>
    <w:multiLevelType w:val="hybridMultilevel"/>
    <w:tmpl w:val="8F5406C4"/>
    <w:lvl w:ilvl="0" w:tplc="0080A590">
      <w:start w:val="9"/>
      <w:numFmt w:val="bullet"/>
      <w:lvlText w:val=""/>
      <w:lvlJc w:val="left"/>
      <w:pPr>
        <w:ind w:left="720" w:hanging="360"/>
      </w:pPr>
      <w:rPr>
        <w:rFonts w:ascii="Wingdings" w:eastAsiaTheme="minorHAnsi" w:hAnsi="Wingdings" w:cs="Arial,Bold" w:hint="default"/>
      </w:rPr>
    </w:lvl>
    <w:lvl w:ilvl="1" w:tplc="1F8A5DA8">
      <w:start w:val="1"/>
      <w:numFmt w:val="bullet"/>
      <w:lvlText w:val="o"/>
      <w:lvlJc w:val="left"/>
      <w:pPr>
        <w:ind w:left="1440" w:hanging="360"/>
      </w:pPr>
      <w:rPr>
        <w:rFonts w:ascii="Courier New" w:hAnsi="Courier New" w:cs="Courier New" w:hint="default"/>
      </w:rPr>
    </w:lvl>
    <w:lvl w:ilvl="2" w:tplc="62E43BF4">
      <w:start w:val="1"/>
      <w:numFmt w:val="bullet"/>
      <w:lvlText w:val=""/>
      <w:lvlJc w:val="left"/>
      <w:pPr>
        <w:ind w:left="2160" w:hanging="360"/>
      </w:pPr>
      <w:rPr>
        <w:rFonts w:ascii="Wingdings" w:hAnsi="Wingdings" w:hint="default"/>
      </w:rPr>
    </w:lvl>
    <w:lvl w:ilvl="3" w:tplc="844A8504">
      <w:start w:val="1"/>
      <w:numFmt w:val="bullet"/>
      <w:lvlText w:val=""/>
      <w:lvlJc w:val="left"/>
      <w:pPr>
        <w:ind w:left="2880" w:hanging="360"/>
      </w:pPr>
      <w:rPr>
        <w:rFonts w:ascii="Symbol" w:hAnsi="Symbol" w:hint="default"/>
      </w:rPr>
    </w:lvl>
    <w:lvl w:ilvl="4" w:tplc="7124FB3C">
      <w:start w:val="1"/>
      <w:numFmt w:val="bullet"/>
      <w:lvlText w:val="o"/>
      <w:lvlJc w:val="left"/>
      <w:pPr>
        <w:ind w:left="3600" w:hanging="360"/>
      </w:pPr>
      <w:rPr>
        <w:rFonts w:ascii="Courier New" w:hAnsi="Courier New" w:cs="Courier New" w:hint="default"/>
      </w:rPr>
    </w:lvl>
    <w:lvl w:ilvl="5" w:tplc="FA9E0D3C">
      <w:start w:val="1"/>
      <w:numFmt w:val="bullet"/>
      <w:lvlText w:val=""/>
      <w:lvlJc w:val="left"/>
      <w:pPr>
        <w:ind w:left="4320" w:hanging="360"/>
      </w:pPr>
      <w:rPr>
        <w:rFonts w:ascii="Wingdings" w:hAnsi="Wingdings" w:hint="default"/>
      </w:rPr>
    </w:lvl>
    <w:lvl w:ilvl="6" w:tplc="0E5403E4">
      <w:start w:val="1"/>
      <w:numFmt w:val="bullet"/>
      <w:lvlText w:val=""/>
      <w:lvlJc w:val="left"/>
      <w:pPr>
        <w:ind w:left="5040" w:hanging="360"/>
      </w:pPr>
      <w:rPr>
        <w:rFonts w:ascii="Symbol" w:hAnsi="Symbol" w:hint="default"/>
      </w:rPr>
    </w:lvl>
    <w:lvl w:ilvl="7" w:tplc="914692AC">
      <w:start w:val="1"/>
      <w:numFmt w:val="bullet"/>
      <w:lvlText w:val="o"/>
      <w:lvlJc w:val="left"/>
      <w:pPr>
        <w:ind w:left="5760" w:hanging="360"/>
      </w:pPr>
      <w:rPr>
        <w:rFonts w:ascii="Courier New" w:hAnsi="Courier New" w:cs="Courier New" w:hint="default"/>
      </w:rPr>
    </w:lvl>
    <w:lvl w:ilvl="8" w:tplc="5B7045DE">
      <w:start w:val="1"/>
      <w:numFmt w:val="bullet"/>
      <w:lvlText w:val=""/>
      <w:lvlJc w:val="left"/>
      <w:pPr>
        <w:ind w:left="6480" w:hanging="360"/>
      </w:pPr>
      <w:rPr>
        <w:rFonts w:ascii="Wingdings" w:hAnsi="Wingdings" w:hint="default"/>
      </w:rPr>
    </w:lvl>
  </w:abstractNum>
  <w:abstractNum w:abstractNumId="5" w15:restartNumberingAfterBreak="0">
    <w:nsid w:val="283B217E"/>
    <w:multiLevelType w:val="hybridMultilevel"/>
    <w:tmpl w:val="1010B398"/>
    <w:lvl w:ilvl="0" w:tplc="4BB24822">
      <w:start w:val="1"/>
      <w:numFmt w:val="decimal"/>
      <w:lvlText w:val="%1."/>
      <w:lvlJc w:val="left"/>
      <w:pPr>
        <w:ind w:left="720" w:hanging="360"/>
      </w:pPr>
      <w:rPr>
        <w:rFonts w:hint="default"/>
      </w:rPr>
    </w:lvl>
    <w:lvl w:ilvl="1" w:tplc="D116DF2A">
      <w:start w:val="1"/>
      <w:numFmt w:val="lowerLetter"/>
      <w:lvlText w:val="%2."/>
      <w:lvlJc w:val="left"/>
      <w:pPr>
        <w:ind w:left="1440" w:hanging="360"/>
      </w:pPr>
    </w:lvl>
    <w:lvl w:ilvl="2" w:tplc="0666C2FE">
      <w:start w:val="1"/>
      <w:numFmt w:val="lowerRoman"/>
      <w:lvlText w:val="%3."/>
      <w:lvlJc w:val="right"/>
      <w:pPr>
        <w:ind w:left="2160" w:hanging="180"/>
      </w:pPr>
    </w:lvl>
    <w:lvl w:ilvl="3" w:tplc="37AE5930">
      <w:start w:val="1"/>
      <w:numFmt w:val="decimal"/>
      <w:lvlText w:val="%4."/>
      <w:lvlJc w:val="left"/>
      <w:pPr>
        <w:ind w:left="2880" w:hanging="360"/>
      </w:pPr>
    </w:lvl>
    <w:lvl w:ilvl="4" w:tplc="F0FA4C0E">
      <w:start w:val="1"/>
      <w:numFmt w:val="lowerLetter"/>
      <w:lvlText w:val="%5."/>
      <w:lvlJc w:val="left"/>
      <w:pPr>
        <w:ind w:left="3600" w:hanging="360"/>
      </w:pPr>
    </w:lvl>
    <w:lvl w:ilvl="5" w:tplc="49B88D80">
      <w:start w:val="1"/>
      <w:numFmt w:val="lowerRoman"/>
      <w:lvlText w:val="%6."/>
      <w:lvlJc w:val="right"/>
      <w:pPr>
        <w:ind w:left="4320" w:hanging="180"/>
      </w:pPr>
    </w:lvl>
    <w:lvl w:ilvl="6" w:tplc="F508F406">
      <w:start w:val="1"/>
      <w:numFmt w:val="decimal"/>
      <w:lvlText w:val="%7."/>
      <w:lvlJc w:val="left"/>
      <w:pPr>
        <w:ind w:left="5040" w:hanging="360"/>
      </w:pPr>
    </w:lvl>
    <w:lvl w:ilvl="7" w:tplc="1814402E">
      <w:start w:val="1"/>
      <w:numFmt w:val="lowerLetter"/>
      <w:lvlText w:val="%8."/>
      <w:lvlJc w:val="left"/>
      <w:pPr>
        <w:ind w:left="5760" w:hanging="360"/>
      </w:pPr>
    </w:lvl>
    <w:lvl w:ilvl="8" w:tplc="A8AAF614">
      <w:start w:val="1"/>
      <w:numFmt w:val="lowerRoman"/>
      <w:lvlText w:val="%9."/>
      <w:lvlJc w:val="right"/>
      <w:pPr>
        <w:ind w:left="6480" w:hanging="180"/>
      </w:pPr>
    </w:lvl>
  </w:abstractNum>
  <w:abstractNum w:abstractNumId="6" w15:restartNumberingAfterBreak="0">
    <w:nsid w:val="298D4122"/>
    <w:multiLevelType w:val="hybridMultilevel"/>
    <w:tmpl w:val="CECACD08"/>
    <w:lvl w:ilvl="0" w:tplc="5516BA18">
      <w:start w:val="1"/>
      <w:numFmt w:val="decimal"/>
      <w:lvlText w:val="%1."/>
      <w:lvlJc w:val="left"/>
      <w:pPr>
        <w:ind w:left="720" w:hanging="360"/>
      </w:pPr>
      <w:rPr>
        <w:rFonts w:hint="default"/>
      </w:rPr>
    </w:lvl>
    <w:lvl w:ilvl="1" w:tplc="C9E4CAD6">
      <w:start w:val="1"/>
      <w:numFmt w:val="lowerLetter"/>
      <w:lvlText w:val="%2."/>
      <w:lvlJc w:val="left"/>
      <w:pPr>
        <w:ind w:left="1440" w:hanging="360"/>
      </w:pPr>
    </w:lvl>
    <w:lvl w:ilvl="2" w:tplc="E7BCD4CC">
      <w:start w:val="1"/>
      <w:numFmt w:val="lowerRoman"/>
      <w:lvlText w:val="%3."/>
      <w:lvlJc w:val="right"/>
      <w:pPr>
        <w:ind w:left="2160" w:hanging="180"/>
      </w:pPr>
    </w:lvl>
    <w:lvl w:ilvl="3" w:tplc="34527A9E">
      <w:start w:val="1"/>
      <w:numFmt w:val="decimal"/>
      <w:lvlText w:val="%4."/>
      <w:lvlJc w:val="left"/>
      <w:pPr>
        <w:ind w:left="2880" w:hanging="360"/>
      </w:pPr>
    </w:lvl>
    <w:lvl w:ilvl="4" w:tplc="94783D20">
      <w:start w:val="1"/>
      <w:numFmt w:val="lowerLetter"/>
      <w:lvlText w:val="%5."/>
      <w:lvlJc w:val="left"/>
      <w:pPr>
        <w:ind w:left="3600" w:hanging="360"/>
      </w:pPr>
    </w:lvl>
    <w:lvl w:ilvl="5" w:tplc="4246CEBE">
      <w:start w:val="1"/>
      <w:numFmt w:val="lowerRoman"/>
      <w:lvlText w:val="%6."/>
      <w:lvlJc w:val="right"/>
      <w:pPr>
        <w:ind w:left="4320" w:hanging="180"/>
      </w:pPr>
    </w:lvl>
    <w:lvl w:ilvl="6" w:tplc="CF36FC9E">
      <w:start w:val="1"/>
      <w:numFmt w:val="decimal"/>
      <w:lvlText w:val="%7."/>
      <w:lvlJc w:val="left"/>
      <w:pPr>
        <w:ind w:left="5040" w:hanging="360"/>
      </w:pPr>
    </w:lvl>
    <w:lvl w:ilvl="7" w:tplc="CC7A1422">
      <w:start w:val="1"/>
      <w:numFmt w:val="lowerLetter"/>
      <w:lvlText w:val="%8."/>
      <w:lvlJc w:val="left"/>
      <w:pPr>
        <w:ind w:left="5760" w:hanging="360"/>
      </w:pPr>
    </w:lvl>
    <w:lvl w:ilvl="8" w:tplc="BD04F528">
      <w:start w:val="1"/>
      <w:numFmt w:val="lowerRoman"/>
      <w:lvlText w:val="%9."/>
      <w:lvlJc w:val="right"/>
      <w:pPr>
        <w:ind w:left="6480" w:hanging="180"/>
      </w:pPr>
    </w:lvl>
  </w:abstractNum>
  <w:abstractNum w:abstractNumId="7" w15:restartNumberingAfterBreak="0">
    <w:nsid w:val="34DA58E8"/>
    <w:multiLevelType w:val="hybridMultilevel"/>
    <w:tmpl w:val="06925EEE"/>
    <w:lvl w:ilvl="0" w:tplc="2D905B08">
      <w:start w:val="1"/>
      <w:numFmt w:val="decimal"/>
      <w:lvlText w:val="%1."/>
      <w:lvlJc w:val="left"/>
      <w:pPr>
        <w:ind w:left="720" w:hanging="360"/>
      </w:pPr>
      <w:rPr>
        <w:rFonts w:hint="default"/>
      </w:rPr>
    </w:lvl>
    <w:lvl w:ilvl="1" w:tplc="974CE1E4">
      <w:start w:val="1"/>
      <w:numFmt w:val="lowerLetter"/>
      <w:lvlText w:val="%2."/>
      <w:lvlJc w:val="left"/>
      <w:pPr>
        <w:ind w:left="1440" w:hanging="360"/>
      </w:pPr>
    </w:lvl>
    <w:lvl w:ilvl="2" w:tplc="947E1830">
      <w:start w:val="1"/>
      <w:numFmt w:val="lowerRoman"/>
      <w:lvlText w:val="%3."/>
      <w:lvlJc w:val="right"/>
      <w:pPr>
        <w:ind w:left="2160" w:hanging="180"/>
      </w:pPr>
    </w:lvl>
    <w:lvl w:ilvl="3" w:tplc="36AA8064">
      <w:start w:val="1"/>
      <w:numFmt w:val="decimal"/>
      <w:lvlText w:val="%4."/>
      <w:lvlJc w:val="left"/>
      <w:pPr>
        <w:ind w:left="2880" w:hanging="360"/>
      </w:pPr>
    </w:lvl>
    <w:lvl w:ilvl="4" w:tplc="1E365648">
      <w:start w:val="1"/>
      <w:numFmt w:val="lowerLetter"/>
      <w:lvlText w:val="%5."/>
      <w:lvlJc w:val="left"/>
      <w:pPr>
        <w:ind w:left="3600" w:hanging="360"/>
      </w:pPr>
    </w:lvl>
    <w:lvl w:ilvl="5" w:tplc="6E82CBB2">
      <w:start w:val="1"/>
      <w:numFmt w:val="lowerRoman"/>
      <w:lvlText w:val="%6."/>
      <w:lvlJc w:val="right"/>
      <w:pPr>
        <w:ind w:left="4320" w:hanging="180"/>
      </w:pPr>
    </w:lvl>
    <w:lvl w:ilvl="6" w:tplc="0EE81BDA">
      <w:start w:val="1"/>
      <w:numFmt w:val="decimal"/>
      <w:lvlText w:val="%7."/>
      <w:lvlJc w:val="left"/>
      <w:pPr>
        <w:ind w:left="5040" w:hanging="360"/>
      </w:pPr>
    </w:lvl>
    <w:lvl w:ilvl="7" w:tplc="C93EFBCC">
      <w:start w:val="1"/>
      <w:numFmt w:val="lowerLetter"/>
      <w:lvlText w:val="%8."/>
      <w:lvlJc w:val="left"/>
      <w:pPr>
        <w:ind w:left="5760" w:hanging="360"/>
      </w:pPr>
    </w:lvl>
    <w:lvl w:ilvl="8" w:tplc="7BA623A4">
      <w:start w:val="1"/>
      <w:numFmt w:val="lowerRoman"/>
      <w:lvlText w:val="%9."/>
      <w:lvlJc w:val="right"/>
      <w:pPr>
        <w:ind w:left="6480" w:hanging="180"/>
      </w:pPr>
    </w:lvl>
  </w:abstractNum>
  <w:abstractNum w:abstractNumId="8" w15:restartNumberingAfterBreak="0">
    <w:nsid w:val="3871772B"/>
    <w:multiLevelType w:val="hybridMultilevel"/>
    <w:tmpl w:val="F8D0E8B4"/>
    <w:lvl w:ilvl="0" w:tplc="DB807D12">
      <w:start w:val="1"/>
      <w:numFmt w:val="lowerLetter"/>
      <w:lvlText w:val="%1)"/>
      <w:lvlJc w:val="left"/>
      <w:pPr>
        <w:ind w:left="720" w:hanging="360"/>
      </w:pPr>
      <w:rPr>
        <w:rFonts w:hint="default"/>
      </w:rPr>
    </w:lvl>
    <w:lvl w:ilvl="1" w:tplc="7C30C380">
      <w:start w:val="1"/>
      <w:numFmt w:val="lowerLetter"/>
      <w:lvlText w:val="%2."/>
      <w:lvlJc w:val="left"/>
      <w:pPr>
        <w:ind w:left="1440" w:hanging="360"/>
      </w:pPr>
    </w:lvl>
    <w:lvl w:ilvl="2" w:tplc="B202A0D4">
      <w:start w:val="1"/>
      <w:numFmt w:val="lowerRoman"/>
      <w:lvlText w:val="%3."/>
      <w:lvlJc w:val="right"/>
      <w:pPr>
        <w:ind w:left="2160" w:hanging="180"/>
      </w:pPr>
    </w:lvl>
    <w:lvl w:ilvl="3" w:tplc="6D12D366">
      <w:start w:val="1"/>
      <w:numFmt w:val="decimal"/>
      <w:lvlText w:val="%4."/>
      <w:lvlJc w:val="left"/>
      <w:pPr>
        <w:ind w:left="2880" w:hanging="360"/>
      </w:pPr>
    </w:lvl>
    <w:lvl w:ilvl="4" w:tplc="7938CEFC">
      <w:start w:val="1"/>
      <w:numFmt w:val="lowerLetter"/>
      <w:lvlText w:val="%5."/>
      <w:lvlJc w:val="left"/>
      <w:pPr>
        <w:ind w:left="3600" w:hanging="360"/>
      </w:pPr>
    </w:lvl>
    <w:lvl w:ilvl="5" w:tplc="27F8B01A">
      <w:start w:val="1"/>
      <w:numFmt w:val="lowerRoman"/>
      <w:lvlText w:val="%6."/>
      <w:lvlJc w:val="right"/>
      <w:pPr>
        <w:ind w:left="4320" w:hanging="180"/>
      </w:pPr>
    </w:lvl>
    <w:lvl w:ilvl="6" w:tplc="51046886">
      <w:start w:val="1"/>
      <w:numFmt w:val="decimal"/>
      <w:lvlText w:val="%7."/>
      <w:lvlJc w:val="left"/>
      <w:pPr>
        <w:ind w:left="5040" w:hanging="360"/>
      </w:pPr>
    </w:lvl>
    <w:lvl w:ilvl="7" w:tplc="784C95A2">
      <w:start w:val="1"/>
      <w:numFmt w:val="lowerLetter"/>
      <w:lvlText w:val="%8."/>
      <w:lvlJc w:val="left"/>
      <w:pPr>
        <w:ind w:left="5760" w:hanging="360"/>
      </w:pPr>
    </w:lvl>
    <w:lvl w:ilvl="8" w:tplc="D9EE219E">
      <w:start w:val="1"/>
      <w:numFmt w:val="lowerRoman"/>
      <w:lvlText w:val="%9."/>
      <w:lvlJc w:val="right"/>
      <w:pPr>
        <w:ind w:left="6480" w:hanging="180"/>
      </w:pPr>
    </w:lvl>
  </w:abstractNum>
  <w:abstractNum w:abstractNumId="9" w15:restartNumberingAfterBreak="0">
    <w:nsid w:val="42144CDD"/>
    <w:multiLevelType w:val="hybridMultilevel"/>
    <w:tmpl w:val="F0E89F58"/>
    <w:lvl w:ilvl="0" w:tplc="6ECAB7F8">
      <w:start w:val="1"/>
      <w:numFmt w:val="decimal"/>
      <w:lvlText w:val="%1."/>
      <w:lvlJc w:val="left"/>
      <w:pPr>
        <w:ind w:left="720" w:hanging="360"/>
      </w:pPr>
      <w:rPr>
        <w:rFonts w:hint="default"/>
      </w:rPr>
    </w:lvl>
    <w:lvl w:ilvl="1" w:tplc="4DE2583C">
      <w:start w:val="1"/>
      <w:numFmt w:val="lowerLetter"/>
      <w:lvlText w:val="%2."/>
      <w:lvlJc w:val="left"/>
      <w:pPr>
        <w:ind w:left="1440" w:hanging="360"/>
      </w:pPr>
    </w:lvl>
    <w:lvl w:ilvl="2" w:tplc="90ACC090">
      <w:start w:val="1"/>
      <w:numFmt w:val="lowerRoman"/>
      <w:lvlText w:val="%3."/>
      <w:lvlJc w:val="right"/>
      <w:pPr>
        <w:ind w:left="2160" w:hanging="180"/>
      </w:pPr>
    </w:lvl>
    <w:lvl w:ilvl="3" w:tplc="E1E24D74">
      <w:start w:val="1"/>
      <w:numFmt w:val="decimal"/>
      <w:lvlText w:val="%4."/>
      <w:lvlJc w:val="left"/>
      <w:pPr>
        <w:ind w:left="2880" w:hanging="360"/>
      </w:pPr>
    </w:lvl>
    <w:lvl w:ilvl="4" w:tplc="E3A4BFA8">
      <w:start w:val="1"/>
      <w:numFmt w:val="lowerLetter"/>
      <w:lvlText w:val="%5."/>
      <w:lvlJc w:val="left"/>
      <w:pPr>
        <w:ind w:left="3600" w:hanging="360"/>
      </w:pPr>
    </w:lvl>
    <w:lvl w:ilvl="5" w:tplc="474EE97E">
      <w:start w:val="1"/>
      <w:numFmt w:val="lowerRoman"/>
      <w:lvlText w:val="%6."/>
      <w:lvlJc w:val="right"/>
      <w:pPr>
        <w:ind w:left="4320" w:hanging="180"/>
      </w:pPr>
    </w:lvl>
    <w:lvl w:ilvl="6" w:tplc="1C6823CC">
      <w:start w:val="1"/>
      <w:numFmt w:val="decimal"/>
      <w:lvlText w:val="%7."/>
      <w:lvlJc w:val="left"/>
      <w:pPr>
        <w:ind w:left="5040" w:hanging="360"/>
      </w:pPr>
    </w:lvl>
    <w:lvl w:ilvl="7" w:tplc="9E3E2774">
      <w:start w:val="1"/>
      <w:numFmt w:val="lowerLetter"/>
      <w:lvlText w:val="%8."/>
      <w:lvlJc w:val="left"/>
      <w:pPr>
        <w:ind w:left="5760" w:hanging="360"/>
      </w:pPr>
    </w:lvl>
    <w:lvl w:ilvl="8" w:tplc="0674DC9E">
      <w:start w:val="1"/>
      <w:numFmt w:val="lowerRoman"/>
      <w:lvlText w:val="%9."/>
      <w:lvlJc w:val="right"/>
      <w:pPr>
        <w:ind w:left="6480" w:hanging="180"/>
      </w:pPr>
    </w:lvl>
  </w:abstractNum>
  <w:abstractNum w:abstractNumId="10" w15:restartNumberingAfterBreak="0">
    <w:nsid w:val="509523B2"/>
    <w:multiLevelType w:val="hybridMultilevel"/>
    <w:tmpl w:val="4E60108E"/>
    <w:lvl w:ilvl="0" w:tplc="83002064">
      <w:start w:val="1"/>
      <w:numFmt w:val="lowerRoman"/>
      <w:lvlText w:val="%1)"/>
      <w:lvlJc w:val="left"/>
      <w:pPr>
        <w:ind w:left="1080" w:hanging="720"/>
      </w:pPr>
      <w:rPr>
        <w:rFonts w:hint="default"/>
      </w:rPr>
    </w:lvl>
    <w:lvl w:ilvl="1" w:tplc="DFA2DE4A">
      <w:start w:val="1"/>
      <w:numFmt w:val="lowerLetter"/>
      <w:lvlText w:val="%2."/>
      <w:lvlJc w:val="left"/>
      <w:pPr>
        <w:ind w:left="1440" w:hanging="360"/>
      </w:pPr>
    </w:lvl>
    <w:lvl w:ilvl="2" w:tplc="3A9AB116">
      <w:start w:val="1"/>
      <w:numFmt w:val="lowerRoman"/>
      <w:lvlText w:val="%3."/>
      <w:lvlJc w:val="right"/>
      <w:pPr>
        <w:ind w:left="2160" w:hanging="180"/>
      </w:pPr>
    </w:lvl>
    <w:lvl w:ilvl="3" w:tplc="423ECC34">
      <w:start w:val="1"/>
      <w:numFmt w:val="decimal"/>
      <w:lvlText w:val="%4."/>
      <w:lvlJc w:val="left"/>
      <w:pPr>
        <w:ind w:left="2880" w:hanging="360"/>
      </w:pPr>
    </w:lvl>
    <w:lvl w:ilvl="4" w:tplc="8CD0B110">
      <w:start w:val="1"/>
      <w:numFmt w:val="lowerLetter"/>
      <w:lvlText w:val="%5."/>
      <w:lvlJc w:val="left"/>
      <w:pPr>
        <w:ind w:left="3600" w:hanging="360"/>
      </w:pPr>
    </w:lvl>
    <w:lvl w:ilvl="5" w:tplc="20386F86">
      <w:start w:val="1"/>
      <w:numFmt w:val="lowerRoman"/>
      <w:lvlText w:val="%6."/>
      <w:lvlJc w:val="right"/>
      <w:pPr>
        <w:ind w:left="4320" w:hanging="180"/>
      </w:pPr>
    </w:lvl>
    <w:lvl w:ilvl="6" w:tplc="D53C178E">
      <w:start w:val="1"/>
      <w:numFmt w:val="decimal"/>
      <w:lvlText w:val="%7."/>
      <w:lvlJc w:val="left"/>
      <w:pPr>
        <w:ind w:left="5040" w:hanging="360"/>
      </w:pPr>
    </w:lvl>
    <w:lvl w:ilvl="7" w:tplc="2054B5EC">
      <w:start w:val="1"/>
      <w:numFmt w:val="lowerLetter"/>
      <w:lvlText w:val="%8."/>
      <w:lvlJc w:val="left"/>
      <w:pPr>
        <w:ind w:left="5760" w:hanging="360"/>
      </w:pPr>
    </w:lvl>
    <w:lvl w:ilvl="8" w:tplc="8B70AD62">
      <w:start w:val="1"/>
      <w:numFmt w:val="lowerRoman"/>
      <w:lvlText w:val="%9."/>
      <w:lvlJc w:val="right"/>
      <w:pPr>
        <w:ind w:left="6480" w:hanging="180"/>
      </w:pPr>
    </w:lvl>
  </w:abstractNum>
  <w:abstractNum w:abstractNumId="11" w15:restartNumberingAfterBreak="0">
    <w:nsid w:val="53257402"/>
    <w:multiLevelType w:val="hybridMultilevel"/>
    <w:tmpl w:val="52FACD30"/>
    <w:lvl w:ilvl="0" w:tplc="BB4021CE">
      <w:start w:val="1"/>
      <w:numFmt w:val="decimal"/>
      <w:lvlText w:val="%1)"/>
      <w:lvlJc w:val="left"/>
      <w:pPr>
        <w:ind w:left="720" w:hanging="360"/>
      </w:pPr>
      <w:rPr>
        <w:rFonts w:ascii="Times New Roman" w:hAnsi="Times New Roman" w:cs="Times New Roman" w:hint="default"/>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5BF4F11"/>
    <w:multiLevelType w:val="hybridMultilevel"/>
    <w:tmpl w:val="2C86717C"/>
    <w:lvl w:ilvl="0" w:tplc="2B04881E">
      <w:start w:val="1"/>
      <w:numFmt w:val="decimal"/>
      <w:lvlText w:val="%1."/>
      <w:lvlJc w:val="left"/>
      <w:pPr>
        <w:ind w:left="720" w:hanging="360"/>
      </w:pPr>
      <w:rPr>
        <w:rFonts w:hint="default"/>
      </w:rPr>
    </w:lvl>
    <w:lvl w:ilvl="1" w:tplc="88D031AE">
      <w:start w:val="1"/>
      <w:numFmt w:val="lowerLetter"/>
      <w:lvlText w:val="%2."/>
      <w:lvlJc w:val="left"/>
      <w:pPr>
        <w:ind w:left="1440" w:hanging="360"/>
      </w:pPr>
    </w:lvl>
    <w:lvl w:ilvl="2" w:tplc="2C60C23A">
      <w:start w:val="1"/>
      <w:numFmt w:val="lowerRoman"/>
      <w:lvlText w:val="%3."/>
      <w:lvlJc w:val="right"/>
      <w:pPr>
        <w:ind w:left="2160" w:hanging="180"/>
      </w:pPr>
    </w:lvl>
    <w:lvl w:ilvl="3" w:tplc="A4FE3A10">
      <w:start w:val="1"/>
      <w:numFmt w:val="decimal"/>
      <w:lvlText w:val="%4."/>
      <w:lvlJc w:val="left"/>
      <w:pPr>
        <w:ind w:left="2880" w:hanging="360"/>
      </w:pPr>
    </w:lvl>
    <w:lvl w:ilvl="4" w:tplc="C860862A">
      <w:start w:val="1"/>
      <w:numFmt w:val="lowerLetter"/>
      <w:lvlText w:val="%5."/>
      <w:lvlJc w:val="left"/>
      <w:pPr>
        <w:ind w:left="3600" w:hanging="360"/>
      </w:pPr>
    </w:lvl>
    <w:lvl w:ilvl="5" w:tplc="8488D11C">
      <w:start w:val="1"/>
      <w:numFmt w:val="lowerRoman"/>
      <w:lvlText w:val="%6."/>
      <w:lvlJc w:val="right"/>
      <w:pPr>
        <w:ind w:left="4320" w:hanging="180"/>
      </w:pPr>
    </w:lvl>
    <w:lvl w:ilvl="6" w:tplc="A1B07CA4">
      <w:start w:val="1"/>
      <w:numFmt w:val="decimal"/>
      <w:lvlText w:val="%7."/>
      <w:lvlJc w:val="left"/>
      <w:pPr>
        <w:ind w:left="5040" w:hanging="360"/>
      </w:pPr>
    </w:lvl>
    <w:lvl w:ilvl="7" w:tplc="114CCFC2">
      <w:start w:val="1"/>
      <w:numFmt w:val="lowerLetter"/>
      <w:lvlText w:val="%8."/>
      <w:lvlJc w:val="left"/>
      <w:pPr>
        <w:ind w:left="5760" w:hanging="360"/>
      </w:pPr>
    </w:lvl>
    <w:lvl w:ilvl="8" w:tplc="F57ACF70">
      <w:start w:val="1"/>
      <w:numFmt w:val="lowerRoman"/>
      <w:lvlText w:val="%9."/>
      <w:lvlJc w:val="right"/>
      <w:pPr>
        <w:ind w:left="6480" w:hanging="180"/>
      </w:pPr>
    </w:lvl>
  </w:abstractNum>
  <w:abstractNum w:abstractNumId="13" w15:restartNumberingAfterBreak="0">
    <w:nsid w:val="56704C6F"/>
    <w:multiLevelType w:val="hybridMultilevel"/>
    <w:tmpl w:val="17DEF8FC"/>
    <w:lvl w:ilvl="0" w:tplc="68F014C4">
      <w:start w:val="1"/>
      <w:numFmt w:val="decimal"/>
      <w:lvlText w:val="%1."/>
      <w:lvlJc w:val="left"/>
      <w:pPr>
        <w:ind w:left="720" w:hanging="360"/>
      </w:pPr>
      <w:rPr>
        <w:rFonts w:hint="default"/>
      </w:rPr>
    </w:lvl>
    <w:lvl w:ilvl="1" w:tplc="24D8C598">
      <w:start w:val="1"/>
      <w:numFmt w:val="lowerLetter"/>
      <w:lvlText w:val="%2."/>
      <w:lvlJc w:val="left"/>
      <w:pPr>
        <w:ind w:left="1440" w:hanging="360"/>
      </w:pPr>
    </w:lvl>
    <w:lvl w:ilvl="2" w:tplc="FC7E0884">
      <w:start w:val="1"/>
      <w:numFmt w:val="lowerRoman"/>
      <w:lvlText w:val="%3."/>
      <w:lvlJc w:val="right"/>
      <w:pPr>
        <w:ind w:left="2160" w:hanging="180"/>
      </w:pPr>
    </w:lvl>
    <w:lvl w:ilvl="3" w:tplc="F84C45DA">
      <w:start w:val="1"/>
      <w:numFmt w:val="decimal"/>
      <w:lvlText w:val="%4."/>
      <w:lvlJc w:val="left"/>
      <w:pPr>
        <w:ind w:left="2880" w:hanging="360"/>
      </w:pPr>
    </w:lvl>
    <w:lvl w:ilvl="4" w:tplc="1EE4668A">
      <w:start w:val="1"/>
      <w:numFmt w:val="lowerLetter"/>
      <w:lvlText w:val="%5."/>
      <w:lvlJc w:val="left"/>
      <w:pPr>
        <w:ind w:left="3600" w:hanging="360"/>
      </w:pPr>
    </w:lvl>
    <w:lvl w:ilvl="5" w:tplc="38DA4E2E">
      <w:start w:val="1"/>
      <w:numFmt w:val="lowerRoman"/>
      <w:lvlText w:val="%6."/>
      <w:lvlJc w:val="right"/>
      <w:pPr>
        <w:ind w:left="4320" w:hanging="180"/>
      </w:pPr>
    </w:lvl>
    <w:lvl w:ilvl="6" w:tplc="A07A0476">
      <w:start w:val="1"/>
      <w:numFmt w:val="decimal"/>
      <w:lvlText w:val="%7."/>
      <w:lvlJc w:val="left"/>
      <w:pPr>
        <w:ind w:left="5040" w:hanging="360"/>
      </w:pPr>
    </w:lvl>
    <w:lvl w:ilvl="7" w:tplc="80DCDD40">
      <w:start w:val="1"/>
      <w:numFmt w:val="lowerLetter"/>
      <w:lvlText w:val="%8."/>
      <w:lvlJc w:val="left"/>
      <w:pPr>
        <w:ind w:left="5760" w:hanging="360"/>
      </w:pPr>
    </w:lvl>
    <w:lvl w:ilvl="8" w:tplc="58F879C0">
      <w:start w:val="1"/>
      <w:numFmt w:val="lowerRoman"/>
      <w:lvlText w:val="%9."/>
      <w:lvlJc w:val="right"/>
      <w:pPr>
        <w:ind w:left="6480" w:hanging="180"/>
      </w:pPr>
    </w:lvl>
  </w:abstractNum>
  <w:abstractNum w:abstractNumId="14" w15:restartNumberingAfterBreak="0">
    <w:nsid w:val="596C3E19"/>
    <w:multiLevelType w:val="hybridMultilevel"/>
    <w:tmpl w:val="32185120"/>
    <w:lvl w:ilvl="0" w:tplc="CE96D5B6">
      <w:start w:val="1"/>
      <w:numFmt w:val="decimal"/>
      <w:lvlText w:val="%1."/>
      <w:lvlJc w:val="left"/>
      <w:pPr>
        <w:ind w:left="720" w:hanging="360"/>
      </w:pPr>
      <w:rPr>
        <w:rFonts w:hint="default"/>
      </w:rPr>
    </w:lvl>
    <w:lvl w:ilvl="1" w:tplc="2996E190">
      <w:start w:val="1"/>
      <w:numFmt w:val="lowerLetter"/>
      <w:lvlText w:val="%2."/>
      <w:lvlJc w:val="left"/>
      <w:pPr>
        <w:ind w:left="1440" w:hanging="360"/>
      </w:pPr>
    </w:lvl>
    <w:lvl w:ilvl="2" w:tplc="E186550E">
      <w:start w:val="1"/>
      <w:numFmt w:val="lowerRoman"/>
      <w:lvlText w:val="%3."/>
      <w:lvlJc w:val="right"/>
      <w:pPr>
        <w:ind w:left="2160" w:hanging="180"/>
      </w:pPr>
    </w:lvl>
    <w:lvl w:ilvl="3" w:tplc="72F0D408">
      <w:start w:val="1"/>
      <w:numFmt w:val="decimal"/>
      <w:lvlText w:val="%4."/>
      <w:lvlJc w:val="left"/>
      <w:pPr>
        <w:ind w:left="2880" w:hanging="360"/>
      </w:pPr>
    </w:lvl>
    <w:lvl w:ilvl="4" w:tplc="D3FC04F8">
      <w:start w:val="1"/>
      <w:numFmt w:val="lowerLetter"/>
      <w:lvlText w:val="%5."/>
      <w:lvlJc w:val="left"/>
      <w:pPr>
        <w:ind w:left="3600" w:hanging="360"/>
      </w:pPr>
    </w:lvl>
    <w:lvl w:ilvl="5" w:tplc="0EA4EC80">
      <w:start w:val="1"/>
      <w:numFmt w:val="lowerRoman"/>
      <w:lvlText w:val="%6."/>
      <w:lvlJc w:val="right"/>
      <w:pPr>
        <w:ind w:left="4320" w:hanging="180"/>
      </w:pPr>
    </w:lvl>
    <w:lvl w:ilvl="6" w:tplc="9F703DC4">
      <w:start w:val="1"/>
      <w:numFmt w:val="decimal"/>
      <w:lvlText w:val="%7."/>
      <w:lvlJc w:val="left"/>
      <w:pPr>
        <w:ind w:left="5040" w:hanging="360"/>
      </w:pPr>
    </w:lvl>
    <w:lvl w:ilvl="7" w:tplc="FC225934">
      <w:start w:val="1"/>
      <w:numFmt w:val="lowerLetter"/>
      <w:lvlText w:val="%8."/>
      <w:lvlJc w:val="left"/>
      <w:pPr>
        <w:ind w:left="5760" w:hanging="360"/>
      </w:pPr>
    </w:lvl>
    <w:lvl w:ilvl="8" w:tplc="AB1CDF84">
      <w:start w:val="1"/>
      <w:numFmt w:val="lowerRoman"/>
      <w:lvlText w:val="%9."/>
      <w:lvlJc w:val="right"/>
      <w:pPr>
        <w:ind w:left="6480" w:hanging="180"/>
      </w:pPr>
    </w:lvl>
  </w:abstractNum>
  <w:abstractNum w:abstractNumId="15" w15:restartNumberingAfterBreak="0">
    <w:nsid w:val="5B883C8F"/>
    <w:multiLevelType w:val="hybridMultilevel"/>
    <w:tmpl w:val="E5209DDE"/>
    <w:lvl w:ilvl="0" w:tplc="C67E7422">
      <w:start w:val="4"/>
      <w:numFmt w:val="decimal"/>
      <w:lvlText w:val="%1."/>
      <w:lvlJc w:val="left"/>
      <w:pPr>
        <w:ind w:left="720" w:hanging="360"/>
      </w:pPr>
      <w:rPr>
        <w:rFonts w:hint="default"/>
        <w:b w:val="0"/>
      </w:rPr>
    </w:lvl>
    <w:lvl w:ilvl="1" w:tplc="9552EC30">
      <w:start w:val="1"/>
      <w:numFmt w:val="lowerLetter"/>
      <w:lvlText w:val="%2."/>
      <w:lvlJc w:val="left"/>
      <w:pPr>
        <w:ind w:left="1440" w:hanging="360"/>
      </w:pPr>
    </w:lvl>
    <w:lvl w:ilvl="2" w:tplc="743C8088">
      <w:start w:val="1"/>
      <w:numFmt w:val="lowerRoman"/>
      <w:lvlText w:val="%3."/>
      <w:lvlJc w:val="right"/>
      <w:pPr>
        <w:ind w:left="2160" w:hanging="180"/>
      </w:pPr>
    </w:lvl>
    <w:lvl w:ilvl="3" w:tplc="5C0CA1CE">
      <w:start w:val="1"/>
      <w:numFmt w:val="decimal"/>
      <w:lvlText w:val="%4."/>
      <w:lvlJc w:val="left"/>
      <w:pPr>
        <w:ind w:left="2880" w:hanging="360"/>
      </w:pPr>
    </w:lvl>
    <w:lvl w:ilvl="4" w:tplc="FF527BF4">
      <w:start w:val="1"/>
      <w:numFmt w:val="lowerLetter"/>
      <w:lvlText w:val="%5."/>
      <w:lvlJc w:val="left"/>
      <w:pPr>
        <w:ind w:left="3600" w:hanging="360"/>
      </w:pPr>
    </w:lvl>
    <w:lvl w:ilvl="5" w:tplc="B4F21ED2">
      <w:start w:val="1"/>
      <w:numFmt w:val="lowerRoman"/>
      <w:lvlText w:val="%6."/>
      <w:lvlJc w:val="right"/>
      <w:pPr>
        <w:ind w:left="4320" w:hanging="180"/>
      </w:pPr>
    </w:lvl>
    <w:lvl w:ilvl="6" w:tplc="AF76C480">
      <w:start w:val="1"/>
      <w:numFmt w:val="decimal"/>
      <w:lvlText w:val="%7."/>
      <w:lvlJc w:val="left"/>
      <w:pPr>
        <w:ind w:left="5040" w:hanging="360"/>
      </w:pPr>
    </w:lvl>
    <w:lvl w:ilvl="7" w:tplc="10D8AC20">
      <w:start w:val="1"/>
      <w:numFmt w:val="lowerLetter"/>
      <w:lvlText w:val="%8."/>
      <w:lvlJc w:val="left"/>
      <w:pPr>
        <w:ind w:left="5760" w:hanging="360"/>
      </w:pPr>
    </w:lvl>
    <w:lvl w:ilvl="8" w:tplc="DA7C842C">
      <w:start w:val="1"/>
      <w:numFmt w:val="lowerRoman"/>
      <w:lvlText w:val="%9."/>
      <w:lvlJc w:val="right"/>
      <w:pPr>
        <w:ind w:left="6480" w:hanging="180"/>
      </w:pPr>
    </w:lvl>
  </w:abstractNum>
  <w:abstractNum w:abstractNumId="16" w15:restartNumberingAfterBreak="0">
    <w:nsid w:val="6532711A"/>
    <w:multiLevelType w:val="hybridMultilevel"/>
    <w:tmpl w:val="67581330"/>
    <w:lvl w:ilvl="0" w:tplc="8F9CDA5E">
      <w:start w:val="2"/>
      <w:numFmt w:val="bullet"/>
      <w:lvlText w:val=""/>
      <w:lvlJc w:val="left"/>
      <w:pPr>
        <w:ind w:left="720" w:hanging="360"/>
      </w:pPr>
      <w:rPr>
        <w:rFonts w:ascii="Wingdings" w:eastAsiaTheme="minorHAnsi" w:hAnsi="Wingdings" w:cs="Arial,Bold" w:hint="default"/>
      </w:rPr>
    </w:lvl>
    <w:lvl w:ilvl="1" w:tplc="F9BE817E">
      <w:start w:val="1"/>
      <w:numFmt w:val="bullet"/>
      <w:lvlText w:val="o"/>
      <w:lvlJc w:val="left"/>
      <w:pPr>
        <w:ind w:left="1440" w:hanging="360"/>
      </w:pPr>
      <w:rPr>
        <w:rFonts w:ascii="Courier New" w:hAnsi="Courier New" w:cs="Courier New" w:hint="default"/>
      </w:rPr>
    </w:lvl>
    <w:lvl w:ilvl="2" w:tplc="47B0A48E">
      <w:start w:val="1"/>
      <w:numFmt w:val="bullet"/>
      <w:lvlText w:val=""/>
      <w:lvlJc w:val="left"/>
      <w:pPr>
        <w:ind w:left="2160" w:hanging="360"/>
      </w:pPr>
      <w:rPr>
        <w:rFonts w:ascii="Wingdings" w:hAnsi="Wingdings" w:hint="default"/>
      </w:rPr>
    </w:lvl>
    <w:lvl w:ilvl="3" w:tplc="881AF856">
      <w:start w:val="1"/>
      <w:numFmt w:val="bullet"/>
      <w:lvlText w:val=""/>
      <w:lvlJc w:val="left"/>
      <w:pPr>
        <w:ind w:left="2880" w:hanging="360"/>
      </w:pPr>
      <w:rPr>
        <w:rFonts w:ascii="Symbol" w:hAnsi="Symbol" w:hint="default"/>
      </w:rPr>
    </w:lvl>
    <w:lvl w:ilvl="4" w:tplc="BD5023E8">
      <w:start w:val="1"/>
      <w:numFmt w:val="bullet"/>
      <w:lvlText w:val="o"/>
      <w:lvlJc w:val="left"/>
      <w:pPr>
        <w:ind w:left="3600" w:hanging="360"/>
      </w:pPr>
      <w:rPr>
        <w:rFonts w:ascii="Courier New" w:hAnsi="Courier New" w:cs="Courier New" w:hint="default"/>
      </w:rPr>
    </w:lvl>
    <w:lvl w:ilvl="5" w:tplc="DCE28BC4">
      <w:start w:val="1"/>
      <w:numFmt w:val="bullet"/>
      <w:lvlText w:val=""/>
      <w:lvlJc w:val="left"/>
      <w:pPr>
        <w:ind w:left="4320" w:hanging="360"/>
      </w:pPr>
      <w:rPr>
        <w:rFonts w:ascii="Wingdings" w:hAnsi="Wingdings" w:hint="default"/>
      </w:rPr>
    </w:lvl>
    <w:lvl w:ilvl="6" w:tplc="4E5465EE">
      <w:start w:val="1"/>
      <w:numFmt w:val="bullet"/>
      <w:lvlText w:val=""/>
      <w:lvlJc w:val="left"/>
      <w:pPr>
        <w:ind w:left="5040" w:hanging="360"/>
      </w:pPr>
      <w:rPr>
        <w:rFonts w:ascii="Symbol" w:hAnsi="Symbol" w:hint="default"/>
      </w:rPr>
    </w:lvl>
    <w:lvl w:ilvl="7" w:tplc="FB860DBA">
      <w:start w:val="1"/>
      <w:numFmt w:val="bullet"/>
      <w:lvlText w:val="o"/>
      <w:lvlJc w:val="left"/>
      <w:pPr>
        <w:ind w:left="5760" w:hanging="360"/>
      </w:pPr>
      <w:rPr>
        <w:rFonts w:ascii="Courier New" w:hAnsi="Courier New" w:cs="Courier New" w:hint="default"/>
      </w:rPr>
    </w:lvl>
    <w:lvl w:ilvl="8" w:tplc="FD7C01CA">
      <w:start w:val="1"/>
      <w:numFmt w:val="bullet"/>
      <w:lvlText w:val=""/>
      <w:lvlJc w:val="left"/>
      <w:pPr>
        <w:ind w:left="6480" w:hanging="360"/>
      </w:pPr>
      <w:rPr>
        <w:rFonts w:ascii="Wingdings" w:hAnsi="Wingdings" w:hint="default"/>
      </w:rPr>
    </w:lvl>
  </w:abstractNum>
  <w:abstractNum w:abstractNumId="17" w15:restartNumberingAfterBreak="0">
    <w:nsid w:val="67935227"/>
    <w:multiLevelType w:val="hybridMultilevel"/>
    <w:tmpl w:val="DEBA30D4"/>
    <w:lvl w:ilvl="0" w:tplc="7E54EB3A">
      <w:start w:val="1"/>
      <w:numFmt w:val="decimal"/>
      <w:lvlText w:val="%1."/>
      <w:lvlJc w:val="left"/>
      <w:pPr>
        <w:ind w:left="720" w:hanging="360"/>
      </w:pPr>
      <w:rPr>
        <w:rFonts w:hint="default"/>
      </w:rPr>
    </w:lvl>
    <w:lvl w:ilvl="1" w:tplc="D7B25BC4">
      <w:start w:val="1"/>
      <w:numFmt w:val="lowerLetter"/>
      <w:lvlText w:val="%2."/>
      <w:lvlJc w:val="left"/>
      <w:pPr>
        <w:ind w:left="1440" w:hanging="360"/>
      </w:pPr>
    </w:lvl>
    <w:lvl w:ilvl="2" w:tplc="D4ECEBBE">
      <w:start w:val="1"/>
      <w:numFmt w:val="lowerRoman"/>
      <w:lvlText w:val="%3."/>
      <w:lvlJc w:val="right"/>
      <w:pPr>
        <w:ind w:left="2160" w:hanging="180"/>
      </w:pPr>
    </w:lvl>
    <w:lvl w:ilvl="3" w:tplc="630297A4">
      <w:start w:val="1"/>
      <w:numFmt w:val="decimal"/>
      <w:lvlText w:val="%4."/>
      <w:lvlJc w:val="left"/>
      <w:pPr>
        <w:ind w:left="2880" w:hanging="360"/>
      </w:pPr>
    </w:lvl>
    <w:lvl w:ilvl="4" w:tplc="F1A6EED4">
      <w:start w:val="1"/>
      <w:numFmt w:val="lowerLetter"/>
      <w:lvlText w:val="%5."/>
      <w:lvlJc w:val="left"/>
      <w:pPr>
        <w:ind w:left="3600" w:hanging="360"/>
      </w:pPr>
    </w:lvl>
    <w:lvl w:ilvl="5" w:tplc="E6E45E8C">
      <w:start w:val="1"/>
      <w:numFmt w:val="lowerRoman"/>
      <w:lvlText w:val="%6."/>
      <w:lvlJc w:val="right"/>
      <w:pPr>
        <w:ind w:left="4320" w:hanging="180"/>
      </w:pPr>
    </w:lvl>
    <w:lvl w:ilvl="6" w:tplc="7B3C1C98">
      <w:start w:val="1"/>
      <w:numFmt w:val="decimal"/>
      <w:lvlText w:val="%7."/>
      <w:lvlJc w:val="left"/>
      <w:pPr>
        <w:ind w:left="5040" w:hanging="360"/>
      </w:pPr>
    </w:lvl>
    <w:lvl w:ilvl="7" w:tplc="3DEE5A04">
      <w:start w:val="1"/>
      <w:numFmt w:val="lowerLetter"/>
      <w:lvlText w:val="%8."/>
      <w:lvlJc w:val="left"/>
      <w:pPr>
        <w:ind w:left="5760" w:hanging="360"/>
      </w:pPr>
    </w:lvl>
    <w:lvl w:ilvl="8" w:tplc="D8085384">
      <w:start w:val="1"/>
      <w:numFmt w:val="lowerRoman"/>
      <w:lvlText w:val="%9."/>
      <w:lvlJc w:val="right"/>
      <w:pPr>
        <w:ind w:left="6480" w:hanging="180"/>
      </w:pPr>
    </w:lvl>
  </w:abstractNum>
  <w:abstractNum w:abstractNumId="18" w15:restartNumberingAfterBreak="0">
    <w:nsid w:val="6A8D7441"/>
    <w:multiLevelType w:val="hybridMultilevel"/>
    <w:tmpl w:val="4A10D58C"/>
    <w:lvl w:ilvl="0" w:tplc="EE7CB770">
      <w:start w:val="1"/>
      <w:numFmt w:val="decimal"/>
      <w:lvlText w:val="%1."/>
      <w:lvlJc w:val="left"/>
      <w:pPr>
        <w:ind w:left="720" w:hanging="360"/>
      </w:pPr>
      <w:rPr>
        <w:rFonts w:hint="default"/>
      </w:rPr>
    </w:lvl>
    <w:lvl w:ilvl="1" w:tplc="CF50D11C">
      <w:start w:val="1"/>
      <w:numFmt w:val="lowerLetter"/>
      <w:lvlText w:val="%2."/>
      <w:lvlJc w:val="left"/>
      <w:pPr>
        <w:ind w:left="1440" w:hanging="360"/>
      </w:pPr>
    </w:lvl>
    <w:lvl w:ilvl="2" w:tplc="B41C3BDC">
      <w:start w:val="1"/>
      <w:numFmt w:val="lowerRoman"/>
      <w:lvlText w:val="%3."/>
      <w:lvlJc w:val="right"/>
      <w:pPr>
        <w:ind w:left="2160" w:hanging="180"/>
      </w:pPr>
    </w:lvl>
    <w:lvl w:ilvl="3" w:tplc="C3089F42">
      <w:start w:val="1"/>
      <w:numFmt w:val="decimal"/>
      <w:lvlText w:val="%4."/>
      <w:lvlJc w:val="left"/>
      <w:pPr>
        <w:ind w:left="2880" w:hanging="360"/>
      </w:pPr>
    </w:lvl>
    <w:lvl w:ilvl="4" w:tplc="505EC0B2">
      <w:start w:val="1"/>
      <w:numFmt w:val="lowerLetter"/>
      <w:lvlText w:val="%5."/>
      <w:lvlJc w:val="left"/>
      <w:pPr>
        <w:ind w:left="3600" w:hanging="360"/>
      </w:pPr>
    </w:lvl>
    <w:lvl w:ilvl="5" w:tplc="1CC61758">
      <w:start w:val="1"/>
      <w:numFmt w:val="lowerRoman"/>
      <w:lvlText w:val="%6."/>
      <w:lvlJc w:val="right"/>
      <w:pPr>
        <w:ind w:left="4320" w:hanging="180"/>
      </w:pPr>
    </w:lvl>
    <w:lvl w:ilvl="6" w:tplc="106EAD7E">
      <w:start w:val="1"/>
      <w:numFmt w:val="decimal"/>
      <w:lvlText w:val="%7."/>
      <w:lvlJc w:val="left"/>
      <w:pPr>
        <w:ind w:left="5040" w:hanging="360"/>
      </w:pPr>
    </w:lvl>
    <w:lvl w:ilvl="7" w:tplc="4EE2958E">
      <w:start w:val="1"/>
      <w:numFmt w:val="lowerLetter"/>
      <w:lvlText w:val="%8."/>
      <w:lvlJc w:val="left"/>
      <w:pPr>
        <w:ind w:left="5760" w:hanging="360"/>
      </w:pPr>
    </w:lvl>
    <w:lvl w:ilvl="8" w:tplc="D724231A">
      <w:start w:val="1"/>
      <w:numFmt w:val="lowerRoman"/>
      <w:lvlText w:val="%9."/>
      <w:lvlJc w:val="right"/>
      <w:pPr>
        <w:ind w:left="6480" w:hanging="180"/>
      </w:pPr>
    </w:lvl>
  </w:abstractNum>
  <w:abstractNum w:abstractNumId="19" w15:restartNumberingAfterBreak="0">
    <w:nsid w:val="6A9513AF"/>
    <w:multiLevelType w:val="hybridMultilevel"/>
    <w:tmpl w:val="8B723920"/>
    <w:lvl w:ilvl="0" w:tplc="07689C66">
      <w:start w:val="1"/>
      <w:numFmt w:val="lowerRoman"/>
      <w:lvlText w:val="%1)"/>
      <w:lvlJc w:val="left"/>
      <w:pPr>
        <w:ind w:left="1080" w:hanging="720"/>
      </w:pPr>
      <w:rPr>
        <w:rFonts w:hint="default"/>
      </w:rPr>
    </w:lvl>
    <w:lvl w:ilvl="1" w:tplc="7D443816">
      <w:start w:val="1"/>
      <w:numFmt w:val="lowerLetter"/>
      <w:lvlText w:val="%2."/>
      <w:lvlJc w:val="left"/>
      <w:pPr>
        <w:ind w:left="1440" w:hanging="360"/>
      </w:pPr>
    </w:lvl>
    <w:lvl w:ilvl="2" w:tplc="34B6728A">
      <w:start w:val="1"/>
      <w:numFmt w:val="lowerRoman"/>
      <w:lvlText w:val="%3."/>
      <w:lvlJc w:val="right"/>
      <w:pPr>
        <w:ind w:left="2160" w:hanging="180"/>
      </w:pPr>
    </w:lvl>
    <w:lvl w:ilvl="3" w:tplc="AE963242">
      <w:start w:val="1"/>
      <w:numFmt w:val="decimal"/>
      <w:lvlText w:val="%4."/>
      <w:lvlJc w:val="left"/>
      <w:pPr>
        <w:ind w:left="2880" w:hanging="360"/>
      </w:pPr>
    </w:lvl>
    <w:lvl w:ilvl="4" w:tplc="842CF46E">
      <w:start w:val="1"/>
      <w:numFmt w:val="lowerLetter"/>
      <w:lvlText w:val="%5."/>
      <w:lvlJc w:val="left"/>
      <w:pPr>
        <w:ind w:left="3600" w:hanging="360"/>
      </w:pPr>
    </w:lvl>
    <w:lvl w:ilvl="5" w:tplc="DF5A3906">
      <w:start w:val="1"/>
      <w:numFmt w:val="lowerRoman"/>
      <w:lvlText w:val="%6."/>
      <w:lvlJc w:val="right"/>
      <w:pPr>
        <w:ind w:left="4320" w:hanging="180"/>
      </w:pPr>
    </w:lvl>
    <w:lvl w:ilvl="6" w:tplc="1414A4E0">
      <w:start w:val="1"/>
      <w:numFmt w:val="decimal"/>
      <w:lvlText w:val="%7."/>
      <w:lvlJc w:val="left"/>
      <w:pPr>
        <w:ind w:left="5040" w:hanging="360"/>
      </w:pPr>
    </w:lvl>
    <w:lvl w:ilvl="7" w:tplc="9E88569C">
      <w:start w:val="1"/>
      <w:numFmt w:val="lowerLetter"/>
      <w:lvlText w:val="%8."/>
      <w:lvlJc w:val="left"/>
      <w:pPr>
        <w:ind w:left="5760" w:hanging="360"/>
      </w:pPr>
    </w:lvl>
    <w:lvl w:ilvl="8" w:tplc="05EC83F4">
      <w:start w:val="1"/>
      <w:numFmt w:val="lowerRoman"/>
      <w:lvlText w:val="%9."/>
      <w:lvlJc w:val="right"/>
      <w:pPr>
        <w:ind w:left="6480" w:hanging="180"/>
      </w:pPr>
    </w:lvl>
  </w:abstractNum>
  <w:abstractNum w:abstractNumId="20" w15:restartNumberingAfterBreak="0">
    <w:nsid w:val="6AAC0962"/>
    <w:multiLevelType w:val="hybridMultilevel"/>
    <w:tmpl w:val="6346E726"/>
    <w:lvl w:ilvl="0" w:tplc="26863456">
      <w:start w:val="1"/>
      <w:numFmt w:val="decimal"/>
      <w:lvlText w:val="%1."/>
      <w:lvlJc w:val="left"/>
      <w:pPr>
        <w:ind w:left="720" w:hanging="360"/>
      </w:pPr>
      <w:rPr>
        <w:rFonts w:hint="default"/>
      </w:rPr>
    </w:lvl>
    <w:lvl w:ilvl="1" w:tplc="1D3601B8">
      <w:start w:val="1"/>
      <w:numFmt w:val="lowerLetter"/>
      <w:lvlText w:val="%2."/>
      <w:lvlJc w:val="left"/>
      <w:pPr>
        <w:ind w:left="1440" w:hanging="360"/>
      </w:pPr>
    </w:lvl>
    <w:lvl w:ilvl="2" w:tplc="34306B50">
      <w:start w:val="1"/>
      <w:numFmt w:val="lowerRoman"/>
      <w:lvlText w:val="%3."/>
      <w:lvlJc w:val="right"/>
      <w:pPr>
        <w:ind w:left="2160" w:hanging="180"/>
      </w:pPr>
    </w:lvl>
    <w:lvl w:ilvl="3" w:tplc="6174220C">
      <w:start w:val="1"/>
      <w:numFmt w:val="decimal"/>
      <w:lvlText w:val="%4."/>
      <w:lvlJc w:val="left"/>
      <w:pPr>
        <w:ind w:left="2880" w:hanging="360"/>
      </w:pPr>
    </w:lvl>
    <w:lvl w:ilvl="4" w:tplc="7EACF8EA">
      <w:start w:val="1"/>
      <w:numFmt w:val="lowerLetter"/>
      <w:lvlText w:val="%5."/>
      <w:lvlJc w:val="left"/>
      <w:pPr>
        <w:ind w:left="3600" w:hanging="360"/>
      </w:pPr>
    </w:lvl>
    <w:lvl w:ilvl="5" w:tplc="D2BAC496">
      <w:start w:val="1"/>
      <w:numFmt w:val="lowerRoman"/>
      <w:lvlText w:val="%6."/>
      <w:lvlJc w:val="right"/>
      <w:pPr>
        <w:ind w:left="4320" w:hanging="180"/>
      </w:pPr>
    </w:lvl>
    <w:lvl w:ilvl="6" w:tplc="4B42AF22">
      <w:start w:val="1"/>
      <w:numFmt w:val="decimal"/>
      <w:lvlText w:val="%7."/>
      <w:lvlJc w:val="left"/>
      <w:pPr>
        <w:ind w:left="5040" w:hanging="360"/>
      </w:pPr>
    </w:lvl>
    <w:lvl w:ilvl="7" w:tplc="5456BF1A">
      <w:start w:val="1"/>
      <w:numFmt w:val="lowerLetter"/>
      <w:lvlText w:val="%8."/>
      <w:lvlJc w:val="left"/>
      <w:pPr>
        <w:ind w:left="5760" w:hanging="360"/>
      </w:pPr>
    </w:lvl>
    <w:lvl w:ilvl="8" w:tplc="C8C0EA42">
      <w:start w:val="1"/>
      <w:numFmt w:val="lowerRoman"/>
      <w:lvlText w:val="%9."/>
      <w:lvlJc w:val="right"/>
      <w:pPr>
        <w:ind w:left="6480" w:hanging="180"/>
      </w:pPr>
    </w:lvl>
  </w:abstractNum>
  <w:abstractNum w:abstractNumId="21" w15:restartNumberingAfterBreak="0">
    <w:nsid w:val="714371C6"/>
    <w:multiLevelType w:val="hybridMultilevel"/>
    <w:tmpl w:val="23C6B22E"/>
    <w:lvl w:ilvl="0" w:tplc="35DC9C58">
      <w:start w:val="9"/>
      <w:numFmt w:val="bullet"/>
      <w:lvlText w:val=""/>
      <w:lvlJc w:val="left"/>
      <w:pPr>
        <w:ind w:left="720" w:hanging="360"/>
      </w:pPr>
      <w:rPr>
        <w:rFonts w:ascii="Wingdings" w:eastAsiaTheme="minorHAnsi" w:hAnsi="Wingdings" w:cs="Times New Roman" w:hint="default"/>
      </w:rPr>
    </w:lvl>
    <w:lvl w:ilvl="1" w:tplc="8A36A274">
      <w:start w:val="1"/>
      <w:numFmt w:val="bullet"/>
      <w:lvlText w:val="o"/>
      <w:lvlJc w:val="left"/>
      <w:pPr>
        <w:ind w:left="1440" w:hanging="360"/>
      </w:pPr>
      <w:rPr>
        <w:rFonts w:ascii="Courier New" w:hAnsi="Courier New" w:cs="Courier New" w:hint="default"/>
      </w:rPr>
    </w:lvl>
    <w:lvl w:ilvl="2" w:tplc="BE3A5020">
      <w:start w:val="1"/>
      <w:numFmt w:val="bullet"/>
      <w:lvlText w:val=""/>
      <w:lvlJc w:val="left"/>
      <w:pPr>
        <w:ind w:left="2160" w:hanging="360"/>
      </w:pPr>
      <w:rPr>
        <w:rFonts w:ascii="Wingdings" w:hAnsi="Wingdings" w:hint="default"/>
      </w:rPr>
    </w:lvl>
    <w:lvl w:ilvl="3" w:tplc="5D02A8DA">
      <w:start w:val="1"/>
      <w:numFmt w:val="bullet"/>
      <w:lvlText w:val=""/>
      <w:lvlJc w:val="left"/>
      <w:pPr>
        <w:ind w:left="2880" w:hanging="360"/>
      </w:pPr>
      <w:rPr>
        <w:rFonts w:ascii="Symbol" w:hAnsi="Symbol" w:hint="default"/>
      </w:rPr>
    </w:lvl>
    <w:lvl w:ilvl="4" w:tplc="45B0D5B2">
      <w:start w:val="1"/>
      <w:numFmt w:val="bullet"/>
      <w:lvlText w:val="o"/>
      <w:lvlJc w:val="left"/>
      <w:pPr>
        <w:ind w:left="3600" w:hanging="360"/>
      </w:pPr>
      <w:rPr>
        <w:rFonts w:ascii="Courier New" w:hAnsi="Courier New" w:cs="Courier New" w:hint="default"/>
      </w:rPr>
    </w:lvl>
    <w:lvl w:ilvl="5" w:tplc="95AA3A74">
      <w:start w:val="1"/>
      <w:numFmt w:val="bullet"/>
      <w:lvlText w:val=""/>
      <w:lvlJc w:val="left"/>
      <w:pPr>
        <w:ind w:left="4320" w:hanging="360"/>
      </w:pPr>
      <w:rPr>
        <w:rFonts w:ascii="Wingdings" w:hAnsi="Wingdings" w:hint="default"/>
      </w:rPr>
    </w:lvl>
    <w:lvl w:ilvl="6" w:tplc="D0DE6622">
      <w:start w:val="1"/>
      <w:numFmt w:val="bullet"/>
      <w:lvlText w:val=""/>
      <w:lvlJc w:val="left"/>
      <w:pPr>
        <w:ind w:left="5040" w:hanging="360"/>
      </w:pPr>
      <w:rPr>
        <w:rFonts w:ascii="Symbol" w:hAnsi="Symbol" w:hint="default"/>
      </w:rPr>
    </w:lvl>
    <w:lvl w:ilvl="7" w:tplc="9E86F688">
      <w:start w:val="1"/>
      <w:numFmt w:val="bullet"/>
      <w:lvlText w:val="o"/>
      <w:lvlJc w:val="left"/>
      <w:pPr>
        <w:ind w:left="5760" w:hanging="360"/>
      </w:pPr>
      <w:rPr>
        <w:rFonts w:ascii="Courier New" w:hAnsi="Courier New" w:cs="Courier New" w:hint="default"/>
      </w:rPr>
    </w:lvl>
    <w:lvl w:ilvl="8" w:tplc="761C6F36">
      <w:start w:val="1"/>
      <w:numFmt w:val="bullet"/>
      <w:lvlText w:val=""/>
      <w:lvlJc w:val="left"/>
      <w:pPr>
        <w:ind w:left="6480" w:hanging="360"/>
      </w:pPr>
      <w:rPr>
        <w:rFonts w:ascii="Wingdings" w:hAnsi="Wingdings" w:hint="default"/>
      </w:rPr>
    </w:lvl>
  </w:abstractNum>
  <w:abstractNum w:abstractNumId="22" w15:restartNumberingAfterBreak="0">
    <w:nsid w:val="740669DF"/>
    <w:multiLevelType w:val="hybridMultilevel"/>
    <w:tmpl w:val="B3E26CD8"/>
    <w:lvl w:ilvl="0" w:tplc="38A2FAFC">
      <w:start w:val="1"/>
      <w:numFmt w:val="decimal"/>
      <w:lvlText w:val="%1."/>
      <w:lvlJc w:val="left"/>
      <w:pPr>
        <w:ind w:left="720" w:hanging="360"/>
      </w:pPr>
      <w:rPr>
        <w:rFonts w:hint="default"/>
      </w:rPr>
    </w:lvl>
    <w:lvl w:ilvl="1" w:tplc="3EB28F78">
      <w:start w:val="1"/>
      <w:numFmt w:val="lowerLetter"/>
      <w:lvlText w:val="%2."/>
      <w:lvlJc w:val="left"/>
      <w:pPr>
        <w:ind w:left="1440" w:hanging="360"/>
      </w:pPr>
    </w:lvl>
    <w:lvl w:ilvl="2" w:tplc="96A6CB88">
      <w:start w:val="1"/>
      <w:numFmt w:val="lowerRoman"/>
      <w:lvlText w:val="%3."/>
      <w:lvlJc w:val="right"/>
      <w:pPr>
        <w:ind w:left="2160" w:hanging="180"/>
      </w:pPr>
    </w:lvl>
    <w:lvl w:ilvl="3" w:tplc="9A04326C">
      <w:start w:val="1"/>
      <w:numFmt w:val="decimal"/>
      <w:lvlText w:val="%4."/>
      <w:lvlJc w:val="left"/>
      <w:pPr>
        <w:ind w:left="2880" w:hanging="360"/>
      </w:pPr>
    </w:lvl>
    <w:lvl w:ilvl="4" w:tplc="ABF8E030">
      <w:start w:val="1"/>
      <w:numFmt w:val="lowerLetter"/>
      <w:lvlText w:val="%5."/>
      <w:lvlJc w:val="left"/>
      <w:pPr>
        <w:ind w:left="3600" w:hanging="360"/>
      </w:pPr>
    </w:lvl>
    <w:lvl w:ilvl="5" w:tplc="16CCCDBA">
      <w:start w:val="1"/>
      <w:numFmt w:val="lowerRoman"/>
      <w:lvlText w:val="%6."/>
      <w:lvlJc w:val="right"/>
      <w:pPr>
        <w:ind w:left="4320" w:hanging="180"/>
      </w:pPr>
    </w:lvl>
    <w:lvl w:ilvl="6" w:tplc="F5FC8AF6">
      <w:start w:val="1"/>
      <w:numFmt w:val="decimal"/>
      <w:lvlText w:val="%7."/>
      <w:lvlJc w:val="left"/>
      <w:pPr>
        <w:ind w:left="5040" w:hanging="360"/>
      </w:pPr>
    </w:lvl>
    <w:lvl w:ilvl="7" w:tplc="A31E5092">
      <w:start w:val="1"/>
      <w:numFmt w:val="lowerLetter"/>
      <w:lvlText w:val="%8."/>
      <w:lvlJc w:val="left"/>
      <w:pPr>
        <w:ind w:left="5760" w:hanging="360"/>
      </w:pPr>
    </w:lvl>
    <w:lvl w:ilvl="8" w:tplc="8782E8FE">
      <w:start w:val="1"/>
      <w:numFmt w:val="lowerRoman"/>
      <w:lvlText w:val="%9."/>
      <w:lvlJc w:val="right"/>
      <w:pPr>
        <w:ind w:left="6480" w:hanging="180"/>
      </w:pPr>
    </w:lvl>
  </w:abstractNum>
  <w:abstractNum w:abstractNumId="23" w15:restartNumberingAfterBreak="0">
    <w:nsid w:val="75285464"/>
    <w:multiLevelType w:val="hybridMultilevel"/>
    <w:tmpl w:val="728E3EFC"/>
    <w:lvl w:ilvl="0" w:tplc="C338E060">
      <w:start w:val="1"/>
      <w:numFmt w:val="lowerLetter"/>
      <w:lvlText w:val="%1)"/>
      <w:lvlJc w:val="left"/>
      <w:pPr>
        <w:ind w:left="720" w:hanging="360"/>
      </w:pPr>
      <w:rPr>
        <w:rFonts w:hint="default"/>
      </w:rPr>
    </w:lvl>
    <w:lvl w:ilvl="1" w:tplc="7DFEDC7C">
      <w:start w:val="1"/>
      <w:numFmt w:val="lowerLetter"/>
      <w:lvlText w:val="%2."/>
      <w:lvlJc w:val="left"/>
      <w:pPr>
        <w:ind w:left="1440" w:hanging="360"/>
      </w:pPr>
    </w:lvl>
    <w:lvl w:ilvl="2" w:tplc="1B0AA8B2">
      <w:start w:val="1"/>
      <w:numFmt w:val="lowerRoman"/>
      <w:lvlText w:val="%3."/>
      <w:lvlJc w:val="right"/>
      <w:pPr>
        <w:ind w:left="2160" w:hanging="180"/>
      </w:pPr>
    </w:lvl>
    <w:lvl w:ilvl="3" w:tplc="2C3A26F8">
      <w:start w:val="1"/>
      <w:numFmt w:val="decimal"/>
      <w:lvlText w:val="%4."/>
      <w:lvlJc w:val="left"/>
      <w:pPr>
        <w:ind w:left="2880" w:hanging="360"/>
      </w:pPr>
    </w:lvl>
    <w:lvl w:ilvl="4" w:tplc="826CDB3A">
      <w:start w:val="1"/>
      <w:numFmt w:val="lowerLetter"/>
      <w:lvlText w:val="%5."/>
      <w:lvlJc w:val="left"/>
      <w:pPr>
        <w:ind w:left="3600" w:hanging="360"/>
      </w:pPr>
    </w:lvl>
    <w:lvl w:ilvl="5" w:tplc="D11475D0">
      <w:start w:val="1"/>
      <w:numFmt w:val="lowerRoman"/>
      <w:lvlText w:val="%6."/>
      <w:lvlJc w:val="right"/>
      <w:pPr>
        <w:ind w:left="4320" w:hanging="180"/>
      </w:pPr>
    </w:lvl>
    <w:lvl w:ilvl="6" w:tplc="16D08C72">
      <w:start w:val="1"/>
      <w:numFmt w:val="decimal"/>
      <w:lvlText w:val="%7."/>
      <w:lvlJc w:val="left"/>
      <w:pPr>
        <w:ind w:left="5040" w:hanging="360"/>
      </w:pPr>
    </w:lvl>
    <w:lvl w:ilvl="7" w:tplc="5E1CEC98">
      <w:start w:val="1"/>
      <w:numFmt w:val="lowerLetter"/>
      <w:lvlText w:val="%8."/>
      <w:lvlJc w:val="left"/>
      <w:pPr>
        <w:ind w:left="5760" w:hanging="360"/>
      </w:pPr>
    </w:lvl>
    <w:lvl w:ilvl="8" w:tplc="0E88E762">
      <w:start w:val="1"/>
      <w:numFmt w:val="lowerRoman"/>
      <w:lvlText w:val="%9."/>
      <w:lvlJc w:val="right"/>
      <w:pPr>
        <w:ind w:left="6480" w:hanging="180"/>
      </w:pPr>
    </w:lvl>
  </w:abstractNum>
  <w:abstractNum w:abstractNumId="24" w15:restartNumberingAfterBreak="0">
    <w:nsid w:val="7A6E2E3B"/>
    <w:multiLevelType w:val="hybridMultilevel"/>
    <w:tmpl w:val="7AD6C2D4"/>
    <w:lvl w:ilvl="0" w:tplc="C81E9A50">
      <w:start w:val="1"/>
      <w:numFmt w:val="decimal"/>
      <w:lvlText w:val="%1."/>
      <w:lvlJc w:val="left"/>
      <w:pPr>
        <w:ind w:left="720" w:hanging="360"/>
      </w:pPr>
      <w:rPr>
        <w:rFonts w:hint="default"/>
      </w:rPr>
    </w:lvl>
    <w:lvl w:ilvl="1" w:tplc="72989804">
      <w:start w:val="1"/>
      <w:numFmt w:val="lowerLetter"/>
      <w:lvlText w:val="%2."/>
      <w:lvlJc w:val="left"/>
      <w:pPr>
        <w:ind w:left="1440" w:hanging="360"/>
      </w:pPr>
    </w:lvl>
    <w:lvl w:ilvl="2" w:tplc="3B8E0E62">
      <w:start w:val="1"/>
      <w:numFmt w:val="lowerRoman"/>
      <w:lvlText w:val="%3."/>
      <w:lvlJc w:val="right"/>
      <w:pPr>
        <w:ind w:left="2160" w:hanging="180"/>
      </w:pPr>
    </w:lvl>
    <w:lvl w:ilvl="3" w:tplc="3F366A5C">
      <w:start w:val="1"/>
      <w:numFmt w:val="decimal"/>
      <w:lvlText w:val="%4."/>
      <w:lvlJc w:val="left"/>
      <w:pPr>
        <w:ind w:left="2880" w:hanging="360"/>
      </w:pPr>
    </w:lvl>
    <w:lvl w:ilvl="4" w:tplc="CD84CE1C">
      <w:start w:val="1"/>
      <w:numFmt w:val="lowerLetter"/>
      <w:lvlText w:val="%5."/>
      <w:lvlJc w:val="left"/>
      <w:pPr>
        <w:ind w:left="3600" w:hanging="360"/>
      </w:pPr>
    </w:lvl>
    <w:lvl w:ilvl="5" w:tplc="BCB2987C">
      <w:start w:val="1"/>
      <w:numFmt w:val="lowerRoman"/>
      <w:lvlText w:val="%6."/>
      <w:lvlJc w:val="right"/>
      <w:pPr>
        <w:ind w:left="4320" w:hanging="180"/>
      </w:pPr>
    </w:lvl>
    <w:lvl w:ilvl="6" w:tplc="3732CDD2">
      <w:start w:val="1"/>
      <w:numFmt w:val="decimal"/>
      <w:lvlText w:val="%7."/>
      <w:lvlJc w:val="left"/>
      <w:pPr>
        <w:ind w:left="5040" w:hanging="360"/>
      </w:pPr>
    </w:lvl>
    <w:lvl w:ilvl="7" w:tplc="A1B8AEE8">
      <w:start w:val="1"/>
      <w:numFmt w:val="lowerLetter"/>
      <w:lvlText w:val="%8."/>
      <w:lvlJc w:val="left"/>
      <w:pPr>
        <w:ind w:left="5760" w:hanging="360"/>
      </w:pPr>
    </w:lvl>
    <w:lvl w:ilvl="8" w:tplc="AC6E63C8">
      <w:start w:val="1"/>
      <w:numFmt w:val="lowerRoman"/>
      <w:lvlText w:val="%9."/>
      <w:lvlJc w:val="right"/>
      <w:pPr>
        <w:ind w:left="6480" w:hanging="180"/>
      </w:pPr>
    </w:lvl>
  </w:abstractNum>
  <w:num w:numId="1" w16cid:durableId="137305786">
    <w:abstractNumId w:val="21"/>
  </w:num>
  <w:num w:numId="2" w16cid:durableId="1943804325">
    <w:abstractNumId w:val="4"/>
  </w:num>
  <w:num w:numId="3" w16cid:durableId="31734786">
    <w:abstractNumId w:val="16"/>
  </w:num>
  <w:num w:numId="4" w16cid:durableId="1935942463">
    <w:abstractNumId w:val="3"/>
  </w:num>
  <w:num w:numId="5" w16cid:durableId="701633716">
    <w:abstractNumId w:val="17"/>
  </w:num>
  <w:num w:numId="6" w16cid:durableId="1168863869">
    <w:abstractNumId w:val="1"/>
  </w:num>
  <w:num w:numId="7" w16cid:durableId="630089668">
    <w:abstractNumId w:val="2"/>
  </w:num>
  <w:num w:numId="8" w16cid:durableId="1911888713">
    <w:abstractNumId w:val="12"/>
  </w:num>
  <w:num w:numId="9" w16cid:durableId="559874079">
    <w:abstractNumId w:val="14"/>
  </w:num>
  <w:num w:numId="10" w16cid:durableId="696272346">
    <w:abstractNumId w:val="18"/>
  </w:num>
  <w:num w:numId="11" w16cid:durableId="760107300">
    <w:abstractNumId w:val="15"/>
  </w:num>
  <w:num w:numId="12" w16cid:durableId="527107379">
    <w:abstractNumId w:val="0"/>
  </w:num>
  <w:num w:numId="13" w16cid:durableId="887230107">
    <w:abstractNumId w:val="20"/>
  </w:num>
  <w:num w:numId="14" w16cid:durableId="804931910">
    <w:abstractNumId w:val="5"/>
  </w:num>
  <w:num w:numId="15" w16cid:durableId="888807940">
    <w:abstractNumId w:val="6"/>
  </w:num>
  <w:num w:numId="16" w16cid:durableId="670917147">
    <w:abstractNumId w:val="13"/>
  </w:num>
  <w:num w:numId="17" w16cid:durableId="1436705456">
    <w:abstractNumId w:val="19"/>
  </w:num>
  <w:num w:numId="18" w16cid:durableId="1307321392">
    <w:abstractNumId w:val="10"/>
  </w:num>
  <w:num w:numId="19" w16cid:durableId="454258026">
    <w:abstractNumId w:val="8"/>
  </w:num>
  <w:num w:numId="20" w16cid:durableId="1015037071">
    <w:abstractNumId w:val="23"/>
  </w:num>
  <w:num w:numId="21" w16cid:durableId="1713453621">
    <w:abstractNumId w:val="22"/>
  </w:num>
  <w:num w:numId="22" w16cid:durableId="161823879">
    <w:abstractNumId w:val="24"/>
  </w:num>
  <w:num w:numId="23" w16cid:durableId="1377074476">
    <w:abstractNumId w:val="9"/>
  </w:num>
  <w:num w:numId="24" w16cid:durableId="992566514">
    <w:abstractNumId w:val="7"/>
  </w:num>
  <w:num w:numId="25" w16cid:durableId="11813615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1F5F"/>
    <w:rsid w:val="00072610"/>
    <w:rsid w:val="00093A77"/>
    <w:rsid w:val="00100E27"/>
    <w:rsid w:val="00102C29"/>
    <w:rsid w:val="001D0BBC"/>
    <w:rsid w:val="001E4CAF"/>
    <w:rsid w:val="002E15A3"/>
    <w:rsid w:val="0034205E"/>
    <w:rsid w:val="003D2055"/>
    <w:rsid w:val="00423BE5"/>
    <w:rsid w:val="00513C83"/>
    <w:rsid w:val="005871C2"/>
    <w:rsid w:val="005C2B13"/>
    <w:rsid w:val="00732CFC"/>
    <w:rsid w:val="00741F5F"/>
    <w:rsid w:val="00790834"/>
    <w:rsid w:val="007E24C6"/>
    <w:rsid w:val="00802DD4"/>
    <w:rsid w:val="00894195"/>
    <w:rsid w:val="0089773D"/>
    <w:rsid w:val="008A6A3F"/>
    <w:rsid w:val="008D425B"/>
    <w:rsid w:val="008F3B84"/>
    <w:rsid w:val="00907331"/>
    <w:rsid w:val="009E501A"/>
    <w:rsid w:val="00A14F2E"/>
    <w:rsid w:val="00A27D3C"/>
    <w:rsid w:val="00A35211"/>
    <w:rsid w:val="00A65482"/>
    <w:rsid w:val="00A90444"/>
    <w:rsid w:val="00A91EFF"/>
    <w:rsid w:val="00B606C1"/>
    <w:rsid w:val="00B91479"/>
    <w:rsid w:val="00BC6295"/>
    <w:rsid w:val="00D2329C"/>
    <w:rsid w:val="00D41471"/>
    <w:rsid w:val="00D543B3"/>
    <w:rsid w:val="00D90E01"/>
    <w:rsid w:val="00E56CC6"/>
    <w:rsid w:val="00E8022C"/>
    <w:rsid w:val="00E813B2"/>
    <w:rsid w:val="00EB3390"/>
    <w:rsid w:val="00FD04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F389B"/>
  <w15:docId w15:val="{46AE7A31-1C9C-7049-B035-81F775849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hAnsi="Calibri" w:cs="Times New Roman"/>
    </w:rPr>
  </w:style>
  <w:style w:type="paragraph" w:styleId="Ttulo1">
    <w:name w:val="heading 1"/>
    <w:basedOn w:val="Normal"/>
    <w:link w:val="Ttulo1Char"/>
    <w:uiPriority w:val="1"/>
    <w:qFormat/>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pPr>
      <w:widowControl w:val="0"/>
      <w:spacing w:before="1" w:after="0" w:line="240" w:lineRule="auto"/>
      <w:ind w:left="1824" w:right="322"/>
      <w:outlineLvl w:val="1"/>
    </w:pPr>
    <w:rPr>
      <w:rFonts w:eastAsia="Calibri" w:cs="Calibri"/>
      <w:b/>
      <w:bCs/>
      <w:sz w:val="32"/>
      <w:szCs w:val="32"/>
      <w:lang w:val="en-US"/>
    </w:rPr>
  </w:style>
  <w:style w:type="paragraph" w:styleId="Ttulo3">
    <w:name w:val="heading 3"/>
    <w:basedOn w:val="Normal"/>
    <w:next w:val="Normal"/>
    <w:link w:val="Ttulo3Char"/>
    <w:uiPriority w:val="9"/>
    <w:unhideWhenUsed/>
    <w:qFormat/>
    <w:pPr>
      <w:keepNext/>
      <w:keepLines/>
      <w:spacing w:before="320"/>
      <w:outlineLvl w:val="2"/>
    </w:pPr>
    <w:rPr>
      <w:rFonts w:ascii="Arial" w:eastAsia="Arial" w:hAnsi="Arial" w:cs="Arial"/>
      <w:sz w:val="30"/>
      <w:szCs w:val="30"/>
    </w:rPr>
  </w:style>
  <w:style w:type="paragraph" w:styleId="Ttulo4">
    <w:name w:val="heading 4"/>
    <w:basedOn w:val="Normal"/>
    <w:next w:val="Normal"/>
    <w:link w:val="Ttulo4Char"/>
    <w:uiPriority w:val="9"/>
    <w:unhideWhenUsed/>
    <w:qFormat/>
    <w:pPr>
      <w:keepNext/>
      <w:keepLines/>
      <w:spacing w:before="320"/>
      <w:outlineLvl w:val="3"/>
    </w:pPr>
    <w:rPr>
      <w:rFonts w:ascii="Arial" w:eastAsia="Arial" w:hAnsi="Arial" w:cs="Arial"/>
      <w:b/>
      <w:bCs/>
      <w:sz w:val="26"/>
      <w:szCs w:val="26"/>
    </w:rPr>
  </w:style>
  <w:style w:type="paragraph" w:styleId="Ttulo5">
    <w:name w:val="heading 5"/>
    <w:basedOn w:val="Normal"/>
    <w:next w:val="Normal"/>
    <w:link w:val="Ttulo5Char"/>
    <w:uiPriority w:val="9"/>
    <w:unhideWhenUsed/>
    <w:qFormat/>
    <w:pPr>
      <w:keepNext/>
      <w:keepLines/>
      <w:spacing w:before="320"/>
      <w:outlineLvl w:val="4"/>
    </w:pPr>
    <w:rPr>
      <w:rFonts w:ascii="Arial" w:eastAsia="Arial" w:hAnsi="Arial" w:cs="Arial"/>
      <w:b/>
      <w:bCs/>
      <w:sz w:val="24"/>
      <w:szCs w:val="24"/>
    </w:rPr>
  </w:style>
  <w:style w:type="paragraph" w:styleId="Ttulo6">
    <w:name w:val="heading 6"/>
    <w:basedOn w:val="Normal"/>
    <w:next w:val="Normal"/>
    <w:link w:val="Ttulo6Char"/>
    <w:uiPriority w:val="9"/>
    <w:unhideWhenUsed/>
    <w:qFormat/>
    <w:pPr>
      <w:keepNext/>
      <w:keepLines/>
      <w:spacing w:before="320"/>
      <w:outlineLvl w:val="5"/>
    </w:pPr>
    <w:rPr>
      <w:rFonts w:ascii="Arial" w:eastAsia="Arial" w:hAnsi="Arial" w:cs="Arial"/>
      <w:b/>
      <w:bCs/>
    </w:rPr>
  </w:style>
  <w:style w:type="paragraph" w:styleId="Ttulo7">
    <w:name w:val="heading 7"/>
    <w:basedOn w:val="Normal"/>
    <w:next w:val="Normal"/>
    <w:link w:val="Ttulo7Char"/>
    <w:uiPriority w:val="9"/>
    <w:unhideWhenUsed/>
    <w:qFormat/>
    <w:pPr>
      <w:keepNext/>
      <w:keepLines/>
      <w:spacing w:before="320"/>
      <w:outlineLvl w:val="6"/>
    </w:pPr>
    <w:rPr>
      <w:rFonts w:ascii="Arial" w:eastAsia="Arial" w:hAnsi="Arial" w:cs="Arial"/>
      <w:b/>
      <w:bCs/>
      <w:i/>
      <w:iCs/>
    </w:rPr>
  </w:style>
  <w:style w:type="paragraph" w:styleId="Ttulo8">
    <w:name w:val="heading 8"/>
    <w:basedOn w:val="Normal"/>
    <w:next w:val="Normal"/>
    <w:link w:val="Ttulo8Char"/>
    <w:uiPriority w:val="9"/>
    <w:unhideWhenUsed/>
    <w:qFormat/>
    <w:pPr>
      <w:keepNext/>
      <w:keepLines/>
      <w:spacing w:before="320"/>
      <w:outlineLvl w:val="7"/>
    </w:pPr>
    <w:rPr>
      <w:rFonts w:ascii="Arial" w:eastAsia="Arial" w:hAnsi="Arial" w:cs="Arial"/>
      <w:i/>
      <w:iCs/>
    </w:rPr>
  </w:style>
  <w:style w:type="paragraph" w:styleId="Ttulo9">
    <w:name w:val="heading 9"/>
    <w:basedOn w:val="Normal"/>
    <w:next w:val="Normal"/>
    <w:link w:val="Ttulo9Char"/>
    <w:uiPriority w:val="9"/>
    <w:unhideWhenUsed/>
    <w:qFormat/>
    <w:pPr>
      <w:keepNext/>
      <w:keepLines/>
      <w:spacing w:before="320"/>
      <w:outlineLvl w:val="8"/>
    </w:pPr>
    <w:rPr>
      <w:rFonts w:ascii="Arial" w:eastAsia="Arial" w:hAnsi="Arial" w:cs="Arial"/>
      <w:i/>
      <w:iCs/>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Heading1Char">
    <w:name w:val="Heading 1 Char"/>
    <w:basedOn w:val="Fontepargpadro"/>
    <w:uiPriority w:val="9"/>
    <w:rPr>
      <w:rFonts w:ascii="Arial" w:eastAsia="Arial" w:hAnsi="Arial" w:cs="Arial"/>
      <w:sz w:val="40"/>
      <w:szCs w:val="40"/>
    </w:rPr>
  </w:style>
  <w:style w:type="character" w:customStyle="1" w:styleId="Heading2Char">
    <w:name w:val="Heading 2 Char"/>
    <w:basedOn w:val="Fontepargpadro"/>
    <w:uiPriority w:val="9"/>
    <w:rPr>
      <w:rFonts w:ascii="Arial" w:eastAsia="Arial" w:hAnsi="Arial" w:cs="Arial"/>
      <w:sz w:val="34"/>
    </w:rPr>
  </w:style>
  <w:style w:type="character" w:customStyle="1" w:styleId="Ttulo3Char">
    <w:name w:val="Título 3 Char"/>
    <w:basedOn w:val="Fontepargpadro"/>
    <w:link w:val="Ttulo3"/>
    <w:uiPriority w:val="9"/>
    <w:rPr>
      <w:rFonts w:ascii="Arial" w:eastAsia="Arial" w:hAnsi="Arial" w:cs="Arial"/>
      <w:sz w:val="30"/>
      <w:szCs w:val="30"/>
    </w:rPr>
  </w:style>
  <w:style w:type="character" w:customStyle="1" w:styleId="Ttulo4Char">
    <w:name w:val="Título 4 Char"/>
    <w:basedOn w:val="Fontepargpadro"/>
    <w:link w:val="Ttulo4"/>
    <w:uiPriority w:val="9"/>
    <w:rPr>
      <w:rFonts w:ascii="Arial" w:eastAsia="Arial" w:hAnsi="Arial" w:cs="Arial"/>
      <w:b/>
      <w:bCs/>
      <w:sz w:val="26"/>
      <w:szCs w:val="26"/>
    </w:rPr>
  </w:style>
  <w:style w:type="character" w:customStyle="1" w:styleId="Ttulo5Char">
    <w:name w:val="Título 5 Char"/>
    <w:basedOn w:val="Fontepargpadro"/>
    <w:link w:val="Ttulo5"/>
    <w:uiPriority w:val="9"/>
    <w:rPr>
      <w:rFonts w:ascii="Arial" w:eastAsia="Arial" w:hAnsi="Arial" w:cs="Arial"/>
      <w:b/>
      <w:bCs/>
      <w:sz w:val="24"/>
      <w:szCs w:val="24"/>
    </w:rPr>
  </w:style>
  <w:style w:type="character" w:customStyle="1" w:styleId="Ttulo6Char">
    <w:name w:val="Título 6 Char"/>
    <w:basedOn w:val="Fontepargpadro"/>
    <w:link w:val="Ttulo6"/>
    <w:uiPriority w:val="9"/>
    <w:rPr>
      <w:rFonts w:ascii="Arial" w:eastAsia="Arial" w:hAnsi="Arial" w:cs="Arial"/>
      <w:b/>
      <w:bCs/>
      <w:sz w:val="22"/>
      <w:szCs w:val="22"/>
    </w:rPr>
  </w:style>
  <w:style w:type="character" w:customStyle="1" w:styleId="Ttulo7Char">
    <w:name w:val="Título 7 Char"/>
    <w:basedOn w:val="Fontepargpadro"/>
    <w:link w:val="Ttulo7"/>
    <w:uiPriority w:val="9"/>
    <w:rPr>
      <w:rFonts w:ascii="Arial" w:eastAsia="Arial" w:hAnsi="Arial" w:cs="Arial"/>
      <w:b/>
      <w:bCs/>
      <w:i/>
      <w:iCs/>
      <w:sz w:val="22"/>
      <w:szCs w:val="22"/>
    </w:rPr>
  </w:style>
  <w:style w:type="character" w:customStyle="1" w:styleId="Ttulo8Char">
    <w:name w:val="Título 8 Char"/>
    <w:basedOn w:val="Fontepargpadro"/>
    <w:link w:val="Ttulo8"/>
    <w:uiPriority w:val="9"/>
    <w:rPr>
      <w:rFonts w:ascii="Arial" w:eastAsia="Arial" w:hAnsi="Arial" w:cs="Arial"/>
      <w:i/>
      <w:iCs/>
      <w:sz w:val="22"/>
      <w:szCs w:val="22"/>
    </w:rPr>
  </w:style>
  <w:style w:type="character" w:customStyle="1" w:styleId="Ttulo9Char">
    <w:name w:val="Título 9 Char"/>
    <w:basedOn w:val="Fontepargpadro"/>
    <w:link w:val="Ttulo9"/>
    <w:uiPriority w:val="9"/>
    <w:rPr>
      <w:rFonts w:ascii="Arial" w:eastAsia="Arial" w:hAnsi="Arial" w:cs="Arial"/>
      <w:i/>
      <w:iCs/>
      <w:sz w:val="21"/>
      <w:szCs w:val="21"/>
    </w:rPr>
  </w:style>
  <w:style w:type="paragraph" w:styleId="SemEspaamento">
    <w:name w:val="No Spacing"/>
    <w:uiPriority w:val="1"/>
    <w:qFormat/>
    <w:pPr>
      <w:spacing w:after="0" w:line="240" w:lineRule="auto"/>
    </w:pPr>
  </w:style>
  <w:style w:type="paragraph" w:styleId="Ttulo">
    <w:name w:val="Title"/>
    <w:basedOn w:val="Normal"/>
    <w:next w:val="Normal"/>
    <w:link w:val="TtuloChar"/>
    <w:uiPriority w:val="10"/>
    <w:qFormat/>
    <w:pPr>
      <w:spacing w:before="300"/>
      <w:contextualSpacing/>
    </w:pPr>
    <w:rPr>
      <w:sz w:val="48"/>
      <w:szCs w:val="48"/>
    </w:rPr>
  </w:style>
  <w:style w:type="character" w:customStyle="1" w:styleId="TtuloChar">
    <w:name w:val="Título Char"/>
    <w:basedOn w:val="Fontepargpadro"/>
    <w:link w:val="Ttulo"/>
    <w:uiPriority w:val="10"/>
    <w:rPr>
      <w:sz w:val="48"/>
      <w:szCs w:val="48"/>
    </w:rPr>
  </w:style>
  <w:style w:type="paragraph" w:styleId="Subttulo">
    <w:name w:val="Subtitle"/>
    <w:basedOn w:val="Normal"/>
    <w:next w:val="Normal"/>
    <w:link w:val="SubttuloChar"/>
    <w:uiPriority w:val="11"/>
    <w:qFormat/>
    <w:pPr>
      <w:spacing w:before="200"/>
    </w:pPr>
    <w:rPr>
      <w:sz w:val="24"/>
      <w:szCs w:val="24"/>
    </w:rPr>
  </w:style>
  <w:style w:type="character" w:customStyle="1" w:styleId="SubttuloChar">
    <w:name w:val="Subtítulo Char"/>
    <w:basedOn w:val="Fontepargpadro"/>
    <w:link w:val="Subttulo"/>
    <w:uiPriority w:val="11"/>
    <w:rPr>
      <w:sz w:val="24"/>
      <w:szCs w:val="24"/>
    </w:rPr>
  </w:style>
  <w:style w:type="paragraph" w:styleId="Citao">
    <w:name w:val="Quote"/>
    <w:basedOn w:val="Normal"/>
    <w:next w:val="Normal"/>
    <w:link w:val="CitaoChar"/>
    <w:uiPriority w:val="29"/>
    <w:qFormat/>
    <w:pPr>
      <w:ind w:left="720" w:right="720"/>
    </w:pPr>
    <w:rPr>
      <w:i/>
    </w:rPr>
  </w:style>
  <w:style w:type="character" w:customStyle="1" w:styleId="CitaoChar">
    <w:name w:val="Citação Char"/>
    <w:link w:val="Citao"/>
    <w:uiPriority w:val="29"/>
    <w:rPr>
      <w:i/>
    </w:rPr>
  </w:style>
  <w:style w:type="paragraph" w:styleId="CitaoIntensa">
    <w:name w:val="Intense Quote"/>
    <w:basedOn w:val="Normal"/>
    <w:next w:val="Normal"/>
    <w:link w:val="CitaoIntensa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oIntensaChar">
    <w:name w:val="Citação Intensa Char"/>
    <w:link w:val="CitaoIntensa"/>
    <w:uiPriority w:val="30"/>
    <w:rPr>
      <w:i/>
    </w:rPr>
  </w:style>
  <w:style w:type="character" w:customStyle="1" w:styleId="HeaderChar">
    <w:name w:val="Header Char"/>
    <w:basedOn w:val="Fontepargpadro"/>
    <w:uiPriority w:val="99"/>
  </w:style>
  <w:style w:type="character" w:customStyle="1" w:styleId="FooterChar">
    <w:name w:val="Footer Char"/>
    <w:basedOn w:val="Fontepargpadro"/>
    <w:uiPriority w:val="99"/>
  </w:style>
  <w:style w:type="paragraph" w:styleId="Legenda">
    <w:name w:val="caption"/>
    <w:basedOn w:val="Normal"/>
    <w:next w:val="Normal"/>
    <w:uiPriority w:val="35"/>
    <w:semiHidden/>
    <w:unhideWhenUsed/>
    <w:qFormat/>
    <w:rPr>
      <w:b/>
      <w:bCs/>
      <w:color w:val="4F81BD" w:themeColor="accent1"/>
      <w:sz w:val="18"/>
      <w:szCs w:val="18"/>
    </w:rPr>
  </w:style>
  <w:style w:type="character" w:customStyle="1" w:styleId="CaptionChar">
    <w:name w:val="Caption Char"/>
    <w:uiPriority w:val="99"/>
  </w:style>
  <w:style w:type="table" w:styleId="Tabelacomgrade">
    <w:name w:val="Table Grid"/>
    <w:basedOn w:val="Tabela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ela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SimplesTabela1">
    <w:name w:val="Plain Table 1"/>
    <w:basedOn w:val="Tabela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SimplesTabela2">
    <w:name w:val="Plain Table 2"/>
    <w:basedOn w:val="Tabela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SimplesTabela3">
    <w:name w:val="Plain Table 3"/>
    <w:basedOn w:val="Tabela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imples4">
    <w:name w:val="Plain Table 4"/>
    <w:basedOn w:val="Tabela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imples5">
    <w:name w:val="Plain Table 5"/>
    <w:basedOn w:val="Tabela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deGrade1Clara">
    <w:name w:val="Grid Table 1 Light"/>
    <w:basedOn w:val="Tabela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ela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ela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ela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ela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ela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ela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eladeGrade2">
    <w:name w:val="Grid Table 2"/>
    <w:basedOn w:val="Tabela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ela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ela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ela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ela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ela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ela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3">
    <w:name w:val="Grid Table 3"/>
    <w:basedOn w:val="Tabela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elanormal"/>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elanormal"/>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elanormal"/>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elanormal"/>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elanormal"/>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elanormal"/>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4">
    <w:name w:val="Grid Table 4"/>
    <w:basedOn w:val="Tabela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elanormal"/>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elanormal"/>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elanormal"/>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elanormal"/>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elanormal"/>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elanormal"/>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5Escura">
    <w:name w:val="Grid Table 5 Dark"/>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ela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eladeGrade6Colorida">
    <w:name w:val="Grid Table 6 Colorful"/>
    <w:basedOn w:val="Tabela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elanormal"/>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ela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elanormal"/>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ela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elanormal"/>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elanormal"/>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eladeGrade7Colorida">
    <w:name w:val="Grid Table 7 Colorful"/>
    <w:basedOn w:val="Tabela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elanormal"/>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elanormal"/>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elanormal"/>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elanormal"/>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elanormal"/>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elanormal"/>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eladeLista1Clara">
    <w:name w:val="List Table 1 Light"/>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ela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eladeLista2">
    <w:name w:val="List Table 2"/>
    <w:basedOn w:val="Tabela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elanormal"/>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elanormal"/>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elanormal"/>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elanormal"/>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elanormal"/>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elanormal"/>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adeLista3">
    <w:name w:val="List Table 3"/>
    <w:basedOn w:val="Tabela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elanormal"/>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elanormal"/>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elanormal"/>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elanormal"/>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elanormal"/>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elanormal"/>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eladeLista4">
    <w:name w:val="List Table 4"/>
    <w:basedOn w:val="Tabela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elanormal"/>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elanormal"/>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elanormal"/>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elanormal"/>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elanormal"/>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elanormal"/>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adeLista5Escura">
    <w:name w:val="List Table 5 Dark"/>
    <w:basedOn w:val="Tabela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elanormal"/>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elanormal"/>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elanormal"/>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elanormal"/>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elanormal"/>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elanormal"/>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eladeLista6Colorida">
    <w:name w:val="List Table 6 Colorful"/>
    <w:basedOn w:val="Tabela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elanormal"/>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elanormal"/>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elanormal"/>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elanormal"/>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elanormal"/>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elanormal"/>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eladeLista7Colorida">
    <w:name w:val="List Table 7 Colorful"/>
    <w:basedOn w:val="Tabela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elanormal"/>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elanormal"/>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elanormal"/>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elanormal"/>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elanormal"/>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elanormal"/>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elanormal"/>
    <w:uiPriority w:val="99"/>
    <w:pPr>
      <w:spacing w:after="0" w:line="240" w:lineRule="auto"/>
    </w:pPr>
    <w:rPr>
      <w:color w:val="404040"/>
      <w:sz w:val="20"/>
      <w:szCs w:val="20"/>
      <w:lang w:eastAsia="pt-BR"/>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elanormal"/>
    <w:uiPriority w:val="99"/>
    <w:pPr>
      <w:spacing w:after="0" w:line="240" w:lineRule="auto"/>
    </w:pPr>
    <w:rPr>
      <w:color w:val="404040"/>
      <w:sz w:val="20"/>
      <w:szCs w:val="20"/>
      <w:lang w:eastAsia="pt-B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anormal"/>
    <w:uiPriority w:val="99"/>
    <w:pPr>
      <w:spacing w:after="0" w:line="240" w:lineRule="auto"/>
    </w:pPr>
    <w:rPr>
      <w:color w:val="404040"/>
      <w:sz w:val="20"/>
      <w:szCs w:val="20"/>
      <w:lang w:eastAsia="pt-BR"/>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elanormal"/>
    <w:uiPriority w:val="99"/>
    <w:pPr>
      <w:spacing w:after="0" w:line="240" w:lineRule="auto"/>
    </w:pPr>
    <w:rPr>
      <w:color w:val="404040"/>
      <w:sz w:val="20"/>
      <w:szCs w:val="20"/>
      <w:lang w:eastAsia="pt-BR"/>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elanormal"/>
    <w:uiPriority w:val="99"/>
    <w:pPr>
      <w:spacing w:after="0" w:line="240" w:lineRule="auto"/>
    </w:pPr>
    <w:rPr>
      <w:color w:val="404040"/>
      <w:sz w:val="20"/>
      <w:szCs w:val="20"/>
      <w:lang w:eastAsia="pt-BR"/>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elanormal"/>
    <w:uiPriority w:val="99"/>
    <w:pPr>
      <w:spacing w:after="0" w:line="240" w:lineRule="auto"/>
    </w:pPr>
    <w:rPr>
      <w:color w:val="404040"/>
      <w:sz w:val="20"/>
      <w:szCs w:val="20"/>
      <w:lang w:eastAsia="pt-BR"/>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elanormal"/>
    <w:uiPriority w:val="99"/>
    <w:pPr>
      <w:spacing w:after="0" w:line="240" w:lineRule="auto"/>
    </w:pPr>
    <w:rPr>
      <w:color w:val="404040"/>
      <w:sz w:val="20"/>
      <w:szCs w:val="20"/>
      <w:lang w:eastAsia="pt-BR"/>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elanormal"/>
    <w:uiPriority w:val="99"/>
    <w:pPr>
      <w:spacing w:after="0" w:line="240" w:lineRule="auto"/>
    </w:pPr>
    <w:rPr>
      <w:color w:val="404040"/>
      <w:sz w:val="20"/>
      <w:szCs w:val="20"/>
      <w:lang w:eastAsia="pt-BR"/>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ela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anormal"/>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elanormal"/>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elanormal"/>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elanormal"/>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elanormal"/>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elanormal"/>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Textodenotadefim">
    <w:name w:val="endnote text"/>
    <w:basedOn w:val="Normal"/>
    <w:link w:val="TextodenotadefimChar"/>
    <w:uiPriority w:val="99"/>
    <w:semiHidden/>
    <w:unhideWhenUsed/>
    <w:pPr>
      <w:spacing w:after="0" w:line="240" w:lineRule="auto"/>
    </w:pPr>
    <w:rPr>
      <w:sz w:val="20"/>
    </w:rPr>
  </w:style>
  <w:style w:type="character" w:customStyle="1" w:styleId="TextodenotadefimChar">
    <w:name w:val="Texto de nota de fim Char"/>
    <w:link w:val="Textodenotadefim"/>
    <w:uiPriority w:val="99"/>
    <w:rPr>
      <w:sz w:val="20"/>
    </w:rPr>
  </w:style>
  <w:style w:type="character" w:styleId="Refdenotadefim">
    <w:name w:val="endnote reference"/>
    <w:basedOn w:val="Fontepargpadro"/>
    <w:uiPriority w:val="99"/>
    <w:semiHidden/>
    <w:unhideWhenUsed/>
    <w:rPr>
      <w:vertAlign w:val="superscript"/>
    </w:rPr>
  </w:style>
  <w:style w:type="paragraph" w:styleId="Sumrio3">
    <w:name w:val="toc 3"/>
    <w:basedOn w:val="Normal"/>
    <w:next w:val="Normal"/>
    <w:uiPriority w:val="39"/>
    <w:unhideWhenUsed/>
    <w:pPr>
      <w:spacing w:after="57"/>
      <w:ind w:left="567"/>
    </w:pPr>
  </w:style>
  <w:style w:type="paragraph" w:styleId="Sumrio4">
    <w:name w:val="toc 4"/>
    <w:basedOn w:val="Normal"/>
    <w:next w:val="Normal"/>
    <w:uiPriority w:val="39"/>
    <w:unhideWhenUsed/>
    <w:pPr>
      <w:spacing w:after="57"/>
      <w:ind w:left="850"/>
    </w:pPr>
  </w:style>
  <w:style w:type="paragraph" w:styleId="Sumrio5">
    <w:name w:val="toc 5"/>
    <w:basedOn w:val="Normal"/>
    <w:next w:val="Normal"/>
    <w:uiPriority w:val="39"/>
    <w:unhideWhenUsed/>
    <w:pPr>
      <w:spacing w:after="57"/>
      <w:ind w:left="1134"/>
    </w:pPr>
  </w:style>
  <w:style w:type="paragraph" w:styleId="Sumrio6">
    <w:name w:val="toc 6"/>
    <w:basedOn w:val="Normal"/>
    <w:next w:val="Normal"/>
    <w:uiPriority w:val="39"/>
    <w:unhideWhenUsed/>
    <w:pPr>
      <w:spacing w:after="57"/>
      <w:ind w:left="1417"/>
    </w:pPr>
  </w:style>
  <w:style w:type="paragraph" w:styleId="Sumrio7">
    <w:name w:val="toc 7"/>
    <w:basedOn w:val="Normal"/>
    <w:next w:val="Normal"/>
    <w:uiPriority w:val="39"/>
    <w:unhideWhenUsed/>
    <w:pPr>
      <w:spacing w:after="57"/>
      <w:ind w:left="1701"/>
    </w:pPr>
  </w:style>
  <w:style w:type="paragraph" w:styleId="Sumrio8">
    <w:name w:val="toc 8"/>
    <w:basedOn w:val="Normal"/>
    <w:next w:val="Normal"/>
    <w:uiPriority w:val="39"/>
    <w:unhideWhenUsed/>
    <w:pPr>
      <w:spacing w:after="57"/>
      <w:ind w:left="1984"/>
    </w:pPr>
  </w:style>
  <w:style w:type="paragraph" w:styleId="Sumrio9">
    <w:name w:val="toc 9"/>
    <w:basedOn w:val="Normal"/>
    <w:next w:val="Normal"/>
    <w:uiPriority w:val="39"/>
    <w:unhideWhenUsed/>
    <w:pPr>
      <w:spacing w:after="57"/>
      <w:ind w:left="2268"/>
    </w:pPr>
  </w:style>
  <w:style w:type="paragraph" w:styleId="CabealhodoSumrio">
    <w:name w:val="TOC Heading"/>
    <w:uiPriority w:val="39"/>
    <w:unhideWhenUsed/>
  </w:style>
  <w:style w:type="paragraph" w:styleId="ndicedeilustraes">
    <w:name w:val="table of figures"/>
    <w:basedOn w:val="Normal"/>
    <w:next w:val="Normal"/>
    <w:uiPriority w:val="99"/>
    <w:unhideWhenUsed/>
    <w:pPr>
      <w:spacing w:after="0"/>
    </w:pPr>
  </w:style>
  <w:style w:type="character" w:styleId="Hyperlink">
    <w:name w:val="Hyperlink"/>
    <w:basedOn w:val="Fontepargpadro"/>
    <w:uiPriority w:val="99"/>
    <w:unhideWhenUsed/>
    <w:rPr>
      <w:color w:val="0000FF"/>
      <w:u w:val="single"/>
    </w:rPr>
  </w:style>
  <w:style w:type="paragraph" w:styleId="Textodenotaderodap">
    <w:name w:val="footnote text"/>
    <w:basedOn w:val="Normal"/>
    <w:link w:val="TextodenotaderodapChar"/>
    <w:pPr>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Pr>
      <w:rFonts w:ascii="Times New Roman" w:eastAsia="Times New Roman" w:hAnsi="Times New Roman" w:cs="Times New Roman"/>
      <w:sz w:val="20"/>
      <w:szCs w:val="20"/>
      <w:lang w:eastAsia="pt-BR"/>
    </w:rPr>
  </w:style>
  <w:style w:type="character" w:styleId="Refdenotaderodap">
    <w:name w:val="footnote reference"/>
    <w:rPr>
      <w:vertAlign w:val="superscript"/>
    </w:rPr>
  </w:style>
  <w:style w:type="character" w:styleId="HiperlinkVisitado">
    <w:name w:val="FollowedHyperlink"/>
    <w:basedOn w:val="Fontepargpadro"/>
    <w:uiPriority w:val="99"/>
    <w:semiHidden/>
    <w:unhideWhenUsed/>
    <w:rPr>
      <w:color w:val="800080" w:themeColor="followedHyperlink"/>
      <w:u w:val="single"/>
    </w:rPr>
  </w:style>
  <w:style w:type="paragraph" w:styleId="Textodebalo">
    <w:name w:val="Balloon Text"/>
    <w:basedOn w:val="Normal"/>
    <w:link w:val="TextodebaloChar"/>
    <w:uiPriority w:val="99"/>
    <w:semiHidden/>
    <w:unhideWhenUse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Pr>
      <w:rFonts w:ascii="Tahoma" w:hAnsi="Tahoma" w:cs="Tahoma"/>
      <w:sz w:val="16"/>
      <w:szCs w:val="16"/>
    </w:rPr>
  </w:style>
  <w:style w:type="paragraph" w:styleId="PargrafodaLista">
    <w:name w:val="List Paragraph"/>
    <w:basedOn w:val="Normal"/>
    <w:uiPriority w:val="34"/>
    <w:qFormat/>
    <w:pPr>
      <w:ind w:left="720"/>
      <w:contextualSpacing/>
    </w:pPr>
  </w:style>
  <w:style w:type="paragraph" w:styleId="Sumrio2">
    <w:name w:val="toc 2"/>
    <w:basedOn w:val="Normal"/>
    <w:uiPriority w:val="1"/>
    <w:qFormat/>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uiPriority w:val="39"/>
    <w:semiHidden/>
    <w:unhideWhenUsed/>
    <w:pPr>
      <w:spacing w:after="100"/>
    </w:pPr>
  </w:style>
  <w:style w:type="paragraph" w:styleId="Corpodetexto">
    <w:name w:val="Body Text"/>
    <w:basedOn w:val="Normal"/>
    <w:link w:val="CorpodetextoChar"/>
    <w:uiPriority w:val="1"/>
    <w:qFormat/>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Pr>
      <w:rFonts w:ascii="Calibri" w:eastAsia="Calibri" w:hAnsi="Calibri" w:cs="Calibri"/>
      <w:b/>
      <w:bCs/>
      <w:sz w:val="40"/>
      <w:szCs w:val="40"/>
      <w:lang w:val="en-US"/>
    </w:rPr>
  </w:style>
  <w:style w:type="character" w:customStyle="1" w:styleId="Ttulo2Char">
    <w:name w:val="Título 2 Char"/>
    <w:basedOn w:val="Fontepargpadro"/>
    <w:link w:val="Ttulo2"/>
    <w:uiPriority w:val="1"/>
    <w:rPr>
      <w:rFonts w:ascii="Calibri" w:eastAsia="Calibri" w:hAnsi="Calibri" w:cs="Calibri"/>
      <w:b/>
      <w:bCs/>
      <w:sz w:val="32"/>
      <w:szCs w:val="32"/>
      <w:lang w:val="en-US"/>
    </w:rPr>
  </w:style>
  <w:style w:type="paragraph" w:styleId="Cabealho">
    <w:name w:val="header"/>
    <w:basedOn w:val="Normal"/>
    <w:link w:val="CabealhoChar"/>
    <w:uiPriority w:val="99"/>
    <w:unhideWhenUsed/>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Pr>
      <w:rFonts w:ascii="Times New Roman" w:eastAsia="Times New Roman" w:hAnsi="Times New Roman" w:cs="Times New Roman"/>
      <w:sz w:val="24"/>
    </w:rPr>
  </w:style>
  <w:style w:type="paragraph" w:styleId="Rodap">
    <w:name w:val="footer"/>
    <w:basedOn w:val="Normal"/>
    <w:link w:val="RodapChar"/>
    <w:uiPriority w:val="99"/>
    <w:unhideWhenUsed/>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Pr>
      <w:rFonts w:ascii="Times New Roman" w:eastAsia="Times New Roman" w:hAnsi="Times New Roman" w:cs="Times New Roman"/>
      <w:sz w:val="24"/>
    </w:rPr>
  </w:style>
  <w:style w:type="paragraph" w:customStyle="1" w:styleId="Default">
    <w:name w:val="Default"/>
    <w:pPr>
      <w:spacing w:after="0" w:line="240" w:lineRule="auto"/>
    </w:pPr>
    <w:rPr>
      <w:rFonts w:ascii="Arial" w:hAnsi="Arial" w:cs="Arial"/>
      <w:color w:val="000000"/>
      <w:sz w:val="24"/>
      <w:szCs w:val="24"/>
    </w:rPr>
  </w:style>
  <w:style w:type="character" w:customStyle="1" w:styleId="apple-converted-space">
    <w:name w:val="apple-converted-space"/>
    <w:basedOn w:val="Fontepargpadro"/>
  </w:style>
  <w:style w:type="paragraph" w:customStyle="1" w:styleId="body10">
    <w:name w:val="body10"/>
    <w:link w:val="body10Char"/>
    <w:pPr>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rPr>
      <w:rFonts w:ascii="Times New Roman" w:eastAsia="Times New Roman" w:hAnsi="Times New Roman" w:cs="Times New Roman"/>
      <w:sz w:val="20"/>
      <w:szCs w:val="20"/>
      <w:lang w:eastAsia="pt-BR"/>
    </w:rPr>
  </w:style>
  <w:style w:type="paragraph" w:customStyle="1" w:styleId="TCU-Epgrafe">
    <w:name w:val="TCU - Epígrafe"/>
    <w:basedOn w:val="Normal"/>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Pr>
      <w:b/>
      <w:bCs/>
    </w:rPr>
  </w:style>
  <w:style w:type="character" w:styleId="nfase">
    <w:name w:val="Emphasis"/>
    <w:basedOn w:val="Fontepargpadro"/>
    <w:uiPriority w:val="20"/>
    <w:qFormat/>
    <w:rPr>
      <w:i/>
      <w:iCs/>
    </w:rPr>
  </w:style>
  <w:style w:type="character" w:customStyle="1" w:styleId="Meno1">
    <w:name w:val="Menção1"/>
    <w:basedOn w:val="Fontepargpadro"/>
    <w:uiPriority w:val="99"/>
    <w:semiHidden/>
    <w:unhideWhenUsed/>
    <w:rPr>
      <w:color w:val="2B579A"/>
      <w:shd w:val="clear" w:color="auto" w:fill="E6E6E6"/>
    </w:rPr>
  </w:style>
  <w:style w:type="paragraph" w:customStyle="1" w:styleId="tcu-epgrafe0">
    <w:name w:val="tcu-epgrafe"/>
    <w:basedOn w:val="Normal"/>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MenoPendente1">
    <w:name w:val="Menção Pendente1"/>
    <w:basedOn w:val="Fontepargpadro"/>
    <w:uiPriority w:val="99"/>
    <w:semiHidden/>
    <w:unhideWhenUsed/>
    <w:rPr>
      <w:color w:val="808080"/>
      <w:shd w:val="clear" w:color="auto" w:fill="E6E6E6"/>
    </w:rPr>
  </w:style>
  <w:style w:type="character" w:styleId="Refdecomentrio">
    <w:name w:val="annotation reference"/>
    <w:basedOn w:val="Fontepargpadro"/>
    <w:uiPriority w:val="99"/>
    <w:semiHidden/>
    <w:unhideWhenUsed/>
    <w:rPr>
      <w:sz w:val="16"/>
      <w:szCs w:val="16"/>
    </w:rPr>
  </w:style>
  <w:style w:type="paragraph" w:styleId="Textodecomentrio">
    <w:name w:val="annotation text"/>
    <w:basedOn w:val="Normal"/>
    <w:link w:val="TextodecomentrioChar"/>
    <w:uiPriority w:val="99"/>
    <w:semiHidden/>
    <w:unhideWhenUsed/>
    <w:pPr>
      <w:spacing w:line="240" w:lineRule="auto"/>
    </w:pPr>
    <w:rPr>
      <w:sz w:val="20"/>
      <w:szCs w:val="20"/>
    </w:rPr>
  </w:style>
  <w:style w:type="character" w:customStyle="1" w:styleId="TextodecomentrioChar">
    <w:name w:val="Texto de comentário Char"/>
    <w:basedOn w:val="Fontepargpadro"/>
    <w:link w:val="Textodecomentrio"/>
    <w:uiPriority w:val="99"/>
    <w:semiHidden/>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Pr>
      <w:b/>
      <w:bCs/>
    </w:rPr>
  </w:style>
  <w:style w:type="character" w:customStyle="1" w:styleId="AssuntodocomentrioChar">
    <w:name w:val="Assunto do comentário Char"/>
    <w:basedOn w:val="TextodecomentrioChar"/>
    <w:link w:val="Assuntodocomentrio"/>
    <w:uiPriority w:val="99"/>
    <w:semiHidden/>
    <w:rPr>
      <w:rFonts w:ascii="Calibri" w:hAnsi="Calibri" w:cs="Times New Roman"/>
      <w:b/>
      <w:bCs/>
      <w:sz w:val="20"/>
      <w:szCs w:val="20"/>
    </w:rPr>
  </w:style>
  <w:style w:type="paragraph" w:styleId="Pr-formataoHTML">
    <w:name w:val="HTML Preformatted"/>
    <w:basedOn w:val="Normal"/>
    <w:link w:val="Pr-formataoHTML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Pr>
      <w:rFonts w:ascii="Courier New" w:eastAsia="Times New Roman" w:hAnsi="Courier New" w:cs="Courier New"/>
      <w:sz w:val="20"/>
      <w:szCs w:val="20"/>
      <w:lang w:eastAsia="pt-BR"/>
    </w:rPr>
  </w:style>
  <w:style w:type="character" w:customStyle="1" w:styleId="clsinformativotextotitulo">
    <w:name w:val="clsinformativotextotitulo"/>
    <w:basedOn w:val="Fontepargpadro"/>
  </w:style>
  <w:style w:type="character" w:customStyle="1" w:styleId="clsinformativotexto">
    <w:name w:val="clsinformativotexto"/>
    <w:basedOn w:val="Fontepargpadro"/>
  </w:style>
  <w:style w:type="character" w:styleId="MenoPendente">
    <w:name w:val="Unresolved Mention"/>
    <w:basedOn w:val="Fontepargpadro"/>
    <w:uiPriority w:val="99"/>
    <w:semiHidden/>
    <w:unhideWhenUsed/>
    <w:rPr>
      <w:color w:val="605E5C"/>
      <w:shd w:val="clear" w:color="auto" w:fill="E1DFDD"/>
    </w:rPr>
  </w:style>
  <w:style w:type="character" w:customStyle="1" w:styleId="LinkdaInternet">
    <w:name w:val="Link da Internet"/>
    <w:basedOn w:val="Fontepargpadro"/>
    <w:uiPriority w:val="99"/>
    <w:unhideWhenUse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profiles\usersprofiles$\tc826618\Downloads\22S2Cpdf_20220919_115750.pdf" TargetMode="External"/><Relationship Id="rId13" Type="http://schemas.openxmlformats.org/officeDocument/2006/relationships/hyperlink" Target="http://www1.tce.pr.gov.br/conteudo/pesquisas-prontas/308475/area/249"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1.tce.pr.gov.br/multimidia/2022/4/pdf/00365835.pdf" TargetMode="External"/><Relationship Id="rId17" Type="http://schemas.openxmlformats.org/officeDocument/2006/relationships/hyperlink" Target="http://www1.tce.pr.gov.br/conteudo/sumulas-selecionadas/316602/area/249" TargetMode="External"/><Relationship Id="rId2" Type="http://schemas.openxmlformats.org/officeDocument/2006/relationships/numbering" Target="numbering.xml"/><Relationship Id="rId16" Type="http://schemas.openxmlformats.org/officeDocument/2006/relationships/hyperlink" Target="http://www1.tce.pr.gov.br/conteudo/repercussao-geral-no-stf-e-os-tribunais-de-contas/307026/area/249"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1.tce.pr.gov.br/multimidia/2022/4/pdf/00365845.pdf" TargetMode="External"/><Relationship Id="rId5" Type="http://schemas.openxmlformats.org/officeDocument/2006/relationships/webSettings" Target="webSettings.xml"/><Relationship Id="rId15" Type="http://schemas.openxmlformats.org/officeDocument/2006/relationships/hyperlink" Target="http://www1.tce.pr.gov.br/conteudo/boletim-de-jurisprudencia-internacional/316601/area/249" TargetMode="External"/><Relationship Id="rId10" Type="http://schemas.openxmlformats.org/officeDocument/2006/relationships/hyperlink" Target="https://www1.tce.pr.gov.br/multimidia/2022/5/pdf/00365752.pdf"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1.tce.pr.gov.br/multimidia/2022/5/pdf/00365768.pdf" TargetMode="External"/><Relationship Id="rId14" Type="http://schemas.openxmlformats.org/officeDocument/2006/relationships/hyperlink" Target="http://www1.tce.pr.gov.br/conteudo/teses-ambientais/316603/area/249"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Arial"/>
        <a:cs typeface="Arial"/>
      </a:majorFont>
      <a:minorFont>
        <a:latin typeface="Calibri"/>
        <a:ea typeface="Arial"/>
        <a:cs typeface="Arial"/>
      </a:minorFont>
    </a:fontScheme>
    <a:fmtScheme name="Escritório">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420ECE26-D9AE-4EFE-914A-A3EB87126F1F}"/>
</file>

<file path=docProps/app.xml><?xml version="1.0" encoding="utf-8"?>
<Properties xmlns="http://schemas.openxmlformats.org/officeDocument/2006/extended-properties" xmlns:vt="http://schemas.openxmlformats.org/officeDocument/2006/docPropsVTypes">
  <Template>Normal</Template>
  <TotalTime>32</TotalTime>
  <Pages>8</Pages>
  <Words>3207</Words>
  <Characters>17322</Characters>
  <Application>Microsoft Office Word</Application>
  <DocSecurity>0</DocSecurity>
  <Lines>144</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 Isidio Martins</dc:creator>
  <cp:lastModifiedBy>Gabriel Bossolan Guilherme</cp:lastModifiedBy>
  <cp:revision>7</cp:revision>
  <cp:lastPrinted>2022-09-19T15:53:00Z</cp:lastPrinted>
  <dcterms:created xsi:type="dcterms:W3CDTF">2022-08-25T14:42:00Z</dcterms:created>
  <dcterms:modified xsi:type="dcterms:W3CDTF">2022-09-19T15:54:00Z</dcterms:modified>
</cp:coreProperties>
</file>