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012F" w:rsidRPr="0022060B" w:rsidRDefault="0038012F" w:rsidP="00816942">
      <w:pPr>
        <w:pStyle w:val="Cabealho"/>
        <w:spacing w:line="276" w:lineRule="auto"/>
        <w:jc w:val="center"/>
        <w:rPr>
          <w:rFonts w:ascii="Arial" w:hAnsi="Arial" w:cs="Arial"/>
          <w:sz w:val="20"/>
          <w:szCs w:val="20"/>
        </w:rPr>
      </w:pPr>
      <w:r w:rsidRPr="0022060B">
        <w:rPr>
          <w:rFonts w:ascii="Arial" w:hAnsi="Arial" w:cs="Arial"/>
          <w:b/>
          <w:sz w:val="20"/>
          <w:szCs w:val="20"/>
        </w:rPr>
        <w:t>Boletim de Jurisprudência TCE/PR</w:t>
      </w:r>
      <w:r w:rsidRPr="0022060B">
        <w:rPr>
          <w:rFonts w:ascii="Arial" w:hAnsi="Arial" w:cs="Arial"/>
          <w:sz w:val="20"/>
          <w:szCs w:val="20"/>
        </w:rPr>
        <w:t xml:space="preserve"> </w:t>
      </w:r>
    </w:p>
    <w:p w:rsidR="00814325" w:rsidRDefault="00814325" w:rsidP="00816942">
      <w:pPr>
        <w:spacing w:after="0"/>
        <w:jc w:val="center"/>
        <w:rPr>
          <w:rFonts w:ascii="Arial" w:hAnsi="Arial" w:cs="Arial"/>
          <w:b/>
          <w:sz w:val="20"/>
          <w:szCs w:val="20"/>
        </w:rPr>
      </w:pPr>
    </w:p>
    <w:p w:rsidR="001B5F7A" w:rsidRDefault="001B5F7A" w:rsidP="00816942">
      <w:pPr>
        <w:spacing w:after="0"/>
        <w:jc w:val="center"/>
        <w:rPr>
          <w:rFonts w:ascii="Arial" w:hAnsi="Arial" w:cs="Arial"/>
          <w:b/>
          <w:sz w:val="20"/>
          <w:szCs w:val="20"/>
        </w:rPr>
      </w:pPr>
      <w:r w:rsidRPr="0022060B">
        <w:rPr>
          <w:rFonts w:ascii="Arial" w:hAnsi="Arial" w:cs="Arial"/>
          <w:b/>
          <w:sz w:val="20"/>
          <w:szCs w:val="20"/>
        </w:rPr>
        <w:t xml:space="preserve">Número </w:t>
      </w:r>
      <w:r w:rsidR="00CB2527">
        <w:rPr>
          <w:rFonts w:ascii="Arial" w:hAnsi="Arial" w:cs="Arial"/>
          <w:b/>
          <w:sz w:val="20"/>
          <w:szCs w:val="20"/>
        </w:rPr>
        <w:t>4</w:t>
      </w:r>
      <w:r w:rsidR="00576450">
        <w:rPr>
          <w:rFonts w:ascii="Arial" w:hAnsi="Arial" w:cs="Arial"/>
          <w:b/>
          <w:sz w:val="20"/>
          <w:szCs w:val="20"/>
        </w:rPr>
        <w:t>4</w:t>
      </w:r>
    </w:p>
    <w:p w:rsidR="006F08D4" w:rsidRPr="0022060B" w:rsidRDefault="006F08D4" w:rsidP="00816942">
      <w:pPr>
        <w:spacing w:after="0"/>
        <w:jc w:val="center"/>
        <w:rPr>
          <w:rFonts w:ascii="Arial" w:hAnsi="Arial" w:cs="Arial"/>
          <w:b/>
          <w:sz w:val="20"/>
          <w:szCs w:val="20"/>
        </w:rPr>
      </w:pPr>
    </w:p>
    <w:p w:rsidR="001B5F7A" w:rsidRPr="0090061C" w:rsidRDefault="001B5F7A" w:rsidP="00816942">
      <w:pPr>
        <w:spacing w:after="0"/>
        <w:jc w:val="center"/>
        <w:rPr>
          <w:rFonts w:ascii="Arial" w:hAnsi="Arial" w:cs="Arial"/>
          <w:b/>
          <w:sz w:val="20"/>
          <w:szCs w:val="20"/>
        </w:rPr>
      </w:pPr>
      <w:r w:rsidRPr="009C3AC2">
        <w:rPr>
          <w:rFonts w:ascii="Arial" w:hAnsi="Arial" w:cs="Arial"/>
          <w:b/>
          <w:sz w:val="20"/>
          <w:szCs w:val="20"/>
        </w:rPr>
        <w:t xml:space="preserve">Sessões: </w:t>
      </w:r>
      <w:r w:rsidR="009C3AC2" w:rsidRPr="009C3AC2">
        <w:rPr>
          <w:rFonts w:ascii="Arial" w:hAnsi="Arial" w:cs="Arial"/>
          <w:b/>
          <w:sz w:val="20"/>
          <w:szCs w:val="20"/>
        </w:rPr>
        <w:t>21</w:t>
      </w:r>
      <w:r w:rsidR="00814325" w:rsidRPr="009C3AC2">
        <w:rPr>
          <w:rFonts w:ascii="Arial" w:hAnsi="Arial" w:cs="Arial"/>
          <w:b/>
          <w:sz w:val="20"/>
          <w:szCs w:val="20"/>
        </w:rPr>
        <w:t>.</w:t>
      </w:r>
      <w:r w:rsidR="00015FB0" w:rsidRPr="009C3AC2">
        <w:rPr>
          <w:rFonts w:ascii="Arial" w:hAnsi="Arial" w:cs="Arial"/>
          <w:b/>
          <w:sz w:val="20"/>
          <w:szCs w:val="20"/>
        </w:rPr>
        <w:t>0</w:t>
      </w:r>
      <w:r w:rsidR="009C3AC2" w:rsidRPr="009C3AC2">
        <w:rPr>
          <w:rFonts w:ascii="Arial" w:hAnsi="Arial" w:cs="Arial"/>
          <w:b/>
          <w:sz w:val="20"/>
          <w:szCs w:val="20"/>
        </w:rPr>
        <w:t>8</w:t>
      </w:r>
      <w:r w:rsidR="005A0FD0" w:rsidRPr="009C3AC2">
        <w:rPr>
          <w:rFonts w:ascii="Arial" w:hAnsi="Arial" w:cs="Arial"/>
          <w:b/>
          <w:sz w:val="20"/>
          <w:szCs w:val="20"/>
        </w:rPr>
        <w:t xml:space="preserve"> </w:t>
      </w:r>
      <w:r w:rsidR="000D4DE6" w:rsidRPr="009C3AC2">
        <w:rPr>
          <w:rFonts w:ascii="Arial" w:hAnsi="Arial" w:cs="Arial"/>
          <w:b/>
          <w:sz w:val="20"/>
          <w:szCs w:val="20"/>
        </w:rPr>
        <w:t>a</w:t>
      </w:r>
      <w:r w:rsidRPr="009C3AC2">
        <w:rPr>
          <w:rFonts w:ascii="Arial" w:hAnsi="Arial" w:cs="Arial"/>
          <w:b/>
          <w:sz w:val="20"/>
          <w:szCs w:val="20"/>
        </w:rPr>
        <w:t xml:space="preserve"> </w:t>
      </w:r>
      <w:r w:rsidR="009C3AC2" w:rsidRPr="009C3AC2">
        <w:rPr>
          <w:rFonts w:ascii="Arial" w:hAnsi="Arial" w:cs="Arial"/>
          <w:b/>
          <w:sz w:val="20"/>
          <w:szCs w:val="20"/>
        </w:rPr>
        <w:t>30</w:t>
      </w:r>
      <w:r w:rsidR="005A0FD0" w:rsidRPr="009C3AC2">
        <w:rPr>
          <w:rFonts w:ascii="Arial" w:hAnsi="Arial" w:cs="Arial"/>
          <w:b/>
          <w:sz w:val="20"/>
          <w:szCs w:val="20"/>
        </w:rPr>
        <w:t>.</w:t>
      </w:r>
      <w:r w:rsidR="00015FB0" w:rsidRPr="009C3AC2">
        <w:rPr>
          <w:rFonts w:ascii="Arial" w:hAnsi="Arial" w:cs="Arial"/>
          <w:b/>
          <w:sz w:val="20"/>
          <w:szCs w:val="20"/>
        </w:rPr>
        <w:t>0</w:t>
      </w:r>
      <w:r w:rsidR="00734DDB" w:rsidRPr="009C3AC2">
        <w:rPr>
          <w:rFonts w:ascii="Arial" w:hAnsi="Arial" w:cs="Arial"/>
          <w:b/>
          <w:sz w:val="20"/>
          <w:szCs w:val="20"/>
        </w:rPr>
        <w:t>8</w:t>
      </w:r>
      <w:r w:rsidRPr="009C3AC2">
        <w:rPr>
          <w:rFonts w:ascii="Arial" w:hAnsi="Arial" w:cs="Arial"/>
          <w:b/>
          <w:sz w:val="20"/>
          <w:szCs w:val="20"/>
        </w:rPr>
        <w:t xml:space="preserve"> de 201</w:t>
      </w:r>
      <w:r w:rsidR="00015FB0" w:rsidRPr="009C3AC2">
        <w:rPr>
          <w:rFonts w:ascii="Arial" w:hAnsi="Arial" w:cs="Arial"/>
          <w:b/>
          <w:sz w:val="20"/>
          <w:szCs w:val="20"/>
        </w:rPr>
        <w:t>8</w:t>
      </w:r>
    </w:p>
    <w:p w:rsidR="007436B5" w:rsidRDefault="007436B5" w:rsidP="00816942">
      <w:pPr>
        <w:spacing w:after="0"/>
        <w:jc w:val="both"/>
        <w:rPr>
          <w:rFonts w:ascii="Arial" w:hAnsi="Arial" w:cs="Arial"/>
          <w:sz w:val="20"/>
          <w:szCs w:val="20"/>
        </w:rPr>
      </w:pPr>
    </w:p>
    <w:p w:rsidR="00FE7B14" w:rsidRPr="0022060B" w:rsidRDefault="00FE7B14" w:rsidP="00816942">
      <w:pPr>
        <w:spacing w:after="0"/>
        <w:jc w:val="both"/>
        <w:rPr>
          <w:rFonts w:ascii="Arial" w:hAnsi="Arial" w:cs="Arial"/>
          <w:sz w:val="20"/>
          <w:szCs w:val="20"/>
        </w:rPr>
      </w:pPr>
      <w:r w:rsidRPr="0022060B">
        <w:rPr>
          <w:rFonts w:ascii="Arial" w:hAnsi="Arial" w:cs="Arial"/>
          <w:sz w:val="20"/>
          <w:szCs w:val="20"/>
        </w:rPr>
        <w:t xml:space="preserve">Este Boletim contém informações sintéticas de decisões proferidas pelos Colegiados do TCE/PR que receberam indicação de relevância sob o prisma jurisprudencial no período acima indicado. </w:t>
      </w:r>
      <w:r w:rsidRPr="0022060B">
        <w:rPr>
          <w:rFonts w:ascii="Arial" w:hAnsi="Arial" w:cs="Arial"/>
          <w:color w:val="212121"/>
          <w:sz w:val="20"/>
          <w:szCs w:val="20"/>
        </w:rPr>
        <w:t>A seleção das decisões leva em consideração ao menos um dos seguintes fatores: ineditismo da deliberação, discussão no colegiado ou reiteração de entendimento importante.</w:t>
      </w:r>
      <w:r w:rsidRPr="0022060B">
        <w:rPr>
          <w:rFonts w:ascii="Arial" w:hAnsi="Arial" w:cs="Arial"/>
          <w:sz w:val="20"/>
          <w:szCs w:val="20"/>
        </w:rPr>
        <w:t xml:space="preserve"> O objetivo é facilitar ao interessado o acompanhamento dos acórdãos mais importantes do Tribunal. Para aprofundamento, o leitor pode acessar o inteiro teor das deliberações por meio dos links disponíveis.</w:t>
      </w:r>
      <w:r w:rsidRPr="0022060B">
        <w:rPr>
          <w:rFonts w:ascii="Arial" w:hAnsi="Arial" w:cs="Arial"/>
          <w:color w:val="212121"/>
          <w:sz w:val="20"/>
          <w:szCs w:val="20"/>
        </w:rPr>
        <w:t xml:space="preserve"> </w:t>
      </w:r>
      <w:r w:rsidRPr="0022060B">
        <w:rPr>
          <w:rFonts w:ascii="Arial" w:hAnsi="Arial" w:cs="Arial"/>
          <w:sz w:val="20"/>
          <w:szCs w:val="20"/>
        </w:rPr>
        <w:t>As informações aqui apresentadas não são repositórios oficiais de jurisprudência.</w:t>
      </w:r>
    </w:p>
    <w:p w:rsidR="00FE7B14" w:rsidRPr="0022060B" w:rsidRDefault="00FE7B14" w:rsidP="00816942">
      <w:pPr>
        <w:spacing w:after="0"/>
        <w:jc w:val="both"/>
        <w:rPr>
          <w:rFonts w:ascii="Arial" w:hAnsi="Arial" w:cs="Arial"/>
          <w:sz w:val="20"/>
          <w:szCs w:val="20"/>
        </w:rPr>
      </w:pPr>
    </w:p>
    <w:p w:rsidR="00FE7B14" w:rsidRPr="0022060B" w:rsidRDefault="00FE7B14" w:rsidP="00816942">
      <w:pPr>
        <w:spacing w:after="0"/>
        <w:jc w:val="both"/>
        <w:rPr>
          <w:rFonts w:ascii="Arial" w:hAnsi="Arial" w:cs="Arial"/>
          <w:sz w:val="20"/>
          <w:szCs w:val="20"/>
        </w:rPr>
      </w:pPr>
      <w:r w:rsidRPr="0022060B">
        <w:rPr>
          <w:rFonts w:ascii="Arial" w:hAnsi="Arial" w:cs="Arial"/>
          <w:noProof/>
          <w:sz w:val="20"/>
          <w:szCs w:val="20"/>
          <w:lang w:eastAsia="pt-BR"/>
        </w:rPr>
        <mc:AlternateContent>
          <mc:Choice Requires="wps">
            <w:drawing>
              <wp:anchor distT="0" distB="0" distL="114300" distR="114300" simplePos="0" relativeHeight="251660800" behindDoc="0" locked="0" layoutInCell="1" allowOverlap="1" wp14:anchorId="6B69DEB3" wp14:editId="579163A6">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3C5B981" id="Conector reto 1"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rsidR="00AE4F42" w:rsidRPr="0022060B" w:rsidRDefault="00AE4F42" w:rsidP="00816942">
      <w:pPr>
        <w:shd w:val="pct10" w:color="auto" w:fill="auto"/>
        <w:spacing w:after="0"/>
        <w:jc w:val="center"/>
        <w:rPr>
          <w:rFonts w:ascii="Arial" w:hAnsi="Arial" w:cs="Arial"/>
          <w:b/>
          <w:sz w:val="20"/>
          <w:szCs w:val="20"/>
        </w:rPr>
      </w:pPr>
      <w:r w:rsidRPr="0022060B">
        <w:rPr>
          <w:rFonts w:ascii="Arial" w:hAnsi="Arial" w:cs="Arial"/>
          <w:b/>
          <w:sz w:val="20"/>
          <w:szCs w:val="20"/>
        </w:rPr>
        <w:t>S</w:t>
      </w:r>
      <w:r w:rsidR="00221D15" w:rsidRPr="0022060B">
        <w:rPr>
          <w:rFonts w:ascii="Arial" w:hAnsi="Arial" w:cs="Arial"/>
          <w:b/>
          <w:sz w:val="20"/>
          <w:szCs w:val="20"/>
        </w:rPr>
        <w:t>U</w:t>
      </w:r>
      <w:r w:rsidRPr="0022060B">
        <w:rPr>
          <w:rFonts w:ascii="Arial" w:hAnsi="Arial" w:cs="Arial"/>
          <w:b/>
          <w:sz w:val="20"/>
          <w:szCs w:val="20"/>
        </w:rPr>
        <w:t>MÁRIO</w:t>
      </w:r>
    </w:p>
    <w:p w:rsidR="004429A2" w:rsidRDefault="004429A2" w:rsidP="00BC59F3">
      <w:pPr>
        <w:spacing w:after="0"/>
        <w:jc w:val="both"/>
        <w:rPr>
          <w:rStyle w:val="Hyperlink"/>
          <w:rFonts w:ascii="Arial" w:hAnsi="Arial" w:cs="Arial"/>
          <w:b/>
          <w:color w:val="000000" w:themeColor="text1"/>
          <w:sz w:val="20"/>
          <w:szCs w:val="20"/>
          <w:u w:val="none"/>
        </w:rPr>
      </w:pPr>
    </w:p>
    <w:p w:rsidR="00EB6A61" w:rsidRPr="00EB6A61" w:rsidRDefault="00EB6A61" w:rsidP="00BC59F3">
      <w:pPr>
        <w:spacing w:after="0"/>
        <w:jc w:val="both"/>
        <w:rPr>
          <w:rFonts w:ascii="Arial" w:hAnsi="Arial" w:cs="Arial"/>
          <w:sz w:val="20"/>
          <w:szCs w:val="20"/>
        </w:rPr>
      </w:pPr>
      <w:r w:rsidRPr="00EB6A61">
        <w:rPr>
          <w:rFonts w:ascii="Arial" w:hAnsi="Arial" w:cs="Arial"/>
          <w:sz w:val="20"/>
          <w:szCs w:val="20"/>
        </w:rPr>
        <w:t xml:space="preserve">1. Transferência voluntária. Município. Entidade sem fins lucrativos. Ausência de pesquisa de preço. Inexistência de indícios de lesão ao erário. Objeto do convênio atingido. Regularidade com ressalva. </w:t>
      </w:r>
    </w:p>
    <w:p w:rsidR="00EB6A61" w:rsidRPr="00EB6A61" w:rsidRDefault="00EB6A61" w:rsidP="00BC59F3">
      <w:pPr>
        <w:spacing w:after="0"/>
        <w:jc w:val="both"/>
        <w:rPr>
          <w:rFonts w:ascii="Arial" w:hAnsi="Arial" w:cs="Arial"/>
          <w:sz w:val="20"/>
          <w:szCs w:val="20"/>
        </w:rPr>
      </w:pPr>
    </w:p>
    <w:p w:rsidR="00EB6A61" w:rsidRPr="00EB6A61" w:rsidRDefault="00EB6A61" w:rsidP="00BC59F3">
      <w:pPr>
        <w:spacing w:after="0"/>
        <w:jc w:val="both"/>
        <w:rPr>
          <w:rFonts w:ascii="Arial" w:hAnsi="Arial" w:cs="Arial"/>
          <w:sz w:val="20"/>
          <w:szCs w:val="20"/>
        </w:rPr>
      </w:pPr>
      <w:r w:rsidRPr="00EB6A61">
        <w:rPr>
          <w:rFonts w:ascii="Arial" w:hAnsi="Arial" w:cs="Arial"/>
          <w:sz w:val="20"/>
          <w:szCs w:val="20"/>
        </w:rPr>
        <w:t>2. Admissão de pessoal temporário para função de Agente Comunitário de Saúde. Ausência de surto endêmico no município. Município anteriormente alertado por este Tribunal da necessidade de contratação por prazo indeterminado.</w:t>
      </w:r>
    </w:p>
    <w:p w:rsidR="00EB6A61" w:rsidRDefault="00EB6A61" w:rsidP="00BC59F3">
      <w:pPr>
        <w:spacing w:after="0"/>
        <w:jc w:val="both"/>
        <w:rPr>
          <w:rStyle w:val="Hyperlink"/>
          <w:rFonts w:ascii="Arial" w:hAnsi="Arial" w:cs="Arial"/>
          <w:b/>
          <w:color w:val="000000" w:themeColor="text1"/>
          <w:sz w:val="20"/>
          <w:szCs w:val="20"/>
          <w:u w:val="none"/>
        </w:rPr>
      </w:pPr>
    </w:p>
    <w:p w:rsidR="00FC66BB" w:rsidRPr="00FC66BB" w:rsidRDefault="00FC66BB" w:rsidP="00BC59F3">
      <w:pPr>
        <w:autoSpaceDE w:val="0"/>
        <w:autoSpaceDN w:val="0"/>
        <w:adjustRightInd w:val="0"/>
        <w:spacing w:after="0"/>
        <w:jc w:val="both"/>
        <w:rPr>
          <w:rFonts w:ascii="Arial" w:hAnsi="Arial" w:cs="Arial"/>
          <w:sz w:val="20"/>
          <w:szCs w:val="20"/>
        </w:rPr>
      </w:pPr>
      <w:r w:rsidRPr="00FC66BB">
        <w:rPr>
          <w:rFonts w:ascii="Arial" w:hAnsi="Arial" w:cs="Arial"/>
          <w:sz w:val="20"/>
          <w:szCs w:val="20"/>
        </w:rPr>
        <w:t>3. Aposentadoria. Possibilidade de cômputo em dobro da licença prêmio até a EC n° 20/1998 para fins de aposentadoria. Legalidade e registro com determinação e recomendação.</w:t>
      </w:r>
    </w:p>
    <w:p w:rsidR="006E12D5" w:rsidRDefault="006E12D5" w:rsidP="00BC59F3">
      <w:pPr>
        <w:spacing w:after="0"/>
        <w:jc w:val="both"/>
        <w:rPr>
          <w:rStyle w:val="Hyperlink"/>
          <w:rFonts w:ascii="Arial" w:hAnsi="Arial" w:cs="Arial"/>
          <w:b/>
          <w:color w:val="000000" w:themeColor="text1"/>
          <w:sz w:val="20"/>
          <w:szCs w:val="20"/>
          <w:u w:val="none"/>
        </w:rPr>
      </w:pPr>
    </w:p>
    <w:p w:rsidR="00FC66BB" w:rsidRPr="000C0B08" w:rsidRDefault="00FC66BB" w:rsidP="00BC59F3">
      <w:pPr>
        <w:autoSpaceDE w:val="0"/>
        <w:autoSpaceDN w:val="0"/>
        <w:adjustRightInd w:val="0"/>
        <w:spacing w:after="0"/>
        <w:jc w:val="both"/>
        <w:rPr>
          <w:rFonts w:ascii="Arial" w:hAnsi="Arial" w:cs="Arial"/>
          <w:sz w:val="20"/>
          <w:szCs w:val="20"/>
        </w:rPr>
      </w:pPr>
      <w:r w:rsidRPr="000C0B08">
        <w:rPr>
          <w:rFonts w:ascii="Arial" w:hAnsi="Arial" w:cs="Arial"/>
          <w:sz w:val="20"/>
          <w:szCs w:val="20"/>
        </w:rPr>
        <w:t xml:space="preserve">4. Tomada de Contas. Recursos repassados em dezembro de 1994. Inviabilidade de </w:t>
      </w:r>
      <w:proofErr w:type="spellStart"/>
      <w:r w:rsidRPr="000C0B08">
        <w:rPr>
          <w:rFonts w:ascii="Arial" w:hAnsi="Arial" w:cs="Arial"/>
          <w:sz w:val="20"/>
          <w:szCs w:val="20"/>
        </w:rPr>
        <w:t>reinstrução</w:t>
      </w:r>
      <w:proofErr w:type="spellEnd"/>
      <w:r w:rsidRPr="000C0B08">
        <w:rPr>
          <w:rFonts w:ascii="Arial" w:hAnsi="Arial" w:cs="Arial"/>
          <w:sz w:val="20"/>
          <w:szCs w:val="20"/>
        </w:rPr>
        <w:t xml:space="preserve"> processual após o decurso de quase 24 anos sem o oportuno chamamento dos responsáveis ao processo, sob pena de ofensa aos princípios constitucionais do contraditório, da ampla defesa e da razoável duração do processo. Contas iliquidáveis. Trancamento do processo e encerramento.</w:t>
      </w:r>
    </w:p>
    <w:p w:rsidR="004429A2" w:rsidRDefault="004429A2" w:rsidP="00BC59F3">
      <w:pPr>
        <w:spacing w:after="0"/>
        <w:jc w:val="both"/>
        <w:rPr>
          <w:rStyle w:val="Hyperlink"/>
          <w:rFonts w:ascii="Arial" w:hAnsi="Arial" w:cs="Arial"/>
          <w:b/>
          <w:color w:val="000000" w:themeColor="text1"/>
          <w:sz w:val="20"/>
          <w:szCs w:val="20"/>
          <w:u w:val="none"/>
        </w:rPr>
      </w:pPr>
    </w:p>
    <w:p w:rsidR="00BC59F3" w:rsidRPr="00BC59F3" w:rsidRDefault="00BC59F3" w:rsidP="00BC59F3">
      <w:pPr>
        <w:autoSpaceDE w:val="0"/>
        <w:autoSpaceDN w:val="0"/>
        <w:adjustRightInd w:val="0"/>
        <w:spacing w:after="0"/>
        <w:jc w:val="both"/>
        <w:rPr>
          <w:rFonts w:ascii="Arial" w:hAnsi="Arial" w:cs="Arial"/>
          <w:sz w:val="20"/>
          <w:szCs w:val="20"/>
        </w:rPr>
      </w:pPr>
      <w:r w:rsidRPr="00BC59F3">
        <w:rPr>
          <w:rFonts w:ascii="Arial" w:hAnsi="Arial" w:cs="Arial"/>
          <w:sz w:val="20"/>
          <w:szCs w:val="20"/>
        </w:rPr>
        <w:t>5. Ato de Inativação. Questionamentos sobre ilegalidades na nomeação. Decurso de longo período no exercício do cargo. Aplicação da teoria do fato consumado. Aplicação dos princípios da segurança jurídica, boa-fé e confiança legítima.</w:t>
      </w:r>
    </w:p>
    <w:p w:rsidR="00BC59F3" w:rsidRDefault="00BC59F3" w:rsidP="00BC59F3">
      <w:pPr>
        <w:spacing w:after="0"/>
        <w:jc w:val="both"/>
        <w:rPr>
          <w:rStyle w:val="Hyperlink"/>
          <w:rFonts w:ascii="Arial" w:hAnsi="Arial" w:cs="Arial"/>
          <w:b/>
          <w:color w:val="000000" w:themeColor="text1"/>
          <w:sz w:val="20"/>
          <w:szCs w:val="20"/>
          <w:u w:val="none"/>
        </w:rPr>
      </w:pPr>
    </w:p>
    <w:p w:rsidR="00BC59F3" w:rsidRDefault="00BC59F3" w:rsidP="00BC59F3">
      <w:pPr>
        <w:autoSpaceDE w:val="0"/>
        <w:autoSpaceDN w:val="0"/>
        <w:adjustRightInd w:val="0"/>
        <w:spacing w:after="0"/>
        <w:jc w:val="both"/>
        <w:rPr>
          <w:rFonts w:ascii="Arial" w:hAnsi="Arial" w:cs="Arial"/>
          <w:sz w:val="20"/>
          <w:szCs w:val="20"/>
        </w:rPr>
      </w:pPr>
      <w:r w:rsidRPr="00BC59F3">
        <w:rPr>
          <w:rFonts w:ascii="Arial" w:hAnsi="Arial" w:cs="Arial"/>
          <w:sz w:val="20"/>
          <w:szCs w:val="20"/>
        </w:rPr>
        <w:t>6. Denúncia. Fatos ocorridos há mais de 18 anos. Reconhecimento de ofício da prescrição e consequente encerramento do feito.</w:t>
      </w:r>
    </w:p>
    <w:p w:rsidR="00BC59F3" w:rsidRDefault="00BC59F3" w:rsidP="00BC59F3">
      <w:pPr>
        <w:autoSpaceDE w:val="0"/>
        <w:autoSpaceDN w:val="0"/>
        <w:adjustRightInd w:val="0"/>
        <w:spacing w:after="0"/>
        <w:jc w:val="both"/>
        <w:rPr>
          <w:rFonts w:ascii="Arial" w:hAnsi="Arial" w:cs="Arial"/>
          <w:sz w:val="20"/>
          <w:szCs w:val="20"/>
        </w:rPr>
      </w:pPr>
    </w:p>
    <w:p w:rsidR="00BC59F3" w:rsidRPr="00BC59F3" w:rsidRDefault="00BC59F3" w:rsidP="00BC59F3">
      <w:pPr>
        <w:spacing w:after="0"/>
        <w:jc w:val="both"/>
        <w:rPr>
          <w:rStyle w:val="Hyperlink"/>
          <w:rFonts w:ascii="Arial" w:hAnsi="Arial" w:cs="Arial"/>
          <w:color w:val="000000" w:themeColor="text1"/>
          <w:sz w:val="20"/>
          <w:szCs w:val="20"/>
          <w:u w:val="none"/>
        </w:rPr>
      </w:pPr>
      <w:r w:rsidRPr="00BC59F3">
        <w:rPr>
          <w:rStyle w:val="Hyperlink"/>
          <w:rFonts w:ascii="Arial" w:hAnsi="Arial" w:cs="Arial"/>
          <w:color w:val="000000" w:themeColor="text1"/>
          <w:sz w:val="20"/>
          <w:szCs w:val="20"/>
          <w:u w:val="none"/>
        </w:rPr>
        <w:lastRenderedPageBreak/>
        <w:t xml:space="preserve">7. Denúncia. Cobrança de taxa para emissão de certidão de antecedentes criminais. Controle de constitucionalidade pelo Tribunal de Contas. Súmula 347 do STF. Ofensa à literalidade do art. 5º, XXXIV, “b”, da CF/88.  Procedência com determinação. </w:t>
      </w:r>
    </w:p>
    <w:p w:rsidR="00BC59F3" w:rsidRPr="00BC59F3" w:rsidRDefault="00BC59F3" w:rsidP="00BC59F3">
      <w:pPr>
        <w:autoSpaceDE w:val="0"/>
        <w:autoSpaceDN w:val="0"/>
        <w:adjustRightInd w:val="0"/>
        <w:spacing w:after="0"/>
        <w:jc w:val="both"/>
        <w:rPr>
          <w:rFonts w:ascii="Arial" w:hAnsi="Arial" w:cs="Arial"/>
          <w:sz w:val="20"/>
          <w:szCs w:val="20"/>
        </w:rPr>
      </w:pPr>
    </w:p>
    <w:p w:rsidR="00BC59F3" w:rsidRDefault="00BC59F3" w:rsidP="00BC59F3">
      <w:pPr>
        <w:spacing w:after="0"/>
        <w:jc w:val="both"/>
        <w:rPr>
          <w:rStyle w:val="Hyperlink"/>
          <w:rFonts w:ascii="Arial" w:hAnsi="Arial" w:cs="Arial"/>
          <w:color w:val="000000" w:themeColor="text1"/>
          <w:sz w:val="20"/>
          <w:szCs w:val="20"/>
          <w:u w:val="none"/>
        </w:rPr>
      </w:pPr>
      <w:r w:rsidRPr="00BC59F3">
        <w:rPr>
          <w:rStyle w:val="Hyperlink"/>
          <w:rFonts w:ascii="Arial" w:hAnsi="Arial" w:cs="Arial"/>
          <w:color w:val="000000" w:themeColor="text1"/>
          <w:sz w:val="20"/>
          <w:szCs w:val="20"/>
          <w:u w:val="none"/>
        </w:rPr>
        <w:t xml:space="preserve">8. Representação da Lei nº 8.666/93. Pregão presencial. Exigência de apresentação pela licitante de dois atestados de comprovação. Restrição indevida ao caráter competitivo. Procedência deste apontamento. </w:t>
      </w:r>
    </w:p>
    <w:p w:rsidR="00BC59F3" w:rsidRPr="00BC59F3" w:rsidRDefault="00BC59F3" w:rsidP="00BC59F3">
      <w:pPr>
        <w:spacing w:after="0"/>
        <w:jc w:val="both"/>
        <w:rPr>
          <w:rStyle w:val="Hyperlink"/>
          <w:rFonts w:ascii="Arial" w:hAnsi="Arial" w:cs="Arial"/>
          <w:color w:val="000000" w:themeColor="text1"/>
          <w:sz w:val="20"/>
          <w:szCs w:val="20"/>
          <w:u w:val="none"/>
        </w:rPr>
      </w:pPr>
    </w:p>
    <w:p w:rsidR="00BC59F3" w:rsidRPr="00BC59F3" w:rsidRDefault="00BC59F3" w:rsidP="00BC59F3">
      <w:pPr>
        <w:spacing w:after="0"/>
        <w:jc w:val="both"/>
        <w:rPr>
          <w:rStyle w:val="Hyperlink"/>
          <w:rFonts w:ascii="Arial" w:hAnsi="Arial" w:cs="Arial"/>
          <w:color w:val="000000" w:themeColor="text1"/>
          <w:sz w:val="20"/>
          <w:szCs w:val="20"/>
          <w:u w:val="none"/>
        </w:rPr>
      </w:pPr>
      <w:r w:rsidRPr="00BC59F3">
        <w:rPr>
          <w:rStyle w:val="Hyperlink"/>
          <w:rFonts w:ascii="Arial" w:hAnsi="Arial" w:cs="Arial"/>
          <w:color w:val="000000" w:themeColor="text1"/>
          <w:sz w:val="20"/>
          <w:szCs w:val="20"/>
          <w:u w:val="none"/>
        </w:rPr>
        <w:t xml:space="preserve">9. Representação da Lei nº 8.666/93. Pregão eletrônico. Uso de software robô. Apresentação de lances em menos de um segundo. Procedência. Determinação de anulação da sessão de lances e repetição do ato. </w:t>
      </w:r>
    </w:p>
    <w:p w:rsidR="00FC66BB" w:rsidRPr="0022060B" w:rsidRDefault="00FC66BB" w:rsidP="00816942">
      <w:pPr>
        <w:spacing w:after="0"/>
        <w:jc w:val="both"/>
        <w:rPr>
          <w:rStyle w:val="Hyperlink"/>
          <w:rFonts w:ascii="Arial" w:hAnsi="Arial" w:cs="Arial"/>
          <w:b/>
          <w:color w:val="000000" w:themeColor="text1"/>
          <w:sz w:val="20"/>
          <w:szCs w:val="20"/>
          <w:u w:val="none"/>
        </w:rPr>
      </w:pPr>
    </w:p>
    <w:p w:rsidR="00712A93" w:rsidRPr="0022060B" w:rsidRDefault="00712A93" w:rsidP="00816942">
      <w:pPr>
        <w:shd w:val="pct10" w:color="auto" w:fill="auto"/>
        <w:spacing w:after="0"/>
        <w:jc w:val="center"/>
        <w:rPr>
          <w:rFonts w:ascii="Arial" w:hAnsi="Arial" w:cs="Arial"/>
          <w:b/>
          <w:sz w:val="20"/>
          <w:szCs w:val="20"/>
        </w:rPr>
      </w:pPr>
      <w:r w:rsidRPr="0022060B">
        <w:rPr>
          <w:rFonts w:ascii="Arial" w:hAnsi="Arial" w:cs="Arial"/>
          <w:b/>
          <w:sz w:val="20"/>
          <w:szCs w:val="20"/>
        </w:rPr>
        <w:t>PRIMEIRA CÂMARA</w:t>
      </w:r>
    </w:p>
    <w:p w:rsidR="005F7E35" w:rsidRDefault="005F7E35" w:rsidP="00816942">
      <w:pPr>
        <w:autoSpaceDE w:val="0"/>
        <w:autoSpaceDN w:val="0"/>
        <w:adjustRightInd w:val="0"/>
        <w:spacing w:after="0"/>
        <w:jc w:val="both"/>
        <w:rPr>
          <w:rFonts w:ascii="Arial" w:hAnsi="Arial" w:cs="Arial"/>
          <w:sz w:val="20"/>
          <w:szCs w:val="20"/>
        </w:rPr>
      </w:pPr>
    </w:p>
    <w:p w:rsidR="000E62BD" w:rsidRDefault="004F06AF" w:rsidP="000E62BD">
      <w:pPr>
        <w:spacing w:after="0"/>
        <w:jc w:val="both"/>
        <w:rPr>
          <w:rFonts w:ascii="Arial" w:hAnsi="Arial" w:cs="Arial"/>
          <w:b/>
          <w:sz w:val="20"/>
          <w:szCs w:val="20"/>
        </w:rPr>
      </w:pPr>
      <w:r>
        <w:rPr>
          <w:rFonts w:ascii="Arial" w:hAnsi="Arial" w:cs="Arial"/>
          <w:b/>
          <w:sz w:val="20"/>
          <w:szCs w:val="20"/>
        </w:rPr>
        <w:t xml:space="preserve">1. </w:t>
      </w:r>
      <w:r w:rsidR="000E62BD">
        <w:rPr>
          <w:rFonts w:ascii="Arial" w:hAnsi="Arial" w:cs="Arial"/>
          <w:b/>
          <w:sz w:val="20"/>
          <w:szCs w:val="20"/>
        </w:rPr>
        <w:t xml:space="preserve">Transferência voluntária. Município. Entidade sem fins lucrativos. Ausência de pesquisa de preço. Inexistência de indícios de lesão ao erário. Objeto do convênio atingido. Regularidade com ressalva. </w:t>
      </w:r>
    </w:p>
    <w:p w:rsidR="000E62BD" w:rsidRDefault="000E62BD" w:rsidP="000E62BD">
      <w:pPr>
        <w:spacing w:after="0"/>
        <w:jc w:val="both"/>
        <w:rPr>
          <w:rFonts w:ascii="Arial" w:hAnsi="Arial" w:cs="Arial"/>
          <w:b/>
          <w:sz w:val="20"/>
          <w:szCs w:val="20"/>
        </w:rPr>
      </w:pPr>
    </w:p>
    <w:p w:rsidR="000E62BD" w:rsidRDefault="000E62BD" w:rsidP="000E62BD">
      <w:pPr>
        <w:spacing w:after="0"/>
        <w:jc w:val="both"/>
        <w:rPr>
          <w:rFonts w:ascii="Arial" w:hAnsi="Arial" w:cs="Arial"/>
          <w:sz w:val="20"/>
          <w:szCs w:val="20"/>
        </w:rPr>
      </w:pPr>
      <w:r>
        <w:rPr>
          <w:rFonts w:ascii="Arial" w:hAnsi="Arial" w:cs="Arial"/>
          <w:sz w:val="20"/>
          <w:szCs w:val="20"/>
        </w:rPr>
        <w:t xml:space="preserve">Em transferência voluntária efetuada por Município à entidade sem fins lucrativos visando atendimento sócio assistencial em regime de Proteção Social Especial (serviço de acolhimento institucional para pessoas adultas), verificou-se, entre os apontamentos, impropriedade na sigla APP. </w:t>
      </w:r>
    </w:p>
    <w:p w:rsidR="000E62BD" w:rsidRDefault="000E62BD" w:rsidP="000E62BD">
      <w:pPr>
        <w:spacing w:after="0"/>
        <w:jc w:val="both"/>
        <w:rPr>
          <w:rFonts w:ascii="Arial" w:hAnsi="Arial" w:cs="Arial"/>
          <w:sz w:val="20"/>
          <w:szCs w:val="20"/>
        </w:rPr>
      </w:pPr>
    </w:p>
    <w:p w:rsidR="000E62BD" w:rsidRDefault="000E62BD" w:rsidP="000E62BD">
      <w:pPr>
        <w:spacing w:after="0"/>
        <w:jc w:val="both"/>
        <w:rPr>
          <w:rFonts w:ascii="Arial" w:hAnsi="Arial" w:cs="Arial"/>
          <w:sz w:val="20"/>
          <w:szCs w:val="20"/>
        </w:rPr>
      </w:pPr>
      <w:r>
        <w:rPr>
          <w:rFonts w:ascii="Arial" w:hAnsi="Arial" w:cs="Arial"/>
          <w:sz w:val="20"/>
          <w:szCs w:val="20"/>
        </w:rPr>
        <w:t xml:space="preserve">A impropriedade, cuja sigla APP significa “ausência de pesquisa de preço”, foi, no presente julgado, qualificada como ressalva, por ser pacífica a jurisprudência desta Corte neste sentido, pela inexistência de indícios de </w:t>
      </w:r>
      <w:proofErr w:type="spellStart"/>
      <w:r>
        <w:rPr>
          <w:rFonts w:ascii="Arial" w:hAnsi="Arial" w:cs="Arial"/>
          <w:sz w:val="20"/>
          <w:szCs w:val="20"/>
        </w:rPr>
        <w:t>dano</w:t>
      </w:r>
      <w:proofErr w:type="spellEnd"/>
      <w:r>
        <w:rPr>
          <w:rFonts w:ascii="Arial" w:hAnsi="Arial" w:cs="Arial"/>
          <w:sz w:val="20"/>
          <w:szCs w:val="20"/>
        </w:rPr>
        <w:t xml:space="preserve"> ao erário ou à execução do objeto conveniado, tendo sido atingidos os objetivos pretendidos com o repasse. </w:t>
      </w:r>
    </w:p>
    <w:p w:rsidR="000E62BD" w:rsidRDefault="000E62BD" w:rsidP="000E62BD">
      <w:pPr>
        <w:spacing w:after="0"/>
        <w:jc w:val="both"/>
        <w:rPr>
          <w:rFonts w:ascii="Arial" w:hAnsi="Arial" w:cs="Arial"/>
          <w:sz w:val="20"/>
          <w:szCs w:val="20"/>
        </w:rPr>
      </w:pPr>
    </w:p>
    <w:p w:rsidR="000E62BD" w:rsidRDefault="000E62BD" w:rsidP="000E62BD">
      <w:pPr>
        <w:spacing w:after="0"/>
        <w:jc w:val="both"/>
        <w:rPr>
          <w:rFonts w:ascii="Arial" w:hAnsi="Arial" w:cs="Arial"/>
          <w:sz w:val="20"/>
          <w:szCs w:val="20"/>
        </w:rPr>
      </w:pPr>
      <w:r>
        <w:rPr>
          <w:rFonts w:ascii="Arial" w:hAnsi="Arial" w:cs="Arial"/>
          <w:sz w:val="20"/>
          <w:szCs w:val="20"/>
        </w:rPr>
        <w:t xml:space="preserve">Processo nº  173646/14 - </w:t>
      </w:r>
      <w:hyperlink r:id="rId8" w:history="1">
        <w:r w:rsidRPr="00DF3779">
          <w:rPr>
            <w:rStyle w:val="Hyperlink"/>
            <w:rFonts w:ascii="Arial" w:hAnsi="Arial" w:cs="Arial"/>
            <w:sz w:val="20"/>
            <w:szCs w:val="20"/>
          </w:rPr>
          <w:t xml:space="preserve">Acórdão nº 2292/18 </w:t>
        </w:r>
        <w:r>
          <w:rPr>
            <w:rStyle w:val="Hyperlink"/>
            <w:rFonts w:ascii="Arial" w:hAnsi="Arial" w:cs="Arial"/>
            <w:sz w:val="20"/>
            <w:szCs w:val="20"/>
          </w:rPr>
          <w:t>-</w:t>
        </w:r>
        <w:r w:rsidRPr="00DF3779">
          <w:rPr>
            <w:rStyle w:val="Hyperlink"/>
            <w:rFonts w:ascii="Arial" w:hAnsi="Arial" w:cs="Arial"/>
            <w:sz w:val="20"/>
            <w:szCs w:val="20"/>
          </w:rPr>
          <w:t xml:space="preserve"> </w:t>
        </w:r>
        <w:r>
          <w:rPr>
            <w:rStyle w:val="Hyperlink"/>
            <w:rFonts w:ascii="Arial" w:hAnsi="Arial" w:cs="Arial"/>
            <w:sz w:val="20"/>
            <w:szCs w:val="20"/>
          </w:rPr>
          <w:t xml:space="preserve">Primeira </w:t>
        </w:r>
        <w:r w:rsidRPr="00DF3779">
          <w:rPr>
            <w:rStyle w:val="Hyperlink"/>
            <w:rFonts w:ascii="Arial" w:hAnsi="Arial" w:cs="Arial"/>
            <w:sz w:val="20"/>
            <w:szCs w:val="20"/>
          </w:rPr>
          <w:t>Câmara</w:t>
        </w:r>
      </w:hyperlink>
      <w:r>
        <w:rPr>
          <w:rFonts w:ascii="Arial" w:hAnsi="Arial" w:cs="Arial"/>
          <w:sz w:val="20"/>
          <w:szCs w:val="20"/>
        </w:rPr>
        <w:t xml:space="preserve"> - Relator Conselheiro Fernando Augusto Mello Guimarães. </w:t>
      </w:r>
    </w:p>
    <w:p w:rsidR="00F25798" w:rsidRDefault="00F25798" w:rsidP="000E62BD">
      <w:pPr>
        <w:spacing w:after="0"/>
        <w:jc w:val="both"/>
        <w:rPr>
          <w:rFonts w:ascii="Arial" w:hAnsi="Arial" w:cs="Arial"/>
          <w:sz w:val="20"/>
          <w:szCs w:val="20"/>
        </w:rPr>
      </w:pPr>
    </w:p>
    <w:p w:rsidR="00F25798" w:rsidRPr="00794844" w:rsidRDefault="004F06AF" w:rsidP="00F25798">
      <w:pPr>
        <w:spacing w:after="0"/>
        <w:jc w:val="both"/>
        <w:rPr>
          <w:rFonts w:ascii="Arial" w:hAnsi="Arial" w:cs="Arial"/>
          <w:b/>
          <w:sz w:val="20"/>
          <w:szCs w:val="20"/>
        </w:rPr>
      </w:pPr>
      <w:r>
        <w:rPr>
          <w:rFonts w:ascii="Arial" w:hAnsi="Arial" w:cs="Arial"/>
          <w:b/>
          <w:sz w:val="20"/>
          <w:szCs w:val="20"/>
        </w:rPr>
        <w:t xml:space="preserve">2. </w:t>
      </w:r>
      <w:r w:rsidR="00F25798" w:rsidRPr="00794844">
        <w:rPr>
          <w:rFonts w:ascii="Arial" w:hAnsi="Arial" w:cs="Arial"/>
          <w:b/>
          <w:sz w:val="20"/>
          <w:szCs w:val="20"/>
        </w:rPr>
        <w:t>Admissão de pessoal temporário para função de Agente Comunitário de Saúde. Ausência de surto endêmico no município. Município anteriormente alertado por este Tribunal da necessidade de contratação por prazo indeterminado.</w:t>
      </w:r>
    </w:p>
    <w:p w:rsidR="00EB6A61" w:rsidRDefault="00EB6A61" w:rsidP="00F25798">
      <w:pPr>
        <w:autoSpaceDE w:val="0"/>
        <w:autoSpaceDN w:val="0"/>
        <w:adjustRightInd w:val="0"/>
        <w:spacing w:after="0"/>
        <w:jc w:val="both"/>
        <w:rPr>
          <w:rFonts w:ascii="Arial" w:hAnsi="Arial" w:cs="Arial"/>
          <w:sz w:val="20"/>
          <w:szCs w:val="20"/>
        </w:rPr>
      </w:pPr>
    </w:p>
    <w:p w:rsidR="00F25798" w:rsidRDefault="00F25798" w:rsidP="00F25798">
      <w:pPr>
        <w:autoSpaceDE w:val="0"/>
        <w:autoSpaceDN w:val="0"/>
        <w:adjustRightInd w:val="0"/>
        <w:spacing w:after="0"/>
        <w:jc w:val="both"/>
        <w:rPr>
          <w:rFonts w:ascii="Arial" w:hAnsi="Arial" w:cs="Arial"/>
          <w:sz w:val="20"/>
          <w:szCs w:val="20"/>
        </w:rPr>
      </w:pPr>
      <w:r w:rsidRPr="00794844">
        <w:rPr>
          <w:rFonts w:ascii="Arial" w:hAnsi="Arial" w:cs="Arial"/>
          <w:sz w:val="20"/>
          <w:szCs w:val="20"/>
        </w:rPr>
        <w:t xml:space="preserve">A EC 51/06 e sua lei regulamentadora, Lei Federal n° 11.350/06, são claras e impedem a contratação temporária de Agentes Comunitários de Saúde, excetuando apenas os casos de combates a surtos endêmicos, conforme dispõe o art. 164, da citada lei, não sendo o caso em análise, uma vez que constam como justificativas para as contratações a ausência de servidores em número suficiente para execução dos programas implantados pelo Ministério da Saúde, tendo ainda como a respaldo legal a Lei Municipal n° 1.410/94. </w:t>
      </w:r>
    </w:p>
    <w:p w:rsidR="00F25798" w:rsidRDefault="00F25798" w:rsidP="00F25798">
      <w:pPr>
        <w:autoSpaceDE w:val="0"/>
        <w:autoSpaceDN w:val="0"/>
        <w:adjustRightInd w:val="0"/>
        <w:spacing w:after="0"/>
        <w:jc w:val="both"/>
        <w:rPr>
          <w:rFonts w:ascii="Arial" w:hAnsi="Arial" w:cs="Arial"/>
          <w:sz w:val="20"/>
          <w:szCs w:val="20"/>
        </w:rPr>
      </w:pPr>
    </w:p>
    <w:p w:rsidR="00F25798" w:rsidRDefault="00F25798" w:rsidP="00F25798">
      <w:pPr>
        <w:autoSpaceDE w:val="0"/>
        <w:autoSpaceDN w:val="0"/>
        <w:adjustRightInd w:val="0"/>
        <w:spacing w:after="0"/>
        <w:jc w:val="both"/>
        <w:rPr>
          <w:rFonts w:ascii="Arial" w:hAnsi="Arial" w:cs="Arial"/>
          <w:sz w:val="20"/>
          <w:szCs w:val="20"/>
        </w:rPr>
      </w:pPr>
      <w:r w:rsidRPr="00794844">
        <w:rPr>
          <w:rFonts w:ascii="Arial" w:hAnsi="Arial" w:cs="Arial"/>
          <w:sz w:val="20"/>
          <w:szCs w:val="20"/>
        </w:rPr>
        <w:lastRenderedPageBreak/>
        <w:t>Ademais, a simples alegação de atendimento de programa do governo federal sem especificá-lo, bem como demonstrá-lo cabalmente com os convênios firmados e os prazos de duração dos programas não pode prosperar como argumento válido para legitimar uma ação.</w:t>
      </w:r>
    </w:p>
    <w:p w:rsidR="00F25798" w:rsidRPr="00794844" w:rsidRDefault="00F25798" w:rsidP="00F25798">
      <w:pPr>
        <w:autoSpaceDE w:val="0"/>
        <w:autoSpaceDN w:val="0"/>
        <w:adjustRightInd w:val="0"/>
        <w:spacing w:after="0"/>
        <w:jc w:val="both"/>
        <w:rPr>
          <w:rFonts w:ascii="Arial" w:hAnsi="Arial" w:cs="Arial"/>
          <w:sz w:val="20"/>
          <w:szCs w:val="20"/>
        </w:rPr>
      </w:pPr>
    </w:p>
    <w:p w:rsidR="00F25798" w:rsidRDefault="00F25798" w:rsidP="00F25798">
      <w:pPr>
        <w:autoSpaceDE w:val="0"/>
        <w:autoSpaceDN w:val="0"/>
        <w:adjustRightInd w:val="0"/>
        <w:spacing w:after="0"/>
        <w:jc w:val="both"/>
        <w:rPr>
          <w:rFonts w:ascii="Arial" w:hAnsi="Arial" w:cs="Arial"/>
          <w:sz w:val="20"/>
          <w:szCs w:val="20"/>
        </w:rPr>
      </w:pPr>
      <w:r w:rsidRPr="00794844">
        <w:rPr>
          <w:rFonts w:ascii="Arial" w:hAnsi="Arial" w:cs="Arial"/>
          <w:sz w:val="20"/>
          <w:szCs w:val="20"/>
        </w:rPr>
        <w:t xml:space="preserve">De mesmo modo, inaceitável é a alegação da municipalidade de que a Emenda Constitucional 51/06 dispôs que a contratação de Agente Comunitário de Saúde e de Endemias prescinde de concurso público, sendo permitida a contratação temporária, em caráter excepcional. Com olhos voltados para os fins pretendidos pela lei, ao mesmo tempo que há impedimento de que os Agentes Comunitários de Saúde e Agentes de Combate às Endemias sejam contratados temporariamente, exceto nos casos de combates a surtos endêmicos, verifica-se que o processo seletivo público a que deverão ser submetidos não se confunde com concurso público. </w:t>
      </w:r>
    </w:p>
    <w:p w:rsidR="00F25798" w:rsidRDefault="00F25798" w:rsidP="00F25798">
      <w:pPr>
        <w:autoSpaceDE w:val="0"/>
        <w:autoSpaceDN w:val="0"/>
        <w:adjustRightInd w:val="0"/>
        <w:spacing w:after="0"/>
        <w:jc w:val="both"/>
        <w:rPr>
          <w:rFonts w:ascii="Arial" w:hAnsi="Arial" w:cs="Arial"/>
          <w:sz w:val="20"/>
          <w:szCs w:val="20"/>
        </w:rPr>
      </w:pPr>
    </w:p>
    <w:p w:rsidR="00F25798" w:rsidRDefault="00F25798" w:rsidP="00F25798">
      <w:pPr>
        <w:autoSpaceDE w:val="0"/>
        <w:autoSpaceDN w:val="0"/>
        <w:adjustRightInd w:val="0"/>
        <w:spacing w:after="0"/>
        <w:jc w:val="both"/>
        <w:rPr>
          <w:rFonts w:ascii="Arial" w:hAnsi="Arial" w:cs="Arial"/>
          <w:sz w:val="20"/>
          <w:szCs w:val="20"/>
        </w:rPr>
      </w:pPr>
      <w:r w:rsidRPr="00794844">
        <w:rPr>
          <w:rFonts w:ascii="Arial" w:hAnsi="Arial" w:cs="Arial"/>
          <w:sz w:val="20"/>
          <w:szCs w:val="20"/>
        </w:rPr>
        <w:t xml:space="preserve">Trata-se, em realidade, de um procedimento completamente específico, mas que dentro de sua especificidade deve atender aos princípios insculpidos na art. 37, da Constituição Federal. </w:t>
      </w:r>
    </w:p>
    <w:p w:rsidR="00F25798" w:rsidRDefault="00F25798" w:rsidP="00F25798">
      <w:pPr>
        <w:autoSpaceDE w:val="0"/>
        <w:autoSpaceDN w:val="0"/>
        <w:adjustRightInd w:val="0"/>
        <w:spacing w:after="0"/>
        <w:jc w:val="both"/>
        <w:rPr>
          <w:rFonts w:ascii="Arial" w:hAnsi="Arial" w:cs="Arial"/>
          <w:sz w:val="20"/>
          <w:szCs w:val="20"/>
        </w:rPr>
      </w:pPr>
    </w:p>
    <w:p w:rsidR="00F25798" w:rsidRDefault="00F25798" w:rsidP="00F25798">
      <w:pPr>
        <w:autoSpaceDE w:val="0"/>
        <w:autoSpaceDN w:val="0"/>
        <w:adjustRightInd w:val="0"/>
        <w:spacing w:after="0"/>
        <w:jc w:val="both"/>
        <w:rPr>
          <w:rFonts w:ascii="Arial" w:hAnsi="Arial" w:cs="Arial"/>
          <w:sz w:val="20"/>
          <w:szCs w:val="20"/>
        </w:rPr>
      </w:pPr>
      <w:r w:rsidRPr="00794844">
        <w:rPr>
          <w:rFonts w:ascii="Arial" w:hAnsi="Arial" w:cs="Arial"/>
          <w:sz w:val="20"/>
          <w:szCs w:val="20"/>
        </w:rPr>
        <w:t xml:space="preserve">A assertiva de que essas duas espécies de seleção pública </w:t>
      </w:r>
      <w:r>
        <w:rPr>
          <w:rFonts w:ascii="Arial" w:hAnsi="Arial" w:cs="Arial"/>
          <w:sz w:val="20"/>
          <w:szCs w:val="20"/>
        </w:rPr>
        <w:t>-</w:t>
      </w:r>
      <w:r w:rsidRPr="00794844">
        <w:rPr>
          <w:rFonts w:ascii="Arial" w:hAnsi="Arial" w:cs="Arial"/>
          <w:sz w:val="20"/>
          <w:szCs w:val="20"/>
        </w:rPr>
        <w:t xml:space="preserve"> concurso público e processo seletivo público </w:t>
      </w:r>
      <w:r>
        <w:rPr>
          <w:rFonts w:ascii="Arial" w:hAnsi="Arial" w:cs="Arial"/>
          <w:sz w:val="20"/>
          <w:szCs w:val="20"/>
        </w:rPr>
        <w:t>-</w:t>
      </w:r>
      <w:r w:rsidRPr="00794844">
        <w:rPr>
          <w:rFonts w:ascii="Arial" w:hAnsi="Arial" w:cs="Arial"/>
          <w:sz w:val="20"/>
          <w:szCs w:val="20"/>
        </w:rPr>
        <w:t xml:space="preserve"> não se confundem é reforçada pelo deslocamento espacial no texto constitucional da proposta apresentada na PEC 007/2003 que inicialmente alteraria o art. 37, artigo que trata exatamente do concurso público, mas que acabou reposicionado no art. 198, da Magna Carta. </w:t>
      </w:r>
    </w:p>
    <w:p w:rsidR="00F25798" w:rsidRPr="00794844" w:rsidRDefault="00F25798" w:rsidP="00F25798">
      <w:pPr>
        <w:autoSpaceDE w:val="0"/>
        <w:autoSpaceDN w:val="0"/>
        <w:adjustRightInd w:val="0"/>
        <w:spacing w:after="0"/>
        <w:jc w:val="both"/>
        <w:rPr>
          <w:rFonts w:ascii="Arial" w:hAnsi="Arial" w:cs="Arial"/>
          <w:sz w:val="20"/>
          <w:szCs w:val="20"/>
        </w:rPr>
      </w:pPr>
    </w:p>
    <w:p w:rsidR="00F25798" w:rsidRDefault="00F25798" w:rsidP="00F25798">
      <w:pPr>
        <w:autoSpaceDE w:val="0"/>
        <w:autoSpaceDN w:val="0"/>
        <w:adjustRightInd w:val="0"/>
        <w:spacing w:after="0"/>
        <w:jc w:val="both"/>
        <w:rPr>
          <w:rFonts w:ascii="Arial" w:hAnsi="Arial" w:cs="Arial"/>
          <w:sz w:val="20"/>
          <w:szCs w:val="20"/>
        </w:rPr>
      </w:pPr>
      <w:r w:rsidRPr="00794844">
        <w:rPr>
          <w:rFonts w:ascii="Arial" w:hAnsi="Arial" w:cs="Arial"/>
          <w:sz w:val="20"/>
          <w:szCs w:val="20"/>
        </w:rPr>
        <w:t>De modo que restou demonstrado que sim, a Emenda 51/06 prescinde de concurso público, já que exige um processo seletivo. Porém, diferente do que argumentou o Interessado que seria permitida a contratação temporária, em caráter excepcional, quando restar demonstrado o desempenho das atividades funcionais mencionadas à época da promulgação da Emenda Constitucional n° 51/2006 e a aprovação em prévio processo seletivo público, entende-se que a excepcionalidade reside na ocorrência de surtos endêmicos, posto que eles justificam a sazonalidade das contratações.</w:t>
      </w:r>
    </w:p>
    <w:p w:rsidR="00F25798" w:rsidRPr="00794844" w:rsidRDefault="00F25798" w:rsidP="00F25798">
      <w:pPr>
        <w:autoSpaceDE w:val="0"/>
        <w:autoSpaceDN w:val="0"/>
        <w:adjustRightInd w:val="0"/>
        <w:spacing w:after="0"/>
        <w:jc w:val="both"/>
        <w:rPr>
          <w:rFonts w:ascii="Arial" w:hAnsi="Arial" w:cs="Arial"/>
          <w:sz w:val="20"/>
          <w:szCs w:val="20"/>
        </w:rPr>
      </w:pPr>
    </w:p>
    <w:p w:rsidR="00F25798" w:rsidRDefault="00F25798" w:rsidP="00F25798">
      <w:pPr>
        <w:autoSpaceDE w:val="0"/>
        <w:autoSpaceDN w:val="0"/>
        <w:adjustRightInd w:val="0"/>
        <w:spacing w:after="0"/>
        <w:jc w:val="both"/>
        <w:rPr>
          <w:rFonts w:ascii="Arial" w:hAnsi="Arial" w:cs="Arial"/>
          <w:sz w:val="20"/>
          <w:szCs w:val="20"/>
        </w:rPr>
      </w:pPr>
      <w:r w:rsidRPr="00794844">
        <w:rPr>
          <w:rFonts w:ascii="Arial" w:hAnsi="Arial" w:cs="Arial"/>
          <w:sz w:val="20"/>
          <w:szCs w:val="20"/>
        </w:rPr>
        <w:t>Assim, diante do que dispõe o novo texto constitucional que tem aplicabilidade imediata e engloba os Municípios, denota-se (1) a impossibilidade de as contratações de Agentes Comunitários de Saúde e dos Agentes de Combate às Endemias serem realizadas de forma temporária; (2) a ausência comprovada de surto endêmico que tivesse o condão de tornar regulares as contratações na modalidade temporária.</w:t>
      </w:r>
    </w:p>
    <w:p w:rsidR="00AF244D" w:rsidRPr="00794844" w:rsidRDefault="00AF244D" w:rsidP="00F25798">
      <w:pPr>
        <w:autoSpaceDE w:val="0"/>
        <w:autoSpaceDN w:val="0"/>
        <w:adjustRightInd w:val="0"/>
        <w:spacing w:after="0"/>
        <w:jc w:val="both"/>
        <w:rPr>
          <w:rFonts w:ascii="Arial" w:hAnsi="Arial" w:cs="Arial"/>
          <w:sz w:val="20"/>
          <w:szCs w:val="20"/>
        </w:rPr>
      </w:pPr>
    </w:p>
    <w:p w:rsidR="00F25798" w:rsidRDefault="00F25798" w:rsidP="00F25798">
      <w:pPr>
        <w:spacing w:after="0"/>
        <w:jc w:val="both"/>
        <w:rPr>
          <w:rFonts w:ascii="Arial" w:hAnsi="Arial" w:cs="Arial"/>
          <w:sz w:val="20"/>
          <w:szCs w:val="20"/>
        </w:rPr>
      </w:pPr>
      <w:r>
        <w:rPr>
          <w:rFonts w:ascii="Arial" w:hAnsi="Arial" w:cs="Arial"/>
          <w:sz w:val="20"/>
          <w:szCs w:val="20"/>
        </w:rPr>
        <w:t xml:space="preserve">Processo nº  453887/17 - </w:t>
      </w:r>
      <w:hyperlink r:id="rId9" w:history="1">
        <w:r w:rsidRPr="00794844">
          <w:rPr>
            <w:rStyle w:val="Hyperlink"/>
            <w:rFonts w:ascii="Arial" w:hAnsi="Arial" w:cs="Arial"/>
            <w:sz w:val="20"/>
            <w:szCs w:val="20"/>
          </w:rPr>
          <w:t>Acórdão nº 2242/18 - Primeira Câmara</w:t>
        </w:r>
      </w:hyperlink>
      <w:r>
        <w:rPr>
          <w:rFonts w:ascii="Arial" w:hAnsi="Arial" w:cs="Arial"/>
          <w:sz w:val="20"/>
          <w:szCs w:val="20"/>
        </w:rPr>
        <w:t xml:space="preserve"> - Relator Conselheiro Fernando Augusto Mello Guimarães. </w:t>
      </w:r>
    </w:p>
    <w:p w:rsidR="004429A2" w:rsidRPr="0022060B" w:rsidRDefault="004429A2" w:rsidP="00816942">
      <w:pPr>
        <w:autoSpaceDE w:val="0"/>
        <w:autoSpaceDN w:val="0"/>
        <w:adjustRightInd w:val="0"/>
        <w:spacing w:after="0"/>
        <w:jc w:val="both"/>
        <w:rPr>
          <w:rFonts w:ascii="Arial" w:hAnsi="Arial" w:cs="Arial"/>
          <w:sz w:val="20"/>
          <w:szCs w:val="20"/>
        </w:rPr>
      </w:pPr>
    </w:p>
    <w:p w:rsidR="00EC3842" w:rsidRPr="0022060B" w:rsidRDefault="00EC3842" w:rsidP="00816942">
      <w:pPr>
        <w:shd w:val="pct10" w:color="auto" w:fill="auto"/>
        <w:spacing w:after="0"/>
        <w:jc w:val="center"/>
        <w:rPr>
          <w:rFonts w:ascii="Arial" w:hAnsi="Arial" w:cs="Arial"/>
          <w:b/>
          <w:sz w:val="20"/>
          <w:szCs w:val="20"/>
        </w:rPr>
      </w:pPr>
      <w:r w:rsidRPr="0022060B">
        <w:rPr>
          <w:rFonts w:ascii="Arial" w:hAnsi="Arial" w:cs="Arial"/>
          <w:b/>
          <w:sz w:val="20"/>
          <w:szCs w:val="20"/>
        </w:rPr>
        <w:t>SEGUNDA CÂMARA</w:t>
      </w:r>
    </w:p>
    <w:p w:rsidR="00785DB0" w:rsidRDefault="00785DB0" w:rsidP="00816942">
      <w:pPr>
        <w:autoSpaceDE w:val="0"/>
        <w:autoSpaceDN w:val="0"/>
        <w:adjustRightInd w:val="0"/>
        <w:spacing w:after="0"/>
        <w:rPr>
          <w:rFonts w:ascii="Arial" w:hAnsi="Arial" w:cs="Arial"/>
          <w:sz w:val="20"/>
          <w:szCs w:val="20"/>
        </w:rPr>
      </w:pPr>
    </w:p>
    <w:p w:rsidR="00D00BE7" w:rsidRDefault="004F06AF" w:rsidP="0099393D">
      <w:pPr>
        <w:autoSpaceDE w:val="0"/>
        <w:autoSpaceDN w:val="0"/>
        <w:adjustRightInd w:val="0"/>
        <w:spacing w:after="0"/>
        <w:jc w:val="both"/>
        <w:rPr>
          <w:rFonts w:ascii="Arial" w:hAnsi="Arial" w:cs="Arial"/>
          <w:b/>
          <w:sz w:val="20"/>
          <w:szCs w:val="20"/>
        </w:rPr>
      </w:pPr>
      <w:r>
        <w:rPr>
          <w:rFonts w:ascii="Arial" w:hAnsi="Arial" w:cs="Arial"/>
          <w:b/>
          <w:sz w:val="20"/>
          <w:szCs w:val="20"/>
        </w:rPr>
        <w:lastRenderedPageBreak/>
        <w:t xml:space="preserve">3. </w:t>
      </w:r>
      <w:r w:rsidR="00D00BE7" w:rsidRPr="00EA1BF5">
        <w:rPr>
          <w:rFonts w:ascii="Arial" w:hAnsi="Arial" w:cs="Arial"/>
          <w:b/>
          <w:sz w:val="20"/>
          <w:szCs w:val="20"/>
        </w:rPr>
        <w:t>Aposentadoria. Possibilidade de cômputo em dobro da licença prêmio até a EC n° 20/1998 para fins de aposentadoria. Legalidade e registro com determinação e recomendação.</w:t>
      </w:r>
    </w:p>
    <w:p w:rsidR="00EA1BF5" w:rsidRDefault="00EA1BF5" w:rsidP="0099393D">
      <w:pPr>
        <w:autoSpaceDE w:val="0"/>
        <w:autoSpaceDN w:val="0"/>
        <w:adjustRightInd w:val="0"/>
        <w:spacing w:after="0"/>
        <w:jc w:val="both"/>
        <w:rPr>
          <w:rFonts w:ascii="Arial" w:hAnsi="Arial" w:cs="Arial"/>
          <w:b/>
          <w:sz w:val="20"/>
          <w:szCs w:val="20"/>
        </w:rPr>
      </w:pPr>
    </w:p>
    <w:p w:rsidR="00EA1BF5" w:rsidRDefault="00EA1BF5" w:rsidP="0099393D">
      <w:pPr>
        <w:autoSpaceDE w:val="0"/>
        <w:autoSpaceDN w:val="0"/>
        <w:adjustRightInd w:val="0"/>
        <w:spacing w:after="0"/>
        <w:jc w:val="both"/>
        <w:rPr>
          <w:rFonts w:ascii="Arial" w:hAnsi="Arial" w:cs="Arial"/>
          <w:color w:val="000000"/>
          <w:sz w:val="20"/>
          <w:szCs w:val="20"/>
        </w:rPr>
      </w:pPr>
      <w:r w:rsidRPr="00EA1BF5">
        <w:rPr>
          <w:rFonts w:ascii="Arial" w:hAnsi="Arial" w:cs="Arial"/>
          <w:color w:val="000000"/>
          <w:sz w:val="20"/>
          <w:szCs w:val="20"/>
        </w:rPr>
        <w:t xml:space="preserve">No que tange às </w:t>
      </w:r>
      <w:r w:rsidRPr="00EA1BF5">
        <w:rPr>
          <w:rFonts w:ascii="Arial,Italic" w:hAnsi="Arial,Italic" w:cs="Arial,Italic"/>
          <w:i/>
          <w:iCs/>
          <w:color w:val="000000"/>
          <w:sz w:val="20"/>
          <w:szCs w:val="20"/>
        </w:rPr>
        <w:t xml:space="preserve">“licenças prêmio não gozadas” </w:t>
      </w:r>
      <w:r w:rsidRPr="00EA1BF5">
        <w:rPr>
          <w:rFonts w:ascii="Arial" w:hAnsi="Arial" w:cs="Arial"/>
          <w:color w:val="000000"/>
          <w:sz w:val="20"/>
          <w:szCs w:val="20"/>
        </w:rPr>
        <w:t>contadas em dobro,</w:t>
      </w:r>
      <w:r>
        <w:rPr>
          <w:rFonts w:ascii="Arial" w:hAnsi="Arial" w:cs="Arial"/>
          <w:color w:val="000000"/>
          <w:sz w:val="20"/>
          <w:szCs w:val="20"/>
        </w:rPr>
        <w:t xml:space="preserve"> </w:t>
      </w:r>
      <w:r w:rsidRPr="00EA1BF5">
        <w:rPr>
          <w:rFonts w:ascii="Arial" w:hAnsi="Arial" w:cs="Arial"/>
          <w:color w:val="000000"/>
          <w:sz w:val="20"/>
          <w:szCs w:val="20"/>
        </w:rPr>
        <w:t xml:space="preserve">diferentemente do entendimento da </w:t>
      </w:r>
      <w:r>
        <w:rPr>
          <w:rFonts w:ascii="Arial" w:hAnsi="Arial" w:cs="Arial"/>
          <w:color w:val="000000"/>
          <w:sz w:val="20"/>
          <w:szCs w:val="20"/>
        </w:rPr>
        <w:t xml:space="preserve">unidade técnica </w:t>
      </w:r>
      <w:r w:rsidRPr="00EA1BF5">
        <w:rPr>
          <w:rFonts w:ascii="Arial" w:hAnsi="Arial" w:cs="Arial"/>
          <w:color w:val="000000"/>
          <w:sz w:val="20"/>
          <w:szCs w:val="20"/>
        </w:rPr>
        <w:t>de Gestão Municipal e do</w:t>
      </w:r>
      <w:r>
        <w:rPr>
          <w:rFonts w:ascii="Arial" w:hAnsi="Arial" w:cs="Arial"/>
          <w:color w:val="000000"/>
          <w:sz w:val="20"/>
          <w:szCs w:val="20"/>
        </w:rPr>
        <w:t xml:space="preserve"> </w:t>
      </w:r>
      <w:r w:rsidRPr="00EA1BF5">
        <w:rPr>
          <w:rFonts w:ascii="Arial" w:hAnsi="Arial" w:cs="Arial"/>
          <w:color w:val="000000"/>
          <w:sz w:val="20"/>
          <w:szCs w:val="20"/>
        </w:rPr>
        <w:t>Ministério Público de Contas, entend</w:t>
      </w:r>
      <w:r>
        <w:rPr>
          <w:rFonts w:ascii="Arial" w:hAnsi="Arial" w:cs="Arial"/>
          <w:color w:val="000000"/>
          <w:sz w:val="20"/>
          <w:szCs w:val="20"/>
        </w:rPr>
        <w:t xml:space="preserve">e-se </w:t>
      </w:r>
      <w:r w:rsidRPr="00EA1BF5">
        <w:rPr>
          <w:rFonts w:ascii="Arial" w:hAnsi="Arial" w:cs="Arial"/>
          <w:color w:val="000000"/>
          <w:sz w:val="20"/>
          <w:szCs w:val="20"/>
        </w:rPr>
        <w:t>necessário firmar posicionamento, no sentido</w:t>
      </w:r>
      <w:r>
        <w:rPr>
          <w:rFonts w:ascii="Arial" w:hAnsi="Arial" w:cs="Arial"/>
          <w:color w:val="000000"/>
          <w:sz w:val="20"/>
          <w:szCs w:val="20"/>
        </w:rPr>
        <w:t xml:space="preserve"> </w:t>
      </w:r>
      <w:r w:rsidRPr="00EA1BF5">
        <w:rPr>
          <w:rFonts w:ascii="Arial" w:hAnsi="Arial" w:cs="Arial"/>
          <w:color w:val="000000"/>
          <w:sz w:val="20"/>
          <w:szCs w:val="20"/>
        </w:rPr>
        <w:t xml:space="preserve">que da apreciação do art. 53 da </w:t>
      </w:r>
      <w:r w:rsidRPr="00EA1BF5">
        <w:rPr>
          <w:rFonts w:ascii="Arial" w:hAnsi="Arial" w:cs="Arial"/>
          <w:sz w:val="20"/>
          <w:szCs w:val="20"/>
        </w:rPr>
        <w:t>Lei Orgânica Municipal</w:t>
      </w:r>
      <w:r w:rsidRPr="00EA1BF5">
        <w:rPr>
          <w:rFonts w:ascii="Arial" w:hAnsi="Arial" w:cs="Arial"/>
          <w:color w:val="000000"/>
          <w:sz w:val="20"/>
          <w:szCs w:val="20"/>
        </w:rPr>
        <w:t>, combinado com o art. 19 do</w:t>
      </w:r>
      <w:r>
        <w:rPr>
          <w:rFonts w:ascii="Arial" w:hAnsi="Arial" w:cs="Arial"/>
          <w:color w:val="000000"/>
          <w:sz w:val="20"/>
          <w:szCs w:val="20"/>
        </w:rPr>
        <w:t xml:space="preserve"> </w:t>
      </w:r>
      <w:r w:rsidRPr="00EA1BF5">
        <w:rPr>
          <w:rFonts w:ascii="Arial" w:hAnsi="Arial" w:cs="Arial"/>
          <w:color w:val="000000"/>
          <w:sz w:val="20"/>
          <w:szCs w:val="20"/>
        </w:rPr>
        <w:t>Ato das Disposições Transitórias da referida norma, o servidor efetivamente tem</w:t>
      </w:r>
      <w:r>
        <w:rPr>
          <w:rFonts w:ascii="Arial" w:hAnsi="Arial" w:cs="Arial"/>
          <w:color w:val="000000"/>
          <w:sz w:val="20"/>
          <w:szCs w:val="20"/>
        </w:rPr>
        <w:t xml:space="preserve"> </w:t>
      </w:r>
      <w:r w:rsidRPr="00EA1BF5">
        <w:rPr>
          <w:rFonts w:ascii="Arial" w:hAnsi="Arial" w:cs="Arial"/>
          <w:color w:val="000000"/>
          <w:sz w:val="20"/>
          <w:szCs w:val="20"/>
        </w:rPr>
        <w:t>direito a contagem em dobro dos triênios desde a sua admissão na Municipalidade,</w:t>
      </w:r>
      <w:r>
        <w:rPr>
          <w:rFonts w:ascii="Arial" w:hAnsi="Arial" w:cs="Arial"/>
          <w:color w:val="000000"/>
          <w:sz w:val="20"/>
          <w:szCs w:val="20"/>
        </w:rPr>
        <w:t xml:space="preserve"> </w:t>
      </w:r>
      <w:proofErr w:type="spellStart"/>
      <w:r w:rsidRPr="00EA1BF5">
        <w:rPr>
          <w:rFonts w:ascii="Arial" w:hAnsi="Arial" w:cs="Arial"/>
          <w:color w:val="000000"/>
          <w:sz w:val="20"/>
          <w:szCs w:val="20"/>
        </w:rPr>
        <w:t>independente</w:t>
      </w:r>
      <w:proofErr w:type="spellEnd"/>
      <w:r w:rsidRPr="00EA1BF5">
        <w:rPr>
          <w:rFonts w:ascii="Arial" w:hAnsi="Arial" w:cs="Arial"/>
          <w:color w:val="000000"/>
          <w:sz w:val="20"/>
          <w:szCs w:val="20"/>
        </w:rPr>
        <w:t xml:space="preserve"> de seu vínculo celetista ou estatutário, devendo tal contagem ser de</w:t>
      </w:r>
      <w:r>
        <w:rPr>
          <w:rFonts w:ascii="Arial" w:hAnsi="Arial" w:cs="Arial"/>
          <w:color w:val="000000"/>
          <w:sz w:val="20"/>
          <w:szCs w:val="20"/>
        </w:rPr>
        <w:t xml:space="preserve"> </w:t>
      </w:r>
      <w:r w:rsidRPr="00EA1BF5">
        <w:rPr>
          <w:rFonts w:ascii="Arial" w:hAnsi="Arial" w:cs="Arial"/>
          <w:color w:val="000000"/>
          <w:sz w:val="20"/>
          <w:szCs w:val="20"/>
        </w:rPr>
        <w:t>período anterior à Emenda Constitucional nº 20/98 de 15/12/1998, que não mais</w:t>
      </w:r>
      <w:r>
        <w:rPr>
          <w:rFonts w:ascii="Arial" w:hAnsi="Arial" w:cs="Arial"/>
          <w:color w:val="000000"/>
          <w:sz w:val="20"/>
          <w:szCs w:val="20"/>
        </w:rPr>
        <w:t xml:space="preserve"> </w:t>
      </w:r>
      <w:r w:rsidRPr="00EA1BF5">
        <w:rPr>
          <w:rFonts w:ascii="Arial" w:hAnsi="Arial" w:cs="Arial"/>
          <w:color w:val="000000"/>
          <w:sz w:val="20"/>
          <w:szCs w:val="20"/>
        </w:rPr>
        <w:t>permitiu o cômputo de tempo ficto para fins de aposentadoria.</w:t>
      </w:r>
    </w:p>
    <w:p w:rsidR="00EA1BF5" w:rsidRPr="00EA1BF5" w:rsidRDefault="00EA1BF5" w:rsidP="0099393D">
      <w:pPr>
        <w:autoSpaceDE w:val="0"/>
        <w:autoSpaceDN w:val="0"/>
        <w:adjustRightInd w:val="0"/>
        <w:spacing w:after="0"/>
        <w:jc w:val="both"/>
        <w:rPr>
          <w:rFonts w:ascii="Arial" w:hAnsi="Arial" w:cs="Arial"/>
          <w:color w:val="000000"/>
          <w:sz w:val="20"/>
          <w:szCs w:val="20"/>
        </w:rPr>
      </w:pPr>
    </w:p>
    <w:p w:rsidR="00EA1BF5" w:rsidRDefault="00EA1BF5" w:rsidP="0099393D">
      <w:pPr>
        <w:autoSpaceDE w:val="0"/>
        <w:autoSpaceDN w:val="0"/>
        <w:adjustRightInd w:val="0"/>
        <w:spacing w:after="0"/>
        <w:jc w:val="both"/>
        <w:rPr>
          <w:rFonts w:ascii="Arial" w:hAnsi="Arial" w:cs="Arial"/>
          <w:sz w:val="20"/>
          <w:szCs w:val="20"/>
        </w:rPr>
      </w:pPr>
      <w:r w:rsidRPr="00EA1BF5">
        <w:rPr>
          <w:rFonts w:ascii="Arial" w:hAnsi="Arial" w:cs="Arial"/>
          <w:color w:val="000000"/>
          <w:sz w:val="20"/>
          <w:szCs w:val="20"/>
        </w:rPr>
        <w:t>Tal entendimento está em consonância com o recente julgamento do</w:t>
      </w:r>
      <w:r>
        <w:rPr>
          <w:rFonts w:ascii="Arial" w:hAnsi="Arial" w:cs="Arial"/>
          <w:color w:val="000000"/>
          <w:sz w:val="20"/>
          <w:szCs w:val="20"/>
        </w:rPr>
        <w:t xml:space="preserve"> </w:t>
      </w:r>
      <w:r w:rsidRPr="00EA1BF5">
        <w:rPr>
          <w:rFonts w:ascii="Arial" w:hAnsi="Arial" w:cs="Arial"/>
          <w:sz w:val="20"/>
          <w:szCs w:val="20"/>
        </w:rPr>
        <w:t xml:space="preserve">Acórdão nº 322/18 </w:t>
      </w:r>
      <w:r>
        <w:rPr>
          <w:rFonts w:ascii="Arial" w:hAnsi="Arial" w:cs="Arial"/>
          <w:sz w:val="20"/>
          <w:szCs w:val="20"/>
        </w:rPr>
        <w:t>-</w:t>
      </w:r>
      <w:r w:rsidRPr="00EA1BF5">
        <w:rPr>
          <w:rFonts w:ascii="Arial" w:hAnsi="Arial" w:cs="Arial"/>
          <w:sz w:val="20"/>
          <w:szCs w:val="20"/>
        </w:rPr>
        <w:t xml:space="preserve"> Tribunal Pleno </w:t>
      </w:r>
      <w:r>
        <w:rPr>
          <w:rFonts w:ascii="Arial" w:hAnsi="Arial" w:cs="Arial"/>
          <w:color w:val="000000"/>
          <w:sz w:val="20"/>
          <w:szCs w:val="20"/>
        </w:rPr>
        <w:t>(P</w:t>
      </w:r>
      <w:r w:rsidRPr="00EA1BF5">
        <w:rPr>
          <w:rFonts w:ascii="Arial" w:hAnsi="Arial" w:cs="Arial"/>
          <w:color w:val="000000"/>
          <w:sz w:val="20"/>
          <w:szCs w:val="20"/>
        </w:rPr>
        <w:t>rocesso nº 286301/17), que trata de Recurso</w:t>
      </w:r>
      <w:r>
        <w:rPr>
          <w:rFonts w:ascii="Arial" w:hAnsi="Arial" w:cs="Arial"/>
          <w:color w:val="000000"/>
          <w:sz w:val="20"/>
          <w:szCs w:val="20"/>
        </w:rPr>
        <w:t xml:space="preserve"> </w:t>
      </w:r>
      <w:r w:rsidRPr="00EA1BF5">
        <w:rPr>
          <w:rFonts w:ascii="Arial" w:hAnsi="Arial" w:cs="Arial"/>
          <w:color w:val="000000"/>
          <w:sz w:val="20"/>
          <w:szCs w:val="20"/>
        </w:rPr>
        <w:t xml:space="preserve">de Revista interposto pelo Ministério Público de Contas em face do registro de </w:t>
      </w:r>
      <w:r w:rsidRPr="00EA1BF5">
        <w:rPr>
          <w:rFonts w:ascii="Arial" w:hAnsi="Arial" w:cs="Arial"/>
          <w:sz w:val="20"/>
          <w:szCs w:val="20"/>
        </w:rPr>
        <w:t>aposentadoria de servidora d</w:t>
      </w:r>
      <w:r>
        <w:rPr>
          <w:rFonts w:ascii="Arial" w:hAnsi="Arial" w:cs="Arial"/>
          <w:sz w:val="20"/>
          <w:szCs w:val="20"/>
        </w:rPr>
        <w:t>e determinada urbe</w:t>
      </w:r>
      <w:r w:rsidRPr="00EA1BF5">
        <w:rPr>
          <w:rFonts w:ascii="Arial" w:hAnsi="Arial" w:cs="Arial"/>
          <w:sz w:val="20"/>
          <w:szCs w:val="20"/>
        </w:rPr>
        <w:t xml:space="preserve">, ocasião em que </w:t>
      </w:r>
      <w:r>
        <w:rPr>
          <w:rFonts w:ascii="Arial" w:hAnsi="Arial" w:cs="Arial"/>
          <w:sz w:val="20"/>
          <w:szCs w:val="20"/>
        </w:rPr>
        <w:t xml:space="preserve">foi manifestado entendimento </w:t>
      </w:r>
      <w:r w:rsidRPr="00EA1BF5">
        <w:rPr>
          <w:rFonts w:ascii="Arial" w:hAnsi="Arial" w:cs="Arial"/>
          <w:sz w:val="20"/>
          <w:szCs w:val="20"/>
        </w:rPr>
        <w:t>no sentido de que o parágrafo único do art. 53 prevê a possibilidade</w:t>
      </w:r>
      <w:r>
        <w:rPr>
          <w:rFonts w:ascii="Arial" w:hAnsi="Arial" w:cs="Arial"/>
          <w:sz w:val="20"/>
          <w:szCs w:val="20"/>
        </w:rPr>
        <w:t xml:space="preserve"> </w:t>
      </w:r>
      <w:r w:rsidRPr="00EA1BF5">
        <w:rPr>
          <w:rFonts w:ascii="Arial" w:hAnsi="Arial" w:cs="Arial"/>
          <w:sz w:val="20"/>
          <w:szCs w:val="20"/>
        </w:rPr>
        <w:t>de retroação da lei, sem fazer qualquer distinção de regimes jurídicos, ou seja, não</w:t>
      </w:r>
      <w:r>
        <w:rPr>
          <w:rFonts w:ascii="Arial" w:hAnsi="Arial" w:cs="Arial"/>
          <w:sz w:val="20"/>
          <w:szCs w:val="20"/>
        </w:rPr>
        <w:t xml:space="preserve"> </w:t>
      </w:r>
      <w:r w:rsidRPr="00EA1BF5">
        <w:rPr>
          <w:rFonts w:ascii="Arial" w:hAnsi="Arial" w:cs="Arial"/>
          <w:sz w:val="20"/>
          <w:szCs w:val="20"/>
        </w:rPr>
        <w:t>há impedimento ao cômputo de período regido pela CLT, como é o caso dos autos.</w:t>
      </w:r>
    </w:p>
    <w:p w:rsidR="00EA1BF5" w:rsidRPr="00EA1BF5" w:rsidRDefault="00EA1BF5" w:rsidP="0099393D">
      <w:pPr>
        <w:autoSpaceDE w:val="0"/>
        <w:autoSpaceDN w:val="0"/>
        <w:adjustRightInd w:val="0"/>
        <w:spacing w:after="0"/>
        <w:jc w:val="both"/>
        <w:rPr>
          <w:rFonts w:ascii="Arial" w:hAnsi="Arial" w:cs="Arial"/>
          <w:sz w:val="20"/>
          <w:szCs w:val="20"/>
        </w:rPr>
      </w:pPr>
    </w:p>
    <w:p w:rsidR="00EA1BF5" w:rsidRDefault="00EA1BF5" w:rsidP="0099393D">
      <w:pPr>
        <w:autoSpaceDE w:val="0"/>
        <w:autoSpaceDN w:val="0"/>
        <w:adjustRightInd w:val="0"/>
        <w:spacing w:after="0"/>
        <w:jc w:val="both"/>
        <w:rPr>
          <w:rFonts w:ascii="Arial" w:hAnsi="Arial" w:cs="Arial"/>
          <w:sz w:val="20"/>
          <w:szCs w:val="20"/>
        </w:rPr>
      </w:pPr>
      <w:r w:rsidRPr="00EA1BF5">
        <w:rPr>
          <w:rFonts w:ascii="Arial" w:hAnsi="Arial" w:cs="Arial"/>
          <w:sz w:val="20"/>
          <w:szCs w:val="20"/>
        </w:rPr>
        <w:t xml:space="preserve">Outrossim, </w:t>
      </w:r>
      <w:r>
        <w:rPr>
          <w:rFonts w:ascii="Arial" w:hAnsi="Arial" w:cs="Arial"/>
          <w:sz w:val="20"/>
          <w:szCs w:val="20"/>
        </w:rPr>
        <w:t xml:space="preserve">consignou-se </w:t>
      </w:r>
      <w:r w:rsidRPr="00EA1BF5">
        <w:rPr>
          <w:rFonts w:ascii="Arial" w:hAnsi="Arial" w:cs="Arial"/>
          <w:sz w:val="20"/>
          <w:szCs w:val="20"/>
        </w:rPr>
        <w:t>que “</w:t>
      </w:r>
      <w:r w:rsidRPr="00EA1BF5">
        <w:rPr>
          <w:rFonts w:ascii="Arial,Italic" w:hAnsi="Arial,Italic" w:cs="Arial,Italic"/>
          <w:i/>
          <w:iCs/>
          <w:sz w:val="20"/>
          <w:szCs w:val="20"/>
        </w:rPr>
        <w:t>tal forma de aplicação da lei apresenta</w:t>
      </w:r>
      <w:r>
        <w:rPr>
          <w:rFonts w:ascii="Arial,Italic" w:hAnsi="Arial,Italic" w:cs="Arial,Italic"/>
          <w:i/>
          <w:iCs/>
          <w:sz w:val="20"/>
          <w:szCs w:val="20"/>
        </w:rPr>
        <w:t xml:space="preserve"> </w:t>
      </w:r>
      <w:r w:rsidRPr="00EA1BF5">
        <w:rPr>
          <w:rFonts w:ascii="Arial,Italic" w:hAnsi="Arial,Italic" w:cs="Arial,Italic"/>
          <w:i/>
          <w:iCs/>
          <w:sz w:val="20"/>
          <w:szCs w:val="20"/>
        </w:rPr>
        <w:t>coerência com a previsão da modificação de regime, mediante o estabelecimento de</w:t>
      </w:r>
      <w:r>
        <w:rPr>
          <w:rFonts w:ascii="Arial,Italic" w:hAnsi="Arial,Italic" w:cs="Arial,Italic"/>
          <w:i/>
          <w:iCs/>
          <w:sz w:val="20"/>
          <w:szCs w:val="20"/>
        </w:rPr>
        <w:t xml:space="preserve"> </w:t>
      </w:r>
      <w:r w:rsidRPr="00EA1BF5">
        <w:rPr>
          <w:rFonts w:ascii="Arial,Italic" w:hAnsi="Arial,Italic" w:cs="Arial,Italic"/>
          <w:i/>
          <w:iCs/>
          <w:sz w:val="20"/>
          <w:szCs w:val="20"/>
        </w:rPr>
        <w:t>regime jurídico único, e a não distinção dos servidores, considerados pela própria lei</w:t>
      </w:r>
      <w:r>
        <w:rPr>
          <w:rFonts w:ascii="Arial,Italic" w:hAnsi="Arial,Italic" w:cs="Arial,Italic"/>
          <w:i/>
          <w:iCs/>
          <w:sz w:val="20"/>
          <w:szCs w:val="20"/>
        </w:rPr>
        <w:t xml:space="preserve"> </w:t>
      </w:r>
      <w:r w:rsidRPr="00EA1BF5">
        <w:rPr>
          <w:rFonts w:ascii="Arial,Italic" w:hAnsi="Arial,Italic" w:cs="Arial,Italic"/>
          <w:i/>
          <w:iCs/>
          <w:sz w:val="20"/>
          <w:szCs w:val="20"/>
        </w:rPr>
        <w:t>estáveis e efetivos, com a concessão dos mesmos direitos</w:t>
      </w:r>
      <w:r w:rsidRPr="00EA1BF5">
        <w:rPr>
          <w:rFonts w:ascii="Arial" w:hAnsi="Arial" w:cs="Arial"/>
          <w:sz w:val="20"/>
          <w:szCs w:val="20"/>
        </w:rPr>
        <w:t>”.</w:t>
      </w:r>
      <w:r>
        <w:rPr>
          <w:rFonts w:ascii="Arial" w:hAnsi="Arial" w:cs="Arial"/>
          <w:sz w:val="20"/>
          <w:szCs w:val="20"/>
        </w:rPr>
        <w:t xml:space="preserve"> </w:t>
      </w:r>
    </w:p>
    <w:p w:rsidR="00EA1BF5" w:rsidRPr="00EA1BF5" w:rsidRDefault="00EA1BF5" w:rsidP="0099393D">
      <w:pPr>
        <w:autoSpaceDE w:val="0"/>
        <w:autoSpaceDN w:val="0"/>
        <w:adjustRightInd w:val="0"/>
        <w:spacing w:after="0"/>
        <w:jc w:val="both"/>
        <w:rPr>
          <w:rFonts w:ascii="Arial" w:hAnsi="Arial" w:cs="Arial"/>
          <w:sz w:val="20"/>
          <w:szCs w:val="20"/>
        </w:rPr>
      </w:pPr>
    </w:p>
    <w:p w:rsidR="00EA1BF5" w:rsidRDefault="00EA1BF5" w:rsidP="0099393D">
      <w:pPr>
        <w:autoSpaceDE w:val="0"/>
        <w:autoSpaceDN w:val="0"/>
        <w:adjustRightInd w:val="0"/>
        <w:spacing w:after="0"/>
        <w:jc w:val="both"/>
        <w:rPr>
          <w:rFonts w:ascii="Arial" w:hAnsi="Arial" w:cs="Arial"/>
          <w:sz w:val="20"/>
          <w:szCs w:val="20"/>
        </w:rPr>
      </w:pPr>
      <w:r w:rsidRPr="00EA1BF5">
        <w:rPr>
          <w:rFonts w:ascii="Arial" w:hAnsi="Arial" w:cs="Arial"/>
          <w:sz w:val="20"/>
          <w:szCs w:val="20"/>
        </w:rPr>
        <w:t>Diante disso, ao constatar que o servidor foi admitido no Município</w:t>
      </w:r>
      <w:r>
        <w:rPr>
          <w:rFonts w:ascii="Arial" w:hAnsi="Arial" w:cs="Arial"/>
          <w:sz w:val="20"/>
          <w:szCs w:val="20"/>
        </w:rPr>
        <w:t xml:space="preserve"> </w:t>
      </w:r>
      <w:r w:rsidRPr="00EA1BF5">
        <w:rPr>
          <w:rFonts w:ascii="Arial" w:hAnsi="Arial" w:cs="Arial"/>
          <w:sz w:val="20"/>
          <w:szCs w:val="20"/>
        </w:rPr>
        <w:t>em 01/04/1977 e inscrito no Regime Próprio de Previdência em 01/08/1982,</w:t>
      </w:r>
      <w:r>
        <w:rPr>
          <w:rFonts w:ascii="Arial" w:hAnsi="Arial" w:cs="Arial"/>
          <w:sz w:val="20"/>
          <w:szCs w:val="20"/>
        </w:rPr>
        <w:t xml:space="preserve"> </w:t>
      </w:r>
      <w:r w:rsidRPr="00EA1BF5">
        <w:rPr>
          <w:rFonts w:ascii="Arial" w:hAnsi="Arial" w:cs="Arial"/>
          <w:sz w:val="20"/>
          <w:szCs w:val="20"/>
        </w:rPr>
        <w:t>conforme certidão de tempo de contribuição, o servidor completou mais</w:t>
      </w:r>
      <w:r>
        <w:rPr>
          <w:rFonts w:ascii="Arial" w:hAnsi="Arial" w:cs="Arial"/>
          <w:sz w:val="20"/>
          <w:szCs w:val="20"/>
        </w:rPr>
        <w:t xml:space="preserve"> </w:t>
      </w:r>
      <w:r w:rsidRPr="00EA1BF5">
        <w:rPr>
          <w:rFonts w:ascii="Arial" w:hAnsi="Arial" w:cs="Arial"/>
          <w:sz w:val="20"/>
          <w:szCs w:val="20"/>
        </w:rPr>
        <w:t>de 21 anos de exercício, até dezembro de 1998, tendo, assim, direito a 07 licenças</w:t>
      </w:r>
      <w:r>
        <w:rPr>
          <w:rFonts w:ascii="Arial" w:hAnsi="Arial" w:cs="Arial"/>
          <w:sz w:val="20"/>
          <w:szCs w:val="20"/>
        </w:rPr>
        <w:t xml:space="preserve"> </w:t>
      </w:r>
      <w:r w:rsidRPr="00EA1BF5">
        <w:rPr>
          <w:rFonts w:ascii="Arial" w:hAnsi="Arial" w:cs="Arial"/>
          <w:sz w:val="20"/>
          <w:szCs w:val="20"/>
        </w:rPr>
        <w:t>especiais de três meses.</w:t>
      </w:r>
    </w:p>
    <w:p w:rsidR="00EA1BF5" w:rsidRPr="00EA1BF5" w:rsidRDefault="00EA1BF5" w:rsidP="0099393D">
      <w:pPr>
        <w:autoSpaceDE w:val="0"/>
        <w:autoSpaceDN w:val="0"/>
        <w:adjustRightInd w:val="0"/>
        <w:spacing w:after="0"/>
        <w:jc w:val="both"/>
        <w:rPr>
          <w:rFonts w:ascii="Arial" w:hAnsi="Arial" w:cs="Arial"/>
          <w:sz w:val="20"/>
          <w:szCs w:val="20"/>
        </w:rPr>
      </w:pPr>
    </w:p>
    <w:p w:rsidR="00EA1BF5" w:rsidRDefault="00EA1BF5" w:rsidP="0099393D">
      <w:pPr>
        <w:autoSpaceDE w:val="0"/>
        <w:autoSpaceDN w:val="0"/>
        <w:adjustRightInd w:val="0"/>
        <w:spacing w:after="0"/>
        <w:jc w:val="both"/>
        <w:rPr>
          <w:rFonts w:ascii="Arial" w:hAnsi="Arial" w:cs="Arial"/>
          <w:sz w:val="20"/>
          <w:szCs w:val="20"/>
        </w:rPr>
      </w:pPr>
      <w:r w:rsidRPr="00EA1BF5">
        <w:rPr>
          <w:rFonts w:ascii="Arial" w:hAnsi="Arial" w:cs="Arial"/>
          <w:sz w:val="20"/>
          <w:szCs w:val="20"/>
        </w:rPr>
        <w:t>Logo, uma vez que não foram usufruídas tais licenças especiais, o</w:t>
      </w:r>
      <w:r>
        <w:rPr>
          <w:rFonts w:ascii="Arial" w:hAnsi="Arial" w:cs="Arial"/>
          <w:sz w:val="20"/>
          <w:szCs w:val="20"/>
        </w:rPr>
        <w:t xml:space="preserve"> </w:t>
      </w:r>
      <w:r w:rsidRPr="00EA1BF5">
        <w:rPr>
          <w:rFonts w:ascii="Arial" w:hAnsi="Arial" w:cs="Arial"/>
          <w:sz w:val="20"/>
          <w:szCs w:val="20"/>
        </w:rPr>
        <w:t>servidor tem o direito de conta-las em dobro, importando em um tempo ficto de 03</w:t>
      </w:r>
      <w:r>
        <w:rPr>
          <w:rFonts w:ascii="Arial" w:hAnsi="Arial" w:cs="Arial"/>
          <w:sz w:val="20"/>
          <w:szCs w:val="20"/>
        </w:rPr>
        <w:t xml:space="preserve"> </w:t>
      </w:r>
      <w:r w:rsidRPr="00EA1BF5">
        <w:rPr>
          <w:rFonts w:ascii="Arial" w:hAnsi="Arial" w:cs="Arial"/>
          <w:sz w:val="20"/>
          <w:szCs w:val="20"/>
        </w:rPr>
        <w:t xml:space="preserve">anos e 06 meses ou 1275 dias, cálculo compatível com o indicado na certidão </w:t>
      </w:r>
      <w:r>
        <w:rPr>
          <w:rFonts w:ascii="Arial" w:hAnsi="Arial" w:cs="Arial"/>
          <w:sz w:val="20"/>
          <w:szCs w:val="20"/>
        </w:rPr>
        <w:t xml:space="preserve">anexada aos autos. </w:t>
      </w:r>
    </w:p>
    <w:p w:rsidR="0099393D" w:rsidRDefault="0099393D" w:rsidP="0099393D">
      <w:pPr>
        <w:autoSpaceDE w:val="0"/>
        <w:autoSpaceDN w:val="0"/>
        <w:adjustRightInd w:val="0"/>
        <w:spacing w:after="0"/>
        <w:jc w:val="both"/>
        <w:rPr>
          <w:rFonts w:ascii="Arial" w:hAnsi="Arial" w:cs="Arial"/>
          <w:sz w:val="20"/>
          <w:szCs w:val="20"/>
        </w:rPr>
      </w:pPr>
    </w:p>
    <w:p w:rsidR="0099393D" w:rsidRPr="00EA1BF5" w:rsidRDefault="0099393D" w:rsidP="0099393D">
      <w:pPr>
        <w:autoSpaceDE w:val="0"/>
        <w:autoSpaceDN w:val="0"/>
        <w:adjustRightInd w:val="0"/>
        <w:spacing w:after="0"/>
        <w:jc w:val="both"/>
        <w:rPr>
          <w:rFonts w:ascii="Arial" w:hAnsi="Arial" w:cs="Arial"/>
          <w:b/>
          <w:sz w:val="20"/>
          <w:szCs w:val="20"/>
        </w:rPr>
      </w:pPr>
      <w:r>
        <w:rPr>
          <w:rFonts w:ascii="Arial" w:hAnsi="Arial" w:cs="Arial"/>
          <w:sz w:val="20"/>
          <w:szCs w:val="20"/>
        </w:rPr>
        <w:t xml:space="preserve">Processo n° 283983/12 - </w:t>
      </w:r>
      <w:hyperlink r:id="rId10" w:history="1">
        <w:r w:rsidRPr="003010CE">
          <w:rPr>
            <w:rStyle w:val="Hyperlink"/>
            <w:rFonts w:ascii="Arial" w:hAnsi="Arial" w:cs="Arial"/>
            <w:sz w:val="20"/>
            <w:szCs w:val="20"/>
          </w:rPr>
          <w:t>Acórdão n° 2254/18 - Segunda Câmara</w:t>
        </w:r>
      </w:hyperlink>
      <w:r>
        <w:rPr>
          <w:rFonts w:ascii="Arial" w:hAnsi="Arial" w:cs="Arial"/>
          <w:sz w:val="20"/>
          <w:szCs w:val="20"/>
        </w:rPr>
        <w:t xml:space="preserve"> - Rel. Cons. Ivens Zschoerper Linhares. </w:t>
      </w:r>
    </w:p>
    <w:p w:rsidR="0099393D" w:rsidRDefault="0099393D" w:rsidP="0099393D">
      <w:pPr>
        <w:autoSpaceDE w:val="0"/>
        <w:autoSpaceDN w:val="0"/>
        <w:adjustRightInd w:val="0"/>
        <w:spacing w:after="0"/>
        <w:jc w:val="both"/>
        <w:rPr>
          <w:rFonts w:ascii="Arial" w:hAnsi="Arial" w:cs="Arial"/>
          <w:b/>
          <w:sz w:val="20"/>
          <w:szCs w:val="20"/>
        </w:rPr>
      </w:pPr>
    </w:p>
    <w:p w:rsidR="0099393D" w:rsidRDefault="004F06AF" w:rsidP="0099393D">
      <w:pPr>
        <w:autoSpaceDE w:val="0"/>
        <w:autoSpaceDN w:val="0"/>
        <w:adjustRightInd w:val="0"/>
        <w:spacing w:after="0"/>
        <w:jc w:val="both"/>
        <w:rPr>
          <w:rFonts w:ascii="Arial" w:hAnsi="Arial" w:cs="Arial"/>
          <w:b/>
          <w:sz w:val="20"/>
          <w:szCs w:val="20"/>
        </w:rPr>
      </w:pPr>
      <w:r>
        <w:rPr>
          <w:rFonts w:ascii="Arial" w:hAnsi="Arial" w:cs="Arial"/>
          <w:b/>
          <w:sz w:val="20"/>
          <w:szCs w:val="20"/>
        </w:rPr>
        <w:t xml:space="preserve">4. </w:t>
      </w:r>
      <w:r w:rsidR="0099393D" w:rsidRPr="0099393D">
        <w:rPr>
          <w:rFonts w:ascii="Arial" w:hAnsi="Arial" w:cs="Arial"/>
          <w:b/>
          <w:sz w:val="20"/>
          <w:szCs w:val="20"/>
        </w:rPr>
        <w:t xml:space="preserve">Tomada de Contas. Recursos repassados em dezembro de 1994. Inviabilidade de </w:t>
      </w:r>
      <w:proofErr w:type="spellStart"/>
      <w:r w:rsidR="0099393D" w:rsidRPr="0099393D">
        <w:rPr>
          <w:rFonts w:ascii="Arial" w:hAnsi="Arial" w:cs="Arial"/>
          <w:b/>
          <w:sz w:val="20"/>
          <w:szCs w:val="20"/>
        </w:rPr>
        <w:t>reinstrução</w:t>
      </w:r>
      <w:proofErr w:type="spellEnd"/>
      <w:r w:rsidR="0099393D" w:rsidRPr="0099393D">
        <w:rPr>
          <w:rFonts w:ascii="Arial" w:hAnsi="Arial" w:cs="Arial"/>
          <w:b/>
          <w:sz w:val="20"/>
          <w:szCs w:val="20"/>
        </w:rPr>
        <w:t xml:space="preserve"> processual após o decurso de quase 24 anos sem o oportuno chamamento dos responsáveis ao processo, sob pena de ofensa aos princípios constitucionais do contraditório, da ampla defesa e da razoável duração do processo. Contas iliquidáveis. Trancamento do processo e encerramento.</w:t>
      </w:r>
    </w:p>
    <w:p w:rsidR="0099393D" w:rsidRPr="002B2DF4" w:rsidRDefault="0099393D" w:rsidP="002B2DF4">
      <w:pPr>
        <w:autoSpaceDE w:val="0"/>
        <w:autoSpaceDN w:val="0"/>
        <w:adjustRightInd w:val="0"/>
        <w:spacing w:after="0"/>
        <w:jc w:val="both"/>
        <w:rPr>
          <w:rFonts w:ascii="Arial" w:hAnsi="Arial" w:cs="Arial"/>
          <w:b/>
          <w:sz w:val="20"/>
          <w:szCs w:val="20"/>
        </w:rPr>
      </w:pPr>
    </w:p>
    <w:p w:rsidR="002B2DF4" w:rsidRDefault="002B2DF4" w:rsidP="00D513ED">
      <w:pPr>
        <w:autoSpaceDE w:val="0"/>
        <w:autoSpaceDN w:val="0"/>
        <w:adjustRightInd w:val="0"/>
        <w:spacing w:after="0"/>
        <w:jc w:val="both"/>
        <w:rPr>
          <w:rFonts w:ascii="Arial" w:hAnsi="Arial" w:cs="Arial"/>
          <w:sz w:val="20"/>
          <w:szCs w:val="20"/>
        </w:rPr>
      </w:pPr>
      <w:r w:rsidRPr="002B2DF4">
        <w:rPr>
          <w:rFonts w:ascii="Arial" w:hAnsi="Arial" w:cs="Arial"/>
          <w:sz w:val="20"/>
          <w:szCs w:val="20"/>
        </w:rPr>
        <w:t>A</w:t>
      </w:r>
      <w:r>
        <w:rPr>
          <w:rFonts w:ascii="Arial" w:hAnsi="Arial" w:cs="Arial"/>
          <w:sz w:val="20"/>
          <w:szCs w:val="20"/>
        </w:rPr>
        <w:t xml:space="preserve"> </w:t>
      </w:r>
      <w:r w:rsidRPr="002B2DF4">
        <w:rPr>
          <w:rFonts w:ascii="Arial" w:hAnsi="Arial" w:cs="Arial"/>
          <w:sz w:val="20"/>
          <w:szCs w:val="20"/>
        </w:rPr>
        <w:t>realização de nova citação, passados quase 24</w:t>
      </w:r>
      <w:r>
        <w:rPr>
          <w:rFonts w:ascii="Arial" w:hAnsi="Arial" w:cs="Arial"/>
          <w:sz w:val="20"/>
          <w:szCs w:val="20"/>
        </w:rPr>
        <w:t xml:space="preserve"> </w:t>
      </w:r>
      <w:r w:rsidRPr="002B2DF4">
        <w:rPr>
          <w:rFonts w:ascii="Arial" w:hAnsi="Arial" w:cs="Arial"/>
          <w:sz w:val="20"/>
          <w:szCs w:val="20"/>
        </w:rPr>
        <w:t>anos da data dos repasses, afrontaria o princípio da razoável duração dos</w:t>
      </w:r>
      <w:r>
        <w:rPr>
          <w:rFonts w:ascii="Arial" w:hAnsi="Arial" w:cs="Arial"/>
          <w:sz w:val="20"/>
          <w:szCs w:val="20"/>
        </w:rPr>
        <w:t xml:space="preserve"> </w:t>
      </w:r>
      <w:r w:rsidRPr="002B2DF4">
        <w:rPr>
          <w:rFonts w:ascii="Arial" w:hAnsi="Arial" w:cs="Arial"/>
          <w:sz w:val="20"/>
          <w:szCs w:val="20"/>
        </w:rPr>
        <w:t>processos. Ademais, ainda que facultada a defesa, é possível concluir que, dado o</w:t>
      </w:r>
      <w:r>
        <w:rPr>
          <w:rFonts w:ascii="Arial" w:hAnsi="Arial" w:cs="Arial"/>
          <w:sz w:val="20"/>
          <w:szCs w:val="20"/>
        </w:rPr>
        <w:t xml:space="preserve"> </w:t>
      </w:r>
      <w:r w:rsidRPr="002B2DF4">
        <w:rPr>
          <w:rFonts w:ascii="Arial" w:hAnsi="Arial" w:cs="Arial"/>
          <w:sz w:val="20"/>
          <w:szCs w:val="20"/>
        </w:rPr>
        <w:t>longo intervalo de tempo decorrido, restaria sobremaneira dificultada a busca por</w:t>
      </w:r>
      <w:r>
        <w:rPr>
          <w:rFonts w:ascii="Arial" w:hAnsi="Arial" w:cs="Arial"/>
          <w:sz w:val="20"/>
          <w:szCs w:val="20"/>
        </w:rPr>
        <w:t xml:space="preserve"> </w:t>
      </w:r>
      <w:r w:rsidRPr="002B2DF4">
        <w:rPr>
          <w:rFonts w:ascii="Arial" w:hAnsi="Arial" w:cs="Arial"/>
          <w:sz w:val="20"/>
          <w:szCs w:val="20"/>
        </w:rPr>
        <w:t>documentos que pudessem comprovar a regularidade da aplicação dos valores</w:t>
      </w:r>
      <w:r>
        <w:rPr>
          <w:rFonts w:ascii="Arial" w:hAnsi="Arial" w:cs="Arial"/>
          <w:sz w:val="20"/>
          <w:szCs w:val="20"/>
        </w:rPr>
        <w:t xml:space="preserve"> </w:t>
      </w:r>
      <w:r w:rsidRPr="002B2DF4">
        <w:rPr>
          <w:rFonts w:ascii="Arial" w:hAnsi="Arial" w:cs="Arial"/>
          <w:sz w:val="20"/>
          <w:szCs w:val="20"/>
        </w:rPr>
        <w:t xml:space="preserve">repassados, por motivos alheios à vontade dos responsáveis pelas contas. </w:t>
      </w:r>
    </w:p>
    <w:p w:rsidR="002B2DF4" w:rsidRDefault="002B2DF4" w:rsidP="00D513ED">
      <w:pPr>
        <w:autoSpaceDE w:val="0"/>
        <w:autoSpaceDN w:val="0"/>
        <w:adjustRightInd w:val="0"/>
        <w:spacing w:after="0"/>
        <w:jc w:val="both"/>
        <w:rPr>
          <w:rFonts w:ascii="Arial" w:hAnsi="Arial" w:cs="Arial"/>
          <w:sz w:val="20"/>
          <w:szCs w:val="20"/>
        </w:rPr>
      </w:pPr>
    </w:p>
    <w:p w:rsidR="002B2DF4" w:rsidRDefault="002B2DF4" w:rsidP="00D513ED">
      <w:pPr>
        <w:autoSpaceDE w:val="0"/>
        <w:autoSpaceDN w:val="0"/>
        <w:adjustRightInd w:val="0"/>
        <w:spacing w:after="0"/>
        <w:jc w:val="both"/>
        <w:rPr>
          <w:rFonts w:ascii="Arial" w:hAnsi="Arial" w:cs="Arial"/>
          <w:sz w:val="20"/>
          <w:szCs w:val="20"/>
        </w:rPr>
      </w:pPr>
      <w:r w:rsidRPr="002B2DF4">
        <w:rPr>
          <w:rFonts w:ascii="Arial" w:hAnsi="Arial" w:cs="Arial"/>
          <w:sz w:val="20"/>
          <w:szCs w:val="20"/>
        </w:rPr>
        <w:t>Portanto,</w:t>
      </w:r>
      <w:r>
        <w:rPr>
          <w:rFonts w:ascii="Arial" w:hAnsi="Arial" w:cs="Arial"/>
          <w:sz w:val="20"/>
          <w:szCs w:val="20"/>
        </w:rPr>
        <w:t xml:space="preserve"> </w:t>
      </w:r>
      <w:r w:rsidRPr="002B2DF4">
        <w:rPr>
          <w:rFonts w:ascii="Arial" w:hAnsi="Arial" w:cs="Arial"/>
          <w:sz w:val="20"/>
          <w:szCs w:val="20"/>
        </w:rPr>
        <w:t>mesmo que se promovesse a citação, haveria ofensa aos princípios constitucionais</w:t>
      </w:r>
      <w:r>
        <w:rPr>
          <w:rFonts w:ascii="Arial" w:hAnsi="Arial" w:cs="Arial"/>
          <w:sz w:val="20"/>
          <w:szCs w:val="20"/>
        </w:rPr>
        <w:t xml:space="preserve"> </w:t>
      </w:r>
      <w:r w:rsidRPr="002B2DF4">
        <w:rPr>
          <w:rFonts w:ascii="Arial" w:hAnsi="Arial" w:cs="Arial"/>
          <w:sz w:val="20"/>
          <w:szCs w:val="20"/>
        </w:rPr>
        <w:t>do contraditório e da ampla defesa. Nesse sentido, vem decidindo o Tribunal de Contas da União, em</w:t>
      </w:r>
      <w:r>
        <w:rPr>
          <w:rFonts w:ascii="Arial" w:hAnsi="Arial" w:cs="Arial"/>
          <w:sz w:val="20"/>
          <w:szCs w:val="20"/>
        </w:rPr>
        <w:t xml:space="preserve"> </w:t>
      </w:r>
      <w:r w:rsidRPr="002B2DF4">
        <w:rPr>
          <w:rFonts w:ascii="Arial" w:hAnsi="Arial" w:cs="Arial"/>
          <w:sz w:val="20"/>
          <w:szCs w:val="20"/>
        </w:rPr>
        <w:t>situações semelhantes em que o exercício do contraditório e da ampla defesa fica</w:t>
      </w:r>
      <w:r>
        <w:rPr>
          <w:rFonts w:ascii="Arial" w:hAnsi="Arial" w:cs="Arial"/>
          <w:sz w:val="20"/>
          <w:szCs w:val="20"/>
        </w:rPr>
        <w:t xml:space="preserve"> </w:t>
      </w:r>
      <w:r w:rsidRPr="002B2DF4">
        <w:rPr>
          <w:rFonts w:ascii="Arial" w:hAnsi="Arial" w:cs="Arial"/>
          <w:sz w:val="20"/>
          <w:szCs w:val="20"/>
        </w:rPr>
        <w:t>prejudicado pelo transcurso do tempo, sem que tenham os responsáveis</w:t>
      </w:r>
      <w:r>
        <w:rPr>
          <w:rFonts w:ascii="Arial" w:hAnsi="Arial" w:cs="Arial"/>
          <w:sz w:val="20"/>
          <w:szCs w:val="20"/>
        </w:rPr>
        <w:t xml:space="preserve"> </w:t>
      </w:r>
      <w:r w:rsidRPr="002B2DF4">
        <w:rPr>
          <w:rFonts w:ascii="Arial" w:hAnsi="Arial" w:cs="Arial"/>
          <w:sz w:val="20"/>
          <w:szCs w:val="20"/>
        </w:rPr>
        <w:t>efetivamente dado causa. Destaca-se,</w:t>
      </w:r>
      <w:r>
        <w:rPr>
          <w:rFonts w:ascii="Arial" w:hAnsi="Arial" w:cs="Arial"/>
          <w:sz w:val="20"/>
          <w:szCs w:val="20"/>
        </w:rPr>
        <w:t xml:space="preserve"> ainda, que</w:t>
      </w:r>
      <w:r w:rsidRPr="002B2DF4">
        <w:rPr>
          <w:rFonts w:ascii="Arial" w:hAnsi="Arial" w:cs="Arial"/>
          <w:sz w:val="20"/>
          <w:szCs w:val="20"/>
        </w:rPr>
        <w:t xml:space="preserve"> das decisões proferidas pelo Tribunal de Contas da</w:t>
      </w:r>
      <w:r>
        <w:rPr>
          <w:rFonts w:ascii="Arial" w:hAnsi="Arial" w:cs="Arial"/>
          <w:sz w:val="20"/>
          <w:szCs w:val="20"/>
        </w:rPr>
        <w:t xml:space="preserve"> </w:t>
      </w:r>
      <w:r w:rsidRPr="002B2DF4">
        <w:rPr>
          <w:rFonts w:ascii="Arial" w:hAnsi="Arial" w:cs="Arial"/>
          <w:sz w:val="20"/>
          <w:szCs w:val="20"/>
        </w:rPr>
        <w:t>União, a atenção em se enfatizar a ausência de indícios de má-fé do responsável</w:t>
      </w:r>
      <w:r>
        <w:rPr>
          <w:rFonts w:ascii="Arial" w:hAnsi="Arial" w:cs="Arial"/>
          <w:sz w:val="20"/>
          <w:szCs w:val="20"/>
        </w:rPr>
        <w:t xml:space="preserve"> </w:t>
      </w:r>
      <w:r w:rsidRPr="002B2DF4">
        <w:rPr>
          <w:rFonts w:ascii="Arial" w:hAnsi="Arial" w:cs="Arial"/>
          <w:sz w:val="20"/>
          <w:szCs w:val="20"/>
        </w:rPr>
        <w:t>pelas contas ou de responsabilidade da Administração pela inércia na adoção de</w:t>
      </w:r>
      <w:r>
        <w:rPr>
          <w:rFonts w:ascii="Arial" w:hAnsi="Arial" w:cs="Arial"/>
          <w:sz w:val="20"/>
          <w:szCs w:val="20"/>
        </w:rPr>
        <w:t xml:space="preserve"> </w:t>
      </w:r>
      <w:r w:rsidRPr="002B2DF4">
        <w:rPr>
          <w:rFonts w:ascii="Arial" w:hAnsi="Arial" w:cs="Arial"/>
          <w:sz w:val="20"/>
          <w:szCs w:val="20"/>
        </w:rPr>
        <w:t>procedimentos de fiscalização, somada ao decurso do tempo, que inviabiliza ou em</w:t>
      </w:r>
      <w:r>
        <w:rPr>
          <w:rFonts w:ascii="Arial" w:hAnsi="Arial" w:cs="Arial"/>
          <w:sz w:val="20"/>
          <w:szCs w:val="20"/>
        </w:rPr>
        <w:t xml:space="preserve"> </w:t>
      </w:r>
      <w:r w:rsidRPr="002B2DF4">
        <w:rPr>
          <w:rFonts w:ascii="Arial" w:hAnsi="Arial" w:cs="Arial"/>
          <w:sz w:val="20"/>
          <w:szCs w:val="20"/>
        </w:rPr>
        <w:t>muito dificulta o exercício do direito de defesa</w:t>
      </w:r>
      <w:r>
        <w:rPr>
          <w:rFonts w:ascii="Arial" w:hAnsi="Arial" w:cs="Arial"/>
          <w:sz w:val="20"/>
          <w:szCs w:val="20"/>
        </w:rPr>
        <w:t>.</w:t>
      </w:r>
    </w:p>
    <w:p w:rsidR="002B2DF4" w:rsidRDefault="002B2DF4" w:rsidP="00D513ED">
      <w:pPr>
        <w:autoSpaceDE w:val="0"/>
        <w:autoSpaceDN w:val="0"/>
        <w:adjustRightInd w:val="0"/>
        <w:spacing w:after="0"/>
        <w:jc w:val="both"/>
        <w:rPr>
          <w:rFonts w:ascii="Arial" w:hAnsi="Arial" w:cs="Arial"/>
          <w:sz w:val="20"/>
          <w:szCs w:val="20"/>
        </w:rPr>
      </w:pPr>
    </w:p>
    <w:p w:rsidR="002B2DF4" w:rsidRPr="002B2DF4" w:rsidRDefault="002B2DF4" w:rsidP="00D513ED">
      <w:pPr>
        <w:autoSpaceDE w:val="0"/>
        <w:autoSpaceDN w:val="0"/>
        <w:adjustRightInd w:val="0"/>
        <w:spacing w:after="0"/>
        <w:jc w:val="both"/>
        <w:rPr>
          <w:rFonts w:ascii="Arial" w:hAnsi="Arial" w:cs="Arial"/>
          <w:sz w:val="20"/>
          <w:szCs w:val="20"/>
        </w:rPr>
      </w:pPr>
      <w:r>
        <w:rPr>
          <w:rFonts w:ascii="Arial" w:hAnsi="Arial" w:cs="Arial"/>
          <w:sz w:val="20"/>
          <w:szCs w:val="20"/>
        </w:rPr>
        <w:t xml:space="preserve"> </w:t>
      </w:r>
      <w:r w:rsidRPr="002B2DF4">
        <w:rPr>
          <w:rFonts w:ascii="Arial" w:hAnsi="Arial" w:cs="Arial"/>
          <w:sz w:val="20"/>
          <w:szCs w:val="20"/>
        </w:rPr>
        <w:t>Ressalte-se que, no caso específico das contas d</w:t>
      </w:r>
      <w:r>
        <w:rPr>
          <w:rFonts w:ascii="Arial" w:hAnsi="Arial" w:cs="Arial"/>
          <w:sz w:val="20"/>
          <w:szCs w:val="20"/>
        </w:rPr>
        <w:t>a entidade</w:t>
      </w:r>
      <w:r w:rsidRPr="002B2DF4">
        <w:rPr>
          <w:rFonts w:ascii="Arial" w:hAnsi="Arial" w:cs="Arial"/>
          <w:sz w:val="20"/>
          <w:szCs w:val="20"/>
        </w:rPr>
        <w:t>, cumpre admitir que o decurso de</w:t>
      </w:r>
    </w:p>
    <w:p w:rsidR="002B2DF4" w:rsidRDefault="002B2DF4" w:rsidP="00D513ED">
      <w:pPr>
        <w:autoSpaceDE w:val="0"/>
        <w:autoSpaceDN w:val="0"/>
        <w:adjustRightInd w:val="0"/>
        <w:spacing w:after="0"/>
        <w:jc w:val="both"/>
        <w:rPr>
          <w:rFonts w:ascii="Arial" w:hAnsi="Arial" w:cs="Arial"/>
          <w:sz w:val="20"/>
          <w:szCs w:val="20"/>
        </w:rPr>
      </w:pPr>
      <w:r w:rsidRPr="002B2DF4">
        <w:rPr>
          <w:rFonts w:ascii="Arial" w:hAnsi="Arial" w:cs="Arial"/>
          <w:sz w:val="20"/>
          <w:szCs w:val="20"/>
        </w:rPr>
        <w:t>praticamente 24 anos desde a efetivação dos repasses não pode ser imputado à</w:t>
      </w:r>
      <w:r>
        <w:rPr>
          <w:rFonts w:ascii="Arial" w:hAnsi="Arial" w:cs="Arial"/>
          <w:sz w:val="20"/>
          <w:szCs w:val="20"/>
        </w:rPr>
        <w:t xml:space="preserve"> </w:t>
      </w:r>
      <w:r w:rsidRPr="002B2DF4">
        <w:rPr>
          <w:rFonts w:ascii="Arial" w:hAnsi="Arial" w:cs="Arial"/>
          <w:sz w:val="20"/>
          <w:szCs w:val="20"/>
        </w:rPr>
        <w:t xml:space="preserve">entidade ou seu </w:t>
      </w:r>
      <w:proofErr w:type="spellStart"/>
      <w:r w:rsidRPr="002B2DF4">
        <w:rPr>
          <w:rFonts w:ascii="Arial" w:hAnsi="Arial" w:cs="Arial"/>
          <w:sz w:val="20"/>
          <w:szCs w:val="20"/>
        </w:rPr>
        <w:t>ex-gestor</w:t>
      </w:r>
      <w:proofErr w:type="spellEnd"/>
      <w:r w:rsidRPr="002B2DF4">
        <w:rPr>
          <w:rFonts w:ascii="Arial" w:hAnsi="Arial" w:cs="Arial"/>
          <w:sz w:val="20"/>
          <w:szCs w:val="20"/>
        </w:rPr>
        <w:t>, e sim a esta própria Corte de Contas, que, além de ter</w:t>
      </w:r>
      <w:r>
        <w:rPr>
          <w:rFonts w:ascii="Arial" w:hAnsi="Arial" w:cs="Arial"/>
          <w:sz w:val="20"/>
          <w:szCs w:val="20"/>
        </w:rPr>
        <w:t xml:space="preserve"> </w:t>
      </w:r>
      <w:r w:rsidRPr="002B2DF4">
        <w:rPr>
          <w:rFonts w:ascii="Arial" w:hAnsi="Arial" w:cs="Arial"/>
          <w:sz w:val="20"/>
          <w:szCs w:val="20"/>
        </w:rPr>
        <w:t>deixado de citar validamente a entidade, conforme declarado em sentença judicial,</w:t>
      </w:r>
      <w:r>
        <w:rPr>
          <w:rFonts w:ascii="Arial" w:hAnsi="Arial" w:cs="Arial"/>
          <w:sz w:val="20"/>
          <w:szCs w:val="20"/>
        </w:rPr>
        <w:t xml:space="preserve"> </w:t>
      </w:r>
      <w:r w:rsidRPr="002B2DF4">
        <w:rPr>
          <w:rFonts w:ascii="Arial" w:hAnsi="Arial" w:cs="Arial"/>
          <w:sz w:val="20"/>
          <w:szCs w:val="20"/>
        </w:rPr>
        <w:t>encaminhou os autos do processo de prestação de contas nº 271277/96, por</w:t>
      </w:r>
      <w:r>
        <w:rPr>
          <w:rFonts w:ascii="Arial" w:hAnsi="Arial" w:cs="Arial"/>
          <w:sz w:val="20"/>
          <w:szCs w:val="20"/>
        </w:rPr>
        <w:t xml:space="preserve"> </w:t>
      </w:r>
      <w:r w:rsidRPr="002B2DF4">
        <w:rPr>
          <w:rFonts w:ascii="Arial" w:hAnsi="Arial" w:cs="Arial"/>
          <w:sz w:val="20"/>
          <w:szCs w:val="20"/>
        </w:rPr>
        <w:t xml:space="preserve">equívoco, </w:t>
      </w:r>
      <w:r>
        <w:rPr>
          <w:rFonts w:ascii="Arial" w:hAnsi="Arial" w:cs="Arial"/>
          <w:sz w:val="20"/>
          <w:szCs w:val="20"/>
        </w:rPr>
        <w:t>a entidade diversa</w:t>
      </w:r>
      <w:r w:rsidRPr="002B2DF4">
        <w:rPr>
          <w:rFonts w:ascii="Arial" w:hAnsi="Arial" w:cs="Arial"/>
          <w:sz w:val="20"/>
          <w:szCs w:val="20"/>
        </w:rPr>
        <w:t>, em 20/10/1996, e</w:t>
      </w:r>
      <w:r>
        <w:rPr>
          <w:rFonts w:ascii="Arial" w:hAnsi="Arial" w:cs="Arial"/>
          <w:sz w:val="20"/>
          <w:szCs w:val="20"/>
        </w:rPr>
        <w:t xml:space="preserve"> </w:t>
      </w:r>
      <w:r w:rsidRPr="002B2DF4">
        <w:rPr>
          <w:rFonts w:ascii="Arial" w:hAnsi="Arial" w:cs="Arial"/>
          <w:sz w:val="20"/>
          <w:szCs w:val="20"/>
        </w:rPr>
        <w:t>somente detectou esse equívoco em 02/12/2004, quando da emissão d</w:t>
      </w:r>
      <w:r>
        <w:rPr>
          <w:rFonts w:ascii="Arial" w:hAnsi="Arial" w:cs="Arial"/>
          <w:sz w:val="20"/>
          <w:szCs w:val="20"/>
        </w:rPr>
        <w:t xml:space="preserve">e nova Instrução processual, </w:t>
      </w:r>
      <w:r w:rsidRPr="002B2DF4">
        <w:rPr>
          <w:rFonts w:ascii="Arial" w:hAnsi="Arial" w:cs="Arial"/>
          <w:sz w:val="20"/>
          <w:szCs w:val="20"/>
        </w:rPr>
        <w:t>08 anos depois, estando o feito em local incerto e não</w:t>
      </w:r>
      <w:r>
        <w:rPr>
          <w:rFonts w:ascii="Arial" w:hAnsi="Arial" w:cs="Arial"/>
          <w:sz w:val="20"/>
          <w:szCs w:val="20"/>
        </w:rPr>
        <w:t xml:space="preserve"> </w:t>
      </w:r>
      <w:r w:rsidRPr="002B2DF4">
        <w:rPr>
          <w:rFonts w:ascii="Arial" w:hAnsi="Arial" w:cs="Arial"/>
          <w:sz w:val="20"/>
          <w:szCs w:val="20"/>
        </w:rPr>
        <w:t>sabido.</w:t>
      </w:r>
    </w:p>
    <w:p w:rsidR="002B2DF4" w:rsidRPr="002B2DF4" w:rsidRDefault="002B2DF4" w:rsidP="00D513ED">
      <w:pPr>
        <w:autoSpaceDE w:val="0"/>
        <w:autoSpaceDN w:val="0"/>
        <w:adjustRightInd w:val="0"/>
        <w:spacing w:after="0"/>
        <w:jc w:val="both"/>
        <w:rPr>
          <w:rFonts w:ascii="Arial" w:hAnsi="Arial" w:cs="Arial"/>
          <w:sz w:val="20"/>
          <w:szCs w:val="20"/>
        </w:rPr>
      </w:pPr>
    </w:p>
    <w:p w:rsidR="002B2DF4" w:rsidRDefault="002B2DF4" w:rsidP="00D513ED">
      <w:pPr>
        <w:autoSpaceDE w:val="0"/>
        <w:autoSpaceDN w:val="0"/>
        <w:adjustRightInd w:val="0"/>
        <w:spacing w:after="0"/>
        <w:jc w:val="both"/>
        <w:rPr>
          <w:rFonts w:ascii="Arial" w:hAnsi="Arial" w:cs="Arial"/>
          <w:sz w:val="20"/>
          <w:szCs w:val="20"/>
        </w:rPr>
      </w:pPr>
      <w:r w:rsidRPr="002B2DF4">
        <w:rPr>
          <w:rFonts w:ascii="Arial" w:hAnsi="Arial" w:cs="Arial"/>
          <w:sz w:val="20"/>
          <w:szCs w:val="20"/>
        </w:rPr>
        <w:t>Desse modo, resta excluída qualquer possibilidade de má-fé dos</w:t>
      </w:r>
      <w:r>
        <w:rPr>
          <w:rFonts w:ascii="Arial" w:hAnsi="Arial" w:cs="Arial"/>
          <w:sz w:val="20"/>
          <w:szCs w:val="20"/>
        </w:rPr>
        <w:t xml:space="preserve"> </w:t>
      </w:r>
      <w:r w:rsidRPr="002B2DF4">
        <w:rPr>
          <w:rFonts w:ascii="Arial" w:hAnsi="Arial" w:cs="Arial"/>
          <w:sz w:val="20"/>
          <w:szCs w:val="20"/>
        </w:rPr>
        <w:t>responsáveis pela prestação de contas.</w:t>
      </w:r>
      <w:r>
        <w:rPr>
          <w:rFonts w:ascii="Arial" w:hAnsi="Arial" w:cs="Arial"/>
          <w:sz w:val="20"/>
          <w:szCs w:val="20"/>
        </w:rPr>
        <w:t xml:space="preserve"> </w:t>
      </w:r>
      <w:r w:rsidRPr="002B2DF4">
        <w:rPr>
          <w:rFonts w:ascii="Arial" w:hAnsi="Arial" w:cs="Arial"/>
          <w:sz w:val="20"/>
          <w:szCs w:val="20"/>
        </w:rPr>
        <w:t xml:space="preserve">Não constatado </w:t>
      </w:r>
      <w:proofErr w:type="spellStart"/>
      <w:r w:rsidRPr="002B2DF4">
        <w:rPr>
          <w:rFonts w:ascii="Arial" w:hAnsi="Arial" w:cs="Arial"/>
          <w:sz w:val="20"/>
          <w:szCs w:val="20"/>
        </w:rPr>
        <w:t>dano</w:t>
      </w:r>
      <w:proofErr w:type="spellEnd"/>
      <w:r w:rsidRPr="002B2DF4">
        <w:rPr>
          <w:rFonts w:ascii="Arial" w:hAnsi="Arial" w:cs="Arial"/>
          <w:sz w:val="20"/>
          <w:szCs w:val="20"/>
        </w:rPr>
        <w:t xml:space="preserve"> ao erário, nem, tampouco, má-fé dos</w:t>
      </w:r>
      <w:r>
        <w:rPr>
          <w:rFonts w:ascii="Arial" w:hAnsi="Arial" w:cs="Arial"/>
          <w:sz w:val="20"/>
          <w:szCs w:val="20"/>
        </w:rPr>
        <w:t xml:space="preserve"> </w:t>
      </w:r>
      <w:r w:rsidRPr="002B2DF4">
        <w:rPr>
          <w:rFonts w:ascii="Arial" w:hAnsi="Arial" w:cs="Arial"/>
          <w:sz w:val="20"/>
          <w:szCs w:val="20"/>
        </w:rPr>
        <w:t>interessados, mostra-se plausível o reconhecimento da perda do direito desta Corte</w:t>
      </w:r>
      <w:r>
        <w:rPr>
          <w:rFonts w:ascii="Arial" w:hAnsi="Arial" w:cs="Arial"/>
          <w:sz w:val="20"/>
          <w:szCs w:val="20"/>
        </w:rPr>
        <w:t xml:space="preserve"> </w:t>
      </w:r>
      <w:r w:rsidRPr="002B2DF4">
        <w:rPr>
          <w:rFonts w:ascii="Arial" w:hAnsi="Arial" w:cs="Arial"/>
          <w:sz w:val="20"/>
          <w:szCs w:val="20"/>
        </w:rPr>
        <w:t>de proceder à atividade fiscalizatória e persecutória após tão longo decurso de</w:t>
      </w:r>
      <w:r>
        <w:rPr>
          <w:rFonts w:ascii="Arial" w:hAnsi="Arial" w:cs="Arial"/>
          <w:sz w:val="20"/>
          <w:szCs w:val="20"/>
        </w:rPr>
        <w:t xml:space="preserve"> </w:t>
      </w:r>
      <w:r w:rsidRPr="002B2DF4">
        <w:rPr>
          <w:rFonts w:ascii="Arial" w:hAnsi="Arial" w:cs="Arial"/>
          <w:sz w:val="20"/>
          <w:szCs w:val="20"/>
        </w:rPr>
        <w:t>prazo.</w:t>
      </w:r>
    </w:p>
    <w:p w:rsidR="000F42DF" w:rsidRDefault="000F42DF" w:rsidP="00D513ED">
      <w:pPr>
        <w:autoSpaceDE w:val="0"/>
        <w:autoSpaceDN w:val="0"/>
        <w:adjustRightInd w:val="0"/>
        <w:spacing w:after="0"/>
        <w:jc w:val="both"/>
        <w:rPr>
          <w:rFonts w:ascii="Arial" w:hAnsi="Arial" w:cs="Arial"/>
          <w:sz w:val="20"/>
          <w:szCs w:val="20"/>
        </w:rPr>
      </w:pPr>
    </w:p>
    <w:p w:rsidR="00EE7308" w:rsidRDefault="00EE7308" w:rsidP="00D513ED">
      <w:pPr>
        <w:autoSpaceDE w:val="0"/>
        <w:autoSpaceDN w:val="0"/>
        <w:adjustRightInd w:val="0"/>
        <w:spacing w:after="0"/>
        <w:jc w:val="both"/>
        <w:rPr>
          <w:rFonts w:ascii="Arial" w:hAnsi="Arial" w:cs="Arial"/>
          <w:sz w:val="20"/>
          <w:szCs w:val="20"/>
        </w:rPr>
      </w:pPr>
      <w:r>
        <w:rPr>
          <w:rFonts w:ascii="Arial" w:hAnsi="Arial" w:cs="Arial"/>
          <w:sz w:val="20"/>
          <w:szCs w:val="20"/>
        </w:rPr>
        <w:t xml:space="preserve">Processo n° 363520/99 - </w:t>
      </w:r>
      <w:hyperlink r:id="rId11" w:history="1">
        <w:r w:rsidRPr="00852F5F">
          <w:rPr>
            <w:rStyle w:val="Hyperlink"/>
            <w:rFonts w:ascii="Arial" w:hAnsi="Arial" w:cs="Arial"/>
            <w:sz w:val="20"/>
            <w:szCs w:val="20"/>
          </w:rPr>
          <w:t>Acórdão n° 2252/18 - Segunda Câmara</w:t>
        </w:r>
      </w:hyperlink>
      <w:r>
        <w:rPr>
          <w:rFonts w:ascii="Arial" w:hAnsi="Arial" w:cs="Arial"/>
          <w:sz w:val="20"/>
          <w:szCs w:val="20"/>
        </w:rPr>
        <w:t xml:space="preserve"> - Rel. Cons. Ivens Zschoerper Linhares.</w:t>
      </w:r>
    </w:p>
    <w:p w:rsidR="004F06AF" w:rsidRDefault="004F06AF" w:rsidP="00D513ED">
      <w:pPr>
        <w:autoSpaceDE w:val="0"/>
        <w:autoSpaceDN w:val="0"/>
        <w:adjustRightInd w:val="0"/>
        <w:spacing w:after="0"/>
        <w:jc w:val="both"/>
        <w:rPr>
          <w:rFonts w:ascii="Arial" w:hAnsi="Arial" w:cs="Arial"/>
          <w:sz w:val="20"/>
          <w:szCs w:val="20"/>
        </w:rPr>
      </w:pPr>
    </w:p>
    <w:p w:rsidR="004F06AF" w:rsidRDefault="004F06AF" w:rsidP="004F06AF">
      <w:pPr>
        <w:autoSpaceDE w:val="0"/>
        <w:autoSpaceDN w:val="0"/>
        <w:adjustRightInd w:val="0"/>
        <w:spacing w:after="0"/>
        <w:jc w:val="both"/>
        <w:rPr>
          <w:rFonts w:ascii="Arial" w:hAnsi="Arial" w:cs="Arial"/>
          <w:b/>
          <w:sz w:val="20"/>
          <w:szCs w:val="20"/>
        </w:rPr>
      </w:pPr>
      <w:r>
        <w:rPr>
          <w:rFonts w:ascii="Arial" w:hAnsi="Arial" w:cs="Arial"/>
          <w:b/>
          <w:sz w:val="20"/>
          <w:szCs w:val="20"/>
        </w:rPr>
        <w:t xml:space="preserve">5. </w:t>
      </w:r>
      <w:r w:rsidRPr="00283CBD">
        <w:rPr>
          <w:rFonts w:ascii="Arial" w:hAnsi="Arial" w:cs="Arial"/>
          <w:b/>
          <w:sz w:val="20"/>
          <w:szCs w:val="20"/>
        </w:rPr>
        <w:t xml:space="preserve">Ato de Inativação. </w:t>
      </w:r>
      <w:r>
        <w:rPr>
          <w:rFonts w:ascii="Arial" w:hAnsi="Arial" w:cs="Arial"/>
          <w:b/>
          <w:sz w:val="20"/>
          <w:szCs w:val="20"/>
        </w:rPr>
        <w:t>Questionamentos sobre ilegalidades na nomeação. Decurso de longo período no exercício do cargo.</w:t>
      </w:r>
      <w:r w:rsidRPr="00283CBD">
        <w:rPr>
          <w:rFonts w:ascii="Arial" w:hAnsi="Arial" w:cs="Arial"/>
          <w:b/>
          <w:sz w:val="20"/>
          <w:szCs w:val="20"/>
        </w:rPr>
        <w:t xml:space="preserve"> Aplicação da teoria do fato consumado. Aplicação dos princípios da segurança jurídica, boa-fé e confiança legítima.</w:t>
      </w:r>
    </w:p>
    <w:p w:rsidR="00BC59F3" w:rsidRPr="00283CBD" w:rsidRDefault="00BC59F3" w:rsidP="004F06AF">
      <w:pPr>
        <w:autoSpaceDE w:val="0"/>
        <w:autoSpaceDN w:val="0"/>
        <w:adjustRightInd w:val="0"/>
        <w:spacing w:after="0"/>
        <w:jc w:val="both"/>
        <w:rPr>
          <w:rFonts w:ascii="Arial" w:hAnsi="Arial" w:cs="Arial"/>
          <w:b/>
          <w:sz w:val="20"/>
          <w:szCs w:val="20"/>
        </w:rPr>
      </w:pPr>
    </w:p>
    <w:p w:rsidR="004F06AF" w:rsidRDefault="004F06AF" w:rsidP="004F06AF">
      <w:pPr>
        <w:autoSpaceDE w:val="0"/>
        <w:autoSpaceDN w:val="0"/>
        <w:adjustRightInd w:val="0"/>
        <w:spacing w:after="0"/>
        <w:jc w:val="both"/>
        <w:rPr>
          <w:rFonts w:ascii="Arial" w:hAnsi="Arial" w:cs="Arial"/>
          <w:sz w:val="20"/>
          <w:szCs w:val="20"/>
        </w:rPr>
      </w:pPr>
      <w:r w:rsidRPr="00C651A9">
        <w:rPr>
          <w:rFonts w:ascii="Arial" w:hAnsi="Arial" w:cs="Arial"/>
          <w:sz w:val="20"/>
          <w:szCs w:val="20"/>
        </w:rPr>
        <w:t xml:space="preserve">O princípio da proteção à confiança constitui-se numa barreira tanto contra a retroatividade de leis que intervenham nos direitos do cidadão, quanto num limite ao desfazimento de atos administrativos antijurídicos beneficentes. </w:t>
      </w:r>
    </w:p>
    <w:p w:rsidR="004F06AF" w:rsidRDefault="004F06AF" w:rsidP="004F06AF">
      <w:pPr>
        <w:autoSpaceDE w:val="0"/>
        <w:autoSpaceDN w:val="0"/>
        <w:adjustRightInd w:val="0"/>
        <w:spacing w:after="0"/>
        <w:jc w:val="both"/>
        <w:rPr>
          <w:rFonts w:ascii="Arial" w:hAnsi="Arial" w:cs="Arial"/>
          <w:sz w:val="20"/>
          <w:szCs w:val="20"/>
        </w:rPr>
      </w:pPr>
    </w:p>
    <w:p w:rsidR="004F06AF" w:rsidRDefault="004F06AF" w:rsidP="004F06AF">
      <w:pPr>
        <w:autoSpaceDE w:val="0"/>
        <w:autoSpaceDN w:val="0"/>
        <w:adjustRightInd w:val="0"/>
        <w:spacing w:after="0"/>
        <w:jc w:val="both"/>
        <w:rPr>
          <w:rFonts w:ascii="Arial" w:hAnsi="Arial" w:cs="Arial"/>
          <w:sz w:val="20"/>
          <w:szCs w:val="20"/>
        </w:rPr>
      </w:pPr>
      <w:r w:rsidRPr="00C651A9">
        <w:rPr>
          <w:rFonts w:ascii="Arial" w:hAnsi="Arial" w:cs="Arial"/>
          <w:sz w:val="20"/>
          <w:szCs w:val="20"/>
        </w:rPr>
        <w:lastRenderedPageBreak/>
        <w:t>Diante de um caso particular, deve-se examinar e ponderar a que interesse. Se no desfazimento ou na manutenção do ato deve ser dada primazia.</w:t>
      </w:r>
    </w:p>
    <w:p w:rsidR="004F06AF" w:rsidRDefault="004F06AF" w:rsidP="004F06AF">
      <w:pPr>
        <w:autoSpaceDE w:val="0"/>
        <w:autoSpaceDN w:val="0"/>
        <w:adjustRightInd w:val="0"/>
        <w:spacing w:after="0"/>
        <w:jc w:val="both"/>
        <w:rPr>
          <w:rFonts w:ascii="Arial" w:hAnsi="Arial" w:cs="Arial"/>
          <w:sz w:val="20"/>
          <w:szCs w:val="20"/>
        </w:rPr>
      </w:pPr>
    </w:p>
    <w:p w:rsidR="004F06AF" w:rsidRDefault="004F06AF" w:rsidP="004F06AF">
      <w:pPr>
        <w:autoSpaceDE w:val="0"/>
        <w:autoSpaceDN w:val="0"/>
        <w:adjustRightInd w:val="0"/>
        <w:spacing w:after="0"/>
        <w:jc w:val="both"/>
        <w:rPr>
          <w:rFonts w:ascii="Arial" w:hAnsi="Arial" w:cs="Arial"/>
          <w:sz w:val="20"/>
          <w:szCs w:val="20"/>
        </w:rPr>
      </w:pPr>
      <w:r w:rsidRPr="00C651A9">
        <w:rPr>
          <w:rFonts w:ascii="Arial" w:hAnsi="Arial" w:cs="Arial"/>
          <w:sz w:val="20"/>
          <w:szCs w:val="20"/>
        </w:rPr>
        <w:t>Dessa forma, não obstante a discussão acerca da legalidade da admissão do servidor interessado, alguns aspectos devem ser sopesados para o deslinde do presente processo. Não se pode ignorar que há atos que, embora viciados, oferecem soluções a problemas de interesse público, sendo interessante para a Administração e tanto mais para os administrados, a preservação de seus efeitos, homenageando os princípios da proteção à confiança (boa-fé) e da segurança jurídica, basilares à organização administrativa.</w:t>
      </w:r>
    </w:p>
    <w:p w:rsidR="004F06AF" w:rsidRPr="00C651A9" w:rsidRDefault="004F06AF" w:rsidP="004F06AF">
      <w:pPr>
        <w:autoSpaceDE w:val="0"/>
        <w:autoSpaceDN w:val="0"/>
        <w:adjustRightInd w:val="0"/>
        <w:spacing w:after="0"/>
        <w:jc w:val="both"/>
        <w:rPr>
          <w:rFonts w:ascii="Arial" w:hAnsi="Arial" w:cs="Arial"/>
          <w:sz w:val="20"/>
          <w:szCs w:val="20"/>
        </w:rPr>
      </w:pPr>
    </w:p>
    <w:p w:rsidR="004F06AF" w:rsidRDefault="004F06AF" w:rsidP="004F06AF">
      <w:pPr>
        <w:autoSpaceDE w:val="0"/>
        <w:autoSpaceDN w:val="0"/>
        <w:adjustRightInd w:val="0"/>
        <w:spacing w:after="0"/>
        <w:jc w:val="both"/>
        <w:rPr>
          <w:rFonts w:ascii="Arial" w:hAnsi="Arial" w:cs="Arial"/>
          <w:i/>
          <w:sz w:val="20"/>
          <w:szCs w:val="20"/>
        </w:rPr>
      </w:pPr>
      <w:r w:rsidRPr="00C651A9">
        <w:rPr>
          <w:rFonts w:ascii="Arial" w:hAnsi="Arial" w:cs="Arial"/>
          <w:sz w:val="20"/>
          <w:szCs w:val="20"/>
        </w:rPr>
        <w:t xml:space="preserve">Frise-se que há um limite para a atuação anulatória da administração: o decurso do tempo. A lei n.º 9.784/99, que regula o procedimento administrativo na esfera federal, dispõe: </w:t>
      </w:r>
      <w:r w:rsidRPr="00602903">
        <w:rPr>
          <w:rFonts w:ascii="Arial" w:hAnsi="Arial" w:cs="Arial"/>
          <w:i/>
          <w:sz w:val="20"/>
          <w:szCs w:val="20"/>
        </w:rPr>
        <w:t xml:space="preserve">Art. 54. O direito da Administração de anular os atos administrativos de que decorram efeitos favoráveis para os destinatários decai em cinco anos, contados da data em que foram praticados, salvo comprovada má-fé. </w:t>
      </w:r>
    </w:p>
    <w:p w:rsidR="004F06AF" w:rsidRPr="00C651A9" w:rsidRDefault="004F06AF" w:rsidP="004F06AF">
      <w:pPr>
        <w:autoSpaceDE w:val="0"/>
        <w:autoSpaceDN w:val="0"/>
        <w:adjustRightInd w:val="0"/>
        <w:spacing w:after="0"/>
        <w:jc w:val="both"/>
        <w:rPr>
          <w:rFonts w:ascii="Arial" w:hAnsi="Arial" w:cs="Arial"/>
          <w:sz w:val="20"/>
          <w:szCs w:val="20"/>
        </w:rPr>
      </w:pPr>
    </w:p>
    <w:p w:rsidR="004F06AF" w:rsidRDefault="004F06AF" w:rsidP="004F06AF">
      <w:pPr>
        <w:autoSpaceDE w:val="0"/>
        <w:autoSpaceDN w:val="0"/>
        <w:adjustRightInd w:val="0"/>
        <w:spacing w:after="0"/>
        <w:jc w:val="both"/>
        <w:rPr>
          <w:rFonts w:ascii="Arial" w:hAnsi="Arial" w:cs="Arial"/>
          <w:sz w:val="20"/>
          <w:szCs w:val="20"/>
        </w:rPr>
      </w:pPr>
      <w:r w:rsidRPr="00C651A9">
        <w:rPr>
          <w:rFonts w:ascii="Arial" w:hAnsi="Arial" w:cs="Arial"/>
          <w:sz w:val="20"/>
          <w:szCs w:val="20"/>
        </w:rPr>
        <w:t xml:space="preserve">As ponderações acima embasam a conclusão de que, em consonância com o entendimento exarado pelo Superior Tribunal de Justiça, mesmo que o ato de admissão do servidor tenha tido sua legalidade questionada, não se pode desconsiderar o fato de que sua nomeação ocorreu há 15 anos atrás, tendo ele exercido o cargo até o momento de sua aposentadoria, ocorrida antes da decisão final acerca de seu ato de admissão. </w:t>
      </w:r>
    </w:p>
    <w:p w:rsidR="004F06AF" w:rsidRPr="00C651A9" w:rsidRDefault="004F06AF" w:rsidP="004F06AF">
      <w:pPr>
        <w:autoSpaceDE w:val="0"/>
        <w:autoSpaceDN w:val="0"/>
        <w:adjustRightInd w:val="0"/>
        <w:spacing w:after="0"/>
        <w:jc w:val="both"/>
        <w:rPr>
          <w:rFonts w:ascii="Arial" w:hAnsi="Arial" w:cs="Arial"/>
          <w:sz w:val="20"/>
          <w:szCs w:val="20"/>
        </w:rPr>
      </w:pPr>
    </w:p>
    <w:p w:rsidR="004F06AF" w:rsidRDefault="004F06AF" w:rsidP="004F06AF">
      <w:pPr>
        <w:autoSpaceDE w:val="0"/>
        <w:autoSpaceDN w:val="0"/>
        <w:adjustRightInd w:val="0"/>
        <w:spacing w:after="0"/>
        <w:jc w:val="both"/>
        <w:rPr>
          <w:rFonts w:ascii="Arial" w:hAnsi="Arial" w:cs="Arial"/>
          <w:sz w:val="20"/>
          <w:szCs w:val="20"/>
        </w:rPr>
      </w:pPr>
      <w:r w:rsidRPr="00C651A9">
        <w:rPr>
          <w:rFonts w:ascii="Arial" w:hAnsi="Arial" w:cs="Arial"/>
          <w:sz w:val="20"/>
          <w:szCs w:val="20"/>
        </w:rPr>
        <w:t>Assim, existindo boa-fé do particular e o transcurso razoável de tempo, não se pode olvidar que embora o vínculo de trabalho fosse precário, o vínculo previdenciário, após as contribuições previdenciárias ao regime próprio, consolidou-se com a reunião dos requisitos para a concessão de aposentadoria.</w:t>
      </w:r>
    </w:p>
    <w:p w:rsidR="004F06AF" w:rsidRDefault="004F06AF" w:rsidP="004F06AF">
      <w:pPr>
        <w:autoSpaceDE w:val="0"/>
        <w:autoSpaceDN w:val="0"/>
        <w:adjustRightInd w:val="0"/>
        <w:spacing w:after="0"/>
        <w:jc w:val="both"/>
        <w:rPr>
          <w:rFonts w:ascii="Arial" w:hAnsi="Arial" w:cs="Arial"/>
          <w:sz w:val="20"/>
          <w:szCs w:val="20"/>
        </w:rPr>
      </w:pPr>
    </w:p>
    <w:p w:rsidR="004F06AF" w:rsidRDefault="004F06AF" w:rsidP="004F06AF">
      <w:pPr>
        <w:autoSpaceDE w:val="0"/>
        <w:autoSpaceDN w:val="0"/>
        <w:adjustRightInd w:val="0"/>
        <w:spacing w:after="0"/>
        <w:jc w:val="both"/>
        <w:rPr>
          <w:rFonts w:ascii="Arial" w:hAnsi="Arial" w:cs="Arial"/>
          <w:sz w:val="20"/>
          <w:szCs w:val="20"/>
        </w:rPr>
      </w:pPr>
      <w:r>
        <w:rPr>
          <w:rFonts w:ascii="Arial" w:hAnsi="Arial" w:cs="Arial"/>
          <w:sz w:val="20"/>
          <w:szCs w:val="20"/>
        </w:rPr>
        <w:t xml:space="preserve">Processo n° 883569/13 - </w:t>
      </w:r>
      <w:hyperlink r:id="rId12" w:history="1">
        <w:r w:rsidRPr="00F12858">
          <w:rPr>
            <w:rStyle w:val="Hyperlink"/>
            <w:rFonts w:ascii="Arial" w:hAnsi="Arial" w:cs="Arial"/>
            <w:sz w:val="20"/>
            <w:szCs w:val="20"/>
          </w:rPr>
          <w:t>Acórdão n° 2304/18 - Segunda Câmara</w:t>
        </w:r>
      </w:hyperlink>
      <w:r>
        <w:rPr>
          <w:rFonts w:ascii="Arial" w:hAnsi="Arial" w:cs="Arial"/>
          <w:sz w:val="20"/>
          <w:szCs w:val="20"/>
        </w:rPr>
        <w:t xml:space="preserve"> - Rel. Cons. </w:t>
      </w:r>
      <w:proofErr w:type="spellStart"/>
      <w:r w:rsidRPr="00F12858">
        <w:rPr>
          <w:rFonts w:ascii="Arial" w:hAnsi="Arial" w:cs="Arial"/>
          <w:sz w:val="20"/>
          <w:szCs w:val="20"/>
        </w:rPr>
        <w:t>Artagão</w:t>
      </w:r>
      <w:proofErr w:type="spellEnd"/>
      <w:r w:rsidRPr="00F12858">
        <w:rPr>
          <w:rFonts w:ascii="Arial" w:hAnsi="Arial" w:cs="Arial"/>
          <w:sz w:val="20"/>
          <w:szCs w:val="20"/>
        </w:rPr>
        <w:t xml:space="preserve"> de Mattos Leão.</w:t>
      </w:r>
    </w:p>
    <w:p w:rsidR="004F06AF" w:rsidRPr="002B2DF4" w:rsidRDefault="004F06AF" w:rsidP="004F06AF">
      <w:pPr>
        <w:autoSpaceDE w:val="0"/>
        <w:autoSpaceDN w:val="0"/>
        <w:adjustRightInd w:val="0"/>
        <w:spacing w:after="0"/>
        <w:jc w:val="both"/>
        <w:rPr>
          <w:rFonts w:ascii="Arial" w:hAnsi="Arial" w:cs="Arial"/>
          <w:b/>
          <w:sz w:val="20"/>
          <w:szCs w:val="20"/>
        </w:rPr>
      </w:pPr>
    </w:p>
    <w:p w:rsidR="00AE4F42" w:rsidRPr="0022060B" w:rsidRDefault="00AE4F42" w:rsidP="00816942">
      <w:pPr>
        <w:shd w:val="pct10" w:color="auto" w:fill="auto"/>
        <w:spacing w:after="0"/>
        <w:jc w:val="center"/>
        <w:rPr>
          <w:rFonts w:ascii="Arial" w:hAnsi="Arial" w:cs="Arial"/>
          <w:b/>
          <w:sz w:val="20"/>
          <w:szCs w:val="20"/>
        </w:rPr>
      </w:pPr>
      <w:r w:rsidRPr="0022060B">
        <w:rPr>
          <w:rFonts w:ascii="Arial" w:hAnsi="Arial" w:cs="Arial"/>
          <w:b/>
          <w:sz w:val="20"/>
          <w:szCs w:val="20"/>
        </w:rPr>
        <w:t>TRIBUNAL PLENO</w:t>
      </w:r>
    </w:p>
    <w:p w:rsidR="00BD4E7A" w:rsidRDefault="00BD4E7A" w:rsidP="00816942">
      <w:pPr>
        <w:autoSpaceDE w:val="0"/>
        <w:autoSpaceDN w:val="0"/>
        <w:adjustRightInd w:val="0"/>
        <w:spacing w:after="0"/>
        <w:jc w:val="both"/>
        <w:rPr>
          <w:rFonts w:ascii="Arial" w:hAnsi="Arial" w:cs="Arial"/>
          <w:b/>
          <w:color w:val="000000"/>
          <w:sz w:val="20"/>
          <w:szCs w:val="20"/>
          <w:shd w:val="clear" w:color="auto" w:fill="FFFFFF"/>
        </w:rPr>
      </w:pPr>
    </w:p>
    <w:p w:rsidR="005C6B06" w:rsidRDefault="004F06AF" w:rsidP="005C6B06">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 xml:space="preserve">6. </w:t>
      </w:r>
      <w:r w:rsidR="005C6B06" w:rsidRPr="00584ECA">
        <w:rPr>
          <w:rFonts w:ascii="Arial" w:hAnsi="Arial" w:cs="Arial"/>
          <w:b/>
          <w:sz w:val="20"/>
          <w:szCs w:val="20"/>
        </w:rPr>
        <w:t>Denúncia. Fatos ocorridos há mais de 18 anos. Reconhecimento de ofício da prescrição e consequente encerramento do feito.</w:t>
      </w:r>
    </w:p>
    <w:p w:rsidR="00584ECA" w:rsidRDefault="00584ECA" w:rsidP="005C6B06">
      <w:pPr>
        <w:autoSpaceDE w:val="0"/>
        <w:autoSpaceDN w:val="0"/>
        <w:adjustRightInd w:val="0"/>
        <w:spacing w:after="0" w:line="240" w:lineRule="auto"/>
        <w:jc w:val="both"/>
        <w:rPr>
          <w:rFonts w:ascii="Arial" w:hAnsi="Arial" w:cs="Arial"/>
          <w:b/>
          <w:sz w:val="20"/>
          <w:szCs w:val="20"/>
        </w:rPr>
      </w:pPr>
    </w:p>
    <w:p w:rsidR="00584ECA" w:rsidRDefault="00584ECA" w:rsidP="00584ECA">
      <w:pPr>
        <w:autoSpaceDE w:val="0"/>
        <w:autoSpaceDN w:val="0"/>
        <w:adjustRightInd w:val="0"/>
        <w:spacing w:after="0"/>
        <w:jc w:val="both"/>
        <w:rPr>
          <w:rFonts w:ascii="Arial" w:hAnsi="Arial" w:cs="Arial"/>
          <w:sz w:val="20"/>
          <w:szCs w:val="20"/>
        </w:rPr>
      </w:pPr>
      <w:r w:rsidRPr="00584ECA">
        <w:rPr>
          <w:rFonts w:ascii="Arial" w:hAnsi="Arial" w:cs="Arial"/>
          <w:sz w:val="20"/>
          <w:szCs w:val="20"/>
        </w:rPr>
        <w:t>A prescrição é um instituto importante para se garantir a</w:t>
      </w:r>
      <w:r>
        <w:rPr>
          <w:rFonts w:ascii="Arial" w:hAnsi="Arial" w:cs="Arial"/>
          <w:sz w:val="20"/>
          <w:szCs w:val="20"/>
        </w:rPr>
        <w:t xml:space="preserve"> </w:t>
      </w:r>
      <w:r w:rsidRPr="00584ECA">
        <w:rPr>
          <w:rFonts w:ascii="Arial" w:hAnsi="Arial" w:cs="Arial"/>
          <w:sz w:val="20"/>
          <w:szCs w:val="20"/>
        </w:rPr>
        <w:t>segurança e estabilidade das relações jurídicas e da convivência social. É</w:t>
      </w:r>
      <w:r>
        <w:rPr>
          <w:rFonts w:ascii="Arial" w:hAnsi="Arial" w:cs="Arial"/>
          <w:sz w:val="20"/>
          <w:szCs w:val="20"/>
        </w:rPr>
        <w:t xml:space="preserve"> </w:t>
      </w:r>
      <w:r w:rsidRPr="00584ECA">
        <w:rPr>
          <w:rFonts w:ascii="Arial" w:hAnsi="Arial" w:cs="Arial"/>
          <w:sz w:val="20"/>
          <w:szCs w:val="20"/>
        </w:rPr>
        <w:t>uma forma de se assegurar a ordem e a paz na sociedade. Desse modo, a</w:t>
      </w:r>
      <w:r>
        <w:rPr>
          <w:rFonts w:ascii="Arial" w:hAnsi="Arial" w:cs="Arial"/>
          <w:sz w:val="20"/>
          <w:szCs w:val="20"/>
        </w:rPr>
        <w:t xml:space="preserve"> </w:t>
      </w:r>
      <w:r w:rsidRPr="00584ECA">
        <w:rPr>
          <w:rFonts w:ascii="Arial" w:hAnsi="Arial" w:cs="Arial"/>
          <w:sz w:val="20"/>
          <w:szCs w:val="20"/>
        </w:rPr>
        <w:t>ressalva contida na parte final do § 5º do art. 37 da CF/88 deve ser</w:t>
      </w:r>
      <w:r>
        <w:rPr>
          <w:rFonts w:ascii="Arial" w:hAnsi="Arial" w:cs="Arial"/>
          <w:sz w:val="20"/>
          <w:szCs w:val="20"/>
        </w:rPr>
        <w:t xml:space="preserve"> </w:t>
      </w:r>
      <w:r w:rsidRPr="00584ECA">
        <w:rPr>
          <w:rFonts w:ascii="Arial" w:hAnsi="Arial" w:cs="Arial"/>
          <w:sz w:val="20"/>
          <w:szCs w:val="20"/>
        </w:rPr>
        <w:t>interpretada de forma estrita e não se aplica para danos causados ao Poder</w:t>
      </w:r>
      <w:r>
        <w:rPr>
          <w:rFonts w:ascii="Arial" w:hAnsi="Arial" w:cs="Arial"/>
          <w:sz w:val="20"/>
          <w:szCs w:val="20"/>
        </w:rPr>
        <w:t xml:space="preserve"> </w:t>
      </w:r>
      <w:r w:rsidRPr="00584ECA">
        <w:rPr>
          <w:rFonts w:ascii="Arial" w:hAnsi="Arial" w:cs="Arial"/>
          <w:sz w:val="20"/>
          <w:szCs w:val="20"/>
        </w:rPr>
        <w:t>Público por força de ilícitos civis.</w:t>
      </w:r>
    </w:p>
    <w:p w:rsidR="00584ECA" w:rsidRDefault="00584ECA" w:rsidP="00584ECA">
      <w:pPr>
        <w:autoSpaceDE w:val="0"/>
        <w:autoSpaceDN w:val="0"/>
        <w:adjustRightInd w:val="0"/>
        <w:spacing w:after="0"/>
        <w:jc w:val="both"/>
        <w:rPr>
          <w:rFonts w:ascii="Arial" w:hAnsi="Arial" w:cs="Arial"/>
          <w:sz w:val="20"/>
          <w:szCs w:val="20"/>
        </w:rPr>
      </w:pPr>
    </w:p>
    <w:p w:rsidR="00584ECA" w:rsidRDefault="00584ECA" w:rsidP="00584ECA">
      <w:pPr>
        <w:autoSpaceDE w:val="0"/>
        <w:autoSpaceDN w:val="0"/>
        <w:adjustRightInd w:val="0"/>
        <w:spacing w:after="0"/>
        <w:jc w:val="both"/>
        <w:rPr>
          <w:rFonts w:ascii="Arial" w:hAnsi="Arial" w:cs="Arial"/>
          <w:sz w:val="20"/>
          <w:szCs w:val="20"/>
        </w:rPr>
      </w:pPr>
      <w:r w:rsidRPr="00584ECA">
        <w:rPr>
          <w:rFonts w:ascii="Arial" w:hAnsi="Arial" w:cs="Arial"/>
          <w:sz w:val="20"/>
          <w:szCs w:val="20"/>
        </w:rPr>
        <w:t>Em análise dos autos, é possível contatar que os fatos aqui</w:t>
      </w:r>
      <w:r>
        <w:rPr>
          <w:rFonts w:ascii="Arial" w:hAnsi="Arial" w:cs="Arial"/>
          <w:sz w:val="20"/>
          <w:szCs w:val="20"/>
        </w:rPr>
        <w:t xml:space="preserve"> </w:t>
      </w:r>
      <w:r w:rsidRPr="00584ECA">
        <w:rPr>
          <w:rFonts w:ascii="Arial" w:hAnsi="Arial" w:cs="Arial"/>
          <w:sz w:val="20"/>
          <w:szCs w:val="20"/>
        </w:rPr>
        <w:t>narrados são passíveis de aplicação do instituto da prescrição, já que</w:t>
      </w:r>
      <w:r>
        <w:rPr>
          <w:rFonts w:ascii="Arial" w:hAnsi="Arial" w:cs="Arial"/>
          <w:sz w:val="20"/>
          <w:szCs w:val="20"/>
        </w:rPr>
        <w:t xml:space="preserve"> </w:t>
      </w:r>
      <w:r w:rsidRPr="00584ECA">
        <w:rPr>
          <w:rFonts w:ascii="Arial" w:hAnsi="Arial" w:cs="Arial"/>
          <w:sz w:val="20"/>
          <w:szCs w:val="20"/>
        </w:rPr>
        <w:t xml:space="preserve">ocorreram há mais de 18 anos. Ademais, a própria sentença </w:t>
      </w:r>
      <w:r w:rsidRPr="00584ECA">
        <w:rPr>
          <w:rFonts w:ascii="Arial" w:hAnsi="Arial" w:cs="Arial"/>
          <w:sz w:val="20"/>
          <w:szCs w:val="20"/>
        </w:rPr>
        <w:lastRenderedPageBreak/>
        <w:t>judicial que</w:t>
      </w:r>
      <w:r>
        <w:rPr>
          <w:rFonts w:ascii="Arial" w:hAnsi="Arial" w:cs="Arial"/>
          <w:sz w:val="20"/>
          <w:szCs w:val="20"/>
        </w:rPr>
        <w:t xml:space="preserve"> </w:t>
      </w:r>
      <w:r w:rsidRPr="00584ECA">
        <w:rPr>
          <w:rFonts w:ascii="Arial" w:hAnsi="Arial" w:cs="Arial"/>
          <w:sz w:val="20"/>
          <w:szCs w:val="20"/>
        </w:rPr>
        <w:t>julgou a ação civil pública por atos de improbidade administrativa, declarou a</w:t>
      </w:r>
      <w:r>
        <w:rPr>
          <w:rFonts w:ascii="Arial" w:hAnsi="Arial" w:cs="Arial"/>
          <w:sz w:val="20"/>
          <w:szCs w:val="20"/>
        </w:rPr>
        <w:t xml:space="preserve"> </w:t>
      </w:r>
      <w:r w:rsidRPr="00584ECA">
        <w:rPr>
          <w:rFonts w:ascii="Arial" w:hAnsi="Arial" w:cs="Arial"/>
          <w:sz w:val="20"/>
          <w:szCs w:val="20"/>
        </w:rPr>
        <w:t xml:space="preserve">inexistência de </w:t>
      </w:r>
      <w:proofErr w:type="spellStart"/>
      <w:r w:rsidRPr="00584ECA">
        <w:rPr>
          <w:rFonts w:ascii="Arial" w:hAnsi="Arial" w:cs="Arial"/>
          <w:sz w:val="20"/>
          <w:szCs w:val="20"/>
        </w:rPr>
        <w:t>dano</w:t>
      </w:r>
      <w:proofErr w:type="spellEnd"/>
      <w:r w:rsidRPr="00584ECA">
        <w:rPr>
          <w:rFonts w:ascii="Arial" w:hAnsi="Arial" w:cs="Arial"/>
          <w:sz w:val="20"/>
          <w:szCs w:val="20"/>
        </w:rPr>
        <w:t xml:space="preserve"> ao erário.</w:t>
      </w:r>
    </w:p>
    <w:p w:rsidR="00584ECA" w:rsidRPr="00584ECA" w:rsidRDefault="00584ECA" w:rsidP="00584ECA">
      <w:pPr>
        <w:autoSpaceDE w:val="0"/>
        <w:autoSpaceDN w:val="0"/>
        <w:adjustRightInd w:val="0"/>
        <w:spacing w:after="0"/>
        <w:jc w:val="both"/>
        <w:rPr>
          <w:rFonts w:ascii="Arial" w:hAnsi="Arial" w:cs="Arial"/>
          <w:sz w:val="20"/>
          <w:szCs w:val="20"/>
        </w:rPr>
      </w:pPr>
    </w:p>
    <w:p w:rsidR="00584ECA" w:rsidRDefault="00584ECA" w:rsidP="00584ECA">
      <w:pPr>
        <w:autoSpaceDE w:val="0"/>
        <w:autoSpaceDN w:val="0"/>
        <w:adjustRightInd w:val="0"/>
        <w:spacing w:after="0"/>
        <w:jc w:val="both"/>
        <w:rPr>
          <w:rFonts w:ascii="Arial" w:hAnsi="Arial" w:cs="Arial"/>
          <w:i/>
          <w:iCs/>
          <w:sz w:val="20"/>
          <w:szCs w:val="20"/>
        </w:rPr>
      </w:pPr>
      <w:r w:rsidRPr="00584ECA">
        <w:rPr>
          <w:rFonts w:ascii="Arial" w:hAnsi="Arial" w:cs="Arial"/>
          <w:sz w:val="20"/>
          <w:szCs w:val="20"/>
        </w:rPr>
        <w:t>A ausência de previsão legal também não permite a aplicação</w:t>
      </w:r>
      <w:r>
        <w:rPr>
          <w:rFonts w:ascii="Arial" w:hAnsi="Arial" w:cs="Arial"/>
          <w:sz w:val="20"/>
          <w:szCs w:val="20"/>
        </w:rPr>
        <w:t xml:space="preserve"> </w:t>
      </w:r>
      <w:r w:rsidRPr="00584ECA">
        <w:rPr>
          <w:rFonts w:ascii="Arial" w:hAnsi="Arial" w:cs="Arial"/>
          <w:sz w:val="20"/>
          <w:szCs w:val="20"/>
        </w:rPr>
        <w:t>de multa ao gestor, já que a Lei Orgânica deste Tribunal de Contas data de</w:t>
      </w:r>
      <w:r>
        <w:rPr>
          <w:rFonts w:ascii="Arial" w:hAnsi="Arial" w:cs="Arial"/>
          <w:sz w:val="20"/>
          <w:szCs w:val="20"/>
        </w:rPr>
        <w:t xml:space="preserve"> </w:t>
      </w:r>
      <w:r w:rsidRPr="00584ECA">
        <w:rPr>
          <w:rFonts w:ascii="Arial" w:hAnsi="Arial" w:cs="Arial"/>
          <w:sz w:val="20"/>
          <w:szCs w:val="20"/>
        </w:rPr>
        <w:t xml:space="preserve">2005, conforme o </w:t>
      </w:r>
      <w:r>
        <w:rPr>
          <w:rFonts w:ascii="Arial" w:hAnsi="Arial" w:cs="Arial"/>
          <w:i/>
          <w:iCs/>
          <w:sz w:val="20"/>
          <w:szCs w:val="20"/>
        </w:rPr>
        <w:t>P</w:t>
      </w:r>
      <w:r w:rsidRPr="00584ECA">
        <w:rPr>
          <w:rFonts w:ascii="Arial" w:hAnsi="Arial" w:cs="Arial"/>
          <w:i/>
          <w:iCs/>
          <w:sz w:val="20"/>
          <w:szCs w:val="20"/>
        </w:rPr>
        <w:t>rejulgado nº 01 - Processo nº 82811/01 - Acórdão nº</w:t>
      </w:r>
      <w:r>
        <w:rPr>
          <w:rFonts w:ascii="Arial" w:hAnsi="Arial" w:cs="Arial"/>
          <w:i/>
          <w:iCs/>
          <w:sz w:val="20"/>
          <w:szCs w:val="20"/>
        </w:rPr>
        <w:t xml:space="preserve"> </w:t>
      </w:r>
      <w:r w:rsidRPr="00584ECA">
        <w:rPr>
          <w:rFonts w:ascii="Arial" w:hAnsi="Arial" w:cs="Arial"/>
          <w:i/>
          <w:iCs/>
          <w:sz w:val="20"/>
          <w:szCs w:val="20"/>
        </w:rPr>
        <w:t xml:space="preserve">270/06 - Tribunal Pleno - Relator Conselheiro </w:t>
      </w:r>
      <w:proofErr w:type="spellStart"/>
      <w:r w:rsidRPr="00584ECA">
        <w:rPr>
          <w:rFonts w:ascii="Arial" w:hAnsi="Arial" w:cs="Arial"/>
          <w:i/>
          <w:iCs/>
          <w:sz w:val="20"/>
          <w:szCs w:val="20"/>
        </w:rPr>
        <w:t>Artagão</w:t>
      </w:r>
      <w:proofErr w:type="spellEnd"/>
      <w:r w:rsidRPr="00584ECA">
        <w:rPr>
          <w:rFonts w:ascii="Arial" w:hAnsi="Arial" w:cs="Arial"/>
          <w:i/>
          <w:iCs/>
          <w:sz w:val="20"/>
          <w:szCs w:val="20"/>
        </w:rPr>
        <w:t xml:space="preserve"> de Mattos Leão: “</w:t>
      </w:r>
      <w:r>
        <w:rPr>
          <w:rFonts w:ascii="Arial" w:hAnsi="Arial" w:cs="Arial"/>
          <w:i/>
          <w:iCs/>
          <w:sz w:val="20"/>
          <w:szCs w:val="20"/>
        </w:rPr>
        <w:t>I</w:t>
      </w:r>
      <w:r w:rsidRPr="00584ECA">
        <w:rPr>
          <w:rFonts w:ascii="Arial" w:hAnsi="Arial" w:cs="Arial"/>
          <w:i/>
          <w:iCs/>
          <w:sz w:val="20"/>
          <w:szCs w:val="20"/>
        </w:rPr>
        <w:t>mpossibilidade de aplicação das sanções previstas no artigo 85 da Lei</w:t>
      </w:r>
      <w:r>
        <w:rPr>
          <w:rFonts w:ascii="Arial" w:hAnsi="Arial" w:cs="Arial"/>
          <w:i/>
          <w:iCs/>
          <w:sz w:val="20"/>
          <w:szCs w:val="20"/>
        </w:rPr>
        <w:t xml:space="preserve"> </w:t>
      </w:r>
      <w:r w:rsidRPr="00584ECA">
        <w:rPr>
          <w:rFonts w:ascii="Arial" w:hAnsi="Arial" w:cs="Arial"/>
          <w:i/>
          <w:iCs/>
          <w:sz w:val="20"/>
          <w:szCs w:val="20"/>
        </w:rPr>
        <w:t>Complementar Estadual nº 113 relativamente a fatos ocorridos antes de 15</w:t>
      </w:r>
      <w:r>
        <w:rPr>
          <w:rFonts w:ascii="Arial" w:hAnsi="Arial" w:cs="Arial"/>
          <w:i/>
          <w:iCs/>
          <w:sz w:val="20"/>
          <w:szCs w:val="20"/>
        </w:rPr>
        <w:t xml:space="preserve"> </w:t>
      </w:r>
      <w:r w:rsidRPr="00584ECA">
        <w:rPr>
          <w:rFonts w:ascii="Arial" w:hAnsi="Arial" w:cs="Arial"/>
          <w:i/>
          <w:iCs/>
          <w:sz w:val="20"/>
          <w:szCs w:val="20"/>
        </w:rPr>
        <w:t>de dezembro de 2005, em protocolados posteriores ou não à data de sua</w:t>
      </w:r>
      <w:r>
        <w:rPr>
          <w:rFonts w:ascii="Arial" w:hAnsi="Arial" w:cs="Arial"/>
          <w:i/>
          <w:iCs/>
          <w:sz w:val="20"/>
          <w:szCs w:val="20"/>
        </w:rPr>
        <w:t xml:space="preserve"> </w:t>
      </w:r>
      <w:r w:rsidRPr="00584ECA">
        <w:rPr>
          <w:rFonts w:ascii="Arial" w:hAnsi="Arial" w:cs="Arial"/>
          <w:i/>
          <w:iCs/>
          <w:sz w:val="20"/>
          <w:szCs w:val="20"/>
        </w:rPr>
        <w:t>vigência.”</w:t>
      </w:r>
    </w:p>
    <w:p w:rsidR="00584ECA" w:rsidRPr="00584ECA" w:rsidRDefault="00584ECA" w:rsidP="00584ECA">
      <w:pPr>
        <w:autoSpaceDE w:val="0"/>
        <w:autoSpaceDN w:val="0"/>
        <w:adjustRightInd w:val="0"/>
        <w:spacing w:after="0"/>
        <w:jc w:val="both"/>
        <w:rPr>
          <w:rFonts w:ascii="Arial" w:hAnsi="Arial" w:cs="Arial"/>
          <w:i/>
          <w:iCs/>
          <w:sz w:val="20"/>
          <w:szCs w:val="20"/>
        </w:rPr>
      </w:pPr>
    </w:p>
    <w:p w:rsidR="00584ECA" w:rsidRPr="00722860" w:rsidRDefault="00584ECA" w:rsidP="00584ECA">
      <w:pPr>
        <w:autoSpaceDE w:val="0"/>
        <w:autoSpaceDN w:val="0"/>
        <w:adjustRightInd w:val="0"/>
        <w:spacing w:after="0"/>
        <w:jc w:val="both"/>
        <w:rPr>
          <w:rFonts w:ascii="Arial" w:hAnsi="Arial" w:cs="Arial"/>
          <w:sz w:val="20"/>
          <w:szCs w:val="20"/>
        </w:rPr>
      </w:pPr>
      <w:r w:rsidRPr="00584ECA">
        <w:rPr>
          <w:rFonts w:ascii="Arial" w:hAnsi="Arial" w:cs="Arial"/>
          <w:sz w:val="20"/>
          <w:szCs w:val="20"/>
        </w:rPr>
        <w:t>Isto posto, ao consultar a jurisprudência desta Corte de</w:t>
      </w:r>
      <w:r>
        <w:rPr>
          <w:rFonts w:ascii="Arial" w:hAnsi="Arial" w:cs="Arial"/>
          <w:sz w:val="20"/>
          <w:szCs w:val="20"/>
        </w:rPr>
        <w:t xml:space="preserve"> </w:t>
      </w:r>
      <w:r w:rsidRPr="00584ECA">
        <w:rPr>
          <w:rFonts w:ascii="Arial" w:hAnsi="Arial" w:cs="Arial"/>
          <w:sz w:val="20"/>
          <w:szCs w:val="20"/>
        </w:rPr>
        <w:t xml:space="preserve">Contas, </w:t>
      </w:r>
      <w:r>
        <w:rPr>
          <w:rFonts w:ascii="Arial" w:hAnsi="Arial" w:cs="Arial"/>
          <w:sz w:val="20"/>
          <w:szCs w:val="20"/>
        </w:rPr>
        <w:t xml:space="preserve">anota-se </w:t>
      </w:r>
      <w:r w:rsidRPr="00584ECA">
        <w:rPr>
          <w:rFonts w:ascii="Arial" w:hAnsi="Arial" w:cs="Arial"/>
          <w:sz w:val="20"/>
          <w:szCs w:val="20"/>
        </w:rPr>
        <w:t>a existência de decisões recentes no sentido de reconhecer</w:t>
      </w:r>
      <w:r>
        <w:rPr>
          <w:rFonts w:ascii="Arial" w:hAnsi="Arial" w:cs="Arial"/>
          <w:sz w:val="20"/>
          <w:szCs w:val="20"/>
        </w:rPr>
        <w:t xml:space="preserve"> </w:t>
      </w:r>
      <w:r w:rsidRPr="00584ECA">
        <w:rPr>
          <w:rFonts w:ascii="Arial" w:hAnsi="Arial" w:cs="Arial"/>
          <w:sz w:val="20"/>
          <w:szCs w:val="20"/>
        </w:rPr>
        <w:t>de ofício a prescrição, notadamente quando se verifica a inércia e o</w:t>
      </w:r>
      <w:r>
        <w:rPr>
          <w:rFonts w:ascii="Arial" w:hAnsi="Arial" w:cs="Arial"/>
          <w:sz w:val="20"/>
          <w:szCs w:val="20"/>
        </w:rPr>
        <w:t xml:space="preserve"> </w:t>
      </w:r>
      <w:r w:rsidRPr="00584ECA">
        <w:rPr>
          <w:rFonts w:ascii="Arial" w:hAnsi="Arial" w:cs="Arial"/>
          <w:sz w:val="20"/>
          <w:szCs w:val="20"/>
        </w:rPr>
        <w:t>imobilismo da Admi</w:t>
      </w:r>
      <w:r>
        <w:rPr>
          <w:rFonts w:ascii="Arial" w:hAnsi="Arial" w:cs="Arial"/>
          <w:sz w:val="20"/>
          <w:szCs w:val="20"/>
        </w:rPr>
        <w:t>nistração, como se observa nos A</w:t>
      </w:r>
      <w:r w:rsidRPr="00584ECA">
        <w:rPr>
          <w:rFonts w:ascii="Arial" w:hAnsi="Arial" w:cs="Arial"/>
          <w:sz w:val="20"/>
          <w:szCs w:val="20"/>
        </w:rPr>
        <w:t>córdãos n</w:t>
      </w:r>
      <w:r w:rsidR="00722860">
        <w:rPr>
          <w:rFonts w:ascii="Arial" w:hAnsi="Arial" w:cs="Arial"/>
          <w:sz w:val="20"/>
          <w:szCs w:val="20"/>
        </w:rPr>
        <w:t>°</w:t>
      </w:r>
      <w:r w:rsidRPr="00584ECA">
        <w:rPr>
          <w:rFonts w:ascii="Arial" w:hAnsi="Arial" w:cs="Arial"/>
          <w:sz w:val="20"/>
          <w:szCs w:val="20"/>
        </w:rPr>
        <w:t xml:space="preserve">. 3086/16 </w:t>
      </w:r>
      <w:r w:rsidR="00722860">
        <w:rPr>
          <w:rFonts w:ascii="Arial" w:hAnsi="Arial" w:cs="Arial"/>
          <w:sz w:val="20"/>
          <w:szCs w:val="20"/>
        </w:rPr>
        <w:t>-</w:t>
      </w:r>
      <w:r>
        <w:rPr>
          <w:rFonts w:ascii="Arial" w:hAnsi="Arial" w:cs="Arial"/>
          <w:sz w:val="20"/>
          <w:szCs w:val="20"/>
        </w:rPr>
        <w:t xml:space="preserve"> Primeira Câmara </w:t>
      </w:r>
      <w:r w:rsidRPr="00584ECA">
        <w:rPr>
          <w:rFonts w:ascii="Arial" w:hAnsi="Arial" w:cs="Arial"/>
          <w:sz w:val="20"/>
          <w:szCs w:val="20"/>
        </w:rPr>
        <w:t>(</w:t>
      </w:r>
      <w:r w:rsidR="00722860">
        <w:rPr>
          <w:rFonts w:ascii="Arial" w:hAnsi="Arial" w:cs="Arial"/>
          <w:sz w:val="20"/>
          <w:szCs w:val="20"/>
        </w:rPr>
        <w:t>r</w:t>
      </w:r>
      <w:r w:rsidRPr="00584ECA">
        <w:rPr>
          <w:rFonts w:ascii="Arial" w:hAnsi="Arial" w:cs="Arial"/>
          <w:sz w:val="20"/>
          <w:szCs w:val="20"/>
        </w:rPr>
        <w:t>elatoria do Conselheiro Ivens Zschoerper Linhares), n</w:t>
      </w:r>
      <w:r w:rsidR="00722860">
        <w:rPr>
          <w:rFonts w:ascii="Arial" w:hAnsi="Arial" w:cs="Arial"/>
          <w:sz w:val="20"/>
          <w:szCs w:val="20"/>
        </w:rPr>
        <w:t>°</w:t>
      </w:r>
      <w:r w:rsidRPr="00584ECA">
        <w:rPr>
          <w:rFonts w:ascii="Arial" w:hAnsi="Arial" w:cs="Arial"/>
          <w:sz w:val="20"/>
          <w:szCs w:val="20"/>
        </w:rPr>
        <w:t xml:space="preserve">. 2127/16 </w:t>
      </w:r>
      <w:r w:rsidR="00244D05">
        <w:rPr>
          <w:rFonts w:ascii="Arial" w:hAnsi="Arial" w:cs="Arial"/>
          <w:sz w:val="20"/>
          <w:szCs w:val="20"/>
        </w:rPr>
        <w:t>-</w:t>
      </w:r>
      <w:r w:rsidR="00722860">
        <w:rPr>
          <w:rFonts w:ascii="Arial" w:hAnsi="Arial" w:cs="Arial"/>
          <w:sz w:val="20"/>
          <w:szCs w:val="20"/>
        </w:rPr>
        <w:t xml:space="preserve"> </w:t>
      </w:r>
      <w:r w:rsidRPr="00584ECA">
        <w:rPr>
          <w:rFonts w:ascii="Arial" w:hAnsi="Arial" w:cs="Arial"/>
          <w:sz w:val="20"/>
          <w:szCs w:val="20"/>
        </w:rPr>
        <w:t>T</w:t>
      </w:r>
      <w:r w:rsidR="00722860">
        <w:rPr>
          <w:rFonts w:ascii="Arial" w:hAnsi="Arial" w:cs="Arial"/>
          <w:sz w:val="20"/>
          <w:szCs w:val="20"/>
        </w:rPr>
        <w:t xml:space="preserve">ribunal Pleno </w:t>
      </w:r>
      <w:r w:rsidRPr="00584ECA">
        <w:rPr>
          <w:rFonts w:ascii="Arial" w:hAnsi="Arial" w:cs="Arial"/>
          <w:sz w:val="20"/>
          <w:szCs w:val="20"/>
        </w:rPr>
        <w:t>(</w:t>
      </w:r>
      <w:r w:rsidR="00722860">
        <w:rPr>
          <w:rFonts w:ascii="Arial" w:hAnsi="Arial" w:cs="Arial"/>
          <w:sz w:val="20"/>
          <w:szCs w:val="20"/>
        </w:rPr>
        <w:t>r</w:t>
      </w:r>
      <w:r w:rsidRPr="00584ECA">
        <w:rPr>
          <w:rFonts w:ascii="Arial" w:hAnsi="Arial" w:cs="Arial"/>
          <w:sz w:val="20"/>
          <w:szCs w:val="20"/>
        </w:rPr>
        <w:t>elatoria</w:t>
      </w:r>
      <w:r w:rsidR="00722860">
        <w:rPr>
          <w:rFonts w:ascii="Arial" w:hAnsi="Arial" w:cs="Arial"/>
          <w:sz w:val="20"/>
          <w:szCs w:val="20"/>
        </w:rPr>
        <w:t xml:space="preserve"> </w:t>
      </w:r>
      <w:r w:rsidRPr="00584ECA">
        <w:rPr>
          <w:rFonts w:ascii="Arial" w:hAnsi="Arial" w:cs="Arial"/>
          <w:sz w:val="20"/>
          <w:szCs w:val="20"/>
        </w:rPr>
        <w:t>do Conselheiro Fábio de Souza Camargo) e n</w:t>
      </w:r>
      <w:r w:rsidR="00722860">
        <w:rPr>
          <w:rFonts w:ascii="Arial" w:hAnsi="Arial" w:cs="Arial"/>
          <w:sz w:val="20"/>
          <w:szCs w:val="20"/>
        </w:rPr>
        <w:t xml:space="preserve">° </w:t>
      </w:r>
      <w:r w:rsidRPr="00584ECA">
        <w:rPr>
          <w:rFonts w:ascii="Arial" w:hAnsi="Arial" w:cs="Arial"/>
          <w:sz w:val="20"/>
          <w:szCs w:val="20"/>
        </w:rPr>
        <w:t xml:space="preserve">4659/16 </w:t>
      </w:r>
      <w:r w:rsidR="00722860">
        <w:rPr>
          <w:rFonts w:ascii="Arial" w:hAnsi="Arial" w:cs="Arial"/>
          <w:sz w:val="20"/>
          <w:szCs w:val="20"/>
        </w:rPr>
        <w:t>-</w:t>
      </w:r>
      <w:r w:rsidRPr="00584ECA">
        <w:rPr>
          <w:rFonts w:ascii="Arial" w:hAnsi="Arial" w:cs="Arial"/>
          <w:sz w:val="20"/>
          <w:szCs w:val="20"/>
        </w:rPr>
        <w:t xml:space="preserve"> T</w:t>
      </w:r>
      <w:r w:rsidR="00722860">
        <w:rPr>
          <w:rFonts w:ascii="Arial" w:hAnsi="Arial" w:cs="Arial"/>
          <w:sz w:val="20"/>
          <w:szCs w:val="20"/>
        </w:rPr>
        <w:t xml:space="preserve">ribunal Pleno </w:t>
      </w:r>
      <w:r w:rsidRPr="00584ECA">
        <w:rPr>
          <w:rFonts w:ascii="Arial" w:hAnsi="Arial" w:cs="Arial"/>
          <w:sz w:val="20"/>
          <w:szCs w:val="20"/>
        </w:rPr>
        <w:t>(relatoria do</w:t>
      </w:r>
      <w:r w:rsidR="00722860">
        <w:rPr>
          <w:rFonts w:ascii="Arial" w:hAnsi="Arial" w:cs="Arial"/>
          <w:sz w:val="20"/>
          <w:szCs w:val="20"/>
        </w:rPr>
        <w:t xml:space="preserve"> </w:t>
      </w:r>
      <w:r w:rsidRPr="00584ECA">
        <w:rPr>
          <w:rFonts w:ascii="Arial" w:hAnsi="Arial" w:cs="Arial"/>
          <w:sz w:val="20"/>
          <w:szCs w:val="20"/>
        </w:rPr>
        <w:t>Conselheiro José Durval Mattos do Amaral).</w:t>
      </w:r>
      <w:r>
        <w:rPr>
          <w:rFonts w:ascii="Arial" w:hAnsi="Arial" w:cs="Arial"/>
          <w:sz w:val="20"/>
          <w:szCs w:val="20"/>
        </w:rPr>
        <w:t xml:space="preserve"> </w:t>
      </w:r>
      <w:r w:rsidRPr="00722860">
        <w:rPr>
          <w:rFonts w:ascii="Arial" w:hAnsi="Arial" w:cs="Arial"/>
          <w:sz w:val="20"/>
          <w:szCs w:val="20"/>
        </w:rPr>
        <w:t>Reconhecimento de ofício da prescrição e consequente encerramento do feito.</w:t>
      </w:r>
    </w:p>
    <w:p w:rsidR="00584ECA" w:rsidRDefault="00584ECA" w:rsidP="00584ECA">
      <w:pPr>
        <w:autoSpaceDE w:val="0"/>
        <w:autoSpaceDN w:val="0"/>
        <w:adjustRightInd w:val="0"/>
        <w:spacing w:after="0"/>
        <w:jc w:val="both"/>
        <w:rPr>
          <w:rFonts w:ascii="Arial" w:hAnsi="Arial" w:cs="Arial"/>
          <w:b/>
          <w:sz w:val="20"/>
          <w:szCs w:val="20"/>
        </w:rPr>
      </w:pPr>
    </w:p>
    <w:p w:rsidR="00244D05" w:rsidRDefault="00244D05" w:rsidP="00584ECA">
      <w:pPr>
        <w:autoSpaceDE w:val="0"/>
        <w:autoSpaceDN w:val="0"/>
        <w:adjustRightInd w:val="0"/>
        <w:spacing w:after="0"/>
        <w:jc w:val="both"/>
        <w:rPr>
          <w:rFonts w:ascii="Arial" w:hAnsi="Arial" w:cs="Arial"/>
          <w:sz w:val="20"/>
          <w:szCs w:val="20"/>
        </w:rPr>
      </w:pPr>
      <w:r>
        <w:rPr>
          <w:rFonts w:ascii="Arial" w:hAnsi="Arial" w:cs="Arial"/>
          <w:sz w:val="20"/>
          <w:szCs w:val="20"/>
        </w:rPr>
        <w:t xml:space="preserve">Processo n° 479598/02 - </w:t>
      </w:r>
      <w:hyperlink r:id="rId13" w:history="1">
        <w:r w:rsidRPr="00A86F03">
          <w:rPr>
            <w:rStyle w:val="Hyperlink"/>
            <w:rFonts w:ascii="Arial" w:hAnsi="Arial" w:cs="Arial"/>
            <w:sz w:val="20"/>
            <w:szCs w:val="20"/>
          </w:rPr>
          <w:t>Acórdão n° 2340/18 - Tribunal Pleno</w:t>
        </w:r>
      </w:hyperlink>
      <w:r>
        <w:rPr>
          <w:rFonts w:ascii="Arial" w:hAnsi="Arial" w:cs="Arial"/>
          <w:sz w:val="20"/>
          <w:szCs w:val="20"/>
        </w:rPr>
        <w:t xml:space="preserve"> - Rel. Cons. </w:t>
      </w:r>
      <w:proofErr w:type="spellStart"/>
      <w:r>
        <w:rPr>
          <w:rFonts w:ascii="Arial" w:hAnsi="Arial" w:cs="Arial"/>
          <w:sz w:val="20"/>
          <w:szCs w:val="20"/>
        </w:rPr>
        <w:t>Artagão</w:t>
      </w:r>
      <w:proofErr w:type="spellEnd"/>
      <w:r>
        <w:rPr>
          <w:rFonts w:ascii="Arial" w:hAnsi="Arial" w:cs="Arial"/>
          <w:sz w:val="20"/>
          <w:szCs w:val="20"/>
        </w:rPr>
        <w:t xml:space="preserve"> de Mattos Leão.</w:t>
      </w:r>
    </w:p>
    <w:p w:rsidR="00F9749F" w:rsidRDefault="00F9749F" w:rsidP="00584ECA">
      <w:pPr>
        <w:autoSpaceDE w:val="0"/>
        <w:autoSpaceDN w:val="0"/>
        <w:adjustRightInd w:val="0"/>
        <w:spacing w:after="0"/>
        <w:jc w:val="both"/>
        <w:rPr>
          <w:rFonts w:ascii="Arial" w:hAnsi="Arial" w:cs="Arial"/>
          <w:sz w:val="20"/>
          <w:szCs w:val="20"/>
        </w:rPr>
      </w:pPr>
    </w:p>
    <w:p w:rsidR="00F9749F" w:rsidRPr="002E716A" w:rsidRDefault="004F06AF" w:rsidP="00C1357E">
      <w:pPr>
        <w:spacing w:after="0"/>
        <w:jc w:val="both"/>
        <w:rPr>
          <w:rStyle w:val="Hyperlink"/>
          <w:rFonts w:ascii="Arial" w:hAnsi="Arial" w:cs="Arial"/>
          <w:b/>
          <w:color w:val="000000" w:themeColor="text1"/>
          <w:sz w:val="20"/>
          <w:szCs w:val="20"/>
          <w:u w:val="none"/>
        </w:rPr>
      </w:pPr>
      <w:r>
        <w:rPr>
          <w:rStyle w:val="Hyperlink"/>
          <w:rFonts w:ascii="Arial" w:hAnsi="Arial" w:cs="Arial"/>
          <w:b/>
          <w:color w:val="000000" w:themeColor="text1"/>
          <w:sz w:val="20"/>
          <w:szCs w:val="20"/>
          <w:u w:val="none"/>
        </w:rPr>
        <w:t xml:space="preserve">7. </w:t>
      </w:r>
      <w:r w:rsidR="00F9749F">
        <w:rPr>
          <w:rStyle w:val="Hyperlink"/>
          <w:rFonts w:ascii="Arial" w:hAnsi="Arial" w:cs="Arial"/>
          <w:b/>
          <w:color w:val="000000" w:themeColor="text1"/>
          <w:sz w:val="20"/>
          <w:szCs w:val="20"/>
          <w:u w:val="none"/>
        </w:rPr>
        <w:t xml:space="preserve">Denúncia. </w:t>
      </w:r>
      <w:r w:rsidR="00F9749F" w:rsidRPr="002E716A">
        <w:rPr>
          <w:rStyle w:val="Hyperlink"/>
          <w:rFonts w:ascii="Arial" w:hAnsi="Arial" w:cs="Arial"/>
          <w:b/>
          <w:color w:val="000000" w:themeColor="text1"/>
          <w:sz w:val="20"/>
          <w:szCs w:val="20"/>
          <w:u w:val="none"/>
        </w:rPr>
        <w:t>Cobrança de taxa para emissão de cert</w:t>
      </w:r>
      <w:r w:rsidR="00F9749F">
        <w:rPr>
          <w:rStyle w:val="Hyperlink"/>
          <w:rFonts w:ascii="Arial" w:hAnsi="Arial" w:cs="Arial"/>
          <w:b/>
          <w:color w:val="000000" w:themeColor="text1"/>
          <w:sz w:val="20"/>
          <w:szCs w:val="20"/>
          <w:u w:val="none"/>
        </w:rPr>
        <w:t xml:space="preserve">idão de antecedentes criminais. Controle de constitucionalidade pelo Tribunal de Contas. Súmula 347 do STF. </w:t>
      </w:r>
      <w:r w:rsidR="00F9749F" w:rsidRPr="002E716A">
        <w:rPr>
          <w:rStyle w:val="Hyperlink"/>
          <w:rFonts w:ascii="Arial" w:hAnsi="Arial" w:cs="Arial"/>
          <w:b/>
          <w:color w:val="000000" w:themeColor="text1"/>
          <w:sz w:val="20"/>
          <w:szCs w:val="20"/>
          <w:u w:val="none"/>
        </w:rPr>
        <w:t>Ofensa à literalidade do art. 5º, XXXIV, “b”, da CF/88.</w:t>
      </w:r>
      <w:r w:rsidR="00F9749F">
        <w:rPr>
          <w:rStyle w:val="Hyperlink"/>
          <w:rFonts w:ascii="Arial" w:hAnsi="Arial" w:cs="Arial"/>
          <w:b/>
          <w:color w:val="000000" w:themeColor="text1"/>
          <w:sz w:val="20"/>
          <w:szCs w:val="20"/>
          <w:u w:val="none"/>
        </w:rPr>
        <w:t xml:space="preserve"> </w:t>
      </w:r>
      <w:r w:rsidR="00F9749F" w:rsidRPr="002E716A">
        <w:rPr>
          <w:rStyle w:val="Hyperlink"/>
          <w:rFonts w:ascii="Arial" w:hAnsi="Arial" w:cs="Arial"/>
          <w:b/>
          <w:color w:val="000000" w:themeColor="text1"/>
          <w:sz w:val="20"/>
          <w:szCs w:val="20"/>
          <w:u w:val="none"/>
        </w:rPr>
        <w:t xml:space="preserve"> Procedência com determinação. </w:t>
      </w:r>
    </w:p>
    <w:p w:rsidR="00F9749F" w:rsidRPr="002E716A" w:rsidRDefault="00F9749F" w:rsidP="00C1357E">
      <w:pPr>
        <w:spacing w:after="0"/>
        <w:jc w:val="both"/>
        <w:rPr>
          <w:rStyle w:val="Hyperlink"/>
          <w:rFonts w:ascii="Arial" w:hAnsi="Arial" w:cs="Arial"/>
          <w:b/>
          <w:color w:val="000000" w:themeColor="text1"/>
          <w:sz w:val="20"/>
          <w:szCs w:val="20"/>
          <w:u w:val="none"/>
        </w:rPr>
      </w:pPr>
    </w:p>
    <w:p w:rsidR="00F9749F" w:rsidRDefault="00F9749F" w:rsidP="00C1357E">
      <w:pPr>
        <w:spacing w:after="0"/>
        <w:jc w:val="both"/>
        <w:rPr>
          <w:rStyle w:val="Hyperlink"/>
          <w:rFonts w:ascii="Arial" w:hAnsi="Arial" w:cs="Arial"/>
          <w:i/>
          <w:color w:val="000000" w:themeColor="text1"/>
          <w:sz w:val="20"/>
          <w:szCs w:val="20"/>
          <w:u w:val="none"/>
        </w:rPr>
      </w:pPr>
      <w:r>
        <w:rPr>
          <w:rStyle w:val="Hyperlink"/>
          <w:rFonts w:ascii="Arial" w:hAnsi="Arial" w:cs="Arial"/>
          <w:color w:val="000000" w:themeColor="text1"/>
          <w:sz w:val="20"/>
          <w:szCs w:val="20"/>
          <w:u w:val="none"/>
        </w:rPr>
        <w:t xml:space="preserve">A possibilidade do exercício do controle de constitucionalidade pelos Tribunais de Contas é há muito tempo reconhecida pelo Supremo Tribunal Federal, na Súmula 347: </w:t>
      </w:r>
      <w:r w:rsidRPr="00F9749F">
        <w:rPr>
          <w:rStyle w:val="Hyperlink"/>
          <w:rFonts w:ascii="Arial" w:hAnsi="Arial" w:cs="Arial"/>
          <w:i/>
          <w:color w:val="000000" w:themeColor="text1"/>
          <w:sz w:val="20"/>
          <w:szCs w:val="20"/>
          <w:u w:val="none"/>
        </w:rPr>
        <w:t xml:space="preserve">“O Tribunal de Contas, no exercício de suas atribuições, pode apreciar a constitucionalidade das leis e dos atos do poder público”. </w:t>
      </w:r>
    </w:p>
    <w:p w:rsidR="00F9749F" w:rsidRPr="00F9749F" w:rsidRDefault="00F9749F" w:rsidP="00C1357E">
      <w:pPr>
        <w:spacing w:after="0"/>
        <w:jc w:val="both"/>
        <w:rPr>
          <w:rStyle w:val="Hyperlink"/>
          <w:rFonts w:ascii="Arial" w:hAnsi="Arial" w:cs="Arial"/>
          <w:i/>
          <w:color w:val="000000" w:themeColor="text1"/>
          <w:sz w:val="20"/>
          <w:szCs w:val="20"/>
          <w:u w:val="none"/>
        </w:rPr>
      </w:pPr>
    </w:p>
    <w:p w:rsidR="00F9749F" w:rsidRDefault="00F9749F" w:rsidP="00C1357E">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Nessa linha, podem os Tribunais de Contas reconhecer a incompatibilidade formal ou material de tais atos normativos e afastar a sua aplicabilidade na via incidental por afrontar a Carta Constitucional ou, no caso das normas preexistentes, por ser com ela incompatível, em um juízo de recepção. </w:t>
      </w:r>
    </w:p>
    <w:p w:rsidR="00F9749F" w:rsidRDefault="00F9749F" w:rsidP="00C1357E">
      <w:pPr>
        <w:spacing w:after="0"/>
        <w:jc w:val="both"/>
        <w:rPr>
          <w:rStyle w:val="Hyperlink"/>
          <w:rFonts w:ascii="Arial" w:hAnsi="Arial" w:cs="Arial"/>
          <w:color w:val="000000" w:themeColor="text1"/>
          <w:sz w:val="20"/>
          <w:szCs w:val="20"/>
          <w:u w:val="none"/>
        </w:rPr>
      </w:pPr>
    </w:p>
    <w:p w:rsidR="00F9749F" w:rsidRDefault="00F9749F" w:rsidP="00C1357E">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A cobrança de taxa para emissão de certidão de antecedentes criminais viola comando constitucional expresso, encartado em seu art. 5º, XXXIV, “b”. A Carta Maior garante a todos o acesso gratuito à emissão de certidões em repartições públicas. Denúncia julgada procedente com determinação. </w:t>
      </w:r>
    </w:p>
    <w:p w:rsidR="00F9749F" w:rsidRDefault="00F9749F" w:rsidP="00C1357E">
      <w:pPr>
        <w:spacing w:after="0"/>
        <w:jc w:val="both"/>
        <w:rPr>
          <w:rStyle w:val="Hyperlink"/>
          <w:rFonts w:ascii="Arial" w:hAnsi="Arial" w:cs="Arial"/>
          <w:color w:val="000000" w:themeColor="text1"/>
          <w:sz w:val="20"/>
          <w:szCs w:val="20"/>
          <w:u w:val="none"/>
        </w:rPr>
      </w:pPr>
    </w:p>
    <w:p w:rsidR="00F9749F" w:rsidRDefault="00F9749F" w:rsidP="00C1357E">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Processo nº 306187/18 - </w:t>
      </w:r>
      <w:hyperlink r:id="rId14" w:history="1">
        <w:r w:rsidRPr="00E36EC6">
          <w:rPr>
            <w:rStyle w:val="Hyperlink"/>
            <w:rFonts w:ascii="Arial" w:hAnsi="Arial" w:cs="Arial"/>
            <w:sz w:val="20"/>
            <w:szCs w:val="20"/>
          </w:rPr>
          <w:t xml:space="preserve">Acórdão nº 2279/18 </w:t>
        </w:r>
        <w:r>
          <w:rPr>
            <w:rStyle w:val="Hyperlink"/>
            <w:rFonts w:ascii="Arial" w:hAnsi="Arial" w:cs="Arial"/>
            <w:sz w:val="20"/>
            <w:szCs w:val="20"/>
          </w:rPr>
          <w:t>-</w:t>
        </w:r>
        <w:r w:rsidRPr="00E36EC6">
          <w:rPr>
            <w:rStyle w:val="Hyperlink"/>
            <w:rFonts w:ascii="Arial" w:hAnsi="Arial" w:cs="Arial"/>
            <w:sz w:val="20"/>
            <w:szCs w:val="20"/>
          </w:rPr>
          <w:t xml:space="preserve"> Tribunal Pleno</w:t>
        </w:r>
      </w:hyperlink>
      <w:r>
        <w:rPr>
          <w:rStyle w:val="Hyperlink"/>
          <w:rFonts w:ascii="Arial" w:hAnsi="Arial" w:cs="Arial"/>
          <w:color w:val="000000" w:themeColor="text1"/>
          <w:sz w:val="20"/>
          <w:szCs w:val="20"/>
          <w:u w:val="none"/>
        </w:rPr>
        <w:t xml:space="preserve"> - Relator Auditor Tiago Alvarez Pedroso. </w:t>
      </w:r>
    </w:p>
    <w:p w:rsidR="00F9749F" w:rsidRPr="003040FD" w:rsidRDefault="004F06AF" w:rsidP="00C1357E">
      <w:pPr>
        <w:spacing w:after="0"/>
        <w:jc w:val="both"/>
        <w:rPr>
          <w:rStyle w:val="Hyperlink"/>
          <w:rFonts w:ascii="Arial" w:hAnsi="Arial" w:cs="Arial"/>
          <w:b/>
          <w:color w:val="000000" w:themeColor="text1"/>
          <w:sz w:val="20"/>
          <w:szCs w:val="20"/>
          <w:u w:val="none"/>
        </w:rPr>
      </w:pPr>
      <w:r>
        <w:rPr>
          <w:rStyle w:val="Hyperlink"/>
          <w:rFonts w:ascii="Arial" w:hAnsi="Arial" w:cs="Arial"/>
          <w:b/>
          <w:color w:val="000000" w:themeColor="text1"/>
          <w:sz w:val="20"/>
          <w:szCs w:val="20"/>
          <w:u w:val="none"/>
        </w:rPr>
        <w:lastRenderedPageBreak/>
        <w:t xml:space="preserve">8. </w:t>
      </w:r>
      <w:r w:rsidR="00F9749F" w:rsidRPr="003040FD">
        <w:rPr>
          <w:rStyle w:val="Hyperlink"/>
          <w:rFonts w:ascii="Arial" w:hAnsi="Arial" w:cs="Arial"/>
          <w:b/>
          <w:color w:val="000000" w:themeColor="text1"/>
          <w:sz w:val="20"/>
          <w:szCs w:val="20"/>
          <w:u w:val="none"/>
        </w:rPr>
        <w:t xml:space="preserve">Representação da Lei nº 8.666/93. Pregão presencial. Exigência de apresentação pela licitante de dois atestados de comprovação. Restrição indevida ao caráter competitivo. Procedência deste apontamento. </w:t>
      </w:r>
    </w:p>
    <w:p w:rsidR="00F9749F" w:rsidRPr="003040FD" w:rsidRDefault="00F9749F" w:rsidP="00C1357E">
      <w:pPr>
        <w:spacing w:after="0"/>
        <w:jc w:val="both"/>
        <w:rPr>
          <w:rStyle w:val="Hyperlink"/>
          <w:rFonts w:ascii="Arial" w:hAnsi="Arial" w:cs="Arial"/>
          <w:b/>
          <w:color w:val="000000" w:themeColor="text1"/>
          <w:sz w:val="20"/>
          <w:szCs w:val="20"/>
          <w:u w:val="none"/>
        </w:rPr>
      </w:pPr>
    </w:p>
    <w:p w:rsidR="00F9749F" w:rsidRDefault="00F9749F" w:rsidP="00C1357E">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Entre os apontamentos da Representação, aludiu-se que o Edital de Pregão Presencial exigia como qualificação técnica, dois atestados de capacidade técnica. </w:t>
      </w:r>
    </w:p>
    <w:p w:rsidR="007073C9" w:rsidRDefault="007073C9" w:rsidP="00C1357E">
      <w:pPr>
        <w:spacing w:after="0"/>
        <w:jc w:val="both"/>
        <w:rPr>
          <w:rStyle w:val="Hyperlink"/>
          <w:rFonts w:ascii="Arial" w:hAnsi="Arial" w:cs="Arial"/>
          <w:color w:val="000000" w:themeColor="text1"/>
          <w:sz w:val="20"/>
          <w:szCs w:val="20"/>
          <w:u w:val="none"/>
        </w:rPr>
      </w:pPr>
    </w:p>
    <w:p w:rsidR="007073C9" w:rsidRDefault="00F9749F" w:rsidP="00C1357E">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O § 5º do art. 30, da Lei nº 8666/93, veda a exigência de comprovação de atividade ou de aptidão com limitações de tempo ou de época ou ainda em locais específicos, ou quaisquer outras não previstas nesta Lei, que inibam a participação na licitação.</w:t>
      </w:r>
    </w:p>
    <w:p w:rsidR="00F9749F" w:rsidRDefault="00F9749F" w:rsidP="00C1357E">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 </w:t>
      </w:r>
    </w:p>
    <w:p w:rsidR="00F9749F" w:rsidRDefault="00F9749F" w:rsidP="00C1357E">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A exigência de dois atestados se mostra irregular, tendo em vista que inibe a participação de licitantes que comprovadamente estão aptos a executar o contrato, apenas não dispondo do número de certidões exigido pelo Município. </w:t>
      </w:r>
    </w:p>
    <w:p w:rsidR="00F9749F" w:rsidRDefault="00F9749F" w:rsidP="00C1357E">
      <w:pPr>
        <w:spacing w:after="0"/>
        <w:jc w:val="both"/>
        <w:rPr>
          <w:rStyle w:val="Hyperlink"/>
          <w:rFonts w:ascii="Arial" w:hAnsi="Arial" w:cs="Arial"/>
          <w:color w:val="000000" w:themeColor="text1"/>
          <w:sz w:val="20"/>
          <w:szCs w:val="20"/>
          <w:u w:val="none"/>
        </w:rPr>
      </w:pPr>
    </w:p>
    <w:p w:rsidR="00F9749F" w:rsidRDefault="00F9749F" w:rsidP="00C1357E">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Processo nº 256058/18 - </w:t>
      </w:r>
      <w:hyperlink r:id="rId15" w:history="1">
        <w:r w:rsidRPr="00766E3E">
          <w:rPr>
            <w:rStyle w:val="Hyperlink"/>
            <w:rFonts w:ascii="Arial" w:hAnsi="Arial" w:cs="Arial"/>
            <w:sz w:val="20"/>
            <w:szCs w:val="20"/>
          </w:rPr>
          <w:t>Acórdão nº 2277/18</w:t>
        </w:r>
        <w:r>
          <w:rPr>
            <w:rStyle w:val="Hyperlink"/>
            <w:rFonts w:ascii="Arial" w:hAnsi="Arial" w:cs="Arial"/>
            <w:sz w:val="20"/>
            <w:szCs w:val="20"/>
          </w:rPr>
          <w:t xml:space="preserve"> </w:t>
        </w:r>
        <w:r w:rsidRPr="00766E3E">
          <w:rPr>
            <w:rStyle w:val="Hyperlink"/>
            <w:rFonts w:ascii="Arial" w:hAnsi="Arial" w:cs="Arial"/>
            <w:sz w:val="20"/>
            <w:szCs w:val="20"/>
          </w:rPr>
          <w:t>-</w:t>
        </w:r>
        <w:r>
          <w:rPr>
            <w:rStyle w:val="Hyperlink"/>
            <w:rFonts w:ascii="Arial" w:hAnsi="Arial" w:cs="Arial"/>
            <w:sz w:val="20"/>
            <w:szCs w:val="20"/>
          </w:rPr>
          <w:t xml:space="preserve"> </w:t>
        </w:r>
        <w:r w:rsidRPr="00766E3E">
          <w:rPr>
            <w:rStyle w:val="Hyperlink"/>
            <w:rFonts w:ascii="Arial" w:hAnsi="Arial" w:cs="Arial"/>
            <w:sz w:val="20"/>
            <w:szCs w:val="20"/>
          </w:rPr>
          <w:t>Tribunal Pleno</w:t>
        </w:r>
      </w:hyperlink>
      <w:r>
        <w:rPr>
          <w:rStyle w:val="Hyperlink"/>
          <w:rFonts w:ascii="Arial" w:hAnsi="Arial" w:cs="Arial"/>
          <w:color w:val="000000" w:themeColor="text1"/>
          <w:sz w:val="20"/>
          <w:szCs w:val="20"/>
          <w:u w:val="none"/>
        </w:rPr>
        <w:t xml:space="preserve"> - Relator Auditor Sérgio Ricardo Valadares Fonseca. </w:t>
      </w:r>
    </w:p>
    <w:p w:rsidR="00F9749F" w:rsidRDefault="00F9749F" w:rsidP="00C1357E">
      <w:pPr>
        <w:spacing w:after="0"/>
        <w:jc w:val="both"/>
        <w:rPr>
          <w:rStyle w:val="Hyperlink"/>
          <w:rFonts w:ascii="Arial" w:hAnsi="Arial" w:cs="Arial"/>
          <w:color w:val="000000" w:themeColor="text1"/>
          <w:sz w:val="20"/>
          <w:szCs w:val="20"/>
          <w:u w:val="none"/>
        </w:rPr>
      </w:pPr>
    </w:p>
    <w:p w:rsidR="00F9749F" w:rsidRPr="002E716A" w:rsidRDefault="004F06AF" w:rsidP="00C1357E">
      <w:pPr>
        <w:spacing w:after="0"/>
        <w:jc w:val="both"/>
        <w:rPr>
          <w:rStyle w:val="Hyperlink"/>
          <w:rFonts w:ascii="Arial" w:hAnsi="Arial" w:cs="Arial"/>
          <w:b/>
          <w:color w:val="000000" w:themeColor="text1"/>
          <w:sz w:val="20"/>
          <w:szCs w:val="20"/>
          <w:u w:val="none"/>
        </w:rPr>
      </w:pPr>
      <w:r>
        <w:rPr>
          <w:rStyle w:val="Hyperlink"/>
          <w:rFonts w:ascii="Arial" w:hAnsi="Arial" w:cs="Arial"/>
          <w:b/>
          <w:color w:val="000000" w:themeColor="text1"/>
          <w:sz w:val="20"/>
          <w:szCs w:val="20"/>
          <w:u w:val="none"/>
        </w:rPr>
        <w:t xml:space="preserve">9. </w:t>
      </w:r>
      <w:r w:rsidR="00F9749F" w:rsidRPr="002E716A">
        <w:rPr>
          <w:rStyle w:val="Hyperlink"/>
          <w:rFonts w:ascii="Arial" w:hAnsi="Arial" w:cs="Arial"/>
          <w:b/>
          <w:color w:val="000000" w:themeColor="text1"/>
          <w:sz w:val="20"/>
          <w:szCs w:val="20"/>
          <w:u w:val="none"/>
        </w:rPr>
        <w:t xml:space="preserve">Representação da Lei nº 8.666/93. Pregão eletrônico. Uso de software robô. Apresentação de lances em menos de um segundo. Procedência. Determinação de anulação da sessão de lances e repetição do ato. </w:t>
      </w:r>
    </w:p>
    <w:p w:rsidR="00643CB9" w:rsidRDefault="00643CB9" w:rsidP="00C1357E">
      <w:pPr>
        <w:spacing w:after="0"/>
        <w:jc w:val="both"/>
        <w:rPr>
          <w:rStyle w:val="Hyperlink"/>
          <w:rFonts w:ascii="Arial" w:hAnsi="Arial" w:cs="Arial"/>
          <w:color w:val="000000" w:themeColor="text1"/>
          <w:sz w:val="20"/>
          <w:szCs w:val="20"/>
          <w:u w:val="none"/>
        </w:rPr>
      </w:pPr>
    </w:p>
    <w:p w:rsidR="00F9749F" w:rsidRDefault="00F9749F" w:rsidP="00C1357E">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A utilização de softwares robôs de lances automáticos viola a competitividade e a isonomia entre os licitantes. Nesta Representação, apresentada por empresa que se sentiu prejudicada, a proposta de voto assim consignou: </w:t>
      </w:r>
    </w:p>
    <w:p w:rsidR="00643CB9" w:rsidRDefault="00643CB9" w:rsidP="00C1357E">
      <w:pPr>
        <w:spacing w:after="0"/>
        <w:jc w:val="both"/>
        <w:rPr>
          <w:rStyle w:val="Hyperlink"/>
          <w:rFonts w:ascii="Arial" w:hAnsi="Arial" w:cs="Arial"/>
          <w:color w:val="000000" w:themeColor="text1"/>
          <w:sz w:val="20"/>
          <w:szCs w:val="20"/>
          <w:u w:val="none"/>
        </w:rPr>
      </w:pPr>
    </w:p>
    <w:p w:rsidR="00F9749F" w:rsidRDefault="00F9749F" w:rsidP="00C1357E">
      <w:pPr>
        <w:spacing w:after="0"/>
        <w:jc w:val="both"/>
        <w:rPr>
          <w:rStyle w:val="Hyperlink"/>
          <w:rFonts w:ascii="Arial" w:hAnsi="Arial" w:cs="Arial"/>
          <w:i/>
          <w:color w:val="000000" w:themeColor="text1"/>
          <w:sz w:val="20"/>
          <w:szCs w:val="20"/>
          <w:u w:val="none"/>
        </w:rPr>
      </w:pPr>
      <w:r w:rsidRPr="00643CB9">
        <w:rPr>
          <w:rStyle w:val="Hyperlink"/>
          <w:rFonts w:ascii="Arial" w:hAnsi="Arial" w:cs="Arial"/>
          <w:i/>
          <w:color w:val="000000" w:themeColor="text1"/>
          <w:sz w:val="20"/>
          <w:szCs w:val="20"/>
          <w:u w:val="none"/>
        </w:rPr>
        <w:t xml:space="preserve">“Nesta linha, entendo que a utilização de software de remessa automática de lances em licitações (robô, em oposição ao preenchimento manual por operador humano), conduz à vantagem competitiva dos licitantes que detêm a tecnologia sobre os demais participantes, o que ofende ao princípio da isonomia e ao caráter competitivo do certame (art. 3º da Lei nº 8.666/93 e o Parágrafo Único do art. 5º do Decreto nº 5450/2005)”. </w:t>
      </w:r>
    </w:p>
    <w:p w:rsidR="00643CB9" w:rsidRPr="00643CB9" w:rsidRDefault="00643CB9" w:rsidP="00C1357E">
      <w:pPr>
        <w:spacing w:after="0"/>
        <w:jc w:val="both"/>
        <w:rPr>
          <w:rStyle w:val="Hyperlink"/>
          <w:rFonts w:ascii="Arial" w:hAnsi="Arial" w:cs="Arial"/>
          <w:i/>
          <w:color w:val="000000" w:themeColor="text1"/>
          <w:sz w:val="20"/>
          <w:szCs w:val="20"/>
          <w:u w:val="none"/>
        </w:rPr>
      </w:pPr>
    </w:p>
    <w:p w:rsidR="00F9749F" w:rsidRDefault="00F9749F" w:rsidP="00C1357E">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Consta ainda, do julgado que de fato, não há dúvida que a utilização deste artifício tecnológico traz franca desigualdade de disputa com os licitantes que realizam o preenchimento manual por operadores humanos, uma vez que mesmo um profissional treinado não é capaz de receber, compreender e enviar uma nova proposta em milésimos de segundo. O software robô supera a agilidade humana e potencializa, em muito, a chance de vitória. </w:t>
      </w:r>
    </w:p>
    <w:p w:rsidR="00F9749F" w:rsidRDefault="00F9749F" w:rsidP="00C1357E">
      <w:pPr>
        <w:spacing w:after="0"/>
        <w:jc w:val="both"/>
        <w:rPr>
          <w:rStyle w:val="Hyperlink"/>
          <w:rFonts w:ascii="Arial" w:hAnsi="Arial" w:cs="Arial"/>
          <w:color w:val="000000" w:themeColor="text1"/>
          <w:sz w:val="20"/>
          <w:szCs w:val="20"/>
          <w:u w:val="none"/>
        </w:rPr>
      </w:pPr>
    </w:p>
    <w:p w:rsidR="00F9749F" w:rsidRDefault="00F9749F" w:rsidP="00C1357E">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Determinou-se a anulação da sessão de lances e a repetição do ato no pregão eletrônico por se concluir que a utilização desses mecanismos acaba por estabelecer condições objetivas que frustram a competitividade do certame e a isonomia entre os participantes, violando o art. 3º da Lei nº 8666/93 e o Parágrafo Único do art. 5º do Decreto nº 5450/05. </w:t>
      </w:r>
    </w:p>
    <w:p w:rsidR="00F9749F" w:rsidRDefault="00F9749F" w:rsidP="00C1357E">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lastRenderedPageBreak/>
        <w:t xml:space="preserve">Processo nº 498248/18 </w:t>
      </w:r>
      <w:r w:rsidR="00C1357E">
        <w:rPr>
          <w:rStyle w:val="Hyperlink"/>
          <w:rFonts w:ascii="Arial" w:hAnsi="Arial" w:cs="Arial"/>
          <w:color w:val="000000" w:themeColor="text1"/>
          <w:sz w:val="20"/>
          <w:szCs w:val="20"/>
          <w:u w:val="none"/>
        </w:rPr>
        <w:t>-</w:t>
      </w:r>
      <w:r>
        <w:rPr>
          <w:rStyle w:val="Hyperlink"/>
          <w:rFonts w:ascii="Arial" w:hAnsi="Arial" w:cs="Arial"/>
          <w:color w:val="000000" w:themeColor="text1"/>
          <w:sz w:val="20"/>
          <w:szCs w:val="20"/>
          <w:u w:val="none"/>
        </w:rPr>
        <w:t xml:space="preserve"> </w:t>
      </w:r>
      <w:hyperlink r:id="rId16" w:history="1">
        <w:r w:rsidRPr="00766E3E">
          <w:rPr>
            <w:rStyle w:val="Hyperlink"/>
            <w:rFonts w:ascii="Arial" w:hAnsi="Arial" w:cs="Arial"/>
            <w:sz w:val="20"/>
            <w:szCs w:val="20"/>
          </w:rPr>
          <w:t xml:space="preserve">Acórdão nº 2276/18 </w:t>
        </w:r>
        <w:r w:rsidR="00C1357E">
          <w:rPr>
            <w:rStyle w:val="Hyperlink"/>
            <w:rFonts w:ascii="Arial" w:hAnsi="Arial" w:cs="Arial"/>
            <w:sz w:val="20"/>
            <w:szCs w:val="20"/>
          </w:rPr>
          <w:t>-</w:t>
        </w:r>
        <w:r w:rsidRPr="00766E3E">
          <w:rPr>
            <w:rStyle w:val="Hyperlink"/>
            <w:rFonts w:ascii="Arial" w:hAnsi="Arial" w:cs="Arial"/>
            <w:sz w:val="20"/>
            <w:szCs w:val="20"/>
          </w:rPr>
          <w:t xml:space="preserve"> Tribunal Pleno</w:t>
        </w:r>
      </w:hyperlink>
      <w:r>
        <w:rPr>
          <w:rStyle w:val="Hyperlink"/>
          <w:rFonts w:ascii="Arial" w:hAnsi="Arial" w:cs="Arial"/>
          <w:color w:val="000000" w:themeColor="text1"/>
          <w:sz w:val="20"/>
          <w:szCs w:val="20"/>
          <w:u w:val="none"/>
        </w:rPr>
        <w:t xml:space="preserve"> </w:t>
      </w:r>
      <w:r w:rsidR="00C1357E">
        <w:rPr>
          <w:rStyle w:val="Hyperlink"/>
          <w:rFonts w:ascii="Arial" w:hAnsi="Arial" w:cs="Arial"/>
          <w:color w:val="000000" w:themeColor="text1"/>
          <w:sz w:val="20"/>
          <w:szCs w:val="20"/>
          <w:u w:val="none"/>
        </w:rPr>
        <w:t>-</w:t>
      </w:r>
      <w:r>
        <w:rPr>
          <w:rStyle w:val="Hyperlink"/>
          <w:rFonts w:ascii="Arial" w:hAnsi="Arial" w:cs="Arial"/>
          <w:color w:val="000000" w:themeColor="text1"/>
          <w:sz w:val="20"/>
          <w:szCs w:val="20"/>
          <w:u w:val="none"/>
        </w:rPr>
        <w:t xml:space="preserve"> Relator Conselheiro Ivens Zschoerper Linhares. </w:t>
      </w:r>
    </w:p>
    <w:p w:rsidR="0026510B" w:rsidRPr="00584ECA" w:rsidRDefault="0026510B" w:rsidP="00584ECA">
      <w:pPr>
        <w:autoSpaceDE w:val="0"/>
        <w:autoSpaceDN w:val="0"/>
        <w:adjustRightInd w:val="0"/>
        <w:spacing w:after="0"/>
        <w:jc w:val="both"/>
        <w:rPr>
          <w:rFonts w:ascii="Arial" w:hAnsi="Arial" w:cs="Arial"/>
          <w:color w:val="000000"/>
          <w:sz w:val="20"/>
          <w:szCs w:val="20"/>
          <w:shd w:val="clear" w:color="auto" w:fill="FFFFFF"/>
        </w:rPr>
      </w:pPr>
    </w:p>
    <w:p w:rsidR="00E8762F" w:rsidRPr="0022060B" w:rsidRDefault="00E8762F" w:rsidP="00816942">
      <w:pPr>
        <w:autoSpaceDE w:val="0"/>
        <w:autoSpaceDN w:val="0"/>
        <w:adjustRightInd w:val="0"/>
        <w:spacing w:after="0"/>
        <w:jc w:val="both"/>
        <w:rPr>
          <w:rFonts w:ascii="Arial" w:hAnsi="Arial" w:cs="Arial"/>
          <w:sz w:val="20"/>
          <w:szCs w:val="20"/>
        </w:rPr>
      </w:pPr>
      <w:r w:rsidRPr="0022060B">
        <w:rPr>
          <w:rFonts w:ascii="Arial" w:hAnsi="Arial" w:cs="Arial"/>
          <w:sz w:val="20"/>
          <w:szCs w:val="20"/>
        </w:rPr>
        <w:t xml:space="preserve">Observações: </w:t>
      </w:r>
    </w:p>
    <w:p w:rsidR="005C4DB7" w:rsidRPr="0022060B" w:rsidRDefault="00E4415D" w:rsidP="00816942">
      <w:pPr>
        <w:spacing w:after="0"/>
        <w:rPr>
          <w:rFonts w:ascii="Arial" w:hAnsi="Arial" w:cs="Arial"/>
          <w:b/>
          <w:color w:val="000000"/>
          <w:sz w:val="20"/>
          <w:szCs w:val="20"/>
        </w:rPr>
      </w:pPr>
      <w:r w:rsidRPr="0022060B">
        <w:rPr>
          <w:rFonts w:ascii="Arial" w:hAnsi="Arial" w:cs="Arial"/>
          <w:noProof/>
          <w:sz w:val="20"/>
          <w:szCs w:val="20"/>
          <w:lang w:eastAsia="pt-BR"/>
        </w:rPr>
        <mc:AlternateContent>
          <mc:Choice Requires="wps">
            <w:drawing>
              <wp:anchor distT="0" distB="0" distL="114300" distR="114300" simplePos="0" relativeHeight="251654656" behindDoc="0" locked="0" layoutInCell="1" allowOverlap="1" wp14:anchorId="15D64EE6" wp14:editId="599D7F15">
                <wp:simplePos x="0" y="0"/>
                <wp:positionH relativeFrom="margin">
                  <wp:posOffset>-6985</wp:posOffset>
                </wp:positionH>
                <wp:positionV relativeFrom="paragraph">
                  <wp:posOffset>73660</wp:posOffset>
                </wp:positionV>
                <wp:extent cx="5499100" cy="0"/>
                <wp:effectExtent l="0" t="0" r="25400" b="57150"/>
                <wp:wrapNone/>
                <wp:docPr id="58" name="Conector reto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B577E9F" id="Conector reto 58" o:spid="_x0000_s1026" style="position:absolute;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" strokecolor="black [3200]" strokeweight="2pt">
                <v:shadow on="t" color="black" opacity="24903f" origin=",.5" offset="0,.55556mm"/>
                <w10:wrap anchorx="margin"/>
              </v:line>
            </w:pict>
          </mc:Fallback>
        </mc:AlternateContent>
      </w:r>
    </w:p>
    <w:p w:rsidR="0026477F" w:rsidRPr="0022060B" w:rsidRDefault="0026477F" w:rsidP="00816942">
      <w:pPr>
        <w:spacing w:after="0"/>
        <w:rPr>
          <w:rFonts w:ascii="Arial" w:hAnsi="Arial" w:cs="Arial"/>
          <w:color w:val="000000"/>
          <w:sz w:val="20"/>
          <w:szCs w:val="20"/>
        </w:rPr>
      </w:pPr>
      <w:r w:rsidRPr="0022060B">
        <w:rPr>
          <w:rFonts w:ascii="Arial" w:hAnsi="Arial" w:cs="Arial"/>
          <w:color w:val="000000"/>
          <w:sz w:val="20"/>
          <w:szCs w:val="20"/>
        </w:rPr>
        <w:t>Ju</w:t>
      </w:r>
      <w:r w:rsidR="00AD528F" w:rsidRPr="0022060B">
        <w:rPr>
          <w:rFonts w:ascii="Arial" w:hAnsi="Arial" w:cs="Arial"/>
          <w:color w:val="000000"/>
          <w:sz w:val="20"/>
          <w:szCs w:val="20"/>
        </w:rPr>
        <w:t xml:space="preserve">risprudência Selecionada: </w:t>
      </w:r>
    </w:p>
    <w:p w:rsidR="000B2FD9" w:rsidRDefault="000B2FD9" w:rsidP="000B2FD9">
      <w:pPr>
        <w:spacing w:after="0"/>
        <w:jc w:val="both"/>
        <w:rPr>
          <w:rFonts w:ascii="Arial" w:hAnsi="Arial" w:cs="Arial"/>
          <w:b/>
          <w:color w:val="000000"/>
          <w:sz w:val="20"/>
          <w:szCs w:val="20"/>
        </w:rPr>
      </w:pPr>
    </w:p>
    <w:p w:rsidR="000800D1" w:rsidRPr="0022060B" w:rsidRDefault="000800D1" w:rsidP="00816942">
      <w:pPr>
        <w:spacing w:after="0"/>
        <w:jc w:val="both"/>
        <w:rPr>
          <w:rFonts w:ascii="Arial" w:hAnsi="Arial" w:cs="Arial"/>
          <w:b/>
          <w:color w:val="000000"/>
          <w:sz w:val="20"/>
          <w:szCs w:val="20"/>
        </w:rPr>
      </w:pPr>
      <w:r w:rsidRPr="0022060B">
        <w:rPr>
          <w:rFonts w:ascii="Arial" w:hAnsi="Arial" w:cs="Arial"/>
          <w:b/>
          <w:color w:val="000000"/>
          <w:sz w:val="20"/>
          <w:szCs w:val="20"/>
        </w:rPr>
        <w:t>Superior Tribunal de Justiça:</w:t>
      </w:r>
    </w:p>
    <w:p w:rsidR="00CC4E55" w:rsidRDefault="00CC4E55" w:rsidP="006E12D5">
      <w:pPr>
        <w:spacing w:after="0"/>
        <w:jc w:val="both"/>
        <w:rPr>
          <w:rFonts w:ascii="Arial" w:hAnsi="Arial" w:cs="Arial"/>
          <w:b/>
          <w:color w:val="000000"/>
          <w:sz w:val="20"/>
          <w:szCs w:val="20"/>
        </w:rPr>
      </w:pPr>
    </w:p>
    <w:p w:rsidR="001D3EB9" w:rsidRPr="001D3EB9" w:rsidRDefault="00AF244D" w:rsidP="006E12D5">
      <w:pPr>
        <w:spacing w:after="0"/>
        <w:jc w:val="both"/>
        <w:rPr>
          <w:rFonts w:ascii="Arial" w:hAnsi="Arial" w:cs="Arial"/>
          <w:b/>
          <w:sz w:val="20"/>
          <w:szCs w:val="20"/>
          <w:shd w:val="clear" w:color="auto" w:fill="FFFFFF"/>
        </w:rPr>
      </w:pPr>
      <w:hyperlink r:id="rId17" w:history="1">
        <w:proofErr w:type="spellStart"/>
        <w:r w:rsidR="001D3EB9" w:rsidRPr="001D3EB9">
          <w:rPr>
            <w:rStyle w:val="Hyperlink"/>
            <w:rFonts w:ascii="Arial" w:hAnsi="Arial" w:cs="Arial"/>
            <w:b/>
            <w:sz w:val="20"/>
            <w:szCs w:val="20"/>
            <w:shd w:val="clear" w:color="auto" w:fill="FFFFFF"/>
          </w:rPr>
          <w:t>EDcl</w:t>
        </w:r>
        <w:proofErr w:type="spellEnd"/>
        <w:r w:rsidR="001D3EB9" w:rsidRPr="001D3EB9">
          <w:rPr>
            <w:rStyle w:val="Hyperlink"/>
            <w:rFonts w:ascii="Arial" w:hAnsi="Arial" w:cs="Arial"/>
            <w:b/>
            <w:sz w:val="20"/>
            <w:szCs w:val="20"/>
            <w:shd w:val="clear" w:color="auto" w:fill="FFFFFF"/>
          </w:rPr>
          <w:t xml:space="preserve"> no </w:t>
        </w:r>
        <w:proofErr w:type="spellStart"/>
        <w:r w:rsidR="001D3EB9" w:rsidRPr="001D3EB9">
          <w:rPr>
            <w:rStyle w:val="Hyperlink"/>
            <w:rFonts w:ascii="Arial" w:hAnsi="Arial" w:cs="Arial"/>
            <w:b/>
            <w:sz w:val="20"/>
            <w:szCs w:val="20"/>
            <w:shd w:val="clear" w:color="auto" w:fill="FFFFFF"/>
          </w:rPr>
          <w:t>REsp</w:t>
        </w:r>
        <w:proofErr w:type="spellEnd"/>
        <w:r w:rsidR="001D3EB9" w:rsidRPr="001D3EB9">
          <w:rPr>
            <w:rStyle w:val="Hyperlink"/>
            <w:rFonts w:ascii="Arial" w:hAnsi="Arial" w:cs="Arial"/>
            <w:b/>
            <w:sz w:val="20"/>
            <w:szCs w:val="20"/>
            <w:shd w:val="clear" w:color="auto" w:fill="FFFFFF"/>
          </w:rPr>
          <w:t xml:space="preserve"> 1.657.156-RJ</w:t>
        </w:r>
      </w:hyperlink>
      <w:r w:rsidR="001D3EB9" w:rsidRPr="001D3EB9">
        <w:rPr>
          <w:rFonts w:ascii="Arial" w:hAnsi="Arial" w:cs="Arial"/>
          <w:b/>
          <w:sz w:val="20"/>
          <w:szCs w:val="20"/>
          <w:shd w:val="clear" w:color="auto" w:fill="FFFFFF"/>
        </w:rPr>
        <w:t xml:space="preserve">, Rel. Min. Benedito Gonçalves, Primeira Seção, por unanimidade, julgado em 12/09/2018, </w:t>
      </w:r>
      <w:proofErr w:type="spellStart"/>
      <w:r w:rsidR="001D3EB9" w:rsidRPr="001D3EB9">
        <w:rPr>
          <w:rFonts w:ascii="Arial" w:hAnsi="Arial" w:cs="Arial"/>
          <w:b/>
          <w:sz w:val="20"/>
          <w:szCs w:val="20"/>
          <w:shd w:val="clear" w:color="auto" w:fill="FFFFFF"/>
        </w:rPr>
        <w:t>DJe</w:t>
      </w:r>
      <w:proofErr w:type="spellEnd"/>
      <w:r w:rsidR="001D3EB9" w:rsidRPr="001D3EB9">
        <w:rPr>
          <w:rFonts w:ascii="Arial" w:hAnsi="Arial" w:cs="Arial"/>
          <w:b/>
          <w:sz w:val="20"/>
          <w:szCs w:val="20"/>
          <w:shd w:val="clear" w:color="auto" w:fill="FFFFFF"/>
        </w:rPr>
        <w:t xml:space="preserve"> 21/09/2018 (Tema 106).</w:t>
      </w:r>
    </w:p>
    <w:p w:rsidR="001D3EB9" w:rsidRDefault="001D3EB9" w:rsidP="006E12D5">
      <w:pPr>
        <w:spacing w:after="0"/>
        <w:jc w:val="both"/>
        <w:rPr>
          <w:rFonts w:ascii="Arial" w:hAnsi="Arial" w:cs="Arial"/>
          <w:b/>
          <w:color w:val="000000"/>
          <w:sz w:val="20"/>
          <w:szCs w:val="20"/>
        </w:rPr>
      </w:pPr>
    </w:p>
    <w:p w:rsidR="001D3EB9" w:rsidRPr="001D3EB9" w:rsidRDefault="001D3EB9" w:rsidP="001D3EB9">
      <w:pPr>
        <w:spacing w:after="0"/>
        <w:jc w:val="both"/>
        <w:rPr>
          <w:rFonts w:ascii="Verdana" w:hAnsi="Verdana"/>
          <w:b/>
          <w:color w:val="414F55"/>
          <w:sz w:val="20"/>
          <w:szCs w:val="20"/>
          <w:shd w:val="clear" w:color="auto" w:fill="FFFFFF"/>
        </w:rPr>
      </w:pPr>
      <w:r w:rsidRPr="001D3EB9">
        <w:rPr>
          <w:rFonts w:ascii="Arial" w:hAnsi="Arial" w:cs="Arial"/>
          <w:b/>
          <w:sz w:val="20"/>
          <w:szCs w:val="20"/>
          <w:shd w:val="clear" w:color="auto" w:fill="FFFFFF"/>
        </w:rPr>
        <w:t>Direito à saúde. Medicamentos não incorporados em atos normativos do SUS. Fornecimento pelo Poder Público. Obrigatoriedade. Caráter excepcional. Requisitos cumulativos. Embargos de declaração. Necessidade de esclarecimento. Fornecimento de medicamento para uso </w:t>
      </w:r>
      <w:r w:rsidRPr="001D3EB9">
        <w:rPr>
          <w:rStyle w:val="nfase"/>
          <w:rFonts w:ascii="Arial" w:hAnsi="Arial" w:cs="Arial"/>
          <w:b/>
          <w:sz w:val="20"/>
          <w:szCs w:val="20"/>
          <w:shd w:val="clear" w:color="auto" w:fill="FFFFFF"/>
        </w:rPr>
        <w:t xml:space="preserve">off </w:t>
      </w:r>
      <w:proofErr w:type="spellStart"/>
      <w:r w:rsidRPr="001D3EB9">
        <w:rPr>
          <w:rStyle w:val="nfase"/>
          <w:rFonts w:ascii="Arial" w:hAnsi="Arial" w:cs="Arial"/>
          <w:b/>
          <w:sz w:val="20"/>
          <w:szCs w:val="20"/>
          <w:shd w:val="clear" w:color="auto" w:fill="FFFFFF"/>
        </w:rPr>
        <w:t>label</w:t>
      </w:r>
      <w:proofErr w:type="spellEnd"/>
      <w:r w:rsidRPr="001D3EB9">
        <w:rPr>
          <w:rFonts w:ascii="Arial" w:hAnsi="Arial" w:cs="Arial"/>
          <w:b/>
          <w:sz w:val="20"/>
          <w:szCs w:val="20"/>
          <w:shd w:val="clear" w:color="auto" w:fill="FFFFFF"/>
        </w:rPr>
        <w:t>. Vedação nos casos não autorizados pela ANVISA. Tema 106.</w:t>
      </w:r>
      <w:r w:rsidRPr="001D3EB9">
        <w:rPr>
          <w:rFonts w:ascii="Verdana" w:hAnsi="Verdana"/>
          <w:b/>
          <w:color w:val="414F55"/>
          <w:sz w:val="20"/>
          <w:szCs w:val="20"/>
          <w:shd w:val="clear" w:color="auto" w:fill="FFFFFF"/>
        </w:rPr>
        <w:t xml:space="preserve"> </w:t>
      </w:r>
    </w:p>
    <w:p w:rsidR="001D3EB9" w:rsidRDefault="001D3EB9" w:rsidP="001D3EB9">
      <w:pPr>
        <w:spacing w:after="0"/>
        <w:jc w:val="both"/>
        <w:rPr>
          <w:rFonts w:ascii="Verdana" w:hAnsi="Verdana"/>
          <w:color w:val="414F55"/>
          <w:sz w:val="20"/>
          <w:szCs w:val="20"/>
          <w:shd w:val="clear" w:color="auto" w:fill="FFFFFF"/>
        </w:rPr>
      </w:pPr>
    </w:p>
    <w:p w:rsidR="001D3EB9" w:rsidRPr="001D3EB9" w:rsidRDefault="001D3EB9" w:rsidP="001D3EB9">
      <w:pPr>
        <w:spacing w:after="0"/>
        <w:jc w:val="both"/>
        <w:rPr>
          <w:rFonts w:ascii="Arial" w:hAnsi="Arial" w:cs="Arial"/>
          <w:sz w:val="20"/>
          <w:szCs w:val="20"/>
          <w:shd w:val="clear" w:color="auto" w:fill="FFFFFF"/>
        </w:rPr>
      </w:pPr>
      <w:r w:rsidRPr="001D3EB9">
        <w:rPr>
          <w:rFonts w:ascii="Arial" w:hAnsi="Arial" w:cs="Arial"/>
          <w:sz w:val="20"/>
          <w:szCs w:val="20"/>
          <w:shd w:val="clear" w:color="auto" w:fill="FFFFFF"/>
        </w:rPr>
        <w:t xml:space="preserve">A concessão dos medicamentos não incorporados em atos normativos do SUS exige a presença cumulativa dos seguintes requisitos: i) Comprovação, por meio de laudo médico fundamentado e circunstanciado expedido por médico que assiste o paciente, da imprescindibilidade ou necessidade do medicamento, assim como da ineficácia, para o tratamento da moléstia, dos fármacos fornecidos pelo SUS; </w:t>
      </w:r>
      <w:proofErr w:type="spellStart"/>
      <w:r w:rsidRPr="001D3EB9">
        <w:rPr>
          <w:rFonts w:ascii="Arial" w:hAnsi="Arial" w:cs="Arial"/>
          <w:sz w:val="20"/>
          <w:szCs w:val="20"/>
          <w:shd w:val="clear" w:color="auto" w:fill="FFFFFF"/>
        </w:rPr>
        <w:t>ii</w:t>
      </w:r>
      <w:proofErr w:type="spellEnd"/>
      <w:r w:rsidRPr="001D3EB9">
        <w:rPr>
          <w:rFonts w:ascii="Arial" w:hAnsi="Arial" w:cs="Arial"/>
          <w:sz w:val="20"/>
          <w:szCs w:val="20"/>
          <w:shd w:val="clear" w:color="auto" w:fill="FFFFFF"/>
        </w:rPr>
        <w:t xml:space="preserve">) incapacidade financeira de arcar com o custo do medicamento prescrito; </w:t>
      </w:r>
      <w:proofErr w:type="spellStart"/>
      <w:r w:rsidRPr="001D3EB9">
        <w:rPr>
          <w:rFonts w:ascii="Arial" w:hAnsi="Arial" w:cs="Arial"/>
          <w:sz w:val="20"/>
          <w:szCs w:val="20"/>
          <w:shd w:val="clear" w:color="auto" w:fill="FFFFFF"/>
        </w:rPr>
        <w:t>iii</w:t>
      </w:r>
      <w:proofErr w:type="spellEnd"/>
      <w:r w:rsidRPr="001D3EB9">
        <w:rPr>
          <w:rFonts w:ascii="Arial" w:hAnsi="Arial" w:cs="Arial"/>
          <w:sz w:val="20"/>
          <w:szCs w:val="20"/>
          <w:shd w:val="clear" w:color="auto" w:fill="FFFFFF"/>
        </w:rPr>
        <w:t>) existência de registro do medicamento na ANVISA, observados os usos autorizados pela agência. Modula-se os efeitos do presente repetitivo de forma que os requisitos acima elencados sejam exigidos de forma cumulativa somente quanto aos processos distribuídos a partir da data da publicação do acórdão embargado, ou seja, 4/5/2018.</w:t>
      </w:r>
    </w:p>
    <w:p w:rsidR="00543DF0" w:rsidRDefault="00543DF0" w:rsidP="006E12D5">
      <w:pPr>
        <w:spacing w:after="0"/>
        <w:jc w:val="both"/>
        <w:rPr>
          <w:rFonts w:ascii="Arial" w:hAnsi="Arial" w:cs="Arial"/>
          <w:b/>
          <w:color w:val="000000"/>
          <w:sz w:val="20"/>
          <w:szCs w:val="20"/>
        </w:rPr>
      </w:pPr>
    </w:p>
    <w:p w:rsidR="000800D1" w:rsidRDefault="000800D1" w:rsidP="006E12D5">
      <w:pPr>
        <w:spacing w:after="0"/>
        <w:jc w:val="both"/>
        <w:rPr>
          <w:rFonts w:ascii="Arial" w:hAnsi="Arial" w:cs="Arial"/>
          <w:b/>
          <w:color w:val="000000"/>
          <w:sz w:val="20"/>
          <w:szCs w:val="20"/>
        </w:rPr>
      </w:pPr>
      <w:r w:rsidRPr="00DB558E">
        <w:rPr>
          <w:rFonts w:ascii="Arial" w:hAnsi="Arial" w:cs="Arial"/>
          <w:b/>
          <w:color w:val="000000"/>
          <w:sz w:val="20"/>
          <w:szCs w:val="20"/>
        </w:rPr>
        <w:t>Tribunal de Contas da União:</w:t>
      </w:r>
    </w:p>
    <w:p w:rsidR="00CE3650" w:rsidRPr="00CE3650" w:rsidRDefault="00CE3650" w:rsidP="006E12D5">
      <w:pPr>
        <w:spacing w:after="0"/>
        <w:jc w:val="both"/>
        <w:rPr>
          <w:rFonts w:ascii="Arial" w:hAnsi="Arial" w:cs="Arial"/>
          <w:b/>
          <w:color w:val="000000"/>
          <w:sz w:val="20"/>
          <w:szCs w:val="20"/>
        </w:rPr>
      </w:pPr>
    </w:p>
    <w:p w:rsidR="00CE3650" w:rsidRPr="00CE3650" w:rsidRDefault="00AF244D" w:rsidP="00CE3650">
      <w:pPr>
        <w:widowControl w:val="0"/>
        <w:autoSpaceDE w:val="0"/>
        <w:autoSpaceDN w:val="0"/>
        <w:jc w:val="both"/>
        <w:rPr>
          <w:rFonts w:ascii="Arial" w:hAnsi="Arial" w:cs="Arial"/>
          <w:b/>
          <w:sz w:val="20"/>
          <w:szCs w:val="20"/>
        </w:rPr>
      </w:pPr>
      <w:hyperlink r:id="rId18" w:history="1">
        <w:r w:rsidR="00CE3650" w:rsidRPr="008A5A5B">
          <w:rPr>
            <w:rStyle w:val="Hyperlink"/>
            <w:rFonts w:ascii="Arial" w:hAnsi="Arial"/>
            <w:b/>
            <w:sz w:val="20"/>
            <w:szCs w:val="20"/>
          </w:rPr>
          <w:t>Acórdão 1620/2018</w:t>
        </w:r>
        <w:r w:rsidR="008A5A5B">
          <w:rPr>
            <w:rStyle w:val="Hyperlink"/>
            <w:rFonts w:ascii="Arial" w:hAnsi="Arial"/>
            <w:b/>
            <w:sz w:val="20"/>
            <w:szCs w:val="20"/>
          </w:rPr>
          <w:t xml:space="preserve"> - </w:t>
        </w:r>
        <w:r w:rsidR="00CE3650" w:rsidRPr="008A5A5B">
          <w:rPr>
            <w:rStyle w:val="Hyperlink"/>
            <w:rFonts w:ascii="Arial" w:hAnsi="Arial"/>
            <w:b/>
            <w:sz w:val="20"/>
            <w:szCs w:val="20"/>
          </w:rPr>
          <w:t>Plenário</w:t>
        </w:r>
      </w:hyperlink>
      <w:r w:rsidR="00CE3650" w:rsidRPr="00CE3650">
        <w:rPr>
          <w:rFonts w:ascii="Arial" w:hAnsi="Arial"/>
          <w:b/>
          <w:sz w:val="20"/>
          <w:szCs w:val="20"/>
        </w:rPr>
        <w:t xml:space="preserve"> </w:t>
      </w:r>
      <w:r w:rsidR="00CE3650" w:rsidRPr="00CE3650">
        <w:rPr>
          <w:rFonts w:ascii="Arial" w:hAnsi="Arial"/>
          <w:sz w:val="20"/>
          <w:szCs w:val="20"/>
        </w:rPr>
        <w:t xml:space="preserve">(Representação, Relator Ministro José </w:t>
      </w:r>
      <w:proofErr w:type="spellStart"/>
      <w:r w:rsidR="00CE3650" w:rsidRPr="00CE3650">
        <w:rPr>
          <w:rFonts w:ascii="Arial" w:hAnsi="Arial"/>
          <w:sz w:val="20"/>
          <w:szCs w:val="20"/>
        </w:rPr>
        <w:t>Múcio</w:t>
      </w:r>
      <w:proofErr w:type="spellEnd"/>
      <w:r w:rsidR="00CE3650" w:rsidRPr="00CE3650">
        <w:rPr>
          <w:rFonts w:ascii="Arial" w:hAnsi="Arial"/>
          <w:sz w:val="20"/>
          <w:szCs w:val="20"/>
        </w:rPr>
        <w:t xml:space="preserve"> Monteiro)</w:t>
      </w:r>
    </w:p>
    <w:p w:rsidR="00CE3650" w:rsidRPr="008A5A5B" w:rsidRDefault="00CE3650" w:rsidP="00CE3650">
      <w:pPr>
        <w:jc w:val="both"/>
        <w:rPr>
          <w:rFonts w:ascii="Arial" w:hAnsi="Arial" w:cs="Arial"/>
          <w:b/>
          <w:sz w:val="20"/>
          <w:szCs w:val="20"/>
        </w:rPr>
      </w:pPr>
      <w:r w:rsidRPr="008A5A5B">
        <w:rPr>
          <w:rFonts w:ascii="Arial" w:hAnsi="Arial"/>
          <w:b/>
          <w:sz w:val="20"/>
          <w:szCs w:val="20"/>
        </w:rPr>
        <w:t>Licitação. Pregão. Proposta. Inexequibilidade. Desclassificação. Lance.</w:t>
      </w:r>
    </w:p>
    <w:p w:rsidR="00CE3650" w:rsidRPr="00CE3650" w:rsidRDefault="00CE3650" w:rsidP="00CE3650">
      <w:pPr>
        <w:pStyle w:val="TCU-Epgrafe"/>
        <w:spacing w:after="200" w:line="276" w:lineRule="auto"/>
        <w:ind w:left="0"/>
        <w:rPr>
          <w:rFonts w:ascii="Arial" w:hAnsi="Arial"/>
          <w:sz w:val="20"/>
        </w:rPr>
      </w:pPr>
      <w:r w:rsidRPr="00CE3650">
        <w:rPr>
          <w:rFonts w:ascii="Arial" w:hAnsi="Arial"/>
          <w:sz w:val="20"/>
        </w:rPr>
        <w:t>O juízo do pregoeiro acerca da aceitabilidade da proposta é feito após a etapa competitiva do certame (fase de lances), devendo o licitante ser convocado para comprovar a sua exequibilidade antes de eventual desclassificação. Apenas em situações extremas, quando os lances ofertados configurarem preços simbólicos, irrisórios ou de valor zero, gerando uma presunção absoluta de inexequibilidade, admite-se a exclusão de lance durante a etapa competitiva do pregão.</w:t>
      </w:r>
    </w:p>
    <w:p w:rsidR="00CE3650" w:rsidRPr="00CE3650" w:rsidRDefault="00AF244D" w:rsidP="00CE3650">
      <w:pPr>
        <w:widowControl w:val="0"/>
        <w:autoSpaceDE w:val="0"/>
        <w:autoSpaceDN w:val="0"/>
        <w:jc w:val="both"/>
        <w:rPr>
          <w:rFonts w:ascii="Arial" w:hAnsi="Arial" w:cs="Arial"/>
          <w:b/>
          <w:sz w:val="20"/>
          <w:szCs w:val="20"/>
        </w:rPr>
      </w:pPr>
      <w:hyperlink r:id="rId19" w:history="1">
        <w:r w:rsidR="00CE3650" w:rsidRPr="008A5A5B">
          <w:rPr>
            <w:rStyle w:val="Hyperlink"/>
            <w:rFonts w:ascii="Arial" w:hAnsi="Arial"/>
            <w:b/>
            <w:sz w:val="20"/>
            <w:szCs w:val="20"/>
          </w:rPr>
          <w:t>Acórdão 1628/2018</w:t>
        </w:r>
        <w:r w:rsidR="008A5A5B">
          <w:rPr>
            <w:rStyle w:val="Hyperlink"/>
            <w:rFonts w:ascii="Arial" w:hAnsi="Arial"/>
            <w:b/>
            <w:sz w:val="20"/>
            <w:szCs w:val="20"/>
          </w:rPr>
          <w:t xml:space="preserve"> - </w:t>
        </w:r>
        <w:r w:rsidR="00CE3650" w:rsidRPr="008A5A5B">
          <w:rPr>
            <w:rStyle w:val="Hyperlink"/>
            <w:rFonts w:ascii="Arial" w:hAnsi="Arial"/>
            <w:b/>
            <w:sz w:val="20"/>
            <w:szCs w:val="20"/>
          </w:rPr>
          <w:t>Plenário</w:t>
        </w:r>
      </w:hyperlink>
      <w:r w:rsidR="00CE3650" w:rsidRPr="00CE3650">
        <w:rPr>
          <w:rFonts w:ascii="Arial" w:hAnsi="Arial"/>
          <w:b/>
          <w:sz w:val="20"/>
          <w:szCs w:val="20"/>
        </w:rPr>
        <w:t xml:space="preserve"> </w:t>
      </w:r>
      <w:r w:rsidR="00CE3650" w:rsidRPr="00CE3650">
        <w:rPr>
          <w:rFonts w:ascii="Arial" w:hAnsi="Arial"/>
          <w:sz w:val="20"/>
          <w:szCs w:val="20"/>
        </w:rPr>
        <w:t xml:space="preserve">(Auditoria, Relator Ministro Benjamin </w:t>
      </w:r>
      <w:proofErr w:type="spellStart"/>
      <w:r w:rsidR="00CE3650" w:rsidRPr="00CE3650">
        <w:rPr>
          <w:rFonts w:ascii="Arial" w:hAnsi="Arial"/>
          <w:sz w:val="20"/>
          <w:szCs w:val="20"/>
        </w:rPr>
        <w:t>Zymler</w:t>
      </w:r>
      <w:proofErr w:type="spellEnd"/>
      <w:r w:rsidR="00CE3650" w:rsidRPr="00CE3650">
        <w:rPr>
          <w:rFonts w:ascii="Arial" w:hAnsi="Arial"/>
          <w:sz w:val="20"/>
          <w:szCs w:val="20"/>
        </w:rPr>
        <w:t>)</w:t>
      </w:r>
    </w:p>
    <w:p w:rsidR="00CE3650" w:rsidRPr="008A5A5B" w:rsidRDefault="00CE3650" w:rsidP="00CE3650">
      <w:pPr>
        <w:jc w:val="both"/>
        <w:rPr>
          <w:rFonts w:ascii="Arial" w:hAnsi="Arial" w:cs="Arial"/>
          <w:b/>
          <w:sz w:val="20"/>
          <w:szCs w:val="20"/>
        </w:rPr>
      </w:pPr>
      <w:r w:rsidRPr="008A5A5B">
        <w:rPr>
          <w:rFonts w:ascii="Arial" w:hAnsi="Arial"/>
          <w:b/>
          <w:sz w:val="20"/>
          <w:szCs w:val="20"/>
        </w:rPr>
        <w:t>Licitação. Participação. Restrição. Sócio. Servidor público. Empresa privada.</w:t>
      </w:r>
    </w:p>
    <w:p w:rsidR="00CE3650" w:rsidRDefault="00CE3650" w:rsidP="00CE3650">
      <w:pPr>
        <w:pStyle w:val="TCU-Epgrafe"/>
        <w:spacing w:after="200" w:line="276" w:lineRule="auto"/>
        <w:ind w:left="0"/>
        <w:rPr>
          <w:rFonts w:ascii="Arial" w:hAnsi="Arial"/>
          <w:sz w:val="20"/>
        </w:rPr>
      </w:pPr>
      <w:r w:rsidRPr="00CE3650">
        <w:rPr>
          <w:rFonts w:ascii="Arial" w:hAnsi="Arial"/>
          <w:sz w:val="20"/>
        </w:rPr>
        <w:lastRenderedPageBreak/>
        <w:t xml:space="preserve">A vedação a que se refere o art. 9º, inciso III, da </w:t>
      </w:r>
      <w:hyperlink r:id="rId20" w:history="1">
        <w:r w:rsidRPr="00CE3650">
          <w:rPr>
            <w:rStyle w:val="Hyperlink"/>
            <w:rFonts w:ascii="Arial" w:hAnsi="Arial"/>
            <w:color w:val="0000FF" w:themeColor="hyperlink"/>
            <w:sz w:val="20"/>
          </w:rPr>
          <w:t>Lei 8.666/1993</w:t>
        </w:r>
      </w:hyperlink>
      <w:r w:rsidRPr="00CE3650">
        <w:rPr>
          <w:rFonts w:ascii="Arial" w:hAnsi="Arial"/>
          <w:sz w:val="20"/>
        </w:rPr>
        <w:t xml:space="preserve"> diz respeito tanto à participação na licitação, como pessoa física, de servidor do órgão contratante, quanto à participação de pessoas jurídicas cujos sócios sejam servidores do contratante, em observância aos princípios da moralidade e da impessoalidade.</w:t>
      </w:r>
    </w:p>
    <w:p w:rsidR="006410BD" w:rsidRPr="006410BD" w:rsidRDefault="00AF244D" w:rsidP="006410BD">
      <w:pPr>
        <w:widowControl w:val="0"/>
        <w:autoSpaceDE w:val="0"/>
        <w:autoSpaceDN w:val="0"/>
        <w:jc w:val="both"/>
        <w:rPr>
          <w:rFonts w:ascii="Arial" w:hAnsi="Arial" w:cs="Arial"/>
          <w:b/>
          <w:sz w:val="20"/>
          <w:szCs w:val="20"/>
        </w:rPr>
      </w:pPr>
      <w:hyperlink r:id="rId21" w:history="1">
        <w:r w:rsidR="006410BD" w:rsidRPr="008A5A5B">
          <w:rPr>
            <w:rStyle w:val="Hyperlink"/>
            <w:rFonts w:ascii="Arial" w:hAnsi="Arial" w:cs="Arial"/>
            <w:b/>
            <w:sz w:val="20"/>
            <w:szCs w:val="20"/>
          </w:rPr>
          <w:t>Acórdão 1628/2018</w:t>
        </w:r>
        <w:r w:rsidR="008A5A5B">
          <w:rPr>
            <w:rStyle w:val="Hyperlink"/>
            <w:rFonts w:ascii="Arial" w:hAnsi="Arial" w:cs="Arial"/>
            <w:b/>
            <w:sz w:val="20"/>
            <w:szCs w:val="20"/>
          </w:rPr>
          <w:t xml:space="preserve"> - </w:t>
        </w:r>
        <w:r w:rsidR="006410BD" w:rsidRPr="008A5A5B">
          <w:rPr>
            <w:rStyle w:val="Hyperlink"/>
            <w:rFonts w:ascii="Arial" w:hAnsi="Arial" w:cs="Arial"/>
            <w:b/>
            <w:sz w:val="20"/>
            <w:szCs w:val="20"/>
          </w:rPr>
          <w:t>Plenário</w:t>
        </w:r>
      </w:hyperlink>
      <w:r w:rsidR="006410BD" w:rsidRPr="006410BD">
        <w:rPr>
          <w:rFonts w:ascii="Arial" w:hAnsi="Arial" w:cs="Arial"/>
          <w:b/>
          <w:sz w:val="20"/>
          <w:szCs w:val="20"/>
        </w:rPr>
        <w:t xml:space="preserve"> </w:t>
      </w:r>
      <w:r w:rsidR="006410BD" w:rsidRPr="006410BD">
        <w:rPr>
          <w:rFonts w:ascii="Arial" w:hAnsi="Arial" w:cs="Arial"/>
          <w:sz w:val="20"/>
          <w:szCs w:val="20"/>
        </w:rPr>
        <w:t xml:space="preserve">(Auditoria, Relator Ministro Benjamin </w:t>
      </w:r>
      <w:proofErr w:type="spellStart"/>
      <w:r w:rsidR="006410BD" w:rsidRPr="006410BD">
        <w:rPr>
          <w:rFonts w:ascii="Arial" w:hAnsi="Arial" w:cs="Arial"/>
          <w:sz w:val="20"/>
          <w:szCs w:val="20"/>
        </w:rPr>
        <w:t>Zymler</w:t>
      </w:r>
      <w:proofErr w:type="spellEnd"/>
      <w:r w:rsidR="006410BD" w:rsidRPr="006410BD">
        <w:rPr>
          <w:rFonts w:ascii="Arial" w:hAnsi="Arial" w:cs="Arial"/>
          <w:sz w:val="20"/>
          <w:szCs w:val="20"/>
        </w:rPr>
        <w:t>)</w:t>
      </w:r>
    </w:p>
    <w:p w:rsidR="006410BD" w:rsidRPr="003739C4" w:rsidRDefault="006410BD" w:rsidP="006410BD">
      <w:pPr>
        <w:jc w:val="both"/>
        <w:rPr>
          <w:rFonts w:ascii="Arial" w:hAnsi="Arial" w:cs="Arial"/>
          <w:b/>
          <w:sz w:val="20"/>
          <w:szCs w:val="20"/>
        </w:rPr>
      </w:pPr>
      <w:r w:rsidRPr="003739C4">
        <w:rPr>
          <w:rFonts w:ascii="Arial" w:hAnsi="Arial" w:cs="Arial"/>
          <w:b/>
          <w:sz w:val="20"/>
          <w:szCs w:val="20"/>
        </w:rPr>
        <w:t>Responsabilidade. Culpa. Erro grosseiro. Conduta.</w:t>
      </w:r>
    </w:p>
    <w:p w:rsidR="006410BD" w:rsidRDefault="006410BD" w:rsidP="006410BD">
      <w:pPr>
        <w:pStyle w:val="TCU-Epgrafe"/>
        <w:spacing w:after="200" w:line="276" w:lineRule="auto"/>
        <w:ind w:left="0"/>
        <w:rPr>
          <w:rFonts w:ascii="Arial" w:hAnsi="Arial" w:cs="Arial"/>
          <w:sz w:val="20"/>
        </w:rPr>
      </w:pPr>
      <w:r w:rsidRPr="006410BD">
        <w:rPr>
          <w:rFonts w:ascii="Arial" w:hAnsi="Arial" w:cs="Arial"/>
          <w:sz w:val="20"/>
        </w:rPr>
        <w:t xml:space="preserve">A conduta culposa do responsável que foge ao referencial do “administrador médio” utilizado pelo TCU para avaliar a razoabilidade dos atos submetidos a sua apreciação caracteriza o “erro grosseiro” a que alude o art. 28 do </w:t>
      </w:r>
      <w:hyperlink r:id="rId22" w:history="1">
        <w:r w:rsidRPr="006410BD">
          <w:rPr>
            <w:rStyle w:val="Hyperlink"/>
            <w:rFonts w:ascii="Arial" w:hAnsi="Arial" w:cs="Arial"/>
            <w:color w:val="0000FF" w:themeColor="hyperlink"/>
            <w:sz w:val="20"/>
          </w:rPr>
          <w:t>Decreto-lei 4.657/1942</w:t>
        </w:r>
      </w:hyperlink>
      <w:r w:rsidRPr="006410BD">
        <w:rPr>
          <w:rFonts w:ascii="Arial" w:hAnsi="Arial" w:cs="Arial"/>
          <w:sz w:val="20"/>
        </w:rPr>
        <w:t xml:space="preserve"> (Lei de Introdução às Normas do Direito Brasileiro), incluído pela </w:t>
      </w:r>
      <w:hyperlink r:id="rId23" w:history="1">
        <w:r w:rsidRPr="006410BD">
          <w:rPr>
            <w:rStyle w:val="Hyperlink"/>
            <w:rFonts w:ascii="Arial" w:hAnsi="Arial" w:cs="Arial"/>
            <w:color w:val="0000FF" w:themeColor="hyperlink"/>
            <w:sz w:val="20"/>
          </w:rPr>
          <w:t>Lei 13.655/2018</w:t>
        </w:r>
      </w:hyperlink>
      <w:r w:rsidRPr="006410BD">
        <w:rPr>
          <w:rFonts w:ascii="Arial" w:hAnsi="Arial" w:cs="Arial"/>
          <w:sz w:val="20"/>
        </w:rPr>
        <w:t>.</w:t>
      </w:r>
    </w:p>
    <w:p w:rsidR="00FC1877" w:rsidRPr="00FC1877" w:rsidRDefault="00AF244D" w:rsidP="00FC1877">
      <w:pPr>
        <w:widowControl w:val="0"/>
        <w:autoSpaceDE w:val="0"/>
        <w:autoSpaceDN w:val="0"/>
        <w:jc w:val="both"/>
        <w:rPr>
          <w:rFonts w:ascii="Arial" w:hAnsi="Arial" w:cs="Arial"/>
          <w:b/>
          <w:sz w:val="20"/>
          <w:szCs w:val="20"/>
        </w:rPr>
      </w:pPr>
      <w:hyperlink r:id="rId24" w:history="1">
        <w:r w:rsidR="00FC1877" w:rsidRPr="004757BA">
          <w:rPr>
            <w:rStyle w:val="Hyperlink"/>
            <w:rFonts w:ascii="Arial" w:hAnsi="Arial"/>
            <w:b/>
            <w:sz w:val="20"/>
            <w:szCs w:val="20"/>
          </w:rPr>
          <w:t xml:space="preserve">Acórdão 6710/2018 </w:t>
        </w:r>
        <w:r w:rsidR="004757BA">
          <w:rPr>
            <w:rStyle w:val="Hyperlink"/>
            <w:rFonts w:ascii="Arial" w:hAnsi="Arial"/>
            <w:b/>
            <w:sz w:val="20"/>
            <w:szCs w:val="20"/>
          </w:rPr>
          <w:t xml:space="preserve">- </w:t>
        </w:r>
        <w:r w:rsidR="00FC1877" w:rsidRPr="004757BA">
          <w:rPr>
            <w:rStyle w:val="Hyperlink"/>
            <w:rFonts w:ascii="Arial" w:hAnsi="Arial"/>
            <w:b/>
            <w:sz w:val="20"/>
            <w:szCs w:val="20"/>
          </w:rPr>
          <w:t>Primeira Câmara</w:t>
        </w:r>
      </w:hyperlink>
      <w:r w:rsidR="00FC1877" w:rsidRPr="00FC1877">
        <w:rPr>
          <w:rFonts w:ascii="Arial" w:hAnsi="Arial"/>
          <w:b/>
          <w:sz w:val="20"/>
          <w:szCs w:val="20"/>
        </w:rPr>
        <w:t xml:space="preserve"> </w:t>
      </w:r>
      <w:r w:rsidR="00FC1877" w:rsidRPr="00FC1877">
        <w:rPr>
          <w:rFonts w:ascii="Arial" w:hAnsi="Arial"/>
          <w:sz w:val="20"/>
          <w:szCs w:val="20"/>
        </w:rPr>
        <w:t xml:space="preserve">(Pedido de Reexame, Relator Ministro José </w:t>
      </w:r>
      <w:proofErr w:type="spellStart"/>
      <w:r w:rsidR="00FC1877" w:rsidRPr="00FC1877">
        <w:rPr>
          <w:rFonts w:ascii="Arial" w:hAnsi="Arial"/>
          <w:sz w:val="20"/>
          <w:szCs w:val="20"/>
        </w:rPr>
        <w:t>Múcio</w:t>
      </w:r>
      <w:proofErr w:type="spellEnd"/>
      <w:r w:rsidR="00FC1877" w:rsidRPr="00FC1877">
        <w:rPr>
          <w:rFonts w:ascii="Arial" w:hAnsi="Arial"/>
          <w:sz w:val="20"/>
          <w:szCs w:val="20"/>
        </w:rPr>
        <w:t xml:space="preserve"> Monteiro)</w:t>
      </w:r>
    </w:p>
    <w:p w:rsidR="00FC1877" w:rsidRPr="003739C4" w:rsidRDefault="00FC1877" w:rsidP="00FC1877">
      <w:pPr>
        <w:jc w:val="both"/>
        <w:rPr>
          <w:rFonts w:ascii="Arial" w:hAnsi="Arial" w:cs="Arial"/>
          <w:b/>
          <w:sz w:val="20"/>
          <w:szCs w:val="20"/>
        </w:rPr>
      </w:pPr>
      <w:r w:rsidRPr="003739C4">
        <w:rPr>
          <w:rFonts w:ascii="Arial" w:hAnsi="Arial"/>
          <w:b/>
          <w:sz w:val="20"/>
          <w:szCs w:val="20"/>
        </w:rPr>
        <w:t>Pessoal. Teto constitucional. Base de cálculo. Cargo em comissão. Função de confiança.</w:t>
      </w:r>
    </w:p>
    <w:p w:rsidR="00FC1877" w:rsidRDefault="00FC1877" w:rsidP="00FC1877">
      <w:pPr>
        <w:jc w:val="both"/>
        <w:rPr>
          <w:rFonts w:ascii="Arial" w:hAnsi="Arial"/>
          <w:sz w:val="20"/>
          <w:szCs w:val="20"/>
        </w:rPr>
      </w:pPr>
      <w:r w:rsidRPr="00FC1877">
        <w:rPr>
          <w:rFonts w:ascii="Arial" w:hAnsi="Arial"/>
          <w:sz w:val="20"/>
          <w:szCs w:val="20"/>
        </w:rPr>
        <w:t>A remuneração pelo exercício de função de confiança ou cargo em comissão está sujeita ao teto remuneratório constitucional em qualquer situação, e não apenas se superar, por si só, aquele limite.</w:t>
      </w:r>
    </w:p>
    <w:p w:rsidR="00E67DA6" w:rsidRPr="00E67DA6" w:rsidRDefault="00AF244D" w:rsidP="00E67DA6">
      <w:pPr>
        <w:widowControl w:val="0"/>
        <w:autoSpaceDE w:val="0"/>
        <w:autoSpaceDN w:val="0"/>
        <w:jc w:val="both"/>
        <w:rPr>
          <w:rFonts w:ascii="Arial" w:hAnsi="Arial" w:cs="Arial"/>
          <w:b/>
          <w:sz w:val="20"/>
          <w:szCs w:val="20"/>
        </w:rPr>
      </w:pPr>
      <w:hyperlink r:id="rId25" w:history="1">
        <w:r w:rsidR="00E67DA6" w:rsidRPr="00C87D01">
          <w:rPr>
            <w:rStyle w:val="Hyperlink"/>
            <w:rFonts w:ascii="Arial" w:hAnsi="Arial"/>
            <w:b/>
            <w:sz w:val="20"/>
            <w:szCs w:val="20"/>
          </w:rPr>
          <w:t>Acórdão 5974/2018</w:t>
        </w:r>
        <w:r w:rsidR="00C87D01">
          <w:rPr>
            <w:rStyle w:val="Hyperlink"/>
            <w:rFonts w:ascii="Arial" w:hAnsi="Arial"/>
            <w:b/>
            <w:sz w:val="20"/>
            <w:szCs w:val="20"/>
          </w:rPr>
          <w:t xml:space="preserve"> - </w:t>
        </w:r>
        <w:r w:rsidR="00E67DA6" w:rsidRPr="00C87D01">
          <w:rPr>
            <w:rStyle w:val="Hyperlink"/>
            <w:rFonts w:ascii="Arial" w:hAnsi="Arial"/>
            <w:b/>
            <w:sz w:val="20"/>
            <w:szCs w:val="20"/>
          </w:rPr>
          <w:t>Segunda Câmara</w:t>
        </w:r>
      </w:hyperlink>
      <w:r w:rsidR="00E67DA6" w:rsidRPr="00E67DA6">
        <w:rPr>
          <w:rFonts w:ascii="Arial" w:hAnsi="Arial"/>
          <w:b/>
          <w:sz w:val="20"/>
          <w:szCs w:val="20"/>
        </w:rPr>
        <w:t xml:space="preserve"> </w:t>
      </w:r>
      <w:r w:rsidR="00E67DA6" w:rsidRPr="00E67DA6">
        <w:rPr>
          <w:rFonts w:ascii="Arial" w:hAnsi="Arial"/>
          <w:sz w:val="20"/>
          <w:szCs w:val="20"/>
        </w:rPr>
        <w:t xml:space="preserve">(Representação, Relator Ministro José </w:t>
      </w:r>
      <w:proofErr w:type="spellStart"/>
      <w:r w:rsidR="00E67DA6" w:rsidRPr="00E67DA6">
        <w:rPr>
          <w:rFonts w:ascii="Arial" w:hAnsi="Arial"/>
          <w:sz w:val="20"/>
          <w:szCs w:val="20"/>
        </w:rPr>
        <w:t>Múcio</w:t>
      </w:r>
      <w:proofErr w:type="spellEnd"/>
      <w:r w:rsidR="00E67DA6" w:rsidRPr="00E67DA6">
        <w:rPr>
          <w:rFonts w:ascii="Arial" w:hAnsi="Arial"/>
          <w:sz w:val="20"/>
          <w:szCs w:val="20"/>
        </w:rPr>
        <w:t xml:space="preserve"> Monteiro)</w:t>
      </w:r>
    </w:p>
    <w:p w:rsidR="00E67DA6" w:rsidRPr="003739C4" w:rsidRDefault="00E67DA6" w:rsidP="00E67DA6">
      <w:pPr>
        <w:jc w:val="both"/>
        <w:rPr>
          <w:rFonts w:ascii="Arial" w:hAnsi="Arial" w:cs="Arial"/>
          <w:b/>
          <w:sz w:val="20"/>
          <w:szCs w:val="20"/>
        </w:rPr>
      </w:pPr>
      <w:r w:rsidRPr="003739C4">
        <w:rPr>
          <w:rFonts w:ascii="Arial" w:hAnsi="Arial"/>
          <w:b/>
          <w:sz w:val="20"/>
          <w:szCs w:val="20"/>
        </w:rPr>
        <w:t>Pessoal. Diárias. Renúncia. Passagens. Indenização. Natureza jurídica. Capacitação.</w:t>
      </w:r>
    </w:p>
    <w:p w:rsidR="00E67DA6" w:rsidRDefault="00E67DA6" w:rsidP="00E67DA6">
      <w:pPr>
        <w:pStyle w:val="TCU-Epgrafe"/>
        <w:spacing w:after="200" w:line="276" w:lineRule="auto"/>
        <w:ind w:left="0"/>
        <w:rPr>
          <w:rFonts w:ascii="Arial" w:hAnsi="Arial"/>
          <w:sz w:val="20"/>
        </w:rPr>
      </w:pPr>
      <w:r w:rsidRPr="00E67DA6">
        <w:rPr>
          <w:rFonts w:ascii="Arial" w:hAnsi="Arial"/>
          <w:sz w:val="20"/>
        </w:rPr>
        <w:t>A Administração pode exigir, nos editais para programas de treinamento a servidores com concessão de bolsa para pagamento do curso e custeio do deslocamento, que o pleiteante firme declaração específica onde expressamente renuncie ao recebimento de diárias ou qualquer outra verba indenizatória referente ao deslocamento do seu domicílio para o local de treinamento, uma vez que essas verbas possuem natureza jurídica patrimonial disponível, não havendo, portanto, óbice para que haja renúncia pelo servidor quanto à sua percepção.</w:t>
      </w:r>
    </w:p>
    <w:p w:rsidR="00E91BC3" w:rsidRPr="00E91BC3" w:rsidRDefault="00AF244D" w:rsidP="00667020">
      <w:pPr>
        <w:widowControl w:val="0"/>
        <w:autoSpaceDE w:val="0"/>
        <w:autoSpaceDN w:val="0"/>
        <w:jc w:val="both"/>
        <w:rPr>
          <w:rFonts w:ascii="Arial" w:hAnsi="Arial" w:cs="Arial"/>
          <w:b/>
          <w:sz w:val="20"/>
          <w:szCs w:val="20"/>
        </w:rPr>
      </w:pPr>
      <w:hyperlink r:id="rId26" w:history="1">
        <w:r w:rsidR="00E91BC3" w:rsidRPr="00B173C0">
          <w:rPr>
            <w:rStyle w:val="Hyperlink"/>
            <w:rFonts w:ascii="Arial" w:hAnsi="Arial"/>
            <w:b/>
            <w:sz w:val="20"/>
            <w:szCs w:val="20"/>
          </w:rPr>
          <w:t>Acórdão 5974/2018</w:t>
        </w:r>
        <w:r w:rsidR="00B173C0">
          <w:rPr>
            <w:rStyle w:val="Hyperlink"/>
            <w:rFonts w:ascii="Arial" w:hAnsi="Arial"/>
            <w:b/>
            <w:sz w:val="20"/>
            <w:szCs w:val="20"/>
          </w:rPr>
          <w:t xml:space="preserve"> -</w:t>
        </w:r>
        <w:r w:rsidR="00E91BC3" w:rsidRPr="00B173C0">
          <w:rPr>
            <w:rStyle w:val="Hyperlink"/>
            <w:rFonts w:ascii="Arial" w:hAnsi="Arial"/>
            <w:b/>
            <w:sz w:val="20"/>
            <w:szCs w:val="20"/>
          </w:rPr>
          <w:t xml:space="preserve"> Segunda Câmara</w:t>
        </w:r>
      </w:hyperlink>
      <w:r w:rsidR="00E91BC3" w:rsidRPr="00E91BC3">
        <w:rPr>
          <w:rFonts w:ascii="Arial" w:hAnsi="Arial"/>
          <w:b/>
          <w:sz w:val="20"/>
          <w:szCs w:val="20"/>
        </w:rPr>
        <w:t xml:space="preserve"> </w:t>
      </w:r>
      <w:r w:rsidR="00E91BC3" w:rsidRPr="00E91BC3">
        <w:rPr>
          <w:rFonts w:ascii="Arial" w:hAnsi="Arial"/>
          <w:sz w:val="20"/>
          <w:szCs w:val="20"/>
        </w:rPr>
        <w:t xml:space="preserve">(Representação, Relator Ministro José </w:t>
      </w:r>
      <w:proofErr w:type="spellStart"/>
      <w:r w:rsidR="00E91BC3" w:rsidRPr="00E91BC3">
        <w:rPr>
          <w:rFonts w:ascii="Arial" w:hAnsi="Arial"/>
          <w:sz w:val="20"/>
          <w:szCs w:val="20"/>
        </w:rPr>
        <w:t>Múcio</w:t>
      </w:r>
      <w:proofErr w:type="spellEnd"/>
      <w:r w:rsidR="00E91BC3" w:rsidRPr="00E91BC3">
        <w:rPr>
          <w:rFonts w:ascii="Arial" w:hAnsi="Arial"/>
          <w:sz w:val="20"/>
          <w:szCs w:val="20"/>
        </w:rPr>
        <w:t xml:space="preserve"> Monteiro)</w:t>
      </w:r>
    </w:p>
    <w:p w:rsidR="00E91BC3" w:rsidRPr="003739C4" w:rsidRDefault="00E91BC3" w:rsidP="00667020">
      <w:pPr>
        <w:jc w:val="both"/>
        <w:rPr>
          <w:rFonts w:ascii="Arial" w:hAnsi="Arial" w:cs="Arial"/>
          <w:b/>
          <w:sz w:val="20"/>
          <w:szCs w:val="20"/>
        </w:rPr>
      </w:pPr>
      <w:r w:rsidRPr="003739C4">
        <w:rPr>
          <w:rFonts w:ascii="Arial" w:hAnsi="Arial"/>
          <w:b/>
          <w:sz w:val="20"/>
          <w:szCs w:val="20"/>
        </w:rPr>
        <w:t>Diárias. Renúncia. Passagens. Indenização. Natureza jurídica. Capacitação.</w:t>
      </w:r>
    </w:p>
    <w:p w:rsidR="00E91BC3" w:rsidRDefault="00E91BC3" w:rsidP="00667020">
      <w:pPr>
        <w:pStyle w:val="TCU-Epgrafe"/>
        <w:spacing w:after="200" w:line="276" w:lineRule="auto"/>
        <w:ind w:left="0"/>
        <w:rPr>
          <w:rFonts w:ascii="Arial" w:hAnsi="Arial"/>
          <w:sz w:val="20"/>
        </w:rPr>
      </w:pPr>
      <w:r w:rsidRPr="00E91BC3">
        <w:rPr>
          <w:rFonts w:ascii="Arial" w:hAnsi="Arial"/>
          <w:sz w:val="20"/>
        </w:rPr>
        <w:t>A Administração pode exigir, nos editais para programas de treinamento a servidores com concessão de bolsa para pagamento do curso e custeio do deslocamento, que o pleiteante firme declaração específica onde expressamente renuncie ao recebimento de diárias ou qualquer outra verba indenizatória referente ao deslocamento do seu domicílio para o local de treinamento, uma vez que essas verbas possuem natureza jurídica patrimonial disponível, não havendo, portanto, óbice para que haja renúncia pelo servidor quanto à sua percepção.</w:t>
      </w:r>
    </w:p>
    <w:p w:rsidR="00D632D2" w:rsidRPr="00D632D2" w:rsidRDefault="00AF244D" w:rsidP="00D632D2">
      <w:pPr>
        <w:widowControl w:val="0"/>
        <w:autoSpaceDE w:val="0"/>
        <w:autoSpaceDN w:val="0"/>
        <w:jc w:val="both"/>
        <w:rPr>
          <w:rFonts w:ascii="Arial" w:hAnsi="Arial" w:cs="Arial"/>
          <w:b/>
          <w:sz w:val="20"/>
          <w:szCs w:val="20"/>
        </w:rPr>
      </w:pPr>
      <w:hyperlink r:id="rId27" w:history="1">
        <w:r w:rsidR="00D632D2" w:rsidRPr="00B173C0">
          <w:rPr>
            <w:rStyle w:val="Hyperlink"/>
            <w:rFonts w:ascii="Arial" w:hAnsi="Arial"/>
            <w:b/>
            <w:sz w:val="20"/>
            <w:szCs w:val="20"/>
          </w:rPr>
          <w:t xml:space="preserve">Acórdão 6710/2018 </w:t>
        </w:r>
        <w:r w:rsidR="00B173C0">
          <w:rPr>
            <w:rStyle w:val="Hyperlink"/>
            <w:rFonts w:ascii="Arial" w:hAnsi="Arial"/>
            <w:b/>
            <w:sz w:val="20"/>
            <w:szCs w:val="20"/>
          </w:rPr>
          <w:t xml:space="preserve">- </w:t>
        </w:r>
        <w:r w:rsidR="00D632D2" w:rsidRPr="00B173C0">
          <w:rPr>
            <w:rStyle w:val="Hyperlink"/>
            <w:rFonts w:ascii="Arial" w:hAnsi="Arial"/>
            <w:b/>
            <w:sz w:val="20"/>
            <w:szCs w:val="20"/>
          </w:rPr>
          <w:t>Primeira Câmara</w:t>
        </w:r>
      </w:hyperlink>
      <w:r w:rsidR="00D632D2" w:rsidRPr="00D632D2">
        <w:rPr>
          <w:rFonts w:ascii="Arial" w:hAnsi="Arial"/>
          <w:b/>
          <w:sz w:val="20"/>
          <w:szCs w:val="20"/>
        </w:rPr>
        <w:t xml:space="preserve"> </w:t>
      </w:r>
      <w:r w:rsidR="00D632D2" w:rsidRPr="00D632D2">
        <w:rPr>
          <w:rFonts w:ascii="Arial" w:hAnsi="Arial"/>
          <w:sz w:val="20"/>
          <w:szCs w:val="20"/>
        </w:rPr>
        <w:t xml:space="preserve">(Pedido de Reexame, Relator Ministro José </w:t>
      </w:r>
      <w:proofErr w:type="spellStart"/>
      <w:r w:rsidR="00D632D2" w:rsidRPr="00D632D2">
        <w:rPr>
          <w:rFonts w:ascii="Arial" w:hAnsi="Arial"/>
          <w:sz w:val="20"/>
          <w:szCs w:val="20"/>
        </w:rPr>
        <w:t>Múcio</w:t>
      </w:r>
      <w:proofErr w:type="spellEnd"/>
      <w:r w:rsidR="00D632D2" w:rsidRPr="00D632D2">
        <w:rPr>
          <w:rFonts w:ascii="Arial" w:hAnsi="Arial"/>
          <w:sz w:val="20"/>
          <w:szCs w:val="20"/>
        </w:rPr>
        <w:t xml:space="preserve"> Monteiro)</w:t>
      </w:r>
    </w:p>
    <w:p w:rsidR="00D632D2" w:rsidRPr="003739C4" w:rsidRDefault="00D632D2" w:rsidP="00D632D2">
      <w:pPr>
        <w:jc w:val="both"/>
        <w:rPr>
          <w:rFonts w:ascii="Arial" w:hAnsi="Arial" w:cs="Arial"/>
          <w:b/>
          <w:sz w:val="20"/>
          <w:szCs w:val="20"/>
        </w:rPr>
      </w:pPr>
      <w:r w:rsidRPr="003739C4">
        <w:rPr>
          <w:rFonts w:ascii="Arial" w:hAnsi="Arial"/>
          <w:b/>
          <w:sz w:val="20"/>
          <w:szCs w:val="20"/>
        </w:rPr>
        <w:t>Teto constitucional. Base de cálculo. Cargo em comissão. Função de confiança.</w:t>
      </w:r>
    </w:p>
    <w:p w:rsidR="00D632D2" w:rsidRDefault="00D632D2" w:rsidP="00D632D2">
      <w:pPr>
        <w:jc w:val="both"/>
        <w:rPr>
          <w:rFonts w:ascii="Arial" w:hAnsi="Arial"/>
          <w:sz w:val="20"/>
          <w:szCs w:val="20"/>
        </w:rPr>
      </w:pPr>
      <w:r w:rsidRPr="00D632D2">
        <w:rPr>
          <w:rFonts w:ascii="Arial" w:hAnsi="Arial"/>
          <w:sz w:val="20"/>
          <w:szCs w:val="20"/>
        </w:rPr>
        <w:t>A remuneração pelo exercício de função de confiança ou cargo em comissão está sujeita ao teto remuneratório constitucional em qualquer situação, e não apenas se superar, por si só, aquele limite.</w:t>
      </w:r>
    </w:p>
    <w:p w:rsidR="00BB471C" w:rsidRPr="00BB471C" w:rsidRDefault="00AF244D" w:rsidP="00BB471C">
      <w:pPr>
        <w:widowControl w:val="0"/>
        <w:autoSpaceDE w:val="0"/>
        <w:autoSpaceDN w:val="0"/>
        <w:jc w:val="both"/>
        <w:rPr>
          <w:rFonts w:ascii="Arial" w:hAnsi="Arial" w:cs="Arial"/>
          <w:b/>
          <w:sz w:val="20"/>
          <w:szCs w:val="20"/>
        </w:rPr>
      </w:pPr>
      <w:hyperlink r:id="rId28" w:history="1">
        <w:r w:rsidR="00BB471C" w:rsidRPr="00B173C0">
          <w:rPr>
            <w:rStyle w:val="Hyperlink"/>
            <w:rFonts w:ascii="Arial" w:hAnsi="Arial"/>
            <w:b/>
            <w:sz w:val="20"/>
            <w:szCs w:val="20"/>
          </w:rPr>
          <w:t xml:space="preserve">Acórdão 2007/2018 </w:t>
        </w:r>
        <w:r w:rsidR="00B173C0">
          <w:rPr>
            <w:rStyle w:val="Hyperlink"/>
            <w:rFonts w:ascii="Arial" w:hAnsi="Arial"/>
            <w:b/>
            <w:sz w:val="20"/>
            <w:szCs w:val="20"/>
          </w:rPr>
          <w:t xml:space="preserve">- </w:t>
        </w:r>
        <w:r w:rsidR="00BB471C" w:rsidRPr="00B173C0">
          <w:rPr>
            <w:rStyle w:val="Hyperlink"/>
            <w:rFonts w:ascii="Arial" w:hAnsi="Arial"/>
            <w:b/>
            <w:sz w:val="20"/>
            <w:szCs w:val="20"/>
          </w:rPr>
          <w:t>Plenário</w:t>
        </w:r>
      </w:hyperlink>
      <w:r w:rsidR="00BB471C" w:rsidRPr="00BB471C">
        <w:rPr>
          <w:rFonts w:ascii="Arial" w:hAnsi="Arial"/>
          <w:b/>
          <w:sz w:val="20"/>
          <w:szCs w:val="20"/>
        </w:rPr>
        <w:t xml:space="preserve"> </w:t>
      </w:r>
      <w:r w:rsidR="00BB471C" w:rsidRPr="00BB471C">
        <w:rPr>
          <w:rFonts w:ascii="Arial" w:hAnsi="Arial"/>
          <w:sz w:val="20"/>
          <w:szCs w:val="20"/>
        </w:rPr>
        <w:t>(Embargos de Declaração, Relator Ministro Vital do Rêgo)</w:t>
      </w:r>
    </w:p>
    <w:p w:rsidR="00BB471C" w:rsidRPr="003739C4" w:rsidRDefault="00BB471C" w:rsidP="00BB471C">
      <w:pPr>
        <w:jc w:val="both"/>
        <w:rPr>
          <w:rFonts w:ascii="Arial" w:hAnsi="Arial" w:cs="Arial"/>
          <w:b/>
          <w:sz w:val="20"/>
          <w:szCs w:val="20"/>
        </w:rPr>
      </w:pPr>
      <w:r w:rsidRPr="003739C4">
        <w:rPr>
          <w:rFonts w:ascii="Arial" w:hAnsi="Arial"/>
          <w:b/>
          <w:sz w:val="20"/>
          <w:szCs w:val="20"/>
        </w:rPr>
        <w:t>Parte processual. Sindicato. Legitimidade. Pessoal. Ato sujeito a registro.</w:t>
      </w:r>
    </w:p>
    <w:p w:rsidR="00BB471C" w:rsidRPr="00BB471C" w:rsidRDefault="00BB471C" w:rsidP="00BB471C">
      <w:pPr>
        <w:pStyle w:val="TCU-Epgrafe"/>
        <w:spacing w:after="200" w:line="276" w:lineRule="auto"/>
        <w:ind w:left="0"/>
        <w:rPr>
          <w:sz w:val="20"/>
        </w:rPr>
      </w:pPr>
      <w:r w:rsidRPr="00BB471C">
        <w:rPr>
          <w:rFonts w:ascii="Arial" w:hAnsi="Arial"/>
          <w:sz w:val="20"/>
        </w:rPr>
        <w:t xml:space="preserve">Nos processos em que se examina a legalidade de atos de pessoal (admissões, aposentadorias, pensões e reformas), os sindicatos não estão legitimados a atuar por substituição processual, pois são analisados pretensos direitos individuais heterogêneos (direitos individuais puros) do interessado que figura nos autos, os quais estão fora do âmbito de aplicação do art. 8º, inciso III, da </w:t>
      </w:r>
      <w:hyperlink r:id="rId29" w:history="1">
        <w:r w:rsidRPr="00BB471C">
          <w:rPr>
            <w:rStyle w:val="Hyperlink"/>
            <w:rFonts w:ascii="Arial" w:hAnsi="Arial"/>
            <w:color w:val="0000FF" w:themeColor="hyperlink"/>
            <w:sz w:val="20"/>
          </w:rPr>
          <w:t>Constituição Federal</w:t>
        </w:r>
      </w:hyperlink>
      <w:r w:rsidRPr="00BB471C">
        <w:rPr>
          <w:rFonts w:ascii="Arial" w:hAnsi="Arial"/>
          <w:sz w:val="20"/>
        </w:rPr>
        <w:t>. No entanto, as entidades sindicais, caso acionadas pelos interessados, poderão prestar auxílio jurídico na condição de representante processual.</w:t>
      </w:r>
    </w:p>
    <w:p w:rsidR="00D02097" w:rsidRPr="00D02097" w:rsidRDefault="00AF244D" w:rsidP="00D02097">
      <w:pPr>
        <w:widowControl w:val="0"/>
        <w:autoSpaceDE w:val="0"/>
        <w:autoSpaceDN w:val="0"/>
        <w:jc w:val="both"/>
        <w:rPr>
          <w:rFonts w:ascii="Arial" w:hAnsi="Arial" w:cs="Arial"/>
          <w:b/>
          <w:sz w:val="20"/>
          <w:szCs w:val="20"/>
        </w:rPr>
      </w:pPr>
      <w:hyperlink r:id="rId30" w:history="1">
        <w:r w:rsidR="00D02097" w:rsidRPr="00B173C0">
          <w:rPr>
            <w:rStyle w:val="Hyperlink"/>
            <w:rFonts w:ascii="Arial" w:hAnsi="Arial" w:cs="Arial"/>
            <w:b/>
            <w:sz w:val="20"/>
            <w:szCs w:val="20"/>
          </w:rPr>
          <w:t xml:space="preserve">Acórdão 2075/2018 </w:t>
        </w:r>
        <w:r w:rsidR="00B173C0">
          <w:rPr>
            <w:rStyle w:val="Hyperlink"/>
            <w:rFonts w:ascii="Arial" w:hAnsi="Arial" w:cs="Arial"/>
            <w:b/>
            <w:sz w:val="20"/>
            <w:szCs w:val="20"/>
          </w:rPr>
          <w:t xml:space="preserve">- </w:t>
        </w:r>
        <w:r w:rsidR="00D02097" w:rsidRPr="00B173C0">
          <w:rPr>
            <w:rStyle w:val="Hyperlink"/>
            <w:rFonts w:ascii="Arial" w:hAnsi="Arial" w:cs="Arial"/>
            <w:b/>
            <w:sz w:val="20"/>
            <w:szCs w:val="20"/>
          </w:rPr>
          <w:t>Plenário</w:t>
        </w:r>
      </w:hyperlink>
      <w:r w:rsidR="00D02097" w:rsidRPr="00D02097">
        <w:rPr>
          <w:rFonts w:ascii="Arial" w:hAnsi="Arial" w:cs="Arial"/>
          <w:b/>
          <w:sz w:val="20"/>
          <w:szCs w:val="20"/>
        </w:rPr>
        <w:t xml:space="preserve"> </w:t>
      </w:r>
      <w:r w:rsidR="00D02097" w:rsidRPr="00D02097">
        <w:rPr>
          <w:rFonts w:ascii="Arial" w:hAnsi="Arial" w:cs="Arial"/>
          <w:sz w:val="20"/>
          <w:szCs w:val="20"/>
        </w:rPr>
        <w:t>(Pedido de Reexame, Relator Ministra Ana Arraes)</w:t>
      </w:r>
    </w:p>
    <w:p w:rsidR="00D02097" w:rsidRPr="003739C4" w:rsidRDefault="00D02097" w:rsidP="00D02097">
      <w:pPr>
        <w:jc w:val="both"/>
        <w:rPr>
          <w:rFonts w:ascii="Arial" w:hAnsi="Arial" w:cs="Arial"/>
          <w:b/>
          <w:sz w:val="20"/>
          <w:szCs w:val="20"/>
        </w:rPr>
      </w:pPr>
      <w:r w:rsidRPr="003739C4">
        <w:rPr>
          <w:rFonts w:ascii="Arial" w:hAnsi="Arial" w:cs="Arial"/>
          <w:b/>
          <w:sz w:val="20"/>
          <w:szCs w:val="20"/>
        </w:rPr>
        <w:t>Licitação. RDC. Contratação integrada. Metodologia. Irrelevância. Vedação.</w:t>
      </w:r>
    </w:p>
    <w:p w:rsidR="00D02097" w:rsidRDefault="00D02097" w:rsidP="00D02097">
      <w:pPr>
        <w:pStyle w:val="TCU-Epgrafe"/>
        <w:spacing w:after="200" w:line="276" w:lineRule="auto"/>
        <w:ind w:left="0"/>
        <w:rPr>
          <w:rFonts w:ascii="Arial" w:hAnsi="Arial" w:cs="Arial"/>
          <w:sz w:val="20"/>
        </w:rPr>
      </w:pPr>
      <w:r w:rsidRPr="00D02097">
        <w:rPr>
          <w:rFonts w:ascii="Arial" w:hAnsi="Arial" w:cs="Arial"/>
          <w:sz w:val="20"/>
        </w:rPr>
        <w:t xml:space="preserve">É contrária à </w:t>
      </w:r>
      <w:hyperlink r:id="rId31" w:history="1">
        <w:r w:rsidRPr="00D02097">
          <w:rPr>
            <w:rStyle w:val="Hyperlink"/>
            <w:rFonts w:ascii="Arial" w:hAnsi="Arial" w:cs="Arial"/>
            <w:color w:val="0000FF" w:themeColor="hyperlink"/>
            <w:sz w:val="20"/>
          </w:rPr>
          <w:t>Lei 12.462/2011</w:t>
        </w:r>
      </w:hyperlink>
      <w:r w:rsidRPr="00D02097">
        <w:rPr>
          <w:rFonts w:ascii="Arial" w:hAnsi="Arial" w:cs="Arial"/>
          <w:sz w:val="20"/>
        </w:rPr>
        <w:t xml:space="preserve"> a utilização da contratação integrada fundamentada na possibilidade de execução do objeto com diferentes metodologias, nos termos do seu art. 9º, inciso II, quando essa variação metodológica for irrelevante ou sequer ponderada pela Administração no processo de escolha do contratado.</w:t>
      </w:r>
    </w:p>
    <w:p w:rsidR="00FC4D20" w:rsidRPr="00FC4D20" w:rsidRDefault="00AF244D" w:rsidP="00FC4D20">
      <w:pPr>
        <w:widowControl w:val="0"/>
        <w:autoSpaceDE w:val="0"/>
        <w:autoSpaceDN w:val="0"/>
        <w:jc w:val="both"/>
        <w:rPr>
          <w:rFonts w:ascii="Arial" w:hAnsi="Arial" w:cs="Arial"/>
          <w:b/>
          <w:sz w:val="20"/>
          <w:szCs w:val="20"/>
        </w:rPr>
      </w:pPr>
      <w:hyperlink r:id="rId32" w:history="1">
        <w:r w:rsidR="00FC4D20" w:rsidRPr="00460544">
          <w:rPr>
            <w:rStyle w:val="Hyperlink"/>
            <w:rFonts w:ascii="Arial" w:hAnsi="Arial"/>
            <w:b/>
            <w:sz w:val="20"/>
            <w:szCs w:val="20"/>
          </w:rPr>
          <w:t xml:space="preserve">Acórdão 2076/2018 </w:t>
        </w:r>
        <w:r w:rsidR="00460544">
          <w:rPr>
            <w:rStyle w:val="Hyperlink"/>
            <w:rFonts w:ascii="Arial" w:hAnsi="Arial"/>
            <w:b/>
            <w:sz w:val="20"/>
            <w:szCs w:val="20"/>
          </w:rPr>
          <w:t xml:space="preserve">- </w:t>
        </w:r>
        <w:r w:rsidR="00FC4D20" w:rsidRPr="00460544">
          <w:rPr>
            <w:rStyle w:val="Hyperlink"/>
            <w:rFonts w:ascii="Arial" w:hAnsi="Arial"/>
            <w:b/>
            <w:sz w:val="20"/>
            <w:szCs w:val="20"/>
          </w:rPr>
          <w:t>Plenário</w:t>
        </w:r>
      </w:hyperlink>
      <w:r w:rsidR="00FC4D20" w:rsidRPr="00FC4D20">
        <w:rPr>
          <w:rFonts w:ascii="Arial" w:hAnsi="Arial"/>
          <w:b/>
          <w:sz w:val="20"/>
          <w:szCs w:val="20"/>
        </w:rPr>
        <w:t xml:space="preserve"> </w:t>
      </w:r>
      <w:r w:rsidR="00FC4D20" w:rsidRPr="00FC4D20">
        <w:rPr>
          <w:rFonts w:ascii="Arial" w:hAnsi="Arial"/>
          <w:sz w:val="20"/>
          <w:szCs w:val="20"/>
        </w:rPr>
        <w:t>(Representação, Relator Ministro Walton Alencar Rodrigues)</w:t>
      </w:r>
    </w:p>
    <w:p w:rsidR="00FC4D20" w:rsidRPr="003739C4" w:rsidRDefault="00FC4D20" w:rsidP="00FC4D20">
      <w:pPr>
        <w:jc w:val="both"/>
        <w:rPr>
          <w:rFonts w:ascii="Arial" w:hAnsi="Arial" w:cs="Arial"/>
          <w:b/>
          <w:sz w:val="20"/>
          <w:szCs w:val="20"/>
        </w:rPr>
      </w:pPr>
      <w:r w:rsidRPr="003739C4">
        <w:rPr>
          <w:rFonts w:ascii="Arial" w:hAnsi="Arial"/>
          <w:b/>
          <w:sz w:val="20"/>
          <w:szCs w:val="20"/>
        </w:rPr>
        <w:t>Direito Processual. Medida cautelar. Eficácia. Mérito. Recurso. Efeito devolutivo.</w:t>
      </w:r>
    </w:p>
    <w:p w:rsidR="00FC4D20" w:rsidRDefault="00FC4D20" w:rsidP="00FC4D20">
      <w:pPr>
        <w:pStyle w:val="TCU-Epgrafe"/>
        <w:spacing w:after="200" w:line="276" w:lineRule="auto"/>
        <w:ind w:left="0"/>
        <w:rPr>
          <w:rFonts w:ascii="Arial" w:hAnsi="Arial"/>
          <w:sz w:val="20"/>
        </w:rPr>
      </w:pPr>
      <w:r w:rsidRPr="00FC4D20">
        <w:rPr>
          <w:rFonts w:ascii="Arial" w:hAnsi="Arial"/>
          <w:sz w:val="20"/>
        </w:rPr>
        <w:t xml:space="preserve">Não se revoga medida cautelar nos casos em que a decisão de mérito vier a confirmá-la totalmente. Havendo recurso contra acórdão que confirma a medida de urgência, ele é recebido apenas em seu efeito devolutivo, conforme disciplina o art. 1.012, § 1º, inciso V, do </w:t>
      </w:r>
      <w:hyperlink r:id="rId33" w:history="1">
        <w:r w:rsidRPr="00FC4D20">
          <w:rPr>
            <w:rStyle w:val="Hyperlink"/>
            <w:rFonts w:ascii="Arial" w:hAnsi="Arial"/>
            <w:color w:val="0000FF" w:themeColor="hyperlink"/>
            <w:sz w:val="20"/>
          </w:rPr>
          <w:t>CPC</w:t>
        </w:r>
      </w:hyperlink>
      <w:r w:rsidRPr="00FC4D20">
        <w:rPr>
          <w:rFonts w:ascii="Arial" w:hAnsi="Arial"/>
          <w:sz w:val="20"/>
        </w:rPr>
        <w:t>, aplicado subsidiariamente aos processos de controle externo.</w:t>
      </w:r>
    </w:p>
    <w:p w:rsidR="005A7AA5" w:rsidRPr="005A7AA5" w:rsidRDefault="005A7AA5" w:rsidP="005A7AA5">
      <w:pPr>
        <w:pStyle w:val="TCU-Epgrafe"/>
        <w:spacing w:after="200" w:line="276" w:lineRule="auto"/>
        <w:ind w:left="0"/>
        <w:jc w:val="center"/>
        <w:rPr>
          <w:rFonts w:ascii="Arial" w:hAnsi="Arial"/>
          <w:sz w:val="20"/>
        </w:rPr>
      </w:pPr>
      <w:r w:rsidRPr="005A7AA5">
        <w:rPr>
          <w:rFonts w:ascii="Arial" w:hAnsi="Arial" w:cs="Arial"/>
          <w:sz w:val="20"/>
        </w:rPr>
        <w:t>Destaque</w:t>
      </w:r>
    </w:p>
    <w:p w:rsidR="00210167" w:rsidRPr="0022060B" w:rsidRDefault="00210167" w:rsidP="00210167">
      <w:pPr>
        <w:autoSpaceDE w:val="0"/>
        <w:autoSpaceDN w:val="0"/>
        <w:adjustRightInd w:val="0"/>
        <w:spacing w:after="0"/>
        <w:jc w:val="center"/>
        <w:rPr>
          <w:rFonts w:ascii="Arial" w:hAnsi="Arial" w:cs="Arial"/>
          <w:sz w:val="20"/>
          <w:szCs w:val="20"/>
        </w:rPr>
      </w:pPr>
      <w:r>
        <w:rPr>
          <w:rFonts w:ascii="Arial" w:hAnsi="Arial" w:cs="Arial"/>
          <w:sz w:val="20"/>
          <w:szCs w:val="20"/>
        </w:rPr>
        <w:t xml:space="preserve">Aviso n° 110 - </w:t>
      </w:r>
      <w:proofErr w:type="spellStart"/>
      <w:r>
        <w:rPr>
          <w:rFonts w:ascii="Arial" w:hAnsi="Arial" w:cs="Arial"/>
          <w:sz w:val="20"/>
          <w:szCs w:val="20"/>
        </w:rPr>
        <w:t>Seses</w:t>
      </w:r>
      <w:proofErr w:type="spellEnd"/>
      <w:r>
        <w:rPr>
          <w:rFonts w:ascii="Arial" w:hAnsi="Arial" w:cs="Arial"/>
          <w:sz w:val="20"/>
          <w:szCs w:val="20"/>
        </w:rPr>
        <w:t xml:space="preserve"> - TCU - Segunda Câmara </w:t>
      </w:r>
    </w:p>
    <w:p w:rsidR="00210167" w:rsidRPr="0022060B" w:rsidRDefault="00210167" w:rsidP="00210167">
      <w:pPr>
        <w:spacing w:after="0"/>
        <w:rPr>
          <w:rFonts w:ascii="Arial" w:hAnsi="Arial" w:cs="Arial"/>
          <w:b/>
          <w:color w:val="000000"/>
          <w:sz w:val="20"/>
          <w:szCs w:val="20"/>
        </w:rPr>
      </w:pPr>
      <w:r w:rsidRPr="0022060B">
        <w:rPr>
          <w:rFonts w:ascii="Arial" w:hAnsi="Arial" w:cs="Arial"/>
          <w:noProof/>
          <w:sz w:val="20"/>
          <w:szCs w:val="20"/>
          <w:lang w:eastAsia="pt-BR"/>
        </w:rPr>
        <mc:AlternateContent>
          <mc:Choice Requires="wps">
            <w:drawing>
              <wp:anchor distT="0" distB="0" distL="114300" distR="114300" simplePos="0" relativeHeight="251666944" behindDoc="0" locked="0" layoutInCell="1" allowOverlap="1" wp14:anchorId="7A80CE32" wp14:editId="3A735CE9">
                <wp:simplePos x="0" y="0"/>
                <wp:positionH relativeFrom="margin">
                  <wp:posOffset>-6985</wp:posOffset>
                </wp:positionH>
                <wp:positionV relativeFrom="paragraph">
                  <wp:posOffset>73660</wp:posOffset>
                </wp:positionV>
                <wp:extent cx="5499100" cy="0"/>
                <wp:effectExtent l="0" t="0" r="25400" b="5715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72B85DC" id="Conector reto 2" o:spid="_x0000_s1026" style="position:absolute;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" strokecolor="black [3200]" strokeweight="2pt">
                <v:shadow on="t" color="black" opacity="24903f" origin=",.5" offset="0,.55556mm"/>
                <w10:wrap anchorx="margin"/>
              </v:line>
            </w:pict>
          </mc:Fallback>
        </mc:AlternateContent>
      </w:r>
    </w:p>
    <w:p w:rsidR="00477530" w:rsidRDefault="00AF244D" w:rsidP="00210167">
      <w:pPr>
        <w:pStyle w:val="TCU-Epgrafe"/>
        <w:spacing w:after="200" w:line="276" w:lineRule="auto"/>
        <w:ind w:left="0"/>
        <w:jc w:val="center"/>
        <w:rPr>
          <w:rFonts w:ascii="Arial" w:hAnsi="Arial"/>
          <w:b/>
          <w:sz w:val="20"/>
        </w:rPr>
      </w:pPr>
      <w:hyperlink r:id="rId34" w:history="1">
        <w:r w:rsidR="00477530" w:rsidRPr="00210167">
          <w:rPr>
            <w:rStyle w:val="Hyperlink"/>
            <w:rFonts w:ascii="Arial" w:hAnsi="Arial"/>
            <w:b/>
            <w:sz w:val="20"/>
          </w:rPr>
          <w:t xml:space="preserve">Acórdão </w:t>
        </w:r>
        <w:r w:rsidR="00210167" w:rsidRPr="00210167">
          <w:rPr>
            <w:rStyle w:val="Hyperlink"/>
            <w:rFonts w:ascii="Arial" w:hAnsi="Arial"/>
            <w:b/>
            <w:sz w:val="20"/>
          </w:rPr>
          <w:t>7790 - Segunda Câmara</w:t>
        </w:r>
      </w:hyperlink>
    </w:p>
    <w:p w:rsidR="00210167" w:rsidRPr="00210167" w:rsidRDefault="00210167" w:rsidP="00210167">
      <w:pPr>
        <w:pStyle w:val="TCU-Epgrafe"/>
        <w:spacing w:after="200" w:line="276" w:lineRule="auto"/>
        <w:ind w:left="0"/>
        <w:rPr>
          <w:rFonts w:ascii="Arial" w:hAnsi="Arial" w:cs="Arial"/>
          <w:b/>
          <w:sz w:val="20"/>
        </w:rPr>
      </w:pPr>
      <w:r w:rsidRPr="00210167">
        <w:rPr>
          <w:rFonts w:ascii="Arial" w:hAnsi="Arial" w:cs="Arial"/>
          <w:color w:val="292B2C"/>
          <w:sz w:val="20"/>
          <w:shd w:val="clear" w:color="auto" w:fill="FFFFFF"/>
        </w:rPr>
        <w:lastRenderedPageBreak/>
        <w:t>Tomada de contas especial. Irregularidades na aplicação de recursos do fundo nacional de saúde. Citação dos responsáveis. Insuficiência das alegações de defesa para descaracterizar os indícios de superfaturamentos decorrentes de sobre</w:t>
      </w:r>
      <w:r>
        <w:rPr>
          <w:rFonts w:ascii="Arial" w:hAnsi="Arial" w:cs="Arial"/>
          <w:color w:val="292B2C"/>
          <w:sz w:val="20"/>
          <w:shd w:val="clear" w:color="auto" w:fill="FFFFFF"/>
        </w:rPr>
        <w:t>-</w:t>
      </w:r>
      <w:r w:rsidRPr="00210167">
        <w:rPr>
          <w:rFonts w:ascii="Arial" w:hAnsi="Arial" w:cs="Arial"/>
          <w:color w:val="292B2C"/>
          <w:sz w:val="20"/>
          <w:shd w:val="clear" w:color="auto" w:fill="FFFFFF"/>
        </w:rPr>
        <w:t>preço e de pagamentos superiores aos valores ajustados e a culpabilidade de alguns responsáveis. Exclusão de gestores da relação processual. Aceitação parcial das alegações de defesa de dois gestores, com afastamento de sua responsabilização. Revelia por parte de um gestor. Irregularidades das contas especiais. Débito e multa.</w:t>
      </w:r>
    </w:p>
    <w:p w:rsidR="00210167" w:rsidRPr="005A7AA5" w:rsidRDefault="00210167" w:rsidP="00210167">
      <w:pPr>
        <w:pStyle w:val="TCU-Epgrafe"/>
        <w:spacing w:after="200" w:line="276" w:lineRule="auto"/>
        <w:ind w:left="0"/>
        <w:jc w:val="center"/>
        <w:rPr>
          <w:rFonts w:ascii="Arial" w:hAnsi="Arial" w:cs="Arial"/>
          <w:b/>
          <w:sz w:val="20"/>
        </w:rPr>
      </w:pPr>
      <w:r w:rsidRPr="005A7AA5">
        <w:rPr>
          <w:rFonts w:ascii="Arial" w:hAnsi="Arial" w:cs="Arial"/>
          <w:b/>
          <w:sz w:val="20"/>
        </w:rPr>
        <w:t xml:space="preserve">Requerimento Externo do Tribunal de Contas da União no TCE/PR n° 626068/18 </w:t>
      </w:r>
    </w:p>
    <w:p w:rsidR="00210167" w:rsidRPr="005A7AA5" w:rsidRDefault="00210167" w:rsidP="00210167">
      <w:pPr>
        <w:pStyle w:val="TCU-Epgrafe"/>
        <w:spacing w:after="200" w:line="276" w:lineRule="auto"/>
        <w:ind w:left="0"/>
        <w:jc w:val="center"/>
        <w:rPr>
          <w:rFonts w:ascii="Arial" w:hAnsi="Arial" w:cs="Arial"/>
          <w:b/>
          <w:sz w:val="20"/>
        </w:rPr>
      </w:pPr>
      <w:r w:rsidRPr="005A7AA5">
        <w:rPr>
          <w:rFonts w:ascii="Arial" w:hAnsi="Arial" w:cs="Arial"/>
          <w:b/>
          <w:sz w:val="20"/>
        </w:rPr>
        <w:t xml:space="preserve">Informação n° </w:t>
      </w:r>
      <w:r w:rsidR="0057101D" w:rsidRPr="005A7AA5">
        <w:rPr>
          <w:rFonts w:ascii="Arial" w:hAnsi="Arial" w:cs="Arial"/>
          <w:b/>
          <w:sz w:val="20"/>
        </w:rPr>
        <w:t>123/18 - SJB</w:t>
      </w:r>
    </w:p>
    <w:p w:rsidR="00543DF0" w:rsidRDefault="00543DF0" w:rsidP="00543DF0">
      <w:pPr>
        <w:pStyle w:val="Default"/>
        <w:spacing w:after="200" w:line="276" w:lineRule="auto"/>
        <w:jc w:val="both"/>
        <w:rPr>
          <w:b/>
          <w:sz w:val="20"/>
          <w:szCs w:val="20"/>
        </w:rPr>
      </w:pPr>
      <w:r>
        <w:rPr>
          <w:b/>
          <w:sz w:val="20"/>
          <w:szCs w:val="20"/>
        </w:rPr>
        <w:t xml:space="preserve">Acesse também: </w:t>
      </w:r>
    </w:p>
    <w:p w:rsidR="00270E2F" w:rsidRDefault="00AF244D" w:rsidP="00270E2F">
      <w:pPr>
        <w:pStyle w:val="Default"/>
        <w:spacing w:line="276" w:lineRule="auto"/>
        <w:jc w:val="center"/>
        <w:rPr>
          <w:rStyle w:val="Hyperlink"/>
          <w:b/>
          <w:sz w:val="20"/>
          <w:szCs w:val="20"/>
        </w:rPr>
      </w:pPr>
      <w:hyperlink r:id="rId35" w:history="1">
        <w:r w:rsidR="00270E2F" w:rsidRPr="00BC4C07">
          <w:rPr>
            <w:rStyle w:val="Hyperlink"/>
            <w:b/>
            <w:sz w:val="20"/>
            <w:szCs w:val="20"/>
          </w:rPr>
          <w:t>Pesquisas Prontas</w:t>
        </w:r>
      </w:hyperlink>
    </w:p>
    <w:p w:rsidR="00B7076B" w:rsidRDefault="00B7076B" w:rsidP="00270E2F">
      <w:pPr>
        <w:pStyle w:val="Default"/>
        <w:spacing w:line="276" w:lineRule="auto"/>
        <w:jc w:val="center"/>
        <w:rPr>
          <w:rStyle w:val="Hyperlink"/>
          <w:b/>
          <w:sz w:val="20"/>
          <w:szCs w:val="20"/>
        </w:rPr>
      </w:pPr>
    </w:p>
    <w:p w:rsidR="00B7076B" w:rsidRDefault="00AF244D" w:rsidP="00270E2F">
      <w:pPr>
        <w:pStyle w:val="Default"/>
        <w:spacing w:line="276" w:lineRule="auto"/>
        <w:jc w:val="center"/>
        <w:rPr>
          <w:rStyle w:val="Hyperlink"/>
          <w:b/>
          <w:sz w:val="20"/>
          <w:szCs w:val="20"/>
        </w:rPr>
      </w:pPr>
      <w:hyperlink r:id="rId36" w:history="1">
        <w:r w:rsidR="00B7076B" w:rsidRPr="00B7076B">
          <w:rPr>
            <w:rStyle w:val="Hyperlink"/>
            <w:b/>
            <w:sz w:val="20"/>
            <w:szCs w:val="20"/>
          </w:rPr>
          <w:t>Teses Ambientais</w:t>
        </w:r>
      </w:hyperlink>
      <w:r w:rsidR="00B7076B">
        <w:rPr>
          <w:rStyle w:val="Hyperlink"/>
          <w:b/>
          <w:sz w:val="20"/>
          <w:szCs w:val="20"/>
        </w:rPr>
        <w:t xml:space="preserve"> </w:t>
      </w:r>
    </w:p>
    <w:p w:rsidR="00B7076B" w:rsidRDefault="00B7076B" w:rsidP="00270E2F">
      <w:pPr>
        <w:pStyle w:val="Default"/>
        <w:spacing w:line="276" w:lineRule="auto"/>
        <w:jc w:val="center"/>
        <w:rPr>
          <w:rStyle w:val="Hyperlink"/>
          <w:b/>
          <w:sz w:val="20"/>
          <w:szCs w:val="20"/>
        </w:rPr>
      </w:pPr>
    </w:p>
    <w:p w:rsidR="00B7076B" w:rsidRPr="00BC4C07" w:rsidRDefault="00AF244D" w:rsidP="00270E2F">
      <w:pPr>
        <w:pStyle w:val="Default"/>
        <w:spacing w:line="276" w:lineRule="auto"/>
        <w:jc w:val="center"/>
        <w:rPr>
          <w:b/>
          <w:sz w:val="20"/>
          <w:szCs w:val="20"/>
        </w:rPr>
      </w:pPr>
      <w:hyperlink r:id="rId37" w:history="1">
        <w:proofErr w:type="spellStart"/>
        <w:r w:rsidR="00B7076B" w:rsidRPr="00B7076B">
          <w:rPr>
            <w:rStyle w:val="Hyperlink"/>
            <w:b/>
            <w:sz w:val="20"/>
            <w:szCs w:val="20"/>
          </w:rPr>
          <w:t>Interjuris</w:t>
        </w:r>
        <w:proofErr w:type="spellEnd"/>
      </w:hyperlink>
    </w:p>
    <w:p w:rsidR="00270E2F" w:rsidRDefault="00270E2F" w:rsidP="00270E2F">
      <w:pPr>
        <w:pStyle w:val="Default"/>
        <w:spacing w:line="276" w:lineRule="auto"/>
        <w:jc w:val="center"/>
      </w:pPr>
    </w:p>
    <w:p w:rsidR="00270E2F" w:rsidRDefault="00AF244D" w:rsidP="00270E2F">
      <w:pPr>
        <w:pStyle w:val="Default"/>
        <w:spacing w:line="276" w:lineRule="auto"/>
        <w:jc w:val="center"/>
        <w:rPr>
          <w:rStyle w:val="Hyperlink"/>
          <w:b/>
          <w:sz w:val="20"/>
          <w:szCs w:val="20"/>
        </w:rPr>
      </w:pPr>
      <w:hyperlink r:id="rId38" w:history="1">
        <w:r w:rsidR="00270E2F">
          <w:rPr>
            <w:rStyle w:val="Hyperlink"/>
            <w:b/>
            <w:sz w:val="20"/>
            <w:szCs w:val="20"/>
          </w:rPr>
          <w:t>Repercussão Geral do Supremo Tribunal Federal - STF e os Tribunais de Contas</w:t>
        </w:r>
      </w:hyperlink>
    </w:p>
    <w:p w:rsidR="00270E2F" w:rsidRDefault="00270E2F" w:rsidP="00270E2F">
      <w:pPr>
        <w:pStyle w:val="Default"/>
        <w:spacing w:line="276" w:lineRule="auto"/>
        <w:jc w:val="center"/>
        <w:rPr>
          <w:rStyle w:val="Hyperlink"/>
          <w:b/>
          <w:sz w:val="20"/>
          <w:szCs w:val="20"/>
        </w:rPr>
      </w:pPr>
    </w:p>
    <w:p w:rsidR="00B7076B" w:rsidRPr="00DD265A" w:rsidRDefault="00AF244D" w:rsidP="00270E2F">
      <w:pPr>
        <w:pStyle w:val="Default"/>
        <w:spacing w:line="276" w:lineRule="auto"/>
        <w:jc w:val="center"/>
        <w:rPr>
          <w:rStyle w:val="Hyperlink"/>
          <w:b/>
          <w:sz w:val="20"/>
          <w:szCs w:val="20"/>
        </w:rPr>
      </w:pPr>
      <w:hyperlink r:id="rId39" w:history="1">
        <w:r w:rsidR="00B7076B" w:rsidRPr="00B7076B">
          <w:rPr>
            <w:rStyle w:val="Hyperlink"/>
            <w:b/>
            <w:sz w:val="20"/>
            <w:szCs w:val="20"/>
          </w:rPr>
          <w:t>Súmulas Selecionadas</w:t>
        </w:r>
      </w:hyperlink>
    </w:p>
    <w:p w:rsidR="00270E2F" w:rsidRDefault="00270E2F" w:rsidP="00270E2F">
      <w:pPr>
        <w:pStyle w:val="TCU-Epgrafe"/>
        <w:spacing w:line="276" w:lineRule="auto"/>
        <w:ind w:left="0"/>
        <w:rPr>
          <w:sz w:val="22"/>
          <w:szCs w:val="22"/>
        </w:rPr>
      </w:pPr>
      <w:r w:rsidRPr="0022060B">
        <w:rPr>
          <w:rFonts w:ascii="Arial" w:hAnsi="Arial" w:cs="Arial"/>
          <w:noProof/>
          <w:sz w:val="20"/>
        </w:rPr>
        <mc:AlternateContent>
          <mc:Choice Requires="wps">
            <w:drawing>
              <wp:anchor distT="0" distB="0" distL="114300" distR="114300" simplePos="0" relativeHeight="251664896" behindDoc="0" locked="0" layoutInCell="1" allowOverlap="1" wp14:anchorId="63484C90" wp14:editId="67AE2BB8">
                <wp:simplePos x="0" y="0"/>
                <wp:positionH relativeFrom="margin">
                  <wp:posOffset>-18205</wp:posOffset>
                </wp:positionH>
                <wp:positionV relativeFrom="paragraph">
                  <wp:posOffset>117229</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FBC0740" id="Conector reto 59" o:spid="_x0000_s1026" style="position:absolute;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" strokecolor="black [3200]" strokeweight="2pt">
                <v:shadow on="t" color="black" opacity="24903f" origin=",.5" offset="0,.55556mm"/>
                <w10:wrap anchorx="margin"/>
              </v:line>
            </w:pict>
          </mc:Fallback>
        </mc:AlternateContent>
      </w:r>
    </w:p>
    <w:p w:rsidR="00984E8B" w:rsidRDefault="00984E8B" w:rsidP="00DB558E">
      <w:pPr>
        <w:spacing w:after="0"/>
        <w:jc w:val="center"/>
        <w:rPr>
          <w:rStyle w:val="Hyperlink"/>
          <w:rFonts w:ascii="Arial" w:hAnsi="Arial" w:cs="Arial"/>
          <w:i/>
          <w:color w:val="000000" w:themeColor="text1"/>
          <w:sz w:val="20"/>
          <w:szCs w:val="20"/>
          <w:u w:val="none"/>
        </w:rPr>
      </w:pPr>
    </w:p>
    <w:p w:rsidR="003F734F" w:rsidRDefault="003F734F" w:rsidP="003F734F">
      <w:pPr>
        <w:spacing w:after="0"/>
        <w:jc w:val="center"/>
        <w:rPr>
          <w:rStyle w:val="Hyperlink"/>
          <w:rFonts w:ascii="Arial" w:hAnsi="Arial" w:cs="Arial"/>
          <w:i/>
          <w:color w:val="auto"/>
          <w:sz w:val="20"/>
          <w:szCs w:val="20"/>
          <w:u w:val="none"/>
        </w:rPr>
      </w:pPr>
      <w:r>
        <w:rPr>
          <w:rStyle w:val="Hyperlink"/>
          <w:rFonts w:ascii="Arial" w:hAnsi="Arial" w:cs="Arial"/>
          <w:i/>
          <w:color w:val="auto"/>
          <w:sz w:val="20"/>
          <w:szCs w:val="20"/>
          <w:u w:val="none"/>
        </w:rPr>
        <w:t>Elaboração: Escola de Gestão Pública - Jurisprudência</w:t>
      </w:r>
    </w:p>
    <w:p w:rsidR="003F734F" w:rsidRDefault="003F734F" w:rsidP="003F734F">
      <w:pPr>
        <w:spacing w:after="0"/>
        <w:jc w:val="center"/>
        <w:rPr>
          <w:b/>
        </w:rPr>
      </w:pPr>
      <w:r>
        <w:rPr>
          <w:rStyle w:val="nfase"/>
          <w:rFonts w:ascii="Tahoma" w:hAnsi="Tahoma" w:cs="Tahoma"/>
          <w:sz w:val="20"/>
          <w:szCs w:val="20"/>
        </w:rPr>
        <w:t>E-mail: jurisprudencia@tce.pr.gov.br</w:t>
      </w:r>
    </w:p>
    <w:p w:rsidR="003F734F" w:rsidRDefault="003F734F" w:rsidP="003F734F">
      <w:pPr>
        <w:widowControl w:val="0"/>
        <w:autoSpaceDE w:val="0"/>
        <w:autoSpaceDN w:val="0"/>
        <w:spacing w:after="0"/>
        <w:jc w:val="both"/>
        <w:rPr>
          <w:rFonts w:ascii="Arial" w:hAnsi="Arial" w:cs="Arial"/>
          <w:b/>
          <w:sz w:val="20"/>
          <w:szCs w:val="20"/>
        </w:rPr>
      </w:pPr>
    </w:p>
    <w:p w:rsidR="00E01524" w:rsidRPr="0022060B" w:rsidRDefault="00E01524" w:rsidP="00DB558E">
      <w:pPr>
        <w:pStyle w:val="TCU-Epgrafe"/>
        <w:spacing w:after="200" w:line="276" w:lineRule="auto"/>
        <w:ind w:left="0"/>
        <w:rPr>
          <w:rFonts w:ascii="Arial" w:hAnsi="Arial" w:cs="Arial"/>
          <w:b/>
          <w:sz w:val="20"/>
        </w:rPr>
      </w:pPr>
      <w:bookmarkStart w:id="0" w:name="_GoBack"/>
      <w:bookmarkEnd w:id="0"/>
    </w:p>
    <w:sectPr w:rsidR="00E01524" w:rsidRPr="0022060B">
      <w:headerReference w:type="default" r:id="rId40"/>
      <w:footerReference w:type="default" r:id="rId4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07A9" w:rsidRDefault="009907A9" w:rsidP="00350CC2">
      <w:pPr>
        <w:spacing w:after="0" w:line="240" w:lineRule="auto"/>
      </w:pPr>
      <w:r>
        <w:separator/>
      </w:r>
    </w:p>
  </w:endnote>
  <w:endnote w:type="continuationSeparator" w:id="0">
    <w:p w:rsidR="009907A9" w:rsidRDefault="009907A9"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Italic">
    <w:altName w:val="Arial"/>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5DE" w:rsidRDefault="002245DE" w:rsidP="002245DE">
    <w:pPr>
      <w:pStyle w:val="Rodap"/>
      <w:jc w:val="center"/>
      <w:rPr>
        <w:sz w:val="16"/>
        <w:szCs w:val="16"/>
      </w:rPr>
    </w:pPr>
    <w:r>
      <w:rPr>
        <w:noProof/>
        <w:lang w:eastAsia="pt-BR"/>
      </w:rPr>
      <w:drawing>
        <wp:inline distT="0" distB="0" distL="0" distR="0" wp14:anchorId="4DD8E97D" wp14:editId="15823BC0">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B82B41">
      <w:rPr>
        <w:noProof/>
        <w:sz w:val="16"/>
        <w:szCs w:val="16"/>
      </w:rPr>
      <w:t>3</w:t>
    </w:r>
    <w:r w:rsidRPr="00722924">
      <w:rPr>
        <w:sz w:val="16"/>
        <w:szCs w:val="16"/>
      </w:rPr>
      <w:fldChar w:fldCharType="end"/>
    </w:r>
  </w:p>
  <w:p w:rsidR="00375DB6" w:rsidRDefault="00375DB6"/>
  <w:p w:rsidR="00375DB6" w:rsidRDefault="00375DB6"/>
  <w:p w:rsidR="00375DB6" w:rsidRDefault="00375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07A9" w:rsidRDefault="009907A9" w:rsidP="00350CC2">
      <w:pPr>
        <w:spacing w:after="0" w:line="240" w:lineRule="auto"/>
      </w:pPr>
      <w:r>
        <w:separator/>
      </w:r>
    </w:p>
  </w:footnote>
  <w:footnote w:type="continuationSeparator" w:id="0">
    <w:p w:rsidR="009907A9" w:rsidRDefault="009907A9"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5FD7" w:rsidRDefault="006A5FD7" w:rsidP="00F14CCC">
    <w:pPr>
      <w:pStyle w:val="Cabealho"/>
      <w:spacing w:after="100" w:afterAutospacing="1"/>
      <w:jc w:val="center"/>
      <w:rPr>
        <w:b/>
      </w:rPr>
    </w:pPr>
  </w:p>
  <w:p w:rsidR="006A5FD7" w:rsidRDefault="006A5FD7" w:rsidP="00F14CCC">
    <w:pPr>
      <w:pStyle w:val="Cabealho"/>
      <w:spacing w:after="100" w:afterAutospacing="1"/>
      <w:jc w:val="center"/>
      <w:rPr>
        <w:b/>
      </w:rPr>
    </w:pPr>
    <w:r>
      <w:rPr>
        <w:noProof/>
        <w:lang w:eastAsia="pt-BR"/>
      </w:rPr>
      <w:drawing>
        <wp:inline distT="0" distB="0" distL="0" distR="0" wp14:anchorId="460CA892" wp14:editId="6EABBF5B">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6"/>
  </w:num>
  <w:num w:numId="3">
    <w:abstractNumId w:val="9"/>
  </w:num>
  <w:num w:numId="4">
    <w:abstractNumId w:val="10"/>
  </w:num>
  <w:num w:numId="5">
    <w:abstractNumId w:val="11"/>
  </w:num>
  <w:num w:numId="6">
    <w:abstractNumId w:val="8"/>
  </w:num>
  <w:num w:numId="7">
    <w:abstractNumId w:val="0"/>
  </w:num>
  <w:num w:numId="8">
    <w:abstractNumId w:val="1"/>
  </w:num>
  <w:num w:numId="9">
    <w:abstractNumId w:val="5"/>
  </w:num>
  <w:num w:numId="10">
    <w:abstractNumId w:val="2"/>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333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191"/>
    <w:rsid w:val="00001F0E"/>
    <w:rsid w:val="00003C03"/>
    <w:rsid w:val="0000505F"/>
    <w:rsid w:val="000078B5"/>
    <w:rsid w:val="00007F7A"/>
    <w:rsid w:val="00007FD0"/>
    <w:rsid w:val="00010B69"/>
    <w:rsid w:val="00010F88"/>
    <w:rsid w:val="0001200F"/>
    <w:rsid w:val="000126A0"/>
    <w:rsid w:val="00012CBB"/>
    <w:rsid w:val="00013691"/>
    <w:rsid w:val="00013840"/>
    <w:rsid w:val="00015FB0"/>
    <w:rsid w:val="0001675E"/>
    <w:rsid w:val="00017EBA"/>
    <w:rsid w:val="00021B0A"/>
    <w:rsid w:val="00024501"/>
    <w:rsid w:val="00025971"/>
    <w:rsid w:val="000262AD"/>
    <w:rsid w:val="00027A03"/>
    <w:rsid w:val="00027FAB"/>
    <w:rsid w:val="000300F4"/>
    <w:rsid w:val="00032A26"/>
    <w:rsid w:val="00033422"/>
    <w:rsid w:val="00033E69"/>
    <w:rsid w:val="00040EBA"/>
    <w:rsid w:val="00042502"/>
    <w:rsid w:val="00042DF3"/>
    <w:rsid w:val="000433EC"/>
    <w:rsid w:val="000439FD"/>
    <w:rsid w:val="00045700"/>
    <w:rsid w:val="00046191"/>
    <w:rsid w:val="00046E21"/>
    <w:rsid w:val="00047EF1"/>
    <w:rsid w:val="00052862"/>
    <w:rsid w:val="00053B72"/>
    <w:rsid w:val="00056028"/>
    <w:rsid w:val="00056686"/>
    <w:rsid w:val="00056E6F"/>
    <w:rsid w:val="000572CE"/>
    <w:rsid w:val="000617CF"/>
    <w:rsid w:val="00062737"/>
    <w:rsid w:val="00067E01"/>
    <w:rsid w:val="00070009"/>
    <w:rsid w:val="00070B14"/>
    <w:rsid w:val="000713DD"/>
    <w:rsid w:val="00071DE3"/>
    <w:rsid w:val="0007200C"/>
    <w:rsid w:val="00073F9F"/>
    <w:rsid w:val="00074287"/>
    <w:rsid w:val="000747BF"/>
    <w:rsid w:val="00074FAB"/>
    <w:rsid w:val="000759E5"/>
    <w:rsid w:val="00076184"/>
    <w:rsid w:val="000800D1"/>
    <w:rsid w:val="00081051"/>
    <w:rsid w:val="0009260D"/>
    <w:rsid w:val="000926D4"/>
    <w:rsid w:val="00092E5D"/>
    <w:rsid w:val="0009482D"/>
    <w:rsid w:val="0009711C"/>
    <w:rsid w:val="0009762F"/>
    <w:rsid w:val="00097B00"/>
    <w:rsid w:val="000A0748"/>
    <w:rsid w:val="000A0E48"/>
    <w:rsid w:val="000A29BE"/>
    <w:rsid w:val="000A3C2D"/>
    <w:rsid w:val="000A3E63"/>
    <w:rsid w:val="000A47FD"/>
    <w:rsid w:val="000A4EB6"/>
    <w:rsid w:val="000A5F01"/>
    <w:rsid w:val="000A71D1"/>
    <w:rsid w:val="000B04A0"/>
    <w:rsid w:val="000B11D2"/>
    <w:rsid w:val="000B1E10"/>
    <w:rsid w:val="000B2FD9"/>
    <w:rsid w:val="000B311A"/>
    <w:rsid w:val="000B31B6"/>
    <w:rsid w:val="000B47C0"/>
    <w:rsid w:val="000C0B08"/>
    <w:rsid w:val="000C2948"/>
    <w:rsid w:val="000C3582"/>
    <w:rsid w:val="000C4F73"/>
    <w:rsid w:val="000C5093"/>
    <w:rsid w:val="000C5460"/>
    <w:rsid w:val="000C5EB3"/>
    <w:rsid w:val="000C63BC"/>
    <w:rsid w:val="000C7D67"/>
    <w:rsid w:val="000D2D5B"/>
    <w:rsid w:val="000D357D"/>
    <w:rsid w:val="000D4DE6"/>
    <w:rsid w:val="000D6D01"/>
    <w:rsid w:val="000E300B"/>
    <w:rsid w:val="000E3ACE"/>
    <w:rsid w:val="000E3FC6"/>
    <w:rsid w:val="000E464B"/>
    <w:rsid w:val="000E52A3"/>
    <w:rsid w:val="000E5AC8"/>
    <w:rsid w:val="000E601C"/>
    <w:rsid w:val="000E62BD"/>
    <w:rsid w:val="000F04ED"/>
    <w:rsid w:val="000F18DA"/>
    <w:rsid w:val="000F1FFA"/>
    <w:rsid w:val="000F314C"/>
    <w:rsid w:val="000F42DF"/>
    <w:rsid w:val="000F5AE7"/>
    <w:rsid w:val="000F639D"/>
    <w:rsid w:val="000F7356"/>
    <w:rsid w:val="000F7C1B"/>
    <w:rsid w:val="00100B9C"/>
    <w:rsid w:val="00106AA9"/>
    <w:rsid w:val="00110517"/>
    <w:rsid w:val="00110BD6"/>
    <w:rsid w:val="001119DC"/>
    <w:rsid w:val="00111B86"/>
    <w:rsid w:val="00111C26"/>
    <w:rsid w:val="00112B60"/>
    <w:rsid w:val="00113EF1"/>
    <w:rsid w:val="00114B62"/>
    <w:rsid w:val="001159C9"/>
    <w:rsid w:val="00120862"/>
    <w:rsid w:val="0012211A"/>
    <w:rsid w:val="00122E13"/>
    <w:rsid w:val="00123D02"/>
    <w:rsid w:val="0012498C"/>
    <w:rsid w:val="00124A0F"/>
    <w:rsid w:val="00126447"/>
    <w:rsid w:val="00127DF2"/>
    <w:rsid w:val="00130717"/>
    <w:rsid w:val="0013298B"/>
    <w:rsid w:val="0013396B"/>
    <w:rsid w:val="001342E3"/>
    <w:rsid w:val="0013514C"/>
    <w:rsid w:val="0013583F"/>
    <w:rsid w:val="00135D5F"/>
    <w:rsid w:val="001411E6"/>
    <w:rsid w:val="001415BA"/>
    <w:rsid w:val="00142D10"/>
    <w:rsid w:val="00144712"/>
    <w:rsid w:val="001472C1"/>
    <w:rsid w:val="00150844"/>
    <w:rsid w:val="001529D8"/>
    <w:rsid w:val="00156185"/>
    <w:rsid w:val="00156F74"/>
    <w:rsid w:val="00157806"/>
    <w:rsid w:val="00157D64"/>
    <w:rsid w:val="0016028F"/>
    <w:rsid w:val="00161AA2"/>
    <w:rsid w:val="00164520"/>
    <w:rsid w:val="0016670D"/>
    <w:rsid w:val="00166A96"/>
    <w:rsid w:val="00170F9D"/>
    <w:rsid w:val="00171401"/>
    <w:rsid w:val="001720EB"/>
    <w:rsid w:val="00172248"/>
    <w:rsid w:val="0017455D"/>
    <w:rsid w:val="001770AF"/>
    <w:rsid w:val="001800A9"/>
    <w:rsid w:val="001823E7"/>
    <w:rsid w:val="0018272D"/>
    <w:rsid w:val="00190B94"/>
    <w:rsid w:val="001930D1"/>
    <w:rsid w:val="001942C5"/>
    <w:rsid w:val="00196437"/>
    <w:rsid w:val="001975AB"/>
    <w:rsid w:val="001A16DE"/>
    <w:rsid w:val="001A5D2D"/>
    <w:rsid w:val="001B096B"/>
    <w:rsid w:val="001B5B65"/>
    <w:rsid w:val="001B5F7A"/>
    <w:rsid w:val="001B6E08"/>
    <w:rsid w:val="001C0F23"/>
    <w:rsid w:val="001C1CCC"/>
    <w:rsid w:val="001C46A8"/>
    <w:rsid w:val="001D0693"/>
    <w:rsid w:val="001D0DD1"/>
    <w:rsid w:val="001D3EB9"/>
    <w:rsid w:val="001D4D9A"/>
    <w:rsid w:val="001D51BD"/>
    <w:rsid w:val="001D6665"/>
    <w:rsid w:val="001D684B"/>
    <w:rsid w:val="001D6ADC"/>
    <w:rsid w:val="001D7E4B"/>
    <w:rsid w:val="001E1817"/>
    <w:rsid w:val="001E2E5A"/>
    <w:rsid w:val="001E5F2E"/>
    <w:rsid w:val="001E6CAA"/>
    <w:rsid w:val="001E73FF"/>
    <w:rsid w:val="001E75A7"/>
    <w:rsid w:val="001F7A25"/>
    <w:rsid w:val="002013D1"/>
    <w:rsid w:val="0020195B"/>
    <w:rsid w:val="00202E6D"/>
    <w:rsid w:val="00202F4B"/>
    <w:rsid w:val="002036C8"/>
    <w:rsid w:val="002100EE"/>
    <w:rsid w:val="00210167"/>
    <w:rsid w:val="00211A49"/>
    <w:rsid w:val="00213BD0"/>
    <w:rsid w:val="002147AC"/>
    <w:rsid w:val="00215BFE"/>
    <w:rsid w:val="00215EF3"/>
    <w:rsid w:val="0022060B"/>
    <w:rsid w:val="00220BB1"/>
    <w:rsid w:val="00221D15"/>
    <w:rsid w:val="00223A59"/>
    <w:rsid w:val="00223F1C"/>
    <w:rsid w:val="002245DE"/>
    <w:rsid w:val="00224904"/>
    <w:rsid w:val="00232878"/>
    <w:rsid w:val="0023318C"/>
    <w:rsid w:val="00234AE0"/>
    <w:rsid w:val="00235F82"/>
    <w:rsid w:val="00237C21"/>
    <w:rsid w:val="0024200E"/>
    <w:rsid w:val="002426C3"/>
    <w:rsid w:val="00244D05"/>
    <w:rsid w:val="002450AA"/>
    <w:rsid w:val="002456AD"/>
    <w:rsid w:val="00245F7B"/>
    <w:rsid w:val="002478B9"/>
    <w:rsid w:val="00251273"/>
    <w:rsid w:val="00252A2A"/>
    <w:rsid w:val="00252AA5"/>
    <w:rsid w:val="00253ADA"/>
    <w:rsid w:val="00255360"/>
    <w:rsid w:val="00256A12"/>
    <w:rsid w:val="00256CEA"/>
    <w:rsid w:val="002571B4"/>
    <w:rsid w:val="00260758"/>
    <w:rsid w:val="00260D58"/>
    <w:rsid w:val="0026477F"/>
    <w:rsid w:val="00264F10"/>
    <w:rsid w:val="0026510B"/>
    <w:rsid w:val="002659BA"/>
    <w:rsid w:val="0026729F"/>
    <w:rsid w:val="00270DAE"/>
    <w:rsid w:val="00270E2F"/>
    <w:rsid w:val="00271154"/>
    <w:rsid w:val="00271655"/>
    <w:rsid w:val="002805F1"/>
    <w:rsid w:val="00286EB4"/>
    <w:rsid w:val="002874A2"/>
    <w:rsid w:val="002921E2"/>
    <w:rsid w:val="0029566D"/>
    <w:rsid w:val="00295F4B"/>
    <w:rsid w:val="002A00AC"/>
    <w:rsid w:val="002A00E8"/>
    <w:rsid w:val="002A0792"/>
    <w:rsid w:val="002A1D5F"/>
    <w:rsid w:val="002A2E6C"/>
    <w:rsid w:val="002B070A"/>
    <w:rsid w:val="002B0F20"/>
    <w:rsid w:val="002B14B7"/>
    <w:rsid w:val="002B297F"/>
    <w:rsid w:val="002B2DF4"/>
    <w:rsid w:val="002B38A8"/>
    <w:rsid w:val="002B5E9F"/>
    <w:rsid w:val="002B6BA0"/>
    <w:rsid w:val="002C05FF"/>
    <w:rsid w:val="002C19EA"/>
    <w:rsid w:val="002C3EA5"/>
    <w:rsid w:val="002C480F"/>
    <w:rsid w:val="002C56C9"/>
    <w:rsid w:val="002C7487"/>
    <w:rsid w:val="002D1923"/>
    <w:rsid w:val="002D3BD3"/>
    <w:rsid w:val="002D48D1"/>
    <w:rsid w:val="002D5B56"/>
    <w:rsid w:val="002D6612"/>
    <w:rsid w:val="002D7650"/>
    <w:rsid w:val="002E09B1"/>
    <w:rsid w:val="002E0A60"/>
    <w:rsid w:val="002E4277"/>
    <w:rsid w:val="002E5303"/>
    <w:rsid w:val="002E6626"/>
    <w:rsid w:val="002E72FA"/>
    <w:rsid w:val="002E7DFF"/>
    <w:rsid w:val="002F0BE9"/>
    <w:rsid w:val="002F13A0"/>
    <w:rsid w:val="002F1634"/>
    <w:rsid w:val="002F1848"/>
    <w:rsid w:val="002F1D70"/>
    <w:rsid w:val="002F22FA"/>
    <w:rsid w:val="002F73BA"/>
    <w:rsid w:val="003005B3"/>
    <w:rsid w:val="003010CE"/>
    <w:rsid w:val="0030165B"/>
    <w:rsid w:val="00302340"/>
    <w:rsid w:val="00303C9C"/>
    <w:rsid w:val="00305A67"/>
    <w:rsid w:val="00306B80"/>
    <w:rsid w:val="00307038"/>
    <w:rsid w:val="00310492"/>
    <w:rsid w:val="00313238"/>
    <w:rsid w:val="003132BE"/>
    <w:rsid w:val="00320577"/>
    <w:rsid w:val="0032266D"/>
    <w:rsid w:val="00325E2F"/>
    <w:rsid w:val="003265DB"/>
    <w:rsid w:val="003269A9"/>
    <w:rsid w:val="00327DF9"/>
    <w:rsid w:val="00327F35"/>
    <w:rsid w:val="0033073E"/>
    <w:rsid w:val="00331533"/>
    <w:rsid w:val="0033240F"/>
    <w:rsid w:val="00333875"/>
    <w:rsid w:val="0033604C"/>
    <w:rsid w:val="003407F0"/>
    <w:rsid w:val="00340EB2"/>
    <w:rsid w:val="00343C28"/>
    <w:rsid w:val="00344A3D"/>
    <w:rsid w:val="00344A41"/>
    <w:rsid w:val="0034575E"/>
    <w:rsid w:val="00345C65"/>
    <w:rsid w:val="00350CC2"/>
    <w:rsid w:val="00351206"/>
    <w:rsid w:val="0035203F"/>
    <w:rsid w:val="003528A1"/>
    <w:rsid w:val="00352A72"/>
    <w:rsid w:val="0035371B"/>
    <w:rsid w:val="00353FEB"/>
    <w:rsid w:val="00356987"/>
    <w:rsid w:val="00356FB0"/>
    <w:rsid w:val="00361DA5"/>
    <w:rsid w:val="00361F1D"/>
    <w:rsid w:val="00364392"/>
    <w:rsid w:val="00365E61"/>
    <w:rsid w:val="00365EFF"/>
    <w:rsid w:val="00365F51"/>
    <w:rsid w:val="003739C4"/>
    <w:rsid w:val="00373E05"/>
    <w:rsid w:val="00375692"/>
    <w:rsid w:val="00375DB6"/>
    <w:rsid w:val="0038012F"/>
    <w:rsid w:val="00380BAB"/>
    <w:rsid w:val="00381A0E"/>
    <w:rsid w:val="0038751C"/>
    <w:rsid w:val="0038778B"/>
    <w:rsid w:val="00394451"/>
    <w:rsid w:val="0039584A"/>
    <w:rsid w:val="00395F8B"/>
    <w:rsid w:val="0039625A"/>
    <w:rsid w:val="00396E93"/>
    <w:rsid w:val="003A4828"/>
    <w:rsid w:val="003A64CB"/>
    <w:rsid w:val="003A6622"/>
    <w:rsid w:val="003A673F"/>
    <w:rsid w:val="003B145D"/>
    <w:rsid w:val="003B4678"/>
    <w:rsid w:val="003B4F77"/>
    <w:rsid w:val="003B502C"/>
    <w:rsid w:val="003C6B35"/>
    <w:rsid w:val="003C7C21"/>
    <w:rsid w:val="003D0632"/>
    <w:rsid w:val="003D650C"/>
    <w:rsid w:val="003D6713"/>
    <w:rsid w:val="003D6E90"/>
    <w:rsid w:val="003D7C37"/>
    <w:rsid w:val="003E110D"/>
    <w:rsid w:val="003E3529"/>
    <w:rsid w:val="003E3D02"/>
    <w:rsid w:val="003E3E6A"/>
    <w:rsid w:val="003E55BC"/>
    <w:rsid w:val="003E6EAF"/>
    <w:rsid w:val="003F0088"/>
    <w:rsid w:val="003F03C6"/>
    <w:rsid w:val="003F2DDE"/>
    <w:rsid w:val="003F314F"/>
    <w:rsid w:val="003F4721"/>
    <w:rsid w:val="003F5060"/>
    <w:rsid w:val="003F5829"/>
    <w:rsid w:val="003F63DA"/>
    <w:rsid w:val="003F677C"/>
    <w:rsid w:val="003F7090"/>
    <w:rsid w:val="003F734F"/>
    <w:rsid w:val="00401EE0"/>
    <w:rsid w:val="004043AD"/>
    <w:rsid w:val="00405A6A"/>
    <w:rsid w:val="00406D2C"/>
    <w:rsid w:val="0041120A"/>
    <w:rsid w:val="00411935"/>
    <w:rsid w:val="0041337A"/>
    <w:rsid w:val="00416A72"/>
    <w:rsid w:val="00420AE1"/>
    <w:rsid w:val="0042728A"/>
    <w:rsid w:val="004276DC"/>
    <w:rsid w:val="0042779B"/>
    <w:rsid w:val="004324A7"/>
    <w:rsid w:val="0043291F"/>
    <w:rsid w:val="00434347"/>
    <w:rsid w:val="004371F9"/>
    <w:rsid w:val="0043728E"/>
    <w:rsid w:val="00437541"/>
    <w:rsid w:val="00441D38"/>
    <w:rsid w:val="00441E59"/>
    <w:rsid w:val="004429A2"/>
    <w:rsid w:val="00442CB7"/>
    <w:rsid w:val="00443CA1"/>
    <w:rsid w:val="00444C25"/>
    <w:rsid w:val="0044532C"/>
    <w:rsid w:val="00447BB2"/>
    <w:rsid w:val="004527ED"/>
    <w:rsid w:val="00455387"/>
    <w:rsid w:val="00455AAB"/>
    <w:rsid w:val="00457317"/>
    <w:rsid w:val="00460544"/>
    <w:rsid w:val="004611E1"/>
    <w:rsid w:val="0046165B"/>
    <w:rsid w:val="00462460"/>
    <w:rsid w:val="004624E9"/>
    <w:rsid w:val="00462A13"/>
    <w:rsid w:val="00462BE4"/>
    <w:rsid w:val="00462F2A"/>
    <w:rsid w:val="00463986"/>
    <w:rsid w:val="00463AC5"/>
    <w:rsid w:val="00463BA8"/>
    <w:rsid w:val="004641AA"/>
    <w:rsid w:val="00464835"/>
    <w:rsid w:val="004654D3"/>
    <w:rsid w:val="00470218"/>
    <w:rsid w:val="004716CC"/>
    <w:rsid w:val="00471B9D"/>
    <w:rsid w:val="0047206A"/>
    <w:rsid w:val="00474978"/>
    <w:rsid w:val="0047499A"/>
    <w:rsid w:val="00474C78"/>
    <w:rsid w:val="004757BA"/>
    <w:rsid w:val="00475AAE"/>
    <w:rsid w:val="00477530"/>
    <w:rsid w:val="00480934"/>
    <w:rsid w:val="0048130C"/>
    <w:rsid w:val="00482FA5"/>
    <w:rsid w:val="00484E6E"/>
    <w:rsid w:val="00485819"/>
    <w:rsid w:val="00487D31"/>
    <w:rsid w:val="00490000"/>
    <w:rsid w:val="00491F60"/>
    <w:rsid w:val="00492026"/>
    <w:rsid w:val="004920C5"/>
    <w:rsid w:val="0049263C"/>
    <w:rsid w:val="004927D6"/>
    <w:rsid w:val="00492E16"/>
    <w:rsid w:val="004949D1"/>
    <w:rsid w:val="00494AE3"/>
    <w:rsid w:val="00494C04"/>
    <w:rsid w:val="0049557F"/>
    <w:rsid w:val="004965C3"/>
    <w:rsid w:val="00497639"/>
    <w:rsid w:val="004A0574"/>
    <w:rsid w:val="004A0A41"/>
    <w:rsid w:val="004A22CF"/>
    <w:rsid w:val="004A5804"/>
    <w:rsid w:val="004A794E"/>
    <w:rsid w:val="004B142E"/>
    <w:rsid w:val="004B3D26"/>
    <w:rsid w:val="004B44C1"/>
    <w:rsid w:val="004B623F"/>
    <w:rsid w:val="004B6EA7"/>
    <w:rsid w:val="004C11DE"/>
    <w:rsid w:val="004C13DB"/>
    <w:rsid w:val="004D00EF"/>
    <w:rsid w:val="004D14AD"/>
    <w:rsid w:val="004D376C"/>
    <w:rsid w:val="004D3864"/>
    <w:rsid w:val="004D58CD"/>
    <w:rsid w:val="004D5EEF"/>
    <w:rsid w:val="004D75B0"/>
    <w:rsid w:val="004D7DC5"/>
    <w:rsid w:val="004E109A"/>
    <w:rsid w:val="004E3B94"/>
    <w:rsid w:val="004E6410"/>
    <w:rsid w:val="004E7C93"/>
    <w:rsid w:val="004F06AF"/>
    <w:rsid w:val="004F0C18"/>
    <w:rsid w:val="004F3C8F"/>
    <w:rsid w:val="00500939"/>
    <w:rsid w:val="00501FC7"/>
    <w:rsid w:val="005025F4"/>
    <w:rsid w:val="00502AAF"/>
    <w:rsid w:val="005067E0"/>
    <w:rsid w:val="00510B62"/>
    <w:rsid w:val="00511F85"/>
    <w:rsid w:val="00516673"/>
    <w:rsid w:val="00517B69"/>
    <w:rsid w:val="00520368"/>
    <w:rsid w:val="00523227"/>
    <w:rsid w:val="00523246"/>
    <w:rsid w:val="005237FD"/>
    <w:rsid w:val="005246B4"/>
    <w:rsid w:val="00525F8B"/>
    <w:rsid w:val="0052651B"/>
    <w:rsid w:val="00530F1E"/>
    <w:rsid w:val="00532F0D"/>
    <w:rsid w:val="00533C06"/>
    <w:rsid w:val="00533E30"/>
    <w:rsid w:val="0053401E"/>
    <w:rsid w:val="00535AAB"/>
    <w:rsid w:val="00540B8E"/>
    <w:rsid w:val="00542636"/>
    <w:rsid w:val="00543DF0"/>
    <w:rsid w:val="00544AB5"/>
    <w:rsid w:val="0054545F"/>
    <w:rsid w:val="00546D89"/>
    <w:rsid w:val="00547AFC"/>
    <w:rsid w:val="0055022A"/>
    <w:rsid w:val="005503E5"/>
    <w:rsid w:val="005513B0"/>
    <w:rsid w:val="00556F73"/>
    <w:rsid w:val="005576BE"/>
    <w:rsid w:val="00560217"/>
    <w:rsid w:val="005603B3"/>
    <w:rsid w:val="00561787"/>
    <w:rsid w:val="0056193C"/>
    <w:rsid w:val="00561EF9"/>
    <w:rsid w:val="005650CD"/>
    <w:rsid w:val="00566AE8"/>
    <w:rsid w:val="005670EC"/>
    <w:rsid w:val="00567328"/>
    <w:rsid w:val="005706D5"/>
    <w:rsid w:val="0057101D"/>
    <w:rsid w:val="005728BC"/>
    <w:rsid w:val="00573F1D"/>
    <w:rsid w:val="0057421A"/>
    <w:rsid w:val="005759E4"/>
    <w:rsid w:val="00575AE8"/>
    <w:rsid w:val="00575E1D"/>
    <w:rsid w:val="00576089"/>
    <w:rsid w:val="00576450"/>
    <w:rsid w:val="005819D2"/>
    <w:rsid w:val="00582374"/>
    <w:rsid w:val="00582DF8"/>
    <w:rsid w:val="00583800"/>
    <w:rsid w:val="00584BC6"/>
    <w:rsid w:val="00584ECA"/>
    <w:rsid w:val="0058559D"/>
    <w:rsid w:val="005856F2"/>
    <w:rsid w:val="00585A3B"/>
    <w:rsid w:val="00586D7A"/>
    <w:rsid w:val="00590FA0"/>
    <w:rsid w:val="00593EFC"/>
    <w:rsid w:val="00594F73"/>
    <w:rsid w:val="0059537A"/>
    <w:rsid w:val="005957D1"/>
    <w:rsid w:val="00597215"/>
    <w:rsid w:val="005A0FD0"/>
    <w:rsid w:val="005A1468"/>
    <w:rsid w:val="005A4536"/>
    <w:rsid w:val="005A5AF2"/>
    <w:rsid w:val="005A742F"/>
    <w:rsid w:val="005A7AA5"/>
    <w:rsid w:val="005A7C78"/>
    <w:rsid w:val="005B0873"/>
    <w:rsid w:val="005B4F6C"/>
    <w:rsid w:val="005B7055"/>
    <w:rsid w:val="005C4763"/>
    <w:rsid w:val="005C4DB7"/>
    <w:rsid w:val="005C5DC8"/>
    <w:rsid w:val="005C661E"/>
    <w:rsid w:val="005C6B06"/>
    <w:rsid w:val="005C7258"/>
    <w:rsid w:val="005D1E9E"/>
    <w:rsid w:val="005D48C8"/>
    <w:rsid w:val="005D58CE"/>
    <w:rsid w:val="005D6DB4"/>
    <w:rsid w:val="005E2760"/>
    <w:rsid w:val="005E2D13"/>
    <w:rsid w:val="005E350B"/>
    <w:rsid w:val="005E4648"/>
    <w:rsid w:val="005E6068"/>
    <w:rsid w:val="005E64B3"/>
    <w:rsid w:val="005E6A47"/>
    <w:rsid w:val="005F03A4"/>
    <w:rsid w:val="005F0C51"/>
    <w:rsid w:val="005F16DB"/>
    <w:rsid w:val="005F17B2"/>
    <w:rsid w:val="005F2BB5"/>
    <w:rsid w:val="005F3A96"/>
    <w:rsid w:val="005F4DBF"/>
    <w:rsid w:val="005F58C1"/>
    <w:rsid w:val="005F65B1"/>
    <w:rsid w:val="005F66CC"/>
    <w:rsid w:val="005F7DEC"/>
    <w:rsid w:val="005F7E35"/>
    <w:rsid w:val="00600AA5"/>
    <w:rsid w:val="0060126D"/>
    <w:rsid w:val="0060146A"/>
    <w:rsid w:val="00601974"/>
    <w:rsid w:val="00601CE8"/>
    <w:rsid w:val="00602DA5"/>
    <w:rsid w:val="006045AF"/>
    <w:rsid w:val="00606B1E"/>
    <w:rsid w:val="006105E3"/>
    <w:rsid w:val="006115E2"/>
    <w:rsid w:val="00613D08"/>
    <w:rsid w:val="0061491F"/>
    <w:rsid w:val="00615FC7"/>
    <w:rsid w:val="00620DEF"/>
    <w:rsid w:val="0062204C"/>
    <w:rsid w:val="00623188"/>
    <w:rsid w:val="00626DD6"/>
    <w:rsid w:val="0062719D"/>
    <w:rsid w:val="00627FDF"/>
    <w:rsid w:val="00630296"/>
    <w:rsid w:val="006331E3"/>
    <w:rsid w:val="00633776"/>
    <w:rsid w:val="00633C62"/>
    <w:rsid w:val="006361F0"/>
    <w:rsid w:val="006372A4"/>
    <w:rsid w:val="006375ED"/>
    <w:rsid w:val="006378AB"/>
    <w:rsid w:val="0064029E"/>
    <w:rsid w:val="00640861"/>
    <w:rsid w:val="00640A36"/>
    <w:rsid w:val="00640BDC"/>
    <w:rsid w:val="006410BD"/>
    <w:rsid w:val="0064171C"/>
    <w:rsid w:val="00643CB9"/>
    <w:rsid w:val="00646004"/>
    <w:rsid w:val="00646AD1"/>
    <w:rsid w:val="006473BA"/>
    <w:rsid w:val="00650E4E"/>
    <w:rsid w:val="00654D9D"/>
    <w:rsid w:val="00660C02"/>
    <w:rsid w:val="0066104E"/>
    <w:rsid w:val="0066130F"/>
    <w:rsid w:val="006641F4"/>
    <w:rsid w:val="006645D9"/>
    <w:rsid w:val="006650FB"/>
    <w:rsid w:val="00665EBC"/>
    <w:rsid w:val="00667637"/>
    <w:rsid w:val="00667BE8"/>
    <w:rsid w:val="0067150D"/>
    <w:rsid w:val="00673A29"/>
    <w:rsid w:val="00673AD9"/>
    <w:rsid w:val="006766F4"/>
    <w:rsid w:val="006777B6"/>
    <w:rsid w:val="00681341"/>
    <w:rsid w:val="00681787"/>
    <w:rsid w:val="0068250F"/>
    <w:rsid w:val="00685904"/>
    <w:rsid w:val="00685FFE"/>
    <w:rsid w:val="00686729"/>
    <w:rsid w:val="00686CAC"/>
    <w:rsid w:val="00686D5A"/>
    <w:rsid w:val="00687871"/>
    <w:rsid w:val="00693247"/>
    <w:rsid w:val="0069336E"/>
    <w:rsid w:val="00694174"/>
    <w:rsid w:val="00697D60"/>
    <w:rsid w:val="006A27BC"/>
    <w:rsid w:val="006A27D6"/>
    <w:rsid w:val="006A3A42"/>
    <w:rsid w:val="006A41B4"/>
    <w:rsid w:val="006A5FD7"/>
    <w:rsid w:val="006A62B0"/>
    <w:rsid w:val="006B143E"/>
    <w:rsid w:val="006B30E3"/>
    <w:rsid w:val="006B5E72"/>
    <w:rsid w:val="006B6205"/>
    <w:rsid w:val="006C058F"/>
    <w:rsid w:val="006C275F"/>
    <w:rsid w:val="006C3252"/>
    <w:rsid w:val="006C7A04"/>
    <w:rsid w:val="006D158F"/>
    <w:rsid w:val="006D1B83"/>
    <w:rsid w:val="006D1BE7"/>
    <w:rsid w:val="006D5C98"/>
    <w:rsid w:val="006D6FCC"/>
    <w:rsid w:val="006E0A9F"/>
    <w:rsid w:val="006E12D5"/>
    <w:rsid w:val="006E26E8"/>
    <w:rsid w:val="006E4493"/>
    <w:rsid w:val="006E76B0"/>
    <w:rsid w:val="006F08D4"/>
    <w:rsid w:val="006F3318"/>
    <w:rsid w:val="006F39CF"/>
    <w:rsid w:val="006F4894"/>
    <w:rsid w:val="006F58F5"/>
    <w:rsid w:val="006F676D"/>
    <w:rsid w:val="00700672"/>
    <w:rsid w:val="00701319"/>
    <w:rsid w:val="00701A95"/>
    <w:rsid w:val="007027E5"/>
    <w:rsid w:val="00702F7C"/>
    <w:rsid w:val="00706127"/>
    <w:rsid w:val="007073C9"/>
    <w:rsid w:val="007077CD"/>
    <w:rsid w:val="00712A93"/>
    <w:rsid w:val="00714CF1"/>
    <w:rsid w:val="00715CEB"/>
    <w:rsid w:val="00717A58"/>
    <w:rsid w:val="00722860"/>
    <w:rsid w:val="00722924"/>
    <w:rsid w:val="00723D30"/>
    <w:rsid w:val="00723F1A"/>
    <w:rsid w:val="00726974"/>
    <w:rsid w:val="007306BB"/>
    <w:rsid w:val="007319AD"/>
    <w:rsid w:val="00732257"/>
    <w:rsid w:val="00734DDB"/>
    <w:rsid w:val="007400EB"/>
    <w:rsid w:val="00740240"/>
    <w:rsid w:val="0074037C"/>
    <w:rsid w:val="00740FC9"/>
    <w:rsid w:val="00742895"/>
    <w:rsid w:val="00742B72"/>
    <w:rsid w:val="00742BC9"/>
    <w:rsid w:val="00743251"/>
    <w:rsid w:val="007436B5"/>
    <w:rsid w:val="00743D5F"/>
    <w:rsid w:val="00744DC0"/>
    <w:rsid w:val="00745634"/>
    <w:rsid w:val="007469FC"/>
    <w:rsid w:val="00746A92"/>
    <w:rsid w:val="00747EAE"/>
    <w:rsid w:val="00750DEB"/>
    <w:rsid w:val="007515C1"/>
    <w:rsid w:val="007528B2"/>
    <w:rsid w:val="00753BFA"/>
    <w:rsid w:val="00754C7E"/>
    <w:rsid w:val="007557BC"/>
    <w:rsid w:val="007608F0"/>
    <w:rsid w:val="00762976"/>
    <w:rsid w:val="00766752"/>
    <w:rsid w:val="00766834"/>
    <w:rsid w:val="00766EC7"/>
    <w:rsid w:val="0077082D"/>
    <w:rsid w:val="0077181C"/>
    <w:rsid w:val="00771AF0"/>
    <w:rsid w:val="0077499E"/>
    <w:rsid w:val="0077508F"/>
    <w:rsid w:val="007752E2"/>
    <w:rsid w:val="00781A2C"/>
    <w:rsid w:val="00781F5F"/>
    <w:rsid w:val="00783479"/>
    <w:rsid w:val="00783696"/>
    <w:rsid w:val="00783D3E"/>
    <w:rsid w:val="00784B5D"/>
    <w:rsid w:val="00785DB0"/>
    <w:rsid w:val="00791384"/>
    <w:rsid w:val="00791D74"/>
    <w:rsid w:val="00791E5B"/>
    <w:rsid w:val="007931D7"/>
    <w:rsid w:val="007949B4"/>
    <w:rsid w:val="0079708B"/>
    <w:rsid w:val="0079779E"/>
    <w:rsid w:val="007A6DC9"/>
    <w:rsid w:val="007A71B5"/>
    <w:rsid w:val="007A797E"/>
    <w:rsid w:val="007B1216"/>
    <w:rsid w:val="007B255F"/>
    <w:rsid w:val="007B55C5"/>
    <w:rsid w:val="007C0579"/>
    <w:rsid w:val="007C0E7E"/>
    <w:rsid w:val="007C10CC"/>
    <w:rsid w:val="007C250E"/>
    <w:rsid w:val="007C2CD7"/>
    <w:rsid w:val="007D009C"/>
    <w:rsid w:val="007D0643"/>
    <w:rsid w:val="007D2162"/>
    <w:rsid w:val="007D5A53"/>
    <w:rsid w:val="007D62D9"/>
    <w:rsid w:val="007D73C9"/>
    <w:rsid w:val="007E1FB4"/>
    <w:rsid w:val="007E28C1"/>
    <w:rsid w:val="007F0840"/>
    <w:rsid w:val="007F2086"/>
    <w:rsid w:val="007F67A7"/>
    <w:rsid w:val="007F6F0A"/>
    <w:rsid w:val="0080061B"/>
    <w:rsid w:val="00800773"/>
    <w:rsid w:val="00801004"/>
    <w:rsid w:val="0080111C"/>
    <w:rsid w:val="00801EFD"/>
    <w:rsid w:val="008058BC"/>
    <w:rsid w:val="00806D7C"/>
    <w:rsid w:val="00807854"/>
    <w:rsid w:val="00811012"/>
    <w:rsid w:val="00811A90"/>
    <w:rsid w:val="00813846"/>
    <w:rsid w:val="00814325"/>
    <w:rsid w:val="00815C4F"/>
    <w:rsid w:val="008161C2"/>
    <w:rsid w:val="00816942"/>
    <w:rsid w:val="0081738B"/>
    <w:rsid w:val="0082026A"/>
    <w:rsid w:val="008219BA"/>
    <w:rsid w:val="00824136"/>
    <w:rsid w:val="00826075"/>
    <w:rsid w:val="008267CA"/>
    <w:rsid w:val="00826A19"/>
    <w:rsid w:val="008312D4"/>
    <w:rsid w:val="008317C8"/>
    <w:rsid w:val="00831915"/>
    <w:rsid w:val="0083305B"/>
    <w:rsid w:val="00834578"/>
    <w:rsid w:val="0083648B"/>
    <w:rsid w:val="00836500"/>
    <w:rsid w:val="008413CD"/>
    <w:rsid w:val="00841EAB"/>
    <w:rsid w:val="00844977"/>
    <w:rsid w:val="00844B97"/>
    <w:rsid w:val="00844E05"/>
    <w:rsid w:val="00845BB4"/>
    <w:rsid w:val="008464F9"/>
    <w:rsid w:val="00847302"/>
    <w:rsid w:val="00847BF3"/>
    <w:rsid w:val="00852A15"/>
    <w:rsid w:val="00852F5F"/>
    <w:rsid w:val="00853D0B"/>
    <w:rsid w:val="00854B16"/>
    <w:rsid w:val="00854BCA"/>
    <w:rsid w:val="00855A43"/>
    <w:rsid w:val="008561BF"/>
    <w:rsid w:val="00861E25"/>
    <w:rsid w:val="008633B6"/>
    <w:rsid w:val="00866481"/>
    <w:rsid w:val="0087076A"/>
    <w:rsid w:val="00870853"/>
    <w:rsid w:val="008731E4"/>
    <w:rsid w:val="008745D6"/>
    <w:rsid w:val="0087463D"/>
    <w:rsid w:val="00874DCA"/>
    <w:rsid w:val="00875D64"/>
    <w:rsid w:val="00875E32"/>
    <w:rsid w:val="0087668E"/>
    <w:rsid w:val="008800F4"/>
    <w:rsid w:val="00880DFC"/>
    <w:rsid w:val="0088277A"/>
    <w:rsid w:val="0088297B"/>
    <w:rsid w:val="00885D7C"/>
    <w:rsid w:val="0088762D"/>
    <w:rsid w:val="00890235"/>
    <w:rsid w:val="00890A70"/>
    <w:rsid w:val="00890DDC"/>
    <w:rsid w:val="00890F9C"/>
    <w:rsid w:val="008928B6"/>
    <w:rsid w:val="00894CA0"/>
    <w:rsid w:val="00895461"/>
    <w:rsid w:val="008957B1"/>
    <w:rsid w:val="00896190"/>
    <w:rsid w:val="00897C5E"/>
    <w:rsid w:val="008A0656"/>
    <w:rsid w:val="008A1517"/>
    <w:rsid w:val="008A2307"/>
    <w:rsid w:val="008A2B8F"/>
    <w:rsid w:val="008A2BB7"/>
    <w:rsid w:val="008A4000"/>
    <w:rsid w:val="008A4A65"/>
    <w:rsid w:val="008A5A5B"/>
    <w:rsid w:val="008A6621"/>
    <w:rsid w:val="008A70A5"/>
    <w:rsid w:val="008B201B"/>
    <w:rsid w:val="008B2D64"/>
    <w:rsid w:val="008B368E"/>
    <w:rsid w:val="008B38A4"/>
    <w:rsid w:val="008B38EE"/>
    <w:rsid w:val="008B4F2F"/>
    <w:rsid w:val="008B55B4"/>
    <w:rsid w:val="008B6A00"/>
    <w:rsid w:val="008C0269"/>
    <w:rsid w:val="008C076F"/>
    <w:rsid w:val="008C257C"/>
    <w:rsid w:val="008D0FDE"/>
    <w:rsid w:val="008D1051"/>
    <w:rsid w:val="008D22BE"/>
    <w:rsid w:val="008D7542"/>
    <w:rsid w:val="008D7F7C"/>
    <w:rsid w:val="008E0835"/>
    <w:rsid w:val="008E16ED"/>
    <w:rsid w:val="008E280E"/>
    <w:rsid w:val="008E2BA7"/>
    <w:rsid w:val="008E5642"/>
    <w:rsid w:val="008E5CC2"/>
    <w:rsid w:val="008F2E20"/>
    <w:rsid w:val="0090061C"/>
    <w:rsid w:val="00900BC5"/>
    <w:rsid w:val="00901036"/>
    <w:rsid w:val="00904136"/>
    <w:rsid w:val="00904309"/>
    <w:rsid w:val="0090479F"/>
    <w:rsid w:val="00904BFC"/>
    <w:rsid w:val="00906692"/>
    <w:rsid w:val="00906853"/>
    <w:rsid w:val="00906CF8"/>
    <w:rsid w:val="009073CB"/>
    <w:rsid w:val="0090752A"/>
    <w:rsid w:val="00910805"/>
    <w:rsid w:val="00911A42"/>
    <w:rsid w:val="00912D60"/>
    <w:rsid w:val="009140A2"/>
    <w:rsid w:val="009141D0"/>
    <w:rsid w:val="00920480"/>
    <w:rsid w:val="00920D01"/>
    <w:rsid w:val="00923B20"/>
    <w:rsid w:val="009263DF"/>
    <w:rsid w:val="00927338"/>
    <w:rsid w:val="0093018E"/>
    <w:rsid w:val="0093167C"/>
    <w:rsid w:val="00932A3A"/>
    <w:rsid w:val="00934143"/>
    <w:rsid w:val="00934679"/>
    <w:rsid w:val="00935444"/>
    <w:rsid w:val="009378F0"/>
    <w:rsid w:val="00942696"/>
    <w:rsid w:val="00942EB6"/>
    <w:rsid w:val="0094307C"/>
    <w:rsid w:val="00944802"/>
    <w:rsid w:val="009470DD"/>
    <w:rsid w:val="009518D9"/>
    <w:rsid w:val="0095236F"/>
    <w:rsid w:val="00952404"/>
    <w:rsid w:val="00953350"/>
    <w:rsid w:val="00955BDA"/>
    <w:rsid w:val="0096328F"/>
    <w:rsid w:val="00965F52"/>
    <w:rsid w:val="0096737A"/>
    <w:rsid w:val="0097392A"/>
    <w:rsid w:val="009749C0"/>
    <w:rsid w:val="00977C0A"/>
    <w:rsid w:val="00982FF8"/>
    <w:rsid w:val="00984E8B"/>
    <w:rsid w:val="0098512F"/>
    <w:rsid w:val="0098550A"/>
    <w:rsid w:val="00985728"/>
    <w:rsid w:val="009857DD"/>
    <w:rsid w:val="009859AB"/>
    <w:rsid w:val="00987A4E"/>
    <w:rsid w:val="009907A9"/>
    <w:rsid w:val="0099393D"/>
    <w:rsid w:val="00993DE4"/>
    <w:rsid w:val="00993F38"/>
    <w:rsid w:val="00994A4B"/>
    <w:rsid w:val="00996D25"/>
    <w:rsid w:val="009A043C"/>
    <w:rsid w:val="009A12ED"/>
    <w:rsid w:val="009A201F"/>
    <w:rsid w:val="009A62FC"/>
    <w:rsid w:val="009A6989"/>
    <w:rsid w:val="009A72EB"/>
    <w:rsid w:val="009B105E"/>
    <w:rsid w:val="009B2B4E"/>
    <w:rsid w:val="009B396E"/>
    <w:rsid w:val="009B39A2"/>
    <w:rsid w:val="009B3B97"/>
    <w:rsid w:val="009B49F3"/>
    <w:rsid w:val="009B4E5D"/>
    <w:rsid w:val="009B567A"/>
    <w:rsid w:val="009C29C5"/>
    <w:rsid w:val="009C3AC2"/>
    <w:rsid w:val="009C5426"/>
    <w:rsid w:val="009C5C75"/>
    <w:rsid w:val="009D1C23"/>
    <w:rsid w:val="009D2A29"/>
    <w:rsid w:val="009D417F"/>
    <w:rsid w:val="009D59DE"/>
    <w:rsid w:val="009E1362"/>
    <w:rsid w:val="009E1848"/>
    <w:rsid w:val="009E1BC1"/>
    <w:rsid w:val="009E1F6B"/>
    <w:rsid w:val="009E3E77"/>
    <w:rsid w:val="009E4DF2"/>
    <w:rsid w:val="009E6D60"/>
    <w:rsid w:val="009F1918"/>
    <w:rsid w:val="009F2D0A"/>
    <w:rsid w:val="009F3962"/>
    <w:rsid w:val="009F6ED7"/>
    <w:rsid w:val="009F7401"/>
    <w:rsid w:val="009F78F2"/>
    <w:rsid w:val="00A01C9B"/>
    <w:rsid w:val="00A065F5"/>
    <w:rsid w:val="00A10857"/>
    <w:rsid w:val="00A1221A"/>
    <w:rsid w:val="00A1269B"/>
    <w:rsid w:val="00A130F9"/>
    <w:rsid w:val="00A1585F"/>
    <w:rsid w:val="00A16000"/>
    <w:rsid w:val="00A16398"/>
    <w:rsid w:val="00A20EBA"/>
    <w:rsid w:val="00A20F2F"/>
    <w:rsid w:val="00A211A3"/>
    <w:rsid w:val="00A2357E"/>
    <w:rsid w:val="00A24629"/>
    <w:rsid w:val="00A25A27"/>
    <w:rsid w:val="00A27485"/>
    <w:rsid w:val="00A30038"/>
    <w:rsid w:val="00A309E8"/>
    <w:rsid w:val="00A3514D"/>
    <w:rsid w:val="00A40F98"/>
    <w:rsid w:val="00A41EF2"/>
    <w:rsid w:val="00A42619"/>
    <w:rsid w:val="00A4267D"/>
    <w:rsid w:val="00A427B2"/>
    <w:rsid w:val="00A43DEB"/>
    <w:rsid w:val="00A44DDA"/>
    <w:rsid w:val="00A46277"/>
    <w:rsid w:val="00A47D62"/>
    <w:rsid w:val="00A53CDD"/>
    <w:rsid w:val="00A53EE6"/>
    <w:rsid w:val="00A5538A"/>
    <w:rsid w:val="00A564AE"/>
    <w:rsid w:val="00A57A4A"/>
    <w:rsid w:val="00A57C0E"/>
    <w:rsid w:val="00A614EB"/>
    <w:rsid w:val="00A62886"/>
    <w:rsid w:val="00A63E79"/>
    <w:rsid w:val="00A6719E"/>
    <w:rsid w:val="00A672B2"/>
    <w:rsid w:val="00A74C51"/>
    <w:rsid w:val="00A77682"/>
    <w:rsid w:val="00A80C19"/>
    <w:rsid w:val="00A83279"/>
    <w:rsid w:val="00A83750"/>
    <w:rsid w:val="00A84631"/>
    <w:rsid w:val="00A86498"/>
    <w:rsid w:val="00A86A0A"/>
    <w:rsid w:val="00A86F03"/>
    <w:rsid w:val="00A9067C"/>
    <w:rsid w:val="00A90A24"/>
    <w:rsid w:val="00A90BD3"/>
    <w:rsid w:val="00A91402"/>
    <w:rsid w:val="00A92FBB"/>
    <w:rsid w:val="00A93C1C"/>
    <w:rsid w:val="00A96790"/>
    <w:rsid w:val="00A96CE2"/>
    <w:rsid w:val="00A97543"/>
    <w:rsid w:val="00AA0DFE"/>
    <w:rsid w:val="00AA2502"/>
    <w:rsid w:val="00AA262E"/>
    <w:rsid w:val="00AA2AC5"/>
    <w:rsid w:val="00AA3174"/>
    <w:rsid w:val="00AA3A41"/>
    <w:rsid w:val="00AA5AE9"/>
    <w:rsid w:val="00AA6D45"/>
    <w:rsid w:val="00AA7585"/>
    <w:rsid w:val="00AA7DED"/>
    <w:rsid w:val="00AB031D"/>
    <w:rsid w:val="00AB08A6"/>
    <w:rsid w:val="00AB18B3"/>
    <w:rsid w:val="00AB1A1E"/>
    <w:rsid w:val="00AB236C"/>
    <w:rsid w:val="00AC0054"/>
    <w:rsid w:val="00AC06B6"/>
    <w:rsid w:val="00AC4C6A"/>
    <w:rsid w:val="00AC7830"/>
    <w:rsid w:val="00AD1557"/>
    <w:rsid w:val="00AD1801"/>
    <w:rsid w:val="00AD35F3"/>
    <w:rsid w:val="00AD44E9"/>
    <w:rsid w:val="00AD4CAC"/>
    <w:rsid w:val="00AD528F"/>
    <w:rsid w:val="00AD6760"/>
    <w:rsid w:val="00AD6EB3"/>
    <w:rsid w:val="00AD741D"/>
    <w:rsid w:val="00AD751D"/>
    <w:rsid w:val="00AD791C"/>
    <w:rsid w:val="00AE1C60"/>
    <w:rsid w:val="00AE4F42"/>
    <w:rsid w:val="00AE728D"/>
    <w:rsid w:val="00AE7589"/>
    <w:rsid w:val="00AF244D"/>
    <w:rsid w:val="00AF2833"/>
    <w:rsid w:val="00AF3716"/>
    <w:rsid w:val="00AF3C46"/>
    <w:rsid w:val="00AF43E1"/>
    <w:rsid w:val="00AF4D71"/>
    <w:rsid w:val="00AF5921"/>
    <w:rsid w:val="00B0092E"/>
    <w:rsid w:val="00B018B2"/>
    <w:rsid w:val="00B018E8"/>
    <w:rsid w:val="00B03BF6"/>
    <w:rsid w:val="00B03CDF"/>
    <w:rsid w:val="00B040B7"/>
    <w:rsid w:val="00B04A55"/>
    <w:rsid w:val="00B04D46"/>
    <w:rsid w:val="00B0732B"/>
    <w:rsid w:val="00B104C5"/>
    <w:rsid w:val="00B10F47"/>
    <w:rsid w:val="00B1385B"/>
    <w:rsid w:val="00B13B1B"/>
    <w:rsid w:val="00B15DBF"/>
    <w:rsid w:val="00B165C9"/>
    <w:rsid w:val="00B16F6C"/>
    <w:rsid w:val="00B173C0"/>
    <w:rsid w:val="00B17D70"/>
    <w:rsid w:val="00B22AD7"/>
    <w:rsid w:val="00B22D31"/>
    <w:rsid w:val="00B22E46"/>
    <w:rsid w:val="00B27853"/>
    <w:rsid w:val="00B30291"/>
    <w:rsid w:val="00B306F7"/>
    <w:rsid w:val="00B30BB8"/>
    <w:rsid w:val="00B30FE2"/>
    <w:rsid w:val="00B3272E"/>
    <w:rsid w:val="00B32C71"/>
    <w:rsid w:val="00B330C4"/>
    <w:rsid w:val="00B37580"/>
    <w:rsid w:val="00B4137A"/>
    <w:rsid w:val="00B50B77"/>
    <w:rsid w:val="00B51290"/>
    <w:rsid w:val="00B52215"/>
    <w:rsid w:val="00B530CA"/>
    <w:rsid w:val="00B53AC4"/>
    <w:rsid w:val="00B54527"/>
    <w:rsid w:val="00B57ADA"/>
    <w:rsid w:val="00B61EE9"/>
    <w:rsid w:val="00B6496C"/>
    <w:rsid w:val="00B65962"/>
    <w:rsid w:val="00B66B6C"/>
    <w:rsid w:val="00B7033E"/>
    <w:rsid w:val="00B7071A"/>
    <w:rsid w:val="00B7076B"/>
    <w:rsid w:val="00B71858"/>
    <w:rsid w:val="00B71A39"/>
    <w:rsid w:val="00B721DC"/>
    <w:rsid w:val="00B74715"/>
    <w:rsid w:val="00B7669D"/>
    <w:rsid w:val="00B766D9"/>
    <w:rsid w:val="00B80A28"/>
    <w:rsid w:val="00B82B41"/>
    <w:rsid w:val="00B82D73"/>
    <w:rsid w:val="00B84A2C"/>
    <w:rsid w:val="00B871D6"/>
    <w:rsid w:val="00B87A02"/>
    <w:rsid w:val="00B93557"/>
    <w:rsid w:val="00B96204"/>
    <w:rsid w:val="00BA0DCC"/>
    <w:rsid w:val="00BA12A2"/>
    <w:rsid w:val="00BA16EF"/>
    <w:rsid w:val="00BA18D0"/>
    <w:rsid w:val="00BA242E"/>
    <w:rsid w:val="00BA2ABF"/>
    <w:rsid w:val="00BA3317"/>
    <w:rsid w:val="00BA5A9D"/>
    <w:rsid w:val="00BA6363"/>
    <w:rsid w:val="00BB2D9C"/>
    <w:rsid w:val="00BB3512"/>
    <w:rsid w:val="00BB471C"/>
    <w:rsid w:val="00BB5D1E"/>
    <w:rsid w:val="00BB62CC"/>
    <w:rsid w:val="00BB7ED6"/>
    <w:rsid w:val="00BC137A"/>
    <w:rsid w:val="00BC4347"/>
    <w:rsid w:val="00BC45E0"/>
    <w:rsid w:val="00BC54B5"/>
    <w:rsid w:val="00BC59F3"/>
    <w:rsid w:val="00BC5D9D"/>
    <w:rsid w:val="00BC60E1"/>
    <w:rsid w:val="00BC6803"/>
    <w:rsid w:val="00BC7BCB"/>
    <w:rsid w:val="00BD109B"/>
    <w:rsid w:val="00BD1101"/>
    <w:rsid w:val="00BD2944"/>
    <w:rsid w:val="00BD2B5E"/>
    <w:rsid w:val="00BD3AFF"/>
    <w:rsid w:val="00BD4E7A"/>
    <w:rsid w:val="00BD531B"/>
    <w:rsid w:val="00BE00E5"/>
    <w:rsid w:val="00BE2E5A"/>
    <w:rsid w:val="00BE3A10"/>
    <w:rsid w:val="00BE4A21"/>
    <w:rsid w:val="00BE5859"/>
    <w:rsid w:val="00BE5DB1"/>
    <w:rsid w:val="00BE717E"/>
    <w:rsid w:val="00BE7E27"/>
    <w:rsid w:val="00BF183C"/>
    <w:rsid w:val="00BF2333"/>
    <w:rsid w:val="00BF4C15"/>
    <w:rsid w:val="00BF5440"/>
    <w:rsid w:val="00C01EFC"/>
    <w:rsid w:val="00C044CF"/>
    <w:rsid w:val="00C0782F"/>
    <w:rsid w:val="00C11F50"/>
    <w:rsid w:val="00C12603"/>
    <w:rsid w:val="00C12C7C"/>
    <w:rsid w:val="00C131FD"/>
    <w:rsid w:val="00C1357E"/>
    <w:rsid w:val="00C15322"/>
    <w:rsid w:val="00C16DA8"/>
    <w:rsid w:val="00C17352"/>
    <w:rsid w:val="00C21959"/>
    <w:rsid w:val="00C30A7D"/>
    <w:rsid w:val="00C31169"/>
    <w:rsid w:val="00C3169F"/>
    <w:rsid w:val="00C318F6"/>
    <w:rsid w:val="00C37522"/>
    <w:rsid w:val="00C42EFD"/>
    <w:rsid w:val="00C43D8B"/>
    <w:rsid w:val="00C44042"/>
    <w:rsid w:val="00C46AF0"/>
    <w:rsid w:val="00C52956"/>
    <w:rsid w:val="00C53AE1"/>
    <w:rsid w:val="00C53CAD"/>
    <w:rsid w:val="00C543C3"/>
    <w:rsid w:val="00C54893"/>
    <w:rsid w:val="00C560A1"/>
    <w:rsid w:val="00C56E9E"/>
    <w:rsid w:val="00C56EB6"/>
    <w:rsid w:val="00C571E2"/>
    <w:rsid w:val="00C63FC8"/>
    <w:rsid w:val="00C64F57"/>
    <w:rsid w:val="00C65D21"/>
    <w:rsid w:val="00C66E11"/>
    <w:rsid w:val="00C6789D"/>
    <w:rsid w:val="00C71A97"/>
    <w:rsid w:val="00C72FFE"/>
    <w:rsid w:val="00C73FFD"/>
    <w:rsid w:val="00C74512"/>
    <w:rsid w:val="00C75071"/>
    <w:rsid w:val="00C77EB0"/>
    <w:rsid w:val="00C84F07"/>
    <w:rsid w:val="00C851A6"/>
    <w:rsid w:val="00C855D4"/>
    <w:rsid w:val="00C87639"/>
    <w:rsid w:val="00C87D01"/>
    <w:rsid w:val="00C90685"/>
    <w:rsid w:val="00C9099A"/>
    <w:rsid w:val="00C9240A"/>
    <w:rsid w:val="00C93D5B"/>
    <w:rsid w:val="00C9442C"/>
    <w:rsid w:val="00C9532C"/>
    <w:rsid w:val="00C95BCF"/>
    <w:rsid w:val="00C95D16"/>
    <w:rsid w:val="00C95DCF"/>
    <w:rsid w:val="00CA184E"/>
    <w:rsid w:val="00CA23C4"/>
    <w:rsid w:val="00CA575F"/>
    <w:rsid w:val="00CA5AEC"/>
    <w:rsid w:val="00CA6114"/>
    <w:rsid w:val="00CA704A"/>
    <w:rsid w:val="00CB0797"/>
    <w:rsid w:val="00CB21FF"/>
    <w:rsid w:val="00CB2527"/>
    <w:rsid w:val="00CB5CAE"/>
    <w:rsid w:val="00CB644C"/>
    <w:rsid w:val="00CB6CAA"/>
    <w:rsid w:val="00CB78ED"/>
    <w:rsid w:val="00CC0004"/>
    <w:rsid w:val="00CC4E55"/>
    <w:rsid w:val="00CC550E"/>
    <w:rsid w:val="00CC5AC6"/>
    <w:rsid w:val="00CD0DCE"/>
    <w:rsid w:val="00CD1628"/>
    <w:rsid w:val="00CD1D27"/>
    <w:rsid w:val="00CD27B7"/>
    <w:rsid w:val="00CD3807"/>
    <w:rsid w:val="00CD3AE7"/>
    <w:rsid w:val="00CD3C10"/>
    <w:rsid w:val="00CD5194"/>
    <w:rsid w:val="00CD5981"/>
    <w:rsid w:val="00CD79FA"/>
    <w:rsid w:val="00CE10E6"/>
    <w:rsid w:val="00CE3650"/>
    <w:rsid w:val="00CE59A8"/>
    <w:rsid w:val="00CE657B"/>
    <w:rsid w:val="00CF0873"/>
    <w:rsid w:val="00CF199D"/>
    <w:rsid w:val="00CF237E"/>
    <w:rsid w:val="00CF3FB0"/>
    <w:rsid w:val="00CF515D"/>
    <w:rsid w:val="00CF53F5"/>
    <w:rsid w:val="00CF6B3F"/>
    <w:rsid w:val="00D002B4"/>
    <w:rsid w:val="00D00BE7"/>
    <w:rsid w:val="00D02097"/>
    <w:rsid w:val="00D03845"/>
    <w:rsid w:val="00D03DCB"/>
    <w:rsid w:val="00D05257"/>
    <w:rsid w:val="00D054DF"/>
    <w:rsid w:val="00D057A5"/>
    <w:rsid w:val="00D05D1F"/>
    <w:rsid w:val="00D144D0"/>
    <w:rsid w:val="00D14FC0"/>
    <w:rsid w:val="00D163A3"/>
    <w:rsid w:val="00D1656D"/>
    <w:rsid w:val="00D167CC"/>
    <w:rsid w:val="00D16943"/>
    <w:rsid w:val="00D211AE"/>
    <w:rsid w:val="00D21662"/>
    <w:rsid w:val="00D22416"/>
    <w:rsid w:val="00D23DE4"/>
    <w:rsid w:val="00D23F50"/>
    <w:rsid w:val="00D24447"/>
    <w:rsid w:val="00D24867"/>
    <w:rsid w:val="00D318E3"/>
    <w:rsid w:val="00D323A7"/>
    <w:rsid w:val="00D346BF"/>
    <w:rsid w:val="00D34A4B"/>
    <w:rsid w:val="00D416EB"/>
    <w:rsid w:val="00D41B20"/>
    <w:rsid w:val="00D44615"/>
    <w:rsid w:val="00D45321"/>
    <w:rsid w:val="00D50324"/>
    <w:rsid w:val="00D513ED"/>
    <w:rsid w:val="00D55A28"/>
    <w:rsid w:val="00D5605F"/>
    <w:rsid w:val="00D61FBD"/>
    <w:rsid w:val="00D62519"/>
    <w:rsid w:val="00D625AA"/>
    <w:rsid w:val="00D632D2"/>
    <w:rsid w:val="00D63CBD"/>
    <w:rsid w:val="00D6500C"/>
    <w:rsid w:val="00D66392"/>
    <w:rsid w:val="00D66959"/>
    <w:rsid w:val="00D70A39"/>
    <w:rsid w:val="00D71A7E"/>
    <w:rsid w:val="00D7643D"/>
    <w:rsid w:val="00D76DE0"/>
    <w:rsid w:val="00D80DF0"/>
    <w:rsid w:val="00D83ED5"/>
    <w:rsid w:val="00D86043"/>
    <w:rsid w:val="00D870D4"/>
    <w:rsid w:val="00D9398E"/>
    <w:rsid w:val="00D9464E"/>
    <w:rsid w:val="00D954E0"/>
    <w:rsid w:val="00D97059"/>
    <w:rsid w:val="00D97A1D"/>
    <w:rsid w:val="00DA0181"/>
    <w:rsid w:val="00DA2411"/>
    <w:rsid w:val="00DA2C81"/>
    <w:rsid w:val="00DA65C4"/>
    <w:rsid w:val="00DA7899"/>
    <w:rsid w:val="00DB0923"/>
    <w:rsid w:val="00DB29CA"/>
    <w:rsid w:val="00DB30C8"/>
    <w:rsid w:val="00DB558E"/>
    <w:rsid w:val="00DB5F2B"/>
    <w:rsid w:val="00DB74AF"/>
    <w:rsid w:val="00DC1AB8"/>
    <w:rsid w:val="00DC5C19"/>
    <w:rsid w:val="00DC7068"/>
    <w:rsid w:val="00DD0411"/>
    <w:rsid w:val="00DD265A"/>
    <w:rsid w:val="00DD6B9B"/>
    <w:rsid w:val="00DE07A1"/>
    <w:rsid w:val="00DE21A2"/>
    <w:rsid w:val="00DE2776"/>
    <w:rsid w:val="00DE3B11"/>
    <w:rsid w:val="00DE7183"/>
    <w:rsid w:val="00DF1DAC"/>
    <w:rsid w:val="00DF2165"/>
    <w:rsid w:val="00DF5A24"/>
    <w:rsid w:val="00DF60E6"/>
    <w:rsid w:val="00DF6105"/>
    <w:rsid w:val="00DF659E"/>
    <w:rsid w:val="00DF7D50"/>
    <w:rsid w:val="00E01524"/>
    <w:rsid w:val="00E0320F"/>
    <w:rsid w:val="00E07C16"/>
    <w:rsid w:val="00E1021D"/>
    <w:rsid w:val="00E1428E"/>
    <w:rsid w:val="00E14900"/>
    <w:rsid w:val="00E15903"/>
    <w:rsid w:val="00E218D3"/>
    <w:rsid w:val="00E22321"/>
    <w:rsid w:val="00E229ED"/>
    <w:rsid w:val="00E23091"/>
    <w:rsid w:val="00E23E21"/>
    <w:rsid w:val="00E245A0"/>
    <w:rsid w:val="00E25964"/>
    <w:rsid w:val="00E25E9F"/>
    <w:rsid w:val="00E27565"/>
    <w:rsid w:val="00E30DE6"/>
    <w:rsid w:val="00E31944"/>
    <w:rsid w:val="00E32395"/>
    <w:rsid w:val="00E32E0D"/>
    <w:rsid w:val="00E332E3"/>
    <w:rsid w:val="00E34DBA"/>
    <w:rsid w:val="00E3534F"/>
    <w:rsid w:val="00E35435"/>
    <w:rsid w:val="00E37194"/>
    <w:rsid w:val="00E3788B"/>
    <w:rsid w:val="00E40C6A"/>
    <w:rsid w:val="00E410B7"/>
    <w:rsid w:val="00E43977"/>
    <w:rsid w:val="00E4415D"/>
    <w:rsid w:val="00E44AB8"/>
    <w:rsid w:val="00E47BD8"/>
    <w:rsid w:val="00E50D3F"/>
    <w:rsid w:val="00E520BE"/>
    <w:rsid w:val="00E53413"/>
    <w:rsid w:val="00E5484A"/>
    <w:rsid w:val="00E54E17"/>
    <w:rsid w:val="00E56A7A"/>
    <w:rsid w:val="00E60419"/>
    <w:rsid w:val="00E60E01"/>
    <w:rsid w:val="00E617D3"/>
    <w:rsid w:val="00E61E36"/>
    <w:rsid w:val="00E633C1"/>
    <w:rsid w:val="00E65532"/>
    <w:rsid w:val="00E667B0"/>
    <w:rsid w:val="00E67390"/>
    <w:rsid w:val="00E67DA6"/>
    <w:rsid w:val="00E71365"/>
    <w:rsid w:val="00E74904"/>
    <w:rsid w:val="00E75CFA"/>
    <w:rsid w:val="00E770A4"/>
    <w:rsid w:val="00E8097A"/>
    <w:rsid w:val="00E81192"/>
    <w:rsid w:val="00E83B51"/>
    <w:rsid w:val="00E8626C"/>
    <w:rsid w:val="00E8663B"/>
    <w:rsid w:val="00E86BDE"/>
    <w:rsid w:val="00E8762F"/>
    <w:rsid w:val="00E90171"/>
    <w:rsid w:val="00E90AB8"/>
    <w:rsid w:val="00E919D9"/>
    <w:rsid w:val="00E91BC3"/>
    <w:rsid w:val="00E921C1"/>
    <w:rsid w:val="00E93C8B"/>
    <w:rsid w:val="00E93D8F"/>
    <w:rsid w:val="00E9531E"/>
    <w:rsid w:val="00E95E41"/>
    <w:rsid w:val="00E95E4C"/>
    <w:rsid w:val="00E977CE"/>
    <w:rsid w:val="00E97E05"/>
    <w:rsid w:val="00EA1BF5"/>
    <w:rsid w:val="00EA34E2"/>
    <w:rsid w:val="00EA52D1"/>
    <w:rsid w:val="00EA703E"/>
    <w:rsid w:val="00EA791F"/>
    <w:rsid w:val="00EB671F"/>
    <w:rsid w:val="00EB6A61"/>
    <w:rsid w:val="00EB70E7"/>
    <w:rsid w:val="00EB76D6"/>
    <w:rsid w:val="00EC02E8"/>
    <w:rsid w:val="00EC1139"/>
    <w:rsid w:val="00EC3842"/>
    <w:rsid w:val="00EC4299"/>
    <w:rsid w:val="00EC4D4D"/>
    <w:rsid w:val="00EC5D5D"/>
    <w:rsid w:val="00EC7908"/>
    <w:rsid w:val="00EC7C2B"/>
    <w:rsid w:val="00ED1F02"/>
    <w:rsid w:val="00ED213D"/>
    <w:rsid w:val="00EE15B5"/>
    <w:rsid w:val="00EE2087"/>
    <w:rsid w:val="00EE20A1"/>
    <w:rsid w:val="00EE6670"/>
    <w:rsid w:val="00EE7308"/>
    <w:rsid w:val="00EE74AF"/>
    <w:rsid w:val="00EF1F0E"/>
    <w:rsid w:val="00EF29F6"/>
    <w:rsid w:val="00EF3893"/>
    <w:rsid w:val="00EF4FBF"/>
    <w:rsid w:val="00EF518E"/>
    <w:rsid w:val="00EF5DF0"/>
    <w:rsid w:val="00EF69AE"/>
    <w:rsid w:val="00EF6E2C"/>
    <w:rsid w:val="00EF7106"/>
    <w:rsid w:val="00F001A6"/>
    <w:rsid w:val="00F00253"/>
    <w:rsid w:val="00F0070A"/>
    <w:rsid w:val="00F01660"/>
    <w:rsid w:val="00F01C16"/>
    <w:rsid w:val="00F0782D"/>
    <w:rsid w:val="00F10B74"/>
    <w:rsid w:val="00F11EB3"/>
    <w:rsid w:val="00F13F39"/>
    <w:rsid w:val="00F14B9B"/>
    <w:rsid w:val="00F14CCC"/>
    <w:rsid w:val="00F17988"/>
    <w:rsid w:val="00F20C09"/>
    <w:rsid w:val="00F217DF"/>
    <w:rsid w:val="00F21CAE"/>
    <w:rsid w:val="00F22AE0"/>
    <w:rsid w:val="00F25798"/>
    <w:rsid w:val="00F2601A"/>
    <w:rsid w:val="00F26701"/>
    <w:rsid w:val="00F310D7"/>
    <w:rsid w:val="00F368B9"/>
    <w:rsid w:val="00F3739F"/>
    <w:rsid w:val="00F374C1"/>
    <w:rsid w:val="00F37B34"/>
    <w:rsid w:val="00F37C53"/>
    <w:rsid w:val="00F41C34"/>
    <w:rsid w:val="00F4212F"/>
    <w:rsid w:val="00F447DB"/>
    <w:rsid w:val="00F447FA"/>
    <w:rsid w:val="00F469B9"/>
    <w:rsid w:val="00F46C32"/>
    <w:rsid w:val="00F46ECB"/>
    <w:rsid w:val="00F50F94"/>
    <w:rsid w:val="00F525B5"/>
    <w:rsid w:val="00F53D53"/>
    <w:rsid w:val="00F543B9"/>
    <w:rsid w:val="00F56177"/>
    <w:rsid w:val="00F56187"/>
    <w:rsid w:val="00F575D3"/>
    <w:rsid w:val="00F5786C"/>
    <w:rsid w:val="00F62117"/>
    <w:rsid w:val="00F62365"/>
    <w:rsid w:val="00F630A7"/>
    <w:rsid w:val="00F6520C"/>
    <w:rsid w:val="00F66225"/>
    <w:rsid w:val="00F662BC"/>
    <w:rsid w:val="00F6708D"/>
    <w:rsid w:val="00F707F0"/>
    <w:rsid w:val="00F71AD5"/>
    <w:rsid w:val="00F729ED"/>
    <w:rsid w:val="00F733B8"/>
    <w:rsid w:val="00F74F50"/>
    <w:rsid w:val="00F75192"/>
    <w:rsid w:val="00F77822"/>
    <w:rsid w:val="00F80F4A"/>
    <w:rsid w:val="00F838B6"/>
    <w:rsid w:val="00F83B0D"/>
    <w:rsid w:val="00F83C31"/>
    <w:rsid w:val="00F85F05"/>
    <w:rsid w:val="00F86AD1"/>
    <w:rsid w:val="00F90D96"/>
    <w:rsid w:val="00F9222A"/>
    <w:rsid w:val="00F922EA"/>
    <w:rsid w:val="00F92927"/>
    <w:rsid w:val="00F949E0"/>
    <w:rsid w:val="00F94F0F"/>
    <w:rsid w:val="00F9627D"/>
    <w:rsid w:val="00F9749F"/>
    <w:rsid w:val="00F979B3"/>
    <w:rsid w:val="00F97CCD"/>
    <w:rsid w:val="00FA320D"/>
    <w:rsid w:val="00FA362B"/>
    <w:rsid w:val="00FA444C"/>
    <w:rsid w:val="00FA53E9"/>
    <w:rsid w:val="00FA60EC"/>
    <w:rsid w:val="00FB04E9"/>
    <w:rsid w:val="00FB1179"/>
    <w:rsid w:val="00FB1C6B"/>
    <w:rsid w:val="00FB3361"/>
    <w:rsid w:val="00FB42B4"/>
    <w:rsid w:val="00FB4841"/>
    <w:rsid w:val="00FB6C94"/>
    <w:rsid w:val="00FB7F8B"/>
    <w:rsid w:val="00FC1877"/>
    <w:rsid w:val="00FC22F5"/>
    <w:rsid w:val="00FC3753"/>
    <w:rsid w:val="00FC4D20"/>
    <w:rsid w:val="00FC5170"/>
    <w:rsid w:val="00FC5743"/>
    <w:rsid w:val="00FC6240"/>
    <w:rsid w:val="00FC66BB"/>
    <w:rsid w:val="00FD118C"/>
    <w:rsid w:val="00FD332F"/>
    <w:rsid w:val="00FD7395"/>
    <w:rsid w:val="00FE1CC1"/>
    <w:rsid w:val="00FE385E"/>
    <w:rsid w:val="00FE3CE2"/>
    <w:rsid w:val="00FE54AD"/>
    <w:rsid w:val="00FE5633"/>
    <w:rsid w:val="00FE6F7A"/>
    <w:rsid w:val="00FE7B14"/>
    <w:rsid w:val="00FF02D5"/>
    <w:rsid w:val="00FF0846"/>
    <w:rsid w:val="00FF248B"/>
    <w:rsid w:val="00FF3E6F"/>
    <w:rsid w:val="00FF5A63"/>
    <w:rsid w:val="00FF6DB4"/>
    <w:rsid w:val="00FF7425"/>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33825"/>
    <o:shapelayout v:ext="edit">
      <o:idmap v:ext="edit" data="1"/>
    </o:shapelayout>
  </w:shapeDefaults>
  <w:decimalSymbol w:val=","/>
  <w:listSeparator w:val=";"/>
  <w14:docId w14:val="3789E4A7"/>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6191"/>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styleId="Meno">
    <w:name w:val="Mention"/>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styleId="MenoPendente">
    <w:name w:val="Unresolved Mention"/>
    <w:basedOn w:val="Fontepargpadro"/>
    <w:uiPriority w:val="99"/>
    <w:semiHidden/>
    <w:unhideWhenUsed/>
    <w:rsid w:val="00D163A3"/>
    <w:rPr>
      <w:color w:val="808080"/>
      <w:shd w:val="clear" w:color="auto" w:fill="E6E6E6"/>
    </w:rPr>
  </w:style>
  <w:style w:type="character" w:styleId="Refdecomentrio">
    <w:name w:val="annotation reference"/>
    <w:basedOn w:val="Fontepargpadro"/>
    <w:uiPriority w:val="99"/>
    <w:semiHidden/>
    <w:unhideWhenUsed/>
    <w:rsid w:val="00852A15"/>
    <w:rPr>
      <w:sz w:val="16"/>
      <w:szCs w:val="16"/>
    </w:rPr>
  </w:style>
  <w:style w:type="paragraph" w:styleId="Textodecomentrio">
    <w:name w:val="annotation text"/>
    <w:basedOn w:val="Normal"/>
    <w:link w:val="TextodecomentrioChar"/>
    <w:uiPriority w:val="99"/>
    <w:semiHidden/>
    <w:unhideWhenUsed/>
    <w:rsid w:val="00852A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2A15"/>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2A15"/>
    <w:rPr>
      <w:b/>
      <w:bCs/>
    </w:rPr>
  </w:style>
  <w:style w:type="character" w:customStyle="1" w:styleId="AssuntodocomentrioChar">
    <w:name w:val="Assunto do comentário Char"/>
    <w:basedOn w:val="TextodecomentrioChar"/>
    <w:link w:val="Assuntodocomentrio"/>
    <w:uiPriority w:val="99"/>
    <w:semiHidden/>
    <w:rsid w:val="00852A15"/>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30239161">
      <w:bodyDiv w:val="1"/>
      <w:marLeft w:val="0"/>
      <w:marRight w:val="0"/>
      <w:marTop w:val="0"/>
      <w:marBottom w:val="0"/>
      <w:divBdr>
        <w:top w:val="none" w:sz="0" w:space="0" w:color="auto"/>
        <w:left w:val="none" w:sz="0" w:space="0" w:color="auto"/>
        <w:bottom w:val="none" w:sz="0" w:space="0" w:color="auto"/>
        <w:right w:val="none" w:sz="0" w:space="0" w:color="auto"/>
      </w:divBdr>
    </w:div>
    <w:div w:id="271330060">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392898318">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737092109">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495950094">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706373036">
      <w:bodyDiv w:val="1"/>
      <w:marLeft w:val="0"/>
      <w:marRight w:val="0"/>
      <w:marTop w:val="0"/>
      <w:marBottom w:val="0"/>
      <w:divBdr>
        <w:top w:val="none" w:sz="0" w:space="0" w:color="auto"/>
        <w:left w:val="none" w:sz="0" w:space="0" w:color="auto"/>
        <w:bottom w:val="none" w:sz="0" w:space="0" w:color="auto"/>
        <w:right w:val="none" w:sz="0" w:space="0" w:color="auto"/>
      </w:divBdr>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multimidia/2018/9/pdf/00330986.pdf" TargetMode="External"/><Relationship Id="rId13" Type="http://schemas.openxmlformats.org/officeDocument/2006/relationships/hyperlink" Target="http://www1.tce.pr.gov.br/multimidia/2018/9/pdf/00331034.pdf" TargetMode="External"/><Relationship Id="rId18" Type="http://schemas.openxmlformats.org/officeDocument/2006/relationships/hyperlink" Target="https://contas.tcu.gov.br/sagas/SvlVisualizarRelVotoAcRtf?codFiltro=SAGAS-SESSAO-ENCERRADA&amp;seOcultaPagina=S&amp;item0=626456" TargetMode="External"/><Relationship Id="rId26" Type="http://schemas.openxmlformats.org/officeDocument/2006/relationships/hyperlink" Target="https://contas.tcu.gov.br/sagas/SvlVisualizarRelVotoAcRtf?codFiltro=SAGAS-SESSAO-ENCERRADA&amp;seOcultaPagina=S&amp;item0=630709" TargetMode="External"/><Relationship Id="rId39" Type="http://schemas.openxmlformats.org/officeDocument/2006/relationships/hyperlink" Target="http://www1.tce.pr.gov.br/conteudo/sumulas-selecionadas/316602/area/249" TargetMode="External"/><Relationship Id="rId3" Type="http://schemas.openxmlformats.org/officeDocument/2006/relationships/styles" Target="styles.xml"/><Relationship Id="rId21" Type="http://schemas.openxmlformats.org/officeDocument/2006/relationships/hyperlink" Target="https://contas.tcu.gov.br/sagas/SvlVisualizarRelVotoAcRtf?codFiltro=SAGAS-SESSAO-ENCERRADA&amp;seOcultaPagina=S&amp;item0=624522" TargetMode="External"/><Relationship Id="rId34" Type="http://schemas.openxmlformats.org/officeDocument/2006/relationships/hyperlink" Target="https://contas.tcu.gov.br/sagas/SvlVisualizarRelVotoAcRtf?codFiltro=SAGAS-SESSAO-ENCERRADA&amp;seOcultaPagina=S&amp;item0=633765"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1.tce.pr.gov.br/multimidia/2018/9/pdf/00330858.pdf" TargetMode="External"/><Relationship Id="rId17" Type="http://schemas.openxmlformats.org/officeDocument/2006/relationships/hyperlink" Target="https://ww2.stj.jus.br/processo/revista/documento/mediado/?componente=ATC&amp;sequencial=86176508&amp;num_registro=201700256297&amp;data=20180921&amp;tipo=91&amp;formato=PDF" TargetMode="External"/><Relationship Id="rId25" Type="http://schemas.openxmlformats.org/officeDocument/2006/relationships/hyperlink" Target="https://contas.tcu.gov.br/sagas/SvlVisualizarRelVotoAcRtf?codFiltro=SAGAS-SESSAO-ENCERRADA&amp;seOcultaPagina=S&amp;item0=630709" TargetMode="External"/><Relationship Id="rId33" Type="http://schemas.openxmlformats.org/officeDocument/2006/relationships/hyperlink" Target="http://www.planalto.gov.br/ccivil_03/_Ato2015-2018/2015/Lei/L13105.htm" TargetMode="External"/><Relationship Id="rId38" Type="http://schemas.openxmlformats.org/officeDocument/2006/relationships/hyperlink" Target="http://www1.tce.pr.gov.br/conteudo/repercussao-geral-no-stf-e-os-tribunais-de-contas/307026/area/249" TargetMode="External"/><Relationship Id="rId2" Type="http://schemas.openxmlformats.org/officeDocument/2006/relationships/numbering" Target="numbering.xml"/><Relationship Id="rId16" Type="http://schemas.openxmlformats.org/officeDocument/2006/relationships/hyperlink" Target="http://www1.tce.pr.gov.br/multimidia/2018/8/pdf/00330783.pdf" TargetMode="External"/><Relationship Id="rId20" Type="http://schemas.openxmlformats.org/officeDocument/2006/relationships/hyperlink" Target="http://www.planalto.gov.br/ccivil_03/Leis/l8666cons.htm" TargetMode="External"/><Relationship Id="rId29" Type="http://schemas.openxmlformats.org/officeDocument/2006/relationships/hyperlink" Target="http://www.planalto.gov.br/ccivil_03/constituicao/constituicaocompilado.htm"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tce.pr.gov.br/multimidia/2018/8/pdf/00330784.pdf" TargetMode="External"/><Relationship Id="rId24" Type="http://schemas.openxmlformats.org/officeDocument/2006/relationships/hyperlink" Target="https://contas.tcu.gov.br/sagas/SvlVisualizarRelVotoAcRtf?codFiltro=SAGAS-SESSAO-ENCERRADA&amp;seOcultaPagina=S&amp;item0=629928" TargetMode="External"/><Relationship Id="rId32" Type="http://schemas.openxmlformats.org/officeDocument/2006/relationships/hyperlink" Target="https://contas.tcu.gov.br/sagas/SvlVisualizarRelVotoAcRtf?codFiltro=SAGAS-SESSAO-ENCERRADA&amp;seOcultaPagina=S&amp;item0=636855" TargetMode="External"/><Relationship Id="rId37" Type="http://schemas.openxmlformats.org/officeDocument/2006/relationships/hyperlink" Target="http://www1.tce.pr.gov.br/conteudo/boletim-de-jurisprudencia-internacional/316601/area/249"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1.tce.pr.gov.br/multimidia/2018/10/pdf/00331906.pdf" TargetMode="External"/><Relationship Id="rId23" Type="http://schemas.openxmlformats.org/officeDocument/2006/relationships/hyperlink" Target="http://www.planalto.gov.br/ccivil_03/_ato2015-2018/2018/lei/L13655.htm" TargetMode="External"/><Relationship Id="rId28" Type="http://schemas.openxmlformats.org/officeDocument/2006/relationships/hyperlink" Target="https://contas.tcu.gov.br/sagas/SvlVisualizarRelVotoAcRtf?codFiltro=SAGAS-SESSAO-ENCERRADA&amp;seOcultaPagina=S&amp;item0=636791" TargetMode="External"/><Relationship Id="rId36" Type="http://schemas.openxmlformats.org/officeDocument/2006/relationships/hyperlink" Target="http://www1.tce.pr.gov.br/conteudo/teses-ambientais/316603/area/249" TargetMode="External"/><Relationship Id="rId10" Type="http://schemas.openxmlformats.org/officeDocument/2006/relationships/hyperlink" Target="http://www1.tce.pr.gov.br/multimidia/2018/8/pdf/00330786.pdf" TargetMode="External"/><Relationship Id="rId19" Type="http://schemas.openxmlformats.org/officeDocument/2006/relationships/hyperlink" Target="https://contas.tcu.gov.br/sagas/SvlVisualizarRelVotoAcRtf?codFiltro=SAGAS-SESSAO-ENCERRADA&amp;seOcultaPagina=S&amp;item0=624522" TargetMode="External"/><Relationship Id="rId31" Type="http://schemas.openxmlformats.org/officeDocument/2006/relationships/hyperlink" Target="http://www.planalto.gov.br/ccivil_03/_Ato2011-2014/2011/Lei/L12462.htm" TargetMode="External"/><Relationship Id="rId4" Type="http://schemas.openxmlformats.org/officeDocument/2006/relationships/settings" Target="settings.xml"/><Relationship Id="rId9" Type="http://schemas.openxmlformats.org/officeDocument/2006/relationships/hyperlink" Target="http://www1.tce.pr.gov.br/multimidia/2018/8/pdf/00330797.pdf" TargetMode="External"/><Relationship Id="rId14" Type="http://schemas.openxmlformats.org/officeDocument/2006/relationships/hyperlink" Target="http://www1.tce.pr.gov.br/multimidia/2018/9/pdf/00330950.pdf" TargetMode="External"/><Relationship Id="rId22" Type="http://schemas.openxmlformats.org/officeDocument/2006/relationships/hyperlink" Target="http://www.planalto.gov.br/ccivil_03/decreto-lei/Del4657compilado.htm" TargetMode="External"/><Relationship Id="rId27" Type="http://schemas.openxmlformats.org/officeDocument/2006/relationships/hyperlink" Target="https://contas.tcu.gov.br/sagas/SvlVisualizarRelVotoAcRtf?codFiltro=SAGAS-SESSAO-ENCERRADA&amp;seOcultaPagina=S&amp;item0=629928" TargetMode="External"/><Relationship Id="rId30" Type="http://schemas.openxmlformats.org/officeDocument/2006/relationships/hyperlink" Target="https://contas.tcu.gov.br/sagas/SvlVisualizarRelVotoAcRtf?codFiltro=SAGAS-SESSAO-ENCERRADA&amp;seOcultaPagina=S&amp;item0=624793" TargetMode="External"/><Relationship Id="rId35" Type="http://schemas.openxmlformats.org/officeDocument/2006/relationships/hyperlink" Target="http://www1.tce.pr.gov.br/conteudo/pesquisas-prontas/308475/area/249" TargetMode="External"/><Relationship Id="rId43"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FB17C-B2DA-4757-A9AC-1FD541371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12</Pages>
  <Words>4899</Words>
  <Characters>26455</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Hansen Faraj</dc:creator>
  <cp:lastModifiedBy>Tiago Moraes Ribeiro</cp:lastModifiedBy>
  <cp:revision>296</cp:revision>
  <cp:lastPrinted>2017-07-10T20:46:00Z</cp:lastPrinted>
  <dcterms:created xsi:type="dcterms:W3CDTF">2017-07-10T20:45:00Z</dcterms:created>
  <dcterms:modified xsi:type="dcterms:W3CDTF">2018-10-23T17:08:00Z</dcterms:modified>
</cp:coreProperties>
</file>