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C93" w:rsidRDefault="00F26C93" w:rsidP="00816942">
      <w:pPr>
        <w:spacing w:after="0"/>
        <w:rPr>
          <w:rFonts w:ascii="Arial" w:hAnsi="Arial" w:cs="Arial"/>
          <w:color w:val="000000"/>
          <w:sz w:val="20"/>
          <w:szCs w:val="20"/>
        </w:rPr>
      </w:pPr>
      <w:bookmarkStart w:id="0" w:name="_Hlk3544205"/>
    </w:p>
    <w:p w:rsidR="00F26C93" w:rsidRDefault="00F26C93" w:rsidP="00816942">
      <w:pPr>
        <w:spacing w:after="0"/>
        <w:rPr>
          <w:rFonts w:ascii="Arial" w:hAnsi="Arial" w:cs="Arial"/>
          <w:color w:val="000000"/>
          <w:sz w:val="20"/>
          <w:szCs w:val="20"/>
        </w:rPr>
      </w:pPr>
    </w:p>
    <w:p w:rsidR="00F26C93" w:rsidRPr="0022060B" w:rsidRDefault="00F26C93" w:rsidP="00F26C93">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F26C93" w:rsidRDefault="00F26C93" w:rsidP="00F26C93">
      <w:pPr>
        <w:spacing w:after="0"/>
        <w:jc w:val="center"/>
        <w:rPr>
          <w:rFonts w:ascii="Arial" w:hAnsi="Arial" w:cs="Arial"/>
          <w:b/>
          <w:sz w:val="20"/>
          <w:szCs w:val="20"/>
        </w:rPr>
      </w:pPr>
    </w:p>
    <w:p w:rsidR="00F26C93" w:rsidRDefault="00F26C93" w:rsidP="00F26C93">
      <w:pPr>
        <w:spacing w:after="0"/>
        <w:jc w:val="center"/>
        <w:rPr>
          <w:rFonts w:ascii="Arial" w:hAnsi="Arial" w:cs="Arial"/>
          <w:b/>
          <w:sz w:val="20"/>
          <w:szCs w:val="20"/>
        </w:rPr>
      </w:pPr>
      <w:r w:rsidRPr="0022060B">
        <w:rPr>
          <w:rFonts w:ascii="Arial" w:hAnsi="Arial" w:cs="Arial"/>
          <w:b/>
          <w:sz w:val="20"/>
          <w:szCs w:val="20"/>
        </w:rPr>
        <w:t xml:space="preserve">Número </w:t>
      </w:r>
      <w:r>
        <w:rPr>
          <w:rFonts w:ascii="Arial" w:hAnsi="Arial" w:cs="Arial"/>
          <w:b/>
          <w:sz w:val="20"/>
          <w:szCs w:val="20"/>
        </w:rPr>
        <w:t>52</w:t>
      </w:r>
    </w:p>
    <w:p w:rsidR="00F26C93" w:rsidRPr="0022060B" w:rsidRDefault="00F26C93" w:rsidP="00F26C93">
      <w:pPr>
        <w:spacing w:after="0"/>
        <w:jc w:val="center"/>
        <w:rPr>
          <w:rFonts w:ascii="Arial" w:hAnsi="Arial" w:cs="Arial"/>
          <w:b/>
          <w:sz w:val="20"/>
          <w:szCs w:val="20"/>
        </w:rPr>
      </w:pPr>
    </w:p>
    <w:p w:rsidR="00F26C93" w:rsidRPr="0090061C" w:rsidRDefault="00F26C93" w:rsidP="00F26C93">
      <w:pPr>
        <w:spacing w:after="0"/>
        <w:jc w:val="center"/>
        <w:rPr>
          <w:rFonts w:ascii="Arial" w:hAnsi="Arial" w:cs="Arial"/>
          <w:b/>
          <w:sz w:val="20"/>
          <w:szCs w:val="20"/>
        </w:rPr>
      </w:pPr>
      <w:r w:rsidRPr="00A91B4E">
        <w:rPr>
          <w:rFonts w:ascii="Arial" w:hAnsi="Arial" w:cs="Arial"/>
          <w:b/>
          <w:sz w:val="20"/>
          <w:szCs w:val="20"/>
        </w:rPr>
        <w:t>Sessões: 11.02 a 20.02 de 2019</w:t>
      </w:r>
    </w:p>
    <w:p w:rsidR="00F26C93" w:rsidRDefault="00F26C93" w:rsidP="00F26C93">
      <w:pPr>
        <w:spacing w:after="0"/>
        <w:jc w:val="both"/>
        <w:rPr>
          <w:rFonts w:ascii="Arial" w:hAnsi="Arial" w:cs="Arial"/>
          <w:sz w:val="20"/>
          <w:szCs w:val="20"/>
        </w:rPr>
      </w:pPr>
    </w:p>
    <w:p w:rsidR="00F26C93" w:rsidRPr="0022060B" w:rsidRDefault="00F26C93" w:rsidP="00F26C93">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w:t>
      </w:r>
      <w:bookmarkStart w:id="1" w:name="_GoBack"/>
      <w:bookmarkEnd w:id="1"/>
      <w:r w:rsidRPr="0022060B">
        <w:rPr>
          <w:rFonts w:ascii="Arial" w:hAnsi="Arial" w:cs="Arial"/>
          <w:sz w:val="20"/>
          <w:szCs w:val="20"/>
        </w:rPr>
        <w:t>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26C93" w:rsidRPr="0022060B" w:rsidRDefault="00F26C93" w:rsidP="00F26C93">
      <w:pPr>
        <w:spacing w:after="0"/>
        <w:jc w:val="both"/>
        <w:rPr>
          <w:rFonts w:ascii="Arial" w:hAnsi="Arial" w:cs="Arial"/>
          <w:sz w:val="20"/>
          <w:szCs w:val="20"/>
        </w:rPr>
      </w:pPr>
    </w:p>
    <w:p w:rsidR="00F26C93" w:rsidRPr="0022060B" w:rsidRDefault="00F26C93" w:rsidP="00F26C93">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3872" behindDoc="0" locked="0" layoutInCell="1" allowOverlap="1" wp14:anchorId="7F8A85C6" wp14:editId="003AE6CF">
                <wp:simplePos x="0" y="0"/>
                <wp:positionH relativeFrom="margin">
                  <wp:posOffset>-635</wp:posOffset>
                </wp:positionH>
                <wp:positionV relativeFrom="paragraph">
                  <wp:posOffset>29845</wp:posOffset>
                </wp:positionV>
                <wp:extent cx="5397500" cy="0"/>
                <wp:effectExtent l="0" t="0" r="127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27A7A1" id="Conector reto 2"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" strokecolor="black [3200]" strokeweight="2pt">
                <v:shadow on="t" color="black" opacity="24903f" origin=",.5" offset="0,.55556mm"/>
                <w10:wrap anchorx="margin"/>
              </v:line>
            </w:pict>
          </mc:Fallback>
        </mc:AlternateContent>
      </w:r>
    </w:p>
    <w:p w:rsidR="00F26C93" w:rsidRPr="0022060B" w:rsidRDefault="00F26C93" w:rsidP="00F26C93">
      <w:pPr>
        <w:shd w:val="pct10" w:color="auto" w:fill="auto"/>
        <w:spacing w:after="0"/>
        <w:jc w:val="center"/>
        <w:rPr>
          <w:rFonts w:ascii="Arial" w:hAnsi="Arial" w:cs="Arial"/>
          <w:b/>
          <w:sz w:val="20"/>
          <w:szCs w:val="20"/>
        </w:rPr>
      </w:pPr>
      <w:r w:rsidRPr="0022060B">
        <w:rPr>
          <w:rFonts w:ascii="Arial" w:hAnsi="Arial" w:cs="Arial"/>
          <w:b/>
          <w:sz w:val="20"/>
          <w:szCs w:val="20"/>
        </w:rPr>
        <w:t>SUMÁRIO</w:t>
      </w:r>
    </w:p>
    <w:p w:rsidR="00F26C93" w:rsidRDefault="00F26C93" w:rsidP="00F26C93">
      <w:pPr>
        <w:spacing w:after="0"/>
        <w:jc w:val="both"/>
        <w:rPr>
          <w:rStyle w:val="Hyperlink"/>
          <w:rFonts w:ascii="Arial" w:hAnsi="Arial" w:cs="Arial"/>
          <w:b/>
          <w:color w:val="000000" w:themeColor="text1"/>
          <w:sz w:val="20"/>
          <w:szCs w:val="20"/>
          <w:u w:val="none"/>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1. Prestação de contas de transferência. Regularidade com ressalva, em face do não cumprimento das formalidades da Lei 9790/99, bem como pagamentos realizados mediante recibo simples. Recomendação com intuito de adequação de procedimentos. Determinação para melhor definição do objeto do ajuste.</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 xml:space="preserve">2. Revisão de proventos. Ato que concedeu promoção, não alterando a fundamentação do ato que concedeu aposentadoria. Desnecessidade de registro pelo TC, conforme inc. III, do art. 71, da CF. Encerramento. </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3. Prestação de Contas Municipal.  Não credenciamento das instituições para receberem as aplicações e investimentos dos recursos do RPPS. Aplicação de multa administrativa. Recomendação. Regularizar a falta de credenciamento.</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4. Prestação de Contas de Câmara Municipal.  Despesas com publicidade institucional realizadas no primeiro semestre de 2016 em montante superior à média dos gastos no primeiro semestre dos três últimos anos que antecedem o pleito. Regularidade com ressalva.</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5. Prestação de Contas de Câmara Municipal.  Qualificação técnica de responsáveis pelo Controle Interno. Participação em cursos oferecidos pelo TCE – PR. Regularidade com ressalva.</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 xml:space="preserve">6. Admissão de Pessoal. </w:t>
      </w:r>
      <w:r w:rsidR="00933CC9">
        <w:rPr>
          <w:rFonts w:ascii="Arial" w:hAnsi="Arial" w:cs="Arial"/>
          <w:sz w:val="20"/>
          <w:szCs w:val="20"/>
        </w:rPr>
        <w:t>R</w:t>
      </w:r>
      <w:r w:rsidRPr="00A47553">
        <w:rPr>
          <w:rFonts w:ascii="Arial" w:hAnsi="Arial" w:cs="Arial"/>
          <w:sz w:val="20"/>
          <w:szCs w:val="20"/>
        </w:rPr>
        <w:t xml:space="preserve">egistro das admissões e recomendação à municipalidade para que em concursos futuros observe a vedação à participação de gestores e profissionais responsáveis </w:t>
      </w:r>
      <w:r w:rsidRPr="00A47553">
        <w:rPr>
          <w:rFonts w:ascii="Arial" w:hAnsi="Arial" w:cs="Arial"/>
          <w:sz w:val="20"/>
          <w:szCs w:val="20"/>
        </w:rPr>
        <w:lastRenderedPageBreak/>
        <w:t>pela condução administrativa, que possuam até o 3º grau de parentesco com candidatos inscritos.</w:t>
      </w: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 xml:space="preserve">7. Tomada de Contas Extraordinária. Pagamento de diárias irregulares. </w:t>
      </w:r>
      <w:r w:rsidR="00933CC9">
        <w:rPr>
          <w:rFonts w:ascii="Arial" w:hAnsi="Arial" w:cs="Arial"/>
          <w:sz w:val="20"/>
          <w:szCs w:val="20"/>
        </w:rPr>
        <w:t>D</w:t>
      </w:r>
      <w:r w:rsidRPr="00A47553">
        <w:rPr>
          <w:rFonts w:ascii="Arial" w:hAnsi="Arial" w:cs="Arial"/>
          <w:sz w:val="20"/>
          <w:szCs w:val="20"/>
        </w:rPr>
        <w:t xml:space="preserve">evolução de valores </w:t>
      </w:r>
      <w:r>
        <w:rPr>
          <w:rFonts w:ascii="Arial" w:hAnsi="Arial" w:cs="Arial"/>
          <w:sz w:val="20"/>
          <w:szCs w:val="20"/>
        </w:rPr>
        <w:t>e</w:t>
      </w:r>
      <w:r w:rsidRPr="00A47553">
        <w:rPr>
          <w:rFonts w:ascii="Arial" w:hAnsi="Arial" w:cs="Arial"/>
          <w:sz w:val="20"/>
          <w:szCs w:val="20"/>
        </w:rPr>
        <w:t xml:space="preserve"> da aplicação de multa administrativa ao Prefeito e à então Controladora Interna do Município, com determinações.</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8. Representação da Lei 8.666/93. Cabe à Administração realizar diligências a fim de verificar se as propostas aparentemente irrisórias efetuadas em procedimentos licitatórios constituem efetivo risco à execução do contrato. A presunção de inexequibilidade prevista no art. 48, do Estatuto das Licitações não é absoluta. Procedência.</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9. Execução de decisão. É possível a baixa de determinação de restituição de valores quando comprovado que a obra, cuja suposta não realização fundamentou a determinação, foi devidamente realizada. Impossibilidade de revisão da decisão, em razão do trânsito em julgado. Registro de cumprimento da sanção.</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 xml:space="preserve">10. Prestação de contas anual. FUNRESTRAN. Ausência de registro e evidenciação contábil tempestiva dos atos e fatos ocorridos no primeiro trimestre do Exercício de 2017. Não utilização dos recursos arrecadados com a cobrança de multas de trânsito destinados ao FUNRESTRAN para atender às despesas com sinalização, no que tange à parcela direcionada ao DETRAN. </w:t>
      </w:r>
      <w:r w:rsidR="00933CC9">
        <w:rPr>
          <w:rFonts w:ascii="Arial" w:hAnsi="Arial" w:cs="Arial"/>
          <w:sz w:val="20"/>
          <w:szCs w:val="20"/>
        </w:rPr>
        <w:t>R</w:t>
      </w:r>
      <w:r w:rsidRPr="00A47553">
        <w:rPr>
          <w:rFonts w:ascii="Arial" w:hAnsi="Arial" w:cs="Arial"/>
          <w:sz w:val="20"/>
          <w:szCs w:val="20"/>
        </w:rPr>
        <w:t>egularidade com ressalva e aplicação de multas administrativas.</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 xml:space="preserve">11. Comunicação de irregularidade. Concessão e pagamento de gratificação pelo regime de Tempo Integral e Dedicação Exclusiva (TIDE) a servidores da carreira Técnica Universitária sem amparo legal. Pedido cautelar de suspensão de pagamentos e abstenção de novas concessões. Presença da verossimilhança do direito alegado, mas ausente requisito da urgência, em virtude da discussão da mesma matéria em outros expedientes pendentes de decisão de mérito. Critério de fiscalização de políticas públicas deve levar em conta a isonomia. Dano agregado, após a apreciação da liminar seria inexpressivo, frente àquele já caracterizado desde o início do pagamento das verbas tidas como irregulares. Não acolhimento. </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12. Pedido de rescisão. Análise de liminar. Documentos apresentados formam prova inequívoca do direito. Impossibilidade de celebração de transferências voluntárias, colocando em risco as atividades da APAE, configura perigo de dano de difícil reparação. Deferimento.</w:t>
      </w:r>
    </w:p>
    <w:p w:rsidR="00F26C93" w:rsidRDefault="00F26C93" w:rsidP="00F26C93">
      <w:pPr>
        <w:autoSpaceDE w:val="0"/>
        <w:autoSpaceDN w:val="0"/>
        <w:adjustRightInd w:val="0"/>
        <w:spacing w:after="0"/>
        <w:jc w:val="both"/>
        <w:rPr>
          <w:rFonts w:ascii="Arial" w:hAnsi="Arial" w:cs="Arial"/>
          <w:sz w:val="20"/>
          <w:szCs w:val="20"/>
        </w:rPr>
      </w:pPr>
    </w:p>
    <w:p w:rsidR="00F26C93" w:rsidRPr="00A47553" w:rsidRDefault="00F26C93" w:rsidP="00F26C93">
      <w:pPr>
        <w:autoSpaceDE w:val="0"/>
        <w:autoSpaceDN w:val="0"/>
        <w:adjustRightInd w:val="0"/>
        <w:spacing w:after="0"/>
        <w:jc w:val="both"/>
        <w:rPr>
          <w:rFonts w:ascii="Arial" w:hAnsi="Arial" w:cs="Arial"/>
          <w:sz w:val="20"/>
          <w:szCs w:val="20"/>
        </w:rPr>
      </w:pPr>
      <w:r w:rsidRPr="00A47553">
        <w:rPr>
          <w:rFonts w:ascii="Arial" w:hAnsi="Arial" w:cs="Arial"/>
          <w:sz w:val="20"/>
          <w:szCs w:val="20"/>
        </w:rPr>
        <w:t>13. Representação da Lei nº 8.666/93. Aquisição de medicamentos. Falhas na descrição do objeto licitado. Possibilidade de melhorias na formação do preço máximo dos itens licitados e na demonstração da metodologia utilizada para a formação dos preços máximos. Falhas no atendimento do dever de transparência. Necessidade de melhoria nos mecanismos de controle interno municipal. Conhecimento e parcial procedência.</w:t>
      </w:r>
    </w:p>
    <w:p w:rsidR="00F26C93" w:rsidRDefault="00F26C93" w:rsidP="00F26C93">
      <w:pPr>
        <w:spacing w:after="0"/>
        <w:jc w:val="both"/>
        <w:rPr>
          <w:rStyle w:val="Hyperlink"/>
          <w:rFonts w:ascii="Arial" w:hAnsi="Arial" w:cs="Arial"/>
          <w:b/>
          <w:color w:val="000000" w:themeColor="text1"/>
          <w:sz w:val="20"/>
          <w:szCs w:val="20"/>
          <w:u w:val="none"/>
        </w:rPr>
      </w:pPr>
    </w:p>
    <w:p w:rsidR="00F26C93" w:rsidRDefault="00F26C93" w:rsidP="00F26C93">
      <w:pPr>
        <w:spacing w:after="0"/>
        <w:jc w:val="both"/>
        <w:rPr>
          <w:rStyle w:val="Hyperlink"/>
          <w:rFonts w:ascii="Arial" w:hAnsi="Arial" w:cs="Arial"/>
          <w:b/>
          <w:color w:val="000000" w:themeColor="text1"/>
          <w:sz w:val="20"/>
          <w:szCs w:val="20"/>
          <w:u w:val="none"/>
        </w:rPr>
      </w:pPr>
    </w:p>
    <w:p w:rsidR="00F26C93" w:rsidRDefault="00F26C93" w:rsidP="00F26C93">
      <w:pPr>
        <w:spacing w:after="0"/>
        <w:jc w:val="both"/>
        <w:rPr>
          <w:rStyle w:val="Hyperlink"/>
          <w:rFonts w:ascii="Arial" w:hAnsi="Arial" w:cs="Arial"/>
          <w:b/>
          <w:color w:val="000000" w:themeColor="text1"/>
          <w:sz w:val="20"/>
          <w:szCs w:val="20"/>
          <w:u w:val="none"/>
        </w:rPr>
      </w:pPr>
    </w:p>
    <w:p w:rsidR="00F26C93" w:rsidRPr="0022060B" w:rsidRDefault="00F26C93" w:rsidP="00F26C93">
      <w:pPr>
        <w:spacing w:after="0"/>
        <w:jc w:val="both"/>
        <w:rPr>
          <w:rStyle w:val="Hyperlink"/>
          <w:rFonts w:ascii="Arial" w:hAnsi="Arial" w:cs="Arial"/>
          <w:b/>
          <w:color w:val="000000" w:themeColor="text1"/>
          <w:sz w:val="20"/>
          <w:szCs w:val="20"/>
          <w:u w:val="none"/>
        </w:rPr>
      </w:pPr>
    </w:p>
    <w:p w:rsidR="00F26C93" w:rsidRPr="0022060B" w:rsidRDefault="00F26C93" w:rsidP="00F26C93">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F26C93" w:rsidRPr="00713924" w:rsidRDefault="00F26C93" w:rsidP="00F26C93">
      <w:pPr>
        <w:autoSpaceDE w:val="0"/>
        <w:autoSpaceDN w:val="0"/>
        <w:adjustRightInd w:val="0"/>
        <w:spacing w:after="0"/>
        <w:jc w:val="both"/>
        <w:rPr>
          <w:rFonts w:ascii="Arial" w:hAnsi="Arial" w:cs="Arial"/>
          <w:b/>
          <w:sz w:val="20"/>
          <w:szCs w:val="20"/>
        </w:rPr>
      </w:pPr>
    </w:p>
    <w:p w:rsidR="00F26C93" w:rsidRDefault="00F26C93" w:rsidP="00F26C93">
      <w:pPr>
        <w:pStyle w:val="Default"/>
        <w:spacing w:after="200" w:line="276" w:lineRule="auto"/>
        <w:jc w:val="both"/>
        <w:rPr>
          <w:b/>
          <w:sz w:val="20"/>
          <w:szCs w:val="20"/>
        </w:rPr>
      </w:pPr>
      <w:r>
        <w:rPr>
          <w:b/>
          <w:sz w:val="20"/>
          <w:szCs w:val="20"/>
        </w:rPr>
        <w:t>1</w:t>
      </w:r>
      <w:r w:rsidRPr="00AC6A4A">
        <w:rPr>
          <w:b/>
          <w:sz w:val="20"/>
          <w:szCs w:val="20"/>
        </w:rPr>
        <w:t>.</w:t>
      </w:r>
      <w:r>
        <w:rPr>
          <w:b/>
          <w:sz w:val="20"/>
          <w:szCs w:val="20"/>
        </w:rPr>
        <w:t xml:space="preserve"> </w:t>
      </w:r>
      <w:r w:rsidRPr="00A37255">
        <w:rPr>
          <w:b/>
          <w:sz w:val="20"/>
          <w:szCs w:val="20"/>
        </w:rPr>
        <w:t>Prestação de contas de transferência. Regularidade com ressalva, em face do não cumprimento das formalidades da Lei 9790/99, bem como pagamentos realizados mediante recibo simples. Recomendação com intuito de adequação de procedimentos. Determinação para melhor definição do objeto do ajuste</w:t>
      </w:r>
      <w:r>
        <w:rPr>
          <w:b/>
          <w:sz w:val="20"/>
          <w:szCs w:val="20"/>
        </w:rPr>
        <w:t>.</w:t>
      </w:r>
    </w:p>
    <w:p w:rsidR="00F26C93" w:rsidRDefault="00F26C93" w:rsidP="00F26C93">
      <w:pPr>
        <w:autoSpaceDE w:val="0"/>
        <w:autoSpaceDN w:val="0"/>
        <w:adjustRightInd w:val="0"/>
        <w:spacing w:after="0"/>
        <w:jc w:val="both"/>
        <w:rPr>
          <w:rFonts w:ascii="Arial" w:hAnsi="Arial" w:cs="Arial"/>
          <w:sz w:val="20"/>
          <w:szCs w:val="20"/>
        </w:rPr>
      </w:pPr>
      <w:r w:rsidRPr="00B357DC">
        <w:rPr>
          <w:rFonts w:ascii="Arial" w:hAnsi="Arial" w:cs="Arial"/>
          <w:sz w:val="20"/>
          <w:szCs w:val="20"/>
        </w:rPr>
        <w:t>Analisando o feito, verifica-se que as impropriedades detectadas, derivaram da não observância de formalidades da Lei nº 9790/99, no sentido de ter sido usado o termo de convênio e não o termo de parceria para a formalização do vínculo entre o Concedente e o Tomador dos recursos e despesas realizadas e comprovadas por meio de recibos simples.</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FE28E8">
        <w:rPr>
          <w:rFonts w:ascii="Arial" w:hAnsi="Arial" w:cs="Arial"/>
          <w:sz w:val="20"/>
          <w:szCs w:val="20"/>
        </w:rPr>
        <w:t xml:space="preserve">Nesse sentido, vale lembrar que esta Corte vem convertendo em ressalva falhas dessa natureza, desde que não restem evidenciados prejuízos à execução do objeto e/ou indícios de </w:t>
      </w:r>
      <w:proofErr w:type="spellStart"/>
      <w:r w:rsidRPr="00FE28E8">
        <w:rPr>
          <w:rFonts w:ascii="Arial" w:hAnsi="Arial" w:cs="Arial"/>
          <w:sz w:val="20"/>
          <w:szCs w:val="20"/>
        </w:rPr>
        <w:t>dano</w:t>
      </w:r>
      <w:proofErr w:type="spellEnd"/>
      <w:r w:rsidRPr="00FE28E8">
        <w:rPr>
          <w:rFonts w:ascii="Arial" w:hAnsi="Arial" w:cs="Arial"/>
          <w:sz w:val="20"/>
          <w:szCs w:val="20"/>
        </w:rPr>
        <w:t xml:space="preserve"> ao erário, com o atingimento dos objetivos propostos na avença, como se mostra no caso presente.</w:t>
      </w:r>
    </w:p>
    <w:p w:rsidR="00F26C93" w:rsidRDefault="00F26C93" w:rsidP="00F26C93">
      <w:pPr>
        <w:autoSpaceDE w:val="0"/>
        <w:autoSpaceDN w:val="0"/>
        <w:adjustRightInd w:val="0"/>
        <w:spacing w:after="0"/>
        <w:jc w:val="both"/>
        <w:rPr>
          <w:rFonts w:ascii="Arial" w:hAnsi="Arial" w:cs="Arial"/>
          <w:sz w:val="20"/>
          <w:szCs w:val="20"/>
        </w:rPr>
      </w:pPr>
    </w:p>
    <w:p w:rsidR="00F26C93" w:rsidRPr="00171375" w:rsidRDefault="00F26C93" w:rsidP="00F26C93">
      <w:pPr>
        <w:autoSpaceDE w:val="0"/>
        <w:autoSpaceDN w:val="0"/>
        <w:adjustRightInd w:val="0"/>
        <w:spacing w:after="0"/>
        <w:jc w:val="both"/>
        <w:rPr>
          <w:rFonts w:ascii="Arial" w:hAnsi="Arial" w:cs="Arial"/>
          <w:sz w:val="20"/>
          <w:szCs w:val="20"/>
        </w:rPr>
      </w:pPr>
      <w:r w:rsidRPr="00171375">
        <w:rPr>
          <w:rFonts w:ascii="Arial" w:hAnsi="Arial" w:cs="Arial"/>
          <w:sz w:val="20"/>
          <w:szCs w:val="20"/>
        </w:rPr>
        <w:t xml:space="preserve">No tocante </w:t>
      </w:r>
      <w:proofErr w:type="gramStart"/>
      <w:r w:rsidRPr="00171375">
        <w:rPr>
          <w:rFonts w:ascii="Arial" w:hAnsi="Arial" w:cs="Arial"/>
          <w:sz w:val="20"/>
          <w:szCs w:val="20"/>
        </w:rPr>
        <w:t>aos pagamentos mediante</w:t>
      </w:r>
      <w:proofErr w:type="gramEnd"/>
      <w:r w:rsidRPr="00171375">
        <w:rPr>
          <w:rFonts w:ascii="Arial" w:hAnsi="Arial" w:cs="Arial"/>
          <w:sz w:val="20"/>
          <w:szCs w:val="20"/>
        </w:rPr>
        <w:t xml:space="preserve"> Recibo Simples, é pacífica a jurisprudência em relação a ressalvar a impropriedade consignada na sigla PRS (pagamento por recibo simples), quando demonstrada a inexistência de indícios de </w:t>
      </w:r>
      <w:proofErr w:type="spellStart"/>
      <w:r w:rsidRPr="00171375">
        <w:rPr>
          <w:rFonts w:ascii="Arial" w:hAnsi="Arial" w:cs="Arial"/>
          <w:sz w:val="20"/>
          <w:szCs w:val="20"/>
        </w:rPr>
        <w:t>dano</w:t>
      </w:r>
      <w:proofErr w:type="spellEnd"/>
      <w:r w:rsidRPr="00171375">
        <w:rPr>
          <w:rFonts w:ascii="Arial" w:hAnsi="Arial" w:cs="Arial"/>
          <w:sz w:val="20"/>
          <w:szCs w:val="20"/>
        </w:rPr>
        <w:t xml:space="preserve"> ao erário ou à execução do objeto e tendo a finalidade da parceria sido plenamente atendida.</w:t>
      </w:r>
    </w:p>
    <w:p w:rsidR="00F26C93" w:rsidRPr="00171375" w:rsidRDefault="00F26C93" w:rsidP="00F26C93">
      <w:pPr>
        <w:autoSpaceDE w:val="0"/>
        <w:autoSpaceDN w:val="0"/>
        <w:adjustRightInd w:val="0"/>
        <w:spacing w:after="0"/>
        <w:jc w:val="both"/>
        <w:rPr>
          <w:rFonts w:ascii="Arial" w:hAnsi="Arial" w:cs="Arial"/>
          <w:sz w:val="20"/>
          <w:szCs w:val="20"/>
        </w:rPr>
      </w:pPr>
    </w:p>
    <w:p w:rsidR="00F26C93" w:rsidRPr="00713924" w:rsidRDefault="00F26C93" w:rsidP="00F26C93">
      <w:pPr>
        <w:autoSpaceDE w:val="0"/>
        <w:autoSpaceDN w:val="0"/>
        <w:adjustRightInd w:val="0"/>
        <w:spacing w:after="0"/>
        <w:jc w:val="both"/>
        <w:rPr>
          <w:rFonts w:ascii="Arial" w:hAnsi="Arial" w:cs="Arial"/>
          <w:sz w:val="20"/>
          <w:szCs w:val="20"/>
        </w:rPr>
      </w:pPr>
      <w:r w:rsidRPr="00171375">
        <w:rPr>
          <w:rFonts w:ascii="Arial" w:hAnsi="Arial" w:cs="Arial"/>
          <w:sz w:val="20"/>
          <w:szCs w:val="20"/>
        </w:rPr>
        <w:t xml:space="preserve">Propõe-se a emissão de determinação para que, em transferências voluntárias futuras, a Municipalidade defina com maior clareza o objeto do ajuste, fixando metas específicas, de modo a possibilitar a melhor avaliação de resultados e evitando o repasse de recursos para simples custeio de entidades. </w:t>
      </w:r>
    </w:p>
    <w:p w:rsidR="00F26C93" w:rsidRPr="0017798B"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autoSpaceDE w:val="0"/>
        <w:autoSpaceDN w:val="0"/>
        <w:adjustRightInd w:val="0"/>
        <w:spacing w:after="0" w:line="240" w:lineRule="auto"/>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102567/13</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8" w:history="1">
        <w:r w:rsidRPr="0035679C">
          <w:rPr>
            <w:rStyle w:val="Hyperlink"/>
            <w:rFonts w:ascii="Arial" w:hAnsi="Arial" w:cs="Arial"/>
            <w:sz w:val="20"/>
            <w:szCs w:val="20"/>
          </w:rPr>
          <w:t xml:space="preserve">Acórdão nº </w:t>
        </w:r>
        <w:r>
          <w:rPr>
            <w:rStyle w:val="Hyperlink"/>
            <w:rFonts w:ascii="Arial" w:hAnsi="Arial" w:cs="Arial"/>
            <w:sz w:val="20"/>
            <w:szCs w:val="20"/>
          </w:rPr>
          <w:t>248</w:t>
        </w:r>
        <w:r w:rsidRPr="0035679C">
          <w:rPr>
            <w:rStyle w:val="Hyperlink"/>
            <w:rFonts w:ascii="Arial" w:hAnsi="Arial" w:cs="Arial"/>
            <w:sz w:val="20"/>
            <w:szCs w:val="20"/>
          </w:rPr>
          <w:t>/</w:t>
        </w:r>
        <w:r>
          <w:rPr>
            <w:rStyle w:val="Hyperlink"/>
            <w:rFonts w:ascii="Arial" w:hAnsi="Arial" w:cs="Arial"/>
            <w:sz w:val="20"/>
            <w:szCs w:val="20"/>
          </w:rPr>
          <w:t>19</w:t>
        </w:r>
        <w:r w:rsidRPr="0035679C">
          <w:rPr>
            <w:rStyle w:val="Hyperlink"/>
            <w:rFonts w:ascii="Arial" w:hAnsi="Arial" w:cs="Arial"/>
            <w:sz w:val="20"/>
            <w:szCs w:val="20"/>
          </w:rPr>
          <w:t xml:space="preserve"> – </w:t>
        </w:r>
        <w:r>
          <w:rPr>
            <w:rStyle w:val="Hyperlink"/>
            <w:rFonts w:ascii="Arial" w:hAnsi="Arial" w:cs="Arial"/>
            <w:sz w:val="20"/>
            <w:szCs w:val="20"/>
          </w:rPr>
          <w:t xml:space="preserve">Primeira </w:t>
        </w:r>
        <w:r w:rsidRPr="0035679C">
          <w:rPr>
            <w:rStyle w:val="Hyperlink"/>
            <w:rFonts w:ascii="Arial" w:hAnsi="Arial" w:cs="Arial"/>
            <w:sz w:val="20"/>
            <w:szCs w:val="20"/>
          </w:rPr>
          <w:t>Câmara</w:t>
        </w:r>
      </w:hyperlink>
      <w:r w:rsidRPr="00E532A0">
        <w:rPr>
          <w:rFonts w:ascii="Arial" w:hAnsi="Arial" w:cs="Arial"/>
          <w:sz w:val="20"/>
          <w:szCs w:val="20"/>
        </w:rPr>
        <w:t xml:space="preserve"> - Relator </w:t>
      </w:r>
      <w:r>
        <w:rPr>
          <w:rFonts w:ascii="Arial" w:hAnsi="Arial" w:cs="Arial"/>
          <w:sz w:val="20"/>
          <w:szCs w:val="20"/>
        </w:rPr>
        <w:t>Conselheiro Fernando Augusto Mello Guimarães</w:t>
      </w:r>
      <w:r w:rsidRPr="00E532A0">
        <w:rPr>
          <w:rFonts w:ascii="Arial" w:hAnsi="Arial" w:cs="Arial"/>
          <w:sz w:val="20"/>
          <w:szCs w:val="20"/>
        </w:rPr>
        <w:t>.</w:t>
      </w:r>
    </w:p>
    <w:p w:rsidR="00F26C93" w:rsidRDefault="00F26C93" w:rsidP="00F26C93">
      <w:pPr>
        <w:autoSpaceDE w:val="0"/>
        <w:autoSpaceDN w:val="0"/>
        <w:adjustRightInd w:val="0"/>
        <w:spacing w:after="0" w:line="240" w:lineRule="auto"/>
        <w:rPr>
          <w:rFonts w:ascii="Arial" w:hAnsi="Arial" w:cs="Arial"/>
          <w:sz w:val="20"/>
          <w:szCs w:val="20"/>
        </w:rPr>
      </w:pPr>
    </w:p>
    <w:p w:rsidR="00F26C93" w:rsidRDefault="00F26C93" w:rsidP="00F26C93">
      <w:pPr>
        <w:pStyle w:val="Default"/>
        <w:spacing w:after="200" w:line="276" w:lineRule="auto"/>
        <w:jc w:val="both"/>
        <w:rPr>
          <w:b/>
          <w:sz w:val="20"/>
          <w:szCs w:val="20"/>
        </w:rPr>
      </w:pPr>
      <w:r w:rsidRPr="004C456E">
        <w:rPr>
          <w:b/>
          <w:sz w:val="20"/>
          <w:szCs w:val="20"/>
        </w:rPr>
        <w:t xml:space="preserve">2. </w:t>
      </w:r>
      <w:r w:rsidRPr="005234B5">
        <w:rPr>
          <w:b/>
          <w:sz w:val="20"/>
          <w:szCs w:val="20"/>
        </w:rPr>
        <w:t>Revisão de proventos. Ato que concedeu promoção, não alterando a fundamentação do ato que concedeu aposentadoria. Desnecessidade de registro pelo TC, conforme inc. III, do art. 71, da CF.</w:t>
      </w:r>
      <w:r>
        <w:rPr>
          <w:b/>
          <w:sz w:val="20"/>
          <w:szCs w:val="20"/>
        </w:rPr>
        <w:t xml:space="preserve"> </w:t>
      </w:r>
      <w:r w:rsidRPr="00713924">
        <w:rPr>
          <w:b/>
          <w:sz w:val="20"/>
          <w:szCs w:val="20"/>
        </w:rPr>
        <w:t>Encerramento.</w:t>
      </w:r>
      <w:r w:rsidRPr="005234B5">
        <w:rPr>
          <w:b/>
          <w:sz w:val="20"/>
          <w:szCs w:val="20"/>
        </w:rPr>
        <w:t xml:space="preserve"> </w:t>
      </w:r>
    </w:p>
    <w:p w:rsidR="00F26C93" w:rsidRPr="00B16AA0" w:rsidRDefault="00F26C93" w:rsidP="00F26C93">
      <w:pPr>
        <w:autoSpaceDE w:val="0"/>
        <w:autoSpaceDN w:val="0"/>
        <w:adjustRightInd w:val="0"/>
        <w:spacing w:after="0"/>
        <w:jc w:val="both"/>
        <w:rPr>
          <w:rFonts w:ascii="Arial" w:hAnsi="Arial" w:cs="Arial"/>
          <w:sz w:val="20"/>
          <w:szCs w:val="20"/>
        </w:rPr>
      </w:pPr>
      <w:r w:rsidRPr="00B16AA0">
        <w:rPr>
          <w:rFonts w:ascii="Arial" w:hAnsi="Arial" w:cs="Arial"/>
          <w:sz w:val="20"/>
          <w:szCs w:val="20"/>
        </w:rPr>
        <w:t xml:space="preserve">A </w:t>
      </w:r>
      <w:proofErr w:type="spellStart"/>
      <w:r w:rsidRPr="00B16AA0">
        <w:rPr>
          <w:rFonts w:ascii="Arial" w:hAnsi="Arial" w:cs="Arial"/>
          <w:sz w:val="20"/>
          <w:szCs w:val="20"/>
        </w:rPr>
        <w:t>Paran</w:t>
      </w:r>
      <w:r>
        <w:rPr>
          <w:rFonts w:ascii="Arial" w:hAnsi="Arial" w:cs="Arial"/>
          <w:sz w:val="20"/>
          <w:szCs w:val="20"/>
        </w:rPr>
        <w:t>a</w:t>
      </w:r>
      <w:r w:rsidRPr="00B16AA0">
        <w:rPr>
          <w:rFonts w:ascii="Arial" w:hAnsi="Arial" w:cs="Arial"/>
          <w:sz w:val="20"/>
          <w:szCs w:val="20"/>
        </w:rPr>
        <w:t>previdência</w:t>
      </w:r>
      <w:proofErr w:type="spellEnd"/>
      <w:r w:rsidRPr="00B16AA0">
        <w:rPr>
          <w:rFonts w:ascii="Arial" w:hAnsi="Arial" w:cs="Arial"/>
          <w:sz w:val="20"/>
          <w:szCs w:val="20"/>
        </w:rPr>
        <w:t xml:space="preserve"> encaminhou para registro a Resolução Conjunta SEAP/SEED 319/2017, por meio da qual foi concedida promoção à Agente Educacional aposentada, consoante dispositivos da LC/PR 123/08.</w:t>
      </w:r>
    </w:p>
    <w:p w:rsidR="00F26C93" w:rsidRPr="00B16AA0" w:rsidRDefault="00F26C93" w:rsidP="00F26C93">
      <w:pPr>
        <w:autoSpaceDE w:val="0"/>
        <w:autoSpaceDN w:val="0"/>
        <w:adjustRightInd w:val="0"/>
        <w:spacing w:after="0"/>
        <w:jc w:val="both"/>
        <w:rPr>
          <w:rFonts w:ascii="Arial" w:hAnsi="Arial" w:cs="Arial"/>
          <w:sz w:val="20"/>
          <w:szCs w:val="20"/>
        </w:rPr>
      </w:pPr>
    </w:p>
    <w:p w:rsidR="00F26C93" w:rsidRPr="00B16AA0" w:rsidRDefault="00F26C93" w:rsidP="00F26C93">
      <w:pPr>
        <w:autoSpaceDE w:val="0"/>
        <w:autoSpaceDN w:val="0"/>
        <w:adjustRightInd w:val="0"/>
        <w:spacing w:after="0"/>
        <w:jc w:val="both"/>
        <w:rPr>
          <w:rFonts w:ascii="Arial" w:hAnsi="Arial" w:cs="Arial"/>
          <w:sz w:val="20"/>
          <w:szCs w:val="20"/>
        </w:rPr>
      </w:pPr>
      <w:r w:rsidRPr="00B16AA0">
        <w:rPr>
          <w:rFonts w:ascii="Arial" w:hAnsi="Arial" w:cs="Arial"/>
          <w:sz w:val="20"/>
          <w:szCs w:val="20"/>
        </w:rPr>
        <w:t>O Órgão Previdenciário atravessou manifestação aduzindo que a formalização do expediente não era devida, uma vez que não ocorreu alteração da fundamentação do ato de concessão de aposentadoria.</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Pr="00B16AA0" w:rsidRDefault="00F26C93" w:rsidP="00F26C93">
      <w:pPr>
        <w:autoSpaceDE w:val="0"/>
        <w:autoSpaceDN w:val="0"/>
        <w:adjustRightInd w:val="0"/>
        <w:spacing w:after="0"/>
        <w:jc w:val="both"/>
        <w:rPr>
          <w:rFonts w:ascii="Arial" w:hAnsi="Arial" w:cs="Arial"/>
          <w:sz w:val="20"/>
          <w:szCs w:val="20"/>
        </w:rPr>
      </w:pPr>
      <w:r w:rsidRPr="00B16AA0">
        <w:rPr>
          <w:rFonts w:ascii="Arial" w:hAnsi="Arial" w:cs="Arial"/>
          <w:sz w:val="20"/>
          <w:szCs w:val="20"/>
        </w:rPr>
        <w:lastRenderedPageBreak/>
        <w:t>Conforme previsão do inc. III, do art. 71, da Carta Magna, compete a esta Corte “apreciar, para fins de registro, a legalidade dos atos de (...) aposentadorias, reformas e pensões, ressalvadas as melhorias posteriores que não alterem o fundamento legal do ato concessório”.</w:t>
      </w:r>
    </w:p>
    <w:p w:rsidR="00F26C93" w:rsidRPr="00B16AA0"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B16AA0">
        <w:rPr>
          <w:rFonts w:ascii="Arial" w:hAnsi="Arial" w:cs="Arial"/>
          <w:sz w:val="20"/>
          <w:szCs w:val="20"/>
        </w:rPr>
        <w:t>Desta feita, a concessão de promoção, como ocorre com a Resolução Conjunta SEAP/SEED 319/2017, foge ao escopo de atuação do TCE/PR.</w:t>
      </w:r>
    </w:p>
    <w:p w:rsidR="00F26C93" w:rsidRDefault="00F26C93" w:rsidP="00F26C93">
      <w:pPr>
        <w:autoSpaceDE w:val="0"/>
        <w:autoSpaceDN w:val="0"/>
        <w:adjustRightInd w:val="0"/>
        <w:spacing w:after="0"/>
        <w:jc w:val="both"/>
        <w:rPr>
          <w:rFonts w:ascii="Arial" w:hAnsi="Arial" w:cs="Arial"/>
          <w:sz w:val="20"/>
          <w:szCs w:val="20"/>
          <w:highlight w:val="yellow"/>
        </w:rPr>
      </w:pPr>
    </w:p>
    <w:p w:rsidR="00F26C93" w:rsidRPr="00E532A0" w:rsidRDefault="00F26C93" w:rsidP="00F26C93">
      <w:pPr>
        <w:autoSpaceDE w:val="0"/>
        <w:autoSpaceDN w:val="0"/>
        <w:adjustRightInd w:val="0"/>
        <w:spacing w:after="0" w:line="240" w:lineRule="auto"/>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416748/18</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9" w:history="1">
        <w:r w:rsidRPr="0035679C">
          <w:rPr>
            <w:rStyle w:val="Hyperlink"/>
            <w:rFonts w:ascii="Arial" w:hAnsi="Arial" w:cs="Arial"/>
            <w:sz w:val="20"/>
            <w:szCs w:val="20"/>
          </w:rPr>
          <w:t xml:space="preserve">Acórdão nº </w:t>
        </w:r>
        <w:r>
          <w:rPr>
            <w:rStyle w:val="Hyperlink"/>
            <w:rFonts w:ascii="Arial" w:hAnsi="Arial" w:cs="Arial"/>
            <w:sz w:val="20"/>
            <w:szCs w:val="20"/>
          </w:rPr>
          <w:t>252</w:t>
        </w:r>
        <w:r w:rsidRPr="0035679C">
          <w:rPr>
            <w:rStyle w:val="Hyperlink"/>
            <w:rFonts w:ascii="Arial" w:hAnsi="Arial" w:cs="Arial"/>
            <w:sz w:val="20"/>
            <w:szCs w:val="20"/>
          </w:rPr>
          <w:t>/1</w:t>
        </w:r>
        <w:r>
          <w:rPr>
            <w:rStyle w:val="Hyperlink"/>
            <w:rFonts w:ascii="Arial" w:hAnsi="Arial" w:cs="Arial"/>
            <w:sz w:val="20"/>
            <w:szCs w:val="20"/>
          </w:rPr>
          <w:t>9</w:t>
        </w:r>
        <w:r w:rsidRPr="0035679C">
          <w:rPr>
            <w:rStyle w:val="Hyperlink"/>
            <w:rFonts w:ascii="Arial" w:hAnsi="Arial" w:cs="Arial"/>
            <w:sz w:val="20"/>
            <w:szCs w:val="20"/>
          </w:rPr>
          <w:t xml:space="preserve"> – </w:t>
        </w:r>
        <w:r>
          <w:rPr>
            <w:rStyle w:val="Hyperlink"/>
            <w:rFonts w:ascii="Arial" w:hAnsi="Arial" w:cs="Arial"/>
            <w:sz w:val="20"/>
            <w:szCs w:val="20"/>
          </w:rPr>
          <w:t>Primeira</w:t>
        </w:r>
        <w:r w:rsidRPr="0035679C">
          <w:rPr>
            <w:rStyle w:val="Hyperlink"/>
            <w:rFonts w:ascii="Arial" w:hAnsi="Arial" w:cs="Arial"/>
            <w:sz w:val="20"/>
            <w:szCs w:val="20"/>
          </w:rPr>
          <w:t xml:space="preserve"> Câmara</w:t>
        </w:r>
      </w:hyperlink>
      <w:r w:rsidRPr="00E532A0">
        <w:rPr>
          <w:rFonts w:ascii="Arial" w:hAnsi="Arial" w:cs="Arial"/>
          <w:sz w:val="20"/>
          <w:szCs w:val="20"/>
        </w:rPr>
        <w:t xml:space="preserve"> - Relator </w:t>
      </w:r>
      <w:r>
        <w:rPr>
          <w:rFonts w:ascii="Arial" w:hAnsi="Arial" w:cs="Arial"/>
          <w:sz w:val="20"/>
          <w:szCs w:val="20"/>
        </w:rPr>
        <w:t>Conselheiro Fernando Augusto Mello Guimarães</w:t>
      </w:r>
      <w:r w:rsidRPr="00E532A0">
        <w:rPr>
          <w:rFonts w:ascii="Arial" w:hAnsi="Arial" w:cs="Arial"/>
          <w:sz w:val="20"/>
          <w:szCs w:val="20"/>
        </w:rPr>
        <w:t>.</w:t>
      </w:r>
    </w:p>
    <w:p w:rsidR="00F26C93" w:rsidRPr="0022060B" w:rsidRDefault="00F26C93" w:rsidP="00F26C93">
      <w:pPr>
        <w:autoSpaceDE w:val="0"/>
        <w:autoSpaceDN w:val="0"/>
        <w:adjustRightInd w:val="0"/>
        <w:spacing w:after="0"/>
        <w:jc w:val="both"/>
        <w:rPr>
          <w:rFonts w:ascii="Arial" w:hAnsi="Arial" w:cs="Arial"/>
          <w:sz w:val="20"/>
          <w:szCs w:val="20"/>
        </w:rPr>
      </w:pPr>
    </w:p>
    <w:p w:rsidR="00F26C93" w:rsidRPr="0022060B" w:rsidRDefault="00F26C93" w:rsidP="00F26C93">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F26C93" w:rsidRDefault="00F26C93" w:rsidP="00F26C93">
      <w:pPr>
        <w:autoSpaceDE w:val="0"/>
        <w:autoSpaceDN w:val="0"/>
        <w:adjustRightInd w:val="0"/>
        <w:spacing w:after="0"/>
        <w:rPr>
          <w:rFonts w:ascii="Arial" w:hAnsi="Arial" w:cs="Arial"/>
          <w:sz w:val="20"/>
          <w:szCs w:val="20"/>
        </w:rPr>
      </w:pPr>
    </w:p>
    <w:p w:rsidR="00F26C93" w:rsidRPr="008E338A" w:rsidRDefault="00F26C93" w:rsidP="00F26C93">
      <w:pPr>
        <w:pStyle w:val="Default"/>
        <w:spacing w:after="200" w:line="276" w:lineRule="auto"/>
        <w:jc w:val="both"/>
        <w:rPr>
          <w:b/>
          <w:sz w:val="20"/>
          <w:szCs w:val="20"/>
        </w:rPr>
      </w:pPr>
      <w:r>
        <w:rPr>
          <w:b/>
          <w:sz w:val="20"/>
          <w:szCs w:val="20"/>
        </w:rPr>
        <w:t>3</w:t>
      </w:r>
      <w:r w:rsidRPr="00F77EE9">
        <w:rPr>
          <w:b/>
          <w:sz w:val="20"/>
          <w:szCs w:val="20"/>
        </w:rPr>
        <w:t xml:space="preserve">. </w:t>
      </w:r>
      <w:r>
        <w:rPr>
          <w:b/>
          <w:sz w:val="20"/>
          <w:szCs w:val="20"/>
        </w:rPr>
        <w:t xml:space="preserve">Prestação de Contas Municipal.  </w:t>
      </w:r>
      <w:r w:rsidRPr="008E338A">
        <w:rPr>
          <w:b/>
          <w:sz w:val="20"/>
          <w:szCs w:val="20"/>
        </w:rPr>
        <w:t>Não credenciamento das instituições para receberem as aplicações e investimentos dos recursos do RPPS. Aplicação de multa administrativa. Recomendação. Regularizar a falta de credenciamento.</w:t>
      </w:r>
    </w:p>
    <w:p w:rsidR="00F26C93" w:rsidRPr="003F6A0F" w:rsidRDefault="00F26C93" w:rsidP="00F26C93">
      <w:pPr>
        <w:autoSpaceDE w:val="0"/>
        <w:autoSpaceDN w:val="0"/>
        <w:adjustRightInd w:val="0"/>
        <w:spacing w:after="0"/>
        <w:jc w:val="both"/>
        <w:rPr>
          <w:rFonts w:ascii="Arial" w:hAnsi="Arial" w:cs="Arial"/>
          <w:sz w:val="20"/>
          <w:szCs w:val="20"/>
        </w:rPr>
      </w:pPr>
      <w:r w:rsidRPr="003F6A0F">
        <w:rPr>
          <w:rFonts w:ascii="Arial" w:hAnsi="Arial" w:cs="Arial"/>
          <w:sz w:val="20"/>
          <w:szCs w:val="20"/>
        </w:rPr>
        <w:t xml:space="preserve">No caso tratado, efetivamente, para </w:t>
      </w:r>
      <w:r>
        <w:rPr>
          <w:rFonts w:ascii="Arial" w:hAnsi="Arial" w:cs="Arial"/>
          <w:sz w:val="20"/>
          <w:szCs w:val="20"/>
        </w:rPr>
        <w:t>o referido</w:t>
      </w:r>
      <w:r w:rsidRPr="003F6A0F">
        <w:rPr>
          <w:rFonts w:ascii="Arial" w:hAnsi="Arial" w:cs="Arial"/>
          <w:sz w:val="20"/>
          <w:szCs w:val="20"/>
        </w:rPr>
        <w:t xml:space="preserve"> exercício financeiro, não houve o prévio credenciamento a que se referem os normativos do Ministério da Previdência Social.</w:t>
      </w:r>
      <w:r>
        <w:rPr>
          <w:rFonts w:ascii="Arial" w:hAnsi="Arial" w:cs="Arial"/>
          <w:sz w:val="20"/>
          <w:szCs w:val="20"/>
        </w:rPr>
        <w:t xml:space="preserve"> </w:t>
      </w:r>
      <w:r w:rsidRPr="003F6A0F">
        <w:rPr>
          <w:rFonts w:ascii="Arial" w:hAnsi="Arial" w:cs="Arial"/>
          <w:sz w:val="20"/>
          <w:szCs w:val="20"/>
        </w:rPr>
        <w:t>Todavia, muito embora esta questão seja de relevada importância, neste caso, excepcionalmente, o fato pode ser objeto de ressalva, posto que, não é suficiente para macular toda a gestão do responsável. Até porque, a própria portaria que tratou do credenciamento – Portaria MPS nº 440 – foi publicada no dia 11/10/2013, ou seja, menos de 90 dias antes do encerramento do exercício financeiro de 2013, dificultando assim, a adoção, em tempo hábil, das medidas previstas na referida portaria.</w:t>
      </w:r>
    </w:p>
    <w:p w:rsidR="00F26C93" w:rsidRDefault="00F26C93" w:rsidP="00F26C93">
      <w:pPr>
        <w:autoSpaceDE w:val="0"/>
        <w:autoSpaceDN w:val="0"/>
        <w:adjustRightInd w:val="0"/>
        <w:spacing w:after="0"/>
        <w:jc w:val="both"/>
        <w:rPr>
          <w:rFonts w:ascii="Arial" w:hAnsi="Arial" w:cs="Arial"/>
          <w:sz w:val="20"/>
          <w:szCs w:val="20"/>
        </w:rPr>
      </w:pPr>
    </w:p>
    <w:p w:rsidR="00F26C93" w:rsidRPr="003F6A0F"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t>C</w:t>
      </w:r>
      <w:r w:rsidRPr="003F6A0F">
        <w:rPr>
          <w:rFonts w:ascii="Arial" w:hAnsi="Arial" w:cs="Arial"/>
          <w:sz w:val="20"/>
          <w:szCs w:val="20"/>
        </w:rPr>
        <w:t>onforme se observa do Demonstrativo das aplicações previdenciárias, todas as aplicações se deram em instituição oficial.</w:t>
      </w:r>
      <w:r>
        <w:rPr>
          <w:rFonts w:ascii="Arial" w:hAnsi="Arial" w:cs="Arial"/>
          <w:sz w:val="20"/>
          <w:szCs w:val="20"/>
        </w:rPr>
        <w:t xml:space="preserve"> </w:t>
      </w:r>
      <w:r w:rsidRPr="003F6A0F">
        <w:rPr>
          <w:rFonts w:ascii="Arial" w:hAnsi="Arial" w:cs="Arial"/>
          <w:sz w:val="20"/>
          <w:szCs w:val="20"/>
        </w:rPr>
        <w:t>Portanto, tendo em conta que não houve aplicação em instituições financeiras privadas que pudessem implicar na efetiva inobservância do obrigatório credenciamento como motivo de caracterização da irregularidade das contas, nos termos § 2º1 do artigo 244, do Regimento Interno, o apontamento pode ser convertido em ressalva, inclusive com o afastamento da multa sugerida.</w:t>
      </w:r>
    </w:p>
    <w:p w:rsidR="00F26C93" w:rsidRPr="003F6A0F" w:rsidRDefault="00F26C93" w:rsidP="00F26C93">
      <w:pPr>
        <w:autoSpaceDE w:val="0"/>
        <w:autoSpaceDN w:val="0"/>
        <w:adjustRightInd w:val="0"/>
        <w:spacing w:after="0"/>
        <w:jc w:val="both"/>
        <w:rPr>
          <w:rFonts w:ascii="Arial" w:hAnsi="Arial" w:cs="Arial"/>
          <w:sz w:val="20"/>
          <w:szCs w:val="20"/>
        </w:rPr>
      </w:pPr>
    </w:p>
    <w:p w:rsidR="00F26C93" w:rsidRPr="003F6A0F" w:rsidRDefault="00F26C93" w:rsidP="00F26C93">
      <w:pPr>
        <w:autoSpaceDE w:val="0"/>
        <w:autoSpaceDN w:val="0"/>
        <w:adjustRightInd w:val="0"/>
        <w:spacing w:after="0"/>
        <w:jc w:val="both"/>
        <w:rPr>
          <w:rFonts w:ascii="Arial" w:hAnsi="Arial" w:cs="Arial"/>
          <w:sz w:val="20"/>
          <w:szCs w:val="20"/>
        </w:rPr>
      </w:pPr>
      <w:r w:rsidRPr="003F6A0F">
        <w:rPr>
          <w:rFonts w:ascii="Arial" w:hAnsi="Arial" w:cs="Arial"/>
          <w:sz w:val="20"/>
          <w:szCs w:val="20"/>
        </w:rPr>
        <w:t>Em especial, cabível a recomendação no sentido de que a entidade regularize a questão, caso ainda não o tenha feito.</w:t>
      </w:r>
    </w:p>
    <w:p w:rsidR="00F26C93" w:rsidRDefault="00F26C93" w:rsidP="00F26C93">
      <w:pPr>
        <w:autoSpaceDE w:val="0"/>
        <w:autoSpaceDN w:val="0"/>
        <w:adjustRightInd w:val="0"/>
        <w:spacing w:after="0"/>
        <w:jc w:val="both"/>
        <w:rPr>
          <w:rFonts w:ascii="Arial" w:hAnsi="Arial" w:cs="Arial"/>
          <w:sz w:val="20"/>
          <w:szCs w:val="20"/>
        </w:rPr>
      </w:pPr>
    </w:p>
    <w:p w:rsidR="00F26C93" w:rsidRPr="00F77EE9" w:rsidRDefault="00F26C93" w:rsidP="00F26C93">
      <w:pPr>
        <w:autoSpaceDE w:val="0"/>
        <w:autoSpaceDN w:val="0"/>
        <w:adjustRightInd w:val="0"/>
        <w:spacing w:after="0" w:line="240" w:lineRule="auto"/>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251531/14</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10" w:history="1">
        <w:r w:rsidRPr="003F6A0F">
          <w:rPr>
            <w:rStyle w:val="Hyperlink"/>
            <w:rFonts w:ascii="Arial" w:hAnsi="Arial" w:cs="Arial"/>
            <w:sz w:val="20"/>
            <w:szCs w:val="20"/>
          </w:rPr>
          <w:t>Acórdão nº 206/19 – Segunda Câmara</w:t>
        </w:r>
      </w:hyperlink>
      <w:r w:rsidRPr="00F77EE9">
        <w:rPr>
          <w:rFonts w:ascii="Arial" w:hAnsi="Arial" w:cs="Arial"/>
          <w:sz w:val="20"/>
          <w:szCs w:val="20"/>
        </w:rPr>
        <w:t xml:space="preserve"> -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w:t>
      </w:r>
      <w:proofErr w:type="spellStart"/>
      <w:r>
        <w:rPr>
          <w:rFonts w:ascii="Arial" w:hAnsi="Arial" w:cs="Arial"/>
          <w:sz w:val="20"/>
          <w:szCs w:val="20"/>
        </w:rPr>
        <w:t>LInhares</w:t>
      </w:r>
      <w:proofErr w:type="spellEnd"/>
      <w:r w:rsidRPr="00F77EE9">
        <w:rPr>
          <w:rFonts w:ascii="Arial" w:hAnsi="Arial" w:cs="Arial"/>
          <w:sz w:val="20"/>
          <w:szCs w:val="20"/>
        </w:rPr>
        <w:t>.</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pStyle w:val="Default"/>
        <w:spacing w:after="200" w:line="276" w:lineRule="auto"/>
        <w:jc w:val="both"/>
        <w:rPr>
          <w:b/>
          <w:sz w:val="20"/>
          <w:szCs w:val="20"/>
        </w:rPr>
      </w:pPr>
      <w:r>
        <w:rPr>
          <w:b/>
          <w:sz w:val="20"/>
          <w:szCs w:val="20"/>
        </w:rPr>
        <w:t>4</w:t>
      </w:r>
      <w:r w:rsidRPr="00F77EE9">
        <w:rPr>
          <w:b/>
          <w:sz w:val="20"/>
          <w:szCs w:val="20"/>
        </w:rPr>
        <w:t xml:space="preserve">. </w:t>
      </w:r>
      <w:r>
        <w:rPr>
          <w:b/>
          <w:sz w:val="20"/>
          <w:szCs w:val="20"/>
        </w:rPr>
        <w:t>Prestação de Contas de Câmara Municipal.  Despesas com publicidade institucional realizadas no primeiro semestre de 2016 em montante superior à média dos gastos no primeiro semestre dos três últimos anos que antecedem o pleito. Regularidade com ressalva.</w:t>
      </w:r>
    </w:p>
    <w:p w:rsidR="00F26C93" w:rsidRPr="00713924" w:rsidRDefault="00F26C93" w:rsidP="00F26C93">
      <w:pPr>
        <w:autoSpaceDE w:val="0"/>
        <w:autoSpaceDN w:val="0"/>
        <w:adjustRightInd w:val="0"/>
        <w:spacing w:after="0"/>
        <w:jc w:val="both"/>
        <w:rPr>
          <w:rFonts w:ascii="Arial" w:hAnsi="Arial" w:cs="Arial"/>
          <w:sz w:val="20"/>
          <w:szCs w:val="20"/>
        </w:rPr>
      </w:pPr>
      <w:r w:rsidRPr="00713924">
        <w:rPr>
          <w:rFonts w:ascii="Arial" w:hAnsi="Arial" w:cs="Arial"/>
          <w:sz w:val="20"/>
          <w:szCs w:val="20"/>
        </w:rPr>
        <w:lastRenderedPageBreak/>
        <w:t>Em relação às despesas com publicidade institucional realizadas no primeiro semestre de 2016 em montante superior à média dos gastos no primeiro semestre dos três últimos anos que antecedem o pleito foi afastada a inconformidade sugerida, com aplicação de ressalva.</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Pr="00713924" w:rsidRDefault="00F26C93" w:rsidP="00F26C93">
      <w:pPr>
        <w:autoSpaceDE w:val="0"/>
        <w:autoSpaceDN w:val="0"/>
        <w:adjustRightInd w:val="0"/>
        <w:spacing w:after="0"/>
        <w:jc w:val="both"/>
        <w:rPr>
          <w:rFonts w:ascii="Arial" w:hAnsi="Arial" w:cs="Arial"/>
          <w:sz w:val="20"/>
          <w:szCs w:val="20"/>
        </w:rPr>
      </w:pPr>
      <w:r w:rsidRPr="00713924">
        <w:rPr>
          <w:rFonts w:ascii="Arial" w:hAnsi="Arial" w:cs="Arial"/>
          <w:sz w:val="20"/>
          <w:szCs w:val="20"/>
        </w:rPr>
        <w:t xml:space="preserve">Conforme determinado no art. 73, inciso VIII, da Lei nº 9.504/97, com redação dada pela Lei nº 13.165/15, é vedada a despesa com publicidade no primeiro semestre do último ano de mandato em valor superior à média dos gastos do primeiro semestre dos últimos três anos que antecedem o pleito, fato efetivamente observado nas presentes contas, uma vez que a média ajustada em sede de contraditório atingiu R$ 722,67 (setecentos e vinte e dois reais e sessenta e sete centavos) e o gasto do primeiro semestre de 2016 somou R$ 1.784,00 (um setecentos e oitenta e quatro reais). </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Pr="004B1609" w:rsidRDefault="00F26C93" w:rsidP="00F26C93">
      <w:pPr>
        <w:autoSpaceDE w:val="0"/>
        <w:autoSpaceDN w:val="0"/>
        <w:adjustRightInd w:val="0"/>
        <w:spacing w:after="0"/>
        <w:jc w:val="both"/>
        <w:rPr>
          <w:rFonts w:ascii="Arial" w:hAnsi="Arial" w:cs="Arial"/>
          <w:sz w:val="20"/>
          <w:szCs w:val="20"/>
        </w:rPr>
      </w:pPr>
      <w:r w:rsidRPr="00713924">
        <w:rPr>
          <w:rFonts w:ascii="Arial" w:hAnsi="Arial" w:cs="Arial"/>
          <w:sz w:val="20"/>
          <w:szCs w:val="20"/>
        </w:rPr>
        <w:t>Ainda que inobservada a regra legal, entendemos possível afastar a inconformidade, pois, a diferença apurada no primeiro semestre de 2016 sobre a média dos últimos exercícios foi em quantia que não tem o condão ou a potencialidade de causar desequilíbrio ao pleito eleitoral, dada sua pouca expressividade.</w:t>
      </w:r>
    </w:p>
    <w:p w:rsidR="00F26C93" w:rsidRDefault="00F26C93" w:rsidP="00F26C93">
      <w:pPr>
        <w:autoSpaceDE w:val="0"/>
        <w:autoSpaceDN w:val="0"/>
        <w:adjustRightInd w:val="0"/>
        <w:spacing w:after="0"/>
        <w:jc w:val="both"/>
        <w:rPr>
          <w:rFonts w:ascii="Arial" w:hAnsi="Arial" w:cs="Arial"/>
          <w:sz w:val="20"/>
          <w:szCs w:val="20"/>
        </w:rPr>
      </w:pPr>
    </w:p>
    <w:p w:rsidR="00F26C93" w:rsidRPr="00F77EE9" w:rsidRDefault="00F26C93" w:rsidP="00F26C93">
      <w:pPr>
        <w:autoSpaceDE w:val="0"/>
        <w:autoSpaceDN w:val="0"/>
        <w:adjustRightInd w:val="0"/>
        <w:spacing w:after="0" w:line="240" w:lineRule="auto"/>
        <w:jc w:val="both"/>
        <w:rPr>
          <w:rFonts w:ascii="Arial" w:hAnsi="Arial" w:cs="Arial"/>
          <w:sz w:val="20"/>
          <w:szCs w:val="20"/>
        </w:rPr>
      </w:pPr>
      <w:r w:rsidRPr="00BC6DE4">
        <w:rPr>
          <w:rFonts w:ascii="Arial" w:hAnsi="Arial" w:cs="Arial"/>
          <w:sz w:val="20"/>
          <w:szCs w:val="20"/>
        </w:rPr>
        <w:t xml:space="preserve">Processo nº </w:t>
      </w:r>
      <w:r>
        <w:rPr>
          <w:rFonts w:ascii="Arial" w:hAnsi="Arial" w:cs="Arial"/>
          <w:sz w:val="20"/>
          <w:szCs w:val="20"/>
        </w:rPr>
        <w:t xml:space="preserve">282306/17 </w:t>
      </w:r>
      <w:r w:rsidRPr="00BC6DE4">
        <w:rPr>
          <w:rFonts w:ascii="Arial" w:hAnsi="Arial" w:cs="Arial"/>
          <w:sz w:val="20"/>
          <w:szCs w:val="20"/>
        </w:rPr>
        <w:t xml:space="preserve">– </w:t>
      </w:r>
      <w:hyperlink r:id="rId11" w:history="1">
        <w:r w:rsidRPr="00BC6DE4">
          <w:rPr>
            <w:rStyle w:val="Hyperlink"/>
            <w:rFonts w:ascii="Arial" w:hAnsi="Arial" w:cs="Arial"/>
            <w:sz w:val="20"/>
            <w:szCs w:val="20"/>
          </w:rPr>
          <w:t xml:space="preserve">Acórdão nº </w:t>
        </w:r>
        <w:r>
          <w:rPr>
            <w:rStyle w:val="Hyperlink"/>
            <w:rFonts w:ascii="Arial" w:hAnsi="Arial" w:cs="Arial"/>
            <w:sz w:val="20"/>
            <w:szCs w:val="20"/>
          </w:rPr>
          <w:t>197/19</w:t>
        </w:r>
        <w:r w:rsidRPr="00BC6DE4">
          <w:rPr>
            <w:rStyle w:val="Hyperlink"/>
            <w:rFonts w:ascii="Arial" w:hAnsi="Arial" w:cs="Arial"/>
            <w:sz w:val="20"/>
            <w:szCs w:val="20"/>
          </w:rPr>
          <w:t xml:space="preserve"> – </w:t>
        </w:r>
        <w:r>
          <w:rPr>
            <w:rStyle w:val="Hyperlink"/>
            <w:rFonts w:ascii="Arial" w:hAnsi="Arial" w:cs="Arial"/>
            <w:sz w:val="20"/>
            <w:szCs w:val="20"/>
          </w:rPr>
          <w:t>Segunda</w:t>
        </w:r>
        <w:r w:rsidRPr="00BC6DE4">
          <w:rPr>
            <w:rStyle w:val="Hyperlink"/>
            <w:rFonts w:ascii="Arial" w:hAnsi="Arial" w:cs="Arial"/>
            <w:sz w:val="20"/>
            <w:szCs w:val="20"/>
          </w:rPr>
          <w:t xml:space="preserve"> Câmara</w:t>
        </w:r>
      </w:hyperlink>
      <w:r w:rsidRPr="00BC6DE4">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BC6DE4">
        <w:rPr>
          <w:rFonts w:ascii="Arial" w:hAnsi="Arial" w:cs="Arial"/>
          <w:sz w:val="20"/>
          <w:szCs w:val="20"/>
        </w:rPr>
        <w:t>.</w:t>
      </w:r>
    </w:p>
    <w:p w:rsidR="00F26C93" w:rsidRDefault="00F26C93" w:rsidP="00F26C93">
      <w:pPr>
        <w:autoSpaceDE w:val="0"/>
        <w:autoSpaceDN w:val="0"/>
        <w:adjustRightInd w:val="0"/>
        <w:spacing w:after="0" w:line="240" w:lineRule="auto"/>
        <w:rPr>
          <w:rFonts w:ascii="Arial" w:hAnsi="Arial" w:cs="Arial"/>
          <w:sz w:val="20"/>
          <w:szCs w:val="20"/>
        </w:rPr>
      </w:pPr>
    </w:p>
    <w:p w:rsidR="00F26C93" w:rsidRDefault="00F26C93" w:rsidP="00F26C93">
      <w:pPr>
        <w:pStyle w:val="Default"/>
        <w:spacing w:after="200" w:line="276" w:lineRule="auto"/>
        <w:jc w:val="both"/>
        <w:rPr>
          <w:b/>
          <w:sz w:val="20"/>
          <w:szCs w:val="20"/>
        </w:rPr>
      </w:pPr>
      <w:r>
        <w:rPr>
          <w:b/>
          <w:sz w:val="20"/>
          <w:szCs w:val="20"/>
        </w:rPr>
        <w:t>5</w:t>
      </w:r>
      <w:r w:rsidRPr="00F77EE9">
        <w:rPr>
          <w:b/>
          <w:sz w:val="20"/>
          <w:szCs w:val="20"/>
        </w:rPr>
        <w:t xml:space="preserve">. </w:t>
      </w:r>
      <w:r>
        <w:rPr>
          <w:b/>
          <w:sz w:val="20"/>
          <w:szCs w:val="20"/>
        </w:rPr>
        <w:t>Prestação de Contas de Câmara Municipal.  Qualificação técnica de responsáveis pelo Controle Interno. Participação em cursos oferecidos pelo TCE – PR. Regularidade com ressalva.</w:t>
      </w:r>
    </w:p>
    <w:p w:rsidR="00F26C93" w:rsidRPr="007A7D11" w:rsidRDefault="00F26C93" w:rsidP="00F26C93">
      <w:pPr>
        <w:autoSpaceDE w:val="0"/>
        <w:autoSpaceDN w:val="0"/>
        <w:adjustRightInd w:val="0"/>
        <w:spacing w:after="0"/>
        <w:jc w:val="both"/>
        <w:rPr>
          <w:rFonts w:ascii="Arial" w:hAnsi="Arial" w:cs="Arial"/>
          <w:sz w:val="20"/>
          <w:szCs w:val="20"/>
        </w:rPr>
      </w:pPr>
      <w:r w:rsidRPr="007A7D11">
        <w:rPr>
          <w:rFonts w:ascii="Arial" w:hAnsi="Arial" w:cs="Arial"/>
          <w:sz w:val="20"/>
          <w:szCs w:val="20"/>
        </w:rPr>
        <w:t>Ainda que o Responsável pelas contas não tenha apresentado qualquer</w:t>
      </w:r>
      <w:r>
        <w:rPr>
          <w:rFonts w:ascii="Arial" w:hAnsi="Arial" w:cs="Arial"/>
          <w:sz w:val="20"/>
          <w:szCs w:val="20"/>
        </w:rPr>
        <w:t xml:space="preserve"> </w:t>
      </w:r>
      <w:r w:rsidRPr="007A7D11">
        <w:rPr>
          <w:rFonts w:ascii="Arial" w:hAnsi="Arial" w:cs="Arial"/>
          <w:sz w:val="20"/>
          <w:szCs w:val="20"/>
        </w:rPr>
        <w:t>justificativa relacionada a qualificação técnica das Controladoras Internas da</w:t>
      </w:r>
      <w:r>
        <w:rPr>
          <w:rFonts w:ascii="Arial" w:hAnsi="Arial" w:cs="Arial"/>
          <w:sz w:val="20"/>
          <w:szCs w:val="20"/>
        </w:rPr>
        <w:t xml:space="preserve"> </w:t>
      </w:r>
      <w:r w:rsidRPr="007A7D11">
        <w:rPr>
          <w:rFonts w:ascii="Arial" w:hAnsi="Arial" w:cs="Arial"/>
          <w:sz w:val="20"/>
          <w:szCs w:val="20"/>
        </w:rPr>
        <w:t>Entidade, conforme demonstrado</w:t>
      </w:r>
      <w:r>
        <w:rPr>
          <w:rFonts w:ascii="Arial" w:hAnsi="Arial" w:cs="Arial"/>
          <w:sz w:val="20"/>
          <w:szCs w:val="20"/>
        </w:rPr>
        <w:t xml:space="preserve"> </w:t>
      </w:r>
      <w:r w:rsidRPr="007A7D11">
        <w:rPr>
          <w:rFonts w:ascii="Arial" w:hAnsi="Arial" w:cs="Arial"/>
          <w:sz w:val="20"/>
          <w:szCs w:val="20"/>
        </w:rPr>
        <w:t>na Certidão de Decurso de Prazo</w:t>
      </w:r>
      <w:r>
        <w:rPr>
          <w:rFonts w:ascii="Arial" w:hAnsi="Arial" w:cs="Arial"/>
          <w:sz w:val="20"/>
          <w:szCs w:val="20"/>
        </w:rPr>
        <w:t xml:space="preserve">, </w:t>
      </w:r>
      <w:r w:rsidRPr="007A7D11">
        <w:rPr>
          <w:rFonts w:ascii="Arial" w:hAnsi="Arial" w:cs="Arial"/>
          <w:sz w:val="20"/>
          <w:szCs w:val="20"/>
        </w:rPr>
        <w:t>o que impossibilitou</w:t>
      </w:r>
      <w:r>
        <w:rPr>
          <w:rFonts w:ascii="Arial" w:hAnsi="Arial" w:cs="Arial"/>
          <w:sz w:val="20"/>
          <w:szCs w:val="20"/>
        </w:rPr>
        <w:t xml:space="preserve"> </w:t>
      </w:r>
      <w:r w:rsidRPr="007A7D11">
        <w:rPr>
          <w:rFonts w:ascii="Arial" w:hAnsi="Arial" w:cs="Arial"/>
          <w:sz w:val="20"/>
          <w:szCs w:val="20"/>
        </w:rPr>
        <w:t xml:space="preserve">a </w:t>
      </w:r>
      <w:r>
        <w:rPr>
          <w:rFonts w:ascii="Arial" w:hAnsi="Arial" w:cs="Arial"/>
          <w:sz w:val="20"/>
          <w:szCs w:val="20"/>
        </w:rPr>
        <w:t>Unidade Técnica</w:t>
      </w:r>
      <w:r w:rsidRPr="007A7D11">
        <w:rPr>
          <w:rFonts w:ascii="Arial" w:hAnsi="Arial" w:cs="Arial"/>
          <w:sz w:val="20"/>
          <w:szCs w:val="20"/>
        </w:rPr>
        <w:t xml:space="preserve"> de emitir uma conclusão definitiva sobre o</w:t>
      </w:r>
      <w:r>
        <w:rPr>
          <w:rFonts w:ascii="Arial" w:hAnsi="Arial" w:cs="Arial"/>
          <w:sz w:val="20"/>
          <w:szCs w:val="20"/>
        </w:rPr>
        <w:t xml:space="preserve"> </w:t>
      </w:r>
      <w:r w:rsidRPr="007A7D11">
        <w:rPr>
          <w:rFonts w:ascii="Arial" w:hAnsi="Arial" w:cs="Arial"/>
          <w:sz w:val="20"/>
          <w:szCs w:val="20"/>
        </w:rPr>
        <w:t>item, entendemos por acompanhar o Ministério Público junto ao Tribunal de Contas</w:t>
      </w:r>
      <w:r>
        <w:rPr>
          <w:rFonts w:ascii="Arial" w:hAnsi="Arial" w:cs="Arial"/>
          <w:sz w:val="20"/>
          <w:szCs w:val="20"/>
        </w:rPr>
        <w:t xml:space="preserve"> </w:t>
      </w:r>
      <w:r w:rsidRPr="007A7D11">
        <w:rPr>
          <w:rFonts w:ascii="Arial" w:hAnsi="Arial" w:cs="Arial"/>
          <w:sz w:val="20"/>
          <w:szCs w:val="20"/>
        </w:rPr>
        <w:t>e ressalvar o apontamento, pois, restou comprovada a participação das</w:t>
      </w:r>
      <w:r>
        <w:rPr>
          <w:rFonts w:ascii="Arial" w:hAnsi="Arial" w:cs="Arial"/>
          <w:sz w:val="20"/>
          <w:szCs w:val="20"/>
        </w:rPr>
        <w:t xml:space="preserve"> </w:t>
      </w:r>
      <w:r w:rsidRPr="007A7D11">
        <w:rPr>
          <w:rFonts w:ascii="Arial" w:hAnsi="Arial" w:cs="Arial"/>
          <w:sz w:val="20"/>
          <w:szCs w:val="20"/>
        </w:rPr>
        <w:t>Controladoras em cursos oferecidos por este Tribunal de Contas.</w:t>
      </w:r>
    </w:p>
    <w:p w:rsidR="00F26C93" w:rsidRDefault="00F26C93" w:rsidP="00F26C93">
      <w:pPr>
        <w:autoSpaceDE w:val="0"/>
        <w:autoSpaceDN w:val="0"/>
        <w:adjustRightInd w:val="0"/>
        <w:spacing w:after="0"/>
        <w:jc w:val="both"/>
        <w:rPr>
          <w:rFonts w:ascii="Arial" w:hAnsi="Arial" w:cs="Arial"/>
          <w:sz w:val="20"/>
          <w:szCs w:val="20"/>
        </w:rPr>
      </w:pPr>
    </w:p>
    <w:p w:rsidR="00F26C93" w:rsidRPr="00F77EE9" w:rsidRDefault="00F26C93" w:rsidP="00F26C93">
      <w:pPr>
        <w:autoSpaceDE w:val="0"/>
        <w:autoSpaceDN w:val="0"/>
        <w:adjustRightInd w:val="0"/>
        <w:spacing w:after="0" w:line="240" w:lineRule="auto"/>
        <w:jc w:val="both"/>
        <w:rPr>
          <w:rFonts w:ascii="Arial" w:hAnsi="Arial" w:cs="Arial"/>
          <w:sz w:val="20"/>
          <w:szCs w:val="20"/>
        </w:rPr>
      </w:pPr>
      <w:r w:rsidRPr="00BC6DE4">
        <w:rPr>
          <w:rFonts w:ascii="Arial" w:hAnsi="Arial" w:cs="Arial"/>
          <w:sz w:val="20"/>
          <w:szCs w:val="20"/>
        </w:rPr>
        <w:t xml:space="preserve">Processo nº </w:t>
      </w:r>
      <w:r>
        <w:rPr>
          <w:rFonts w:ascii="Arial" w:hAnsi="Arial" w:cs="Arial"/>
          <w:sz w:val="20"/>
          <w:szCs w:val="20"/>
        </w:rPr>
        <w:t xml:space="preserve">204682/17 </w:t>
      </w:r>
      <w:r w:rsidRPr="00BC6DE4">
        <w:rPr>
          <w:rFonts w:ascii="Arial" w:hAnsi="Arial" w:cs="Arial"/>
          <w:sz w:val="20"/>
          <w:szCs w:val="20"/>
        </w:rPr>
        <w:t xml:space="preserve">– </w:t>
      </w:r>
      <w:hyperlink r:id="rId12" w:history="1">
        <w:r w:rsidRPr="00BC6DE4">
          <w:rPr>
            <w:rStyle w:val="Hyperlink"/>
            <w:rFonts w:ascii="Arial" w:hAnsi="Arial" w:cs="Arial"/>
            <w:sz w:val="20"/>
            <w:szCs w:val="20"/>
          </w:rPr>
          <w:t xml:space="preserve">Acórdão nº </w:t>
        </w:r>
        <w:r>
          <w:rPr>
            <w:rStyle w:val="Hyperlink"/>
            <w:rFonts w:ascii="Arial" w:hAnsi="Arial" w:cs="Arial"/>
            <w:sz w:val="20"/>
            <w:szCs w:val="20"/>
          </w:rPr>
          <w:t>196/19</w:t>
        </w:r>
        <w:r w:rsidRPr="00BC6DE4">
          <w:rPr>
            <w:rStyle w:val="Hyperlink"/>
            <w:rFonts w:ascii="Arial" w:hAnsi="Arial" w:cs="Arial"/>
            <w:sz w:val="20"/>
            <w:szCs w:val="20"/>
          </w:rPr>
          <w:t xml:space="preserve"> – </w:t>
        </w:r>
        <w:r>
          <w:rPr>
            <w:rStyle w:val="Hyperlink"/>
            <w:rFonts w:ascii="Arial" w:hAnsi="Arial" w:cs="Arial"/>
            <w:sz w:val="20"/>
            <w:szCs w:val="20"/>
          </w:rPr>
          <w:t>Segunda</w:t>
        </w:r>
        <w:r w:rsidRPr="00BC6DE4">
          <w:rPr>
            <w:rStyle w:val="Hyperlink"/>
            <w:rFonts w:ascii="Arial" w:hAnsi="Arial" w:cs="Arial"/>
            <w:sz w:val="20"/>
            <w:szCs w:val="20"/>
          </w:rPr>
          <w:t xml:space="preserve"> Câmara</w:t>
        </w:r>
      </w:hyperlink>
      <w:r w:rsidRPr="00BC6DE4">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BC6DE4">
        <w:rPr>
          <w:rFonts w:ascii="Arial" w:hAnsi="Arial" w:cs="Arial"/>
          <w:sz w:val="20"/>
          <w:szCs w:val="20"/>
        </w:rPr>
        <w:t>.</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pStyle w:val="Default"/>
        <w:spacing w:after="200" w:line="276" w:lineRule="auto"/>
        <w:jc w:val="both"/>
        <w:rPr>
          <w:b/>
          <w:sz w:val="20"/>
          <w:szCs w:val="20"/>
        </w:rPr>
      </w:pPr>
      <w:r>
        <w:rPr>
          <w:b/>
          <w:sz w:val="20"/>
          <w:szCs w:val="20"/>
        </w:rPr>
        <w:t>6</w:t>
      </w:r>
      <w:r w:rsidRPr="00F77EE9">
        <w:rPr>
          <w:b/>
          <w:sz w:val="20"/>
          <w:szCs w:val="20"/>
        </w:rPr>
        <w:t xml:space="preserve">. </w:t>
      </w:r>
      <w:r>
        <w:rPr>
          <w:b/>
          <w:sz w:val="20"/>
          <w:szCs w:val="20"/>
        </w:rPr>
        <w:t xml:space="preserve">Admissão de Pessoal. </w:t>
      </w:r>
      <w:r w:rsidRPr="008246D7">
        <w:rPr>
          <w:b/>
          <w:sz w:val="20"/>
          <w:szCs w:val="20"/>
        </w:rPr>
        <w:t>Pelo</w:t>
      </w:r>
      <w:r>
        <w:rPr>
          <w:b/>
          <w:sz w:val="20"/>
          <w:szCs w:val="20"/>
        </w:rPr>
        <w:t xml:space="preserve"> </w:t>
      </w:r>
      <w:r w:rsidRPr="008246D7">
        <w:rPr>
          <w:b/>
          <w:sz w:val="20"/>
          <w:szCs w:val="20"/>
        </w:rPr>
        <w:t>registro das admissões e</w:t>
      </w:r>
      <w:r>
        <w:rPr>
          <w:b/>
          <w:sz w:val="20"/>
          <w:szCs w:val="20"/>
        </w:rPr>
        <w:t xml:space="preserve"> </w:t>
      </w:r>
      <w:r w:rsidRPr="008246D7">
        <w:rPr>
          <w:b/>
          <w:sz w:val="20"/>
          <w:szCs w:val="20"/>
        </w:rPr>
        <w:t>recomendação à municipalidade para que em concursos</w:t>
      </w:r>
      <w:r>
        <w:rPr>
          <w:b/>
          <w:sz w:val="20"/>
          <w:szCs w:val="20"/>
        </w:rPr>
        <w:t xml:space="preserve"> </w:t>
      </w:r>
      <w:r w:rsidRPr="008246D7">
        <w:rPr>
          <w:b/>
          <w:sz w:val="20"/>
          <w:szCs w:val="20"/>
        </w:rPr>
        <w:t>futuros observe a vedação à participação de gestores e</w:t>
      </w:r>
      <w:r>
        <w:rPr>
          <w:b/>
          <w:sz w:val="20"/>
          <w:szCs w:val="20"/>
        </w:rPr>
        <w:t xml:space="preserve"> </w:t>
      </w:r>
      <w:r w:rsidRPr="008246D7">
        <w:rPr>
          <w:b/>
          <w:sz w:val="20"/>
          <w:szCs w:val="20"/>
        </w:rPr>
        <w:t>profissionais responsáveis pela condução administrativa, que</w:t>
      </w:r>
      <w:r>
        <w:rPr>
          <w:b/>
          <w:sz w:val="20"/>
          <w:szCs w:val="20"/>
        </w:rPr>
        <w:t xml:space="preserve"> </w:t>
      </w:r>
      <w:r w:rsidRPr="008246D7">
        <w:rPr>
          <w:b/>
          <w:sz w:val="20"/>
          <w:szCs w:val="20"/>
        </w:rPr>
        <w:t>possuam até o 3º grau de parentesco com candidatos inscritos.</w:t>
      </w:r>
    </w:p>
    <w:p w:rsidR="00F26C93" w:rsidRPr="008E70BD" w:rsidRDefault="00F26C93" w:rsidP="00F26C93">
      <w:pPr>
        <w:autoSpaceDE w:val="0"/>
        <w:autoSpaceDN w:val="0"/>
        <w:adjustRightInd w:val="0"/>
        <w:spacing w:after="0"/>
        <w:jc w:val="both"/>
        <w:rPr>
          <w:rFonts w:ascii="Arial" w:hAnsi="Arial" w:cs="Arial"/>
          <w:sz w:val="20"/>
          <w:szCs w:val="20"/>
        </w:rPr>
      </w:pPr>
      <w:r w:rsidRPr="008E70BD">
        <w:rPr>
          <w:rFonts w:ascii="Arial" w:hAnsi="Arial" w:cs="Arial"/>
          <w:sz w:val="20"/>
          <w:szCs w:val="20"/>
        </w:rPr>
        <w:t xml:space="preserve">Cinge-se a controvérsia à legalidade e possibilidade </w:t>
      </w:r>
      <w:r>
        <w:rPr>
          <w:rFonts w:ascii="Arial" w:hAnsi="Arial" w:cs="Arial"/>
          <w:sz w:val="20"/>
          <w:szCs w:val="20"/>
        </w:rPr>
        <w:t xml:space="preserve">de </w:t>
      </w:r>
      <w:r w:rsidRPr="008E70BD">
        <w:rPr>
          <w:rFonts w:ascii="Arial" w:hAnsi="Arial" w:cs="Arial"/>
          <w:sz w:val="20"/>
          <w:szCs w:val="20"/>
        </w:rPr>
        <w:t>registro de</w:t>
      </w:r>
      <w:r>
        <w:rPr>
          <w:rFonts w:ascii="Arial" w:hAnsi="Arial" w:cs="Arial"/>
          <w:sz w:val="20"/>
          <w:szCs w:val="20"/>
        </w:rPr>
        <w:t xml:space="preserve"> </w:t>
      </w:r>
      <w:r w:rsidRPr="008E70BD">
        <w:rPr>
          <w:rFonts w:ascii="Arial" w:hAnsi="Arial" w:cs="Arial"/>
          <w:sz w:val="20"/>
          <w:szCs w:val="20"/>
        </w:rPr>
        <w:t>admissão dos candidatos aos cargos Médico do Trabalho e de Médico Pediatra,</w:t>
      </w:r>
      <w:r>
        <w:rPr>
          <w:rFonts w:ascii="Arial" w:hAnsi="Arial" w:cs="Arial"/>
          <w:sz w:val="20"/>
          <w:szCs w:val="20"/>
        </w:rPr>
        <w:t xml:space="preserve"> </w:t>
      </w:r>
      <w:r w:rsidRPr="008E70BD">
        <w:rPr>
          <w:rFonts w:ascii="Arial" w:hAnsi="Arial" w:cs="Arial"/>
          <w:sz w:val="20"/>
          <w:szCs w:val="20"/>
        </w:rPr>
        <w:t>ante a ausência de manifestação quando a inexistência de profissionais habilitados</w:t>
      </w:r>
      <w:r>
        <w:rPr>
          <w:rFonts w:ascii="Arial" w:hAnsi="Arial" w:cs="Arial"/>
          <w:sz w:val="20"/>
          <w:szCs w:val="20"/>
        </w:rPr>
        <w:t xml:space="preserve"> </w:t>
      </w:r>
      <w:r w:rsidRPr="008E70BD">
        <w:rPr>
          <w:rFonts w:ascii="Arial" w:hAnsi="Arial" w:cs="Arial"/>
          <w:sz w:val="20"/>
          <w:szCs w:val="20"/>
        </w:rPr>
        <w:t xml:space="preserve">para a avaliação dos candidatos a tais cargos, conforme </w:t>
      </w:r>
      <w:r w:rsidRPr="008E70BD">
        <w:rPr>
          <w:rFonts w:ascii="Arial" w:hAnsi="Arial" w:cs="Arial"/>
          <w:sz w:val="20"/>
          <w:szCs w:val="20"/>
        </w:rPr>
        <w:lastRenderedPageBreak/>
        <w:t>exposto pelo Ministério</w:t>
      </w:r>
      <w:r>
        <w:rPr>
          <w:rFonts w:ascii="Arial" w:hAnsi="Arial" w:cs="Arial"/>
          <w:sz w:val="20"/>
          <w:szCs w:val="20"/>
        </w:rPr>
        <w:t xml:space="preserve"> </w:t>
      </w:r>
      <w:r w:rsidRPr="008E70BD">
        <w:rPr>
          <w:rFonts w:ascii="Arial" w:hAnsi="Arial" w:cs="Arial"/>
          <w:sz w:val="20"/>
          <w:szCs w:val="20"/>
        </w:rPr>
        <w:t>Público junto ao Tribunal de Contas, em seus Pareceres nº 464/18 e 837/18.</w:t>
      </w:r>
    </w:p>
    <w:p w:rsidR="00F26C93" w:rsidRDefault="00F26C93" w:rsidP="00F26C93">
      <w:pPr>
        <w:autoSpaceDE w:val="0"/>
        <w:autoSpaceDN w:val="0"/>
        <w:adjustRightInd w:val="0"/>
        <w:spacing w:after="0"/>
        <w:jc w:val="both"/>
        <w:rPr>
          <w:rFonts w:ascii="Arial" w:hAnsi="Arial" w:cs="Arial"/>
          <w:sz w:val="20"/>
          <w:szCs w:val="20"/>
        </w:rPr>
      </w:pPr>
    </w:p>
    <w:p w:rsidR="00F26C93" w:rsidRPr="008E70BD" w:rsidRDefault="00F26C93" w:rsidP="00F26C93">
      <w:pPr>
        <w:autoSpaceDE w:val="0"/>
        <w:autoSpaceDN w:val="0"/>
        <w:adjustRightInd w:val="0"/>
        <w:spacing w:after="0"/>
        <w:jc w:val="both"/>
        <w:rPr>
          <w:rFonts w:ascii="Arial" w:hAnsi="Arial" w:cs="Arial"/>
          <w:sz w:val="20"/>
          <w:szCs w:val="20"/>
        </w:rPr>
      </w:pPr>
      <w:r w:rsidRPr="008E70BD">
        <w:rPr>
          <w:rFonts w:ascii="Arial" w:hAnsi="Arial" w:cs="Arial"/>
          <w:sz w:val="20"/>
          <w:szCs w:val="20"/>
        </w:rPr>
        <w:t>Consoante entendimento pacífico dessa Corte de Contas, embora a</w:t>
      </w:r>
      <w:r>
        <w:rPr>
          <w:rFonts w:ascii="Arial" w:hAnsi="Arial" w:cs="Arial"/>
          <w:sz w:val="20"/>
          <w:szCs w:val="20"/>
        </w:rPr>
        <w:t xml:space="preserve"> </w:t>
      </w:r>
      <w:r w:rsidRPr="008E70BD">
        <w:rPr>
          <w:rFonts w:ascii="Arial" w:hAnsi="Arial" w:cs="Arial"/>
          <w:sz w:val="20"/>
          <w:szCs w:val="20"/>
        </w:rPr>
        <w:t>banca examinadora deva ser composta por pessoal com formação na mesma</w:t>
      </w:r>
      <w:r>
        <w:rPr>
          <w:rFonts w:ascii="Arial" w:hAnsi="Arial" w:cs="Arial"/>
          <w:sz w:val="20"/>
          <w:szCs w:val="20"/>
        </w:rPr>
        <w:t xml:space="preserve"> </w:t>
      </w:r>
      <w:r w:rsidRPr="008E70BD">
        <w:rPr>
          <w:rFonts w:ascii="Arial" w:hAnsi="Arial" w:cs="Arial"/>
          <w:sz w:val="20"/>
          <w:szCs w:val="20"/>
        </w:rPr>
        <w:t>área das funções em que se visa o preenchimento, a inobservância desse</w:t>
      </w:r>
      <w:r>
        <w:rPr>
          <w:rFonts w:ascii="Arial" w:hAnsi="Arial" w:cs="Arial"/>
          <w:sz w:val="20"/>
          <w:szCs w:val="20"/>
        </w:rPr>
        <w:t xml:space="preserve"> </w:t>
      </w:r>
      <w:r w:rsidRPr="008E70BD">
        <w:rPr>
          <w:rFonts w:ascii="Arial" w:hAnsi="Arial" w:cs="Arial"/>
          <w:sz w:val="20"/>
          <w:szCs w:val="20"/>
        </w:rPr>
        <w:t>preceito não possui o condão de impedir o registro dos respectivos atos,</w:t>
      </w:r>
      <w:r>
        <w:rPr>
          <w:rFonts w:ascii="Arial" w:hAnsi="Arial" w:cs="Arial"/>
          <w:sz w:val="20"/>
          <w:szCs w:val="20"/>
        </w:rPr>
        <w:t xml:space="preserve"> </w:t>
      </w:r>
      <w:r w:rsidRPr="008E70BD">
        <w:rPr>
          <w:rFonts w:ascii="Arial" w:hAnsi="Arial" w:cs="Arial"/>
          <w:sz w:val="20"/>
          <w:szCs w:val="20"/>
        </w:rPr>
        <w:t>especialmente se verificado, tal como no presente caso, que as provas foram</w:t>
      </w:r>
      <w:r>
        <w:rPr>
          <w:rFonts w:ascii="Arial" w:hAnsi="Arial" w:cs="Arial"/>
          <w:sz w:val="20"/>
          <w:szCs w:val="20"/>
        </w:rPr>
        <w:t xml:space="preserve"> </w:t>
      </w:r>
      <w:r w:rsidRPr="008E70BD">
        <w:rPr>
          <w:rFonts w:ascii="Arial" w:hAnsi="Arial" w:cs="Arial"/>
          <w:sz w:val="20"/>
          <w:szCs w:val="20"/>
        </w:rPr>
        <w:t>elaboradas exclusivamente com questões objetivas</w:t>
      </w:r>
      <w:r>
        <w:rPr>
          <w:rFonts w:ascii="Arial" w:hAnsi="Arial" w:cs="Arial"/>
          <w:sz w:val="20"/>
          <w:szCs w:val="20"/>
        </w:rPr>
        <w:t xml:space="preserve"> </w:t>
      </w:r>
      <w:r w:rsidRPr="008E70BD">
        <w:rPr>
          <w:rFonts w:ascii="Arial" w:hAnsi="Arial" w:cs="Arial"/>
          <w:sz w:val="20"/>
          <w:szCs w:val="20"/>
        </w:rPr>
        <w:t>Ademais, não se verificam indícios de fraude, favorecimento dos</w:t>
      </w:r>
      <w:r>
        <w:rPr>
          <w:rFonts w:ascii="Arial" w:hAnsi="Arial" w:cs="Arial"/>
          <w:sz w:val="20"/>
          <w:szCs w:val="20"/>
        </w:rPr>
        <w:t xml:space="preserve"> </w:t>
      </w:r>
      <w:r w:rsidRPr="008E70BD">
        <w:rPr>
          <w:rFonts w:ascii="Arial" w:hAnsi="Arial" w:cs="Arial"/>
          <w:sz w:val="20"/>
          <w:szCs w:val="20"/>
        </w:rPr>
        <w:t>nomeados ou quaisquer outras irregularidades que tenham maculado o</w:t>
      </w:r>
      <w:r>
        <w:rPr>
          <w:rFonts w:ascii="Arial" w:hAnsi="Arial" w:cs="Arial"/>
          <w:sz w:val="20"/>
          <w:szCs w:val="20"/>
        </w:rPr>
        <w:t xml:space="preserve"> </w:t>
      </w:r>
      <w:r w:rsidRPr="008E70BD">
        <w:rPr>
          <w:rFonts w:ascii="Arial" w:hAnsi="Arial" w:cs="Arial"/>
          <w:sz w:val="20"/>
          <w:szCs w:val="20"/>
        </w:rPr>
        <w:t>certame em estudo, devendo se</w:t>
      </w:r>
      <w:r>
        <w:rPr>
          <w:rFonts w:ascii="Arial" w:hAnsi="Arial" w:cs="Arial"/>
          <w:sz w:val="20"/>
          <w:szCs w:val="20"/>
        </w:rPr>
        <w:t>r</w:t>
      </w:r>
      <w:r w:rsidRPr="008E70BD">
        <w:rPr>
          <w:rFonts w:ascii="Arial" w:hAnsi="Arial" w:cs="Arial"/>
          <w:sz w:val="20"/>
          <w:szCs w:val="20"/>
        </w:rPr>
        <w:t xml:space="preserve"> considerado o longo transcurso de tempo</w:t>
      </w:r>
      <w:r>
        <w:rPr>
          <w:rFonts w:ascii="Arial" w:hAnsi="Arial" w:cs="Arial"/>
          <w:sz w:val="20"/>
          <w:szCs w:val="20"/>
        </w:rPr>
        <w:t xml:space="preserve"> </w:t>
      </w:r>
      <w:r w:rsidRPr="008E70BD">
        <w:rPr>
          <w:rFonts w:ascii="Arial" w:hAnsi="Arial" w:cs="Arial"/>
          <w:sz w:val="20"/>
          <w:szCs w:val="20"/>
        </w:rPr>
        <w:t>desde sua realização (mais de quatro anos), atentando-se também aos</w:t>
      </w:r>
      <w:r>
        <w:rPr>
          <w:rFonts w:ascii="Arial" w:hAnsi="Arial" w:cs="Arial"/>
          <w:sz w:val="20"/>
          <w:szCs w:val="20"/>
        </w:rPr>
        <w:t xml:space="preserve"> </w:t>
      </w:r>
      <w:r w:rsidRPr="008E70BD">
        <w:rPr>
          <w:rFonts w:ascii="Arial" w:hAnsi="Arial" w:cs="Arial"/>
          <w:sz w:val="20"/>
          <w:szCs w:val="20"/>
        </w:rPr>
        <w:t>Princípios da Segurança Jurídica, Boa-fé e da Razoabilidade, razão pela qual</w:t>
      </w:r>
      <w:r>
        <w:rPr>
          <w:rFonts w:ascii="Arial" w:hAnsi="Arial" w:cs="Arial"/>
          <w:sz w:val="20"/>
          <w:szCs w:val="20"/>
        </w:rPr>
        <w:t xml:space="preserve"> </w:t>
      </w:r>
      <w:r w:rsidRPr="008E70BD">
        <w:rPr>
          <w:rFonts w:ascii="Arial" w:hAnsi="Arial" w:cs="Arial"/>
          <w:sz w:val="20"/>
          <w:szCs w:val="20"/>
        </w:rPr>
        <w:t>a decisão recorrida não merece reparos.</w:t>
      </w:r>
    </w:p>
    <w:p w:rsidR="00F26C93" w:rsidRDefault="00F26C93" w:rsidP="00F26C93">
      <w:pPr>
        <w:autoSpaceDE w:val="0"/>
        <w:autoSpaceDN w:val="0"/>
        <w:adjustRightInd w:val="0"/>
        <w:spacing w:after="0"/>
        <w:jc w:val="both"/>
        <w:rPr>
          <w:rFonts w:ascii="Arial" w:hAnsi="Arial" w:cs="Arial"/>
          <w:sz w:val="20"/>
          <w:szCs w:val="20"/>
        </w:rPr>
      </w:pPr>
    </w:p>
    <w:p w:rsidR="00F26C93" w:rsidRPr="007A7D11" w:rsidRDefault="00933CC9" w:rsidP="00F26C93">
      <w:pPr>
        <w:autoSpaceDE w:val="0"/>
        <w:autoSpaceDN w:val="0"/>
        <w:adjustRightInd w:val="0"/>
        <w:spacing w:after="0"/>
        <w:jc w:val="both"/>
        <w:rPr>
          <w:rFonts w:ascii="Arial" w:hAnsi="Arial" w:cs="Arial"/>
          <w:sz w:val="20"/>
          <w:szCs w:val="20"/>
        </w:rPr>
      </w:pPr>
      <w:r>
        <w:rPr>
          <w:rFonts w:ascii="Arial" w:hAnsi="Arial" w:cs="Arial"/>
          <w:sz w:val="20"/>
          <w:szCs w:val="20"/>
        </w:rPr>
        <w:t>R</w:t>
      </w:r>
      <w:r w:rsidR="00F26C93">
        <w:rPr>
          <w:rFonts w:ascii="Arial" w:hAnsi="Arial" w:cs="Arial"/>
          <w:sz w:val="20"/>
          <w:szCs w:val="20"/>
        </w:rPr>
        <w:t xml:space="preserve">egistro </w:t>
      </w:r>
      <w:r w:rsidR="00F26C93" w:rsidRPr="008E70BD">
        <w:rPr>
          <w:rFonts w:ascii="Arial" w:hAnsi="Arial" w:cs="Arial"/>
          <w:sz w:val="20"/>
          <w:szCs w:val="20"/>
        </w:rPr>
        <w:t>das admissões de pessoal</w:t>
      </w:r>
      <w:r w:rsidR="00F26C93">
        <w:rPr>
          <w:rFonts w:ascii="Arial" w:hAnsi="Arial" w:cs="Arial"/>
          <w:sz w:val="20"/>
          <w:szCs w:val="20"/>
        </w:rPr>
        <w:t xml:space="preserve"> </w:t>
      </w:r>
      <w:r w:rsidR="00F26C93" w:rsidRPr="008E70BD">
        <w:rPr>
          <w:rFonts w:ascii="Arial" w:hAnsi="Arial" w:cs="Arial"/>
          <w:sz w:val="20"/>
          <w:szCs w:val="20"/>
        </w:rPr>
        <w:t xml:space="preserve">constantes do presente protocolado, </w:t>
      </w:r>
      <w:r w:rsidR="00F26C93">
        <w:rPr>
          <w:rFonts w:ascii="Arial" w:hAnsi="Arial" w:cs="Arial"/>
          <w:sz w:val="20"/>
          <w:szCs w:val="20"/>
        </w:rPr>
        <w:t xml:space="preserve">com acolhida da </w:t>
      </w:r>
      <w:r w:rsidR="00F26C93" w:rsidRPr="008E70BD">
        <w:rPr>
          <w:rFonts w:ascii="Arial" w:hAnsi="Arial" w:cs="Arial"/>
          <w:sz w:val="20"/>
          <w:szCs w:val="20"/>
        </w:rPr>
        <w:t>sugestão contida no</w:t>
      </w:r>
      <w:r w:rsidR="00F26C93">
        <w:rPr>
          <w:rFonts w:ascii="Arial" w:hAnsi="Arial" w:cs="Arial"/>
          <w:sz w:val="20"/>
          <w:szCs w:val="20"/>
        </w:rPr>
        <w:t xml:space="preserve"> </w:t>
      </w:r>
      <w:r w:rsidR="00F26C93" w:rsidRPr="008E70BD">
        <w:rPr>
          <w:rFonts w:ascii="Arial" w:hAnsi="Arial" w:cs="Arial"/>
          <w:sz w:val="20"/>
          <w:szCs w:val="20"/>
        </w:rPr>
        <w:t xml:space="preserve">parecer ministerial, </w:t>
      </w:r>
      <w:r w:rsidR="00F26C93" w:rsidRPr="00713924">
        <w:rPr>
          <w:rFonts w:ascii="Arial" w:hAnsi="Arial" w:cs="Arial"/>
          <w:sz w:val="20"/>
          <w:szCs w:val="20"/>
        </w:rPr>
        <w:t xml:space="preserve">RECOMENDANDO </w:t>
      </w:r>
      <w:r w:rsidR="00F26C93" w:rsidRPr="008E70BD">
        <w:rPr>
          <w:rFonts w:ascii="Arial" w:hAnsi="Arial" w:cs="Arial"/>
          <w:sz w:val="20"/>
          <w:szCs w:val="20"/>
        </w:rPr>
        <w:t>à municipalidade que, em certames futuros,</w:t>
      </w:r>
      <w:r w:rsidR="00F26C93">
        <w:rPr>
          <w:rFonts w:ascii="Arial" w:hAnsi="Arial" w:cs="Arial"/>
          <w:sz w:val="20"/>
          <w:szCs w:val="20"/>
        </w:rPr>
        <w:t xml:space="preserve"> </w:t>
      </w:r>
      <w:r w:rsidR="00F26C93" w:rsidRPr="008E70BD">
        <w:rPr>
          <w:rFonts w:ascii="Arial" w:hAnsi="Arial" w:cs="Arial"/>
          <w:sz w:val="20"/>
          <w:szCs w:val="20"/>
        </w:rPr>
        <w:t>observe a vedação à participação de gestores e profissionais responsáveis pela</w:t>
      </w:r>
      <w:r w:rsidR="00F26C93">
        <w:rPr>
          <w:rFonts w:ascii="Arial" w:hAnsi="Arial" w:cs="Arial"/>
          <w:sz w:val="20"/>
          <w:szCs w:val="20"/>
        </w:rPr>
        <w:t xml:space="preserve"> </w:t>
      </w:r>
      <w:r w:rsidR="00F26C93" w:rsidRPr="008E70BD">
        <w:rPr>
          <w:rFonts w:ascii="Arial" w:hAnsi="Arial" w:cs="Arial"/>
          <w:sz w:val="20"/>
          <w:szCs w:val="20"/>
        </w:rPr>
        <w:t>condução administrativa, elaboração, aplicação e correção de provas dos processos</w:t>
      </w:r>
      <w:r w:rsidR="00F26C93">
        <w:rPr>
          <w:rFonts w:ascii="Arial" w:hAnsi="Arial" w:cs="Arial"/>
          <w:sz w:val="20"/>
          <w:szCs w:val="20"/>
        </w:rPr>
        <w:t xml:space="preserve"> </w:t>
      </w:r>
      <w:r w:rsidR="00F26C93" w:rsidRPr="008E70BD">
        <w:rPr>
          <w:rFonts w:ascii="Arial" w:hAnsi="Arial" w:cs="Arial"/>
          <w:sz w:val="20"/>
          <w:szCs w:val="20"/>
        </w:rPr>
        <w:t>seletivos deflagrados que possuam até o 3º grau de parentesco com candidatos</w:t>
      </w:r>
      <w:r w:rsidR="00F26C93">
        <w:rPr>
          <w:rFonts w:ascii="Arial" w:hAnsi="Arial" w:cs="Arial"/>
          <w:sz w:val="20"/>
          <w:szCs w:val="20"/>
        </w:rPr>
        <w:t xml:space="preserve"> </w:t>
      </w:r>
      <w:r w:rsidR="00F26C93" w:rsidRPr="008E70BD">
        <w:rPr>
          <w:rFonts w:ascii="Arial" w:hAnsi="Arial" w:cs="Arial"/>
          <w:sz w:val="20"/>
          <w:szCs w:val="20"/>
        </w:rPr>
        <w:t>inscritos.</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Pr="00F77EE9" w:rsidRDefault="00F26C93" w:rsidP="00F26C93">
      <w:pPr>
        <w:autoSpaceDE w:val="0"/>
        <w:autoSpaceDN w:val="0"/>
        <w:adjustRightInd w:val="0"/>
        <w:spacing w:after="0" w:line="240" w:lineRule="auto"/>
        <w:jc w:val="both"/>
        <w:rPr>
          <w:rFonts w:ascii="Arial" w:hAnsi="Arial" w:cs="Arial"/>
          <w:sz w:val="20"/>
          <w:szCs w:val="20"/>
        </w:rPr>
      </w:pPr>
      <w:r w:rsidRPr="00BC6DE4">
        <w:rPr>
          <w:rFonts w:ascii="Arial" w:hAnsi="Arial" w:cs="Arial"/>
          <w:sz w:val="20"/>
          <w:szCs w:val="20"/>
        </w:rPr>
        <w:t xml:space="preserve">Processo nº </w:t>
      </w:r>
      <w:r>
        <w:rPr>
          <w:rFonts w:ascii="Arial" w:hAnsi="Arial" w:cs="Arial"/>
          <w:sz w:val="20"/>
          <w:szCs w:val="20"/>
        </w:rPr>
        <w:t xml:space="preserve">176541/15 </w:t>
      </w:r>
      <w:r w:rsidRPr="00BC6DE4">
        <w:rPr>
          <w:rFonts w:ascii="Arial" w:hAnsi="Arial" w:cs="Arial"/>
          <w:sz w:val="20"/>
          <w:szCs w:val="20"/>
        </w:rPr>
        <w:t>–</w:t>
      </w:r>
      <w:hyperlink r:id="rId13" w:history="1">
        <w:r w:rsidRPr="00F250FF">
          <w:rPr>
            <w:rStyle w:val="Hyperlink"/>
            <w:rFonts w:ascii="Arial" w:hAnsi="Arial" w:cs="Arial"/>
            <w:sz w:val="20"/>
            <w:szCs w:val="20"/>
          </w:rPr>
          <w:t xml:space="preserve"> Acórdão nº 194/19 – Segunda Câmara</w:t>
        </w:r>
      </w:hyperlink>
      <w:r w:rsidRPr="00BC6DE4">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BC6DE4">
        <w:rPr>
          <w:rFonts w:ascii="Arial" w:hAnsi="Arial" w:cs="Arial"/>
          <w:sz w:val="20"/>
          <w:szCs w:val="20"/>
        </w:rPr>
        <w:t>.</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Pr="00875E2A" w:rsidRDefault="00F26C93" w:rsidP="00F26C93">
      <w:pPr>
        <w:pStyle w:val="Default"/>
        <w:spacing w:after="200" w:line="276" w:lineRule="auto"/>
        <w:jc w:val="both"/>
        <w:rPr>
          <w:b/>
          <w:sz w:val="20"/>
          <w:szCs w:val="20"/>
        </w:rPr>
      </w:pPr>
      <w:r>
        <w:rPr>
          <w:b/>
          <w:sz w:val="20"/>
          <w:szCs w:val="20"/>
        </w:rPr>
        <w:t>7</w:t>
      </w:r>
      <w:r w:rsidRPr="00F77EE9">
        <w:rPr>
          <w:b/>
          <w:sz w:val="20"/>
          <w:szCs w:val="20"/>
        </w:rPr>
        <w:t xml:space="preserve">. </w:t>
      </w:r>
      <w:r>
        <w:rPr>
          <w:b/>
          <w:sz w:val="20"/>
          <w:szCs w:val="20"/>
        </w:rPr>
        <w:t xml:space="preserve">Tomada de Contas Extraordinária. </w:t>
      </w:r>
      <w:r w:rsidRPr="00875E2A">
        <w:rPr>
          <w:b/>
          <w:sz w:val="20"/>
          <w:szCs w:val="20"/>
        </w:rPr>
        <w:t>Pagamento de diárias irregulares</w:t>
      </w:r>
      <w:r w:rsidR="00933CC9">
        <w:rPr>
          <w:b/>
          <w:sz w:val="20"/>
          <w:szCs w:val="20"/>
        </w:rPr>
        <w:t>. D</w:t>
      </w:r>
      <w:r w:rsidRPr="00875E2A">
        <w:rPr>
          <w:b/>
          <w:sz w:val="20"/>
          <w:szCs w:val="20"/>
        </w:rPr>
        <w:t>evolução de valores além da aplicação de multa administrativa ao Prefeito e à então Controladora Interna do Município</w:t>
      </w:r>
      <w:r>
        <w:rPr>
          <w:b/>
          <w:sz w:val="20"/>
          <w:szCs w:val="20"/>
        </w:rPr>
        <w:t>, com determinações.</w:t>
      </w:r>
    </w:p>
    <w:p w:rsidR="00F26C93"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t>Procedência parcial da Tomada de Contas Extraordinária, julgando-se</w:t>
      </w:r>
      <w:r w:rsidRPr="00F303F6">
        <w:rPr>
          <w:rFonts w:ascii="Arial" w:hAnsi="Arial" w:cs="Arial"/>
          <w:sz w:val="20"/>
          <w:szCs w:val="20"/>
        </w:rPr>
        <w:t xml:space="preserve"> </w:t>
      </w:r>
      <w:r>
        <w:rPr>
          <w:rFonts w:ascii="Arial" w:hAnsi="Arial" w:cs="Arial"/>
          <w:sz w:val="20"/>
          <w:szCs w:val="20"/>
        </w:rPr>
        <w:t xml:space="preserve">irregulares as contas sob a responsabilidade do Prefeito Municipal à época, em razão das inconformidades na concessão de diárias durante os exercícios financeiros de 2014 e 2015, constatadas a partir do Programa de Acompanhamento Remoto (PROAR). </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t>Restituição aos cofres públicos do valor, devidamente atualizado, pelo senhor Prefeito do Município à época dos fatos, relativamente às diárias sem registro dos horários de saída e retorno, e a 50% do valor das diárias em dia de retorno, pagos de forma integral, contrariando a Lei Municipal.</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t>Aplicação de multa administrativa prevista no art. 87, IV, “g”, da LCE n. 113/05 ao Sr. Prefeito diante da contrariedade a norma legal ou regulamentar e à ocupante do cargo de Controladora Interna do Município, ante a omissão na fiscalização e na verificação do registro das formalidades essenciais para concessão de diárias.</w:t>
      </w:r>
    </w:p>
    <w:p w:rsidR="00F26C93" w:rsidRPr="00F303F6"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lastRenderedPageBreak/>
        <w:t>Recomendação ao Município para que sejam observados: (I) a manutenção dos comprovantes de comparecimento em reuniões ou cursos, assim como de outras despesas realizadas nas viagens, visando a manutenção da transparência e a correta prestação de contas do uso do dinheiro público; (II) que as solicitações, autorizações e empenhos de diárias sejam individualizados a cada deslocamento.</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Pr="00F77EE9" w:rsidRDefault="00F26C93" w:rsidP="00F26C93">
      <w:pPr>
        <w:autoSpaceDE w:val="0"/>
        <w:autoSpaceDN w:val="0"/>
        <w:adjustRightInd w:val="0"/>
        <w:spacing w:after="0" w:line="240" w:lineRule="auto"/>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959205/16</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14" w:history="1">
        <w:r w:rsidRPr="009513A3">
          <w:rPr>
            <w:rStyle w:val="Hyperlink"/>
            <w:rFonts w:ascii="Arial" w:hAnsi="Arial" w:cs="Arial"/>
            <w:sz w:val="20"/>
            <w:szCs w:val="20"/>
          </w:rPr>
          <w:t>Acórdão nº 191/19 – Segunda Câmara</w:t>
        </w:r>
      </w:hyperlink>
      <w:r w:rsidRPr="00F77EE9">
        <w:rPr>
          <w:rFonts w:ascii="Arial" w:hAnsi="Arial" w:cs="Arial"/>
          <w:sz w:val="20"/>
          <w:szCs w:val="20"/>
        </w:rPr>
        <w:t xml:space="preserve"> - Relator </w:t>
      </w:r>
      <w:r>
        <w:rPr>
          <w:rFonts w:ascii="Arial" w:hAnsi="Arial" w:cs="Arial"/>
          <w:sz w:val="20"/>
          <w:szCs w:val="20"/>
        </w:rPr>
        <w:t xml:space="preserve">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F77EE9">
        <w:rPr>
          <w:rFonts w:ascii="Arial" w:hAnsi="Arial" w:cs="Arial"/>
          <w:sz w:val="20"/>
          <w:szCs w:val="20"/>
        </w:rPr>
        <w:t>.</w:t>
      </w:r>
    </w:p>
    <w:p w:rsidR="00F26C93" w:rsidRDefault="00F26C93" w:rsidP="00F26C93">
      <w:pPr>
        <w:autoSpaceDE w:val="0"/>
        <w:autoSpaceDN w:val="0"/>
        <w:adjustRightInd w:val="0"/>
        <w:spacing w:after="0"/>
        <w:jc w:val="both"/>
        <w:rPr>
          <w:rFonts w:ascii="Arial" w:hAnsi="Arial" w:cs="Arial"/>
          <w:sz w:val="20"/>
          <w:szCs w:val="20"/>
        </w:rPr>
      </w:pPr>
    </w:p>
    <w:p w:rsidR="00F26C93" w:rsidRPr="0022060B" w:rsidRDefault="00F26C93" w:rsidP="00F26C93">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F26C93" w:rsidRDefault="00F26C93" w:rsidP="00F26C93">
      <w:pPr>
        <w:autoSpaceDE w:val="0"/>
        <w:autoSpaceDN w:val="0"/>
        <w:adjustRightInd w:val="0"/>
        <w:spacing w:after="0"/>
        <w:jc w:val="both"/>
        <w:rPr>
          <w:rFonts w:ascii="Arial" w:hAnsi="Arial" w:cs="Arial"/>
          <w:b/>
          <w:color w:val="000000"/>
          <w:sz w:val="20"/>
          <w:szCs w:val="20"/>
          <w:shd w:val="clear" w:color="auto" w:fill="FFFFFF"/>
        </w:rPr>
      </w:pPr>
    </w:p>
    <w:p w:rsidR="00F26C93" w:rsidRPr="00713924" w:rsidRDefault="00F26C93" w:rsidP="00F26C93">
      <w:pPr>
        <w:pStyle w:val="Default"/>
        <w:spacing w:after="200" w:line="276" w:lineRule="auto"/>
        <w:jc w:val="both"/>
        <w:rPr>
          <w:b/>
          <w:sz w:val="20"/>
          <w:szCs w:val="20"/>
        </w:rPr>
      </w:pPr>
      <w:r>
        <w:rPr>
          <w:b/>
          <w:sz w:val="20"/>
          <w:szCs w:val="20"/>
        </w:rPr>
        <w:t>8</w:t>
      </w:r>
      <w:r w:rsidRPr="00F250FF">
        <w:rPr>
          <w:b/>
          <w:sz w:val="20"/>
          <w:szCs w:val="20"/>
        </w:rPr>
        <w:t xml:space="preserve">. </w:t>
      </w:r>
      <w:r w:rsidRPr="001C1155">
        <w:rPr>
          <w:b/>
          <w:sz w:val="20"/>
          <w:szCs w:val="20"/>
        </w:rPr>
        <w:t>Representação da Lei 8.666/93. Cabe à Administração realizar diligências a fim de verificar se as propostas aparentemente irrisórias efetuadas em procedimentos licitatórios constituem efetivo risco à execução do contrato. A presunção de inexequibilidade prevista no art. 48, do Estatuto das Licitações não é absoluta. Procedência.</w:t>
      </w:r>
    </w:p>
    <w:p w:rsidR="00F26C93" w:rsidRPr="00F250FF" w:rsidRDefault="00F26C93" w:rsidP="00F26C93">
      <w:pPr>
        <w:autoSpaceDE w:val="0"/>
        <w:autoSpaceDN w:val="0"/>
        <w:adjustRightInd w:val="0"/>
        <w:spacing w:after="0"/>
        <w:jc w:val="both"/>
        <w:rPr>
          <w:rFonts w:ascii="Arial" w:hAnsi="Arial" w:cs="Arial"/>
          <w:sz w:val="20"/>
          <w:szCs w:val="20"/>
        </w:rPr>
      </w:pPr>
      <w:r w:rsidRPr="00F250FF">
        <w:rPr>
          <w:rFonts w:ascii="Arial" w:hAnsi="Arial" w:cs="Arial"/>
          <w:sz w:val="20"/>
          <w:szCs w:val="20"/>
        </w:rPr>
        <w:t>A Representação merece procedência, porquanto o pedido apresentado está em consonância com o entendimento do STJ, do TCU e desta Corte de Contas, os quais consideram como relativa (e não absoluta) a presunção de inexequibilidade de preço estabelecida na Lei Paranaense nº 15.608/2007.</w:t>
      </w:r>
    </w:p>
    <w:p w:rsidR="00F26C93" w:rsidRPr="00F250FF" w:rsidRDefault="00F26C93" w:rsidP="00F26C93">
      <w:pPr>
        <w:autoSpaceDE w:val="0"/>
        <w:autoSpaceDN w:val="0"/>
        <w:adjustRightInd w:val="0"/>
        <w:spacing w:after="0"/>
        <w:jc w:val="both"/>
        <w:rPr>
          <w:rFonts w:ascii="Arial" w:hAnsi="Arial" w:cs="Arial"/>
          <w:sz w:val="20"/>
          <w:szCs w:val="20"/>
        </w:rPr>
      </w:pPr>
    </w:p>
    <w:p w:rsidR="00F26C93" w:rsidRPr="00F250FF" w:rsidRDefault="00F26C93" w:rsidP="00F26C93">
      <w:pPr>
        <w:autoSpaceDE w:val="0"/>
        <w:autoSpaceDN w:val="0"/>
        <w:adjustRightInd w:val="0"/>
        <w:spacing w:after="0"/>
        <w:jc w:val="both"/>
        <w:rPr>
          <w:rFonts w:ascii="Arial" w:hAnsi="Arial" w:cs="Arial"/>
          <w:sz w:val="20"/>
          <w:szCs w:val="20"/>
        </w:rPr>
      </w:pPr>
      <w:r w:rsidRPr="00F250FF">
        <w:rPr>
          <w:rFonts w:ascii="Arial" w:hAnsi="Arial" w:cs="Arial"/>
          <w:sz w:val="20"/>
          <w:szCs w:val="20"/>
        </w:rPr>
        <w:t>Nessa linha, não é faculdade da Administração oportunizar ao particular a evidenciação da exequibilidade dos serviços contratados pelo preço ofertado.</w:t>
      </w:r>
    </w:p>
    <w:p w:rsidR="00F26C93" w:rsidRPr="00F250FF" w:rsidRDefault="00F26C93" w:rsidP="00F26C93">
      <w:pPr>
        <w:autoSpaceDE w:val="0"/>
        <w:autoSpaceDN w:val="0"/>
        <w:adjustRightInd w:val="0"/>
        <w:spacing w:after="0" w:line="240" w:lineRule="auto"/>
        <w:jc w:val="both"/>
        <w:rPr>
          <w:rFonts w:ascii="Arial" w:hAnsi="Arial" w:cs="Arial"/>
          <w:sz w:val="20"/>
          <w:szCs w:val="20"/>
        </w:rPr>
      </w:pPr>
    </w:p>
    <w:p w:rsidR="00F26C93" w:rsidRPr="00F250FF" w:rsidRDefault="00F26C93" w:rsidP="00F26C93">
      <w:pPr>
        <w:autoSpaceDE w:val="0"/>
        <w:autoSpaceDN w:val="0"/>
        <w:adjustRightInd w:val="0"/>
        <w:spacing w:after="0" w:line="240" w:lineRule="auto"/>
        <w:jc w:val="both"/>
        <w:rPr>
          <w:rFonts w:ascii="Arial" w:hAnsi="Arial" w:cs="Arial"/>
          <w:sz w:val="20"/>
          <w:szCs w:val="20"/>
        </w:rPr>
      </w:pPr>
      <w:r w:rsidRPr="00F250FF">
        <w:rPr>
          <w:rFonts w:ascii="Arial" w:hAnsi="Arial" w:cs="Arial"/>
          <w:sz w:val="20"/>
          <w:szCs w:val="20"/>
        </w:rPr>
        <w:t xml:space="preserve">Processo nº 561973/17 – </w:t>
      </w:r>
      <w:hyperlink r:id="rId15" w:history="1">
        <w:r w:rsidRPr="00F250FF">
          <w:rPr>
            <w:rStyle w:val="Hyperlink"/>
            <w:rFonts w:ascii="Arial" w:hAnsi="Arial" w:cs="Arial"/>
            <w:sz w:val="20"/>
            <w:szCs w:val="20"/>
          </w:rPr>
          <w:t>Acórdão nº 336/19 – Tribunal Pleno</w:t>
        </w:r>
      </w:hyperlink>
      <w:r w:rsidRPr="00F250FF">
        <w:rPr>
          <w:rFonts w:ascii="Arial" w:hAnsi="Arial" w:cs="Arial"/>
          <w:sz w:val="20"/>
          <w:szCs w:val="20"/>
        </w:rPr>
        <w:t xml:space="preserve"> - Relator Conselheiro Fernando Augusto Mello Guimarães.</w:t>
      </w:r>
    </w:p>
    <w:p w:rsidR="00F26C93" w:rsidRDefault="00F26C93" w:rsidP="00F26C93">
      <w:pPr>
        <w:autoSpaceDE w:val="0"/>
        <w:autoSpaceDN w:val="0"/>
        <w:adjustRightInd w:val="0"/>
        <w:spacing w:after="0" w:line="240" w:lineRule="auto"/>
        <w:jc w:val="both"/>
        <w:rPr>
          <w:rFonts w:ascii="Arial" w:hAnsi="Arial" w:cs="Arial"/>
          <w:b/>
          <w:sz w:val="20"/>
          <w:szCs w:val="20"/>
        </w:rPr>
      </w:pPr>
    </w:p>
    <w:p w:rsidR="00F26C93" w:rsidRPr="00FF31E4" w:rsidRDefault="00F26C93" w:rsidP="00F26C93">
      <w:pPr>
        <w:pStyle w:val="Default"/>
        <w:spacing w:after="200" w:line="276" w:lineRule="auto"/>
        <w:jc w:val="both"/>
        <w:rPr>
          <w:b/>
          <w:sz w:val="20"/>
          <w:szCs w:val="20"/>
        </w:rPr>
      </w:pPr>
      <w:r>
        <w:rPr>
          <w:b/>
          <w:sz w:val="20"/>
          <w:szCs w:val="20"/>
        </w:rPr>
        <w:t xml:space="preserve">9. </w:t>
      </w:r>
      <w:r w:rsidRPr="001B3781">
        <w:rPr>
          <w:b/>
          <w:sz w:val="20"/>
          <w:szCs w:val="20"/>
        </w:rPr>
        <w:t>Execução de decisão. É possível a baixa de determinação de restituição de valores quando comprovado que a obra, cuja suposta não realização fundamentou a determinação, foi devidamente realizada. Impossibilidade de revisão da decisão, em razão do trânsito em julgado. Registro de cumprimento da sanção</w:t>
      </w:r>
      <w:r w:rsidRPr="00713924">
        <w:rPr>
          <w:b/>
          <w:sz w:val="20"/>
          <w:szCs w:val="20"/>
        </w:rPr>
        <w:t>.</w:t>
      </w:r>
    </w:p>
    <w:p w:rsidR="00F26C93" w:rsidRPr="00713924" w:rsidRDefault="00F26C93" w:rsidP="00F26C93">
      <w:pPr>
        <w:autoSpaceDE w:val="0"/>
        <w:autoSpaceDN w:val="0"/>
        <w:adjustRightInd w:val="0"/>
        <w:spacing w:after="0"/>
        <w:jc w:val="both"/>
        <w:rPr>
          <w:rFonts w:ascii="Arial" w:hAnsi="Arial" w:cs="Arial"/>
          <w:sz w:val="20"/>
          <w:szCs w:val="20"/>
        </w:rPr>
      </w:pPr>
      <w:r w:rsidRPr="00F4409E">
        <w:rPr>
          <w:rFonts w:ascii="Arial" w:hAnsi="Arial" w:cs="Arial"/>
          <w:sz w:val="20"/>
          <w:szCs w:val="20"/>
        </w:rPr>
        <w:t>Tendo esta Corte determinado a devolução de valores em razão da não comprovação da execução das obras que deveriam ter sido realizadas com tais recursos, uma vez demonstrado que as obras, quando da realização dos repasses, foram efetivamente concluídas, não há que se falar em manutenção da determinação de ressarcimento.</w:t>
      </w:r>
      <w:r w:rsidRPr="00713924">
        <w:rPr>
          <w:rFonts w:ascii="Arial" w:hAnsi="Arial" w:cs="Arial"/>
          <w:sz w:val="20"/>
          <w:szCs w:val="20"/>
        </w:rPr>
        <w:t xml:space="preserve"> </w:t>
      </w:r>
      <w:r w:rsidRPr="00F4409E">
        <w:rPr>
          <w:rFonts w:ascii="Arial" w:hAnsi="Arial" w:cs="Arial"/>
          <w:sz w:val="20"/>
          <w:szCs w:val="20"/>
        </w:rPr>
        <w:t xml:space="preserve">Destaque-se que o “Laudo de Conclusão e Recebimento da Obra” acostado </w:t>
      </w:r>
      <w:r>
        <w:rPr>
          <w:rFonts w:ascii="Arial" w:hAnsi="Arial" w:cs="Arial"/>
          <w:sz w:val="20"/>
          <w:szCs w:val="20"/>
        </w:rPr>
        <w:t xml:space="preserve">nos autos </w:t>
      </w:r>
      <w:r w:rsidRPr="00F4409E">
        <w:rPr>
          <w:rFonts w:ascii="Arial" w:hAnsi="Arial" w:cs="Arial"/>
          <w:sz w:val="20"/>
          <w:szCs w:val="20"/>
        </w:rPr>
        <w:t>possui todos os elementos necessários para relacioná-lo à transferência voluntária objeto do processo.</w:t>
      </w:r>
      <w:r w:rsidRPr="00713924">
        <w:rPr>
          <w:rFonts w:ascii="Arial" w:hAnsi="Arial" w:cs="Arial"/>
          <w:sz w:val="20"/>
          <w:szCs w:val="20"/>
        </w:rPr>
        <w:t xml:space="preserve"> </w:t>
      </w:r>
    </w:p>
    <w:p w:rsidR="00F26C93" w:rsidRDefault="00F26C93" w:rsidP="00F26C93">
      <w:pPr>
        <w:autoSpaceDE w:val="0"/>
        <w:autoSpaceDN w:val="0"/>
        <w:adjustRightInd w:val="0"/>
        <w:spacing w:after="0"/>
        <w:jc w:val="both"/>
        <w:rPr>
          <w:rFonts w:ascii="Arial" w:hAnsi="Arial" w:cs="Arial"/>
          <w:sz w:val="20"/>
          <w:szCs w:val="20"/>
        </w:rPr>
      </w:pPr>
    </w:p>
    <w:p w:rsidR="00F26C93" w:rsidRPr="00F4409E" w:rsidRDefault="00F26C93" w:rsidP="00F26C93">
      <w:pPr>
        <w:autoSpaceDE w:val="0"/>
        <w:autoSpaceDN w:val="0"/>
        <w:adjustRightInd w:val="0"/>
        <w:spacing w:after="0"/>
        <w:jc w:val="both"/>
        <w:rPr>
          <w:rFonts w:ascii="Arial" w:hAnsi="Arial" w:cs="Arial"/>
          <w:sz w:val="20"/>
          <w:szCs w:val="20"/>
        </w:rPr>
      </w:pPr>
      <w:r w:rsidRPr="00F4409E">
        <w:rPr>
          <w:rFonts w:ascii="Arial" w:hAnsi="Arial" w:cs="Arial"/>
          <w:sz w:val="20"/>
          <w:szCs w:val="20"/>
        </w:rPr>
        <w:t xml:space="preserve">Em virtude do trânsito em julgado do Acórdão 2460/05-TP, mostra-se impossibilitado novo julgamento das contas. O que se entende necessário no presente momento é apenas a execução da decisão, mediante avaliação do cumprimento de suas determinações. </w:t>
      </w:r>
    </w:p>
    <w:p w:rsidR="00F26C93" w:rsidRPr="00953199" w:rsidRDefault="00F26C93" w:rsidP="00F26C93">
      <w:pPr>
        <w:autoSpaceDE w:val="0"/>
        <w:autoSpaceDN w:val="0"/>
        <w:adjustRightInd w:val="0"/>
        <w:spacing w:after="0"/>
        <w:jc w:val="both"/>
        <w:rPr>
          <w:rFonts w:ascii="Arial" w:hAnsi="Arial" w:cs="Arial"/>
          <w:sz w:val="20"/>
          <w:szCs w:val="20"/>
        </w:rPr>
      </w:pPr>
    </w:p>
    <w:p w:rsidR="00F26C93" w:rsidRPr="00953199" w:rsidRDefault="00F26C93" w:rsidP="00F26C93">
      <w:pPr>
        <w:autoSpaceDE w:val="0"/>
        <w:autoSpaceDN w:val="0"/>
        <w:adjustRightInd w:val="0"/>
        <w:spacing w:after="0" w:line="240" w:lineRule="auto"/>
        <w:jc w:val="both"/>
        <w:rPr>
          <w:rFonts w:ascii="Arial" w:hAnsi="Arial" w:cs="Arial"/>
          <w:sz w:val="20"/>
          <w:szCs w:val="20"/>
        </w:rPr>
      </w:pPr>
      <w:r w:rsidRPr="00953199">
        <w:rPr>
          <w:rFonts w:ascii="Arial" w:hAnsi="Arial" w:cs="Arial"/>
          <w:sz w:val="20"/>
          <w:szCs w:val="20"/>
        </w:rPr>
        <w:t xml:space="preserve">Processo nº </w:t>
      </w:r>
      <w:r>
        <w:rPr>
          <w:rFonts w:ascii="Arial" w:hAnsi="Arial" w:cs="Arial"/>
          <w:sz w:val="20"/>
          <w:szCs w:val="20"/>
        </w:rPr>
        <w:t>233530</w:t>
      </w:r>
      <w:r w:rsidRPr="00953199">
        <w:rPr>
          <w:rFonts w:ascii="Arial" w:hAnsi="Arial" w:cs="Arial"/>
          <w:sz w:val="20"/>
          <w:szCs w:val="20"/>
        </w:rPr>
        <w:t>/</w:t>
      </w:r>
      <w:r>
        <w:rPr>
          <w:rFonts w:ascii="Arial" w:hAnsi="Arial" w:cs="Arial"/>
          <w:sz w:val="20"/>
          <w:szCs w:val="20"/>
        </w:rPr>
        <w:t>05</w:t>
      </w:r>
      <w:r w:rsidRPr="00953199">
        <w:rPr>
          <w:rFonts w:ascii="Arial" w:hAnsi="Arial" w:cs="Arial"/>
          <w:sz w:val="20"/>
          <w:szCs w:val="20"/>
        </w:rPr>
        <w:t xml:space="preserve"> – </w:t>
      </w:r>
      <w:hyperlink r:id="rId16" w:history="1">
        <w:r w:rsidRPr="00A136F2">
          <w:rPr>
            <w:rStyle w:val="Hyperlink"/>
            <w:rFonts w:ascii="Arial" w:hAnsi="Arial" w:cs="Arial"/>
            <w:sz w:val="20"/>
            <w:szCs w:val="20"/>
          </w:rPr>
          <w:t>Acórdão nº 221/19 – Tribunal Pleno</w:t>
        </w:r>
      </w:hyperlink>
      <w:r>
        <w:rPr>
          <w:rFonts w:ascii="Arial" w:hAnsi="Arial" w:cs="Arial"/>
          <w:sz w:val="20"/>
          <w:szCs w:val="20"/>
        </w:rPr>
        <w:t xml:space="preserve"> - </w:t>
      </w:r>
      <w:r w:rsidRPr="00953199">
        <w:rPr>
          <w:rFonts w:ascii="Arial" w:hAnsi="Arial" w:cs="Arial"/>
          <w:sz w:val="20"/>
          <w:szCs w:val="20"/>
        </w:rPr>
        <w:t xml:space="preserve">Relator Conselheiro </w:t>
      </w:r>
      <w:r>
        <w:rPr>
          <w:rFonts w:ascii="Arial" w:hAnsi="Arial" w:cs="Arial"/>
          <w:sz w:val="20"/>
          <w:szCs w:val="20"/>
        </w:rPr>
        <w:t>Fernando Augusto Mello Guimarães</w:t>
      </w:r>
      <w:r w:rsidRPr="00953199">
        <w:rPr>
          <w:rFonts w:ascii="Arial" w:hAnsi="Arial" w:cs="Arial"/>
          <w:sz w:val="20"/>
          <w:szCs w:val="20"/>
        </w:rPr>
        <w:t>.</w:t>
      </w:r>
    </w:p>
    <w:p w:rsidR="00F26C93" w:rsidRPr="00953199" w:rsidRDefault="00F26C93" w:rsidP="00F26C93">
      <w:pPr>
        <w:autoSpaceDE w:val="0"/>
        <w:autoSpaceDN w:val="0"/>
        <w:adjustRightInd w:val="0"/>
        <w:spacing w:after="0" w:line="240" w:lineRule="auto"/>
        <w:rPr>
          <w:rFonts w:ascii="Arial" w:hAnsi="Arial" w:cs="Arial"/>
          <w:sz w:val="20"/>
          <w:szCs w:val="20"/>
        </w:rPr>
      </w:pPr>
    </w:p>
    <w:p w:rsidR="00F26C93" w:rsidRPr="00683FCE" w:rsidRDefault="00F26C93" w:rsidP="00F26C93">
      <w:pPr>
        <w:pStyle w:val="Default"/>
        <w:spacing w:after="200" w:line="276" w:lineRule="auto"/>
        <w:jc w:val="both"/>
        <w:rPr>
          <w:b/>
          <w:sz w:val="20"/>
          <w:szCs w:val="20"/>
        </w:rPr>
      </w:pPr>
      <w:r>
        <w:rPr>
          <w:b/>
          <w:sz w:val="20"/>
          <w:szCs w:val="20"/>
        </w:rPr>
        <w:t>10</w:t>
      </w:r>
      <w:r w:rsidRPr="00683FCE">
        <w:rPr>
          <w:b/>
          <w:sz w:val="20"/>
          <w:szCs w:val="20"/>
        </w:rPr>
        <w:t xml:space="preserve">. </w:t>
      </w:r>
      <w:r w:rsidRPr="00D747AC">
        <w:rPr>
          <w:b/>
          <w:sz w:val="20"/>
          <w:szCs w:val="20"/>
        </w:rPr>
        <w:t>Prestação de contas anual. FUNRESTRAN. Ausência de registro e evidenciação contábil tempestiva dos atos e fatos ocorridos no primeiro trimestre do Exercício de 2017. Não utilização dos recursos arrecadados com a cobrança de multas de trânsito destinados ao FUNRESTRAN para atender às despesas com sinalização, no que tange à parcela direcionada ao DETRAN.</w:t>
      </w:r>
      <w:r w:rsidR="00933CC9">
        <w:rPr>
          <w:b/>
          <w:sz w:val="20"/>
          <w:szCs w:val="20"/>
        </w:rPr>
        <w:t xml:space="preserve"> R</w:t>
      </w:r>
      <w:r w:rsidRPr="00D747AC">
        <w:rPr>
          <w:b/>
          <w:sz w:val="20"/>
          <w:szCs w:val="20"/>
        </w:rPr>
        <w:t>egularidade com ressalva e aplicação de multas administrativas.</w:t>
      </w:r>
    </w:p>
    <w:p w:rsidR="00F26C93" w:rsidRDefault="00F26C93" w:rsidP="00F26C93">
      <w:pPr>
        <w:autoSpaceDE w:val="0"/>
        <w:autoSpaceDN w:val="0"/>
        <w:adjustRightInd w:val="0"/>
        <w:spacing w:after="0"/>
        <w:jc w:val="both"/>
        <w:rPr>
          <w:rFonts w:ascii="Arial" w:hAnsi="Arial" w:cs="Arial"/>
          <w:sz w:val="20"/>
          <w:szCs w:val="20"/>
        </w:rPr>
      </w:pPr>
      <w:r w:rsidRPr="00951D9E">
        <w:rPr>
          <w:rFonts w:ascii="Arial" w:hAnsi="Arial" w:cs="Arial"/>
          <w:sz w:val="20"/>
          <w:szCs w:val="20"/>
        </w:rPr>
        <w:t>Em que pese as escusas da entidade quanto a ausência de servidores para realizar a escrituração contábil (já que toda a equipe foi exonerada e apenas 3 meses depois novos assessores foram nomeados), tal somente serve para demonstrar a falta de planejamento e organização a que o Fundo estava submetido. Insta ressaltar que as informações contábeis devem fornecer dados úteis sobre a entidade que as reporta, o que só ocorre com a escrituração contábil realizada de forma tempestiva, em homenagem aos princípios da oportunidade e da competência.</w:t>
      </w:r>
    </w:p>
    <w:p w:rsidR="00F26C93" w:rsidRDefault="00F26C93" w:rsidP="00F26C93">
      <w:pPr>
        <w:autoSpaceDE w:val="0"/>
        <w:autoSpaceDN w:val="0"/>
        <w:adjustRightInd w:val="0"/>
        <w:spacing w:after="0"/>
        <w:jc w:val="both"/>
        <w:rPr>
          <w:rFonts w:ascii="Arial" w:hAnsi="Arial" w:cs="Arial"/>
          <w:sz w:val="20"/>
          <w:szCs w:val="20"/>
        </w:rPr>
      </w:pPr>
    </w:p>
    <w:p w:rsidR="00F26C93" w:rsidRPr="00961107" w:rsidRDefault="00F26C93" w:rsidP="00F26C93">
      <w:pPr>
        <w:autoSpaceDE w:val="0"/>
        <w:autoSpaceDN w:val="0"/>
        <w:adjustRightInd w:val="0"/>
        <w:spacing w:after="0"/>
        <w:jc w:val="both"/>
        <w:rPr>
          <w:rFonts w:ascii="Arial" w:hAnsi="Arial" w:cs="Arial"/>
          <w:sz w:val="20"/>
          <w:szCs w:val="20"/>
        </w:rPr>
      </w:pPr>
      <w:r w:rsidRPr="00961107">
        <w:rPr>
          <w:rFonts w:ascii="Arial" w:hAnsi="Arial" w:cs="Arial"/>
          <w:sz w:val="20"/>
          <w:szCs w:val="20"/>
        </w:rPr>
        <w:t>Frise-se que a mora na utilização dos recursos leva o Estado a descumprir sua finalidade, a qual está prevista no art. 1º da Lei nº 6.264/19723 e no art. 2º da Resolução CONTRAN nº 638/2016, que prevê especificamente que as multas aplicadas com a finalidade de punir a quem transgrida a legislação de trânsito são receitas públicas orçamentárias e destinadas a atender, exclusivamente, as despesas públicas com sinalização, engenharia de tráfego e de campo, policiamento, fiscalização e educação de trânsito.</w:t>
      </w:r>
    </w:p>
    <w:p w:rsidR="00F26C93" w:rsidRPr="00951D9E"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951D9E">
        <w:rPr>
          <w:rFonts w:ascii="Arial" w:hAnsi="Arial" w:cs="Arial"/>
          <w:sz w:val="20"/>
          <w:szCs w:val="20"/>
        </w:rPr>
        <w:t>Inexistindo fatos ou documentos capazes de alterar o entendimento esposado pela unidade técnica, deve ser acatada a sugestão quanto a aplicação da MULTA ADMINISTRATIVA.</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autoSpaceDE w:val="0"/>
        <w:autoSpaceDN w:val="0"/>
        <w:adjustRightInd w:val="0"/>
        <w:spacing w:after="0" w:line="240" w:lineRule="auto"/>
        <w:jc w:val="both"/>
        <w:rPr>
          <w:rFonts w:ascii="Arial" w:hAnsi="Arial" w:cs="Arial"/>
          <w:b/>
          <w:sz w:val="20"/>
          <w:szCs w:val="20"/>
        </w:rPr>
      </w:pPr>
      <w:r w:rsidRPr="007A160D">
        <w:rPr>
          <w:rFonts w:ascii="Arial" w:hAnsi="Arial" w:cs="Arial"/>
          <w:sz w:val="20"/>
          <w:szCs w:val="20"/>
        </w:rPr>
        <w:t xml:space="preserve">Processo nº 301762/18 – </w:t>
      </w:r>
      <w:hyperlink r:id="rId17" w:history="1">
        <w:r w:rsidRPr="008349A1">
          <w:rPr>
            <w:rStyle w:val="Hyperlink"/>
            <w:rFonts w:ascii="Arial" w:hAnsi="Arial" w:cs="Arial"/>
            <w:sz w:val="20"/>
            <w:szCs w:val="20"/>
          </w:rPr>
          <w:t>Acórdão nº 220/19 – Tribunal Pleno</w:t>
        </w:r>
      </w:hyperlink>
      <w:r w:rsidRPr="007A160D">
        <w:rPr>
          <w:rFonts w:ascii="Arial" w:hAnsi="Arial" w:cs="Arial"/>
          <w:sz w:val="20"/>
          <w:szCs w:val="20"/>
        </w:rPr>
        <w:t xml:space="preserve"> - Relator Conselheiro </w:t>
      </w:r>
      <w:proofErr w:type="spellStart"/>
      <w:r w:rsidRPr="007A160D">
        <w:rPr>
          <w:rFonts w:ascii="Arial" w:hAnsi="Arial" w:cs="Arial"/>
          <w:sz w:val="20"/>
          <w:szCs w:val="20"/>
        </w:rPr>
        <w:t>Artagão</w:t>
      </w:r>
      <w:proofErr w:type="spellEnd"/>
      <w:r w:rsidRPr="007A160D">
        <w:rPr>
          <w:rFonts w:ascii="Arial" w:hAnsi="Arial" w:cs="Arial"/>
          <w:sz w:val="20"/>
          <w:szCs w:val="20"/>
        </w:rPr>
        <w:t xml:space="preserve"> de Mattos Leão.</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pStyle w:val="Default"/>
        <w:spacing w:after="200" w:line="276" w:lineRule="auto"/>
        <w:jc w:val="both"/>
        <w:rPr>
          <w:b/>
          <w:sz w:val="20"/>
          <w:szCs w:val="20"/>
        </w:rPr>
      </w:pPr>
      <w:r>
        <w:rPr>
          <w:b/>
          <w:sz w:val="20"/>
          <w:szCs w:val="20"/>
        </w:rPr>
        <w:t>11</w:t>
      </w:r>
      <w:r w:rsidRPr="006121B3">
        <w:rPr>
          <w:b/>
          <w:sz w:val="20"/>
          <w:szCs w:val="20"/>
        </w:rPr>
        <w:t>.</w:t>
      </w:r>
      <w:r>
        <w:rPr>
          <w:b/>
          <w:sz w:val="20"/>
          <w:szCs w:val="20"/>
        </w:rPr>
        <w:t xml:space="preserve"> </w:t>
      </w:r>
      <w:r w:rsidRPr="006121B3">
        <w:rPr>
          <w:b/>
          <w:sz w:val="20"/>
          <w:szCs w:val="20"/>
        </w:rPr>
        <w:t>Comunicação de irregularidade.</w:t>
      </w:r>
      <w:r>
        <w:rPr>
          <w:b/>
          <w:sz w:val="20"/>
          <w:szCs w:val="20"/>
        </w:rPr>
        <w:t xml:space="preserve"> </w:t>
      </w:r>
      <w:r w:rsidRPr="006121B3">
        <w:rPr>
          <w:b/>
          <w:sz w:val="20"/>
          <w:szCs w:val="20"/>
        </w:rPr>
        <w:t>Concessão e pagamento de gratificação pelo regime de Tempo Integral e Dedicação Exclusiva (TIDE) a servidores da carreira Técnica Universitária sem amparo legal. Pedido cautelar de suspensão de pagamentos e abstenção de novas concessões. Presença da verossimilhança do direito alegado, mas ausente requisito da urgência, em virtude da discussão da mesma matéria em outros expedientes pendentes de decisão de mérito. Critério de fiscalização de políticas públicas deve levar em conta a isonomia. Dano agregado, após a apreciação da liminar seria inexpressivo, frente àquele já caracterizado desde o início do pagamento das verbas tidas como irregulares. Não acolhimento.</w:t>
      </w:r>
      <w:r w:rsidRPr="00713924">
        <w:rPr>
          <w:b/>
          <w:sz w:val="20"/>
          <w:szCs w:val="20"/>
        </w:rPr>
        <w:t xml:space="preserve"> </w:t>
      </w:r>
    </w:p>
    <w:p w:rsidR="00F26C93" w:rsidRDefault="00F26C93" w:rsidP="00F26C93">
      <w:pPr>
        <w:autoSpaceDE w:val="0"/>
        <w:autoSpaceDN w:val="0"/>
        <w:adjustRightInd w:val="0"/>
        <w:spacing w:after="0"/>
        <w:jc w:val="both"/>
        <w:rPr>
          <w:rFonts w:ascii="Arial" w:hAnsi="Arial" w:cs="Arial"/>
          <w:sz w:val="20"/>
          <w:szCs w:val="20"/>
        </w:rPr>
      </w:pPr>
      <w:r w:rsidRPr="001423DF">
        <w:rPr>
          <w:rFonts w:ascii="Arial" w:hAnsi="Arial" w:cs="Arial"/>
          <w:sz w:val="20"/>
          <w:szCs w:val="20"/>
        </w:rPr>
        <w:lastRenderedPageBreak/>
        <w:t>Destarte, o pagamento da gratificação pelo regime de Tempo Integral e Dedicação Exclusiva (TIDE) aos agentes universitários é objeto de discussão em outros expedientes nesta Corte, podendo ser citado, a título exemplificativo, o Processo nº 267241/16, que trata do pagamento desta verba</w:t>
      </w:r>
      <w:r>
        <w:rPr>
          <w:rFonts w:ascii="Arial" w:hAnsi="Arial" w:cs="Arial"/>
          <w:sz w:val="20"/>
          <w:szCs w:val="20"/>
        </w:rPr>
        <w:t>.</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FE0B67">
        <w:rPr>
          <w:rFonts w:ascii="Arial" w:hAnsi="Arial" w:cs="Arial"/>
          <w:sz w:val="20"/>
          <w:szCs w:val="20"/>
        </w:rPr>
        <w:t>De igual forma, a mesma irregularidade foi detectada em outras Universidades Estaduais, em procedimento de auditoria, cuja conclusão, exarada no Acórdão nº 3798/18 – Tribunal Pleno, foi pela instauração das respectivas Tomadas de Contas Extraordinárias, sem determinação, até o momento, de cessação dos pagamentos.</w:t>
      </w:r>
    </w:p>
    <w:p w:rsidR="00F26C93" w:rsidRPr="00FE0B67" w:rsidRDefault="00F26C93" w:rsidP="00F26C93">
      <w:pPr>
        <w:autoSpaceDE w:val="0"/>
        <w:autoSpaceDN w:val="0"/>
        <w:adjustRightInd w:val="0"/>
        <w:spacing w:after="0"/>
        <w:jc w:val="both"/>
        <w:rPr>
          <w:rFonts w:ascii="Arial" w:hAnsi="Arial" w:cs="Arial"/>
          <w:sz w:val="20"/>
          <w:szCs w:val="20"/>
        </w:rPr>
      </w:pPr>
    </w:p>
    <w:p w:rsidR="00F26C93" w:rsidRPr="00FE0B67" w:rsidRDefault="00F26C93" w:rsidP="00F26C93">
      <w:pPr>
        <w:autoSpaceDE w:val="0"/>
        <w:autoSpaceDN w:val="0"/>
        <w:adjustRightInd w:val="0"/>
        <w:spacing w:after="0"/>
        <w:jc w:val="both"/>
        <w:rPr>
          <w:rFonts w:ascii="Arial" w:hAnsi="Arial" w:cs="Arial"/>
          <w:sz w:val="20"/>
          <w:szCs w:val="20"/>
        </w:rPr>
      </w:pPr>
      <w:r w:rsidRPr="00FE0B67">
        <w:rPr>
          <w:rFonts w:ascii="Arial" w:hAnsi="Arial" w:cs="Arial"/>
          <w:sz w:val="20"/>
          <w:szCs w:val="20"/>
        </w:rPr>
        <w:t xml:space="preserve">Em que pese a presença dos elementos da verossimilhança do direito alegado, tendo em conta a discussão da matéria em outros expedientes, não se verifica, no caso concreto, a urgência a justificar a expedição da medida cautelar. </w:t>
      </w:r>
    </w:p>
    <w:p w:rsidR="00F26C93" w:rsidRPr="00676659" w:rsidRDefault="00F26C93" w:rsidP="00F26C93">
      <w:pPr>
        <w:autoSpaceDE w:val="0"/>
        <w:autoSpaceDN w:val="0"/>
        <w:adjustRightInd w:val="0"/>
        <w:spacing w:after="0" w:line="240" w:lineRule="auto"/>
        <w:jc w:val="both"/>
        <w:rPr>
          <w:rFonts w:ascii="Arial" w:hAnsi="Arial" w:cs="Arial"/>
          <w:sz w:val="20"/>
          <w:szCs w:val="20"/>
        </w:rPr>
      </w:pPr>
      <w:r w:rsidRPr="00676659">
        <w:rPr>
          <w:rFonts w:ascii="Arial" w:hAnsi="Arial" w:cs="Arial"/>
          <w:sz w:val="20"/>
          <w:szCs w:val="20"/>
        </w:rPr>
        <w:t xml:space="preserve"> </w:t>
      </w:r>
    </w:p>
    <w:p w:rsidR="00F26C93" w:rsidRDefault="00F26C93" w:rsidP="00F26C93">
      <w:pPr>
        <w:autoSpaceDE w:val="0"/>
        <w:autoSpaceDN w:val="0"/>
        <w:adjustRightInd w:val="0"/>
        <w:spacing w:after="0" w:line="240" w:lineRule="auto"/>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856861/18</w:t>
      </w:r>
      <w:r w:rsidRPr="00F77EE9">
        <w:rPr>
          <w:rFonts w:ascii="Arial" w:hAnsi="Arial" w:cs="Arial"/>
          <w:sz w:val="20"/>
          <w:szCs w:val="20"/>
        </w:rPr>
        <w:t xml:space="preserve"> - </w:t>
      </w:r>
      <w:hyperlink r:id="rId18" w:history="1">
        <w:r w:rsidRPr="00F44BBC">
          <w:rPr>
            <w:rStyle w:val="Hyperlink"/>
            <w:rFonts w:ascii="Arial" w:hAnsi="Arial" w:cs="Arial"/>
            <w:sz w:val="20"/>
            <w:szCs w:val="20"/>
          </w:rPr>
          <w:t>Acórdão nº 231/19 – Tribunal Pleno</w:t>
        </w:r>
      </w:hyperlink>
      <w:r>
        <w:rPr>
          <w:rFonts w:ascii="Arial" w:hAnsi="Arial" w:cs="Arial"/>
          <w:sz w:val="20"/>
          <w:szCs w:val="20"/>
        </w:rPr>
        <w:t xml:space="preserve"> –</w:t>
      </w:r>
      <w:r w:rsidRPr="00F77EE9">
        <w:rPr>
          <w:rFonts w:ascii="Arial" w:hAnsi="Arial" w:cs="Arial"/>
          <w:sz w:val="20"/>
          <w:szCs w:val="20"/>
        </w:rPr>
        <w:t xml:space="preserve"> Relator</w:t>
      </w:r>
      <w:r>
        <w:rPr>
          <w:rFonts w:ascii="Arial" w:hAnsi="Arial" w:cs="Arial"/>
          <w:sz w:val="20"/>
          <w:szCs w:val="20"/>
        </w:rPr>
        <w:t xml:space="preserve"> 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F77EE9">
        <w:rPr>
          <w:rFonts w:ascii="Arial" w:hAnsi="Arial" w:cs="Arial"/>
          <w:sz w:val="20"/>
          <w:szCs w:val="20"/>
        </w:rPr>
        <w:t>.</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pStyle w:val="Default"/>
        <w:spacing w:after="200" w:line="276" w:lineRule="auto"/>
        <w:jc w:val="both"/>
        <w:rPr>
          <w:b/>
          <w:sz w:val="20"/>
          <w:szCs w:val="20"/>
        </w:rPr>
      </w:pPr>
      <w:r>
        <w:rPr>
          <w:b/>
          <w:sz w:val="20"/>
          <w:szCs w:val="20"/>
        </w:rPr>
        <w:t>12</w:t>
      </w:r>
      <w:r w:rsidRPr="00705917">
        <w:rPr>
          <w:b/>
          <w:sz w:val="20"/>
          <w:szCs w:val="20"/>
        </w:rPr>
        <w:t>. Pedido de rescisão. Análise de liminar. Documentos apresentados formam prova inequívoca do direito. Impossibilidade de celebração de transferências voluntárias, colocando em risco as atividades da APAE, configura perigo de dano de difícil reparação. Deferimento.</w:t>
      </w:r>
    </w:p>
    <w:p w:rsidR="00F26C93" w:rsidRPr="00494ECF" w:rsidRDefault="00F26C93" w:rsidP="00F26C93">
      <w:pPr>
        <w:autoSpaceDE w:val="0"/>
        <w:autoSpaceDN w:val="0"/>
        <w:adjustRightInd w:val="0"/>
        <w:spacing w:after="0"/>
        <w:jc w:val="both"/>
        <w:rPr>
          <w:rFonts w:ascii="Arial" w:hAnsi="Arial" w:cs="Arial"/>
          <w:sz w:val="20"/>
          <w:szCs w:val="20"/>
        </w:rPr>
      </w:pPr>
      <w:r w:rsidRPr="00494ECF">
        <w:rPr>
          <w:rFonts w:ascii="Arial" w:hAnsi="Arial" w:cs="Arial"/>
          <w:sz w:val="20"/>
          <w:szCs w:val="20"/>
        </w:rPr>
        <w:t xml:space="preserve">Afasta a preliminar suscitada pelo Órgão Ministerial acerca da incompatibilidade da concessão de liminares em pedidos de rescisão com a previsão do caput do art. 77, da LC/PR 113/05. Trata-se de medida inerente ao poder geral de cautela do julgador, de acordo com orientação fixada em sede </w:t>
      </w:r>
      <w:proofErr w:type="gramStart"/>
      <w:r w:rsidRPr="00494ECF">
        <w:rPr>
          <w:rFonts w:ascii="Arial" w:hAnsi="Arial" w:cs="Arial"/>
          <w:sz w:val="20"/>
          <w:szCs w:val="20"/>
        </w:rPr>
        <w:t>de Prejulgado</w:t>
      </w:r>
      <w:proofErr w:type="gramEnd"/>
      <w:r w:rsidRPr="00494ECF">
        <w:rPr>
          <w:rFonts w:ascii="Arial" w:hAnsi="Arial" w:cs="Arial"/>
          <w:sz w:val="20"/>
          <w:szCs w:val="20"/>
        </w:rPr>
        <w:t xml:space="preserve"> (Acórdão 1115/06-STP).</w:t>
      </w:r>
    </w:p>
    <w:p w:rsidR="00F26C93" w:rsidRPr="00494ECF" w:rsidRDefault="00F26C93" w:rsidP="00F26C93">
      <w:pPr>
        <w:autoSpaceDE w:val="0"/>
        <w:autoSpaceDN w:val="0"/>
        <w:adjustRightInd w:val="0"/>
        <w:spacing w:after="0"/>
        <w:jc w:val="both"/>
        <w:rPr>
          <w:rFonts w:ascii="Arial" w:hAnsi="Arial" w:cs="Arial"/>
          <w:sz w:val="20"/>
          <w:szCs w:val="20"/>
        </w:rPr>
      </w:pPr>
    </w:p>
    <w:p w:rsidR="00F26C93" w:rsidRPr="00494ECF" w:rsidRDefault="00F26C93" w:rsidP="00F26C93">
      <w:pPr>
        <w:autoSpaceDE w:val="0"/>
        <w:autoSpaceDN w:val="0"/>
        <w:adjustRightInd w:val="0"/>
        <w:spacing w:after="0"/>
        <w:jc w:val="both"/>
        <w:rPr>
          <w:rFonts w:ascii="Arial" w:hAnsi="Arial" w:cs="Arial"/>
          <w:sz w:val="20"/>
          <w:szCs w:val="20"/>
        </w:rPr>
      </w:pPr>
      <w:r w:rsidRPr="00494ECF">
        <w:rPr>
          <w:rFonts w:ascii="Arial" w:hAnsi="Arial" w:cs="Arial"/>
          <w:sz w:val="20"/>
          <w:szCs w:val="20"/>
        </w:rPr>
        <w:t>Quanto ao pleito liminar, observa-se que o art. 495-A, do RITCE/PR, impõe duas condições, a saber: prova inequívoca do direito e perigo de dano de difícil reparação.</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Pr="00494ECF" w:rsidRDefault="00F26C93" w:rsidP="00F26C93">
      <w:pPr>
        <w:autoSpaceDE w:val="0"/>
        <w:autoSpaceDN w:val="0"/>
        <w:adjustRightInd w:val="0"/>
        <w:spacing w:after="0"/>
        <w:jc w:val="both"/>
        <w:rPr>
          <w:rFonts w:ascii="Arial" w:hAnsi="Arial" w:cs="Arial"/>
          <w:sz w:val="20"/>
          <w:szCs w:val="20"/>
        </w:rPr>
      </w:pPr>
      <w:r w:rsidRPr="00494ECF">
        <w:rPr>
          <w:rFonts w:ascii="Arial" w:hAnsi="Arial" w:cs="Arial"/>
          <w:sz w:val="20"/>
          <w:szCs w:val="20"/>
        </w:rPr>
        <w:t>O fumus boni iuris foi demonstrad</w:t>
      </w:r>
      <w:r w:rsidR="00874FA8">
        <w:rPr>
          <w:rFonts w:ascii="Arial" w:hAnsi="Arial" w:cs="Arial"/>
          <w:sz w:val="20"/>
          <w:szCs w:val="20"/>
        </w:rPr>
        <w:t>a</w:t>
      </w:r>
      <w:r w:rsidRPr="00494ECF">
        <w:rPr>
          <w:rFonts w:ascii="Arial" w:hAnsi="Arial" w:cs="Arial"/>
          <w:sz w:val="20"/>
          <w:szCs w:val="20"/>
        </w:rPr>
        <w:t xml:space="preserve"> pela Coordenadoria de Gestão Estadual, que verificou a apresentação dos documentos cuja ausência fundamentou a decisão que ora se pretende rescindir (extratos bancários), havendo atestado que são plenamente conciliáveis com as despesas realizadas, bem como com os estornos efetuados.</w:t>
      </w:r>
    </w:p>
    <w:p w:rsidR="00F26C93" w:rsidRPr="00494ECF"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494ECF">
        <w:rPr>
          <w:rFonts w:ascii="Arial" w:hAnsi="Arial" w:cs="Arial"/>
          <w:sz w:val="20"/>
          <w:szCs w:val="20"/>
        </w:rPr>
        <w:t>Os documentos carreados nos autos comprovam que a manutenção do julgamento atacado coloca em risco o desenvolvimento das atividades da APAE (e, por conseguinte, a oferta de educação a alunos com necessidades especiais), que não consegue acesso a certidão liberatória desta Corte, não podendo celebrar novas transferências voluntárias.</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autoSpaceDE w:val="0"/>
        <w:autoSpaceDN w:val="0"/>
        <w:adjustRightInd w:val="0"/>
        <w:spacing w:after="0" w:line="240" w:lineRule="auto"/>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805540/18</w:t>
      </w:r>
      <w:r w:rsidRPr="00F77EE9">
        <w:rPr>
          <w:rFonts w:ascii="Arial" w:hAnsi="Arial" w:cs="Arial"/>
          <w:sz w:val="20"/>
          <w:szCs w:val="20"/>
        </w:rPr>
        <w:t xml:space="preserve"> - </w:t>
      </w:r>
      <w:hyperlink r:id="rId19" w:history="1">
        <w:r w:rsidRPr="00F44BBC">
          <w:rPr>
            <w:rStyle w:val="Hyperlink"/>
            <w:rFonts w:ascii="Arial" w:hAnsi="Arial" w:cs="Arial"/>
            <w:sz w:val="20"/>
            <w:szCs w:val="20"/>
          </w:rPr>
          <w:t xml:space="preserve">Acórdão nº </w:t>
        </w:r>
        <w:r>
          <w:rPr>
            <w:rStyle w:val="Hyperlink"/>
            <w:rFonts w:ascii="Arial" w:hAnsi="Arial" w:cs="Arial"/>
            <w:sz w:val="20"/>
            <w:szCs w:val="20"/>
          </w:rPr>
          <w:t>225</w:t>
        </w:r>
        <w:r w:rsidRPr="00F44BBC">
          <w:rPr>
            <w:rStyle w:val="Hyperlink"/>
            <w:rFonts w:ascii="Arial" w:hAnsi="Arial" w:cs="Arial"/>
            <w:sz w:val="20"/>
            <w:szCs w:val="20"/>
          </w:rPr>
          <w:t>/19 – Tribunal Pleno</w:t>
        </w:r>
      </w:hyperlink>
      <w:r>
        <w:rPr>
          <w:rFonts w:ascii="Arial" w:hAnsi="Arial" w:cs="Arial"/>
          <w:sz w:val="20"/>
          <w:szCs w:val="20"/>
        </w:rPr>
        <w:t xml:space="preserve"> –</w:t>
      </w:r>
      <w:r w:rsidRPr="00F77EE9">
        <w:rPr>
          <w:rFonts w:ascii="Arial" w:hAnsi="Arial" w:cs="Arial"/>
          <w:sz w:val="20"/>
          <w:szCs w:val="20"/>
        </w:rPr>
        <w:t xml:space="preserve"> Relator</w:t>
      </w:r>
      <w:r>
        <w:rPr>
          <w:rFonts w:ascii="Arial" w:hAnsi="Arial" w:cs="Arial"/>
          <w:sz w:val="20"/>
          <w:szCs w:val="20"/>
        </w:rPr>
        <w:t xml:space="preserve"> Conselheiro Fernando Augusto Mello Guimarães.</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pStyle w:val="Default"/>
        <w:spacing w:after="200" w:line="276" w:lineRule="auto"/>
        <w:jc w:val="both"/>
        <w:rPr>
          <w:b/>
          <w:sz w:val="20"/>
          <w:szCs w:val="20"/>
        </w:rPr>
      </w:pPr>
      <w:r>
        <w:rPr>
          <w:b/>
          <w:sz w:val="20"/>
          <w:szCs w:val="20"/>
        </w:rPr>
        <w:lastRenderedPageBreak/>
        <w:t>13</w:t>
      </w:r>
      <w:r w:rsidRPr="00BC5A39">
        <w:rPr>
          <w:b/>
          <w:sz w:val="20"/>
          <w:szCs w:val="20"/>
        </w:rPr>
        <w:t xml:space="preserve">. </w:t>
      </w:r>
      <w:r w:rsidRPr="00F60413">
        <w:rPr>
          <w:b/>
          <w:sz w:val="20"/>
          <w:szCs w:val="20"/>
        </w:rPr>
        <w:t>Representação</w:t>
      </w:r>
      <w:r w:rsidRPr="00BC5A39">
        <w:rPr>
          <w:b/>
          <w:sz w:val="20"/>
          <w:szCs w:val="20"/>
        </w:rPr>
        <w:t xml:space="preserve"> da Lei nº 8.666/93. Aquisição de medicamentos. Falhas na descrição do objeto licitado. Possibilidade de melhorias na formação do preço máximo dos itens licitados e na demonstração da metodologia utilizada para a formação dos preços máximos. Falhas no atendimento do dever de transparência. Necessidade de melhoria nos mecanismos de controle interno municipal. Conhecimento e parcial procedência.</w:t>
      </w:r>
    </w:p>
    <w:p w:rsidR="00F26C93" w:rsidRDefault="00F26C93" w:rsidP="00F26C93">
      <w:pPr>
        <w:autoSpaceDE w:val="0"/>
        <w:autoSpaceDN w:val="0"/>
        <w:adjustRightInd w:val="0"/>
        <w:spacing w:after="0"/>
        <w:jc w:val="both"/>
        <w:rPr>
          <w:rFonts w:ascii="Arial" w:hAnsi="Arial" w:cs="Arial"/>
          <w:sz w:val="20"/>
          <w:szCs w:val="20"/>
        </w:rPr>
      </w:pPr>
      <w:r w:rsidRPr="00C26735">
        <w:rPr>
          <w:rFonts w:ascii="Arial" w:hAnsi="Arial" w:cs="Arial"/>
          <w:sz w:val="20"/>
          <w:szCs w:val="20"/>
        </w:rPr>
        <w:t>Tendo em vista a demonstração da ausência de impacto das falhas apontadas no resultado do certame</w:t>
      </w:r>
      <w:r>
        <w:rPr>
          <w:rFonts w:ascii="Arial" w:hAnsi="Arial" w:cs="Arial"/>
          <w:sz w:val="20"/>
          <w:szCs w:val="20"/>
        </w:rPr>
        <w:t xml:space="preserve"> para aquisição de medicamentos</w:t>
      </w:r>
      <w:r w:rsidRPr="00C26735">
        <w:rPr>
          <w:rFonts w:ascii="Arial" w:hAnsi="Arial" w:cs="Arial"/>
          <w:sz w:val="20"/>
          <w:szCs w:val="20"/>
        </w:rPr>
        <w:t>, haja vista a apresentação de proposta para os mesmos por parte de todos licitantes, e ainda, tendo em vista que as falhas apuradas se restringem a 3 dos 119 itens licitados, entendo que a restrição havida não é causa suficiente a que</w:t>
      </w:r>
      <w:r w:rsidRPr="00F60413">
        <w:rPr>
          <w:rFonts w:ascii="Arial" w:hAnsi="Arial" w:cs="Arial"/>
          <w:sz w:val="20"/>
          <w:szCs w:val="20"/>
        </w:rPr>
        <w:t xml:space="preserve"> seja julgado irregular o Pregão nº 033/2017, nem tampouco deve ensejar a aplicação de sancionamento administrativo aos responsáveis.</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EB04A9">
        <w:rPr>
          <w:rFonts w:ascii="Arial" w:hAnsi="Arial" w:cs="Arial"/>
          <w:sz w:val="20"/>
          <w:szCs w:val="20"/>
        </w:rPr>
        <w:t>Contudo,</w:t>
      </w:r>
      <w:r w:rsidRPr="00F60413">
        <w:rPr>
          <w:rFonts w:ascii="Arial" w:hAnsi="Arial" w:cs="Arial"/>
          <w:sz w:val="20"/>
          <w:szCs w:val="20"/>
        </w:rPr>
        <w:t xml:space="preserve"> deve ser emitida determinação ao Município e seus gestores, para que aprimorem a formulação de seus editais, especialmente quanto à descrição objetiva e precisa dos objetos licitados.</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E718C0">
        <w:rPr>
          <w:rFonts w:ascii="Arial" w:hAnsi="Arial" w:cs="Arial"/>
          <w:sz w:val="20"/>
          <w:szCs w:val="20"/>
        </w:rPr>
        <w:t>Os princípios da economicidade e da eficiência exigem dos gestores públicos a busca pelos melhores mecanismos de formação dos preços para suas aquisições, não apenas através da realização de pesquisa de preços, mas através de todos os meios disponíveis para tanto, inclusive consultando bancos de preços praticados pela administração pública, consoante expressamente fixado pelo art. 15, V da Lei nº 8.666/93, que prevê que, “as compras, sempre que possível, deverão se balizar pelos preços praticados no âmbito dos órgãos e entidades da Administração Pública”.</w:t>
      </w:r>
    </w:p>
    <w:p w:rsidR="00F26C93" w:rsidRDefault="00F26C93" w:rsidP="00F26C93">
      <w:pPr>
        <w:autoSpaceDE w:val="0"/>
        <w:autoSpaceDN w:val="0"/>
        <w:adjustRightInd w:val="0"/>
        <w:spacing w:after="0"/>
        <w:jc w:val="both"/>
        <w:rPr>
          <w:rFonts w:ascii="Arial" w:hAnsi="Arial" w:cs="Arial"/>
          <w:sz w:val="20"/>
          <w:szCs w:val="20"/>
        </w:rPr>
      </w:pPr>
    </w:p>
    <w:p w:rsidR="00F26C93" w:rsidRPr="00294A46"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t>P</w:t>
      </w:r>
      <w:r w:rsidRPr="00294A46">
        <w:rPr>
          <w:rFonts w:ascii="Arial" w:hAnsi="Arial" w:cs="Arial"/>
          <w:sz w:val="20"/>
          <w:szCs w:val="20"/>
        </w:rPr>
        <w:t>ara a formação de preços bus</w:t>
      </w:r>
      <w:r>
        <w:rPr>
          <w:rFonts w:ascii="Arial" w:hAnsi="Arial" w:cs="Arial"/>
          <w:sz w:val="20"/>
          <w:szCs w:val="20"/>
        </w:rPr>
        <w:t>car</w:t>
      </w:r>
      <w:r w:rsidRPr="00294A46">
        <w:rPr>
          <w:rFonts w:ascii="Arial" w:hAnsi="Arial" w:cs="Arial"/>
          <w:sz w:val="20"/>
          <w:szCs w:val="20"/>
        </w:rPr>
        <w:t xml:space="preserve"> diversificar a base de consulta e utilizar-se de: editais de licitação e contratos similares firmados por entes da Administração Pública; contratações anteriores (em até 180 dias) do próprio órgão; atas de registro de preços da Administração Pública; publicações especializadas; cotações com fornecedores em potencial; sites especializados de amplo acesso, com indicação de data e hora da consulta.</w:t>
      </w:r>
    </w:p>
    <w:p w:rsidR="00F26C93" w:rsidRPr="00294A46"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Pr>
          <w:rFonts w:ascii="Arial" w:hAnsi="Arial" w:cs="Arial"/>
          <w:sz w:val="20"/>
          <w:szCs w:val="20"/>
        </w:rPr>
        <w:t xml:space="preserve">Quanto </w:t>
      </w:r>
      <w:r w:rsidRPr="0012604B">
        <w:rPr>
          <w:rFonts w:ascii="Arial" w:hAnsi="Arial" w:cs="Arial"/>
          <w:sz w:val="20"/>
          <w:szCs w:val="20"/>
        </w:rPr>
        <w:t>ao dever de transparência, deve</w:t>
      </w:r>
      <w:r>
        <w:rPr>
          <w:rFonts w:ascii="Arial" w:hAnsi="Arial" w:cs="Arial"/>
          <w:sz w:val="20"/>
          <w:szCs w:val="20"/>
        </w:rPr>
        <w:t xml:space="preserve"> </w:t>
      </w:r>
      <w:r w:rsidRPr="0012604B">
        <w:rPr>
          <w:rFonts w:ascii="Arial" w:hAnsi="Arial" w:cs="Arial"/>
          <w:sz w:val="20"/>
          <w:szCs w:val="20"/>
        </w:rPr>
        <w:t>ser emitida determinação ao Município</w:t>
      </w:r>
      <w:r>
        <w:rPr>
          <w:rFonts w:ascii="Arial" w:hAnsi="Arial" w:cs="Arial"/>
          <w:sz w:val="20"/>
          <w:szCs w:val="20"/>
        </w:rPr>
        <w:t xml:space="preserve"> </w:t>
      </w:r>
      <w:r w:rsidRPr="0012604B">
        <w:rPr>
          <w:rFonts w:ascii="Arial" w:hAnsi="Arial" w:cs="Arial"/>
          <w:sz w:val="20"/>
          <w:szCs w:val="20"/>
        </w:rPr>
        <w:t>para que, no prazo de 30 dias, adote providências para garantir que as informações sobre as aquisições de bens e serviços realizadas pela municipalidade tornem-se de fácil acesso, nos precisos termos do art. 8º da Lei 12.527/201112, permitindo-se o conhecimento fácil de todos os procedimentos licitatórios promovidos, com indicação clara de seus objetos e valores, e ainda com possibilidade de acesso aos editais, resultados e contratos celebrados.</w:t>
      </w:r>
    </w:p>
    <w:p w:rsidR="00F26C93"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472E2C">
        <w:rPr>
          <w:rFonts w:ascii="Arial" w:hAnsi="Arial" w:cs="Arial"/>
          <w:sz w:val="20"/>
          <w:szCs w:val="20"/>
        </w:rPr>
        <w:t xml:space="preserve">Quanto ao Controle Interno, embora não se espere que verifique cada um dos editais de licitação isoladamente, espera-se o controle dos mecanismos de atuação dos agentes públicos, dos processos de trabalho. Quanto à aquisição de bens e serviços, deve aferir a regularidade desde a definição dos itens a serem adquiridos (apurando a real necessidade dos itens, as formas de </w:t>
      </w:r>
      <w:r w:rsidRPr="00472E2C">
        <w:rPr>
          <w:rFonts w:ascii="Arial" w:hAnsi="Arial" w:cs="Arial"/>
          <w:sz w:val="20"/>
          <w:szCs w:val="20"/>
        </w:rPr>
        <w:lastRenderedPageBreak/>
        <w:t>controle acerca da exigência efetiva da demanda apresentada), como também os critérios para a escolha dos mecanismos de aquisição (critérios para definição da modalidade licitatória</w:t>
      </w:r>
      <w:r w:rsidRPr="00713924">
        <w:rPr>
          <w:rFonts w:ascii="Arial" w:hAnsi="Arial" w:cs="Arial"/>
          <w:sz w:val="20"/>
          <w:szCs w:val="20"/>
        </w:rPr>
        <w:t xml:space="preserve"> </w:t>
      </w:r>
      <w:r w:rsidRPr="00472E2C">
        <w:rPr>
          <w:rFonts w:ascii="Arial" w:hAnsi="Arial" w:cs="Arial"/>
          <w:sz w:val="20"/>
          <w:szCs w:val="20"/>
        </w:rPr>
        <w:t>a ser utilizada, mecanismos de aferição dos preços máximos, publicidade adequada da</w:t>
      </w:r>
      <w:r w:rsidRPr="00713924">
        <w:rPr>
          <w:rFonts w:ascii="Arial" w:hAnsi="Arial" w:cs="Arial"/>
          <w:sz w:val="20"/>
          <w:szCs w:val="20"/>
        </w:rPr>
        <w:t xml:space="preserve"> </w:t>
      </w:r>
      <w:r w:rsidRPr="00472E2C">
        <w:rPr>
          <w:rFonts w:ascii="Arial" w:hAnsi="Arial" w:cs="Arial"/>
          <w:sz w:val="20"/>
          <w:szCs w:val="20"/>
        </w:rPr>
        <w:t>pretensão aquisitiva), até os procedimentos de destinação final dos bens e serviços adquiridos (com a verificação, ainda que por amostragem, dos procedimentos de empenhamento das despesas, dos controles exercidos pelos fiscais de contrato, de ingresso e saída dos bens adquiridos, da transparência desses atos), dentre outros.</w:t>
      </w:r>
    </w:p>
    <w:p w:rsidR="00F26C93" w:rsidRDefault="00F26C93" w:rsidP="00F26C93">
      <w:pPr>
        <w:autoSpaceDE w:val="0"/>
        <w:autoSpaceDN w:val="0"/>
        <w:adjustRightInd w:val="0"/>
        <w:spacing w:after="0" w:line="240" w:lineRule="auto"/>
        <w:jc w:val="both"/>
        <w:rPr>
          <w:rFonts w:ascii="Arial" w:hAnsi="Arial" w:cs="Arial"/>
          <w:sz w:val="20"/>
          <w:szCs w:val="20"/>
        </w:rPr>
      </w:pPr>
    </w:p>
    <w:p w:rsidR="00F26C93" w:rsidRDefault="00F26C93" w:rsidP="00F26C93">
      <w:pPr>
        <w:autoSpaceDE w:val="0"/>
        <w:autoSpaceDN w:val="0"/>
        <w:adjustRightInd w:val="0"/>
        <w:spacing w:after="0" w:line="240" w:lineRule="auto"/>
        <w:jc w:val="both"/>
        <w:rPr>
          <w:rFonts w:ascii="Arial" w:hAnsi="Arial" w:cs="Arial"/>
          <w:sz w:val="20"/>
          <w:szCs w:val="20"/>
        </w:rPr>
      </w:pPr>
      <w:r w:rsidRPr="00F77EE9">
        <w:rPr>
          <w:rFonts w:ascii="Arial" w:hAnsi="Arial" w:cs="Arial"/>
          <w:sz w:val="20"/>
          <w:szCs w:val="20"/>
        </w:rPr>
        <w:t xml:space="preserve">Processo nº </w:t>
      </w:r>
      <w:r>
        <w:t>281125/18</w:t>
      </w:r>
      <w:r w:rsidRPr="00F77EE9">
        <w:rPr>
          <w:rFonts w:ascii="Arial" w:hAnsi="Arial" w:cs="Arial"/>
          <w:sz w:val="20"/>
          <w:szCs w:val="20"/>
        </w:rPr>
        <w:t xml:space="preserve"> - </w:t>
      </w:r>
      <w:hyperlink r:id="rId20" w:history="1">
        <w:r w:rsidRPr="00F44BBC">
          <w:rPr>
            <w:rStyle w:val="Hyperlink"/>
            <w:rFonts w:ascii="Arial" w:hAnsi="Arial" w:cs="Arial"/>
            <w:sz w:val="20"/>
            <w:szCs w:val="20"/>
          </w:rPr>
          <w:t xml:space="preserve">Acórdão nº </w:t>
        </w:r>
        <w:r>
          <w:rPr>
            <w:rStyle w:val="Hyperlink"/>
            <w:rFonts w:ascii="Arial" w:hAnsi="Arial" w:cs="Arial"/>
            <w:sz w:val="20"/>
            <w:szCs w:val="20"/>
          </w:rPr>
          <w:t>226</w:t>
        </w:r>
        <w:r w:rsidRPr="00F44BBC">
          <w:rPr>
            <w:rStyle w:val="Hyperlink"/>
            <w:rFonts w:ascii="Arial" w:hAnsi="Arial" w:cs="Arial"/>
            <w:sz w:val="20"/>
            <w:szCs w:val="20"/>
          </w:rPr>
          <w:t>/19 – Tribunal Pleno</w:t>
        </w:r>
      </w:hyperlink>
      <w:r>
        <w:rPr>
          <w:rFonts w:ascii="Arial" w:hAnsi="Arial" w:cs="Arial"/>
          <w:sz w:val="20"/>
          <w:szCs w:val="20"/>
        </w:rPr>
        <w:t xml:space="preserve"> –</w:t>
      </w:r>
      <w:r w:rsidRPr="00F77EE9">
        <w:rPr>
          <w:rFonts w:ascii="Arial" w:hAnsi="Arial" w:cs="Arial"/>
          <w:sz w:val="20"/>
          <w:szCs w:val="20"/>
        </w:rPr>
        <w:t xml:space="preserve"> Relator</w:t>
      </w:r>
      <w:r>
        <w:rPr>
          <w:rFonts w:ascii="Arial" w:hAnsi="Arial" w:cs="Arial"/>
          <w:sz w:val="20"/>
          <w:szCs w:val="20"/>
        </w:rPr>
        <w:t xml:space="preserve"> Conselheiro Fernando Augusto Mello Guimarães.</w:t>
      </w:r>
    </w:p>
    <w:p w:rsidR="00F26C93" w:rsidRPr="0026510B" w:rsidRDefault="00F26C93" w:rsidP="00F26C93">
      <w:pPr>
        <w:autoSpaceDE w:val="0"/>
        <w:autoSpaceDN w:val="0"/>
        <w:adjustRightInd w:val="0"/>
        <w:spacing w:after="0"/>
        <w:jc w:val="both"/>
        <w:rPr>
          <w:rFonts w:ascii="Arial" w:hAnsi="Arial" w:cs="Arial"/>
          <w:color w:val="000000"/>
          <w:sz w:val="20"/>
          <w:szCs w:val="20"/>
          <w:shd w:val="clear" w:color="auto" w:fill="FFFFFF"/>
        </w:rPr>
      </w:pPr>
    </w:p>
    <w:p w:rsidR="00F26C93" w:rsidRPr="0022060B" w:rsidRDefault="00F26C93" w:rsidP="00F26C93">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bookmarkEnd w:id="0"/>
    <w:p w:rsidR="00F26C93" w:rsidRPr="0022060B" w:rsidRDefault="00F26C93" w:rsidP="00F26C93">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2848" behindDoc="0" locked="0" layoutInCell="1" allowOverlap="1" wp14:anchorId="6EB539A3" wp14:editId="39710306">
                <wp:simplePos x="0" y="0"/>
                <wp:positionH relativeFrom="margin">
                  <wp:posOffset>-6985</wp:posOffset>
                </wp:positionH>
                <wp:positionV relativeFrom="paragraph">
                  <wp:posOffset>73660</wp:posOffset>
                </wp:positionV>
                <wp:extent cx="5499100" cy="0"/>
                <wp:effectExtent l="0" t="0" r="25400" b="571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6D4215" id="Conector reto 3"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321dyHoCAAAF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F26C93" w:rsidRPr="0022060B" w:rsidRDefault="00F26C93" w:rsidP="00F26C93">
      <w:pPr>
        <w:spacing w:after="0"/>
        <w:rPr>
          <w:rFonts w:ascii="Arial" w:hAnsi="Arial" w:cs="Arial"/>
          <w:color w:val="000000"/>
          <w:sz w:val="20"/>
          <w:szCs w:val="20"/>
        </w:rPr>
      </w:pPr>
      <w:r w:rsidRPr="0022060B">
        <w:rPr>
          <w:rFonts w:ascii="Arial" w:hAnsi="Arial" w:cs="Arial"/>
          <w:color w:val="000000"/>
          <w:sz w:val="20"/>
          <w:szCs w:val="20"/>
        </w:rPr>
        <w:t xml:space="preserve">Jurisprudência Selecionada: </w:t>
      </w:r>
    </w:p>
    <w:p w:rsidR="00F26C93" w:rsidRDefault="00F26C93" w:rsidP="00F26C93">
      <w:pPr>
        <w:spacing w:after="0"/>
        <w:jc w:val="both"/>
        <w:rPr>
          <w:rFonts w:ascii="Arial" w:hAnsi="Arial" w:cs="Arial"/>
          <w:b/>
          <w:color w:val="000000"/>
          <w:sz w:val="20"/>
          <w:szCs w:val="20"/>
        </w:rPr>
      </w:pPr>
    </w:p>
    <w:p w:rsidR="00F26C93" w:rsidRPr="0022060B" w:rsidRDefault="00F26C93" w:rsidP="00F26C93">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F26C93" w:rsidRDefault="00F26C93" w:rsidP="00F26C93">
      <w:pPr>
        <w:pStyle w:val="TCU-Epgrafe"/>
        <w:spacing w:line="276" w:lineRule="auto"/>
        <w:ind w:left="0"/>
        <w:rPr>
          <w:rFonts w:ascii="Arial" w:hAnsi="Arial" w:cs="Arial"/>
          <w:b/>
          <w:sz w:val="20"/>
        </w:rPr>
      </w:pPr>
    </w:p>
    <w:p w:rsidR="00F26C93" w:rsidRDefault="00F26C93" w:rsidP="00F26C93">
      <w:pPr>
        <w:pStyle w:val="TCU-Epgrafe"/>
        <w:spacing w:line="276" w:lineRule="auto"/>
        <w:ind w:left="0"/>
        <w:rPr>
          <w:rFonts w:ascii="Arial" w:hAnsi="Arial" w:cs="Arial"/>
          <w:sz w:val="20"/>
        </w:rPr>
      </w:pPr>
      <w:r w:rsidRPr="0015102B">
        <w:rPr>
          <w:rFonts w:ascii="Arial" w:hAnsi="Arial" w:cs="Arial"/>
          <w:b/>
          <w:sz w:val="20"/>
        </w:rPr>
        <w:t>Tese com Repercussão Geral. Teto remuneratório (CF, art. 37, XI). Procuradores municipais. Limite do subsídio do prefeito. Interpretação da parte final do dispositivo. Pretensão de aplicação da exceção também para os advogados públicos municipais</w:t>
      </w:r>
      <w:r w:rsidRPr="0015102B">
        <w:rPr>
          <w:rFonts w:ascii="Arial" w:hAnsi="Arial" w:cs="Arial"/>
          <w:sz w:val="20"/>
        </w:rPr>
        <w:t>.</w:t>
      </w:r>
      <w:r>
        <w:rPr>
          <w:rFonts w:ascii="Arial" w:hAnsi="Arial" w:cs="Arial"/>
          <w:sz w:val="20"/>
        </w:rPr>
        <w:t xml:space="preserve">  </w:t>
      </w:r>
      <w:hyperlink r:id="rId21" w:history="1">
        <w:r w:rsidRPr="00876D43">
          <w:rPr>
            <w:rStyle w:val="Hyperlink"/>
            <w:rFonts w:ascii="Arial" w:hAnsi="Arial" w:cs="Arial"/>
            <w:sz w:val="20"/>
          </w:rPr>
          <w:t>RE 663696</w:t>
        </w:r>
      </w:hyperlink>
      <w:r>
        <w:rPr>
          <w:rFonts w:ascii="Arial" w:hAnsi="Arial" w:cs="Arial"/>
          <w:sz w:val="20"/>
        </w:rPr>
        <w:t xml:space="preserve">, Rel. Min. Luiz </w:t>
      </w:r>
      <w:proofErr w:type="spellStart"/>
      <w:r>
        <w:rPr>
          <w:rFonts w:ascii="Arial" w:hAnsi="Arial" w:cs="Arial"/>
          <w:sz w:val="20"/>
        </w:rPr>
        <w:t>Fux</w:t>
      </w:r>
      <w:proofErr w:type="spellEnd"/>
      <w:r>
        <w:rPr>
          <w:rFonts w:ascii="Arial" w:hAnsi="Arial" w:cs="Arial"/>
          <w:sz w:val="20"/>
        </w:rPr>
        <w:t>. 28.02.2019.</w:t>
      </w:r>
    </w:p>
    <w:p w:rsidR="00F26C93" w:rsidRDefault="00F26C93" w:rsidP="00F26C93">
      <w:pPr>
        <w:autoSpaceDE w:val="0"/>
        <w:autoSpaceDN w:val="0"/>
        <w:adjustRightInd w:val="0"/>
        <w:spacing w:after="0"/>
        <w:jc w:val="both"/>
        <w:rPr>
          <w:rFonts w:ascii="Arial" w:hAnsi="Arial" w:cs="Arial"/>
          <w:sz w:val="20"/>
          <w:szCs w:val="20"/>
        </w:rPr>
      </w:pPr>
    </w:p>
    <w:p w:rsidR="00F26C93" w:rsidRPr="00713924" w:rsidRDefault="00F26C93" w:rsidP="00F26C93">
      <w:pPr>
        <w:autoSpaceDE w:val="0"/>
        <w:autoSpaceDN w:val="0"/>
        <w:adjustRightInd w:val="0"/>
        <w:spacing w:after="0"/>
        <w:jc w:val="both"/>
        <w:rPr>
          <w:rFonts w:ascii="Arial" w:hAnsi="Arial" w:cs="Arial"/>
          <w:sz w:val="20"/>
          <w:szCs w:val="20"/>
        </w:rPr>
      </w:pPr>
      <w:r w:rsidRPr="00713924">
        <w:rPr>
          <w:rFonts w:ascii="Arial" w:hAnsi="Arial" w:cs="Arial"/>
          <w:sz w:val="20"/>
          <w:szCs w:val="20"/>
        </w:rPr>
        <w:t>A expressão "Procuradores", contida na parte final do inciso XI do art. 37 da Constituição da República, compreende os Procuradores Municipais, uma vez que estes se inserem nas funções essenciais à Justiça, estando, portanto, submetidos ao teto de noventa inteiros e vinte e cinco centésimos por cento do subsídio mensal, em espécie, dos Ministros do Supremo Tribunal Federal.</w:t>
      </w:r>
    </w:p>
    <w:p w:rsidR="00F26C93" w:rsidRPr="00B140D0" w:rsidRDefault="00F26C93" w:rsidP="00F26C93">
      <w:pPr>
        <w:pStyle w:val="TCU-Epgrafe"/>
        <w:spacing w:line="276" w:lineRule="auto"/>
        <w:ind w:left="0"/>
        <w:rPr>
          <w:rFonts w:ascii="Arial" w:hAnsi="Arial" w:cs="Arial"/>
          <w:sz w:val="20"/>
        </w:rPr>
      </w:pPr>
    </w:p>
    <w:p w:rsidR="00F26C93" w:rsidRDefault="00F26C93" w:rsidP="00F26C93">
      <w:pPr>
        <w:spacing w:after="0"/>
        <w:jc w:val="both"/>
        <w:rPr>
          <w:rFonts w:ascii="Arial" w:hAnsi="Arial" w:cs="Arial"/>
          <w:b/>
          <w:color w:val="000000"/>
          <w:sz w:val="20"/>
          <w:szCs w:val="20"/>
        </w:rPr>
      </w:pPr>
      <w:r>
        <w:rPr>
          <w:rFonts w:ascii="Arial" w:hAnsi="Arial" w:cs="Arial"/>
          <w:b/>
          <w:color w:val="000000"/>
          <w:sz w:val="20"/>
          <w:szCs w:val="20"/>
        </w:rPr>
        <w:t>Tribunal Superior do Trabalho</w:t>
      </w:r>
    </w:p>
    <w:p w:rsidR="00F26C93" w:rsidRDefault="00F26C93" w:rsidP="00F26C93">
      <w:pPr>
        <w:spacing w:after="0"/>
        <w:jc w:val="both"/>
        <w:rPr>
          <w:rFonts w:ascii="Arial" w:hAnsi="Arial" w:cs="Arial"/>
          <w:b/>
          <w:color w:val="000000"/>
          <w:sz w:val="20"/>
          <w:szCs w:val="20"/>
        </w:rPr>
      </w:pPr>
    </w:p>
    <w:p w:rsidR="00F26C93" w:rsidRPr="00F70411" w:rsidRDefault="00F26C93" w:rsidP="00F26C93">
      <w:pPr>
        <w:pStyle w:val="TCU-Epgrafe"/>
        <w:spacing w:line="276" w:lineRule="auto"/>
        <w:ind w:left="0"/>
        <w:rPr>
          <w:rFonts w:ascii="Arial" w:hAnsi="Arial" w:cs="Arial"/>
          <w:b/>
          <w:sz w:val="20"/>
        </w:rPr>
      </w:pPr>
      <w:r w:rsidRPr="00F70411">
        <w:rPr>
          <w:rFonts w:ascii="Arial" w:hAnsi="Arial" w:cs="Arial"/>
          <w:b/>
          <w:sz w:val="20"/>
        </w:rPr>
        <w:t>Sociedade de economia mista. Empregado público. Contratação sem concurso público sob o regime da CLT. Cargo em comissão de livre nomeação e exoneração. Verbas rescisórias decorrentes da dispensa imotivada. Indevidas.</w:t>
      </w:r>
      <w:r>
        <w:rPr>
          <w:rFonts w:ascii="Arial" w:hAnsi="Arial" w:cs="Arial"/>
          <w:b/>
          <w:sz w:val="20"/>
        </w:rPr>
        <w:t xml:space="preserve"> </w:t>
      </w:r>
      <w:hyperlink r:id="rId22" w:history="1">
        <w:r w:rsidRPr="00F70411">
          <w:rPr>
            <w:rStyle w:val="Hyperlink"/>
            <w:rFonts w:ascii="Arial" w:hAnsi="Arial" w:cs="Arial"/>
            <w:sz w:val="20"/>
          </w:rPr>
          <w:t>TST-E-ARR-1642-58.2015.5.02.0080</w:t>
        </w:r>
      </w:hyperlink>
      <w:r w:rsidRPr="00F70411">
        <w:rPr>
          <w:rFonts w:ascii="Arial" w:hAnsi="Arial" w:cs="Arial"/>
          <w:sz w:val="20"/>
        </w:rPr>
        <w:t xml:space="preserve">, SBDI-I, rel. Min. Luiz Philippe Vieira de Mello Filho, red. p/ acórdão Min. Maria Cristina </w:t>
      </w:r>
      <w:proofErr w:type="spellStart"/>
      <w:r w:rsidRPr="00F70411">
        <w:rPr>
          <w:rFonts w:ascii="Arial" w:hAnsi="Arial" w:cs="Arial"/>
          <w:sz w:val="20"/>
        </w:rPr>
        <w:t>Irigoyen</w:t>
      </w:r>
      <w:proofErr w:type="spellEnd"/>
      <w:r w:rsidRPr="00F70411">
        <w:rPr>
          <w:rFonts w:ascii="Arial" w:hAnsi="Arial" w:cs="Arial"/>
          <w:sz w:val="20"/>
        </w:rPr>
        <w:t xml:space="preserve"> </w:t>
      </w:r>
      <w:proofErr w:type="spellStart"/>
      <w:r w:rsidRPr="00F70411">
        <w:rPr>
          <w:rFonts w:ascii="Arial" w:hAnsi="Arial" w:cs="Arial"/>
          <w:sz w:val="20"/>
        </w:rPr>
        <w:t>Peduzzi</w:t>
      </w:r>
      <w:proofErr w:type="spellEnd"/>
      <w:r w:rsidRPr="00F70411">
        <w:rPr>
          <w:rFonts w:ascii="Arial" w:hAnsi="Arial" w:cs="Arial"/>
          <w:sz w:val="20"/>
        </w:rPr>
        <w:t>, 21.2.2019</w:t>
      </w:r>
      <w:r>
        <w:rPr>
          <w:rFonts w:ascii="Arial" w:hAnsi="Arial" w:cs="Arial"/>
          <w:sz w:val="20"/>
        </w:rPr>
        <w:t>.</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Pr="00F70411" w:rsidRDefault="00F26C93" w:rsidP="00F26C93">
      <w:pPr>
        <w:autoSpaceDE w:val="0"/>
        <w:autoSpaceDN w:val="0"/>
        <w:adjustRightInd w:val="0"/>
        <w:spacing w:after="0"/>
        <w:jc w:val="both"/>
        <w:rPr>
          <w:rFonts w:ascii="Arial" w:hAnsi="Arial" w:cs="Arial"/>
          <w:sz w:val="20"/>
          <w:szCs w:val="20"/>
        </w:rPr>
      </w:pPr>
      <w:r w:rsidRPr="00713924">
        <w:rPr>
          <w:rFonts w:ascii="Arial" w:hAnsi="Arial" w:cs="Arial"/>
          <w:sz w:val="20"/>
          <w:szCs w:val="20"/>
        </w:rPr>
        <w:t xml:space="preserve">Conforme a jurisprudência pacífica da SBDI-I e das Turmas do TST, os empregados públicos contratados sem concurso público, sob o regime da CLT, para o exercício de cargo em comissão, de livre nomeação e exoneração, não têm direito ao pagamento das verbas rescisórias decorrentes da dispensa imotivada. Sob esse entendimento, a SBDI-I, em sua composição plena, por maioria, não conheceu do recurso de embargos em que empregada da Companhia Paulista de Trens Metropolitanos – CPTM, sociedade de economia mista, admitida para o </w:t>
      </w:r>
      <w:r w:rsidRPr="00713924">
        <w:rPr>
          <w:rFonts w:ascii="Arial" w:hAnsi="Arial" w:cs="Arial"/>
          <w:sz w:val="20"/>
          <w:szCs w:val="20"/>
        </w:rPr>
        <w:lastRenderedPageBreak/>
        <w:t xml:space="preserve">exercício de cargo em comissão, sem concurso, pleiteava o recebimento da indenização de 40% do FGTS e do aviso prévio indenizado em decorrência de sua demissão sem justa causa. </w:t>
      </w:r>
    </w:p>
    <w:p w:rsidR="00F26C93" w:rsidRDefault="00F26C93" w:rsidP="00F26C93">
      <w:pPr>
        <w:spacing w:after="0"/>
        <w:jc w:val="both"/>
        <w:rPr>
          <w:rFonts w:ascii="Arial" w:hAnsi="Arial" w:cs="Arial"/>
          <w:b/>
          <w:color w:val="000000"/>
          <w:sz w:val="20"/>
          <w:szCs w:val="20"/>
        </w:rPr>
      </w:pPr>
    </w:p>
    <w:p w:rsidR="00F26C93" w:rsidRDefault="00F26C93" w:rsidP="00F26C93">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F26C93" w:rsidRPr="00FC2A16" w:rsidRDefault="00F26C93" w:rsidP="00F26C93">
      <w:pPr>
        <w:spacing w:after="0"/>
        <w:jc w:val="both"/>
        <w:rPr>
          <w:rFonts w:ascii="Arial" w:hAnsi="Arial" w:cs="Arial"/>
          <w:b/>
          <w:color w:val="000000"/>
          <w:sz w:val="20"/>
          <w:szCs w:val="20"/>
        </w:rPr>
      </w:pPr>
    </w:p>
    <w:p w:rsidR="00F26C93" w:rsidRPr="00FC2A16" w:rsidRDefault="00A03E5E" w:rsidP="00F26C93">
      <w:pPr>
        <w:widowControl w:val="0"/>
        <w:autoSpaceDE w:val="0"/>
        <w:autoSpaceDN w:val="0"/>
        <w:spacing w:after="0"/>
        <w:jc w:val="both"/>
        <w:rPr>
          <w:rFonts w:ascii="Arial" w:hAnsi="Arial" w:cs="Arial"/>
          <w:sz w:val="20"/>
          <w:szCs w:val="20"/>
        </w:rPr>
      </w:pPr>
      <w:hyperlink r:id="rId23" w:history="1">
        <w:r w:rsidR="00F26C93" w:rsidRPr="002C55E1">
          <w:rPr>
            <w:rStyle w:val="Hyperlink"/>
            <w:rFonts w:ascii="Arial" w:hAnsi="Arial" w:cs="Arial"/>
            <w:b/>
            <w:sz w:val="20"/>
            <w:szCs w:val="20"/>
          </w:rPr>
          <w:t>Acórdão 2569/2018 Plenário</w:t>
        </w:r>
      </w:hyperlink>
      <w:r w:rsidR="00F26C93" w:rsidRPr="00FC2A16">
        <w:rPr>
          <w:rFonts w:ascii="Arial" w:hAnsi="Arial" w:cs="Arial"/>
          <w:b/>
          <w:sz w:val="20"/>
          <w:szCs w:val="20"/>
        </w:rPr>
        <w:t xml:space="preserve"> </w:t>
      </w:r>
      <w:r w:rsidR="00F26C93" w:rsidRPr="00FC2A16">
        <w:rPr>
          <w:rFonts w:ascii="Arial" w:hAnsi="Arial" w:cs="Arial"/>
          <w:sz w:val="20"/>
          <w:szCs w:val="20"/>
        </w:rPr>
        <w:t>(Auditoria, Relator Ministro Aroldo Cedraz)</w:t>
      </w:r>
    </w:p>
    <w:p w:rsidR="00F26C93" w:rsidRPr="00FC2A16" w:rsidRDefault="00F26C93" w:rsidP="00F26C93">
      <w:pPr>
        <w:widowControl w:val="0"/>
        <w:autoSpaceDE w:val="0"/>
        <w:autoSpaceDN w:val="0"/>
        <w:spacing w:after="0"/>
        <w:jc w:val="both"/>
        <w:rPr>
          <w:rFonts w:ascii="Arial" w:hAnsi="Arial" w:cs="Arial"/>
          <w:b/>
          <w:sz w:val="20"/>
          <w:szCs w:val="20"/>
        </w:rPr>
      </w:pPr>
    </w:p>
    <w:p w:rsidR="00F26C93" w:rsidRPr="00FC2A16" w:rsidRDefault="00F26C93" w:rsidP="00F26C93">
      <w:pPr>
        <w:spacing w:after="0"/>
        <w:jc w:val="both"/>
        <w:rPr>
          <w:rFonts w:ascii="Arial" w:hAnsi="Arial" w:cs="Arial"/>
          <w:sz w:val="20"/>
          <w:szCs w:val="20"/>
        </w:rPr>
      </w:pPr>
      <w:r w:rsidRPr="00FC2A16">
        <w:rPr>
          <w:rFonts w:ascii="Arial" w:hAnsi="Arial" w:cs="Arial"/>
          <w:sz w:val="20"/>
          <w:szCs w:val="20"/>
        </w:rPr>
        <w:t>Licitação. Inexigibilidade de licitação. Bens e serviços de informática. Exclusividade. Atestado. Fabricante. Software.</w:t>
      </w:r>
    </w:p>
    <w:p w:rsidR="00F26C93" w:rsidRPr="00FC2A16" w:rsidRDefault="00F26C93" w:rsidP="00F26C93">
      <w:pPr>
        <w:spacing w:after="0"/>
        <w:jc w:val="both"/>
        <w:rPr>
          <w:rFonts w:ascii="Arial" w:hAnsi="Arial" w:cs="Arial"/>
          <w:sz w:val="20"/>
          <w:szCs w:val="20"/>
        </w:rPr>
      </w:pPr>
    </w:p>
    <w:p w:rsidR="00F26C93" w:rsidRPr="00FC2A16" w:rsidRDefault="00F26C93" w:rsidP="00F26C93">
      <w:pPr>
        <w:pStyle w:val="TCU-Epgrafe"/>
        <w:spacing w:line="276" w:lineRule="auto"/>
        <w:ind w:left="0"/>
        <w:rPr>
          <w:rFonts w:ascii="Arial" w:hAnsi="Arial" w:cs="Arial"/>
          <w:sz w:val="20"/>
        </w:rPr>
      </w:pPr>
      <w:r w:rsidRPr="00FC2A16">
        <w:rPr>
          <w:rFonts w:ascii="Arial" w:hAnsi="Arial" w:cs="Arial"/>
          <w:sz w:val="20"/>
        </w:rPr>
        <w:t xml:space="preserve">Nas contratações de </w:t>
      </w:r>
      <w:r w:rsidRPr="00FC2A16">
        <w:rPr>
          <w:rFonts w:ascii="Arial" w:hAnsi="Arial" w:cs="Arial"/>
          <w:i/>
          <w:sz w:val="20"/>
        </w:rPr>
        <w:t>software</w:t>
      </w:r>
      <w:r w:rsidRPr="00FC2A16">
        <w:rPr>
          <w:rFonts w:ascii="Arial" w:hAnsi="Arial" w:cs="Arial"/>
          <w:sz w:val="20"/>
        </w:rPr>
        <w:t xml:space="preserve"> fundadas no art. 25, inciso I, da </w:t>
      </w:r>
      <w:hyperlink r:id="rId24" w:tgtFrame="_blank" w:history="1">
        <w:r w:rsidRPr="00FC2A16">
          <w:rPr>
            <w:rStyle w:val="Hyperlink"/>
            <w:rFonts w:ascii="Arial" w:hAnsi="Arial" w:cs="Arial"/>
            <w:color w:val="0000FF" w:themeColor="hyperlink"/>
            <w:sz w:val="20"/>
          </w:rPr>
          <w:t>Lei 8.666/1993</w:t>
        </w:r>
      </w:hyperlink>
      <w:r w:rsidRPr="00FC2A16">
        <w:rPr>
          <w:rFonts w:ascii="Arial" w:hAnsi="Arial" w:cs="Arial"/>
          <w:sz w:val="20"/>
        </w:rPr>
        <w:t xml:space="preserve">, não devem ser aceitas cartas de exclusividade emitidas pelos próprios fabricantes, porquanto são válidos apenas os atestados emitidos pelos entes mencionados no referido dispositivo. </w:t>
      </w:r>
    </w:p>
    <w:p w:rsidR="00F26C93" w:rsidRPr="00FC2A16" w:rsidRDefault="00F26C93" w:rsidP="00F26C93">
      <w:pPr>
        <w:pStyle w:val="TCU-Epgrafe"/>
        <w:spacing w:line="276" w:lineRule="auto"/>
        <w:ind w:left="0"/>
        <w:rPr>
          <w:rFonts w:ascii="Arial" w:hAnsi="Arial" w:cs="Arial"/>
          <w:sz w:val="20"/>
        </w:rPr>
      </w:pPr>
    </w:p>
    <w:p w:rsidR="00F26C93" w:rsidRPr="00FC2A16" w:rsidRDefault="00A03E5E" w:rsidP="00F26C93">
      <w:pPr>
        <w:widowControl w:val="0"/>
        <w:autoSpaceDE w:val="0"/>
        <w:autoSpaceDN w:val="0"/>
        <w:spacing w:after="0"/>
        <w:jc w:val="both"/>
        <w:rPr>
          <w:rFonts w:ascii="Arial" w:hAnsi="Arial" w:cs="Arial"/>
          <w:b/>
          <w:sz w:val="20"/>
          <w:szCs w:val="20"/>
        </w:rPr>
      </w:pPr>
      <w:hyperlink r:id="rId25" w:history="1">
        <w:r w:rsidR="00F26C93" w:rsidRPr="002C55E1">
          <w:rPr>
            <w:rStyle w:val="Hyperlink"/>
            <w:rFonts w:ascii="Arial" w:hAnsi="Arial" w:cs="Arial"/>
            <w:b/>
            <w:sz w:val="20"/>
            <w:szCs w:val="20"/>
          </w:rPr>
          <w:t>Acórdão 2613/2018 Plenário</w:t>
        </w:r>
      </w:hyperlink>
      <w:r w:rsidR="00F26C93" w:rsidRPr="00FC2A16">
        <w:rPr>
          <w:rFonts w:ascii="Arial" w:hAnsi="Arial" w:cs="Arial"/>
          <w:b/>
          <w:sz w:val="20"/>
          <w:szCs w:val="20"/>
        </w:rPr>
        <w:t xml:space="preserve"> </w:t>
      </w:r>
      <w:r w:rsidR="00F26C93" w:rsidRPr="00FC2A16">
        <w:rPr>
          <w:rFonts w:ascii="Arial" w:hAnsi="Arial" w:cs="Arial"/>
          <w:sz w:val="20"/>
          <w:szCs w:val="20"/>
        </w:rPr>
        <w:t>(Representação, Relator Ministro Vital do Rêgo)</w:t>
      </w:r>
    </w:p>
    <w:p w:rsidR="00F26C93" w:rsidRPr="00FC2A16" w:rsidRDefault="00F26C93" w:rsidP="00F26C93">
      <w:pPr>
        <w:autoSpaceDE w:val="0"/>
        <w:autoSpaceDN w:val="0"/>
        <w:adjustRightInd w:val="0"/>
        <w:spacing w:after="0"/>
        <w:jc w:val="both"/>
        <w:rPr>
          <w:rFonts w:ascii="Arial" w:hAnsi="Arial" w:cs="Arial"/>
          <w:sz w:val="20"/>
          <w:szCs w:val="20"/>
        </w:rPr>
      </w:pPr>
    </w:p>
    <w:p w:rsidR="00F26C93" w:rsidRPr="00FC2A16" w:rsidRDefault="00F26C93" w:rsidP="00F26C93">
      <w:pPr>
        <w:autoSpaceDE w:val="0"/>
        <w:autoSpaceDN w:val="0"/>
        <w:adjustRightInd w:val="0"/>
        <w:spacing w:after="0"/>
        <w:jc w:val="both"/>
        <w:rPr>
          <w:rFonts w:ascii="Arial" w:hAnsi="Arial" w:cs="Arial"/>
          <w:sz w:val="20"/>
          <w:szCs w:val="20"/>
        </w:rPr>
      </w:pPr>
      <w:r w:rsidRPr="00FC2A16">
        <w:rPr>
          <w:rFonts w:ascii="Arial" w:hAnsi="Arial" w:cs="Arial"/>
          <w:sz w:val="20"/>
          <w:szCs w:val="20"/>
        </w:rPr>
        <w:t>Licitação. Qualificação técnica. Exigência. Declaração. Fabricante. Exceção.</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Pr="00713924" w:rsidRDefault="00F26C93" w:rsidP="00F26C93">
      <w:pPr>
        <w:autoSpaceDE w:val="0"/>
        <w:autoSpaceDN w:val="0"/>
        <w:adjustRightInd w:val="0"/>
        <w:spacing w:after="0"/>
        <w:jc w:val="both"/>
        <w:rPr>
          <w:rFonts w:ascii="Arial" w:hAnsi="Arial" w:cs="Arial"/>
          <w:sz w:val="20"/>
          <w:szCs w:val="20"/>
        </w:rPr>
      </w:pPr>
      <w:r w:rsidRPr="00713924">
        <w:rPr>
          <w:rFonts w:ascii="Arial" w:hAnsi="Arial" w:cs="Arial"/>
          <w:sz w:val="20"/>
          <w:szCs w:val="20"/>
        </w:rPr>
        <w:t>A exigência de declaração do fabricante atestando que a licitante está autorizada a comercializar os seus equipamentos e capacitada a prestar o suporte técnico necessário, como requisito de habilitação, somente é admitida em casos excepcionais, quando for imprescindível à execução do objeto, situação que deverá ser tecnicamente justificada no processo licitatório.</w:t>
      </w:r>
    </w:p>
    <w:p w:rsidR="00F26C93" w:rsidRPr="00FC2A16" w:rsidRDefault="00F26C93" w:rsidP="00F26C93">
      <w:pPr>
        <w:spacing w:after="0"/>
        <w:jc w:val="both"/>
        <w:rPr>
          <w:rFonts w:ascii="Arial" w:hAnsi="Arial" w:cs="Arial"/>
          <w:b/>
          <w:color w:val="000000"/>
          <w:sz w:val="20"/>
          <w:szCs w:val="20"/>
        </w:rPr>
      </w:pPr>
    </w:p>
    <w:p w:rsidR="00F26C93" w:rsidRPr="00FC2A16" w:rsidRDefault="00A03E5E" w:rsidP="00F26C93">
      <w:pPr>
        <w:widowControl w:val="0"/>
        <w:autoSpaceDE w:val="0"/>
        <w:autoSpaceDN w:val="0"/>
        <w:spacing w:after="0"/>
        <w:jc w:val="both"/>
        <w:rPr>
          <w:rFonts w:ascii="Arial" w:hAnsi="Arial" w:cs="Arial"/>
          <w:b/>
          <w:sz w:val="20"/>
          <w:szCs w:val="20"/>
        </w:rPr>
      </w:pPr>
      <w:hyperlink r:id="rId26" w:history="1">
        <w:r w:rsidR="00F26C93" w:rsidRPr="00C54222">
          <w:rPr>
            <w:rStyle w:val="Hyperlink"/>
            <w:rFonts w:ascii="Arial" w:hAnsi="Arial" w:cs="Arial"/>
            <w:b/>
            <w:sz w:val="20"/>
            <w:szCs w:val="20"/>
          </w:rPr>
          <w:t>Acórdão 2618/2018 Plenário</w:t>
        </w:r>
      </w:hyperlink>
      <w:r w:rsidR="00F26C93" w:rsidRPr="00FC2A16">
        <w:rPr>
          <w:rFonts w:ascii="Arial" w:hAnsi="Arial" w:cs="Arial"/>
          <w:b/>
          <w:sz w:val="20"/>
          <w:szCs w:val="20"/>
        </w:rPr>
        <w:t xml:space="preserve"> </w:t>
      </w:r>
      <w:r w:rsidR="00F26C93" w:rsidRPr="00FC2A16">
        <w:rPr>
          <w:rFonts w:ascii="Arial" w:hAnsi="Arial" w:cs="Arial"/>
          <w:sz w:val="20"/>
          <w:szCs w:val="20"/>
        </w:rPr>
        <w:t xml:space="preserve">(Auditoria, Relator Ministro Benjamin </w:t>
      </w:r>
      <w:proofErr w:type="spellStart"/>
      <w:r w:rsidR="00F26C93" w:rsidRPr="00FC2A16">
        <w:rPr>
          <w:rFonts w:ascii="Arial" w:hAnsi="Arial" w:cs="Arial"/>
          <w:sz w:val="20"/>
          <w:szCs w:val="20"/>
        </w:rPr>
        <w:t>Zymler</w:t>
      </w:r>
      <w:proofErr w:type="spellEnd"/>
      <w:r w:rsidR="00F26C93" w:rsidRPr="00FC2A16">
        <w:rPr>
          <w:rFonts w:ascii="Arial" w:hAnsi="Arial" w:cs="Arial"/>
          <w:sz w:val="20"/>
          <w:szCs w:val="20"/>
        </w:rPr>
        <w:t>)</w:t>
      </w:r>
    </w:p>
    <w:p w:rsidR="00F26C93" w:rsidRPr="00FC2A16" w:rsidRDefault="00F26C93" w:rsidP="00F26C93">
      <w:pPr>
        <w:spacing w:after="0"/>
        <w:jc w:val="both"/>
        <w:rPr>
          <w:rFonts w:ascii="Arial" w:hAnsi="Arial" w:cs="Arial"/>
          <w:sz w:val="20"/>
          <w:szCs w:val="20"/>
        </w:rPr>
      </w:pPr>
    </w:p>
    <w:p w:rsidR="00F26C93" w:rsidRPr="00FC2A16" w:rsidRDefault="00F26C93" w:rsidP="00F26C93">
      <w:pPr>
        <w:spacing w:after="0"/>
        <w:jc w:val="both"/>
        <w:rPr>
          <w:rFonts w:ascii="Arial" w:hAnsi="Arial" w:cs="Arial"/>
          <w:sz w:val="20"/>
          <w:szCs w:val="20"/>
        </w:rPr>
      </w:pPr>
      <w:r w:rsidRPr="00FC2A16">
        <w:rPr>
          <w:rFonts w:ascii="Arial" w:hAnsi="Arial" w:cs="Arial"/>
          <w:sz w:val="20"/>
          <w:szCs w:val="20"/>
        </w:rPr>
        <w:t>Licitação. RDC. Contratação integrada. Justificativa. Opção.</w:t>
      </w:r>
    </w:p>
    <w:p w:rsidR="00F26C93" w:rsidRPr="00FC2A16" w:rsidRDefault="00F26C93" w:rsidP="00F26C93">
      <w:pPr>
        <w:spacing w:after="0"/>
        <w:jc w:val="both"/>
        <w:rPr>
          <w:rFonts w:ascii="Arial" w:hAnsi="Arial" w:cs="Arial"/>
          <w:sz w:val="20"/>
          <w:szCs w:val="20"/>
        </w:rPr>
      </w:pPr>
    </w:p>
    <w:p w:rsidR="00F26C93" w:rsidRPr="00FC2A16" w:rsidRDefault="00F26C93" w:rsidP="00F26C93">
      <w:pPr>
        <w:pStyle w:val="TCU-Epgrafe"/>
        <w:spacing w:line="276" w:lineRule="auto"/>
        <w:ind w:left="0"/>
        <w:rPr>
          <w:rFonts w:ascii="Arial" w:hAnsi="Arial" w:cs="Arial"/>
          <w:sz w:val="20"/>
        </w:rPr>
      </w:pPr>
      <w:r w:rsidRPr="00FC2A16">
        <w:rPr>
          <w:rFonts w:ascii="Arial" w:hAnsi="Arial" w:cs="Arial"/>
          <w:sz w:val="20"/>
        </w:rPr>
        <w:t xml:space="preserve">A opção pelo regime de contratação integrada exige, nos termos do art. 9º da </w:t>
      </w:r>
      <w:hyperlink r:id="rId27" w:history="1">
        <w:r w:rsidRPr="00FC2A16">
          <w:rPr>
            <w:rStyle w:val="Hyperlink"/>
            <w:rFonts w:ascii="Arial" w:hAnsi="Arial" w:cs="Arial"/>
            <w:color w:val="0000FF" w:themeColor="hyperlink"/>
            <w:sz w:val="20"/>
          </w:rPr>
          <w:t>Lei 12.462/2011</w:t>
        </w:r>
      </w:hyperlink>
      <w:r w:rsidRPr="00FC2A16">
        <w:rPr>
          <w:rFonts w:ascii="Arial" w:hAnsi="Arial" w:cs="Arial"/>
          <w:sz w:val="20"/>
        </w:rPr>
        <w:t xml:space="preserve"> (</w:t>
      </w:r>
      <w:r w:rsidRPr="00713924">
        <w:rPr>
          <w:rFonts w:ascii="Arial" w:eastAsiaTheme="minorHAnsi" w:hAnsi="Arial" w:cs="Arial"/>
          <w:sz w:val="20"/>
          <w:lang w:eastAsia="en-US"/>
        </w:rPr>
        <w:t>Regime Diferenciado de Contratações Públicas), que haja justificativa sob os prismas econômico e técnico. No econômico, a Administração deve demonstrar em termos monetários que os gastos totais a serem realizados com a implantação do empreendimento serão inferiores se comparados aos obtidos com os demais regimes de execução. No técnico, deve demonstrar que as características do objeto permitem que ocorra competição entre as licitantes para a concepção de metodologias/tecnologias distintas, que levem a soluções capazes de serem aproveitadas vantajosamente pelo Poder Público.</w:t>
      </w:r>
    </w:p>
    <w:p w:rsidR="00F26C93" w:rsidRPr="00FC2A16" w:rsidRDefault="00F26C93" w:rsidP="00F26C93">
      <w:pPr>
        <w:spacing w:after="0"/>
        <w:jc w:val="both"/>
        <w:rPr>
          <w:rFonts w:ascii="Arial" w:hAnsi="Arial" w:cs="Arial"/>
          <w:b/>
          <w:color w:val="000000"/>
          <w:sz w:val="20"/>
          <w:szCs w:val="20"/>
        </w:rPr>
      </w:pPr>
    </w:p>
    <w:p w:rsidR="00F26C93" w:rsidRPr="00FC2A16" w:rsidRDefault="00A03E5E" w:rsidP="00F26C93">
      <w:pPr>
        <w:widowControl w:val="0"/>
        <w:autoSpaceDE w:val="0"/>
        <w:autoSpaceDN w:val="0"/>
        <w:spacing w:after="0"/>
        <w:jc w:val="both"/>
        <w:rPr>
          <w:rFonts w:ascii="Arial" w:hAnsi="Arial" w:cs="Arial"/>
          <w:b/>
          <w:sz w:val="20"/>
          <w:szCs w:val="20"/>
        </w:rPr>
      </w:pPr>
      <w:hyperlink r:id="rId28" w:history="1">
        <w:r w:rsidR="00F26C93" w:rsidRPr="00C54222">
          <w:rPr>
            <w:rStyle w:val="Hyperlink"/>
            <w:rFonts w:ascii="Arial" w:hAnsi="Arial" w:cs="Arial"/>
            <w:b/>
            <w:sz w:val="20"/>
            <w:szCs w:val="20"/>
          </w:rPr>
          <w:t>Acórdão 2623/2018 Plenário</w:t>
        </w:r>
      </w:hyperlink>
      <w:r w:rsidR="00F26C93" w:rsidRPr="00FC2A16">
        <w:rPr>
          <w:rFonts w:ascii="Arial" w:hAnsi="Arial" w:cs="Arial"/>
          <w:b/>
          <w:sz w:val="20"/>
          <w:szCs w:val="20"/>
        </w:rPr>
        <w:t xml:space="preserve"> </w:t>
      </w:r>
      <w:r w:rsidR="00F26C93" w:rsidRPr="00FC2A16">
        <w:rPr>
          <w:rFonts w:ascii="Arial" w:hAnsi="Arial" w:cs="Arial"/>
          <w:sz w:val="20"/>
          <w:szCs w:val="20"/>
        </w:rPr>
        <w:t>(Recurso de Revisão, Relator Ministro Aroldo Cedraz)</w:t>
      </w:r>
    </w:p>
    <w:p w:rsidR="00F26C93" w:rsidRPr="00FC2A16" w:rsidRDefault="00F26C93" w:rsidP="00F26C93">
      <w:pPr>
        <w:autoSpaceDE w:val="0"/>
        <w:autoSpaceDN w:val="0"/>
        <w:adjustRightInd w:val="0"/>
        <w:spacing w:after="0"/>
        <w:jc w:val="both"/>
        <w:rPr>
          <w:rFonts w:ascii="Arial" w:hAnsi="Arial" w:cs="Arial"/>
          <w:sz w:val="20"/>
          <w:szCs w:val="20"/>
        </w:rPr>
      </w:pPr>
    </w:p>
    <w:p w:rsidR="00F26C93" w:rsidRPr="00FC2A16" w:rsidRDefault="00F26C93" w:rsidP="00F26C93">
      <w:pPr>
        <w:autoSpaceDE w:val="0"/>
        <w:autoSpaceDN w:val="0"/>
        <w:adjustRightInd w:val="0"/>
        <w:spacing w:after="0"/>
        <w:jc w:val="both"/>
        <w:rPr>
          <w:rFonts w:ascii="Arial" w:hAnsi="Arial" w:cs="Arial"/>
          <w:sz w:val="20"/>
          <w:szCs w:val="20"/>
        </w:rPr>
      </w:pPr>
      <w:r w:rsidRPr="00FC2A16">
        <w:rPr>
          <w:rFonts w:ascii="Arial" w:hAnsi="Arial" w:cs="Arial"/>
          <w:sz w:val="20"/>
          <w:szCs w:val="20"/>
        </w:rPr>
        <w:t>Convênio. Prestação de contas. Documentação. Nota fiscal. Prazo. Validade.</w:t>
      </w:r>
    </w:p>
    <w:p w:rsidR="00F26C93" w:rsidRPr="00FC2A16"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FC2A16">
        <w:rPr>
          <w:rFonts w:ascii="Arial" w:hAnsi="Arial" w:cs="Arial"/>
          <w:sz w:val="20"/>
          <w:szCs w:val="20"/>
        </w:rPr>
        <w:t xml:space="preserve">Nota fiscal com validade expirada não constitui documentação idônea para comprovação da regularidade dos gastos, devendo as respectivas despesas serem glosadas </w:t>
      </w:r>
      <w:proofErr w:type="gramStart"/>
      <w:r w:rsidRPr="00FC2A16">
        <w:rPr>
          <w:rFonts w:ascii="Arial" w:hAnsi="Arial" w:cs="Arial"/>
          <w:sz w:val="20"/>
          <w:szCs w:val="20"/>
        </w:rPr>
        <w:t>pelo concedente</w:t>
      </w:r>
      <w:proofErr w:type="gramEnd"/>
      <w:r w:rsidRPr="00FC2A16">
        <w:rPr>
          <w:rFonts w:ascii="Arial" w:hAnsi="Arial" w:cs="Arial"/>
          <w:sz w:val="20"/>
          <w:szCs w:val="20"/>
        </w:rPr>
        <w:t xml:space="preserve">, </w:t>
      </w:r>
      <w:r w:rsidRPr="00FC2A16">
        <w:rPr>
          <w:rFonts w:ascii="Arial" w:hAnsi="Arial" w:cs="Arial"/>
          <w:sz w:val="20"/>
          <w:szCs w:val="20"/>
        </w:rPr>
        <w:lastRenderedPageBreak/>
        <w:t>eis que compete ao convenente a verificação da validade da documentação apresentada para fins de prestação de contas.</w:t>
      </w:r>
    </w:p>
    <w:p w:rsidR="00F26C93" w:rsidRDefault="00F26C93" w:rsidP="00F26C93">
      <w:pPr>
        <w:spacing w:after="0"/>
        <w:jc w:val="both"/>
        <w:rPr>
          <w:rFonts w:ascii="Arial" w:hAnsi="Arial" w:cs="Arial"/>
          <w:sz w:val="20"/>
          <w:szCs w:val="20"/>
        </w:rPr>
      </w:pPr>
    </w:p>
    <w:p w:rsidR="00F26C93" w:rsidRDefault="00A03E5E" w:rsidP="00F26C93">
      <w:pPr>
        <w:autoSpaceDE w:val="0"/>
        <w:autoSpaceDN w:val="0"/>
        <w:adjustRightInd w:val="0"/>
        <w:spacing w:after="0"/>
        <w:jc w:val="both"/>
        <w:rPr>
          <w:rFonts w:ascii="Arial" w:hAnsi="Arial" w:cs="Arial"/>
          <w:sz w:val="20"/>
          <w:szCs w:val="20"/>
        </w:rPr>
      </w:pPr>
      <w:hyperlink r:id="rId29" w:history="1">
        <w:r w:rsidR="00F26C93" w:rsidRPr="00C54222">
          <w:rPr>
            <w:rStyle w:val="Hyperlink"/>
            <w:rFonts w:ascii="Arial" w:hAnsi="Arial" w:cs="Arial"/>
            <w:b/>
            <w:sz w:val="20"/>
            <w:szCs w:val="20"/>
          </w:rPr>
          <w:t>Acórdão 2682/2018 Plenário</w:t>
        </w:r>
      </w:hyperlink>
      <w:r w:rsidR="00F26C93" w:rsidRPr="00FC2A16">
        <w:rPr>
          <w:rFonts w:ascii="Arial" w:hAnsi="Arial" w:cs="Arial"/>
          <w:b/>
          <w:sz w:val="20"/>
          <w:szCs w:val="20"/>
        </w:rPr>
        <w:t xml:space="preserve"> </w:t>
      </w:r>
      <w:r w:rsidR="00F26C93" w:rsidRPr="00FC2A16">
        <w:rPr>
          <w:rFonts w:ascii="Arial" w:hAnsi="Arial" w:cs="Arial"/>
          <w:sz w:val="20"/>
          <w:szCs w:val="20"/>
        </w:rPr>
        <w:t>(Tomada de Contas Especial, Relator Ministro Walton Alencar Rodrigues)</w:t>
      </w:r>
    </w:p>
    <w:p w:rsidR="00F26C93" w:rsidRPr="00713924" w:rsidRDefault="00F26C93" w:rsidP="00F26C93">
      <w:pPr>
        <w:autoSpaceDE w:val="0"/>
        <w:autoSpaceDN w:val="0"/>
        <w:adjustRightInd w:val="0"/>
        <w:spacing w:after="0"/>
        <w:jc w:val="both"/>
        <w:rPr>
          <w:rFonts w:ascii="Arial" w:hAnsi="Arial" w:cs="Arial"/>
          <w:sz w:val="20"/>
          <w:szCs w:val="20"/>
        </w:rPr>
      </w:pPr>
    </w:p>
    <w:p w:rsidR="00F26C93" w:rsidRDefault="00F26C93" w:rsidP="00F26C93">
      <w:pPr>
        <w:autoSpaceDE w:val="0"/>
        <w:autoSpaceDN w:val="0"/>
        <w:adjustRightInd w:val="0"/>
        <w:spacing w:after="0"/>
        <w:jc w:val="both"/>
        <w:rPr>
          <w:rFonts w:ascii="Arial" w:hAnsi="Arial" w:cs="Arial"/>
          <w:sz w:val="20"/>
          <w:szCs w:val="20"/>
        </w:rPr>
      </w:pPr>
      <w:r w:rsidRPr="00FC2A16">
        <w:rPr>
          <w:rFonts w:ascii="Arial" w:hAnsi="Arial" w:cs="Arial"/>
          <w:sz w:val="20"/>
          <w:szCs w:val="20"/>
        </w:rPr>
        <w:t>Direito Processual. Julgamento. Pauta de sessão. Advogado. Publicação. Nulidade. Vício sanável.</w:t>
      </w:r>
    </w:p>
    <w:p w:rsidR="00F26C93" w:rsidRPr="00FC2A16" w:rsidRDefault="00F26C93" w:rsidP="00F26C93">
      <w:pPr>
        <w:spacing w:after="0"/>
        <w:jc w:val="both"/>
        <w:rPr>
          <w:rFonts w:ascii="Arial" w:hAnsi="Arial" w:cs="Arial"/>
          <w:sz w:val="20"/>
          <w:szCs w:val="20"/>
        </w:rPr>
      </w:pPr>
    </w:p>
    <w:p w:rsidR="00F26C93" w:rsidRPr="00FC2A16" w:rsidRDefault="00F26C93" w:rsidP="00F26C93">
      <w:pPr>
        <w:autoSpaceDE w:val="0"/>
        <w:autoSpaceDN w:val="0"/>
        <w:adjustRightInd w:val="0"/>
        <w:spacing w:after="0"/>
        <w:jc w:val="both"/>
        <w:rPr>
          <w:rFonts w:ascii="Arial" w:hAnsi="Arial" w:cs="Arial"/>
          <w:sz w:val="20"/>
          <w:szCs w:val="20"/>
        </w:rPr>
      </w:pPr>
      <w:r w:rsidRPr="00FC2A16">
        <w:rPr>
          <w:rFonts w:ascii="Arial" w:hAnsi="Arial" w:cs="Arial"/>
          <w:sz w:val="20"/>
          <w:szCs w:val="20"/>
        </w:rPr>
        <w:t xml:space="preserve">A ausência ou a indicação equivocada do nome do representante legal da parte no acórdão ou na pauta de julgamentos, que constitui nulidade relativa, será corrigida somente se a parte, reputando-se prejudicada, alegar, na primeira oportunidade de manifestação, a ocorrência do vício, nos termos do art. 278 do </w:t>
      </w:r>
      <w:hyperlink r:id="rId30" w:history="1">
        <w:r w:rsidRPr="00713924">
          <w:t>CPC</w:t>
        </w:r>
      </w:hyperlink>
      <w:r w:rsidRPr="00FC2A16">
        <w:rPr>
          <w:rFonts w:ascii="Arial" w:hAnsi="Arial" w:cs="Arial"/>
          <w:sz w:val="20"/>
          <w:szCs w:val="20"/>
        </w:rPr>
        <w:t>, sob pena de preclusão do direito de apontar a falha e de convalidação do ato.</w:t>
      </w:r>
    </w:p>
    <w:p w:rsidR="00F26C93" w:rsidRDefault="00F26C93" w:rsidP="00F26C93">
      <w:pPr>
        <w:pStyle w:val="Default"/>
        <w:spacing w:after="200" w:line="276" w:lineRule="auto"/>
        <w:jc w:val="both"/>
        <w:rPr>
          <w:b/>
          <w:sz w:val="20"/>
          <w:szCs w:val="20"/>
        </w:rPr>
      </w:pPr>
    </w:p>
    <w:p w:rsidR="00F26C93" w:rsidRDefault="00F26C93" w:rsidP="00F26C93">
      <w:pPr>
        <w:pStyle w:val="Default"/>
        <w:spacing w:after="200" w:line="276" w:lineRule="auto"/>
        <w:jc w:val="both"/>
        <w:rPr>
          <w:b/>
          <w:sz w:val="20"/>
          <w:szCs w:val="20"/>
        </w:rPr>
      </w:pPr>
      <w:r>
        <w:rPr>
          <w:b/>
          <w:sz w:val="20"/>
          <w:szCs w:val="20"/>
        </w:rPr>
        <w:t xml:space="preserve">Acesse também: </w:t>
      </w:r>
    </w:p>
    <w:p w:rsidR="00F26C93" w:rsidRDefault="00A03E5E" w:rsidP="00F26C93">
      <w:pPr>
        <w:pStyle w:val="Default"/>
        <w:spacing w:line="276" w:lineRule="auto"/>
        <w:jc w:val="center"/>
        <w:rPr>
          <w:rStyle w:val="Hyperlink"/>
          <w:b/>
          <w:sz w:val="20"/>
          <w:szCs w:val="20"/>
        </w:rPr>
      </w:pPr>
      <w:hyperlink r:id="rId31" w:history="1">
        <w:r w:rsidR="00F26C93" w:rsidRPr="00BC4C07">
          <w:rPr>
            <w:rStyle w:val="Hyperlink"/>
            <w:b/>
            <w:sz w:val="20"/>
            <w:szCs w:val="20"/>
          </w:rPr>
          <w:t>Pesquisas Prontas</w:t>
        </w:r>
      </w:hyperlink>
    </w:p>
    <w:p w:rsidR="00F26C93" w:rsidRDefault="00F26C93" w:rsidP="00F26C93">
      <w:pPr>
        <w:pStyle w:val="Default"/>
        <w:spacing w:line="276" w:lineRule="auto"/>
        <w:jc w:val="center"/>
        <w:rPr>
          <w:rStyle w:val="Hyperlink"/>
          <w:b/>
          <w:sz w:val="20"/>
          <w:szCs w:val="20"/>
        </w:rPr>
      </w:pPr>
    </w:p>
    <w:p w:rsidR="00F26C93" w:rsidRDefault="00A03E5E" w:rsidP="00F26C93">
      <w:pPr>
        <w:pStyle w:val="Default"/>
        <w:spacing w:line="276" w:lineRule="auto"/>
        <w:jc w:val="center"/>
        <w:rPr>
          <w:rStyle w:val="Hyperlink"/>
          <w:b/>
          <w:sz w:val="20"/>
          <w:szCs w:val="20"/>
        </w:rPr>
      </w:pPr>
      <w:hyperlink r:id="rId32" w:history="1">
        <w:r w:rsidR="00F26C93" w:rsidRPr="00B7076B">
          <w:rPr>
            <w:rStyle w:val="Hyperlink"/>
            <w:b/>
            <w:sz w:val="20"/>
            <w:szCs w:val="20"/>
          </w:rPr>
          <w:t>Teses Ambientais</w:t>
        </w:r>
      </w:hyperlink>
      <w:r w:rsidR="00F26C93">
        <w:rPr>
          <w:rStyle w:val="Hyperlink"/>
          <w:b/>
          <w:sz w:val="20"/>
          <w:szCs w:val="20"/>
        </w:rPr>
        <w:t xml:space="preserve"> </w:t>
      </w:r>
    </w:p>
    <w:p w:rsidR="00F26C93" w:rsidRDefault="00F26C93" w:rsidP="00F26C93">
      <w:pPr>
        <w:pStyle w:val="Default"/>
        <w:spacing w:line="276" w:lineRule="auto"/>
        <w:jc w:val="center"/>
        <w:rPr>
          <w:rStyle w:val="Hyperlink"/>
          <w:b/>
          <w:sz w:val="20"/>
          <w:szCs w:val="20"/>
        </w:rPr>
      </w:pPr>
    </w:p>
    <w:p w:rsidR="00F26C93" w:rsidRPr="00BC4C07" w:rsidRDefault="00A03E5E" w:rsidP="00F26C93">
      <w:pPr>
        <w:pStyle w:val="Default"/>
        <w:spacing w:line="276" w:lineRule="auto"/>
        <w:jc w:val="center"/>
        <w:rPr>
          <w:b/>
          <w:sz w:val="20"/>
          <w:szCs w:val="20"/>
        </w:rPr>
      </w:pPr>
      <w:hyperlink r:id="rId33" w:history="1">
        <w:proofErr w:type="spellStart"/>
        <w:r w:rsidR="00F26C93" w:rsidRPr="00B7076B">
          <w:rPr>
            <w:rStyle w:val="Hyperlink"/>
            <w:b/>
            <w:sz w:val="20"/>
            <w:szCs w:val="20"/>
          </w:rPr>
          <w:t>Interjuris</w:t>
        </w:r>
        <w:proofErr w:type="spellEnd"/>
      </w:hyperlink>
    </w:p>
    <w:p w:rsidR="00F26C93" w:rsidRDefault="00F26C93" w:rsidP="00F26C93">
      <w:pPr>
        <w:pStyle w:val="Default"/>
        <w:spacing w:line="276" w:lineRule="auto"/>
        <w:jc w:val="center"/>
      </w:pPr>
    </w:p>
    <w:p w:rsidR="00F26C93" w:rsidRDefault="00A03E5E" w:rsidP="00F26C93">
      <w:pPr>
        <w:pStyle w:val="Default"/>
        <w:spacing w:line="276" w:lineRule="auto"/>
        <w:jc w:val="center"/>
        <w:rPr>
          <w:rStyle w:val="Hyperlink"/>
          <w:b/>
          <w:sz w:val="20"/>
          <w:szCs w:val="20"/>
        </w:rPr>
      </w:pPr>
      <w:hyperlink r:id="rId34" w:history="1">
        <w:r w:rsidR="00F26C93">
          <w:rPr>
            <w:rStyle w:val="Hyperlink"/>
            <w:b/>
            <w:sz w:val="20"/>
            <w:szCs w:val="20"/>
          </w:rPr>
          <w:t>Repercussão Geral do Supremo Tribunal Federal - STF e os Tribunais de Contas</w:t>
        </w:r>
      </w:hyperlink>
    </w:p>
    <w:p w:rsidR="00F26C93" w:rsidRDefault="00F26C93" w:rsidP="00F26C93">
      <w:pPr>
        <w:pStyle w:val="Default"/>
        <w:spacing w:line="276" w:lineRule="auto"/>
        <w:jc w:val="center"/>
        <w:rPr>
          <w:rStyle w:val="Hyperlink"/>
          <w:b/>
          <w:sz w:val="20"/>
          <w:szCs w:val="20"/>
        </w:rPr>
      </w:pPr>
    </w:p>
    <w:p w:rsidR="00F26C93" w:rsidRPr="00DD265A" w:rsidRDefault="00A03E5E" w:rsidP="00F26C93">
      <w:pPr>
        <w:pStyle w:val="Default"/>
        <w:spacing w:line="276" w:lineRule="auto"/>
        <w:jc w:val="center"/>
        <w:rPr>
          <w:rStyle w:val="Hyperlink"/>
          <w:b/>
          <w:sz w:val="20"/>
          <w:szCs w:val="20"/>
        </w:rPr>
      </w:pPr>
      <w:hyperlink r:id="rId35" w:history="1">
        <w:r w:rsidR="00F26C93" w:rsidRPr="00B7076B">
          <w:rPr>
            <w:rStyle w:val="Hyperlink"/>
            <w:b/>
            <w:sz w:val="20"/>
            <w:szCs w:val="20"/>
          </w:rPr>
          <w:t>Súmulas Selecionadas</w:t>
        </w:r>
      </w:hyperlink>
    </w:p>
    <w:p w:rsidR="00F26C93" w:rsidRDefault="00F26C93" w:rsidP="00F26C93">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3F8DD91E" wp14:editId="3FCF28DE">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3E38CD"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F26C93" w:rsidRDefault="00F26C93" w:rsidP="00F26C93">
      <w:pPr>
        <w:spacing w:after="0"/>
        <w:jc w:val="center"/>
        <w:rPr>
          <w:rStyle w:val="Hyperlink"/>
          <w:rFonts w:ascii="Arial" w:hAnsi="Arial" w:cs="Arial"/>
          <w:i/>
          <w:color w:val="000000" w:themeColor="text1"/>
          <w:sz w:val="20"/>
          <w:szCs w:val="20"/>
          <w:u w:val="none"/>
        </w:rPr>
      </w:pPr>
    </w:p>
    <w:p w:rsidR="00F26C93" w:rsidRDefault="00F26C93" w:rsidP="00F26C93">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F26C93" w:rsidRDefault="00F26C93" w:rsidP="00F26C93">
      <w:pPr>
        <w:spacing w:after="0"/>
        <w:jc w:val="center"/>
        <w:rPr>
          <w:b/>
        </w:rPr>
      </w:pPr>
      <w:r>
        <w:rPr>
          <w:rStyle w:val="nfase"/>
          <w:rFonts w:ascii="Tahoma" w:hAnsi="Tahoma" w:cs="Tahoma"/>
          <w:sz w:val="20"/>
          <w:szCs w:val="20"/>
        </w:rPr>
        <w:t>E-mail: jurisprudencia@tce.pr.gov.br</w:t>
      </w:r>
    </w:p>
    <w:p w:rsidR="00F26C93" w:rsidRDefault="00F26C93" w:rsidP="00F26C93">
      <w:pPr>
        <w:widowControl w:val="0"/>
        <w:autoSpaceDE w:val="0"/>
        <w:autoSpaceDN w:val="0"/>
        <w:spacing w:after="0"/>
        <w:jc w:val="both"/>
        <w:rPr>
          <w:rFonts w:ascii="Arial" w:hAnsi="Arial" w:cs="Arial"/>
          <w:b/>
          <w:sz w:val="20"/>
          <w:szCs w:val="20"/>
        </w:rPr>
      </w:pPr>
    </w:p>
    <w:p w:rsidR="00F26C93" w:rsidRDefault="00F26C93" w:rsidP="00F26C93">
      <w:pPr>
        <w:widowControl w:val="0"/>
        <w:autoSpaceDE w:val="0"/>
        <w:autoSpaceDN w:val="0"/>
        <w:spacing w:after="0"/>
        <w:jc w:val="both"/>
        <w:rPr>
          <w:rFonts w:ascii="Arial" w:hAnsi="Arial" w:cs="Arial"/>
          <w:b/>
          <w:sz w:val="20"/>
          <w:szCs w:val="20"/>
        </w:rPr>
      </w:pPr>
    </w:p>
    <w:p w:rsidR="00F26C93" w:rsidRPr="0022060B" w:rsidRDefault="00F26C93" w:rsidP="00F26C93">
      <w:pPr>
        <w:pStyle w:val="TCU-Epgrafe"/>
        <w:spacing w:after="200" w:line="276" w:lineRule="auto"/>
        <w:ind w:left="0"/>
        <w:rPr>
          <w:rFonts w:ascii="Arial" w:hAnsi="Arial" w:cs="Arial"/>
          <w:b/>
          <w:sz w:val="20"/>
        </w:rPr>
      </w:pPr>
    </w:p>
    <w:p w:rsidR="00F26C93" w:rsidRPr="00086EDF" w:rsidRDefault="00F26C93" w:rsidP="00816942">
      <w:pPr>
        <w:spacing w:after="0"/>
        <w:rPr>
          <w:rFonts w:ascii="Arial" w:hAnsi="Arial" w:cs="Arial"/>
          <w:color w:val="000000"/>
          <w:sz w:val="20"/>
          <w:szCs w:val="20"/>
        </w:rPr>
      </w:pPr>
    </w:p>
    <w:sectPr w:rsidR="00F26C93" w:rsidRPr="00086EDF">
      <w:headerReference w:type="default" r:id="rId36"/>
      <w:footerReference w:type="default"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46E" w:rsidRDefault="00AB346E" w:rsidP="00350CC2">
      <w:pPr>
        <w:spacing w:after="0" w:line="240" w:lineRule="auto"/>
      </w:pPr>
      <w:r>
        <w:separator/>
      </w:r>
    </w:p>
  </w:endnote>
  <w:endnote w:type="continuationSeparator" w:id="0">
    <w:p w:rsidR="00AB346E" w:rsidRDefault="00AB346E"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46E" w:rsidRDefault="00AB346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AB346E" w:rsidRPr="00722924" w:rsidRDefault="00AB346E"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7737E">
      <w:rPr>
        <w:noProof/>
        <w:sz w:val="16"/>
        <w:szCs w:val="16"/>
      </w:rPr>
      <w:t>3</w:t>
    </w:r>
    <w:r w:rsidRPr="00722924">
      <w:rPr>
        <w:sz w:val="16"/>
        <w:szCs w:val="16"/>
      </w:rPr>
      <w:fldChar w:fldCharType="end"/>
    </w:r>
  </w:p>
  <w:p w:rsidR="00AB346E" w:rsidRDefault="00AB346E"/>
  <w:p w:rsidR="00AB346E" w:rsidRDefault="00AB346E"/>
  <w:p w:rsidR="00AB346E" w:rsidRDefault="00AB3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46E" w:rsidRDefault="00AB346E" w:rsidP="00350CC2">
      <w:pPr>
        <w:spacing w:after="0" w:line="240" w:lineRule="auto"/>
      </w:pPr>
      <w:r>
        <w:separator/>
      </w:r>
    </w:p>
  </w:footnote>
  <w:footnote w:type="continuationSeparator" w:id="0">
    <w:p w:rsidR="00AB346E" w:rsidRDefault="00AB346E"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46E" w:rsidRDefault="00AB346E" w:rsidP="00F14CCC">
    <w:pPr>
      <w:pStyle w:val="Cabealho"/>
      <w:spacing w:after="100" w:afterAutospacing="1"/>
      <w:jc w:val="center"/>
      <w:rPr>
        <w:b/>
      </w:rPr>
    </w:pPr>
  </w:p>
  <w:p w:rsidR="00AB346E" w:rsidRDefault="00AB346E"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2B6"/>
    <w:multiLevelType w:val="multilevel"/>
    <w:tmpl w:val="8E4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46ECE"/>
    <w:multiLevelType w:val="multilevel"/>
    <w:tmpl w:val="242A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8C7570"/>
    <w:multiLevelType w:val="multilevel"/>
    <w:tmpl w:val="309A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D51B8"/>
    <w:multiLevelType w:val="multilevel"/>
    <w:tmpl w:val="82D8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F047E8"/>
    <w:multiLevelType w:val="multilevel"/>
    <w:tmpl w:val="B23A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645638"/>
    <w:multiLevelType w:val="multilevel"/>
    <w:tmpl w:val="C3F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B276E"/>
    <w:multiLevelType w:val="hybridMultilevel"/>
    <w:tmpl w:val="8DC4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891B8E"/>
    <w:multiLevelType w:val="multilevel"/>
    <w:tmpl w:val="9A38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4F7715"/>
    <w:multiLevelType w:val="multilevel"/>
    <w:tmpl w:val="8018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7B24238"/>
    <w:multiLevelType w:val="multilevel"/>
    <w:tmpl w:val="3B5A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4"/>
  </w:num>
  <w:num w:numId="3">
    <w:abstractNumId w:val="18"/>
  </w:num>
  <w:num w:numId="4">
    <w:abstractNumId w:val="19"/>
  </w:num>
  <w:num w:numId="5">
    <w:abstractNumId w:val="21"/>
  </w:num>
  <w:num w:numId="6">
    <w:abstractNumId w:val="16"/>
  </w:num>
  <w:num w:numId="7">
    <w:abstractNumId w:val="1"/>
  </w:num>
  <w:num w:numId="8">
    <w:abstractNumId w:val="3"/>
  </w:num>
  <w:num w:numId="9">
    <w:abstractNumId w:val="10"/>
  </w:num>
  <w:num w:numId="10">
    <w:abstractNumId w:val="4"/>
  </w:num>
  <w:num w:numId="11">
    <w:abstractNumId w:val="5"/>
  </w:num>
  <w:num w:numId="12">
    <w:abstractNumId w:val="15"/>
  </w:num>
  <w:num w:numId="13">
    <w:abstractNumId w:val="12"/>
  </w:num>
  <w:num w:numId="14">
    <w:abstractNumId w:val="11"/>
  </w:num>
  <w:num w:numId="15">
    <w:abstractNumId w:val="6"/>
  </w:num>
  <w:num w:numId="16">
    <w:abstractNumId w:val="0"/>
  </w:num>
  <w:num w:numId="17">
    <w:abstractNumId w:val="2"/>
  </w:num>
  <w:num w:numId="18">
    <w:abstractNumId w:val="17"/>
  </w:num>
  <w:num w:numId="19">
    <w:abstractNumId w:val="13"/>
  </w:num>
  <w:num w:numId="20">
    <w:abstractNumId w:val="7"/>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AF2"/>
    <w:rsid w:val="00003C03"/>
    <w:rsid w:val="0000505F"/>
    <w:rsid w:val="00006D2F"/>
    <w:rsid w:val="000078B5"/>
    <w:rsid w:val="00007F7A"/>
    <w:rsid w:val="00007FD0"/>
    <w:rsid w:val="00010B69"/>
    <w:rsid w:val="00010CA4"/>
    <w:rsid w:val="00010F88"/>
    <w:rsid w:val="0001200F"/>
    <w:rsid w:val="000125C6"/>
    <w:rsid w:val="000126A0"/>
    <w:rsid w:val="00012CBB"/>
    <w:rsid w:val="00013691"/>
    <w:rsid w:val="00013840"/>
    <w:rsid w:val="00015FB0"/>
    <w:rsid w:val="00017EBA"/>
    <w:rsid w:val="00021B0A"/>
    <w:rsid w:val="00025971"/>
    <w:rsid w:val="000262AD"/>
    <w:rsid w:val="00027A03"/>
    <w:rsid w:val="00027FAB"/>
    <w:rsid w:val="000300F4"/>
    <w:rsid w:val="00031B57"/>
    <w:rsid w:val="00032A26"/>
    <w:rsid w:val="00033422"/>
    <w:rsid w:val="00033E69"/>
    <w:rsid w:val="000341BE"/>
    <w:rsid w:val="00034F91"/>
    <w:rsid w:val="0003560A"/>
    <w:rsid w:val="00040EBA"/>
    <w:rsid w:val="00041AA2"/>
    <w:rsid w:val="00042231"/>
    <w:rsid w:val="00042502"/>
    <w:rsid w:val="00042B3E"/>
    <w:rsid w:val="00042DF3"/>
    <w:rsid w:val="000433EC"/>
    <w:rsid w:val="000439FD"/>
    <w:rsid w:val="0004557C"/>
    <w:rsid w:val="00045700"/>
    <w:rsid w:val="00046191"/>
    <w:rsid w:val="00046E21"/>
    <w:rsid w:val="00047EF1"/>
    <w:rsid w:val="00052053"/>
    <w:rsid w:val="000523CA"/>
    <w:rsid w:val="00052862"/>
    <w:rsid w:val="00053B72"/>
    <w:rsid w:val="00056686"/>
    <w:rsid w:val="00056E6F"/>
    <w:rsid w:val="000572CE"/>
    <w:rsid w:val="00057B50"/>
    <w:rsid w:val="000617CF"/>
    <w:rsid w:val="00062737"/>
    <w:rsid w:val="0006556A"/>
    <w:rsid w:val="000677C7"/>
    <w:rsid w:val="00067E01"/>
    <w:rsid w:val="00070009"/>
    <w:rsid w:val="00070B14"/>
    <w:rsid w:val="000713DD"/>
    <w:rsid w:val="00071503"/>
    <w:rsid w:val="00071DE3"/>
    <w:rsid w:val="0007200C"/>
    <w:rsid w:val="00073F9F"/>
    <w:rsid w:val="00074287"/>
    <w:rsid w:val="000747BF"/>
    <w:rsid w:val="00074FAB"/>
    <w:rsid w:val="000759E5"/>
    <w:rsid w:val="00076184"/>
    <w:rsid w:val="000800D1"/>
    <w:rsid w:val="00080C99"/>
    <w:rsid w:val="00081051"/>
    <w:rsid w:val="000811A1"/>
    <w:rsid w:val="00086EDF"/>
    <w:rsid w:val="0009260D"/>
    <w:rsid w:val="000926D4"/>
    <w:rsid w:val="00092E5D"/>
    <w:rsid w:val="0009482D"/>
    <w:rsid w:val="0009711C"/>
    <w:rsid w:val="0009762F"/>
    <w:rsid w:val="00097B00"/>
    <w:rsid w:val="000A0748"/>
    <w:rsid w:val="000A0E48"/>
    <w:rsid w:val="000A16CD"/>
    <w:rsid w:val="000A1CA4"/>
    <w:rsid w:val="000A29BE"/>
    <w:rsid w:val="000A2A42"/>
    <w:rsid w:val="000A3C2D"/>
    <w:rsid w:val="000A3E63"/>
    <w:rsid w:val="000A47FD"/>
    <w:rsid w:val="000A4E29"/>
    <w:rsid w:val="000A4EB6"/>
    <w:rsid w:val="000A5F01"/>
    <w:rsid w:val="000A6289"/>
    <w:rsid w:val="000A6D3E"/>
    <w:rsid w:val="000A71D1"/>
    <w:rsid w:val="000B04A0"/>
    <w:rsid w:val="000B11D2"/>
    <w:rsid w:val="000B1E10"/>
    <w:rsid w:val="000B2394"/>
    <w:rsid w:val="000B2FD9"/>
    <w:rsid w:val="000B311A"/>
    <w:rsid w:val="000B31B6"/>
    <w:rsid w:val="000B47C0"/>
    <w:rsid w:val="000C1C16"/>
    <w:rsid w:val="000C2948"/>
    <w:rsid w:val="000C3582"/>
    <w:rsid w:val="000C4F73"/>
    <w:rsid w:val="000C5093"/>
    <w:rsid w:val="000C5460"/>
    <w:rsid w:val="000C5EB3"/>
    <w:rsid w:val="000C63BC"/>
    <w:rsid w:val="000C7D67"/>
    <w:rsid w:val="000D0159"/>
    <w:rsid w:val="000D01B8"/>
    <w:rsid w:val="000D0852"/>
    <w:rsid w:val="000D2D5B"/>
    <w:rsid w:val="000D357D"/>
    <w:rsid w:val="000D4DE6"/>
    <w:rsid w:val="000D5E77"/>
    <w:rsid w:val="000D6D01"/>
    <w:rsid w:val="000E300B"/>
    <w:rsid w:val="000E3ACE"/>
    <w:rsid w:val="000E3FC6"/>
    <w:rsid w:val="000E464B"/>
    <w:rsid w:val="000E5AC8"/>
    <w:rsid w:val="000F04ED"/>
    <w:rsid w:val="000F18DA"/>
    <w:rsid w:val="000F1FFA"/>
    <w:rsid w:val="000F314C"/>
    <w:rsid w:val="000F639D"/>
    <w:rsid w:val="000F7C1B"/>
    <w:rsid w:val="00100B9C"/>
    <w:rsid w:val="001039B6"/>
    <w:rsid w:val="00106AA9"/>
    <w:rsid w:val="00110517"/>
    <w:rsid w:val="00110BD6"/>
    <w:rsid w:val="001119DC"/>
    <w:rsid w:val="00111B86"/>
    <w:rsid w:val="00111C26"/>
    <w:rsid w:val="00112B60"/>
    <w:rsid w:val="00112F3F"/>
    <w:rsid w:val="00113EF1"/>
    <w:rsid w:val="00114B62"/>
    <w:rsid w:val="001154C9"/>
    <w:rsid w:val="001159C9"/>
    <w:rsid w:val="00116756"/>
    <w:rsid w:val="0011798C"/>
    <w:rsid w:val="00120862"/>
    <w:rsid w:val="0012211A"/>
    <w:rsid w:val="00122E13"/>
    <w:rsid w:val="00123D02"/>
    <w:rsid w:val="00124501"/>
    <w:rsid w:val="0012498C"/>
    <w:rsid w:val="00124A0F"/>
    <w:rsid w:val="001261B2"/>
    <w:rsid w:val="00126447"/>
    <w:rsid w:val="00127DF2"/>
    <w:rsid w:val="00130717"/>
    <w:rsid w:val="0013298B"/>
    <w:rsid w:val="0013396B"/>
    <w:rsid w:val="00133EC0"/>
    <w:rsid w:val="001342E3"/>
    <w:rsid w:val="0013514C"/>
    <w:rsid w:val="0013583F"/>
    <w:rsid w:val="00135D5F"/>
    <w:rsid w:val="0013605B"/>
    <w:rsid w:val="001411E6"/>
    <w:rsid w:val="001415BA"/>
    <w:rsid w:val="00142D10"/>
    <w:rsid w:val="00144712"/>
    <w:rsid w:val="00146EFD"/>
    <w:rsid w:val="001472C1"/>
    <w:rsid w:val="00147BAB"/>
    <w:rsid w:val="00150844"/>
    <w:rsid w:val="001529D8"/>
    <w:rsid w:val="00153CE1"/>
    <w:rsid w:val="001555A0"/>
    <w:rsid w:val="00156185"/>
    <w:rsid w:val="00156F74"/>
    <w:rsid w:val="00157806"/>
    <w:rsid w:val="00157D64"/>
    <w:rsid w:val="00157EBF"/>
    <w:rsid w:val="0016028F"/>
    <w:rsid w:val="00161AA2"/>
    <w:rsid w:val="00165C14"/>
    <w:rsid w:val="0016670D"/>
    <w:rsid w:val="00166A96"/>
    <w:rsid w:val="00170F9D"/>
    <w:rsid w:val="00171401"/>
    <w:rsid w:val="00171A45"/>
    <w:rsid w:val="001720EB"/>
    <w:rsid w:val="00172248"/>
    <w:rsid w:val="0017455D"/>
    <w:rsid w:val="001770AF"/>
    <w:rsid w:val="001800A9"/>
    <w:rsid w:val="001823E7"/>
    <w:rsid w:val="0018272D"/>
    <w:rsid w:val="001863D1"/>
    <w:rsid w:val="00190B94"/>
    <w:rsid w:val="001914D2"/>
    <w:rsid w:val="00192232"/>
    <w:rsid w:val="001930D1"/>
    <w:rsid w:val="00193F49"/>
    <w:rsid w:val="001942C5"/>
    <w:rsid w:val="00196437"/>
    <w:rsid w:val="001975AB"/>
    <w:rsid w:val="001A0EA4"/>
    <w:rsid w:val="001A16DE"/>
    <w:rsid w:val="001A1A28"/>
    <w:rsid w:val="001A5D2D"/>
    <w:rsid w:val="001B0131"/>
    <w:rsid w:val="001B096B"/>
    <w:rsid w:val="001B165F"/>
    <w:rsid w:val="001B5B65"/>
    <w:rsid w:val="001B5F7A"/>
    <w:rsid w:val="001B6E08"/>
    <w:rsid w:val="001C0F23"/>
    <w:rsid w:val="001C1155"/>
    <w:rsid w:val="001C34B8"/>
    <w:rsid w:val="001C46A8"/>
    <w:rsid w:val="001C7789"/>
    <w:rsid w:val="001D0693"/>
    <w:rsid w:val="001D0DD1"/>
    <w:rsid w:val="001D3075"/>
    <w:rsid w:val="001D3414"/>
    <w:rsid w:val="001D4D9A"/>
    <w:rsid w:val="001D51BD"/>
    <w:rsid w:val="001D5F79"/>
    <w:rsid w:val="001D6665"/>
    <w:rsid w:val="001D684B"/>
    <w:rsid w:val="001D6ADC"/>
    <w:rsid w:val="001D7E4B"/>
    <w:rsid w:val="001E1817"/>
    <w:rsid w:val="001E2E5A"/>
    <w:rsid w:val="001E588B"/>
    <w:rsid w:val="001E5F2E"/>
    <w:rsid w:val="001E6CAA"/>
    <w:rsid w:val="001E73FF"/>
    <w:rsid w:val="001E75A7"/>
    <w:rsid w:val="001E7CC7"/>
    <w:rsid w:val="001F5C03"/>
    <w:rsid w:val="001F5F67"/>
    <w:rsid w:val="001F7A25"/>
    <w:rsid w:val="002013D1"/>
    <w:rsid w:val="0020195B"/>
    <w:rsid w:val="00202E6D"/>
    <w:rsid w:val="00202F4B"/>
    <w:rsid w:val="002034F7"/>
    <w:rsid w:val="002036C8"/>
    <w:rsid w:val="002036D1"/>
    <w:rsid w:val="002100EE"/>
    <w:rsid w:val="00211A49"/>
    <w:rsid w:val="00213BD0"/>
    <w:rsid w:val="002147AC"/>
    <w:rsid w:val="00215BFE"/>
    <w:rsid w:val="00215EF3"/>
    <w:rsid w:val="00217425"/>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2ED5"/>
    <w:rsid w:val="002450AA"/>
    <w:rsid w:val="002456AD"/>
    <w:rsid w:val="00245F7B"/>
    <w:rsid w:val="002478B9"/>
    <w:rsid w:val="00251020"/>
    <w:rsid w:val="00251273"/>
    <w:rsid w:val="00252A2A"/>
    <w:rsid w:val="00252AA5"/>
    <w:rsid w:val="00253ADA"/>
    <w:rsid w:val="00255360"/>
    <w:rsid w:val="00256A12"/>
    <w:rsid w:val="00256CEA"/>
    <w:rsid w:val="002571B4"/>
    <w:rsid w:val="00260758"/>
    <w:rsid w:val="00260D58"/>
    <w:rsid w:val="002618D9"/>
    <w:rsid w:val="00262D73"/>
    <w:rsid w:val="0026375B"/>
    <w:rsid w:val="00264469"/>
    <w:rsid w:val="0026477F"/>
    <w:rsid w:val="00264F10"/>
    <w:rsid w:val="0026510B"/>
    <w:rsid w:val="002659BA"/>
    <w:rsid w:val="0026729F"/>
    <w:rsid w:val="00270E2F"/>
    <w:rsid w:val="00271154"/>
    <w:rsid w:val="00271655"/>
    <w:rsid w:val="00272EEE"/>
    <w:rsid w:val="00273264"/>
    <w:rsid w:val="00277AEA"/>
    <w:rsid w:val="002805F1"/>
    <w:rsid w:val="00286D2A"/>
    <w:rsid w:val="00286EB4"/>
    <w:rsid w:val="002874A2"/>
    <w:rsid w:val="00290CBE"/>
    <w:rsid w:val="002921E2"/>
    <w:rsid w:val="00292301"/>
    <w:rsid w:val="00292591"/>
    <w:rsid w:val="0029566D"/>
    <w:rsid w:val="00295F4B"/>
    <w:rsid w:val="00296D8F"/>
    <w:rsid w:val="00297C57"/>
    <w:rsid w:val="002A00AC"/>
    <w:rsid w:val="002A00E8"/>
    <w:rsid w:val="002A0792"/>
    <w:rsid w:val="002A1D5F"/>
    <w:rsid w:val="002A2E6C"/>
    <w:rsid w:val="002B070A"/>
    <w:rsid w:val="002B0F20"/>
    <w:rsid w:val="002B14B7"/>
    <w:rsid w:val="002B297F"/>
    <w:rsid w:val="002B38A8"/>
    <w:rsid w:val="002B5E9F"/>
    <w:rsid w:val="002B6BA0"/>
    <w:rsid w:val="002C036E"/>
    <w:rsid w:val="002C05FF"/>
    <w:rsid w:val="002C19EA"/>
    <w:rsid w:val="002C2E1A"/>
    <w:rsid w:val="002C3EA5"/>
    <w:rsid w:val="002C480F"/>
    <w:rsid w:val="002C5340"/>
    <w:rsid w:val="002C5524"/>
    <w:rsid w:val="002C56C9"/>
    <w:rsid w:val="002C73F7"/>
    <w:rsid w:val="002C7487"/>
    <w:rsid w:val="002D1923"/>
    <w:rsid w:val="002D48D1"/>
    <w:rsid w:val="002D5B56"/>
    <w:rsid w:val="002D6612"/>
    <w:rsid w:val="002D7650"/>
    <w:rsid w:val="002E09B1"/>
    <w:rsid w:val="002E0A60"/>
    <w:rsid w:val="002E372D"/>
    <w:rsid w:val="002E4277"/>
    <w:rsid w:val="002E5303"/>
    <w:rsid w:val="002E6626"/>
    <w:rsid w:val="002E6A51"/>
    <w:rsid w:val="002E72FA"/>
    <w:rsid w:val="002E7402"/>
    <w:rsid w:val="002E7DFF"/>
    <w:rsid w:val="002F0BE9"/>
    <w:rsid w:val="002F12B6"/>
    <w:rsid w:val="002F13A0"/>
    <w:rsid w:val="002F1634"/>
    <w:rsid w:val="002F1848"/>
    <w:rsid w:val="002F1D70"/>
    <w:rsid w:val="002F22FA"/>
    <w:rsid w:val="002F73BA"/>
    <w:rsid w:val="00300462"/>
    <w:rsid w:val="003005B3"/>
    <w:rsid w:val="0030165B"/>
    <w:rsid w:val="0030184E"/>
    <w:rsid w:val="00301EB9"/>
    <w:rsid w:val="00302340"/>
    <w:rsid w:val="00303C9C"/>
    <w:rsid w:val="00305A67"/>
    <w:rsid w:val="00306B80"/>
    <w:rsid w:val="00307038"/>
    <w:rsid w:val="0031140C"/>
    <w:rsid w:val="00313238"/>
    <w:rsid w:val="003132BE"/>
    <w:rsid w:val="00314B2A"/>
    <w:rsid w:val="00320577"/>
    <w:rsid w:val="0032266D"/>
    <w:rsid w:val="003239C2"/>
    <w:rsid w:val="00323DA9"/>
    <w:rsid w:val="0032567E"/>
    <w:rsid w:val="00325E2F"/>
    <w:rsid w:val="003265DB"/>
    <w:rsid w:val="003269A9"/>
    <w:rsid w:val="00327DF9"/>
    <w:rsid w:val="0033073E"/>
    <w:rsid w:val="00331533"/>
    <w:rsid w:val="0033240F"/>
    <w:rsid w:val="00333875"/>
    <w:rsid w:val="003350E7"/>
    <w:rsid w:val="0033604C"/>
    <w:rsid w:val="003407F0"/>
    <w:rsid w:val="00342851"/>
    <w:rsid w:val="00342C2D"/>
    <w:rsid w:val="003434D8"/>
    <w:rsid w:val="00343C28"/>
    <w:rsid w:val="00344A3D"/>
    <w:rsid w:val="00344A41"/>
    <w:rsid w:val="0034575E"/>
    <w:rsid w:val="00345C65"/>
    <w:rsid w:val="00345EF4"/>
    <w:rsid w:val="00350804"/>
    <w:rsid w:val="00350CC2"/>
    <w:rsid w:val="00350D77"/>
    <w:rsid w:val="00351206"/>
    <w:rsid w:val="0035203F"/>
    <w:rsid w:val="003528A1"/>
    <w:rsid w:val="00352A72"/>
    <w:rsid w:val="0035371B"/>
    <w:rsid w:val="00353FEB"/>
    <w:rsid w:val="0035679C"/>
    <w:rsid w:val="00356987"/>
    <w:rsid w:val="00356FB0"/>
    <w:rsid w:val="00361DA5"/>
    <w:rsid w:val="00361F1D"/>
    <w:rsid w:val="00364392"/>
    <w:rsid w:val="00365E61"/>
    <w:rsid w:val="00365EFF"/>
    <w:rsid w:val="00365F51"/>
    <w:rsid w:val="00370D16"/>
    <w:rsid w:val="00373E05"/>
    <w:rsid w:val="00375692"/>
    <w:rsid w:val="00375DB6"/>
    <w:rsid w:val="00376B58"/>
    <w:rsid w:val="0038012F"/>
    <w:rsid w:val="0038047C"/>
    <w:rsid w:val="00380BAB"/>
    <w:rsid w:val="00381A0E"/>
    <w:rsid w:val="00381B72"/>
    <w:rsid w:val="00382484"/>
    <w:rsid w:val="0038751C"/>
    <w:rsid w:val="0038778B"/>
    <w:rsid w:val="00387A2E"/>
    <w:rsid w:val="00394451"/>
    <w:rsid w:val="003948CE"/>
    <w:rsid w:val="0039584A"/>
    <w:rsid w:val="0039625A"/>
    <w:rsid w:val="003964D6"/>
    <w:rsid w:val="00396E93"/>
    <w:rsid w:val="003977E8"/>
    <w:rsid w:val="003A4828"/>
    <w:rsid w:val="003A4903"/>
    <w:rsid w:val="003A64CB"/>
    <w:rsid w:val="003A6622"/>
    <w:rsid w:val="003A673F"/>
    <w:rsid w:val="003A6BCC"/>
    <w:rsid w:val="003A7EB3"/>
    <w:rsid w:val="003B023F"/>
    <w:rsid w:val="003B145D"/>
    <w:rsid w:val="003B23A3"/>
    <w:rsid w:val="003B4678"/>
    <w:rsid w:val="003B4F77"/>
    <w:rsid w:val="003B502C"/>
    <w:rsid w:val="003C1E76"/>
    <w:rsid w:val="003C6B35"/>
    <w:rsid w:val="003C7C21"/>
    <w:rsid w:val="003D0464"/>
    <w:rsid w:val="003D0632"/>
    <w:rsid w:val="003D639C"/>
    <w:rsid w:val="003D650C"/>
    <w:rsid w:val="003D6713"/>
    <w:rsid w:val="003D6E90"/>
    <w:rsid w:val="003D7C37"/>
    <w:rsid w:val="003E110D"/>
    <w:rsid w:val="003E1935"/>
    <w:rsid w:val="003E3529"/>
    <w:rsid w:val="003E3D02"/>
    <w:rsid w:val="003E3E6A"/>
    <w:rsid w:val="003E55BC"/>
    <w:rsid w:val="003E673D"/>
    <w:rsid w:val="003E6EAF"/>
    <w:rsid w:val="003F0088"/>
    <w:rsid w:val="003F03C6"/>
    <w:rsid w:val="003F1763"/>
    <w:rsid w:val="003F2DDE"/>
    <w:rsid w:val="003F314F"/>
    <w:rsid w:val="003F4721"/>
    <w:rsid w:val="003F5060"/>
    <w:rsid w:val="003F5829"/>
    <w:rsid w:val="003F63DA"/>
    <w:rsid w:val="003F677C"/>
    <w:rsid w:val="003F6A0F"/>
    <w:rsid w:val="003F7090"/>
    <w:rsid w:val="00400673"/>
    <w:rsid w:val="00401EE0"/>
    <w:rsid w:val="0040228F"/>
    <w:rsid w:val="004036DA"/>
    <w:rsid w:val="004043AD"/>
    <w:rsid w:val="00405A6A"/>
    <w:rsid w:val="00406D2C"/>
    <w:rsid w:val="0041120A"/>
    <w:rsid w:val="00411935"/>
    <w:rsid w:val="0041337A"/>
    <w:rsid w:val="00415796"/>
    <w:rsid w:val="00416A72"/>
    <w:rsid w:val="00420AE1"/>
    <w:rsid w:val="00426C95"/>
    <w:rsid w:val="0042728A"/>
    <w:rsid w:val="004276DC"/>
    <w:rsid w:val="0042779B"/>
    <w:rsid w:val="00430E22"/>
    <w:rsid w:val="0043291F"/>
    <w:rsid w:val="00434347"/>
    <w:rsid w:val="0043456A"/>
    <w:rsid w:val="00434F2A"/>
    <w:rsid w:val="004371F9"/>
    <w:rsid w:val="0043728E"/>
    <w:rsid w:val="00437541"/>
    <w:rsid w:val="00441D38"/>
    <w:rsid w:val="00441E59"/>
    <w:rsid w:val="004429A2"/>
    <w:rsid w:val="00442CB7"/>
    <w:rsid w:val="00443CA1"/>
    <w:rsid w:val="00444C25"/>
    <w:rsid w:val="0044532C"/>
    <w:rsid w:val="00447BB2"/>
    <w:rsid w:val="00450561"/>
    <w:rsid w:val="004527ED"/>
    <w:rsid w:val="00452E22"/>
    <w:rsid w:val="00453FEE"/>
    <w:rsid w:val="004549CF"/>
    <w:rsid w:val="00455387"/>
    <w:rsid w:val="00455AAB"/>
    <w:rsid w:val="004569B6"/>
    <w:rsid w:val="00457317"/>
    <w:rsid w:val="004605A3"/>
    <w:rsid w:val="004611E1"/>
    <w:rsid w:val="0046165B"/>
    <w:rsid w:val="00462460"/>
    <w:rsid w:val="004624E9"/>
    <w:rsid w:val="00462A13"/>
    <w:rsid w:val="00462F2A"/>
    <w:rsid w:val="00462F5E"/>
    <w:rsid w:val="00463986"/>
    <w:rsid w:val="00463A09"/>
    <w:rsid w:val="00463AC5"/>
    <w:rsid w:val="00463BA8"/>
    <w:rsid w:val="004641AA"/>
    <w:rsid w:val="00464835"/>
    <w:rsid w:val="004654D3"/>
    <w:rsid w:val="004667F9"/>
    <w:rsid w:val="00466C4F"/>
    <w:rsid w:val="00466DDD"/>
    <w:rsid w:val="00470218"/>
    <w:rsid w:val="00471B9D"/>
    <w:rsid w:val="00471EA2"/>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161"/>
    <w:rsid w:val="004949D1"/>
    <w:rsid w:val="00494AE3"/>
    <w:rsid w:val="00494C04"/>
    <w:rsid w:val="0049557F"/>
    <w:rsid w:val="004955B8"/>
    <w:rsid w:val="004965C3"/>
    <w:rsid w:val="00497639"/>
    <w:rsid w:val="004A0574"/>
    <w:rsid w:val="004A0A41"/>
    <w:rsid w:val="004A22CF"/>
    <w:rsid w:val="004A5804"/>
    <w:rsid w:val="004A794E"/>
    <w:rsid w:val="004B142E"/>
    <w:rsid w:val="004B1609"/>
    <w:rsid w:val="004B3D26"/>
    <w:rsid w:val="004B44C1"/>
    <w:rsid w:val="004B6067"/>
    <w:rsid w:val="004B623F"/>
    <w:rsid w:val="004B62DB"/>
    <w:rsid w:val="004B686B"/>
    <w:rsid w:val="004B6EA7"/>
    <w:rsid w:val="004C11DE"/>
    <w:rsid w:val="004C13DB"/>
    <w:rsid w:val="004C1F65"/>
    <w:rsid w:val="004C3DD6"/>
    <w:rsid w:val="004D00EF"/>
    <w:rsid w:val="004D14AD"/>
    <w:rsid w:val="004D3089"/>
    <w:rsid w:val="004D376C"/>
    <w:rsid w:val="004D37AA"/>
    <w:rsid w:val="004D3864"/>
    <w:rsid w:val="004D4FBB"/>
    <w:rsid w:val="004D58CD"/>
    <w:rsid w:val="004D5935"/>
    <w:rsid w:val="004D5EEF"/>
    <w:rsid w:val="004D75B0"/>
    <w:rsid w:val="004D7DC5"/>
    <w:rsid w:val="004E109A"/>
    <w:rsid w:val="004E3B94"/>
    <w:rsid w:val="004E5268"/>
    <w:rsid w:val="004E6410"/>
    <w:rsid w:val="004E6B7E"/>
    <w:rsid w:val="004E7C93"/>
    <w:rsid w:val="004F3463"/>
    <w:rsid w:val="004F3C8F"/>
    <w:rsid w:val="004F5DE0"/>
    <w:rsid w:val="00500939"/>
    <w:rsid w:val="00501FC7"/>
    <w:rsid w:val="005025F4"/>
    <w:rsid w:val="00502AAF"/>
    <w:rsid w:val="005067E0"/>
    <w:rsid w:val="005105C1"/>
    <w:rsid w:val="00510B62"/>
    <w:rsid w:val="00511F85"/>
    <w:rsid w:val="005123E6"/>
    <w:rsid w:val="0051498A"/>
    <w:rsid w:val="00516673"/>
    <w:rsid w:val="00516723"/>
    <w:rsid w:val="00517B69"/>
    <w:rsid w:val="00520134"/>
    <w:rsid w:val="00520368"/>
    <w:rsid w:val="00523227"/>
    <w:rsid w:val="00523246"/>
    <w:rsid w:val="00523686"/>
    <w:rsid w:val="005237FD"/>
    <w:rsid w:val="005246B4"/>
    <w:rsid w:val="00525F8B"/>
    <w:rsid w:val="0052651B"/>
    <w:rsid w:val="00527602"/>
    <w:rsid w:val="00530F1E"/>
    <w:rsid w:val="00532F0D"/>
    <w:rsid w:val="00533C06"/>
    <w:rsid w:val="00533E30"/>
    <w:rsid w:val="0053401E"/>
    <w:rsid w:val="00535AAB"/>
    <w:rsid w:val="00540B8E"/>
    <w:rsid w:val="00542636"/>
    <w:rsid w:val="005427DD"/>
    <w:rsid w:val="00543DF0"/>
    <w:rsid w:val="00544AB5"/>
    <w:rsid w:val="00546D89"/>
    <w:rsid w:val="00547AFC"/>
    <w:rsid w:val="0055022A"/>
    <w:rsid w:val="005503E5"/>
    <w:rsid w:val="005513B0"/>
    <w:rsid w:val="00556F73"/>
    <w:rsid w:val="005576BE"/>
    <w:rsid w:val="00557EBA"/>
    <w:rsid w:val="005603B3"/>
    <w:rsid w:val="00561787"/>
    <w:rsid w:val="0056193C"/>
    <w:rsid w:val="00561EF9"/>
    <w:rsid w:val="005650CD"/>
    <w:rsid w:val="005666FB"/>
    <w:rsid w:val="00566AE8"/>
    <w:rsid w:val="005670EC"/>
    <w:rsid w:val="00567328"/>
    <w:rsid w:val="00567C13"/>
    <w:rsid w:val="005706D5"/>
    <w:rsid w:val="005728BC"/>
    <w:rsid w:val="00573F1D"/>
    <w:rsid w:val="0057421A"/>
    <w:rsid w:val="005759E4"/>
    <w:rsid w:val="00575AE8"/>
    <w:rsid w:val="00575E1D"/>
    <w:rsid w:val="00576089"/>
    <w:rsid w:val="0057726B"/>
    <w:rsid w:val="005819D2"/>
    <w:rsid w:val="00581DF4"/>
    <w:rsid w:val="00582374"/>
    <w:rsid w:val="00582DF8"/>
    <w:rsid w:val="00583800"/>
    <w:rsid w:val="00584BC6"/>
    <w:rsid w:val="0058559D"/>
    <w:rsid w:val="005856F2"/>
    <w:rsid w:val="00585A3B"/>
    <w:rsid w:val="0058631C"/>
    <w:rsid w:val="00586D7A"/>
    <w:rsid w:val="00590E52"/>
    <w:rsid w:val="00590FA0"/>
    <w:rsid w:val="00593EFC"/>
    <w:rsid w:val="00594978"/>
    <w:rsid w:val="00594F73"/>
    <w:rsid w:val="0059537A"/>
    <w:rsid w:val="005957D1"/>
    <w:rsid w:val="00597215"/>
    <w:rsid w:val="005A0FD0"/>
    <w:rsid w:val="005A1468"/>
    <w:rsid w:val="005A2772"/>
    <w:rsid w:val="005A32A8"/>
    <w:rsid w:val="005A4536"/>
    <w:rsid w:val="005A5AF2"/>
    <w:rsid w:val="005A742F"/>
    <w:rsid w:val="005A7C78"/>
    <w:rsid w:val="005B4F6C"/>
    <w:rsid w:val="005B5073"/>
    <w:rsid w:val="005B5C80"/>
    <w:rsid w:val="005B7055"/>
    <w:rsid w:val="005C052F"/>
    <w:rsid w:val="005C3C2C"/>
    <w:rsid w:val="005C4763"/>
    <w:rsid w:val="005C4DB7"/>
    <w:rsid w:val="005C5DC8"/>
    <w:rsid w:val="005C62EC"/>
    <w:rsid w:val="005C661E"/>
    <w:rsid w:val="005C7258"/>
    <w:rsid w:val="005D1E9E"/>
    <w:rsid w:val="005D48C8"/>
    <w:rsid w:val="005D4D8F"/>
    <w:rsid w:val="005D58CE"/>
    <w:rsid w:val="005D65D9"/>
    <w:rsid w:val="005D6DB4"/>
    <w:rsid w:val="005E2760"/>
    <w:rsid w:val="005E2D13"/>
    <w:rsid w:val="005E350B"/>
    <w:rsid w:val="005E4648"/>
    <w:rsid w:val="005E5F6F"/>
    <w:rsid w:val="005E5F76"/>
    <w:rsid w:val="005E6068"/>
    <w:rsid w:val="005E64B3"/>
    <w:rsid w:val="005E6A47"/>
    <w:rsid w:val="005F03A4"/>
    <w:rsid w:val="005F0C0B"/>
    <w:rsid w:val="005F0C51"/>
    <w:rsid w:val="005F16DB"/>
    <w:rsid w:val="005F17B2"/>
    <w:rsid w:val="005F24A0"/>
    <w:rsid w:val="005F2BB5"/>
    <w:rsid w:val="005F3A96"/>
    <w:rsid w:val="005F4DBF"/>
    <w:rsid w:val="005F5479"/>
    <w:rsid w:val="005F58C1"/>
    <w:rsid w:val="005F5D1A"/>
    <w:rsid w:val="005F66CC"/>
    <w:rsid w:val="005F755C"/>
    <w:rsid w:val="005F76E1"/>
    <w:rsid w:val="005F78BE"/>
    <w:rsid w:val="005F7DEC"/>
    <w:rsid w:val="005F7E35"/>
    <w:rsid w:val="00600AA5"/>
    <w:rsid w:val="0060126D"/>
    <w:rsid w:val="0060146A"/>
    <w:rsid w:val="006018B4"/>
    <w:rsid w:val="00601974"/>
    <w:rsid w:val="00601CE8"/>
    <w:rsid w:val="00602DA5"/>
    <w:rsid w:val="0060356C"/>
    <w:rsid w:val="006045AF"/>
    <w:rsid w:val="00606B1E"/>
    <w:rsid w:val="006105E3"/>
    <w:rsid w:val="006115E2"/>
    <w:rsid w:val="00613D08"/>
    <w:rsid w:val="00613E18"/>
    <w:rsid w:val="0061491F"/>
    <w:rsid w:val="00615FC7"/>
    <w:rsid w:val="00620DEF"/>
    <w:rsid w:val="0062204C"/>
    <w:rsid w:val="00623188"/>
    <w:rsid w:val="00624ECC"/>
    <w:rsid w:val="00626DD6"/>
    <w:rsid w:val="0062719D"/>
    <w:rsid w:val="00627FDF"/>
    <w:rsid w:val="00630296"/>
    <w:rsid w:val="00631871"/>
    <w:rsid w:val="006331E3"/>
    <w:rsid w:val="00633776"/>
    <w:rsid w:val="00633C62"/>
    <w:rsid w:val="006354CD"/>
    <w:rsid w:val="006361F0"/>
    <w:rsid w:val="006372A4"/>
    <w:rsid w:val="006375ED"/>
    <w:rsid w:val="0064029E"/>
    <w:rsid w:val="00640861"/>
    <w:rsid w:val="00640A36"/>
    <w:rsid w:val="00640BDC"/>
    <w:rsid w:val="0064171C"/>
    <w:rsid w:val="00646004"/>
    <w:rsid w:val="00646AD1"/>
    <w:rsid w:val="006473BA"/>
    <w:rsid w:val="006506C2"/>
    <w:rsid w:val="00650E4E"/>
    <w:rsid w:val="00651EDF"/>
    <w:rsid w:val="00654D9D"/>
    <w:rsid w:val="00654FBE"/>
    <w:rsid w:val="0066038B"/>
    <w:rsid w:val="00660C02"/>
    <w:rsid w:val="0066104E"/>
    <w:rsid w:val="0066130F"/>
    <w:rsid w:val="006641F4"/>
    <w:rsid w:val="006645D9"/>
    <w:rsid w:val="00665EBC"/>
    <w:rsid w:val="00667212"/>
    <w:rsid w:val="00667637"/>
    <w:rsid w:val="00667BE8"/>
    <w:rsid w:val="0067113E"/>
    <w:rsid w:val="0067150D"/>
    <w:rsid w:val="00671CBB"/>
    <w:rsid w:val="00673A29"/>
    <w:rsid w:val="00673AD9"/>
    <w:rsid w:val="006766F4"/>
    <w:rsid w:val="006777B6"/>
    <w:rsid w:val="00681341"/>
    <w:rsid w:val="00681787"/>
    <w:rsid w:val="00681827"/>
    <w:rsid w:val="0068250F"/>
    <w:rsid w:val="006828C7"/>
    <w:rsid w:val="00685904"/>
    <w:rsid w:val="00685FFE"/>
    <w:rsid w:val="00686729"/>
    <w:rsid w:val="00686CAC"/>
    <w:rsid w:val="00686D5A"/>
    <w:rsid w:val="00687871"/>
    <w:rsid w:val="00690003"/>
    <w:rsid w:val="00690C96"/>
    <w:rsid w:val="00691DE3"/>
    <w:rsid w:val="00692FD6"/>
    <w:rsid w:val="00693247"/>
    <w:rsid w:val="0069336E"/>
    <w:rsid w:val="00694174"/>
    <w:rsid w:val="00697D60"/>
    <w:rsid w:val="006A05D9"/>
    <w:rsid w:val="006A27BC"/>
    <w:rsid w:val="006A27D6"/>
    <w:rsid w:val="006A3A42"/>
    <w:rsid w:val="006A41B4"/>
    <w:rsid w:val="006A5FD7"/>
    <w:rsid w:val="006A62B0"/>
    <w:rsid w:val="006B0B23"/>
    <w:rsid w:val="006B143E"/>
    <w:rsid w:val="006B1D5E"/>
    <w:rsid w:val="006B30E3"/>
    <w:rsid w:val="006B32F5"/>
    <w:rsid w:val="006B5E72"/>
    <w:rsid w:val="006B6205"/>
    <w:rsid w:val="006B640F"/>
    <w:rsid w:val="006B7A4D"/>
    <w:rsid w:val="006C058F"/>
    <w:rsid w:val="006C1069"/>
    <w:rsid w:val="006C3252"/>
    <w:rsid w:val="006C33CA"/>
    <w:rsid w:val="006C7449"/>
    <w:rsid w:val="006C7A04"/>
    <w:rsid w:val="006D158F"/>
    <w:rsid w:val="006D1B83"/>
    <w:rsid w:val="006D1BE7"/>
    <w:rsid w:val="006D511D"/>
    <w:rsid w:val="006D5C98"/>
    <w:rsid w:val="006D6FCC"/>
    <w:rsid w:val="006D7F0F"/>
    <w:rsid w:val="006E0A9F"/>
    <w:rsid w:val="006E12D5"/>
    <w:rsid w:val="006E26E8"/>
    <w:rsid w:val="006E4493"/>
    <w:rsid w:val="006E76B0"/>
    <w:rsid w:val="006F08D4"/>
    <w:rsid w:val="006F1473"/>
    <w:rsid w:val="006F3318"/>
    <w:rsid w:val="006F39CF"/>
    <w:rsid w:val="006F4894"/>
    <w:rsid w:val="006F58F5"/>
    <w:rsid w:val="006F676D"/>
    <w:rsid w:val="006F6B4E"/>
    <w:rsid w:val="00700672"/>
    <w:rsid w:val="00701319"/>
    <w:rsid w:val="00701A95"/>
    <w:rsid w:val="00702F7C"/>
    <w:rsid w:val="00705A21"/>
    <w:rsid w:val="00706127"/>
    <w:rsid w:val="007077CD"/>
    <w:rsid w:val="007104FA"/>
    <w:rsid w:val="00712A93"/>
    <w:rsid w:val="00714CF1"/>
    <w:rsid w:val="00715CEB"/>
    <w:rsid w:val="00716F1C"/>
    <w:rsid w:val="00717A58"/>
    <w:rsid w:val="00721867"/>
    <w:rsid w:val="007226EA"/>
    <w:rsid w:val="00722924"/>
    <w:rsid w:val="00723D30"/>
    <w:rsid w:val="00723F1A"/>
    <w:rsid w:val="00726974"/>
    <w:rsid w:val="0073030E"/>
    <w:rsid w:val="007306BB"/>
    <w:rsid w:val="007319AD"/>
    <w:rsid w:val="00732257"/>
    <w:rsid w:val="00740240"/>
    <w:rsid w:val="0074037C"/>
    <w:rsid w:val="0074101E"/>
    <w:rsid w:val="00742895"/>
    <w:rsid w:val="00742B72"/>
    <w:rsid w:val="00742BC9"/>
    <w:rsid w:val="00743251"/>
    <w:rsid w:val="007436B5"/>
    <w:rsid w:val="007437EF"/>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5B5E"/>
    <w:rsid w:val="00766752"/>
    <w:rsid w:val="00766834"/>
    <w:rsid w:val="00766EC7"/>
    <w:rsid w:val="0077082D"/>
    <w:rsid w:val="00770939"/>
    <w:rsid w:val="0077181C"/>
    <w:rsid w:val="00771AF0"/>
    <w:rsid w:val="00773733"/>
    <w:rsid w:val="0077499E"/>
    <w:rsid w:val="0077508F"/>
    <w:rsid w:val="007752E2"/>
    <w:rsid w:val="00780443"/>
    <w:rsid w:val="00781F5F"/>
    <w:rsid w:val="00783479"/>
    <w:rsid w:val="00783696"/>
    <w:rsid w:val="00783D3E"/>
    <w:rsid w:val="00784B5D"/>
    <w:rsid w:val="00785DB0"/>
    <w:rsid w:val="00791384"/>
    <w:rsid w:val="00791C22"/>
    <w:rsid w:val="00791D74"/>
    <w:rsid w:val="00791E5B"/>
    <w:rsid w:val="007931D7"/>
    <w:rsid w:val="00793D3C"/>
    <w:rsid w:val="007949B4"/>
    <w:rsid w:val="00795038"/>
    <w:rsid w:val="0079708B"/>
    <w:rsid w:val="0079779E"/>
    <w:rsid w:val="007A6ADF"/>
    <w:rsid w:val="007A6DC9"/>
    <w:rsid w:val="007A71B5"/>
    <w:rsid w:val="007A797E"/>
    <w:rsid w:val="007A7D11"/>
    <w:rsid w:val="007B1216"/>
    <w:rsid w:val="007B1374"/>
    <w:rsid w:val="007B255F"/>
    <w:rsid w:val="007B55C5"/>
    <w:rsid w:val="007B7FF8"/>
    <w:rsid w:val="007C0579"/>
    <w:rsid w:val="007C0E7E"/>
    <w:rsid w:val="007C10CC"/>
    <w:rsid w:val="007C1B90"/>
    <w:rsid w:val="007C250E"/>
    <w:rsid w:val="007C2C37"/>
    <w:rsid w:val="007C2CD7"/>
    <w:rsid w:val="007C4113"/>
    <w:rsid w:val="007C5854"/>
    <w:rsid w:val="007C5CA8"/>
    <w:rsid w:val="007C7241"/>
    <w:rsid w:val="007D009C"/>
    <w:rsid w:val="007D2162"/>
    <w:rsid w:val="007D5A53"/>
    <w:rsid w:val="007D5D05"/>
    <w:rsid w:val="007D62D9"/>
    <w:rsid w:val="007D6DF2"/>
    <w:rsid w:val="007D73C9"/>
    <w:rsid w:val="007E1FB4"/>
    <w:rsid w:val="007E28C1"/>
    <w:rsid w:val="007E7623"/>
    <w:rsid w:val="007F0840"/>
    <w:rsid w:val="007F2086"/>
    <w:rsid w:val="007F30FD"/>
    <w:rsid w:val="007F67A7"/>
    <w:rsid w:val="007F6F0A"/>
    <w:rsid w:val="00800773"/>
    <w:rsid w:val="00801004"/>
    <w:rsid w:val="0080111C"/>
    <w:rsid w:val="00801EFD"/>
    <w:rsid w:val="00805373"/>
    <w:rsid w:val="008058BC"/>
    <w:rsid w:val="00805BB2"/>
    <w:rsid w:val="00806D7C"/>
    <w:rsid w:val="00807854"/>
    <w:rsid w:val="00811012"/>
    <w:rsid w:val="00811A90"/>
    <w:rsid w:val="00812B0F"/>
    <w:rsid w:val="00813846"/>
    <w:rsid w:val="00813F98"/>
    <w:rsid w:val="00814325"/>
    <w:rsid w:val="00814661"/>
    <w:rsid w:val="00815C4F"/>
    <w:rsid w:val="008161C2"/>
    <w:rsid w:val="00816942"/>
    <w:rsid w:val="0081738B"/>
    <w:rsid w:val="00817F82"/>
    <w:rsid w:val="0082026A"/>
    <w:rsid w:val="008219BA"/>
    <w:rsid w:val="00822E2E"/>
    <w:rsid w:val="00822E51"/>
    <w:rsid w:val="00824136"/>
    <w:rsid w:val="008246D7"/>
    <w:rsid w:val="00826075"/>
    <w:rsid w:val="008267CA"/>
    <w:rsid w:val="00826A19"/>
    <w:rsid w:val="00827C1E"/>
    <w:rsid w:val="008312D4"/>
    <w:rsid w:val="008317C8"/>
    <w:rsid w:val="00831915"/>
    <w:rsid w:val="0083305B"/>
    <w:rsid w:val="00834578"/>
    <w:rsid w:val="0083648B"/>
    <w:rsid w:val="00836500"/>
    <w:rsid w:val="00841EAB"/>
    <w:rsid w:val="00843CA2"/>
    <w:rsid w:val="00844977"/>
    <w:rsid w:val="00844B97"/>
    <w:rsid w:val="008455D9"/>
    <w:rsid w:val="00845BB4"/>
    <w:rsid w:val="008464F9"/>
    <w:rsid w:val="00847302"/>
    <w:rsid w:val="00847367"/>
    <w:rsid w:val="00847BF3"/>
    <w:rsid w:val="00852A15"/>
    <w:rsid w:val="00853D0B"/>
    <w:rsid w:val="00854B16"/>
    <w:rsid w:val="00854BCA"/>
    <w:rsid w:val="008559EC"/>
    <w:rsid w:val="00855A43"/>
    <w:rsid w:val="008561BF"/>
    <w:rsid w:val="0086072B"/>
    <w:rsid w:val="00861E25"/>
    <w:rsid w:val="008633B6"/>
    <w:rsid w:val="00866481"/>
    <w:rsid w:val="0087076A"/>
    <w:rsid w:val="00870853"/>
    <w:rsid w:val="008731E4"/>
    <w:rsid w:val="00873BEF"/>
    <w:rsid w:val="008742D2"/>
    <w:rsid w:val="008745D6"/>
    <w:rsid w:val="00874DCA"/>
    <w:rsid w:val="00874E20"/>
    <w:rsid w:val="00874FA8"/>
    <w:rsid w:val="00875D64"/>
    <w:rsid w:val="00875E32"/>
    <w:rsid w:val="0087668E"/>
    <w:rsid w:val="0087737E"/>
    <w:rsid w:val="008800F4"/>
    <w:rsid w:val="0088277A"/>
    <w:rsid w:val="0088297B"/>
    <w:rsid w:val="00885D7C"/>
    <w:rsid w:val="008870EA"/>
    <w:rsid w:val="0088762D"/>
    <w:rsid w:val="00890235"/>
    <w:rsid w:val="00890A70"/>
    <w:rsid w:val="00890DDC"/>
    <w:rsid w:val="00890F9C"/>
    <w:rsid w:val="008928B6"/>
    <w:rsid w:val="00893DF8"/>
    <w:rsid w:val="00894CA0"/>
    <w:rsid w:val="00895461"/>
    <w:rsid w:val="008957B1"/>
    <w:rsid w:val="00896190"/>
    <w:rsid w:val="00897C5E"/>
    <w:rsid w:val="008A0839"/>
    <w:rsid w:val="008A1517"/>
    <w:rsid w:val="008A2307"/>
    <w:rsid w:val="008A2B8F"/>
    <w:rsid w:val="008A2BB7"/>
    <w:rsid w:val="008A35FC"/>
    <w:rsid w:val="008A4000"/>
    <w:rsid w:val="008A4A65"/>
    <w:rsid w:val="008A4E5F"/>
    <w:rsid w:val="008A5D89"/>
    <w:rsid w:val="008A6621"/>
    <w:rsid w:val="008A70A5"/>
    <w:rsid w:val="008A7DE7"/>
    <w:rsid w:val="008B0755"/>
    <w:rsid w:val="008B201B"/>
    <w:rsid w:val="008B2106"/>
    <w:rsid w:val="008B288C"/>
    <w:rsid w:val="008B2B78"/>
    <w:rsid w:val="008B2D64"/>
    <w:rsid w:val="008B368E"/>
    <w:rsid w:val="008B37F9"/>
    <w:rsid w:val="008B38A4"/>
    <w:rsid w:val="008B38EE"/>
    <w:rsid w:val="008B3FE8"/>
    <w:rsid w:val="008B46B2"/>
    <w:rsid w:val="008B4F2F"/>
    <w:rsid w:val="008B55B4"/>
    <w:rsid w:val="008B68B1"/>
    <w:rsid w:val="008B6A00"/>
    <w:rsid w:val="008C0269"/>
    <w:rsid w:val="008C076F"/>
    <w:rsid w:val="008C257C"/>
    <w:rsid w:val="008C4973"/>
    <w:rsid w:val="008D0FDE"/>
    <w:rsid w:val="008D1051"/>
    <w:rsid w:val="008D22BE"/>
    <w:rsid w:val="008D25D6"/>
    <w:rsid w:val="008D7542"/>
    <w:rsid w:val="008D7F7C"/>
    <w:rsid w:val="008E0835"/>
    <w:rsid w:val="008E16ED"/>
    <w:rsid w:val="008E19F0"/>
    <w:rsid w:val="008E280E"/>
    <w:rsid w:val="008E2BA7"/>
    <w:rsid w:val="008E338A"/>
    <w:rsid w:val="008E4CAA"/>
    <w:rsid w:val="008E5642"/>
    <w:rsid w:val="008E5CC2"/>
    <w:rsid w:val="008E70BD"/>
    <w:rsid w:val="008F0345"/>
    <w:rsid w:val="008F0CBE"/>
    <w:rsid w:val="008F2E20"/>
    <w:rsid w:val="008F3CDB"/>
    <w:rsid w:val="00900BC5"/>
    <w:rsid w:val="00901036"/>
    <w:rsid w:val="00904136"/>
    <w:rsid w:val="00904309"/>
    <w:rsid w:val="0090479F"/>
    <w:rsid w:val="00904BFC"/>
    <w:rsid w:val="0090500F"/>
    <w:rsid w:val="00906692"/>
    <w:rsid w:val="00906853"/>
    <w:rsid w:val="00906CF8"/>
    <w:rsid w:val="009073CB"/>
    <w:rsid w:val="0090752A"/>
    <w:rsid w:val="00910197"/>
    <w:rsid w:val="00910805"/>
    <w:rsid w:val="009117FE"/>
    <w:rsid w:val="00911A42"/>
    <w:rsid w:val="0091285E"/>
    <w:rsid w:val="00912D60"/>
    <w:rsid w:val="009140A2"/>
    <w:rsid w:val="009141D0"/>
    <w:rsid w:val="00915E91"/>
    <w:rsid w:val="00920480"/>
    <w:rsid w:val="00920D01"/>
    <w:rsid w:val="00923B20"/>
    <w:rsid w:val="0092607C"/>
    <w:rsid w:val="009263DF"/>
    <w:rsid w:val="00927338"/>
    <w:rsid w:val="00930150"/>
    <w:rsid w:val="0093018E"/>
    <w:rsid w:val="0093167C"/>
    <w:rsid w:val="00932A3A"/>
    <w:rsid w:val="00933CC9"/>
    <w:rsid w:val="00934143"/>
    <w:rsid w:val="00934679"/>
    <w:rsid w:val="00935444"/>
    <w:rsid w:val="009378F0"/>
    <w:rsid w:val="00942696"/>
    <w:rsid w:val="00942EB6"/>
    <w:rsid w:val="0094307C"/>
    <w:rsid w:val="00944802"/>
    <w:rsid w:val="00944D94"/>
    <w:rsid w:val="00947096"/>
    <w:rsid w:val="009470DD"/>
    <w:rsid w:val="009518D9"/>
    <w:rsid w:val="0095236F"/>
    <w:rsid w:val="00952404"/>
    <w:rsid w:val="00953350"/>
    <w:rsid w:val="00955BDA"/>
    <w:rsid w:val="00961A33"/>
    <w:rsid w:val="00961A59"/>
    <w:rsid w:val="00961E8A"/>
    <w:rsid w:val="00961FB7"/>
    <w:rsid w:val="0096328F"/>
    <w:rsid w:val="00964400"/>
    <w:rsid w:val="00965F52"/>
    <w:rsid w:val="0096737A"/>
    <w:rsid w:val="0097392A"/>
    <w:rsid w:val="009749C0"/>
    <w:rsid w:val="0097716E"/>
    <w:rsid w:val="00977C0A"/>
    <w:rsid w:val="00982FF8"/>
    <w:rsid w:val="00984E8B"/>
    <w:rsid w:val="0098512F"/>
    <w:rsid w:val="0098550A"/>
    <w:rsid w:val="0098552B"/>
    <w:rsid w:val="00985728"/>
    <w:rsid w:val="009857DD"/>
    <w:rsid w:val="009859AB"/>
    <w:rsid w:val="00987A4E"/>
    <w:rsid w:val="00987B9F"/>
    <w:rsid w:val="00987FC1"/>
    <w:rsid w:val="009907A9"/>
    <w:rsid w:val="00993DE4"/>
    <w:rsid w:val="00993F38"/>
    <w:rsid w:val="00994A4B"/>
    <w:rsid w:val="00996D25"/>
    <w:rsid w:val="009A043C"/>
    <w:rsid w:val="009A0BC7"/>
    <w:rsid w:val="009A12ED"/>
    <w:rsid w:val="009A201F"/>
    <w:rsid w:val="009A62FC"/>
    <w:rsid w:val="009A6989"/>
    <w:rsid w:val="009A72EB"/>
    <w:rsid w:val="009B105E"/>
    <w:rsid w:val="009B2B4E"/>
    <w:rsid w:val="009B396E"/>
    <w:rsid w:val="009B39A2"/>
    <w:rsid w:val="009B3B97"/>
    <w:rsid w:val="009B49F3"/>
    <w:rsid w:val="009B4E5D"/>
    <w:rsid w:val="009B55EB"/>
    <w:rsid w:val="009B567A"/>
    <w:rsid w:val="009C29C5"/>
    <w:rsid w:val="009C45B9"/>
    <w:rsid w:val="009C5A23"/>
    <w:rsid w:val="009C5C75"/>
    <w:rsid w:val="009C6BC9"/>
    <w:rsid w:val="009D1C23"/>
    <w:rsid w:val="009D2A29"/>
    <w:rsid w:val="009D59DE"/>
    <w:rsid w:val="009D7CBA"/>
    <w:rsid w:val="009D7D71"/>
    <w:rsid w:val="009E0500"/>
    <w:rsid w:val="009E1362"/>
    <w:rsid w:val="009E1848"/>
    <w:rsid w:val="009E1BC1"/>
    <w:rsid w:val="009E1F6B"/>
    <w:rsid w:val="009E3E77"/>
    <w:rsid w:val="009E4DF2"/>
    <w:rsid w:val="009E69E1"/>
    <w:rsid w:val="009E6D60"/>
    <w:rsid w:val="009E76BA"/>
    <w:rsid w:val="009F1918"/>
    <w:rsid w:val="009F2D0A"/>
    <w:rsid w:val="009F3962"/>
    <w:rsid w:val="009F6E84"/>
    <w:rsid w:val="009F6ED7"/>
    <w:rsid w:val="009F7401"/>
    <w:rsid w:val="009F78F2"/>
    <w:rsid w:val="00A01408"/>
    <w:rsid w:val="00A01C9B"/>
    <w:rsid w:val="00A03E5E"/>
    <w:rsid w:val="00A045A6"/>
    <w:rsid w:val="00A065F5"/>
    <w:rsid w:val="00A10857"/>
    <w:rsid w:val="00A112EB"/>
    <w:rsid w:val="00A1221A"/>
    <w:rsid w:val="00A1269B"/>
    <w:rsid w:val="00A130F9"/>
    <w:rsid w:val="00A1585F"/>
    <w:rsid w:val="00A16000"/>
    <w:rsid w:val="00A16398"/>
    <w:rsid w:val="00A168CD"/>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7D62"/>
    <w:rsid w:val="00A52C26"/>
    <w:rsid w:val="00A52E1C"/>
    <w:rsid w:val="00A53CDD"/>
    <w:rsid w:val="00A53EE6"/>
    <w:rsid w:val="00A5538A"/>
    <w:rsid w:val="00A55531"/>
    <w:rsid w:val="00A564AE"/>
    <w:rsid w:val="00A571AE"/>
    <w:rsid w:val="00A57A4A"/>
    <w:rsid w:val="00A57C0E"/>
    <w:rsid w:val="00A60C99"/>
    <w:rsid w:val="00A614EB"/>
    <w:rsid w:val="00A61889"/>
    <w:rsid w:val="00A62886"/>
    <w:rsid w:val="00A63E79"/>
    <w:rsid w:val="00A64863"/>
    <w:rsid w:val="00A669A3"/>
    <w:rsid w:val="00A6719E"/>
    <w:rsid w:val="00A672B2"/>
    <w:rsid w:val="00A70E09"/>
    <w:rsid w:val="00A74C51"/>
    <w:rsid w:val="00A75387"/>
    <w:rsid w:val="00A77682"/>
    <w:rsid w:val="00A777CC"/>
    <w:rsid w:val="00A77C67"/>
    <w:rsid w:val="00A80C19"/>
    <w:rsid w:val="00A80C39"/>
    <w:rsid w:val="00A83279"/>
    <w:rsid w:val="00A83750"/>
    <w:rsid w:val="00A84631"/>
    <w:rsid w:val="00A86498"/>
    <w:rsid w:val="00A86A0A"/>
    <w:rsid w:val="00A87AA2"/>
    <w:rsid w:val="00A900B4"/>
    <w:rsid w:val="00A9067C"/>
    <w:rsid w:val="00A90A24"/>
    <w:rsid w:val="00A90BD3"/>
    <w:rsid w:val="00A91402"/>
    <w:rsid w:val="00A92FBB"/>
    <w:rsid w:val="00A93C1C"/>
    <w:rsid w:val="00A94805"/>
    <w:rsid w:val="00A94E33"/>
    <w:rsid w:val="00A96790"/>
    <w:rsid w:val="00A97543"/>
    <w:rsid w:val="00AA0DFE"/>
    <w:rsid w:val="00AA2502"/>
    <w:rsid w:val="00AA2607"/>
    <w:rsid w:val="00AA262E"/>
    <w:rsid w:val="00AA2AC5"/>
    <w:rsid w:val="00AA2B3D"/>
    <w:rsid w:val="00AA3174"/>
    <w:rsid w:val="00AA3A41"/>
    <w:rsid w:val="00AA3F56"/>
    <w:rsid w:val="00AA4A25"/>
    <w:rsid w:val="00AA5AE9"/>
    <w:rsid w:val="00AA6950"/>
    <w:rsid w:val="00AA6D45"/>
    <w:rsid w:val="00AA7585"/>
    <w:rsid w:val="00AA7AD1"/>
    <w:rsid w:val="00AA7DED"/>
    <w:rsid w:val="00AB031D"/>
    <w:rsid w:val="00AB08A6"/>
    <w:rsid w:val="00AB13A9"/>
    <w:rsid w:val="00AB18B3"/>
    <w:rsid w:val="00AB1A1E"/>
    <w:rsid w:val="00AB236C"/>
    <w:rsid w:val="00AB346E"/>
    <w:rsid w:val="00AC06B6"/>
    <w:rsid w:val="00AC2A35"/>
    <w:rsid w:val="00AC3FB7"/>
    <w:rsid w:val="00AC7830"/>
    <w:rsid w:val="00AD1557"/>
    <w:rsid w:val="00AD35F3"/>
    <w:rsid w:val="00AD44E9"/>
    <w:rsid w:val="00AD4CAC"/>
    <w:rsid w:val="00AD528F"/>
    <w:rsid w:val="00AD6760"/>
    <w:rsid w:val="00AD6EB3"/>
    <w:rsid w:val="00AD741D"/>
    <w:rsid w:val="00AD751D"/>
    <w:rsid w:val="00AD791C"/>
    <w:rsid w:val="00AE1AA0"/>
    <w:rsid w:val="00AE1C60"/>
    <w:rsid w:val="00AE1CCA"/>
    <w:rsid w:val="00AE4F42"/>
    <w:rsid w:val="00AE5D09"/>
    <w:rsid w:val="00AE728D"/>
    <w:rsid w:val="00AE7589"/>
    <w:rsid w:val="00AF2833"/>
    <w:rsid w:val="00AF3716"/>
    <w:rsid w:val="00AF3C46"/>
    <w:rsid w:val="00AF43E1"/>
    <w:rsid w:val="00AF4D71"/>
    <w:rsid w:val="00AF5921"/>
    <w:rsid w:val="00AF64F2"/>
    <w:rsid w:val="00B008BC"/>
    <w:rsid w:val="00B0092E"/>
    <w:rsid w:val="00B018B2"/>
    <w:rsid w:val="00B018E8"/>
    <w:rsid w:val="00B03BF6"/>
    <w:rsid w:val="00B03CDF"/>
    <w:rsid w:val="00B040B7"/>
    <w:rsid w:val="00B04A55"/>
    <w:rsid w:val="00B04D46"/>
    <w:rsid w:val="00B06D03"/>
    <w:rsid w:val="00B104C5"/>
    <w:rsid w:val="00B10F47"/>
    <w:rsid w:val="00B1385B"/>
    <w:rsid w:val="00B13B1B"/>
    <w:rsid w:val="00B15DBF"/>
    <w:rsid w:val="00B165C9"/>
    <w:rsid w:val="00B16837"/>
    <w:rsid w:val="00B17D70"/>
    <w:rsid w:val="00B17F92"/>
    <w:rsid w:val="00B21FE2"/>
    <w:rsid w:val="00B22AD7"/>
    <w:rsid w:val="00B22B8D"/>
    <w:rsid w:val="00B22D31"/>
    <w:rsid w:val="00B22E46"/>
    <w:rsid w:val="00B2395C"/>
    <w:rsid w:val="00B23FA8"/>
    <w:rsid w:val="00B27014"/>
    <w:rsid w:val="00B27853"/>
    <w:rsid w:val="00B30291"/>
    <w:rsid w:val="00B306F7"/>
    <w:rsid w:val="00B30BB8"/>
    <w:rsid w:val="00B30FE2"/>
    <w:rsid w:val="00B3272E"/>
    <w:rsid w:val="00B32C71"/>
    <w:rsid w:val="00B330C4"/>
    <w:rsid w:val="00B35AF0"/>
    <w:rsid w:val="00B35C63"/>
    <w:rsid w:val="00B37580"/>
    <w:rsid w:val="00B4137A"/>
    <w:rsid w:val="00B44B73"/>
    <w:rsid w:val="00B45E1A"/>
    <w:rsid w:val="00B4634A"/>
    <w:rsid w:val="00B50B77"/>
    <w:rsid w:val="00B51290"/>
    <w:rsid w:val="00B52215"/>
    <w:rsid w:val="00B530CA"/>
    <w:rsid w:val="00B53AC4"/>
    <w:rsid w:val="00B54527"/>
    <w:rsid w:val="00B54785"/>
    <w:rsid w:val="00B57499"/>
    <w:rsid w:val="00B57ADA"/>
    <w:rsid w:val="00B61EE9"/>
    <w:rsid w:val="00B64555"/>
    <w:rsid w:val="00B6467C"/>
    <w:rsid w:val="00B6496C"/>
    <w:rsid w:val="00B654FF"/>
    <w:rsid w:val="00B65962"/>
    <w:rsid w:val="00B66B6C"/>
    <w:rsid w:val="00B6716F"/>
    <w:rsid w:val="00B67983"/>
    <w:rsid w:val="00B7033E"/>
    <w:rsid w:val="00B7071A"/>
    <w:rsid w:val="00B71858"/>
    <w:rsid w:val="00B71A39"/>
    <w:rsid w:val="00B721DC"/>
    <w:rsid w:val="00B74715"/>
    <w:rsid w:val="00B7669D"/>
    <w:rsid w:val="00B766D9"/>
    <w:rsid w:val="00B80A28"/>
    <w:rsid w:val="00B82D73"/>
    <w:rsid w:val="00B84A2C"/>
    <w:rsid w:val="00B871D6"/>
    <w:rsid w:val="00B87A02"/>
    <w:rsid w:val="00B92186"/>
    <w:rsid w:val="00B9249E"/>
    <w:rsid w:val="00B95BA5"/>
    <w:rsid w:val="00B96204"/>
    <w:rsid w:val="00B96283"/>
    <w:rsid w:val="00BA0DCC"/>
    <w:rsid w:val="00BA0E1A"/>
    <w:rsid w:val="00BA1067"/>
    <w:rsid w:val="00BA12A2"/>
    <w:rsid w:val="00BA16EF"/>
    <w:rsid w:val="00BA18D0"/>
    <w:rsid w:val="00BA242E"/>
    <w:rsid w:val="00BA2ABF"/>
    <w:rsid w:val="00BA3317"/>
    <w:rsid w:val="00BA33D9"/>
    <w:rsid w:val="00BA5A9D"/>
    <w:rsid w:val="00BA6363"/>
    <w:rsid w:val="00BB0C6A"/>
    <w:rsid w:val="00BB2D9C"/>
    <w:rsid w:val="00BB3512"/>
    <w:rsid w:val="00BB5D1E"/>
    <w:rsid w:val="00BB62CC"/>
    <w:rsid w:val="00BB64A8"/>
    <w:rsid w:val="00BB7ED6"/>
    <w:rsid w:val="00BC0A51"/>
    <w:rsid w:val="00BC137A"/>
    <w:rsid w:val="00BC35A4"/>
    <w:rsid w:val="00BC4347"/>
    <w:rsid w:val="00BC45E0"/>
    <w:rsid w:val="00BC50C5"/>
    <w:rsid w:val="00BC54B5"/>
    <w:rsid w:val="00BC5D9D"/>
    <w:rsid w:val="00BC60E1"/>
    <w:rsid w:val="00BC6803"/>
    <w:rsid w:val="00BC6DE4"/>
    <w:rsid w:val="00BC7BCB"/>
    <w:rsid w:val="00BD03D1"/>
    <w:rsid w:val="00BD109B"/>
    <w:rsid w:val="00BD1101"/>
    <w:rsid w:val="00BD19D3"/>
    <w:rsid w:val="00BD2944"/>
    <w:rsid w:val="00BD2B5E"/>
    <w:rsid w:val="00BD2CF0"/>
    <w:rsid w:val="00BD3AFF"/>
    <w:rsid w:val="00BD4E7A"/>
    <w:rsid w:val="00BD531B"/>
    <w:rsid w:val="00BD7D1D"/>
    <w:rsid w:val="00BE00E5"/>
    <w:rsid w:val="00BE15E2"/>
    <w:rsid w:val="00BE26D6"/>
    <w:rsid w:val="00BE2E5A"/>
    <w:rsid w:val="00BE3A10"/>
    <w:rsid w:val="00BE3A28"/>
    <w:rsid w:val="00BE4A21"/>
    <w:rsid w:val="00BE4BEA"/>
    <w:rsid w:val="00BE5859"/>
    <w:rsid w:val="00BE717E"/>
    <w:rsid w:val="00BE7726"/>
    <w:rsid w:val="00BE7E27"/>
    <w:rsid w:val="00BF0421"/>
    <w:rsid w:val="00BF183C"/>
    <w:rsid w:val="00BF3765"/>
    <w:rsid w:val="00BF4C15"/>
    <w:rsid w:val="00BF4E8A"/>
    <w:rsid w:val="00C01A19"/>
    <w:rsid w:val="00C04DD6"/>
    <w:rsid w:val="00C0782F"/>
    <w:rsid w:val="00C10E23"/>
    <w:rsid w:val="00C10ED3"/>
    <w:rsid w:val="00C11F50"/>
    <w:rsid w:val="00C12603"/>
    <w:rsid w:val="00C12C7C"/>
    <w:rsid w:val="00C12DB3"/>
    <w:rsid w:val="00C131FD"/>
    <w:rsid w:val="00C15322"/>
    <w:rsid w:val="00C16DA8"/>
    <w:rsid w:val="00C17352"/>
    <w:rsid w:val="00C21959"/>
    <w:rsid w:val="00C23CFC"/>
    <w:rsid w:val="00C27860"/>
    <w:rsid w:val="00C27E4B"/>
    <w:rsid w:val="00C30A7D"/>
    <w:rsid w:val="00C31140"/>
    <w:rsid w:val="00C31169"/>
    <w:rsid w:val="00C3169F"/>
    <w:rsid w:val="00C318F6"/>
    <w:rsid w:val="00C3287B"/>
    <w:rsid w:val="00C32B9B"/>
    <w:rsid w:val="00C36E39"/>
    <w:rsid w:val="00C37522"/>
    <w:rsid w:val="00C41AA8"/>
    <w:rsid w:val="00C42040"/>
    <w:rsid w:val="00C42EFD"/>
    <w:rsid w:val="00C43D8B"/>
    <w:rsid w:val="00C44042"/>
    <w:rsid w:val="00C46AF0"/>
    <w:rsid w:val="00C52956"/>
    <w:rsid w:val="00C53AE1"/>
    <w:rsid w:val="00C53CAD"/>
    <w:rsid w:val="00C54893"/>
    <w:rsid w:val="00C55441"/>
    <w:rsid w:val="00C5601D"/>
    <w:rsid w:val="00C560A1"/>
    <w:rsid w:val="00C564F2"/>
    <w:rsid w:val="00C56E9E"/>
    <w:rsid w:val="00C56EB6"/>
    <w:rsid w:val="00C571E2"/>
    <w:rsid w:val="00C57959"/>
    <w:rsid w:val="00C6211D"/>
    <w:rsid w:val="00C62375"/>
    <w:rsid w:val="00C63FC8"/>
    <w:rsid w:val="00C64F57"/>
    <w:rsid w:val="00C65D21"/>
    <w:rsid w:val="00C66E11"/>
    <w:rsid w:val="00C6789D"/>
    <w:rsid w:val="00C71A97"/>
    <w:rsid w:val="00C72FFE"/>
    <w:rsid w:val="00C7306A"/>
    <w:rsid w:val="00C73FFD"/>
    <w:rsid w:val="00C74512"/>
    <w:rsid w:val="00C74CED"/>
    <w:rsid w:val="00C75071"/>
    <w:rsid w:val="00C84F07"/>
    <w:rsid w:val="00C851A6"/>
    <w:rsid w:val="00C855D4"/>
    <w:rsid w:val="00C86487"/>
    <w:rsid w:val="00C872C6"/>
    <w:rsid w:val="00C87639"/>
    <w:rsid w:val="00C904AC"/>
    <w:rsid w:val="00C90685"/>
    <w:rsid w:val="00C9099A"/>
    <w:rsid w:val="00C90D1E"/>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1689"/>
    <w:rsid w:val="00CB21FF"/>
    <w:rsid w:val="00CB349B"/>
    <w:rsid w:val="00CB480A"/>
    <w:rsid w:val="00CB5CAE"/>
    <w:rsid w:val="00CB5CFA"/>
    <w:rsid w:val="00CB644C"/>
    <w:rsid w:val="00CB78ED"/>
    <w:rsid w:val="00CC0004"/>
    <w:rsid w:val="00CC0515"/>
    <w:rsid w:val="00CC1744"/>
    <w:rsid w:val="00CC1AF4"/>
    <w:rsid w:val="00CC4E55"/>
    <w:rsid w:val="00CC550E"/>
    <w:rsid w:val="00CC5AC6"/>
    <w:rsid w:val="00CC7F6E"/>
    <w:rsid w:val="00CD0DCE"/>
    <w:rsid w:val="00CD1628"/>
    <w:rsid w:val="00CD1D27"/>
    <w:rsid w:val="00CD27B7"/>
    <w:rsid w:val="00CD3807"/>
    <w:rsid w:val="00CD3AE7"/>
    <w:rsid w:val="00CD3C10"/>
    <w:rsid w:val="00CD448D"/>
    <w:rsid w:val="00CD5194"/>
    <w:rsid w:val="00CD5981"/>
    <w:rsid w:val="00CD68F4"/>
    <w:rsid w:val="00CD7903"/>
    <w:rsid w:val="00CD79FA"/>
    <w:rsid w:val="00CE10E6"/>
    <w:rsid w:val="00CE59A8"/>
    <w:rsid w:val="00CE657B"/>
    <w:rsid w:val="00CE69B0"/>
    <w:rsid w:val="00CE7300"/>
    <w:rsid w:val="00CF0873"/>
    <w:rsid w:val="00CF237E"/>
    <w:rsid w:val="00CF370F"/>
    <w:rsid w:val="00CF3FB0"/>
    <w:rsid w:val="00CF515D"/>
    <w:rsid w:val="00CF53F5"/>
    <w:rsid w:val="00CF6B3F"/>
    <w:rsid w:val="00D002B4"/>
    <w:rsid w:val="00D03845"/>
    <w:rsid w:val="00D03DCB"/>
    <w:rsid w:val="00D05257"/>
    <w:rsid w:val="00D0548F"/>
    <w:rsid w:val="00D054DF"/>
    <w:rsid w:val="00D057A5"/>
    <w:rsid w:val="00D05D1F"/>
    <w:rsid w:val="00D05DCF"/>
    <w:rsid w:val="00D06AFC"/>
    <w:rsid w:val="00D07B6E"/>
    <w:rsid w:val="00D10875"/>
    <w:rsid w:val="00D1212F"/>
    <w:rsid w:val="00D144D0"/>
    <w:rsid w:val="00D14FC0"/>
    <w:rsid w:val="00D163A3"/>
    <w:rsid w:val="00D1656D"/>
    <w:rsid w:val="00D167CC"/>
    <w:rsid w:val="00D16943"/>
    <w:rsid w:val="00D17E6A"/>
    <w:rsid w:val="00D211AE"/>
    <w:rsid w:val="00D21662"/>
    <w:rsid w:val="00D23DE4"/>
    <w:rsid w:val="00D23F50"/>
    <w:rsid w:val="00D24867"/>
    <w:rsid w:val="00D318E3"/>
    <w:rsid w:val="00D323A7"/>
    <w:rsid w:val="00D329DE"/>
    <w:rsid w:val="00D32FF7"/>
    <w:rsid w:val="00D346BF"/>
    <w:rsid w:val="00D34A4B"/>
    <w:rsid w:val="00D37321"/>
    <w:rsid w:val="00D416EB"/>
    <w:rsid w:val="00D41B20"/>
    <w:rsid w:val="00D42A28"/>
    <w:rsid w:val="00D44615"/>
    <w:rsid w:val="00D45321"/>
    <w:rsid w:val="00D50324"/>
    <w:rsid w:val="00D55A28"/>
    <w:rsid w:val="00D5605F"/>
    <w:rsid w:val="00D61C33"/>
    <w:rsid w:val="00D61FBD"/>
    <w:rsid w:val="00D62519"/>
    <w:rsid w:val="00D625AA"/>
    <w:rsid w:val="00D6395F"/>
    <w:rsid w:val="00D63CBD"/>
    <w:rsid w:val="00D646C6"/>
    <w:rsid w:val="00D6500C"/>
    <w:rsid w:val="00D66392"/>
    <w:rsid w:val="00D66959"/>
    <w:rsid w:val="00D70A39"/>
    <w:rsid w:val="00D71A7E"/>
    <w:rsid w:val="00D7643D"/>
    <w:rsid w:val="00D76DE0"/>
    <w:rsid w:val="00D80DF0"/>
    <w:rsid w:val="00D80F4A"/>
    <w:rsid w:val="00D816A4"/>
    <w:rsid w:val="00D83ED5"/>
    <w:rsid w:val="00D86043"/>
    <w:rsid w:val="00D870D4"/>
    <w:rsid w:val="00D87FFA"/>
    <w:rsid w:val="00D91E09"/>
    <w:rsid w:val="00D9398E"/>
    <w:rsid w:val="00D9464E"/>
    <w:rsid w:val="00D954E0"/>
    <w:rsid w:val="00D97059"/>
    <w:rsid w:val="00D97A1D"/>
    <w:rsid w:val="00DA0181"/>
    <w:rsid w:val="00DA2411"/>
    <w:rsid w:val="00DA2C81"/>
    <w:rsid w:val="00DA2D76"/>
    <w:rsid w:val="00DA3D91"/>
    <w:rsid w:val="00DA4625"/>
    <w:rsid w:val="00DA65C4"/>
    <w:rsid w:val="00DA7899"/>
    <w:rsid w:val="00DB0923"/>
    <w:rsid w:val="00DB29CA"/>
    <w:rsid w:val="00DB30C8"/>
    <w:rsid w:val="00DB4ADC"/>
    <w:rsid w:val="00DB558E"/>
    <w:rsid w:val="00DB5AB3"/>
    <w:rsid w:val="00DB5F2B"/>
    <w:rsid w:val="00DB74AF"/>
    <w:rsid w:val="00DC1AB8"/>
    <w:rsid w:val="00DC347F"/>
    <w:rsid w:val="00DC5C19"/>
    <w:rsid w:val="00DC7068"/>
    <w:rsid w:val="00DC7C4D"/>
    <w:rsid w:val="00DD0411"/>
    <w:rsid w:val="00DD25D0"/>
    <w:rsid w:val="00DD265A"/>
    <w:rsid w:val="00DD4FC7"/>
    <w:rsid w:val="00DD6B9B"/>
    <w:rsid w:val="00DE07A1"/>
    <w:rsid w:val="00DE21A2"/>
    <w:rsid w:val="00DE2776"/>
    <w:rsid w:val="00DE2E49"/>
    <w:rsid w:val="00DE3B11"/>
    <w:rsid w:val="00DE7183"/>
    <w:rsid w:val="00DE785C"/>
    <w:rsid w:val="00DE7E0D"/>
    <w:rsid w:val="00DF1DAC"/>
    <w:rsid w:val="00DF1E52"/>
    <w:rsid w:val="00DF2165"/>
    <w:rsid w:val="00DF5A24"/>
    <w:rsid w:val="00DF60E6"/>
    <w:rsid w:val="00DF6105"/>
    <w:rsid w:val="00DF659E"/>
    <w:rsid w:val="00E01524"/>
    <w:rsid w:val="00E07C16"/>
    <w:rsid w:val="00E1021D"/>
    <w:rsid w:val="00E10B04"/>
    <w:rsid w:val="00E1343A"/>
    <w:rsid w:val="00E1428E"/>
    <w:rsid w:val="00E14900"/>
    <w:rsid w:val="00E218D3"/>
    <w:rsid w:val="00E22321"/>
    <w:rsid w:val="00E229ED"/>
    <w:rsid w:val="00E23091"/>
    <w:rsid w:val="00E23E21"/>
    <w:rsid w:val="00E245A0"/>
    <w:rsid w:val="00E24FBC"/>
    <w:rsid w:val="00E25964"/>
    <w:rsid w:val="00E25998"/>
    <w:rsid w:val="00E25E9F"/>
    <w:rsid w:val="00E27092"/>
    <w:rsid w:val="00E27565"/>
    <w:rsid w:val="00E30507"/>
    <w:rsid w:val="00E30DE6"/>
    <w:rsid w:val="00E31944"/>
    <w:rsid w:val="00E32395"/>
    <w:rsid w:val="00E32E0D"/>
    <w:rsid w:val="00E332E3"/>
    <w:rsid w:val="00E35435"/>
    <w:rsid w:val="00E37194"/>
    <w:rsid w:val="00E3788B"/>
    <w:rsid w:val="00E40C6A"/>
    <w:rsid w:val="00E410B7"/>
    <w:rsid w:val="00E41F8A"/>
    <w:rsid w:val="00E43977"/>
    <w:rsid w:val="00E4415D"/>
    <w:rsid w:val="00E44AB8"/>
    <w:rsid w:val="00E46200"/>
    <w:rsid w:val="00E46C47"/>
    <w:rsid w:val="00E47931"/>
    <w:rsid w:val="00E47BD8"/>
    <w:rsid w:val="00E50D3F"/>
    <w:rsid w:val="00E51531"/>
    <w:rsid w:val="00E520BE"/>
    <w:rsid w:val="00E532A0"/>
    <w:rsid w:val="00E5484A"/>
    <w:rsid w:val="00E54E17"/>
    <w:rsid w:val="00E5656B"/>
    <w:rsid w:val="00E56A7A"/>
    <w:rsid w:val="00E57AB8"/>
    <w:rsid w:val="00E60419"/>
    <w:rsid w:val="00E60E01"/>
    <w:rsid w:val="00E617D3"/>
    <w:rsid w:val="00E61E36"/>
    <w:rsid w:val="00E633C1"/>
    <w:rsid w:val="00E64E08"/>
    <w:rsid w:val="00E65EBB"/>
    <w:rsid w:val="00E667B0"/>
    <w:rsid w:val="00E67390"/>
    <w:rsid w:val="00E705D5"/>
    <w:rsid w:val="00E71365"/>
    <w:rsid w:val="00E714FF"/>
    <w:rsid w:val="00E717AB"/>
    <w:rsid w:val="00E720E8"/>
    <w:rsid w:val="00E74904"/>
    <w:rsid w:val="00E770A4"/>
    <w:rsid w:val="00E8097A"/>
    <w:rsid w:val="00E80AF8"/>
    <w:rsid w:val="00E80E40"/>
    <w:rsid w:val="00E81192"/>
    <w:rsid w:val="00E82AD1"/>
    <w:rsid w:val="00E83B51"/>
    <w:rsid w:val="00E83F28"/>
    <w:rsid w:val="00E83F95"/>
    <w:rsid w:val="00E84AD2"/>
    <w:rsid w:val="00E85673"/>
    <w:rsid w:val="00E8626C"/>
    <w:rsid w:val="00E8663B"/>
    <w:rsid w:val="00E86BDE"/>
    <w:rsid w:val="00E8762F"/>
    <w:rsid w:val="00E87A0C"/>
    <w:rsid w:val="00E87BFF"/>
    <w:rsid w:val="00E90AB8"/>
    <w:rsid w:val="00E919D9"/>
    <w:rsid w:val="00E91BE2"/>
    <w:rsid w:val="00E921C1"/>
    <w:rsid w:val="00E93C8B"/>
    <w:rsid w:val="00E93D8F"/>
    <w:rsid w:val="00E94C94"/>
    <w:rsid w:val="00E9531E"/>
    <w:rsid w:val="00E95E41"/>
    <w:rsid w:val="00E95E4C"/>
    <w:rsid w:val="00E96492"/>
    <w:rsid w:val="00E977CE"/>
    <w:rsid w:val="00E97E05"/>
    <w:rsid w:val="00EA34E2"/>
    <w:rsid w:val="00EA389D"/>
    <w:rsid w:val="00EA4AAB"/>
    <w:rsid w:val="00EA52D1"/>
    <w:rsid w:val="00EA703E"/>
    <w:rsid w:val="00EA791F"/>
    <w:rsid w:val="00EA7986"/>
    <w:rsid w:val="00EB157F"/>
    <w:rsid w:val="00EB3238"/>
    <w:rsid w:val="00EB35E5"/>
    <w:rsid w:val="00EB671F"/>
    <w:rsid w:val="00EB70E7"/>
    <w:rsid w:val="00EB75D2"/>
    <w:rsid w:val="00EB76D6"/>
    <w:rsid w:val="00EC02E8"/>
    <w:rsid w:val="00EC1139"/>
    <w:rsid w:val="00EC3842"/>
    <w:rsid w:val="00EC4299"/>
    <w:rsid w:val="00EC4D4D"/>
    <w:rsid w:val="00EC5D5D"/>
    <w:rsid w:val="00EC7908"/>
    <w:rsid w:val="00EC7A99"/>
    <w:rsid w:val="00EC7C2B"/>
    <w:rsid w:val="00ED0DF9"/>
    <w:rsid w:val="00ED1F02"/>
    <w:rsid w:val="00ED213D"/>
    <w:rsid w:val="00ED3D7A"/>
    <w:rsid w:val="00ED59DF"/>
    <w:rsid w:val="00EE15B5"/>
    <w:rsid w:val="00EE2087"/>
    <w:rsid w:val="00EE20A1"/>
    <w:rsid w:val="00EE4790"/>
    <w:rsid w:val="00EE74AF"/>
    <w:rsid w:val="00EF1F0E"/>
    <w:rsid w:val="00EF29F6"/>
    <w:rsid w:val="00EF3C6F"/>
    <w:rsid w:val="00EF4FBF"/>
    <w:rsid w:val="00EF518E"/>
    <w:rsid w:val="00EF5666"/>
    <w:rsid w:val="00EF5DF0"/>
    <w:rsid w:val="00EF69AE"/>
    <w:rsid w:val="00EF6E0E"/>
    <w:rsid w:val="00EF6E2C"/>
    <w:rsid w:val="00EF7106"/>
    <w:rsid w:val="00F001A6"/>
    <w:rsid w:val="00F00253"/>
    <w:rsid w:val="00F0070A"/>
    <w:rsid w:val="00F01660"/>
    <w:rsid w:val="00F01727"/>
    <w:rsid w:val="00F01C16"/>
    <w:rsid w:val="00F04B5C"/>
    <w:rsid w:val="00F05D3D"/>
    <w:rsid w:val="00F0604B"/>
    <w:rsid w:val="00F06E44"/>
    <w:rsid w:val="00F0782D"/>
    <w:rsid w:val="00F10B74"/>
    <w:rsid w:val="00F11EB3"/>
    <w:rsid w:val="00F12B44"/>
    <w:rsid w:val="00F13F39"/>
    <w:rsid w:val="00F14A30"/>
    <w:rsid w:val="00F14B9B"/>
    <w:rsid w:val="00F14BD8"/>
    <w:rsid w:val="00F14CCC"/>
    <w:rsid w:val="00F16017"/>
    <w:rsid w:val="00F17988"/>
    <w:rsid w:val="00F20C09"/>
    <w:rsid w:val="00F217DF"/>
    <w:rsid w:val="00F21CAE"/>
    <w:rsid w:val="00F22329"/>
    <w:rsid w:val="00F22AE0"/>
    <w:rsid w:val="00F250FF"/>
    <w:rsid w:val="00F2601A"/>
    <w:rsid w:val="00F26701"/>
    <w:rsid w:val="00F26C93"/>
    <w:rsid w:val="00F303F6"/>
    <w:rsid w:val="00F310D7"/>
    <w:rsid w:val="00F31781"/>
    <w:rsid w:val="00F339F4"/>
    <w:rsid w:val="00F368B9"/>
    <w:rsid w:val="00F3739F"/>
    <w:rsid w:val="00F374C1"/>
    <w:rsid w:val="00F37B34"/>
    <w:rsid w:val="00F37D7E"/>
    <w:rsid w:val="00F41C34"/>
    <w:rsid w:val="00F4212F"/>
    <w:rsid w:val="00F423AC"/>
    <w:rsid w:val="00F43955"/>
    <w:rsid w:val="00F447DB"/>
    <w:rsid w:val="00F447FA"/>
    <w:rsid w:val="00F45877"/>
    <w:rsid w:val="00F469B9"/>
    <w:rsid w:val="00F46C32"/>
    <w:rsid w:val="00F46ECB"/>
    <w:rsid w:val="00F47F9D"/>
    <w:rsid w:val="00F50F94"/>
    <w:rsid w:val="00F525B5"/>
    <w:rsid w:val="00F53D53"/>
    <w:rsid w:val="00F543B9"/>
    <w:rsid w:val="00F56177"/>
    <w:rsid w:val="00F56187"/>
    <w:rsid w:val="00F575D3"/>
    <w:rsid w:val="00F5786C"/>
    <w:rsid w:val="00F61EC5"/>
    <w:rsid w:val="00F62117"/>
    <w:rsid w:val="00F62365"/>
    <w:rsid w:val="00F630A7"/>
    <w:rsid w:val="00F634A6"/>
    <w:rsid w:val="00F6620E"/>
    <w:rsid w:val="00F66225"/>
    <w:rsid w:val="00F662BC"/>
    <w:rsid w:val="00F6708D"/>
    <w:rsid w:val="00F707F0"/>
    <w:rsid w:val="00F71AD5"/>
    <w:rsid w:val="00F729ED"/>
    <w:rsid w:val="00F733B8"/>
    <w:rsid w:val="00F74F50"/>
    <w:rsid w:val="00F75192"/>
    <w:rsid w:val="00F77822"/>
    <w:rsid w:val="00F778B4"/>
    <w:rsid w:val="00F77EE9"/>
    <w:rsid w:val="00F81EF2"/>
    <w:rsid w:val="00F82B86"/>
    <w:rsid w:val="00F8334D"/>
    <w:rsid w:val="00F838A3"/>
    <w:rsid w:val="00F838B6"/>
    <w:rsid w:val="00F83942"/>
    <w:rsid w:val="00F83B0D"/>
    <w:rsid w:val="00F83C31"/>
    <w:rsid w:val="00F83D20"/>
    <w:rsid w:val="00F85F05"/>
    <w:rsid w:val="00F85FF6"/>
    <w:rsid w:val="00F86AD1"/>
    <w:rsid w:val="00F9222A"/>
    <w:rsid w:val="00F922EA"/>
    <w:rsid w:val="00F927CF"/>
    <w:rsid w:val="00F92927"/>
    <w:rsid w:val="00F949E0"/>
    <w:rsid w:val="00F94F0F"/>
    <w:rsid w:val="00F979B3"/>
    <w:rsid w:val="00F97CCD"/>
    <w:rsid w:val="00FA0162"/>
    <w:rsid w:val="00FA2A1A"/>
    <w:rsid w:val="00FA320D"/>
    <w:rsid w:val="00FA362B"/>
    <w:rsid w:val="00FA47C3"/>
    <w:rsid w:val="00FA48EC"/>
    <w:rsid w:val="00FA53E9"/>
    <w:rsid w:val="00FA60EC"/>
    <w:rsid w:val="00FB04E9"/>
    <w:rsid w:val="00FB1179"/>
    <w:rsid w:val="00FB1C6B"/>
    <w:rsid w:val="00FB3361"/>
    <w:rsid w:val="00FB42B4"/>
    <w:rsid w:val="00FB4841"/>
    <w:rsid w:val="00FB6C94"/>
    <w:rsid w:val="00FB7F8B"/>
    <w:rsid w:val="00FC22F5"/>
    <w:rsid w:val="00FC25E4"/>
    <w:rsid w:val="00FC3753"/>
    <w:rsid w:val="00FC5170"/>
    <w:rsid w:val="00FC5743"/>
    <w:rsid w:val="00FC6240"/>
    <w:rsid w:val="00FD118C"/>
    <w:rsid w:val="00FD332F"/>
    <w:rsid w:val="00FD7395"/>
    <w:rsid w:val="00FE1CC1"/>
    <w:rsid w:val="00FE385E"/>
    <w:rsid w:val="00FE3CE2"/>
    <w:rsid w:val="00FE4643"/>
    <w:rsid w:val="00FE54AD"/>
    <w:rsid w:val="00FE5633"/>
    <w:rsid w:val="00FE6F7A"/>
    <w:rsid w:val="00FE7B14"/>
    <w:rsid w:val="00FF02D5"/>
    <w:rsid w:val="00FF0846"/>
    <w:rsid w:val="00FF248B"/>
    <w:rsid w:val="00FF31E4"/>
    <w:rsid w:val="00FF3E6F"/>
    <w:rsid w:val="00FF4956"/>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customStyle="1" w:styleId="titulojurisprudencia">
    <w:name w:val="titulojurisprudencia"/>
    <w:basedOn w:val="Normal"/>
    <w:rsid w:val="004B6067"/>
    <w:pPr>
      <w:spacing w:before="100" w:beforeAutospacing="1" w:after="45" w:line="300" w:lineRule="atLeast"/>
    </w:pPr>
    <w:rPr>
      <w:rFonts w:ascii="Times New Roman" w:eastAsia="Times New Roman" w:hAnsi="Times New Roman"/>
      <w:b/>
      <w:bCs/>
      <w:sz w:val="20"/>
      <w:szCs w:val="20"/>
      <w:lang w:eastAsia="pt-BR"/>
    </w:rPr>
  </w:style>
  <w:style w:type="paragraph" w:customStyle="1" w:styleId="divbuscadownload">
    <w:name w:val="divbuscadownload"/>
    <w:basedOn w:val="Normal"/>
    <w:rsid w:val="00471EA2"/>
    <w:pPr>
      <w:spacing w:before="100" w:beforeAutospacing="1" w:after="180" w:line="300" w:lineRule="atLeas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91515003">
      <w:bodyDiv w:val="1"/>
      <w:marLeft w:val="0"/>
      <w:marRight w:val="0"/>
      <w:marTop w:val="0"/>
      <w:marBottom w:val="0"/>
      <w:divBdr>
        <w:top w:val="none" w:sz="0" w:space="0" w:color="auto"/>
        <w:left w:val="none" w:sz="0" w:space="0" w:color="auto"/>
        <w:bottom w:val="none" w:sz="0" w:space="0" w:color="auto"/>
        <w:right w:val="none" w:sz="0" w:space="0" w:color="auto"/>
      </w:divBdr>
      <w:divsChild>
        <w:div w:id="1190335149">
          <w:marLeft w:val="0"/>
          <w:marRight w:val="0"/>
          <w:marTop w:val="0"/>
          <w:marBottom w:val="150"/>
          <w:divBdr>
            <w:top w:val="none" w:sz="0" w:space="0" w:color="auto"/>
            <w:left w:val="none" w:sz="0" w:space="0" w:color="auto"/>
            <w:bottom w:val="none" w:sz="0" w:space="0" w:color="auto"/>
            <w:right w:val="none" w:sz="0" w:space="0" w:color="auto"/>
          </w:divBdr>
          <w:divsChild>
            <w:div w:id="1884558593">
              <w:marLeft w:val="0"/>
              <w:marRight w:val="0"/>
              <w:marTop w:val="0"/>
              <w:marBottom w:val="0"/>
              <w:divBdr>
                <w:top w:val="none" w:sz="0" w:space="0" w:color="auto"/>
                <w:left w:val="none" w:sz="0" w:space="0" w:color="auto"/>
                <w:bottom w:val="none" w:sz="0" w:space="0" w:color="auto"/>
                <w:right w:val="none" w:sz="0" w:space="0" w:color="auto"/>
              </w:divBdr>
              <w:divsChild>
                <w:div w:id="1437095851">
                  <w:marLeft w:val="0"/>
                  <w:marRight w:val="0"/>
                  <w:marTop w:val="0"/>
                  <w:marBottom w:val="0"/>
                  <w:divBdr>
                    <w:top w:val="none" w:sz="0" w:space="0" w:color="auto"/>
                    <w:left w:val="none" w:sz="0" w:space="0" w:color="auto"/>
                    <w:bottom w:val="none" w:sz="0" w:space="0" w:color="auto"/>
                    <w:right w:val="none" w:sz="0" w:space="0" w:color="auto"/>
                  </w:divBdr>
                  <w:divsChild>
                    <w:div w:id="20876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59487148">
      <w:bodyDiv w:val="1"/>
      <w:marLeft w:val="0"/>
      <w:marRight w:val="0"/>
      <w:marTop w:val="0"/>
      <w:marBottom w:val="0"/>
      <w:divBdr>
        <w:top w:val="none" w:sz="0" w:space="0" w:color="auto"/>
        <w:left w:val="none" w:sz="0" w:space="0" w:color="auto"/>
        <w:bottom w:val="none" w:sz="0" w:space="0" w:color="auto"/>
        <w:right w:val="none" w:sz="0" w:space="0" w:color="auto"/>
      </w:divBdr>
      <w:divsChild>
        <w:div w:id="721488190">
          <w:marLeft w:val="0"/>
          <w:marRight w:val="0"/>
          <w:marTop w:val="0"/>
          <w:marBottom w:val="150"/>
          <w:divBdr>
            <w:top w:val="none" w:sz="0" w:space="0" w:color="auto"/>
            <w:left w:val="none" w:sz="0" w:space="0" w:color="auto"/>
            <w:bottom w:val="none" w:sz="0" w:space="0" w:color="auto"/>
            <w:right w:val="none" w:sz="0" w:space="0" w:color="auto"/>
          </w:divBdr>
          <w:divsChild>
            <w:div w:id="740640247">
              <w:marLeft w:val="0"/>
              <w:marRight w:val="0"/>
              <w:marTop w:val="0"/>
              <w:marBottom w:val="0"/>
              <w:divBdr>
                <w:top w:val="none" w:sz="0" w:space="0" w:color="auto"/>
                <w:left w:val="none" w:sz="0" w:space="0" w:color="auto"/>
                <w:bottom w:val="none" w:sz="0" w:space="0" w:color="auto"/>
                <w:right w:val="none" w:sz="0" w:space="0" w:color="auto"/>
              </w:divBdr>
              <w:divsChild>
                <w:div w:id="1748266023">
                  <w:marLeft w:val="0"/>
                  <w:marRight w:val="0"/>
                  <w:marTop w:val="0"/>
                  <w:marBottom w:val="0"/>
                  <w:divBdr>
                    <w:top w:val="none" w:sz="0" w:space="0" w:color="auto"/>
                    <w:left w:val="none" w:sz="0" w:space="0" w:color="auto"/>
                    <w:bottom w:val="none" w:sz="0" w:space="0" w:color="auto"/>
                    <w:right w:val="none" w:sz="0" w:space="0" w:color="auto"/>
                  </w:divBdr>
                  <w:divsChild>
                    <w:div w:id="731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21011849">
      <w:bodyDiv w:val="1"/>
      <w:marLeft w:val="0"/>
      <w:marRight w:val="0"/>
      <w:marTop w:val="0"/>
      <w:marBottom w:val="0"/>
      <w:divBdr>
        <w:top w:val="none" w:sz="0" w:space="0" w:color="auto"/>
        <w:left w:val="none" w:sz="0" w:space="0" w:color="auto"/>
        <w:bottom w:val="none" w:sz="0" w:space="0" w:color="auto"/>
        <w:right w:val="none" w:sz="0" w:space="0" w:color="auto"/>
      </w:divBdr>
      <w:divsChild>
        <w:div w:id="1220559641">
          <w:marLeft w:val="0"/>
          <w:marRight w:val="0"/>
          <w:marTop w:val="0"/>
          <w:marBottom w:val="150"/>
          <w:divBdr>
            <w:top w:val="none" w:sz="0" w:space="0" w:color="auto"/>
            <w:left w:val="none" w:sz="0" w:space="0" w:color="auto"/>
            <w:bottom w:val="none" w:sz="0" w:space="0" w:color="auto"/>
            <w:right w:val="none" w:sz="0" w:space="0" w:color="auto"/>
          </w:divBdr>
          <w:divsChild>
            <w:div w:id="1183321061">
              <w:marLeft w:val="0"/>
              <w:marRight w:val="0"/>
              <w:marTop w:val="0"/>
              <w:marBottom w:val="0"/>
              <w:divBdr>
                <w:top w:val="none" w:sz="0" w:space="0" w:color="auto"/>
                <w:left w:val="none" w:sz="0" w:space="0" w:color="auto"/>
                <w:bottom w:val="none" w:sz="0" w:space="0" w:color="auto"/>
                <w:right w:val="none" w:sz="0" w:space="0" w:color="auto"/>
              </w:divBdr>
              <w:divsChild>
                <w:div w:id="1889604224">
                  <w:marLeft w:val="0"/>
                  <w:marRight w:val="0"/>
                  <w:marTop w:val="0"/>
                  <w:marBottom w:val="0"/>
                  <w:divBdr>
                    <w:top w:val="none" w:sz="0" w:space="0" w:color="auto"/>
                    <w:left w:val="none" w:sz="0" w:space="0" w:color="auto"/>
                    <w:bottom w:val="none" w:sz="0" w:space="0" w:color="auto"/>
                    <w:right w:val="none" w:sz="0" w:space="0" w:color="auto"/>
                  </w:divBdr>
                  <w:divsChild>
                    <w:div w:id="13977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3544585">
      <w:bodyDiv w:val="1"/>
      <w:marLeft w:val="0"/>
      <w:marRight w:val="0"/>
      <w:marTop w:val="0"/>
      <w:marBottom w:val="0"/>
      <w:divBdr>
        <w:top w:val="none" w:sz="0" w:space="0" w:color="auto"/>
        <w:left w:val="none" w:sz="0" w:space="0" w:color="auto"/>
        <w:bottom w:val="none" w:sz="0" w:space="0" w:color="auto"/>
        <w:right w:val="none" w:sz="0" w:space="0" w:color="auto"/>
      </w:divBdr>
      <w:divsChild>
        <w:div w:id="82723956">
          <w:marLeft w:val="0"/>
          <w:marRight w:val="0"/>
          <w:marTop w:val="0"/>
          <w:marBottom w:val="150"/>
          <w:divBdr>
            <w:top w:val="none" w:sz="0" w:space="0" w:color="auto"/>
            <w:left w:val="none" w:sz="0" w:space="0" w:color="auto"/>
            <w:bottom w:val="none" w:sz="0" w:space="0" w:color="auto"/>
            <w:right w:val="none" w:sz="0" w:space="0" w:color="auto"/>
          </w:divBdr>
          <w:divsChild>
            <w:div w:id="1422489912">
              <w:marLeft w:val="0"/>
              <w:marRight w:val="0"/>
              <w:marTop w:val="0"/>
              <w:marBottom w:val="0"/>
              <w:divBdr>
                <w:top w:val="none" w:sz="0" w:space="0" w:color="auto"/>
                <w:left w:val="none" w:sz="0" w:space="0" w:color="auto"/>
                <w:bottom w:val="none" w:sz="0" w:space="0" w:color="auto"/>
                <w:right w:val="none" w:sz="0" w:space="0" w:color="auto"/>
              </w:divBdr>
              <w:divsChild>
                <w:div w:id="16780034">
                  <w:marLeft w:val="0"/>
                  <w:marRight w:val="0"/>
                  <w:marTop w:val="0"/>
                  <w:marBottom w:val="0"/>
                  <w:divBdr>
                    <w:top w:val="none" w:sz="0" w:space="0" w:color="auto"/>
                    <w:left w:val="none" w:sz="0" w:space="0" w:color="auto"/>
                    <w:bottom w:val="none" w:sz="0" w:space="0" w:color="auto"/>
                    <w:right w:val="none" w:sz="0" w:space="0" w:color="auto"/>
                  </w:divBdr>
                  <w:divsChild>
                    <w:div w:id="2023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589488">
      <w:bodyDiv w:val="1"/>
      <w:marLeft w:val="0"/>
      <w:marRight w:val="0"/>
      <w:marTop w:val="0"/>
      <w:marBottom w:val="0"/>
      <w:divBdr>
        <w:top w:val="none" w:sz="0" w:space="0" w:color="auto"/>
        <w:left w:val="none" w:sz="0" w:space="0" w:color="auto"/>
        <w:bottom w:val="none" w:sz="0" w:space="0" w:color="auto"/>
        <w:right w:val="none" w:sz="0" w:space="0" w:color="auto"/>
      </w:divBdr>
      <w:divsChild>
        <w:div w:id="1581789923">
          <w:marLeft w:val="0"/>
          <w:marRight w:val="0"/>
          <w:marTop w:val="0"/>
          <w:marBottom w:val="150"/>
          <w:divBdr>
            <w:top w:val="none" w:sz="0" w:space="0" w:color="auto"/>
            <w:left w:val="none" w:sz="0" w:space="0" w:color="auto"/>
            <w:bottom w:val="none" w:sz="0" w:space="0" w:color="auto"/>
            <w:right w:val="none" w:sz="0" w:space="0" w:color="auto"/>
          </w:divBdr>
          <w:divsChild>
            <w:div w:id="1814057642">
              <w:marLeft w:val="0"/>
              <w:marRight w:val="0"/>
              <w:marTop w:val="0"/>
              <w:marBottom w:val="0"/>
              <w:divBdr>
                <w:top w:val="none" w:sz="0" w:space="0" w:color="auto"/>
                <w:left w:val="none" w:sz="0" w:space="0" w:color="auto"/>
                <w:bottom w:val="none" w:sz="0" w:space="0" w:color="auto"/>
                <w:right w:val="none" w:sz="0" w:space="0" w:color="auto"/>
              </w:divBdr>
              <w:divsChild>
                <w:div w:id="1114714685">
                  <w:marLeft w:val="0"/>
                  <w:marRight w:val="0"/>
                  <w:marTop w:val="0"/>
                  <w:marBottom w:val="0"/>
                  <w:divBdr>
                    <w:top w:val="none" w:sz="0" w:space="0" w:color="auto"/>
                    <w:left w:val="none" w:sz="0" w:space="0" w:color="auto"/>
                    <w:bottom w:val="none" w:sz="0" w:space="0" w:color="auto"/>
                    <w:right w:val="none" w:sz="0" w:space="0" w:color="auto"/>
                  </w:divBdr>
                  <w:divsChild>
                    <w:div w:id="862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16067">
      <w:bodyDiv w:val="1"/>
      <w:marLeft w:val="0"/>
      <w:marRight w:val="0"/>
      <w:marTop w:val="0"/>
      <w:marBottom w:val="0"/>
      <w:divBdr>
        <w:top w:val="none" w:sz="0" w:space="0" w:color="auto"/>
        <w:left w:val="none" w:sz="0" w:space="0" w:color="auto"/>
        <w:bottom w:val="none" w:sz="0" w:space="0" w:color="auto"/>
        <w:right w:val="none" w:sz="0" w:space="0" w:color="auto"/>
      </w:divBdr>
      <w:divsChild>
        <w:div w:id="1856846010">
          <w:marLeft w:val="0"/>
          <w:marRight w:val="0"/>
          <w:marTop w:val="0"/>
          <w:marBottom w:val="150"/>
          <w:divBdr>
            <w:top w:val="none" w:sz="0" w:space="0" w:color="auto"/>
            <w:left w:val="none" w:sz="0" w:space="0" w:color="auto"/>
            <w:bottom w:val="none" w:sz="0" w:space="0" w:color="auto"/>
            <w:right w:val="none" w:sz="0" w:space="0" w:color="auto"/>
          </w:divBdr>
          <w:divsChild>
            <w:div w:id="2045715208">
              <w:marLeft w:val="0"/>
              <w:marRight w:val="0"/>
              <w:marTop w:val="0"/>
              <w:marBottom w:val="0"/>
              <w:divBdr>
                <w:top w:val="none" w:sz="0" w:space="0" w:color="auto"/>
                <w:left w:val="none" w:sz="0" w:space="0" w:color="auto"/>
                <w:bottom w:val="none" w:sz="0" w:space="0" w:color="auto"/>
                <w:right w:val="none" w:sz="0" w:space="0" w:color="auto"/>
              </w:divBdr>
              <w:divsChild>
                <w:div w:id="1015882671">
                  <w:marLeft w:val="0"/>
                  <w:marRight w:val="0"/>
                  <w:marTop w:val="0"/>
                  <w:marBottom w:val="0"/>
                  <w:divBdr>
                    <w:top w:val="none" w:sz="0" w:space="0" w:color="auto"/>
                    <w:left w:val="none" w:sz="0" w:space="0" w:color="auto"/>
                    <w:bottom w:val="none" w:sz="0" w:space="0" w:color="auto"/>
                    <w:right w:val="none" w:sz="0" w:space="0" w:color="auto"/>
                  </w:divBdr>
                  <w:divsChild>
                    <w:div w:id="10926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30651594">
      <w:bodyDiv w:val="1"/>
      <w:marLeft w:val="0"/>
      <w:marRight w:val="0"/>
      <w:marTop w:val="0"/>
      <w:marBottom w:val="0"/>
      <w:divBdr>
        <w:top w:val="none" w:sz="0" w:space="0" w:color="auto"/>
        <w:left w:val="none" w:sz="0" w:space="0" w:color="auto"/>
        <w:bottom w:val="none" w:sz="0" w:space="0" w:color="auto"/>
        <w:right w:val="none" w:sz="0" w:space="0" w:color="auto"/>
      </w:divBdr>
      <w:divsChild>
        <w:div w:id="829100285">
          <w:marLeft w:val="0"/>
          <w:marRight w:val="0"/>
          <w:marTop w:val="0"/>
          <w:marBottom w:val="150"/>
          <w:divBdr>
            <w:top w:val="none" w:sz="0" w:space="0" w:color="auto"/>
            <w:left w:val="none" w:sz="0" w:space="0" w:color="auto"/>
            <w:bottom w:val="none" w:sz="0" w:space="0" w:color="auto"/>
            <w:right w:val="none" w:sz="0" w:space="0" w:color="auto"/>
          </w:divBdr>
          <w:divsChild>
            <w:div w:id="1299872551">
              <w:marLeft w:val="0"/>
              <w:marRight w:val="0"/>
              <w:marTop w:val="0"/>
              <w:marBottom w:val="0"/>
              <w:divBdr>
                <w:top w:val="none" w:sz="0" w:space="0" w:color="auto"/>
                <w:left w:val="none" w:sz="0" w:space="0" w:color="auto"/>
                <w:bottom w:val="none" w:sz="0" w:space="0" w:color="auto"/>
                <w:right w:val="none" w:sz="0" w:space="0" w:color="auto"/>
              </w:divBdr>
              <w:divsChild>
                <w:div w:id="319165373">
                  <w:marLeft w:val="0"/>
                  <w:marRight w:val="0"/>
                  <w:marTop w:val="0"/>
                  <w:marBottom w:val="0"/>
                  <w:divBdr>
                    <w:top w:val="none" w:sz="0" w:space="0" w:color="auto"/>
                    <w:left w:val="none" w:sz="0" w:space="0" w:color="auto"/>
                    <w:bottom w:val="none" w:sz="0" w:space="0" w:color="auto"/>
                    <w:right w:val="none" w:sz="0" w:space="0" w:color="auto"/>
                  </w:divBdr>
                  <w:divsChild>
                    <w:div w:id="1466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1020353">
      <w:bodyDiv w:val="1"/>
      <w:marLeft w:val="0"/>
      <w:marRight w:val="0"/>
      <w:marTop w:val="0"/>
      <w:marBottom w:val="0"/>
      <w:divBdr>
        <w:top w:val="none" w:sz="0" w:space="0" w:color="auto"/>
        <w:left w:val="none" w:sz="0" w:space="0" w:color="auto"/>
        <w:bottom w:val="none" w:sz="0" w:space="0" w:color="auto"/>
        <w:right w:val="none" w:sz="0" w:space="0" w:color="auto"/>
      </w:divBdr>
      <w:divsChild>
        <w:div w:id="1499228854">
          <w:marLeft w:val="0"/>
          <w:marRight w:val="0"/>
          <w:marTop w:val="0"/>
          <w:marBottom w:val="150"/>
          <w:divBdr>
            <w:top w:val="none" w:sz="0" w:space="0" w:color="auto"/>
            <w:left w:val="none" w:sz="0" w:space="0" w:color="auto"/>
            <w:bottom w:val="none" w:sz="0" w:space="0" w:color="auto"/>
            <w:right w:val="none" w:sz="0" w:space="0" w:color="auto"/>
          </w:divBdr>
          <w:divsChild>
            <w:div w:id="1886480127">
              <w:marLeft w:val="0"/>
              <w:marRight w:val="0"/>
              <w:marTop w:val="0"/>
              <w:marBottom w:val="0"/>
              <w:divBdr>
                <w:top w:val="none" w:sz="0" w:space="0" w:color="auto"/>
                <w:left w:val="none" w:sz="0" w:space="0" w:color="auto"/>
                <w:bottom w:val="none" w:sz="0" w:space="0" w:color="auto"/>
                <w:right w:val="none" w:sz="0" w:space="0" w:color="auto"/>
              </w:divBdr>
              <w:divsChild>
                <w:div w:id="911888823">
                  <w:marLeft w:val="0"/>
                  <w:marRight w:val="0"/>
                  <w:marTop w:val="0"/>
                  <w:marBottom w:val="0"/>
                  <w:divBdr>
                    <w:top w:val="none" w:sz="0" w:space="0" w:color="auto"/>
                    <w:left w:val="none" w:sz="0" w:space="0" w:color="auto"/>
                    <w:bottom w:val="none" w:sz="0" w:space="0" w:color="auto"/>
                    <w:right w:val="none" w:sz="0" w:space="0" w:color="auto"/>
                  </w:divBdr>
                  <w:divsChild>
                    <w:div w:id="7608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54822000">
      <w:bodyDiv w:val="1"/>
      <w:marLeft w:val="0"/>
      <w:marRight w:val="0"/>
      <w:marTop w:val="0"/>
      <w:marBottom w:val="0"/>
      <w:divBdr>
        <w:top w:val="none" w:sz="0" w:space="0" w:color="auto"/>
        <w:left w:val="none" w:sz="0" w:space="0" w:color="auto"/>
        <w:bottom w:val="none" w:sz="0" w:space="0" w:color="auto"/>
        <w:right w:val="none" w:sz="0" w:space="0" w:color="auto"/>
      </w:divBdr>
      <w:divsChild>
        <w:div w:id="115829313">
          <w:marLeft w:val="0"/>
          <w:marRight w:val="0"/>
          <w:marTop w:val="0"/>
          <w:marBottom w:val="150"/>
          <w:divBdr>
            <w:top w:val="none" w:sz="0" w:space="0" w:color="auto"/>
            <w:left w:val="none" w:sz="0" w:space="0" w:color="auto"/>
            <w:bottom w:val="none" w:sz="0" w:space="0" w:color="auto"/>
            <w:right w:val="none" w:sz="0" w:space="0" w:color="auto"/>
          </w:divBdr>
          <w:divsChild>
            <w:div w:id="1337608838">
              <w:marLeft w:val="0"/>
              <w:marRight w:val="0"/>
              <w:marTop w:val="0"/>
              <w:marBottom w:val="0"/>
              <w:divBdr>
                <w:top w:val="none" w:sz="0" w:space="0" w:color="auto"/>
                <w:left w:val="none" w:sz="0" w:space="0" w:color="auto"/>
                <w:bottom w:val="none" w:sz="0" w:space="0" w:color="auto"/>
                <w:right w:val="none" w:sz="0" w:space="0" w:color="auto"/>
              </w:divBdr>
              <w:divsChild>
                <w:div w:id="1872187950">
                  <w:marLeft w:val="0"/>
                  <w:marRight w:val="0"/>
                  <w:marTop w:val="0"/>
                  <w:marBottom w:val="0"/>
                  <w:divBdr>
                    <w:top w:val="none" w:sz="0" w:space="0" w:color="auto"/>
                    <w:left w:val="none" w:sz="0" w:space="0" w:color="auto"/>
                    <w:bottom w:val="none" w:sz="0" w:space="0" w:color="auto"/>
                    <w:right w:val="none" w:sz="0" w:space="0" w:color="auto"/>
                  </w:divBdr>
                  <w:divsChild>
                    <w:div w:id="12355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2/pdf/00334765.pdf" TargetMode="External"/><Relationship Id="rId13" Type="http://schemas.openxmlformats.org/officeDocument/2006/relationships/hyperlink" Target="http://www1.tce.pr.gov.br/multimidia/2019/2/pdf/00334733.pdf" TargetMode="External"/><Relationship Id="rId18" Type="http://schemas.openxmlformats.org/officeDocument/2006/relationships/hyperlink" Target="http://www1.tce.pr.gov.br/multimidia/2019/2/pdf/00334622.pdf" TargetMode="External"/><Relationship Id="rId26" Type="http://schemas.openxmlformats.org/officeDocument/2006/relationships/hyperlink" Target="https://contas.tcu.gov.br/sagas/SvlVisualizarRelVotoAcRtf?codFiltro=SAGAS-SESSAO-ENCERRADA&amp;seOcultaPagina=S&amp;item0=64915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f.jus.br/portal/jurisprudenciaRepercussao/verAndamentoProcesso.asp?incidente=4168352&amp;numeroProcesso=663696&amp;classeProcesso=RE&amp;numeroTema=510" TargetMode="External"/><Relationship Id="rId34"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www1.tce.pr.gov.br/multimidia/2019/2/pdf/00334735.pdf" TargetMode="External"/><Relationship Id="rId17" Type="http://schemas.openxmlformats.org/officeDocument/2006/relationships/hyperlink" Target="http://www1.tce.pr.gov.br/multimidia/2019/2/pdf/00334722.pdf" TargetMode="External"/><Relationship Id="rId25" Type="http://schemas.openxmlformats.org/officeDocument/2006/relationships/hyperlink" Target="https://contas.tcu.gov.br/sagas/SvlVisualizarRelVotoAcRtf?codFiltro=SAGAS-SESSAO-ENCERRADA&amp;seOcultaPagina=S&amp;item0=648516" TargetMode="External"/><Relationship Id="rId33" Type="http://schemas.openxmlformats.org/officeDocument/2006/relationships/hyperlink" Target="http://www1.tce.pr.gov.br/conteudo/boletim-de-jurisprudencia-internacional/316601/area/24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ce.pr.gov.br/multimidia/2019/2/pdf/00334612.pdf" TargetMode="External"/><Relationship Id="rId20" Type="http://schemas.openxmlformats.org/officeDocument/2006/relationships/hyperlink" Target="http://www1.tce.pr.gov.br/multimidia/2019/2/pdf/00334617.pdf" TargetMode="External"/><Relationship Id="rId29" Type="http://schemas.openxmlformats.org/officeDocument/2006/relationships/hyperlink" Target="https://contas.tcu.gov.br/sagas/SvlVisualizarRelVotoAcRtf?codFiltro=SAGAS-SESSAO-ENCERRADA&amp;seOcultaPagina=S&amp;item0=649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2/pdf/00334736.pdf" TargetMode="External"/><Relationship Id="rId24" Type="http://schemas.openxmlformats.org/officeDocument/2006/relationships/hyperlink" Target="https://www.planalto.gov.br/ccivil_03/leis/l8666cons.htm" TargetMode="External"/><Relationship Id="rId32" Type="http://schemas.openxmlformats.org/officeDocument/2006/relationships/hyperlink" Target="http://www1.tce.pr.gov.br/conteudo/teses-ambientais/316603/area/249"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1.tce.pr.gov.br/multimidia/2019/3/pdf/00334938.pdf" TargetMode="External"/><Relationship Id="rId23" Type="http://schemas.openxmlformats.org/officeDocument/2006/relationships/hyperlink" Target="https://contas.tcu.gov.br/sagas/SvlVisualizarRelVotoAcRtf?codFiltro=SAGAS-SESSAO-ENCERRADA&amp;seOcultaPagina=S&amp;item0=648516" TargetMode="External"/><Relationship Id="rId28" Type="http://schemas.openxmlformats.org/officeDocument/2006/relationships/hyperlink" Target="https://contas.tcu.gov.br/sagas/SvlVisualizarRelVotoAcRtf?codFiltro=SAGAS-SESSAO-ENCERRADA&amp;seOcultaPagina=S&amp;item0=649150" TargetMode="External"/><Relationship Id="rId36" Type="http://schemas.openxmlformats.org/officeDocument/2006/relationships/header" Target="header1.xml"/><Relationship Id="rId10" Type="http://schemas.openxmlformats.org/officeDocument/2006/relationships/hyperlink" Target="http://www1.tce.pr.gov.br/multimidia/2019/2/pdf/00334745.pdf" TargetMode="External"/><Relationship Id="rId19" Type="http://schemas.openxmlformats.org/officeDocument/2006/relationships/hyperlink" Target="http://www1.tce.pr.gov.br/multimidia/2019/2/pdf/00334616.pdf" TargetMode="External"/><Relationship Id="rId31"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www1.tce.pr.gov.br/multimidia/2019/2/pdf/00334769.pdf" TargetMode="External"/><Relationship Id="rId14" Type="http://schemas.openxmlformats.org/officeDocument/2006/relationships/hyperlink" Target="http://www1.tce.pr.gov.br/multimidia/2019/2/pdf/00334730.pdf" TargetMode="External"/><Relationship Id="rId22" Type="http://schemas.openxmlformats.org/officeDocument/2006/relationships/hyperlink" Target="http://aplicacao4.tst.jus.br/consultaProcessual/consultaTstNumUnica.do?consulta=Consultar&amp;conscsjt=&amp;numeroTst=1642&amp;digitoTst=58&amp;anoTst=2015&amp;orgaoTst=5&amp;tribunalTst=02&amp;varaTst=0080" TargetMode="External"/><Relationship Id="rId27" Type="http://schemas.openxmlformats.org/officeDocument/2006/relationships/hyperlink" Target="http://www.planalto.gov.br/ccivil_03/_ato2011-2014/2011/lei/l12462.htm" TargetMode="External"/><Relationship Id="rId30" Type="http://schemas.openxmlformats.org/officeDocument/2006/relationships/hyperlink" Target="http://www.planalto.gov.br/ccivil_03/_Ato2015-2018/2015/Lei/L13105.htm" TargetMode="External"/><Relationship Id="rId35"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B4457-412E-49E3-9C74-1DCB2FC4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5270</Words>
  <Characters>28461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Lucimare de Almeida</cp:lastModifiedBy>
  <cp:revision>2</cp:revision>
  <cp:lastPrinted>2018-04-09T17:15:00Z</cp:lastPrinted>
  <dcterms:created xsi:type="dcterms:W3CDTF">2019-03-26T17:25:00Z</dcterms:created>
  <dcterms:modified xsi:type="dcterms:W3CDTF">2019-03-26T17:25:00Z</dcterms:modified>
</cp:coreProperties>
</file>