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2F" w:rsidRPr="0022060B" w:rsidRDefault="0038012F" w:rsidP="00816942">
      <w:pPr>
        <w:pStyle w:val="Cabealho"/>
        <w:spacing w:line="276" w:lineRule="auto"/>
        <w:jc w:val="center"/>
        <w:rPr>
          <w:rFonts w:ascii="Arial" w:hAnsi="Arial" w:cs="Arial"/>
          <w:sz w:val="20"/>
          <w:szCs w:val="20"/>
        </w:rPr>
      </w:pPr>
      <w:r w:rsidRPr="0022060B">
        <w:rPr>
          <w:rFonts w:ascii="Arial" w:hAnsi="Arial" w:cs="Arial"/>
          <w:b/>
          <w:sz w:val="20"/>
          <w:szCs w:val="20"/>
        </w:rPr>
        <w:t>Boletim de Jurisprudência TCE/PR</w:t>
      </w:r>
      <w:r w:rsidRPr="0022060B">
        <w:rPr>
          <w:rFonts w:ascii="Arial" w:hAnsi="Arial" w:cs="Arial"/>
          <w:sz w:val="20"/>
          <w:szCs w:val="20"/>
        </w:rPr>
        <w:t xml:space="preserve"> </w:t>
      </w:r>
    </w:p>
    <w:p w:rsidR="00814325" w:rsidRDefault="00814325" w:rsidP="00816942">
      <w:pPr>
        <w:spacing w:after="0"/>
        <w:jc w:val="center"/>
        <w:rPr>
          <w:rFonts w:ascii="Arial" w:hAnsi="Arial" w:cs="Arial"/>
          <w:b/>
          <w:sz w:val="20"/>
          <w:szCs w:val="20"/>
        </w:rPr>
      </w:pPr>
    </w:p>
    <w:p w:rsidR="001B5F7A" w:rsidRDefault="001B5F7A" w:rsidP="00816942">
      <w:pPr>
        <w:spacing w:after="0"/>
        <w:jc w:val="center"/>
        <w:rPr>
          <w:rFonts w:ascii="Arial" w:hAnsi="Arial" w:cs="Arial"/>
          <w:b/>
          <w:sz w:val="20"/>
          <w:szCs w:val="20"/>
        </w:rPr>
      </w:pPr>
      <w:r w:rsidRPr="0022060B">
        <w:rPr>
          <w:rFonts w:ascii="Arial" w:hAnsi="Arial" w:cs="Arial"/>
          <w:b/>
          <w:sz w:val="20"/>
          <w:szCs w:val="20"/>
        </w:rPr>
        <w:t xml:space="preserve">Número </w:t>
      </w:r>
      <w:r w:rsidR="00CB2527">
        <w:rPr>
          <w:rFonts w:ascii="Arial" w:hAnsi="Arial" w:cs="Arial"/>
          <w:b/>
          <w:sz w:val="20"/>
          <w:szCs w:val="20"/>
        </w:rPr>
        <w:t>4</w:t>
      </w:r>
      <w:r w:rsidR="00340EB2">
        <w:rPr>
          <w:rFonts w:ascii="Arial" w:hAnsi="Arial" w:cs="Arial"/>
          <w:b/>
          <w:sz w:val="20"/>
          <w:szCs w:val="20"/>
        </w:rPr>
        <w:t>2</w:t>
      </w:r>
    </w:p>
    <w:p w:rsidR="006F08D4" w:rsidRPr="0022060B" w:rsidRDefault="006F08D4" w:rsidP="00816942">
      <w:pPr>
        <w:spacing w:after="0"/>
        <w:jc w:val="center"/>
        <w:rPr>
          <w:rFonts w:ascii="Arial" w:hAnsi="Arial" w:cs="Arial"/>
          <w:b/>
          <w:sz w:val="20"/>
          <w:szCs w:val="20"/>
        </w:rPr>
      </w:pPr>
    </w:p>
    <w:p w:rsidR="001B5F7A" w:rsidRPr="0090061C" w:rsidRDefault="001B5F7A" w:rsidP="00816942">
      <w:pPr>
        <w:spacing w:after="0"/>
        <w:jc w:val="center"/>
        <w:rPr>
          <w:rFonts w:ascii="Arial" w:hAnsi="Arial" w:cs="Arial"/>
          <w:b/>
          <w:sz w:val="20"/>
          <w:szCs w:val="20"/>
        </w:rPr>
      </w:pPr>
      <w:r w:rsidRPr="00734DDB">
        <w:rPr>
          <w:rFonts w:ascii="Arial" w:hAnsi="Arial" w:cs="Arial"/>
          <w:b/>
          <w:sz w:val="20"/>
          <w:szCs w:val="20"/>
        </w:rPr>
        <w:t xml:space="preserve">Sessões: </w:t>
      </w:r>
      <w:r w:rsidR="00734DDB" w:rsidRPr="00D736E4">
        <w:rPr>
          <w:rFonts w:ascii="Arial" w:hAnsi="Arial" w:cs="Arial"/>
          <w:b/>
          <w:sz w:val="20"/>
          <w:szCs w:val="20"/>
        </w:rPr>
        <w:t>2</w:t>
      </w:r>
      <w:r w:rsidR="00D736E4" w:rsidRPr="00D736E4">
        <w:rPr>
          <w:rFonts w:ascii="Arial" w:hAnsi="Arial" w:cs="Arial"/>
          <w:b/>
          <w:sz w:val="20"/>
          <w:szCs w:val="20"/>
        </w:rPr>
        <w:t>5</w:t>
      </w:r>
      <w:r w:rsidR="00814325" w:rsidRPr="00D736E4">
        <w:rPr>
          <w:rFonts w:ascii="Arial" w:hAnsi="Arial" w:cs="Arial"/>
          <w:b/>
          <w:sz w:val="20"/>
          <w:szCs w:val="20"/>
        </w:rPr>
        <w:t>.</w:t>
      </w:r>
      <w:r w:rsidR="00015FB0" w:rsidRPr="00D736E4">
        <w:rPr>
          <w:rFonts w:ascii="Arial" w:hAnsi="Arial" w:cs="Arial"/>
          <w:b/>
          <w:sz w:val="20"/>
          <w:szCs w:val="20"/>
        </w:rPr>
        <w:t>0</w:t>
      </w:r>
      <w:r w:rsidR="00734DDB" w:rsidRPr="00D736E4">
        <w:rPr>
          <w:rFonts w:ascii="Arial" w:hAnsi="Arial" w:cs="Arial"/>
          <w:b/>
          <w:sz w:val="20"/>
          <w:szCs w:val="20"/>
        </w:rPr>
        <w:t>7</w:t>
      </w:r>
      <w:r w:rsidR="005A0FD0" w:rsidRPr="00734DDB">
        <w:rPr>
          <w:rFonts w:ascii="Arial" w:hAnsi="Arial" w:cs="Arial"/>
          <w:b/>
          <w:sz w:val="20"/>
          <w:szCs w:val="20"/>
        </w:rPr>
        <w:t xml:space="preserve"> </w:t>
      </w:r>
      <w:r w:rsidR="000D4DE6" w:rsidRPr="00734DDB">
        <w:rPr>
          <w:rFonts w:ascii="Arial" w:hAnsi="Arial" w:cs="Arial"/>
          <w:b/>
          <w:sz w:val="20"/>
          <w:szCs w:val="20"/>
        </w:rPr>
        <w:t>a</w:t>
      </w:r>
      <w:r w:rsidRPr="00734DDB">
        <w:rPr>
          <w:rFonts w:ascii="Arial" w:hAnsi="Arial" w:cs="Arial"/>
          <w:b/>
          <w:sz w:val="20"/>
          <w:szCs w:val="20"/>
        </w:rPr>
        <w:t xml:space="preserve"> </w:t>
      </w:r>
      <w:r w:rsidR="00734DDB" w:rsidRPr="00734DDB">
        <w:rPr>
          <w:rFonts w:ascii="Arial" w:hAnsi="Arial" w:cs="Arial"/>
          <w:b/>
          <w:sz w:val="20"/>
          <w:szCs w:val="20"/>
        </w:rPr>
        <w:t>02</w:t>
      </w:r>
      <w:r w:rsidR="005A0FD0" w:rsidRPr="00734DDB">
        <w:rPr>
          <w:rFonts w:ascii="Arial" w:hAnsi="Arial" w:cs="Arial"/>
          <w:b/>
          <w:sz w:val="20"/>
          <w:szCs w:val="20"/>
        </w:rPr>
        <w:t>.</w:t>
      </w:r>
      <w:r w:rsidR="00015FB0" w:rsidRPr="00734DDB">
        <w:rPr>
          <w:rFonts w:ascii="Arial" w:hAnsi="Arial" w:cs="Arial"/>
          <w:b/>
          <w:sz w:val="20"/>
          <w:szCs w:val="20"/>
        </w:rPr>
        <w:t>0</w:t>
      </w:r>
      <w:r w:rsidR="00734DDB" w:rsidRPr="00734DDB">
        <w:rPr>
          <w:rFonts w:ascii="Arial" w:hAnsi="Arial" w:cs="Arial"/>
          <w:b/>
          <w:sz w:val="20"/>
          <w:szCs w:val="20"/>
        </w:rPr>
        <w:t>8</w:t>
      </w:r>
      <w:r w:rsidRPr="00734DDB">
        <w:rPr>
          <w:rFonts w:ascii="Arial" w:hAnsi="Arial" w:cs="Arial"/>
          <w:b/>
          <w:sz w:val="20"/>
          <w:szCs w:val="20"/>
        </w:rPr>
        <w:t xml:space="preserve"> de 201</w:t>
      </w:r>
      <w:r w:rsidR="00015FB0" w:rsidRPr="00734DDB">
        <w:rPr>
          <w:rFonts w:ascii="Arial" w:hAnsi="Arial" w:cs="Arial"/>
          <w:b/>
          <w:sz w:val="20"/>
          <w:szCs w:val="20"/>
        </w:rPr>
        <w:t>8</w:t>
      </w:r>
    </w:p>
    <w:p w:rsidR="007436B5" w:rsidRDefault="007436B5"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22060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22060B">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As informações aqui apresentadas não são repositórios oficiais de jurisprudência.</w:t>
      </w:r>
    </w:p>
    <w:p w:rsidR="00FE7B14" w:rsidRPr="0022060B" w:rsidRDefault="00FE7B14"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S</w:t>
      </w:r>
      <w:r w:rsidR="00221D15" w:rsidRPr="0022060B">
        <w:rPr>
          <w:rFonts w:ascii="Arial" w:hAnsi="Arial" w:cs="Arial"/>
          <w:b/>
          <w:sz w:val="20"/>
          <w:szCs w:val="20"/>
        </w:rPr>
        <w:t>U</w:t>
      </w:r>
      <w:r w:rsidRPr="0022060B">
        <w:rPr>
          <w:rFonts w:ascii="Arial" w:hAnsi="Arial" w:cs="Arial"/>
          <w:b/>
          <w:sz w:val="20"/>
          <w:szCs w:val="20"/>
        </w:rPr>
        <w:t>MÁRIO</w:t>
      </w:r>
    </w:p>
    <w:p w:rsidR="006176AB" w:rsidRDefault="006176AB" w:rsidP="00C80639">
      <w:pPr>
        <w:autoSpaceDE w:val="0"/>
        <w:autoSpaceDN w:val="0"/>
        <w:adjustRightInd w:val="0"/>
        <w:spacing w:after="0"/>
        <w:jc w:val="both"/>
        <w:rPr>
          <w:rFonts w:ascii="Arial" w:hAnsi="Arial" w:cs="Arial"/>
          <w:sz w:val="20"/>
          <w:szCs w:val="20"/>
        </w:rPr>
      </w:pPr>
    </w:p>
    <w:p w:rsidR="002E1A56" w:rsidRPr="002E1A56" w:rsidRDefault="002E1A56" w:rsidP="002E1A56">
      <w:pPr>
        <w:autoSpaceDE w:val="0"/>
        <w:autoSpaceDN w:val="0"/>
        <w:adjustRightInd w:val="0"/>
        <w:spacing w:after="0"/>
        <w:jc w:val="both"/>
        <w:rPr>
          <w:rFonts w:ascii="Arial" w:hAnsi="Arial" w:cs="Arial"/>
          <w:sz w:val="20"/>
          <w:szCs w:val="20"/>
        </w:rPr>
      </w:pPr>
      <w:r w:rsidRPr="002E1A56">
        <w:rPr>
          <w:rFonts w:ascii="Arial" w:hAnsi="Arial" w:cs="Arial"/>
          <w:sz w:val="20"/>
          <w:szCs w:val="20"/>
        </w:rPr>
        <w:t xml:space="preserve">1. Tomada de Contas Extraordinária. Contratação de serviços de telefonia. Irregularidades. Inexecução contratual. </w:t>
      </w:r>
      <w:proofErr w:type="spellStart"/>
      <w:r w:rsidRPr="002E1A56">
        <w:rPr>
          <w:rFonts w:ascii="Arial" w:hAnsi="Arial" w:cs="Arial"/>
          <w:sz w:val="20"/>
          <w:szCs w:val="20"/>
        </w:rPr>
        <w:t>Dano</w:t>
      </w:r>
      <w:proofErr w:type="spellEnd"/>
      <w:r w:rsidRPr="002E1A56">
        <w:rPr>
          <w:rFonts w:ascii="Arial" w:hAnsi="Arial" w:cs="Arial"/>
          <w:sz w:val="20"/>
          <w:szCs w:val="20"/>
        </w:rPr>
        <w:t xml:space="preserve"> ao erário saneado. Regularidade com ressalva. </w:t>
      </w:r>
    </w:p>
    <w:p w:rsidR="006176AB" w:rsidRDefault="006176AB" w:rsidP="00C80639">
      <w:pPr>
        <w:autoSpaceDE w:val="0"/>
        <w:autoSpaceDN w:val="0"/>
        <w:adjustRightInd w:val="0"/>
        <w:spacing w:after="0"/>
        <w:jc w:val="both"/>
        <w:rPr>
          <w:rFonts w:ascii="Arial" w:hAnsi="Arial" w:cs="Arial"/>
          <w:sz w:val="20"/>
          <w:szCs w:val="20"/>
        </w:rPr>
      </w:pPr>
    </w:p>
    <w:p w:rsidR="00C80639" w:rsidRPr="00C80639" w:rsidRDefault="00C80639" w:rsidP="00C80639">
      <w:pPr>
        <w:autoSpaceDE w:val="0"/>
        <w:autoSpaceDN w:val="0"/>
        <w:adjustRightInd w:val="0"/>
        <w:spacing w:after="0"/>
        <w:jc w:val="both"/>
        <w:rPr>
          <w:rFonts w:ascii="Arial" w:hAnsi="Arial" w:cs="Arial"/>
          <w:sz w:val="20"/>
          <w:szCs w:val="20"/>
        </w:rPr>
      </w:pPr>
      <w:r w:rsidRPr="00C80639">
        <w:rPr>
          <w:rFonts w:ascii="Arial" w:hAnsi="Arial" w:cs="Arial"/>
          <w:sz w:val="20"/>
          <w:szCs w:val="20"/>
        </w:rPr>
        <w:t>2. Ato de Inativação. Assembleia Legislativa. Percentual de Verba de Representação. Cargo de Taquígrafo. Unificação da carreira. Princípio contributivo. Aposentadoria pela média das 80% maiores contribuições. Legalidade e registro.</w:t>
      </w:r>
    </w:p>
    <w:p w:rsidR="006176AB" w:rsidRDefault="006176AB" w:rsidP="00C80639">
      <w:pPr>
        <w:autoSpaceDE w:val="0"/>
        <w:autoSpaceDN w:val="0"/>
        <w:adjustRightInd w:val="0"/>
        <w:spacing w:after="0"/>
        <w:jc w:val="both"/>
        <w:rPr>
          <w:rFonts w:ascii="Arial" w:hAnsi="Arial" w:cs="Arial"/>
          <w:sz w:val="20"/>
          <w:szCs w:val="20"/>
        </w:rPr>
      </w:pPr>
    </w:p>
    <w:p w:rsidR="00C80639" w:rsidRPr="00C80639" w:rsidRDefault="00C80639" w:rsidP="00C80639">
      <w:pPr>
        <w:autoSpaceDE w:val="0"/>
        <w:autoSpaceDN w:val="0"/>
        <w:adjustRightInd w:val="0"/>
        <w:spacing w:after="0"/>
        <w:jc w:val="both"/>
        <w:rPr>
          <w:rFonts w:ascii="Arial" w:hAnsi="Arial" w:cs="Arial"/>
          <w:sz w:val="20"/>
          <w:szCs w:val="20"/>
        </w:rPr>
      </w:pPr>
      <w:r w:rsidRPr="00C80639">
        <w:rPr>
          <w:rFonts w:ascii="Arial" w:hAnsi="Arial" w:cs="Arial"/>
          <w:sz w:val="20"/>
          <w:szCs w:val="20"/>
        </w:rPr>
        <w:t>3. Prestação de Contas de transferência voluntária. Falhas formais. Ausência de efetiva comprovação da aplicação de recursos em débitos previdenciários. Regular cumprimento dos objetivos. Ausência de indícios de desvio de recursos. Ressalva.</w:t>
      </w:r>
    </w:p>
    <w:p w:rsidR="006176AB" w:rsidRDefault="006176AB" w:rsidP="00C80639">
      <w:pPr>
        <w:spacing w:before="60" w:after="60"/>
        <w:jc w:val="both"/>
        <w:rPr>
          <w:rStyle w:val="Hyperlink"/>
          <w:rFonts w:ascii="Arial" w:hAnsi="Arial" w:cs="Arial"/>
          <w:color w:val="000000" w:themeColor="text1"/>
          <w:sz w:val="20"/>
          <w:szCs w:val="20"/>
          <w:u w:val="none"/>
        </w:rPr>
      </w:pPr>
    </w:p>
    <w:p w:rsidR="00C80639" w:rsidRPr="00C80639" w:rsidRDefault="00C80639" w:rsidP="00C80639">
      <w:pPr>
        <w:spacing w:before="60" w:after="60"/>
        <w:jc w:val="both"/>
        <w:rPr>
          <w:rStyle w:val="Hyperlink"/>
          <w:rFonts w:ascii="Arial" w:hAnsi="Arial" w:cs="Arial"/>
          <w:color w:val="FF0000"/>
          <w:sz w:val="20"/>
          <w:szCs w:val="20"/>
          <w:u w:val="none"/>
        </w:rPr>
      </w:pPr>
      <w:r w:rsidRPr="00C80639">
        <w:rPr>
          <w:rStyle w:val="Hyperlink"/>
          <w:rFonts w:ascii="Arial" w:hAnsi="Arial" w:cs="Arial"/>
          <w:color w:val="000000" w:themeColor="text1"/>
          <w:sz w:val="20"/>
          <w:szCs w:val="20"/>
          <w:u w:val="none"/>
        </w:rPr>
        <w:t xml:space="preserve">4. Admissão de pessoal. Concurso Público. Câmara Municipal. Exercício de cargos não cumuláveis. Vedação. Negativa de registro.  </w:t>
      </w:r>
    </w:p>
    <w:p w:rsidR="006176AB" w:rsidRDefault="006176AB" w:rsidP="00C80639">
      <w:pPr>
        <w:spacing w:before="60" w:after="60"/>
        <w:jc w:val="both"/>
        <w:rPr>
          <w:rStyle w:val="Hyperlink"/>
          <w:rFonts w:ascii="Arial" w:hAnsi="Arial" w:cs="Arial"/>
          <w:color w:val="000000" w:themeColor="text1"/>
          <w:sz w:val="20"/>
          <w:szCs w:val="20"/>
          <w:u w:val="none"/>
        </w:rPr>
      </w:pPr>
    </w:p>
    <w:p w:rsidR="00C80639" w:rsidRPr="00C80639" w:rsidRDefault="00C80639" w:rsidP="00C80639">
      <w:pPr>
        <w:spacing w:before="60" w:after="60"/>
        <w:jc w:val="both"/>
        <w:rPr>
          <w:rStyle w:val="Hyperlink"/>
          <w:rFonts w:ascii="Arial" w:hAnsi="Arial" w:cs="Arial"/>
          <w:color w:val="FF0000"/>
          <w:sz w:val="20"/>
          <w:szCs w:val="20"/>
          <w:u w:val="none"/>
        </w:rPr>
      </w:pPr>
      <w:r w:rsidRPr="00C80639">
        <w:rPr>
          <w:rStyle w:val="Hyperlink"/>
          <w:rFonts w:ascii="Arial" w:hAnsi="Arial" w:cs="Arial"/>
          <w:color w:val="000000" w:themeColor="text1"/>
          <w:sz w:val="20"/>
          <w:szCs w:val="20"/>
          <w:u w:val="none"/>
        </w:rPr>
        <w:t xml:space="preserve">5. Pedido de Rescisão. Decisão. Serviços contábeis.  Tomada de Contas Extraordinária.  Violação a literal disposição de lei. Não caracterização.  Improcedência. </w:t>
      </w:r>
      <w:r w:rsidRPr="00C80639">
        <w:rPr>
          <w:rStyle w:val="Hyperlink"/>
          <w:rFonts w:ascii="Arial" w:hAnsi="Arial" w:cs="Arial"/>
          <w:color w:val="FF0000"/>
          <w:sz w:val="20"/>
          <w:szCs w:val="20"/>
          <w:u w:val="none"/>
        </w:rPr>
        <w:t xml:space="preserve"> </w:t>
      </w:r>
    </w:p>
    <w:p w:rsidR="006176AB" w:rsidRDefault="006176AB" w:rsidP="00C80639">
      <w:pPr>
        <w:spacing w:before="60" w:after="60"/>
        <w:jc w:val="both"/>
        <w:rPr>
          <w:rStyle w:val="Hyperlink"/>
          <w:rFonts w:ascii="Arial" w:hAnsi="Arial" w:cs="Arial"/>
          <w:color w:val="000000" w:themeColor="text1"/>
          <w:sz w:val="20"/>
          <w:szCs w:val="20"/>
          <w:u w:val="none"/>
        </w:rPr>
      </w:pPr>
    </w:p>
    <w:p w:rsidR="00C80639" w:rsidRPr="00C80639" w:rsidRDefault="00C80639" w:rsidP="00C80639">
      <w:pPr>
        <w:spacing w:before="60" w:after="60"/>
        <w:jc w:val="both"/>
        <w:rPr>
          <w:rStyle w:val="Hyperlink"/>
          <w:rFonts w:ascii="Arial" w:hAnsi="Arial" w:cs="Arial"/>
          <w:color w:val="FF0000"/>
          <w:sz w:val="20"/>
          <w:szCs w:val="20"/>
          <w:u w:val="none"/>
        </w:rPr>
      </w:pPr>
      <w:r w:rsidRPr="00C80639">
        <w:rPr>
          <w:rStyle w:val="Hyperlink"/>
          <w:rFonts w:ascii="Arial" w:hAnsi="Arial" w:cs="Arial"/>
          <w:color w:val="000000" w:themeColor="text1"/>
          <w:sz w:val="20"/>
          <w:szCs w:val="20"/>
          <w:u w:val="none"/>
        </w:rPr>
        <w:t>6. Consulta</w:t>
      </w:r>
      <w:r w:rsidR="00FC3744">
        <w:rPr>
          <w:rStyle w:val="Hyperlink"/>
          <w:rFonts w:ascii="Arial" w:hAnsi="Arial" w:cs="Arial"/>
          <w:color w:val="000000" w:themeColor="text1"/>
          <w:sz w:val="20"/>
          <w:szCs w:val="20"/>
          <w:u w:val="none"/>
        </w:rPr>
        <w:t xml:space="preserve">. Cargos Públicos. Cumulação. </w:t>
      </w:r>
      <w:proofErr w:type="gramStart"/>
      <w:r w:rsidRPr="00C80639">
        <w:rPr>
          <w:rStyle w:val="Hyperlink"/>
          <w:rFonts w:ascii="Arial" w:hAnsi="Arial" w:cs="Arial"/>
          <w:color w:val="000000" w:themeColor="text1"/>
          <w:sz w:val="20"/>
          <w:szCs w:val="20"/>
          <w:u w:val="none"/>
        </w:rPr>
        <w:t>Professor e Educador Infantil</w:t>
      </w:r>
      <w:proofErr w:type="gramEnd"/>
      <w:r w:rsidRPr="00C80639">
        <w:rPr>
          <w:rStyle w:val="Hyperlink"/>
          <w:rFonts w:ascii="Arial" w:hAnsi="Arial" w:cs="Arial"/>
          <w:color w:val="000000" w:themeColor="text1"/>
          <w:sz w:val="20"/>
          <w:szCs w:val="20"/>
          <w:u w:val="none"/>
        </w:rPr>
        <w:t xml:space="preserve">. Permissividade expressa na Constituição Federal.  Cargo que se enquadra como técnico ou científico. </w:t>
      </w:r>
      <w:r w:rsidRPr="00C80639">
        <w:rPr>
          <w:rStyle w:val="Hyperlink"/>
          <w:rFonts w:ascii="Arial" w:hAnsi="Arial" w:cs="Arial"/>
          <w:color w:val="000000" w:themeColor="text1"/>
          <w:sz w:val="20"/>
          <w:szCs w:val="20"/>
          <w:u w:val="none"/>
        </w:rPr>
        <w:lastRenderedPageBreak/>
        <w:t xml:space="preserve">Possibilidade. Cargos acumuláveis na atividade também o serão na inatividade. Precedentes do STF.   </w:t>
      </w:r>
    </w:p>
    <w:p w:rsidR="006176AB" w:rsidRDefault="006176AB" w:rsidP="00C80639">
      <w:pPr>
        <w:spacing w:before="60" w:after="60"/>
        <w:jc w:val="both"/>
        <w:rPr>
          <w:rStyle w:val="Hyperlink"/>
          <w:rFonts w:ascii="Arial" w:hAnsi="Arial" w:cs="Arial"/>
          <w:color w:val="000000" w:themeColor="text1"/>
          <w:sz w:val="20"/>
          <w:szCs w:val="20"/>
          <w:u w:val="none"/>
        </w:rPr>
      </w:pPr>
    </w:p>
    <w:p w:rsidR="00C80639" w:rsidRPr="00C80639" w:rsidRDefault="00C80639" w:rsidP="00C80639">
      <w:pPr>
        <w:spacing w:before="60" w:after="60"/>
        <w:jc w:val="both"/>
        <w:rPr>
          <w:rStyle w:val="Hyperlink"/>
          <w:rFonts w:ascii="Arial" w:hAnsi="Arial" w:cs="Arial"/>
          <w:color w:val="000000" w:themeColor="text1"/>
          <w:sz w:val="20"/>
          <w:szCs w:val="20"/>
          <w:u w:val="none"/>
        </w:rPr>
      </w:pPr>
      <w:r w:rsidRPr="00C80639">
        <w:rPr>
          <w:rStyle w:val="Hyperlink"/>
          <w:rFonts w:ascii="Arial" w:hAnsi="Arial" w:cs="Arial"/>
          <w:color w:val="000000" w:themeColor="text1"/>
          <w:sz w:val="20"/>
          <w:szCs w:val="20"/>
          <w:u w:val="none"/>
        </w:rPr>
        <w:t>7. Representação. Lei nº 8.666/93.  Município. Modalidade licitatória. Concorr</w:t>
      </w:r>
      <w:r>
        <w:rPr>
          <w:rStyle w:val="Hyperlink"/>
          <w:rFonts w:ascii="Arial" w:hAnsi="Arial" w:cs="Arial"/>
          <w:color w:val="000000" w:themeColor="text1"/>
          <w:sz w:val="20"/>
          <w:szCs w:val="20"/>
          <w:u w:val="none"/>
        </w:rPr>
        <w:t xml:space="preserve">ência Pública. Questionamento. </w:t>
      </w:r>
      <w:r w:rsidRPr="00C80639">
        <w:rPr>
          <w:rStyle w:val="Hyperlink"/>
          <w:rFonts w:ascii="Arial" w:hAnsi="Arial" w:cs="Arial"/>
          <w:color w:val="000000" w:themeColor="text1"/>
          <w:sz w:val="20"/>
          <w:szCs w:val="20"/>
          <w:u w:val="none"/>
        </w:rPr>
        <w:t>Discricionariedade. Improcedência.</w:t>
      </w:r>
    </w:p>
    <w:p w:rsidR="006176AB" w:rsidRDefault="006176AB" w:rsidP="00C80639">
      <w:pPr>
        <w:autoSpaceDE w:val="0"/>
        <w:autoSpaceDN w:val="0"/>
        <w:adjustRightInd w:val="0"/>
        <w:spacing w:after="0"/>
        <w:jc w:val="both"/>
        <w:rPr>
          <w:rFonts w:ascii="Arial" w:hAnsi="Arial" w:cs="Arial"/>
          <w:sz w:val="20"/>
          <w:szCs w:val="20"/>
        </w:rPr>
      </w:pPr>
    </w:p>
    <w:p w:rsidR="00C80639" w:rsidRPr="00C80639" w:rsidRDefault="00C80639" w:rsidP="00C80639">
      <w:pPr>
        <w:autoSpaceDE w:val="0"/>
        <w:autoSpaceDN w:val="0"/>
        <w:adjustRightInd w:val="0"/>
        <w:spacing w:after="0"/>
        <w:jc w:val="both"/>
        <w:rPr>
          <w:rFonts w:ascii="Arial" w:hAnsi="Arial" w:cs="Arial"/>
          <w:sz w:val="20"/>
          <w:szCs w:val="20"/>
        </w:rPr>
      </w:pPr>
      <w:r w:rsidRPr="00C80639">
        <w:rPr>
          <w:rFonts w:ascii="Arial" w:hAnsi="Arial" w:cs="Arial"/>
          <w:sz w:val="20"/>
          <w:szCs w:val="20"/>
        </w:rPr>
        <w:t>8. Representação. Acúmulo de Cargos. Secretário Municipal. Médico. Impossibilidade. Comprovação de prestação dos serviços.</w:t>
      </w:r>
    </w:p>
    <w:p w:rsidR="004429A2" w:rsidRDefault="004429A2" w:rsidP="00816942">
      <w:pPr>
        <w:spacing w:after="0"/>
        <w:jc w:val="both"/>
        <w:rPr>
          <w:rStyle w:val="Hyperlink"/>
          <w:rFonts w:ascii="Arial" w:hAnsi="Arial" w:cs="Arial"/>
          <w:b/>
          <w:color w:val="000000" w:themeColor="text1"/>
          <w:sz w:val="20"/>
          <w:szCs w:val="20"/>
          <w:u w:val="none"/>
        </w:rPr>
      </w:pPr>
    </w:p>
    <w:p w:rsidR="00712A93" w:rsidRPr="0022060B" w:rsidRDefault="00712A93" w:rsidP="00C80639">
      <w:pPr>
        <w:shd w:val="pct10" w:color="auto" w:fill="auto"/>
        <w:spacing w:after="0"/>
        <w:jc w:val="center"/>
        <w:rPr>
          <w:rFonts w:ascii="Arial" w:hAnsi="Arial" w:cs="Arial"/>
          <w:b/>
          <w:sz w:val="20"/>
          <w:szCs w:val="20"/>
        </w:rPr>
      </w:pPr>
      <w:r w:rsidRPr="0022060B">
        <w:rPr>
          <w:rFonts w:ascii="Arial" w:hAnsi="Arial" w:cs="Arial"/>
          <w:b/>
          <w:sz w:val="20"/>
          <w:szCs w:val="20"/>
        </w:rPr>
        <w:t>PRIMEIRA CÂMARA</w:t>
      </w:r>
    </w:p>
    <w:p w:rsidR="00FC3744" w:rsidRDefault="00FC3744" w:rsidP="00C80639">
      <w:pPr>
        <w:autoSpaceDE w:val="0"/>
        <w:autoSpaceDN w:val="0"/>
        <w:adjustRightInd w:val="0"/>
        <w:spacing w:after="0"/>
        <w:jc w:val="both"/>
        <w:rPr>
          <w:rFonts w:ascii="Arial" w:hAnsi="Arial" w:cs="Arial"/>
          <w:b/>
          <w:sz w:val="20"/>
          <w:szCs w:val="20"/>
        </w:rPr>
      </w:pPr>
    </w:p>
    <w:p w:rsidR="002E1A56" w:rsidRDefault="002E1A56" w:rsidP="002E1A56">
      <w:pPr>
        <w:autoSpaceDE w:val="0"/>
        <w:autoSpaceDN w:val="0"/>
        <w:adjustRightInd w:val="0"/>
        <w:spacing w:after="0"/>
        <w:jc w:val="both"/>
        <w:rPr>
          <w:rFonts w:ascii="Arial" w:hAnsi="Arial" w:cs="Arial"/>
          <w:b/>
          <w:sz w:val="20"/>
          <w:szCs w:val="20"/>
        </w:rPr>
      </w:pPr>
      <w:r>
        <w:rPr>
          <w:rFonts w:ascii="Arial" w:hAnsi="Arial" w:cs="Arial"/>
          <w:b/>
          <w:sz w:val="20"/>
          <w:szCs w:val="20"/>
        </w:rPr>
        <w:t xml:space="preserve">1. Tomada de Contas Extraordinária. Contratação de serviços de telefonia. Irregularidades. Inexecução contratual. </w:t>
      </w:r>
      <w:proofErr w:type="spellStart"/>
      <w:r>
        <w:rPr>
          <w:rFonts w:ascii="Arial" w:hAnsi="Arial" w:cs="Arial"/>
          <w:b/>
          <w:sz w:val="20"/>
          <w:szCs w:val="20"/>
        </w:rPr>
        <w:t>Dano</w:t>
      </w:r>
      <w:proofErr w:type="spellEnd"/>
      <w:r>
        <w:rPr>
          <w:rFonts w:ascii="Arial" w:hAnsi="Arial" w:cs="Arial"/>
          <w:b/>
          <w:sz w:val="20"/>
          <w:szCs w:val="20"/>
        </w:rPr>
        <w:t xml:space="preserve"> ao erário saneado. Regularidade com ressalva. </w:t>
      </w:r>
    </w:p>
    <w:p w:rsidR="002E1A56" w:rsidRDefault="002E1A56" w:rsidP="002E1A56">
      <w:pPr>
        <w:autoSpaceDE w:val="0"/>
        <w:autoSpaceDN w:val="0"/>
        <w:adjustRightInd w:val="0"/>
        <w:spacing w:after="0"/>
        <w:jc w:val="both"/>
        <w:rPr>
          <w:rFonts w:ascii="Arial" w:hAnsi="Arial" w:cs="Arial"/>
          <w:color w:val="000000"/>
          <w:sz w:val="20"/>
          <w:szCs w:val="20"/>
        </w:rPr>
      </w:pPr>
    </w:p>
    <w:p w:rsidR="002E1A56" w:rsidRDefault="002E1A56" w:rsidP="002E1A56">
      <w:pPr>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rPr>
        <w:t xml:space="preserve">Foi constatada a inobservância de regras legais na fase interna do certame, como divergência entre a solicitação de serviço com o termo de referência, ausência de cotações prévias, de planilhas orçamentárias especificando o preço unitário de cada ligação e de projeto básico, bem como divergência no valor previsto no termo de referência e no valor reservado orçamentariamente. </w:t>
      </w:r>
    </w:p>
    <w:p w:rsidR="002E1A56" w:rsidRDefault="002E1A56" w:rsidP="002E1A56">
      <w:pPr>
        <w:autoSpaceDE w:val="0"/>
        <w:autoSpaceDN w:val="0"/>
        <w:adjustRightInd w:val="0"/>
        <w:spacing w:after="0"/>
        <w:jc w:val="both"/>
        <w:rPr>
          <w:rFonts w:ascii="Arial" w:hAnsi="Arial" w:cs="Arial"/>
          <w:color w:val="000000"/>
          <w:sz w:val="20"/>
          <w:szCs w:val="20"/>
        </w:rPr>
      </w:pPr>
    </w:p>
    <w:p w:rsidR="002E1A56" w:rsidRDefault="002E1A56" w:rsidP="002E1A56">
      <w:pPr>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rPr>
        <w:t>Apontou-se, ainda insuficiência de requisitos para a habilitação da empresa, pois ela não possui registro na ANATEL, falhas formais do edital e nos procedimentos da licitação, assim como participação de empresas com objeto social estranho ao licitado.</w:t>
      </w:r>
    </w:p>
    <w:p w:rsidR="002E1A56" w:rsidRDefault="002E1A56" w:rsidP="002E1A56">
      <w:pPr>
        <w:autoSpaceDE w:val="0"/>
        <w:autoSpaceDN w:val="0"/>
        <w:adjustRightInd w:val="0"/>
        <w:spacing w:after="0"/>
        <w:jc w:val="both"/>
        <w:rPr>
          <w:rFonts w:ascii="Arial" w:hAnsi="Arial" w:cs="Arial"/>
          <w:color w:val="000000"/>
          <w:sz w:val="20"/>
          <w:szCs w:val="20"/>
        </w:rPr>
      </w:pPr>
    </w:p>
    <w:p w:rsidR="002E1A56" w:rsidRDefault="002E1A56" w:rsidP="002E1A56">
      <w:pPr>
        <w:autoSpaceDE w:val="0"/>
        <w:autoSpaceDN w:val="0"/>
        <w:adjustRightInd w:val="0"/>
        <w:spacing w:after="0"/>
        <w:jc w:val="both"/>
        <w:rPr>
          <w:rFonts w:ascii="Arial" w:hAnsi="Arial" w:cs="Arial"/>
          <w:sz w:val="20"/>
          <w:szCs w:val="20"/>
        </w:rPr>
      </w:pPr>
      <w:r>
        <w:rPr>
          <w:rFonts w:ascii="Arial" w:hAnsi="Arial" w:cs="Arial"/>
          <w:sz w:val="20"/>
          <w:szCs w:val="20"/>
        </w:rPr>
        <w:t xml:space="preserve">Em que pese os diversos indícios de irregularidades formais e de execução dos contratos, o resultado foi o mesmo: o dano não perdurou, tendo em conta a devolução dos valores pelas empresas. Assim, todas as falhas foram sanadas com a restituição integral. </w:t>
      </w:r>
    </w:p>
    <w:p w:rsidR="002E1A56" w:rsidRDefault="002E1A56" w:rsidP="002E1A56">
      <w:pPr>
        <w:autoSpaceDE w:val="0"/>
        <w:autoSpaceDN w:val="0"/>
        <w:adjustRightInd w:val="0"/>
        <w:spacing w:after="0"/>
        <w:jc w:val="both"/>
        <w:rPr>
          <w:rFonts w:ascii="Arial" w:hAnsi="Arial" w:cs="Arial"/>
          <w:sz w:val="20"/>
          <w:szCs w:val="20"/>
        </w:rPr>
      </w:pPr>
    </w:p>
    <w:p w:rsidR="002E1A56" w:rsidRDefault="002E1A56" w:rsidP="002E1A56">
      <w:pPr>
        <w:autoSpaceDE w:val="0"/>
        <w:autoSpaceDN w:val="0"/>
        <w:adjustRightInd w:val="0"/>
        <w:spacing w:after="0"/>
        <w:jc w:val="both"/>
        <w:rPr>
          <w:rFonts w:ascii="Arial" w:hAnsi="Arial" w:cs="Arial"/>
          <w:sz w:val="20"/>
          <w:szCs w:val="20"/>
        </w:rPr>
      </w:pPr>
      <w:r>
        <w:rPr>
          <w:rFonts w:ascii="Arial" w:hAnsi="Arial" w:cs="Arial"/>
          <w:sz w:val="20"/>
          <w:szCs w:val="20"/>
        </w:rPr>
        <w:t xml:space="preserve">No mais, considerando que a atuação proativa dos agentes municipais foi posterior à fiscalização dos técnicos do Tribunal de Contas, as contas devem ser julgadas regulares com ressalva, tendo em vista as falhas formais descritas pela unidade técnica. </w:t>
      </w:r>
    </w:p>
    <w:p w:rsidR="002E1A56" w:rsidRDefault="002E1A56" w:rsidP="002E1A56">
      <w:pPr>
        <w:autoSpaceDE w:val="0"/>
        <w:autoSpaceDN w:val="0"/>
        <w:adjustRightInd w:val="0"/>
        <w:spacing w:after="0"/>
        <w:jc w:val="both"/>
        <w:rPr>
          <w:rFonts w:ascii="Arial" w:hAnsi="Arial" w:cs="Arial"/>
          <w:sz w:val="20"/>
          <w:szCs w:val="20"/>
        </w:rPr>
      </w:pPr>
    </w:p>
    <w:p w:rsidR="002E1A56" w:rsidRDefault="002E1A56" w:rsidP="002E1A56">
      <w:pPr>
        <w:autoSpaceDE w:val="0"/>
        <w:autoSpaceDN w:val="0"/>
        <w:adjustRightInd w:val="0"/>
        <w:spacing w:after="0"/>
        <w:jc w:val="both"/>
        <w:rPr>
          <w:rFonts w:ascii="Arial" w:hAnsi="Arial" w:cs="Arial"/>
          <w:color w:val="000000"/>
          <w:sz w:val="20"/>
          <w:szCs w:val="20"/>
        </w:rPr>
      </w:pPr>
      <w:r>
        <w:rPr>
          <w:rFonts w:ascii="Arial" w:hAnsi="Arial" w:cs="Arial"/>
          <w:sz w:val="20"/>
          <w:szCs w:val="20"/>
        </w:rPr>
        <w:t>Deixo</w:t>
      </w:r>
      <w:r w:rsidR="00151D02">
        <w:rPr>
          <w:rFonts w:ascii="Arial" w:hAnsi="Arial" w:cs="Arial"/>
          <w:sz w:val="20"/>
          <w:szCs w:val="20"/>
        </w:rPr>
        <w:t>u-se</w:t>
      </w:r>
      <w:bookmarkStart w:id="0" w:name="_GoBack"/>
      <w:bookmarkEnd w:id="0"/>
      <w:r>
        <w:rPr>
          <w:rFonts w:ascii="Arial" w:hAnsi="Arial" w:cs="Arial"/>
          <w:sz w:val="20"/>
          <w:szCs w:val="20"/>
        </w:rPr>
        <w:t xml:space="preserve"> de aplicar a multa do art. 87, III, d, da Lei Orgânica, uma vez que os fatos ocorreram há mais de 8 anos, mitigando os aspectos pedagógicos, socioeducativos ou até mesmo punitivos que justificariam a imposição da sanção pecuniária ao tempo dos fatos impugnados.</w:t>
      </w:r>
    </w:p>
    <w:p w:rsidR="002E1A56" w:rsidRDefault="002E1A56" w:rsidP="002E1A56">
      <w:pPr>
        <w:autoSpaceDE w:val="0"/>
        <w:autoSpaceDN w:val="0"/>
        <w:adjustRightInd w:val="0"/>
        <w:spacing w:after="0"/>
        <w:jc w:val="both"/>
        <w:rPr>
          <w:rFonts w:ascii="Arial" w:hAnsi="Arial" w:cs="Arial"/>
          <w:sz w:val="20"/>
          <w:szCs w:val="20"/>
        </w:rPr>
      </w:pPr>
    </w:p>
    <w:p w:rsidR="002E1A56" w:rsidRDefault="002E1A56" w:rsidP="002E1A56">
      <w:pPr>
        <w:autoSpaceDE w:val="0"/>
        <w:autoSpaceDN w:val="0"/>
        <w:adjustRightInd w:val="0"/>
        <w:spacing w:after="0"/>
        <w:jc w:val="both"/>
        <w:rPr>
          <w:rFonts w:ascii="Arial" w:hAnsi="Arial" w:cs="Arial"/>
          <w:sz w:val="20"/>
          <w:szCs w:val="20"/>
        </w:rPr>
      </w:pPr>
      <w:r>
        <w:rPr>
          <w:rFonts w:ascii="Arial" w:hAnsi="Arial" w:cs="Arial"/>
          <w:sz w:val="20"/>
          <w:szCs w:val="20"/>
        </w:rPr>
        <w:lastRenderedPageBreak/>
        <w:t xml:space="preserve">Processo n° 544530/09 - </w:t>
      </w:r>
      <w:hyperlink r:id="rId8" w:history="1">
        <w:r>
          <w:rPr>
            <w:rStyle w:val="Hyperlink"/>
            <w:rFonts w:ascii="Arial" w:hAnsi="Arial" w:cs="Arial"/>
            <w:sz w:val="20"/>
            <w:szCs w:val="20"/>
          </w:rPr>
          <w:t>Acórdão n° 2010/18 - Primeira Câmara</w:t>
        </w:r>
      </w:hyperlink>
      <w:r>
        <w:rPr>
          <w:rFonts w:ascii="Arial" w:hAnsi="Arial" w:cs="Arial"/>
          <w:sz w:val="20"/>
          <w:szCs w:val="20"/>
        </w:rPr>
        <w:t xml:space="preserve"> - Rel. Conselheiro Fabio de Souza Camargo.  </w:t>
      </w:r>
    </w:p>
    <w:p w:rsidR="00C80639" w:rsidRPr="00060D40" w:rsidRDefault="00C80639" w:rsidP="00C80639">
      <w:pPr>
        <w:autoSpaceDE w:val="0"/>
        <w:autoSpaceDN w:val="0"/>
        <w:adjustRightInd w:val="0"/>
        <w:spacing w:after="0"/>
        <w:jc w:val="both"/>
        <w:rPr>
          <w:rFonts w:ascii="Arial" w:hAnsi="Arial" w:cs="Arial"/>
          <w:sz w:val="20"/>
          <w:szCs w:val="20"/>
        </w:rPr>
      </w:pPr>
    </w:p>
    <w:p w:rsidR="00EC3842" w:rsidRPr="0022060B" w:rsidRDefault="00EC3842" w:rsidP="00C80639">
      <w:pPr>
        <w:shd w:val="pct10" w:color="auto" w:fill="auto"/>
        <w:spacing w:after="0"/>
        <w:jc w:val="center"/>
        <w:rPr>
          <w:rFonts w:ascii="Arial" w:hAnsi="Arial" w:cs="Arial"/>
          <w:b/>
          <w:sz w:val="20"/>
          <w:szCs w:val="20"/>
        </w:rPr>
      </w:pPr>
      <w:r w:rsidRPr="0022060B">
        <w:rPr>
          <w:rFonts w:ascii="Arial" w:hAnsi="Arial" w:cs="Arial"/>
          <w:b/>
          <w:sz w:val="20"/>
          <w:szCs w:val="20"/>
        </w:rPr>
        <w:t>SEGUNDA CÂMARA</w:t>
      </w:r>
    </w:p>
    <w:p w:rsidR="00FC3744" w:rsidRDefault="00FC3744" w:rsidP="00C80639">
      <w:pPr>
        <w:autoSpaceDE w:val="0"/>
        <w:autoSpaceDN w:val="0"/>
        <w:adjustRightInd w:val="0"/>
        <w:spacing w:after="0"/>
        <w:jc w:val="both"/>
        <w:rPr>
          <w:rFonts w:ascii="Arial" w:hAnsi="Arial" w:cs="Arial"/>
          <w:b/>
          <w:sz w:val="20"/>
          <w:szCs w:val="20"/>
        </w:rPr>
      </w:pPr>
    </w:p>
    <w:p w:rsidR="006D158F" w:rsidRPr="00060D40" w:rsidRDefault="00C80639" w:rsidP="00C80639">
      <w:pPr>
        <w:autoSpaceDE w:val="0"/>
        <w:autoSpaceDN w:val="0"/>
        <w:adjustRightInd w:val="0"/>
        <w:spacing w:after="0"/>
        <w:jc w:val="both"/>
        <w:rPr>
          <w:rFonts w:ascii="Arial" w:hAnsi="Arial" w:cs="Arial"/>
          <w:b/>
          <w:sz w:val="20"/>
          <w:szCs w:val="20"/>
        </w:rPr>
      </w:pPr>
      <w:r>
        <w:rPr>
          <w:rFonts w:ascii="Arial" w:hAnsi="Arial" w:cs="Arial"/>
          <w:b/>
          <w:sz w:val="20"/>
          <w:szCs w:val="20"/>
        </w:rPr>
        <w:t xml:space="preserve">2. </w:t>
      </w:r>
      <w:r w:rsidR="00060D40" w:rsidRPr="00060D40">
        <w:rPr>
          <w:rFonts w:ascii="Arial" w:hAnsi="Arial" w:cs="Arial"/>
          <w:b/>
          <w:sz w:val="20"/>
          <w:szCs w:val="20"/>
        </w:rPr>
        <w:t>Ato de Inativação. Assembleia Legislativa. Percentual de Verba de Representação. Cargo de Taquígrafo. Unificação da carreira. Princípio contributivo. Aposentadoria pela média das 80% maiores contribuições. Legalidade e registro.</w:t>
      </w:r>
    </w:p>
    <w:p w:rsidR="00060D40" w:rsidRDefault="00060D40" w:rsidP="00C80639">
      <w:pPr>
        <w:autoSpaceDE w:val="0"/>
        <w:autoSpaceDN w:val="0"/>
        <w:adjustRightInd w:val="0"/>
        <w:spacing w:after="0"/>
        <w:jc w:val="both"/>
        <w:rPr>
          <w:rFonts w:ascii="Arial" w:hAnsi="Arial" w:cs="Arial"/>
          <w:sz w:val="20"/>
          <w:szCs w:val="20"/>
        </w:rPr>
      </w:pPr>
    </w:p>
    <w:p w:rsidR="00060D40" w:rsidRPr="00060D40" w:rsidRDefault="00060D40" w:rsidP="00C80639">
      <w:pPr>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rPr>
        <w:t xml:space="preserve">O </w:t>
      </w:r>
      <w:r w:rsidRPr="00060D40">
        <w:rPr>
          <w:rFonts w:ascii="Arial" w:hAnsi="Arial" w:cs="Arial"/>
          <w:color w:val="000000"/>
          <w:sz w:val="20"/>
          <w:szCs w:val="20"/>
        </w:rPr>
        <w:t>Ministério Público de</w:t>
      </w:r>
      <w:r>
        <w:rPr>
          <w:rFonts w:ascii="Arial" w:hAnsi="Arial" w:cs="Arial"/>
          <w:color w:val="000000"/>
          <w:sz w:val="20"/>
          <w:szCs w:val="20"/>
        </w:rPr>
        <w:t xml:space="preserve"> </w:t>
      </w:r>
      <w:r w:rsidRPr="00060D40">
        <w:rPr>
          <w:rFonts w:ascii="Arial" w:hAnsi="Arial" w:cs="Arial"/>
          <w:color w:val="000000"/>
          <w:sz w:val="20"/>
          <w:szCs w:val="20"/>
        </w:rPr>
        <w:t xml:space="preserve">Contas no Parecer </w:t>
      </w:r>
      <w:r>
        <w:rPr>
          <w:rFonts w:ascii="Arial" w:hAnsi="Arial" w:cs="Arial"/>
          <w:color w:val="000000"/>
          <w:sz w:val="20"/>
          <w:szCs w:val="20"/>
        </w:rPr>
        <w:t xml:space="preserve">pontua que </w:t>
      </w:r>
      <w:r w:rsidRPr="00060D40">
        <w:rPr>
          <w:rFonts w:ascii="Arial" w:hAnsi="Arial" w:cs="Arial"/>
          <w:color w:val="000000"/>
          <w:sz w:val="20"/>
          <w:szCs w:val="20"/>
        </w:rPr>
        <w:t>o recebimento pela servidora da</w:t>
      </w:r>
      <w:r>
        <w:rPr>
          <w:rFonts w:ascii="Arial" w:hAnsi="Arial" w:cs="Arial"/>
          <w:color w:val="000000"/>
          <w:sz w:val="20"/>
          <w:szCs w:val="20"/>
        </w:rPr>
        <w:t xml:space="preserve"> </w:t>
      </w:r>
      <w:r w:rsidRPr="00060D40">
        <w:rPr>
          <w:rFonts w:ascii="Arial" w:hAnsi="Arial" w:cs="Arial"/>
          <w:color w:val="000000"/>
          <w:sz w:val="20"/>
          <w:szCs w:val="20"/>
        </w:rPr>
        <w:t>“verba de representação” no percentual de 80%, em nenhum momento de sua vida</w:t>
      </w:r>
      <w:r>
        <w:rPr>
          <w:rFonts w:ascii="Arial" w:hAnsi="Arial" w:cs="Arial"/>
          <w:color w:val="000000"/>
          <w:sz w:val="20"/>
          <w:szCs w:val="20"/>
        </w:rPr>
        <w:t xml:space="preserve"> </w:t>
      </w:r>
      <w:r w:rsidRPr="00060D40">
        <w:rPr>
          <w:rFonts w:ascii="Arial" w:hAnsi="Arial" w:cs="Arial"/>
          <w:color w:val="000000"/>
          <w:sz w:val="20"/>
          <w:szCs w:val="20"/>
        </w:rPr>
        <w:t>funcional, esteve amparado em lei ou em alguma regulamentação específica.</w:t>
      </w:r>
    </w:p>
    <w:p w:rsidR="00C80639" w:rsidRDefault="00C80639" w:rsidP="00C80639">
      <w:pPr>
        <w:autoSpaceDE w:val="0"/>
        <w:autoSpaceDN w:val="0"/>
        <w:adjustRightInd w:val="0"/>
        <w:spacing w:after="0"/>
        <w:jc w:val="both"/>
        <w:rPr>
          <w:rFonts w:ascii="Arial" w:hAnsi="Arial" w:cs="Arial"/>
          <w:color w:val="000000"/>
          <w:sz w:val="20"/>
          <w:szCs w:val="20"/>
        </w:rPr>
      </w:pPr>
    </w:p>
    <w:p w:rsidR="00060D40" w:rsidRPr="00060D40" w:rsidRDefault="00060D40" w:rsidP="00C80639">
      <w:pPr>
        <w:autoSpaceDE w:val="0"/>
        <w:autoSpaceDN w:val="0"/>
        <w:adjustRightInd w:val="0"/>
        <w:spacing w:after="0"/>
        <w:jc w:val="both"/>
        <w:rPr>
          <w:rFonts w:ascii="Arial" w:hAnsi="Arial" w:cs="Arial"/>
          <w:color w:val="000000"/>
          <w:sz w:val="20"/>
          <w:szCs w:val="20"/>
        </w:rPr>
      </w:pPr>
      <w:r w:rsidRPr="00060D40">
        <w:rPr>
          <w:rFonts w:ascii="Arial" w:hAnsi="Arial" w:cs="Arial"/>
          <w:color w:val="000000"/>
          <w:sz w:val="20"/>
          <w:szCs w:val="20"/>
        </w:rPr>
        <w:t>No caso em análise, contudo, releva notar que a inativação da</w:t>
      </w:r>
      <w:r w:rsidR="00226DD5">
        <w:rPr>
          <w:rFonts w:ascii="Arial" w:hAnsi="Arial" w:cs="Arial"/>
          <w:color w:val="000000"/>
          <w:sz w:val="20"/>
          <w:szCs w:val="20"/>
        </w:rPr>
        <w:t xml:space="preserve"> mesma s</w:t>
      </w:r>
      <w:r w:rsidRPr="00060D40">
        <w:rPr>
          <w:rFonts w:ascii="Arial" w:hAnsi="Arial" w:cs="Arial"/>
          <w:color w:val="000000"/>
          <w:sz w:val="20"/>
          <w:szCs w:val="20"/>
        </w:rPr>
        <w:t>e</w:t>
      </w:r>
      <w:r w:rsidR="00C80639">
        <w:rPr>
          <w:rFonts w:ascii="Arial" w:hAnsi="Arial" w:cs="Arial"/>
          <w:color w:val="000000"/>
          <w:sz w:val="20"/>
          <w:szCs w:val="20"/>
        </w:rPr>
        <w:t xml:space="preserve"> dá com base no art. 40, §1º, i</w:t>
      </w:r>
      <w:r w:rsidRPr="00060D40">
        <w:rPr>
          <w:rFonts w:ascii="Arial" w:hAnsi="Arial" w:cs="Arial"/>
          <w:color w:val="000000"/>
          <w:sz w:val="20"/>
          <w:szCs w:val="20"/>
        </w:rPr>
        <w:t>nc. III, “a” da</w:t>
      </w:r>
      <w:r w:rsidR="00226DD5">
        <w:rPr>
          <w:rFonts w:ascii="Arial" w:hAnsi="Arial" w:cs="Arial"/>
          <w:color w:val="000000"/>
          <w:sz w:val="20"/>
          <w:szCs w:val="20"/>
        </w:rPr>
        <w:t xml:space="preserve"> </w:t>
      </w:r>
      <w:r w:rsidRPr="00060D40">
        <w:rPr>
          <w:rFonts w:ascii="Arial" w:hAnsi="Arial" w:cs="Arial"/>
          <w:color w:val="000000"/>
          <w:sz w:val="20"/>
          <w:szCs w:val="20"/>
        </w:rPr>
        <w:t xml:space="preserve">Constituição Federal, haja vista que, conforme apontado no parecer jurídico </w:t>
      </w:r>
      <w:r w:rsidR="00226DD5">
        <w:rPr>
          <w:rFonts w:ascii="Arial" w:hAnsi="Arial" w:cs="Arial"/>
          <w:color w:val="000000"/>
          <w:sz w:val="20"/>
          <w:szCs w:val="20"/>
        </w:rPr>
        <w:t>juntado aos autos</w:t>
      </w:r>
      <w:r w:rsidRPr="00060D40">
        <w:rPr>
          <w:rFonts w:ascii="Arial" w:hAnsi="Arial" w:cs="Arial"/>
          <w:color w:val="000000"/>
          <w:sz w:val="20"/>
          <w:szCs w:val="20"/>
        </w:rPr>
        <w:t>, “</w:t>
      </w:r>
      <w:r w:rsidRPr="00060D40">
        <w:rPr>
          <w:rFonts w:ascii="Arial" w:hAnsi="Arial" w:cs="Arial"/>
          <w:i/>
          <w:iCs/>
          <w:color w:val="000000"/>
          <w:sz w:val="20"/>
          <w:szCs w:val="20"/>
        </w:rPr>
        <w:t>a servidora não conta com 20 anos de serviço público, uma das</w:t>
      </w:r>
      <w:r w:rsidR="00226DD5">
        <w:rPr>
          <w:rFonts w:ascii="Arial" w:hAnsi="Arial" w:cs="Arial"/>
          <w:i/>
          <w:iCs/>
          <w:color w:val="000000"/>
          <w:sz w:val="20"/>
          <w:szCs w:val="20"/>
        </w:rPr>
        <w:t xml:space="preserve"> </w:t>
      </w:r>
      <w:r w:rsidRPr="00060D40">
        <w:rPr>
          <w:rFonts w:ascii="Arial" w:hAnsi="Arial" w:cs="Arial"/>
          <w:i/>
          <w:iCs/>
          <w:color w:val="000000"/>
          <w:sz w:val="20"/>
          <w:szCs w:val="20"/>
        </w:rPr>
        <w:t>exigências da norma</w:t>
      </w:r>
      <w:r w:rsidRPr="00060D40">
        <w:rPr>
          <w:rFonts w:ascii="Arial" w:hAnsi="Arial" w:cs="Arial"/>
          <w:color w:val="000000"/>
          <w:sz w:val="20"/>
          <w:szCs w:val="20"/>
        </w:rPr>
        <w:t>”, no caso, aquela prevista no art. 6º da Emenda Constitucional</w:t>
      </w:r>
      <w:r w:rsidR="00226DD5">
        <w:rPr>
          <w:rFonts w:ascii="Arial" w:hAnsi="Arial" w:cs="Arial"/>
          <w:color w:val="000000"/>
          <w:sz w:val="20"/>
          <w:szCs w:val="20"/>
        </w:rPr>
        <w:t xml:space="preserve"> </w:t>
      </w:r>
      <w:r w:rsidRPr="00060D40">
        <w:rPr>
          <w:rFonts w:ascii="Arial" w:hAnsi="Arial" w:cs="Arial"/>
          <w:color w:val="000000"/>
          <w:sz w:val="20"/>
          <w:szCs w:val="20"/>
        </w:rPr>
        <w:t>nº 41/03.</w:t>
      </w:r>
    </w:p>
    <w:p w:rsidR="00060D40" w:rsidRDefault="00060D40" w:rsidP="00C80639">
      <w:pPr>
        <w:autoSpaceDE w:val="0"/>
        <w:autoSpaceDN w:val="0"/>
        <w:adjustRightInd w:val="0"/>
        <w:spacing w:after="0"/>
        <w:jc w:val="both"/>
        <w:rPr>
          <w:rFonts w:ascii="Arial" w:hAnsi="Arial" w:cs="Arial"/>
          <w:color w:val="000000"/>
          <w:sz w:val="20"/>
          <w:szCs w:val="20"/>
        </w:rPr>
      </w:pPr>
      <w:r w:rsidRPr="00060D40">
        <w:rPr>
          <w:rFonts w:ascii="Arial" w:hAnsi="Arial" w:cs="Arial"/>
          <w:color w:val="000000"/>
          <w:sz w:val="20"/>
          <w:szCs w:val="20"/>
        </w:rPr>
        <w:t>Nessas condições, é forçoso observar a aplicação do princípio da</w:t>
      </w:r>
      <w:r w:rsidR="00226DD5">
        <w:rPr>
          <w:rFonts w:ascii="Arial" w:hAnsi="Arial" w:cs="Arial"/>
          <w:color w:val="000000"/>
          <w:sz w:val="20"/>
          <w:szCs w:val="20"/>
        </w:rPr>
        <w:t xml:space="preserve"> </w:t>
      </w:r>
      <w:proofErr w:type="spellStart"/>
      <w:r w:rsidRPr="00060D40">
        <w:rPr>
          <w:rFonts w:ascii="Arial" w:hAnsi="Arial" w:cs="Arial"/>
          <w:color w:val="000000"/>
          <w:sz w:val="20"/>
          <w:szCs w:val="20"/>
        </w:rPr>
        <w:t>contributividade</w:t>
      </w:r>
      <w:proofErr w:type="spellEnd"/>
      <w:r w:rsidRPr="00060D40">
        <w:rPr>
          <w:rFonts w:ascii="Arial" w:hAnsi="Arial" w:cs="Arial"/>
          <w:color w:val="000000"/>
          <w:sz w:val="20"/>
          <w:szCs w:val="20"/>
        </w:rPr>
        <w:t xml:space="preserve"> (art. 40, caput, da CF/88), tal como exposto no </w:t>
      </w:r>
      <w:r w:rsidR="00226DD5">
        <w:rPr>
          <w:rFonts w:ascii="Arial" w:hAnsi="Arial" w:cs="Arial"/>
          <w:color w:val="000000"/>
          <w:sz w:val="20"/>
          <w:szCs w:val="20"/>
        </w:rPr>
        <w:t xml:space="preserve">opinativo da unidade técnica, </w:t>
      </w:r>
      <w:r w:rsidRPr="00060D40">
        <w:rPr>
          <w:rFonts w:ascii="Arial" w:hAnsi="Arial" w:cs="Arial"/>
          <w:color w:val="000000"/>
          <w:sz w:val="20"/>
          <w:szCs w:val="20"/>
        </w:rPr>
        <w:t>considerando que “</w:t>
      </w:r>
      <w:r w:rsidRPr="00060D40">
        <w:rPr>
          <w:rFonts w:ascii="Arial" w:hAnsi="Arial" w:cs="Arial"/>
          <w:i/>
          <w:iCs/>
          <w:color w:val="000000"/>
          <w:sz w:val="20"/>
          <w:szCs w:val="20"/>
        </w:rPr>
        <w:t>a</w:t>
      </w:r>
      <w:r w:rsidR="00226DD5">
        <w:rPr>
          <w:rFonts w:ascii="Arial" w:hAnsi="Arial" w:cs="Arial"/>
          <w:i/>
          <w:iCs/>
          <w:color w:val="000000"/>
          <w:sz w:val="20"/>
          <w:szCs w:val="20"/>
        </w:rPr>
        <w:t xml:space="preserve"> </w:t>
      </w:r>
      <w:r w:rsidRPr="00060D40">
        <w:rPr>
          <w:rFonts w:ascii="Arial" w:hAnsi="Arial" w:cs="Arial"/>
          <w:i/>
          <w:iCs/>
          <w:color w:val="000000"/>
          <w:sz w:val="20"/>
          <w:szCs w:val="20"/>
        </w:rPr>
        <w:t>servidora contribuiu sobre o percentual de 80% (oitenta por cento) relativo a tal verba</w:t>
      </w:r>
      <w:r w:rsidR="00226DD5">
        <w:rPr>
          <w:rFonts w:ascii="Arial" w:hAnsi="Arial" w:cs="Arial"/>
          <w:i/>
          <w:iCs/>
          <w:color w:val="000000"/>
          <w:sz w:val="20"/>
          <w:szCs w:val="20"/>
        </w:rPr>
        <w:t xml:space="preserve"> </w:t>
      </w:r>
      <w:r w:rsidRPr="00060D40">
        <w:rPr>
          <w:rFonts w:ascii="Arial" w:hAnsi="Arial" w:cs="Arial"/>
          <w:i/>
          <w:iCs/>
          <w:color w:val="000000"/>
          <w:sz w:val="20"/>
          <w:szCs w:val="20"/>
        </w:rPr>
        <w:t>durante toda a sua vida laboral na Assembleia Legislativa (10 anos), de modo a criar</w:t>
      </w:r>
      <w:r w:rsidR="00226DD5">
        <w:rPr>
          <w:rFonts w:ascii="Arial" w:hAnsi="Arial" w:cs="Arial"/>
          <w:i/>
          <w:iCs/>
          <w:color w:val="000000"/>
          <w:sz w:val="20"/>
          <w:szCs w:val="20"/>
        </w:rPr>
        <w:t xml:space="preserve"> </w:t>
      </w:r>
      <w:r w:rsidRPr="00060D40">
        <w:rPr>
          <w:rFonts w:ascii="Arial" w:hAnsi="Arial" w:cs="Arial"/>
          <w:i/>
          <w:iCs/>
          <w:color w:val="000000"/>
          <w:sz w:val="20"/>
          <w:szCs w:val="20"/>
        </w:rPr>
        <w:t>justa expectativa pela sua incorporação</w:t>
      </w:r>
      <w:r w:rsidRPr="00060D40">
        <w:rPr>
          <w:rFonts w:ascii="Arial" w:hAnsi="Arial" w:cs="Arial"/>
          <w:color w:val="000000"/>
          <w:sz w:val="20"/>
          <w:szCs w:val="20"/>
        </w:rPr>
        <w:t>”.</w:t>
      </w:r>
    </w:p>
    <w:p w:rsidR="00226DD5" w:rsidRPr="00060D40" w:rsidRDefault="00226DD5" w:rsidP="00C80639">
      <w:pPr>
        <w:autoSpaceDE w:val="0"/>
        <w:autoSpaceDN w:val="0"/>
        <w:adjustRightInd w:val="0"/>
        <w:spacing w:after="0"/>
        <w:jc w:val="both"/>
        <w:rPr>
          <w:rFonts w:ascii="Arial" w:hAnsi="Arial" w:cs="Arial"/>
          <w:color w:val="000000"/>
          <w:sz w:val="20"/>
          <w:szCs w:val="20"/>
        </w:rPr>
      </w:pPr>
    </w:p>
    <w:p w:rsidR="00060D40" w:rsidRDefault="00060D40" w:rsidP="00C80639">
      <w:pPr>
        <w:autoSpaceDE w:val="0"/>
        <w:autoSpaceDN w:val="0"/>
        <w:adjustRightInd w:val="0"/>
        <w:spacing w:after="0"/>
        <w:jc w:val="both"/>
        <w:rPr>
          <w:rFonts w:ascii="Arial" w:hAnsi="Arial" w:cs="Arial"/>
          <w:color w:val="000000"/>
          <w:sz w:val="20"/>
          <w:szCs w:val="20"/>
        </w:rPr>
      </w:pPr>
      <w:r w:rsidRPr="00060D40">
        <w:rPr>
          <w:rFonts w:ascii="Arial" w:hAnsi="Arial" w:cs="Arial"/>
          <w:color w:val="000000"/>
          <w:sz w:val="20"/>
          <w:szCs w:val="20"/>
        </w:rPr>
        <w:t>Acrescente-se a esse raciocínio, que, conforme informação prestada</w:t>
      </w:r>
      <w:r w:rsidR="00226DD5">
        <w:rPr>
          <w:rFonts w:ascii="Arial" w:hAnsi="Arial" w:cs="Arial"/>
          <w:color w:val="000000"/>
          <w:sz w:val="20"/>
          <w:szCs w:val="20"/>
        </w:rPr>
        <w:t xml:space="preserve"> </w:t>
      </w:r>
      <w:r w:rsidRPr="00060D40">
        <w:rPr>
          <w:rFonts w:ascii="Arial" w:hAnsi="Arial" w:cs="Arial"/>
          <w:color w:val="000000"/>
          <w:sz w:val="20"/>
          <w:szCs w:val="20"/>
        </w:rPr>
        <w:t>pela Assembleia Legislativa, desde a admissão da servidora,</w:t>
      </w:r>
      <w:r w:rsidR="00226DD5">
        <w:rPr>
          <w:rFonts w:ascii="Arial" w:hAnsi="Arial" w:cs="Arial"/>
          <w:color w:val="000000"/>
          <w:sz w:val="20"/>
          <w:szCs w:val="20"/>
        </w:rPr>
        <w:t xml:space="preserve"> </w:t>
      </w:r>
      <w:r w:rsidRPr="00060D40">
        <w:rPr>
          <w:rFonts w:ascii="Arial" w:hAnsi="Arial" w:cs="Arial"/>
          <w:color w:val="000000"/>
          <w:sz w:val="20"/>
          <w:szCs w:val="20"/>
        </w:rPr>
        <w:t>ocorrida em 02/04/2001, ela “</w:t>
      </w:r>
      <w:r w:rsidRPr="00060D40">
        <w:rPr>
          <w:rFonts w:ascii="Arial" w:hAnsi="Arial" w:cs="Arial"/>
          <w:i/>
          <w:iCs/>
          <w:color w:val="000000"/>
          <w:sz w:val="20"/>
          <w:szCs w:val="20"/>
        </w:rPr>
        <w:t>percebe Verba de Representação correspondente a</w:t>
      </w:r>
      <w:r w:rsidR="00226DD5">
        <w:rPr>
          <w:rFonts w:ascii="Arial" w:hAnsi="Arial" w:cs="Arial"/>
          <w:i/>
          <w:iCs/>
          <w:color w:val="000000"/>
          <w:sz w:val="20"/>
          <w:szCs w:val="20"/>
        </w:rPr>
        <w:t xml:space="preserve"> </w:t>
      </w:r>
      <w:r w:rsidRPr="00060D40">
        <w:rPr>
          <w:rFonts w:ascii="Arial" w:hAnsi="Arial" w:cs="Arial"/>
          <w:i/>
          <w:iCs/>
          <w:color w:val="000000"/>
          <w:sz w:val="20"/>
          <w:szCs w:val="20"/>
        </w:rPr>
        <w:t xml:space="preserve">80% (oitenta porcento) sobre o vencimento básico, conforme fichas financeiras </w:t>
      </w:r>
      <w:r w:rsidR="00226DD5">
        <w:rPr>
          <w:rFonts w:ascii="Arial" w:hAnsi="Arial" w:cs="Arial"/>
          <w:i/>
          <w:iCs/>
          <w:color w:val="000000"/>
          <w:sz w:val="20"/>
          <w:szCs w:val="20"/>
        </w:rPr>
        <w:t>acostadas</w:t>
      </w:r>
      <w:r w:rsidRPr="00060D40">
        <w:rPr>
          <w:rFonts w:ascii="Arial" w:hAnsi="Arial" w:cs="Arial"/>
          <w:i/>
          <w:iCs/>
          <w:color w:val="000000"/>
          <w:sz w:val="20"/>
          <w:szCs w:val="20"/>
        </w:rPr>
        <w:t>, sendo tal verba de caráter contributivo</w:t>
      </w:r>
      <w:r w:rsidR="00226DD5">
        <w:rPr>
          <w:rFonts w:ascii="Arial" w:hAnsi="Arial" w:cs="Arial"/>
          <w:i/>
          <w:iCs/>
          <w:color w:val="000000"/>
          <w:sz w:val="20"/>
          <w:szCs w:val="20"/>
        </w:rPr>
        <w:t xml:space="preserve"> </w:t>
      </w:r>
      <w:r w:rsidRPr="00060D40">
        <w:rPr>
          <w:rFonts w:ascii="Arial" w:hAnsi="Arial" w:cs="Arial"/>
          <w:i/>
          <w:iCs/>
          <w:color w:val="000000"/>
          <w:sz w:val="20"/>
          <w:szCs w:val="20"/>
        </w:rPr>
        <w:t>previdenciário</w:t>
      </w:r>
      <w:r w:rsidRPr="00060D40">
        <w:rPr>
          <w:rFonts w:ascii="Arial" w:hAnsi="Arial" w:cs="Arial"/>
          <w:color w:val="000000"/>
          <w:sz w:val="20"/>
          <w:szCs w:val="20"/>
        </w:rPr>
        <w:t>”.</w:t>
      </w:r>
    </w:p>
    <w:p w:rsidR="00226DD5" w:rsidRPr="00060D40" w:rsidRDefault="00226DD5" w:rsidP="00C80639">
      <w:pPr>
        <w:autoSpaceDE w:val="0"/>
        <w:autoSpaceDN w:val="0"/>
        <w:adjustRightInd w:val="0"/>
        <w:spacing w:after="0"/>
        <w:jc w:val="both"/>
        <w:rPr>
          <w:rFonts w:ascii="Arial" w:hAnsi="Arial" w:cs="Arial"/>
          <w:color w:val="000000"/>
          <w:sz w:val="20"/>
          <w:szCs w:val="20"/>
        </w:rPr>
      </w:pPr>
    </w:p>
    <w:p w:rsidR="00060D40" w:rsidRDefault="00060D40" w:rsidP="00C80639">
      <w:pPr>
        <w:autoSpaceDE w:val="0"/>
        <w:autoSpaceDN w:val="0"/>
        <w:adjustRightInd w:val="0"/>
        <w:spacing w:after="0"/>
        <w:jc w:val="both"/>
        <w:rPr>
          <w:rFonts w:ascii="Arial" w:hAnsi="Arial" w:cs="Arial"/>
          <w:color w:val="000000"/>
          <w:sz w:val="20"/>
          <w:szCs w:val="20"/>
        </w:rPr>
      </w:pPr>
      <w:r w:rsidRPr="00060D40">
        <w:rPr>
          <w:rFonts w:ascii="Arial" w:hAnsi="Arial" w:cs="Arial"/>
          <w:color w:val="000000"/>
          <w:sz w:val="20"/>
          <w:szCs w:val="20"/>
        </w:rPr>
        <w:t>A mesma informação reprisa os atos normativos internos dessa</w:t>
      </w:r>
      <w:r w:rsidR="00226DD5">
        <w:rPr>
          <w:rFonts w:ascii="Arial" w:hAnsi="Arial" w:cs="Arial"/>
          <w:color w:val="000000"/>
          <w:sz w:val="20"/>
          <w:szCs w:val="20"/>
        </w:rPr>
        <w:t xml:space="preserve"> </w:t>
      </w:r>
      <w:r w:rsidRPr="00060D40">
        <w:rPr>
          <w:rFonts w:ascii="Arial" w:hAnsi="Arial" w:cs="Arial"/>
          <w:color w:val="000000"/>
          <w:sz w:val="20"/>
          <w:szCs w:val="20"/>
        </w:rPr>
        <w:t>entidade, já mencionados, que teriam equiparado os cargos de Taquígrafo “A” e “B”,</w:t>
      </w:r>
      <w:r w:rsidR="00226DD5">
        <w:rPr>
          <w:rFonts w:ascii="Arial" w:hAnsi="Arial" w:cs="Arial"/>
          <w:color w:val="000000"/>
          <w:sz w:val="20"/>
          <w:szCs w:val="20"/>
        </w:rPr>
        <w:t xml:space="preserve"> </w:t>
      </w:r>
      <w:r w:rsidRPr="00060D40">
        <w:rPr>
          <w:rFonts w:ascii="Arial" w:hAnsi="Arial" w:cs="Arial"/>
          <w:color w:val="000000"/>
          <w:sz w:val="20"/>
          <w:szCs w:val="20"/>
        </w:rPr>
        <w:t>mesmo sem base legal e, no caso concreto, conforme apontado, sem que a</w:t>
      </w:r>
      <w:r w:rsidR="00226DD5">
        <w:rPr>
          <w:rFonts w:ascii="Arial" w:hAnsi="Arial" w:cs="Arial"/>
          <w:color w:val="000000"/>
          <w:sz w:val="20"/>
          <w:szCs w:val="20"/>
        </w:rPr>
        <w:t xml:space="preserve"> </w:t>
      </w:r>
      <w:r w:rsidRPr="00060D40">
        <w:rPr>
          <w:rFonts w:ascii="Arial" w:hAnsi="Arial" w:cs="Arial"/>
          <w:color w:val="000000"/>
          <w:sz w:val="20"/>
          <w:szCs w:val="20"/>
        </w:rPr>
        <w:t>interessada satisfizesse a condição de qualificação para essa equiparação.</w:t>
      </w:r>
    </w:p>
    <w:p w:rsidR="00226DD5" w:rsidRPr="00060D40" w:rsidRDefault="00226DD5" w:rsidP="00C80639">
      <w:pPr>
        <w:autoSpaceDE w:val="0"/>
        <w:autoSpaceDN w:val="0"/>
        <w:adjustRightInd w:val="0"/>
        <w:spacing w:after="0"/>
        <w:jc w:val="both"/>
        <w:rPr>
          <w:rFonts w:ascii="Arial" w:hAnsi="Arial" w:cs="Arial"/>
          <w:color w:val="000000"/>
          <w:sz w:val="20"/>
          <w:szCs w:val="20"/>
        </w:rPr>
      </w:pPr>
    </w:p>
    <w:p w:rsidR="00060D40" w:rsidRDefault="00060D40" w:rsidP="00C80639">
      <w:pPr>
        <w:autoSpaceDE w:val="0"/>
        <w:autoSpaceDN w:val="0"/>
        <w:adjustRightInd w:val="0"/>
        <w:spacing w:after="0"/>
        <w:jc w:val="both"/>
        <w:rPr>
          <w:rFonts w:ascii="Arial" w:hAnsi="Arial" w:cs="Arial"/>
          <w:color w:val="000000"/>
          <w:sz w:val="20"/>
          <w:szCs w:val="20"/>
        </w:rPr>
      </w:pPr>
      <w:r w:rsidRPr="00060D40">
        <w:rPr>
          <w:rFonts w:ascii="Arial" w:hAnsi="Arial" w:cs="Arial"/>
          <w:color w:val="000000"/>
          <w:sz w:val="20"/>
          <w:szCs w:val="20"/>
        </w:rPr>
        <w:t>Dentro desse contexto, tendo a servidora, durante toda sua vida</w:t>
      </w:r>
      <w:r w:rsidR="00226DD5">
        <w:rPr>
          <w:rFonts w:ascii="Arial" w:hAnsi="Arial" w:cs="Arial"/>
          <w:color w:val="000000"/>
          <w:sz w:val="20"/>
          <w:szCs w:val="20"/>
        </w:rPr>
        <w:t xml:space="preserve"> </w:t>
      </w:r>
      <w:r w:rsidRPr="00060D40">
        <w:rPr>
          <w:rFonts w:ascii="Arial" w:hAnsi="Arial" w:cs="Arial"/>
          <w:color w:val="000000"/>
          <w:sz w:val="20"/>
          <w:szCs w:val="20"/>
        </w:rPr>
        <w:t>funcional, de mais de 10 anos, recebido a gratificação no percentual de 80%,</w:t>
      </w:r>
      <w:r w:rsidR="00226DD5">
        <w:rPr>
          <w:rFonts w:ascii="Arial" w:hAnsi="Arial" w:cs="Arial"/>
          <w:color w:val="000000"/>
          <w:sz w:val="20"/>
          <w:szCs w:val="20"/>
        </w:rPr>
        <w:t xml:space="preserve"> </w:t>
      </w:r>
      <w:r w:rsidRPr="00060D40">
        <w:rPr>
          <w:rFonts w:ascii="Arial" w:hAnsi="Arial" w:cs="Arial"/>
          <w:color w:val="000000"/>
          <w:sz w:val="20"/>
          <w:szCs w:val="20"/>
        </w:rPr>
        <w:t>decorrente de equívoco administrativo para o qual não deu causa e, principalmente,</w:t>
      </w:r>
      <w:r w:rsidR="00226DD5">
        <w:rPr>
          <w:rFonts w:ascii="Arial" w:hAnsi="Arial" w:cs="Arial"/>
          <w:color w:val="000000"/>
          <w:sz w:val="20"/>
          <w:szCs w:val="20"/>
        </w:rPr>
        <w:t xml:space="preserve"> </w:t>
      </w:r>
      <w:r w:rsidRPr="00060D40">
        <w:rPr>
          <w:rFonts w:ascii="Arial" w:hAnsi="Arial" w:cs="Arial"/>
          <w:color w:val="000000"/>
          <w:sz w:val="20"/>
          <w:szCs w:val="20"/>
        </w:rPr>
        <w:t>pelo fato de os proventos de sua aposentadoria terem sido calculados com base na</w:t>
      </w:r>
      <w:r w:rsidR="00226DD5">
        <w:rPr>
          <w:rFonts w:ascii="Arial" w:hAnsi="Arial" w:cs="Arial"/>
          <w:color w:val="000000"/>
          <w:sz w:val="20"/>
          <w:szCs w:val="20"/>
        </w:rPr>
        <w:t xml:space="preserve"> </w:t>
      </w:r>
      <w:r w:rsidRPr="00060D40">
        <w:rPr>
          <w:rFonts w:ascii="Arial" w:hAnsi="Arial" w:cs="Arial"/>
          <w:color w:val="000000"/>
          <w:sz w:val="20"/>
          <w:szCs w:val="20"/>
        </w:rPr>
        <w:t>média das contribuições, com base no art. 40, §1º, inc. III, “a” da Constituição</w:t>
      </w:r>
      <w:r w:rsidR="00226DD5">
        <w:rPr>
          <w:rFonts w:ascii="Arial" w:hAnsi="Arial" w:cs="Arial"/>
          <w:color w:val="000000"/>
          <w:sz w:val="20"/>
          <w:szCs w:val="20"/>
        </w:rPr>
        <w:t xml:space="preserve"> </w:t>
      </w:r>
      <w:r w:rsidRPr="00060D40">
        <w:rPr>
          <w:rFonts w:ascii="Arial" w:hAnsi="Arial" w:cs="Arial"/>
          <w:color w:val="000000"/>
          <w:sz w:val="20"/>
          <w:szCs w:val="20"/>
        </w:rPr>
        <w:t>Federal, pode ser concedido registro ao respectivo ato.</w:t>
      </w:r>
    </w:p>
    <w:p w:rsidR="00226DD5" w:rsidRDefault="00226DD5" w:rsidP="00C80639">
      <w:pPr>
        <w:autoSpaceDE w:val="0"/>
        <w:autoSpaceDN w:val="0"/>
        <w:adjustRightInd w:val="0"/>
        <w:spacing w:after="0"/>
        <w:jc w:val="both"/>
        <w:rPr>
          <w:rFonts w:ascii="Arial" w:hAnsi="Arial" w:cs="Arial"/>
          <w:sz w:val="20"/>
          <w:szCs w:val="20"/>
        </w:rPr>
      </w:pPr>
    </w:p>
    <w:p w:rsidR="00226DD5" w:rsidRPr="00060D40" w:rsidRDefault="00226DD5" w:rsidP="00C80639">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312122/12 - </w:t>
      </w:r>
      <w:hyperlink r:id="rId9" w:history="1">
        <w:r w:rsidRPr="00226DD5">
          <w:rPr>
            <w:rStyle w:val="Hyperlink"/>
            <w:rFonts w:ascii="Arial" w:hAnsi="Arial" w:cs="Arial"/>
            <w:sz w:val="20"/>
            <w:szCs w:val="20"/>
          </w:rPr>
          <w:t>Acórdão n° 2046</w:t>
        </w:r>
        <w:r w:rsidR="00356508">
          <w:rPr>
            <w:rStyle w:val="Hyperlink"/>
            <w:rFonts w:ascii="Arial" w:hAnsi="Arial" w:cs="Arial"/>
            <w:sz w:val="20"/>
            <w:szCs w:val="20"/>
          </w:rPr>
          <w:t>/18</w:t>
        </w:r>
        <w:r w:rsidRPr="00226DD5">
          <w:rPr>
            <w:rStyle w:val="Hyperlink"/>
            <w:rFonts w:ascii="Arial" w:hAnsi="Arial" w:cs="Arial"/>
            <w:sz w:val="20"/>
            <w:szCs w:val="20"/>
          </w:rPr>
          <w:t xml:space="preserve"> - Segunda Câmara</w:t>
        </w:r>
      </w:hyperlink>
      <w:r>
        <w:rPr>
          <w:rFonts w:ascii="Arial" w:hAnsi="Arial" w:cs="Arial"/>
          <w:sz w:val="20"/>
          <w:szCs w:val="20"/>
        </w:rPr>
        <w:t xml:space="preserve"> - Rel. Conselheiro Ivens Zschoerper Linhares.  </w:t>
      </w:r>
    </w:p>
    <w:p w:rsidR="00060D40" w:rsidRDefault="00060D40" w:rsidP="00C80639">
      <w:pPr>
        <w:autoSpaceDE w:val="0"/>
        <w:autoSpaceDN w:val="0"/>
        <w:adjustRightInd w:val="0"/>
        <w:spacing w:after="0"/>
        <w:jc w:val="both"/>
        <w:rPr>
          <w:rFonts w:ascii="Arial" w:hAnsi="Arial" w:cs="Arial"/>
          <w:sz w:val="20"/>
          <w:szCs w:val="20"/>
        </w:rPr>
      </w:pPr>
    </w:p>
    <w:p w:rsidR="001A322E" w:rsidRPr="001A322E" w:rsidRDefault="00C80639" w:rsidP="00C80639">
      <w:pPr>
        <w:autoSpaceDE w:val="0"/>
        <w:autoSpaceDN w:val="0"/>
        <w:adjustRightInd w:val="0"/>
        <w:spacing w:after="0"/>
        <w:jc w:val="both"/>
        <w:rPr>
          <w:rFonts w:ascii="Arial" w:hAnsi="Arial" w:cs="Arial"/>
          <w:b/>
          <w:sz w:val="20"/>
          <w:szCs w:val="20"/>
        </w:rPr>
      </w:pPr>
      <w:r>
        <w:rPr>
          <w:rFonts w:ascii="Arial" w:hAnsi="Arial" w:cs="Arial"/>
          <w:b/>
          <w:sz w:val="20"/>
          <w:szCs w:val="20"/>
        </w:rPr>
        <w:t xml:space="preserve">3. </w:t>
      </w:r>
      <w:r w:rsidR="001A322E" w:rsidRPr="001A322E">
        <w:rPr>
          <w:rFonts w:ascii="Arial" w:hAnsi="Arial" w:cs="Arial"/>
          <w:b/>
          <w:sz w:val="20"/>
          <w:szCs w:val="20"/>
        </w:rPr>
        <w:t>Prestação de Contas de transferência voluntária. Falhas formais. Ausência de efetiva comprovação da aplicação de recursos em débitos previdenciários. Regular cumprimento dos objetivos. Ausência de indícios de desvio de recursos. Ressalva.</w:t>
      </w:r>
    </w:p>
    <w:p w:rsidR="00060D40" w:rsidRDefault="00060D40" w:rsidP="00C80639">
      <w:pPr>
        <w:autoSpaceDE w:val="0"/>
        <w:autoSpaceDN w:val="0"/>
        <w:adjustRightInd w:val="0"/>
        <w:spacing w:after="0"/>
        <w:jc w:val="both"/>
        <w:rPr>
          <w:rFonts w:ascii="Arial" w:hAnsi="Arial" w:cs="Arial"/>
          <w:sz w:val="20"/>
          <w:szCs w:val="20"/>
        </w:rPr>
      </w:pPr>
    </w:p>
    <w:p w:rsidR="001A322E" w:rsidRDefault="005238BE" w:rsidP="00C80639">
      <w:pPr>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rPr>
        <w:t>E</w:t>
      </w:r>
      <w:r w:rsidR="001A322E" w:rsidRPr="001A322E">
        <w:rPr>
          <w:rFonts w:ascii="Arial" w:hAnsi="Arial" w:cs="Arial"/>
          <w:color w:val="000000"/>
          <w:sz w:val="20"/>
          <w:szCs w:val="20"/>
        </w:rPr>
        <w:t>videncia-se</w:t>
      </w:r>
      <w:r>
        <w:rPr>
          <w:rFonts w:ascii="Arial" w:hAnsi="Arial" w:cs="Arial"/>
          <w:color w:val="000000"/>
          <w:sz w:val="20"/>
          <w:szCs w:val="20"/>
        </w:rPr>
        <w:t xml:space="preserve"> </w:t>
      </w:r>
      <w:r w:rsidR="001A322E" w:rsidRPr="001A322E">
        <w:rPr>
          <w:rFonts w:ascii="Arial" w:hAnsi="Arial" w:cs="Arial"/>
          <w:color w:val="000000"/>
          <w:sz w:val="20"/>
          <w:szCs w:val="20"/>
        </w:rPr>
        <w:t>que a falha possui maior relação com a</w:t>
      </w:r>
      <w:r>
        <w:rPr>
          <w:rFonts w:ascii="Arial" w:hAnsi="Arial" w:cs="Arial"/>
          <w:color w:val="000000"/>
          <w:sz w:val="20"/>
          <w:szCs w:val="20"/>
        </w:rPr>
        <w:t xml:space="preserve"> </w:t>
      </w:r>
      <w:r w:rsidR="001A322E" w:rsidRPr="001A322E">
        <w:rPr>
          <w:rFonts w:ascii="Arial" w:hAnsi="Arial" w:cs="Arial"/>
          <w:color w:val="000000"/>
          <w:sz w:val="20"/>
          <w:szCs w:val="20"/>
        </w:rPr>
        <w:t>utilização de conta corrente diversa daquela específica do convênio, aliada a</w:t>
      </w:r>
      <w:r>
        <w:rPr>
          <w:rFonts w:ascii="Arial" w:hAnsi="Arial" w:cs="Arial"/>
          <w:color w:val="000000"/>
          <w:sz w:val="20"/>
          <w:szCs w:val="20"/>
        </w:rPr>
        <w:t xml:space="preserve"> </w:t>
      </w:r>
      <w:r w:rsidR="001A322E" w:rsidRPr="001A322E">
        <w:rPr>
          <w:rFonts w:ascii="Arial" w:hAnsi="Arial" w:cs="Arial"/>
          <w:color w:val="000000"/>
          <w:sz w:val="20"/>
          <w:szCs w:val="20"/>
        </w:rPr>
        <w:t>dificuldades técnicas apresentadas pela entidade, com o pagamento de débitos</w:t>
      </w:r>
      <w:r>
        <w:rPr>
          <w:rFonts w:ascii="Arial" w:hAnsi="Arial" w:cs="Arial"/>
          <w:color w:val="000000"/>
          <w:sz w:val="20"/>
          <w:szCs w:val="20"/>
        </w:rPr>
        <w:t xml:space="preserve"> </w:t>
      </w:r>
      <w:r w:rsidR="001A322E" w:rsidRPr="001A322E">
        <w:rPr>
          <w:rFonts w:ascii="Arial" w:hAnsi="Arial" w:cs="Arial"/>
          <w:color w:val="000000"/>
          <w:sz w:val="20"/>
          <w:szCs w:val="20"/>
        </w:rPr>
        <w:t>previdenciários e a complementação de recursos por parte do Município, e,</w:t>
      </w:r>
      <w:r>
        <w:rPr>
          <w:rFonts w:ascii="Arial" w:hAnsi="Arial" w:cs="Arial"/>
          <w:color w:val="000000"/>
          <w:sz w:val="20"/>
          <w:szCs w:val="20"/>
        </w:rPr>
        <w:t xml:space="preserve"> </w:t>
      </w:r>
      <w:r w:rsidR="001A322E" w:rsidRPr="001A322E">
        <w:rPr>
          <w:rFonts w:ascii="Arial" w:hAnsi="Arial" w:cs="Arial"/>
          <w:color w:val="000000"/>
          <w:sz w:val="20"/>
          <w:szCs w:val="20"/>
        </w:rPr>
        <w:t>principalmente, dificuldades técnicas na comprovação das despesas, fato que se</w:t>
      </w:r>
      <w:r>
        <w:rPr>
          <w:rFonts w:ascii="Arial" w:hAnsi="Arial" w:cs="Arial"/>
          <w:color w:val="000000"/>
          <w:sz w:val="20"/>
          <w:szCs w:val="20"/>
        </w:rPr>
        <w:t xml:space="preserve"> </w:t>
      </w:r>
      <w:r w:rsidR="001A322E" w:rsidRPr="001A322E">
        <w:rPr>
          <w:rFonts w:ascii="Arial" w:hAnsi="Arial" w:cs="Arial"/>
          <w:color w:val="000000"/>
          <w:sz w:val="20"/>
          <w:szCs w:val="20"/>
        </w:rPr>
        <w:t>evidencia pela apresentação de esclarecimentos e de documentos apenas pelo</w:t>
      </w:r>
      <w:r>
        <w:rPr>
          <w:rFonts w:ascii="Arial" w:hAnsi="Arial" w:cs="Arial"/>
          <w:color w:val="000000"/>
          <w:sz w:val="20"/>
          <w:szCs w:val="20"/>
        </w:rPr>
        <w:t xml:space="preserve"> </w:t>
      </w:r>
      <w:r w:rsidR="001A322E" w:rsidRPr="001A322E">
        <w:rPr>
          <w:rFonts w:ascii="Arial" w:hAnsi="Arial" w:cs="Arial"/>
          <w:color w:val="000000"/>
          <w:sz w:val="20"/>
          <w:szCs w:val="20"/>
        </w:rPr>
        <w:t>Município</w:t>
      </w:r>
      <w:r>
        <w:rPr>
          <w:rFonts w:ascii="Arial" w:hAnsi="Arial" w:cs="Arial"/>
          <w:color w:val="000000"/>
          <w:sz w:val="20"/>
          <w:szCs w:val="20"/>
        </w:rPr>
        <w:t>.</w:t>
      </w:r>
    </w:p>
    <w:p w:rsidR="005238BE" w:rsidRPr="001A322E" w:rsidRDefault="005238BE" w:rsidP="00C80639">
      <w:pPr>
        <w:autoSpaceDE w:val="0"/>
        <w:autoSpaceDN w:val="0"/>
        <w:adjustRightInd w:val="0"/>
        <w:spacing w:after="0"/>
        <w:jc w:val="both"/>
        <w:rPr>
          <w:rFonts w:ascii="Arial" w:hAnsi="Arial" w:cs="Arial"/>
          <w:color w:val="000000"/>
          <w:sz w:val="20"/>
          <w:szCs w:val="20"/>
        </w:rPr>
      </w:pPr>
    </w:p>
    <w:p w:rsidR="001A322E" w:rsidRDefault="001A322E" w:rsidP="00C80639">
      <w:pPr>
        <w:autoSpaceDE w:val="0"/>
        <w:autoSpaceDN w:val="0"/>
        <w:adjustRightInd w:val="0"/>
        <w:spacing w:after="0"/>
        <w:jc w:val="both"/>
        <w:rPr>
          <w:rFonts w:ascii="Arial" w:hAnsi="Arial" w:cs="Arial"/>
          <w:color w:val="000000"/>
          <w:sz w:val="20"/>
          <w:szCs w:val="20"/>
        </w:rPr>
      </w:pPr>
      <w:r w:rsidRPr="001A322E">
        <w:rPr>
          <w:rFonts w:ascii="Arial" w:hAnsi="Arial" w:cs="Arial"/>
          <w:color w:val="000000"/>
          <w:sz w:val="20"/>
          <w:szCs w:val="20"/>
        </w:rPr>
        <w:t>Portanto, em face das circunstâncias ora consideradas, ressaltando</w:t>
      </w:r>
      <w:r w:rsidR="005238BE">
        <w:rPr>
          <w:rFonts w:ascii="Arial" w:hAnsi="Arial" w:cs="Arial"/>
          <w:color w:val="000000"/>
          <w:sz w:val="20"/>
          <w:szCs w:val="20"/>
        </w:rPr>
        <w:t xml:space="preserve"> </w:t>
      </w:r>
      <w:r w:rsidRPr="001A322E">
        <w:rPr>
          <w:rFonts w:ascii="Arial" w:hAnsi="Arial" w:cs="Arial"/>
          <w:color w:val="000000"/>
          <w:sz w:val="20"/>
          <w:szCs w:val="20"/>
        </w:rPr>
        <w:t>a pequena materialidade do valor impugnado, a previsão no Plano de Aplicação, a</w:t>
      </w:r>
      <w:r w:rsidR="005238BE">
        <w:rPr>
          <w:rFonts w:ascii="Arial" w:hAnsi="Arial" w:cs="Arial"/>
          <w:color w:val="000000"/>
          <w:sz w:val="20"/>
          <w:szCs w:val="20"/>
        </w:rPr>
        <w:t xml:space="preserve"> </w:t>
      </w:r>
      <w:r w:rsidRPr="001A322E">
        <w:rPr>
          <w:rFonts w:ascii="Arial" w:hAnsi="Arial" w:cs="Arial"/>
          <w:color w:val="000000"/>
          <w:sz w:val="20"/>
          <w:szCs w:val="20"/>
        </w:rPr>
        <w:t>ausência de prejuízo à execução do objeto e a ausência de prejuízo ao erário,</w:t>
      </w:r>
      <w:r w:rsidR="005238BE">
        <w:rPr>
          <w:rFonts w:ascii="Arial" w:hAnsi="Arial" w:cs="Arial"/>
          <w:color w:val="000000"/>
          <w:sz w:val="20"/>
          <w:szCs w:val="20"/>
        </w:rPr>
        <w:t xml:space="preserve"> </w:t>
      </w:r>
      <w:r w:rsidRPr="001A322E">
        <w:rPr>
          <w:rFonts w:ascii="Arial" w:hAnsi="Arial" w:cs="Arial"/>
          <w:color w:val="000000"/>
          <w:sz w:val="20"/>
          <w:szCs w:val="20"/>
        </w:rPr>
        <w:t>entendo possível converter a presente falha em causa de ressalva das contas.</w:t>
      </w:r>
    </w:p>
    <w:p w:rsidR="005238BE" w:rsidRPr="001A322E" w:rsidRDefault="005238BE" w:rsidP="00C80639">
      <w:pPr>
        <w:autoSpaceDE w:val="0"/>
        <w:autoSpaceDN w:val="0"/>
        <w:adjustRightInd w:val="0"/>
        <w:spacing w:after="0"/>
        <w:jc w:val="both"/>
        <w:rPr>
          <w:rFonts w:ascii="Arial" w:hAnsi="Arial" w:cs="Arial"/>
          <w:color w:val="000000"/>
          <w:sz w:val="20"/>
          <w:szCs w:val="20"/>
        </w:rPr>
      </w:pPr>
    </w:p>
    <w:p w:rsidR="001A322E" w:rsidRDefault="001A322E" w:rsidP="00C80639">
      <w:pPr>
        <w:autoSpaceDE w:val="0"/>
        <w:autoSpaceDN w:val="0"/>
        <w:adjustRightInd w:val="0"/>
        <w:spacing w:after="0"/>
        <w:jc w:val="both"/>
        <w:rPr>
          <w:rFonts w:ascii="Arial" w:hAnsi="Arial" w:cs="Arial"/>
          <w:color w:val="000000"/>
          <w:sz w:val="20"/>
          <w:szCs w:val="20"/>
        </w:rPr>
      </w:pPr>
      <w:r w:rsidRPr="001A322E">
        <w:rPr>
          <w:rFonts w:ascii="Arial" w:hAnsi="Arial" w:cs="Arial"/>
          <w:color w:val="000000"/>
          <w:sz w:val="20"/>
          <w:szCs w:val="20"/>
        </w:rPr>
        <w:t>Ressalt</w:t>
      </w:r>
      <w:r w:rsidR="005238BE">
        <w:rPr>
          <w:rFonts w:ascii="Arial" w:hAnsi="Arial" w:cs="Arial"/>
          <w:color w:val="000000"/>
          <w:sz w:val="20"/>
          <w:szCs w:val="20"/>
        </w:rPr>
        <w:t xml:space="preserve">a-se </w:t>
      </w:r>
      <w:r w:rsidRPr="001A322E">
        <w:rPr>
          <w:rFonts w:ascii="Arial" w:hAnsi="Arial" w:cs="Arial"/>
          <w:color w:val="000000"/>
          <w:sz w:val="20"/>
          <w:szCs w:val="20"/>
        </w:rPr>
        <w:t>que este Tribunal, em face de falhas similares, tem</w:t>
      </w:r>
      <w:r w:rsidR="005238BE">
        <w:rPr>
          <w:rFonts w:ascii="Arial" w:hAnsi="Arial" w:cs="Arial"/>
          <w:color w:val="000000"/>
          <w:sz w:val="20"/>
          <w:szCs w:val="20"/>
        </w:rPr>
        <w:t xml:space="preserve"> </w:t>
      </w:r>
      <w:r w:rsidRPr="001A322E">
        <w:rPr>
          <w:rFonts w:ascii="Arial" w:hAnsi="Arial" w:cs="Arial"/>
          <w:color w:val="000000"/>
          <w:sz w:val="20"/>
          <w:szCs w:val="20"/>
        </w:rPr>
        <w:t>apresentado seu entendimento pela ressalva das contas, sobretudo, diante de</w:t>
      </w:r>
      <w:r w:rsidR="005238BE">
        <w:rPr>
          <w:rFonts w:ascii="Arial" w:hAnsi="Arial" w:cs="Arial"/>
          <w:color w:val="000000"/>
          <w:sz w:val="20"/>
          <w:szCs w:val="20"/>
        </w:rPr>
        <w:t xml:space="preserve"> </w:t>
      </w:r>
      <w:r w:rsidRPr="001A322E">
        <w:rPr>
          <w:rFonts w:ascii="Arial" w:hAnsi="Arial" w:cs="Arial"/>
          <w:color w:val="000000"/>
          <w:sz w:val="20"/>
          <w:szCs w:val="20"/>
        </w:rPr>
        <w:t>entidades que prestam serviços sociais de caráter relevante, de forma continuada, e,</w:t>
      </w:r>
      <w:r w:rsidR="005238BE">
        <w:rPr>
          <w:rFonts w:ascii="Arial" w:hAnsi="Arial" w:cs="Arial"/>
          <w:color w:val="000000"/>
          <w:sz w:val="20"/>
          <w:szCs w:val="20"/>
        </w:rPr>
        <w:t xml:space="preserve"> </w:t>
      </w:r>
      <w:r w:rsidRPr="001A322E">
        <w:rPr>
          <w:rFonts w:ascii="Arial" w:hAnsi="Arial" w:cs="Arial"/>
          <w:color w:val="000000"/>
          <w:sz w:val="20"/>
          <w:szCs w:val="20"/>
        </w:rPr>
        <w:t>de modo ordinário, apresentam fragilidades técnicas, como no caso de Associações</w:t>
      </w:r>
      <w:r w:rsidR="005238BE">
        <w:rPr>
          <w:rFonts w:ascii="Arial" w:hAnsi="Arial" w:cs="Arial"/>
          <w:color w:val="000000"/>
          <w:sz w:val="20"/>
          <w:szCs w:val="20"/>
        </w:rPr>
        <w:t xml:space="preserve"> </w:t>
      </w:r>
      <w:r w:rsidRPr="001A322E">
        <w:rPr>
          <w:rFonts w:ascii="Arial" w:hAnsi="Arial" w:cs="Arial"/>
          <w:color w:val="000000"/>
          <w:sz w:val="20"/>
          <w:szCs w:val="20"/>
        </w:rPr>
        <w:t>de Pais e Amigos dos Excepcionais.</w:t>
      </w:r>
    </w:p>
    <w:p w:rsidR="00C80639" w:rsidRDefault="00C80639" w:rsidP="00C80639">
      <w:pPr>
        <w:autoSpaceDE w:val="0"/>
        <w:autoSpaceDN w:val="0"/>
        <w:adjustRightInd w:val="0"/>
        <w:spacing w:after="0"/>
        <w:jc w:val="both"/>
        <w:rPr>
          <w:rFonts w:ascii="Arial" w:hAnsi="Arial" w:cs="Arial"/>
          <w:color w:val="000000"/>
          <w:sz w:val="20"/>
          <w:szCs w:val="20"/>
        </w:rPr>
      </w:pPr>
    </w:p>
    <w:p w:rsidR="005238BE" w:rsidRDefault="005238BE" w:rsidP="00C80639">
      <w:pPr>
        <w:autoSpaceDE w:val="0"/>
        <w:autoSpaceDN w:val="0"/>
        <w:adjustRightInd w:val="0"/>
        <w:spacing w:after="0"/>
        <w:jc w:val="both"/>
        <w:rPr>
          <w:rFonts w:ascii="Arial" w:hAnsi="Arial" w:cs="Arial"/>
          <w:sz w:val="20"/>
          <w:szCs w:val="20"/>
        </w:rPr>
      </w:pPr>
      <w:r>
        <w:rPr>
          <w:rFonts w:ascii="Arial" w:hAnsi="Arial" w:cs="Arial"/>
          <w:color w:val="000000"/>
          <w:sz w:val="20"/>
          <w:szCs w:val="20"/>
        </w:rPr>
        <w:t xml:space="preserve">Processo n° 59449/14 - </w:t>
      </w:r>
      <w:hyperlink r:id="rId10" w:history="1">
        <w:r w:rsidRPr="005238BE">
          <w:rPr>
            <w:rStyle w:val="Hyperlink"/>
            <w:rFonts w:ascii="Arial" w:hAnsi="Arial" w:cs="Arial"/>
            <w:sz w:val="20"/>
            <w:szCs w:val="20"/>
          </w:rPr>
          <w:t>Acórdão n° 2045/18 - Segunda Câmara</w:t>
        </w:r>
      </w:hyperlink>
      <w:r>
        <w:rPr>
          <w:rFonts w:ascii="Arial" w:hAnsi="Arial" w:cs="Arial"/>
          <w:color w:val="000000"/>
          <w:sz w:val="20"/>
          <w:szCs w:val="20"/>
        </w:rPr>
        <w:t xml:space="preserve"> - </w:t>
      </w:r>
      <w:r>
        <w:rPr>
          <w:rFonts w:ascii="Arial" w:hAnsi="Arial" w:cs="Arial"/>
          <w:sz w:val="20"/>
          <w:szCs w:val="20"/>
        </w:rPr>
        <w:t xml:space="preserve">Rel. Conselheiro Ivens Zschoerper Linhares.  </w:t>
      </w:r>
    </w:p>
    <w:p w:rsidR="00DB5F0A" w:rsidRDefault="00DB5F0A" w:rsidP="00C80639">
      <w:pPr>
        <w:autoSpaceDE w:val="0"/>
        <w:autoSpaceDN w:val="0"/>
        <w:adjustRightInd w:val="0"/>
        <w:spacing w:after="0"/>
        <w:jc w:val="both"/>
        <w:rPr>
          <w:rFonts w:ascii="Arial" w:hAnsi="Arial" w:cs="Arial"/>
          <w:sz w:val="20"/>
          <w:szCs w:val="20"/>
        </w:rPr>
      </w:pPr>
    </w:p>
    <w:p w:rsidR="00DB5F0A" w:rsidRPr="00914CB4" w:rsidRDefault="00C80639" w:rsidP="00C80639">
      <w:pPr>
        <w:spacing w:after="0"/>
        <w:jc w:val="both"/>
        <w:rPr>
          <w:rStyle w:val="Hyperlink"/>
          <w:rFonts w:ascii="Arial" w:hAnsi="Arial" w:cs="Arial"/>
          <w:b/>
          <w:color w:val="FF0000"/>
          <w:sz w:val="20"/>
          <w:szCs w:val="20"/>
          <w:u w:val="none"/>
        </w:rPr>
      </w:pPr>
      <w:r>
        <w:rPr>
          <w:rStyle w:val="Hyperlink"/>
          <w:rFonts w:ascii="Arial" w:hAnsi="Arial" w:cs="Arial"/>
          <w:b/>
          <w:color w:val="000000" w:themeColor="text1"/>
          <w:sz w:val="20"/>
          <w:szCs w:val="20"/>
          <w:u w:val="none"/>
        </w:rPr>
        <w:t xml:space="preserve">4. </w:t>
      </w:r>
      <w:r w:rsidR="00DB5F0A" w:rsidRPr="00914CB4">
        <w:rPr>
          <w:rStyle w:val="Hyperlink"/>
          <w:rFonts w:ascii="Arial" w:hAnsi="Arial" w:cs="Arial"/>
          <w:b/>
          <w:color w:val="000000" w:themeColor="text1"/>
          <w:sz w:val="20"/>
          <w:szCs w:val="20"/>
          <w:u w:val="none"/>
        </w:rPr>
        <w:t xml:space="preserve">Admissão de pessoal. Concurso Público. Câmara Municipal. Exercício de cargos não cumuláveis. Vedação. Negativa de registro.  </w:t>
      </w:r>
    </w:p>
    <w:p w:rsidR="00C80639" w:rsidRDefault="00C80639" w:rsidP="00C80639">
      <w:pPr>
        <w:spacing w:after="0"/>
        <w:jc w:val="both"/>
        <w:rPr>
          <w:rStyle w:val="Hyperlink"/>
          <w:rFonts w:ascii="Arial" w:hAnsi="Arial" w:cs="Arial"/>
          <w:color w:val="000000" w:themeColor="text1"/>
          <w:sz w:val="20"/>
          <w:szCs w:val="20"/>
          <w:u w:val="none"/>
        </w:rPr>
      </w:pPr>
    </w:p>
    <w:p w:rsidR="00DB5F0A" w:rsidRDefault="00DB5F0A" w:rsidP="00C80639">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Em processo de admissão de pessoal realizado por Câmara Municipal, verificou-se que um dos candidatos aprovados exercia simultaneamente os cargos de contador e assessor contábil. Tais cargos, como não se relacionam às hipóteses de cumulação previstas no art. 37, inciso XVI, da Constituição Federal, ensejaram a negativa de registro do ato de ingresso do candidato. </w:t>
      </w:r>
    </w:p>
    <w:p w:rsidR="00C80639" w:rsidRDefault="00C80639" w:rsidP="00C80639">
      <w:pPr>
        <w:spacing w:after="0"/>
        <w:jc w:val="both"/>
        <w:rPr>
          <w:rStyle w:val="Hyperlink"/>
          <w:rFonts w:ascii="Arial" w:hAnsi="Arial" w:cs="Arial"/>
          <w:color w:val="000000" w:themeColor="text1"/>
          <w:sz w:val="20"/>
          <w:szCs w:val="20"/>
          <w:u w:val="none"/>
        </w:rPr>
      </w:pPr>
    </w:p>
    <w:p w:rsidR="00DB5F0A" w:rsidRDefault="00DB5F0A" w:rsidP="00C80639">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Processo nº 30640/12 – </w:t>
      </w:r>
      <w:hyperlink r:id="rId11" w:history="1">
        <w:r w:rsidRPr="00EE5F49">
          <w:rPr>
            <w:rStyle w:val="Hyperlink"/>
            <w:rFonts w:ascii="Arial" w:hAnsi="Arial" w:cs="Arial"/>
            <w:sz w:val="20"/>
            <w:szCs w:val="20"/>
          </w:rPr>
          <w:t>Acórdão nº 1971/18-</w:t>
        </w:r>
        <w:r w:rsidR="009C660A">
          <w:rPr>
            <w:rStyle w:val="Hyperlink"/>
            <w:rFonts w:ascii="Arial" w:hAnsi="Arial" w:cs="Arial"/>
            <w:sz w:val="20"/>
            <w:szCs w:val="20"/>
          </w:rPr>
          <w:t xml:space="preserve"> Segunda</w:t>
        </w:r>
        <w:r w:rsidRPr="00EE5F49">
          <w:rPr>
            <w:rStyle w:val="Hyperlink"/>
            <w:rFonts w:ascii="Arial" w:hAnsi="Arial" w:cs="Arial"/>
            <w:sz w:val="20"/>
            <w:szCs w:val="20"/>
          </w:rPr>
          <w:t xml:space="preserve"> Câmara</w:t>
        </w:r>
      </w:hyperlink>
      <w:r>
        <w:rPr>
          <w:rStyle w:val="Hyperlink"/>
          <w:rFonts w:ascii="Arial" w:hAnsi="Arial" w:cs="Arial"/>
          <w:color w:val="000000" w:themeColor="text1"/>
          <w:sz w:val="20"/>
          <w:szCs w:val="20"/>
          <w:u w:val="none"/>
        </w:rPr>
        <w:t xml:space="preserve"> – Relator Auditor Claudio Augusto </w:t>
      </w:r>
      <w:proofErr w:type="spellStart"/>
      <w:r>
        <w:rPr>
          <w:rStyle w:val="Hyperlink"/>
          <w:rFonts w:ascii="Arial" w:hAnsi="Arial" w:cs="Arial"/>
          <w:color w:val="000000" w:themeColor="text1"/>
          <w:sz w:val="20"/>
          <w:szCs w:val="20"/>
          <w:u w:val="none"/>
        </w:rPr>
        <w:t>Kania</w:t>
      </w:r>
      <w:proofErr w:type="spellEnd"/>
      <w:r>
        <w:rPr>
          <w:rStyle w:val="Hyperlink"/>
          <w:rFonts w:ascii="Arial" w:hAnsi="Arial" w:cs="Arial"/>
          <w:color w:val="000000" w:themeColor="text1"/>
          <w:sz w:val="20"/>
          <w:szCs w:val="20"/>
          <w:u w:val="none"/>
        </w:rPr>
        <w:t xml:space="preserve">. </w:t>
      </w:r>
    </w:p>
    <w:p w:rsidR="00DB5F0A" w:rsidRDefault="00DB5F0A" w:rsidP="00C80639">
      <w:pPr>
        <w:autoSpaceDE w:val="0"/>
        <w:autoSpaceDN w:val="0"/>
        <w:adjustRightInd w:val="0"/>
        <w:spacing w:after="0"/>
        <w:jc w:val="both"/>
        <w:rPr>
          <w:rFonts w:ascii="Arial" w:hAnsi="Arial" w:cs="Arial"/>
          <w:sz w:val="20"/>
          <w:szCs w:val="20"/>
        </w:rPr>
      </w:pPr>
    </w:p>
    <w:p w:rsidR="00AE4F42" w:rsidRPr="0022060B" w:rsidRDefault="00AE4F42" w:rsidP="00C80639">
      <w:pPr>
        <w:shd w:val="pct10" w:color="auto" w:fill="auto"/>
        <w:spacing w:after="0"/>
        <w:jc w:val="center"/>
        <w:rPr>
          <w:rFonts w:ascii="Arial" w:hAnsi="Arial" w:cs="Arial"/>
          <w:b/>
          <w:sz w:val="20"/>
          <w:szCs w:val="20"/>
        </w:rPr>
      </w:pPr>
      <w:r w:rsidRPr="0022060B">
        <w:rPr>
          <w:rFonts w:ascii="Arial" w:hAnsi="Arial" w:cs="Arial"/>
          <w:b/>
          <w:sz w:val="20"/>
          <w:szCs w:val="20"/>
        </w:rPr>
        <w:lastRenderedPageBreak/>
        <w:t>TRIBUNAL PLENO</w:t>
      </w:r>
    </w:p>
    <w:p w:rsidR="00FC3744" w:rsidRDefault="00FC3744" w:rsidP="00C80639">
      <w:pPr>
        <w:spacing w:after="0"/>
        <w:jc w:val="both"/>
        <w:rPr>
          <w:rStyle w:val="Hyperlink"/>
          <w:rFonts w:ascii="Arial" w:hAnsi="Arial" w:cs="Arial"/>
          <w:b/>
          <w:color w:val="000000" w:themeColor="text1"/>
          <w:sz w:val="20"/>
          <w:szCs w:val="20"/>
          <w:u w:val="none"/>
        </w:rPr>
      </w:pPr>
    </w:p>
    <w:p w:rsidR="00DB5F0A" w:rsidRPr="006E5E23" w:rsidRDefault="00C80639" w:rsidP="00C80639">
      <w:pPr>
        <w:spacing w:after="0"/>
        <w:jc w:val="both"/>
        <w:rPr>
          <w:rStyle w:val="Hyperlink"/>
          <w:rFonts w:ascii="Arial" w:hAnsi="Arial" w:cs="Arial"/>
          <w:b/>
          <w:color w:val="FF0000"/>
          <w:sz w:val="20"/>
          <w:szCs w:val="20"/>
          <w:u w:val="none"/>
        </w:rPr>
      </w:pPr>
      <w:r>
        <w:rPr>
          <w:rStyle w:val="Hyperlink"/>
          <w:rFonts w:ascii="Arial" w:hAnsi="Arial" w:cs="Arial"/>
          <w:b/>
          <w:color w:val="000000" w:themeColor="text1"/>
          <w:sz w:val="20"/>
          <w:szCs w:val="20"/>
          <w:u w:val="none"/>
        </w:rPr>
        <w:t xml:space="preserve">5. </w:t>
      </w:r>
      <w:r w:rsidR="00DB5F0A" w:rsidRPr="006E5E23">
        <w:rPr>
          <w:rStyle w:val="Hyperlink"/>
          <w:rFonts w:ascii="Arial" w:hAnsi="Arial" w:cs="Arial"/>
          <w:b/>
          <w:color w:val="000000" w:themeColor="text1"/>
          <w:sz w:val="20"/>
          <w:szCs w:val="20"/>
          <w:u w:val="none"/>
        </w:rPr>
        <w:t xml:space="preserve">Pedido de Rescisão. Decisão. Serviços contábeis.  Tomada de Contas Extraordinária.  Violação a literal disposição de lei. Não caracterização.  Improcedência. </w:t>
      </w:r>
      <w:r w:rsidR="00DB5F0A" w:rsidRPr="006E5E23">
        <w:rPr>
          <w:rStyle w:val="Hyperlink"/>
          <w:rFonts w:ascii="Arial" w:hAnsi="Arial" w:cs="Arial"/>
          <w:b/>
          <w:color w:val="FF0000"/>
          <w:sz w:val="20"/>
          <w:szCs w:val="20"/>
          <w:u w:val="none"/>
        </w:rPr>
        <w:t xml:space="preserve"> </w:t>
      </w:r>
    </w:p>
    <w:p w:rsidR="00DB5F0A" w:rsidRPr="006E5E23" w:rsidRDefault="00DB5F0A" w:rsidP="00C80639">
      <w:pPr>
        <w:spacing w:after="0"/>
        <w:jc w:val="both"/>
        <w:rPr>
          <w:rStyle w:val="Hyperlink"/>
          <w:rFonts w:ascii="Arial" w:hAnsi="Arial" w:cs="Arial"/>
          <w:b/>
          <w:color w:val="000000" w:themeColor="text1"/>
          <w:sz w:val="20"/>
          <w:szCs w:val="20"/>
          <w:u w:val="none"/>
        </w:rPr>
      </w:pPr>
    </w:p>
    <w:p w:rsidR="00DB5F0A" w:rsidRDefault="00DB5F0A" w:rsidP="00C80639">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Decisão em Tomada de Contas Extraordinária havia julgado irregulares as contas de Câmara Municipal, em razão da contratação de pessoa jurídica para a prestação de serviços contábeis de natureza permanente. </w:t>
      </w:r>
    </w:p>
    <w:p w:rsidR="00DB5F0A" w:rsidRDefault="00DB5F0A" w:rsidP="00C80639">
      <w:pPr>
        <w:spacing w:after="0"/>
        <w:jc w:val="both"/>
        <w:rPr>
          <w:rStyle w:val="Hyperlink"/>
          <w:rFonts w:ascii="Arial" w:hAnsi="Arial" w:cs="Arial"/>
          <w:color w:val="000000" w:themeColor="text1"/>
          <w:sz w:val="20"/>
          <w:szCs w:val="20"/>
          <w:u w:val="none"/>
        </w:rPr>
      </w:pPr>
    </w:p>
    <w:p w:rsidR="00DB5F0A" w:rsidRDefault="00DB5F0A" w:rsidP="00C80639">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A Rescisória, foi, então, proposta, por entender a Câmara, que tal decisão violou literal disposição de lei, nos termos do art. 77, V, da Lei Orgânica desta Corte de Contas, já que a Lei de Licitações autoriza a contratação.  </w:t>
      </w:r>
    </w:p>
    <w:p w:rsidR="00DB5F0A" w:rsidRDefault="00DB5F0A" w:rsidP="00C80639">
      <w:pPr>
        <w:spacing w:after="0"/>
        <w:jc w:val="both"/>
        <w:rPr>
          <w:rStyle w:val="Hyperlink"/>
          <w:rFonts w:ascii="Arial" w:hAnsi="Arial" w:cs="Arial"/>
          <w:color w:val="000000" w:themeColor="text1"/>
          <w:sz w:val="20"/>
          <w:szCs w:val="20"/>
          <w:u w:val="none"/>
        </w:rPr>
      </w:pPr>
    </w:p>
    <w:p w:rsidR="00DB5F0A" w:rsidRDefault="00DB5F0A" w:rsidP="00C80639">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Para o Relator, tal alegação não se sustenta: “As atividades contábeis incumbidas à aludida pessoa jurídica se enquadram como atribuições de cargos públicos efetivos e se submetem ao respectivo regime jurídico, de modo que não poderiam ter sido contratadas com base na Lei de Licitações. Ou seja, não há que se falar em violação a dispositivos da Lei nº8.666/93 quando a relação jurídica analisada não se rege pela referida lei”. </w:t>
      </w:r>
    </w:p>
    <w:p w:rsidR="00DB5F0A" w:rsidRDefault="00DB5F0A" w:rsidP="00C80639">
      <w:pPr>
        <w:spacing w:after="0"/>
        <w:jc w:val="both"/>
        <w:rPr>
          <w:rStyle w:val="Hyperlink"/>
          <w:rFonts w:ascii="Arial" w:hAnsi="Arial" w:cs="Arial"/>
          <w:color w:val="000000" w:themeColor="text1"/>
          <w:sz w:val="20"/>
          <w:szCs w:val="20"/>
          <w:u w:val="none"/>
        </w:rPr>
      </w:pPr>
    </w:p>
    <w:p w:rsidR="00DB5F0A" w:rsidRDefault="00DB5F0A" w:rsidP="00C80639">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As atividades inerentes aos cargos públicos efetivos devem ser exercidas pelos respectivos servidores, admitidos por concurso público, nos termos do art. 37, II, da Constituição </w:t>
      </w:r>
      <w:r w:rsidR="00684053">
        <w:rPr>
          <w:rStyle w:val="Hyperlink"/>
          <w:rFonts w:ascii="Arial" w:hAnsi="Arial" w:cs="Arial"/>
          <w:color w:val="000000" w:themeColor="text1"/>
          <w:sz w:val="20"/>
          <w:szCs w:val="20"/>
          <w:u w:val="none"/>
        </w:rPr>
        <w:t>Federal</w:t>
      </w:r>
      <w:r>
        <w:rPr>
          <w:rStyle w:val="Hyperlink"/>
          <w:rFonts w:ascii="Arial" w:hAnsi="Arial" w:cs="Arial"/>
          <w:color w:val="000000" w:themeColor="text1"/>
          <w:sz w:val="20"/>
          <w:szCs w:val="20"/>
          <w:u w:val="none"/>
        </w:rPr>
        <w:t xml:space="preserve">. Por consequência, tais atividades não se enquadram nos serviços a serem contratados com base na Lei de Licitações. </w:t>
      </w:r>
    </w:p>
    <w:p w:rsidR="00DB5F0A" w:rsidRDefault="00DB5F0A" w:rsidP="00C80639">
      <w:pPr>
        <w:spacing w:after="0"/>
        <w:jc w:val="both"/>
        <w:rPr>
          <w:rStyle w:val="Hyperlink"/>
          <w:rFonts w:ascii="Arial" w:hAnsi="Arial" w:cs="Arial"/>
          <w:color w:val="000000" w:themeColor="text1"/>
          <w:sz w:val="20"/>
          <w:szCs w:val="20"/>
          <w:u w:val="none"/>
        </w:rPr>
      </w:pPr>
    </w:p>
    <w:p w:rsidR="00DB5F0A" w:rsidRDefault="00DB5F0A" w:rsidP="00C80639">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A finalidade predominante dos serviços contratados foi a assessoria na geração e transmissão do SIM-AM de todo o exercício, tarefas essenciais e contínuas da entidade (Acórdão nº 3754/16-TP). </w:t>
      </w:r>
    </w:p>
    <w:p w:rsidR="00DB5F0A" w:rsidRDefault="00DB5F0A" w:rsidP="00C80639">
      <w:pPr>
        <w:spacing w:after="0"/>
        <w:jc w:val="both"/>
        <w:rPr>
          <w:rStyle w:val="Hyperlink"/>
          <w:rFonts w:ascii="Arial" w:hAnsi="Arial" w:cs="Arial"/>
          <w:color w:val="000000" w:themeColor="text1"/>
          <w:sz w:val="20"/>
          <w:szCs w:val="20"/>
          <w:u w:val="none"/>
        </w:rPr>
      </w:pPr>
    </w:p>
    <w:p w:rsidR="00DB5F0A" w:rsidRDefault="00DB5F0A" w:rsidP="00C80639">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O pedido foi julgado improcedente, mantendo-se integralmente a decisão rescindenda. </w:t>
      </w:r>
    </w:p>
    <w:p w:rsidR="00DB5F0A" w:rsidRDefault="00DB5F0A" w:rsidP="00C80639">
      <w:pPr>
        <w:spacing w:after="0"/>
        <w:jc w:val="both"/>
        <w:rPr>
          <w:rStyle w:val="Hyperlink"/>
          <w:rFonts w:ascii="Arial" w:hAnsi="Arial" w:cs="Arial"/>
          <w:color w:val="000000" w:themeColor="text1"/>
          <w:sz w:val="20"/>
          <w:szCs w:val="20"/>
          <w:u w:val="none"/>
        </w:rPr>
      </w:pPr>
    </w:p>
    <w:p w:rsidR="00DB5F0A" w:rsidRDefault="00DB5F0A" w:rsidP="00C80639">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Processo nº 944119/16 – </w:t>
      </w:r>
      <w:hyperlink r:id="rId12" w:history="1">
        <w:r w:rsidRPr="00715553">
          <w:rPr>
            <w:rStyle w:val="Hyperlink"/>
            <w:rFonts w:ascii="Arial" w:hAnsi="Arial" w:cs="Arial"/>
            <w:sz w:val="20"/>
            <w:szCs w:val="20"/>
          </w:rPr>
          <w:t>Acórdão nº 2070/18</w:t>
        </w:r>
        <w:r>
          <w:rPr>
            <w:rStyle w:val="Hyperlink"/>
            <w:rFonts w:ascii="Arial" w:hAnsi="Arial" w:cs="Arial"/>
            <w:sz w:val="20"/>
            <w:szCs w:val="20"/>
          </w:rPr>
          <w:t xml:space="preserve"> </w:t>
        </w:r>
        <w:r w:rsidRPr="00715553">
          <w:rPr>
            <w:rStyle w:val="Hyperlink"/>
            <w:rFonts w:ascii="Arial" w:hAnsi="Arial" w:cs="Arial"/>
            <w:sz w:val="20"/>
            <w:szCs w:val="20"/>
          </w:rPr>
          <w:t>-</w:t>
        </w:r>
        <w:r w:rsidR="009C660A">
          <w:rPr>
            <w:rStyle w:val="Hyperlink"/>
            <w:rFonts w:ascii="Arial" w:hAnsi="Arial" w:cs="Arial"/>
            <w:sz w:val="20"/>
            <w:szCs w:val="20"/>
          </w:rPr>
          <w:t xml:space="preserve"> </w:t>
        </w:r>
        <w:r w:rsidRPr="00715553">
          <w:rPr>
            <w:rStyle w:val="Hyperlink"/>
            <w:rFonts w:ascii="Arial" w:hAnsi="Arial" w:cs="Arial"/>
            <w:sz w:val="20"/>
            <w:szCs w:val="20"/>
          </w:rPr>
          <w:t>Tribunal Pleno</w:t>
        </w:r>
      </w:hyperlink>
      <w:r>
        <w:rPr>
          <w:rStyle w:val="Hyperlink"/>
          <w:rFonts w:ascii="Arial" w:hAnsi="Arial" w:cs="Arial"/>
          <w:color w:val="000000" w:themeColor="text1"/>
          <w:sz w:val="20"/>
          <w:szCs w:val="20"/>
          <w:u w:val="none"/>
        </w:rPr>
        <w:t xml:space="preserve"> – Relator Conselheiro Ivan </w:t>
      </w:r>
      <w:proofErr w:type="spellStart"/>
      <w:r>
        <w:rPr>
          <w:rStyle w:val="Hyperlink"/>
          <w:rFonts w:ascii="Arial" w:hAnsi="Arial" w:cs="Arial"/>
          <w:color w:val="000000" w:themeColor="text1"/>
          <w:sz w:val="20"/>
          <w:szCs w:val="20"/>
          <w:u w:val="none"/>
        </w:rPr>
        <w:t>Lelis</w:t>
      </w:r>
      <w:proofErr w:type="spellEnd"/>
      <w:r>
        <w:rPr>
          <w:rStyle w:val="Hyperlink"/>
          <w:rFonts w:ascii="Arial" w:hAnsi="Arial" w:cs="Arial"/>
          <w:color w:val="000000" w:themeColor="text1"/>
          <w:sz w:val="20"/>
          <w:szCs w:val="20"/>
          <w:u w:val="none"/>
        </w:rPr>
        <w:t xml:space="preserve"> Bonilha </w:t>
      </w:r>
    </w:p>
    <w:p w:rsidR="00DB5F0A" w:rsidRDefault="00DB5F0A" w:rsidP="00C80639">
      <w:pPr>
        <w:spacing w:after="0"/>
        <w:jc w:val="both"/>
        <w:rPr>
          <w:rStyle w:val="Hyperlink"/>
          <w:rFonts w:ascii="Arial" w:hAnsi="Arial" w:cs="Arial"/>
          <w:color w:val="000000" w:themeColor="text1"/>
          <w:sz w:val="20"/>
          <w:szCs w:val="20"/>
          <w:u w:val="none"/>
        </w:rPr>
      </w:pPr>
    </w:p>
    <w:p w:rsidR="00DB5F0A" w:rsidRPr="00F57BC9" w:rsidRDefault="00C80639" w:rsidP="00C80639">
      <w:pPr>
        <w:spacing w:after="0"/>
        <w:jc w:val="both"/>
        <w:rPr>
          <w:rStyle w:val="Hyperlink"/>
          <w:rFonts w:ascii="Arial" w:hAnsi="Arial" w:cs="Arial"/>
          <w:color w:val="FF0000"/>
          <w:sz w:val="20"/>
          <w:szCs w:val="20"/>
          <w:u w:val="none"/>
        </w:rPr>
      </w:pPr>
      <w:r>
        <w:rPr>
          <w:rStyle w:val="Hyperlink"/>
          <w:rFonts w:ascii="Arial" w:hAnsi="Arial" w:cs="Arial"/>
          <w:b/>
          <w:color w:val="000000" w:themeColor="text1"/>
          <w:sz w:val="20"/>
          <w:szCs w:val="20"/>
          <w:u w:val="none"/>
        </w:rPr>
        <w:t xml:space="preserve">6. </w:t>
      </w:r>
      <w:r w:rsidR="00DB5F0A" w:rsidRPr="00245920">
        <w:rPr>
          <w:rStyle w:val="Hyperlink"/>
          <w:rFonts w:ascii="Arial" w:hAnsi="Arial" w:cs="Arial"/>
          <w:b/>
          <w:color w:val="000000" w:themeColor="text1"/>
          <w:sz w:val="20"/>
          <w:szCs w:val="20"/>
          <w:u w:val="none"/>
        </w:rPr>
        <w:t>Consulta</w:t>
      </w:r>
      <w:r w:rsidR="00DB5F0A">
        <w:rPr>
          <w:rStyle w:val="Hyperlink"/>
          <w:rFonts w:ascii="Arial" w:hAnsi="Arial" w:cs="Arial"/>
          <w:b/>
          <w:color w:val="000000" w:themeColor="text1"/>
          <w:sz w:val="20"/>
          <w:szCs w:val="20"/>
          <w:u w:val="none"/>
        </w:rPr>
        <w:t xml:space="preserve">. Cargos Públicos. Cumulação. </w:t>
      </w:r>
      <w:r w:rsidR="00DB5F0A" w:rsidRPr="00245920">
        <w:rPr>
          <w:rStyle w:val="Hyperlink"/>
          <w:rFonts w:ascii="Arial" w:hAnsi="Arial" w:cs="Arial"/>
          <w:b/>
          <w:color w:val="000000" w:themeColor="text1"/>
          <w:sz w:val="20"/>
          <w:szCs w:val="20"/>
          <w:u w:val="none"/>
        </w:rPr>
        <w:t xml:space="preserve"> </w:t>
      </w:r>
      <w:proofErr w:type="gramStart"/>
      <w:r w:rsidR="00DB5F0A" w:rsidRPr="00245920">
        <w:rPr>
          <w:rStyle w:val="Hyperlink"/>
          <w:rFonts w:ascii="Arial" w:hAnsi="Arial" w:cs="Arial"/>
          <w:b/>
          <w:color w:val="000000" w:themeColor="text1"/>
          <w:sz w:val="20"/>
          <w:szCs w:val="20"/>
          <w:u w:val="none"/>
        </w:rPr>
        <w:t>Professor e Educador Infantil</w:t>
      </w:r>
      <w:proofErr w:type="gramEnd"/>
      <w:r w:rsidR="00DB5F0A" w:rsidRPr="00245920">
        <w:rPr>
          <w:rStyle w:val="Hyperlink"/>
          <w:rFonts w:ascii="Arial" w:hAnsi="Arial" w:cs="Arial"/>
          <w:b/>
          <w:color w:val="000000" w:themeColor="text1"/>
          <w:sz w:val="20"/>
          <w:szCs w:val="20"/>
          <w:u w:val="none"/>
        </w:rPr>
        <w:t xml:space="preserve">. Permissividade expressa na Constituição Federal. </w:t>
      </w:r>
      <w:r w:rsidR="00DB5F0A">
        <w:rPr>
          <w:rStyle w:val="Hyperlink"/>
          <w:rFonts w:ascii="Arial" w:hAnsi="Arial" w:cs="Arial"/>
          <w:b/>
          <w:color w:val="000000" w:themeColor="text1"/>
          <w:sz w:val="20"/>
          <w:szCs w:val="20"/>
          <w:u w:val="none"/>
        </w:rPr>
        <w:t xml:space="preserve"> </w:t>
      </w:r>
      <w:r w:rsidR="00DB5F0A" w:rsidRPr="00245920">
        <w:rPr>
          <w:rStyle w:val="Hyperlink"/>
          <w:rFonts w:ascii="Arial" w:hAnsi="Arial" w:cs="Arial"/>
          <w:b/>
          <w:color w:val="000000" w:themeColor="text1"/>
          <w:sz w:val="20"/>
          <w:szCs w:val="20"/>
          <w:u w:val="none"/>
        </w:rPr>
        <w:t>Cargo que se enquadra como técnico ou científico. Possibilidade. Cargos acumuláveis na atividade também o serão na inatividade. Precedentes do STF.</w:t>
      </w:r>
      <w:r w:rsidR="00DB5F0A">
        <w:rPr>
          <w:rStyle w:val="Hyperlink"/>
          <w:rFonts w:ascii="Arial" w:hAnsi="Arial" w:cs="Arial"/>
          <w:color w:val="000000" w:themeColor="text1"/>
          <w:sz w:val="20"/>
          <w:szCs w:val="20"/>
          <w:u w:val="none"/>
        </w:rPr>
        <w:t xml:space="preserve">   </w:t>
      </w:r>
    </w:p>
    <w:p w:rsidR="00DB5F0A" w:rsidRDefault="00DB5F0A" w:rsidP="00C80639">
      <w:pPr>
        <w:spacing w:after="0"/>
        <w:jc w:val="both"/>
        <w:rPr>
          <w:rStyle w:val="Hyperlink"/>
          <w:rFonts w:ascii="Arial" w:hAnsi="Arial" w:cs="Arial"/>
          <w:color w:val="000000" w:themeColor="text1"/>
          <w:sz w:val="20"/>
          <w:szCs w:val="20"/>
          <w:u w:val="none"/>
        </w:rPr>
      </w:pPr>
    </w:p>
    <w:p w:rsidR="00DB5F0A" w:rsidRDefault="00DB5F0A" w:rsidP="00C80639">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lastRenderedPageBreak/>
        <w:t xml:space="preserve">Nesta Consulta, formulada por Chefe de Executivo Municipal, os questionamentos referem-se à possibilidade de cumulação de remuneração com proventos, respectivamente, dos cargos de Professor e Educador Infantil.  o Tribunal de Contas respondeu, em síntese, que: </w:t>
      </w:r>
    </w:p>
    <w:p w:rsidR="00DB5F0A" w:rsidRDefault="00DB5F0A" w:rsidP="00C80639">
      <w:pPr>
        <w:spacing w:after="0"/>
        <w:jc w:val="both"/>
        <w:rPr>
          <w:rStyle w:val="Hyperlink"/>
          <w:rFonts w:ascii="Arial" w:hAnsi="Arial" w:cs="Arial"/>
          <w:color w:val="000000" w:themeColor="text1"/>
          <w:sz w:val="20"/>
          <w:szCs w:val="20"/>
          <w:u w:val="none"/>
        </w:rPr>
      </w:pPr>
    </w:p>
    <w:p w:rsidR="00DB5F0A" w:rsidRDefault="00DB5F0A" w:rsidP="00C80639">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É constitucional e legal a acumulação de um cargo público de professor com um cargo público de educador infantil, desde que haja compatibilidade de horários;</w:t>
      </w:r>
      <w:r w:rsidR="00C80639">
        <w:rPr>
          <w:rStyle w:val="Hyperlink"/>
          <w:rFonts w:ascii="Arial" w:hAnsi="Arial" w:cs="Arial"/>
          <w:color w:val="000000" w:themeColor="text1"/>
          <w:sz w:val="20"/>
          <w:szCs w:val="20"/>
          <w:u w:val="none"/>
        </w:rPr>
        <w:t xml:space="preserve"> </w:t>
      </w:r>
      <w:proofErr w:type="gramStart"/>
      <w:r>
        <w:rPr>
          <w:rStyle w:val="Hyperlink"/>
          <w:rFonts w:ascii="Arial" w:hAnsi="Arial" w:cs="Arial"/>
          <w:color w:val="000000" w:themeColor="text1"/>
          <w:sz w:val="20"/>
          <w:szCs w:val="20"/>
          <w:u w:val="none"/>
        </w:rPr>
        <w:t>Sendo</w:t>
      </w:r>
      <w:proofErr w:type="gramEnd"/>
      <w:r>
        <w:rPr>
          <w:rStyle w:val="Hyperlink"/>
          <w:rFonts w:ascii="Arial" w:hAnsi="Arial" w:cs="Arial"/>
          <w:color w:val="000000" w:themeColor="text1"/>
          <w:sz w:val="20"/>
          <w:szCs w:val="20"/>
          <w:u w:val="none"/>
        </w:rPr>
        <w:t xml:space="preserve"> legítima a acumulação dos cargos na atividade, pode ocorrer no mesmo ente. </w:t>
      </w:r>
    </w:p>
    <w:p w:rsidR="00DB5F0A" w:rsidRDefault="00DB5F0A" w:rsidP="00C80639">
      <w:pPr>
        <w:spacing w:after="0"/>
        <w:jc w:val="both"/>
        <w:rPr>
          <w:rStyle w:val="Hyperlink"/>
          <w:rFonts w:ascii="Arial" w:hAnsi="Arial" w:cs="Arial"/>
          <w:color w:val="000000" w:themeColor="text1"/>
          <w:sz w:val="20"/>
          <w:szCs w:val="20"/>
          <w:u w:val="none"/>
        </w:rPr>
      </w:pPr>
    </w:p>
    <w:p w:rsidR="00DB5F0A" w:rsidRDefault="00DB5F0A" w:rsidP="00C80639">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Processo nº 649293/17 – </w:t>
      </w:r>
      <w:hyperlink r:id="rId13" w:history="1">
        <w:r w:rsidRPr="00611BDE">
          <w:rPr>
            <w:rStyle w:val="Hyperlink"/>
            <w:rFonts w:ascii="Arial" w:hAnsi="Arial" w:cs="Arial"/>
            <w:sz w:val="20"/>
            <w:szCs w:val="20"/>
          </w:rPr>
          <w:t>Acórdão nº 2066/18</w:t>
        </w:r>
        <w:r w:rsidR="009C660A">
          <w:rPr>
            <w:rStyle w:val="Hyperlink"/>
            <w:rFonts w:ascii="Arial" w:hAnsi="Arial" w:cs="Arial"/>
            <w:sz w:val="20"/>
            <w:szCs w:val="20"/>
          </w:rPr>
          <w:t xml:space="preserve"> </w:t>
        </w:r>
        <w:r w:rsidRPr="00611BDE">
          <w:rPr>
            <w:rStyle w:val="Hyperlink"/>
            <w:rFonts w:ascii="Arial" w:hAnsi="Arial" w:cs="Arial"/>
            <w:sz w:val="20"/>
            <w:szCs w:val="20"/>
          </w:rPr>
          <w:t>-</w:t>
        </w:r>
        <w:r w:rsidR="009C660A">
          <w:rPr>
            <w:rStyle w:val="Hyperlink"/>
            <w:rFonts w:ascii="Arial" w:hAnsi="Arial" w:cs="Arial"/>
            <w:sz w:val="20"/>
            <w:szCs w:val="20"/>
          </w:rPr>
          <w:t xml:space="preserve"> </w:t>
        </w:r>
        <w:r w:rsidRPr="00611BDE">
          <w:rPr>
            <w:rStyle w:val="Hyperlink"/>
            <w:rFonts w:ascii="Arial" w:hAnsi="Arial" w:cs="Arial"/>
            <w:sz w:val="20"/>
            <w:szCs w:val="20"/>
          </w:rPr>
          <w:t>Tribunal Pleno</w:t>
        </w:r>
      </w:hyperlink>
      <w:r>
        <w:rPr>
          <w:rStyle w:val="Hyperlink"/>
          <w:rFonts w:ascii="Arial" w:hAnsi="Arial" w:cs="Arial"/>
          <w:color w:val="000000" w:themeColor="text1"/>
          <w:sz w:val="20"/>
          <w:szCs w:val="20"/>
          <w:u w:val="none"/>
        </w:rPr>
        <w:t xml:space="preserve"> – Relator Conselheiro Fernando Augusto Mello Guimarães.  </w:t>
      </w:r>
    </w:p>
    <w:p w:rsidR="00DB5F0A" w:rsidRDefault="00DB5F0A" w:rsidP="00C80639">
      <w:pPr>
        <w:spacing w:after="0"/>
        <w:jc w:val="both"/>
        <w:rPr>
          <w:rStyle w:val="Hyperlink"/>
          <w:rFonts w:ascii="Arial" w:hAnsi="Arial" w:cs="Arial"/>
          <w:color w:val="000000" w:themeColor="text1"/>
          <w:sz w:val="20"/>
          <w:szCs w:val="20"/>
          <w:u w:val="none"/>
        </w:rPr>
      </w:pPr>
    </w:p>
    <w:p w:rsidR="00DB5F0A" w:rsidRPr="0027700D" w:rsidRDefault="00C80639" w:rsidP="00C80639">
      <w:pPr>
        <w:spacing w:after="0"/>
        <w:jc w:val="both"/>
        <w:rPr>
          <w:rStyle w:val="Hyperlink"/>
          <w:rFonts w:ascii="Arial" w:hAnsi="Arial" w:cs="Arial"/>
          <w:b/>
          <w:color w:val="000000" w:themeColor="text1"/>
          <w:sz w:val="20"/>
          <w:szCs w:val="20"/>
          <w:u w:val="none"/>
        </w:rPr>
      </w:pPr>
      <w:r>
        <w:rPr>
          <w:rStyle w:val="Hyperlink"/>
          <w:rFonts w:ascii="Arial" w:hAnsi="Arial" w:cs="Arial"/>
          <w:b/>
          <w:color w:val="000000" w:themeColor="text1"/>
          <w:sz w:val="20"/>
          <w:szCs w:val="20"/>
          <w:u w:val="none"/>
        </w:rPr>
        <w:t xml:space="preserve">7. </w:t>
      </w:r>
      <w:r w:rsidR="00DB5F0A" w:rsidRPr="0027700D">
        <w:rPr>
          <w:rStyle w:val="Hyperlink"/>
          <w:rFonts w:ascii="Arial" w:hAnsi="Arial" w:cs="Arial"/>
          <w:b/>
          <w:color w:val="000000" w:themeColor="text1"/>
          <w:sz w:val="20"/>
          <w:szCs w:val="20"/>
          <w:u w:val="none"/>
        </w:rPr>
        <w:t>Representação. Lei nº 8.666/93.  Município. Modalidade licitatória. Concorrência Pública. Questionamento. Discricionariedade. Improcedência</w:t>
      </w:r>
      <w:r w:rsidR="00DB5F0A">
        <w:rPr>
          <w:rStyle w:val="Hyperlink"/>
          <w:rFonts w:ascii="Arial" w:hAnsi="Arial" w:cs="Arial"/>
          <w:b/>
          <w:color w:val="000000" w:themeColor="text1"/>
          <w:sz w:val="20"/>
          <w:szCs w:val="20"/>
          <w:u w:val="none"/>
        </w:rPr>
        <w:t>.</w:t>
      </w:r>
    </w:p>
    <w:p w:rsidR="00DB5F0A" w:rsidRDefault="00DB5F0A" w:rsidP="00C80639">
      <w:pPr>
        <w:spacing w:after="0"/>
        <w:jc w:val="both"/>
        <w:rPr>
          <w:rStyle w:val="Hyperlink"/>
          <w:rFonts w:ascii="Arial" w:hAnsi="Arial" w:cs="Arial"/>
          <w:color w:val="000000" w:themeColor="text1"/>
          <w:sz w:val="20"/>
          <w:szCs w:val="20"/>
          <w:u w:val="none"/>
        </w:rPr>
      </w:pPr>
    </w:p>
    <w:p w:rsidR="00DB5F0A" w:rsidRDefault="00DB5F0A" w:rsidP="00C80639">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Empresa Representante, noticia supostas irregularidades nos editais de Concorrência Pública, efetuada por Município para a contratação de fornecimento de mão de obra terceirizada, tanto no setor de limpeza e conservação, quanto no de conservação de estradas rurais e parques. </w:t>
      </w:r>
    </w:p>
    <w:p w:rsidR="00DB5F0A" w:rsidRDefault="00DB5F0A" w:rsidP="00C80639">
      <w:pPr>
        <w:spacing w:after="0"/>
        <w:jc w:val="both"/>
        <w:rPr>
          <w:rStyle w:val="Hyperlink"/>
          <w:rFonts w:ascii="Arial" w:hAnsi="Arial" w:cs="Arial"/>
          <w:color w:val="000000" w:themeColor="text1"/>
          <w:sz w:val="20"/>
          <w:szCs w:val="20"/>
          <w:u w:val="none"/>
        </w:rPr>
      </w:pPr>
    </w:p>
    <w:p w:rsidR="00DB5F0A" w:rsidRDefault="00DB5F0A" w:rsidP="00C80639">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Sustentou na peça inicial que a utilização da modalidade licitatória Pregão frente à Concorrência, resultaria na melhor busca pelo menor preço, já que seriam licitados serviços comuns de mão-de-obra. </w:t>
      </w:r>
    </w:p>
    <w:p w:rsidR="00DB5F0A" w:rsidRDefault="00DB5F0A" w:rsidP="00C80639">
      <w:pPr>
        <w:spacing w:after="0"/>
        <w:jc w:val="both"/>
        <w:rPr>
          <w:rStyle w:val="Hyperlink"/>
          <w:rFonts w:ascii="Arial" w:hAnsi="Arial" w:cs="Arial"/>
          <w:color w:val="000000" w:themeColor="text1"/>
          <w:sz w:val="20"/>
          <w:szCs w:val="20"/>
          <w:u w:val="none"/>
        </w:rPr>
      </w:pPr>
    </w:p>
    <w:p w:rsidR="00DB5F0A" w:rsidRDefault="00DB5F0A" w:rsidP="00C80639">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Para o Colegiado, a escolha da modalidade do certame cabe, por discricionariedade, à Administração Pública, observados, obviamente, os limites legais quanto ao valor da contratação e complexidade do objeto licitado. </w:t>
      </w:r>
    </w:p>
    <w:p w:rsidR="00DB5F0A" w:rsidRDefault="00DB5F0A" w:rsidP="00C80639">
      <w:pPr>
        <w:spacing w:after="0"/>
        <w:jc w:val="both"/>
        <w:rPr>
          <w:rStyle w:val="Hyperlink"/>
          <w:rFonts w:ascii="Arial" w:hAnsi="Arial" w:cs="Arial"/>
          <w:color w:val="000000" w:themeColor="text1"/>
          <w:sz w:val="20"/>
          <w:szCs w:val="20"/>
          <w:u w:val="none"/>
        </w:rPr>
      </w:pPr>
    </w:p>
    <w:p w:rsidR="00DB5F0A" w:rsidRDefault="00DB5F0A" w:rsidP="00C80639">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Na doutrina de Rafael Carvalho Rezende Oliveira, transcrita na proposta de voto do Relator: “Não é obrigatória a utilização do pregão para aquisição de bens e serviços comuns. O art. 1º da Lei nº 10.520/2002, estabelece que o pregão ‘poderá’ ser adotado nesses casos. Trata-se de atuação discricionária do administrador que pode optar por outra modalidade de licitação”. </w:t>
      </w:r>
    </w:p>
    <w:p w:rsidR="00DB5F0A" w:rsidRDefault="00DB5F0A" w:rsidP="00C80639">
      <w:pPr>
        <w:spacing w:after="0"/>
        <w:jc w:val="both"/>
        <w:rPr>
          <w:rStyle w:val="Hyperlink"/>
          <w:rFonts w:ascii="Arial" w:hAnsi="Arial" w:cs="Arial"/>
          <w:color w:val="000000" w:themeColor="text1"/>
          <w:sz w:val="20"/>
          <w:szCs w:val="20"/>
          <w:u w:val="none"/>
        </w:rPr>
      </w:pPr>
    </w:p>
    <w:p w:rsidR="00DB5F0A" w:rsidRDefault="00DB5F0A" w:rsidP="00C80639">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Não se tendo verificado a extrapolação dos limites legais para a escolha da modalidade licitatória, improcedente, neste aspecto, a Representação. </w:t>
      </w:r>
    </w:p>
    <w:p w:rsidR="00DB5F0A" w:rsidRDefault="00DB5F0A" w:rsidP="00C80639">
      <w:pPr>
        <w:spacing w:after="0"/>
        <w:jc w:val="both"/>
        <w:rPr>
          <w:rStyle w:val="Hyperlink"/>
          <w:rFonts w:ascii="Arial" w:hAnsi="Arial" w:cs="Arial"/>
          <w:color w:val="000000" w:themeColor="text1"/>
          <w:sz w:val="20"/>
          <w:szCs w:val="20"/>
          <w:u w:val="none"/>
        </w:rPr>
      </w:pPr>
    </w:p>
    <w:p w:rsidR="00DB5F0A" w:rsidRDefault="00DB5F0A" w:rsidP="00C80639">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Processo nº 155677/18 – </w:t>
      </w:r>
      <w:hyperlink r:id="rId14" w:history="1">
        <w:r w:rsidRPr="00921212">
          <w:rPr>
            <w:rStyle w:val="Hyperlink"/>
            <w:rFonts w:ascii="Arial" w:hAnsi="Arial" w:cs="Arial"/>
            <w:sz w:val="20"/>
            <w:szCs w:val="20"/>
          </w:rPr>
          <w:t>Acórdão nº 2062/18</w:t>
        </w:r>
        <w:r w:rsidR="009C660A">
          <w:rPr>
            <w:rStyle w:val="Hyperlink"/>
            <w:rFonts w:ascii="Arial" w:hAnsi="Arial" w:cs="Arial"/>
            <w:sz w:val="20"/>
            <w:szCs w:val="20"/>
          </w:rPr>
          <w:t xml:space="preserve"> </w:t>
        </w:r>
        <w:r w:rsidRPr="00921212">
          <w:rPr>
            <w:rStyle w:val="Hyperlink"/>
            <w:rFonts w:ascii="Arial" w:hAnsi="Arial" w:cs="Arial"/>
            <w:sz w:val="20"/>
            <w:szCs w:val="20"/>
          </w:rPr>
          <w:t>-</w:t>
        </w:r>
        <w:r w:rsidR="009C660A">
          <w:rPr>
            <w:rStyle w:val="Hyperlink"/>
            <w:rFonts w:ascii="Arial" w:hAnsi="Arial" w:cs="Arial"/>
            <w:sz w:val="20"/>
            <w:szCs w:val="20"/>
          </w:rPr>
          <w:t xml:space="preserve"> </w:t>
        </w:r>
        <w:r w:rsidRPr="00921212">
          <w:rPr>
            <w:rStyle w:val="Hyperlink"/>
            <w:rFonts w:ascii="Arial" w:hAnsi="Arial" w:cs="Arial"/>
            <w:sz w:val="20"/>
            <w:szCs w:val="20"/>
          </w:rPr>
          <w:t>Tribunal Pleno</w:t>
        </w:r>
      </w:hyperlink>
      <w:r>
        <w:rPr>
          <w:rStyle w:val="Hyperlink"/>
          <w:rFonts w:ascii="Arial" w:hAnsi="Arial" w:cs="Arial"/>
          <w:color w:val="000000" w:themeColor="text1"/>
          <w:sz w:val="20"/>
          <w:szCs w:val="20"/>
          <w:u w:val="none"/>
        </w:rPr>
        <w:t xml:space="preserve"> – Relator Conselheiro </w:t>
      </w:r>
      <w:proofErr w:type="spellStart"/>
      <w:r>
        <w:rPr>
          <w:rStyle w:val="Hyperlink"/>
          <w:rFonts w:ascii="Arial" w:hAnsi="Arial" w:cs="Arial"/>
          <w:color w:val="000000" w:themeColor="text1"/>
          <w:sz w:val="20"/>
          <w:szCs w:val="20"/>
          <w:u w:val="none"/>
        </w:rPr>
        <w:t>Artagão</w:t>
      </w:r>
      <w:proofErr w:type="spellEnd"/>
      <w:r>
        <w:rPr>
          <w:rStyle w:val="Hyperlink"/>
          <w:rFonts w:ascii="Arial" w:hAnsi="Arial" w:cs="Arial"/>
          <w:color w:val="000000" w:themeColor="text1"/>
          <w:sz w:val="20"/>
          <w:szCs w:val="20"/>
          <w:u w:val="none"/>
        </w:rPr>
        <w:t xml:space="preserve"> de Mattos Leão. </w:t>
      </w:r>
    </w:p>
    <w:p w:rsidR="0026510B" w:rsidRDefault="0026510B" w:rsidP="00C80639">
      <w:pPr>
        <w:autoSpaceDE w:val="0"/>
        <w:autoSpaceDN w:val="0"/>
        <w:adjustRightInd w:val="0"/>
        <w:spacing w:after="0"/>
        <w:jc w:val="both"/>
        <w:rPr>
          <w:rFonts w:ascii="Arial" w:hAnsi="Arial" w:cs="Arial"/>
          <w:color w:val="000000"/>
          <w:sz w:val="20"/>
          <w:szCs w:val="20"/>
          <w:shd w:val="clear" w:color="auto" w:fill="FFFFFF"/>
        </w:rPr>
      </w:pPr>
    </w:p>
    <w:p w:rsidR="00FF60AC" w:rsidRPr="004A1DA4" w:rsidRDefault="00C80639" w:rsidP="00C80639">
      <w:pPr>
        <w:autoSpaceDE w:val="0"/>
        <w:autoSpaceDN w:val="0"/>
        <w:adjustRightInd w:val="0"/>
        <w:spacing w:after="0"/>
        <w:jc w:val="both"/>
        <w:rPr>
          <w:rFonts w:ascii="Arial" w:hAnsi="Arial" w:cs="Arial"/>
          <w:b/>
          <w:sz w:val="20"/>
          <w:szCs w:val="20"/>
        </w:rPr>
      </w:pPr>
      <w:r>
        <w:rPr>
          <w:rFonts w:ascii="Arial" w:hAnsi="Arial" w:cs="Arial"/>
          <w:b/>
          <w:sz w:val="20"/>
          <w:szCs w:val="20"/>
        </w:rPr>
        <w:lastRenderedPageBreak/>
        <w:t xml:space="preserve">8. </w:t>
      </w:r>
      <w:r w:rsidR="00FF60AC" w:rsidRPr="004A1DA4">
        <w:rPr>
          <w:rFonts w:ascii="Arial" w:hAnsi="Arial" w:cs="Arial"/>
          <w:b/>
          <w:sz w:val="20"/>
          <w:szCs w:val="20"/>
        </w:rPr>
        <w:t>Representação. Acúmulo de Cargos. Secretário Municipal. Médico. Impossibilidade. Comprovação de prestação dos serviços.</w:t>
      </w:r>
    </w:p>
    <w:p w:rsidR="00C80639" w:rsidRDefault="00C80639" w:rsidP="00C80639">
      <w:pPr>
        <w:autoSpaceDE w:val="0"/>
        <w:autoSpaceDN w:val="0"/>
        <w:adjustRightInd w:val="0"/>
        <w:spacing w:after="0"/>
        <w:jc w:val="both"/>
        <w:rPr>
          <w:rFonts w:ascii="Arial" w:hAnsi="Arial" w:cs="Arial"/>
          <w:color w:val="000000"/>
          <w:sz w:val="20"/>
          <w:szCs w:val="20"/>
        </w:rPr>
      </w:pPr>
    </w:p>
    <w:p w:rsidR="00FF60AC" w:rsidRPr="004A1DA4" w:rsidRDefault="00FF60AC" w:rsidP="00C80639">
      <w:pPr>
        <w:autoSpaceDE w:val="0"/>
        <w:autoSpaceDN w:val="0"/>
        <w:adjustRightInd w:val="0"/>
        <w:spacing w:after="0"/>
        <w:jc w:val="both"/>
        <w:rPr>
          <w:rFonts w:ascii="Arial" w:hAnsi="Arial" w:cs="Arial"/>
          <w:color w:val="000000"/>
          <w:sz w:val="20"/>
          <w:szCs w:val="20"/>
        </w:rPr>
      </w:pPr>
      <w:r w:rsidRPr="004A1DA4">
        <w:rPr>
          <w:rFonts w:ascii="Arial" w:hAnsi="Arial" w:cs="Arial"/>
          <w:color w:val="000000"/>
          <w:sz w:val="20"/>
          <w:szCs w:val="20"/>
        </w:rPr>
        <w:t>Embora o acúmulo seja irregular, não cabe o dever a devolução, sob pena de enriquecimento ilícito da Administração Pública. A Jurisprudência é farta no sentido de que o agente que trabalha, mesmo que em situação irregular de vinculação com a Administração Pública, faz jus aos salários correspondentes ao labor prestado.</w:t>
      </w:r>
    </w:p>
    <w:p w:rsidR="00C80639" w:rsidRDefault="00C80639" w:rsidP="00C80639">
      <w:pPr>
        <w:autoSpaceDE w:val="0"/>
        <w:autoSpaceDN w:val="0"/>
        <w:adjustRightInd w:val="0"/>
        <w:spacing w:after="0"/>
        <w:jc w:val="both"/>
        <w:rPr>
          <w:rFonts w:ascii="Arial" w:hAnsi="Arial" w:cs="Arial"/>
          <w:color w:val="000000"/>
          <w:sz w:val="20"/>
          <w:szCs w:val="20"/>
        </w:rPr>
      </w:pPr>
    </w:p>
    <w:p w:rsidR="00FF60AC" w:rsidRPr="00060D40" w:rsidRDefault="00FF60AC" w:rsidP="00C80639">
      <w:pPr>
        <w:autoSpaceDE w:val="0"/>
        <w:autoSpaceDN w:val="0"/>
        <w:adjustRightInd w:val="0"/>
        <w:spacing w:after="0"/>
        <w:jc w:val="both"/>
        <w:rPr>
          <w:rFonts w:ascii="Arial" w:hAnsi="Arial" w:cs="Arial"/>
          <w:sz w:val="20"/>
          <w:szCs w:val="20"/>
        </w:rPr>
      </w:pPr>
      <w:r>
        <w:rPr>
          <w:rFonts w:ascii="Arial" w:hAnsi="Arial" w:cs="Arial"/>
          <w:color w:val="000000"/>
          <w:sz w:val="20"/>
          <w:szCs w:val="20"/>
        </w:rPr>
        <w:t xml:space="preserve">Processo n° 308265/12 - </w:t>
      </w:r>
      <w:hyperlink r:id="rId15" w:history="1">
        <w:r w:rsidRPr="00D425EA">
          <w:rPr>
            <w:rStyle w:val="Hyperlink"/>
            <w:rFonts w:ascii="Arial" w:hAnsi="Arial" w:cs="Arial"/>
            <w:sz w:val="20"/>
            <w:szCs w:val="20"/>
          </w:rPr>
          <w:t>Acórdão n° 1985/18 – Tribunal Pleno</w:t>
        </w:r>
      </w:hyperlink>
      <w:r>
        <w:rPr>
          <w:rFonts w:ascii="Arial" w:hAnsi="Arial" w:cs="Arial"/>
          <w:color w:val="000000"/>
          <w:sz w:val="20"/>
          <w:szCs w:val="20"/>
        </w:rPr>
        <w:t xml:space="preserve"> - </w:t>
      </w:r>
      <w:r>
        <w:rPr>
          <w:rFonts w:ascii="Arial" w:hAnsi="Arial" w:cs="Arial"/>
          <w:sz w:val="20"/>
          <w:szCs w:val="20"/>
        </w:rPr>
        <w:t xml:space="preserve">Rel. Conselheiro </w:t>
      </w:r>
      <w:r w:rsidRPr="004A1DA4">
        <w:rPr>
          <w:rFonts w:ascii="Arial" w:hAnsi="Arial" w:cs="Arial"/>
          <w:sz w:val="20"/>
          <w:szCs w:val="20"/>
        </w:rPr>
        <w:t>Fabio de Souza Camargo</w:t>
      </w:r>
      <w:r>
        <w:rPr>
          <w:rFonts w:ascii="Arial" w:hAnsi="Arial" w:cs="Arial"/>
          <w:sz w:val="20"/>
          <w:szCs w:val="20"/>
        </w:rPr>
        <w:t xml:space="preserve">.  </w:t>
      </w:r>
    </w:p>
    <w:p w:rsidR="00DB5F0A" w:rsidRDefault="00DB5F0A" w:rsidP="00816942">
      <w:pPr>
        <w:autoSpaceDE w:val="0"/>
        <w:autoSpaceDN w:val="0"/>
        <w:adjustRightInd w:val="0"/>
        <w:spacing w:after="0"/>
        <w:jc w:val="both"/>
        <w:rPr>
          <w:rFonts w:ascii="Arial" w:hAnsi="Arial" w:cs="Arial"/>
          <w:color w:val="000000"/>
          <w:sz w:val="20"/>
          <w:szCs w:val="20"/>
          <w:shd w:val="clear" w:color="auto" w:fill="FFFFFF"/>
        </w:rPr>
      </w:pPr>
    </w:p>
    <w:p w:rsidR="00E8762F" w:rsidRPr="0022060B" w:rsidRDefault="00E8762F"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Observações: </w:t>
      </w:r>
    </w:p>
    <w:p w:rsidR="005C4DB7" w:rsidRPr="0022060B" w:rsidRDefault="00E4415D" w:rsidP="00816942">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54656"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577E9F" id="Conector reto 5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26477F" w:rsidRPr="0022060B" w:rsidRDefault="0026477F" w:rsidP="00816942">
      <w:pPr>
        <w:spacing w:after="0"/>
        <w:rPr>
          <w:rFonts w:ascii="Arial" w:hAnsi="Arial" w:cs="Arial"/>
          <w:color w:val="000000"/>
          <w:sz w:val="20"/>
          <w:szCs w:val="20"/>
        </w:rPr>
      </w:pPr>
      <w:r w:rsidRPr="0022060B">
        <w:rPr>
          <w:rFonts w:ascii="Arial" w:hAnsi="Arial" w:cs="Arial"/>
          <w:color w:val="000000"/>
          <w:sz w:val="20"/>
          <w:szCs w:val="20"/>
        </w:rPr>
        <w:t>Ju</w:t>
      </w:r>
      <w:r w:rsidR="00AD528F" w:rsidRPr="0022060B">
        <w:rPr>
          <w:rFonts w:ascii="Arial" w:hAnsi="Arial" w:cs="Arial"/>
          <w:color w:val="000000"/>
          <w:sz w:val="20"/>
          <w:szCs w:val="20"/>
        </w:rPr>
        <w:t xml:space="preserve">risprudência Selecionada: </w:t>
      </w:r>
    </w:p>
    <w:p w:rsidR="000B2FD9" w:rsidRDefault="000B2FD9" w:rsidP="000B2FD9">
      <w:pPr>
        <w:spacing w:after="0"/>
        <w:jc w:val="both"/>
        <w:rPr>
          <w:rFonts w:ascii="Arial" w:hAnsi="Arial" w:cs="Arial"/>
          <w:b/>
          <w:color w:val="000000"/>
          <w:sz w:val="20"/>
          <w:szCs w:val="20"/>
        </w:rPr>
      </w:pPr>
    </w:p>
    <w:p w:rsidR="000B2FD9" w:rsidRPr="0022060B" w:rsidRDefault="000B2FD9" w:rsidP="000B2FD9">
      <w:pPr>
        <w:spacing w:after="0"/>
        <w:jc w:val="both"/>
        <w:rPr>
          <w:rFonts w:ascii="Arial" w:hAnsi="Arial" w:cs="Arial"/>
          <w:b/>
          <w:color w:val="000000"/>
          <w:sz w:val="20"/>
          <w:szCs w:val="20"/>
        </w:rPr>
      </w:pPr>
      <w:r w:rsidRPr="0022060B">
        <w:rPr>
          <w:rFonts w:ascii="Arial" w:hAnsi="Arial" w:cs="Arial"/>
          <w:b/>
          <w:color w:val="000000"/>
          <w:sz w:val="20"/>
          <w:szCs w:val="20"/>
        </w:rPr>
        <w:t>Sup</w:t>
      </w:r>
      <w:r>
        <w:rPr>
          <w:rFonts w:ascii="Arial" w:hAnsi="Arial" w:cs="Arial"/>
          <w:b/>
          <w:color w:val="000000"/>
          <w:sz w:val="20"/>
          <w:szCs w:val="20"/>
        </w:rPr>
        <w:t>remo Tribunal Federal</w:t>
      </w:r>
      <w:r w:rsidRPr="0022060B">
        <w:rPr>
          <w:rFonts w:ascii="Arial" w:hAnsi="Arial" w:cs="Arial"/>
          <w:b/>
          <w:color w:val="000000"/>
          <w:sz w:val="20"/>
          <w:szCs w:val="20"/>
        </w:rPr>
        <w:t>:</w:t>
      </w:r>
    </w:p>
    <w:p w:rsidR="00DC24DF" w:rsidRDefault="00DC24DF" w:rsidP="00DC24DF">
      <w:pPr>
        <w:shd w:val="clear" w:color="auto" w:fill="FFFFFF"/>
        <w:spacing w:after="0" w:line="240" w:lineRule="auto"/>
        <w:jc w:val="center"/>
        <w:textAlignment w:val="top"/>
        <w:rPr>
          <w:rFonts w:ascii="Arial" w:eastAsia="Times New Roman" w:hAnsi="Arial" w:cs="Arial"/>
          <w:b/>
          <w:bCs/>
          <w:sz w:val="20"/>
          <w:szCs w:val="20"/>
          <w:lang w:eastAsia="pt-BR"/>
        </w:rPr>
      </w:pPr>
      <w:bookmarkStart w:id="1" w:name="Justiça_do_Trabalho_e_terceirização_de_a"/>
      <w:bookmarkEnd w:id="1"/>
    </w:p>
    <w:p w:rsidR="002246B0" w:rsidRDefault="00151D02" w:rsidP="00DC24DF">
      <w:pPr>
        <w:spacing w:after="0"/>
        <w:jc w:val="both"/>
        <w:rPr>
          <w:rFonts w:ascii="Arial" w:hAnsi="Arial" w:cs="Arial"/>
          <w:b/>
          <w:bCs/>
          <w:sz w:val="20"/>
          <w:szCs w:val="20"/>
          <w:shd w:val="clear" w:color="auto" w:fill="FFFFFF"/>
        </w:rPr>
      </w:pPr>
      <w:hyperlink r:id="rId16" w:history="1">
        <w:r w:rsidR="002246B0" w:rsidRPr="00C21776">
          <w:rPr>
            <w:rStyle w:val="Hyperlink"/>
            <w:rFonts w:ascii="Arial" w:hAnsi="Arial" w:cs="Arial"/>
            <w:b/>
            <w:bCs/>
            <w:sz w:val="20"/>
            <w:szCs w:val="20"/>
            <w:shd w:val="clear" w:color="auto" w:fill="FFFFFF"/>
          </w:rPr>
          <w:t>ADPF 324/DF</w:t>
        </w:r>
      </w:hyperlink>
      <w:r w:rsidR="002246B0" w:rsidRPr="002246B0">
        <w:rPr>
          <w:rFonts w:ascii="Arial" w:hAnsi="Arial" w:cs="Arial"/>
          <w:b/>
          <w:bCs/>
          <w:color w:val="008080"/>
          <w:sz w:val="20"/>
          <w:szCs w:val="20"/>
          <w:shd w:val="clear" w:color="auto" w:fill="FFFFFF"/>
        </w:rPr>
        <w:t xml:space="preserve">, </w:t>
      </w:r>
      <w:r w:rsidR="002246B0" w:rsidRPr="002246B0">
        <w:rPr>
          <w:rFonts w:ascii="Arial" w:hAnsi="Arial" w:cs="Arial"/>
          <w:b/>
          <w:bCs/>
          <w:sz w:val="20"/>
          <w:szCs w:val="20"/>
          <w:shd w:val="clear" w:color="auto" w:fill="FFFFFF"/>
        </w:rPr>
        <w:t>rel. Min. Roberto Barroso, julgamento em 29 e 30.8.2018. (ADPF-324)</w:t>
      </w:r>
      <w:r w:rsidR="00DC24DF">
        <w:rPr>
          <w:rFonts w:ascii="Arial" w:hAnsi="Arial" w:cs="Arial"/>
          <w:b/>
          <w:bCs/>
          <w:sz w:val="20"/>
          <w:szCs w:val="20"/>
          <w:shd w:val="clear" w:color="auto" w:fill="FFFFFF"/>
        </w:rPr>
        <w:t xml:space="preserve"> e </w:t>
      </w:r>
      <w:hyperlink r:id="rId17" w:history="1">
        <w:r w:rsidR="002246B0" w:rsidRPr="00C21776">
          <w:rPr>
            <w:rStyle w:val="Hyperlink"/>
            <w:rFonts w:ascii="Arial" w:hAnsi="Arial" w:cs="Arial"/>
            <w:b/>
            <w:bCs/>
            <w:sz w:val="20"/>
            <w:szCs w:val="20"/>
            <w:shd w:val="clear" w:color="auto" w:fill="FFFFFF"/>
          </w:rPr>
          <w:t>RE 958252/MG</w:t>
        </w:r>
      </w:hyperlink>
      <w:r w:rsidR="002246B0" w:rsidRPr="002246B0">
        <w:rPr>
          <w:rFonts w:ascii="Arial" w:hAnsi="Arial" w:cs="Arial"/>
          <w:b/>
          <w:bCs/>
          <w:color w:val="008080"/>
          <w:sz w:val="20"/>
          <w:szCs w:val="20"/>
          <w:shd w:val="clear" w:color="auto" w:fill="FFFFFF"/>
        </w:rPr>
        <w:t xml:space="preserve">, </w:t>
      </w:r>
      <w:r w:rsidR="002246B0" w:rsidRPr="002246B0">
        <w:rPr>
          <w:rFonts w:ascii="Arial" w:hAnsi="Arial" w:cs="Arial"/>
          <w:b/>
          <w:bCs/>
          <w:sz w:val="20"/>
          <w:szCs w:val="20"/>
          <w:shd w:val="clear" w:color="auto" w:fill="FFFFFF"/>
        </w:rPr>
        <w:t xml:space="preserve">rel. Min. Luiz </w:t>
      </w:r>
      <w:proofErr w:type="spellStart"/>
      <w:r w:rsidR="002246B0" w:rsidRPr="002246B0">
        <w:rPr>
          <w:rFonts w:ascii="Arial" w:hAnsi="Arial" w:cs="Arial"/>
          <w:b/>
          <w:bCs/>
          <w:sz w:val="20"/>
          <w:szCs w:val="20"/>
          <w:shd w:val="clear" w:color="auto" w:fill="FFFFFF"/>
        </w:rPr>
        <w:t>Fux</w:t>
      </w:r>
      <w:proofErr w:type="spellEnd"/>
      <w:r w:rsidR="002246B0" w:rsidRPr="002246B0">
        <w:rPr>
          <w:rFonts w:ascii="Arial" w:hAnsi="Arial" w:cs="Arial"/>
          <w:b/>
          <w:bCs/>
          <w:sz w:val="20"/>
          <w:szCs w:val="20"/>
          <w:shd w:val="clear" w:color="auto" w:fill="FFFFFF"/>
        </w:rPr>
        <w:t>, julgamento em 29 e 30.8.2018. (RE-958252)</w:t>
      </w:r>
      <w:r w:rsidR="00DC24DF">
        <w:rPr>
          <w:rFonts w:ascii="Arial" w:hAnsi="Arial" w:cs="Arial"/>
          <w:b/>
          <w:bCs/>
          <w:sz w:val="20"/>
          <w:szCs w:val="20"/>
          <w:shd w:val="clear" w:color="auto" w:fill="FFFFFF"/>
        </w:rPr>
        <w:t>.</w:t>
      </w:r>
    </w:p>
    <w:p w:rsidR="00DC24DF" w:rsidRPr="002246B0" w:rsidRDefault="00DC24DF" w:rsidP="00DC24DF">
      <w:pPr>
        <w:spacing w:after="0"/>
        <w:jc w:val="both"/>
        <w:rPr>
          <w:rFonts w:ascii="Arial" w:hAnsi="Arial" w:cs="Arial"/>
          <w:b/>
          <w:sz w:val="20"/>
          <w:szCs w:val="20"/>
        </w:rPr>
      </w:pPr>
    </w:p>
    <w:p w:rsidR="00DC24DF" w:rsidRPr="00DC24DF" w:rsidRDefault="00DC24DF" w:rsidP="00DC24DF">
      <w:pPr>
        <w:shd w:val="clear" w:color="auto" w:fill="FFFFFF"/>
        <w:spacing w:after="0" w:line="240" w:lineRule="auto"/>
        <w:jc w:val="both"/>
        <w:textAlignment w:val="top"/>
        <w:rPr>
          <w:rFonts w:ascii="Arial" w:eastAsia="Times New Roman" w:hAnsi="Arial" w:cs="Arial"/>
          <w:sz w:val="20"/>
          <w:szCs w:val="20"/>
          <w:lang w:eastAsia="pt-BR"/>
        </w:rPr>
      </w:pPr>
      <w:r w:rsidRPr="00DC24DF">
        <w:rPr>
          <w:rFonts w:ascii="Arial" w:eastAsia="Times New Roman" w:hAnsi="Arial" w:cs="Arial"/>
          <w:b/>
          <w:bCs/>
          <w:sz w:val="20"/>
          <w:szCs w:val="20"/>
          <w:lang w:eastAsia="pt-BR"/>
        </w:rPr>
        <w:t>Justiça do Trabalho e terceirização de atividade-fim</w:t>
      </w:r>
      <w:r>
        <w:rPr>
          <w:rFonts w:ascii="Arial" w:eastAsia="Times New Roman" w:hAnsi="Arial" w:cs="Arial"/>
          <w:b/>
          <w:bCs/>
          <w:sz w:val="20"/>
          <w:szCs w:val="20"/>
          <w:lang w:eastAsia="pt-BR"/>
        </w:rPr>
        <w:t>. Possibilidade. Tema 725 da Repercussão Geral.</w:t>
      </w:r>
    </w:p>
    <w:p w:rsidR="002246B0" w:rsidRDefault="002246B0" w:rsidP="00816942">
      <w:pPr>
        <w:spacing w:after="0"/>
        <w:rPr>
          <w:rFonts w:ascii="Arial" w:hAnsi="Arial" w:cs="Arial"/>
          <w:b/>
          <w:color w:val="000000"/>
          <w:sz w:val="20"/>
          <w:szCs w:val="20"/>
        </w:rPr>
      </w:pPr>
    </w:p>
    <w:p w:rsidR="002246B0" w:rsidRDefault="002246B0" w:rsidP="002246B0">
      <w:pPr>
        <w:spacing w:after="0"/>
        <w:jc w:val="both"/>
        <w:rPr>
          <w:rFonts w:ascii="Arial" w:hAnsi="Arial" w:cs="Arial"/>
          <w:sz w:val="20"/>
          <w:szCs w:val="20"/>
          <w:shd w:val="clear" w:color="auto" w:fill="FFFFFF"/>
        </w:rPr>
      </w:pPr>
      <w:r w:rsidRPr="002246B0">
        <w:rPr>
          <w:rFonts w:ascii="Arial" w:hAnsi="Arial" w:cs="Arial"/>
          <w:sz w:val="20"/>
          <w:szCs w:val="20"/>
          <w:shd w:val="clear" w:color="auto" w:fill="FFFFFF"/>
        </w:rPr>
        <w:t>É lícita a terceirização ou qualquer outra forma de divisão do trabalho entre pessoas jurídicas distintas, independentemente do objeto social das empresas envolvidas, mantida a responsabilidade subsidiária da empresa contratante.</w:t>
      </w:r>
    </w:p>
    <w:p w:rsidR="002246B0" w:rsidRDefault="002246B0" w:rsidP="002246B0">
      <w:pPr>
        <w:spacing w:after="0"/>
        <w:jc w:val="both"/>
        <w:rPr>
          <w:rFonts w:ascii="Arial" w:hAnsi="Arial" w:cs="Arial"/>
          <w:sz w:val="20"/>
          <w:szCs w:val="20"/>
          <w:shd w:val="clear" w:color="auto" w:fill="FFFFFF"/>
        </w:rPr>
      </w:pPr>
      <w:r w:rsidRPr="002246B0">
        <w:rPr>
          <w:rFonts w:ascii="Arial" w:hAnsi="Arial" w:cs="Arial"/>
          <w:sz w:val="20"/>
          <w:szCs w:val="20"/>
          <w:shd w:val="clear" w:color="auto" w:fill="FFFFFF"/>
        </w:rPr>
        <w:t>Ao fixar essa tese de repercussão geral (Tema </w:t>
      </w:r>
      <w:r>
        <w:rPr>
          <w:rFonts w:ascii="Arial" w:hAnsi="Arial" w:cs="Arial"/>
          <w:sz w:val="20"/>
          <w:szCs w:val="20"/>
          <w:shd w:val="clear" w:color="auto" w:fill="FFFFFF"/>
        </w:rPr>
        <w:t>725</w:t>
      </w:r>
      <w:r w:rsidRPr="002246B0">
        <w:rPr>
          <w:rFonts w:ascii="Arial" w:hAnsi="Arial" w:cs="Arial"/>
          <w:sz w:val="20"/>
          <w:szCs w:val="20"/>
          <w:shd w:val="clear" w:color="auto" w:fill="FFFFFF"/>
        </w:rPr>
        <w:t xml:space="preserve">), o Plenário, em conclusão de julgamento conjunto e por maioria, julgou procedente o pedido formulado em arguição de descumprimento de preceito fundamental (ADPF) e deu provimento </w:t>
      </w:r>
      <w:proofErr w:type="spellStart"/>
      <w:r w:rsidRPr="002246B0">
        <w:rPr>
          <w:rFonts w:ascii="Arial" w:hAnsi="Arial" w:cs="Arial"/>
          <w:sz w:val="20"/>
          <w:szCs w:val="20"/>
          <w:shd w:val="clear" w:color="auto" w:fill="FFFFFF"/>
        </w:rPr>
        <w:t>a</w:t>
      </w:r>
      <w:proofErr w:type="spellEnd"/>
      <w:r w:rsidRPr="002246B0">
        <w:rPr>
          <w:rFonts w:ascii="Arial" w:hAnsi="Arial" w:cs="Arial"/>
          <w:sz w:val="20"/>
          <w:szCs w:val="20"/>
          <w:shd w:val="clear" w:color="auto" w:fill="FFFFFF"/>
        </w:rPr>
        <w:t xml:space="preserve"> recurso extraordinário (RE) para considerar a licitude da terceirização de atividade-fim ou meio.</w:t>
      </w:r>
    </w:p>
    <w:p w:rsidR="002246B0" w:rsidRDefault="002246B0" w:rsidP="002246B0">
      <w:pPr>
        <w:spacing w:after="0"/>
        <w:jc w:val="both"/>
        <w:rPr>
          <w:rFonts w:ascii="Arial" w:hAnsi="Arial" w:cs="Arial"/>
          <w:sz w:val="20"/>
          <w:szCs w:val="20"/>
          <w:shd w:val="clear" w:color="auto" w:fill="FFFFFF"/>
        </w:rPr>
      </w:pPr>
      <w:r w:rsidRPr="002246B0">
        <w:rPr>
          <w:rFonts w:ascii="Arial" w:hAnsi="Arial" w:cs="Arial"/>
          <w:sz w:val="20"/>
          <w:szCs w:val="20"/>
        </w:rPr>
        <w:br/>
      </w:r>
      <w:r w:rsidRPr="002246B0">
        <w:rPr>
          <w:rFonts w:ascii="Arial" w:hAnsi="Arial" w:cs="Arial"/>
          <w:sz w:val="20"/>
          <w:szCs w:val="20"/>
          <w:shd w:val="clear" w:color="auto" w:fill="FFFFFF"/>
        </w:rPr>
        <w:t>No caso, o pedido de inclusão da ADPF em pauta e o reconhecimento da repercussão geral foram anteriores à edição das Leis 13.429/2017 e 13.467/2017.</w:t>
      </w:r>
    </w:p>
    <w:p w:rsidR="002246B0" w:rsidRDefault="002246B0" w:rsidP="002246B0">
      <w:pPr>
        <w:spacing w:after="0"/>
        <w:jc w:val="both"/>
        <w:rPr>
          <w:rFonts w:ascii="Arial" w:hAnsi="Arial" w:cs="Arial"/>
          <w:sz w:val="20"/>
          <w:szCs w:val="20"/>
          <w:shd w:val="clear" w:color="auto" w:fill="FFFFFF"/>
        </w:rPr>
      </w:pPr>
      <w:r w:rsidRPr="002246B0">
        <w:rPr>
          <w:rFonts w:ascii="Arial" w:hAnsi="Arial" w:cs="Arial"/>
          <w:sz w:val="20"/>
          <w:szCs w:val="20"/>
        </w:rPr>
        <w:br/>
      </w:r>
      <w:r w:rsidRPr="002246B0">
        <w:rPr>
          <w:rFonts w:ascii="Arial" w:hAnsi="Arial" w:cs="Arial"/>
          <w:sz w:val="20"/>
          <w:szCs w:val="20"/>
          <w:shd w:val="clear" w:color="auto" w:fill="FFFFFF"/>
        </w:rPr>
        <w:t xml:space="preserve">Prevaleceram os votos dos ministros Roberto Barroso (relator da ADPF) e Luiz </w:t>
      </w:r>
      <w:proofErr w:type="spellStart"/>
      <w:r w:rsidRPr="002246B0">
        <w:rPr>
          <w:rFonts w:ascii="Arial" w:hAnsi="Arial" w:cs="Arial"/>
          <w:sz w:val="20"/>
          <w:szCs w:val="20"/>
          <w:shd w:val="clear" w:color="auto" w:fill="FFFFFF"/>
        </w:rPr>
        <w:t>Fux</w:t>
      </w:r>
      <w:proofErr w:type="spellEnd"/>
      <w:r w:rsidRPr="002246B0">
        <w:rPr>
          <w:rFonts w:ascii="Arial" w:hAnsi="Arial" w:cs="Arial"/>
          <w:sz w:val="20"/>
          <w:szCs w:val="20"/>
          <w:shd w:val="clear" w:color="auto" w:fill="FFFFFF"/>
        </w:rPr>
        <w:t xml:space="preserve"> (relator do RE).</w:t>
      </w:r>
      <w:r w:rsidRPr="002246B0">
        <w:rPr>
          <w:rFonts w:ascii="Arial" w:hAnsi="Arial" w:cs="Arial"/>
          <w:sz w:val="20"/>
          <w:szCs w:val="20"/>
        </w:rPr>
        <w:br/>
      </w:r>
      <w:r w:rsidRPr="002246B0">
        <w:rPr>
          <w:rFonts w:ascii="Arial" w:hAnsi="Arial" w:cs="Arial"/>
          <w:sz w:val="20"/>
          <w:szCs w:val="20"/>
        </w:rPr>
        <w:br/>
      </w:r>
      <w:r w:rsidRPr="002246B0">
        <w:rPr>
          <w:rFonts w:ascii="Arial" w:hAnsi="Arial" w:cs="Arial"/>
          <w:sz w:val="20"/>
          <w:szCs w:val="20"/>
          <w:shd w:val="clear" w:color="auto" w:fill="FFFFFF"/>
        </w:rPr>
        <w:t xml:space="preserve">O ministro Roberto Barroso advertiu que, no contexto atual, é inevitável que o Direito do Trabalho </w:t>
      </w:r>
      <w:r w:rsidRPr="002246B0">
        <w:rPr>
          <w:rFonts w:ascii="Arial" w:hAnsi="Arial" w:cs="Arial"/>
          <w:sz w:val="20"/>
          <w:szCs w:val="20"/>
          <w:shd w:val="clear" w:color="auto" w:fill="FFFFFF"/>
        </w:rPr>
        <w:lastRenderedPageBreak/>
        <w:t>passe, nos países de economia aberta, por transformações. Além disso, a Constituição Federal (CF) não impõe a adoção de um modelo de produção específico, não impede o desenvolvimento de estratégias de produção flexíveis, tampouco veda a terceirização.</w:t>
      </w:r>
    </w:p>
    <w:p w:rsidR="002246B0" w:rsidRDefault="002246B0" w:rsidP="002246B0">
      <w:pPr>
        <w:spacing w:after="0"/>
        <w:jc w:val="both"/>
        <w:rPr>
          <w:rFonts w:ascii="Arial" w:hAnsi="Arial" w:cs="Arial"/>
          <w:sz w:val="20"/>
          <w:szCs w:val="20"/>
          <w:shd w:val="clear" w:color="auto" w:fill="FFFFFF"/>
        </w:rPr>
      </w:pPr>
      <w:r w:rsidRPr="002246B0">
        <w:rPr>
          <w:rFonts w:ascii="Arial" w:hAnsi="Arial" w:cs="Arial"/>
          <w:sz w:val="20"/>
          <w:szCs w:val="20"/>
        </w:rPr>
        <w:br/>
      </w:r>
      <w:r w:rsidRPr="002246B0">
        <w:rPr>
          <w:rFonts w:ascii="Arial" w:hAnsi="Arial" w:cs="Arial"/>
          <w:sz w:val="20"/>
          <w:szCs w:val="20"/>
          <w:shd w:val="clear" w:color="auto" w:fill="FFFFFF"/>
        </w:rPr>
        <w:t>O conjunto de decisões da Justiça do Trabalho sobre a matéria não estabelece critérios e condições claras e objetivas que permitam a celebração de terceirização com segurança, de modo a dificultar, na prática, a sua contratação.</w:t>
      </w:r>
    </w:p>
    <w:p w:rsidR="002246B0" w:rsidRDefault="002246B0" w:rsidP="002246B0">
      <w:pPr>
        <w:spacing w:after="0"/>
        <w:jc w:val="both"/>
        <w:rPr>
          <w:rFonts w:ascii="Arial" w:hAnsi="Arial" w:cs="Arial"/>
          <w:sz w:val="20"/>
          <w:szCs w:val="20"/>
          <w:shd w:val="clear" w:color="auto" w:fill="FFFFFF"/>
        </w:rPr>
      </w:pPr>
      <w:r w:rsidRPr="002246B0">
        <w:rPr>
          <w:rFonts w:ascii="Arial" w:hAnsi="Arial" w:cs="Arial"/>
          <w:sz w:val="20"/>
          <w:szCs w:val="20"/>
        </w:rPr>
        <w:br/>
      </w:r>
      <w:r w:rsidRPr="002246B0">
        <w:rPr>
          <w:rFonts w:ascii="Arial" w:hAnsi="Arial" w:cs="Arial"/>
          <w:sz w:val="20"/>
          <w:szCs w:val="20"/>
          <w:shd w:val="clear" w:color="auto" w:fill="FFFFFF"/>
        </w:rPr>
        <w:t>A terceirização das atividades-meio ou das atividades-fim de uma empresa tem amparo nos princípios constitucionais da livre iniciativa e da livre concorrência, que asseguram aos agentes econômicos a liberdade de formular estratégias negociais indutoras de maior eficiência econômica e competitividade.</w:t>
      </w:r>
    </w:p>
    <w:p w:rsidR="00DC24DF" w:rsidRDefault="002246B0" w:rsidP="002246B0">
      <w:pPr>
        <w:spacing w:after="0"/>
        <w:jc w:val="both"/>
        <w:rPr>
          <w:rFonts w:ascii="Arial" w:hAnsi="Arial" w:cs="Arial"/>
          <w:sz w:val="20"/>
          <w:szCs w:val="20"/>
          <w:shd w:val="clear" w:color="auto" w:fill="FFFFFF"/>
        </w:rPr>
      </w:pPr>
      <w:r w:rsidRPr="002246B0">
        <w:rPr>
          <w:rFonts w:ascii="Arial" w:hAnsi="Arial" w:cs="Arial"/>
          <w:sz w:val="20"/>
          <w:szCs w:val="20"/>
        </w:rPr>
        <w:br/>
      </w:r>
      <w:r w:rsidRPr="002246B0">
        <w:rPr>
          <w:rFonts w:ascii="Arial" w:hAnsi="Arial" w:cs="Arial"/>
          <w:sz w:val="20"/>
          <w:szCs w:val="20"/>
          <w:shd w:val="clear" w:color="auto" w:fill="FFFFFF"/>
        </w:rPr>
        <w:t>Por si só, a terceirização não enseja precarização do trabalho, violação da dignidade do trabalhador ou desrespeito a direitos previdenciários. Terceirizar não significa necessariamente reduzir custos. É o exercício abusivo de sua contratação que pode produzir tais violações.</w:t>
      </w:r>
      <w:r w:rsidRPr="002246B0">
        <w:rPr>
          <w:rFonts w:ascii="Arial" w:hAnsi="Arial" w:cs="Arial"/>
          <w:sz w:val="20"/>
          <w:szCs w:val="20"/>
        </w:rPr>
        <w:br/>
      </w:r>
      <w:r w:rsidRPr="002246B0">
        <w:rPr>
          <w:rFonts w:ascii="Arial" w:hAnsi="Arial" w:cs="Arial"/>
          <w:sz w:val="20"/>
          <w:szCs w:val="20"/>
        </w:rPr>
        <w:br/>
      </w:r>
      <w:r w:rsidRPr="002246B0">
        <w:rPr>
          <w:rFonts w:ascii="Arial" w:hAnsi="Arial" w:cs="Arial"/>
          <w:sz w:val="20"/>
          <w:szCs w:val="20"/>
          <w:shd w:val="clear" w:color="auto" w:fill="FFFFFF"/>
        </w:rPr>
        <w:t>Para evitar o exercício abusivo, os princípios que amparam a constitucionalidade da terceirização devem ser compatibilizados com as normas constitucionais de tutela do trabalhador, cabendo à contratante observar certas formalidades.</w:t>
      </w:r>
      <w:r w:rsidR="00DC24DF">
        <w:rPr>
          <w:rFonts w:ascii="Arial" w:hAnsi="Arial" w:cs="Arial"/>
          <w:sz w:val="20"/>
          <w:szCs w:val="20"/>
          <w:shd w:val="clear" w:color="auto" w:fill="FFFFFF"/>
        </w:rPr>
        <w:t xml:space="preserve"> </w:t>
      </w:r>
      <w:r w:rsidRPr="002246B0">
        <w:rPr>
          <w:rFonts w:ascii="Arial" w:hAnsi="Arial" w:cs="Arial"/>
          <w:sz w:val="20"/>
          <w:szCs w:val="20"/>
          <w:shd w:val="clear" w:color="auto" w:fill="FFFFFF"/>
        </w:rPr>
        <w:t xml:space="preserve">É lícita a terceirização de toda e qualquer atividade, meio ou fim, de forma que não se configura relação de emprego entre a contratante e o empregado da contratada. </w:t>
      </w:r>
    </w:p>
    <w:p w:rsidR="00DC24DF" w:rsidRDefault="00DC24DF" w:rsidP="002246B0">
      <w:pPr>
        <w:spacing w:after="0"/>
        <w:jc w:val="both"/>
        <w:rPr>
          <w:rFonts w:ascii="Arial" w:hAnsi="Arial" w:cs="Arial"/>
          <w:sz w:val="20"/>
          <w:szCs w:val="20"/>
          <w:shd w:val="clear" w:color="auto" w:fill="FFFFFF"/>
        </w:rPr>
      </w:pPr>
    </w:p>
    <w:p w:rsidR="002246B0" w:rsidRDefault="002246B0" w:rsidP="002246B0">
      <w:pPr>
        <w:spacing w:after="0"/>
        <w:jc w:val="both"/>
        <w:rPr>
          <w:rFonts w:ascii="Arial" w:hAnsi="Arial" w:cs="Arial"/>
          <w:sz w:val="20"/>
          <w:szCs w:val="20"/>
          <w:shd w:val="clear" w:color="auto" w:fill="FFFFFF"/>
        </w:rPr>
      </w:pPr>
      <w:r w:rsidRPr="002246B0">
        <w:rPr>
          <w:rFonts w:ascii="Arial" w:hAnsi="Arial" w:cs="Arial"/>
          <w:sz w:val="20"/>
          <w:szCs w:val="20"/>
          <w:shd w:val="clear" w:color="auto" w:fill="FFFFFF"/>
        </w:rPr>
        <w:t>Porém, na terceirização, compete à contratante verificar a idoneidade e a capacidade econômica da terceirizada e responder subsidiariamente pelo descumprimento das normas trabalhistas, bem como por obrigações previdenciárias.</w:t>
      </w:r>
    </w:p>
    <w:p w:rsidR="002246B0" w:rsidRPr="002246B0" w:rsidRDefault="002246B0" w:rsidP="002246B0">
      <w:pPr>
        <w:spacing w:after="0"/>
        <w:jc w:val="both"/>
        <w:rPr>
          <w:rFonts w:ascii="Arial" w:hAnsi="Arial" w:cs="Arial"/>
          <w:b/>
          <w:sz w:val="20"/>
          <w:szCs w:val="20"/>
        </w:rPr>
      </w:pPr>
      <w:r w:rsidRPr="002246B0">
        <w:rPr>
          <w:rFonts w:ascii="Arial" w:hAnsi="Arial" w:cs="Arial"/>
          <w:sz w:val="20"/>
          <w:szCs w:val="20"/>
          <w:shd w:val="clear" w:color="auto" w:fill="FFFFFF"/>
        </w:rPr>
        <w:t>A responsabilização subsidiária da tomadora dos serviços pressupõe a sua participação no processo judicial.</w:t>
      </w:r>
    </w:p>
    <w:p w:rsidR="002246B0" w:rsidRPr="002246B0" w:rsidRDefault="002246B0" w:rsidP="002246B0">
      <w:pPr>
        <w:spacing w:after="0"/>
        <w:jc w:val="both"/>
        <w:rPr>
          <w:rFonts w:ascii="Arial" w:hAnsi="Arial" w:cs="Arial"/>
          <w:b/>
          <w:sz w:val="20"/>
          <w:szCs w:val="20"/>
        </w:rPr>
      </w:pPr>
    </w:p>
    <w:p w:rsidR="00C20F3E" w:rsidRPr="002246B0" w:rsidRDefault="00C20F3E" w:rsidP="002246B0">
      <w:pPr>
        <w:spacing w:after="0"/>
        <w:jc w:val="both"/>
        <w:rPr>
          <w:rFonts w:ascii="Arial" w:hAnsi="Arial" w:cs="Arial"/>
          <w:sz w:val="20"/>
          <w:szCs w:val="20"/>
        </w:rPr>
      </w:pPr>
      <w:r w:rsidRPr="002246B0">
        <w:rPr>
          <w:rFonts w:ascii="Arial" w:hAnsi="Arial" w:cs="Arial"/>
          <w:i/>
          <w:sz w:val="20"/>
          <w:szCs w:val="20"/>
        </w:rPr>
        <w:t>Tese de Repercussão Geral</w:t>
      </w:r>
      <w:r w:rsidR="002246B0" w:rsidRPr="002246B0">
        <w:rPr>
          <w:rFonts w:ascii="Arial" w:hAnsi="Arial" w:cs="Arial"/>
          <w:i/>
          <w:sz w:val="20"/>
          <w:szCs w:val="20"/>
        </w:rPr>
        <w:t xml:space="preserve"> - Tema 725</w:t>
      </w:r>
      <w:r w:rsidRPr="002246B0">
        <w:rPr>
          <w:rFonts w:ascii="Arial" w:hAnsi="Arial" w:cs="Arial"/>
          <w:sz w:val="20"/>
          <w:szCs w:val="20"/>
        </w:rPr>
        <w:t>:</w:t>
      </w:r>
      <w:r w:rsidR="002246B0" w:rsidRPr="002246B0">
        <w:rPr>
          <w:rFonts w:ascii="Arial" w:hAnsi="Arial" w:cs="Arial"/>
          <w:sz w:val="20"/>
          <w:szCs w:val="20"/>
        </w:rPr>
        <w:t xml:space="preserve"> </w:t>
      </w:r>
      <w:r w:rsidR="002246B0" w:rsidRPr="002246B0">
        <w:rPr>
          <w:rFonts w:ascii="Arial" w:hAnsi="Arial" w:cs="Arial"/>
          <w:sz w:val="20"/>
          <w:szCs w:val="20"/>
          <w:shd w:val="clear" w:color="auto" w:fill="FFFFFF"/>
        </w:rPr>
        <w:t>É lícita a terceirização ou qualquer outra forma de divisão do trabalho entre pessoas jurídicas distintas, independentemente do objeto social das empresas envolvidas, mantida a responsabilidade subsidiária da empresa contratante.</w:t>
      </w:r>
    </w:p>
    <w:p w:rsidR="00543DF0" w:rsidRDefault="00543DF0" w:rsidP="00816942">
      <w:pPr>
        <w:spacing w:after="0"/>
        <w:rPr>
          <w:rFonts w:ascii="Arial" w:hAnsi="Arial" w:cs="Arial"/>
          <w:b/>
          <w:color w:val="000000"/>
          <w:sz w:val="20"/>
          <w:szCs w:val="20"/>
        </w:rPr>
      </w:pPr>
    </w:p>
    <w:p w:rsidR="000800D1" w:rsidRPr="0022060B" w:rsidRDefault="000800D1" w:rsidP="00816942">
      <w:pPr>
        <w:spacing w:after="0"/>
        <w:jc w:val="both"/>
        <w:rPr>
          <w:rFonts w:ascii="Arial" w:hAnsi="Arial" w:cs="Arial"/>
          <w:b/>
          <w:color w:val="000000"/>
          <w:sz w:val="20"/>
          <w:szCs w:val="20"/>
        </w:rPr>
      </w:pPr>
      <w:r w:rsidRPr="0022060B">
        <w:rPr>
          <w:rFonts w:ascii="Arial" w:hAnsi="Arial" w:cs="Arial"/>
          <w:b/>
          <w:color w:val="000000"/>
          <w:sz w:val="20"/>
          <w:szCs w:val="20"/>
        </w:rPr>
        <w:t>Superior Tribunal de Justiça:</w:t>
      </w:r>
    </w:p>
    <w:p w:rsidR="00CC4E55" w:rsidRDefault="00CC4E55" w:rsidP="006E12D5">
      <w:pPr>
        <w:spacing w:after="0"/>
        <w:jc w:val="both"/>
        <w:rPr>
          <w:rFonts w:ascii="Arial" w:hAnsi="Arial" w:cs="Arial"/>
          <w:b/>
          <w:color w:val="000000"/>
          <w:sz w:val="20"/>
          <w:szCs w:val="20"/>
        </w:rPr>
      </w:pPr>
    </w:p>
    <w:p w:rsidR="00C20F3E" w:rsidRPr="00C20F3E" w:rsidRDefault="00151D02" w:rsidP="006E12D5">
      <w:pPr>
        <w:spacing w:after="0"/>
        <w:jc w:val="both"/>
        <w:rPr>
          <w:rFonts w:ascii="Arial" w:hAnsi="Arial" w:cs="Arial"/>
          <w:b/>
          <w:sz w:val="20"/>
          <w:szCs w:val="20"/>
          <w:shd w:val="clear" w:color="auto" w:fill="FFFFFF"/>
        </w:rPr>
      </w:pPr>
      <w:hyperlink r:id="rId18" w:history="1">
        <w:proofErr w:type="spellStart"/>
        <w:r w:rsidR="00C20F3E" w:rsidRPr="00C20F3E">
          <w:rPr>
            <w:rStyle w:val="Hyperlink"/>
            <w:rFonts w:ascii="Arial" w:hAnsi="Arial" w:cs="Arial"/>
            <w:b/>
            <w:sz w:val="20"/>
            <w:szCs w:val="20"/>
            <w:shd w:val="clear" w:color="auto" w:fill="FFFFFF"/>
          </w:rPr>
          <w:t>AREsp</w:t>
        </w:r>
        <w:proofErr w:type="spellEnd"/>
        <w:r w:rsidR="00C20F3E" w:rsidRPr="00C20F3E">
          <w:rPr>
            <w:rStyle w:val="Hyperlink"/>
            <w:rFonts w:ascii="Arial" w:hAnsi="Arial" w:cs="Arial"/>
            <w:b/>
            <w:sz w:val="20"/>
            <w:szCs w:val="20"/>
            <w:shd w:val="clear" w:color="auto" w:fill="FFFFFF"/>
          </w:rPr>
          <w:t xml:space="preserve"> 309.867-ES</w:t>
        </w:r>
      </w:hyperlink>
      <w:r w:rsidR="00C20F3E" w:rsidRPr="00C20F3E">
        <w:rPr>
          <w:rFonts w:ascii="Arial" w:hAnsi="Arial" w:cs="Arial"/>
          <w:b/>
          <w:sz w:val="20"/>
          <w:szCs w:val="20"/>
          <w:shd w:val="clear" w:color="auto" w:fill="FFFFFF"/>
        </w:rPr>
        <w:t xml:space="preserve">, Rel. Min. Gurgel de Faria, por unanimidade, julgado em 26/06/2018, </w:t>
      </w:r>
      <w:proofErr w:type="spellStart"/>
      <w:r w:rsidR="00C20F3E" w:rsidRPr="00C20F3E">
        <w:rPr>
          <w:rFonts w:ascii="Arial" w:hAnsi="Arial" w:cs="Arial"/>
          <w:b/>
          <w:sz w:val="20"/>
          <w:szCs w:val="20"/>
          <w:shd w:val="clear" w:color="auto" w:fill="FFFFFF"/>
        </w:rPr>
        <w:t>DJe</w:t>
      </w:r>
      <w:proofErr w:type="spellEnd"/>
      <w:r w:rsidR="00C20F3E" w:rsidRPr="00C20F3E">
        <w:rPr>
          <w:rFonts w:ascii="Arial" w:hAnsi="Arial" w:cs="Arial"/>
          <w:b/>
          <w:sz w:val="20"/>
          <w:szCs w:val="20"/>
          <w:shd w:val="clear" w:color="auto" w:fill="FFFFFF"/>
        </w:rPr>
        <w:t xml:space="preserve"> 08/08/2018.</w:t>
      </w:r>
    </w:p>
    <w:p w:rsidR="00C20F3E" w:rsidRDefault="00C20F3E" w:rsidP="006E12D5">
      <w:pPr>
        <w:spacing w:after="0"/>
        <w:jc w:val="both"/>
        <w:rPr>
          <w:rFonts w:ascii="Arial" w:hAnsi="Arial" w:cs="Arial"/>
          <w:b/>
          <w:sz w:val="20"/>
          <w:szCs w:val="20"/>
          <w:shd w:val="clear" w:color="auto" w:fill="FFFFFF"/>
        </w:rPr>
      </w:pPr>
    </w:p>
    <w:p w:rsidR="00C20F3E" w:rsidRPr="00C20F3E" w:rsidRDefault="00C20F3E" w:rsidP="006E12D5">
      <w:pPr>
        <w:spacing w:after="0"/>
        <w:jc w:val="both"/>
        <w:rPr>
          <w:rFonts w:ascii="Arial" w:hAnsi="Arial" w:cs="Arial"/>
          <w:color w:val="414F55"/>
          <w:sz w:val="20"/>
          <w:szCs w:val="20"/>
          <w:shd w:val="clear" w:color="auto" w:fill="FFFFFF"/>
        </w:rPr>
      </w:pPr>
      <w:r w:rsidRPr="00C20F3E">
        <w:rPr>
          <w:rFonts w:ascii="Arial" w:hAnsi="Arial" w:cs="Arial"/>
          <w:b/>
          <w:sz w:val="20"/>
          <w:szCs w:val="20"/>
          <w:shd w:val="clear" w:color="auto" w:fill="FFFFFF"/>
        </w:rPr>
        <w:lastRenderedPageBreak/>
        <w:t>Sociedade empresária em recuperação judicial. Participação em licitação. Possibilidade. Certidão de concordata. Previsão na Lei n. 8.666/1993. Interpretação extensiva. Descabimento. Aptidão econômico-financeira. Comprovação. Necessidade</w:t>
      </w:r>
      <w:r w:rsidRPr="00C20F3E">
        <w:rPr>
          <w:rFonts w:ascii="Arial" w:hAnsi="Arial" w:cs="Arial"/>
          <w:color w:val="414F55"/>
          <w:sz w:val="20"/>
          <w:szCs w:val="20"/>
          <w:shd w:val="clear" w:color="auto" w:fill="FFFFFF"/>
        </w:rPr>
        <w:t>.</w:t>
      </w:r>
    </w:p>
    <w:p w:rsidR="00C20F3E" w:rsidRPr="00C20F3E" w:rsidRDefault="00C20F3E" w:rsidP="006E12D5">
      <w:pPr>
        <w:spacing w:after="0"/>
        <w:jc w:val="both"/>
        <w:rPr>
          <w:rFonts w:ascii="Arial" w:hAnsi="Arial" w:cs="Arial"/>
          <w:b/>
          <w:sz w:val="20"/>
          <w:szCs w:val="20"/>
        </w:rPr>
      </w:pPr>
    </w:p>
    <w:p w:rsidR="00C20F3E" w:rsidRPr="00C20F3E" w:rsidRDefault="00C20F3E" w:rsidP="006E12D5">
      <w:pPr>
        <w:spacing w:after="0"/>
        <w:jc w:val="both"/>
        <w:rPr>
          <w:rFonts w:ascii="Arial" w:hAnsi="Arial" w:cs="Arial"/>
          <w:b/>
          <w:sz w:val="20"/>
          <w:szCs w:val="20"/>
        </w:rPr>
      </w:pPr>
      <w:r w:rsidRPr="00C20F3E">
        <w:rPr>
          <w:rFonts w:ascii="Arial" w:hAnsi="Arial" w:cs="Arial"/>
          <w:sz w:val="20"/>
          <w:szCs w:val="20"/>
          <w:shd w:val="clear" w:color="auto" w:fill="FFFFFF"/>
        </w:rPr>
        <w:t>Sociedade empresária em recuperação judicial pode participar de licitação, desde que demonstre, na fase de habilitação, a sua viabilidade econômica.</w:t>
      </w:r>
    </w:p>
    <w:p w:rsidR="00543DF0" w:rsidRDefault="00543DF0" w:rsidP="006E12D5">
      <w:pPr>
        <w:spacing w:after="0"/>
        <w:jc w:val="both"/>
        <w:rPr>
          <w:rFonts w:ascii="Arial" w:hAnsi="Arial" w:cs="Arial"/>
          <w:b/>
          <w:color w:val="000000"/>
          <w:sz w:val="20"/>
          <w:szCs w:val="20"/>
        </w:rPr>
      </w:pPr>
    </w:p>
    <w:p w:rsidR="000800D1" w:rsidRDefault="000800D1" w:rsidP="006E12D5">
      <w:pPr>
        <w:spacing w:after="0"/>
        <w:jc w:val="both"/>
        <w:rPr>
          <w:rFonts w:ascii="Arial" w:hAnsi="Arial" w:cs="Arial"/>
          <w:b/>
          <w:color w:val="000000"/>
          <w:sz w:val="20"/>
          <w:szCs w:val="20"/>
        </w:rPr>
      </w:pPr>
      <w:r w:rsidRPr="00DB558E">
        <w:rPr>
          <w:rFonts w:ascii="Arial" w:hAnsi="Arial" w:cs="Arial"/>
          <w:b/>
          <w:color w:val="000000"/>
          <w:sz w:val="20"/>
          <w:szCs w:val="20"/>
        </w:rPr>
        <w:t>Tribunal de Contas da União:</w:t>
      </w:r>
    </w:p>
    <w:p w:rsidR="00E3534F" w:rsidRDefault="00E3534F" w:rsidP="006E12D5">
      <w:pPr>
        <w:spacing w:after="0"/>
        <w:jc w:val="both"/>
        <w:rPr>
          <w:rFonts w:ascii="Arial" w:hAnsi="Arial" w:cs="Arial"/>
          <w:b/>
          <w:color w:val="000000"/>
          <w:sz w:val="20"/>
          <w:szCs w:val="20"/>
        </w:rPr>
      </w:pPr>
    </w:p>
    <w:p w:rsidR="00AC0054" w:rsidRPr="00AC0054" w:rsidRDefault="00151D02" w:rsidP="00AC0054">
      <w:pPr>
        <w:widowControl w:val="0"/>
        <w:autoSpaceDE w:val="0"/>
        <w:autoSpaceDN w:val="0"/>
        <w:jc w:val="both"/>
        <w:rPr>
          <w:rFonts w:ascii="Arial" w:hAnsi="Arial" w:cs="Arial"/>
          <w:b/>
          <w:sz w:val="20"/>
          <w:szCs w:val="20"/>
        </w:rPr>
      </w:pPr>
      <w:hyperlink r:id="rId19" w:history="1">
        <w:r w:rsidR="00AC0054" w:rsidRPr="00B03F59">
          <w:rPr>
            <w:rStyle w:val="Hyperlink"/>
            <w:rFonts w:ascii="Arial" w:hAnsi="Arial"/>
            <w:b/>
            <w:sz w:val="20"/>
            <w:szCs w:val="20"/>
          </w:rPr>
          <w:t>Acórdão 1455/2018</w:t>
        </w:r>
        <w:r w:rsidR="00B03F59">
          <w:rPr>
            <w:rStyle w:val="Hyperlink"/>
            <w:rFonts w:ascii="Arial" w:hAnsi="Arial"/>
            <w:b/>
            <w:sz w:val="20"/>
            <w:szCs w:val="20"/>
          </w:rPr>
          <w:t xml:space="preserve"> - </w:t>
        </w:r>
        <w:r w:rsidR="00AC0054" w:rsidRPr="00B03F59">
          <w:rPr>
            <w:rStyle w:val="Hyperlink"/>
            <w:rFonts w:ascii="Arial" w:hAnsi="Arial"/>
            <w:b/>
            <w:sz w:val="20"/>
            <w:szCs w:val="20"/>
          </w:rPr>
          <w:t>Plenário</w:t>
        </w:r>
      </w:hyperlink>
      <w:r w:rsidR="00AC0054" w:rsidRPr="00AC0054">
        <w:rPr>
          <w:rFonts w:ascii="Arial" w:hAnsi="Arial"/>
          <w:b/>
          <w:sz w:val="20"/>
          <w:szCs w:val="20"/>
        </w:rPr>
        <w:t xml:space="preserve"> </w:t>
      </w:r>
      <w:r w:rsidR="00AC0054" w:rsidRPr="00AC0054">
        <w:rPr>
          <w:rFonts w:ascii="Arial" w:hAnsi="Arial"/>
          <w:sz w:val="20"/>
          <w:szCs w:val="20"/>
        </w:rPr>
        <w:t xml:space="preserve">(Tomada de Contas Especial, Relator Ministro Benjamin </w:t>
      </w:r>
      <w:proofErr w:type="spellStart"/>
      <w:r w:rsidR="00AC0054" w:rsidRPr="00AC0054">
        <w:rPr>
          <w:rFonts w:ascii="Arial" w:hAnsi="Arial"/>
          <w:sz w:val="20"/>
          <w:szCs w:val="20"/>
        </w:rPr>
        <w:t>Zymler</w:t>
      </w:r>
      <w:proofErr w:type="spellEnd"/>
      <w:r w:rsidR="00AC0054" w:rsidRPr="00AC0054">
        <w:rPr>
          <w:rFonts w:ascii="Arial" w:hAnsi="Arial"/>
          <w:sz w:val="20"/>
          <w:szCs w:val="20"/>
        </w:rPr>
        <w:t>)</w:t>
      </w:r>
    </w:p>
    <w:p w:rsidR="00AC0054" w:rsidRPr="00C20F3E" w:rsidRDefault="00AC0054" w:rsidP="00AC0054">
      <w:pPr>
        <w:jc w:val="both"/>
        <w:rPr>
          <w:rFonts w:ascii="Arial" w:hAnsi="Arial" w:cs="Arial"/>
          <w:b/>
          <w:sz w:val="20"/>
          <w:szCs w:val="20"/>
        </w:rPr>
      </w:pPr>
      <w:r w:rsidRPr="00C20F3E">
        <w:rPr>
          <w:rFonts w:ascii="Arial" w:hAnsi="Arial"/>
          <w:b/>
          <w:sz w:val="20"/>
          <w:szCs w:val="20"/>
        </w:rPr>
        <w:t>Responsabilidade. Licitação. Orçamento estimativo. Solidariedade. Preço de mercado. Superfaturamento. Licitante.</w:t>
      </w:r>
    </w:p>
    <w:p w:rsidR="00AC0054" w:rsidRDefault="00AC0054" w:rsidP="00AC0054">
      <w:pPr>
        <w:pStyle w:val="TCU-Epgrafe"/>
        <w:spacing w:after="200" w:line="276" w:lineRule="auto"/>
        <w:ind w:left="0"/>
        <w:rPr>
          <w:rFonts w:ascii="Arial" w:hAnsi="Arial"/>
          <w:sz w:val="20"/>
          <w:shd w:val="clear" w:color="auto" w:fill="FFFFFF"/>
        </w:rPr>
      </w:pPr>
      <w:r w:rsidRPr="00AC0054">
        <w:rPr>
          <w:rFonts w:ascii="Arial" w:hAnsi="Arial"/>
          <w:sz w:val="20"/>
          <w:shd w:val="clear" w:color="auto" w:fill="FFFFFF"/>
        </w:rPr>
        <w:t>Os licitantes, sob risco de responderem por superfaturamento em solidariedade com os agentes públicos, têm a obrigação de oferecer preços que reflitam os paradigmas de mercado, ainda que os valores fixados pela Administração no orçamento-base do certame se situem além daquele patamar.</w:t>
      </w:r>
    </w:p>
    <w:p w:rsidR="0049263C" w:rsidRPr="0049263C" w:rsidRDefault="00151D02" w:rsidP="0049263C">
      <w:pPr>
        <w:widowControl w:val="0"/>
        <w:autoSpaceDE w:val="0"/>
        <w:autoSpaceDN w:val="0"/>
        <w:jc w:val="both"/>
        <w:rPr>
          <w:rFonts w:ascii="Arial" w:hAnsi="Arial" w:cs="Arial"/>
          <w:b/>
          <w:sz w:val="20"/>
          <w:szCs w:val="20"/>
        </w:rPr>
      </w:pPr>
      <w:hyperlink r:id="rId20" w:history="1">
        <w:r w:rsidR="0049263C" w:rsidRPr="00797F88">
          <w:rPr>
            <w:rStyle w:val="Hyperlink"/>
            <w:rFonts w:ascii="Arial" w:hAnsi="Arial" w:cs="Arial"/>
            <w:b/>
            <w:sz w:val="20"/>
            <w:szCs w:val="20"/>
          </w:rPr>
          <w:t xml:space="preserve">Acórdão 1457/2018 </w:t>
        </w:r>
        <w:r w:rsidR="00797F88">
          <w:rPr>
            <w:rStyle w:val="Hyperlink"/>
            <w:rFonts w:ascii="Arial" w:hAnsi="Arial" w:cs="Arial"/>
            <w:b/>
            <w:sz w:val="20"/>
            <w:szCs w:val="20"/>
          </w:rPr>
          <w:t xml:space="preserve">- </w:t>
        </w:r>
        <w:r w:rsidR="0049263C" w:rsidRPr="00797F88">
          <w:rPr>
            <w:rStyle w:val="Hyperlink"/>
            <w:rFonts w:ascii="Arial" w:hAnsi="Arial" w:cs="Arial"/>
            <w:b/>
            <w:sz w:val="20"/>
            <w:szCs w:val="20"/>
          </w:rPr>
          <w:t>Plenário</w:t>
        </w:r>
      </w:hyperlink>
      <w:r w:rsidR="0049263C" w:rsidRPr="0049263C">
        <w:rPr>
          <w:rFonts w:ascii="Arial" w:hAnsi="Arial" w:cs="Arial"/>
          <w:b/>
          <w:sz w:val="20"/>
          <w:szCs w:val="20"/>
        </w:rPr>
        <w:t xml:space="preserve"> </w:t>
      </w:r>
      <w:r w:rsidR="0049263C" w:rsidRPr="0049263C">
        <w:rPr>
          <w:rFonts w:ascii="Arial" w:hAnsi="Arial" w:cs="Arial"/>
          <w:sz w:val="20"/>
          <w:szCs w:val="20"/>
        </w:rPr>
        <w:t xml:space="preserve">(Embargos de Declaração, Relator Ministro Benjamin </w:t>
      </w:r>
      <w:proofErr w:type="spellStart"/>
      <w:r w:rsidR="0049263C" w:rsidRPr="0049263C">
        <w:rPr>
          <w:rFonts w:ascii="Arial" w:hAnsi="Arial" w:cs="Arial"/>
          <w:sz w:val="20"/>
          <w:szCs w:val="20"/>
        </w:rPr>
        <w:t>Zymler</w:t>
      </w:r>
      <w:proofErr w:type="spellEnd"/>
      <w:r w:rsidR="0049263C" w:rsidRPr="0049263C">
        <w:rPr>
          <w:rFonts w:ascii="Arial" w:hAnsi="Arial" w:cs="Arial"/>
          <w:sz w:val="20"/>
          <w:szCs w:val="20"/>
        </w:rPr>
        <w:t>)</w:t>
      </w:r>
    </w:p>
    <w:p w:rsidR="0049263C" w:rsidRPr="00C20F3E" w:rsidRDefault="0049263C" w:rsidP="0049263C">
      <w:pPr>
        <w:jc w:val="both"/>
        <w:rPr>
          <w:rFonts w:ascii="Arial" w:hAnsi="Arial" w:cs="Arial"/>
          <w:b/>
          <w:sz w:val="20"/>
          <w:szCs w:val="20"/>
        </w:rPr>
      </w:pPr>
      <w:r w:rsidRPr="00C20F3E">
        <w:rPr>
          <w:rFonts w:ascii="Arial" w:hAnsi="Arial" w:cs="Arial"/>
          <w:b/>
          <w:sz w:val="20"/>
          <w:szCs w:val="20"/>
        </w:rPr>
        <w:t>Direito Processual. Prova (Direito). Prova emprestada. Validade. Princípio da ampla defesa. Princípio do contraditório.</w:t>
      </w:r>
    </w:p>
    <w:p w:rsidR="0049263C" w:rsidRDefault="0049263C" w:rsidP="0049263C">
      <w:pPr>
        <w:pStyle w:val="TCU-Epgrafe"/>
        <w:spacing w:after="200" w:line="276" w:lineRule="auto"/>
        <w:ind w:left="0"/>
        <w:rPr>
          <w:rStyle w:val="Hyperlink"/>
          <w:rFonts w:ascii="Arial" w:hAnsi="Arial" w:cs="Arial"/>
          <w:bCs/>
          <w:iCs/>
          <w:color w:val="auto"/>
          <w:sz w:val="20"/>
        </w:rPr>
      </w:pPr>
      <w:r w:rsidRPr="0049263C">
        <w:rPr>
          <w:rFonts w:ascii="Arial" w:hAnsi="Arial" w:cs="Arial"/>
          <w:bCs/>
          <w:iCs/>
          <w:sz w:val="20"/>
        </w:rPr>
        <w:t xml:space="preserve">É lícita a utilização de prova emprestada obtida de processo judicial </w:t>
      </w:r>
      <w:r w:rsidR="0001675E">
        <w:rPr>
          <w:rFonts w:ascii="Arial" w:hAnsi="Arial" w:cs="Arial"/>
          <w:bCs/>
          <w:iCs/>
          <w:sz w:val="20"/>
        </w:rPr>
        <w:t>-</w:t>
      </w:r>
      <w:r w:rsidRPr="0049263C">
        <w:rPr>
          <w:rFonts w:ascii="Arial" w:hAnsi="Arial" w:cs="Arial"/>
          <w:bCs/>
          <w:iCs/>
          <w:sz w:val="20"/>
        </w:rPr>
        <w:t xml:space="preserve"> desde que exista autorização do juiz ou que este tenha tornado públicos os documentos </w:t>
      </w:r>
      <w:r w:rsidR="0001675E">
        <w:rPr>
          <w:rFonts w:ascii="Arial" w:hAnsi="Arial" w:cs="Arial"/>
          <w:bCs/>
          <w:iCs/>
          <w:sz w:val="20"/>
        </w:rPr>
        <w:t>-</w:t>
      </w:r>
      <w:r w:rsidRPr="0049263C">
        <w:rPr>
          <w:rFonts w:ascii="Arial" w:hAnsi="Arial" w:cs="Arial"/>
          <w:bCs/>
          <w:iCs/>
          <w:sz w:val="20"/>
        </w:rPr>
        <w:t xml:space="preserve"> no qual não figuram as mesmas partes envolvidas no processo de controle externo, dependendo a validade da prova emprestada da realização de contraditório no âmbito do TCU, com fundamento nos artigos 369 e 372 da </w:t>
      </w:r>
      <w:hyperlink r:id="rId21" w:history="1">
        <w:r w:rsidRPr="0049263C">
          <w:rPr>
            <w:rStyle w:val="Hyperlink"/>
            <w:rFonts w:ascii="Arial" w:hAnsi="Arial" w:cs="Arial"/>
            <w:bCs/>
            <w:iCs/>
            <w:color w:val="0000FF" w:themeColor="hyperlink"/>
            <w:sz w:val="20"/>
          </w:rPr>
          <w:t xml:space="preserve">Lei 13.105/2015 </w:t>
        </w:r>
      </w:hyperlink>
      <w:r w:rsidRPr="0049263C">
        <w:rPr>
          <w:rStyle w:val="Hyperlink"/>
          <w:rFonts w:ascii="Arial" w:hAnsi="Arial" w:cs="Arial"/>
          <w:bCs/>
          <w:iCs/>
          <w:color w:val="auto"/>
          <w:sz w:val="20"/>
        </w:rPr>
        <w:t>(CPC).</w:t>
      </w:r>
    </w:p>
    <w:p w:rsidR="00BF2333" w:rsidRPr="00BF2333" w:rsidRDefault="00151D02" w:rsidP="00BF2333">
      <w:pPr>
        <w:widowControl w:val="0"/>
        <w:autoSpaceDE w:val="0"/>
        <w:autoSpaceDN w:val="0"/>
        <w:jc w:val="both"/>
        <w:rPr>
          <w:rFonts w:ascii="Arial" w:hAnsi="Arial" w:cs="Arial"/>
          <w:b/>
          <w:sz w:val="20"/>
          <w:szCs w:val="20"/>
        </w:rPr>
      </w:pPr>
      <w:hyperlink r:id="rId22" w:history="1">
        <w:r w:rsidR="00BF2333" w:rsidRPr="0091519E">
          <w:rPr>
            <w:rStyle w:val="Hyperlink"/>
            <w:rFonts w:ascii="Arial" w:hAnsi="Arial" w:cs="Arial"/>
            <w:b/>
            <w:sz w:val="20"/>
            <w:szCs w:val="20"/>
          </w:rPr>
          <w:t xml:space="preserve">Acórdão 5321/2018 </w:t>
        </w:r>
        <w:r w:rsidR="0091519E">
          <w:rPr>
            <w:rStyle w:val="Hyperlink"/>
            <w:rFonts w:ascii="Arial" w:hAnsi="Arial" w:cs="Arial"/>
            <w:b/>
            <w:sz w:val="20"/>
            <w:szCs w:val="20"/>
          </w:rPr>
          <w:t xml:space="preserve">- </w:t>
        </w:r>
        <w:r w:rsidR="00BF2333" w:rsidRPr="0091519E">
          <w:rPr>
            <w:rStyle w:val="Hyperlink"/>
            <w:rFonts w:ascii="Arial" w:hAnsi="Arial" w:cs="Arial"/>
            <w:b/>
            <w:sz w:val="20"/>
            <w:szCs w:val="20"/>
          </w:rPr>
          <w:t>Segunda Câmara</w:t>
        </w:r>
      </w:hyperlink>
      <w:r w:rsidR="00BF2333" w:rsidRPr="00BF2333">
        <w:rPr>
          <w:rFonts w:ascii="Arial" w:hAnsi="Arial" w:cs="Arial"/>
          <w:b/>
          <w:sz w:val="20"/>
          <w:szCs w:val="20"/>
        </w:rPr>
        <w:t xml:space="preserve"> </w:t>
      </w:r>
      <w:r w:rsidR="00BF2333" w:rsidRPr="00BF2333">
        <w:rPr>
          <w:rFonts w:ascii="Arial" w:hAnsi="Arial" w:cs="Arial"/>
          <w:sz w:val="20"/>
          <w:szCs w:val="20"/>
        </w:rPr>
        <w:t xml:space="preserve">(Tomada de Contas Especial, Relator Ministro-Substituto Marcos </w:t>
      </w:r>
      <w:proofErr w:type="spellStart"/>
      <w:r w:rsidR="00BF2333" w:rsidRPr="00BF2333">
        <w:rPr>
          <w:rFonts w:ascii="Arial" w:hAnsi="Arial" w:cs="Arial"/>
          <w:sz w:val="20"/>
          <w:szCs w:val="20"/>
        </w:rPr>
        <w:t>Bemquerer</w:t>
      </w:r>
      <w:proofErr w:type="spellEnd"/>
      <w:r w:rsidR="00BF2333" w:rsidRPr="00BF2333">
        <w:rPr>
          <w:rFonts w:ascii="Arial" w:hAnsi="Arial" w:cs="Arial"/>
          <w:sz w:val="20"/>
          <w:szCs w:val="20"/>
        </w:rPr>
        <w:t>)</w:t>
      </w:r>
    </w:p>
    <w:p w:rsidR="00BF2333" w:rsidRPr="00C20F3E" w:rsidRDefault="00BF2333" w:rsidP="00BF2333">
      <w:pPr>
        <w:jc w:val="both"/>
        <w:rPr>
          <w:rFonts w:ascii="Arial" w:hAnsi="Arial" w:cs="Arial"/>
          <w:b/>
          <w:sz w:val="20"/>
          <w:szCs w:val="20"/>
        </w:rPr>
      </w:pPr>
      <w:r w:rsidRPr="00C20F3E">
        <w:rPr>
          <w:rFonts w:ascii="Arial" w:hAnsi="Arial" w:cs="Arial"/>
          <w:b/>
          <w:sz w:val="20"/>
          <w:szCs w:val="20"/>
        </w:rPr>
        <w:t>Responsabilidade. Convênio. Débito. Princípio da impessoalidade. Promoção pessoal.</w:t>
      </w:r>
    </w:p>
    <w:p w:rsidR="00BF2333" w:rsidRPr="00BF2333" w:rsidRDefault="00BF2333" w:rsidP="00BF2333">
      <w:pPr>
        <w:pStyle w:val="TCU-Epgrafe"/>
        <w:spacing w:after="200" w:line="276" w:lineRule="auto"/>
        <w:ind w:left="0"/>
        <w:rPr>
          <w:rFonts w:ascii="Arial" w:hAnsi="Arial" w:cs="Arial"/>
          <w:sz w:val="20"/>
        </w:rPr>
      </w:pPr>
      <w:r w:rsidRPr="00BF2333">
        <w:rPr>
          <w:rFonts w:ascii="Arial" w:hAnsi="Arial" w:cs="Arial"/>
          <w:sz w:val="20"/>
        </w:rPr>
        <w:t xml:space="preserve">Na execução de convênio, a divulgação de nomes, símbolos ou imagens que caracterizem promoção pessoal de autoridades ou servidores públicos contraria o disposto no art. 37, </w:t>
      </w:r>
      <w:r w:rsidRPr="00BF2333">
        <w:rPr>
          <w:rFonts w:ascii="Arial" w:hAnsi="Arial" w:cs="Arial"/>
          <w:i/>
          <w:sz w:val="20"/>
        </w:rPr>
        <w:t>caput</w:t>
      </w:r>
      <w:r w:rsidRPr="00BF2333">
        <w:rPr>
          <w:rFonts w:ascii="Arial" w:hAnsi="Arial" w:cs="Arial"/>
          <w:sz w:val="20"/>
        </w:rPr>
        <w:t xml:space="preserve"> e § 1º, da </w:t>
      </w:r>
      <w:hyperlink r:id="rId23" w:history="1">
        <w:r w:rsidRPr="00BF2333">
          <w:rPr>
            <w:rStyle w:val="Hyperlink"/>
            <w:rFonts w:ascii="Arial" w:hAnsi="Arial" w:cs="Arial"/>
            <w:color w:val="0000FF" w:themeColor="hyperlink"/>
            <w:sz w:val="20"/>
          </w:rPr>
          <w:t>Constituição Federal</w:t>
        </w:r>
      </w:hyperlink>
      <w:r w:rsidRPr="00BF2333">
        <w:rPr>
          <w:rFonts w:ascii="Arial" w:hAnsi="Arial" w:cs="Arial"/>
          <w:sz w:val="20"/>
        </w:rPr>
        <w:t>, todavia, por si só, não configura débito.</w:t>
      </w:r>
    </w:p>
    <w:p w:rsidR="00BF2333" w:rsidRPr="00BF2333" w:rsidRDefault="00151D02" w:rsidP="00BF2333">
      <w:pPr>
        <w:widowControl w:val="0"/>
        <w:autoSpaceDE w:val="0"/>
        <w:autoSpaceDN w:val="0"/>
        <w:jc w:val="both"/>
        <w:rPr>
          <w:rFonts w:ascii="Arial" w:hAnsi="Arial" w:cs="Arial"/>
          <w:b/>
          <w:sz w:val="20"/>
          <w:szCs w:val="20"/>
        </w:rPr>
      </w:pPr>
      <w:hyperlink r:id="rId24" w:history="1">
        <w:r w:rsidR="00BF2333" w:rsidRPr="00AE0A43">
          <w:rPr>
            <w:rStyle w:val="Hyperlink"/>
            <w:rFonts w:ascii="Arial" w:hAnsi="Arial" w:cs="Arial"/>
            <w:b/>
            <w:sz w:val="20"/>
            <w:szCs w:val="20"/>
          </w:rPr>
          <w:t>Acórdão 1551/2018</w:t>
        </w:r>
        <w:r w:rsidR="00AE0A43">
          <w:rPr>
            <w:rStyle w:val="Hyperlink"/>
            <w:rFonts w:ascii="Arial" w:hAnsi="Arial" w:cs="Arial"/>
            <w:b/>
            <w:sz w:val="20"/>
            <w:szCs w:val="20"/>
          </w:rPr>
          <w:t xml:space="preserve"> - </w:t>
        </w:r>
        <w:r w:rsidR="00BF2333" w:rsidRPr="00AE0A43">
          <w:rPr>
            <w:rStyle w:val="Hyperlink"/>
            <w:rFonts w:ascii="Arial" w:hAnsi="Arial" w:cs="Arial"/>
            <w:b/>
            <w:sz w:val="20"/>
            <w:szCs w:val="20"/>
          </w:rPr>
          <w:t>Plenário</w:t>
        </w:r>
      </w:hyperlink>
      <w:r w:rsidR="00BF2333" w:rsidRPr="00BF2333">
        <w:rPr>
          <w:rFonts w:ascii="Arial" w:hAnsi="Arial" w:cs="Arial"/>
          <w:b/>
          <w:sz w:val="20"/>
          <w:szCs w:val="20"/>
        </w:rPr>
        <w:t xml:space="preserve"> </w:t>
      </w:r>
      <w:r w:rsidR="00BF2333" w:rsidRPr="00BF2333">
        <w:rPr>
          <w:rFonts w:ascii="Arial" w:hAnsi="Arial" w:cs="Arial"/>
          <w:sz w:val="20"/>
          <w:szCs w:val="20"/>
        </w:rPr>
        <w:t xml:space="preserve">(Denúncia, Relator Ministro-Substituto Marcos </w:t>
      </w:r>
      <w:proofErr w:type="spellStart"/>
      <w:r w:rsidR="00BF2333" w:rsidRPr="00BF2333">
        <w:rPr>
          <w:rFonts w:ascii="Arial" w:hAnsi="Arial" w:cs="Arial"/>
          <w:sz w:val="20"/>
          <w:szCs w:val="20"/>
        </w:rPr>
        <w:t>Bemquerer</w:t>
      </w:r>
      <w:proofErr w:type="spellEnd"/>
      <w:r w:rsidR="00BF2333" w:rsidRPr="00BF2333">
        <w:rPr>
          <w:rFonts w:ascii="Arial" w:hAnsi="Arial" w:cs="Arial"/>
          <w:sz w:val="20"/>
          <w:szCs w:val="20"/>
        </w:rPr>
        <w:t>)</w:t>
      </w:r>
    </w:p>
    <w:p w:rsidR="00BF2333" w:rsidRPr="00C20F3E" w:rsidRDefault="00BF2333" w:rsidP="00BF2333">
      <w:pPr>
        <w:jc w:val="both"/>
        <w:rPr>
          <w:rFonts w:ascii="Arial" w:hAnsi="Arial" w:cs="Arial"/>
          <w:b/>
          <w:sz w:val="20"/>
          <w:szCs w:val="20"/>
        </w:rPr>
      </w:pPr>
      <w:r w:rsidRPr="00C20F3E">
        <w:rPr>
          <w:rFonts w:ascii="Arial" w:hAnsi="Arial" w:cs="Arial"/>
          <w:b/>
          <w:sz w:val="20"/>
          <w:szCs w:val="20"/>
        </w:rPr>
        <w:lastRenderedPageBreak/>
        <w:t>Pessoal. Acumulação de cargo público. Servidor público militar. Remuneração. Proventos.</w:t>
      </w:r>
    </w:p>
    <w:p w:rsidR="00BF2333" w:rsidRPr="00BF2333" w:rsidRDefault="00BF2333" w:rsidP="00BF2333">
      <w:pPr>
        <w:pStyle w:val="TCU-Epgrafe"/>
        <w:spacing w:after="200" w:line="276" w:lineRule="auto"/>
        <w:ind w:left="0"/>
        <w:rPr>
          <w:rFonts w:ascii="Arial" w:hAnsi="Arial" w:cs="Arial"/>
          <w:sz w:val="20"/>
        </w:rPr>
      </w:pPr>
      <w:r w:rsidRPr="00BF2333">
        <w:rPr>
          <w:rFonts w:ascii="Arial" w:hAnsi="Arial" w:cs="Arial"/>
          <w:sz w:val="20"/>
        </w:rPr>
        <w:t xml:space="preserve">É vedada ao militar inativo que reingressou no serviço público a partir da data de publicação da </w:t>
      </w:r>
      <w:hyperlink r:id="rId25" w:history="1">
        <w:r w:rsidRPr="00BF2333">
          <w:rPr>
            <w:rStyle w:val="Hyperlink"/>
            <w:rFonts w:ascii="Arial" w:hAnsi="Arial" w:cs="Arial"/>
            <w:color w:val="0000FF" w:themeColor="hyperlink"/>
            <w:sz w:val="20"/>
          </w:rPr>
          <w:t>EC 20/1998</w:t>
        </w:r>
      </w:hyperlink>
      <w:r w:rsidRPr="00BF2333">
        <w:rPr>
          <w:rFonts w:ascii="Arial" w:hAnsi="Arial" w:cs="Arial"/>
          <w:sz w:val="20"/>
        </w:rPr>
        <w:t xml:space="preserve"> (16/12/1998) a acumulação dos proventos com a remuneração do cargo público, salvo se configurada uma das exceções constantes do art. 37, inciso XVI c/c § 10, da </w:t>
      </w:r>
      <w:hyperlink r:id="rId26" w:history="1">
        <w:r w:rsidRPr="00BF2333">
          <w:rPr>
            <w:rStyle w:val="Hyperlink"/>
            <w:rFonts w:ascii="Arial" w:hAnsi="Arial" w:cs="Arial"/>
            <w:color w:val="0000FF" w:themeColor="hyperlink"/>
            <w:sz w:val="20"/>
          </w:rPr>
          <w:t>Constituição Federal</w:t>
        </w:r>
      </w:hyperlink>
      <w:r w:rsidRPr="00BF2333">
        <w:rPr>
          <w:rFonts w:ascii="Arial" w:hAnsi="Arial" w:cs="Arial"/>
          <w:sz w:val="20"/>
        </w:rPr>
        <w:t>.</w:t>
      </w:r>
    </w:p>
    <w:p w:rsidR="00BF2333" w:rsidRPr="00BF2333" w:rsidRDefault="00151D02" w:rsidP="00BF2333">
      <w:pPr>
        <w:widowControl w:val="0"/>
        <w:autoSpaceDE w:val="0"/>
        <w:autoSpaceDN w:val="0"/>
        <w:jc w:val="both"/>
        <w:rPr>
          <w:rFonts w:ascii="Arial" w:hAnsi="Arial" w:cs="Arial"/>
          <w:b/>
          <w:sz w:val="20"/>
          <w:szCs w:val="20"/>
        </w:rPr>
      </w:pPr>
      <w:hyperlink r:id="rId27" w:history="1">
        <w:r w:rsidR="00BF2333" w:rsidRPr="00167BB3">
          <w:rPr>
            <w:rStyle w:val="Hyperlink"/>
            <w:rFonts w:ascii="Arial" w:hAnsi="Arial"/>
            <w:b/>
            <w:sz w:val="20"/>
            <w:szCs w:val="20"/>
          </w:rPr>
          <w:t xml:space="preserve">Acórdão 1511/2018 </w:t>
        </w:r>
        <w:r w:rsidR="00167BB3">
          <w:rPr>
            <w:rStyle w:val="Hyperlink"/>
            <w:rFonts w:ascii="Arial" w:hAnsi="Arial"/>
            <w:b/>
            <w:sz w:val="20"/>
            <w:szCs w:val="20"/>
          </w:rPr>
          <w:t xml:space="preserve">- </w:t>
        </w:r>
        <w:r w:rsidR="00BF2333" w:rsidRPr="00167BB3">
          <w:rPr>
            <w:rStyle w:val="Hyperlink"/>
            <w:rFonts w:ascii="Arial" w:hAnsi="Arial"/>
            <w:b/>
            <w:sz w:val="20"/>
            <w:szCs w:val="20"/>
          </w:rPr>
          <w:t>Plenário</w:t>
        </w:r>
      </w:hyperlink>
      <w:r w:rsidR="00BF2333" w:rsidRPr="00BF2333">
        <w:rPr>
          <w:rFonts w:ascii="Arial" w:hAnsi="Arial"/>
          <w:b/>
          <w:sz w:val="20"/>
          <w:szCs w:val="20"/>
        </w:rPr>
        <w:t xml:space="preserve"> </w:t>
      </w:r>
      <w:r w:rsidR="00BF2333" w:rsidRPr="00BF2333">
        <w:rPr>
          <w:rFonts w:ascii="Arial" w:hAnsi="Arial"/>
          <w:sz w:val="20"/>
          <w:szCs w:val="20"/>
        </w:rPr>
        <w:t>(Auditoria, Relator Ministro Vital do Rêgo)</w:t>
      </w:r>
    </w:p>
    <w:p w:rsidR="00BF2333" w:rsidRPr="00C20F3E" w:rsidRDefault="00BF2333" w:rsidP="00BF2333">
      <w:pPr>
        <w:jc w:val="both"/>
        <w:rPr>
          <w:rFonts w:ascii="Arial" w:hAnsi="Arial" w:cs="Arial"/>
          <w:b/>
          <w:sz w:val="20"/>
          <w:szCs w:val="20"/>
        </w:rPr>
      </w:pPr>
      <w:r w:rsidRPr="00C20F3E">
        <w:rPr>
          <w:rFonts w:ascii="Arial" w:hAnsi="Arial"/>
          <w:b/>
          <w:sz w:val="20"/>
          <w:szCs w:val="20"/>
        </w:rPr>
        <w:t xml:space="preserve">Contrato Administrativo. Superfaturamento. BDI. Custo direto. </w:t>
      </w:r>
      <w:proofErr w:type="spellStart"/>
      <w:r w:rsidRPr="00C20F3E">
        <w:rPr>
          <w:rFonts w:ascii="Arial" w:hAnsi="Arial"/>
          <w:b/>
          <w:sz w:val="20"/>
          <w:szCs w:val="20"/>
        </w:rPr>
        <w:t>Sobrepreço</w:t>
      </w:r>
      <w:proofErr w:type="spellEnd"/>
      <w:r w:rsidRPr="00C20F3E">
        <w:rPr>
          <w:rFonts w:ascii="Arial" w:hAnsi="Arial"/>
          <w:b/>
          <w:sz w:val="20"/>
          <w:szCs w:val="20"/>
        </w:rPr>
        <w:t>. Preço de mercado.</w:t>
      </w:r>
    </w:p>
    <w:p w:rsidR="00BF2333" w:rsidRPr="00BF2333" w:rsidRDefault="00BF2333" w:rsidP="00BF2333">
      <w:pPr>
        <w:pStyle w:val="TCU-Epgrafe"/>
        <w:spacing w:after="200" w:line="276" w:lineRule="auto"/>
        <w:ind w:left="0"/>
        <w:rPr>
          <w:sz w:val="20"/>
        </w:rPr>
      </w:pPr>
      <w:r w:rsidRPr="00BF2333">
        <w:rPr>
          <w:rFonts w:ascii="Arial" w:hAnsi="Arial"/>
          <w:sz w:val="20"/>
        </w:rPr>
        <w:t xml:space="preserve">A análise isolada de apenas um dos componentes do preço, custo direto ou BDI, não é suficiente para caracterizar </w:t>
      </w:r>
      <w:proofErr w:type="spellStart"/>
      <w:r w:rsidRPr="00BF2333">
        <w:rPr>
          <w:rFonts w:ascii="Arial" w:hAnsi="Arial"/>
          <w:sz w:val="20"/>
        </w:rPr>
        <w:t>sobrepreço</w:t>
      </w:r>
      <w:proofErr w:type="spellEnd"/>
      <w:r w:rsidRPr="00BF2333">
        <w:rPr>
          <w:rFonts w:ascii="Arial" w:hAnsi="Arial"/>
          <w:sz w:val="20"/>
        </w:rPr>
        <w:t xml:space="preserve"> ou superfaturamento, pois BDI elevado pode ser compensado por custo direto subestimado, de modo que o preço do serviço contratado esteja compatível com os parâmetros de mercado. A análise deve ser feita por meio da comparação do preço contratado com o preço de referência, sendo este último composto pelo custo de referência e pelo percentual de BDI de referência.</w:t>
      </w:r>
    </w:p>
    <w:p w:rsidR="00A96CE2" w:rsidRPr="00A96CE2" w:rsidRDefault="00151D02" w:rsidP="00A96CE2">
      <w:pPr>
        <w:widowControl w:val="0"/>
        <w:autoSpaceDE w:val="0"/>
        <w:autoSpaceDN w:val="0"/>
        <w:jc w:val="both"/>
        <w:rPr>
          <w:rFonts w:ascii="Arial" w:hAnsi="Arial" w:cs="Arial"/>
          <w:b/>
          <w:sz w:val="20"/>
          <w:szCs w:val="20"/>
        </w:rPr>
      </w:pPr>
      <w:hyperlink r:id="rId28" w:history="1">
        <w:r w:rsidR="00A96CE2" w:rsidRPr="005E7312">
          <w:rPr>
            <w:rStyle w:val="Hyperlink"/>
            <w:rFonts w:ascii="Arial" w:hAnsi="Arial" w:cs="Arial"/>
            <w:b/>
            <w:sz w:val="20"/>
            <w:szCs w:val="20"/>
          </w:rPr>
          <w:t>Acórdão 1503/2018</w:t>
        </w:r>
        <w:r w:rsidR="005E7312">
          <w:rPr>
            <w:rStyle w:val="Hyperlink"/>
            <w:rFonts w:ascii="Arial" w:hAnsi="Arial" w:cs="Arial"/>
            <w:b/>
            <w:sz w:val="20"/>
            <w:szCs w:val="20"/>
          </w:rPr>
          <w:t xml:space="preserve"> - </w:t>
        </w:r>
        <w:r w:rsidR="00A96CE2" w:rsidRPr="005E7312">
          <w:rPr>
            <w:rStyle w:val="Hyperlink"/>
            <w:rFonts w:ascii="Arial" w:hAnsi="Arial" w:cs="Arial"/>
            <w:b/>
            <w:sz w:val="20"/>
            <w:szCs w:val="20"/>
          </w:rPr>
          <w:t>Plenário</w:t>
        </w:r>
      </w:hyperlink>
      <w:r w:rsidR="00A96CE2" w:rsidRPr="00A96CE2">
        <w:rPr>
          <w:rFonts w:ascii="Arial" w:hAnsi="Arial" w:cs="Arial"/>
          <w:b/>
          <w:sz w:val="20"/>
          <w:szCs w:val="20"/>
        </w:rPr>
        <w:t xml:space="preserve"> </w:t>
      </w:r>
      <w:r w:rsidR="00A96CE2" w:rsidRPr="00A96CE2">
        <w:rPr>
          <w:rFonts w:ascii="Arial" w:hAnsi="Arial" w:cs="Arial"/>
          <w:sz w:val="20"/>
          <w:szCs w:val="20"/>
        </w:rPr>
        <w:t xml:space="preserve">(Agravo, Relator Ministro Benjamin </w:t>
      </w:r>
      <w:proofErr w:type="spellStart"/>
      <w:r w:rsidR="00A96CE2" w:rsidRPr="00A96CE2">
        <w:rPr>
          <w:rFonts w:ascii="Arial" w:hAnsi="Arial" w:cs="Arial"/>
          <w:sz w:val="20"/>
          <w:szCs w:val="20"/>
        </w:rPr>
        <w:t>Zymler</w:t>
      </w:r>
      <w:proofErr w:type="spellEnd"/>
      <w:r w:rsidR="00A96CE2" w:rsidRPr="00A96CE2">
        <w:rPr>
          <w:rFonts w:ascii="Arial" w:hAnsi="Arial" w:cs="Arial"/>
          <w:sz w:val="20"/>
          <w:szCs w:val="20"/>
        </w:rPr>
        <w:t>)</w:t>
      </w:r>
    </w:p>
    <w:p w:rsidR="00A96CE2" w:rsidRPr="00C20F3E" w:rsidRDefault="00A96CE2" w:rsidP="00A96CE2">
      <w:pPr>
        <w:jc w:val="both"/>
        <w:rPr>
          <w:rFonts w:ascii="Arial" w:hAnsi="Arial" w:cs="Arial"/>
          <w:b/>
          <w:sz w:val="20"/>
          <w:szCs w:val="20"/>
        </w:rPr>
      </w:pPr>
      <w:r w:rsidRPr="00C20F3E">
        <w:rPr>
          <w:rFonts w:ascii="Arial" w:hAnsi="Arial" w:cs="Arial"/>
          <w:b/>
          <w:sz w:val="20"/>
          <w:szCs w:val="20"/>
        </w:rPr>
        <w:t>Direito Processual. Recurso de revisão. Documento novo. Acórdão. Superveniência. Admissibilidade.</w:t>
      </w:r>
    </w:p>
    <w:p w:rsidR="00A96CE2" w:rsidRPr="00A96CE2" w:rsidRDefault="00A96CE2" w:rsidP="00A96CE2">
      <w:pPr>
        <w:pStyle w:val="TCU-Epgrafe"/>
        <w:spacing w:after="200" w:line="276" w:lineRule="auto"/>
        <w:ind w:left="0"/>
        <w:rPr>
          <w:rFonts w:ascii="Arial" w:hAnsi="Arial" w:cs="Arial"/>
          <w:sz w:val="20"/>
        </w:rPr>
      </w:pPr>
      <w:r w:rsidRPr="00A96CE2">
        <w:rPr>
          <w:rFonts w:ascii="Arial" w:hAnsi="Arial" w:cs="Arial"/>
          <w:sz w:val="20"/>
        </w:rPr>
        <w:t>Acórdão superveniente que decide de forma diferente caso alegadamente similar não caracteriza documento novo capaz de ensejar, em recurso de revisão, a rediscussão do mérito com fundamento nas mesmas provas examinadas na decisão recorrida.</w:t>
      </w:r>
    </w:p>
    <w:p w:rsidR="00A96CE2" w:rsidRPr="00A96CE2" w:rsidRDefault="00151D02" w:rsidP="00A96CE2">
      <w:pPr>
        <w:widowControl w:val="0"/>
        <w:autoSpaceDE w:val="0"/>
        <w:autoSpaceDN w:val="0"/>
        <w:jc w:val="both"/>
        <w:rPr>
          <w:rFonts w:ascii="Arial" w:hAnsi="Arial" w:cs="Arial"/>
          <w:b/>
          <w:sz w:val="20"/>
          <w:szCs w:val="20"/>
        </w:rPr>
      </w:pPr>
      <w:hyperlink r:id="rId29" w:history="1">
        <w:r w:rsidR="00A96CE2" w:rsidRPr="007414D4">
          <w:rPr>
            <w:rStyle w:val="Hyperlink"/>
            <w:rFonts w:ascii="Arial" w:hAnsi="Arial" w:cs="Arial"/>
            <w:b/>
            <w:sz w:val="20"/>
            <w:szCs w:val="20"/>
          </w:rPr>
          <w:t xml:space="preserve">Acórdão 1502/2018 </w:t>
        </w:r>
        <w:r w:rsidR="007414D4">
          <w:rPr>
            <w:rStyle w:val="Hyperlink"/>
            <w:rFonts w:ascii="Arial" w:hAnsi="Arial" w:cs="Arial"/>
            <w:b/>
            <w:sz w:val="20"/>
            <w:szCs w:val="20"/>
          </w:rPr>
          <w:t xml:space="preserve">- </w:t>
        </w:r>
        <w:r w:rsidR="00A96CE2" w:rsidRPr="007414D4">
          <w:rPr>
            <w:rStyle w:val="Hyperlink"/>
            <w:rFonts w:ascii="Arial" w:hAnsi="Arial" w:cs="Arial"/>
            <w:b/>
            <w:sz w:val="20"/>
            <w:szCs w:val="20"/>
          </w:rPr>
          <w:t>Plenário</w:t>
        </w:r>
      </w:hyperlink>
      <w:r w:rsidR="00A96CE2" w:rsidRPr="00A96CE2">
        <w:rPr>
          <w:rFonts w:ascii="Arial" w:hAnsi="Arial" w:cs="Arial"/>
          <w:b/>
          <w:sz w:val="20"/>
          <w:szCs w:val="20"/>
        </w:rPr>
        <w:t xml:space="preserve"> </w:t>
      </w:r>
      <w:r w:rsidR="00A96CE2" w:rsidRPr="00A96CE2">
        <w:rPr>
          <w:rFonts w:ascii="Arial" w:hAnsi="Arial" w:cs="Arial"/>
          <w:sz w:val="20"/>
          <w:szCs w:val="20"/>
        </w:rPr>
        <w:t>(Representação, Relator Ministro Aroldo Cedraz)</w:t>
      </w:r>
    </w:p>
    <w:p w:rsidR="00A96CE2" w:rsidRPr="00C20F3E" w:rsidRDefault="00A96CE2" w:rsidP="00A96CE2">
      <w:pPr>
        <w:jc w:val="both"/>
        <w:rPr>
          <w:rFonts w:ascii="Arial" w:hAnsi="Arial" w:cs="Arial"/>
          <w:b/>
          <w:sz w:val="20"/>
          <w:szCs w:val="20"/>
        </w:rPr>
      </w:pPr>
      <w:r w:rsidRPr="00C20F3E">
        <w:rPr>
          <w:rFonts w:ascii="Arial" w:hAnsi="Arial" w:cs="Arial"/>
          <w:b/>
          <w:sz w:val="20"/>
          <w:szCs w:val="20"/>
        </w:rPr>
        <w:t>Licitação. Empresa estatal. Edital de licitação. Orçamento estimativo. Divulgação. Princípio da publicidade.</w:t>
      </w:r>
    </w:p>
    <w:p w:rsidR="00BB28D4" w:rsidRDefault="00A96CE2" w:rsidP="00BB28D4">
      <w:pPr>
        <w:pStyle w:val="TCU-Epgrafe"/>
        <w:spacing w:after="200" w:line="276" w:lineRule="auto"/>
        <w:ind w:left="0"/>
        <w:rPr>
          <w:rFonts w:ascii="Arial" w:hAnsi="Arial" w:cs="Arial"/>
          <w:sz w:val="20"/>
        </w:rPr>
      </w:pPr>
      <w:r w:rsidRPr="00A96CE2">
        <w:rPr>
          <w:rFonts w:ascii="Arial" w:hAnsi="Arial" w:cs="Arial"/>
          <w:sz w:val="20"/>
        </w:rPr>
        <w:t xml:space="preserve">Nas licitações realizadas pelas empresas estatais, sempre que o orçamento de referência for utilizado como critério de aceitabilidade das propostas, sua divulgação no edital é obrigatória, e não facultativa, em observância ao princípio constitucional da publicidade e, ainda, por não haver no art. 34 da </w:t>
      </w:r>
      <w:hyperlink r:id="rId30" w:history="1">
        <w:r w:rsidRPr="00A96CE2">
          <w:rPr>
            <w:rStyle w:val="Hyperlink"/>
            <w:rFonts w:ascii="Arial" w:hAnsi="Arial" w:cs="Arial"/>
            <w:color w:val="0000FF" w:themeColor="hyperlink"/>
            <w:sz w:val="20"/>
          </w:rPr>
          <w:t>Lei 13.303/2016</w:t>
        </w:r>
      </w:hyperlink>
      <w:r w:rsidRPr="00A96CE2">
        <w:rPr>
          <w:rFonts w:ascii="Arial" w:hAnsi="Arial" w:cs="Arial"/>
          <w:sz w:val="20"/>
        </w:rPr>
        <w:t xml:space="preserve"> (Lei das Estatais) proibição absoluta à revelação do orçamento.</w:t>
      </w:r>
      <w:r w:rsidR="00BB28D4">
        <w:rPr>
          <w:rFonts w:ascii="Arial" w:hAnsi="Arial" w:cs="Arial"/>
          <w:sz w:val="20"/>
        </w:rPr>
        <w:t xml:space="preserve"> </w:t>
      </w:r>
    </w:p>
    <w:p w:rsidR="00BB28D4" w:rsidRPr="00BB28D4" w:rsidRDefault="00151D02" w:rsidP="00BB28D4">
      <w:pPr>
        <w:pStyle w:val="TCU-Epgrafe"/>
        <w:spacing w:after="200" w:line="276" w:lineRule="auto"/>
        <w:ind w:left="0"/>
        <w:rPr>
          <w:rFonts w:ascii="Arial" w:hAnsi="Arial" w:cs="Arial"/>
          <w:b/>
          <w:sz w:val="20"/>
        </w:rPr>
      </w:pPr>
      <w:hyperlink r:id="rId31" w:history="1">
        <w:r w:rsidR="00BB28D4" w:rsidRPr="006F2773">
          <w:rPr>
            <w:rStyle w:val="Hyperlink"/>
            <w:rFonts w:ascii="Arial" w:hAnsi="Arial" w:cs="Arial"/>
            <w:b/>
            <w:sz w:val="20"/>
          </w:rPr>
          <w:t xml:space="preserve">Acórdão 1819/2018 </w:t>
        </w:r>
        <w:r w:rsidR="006F2773">
          <w:rPr>
            <w:rStyle w:val="Hyperlink"/>
            <w:rFonts w:ascii="Arial" w:hAnsi="Arial" w:cs="Arial"/>
            <w:b/>
            <w:sz w:val="20"/>
          </w:rPr>
          <w:t xml:space="preserve">- </w:t>
        </w:r>
        <w:r w:rsidR="00BB28D4" w:rsidRPr="006F2773">
          <w:rPr>
            <w:rStyle w:val="Hyperlink"/>
            <w:rFonts w:ascii="Arial" w:hAnsi="Arial" w:cs="Arial"/>
            <w:b/>
            <w:sz w:val="20"/>
          </w:rPr>
          <w:t>Plenário</w:t>
        </w:r>
      </w:hyperlink>
      <w:r w:rsidR="00BB28D4" w:rsidRPr="00BB28D4">
        <w:rPr>
          <w:rFonts w:ascii="Arial" w:hAnsi="Arial" w:cs="Arial"/>
          <w:b/>
          <w:sz w:val="20"/>
        </w:rPr>
        <w:t xml:space="preserve"> </w:t>
      </w:r>
      <w:r w:rsidR="00BB28D4" w:rsidRPr="00BB28D4">
        <w:rPr>
          <w:rFonts w:ascii="Arial" w:hAnsi="Arial" w:cs="Arial"/>
          <w:sz w:val="20"/>
        </w:rPr>
        <w:t>(Auditoria, Relator Ministro Walton Alencar Rodrigues)</w:t>
      </w:r>
    </w:p>
    <w:p w:rsidR="00BB28D4" w:rsidRPr="00C20F3E" w:rsidRDefault="00BB28D4" w:rsidP="00BB28D4">
      <w:pPr>
        <w:jc w:val="both"/>
        <w:rPr>
          <w:rFonts w:ascii="Arial" w:hAnsi="Arial" w:cs="Arial"/>
          <w:b/>
          <w:sz w:val="20"/>
          <w:szCs w:val="20"/>
        </w:rPr>
      </w:pPr>
      <w:r w:rsidRPr="00C20F3E">
        <w:rPr>
          <w:rFonts w:ascii="Arial" w:hAnsi="Arial" w:cs="Arial"/>
          <w:b/>
          <w:sz w:val="20"/>
          <w:szCs w:val="20"/>
        </w:rPr>
        <w:lastRenderedPageBreak/>
        <w:t>Licitação. Direito de preferência. Pequena empresa. Microempresa. Bens. Aquisição. Limite.</w:t>
      </w:r>
    </w:p>
    <w:p w:rsidR="00BB28D4" w:rsidRPr="00BB28D4" w:rsidRDefault="00BB28D4" w:rsidP="00BB28D4">
      <w:pPr>
        <w:pStyle w:val="TCU-Epgrafe"/>
        <w:spacing w:after="200" w:line="276" w:lineRule="auto"/>
        <w:ind w:left="0"/>
        <w:rPr>
          <w:rFonts w:ascii="Arial" w:hAnsi="Arial" w:cs="Arial"/>
          <w:sz w:val="20"/>
        </w:rPr>
      </w:pPr>
      <w:r w:rsidRPr="00BB28D4">
        <w:rPr>
          <w:rFonts w:ascii="Arial" w:hAnsi="Arial" w:cs="Arial"/>
          <w:sz w:val="20"/>
        </w:rPr>
        <w:t xml:space="preserve">A aplicação da cota de 25% destinada à contratação de microempresas e empresas de pequeno porte em certames para aquisição de bens de natureza divisível (art. 48, inciso III, da </w:t>
      </w:r>
      <w:hyperlink r:id="rId32" w:history="1">
        <w:r w:rsidRPr="00BB28D4">
          <w:rPr>
            <w:rStyle w:val="Hyperlink"/>
            <w:rFonts w:ascii="Arial" w:hAnsi="Arial" w:cs="Arial"/>
            <w:color w:val="0000FF" w:themeColor="hyperlink"/>
            <w:sz w:val="20"/>
          </w:rPr>
          <w:t>LC 123/2006</w:t>
        </w:r>
      </w:hyperlink>
      <w:r w:rsidRPr="00BB28D4">
        <w:rPr>
          <w:rStyle w:val="Hyperlink"/>
          <w:rFonts w:ascii="Arial" w:hAnsi="Arial" w:cs="Arial"/>
          <w:color w:val="auto"/>
          <w:sz w:val="20"/>
        </w:rPr>
        <w:t>)</w:t>
      </w:r>
      <w:r w:rsidRPr="00BB28D4">
        <w:rPr>
          <w:rStyle w:val="Hyperlink"/>
          <w:rFonts w:ascii="Arial" w:hAnsi="Arial" w:cs="Arial"/>
          <w:sz w:val="20"/>
        </w:rPr>
        <w:t xml:space="preserve"> </w:t>
      </w:r>
      <w:r w:rsidRPr="00BB28D4">
        <w:rPr>
          <w:rFonts w:ascii="Arial" w:hAnsi="Arial" w:cs="Arial"/>
          <w:sz w:val="20"/>
        </w:rPr>
        <w:t>não está limitada à importância de oitenta mil reais, prevista no inciso I do mencionado artigo.</w:t>
      </w:r>
    </w:p>
    <w:p w:rsidR="00BB28D4" w:rsidRPr="00BB28D4" w:rsidRDefault="00151D02" w:rsidP="00BB28D4">
      <w:pPr>
        <w:widowControl w:val="0"/>
        <w:autoSpaceDE w:val="0"/>
        <w:autoSpaceDN w:val="0"/>
        <w:jc w:val="both"/>
        <w:rPr>
          <w:rFonts w:ascii="Arial" w:hAnsi="Arial" w:cs="Arial"/>
          <w:b/>
          <w:sz w:val="20"/>
          <w:szCs w:val="20"/>
        </w:rPr>
      </w:pPr>
      <w:hyperlink r:id="rId33" w:history="1">
        <w:r w:rsidR="00BB28D4" w:rsidRPr="007335FA">
          <w:rPr>
            <w:rStyle w:val="Hyperlink"/>
            <w:rFonts w:ascii="Arial" w:hAnsi="Arial" w:cs="Arial"/>
            <w:b/>
            <w:sz w:val="20"/>
            <w:szCs w:val="20"/>
          </w:rPr>
          <w:t>Acórdão 1819/2018</w:t>
        </w:r>
        <w:r w:rsidR="007335FA">
          <w:rPr>
            <w:rStyle w:val="Hyperlink"/>
            <w:rFonts w:ascii="Arial" w:hAnsi="Arial" w:cs="Arial"/>
            <w:b/>
            <w:sz w:val="20"/>
            <w:szCs w:val="20"/>
          </w:rPr>
          <w:t xml:space="preserve"> - </w:t>
        </w:r>
        <w:r w:rsidR="00BB28D4" w:rsidRPr="007335FA">
          <w:rPr>
            <w:rStyle w:val="Hyperlink"/>
            <w:rFonts w:ascii="Arial" w:hAnsi="Arial" w:cs="Arial"/>
            <w:b/>
            <w:sz w:val="20"/>
            <w:szCs w:val="20"/>
          </w:rPr>
          <w:t>Plenário</w:t>
        </w:r>
      </w:hyperlink>
      <w:r w:rsidR="00BB28D4" w:rsidRPr="00BB28D4">
        <w:rPr>
          <w:rFonts w:ascii="Arial" w:hAnsi="Arial" w:cs="Arial"/>
          <w:b/>
          <w:sz w:val="20"/>
          <w:szCs w:val="20"/>
        </w:rPr>
        <w:t xml:space="preserve"> </w:t>
      </w:r>
      <w:r w:rsidR="00BB28D4" w:rsidRPr="00BB28D4">
        <w:rPr>
          <w:rFonts w:ascii="Arial" w:hAnsi="Arial" w:cs="Arial"/>
          <w:sz w:val="20"/>
          <w:szCs w:val="20"/>
        </w:rPr>
        <w:t>(Auditoria, Relator Ministro Walton Alencar Rodrigues)</w:t>
      </w:r>
    </w:p>
    <w:p w:rsidR="00BB28D4" w:rsidRPr="00C20F3E" w:rsidRDefault="00BB28D4" w:rsidP="00BB28D4">
      <w:pPr>
        <w:jc w:val="both"/>
        <w:rPr>
          <w:rFonts w:ascii="Arial" w:hAnsi="Arial" w:cs="Arial"/>
          <w:b/>
          <w:sz w:val="20"/>
          <w:szCs w:val="20"/>
        </w:rPr>
      </w:pPr>
      <w:r w:rsidRPr="00C20F3E">
        <w:rPr>
          <w:rFonts w:ascii="Arial" w:hAnsi="Arial" w:cs="Arial"/>
          <w:b/>
          <w:sz w:val="20"/>
          <w:szCs w:val="20"/>
        </w:rPr>
        <w:t>Licitação. Direito de preferência. Pequena empresa. Microempresa. Bens. Aquisição. Preço. Tratamento diferenciado.</w:t>
      </w:r>
    </w:p>
    <w:p w:rsidR="00BB28D4" w:rsidRPr="00BB28D4" w:rsidRDefault="00BB28D4" w:rsidP="00BB28D4">
      <w:pPr>
        <w:pStyle w:val="TCU-Epgrafe"/>
        <w:spacing w:after="200" w:line="276" w:lineRule="auto"/>
        <w:ind w:left="0"/>
        <w:rPr>
          <w:rFonts w:ascii="Arial" w:hAnsi="Arial" w:cs="Arial"/>
          <w:sz w:val="20"/>
        </w:rPr>
      </w:pPr>
      <w:r w:rsidRPr="00BB28D4">
        <w:rPr>
          <w:rFonts w:ascii="Arial" w:hAnsi="Arial" w:cs="Arial"/>
          <w:sz w:val="20"/>
        </w:rPr>
        <w:t xml:space="preserve">Na aplicação do tratamento diferenciado às microempresas (ME) e às empresas de pequeno porte (EPP) em licitações disposto no art. 48, inciso III, da </w:t>
      </w:r>
      <w:hyperlink r:id="rId34" w:history="1">
        <w:r w:rsidRPr="00BB28D4">
          <w:rPr>
            <w:rStyle w:val="Hyperlink"/>
            <w:rFonts w:ascii="Arial" w:hAnsi="Arial" w:cs="Arial"/>
            <w:color w:val="0000FF" w:themeColor="hyperlink"/>
            <w:sz w:val="20"/>
          </w:rPr>
          <w:t>LC 123/2006</w:t>
        </w:r>
      </w:hyperlink>
      <w:r w:rsidRPr="00BB28D4">
        <w:rPr>
          <w:rFonts w:ascii="Arial" w:hAnsi="Arial" w:cs="Arial"/>
          <w:sz w:val="20"/>
        </w:rPr>
        <w:t xml:space="preserve"> (cota de 25% nas aquisições de bens de natureza divisível), é possível que sejam distintos os preços praticados, para um mesmo produto, pelas ME e EPP e as empresas que disputam as cotas destinadas à ampla concorrência, desde que não ultrapassem o preço de referência definido pela Administração, o qual deve sempre refletir os valores praticados no mercado.</w:t>
      </w:r>
    </w:p>
    <w:p w:rsidR="00BB28D4" w:rsidRPr="00BB28D4" w:rsidRDefault="00151D02" w:rsidP="00BB28D4">
      <w:pPr>
        <w:widowControl w:val="0"/>
        <w:autoSpaceDE w:val="0"/>
        <w:autoSpaceDN w:val="0"/>
        <w:jc w:val="both"/>
        <w:rPr>
          <w:rFonts w:ascii="Arial" w:hAnsi="Arial" w:cs="Arial"/>
          <w:b/>
          <w:sz w:val="20"/>
          <w:szCs w:val="20"/>
        </w:rPr>
      </w:pPr>
      <w:hyperlink r:id="rId35" w:history="1">
        <w:r w:rsidR="00BB28D4" w:rsidRPr="004053F2">
          <w:rPr>
            <w:rStyle w:val="Hyperlink"/>
            <w:rFonts w:ascii="Arial" w:hAnsi="Arial" w:cs="Arial"/>
            <w:b/>
            <w:sz w:val="20"/>
            <w:szCs w:val="20"/>
          </w:rPr>
          <w:t>Acórdão 1819/2018</w:t>
        </w:r>
        <w:r w:rsidR="004053F2" w:rsidRPr="004053F2">
          <w:rPr>
            <w:rStyle w:val="Hyperlink"/>
            <w:rFonts w:ascii="Arial" w:hAnsi="Arial" w:cs="Arial"/>
            <w:b/>
            <w:sz w:val="20"/>
            <w:szCs w:val="20"/>
          </w:rPr>
          <w:t xml:space="preserve"> - </w:t>
        </w:r>
        <w:r w:rsidR="00BB28D4" w:rsidRPr="004053F2">
          <w:rPr>
            <w:rStyle w:val="Hyperlink"/>
            <w:rFonts w:ascii="Arial" w:hAnsi="Arial" w:cs="Arial"/>
            <w:b/>
            <w:sz w:val="20"/>
            <w:szCs w:val="20"/>
          </w:rPr>
          <w:t>Plenário</w:t>
        </w:r>
      </w:hyperlink>
      <w:r w:rsidR="00BB28D4" w:rsidRPr="00BB28D4">
        <w:rPr>
          <w:rFonts w:ascii="Arial" w:hAnsi="Arial" w:cs="Arial"/>
          <w:b/>
          <w:sz w:val="20"/>
          <w:szCs w:val="20"/>
        </w:rPr>
        <w:t xml:space="preserve"> </w:t>
      </w:r>
      <w:r w:rsidR="00BB28D4" w:rsidRPr="00BB28D4">
        <w:rPr>
          <w:rFonts w:ascii="Arial" w:hAnsi="Arial" w:cs="Arial"/>
          <w:sz w:val="20"/>
          <w:szCs w:val="20"/>
        </w:rPr>
        <w:t>(Auditoria, Relator Ministro Walton Alencar Rodrigues)</w:t>
      </w:r>
    </w:p>
    <w:p w:rsidR="00BB28D4" w:rsidRPr="00C20F3E" w:rsidRDefault="00BB28D4" w:rsidP="00BB28D4">
      <w:pPr>
        <w:jc w:val="both"/>
        <w:rPr>
          <w:rFonts w:ascii="Arial" w:hAnsi="Arial" w:cs="Arial"/>
          <w:b/>
          <w:sz w:val="20"/>
          <w:szCs w:val="20"/>
        </w:rPr>
      </w:pPr>
      <w:r w:rsidRPr="00C20F3E">
        <w:rPr>
          <w:rFonts w:ascii="Arial" w:hAnsi="Arial" w:cs="Arial"/>
          <w:b/>
          <w:sz w:val="20"/>
          <w:szCs w:val="20"/>
        </w:rPr>
        <w:t>Licitação. Direito de preferência. Pequena empresa. Microempresa. Adjudicação. Limite. Receita bruta. Tratamento diferenciado.</w:t>
      </w:r>
    </w:p>
    <w:p w:rsidR="00BB28D4" w:rsidRPr="00BB28D4" w:rsidRDefault="00BB28D4" w:rsidP="00BB28D4">
      <w:pPr>
        <w:pStyle w:val="TCU-Epgrafe"/>
        <w:spacing w:after="200" w:line="276" w:lineRule="auto"/>
        <w:ind w:left="0"/>
        <w:rPr>
          <w:rFonts w:ascii="Arial" w:hAnsi="Arial" w:cs="Arial"/>
          <w:sz w:val="20"/>
        </w:rPr>
      </w:pPr>
      <w:r w:rsidRPr="00BB28D4">
        <w:rPr>
          <w:rFonts w:ascii="Arial" w:hAnsi="Arial" w:cs="Arial"/>
          <w:sz w:val="20"/>
        </w:rPr>
        <w:t xml:space="preserve">Não há óbice a que sejam adjudicados às microempresas e às empresas de pequeno porte valores superiores aos limites de receita bruta estabelecidos no art. 3º, incisos I e II, da </w:t>
      </w:r>
      <w:hyperlink r:id="rId36" w:history="1">
        <w:r w:rsidRPr="00BB28D4">
          <w:rPr>
            <w:rStyle w:val="Hyperlink"/>
            <w:rFonts w:ascii="Arial" w:hAnsi="Arial" w:cs="Arial"/>
            <w:color w:val="0000FF" w:themeColor="hyperlink"/>
            <w:sz w:val="20"/>
          </w:rPr>
          <w:t>LC 123/2006</w:t>
        </w:r>
      </w:hyperlink>
      <w:r w:rsidRPr="00BB28D4">
        <w:rPr>
          <w:rFonts w:ascii="Arial" w:hAnsi="Arial" w:cs="Arial"/>
          <w:sz w:val="20"/>
        </w:rPr>
        <w:t xml:space="preserve">, respectivamente, desde que comprovado que tais empresas, à época da licitação, atendiam às exigências previstas nos </w:t>
      </w:r>
      <w:proofErr w:type="spellStart"/>
      <w:r w:rsidRPr="00BB28D4">
        <w:rPr>
          <w:rFonts w:ascii="Arial" w:hAnsi="Arial" w:cs="Arial"/>
          <w:sz w:val="20"/>
        </w:rPr>
        <w:t>arts</w:t>
      </w:r>
      <w:proofErr w:type="spellEnd"/>
      <w:r w:rsidRPr="00BB28D4">
        <w:rPr>
          <w:rFonts w:ascii="Arial" w:hAnsi="Arial" w:cs="Arial"/>
          <w:sz w:val="20"/>
        </w:rPr>
        <w:t>. 3º, 3º-A e 3º-B da referida lei.</w:t>
      </w:r>
    </w:p>
    <w:p w:rsidR="00543DF0" w:rsidRDefault="00543DF0" w:rsidP="00543DF0">
      <w:pPr>
        <w:pStyle w:val="Default"/>
        <w:spacing w:after="200" w:line="276" w:lineRule="auto"/>
        <w:jc w:val="both"/>
        <w:rPr>
          <w:b/>
          <w:sz w:val="20"/>
          <w:szCs w:val="20"/>
        </w:rPr>
      </w:pPr>
      <w:r>
        <w:rPr>
          <w:b/>
          <w:sz w:val="20"/>
          <w:szCs w:val="20"/>
        </w:rPr>
        <w:t xml:space="preserve">Acesse também: </w:t>
      </w:r>
    </w:p>
    <w:p w:rsidR="00270E2F" w:rsidRPr="00C20F3E" w:rsidRDefault="00C20F3E" w:rsidP="00270E2F">
      <w:pPr>
        <w:pStyle w:val="Default"/>
        <w:spacing w:line="276" w:lineRule="auto"/>
        <w:jc w:val="center"/>
        <w:rPr>
          <w:rStyle w:val="Hyperlink"/>
          <w:b/>
          <w:sz w:val="20"/>
          <w:szCs w:val="20"/>
        </w:rPr>
      </w:pPr>
      <w:r>
        <w:rPr>
          <w:rStyle w:val="Hyperlink"/>
          <w:b/>
          <w:sz w:val="20"/>
          <w:szCs w:val="20"/>
        </w:rPr>
        <w:fldChar w:fldCharType="begin"/>
      </w:r>
      <w:r>
        <w:rPr>
          <w:rStyle w:val="Hyperlink"/>
          <w:b/>
          <w:sz w:val="20"/>
          <w:szCs w:val="20"/>
        </w:rPr>
        <w:instrText xml:space="preserve"> HYPERLINK "http://www1.tce.pr.gov.br/conteudo/pesquisas-prontas/308475/area/242" </w:instrText>
      </w:r>
      <w:r>
        <w:rPr>
          <w:rStyle w:val="Hyperlink"/>
          <w:b/>
          <w:sz w:val="20"/>
          <w:szCs w:val="20"/>
        </w:rPr>
        <w:fldChar w:fldCharType="separate"/>
      </w:r>
      <w:r w:rsidR="00270E2F" w:rsidRPr="00C20F3E">
        <w:rPr>
          <w:rStyle w:val="Hyperlink"/>
          <w:b/>
          <w:sz w:val="20"/>
          <w:szCs w:val="20"/>
        </w:rPr>
        <w:t>Pesquisas Prontas</w:t>
      </w:r>
    </w:p>
    <w:p w:rsidR="00B7076B" w:rsidRDefault="00C20F3E" w:rsidP="00270E2F">
      <w:pPr>
        <w:pStyle w:val="Default"/>
        <w:spacing w:line="276" w:lineRule="auto"/>
        <w:jc w:val="center"/>
        <w:rPr>
          <w:rStyle w:val="Hyperlink"/>
          <w:b/>
          <w:sz w:val="20"/>
          <w:szCs w:val="20"/>
        </w:rPr>
      </w:pPr>
      <w:r>
        <w:rPr>
          <w:rStyle w:val="Hyperlink"/>
          <w:b/>
          <w:sz w:val="20"/>
          <w:szCs w:val="20"/>
        </w:rPr>
        <w:fldChar w:fldCharType="end"/>
      </w:r>
    </w:p>
    <w:p w:rsidR="00B7076B" w:rsidRDefault="00151D02" w:rsidP="00270E2F">
      <w:pPr>
        <w:pStyle w:val="Default"/>
        <w:spacing w:line="276" w:lineRule="auto"/>
        <w:jc w:val="center"/>
        <w:rPr>
          <w:rStyle w:val="Hyperlink"/>
          <w:b/>
          <w:sz w:val="20"/>
          <w:szCs w:val="20"/>
        </w:rPr>
      </w:pPr>
      <w:hyperlink r:id="rId37" w:history="1">
        <w:r w:rsidR="00B7076B" w:rsidRPr="00B7076B">
          <w:rPr>
            <w:rStyle w:val="Hyperlink"/>
            <w:b/>
            <w:sz w:val="20"/>
            <w:szCs w:val="20"/>
          </w:rPr>
          <w:t>Teses Ambientais</w:t>
        </w:r>
      </w:hyperlink>
      <w:r w:rsidR="00B7076B">
        <w:rPr>
          <w:rStyle w:val="Hyperlink"/>
          <w:b/>
          <w:sz w:val="20"/>
          <w:szCs w:val="20"/>
        </w:rPr>
        <w:t xml:space="preserve"> </w:t>
      </w:r>
    </w:p>
    <w:p w:rsidR="00B7076B" w:rsidRDefault="00B7076B" w:rsidP="00270E2F">
      <w:pPr>
        <w:pStyle w:val="Default"/>
        <w:spacing w:line="276" w:lineRule="auto"/>
        <w:jc w:val="center"/>
        <w:rPr>
          <w:rStyle w:val="Hyperlink"/>
          <w:b/>
          <w:sz w:val="20"/>
          <w:szCs w:val="20"/>
        </w:rPr>
      </w:pPr>
    </w:p>
    <w:p w:rsidR="00B7076B" w:rsidRPr="00C20F3E" w:rsidRDefault="00C20F3E" w:rsidP="00270E2F">
      <w:pPr>
        <w:pStyle w:val="Default"/>
        <w:spacing w:line="276" w:lineRule="auto"/>
        <w:jc w:val="center"/>
        <w:rPr>
          <w:rStyle w:val="Hyperlink"/>
          <w:b/>
          <w:sz w:val="20"/>
          <w:szCs w:val="20"/>
        </w:rPr>
      </w:pPr>
      <w:r>
        <w:rPr>
          <w:rStyle w:val="Hyperlink"/>
          <w:b/>
          <w:sz w:val="20"/>
          <w:szCs w:val="20"/>
        </w:rPr>
        <w:fldChar w:fldCharType="begin"/>
      </w:r>
      <w:r>
        <w:rPr>
          <w:rStyle w:val="Hyperlink"/>
          <w:b/>
          <w:sz w:val="20"/>
          <w:szCs w:val="20"/>
        </w:rPr>
        <w:instrText xml:space="preserve"> HYPERLINK "http://www1.tce.pr.gov.br/conteudo/boletim-de-jurisprudencia-internacional/316601/area/242" </w:instrText>
      </w:r>
      <w:r>
        <w:rPr>
          <w:rStyle w:val="Hyperlink"/>
          <w:b/>
          <w:sz w:val="20"/>
          <w:szCs w:val="20"/>
        </w:rPr>
        <w:fldChar w:fldCharType="separate"/>
      </w:r>
      <w:proofErr w:type="spellStart"/>
      <w:r w:rsidR="00B7076B" w:rsidRPr="00C20F3E">
        <w:rPr>
          <w:rStyle w:val="Hyperlink"/>
          <w:b/>
          <w:sz w:val="20"/>
          <w:szCs w:val="20"/>
        </w:rPr>
        <w:t>Interjuris</w:t>
      </w:r>
      <w:proofErr w:type="spellEnd"/>
    </w:p>
    <w:p w:rsidR="00270E2F" w:rsidRDefault="00C20F3E" w:rsidP="00270E2F">
      <w:pPr>
        <w:pStyle w:val="Default"/>
        <w:spacing w:line="276" w:lineRule="auto"/>
        <w:jc w:val="center"/>
      </w:pPr>
      <w:r>
        <w:rPr>
          <w:rStyle w:val="Hyperlink"/>
          <w:b/>
          <w:sz w:val="20"/>
          <w:szCs w:val="20"/>
        </w:rPr>
        <w:fldChar w:fldCharType="end"/>
      </w:r>
    </w:p>
    <w:p w:rsidR="00270E2F" w:rsidRPr="00C20F3E" w:rsidRDefault="00C20F3E" w:rsidP="00270E2F">
      <w:pPr>
        <w:pStyle w:val="Default"/>
        <w:spacing w:line="276" w:lineRule="auto"/>
        <w:jc w:val="center"/>
        <w:rPr>
          <w:rStyle w:val="Hyperlink"/>
          <w:b/>
          <w:sz w:val="20"/>
          <w:szCs w:val="20"/>
        </w:rPr>
      </w:pPr>
      <w:r>
        <w:rPr>
          <w:rStyle w:val="Hyperlink"/>
          <w:b/>
          <w:sz w:val="20"/>
          <w:szCs w:val="20"/>
        </w:rPr>
        <w:fldChar w:fldCharType="begin"/>
      </w:r>
      <w:r>
        <w:rPr>
          <w:rStyle w:val="Hyperlink"/>
          <w:b/>
          <w:sz w:val="20"/>
          <w:szCs w:val="20"/>
        </w:rPr>
        <w:instrText xml:space="preserve"> HYPERLINK "http://www1.tce.pr.gov.br/conteudo/repercussao-geral-no-stf-e-os-tribunais-de-contas/307026/area/242" </w:instrText>
      </w:r>
      <w:r>
        <w:rPr>
          <w:rStyle w:val="Hyperlink"/>
          <w:b/>
          <w:sz w:val="20"/>
          <w:szCs w:val="20"/>
        </w:rPr>
        <w:fldChar w:fldCharType="separate"/>
      </w:r>
      <w:r w:rsidR="00270E2F" w:rsidRPr="00C20F3E">
        <w:rPr>
          <w:rStyle w:val="Hyperlink"/>
          <w:b/>
          <w:sz w:val="20"/>
          <w:szCs w:val="20"/>
        </w:rPr>
        <w:t>Repercussão Geral do Supremo Tribunal Federal - STF e os Tribunais de Contas</w:t>
      </w:r>
    </w:p>
    <w:p w:rsidR="00270E2F" w:rsidRDefault="00C20F3E" w:rsidP="00270E2F">
      <w:pPr>
        <w:pStyle w:val="Default"/>
        <w:spacing w:line="276" w:lineRule="auto"/>
        <w:jc w:val="center"/>
        <w:rPr>
          <w:rStyle w:val="Hyperlink"/>
          <w:b/>
          <w:sz w:val="20"/>
          <w:szCs w:val="20"/>
        </w:rPr>
      </w:pPr>
      <w:r>
        <w:rPr>
          <w:rStyle w:val="Hyperlink"/>
          <w:b/>
          <w:sz w:val="20"/>
          <w:szCs w:val="20"/>
        </w:rPr>
        <w:fldChar w:fldCharType="end"/>
      </w:r>
    </w:p>
    <w:p w:rsidR="00B7076B" w:rsidRPr="00C20F3E" w:rsidRDefault="00C20F3E" w:rsidP="00270E2F">
      <w:pPr>
        <w:pStyle w:val="Default"/>
        <w:spacing w:line="276" w:lineRule="auto"/>
        <w:jc w:val="center"/>
        <w:rPr>
          <w:rStyle w:val="Hyperlink"/>
          <w:b/>
          <w:sz w:val="20"/>
          <w:szCs w:val="20"/>
        </w:rPr>
      </w:pPr>
      <w:r>
        <w:rPr>
          <w:rStyle w:val="Hyperlink"/>
          <w:b/>
          <w:sz w:val="20"/>
          <w:szCs w:val="20"/>
        </w:rPr>
        <w:lastRenderedPageBreak/>
        <w:fldChar w:fldCharType="begin"/>
      </w:r>
      <w:r>
        <w:rPr>
          <w:rStyle w:val="Hyperlink"/>
          <w:b/>
          <w:sz w:val="20"/>
          <w:szCs w:val="20"/>
        </w:rPr>
        <w:instrText xml:space="preserve"> HYPERLINK "http://www1.tce.pr.gov.br/conteudo/sumulas-selecionadas/316602/area/242" </w:instrText>
      </w:r>
      <w:r>
        <w:rPr>
          <w:rStyle w:val="Hyperlink"/>
          <w:b/>
          <w:sz w:val="20"/>
          <w:szCs w:val="20"/>
        </w:rPr>
        <w:fldChar w:fldCharType="separate"/>
      </w:r>
      <w:r w:rsidR="00B7076B" w:rsidRPr="00C20F3E">
        <w:rPr>
          <w:rStyle w:val="Hyperlink"/>
          <w:b/>
          <w:sz w:val="20"/>
          <w:szCs w:val="20"/>
        </w:rPr>
        <w:t>Súmulas Selecionadas</w:t>
      </w:r>
    </w:p>
    <w:p w:rsidR="00270E2F" w:rsidRDefault="00C20F3E" w:rsidP="00270E2F">
      <w:pPr>
        <w:pStyle w:val="TCU-Epgrafe"/>
        <w:spacing w:line="276" w:lineRule="auto"/>
        <w:ind w:left="0"/>
        <w:rPr>
          <w:sz w:val="22"/>
          <w:szCs w:val="22"/>
        </w:rPr>
      </w:pPr>
      <w:r>
        <w:rPr>
          <w:rStyle w:val="Hyperlink"/>
          <w:rFonts w:ascii="Arial" w:eastAsiaTheme="minorHAnsi" w:hAnsi="Arial" w:cs="Arial"/>
          <w:b/>
          <w:sz w:val="20"/>
          <w:lang w:eastAsia="en-US"/>
        </w:rPr>
        <w:fldChar w:fldCharType="end"/>
      </w:r>
      <w:r w:rsidR="00270E2F" w:rsidRPr="0022060B">
        <w:rPr>
          <w:rFonts w:ascii="Arial" w:hAnsi="Arial" w:cs="Arial"/>
          <w:noProof/>
          <w:sz w:val="20"/>
        </w:rPr>
        <mc:AlternateContent>
          <mc:Choice Requires="wps">
            <w:drawing>
              <wp:anchor distT="0" distB="0" distL="114300" distR="114300" simplePos="0" relativeHeight="251664896" behindDoc="0" locked="0" layoutInCell="1" allowOverlap="1" wp14:anchorId="63484C90" wp14:editId="67AE2BB8">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BC0740"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rsidR="00984E8B" w:rsidRDefault="00984E8B" w:rsidP="00DB558E">
      <w:pPr>
        <w:spacing w:after="0"/>
        <w:jc w:val="center"/>
        <w:rPr>
          <w:rStyle w:val="Hyperlink"/>
          <w:rFonts w:ascii="Arial" w:hAnsi="Arial" w:cs="Arial"/>
          <w:i/>
          <w:color w:val="000000" w:themeColor="text1"/>
          <w:sz w:val="20"/>
          <w:szCs w:val="20"/>
          <w:u w:val="none"/>
        </w:rPr>
      </w:pPr>
    </w:p>
    <w:p w:rsidR="00DB558E" w:rsidRPr="00D736E4" w:rsidRDefault="00DB558E" w:rsidP="00DB558E">
      <w:pPr>
        <w:spacing w:after="0"/>
        <w:jc w:val="center"/>
        <w:rPr>
          <w:rStyle w:val="Hyperlink"/>
          <w:rFonts w:ascii="Arial" w:hAnsi="Arial" w:cs="Arial"/>
          <w:i/>
          <w:color w:val="auto"/>
          <w:sz w:val="20"/>
          <w:szCs w:val="20"/>
          <w:u w:val="none"/>
        </w:rPr>
      </w:pPr>
      <w:r w:rsidRPr="00D736E4">
        <w:rPr>
          <w:rStyle w:val="Hyperlink"/>
          <w:rFonts w:ascii="Arial" w:hAnsi="Arial" w:cs="Arial"/>
          <w:i/>
          <w:color w:val="auto"/>
          <w:sz w:val="20"/>
          <w:szCs w:val="20"/>
          <w:u w:val="none"/>
        </w:rPr>
        <w:t xml:space="preserve">Elaboração: Escola de Gestão Pública </w:t>
      </w:r>
      <w:r w:rsidR="00D736E4">
        <w:rPr>
          <w:rStyle w:val="Hyperlink"/>
          <w:rFonts w:ascii="Arial" w:hAnsi="Arial" w:cs="Arial"/>
          <w:i/>
          <w:color w:val="auto"/>
          <w:sz w:val="20"/>
          <w:szCs w:val="20"/>
          <w:u w:val="none"/>
        </w:rPr>
        <w:t>-</w:t>
      </w:r>
      <w:r w:rsidRPr="00D736E4">
        <w:rPr>
          <w:rStyle w:val="Hyperlink"/>
          <w:rFonts w:ascii="Arial" w:hAnsi="Arial" w:cs="Arial"/>
          <w:i/>
          <w:color w:val="auto"/>
          <w:sz w:val="20"/>
          <w:szCs w:val="20"/>
          <w:u w:val="none"/>
        </w:rPr>
        <w:t xml:space="preserve"> Jurisprudência</w:t>
      </w:r>
    </w:p>
    <w:p w:rsidR="00D736E4" w:rsidRPr="00D736E4" w:rsidRDefault="00D736E4" w:rsidP="00DB558E">
      <w:pPr>
        <w:spacing w:after="0"/>
        <w:jc w:val="center"/>
        <w:rPr>
          <w:rFonts w:ascii="Arial" w:hAnsi="Arial" w:cs="Arial"/>
          <w:b/>
          <w:sz w:val="20"/>
          <w:szCs w:val="20"/>
        </w:rPr>
      </w:pPr>
      <w:r w:rsidRPr="00D736E4">
        <w:rPr>
          <w:rStyle w:val="nfase"/>
          <w:rFonts w:ascii="Tahoma" w:hAnsi="Tahoma" w:cs="Tahoma"/>
          <w:sz w:val="20"/>
          <w:szCs w:val="20"/>
        </w:rPr>
        <w:t>E-mail: jurisprudencia@tce.pr.gov.br</w:t>
      </w:r>
    </w:p>
    <w:p w:rsidR="00DB558E" w:rsidRDefault="00DB558E" w:rsidP="00DB558E">
      <w:pPr>
        <w:widowControl w:val="0"/>
        <w:autoSpaceDE w:val="0"/>
        <w:autoSpaceDN w:val="0"/>
        <w:spacing w:after="0"/>
        <w:jc w:val="both"/>
        <w:rPr>
          <w:rFonts w:ascii="Arial" w:hAnsi="Arial" w:cs="Arial"/>
          <w:b/>
          <w:sz w:val="20"/>
          <w:szCs w:val="20"/>
        </w:rPr>
      </w:pPr>
    </w:p>
    <w:p w:rsidR="00E01524" w:rsidRPr="0022060B" w:rsidRDefault="00E01524" w:rsidP="00DB558E">
      <w:pPr>
        <w:pStyle w:val="TCU-Epgrafe"/>
        <w:spacing w:after="200" w:line="276" w:lineRule="auto"/>
        <w:ind w:left="0"/>
        <w:rPr>
          <w:rFonts w:ascii="Arial" w:hAnsi="Arial" w:cs="Arial"/>
          <w:b/>
          <w:sz w:val="20"/>
        </w:rPr>
      </w:pPr>
    </w:p>
    <w:sectPr w:rsidR="00E01524" w:rsidRPr="0022060B">
      <w:headerReference w:type="default" r:id="rId38"/>
      <w:footerReference w:type="default" r:id="rId3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170C" w:rsidRDefault="001E170C" w:rsidP="00350CC2">
      <w:pPr>
        <w:spacing w:after="0" w:line="240" w:lineRule="auto"/>
      </w:pPr>
      <w:r>
        <w:separator/>
      </w:r>
    </w:p>
  </w:endnote>
  <w:endnote w:type="continuationSeparator" w:id="0">
    <w:p w:rsidR="001E170C" w:rsidRDefault="001E170C"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E" w:rsidRDefault="002245D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B82B41">
      <w:rPr>
        <w:noProof/>
        <w:sz w:val="16"/>
        <w:szCs w:val="16"/>
      </w:rPr>
      <w:t>3</w:t>
    </w:r>
    <w:r w:rsidRPr="00722924">
      <w:rPr>
        <w:sz w:val="16"/>
        <w:szCs w:val="16"/>
      </w:rPr>
      <w:fldChar w:fldCharType="end"/>
    </w:r>
  </w:p>
  <w:p w:rsidR="00375DB6" w:rsidRDefault="00375DB6"/>
  <w:p w:rsidR="00375DB6" w:rsidRDefault="00375DB6"/>
  <w:p w:rsidR="00375DB6" w:rsidRDefault="00375DB6"/>
  <w:p w:rsidR="00070CC8" w:rsidRDefault="00070C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170C" w:rsidRDefault="001E170C" w:rsidP="00350CC2">
      <w:pPr>
        <w:spacing w:after="0" w:line="240" w:lineRule="auto"/>
      </w:pPr>
      <w:r>
        <w:separator/>
      </w:r>
    </w:p>
  </w:footnote>
  <w:footnote w:type="continuationSeparator" w:id="0">
    <w:p w:rsidR="001E170C" w:rsidRDefault="001E170C"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p w:rsidR="00070CC8" w:rsidRDefault="00070C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505505"/>
    <w:multiLevelType w:val="hybridMultilevel"/>
    <w:tmpl w:val="241CB1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7"/>
  </w:num>
  <w:num w:numId="3">
    <w:abstractNumId w:val="10"/>
  </w:num>
  <w:num w:numId="4">
    <w:abstractNumId w:val="11"/>
  </w:num>
  <w:num w:numId="5">
    <w:abstractNumId w:val="12"/>
  </w:num>
  <w:num w:numId="6">
    <w:abstractNumId w:val="9"/>
  </w:num>
  <w:num w:numId="7">
    <w:abstractNumId w:val="0"/>
  </w:num>
  <w:num w:numId="8">
    <w:abstractNumId w:val="1"/>
  </w:num>
  <w:num w:numId="9">
    <w:abstractNumId w:val="6"/>
  </w:num>
  <w:num w:numId="10">
    <w:abstractNumId w:val="2"/>
  </w:num>
  <w:num w:numId="11">
    <w:abstractNumId w:val="3"/>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5FB0"/>
    <w:rsid w:val="0001675E"/>
    <w:rsid w:val="00017EBA"/>
    <w:rsid w:val="00021B0A"/>
    <w:rsid w:val="00025971"/>
    <w:rsid w:val="000262AD"/>
    <w:rsid w:val="00027A03"/>
    <w:rsid w:val="00027FAB"/>
    <w:rsid w:val="000300F4"/>
    <w:rsid w:val="00032A26"/>
    <w:rsid w:val="00033422"/>
    <w:rsid w:val="00033E69"/>
    <w:rsid w:val="00040EBA"/>
    <w:rsid w:val="00042502"/>
    <w:rsid w:val="00042DF3"/>
    <w:rsid w:val="000433EC"/>
    <w:rsid w:val="000439FD"/>
    <w:rsid w:val="00045700"/>
    <w:rsid w:val="00046191"/>
    <w:rsid w:val="00046E21"/>
    <w:rsid w:val="00047EF1"/>
    <w:rsid w:val="00052862"/>
    <w:rsid w:val="00053B72"/>
    <w:rsid w:val="00056028"/>
    <w:rsid w:val="00056686"/>
    <w:rsid w:val="00056E6F"/>
    <w:rsid w:val="000572CE"/>
    <w:rsid w:val="00060D40"/>
    <w:rsid w:val="000617CF"/>
    <w:rsid w:val="00062737"/>
    <w:rsid w:val="00067E01"/>
    <w:rsid w:val="00070009"/>
    <w:rsid w:val="00070B14"/>
    <w:rsid w:val="00070CC8"/>
    <w:rsid w:val="000713DD"/>
    <w:rsid w:val="00071DE3"/>
    <w:rsid w:val="0007200C"/>
    <w:rsid w:val="00073F9F"/>
    <w:rsid w:val="00074287"/>
    <w:rsid w:val="000747BF"/>
    <w:rsid w:val="00074FAB"/>
    <w:rsid w:val="000759E5"/>
    <w:rsid w:val="00076184"/>
    <w:rsid w:val="000800D1"/>
    <w:rsid w:val="00081051"/>
    <w:rsid w:val="0009260D"/>
    <w:rsid w:val="000926D4"/>
    <w:rsid w:val="00092E5D"/>
    <w:rsid w:val="0009482D"/>
    <w:rsid w:val="0009711C"/>
    <w:rsid w:val="0009762F"/>
    <w:rsid w:val="00097B00"/>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C2948"/>
    <w:rsid w:val="000C3582"/>
    <w:rsid w:val="000C4F73"/>
    <w:rsid w:val="000C5093"/>
    <w:rsid w:val="000C5460"/>
    <w:rsid w:val="000C5EB3"/>
    <w:rsid w:val="000C63BC"/>
    <w:rsid w:val="000C7D67"/>
    <w:rsid w:val="000D2D5B"/>
    <w:rsid w:val="000D357D"/>
    <w:rsid w:val="000D4DE6"/>
    <w:rsid w:val="000D6D01"/>
    <w:rsid w:val="000E300B"/>
    <w:rsid w:val="000E3ACE"/>
    <w:rsid w:val="000E3FC6"/>
    <w:rsid w:val="000E464B"/>
    <w:rsid w:val="000E52A3"/>
    <w:rsid w:val="000E5AC8"/>
    <w:rsid w:val="000F04ED"/>
    <w:rsid w:val="000F18DA"/>
    <w:rsid w:val="000F1FFA"/>
    <w:rsid w:val="000F314C"/>
    <w:rsid w:val="000F5AE7"/>
    <w:rsid w:val="000F639D"/>
    <w:rsid w:val="000F7356"/>
    <w:rsid w:val="000F7C1B"/>
    <w:rsid w:val="00100B9C"/>
    <w:rsid w:val="00106AA9"/>
    <w:rsid w:val="00110517"/>
    <w:rsid w:val="00110BD6"/>
    <w:rsid w:val="001119DC"/>
    <w:rsid w:val="00111B86"/>
    <w:rsid w:val="00111C26"/>
    <w:rsid w:val="00112B60"/>
    <w:rsid w:val="00113875"/>
    <w:rsid w:val="00113EF1"/>
    <w:rsid w:val="00114B62"/>
    <w:rsid w:val="001159C9"/>
    <w:rsid w:val="00120862"/>
    <w:rsid w:val="0012211A"/>
    <w:rsid w:val="00122E13"/>
    <w:rsid w:val="00123D02"/>
    <w:rsid w:val="0012498C"/>
    <w:rsid w:val="00124A0F"/>
    <w:rsid w:val="00126447"/>
    <w:rsid w:val="00127DF2"/>
    <w:rsid w:val="00130717"/>
    <w:rsid w:val="0013298B"/>
    <w:rsid w:val="0013396B"/>
    <w:rsid w:val="001342E3"/>
    <w:rsid w:val="0013514C"/>
    <w:rsid w:val="0013583F"/>
    <w:rsid w:val="00135D5F"/>
    <w:rsid w:val="001411E6"/>
    <w:rsid w:val="001415BA"/>
    <w:rsid w:val="00142D10"/>
    <w:rsid w:val="00144712"/>
    <w:rsid w:val="001472C1"/>
    <w:rsid w:val="00150844"/>
    <w:rsid w:val="00151D02"/>
    <w:rsid w:val="001529D8"/>
    <w:rsid w:val="00156185"/>
    <w:rsid w:val="00156F74"/>
    <w:rsid w:val="00157806"/>
    <w:rsid w:val="00157D64"/>
    <w:rsid w:val="0016028F"/>
    <w:rsid w:val="00161AA2"/>
    <w:rsid w:val="00164520"/>
    <w:rsid w:val="0016670D"/>
    <w:rsid w:val="00166A96"/>
    <w:rsid w:val="00167BB3"/>
    <w:rsid w:val="00170F9D"/>
    <w:rsid w:val="00171401"/>
    <w:rsid w:val="001720EB"/>
    <w:rsid w:val="00172248"/>
    <w:rsid w:val="0017455D"/>
    <w:rsid w:val="001770AF"/>
    <w:rsid w:val="001800A9"/>
    <w:rsid w:val="001823E7"/>
    <w:rsid w:val="0018272D"/>
    <w:rsid w:val="00190B94"/>
    <w:rsid w:val="001930D1"/>
    <w:rsid w:val="001942C5"/>
    <w:rsid w:val="00196437"/>
    <w:rsid w:val="001975AB"/>
    <w:rsid w:val="001A16DE"/>
    <w:rsid w:val="001A322E"/>
    <w:rsid w:val="001A5D2D"/>
    <w:rsid w:val="001B096B"/>
    <w:rsid w:val="001B5B65"/>
    <w:rsid w:val="001B5F7A"/>
    <w:rsid w:val="001B6E08"/>
    <w:rsid w:val="001C0F23"/>
    <w:rsid w:val="001C1CCC"/>
    <w:rsid w:val="001C46A8"/>
    <w:rsid w:val="001D0693"/>
    <w:rsid w:val="001D0DD1"/>
    <w:rsid w:val="001D4D9A"/>
    <w:rsid w:val="001D51BD"/>
    <w:rsid w:val="001D6665"/>
    <w:rsid w:val="001D684B"/>
    <w:rsid w:val="001D6ADC"/>
    <w:rsid w:val="001D7E4B"/>
    <w:rsid w:val="001E170C"/>
    <w:rsid w:val="001E1817"/>
    <w:rsid w:val="001E2E5A"/>
    <w:rsid w:val="001E5F2E"/>
    <w:rsid w:val="001E6CAA"/>
    <w:rsid w:val="001E73FF"/>
    <w:rsid w:val="001E75A7"/>
    <w:rsid w:val="001F7A25"/>
    <w:rsid w:val="002013D1"/>
    <w:rsid w:val="0020195B"/>
    <w:rsid w:val="00202E6D"/>
    <w:rsid w:val="00202F4B"/>
    <w:rsid w:val="002036C8"/>
    <w:rsid w:val="002100EE"/>
    <w:rsid w:val="00211A49"/>
    <w:rsid w:val="00213BD0"/>
    <w:rsid w:val="002147AC"/>
    <w:rsid w:val="00215BFE"/>
    <w:rsid w:val="00215EF3"/>
    <w:rsid w:val="0022060B"/>
    <w:rsid w:val="00220BB1"/>
    <w:rsid w:val="00221D15"/>
    <w:rsid w:val="00223A59"/>
    <w:rsid w:val="00223F1C"/>
    <w:rsid w:val="002245DE"/>
    <w:rsid w:val="002246B0"/>
    <w:rsid w:val="00224904"/>
    <w:rsid w:val="00226DD5"/>
    <w:rsid w:val="00232878"/>
    <w:rsid w:val="0023318C"/>
    <w:rsid w:val="00234AE0"/>
    <w:rsid w:val="00235F82"/>
    <w:rsid w:val="00237C21"/>
    <w:rsid w:val="0024200E"/>
    <w:rsid w:val="002426C3"/>
    <w:rsid w:val="002450AA"/>
    <w:rsid w:val="002456AD"/>
    <w:rsid w:val="00245F7B"/>
    <w:rsid w:val="002478B9"/>
    <w:rsid w:val="00251273"/>
    <w:rsid w:val="00252A2A"/>
    <w:rsid w:val="00252AA5"/>
    <w:rsid w:val="00253ADA"/>
    <w:rsid w:val="00255360"/>
    <w:rsid w:val="00256A12"/>
    <w:rsid w:val="00256CEA"/>
    <w:rsid w:val="002571B4"/>
    <w:rsid w:val="00260758"/>
    <w:rsid w:val="00260D58"/>
    <w:rsid w:val="0026477F"/>
    <w:rsid w:val="00264F10"/>
    <w:rsid w:val="0026510B"/>
    <w:rsid w:val="002659BA"/>
    <w:rsid w:val="0026729F"/>
    <w:rsid w:val="00270E2F"/>
    <w:rsid w:val="00271154"/>
    <w:rsid w:val="00271655"/>
    <w:rsid w:val="002805F1"/>
    <w:rsid w:val="00286EB4"/>
    <w:rsid w:val="002874A2"/>
    <w:rsid w:val="002921E2"/>
    <w:rsid w:val="0029566D"/>
    <w:rsid w:val="00295F4B"/>
    <w:rsid w:val="002A00AC"/>
    <w:rsid w:val="002A00E8"/>
    <w:rsid w:val="002A0792"/>
    <w:rsid w:val="002A1D5F"/>
    <w:rsid w:val="002A2E6C"/>
    <w:rsid w:val="002B070A"/>
    <w:rsid w:val="002B0F20"/>
    <w:rsid w:val="002B14B7"/>
    <w:rsid w:val="002B297F"/>
    <w:rsid w:val="002B38A8"/>
    <w:rsid w:val="002B5E9F"/>
    <w:rsid w:val="002B6BA0"/>
    <w:rsid w:val="002C05FF"/>
    <w:rsid w:val="002C19EA"/>
    <w:rsid w:val="002C3EA5"/>
    <w:rsid w:val="002C480F"/>
    <w:rsid w:val="002C56C9"/>
    <w:rsid w:val="002C7487"/>
    <w:rsid w:val="002D1923"/>
    <w:rsid w:val="002D3BD3"/>
    <w:rsid w:val="002D48D1"/>
    <w:rsid w:val="002D5B56"/>
    <w:rsid w:val="002D6612"/>
    <w:rsid w:val="002D7650"/>
    <w:rsid w:val="002E09B1"/>
    <w:rsid w:val="002E0A60"/>
    <w:rsid w:val="002E1A56"/>
    <w:rsid w:val="002E4277"/>
    <w:rsid w:val="002E5303"/>
    <w:rsid w:val="002E6626"/>
    <w:rsid w:val="002E72FA"/>
    <w:rsid w:val="002E7DFF"/>
    <w:rsid w:val="002F0BE9"/>
    <w:rsid w:val="002F13A0"/>
    <w:rsid w:val="002F1634"/>
    <w:rsid w:val="002F1848"/>
    <w:rsid w:val="002F1D70"/>
    <w:rsid w:val="002F22FA"/>
    <w:rsid w:val="002F73BA"/>
    <w:rsid w:val="003005B3"/>
    <w:rsid w:val="0030165B"/>
    <w:rsid w:val="00302340"/>
    <w:rsid w:val="00303C9C"/>
    <w:rsid w:val="00305A67"/>
    <w:rsid w:val="00306B80"/>
    <w:rsid w:val="00307038"/>
    <w:rsid w:val="00310492"/>
    <w:rsid w:val="00313238"/>
    <w:rsid w:val="003132BE"/>
    <w:rsid w:val="00320577"/>
    <w:rsid w:val="0032266D"/>
    <w:rsid w:val="00325E2F"/>
    <w:rsid w:val="003265DB"/>
    <w:rsid w:val="003269A9"/>
    <w:rsid w:val="00327DF9"/>
    <w:rsid w:val="0033073E"/>
    <w:rsid w:val="00331533"/>
    <w:rsid w:val="0033240F"/>
    <w:rsid w:val="00333875"/>
    <w:rsid w:val="0033604C"/>
    <w:rsid w:val="003407F0"/>
    <w:rsid w:val="00340EB2"/>
    <w:rsid w:val="00343C28"/>
    <w:rsid w:val="00344A3D"/>
    <w:rsid w:val="00344A41"/>
    <w:rsid w:val="0034575E"/>
    <w:rsid w:val="00345C65"/>
    <w:rsid w:val="00350CC2"/>
    <w:rsid w:val="00351206"/>
    <w:rsid w:val="0035203F"/>
    <w:rsid w:val="003528A1"/>
    <w:rsid w:val="00352A72"/>
    <w:rsid w:val="0035371B"/>
    <w:rsid w:val="00353FEB"/>
    <w:rsid w:val="00356508"/>
    <w:rsid w:val="00356987"/>
    <w:rsid w:val="00356FB0"/>
    <w:rsid w:val="00361DA5"/>
    <w:rsid w:val="00361F1D"/>
    <w:rsid w:val="00364392"/>
    <w:rsid w:val="00365936"/>
    <w:rsid w:val="00365E61"/>
    <w:rsid w:val="00365EFF"/>
    <w:rsid w:val="00365F51"/>
    <w:rsid w:val="00373E05"/>
    <w:rsid w:val="00375692"/>
    <w:rsid w:val="00375DB6"/>
    <w:rsid w:val="0038012F"/>
    <w:rsid w:val="00380BAB"/>
    <w:rsid w:val="00381A0E"/>
    <w:rsid w:val="0038751C"/>
    <w:rsid w:val="0038778B"/>
    <w:rsid w:val="00394451"/>
    <w:rsid w:val="0039584A"/>
    <w:rsid w:val="00395F8B"/>
    <w:rsid w:val="0039625A"/>
    <w:rsid w:val="00396E93"/>
    <w:rsid w:val="003A35D9"/>
    <w:rsid w:val="003A4828"/>
    <w:rsid w:val="003A64CB"/>
    <w:rsid w:val="003A6622"/>
    <w:rsid w:val="003A673F"/>
    <w:rsid w:val="003B145D"/>
    <w:rsid w:val="003B4678"/>
    <w:rsid w:val="003B4F77"/>
    <w:rsid w:val="003B502C"/>
    <w:rsid w:val="003C6B35"/>
    <w:rsid w:val="003C7C21"/>
    <w:rsid w:val="003D0632"/>
    <w:rsid w:val="003D650C"/>
    <w:rsid w:val="003D6713"/>
    <w:rsid w:val="003D6E90"/>
    <w:rsid w:val="003D7C37"/>
    <w:rsid w:val="003E110D"/>
    <w:rsid w:val="003E3529"/>
    <w:rsid w:val="003E3D02"/>
    <w:rsid w:val="003E3E6A"/>
    <w:rsid w:val="003E55BC"/>
    <w:rsid w:val="003E6EAF"/>
    <w:rsid w:val="003F0088"/>
    <w:rsid w:val="003F03C6"/>
    <w:rsid w:val="003F2DDE"/>
    <w:rsid w:val="003F314F"/>
    <w:rsid w:val="003F4721"/>
    <w:rsid w:val="003F5060"/>
    <w:rsid w:val="003F5829"/>
    <w:rsid w:val="003F63DA"/>
    <w:rsid w:val="003F677C"/>
    <w:rsid w:val="003F7090"/>
    <w:rsid w:val="00401EE0"/>
    <w:rsid w:val="004043AD"/>
    <w:rsid w:val="004053F2"/>
    <w:rsid w:val="00405A6A"/>
    <w:rsid w:val="00406D2C"/>
    <w:rsid w:val="0041120A"/>
    <w:rsid w:val="00411935"/>
    <w:rsid w:val="0041337A"/>
    <w:rsid w:val="00416A72"/>
    <w:rsid w:val="00420AE1"/>
    <w:rsid w:val="0042728A"/>
    <w:rsid w:val="004276DC"/>
    <w:rsid w:val="0042779B"/>
    <w:rsid w:val="004324A7"/>
    <w:rsid w:val="0043291F"/>
    <w:rsid w:val="00434347"/>
    <w:rsid w:val="004371F9"/>
    <w:rsid w:val="0043728E"/>
    <w:rsid w:val="00437541"/>
    <w:rsid w:val="00441D38"/>
    <w:rsid w:val="00441E59"/>
    <w:rsid w:val="004429A2"/>
    <w:rsid w:val="00442CB7"/>
    <w:rsid w:val="00443CA1"/>
    <w:rsid w:val="00444C25"/>
    <w:rsid w:val="0044532C"/>
    <w:rsid w:val="00447BB2"/>
    <w:rsid w:val="00450D69"/>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B9D"/>
    <w:rsid w:val="0047206A"/>
    <w:rsid w:val="00474978"/>
    <w:rsid w:val="0047499A"/>
    <w:rsid w:val="00474C78"/>
    <w:rsid w:val="00475334"/>
    <w:rsid w:val="00475AAE"/>
    <w:rsid w:val="00480934"/>
    <w:rsid w:val="0048130C"/>
    <w:rsid w:val="00482FA5"/>
    <w:rsid w:val="00484E6E"/>
    <w:rsid w:val="00485819"/>
    <w:rsid w:val="00487D31"/>
    <w:rsid w:val="00490000"/>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804"/>
    <w:rsid w:val="004A794E"/>
    <w:rsid w:val="004B142E"/>
    <w:rsid w:val="004B3D26"/>
    <w:rsid w:val="004B44C1"/>
    <w:rsid w:val="004B623F"/>
    <w:rsid w:val="004B6EA7"/>
    <w:rsid w:val="004C11DE"/>
    <w:rsid w:val="004C13DB"/>
    <w:rsid w:val="004D00EF"/>
    <w:rsid w:val="004D14AD"/>
    <w:rsid w:val="004D376C"/>
    <w:rsid w:val="004D3864"/>
    <w:rsid w:val="004D58CD"/>
    <w:rsid w:val="004D5EEF"/>
    <w:rsid w:val="004D75B0"/>
    <w:rsid w:val="004D7DC5"/>
    <w:rsid w:val="004E109A"/>
    <w:rsid w:val="004E3B94"/>
    <w:rsid w:val="004E6410"/>
    <w:rsid w:val="004E7C93"/>
    <w:rsid w:val="004F3C8F"/>
    <w:rsid w:val="00500939"/>
    <w:rsid w:val="00501FC7"/>
    <w:rsid w:val="005025F4"/>
    <w:rsid w:val="00502AAF"/>
    <w:rsid w:val="005067E0"/>
    <w:rsid w:val="00510B62"/>
    <w:rsid w:val="00511F85"/>
    <w:rsid w:val="00516673"/>
    <w:rsid w:val="00517B69"/>
    <w:rsid w:val="00520368"/>
    <w:rsid w:val="00523227"/>
    <w:rsid w:val="00523246"/>
    <w:rsid w:val="005237FD"/>
    <w:rsid w:val="005238BE"/>
    <w:rsid w:val="005246B4"/>
    <w:rsid w:val="00525F8B"/>
    <w:rsid w:val="0052651B"/>
    <w:rsid w:val="00530F1E"/>
    <w:rsid w:val="00532F0D"/>
    <w:rsid w:val="00533C06"/>
    <w:rsid w:val="00533E30"/>
    <w:rsid w:val="0053401E"/>
    <w:rsid w:val="00535AAB"/>
    <w:rsid w:val="00540B8E"/>
    <w:rsid w:val="00542636"/>
    <w:rsid w:val="00543DF0"/>
    <w:rsid w:val="00544AB5"/>
    <w:rsid w:val="0054545F"/>
    <w:rsid w:val="00546D89"/>
    <w:rsid w:val="00547AFC"/>
    <w:rsid w:val="0055022A"/>
    <w:rsid w:val="005503E5"/>
    <w:rsid w:val="005513B0"/>
    <w:rsid w:val="00556F73"/>
    <w:rsid w:val="005576BE"/>
    <w:rsid w:val="00560217"/>
    <w:rsid w:val="005603B3"/>
    <w:rsid w:val="00561787"/>
    <w:rsid w:val="0056193C"/>
    <w:rsid w:val="00561EF9"/>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742F"/>
    <w:rsid w:val="005A7C78"/>
    <w:rsid w:val="005B0873"/>
    <w:rsid w:val="005B4F6C"/>
    <w:rsid w:val="005B7055"/>
    <w:rsid w:val="005C4763"/>
    <w:rsid w:val="005C4DB7"/>
    <w:rsid w:val="005C5DC8"/>
    <w:rsid w:val="005C661E"/>
    <w:rsid w:val="005C7258"/>
    <w:rsid w:val="005D1E9E"/>
    <w:rsid w:val="005D48C8"/>
    <w:rsid w:val="005D58CE"/>
    <w:rsid w:val="005D6DB4"/>
    <w:rsid w:val="005E2760"/>
    <w:rsid w:val="005E2D13"/>
    <w:rsid w:val="005E350B"/>
    <w:rsid w:val="005E4648"/>
    <w:rsid w:val="005E6068"/>
    <w:rsid w:val="005E64B3"/>
    <w:rsid w:val="005E6A47"/>
    <w:rsid w:val="005E7312"/>
    <w:rsid w:val="005F03A4"/>
    <w:rsid w:val="005F0C51"/>
    <w:rsid w:val="005F16DB"/>
    <w:rsid w:val="005F17B2"/>
    <w:rsid w:val="005F2BB5"/>
    <w:rsid w:val="005F3A96"/>
    <w:rsid w:val="005F4DBF"/>
    <w:rsid w:val="005F58C1"/>
    <w:rsid w:val="005F65B1"/>
    <w:rsid w:val="005F66CC"/>
    <w:rsid w:val="005F7DEC"/>
    <w:rsid w:val="005F7E35"/>
    <w:rsid w:val="00600AA5"/>
    <w:rsid w:val="0060126D"/>
    <w:rsid w:val="0060146A"/>
    <w:rsid w:val="00601974"/>
    <w:rsid w:val="00601CE8"/>
    <w:rsid w:val="00602DA5"/>
    <w:rsid w:val="006045AF"/>
    <w:rsid w:val="00606B1E"/>
    <w:rsid w:val="006105E3"/>
    <w:rsid w:val="006115E2"/>
    <w:rsid w:val="00613D08"/>
    <w:rsid w:val="0061491F"/>
    <w:rsid w:val="00615FC7"/>
    <w:rsid w:val="006176AB"/>
    <w:rsid w:val="00620DEF"/>
    <w:rsid w:val="0062204C"/>
    <w:rsid w:val="00623188"/>
    <w:rsid w:val="00626DD6"/>
    <w:rsid w:val="0062719D"/>
    <w:rsid w:val="00627FDF"/>
    <w:rsid w:val="00630296"/>
    <w:rsid w:val="006331E3"/>
    <w:rsid w:val="00633776"/>
    <w:rsid w:val="00633C62"/>
    <w:rsid w:val="006361F0"/>
    <w:rsid w:val="006372A4"/>
    <w:rsid w:val="006375ED"/>
    <w:rsid w:val="006378AB"/>
    <w:rsid w:val="0064029E"/>
    <w:rsid w:val="00640861"/>
    <w:rsid w:val="00640A36"/>
    <w:rsid w:val="00640BDC"/>
    <w:rsid w:val="0064171C"/>
    <w:rsid w:val="00646004"/>
    <w:rsid w:val="00646AD1"/>
    <w:rsid w:val="006473BA"/>
    <w:rsid w:val="00650E4E"/>
    <w:rsid w:val="00654D9D"/>
    <w:rsid w:val="00660C02"/>
    <w:rsid w:val="0066104E"/>
    <w:rsid w:val="0066130F"/>
    <w:rsid w:val="006641F4"/>
    <w:rsid w:val="006645D9"/>
    <w:rsid w:val="006650FB"/>
    <w:rsid w:val="00665EBC"/>
    <w:rsid w:val="00667637"/>
    <w:rsid w:val="00667BE8"/>
    <w:rsid w:val="0067150D"/>
    <w:rsid w:val="00673A29"/>
    <w:rsid w:val="00673AD9"/>
    <w:rsid w:val="006766F4"/>
    <w:rsid w:val="006777B6"/>
    <w:rsid w:val="00681341"/>
    <w:rsid w:val="00681787"/>
    <w:rsid w:val="0068250F"/>
    <w:rsid w:val="00684053"/>
    <w:rsid w:val="00685904"/>
    <w:rsid w:val="00685FFE"/>
    <w:rsid w:val="00686729"/>
    <w:rsid w:val="00686CAC"/>
    <w:rsid w:val="00686D5A"/>
    <w:rsid w:val="00687871"/>
    <w:rsid w:val="00693247"/>
    <w:rsid w:val="0069336E"/>
    <w:rsid w:val="00694174"/>
    <w:rsid w:val="00697D60"/>
    <w:rsid w:val="006A27BC"/>
    <w:rsid w:val="006A27D6"/>
    <w:rsid w:val="006A3A42"/>
    <w:rsid w:val="006A41B4"/>
    <w:rsid w:val="006A5FD7"/>
    <w:rsid w:val="006A62B0"/>
    <w:rsid w:val="006B143E"/>
    <w:rsid w:val="006B30E3"/>
    <w:rsid w:val="006B5E72"/>
    <w:rsid w:val="006B6205"/>
    <w:rsid w:val="006C058F"/>
    <w:rsid w:val="006C275F"/>
    <w:rsid w:val="006C3252"/>
    <w:rsid w:val="006C7A04"/>
    <w:rsid w:val="006D158F"/>
    <w:rsid w:val="006D1B83"/>
    <w:rsid w:val="006D1BE7"/>
    <w:rsid w:val="006D5C98"/>
    <w:rsid w:val="006D6FCC"/>
    <w:rsid w:val="006E0A9F"/>
    <w:rsid w:val="006E12D5"/>
    <w:rsid w:val="006E26E8"/>
    <w:rsid w:val="006E4493"/>
    <w:rsid w:val="006E76B0"/>
    <w:rsid w:val="006F08D4"/>
    <w:rsid w:val="006F2773"/>
    <w:rsid w:val="006F3318"/>
    <w:rsid w:val="006F39CF"/>
    <w:rsid w:val="006F4894"/>
    <w:rsid w:val="006F58F5"/>
    <w:rsid w:val="006F676D"/>
    <w:rsid w:val="00700672"/>
    <w:rsid w:val="00701319"/>
    <w:rsid w:val="00701A95"/>
    <w:rsid w:val="007027E5"/>
    <w:rsid w:val="00702F7C"/>
    <w:rsid w:val="00706127"/>
    <w:rsid w:val="007077CD"/>
    <w:rsid w:val="00712A93"/>
    <w:rsid w:val="00714CF1"/>
    <w:rsid w:val="00715CEB"/>
    <w:rsid w:val="00717A58"/>
    <w:rsid w:val="00722924"/>
    <w:rsid w:val="00723D30"/>
    <w:rsid w:val="00723F1A"/>
    <w:rsid w:val="00726974"/>
    <w:rsid w:val="007306BB"/>
    <w:rsid w:val="007319AD"/>
    <w:rsid w:val="00732257"/>
    <w:rsid w:val="007335FA"/>
    <w:rsid w:val="00734DDB"/>
    <w:rsid w:val="007400EB"/>
    <w:rsid w:val="00740240"/>
    <w:rsid w:val="0074037C"/>
    <w:rsid w:val="00740FC9"/>
    <w:rsid w:val="007414D4"/>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1A2C"/>
    <w:rsid w:val="00781F5F"/>
    <w:rsid w:val="00783479"/>
    <w:rsid w:val="00783696"/>
    <w:rsid w:val="00783D3E"/>
    <w:rsid w:val="00784B5D"/>
    <w:rsid w:val="00785DB0"/>
    <w:rsid w:val="00791384"/>
    <w:rsid w:val="00791D74"/>
    <w:rsid w:val="00791E5B"/>
    <w:rsid w:val="007931D7"/>
    <w:rsid w:val="007949B4"/>
    <w:rsid w:val="0079708B"/>
    <w:rsid w:val="0079779E"/>
    <w:rsid w:val="00797F88"/>
    <w:rsid w:val="007A6DC9"/>
    <w:rsid w:val="007A71B5"/>
    <w:rsid w:val="007A797E"/>
    <w:rsid w:val="007B1216"/>
    <w:rsid w:val="007B255F"/>
    <w:rsid w:val="007B55C5"/>
    <w:rsid w:val="007C0579"/>
    <w:rsid w:val="007C0E7E"/>
    <w:rsid w:val="007C10CC"/>
    <w:rsid w:val="007C250E"/>
    <w:rsid w:val="007C2CD7"/>
    <w:rsid w:val="007D009C"/>
    <w:rsid w:val="007D0643"/>
    <w:rsid w:val="007D2162"/>
    <w:rsid w:val="007D5A53"/>
    <w:rsid w:val="007D62D9"/>
    <w:rsid w:val="007D73C9"/>
    <w:rsid w:val="007E1FB4"/>
    <w:rsid w:val="007E28C1"/>
    <w:rsid w:val="007F0840"/>
    <w:rsid w:val="007F2086"/>
    <w:rsid w:val="007F67A7"/>
    <w:rsid w:val="007F6F0A"/>
    <w:rsid w:val="0080061B"/>
    <w:rsid w:val="00800773"/>
    <w:rsid w:val="00801004"/>
    <w:rsid w:val="0080111C"/>
    <w:rsid w:val="00801EFD"/>
    <w:rsid w:val="008058BC"/>
    <w:rsid w:val="00806D7C"/>
    <w:rsid w:val="00807854"/>
    <w:rsid w:val="00811012"/>
    <w:rsid w:val="00811A90"/>
    <w:rsid w:val="00813846"/>
    <w:rsid w:val="00814325"/>
    <w:rsid w:val="00815C4F"/>
    <w:rsid w:val="008161C2"/>
    <w:rsid w:val="00816942"/>
    <w:rsid w:val="0081738B"/>
    <w:rsid w:val="0082026A"/>
    <w:rsid w:val="008219BA"/>
    <w:rsid w:val="00824136"/>
    <w:rsid w:val="00826075"/>
    <w:rsid w:val="008267CA"/>
    <w:rsid w:val="00826A19"/>
    <w:rsid w:val="008312D4"/>
    <w:rsid w:val="008317C8"/>
    <w:rsid w:val="00831915"/>
    <w:rsid w:val="0083305B"/>
    <w:rsid w:val="00834578"/>
    <w:rsid w:val="0083648B"/>
    <w:rsid w:val="00836500"/>
    <w:rsid w:val="008413CD"/>
    <w:rsid w:val="00841EAB"/>
    <w:rsid w:val="00844977"/>
    <w:rsid w:val="00844B97"/>
    <w:rsid w:val="00844E05"/>
    <w:rsid w:val="00845BB4"/>
    <w:rsid w:val="008464F9"/>
    <w:rsid w:val="00847302"/>
    <w:rsid w:val="00847BF3"/>
    <w:rsid w:val="00852A15"/>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28B6"/>
    <w:rsid w:val="00894CA0"/>
    <w:rsid w:val="00895461"/>
    <w:rsid w:val="008957B1"/>
    <w:rsid w:val="00896190"/>
    <w:rsid w:val="00897C5E"/>
    <w:rsid w:val="008A0656"/>
    <w:rsid w:val="008A1517"/>
    <w:rsid w:val="008A2307"/>
    <w:rsid w:val="008A2B8F"/>
    <w:rsid w:val="008A2BB7"/>
    <w:rsid w:val="008A4000"/>
    <w:rsid w:val="008A4A65"/>
    <w:rsid w:val="008A6621"/>
    <w:rsid w:val="008A70A5"/>
    <w:rsid w:val="008B201B"/>
    <w:rsid w:val="008B2D64"/>
    <w:rsid w:val="008B368E"/>
    <w:rsid w:val="008B38A4"/>
    <w:rsid w:val="008B38EE"/>
    <w:rsid w:val="008B4F2F"/>
    <w:rsid w:val="008B55B4"/>
    <w:rsid w:val="008B6A00"/>
    <w:rsid w:val="008C0269"/>
    <w:rsid w:val="008C076F"/>
    <w:rsid w:val="008C257C"/>
    <w:rsid w:val="008D0FDE"/>
    <w:rsid w:val="008D1051"/>
    <w:rsid w:val="008D22BE"/>
    <w:rsid w:val="008D7542"/>
    <w:rsid w:val="008D7F7C"/>
    <w:rsid w:val="008E0835"/>
    <w:rsid w:val="008E16ED"/>
    <w:rsid w:val="008E280E"/>
    <w:rsid w:val="008E2BA7"/>
    <w:rsid w:val="008E5642"/>
    <w:rsid w:val="008E5CC2"/>
    <w:rsid w:val="008F2E20"/>
    <w:rsid w:val="0090061C"/>
    <w:rsid w:val="00900BC5"/>
    <w:rsid w:val="00901036"/>
    <w:rsid w:val="00904136"/>
    <w:rsid w:val="00904309"/>
    <w:rsid w:val="0090479F"/>
    <w:rsid w:val="00904BFC"/>
    <w:rsid w:val="00906692"/>
    <w:rsid w:val="00906853"/>
    <w:rsid w:val="00906CF8"/>
    <w:rsid w:val="009073CB"/>
    <w:rsid w:val="0090752A"/>
    <w:rsid w:val="00910805"/>
    <w:rsid w:val="00911A42"/>
    <w:rsid w:val="00912D60"/>
    <w:rsid w:val="009140A2"/>
    <w:rsid w:val="009141D0"/>
    <w:rsid w:val="0091519E"/>
    <w:rsid w:val="00920480"/>
    <w:rsid w:val="00920D01"/>
    <w:rsid w:val="00923B20"/>
    <w:rsid w:val="009263DF"/>
    <w:rsid w:val="00927338"/>
    <w:rsid w:val="0093018E"/>
    <w:rsid w:val="0093167C"/>
    <w:rsid w:val="00932A3A"/>
    <w:rsid w:val="00934143"/>
    <w:rsid w:val="00934679"/>
    <w:rsid w:val="00935444"/>
    <w:rsid w:val="009378F0"/>
    <w:rsid w:val="00942696"/>
    <w:rsid w:val="00942EB6"/>
    <w:rsid w:val="0094307C"/>
    <w:rsid w:val="00944802"/>
    <w:rsid w:val="009470DD"/>
    <w:rsid w:val="009518D9"/>
    <w:rsid w:val="0095236F"/>
    <w:rsid w:val="00952404"/>
    <w:rsid w:val="00953350"/>
    <w:rsid w:val="00955BDA"/>
    <w:rsid w:val="0096328F"/>
    <w:rsid w:val="00965F52"/>
    <w:rsid w:val="0096737A"/>
    <w:rsid w:val="00970584"/>
    <w:rsid w:val="0097392A"/>
    <w:rsid w:val="009749C0"/>
    <w:rsid w:val="00977C0A"/>
    <w:rsid w:val="00982FF8"/>
    <w:rsid w:val="00984E8B"/>
    <w:rsid w:val="0098512F"/>
    <w:rsid w:val="0098550A"/>
    <w:rsid w:val="00985728"/>
    <w:rsid w:val="009857DD"/>
    <w:rsid w:val="009859AB"/>
    <w:rsid w:val="00987A4E"/>
    <w:rsid w:val="009907A9"/>
    <w:rsid w:val="00993DE4"/>
    <w:rsid w:val="00993F38"/>
    <w:rsid w:val="00994A4B"/>
    <w:rsid w:val="00996D25"/>
    <w:rsid w:val="009A043C"/>
    <w:rsid w:val="009A12ED"/>
    <w:rsid w:val="009A201F"/>
    <w:rsid w:val="009A62FC"/>
    <w:rsid w:val="009A6989"/>
    <w:rsid w:val="009A72EB"/>
    <w:rsid w:val="009B105E"/>
    <w:rsid w:val="009B2B4E"/>
    <w:rsid w:val="009B396E"/>
    <w:rsid w:val="009B39A2"/>
    <w:rsid w:val="009B3B97"/>
    <w:rsid w:val="009B49F3"/>
    <w:rsid w:val="009B4E5D"/>
    <w:rsid w:val="009B567A"/>
    <w:rsid w:val="009C29C5"/>
    <w:rsid w:val="009C5426"/>
    <w:rsid w:val="009C5C75"/>
    <w:rsid w:val="009C660A"/>
    <w:rsid w:val="009D1C23"/>
    <w:rsid w:val="009D2A29"/>
    <w:rsid w:val="009D417F"/>
    <w:rsid w:val="009D59DE"/>
    <w:rsid w:val="009E1362"/>
    <w:rsid w:val="009E1848"/>
    <w:rsid w:val="009E1BC1"/>
    <w:rsid w:val="009E1F6B"/>
    <w:rsid w:val="009E3E77"/>
    <w:rsid w:val="009E4DF2"/>
    <w:rsid w:val="009E6D60"/>
    <w:rsid w:val="009F1918"/>
    <w:rsid w:val="009F2D0A"/>
    <w:rsid w:val="009F3962"/>
    <w:rsid w:val="009F6ED7"/>
    <w:rsid w:val="009F7401"/>
    <w:rsid w:val="009F78F2"/>
    <w:rsid w:val="00A01C9B"/>
    <w:rsid w:val="00A065F5"/>
    <w:rsid w:val="00A10857"/>
    <w:rsid w:val="00A1221A"/>
    <w:rsid w:val="00A1269B"/>
    <w:rsid w:val="00A130F9"/>
    <w:rsid w:val="00A1585F"/>
    <w:rsid w:val="00A16000"/>
    <w:rsid w:val="00A16398"/>
    <w:rsid w:val="00A20EBA"/>
    <w:rsid w:val="00A20F2F"/>
    <w:rsid w:val="00A211A3"/>
    <w:rsid w:val="00A2357E"/>
    <w:rsid w:val="00A24629"/>
    <w:rsid w:val="00A25A27"/>
    <w:rsid w:val="00A27485"/>
    <w:rsid w:val="00A30038"/>
    <w:rsid w:val="00A309E8"/>
    <w:rsid w:val="00A3514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2502"/>
    <w:rsid w:val="00AA262E"/>
    <w:rsid w:val="00AA2AC5"/>
    <w:rsid w:val="00AA3174"/>
    <w:rsid w:val="00AA3A41"/>
    <w:rsid w:val="00AA5AE9"/>
    <w:rsid w:val="00AA6D45"/>
    <w:rsid w:val="00AA7585"/>
    <w:rsid w:val="00AA7DED"/>
    <w:rsid w:val="00AB031D"/>
    <w:rsid w:val="00AB08A6"/>
    <w:rsid w:val="00AB18B3"/>
    <w:rsid w:val="00AB1A1E"/>
    <w:rsid w:val="00AB236C"/>
    <w:rsid w:val="00AC0054"/>
    <w:rsid w:val="00AC06B6"/>
    <w:rsid w:val="00AC4C6A"/>
    <w:rsid w:val="00AC7830"/>
    <w:rsid w:val="00AD1557"/>
    <w:rsid w:val="00AD35F3"/>
    <w:rsid w:val="00AD44E9"/>
    <w:rsid w:val="00AD4CAC"/>
    <w:rsid w:val="00AD528F"/>
    <w:rsid w:val="00AD6760"/>
    <w:rsid w:val="00AD6EB3"/>
    <w:rsid w:val="00AD741D"/>
    <w:rsid w:val="00AD751D"/>
    <w:rsid w:val="00AD791C"/>
    <w:rsid w:val="00AE0A43"/>
    <w:rsid w:val="00AE1C60"/>
    <w:rsid w:val="00AE4F42"/>
    <w:rsid w:val="00AE728D"/>
    <w:rsid w:val="00AE7589"/>
    <w:rsid w:val="00AF2833"/>
    <w:rsid w:val="00AF3716"/>
    <w:rsid w:val="00AF3C46"/>
    <w:rsid w:val="00AF43E1"/>
    <w:rsid w:val="00AF4D71"/>
    <w:rsid w:val="00AF5921"/>
    <w:rsid w:val="00B0092E"/>
    <w:rsid w:val="00B018B2"/>
    <w:rsid w:val="00B018E8"/>
    <w:rsid w:val="00B03BF6"/>
    <w:rsid w:val="00B03CDF"/>
    <w:rsid w:val="00B03F59"/>
    <w:rsid w:val="00B040B7"/>
    <w:rsid w:val="00B04A55"/>
    <w:rsid w:val="00B04D46"/>
    <w:rsid w:val="00B0732B"/>
    <w:rsid w:val="00B104C5"/>
    <w:rsid w:val="00B10F47"/>
    <w:rsid w:val="00B1385B"/>
    <w:rsid w:val="00B13B1B"/>
    <w:rsid w:val="00B15DBF"/>
    <w:rsid w:val="00B165C9"/>
    <w:rsid w:val="00B16F6C"/>
    <w:rsid w:val="00B17D70"/>
    <w:rsid w:val="00B22AD7"/>
    <w:rsid w:val="00B22D31"/>
    <w:rsid w:val="00B22E46"/>
    <w:rsid w:val="00B27853"/>
    <w:rsid w:val="00B30291"/>
    <w:rsid w:val="00B306F7"/>
    <w:rsid w:val="00B30BB8"/>
    <w:rsid w:val="00B30FE2"/>
    <w:rsid w:val="00B3272E"/>
    <w:rsid w:val="00B32C71"/>
    <w:rsid w:val="00B330C4"/>
    <w:rsid w:val="00B37580"/>
    <w:rsid w:val="00B4137A"/>
    <w:rsid w:val="00B50B77"/>
    <w:rsid w:val="00B51290"/>
    <w:rsid w:val="00B52215"/>
    <w:rsid w:val="00B530CA"/>
    <w:rsid w:val="00B53AC4"/>
    <w:rsid w:val="00B54527"/>
    <w:rsid w:val="00B57ADA"/>
    <w:rsid w:val="00B61EE9"/>
    <w:rsid w:val="00B6496C"/>
    <w:rsid w:val="00B65962"/>
    <w:rsid w:val="00B66B6C"/>
    <w:rsid w:val="00B7033E"/>
    <w:rsid w:val="00B7071A"/>
    <w:rsid w:val="00B7076B"/>
    <w:rsid w:val="00B71858"/>
    <w:rsid w:val="00B71A39"/>
    <w:rsid w:val="00B721DC"/>
    <w:rsid w:val="00B74715"/>
    <w:rsid w:val="00B7669D"/>
    <w:rsid w:val="00B766D9"/>
    <w:rsid w:val="00B80A28"/>
    <w:rsid w:val="00B82B41"/>
    <w:rsid w:val="00B82D73"/>
    <w:rsid w:val="00B84A2C"/>
    <w:rsid w:val="00B871D6"/>
    <w:rsid w:val="00B87A02"/>
    <w:rsid w:val="00B93557"/>
    <w:rsid w:val="00B96204"/>
    <w:rsid w:val="00BA0DCC"/>
    <w:rsid w:val="00BA12A2"/>
    <w:rsid w:val="00BA16EF"/>
    <w:rsid w:val="00BA18D0"/>
    <w:rsid w:val="00BA242E"/>
    <w:rsid w:val="00BA2ABF"/>
    <w:rsid w:val="00BA3317"/>
    <w:rsid w:val="00BA5A9D"/>
    <w:rsid w:val="00BA6363"/>
    <w:rsid w:val="00BB28D4"/>
    <w:rsid w:val="00BB2D9C"/>
    <w:rsid w:val="00BB3512"/>
    <w:rsid w:val="00BB5D1E"/>
    <w:rsid w:val="00BB62CC"/>
    <w:rsid w:val="00BB7ED6"/>
    <w:rsid w:val="00BC137A"/>
    <w:rsid w:val="00BC4347"/>
    <w:rsid w:val="00BC45E0"/>
    <w:rsid w:val="00BC54B5"/>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5859"/>
    <w:rsid w:val="00BE5DB1"/>
    <w:rsid w:val="00BE717E"/>
    <w:rsid w:val="00BE7E27"/>
    <w:rsid w:val="00BF183C"/>
    <w:rsid w:val="00BF2333"/>
    <w:rsid w:val="00BF4C15"/>
    <w:rsid w:val="00C01EFC"/>
    <w:rsid w:val="00C044CF"/>
    <w:rsid w:val="00C0782F"/>
    <w:rsid w:val="00C11F50"/>
    <w:rsid w:val="00C12603"/>
    <w:rsid w:val="00C12C7C"/>
    <w:rsid w:val="00C131FD"/>
    <w:rsid w:val="00C15322"/>
    <w:rsid w:val="00C16DA8"/>
    <w:rsid w:val="00C17352"/>
    <w:rsid w:val="00C20F3E"/>
    <w:rsid w:val="00C21776"/>
    <w:rsid w:val="00C21959"/>
    <w:rsid w:val="00C30A7D"/>
    <w:rsid w:val="00C31169"/>
    <w:rsid w:val="00C3169F"/>
    <w:rsid w:val="00C318F6"/>
    <w:rsid w:val="00C37522"/>
    <w:rsid w:val="00C42EFD"/>
    <w:rsid w:val="00C43D8B"/>
    <w:rsid w:val="00C44042"/>
    <w:rsid w:val="00C46AF0"/>
    <w:rsid w:val="00C52956"/>
    <w:rsid w:val="00C53AE1"/>
    <w:rsid w:val="00C53CAD"/>
    <w:rsid w:val="00C543C3"/>
    <w:rsid w:val="00C54893"/>
    <w:rsid w:val="00C560A1"/>
    <w:rsid w:val="00C56E9E"/>
    <w:rsid w:val="00C56EB6"/>
    <w:rsid w:val="00C571E2"/>
    <w:rsid w:val="00C63FC8"/>
    <w:rsid w:val="00C64F57"/>
    <w:rsid w:val="00C65D21"/>
    <w:rsid w:val="00C66E11"/>
    <w:rsid w:val="00C6789D"/>
    <w:rsid w:val="00C71A97"/>
    <w:rsid w:val="00C72FFE"/>
    <w:rsid w:val="00C73FFD"/>
    <w:rsid w:val="00C74512"/>
    <w:rsid w:val="00C75071"/>
    <w:rsid w:val="00C77EB0"/>
    <w:rsid w:val="00C80639"/>
    <w:rsid w:val="00C84F07"/>
    <w:rsid w:val="00C851A6"/>
    <w:rsid w:val="00C855D4"/>
    <w:rsid w:val="00C87639"/>
    <w:rsid w:val="00C90685"/>
    <w:rsid w:val="00C9099A"/>
    <w:rsid w:val="00C9240A"/>
    <w:rsid w:val="00C93D5B"/>
    <w:rsid w:val="00C9442C"/>
    <w:rsid w:val="00C9532C"/>
    <w:rsid w:val="00C95BCF"/>
    <w:rsid w:val="00C95D16"/>
    <w:rsid w:val="00C95DCF"/>
    <w:rsid w:val="00CA184E"/>
    <w:rsid w:val="00CA23C4"/>
    <w:rsid w:val="00CA575F"/>
    <w:rsid w:val="00CA5AEC"/>
    <w:rsid w:val="00CA6114"/>
    <w:rsid w:val="00CA704A"/>
    <w:rsid w:val="00CB0797"/>
    <w:rsid w:val="00CB21FF"/>
    <w:rsid w:val="00CB2527"/>
    <w:rsid w:val="00CB5CAE"/>
    <w:rsid w:val="00CB644C"/>
    <w:rsid w:val="00CB6CAA"/>
    <w:rsid w:val="00CB78ED"/>
    <w:rsid w:val="00CC0004"/>
    <w:rsid w:val="00CC4E55"/>
    <w:rsid w:val="00CC550E"/>
    <w:rsid w:val="00CC5AC6"/>
    <w:rsid w:val="00CD0DCE"/>
    <w:rsid w:val="00CD1628"/>
    <w:rsid w:val="00CD1D27"/>
    <w:rsid w:val="00CD27B7"/>
    <w:rsid w:val="00CD3807"/>
    <w:rsid w:val="00CD3AE7"/>
    <w:rsid w:val="00CD3C10"/>
    <w:rsid w:val="00CD5194"/>
    <w:rsid w:val="00CD5981"/>
    <w:rsid w:val="00CD79FA"/>
    <w:rsid w:val="00CE10E6"/>
    <w:rsid w:val="00CE59A8"/>
    <w:rsid w:val="00CE657B"/>
    <w:rsid w:val="00CF0873"/>
    <w:rsid w:val="00CF237E"/>
    <w:rsid w:val="00CF3FB0"/>
    <w:rsid w:val="00CF515D"/>
    <w:rsid w:val="00CF53F5"/>
    <w:rsid w:val="00CF6B3F"/>
    <w:rsid w:val="00D002B4"/>
    <w:rsid w:val="00D03845"/>
    <w:rsid w:val="00D03DCB"/>
    <w:rsid w:val="00D05257"/>
    <w:rsid w:val="00D054DF"/>
    <w:rsid w:val="00D057A5"/>
    <w:rsid w:val="00D05D1F"/>
    <w:rsid w:val="00D144D0"/>
    <w:rsid w:val="00D14FC0"/>
    <w:rsid w:val="00D163A3"/>
    <w:rsid w:val="00D1656D"/>
    <w:rsid w:val="00D167CC"/>
    <w:rsid w:val="00D16943"/>
    <w:rsid w:val="00D211AE"/>
    <w:rsid w:val="00D21662"/>
    <w:rsid w:val="00D22016"/>
    <w:rsid w:val="00D22416"/>
    <w:rsid w:val="00D23DE4"/>
    <w:rsid w:val="00D23F50"/>
    <w:rsid w:val="00D24447"/>
    <w:rsid w:val="00D24867"/>
    <w:rsid w:val="00D318E3"/>
    <w:rsid w:val="00D323A7"/>
    <w:rsid w:val="00D346BF"/>
    <w:rsid w:val="00D34A4B"/>
    <w:rsid w:val="00D416EB"/>
    <w:rsid w:val="00D41B20"/>
    <w:rsid w:val="00D44615"/>
    <w:rsid w:val="00D45321"/>
    <w:rsid w:val="00D50324"/>
    <w:rsid w:val="00D55A28"/>
    <w:rsid w:val="00D5605F"/>
    <w:rsid w:val="00D61FBD"/>
    <w:rsid w:val="00D62519"/>
    <w:rsid w:val="00D625AA"/>
    <w:rsid w:val="00D63CBD"/>
    <w:rsid w:val="00D6500C"/>
    <w:rsid w:val="00D66392"/>
    <w:rsid w:val="00D66959"/>
    <w:rsid w:val="00D70A39"/>
    <w:rsid w:val="00D71716"/>
    <w:rsid w:val="00D71A7E"/>
    <w:rsid w:val="00D736E4"/>
    <w:rsid w:val="00D7643D"/>
    <w:rsid w:val="00D76DE0"/>
    <w:rsid w:val="00D80DF0"/>
    <w:rsid w:val="00D83ED5"/>
    <w:rsid w:val="00D86043"/>
    <w:rsid w:val="00D870D4"/>
    <w:rsid w:val="00D9398E"/>
    <w:rsid w:val="00D9464E"/>
    <w:rsid w:val="00D954E0"/>
    <w:rsid w:val="00D97059"/>
    <w:rsid w:val="00D97A1D"/>
    <w:rsid w:val="00DA0181"/>
    <w:rsid w:val="00DA2411"/>
    <w:rsid w:val="00DA2C81"/>
    <w:rsid w:val="00DA65C4"/>
    <w:rsid w:val="00DA7899"/>
    <w:rsid w:val="00DB0923"/>
    <w:rsid w:val="00DB29CA"/>
    <w:rsid w:val="00DB30C8"/>
    <w:rsid w:val="00DB558E"/>
    <w:rsid w:val="00DB5F0A"/>
    <w:rsid w:val="00DB5F2B"/>
    <w:rsid w:val="00DB74AF"/>
    <w:rsid w:val="00DC1AB8"/>
    <w:rsid w:val="00DC24DF"/>
    <w:rsid w:val="00DC5C19"/>
    <w:rsid w:val="00DC7068"/>
    <w:rsid w:val="00DD0411"/>
    <w:rsid w:val="00DD265A"/>
    <w:rsid w:val="00DD6B9B"/>
    <w:rsid w:val="00DE07A1"/>
    <w:rsid w:val="00DE21A2"/>
    <w:rsid w:val="00DE2776"/>
    <w:rsid w:val="00DE3B11"/>
    <w:rsid w:val="00DE7183"/>
    <w:rsid w:val="00DF1DAC"/>
    <w:rsid w:val="00DF2165"/>
    <w:rsid w:val="00DF5A24"/>
    <w:rsid w:val="00DF60E6"/>
    <w:rsid w:val="00DF6105"/>
    <w:rsid w:val="00DF659E"/>
    <w:rsid w:val="00DF7D50"/>
    <w:rsid w:val="00E01524"/>
    <w:rsid w:val="00E0320F"/>
    <w:rsid w:val="00E07C16"/>
    <w:rsid w:val="00E1021D"/>
    <w:rsid w:val="00E1428E"/>
    <w:rsid w:val="00E14900"/>
    <w:rsid w:val="00E15903"/>
    <w:rsid w:val="00E218D3"/>
    <w:rsid w:val="00E22321"/>
    <w:rsid w:val="00E229ED"/>
    <w:rsid w:val="00E23091"/>
    <w:rsid w:val="00E23E21"/>
    <w:rsid w:val="00E245A0"/>
    <w:rsid w:val="00E25964"/>
    <w:rsid w:val="00E25E9F"/>
    <w:rsid w:val="00E27565"/>
    <w:rsid w:val="00E30DE6"/>
    <w:rsid w:val="00E31944"/>
    <w:rsid w:val="00E32395"/>
    <w:rsid w:val="00E32E0D"/>
    <w:rsid w:val="00E332E3"/>
    <w:rsid w:val="00E34DBA"/>
    <w:rsid w:val="00E3534F"/>
    <w:rsid w:val="00E35435"/>
    <w:rsid w:val="00E37194"/>
    <w:rsid w:val="00E3788B"/>
    <w:rsid w:val="00E40C6A"/>
    <w:rsid w:val="00E410B7"/>
    <w:rsid w:val="00E43977"/>
    <w:rsid w:val="00E4415D"/>
    <w:rsid w:val="00E44AB8"/>
    <w:rsid w:val="00E47BD8"/>
    <w:rsid w:val="00E50D3F"/>
    <w:rsid w:val="00E520BE"/>
    <w:rsid w:val="00E53413"/>
    <w:rsid w:val="00E5484A"/>
    <w:rsid w:val="00E54E17"/>
    <w:rsid w:val="00E56A7A"/>
    <w:rsid w:val="00E60419"/>
    <w:rsid w:val="00E60E01"/>
    <w:rsid w:val="00E617D3"/>
    <w:rsid w:val="00E61E36"/>
    <w:rsid w:val="00E633C1"/>
    <w:rsid w:val="00E65532"/>
    <w:rsid w:val="00E667B0"/>
    <w:rsid w:val="00E67390"/>
    <w:rsid w:val="00E71365"/>
    <w:rsid w:val="00E74904"/>
    <w:rsid w:val="00E75CFA"/>
    <w:rsid w:val="00E770A4"/>
    <w:rsid w:val="00E8097A"/>
    <w:rsid w:val="00E81192"/>
    <w:rsid w:val="00E83B51"/>
    <w:rsid w:val="00E8626C"/>
    <w:rsid w:val="00E8663B"/>
    <w:rsid w:val="00E86BDE"/>
    <w:rsid w:val="00E8762F"/>
    <w:rsid w:val="00E90171"/>
    <w:rsid w:val="00E90AB8"/>
    <w:rsid w:val="00E919D9"/>
    <w:rsid w:val="00E921C1"/>
    <w:rsid w:val="00E93C8B"/>
    <w:rsid w:val="00E93D8F"/>
    <w:rsid w:val="00E9531E"/>
    <w:rsid w:val="00E95E41"/>
    <w:rsid w:val="00E95E4C"/>
    <w:rsid w:val="00E977CE"/>
    <w:rsid w:val="00E97E05"/>
    <w:rsid w:val="00EA34E2"/>
    <w:rsid w:val="00EA52D1"/>
    <w:rsid w:val="00EA703E"/>
    <w:rsid w:val="00EA791F"/>
    <w:rsid w:val="00EB671F"/>
    <w:rsid w:val="00EB70E7"/>
    <w:rsid w:val="00EB76D6"/>
    <w:rsid w:val="00EC02E8"/>
    <w:rsid w:val="00EC1139"/>
    <w:rsid w:val="00EC3842"/>
    <w:rsid w:val="00EC4299"/>
    <w:rsid w:val="00EC4D4D"/>
    <w:rsid w:val="00EC5D5D"/>
    <w:rsid w:val="00EC7908"/>
    <w:rsid w:val="00EC7C2B"/>
    <w:rsid w:val="00ED1F02"/>
    <w:rsid w:val="00ED213D"/>
    <w:rsid w:val="00EE15B5"/>
    <w:rsid w:val="00EE2087"/>
    <w:rsid w:val="00EE20A1"/>
    <w:rsid w:val="00EE6670"/>
    <w:rsid w:val="00EE74AF"/>
    <w:rsid w:val="00EF1F0E"/>
    <w:rsid w:val="00EF29F6"/>
    <w:rsid w:val="00EF4FBF"/>
    <w:rsid w:val="00EF518E"/>
    <w:rsid w:val="00EF5DF0"/>
    <w:rsid w:val="00EF69AE"/>
    <w:rsid w:val="00EF6E2C"/>
    <w:rsid w:val="00EF7106"/>
    <w:rsid w:val="00F001A6"/>
    <w:rsid w:val="00F00253"/>
    <w:rsid w:val="00F0070A"/>
    <w:rsid w:val="00F01660"/>
    <w:rsid w:val="00F01C16"/>
    <w:rsid w:val="00F0782D"/>
    <w:rsid w:val="00F10B74"/>
    <w:rsid w:val="00F11EB3"/>
    <w:rsid w:val="00F13F39"/>
    <w:rsid w:val="00F14B9B"/>
    <w:rsid w:val="00F14CCC"/>
    <w:rsid w:val="00F17988"/>
    <w:rsid w:val="00F20C09"/>
    <w:rsid w:val="00F217DF"/>
    <w:rsid w:val="00F21CAE"/>
    <w:rsid w:val="00F22AE0"/>
    <w:rsid w:val="00F2601A"/>
    <w:rsid w:val="00F26701"/>
    <w:rsid w:val="00F310D7"/>
    <w:rsid w:val="00F368B9"/>
    <w:rsid w:val="00F3739F"/>
    <w:rsid w:val="00F374C1"/>
    <w:rsid w:val="00F37B34"/>
    <w:rsid w:val="00F37C53"/>
    <w:rsid w:val="00F41C34"/>
    <w:rsid w:val="00F4212F"/>
    <w:rsid w:val="00F447DB"/>
    <w:rsid w:val="00F447FA"/>
    <w:rsid w:val="00F469B9"/>
    <w:rsid w:val="00F46C32"/>
    <w:rsid w:val="00F46ECB"/>
    <w:rsid w:val="00F50F94"/>
    <w:rsid w:val="00F525B5"/>
    <w:rsid w:val="00F53D53"/>
    <w:rsid w:val="00F543B9"/>
    <w:rsid w:val="00F56177"/>
    <w:rsid w:val="00F56187"/>
    <w:rsid w:val="00F575D3"/>
    <w:rsid w:val="00F5786C"/>
    <w:rsid w:val="00F62117"/>
    <w:rsid w:val="00F62365"/>
    <w:rsid w:val="00F630A7"/>
    <w:rsid w:val="00F6520C"/>
    <w:rsid w:val="00F66225"/>
    <w:rsid w:val="00F662BC"/>
    <w:rsid w:val="00F6708D"/>
    <w:rsid w:val="00F707F0"/>
    <w:rsid w:val="00F71AD5"/>
    <w:rsid w:val="00F729ED"/>
    <w:rsid w:val="00F733B8"/>
    <w:rsid w:val="00F74F50"/>
    <w:rsid w:val="00F75192"/>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320D"/>
    <w:rsid w:val="00FA362B"/>
    <w:rsid w:val="00FA444C"/>
    <w:rsid w:val="00FA53E9"/>
    <w:rsid w:val="00FA60EC"/>
    <w:rsid w:val="00FB04E9"/>
    <w:rsid w:val="00FB1179"/>
    <w:rsid w:val="00FB1C6B"/>
    <w:rsid w:val="00FB3361"/>
    <w:rsid w:val="00FB42B4"/>
    <w:rsid w:val="00FB4841"/>
    <w:rsid w:val="00FB6C94"/>
    <w:rsid w:val="00FB7943"/>
    <w:rsid w:val="00FB7F8B"/>
    <w:rsid w:val="00FC22F5"/>
    <w:rsid w:val="00FC3744"/>
    <w:rsid w:val="00FC3753"/>
    <w:rsid w:val="00FC5170"/>
    <w:rsid w:val="00FC5743"/>
    <w:rsid w:val="00FC6240"/>
    <w:rsid w:val="00FD118C"/>
    <w:rsid w:val="00FD332F"/>
    <w:rsid w:val="00FD7395"/>
    <w:rsid w:val="00FE1CC1"/>
    <w:rsid w:val="00FE385E"/>
    <w:rsid w:val="00FE3CE2"/>
    <w:rsid w:val="00FE54AD"/>
    <w:rsid w:val="00FE5633"/>
    <w:rsid w:val="00FE6F7A"/>
    <w:rsid w:val="00FE7B14"/>
    <w:rsid w:val="00FF02D5"/>
    <w:rsid w:val="00FF0846"/>
    <w:rsid w:val="00FF248B"/>
    <w:rsid w:val="00FF3E6F"/>
    <w:rsid w:val="00FF5A63"/>
    <w:rsid w:val="00FF60AC"/>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019A66"/>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99781424">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56535059">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8/8/pdf/00330405.pdf" TargetMode="External"/><Relationship Id="rId13" Type="http://schemas.openxmlformats.org/officeDocument/2006/relationships/hyperlink" Target="http://www1.tce.pr.gov.br/multimidia/2018/8/pdf/00330283.pdf" TargetMode="External"/><Relationship Id="rId18" Type="http://schemas.openxmlformats.org/officeDocument/2006/relationships/hyperlink" Target="https://ww2.stj.jus.br/processo/revista/documento/mediado/?componente=ATC&amp;sequencial=83264838&amp;num_registro=201300649473&amp;data=20180808&amp;tipo=51&amp;formato=PDF" TargetMode="External"/><Relationship Id="rId26" Type="http://schemas.openxmlformats.org/officeDocument/2006/relationships/hyperlink" Target="http://www.planalto.gov.br/ccivil_03/Constituicao/Constituicao.htm"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planalto.gov.br/ccivil_03/_ato2015-2018/2015/lei/l13105.htm" TargetMode="External"/><Relationship Id="rId34" Type="http://schemas.openxmlformats.org/officeDocument/2006/relationships/hyperlink" Target="http://www.planalto.gov.br/ccivil_03/LEIS/LCP/Lcp123.htm" TargetMode="External"/><Relationship Id="rId7" Type="http://schemas.openxmlformats.org/officeDocument/2006/relationships/endnotes" Target="endnotes.xml"/><Relationship Id="rId12" Type="http://schemas.openxmlformats.org/officeDocument/2006/relationships/hyperlink" Target="http://www1.tce.pr.gov.br/multimidia/2018/8/pdf/00330286.pdf" TargetMode="External"/><Relationship Id="rId17" Type="http://schemas.openxmlformats.org/officeDocument/2006/relationships/hyperlink" Target="http://portal.stf.jus.br/processos/detalhe.asp?incidente=4952236" TargetMode="External"/><Relationship Id="rId25" Type="http://schemas.openxmlformats.org/officeDocument/2006/relationships/hyperlink" Target="http://www.planalto.gov.br/ccivil_03/constituicao/emendas/emc/emc20.htm" TargetMode="External"/><Relationship Id="rId33" Type="http://schemas.openxmlformats.org/officeDocument/2006/relationships/hyperlink" Target="https://contas.tcu.gov.br/sagas/SvlVisualizarRelVotoAcRtf?codFiltro=SAGAS-SESSAO-ENCERRADA&amp;seOcultaPagina=S&amp;item0=625700"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portal.stf.jus.br/processos/detalhe.asp?incidente=4620584" TargetMode="External"/><Relationship Id="rId20" Type="http://schemas.openxmlformats.org/officeDocument/2006/relationships/hyperlink" Target="https://contas.tcu.gov.br/sagas/SvlVisualizarRelVotoAcRtf?codFiltro=SAGAS-SESSAO-ENCERRADA&amp;seOcultaPagina=S&amp;item0=626924" TargetMode="External"/><Relationship Id="rId29" Type="http://schemas.openxmlformats.org/officeDocument/2006/relationships/hyperlink" Target="https://contas.tcu.gov.br/sagas/SvlVisualizarRelVotoAcRtf?codFiltro=SAGAS-SESSAO-ENCERRADA&amp;seOcultaPagina=S&amp;item0=62523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8/8/pdf/00330321.pdf" TargetMode="External"/><Relationship Id="rId24" Type="http://schemas.openxmlformats.org/officeDocument/2006/relationships/hyperlink" Target="https://contas.tcu.gov.br/sagas/SvlVisualizarRelVotoAcRtf?codFiltro=SAGAS-SESSAO-ENCERRADA&amp;seOcultaPagina=S&amp;item0=625875" TargetMode="External"/><Relationship Id="rId32" Type="http://schemas.openxmlformats.org/officeDocument/2006/relationships/hyperlink" Target="http://www.planalto.gov.br/ccivil_03/LEIS/LCP/Lcp123.htm" TargetMode="External"/><Relationship Id="rId37" Type="http://schemas.openxmlformats.org/officeDocument/2006/relationships/hyperlink" Target="http://www1.tce.pr.gov.br/conteudo/teses-ambientais/316603/area/242"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1.tce.pr.gov.br/multimidia/2018/8/pdf/00330194.pdf" TargetMode="External"/><Relationship Id="rId23" Type="http://schemas.openxmlformats.org/officeDocument/2006/relationships/hyperlink" Target="https://www.planalto.gov.br/ccivil_03/Constituicao/Constituicao.htm" TargetMode="External"/><Relationship Id="rId28" Type="http://schemas.openxmlformats.org/officeDocument/2006/relationships/hyperlink" Target="https://contas.tcu.gov.br/sagas/SvlVisualizarRelVotoAcRtf?codFiltro=SAGAS-SESSAO-ENCERRADA&amp;seOcultaPagina=S&amp;item0=626925" TargetMode="External"/><Relationship Id="rId36" Type="http://schemas.openxmlformats.org/officeDocument/2006/relationships/hyperlink" Target="http://www.planalto.gov.br/ccivil_03/LEIS/LCP/Lcp123.htm" TargetMode="External"/><Relationship Id="rId10" Type="http://schemas.openxmlformats.org/officeDocument/2006/relationships/hyperlink" Target="http://www1.tce.pr.gov.br/multimidia/2018/8/pdf/00330308.pdf" TargetMode="External"/><Relationship Id="rId19" Type="http://schemas.openxmlformats.org/officeDocument/2006/relationships/hyperlink" Target="https://contas.tcu.gov.br/sagas/SvlVisualizarRelVotoAcRtf?codFiltro=SAGAS-SESSAO-ENCERRADA&amp;seOcultaPagina=S&amp;item0=601879" TargetMode="External"/><Relationship Id="rId31" Type="http://schemas.openxmlformats.org/officeDocument/2006/relationships/hyperlink" Target="https://contas.tcu.gov.br/sagas/SvlVisualizarRelVotoAcRtf?codFiltro=SAGAS-SESSAO-ENCERRADA&amp;seOcultaPagina=S&amp;item0=625700" TargetMode="External"/><Relationship Id="rId4" Type="http://schemas.openxmlformats.org/officeDocument/2006/relationships/settings" Target="settings.xml"/><Relationship Id="rId9" Type="http://schemas.openxmlformats.org/officeDocument/2006/relationships/hyperlink" Target="http://www1.tce.pr.gov.br/multimidia/2018/8/pdf/00330309.pdf" TargetMode="External"/><Relationship Id="rId14" Type="http://schemas.openxmlformats.org/officeDocument/2006/relationships/hyperlink" Target="http://www1.tce.pr.gov.br/multimidia/2018/8/pdf/00330280.pdf" TargetMode="External"/><Relationship Id="rId22" Type="http://schemas.openxmlformats.org/officeDocument/2006/relationships/hyperlink" Target="https://contas.tcu.gov.br/sagas/SvlVisualizarRelVotoAcRtf?codFiltro=SAGAS-SESSAO-ENCERRADA&amp;seOcultaPagina=S&amp;item0=627072" TargetMode="External"/><Relationship Id="rId27" Type="http://schemas.openxmlformats.org/officeDocument/2006/relationships/hyperlink" Target="https://contas.tcu.gov.br/sagas/SvlVisualizarRelVotoAcRtf?codFiltro=SAGAS-SESSAO-ENCERRADA&amp;seOcultaPagina=S&amp;item0=624546" TargetMode="External"/><Relationship Id="rId30" Type="http://schemas.openxmlformats.org/officeDocument/2006/relationships/hyperlink" Target="http://www.planalto.gov.br/ccivil_03/_ato2015-2018/2016/lei/l13303.htm" TargetMode="External"/><Relationship Id="rId35" Type="http://schemas.openxmlformats.org/officeDocument/2006/relationships/hyperlink" Target="https://contas.tcu.gov.br/sagas/SvlVisualizarRelVotoAcRtf?codFiltro=SAGAS-SESSAO-ENCERRADA&amp;seOcultaPagina=S&amp;item0=62570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9334F-4F4E-479A-9407-6A650E457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12</Pages>
  <Words>4065</Words>
  <Characters>21951</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Tiago Moraes Ribeiro</cp:lastModifiedBy>
  <cp:revision>279</cp:revision>
  <cp:lastPrinted>2017-07-10T20:46:00Z</cp:lastPrinted>
  <dcterms:created xsi:type="dcterms:W3CDTF">2017-07-10T20:45:00Z</dcterms:created>
  <dcterms:modified xsi:type="dcterms:W3CDTF">2018-09-26T13:24:00Z</dcterms:modified>
</cp:coreProperties>
</file>