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2F" w:rsidRPr="00640BDC" w:rsidRDefault="0038012F" w:rsidP="0038012F">
      <w:pPr>
        <w:pStyle w:val="Cabealho"/>
        <w:spacing w:after="100" w:afterAutospacing="1"/>
        <w:jc w:val="center"/>
        <w:rPr>
          <w:rFonts w:ascii="Arial" w:hAnsi="Arial" w:cs="Arial"/>
        </w:rPr>
      </w:pPr>
      <w:r w:rsidRPr="00640BDC">
        <w:rPr>
          <w:rFonts w:ascii="Arial" w:hAnsi="Arial" w:cs="Arial"/>
          <w:b/>
        </w:rPr>
        <w:t>Boletim de Jurisprudência TCE/PR</w:t>
      </w:r>
      <w:r w:rsidRPr="00640BDC">
        <w:rPr>
          <w:rFonts w:ascii="Arial" w:hAnsi="Arial" w:cs="Arial"/>
        </w:rPr>
        <w:t xml:space="preserve"> </w:t>
      </w:r>
    </w:p>
    <w:p w:rsidR="001B5F7A" w:rsidRPr="002147AC" w:rsidRDefault="001B5F7A" w:rsidP="001B5F7A">
      <w:pPr>
        <w:spacing w:after="120"/>
        <w:jc w:val="center"/>
        <w:rPr>
          <w:rFonts w:ascii="Arial" w:hAnsi="Arial" w:cs="Arial"/>
          <w:b/>
          <w:sz w:val="20"/>
          <w:szCs w:val="20"/>
        </w:rPr>
      </w:pPr>
      <w:r w:rsidRPr="002147AC">
        <w:rPr>
          <w:rFonts w:ascii="Arial" w:hAnsi="Arial" w:cs="Arial"/>
          <w:b/>
          <w:sz w:val="20"/>
          <w:szCs w:val="20"/>
        </w:rPr>
        <w:t xml:space="preserve">Número </w:t>
      </w:r>
      <w:r w:rsidR="00FF0846">
        <w:rPr>
          <w:rFonts w:ascii="Arial" w:hAnsi="Arial" w:cs="Arial"/>
          <w:b/>
          <w:sz w:val="20"/>
          <w:szCs w:val="20"/>
        </w:rPr>
        <w:t>1</w:t>
      </w:r>
      <w:r w:rsidR="007B255F">
        <w:rPr>
          <w:rFonts w:ascii="Arial" w:hAnsi="Arial" w:cs="Arial"/>
          <w:b/>
          <w:sz w:val="20"/>
          <w:szCs w:val="20"/>
        </w:rPr>
        <w:t>3</w:t>
      </w:r>
    </w:p>
    <w:p w:rsidR="001B5F7A" w:rsidRDefault="001B5F7A" w:rsidP="001B5F7A">
      <w:pPr>
        <w:spacing w:after="120"/>
        <w:jc w:val="center"/>
        <w:rPr>
          <w:rFonts w:ascii="Arial" w:hAnsi="Arial" w:cs="Arial"/>
          <w:b/>
          <w:sz w:val="20"/>
          <w:szCs w:val="20"/>
        </w:rPr>
      </w:pPr>
      <w:r w:rsidRPr="00FE7B14">
        <w:rPr>
          <w:rFonts w:ascii="Arial" w:hAnsi="Arial" w:cs="Arial"/>
          <w:b/>
          <w:sz w:val="20"/>
          <w:szCs w:val="20"/>
        </w:rPr>
        <w:t xml:space="preserve">Sessões: </w:t>
      </w:r>
      <w:r w:rsidR="007B255F">
        <w:rPr>
          <w:rFonts w:ascii="Arial" w:hAnsi="Arial" w:cs="Arial"/>
          <w:b/>
          <w:sz w:val="20"/>
          <w:szCs w:val="20"/>
        </w:rPr>
        <w:t>11</w:t>
      </w:r>
      <w:r w:rsidR="005A0FD0" w:rsidRPr="00FE7B14">
        <w:rPr>
          <w:rFonts w:ascii="Arial" w:hAnsi="Arial" w:cs="Arial"/>
          <w:b/>
          <w:sz w:val="20"/>
          <w:szCs w:val="20"/>
        </w:rPr>
        <w:t xml:space="preserve"> </w:t>
      </w:r>
      <w:r w:rsidR="000D4DE6" w:rsidRPr="00FE7B14">
        <w:rPr>
          <w:rFonts w:ascii="Arial" w:hAnsi="Arial" w:cs="Arial"/>
          <w:b/>
          <w:sz w:val="20"/>
          <w:szCs w:val="20"/>
        </w:rPr>
        <w:t>a</w:t>
      </w:r>
      <w:r w:rsidRPr="00FE7B14">
        <w:rPr>
          <w:rFonts w:ascii="Arial" w:hAnsi="Arial" w:cs="Arial"/>
          <w:b/>
          <w:sz w:val="20"/>
          <w:szCs w:val="20"/>
        </w:rPr>
        <w:t xml:space="preserve"> </w:t>
      </w:r>
      <w:r w:rsidR="007B255F">
        <w:rPr>
          <w:rFonts w:ascii="Arial" w:hAnsi="Arial" w:cs="Arial"/>
          <w:b/>
          <w:sz w:val="20"/>
          <w:szCs w:val="20"/>
        </w:rPr>
        <w:t>20</w:t>
      </w:r>
      <w:r w:rsidR="005A0FD0" w:rsidRPr="00FE7B14">
        <w:rPr>
          <w:rFonts w:ascii="Arial" w:hAnsi="Arial" w:cs="Arial"/>
          <w:b/>
          <w:sz w:val="20"/>
          <w:szCs w:val="20"/>
        </w:rPr>
        <w:t>.0</w:t>
      </w:r>
      <w:r w:rsidR="00B50B77">
        <w:rPr>
          <w:rFonts w:ascii="Arial" w:hAnsi="Arial" w:cs="Arial"/>
          <w:b/>
          <w:sz w:val="20"/>
          <w:szCs w:val="20"/>
        </w:rPr>
        <w:t>4</w:t>
      </w:r>
      <w:r w:rsidRPr="00FE7B14">
        <w:rPr>
          <w:rFonts w:ascii="Arial" w:hAnsi="Arial" w:cs="Arial"/>
          <w:b/>
          <w:sz w:val="20"/>
          <w:szCs w:val="20"/>
        </w:rPr>
        <w:t xml:space="preserve"> de 201</w:t>
      </w:r>
      <w:r w:rsidR="005A0FD0" w:rsidRPr="00FE7B14">
        <w:rPr>
          <w:rFonts w:ascii="Arial" w:hAnsi="Arial" w:cs="Arial"/>
          <w:b/>
          <w:sz w:val="20"/>
          <w:szCs w:val="20"/>
        </w:rPr>
        <w:t>7</w:t>
      </w:r>
    </w:p>
    <w:p w:rsidR="00FE7B14" w:rsidRDefault="00FE7B14" w:rsidP="00FE7B14">
      <w:pPr>
        <w:spacing w:after="0"/>
        <w:jc w:val="both"/>
        <w:rPr>
          <w:rFonts w:ascii="Arial" w:hAnsi="Arial" w:cs="Arial"/>
          <w:sz w:val="18"/>
          <w:szCs w:val="18"/>
        </w:rPr>
      </w:pPr>
      <w:r w:rsidRPr="006375ED">
        <w:rPr>
          <w:rFonts w:ascii="Arial" w:hAnsi="Arial" w:cs="Arial"/>
          <w:sz w:val="18"/>
          <w:szCs w:val="18"/>
        </w:rPr>
        <w:t xml:space="preserve">Este Boletim contém informações sintéticas de decisões proferidas pelos Colegiados do TCE/PR que receberam indicação de relevância sob o prisma jurisprudencial no período acima indicado. </w:t>
      </w:r>
      <w:r w:rsidRPr="006375ED">
        <w:rPr>
          <w:rFonts w:ascii="Arial" w:hAnsi="Arial" w:cs="Arial"/>
          <w:color w:val="212121"/>
          <w:sz w:val="18"/>
          <w:szCs w:val="18"/>
        </w:rPr>
        <w:t>A seleção das decisões leva em consideração ao menos um dos seguintes fatores: ineditismo da deliberação, discussão no colegiado ou reiteração de entendimento importante.</w:t>
      </w:r>
      <w:r w:rsidRPr="006375ED">
        <w:rPr>
          <w:rFonts w:ascii="Arial" w:hAnsi="Arial" w:cs="Arial"/>
          <w:sz w:val="18"/>
          <w:szCs w:val="18"/>
        </w:rPr>
        <w:t xml:space="preserve"> O objetivo é facilitar ao interessado o acompanhamento dos acórdãos mais importantes do Tribunal. Para aprofundamento, o leitor pode acessar o inteiro teor das deliberações por meio dos links disponíveis.</w:t>
      </w:r>
      <w:r w:rsidRPr="006375ED">
        <w:rPr>
          <w:rFonts w:ascii="Arial" w:hAnsi="Arial" w:cs="Arial"/>
          <w:color w:val="212121"/>
          <w:sz w:val="18"/>
          <w:szCs w:val="18"/>
        </w:rPr>
        <w:t xml:space="preserve"> </w:t>
      </w:r>
      <w:r w:rsidRPr="006375ED">
        <w:rPr>
          <w:rFonts w:ascii="Arial" w:hAnsi="Arial" w:cs="Arial"/>
          <w:sz w:val="18"/>
          <w:szCs w:val="18"/>
        </w:rPr>
        <w:t>As informações aqui apresentadas não são repositórios oficiais de jurisprudência.</w:t>
      </w:r>
    </w:p>
    <w:p w:rsidR="00FE7B14" w:rsidRPr="006375ED" w:rsidRDefault="00FE7B14" w:rsidP="00FE7B14">
      <w:pPr>
        <w:spacing w:after="0"/>
        <w:jc w:val="both"/>
        <w:rPr>
          <w:rFonts w:ascii="Arial" w:hAnsi="Arial" w:cs="Arial"/>
          <w:sz w:val="18"/>
          <w:szCs w:val="18"/>
        </w:rPr>
      </w:pPr>
    </w:p>
    <w:p w:rsidR="00FE7B14" w:rsidRDefault="00FE7B14" w:rsidP="00FE7B14">
      <w:pPr>
        <w:spacing w:after="120"/>
        <w:jc w:val="both"/>
      </w:pPr>
      <w:r>
        <w:rPr>
          <w:rFonts w:ascii="Times New Roman" w:hAnsi="Times New Roman"/>
          <w:noProof/>
          <w:lang w:eastAsia="pt-BR"/>
        </w:rPr>
        <mc:AlternateContent>
          <mc:Choice Requires="wps">
            <w:drawing>
              <wp:anchor distT="0" distB="0" distL="114300" distR="114300" simplePos="0" relativeHeight="251669504"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C030CE" id="Conector reto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722924" w:rsidRDefault="00AE4F42" w:rsidP="00BB5D1E">
      <w:pPr>
        <w:shd w:val="pct10" w:color="auto" w:fill="auto"/>
        <w:spacing w:after="0"/>
        <w:jc w:val="center"/>
        <w:rPr>
          <w:rFonts w:ascii="Arial" w:hAnsi="Arial" w:cs="Arial"/>
          <w:b/>
        </w:rPr>
      </w:pPr>
      <w:r>
        <w:rPr>
          <w:rFonts w:ascii="Arial" w:hAnsi="Arial" w:cs="Arial"/>
          <w:b/>
        </w:rPr>
        <w:t>S</w:t>
      </w:r>
      <w:r w:rsidR="00221D15">
        <w:rPr>
          <w:rFonts w:ascii="Arial" w:hAnsi="Arial" w:cs="Arial"/>
          <w:b/>
        </w:rPr>
        <w:t>U</w:t>
      </w:r>
      <w:r>
        <w:rPr>
          <w:rFonts w:ascii="Arial" w:hAnsi="Arial" w:cs="Arial"/>
          <w:b/>
        </w:rPr>
        <w:t>MÁRIO</w:t>
      </w:r>
    </w:p>
    <w:p w:rsidR="002805F1" w:rsidRDefault="002805F1" w:rsidP="00BB5D1E">
      <w:pPr>
        <w:autoSpaceDE w:val="0"/>
        <w:autoSpaceDN w:val="0"/>
        <w:adjustRightInd w:val="0"/>
        <w:spacing w:after="0"/>
        <w:jc w:val="both"/>
        <w:rPr>
          <w:rFonts w:ascii="Arial" w:hAnsi="Arial" w:cs="Arial"/>
          <w:color w:val="000000"/>
          <w:sz w:val="20"/>
          <w:szCs w:val="20"/>
          <w:shd w:val="clear" w:color="auto" w:fill="FFFFFF"/>
        </w:rPr>
      </w:pPr>
    </w:p>
    <w:p w:rsidR="008A4A65" w:rsidRPr="008A4A65" w:rsidRDefault="005856F2" w:rsidP="00E81192">
      <w:pPr>
        <w:spacing w:after="0"/>
        <w:jc w:val="both"/>
        <w:rPr>
          <w:rFonts w:ascii="Arial" w:hAnsi="Arial" w:cs="Arial"/>
          <w:sz w:val="20"/>
          <w:szCs w:val="20"/>
        </w:rPr>
      </w:pPr>
      <w:r>
        <w:rPr>
          <w:rFonts w:ascii="Arial" w:hAnsi="Arial" w:cs="Arial"/>
          <w:color w:val="000000"/>
          <w:sz w:val="20"/>
          <w:szCs w:val="20"/>
          <w:shd w:val="clear" w:color="auto" w:fill="FFFFFF"/>
        </w:rPr>
        <w:t>1</w:t>
      </w:r>
      <w:r w:rsidR="008A4A65">
        <w:rPr>
          <w:rFonts w:ascii="Arial" w:hAnsi="Arial" w:cs="Arial"/>
          <w:color w:val="000000"/>
          <w:sz w:val="20"/>
          <w:szCs w:val="20"/>
          <w:shd w:val="clear" w:color="auto" w:fill="FFFFFF"/>
        </w:rPr>
        <w:t xml:space="preserve">. </w:t>
      </w:r>
      <w:r w:rsidR="008A4A65" w:rsidRPr="008A4A65">
        <w:rPr>
          <w:rFonts w:ascii="Arial" w:hAnsi="Arial" w:cs="Arial"/>
          <w:sz w:val="20"/>
          <w:szCs w:val="20"/>
        </w:rPr>
        <w:t xml:space="preserve">Tomadas de </w:t>
      </w:r>
      <w:proofErr w:type="gramStart"/>
      <w:r w:rsidR="008A4A65" w:rsidRPr="008A4A65">
        <w:rPr>
          <w:rFonts w:ascii="Arial" w:hAnsi="Arial" w:cs="Arial"/>
          <w:sz w:val="20"/>
          <w:szCs w:val="20"/>
        </w:rPr>
        <w:t>Contas Extraordinária</w:t>
      </w:r>
      <w:proofErr w:type="gramEnd"/>
      <w:r w:rsidR="008A4A65" w:rsidRPr="008A4A65">
        <w:rPr>
          <w:rFonts w:ascii="Arial" w:hAnsi="Arial" w:cs="Arial"/>
          <w:sz w:val="20"/>
          <w:szCs w:val="20"/>
        </w:rPr>
        <w:t>. Licitação. Compra Pneus. Baixa quilometragem dos veículos. Dano ao erário.</w:t>
      </w:r>
    </w:p>
    <w:p w:rsidR="00AA7DED" w:rsidRDefault="00AA7DED" w:rsidP="00E81192">
      <w:pPr>
        <w:spacing w:after="0"/>
        <w:jc w:val="both"/>
        <w:rPr>
          <w:rFonts w:ascii="Arial" w:hAnsi="Arial" w:cs="Arial"/>
          <w:sz w:val="20"/>
          <w:szCs w:val="20"/>
        </w:rPr>
      </w:pPr>
    </w:p>
    <w:p w:rsidR="00F733B8" w:rsidRDefault="008A4A65" w:rsidP="00E81192">
      <w:pPr>
        <w:spacing w:after="0"/>
        <w:jc w:val="both"/>
        <w:rPr>
          <w:rFonts w:ascii="Arial" w:hAnsi="Arial" w:cs="Arial"/>
          <w:sz w:val="20"/>
          <w:szCs w:val="20"/>
        </w:rPr>
      </w:pPr>
      <w:r w:rsidRPr="008A4A65">
        <w:rPr>
          <w:rFonts w:ascii="Arial" w:hAnsi="Arial" w:cs="Arial"/>
          <w:sz w:val="20"/>
          <w:szCs w:val="20"/>
        </w:rPr>
        <w:t>2. Prestação de Contas Anual. Licitação. Publicidade. Ausência de Preenchimento do Mural de Licitações.</w:t>
      </w:r>
    </w:p>
    <w:p w:rsidR="00F733B8" w:rsidRDefault="00F733B8" w:rsidP="00E81192">
      <w:pPr>
        <w:spacing w:after="0"/>
        <w:jc w:val="both"/>
        <w:rPr>
          <w:rFonts w:ascii="Arial" w:hAnsi="Arial" w:cs="Arial"/>
          <w:sz w:val="20"/>
          <w:szCs w:val="20"/>
        </w:rPr>
      </w:pPr>
    </w:p>
    <w:p w:rsidR="00F733B8" w:rsidRPr="00F733B8" w:rsidRDefault="00F733B8" w:rsidP="00E81192">
      <w:pPr>
        <w:spacing w:after="0"/>
        <w:jc w:val="both"/>
        <w:rPr>
          <w:rFonts w:ascii="Arial" w:hAnsi="Arial" w:cs="Arial"/>
          <w:sz w:val="20"/>
          <w:szCs w:val="20"/>
        </w:rPr>
      </w:pPr>
      <w:r>
        <w:rPr>
          <w:rFonts w:ascii="Arial" w:hAnsi="Arial" w:cs="Arial"/>
          <w:sz w:val="20"/>
          <w:szCs w:val="20"/>
        </w:rPr>
        <w:t xml:space="preserve">3. </w:t>
      </w:r>
      <w:r w:rsidRPr="00F733B8">
        <w:rPr>
          <w:rFonts w:ascii="Arial" w:hAnsi="Arial" w:cs="Arial"/>
          <w:sz w:val="20"/>
          <w:szCs w:val="20"/>
        </w:rPr>
        <w:t xml:space="preserve">Prestação de Contas de Transferência Voluntária. Convênio. Saldo contábil verificado. Despesas não comprovadas. Irregularidade, ressarcimento parcial e aplicação de multas. </w:t>
      </w:r>
    </w:p>
    <w:p w:rsidR="00F01C16" w:rsidRPr="00F01C16" w:rsidRDefault="00F01C16" w:rsidP="00E81192">
      <w:pPr>
        <w:pStyle w:val="PargrafodaLista"/>
        <w:numPr>
          <w:ilvl w:val="0"/>
          <w:numId w:val="11"/>
        </w:numPr>
        <w:tabs>
          <w:tab w:val="left" w:pos="284"/>
        </w:tabs>
        <w:spacing w:after="0"/>
        <w:ind w:left="0" w:hanging="11"/>
        <w:contextualSpacing w:val="0"/>
        <w:jc w:val="both"/>
        <w:rPr>
          <w:rFonts w:ascii="Arial" w:hAnsi="Arial" w:cs="Arial"/>
          <w:sz w:val="20"/>
          <w:szCs w:val="20"/>
        </w:rPr>
      </w:pPr>
      <w:r w:rsidRPr="00F01C16">
        <w:rPr>
          <w:rFonts w:ascii="Arial" w:hAnsi="Arial" w:cs="Arial"/>
          <w:sz w:val="20"/>
          <w:szCs w:val="20"/>
        </w:rPr>
        <w:t xml:space="preserve">Alerta. Poder Executivo Municipal. Despesa total com pessoal. Extrapolação do limite máximo previsto em lei. Revisão do índice. Contratação de serviços médicos em regime de plantão. Existência do cargo de médico plantonista no quadro de pessoal. Contratação ilegal de servidores para a prestação de serviços médicos. </w:t>
      </w:r>
    </w:p>
    <w:p w:rsidR="008A4A65" w:rsidRDefault="008A4A65" w:rsidP="00E81192">
      <w:pPr>
        <w:spacing w:after="0"/>
        <w:jc w:val="both"/>
        <w:rPr>
          <w:rFonts w:ascii="Arial" w:hAnsi="Arial" w:cs="Arial"/>
          <w:sz w:val="20"/>
          <w:szCs w:val="20"/>
        </w:rPr>
      </w:pPr>
    </w:p>
    <w:p w:rsidR="000C7D67" w:rsidRPr="000C7D67" w:rsidRDefault="000C7D67" w:rsidP="00E81192">
      <w:pPr>
        <w:pStyle w:val="PargrafodaLista"/>
        <w:numPr>
          <w:ilvl w:val="0"/>
          <w:numId w:val="11"/>
        </w:numPr>
        <w:tabs>
          <w:tab w:val="left" w:pos="284"/>
        </w:tabs>
        <w:spacing w:after="0"/>
        <w:ind w:left="0" w:firstLine="0"/>
        <w:contextualSpacing w:val="0"/>
        <w:jc w:val="both"/>
        <w:rPr>
          <w:rFonts w:ascii="Arial" w:hAnsi="Arial" w:cs="Arial"/>
          <w:sz w:val="20"/>
          <w:szCs w:val="20"/>
        </w:rPr>
      </w:pPr>
      <w:r w:rsidRPr="000C7D67">
        <w:rPr>
          <w:rFonts w:ascii="Arial" w:hAnsi="Arial" w:cs="Arial"/>
          <w:sz w:val="20"/>
          <w:szCs w:val="20"/>
        </w:rPr>
        <w:t xml:space="preserve">Embargos de Declaração. Admissão de Pessoal. Diligências requeridas pelo MPC de forma abstrata, em nota de rodapé com base em exigências previstas genericamente em instrução normativa anterior que deixou de ser aplicada. Aplicação da IN nº117/2016, cuja vigência vem sendo sistematicamente reconhecida pelo Tribunal. Provimento para suprir a omissão, mas sem efeitos modificativos. </w:t>
      </w:r>
    </w:p>
    <w:p w:rsidR="000C7D67" w:rsidRPr="008A4A65" w:rsidRDefault="000C7D67" w:rsidP="00E81192">
      <w:pPr>
        <w:spacing w:after="0"/>
        <w:jc w:val="both"/>
        <w:rPr>
          <w:rFonts w:ascii="Arial" w:hAnsi="Arial" w:cs="Arial"/>
          <w:sz w:val="20"/>
          <w:szCs w:val="20"/>
        </w:rPr>
      </w:pPr>
    </w:p>
    <w:p w:rsidR="00224904" w:rsidRDefault="000C7D67" w:rsidP="00E8119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6. </w:t>
      </w:r>
      <w:r w:rsidR="00224904" w:rsidRPr="00224904">
        <w:rPr>
          <w:rFonts w:ascii="Arial" w:hAnsi="Arial" w:cs="Arial"/>
          <w:color w:val="000000"/>
          <w:sz w:val="20"/>
          <w:szCs w:val="20"/>
          <w:shd w:val="clear" w:color="auto" w:fill="FFFFFF"/>
        </w:rPr>
        <w:t>Recurso de Revista. Discussão sobre a aplicação do instituto do arredondamento. Lei n° 1.943/54 na inativação de militares. Contagem ficta de tempo de contribuição. Conformidade com a norma constitucional.</w:t>
      </w:r>
    </w:p>
    <w:p w:rsidR="00AA7DED" w:rsidRDefault="00AA7DED" w:rsidP="00E81192">
      <w:pPr>
        <w:autoSpaceDE w:val="0"/>
        <w:autoSpaceDN w:val="0"/>
        <w:adjustRightInd w:val="0"/>
        <w:spacing w:after="0"/>
        <w:jc w:val="both"/>
        <w:rPr>
          <w:rFonts w:ascii="Arial" w:hAnsi="Arial" w:cs="Arial"/>
          <w:color w:val="000000"/>
          <w:sz w:val="20"/>
          <w:szCs w:val="20"/>
          <w:shd w:val="clear" w:color="auto" w:fill="FFFFFF"/>
        </w:rPr>
      </w:pPr>
    </w:p>
    <w:p w:rsidR="00224904" w:rsidRPr="00224904" w:rsidRDefault="000C7D67" w:rsidP="00E8119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7</w:t>
      </w:r>
      <w:r w:rsidR="00AA7DED">
        <w:rPr>
          <w:rFonts w:ascii="Arial" w:hAnsi="Arial" w:cs="Arial"/>
          <w:color w:val="000000"/>
          <w:sz w:val="20"/>
          <w:szCs w:val="20"/>
          <w:shd w:val="clear" w:color="auto" w:fill="FFFFFF"/>
        </w:rPr>
        <w:t xml:space="preserve">. </w:t>
      </w:r>
      <w:r w:rsidR="00224904" w:rsidRPr="00224904">
        <w:rPr>
          <w:rFonts w:ascii="Arial" w:hAnsi="Arial" w:cs="Arial"/>
          <w:color w:val="000000"/>
          <w:sz w:val="20"/>
          <w:szCs w:val="20"/>
          <w:shd w:val="clear" w:color="auto" w:fill="FFFFFF"/>
        </w:rPr>
        <w:t xml:space="preserve">Representação da Lei n° 8.666/93. </w:t>
      </w:r>
      <w:r w:rsidR="00224904" w:rsidRPr="00224904">
        <w:rPr>
          <w:rFonts w:ascii="Arial" w:hAnsi="Arial" w:cs="Arial"/>
          <w:iCs/>
          <w:sz w:val="20"/>
          <w:szCs w:val="20"/>
        </w:rPr>
        <w:t>Descrição insuficiente do objeto. Restrição indevida da competitividade. Violação de normas básicas da licitação.</w:t>
      </w:r>
    </w:p>
    <w:p w:rsidR="00AA7DED" w:rsidRDefault="00AA7DED" w:rsidP="00E81192">
      <w:pPr>
        <w:autoSpaceDE w:val="0"/>
        <w:autoSpaceDN w:val="0"/>
        <w:adjustRightInd w:val="0"/>
        <w:spacing w:after="0"/>
        <w:jc w:val="both"/>
        <w:rPr>
          <w:rFonts w:ascii="Arial" w:hAnsi="Arial" w:cs="Arial"/>
          <w:iCs/>
          <w:sz w:val="20"/>
          <w:szCs w:val="20"/>
        </w:rPr>
      </w:pPr>
    </w:p>
    <w:p w:rsidR="00224904" w:rsidRDefault="000C7D67" w:rsidP="00E81192">
      <w:pPr>
        <w:autoSpaceDE w:val="0"/>
        <w:autoSpaceDN w:val="0"/>
        <w:adjustRightInd w:val="0"/>
        <w:spacing w:after="0"/>
        <w:jc w:val="both"/>
        <w:rPr>
          <w:rFonts w:ascii="Arial" w:hAnsi="Arial" w:cs="Arial"/>
          <w:b/>
          <w:iCs/>
          <w:sz w:val="20"/>
          <w:szCs w:val="20"/>
        </w:rPr>
      </w:pPr>
      <w:r>
        <w:rPr>
          <w:rFonts w:ascii="Arial" w:hAnsi="Arial" w:cs="Arial"/>
          <w:iCs/>
          <w:sz w:val="20"/>
          <w:szCs w:val="20"/>
        </w:rPr>
        <w:t>8</w:t>
      </w:r>
      <w:r w:rsidR="00AA7DED">
        <w:rPr>
          <w:rFonts w:ascii="Arial" w:hAnsi="Arial" w:cs="Arial"/>
          <w:iCs/>
          <w:sz w:val="20"/>
          <w:szCs w:val="20"/>
        </w:rPr>
        <w:t xml:space="preserve">. </w:t>
      </w:r>
      <w:r w:rsidR="00224904" w:rsidRPr="00224904">
        <w:rPr>
          <w:rFonts w:ascii="Arial" w:hAnsi="Arial" w:cs="Arial"/>
          <w:iCs/>
          <w:sz w:val="20"/>
          <w:szCs w:val="20"/>
        </w:rPr>
        <w:t>Recurso de Revista. Alerta de pessoal. Ausência motivos para justificar a revisão do cálculo de gastos de pessoal ou afastar a emissão do alerta. Vedações da LC 101/00. Contratação de Pessoal. Condicionantes. Uniformização de Jurisprudência nº 11 TCE-PR</w:t>
      </w:r>
      <w:r w:rsidR="00224904" w:rsidRPr="00157D64">
        <w:rPr>
          <w:rFonts w:ascii="Arial" w:hAnsi="Arial" w:cs="Arial"/>
          <w:b/>
          <w:iCs/>
          <w:sz w:val="20"/>
          <w:szCs w:val="20"/>
        </w:rPr>
        <w:t>.</w:t>
      </w:r>
    </w:p>
    <w:p w:rsidR="00AA7DED" w:rsidRDefault="00AA7DED" w:rsidP="00E81192">
      <w:pPr>
        <w:autoSpaceDE w:val="0"/>
        <w:autoSpaceDN w:val="0"/>
        <w:adjustRightInd w:val="0"/>
        <w:spacing w:after="0"/>
        <w:jc w:val="both"/>
        <w:rPr>
          <w:rFonts w:ascii="Arial" w:hAnsi="Arial" w:cs="Arial"/>
          <w:sz w:val="20"/>
          <w:szCs w:val="20"/>
        </w:rPr>
      </w:pPr>
    </w:p>
    <w:p w:rsidR="00224904" w:rsidRPr="00224904" w:rsidRDefault="000C7D67" w:rsidP="00E81192">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sz w:val="20"/>
          <w:szCs w:val="20"/>
        </w:rPr>
        <w:lastRenderedPageBreak/>
        <w:t>9</w:t>
      </w:r>
      <w:r w:rsidR="00AA7DED">
        <w:rPr>
          <w:rFonts w:ascii="Arial" w:hAnsi="Arial" w:cs="Arial"/>
          <w:sz w:val="20"/>
          <w:szCs w:val="20"/>
        </w:rPr>
        <w:t xml:space="preserve">. </w:t>
      </w:r>
      <w:r w:rsidR="00224904" w:rsidRPr="00224904">
        <w:rPr>
          <w:rFonts w:ascii="Arial" w:hAnsi="Arial" w:cs="Arial"/>
          <w:sz w:val="20"/>
          <w:szCs w:val="20"/>
        </w:rPr>
        <w:t xml:space="preserve">Exceção de Suspeição e Impedimento. Alegação de suspeição. Excipientes Deputados estaduais. Ilegitimidade passiva superada. Ausência de amizade íntima. Hipóteses taxativamente previstas na legislação. Rejeição. </w:t>
      </w:r>
    </w:p>
    <w:p w:rsidR="00701A95" w:rsidRDefault="00701A95" w:rsidP="00BB5D1E">
      <w:pPr>
        <w:autoSpaceDE w:val="0"/>
        <w:autoSpaceDN w:val="0"/>
        <w:adjustRightInd w:val="0"/>
        <w:spacing w:after="0"/>
        <w:jc w:val="both"/>
        <w:rPr>
          <w:rFonts w:ascii="Arial" w:hAnsi="Arial" w:cs="Arial"/>
          <w:color w:val="000000"/>
          <w:sz w:val="20"/>
          <w:szCs w:val="20"/>
          <w:shd w:val="clear" w:color="auto" w:fill="FFFFFF"/>
        </w:rPr>
      </w:pPr>
    </w:p>
    <w:p w:rsidR="00712A93" w:rsidRPr="00722924" w:rsidRDefault="00712A93" w:rsidP="00F01660">
      <w:pPr>
        <w:shd w:val="pct10" w:color="auto" w:fill="auto"/>
        <w:spacing w:after="0"/>
        <w:jc w:val="center"/>
        <w:rPr>
          <w:rFonts w:ascii="Arial" w:hAnsi="Arial" w:cs="Arial"/>
          <w:b/>
        </w:rPr>
      </w:pPr>
      <w:r w:rsidRPr="00722924">
        <w:rPr>
          <w:rFonts w:ascii="Arial" w:hAnsi="Arial" w:cs="Arial"/>
          <w:b/>
        </w:rPr>
        <w:t>PRIMEIRA CÂMARA</w:t>
      </w:r>
    </w:p>
    <w:p w:rsidR="002805F1" w:rsidRPr="00594F73" w:rsidRDefault="002805F1" w:rsidP="00F01660">
      <w:pPr>
        <w:spacing w:after="0"/>
        <w:jc w:val="both"/>
        <w:rPr>
          <w:rFonts w:ascii="Arial" w:hAnsi="Arial" w:cs="Arial"/>
          <w:sz w:val="20"/>
          <w:szCs w:val="20"/>
        </w:rPr>
      </w:pPr>
    </w:p>
    <w:p w:rsidR="00A57A4A" w:rsidRPr="00E81192" w:rsidRDefault="00A57A4A" w:rsidP="00F01660">
      <w:pPr>
        <w:pStyle w:val="PargrafodaLista"/>
        <w:numPr>
          <w:ilvl w:val="0"/>
          <w:numId w:val="12"/>
        </w:numPr>
        <w:tabs>
          <w:tab w:val="left" w:pos="284"/>
        </w:tabs>
        <w:spacing w:after="0"/>
        <w:ind w:left="0" w:firstLine="0"/>
        <w:contextualSpacing w:val="0"/>
        <w:jc w:val="both"/>
        <w:rPr>
          <w:rFonts w:ascii="Arial" w:hAnsi="Arial" w:cs="Arial"/>
          <w:b/>
          <w:sz w:val="20"/>
          <w:szCs w:val="20"/>
        </w:rPr>
      </w:pPr>
      <w:r w:rsidRPr="00E81192">
        <w:rPr>
          <w:rFonts w:ascii="Arial" w:hAnsi="Arial" w:cs="Arial"/>
          <w:b/>
          <w:sz w:val="20"/>
          <w:szCs w:val="20"/>
        </w:rPr>
        <w:t xml:space="preserve">Tomadas de </w:t>
      </w:r>
      <w:proofErr w:type="gramStart"/>
      <w:r w:rsidRPr="00E81192">
        <w:rPr>
          <w:rFonts w:ascii="Arial" w:hAnsi="Arial" w:cs="Arial"/>
          <w:b/>
          <w:sz w:val="20"/>
          <w:szCs w:val="20"/>
        </w:rPr>
        <w:t>Contas Extraordinária</w:t>
      </w:r>
      <w:proofErr w:type="gramEnd"/>
      <w:r w:rsidRPr="00E81192">
        <w:rPr>
          <w:rFonts w:ascii="Arial" w:hAnsi="Arial" w:cs="Arial"/>
          <w:b/>
          <w:sz w:val="20"/>
          <w:szCs w:val="20"/>
        </w:rPr>
        <w:t>. Licitação. Compra Pneus. Baixa quilo</w:t>
      </w:r>
      <w:r w:rsidR="009141D0" w:rsidRPr="00E81192">
        <w:rPr>
          <w:rFonts w:ascii="Arial" w:hAnsi="Arial" w:cs="Arial"/>
          <w:b/>
          <w:sz w:val="20"/>
          <w:szCs w:val="20"/>
        </w:rPr>
        <w:t>me</w:t>
      </w:r>
      <w:r w:rsidRPr="00E81192">
        <w:rPr>
          <w:rFonts w:ascii="Arial" w:hAnsi="Arial" w:cs="Arial"/>
          <w:b/>
          <w:sz w:val="20"/>
          <w:szCs w:val="20"/>
        </w:rPr>
        <w:t xml:space="preserve">tragem </w:t>
      </w:r>
      <w:r w:rsidR="008161C2" w:rsidRPr="00E81192">
        <w:rPr>
          <w:rFonts w:ascii="Arial" w:hAnsi="Arial" w:cs="Arial"/>
          <w:b/>
          <w:sz w:val="20"/>
          <w:szCs w:val="20"/>
        </w:rPr>
        <w:t>dos veículos. Dano ao erário</w:t>
      </w:r>
      <w:r w:rsidR="009141D0" w:rsidRPr="00E81192">
        <w:rPr>
          <w:rFonts w:ascii="Arial" w:hAnsi="Arial" w:cs="Arial"/>
          <w:b/>
          <w:sz w:val="20"/>
          <w:szCs w:val="20"/>
        </w:rPr>
        <w:t>.</w:t>
      </w:r>
    </w:p>
    <w:p w:rsidR="004654D3" w:rsidRPr="00594F73" w:rsidRDefault="004654D3" w:rsidP="00F01660">
      <w:pPr>
        <w:spacing w:after="0"/>
        <w:jc w:val="both"/>
        <w:rPr>
          <w:rFonts w:ascii="Arial" w:hAnsi="Arial" w:cs="Arial"/>
          <w:b/>
          <w:sz w:val="20"/>
          <w:szCs w:val="20"/>
        </w:rPr>
      </w:pPr>
    </w:p>
    <w:p w:rsidR="00702F7C" w:rsidRPr="00594F73" w:rsidRDefault="00702F7C" w:rsidP="00F01660">
      <w:pPr>
        <w:spacing w:after="0"/>
        <w:jc w:val="both"/>
        <w:rPr>
          <w:rFonts w:ascii="Arial" w:hAnsi="Arial" w:cs="Arial"/>
          <w:sz w:val="20"/>
          <w:szCs w:val="20"/>
        </w:rPr>
      </w:pPr>
      <w:r w:rsidRPr="00594F73">
        <w:rPr>
          <w:rFonts w:ascii="Arial" w:hAnsi="Arial" w:cs="Arial"/>
          <w:sz w:val="20"/>
          <w:szCs w:val="20"/>
        </w:rPr>
        <w:t xml:space="preserve">A discrepância entre a quilometragem </w:t>
      </w:r>
      <w:r w:rsidR="00A57A4A" w:rsidRPr="00594F73">
        <w:rPr>
          <w:rFonts w:ascii="Arial" w:hAnsi="Arial" w:cs="Arial"/>
          <w:sz w:val="20"/>
          <w:szCs w:val="20"/>
        </w:rPr>
        <w:t xml:space="preserve">percorrida pelos </w:t>
      </w:r>
      <w:r w:rsidRPr="00594F73">
        <w:rPr>
          <w:rFonts w:ascii="Arial" w:hAnsi="Arial" w:cs="Arial"/>
          <w:sz w:val="20"/>
          <w:szCs w:val="20"/>
        </w:rPr>
        <w:t>veículos e a quantidade</w:t>
      </w:r>
      <w:r w:rsidR="00A57A4A" w:rsidRPr="00594F73">
        <w:rPr>
          <w:rFonts w:ascii="Arial" w:hAnsi="Arial" w:cs="Arial"/>
          <w:sz w:val="20"/>
          <w:szCs w:val="20"/>
        </w:rPr>
        <w:t xml:space="preserve"> de pneus adquiridos</w:t>
      </w:r>
      <w:r w:rsidRPr="00594F73">
        <w:rPr>
          <w:rFonts w:ascii="Arial" w:hAnsi="Arial" w:cs="Arial"/>
          <w:sz w:val="20"/>
          <w:szCs w:val="20"/>
        </w:rPr>
        <w:t xml:space="preserve"> pod</w:t>
      </w:r>
      <w:r w:rsidR="004654D3" w:rsidRPr="00594F73">
        <w:rPr>
          <w:rFonts w:ascii="Arial" w:hAnsi="Arial" w:cs="Arial"/>
          <w:sz w:val="20"/>
          <w:szCs w:val="20"/>
        </w:rPr>
        <w:t>e</w:t>
      </w:r>
      <w:r w:rsidRPr="00594F73">
        <w:rPr>
          <w:rFonts w:ascii="Arial" w:hAnsi="Arial" w:cs="Arial"/>
          <w:sz w:val="20"/>
          <w:szCs w:val="20"/>
        </w:rPr>
        <w:t xml:space="preserve"> caracterizar indícios de desvio de materiais</w:t>
      </w:r>
      <w:r w:rsidR="00A57A4A" w:rsidRPr="00594F73">
        <w:rPr>
          <w:rFonts w:ascii="Arial" w:hAnsi="Arial" w:cs="Arial"/>
          <w:sz w:val="20"/>
          <w:szCs w:val="20"/>
        </w:rPr>
        <w:t xml:space="preserve">, ou, no mínimo, </w:t>
      </w:r>
      <w:r w:rsidRPr="00594F73">
        <w:rPr>
          <w:rFonts w:ascii="Arial" w:hAnsi="Arial" w:cs="Arial"/>
          <w:sz w:val="20"/>
          <w:szCs w:val="20"/>
        </w:rPr>
        <w:t xml:space="preserve">a execução de compras desnecessárias, o que acarreta dano ao </w:t>
      </w:r>
      <w:r w:rsidR="009141D0" w:rsidRPr="00594F73">
        <w:rPr>
          <w:rFonts w:ascii="Arial" w:hAnsi="Arial" w:cs="Arial"/>
          <w:sz w:val="20"/>
          <w:szCs w:val="20"/>
        </w:rPr>
        <w:t>er</w:t>
      </w:r>
      <w:r w:rsidRPr="00594F73">
        <w:rPr>
          <w:rFonts w:ascii="Arial" w:hAnsi="Arial" w:cs="Arial"/>
          <w:sz w:val="20"/>
          <w:szCs w:val="20"/>
        </w:rPr>
        <w:t>ário.</w:t>
      </w:r>
    </w:p>
    <w:p w:rsidR="009F6ED7" w:rsidRPr="00594F73" w:rsidRDefault="00702F7C" w:rsidP="00F01660">
      <w:pPr>
        <w:spacing w:after="0"/>
        <w:jc w:val="both"/>
        <w:rPr>
          <w:rFonts w:ascii="Arial" w:hAnsi="Arial" w:cs="Arial"/>
          <w:sz w:val="20"/>
          <w:szCs w:val="20"/>
        </w:rPr>
      </w:pPr>
      <w:r w:rsidRPr="00594F73">
        <w:rPr>
          <w:rFonts w:ascii="Arial" w:hAnsi="Arial" w:cs="Arial"/>
          <w:sz w:val="20"/>
          <w:szCs w:val="20"/>
        </w:rPr>
        <w:t xml:space="preserve"> </w:t>
      </w:r>
    </w:p>
    <w:p w:rsidR="009F6ED7" w:rsidRPr="00594F73" w:rsidRDefault="009F6ED7" w:rsidP="00F01660">
      <w:pPr>
        <w:spacing w:after="0"/>
        <w:jc w:val="both"/>
        <w:rPr>
          <w:rFonts w:ascii="Arial" w:hAnsi="Arial" w:cs="Arial"/>
          <w:sz w:val="20"/>
          <w:szCs w:val="20"/>
        </w:rPr>
      </w:pPr>
      <w:r w:rsidRPr="00594F73">
        <w:rPr>
          <w:rFonts w:ascii="Arial" w:hAnsi="Arial" w:cs="Arial"/>
          <w:sz w:val="20"/>
          <w:szCs w:val="20"/>
        </w:rPr>
        <w:t xml:space="preserve">Processo nº 612515/17 - </w:t>
      </w:r>
      <w:hyperlink r:id="rId9" w:history="1">
        <w:r w:rsidRPr="00594F73">
          <w:rPr>
            <w:rStyle w:val="Hyperlink"/>
            <w:rFonts w:ascii="Arial" w:hAnsi="Arial" w:cs="Arial"/>
            <w:sz w:val="20"/>
            <w:szCs w:val="20"/>
          </w:rPr>
          <w:t>Acórdão nº 1545/17</w:t>
        </w:r>
        <w:r w:rsidR="00053B72">
          <w:rPr>
            <w:rStyle w:val="Hyperlink"/>
            <w:rFonts w:ascii="Arial" w:hAnsi="Arial" w:cs="Arial"/>
            <w:sz w:val="20"/>
            <w:szCs w:val="20"/>
          </w:rPr>
          <w:t xml:space="preserve"> </w:t>
        </w:r>
        <w:r w:rsidRPr="00594F73">
          <w:rPr>
            <w:rStyle w:val="Hyperlink"/>
            <w:rFonts w:ascii="Arial" w:hAnsi="Arial" w:cs="Arial"/>
            <w:sz w:val="20"/>
            <w:szCs w:val="20"/>
          </w:rPr>
          <w:t>- Primeira Câmara</w:t>
        </w:r>
      </w:hyperlink>
      <w:r w:rsidRPr="00594F73">
        <w:rPr>
          <w:rFonts w:ascii="Arial" w:hAnsi="Arial" w:cs="Arial"/>
          <w:sz w:val="20"/>
          <w:szCs w:val="20"/>
        </w:rPr>
        <w:t xml:space="preserve"> - Rel. Conselheiro Nestor Batista.</w:t>
      </w:r>
    </w:p>
    <w:p w:rsidR="000E464B" w:rsidRDefault="000E464B" w:rsidP="00F01660">
      <w:pPr>
        <w:spacing w:after="0"/>
        <w:jc w:val="both"/>
        <w:rPr>
          <w:rFonts w:ascii="Arial" w:hAnsi="Arial" w:cs="Arial"/>
          <w:b/>
          <w:sz w:val="20"/>
          <w:szCs w:val="20"/>
        </w:rPr>
      </w:pPr>
    </w:p>
    <w:p w:rsidR="005A1468" w:rsidRPr="0069336E" w:rsidRDefault="00702F7C" w:rsidP="00F01660">
      <w:pPr>
        <w:pStyle w:val="PargrafodaLista"/>
        <w:numPr>
          <w:ilvl w:val="0"/>
          <w:numId w:val="12"/>
        </w:numPr>
        <w:tabs>
          <w:tab w:val="left" w:pos="284"/>
        </w:tabs>
        <w:spacing w:after="0"/>
        <w:ind w:left="0" w:firstLine="0"/>
        <w:contextualSpacing w:val="0"/>
        <w:jc w:val="both"/>
        <w:rPr>
          <w:rFonts w:ascii="Arial" w:hAnsi="Arial" w:cs="Arial"/>
          <w:b/>
          <w:sz w:val="20"/>
          <w:szCs w:val="20"/>
        </w:rPr>
      </w:pPr>
      <w:r w:rsidRPr="0069336E">
        <w:rPr>
          <w:rFonts w:ascii="Arial" w:hAnsi="Arial" w:cs="Arial"/>
          <w:b/>
          <w:sz w:val="20"/>
          <w:szCs w:val="20"/>
        </w:rPr>
        <w:t xml:space="preserve">Prestação de Contas Anual. Licitação. Publicidade. </w:t>
      </w:r>
      <w:r w:rsidR="00BC5D9D" w:rsidRPr="0069336E">
        <w:rPr>
          <w:rFonts w:ascii="Arial" w:hAnsi="Arial" w:cs="Arial"/>
          <w:b/>
          <w:sz w:val="20"/>
          <w:szCs w:val="20"/>
        </w:rPr>
        <w:t xml:space="preserve">Ausência de Preenchimento do </w:t>
      </w:r>
      <w:r w:rsidRPr="0069336E">
        <w:rPr>
          <w:rFonts w:ascii="Arial" w:hAnsi="Arial" w:cs="Arial"/>
          <w:b/>
          <w:sz w:val="20"/>
          <w:szCs w:val="20"/>
        </w:rPr>
        <w:t xml:space="preserve">Mural de Licitações. </w:t>
      </w:r>
    </w:p>
    <w:p w:rsidR="00BC5D9D" w:rsidRPr="00594F73" w:rsidRDefault="00BC5D9D" w:rsidP="00F01660">
      <w:pPr>
        <w:spacing w:after="0"/>
        <w:jc w:val="both"/>
        <w:rPr>
          <w:rFonts w:ascii="Arial" w:hAnsi="Arial" w:cs="Arial"/>
          <w:sz w:val="20"/>
          <w:szCs w:val="20"/>
        </w:rPr>
      </w:pPr>
    </w:p>
    <w:p w:rsidR="005A1468" w:rsidRPr="00594F73" w:rsidRDefault="0083648B" w:rsidP="00F01660">
      <w:pPr>
        <w:spacing w:after="0"/>
        <w:jc w:val="both"/>
        <w:rPr>
          <w:rFonts w:ascii="Arial" w:hAnsi="Arial" w:cs="Arial"/>
          <w:sz w:val="20"/>
          <w:szCs w:val="20"/>
        </w:rPr>
      </w:pPr>
      <w:r w:rsidRPr="00594F73">
        <w:rPr>
          <w:rFonts w:ascii="Arial" w:hAnsi="Arial" w:cs="Arial"/>
          <w:sz w:val="20"/>
          <w:szCs w:val="20"/>
        </w:rPr>
        <w:t xml:space="preserve">A falta de preenchimento do Mural de licitações, </w:t>
      </w:r>
      <w:r w:rsidR="00702F7C" w:rsidRPr="00594F73">
        <w:rPr>
          <w:rFonts w:ascii="Arial" w:hAnsi="Arial" w:cs="Arial"/>
          <w:sz w:val="20"/>
          <w:szCs w:val="20"/>
        </w:rPr>
        <w:t>previsto na</w:t>
      </w:r>
      <w:r w:rsidRPr="00594F73">
        <w:rPr>
          <w:rFonts w:ascii="Arial" w:hAnsi="Arial" w:cs="Arial"/>
          <w:sz w:val="20"/>
          <w:szCs w:val="20"/>
        </w:rPr>
        <w:t xml:space="preserve"> </w:t>
      </w:r>
      <w:r w:rsidR="00702F7C" w:rsidRPr="00594F73">
        <w:rPr>
          <w:rFonts w:ascii="Arial" w:hAnsi="Arial" w:cs="Arial"/>
          <w:sz w:val="20"/>
          <w:szCs w:val="20"/>
        </w:rPr>
        <w:t>Resolução n</w:t>
      </w:r>
      <w:r w:rsidRPr="00594F73">
        <w:rPr>
          <w:rFonts w:ascii="Arial" w:hAnsi="Arial" w:cs="Arial"/>
          <w:sz w:val="20"/>
          <w:szCs w:val="20"/>
        </w:rPr>
        <w:t>º 15/2009 TCE/PR e na Instruçã</w:t>
      </w:r>
      <w:r w:rsidR="00702F7C" w:rsidRPr="00594F73">
        <w:rPr>
          <w:rFonts w:ascii="Arial" w:hAnsi="Arial" w:cs="Arial"/>
          <w:sz w:val="20"/>
          <w:szCs w:val="20"/>
        </w:rPr>
        <w:t>o Normativa n</w:t>
      </w:r>
      <w:r w:rsidRPr="00594F73">
        <w:rPr>
          <w:rFonts w:ascii="Arial" w:hAnsi="Arial" w:cs="Arial"/>
          <w:sz w:val="20"/>
          <w:szCs w:val="20"/>
        </w:rPr>
        <w:t>º 37/2009 afeta</w:t>
      </w:r>
      <w:r w:rsidR="005A1468" w:rsidRPr="00594F73">
        <w:rPr>
          <w:rFonts w:ascii="Arial" w:hAnsi="Arial" w:cs="Arial"/>
          <w:sz w:val="20"/>
          <w:szCs w:val="20"/>
        </w:rPr>
        <w:t xml:space="preserve"> </w:t>
      </w:r>
      <w:r w:rsidRPr="00594F73">
        <w:rPr>
          <w:rFonts w:ascii="Arial" w:hAnsi="Arial" w:cs="Arial"/>
          <w:sz w:val="20"/>
          <w:szCs w:val="20"/>
        </w:rPr>
        <w:t xml:space="preserve">o dever de ampla </w:t>
      </w:r>
      <w:r w:rsidR="005A1468" w:rsidRPr="00594F73">
        <w:rPr>
          <w:rFonts w:ascii="Arial" w:hAnsi="Arial" w:cs="Arial"/>
          <w:sz w:val="20"/>
          <w:szCs w:val="20"/>
        </w:rPr>
        <w:t>publicidade dos atos administrativos relacionados às licitações.</w:t>
      </w:r>
      <w:r w:rsidRPr="00594F73">
        <w:rPr>
          <w:rFonts w:ascii="Arial" w:hAnsi="Arial" w:cs="Arial"/>
          <w:sz w:val="20"/>
          <w:szCs w:val="20"/>
        </w:rPr>
        <w:t xml:space="preserve"> </w:t>
      </w:r>
    </w:p>
    <w:p w:rsidR="00BC5D9D" w:rsidRPr="00594F73" w:rsidRDefault="00BC5D9D" w:rsidP="00F01660">
      <w:pPr>
        <w:spacing w:after="0"/>
        <w:jc w:val="both"/>
        <w:rPr>
          <w:rFonts w:ascii="Arial" w:hAnsi="Arial" w:cs="Arial"/>
          <w:sz w:val="20"/>
          <w:szCs w:val="20"/>
        </w:rPr>
      </w:pPr>
    </w:p>
    <w:p w:rsidR="0083648B" w:rsidRPr="00594F73" w:rsidRDefault="0083648B" w:rsidP="00F01660">
      <w:pPr>
        <w:spacing w:after="0"/>
        <w:jc w:val="both"/>
        <w:rPr>
          <w:rFonts w:ascii="Arial" w:hAnsi="Arial" w:cs="Arial"/>
          <w:sz w:val="20"/>
          <w:szCs w:val="20"/>
        </w:rPr>
      </w:pPr>
      <w:r w:rsidRPr="00594F73">
        <w:rPr>
          <w:rFonts w:ascii="Arial" w:hAnsi="Arial" w:cs="Arial"/>
          <w:sz w:val="20"/>
          <w:szCs w:val="20"/>
        </w:rPr>
        <w:t xml:space="preserve">Processo nº 379635/14 - </w:t>
      </w:r>
      <w:hyperlink r:id="rId10" w:history="1">
        <w:r w:rsidRPr="00594F73">
          <w:rPr>
            <w:rStyle w:val="Hyperlink"/>
            <w:rFonts w:ascii="Arial" w:hAnsi="Arial" w:cs="Arial"/>
            <w:sz w:val="20"/>
            <w:szCs w:val="20"/>
          </w:rPr>
          <w:t>Acórdão nº 1655/17</w:t>
        </w:r>
        <w:r w:rsidR="00053B72">
          <w:rPr>
            <w:rStyle w:val="Hyperlink"/>
            <w:rFonts w:ascii="Arial" w:hAnsi="Arial" w:cs="Arial"/>
            <w:sz w:val="20"/>
            <w:szCs w:val="20"/>
          </w:rPr>
          <w:t xml:space="preserve"> </w:t>
        </w:r>
        <w:r w:rsidRPr="00594F73">
          <w:rPr>
            <w:rStyle w:val="Hyperlink"/>
            <w:rFonts w:ascii="Arial" w:hAnsi="Arial" w:cs="Arial"/>
            <w:sz w:val="20"/>
            <w:szCs w:val="20"/>
          </w:rPr>
          <w:t>- Primeira Câmara</w:t>
        </w:r>
      </w:hyperlink>
      <w:r w:rsidRPr="00594F73">
        <w:rPr>
          <w:rFonts w:ascii="Arial" w:hAnsi="Arial" w:cs="Arial"/>
          <w:sz w:val="20"/>
          <w:szCs w:val="20"/>
        </w:rPr>
        <w:t xml:space="preserve"> - Rel. Conselheiro Fábio de Souza Camargo.</w:t>
      </w:r>
    </w:p>
    <w:p w:rsidR="007B255F" w:rsidRDefault="007B255F" w:rsidP="00F01660">
      <w:pPr>
        <w:spacing w:after="0"/>
        <w:jc w:val="both"/>
        <w:rPr>
          <w:rFonts w:ascii="Arial" w:hAnsi="Arial" w:cs="Arial"/>
          <w:sz w:val="20"/>
          <w:szCs w:val="20"/>
        </w:rPr>
      </w:pPr>
    </w:p>
    <w:p w:rsidR="00EC3842" w:rsidRPr="00722924" w:rsidRDefault="00EC3842" w:rsidP="00F01660">
      <w:pPr>
        <w:shd w:val="pct10" w:color="auto" w:fill="auto"/>
        <w:spacing w:after="0"/>
        <w:jc w:val="center"/>
        <w:rPr>
          <w:rFonts w:ascii="Arial" w:hAnsi="Arial" w:cs="Arial"/>
          <w:b/>
        </w:rPr>
      </w:pPr>
      <w:r>
        <w:rPr>
          <w:rFonts w:ascii="Arial" w:hAnsi="Arial" w:cs="Arial"/>
          <w:b/>
        </w:rPr>
        <w:t>SEGUNDA</w:t>
      </w:r>
      <w:r w:rsidRPr="00722924">
        <w:rPr>
          <w:rFonts w:ascii="Arial" w:hAnsi="Arial" w:cs="Arial"/>
          <w:b/>
        </w:rPr>
        <w:t xml:space="preserve"> CÂMARA</w:t>
      </w:r>
    </w:p>
    <w:p w:rsidR="003C7C21" w:rsidRDefault="003C7C21" w:rsidP="00F01660">
      <w:pPr>
        <w:autoSpaceDE w:val="0"/>
        <w:autoSpaceDN w:val="0"/>
        <w:adjustRightInd w:val="0"/>
        <w:spacing w:after="0"/>
        <w:jc w:val="both"/>
        <w:rPr>
          <w:rFonts w:ascii="Arial" w:hAnsi="Arial" w:cs="Arial"/>
          <w:b/>
          <w:color w:val="000000"/>
          <w:sz w:val="20"/>
          <w:szCs w:val="20"/>
          <w:shd w:val="clear" w:color="auto" w:fill="FFFFFF"/>
        </w:rPr>
      </w:pPr>
    </w:p>
    <w:p w:rsidR="00BA6363" w:rsidRPr="00F733B8" w:rsidRDefault="00BA6363" w:rsidP="00F01660">
      <w:pPr>
        <w:pStyle w:val="PargrafodaLista"/>
        <w:numPr>
          <w:ilvl w:val="0"/>
          <w:numId w:val="12"/>
        </w:numPr>
        <w:tabs>
          <w:tab w:val="left" w:pos="284"/>
        </w:tabs>
        <w:spacing w:after="0"/>
        <w:ind w:left="0" w:firstLine="0"/>
        <w:contextualSpacing w:val="0"/>
        <w:jc w:val="both"/>
        <w:rPr>
          <w:rFonts w:ascii="Arial" w:hAnsi="Arial" w:cs="Arial"/>
          <w:b/>
          <w:sz w:val="20"/>
          <w:szCs w:val="20"/>
        </w:rPr>
      </w:pPr>
      <w:r w:rsidRPr="00F733B8">
        <w:rPr>
          <w:rFonts w:ascii="Arial" w:hAnsi="Arial" w:cs="Arial"/>
          <w:b/>
          <w:sz w:val="20"/>
          <w:szCs w:val="20"/>
        </w:rPr>
        <w:t xml:space="preserve">Prestação de Contas de Transferência Voluntária. Convênio. Saldo contábil verificado. Despesas não comprovadas. Irregularidade, ressarcimento parcial e aplicação de multas. </w:t>
      </w:r>
    </w:p>
    <w:p w:rsidR="00BA6363" w:rsidRDefault="00BA6363" w:rsidP="00F01660">
      <w:pPr>
        <w:spacing w:after="0"/>
        <w:jc w:val="both"/>
        <w:rPr>
          <w:rFonts w:ascii="Arial" w:hAnsi="Arial" w:cs="Arial"/>
          <w:sz w:val="20"/>
          <w:szCs w:val="20"/>
        </w:rPr>
      </w:pPr>
      <w:r w:rsidRPr="00BA6363">
        <w:rPr>
          <w:rFonts w:ascii="Arial" w:hAnsi="Arial" w:cs="Arial"/>
          <w:sz w:val="20"/>
          <w:szCs w:val="20"/>
        </w:rPr>
        <w:t>A análise de prestação de contas de transferência voluntária, apresentada pela entidade, por meio do Sistema Integrado de Transferências,</w:t>
      </w:r>
      <w:r w:rsidR="0048130C">
        <w:rPr>
          <w:rFonts w:ascii="Arial" w:hAnsi="Arial" w:cs="Arial"/>
          <w:sz w:val="20"/>
          <w:szCs w:val="20"/>
        </w:rPr>
        <w:t xml:space="preserve"> </w:t>
      </w:r>
      <w:r w:rsidRPr="00BA6363">
        <w:rPr>
          <w:rFonts w:ascii="Arial" w:hAnsi="Arial" w:cs="Arial"/>
          <w:sz w:val="20"/>
          <w:szCs w:val="20"/>
        </w:rPr>
        <w:t xml:space="preserve">detectou a existência de saldo contábil após a vigência do convênio efetuado para viabilizar o fornecimento de educação básica na modalidade educação especial.  </w:t>
      </w:r>
    </w:p>
    <w:p w:rsidR="0048130C" w:rsidRPr="00BA6363" w:rsidRDefault="0048130C" w:rsidP="00F01660">
      <w:pPr>
        <w:spacing w:after="0"/>
        <w:jc w:val="both"/>
        <w:rPr>
          <w:rFonts w:ascii="Arial" w:hAnsi="Arial" w:cs="Arial"/>
          <w:sz w:val="20"/>
          <w:szCs w:val="20"/>
        </w:rPr>
      </w:pPr>
    </w:p>
    <w:p w:rsidR="00BA6363" w:rsidRDefault="00BA6363" w:rsidP="00F01660">
      <w:pPr>
        <w:spacing w:after="0"/>
        <w:jc w:val="both"/>
        <w:rPr>
          <w:rFonts w:ascii="Arial" w:hAnsi="Arial" w:cs="Arial"/>
          <w:sz w:val="20"/>
          <w:szCs w:val="20"/>
        </w:rPr>
      </w:pPr>
      <w:r w:rsidRPr="00BA6363">
        <w:rPr>
          <w:rFonts w:ascii="Arial" w:hAnsi="Arial" w:cs="Arial"/>
          <w:sz w:val="20"/>
          <w:szCs w:val="20"/>
        </w:rPr>
        <w:t xml:space="preserve">Ainda que se tenha dado oportunidade de comprovação de despesas, já que a entidade afirmou que a existência do saldo deveu-se à falta de lançamento de pagamento de 13º salário, parte do saldo ainda permaneceu.  </w:t>
      </w:r>
    </w:p>
    <w:p w:rsidR="0048130C" w:rsidRPr="00BA6363" w:rsidRDefault="0048130C" w:rsidP="00F01660">
      <w:pPr>
        <w:spacing w:after="0"/>
        <w:jc w:val="both"/>
        <w:rPr>
          <w:rFonts w:ascii="Arial" w:hAnsi="Arial" w:cs="Arial"/>
          <w:sz w:val="20"/>
          <w:szCs w:val="20"/>
        </w:rPr>
      </w:pPr>
    </w:p>
    <w:p w:rsidR="00BA6363" w:rsidRDefault="00BA6363" w:rsidP="00F01660">
      <w:pPr>
        <w:spacing w:after="0"/>
        <w:jc w:val="both"/>
        <w:rPr>
          <w:rFonts w:ascii="Arial" w:hAnsi="Arial" w:cs="Arial"/>
          <w:sz w:val="20"/>
          <w:szCs w:val="20"/>
        </w:rPr>
      </w:pPr>
      <w:r w:rsidRPr="00BA6363">
        <w:rPr>
          <w:rFonts w:ascii="Arial" w:hAnsi="Arial" w:cs="Arial"/>
          <w:sz w:val="20"/>
          <w:szCs w:val="20"/>
        </w:rPr>
        <w:t>Diante da afronta ao artigo 15 da Resolução nº 28/2011-TC e ao artigo 116, § 6º da Lei Federal nº 8666/93, já que os convenentes sequer abordaram a diferença entre os valores do saldo contábil vislumbrando, é imperiosa a determinação de ressarcimento da quantia indicada pela Unidade Técnica, pela entidade Tomadora, com fulcro na Uniformização de Jurisprudência nº 03-TC</w:t>
      </w:r>
      <w:r w:rsidR="003407F0">
        <w:rPr>
          <w:rFonts w:ascii="Arial" w:hAnsi="Arial" w:cs="Arial"/>
          <w:sz w:val="20"/>
          <w:szCs w:val="20"/>
        </w:rPr>
        <w:t>E/PR</w:t>
      </w:r>
      <w:r w:rsidRPr="00BA6363">
        <w:rPr>
          <w:rFonts w:ascii="Arial" w:hAnsi="Arial" w:cs="Arial"/>
          <w:sz w:val="20"/>
          <w:szCs w:val="20"/>
        </w:rPr>
        <w:t xml:space="preserve">; ainda, determinou-se a aplicação de multa, em razão da falha na fiscalização do convênio e à presidente da entidade, à época, em razão da falha no fornecimento das informações solicitadas por este Tribunal. </w:t>
      </w:r>
    </w:p>
    <w:p w:rsidR="0048130C" w:rsidRPr="00BA6363" w:rsidRDefault="0048130C" w:rsidP="00F01660">
      <w:pPr>
        <w:spacing w:after="0"/>
        <w:jc w:val="both"/>
        <w:rPr>
          <w:rFonts w:ascii="Arial" w:hAnsi="Arial" w:cs="Arial"/>
          <w:sz w:val="20"/>
          <w:szCs w:val="20"/>
        </w:rPr>
      </w:pPr>
    </w:p>
    <w:p w:rsidR="0048130C" w:rsidRDefault="00BA6363" w:rsidP="00F01660">
      <w:pPr>
        <w:spacing w:after="0"/>
        <w:jc w:val="both"/>
        <w:rPr>
          <w:rFonts w:ascii="Arial" w:hAnsi="Arial" w:cs="Arial"/>
          <w:sz w:val="20"/>
          <w:szCs w:val="20"/>
        </w:rPr>
      </w:pPr>
      <w:r w:rsidRPr="00BA6363">
        <w:rPr>
          <w:rFonts w:ascii="Arial" w:hAnsi="Arial" w:cs="Arial"/>
          <w:sz w:val="20"/>
          <w:szCs w:val="20"/>
        </w:rPr>
        <w:t xml:space="preserve">Processo nº 124544/13 </w:t>
      </w:r>
      <w:r w:rsidR="0048130C">
        <w:rPr>
          <w:rFonts w:ascii="Arial" w:hAnsi="Arial" w:cs="Arial"/>
          <w:sz w:val="20"/>
          <w:szCs w:val="20"/>
        </w:rPr>
        <w:t>-</w:t>
      </w:r>
      <w:r w:rsidRPr="00BA6363">
        <w:rPr>
          <w:rFonts w:ascii="Arial" w:hAnsi="Arial" w:cs="Arial"/>
          <w:sz w:val="20"/>
          <w:szCs w:val="20"/>
        </w:rPr>
        <w:t xml:space="preserve"> </w:t>
      </w:r>
      <w:hyperlink r:id="rId11" w:history="1">
        <w:r w:rsidRPr="00BA6363">
          <w:rPr>
            <w:rStyle w:val="Hyperlink"/>
            <w:rFonts w:ascii="Arial" w:hAnsi="Arial" w:cs="Arial"/>
            <w:sz w:val="20"/>
            <w:szCs w:val="20"/>
          </w:rPr>
          <w:t>Acórdão nº 1576/17</w:t>
        </w:r>
        <w:r w:rsidR="0048130C">
          <w:rPr>
            <w:rStyle w:val="Hyperlink"/>
            <w:rFonts w:ascii="Arial" w:hAnsi="Arial" w:cs="Arial"/>
            <w:sz w:val="20"/>
            <w:szCs w:val="20"/>
          </w:rPr>
          <w:t xml:space="preserve"> </w:t>
        </w:r>
        <w:r w:rsidRPr="00BA6363">
          <w:rPr>
            <w:rStyle w:val="Hyperlink"/>
            <w:rFonts w:ascii="Arial" w:hAnsi="Arial" w:cs="Arial"/>
            <w:sz w:val="20"/>
            <w:szCs w:val="20"/>
          </w:rPr>
          <w:t>-</w:t>
        </w:r>
        <w:r w:rsidR="0048130C">
          <w:rPr>
            <w:rStyle w:val="Hyperlink"/>
            <w:rFonts w:ascii="Arial" w:hAnsi="Arial" w:cs="Arial"/>
            <w:sz w:val="20"/>
            <w:szCs w:val="20"/>
          </w:rPr>
          <w:t xml:space="preserve"> </w:t>
        </w:r>
        <w:r w:rsidRPr="00BA6363">
          <w:rPr>
            <w:rStyle w:val="Hyperlink"/>
            <w:rFonts w:ascii="Arial" w:hAnsi="Arial" w:cs="Arial"/>
            <w:sz w:val="20"/>
            <w:szCs w:val="20"/>
          </w:rPr>
          <w:t>Segunda Câmara</w:t>
        </w:r>
      </w:hyperlink>
      <w:r w:rsidRPr="00BA6363">
        <w:rPr>
          <w:rFonts w:ascii="Arial" w:hAnsi="Arial" w:cs="Arial"/>
          <w:sz w:val="20"/>
          <w:szCs w:val="20"/>
        </w:rPr>
        <w:t xml:space="preserve"> </w:t>
      </w:r>
      <w:r w:rsidR="0048130C">
        <w:rPr>
          <w:rFonts w:ascii="Arial" w:hAnsi="Arial" w:cs="Arial"/>
          <w:sz w:val="20"/>
          <w:szCs w:val="20"/>
        </w:rPr>
        <w:t>-</w:t>
      </w:r>
      <w:r w:rsidRPr="00BA6363">
        <w:rPr>
          <w:rFonts w:ascii="Arial" w:hAnsi="Arial" w:cs="Arial"/>
          <w:sz w:val="20"/>
          <w:szCs w:val="20"/>
        </w:rPr>
        <w:t xml:space="preserve"> Rel. Conselheiro </w:t>
      </w:r>
      <w:proofErr w:type="spellStart"/>
      <w:r w:rsidRPr="00BA6363">
        <w:rPr>
          <w:rFonts w:ascii="Arial" w:hAnsi="Arial" w:cs="Arial"/>
          <w:sz w:val="20"/>
          <w:szCs w:val="20"/>
        </w:rPr>
        <w:t>Artagão</w:t>
      </w:r>
      <w:proofErr w:type="spellEnd"/>
      <w:r w:rsidRPr="00BA6363">
        <w:rPr>
          <w:rFonts w:ascii="Arial" w:hAnsi="Arial" w:cs="Arial"/>
          <w:sz w:val="20"/>
          <w:szCs w:val="20"/>
        </w:rPr>
        <w:t xml:space="preserve"> de Mattos Leão.</w:t>
      </w:r>
    </w:p>
    <w:p w:rsidR="00BA6363" w:rsidRPr="00BA6363" w:rsidRDefault="00BA6363" w:rsidP="00F01660">
      <w:pPr>
        <w:spacing w:after="0"/>
        <w:jc w:val="both"/>
        <w:rPr>
          <w:rFonts w:ascii="Arial" w:hAnsi="Arial" w:cs="Arial"/>
          <w:sz w:val="20"/>
          <w:szCs w:val="20"/>
        </w:rPr>
      </w:pPr>
      <w:r w:rsidRPr="00BA6363">
        <w:rPr>
          <w:rFonts w:ascii="Arial" w:hAnsi="Arial" w:cs="Arial"/>
          <w:sz w:val="20"/>
          <w:szCs w:val="20"/>
        </w:rPr>
        <w:t xml:space="preserve"> </w:t>
      </w:r>
    </w:p>
    <w:p w:rsidR="00BA6363" w:rsidRPr="00D21662" w:rsidRDefault="00BA6363" w:rsidP="00F01660">
      <w:pPr>
        <w:pStyle w:val="PargrafodaLista"/>
        <w:numPr>
          <w:ilvl w:val="0"/>
          <w:numId w:val="12"/>
        </w:numPr>
        <w:tabs>
          <w:tab w:val="left" w:pos="284"/>
        </w:tabs>
        <w:spacing w:after="0"/>
        <w:ind w:left="0" w:firstLine="0"/>
        <w:contextualSpacing w:val="0"/>
        <w:jc w:val="both"/>
        <w:rPr>
          <w:rFonts w:ascii="Arial" w:hAnsi="Arial" w:cs="Arial"/>
          <w:b/>
          <w:sz w:val="20"/>
          <w:szCs w:val="20"/>
        </w:rPr>
      </w:pPr>
      <w:r w:rsidRPr="00D21662">
        <w:rPr>
          <w:rFonts w:ascii="Arial" w:hAnsi="Arial" w:cs="Arial"/>
          <w:b/>
          <w:sz w:val="20"/>
          <w:szCs w:val="20"/>
        </w:rPr>
        <w:t>Alerta</w:t>
      </w:r>
      <w:r w:rsidR="003407F0" w:rsidRPr="00D21662">
        <w:rPr>
          <w:rFonts w:ascii="Arial" w:hAnsi="Arial" w:cs="Arial"/>
          <w:b/>
          <w:sz w:val="20"/>
          <w:szCs w:val="20"/>
        </w:rPr>
        <w:t xml:space="preserve">. </w:t>
      </w:r>
      <w:r w:rsidRPr="00D21662">
        <w:rPr>
          <w:rFonts w:ascii="Arial" w:hAnsi="Arial" w:cs="Arial"/>
          <w:b/>
          <w:sz w:val="20"/>
          <w:szCs w:val="20"/>
        </w:rPr>
        <w:t>Poder Executivo Municipal</w:t>
      </w:r>
      <w:r w:rsidR="003407F0" w:rsidRPr="00D21662">
        <w:rPr>
          <w:rFonts w:ascii="Arial" w:hAnsi="Arial" w:cs="Arial"/>
          <w:b/>
          <w:sz w:val="20"/>
          <w:szCs w:val="20"/>
        </w:rPr>
        <w:t xml:space="preserve">. </w:t>
      </w:r>
      <w:r w:rsidRPr="00D21662">
        <w:rPr>
          <w:rFonts w:ascii="Arial" w:hAnsi="Arial" w:cs="Arial"/>
          <w:b/>
          <w:sz w:val="20"/>
          <w:szCs w:val="20"/>
        </w:rPr>
        <w:t>Despesa total com pessoal</w:t>
      </w:r>
      <w:r w:rsidR="003407F0" w:rsidRPr="00D21662">
        <w:rPr>
          <w:rFonts w:ascii="Arial" w:hAnsi="Arial" w:cs="Arial"/>
          <w:b/>
          <w:sz w:val="20"/>
          <w:szCs w:val="20"/>
        </w:rPr>
        <w:t xml:space="preserve">. </w:t>
      </w:r>
      <w:r w:rsidRPr="00D21662">
        <w:rPr>
          <w:rFonts w:ascii="Arial" w:hAnsi="Arial" w:cs="Arial"/>
          <w:b/>
          <w:sz w:val="20"/>
          <w:szCs w:val="20"/>
        </w:rPr>
        <w:t>Extrapolação do limite máximo previsto em lei</w:t>
      </w:r>
      <w:r w:rsidR="003407F0" w:rsidRPr="00D21662">
        <w:rPr>
          <w:rFonts w:ascii="Arial" w:hAnsi="Arial" w:cs="Arial"/>
          <w:b/>
          <w:sz w:val="20"/>
          <w:szCs w:val="20"/>
        </w:rPr>
        <w:t>. R</w:t>
      </w:r>
      <w:r w:rsidRPr="00D21662">
        <w:rPr>
          <w:rFonts w:ascii="Arial" w:hAnsi="Arial" w:cs="Arial"/>
          <w:b/>
          <w:sz w:val="20"/>
          <w:szCs w:val="20"/>
        </w:rPr>
        <w:t>evisão do índice</w:t>
      </w:r>
      <w:r w:rsidR="003407F0" w:rsidRPr="00D21662">
        <w:rPr>
          <w:rFonts w:ascii="Arial" w:hAnsi="Arial" w:cs="Arial"/>
          <w:b/>
          <w:sz w:val="20"/>
          <w:szCs w:val="20"/>
        </w:rPr>
        <w:t xml:space="preserve">. </w:t>
      </w:r>
      <w:r w:rsidRPr="00D21662">
        <w:rPr>
          <w:rFonts w:ascii="Arial" w:hAnsi="Arial" w:cs="Arial"/>
          <w:b/>
          <w:sz w:val="20"/>
          <w:szCs w:val="20"/>
        </w:rPr>
        <w:t>Contratação de serviços médicos em regime de plantão</w:t>
      </w:r>
      <w:r w:rsidR="003407F0" w:rsidRPr="00D21662">
        <w:rPr>
          <w:rFonts w:ascii="Arial" w:hAnsi="Arial" w:cs="Arial"/>
          <w:b/>
          <w:sz w:val="20"/>
          <w:szCs w:val="20"/>
        </w:rPr>
        <w:t xml:space="preserve">. </w:t>
      </w:r>
      <w:r w:rsidRPr="00D21662">
        <w:rPr>
          <w:rFonts w:ascii="Arial" w:hAnsi="Arial" w:cs="Arial"/>
          <w:b/>
          <w:sz w:val="20"/>
          <w:szCs w:val="20"/>
        </w:rPr>
        <w:t>Existência do cargo de médico plantonista no quadro de pessoal</w:t>
      </w:r>
      <w:r w:rsidR="003407F0" w:rsidRPr="00D21662">
        <w:rPr>
          <w:rFonts w:ascii="Arial" w:hAnsi="Arial" w:cs="Arial"/>
          <w:b/>
          <w:sz w:val="20"/>
          <w:szCs w:val="20"/>
        </w:rPr>
        <w:t xml:space="preserve">. </w:t>
      </w:r>
      <w:r w:rsidRPr="00D21662">
        <w:rPr>
          <w:rFonts w:ascii="Arial" w:hAnsi="Arial" w:cs="Arial"/>
          <w:b/>
          <w:sz w:val="20"/>
          <w:szCs w:val="20"/>
        </w:rPr>
        <w:t xml:space="preserve">Contratação ilegal de servidores para a prestação de serviços médicos. </w:t>
      </w:r>
    </w:p>
    <w:p w:rsidR="003407F0" w:rsidRPr="00BA6363" w:rsidRDefault="003407F0" w:rsidP="00F01660">
      <w:pPr>
        <w:spacing w:after="0"/>
        <w:jc w:val="both"/>
        <w:rPr>
          <w:rFonts w:ascii="Arial" w:hAnsi="Arial" w:cs="Arial"/>
          <w:b/>
          <w:sz w:val="20"/>
          <w:szCs w:val="20"/>
        </w:rPr>
      </w:pPr>
    </w:p>
    <w:p w:rsidR="00BA6363" w:rsidRPr="00BA6363" w:rsidRDefault="00BA6363" w:rsidP="00F01660">
      <w:pPr>
        <w:spacing w:after="0"/>
        <w:jc w:val="both"/>
        <w:rPr>
          <w:rFonts w:ascii="Arial" w:hAnsi="Arial" w:cs="Arial"/>
          <w:sz w:val="20"/>
          <w:szCs w:val="20"/>
        </w:rPr>
      </w:pPr>
      <w:r w:rsidRPr="00BA6363">
        <w:rPr>
          <w:rFonts w:ascii="Arial" w:hAnsi="Arial" w:cs="Arial"/>
          <w:sz w:val="20"/>
          <w:szCs w:val="20"/>
        </w:rPr>
        <w:t>Em proposta de Alerta, formulada pela Coordenadoria de Fiscalização Municipal</w:t>
      </w:r>
      <w:r w:rsidR="003407F0">
        <w:rPr>
          <w:rFonts w:ascii="Arial" w:hAnsi="Arial" w:cs="Arial"/>
          <w:sz w:val="20"/>
          <w:szCs w:val="20"/>
        </w:rPr>
        <w:t xml:space="preserve"> (COFIM)</w:t>
      </w:r>
      <w:r w:rsidRPr="00BA6363">
        <w:rPr>
          <w:rFonts w:ascii="Arial" w:hAnsi="Arial" w:cs="Arial"/>
          <w:sz w:val="20"/>
          <w:szCs w:val="20"/>
        </w:rPr>
        <w:t xml:space="preserve">, verificou-se que a execução de despesa total com pessoal do Município foi superior ao limite máximo previsto na Lei de Responsabilidade Fiscal. </w:t>
      </w:r>
    </w:p>
    <w:p w:rsidR="00BA6363" w:rsidRDefault="00BA6363" w:rsidP="00F01660">
      <w:pPr>
        <w:spacing w:after="0"/>
        <w:jc w:val="both"/>
        <w:rPr>
          <w:rFonts w:ascii="Arial" w:hAnsi="Arial" w:cs="Arial"/>
          <w:sz w:val="20"/>
          <w:szCs w:val="20"/>
        </w:rPr>
      </w:pPr>
      <w:r w:rsidRPr="00BA6363">
        <w:rPr>
          <w:rFonts w:ascii="Arial" w:hAnsi="Arial" w:cs="Arial"/>
          <w:sz w:val="20"/>
          <w:szCs w:val="20"/>
        </w:rPr>
        <w:t xml:space="preserve">De acordo com a Unidade Técnica, a despesa total com pessoal do Executivo Municipal representava 58,38% da receita corrente líquida (RCL) no período de apuração, superando o limite máximo de 54%, fixado no artigo 20, III, “b” da Lei Complementar nº 101/2000. </w:t>
      </w:r>
    </w:p>
    <w:p w:rsidR="00B71858" w:rsidRPr="00BA6363" w:rsidRDefault="00B71858" w:rsidP="00F01660">
      <w:pPr>
        <w:spacing w:after="0"/>
        <w:jc w:val="both"/>
        <w:rPr>
          <w:rFonts w:ascii="Arial" w:hAnsi="Arial" w:cs="Arial"/>
          <w:sz w:val="20"/>
          <w:szCs w:val="20"/>
        </w:rPr>
      </w:pPr>
    </w:p>
    <w:p w:rsidR="00BA6363" w:rsidRDefault="00BA6363" w:rsidP="00F01660">
      <w:pPr>
        <w:spacing w:after="0"/>
        <w:jc w:val="both"/>
        <w:rPr>
          <w:rFonts w:ascii="Arial" w:hAnsi="Arial" w:cs="Arial"/>
          <w:sz w:val="20"/>
          <w:szCs w:val="20"/>
        </w:rPr>
      </w:pPr>
      <w:r w:rsidRPr="00BA6363">
        <w:rPr>
          <w:rFonts w:ascii="Arial" w:hAnsi="Arial" w:cs="Arial"/>
          <w:sz w:val="20"/>
          <w:szCs w:val="20"/>
        </w:rPr>
        <w:t xml:space="preserve">A municipalidade, alegando a existência de contrato de prestação de serviços médicos em regime de plantão, pleiteou a revisão do índice, com exclusão de tais valores do montante com despesas de pessoal. </w:t>
      </w:r>
    </w:p>
    <w:p w:rsidR="00B71858" w:rsidRPr="00BA6363" w:rsidRDefault="00B71858" w:rsidP="00F01660">
      <w:pPr>
        <w:spacing w:after="0"/>
        <w:jc w:val="both"/>
        <w:rPr>
          <w:rFonts w:ascii="Arial" w:hAnsi="Arial" w:cs="Arial"/>
          <w:sz w:val="20"/>
          <w:szCs w:val="20"/>
        </w:rPr>
      </w:pPr>
    </w:p>
    <w:p w:rsidR="00BA6363" w:rsidRDefault="00BA6363" w:rsidP="00F01660">
      <w:pPr>
        <w:spacing w:after="0"/>
        <w:jc w:val="both"/>
        <w:rPr>
          <w:rFonts w:ascii="Arial" w:hAnsi="Arial" w:cs="Arial"/>
          <w:sz w:val="20"/>
          <w:szCs w:val="20"/>
        </w:rPr>
      </w:pPr>
      <w:r w:rsidRPr="00BA6363">
        <w:rPr>
          <w:rFonts w:ascii="Arial" w:hAnsi="Arial" w:cs="Arial"/>
          <w:sz w:val="20"/>
          <w:szCs w:val="20"/>
        </w:rPr>
        <w:t xml:space="preserve">O Relator, contudo, em proposta de voto aprovada por unanimidade, entendeu que tais despesas devem ser contabilizadas como “Outras Despesas de Pessoal”, nos termos do artigo 18, § 1º da Lei de Responsabilidade de Pessoal. </w:t>
      </w:r>
    </w:p>
    <w:p w:rsidR="00B71858" w:rsidRPr="00BA6363" w:rsidRDefault="00B71858" w:rsidP="00F01660">
      <w:pPr>
        <w:spacing w:after="0"/>
        <w:jc w:val="both"/>
        <w:rPr>
          <w:rFonts w:ascii="Arial" w:hAnsi="Arial" w:cs="Arial"/>
          <w:sz w:val="20"/>
          <w:szCs w:val="20"/>
        </w:rPr>
      </w:pPr>
    </w:p>
    <w:p w:rsidR="00BA6363" w:rsidRPr="00BA6363" w:rsidRDefault="00BA6363" w:rsidP="00F01660">
      <w:pPr>
        <w:spacing w:after="0"/>
        <w:jc w:val="both"/>
        <w:rPr>
          <w:rFonts w:ascii="Arial" w:hAnsi="Arial" w:cs="Arial"/>
          <w:sz w:val="20"/>
          <w:szCs w:val="20"/>
        </w:rPr>
      </w:pPr>
      <w:r w:rsidRPr="00BA6363">
        <w:rPr>
          <w:rFonts w:ascii="Arial" w:hAnsi="Arial" w:cs="Arial"/>
          <w:sz w:val="20"/>
          <w:szCs w:val="20"/>
        </w:rPr>
        <w:t>A proposta</w:t>
      </w:r>
      <w:proofErr w:type="gramStart"/>
      <w:r w:rsidRPr="00BA6363">
        <w:rPr>
          <w:rFonts w:ascii="Arial" w:hAnsi="Arial" w:cs="Arial"/>
          <w:sz w:val="20"/>
          <w:szCs w:val="20"/>
        </w:rPr>
        <w:t>, acolheu</w:t>
      </w:r>
      <w:proofErr w:type="gramEnd"/>
      <w:r w:rsidRPr="00BA6363">
        <w:rPr>
          <w:rFonts w:ascii="Arial" w:hAnsi="Arial" w:cs="Arial"/>
          <w:sz w:val="20"/>
          <w:szCs w:val="20"/>
        </w:rPr>
        <w:t xml:space="preserve"> opinativo do MPC, que “de acordo com as informações prestadas pela unidade, o quadro de pessoal do Município contém 10 vagas para o cargo de médico plantonista, das quais duas estariam ocupadas e oito livres e que os ‘serviços deveriam ser prestados no Hospital Municipal, na Clínica da Mulher, no Programa de Atenção Básica NIS Centro e no PSF, de sorte que não há como excluir referida contratação do conceito de substituição de mão de obra’ “. Tendo persistido a extrapolação do índice, foi emitido alerta ao Município. </w:t>
      </w:r>
    </w:p>
    <w:p w:rsidR="00BA6363" w:rsidRPr="00BA6363" w:rsidRDefault="00BA6363" w:rsidP="00F01660">
      <w:pPr>
        <w:spacing w:after="0"/>
        <w:jc w:val="both"/>
        <w:rPr>
          <w:rFonts w:ascii="Arial" w:hAnsi="Arial" w:cs="Arial"/>
          <w:sz w:val="20"/>
          <w:szCs w:val="20"/>
        </w:rPr>
      </w:pPr>
    </w:p>
    <w:p w:rsidR="00BA6363" w:rsidRDefault="00BA6363" w:rsidP="00F01660">
      <w:pPr>
        <w:spacing w:after="0"/>
        <w:jc w:val="both"/>
        <w:rPr>
          <w:rFonts w:ascii="Arial" w:hAnsi="Arial" w:cs="Arial"/>
          <w:sz w:val="20"/>
          <w:szCs w:val="20"/>
        </w:rPr>
      </w:pPr>
      <w:r w:rsidRPr="00BA6363">
        <w:rPr>
          <w:rFonts w:ascii="Arial" w:hAnsi="Arial" w:cs="Arial"/>
          <w:sz w:val="20"/>
          <w:szCs w:val="20"/>
        </w:rPr>
        <w:t xml:space="preserve">Processo nº 796411/16 </w:t>
      </w:r>
      <w:r w:rsidR="003407F0">
        <w:rPr>
          <w:rFonts w:ascii="Arial" w:hAnsi="Arial" w:cs="Arial"/>
          <w:sz w:val="20"/>
          <w:szCs w:val="20"/>
        </w:rPr>
        <w:t>-</w:t>
      </w:r>
      <w:r w:rsidRPr="00BA6363">
        <w:rPr>
          <w:rFonts w:ascii="Arial" w:hAnsi="Arial" w:cs="Arial"/>
          <w:sz w:val="20"/>
          <w:szCs w:val="20"/>
        </w:rPr>
        <w:t xml:space="preserve"> </w:t>
      </w:r>
      <w:hyperlink r:id="rId12" w:history="1">
        <w:r w:rsidRPr="0009711C">
          <w:rPr>
            <w:rStyle w:val="Hyperlink"/>
            <w:rFonts w:ascii="Arial" w:hAnsi="Arial" w:cs="Arial"/>
            <w:sz w:val="20"/>
            <w:szCs w:val="20"/>
          </w:rPr>
          <w:t>Acórdão nº 1595/17</w:t>
        </w:r>
        <w:r w:rsidR="003407F0" w:rsidRPr="0009711C">
          <w:rPr>
            <w:rStyle w:val="Hyperlink"/>
            <w:rFonts w:ascii="Arial" w:hAnsi="Arial" w:cs="Arial"/>
            <w:sz w:val="20"/>
            <w:szCs w:val="20"/>
          </w:rPr>
          <w:t xml:space="preserve"> </w:t>
        </w:r>
        <w:r w:rsidRPr="0009711C">
          <w:rPr>
            <w:rStyle w:val="Hyperlink"/>
            <w:rFonts w:ascii="Arial" w:hAnsi="Arial" w:cs="Arial"/>
            <w:sz w:val="20"/>
            <w:szCs w:val="20"/>
          </w:rPr>
          <w:t>-</w:t>
        </w:r>
        <w:r w:rsidR="003407F0" w:rsidRPr="0009711C">
          <w:rPr>
            <w:rStyle w:val="Hyperlink"/>
            <w:rFonts w:ascii="Arial" w:hAnsi="Arial" w:cs="Arial"/>
            <w:sz w:val="20"/>
            <w:szCs w:val="20"/>
          </w:rPr>
          <w:t xml:space="preserve"> </w:t>
        </w:r>
        <w:r w:rsidRPr="0009711C">
          <w:rPr>
            <w:rStyle w:val="Hyperlink"/>
            <w:rFonts w:ascii="Arial" w:hAnsi="Arial" w:cs="Arial"/>
            <w:sz w:val="20"/>
            <w:szCs w:val="20"/>
          </w:rPr>
          <w:t>Segunda Câmara</w:t>
        </w:r>
      </w:hyperlink>
      <w:r w:rsidRPr="00BA6363">
        <w:rPr>
          <w:rFonts w:ascii="Arial" w:hAnsi="Arial" w:cs="Arial"/>
          <w:sz w:val="20"/>
          <w:szCs w:val="20"/>
        </w:rPr>
        <w:t xml:space="preserve"> </w:t>
      </w:r>
      <w:r w:rsidR="003407F0">
        <w:rPr>
          <w:rFonts w:ascii="Arial" w:hAnsi="Arial" w:cs="Arial"/>
          <w:sz w:val="20"/>
          <w:szCs w:val="20"/>
        </w:rPr>
        <w:t>-</w:t>
      </w:r>
      <w:r w:rsidRPr="00BA6363">
        <w:rPr>
          <w:rFonts w:ascii="Arial" w:hAnsi="Arial" w:cs="Arial"/>
          <w:sz w:val="20"/>
          <w:szCs w:val="20"/>
        </w:rPr>
        <w:t xml:space="preserve"> Rel. Conselheiro Ivan </w:t>
      </w:r>
      <w:proofErr w:type="spellStart"/>
      <w:r w:rsidRPr="00BA6363">
        <w:rPr>
          <w:rFonts w:ascii="Arial" w:hAnsi="Arial" w:cs="Arial"/>
          <w:sz w:val="20"/>
          <w:szCs w:val="20"/>
        </w:rPr>
        <w:t>Lelis</w:t>
      </w:r>
      <w:proofErr w:type="spellEnd"/>
      <w:r w:rsidRPr="00BA6363">
        <w:rPr>
          <w:rFonts w:ascii="Arial" w:hAnsi="Arial" w:cs="Arial"/>
          <w:sz w:val="20"/>
          <w:szCs w:val="20"/>
        </w:rPr>
        <w:t xml:space="preserve"> Bonilha.</w:t>
      </w:r>
    </w:p>
    <w:p w:rsidR="000D2D5B" w:rsidRPr="00BA6363" w:rsidRDefault="000D2D5B" w:rsidP="00F01660">
      <w:pPr>
        <w:spacing w:after="0"/>
        <w:jc w:val="both"/>
        <w:rPr>
          <w:rFonts w:ascii="Arial" w:hAnsi="Arial" w:cs="Arial"/>
          <w:sz w:val="20"/>
          <w:szCs w:val="20"/>
        </w:rPr>
      </w:pPr>
      <w:bookmarkStart w:id="0" w:name="_GoBack"/>
      <w:bookmarkEnd w:id="0"/>
    </w:p>
    <w:p w:rsidR="00BA6363" w:rsidRPr="00DE7183" w:rsidRDefault="00BA6363" w:rsidP="00F01660">
      <w:pPr>
        <w:pStyle w:val="PargrafodaLista"/>
        <w:numPr>
          <w:ilvl w:val="0"/>
          <w:numId w:val="12"/>
        </w:numPr>
        <w:tabs>
          <w:tab w:val="left" w:pos="284"/>
        </w:tabs>
        <w:spacing w:after="0"/>
        <w:ind w:left="0" w:firstLine="0"/>
        <w:contextualSpacing w:val="0"/>
        <w:jc w:val="both"/>
        <w:rPr>
          <w:rFonts w:ascii="Arial" w:hAnsi="Arial" w:cs="Arial"/>
          <w:b/>
          <w:sz w:val="20"/>
          <w:szCs w:val="20"/>
        </w:rPr>
      </w:pPr>
      <w:r w:rsidRPr="00DE7183">
        <w:rPr>
          <w:rFonts w:ascii="Arial" w:hAnsi="Arial" w:cs="Arial"/>
          <w:b/>
          <w:sz w:val="20"/>
          <w:szCs w:val="20"/>
        </w:rPr>
        <w:t>Embargos de Declaração</w:t>
      </w:r>
      <w:r w:rsidR="0062719D" w:rsidRPr="00DE7183">
        <w:rPr>
          <w:rFonts w:ascii="Arial" w:hAnsi="Arial" w:cs="Arial"/>
          <w:b/>
          <w:sz w:val="20"/>
          <w:szCs w:val="20"/>
        </w:rPr>
        <w:t xml:space="preserve">. </w:t>
      </w:r>
      <w:r w:rsidRPr="00DE7183">
        <w:rPr>
          <w:rFonts w:ascii="Arial" w:hAnsi="Arial" w:cs="Arial"/>
          <w:b/>
          <w:sz w:val="20"/>
          <w:szCs w:val="20"/>
        </w:rPr>
        <w:t>Admissão de Pessoal</w:t>
      </w:r>
      <w:r w:rsidR="0062719D" w:rsidRPr="00DE7183">
        <w:rPr>
          <w:rFonts w:ascii="Arial" w:hAnsi="Arial" w:cs="Arial"/>
          <w:b/>
          <w:sz w:val="20"/>
          <w:szCs w:val="20"/>
        </w:rPr>
        <w:t xml:space="preserve">. </w:t>
      </w:r>
      <w:r w:rsidRPr="00DE7183">
        <w:rPr>
          <w:rFonts w:ascii="Arial" w:hAnsi="Arial" w:cs="Arial"/>
          <w:b/>
          <w:sz w:val="20"/>
          <w:szCs w:val="20"/>
        </w:rPr>
        <w:t>Diligências requeridas pelo MPC de forma abstrata, em nota de rodapé com base em exigências previstas genericamente em instrução normativa anterior que deixou de ser aplicada</w:t>
      </w:r>
      <w:r w:rsidR="0062719D" w:rsidRPr="00DE7183">
        <w:rPr>
          <w:rFonts w:ascii="Arial" w:hAnsi="Arial" w:cs="Arial"/>
          <w:b/>
          <w:sz w:val="20"/>
          <w:szCs w:val="20"/>
        </w:rPr>
        <w:t>. A</w:t>
      </w:r>
      <w:r w:rsidRPr="00DE7183">
        <w:rPr>
          <w:rFonts w:ascii="Arial" w:hAnsi="Arial" w:cs="Arial"/>
          <w:b/>
          <w:sz w:val="20"/>
          <w:szCs w:val="20"/>
        </w:rPr>
        <w:t>plicação da IN nº117/2016, cuja vigência vem sendo sistematicamente reconhecida pelo Tribunal</w:t>
      </w:r>
      <w:r w:rsidR="0062719D" w:rsidRPr="00DE7183">
        <w:rPr>
          <w:rFonts w:ascii="Arial" w:hAnsi="Arial" w:cs="Arial"/>
          <w:b/>
          <w:sz w:val="20"/>
          <w:szCs w:val="20"/>
        </w:rPr>
        <w:t xml:space="preserve">. </w:t>
      </w:r>
      <w:r w:rsidRPr="00DE7183">
        <w:rPr>
          <w:rFonts w:ascii="Arial" w:hAnsi="Arial" w:cs="Arial"/>
          <w:b/>
          <w:sz w:val="20"/>
          <w:szCs w:val="20"/>
        </w:rPr>
        <w:t xml:space="preserve">Provimento para suprir a omissão, mas sem efeitos modificativos. </w:t>
      </w:r>
    </w:p>
    <w:p w:rsidR="00256A12" w:rsidRDefault="00256A12" w:rsidP="00F01660">
      <w:pPr>
        <w:spacing w:after="0"/>
        <w:jc w:val="both"/>
        <w:rPr>
          <w:rFonts w:ascii="Arial" w:hAnsi="Arial" w:cs="Arial"/>
          <w:sz w:val="20"/>
          <w:szCs w:val="20"/>
        </w:rPr>
      </w:pPr>
    </w:p>
    <w:p w:rsidR="00BA6363" w:rsidRPr="00BA6363" w:rsidRDefault="00BA6363" w:rsidP="00F01660">
      <w:pPr>
        <w:spacing w:after="0"/>
        <w:jc w:val="both"/>
        <w:rPr>
          <w:rFonts w:ascii="Arial" w:hAnsi="Arial" w:cs="Arial"/>
          <w:sz w:val="20"/>
          <w:szCs w:val="20"/>
        </w:rPr>
      </w:pPr>
      <w:r w:rsidRPr="00BA6363">
        <w:rPr>
          <w:rFonts w:ascii="Arial" w:hAnsi="Arial" w:cs="Arial"/>
          <w:sz w:val="20"/>
          <w:szCs w:val="20"/>
        </w:rPr>
        <w:t>Diante do registro dos atos de admissão de pessoal decorrentes de concurso público promovido pel</w:t>
      </w:r>
      <w:r w:rsidR="00364392">
        <w:rPr>
          <w:rFonts w:ascii="Arial" w:hAnsi="Arial" w:cs="Arial"/>
          <w:sz w:val="20"/>
          <w:szCs w:val="20"/>
        </w:rPr>
        <w:t>a entidade</w:t>
      </w:r>
      <w:r w:rsidRPr="00BA6363">
        <w:rPr>
          <w:rFonts w:ascii="Arial" w:hAnsi="Arial" w:cs="Arial"/>
          <w:sz w:val="20"/>
          <w:szCs w:val="20"/>
        </w:rPr>
        <w:t xml:space="preserve">, insurgiu-se o Ministério Público de Contas, opondo Embargos de Declaração. Para o </w:t>
      </w:r>
      <w:r w:rsidRPr="00BA6363">
        <w:rPr>
          <w:rFonts w:ascii="Arial" w:hAnsi="Arial" w:cs="Arial"/>
          <w:i/>
          <w:sz w:val="20"/>
          <w:szCs w:val="20"/>
        </w:rPr>
        <w:t>parquet</w:t>
      </w:r>
      <w:r w:rsidRPr="00BA6363">
        <w:rPr>
          <w:rFonts w:ascii="Arial" w:hAnsi="Arial" w:cs="Arial"/>
          <w:sz w:val="20"/>
          <w:szCs w:val="20"/>
        </w:rPr>
        <w:t xml:space="preserve"> o Acórdão recorrido não apreciou irregularidade que fora suscitada em seu parecer. </w:t>
      </w:r>
    </w:p>
    <w:p w:rsidR="00BA6363" w:rsidRPr="00BA6363" w:rsidRDefault="00BA6363" w:rsidP="00F01660">
      <w:pPr>
        <w:spacing w:after="0"/>
        <w:jc w:val="both"/>
        <w:rPr>
          <w:rFonts w:ascii="Arial" w:hAnsi="Arial" w:cs="Arial"/>
          <w:sz w:val="20"/>
          <w:szCs w:val="20"/>
        </w:rPr>
      </w:pPr>
      <w:r w:rsidRPr="00BA6363">
        <w:rPr>
          <w:rFonts w:ascii="Arial" w:hAnsi="Arial" w:cs="Arial"/>
          <w:sz w:val="20"/>
          <w:szCs w:val="20"/>
        </w:rPr>
        <w:lastRenderedPageBreak/>
        <w:t xml:space="preserve">Em seu voto, o Relator entendeu que merecem acolhimento os embargos opostos, já que, de fato, a decisão não se manifestou expressamente sobre as questões suscitadas pelo MPC, em nota de rodapé constante no parecer emitido. </w:t>
      </w:r>
    </w:p>
    <w:p w:rsidR="00256A12" w:rsidRDefault="00256A12" w:rsidP="00F01660">
      <w:pPr>
        <w:spacing w:after="0"/>
        <w:jc w:val="both"/>
        <w:rPr>
          <w:rFonts w:ascii="Arial" w:hAnsi="Arial" w:cs="Arial"/>
          <w:sz w:val="20"/>
          <w:szCs w:val="20"/>
        </w:rPr>
      </w:pPr>
    </w:p>
    <w:p w:rsidR="00BA6363" w:rsidRPr="00BA6363" w:rsidRDefault="00BA6363" w:rsidP="00F01660">
      <w:pPr>
        <w:spacing w:after="0"/>
        <w:jc w:val="both"/>
        <w:rPr>
          <w:rFonts w:ascii="Arial" w:hAnsi="Arial" w:cs="Arial"/>
          <w:sz w:val="20"/>
          <w:szCs w:val="20"/>
        </w:rPr>
      </w:pPr>
      <w:r w:rsidRPr="00BA6363">
        <w:rPr>
          <w:rFonts w:ascii="Arial" w:hAnsi="Arial" w:cs="Arial"/>
          <w:sz w:val="20"/>
          <w:szCs w:val="20"/>
        </w:rPr>
        <w:t xml:space="preserve">Não obstante, ressaltou que não se trata do meio mais adequado para referir fatos que, em tese, seriam de alta relevância. Com maior propriedade, deveriam as irregularidades </w:t>
      </w:r>
      <w:proofErr w:type="gramStart"/>
      <w:r w:rsidRPr="00BA6363">
        <w:rPr>
          <w:rFonts w:ascii="Arial" w:hAnsi="Arial" w:cs="Arial"/>
          <w:sz w:val="20"/>
          <w:szCs w:val="20"/>
        </w:rPr>
        <w:t>ter sido mencionadas</w:t>
      </w:r>
      <w:proofErr w:type="gramEnd"/>
      <w:r w:rsidRPr="00BA6363">
        <w:rPr>
          <w:rFonts w:ascii="Arial" w:hAnsi="Arial" w:cs="Arial"/>
          <w:sz w:val="20"/>
          <w:szCs w:val="20"/>
        </w:rPr>
        <w:t xml:space="preserve"> no corpo da peça processual, com destaque equivalente ao que fora impugnado em relação à aplicação da Instrução Normativa nº 117/2016. </w:t>
      </w:r>
    </w:p>
    <w:p w:rsidR="00256A12" w:rsidRDefault="00256A12" w:rsidP="00F01660">
      <w:pPr>
        <w:spacing w:after="0"/>
        <w:jc w:val="both"/>
        <w:rPr>
          <w:rFonts w:ascii="Arial" w:hAnsi="Arial" w:cs="Arial"/>
          <w:sz w:val="20"/>
          <w:szCs w:val="20"/>
        </w:rPr>
      </w:pPr>
    </w:p>
    <w:p w:rsidR="00BA6363" w:rsidRPr="00BA6363" w:rsidRDefault="00BA6363" w:rsidP="00F01660">
      <w:pPr>
        <w:spacing w:after="0"/>
        <w:jc w:val="both"/>
        <w:rPr>
          <w:rFonts w:ascii="Arial" w:hAnsi="Arial" w:cs="Arial"/>
          <w:i/>
          <w:sz w:val="20"/>
          <w:szCs w:val="20"/>
        </w:rPr>
      </w:pPr>
      <w:r w:rsidRPr="00BA6363">
        <w:rPr>
          <w:rFonts w:ascii="Arial" w:hAnsi="Arial" w:cs="Arial"/>
          <w:sz w:val="20"/>
          <w:szCs w:val="20"/>
        </w:rPr>
        <w:t>Transcreve-se o magistério de Eduardo de Oliveira Leite, em sua obra “Monografia Jurídica”, reproduzido no Acórdão em comento: “</w:t>
      </w:r>
      <w:r w:rsidRPr="00BA6363">
        <w:rPr>
          <w:rFonts w:ascii="Arial" w:hAnsi="Arial" w:cs="Arial"/>
          <w:i/>
          <w:sz w:val="20"/>
          <w:szCs w:val="20"/>
        </w:rPr>
        <w:t>Nas remissões externas, as notas de rodapé encontram sua expressão mais significativa. Quer para apresentar posição contrária à afirmação feita no texto ou questioná-la, quer para explicar ou fazer uma indicação complementar, ou paralela [...], quando usadas com moderação, atingem seu objetivo fundamental: a anexação de desenvolvimentos suplementares que não se quis incluir no texto, por isso que julgados subsidiários”.</w:t>
      </w:r>
    </w:p>
    <w:p w:rsidR="00256A12" w:rsidRDefault="00256A12" w:rsidP="00F01660">
      <w:pPr>
        <w:spacing w:after="0"/>
        <w:jc w:val="both"/>
        <w:rPr>
          <w:rFonts w:ascii="Arial" w:hAnsi="Arial" w:cs="Arial"/>
          <w:sz w:val="20"/>
          <w:szCs w:val="20"/>
        </w:rPr>
      </w:pPr>
    </w:p>
    <w:p w:rsidR="006115E2" w:rsidRPr="00BA6363" w:rsidRDefault="00BA6363" w:rsidP="00F01660">
      <w:pPr>
        <w:spacing w:after="0"/>
        <w:jc w:val="both"/>
        <w:rPr>
          <w:rFonts w:ascii="Arial" w:hAnsi="Arial" w:cs="Arial"/>
          <w:sz w:val="20"/>
          <w:szCs w:val="20"/>
        </w:rPr>
      </w:pPr>
      <w:r w:rsidRPr="00BA6363">
        <w:rPr>
          <w:rFonts w:ascii="Arial" w:hAnsi="Arial" w:cs="Arial"/>
          <w:sz w:val="20"/>
          <w:szCs w:val="20"/>
        </w:rPr>
        <w:t>Processo nº 210534/17</w:t>
      </w:r>
      <w:r w:rsidR="00F733B8">
        <w:rPr>
          <w:rFonts w:ascii="Arial" w:hAnsi="Arial" w:cs="Arial"/>
          <w:sz w:val="20"/>
          <w:szCs w:val="20"/>
        </w:rPr>
        <w:t xml:space="preserve"> </w:t>
      </w:r>
      <w:r w:rsidRPr="00BA6363">
        <w:rPr>
          <w:rFonts w:ascii="Arial" w:hAnsi="Arial" w:cs="Arial"/>
          <w:sz w:val="20"/>
          <w:szCs w:val="20"/>
        </w:rPr>
        <w:t xml:space="preserve">- </w:t>
      </w:r>
      <w:hyperlink r:id="rId13" w:history="1">
        <w:r w:rsidRPr="00BA6363">
          <w:rPr>
            <w:rStyle w:val="Hyperlink"/>
            <w:rFonts w:ascii="Arial" w:hAnsi="Arial" w:cs="Arial"/>
            <w:sz w:val="20"/>
            <w:szCs w:val="20"/>
          </w:rPr>
          <w:t>Acórdão nº1627/17-Segunda Câmara</w:t>
        </w:r>
      </w:hyperlink>
      <w:r w:rsidRPr="00BA6363">
        <w:rPr>
          <w:rFonts w:ascii="Arial" w:hAnsi="Arial" w:cs="Arial"/>
          <w:sz w:val="20"/>
          <w:szCs w:val="20"/>
        </w:rPr>
        <w:t xml:space="preserve"> </w:t>
      </w:r>
      <w:r w:rsidR="00F733B8">
        <w:rPr>
          <w:rFonts w:ascii="Arial" w:hAnsi="Arial" w:cs="Arial"/>
          <w:sz w:val="20"/>
          <w:szCs w:val="20"/>
        </w:rPr>
        <w:t xml:space="preserve">- </w:t>
      </w:r>
      <w:r w:rsidRPr="00BA6363">
        <w:rPr>
          <w:rFonts w:ascii="Arial" w:hAnsi="Arial" w:cs="Arial"/>
          <w:sz w:val="20"/>
          <w:szCs w:val="20"/>
        </w:rPr>
        <w:t>Rel. Conselheiro Ivens Zschoerper Linhares</w:t>
      </w:r>
      <w:r>
        <w:rPr>
          <w:rFonts w:ascii="Arial" w:hAnsi="Arial" w:cs="Arial"/>
          <w:sz w:val="20"/>
          <w:szCs w:val="20"/>
        </w:rPr>
        <w:t>.</w:t>
      </w:r>
    </w:p>
    <w:p w:rsidR="004D75B0" w:rsidRPr="000D6D01" w:rsidRDefault="004D75B0" w:rsidP="00F01660">
      <w:pPr>
        <w:spacing w:after="0"/>
        <w:jc w:val="both"/>
        <w:rPr>
          <w:rFonts w:ascii="Arial" w:hAnsi="Arial" w:cs="Arial"/>
          <w:sz w:val="20"/>
          <w:szCs w:val="20"/>
        </w:rPr>
      </w:pPr>
    </w:p>
    <w:p w:rsidR="00AE4F42" w:rsidRPr="00722924" w:rsidRDefault="00AE4F42" w:rsidP="00F01660">
      <w:pPr>
        <w:shd w:val="pct10" w:color="auto" w:fill="auto"/>
        <w:spacing w:after="0"/>
        <w:jc w:val="center"/>
        <w:rPr>
          <w:rFonts w:ascii="Arial" w:hAnsi="Arial" w:cs="Arial"/>
          <w:b/>
        </w:rPr>
      </w:pPr>
      <w:r>
        <w:rPr>
          <w:rFonts w:ascii="Arial" w:hAnsi="Arial" w:cs="Arial"/>
          <w:b/>
        </w:rPr>
        <w:t>TRIBUNAL PLENO</w:t>
      </w:r>
    </w:p>
    <w:p w:rsidR="003C7C21" w:rsidRDefault="003C7C21" w:rsidP="00F01660">
      <w:pPr>
        <w:autoSpaceDE w:val="0"/>
        <w:autoSpaceDN w:val="0"/>
        <w:adjustRightInd w:val="0"/>
        <w:spacing w:after="0"/>
        <w:jc w:val="both"/>
        <w:rPr>
          <w:rFonts w:ascii="Arial" w:hAnsi="Arial" w:cs="Arial"/>
          <w:b/>
          <w:color w:val="000000"/>
          <w:sz w:val="20"/>
          <w:szCs w:val="20"/>
          <w:shd w:val="clear" w:color="auto" w:fill="FFFFFF"/>
        </w:rPr>
      </w:pPr>
    </w:p>
    <w:p w:rsidR="0090479F" w:rsidRPr="00252AA5" w:rsidRDefault="0090479F" w:rsidP="00F01660">
      <w:pPr>
        <w:pStyle w:val="PargrafodaLista"/>
        <w:numPr>
          <w:ilvl w:val="0"/>
          <w:numId w:val="12"/>
        </w:numPr>
        <w:tabs>
          <w:tab w:val="left" w:pos="284"/>
        </w:tabs>
        <w:autoSpaceDE w:val="0"/>
        <w:autoSpaceDN w:val="0"/>
        <w:adjustRightInd w:val="0"/>
        <w:spacing w:after="0"/>
        <w:ind w:left="0" w:firstLine="0"/>
        <w:contextualSpacing w:val="0"/>
        <w:jc w:val="both"/>
        <w:rPr>
          <w:rFonts w:ascii="Arial" w:hAnsi="Arial" w:cs="Arial"/>
          <w:b/>
          <w:color w:val="000000"/>
          <w:sz w:val="20"/>
          <w:szCs w:val="20"/>
          <w:shd w:val="clear" w:color="auto" w:fill="FFFFFF"/>
        </w:rPr>
      </w:pPr>
      <w:r w:rsidRPr="00252AA5">
        <w:rPr>
          <w:rFonts w:ascii="Arial" w:hAnsi="Arial" w:cs="Arial"/>
          <w:b/>
          <w:color w:val="000000"/>
          <w:sz w:val="20"/>
          <w:szCs w:val="20"/>
          <w:shd w:val="clear" w:color="auto" w:fill="FFFFFF"/>
        </w:rPr>
        <w:t>Recurso de Revista. Discussão sobre a aplicação do instituto do arredondamento. Lei n° 1.943/54 na inativação de militares.</w:t>
      </w:r>
      <w:r w:rsidR="00FB42B4" w:rsidRPr="00252AA5">
        <w:rPr>
          <w:rFonts w:ascii="Arial" w:hAnsi="Arial" w:cs="Arial"/>
          <w:b/>
          <w:color w:val="000000"/>
          <w:sz w:val="20"/>
          <w:szCs w:val="20"/>
          <w:shd w:val="clear" w:color="auto" w:fill="FFFFFF"/>
        </w:rPr>
        <w:t xml:space="preserve"> Contagem ficta de tempo de contribuição. Conformidade com a norma constitucional.</w:t>
      </w:r>
    </w:p>
    <w:p w:rsidR="00FB42B4" w:rsidRDefault="00FB42B4" w:rsidP="00F01660">
      <w:pPr>
        <w:autoSpaceDE w:val="0"/>
        <w:autoSpaceDN w:val="0"/>
        <w:adjustRightInd w:val="0"/>
        <w:spacing w:after="0"/>
        <w:jc w:val="both"/>
        <w:rPr>
          <w:rFonts w:ascii="Arial" w:hAnsi="Arial" w:cs="Arial"/>
          <w:b/>
          <w:color w:val="000000"/>
          <w:sz w:val="20"/>
          <w:szCs w:val="20"/>
          <w:shd w:val="clear" w:color="auto" w:fill="FFFFFF"/>
        </w:rPr>
      </w:pPr>
    </w:p>
    <w:p w:rsidR="008800F4" w:rsidRDefault="00F13F39" w:rsidP="00F01660">
      <w:pPr>
        <w:autoSpaceDE w:val="0"/>
        <w:autoSpaceDN w:val="0"/>
        <w:adjustRightInd w:val="0"/>
        <w:spacing w:after="0"/>
        <w:jc w:val="both"/>
        <w:rPr>
          <w:rFonts w:ascii="Arial" w:hAnsi="Arial" w:cs="Arial"/>
          <w:sz w:val="20"/>
          <w:szCs w:val="20"/>
        </w:rPr>
      </w:pPr>
      <w:r>
        <w:rPr>
          <w:rFonts w:ascii="Arial" w:hAnsi="Arial" w:cs="Arial"/>
          <w:sz w:val="20"/>
          <w:szCs w:val="20"/>
        </w:rPr>
        <w:t>O</w:t>
      </w:r>
      <w:r w:rsidR="00BC6803" w:rsidRPr="00BC6803">
        <w:rPr>
          <w:rFonts w:ascii="Arial" w:hAnsi="Arial" w:cs="Arial"/>
          <w:sz w:val="20"/>
          <w:szCs w:val="20"/>
        </w:rPr>
        <w:t xml:space="preserve"> artigo 40, § 10, da Carta Magna, nos termos da emenda constitucional nº</w:t>
      </w:r>
      <w:r>
        <w:rPr>
          <w:rFonts w:ascii="Arial" w:hAnsi="Arial" w:cs="Arial"/>
          <w:sz w:val="20"/>
          <w:szCs w:val="20"/>
        </w:rPr>
        <w:t xml:space="preserve"> </w:t>
      </w:r>
      <w:r w:rsidR="00BC6803" w:rsidRPr="00BC6803">
        <w:rPr>
          <w:rFonts w:ascii="Arial" w:hAnsi="Arial" w:cs="Arial"/>
          <w:sz w:val="20"/>
          <w:szCs w:val="20"/>
        </w:rPr>
        <w:t>20/98, veda a contagem de tempo de contribuição fictício. Contudo, resta claro que</w:t>
      </w:r>
      <w:r>
        <w:rPr>
          <w:rFonts w:ascii="Arial" w:hAnsi="Arial" w:cs="Arial"/>
          <w:sz w:val="20"/>
          <w:szCs w:val="20"/>
        </w:rPr>
        <w:t xml:space="preserve"> </w:t>
      </w:r>
      <w:r w:rsidR="00BC6803" w:rsidRPr="00BC6803">
        <w:rPr>
          <w:rFonts w:ascii="Arial" w:hAnsi="Arial" w:cs="Arial"/>
          <w:sz w:val="20"/>
          <w:szCs w:val="20"/>
        </w:rPr>
        <w:t>tal vedação não se estende aos militares, por força do artigo 42 da Lei Maior, o qual</w:t>
      </w:r>
      <w:r>
        <w:rPr>
          <w:rFonts w:ascii="Arial" w:hAnsi="Arial" w:cs="Arial"/>
          <w:sz w:val="20"/>
          <w:szCs w:val="20"/>
        </w:rPr>
        <w:t xml:space="preserve"> </w:t>
      </w:r>
      <w:r w:rsidR="00BC6803" w:rsidRPr="00BC6803">
        <w:rPr>
          <w:rFonts w:ascii="Arial" w:hAnsi="Arial" w:cs="Arial"/>
          <w:sz w:val="20"/>
          <w:szCs w:val="20"/>
        </w:rPr>
        <w:t>aplica aos militares apenas o parágrafo nono do artigo 40. Deste modo, a legislação mi litar estadual (lei nº 1.943/54) que</w:t>
      </w:r>
      <w:r>
        <w:rPr>
          <w:rFonts w:ascii="Arial" w:hAnsi="Arial" w:cs="Arial"/>
          <w:sz w:val="20"/>
          <w:szCs w:val="20"/>
        </w:rPr>
        <w:t xml:space="preserve"> </w:t>
      </w:r>
      <w:r w:rsidR="00BC6803" w:rsidRPr="00BC6803">
        <w:rPr>
          <w:rFonts w:ascii="Arial" w:hAnsi="Arial" w:cs="Arial"/>
          <w:sz w:val="20"/>
          <w:szCs w:val="20"/>
        </w:rPr>
        <w:t>estabelece a contagem ficta de tempo de contribuição está em conformidade com a</w:t>
      </w:r>
      <w:r>
        <w:rPr>
          <w:rFonts w:ascii="Arial" w:hAnsi="Arial" w:cs="Arial"/>
          <w:sz w:val="20"/>
          <w:szCs w:val="20"/>
        </w:rPr>
        <w:t xml:space="preserve"> </w:t>
      </w:r>
      <w:r w:rsidR="00BC6803" w:rsidRPr="00BC6803">
        <w:rPr>
          <w:rFonts w:ascii="Arial" w:hAnsi="Arial" w:cs="Arial"/>
          <w:sz w:val="20"/>
          <w:szCs w:val="20"/>
        </w:rPr>
        <w:t xml:space="preserve">norma constitucional. </w:t>
      </w:r>
    </w:p>
    <w:p w:rsidR="008800F4" w:rsidRDefault="008800F4" w:rsidP="00F01660">
      <w:pPr>
        <w:autoSpaceDE w:val="0"/>
        <w:autoSpaceDN w:val="0"/>
        <w:adjustRightInd w:val="0"/>
        <w:spacing w:after="0"/>
        <w:jc w:val="both"/>
        <w:rPr>
          <w:rFonts w:ascii="Arial" w:hAnsi="Arial" w:cs="Arial"/>
          <w:sz w:val="20"/>
          <w:szCs w:val="20"/>
        </w:rPr>
      </w:pPr>
    </w:p>
    <w:p w:rsidR="00BC6803" w:rsidRPr="00BC6803" w:rsidRDefault="00BC6803" w:rsidP="00F01660">
      <w:pPr>
        <w:autoSpaceDE w:val="0"/>
        <w:autoSpaceDN w:val="0"/>
        <w:adjustRightInd w:val="0"/>
        <w:spacing w:after="0"/>
        <w:jc w:val="both"/>
        <w:rPr>
          <w:rFonts w:ascii="Arial" w:hAnsi="Arial" w:cs="Arial"/>
          <w:sz w:val="20"/>
          <w:szCs w:val="20"/>
        </w:rPr>
      </w:pPr>
      <w:r w:rsidRPr="00BC6803">
        <w:rPr>
          <w:rFonts w:ascii="Arial" w:hAnsi="Arial" w:cs="Arial"/>
          <w:sz w:val="20"/>
          <w:szCs w:val="20"/>
        </w:rPr>
        <w:t>Faz-se imperioso destacar jurisprudência desta Corte: Acórdão</w:t>
      </w:r>
      <w:r w:rsidR="00F13F39">
        <w:rPr>
          <w:rFonts w:ascii="Arial" w:hAnsi="Arial" w:cs="Arial"/>
          <w:sz w:val="20"/>
          <w:szCs w:val="20"/>
        </w:rPr>
        <w:t xml:space="preserve"> </w:t>
      </w:r>
      <w:r w:rsidRPr="00BC6803">
        <w:rPr>
          <w:rFonts w:ascii="Arial" w:hAnsi="Arial" w:cs="Arial"/>
          <w:sz w:val="20"/>
          <w:szCs w:val="20"/>
        </w:rPr>
        <w:t>351/14</w:t>
      </w:r>
      <w:r w:rsidR="008800F4">
        <w:rPr>
          <w:rFonts w:ascii="Arial" w:hAnsi="Arial" w:cs="Arial"/>
          <w:sz w:val="20"/>
          <w:szCs w:val="20"/>
        </w:rPr>
        <w:t xml:space="preserve"> - Primeira Câmara (</w:t>
      </w:r>
      <w:r w:rsidR="00251273">
        <w:rPr>
          <w:rFonts w:ascii="Arial" w:hAnsi="Arial" w:cs="Arial"/>
          <w:sz w:val="20"/>
          <w:szCs w:val="20"/>
        </w:rPr>
        <w:t xml:space="preserve">Processo nº </w:t>
      </w:r>
      <w:r w:rsidRPr="00BC6803">
        <w:rPr>
          <w:rFonts w:ascii="Arial" w:hAnsi="Arial" w:cs="Arial"/>
          <w:sz w:val="20"/>
          <w:szCs w:val="20"/>
        </w:rPr>
        <w:t>671898/13</w:t>
      </w:r>
      <w:r w:rsidR="008800F4">
        <w:rPr>
          <w:rFonts w:ascii="Arial" w:hAnsi="Arial" w:cs="Arial"/>
          <w:sz w:val="20"/>
          <w:szCs w:val="20"/>
        </w:rPr>
        <w:t>)</w:t>
      </w:r>
      <w:r w:rsidRPr="00BC6803">
        <w:rPr>
          <w:rFonts w:ascii="Arial" w:hAnsi="Arial" w:cs="Arial"/>
          <w:sz w:val="20"/>
          <w:szCs w:val="20"/>
        </w:rPr>
        <w:t xml:space="preserve"> </w:t>
      </w:r>
      <w:r w:rsidR="008800F4">
        <w:rPr>
          <w:rFonts w:ascii="Arial" w:hAnsi="Arial" w:cs="Arial"/>
          <w:sz w:val="20"/>
          <w:szCs w:val="20"/>
        </w:rPr>
        <w:t>-</w:t>
      </w:r>
      <w:r w:rsidRPr="00BC6803">
        <w:rPr>
          <w:rFonts w:ascii="Arial" w:hAnsi="Arial" w:cs="Arial"/>
          <w:sz w:val="20"/>
          <w:szCs w:val="20"/>
        </w:rPr>
        <w:t xml:space="preserve"> Relator Conselheiro Ivan </w:t>
      </w:r>
      <w:proofErr w:type="spellStart"/>
      <w:r w:rsidRPr="00BC6803">
        <w:rPr>
          <w:rFonts w:ascii="Arial" w:hAnsi="Arial" w:cs="Arial"/>
          <w:sz w:val="20"/>
          <w:szCs w:val="20"/>
        </w:rPr>
        <w:t>Lelis</w:t>
      </w:r>
      <w:proofErr w:type="spellEnd"/>
      <w:r w:rsidRPr="00BC6803">
        <w:rPr>
          <w:rFonts w:ascii="Arial" w:hAnsi="Arial" w:cs="Arial"/>
          <w:sz w:val="20"/>
          <w:szCs w:val="20"/>
        </w:rPr>
        <w:t xml:space="preserve"> Bonilha; e</w:t>
      </w:r>
      <w:r w:rsidR="00F13F39">
        <w:rPr>
          <w:rFonts w:ascii="Arial" w:hAnsi="Arial" w:cs="Arial"/>
          <w:sz w:val="20"/>
          <w:szCs w:val="20"/>
        </w:rPr>
        <w:t xml:space="preserve"> </w:t>
      </w:r>
      <w:r w:rsidRPr="00BC6803">
        <w:rPr>
          <w:rFonts w:ascii="Arial" w:hAnsi="Arial" w:cs="Arial"/>
          <w:sz w:val="20"/>
          <w:szCs w:val="20"/>
        </w:rPr>
        <w:t xml:space="preserve">Acórdão 2668/14 </w:t>
      </w:r>
      <w:r w:rsidR="00351206">
        <w:rPr>
          <w:rFonts w:ascii="Arial" w:hAnsi="Arial" w:cs="Arial"/>
          <w:sz w:val="20"/>
          <w:szCs w:val="20"/>
        </w:rPr>
        <w:t>-</w:t>
      </w:r>
      <w:r w:rsidRPr="00BC6803">
        <w:rPr>
          <w:rFonts w:ascii="Arial" w:hAnsi="Arial" w:cs="Arial"/>
          <w:sz w:val="20"/>
          <w:szCs w:val="20"/>
        </w:rPr>
        <w:t xml:space="preserve"> </w:t>
      </w:r>
      <w:r w:rsidR="008800F4">
        <w:rPr>
          <w:rFonts w:ascii="Arial" w:hAnsi="Arial" w:cs="Arial"/>
          <w:sz w:val="20"/>
          <w:szCs w:val="20"/>
        </w:rPr>
        <w:t>Segunda Câmara</w:t>
      </w:r>
      <w:r w:rsidR="001B5B65">
        <w:rPr>
          <w:rFonts w:ascii="Arial" w:hAnsi="Arial" w:cs="Arial"/>
          <w:sz w:val="20"/>
          <w:szCs w:val="20"/>
        </w:rPr>
        <w:t xml:space="preserve"> (</w:t>
      </w:r>
      <w:r w:rsidR="00251273">
        <w:rPr>
          <w:rFonts w:ascii="Arial" w:hAnsi="Arial" w:cs="Arial"/>
          <w:sz w:val="20"/>
          <w:szCs w:val="20"/>
        </w:rPr>
        <w:t xml:space="preserve">Processo nº </w:t>
      </w:r>
      <w:r w:rsidRPr="00BC6803">
        <w:rPr>
          <w:rFonts w:ascii="Arial" w:hAnsi="Arial" w:cs="Arial"/>
          <w:sz w:val="20"/>
          <w:szCs w:val="20"/>
        </w:rPr>
        <w:t>2014425/13</w:t>
      </w:r>
      <w:r w:rsidR="001B5B65">
        <w:rPr>
          <w:rFonts w:ascii="Arial" w:hAnsi="Arial" w:cs="Arial"/>
          <w:sz w:val="20"/>
          <w:szCs w:val="20"/>
        </w:rPr>
        <w:t xml:space="preserve">) </w:t>
      </w:r>
      <w:r w:rsidRPr="00BC6803">
        <w:rPr>
          <w:rFonts w:ascii="Arial" w:hAnsi="Arial" w:cs="Arial"/>
          <w:sz w:val="20"/>
          <w:szCs w:val="20"/>
        </w:rPr>
        <w:t>- Relator Auditor Thiago Barbosa</w:t>
      </w:r>
      <w:r w:rsidR="00F13F39">
        <w:rPr>
          <w:rFonts w:ascii="Arial" w:hAnsi="Arial" w:cs="Arial"/>
          <w:sz w:val="20"/>
          <w:szCs w:val="20"/>
        </w:rPr>
        <w:t xml:space="preserve"> </w:t>
      </w:r>
      <w:r w:rsidRPr="00BC6803">
        <w:rPr>
          <w:rFonts w:ascii="Arial" w:hAnsi="Arial" w:cs="Arial"/>
          <w:sz w:val="20"/>
          <w:szCs w:val="20"/>
        </w:rPr>
        <w:t xml:space="preserve">Cordeiro. Seguindo a mesma linha de raciocínio, há o Acórdão n.º 351/14 </w:t>
      </w:r>
      <w:r w:rsidR="001B5B65">
        <w:rPr>
          <w:rFonts w:ascii="Arial" w:hAnsi="Arial" w:cs="Arial"/>
          <w:sz w:val="20"/>
          <w:szCs w:val="20"/>
        </w:rPr>
        <w:t xml:space="preserve">- </w:t>
      </w:r>
      <w:r w:rsidRPr="00BC6803">
        <w:rPr>
          <w:rFonts w:ascii="Arial" w:hAnsi="Arial" w:cs="Arial"/>
          <w:sz w:val="20"/>
          <w:szCs w:val="20"/>
        </w:rPr>
        <w:t>Primeira Câmara</w:t>
      </w:r>
      <w:r w:rsidR="00251273">
        <w:rPr>
          <w:rFonts w:ascii="Arial" w:hAnsi="Arial" w:cs="Arial"/>
          <w:sz w:val="20"/>
          <w:szCs w:val="20"/>
        </w:rPr>
        <w:t xml:space="preserve"> (Processo nº </w:t>
      </w:r>
      <w:r w:rsidR="00251273" w:rsidRPr="00251273">
        <w:rPr>
          <w:rFonts w:ascii="Arial" w:hAnsi="Arial" w:cs="Arial"/>
          <w:sz w:val="20"/>
          <w:szCs w:val="20"/>
        </w:rPr>
        <w:t>671898/13</w:t>
      </w:r>
      <w:r w:rsidR="00251273">
        <w:rPr>
          <w:rFonts w:ascii="Arial" w:hAnsi="Arial" w:cs="Arial"/>
          <w:sz w:val="20"/>
          <w:szCs w:val="20"/>
        </w:rPr>
        <w:t>)</w:t>
      </w:r>
      <w:r w:rsidRPr="00BC6803">
        <w:rPr>
          <w:rFonts w:ascii="Arial" w:hAnsi="Arial" w:cs="Arial"/>
          <w:sz w:val="20"/>
          <w:szCs w:val="20"/>
        </w:rPr>
        <w:t>, proferido por unanimidade, que considera constitucional a contagem de tempo ficto com relação aos militares. Nos termos traçados, conclui</w:t>
      </w:r>
      <w:r w:rsidR="00251273">
        <w:rPr>
          <w:rFonts w:ascii="Arial" w:hAnsi="Arial" w:cs="Arial"/>
          <w:sz w:val="20"/>
          <w:szCs w:val="20"/>
        </w:rPr>
        <w:t>-se</w:t>
      </w:r>
      <w:r w:rsidR="00F13F39">
        <w:rPr>
          <w:rFonts w:ascii="Arial" w:hAnsi="Arial" w:cs="Arial"/>
          <w:sz w:val="20"/>
          <w:szCs w:val="20"/>
        </w:rPr>
        <w:t xml:space="preserve"> </w:t>
      </w:r>
      <w:r w:rsidRPr="00BC6803">
        <w:rPr>
          <w:rFonts w:ascii="Arial" w:hAnsi="Arial" w:cs="Arial"/>
          <w:sz w:val="20"/>
          <w:szCs w:val="20"/>
        </w:rPr>
        <w:t>que artigo 144, parágrafo 1º da lei n.º 1.943/54 continua em vigência, estando, por</w:t>
      </w:r>
      <w:r w:rsidR="00F13F39">
        <w:rPr>
          <w:rFonts w:ascii="Arial" w:hAnsi="Arial" w:cs="Arial"/>
          <w:sz w:val="20"/>
          <w:szCs w:val="20"/>
        </w:rPr>
        <w:t xml:space="preserve"> </w:t>
      </w:r>
      <w:r w:rsidRPr="00BC6803">
        <w:rPr>
          <w:rFonts w:ascii="Arial" w:hAnsi="Arial" w:cs="Arial"/>
          <w:sz w:val="20"/>
          <w:szCs w:val="20"/>
        </w:rPr>
        <w:t>conseguinte, correta a contagem de tempo de serviço do interessado.</w:t>
      </w:r>
    </w:p>
    <w:p w:rsidR="00BC6803" w:rsidRDefault="00BC6803" w:rsidP="00F01660">
      <w:pPr>
        <w:autoSpaceDE w:val="0"/>
        <w:autoSpaceDN w:val="0"/>
        <w:adjustRightInd w:val="0"/>
        <w:spacing w:after="0"/>
        <w:jc w:val="both"/>
        <w:rPr>
          <w:rFonts w:ascii="Arial" w:hAnsi="Arial" w:cs="Arial"/>
          <w:b/>
          <w:color w:val="000000"/>
          <w:sz w:val="20"/>
          <w:szCs w:val="20"/>
          <w:shd w:val="clear" w:color="auto" w:fill="FFFFFF"/>
        </w:rPr>
      </w:pPr>
    </w:p>
    <w:p w:rsidR="00667BE8" w:rsidRPr="00667BE8" w:rsidRDefault="00667BE8" w:rsidP="00F01660">
      <w:pPr>
        <w:autoSpaceDE w:val="0"/>
        <w:autoSpaceDN w:val="0"/>
        <w:adjustRightInd w:val="0"/>
        <w:spacing w:after="0"/>
        <w:jc w:val="both"/>
        <w:rPr>
          <w:rFonts w:ascii="Arial" w:hAnsi="Arial" w:cs="Arial"/>
          <w:sz w:val="20"/>
          <w:szCs w:val="20"/>
        </w:rPr>
      </w:pPr>
      <w:r w:rsidRPr="00667BE8">
        <w:rPr>
          <w:rFonts w:ascii="Arial" w:hAnsi="Arial" w:cs="Arial"/>
          <w:color w:val="000000"/>
          <w:sz w:val="20"/>
          <w:szCs w:val="20"/>
          <w:shd w:val="clear" w:color="auto" w:fill="FFFFFF"/>
        </w:rPr>
        <w:t xml:space="preserve">Processo n° 689453/16 - </w:t>
      </w:r>
      <w:hyperlink r:id="rId14" w:history="1">
        <w:r w:rsidRPr="00053B72">
          <w:rPr>
            <w:rStyle w:val="Hyperlink"/>
            <w:rFonts w:ascii="Arial" w:hAnsi="Arial" w:cs="Arial"/>
            <w:sz w:val="20"/>
            <w:szCs w:val="20"/>
            <w:shd w:val="clear" w:color="auto" w:fill="FFFFFF"/>
          </w:rPr>
          <w:t>Acórdão n°</w:t>
        </w:r>
        <w:r w:rsidRPr="00053B72">
          <w:rPr>
            <w:rStyle w:val="Hyperlink"/>
            <w:rFonts w:ascii="Arial" w:hAnsi="Arial" w:cs="Arial"/>
            <w:sz w:val="20"/>
            <w:szCs w:val="20"/>
          </w:rPr>
          <w:t>1690/17 - Tribunal Pleno</w:t>
        </w:r>
      </w:hyperlink>
      <w:r>
        <w:rPr>
          <w:rFonts w:ascii="Arial" w:hAnsi="Arial" w:cs="Arial"/>
          <w:sz w:val="20"/>
          <w:szCs w:val="20"/>
        </w:rPr>
        <w:t xml:space="preserve"> </w:t>
      </w:r>
      <w:r w:rsidR="00053B72">
        <w:rPr>
          <w:rFonts w:ascii="Arial" w:hAnsi="Arial" w:cs="Arial"/>
          <w:sz w:val="20"/>
          <w:szCs w:val="20"/>
        </w:rPr>
        <w:t>-</w:t>
      </w:r>
      <w:r>
        <w:rPr>
          <w:rFonts w:ascii="Arial" w:hAnsi="Arial" w:cs="Arial"/>
          <w:sz w:val="20"/>
          <w:szCs w:val="20"/>
        </w:rPr>
        <w:t xml:space="preserve"> </w:t>
      </w:r>
      <w:r w:rsidR="00053B72">
        <w:rPr>
          <w:rFonts w:ascii="Arial" w:hAnsi="Arial" w:cs="Arial"/>
          <w:sz w:val="20"/>
          <w:szCs w:val="20"/>
        </w:rPr>
        <w:t xml:space="preserve">Rel. Conselheiro Nestor Baptista. </w:t>
      </w:r>
    </w:p>
    <w:p w:rsidR="0090479F" w:rsidRDefault="0090479F" w:rsidP="00F01660">
      <w:pPr>
        <w:autoSpaceDE w:val="0"/>
        <w:autoSpaceDN w:val="0"/>
        <w:adjustRightInd w:val="0"/>
        <w:spacing w:after="0"/>
        <w:jc w:val="both"/>
        <w:rPr>
          <w:rFonts w:ascii="Arial" w:hAnsi="Arial" w:cs="Arial"/>
          <w:b/>
          <w:color w:val="000000"/>
          <w:sz w:val="20"/>
          <w:szCs w:val="20"/>
          <w:shd w:val="clear" w:color="auto" w:fill="FFFFFF"/>
        </w:rPr>
      </w:pPr>
    </w:p>
    <w:p w:rsidR="00076184" w:rsidRPr="00927338" w:rsidRDefault="00076184" w:rsidP="00F01660">
      <w:pPr>
        <w:pStyle w:val="PargrafodaLista"/>
        <w:numPr>
          <w:ilvl w:val="0"/>
          <w:numId w:val="12"/>
        </w:numPr>
        <w:tabs>
          <w:tab w:val="left" w:pos="284"/>
        </w:tabs>
        <w:autoSpaceDE w:val="0"/>
        <w:autoSpaceDN w:val="0"/>
        <w:adjustRightInd w:val="0"/>
        <w:spacing w:after="0"/>
        <w:ind w:left="0" w:firstLine="0"/>
        <w:contextualSpacing w:val="0"/>
        <w:jc w:val="both"/>
        <w:rPr>
          <w:rFonts w:ascii="Arial" w:hAnsi="Arial" w:cs="Arial"/>
          <w:b/>
          <w:color w:val="000000"/>
          <w:sz w:val="20"/>
          <w:szCs w:val="20"/>
          <w:shd w:val="clear" w:color="auto" w:fill="FFFFFF"/>
        </w:rPr>
      </w:pPr>
      <w:r w:rsidRPr="00927338">
        <w:rPr>
          <w:rFonts w:ascii="Arial" w:hAnsi="Arial" w:cs="Arial"/>
          <w:b/>
          <w:color w:val="000000"/>
          <w:sz w:val="20"/>
          <w:szCs w:val="20"/>
          <w:shd w:val="clear" w:color="auto" w:fill="FFFFFF"/>
        </w:rPr>
        <w:t xml:space="preserve">Representação da Lei n° 8.666/93. </w:t>
      </w:r>
      <w:r w:rsidRPr="00927338">
        <w:rPr>
          <w:rFonts w:ascii="Arial" w:hAnsi="Arial" w:cs="Arial"/>
          <w:b/>
          <w:iCs/>
          <w:sz w:val="20"/>
          <w:szCs w:val="20"/>
        </w:rPr>
        <w:t>Descrição insuficiente do objeto. Restrição indevida da competitividade. Violação de normas básicas da licitação.</w:t>
      </w:r>
    </w:p>
    <w:p w:rsidR="00B766D9" w:rsidRDefault="001C0F23" w:rsidP="00F01660">
      <w:pPr>
        <w:autoSpaceDE w:val="0"/>
        <w:autoSpaceDN w:val="0"/>
        <w:adjustRightInd w:val="0"/>
        <w:spacing w:after="0"/>
        <w:jc w:val="both"/>
        <w:rPr>
          <w:rFonts w:ascii="Arial" w:hAnsi="Arial" w:cs="Arial"/>
          <w:sz w:val="20"/>
          <w:szCs w:val="20"/>
        </w:rPr>
      </w:pPr>
      <w:r w:rsidRPr="00B766D9">
        <w:rPr>
          <w:rFonts w:ascii="Arial" w:hAnsi="Arial" w:cs="Arial"/>
          <w:sz w:val="20"/>
          <w:szCs w:val="20"/>
        </w:rPr>
        <w:lastRenderedPageBreak/>
        <w:t>Conclui-se que faltou à Administração a especificação de informações técnicas cruciais à perfeita identificação do objeto licitado, sendo que aquelas que foram utilizadas no Edital são secundárias e resultaram em restrição indevida da competitividade do certame, com indícios de direcionamento, o que viola o art. 40, I, da Lei nº 8.666/93.</w:t>
      </w:r>
      <w:r w:rsidR="0035203F" w:rsidRPr="00B766D9">
        <w:rPr>
          <w:rFonts w:ascii="Arial" w:hAnsi="Arial" w:cs="Arial"/>
          <w:sz w:val="20"/>
          <w:szCs w:val="20"/>
        </w:rPr>
        <w:t xml:space="preserve"> </w:t>
      </w:r>
    </w:p>
    <w:p w:rsidR="00B766D9" w:rsidRDefault="00B766D9" w:rsidP="00F01660">
      <w:pPr>
        <w:autoSpaceDE w:val="0"/>
        <w:autoSpaceDN w:val="0"/>
        <w:adjustRightInd w:val="0"/>
        <w:spacing w:after="0"/>
        <w:jc w:val="both"/>
        <w:rPr>
          <w:rFonts w:ascii="Arial" w:hAnsi="Arial" w:cs="Arial"/>
          <w:sz w:val="20"/>
          <w:szCs w:val="20"/>
        </w:rPr>
      </w:pPr>
    </w:p>
    <w:p w:rsidR="001C0F23" w:rsidRPr="00B766D9" w:rsidRDefault="0035203F" w:rsidP="00F01660">
      <w:pPr>
        <w:autoSpaceDE w:val="0"/>
        <w:autoSpaceDN w:val="0"/>
        <w:adjustRightInd w:val="0"/>
        <w:spacing w:after="0"/>
        <w:jc w:val="both"/>
        <w:rPr>
          <w:rFonts w:ascii="Arial" w:hAnsi="Arial" w:cs="Arial"/>
          <w:sz w:val="20"/>
          <w:szCs w:val="20"/>
        </w:rPr>
      </w:pPr>
      <w:r w:rsidRPr="00B766D9">
        <w:rPr>
          <w:rFonts w:ascii="Arial" w:hAnsi="Arial" w:cs="Arial"/>
          <w:sz w:val="20"/>
          <w:szCs w:val="20"/>
        </w:rPr>
        <w:t>Assim, as exigências inseridas no Edital foram</w:t>
      </w:r>
      <w:r w:rsidR="00B766D9">
        <w:rPr>
          <w:rFonts w:ascii="Arial" w:hAnsi="Arial" w:cs="Arial"/>
          <w:sz w:val="20"/>
          <w:szCs w:val="20"/>
        </w:rPr>
        <w:t xml:space="preserve"> </w:t>
      </w:r>
      <w:r w:rsidRPr="00B766D9">
        <w:rPr>
          <w:rFonts w:ascii="Arial" w:hAnsi="Arial" w:cs="Arial"/>
          <w:sz w:val="20"/>
          <w:szCs w:val="20"/>
        </w:rPr>
        <w:t xml:space="preserve">desproporcionais, </w:t>
      </w:r>
      <w:r w:rsidR="00B766D9">
        <w:rPr>
          <w:rFonts w:ascii="Arial" w:hAnsi="Arial" w:cs="Arial"/>
          <w:sz w:val="20"/>
          <w:szCs w:val="20"/>
        </w:rPr>
        <w:t xml:space="preserve">bem como </w:t>
      </w:r>
      <w:r w:rsidRPr="00B766D9">
        <w:rPr>
          <w:rFonts w:ascii="Arial" w:hAnsi="Arial" w:cs="Arial"/>
          <w:sz w:val="20"/>
          <w:szCs w:val="20"/>
        </w:rPr>
        <w:t>as especificações técnicas do maquinário a ser adquirido foram</w:t>
      </w:r>
      <w:r w:rsidR="00B766D9">
        <w:rPr>
          <w:rFonts w:ascii="Arial" w:hAnsi="Arial" w:cs="Arial"/>
          <w:sz w:val="20"/>
          <w:szCs w:val="20"/>
        </w:rPr>
        <w:t xml:space="preserve"> </w:t>
      </w:r>
      <w:r w:rsidRPr="00B766D9">
        <w:rPr>
          <w:rFonts w:ascii="Arial" w:hAnsi="Arial" w:cs="Arial"/>
          <w:sz w:val="20"/>
          <w:szCs w:val="20"/>
        </w:rPr>
        <w:t>insuficientes para a definição do objeto, de modo que houve efetiva restrição da</w:t>
      </w:r>
      <w:r w:rsidR="00B766D9">
        <w:rPr>
          <w:rFonts w:ascii="Arial" w:hAnsi="Arial" w:cs="Arial"/>
          <w:sz w:val="20"/>
          <w:szCs w:val="20"/>
        </w:rPr>
        <w:t xml:space="preserve"> </w:t>
      </w:r>
      <w:r w:rsidRPr="00B766D9">
        <w:rPr>
          <w:rFonts w:ascii="Arial" w:hAnsi="Arial" w:cs="Arial"/>
          <w:sz w:val="20"/>
          <w:szCs w:val="20"/>
        </w:rPr>
        <w:t>competitividade do certame e violação às diretrizes da legislação sobre licitação,</w:t>
      </w:r>
      <w:r w:rsidR="00B766D9">
        <w:rPr>
          <w:rFonts w:ascii="Arial" w:hAnsi="Arial" w:cs="Arial"/>
          <w:sz w:val="20"/>
          <w:szCs w:val="20"/>
        </w:rPr>
        <w:t xml:space="preserve"> </w:t>
      </w:r>
      <w:r w:rsidRPr="00B766D9">
        <w:rPr>
          <w:rFonts w:ascii="Arial" w:hAnsi="Arial" w:cs="Arial"/>
          <w:sz w:val="20"/>
          <w:szCs w:val="20"/>
        </w:rPr>
        <w:t>com possível direcionamento do certame</w:t>
      </w:r>
      <w:r w:rsidR="00B766D9" w:rsidRPr="00B766D9">
        <w:rPr>
          <w:rFonts w:ascii="Arial" w:hAnsi="Arial" w:cs="Arial"/>
          <w:sz w:val="20"/>
          <w:szCs w:val="20"/>
        </w:rPr>
        <w:t>.</w:t>
      </w:r>
    </w:p>
    <w:p w:rsidR="001C0F23" w:rsidRDefault="001C0F23" w:rsidP="00F01660">
      <w:pPr>
        <w:autoSpaceDE w:val="0"/>
        <w:autoSpaceDN w:val="0"/>
        <w:adjustRightInd w:val="0"/>
        <w:spacing w:after="0"/>
        <w:jc w:val="both"/>
        <w:rPr>
          <w:rFonts w:ascii="Arial" w:hAnsi="Arial" w:cs="Arial"/>
          <w:sz w:val="20"/>
          <w:szCs w:val="20"/>
        </w:rPr>
      </w:pPr>
    </w:p>
    <w:p w:rsidR="00B766D9" w:rsidRDefault="00B766D9" w:rsidP="00F01660">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337161/13 - </w:t>
      </w:r>
      <w:hyperlink r:id="rId15" w:history="1">
        <w:r w:rsidRPr="000126A0">
          <w:rPr>
            <w:rStyle w:val="Hyperlink"/>
            <w:rFonts w:ascii="Arial" w:hAnsi="Arial" w:cs="Arial"/>
            <w:sz w:val="20"/>
            <w:szCs w:val="20"/>
          </w:rPr>
          <w:t>Acórdão n°</w:t>
        </w:r>
        <w:r w:rsidR="00A96790">
          <w:rPr>
            <w:rStyle w:val="Hyperlink"/>
            <w:rFonts w:ascii="Arial" w:hAnsi="Arial" w:cs="Arial"/>
            <w:sz w:val="20"/>
            <w:szCs w:val="20"/>
          </w:rPr>
          <w:t xml:space="preserve"> </w:t>
        </w:r>
        <w:r w:rsidRPr="000126A0">
          <w:rPr>
            <w:rStyle w:val="Hyperlink"/>
            <w:rFonts w:ascii="Arial" w:hAnsi="Arial" w:cs="Arial"/>
            <w:sz w:val="20"/>
            <w:szCs w:val="20"/>
          </w:rPr>
          <w:t>1710/17 - Tribunal Pleno</w:t>
        </w:r>
      </w:hyperlink>
      <w:r>
        <w:rPr>
          <w:rFonts w:ascii="Arial" w:hAnsi="Arial" w:cs="Arial"/>
          <w:sz w:val="20"/>
          <w:szCs w:val="20"/>
        </w:rPr>
        <w:t xml:space="preserve"> </w:t>
      </w:r>
      <w:r w:rsidR="000126A0">
        <w:rPr>
          <w:rFonts w:ascii="Arial" w:hAnsi="Arial" w:cs="Arial"/>
          <w:sz w:val="20"/>
          <w:szCs w:val="20"/>
        </w:rPr>
        <w:t>-</w:t>
      </w:r>
      <w:r>
        <w:rPr>
          <w:rFonts w:ascii="Arial" w:hAnsi="Arial" w:cs="Arial"/>
          <w:sz w:val="20"/>
          <w:szCs w:val="20"/>
        </w:rPr>
        <w:t xml:space="preserve"> </w:t>
      </w:r>
      <w:r w:rsidR="000126A0">
        <w:rPr>
          <w:rFonts w:ascii="Arial" w:hAnsi="Arial" w:cs="Arial"/>
          <w:sz w:val="20"/>
          <w:szCs w:val="20"/>
        </w:rPr>
        <w:t>Rel. Conselheiro Ivens Zschoerper Linhares.</w:t>
      </w:r>
    </w:p>
    <w:p w:rsidR="001C0F23" w:rsidRDefault="001C0F23" w:rsidP="00F01660">
      <w:pPr>
        <w:autoSpaceDE w:val="0"/>
        <w:autoSpaceDN w:val="0"/>
        <w:adjustRightInd w:val="0"/>
        <w:spacing w:after="0"/>
        <w:jc w:val="both"/>
        <w:rPr>
          <w:rFonts w:ascii="Arial" w:hAnsi="Arial" w:cs="Arial"/>
          <w:sz w:val="20"/>
          <w:szCs w:val="20"/>
        </w:rPr>
      </w:pPr>
    </w:p>
    <w:p w:rsidR="00076184" w:rsidRPr="002571B4" w:rsidRDefault="00157D64" w:rsidP="00F01660">
      <w:pPr>
        <w:pStyle w:val="PargrafodaLista"/>
        <w:numPr>
          <w:ilvl w:val="0"/>
          <w:numId w:val="12"/>
        </w:numPr>
        <w:tabs>
          <w:tab w:val="left" w:pos="284"/>
        </w:tabs>
        <w:autoSpaceDE w:val="0"/>
        <w:autoSpaceDN w:val="0"/>
        <w:adjustRightInd w:val="0"/>
        <w:spacing w:after="0"/>
        <w:ind w:left="0" w:firstLine="0"/>
        <w:contextualSpacing w:val="0"/>
        <w:jc w:val="both"/>
        <w:rPr>
          <w:rFonts w:ascii="Arial" w:hAnsi="Arial" w:cs="Arial"/>
          <w:b/>
          <w:iCs/>
          <w:sz w:val="20"/>
          <w:szCs w:val="20"/>
        </w:rPr>
      </w:pPr>
      <w:r w:rsidRPr="002571B4">
        <w:rPr>
          <w:rFonts w:ascii="Arial" w:hAnsi="Arial" w:cs="Arial"/>
          <w:b/>
          <w:iCs/>
          <w:sz w:val="20"/>
          <w:szCs w:val="20"/>
        </w:rPr>
        <w:t xml:space="preserve">Recurso de Revista. </w:t>
      </w:r>
      <w:r w:rsidR="002450AA" w:rsidRPr="002571B4">
        <w:rPr>
          <w:rFonts w:ascii="Arial" w:hAnsi="Arial" w:cs="Arial"/>
          <w:b/>
          <w:iCs/>
          <w:sz w:val="20"/>
          <w:szCs w:val="20"/>
        </w:rPr>
        <w:t>A</w:t>
      </w:r>
      <w:r w:rsidRPr="002571B4">
        <w:rPr>
          <w:rFonts w:ascii="Arial" w:hAnsi="Arial" w:cs="Arial"/>
          <w:b/>
          <w:iCs/>
          <w:sz w:val="20"/>
          <w:szCs w:val="20"/>
        </w:rPr>
        <w:t xml:space="preserve">lerta de pessoal. Ausência motivos para justificar a revisão do cálculo de gastos de pessoal ou afastar a emissão do alerta. </w:t>
      </w:r>
      <w:r w:rsidR="00B51290" w:rsidRPr="002571B4">
        <w:rPr>
          <w:rFonts w:ascii="Arial" w:hAnsi="Arial" w:cs="Arial"/>
          <w:b/>
          <w:iCs/>
          <w:sz w:val="20"/>
          <w:szCs w:val="20"/>
        </w:rPr>
        <w:t>V</w:t>
      </w:r>
      <w:r w:rsidRPr="002571B4">
        <w:rPr>
          <w:rFonts w:ascii="Arial" w:hAnsi="Arial" w:cs="Arial"/>
          <w:b/>
          <w:iCs/>
          <w:sz w:val="20"/>
          <w:szCs w:val="20"/>
        </w:rPr>
        <w:t>edações d</w:t>
      </w:r>
      <w:r w:rsidR="00B51290" w:rsidRPr="002571B4">
        <w:rPr>
          <w:rFonts w:ascii="Arial" w:hAnsi="Arial" w:cs="Arial"/>
          <w:b/>
          <w:iCs/>
          <w:sz w:val="20"/>
          <w:szCs w:val="20"/>
        </w:rPr>
        <w:t xml:space="preserve">a </w:t>
      </w:r>
      <w:r w:rsidRPr="002571B4">
        <w:rPr>
          <w:rFonts w:ascii="Arial" w:hAnsi="Arial" w:cs="Arial"/>
          <w:b/>
          <w:iCs/>
          <w:sz w:val="20"/>
          <w:szCs w:val="20"/>
        </w:rPr>
        <w:t>LC 101/00</w:t>
      </w:r>
      <w:r w:rsidR="00B51290" w:rsidRPr="002571B4">
        <w:rPr>
          <w:rFonts w:ascii="Arial" w:hAnsi="Arial" w:cs="Arial"/>
          <w:b/>
          <w:iCs/>
          <w:sz w:val="20"/>
          <w:szCs w:val="20"/>
        </w:rPr>
        <w:t>. Contratação de Pessoal</w:t>
      </w:r>
      <w:r w:rsidR="00BA3317" w:rsidRPr="002571B4">
        <w:rPr>
          <w:rFonts w:ascii="Arial" w:hAnsi="Arial" w:cs="Arial"/>
          <w:b/>
          <w:iCs/>
          <w:sz w:val="20"/>
          <w:szCs w:val="20"/>
        </w:rPr>
        <w:t>. Condicionantes</w:t>
      </w:r>
      <w:r w:rsidR="00B51290" w:rsidRPr="002571B4">
        <w:rPr>
          <w:rFonts w:ascii="Arial" w:hAnsi="Arial" w:cs="Arial"/>
          <w:b/>
          <w:iCs/>
          <w:sz w:val="20"/>
          <w:szCs w:val="20"/>
        </w:rPr>
        <w:t xml:space="preserve">. </w:t>
      </w:r>
      <w:r w:rsidRPr="002571B4">
        <w:rPr>
          <w:rFonts w:ascii="Arial" w:hAnsi="Arial" w:cs="Arial"/>
          <w:b/>
          <w:iCs/>
          <w:sz w:val="20"/>
          <w:szCs w:val="20"/>
        </w:rPr>
        <w:t>Uniformização de Jurisprudência nº 11 TCE-PR.</w:t>
      </w:r>
    </w:p>
    <w:p w:rsidR="00003C03" w:rsidRDefault="00003C03" w:rsidP="00F01660">
      <w:pPr>
        <w:autoSpaceDE w:val="0"/>
        <w:autoSpaceDN w:val="0"/>
        <w:adjustRightInd w:val="0"/>
        <w:spacing w:after="0"/>
        <w:jc w:val="both"/>
        <w:rPr>
          <w:rFonts w:ascii="Arial" w:hAnsi="Arial" w:cs="Arial"/>
          <w:b/>
          <w:iCs/>
          <w:sz w:val="20"/>
          <w:szCs w:val="20"/>
        </w:rPr>
      </w:pPr>
    </w:p>
    <w:p w:rsidR="00A92FBB" w:rsidRDefault="00245F7B" w:rsidP="00F01660">
      <w:pPr>
        <w:autoSpaceDE w:val="0"/>
        <w:autoSpaceDN w:val="0"/>
        <w:adjustRightInd w:val="0"/>
        <w:spacing w:after="0"/>
        <w:jc w:val="both"/>
        <w:rPr>
          <w:rFonts w:ascii="Arial" w:hAnsi="Arial" w:cs="Arial"/>
          <w:sz w:val="20"/>
          <w:szCs w:val="20"/>
        </w:rPr>
      </w:pPr>
      <w:r>
        <w:rPr>
          <w:rFonts w:ascii="Arial" w:hAnsi="Arial" w:cs="Arial"/>
          <w:sz w:val="20"/>
          <w:szCs w:val="20"/>
        </w:rPr>
        <w:t>M</w:t>
      </w:r>
      <w:r w:rsidR="000B11D2" w:rsidRPr="00245F7B">
        <w:rPr>
          <w:rFonts w:ascii="Arial" w:hAnsi="Arial" w:cs="Arial"/>
          <w:sz w:val="20"/>
          <w:szCs w:val="20"/>
        </w:rPr>
        <w:t>antém-se hígido o alerta emitido com base no art. 59,</w:t>
      </w:r>
      <w:r>
        <w:rPr>
          <w:rFonts w:ascii="Arial" w:hAnsi="Arial" w:cs="Arial"/>
          <w:sz w:val="20"/>
          <w:szCs w:val="20"/>
        </w:rPr>
        <w:t xml:space="preserve"> </w:t>
      </w:r>
      <w:r w:rsidR="000B11D2" w:rsidRPr="00245F7B">
        <w:rPr>
          <w:rFonts w:ascii="Arial" w:hAnsi="Arial" w:cs="Arial"/>
          <w:sz w:val="20"/>
          <w:szCs w:val="20"/>
        </w:rPr>
        <w:t>§ 1°, II, da LC 101/00 (Lei de Responsabilidade Fiscal), com a aplicação automática</w:t>
      </w:r>
      <w:r w:rsidRPr="00245F7B">
        <w:rPr>
          <w:rFonts w:ascii="Arial" w:hAnsi="Arial" w:cs="Arial"/>
          <w:sz w:val="20"/>
          <w:szCs w:val="20"/>
        </w:rPr>
        <w:t xml:space="preserve"> das vedações e providências previstas nos art. 22, § único,</w:t>
      </w:r>
      <w:r w:rsidR="00F662BC">
        <w:rPr>
          <w:rFonts w:ascii="Arial" w:hAnsi="Arial" w:cs="Arial"/>
          <w:sz w:val="20"/>
          <w:szCs w:val="20"/>
        </w:rPr>
        <w:t xml:space="preserve"> </w:t>
      </w:r>
      <w:r w:rsidRPr="00245F7B">
        <w:rPr>
          <w:rFonts w:ascii="Arial" w:hAnsi="Arial" w:cs="Arial"/>
          <w:sz w:val="20"/>
          <w:szCs w:val="20"/>
        </w:rPr>
        <w:t>e 23 da LC 101/00,</w:t>
      </w:r>
      <w:r>
        <w:rPr>
          <w:rFonts w:ascii="Arial" w:hAnsi="Arial" w:cs="Arial"/>
          <w:sz w:val="20"/>
          <w:szCs w:val="20"/>
        </w:rPr>
        <w:t xml:space="preserve"> </w:t>
      </w:r>
      <w:r w:rsidRPr="00245F7B">
        <w:rPr>
          <w:rFonts w:ascii="Arial" w:hAnsi="Arial" w:cs="Arial"/>
          <w:sz w:val="20"/>
          <w:szCs w:val="20"/>
        </w:rPr>
        <w:t>visto que decorrem da própria lei, não sendo necessário qualquer ato de ordem</w:t>
      </w:r>
      <w:r>
        <w:rPr>
          <w:rFonts w:ascii="Arial" w:hAnsi="Arial" w:cs="Arial"/>
          <w:sz w:val="20"/>
          <w:szCs w:val="20"/>
        </w:rPr>
        <w:t xml:space="preserve"> </w:t>
      </w:r>
      <w:r w:rsidRPr="00245F7B">
        <w:rPr>
          <w:rFonts w:ascii="Arial" w:hAnsi="Arial" w:cs="Arial"/>
          <w:sz w:val="20"/>
          <w:szCs w:val="20"/>
        </w:rPr>
        <w:t>deste Tribunal de Contas.</w:t>
      </w:r>
    </w:p>
    <w:p w:rsidR="00F662BC" w:rsidRDefault="00245F7B" w:rsidP="00F01660">
      <w:pPr>
        <w:autoSpaceDE w:val="0"/>
        <w:autoSpaceDN w:val="0"/>
        <w:adjustRightInd w:val="0"/>
        <w:spacing w:after="0"/>
        <w:jc w:val="both"/>
        <w:rPr>
          <w:rFonts w:ascii="Arial" w:hAnsi="Arial" w:cs="Arial"/>
          <w:sz w:val="20"/>
          <w:szCs w:val="20"/>
        </w:rPr>
      </w:pPr>
      <w:r w:rsidRPr="00245F7B">
        <w:rPr>
          <w:rFonts w:ascii="Arial" w:hAnsi="Arial" w:cs="Arial"/>
          <w:sz w:val="20"/>
          <w:szCs w:val="20"/>
        </w:rPr>
        <w:t xml:space="preserve"> </w:t>
      </w:r>
    </w:p>
    <w:p w:rsidR="00003C03" w:rsidRDefault="00245F7B" w:rsidP="00F01660">
      <w:pPr>
        <w:autoSpaceDE w:val="0"/>
        <w:autoSpaceDN w:val="0"/>
        <w:adjustRightInd w:val="0"/>
        <w:spacing w:after="0"/>
        <w:jc w:val="both"/>
        <w:rPr>
          <w:rFonts w:ascii="Arial" w:hAnsi="Arial" w:cs="Arial"/>
          <w:sz w:val="20"/>
          <w:szCs w:val="20"/>
        </w:rPr>
      </w:pPr>
      <w:r w:rsidRPr="00245F7B">
        <w:rPr>
          <w:rFonts w:ascii="Arial" w:hAnsi="Arial" w:cs="Arial"/>
          <w:sz w:val="20"/>
          <w:szCs w:val="20"/>
        </w:rPr>
        <w:t xml:space="preserve">Da mesma forma, </w:t>
      </w:r>
      <w:proofErr w:type="gramStart"/>
      <w:r w:rsidRPr="00245F7B">
        <w:rPr>
          <w:rFonts w:ascii="Arial" w:hAnsi="Arial" w:cs="Arial"/>
          <w:sz w:val="20"/>
          <w:szCs w:val="20"/>
        </w:rPr>
        <w:t>vale</w:t>
      </w:r>
      <w:proofErr w:type="gramEnd"/>
      <w:r w:rsidRPr="00245F7B">
        <w:rPr>
          <w:rFonts w:ascii="Arial" w:hAnsi="Arial" w:cs="Arial"/>
          <w:sz w:val="20"/>
          <w:szCs w:val="20"/>
        </w:rPr>
        <w:t xml:space="preserve"> destacar que o Município também deve</w:t>
      </w:r>
      <w:r w:rsidR="002659BA">
        <w:rPr>
          <w:rFonts w:ascii="Arial" w:hAnsi="Arial" w:cs="Arial"/>
          <w:sz w:val="20"/>
          <w:szCs w:val="20"/>
        </w:rPr>
        <w:t xml:space="preserve"> </w:t>
      </w:r>
      <w:r w:rsidRPr="00245F7B">
        <w:rPr>
          <w:rFonts w:ascii="Arial" w:hAnsi="Arial" w:cs="Arial"/>
          <w:sz w:val="20"/>
          <w:szCs w:val="20"/>
        </w:rPr>
        <w:t xml:space="preserve">seguir a orientação fixada na </w:t>
      </w:r>
      <w:r w:rsidRPr="002659BA">
        <w:rPr>
          <w:rFonts w:ascii="Arial" w:hAnsi="Arial" w:cs="Arial"/>
          <w:bCs/>
          <w:sz w:val="20"/>
          <w:szCs w:val="20"/>
        </w:rPr>
        <w:t>Uniformização de Jurisprudência nº 11</w:t>
      </w:r>
      <w:r w:rsidRPr="00245F7B">
        <w:rPr>
          <w:rFonts w:ascii="Arial" w:hAnsi="Arial" w:cs="Arial"/>
          <w:b/>
          <w:bCs/>
          <w:sz w:val="20"/>
          <w:szCs w:val="20"/>
        </w:rPr>
        <w:t xml:space="preserve"> </w:t>
      </w:r>
      <w:r w:rsidRPr="00245F7B">
        <w:rPr>
          <w:rFonts w:ascii="Arial" w:hAnsi="Arial" w:cs="Arial"/>
          <w:sz w:val="20"/>
          <w:szCs w:val="20"/>
        </w:rPr>
        <w:t>deste</w:t>
      </w:r>
      <w:r w:rsidR="002659BA">
        <w:rPr>
          <w:rFonts w:ascii="Arial" w:hAnsi="Arial" w:cs="Arial"/>
          <w:sz w:val="20"/>
          <w:szCs w:val="20"/>
        </w:rPr>
        <w:t xml:space="preserve"> </w:t>
      </w:r>
      <w:r w:rsidRPr="00245F7B">
        <w:rPr>
          <w:rFonts w:ascii="Arial" w:hAnsi="Arial" w:cs="Arial"/>
          <w:sz w:val="20"/>
          <w:szCs w:val="20"/>
        </w:rPr>
        <w:t>Tribunal de Contas do Estado do Paraná, que estatuiu que a Administração Pública</w:t>
      </w:r>
      <w:r w:rsidR="00B51290">
        <w:rPr>
          <w:rFonts w:ascii="Arial" w:hAnsi="Arial" w:cs="Arial"/>
          <w:sz w:val="20"/>
          <w:szCs w:val="20"/>
        </w:rPr>
        <w:t xml:space="preserve"> </w:t>
      </w:r>
      <w:r w:rsidRPr="00245F7B">
        <w:rPr>
          <w:rFonts w:ascii="Arial" w:hAnsi="Arial" w:cs="Arial"/>
          <w:sz w:val="20"/>
          <w:szCs w:val="20"/>
        </w:rPr>
        <w:t>que esteja com o limite de despesa com pessoal extrapolado, poderá contratar</w:t>
      </w:r>
      <w:r w:rsidR="002659BA">
        <w:rPr>
          <w:rFonts w:ascii="Arial" w:hAnsi="Arial" w:cs="Arial"/>
          <w:sz w:val="20"/>
          <w:szCs w:val="20"/>
        </w:rPr>
        <w:t xml:space="preserve"> </w:t>
      </w:r>
      <w:r w:rsidRPr="00245F7B">
        <w:rPr>
          <w:rFonts w:ascii="Arial" w:hAnsi="Arial" w:cs="Arial"/>
          <w:sz w:val="20"/>
          <w:szCs w:val="20"/>
        </w:rPr>
        <w:t>pessoal temporário tão-somente para fins de reposição (aposentadoria, falecimento,</w:t>
      </w:r>
      <w:r w:rsidR="002659BA">
        <w:rPr>
          <w:rFonts w:ascii="Arial" w:hAnsi="Arial" w:cs="Arial"/>
          <w:sz w:val="20"/>
          <w:szCs w:val="20"/>
        </w:rPr>
        <w:t xml:space="preserve"> </w:t>
      </w:r>
      <w:r w:rsidRPr="00245F7B">
        <w:rPr>
          <w:rFonts w:ascii="Arial" w:hAnsi="Arial" w:cs="Arial"/>
          <w:sz w:val="20"/>
          <w:szCs w:val="20"/>
        </w:rPr>
        <w:t>exoneração, demissão e demais espécies de vacâncias de cargos) nas áreas de</w:t>
      </w:r>
      <w:r w:rsidR="002659BA">
        <w:rPr>
          <w:rFonts w:ascii="Arial" w:hAnsi="Arial" w:cs="Arial"/>
          <w:sz w:val="20"/>
          <w:szCs w:val="20"/>
        </w:rPr>
        <w:t xml:space="preserve"> </w:t>
      </w:r>
      <w:r w:rsidRPr="00245F7B">
        <w:rPr>
          <w:rFonts w:ascii="Arial" w:hAnsi="Arial" w:cs="Arial"/>
          <w:sz w:val="20"/>
          <w:szCs w:val="20"/>
        </w:rPr>
        <w:t>educação, saúde e segurança, sendo nula de pleno direito qualquer outro ato que</w:t>
      </w:r>
      <w:r w:rsidR="002659BA">
        <w:rPr>
          <w:rFonts w:ascii="Arial" w:hAnsi="Arial" w:cs="Arial"/>
          <w:sz w:val="20"/>
          <w:szCs w:val="20"/>
        </w:rPr>
        <w:t xml:space="preserve"> </w:t>
      </w:r>
      <w:r w:rsidRPr="00245F7B">
        <w:rPr>
          <w:rFonts w:ascii="Arial" w:hAnsi="Arial" w:cs="Arial"/>
          <w:sz w:val="20"/>
          <w:szCs w:val="20"/>
        </w:rPr>
        <w:t>provoque aumento de despesa com pessoal.</w:t>
      </w:r>
    </w:p>
    <w:p w:rsidR="00A92FBB" w:rsidRDefault="00A92FBB" w:rsidP="00F01660">
      <w:pPr>
        <w:autoSpaceDE w:val="0"/>
        <w:autoSpaceDN w:val="0"/>
        <w:adjustRightInd w:val="0"/>
        <w:spacing w:after="0"/>
        <w:jc w:val="both"/>
        <w:rPr>
          <w:rFonts w:ascii="Arial" w:hAnsi="Arial" w:cs="Arial"/>
          <w:sz w:val="20"/>
          <w:szCs w:val="20"/>
        </w:rPr>
      </w:pPr>
    </w:p>
    <w:p w:rsidR="00A92FBB" w:rsidRDefault="00A92FBB" w:rsidP="00F01660">
      <w:pPr>
        <w:autoSpaceDE w:val="0"/>
        <w:autoSpaceDN w:val="0"/>
        <w:adjustRightInd w:val="0"/>
        <w:spacing w:after="0"/>
        <w:jc w:val="both"/>
        <w:rPr>
          <w:rFonts w:ascii="Arial" w:hAnsi="Arial" w:cs="Arial"/>
          <w:sz w:val="20"/>
          <w:szCs w:val="20"/>
        </w:rPr>
      </w:pPr>
      <w:r>
        <w:rPr>
          <w:rFonts w:ascii="Arial" w:hAnsi="Arial" w:cs="Arial"/>
          <w:sz w:val="20"/>
          <w:szCs w:val="20"/>
        </w:rPr>
        <w:t>Processo n°</w:t>
      </w:r>
      <w:r w:rsidR="0043728E">
        <w:rPr>
          <w:rFonts w:ascii="Arial" w:hAnsi="Arial" w:cs="Arial"/>
          <w:sz w:val="20"/>
          <w:szCs w:val="20"/>
        </w:rPr>
        <w:t xml:space="preserve"> 702506/16 - </w:t>
      </w:r>
      <w:hyperlink r:id="rId16" w:history="1">
        <w:r w:rsidR="0043728E" w:rsidRPr="00E921C1">
          <w:rPr>
            <w:rStyle w:val="Hyperlink"/>
            <w:rFonts w:ascii="Arial" w:hAnsi="Arial" w:cs="Arial"/>
            <w:sz w:val="20"/>
            <w:szCs w:val="20"/>
          </w:rPr>
          <w:t>Acórdão n° 1706/17 - Tribunal Pleno</w:t>
        </w:r>
      </w:hyperlink>
      <w:r w:rsidR="0043728E">
        <w:rPr>
          <w:rFonts w:ascii="Arial" w:hAnsi="Arial" w:cs="Arial"/>
          <w:sz w:val="20"/>
          <w:szCs w:val="20"/>
        </w:rPr>
        <w:t xml:space="preserve"> - Rel. Conselheiro Ivens Zschoerper Linhares. </w:t>
      </w:r>
    </w:p>
    <w:p w:rsidR="00EA703E" w:rsidRDefault="00EA703E" w:rsidP="00F01660">
      <w:pPr>
        <w:autoSpaceDE w:val="0"/>
        <w:autoSpaceDN w:val="0"/>
        <w:adjustRightInd w:val="0"/>
        <w:spacing w:after="0"/>
        <w:jc w:val="both"/>
        <w:rPr>
          <w:rFonts w:ascii="Arial" w:hAnsi="Arial" w:cs="Arial"/>
          <w:sz w:val="20"/>
          <w:szCs w:val="20"/>
        </w:rPr>
      </w:pPr>
    </w:p>
    <w:p w:rsidR="00EA703E" w:rsidRPr="00BE5859" w:rsidRDefault="00EA703E" w:rsidP="00F01660">
      <w:pPr>
        <w:pStyle w:val="PargrafodaLista"/>
        <w:numPr>
          <w:ilvl w:val="0"/>
          <w:numId w:val="12"/>
        </w:numPr>
        <w:tabs>
          <w:tab w:val="left" w:pos="284"/>
        </w:tabs>
        <w:autoSpaceDE w:val="0"/>
        <w:autoSpaceDN w:val="0"/>
        <w:adjustRightInd w:val="0"/>
        <w:spacing w:after="0"/>
        <w:ind w:left="0" w:firstLine="0"/>
        <w:contextualSpacing w:val="0"/>
        <w:jc w:val="both"/>
        <w:rPr>
          <w:rFonts w:ascii="Arial" w:hAnsi="Arial" w:cs="Arial"/>
          <w:b/>
          <w:color w:val="000000"/>
          <w:sz w:val="20"/>
          <w:szCs w:val="20"/>
          <w:shd w:val="clear" w:color="auto" w:fill="FFFFFF"/>
        </w:rPr>
      </w:pPr>
      <w:r w:rsidRPr="00BE5859">
        <w:rPr>
          <w:rFonts w:ascii="Arial" w:hAnsi="Arial" w:cs="Arial"/>
          <w:b/>
          <w:sz w:val="20"/>
          <w:szCs w:val="20"/>
        </w:rPr>
        <w:t xml:space="preserve">Exceção de Suspeição e Impedimento. Alegação de suspeição. Excipientes </w:t>
      </w:r>
      <w:r w:rsidR="008B38A4" w:rsidRPr="00BE5859">
        <w:rPr>
          <w:rFonts w:ascii="Arial" w:hAnsi="Arial" w:cs="Arial"/>
          <w:b/>
          <w:sz w:val="20"/>
          <w:szCs w:val="20"/>
        </w:rPr>
        <w:t>D</w:t>
      </w:r>
      <w:r w:rsidRPr="00BE5859">
        <w:rPr>
          <w:rFonts w:ascii="Arial" w:hAnsi="Arial" w:cs="Arial"/>
          <w:b/>
          <w:sz w:val="20"/>
          <w:szCs w:val="20"/>
        </w:rPr>
        <w:t>eputados estaduais. Ilegitimidade passiva superada. Ausência de amizade íntima.</w:t>
      </w:r>
      <w:r w:rsidR="00D61FBD" w:rsidRPr="00BE5859">
        <w:rPr>
          <w:rFonts w:ascii="Arial" w:hAnsi="Arial" w:cs="Arial"/>
          <w:b/>
          <w:sz w:val="20"/>
          <w:szCs w:val="20"/>
        </w:rPr>
        <w:t xml:space="preserve"> </w:t>
      </w:r>
      <w:r w:rsidR="008B38A4" w:rsidRPr="00BE5859">
        <w:rPr>
          <w:rFonts w:ascii="Arial" w:hAnsi="Arial" w:cs="Arial"/>
          <w:b/>
          <w:sz w:val="20"/>
          <w:szCs w:val="20"/>
        </w:rPr>
        <w:t>H</w:t>
      </w:r>
      <w:r w:rsidRPr="00BE5859">
        <w:rPr>
          <w:rFonts w:ascii="Arial" w:hAnsi="Arial" w:cs="Arial"/>
          <w:b/>
          <w:sz w:val="20"/>
          <w:szCs w:val="20"/>
        </w:rPr>
        <w:t xml:space="preserve">ipóteses taxativamente previstas na legislação. </w:t>
      </w:r>
      <w:r w:rsidR="008B38A4" w:rsidRPr="00BE5859">
        <w:rPr>
          <w:rFonts w:ascii="Arial" w:hAnsi="Arial" w:cs="Arial"/>
          <w:b/>
          <w:sz w:val="20"/>
          <w:szCs w:val="20"/>
        </w:rPr>
        <w:t xml:space="preserve">Rejeição. </w:t>
      </w:r>
    </w:p>
    <w:p w:rsidR="00157D64" w:rsidRDefault="00157D64" w:rsidP="00F01660">
      <w:pPr>
        <w:autoSpaceDE w:val="0"/>
        <w:autoSpaceDN w:val="0"/>
        <w:adjustRightInd w:val="0"/>
        <w:spacing w:after="0"/>
        <w:jc w:val="both"/>
        <w:rPr>
          <w:rFonts w:ascii="Arial" w:hAnsi="Arial" w:cs="Arial"/>
          <w:b/>
          <w:color w:val="000000"/>
          <w:sz w:val="20"/>
          <w:szCs w:val="20"/>
          <w:shd w:val="clear" w:color="auto" w:fill="FFFFFF"/>
        </w:rPr>
      </w:pPr>
    </w:p>
    <w:p w:rsidR="00365EFF" w:rsidRDefault="008B4F2F" w:rsidP="00F01660">
      <w:pPr>
        <w:autoSpaceDE w:val="0"/>
        <w:autoSpaceDN w:val="0"/>
        <w:adjustRightInd w:val="0"/>
        <w:spacing w:after="0"/>
        <w:jc w:val="both"/>
        <w:rPr>
          <w:rFonts w:ascii="Arial" w:hAnsi="Arial" w:cs="Arial"/>
          <w:sz w:val="20"/>
          <w:szCs w:val="20"/>
        </w:rPr>
      </w:pPr>
      <w:r w:rsidRPr="008B4F2F">
        <w:rPr>
          <w:rFonts w:ascii="Arial" w:hAnsi="Arial" w:cs="Arial"/>
          <w:sz w:val="20"/>
          <w:szCs w:val="20"/>
        </w:rPr>
        <w:t>Os excipientes não detêm legitimidade para arguir a exceção de suspeição e impedimento proposta, pois nos termos do artigo 417-A do Regimento Interno, tal faculdade compete às partes, aos Conselheiros, ao Auditor em substituição e ao Ministério Público junto ao Tribunal.</w:t>
      </w:r>
      <w:r>
        <w:rPr>
          <w:rFonts w:ascii="Arial" w:hAnsi="Arial" w:cs="Arial"/>
          <w:sz w:val="20"/>
          <w:szCs w:val="20"/>
        </w:rPr>
        <w:t xml:space="preserve"> </w:t>
      </w:r>
      <w:r w:rsidRPr="008B4F2F">
        <w:rPr>
          <w:rFonts w:ascii="Arial" w:hAnsi="Arial" w:cs="Arial"/>
          <w:sz w:val="20"/>
          <w:szCs w:val="20"/>
        </w:rPr>
        <w:t xml:space="preserve">Entendo, entretanto, que a legitimidade para o pedido ultrapassa a literalidade da lei. </w:t>
      </w:r>
    </w:p>
    <w:p w:rsidR="00365EFF" w:rsidRDefault="00365EFF" w:rsidP="00F01660">
      <w:pPr>
        <w:autoSpaceDE w:val="0"/>
        <w:autoSpaceDN w:val="0"/>
        <w:adjustRightInd w:val="0"/>
        <w:spacing w:after="0"/>
        <w:jc w:val="both"/>
        <w:rPr>
          <w:rFonts w:ascii="Arial" w:hAnsi="Arial" w:cs="Arial"/>
          <w:sz w:val="20"/>
          <w:szCs w:val="20"/>
        </w:rPr>
      </w:pPr>
    </w:p>
    <w:p w:rsidR="008B4F2F" w:rsidRDefault="008B4F2F" w:rsidP="00F01660">
      <w:pPr>
        <w:autoSpaceDE w:val="0"/>
        <w:autoSpaceDN w:val="0"/>
        <w:adjustRightInd w:val="0"/>
        <w:spacing w:after="0"/>
        <w:jc w:val="both"/>
        <w:rPr>
          <w:rFonts w:ascii="Arial" w:hAnsi="Arial" w:cs="Arial"/>
          <w:sz w:val="20"/>
          <w:szCs w:val="20"/>
        </w:rPr>
      </w:pPr>
      <w:r w:rsidRPr="008B4F2F">
        <w:rPr>
          <w:rFonts w:ascii="Arial" w:hAnsi="Arial" w:cs="Arial"/>
          <w:sz w:val="20"/>
          <w:szCs w:val="20"/>
        </w:rPr>
        <w:t>No caso em espécie, os requerentes, na condição de deputados estaduais, possuem intrínseca competência fiscalizatória.</w:t>
      </w:r>
      <w:r w:rsidR="00365EFF">
        <w:rPr>
          <w:rFonts w:ascii="Arial" w:hAnsi="Arial" w:cs="Arial"/>
          <w:sz w:val="20"/>
          <w:szCs w:val="20"/>
        </w:rPr>
        <w:t xml:space="preserve"> </w:t>
      </w:r>
      <w:r w:rsidRPr="008B4F2F">
        <w:rPr>
          <w:rFonts w:ascii="Arial" w:hAnsi="Arial" w:cs="Arial"/>
          <w:sz w:val="20"/>
          <w:szCs w:val="20"/>
        </w:rPr>
        <w:t xml:space="preserve">Ademais, </w:t>
      </w:r>
      <w:proofErr w:type="gramStart"/>
      <w:r w:rsidRPr="008B4F2F">
        <w:rPr>
          <w:rFonts w:ascii="Arial" w:hAnsi="Arial" w:cs="Arial"/>
          <w:sz w:val="20"/>
          <w:szCs w:val="20"/>
        </w:rPr>
        <w:t>possuem</w:t>
      </w:r>
      <w:proofErr w:type="gramEnd"/>
      <w:r w:rsidRPr="008B4F2F">
        <w:rPr>
          <w:rFonts w:ascii="Arial" w:hAnsi="Arial" w:cs="Arial"/>
          <w:sz w:val="20"/>
          <w:szCs w:val="20"/>
        </w:rPr>
        <w:t xml:space="preserve"> o direito constitucional de petição, previsto no artigo 5º, inciso XXXIV, alínea “a”, da Constituição da República Federativa do Brasil.</w:t>
      </w:r>
      <w:r>
        <w:rPr>
          <w:rFonts w:ascii="Arial" w:hAnsi="Arial" w:cs="Arial"/>
          <w:sz w:val="20"/>
          <w:szCs w:val="20"/>
        </w:rPr>
        <w:t xml:space="preserve"> </w:t>
      </w:r>
      <w:r w:rsidRPr="008B4F2F">
        <w:rPr>
          <w:rFonts w:ascii="Arial" w:hAnsi="Arial" w:cs="Arial"/>
          <w:sz w:val="20"/>
          <w:szCs w:val="20"/>
        </w:rPr>
        <w:t xml:space="preserve">Assim, embora a legitimidade ativa dos deputados requisitantes não conste expressamente do </w:t>
      </w:r>
      <w:r w:rsidRPr="008B4F2F">
        <w:rPr>
          <w:rFonts w:ascii="Arial" w:hAnsi="Arial" w:cs="Arial"/>
          <w:sz w:val="20"/>
          <w:szCs w:val="20"/>
        </w:rPr>
        <w:lastRenderedPageBreak/>
        <w:t>Regimento Interno desta Corte, reconheço a competência</w:t>
      </w:r>
      <w:r>
        <w:rPr>
          <w:rFonts w:ascii="Arial" w:hAnsi="Arial" w:cs="Arial"/>
          <w:sz w:val="20"/>
          <w:szCs w:val="20"/>
        </w:rPr>
        <w:t xml:space="preserve"> </w:t>
      </w:r>
      <w:r w:rsidRPr="008B4F2F">
        <w:rPr>
          <w:rFonts w:ascii="Arial" w:hAnsi="Arial" w:cs="Arial"/>
          <w:sz w:val="20"/>
          <w:szCs w:val="20"/>
        </w:rPr>
        <w:t>postulatória dos mesmos, restando superada esta questão.</w:t>
      </w:r>
    </w:p>
    <w:p w:rsidR="00365EFF" w:rsidRDefault="00365EFF" w:rsidP="00F01660">
      <w:pPr>
        <w:autoSpaceDE w:val="0"/>
        <w:autoSpaceDN w:val="0"/>
        <w:adjustRightInd w:val="0"/>
        <w:spacing w:after="0"/>
        <w:jc w:val="both"/>
        <w:rPr>
          <w:rFonts w:ascii="Arial" w:hAnsi="Arial" w:cs="Arial"/>
          <w:sz w:val="20"/>
          <w:szCs w:val="20"/>
        </w:rPr>
      </w:pPr>
    </w:p>
    <w:p w:rsidR="00365EFF" w:rsidRDefault="00303C9C" w:rsidP="00F01660">
      <w:pPr>
        <w:autoSpaceDE w:val="0"/>
        <w:autoSpaceDN w:val="0"/>
        <w:adjustRightInd w:val="0"/>
        <w:spacing w:after="0"/>
        <w:jc w:val="both"/>
        <w:rPr>
          <w:rFonts w:ascii="Arial" w:hAnsi="Arial" w:cs="Arial"/>
          <w:sz w:val="20"/>
          <w:szCs w:val="20"/>
        </w:rPr>
      </w:pPr>
      <w:r w:rsidRPr="00EA791F">
        <w:rPr>
          <w:rFonts w:ascii="Arial" w:hAnsi="Arial" w:cs="Arial"/>
          <w:sz w:val="20"/>
          <w:szCs w:val="20"/>
        </w:rPr>
        <w:t>Quanto ao mérito da exceção de suspeição e impedimento, forçoso</w:t>
      </w:r>
      <w:r w:rsidR="00EA791F" w:rsidRPr="00EA791F">
        <w:rPr>
          <w:rFonts w:ascii="Arial" w:hAnsi="Arial" w:cs="Arial"/>
          <w:sz w:val="20"/>
          <w:szCs w:val="20"/>
        </w:rPr>
        <w:t xml:space="preserve"> </w:t>
      </w:r>
      <w:r w:rsidRPr="00EA791F">
        <w:rPr>
          <w:rFonts w:ascii="Arial" w:hAnsi="Arial" w:cs="Arial"/>
          <w:sz w:val="20"/>
          <w:szCs w:val="20"/>
        </w:rPr>
        <w:t xml:space="preserve">esclarecer inicialmente que </w:t>
      </w:r>
      <w:proofErr w:type="gramStart"/>
      <w:r w:rsidRPr="00EA791F">
        <w:rPr>
          <w:rFonts w:ascii="Arial" w:hAnsi="Arial" w:cs="Arial"/>
          <w:sz w:val="20"/>
          <w:szCs w:val="20"/>
        </w:rPr>
        <w:t>a Lei Orgânica e o Regimento Interno desta Casa não</w:t>
      </w:r>
      <w:r w:rsidR="00EA791F" w:rsidRPr="00EA791F">
        <w:rPr>
          <w:rFonts w:ascii="Arial" w:hAnsi="Arial" w:cs="Arial"/>
          <w:sz w:val="20"/>
          <w:szCs w:val="20"/>
        </w:rPr>
        <w:t xml:space="preserve"> </w:t>
      </w:r>
      <w:r w:rsidRPr="00EA791F">
        <w:rPr>
          <w:rFonts w:ascii="Arial" w:hAnsi="Arial" w:cs="Arial"/>
          <w:sz w:val="20"/>
          <w:szCs w:val="20"/>
        </w:rPr>
        <w:t>dispõe</w:t>
      </w:r>
      <w:proofErr w:type="gramEnd"/>
      <w:r w:rsidRPr="00EA791F">
        <w:rPr>
          <w:rFonts w:ascii="Arial" w:hAnsi="Arial" w:cs="Arial"/>
          <w:sz w:val="20"/>
          <w:szCs w:val="20"/>
        </w:rPr>
        <w:t xml:space="preserve"> expressamente sobre quais são as situações de possível imparcialidade do</w:t>
      </w:r>
      <w:r w:rsidR="00EA791F" w:rsidRPr="00EA791F">
        <w:rPr>
          <w:rFonts w:ascii="Arial" w:hAnsi="Arial" w:cs="Arial"/>
          <w:sz w:val="20"/>
          <w:szCs w:val="20"/>
        </w:rPr>
        <w:t xml:space="preserve"> </w:t>
      </w:r>
      <w:r w:rsidRPr="00EA791F">
        <w:rPr>
          <w:rFonts w:ascii="Arial" w:hAnsi="Arial" w:cs="Arial"/>
          <w:sz w:val="20"/>
          <w:szCs w:val="20"/>
        </w:rPr>
        <w:t>julgador, havendo menção de que aos Conselheiros aplicam-se as mesmas causas</w:t>
      </w:r>
      <w:r w:rsidR="00EA791F" w:rsidRPr="00EA791F">
        <w:rPr>
          <w:rFonts w:ascii="Arial" w:hAnsi="Arial" w:cs="Arial"/>
          <w:sz w:val="20"/>
          <w:szCs w:val="20"/>
        </w:rPr>
        <w:t xml:space="preserve"> </w:t>
      </w:r>
      <w:r w:rsidRPr="00EA791F">
        <w:rPr>
          <w:rFonts w:ascii="Arial" w:hAnsi="Arial" w:cs="Arial"/>
          <w:sz w:val="20"/>
          <w:szCs w:val="20"/>
        </w:rPr>
        <w:t>de impedimento e suspeição previstas na lei processual.</w:t>
      </w:r>
      <w:r w:rsidR="00EA791F" w:rsidRPr="00EA791F">
        <w:rPr>
          <w:rFonts w:ascii="Arial" w:hAnsi="Arial" w:cs="Arial"/>
          <w:sz w:val="20"/>
          <w:szCs w:val="20"/>
        </w:rPr>
        <w:t xml:space="preserve"> </w:t>
      </w:r>
      <w:r w:rsidRPr="00EA791F">
        <w:rPr>
          <w:rFonts w:ascii="Arial" w:hAnsi="Arial" w:cs="Arial"/>
          <w:sz w:val="20"/>
          <w:szCs w:val="20"/>
        </w:rPr>
        <w:t>Neste sentido, entende-se que para perquirir as hipóteses de</w:t>
      </w:r>
      <w:r w:rsidR="00EA791F">
        <w:rPr>
          <w:rFonts w:ascii="Arial" w:hAnsi="Arial" w:cs="Arial"/>
          <w:sz w:val="20"/>
          <w:szCs w:val="20"/>
        </w:rPr>
        <w:t xml:space="preserve"> </w:t>
      </w:r>
      <w:r w:rsidRPr="00EA791F">
        <w:rPr>
          <w:rFonts w:ascii="Arial" w:hAnsi="Arial" w:cs="Arial"/>
          <w:sz w:val="20"/>
          <w:szCs w:val="20"/>
        </w:rPr>
        <w:t>suspeição e impedimento no âmbito do TCE-PR, deve esta Corte socorrer-se do Novo Código de Processo Civil, o qual taxativamente prevê os casos de ameaça à</w:t>
      </w:r>
      <w:r w:rsidR="00EA791F">
        <w:rPr>
          <w:rFonts w:ascii="Arial" w:hAnsi="Arial" w:cs="Arial"/>
          <w:sz w:val="20"/>
          <w:szCs w:val="20"/>
        </w:rPr>
        <w:t xml:space="preserve"> </w:t>
      </w:r>
      <w:r w:rsidRPr="00EA791F">
        <w:rPr>
          <w:rFonts w:ascii="Arial" w:hAnsi="Arial" w:cs="Arial"/>
          <w:sz w:val="20"/>
          <w:szCs w:val="20"/>
        </w:rPr>
        <w:t>imparcialidade do juiz</w:t>
      </w:r>
      <w:r w:rsidR="00EA791F">
        <w:rPr>
          <w:rFonts w:ascii="Arial" w:hAnsi="Arial" w:cs="Arial"/>
          <w:sz w:val="20"/>
          <w:szCs w:val="20"/>
        </w:rPr>
        <w:t>.</w:t>
      </w:r>
    </w:p>
    <w:p w:rsidR="00D05257" w:rsidRDefault="00D05257" w:rsidP="00F01660">
      <w:pPr>
        <w:autoSpaceDE w:val="0"/>
        <w:autoSpaceDN w:val="0"/>
        <w:adjustRightInd w:val="0"/>
        <w:spacing w:after="0"/>
        <w:jc w:val="both"/>
        <w:rPr>
          <w:rFonts w:ascii="Arial" w:hAnsi="Arial" w:cs="Arial"/>
          <w:sz w:val="20"/>
          <w:szCs w:val="20"/>
        </w:rPr>
      </w:pPr>
    </w:p>
    <w:p w:rsidR="00D05257" w:rsidRPr="00D05257" w:rsidRDefault="00D05257" w:rsidP="00F01660">
      <w:pPr>
        <w:autoSpaceDE w:val="0"/>
        <w:autoSpaceDN w:val="0"/>
        <w:adjustRightInd w:val="0"/>
        <w:spacing w:after="0"/>
        <w:jc w:val="both"/>
        <w:rPr>
          <w:rFonts w:ascii="Arial" w:hAnsi="Arial" w:cs="Arial"/>
          <w:b/>
          <w:color w:val="000000"/>
          <w:sz w:val="20"/>
          <w:szCs w:val="20"/>
          <w:shd w:val="clear" w:color="auto" w:fill="FFFFFF"/>
        </w:rPr>
      </w:pPr>
      <w:r w:rsidRPr="00D05257">
        <w:rPr>
          <w:rFonts w:ascii="Arial" w:hAnsi="Arial" w:cs="Arial"/>
          <w:sz w:val="20"/>
          <w:szCs w:val="20"/>
        </w:rPr>
        <w:t>No caso da suspeição por amizade com qualquer das partes é</w:t>
      </w:r>
      <w:r>
        <w:rPr>
          <w:rFonts w:ascii="Arial" w:hAnsi="Arial" w:cs="Arial"/>
          <w:sz w:val="20"/>
          <w:szCs w:val="20"/>
        </w:rPr>
        <w:t xml:space="preserve"> </w:t>
      </w:r>
      <w:r w:rsidRPr="00D05257">
        <w:rPr>
          <w:rFonts w:ascii="Arial" w:hAnsi="Arial" w:cs="Arial"/>
          <w:sz w:val="20"/>
          <w:szCs w:val="20"/>
        </w:rPr>
        <w:t>fundamental observar o grau de parcialidade que esse convívio opera no julgado. A</w:t>
      </w:r>
      <w:r>
        <w:rPr>
          <w:rFonts w:ascii="Arial" w:hAnsi="Arial" w:cs="Arial"/>
          <w:sz w:val="20"/>
          <w:szCs w:val="20"/>
        </w:rPr>
        <w:t xml:space="preserve"> </w:t>
      </w:r>
      <w:r w:rsidRPr="00D05257">
        <w:rPr>
          <w:rFonts w:ascii="Arial" w:hAnsi="Arial" w:cs="Arial"/>
          <w:sz w:val="20"/>
          <w:szCs w:val="20"/>
        </w:rPr>
        <w:t>amizade deve ser significativa, a ponto de abalar a imparcialidade do julgador, não</w:t>
      </w:r>
      <w:r>
        <w:rPr>
          <w:rFonts w:ascii="Arial" w:hAnsi="Arial" w:cs="Arial"/>
          <w:sz w:val="20"/>
          <w:szCs w:val="20"/>
        </w:rPr>
        <w:t xml:space="preserve"> </w:t>
      </w:r>
      <w:r w:rsidRPr="00D05257">
        <w:rPr>
          <w:rFonts w:ascii="Arial" w:hAnsi="Arial" w:cs="Arial"/>
          <w:sz w:val="20"/>
          <w:szCs w:val="20"/>
        </w:rPr>
        <w:t>bastando simplesmente que o juiz conheça a parte ou seu advogado. O afastamento de julgador em virtude de suspeição não pode</w:t>
      </w:r>
      <w:r>
        <w:rPr>
          <w:rFonts w:ascii="Arial" w:hAnsi="Arial" w:cs="Arial"/>
          <w:sz w:val="20"/>
          <w:szCs w:val="20"/>
        </w:rPr>
        <w:t xml:space="preserve"> </w:t>
      </w:r>
      <w:r w:rsidRPr="00D05257">
        <w:rPr>
          <w:rFonts w:ascii="Arial" w:hAnsi="Arial" w:cs="Arial"/>
          <w:sz w:val="20"/>
          <w:szCs w:val="20"/>
        </w:rPr>
        <w:t>basear-se em meras conjecturas, pelo contrário, deve diferenciar com o devido rigor</w:t>
      </w:r>
      <w:r>
        <w:rPr>
          <w:rFonts w:ascii="Arial" w:hAnsi="Arial" w:cs="Arial"/>
          <w:sz w:val="20"/>
          <w:szCs w:val="20"/>
        </w:rPr>
        <w:t xml:space="preserve"> </w:t>
      </w:r>
      <w:r w:rsidRPr="00D05257">
        <w:rPr>
          <w:rFonts w:ascii="Arial" w:hAnsi="Arial" w:cs="Arial"/>
          <w:sz w:val="20"/>
          <w:szCs w:val="20"/>
        </w:rPr>
        <w:t>entre coleguismo, amizade e amizade íntima, pois somente esta última hipótese</w:t>
      </w:r>
      <w:r>
        <w:rPr>
          <w:rFonts w:ascii="Arial" w:hAnsi="Arial" w:cs="Arial"/>
          <w:sz w:val="20"/>
          <w:szCs w:val="20"/>
        </w:rPr>
        <w:t xml:space="preserve"> </w:t>
      </w:r>
      <w:r w:rsidRPr="00D05257">
        <w:rPr>
          <w:rFonts w:ascii="Arial" w:hAnsi="Arial" w:cs="Arial"/>
          <w:sz w:val="20"/>
          <w:szCs w:val="20"/>
        </w:rPr>
        <w:t>efetivamente representa ameaça à imparcialidade do julgamento</w:t>
      </w:r>
      <w:r>
        <w:rPr>
          <w:rFonts w:ascii="Arial" w:hAnsi="Arial" w:cs="Arial"/>
          <w:sz w:val="20"/>
          <w:szCs w:val="20"/>
        </w:rPr>
        <w:t xml:space="preserve">. </w:t>
      </w:r>
    </w:p>
    <w:p w:rsidR="00157D64" w:rsidRDefault="00157D64" w:rsidP="00F01660">
      <w:pPr>
        <w:autoSpaceDE w:val="0"/>
        <w:autoSpaceDN w:val="0"/>
        <w:adjustRightInd w:val="0"/>
        <w:spacing w:after="0"/>
        <w:jc w:val="both"/>
        <w:rPr>
          <w:rFonts w:ascii="Arial" w:hAnsi="Arial" w:cs="Arial"/>
          <w:b/>
          <w:color w:val="000000"/>
          <w:sz w:val="20"/>
          <w:szCs w:val="20"/>
          <w:shd w:val="clear" w:color="auto" w:fill="FFFFFF"/>
        </w:rPr>
      </w:pPr>
    </w:p>
    <w:p w:rsidR="008B4F2F" w:rsidRDefault="00D05257" w:rsidP="00F01660">
      <w:pPr>
        <w:autoSpaceDE w:val="0"/>
        <w:autoSpaceDN w:val="0"/>
        <w:adjustRightInd w:val="0"/>
        <w:spacing w:after="0"/>
        <w:jc w:val="both"/>
        <w:rPr>
          <w:rFonts w:ascii="Arial" w:hAnsi="Arial" w:cs="Arial"/>
          <w:color w:val="000000"/>
          <w:sz w:val="20"/>
          <w:szCs w:val="20"/>
          <w:shd w:val="clear" w:color="auto" w:fill="FFFFFF"/>
        </w:rPr>
      </w:pPr>
      <w:r w:rsidRPr="00D05257">
        <w:rPr>
          <w:rFonts w:ascii="Arial" w:hAnsi="Arial" w:cs="Arial"/>
          <w:color w:val="000000"/>
          <w:sz w:val="20"/>
          <w:szCs w:val="20"/>
          <w:shd w:val="clear" w:color="auto" w:fill="FFFFFF"/>
        </w:rPr>
        <w:t>Processo n°</w:t>
      </w:r>
      <w:r w:rsidR="00665EBC">
        <w:rPr>
          <w:rFonts w:ascii="Arial" w:hAnsi="Arial" w:cs="Arial"/>
          <w:color w:val="000000"/>
          <w:sz w:val="20"/>
          <w:szCs w:val="20"/>
          <w:shd w:val="clear" w:color="auto" w:fill="FFFFFF"/>
        </w:rPr>
        <w:t xml:space="preserve"> 226</w:t>
      </w:r>
      <w:r w:rsidR="00693247">
        <w:rPr>
          <w:rFonts w:ascii="Arial" w:hAnsi="Arial" w:cs="Arial"/>
          <w:color w:val="000000"/>
          <w:sz w:val="20"/>
          <w:szCs w:val="20"/>
          <w:shd w:val="clear" w:color="auto" w:fill="FFFFFF"/>
        </w:rPr>
        <w:t xml:space="preserve">384/17 - </w:t>
      </w:r>
      <w:hyperlink r:id="rId17" w:history="1">
        <w:r w:rsidR="00693247" w:rsidRPr="00E919D9">
          <w:rPr>
            <w:rStyle w:val="Hyperlink"/>
            <w:rFonts w:ascii="Arial" w:hAnsi="Arial" w:cs="Arial"/>
            <w:sz w:val="20"/>
            <w:szCs w:val="20"/>
            <w:shd w:val="clear" w:color="auto" w:fill="FFFFFF"/>
          </w:rPr>
          <w:t>Acórdão n° 1703/17 - Tribunal Pleno</w:t>
        </w:r>
      </w:hyperlink>
      <w:r w:rsidR="00693247">
        <w:rPr>
          <w:rFonts w:ascii="Arial" w:hAnsi="Arial" w:cs="Arial"/>
          <w:color w:val="000000"/>
          <w:sz w:val="20"/>
          <w:szCs w:val="20"/>
          <w:shd w:val="clear" w:color="auto" w:fill="FFFFFF"/>
        </w:rPr>
        <w:t xml:space="preserve"> - Rel. Conselheiro Ivan </w:t>
      </w:r>
      <w:proofErr w:type="spellStart"/>
      <w:r w:rsidR="00693247">
        <w:rPr>
          <w:rFonts w:ascii="Arial" w:hAnsi="Arial" w:cs="Arial"/>
          <w:color w:val="000000"/>
          <w:sz w:val="20"/>
          <w:szCs w:val="20"/>
          <w:shd w:val="clear" w:color="auto" w:fill="FFFFFF"/>
        </w:rPr>
        <w:t>Lelis</w:t>
      </w:r>
      <w:proofErr w:type="spellEnd"/>
      <w:r w:rsidR="00693247">
        <w:rPr>
          <w:rFonts w:ascii="Arial" w:hAnsi="Arial" w:cs="Arial"/>
          <w:color w:val="000000"/>
          <w:sz w:val="20"/>
          <w:szCs w:val="20"/>
          <w:shd w:val="clear" w:color="auto" w:fill="FFFFFF"/>
        </w:rPr>
        <w:t xml:space="preserve"> Bonilha. </w:t>
      </w:r>
      <w:r w:rsidRPr="00D05257">
        <w:rPr>
          <w:rFonts w:ascii="Arial" w:hAnsi="Arial" w:cs="Arial"/>
          <w:color w:val="000000"/>
          <w:sz w:val="20"/>
          <w:szCs w:val="20"/>
          <w:shd w:val="clear" w:color="auto" w:fill="FFFFFF"/>
        </w:rPr>
        <w:t xml:space="preserve"> </w:t>
      </w:r>
    </w:p>
    <w:p w:rsidR="00693247" w:rsidRDefault="00693247" w:rsidP="00F01660">
      <w:pPr>
        <w:autoSpaceDE w:val="0"/>
        <w:autoSpaceDN w:val="0"/>
        <w:adjustRightInd w:val="0"/>
        <w:spacing w:after="0"/>
        <w:jc w:val="both"/>
        <w:rPr>
          <w:rFonts w:ascii="Arial" w:hAnsi="Arial" w:cs="Arial"/>
          <w:b/>
          <w:color w:val="000000"/>
          <w:sz w:val="20"/>
          <w:szCs w:val="20"/>
          <w:shd w:val="clear" w:color="auto" w:fill="FFFFFF"/>
        </w:rPr>
      </w:pPr>
    </w:p>
    <w:p w:rsidR="00E8762F" w:rsidRPr="00AA3A41" w:rsidRDefault="00E8762F" w:rsidP="00F46C32">
      <w:pPr>
        <w:autoSpaceDE w:val="0"/>
        <w:autoSpaceDN w:val="0"/>
        <w:adjustRightInd w:val="0"/>
        <w:spacing w:after="0" w:line="240" w:lineRule="auto"/>
        <w:jc w:val="both"/>
        <w:rPr>
          <w:rFonts w:ascii="Arial" w:hAnsi="Arial" w:cs="Arial"/>
          <w:sz w:val="20"/>
          <w:szCs w:val="20"/>
        </w:rPr>
      </w:pPr>
      <w:r w:rsidRPr="00AA3A41">
        <w:rPr>
          <w:rFonts w:ascii="Arial" w:hAnsi="Arial" w:cs="Arial"/>
          <w:sz w:val="20"/>
          <w:szCs w:val="20"/>
        </w:rPr>
        <w:t xml:space="preserve">Observações: </w:t>
      </w:r>
    </w:p>
    <w:p w:rsidR="005C4DB7" w:rsidRDefault="00E4415D" w:rsidP="00E8762F">
      <w:pPr>
        <w:rPr>
          <w:rFonts w:ascii="Arial" w:hAnsi="Arial" w:cs="Arial"/>
          <w:b/>
          <w:color w:val="000000"/>
          <w:sz w:val="20"/>
          <w:szCs w:val="20"/>
        </w:rPr>
      </w:pPr>
      <w:r w:rsidRPr="005C4DB7">
        <w:rPr>
          <w:rFonts w:ascii="Arial" w:hAnsi="Arial" w:cs="Arial"/>
          <w:noProof/>
          <w:sz w:val="20"/>
          <w:szCs w:val="20"/>
          <w:lang w:eastAsia="pt-BR"/>
        </w:rPr>
        <mc:AlternateContent>
          <mc:Choice Requires="wps">
            <w:drawing>
              <wp:anchor distT="0" distB="0" distL="114300" distR="114300" simplePos="0" relativeHeight="251665408"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492FBA" id="Conector reto 5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Default="0026477F" w:rsidP="00027A03">
      <w:pPr>
        <w:spacing w:after="0"/>
        <w:rPr>
          <w:rFonts w:ascii="Arial" w:hAnsi="Arial" w:cs="Arial"/>
          <w:color w:val="000000"/>
          <w:sz w:val="20"/>
          <w:szCs w:val="20"/>
        </w:rPr>
      </w:pPr>
      <w:r w:rsidRPr="00AD528F">
        <w:rPr>
          <w:rFonts w:ascii="Arial" w:hAnsi="Arial" w:cs="Arial"/>
          <w:color w:val="000000"/>
          <w:sz w:val="20"/>
          <w:szCs w:val="20"/>
        </w:rPr>
        <w:t>Ju</w:t>
      </w:r>
      <w:r w:rsidR="00AD528F" w:rsidRPr="00AD528F">
        <w:rPr>
          <w:rFonts w:ascii="Arial" w:hAnsi="Arial" w:cs="Arial"/>
          <w:color w:val="000000"/>
          <w:sz w:val="20"/>
          <w:szCs w:val="20"/>
        </w:rPr>
        <w:t xml:space="preserve">risprudência Selecionada: </w:t>
      </w:r>
    </w:p>
    <w:p w:rsidR="00601974" w:rsidRDefault="00601974" w:rsidP="00027A03">
      <w:pPr>
        <w:spacing w:after="0"/>
        <w:rPr>
          <w:rFonts w:ascii="Arial" w:hAnsi="Arial" w:cs="Arial"/>
          <w:b/>
          <w:color w:val="000000"/>
          <w:sz w:val="20"/>
          <w:szCs w:val="20"/>
        </w:rPr>
      </w:pPr>
    </w:p>
    <w:p w:rsidR="000800D1" w:rsidRPr="002478B9" w:rsidRDefault="000800D1" w:rsidP="000800D1">
      <w:pPr>
        <w:spacing w:after="0"/>
        <w:jc w:val="both"/>
        <w:rPr>
          <w:rFonts w:ascii="Arial" w:hAnsi="Arial" w:cs="Arial"/>
          <w:b/>
          <w:color w:val="000000"/>
          <w:sz w:val="20"/>
          <w:szCs w:val="20"/>
        </w:rPr>
      </w:pPr>
      <w:r w:rsidRPr="002478B9">
        <w:rPr>
          <w:rFonts w:ascii="Arial" w:hAnsi="Arial" w:cs="Arial"/>
          <w:b/>
          <w:color w:val="000000"/>
          <w:sz w:val="20"/>
          <w:szCs w:val="20"/>
        </w:rPr>
        <w:t>Superior Tribunal de Justiça:</w:t>
      </w:r>
    </w:p>
    <w:p w:rsidR="000800D1" w:rsidRDefault="000800D1" w:rsidP="000800D1">
      <w:pPr>
        <w:spacing w:after="0"/>
        <w:rPr>
          <w:rFonts w:ascii="Arial" w:hAnsi="Arial" w:cs="Arial"/>
          <w:b/>
          <w:color w:val="000000"/>
          <w:sz w:val="20"/>
          <w:szCs w:val="20"/>
        </w:rPr>
      </w:pPr>
    </w:p>
    <w:p w:rsidR="00681787" w:rsidRPr="005F66CC" w:rsidRDefault="0009711C" w:rsidP="00A065F5">
      <w:pPr>
        <w:spacing w:after="0"/>
        <w:jc w:val="both"/>
        <w:rPr>
          <w:rStyle w:val="Forte"/>
          <w:rFonts w:ascii="Arial" w:hAnsi="Arial" w:cs="Arial"/>
          <w:b w:val="0"/>
          <w:color w:val="000000" w:themeColor="text1"/>
          <w:sz w:val="20"/>
          <w:szCs w:val="20"/>
          <w:shd w:val="clear" w:color="auto" w:fill="FFFFFF"/>
        </w:rPr>
      </w:pPr>
      <w:hyperlink r:id="rId18" w:history="1">
        <w:proofErr w:type="spellStart"/>
        <w:proofErr w:type="gramStart"/>
        <w:r w:rsidR="00A065F5" w:rsidRPr="005F66CC">
          <w:rPr>
            <w:rStyle w:val="Hyperlink"/>
            <w:rFonts w:ascii="Arial" w:hAnsi="Arial" w:cs="Arial"/>
            <w:b/>
            <w:sz w:val="20"/>
            <w:szCs w:val="20"/>
            <w:shd w:val="clear" w:color="auto" w:fill="FFFFFF"/>
          </w:rPr>
          <w:t>REsp</w:t>
        </w:r>
        <w:proofErr w:type="spellEnd"/>
        <w:proofErr w:type="gramEnd"/>
        <w:r w:rsidR="00A065F5" w:rsidRPr="005F66CC">
          <w:rPr>
            <w:rStyle w:val="Hyperlink"/>
            <w:rFonts w:ascii="Arial" w:hAnsi="Arial" w:cs="Arial"/>
            <w:b/>
            <w:sz w:val="20"/>
            <w:szCs w:val="20"/>
            <w:shd w:val="clear" w:color="auto" w:fill="FFFFFF"/>
          </w:rPr>
          <w:t xml:space="preserve"> 1.471.760-GO, Rel. Min. Benedito Gonçalves, por maioria, julgado em 22/2/2017, </w:t>
        </w:r>
        <w:proofErr w:type="spellStart"/>
        <w:r w:rsidR="00A065F5" w:rsidRPr="005F66CC">
          <w:rPr>
            <w:rStyle w:val="Hyperlink"/>
            <w:rFonts w:ascii="Arial" w:hAnsi="Arial" w:cs="Arial"/>
            <w:b/>
            <w:sz w:val="20"/>
            <w:szCs w:val="20"/>
            <w:shd w:val="clear" w:color="auto" w:fill="FFFFFF"/>
          </w:rPr>
          <w:t>DJe</w:t>
        </w:r>
        <w:proofErr w:type="spellEnd"/>
        <w:r w:rsidR="00A065F5" w:rsidRPr="005F66CC">
          <w:rPr>
            <w:rStyle w:val="Hyperlink"/>
            <w:rFonts w:ascii="Arial" w:hAnsi="Arial" w:cs="Arial"/>
            <w:b/>
            <w:sz w:val="20"/>
            <w:szCs w:val="20"/>
            <w:shd w:val="clear" w:color="auto" w:fill="FFFFFF"/>
          </w:rPr>
          <w:t xml:space="preserve"> 17/4/2017.</w:t>
        </w:r>
      </w:hyperlink>
    </w:p>
    <w:p w:rsidR="00A065F5" w:rsidRDefault="00A065F5" w:rsidP="00A065F5">
      <w:pPr>
        <w:spacing w:after="0"/>
        <w:jc w:val="both"/>
        <w:rPr>
          <w:rStyle w:val="Forte"/>
          <w:rFonts w:ascii="Arial" w:hAnsi="Arial" w:cs="Arial"/>
          <w:color w:val="000000" w:themeColor="text1"/>
          <w:sz w:val="20"/>
          <w:szCs w:val="20"/>
          <w:shd w:val="clear" w:color="auto" w:fill="FFFFFF"/>
        </w:rPr>
      </w:pPr>
    </w:p>
    <w:p w:rsidR="00A065F5" w:rsidRPr="00494AE3" w:rsidRDefault="00A065F5" w:rsidP="00A065F5">
      <w:pPr>
        <w:spacing w:after="0"/>
        <w:jc w:val="both"/>
        <w:rPr>
          <w:rFonts w:ascii="Arial" w:hAnsi="Arial" w:cs="Arial"/>
          <w:b/>
          <w:color w:val="000000" w:themeColor="text1"/>
          <w:sz w:val="20"/>
          <w:szCs w:val="20"/>
          <w:shd w:val="clear" w:color="auto" w:fill="FFFFFF"/>
        </w:rPr>
      </w:pPr>
      <w:r w:rsidRPr="00494AE3">
        <w:rPr>
          <w:rFonts w:ascii="Arial" w:hAnsi="Arial" w:cs="Arial"/>
          <w:b/>
          <w:color w:val="000000" w:themeColor="text1"/>
          <w:sz w:val="20"/>
          <w:szCs w:val="20"/>
          <w:shd w:val="clear" w:color="auto" w:fill="FFFFFF"/>
        </w:rPr>
        <w:t>Processo administrativo disciplinar. Demissão. Art. 71 do Código Penal. Continuidade delitiva. Inaplicabilidade ao caso.</w:t>
      </w:r>
    </w:p>
    <w:p w:rsidR="00A065F5" w:rsidRPr="00A065F5" w:rsidRDefault="00A065F5" w:rsidP="00A065F5">
      <w:pPr>
        <w:spacing w:after="0"/>
        <w:jc w:val="both"/>
        <w:rPr>
          <w:rStyle w:val="Forte"/>
          <w:rFonts w:ascii="Arial" w:hAnsi="Arial" w:cs="Arial"/>
          <w:b w:val="0"/>
          <w:color w:val="000000" w:themeColor="text1"/>
          <w:sz w:val="20"/>
          <w:szCs w:val="20"/>
          <w:shd w:val="clear" w:color="auto" w:fill="FFFFFF"/>
        </w:rPr>
      </w:pPr>
    </w:p>
    <w:p w:rsidR="00A065F5" w:rsidRDefault="00A065F5" w:rsidP="00A065F5">
      <w:pPr>
        <w:spacing w:after="0"/>
        <w:jc w:val="both"/>
        <w:rPr>
          <w:rFonts w:ascii="Arial" w:hAnsi="Arial" w:cs="Arial"/>
          <w:color w:val="000000" w:themeColor="text1"/>
          <w:sz w:val="20"/>
          <w:szCs w:val="20"/>
          <w:shd w:val="clear" w:color="auto" w:fill="FFFFFF"/>
        </w:rPr>
      </w:pPr>
      <w:r w:rsidRPr="00A065F5">
        <w:rPr>
          <w:rFonts w:ascii="Arial" w:hAnsi="Arial" w:cs="Arial"/>
          <w:color w:val="000000" w:themeColor="text1"/>
          <w:sz w:val="20"/>
          <w:szCs w:val="20"/>
          <w:shd w:val="clear" w:color="auto" w:fill="FFFFFF"/>
        </w:rPr>
        <w:t>Há fatos ilícitos administrativos que, se cometidos de forma continuada pelo servidor público, não se sujeitam à sanção com aumento do</w:t>
      </w:r>
      <w:r w:rsidRPr="00A065F5">
        <w:rPr>
          <w:rStyle w:val="apple-converted-space"/>
          <w:rFonts w:ascii="Arial" w:hAnsi="Arial" w:cs="Arial"/>
          <w:color w:val="000000" w:themeColor="text1"/>
          <w:sz w:val="20"/>
          <w:szCs w:val="20"/>
          <w:shd w:val="clear" w:color="auto" w:fill="FFFFFF"/>
        </w:rPr>
        <w:t> </w:t>
      </w:r>
      <w:r w:rsidRPr="00A065F5">
        <w:rPr>
          <w:rStyle w:val="nfase"/>
          <w:rFonts w:ascii="Arial" w:hAnsi="Arial" w:cs="Arial"/>
          <w:color w:val="000000" w:themeColor="text1"/>
          <w:sz w:val="20"/>
          <w:szCs w:val="20"/>
          <w:shd w:val="clear" w:color="auto" w:fill="FFFFFF"/>
        </w:rPr>
        <w:t>quantum</w:t>
      </w:r>
      <w:r w:rsidRPr="00A065F5">
        <w:rPr>
          <w:rStyle w:val="apple-converted-space"/>
          <w:rFonts w:ascii="Arial" w:hAnsi="Arial" w:cs="Arial"/>
          <w:i/>
          <w:iCs/>
          <w:color w:val="000000" w:themeColor="text1"/>
          <w:sz w:val="20"/>
          <w:szCs w:val="20"/>
          <w:shd w:val="clear" w:color="auto" w:fill="FFFFFF"/>
        </w:rPr>
        <w:t> </w:t>
      </w:r>
      <w:r w:rsidRPr="00A065F5">
        <w:rPr>
          <w:rFonts w:ascii="Arial" w:hAnsi="Arial" w:cs="Arial"/>
          <w:color w:val="000000" w:themeColor="text1"/>
          <w:sz w:val="20"/>
          <w:szCs w:val="20"/>
          <w:shd w:val="clear" w:color="auto" w:fill="FFFFFF"/>
        </w:rPr>
        <w:t>sancionatório previsto no art. 71,</w:t>
      </w:r>
      <w:r w:rsidRPr="00A065F5">
        <w:rPr>
          <w:rStyle w:val="apple-converted-space"/>
          <w:rFonts w:ascii="Arial" w:hAnsi="Arial" w:cs="Arial"/>
          <w:color w:val="000000" w:themeColor="text1"/>
          <w:sz w:val="20"/>
          <w:szCs w:val="20"/>
          <w:shd w:val="clear" w:color="auto" w:fill="FFFFFF"/>
        </w:rPr>
        <w:t> </w:t>
      </w:r>
      <w:r w:rsidRPr="00A065F5">
        <w:rPr>
          <w:rStyle w:val="nfase"/>
          <w:rFonts w:ascii="Arial" w:hAnsi="Arial" w:cs="Arial"/>
          <w:color w:val="000000" w:themeColor="text1"/>
          <w:sz w:val="20"/>
          <w:szCs w:val="20"/>
          <w:shd w:val="clear" w:color="auto" w:fill="FFFFFF"/>
        </w:rPr>
        <w:t>caput</w:t>
      </w:r>
      <w:r w:rsidRPr="00A065F5">
        <w:rPr>
          <w:rFonts w:ascii="Arial" w:hAnsi="Arial" w:cs="Arial"/>
          <w:color w:val="000000" w:themeColor="text1"/>
          <w:sz w:val="20"/>
          <w:szCs w:val="20"/>
          <w:shd w:val="clear" w:color="auto" w:fill="FFFFFF"/>
        </w:rPr>
        <w:t>, do CP.</w:t>
      </w:r>
    </w:p>
    <w:p w:rsidR="001D0693" w:rsidRDefault="001D0693" w:rsidP="00A065F5">
      <w:pPr>
        <w:spacing w:after="0"/>
        <w:jc w:val="both"/>
        <w:rPr>
          <w:rFonts w:ascii="Arial" w:hAnsi="Arial" w:cs="Arial"/>
          <w:color w:val="000000" w:themeColor="text1"/>
          <w:sz w:val="20"/>
          <w:szCs w:val="20"/>
          <w:shd w:val="clear" w:color="auto" w:fill="FFFFFF"/>
        </w:rPr>
      </w:pPr>
    </w:p>
    <w:p w:rsidR="001D0693" w:rsidRPr="0038751C" w:rsidRDefault="0009711C" w:rsidP="00A065F5">
      <w:pPr>
        <w:spacing w:after="0"/>
        <w:jc w:val="both"/>
        <w:rPr>
          <w:rFonts w:ascii="Arial" w:hAnsi="Arial" w:cs="Arial"/>
          <w:b/>
          <w:sz w:val="20"/>
          <w:szCs w:val="20"/>
          <w:shd w:val="clear" w:color="auto" w:fill="FFFFFF"/>
        </w:rPr>
      </w:pPr>
      <w:hyperlink r:id="rId19" w:history="1">
        <w:proofErr w:type="spellStart"/>
        <w:proofErr w:type="gramStart"/>
        <w:r w:rsidR="001D0693" w:rsidRPr="0038751C">
          <w:rPr>
            <w:rStyle w:val="Hyperlink"/>
            <w:rFonts w:ascii="Arial" w:hAnsi="Arial" w:cs="Arial"/>
            <w:b/>
            <w:sz w:val="20"/>
            <w:szCs w:val="20"/>
            <w:shd w:val="clear" w:color="auto" w:fill="FFFFFF"/>
          </w:rPr>
          <w:t>EREsp</w:t>
        </w:r>
        <w:proofErr w:type="spellEnd"/>
        <w:proofErr w:type="gramEnd"/>
        <w:r w:rsidR="001D0693" w:rsidRPr="0038751C">
          <w:rPr>
            <w:rStyle w:val="Hyperlink"/>
            <w:rFonts w:ascii="Arial" w:hAnsi="Arial" w:cs="Arial"/>
            <w:b/>
            <w:sz w:val="20"/>
            <w:szCs w:val="20"/>
            <w:shd w:val="clear" w:color="auto" w:fill="FFFFFF"/>
          </w:rPr>
          <w:t xml:space="preserve"> 1.157.628-RJ, Rel. Min. Raul Araújo, por maioria, julgado em 7/12/2016, </w:t>
        </w:r>
        <w:proofErr w:type="spellStart"/>
        <w:r w:rsidR="001D0693" w:rsidRPr="0038751C">
          <w:rPr>
            <w:rStyle w:val="Hyperlink"/>
            <w:rFonts w:ascii="Arial" w:hAnsi="Arial" w:cs="Arial"/>
            <w:b/>
            <w:sz w:val="20"/>
            <w:szCs w:val="20"/>
            <w:shd w:val="clear" w:color="auto" w:fill="FFFFFF"/>
          </w:rPr>
          <w:t>DJe</w:t>
        </w:r>
        <w:proofErr w:type="spellEnd"/>
        <w:r w:rsidR="001D0693" w:rsidRPr="0038751C">
          <w:rPr>
            <w:rStyle w:val="Hyperlink"/>
            <w:rFonts w:ascii="Arial" w:hAnsi="Arial" w:cs="Arial"/>
            <w:b/>
            <w:sz w:val="20"/>
            <w:szCs w:val="20"/>
            <w:shd w:val="clear" w:color="auto" w:fill="FFFFFF"/>
          </w:rPr>
          <w:t xml:space="preserve"> 15/2/2017.</w:t>
        </w:r>
      </w:hyperlink>
    </w:p>
    <w:p w:rsidR="001D0693" w:rsidRDefault="001D0693" w:rsidP="00A065F5">
      <w:pPr>
        <w:spacing w:after="0"/>
        <w:jc w:val="both"/>
        <w:rPr>
          <w:rStyle w:val="Forte"/>
          <w:rFonts w:ascii="Arial" w:hAnsi="Arial" w:cs="Arial"/>
          <w:b w:val="0"/>
          <w:color w:val="000000" w:themeColor="text1"/>
          <w:sz w:val="20"/>
          <w:szCs w:val="20"/>
          <w:shd w:val="clear" w:color="auto" w:fill="FFFFFF"/>
        </w:rPr>
      </w:pPr>
    </w:p>
    <w:p w:rsidR="00D054DF" w:rsidRPr="00D054DF" w:rsidRDefault="00D054DF" w:rsidP="00A065F5">
      <w:pPr>
        <w:spacing w:after="0"/>
        <w:jc w:val="both"/>
        <w:rPr>
          <w:rFonts w:ascii="Arial" w:hAnsi="Arial" w:cs="Arial"/>
          <w:b/>
          <w:sz w:val="20"/>
          <w:szCs w:val="20"/>
          <w:shd w:val="clear" w:color="auto" w:fill="FFFFFF"/>
        </w:rPr>
      </w:pPr>
      <w:r w:rsidRPr="00D054DF">
        <w:rPr>
          <w:rFonts w:ascii="Arial" w:hAnsi="Arial" w:cs="Arial"/>
          <w:b/>
          <w:sz w:val="20"/>
          <w:szCs w:val="20"/>
          <w:shd w:val="clear" w:color="auto" w:fill="FFFFFF"/>
        </w:rPr>
        <w:t>Servidor público. Remoção. Resistência da administração pública. Teoria do fato consumado. Inaplicabilidade.</w:t>
      </w:r>
    </w:p>
    <w:p w:rsidR="00D054DF" w:rsidRDefault="00D054DF" w:rsidP="00A065F5">
      <w:pPr>
        <w:spacing w:after="0"/>
        <w:jc w:val="both"/>
        <w:rPr>
          <w:rFonts w:ascii="Arial" w:hAnsi="Arial" w:cs="Arial"/>
          <w:sz w:val="20"/>
          <w:szCs w:val="20"/>
          <w:shd w:val="clear" w:color="auto" w:fill="FFFFFF"/>
        </w:rPr>
      </w:pPr>
    </w:p>
    <w:p w:rsidR="00D054DF" w:rsidRDefault="00D054DF" w:rsidP="00A065F5">
      <w:pPr>
        <w:spacing w:after="0"/>
        <w:jc w:val="both"/>
        <w:rPr>
          <w:rFonts w:ascii="Arial" w:hAnsi="Arial" w:cs="Arial"/>
          <w:sz w:val="20"/>
          <w:szCs w:val="20"/>
          <w:shd w:val="clear" w:color="auto" w:fill="FFFFFF"/>
        </w:rPr>
      </w:pPr>
      <w:r w:rsidRPr="00D054DF">
        <w:rPr>
          <w:rFonts w:ascii="Arial" w:hAnsi="Arial" w:cs="Arial"/>
          <w:sz w:val="20"/>
          <w:szCs w:val="20"/>
          <w:shd w:val="clear" w:color="auto" w:fill="FFFFFF"/>
        </w:rPr>
        <w:t xml:space="preserve">A “teoria do fato consumado" não pode ser aplicada para consolidar remoção de servidor público destinada a acompanhamento de cônjuge, em hipótese que não se adequa à </w:t>
      </w:r>
      <w:r w:rsidRPr="00D054DF">
        <w:rPr>
          <w:rFonts w:ascii="Arial" w:hAnsi="Arial" w:cs="Arial"/>
          <w:sz w:val="20"/>
          <w:szCs w:val="20"/>
          <w:shd w:val="clear" w:color="auto" w:fill="FFFFFF"/>
        </w:rPr>
        <w:lastRenderedPageBreak/>
        <w:t>legalidade estrita, ainda que tal situação haja perdurado por vários anos em virtude de decisão liminar não confirmada por ocasião do julgamento de mérito.</w:t>
      </w:r>
    </w:p>
    <w:p w:rsidR="00E22321" w:rsidRDefault="00E22321" w:rsidP="00A065F5">
      <w:pPr>
        <w:spacing w:after="0"/>
        <w:jc w:val="both"/>
        <w:rPr>
          <w:rFonts w:ascii="Arial" w:hAnsi="Arial" w:cs="Arial"/>
          <w:sz w:val="20"/>
          <w:szCs w:val="20"/>
          <w:shd w:val="clear" w:color="auto" w:fill="FFFFFF"/>
        </w:rPr>
      </w:pPr>
    </w:p>
    <w:p w:rsidR="000800D1" w:rsidRPr="009A6989" w:rsidRDefault="000800D1" w:rsidP="000800D1">
      <w:pPr>
        <w:spacing w:after="0"/>
        <w:rPr>
          <w:rFonts w:ascii="Arial" w:hAnsi="Arial" w:cs="Arial"/>
          <w:b/>
          <w:color w:val="000000"/>
          <w:sz w:val="20"/>
          <w:szCs w:val="20"/>
        </w:rPr>
      </w:pPr>
      <w:r w:rsidRPr="009A6989">
        <w:rPr>
          <w:rFonts w:ascii="Arial" w:hAnsi="Arial" w:cs="Arial"/>
          <w:b/>
          <w:color w:val="000000"/>
          <w:sz w:val="20"/>
          <w:szCs w:val="20"/>
        </w:rPr>
        <w:t>Tribunal de Contas da União:</w:t>
      </w:r>
    </w:p>
    <w:p w:rsidR="00702F7C" w:rsidRDefault="00702F7C" w:rsidP="00027A03">
      <w:pPr>
        <w:spacing w:after="0"/>
      </w:pPr>
    </w:p>
    <w:p w:rsidR="00C9532C" w:rsidRDefault="0009711C" w:rsidP="00A86A0A">
      <w:pPr>
        <w:widowControl w:val="0"/>
        <w:autoSpaceDE w:val="0"/>
        <w:autoSpaceDN w:val="0"/>
        <w:spacing w:after="0"/>
        <w:jc w:val="both"/>
        <w:rPr>
          <w:rFonts w:ascii="Arial" w:hAnsi="Arial" w:cs="Arial"/>
          <w:sz w:val="20"/>
          <w:szCs w:val="20"/>
        </w:rPr>
      </w:pPr>
      <w:hyperlink r:id="rId20" w:history="1">
        <w:r w:rsidR="00C9532C" w:rsidRPr="007306BB">
          <w:rPr>
            <w:rStyle w:val="Hyperlink"/>
            <w:rFonts w:ascii="Arial" w:hAnsi="Arial" w:cs="Arial"/>
            <w:b/>
            <w:sz w:val="20"/>
            <w:szCs w:val="20"/>
          </w:rPr>
          <w:t>Acórdão 2806/2017</w:t>
        </w:r>
        <w:r w:rsidR="00890235" w:rsidRPr="007306BB">
          <w:rPr>
            <w:rStyle w:val="Hyperlink"/>
            <w:rFonts w:ascii="Arial" w:hAnsi="Arial" w:cs="Arial"/>
            <w:b/>
            <w:sz w:val="20"/>
            <w:szCs w:val="20"/>
          </w:rPr>
          <w:t xml:space="preserve"> - </w:t>
        </w:r>
        <w:r w:rsidR="00C9532C" w:rsidRPr="007306BB">
          <w:rPr>
            <w:rStyle w:val="Hyperlink"/>
            <w:rFonts w:ascii="Arial" w:hAnsi="Arial" w:cs="Arial"/>
            <w:b/>
            <w:sz w:val="20"/>
            <w:szCs w:val="20"/>
          </w:rPr>
          <w:t>Primeira Câmara</w:t>
        </w:r>
      </w:hyperlink>
      <w:r w:rsidR="00C9532C" w:rsidRPr="00A86A0A">
        <w:rPr>
          <w:rFonts w:ascii="Arial" w:hAnsi="Arial" w:cs="Arial"/>
          <w:b/>
          <w:sz w:val="20"/>
          <w:szCs w:val="20"/>
        </w:rPr>
        <w:t xml:space="preserve"> </w:t>
      </w:r>
      <w:r w:rsidR="00C9532C" w:rsidRPr="00A86A0A">
        <w:rPr>
          <w:rFonts w:ascii="Arial" w:hAnsi="Arial" w:cs="Arial"/>
          <w:sz w:val="20"/>
          <w:szCs w:val="20"/>
        </w:rPr>
        <w:t>(Tomada de Contas Especial, Relator Ministro Vital do Rêgo</w:t>
      </w:r>
      <w:proofErr w:type="gramStart"/>
      <w:r w:rsidR="00C9532C" w:rsidRPr="00A86A0A">
        <w:rPr>
          <w:rFonts w:ascii="Arial" w:hAnsi="Arial" w:cs="Arial"/>
          <w:sz w:val="20"/>
          <w:szCs w:val="20"/>
        </w:rPr>
        <w:t>)</w:t>
      </w:r>
      <w:proofErr w:type="gramEnd"/>
    </w:p>
    <w:p w:rsidR="00A86A0A" w:rsidRPr="00A86A0A" w:rsidRDefault="00A86A0A" w:rsidP="00A86A0A">
      <w:pPr>
        <w:widowControl w:val="0"/>
        <w:autoSpaceDE w:val="0"/>
        <w:autoSpaceDN w:val="0"/>
        <w:spacing w:after="0"/>
        <w:jc w:val="both"/>
        <w:rPr>
          <w:rFonts w:ascii="Arial" w:hAnsi="Arial" w:cs="Arial"/>
          <w:b/>
          <w:sz w:val="20"/>
          <w:szCs w:val="20"/>
        </w:rPr>
      </w:pPr>
    </w:p>
    <w:p w:rsidR="00C9532C" w:rsidRPr="00A86A0A" w:rsidRDefault="00C9532C" w:rsidP="00A86A0A">
      <w:pPr>
        <w:spacing w:after="0"/>
        <w:jc w:val="both"/>
        <w:rPr>
          <w:rFonts w:ascii="Arial" w:hAnsi="Arial" w:cs="Arial"/>
          <w:b/>
          <w:sz w:val="20"/>
          <w:szCs w:val="20"/>
        </w:rPr>
      </w:pPr>
      <w:r w:rsidRPr="00A86A0A">
        <w:rPr>
          <w:rFonts w:ascii="Arial" w:hAnsi="Arial" w:cs="Arial"/>
          <w:b/>
          <w:sz w:val="20"/>
          <w:szCs w:val="20"/>
        </w:rPr>
        <w:t>Direito Processual. Citação. Validade. Débito. Alteração. Princípio da economia processual. Princípio da racionalidade administrativa.</w:t>
      </w:r>
    </w:p>
    <w:p w:rsidR="00A86A0A" w:rsidRPr="00A86A0A" w:rsidRDefault="00A86A0A" w:rsidP="00A86A0A">
      <w:pPr>
        <w:spacing w:after="0"/>
        <w:jc w:val="both"/>
        <w:rPr>
          <w:rFonts w:ascii="Arial" w:hAnsi="Arial" w:cs="Arial"/>
          <w:sz w:val="20"/>
          <w:szCs w:val="20"/>
        </w:rPr>
      </w:pPr>
    </w:p>
    <w:p w:rsidR="00C9532C" w:rsidRDefault="00C9532C" w:rsidP="00A86A0A">
      <w:pPr>
        <w:spacing w:after="0"/>
        <w:jc w:val="both"/>
        <w:rPr>
          <w:rFonts w:ascii="Arial" w:hAnsi="Arial" w:cs="Arial"/>
          <w:sz w:val="20"/>
          <w:szCs w:val="20"/>
        </w:rPr>
      </w:pPr>
      <w:r w:rsidRPr="00A86A0A">
        <w:rPr>
          <w:rFonts w:ascii="Arial" w:hAnsi="Arial" w:cs="Arial"/>
          <w:sz w:val="20"/>
          <w:szCs w:val="20"/>
        </w:rPr>
        <w:t>Depois de citado o responsável, eventual elevação do valor do débito decorrente de nova metodologia de cálculo poderá ensejar a condenação pelo valor original, dispensando-se nova citação, desde que a diferença entre os dois montantes não seja significativa, em observância aos princípios da racionalização administrativa e da economia processual.</w:t>
      </w:r>
    </w:p>
    <w:p w:rsidR="00A86A0A" w:rsidRPr="00A86A0A" w:rsidRDefault="00A86A0A" w:rsidP="00A86A0A">
      <w:pPr>
        <w:spacing w:after="0"/>
        <w:jc w:val="both"/>
        <w:rPr>
          <w:rFonts w:ascii="Arial" w:hAnsi="Arial" w:cs="Arial"/>
          <w:sz w:val="20"/>
          <w:szCs w:val="20"/>
        </w:rPr>
      </w:pPr>
    </w:p>
    <w:p w:rsidR="00C9532C" w:rsidRDefault="0009711C" w:rsidP="00A86A0A">
      <w:pPr>
        <w:widowControl w:val="0"/>
        <w:autoSpaceDE w:val="0"/>
        <w:autoSpaceDN w:val="0"/>
        <w:spacing w:after="0"/>
        <w:jc w:val="both"/>
        <w:rPr>
          <w:rFonts w:ascii="Arial" w:hAnsi="Arial" w:cs="Arial"/>
          <w:sz w:val="20"/>
          <w:szCs w:val="20"/>
        </w:rPr>
      </w:pPr>
      <w:hyperlink r:id="rId21" w:history="1">
        <w:r w:rsidR="00C9532C" w:rsidRPr="00806D7C">
          <w:rPr>
            <w:rStyle w:val="Hyperlink"/>
            <w:rFonts w:ascii="Arial" w:hAnsi="Arial" w:cs="Arial"/>
            <w:b/>
            <w:sz w:val="20"/>
            <w:szCs w:val="20"/>
          </w:rPr>
          <w:t xml:space="preserve">Acórdão 2813/2017 </w:t>
        </w:r>
        <w:r w:rsidR="00806D7C" w:rsidRPr="00806D7C">
          <w:rPr>
            <w:rStyle w:val="Hyperlink"/>
            <w:rFonts w:ascii="Arial" w:hAnsi="Arial" w:cs="Arial"/>
            <w:b/>
            <w:sz w:val="20"/>
            <w:szCs w:val="20"/>
          </w:rPr>
          <w:t xml:space="preserve">- </w:t>
        </w:r>
        <w:r w:rsidR="00C9532C" w:rsidRPr="00806D7C">
          <w:rPr>
            <w:rStyle w:val="Hyperlink"/>
            <w:rFonts w:ascii="Arial" w:hAnsi="Arial" w:cs="Arial"/>
            <w:b/>
            <w:sz w:val="20"/>
            <w:szCs w:val="20"/>
          </w:rPr>
          <w:t>Primeira Câmara</w:t>
        </w:r>
      </w:hyperlink>
      <w:r w:rsidR="00C9532C" w:rsidRPr="00A86A0A">
        <w:rPr>
          <w:rFonts w:ascii="Arial" w:hAnsi="Arial" w:cs="Arial"/>
          <w:b/>
          <w:sz w:val="20"/>
          <w:szCs w:val="20"/>
        </w:rPr>
        <w:t xml:space="preserve"> </w:t>
      </w:r>
      <w:r w:rsidR="00C9532C" w:rsidRPr="00A86A0A">
        <w:rPr>
          <w:rFonts w:ascii="Arial" w:hAnsi="Arial" w:cs="Arial"/>
          <w:sz w:val="20"/>
          <w:szCs w:val="20"/>
        </w:rPr>
        <w:t>(Recurso de Reconsideração, Relator Ministro Walton Alencar Rodrigues</w:t>
      </w:r>
      <w:proofErr w:type="gramStart"/>
      <w:r w:rsidR="00C9532C" w:rsidRPr="00A86A0A">
        <w:rPr>
          <w:rFonts w:ascii="Arial" w:hAnsi="Arial" w:cs="Arial"/>
          <w:sz w:val="20"/>
          <w:szCs w:val="20"/>
        </w:rPr>
        <w:t>)</w:t>
      </w:r>
      <w:proofErr w:type="gramEnd"/>
    </w:p>
    <w:p w:rsidR="00A86A0A" w:rsidRPr="00A86A0A" w:rsidRDefault="00A86A0A" w:rsidP="00A86A0A">
      <w:pPr>
        <w:widowControl w:val="0"/>
        <w:autoSpaceDE w:val="0"/>
        <w:autoSpaceDN w:val="0"/>
        <w:spacing w:after="0"/>
        <w:jc w:val="both"/>
        <w:rPr>
          <w:rFonts w:ascii="Arial" w:hAnsi="Arial" w:cs="Arial"/>
          <w:b/>
          <w:sz w:val="20"/>
          <w:szCs w:val="20"/>
        </w:rPr>
      </w:pPr>
    </w:p>
    <w:p w:rsidR="00C9532C" w:rsidRPr="00A86A0A" w:rsidRDefault="00C9532C" w:rsidP="00A86A0A">
      <w:pPr>
        <w:spacing w:after="0"/>
        <w:jc w:val="both"/>
        <w:rPr>
          <w:rFonts w:ascii="Arial" w:hAnsi="Arial" w:cs="Arial"/>
          <w:b/>
          <w:sz w:val="20"/>
          <w:szCs w:val="20"/>
        </w:rPr>
      </w:pPr>
      <w:r w:rsidRPr="00A86A0A">
        <w:rPr>
          <w:rFonts w:ascii="Arial" w:hAnsi="Arial" w:cs="Arial"/>
          <w:b/>
          <w:sz w:val="20"/>
          <w:szCs w:val="20"/>
        </w:rPr>
        <w:t>Direito Processual. Recurso. Efeito devolutivo. Multa. Fundamento legal. Valor. Alteração.</w:t>
      </w:r>
    </w:p>
    <w:p w:rsidR="00A86A0A" w:rsidRPr="00A86A0A" w:rsidRDefault="00A86A0A" w:rsidP="00A86A0A">
      <w:pPr>
        <w:spacing w:after="0"/>
        <w:jc w:val="both"/>
        <w:rPr>
          <w:rFonts w:ascii="Arial" w:hAnsi="Arial" w:cs="Arial"/>
          <w:sz w:val="20"/>
          <w:szCs w:val="20"/>
        </w:rPr>
      </w:pPr>
    </w:p>
    <w:p w:rsidR="00C9532C" w:rsidRDefault="00C9532C" w:rsidP="00A86A0A">
      <w:pPr>
        <w:pStyle w:val="TCU-Epgrafe"/>
        <w:spacing w:line="276" w:lineRule="auto"/>
        <w:ind w:left="0"/>
        <w:rPr>
          <w:rFonts w:ascii="Arial" w:hAnsi="Arial" w:cs="Arial"/>
          <w:sz w:val="20"/>
        </w:rPr>
      </w:pPr>
      <w:r w:rsidRPr="00A86A0A">
        <w:rPr>
          <w:rFonts w:ascii="Arial" w:hAnsi="Arial" w:cs="Arial"/>
          <w:sz w:val="20"/>
        </w:rPr>
        <w:t>Afastada a condenação em débito em etapa recursal, o TCU pode manter o julgamento pela irregularidade das contas e alterar o valor e o fundamento legal da multa, se remanescer ato ilegal sobre o qual já se tenha oportunizado ao responsável o exercício do contraditório e da ampla defesa.</w:t>
      </w:r>
    </w:p>
    <w:p w:rsidR="00C9532C" w:rsidRPr="00A86A0A" w:rsidRDefault="00C9532C" w:rsidP="00A86A0A">
      <w:pPr>
        <w:spacing w:after="0"/>
        <w:jc w:val="both"/>
        <w:rPr>
          <w:rFonts w:ascii="Arial" w:hAnsi="Arial" w:cs="Arial"/>
          <w:sz w:val="20"/>
          <w:szCs w:val="20"/>
        </w:rPr>
      </w:pPr>
    </w:p>
    <w:p w:rsidR="0088762D" w:rsidRDefault="0009711C" w:rsidP="00A86A0A">
      <w:pPr>
        <w:widowControl w:val="0"/>
        <w:autoSpaceDE w:val="0"/>
        <w:autoSpaceDN w:val="0"/>
        <w:spacing w:after="0"/>
        <w:jc w:val="both"/>
        <w:rPr>
          <w:rFonts w:ascii="Arial" w:hAnsi="Arial" w:cs="Arial"/>
          <w:sz w:val="20"/>
          <w:szCs w:val="20"/>
        </w:rPr>
      </w:pPr>
      <w:hyperlink r:id="rId22" w:history="1">
        <w:r w:rsidR="0088762D" w:rsidRPr="00546D89">
          <w:rPr>
            <w:rStyle w:val="Hyperlink"/>
            <w:rFonts w:ascii="Arial" w:hAnsi="Arial" w:cs="Arial"/>
            <w:b/>
            <w:sz w:val="20"/>
            <w:szCs w:val="20"/>
          </w:rPr>
          <w:t>Acórdão 929/2017 Plenário</w:t>
        </w:r>
      </w:hyperlink>
      <w:r w:rsidR="0088762D" w:rsidRPr="00A86A0A">
        <w:rPr>
          <w:rFonts w:ascii="Arial" w:hAnsi="Arial" w:cs="Arial"/>
          <w:b/>
          <w:sz w:val="20"/>
          <w:szCs w:val="20"/>
        </w:rPr>
        <w:t xml:space="preserve"> </w:t>
      </w:r>
      <w:r w:rsidR="0088762D" w:rsidRPr="00A86A0A">
        <w:rPr>
          <w:rFonts w:ascii="Arial" w:hAnsi="Arial" w:cs="Arial"/>
          <w:sz w:val="20"/>
          <w:szCs w:val="20"/>
        </w:rPr>
        <w:t xml:space="preserve">(Representação, Relator Ministro José </w:t>
      </w:r>
      <w:proofErr w:type="spellStart"/>
      <w:r w:rsidR="0088762D" w:rsidRPr="00A86A0A">
        <w:rPr>
          <w:rFonts w:ascii="Arial" w:hAnsi="Arial" w:cs="Arial"/>
          <w:sz w:val="20"/>
          <w:szCs w:val="20"/>
        </w:rPr>
        <w:t>Múcio</w:t>
      </w:r>
      <w:proofErr w:type="spellEnd"/>
      <w:r w:rsidR="0088762D" w:rsidRPr="00A86A0A">
        <w:rPr>
          <w:rFonts w:ascii="Arial" w:hAnsi="Arial" w:cs="Arial"/>
          <w:sz w:val="20"/>
          <w:szCs w:val="20"/>
        </w:rPr>
        <w:t xml:space="preserve"> Monteiro</w:t>
      </w:r>
      <w:proofErr w:type="gramStart"/>
      <w:r w:rsidR="0088762D" w:rsidRPr="00A86A0A">
        <w:rPr>
          <w:rFonts w:ascii="Arial" w:hAnsi="Arial" w:cs="Arial"/>
          <w:sz w:val="20"/>
          <w:szCs w:val="20"/>
        </w:rPr>
        <w:t>)</w:t>
      </w:r>
      <w:proofErr w:type="gramEnd"/>
    </w:p>
    <w:p w:rsidR="00A86A0A" w:rsidRPr="00A86A0A" w:rsidRDefault="00A86A0A" w:rsidP="00A86A0A">
      <w:pPr>
        <w:widowControl w:val="0"/>
        <w:autoSpaceDE w:val="0"/>
        <w:autoSpaceDN w:val="0"/>
        <w:spacing w:after="0"/>
        <w:jc w:val="both"/>
        <w:rPr>
          <w:rFonts w:ascii="Arial" w:hAnsi="Arial" w:cs="Arial"/>
          <w:b/>
          <w:sz w:val="20"/>
          <w:szCs w:val="20"/>
        </w:rPr>
      </w:pPr>
    </w:p>
    <w:p w:rsidR="0088762D" w:rsidRPr="00A86A0A" w:rsidRDefault="0088762D" w:rsidP="00A86A0A">
      <w:pPr>
        <w:spacing w:after="0"/>
        <w:jc w:val="both"/>
        <w:rPr>
          <w:rFonts w:ascii="Arial" w:hAnsi="Arial" w:cs="Arial"/>
          <w:b/>
          <w:sz w:val="20"/>
          <w:szCs w:val="20"/>
        </w:rPr>
      </w:pPr>
      <w:r w:rsidRPr="00A86A0A">
        <w:rPr>
          <w:rFonts w:ascii="Arial" w:hAnsi="Arial" w:cs="Arial"/>
          <w:b/>
          <w:sz w:val="20"/>
          <w:szCs w:val="20"/>
        </w:rPr>
        <w:t>Licitação. Consórcio. Poder discricionário. Princípio da motivação. Obras, serviços ou compras de grande vulto.</w:t>
      </w:r>
    </w:p>
    <w:p w:rsidR="00A86A0A" w:rsidRPr="00A86A0A" w:rsidRDefault="00A86A0A" w:rsidP="00A86A0A">
      <w:pPr>
        <w:spacing w:after="0"/>
        <w:jc w:val="both"/>
        <w:rPr>
          <w:rFonts w:ascii="Arial" w:hAnsi="Arial" w:cs="Arial"/>
          <w:sz w:val="20"/>
          <w:szCs w:val="20"/>
        </w:rPr>
      </w:pPr>
    </w:p>
    <w:p w:rsidR="0088762D" w:rsidRDefault="0088762D" w:rsidP="00A86A0A">
      <w:pPr>
        <w:pStyle w:val="TCU-Epgrafe"/>
        <w:spacing w:line="276" w:lineRule="auto"/>
        <w:ind w:left="0"/>
        <w:rPr>
          <w:rFonts w:ascii="Arial" w:hAnsi="Arial" w:cs="Arial"/>
          <w:sz w:val="20"/>
        </w:rPr>
      </w:pPr>
      <w:r w:rsidRPr="00A86A0A">
        <w:rPr>
          <w:rFonts w:ascii="Arial" w:hAnsi="Arial" w:cs="Arial"/>
          <w:sz w:val="20"/>
        </w:rPr>
        <w:t>A Administração, em respeito à transparência e à motivação dos atos administrativos, deve explicitar as razões para a admissão ou vedação à participação de consórcios de empresas quando da contratação de objetos de maior vulto e complexidade.</w:t>
      </w:r>
    </w:p>
    <w:p w:rsidR="00A86A0A" w:rsidRDefault="00A86A0A" w:rsidP="00A86A0A">
      <w:pPr>
        <w:pStyle w:val="TCU-Epgrafe"/>
        <w:spacing w:line="276" w:lineRule="auto"/>
        <w:ind w:left="0"/>
        <w:rPr>
          <w:rFonts w:ascii="Arial" w:hAnsi="Arial" w:cs="Arial"/>
          <w:sz w:val="20"/>
        </w:rPr>
      </w:pPr>
    </w:p>
    <w:p w:rsidR="004A22CF" w:rsidRDefault="0009711C" w:rsidP="00A86A0A">
      <w:pPr>
        <w:widowControl w:val="0"/>
        <w:autoSpaceDE w:val="0"/>
        <w:autoSpaceDN w:val="0"/>
        <w:spacing w:after="0"/>
        <w:jc w:val="both"/>
        <w:rPr>
          <w:rFonts w:ascii="Arial" w:hAnsi="Arial" w:cs="Arial"/>
          <w:sz w:val="20"/>
          <w:szCs w:val="20"/>
        </w:rPr>
      </w:pPr>
      <w:hyperlink r:id="rId23" w:history="1">
        <w:r w:rsidR="004A22CF" w:rsidRPr="009B4E5D">
          <w:rPr>
            <w:rStyle w:val="Hyperlink"/>
            <w:rFonts w:ascii="Arial" w:hAnsi="Arial" w:cs="Arial"/>
            <w:b/>
            <w:sz w:val="20"/>
            <w:szCs w:val="20"/>
          </w:rPr>
          <w:t>Acórdão 929/2017 Plenário</w:t>
        </w:r>
      </w:hyperlink>
      <w:r w:rsidR="004A22CF" w:rsidRPr="00A86A0A">
        <w:rPr>
          <w:rFonts w:ascii="Arial" w:hAnsi="Arial" w:cs="Arial"/>
          <w:b/>
          <w:sz w:val="20"/>
          <w:szCs w:val="20"/>
        </w:rPr>
        <w:t xml:space="preserve"> </w:t>
      </w:r>
      <w:r w:rsidR="004A22CF" w:rsidRPr="00A86A0A">
        <w:rPr>
          <w:rFonts w:ascii="Arial" w:hAnsi="Arial" w:cs="Arial"/>
          <w:sz w:val="20"/>
          <w:szCs w:val="20"/>
        </w:rPr>
        <w:t xml:space="preserve">(Representação, Relator Ministro José </w:t>
      </w:r>
      <w:proofErr w:type="spellStart"/>
      <w:r w:rsidR="004A22CF" w:rsidRPr="00A86A0A">
        <w:rPr>
          <w:rFonts w:ascii="Arial" w:hAnsi="Arial" w:cs="Arial"/>
          <w:sz w:val="20"/>
          <w:szCs w:val="20"/>
        </w:rPr>
        <w:t>Múcio</w:t>
      </w:r>
      <w:proofErr w:type="spellEnd"/>
      <w:r w:rsidR="004A22CF" w:rsidRPr="00A86A0A">
        <w:rPr>
          <w:rFonts w:ascii="Arial" w:hAnsi="Arial" w:cs="Arial"/>
          <w:sz w:val="20"/>
          <w:szCs w:val="20"/>
        </w:rPr>
        <w:t xml:space="preserve"> Monteiro</w:t>
      </w:r>
      <w:proofErr w:type="gramStart"/>
      <w:r w:rsidR="004A22CF" w:rsidRPr="00A86A0A">
        <w:rPr>
          <w:rFonts w:ascii="Arial" w:hAnsi="Arial" w:cs="Arial"/>
          <w:sz w:val="20"/>
          <w:szCs w:val="20"/>
        </w:rPr>
        <w:t>)</w:t>
      </w:r>
      <w:proofErr w:type="gramEnd"/>
    </w:p>
    <w:p w:rsidR="00A86A0A" w:rsidRPr="00A86A0A" w:rsidRDefault="00A86A0A" w:rsidP="00A86A0A">
      <w:pPr>
        <w:widowControl w:val="0"/>
        <w:autoSpaceDE w:val="0"/>
        <w:autoSpaceDN w:val="0"/>
        <w:spacing w:after="0"/>
        <w:jc w:val="both"/>
        <w:rPr>
          <w:rFonts w:ascii="Arial" w:hAnsi="Arial" w:cs="Arial"/>
          <w:b/>
          <w:sz w:val="20"/>
          <w:szCs w:val="20"/>
        </w:rPr>
      </w:pPr>
    </w:p>
    <w:p w:rsidR="004A22CF" w:rsidRPr="00A86A0A" w:rsidRDefault="004A22CF" w:rsidP="00A86A0A">
      <w:pPr>
        <w:spacing w:after="0"/>
        <w:jc w:val="both"/>
        <w:rPr>
          <w:rFonts w:ascii="Arial" w:hAnsi="Arial" w:cs="Arial"/>
          <w:b/>
          <w:sz w:val="20"/>
          <w:szCs w:val="20"/>
        </w:rPr>
      </w:pPr>
      <w:r w:rsidRPr="00A86A0A">
        <w:rPr>
          <w:rFonts w:ascii="Arial" w:hAnsi="Arial" w:cs="Arial"/>
          <w:b/>
          <w:sz w:val="20"/>
          <w:szCs w:val="20"/>
        </w:rPr>
        <w:t xml:space="preserve">Licitação. Parcelamento do objeto. Exceção. Serviço de manutenção e reparos. Conservação. </w:t>
      </w:r>
      <w:proofErr w:type="spellStart"/>
      <w:r w:rsidRPr="00A86A0A">
        <w:rPr>
          <w:rFonts w:ascii="Arial" w:hAnsi="Arial" w:cs="Arial"/>
          <w:b/>
          <w:sz w:val="20"/>
          <w:szCs w:val="20"/>
        </w:rPr>
        <w:t>Facilities</w:t>
      </w:r>
      <w:proofErr w:type="spellEnd"/>
      <w:r w:rsidRPr="00A86A0A">
        <w:rPr>
          <w:rFonts w:ascii="Arial" w:hAnsi="Arial" w:cs="Arial"/>
          <w:b/>
          <w:sz w:val="20"/>
          <w:szCs w:val="20"/>
        </w:rPr>
        <w:t>.</w:t>
      </w:r>
    </w:p>
    <w:p w:rsidR="00A86A0A" w:rsidRPr="00A86A0A" w:rsidRDefault="00A86A0A" w:rsidP="00A86A0A">
      <w:pPr>
        <w:spacing w:after="0"/>
        <w:jc w:val="both"/>
        <w:rPr>
          <w:rFonts w:ascii="Arial" w:hAnsi="Arial" w:cs="Arial"/>
          <w:sz w:val="20"/>
          <w:szCs w:val="20"/>
        </w:rPr>
      </w:pPr>
    </w:p>
    <w:p w:rsidR="004A22CF" w:rsidRPr="00A86A0A" w:rsidRDefault="004A22CF" w:rsidP="00A86A0A">
      <w:pPr>
        <w:pStyle w:val="TCU-Epgrafe"/>
        <w:spacing w:line="276" w:lineRule="auto"/>
        <w:ind w:left="0"/>
        <w:rPr>
          <w:rFonts w:ascii="Arial" w:hAnsi="Arial" w:cs="Arial"/>
          <w:sz w:val="20"/>
        </w:rPr>
      </w:pPr>
      <w:r w:rsidRPr="00A86A0A">
        <w:rPr>
          <w:rFonts w:ascii="Arial" w:hAnsi="Arial" w:cs="Arial"/>
          <w:sz w:val="20"/>
        </w:rPr>
        <w:t xml:space="preserve">Assegurado o atendimento aos princípios que regem as licitações e os contratos públicos, a contratação de serviços de conservação e manutenção de infraestrutura predial, com a inclusão de serviços variados, na modelagem conhecida como contratação de </w:t>
      </w:r>
      <w:proofErr w:type="spellStart"/>
      <w:r w:rsidRPr="00A86A0A">
        <w:rPr>
          <w:rFonts w:ascii="Arial" w:hAnsi="Arial" w:cs="Arial"/>
          <w:bCs/>
          <w:i/>
          <w:sz w:val="20"/>
        </w:rPr>
        <w:t>facilities</w:t>
      </w:r>
      <w:proofErr w:type="spellEnd"/>
      <w:r w:rsidRPr="00A86A0A">
        <w:rPr>
          <w:rFonts w:ascii="Arial" w:hAnsi="Arial" w:cs="Arial"/>
          <w:sz w:val="20"/>
        </w:rPr>
        <w:t xml:space="preserve">, não configura, por si só, afronta à lei de licitações, quando previa e formalmente motivada, de modo a evidenciar, de forma clara e inequívoca, os benefícios potenciais advindos dessa </w:t>
      </w:r>
      <w:r w:rsidRPr="00A86A0A">
        <w:rPr>
          <w:rFonts w:ascii="Arial" w:hAnsi="Arial" w:cs="Arial"/>
          <w:sz w:val="20"/>
        </w:rPr>
        <w:lastRenderedPageBreak/>
        <w:t>modelagem, com destaque para a quantificação das vantagens econômicas e financeiras e dos ganhos advindos da economia de escala.</w:t>
      </w:r>
    </w:p>
    <w:p w:rsidR="00681787" w:rsidRDefault="00681787" w:rsidP="00027A03">
      <w:pPr>
        <w:spacing w:after="0"/>
      </w:pPr>
    </w:p>
    <w:p w:rsidR="000800D1" w:rsidRDefault="000800D1" w:rsidP="000800D1">
      <w:pPr>
        <w:spacing w:after="0"/>
        <w:jc w:val="both"/>
        <w:rPr>
          <w:rFonts w:ascii="Arial" w:hAnsi="Arial" w:cs="Arial"/>
          <w:b/>
          <w:color w:val="000000"/>
          <w:sz w:val="20"/>
          <w:szCs w:val="20"/>
        </w:rPr>
      </w:pPr>
      <w:r>
        <w:rPr>
          <w:rFonts w:ascii="Arial" w:hAnsi="Arial" w:cs="Arial"/>
          <w:b/>
          <w:color w:val="000000"/>
          <w:sz w:val="20"/>
          <w:szCs w:val="20"/>
        </w:rPr>
        <w:t>OLACEFS - Organização da América Latina e do Caribe de Entidades Fiscalizadoras Superiores:</w:t>
      </w:r>
      <w:proofErr w:type="gramStart"/>
      <w:r>
        <w:rPr>
          <w:rFonts w:ascii="Arial" w:hAnsi="Arial" w:cs="Arial"/>
          <w:b/>
          <w:color w:val="000000"/>
          <w:sz w:val="20"/>
          <w:szCs w:val="20"/>
        </w:rPr>
        <w:t xml:space="preserve">  </w:t>
      </w:r>
    </w:p>
    <w:p w:rsidR="00702F7C" w:rsidRDefault="00702F7C" w:rsidP="00027A03">
      <w:pPr>
        <w:spacing w:after="0"/>
      </w:pPr>
      <w:proofErr w:type="gramEnd"/>
    </w:p>
    <w:p w:rsidR="00702F7C" w:rsidRPr="00492026" w:rsidRDefault="000A0748" w:rsidP="00900BC5">
      <w:pPr>
        <w:widowControl w:val="0"/>
        <w:autoSpaceDE w:val="0"/>
        <w:autoSpaceDN w:val="0"/>
        <w:spacing w:after="0"/>
        <w:jc w:val="both"/>
        <w:rPr>
          <w:rFonts w:ascii="Arial" w:hAnsi="Arial" w:cs="Arial"/>
          <w:b/>
          <w:sz w:val="20"/>
          <w:szCs w:val="20"/>
        </w:rPr>
      </w:pPr>
      <w:r w:rsidRPr="00492026">
        <w:rPr>
          <w:rFonts w:ascii="Arial" w:hAnsi="Arial" w:cs="Arial"/>
          <w:sz w:val="20"/>
          <w:szCs w:val="20"/>
        </w:rPr>
        <w:t>Cronograma</w:t>
      </w:r>
      <w:r w:rsidR="00516673" w:rsidRPr="00492026">
        <w:rPr>
          <w:rFonts w:ascii="Arial" w:hAnsi="Arial" w:cs="Arial"/>
          <w:sz w:val="20"/>
          <w:szCs w:val="20"/>
        </w:rPr>
        <w:t xml:space="preserve"> </w:t>
      </w:r>
      <w:r w:rsidR="00900BC5" w:rsidRPr="00492026">
        <w:rPr>
          <w:rFonts w:ascii="Arial" w:hAnsi="Arial" w:cs="Arial"/>
          <w:sz w:val="20"/>
          <w:szCs w:val="20"/>
        </w:rPr>
        <w:t xml:space="preserve">das </w:t>
      </w:r>
      <w:r w:rsidR="00516673" w:rsidRPr="00492026">
        <w:rPr>
          <w:rFonts w:ascii="Arial" w:hAnsi="Arial" w:cs="Arial"/>
          <w:sz w:val="20"/>
          <w:szCs w:val="20"/>
        </w:rPr>
        <w:t>Auditórias Coordenadas de Governança d</w:t>
      </w:r>
      <w:r w:rsidR="00900BC5" w:rsidRPr="00492026">
        <w:rPr>
          <w:rFonts w:ascii="Arial" w:hAnsi="Arial" w:cs="Arial"/>
          <w:sz w:val="20"/>
          <w:szCs w:val="20"/>
        </w:rPr>
        <w:t xml:space="preserve">e </w:t>
      </w:r>
      <w:r w:rsidR="00516673" w:rsidRPr="00492026">
        <w:rPr>
          <w:rFonts w:ascii="Arial" w:hAnsi="Arial" w:cs="Arial"/>
          <w:sz w:val="20"/>
          <w:szCs w:val="20"/>
        </w:rPr>
        <w:t>Políticas</w:t>
      </w:r>
      <w:r w:rsidR="000A47FD" w:rsidRPr="00492026">
        <w:rPr>
          <w:rFonts w:ascii="Arial" w:hAnsi="Arial" w:cs="Arial"/>
          <w:sz w:val="20"/>
          <w:szCs w:val="20"/>
        </w:rPr>
        <w:t xml:space="preserve"> Públicas </w:t>
      </w:r>
      <w:r w:rsidR="00516673" w:rsidRPr="00492026">
        <w:rPr>
          <w:rFonts w:ascii="Arial" w:hAnsi="Arial" w:cs="Arial"/>
          <w:sz w:val="20"/>
          <w:szCs w:val="20"/>
        </w:rPr>
        <w:t xml:space="preserve">nas Regiões de Fronteira </w:t>
      </w:r>
      <w:r w:rsidRPr="00492026">
        <w:rPr>
          <w:rFonts w:ascii="Arial" w:hAnsi="Arial" w:cs="Arial"/>
          <w:sz w:val="20"/>
          <w:szCs w:val="20"/>
        </w:rPr>
        <w:t xml:space="preserve">disponível em língua espanhola: </w:t>
      </w:r>
      <w:hyperlink r:id="rId24" w:history="1">
        <w:proofErr w:type="spellStart"/>
        <w:r w:rsidR="00B040B7" w:rsidRPr="00492026">
          <w:rPr>
            <w:rStyle w:val="Hyperlink"/>
            <w:rFonts w:ascii="Arial" w:hAnsi="Arial" w:cs="Arial"/>
            <w:b/>
            <w:sz w:val="20"/>
            <w:szCs w:val="20"/>
          </w:rPr>
          <w:t>Auditorías</w:t>
        </w:r>
        <w:proofErr w:type="spellEnd"/>
        <w:r w:rsidR="00B040B7" w:rsidRPr="00492026">
          <w:rPr>
            <w:rStyle w:val="Hyperlink"/>
            <w:rFonts w:ascii="Arial" w:hAnsi="Arial" w:cs="Arial"/>
            <w:b/>
            <w:sz w:val="20"/>
            <w:szCs w:val="20"/>
          </w:rPr>
          <w:t xml:space="preserve"> </w:t>
        </w:r>
        <w:proofErr w:type="spellStart"/>
        <w:r w:rsidR="00B040B7" w:rsidRPr="00492026">
          <w:rPr>
            <w:rStyle w:val="Hyperlink"/>
            <w:rFonts w:ascii="Arial" w:hAnsi="Arial" w:cs="Arial"/>
            <w:b/>
            <w:sz w:val="20"/>
            <w:szCs w:val="20"/>
          </w:rPr>
          <w:t>Coordinadas</w:t>
        </w:r>
        <w:proofErr w:type="spellEnd"/>
        <w:r w:rsidR="00B040B7" w:rsidRPr="00492026">
          <w:rPr>
            <w:rStyle w:val="Hyperlink"/>
            <w:rFonts w:ascii="Arial" w:hAnsi="Arial" w:cs="Arial"/>
            <w:b/>
            <w:sz w:val="20"/>
            <w:szCs w:val="20"/>
          </w:rPr>
          <w:t xml:space="preserve"> de </w:t>
        </w:r>
        <w:proofErr w:type="spellStart"/>
        <w:r w:rsidR="00B040B7" w:rsidRPr="00492026">
          <w:rPr>
            <w:rStyle w:val="Hyperlink"/>
            <w:rFonts w:ascii="Arial" w:hAnsi="Arial" w:cs="Arial"/>
            <w:b/>
            <w:sz w:val="20"/>
            <w:szCs w:val="20"/>
          </w:rPr>
          <w:t>Gobernanza</w:t>
        </w:r>
        <w:proofErr w:type="spellEnd"/>
        <w:r w:rsidR="00B040B7" w:rsidRPr="00492026">
          <w:rPr>
            <w:rStyle w:val="Hyperlink"/>
            <w:rFonts w:ascii="Arial" w:hAnsi="Arial" w:cs="Arial"/>
            <w:b/>
            <w:sz w:val="20"/>
            <w:szCs w:val="20"/>
          </w:rPr>
          <w:t xml:space="preserve"> de </w:t>
        </w:r>
        <w:proofErr w:type="spellStart"/>
        <w:r w:rsidR="00B040B7" w:rsidRPr="00492026">
          <w:rPr>
            <w:rStyle w:val="Hyperlink"/>
            <w:rFonts w:ascii="Arial" w:hAnsi="Arial" w:cs="Arial"/>
            <w:b/>
            <w:sz w:val="20"/>
            <w:szCs w:val="20"/>
          </w:rPr>
          <w:t>las</w:t>
        </w:r>
        <w:proofErr w:type="spellEnd"/>
        <w:r w:rsidR="00B040B7" w:rsidRPr="00492026">
          <w:rPr>
            <w:rStyle w:val="Hyperlink"/>
            <w:rFonts w:ascii="Arial" w:hAnsi="Arial" w:cs="Arial"/>
            <w:b/>
            <w:sz w:val="20"/>
            <w:szCs w:val="20"/>
          </w:rPr>
          <w:t xml:space="preserve"> Políticas </w:t>
        </w:r>
        <w:proofErr w:type="spellStart"/>
        <w:r w:rsidR="00B040B7" w:rsidRPr="00492026">
          <w:rPr>
            <w:rStyle w:val="Hyperlink"/>
            <w:rFonts w:ascii="Arial" w:hAnsi="Arial" w:cs="Arial"/>
            <w:b/>
            <w:sz w:val="20"/>
            <w:szCs w:val="20"/>
          </w:rPr>
          <w:t>en</w:t>
        </w:r>
        <w:proofErr w:type="spellEnd"/>
        <w:r w:rsidR="00B040B7" w:rsidRPr="00492026">
          <w:rPr>
            <w:rStyle w:val="Hyperlink"/>
            <w:rFonts w:ascii="Arial" w:hAnsi="Arial" w:cs="Arial"/>
            <w:b/>
            <w:sz w:val="20"/>
            <w:szCs w:val="20"/>
          </w:rPr>
          <w:t xml:space="preserve"> Zonas </w:t>
        </w:r>
        <w:proofErr w:type="spellStart"/>
        <w:proofErr w:type="gramStart"/>
        <w:r w:rsidR="00B040B7" w:rsidRPr="00492026">
          <w:rPr>
            <w:rStyle w:val="Hyperlink"/>
            <w:rFonts w:ascii="Arial" w:hAnsi="Arial" w:cs="Arial"/>
            <w:b/>
            <w:sz w:val="20"/>
            <w:szCs w:val="20"/>
          </w:rPr>
          <w:t>Fronterizas</w:t>
        </w:r>
        <w:proofErr w:type="spellEnd"/>
        <w:r w:rsidR="00900BC5" w:rsidRPr="00492026">
          <w:rPr>
            <w:rStyle w:val="Hyperlink"/>
            <w:rFonts w:ascii="Arial" w:hAnsi="Arial" w:cs="Arial"/>
            <w:b/>
            <w:sz w:val="20"/>
            <w:szCs w:val="20"/>
          </w:rPr>
          <w:t>.</w:t>
        </w:r>
        <w:proofErr w:type="gramEnd"/>
      </w:hyperlink>
    </w:p>
    <w:p w:rsidR="00B040B7" w:rsidRPr="00492026" w:rsidRDefault="00B040B7" w:rsidP="00027A03">
      <w:pPr>
        <w:spacing w:after="0"/>
        <w:rPr>
          <w:rFonts w:ascii="Arial" w:hAnsi="Arial" w:cs="Arial"/>
          <w:sz w:val="20"/>
          <w:szCs w:val="20"/>
        </w:rPr>
      </w:pPr>
    </w:p>
    <w:p w:rsidR="00702F7C" w:rsidRDefault="00E3788B" w:rsidP="0064029E">
      <w:pPr>
        <w:spacing w:after="0"/>
        <w:jc w:val="both"/>
        <w:rPr>
          <w:rFonts w:ascii="Arial" w:hAnsi="Arial" w:cs="Arial"/>
          <w:sz w:val="20"/>
          <w:szCs w:val="20"/>
        </w:rPr>
      </w:pPr>
      <w:r w:rsidRPr="00492026">
        <w:rPr>
          <w:rFonts w:ascii="Arial" w:hAnsi="Arial" w:cs="Arial"/>
          <w:sz w:val="20"/>
          <w:szCs w:val="20"/>
        </w:rPr>
        <w:t xml:space="preserve">Em continuidade a prática bem sucedida de adoção e </w:t>
      </w:r>
      <w:proofErr w:type="gramStart"/>
      <w:r w:rsidRPr="00492026">
        <w:rPr>
          <w:rFonts w:ascii="Arial" w:hAnsi="Arial" w:cs="Arial"/>
          <w:sz w:val="20"/>
          <w:szCs w:val="20"/>
        </w:rPr>
        <w:t>implementação</w:t>
      </w:r>
      <w:proofErr w:type="gramEnd"/>
      <w:r w:rsidRPr="00492026">
        <w:rPr>
          <w:rFonts w:ascii="Arial" w:hAnsi="Arial" w:cs="Arial"/>
          <w:sz w:val="20"/>
          <w:szCs w:val="20"/>
        </w:rPr>
        <w:t xml:space="preserve"> de ferramentas inovadoras para desenvolver capacidades </w:t>
      </w:r>
      <w:r w:rsidR="00492026" w:rsidRPr="00492026">
        <w:rPr>
          <w:rFonts w:ascii="Arial" w:hAnsi="Arial" w:cs="Arial"/>
          <w:sz w:val="20"/>
          <w:szCs w:val="20"/>
        </w:rPr>
        <w:t>profissionais e institucionais nas EFS (Entidade</w:t>
      </w:r>
      <w:r w:rsidR="007D5A53">
        <w:rPr>
          <w:rFonts w:ascii="Arial" w:hAnsi="Arial" w:cs="Arial"/>
          <w:sz w:val="20"/>
          <w:szCs w:val="20"/>
        </w:rPr>
        <w:t>s</w:t>
      </w:r>
      <w:r w:rsidR="00492026" w:rsidRPr="00492026">
        <w:rPr>
          <w:rFonts w:ascii="Arial" w:hAnsi="Arial" w:cs="Arial"/>
          <w:sz w:val="20"/>
          <w:szCs w:val="20"/>
        </w:rPr>
        <w:t xml:space="preserve"> de Fiscalização Superiores) da América Latina e Caribe</w:t>
      </w:r>
      <w:r w:rsidR="007D5A53">
        <w:rPr>
          <w:rFonts w:ascii="Arial" w:hAnsi="Arial" w:cs="Arial"/>
          <w:sz w:val="20"/>
          <w:szCs w:val="20"/>
        </w:rPr>
        <w:t xml:space="preserve">, se realizará um conjunto de auditorias coordenadas com </w:t>
      </w:r>
      <w:r w:rsidR="0009762F">
        <w:rPr>
          <w:rFonts w:ascii="Arial" w:hAnsi="Arial" w:cs="Arial"/>
          <w:sz w:val="20"/>
          <w:szCs w:val="20"/>
        </w:rPr>
        <w:t>vista a avaliar as políticas de governança em áreas de fronteira.</w:t>
      </w:r>
      <w:r w:rsidR="00AD6760">
        <w:rPr>
          <w:rFonts w:ascii="Arial" w:hAnsi="Arial" w:cs="Arial"/>
          <w:sz w:val="20"/>
          <w:szCs w:val="20"/>
        </w:rPr>
        <w:t xml:space="preserve"> O trabalho terá como objetivo selecionar políticas públicas de diferentes matrizes</w:t>
      </w:r>
      <w:r w:rsidR="007E1FB4">
        <w:rPr>
          <w:rFonts w:ascii="Arial" w:hAnsi="Arial" w:cs="Arial"/>
          <w:sz w:val="20"/>
          <w:szCs w:val="20"/>
        </w:rPr>
        <w:t xml:space="preserve"> no contexto dos países da EFSUR</w:t>
      </w:r>
      <w:r w:rsidR="00F01C16">
        <w:rPr>
          <w:rFonts w:ascii="Arial" w:hAnsi="Arial" w:cs="Arial"/>
          <w:sz w:val="20"/>
          <w:szCs w:val="20"/>
        </w:rPr>
        <w:t>*</w:t>
      </w:r>
      <w:r w:rsidR="007E1FB4">
        <w:rPr>
          <w:rFonts w:ascii="Arial" w:hAnsi="Arial" w:cs="Arial"/>
          <w:sz w:val="20"/>
          <w:szCs w:val="20"/>
        </w:rPr>
        <w:t xml:space="preserve"> (organização das entidades de Fiscalização Superior do </w:t>
      </w:r>
      <w:proofErr w:type="gramStart"/>
      <w:r w:rsidR="007E1FB4">
        <w:rPr>
          <w:rFonts w:ascii="Arial" w:hAnsi="Arial" w:cs="Arial"/>
          <w:sz w:val="20"/>
          <w:szCs w:val="20"/>
        </w:rPr>
        <w:t>Merc</w:t>
      </w:r>
      <w:r w:rsidR="00CD3C10">
        <w:rPr>
          <w:rFonts w:ascii="Arial" w:hAnsi="Arial" w:cs="Arial"/>
          <w:sz w:val="20"/>
          <w:szCs w:val="20"/>
        </w:rPr>
        <w:t>osul</w:t>
      </w:r>
      <w:proofErr w:type="gramEnd"/>
      <w:r w:rsidR="00CD3C10">
        <w:rPr>
          <w:rFonts w:ascii="Arial" w:hAnsi="Arial" w:cs="Arial"/>
          <w:sz w:val="20"/>
          <w:szCs w:val="20"/>
        </w:rPr>
        <w:t>)</w:t>
      </w:r>
      <w:r w:rsidR="007E1FB4">
        <w:rPr>
          <w:rFonts w:ascii="Arial" w:hAnsi="Arial" w:cs="Arial"/>
          <w:sz w:val="20"/>
          <w:szCs w:val="20"/>
        </w:rPr>
        <w:t xml:space="preserve"> </w:t>
      </w:r>
      <w:r w:rsidR="005B4F6C">
        <w:rPr>
          <w:rFonts w:ascii="Arial" w:hAnsi="Arial" w:cs="Arial"/>
          <w:sz w:val="20"/>
          <w:szCs w:val="20"/>
        </w:rPr>
        <w:t>e</w:t>
      </w:r>
      <w:r w:rsidR="00C71A97">
        <w:rPr>
          <w:rFonts w:ascii="Arial" w:hAnsi="Arial" w:cs="Arial"/>
          <w:sz w:val="20"/>
          <w:szCs w:val="20"/>
        </w:rPr>
        <w:t xml:space="preserve"> da</w:t>
      </w:r>
      <w:r w:rsidR="005B4F6C">
        <w:rPr>
          <w:rFonts w:ascii="Arial" w:hAnsi="Arial" w:cs="Arial"/>
          <w:sz w:val="20"/>
          <w:szCs w:val="20"/>
        </w:rPr>
        <w:t xml:space="preserve"> OLACEFS, a fim de analisar sua </w:t>
      </w:r>
      <w:r w:rsidR="00F5786C">
        <w:rPr>
          <w:rFonts w:ascii="Arial" w:hAnsi="Arial" w:cs="Arial"/>
          <w:sz w:val="20"/>
          <w:szCs w:val="20"/>
        </w:rPr>
        <w:t>efetividade operacional. A programação prevista para o quinquênio</w:t>
      </w:r>
      <w:r w:rsidR="0064029E">
        <w:rPr>
          <w:rFonts w:ascii="Arial" w:hAnsi="Arial" w:cs="Arial"/>
          <w:sz w:val="20"/>
          <w:szCs w:val="20"/>
        </w:rPr>
        <w:t xml:space="preserve"> (2017-2021) abordará os seguintes eixos</w:t>
      </w:r>
      <w:r w:rsidR="00C71A97">
        <w:rPr>
          <w:rFonts w:ascii="Arial" w:hAnsi="Arial" w:cs="Arial"/>
          <w:sz w:val="20"/>
          <w:szCs w:val="20"/>
        </w:rPr>
        <w:t xml:space="preserve"> temáticos</w:t>
      </w:r>
      <w:r w:rsidR="0064029E">
        <w:rPr>
          <w:rFonts w:ascii="Arial" w:hAnsi="Arial" w:cs="Arial"/>
          <w:sz w:val="20"/>
          <w:szCs w:val="20"/>
        </w:rPr>
        <w:t>: Governança de Políticas Públicas; Gestão dos Recurso</w:t>
      </w:r>
      <w:r w:rsidR="00E61E36">
        <w:rPr>
          <w:rFonts w:ascii="Arial" w:hAnsi="Arial" w:cs="Arial"/>
          <w:sz w:val="20"/>
          <w:szCs w:val="20"/>
        </w:rPr>
        <w:t>s</w:t>
      </w:r>
      <w:r w:rsidR="0064029E">
        <w:rPr>
          <w:rFonts w:ascii="Arial" w:hAnsi="Arial" w:cs="Arial"/>
          <w:sz w:val="20"/>
          <w:szCs w:val="20"/>
        </w:rPr>
        <w:t xml:space="preserve"> Naturais </w:t>
      </w:r>
      <w:r w:rsidR="00E61E36" w:rsidRPr="00E61E36">
        <w:rPr>
          <w:rFonts w:ascii="Arial" w:hAnsi="Arial" w:cs="Arial"/>
          <w:sz w:val="20"/>
          <w:szCs w:val="20"/>
        </w:rPr>
        <w:t>Transfronteiriços</w:t>
      </w:r>
      <w:r w:rsidR="000A3C2D">
        <w:rPr>
          <w:rFonts w:ascii="Arial" w:hAnsi="Arial" w:cs="Arial"/>
          <w:sz w:val="20"/>
          <w:szCs w:val="20"/>
        </w:rPr>
        <w:t>, Governança de Aspectos de Desenvolvimento Sustentável</w:t>
      </w:r>
      <w:r w:rsidR="00DA7899">
        <w:rPr>
          <w:rFonts w:ascii="Arial" w:hAnsi="Arial" w:cs="Arial"/>
          <w:sz w:val="20"/>
          <w:szCs w:val="20"/>
        </w:rPr>
        <w:t xml:space="preserve"> e </w:t>
      </w:r>
      <w:r w:rsidR="00E61E36">
        <w:rPr>
          <w:rFonts w:ascii="Arial" w:hAnsi="Arial" w:cs="Arial"/>
          <w:sz w:val="20"/>
          <w:szCs w:val="20"/>
        </w:rPr>
        <w:t>Segurança</w:t>
      </w:r>
      <w:r w:rsidR="00DA7899">
        <w:rPr>
          <w:rFonts w:ascii="Arial" w:hAnsi="Arial" w:cs="Arial"/>
          <w:sz w:val="20"/>
          <w:szCs w:val="20"/>
        </w:rPr>
        <w:t xml:space="preserve"> Compartilhada nas Regiões de Fronteira. </w:t>
      </w:r>
      <w:r w:rsidR="000A3C2D">
        <w:rPr>
          <w:rFonts w:ascii="Arial" w:hAnsi="Arial" w:cs="Arial"/>
          <w:sz w:val="20"/>
          <w:szCs w:val="20"/>
        </w:rPr>
        <w:t xml:space="preserve"> </w:t>
      </w:r>
      <w:r w:rsidR="0064029E">
        <w:rPr>
          <w:rFonts w:ascii="Arial" w:hAnsi="Arial" w:cs="Arial"/>
          <w:sz w:val="20"/>
          <w:szCs w:val="20"/>
        </w:rPr>
        <w:t xml:space="preserve">  </w:t>
      </w:r>
    </w:p>
    <w:p w:rsidR="00F01C16" w:rsidRDefault="00F01C16" w:rsidP="0064029E">
      <w:pPr>
        <w:spacing w:after="0"/>
        <w:jc w:val="both"/>
        <w:rPr>
          <w:rFonts w:ascii="Arial" w:hAnsi="Arial" w:cs="Arial"/>
          <w:sz w:val="20"/>
          <w:szCs w:val="20"/>
        </w:rPr>
      </w:pPr>
    </w:p>
    <w:p w:rsidR="00DA7899" w:rsidRDefault="00F01C16" w:rsidP="0064029E">
      <w:pPr>
        <w:spacing w:after="0"/>
        <w:jc w:val="both"/>
      </w:pPr>
      <w:r>
        <w:t>*</w:t>
      </w:r>
      <w:r w:rsidRPr="00F01C16">
        <w:rPr>
          <w:rFonts w:ascii="Arial" w:hAnsi="Arial" w:cs="Arial"/>
          <w:sz w:val="16"/>
          <w:szCs w:val="16"/>
        </w:rPr>
        <w:t xml:space="preserve"> </w:t>
      </w:r>
      <w:r w:rsidRPr="00345C65">
        <w:rPr>
          <w:rFonts w:ascii="Arial" w:hAnsi="Arial" w:cs="Arial"/>
          <w:sz w:val="16"/>
          <w:szCs w:val="16"/>
        </w:rPr>
        <w:t>Composta atualmente por oito EFS, a saber: Auditoria Geral da Nação Argentina; Controladoria Geral do Estado Plurinacional da Bolívia; Tribunal de Contas da União da República Federativa do Brasil; Controladoria Geral da República do Chile; Controladoria Geral do Estado do Equador; Controladoria Geral do Paraguai; Tribunal de Contas da República Oriental do Uruguai, e Controladoria Geral da República Bolivariana da Venezuela.</w:t>
      </w:r>
    </w:p>
    <w:p w:rsidR="002874A2" w:rsidRDefault="0060126D" w:rsidP="008D7542">
      <w:pPr>
        <w:jc w:val="center"/>
        <w:rPr>
          <w:rStyle w:val="Hyperlink"/>
          <w:rFonts w:ascii="Arial" w:hAnsi="Arial" w:cs="Arial"/>
          <w:i/>
          <w:color w:val="000000" w:themeColor="text1"/>
          <w:sz w:val="18"/>
          <w:szCs w:val="18"/>
          <w:u w:val="none"/>
        </w:rPr>
      </w:pPr>
      <w:r w:rsidRPr="005C4DB7">
        <w:rPr>
          <w:rFonts w:ascii="Arial" w:hAnsi="Arial" w:cs="Arial"/>
          <w:noProof/>
          <w:sz w:val="20"/>
          <w:szCs w:val="20"/>
          <w:lang w:eastAsia="pt-BR"/>
        </w:rPr>
        <mc:AlternateContent>
          <mc:Choice Requires="wps">
            <w:drawing>
              <wp:anchor distT="0" distB="0" distL="114300" distR="114300" simplePos="0" relativeHeight="251667456" behindDoc="0" locked="0" layoutInCell="1" allowOverlap="1" wp14:anchorId="32880E73" wp14:editId="289F161D">
                <wp:simplePos x="0" y="0"/>
                <wp:positionH relativeFrom="margin">
                  <wp:posOffset>-6985</wp:posOffset>
                </wp:positionH>
                <wp:positionV relativeFrom="paragraph">
                  <wp:posOffset>97155</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65E9DF" id="Conector reto 5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7.65pt" to="43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Default="00E30DE6" w:rsidP="008D7542">
      <w:pPr>
        <w:widowControl w:val="0"/>
        <w:autoSpaceDE w:val="0"/>
        <w:autoSpaceDN w:val="0"/>
        <w:jc w:val="center"/>
        <w:rPr>
          <w:rFonts w:ascii="Arial" w:hAnsi="Arial" w:cs="Arial"/>
          <w:b/>
          <w:sz w:val="20"/>
          <w:szCs w:val="20"/>
        </w:rPr>
      </w:pPr>
      <w:r w:rsidRPr="00F41C34">
        <w:rPr>
          <w:rStyle w:val="Hyperlink"/>
          <w:rFonts w:ascii="Arial" w:hAnsi="Arial" w:cs="Arial"/>
          <w:i/>
          <w:color w:val="000000" w:themeColor="text1"/>
          <w:sz w:val="18"/>
          <w:szCs w:val="18"/>
          <w:u w:val="none"/>
        </w:rPr>
        <w:t xml:space="preserve">Elaboração: Escola de Gestão Pública </w:t>
      </w:r>
      <w:r w:rsidR="001A16DE">
        <w:rPr>
          <w:rStyle w:val="Hyperlink"/>
          <w:rFonts w:ascii="Arial" w:hAnsi="Arial" w:cs="Arial"/>
          <w:i/>
          <w:color w:val="000000" w:themeColor="text1"/>
          <w:sz w:val="18"/>
          <w:szCs w:val="18"/>
          <w:u w:val="none"/>
        </w:rPr>
        <w:t>-</w:t>
      </w:r>
      <w:r w:rsidRPr="00F41C34">
        <w:rPr>
          <w:rStyle w:val="Hyperlink"/>
          <w:rFonts w:ascii="Arial" w:hAnsi="Arial" w:cs="Arial"/>
          <w:i/>
          <w:color w:val="000000" w:themeColor="text1"/>
          <w:sz w:val="18"/>
          <w:szCs w:val="18"/>
          <w:u w:val="none"/>
        </w:rPr>
        <w:t xml:space="preserve"> Jurisprudência</w:t>
      </w:r>
    </w:p>
    <w:p w:rsidR="008D7542" w:rsidRDefault="008D7542" w:rsidP="008D7542">
      <w:pPr>
        <w:widowControl w:val="0"/>
        <w:autoSpaceDE w:val="0"/>
        <w:autoSpaceDN w:val="0"/>
        <w:jc w:val="both"/>
        <w:rPr>
          <w:rFonts w:ascii="Arial" w:hAnsi="Arial" w:cs="Arial"/>
          <w:b/>
          <w:sz w:val="20"/>
          <w:szCs w:val="20"/>
        </w:rPr>
      </w:pPr>
    </w:p>
    <w:sectPr w:rsidR="008D7542">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DE" w:rsidRDefault="002245DE" w:rsidP="002245DE">
    <w:pPr>
      <w:pStyle w:val="Rodap"/>
      <w:jc w:val="center"/>
      <w:rPr>
        <w:sz w:val="16"/>
        <w:szCs w:val="16"/>
      </w:rPr>
    </w:pPr>
    <w:r>
      <w:rPr>
        <w:noProof/>
        <w:lang w:eastAsia="pt-BR"/>
      </w:rPr>
      <w:drawing>
        <wp:inline distT="0" distB="0" distL="0" distR="0" wp14:anchorId="76F19C9C" wp14:editId="2E121258">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09711C">
      <w:rPr>
        <w:noProof/>
        <w:sz w:val="16"/>
        <w:szCs w:val="16"/>
      </w:rPr>
      <w:t>3</w:t>
    </w:r>
    <w:r w:rsidRPr="0072292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36557203" wp14:editId="07039FB4">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840"/>
    <w:rsid w:val="00017EBA"/>
    <w:rsid w:val="00021B0A"/>
    <w:rsid w:val="00025971"/>
    <w:rsid w:val="000262AD"/>
    <w:rsid w:val="00027A03"/>
    <w:rsid w:val="00027FAB"/>
    <w:rsid w:val="000300F4"/>
    <w:rsid w:val="00033E69"/>
    <w:rsid w:val="00040EBA"/>
    <w:rsid w:val="000439FD"/>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4287"/>
    <w:rsid w:val="000747BF"/>
    <w:rsid w:val="00074FAB"/>
    <w:rsid w:val="000759E5"/>
    <w:rsid w:val="00076184"/>
    <w:rsid w:val="000800D1"/>
    <w:rsid w:val="0009260D"/>
    <w:rsid w:val="000926D4"/>
    <w:rsid w:val="00092E5D"/>
    <w:rsid w:val="0009482D"/>
    <w:rsid w:val="0009711C"/>
    <w:rsid w:val="0009762F"/>
    <w:rsid w:val="000A0748"/>
    <w:rsid w:val="000A0E48"/>
    <w:rsid w:val="000A29BE"/>
    <w:rsid w:val="000A3C2D"/>
    <w:rsid w:val="000A47FD"/>
    <w:rsid w:val="000A4EB6"/>
    <w:rsid w:val="000A5F01"/>
    <w:rsid w:val="000A71D1"/>
    <w:rsid w:val="000B11D2"/>
    <w:rsid w:val="000B1E10"/>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ACE"/>
    <w:rsid w:val="000E3FC6"/>
    <w:rsid w:val="000E464B"/>
    <w:rsid w:val="000E5AC8"/>
    <w:rsid w:val="000F04ED"/>
    <w:rsid w:val="000F18DA"/>
    <w:rsid w:val="000F1FFA"/>
    <w:rsid w:val="000F314C"/>
    <w:rsid w:val="000F639D"/>
    <w:rsid w:val="000F7C1B"/>
    <w:rsid w:val="00100B9C"/>
    <w:rsid w:val="00110517"/>
    <w:rsid w:val="00110BD6"/>
    <w:rsid w:val="00111C26"/>
    <w:rsid w:val="00112B60"/>
    <w:rsid w:val="00113EF1"/>
    <w:rsid w:val="00114B62"/>
    <w:rsid w:val="001159C9"/>
    <w:rsid w:val="00120862"/>
    <w:rsid w:val="0012211A"/>
    <w:rsid w:val="00123D02"/>
    <w:rsid w:val="00126447"/>
    <w:rsid w:val="00127DF2"/>
    <w:rsid w:val="00130717"/>
    <w:rsid w:val="0013298B"/>
    <w:rsid w:val="001342E3"/>
    <w:rsid w:val="0013514C"/>
    <w:rsid w:val="00135D5F"/>
    <w:rsid w:val="001411E6"/>
    <w:rsid w:val="001415BA"/>
    <w:rsid w:val="00142D10"/>
    <w:rsid w:val="00144712"/>
    <w:rsid w:val="001472C1"/>
    <w:rsid w:val="00150844"/>
    <w:rsid w:val="001529D8"/>
    <w:rsid w:val="00156185"/>
    <w:rsid w:val="00157806"/>
    <w:rsid w:val="00157D64"/>
    <w:rsid w:val="00161AA2"/>
    <w:rsid w:val="0016670D"/>
    <w:rsid w:val="00166A96"/>
    <w:rsid w:val="00170F9D"/>
    <w:rsid w:val="00171401"/>
    <w:rsid w:val="001720EB"/>
    <w:rsid w:val="0017455D"/>
    <w:rsid w:val="001823E7"/>
    <w:rsid w:val="0018272D"/>
    <w:rsid w:val="00190B94"/>
    <w:rsid w:val="001930D1"/>
    <w:rsid w:val="001942C5"/>
    <w:rsid w:val="00196437"/>
    <w:rsid w:val="001975AB"/>
    <w:rsid w:val="001A16DE"/>
    <w:rsid w:val="001B096B"/>
    <w:rsid w:val="001B5B65"/>
    <w:rsid w:val="001B5F7A"/>
    <w:rsid w:val="001B6E08"/>
    <w:rsid w:val="001C0F23"/>
    <w:rsid w:val="001C46A8"/>
    <w:rsid w:val="001D0693"/>
    <w:rsid w:val="001D51BD"/>
    <w:rsid w:val="001D6665"/>
    <w:rsid w:val="001D684B"/>
    <w:rsid w:val="001D6ADC"/>
    <w:rsid w:val="001E5F2E"/>
    <w:rsid w:val="001E6CAA"/>
    <w:rsid w:val="001F7A25"/>
    <w:rsid w:val="002013D1"/>
    <w:rsid w:val="0020195B"/>
    <w:rsid w:val="00202F4B"/>
    <w:rsid w:val="002036C8"/>
    <w:rsid w:val="002100EE"/>
    <w:rsid w:val="002147AC"/>
    <w:rsid w:val="00215EF3"/>
    <w:rsid w:val="00221D15"/>
    <w:rsid w:val="00223A59"/>
    <w:rsid w:val="00223F1C"/>
    <w:rsid w:val="002245DE"/>
    <w:rsid w:val="00224904"/>
    <w:rsid w:val="00232878"/>
    <w:rsid w:val="0023318C"/>
    <w:rsid w:val="00234AE0"/>
    <w:rsid w:val="00235F82"/>
    <w:rsid w:val="00237C21"/>
    <w:rsid w:val="0024200E"/>
    <w:rsid w:val="002426C3"/>
    <w:rsid w:val="002450AA"/>
    <w:rsid w:val="00245F7B"/>
    <w:rsid w:val="002478B9"/>
    <w:rsid w:val="00251273"/>
    <w:rsid w:val="00252AA5"/>
    <w:rsid w:val="00253ADA"/>
    <w:rsid w:val="00255360"/>
    <w:rsid w:val="00256A12"/>
    <w:rsid w:val="00256CEA"/>
    <w:rsid w:val="002571B4"/>
    <w:rsid w:val="00260758"/>
    <w:rsid w:val="00260D58"/>
    <w:rsid w:val="0026477F"/>
    <w:rsid w:val="002659BA"/>
    <w:rsid w:val="0026729F"/>
    <w:rsid w:val="00271154"/>
    <w:rsid w:val="002805F1"/>
    <w:rsid w:val="00286EB4"/>
    <w:rsid w:val="002874A2"/>
    <w:rsid w:val="002921E2"/>
    <w:rsid w:val="0029566D"/>
    <w:rsid w:val="00295F4B"/>
    <w:rsid w:val="002A00AC"/>
    <w:rsid w:val="002A0792"/>
    <w:rsid w:val="002A1D5F"/>
    <w:rsid w:val="002B070A"/>
    <w:rsid w:val="002B14B7"/>
    <w:rsid w:val="002B297F"/>
    <w:rsid w:val="002C19EA"/>
    <w:rsid w:val="002C480F"/>
    <w:rsid w:val="002C56C9"/>
    <w:rsid w:val="002D48D1"/>
    <w:rsid w:val="002D5B56"/>
    <w:rsid w:val="002D6612"/>
    <w:rsid w:val="002D7650"/>
    <w:rsid w:val="002E4277"/>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32BE"/>
    <w:rsid w:val="00320577"/>
    <w:rsid w:val="0032266D"/>
    <w:rsid w:val="00325E2F"/>
    <w:rsid w:val="00327DF9"/>
    <w:rsid w:val="00331533"/>
    <w:rsid w:val="0033604C"/>
    <w:rsid w:val="003407F0"/>
    <w:rsid w:val="00343C28"/>
    <w:rsid w:val="00344A3D"/>
    <w:rsid w:val="00344A41"/>
    <w:rsid w:val="0034575E"/>
    <w:rsid w:val="00345C65"/>
    <w:rsid w:val="00350CC2"/>
    <w:rsid w:val="00351206"/>
    <w:rsid w:val="0035203F"/>
    <w:rsid w:val="00352A72"/>
    <w:rsid w:val="0035371B"/>
    <w:rsid w:val="00353FEB"/>
    <w:rsid w:val="00356987"/>
    <w:rsid w:val="00356FB0"/>
    <w:rsid w:val="00361F1D"/>
    <w:rsid w:val="00364392"/>
    <w:rsid w:val="00365E61"/>
    <w:rsid w:val="00365EFF"/>
    <w:rsid w:val="00365F51"/>
    <w:rsid w:val="0038012F"/>
    <w:rsid w:val="00380BAB"/>
    <w:rsid w:val="0038751C"/>
    <w:rsid w:val="00394451"/>
    <w:rsid w:val="003A6622"/>
    <w:rsid w:val="003B502C"/>
    <w:rsid w:val="003C6B35"/>
    <w:rsid w:val="003C7C21"/>
    <w:rsid w:val="003D6E90"/>
    <w:rsid w:val="003D7C37"/>
    <w:rsid w:val="003E110D"/>
    <w:rsid w:val="003E3529"/>
    <w:rsid w:val="003E3D02"/>
    <w:rsid w:val="003E3E6A"/>
    <w:rsid w:val="003E55BC"/>
    <w:rsid w:val="003F0088"/>
    <w:rsid w:val="003F03C6"/>
    <w:rsid w:val="003F2DDE"/>
    <w:rsid w:val="003F5060"/>
    <w:rsid w:val="003F677C"/>
    <w:rsid w:val="003F7090"/>
    <w:rsid w:val="004043AD"/>
    <w:rsid w:val="00405A6A"/>
    <w:rsid w:val="00406D2C"/>
    <w:rsid w:val="0041120A"/>
    <w:rsid w:val="0041337A"/>
    <w:rsid w:val="00416A72"/>
    <w:rsid w:val="00420AE1"/>
    <w:rsid w:val="0042728A"/>
    <w:rsid w:val="004276DC"/>
    <w:rsid w:val="0043291F"/>
    <w:rsid w:val="004371F9"/>
    <w:rsid w:val="0043728E"/>
    <w:rsid w:val="00437541"/>
    <w:rsid w:val="00441D38"/>
    <w:rsid w:val="00441E59"/>
    <w:rsid w:val="00444C25"/>
    <w:rsid w:val="0044532C"/>
    <w:rsid w:val="00447BB2"/>
    <w:rsid w:val="00455387"/>
    <w:rsid w:val="00455AAB"/>
    <w:rsid w:val="00457317"/>
    <w:rsid w:val="004611E1"/>
    <w:rsid w:val="0046165B"/>
    <w:rsid w:val="00462460"/>
    <w:rsid w:val="004624E9"/>
    <w:rsid w:val="00462A13"/>
    <w:rsid w:val="00462F2A"/>
    <w:rsid w:val="00463AC5"/>
    <w:rsid w:val="00463BA8"/>
    <w:rsid w:val="00464835"/>
    <w:rsid w:val="004654D3"/>
    <w:rsid w:val="00470218"/>
    <w:rsid w:val="0048130C"/>
    <w:rsid w:val="00482FA5"/>
    <w:rsid w:val="00484E6E"/>
    <w:rsid w:val="00485819"/>
    <w:rsid w:val="00487D31"/>
    <w:rsid w:val="00490000"/>
    <w:rsid w:val="00492026"/>
    <w:rsid w:val="004920C5"/>
    <w:rsid w:val="004927D6"/>
    <w:rsid w:val="00492E16"/>
    <w:rsid w:val="00494AE3"/>
    <w:rsid w:val="00494C04"/>
    <w:rsid w:val="0049557F"/>
    <w:rsid w:val="004965C3"/>
    <w:rsid w:val="004A0574"/>
    <w:rsid w:val="004A22CF"/>
    <w:rsid w:val="004A5804"/>
    <w:rsid w:val="004A794E"/>
    <w:rsid w:val="004B142E"/>
    <w:rsid w:val="004B44C1"/>
    <w:rsid w:val="004B623F"/>
    <w:rsid w:val="004C11DE"/>
    <w:rsid w:val="004C13DB"/>
    <w:rsid w:val="004D00EF"/>
    <w:rsid w:val="004D14AD"/>
    <w:rsid w:val="004D376C"/>
    <w:rsid w:val="004D3864"/>
    <w:rsid w:val="004D58CD"/>
    <w:rsid w:val="004D5EEF"/>
    <w:rsid w:val="004D75B0"/>
    <w:rsid w:val="004D7DC5"/>
    <w:rsid w:val="004E6410"/>
    <w:rsid w:val="004E7C93"/>
    <w:rsid w:val="004F3C8F"/>
    <w:rsid w:val="00500939"/>
    <w:rsid w:val="00501FC7"/>
    <w:rsid w:val="005025F4"/>
    <w:rsid w:val="00502AAF"/>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401E"/>
    <w:rsid w:val="00535AAB"/>
    <w:rsid w:val="00540B8E"/>
    <w:rsid w:val="00542636"/>
    <w:rsid w:val="00544AB5"/>
    <w:rsid w:val="00546D89"/>
    <w:rsid w:val="00547AFC"/>
    <w:rsid w:val="0055022A"/>
    <w:rsid w:val="005503E5"/>
    <w:rsid w:val="005513B0"/>
    <w:rsid w:val="00556F73"/>
    <w:rsid w:val="005576BE"/>
    <w:rsid w:val="00561787"/>
    <w:rsid w:val="0056193C"/>
    <w:rsid w:val="00561EF9"/>
    <w:rsid w:val="005650CD"/>
    <w:rsid w:val="00566AE8"/>
    <w:rsid w:val="005670EC"/>
    <w:rsid w:val="005706D5"/>
    <w:rsid w:val="005728BC"/>
    <w:rsid w:val="00573F1D"/>
    <w:rsid w:val="005759E4"/>
    <w:rsid w:val="00575AE8"/>
    <w:rsid w:val="00576089"/>
    <w:rsid w:val="005819D2"/>
    <w:rsid w:val="00582374"/>
    <w:rsid w:val="00584BC6"/>
    <w:rsid w:val="0058559D"/>
    <w:rsid w:val="005856F2"/>
    <w:rsid w:val="00585A3B"/>
    <w:rsid w:val="00586D7A"/>
    <w:rsid w:val="00590FA0"/>
    <w:rsid w:val="00594F73"/>
    <w:rsid w:val="005957D1"/>
    <w:rsid w:val="00597215"/>
    <w:rsid w:val="005A0FD0"/>
    <w:rsid w:val="005A1468"/>
    <w:rsid w:val="005A5AF2"/>
    <w:rsid w:val="005A742F"/>
    <w:rsid w:val="005B4F6C"/>
    <w:rsid w:val="005B7055"/>
    <w:rsid w:val="005C4763"/>
    <w:rsid w:val="005C4DB7"/>
    <w:rsid w:val="005C5DC8"/>
    <w:rsid w:val="005C661E"/>
    <w:rsid w:val="005D1E9E"/>
    <w:rsid w:val="005D48C8"/>
    <w:rsid w:val="005D58CE"/>
    <w:rsid w:val="005D6DB4"/>
    <w:rsid w:val="005E2760"/>
    <w:rsid w:val="005E2D13"/>
    <w:rsid w:val="005E350B"/>
    <w:rsid w:val="005F03A4"/>
    <w:rsid w:val="005F0C51"/>
    <w:rsid w:val="005F16DB"/>
    <w:rsid w:val="005F17B2"/>
    <w:rsid w:val="005F2BB5"/>
    <w:rsid w:val="005F3A96"/>
    <w:rsid w:val="005F4DBF"/>
    <w:rsid w:val="005F66CC"/>
    <w:rsid w:val="005F7DEC"/>
    <w:rsid w:val="00600AA5"/>
    <w:rsid w:val="0060126D"/>
    <w:rsid w:val="0060146A"/>
    <w:rsid w:val="00601974"/>
    <w:rsid w:val="00601CE8"/>
    <w:rsid w:val="006045AF"/>
    <w:rsid w:val="006105E3"/>
    <w:rsid w:val="006115E2"/>
    <w:rsid w:val="0061491F"/>
    <w:rsid w:val="00620DEF"/>
    <w:rsid w:val="0062204C"/>
    <w:rsid w:val="00626DD6"/>
    <w:rsid w:val="0062719D"/>
    <w:rsid w:val="006331E3"/>
    <w:rsid w:val="00633C62"/>
    <w:rsid w:val="006361F0"/>
    <w:rsid w:val="006372A4"/>
    <w:rsid w:val="006375ED"/>
    <w:rsid w:val="0064029E"/>
    <w:rsid w:val="00640861"/>
    <w:rsid w:val="00640BDC"/>
    <w:rsid w:val="00646004"/>
    <w:rsid w:val="00646AD1"/>
    <w:rsid w:val="006473BA"/>
    <w:rsid w:val="00650E4E"/>
    <w:rsid w:val="00654D9D"/>
    <w:rsid w:val="00660C02"/>
    <w:rsid w:val="0066130F"/>
    <w:rsid w:val="006645D9"/>
    <w:rsid w:val="00665EBC"/>
    <w:rsid w:val="00667637"/>
    <w:rsid w:val="00667BE8"/>
    <w:rsid w:val="0067150D"/>
    <w:rsid w:val="00673A29"/>
    <w:rsid w:val="006766F4"/>
    <w:rsid w:val="00681787"/>
    <w:rsid w:val="0068250F"/>
    <w:rsid w:val="00685FFE"/>
    <w:rsid w:val="00686729"/>
    <w:rsid w:val="00686CAC"/>
    <w:rsid w:val="00686D5A"/>
    <w:rsid w:val="00687871"/>
    <w:rsid w:val="00693247"/>
    <w:rsid w:val="0069336E"/>
    <w:rsid w:val="00694174"/>
    <w:rsid w:val="006A27BC"/>
    <w:rsid w:val="006A27D6"/>
    <w:rsid w:val="006A3A42"/>
    <w:rsid w:val="006A41B4"/>
    <w:rsid w:val="006A5FD7"/>
    <w:rsid w:val="006B143E"/>
    <w:rsid w:val="006B30E3"/>
    <w:rsid w:val="006B5E72"/>
    <w:rsid w:val="006B6205"/>
    <w:rsid w:val="006C058F"/>
    <w:rsid w:val="006C7A04"/>
    <w:rsid w:val="006D1B83"/>
    <w:rsid w:val="006D1BE7"/>
    <w:rsid w:val="006D5C98"/>
    <w:rsid w:val="006D6FCC"/>
    <w:rsid w:val="006E26E8"/>
    <w:rsid w:val="006F4894"/>
    <w:rsid w:val="006F676D"/>
    <w:rsid w:val="00700672"/>
    <w:rsid w:val="00701319"/>
    <w:rsid w:val="00701A95"/>
    <w:rsid w:val="00702F7C"/>
    <w:rsid w:val="00706127"/>
    <w:rsid w:val="00712A93"/>
    <w:rsid w:val="00714CF1"/>
    <w:rsid w:val="00715CEB"/>
    <w:rsid w:val="00717A58"/>
    <w:rsid w:val="00722924"/>
    <w:rsid w:val="00723D30"/>
    <w:rsid w:val="00723F1A"/>
    <w:rsid w:val="00726974"/>
    <w:rsid w:val="007306BB"/>
    <w:rsid w:val="007319AD"/>
    <w:rsid w:val="00740240"/>
    <w:rsid w:val="00742895"/>
    <w:rsid w:val="00742BC9"/>
    <w:rsid w:val="00743D5F"/>
    <w:rsid w:val="00745634"/>
    <w:rsid w:val="007469FC"/>
    <w:rsid w:val="00746A92"/>
    <w:rsid w:val="00747EAE"/>
    <w:rsid w:val="00750DEB"/>
    <w:rsid w:val="007515C1"/>
    <w:rsid w:val="007557BC"/>
    <w:rsid w:val="00762976"/>
    <w:rsid w:val="00766834"/>
    <w:rsid w:val="00766EC7"/>
    <w:rsid w:val="0077082D"/>
    <w:rsid w:val="0077181C"/>
    <w:rsid w:val="0077499E"/>
    <w:rsid w:val="0077508F"/>
    <w:rsid w:val="007752E2"/>
    <w:rsid w:val="00781F5F"/>
    <w:rsid w:val="00783479"/>
    <w:rsid w:val="00783D3E"/>
    <w:rsid w:val="00784B5D"/>
    <w:rsid w:val="00791384"/>
    <w:rsid w:val="00791D74"/>
    <w:rsid w:val="007931D7"/>
    <w:rsid w:val="0079708B"/>
    <w:rsid w:val="0079779E"/>
    <w:rsid w:val="007A6DC9"/>
    <w:rsid w:val="007A71B5"/>
    <w:rsid w:val="007A797E"/>
    <w:rsid w:val="007B255F"/>
    <w:rsid w:val="007C0E7E"/>
    <w:rsid w:val="007D009C"/>
    <w:rsid w:val="007D2162"/>
    <w:rsid w:val="007D5A53"/>
    <w:rsid w:val="007D62D9"/>
    <w:rsid w:val="007D73C9"/>
    <w:rsid w:val="007E1FB4"/>
    <w:rsid w:val="007E28C1"/>
    <w:rsid w:val="007F2086"/>
    <w:rsid w:val="00801004"/>
    <w:rsid w:val="008058BC"/>
    <w:rsid w:val="00806D7C"/>
    <w:rsid w:val="00807854"/>
    <w:rsid w:val="00811A90"/>
    <w:rsid w:val="00815C4F"/>
    <w:rsid w:val="008161C2"/>
    <w:rsid w:val="0081738B"/>
    <w:rsid w:val="0082026A"/>
    <w:rsid w:val="00824136"/>
    <w:rsid w:val="00826075"/>
    <w:rsid w:val="008267CA"/>
    <w:rsid w:val="00826A19"/>
    <w:rsid w:val="008317C8"/>
    <w:rsid w:val="00831915"/>
    <w:rsid w:val="0083305B"/>
    <w:rsid w:val="00834578"/>
    <w:rsid w:val="0083648B"/>
    <w:rsid w:val="00841EAB"/>
    <w:rsid w:val="00844977"/>
    <w:rsid w:val="00844B9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00F4"/>
    <w:rsid w:val="0088277A"/>
    <w:rsid w:val="0088297B"/>
    <w:rsid w:val="0088762D"/>
    <w:rsid w:val="00890235"/>
    <w:rsid w:val="00890A70"/>
    <w:rsid w:val="00890DDC"/>
    <w:rsid w:val="00890F9C"/>
    <w:rsid w:val="008928B6"/>
    <w:rsid w:val="00894CA0"/>
    <w:rsid w:val="00895461"/>
    <w:rsid w:val="00896190"/>
    <w:rsid w:val="00897C5E"/>
    <w:rsid w:val="008A2307"/>
    <w:rsid w:val="008A2B8F"/>
    <w:rsid w:val="008A2BB7"/>
    <w:rsid w:val="008A4A65"/>
    <w:rsid w:val="008A70A5"/>
    <w:rsid w:val="008B201B"/>
    <w:rsid w:val="008B368E"/>
    <w:rsid w:val="008B38A4"/>
    <w:rsid w:val="008B38EE"/>
    <w:rsid w:val="008B4F2F"/>
    <w:rsid w:val="008B55B4"/>
    <w:rsid w:val="008B6A00"/>
    <w:rsid w:val="008C0269"/>
    <w:rsid w:val="008C257C"/>
    <w:rsid w:val="008D0FDE"/>
    <w:rsid w:val="008D22BE"/>
    <w:rsid w:val="008D7542"/>
    <w:rsid w:val="008D7F7C"/>
    <w:rsid w:val="008E0835"/>
    <w:rsid w:val="008E16ED"/>
    <w:rsid w:val="008E280E"/>
    <w:rsid w:val="008E2BA7"/>
    <w:rsid w:val="008E5642"/>
    <w:rsid w:val="008E5CC2"/>
    <w:rsid w:val="008F2E20"/>
    <w:rsid w:val="00900BC5"/>
    <w:rsid w:val="00901036"/>
    <w:rsid w:val="00904309"/>
    <w:rsid w:val="0090479F"/>
    <w:rsid w:val="00904BFC"/>
    <w:rsid w:val="00906692"/>
    <w:rsid w:val="00906853"/>
    <w:rsid w:val="00906CF8"/>
    <w:rsid w:val="009073CB"/>
    <w:rsid w:val="0090752A"/>
    <w:rsid w:val="00912D60"/>
    <w:rsid w:val="009140A2"/>
    <w:rsid w:val="009141D0"/>
    <w:rsid w:val="00920480"/>
    <w:rsid w:val="00923B20"/>
    <w:rsid w:val="009263DF"/>
    <w:rsid w:val="00927338"/>
    <w:rsid w:val="0093167C"/>
    <w:rsid w:val="00932A3A"/>
    <w:rsid w:val="00934143"/>
    <w:rsid w:val="00935444"/>
    <w:rsid w:val="009378F0"/>
    <w:rsid w:val="00942696"/>
    <w:rsid w:val="00944802"/>
    <w:rsid w:val="009470DD"/>
    <w:rsid w:val="009518D9"/>
    <w:rsid w:val="0095236F"/>
    <w:rsid w:val="00952404"/>
    <w:rsid w:val="00953350"/>
    <w:rsid w:val="00965F52"/>
    <w:rsid w:val="0096737A"/>
    <w:rsid w:val="0097392A"/>
    <w:rsid w:val="00977C0A"/>
    <w:rsid w:val="0098512F"/>
    <w:rsid w:val="0098550A"/>
    <w:rsid w:val="00985728"/>
    <w:rsid w:val="009857DD"/>
    <w:rsid w:val="009859AB"/>
    <w:rsid w:val="00987A4E"/>
    <w:rsid w:val="009907A9"/>
    <w:rsid w:val="00993DE4"/>
    <w:rsid w:val="00993F38"/>
    <w:rsid w:val="00994A4B"/>
    <w:rsid w:val="009A12ED"/>
    <w:rsid w:val="009A201F"/>
    <w:rsid w:val="009A62FC"/>
    <w:rsid w:val="009A6989"/>
    <w:rsid w:val="009B105E"/>
    <w:rsid w:val="009B396E"/>
    <w:rsid w:val="009B39A2"/>
    <w:rsid w:val="009B3B97"/>
    <w:rsid w:val="009B4E5D"/>
    <w:rsid w:val="009B567A"/>
    <w:rsid w:val="009C5C75"/>
    <w:rsid w:val="009D2A29"/>
    <w:rsid w:val="009D59DE"/>
    <w:rsid w:val="009E1362"/>
    <w:rsid w:val="009E1F6B"/>
    <w:rsid w:val="009E3E77"/>
    <w:rsid w:val="009E4DF2"/>
    <w:rsid w:val="009E6D60"/>
    <w:rsid w:val="009F3962"/>
    <w:rsid w:val="009F6ED7"/>
    <w:rsid w:val="009F7401"/>
    <w:rsid w:val="009F78F2"/>
    <w:rsid w:val="00A01C9B"/>
    <w:rsid w:val="00A065F5"/>
    <w:rsid w:val="00A10857"/>
    <w:rsid w:val="00A1269B"/>
    <w:rsid w:val="00A130F9"/>
    <w:rsid w:val="00A1585F"/>
    <w:rsid w:val="00A16000"/>
    <w:rsid w:val="00A16398"/>
    <w:rsid w:val="00A211A3"/>
    <w:rsid w:val="00A2357E"/>
    <w:rsid w:val="00A24629"/>
    <w:rsid w:val="00A25A27"/>
    <w:rsid w:val="00A27485"/>
    <w:rsid w:val="00A30038"/>
    <w:rsid w:val="00A309E8"/>
    <w:rsid w:val="00A3514D"/>
    <w:rsid w:val="00A40F98"/>
    <w:rsid w:val="00A41EF2"/>
    <w:rsid w:val="00A42619"/>
    <w:rsid w:val="00A4267D"/>
    <w:rsid w:val="00A427B2"/>
    <w:rsid w:val="00A47D62"/>
    <w:rsid w:val="00A53CDD"/>
    <w:rsid w:val="00A5538A"/>
    <w:rsid w:val="00A564AE"/>
    <w:rsid w:val="00A57A4A"/>
    <w:rsid w:val="00A614EB"/>
    <w:rsid w:val="00A62886"/>
    <w:rsid w:val="00A63E79"/>
    <w:rsid w:val="00A6719E"/>
    <w:rsid w:val="00A672B2"/>
    <w:rsid w:val="00A74C51"/>
    <w:rsid w:val="00A77682"/>
    <w:rsid w:val="00A80C19"/>
    <w:rsid w:val="00A83750"/>
    <w:rsid w:val="00A84631"/>
    <w:rsid w:val="00A86A0A"/>
    <w:rsid w:val="00A9067C"/>
    <w:rsid w:val="00A90A24"/>
    <w:rsid w:val="00A90BD3"/>
    <w:rsid w:val="00A91402"/>
    <w:rsid w:val="00A92FBB"/>
    <w:rsid w:val="00A93C1C"/>
    <w:rsid w:val="00A96790"/>
    <w:rsid w:val="00AA0DFE"/>
    <w:rsid w:val="00AA2502"/>
    <w:rsid w:val="00AA262E"/>
    <w:rsid w:val="00AA3174"/>
    <w:rsid w:val="00AA3A41"/>
    <w:rsid w:val="00AA6D45"/>
    <w:rsid w:val="00AA7585"/>
    <w:rsid w:val="00AA7DED"/>
    <w:rsid w:val="00AB031D"/>
    <w:rsid w:val="00AB08A6"/>
    <w:rsid w:val="00AB18B3"/>
    <w:rsid w:val="00AB1A1E"/>
    <w:rsid w:val="00AB236C"/>
    <w:rsid w:val="00AC06B6"/>
    <w:rsid w:val="00AD1557"/>
    <w:rsid w:val="00AD35F3"/>
    <w:rsid w:val="00AD4CAC"/>
    <w:rsid w:val="00AD528F"/>
    <w:rsid w:val="00AD6760"/>
    <w:rsid w:val="00AD6EB3"/>
    <w:rsid w:val="00AD741D"/>
    <w:rsid w:val="00AD751D"/>
    <w:rsid w:val="00AD791C"/>
    <w:rsid w:val="00AE4F42"/>
    <w:rsid w:val="00AE728D"/>
    <w:rsid w:val="00AE7589"/>
    <w:rsid w:val="00AF2833"/>
    <w:rsid w:val="00AF3716"/>
    <w:rsid w:val="00AF3C46"/>
    <w:rsid w:val="00AF43E1"/>
    <w:rsid w:val="00AF4D71"/>
    <w:rsid w:val="00B0092E"/>
    <w:rsid w:val="00B018B2"/>
    <w:rsid w:val="00B018E8"/>
    <w:rsid w:val="00B03BF6"/>
    <w:rsid w:val="00B040B7"/>
    <w:rsid w:val="00B04A55"/>
    <w:rsid w:val="00B04D46"/>
    <w:rsid w:val="00B104C5"/>
    <w:rsid w:val="00B10F47"/>
    <w:rsid w:val="00B1385B"/>
    <w:rsid w:val="00B15DBF"/>
    <w:rsid w:val="00B17D70"/>
    <w:rsid w:val="00B22AD7"/>
    <w:rsid w:val="00B22D31"/>
    <w:rsid w:val="00B27853"/>
    <w:rsid w:val="00B306F7"/>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7071A"/>
    <w:rsid w:val="00B71858"/>
    <w:rsid w:val="00B721DC"/>
    <w:rsid w:val="00B7669D"/>
    <w:rsid w:val="00B766D9"/>
    <w:rsid w:val="00B80A28"/>
    <w:rsid w:val="00B82D73"/>
    <w:rsid w:val="00B84A2C"/>
    <w:rsid w:val="00B871D6"/>
    <w:rsid w:val="00BA0DCC"/>
    <w:rsid w:val="00BA16EF"/>
    <w:rsid w:val="00BA18D0"/>
    <w:rsid w:val="00BA3317"/>
    <w:rsid w:val="00BA6363"/>
    <w:rsid w:val="00BB2D9C"/>
    <w:rsid w:val="00BB3512"/>
    <w:rsid w:val="00BB5D1E"/>
    <w:rsid w:val="00BB7ED6"/>
    <w:rsid w:val="00BC137A"/>
    <w:rsid w:val="00BC4347"/>
    <w:rsid w:val="00BC45E0"/>
    <w:rsid w:val="00BC54B5"/>
    <w:rsid w:val="00BC5D9D"/>
    <w:rsid w:val="00BC6803"/>
    <w:rsid w:val="00BC7BCB"/>
    <w:rsid w:val="00BD109B"/>
    <w:rsid w:val="00BD2944"/>
    <w:rsid w:val="00BD2B5E"/>
    <w:rsid w:val="00BD531B"/>
    <w:rsid w:val="00BE00E5"/>
    <w:rsid w:val="00BE2E5A"/>
    <w:rsid w:val="00BE4A21"/>
    <w:rsid w:val="00BE5859"/>
    <w:rsid w:val="00BE7E27"/>
    <w:rsid w:val="00BF183C"/>
    <w:rsid w:val="00C0782F"/>
    <w:rsid w:val="00C12603"/>
    <w:rsid w:val="00C131FD"/>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B6"/>
    <w:rsid w:val="00C63FC8"/>
    <w:rsid w:val="00C64F57"/>
    <w:rsid w:val="00C66E11"/>
    <w:rsid w:val="00C6789D"/>
    <w:rsid w:val="00C71A97"/>
    <w:rsid w:val="00C73FFD"/>
    <w:rsid w:val="00C74512"/>
    <w:rsid w:val="00C84F07"/>
    <w:rsid w:val="00C851A6"/>
    <w:rsid w:val="00C855D4"/>
    <w:rsid w:val="00C87639"/>
    <w:rsid w:val="00C9099A"/>
    <w:rsid w:val="00C9240A"/>
    <w:rsid w:val="00C93D5B"/>
    <w:rsid w:val="00C9442C"/>
    <w:rsid w:val="00C9532C"/>
    <w:rsid w:val="00C95BCF"/>
    <w:rsid w:val="00C95D16"/>
    <w:rsid w:val="00C95DCF"/>
    <w:rsid w:val="00CA184E"/>
    <w:rsid w:val="00CA23C4"/>
    <w:rsid w:val="00CA575F"/>
    <w:rsid w:val="00CA6114"/>
    <w:rsid w:val="00CA704A"/>
    <w:rsid w:val="00CB0797"/>
    <w:rsid w:val="00CB644C"/>
    <w:rsid w:val="00CB78ED"/>
    <w:rsid w:val="00CC550E"/>
    <w:rsid w:val="00CC5AC6"/>
    <w:rsid w:val="00CD1628"/>
    <w:rsid w:val="00CD1D2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144D0"/>
    <w:rsid w:val="00D14FC0"/>
    <w:rsid w:val="00D16943"/>
    <w:rsid w:val="00D211AE"/>
    <w:rsid w:val="00D21662"/>
    <w:rsid w:val="00D23DE4"/>
    <w:rsid w:val="00D24867"/>
    <w:rsid w:val="00D318E3"/>
    <w:rsid w:val="00D323A7"/>
    <w:rsid w:val="00D346BF"/>
    <w:rsid w:val="00D416EB"/>
    <w:rsid w:val="00D41B20"/>
    <w:rsid w:val="00D44615"/>
    <w:rsid w:val="00D45321"/>
    <w:rsid w:val="00D50324"/>
    <w:rsid w:val="00D55A28"/>
    <w:rsid w:val="00D5605F"/>
    <w:rsid w:val="00D61FBD"/>
    <w:rsid w:val="00D62519"/>
    <w:rsid w:val="00D625AA"/>
    <w:rsid w:val="00D63CBD"/>
    <w:rsid w:val="00D66392"/>
    <w:rsid w:val="00D66959"/>
    <w:rsid w:val="00D70A39"/>
    <w:rsid w:val="00D71A7E"/>
    <w:rsid w:val="00D7643D"/>
    <w:rsid w:val="00D76DE0"/>
    <w:rsid w:val="00D80DF0"/>
    <w:rsid w:val="00D83ED5"/>
    <w:rsid w:val="00D870D4"/>
    <w:rsid w:val="00D9398E"/>
    <w:rsid w:val="00D954E0"/>
    <w:rsid w:val="00D97059"/>
    <w:rsid w:val="00D97A1D"/>
    <w:rsid w:val="00DA0181"/>
    <w:rsid w:val="00DA2411"/>
    <w:rsid w:val="00DA2C81"/>
    <w:rsid w:val="00DA7899"/>
    <w:rsid w:val="00DB0923"/>
    <w:rsid w:val="00DB29CA"/>
    <w:rsid w:val="00DB30C8"/>
    <w:rsid w:val="00DB5F2B"/>
    <w:rsid w:val="00DB74AF"/>
    <w:rsid w:val="00DC1AB8"/>
    <w:rsid w:val="00DC5C19"/>
    <w:rsid w:val="00DC7068"/>
    <w:rsid w:val="00DD6B9B"/>
    <w:rsid w:val="00DE07A1"/>
    <w:rsid w:val="00DE21A2"/>
    <w:rsid w:val="00DE2776"/>
    <w:rsid w:val="00DE3B11"/>
    <w:rsid w:val="00DE7183"/>
    <w:rsid w:val="00DF1DAC"/>
    <w:rsid w:val="00DF60E6"/>
    <w:rsid w:val="00DF6105"/>
    <w:rsid w:val="00E1021D"/>
    <w:rsid w:val="00E1428E"/>
    <w:rsid w:val="00E14900"/>
    <w:rsid w:val="00E218D3"/>
    <w:rsid w:val="00E22321"/>
    <w:rsid w:val="00E229ED"/>
    <w:rsid w:val="00E23091"/>
    <w:rsid w:val="00E27565"/>
    <w:rsid w:val="00E30DE6"/>
    <w:rsid w:val="00E31944"/>
    <w:rsid w:val="00E32395"/>
    <w:rsid w:val="00E332E3"/>
    <w:rsid w:val="00E35435"/>
    <w:rsid w:val="00E37194"/>
    <w:rsid w:val="00E3788B"/>
    <w:rsid w:val="00E43977"/>
    <w:rsid w:val="00E4415D"/>
    <w:rsid w:val="00E44AB8"/>
    <w:rsid w:val="00E50D3F"/>
    <w:rsid w:val="00E520BE"/>
    <w:rsid w:val="00E54E17"/>
    <w:rsid w:val="00E56A7A"/>
    <w:rsid w:val="00E60419"/>
    <w:rsid w:val="00E60E01"/>
    <w:rsid w:val="00E617D3"/>
    <w:rsid w:val="00E61E36"/>
    <w:rsid w:val="00E633C1"/>
    <w:rsid w:val="00E667B0"/>
    <w:rsid w:val="00E67390"/>
    <w:rsid w:val="00E71365"/>
    <w:rsid w:val="00E81192"/>
    <w:rsid w:val="00E83B51"/>
    <w:rsid w:val="00E86BDE"/>
    <w:rsid w:val="00E8762F"/>
    <w:rsid w:val="00E90AB8"/>
    <w:rsid w:val="00E919D9"/>
    <w:rsid w:val="00E921C1"/>
    <w:rsid w:val="00E93C8B"/>
    <w:rsid w:val="00E93D8F"/>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E15B5"/>
    <w:rsid w:val="00EE20A1"/>
    <w:rsid w:val="00EE74AF"/>
    <w:rsid w:val="00EF518E"/>
    <w:rsid w:val="00EF5DF0"/>
    <w:rsid w:val="00EF69AE"/>
    <w:rsid w:val="00EF6E2C"/>
    <w:rsid w:val="00F0070A"/>
    <w:rsid w:val="00F01660"/>
    <w:rsid w:val="00F01C16"/>
    <w:rsid w:val="00F0782D"/>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47DB"/>
    <w:rsid w:val="00F469B9"/>
    <w:rsid w:val="00F46C32"/>
    <w:rsid w:val="00F46ECB"/>
    <w:rsid w:val="00F525B5"/>
    <w:rsid w:val="00F543B9"/>
    <w:rsid w:val="00F56177"/>
    <w:rsid w:val="00F575D3"/>
    <w:rsid w:val="00F5786C"/>
    <w:rsid w:val="00F62117"/>
    <w:rsid w:val="00F62365"/>
    <w:rsid w:val="00F630A7"/>
    <w:rsid w:val="00F66225"/>
    <w:rsid w:val="00F662BC"/>
    <w:rsid w:val="00F6708D"/>
    <w:rsid w:val="00F707F0"/>
    <w:rsid w:val="00F71AD5"/>
    <w:rsid w:val="00F733B8"/>
    <w:rsid w:val="00F74F50"/>
    <w:rsid w:val="00F75192"/>
    <w:rsid w:val="00F77822"/>
    <w:rsid w:val="00F838B6"/>
    <w:rsid w:val="00F83B0D"/>
    <w:rsid w:val="00F83C31"/>
    <w:rsid w:val="00F85F05"/>
    <w:rsid w:val="00F86AD1"/>
    <w:rsid w:val="00F9222A"/>
    <w:rsid w:val="00F922EA"/>
    <w:rsid w:val="00F92927"/>
    <w:rsid w:val="00F979B3"/>
    <w:rsid w:val="00F97CCD"/>
    <w:rsid w:val="00FA320D"/>
    <w:rsid w:val="00FA362B"/>
    <w:rsid w:val="00FA53E9"/>
    <w:rsid w:val="00FA60EC"/>
    <w:rsid w:val="00FB04E9"/>
    <w:rsid w:val="00FB1179"/>
    <w:rsid w:val="00FB1C6B"/>
    <w:rsid w:val="00FB42B4"/>
    <w:rsid w:val="00FB4841"/>
    <w:rsid w:val="00FB6C94"/>
    <w:rsid w:val="00FB7F8B"/>
    <w:rsid w:val="00FC3753"/>
    <w:rsid w:val="00FC5743"/>
    <w:rsid w:val="00FC6240"/>
    <w:rsid w:val="00FD118C"/>
    <w:rsid w:val="00FD332F"/>
    <w:rsid w:val="00FE1CC1"/>
    <w:rsid w:val="00FE385E"/>
    <w:rsid w:val="00FE3CE2"/>
    <w:rsid w:val="00FE5633"/>
    <w:rsid w:val="00FE6F7A"/>
    <w:rsid w:val="00FE7B14"/>
    <w:rsid w:val="00FF0846"/>
    <w:rsid w:val="00FF248B"/>
    <w:rsid w:val="00FF3E6F"/>
    <w:rsid w:val="00FF5A63"/>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tce.pr.gov.br/multimidia/2017/4/pdf/00315628.pdf" TargetMode="External"/><Relationship Id="rId18" Type="http://schemas.openxmlformats.org/officeDocument/2006/relationships/hyperlink" Target="https://ww2.stj.jus.br/processo/revista/documento/mediado/?componente=ATC&amp;sequencial=38584420&amp;num_registro=201401145607&amp;data=20170417&amp;tipo=91&amp;formato=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81721" TargetMode="External"/><Relationship Id="rId7" Type="http://schemas.openxmlformats.org/officeDocument/2006/relationships/footnotes" Target="footnotes.xml"/><Relationship Id="rId12" Type="http://schemas.openxmlformats.org/officeDocument/2006/relationships/hyperlink" Target="http://www1.tce.pr.gov.br/multimidia/2017/4/pdf/00315429.pdf" TargetMode="External"/><Relationship Id="rId17" Type="http://schemas.openxmlformats.org/officeDocument/2006/relationships/hyperlink" Target="http://www1.tce.pr.gov.br/multimidia/2017/4/pdf/00315557.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multimidia/2017/4/pdf/00315560.pdf" TargetMode="External"/><Relationship Id="rId20" Type="http://schemas.openxmlformats.org/officeDocument/2006/relationships/hyperlink" Target="https://contas.tcu.gov.br/sagas/SvlVisualizarRelVotoAcRtf?codFiltro=SAGAS-SESSAO-ENCERRADA&amp;seOcultaPagina=S&amp;item0=5860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tce.pr.gov.br/multimidia/2017/4/pdf/00315616.pdf" TargetMode="External"/><Relationship Id="rId24" Type="http://schemas.openxmlformats.org/officeDocument/2006/relationships/hyperlink" Target="http://www.olacefs.com/wp-content/uploads/2017/05/Boletin-OLACEFS-Num-23.pdf" TargetMode="External"/><Relationship Id="rId5" Type="http://schemas.openxmlformats.org/officeDocument/2006/relationships/settings" Target="settings.xml"/><Relationship Id="rId15" Type="http://schemas.openxmlformats.org/officeDocument/2006/relationships/hyperlink" Target="http://www1.tce.pr.gov.br/multimidia/2017/4/pdf/00315564.pdf" TargetMode="External"/><Relationship Id="rId23" Type="http://schemas.openxmlformats.org/officeDocument/2006/relationships/hyperlink" Target="https://contas.tcu.gov.br/sagas/SvlVisualizarRelVotoAcRtf?codFiltro=SAGAS-SESSAO-ENCERRADA&amp;seOcultaPagina=S&amp;item0=587931" TargetMode="External"/><Relationship Id="rId28" Type="http://schemas.openxmlformats.org/officeDocument/2006/relationships/theme" Target="theme/theme1.xml"/><Relationship Id="rId10" Type="http://schemas.openxmlformats.org/officeDocument/2006/relationships/hyperlink" Target="http://www1.tce.pr.gov.br/multimidia/2017/5/pdf/00315735.pdf" TargetMode="External"/><Relationship Id="rId19" Type="http://schemas.openxmlformats.org/officeDocument/2006/relationships/hyperlink" Target="https://ww2.stj.jus.br/processo/revista/documento/mediado/?componente=ATC&amp;sequencial=64584588&amp;num_registro=200901804951&amp;data=20170215&amp;tipo=51&amp;formato=PDF" TargetMode="External"/><Relationship Id="rId4" Type="http://schemas.microsoft.com/office/2007/relationships/stylesWithEffects" Target="stylesWithEffects.xml"/><Relationship Id="rId9" Type="http://schemas.openxmlformats.org/officeDocument/2006/relationships/hyperlink" Target="http://www1.tce.pr.gov.br/multimidia/2017/4/pdf/00315492.pdf" TargetMode="External"/><Relationship Id="rId14" Type="http://schemas.openxmlformats.org/officeDocument/2006/relationships/hyperlink" Target="http://www1.tce.pr.gov.br/multimidia/2017/5/pdf/00315687.pdf" TargetMode="External"/><Relationship Id="rId22" Type="http://schemas.openxmlformats.org/officeDocument/2006/relationships/hyperlink" Target="https://contas.tcu.gov.br/sagas/SvlVisualizarRelVotoAcRtf?codFiltro=SAGAS-SESSAO-ENCERRADA&amp;seOcultaPagina=S&amp;item0=58793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B0F1-6486-4291-82C8-9DF4AB96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8</Pages>
  <Words>3334</Words>
  <Characters>18006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83</cp:revision>
  <cp:lastPrinted>2017-04-24T19:06:00Z</cp:lastPrinted>
  <dcterms:created xsi:type="dcterms:W3CDTF">2017-05-30T16:08:00Z</dcterms:created>
  <dcterms:modified xsi:type="dcterms:W3CDTF">2017-06-02T19:40:00Z</dcterms:modified>
</cp:coreProperties>
</file>