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12F" w:rsidRPr="0022060B" w:rsidRDefault="0038012F" w:rsidP="00816942">
      <w:pPr>
        <w:pStyle w:val="Cabealho"/>
        <w:spacing w:line="276" w:lineRule="auto"/>
        <w:jc w:val="center"/>
        <w:rPr>
          <w:rFonts w:ascii="Arial" w:hAnsi="Arial" w:cs="Arial"/>
          <w:sz w:val="20"/>
          <w:szCs w:val="20"/>
        </w:rPr>
      </w:pPr>
      <w:r w:rsidRPr="0022060B">
        <w:rPr>
          <w:rFonts w:ascii="Arial" w:hAnsi="Arial" w:cs="Arial"/>
          <w:b/>
          <w:sz w:val="20"/>
          <w:szCs w:val="20"/>
        </w:rPr>
        <w:t>Boletim de Jurisprudência TCE/PR</w:t>
      </w:r>
      <w:r w:rsidRPr="0022060B">
        <w:rPr>
          <w:rFonts w:ascii="Arial" w:hAnsi="Arial" w:cs="Arial"/>
          <w:sz w:val="20"/>
          <w:szCs w:val="20"/>
        </w:rPr>
        <w:t xml:space="preserve"> </w:t>
      </w:r>
    </w:p>
    <w:p w:rsidR="00814325" w:rsidRDefault="00814325" w:rsidP="00816942">
      <w:pPr>
        <w:spacing w:after="0"/>
        <w:jc w:val="center"/>
        <w:rPr>
          <w:rFonts w:ascii="Arial" w:hAnsi="Arial" w:cs="Arial"/>
          <w:b/>
          <w:sz w:val="20"/>
          <w:szCs w:val="20"/>
        </w:rPr>
      </w:pPr>
    </w:p>
    <w:p w:rsidR="001B5F7A" w:rsidRDefault="001B5F7A" w:rsidP="00816942">
      <w:pPr>
        <w:spacing w:after="0"/>
        <w:jc w:val="center"/>
        <w:rPr>
          <w:rFonts w:ascii="Arial" w:hAnsi="Arial" w:cs="Arial"/>
          <w:b/>
          <w:sz w:val="20"/>
          <w:szCs w:val="20"/>
        </w:rPr>
      </w:pPr>
      <w:r w:rsidRPr="0022060B">
        <w:rPr>
          <w:rFonts w:ascii="Arial" w:hAnsi="Arial" w:cs="Arial"/>
          <w:b/>
          <w:sz w:val="20"/>
          <w:szCs w:val="20"/>
        </w:rPr>
        <w:t xml:space="preserve">Número </w:t>
      </w:r>
      <w:r w:rsidR="00CB2527">
        <w:rPr>
          <w:rFonts w:ascii="Arial" w:hAnsi="Arial" w:cs="Arial"/>
          <w:b/>
          <w:sz w:val="20"/>
          <w:szCs w:val="20"/>
        </w:rPr>
        <w:t>4</w:t>
      </w:r>
      <w:r w:rsidR="00197764">
        <w:rPr>
          <w:rFonts w:ascii="Arial" w:hAnsi="Arial" w:cs="Arial"/>
          <w:b/>
          <w:sz w:val="20"/>
          <w:szCs w:val="20"/>
        </w:rPr>
        <w:t>3</w:t>
      </w:r>
    </w:p>
    <w:p w:rsidR="006F08D4" w:rsidRPr="0022060B" w:rsidRDefault="006F08D4" w:rsidP="00816942">
      <w:pPr>
        <w:spacing w:after="0"/>
        <w:jc w:val="center"/>
        <w:rPr>
          <w:rFonts w:ascii="Arial" w:hAnsi="Arial" w:cs="Arial"/>
          <w:b/>
          <w:sz w:val="20"/>
          <w:szCs w:val="20"/>
        </w:rPr>
      </w:pPr>
    </w:p>
    <w:p w:rsidR="001B5F7A" w:rsidRPr="0090061C" w:rsidRDefault="001B5F7A" w:rsidP="00816942">
      <w:pPr>
        <w:spacing w:after="0"/>
        <w:jc w:val="center"/>
        <w:rPr>
          <w:rFonts w:ascii="Arial" w:hAnsi="Arial" w:cs="Arial"/>
          <w:b/>
          <w:sz w:val="20"/>
          <w:szCs w:val="20"/>
        </w:rPr>
      </w:pPr>
      <w:r w:rsidRPr="00A57E48">
        <w:rPr>
          <w:rFonts w:ascii="Arial" w:hAnsi="Arial" w:cs="Arial"/>
          <w:b/>
          <w:sz w:val="20"/>
          <w:szCs w:val="20"/>
        </w:rPr>
        <w:t xml:space="preserve">Sessões: </w:t>
      </w:r>
      <w:r w:rsidR="00A57E48" w:rsidRPr="00A57E48">
        <w:rPr>
          <w:rFonts w:ascii="Arial" w:hAnsi="Arial" w:cs="Arial"/>
          <w:b/>
          <w:sz w:val="20"/>
          <w:szCs w:val="20"/>
        </w:rPr>
        <w:t xml:space="preserve">07.08 </w:t>
      </w:r>
      <w:r w:rsidR="000D4DE6" w:rsidRPr="00A57E48">
        <w:rPr>
          <w:rFonts w:ascii="Arial" w:hAnsi="Arial" w:cs="Arial"/>
          <w:b/>
          <w:sz w:val="20"/>
          <w:szCs w:val="20"/>
        </w:rPr>
        <w:t>a</w:t>
      </w:r>
      <w:r w:rsidRPr="00A57E48">
        <w:rPr>
          <w:rFonts w:ascii="Arial" w:hAnsi="Arial" w:cs="Arial"/>
          <w:b/>
          <w:sz w:val="20"/>
          <w:szCs w:val="20"/>
        </w:rPr>
        <w:t xml:space="preserve"> </w:t>
      </w:r>
      <w:r w:rsidR="00A57E48" w:rsidRPr="00A57E48">
        <w:rPr>
          <w:rFonts w:ascii="Arial" w:hAnsi="Arial" w:cs="Arial"/>
          <w:b/>
          <w:sz w:val="20"/>
          <w:szCs w:val="20"/>
        </w:rPr>
        <w:t>16</w:t>
      </w:r>
      <w:r w:rsidR="005A0FD0" w:rsidRPr="00A57E48">
        <w:rPr>
          <w:rFonts w:ascii="Arial" w:hAnsi="Arial" w:cs="Arial"/>
          <w:b/>
          <w:sz w:val="20"/>
          <w:szCs w:val="20"/>
        </w:rPr>
        <w:t>.</w:t>
      </w:r>
      <w:r w:rsidR="00015FB0" w:rsidRPr="00A57E48">
        <w:rPr>
          <w:rFonts w:ascii="Arial" w:hAnsi="Arial" w:cs="Arial"/>
          <w:b/>
          <w:sz w:val="20"/>
          <w:szCs w:val="20"/>
        </w:rPr>
        <w:t>0</w:t>
      </w:r>
      <w:r w:rsidR="00734DDB" w:rsidRPr="00A57E48">
        <w:rPr>
          <w:rFonts w:ascii="Arial" w:hAnsi="Arial" w:cs="Arial"/>
          <w:b/>
          <w:sz w:val="20"/>
          <w:szCs w:val="20"/>
        </w:rPr>
        <w:t>8</w:t>
      </w:r>
      <w:r w:rsidRPr="00A57E48">
        <w:rPr>
          <w:rFonts w:ascii="Arial" w:hAnsi="Arial" w:cs="Arial"/>
          <w:b/>
          <w:sz w:val="20"/>
          <w:szCs w:val="20"/>
        </w:rPr>
        <w:t xml:space="preserve"> de 201</w:t>
      </w:r>
      <w:r w:rsidR="00015FB0" w:rsidRPr="00A57E48">
        <w:rPr>
          <w:rFonts w:ascii="Arial" w:hAnsi="Arial" w:cs="Arial"/>
          <w:b/>
          <w:sz w:val="20"/>
          <w:szCs w:val="20"/>
        </w:rPr>
        <w:t>8</w:t>
      </w:r>
    </w:p>
    <w:p w:rsidR="007436B5" w:rsidRDefault="007436B5"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22060B">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22060B">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22060B">
        <w:rPr>
          <w:rFonts w:ascii="Arial" w:hAnsi="Arial" w:cs="Arial"/>
          <w:color w:val="212121"/>
          <w:sz w:val="20"/>
          <w:szCs w:val="20"/>
        </w:rPr>
        <w:t xml:space="preserve"> </w:t>
      </w:r>
      <w:r w:rsidRPr="0022060B">
        <w:rPr>
          <w:rFonts w:ascii="Arial" w:hAnsi="Arial" w:cs="Arial"/>
          <w:sz w:val="20"/>
          <w:szCs w:val="20"/>
        </w:rPr>
        <w:t>As informações aqui apresentadas não são repositórios oficiais de jurisprudência.</w:t>
      </w:r>
    </w:p>
    <w:p w:rsidR="00FE7B14" w:rsidRPr="0022060B" w:rsidRDefault="00FE7B14"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6B69DEB3" wp14:editId="579163A6">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t>S</w:t>
      </w:r>
      <w:r w:rsidR="00221D15" w:rsidRPr="0022060B">
        <w:rPr>
          <w:rFonts w:ascii="Arial" w:hAnsi="Arial" w:cs="Arial"/>
          <w:b/>
          <w:sz w:val="20"/>
          <w:szCs w:val="20"/>
        </w:rPr>
        <w:t>U</w:t>
      </w:r>
      <w:r w:rsidRPr="0022060B">
        <w:rPr>
          <w:rFonts w:ascii="Arial" w:hAnsi="Arial" w:cs="Arial"/>
          <w:b/>
          <w:sz w:val="20"/>
          <w:szCs w:val="20"/>
        </w:rPr>
        <w:t>MÁRIO</w:t>
      </w:r>
    </w:p>
    <w:p w:rsidR="004429A2" w:rsidRDefault="004429A2" w:rsidP="00816942">
      <w:pPr>
        <w:spacing w:after="0"/>
        <w:jc w:val="both"/>
        <w:rPr>
          <w:rStyle w:val="Hyperlink"/>
          <w:rFonts w:ascii="Arial" w:hAnsi="Arial" w:cs="Arial"/>
          <w:b/>
          <w:color w:val="000000" w:themeColor="text1"/>
          <w:sz w:val="20"/>
          <w:szCs w:val="20"/>
          <w:u w:val="none"/>
        </w:rPr>
      </w:pPr>
    </w:p>
    <w:p w:rsidR="00283D94" w:rsidRPr="00283D94" w:rsidRDefault="00283D94" w:rsidP="00283D94">
      <w:pPr>
        <w:autoSpaceDE w:val="0"/>
        <w:autoSpaceDN w:val="0"/>
        <w:adjustRightInd w:val="0"/>
        <w:spacing w:after="0"/>
        <w:jc w:val="both"/>
        <w:rPr>
          <w:rFonts w:ascii="Arial" w:hAnsi="Arial" w:cs="Arial"/>
          <w:sz w:val="20"/>
          <w:szCs w:val="20"/>
        </w:rPr>
      </w:pPr>
      <w:r w:rsidRPr="00283D94">
        <w:rPr>
          <w:rFonts w:ascii="Arial" w:hAnsi="Arial" w:cs="Arial"/>
          <w:sz w:val="20"/>
          <w:szCs w:val="20"/>
        </w:rPr>
        <w:t>1. Prestação de contas</w:t>
      </w:r>
      <w:r w:rsidR="002558B7">
        <w:rPr>
          <w:rFonts w:ascii="Arial" w:hAnsi="Arial" w:cs="Arial"/>
          <w:sz w:val="20"/>
          <w:szCs w:val="20"/>
        </w:rPr>
        <w:t xml:space="preserve">. </w:t>
      </w:r>
      <w:r w:rsidRPr="00283D94">
        <w:rPr>
          <w:rFonts w:ascii="Arial" w:hAnsi="Arial" w:cs="Arial"/>
          <w:sz w:val="20"/>
          <w:szCs w:val="20"/>
        </w:rPr>
        <w:t>Atrasos SIM-AM. Atraso na Publicação do Relatório de Gestão Fiscal - RGF. Regularidade das contas com Ressalva.</w:t>
      </w:r>
    </w:p>
    <w:p w:rsidR="00283D94" w:rsidRPr="00283D94" w:rsidRDefault="00283D94" w:rsidP="00283D94">
      <w:pPr>
        <w:spacing w:after="0"/>
        <w:jc w:val="both"/>
        <w:rPr>
          <w:rFonts w:ascii="Arial" w:hAnsi="Arial" w:cs="Arial"/>
          <w:sz w:val="20"/>
          <w:szCs w:val="20"/>
        </w:rPr>
      </w:pPr>
    </w:p>
    <w:p w:rsidR="00283D94" w:rsidRPr="00283D94" w:rsidRDefault="00283D94" w:rsidP="00283D94">
      <w:pPr>
        <w:spacing w:after="0"/>
        <w:jc w:val="both"/>
        <w:rPr>
          <w:rFonts w:ascii="Arial" w:hAnsi="Arial" w:cs="Arial"/>
          <w:sz w:val="20"/>
          <w:szCs w:val="20"/>
        </w:rPr>
      </w:pPr>
      <w:r w:rsidRPr="00283D94">
        <w:rPr>
          <w:rFonts w:ascii="Arial" w:hAnsi="Arial" w:cs="Arial"/>
          <w:sz w:val="20"/>
          <w:szCs w:val="20"/>
        </w:rPr>
        <w:t xml:space="preserve">2. Prestação de contas. Alimentação do SIM-AM. Atraso. </w:t>
      </w:r>
      <w:r w:rsidR="002558B7">
        <w:rPr>
          <w:rFonts w:ascii="Arial" w:hAnsi="Arial" w:cs="Arial"/>
          <w:sz w:val="20"/>
          <w:szCs w:val="20"/>
        </w:rPr>
        <w:t>Parecer p</w:t>
      </w:r>
      <w:r w:rsidRPr="00283D94">
        <w:rPr>
          <w:rFonts w:ascii="Arial" w:hAnsi="Arial" w:cs="Arial"/>
          <w:sz w:val="20"/>
          <w:szCs w:val="20"/>
        </w:rPr>
        <w:t xml:space="preserve">révio pela regularidade. Aplicação de multa administrativa afastada. Atraso inferior a 30 (trinta) dias. </w:t>
      </w:r>
    </w:p>
    <w:p w:rsidR="00283D94" w:rsidRPr="00283D94" w:rsidRDefault="00283D94" w:rsidP="00283D94">
      <w:pPr>
        <w:spacing w:after="0"/>
        <w:jc w:val="both"/>
        <w:rPr>
          <w:rFonts w:ascii="Arial" w:hAnsi="Arial" w:cs="Arial"/>
          <w:sz w:val="20"/>
          <w:szCs w:val="20"/>
        </w:rPr>
      </w:pPr>
    </w:p>
    <w:p w:rsidR="00283D94" w:rsidRPr="00283D94" w:rsidRDefault="00283D94" w:rsidP="00283D94">
      <w:pPr>
        <w:spacing w:after="0"/>
        <w:jc w:val="both"/>
        <w:rPr>
          <w:rFonts w:ascii="Arial" w:hAnsi="Arial" w:cs="Arial"/>
          <w:sz w:val="20"/>
          <w:szCs w:val="20"/>
        </w:rPr>
      </w:pPr>
      <w:r w:rsidRPr="00283D94">
        <w:rPr>
          <w:rFonts w:ascii="Arial" w:hAnsi="Arial" w:cs="Arial"/>
          <w:sz w:val="20"/>
          <w:szCs w:val="20"/>
        </w:rPr>
        <w:t xml:space="preserve">3. Prestação de contas. Não cumprimento de determinação expedida por órgão deliberativo. Multa e impedimento à obtenção de certidão liberatória. Possibilidade de determinação de intervenção. Art. 20, II, da Constituição Estadual. </w:t>
      </w:r>
    </w:p>
    <w:p w:rsidR="006E12D5" w:rsidRDefault="006E12D5" w:rsidP="00816942">
      <w:pPr>
        <w:spacing w:after="0"/>
        <w:jc w:val="both"/>
        <w:rPr>
          <w:rStyle w:val="Hyperlink"/>
          <w:rFonts w:ascii="Arial" w:hAnsi="Arial" w:cs="Arial"/>
          <w:b/>
          <w:color w:val="000000" w:themeColor="text1"/>
          <w:sz w:val="20"/>
          <w:szCs w:val="20"/>
          <w:u w:val="none"/>
        </w:rPr>
      </w:pPr>
    </w:p>
    <w:p w:rsidR="002558B7" w:rsidRPr="002558B7" w:rsidRDefault="002558B7" w:rsidP="002558B7">
      <w:pPr>
        <w:spacing w:after="0"/>
        <w:jc w:val="both"/>
        <w:rPr>
          <w:rFonts w:ascii="Arial" w:hAnsi="Arial" w:cs="Arial"/>
          <w:sz w:val="20"/>
          <w:szCs w:val="20"/>
        </w:rPr>
      </w:pPr>
      <w:r w:rsidRPr="002558B7">
        <w:rPr>
          <w:rFonts w:ascii="Arial" w:hAnsi="Arial" w:cs="Arial"/>
          <w:sz w:val="20"/>
          <w:szCs w:val="20"/>
        </w:rPr>
        <w:t xml:space="preserve">4. </w:t>
      </w:r>
      <w:r>
        <w:rPr>
          <w:rFonts w:ascii="Arial" w:hAnsi="Arial" w:cs="Arial"/>
          <w:sz w:val="20"/>
          <w:szCs w:val="20"/>
        </w:rPr>
        <w:t>Prestação de c</w:t>
      </w:r>
      <w:r w:rsidRPr="002558B7">
        <w:rPr>
          <w:rFonts w:ascii="Arial" w:hAnsi="Arial" w:cs="Arial"/>
          <w:sz w:val="20"/>
          <w:szCs w:val="20"/>
        </w:rPr>
        <w:t xml:space="preserve">ontas. Abertura do SIM-AM. Atraso. Regularidade com ressalva. Aplicação de multa administrativa afastada. Atraso inferior a 30 (trinta) dias. Princípio da proporcionalidade. </w:t>
      </w:r>
    </w:p>
    <w:p w:rsidR="002558B7" w:rsidRPr="002558B7" w:rsidRDefault="002558B7" w:rsidP="002558B7">
      <w:pPr>
        <w:spacing w:after="0"/>
        <w:jc w:val="both"/>
        <w:rPr>
          <w:rFonts w:ascii="Arial" w:hAnsi="Arial" w:cs="Arial"/>
          <w:sz w:val="20"/>
          <w:szCs w:val="20"/>
        </w:rPr>
      </w:pPr>
    </w:p>
    <w:p w:rsidR="002558B7" w:rsidRDefault="002558B7" w:rsidP="002558B7">
      <w:pPr>
        <w:autoSpaceDE w:val="0"/>
        <w:autoSpaceDN w:val="0"/>
        <w:adjustRightInd w:val="0"/>
        <w:spacing w:after="0"/>
        <w:jc w:val="both"/>
        <w:rPr>
          <w:rFonts w:ascii="Arial" w:hAnsi="Arial" w:cs="Arial"/>
          <w:sz w:val="20"/>
          <w:szCs w:val="20"/>
        </w:rPr>
      </w:pPr>
      <w:r w:rsidRPr="002558B7">
        <w:rPr>
          <w:rFonts w:ascii="Arial" w:hAnsi="Arial" w:cs="Arial"/>
          <w:sz w:val="20"/>
          <w:szCs w:val="20"/>
        </w:rPr>
        <w:t>5. Prestação de contas. Balanço patrimonial em desconformidade com a normatização pertinente. Instituição de contribuição do Município ao RPPS inferior àquela dos servidores efetivos. Inviabilidade de apreciação do item de análise atinente ao pagamento de aportes para cobertura do déficit atuarial, pela ausência de elementos na prestação de contas. Parecer prévio pela irregularidade das contas, com aplicação de multas.</w:t>
      </w:r>
    </w:p>
    <w:p w:rsidR="002558B7" w:rsidRPr="002558B7" w:rsidRDefault="002558B7" w:rsidP="002558B7">
      <w:pPr>
        <w:autoSpaceDE w:val="0"/>
        <w:autoSpaceDN w:val="0"/>
        <w:adjustRightInd w:val="0"/>
        <w:spacing w:after="0"/>
        <w:jc w:val="both"/>
        <w:rPr>
          <w:rFonts w:ascii="Arial" w:hAnsi="Arial" w:cs="Arial"/>
          <w:sz w:val="20"/>
          <w:szCs w:val="20"/>
        </w:rPr>
      </w:pPr>
    </w:p>
    <w:p w:rsidR="002558B7" w:rsidRDefault="002558B7" w:rsidP="002558B7">
      <w:pPr>
        <w:spacing w:after="0"/>
        <w:jc w:val="both"/>
        <w:rPr>
          <w:rStyle w:val="Hyperlink"/>
          <w:rFonts w:ascii="Arial" w:hAnsi="Arial" w:cs="Arial"/>
          <w:color w:val="000000" w:themeColor="text1"/>
          <w:sz w:val="20"/>
          <w:szCs w:val="20"/>
          <w:u w:val="none"/>
        </w:rPr>
      </w:pPr>
      <w:r w:rsidRPr="002558B7">
        <w:rPr>
          <w:rStyle w:val="Hyperlink"/>
          <w:rFonts w:ascii="Arial" w:hAnsi="Arial" w:cs="Arial"/>
          <w:color w:val="000000" w:themeColor="text1"/>
          <w:sz w:val="20"/>
          <w:szCs w:val="20"/>
          <w:u w:val="none"/>
        </w:rPr>
        <w:t>6. Prestação de contas. Alimentação do SIM-AM. Atraso. Regularidade com ressalvas. Princípio da Infração Continuada. Aplicação de multa administrativa.</w:t>
      </w:r>
    </w:p>
    <w:p w:rsidR="002558B7" w:rsidRDefault="002558B7" w:rsidP="002558B7">
      <w:pPr>
        <w:spacing w:after="0"/>
        <w:jc w:val="both"/>
        <w:rPr>
          <w:rStyle w:val="Hyperlink"/>
          <w:rFonts w:ascii="Arial" w:hAnsi="Arial" w:cs="Arial"/>
          <w:color w:val="000000" w:themeColor="text1"/>
          <w:sz w:val="20"/>
          <w:szCs w:val="20"/>
          <w:u w:val="none"/>
        </w:rPr>
      </w:pPr>
    </w:p>
    <w:p w:rsidR="004432F4" w:rsidRDefault="002558B7" w:rsidP="004432F4">
      <w:pPr>
        <w:autoSpaceDE w:val="0"/>
        <w:autoSpaceDN w:val="0"/>
        <w:adjustRightInd w:val="0"/>
        <w:spacing w:after="0"/>
        <w:jc w:val="both"/>
        <w:rPr>
          <w:rStyle w:val="Hyperlink"/>
          <w:rFonts w:ascii="Arial" w:hAnsi="Arial" w:cs="Arial"/>
          <w:color w:val="000000" w:themeColor="text1"/>
          <w:sz w:val="20"/>
          <w:szCs w:val="20"/>
          <w:u w:val="none"/>
        </w:rPr>
      </w:pPr>
      <w:r w:rsidRPr="002558B7">
        <w:rPr>
          <w:rStyle w:val="Hyperlink"/>
          <w:rFonts w:ascii="Arial" w:hAnsi="Arial" w:cs="Arial"/>
          <w:color w:val="000000" w:themeColor="text1"/>
          <w:sz w:val="20"/>
          <w:szCs w:val="20"/>
          <w:u w:val="none"/>
        </w:rPr>
        <w:t xml:space="preserve">7. Prestação de contas. Atraso na entrega de dados do SIM-AM. Imputação de multa. Infrações administrativas da mesma espécie. Razoabilidade e Proporcionalidade. Aplicação de uma sanção. Regularidade com ressalvas. </w:t>
      </w:r>
    </w:p>
    <w:p w:rsidR="004432F4" w:rsidRPr="004432F4" w:rsidRDefault="004432F4" w:rsidP="004432F4">
      <w:pPr>
        <w:autoSpaceDE w:val="0"/>
        <w:autoSpaceDN w:val="0"/>
        <w:adjustRightInd w:val="0"/>
        <w:spacing w:after="0"/>
        <w:jc w:val="both"/>
        <w:rPr>
          <w:rFonts w:ascii="Arial" w:hAnsi="Arial" w:cs="Arial"/>
          <w:sz w:val="20"/>
          <w:szCs w:val="20"/>
        </w:rPr>
      </w:pPr>
      <w:r w:rsidRPr="004432F4">
        <w:rPr>
          <w:rFonts w:ascii="Arial" w:hAnsi="Arial" w:cs="Arial"/>
          <w:sz w:val="20"/>
          <w:szCs w:val="20"/>
        </w:rPr>
        <w:lastRenderedPageBreak/>
        <w:t>8. Alerta. Poder Executivo do Estado. Ultrapassado 90% do limite de gastos com pessoal. Divergência de cálculos - Utilização dos efetuados pela unidade técnica, em conformidade com a IN 56/11, e não dos constantes em RGF. Emissão do alerta</w:t>
      </w:r>
      <w:r w:rsidR="009F1F0F">
        <w:rPr>
          <w:rFonts w:ascii="Arial" w:hAnsi="Arial" w:cs="Arial"/>
          <w:sz w:val="20"/>
          <w:szCs w:val="20"/>
        </w:rPr>
        <w:t>.</w:t>
      </w:r>
    </w:p>
    <w:p w:rsidR="002558B7" w:rsidRPr="002558B7" w:rsidRDefault="002558B7" w:rsidP="002558B7">
      <w:pPr>
        <w:spacing w:after="0"/>
        <w:jc w:val="both"/>
        <w:rPr>
          <w:rStyle w:val="Hyperlink"/>
          <w:rFonts w:ascii="Arial" w:hAnsi="Arial" w:cs="Arial"/>
          <w:color w:val="000000" w:themeColor="text1"/>
          <w:sz w:val="20"/>
          <w:szCs w:val="20"/>
          <w:u w:val="none"/>
        </w:rPr>
      </w:pPr>
    </w:p>
    <w:p w:rsidR="004432F4" w:rsidRPr="004432F4" w:rsidRDefault="004432F4" w:rsidP="004432F4">
      <w:pPr>
        <w:autoSpaceDE w:val="0"/>
        <w:autoSpaceDN w:val="0"/>
        <w:adjustRightInd w:val="0"/>
        <w:spacing w:after="0"/>
        <w:jc w:val="both"/>
        <w:rPr>
          <w:rFonts w:ascii="Arial" w:hAnsi="Arial" w:cs="Arial"/>
          <w:sz w:val="20"/>
          <w:szCs w:val="20"/>
        </w:rPr>
      </w:pPr>
      <w:r w:rsidRPr="004432F4">
        <w:rPr>
          <w:rFonts w:ascii="Arial" w:hAnsi="Arial" w:cs="Arial"/>
          <w:sz w:val="20"/>
          <w:szCs w:val="20"/>
        </w:rPr>
        <w:t>9. Consulta. Serviços de saúde de urgência e emergência. Inexistência de hospital público municipal. Único estabelecimento local de propriedade do vice-prefeito. Contratação mediante inexigibilidade de licitação. Possibilidade.</w:t>
      </w:r>
    </w:p>
    <w:p w:rsidR="002558B7" w:rsidRPr="004432F4" w:rsidRDefault="002558B7" w:rsidP="002558B7">
      <w:pPr>
        <w:spacing w:after="0"/>
        <w:jc w:val="both"/>
        <w:rPr>
          <w:rStyle w:val="Hyperlink"/>
          <w:rFonts w:ascii="Arial" w:hAnsi="Arial" w:cs="Arial"/>
          <w:color w:val="000000" w:themeColor="text1"/>
          <w:sz w:val="20"/>
          <w:szCs w:val="20"/>
          <w:u w:val="none"/>
        </w:rPr>
      </w:pPr>
    </w:p>
    <w:p w:rsidR="004432F4" w:rsidRPr="004432F4" w:rsidRDefault="004432F4" w:rsidP="004432F4">
      <w:pPr>
        <w:autoSpaceDE w:val="0"/>
        <w:autoSpaceDN w:val="0"/>
        <w:adjustRightInd w:val="0"/>
        <w:spacing w:after="0"/>
        <w:jc w:val="both"/>
        <w:rPr>
          <w:rFonts w:ascii="Arial,Italic" w:hAnsi="Arial,Italic" w:cs="Arial,Italic"/>
          <w:iCs/>
          <w:sz w:val="20"/>
          <w:szCs w:val="20"/>
        </w:rPr>
      </w:pPr>
      <w:r w:rsidRPr="004432F4">
        <w:rPr>
          <w:rFonts w:ascii="Arial,Italic" w:hAnsi="Arial,Italic" w:cs="Arial,Italic"/>
          <w:iCs/>
          <w:sz w:val="20"/>
          <w:szCs w:val="20"/>
        </w:rPr>
        <w:t>10. Consulta. Possibilidade de licitações exclusivas a ME e EPP para alienação de bens públicos. Realização de pesquisa de preços exclusivamente com orçamentos de ME e EPP. Regime jurídico diferenciado. Impossibilidade de extensão do regime de tratamento favorecido, diferenciado e simplificado da LC nº 123/06. Resposta negativa.</w:t>
      </w:r>
    </w:p>
    <w:p w:rsidR="002558B7" w:rsidRDefault="002558B7" w:rsidP="002558B7">
      <w:pPr>
        <w:spacing w:after="0"/>
        <w:jc w:val="both"/>
        <w:rPr>
          <w:rStyle w:val="Hyperlink"/>
          <w:rFonts w:ascii="Arial" w:hAnsi="Arial" w:cs="Arial"/>
          <w:color w:val="000000" w:themeColor="text1"/>
          <w:sz w:val="20"/>
          <w:szCs w:val="20"/>
          <w:u w:val="none"/>
        </w:rPr>
      </w:pPr>
    </w:p>
    <w:p w:rsidR="004432F4" w:rsidRPr="004432F4" w:rsidRDefault="004432F4" w:rsidP="004432F4">
      <w:pPr>
        <w:autoSpaceDE w:val="0"/>
        <w:autoSpaceDN w:val="0"/>
        <w:adjustRightInd w:val="0"/>
        <w:spacing w:after="0"/>
        <w:jc w:val="both"/>
        <w:rPr>
          <w:rFonts w:ascii="Arial" w:hAnsi="Arial" w:cs="Arial"/>
          <w:sz w:val="20"/>
          <w:szCs w:val="20"/>
        </w:rPr>
      </w:pPr>
      <w:r w:rsidRPr="004432F4">
        <w:rPr>
          <w:rFonts w:ascii="Arial" w:hAnsi="Arial" w:cs="Arial"/>
          <w:sz w:val="20"/>
          <w:szCs w:val="20"/>
        </w:rPr>
        <w:t xml:space="preserve">11. Consulta. Dispensa de licitação. Administração indireta. Requisitos. Art. 24, VIII, da Lei n.º 8.666/93. </w:t>
      </w:r>
    </w:p>
    <w:p w:rsidR="004432F4" w:rsidRDefault="004432F4" w:rsidP="002558B7">
      <w:pPr>
        <w:spacing w:after="0"/>
        <w:jc w:val="both"/>
        <w:rPr>
          <w:rStyle w:val="Hyperlink"/>
          <w:rFonts w:ascii="Arial" w:hAnsi="Arial" w:cs="Arial"/>
          <w:color w:val="000000" w:themeColor="text1"/>
          <w:sz w:val="20"/>
          <w:szCs w:val="20"/>
          <w:u w:val="none"/>
        </w:rPr>
      </w:pPr>
    </w:p>
    <w:p w:rsidR="008F14E6" w:rsidRPr="008F14E6" w:rsidRDefault="008F14E6" w:rsidP="008F14E6">
      <w:pPr>
        <w:autoSpaceDE w:val="0"/>
        <w:autoSpaceDN w:val="0"/>
        <w:adjustRightInd w:val="0"/>
        <w:spacing w:after="0"/>
        <w:jc w:val="both"/>
        <w:rPr>
          <w:rFonts w:ascii="Arial" w:hAnsi="Arial" w:cs="Arial"/>
          <w:sz w:val="20"/>
          <w:szCs w:val="20"/>
        </w:rPr>
      </w:pPr>
      <w:r w:rsidRPr="008F14E6">
        <w:rPr>
          <w:rFonts w:ascii="Arial" w:hAnsi="Arial" w:cs="Arial"/>
          <w:sz w:val="20"/>
          <w:szCs w:val="20"/>
        </w:rPr>
        <w:t>12. Consulta. Dúvida quanto à possibilidade de contagem em dobro da licença prêmio não usufruída para fins de aposentadoria. Possibilidade desde que existisse previsão na legislação local, à época, para inclusão do período laborado em regime de CLT para cômputo do período e que os requisitos para sua concessão tenham sido preenchidos antes da entrada em vigor da Emenda Constitucional nº 20/98.</w:t>
      </w:r>
    </w:p>
    <w:p w:rsidR="008F14E6" w:rsidRPr="002558B7" w:rsidRDefault="008F14E6" w:rsidP="002558B7">
      <w:pPr>
        <w:spacing w:after="0"/>
        <w:jc w:val="both"/>
        <w:rPr>
          <w:rStyle w:val="Hyperlink"/>
          <w:rFonts w:ascii="Arial" w:hAnsi="Arial" w:cs="Arial"/>
          <w:color w:val="000000" w:themeColor="text1"/>
          <w:sz w:val="20"/>
          <w:szCs w:val="20"/>
          <w:u w:val="none"/>
        </w:rPr>
      </w:pPr>
    </w:p>
    <w:p w:rsidR="00712A93" w:rsidRPr="0022060B" w:rsidRDefault="00712A93" w:rsidP="00816942">
      <w:pPr>
        <w:shd w:val="pct10" w:color="auto" w:fill="auto"/>
        <w:spacing w:after="0"/>
        <w:jc w:val="center"/>
        <w:rPr>
          <w:rFonts w:ascii="Arial" w:hAnsi="Arial" w:cs="Arial"/>
          <w:b/>
          <w:sz w:val="20"/>
          <w:szCs w:val="20"/>
        </w:rPr>
      </w:pPr>
      <w:r w:rsidRPr="0022060B">
        <w:rPr>
          <w:rFonts w:ascii="Arial" w:hAnsi="Arial" w:cs="Arial"/>
          <w:b/>
          <w:sz w:val="20"/>
          <w:szCs w:val="20"/>
        </w:rPr>
        <w:t>PRIMEIRA CÂMARA</w:t>
      </w:r>
    </w:p>
    <w:p w:rsidR="00F675B4" w:rsidRDefault="00F675B4" w:rsidP="00F675B4">
      <w:pPr>
        <w:autoSpaceDE w:val="0"/>
        <w:autoSpaceDN w:val="0"/>
        <w:adjustRightInd w:val="0"/>
        <w:spacing w:after="0" w:line="240" w:lineRule="auto"/>
        <w:rPr>
          <w:rFonts w:ascii="Arial" w:hAnsi="Arial" w:cs="Arial"/>
          <w:sz w:val="20"/>
          <w:szCs w:val="20"/>
        </w:rPr>
      </w:pPr>
    </w:p>
    <w:p w:rsidR="005F7E35" w:rsidRPr="004A6F83" w:rsidRDefault="00283D94" w:rsidP="00250F60">
      <w:pPr>
        <w:autoSpaceDE w:val="0"/>
        <w:autoSpaceDN w:val="0"/>
        <w:adjustRightInd w:val="0"/>
        <w:spacing w:after="0"/>
        <w:jc w:val="both"/>
        <w:rPr>
          <w:rFonts w:ascii="Arial" w:hAnsi="Arial" w:cs="Arial"/>
          <w:b/>
          <w:sz w:val="20"/>
          <w:szCs w:val="20"/>
        </w:rPr>
      </w:pPr>
      <w:r>
        <w:rPr>
          <w:rFonts w:ascii="Arial" w:hAnsi="Arial" w:cs="Arial"/>
          <w:b/>
          <w:sz w:val="20"/>
          <w:szCs w:val="20"/>
        </w:rPr>
        <w:t xml:space="preserve">1. </w:t>
      </w:r>
      <w:r w:rsidR="00F675B4" w:rsidRPr="004A6F83">
        <w:rPr>
          <w:rFonts w:ascii="Arial" w:hAnsi="Arial" w:cs="Arial"/>
          <w:b/>
          <w:sz w:val="20"/>
          <w:szCs w:val="20"/>
        </w:rPr>
        <w:t>Prestação de contas</w:t>
      </w:r>
      <w:r w:rsidR="002558B7">
        <w:rPr>
          <w:rFonts w:ascii="Arial" w:hAnsi="Arial" w:cs="Arial"/>
          <w:b/>
          <w:sz w:val="20"/>
          <w:szCs w:val="20"/>
        </w:rPr>
        <w:t xml:space="preserve">. </w:t>
      </w:r>
      <w:r w:rsidR="00F675B4" w:rsidRPr="004A6F83">
        <w:rPr>
          <w:rFonts w:ascii="Arial" w:hAnsi="Arial" w:cs="Arial"/>
          <w:b/>
          <w:sz w:val="20"/>
          <w:szCs w:val="20"/>
        </w:rPr>
        <w:t>Atrasos SIM-AM. Atraso na</w:t>
      </w:r>
      <w:r w:rsidR="004A6F83">
        <w:rPr>
          <w:rFonts w:ascii="Arial" w:hAnsi="Arial" w:cs="Arial"/>
          <w:b/>
          <w:sz w:val="20"/>
          <w:szCs w:val="20"/>
        </w:rPr>
        <w:t xml:space="preserve"> </w:t>
      </w:r>
      <w:r w:rsidR="00F675B4" w:rsidRPr="004A6F83">
        <w:rPr>
          <w:rFonts w:ascii="Arial" w:hAnsi="Arial" w:cs="Arial"/>
          <w:b/>
          <w:sz w:val="20"/>
          <w:szCs w:val="20"/>
        </w:rPr>
        <w:t>Publicação do Relatório de Gestão Fiscal - RGF. Regularidade das contas com Ressalva.</w:t>
      </w:r>
    </w:p>
    <w:p w:rsidR="00F675B4" w:rsidRDefault="00F675B4" w:rsidP="00250F60">
      <w:pPr>
        <w:autoSpaceDE w:val="0"/>
        <w:autoSpaceDN w:val="0"/>
        <w:adjustRightInd w:val="0"/>
        <w:spacing w:after="0"/>
        <w:jc w:val="both"/>
        <w:rPr>
          <w:rFonts w:ascii="Arial" w:hAnsi="Arial" w:cs="Arial"/>
          <w:sz w:val="20"/>
          <w:szCs w:val="20"/>
        </w:rPr>
      </w:pPr>
    </w:p>
    <w:p w:rsidR="002B25E7" w:rsidRDefault="002B25E7" w:rsidP="00250F60">
      <w:pPr>
        <w:autoSpaceDE w:val="0"/>
        <w:autoSpaceDN w:val="0"/>
        <w:adjustRightInd w:val="0"/>
        <w:spacing w:after="0"/>
        <w:jc w:val="both"/>
        <w:rPr>
          <w:rFonts w:ascii="Arial" w:hAnsi="Arial" w:cs="Arial"/>
          <w:sz w:val="20"/>
          <w:szCs w:val="20"/>
        </w:rPr>
      </w:pPr>
      <w:r w:rsidRPr="002B25E7">
        <w:rPr>
          <w:rFonts w:ascii="Arial" w:hAnsi="Arial" w:cs="Arial"/>
          <w:sz w:val="20"/>
          <w:szCs w:val="20"/>
        </w:rPr>
        <w:t>Em</w:t>
      </w:r>
      <w:r>
        <w:rPr>
          <w:rFonts w:ascii="Arial" w:hAnsi="Arial" w:cs="Arial"/>
          <w:sz w:val="20"/>
          <w:szCs w:val="20"/>
        </w:rPr>
        <w:t xml:space="preserve"> </w:t>
      </w:r>
      <w:r w:rsidRPr="002B25E7">
        <w:rPr>
          <w:rFonts w:ascii="Arial" w:hAnsi="Arial" w:cs="Arial"/>
          <w:sz w:val="20"/>
          <w:szCs w:val="20"/>
        </w:rPr>
        <w:t>que pese o Poder Legislativo do Município atrasar alguns dias a entrega dos dados do Sistema de Informações</w:t>
      </w:r>
      <w:r>
        <w:rPr>
          <w:rFonts w:ascii="Arial" w:hAnsi="Arial" w:cs="Arial"/>
          <w:sz w:val="20"/>
          <w:szCs w:val="20"/>
        </w:rPr>
        <w:t xml:space="preserve"> </w:t>
      </w:r>
      <w:r w:rsidRPr="002B25E7">
        <w:rPr>
          <w:rFonts w:ascii="Arial" w:hAnsi="Arial" w:cs="Arial"/>
          <w:sz w:val="20"/>
          <w:szCs w:val="20"/>
        </w:rPr>
        <w:t xml:space="preserve">Municipais </w:t>
      </w:r>
      <w:r>
        <w:rPr>
          <w:rFonts w:ascii="Arial" w:hAnsi="Arial" w:cs="Arial"/>
          <w:sz w:val="20"/>
          <w:szCs w:val="20"/>
        </w:rPr>
        <w:t>-</w:t>
      </w:r>
      <w:r w:rsidRPr="002B25E7">
        <w:rPr>
          <w:rFonts w:ascii="Arial" w:hAnsi="Arial" w:cs="Arial"/>
          <w:sz w:val="20"/>
          <w:szCs w:val="20"/>
        </w:rPr>
        <w:t xml:space="preserve"> Acompanhamento Mensal (abertura, maio e julho), contrariando o</w:t>
      </w:r>
      <w:r>
        <w:rPr>
          <w:rFonts w:ascii="Arial" w:hAnsi="Arial" w:cs="Arial"/>
          <w:sz w:val="20"/>
          <w:szCs w:val="20"/>
        </w:rPr>
        <w:t xml:space="preserve"> </w:t>
      </w:r>
      <w:r w:rsidRPr="002B25E7">
        <w:rPr>
          <w:rFonts w:ascii="Arial" w:hAnsi="Arial" w:cs="Arial"/>
          <w:sz w:val="20"/>
          <w:szCs w:val="20"/>
        </w:rPr>
        <w:t>disposto nas Instruções Normativas n.º 115/2016 e 129/2017 referentes a Agenda de</w:t>
      </w:r>
      <w:r>
        <w:rPr>
          <w:rFonts w:ascii="Arial" w:hAnsi="Arial" w:cs="Arial"/>
          <w:sz w:val="20"/>
          <w:szCs w:val="20"/>
        </w:rPr>
        <w:t xml:space="preserve"> Obrigações, observa-se </w:t>
      </w:r>
      <w:r w:rsidRPr="002B25E7">
        <w:rPr>
          <w:rFonts w:ascii="Arial" w:hAnsi="Arial" w:cs="Arial"/>
          <w:sz w:val="20"/>
          <w:szCs w:val="20"/>
        </w:rPr>
        <w:t>que os atrasos não prejudicaram a fiscalização das contas. E,</w:t>
      </w:r>
      <w:r>
        <w:rPr>
          <w:rFonts w:ascii="Arial" w:hAnsi="Arial" w:cs="Arial"/>
          <w:sz w:val="20"/>
          <w:szCs w:val="20"/>
        </w:rPr>
        <w:t xml:space="preserve"> </w:t>
      </w:r>
      <w:r w:rsidRPr="002B25E7">
        <w:rPr>
          <w:rFonts w:ascii="Arial" w:hAnsi="Arial" w:cs="Arial"/>
          <w:sz w:val="20"/>
          <w:szCs w:val="20"/>
        </w:rPr>
        <w:t>ainda, considerando que nenhum dos atrasos ultrapassou 30 dias, afast</w:t>
      </w:r>
      <w:r>
        <w:rPr>
          <w:rFonts w:ascii="Arial" w:hAnsi="Arial" w:cs="Arial"/>
          <w:sz w:val="20"/>
          <w:szCs w:val="20"/>
        </w:rPr>
        <w:t xml:space="preserve">a-se </w:t>
      </w:r>
      <w:r w:rsidRPr="002B25E7">
        <w:rPr>
          <w:rFonts w:ascii="Arial" w:hAnsi="Arial" w:cs="Arial"/>
          <w:sz w:val="20"/>
          <w:szCs w:val="20"/>
        </w:rPr>
        <w:t>as multas</w:t>
      </w:r>
      <w:r>
        <w:rPr>
          <w:rFonts w:ascii="Arial" w:hAnsi="Arial" w:cs="Arial"/>
          <w:sz w:val="20"/>
          <w:szCs w:val="20"/>
        </w:rPr>
        <w:t xml:space="preserve"> </w:t>
      </w:r>
      <w:r w:rsidRPr="002B25E7">
        <w:rPr>
          <w:rFonts w:ascii="Arial" w:hAnsi="Arial" w:cs="Arial"/>
          <w:sz w:val="20"/>
          <w:szCs w:val="20"/>
        </w:rPr>
        <w:t xml:space="preserve">sugeridas pela </w:t>
      </w:r>
      <w:r>
        <w:rPr>
          <w:rFonts w:ascii="Arial" w:hAnsi="Arial" w:cs="Arial"/>
          <w:sz w:val="20"/>
          <w:szCs w:val="20"/>
        </w:rPr>
        <w:t>u</w:t>
      </w:r>
      <w:r w:rsidRPr="002B25E7">
        <w:rPr>
          <w:rFonts w:ascii="Arial" w:hAnsi="Arial" w:cs="Arial"/>
          <w:sz w:val="20"/>
          <w:szCs w:val="20"/>
        </w:rPr>
        <w:t xml:space="preserve">nidade </w:t>
      </w:r>
      <w:r>
        <w:rPr>
          <w:rFonts w:ascii="Arial" w:hAnsi="Arial" w:cs="Arial"/>
          <w:sz w:val="20"/>
          <w:szCs w:val="20"/>
        </w:rPr>
        <w:t>t</w:t>
      </w:r>
      <w:r w:rsidRPr="002B25E7">
        <w:rPr>
          <w:rFonts w:ascii="Arial" w:hAnsi="Arial" w:cs="Arial"/>
          <w:sz w:val="20"/>
          <w:szCs w:val="20"/>
        </w:rPr>
        <w:t xml:space="preserve">écnica e </w:t>
      </w:r>
      <w:r>
        <w:rPr>
          <w:rFonts w:ascii="Arial" w:hAnsi="Arial" w:cs="Arial"/>
          <w:sz w:val="20"/>
          <w:szCs w:val="20"/>
        </w:rPr>
        <w:t xml:space="preserve">pelo </w:t>
      </w:r>
      <w:r w:rsidRPr="002B25E7">
        <w:rPr>
          <w:rFonts w:ascii="Arial" w:hAnsi="Arial" w:cs="Arial"/>
          <w:sz w:val="20"/>
          <w:szCs w:val="20"/>
        </w:rPr>
        <w:t>Ministério Público de</w:t>
      </w:r>
      <w:r>
        <w:rPr>
          <w:rFonts w:ascii="Arial" w:hAnsi="Arial" w:cs="Arial"/>
          <w:sz w:val="20"/>
          <w:szCs w:val="20"/>
        </w:rPr>
        <w:t xml:space="preserve"> junto ao Tribunal de </w:t>
      </w:r>
      <w:r w:rsidRPr="002B25E7">
        <w:rPr>
          <w:rFonts w:ascii="Arial" w:hAnsi="Arial" w:cs="Arial"/>
          <w:sz w:val="20"/>
          <w:szCs w:val="20"/>
        </w:rPr>
        <w:t>Contas</w:t>
      </w:r>
      <w:r>
        <w:rPr>
          <w:rFonts w:ascii="Arial" w:hAnsi="Arial" w:cs="Arial"/>
          <w:sz w:val="20"/>
          <w:szCs w:val="20"/>
        </w:rPr>
        <w:t xml:space="preserve">. </w:t>
      </w:r>
    </w:p>
    <w:p w:rsidR="00F675B4" w:rsidRPr="002B25E7" w:rsidRDefault="00F675B4" w:rsidP="00250F60">
      <w:pPr>
        <w:autoSpaceDE w:val="0"/>
        <w:autoSpaceDN w:val="0"/>
        <w:adjustRightInd w:val="0"/>
        <w:spacing w:after="0"/>
        <w:jc w:val="both"/>
        <w:rPr>
          <w:rFonts w:ascii="Arial" w:hAnsi="Arial" w:cs="Arial"/>
          <w:sz w:val="20"/>
          <w:szCs w:val="20"/>
        </w:rPr>
      </w:pPr>
    </w:p>
    <w:p w:rsidR="007B3DB7" w:rsidRDefault="002B25E7" w:rsidP="00250F60">
      <w:pPr>
        <w:autoSpaceDE w:val="0"/>
        <w:autoSpaceDN w:val="0"/>
        <w:adjustRightInd w:val="0"/>
        <w:spacing w:after="0"/>
        <w:jc w:val="both"/>
        <w:rPr>
          <w:rFonts w:ascii="Arial" w:hAnsi="Arial" w:cs="Arial"/>
          <w:sz w:val="20"/>
          <w:szCs w:val="20"/>
        </w:rPr>
      </w:pPr>
      <w:r w:rsidRPr="002B25E7">
        <w:rPr>
          <w:rFonts w:ascii="Arial" w:hAnsi="Arial" w:cs="Arial"/>
          <w:sz w:val="20"/>
          <w:szCs w:val="20"/>
        </w:rPr>
        <w:t xml:space="preserve">Em relação ao atraso na publicação do relatório de gestão fiscal </w:t>
      </w:r>
      <w:r w:rsidR="00F675B4">
        <w:rPr>
          <w:rFonts w:ascii="Arial" w:hAnsi="Arial" w:cs="Arial"/>
          <w:sz w:val="20"/>
          <w:szCs w:val="20"/>
        </w:rPr>
        <w:t xml:space="preserve">- </w:t>
      </w:r>
      <w:r w:rsidRPr="002B25E7">
        <w:rPr>
          <w:rFonts w:ascii="Arial" w:hAnsi="Arial" w:cs="Arial"/>
          <w:sz w:val="20"/>
          <w:szCs w:val="20"/>
        </w:rPr>
        <w:t>RGF terceiro quadrimestre, os interessados comprovaram documentalmente que o referido relatório foi gerado e enviado para publicação dentro do prazo, ou</w:t>
      </w:r>
      <w:r w:rsidR="00F675B4">
        <w:rPr>
          <w:rFonts w:ascii="Arial" w:hAnsi="Arial" w:cs="Arial"/>
          <w:sz w:val="20"/>
          <w:szCs w:val="20"/>
        </w:rPr>
        <w:t xml:space="preserve"> </w:t>
      </w:r>
      <w:r w:rsidRPr="002B25E7">
        <w:rPr>
          <w:rFonts w:ascii="Arial" w:hAnsi="Arial" w:cs="Arial"/>
          <w:sz w:val="20"/>
          <w:szCs w:val="20"/>
        </w:rPr>
        <w:t>seja, dia 29/01/2016, porém a data da circulação do Diário Oficial dos Municípios</w:t>
      </w:r>
      <w:r w:rsidR="00F675B4">
        <w:rPr>
          <w:rFonts w:ascii="Arial" w:hAnsi="Arial" w:cs="Arial"/>
          <w:sz w:val="20"/>
          <w:szCs w:val="20"/>
        </w:rPr>
        <w:t xml:space="preserve"> </w:t>
      </w:r>
      <w:r w:rsidRPr="002B25E7">
        <w:rPr>
          <w:rFonts w:ascii="Arial" w:hAnsi="Arial" w:cs="Arial"/>
          <w:sz w:val="20"/>
          <w:szCs w:val="20"/>
        </w:rPr>
        <w:t>ocorreu somente em 01/02/2016.</w:t>
      </w:r>
      <w:r w:rsidR="00F675B4">
        <w:rPr>
          <w:rFonts w:ascii="Arial" w:hAnsi="Arial" w:cs="Arial"/>
          <w:sz w:val="20"/>
          <w:szCs w:val="20"/>
        </w:rPr>
        <w:t xml:space="preserve"> </w:t>
      </w:r>
    </w:p>
    <w:p w:rsidR="007B3DB7" w:rsidRDefault="007B3DB7" w:rsidP="00250F60">
      <w:pPr>
        <w:autoSpaceDE w:val="0"/>
        <w:autoSpaceDN w:val="0"/>
        <w:adjustRightInd w:val="0"/>
        <w:spacing w:after="0"/>
        <w:jc w:val="both"/>
        <w:rPr>
          <w:rFonts w:ascii="Arial" w:hAnsi="Arial" w:cs="Arial"/>
          <w:sz w:val="20"/>
          <w:szCs w:val="20"/>
        </w:rPr>
      </w:pPr>
    </w:p>
    <w:p w:rsidR="004429A2" w:rsidRPr="002B25E7" w:rsidRDefault="002B25E7" w:rsidP="00250F60">
      <w:pPr>
        <w:autoSpaceDE w:val="0"/>
        <w:autoSpaceDN w:val="0"/>
        <w:adjustRightInd w:val="0"/>
        <w:spacing w:after="0"/>
        <w:jc w:val="both"/>
        <w:rPr>
          <w:rFonts w:ascii="Arial" w:hAnsi="Arial" w:cs="Arial"/>
          <w:sz w:val="20"/>
          <w:szCs w:val="20"/>
        </w:rPr>
      </w:pPr>
      <w:r w:rsidRPr="002B25E7">
        <w:rPr>
          <w:rFonts w:ascii="Arial" w:hAnsi="Arial" w:cs="Arial"/>
          <w:sz w:val="20"/>
          <w:szCs w:val="20"/>
        </w:rPr>
        <w:t>Logo, diante do argumento trazido pela entidade o qual foi</w:t>
      </w:r>
      <w:r w:rsidR="00F675B4">
        <w:rPr>
          <w:rFonts w:ascii="Arial" w:hAnsi="Arial" w:cs="Arial"/>
          <w:sz w:val="20"/>
          <w:szCs w:val="20"/>
        </w:rPr>
        <w:t xml:space="preserve"> </w:t>
      </w:r>
      <w:r w:rsidRPr="002B25E7">
        <w:rPr>
          <w:rFonts w:ascii="Arial" w:hAnsi="Arial" w:cs="Arial"/>
          <w:sz w:val="20"/>
          <w:szCs w:val="20"/>
        </w:rPr>
        <w:t>comprovado documentalmente, e considerando que o atraso de 2</w:t>
      </w:r>
      <w:r w:rsidR="00F675B4">
        <w:rPr>
          <w:rFonts w:ascii="Arial" w:hAnsi="Arial" w:cs="Arial"/>
          <w:sz w:val="20"/>
          <w:szCs w:val="20"/>
        </w:rPr>
        <w:t xml:space="preserve"> </w:t>
      </w:r>
      <w:r w:rsidRPr="002B25E7">
        <w:rPr>
          <w:rFonts w:ascii="Arial" w:hAnsi="Arial" w:cs="Arial"/>
          <w:sz w:val="20"/>
          <w:szCs w:val="20"/>
        </w:rPr>
        <w:t>(dois) dias na publicação do Relatório de Gestão Fiscal do terceiro quadrimestre do</w:t>
      </w:r>
      <w:r w:rsidR="00F675B4">
        <w:rPr>
          <w:rFonts w:ascii="Arial" w:hAnsi="Arial" w:cs="Arial"/>
          <w:sz w:val="20"/>
          <w:szCs w:val="20"/>
        </w:rPr>
        <w:t xml:space="preserve"> </w:t>
      </w:r>
      <w:r w:rsidRPr="002B25E7">
        <w:rPr>
          <w:rFonts w:ascii="Arial" w:hAnsi="Arial" w:cs="Arial"/>
          <w:sz w:val="20"/>
          <w:szCs w:val="20"/>
        </w:rPr>
        <w:t xml:space="preserve">exercício financeiro de 2015, não prejudicou a análise da prestação de </w:t>
      </w:r>
      <w:r w:rsidRPr="002B25E7">
        <w:rPr>
          <w:rFonts w:ascii="Arial" w:hAnsi="Arial" w:cs="Arial"/>
          <w:sz w:val="20"/>
          <w:szCs w:val="20"/>
        </w:rPr>
        <w:lastRenderedPageBreak/>
        <w:t>contas por</w:t>
      </w:r>
      <w:r w:rsidR="00F675B4">
        <w:rPr>
          <w:rFonts w:ascii="Arial" w:hAnsi="Arial" w:cs="Arial"/>
          <w:sz w:val="20"/>
          <w:szCs w:val="20"/>
        </w:rPr>
        <w:t xml:space="preserve"> </w:t>
      </w:r>
      <w:r w:rsidRPr="002B25E7">
        <w:rPr>
          <w:rFonts w:ascii="Arial" w:hAnsi="Arial" w:cs="Arial"/>
          <w:sz w:val="20"/>
          <w:szCs w:val="20"/>
        </w:rPr>
        <w:t xml:space="preserve">este Tribunal, com base nos princípios da razoabilidade e proporcionalidade </w:t>
      </w:r>
      <w:r w:rsidR="00F675B4">
        <w:rPr>
          <w:rFonts w:ascii="Arial" w:hAnsi="Arial" w:cs="Arial"/>
          <w:sz w:val="20"/>
          <w:szCs w:val="20"/>
        </w:rPr>
        <w:t xml:space="preserve">restado afastado </w:t>
      </w:r>
      <w:r w:rsidRPr="002B25E7">
        <w:rPr>
          <w:rFonts w:ascii="Arial" w:hAnsi="Arial" w:cs="Arial"/>
          <w:sz w:val="20"/>
          <w:szCs w:val="20"/>
        </w:rPr>
        <w:t>a</w:t>
      </w:r>
      <w:r w:rsidR="00F675B4">
        <w:rPr>
          <w:rFonts w:ascii="Arial" w:hAnsi="Arial" w:cs="Arial"/>
          <w:sz w:val="20"/>
          <w:szCs w:val="20"/>
        </w:rPr>
        <w:t xml:space="preserve"> </w:t>
      </w:r>
      <w:r w:rsidRPr="002B25E7">
        <w:rPr>
          <w:rFonts w:ascii="Arial" w:hAnsi="Arial" w:cs="Arial"/>
          <w:sz w:val="20"/>
          <w:szCs w:val="20"/>
        </w:rPr>
        <w:t xml:space="preserve">multa sugerida pela </w:t>
      </w:r>
      <w:r w:rsidR="00F675B4">
        <w:rPr>
          <w:rFonts w:ascii="Arial" w:hAnsi="Arial" w:cs="Arial"/>
          <w:sz w:val="20"/>
          <w:szCs w:val="20"/>
        </w:rPr>
        <w:t>u</w:t>
      </w:r>
      <w:r w:rsidRPr="002B25E7">
        <w:rPr>
          <w:rFonts w:ascii="Arial" w:hAnsi="Arial" w:cs="Arial"/>
          <w:sz w:val="20"/>
          <w:szCs w:val="20"/>
        </w:rPr>
        <w:t xml:space="preserve">nidade </w:t>
      </w:r>
      <w:r w:rsidR="00F675B4">
        <w:rPr>
          <w:rFonts w:ascii="Arial" w:hAnsi="Arial" w:cs="Arial"/>
          <w:sz w:val="20"/>
          <w:szCs w:val="20"/>
        </w:rPr>
        <w:t>t</w:t>
      </w:r>
      <w:r w:rsidRPr="002B25E7">
        <w:rPr>
          <w:rFonts w:ascii="Arial" w:hAnsi="Arial" w:cs="Arial"/>
          <w:sz w:val="20"/>
          <w:szCs w:val="20"/>
        </w:rPr>
        <w:t>écnica</w:t>
      </w:r>
      <w:r w:rsidR="00F675B4">
        <w:rPr>
          <w:rFonts w:ascii="Arial" w:hAnsi="Arial" w:cs="Arial"/>
          <w:sz w:val="20"/>
          <w:szCs w:val="20"/>
        </w:rPr>
        <w:t xml:space="preserve">, mantendo-se a </w:t>
      </w:r>
      <w:r w:rsidRPr="002B25E7">
        <w:rPr>
          <w:rFonts w:ascii="Arial" w:hAnsi="Arial" w:cs="Arial"/>
          <w:sz w:val="20"/>
          <w:szCs w:val="20"/>
        </w:rPr>
        <w:t>ressalva.</w:t>
      </w:r>
    </w:p>
    <w:p w:rsidR="002B25E7" w:rsidRDefault="002B25E7" w:rsidP="00250F60">
      <w:pPr>
        <w:autoSpaceDE w:val="0"/>
        <w:autoSpaceDN w:val="0"/>
        <w:adjustRightInd w:val="0"/>
        <w:spacing w:after="0"/>
        <w:jc w:val="both"/>
        <w:rPr>
          <w:rFonts w:ascii="Arial" w:hAnsi="Arial" w:cs="Arial"/>
          <w:sz w:val="20"/>
          <w:szCs w:val="20"/>
        </w:rPr>
      </w:pPr>
    </w:p>
    <w:p w:rsidR="002B25E7" w:rsidRDefault="009C1AD0" w:rsidP="00250F60">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162211/17 - </w:t>
      </w:r>
      <w:hyperlink r:id="rId8" w:history="1">
        <w:r w:rsidRPr="003D4EC3">
          <w:rPr>
            <w:rStyle w:val="Hyperlink"/>
            <w:rFonts w:ascii="Arial" w:hAnsi="Arial" w:cs="Arial"/>
            <w:sz w:val="20"/>
            <w:szCs w:val="20"/>
          </w:rPr>
          <w:t>Acórdão n° 2173/18 - Primeira Câmara</w:t>
        </w:r>
      </w:hyperlink>
      <w:r>
        <w:rPr>
          <w:rFonts w:ascii="Arial" w:hAnsi="Arial" w:cs="Arial"/>
          <w:sz w:val="20"/>
          <w:szCs w:val="20"/>
        </w:rPr>
        <w:t xml:space="preserve"> </w:t>
      </w:r>
      <w:r w:rsidR="007B3DB7">
        <w:rPr>
          <w:rFonts w:ascii="Arial" w:hAnsi="Arial" w:cs="Arial"/>
          <w:sz w:val="20"/>
          <w:szCs w:val="20"/>
        </w:rPr>
        <w:t>-</w:t>
      </w:r>
      <w:r>
        <w:rPr>
          <w:rFonts w:ascii="Arial" w:hAnsi="Arial" w:cs="Arial"/>
          <w:sz w:val="20"/>
          <w:szCs w:val="20"/>
        </w:rPr>
        <w:t xml:space="preserve"> Rel. Cons. </w:t>
      </w:r>
      <w:r w:rsidR="007B3DB7">
        <w:rPr>
          <w:rFonts w:ascii="Arial" w:hAnsi="Arial" w:cs="Arial"/>
          <w:sz w:val="20"/>
          <w:szCs w:val="20"/>
        </w:rPr>
        <w:t>Fabio de Souza Camargo.</w:t>
      </w:r>
    </w:p>
    <w:p w:rsidR="00552BB9" w:rsidRDefault="00552BB9" w:rsidP="00250F60">
      <w:pPr>
        <w:autoSpaceDE w:val="0"/>
        <w:autoSpaceDN w:val="0"/>
        <w:adjustRightInd w:val="0"/>
        <w:spacing w:after="0"/>
        <w:jc w:val="both"/>
        <w:rPr>
          <w:rFonts w:ascii="Arial" w:hAnsi="Arial" w:cs="Arial"/>
          <w:sz w:val="20"/>
          <w:szCs w:val="20"/>
        </w:rPr>
      </w:pPr>
    </w:p>
    <w:p w:rsidR="00552BB9" w:rsidRDefault="00283D94" w:rsidP="00552BB9">
      <w:pPr>
        <w:spacing w:after="0"/>
        <w:jc w:val="both"/>
        <w:rPr>
          <w:rFonts w:ascii="Arial" w:hAnsi="Arial" w:cs="Arial"/>
          <w:b/>
          <w:sz w:val="20"/>
          <w:szCs w:val="20"/>
        </w:rPr>
      </w:pPr>
      <w:r>
        <w:rPr>
          <w:rFonts w:ascii="Arial" w:hAnsi="Arial" w:cs="Arial"/>
          <w:b/>
          <w:sz w:val="20"/>
          <w:szCs w:val="20"/>
        </w:rPr>
        <w:t xml:space="preserve">2. </w:t>
      </w:r>
      <w:r w:rsidR="00552BB9">
        <w:rPr>
          <w:rFonts w:ascii="Arial" w:hAnsi="Arial" w:cs="Arial"/>
          <w:b/>
          <w:sz w:val="20"/>
          <w:szCs w:val="20"/>
        </w:rPr>
        <w:t>Prestação de contas</w:t>
      </w:r>
      <w:r w:rsidR="002558B7">
        <w:rPr>
          <w:rFonts w:ascii="Arial" w:hAnsi="Arial" w:cs="Arial"/>
          <w:b/>
          <w:sz w:val="20"/>
          <w:szCs w:val="20"/>
        </w:rPr>
        <w:t xml:space="preserve">. </w:t>
      </w:r>
      <w:r w:rsidR="00552BB9">
        <w:rPr>
          <w:rFonts w:ascii="Arial" w:hAnsi="Arial" w:cs="Arial"/>
          <w:b/>
          <w:sz w:val="20"/>
          <w:szCs w:val="20"/>
        </w:rPr>
        <w:t xml:space="preserve">Alimentação do SIM-AM. Atraso. </w:t>
      </w:r>
      <w:proofErr w:type="gramStart"/>
      <w:r w:rsidR="00552BB9">
        <w:rPr>
          <w:rFonts w:ascii="Arial" w:hAnsi="Arial" w:cs="Arial"/>
          <w:b/>
          <w:sz w:val="20"/>
          <w:szCs w:val="20"/>
        </w:rPr>
        <w:t>Parecer Prévio</w:t>
      </w:r>
      <w:proofErr w:type="gramEnd"/>
      <w:r w:rsidR="00552BB9">
        <w:rPr>
          <w:rFonts w:ascii="Arial" w:hAnsi="Arial" w:cs="Arial"/>
          <w:b/>
          <w:sz w:val="20"/>
          <w:szCs w:val="20"/>
        </w:rPr>
        <w:t xml:space="preserve"> pela regularidade. Aplicação de multa administrativa afastada. Atraso inferior a 30 (trinta) dias. </w:t>
      </w:r>
    </w:p>
    <w:p w:rsidR="00552BB9" w:rsidRDefault="00552BB9" w:rsidP="00552BB9">
      <w:pPr>
        <w:spacing w:after="0"/>
        <w:jc w:val="both"/>
        <w:rPr>
          <w:rFonts w:ascii="Arial" w:hAnsi="Arial" w:cs="Arial"/>
          <w:b/>
          <w:sz w:val="20"/>
          <w:szCs w:val="20"/>
        </w:rPr>
      </w:pPr>
    </w:p>
    <w:p w:rsidR="00552BB9" w:rsidRDefault="00552BB9" w:rsidP="00552BB9">
      <w:pPr>
        <w:spacing w:after="0"/>
        <w:jc w:val="both"/>
        <w:rPr>
          <w:rFonts w:ascii="Arial" w:hAnsi="Arial" w:cs="Arial"/>
          <w:sz w:val="20"/>
          <w:szCs w:val="20"/>
        </w:rPr>
      </w:pPr>
      <w:r>
        <w:rPr>
          <w:rFonts w:ascii="Arial" w:hAnsi="Arial" w:cs="Arial"/>
          <w:sz w:val="20"/>
          <w:szCs w:val="20"/>
        </w:rPr>
        <w:t xml:space="preserve">Houve atraso na alimentação do SIM-AM, detectado pela Unidade Técnica desta Casa e pelo Ministério Público de Contas. </w:t>
      </w:r>
    </w:p>
    <w:p w:rsidR="00552BB9" w:rsidRDefault="00552BB9" w:rsidP="00552BB9">
      <w:pPr>
        <w:spacing w:after="0"/>
        <w:jc w:val="both"/>
        <w:rPr>
          <w:rFonts w:ascii="Arial" w:hAnsi="Arial" w:cs="Arial"/>
          <w:sz w:val="20"/>
          <w:szCs w:val="20"/>
        </w:rPr>
      </w:pPr>
    </w:p>
    <w:p w:rsidR="00552BB9" w:rsidRDefault="00552BB9" w:rsidP="00552BB9">
      <w:pPr>
        <w:spacing w:after="0"/>
        <w:jc w:val="both"/>
        <w:rPr>
          <w:rFonts w:ascii="Arial" w:hAnsi="Arial" w:cs="Arial"/>
          <w:sz w:val="20"/>
          <w:szCs w:val="20"/>
        </w:rPr>
      </w:pPr>
      <w:r>
        <w:rPr>
          <w:rFonts w:ascii="Arial" w:hAnsi="Arial" w:cs="Arial"/>
          <w:sz w:val="20"/>
          <w:szCs w:val="20"/>
        </w:rPr>
        <w:t xml:space="preserve">Na proposta de voto, ficou consignado que as justificativas apresentadas pelo gestor municipal não lograram êxito em desconstituir os apontamentos técnicos, uma vez que não foram trazidos fatos que efetivamente demonstrassem a impossibilidade de atendimento, tendo o mesmo apenas alegado que do atraso não decorreu qualquer prejuízo ao erário. </w:t>
      </w:r>
    </w:p>
    <w:p w:rsidR="00552BB9" w:rsidRDefault="00552BB9" w:rsidP="00552BB9">
      <w:pPr>
        <w:spacing w:after="0"/>
        <w:jc w:val="both"/>
        <w:rPr>
          <w:rFonts w:ascii="Arial" w:hAnsi="Arial" w:cs="Arial"/>
          <w:sz w:val="20"/>
          <w:szCs w:val="20"/>
        </w:rPr>
      </w:pPr>
    </w:p>
    <w:p w:rsidR="00552BB9" w:rsidRDefault="00552BB9" w:rsidP="00552BB9">
      <w:pPr>
        <w:spacing w:after="0"/>
        <w:jc w:val="both"/>
        <w:rPr>
          <w:rFonts w:ascii="Arial" w:hAnsi="Arial" w:cs="Arial"/>
          <w:sz w:val="20"/>
          <w:szCs w:val="20"/>
        </w:rPr>
      </w:pPr>
      <w:r>
        <w:rPr>
          <w:rFonts w:ascii="Arial" w:hAnsi="Arial" w:cs="Arial"/>
          <w:sz w:val="20"/>
          <w:szCs w:val="20"/>
        </w:rPr>
        <w:t xml:space="preserve">Não obstante a ofensa aos comandos regulamentares (Instruções Normativas do TC, RITC e LOTC), não constitui elemento intrínseco às contas, não devendo ser motivo de ressalva, mas de aplicação da multa administrativa do art. 87, III, “b”, da LC 113/2005, ao responsável, conforme entendimento do Relator. </w:t>
      </w:r>
    </w:p>
    <w:p w:rsidR="00552BB9" w:rsidRPr="002E4DEB" w:rsidRDefault="00552BB9" w:rsidP="00552BB9">
      <w:pPr>
        <w:spacing w:after="0"/>
        <w:jc w:val="both"/>
        <w:rPr>
          <w:rFonts w:ascii="Arial" w:hAnsi="Arial" w:cs="Arial"/>
          <w:sz w:val="20"/>
          <w:szCs w:val="20"/>
        </w:rPr>
      </w:pPr>
    </w:p>
    <w:p w:rsidR="00552BB9" w:rsidRPr="000C1AB3" w:rsidRDefault="00552BB9" w:rsidP="00552BB9">
      <w:pPr>
        <w:spacing w:after="0"/>
        <w:jc w:val="both"/>
        <w:rPr>
          <w:rFonts w:ascii="Arial" w:hAnsi="Arial" w:cs="Arial"/>
          <w:sz w:val="20"/>
          <w:szCs w:val="20"/>
        </w:rPr>
      </w:pPr>
      <w:r>
        <w:rPr>
          <w:rFonts w:ascii="Arial" w:hAnsi="Arial" w:cs="Arial"/>
          <w:sz w:val="20"/>
          <w:szCs w:val="20"/>
        </w:rPr>
        <w:t xml:space="preserve">Vencido o voto do Relator no tocante à multa, que deixou de ser aplicada pelo Colegiado, por se tratar de atraso inferior a 30 (trinta) dias, o Parecer Prévio foi emitido pela regularidade das contas.  </w:t>
      </w:r>
    </w:p>
    <w:p w:rsidR="00552BB9" w:rsidRDefault="00552BB9" w:rsidP="00552BB9">
      <w:pPr>
        <w:spacing w:after="0"/>
        <w:jc w:val="both"/>
        <w:rPr>
          <w:rFonts w:ascii="Arial" w:hAnsi="Arial" w:cs="Arial"/>
          <w:b/>
          <w:sz w:val="20"/>
          <w:szCs w:val="20"/>
        </w:rPr>
      </w:pPr>
    </w:p>
    <w:p w:rsidR="00552BB9" w:rsidRPr="002E4DEB" w:rsidRDefault="00552BB9" w:rsidP="00552BB9">
      <w:pPr>
        <w:spacing w:after="0"/>
        <w:jc w:val="both"/>
        <w:rPr>
          <w:rFonts w:ascii="Arial" w:hAnsi="Arial" w:cs="Arial"/>
          <w:sz w:val="20"/>
          <w:szCs w:val="20"/>
        </w:rPr>
      </w:pPr>
      <w:r w:rsidRPr="002E4DEB">
        <w:rPr>
          <w:rFonts w:ascii="Arial" w:hAnsi="Arial" w:cs="Arial"/>
          <w:sz w:val="20"/>
          <w:szCs w:val="20"/>
        </w:rPr>
        <w:t xml:space="preserve">Processo nº 239862/18 </w:t>
      </w:r>
      <w:r>
        <w:rPr>
          <w:rFonts w:ascii="Arial" w:hAnsi="Arial" w:cs="Arial"/>
          <w:sz w:val="20"/>
          <w:szCs w:val="20"/>
        </w:rPr>
        <w:t xml:space="preserve">- </w:t>
      </w:r>
      <w:hyperlink r:id="rId9" w:history="1">
        <w:r w:rsidRPr="002E4DEB">
          <w:rPr>
            <w:rStyle w:val="Hyperlink"/>
            <w:rFonts w:ascii="Arial" w:hAnsi="Arial" w:cs="Arial"/>
            <w:sz w:val="20"/>
            <w:szCs w:val="20"/>
          </w:rPr>
          <w:t>Acórdão de Parecer Prévio nº 222/18</w:t>
        </w:r>
        <w:r>
          <w:rPr>
            <w:rStyle w:val="Hyperlink"/>
            <w:rFonts w:ascii="Arial" w:hAnsi="Arial" w:cs="Arial"/>
            <w:sz w:val="20"/>
            <w:szCs w:val="20"/>
          </w:rPr>
          <w:t xml:space="preserve"> - Primeira </w:t>
        </w:r>
        <w:r w:rsidRPr="002E4DEB">
          <w:rPr>
            <w:rStyle w:val="Hyperlink"/>
            <w:rFonts w:ascii="Arial" w:hAnsi="Arial" w:cs="Arial"/>
            <w:sz w:val="20"/>
            <w:szCs w:val="20"/>
          </w:rPr>
          <w:t>Câmara</w:t>
        </w:r>
      </w:hyperlink>
      <w:r>
        <w:rPr>
          <w:rFonts w:ascii="Arial" w:hAnsi="Arial" w:cs="Arial"/>
          <w:sz w:val="20"/>
          <w:szCs w:val="20"/>
        </w:rPr>
        <w:t xml:space="preserve"> - Relator Conselheiro Fernando Augusto Mello Guimarães. </w:t>
      </w:r>
    </w:p>
    <w:p w:rsidR="00552BB9" w:rsidRDefault="00552BB9" w:rsidP="00552BB9">
      <w:pPr>
        <w:spacing w:after="0"/>
        <w:jc w:val="both"/>
        <w:rPr>
          <w:rFonts w:ascii="Arial" w:hAnsi="Arial" w:cs="Arial"/>
          <w:b/>
          <w:sz w:val="20"/>
          <w:szCs w:val="20"/>
        </w:rPr>
      </w:pPr>
    </w:p>
    <w:p w:rsidR="00552BB9" w:rsidRDefault="00283D94" w:rsidP="00552BB9">
      <w:pPr>
        <w:spacing w:after="0"/>
        <w:jc w:val="both"/>
        <w:rPr>
          <w:rFonts w:ascii="Arial" w:hAnsi="Arial" w:cs="Arial"/>
          <w:b/>
          <w:sz w:val="20"/>
          <w:szCs w:val="20"/>
        </w:rPr>
      </w:pPr>
      <w:r>
        <w:rPr>
          <w:rFonts w:ascii="Arial" w:hAnsi="Arial" w:cs="Arial"/>
          <w:b/>
          <w:sz w:val="20"/>
          <w:szCs w:val="20"/>
        </w:rPr>
        <w:t xml:space="preserve">3. </w:t>
      </w:r>
      <w:r w:rsidR="00552BB9">
        <w:rPr>
          <w:rFonts w:ascii="Arial" w:hAnsi="Arial" w:cs="Arial"/>
          <w:b/>
          <w:sz w:val="20"/>
          <w:szCs w:val="20"/>
        </w:rPr>
        <w:t>Prestação de contas</w:t>
      </w:r>
      <w:r w:rsidR="002558B7">
        <w:rPr>
          <w:rFonts w:ascii="Arial" w:hAnsi="Arial" w:cs="Arial"/>
          <w:b/>
          <w:sz w:val="20"/>
          <w:szCs w:val="20"/>
        </w:rPr>
        <w:t xml:space="preserve">. </w:t>
      </w:r>
      <w:r w:rsidR="00552BB9">
        <w:rPr>
          <w:rFonts w:ascii="Arial" w:hAnsi="Arial" w:cs="Arial"/>
          <w:b/>
          <w:sz w:val="20"/>
          <w:szCs w:val="20"/>
        </w:rPr>
        <w:t xml:space="preserve">Não cumprimento de determinação expedida por órgão deliberativo. Multa e impedimento à obtenção de certidão liberatória. Possibilidade de determinação de intervenção. Art. 20, II, da Constituição Estadual. </w:t>
      </w:r>
    </w:p>
    <w:p w:rsidR="00552BB9" w:rsidRDefault="00552BB9" w:rsidP="00552BB9">
      <w:pPr>
        <w:spacing w:after="0"/>
        <w:jc w:val="both"/>
        <w:rPr>
          <w:rFonts w:ascii="Arial" w:hAnsi="Arial" w:cs="Arial"/>
          <w:b/>
          <w:sz w:val="20"/>
          <w:szCs w:val="20"/>
        </w:rPr>
      </w:pPr>
    </w:p>
    <w:p w:rsidR="00552BB9" w:rsidRDefault="00552BB9" w:rsidP="00552BB9">
      <w:pPr>
        <w:spacing w:after="0"/>
        <w:jc w:val="both"/>
        <w:rPr>
          <w:rFonts w:ascii="Arial" w:hAnsi="Arial" w:cs="Arial"/>
          <w:sz w:val="20"/>
          <w:szCs w:val="20"/>
        </w:rPr>
      </w:pPr>
      <w:r>
        <w:rPr>
          <w:rFonts w:ascii="Arial" w:hAnsi="Arial" w:cs="Arial"/>
          <w:sz w:val="20"/>
          <w:szCs w:val="20"/>
        </w:rPr>
        <w:t>Emitido Parecer Prévio pela regularidade das contas do Município (Acórdão de Parecer Prévio nº 571/17-</w:t>
      </w:r>
      <w:r w:rsidR="00F923F4">
        <w:rPr>
          <w:rFonts w:ascii="Arial" w:hAnsi="Arial" w:cs="Arial"/>
          <w:sz w:val="20"/>
          <w:szCs w:val="20"/>
        </w:rPr>
        <w:t xml:space="preserve"> Primeira </w:t>
      </w:r>
      <w:r>
        <w:rPr>
          <w:rFonts w:ascii="Arial" w:hAnsi="Arial" w:cs="Arial"/>
          <w:sz w:val="20"/>
          <w:szCs w:val="20"/>
        </w:rPr>
        <w:t>C</w:t>
      </w:r>
      <w:r w:rsidR="00F923F4">
        <w:rPr>
          <w:rFonts w:ascii="Arial" w:hAnsi="Arial" w:cs="Arial"/>
          <w:sz w:val="20"/>
          <w:szCs w:val="20"/>
        </w:rPr>
        <w:t>âmara</w:t>
      </w:r>
      <w:r>
        <w:rPr>
          <w:rFonts w:ascii="Arial" w:hAnsi="Arial" w:cs="Arial"/>
          <w:sz w:val="20"/>
          <w:szCs w:val="20"/>
        </w:rPr>
        <w:t xml:space="preserve">), com determinação de que fossem concluídos, no prazo de 60 (sessenta) dias, todos os procedimentos administrativos instaurados para apurar faltas indicadas em parecer do Controle Interno com formalização de representação neste Tribunal, verificou-se sua inobservância.  </w:t>
      </w:r>
    </w:p>
    <w:p w:rsidR="00F923F4" w:rsidRDefault="00F923F4" w:rsidP="00552BB9">
      <w:pPr>
        <w:spacing w:after="0"/>
        <w:jc w:val="both"/>
        <w:rPr>
          <w:rFonts w:ascii="Arial" w:hAnsi="Arial" w:cs="Arial"/>
          <w:sz w:val="20"/>
          <w:szCs w:val="20"/>
        </w:rPr>
      </w:pPr>
    </w:p>
    <w:p w:rsidR="00552BB9" w:rsidRDefault="00552BB9" w:rsidP="00552BB9">
      <w:pPr>
        <w:spacing w:after="0"/>
        <w:jc w:val="both"/>
        <w:rPr>
          <w:rFonts w:ascii="Arial" w:hAnsi="Arial" w:cs="Arial"/>
          <w:sz w:val="20"/>
          <w:szCs w:val="20"/>
        </w:rPr>
      </w:pPr>
      <w:r>
        <w:rPr>
          <w:rFonts w:ascii="Arial" w:hAnsi="Arial" w:cs="Arial"/>
          <w:sz w:val="20"/>
          <w:szCs w:val="20"/>
        </w:rPr>
        <w:t xml:space="preserve">Segundo expôs o Relator em sua proposta de voto, não havia outra alternativa, nesta </w:t>
      </w:r>
      <w:proofErr w:type="gramStart"/>
      <w:r>
        <w:rPr>
          <w:rFonts w:ascii="Arial" w:hAnsi="Arial" w:cs="Arial"/>
          <w:sz w:val="20"/>
          <w:szCs w:val="20"/>
        </w:rPr>
        <w:t>oportunidade,  a</w:t>
      </w:r>
      <w:proofErr w:type="gramEnd"/>
      <w:r>
        <w:rPr>
          <w:rFonts w:ascii="Arial" w:hAnsi="Arial" w:cs="Arial"/>
          <w:sz w:val="20"/>
          <w:szCs w:val="20"/>
        </w:rPr>
        <w:t xml:space="preserve"> não ser dar cumprimento à decisão, impondo ao gestor (atual Prefeito), a multa </w:t>
      </w:r>
      <w:r>
        <w:rPr>
          <w:rFonts w:ascii="Arial" w:hAnsi="Arial" w:cs="Arial"/>
          <w:sz w:val="20"/>
          <w:szCs w:val="20"/>
        </w:rPr>
        <w:lastRenderedPageBreak/>
        <w:t xml:space="preserve">administrativa do art. 87, III, “f”, da LC nº 113/2015, e o  impedimento para obtenção de Certidão Liberatória ao Município, nos termos do art. 85, V, da LC nº 113/2005. </w:t>
      </w:r>
    </w:p>
    <w:p w:rsidR="00552BB9" w:rsidRPr="00927DE7" w:rsidRDefault="00552BB9" w:rsidP="00552BB9">
      <w:pPr>
        <w:spacing w:after="0"/>
        <w:jc w:val="both"/>
        <w:rPr>
          <w:rFonts w:ascii="Arial" w:hAnsi="Arial" w:cs="Arial"/>
          <w:sz w:val="20"/>
          <w:szCs w:val="20"/>
        </w:rPr>
      </w:pPr>
      <w:r>
        <w:rPr>
          <w:rFonts w:ascii="Arial" w:hAnsi="Arial" w:cs="Arial"/>
          <w:sz w:val="20"/>
          <w:szCs w:val="20"/>
        </w:rPr>
        <w:t xml:space="preserve">O Relator salientou, ainda, que a conduta ora verificada pode ser interpretada como omissão no dever de prestar contas, ensejando, nos termos do disposto no art. 20, II e § 1º, da Constituição Estadual, a solicitação de intervenção do Município. </w:t>
      </w:r>
    </w:p>
    <w:p w:rsidR="00552BB9" w:rsidRDefault="00552BB9" w:rsidP="00552BB9">
      <w:pPr>
        <w:spacing w:after="0"/>
        <w:jc w:val="both"/>
        <w:rPr>
          <w:rFonts w:ascii="Arial" w:hAnsi="Arial" w:cs="Arial"/>
          <w:b/>
          <w:sz w:val="20"/>
          <w:szCs w:val="20"/>
        </w:rPr>
      </w:pPr>
    </w:p>
    <w:p w:rsidR="00552BB9" w:rsidRPr="00BD1B43" w:rsidRDefault="00552BB9" w:rsidP="00552BB9">
      <w:pPr>
        <w:spacing w:after="0"/>
        <w:jc w:val="both"/>
        <w:rPr>
          <w:rFonts w:ascii="Arial" w:hAnsi="Arial" w:cs="Arial"/>
          <w:sz w:val="20"/>
          <w:szCs w:val="20"/>
        </w:rPr>
      </w:pPr>
      <w:r>
        <w:rPr>
          <w:rFonts w:ascii="Arial" w:hAnsi="Arial" w:cs="Arial"/>
          <w:sz w:val="20"/>
          <w:szCs w:val="20"/>
        </w:rPr>
        <w:t xml:space="preserve">Processo nº 261100/16 </w:t>
      </w:r>
      <w:r w:rsidR="00F923F4">
        <w:rPr>
          <w:rFonts w:ascii="Arial" w:hAnsi="Arial" w:cs="Arial"/>
          <w:sz w:val="20"/>
          <w:szCs w:val="20"/>
        </w:rPr>
        <w:t xml:space="preserve">- </w:t>
      </w:r>
      <w:hyperlink r:id="rId10" w:history="1">
        <w:r w:rsidRPr="0008197B">
          <w:rPr>
            <w:rStyle w:val="Hyperlink"/>
            <w:rFonts w:ascii="Arial" w:hAnsi="Arial" w:cs="Arial"/>
            <w:sz w:val="20"/>
            <w:szCs w:val="20"/>
          </w:rPr>
          <w:t>Acórdão nº 2080/18</w:t>
        </w:r>
        <w:r w:rsidR="00F923F4">
          <w:rPr>
            <w:rStyle w:val="Hyperlink"/>
            <w:rFonts w:ascii="Arial" w:hAnsi="Arial" w:cs="Arial"/>
            <w:sz w:val="20"/>
            <w:szCs w:val="20"/>
          </w:rPr>
          <w:t xml:space="preserve"> </w:t>
        </w:r>
        <w:r w:rsidRPr="0008197B">
          <w:rPr>
            <w:rStyle w:val="Hyperlink"/>
            <w:rFonts w:ascii="Arial" w:hAnsi="Arial" w:cs="Arial"/>
            <w:sz w:val="20"/>
            <w:szCs w:val="20"/>
          </w:rPr>
          <w:t>-</w:t>
        </w:r>
        <w:r w:rsidR="00F923F4">
          <w:rPr>
            <w:rStyle w:val="Hyperlink"/>
            <w:rFonts w:ascii="Arial" w:hAnsi="Arial" w:cs="Arial"/>
            <w:sz w:val="20"/>
            <w:szCs w:val="20"/>
          </w:rPr>
          <w:t xml:space="preserve"> Primeira </w:t>
        </w:r>
        <w:r w:rsidRPr="0008197B">
          <w:rPr>
            <w:rStyle w:val="Hyperlink"/>
            <w:rFonts w:ascii="Arial" w:hAnsi="Arial" w:cs="Arial"/>
            <w:sz w:val="20"/>
            <w:szCs w:val="20"/>
          </w:rPr>
          <w:t>Câmara</w:t>
        </w:r>
      </w:hyperlink>
      <w:r>
        <w:rPr>
          <w:rFonts w:ascii="Arial" w:hAnsi="Arial" w:cs="Arial"/>
          <w:sz w:val="20"/>
          <w:szCs w:val="20"/>
        </w:rPr>
        <w:t xml:space="preserve"> </w:t>
      </w:r>
      <w:r w:rsidR="00F923F4">
        <w:rPr>
          <w:rFonts w:ascii="Arial" w:hAnsi="Arial" w:cs="Arial"/>
          <w:sz w:val="20"/>
          <w:szCs w:val="20"/>
        </w:rPr>
        <w:t>-</w:t>
      </w:r>
      <w:r>
        <w:rPr>
          <w:rFonts w:ascii="Arial" w:hAnsi="Arial" w:cs="Arial"/>
          <w:sz w:val="20"/>
          <w:szCs w:val="20"/>
        </w:rPr>
        <w:t xml:space="preserve"> Relator Conselheiro Fernando Augusto Mello Guimarães. </w:t>
      </w:r>
    </w:p>
    <w:p w:rsidR="00552BB9" w:rsidRDefault="00552BB9" w:rsidP="00552BB9">
      <w:pPr>
        <w:spacing w:after="0"/>
        <w:jc w:val="both"/>
        <w:rPr>
          <w:rFonts w:ascii="Arial" w:hAnsi="Arial" w:cs="Arial"/>
          <w:b/>
          <w:sz w:val="20"/>
          <w:szCs w:val="20"/>
        </w:rPr>
      </w:pPr>
    </w:p>
    <w:p w:rsidR="00552BB9" w:rsidRDefault="00283D94" w:rsidP="00552BB9">
      <w:pPr>
        <w:spacing w:after="0"/>
        <w:jc w:val="both"/>
        <w:rPr>
          <w:rFonts w:ascii="Arial" w:hAnsi="Arial" w:cs="Arial"/>
          <w:b/>
          <w:sz w:val="20"/>
          <w:szCs w:val="20"/>
        </w:rPr>
      </w:pPr>
      <w:r>
        <w:rPr>
          <w:rFonts w:ascii="Arial" w:hAnsi="Arial" w:cs="Arial"/>
          <w:b/>
          <w:sz w:val="20"/>
          <w:szCs w:val="20"/>
        </w:rPr>
        <w:t xml:space="preserve">4. </w:t>
      </w:r>
      <w:r w:rsidR="00552BB9">
        <w:rPr>
          <w:rFonts w:ascii="Arial" w:hAnsi="Arial" w:cs="Arial"/>
          <w:b/>
          <w:sz w:val="20"/>
          <w:szCs w:val="20"/>
        </w:rPr>
        <w:t>Prestação de Contas</w:t>
      </w:r>
      <w:r w:rsidR="002558B7">
        <w:rPr>
          <w:rFonts w:ascii="Arial" w:hAnsi="Arial" w:cs="Arial"/>
          <w:b/>
          <w:sz w:val="20"/>
          <w:szCs w:val="20"/>
        </w:rPr>
        <w:t xml:space="preserve">. </w:t>
      </w:r>
      <w:r w:rsidR="00552BB9">
        <w:rPr>
          <w:rFonts w:ascii="Arial" w:hAnsi="Arial" w:cs="Arial"/>
          <w:b/>
          <w:sz w:val="20"/>
          <w:szCs w:val="20"/>
        </w:rPr>
        <w:t xml:space="preserve">Abertura do SIM-AM. Atraso. Regularidade com ressalva. Aplicação de multa administrativa afastada. Atraso inferior a 30 (trinta) dias. Princípio da proporcionalidade. </w:t>
      </w:r>
    </w:p>
    <w:p w:rsidR="00552BB9" w:rsidRDefault="00552BB9" w:rsidP="00552BB9">
      <w:pPr>
        <w:spacing w:after="0"/>
        <w:jc w:val="both"/>
        <w:rPr>
          <w:rFonts w:ascii="Arial" w:hAnsi="Arial" w:cs="Arial"/>
          <w:b/>
          <w:sz w:val="20"/>
          <w:szCs w:val="20"/>
        </w:rPr>
      </w:pPr>
    </w:p>
    <w:p w:rsidR="00552BB9" w:rsidRDefault="00552BB9" w:rsidP="00552BB9">
      <w:pPr>
        <w:spacing w:after="0"/>
        <w:jc w:val="both"/>
        <w:rPr>
          <w:rFonts w:ascii="Arial" w:hAnsi="Arial" w:cs="Arial"/>
          <w:sz w:val="20"/>
          <w:szCs w:val="20"/>
        </w:rPr>
      </w:pPr>
      <w:r>
        <w:rPr>
          <w:rFonts w:ascii="Arial" w:hAnsi="Arial" w:cs="Arial"/>
          <w:sz w:val="20"/>
          <w:szCs w:val="20"/>
        </w:rPr>
        <w:t xml:space="preserve">Unidade Técnica e Ministério Público de Contas, em razão do atraso na entrega do mês de abertura do exercício do SIM-AM, manifestaram-se pela regularidade com ressalva das contas e aplicação de multa administrativa. </w:t>
      </w:r>
    </w:p>
    <w:p w:rsidR="00F923F4" w:rsidRDefault="00F923F4" w:rsidP="00552BB9">
      <w:pPr>
        <w:spacing w:after="0"/>
        <w:jc w:val="both"/>
        <w:rPr>
          <w:rFonts w:ascii="Arial" w:hAnsi="Arial" w:cs="Arial"/>
          <w:sz w:val="20"/>
          <w:szCs w:val="20"/>
        </w:rPr>
      </w:pPr>
    </w:p>
    <w:p w:rsidR="00552BB9" w:rsidRDefault="00552BB9" w:rsidP="00552BB9">
      <w:pPr>
        <w:spacing w:after="0"/>
        <w:jc w:val="both"/>
        <w:rPr>
          <w:rFonts w:ascii="Arial" w:hAnsi="Arial" w:cs="Arial"/>
          <w:sz w:val="20"/>
          <w:szCs w:val="20"/>
        </w:rPr>
      </w:pPr>
      <w:r>
        <w:rPr>
          <w:rFonts w:ascii="Arial" w:hAnsi="Arial" w:cs="Arial"/>
          <w:sz w:val="20"/>
          <w:szCs w:val="20"/>
        </w:rPr>
        <w:t xml:space="preserve">O Relator aduziu em sua proposta de voto: </w:t>
      </w:r>
      <w:r w:rsidRPr="00F923F4">
        <w:rPr>
          <w:rFonts w:ascii="Arial" w:hAnsi="Arial" w:cs="Arial"/>
          <w:i/>
          <w:sz w:val="20"/>
          <w:szCs w:val="20"/>
        </w:rPr>
        <w:t>“(...) venho afastando a sanção quando os atrasos são iguais ou inferiores a 30 (trinta) dias, assim, com base no princípio da razoabilidade, entendo que o atraso não se mostra suficiente para prejudicar a atividade de fiscalização deste Tribunal, podendo ser relevado sem imposição de sanção pecuniária”.</w:t>
      </w:r>
      <w:r>
        <w:rPr>
          <w:rFonts w:ascii="Arial" w:hAnsi="Arial" w:cs="Arial"/>
          <w:sz w:val="20"/>
          <w:szCs w:val="20"/>
        </w:rPr>
        <w:t xml:space="preserve"> </w:t>
      </w:r>
    </w:p>
    <w:p w:rsidR="00F923F4" w:rsidRDefault="00F923F4" w:rsidP="00552BB9">
      <w:pPr>
        <w:spacing w:after="0"/>
        <w:jc w:val="both"/>
        <w:rPr>
          <w:rFonts w:ascii="Arial" w:hAnsi="Arial" w:cs="Arial"/>
          <w:sz w:val="20"/>
          <w:szCs w:val="20"/>
        </w:rPr>
      </w:pPr>
    </w:p>
    <w:p w:rsidR="00552BB9" w:rsidRPr="00784C73" w:rsidRDefault="00552BB9" w:rsidP="00552BB9">
      <w:pPr>
        <w:spacing w:after="0"/>
        <w:jc w:val="both"/>
        <w:rPr>
          <w:rFonts w:ascii="Arial" w:hAnsi="Arial" w:cs="Arial"/>
          <w:sz w:val="20"/>
          <w:szCs w:val="20"/>
        </w:rPr>
      </w:pPr>
      <w:r>
        <w:rPr>
          <w:rFonts w:ascii="Arial" w:hAnsi="Arial" w:cs="Arial"/>
          <w:sz w:val="20"/>
          <w:szCs w:val="20"/>
        </w:rPr>
        <w:t>As contas, então, foram julgadas regulares com ressalva, sem unanimidade, haja vista ter ocorrido divergência quanto a não aplicação da multa pelo atraso.</w:t>
      </w:r>
    </w:p>
    <w:p w:rsidR="00552BB9" w:rsidRDefault="00552BB9" w:rsidP="00552BB9">
      <w:pPr>
        <w:spacing w:after="0"/>
        <w:jc w:val="both"/>
        <w:rPr>
          <w:rFonts w:ascii="Arial" w:hAnsi="Arial" w:cs="Arial"/>
          <w:b/>
          <w:sz w:val="20"/>
          <w:szCs w:val="20"/>
        </w:rPr>
      </w:pPr>
    </w:p>
    <w:p w:rsidR="00552BB9" w:rsidRPr="009B4AC2" w:rsidRDefault="00552BB9" w:rsidP="00552BB9">
      <w:pPr>
        <w:spacing w:after="0"/>
        <w:jc w:val="both"/>
        <w:rPr>
          <w:rFonts w:ascii="Arial" w:hAnsi="Arial" w:cs="Arial"/>
          <w:sz w:val="20"/>
          <w:szCs w:val="20"/>
        </w:rPr>
      </w:pPr>
      <w:r>
        <w:rPr>
          <w:rFonts w:ascii="Arial" w:hAnsi="Arial" w:cs="Arial"/>
          <w:sz w:val="20"/>
          <w:szCs w:val="20"/>
        </w:rPr>
        <w:t xml:space="preserve">Processo nº 286654/17 </w:t>
      </w:r>
      <w:r w:rsidR="00F923F4">
        <w:rPr>
          <w:rFonts w:ascii="Arial" w:hAnsi="Arial" w:cs="Arial"/>
          <w:sz w:val="20"/>
          <w:szCs w:val="20"/>
        </w:rPr>
        <w:t>-</w:t>
      </w:r>
      <w:r>
        <w:rPr>
          <w:rFonts w:ascii="Arial" w:hAnsi="Arial" w:cs="Arial"/>
          <w:sz w:val="20"/>
          <w:szCs w:val="20"/>
        </w:rPr>
        <w:t xml:space="preserve"> </w:t>
      </w:r>
      <w:hyperlink r:id="rId11" w:history="1">
        <w:r w:rsidRPr="009B4AC2">
          <w:rPr>
            <w:rStyle w:val="Hyperlink"/>
            <w:rFonts w:ascii="Arial" w:hAnsi="Arial" w:cs="Arial"/>
            <w:sz w:val="20"/>
            <w:szCs w:val="20"/>
          </w:rPr>
          <w:t>Acórdão nº 2087/18</w:t>
        </w:r>
        <w:r w:rsidR="00F923F4">
          <w:rPr>
            <w:rStyle w:val="Hyperlink"/>
            <w:rFonts w:ascii="Arial" w:hAnsi="Arial" w:cs="Arial"/>
            <w:sz w:val="20"/>
            <w:szCs w:val="20"/>
          </w:rPr>
          <w:t xml:space="preserve"> - Primeira </w:t>
        </w:r>
        <w:r w:rsidRPr="009B4AC2">
          <w:rPr>
            <w:rStyle w:val="Hyperlink"/>
            <w:rFonts w:ascii="Arial" w:hAnsi="Arial" w:cs="Arial"/>
            <w:sz w:val="20"/>
            <w:szCs w:val="20"/>
          </w:rPr>
          <w:t>Câmara</w:t>
        </w:r>
      </w:hyperlink>
      <w:r>
        <w:rPr>
          <w:rFonts w:ascii="Arial" w:hAnsi="Arial" w:cs="Arial"/>
          <w:sz w:val="20"/>
          <w:szCs w:val="20"/>
        </w:rPr>
        <w:t xml:space="preserve"> </w:t>
      </w:r>
      <w:r w:rsidR="00F923F4">
        <w:rPr>
          <w:rFonts w:ascii="Arial" w:hAnsi="Arial" w:cs="Arial"/>
          <w:sz w:val="20"/>
          <w:szCs w:val="20"/>
        </w:rPr>
        <w:t>-</w:t>
      </w:r>
      <w:r>
        <w:rPr>
          <w:rFonts w:ascii="Arial" w:hAnsi="Arial" w:cs="Arial"/>
          <w:sz w:val="20"/>
          <w:szCs w:val="20"/>
        </w:rPr>
        <w:t xml:space="preserve"> Relator Conselheiro Fabio de Souza Camargo. </w:t>
      </w:r>
    </w:p>
    <w:p w:rsidR="002B25E7" w:rsidRPr="002B25E7" w:rsidRDefault="002B25E7" w:rsidP="002B25E7">
      <w:pPr>
        <w:autoSpaceDE w:val="0"/>
        <w:autoSpaceDN w:val="0"/>
        <w:adjustRightInd w:val="0"/>
        <w:spacing w:after="0"/>
        <w:jc w:val="both"/>
        <w:rPr>
          <w:rFonts w:ascii="Arial" w:hAnsi="Arial" w:cs="Arial"/>
          <w:sz w:val="20"/>
          <w:szCs w:val="20"/>
        </w:rPr>
      </w:pPr>
    </w:p>
    <w:p w:rsidR="00EC3842" w:rsidRPr="0022060B" w:rsidRDefault="00EC3842" w:rsidP="00816942">
      <w:pPr>
        <w:shd w:val="pct10" w:color="auto" w:fill="auto"/>
        <w:spacing w:after="0"/>
        <w:jc w:val="center"/>
        <w:rPr>
          <w:rFonts w:ascii="Arial" w:hAnsi="Arial" w:cs="Arial"/>
          <w:b/>
          <w:sz w:val="20"/>
          <w:szCs w:val="20"/>
        </w:rPr>
      </w:pPr>
      <w:r w:rsidRPr="0022060B">
        <w:rPr>
          <w:rFonts w:ascii="Arial" w:hAnsi="Arial" w:cs="Arial"/>
          <w:b/>
          <w:sz w:val="20"/>
          <w:szCs w:val="20"/>
        </w:rPr>
        <w:t>SEGUNDA CÂMARA</w:t>
      </w:r>
    </w:p>
    <w:p w:rsidR="00785DB0" w:rsidRDefault="00785DB0" w:rsidP="00816942">
      <w:pPr>
        <w:autoSpaceDE w:val="0"/>
        <w:autoSpaceDN w:val="0"/>
        <w:adjustRightInd w:val="0"/>
        <w:spacing w:after="0"/>
        <w:rPr>
          <w:rFonts w:ascii="Arial" w:hAnsi="Arial" w:cs="Arial"/>
          <w:sz w:val="20"/>
          <w:szCs w:val="20"/>
        </w:rPr>
      </w:pPr>
    </w:p>
    <w:p w:rsidR="00C22875" w:rsidRDefault="00283D94" w:rsidP="00C22875">
      <w:pPr>
        <w:autoSpaceDE w:val="0"/>
        <w:autoSpaceDN w:val="0"/>
        <w:adjustRightInd w:val="0"/>
        <w:spacing w:after="0"/>
        <w:jc w:val="both"/>
        <w:rPr>
          <w:rFonts w:ascii="Arial" w:hAnsi="Arial" w:cs="Arial"/>
          <w:b/>
          <w:sz w:val="20"/>
          <w:szCs w:val="20"/>
        </w:rPr>
      </w:pPr>
      <w:r>
        <w:rPr>
          <w:rFonts w:ascii="Arial" w:hAnsi="Arial" w:cs="Arial"/>
          <w:b/>
          <w:sz w:val="20"/>
          <w:szCs w:val="20"/>
        </w:rPr>
        <w:t xml:space="preserve">5. </w:t>
      </w:r>
      <w:r w:rsidR="00C22875" w:rsidRPr="009B7669">
        <w:rPr>
          <w:rFonts w:ascii="Arial" w:hAnsi="Arial" w:cs="Arial"/>
          <w:b/>
          <w:sz w:val="20"/>
          <w:szCs w:val="20"/>
        </w:rPr>
        <w:t>Prestação de contas</w:t>
      </w:r>
      <w:r w:rsidR="002558B7">
        <w:rPr>
          <w:rFonts w:ascii="Arial" w:hAnsi="Arial" w:cs="Arial"/>
          <w:b/>
          <w:sz w:val="20"/>
          <w:szCs w:val="20"/>
        </w:rPr>
        <w:t xml:space="preserve">. </w:t>
      </w:r>
      <w:r w:rsidR="00C22875" w:rsidRPr="009B7669">
        <w:rPr>
          <w:rFonts w:ascii="Arial" w:hAnsi="Arial" w:cs="Arial"/>
          <w:b/>
          <w:sz w:val="20"/>
          <w:szCs w:val="20"/>
        </w:rPr>
        <w:t>Balanço patrimonial em desconformidade com a normatização pertinente. Instituição de contribuição do Município ao RPPS inferior àquela dos servidores efetivos. Inviabilidade de apreciação do item de análise atinente ao pagamento de aportes para cobertura do déficit atuarial, pela ausência de elementos na prestação de contas. Parecer prévio pela irregularidade das contas, com aplicação de multas.</w:t>
      </w:r>
    </w:p>
    <w:p w:rsidR="00C22875" w:rsidRPr="009B7669" w:rsidRDefault="00C22875" w:rsidP="00C22875">
      <w:pPr>
        <w:autoSpaceDE w:val="0"/>
        <w:autoSpaceDN w:val="0"/>
        <w:adjustRightInd w:val="0"/>
        <w:spacing w:after="0"/>
        <w:jc w:val="both"/>
        <w:rPr>
          <w:rFonts w:ascii="Arial" w:hAnsi="Arial" w:cs="Arial"/>
          <w:b/>
          <w:sz w:val="20"/>
          <w:szCs w:val="20"/>
        </w:rPr>
      </w:pPr>
    </w:p>
    <w:p w:rsidR="00C22875" w:rsidRDefault="00C22875" w:rsidP="00C22875">
      <w:pPr>
        <w:autoSpaceDE w:val="0"/>
        <w:autoSpaceDN w:val="0"/>
        <w:adjustRightInd w:val="0"/>
        <w:spacing w:after="0"/>
        <w:jc w:val="both"/>
        <w:rPr>
          <w:rFonts w:ascii="Arial" w:hAnsi="Arial" w:cs="Arial"/>
          <w:sz w:val="20"/>
          <w:szCs w:val="20"/>
        </w:rPr>
      </w:pPr>
      <w:r>
        <w:rPr>
          <w:rFonts w:ascii="Arial" w:hAnsi="Arial" w:cs="Arial"/>
          <w:sz w:val="20"/>
          <w:szCs w:val="20"/>
        </w:rPr>
        <w:t>O</w:t>
      </w:r>
      <w:r w:rsidRPr="00CC4FE8">
        <w:rPr>
          <w:rFonts w:ascii="Arial" w:hAnsi="Arial" w:cs="Arial"/>
          <w:sz w:val="20"/>
          <w:szCs w:val="20"/>
        </w:rPr>
        <w:t xml:space="preserve"> balanço patrimonial originalmente apresentado nesta prestação de contas não continha </w:t>
      </w:r>
      <w:r w:rsidRPr="00EA66A3">
        <w:rPr>
          <w:rFonts w:ascii="Arial" w:hAnsi="Arial" w:cs="Arial"/>
          <w:i/>
          <w:sz w:val="20"/>
          <w:szCs w:val="20"/>
        </w:rPr>
        <w:t xml:space="preserve">“ativo e passivo financeiro, ativo e passivo permanente, saldo patrimonial e </w:t>
      </w:r>
      <w:proofErr w:type="spellStart"/>
      <w:r w:rsidRPr="00EA66A3">
        <w:rPr>
          <w:rFonts w:ascii="Arial" w:hAnsi="Arial" w:cs="Arial"/>
          <w:i/>
          <w:sz w:val="20"/>
          <w:szCs w:val="20"/>
        </w:rPr>
        <w:t>etc</w:t>
      </w:r>
      <w:proofErr w:type="spellEnd"/>
      <w:r w:rsidRPr="00EA66A3">
        <w:rPr>
          <w:rFonts w:ascii="Arial" w:hAnsi="Arial" w:cs="Arial"/>
          <w:i/>
          <w:sz w:val="20"/>
          <w:szCs w:val="20"/>
        </w:rPr>
        <w:t>”</w:t>
      </w:r>
      <w:r w:rsidRPr="00CC4FE8">
        <w:rPr>
          <w:rFonts w:ascii="Arial" w:hAnsi="Arial" w:cs="Arial"/>
          <w:sz w:val="20"/>
          <w:szCs w:val="20"/>
        </w:rPr>
        <w:t>, contrariando a normatização pertinente, a saber, a Lei 4.320/64, “</w:t>
      </w:r>
      <w:r w:rsidRPr="00EA66A3">
        <w:rPr>
          <w:rFonts w:ascii="Arial" w:hAnsi="Arial" w:cs="Arial"/>
          <w:i/>
          <w:sz w:val="20"/>
          <w:szCs w:val="20"/>
        </w:rPr>
        <w:t>as Demonstrações Contábeis Aplicadas ao Setor Público - DCASP, estabelecidas no Manual de Contabilidade Aplicada ao Setor Público (MCASP - STN) e NBC T 16.6, emitida pelo Conselho Federal de Contabilidade (CFC)”</w:t>
      </w:r>
      <w:r w:rsidRPr="00CC4FE8">
        <w:rPr>
          <w:rFonts w:ascii="Arial" w:hAnsi="Arial" w:cs="Arial"/>
          <w:sz w:val="20"/>
          <w:szCs w:val="20"/>
        </w:rPr>
        <w:t>, bem como a Instrução Normativa 114/2016 deste Tribunal.</w:t>
      </w:r>
      <w:r>
        <w:rPr>
          <w:rFonts w:ascii="Arial" w:hAnsi="Arial" w:cs="Arial"/>
          <w:sz w:val="20"/>
          <w:szCs w:val="20"/>
        </w:rPr>
        <w:t xml:space="preserve"> </w:t>
      </w:r>
    </w:p>
    <w:p w:rsidR="00C22875" w:rsidRDefault="00C22875" w:rsidP="00C22875">
      <w:pPr>
        <w:autoSpaceDE w:val="0"/>
        <w:autoSpaceDN w:val="0"/>
        <w:adjustRightInd w:val="0"/>
        <w:spacing w:after="0"/>
        <w:jc w:val="both"/>
        <w:rPr>
          <w:rFonts w:ascii="Arial" w:hAnsi="Arial" w:cs="Arial"/>
          <w:sz w:val="20"/>
          <w:szCs w:val="20"/>
        </w:rPr>
      </w:pPr>
    </w:p>
    <w:p w:rsidR="00C22875" w:rsidRDefault="00C22875" w:rsidP="00C22875">
      <w:pPr>
        <w:autoSpaceDE w:val="0"/>
        <w:autoSpaceDN w:val="0"/>
        <w:adjustRightInd w:val="0"/>
        <w:spacing w:after="0"/>
        <w:jc w:val="both"/>
        <w:rPr>
          <w:rFonts w:ascii="Arial" w:hAnsi="Arial" w:cs="Arial"/>
          <w:sz w:val="20"/>
          <w:szCs w:val="20"/>
        </w:rPr>
      </w:pPr>
      <w:r w:rsidRPr="00CC4FE8">
        <w:rPr>
          <w:rFonts w:ascii="Arial" w:hAnsi="Arial" w:cs="Arial"/>
          <w:sz w:val="20"/>
          <w:szCs w:val="20"/>
        </w:rPr>
        <w:t>Portanto, o balanço patrimonial, neste caso, não evidencia fidedignamente os elementos previstos no artigo 105 da Lei 4.320/1964, de forma que subsiste a irregularidade, a ensejar a aplicação da multa prevista no artigo 87, inciso IV, alínea “g”, da Lei Orgânica.</w:t>
      </w:r>
    </w:p>
    <w:p w:rsidR="00C22875" w:rsidRDefault="00C22875" w:rsidP="00C22875">
      <w:pPr>
        <w:autoSpaceDE w:val="0"/>
        <w:autoSpaceDN w:val="0"/>
        <w:adjustRightInd w:val="0"/>
        <w:spacing w:after="0"/>
        <w:jc w:val="both"/>
        <w:rPr>
          <w:rFonts w:ascii="Arial" w:hAnsi="Arial" w:cs="Arial"/>
          <w:sz w:val="20"/>
          <w:szCs w:val="20"/>
        </w:rPr>
      </w:pPr>
    </w:p>
    <w:p w:rsidR="00C22875" w:rsidRDefault="00C22875" w:rsidP="00C22875">
      <w:pPr>
        <w:autoSpaceDE w:val="0"/>
        <w:autoSpaceDN w:val="0"/>
        <w:adjustRightInd w:val="0"/>
        <w:spacing w:after="0"/>
        <w:jc w:val="both"/>
        <w:rPr>
          <w:rFonts w:ascii="Arial" w:hAnsi="Arial" w:cs="Arial"/>
          <w:sz w:val="20"/>
          <w:szCs w:val="20"/>
        </w:rPr>
      </w:pPr>
      <w:r w:rsidRPr="00F136FD">
        <w:rPr>
          <w:rFonts w:ascii="Arial" w:hAnsi="Arial" w:cs="Arial"/>
          <w:sz w:val="20"/>
          <w:szCs w:val="20"/>
        </w:rPr>
        <w:t xml:space="preserve">A segunda das restrições que motivam a irregularidade das contas deriva do item de análise </w:t>
      </w:r>
      <w:r w:rsidRPr="00EA66A3">
        <w:rPr>
          <w:rFonts w:ascii="Arial" w:hAnsi="Arial" w:cs="Arial"/>
          <w:i/>
          <w:sz w:val="20"/>
          <w:szCs w:val="20"/>
        </w:rPr>
        <w:t>“Ausência de encaminhamento da Lei ou Decreto que formaliza a opção escolhida para equacionamento do déficit”.</w:t>
      </w:r>
      <w:r w:rsidRPr="00F136FD">
        <w:rPr>
          <w:rFonts w:ascii="Arial" w:hAnsi="Arial" w:cs="Arial"/>
          <w:sz w:val="20"/>
          <w:szCs w:val="20"/>
        </w:rPr>
        <w:t xml:space="preserve"> </w:t>
      </w:r>
    </w:p>
    <w:p w:rsidR="00C22875" w:rsidRDefault="00C22875" w:rsidP="00C22875">
      <w:pPr>
        <w:autoSpaceDE w:val="0"/>
        <w:autoSpaceDN w:val="0"/>
        <w:adjustRightInd w:val="0"/>
        <w:spacing w:after="0"/>
        <w:jc w:val="both"/>
        <w:rPr>
          <w:rFonts w:ascii="Arial" w:hAnsi="Arial" w:cs="Arial"/>
          <w:sz w:val="20"/>
          <w:szCs w:val="20"/>
        </w:rPr>
      </w:pPr>
    </w:p>
    <w:p w:rsidR="00C22875" w:rsidRDefault="00C22875" w:rsidP="00C22875">
      <w:pPr>
        <w:autoSpaceDE w:val="0"/>
        <w:autoSpaceDN w:val="0"/>
        <w:adjustRightInd w:val="0"/>
        <w:spacing w:after="0"/>
        <w:jc w:val="both"/>
        <w:rPr>
          <w:rFonts w:ascii="Arial" w:hAnsi="Arial" w:cs="Arial"/>
          <w:sz w:val="20"/>
          <w:szCs w:val="20"/>
        </w:rPr>
      </w:pPr>
      <w:r w:rsidRPr="00F136FD">
        <w:rPr>
          <w:rFonts w:ascii="Arial" w:hAnsi="Arial" w:cs="Arial"/>
          <w:sz w:val="20"/>
          <w:szCs w:val="20"/>
        </w:rPr>
        <w:t xml:space="preserve">Mais precisamente, a irregularidade aventada pela </w:t>
      </w:r>
      <w:r>
        <w:rPr>
          <w:rFonts w:ascii="Arial" w:hAnsi="Arial" w:cs="Arial"/>
          <w:sz w:val="20"/>
          <w:szCs w:val="20"/>
        </w:rPr>
        <w:t xml:space="preserve">unidade técnica </w:t>
      </w:r>
      <w:r w:rsidRPr="00F136FD">
        <w:rPr>
          <w:rFonts w:ascii="Arial" w:hAnsi="Arial" w:cs="Arial"/>
          <w:sz w:val="20"/>
          <w:szCs w:val="20"/>
        </w:rPr>
        <w:t xml:space="preserve">reside na constatação de que a contribuição normal do Município ao respectivo RPPS (6,79% da remuneração de contribuição do servidor ativo, acrescida de 2% correspondentes à taxa de administração) foi inferior àquela arcada pelos servidores efetivos (11%), violando-se a regra contida no caput do artigo 2º da Lei 9.717/1998. </w:t>
      </w:r>
    </w:p>
    <w:p w:rsidR="00C22875" w:rsidRDefault="00C22875" w:rsidP="00C22875">
      <w:pPr>
        <w:autoSpaceDE w:val="0"/>
        <w:autoSpaceDN w:val="0"/>
        <w:adjustRightInd w:val="0"/>
        <w:spacing w:after="0"/>
        <w:jc w:val="both"/>
        <w:rPr>
          <w:rFonts w:ascii="Arial" w:hAnsi="Arial" w:cs="Arial"/>
          <w:sz w:val="20"/>
          <w:szCs w:val="20"/>
        </w:rPr>
      </w:pPr>
    </w:p>
    <w:p w:rsidR="00C22875" w:rsidRDefault="00C22875" w:rsidP="00C22875">
      <w:pPr>
        <w:autoSpaceDE w:val="0"/>
        <w:autoSpaceDN w:val="0"/>
        <w:adjustRightInd w:val="0"/>
        <w:spacing w:after="0"/>
        <w:jc w:val="both"/>
        <w:rPr>
          <w:rFonts w:ascii="Arial" w:hAnsi="Arial" w:cs="Arial"/>
          <w:sz w:val="20"/>
          <w:szCs w:val="20"/>
        </w:rPr>
      </w:pPr>
      <w:r w:rsidRPr="00F136FD">
        <w:rPr>
          <w:rFonts w:ascii="Arial" w:hAnsi="Arial" w:cs="Arial"/>
          <w:sz w:val="20"/>
          <w:szCs w:val="20"/>
        </w:rPr>
        <w:t>Sobre este ponto, o gestor das contas se limita a informar a existência de legislação municipal que disciplina o parcelamento de débitos do Município com o RPPS. Dessa forma, persiste a irregularidade, que enseja ainda a aplicação de multa prevista no artigo 87, inciso IV, alínea “g”, da Lei Orgânica.</w:t>
      </w:r>
    </w:p>
    <w:p w:rsidR="00C22875" w:rsidRDefault="00C22875" w:rsidP="00C22875">
      <w:pPr>
        <w:autoSpaceDE w:val="0"/>
        <w:autoSpaceDN w:val="0"/>
        <w:adjustRightInd w:val="0"/>
        <w:spacing w:after="0"/>
        <w:jc w:val="both"/>
        <w:rPr>
          <w:rFonts w:ascii="Arial" w:hAnsi="Arial" w:cs="Arial"/>
          <w:sz w:val="20"/>
          <w:szCs w:val="20"/>
        </w:rPr>
      </w:pPr>
    </w:p>
    <w:p w:rsidR="00C22875" w:rsidRDefault="00C22875" w:rsidP="00C22875">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251407/16 - </w:t>
      </w:r>
      <w:hyperlink r:id="rId12" w:history="1">
        <w:r w:rsidRPr="00283554">
          <w:rPr>
            <w:rStyle w:val="Hyperlink"/>
            <w:rFonts w:ascii="Arial" w:hAnsi="Arial" w:cs="Arial"/>
            <w:sz w:val="20"/>
            <w:szCs w:val="20"/>
          </w:rPr>
          <w:t>Acórdão</w:t>
        </w:r>
        <w:r>
          <w:rPr>
            <w:rStyle w:val="Hyperlink"/>
            <w:rFonts w:ascii="Arial" w:hAnsi="Arial" w:cs="Arial"/>
            <w:sz w:val="20"/>
            <w:szCs w:val="20"/>
          </w:rPr>
          <w:t xml:space="preserve"> de Parecer Prévio</w:t>
        </w:r>
        <w:r w:rsidRPr="00283554">
          <w:rPr>
            <w:rStyle w:val="Hyperlink"/>
            <w:rFonts w:ascii="Arial" w:hAnsi="Arial" w:cs="Arial"/>
            <w:sz w:val="20"/>
            <w:szCs w:val="20"/>
          </w:rPr>
          <w:t xml:space="preserve"> n° 228/18 - Segunda Câmara</w:t>
        </w:r>
      </w:hyperlink>
      <w:r>
        <w:rPr>
          <w:rFonts w:ascii="Arial" w:hAnsi="Arial" w:cs="Arial"/>
          <w:sz w:val="20"/>
          <w:szCs w:val="20"/>
        </w:rPr>
        <w:t xml:space="preserve"> - Rel. Cons. Ivan </w:t>
      </w:r>
      <w:proofErr w:type="spellStart"/>
      <w:r>
        <w:rPr>
          <w:rFonts w:ascii="Arial" w:hAnsi="Arial" w:cs="Arial"/>
          <w:sz w:val="20"/>
          <w:szCs w:val="20"/>
        </w:rPr>
        <w:t>Lelis</w:t>
      </w:r>
      <w:proofErr w:type="spellEnd"/>
      <w:r>
        <w:rPr>
          <w:rFonts w:ascii="Arial" w:hAnsi="Arial" w:cs="Arial"/>
          <w:sz w:val="20"/>
          <w:szCs w:val="20"/>
        </w:rPr>
        <w:t xml:space="preserve"> Bonilha.</w:t>
      </w:r>
    </w:p>
    <w:p w:rsidR="004C0D31" w:rsidRDefault="004C0D31" w:rsidP="00C22875">
      <w:pPr>
        <w:autoSpaceDE w:val="0"/>
        <w:autoSpaceDN w:val="0"/>
        <w:adjustRightInd w:val="0"/>
        <w:spacing w:after="0"/>
        <w:jc w:val="both"/>
        <w:rPr>
          <w:rFonts w:ascii="Arial" w:hAnsi="Arial" w:cs="Arial"/>
          <w:sz w:val="20"/>
          <w:szCs w:val="20"/>
        </w:rPr>
      </w:pPr>
    </w:p>
    <w:p w:rsidR="004C0D31" w:rsidRDefault="00283D94" w:rsidP="004C0D31">
      <w:pPr>
        <w:spacing w:after="0"/>
        <w:jc w:val="both"/>
        <w:rPr>
          <w:rStyle w:val="Hyperlink"/>
          <w:rFonts w:ascii="Arial" w:hAnsi="Arial" w:cs="Arial"/>
          <w:color w:val="000000" w:themeColor="text1"/>
          <w:sz w:val="20"/>
          <w:szCs w:val="20"/>
          <w:u w:val="none"/>
        </w:rPr>
      </w:pPr>
      <w:r>
        <w:rPr>
          <w:rStyle w:val="Hyperlink"/>
          <w:rFonts w:ascii="Arial" w:hAnsi="Arial" w:cs="Arial"/>
          <w:b/>
          <w:color w:val="000000" w:themeColor="text1"/>
          <w:sz w:val="20"/>
          <w:szCs w:val="20"/>
          <w:u w:val="none"/>
        </w:rPr>
        <w:t xml:space="preserve">6. </w:t>
      </w:r>
      <w:r w:rsidR="004C0D31">
        <w:rPr>
          <w:rStyle w:val="Hyperlink"/>
          <w:rFonts w:ascii="Arial" w:hAnsi="Arial" w:cs="Arial"/>
          <w:b/>
          <w:color w:val="000000" w:themeColor="text1"/>
          <w:sz w:val="20"/>
          <w:szCs w:val="20"/>
          <w:u w:val="none"/>
        </w:rPr>
        <w:t>Prestação de c</w:t>
      </w:r>
      <w:r w:rsidR="004C0D31" w:rsidRPr="002D7C2F">
        <w:rPr>
          <w:rStyle w:val="Hyperlink"/>
          <w:rFonts w:ascii="Arial" w:hAnsi="Arial" w:cs="Arial"/>
          <w:b/>
          <w:color w:val="000000" w:themeColor="text1"/>
          <w:sz w:val="20"/>
          <w:szCs w:val="20"/>
          <w:u w:val="none"/>
        </w:rPr>
        <w:t>ontas</w:t>
      </w:r>
      <w:r w:rsidR="002558B7">
        <w:rPr>
          <w:rStyle w:val="Hyperlink"/>
          <w:rFonts w:ascii="Arial" w:hAnsi="Arial" w:cs="Arial"/>
          <w:b/>
          <w:color w:val="000000" w:themeColor="text1"/>
          <w:sz w:val="20"/>
          <w:szCs w:val="20"/>
          <w:u w:val="none"/>
        </w:rPr>
        <w:t xml:space="preserve">. </w:t>
      </w:r>
      <w:r w:rsidR="004C0D31" w:rsidRPr="002D7C2F">
        <w:rPr>
          <w:rStyle w:val="Hyperlink"/>
          <w:rFonts w:ascii="Arial" w:hAnsi="Arial" w:cs="Arial"/>
          <w:b/>
          <w:color w:val="000000" w:themeColor="text1"/>
          <w:sz w:val="20"/>
          <w:szCs w:val="20"/>
          <w:u w:val="none"/>
        </w:rPr>
        <w:t>Alimentação do SIM-AM. Atraso. Regularidade com ressalvas. Princípio da Infração Continuada. Aplicação de multa administrativa</w:t>
      </w:r>
      <w:r w:rsidR="002558B7">
        <w:rPr>
          <w:rStyle w:val="Hyperlink"/>
          <w:rFonts w:ascii="Arial" w:hAnsi="Arial" w:cs="Arial"/>
          <w:b/>
          <w:color w:val="000000" w:themeColor="text1"/>
          <w:sz w:val="20"/>
          <w:szCs w:val="20"/>
          <w:u w:val="none"/>
        </w:rPr>
        <w:t>.</w:t>
      </w:r>
    </w:p>
    <w:p w:rsidR="004C0D31" w:rsidRDefault="004C0D31" w:rsidP="004C0D31">
      <w:pPr>
        <w:spacing w:after="0"/>
        <w:jc w:val="both"/>
        <w:rPr>
          <w:rStyle w:val="Hyperlink"/>
          <w:rFonts w:ascii="Arial" w:hAnsi="Arial" w:cs="Arial"/>
          <w:color w:val="000000" w:themeColor="text1"/>
          <w:sz w:val="20"/>
          <w:szCs w:val="20"/>
          <w:u w:val="none"/>
        </w:rPr>
      </w:pPr>
    </w:p>
    <w:p w:rsidR="004C0D31" w:rsidRDefault="004C0D31" w:rsidP="004C0D31">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Na prestação de contas efetuada pelo gestor público, foram detectados, na alimentação do SIM-AM, atrasos em todos os meses do exercício. A justificativa apresentada foi no sentido da complexidade da prestação de contas eletrônica. </w:t>
      </w:r>
    </w:p>
    <w:p w:rsidR="00A85189" w:rsidRDefault="00A85189" w:rsidP="004C0D31">
      <w:pPr>
        <w:spacing w:after="0"/>
        <w:jc w:val="both"/>
        <w:rPr>
          <w:rStyle w:val="Hyperlink"/>
          <w:rFonts w:ascii="Arial" w:hAnsi="Arial" w:cs="Arial"/>
          <w:color w:val="000000" w:themeColor="text1"/>
          <w:sz w:val="20"/>
          <w:szCs w:val="20"/>
          <w:u w:val="none"/>
        </w:rPr>
      </w:pPr>
    </w:p>
    <w:p w:rsidR="004C0D31" w:rsidRDefault="004C0D31" w:rsidP="004C0D31">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Contudo, a proposta de voto, acolhida unanimemente pelo Colegiado enfatizou que a não observância dos prazos fixados acarretou atraso em todos os meses do exercício, superando a 80 (oitenta) dias em maio e setembro. </w:t>
      </w:r>
      <w:r w:rsidRPr="00A85189">
        <w:rPr>
          <w:rStyle w:val="Hyperlink"/>
          <w:rFonts w:ascii="Arial" w:hAnsi="Arial" w:cs="Arial"/>
          <w:i/>
          <w:color w:val="000000" w:themeColor="text1"/>
          <w:sz w:val="20"/>
          <w:szCs w:val="20"/>
          <w:u w:val="none"/>
        </w:rPr>
        <w:t>“Assim, entende-se que reiterados atrasos resultaram em prejuízo às funções de controle desta Corte de Contas, sendo responsabilidade do jurisdicionado a programação e cumprimento dos prazos estabelecidos por este Tribunal”</w:t>
      </w:r>
      <w:r>
        <w:rPr>
          <w:rStyle w:val="Hyperlink"/>
          <w:rFonts w:ascii="Arial" w:hAnsi="Arial" w:cs="Arial"/>
          <w:color w:val="000000" w:themeColor="text1"/>
          <w:sz w:val="20"/>
          <w:szCs w:val="20"/>
          <w:u w:val="none"/>
        </w:rPr>
        <w:t xml:space="preserve">, enfatizou.  </w:t>
      </w:r>
    </w:p>
    <w:p w:rsidR="004C0D31" w:rsidRDefault="004C0D31" w:rsidP="004C0D31">
      <w:pPr>
        <w:spacing w:after="0"/>
        <w:jc w:val="both"/>
        <w:rPr>
          <w:rStyle w:val="Hyperlink"/>
          <w:rFonts w:ascii="Arial" w:hAnsi="Arial" w:cs="Arial"/>
          <w:color w:val="000000" w:themeColor="text1"/>
          <w:sz w:val="20"/>
          <w:szCs w:val="20"/>
          <w:u w:val="none"/>
        </w:rPr>
      </w:pPr>
    </w:p>
    <w:p w:rsidR="004C0D31" w:rsidRDefault="004C0D31" w:rsidP="004C0D31">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E segue: “</w:t>
      </w:r>
      <w:r w:rsidRPr="00A85189">
        <w:rPr>
          <w:rStyle w:val="Hyperlink"/>
          <w:rFonts w:ascii="Arial" w:hAnsi="Arial" w:cs="Arial"/>
          <w:i/>
          <w:color w:val="000000" w:themeColor="text1"/>
          <w:sz w:val="20"/>
          <w:szCs w:val="20"/>
          <w:u w:val="none"/>
        </w:rPr>
        <w:t>Examina-se a presente situação, acerca do reiterado atraso, com base no Princípio da Absorção, cujas infrações administrativas da mesma espécie, tem o mesmo tratamento do ilícito penal, sendo abarcadas pelas normas do Direito Penal Brasileiro. Nesta toada, conforme Princípio da Infração Continuada, é possível a aplicação de uma única multa do artigo 87, III, “b” da LC nº 113/2005</w:t>
      </w:r>
      <w:r w:rsidR="00A85189">
        <w:rPr>
          <w:rStyle w:val="Hyperlink"/>
          <w:rFonts w:ascii="Arial" w:hAnsi="Arial" w:cs="Arial"/>
          <w:i/>
          <w:color w:val="000000" w:themeColor="text1"/>
          <w:sz w:val="20"/>
          <w:szCs w:val="20"/>
          <w:u w:val="none"/>
        </w:rPr>
        <w:t>”</w:t>
      </w:r>
      <w:r>
        <w:rPr>
          <w:rStyle w:val="Hyperlink"/>
          <w:rFonts w:ascii="Arial" w:hAnsi="Arial" w:cs="Arial"/>
          <w:color w:val="000000" w:themeColor="text1"/>
          <w:sz w:val="20"/>
          <w:szCs w:val="20"/>
          <w:u w:val="none"/>
        </w:rPr>
        <w:t xml:space="preserve">. </w:t>
      </w:r>
    </w:p>
    <w:p w:rsidR="004C0D31" w:rsidRDefault="004C0D31" w:rsidP="004C0D31">
      <w:pPr>
        <w:spacing w:after="0"/>
        <w:jc w:val="both"/>
        <w:rPr>
          <w:rStyle w:val="Hyperlink"/>
          <w:rFonts w:ascii="Arial" w:hAnsi="Arial" w:cs="Arial"/>
          <w:color w:val="000000" w:themeColor="text1"/>
          <w:sz w:val="20"/>
          <w:szCs w:val="20"/>
          <w:u w:val="none"/>
        </w:rPr>
      </w:pPr>
    </w:p>
    <w:p w:rsidR="004C0D31" w:rsidRDefault="004C0D31" w:rsidP="004C0D31">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lastRenderedPageBreak/>
        <w:t xml:space="preserve">A decisão, então, foi no sentido de expedição de Parecer Prévio recomendando a regularidade das contas, com ressalva, e aplicação da multa prevista no art. 87, III, “b”, da LC nº 113/05; </w:t>
      </w:r>
    </w:p>
    <w:p w:rsidR="004C0D31" w:rsidRDefault="004C0D31" w:rsidP="004C0D31">
      <w:pPr>
        <w:spacing w:after="0"/>
        <w:jc w:val="both"/>
        <w:rPr>
          <w:rStyle w:val="Hyperlink"/>
          <w:rFonts w:ascii="Arial" w:hAnsi="Arial" w:cs="Arial"/>
          <w:color w:val="000000" w:themeColor="text1"/>
          <w:sz w:val="20"/>
          <w:szCs w:val="20"/>
          <w:u w:val="none"/>
        </w:rPr>
      </w:pPr>
    </w:p>
    <w:p w:rsidR="004C0D31" w:rsidRDefault="004C0D31" w:rsidP="004C0D31">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Processo nº 293030/17 </w:t>
      </w:r>
      <w:r w:rsidR="00A85189">
        <w:rPr>
          <w:rStyle w:val="Hyperlink"/>
          <w:rFonts w:ascii="Arial" w:hAnsi="Arial" w:cs="Arial"/>
          <w:color w:val="000000" w:themeColor="text1"/>
          <w:sz w:val="20"/>
          <w:szCs w:val="20"/>
          <w:u w:val="none"/>
        </w:rPr>
        <w:t>-</w:t>
      </w:r>
      <w:r>
        <w:rPr>
          <w:rStyle w:val="Hyperlink"/>
          <w:rFonts w:ascii="Arial" w:hAnsi="Arial" w:cs="Arial"/>
          <w:color w:val="000000" w:themeColor="text1"/>
          <w:sz w:val="20"/>
          <w:szCs w:val="20"/>
          <w:u w:val="none"/>
        </w:rPr>
        <w:t xml:space="preserve"> </w:t>
      </w:r>
      <w:hyperlink r:id="rId13" w:history="1">
        <w:r w:rsidRPr="008867CC">
          <w:rPr>
            <w:rStyle w:val="Hyperlink"/>
            <w:rFonts w:ascii="Arial" w:hAnsi="Arial" w:cs="Arial"/>
            <w:sz w:val="20"/>
            <w:szCs w:val="20"/>
          </w:rPr>
          <w:t>Acórdão de Parecer Prévio nº 232/18</w:t>
        </w:r>
        <w:r w:rsidR="00A85189">
          <w:rPr>
            <w:rStyle w:val="Hyperlink"/>
            <w:rFonts w:ascii="Arial" w:hAnsi="Arial" w:cs="Arial"/>
            <w:sz w:val="20"/>
            <w:szCs w:val="20"/>
          </w:rPr>
          <w:t xml:space="preserve"> - Segunda </w:t>
        </w:r>
        <w:r w:rsidRPr="008867CC">
          <w:rPr>
            <w:rStyle w:val="Hyperlink"/>
            <w:rFonts w:ascii="Arial" w:hAnsi="Arial" w:cs="Arial"/>
            <w:sz w:val="20"/>
            <w:szCs w:val="20"/>
          </w:rPr>
          <w:t>Câmara</w:t>
        </w:r>
      </w:hyperlink>
      <w:r>
        <w:rPr>
          <w:rStyle w:val="Hyperlink"/>
          <w:rFonts w:ascii="Arial" w:hAnsi="Arial" w:cs="Arial"/>
          <w:color w:val="000000" w:themeColor="text1"/>
          <w:sz w:val="20"/>
          <w:szCs w:val="20"/>
          <w:u w:val="none"/>
        </w:rPr>
        <w:t xml:space="preserve"> </w:t>
      </w:r>
      <w:r w:rsidR="00A85189">
        <w:rPr>
          <w:rStyle w:val="Hyperlink"/>
          <w:rFonts w:ascii="Arial" w:hAnsi="Arial" w:cs="Arial"/>
          <w:color w:val="000000" w:themeColor="text1"/>
          <w:sz w:val="20"/>
          <w:szCs w:val="20"/>
          <w:u w:val="none"/>
        </w:rPr>
        <w:t>-</w:t>
      </w:r>
      <w:r>
        <w:rPr>
          <w:rStyle w:val="Hyperlink"/>
          <w:rFonts w:ascii="Arial" w:hAnsi="Arial" w:cs="Arial"/>
          <w:color w:val="000000" w:themeColor="text1"/>
          <w:sz w:val="20"/>
          <w:szCs w:val="20"/>
          <w:u w:val="none"/>
        </w:rPr>
        <w:t xml:space="preserve"> Relator Conselheiro </w:t>
      </w:r>
      <w:proofErr w:type="spellStart"/>
      <w:r>
        <w:rPr>
          <w:rStyle w:val="Hyperlink"/>
          <w:rFonts w:ascii="Arial" w:hAnsi="Arial" w:cs="Arial"/>
          <w:color w:val="000000" w:themeColor="text1"/>
          <w:sz w:val="20"/>
          <w:szCs w:val="20"/>
          <w:u w:val="none"/>
        </w:rPr>
        <w:t>Artagão</w:t>
      </w:r>
      <w:proofErr w:type="spellEnd"/>
      <w:r>
        <w:rPr>
          <w:rStyle w:val="Hyperlink"/>
          <w:rFonts w:ascii="Arial" w:hAnsi="Arial" w:cs="Arial"/>
          <w:color w:val="000000" w:themeColor="text1"/>
          <w:sz w:val="20"/>
          <w:szCs w:val="20"/>
          <w:u w:val="none"/>
        </w:rPr>
        <w:t xml:space="preserve"> de Mattos Leão. </w:t>
      </w:r>
    </w:p>
    <w:p w:rsidR="004C0D31" w:rsidRDefault="004C0D31" w:rsidP="004C0D31">
      <w:pPr>
        <w:spacing w:after="0"/>
        <w:jc w:val="both"/>
        <w:rPr>
          <w:rStyle w:val="Hyperlink"/>
          <w:rFonts w:ascii="Arial" w:hAnsi="Arial" w:cs="Arial"/>
          <w:color w:val="000000" w:themeColor="text1"/>
          <w:sz w:val="20"/>
          <w:szCs w:val="20"/>
          <w:u w:val="none"/>
        </w:rPr>
      </w:pPr>
    </w:p>
    <w:p w:rsidR="004C0D31" w:rsidRPr="00B715D9" w:rsidRDefault="00283D94" w:rsidP="004C0D31">
      <w:pPr>
        <w:spacing w:after="0"/>
        <w:jc w:val="both"/>
        <w:rPr>
          <w:rStyle w:val="Hyperlink"/>
          <w:rFonts w:ascii="Arial" w:hAnsi="Arial" w:cs="Arial"/>
          <w:b/>
          <w:color w:val="000000" w:themeColor="text1"/>
          <w:sz w:val="20"/>
          <w:szCs w:val="20"/>
          <w:u w:val="none"/>
        </w:rPr>
      </w:pPr>
      <w:r>
        <w:rPr>
          <w:rStyle w:val="Hyperlink"/>
          <w:rFonts w:ascii="Arial" w:hAnsi="Arial" w:cs="Arial"/>
          <w:b/>
          <w:color w:val="000000" w:themeColor="text1"/>
          <w:sz w:val="20"/>
          <w:szCs w:val="20"/>
          <w:u w:val="none"/>
        </w:rPr>
        <w:t xml:space="preserve">7. </w:t>
      </w:r>
      <w:r w:rsidR="004C0D31" w:rsidRPr="00B715D9">
        <w:rPr>
          <w:rStyle w:val="Hyperlink"/>
          <w:rFonts w:ascii="Arial" w:hAnsi="Arial" w:cs="Arial"/>
          <w:b/>
          <w:color w:val="000000" w:themeColor="text1"/>
          <w:sz w:val="20"/>
          <w:szCs w:val="20"/>
          <w:u w:val="none"/>
        </w:rPr>
        <w:t xml:space="preserve">Prestação de </w:t>
      </w:r>
      <w:r w:rsidR="002558B7">
        <w:rPr>
          <w:rStyle w:val="Hyperlink"/>
          <w:rFonts w:ascii="Arial" w:hAnsi="Arial" w:cs="Arial"/>
          <w:b/>
          <w:color w:val="000000" w:themeColor="text1"/>
          <w:sz w:val="20"/>
          <w:szCs w:val="20"/>
          <w:u w:val="none"/>
        </w:rPr>
        <w:t>c</w:t>
      </w:r>
      <w:r w:rsidR="004C0D31" w:rsidRPr="00B715D9">
        <w:rPr>
          <w:rStyle w:val="Hyperlink"/>
          <w:rFonts w:ascii="Arial" w:hAnsi="Arial" w:cs="Arial"/>
          <w:b/>
          <w:color w:val="000000" w:themeColor="text1"/>
          <w:sz w:val="20"/>
          <w:szCs w:val="20"/>
          <w:u w:val="none"/>
        </w:rPr>
        <w:t>ontas</w:t>
      </w:r>
      <w:r w:rsidR="002558B7">
        <w:rPr>
          <w:rStyle w:val="Hyperlink"/>
          <w:rFonts w:ascii="Arial" w:hAnsi="Arial" w:cs="Arial"/>
          <w:b/>
          <w:color w:val="000000" w:themeColor="text1"/>
          <w:sz w:val="20"/>
          <w:szCs w:val="20"/>
          <w:u w:val="none"/>
        </w:rPr>
        <w:t xml:space="preserve">. </w:t>
      </w:r>
      <w:r w:rsidR="004C0D31" w:rsidRPr="00B715D9">
        <w:rPr>
          <w:rStyle w:val="Hyperlink"/>
          <w:rFonts w:ascii="Arial" w:hAnsi="Arial" w:cs="Arial"/>
          <w:b/>
          <w:color w:val="000000" w:themeColor="text1"/>
          <w:sz w:val="20"/>
          <w:szCs w:val="20"/>
          <w:u w:val="none"/>
        </w:rPr>
        <w:t xml:space="preserve">Atraso na entrega de dados do SIM-AM. Imputação de multa. Infrações administrativas da mesma espécie. Razoabilidade e Proporcionalidade. Aplicação de uma sanção. Regularidade com ressalvas. </w:t>
      </w:r>
    </w:p>
    <w:p w:rsidR="004C0D31" w:rsidRDefault="004C0D31" w:rsidP="004C0D31">
      <w:pPr>
        <w:spacing w:after="0"/>
        <w:jc w:val="both"/>
        <w:rPr>
          <w:rStyle w:val="Hyperlink"/>
          <w:rFonts w:ascii="Arial" w:hAnsi="Arial" w:cs="Arial"/>
          <w:color w:val="000000" w:themeColor="text1"/>
          <w:sz w:val="20"/>
          <w:szCs w:val="20"/>
          <w:u w:val="none"/>
        </w:rPr>
      </w:pPr>
    </w:p>
    <w:p w:rsidR="004C0D31" w:rsidRDefault="004C0D31" w:rsidP="004C0D31">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Além de outras inconsistências, esta prestação de contas detectou a entrega de dados do SIM-AM com atraso. Os argumentos apresentados pelo gestor interessado não tiveram o condão de afastar a sanção em razão dos recorrentes atrasos. </w:t>
      </w:r>
    </w:p>
    <w:p w:rsidR="004C0D31" w:rsidRDefault="004C0D31" w:rsidP="004C0D31">
      <w:pPr>
        <w:spacing w:after="0"/>
        <w:jc w:val="both"/>
        <w:rPr>
          <w:rStyle w:val="Hyperlink"/>
          <w:rFonts w:ascii="Arial" w:hAnsi="Arial" w:cs="Arial"/>
          <w:color w:val="000000" w:themeColor="text1"/>
          <w:sz w:val="20"/>
          <w:szCs w:val="20"/>
          <w:u w:val="none"/>
        </w:rPr>
      </w:pPr>
    </w:p>
    <w:p w:rsidR="004C0D31" w:rsidRDefault="004C0D31" w:rsidP="004C0D31">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O Relator, em sua proposta, entendeu que tais justificativas não mereciam guarida e que devia prevalecer a imputação de uma única multa, por aplicação da teoria da continuidade delitiva. </w:t>
      </w:r>
    </w:p>
    <w:p w:rsidR="004C0D31" w:rsidRDefault="004C0D31" w:rsidP="004C0D31">
      <w:pPr>
        <w:spacing w:after="0"/>
        <w:jc w:val="both"/>
        <w:rPr>
          <w:rStyle w:val="Hyperlink"/>
          <w:rFonts w:ascii="Arial" w:hAnsi="Arial" w:cs="Arial"/>
          <w:color w:val="000000" w:themeColor="text1"/>
          <w:sz w:val="20"/>
          <w:szCs w:val="20"/>
          <w:u w:val="none"/>
        </w:rPr>
      </w:pPr>
    </w:p>
    <w:p w:rsidR="004C0D31" w:rsidRDefault="004C0D31" w:rsidP="004C0D31">
      <w:pPr>
        <w:spacing w:after="0"/>
        <w:jc w:val="both"/>
        <w:rPr>
          <w:rStyle w:val="Hyperlink"/>
          <w:rFonts w:ascii="Arial" w:hAnsi="Arial" w:cs="Arial"/>
          <w:color w:val="000000" w:themeColor="text1"/>
          <w:sz w:val="20"/>
          <w:szCs w:val="20"/>
          <w:u w:val="none"/>
        </w:rPr>
      </w:pPr>
      <w:r w:rsidRPr="0040347A">
        <w:rPr>
          <w:rStyle w:val="Hyperlink"/>
          <w:rFonts w:ascii="Arial" w:hAnsi="Arial" w:cs="Arial"/>
          <w:i/>
          <w:color w:val="000000" w:themeColor="text1"/>
          <w:sz w:val="20"/>
          <w:szCs w:val="20"/>
          <w:u w:val="none"/>
        </w:rPr>
        <w:t xml:space="preserve">“Nesse sentido, este Tribunal tem entendido que, diante de infrações administrativas da mesma espécie, é possível a aplicação de apenas uma sanção, conforme Acórdãos </w:t>
      </w:r>
      <w:proofErr w:type="spellStart"/>
      <w:r w:rsidRPr="0040347A">
        <w:rPr>
          <w:rStyle w:val="Hyperlink"/>
          <w:rFonts w:ascii="Arial" w:hAnsi="Arial" w:cs="Arial"/>
          <w:i/>
          <w:color w:val="000000" w:themeColor="text1"/>
          <w:sz w:val="20"/>
          <w:szCs w:val="20"/>
          <w:u w:val="none"/>
        </w:rPr>
        <w:t>nºs</w:t>
      </w:r>
      <w:proofErr w:type="spellEnd"/>
      <w:r w:rsidRPr="0040347A">
        <w:rPr>
          <w:rStyle w:val="Hyperlink"/>
          <w:rFonts w:ascii="Arial" w:hAnsi="Arial" w:cs="Arial"/>
          <w:i/>
          <w:color w:val="000000" w:themeColor="text1"/>
          <w:sz w:val="20"/>
          <w:szCs w:val="20"/>
          <w:u w:val="none"/>
        </w:rPr>
        <w:t xml:space="preserve"> 316/18 e 4242/14, ambos do Tribunal Pleno, e o Acórdão nº 4636/16 da Segunda Câmara”,</w:t>
      </w:r>
      <w:r>
        <w:rPr>
          <w:rStyle w:val="Hyperlink"/>
          <w:rFonts w:ascii="Arial" w:hAnsi="Arial" w:cs="Arial"/>
          <w:color w:val="000000" w:themeColor="text1"/>
          <w:sz w:val="20"/>
          <w:szCs w:val="20"/>
          <w:u w:val="none"/>
        </w:rPr>
        <w:t xml:space="preserve"> prosseguiu o Conselheiro. </w:t>
      </w:r>
    </w:p>
    <w:p w:rsidR="004C0D31" w:rsidRDefault="004C0D31" w:rsidP="004C0D31">
      <w:pPr>
        <w:spacing w:after="0"/>
        <w:jc w:val="both"/>
        <w:rPr>
          <w:rStyle w:val="Hyperlink"/>
          <w:rFonts w:ascii="Arial" w:hAnsi="Arial" w:cs="Arial"/>
          <w:color w:val="000000" w:themeColor="text1"/>
          <w:sz w:val="20"/>
          <w:szCs w:val="20"/>
          <w:u w:val="none"/>
        </w:rPr>
      </w:pPr>
    </w:p>
    <w:p w:rsidR="004C0D31" w:rsidRDefault="004C0D31" w:rsidP="004C0D31">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O Parecer Prévio, então, recomendou neste item, a regularidade com ressalva e aplicação da multa do art. 87, III, “b”, da LC nº 113/2005. </w:t>
      </w:r>
    </w:p>
    <w:p w:rsidR="004C0D31" w:rsidRDefault="004C0D31" w:rsidP="004C0D31">
      <w:pPr>
        <w:spacing w:after="0"/>
        <w:jc w:val="both"/>
        <w:rPr>
          <w:rStyle w:val="Hyperlink"/>
          <w:rFonts w:ascii="Arial" w:hAnsi="Arial" w:cs="Arial"/>
          <w:color w:val="000000" w:themeColor="text1"/>
          <w:sz w:val="20"/>
          <w:szCs w:val="20"/>
          <w:u w:val="none"/>
        </w:rPr>
      </w:pPr>
    </w:p>
    <w:p w:rsidR="004C0D31" w:rsidRDefault="004C0D31" w:rsidP="004C0D31">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Processo nº 238480/17 </w:t>
      </w:r>
      <w:r w:rsidR="0040347A">
        <w:rPr>
          <w:rStyle w:val="Hyperlink"/>
          <w:rFonts w:ascii="Arial" w:hAnsi="Arial" w:cs="Arial"/>
          <w:color w:val="000000" w:themeColor="text1"/>
          <w:sz w:val="20"/>
          <w:szCs w:val="20"/>
          <w:u w:val="none"/>
        </w:rPr>
        <w:t>-</w:t>
      </w:r>
      <w:r>
        <w:rPr>
          <w:rStyle w:val="Hyperlink"/>
          <w:rFonts w:ascii="Arial" w:hAnsi="Arial" w:cs="Arial"/>
          <w:color w:val="000000" w:themeColor="text1"/>
          <w:sz w:val="20"/>
          <w:szCs w:val="20"/>
          <w:u w:val="none"/>
        </w:rPr>
        <w:t xml:space="preserve"> </w:t>
      </w:r>
      <w:hyperlink r:id="rId14" w:history="1">
        <w:r w:rsidRPr="00B715D9">
          <w:rPr>
            <w:rStyle w:val="Hyperlink"/>
            <w:rFonts w:ascii="Arial" w:hAnsi="Arial" w:cs="Arial"/>
            <w:sz w:val="20"/>
            <w:szCs w:val="20"/>
          </w:rPr>
          <w:t>Acórdão nº 2192/18</w:t>
        </w:r>
        <w:r w:rsidR="0040347A">
          <w:rPr>
            <w:rStyle w:val="Hyperlink"/>
            <w:rFonts w:ascii="Arial" w:hAnsi="Arial" w:cs="Arial"/>
            <w:sz w:val="20"/>
            <w:szCs w:val="20"/>
          </w:rPr>
          <w:t xml:space="preserve"> - Segunda </w:t>
        </w:r>
        <w:r w:rsidRPr="00B715D9">
          <w:rPr>
            <w:rStyle w:val="Hyperlink"/>
            <w:rFonts w:ascii="Arial" w:hAnsi="Arial" w:cs="Arial"/>
            <w:sz w:val="20"/>
            <w:szCs w:val="20"/>
          </w:rPr>
          <w:t>Câmara</w:t>
        </w:r>
      </w:hyperlink>
      <w:r>
        <w:rPr>
          <w:rStyle w:val="Hyperlink"/>
          <w:rFonts w:ascii="Arial" w:hAnsi="Arial" w:cs="Arial"/>
          <w:color w:val="000000" w:themeColor="text1"/>
          <w:sz w:val="20"/>
          <w:szCs w:val="20"/>
          <w:u w:val="none"/>
        </w:rPr>
        <w:t xml:space="preserve"> </w:t>
      </w:r>
      <w:r w:rsidR="0040347A">
        <w:rPr>
          <w:rStyle w:val="Hyperlink"/>
          <w:rFonts w:ascii="Arial" w:hAnsi="Arial" w:cs="Arial"/>
          <w:color w:val="000000" w:themeColor="text1"/>
          <w:sz w:val="20"/>
          <w:szCs w:val="20"/>
          <w:u w:val="none"/>
        </w:rPr>
        <w:t>-</w:t>
      </w:r>
      <w:r>
        <w:rPr>
          <w:rStyle w:val="Hyperlink"/>
          <w:rFonts w:ascii="Arial" w:hAnsi="Arial" w:cs="Arial"/>
          <w:color w:val="000000" w:themeColor="text1"/>
          <w:sz w:val="20"/>
          <w:szCs w:val="20"/>
          <w:u w:val="none"/>
        </w:rPr>
        <w:t xml:space="preserve"> Relator Conselheiro Ivens Zschoerper Linhares. </w:t>
      </w:r>
    </w:p>
    <w:p w:rsidR="006D158F" w:rsidRDefault="006D158F" w:rsidP="006D158F">
      <w:pPr>
        <w:autoSpaceDE w:val="0"/>
        <w:autoSpaceDN w:val="0"/>
        <w:adjustRightInd w:val="0"/>
        <w:spacing w:after="0"/>
        <w:jc w:val="both"/>
        <w:rPr>
          <w:rFonts w:ascii="Arial" w:hAnsi="Arial" w:cs="Arial"/>
          <w:sz w:val="20"/>
          <w:szCs w:val="20"/>
        </w:rPr>
      </w:pP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t>TRIBUNAL PLENO</w:t>
      </w:r>
    </w:p>
    <w:p w:rsidR="008F6E3D" w:rsidRDefault="008F6E3D" w:rsidP="00821F3A">
      <w:pPr>
        <w:autoSpaceDE w:val="0"/>
        <w:autoSpaceDN w:val="0"/>
        <w:adjustRightInd w:val="0"/>
        <w:spacing w:after="0"/>
        <w:jc w:val="both"/>
        <w:rPr>
          <w:rFonts w:ascii="Arial" w:hAnsi="Arial" w:cs="Arial"/>
          <w:b/>
          <w:sz w:val="20"/>
          <w:szCs w:val="20"/>
        </w:rPr>
      </w:pPr>
    </w:p>
    <w:p w:rsidR="009F1F0F" w:rsidRDefault="00283D94" w:rsidP="00821F3A">
      <w:pPr>
        <w:autoSpaceDE w:val="0"/>
        <w:autoSpaceDN w:val="0"/>
        <w:adjustRightInd w:val="0"/>
        <w:spacing w:after="0"/>
        <w:jc w:val="both"/>
        <w:rPr>
          <w:rFonts w:ascii="Arial" w:hAnsi="Arial" w:cs="Arial"/>
          <w:b/>
          <w:sz w:val="20"/>
          <w:szCs w:val="20"/>
        </w:rPr>
      </w:pPr>
      <w:r>
        <w:rPr>
          <w:rFonts w:ascii="Arial" w:hAnsi="Arial" w:cs="Arial"/>
          <w:b/>
          <w:sz w:val="20"/>
          <w:szCs w:val="20"/>
        </w:rPr>
        <w:t xml:space="preserve">8. </w:t>
      </w:r>
      <w:r w:rsidR="007B3DB7" w:rsidRPr="007B3DB7">
        <w:rPr>
          <w:rFonts w:ascii="Arial" w:hAnsi="Arial" w:cs="Arial"/>
          <w:b/>
          <w:sz w:val="20"/>
          <w:szCs w:val="20"/>
        </w:rPr>
        <w:t xml:space="preserve">Alerta. Poder Executivo do Estado. Ultrapassado 90% do limite de gastos com pessoal. Divergência de cálculos - Utilização dos efetuados pela </w:t>
      </w:r>
      <w:r w:rsidR="007B3DB7">
        <w:rPr>
          <w:rFonts w:ascii="Arial" w:hAnsi="Arial" w:cs="Arial"/>
          <w:b/>
          <w:sz w:val="20"/>
          <w:szCs w:val="20"/>
        </w:rPr>
        <w:t xml:space="preserve">unidade técnica, </w:t>
      </w:r>
      <w:r w:rsidR="007B3DB7" w:rsidRPr="007B3DB7">
        <w:rPr>
          <w:rFonts w:ascii="Arial" w:hAnsi="Arial" w:cs="Arial"/>
          <w:b/>
          <w:sz w:val="20"/>
          <w:szCs w:val="20"/>
        </w:rPr>
        <w:t>em conformidade com a IN 56/11, e não dos constantes em RGF. Emissão do alerta</w:t>
      </w:r>
      <w:r w:rsidR="009F1F0F">
        <w:rPr>
          <w:rFonts w:ascii="Arial" w:hAnsi="Arial" w:cs="Arial"/>
          <w:b/>
          <w:sz w:val="20"/>
          <w:szCs w:val="20"/>
        </w:rPr>
        <w:t>.</w:t>
      </w:r>
    </w:p>
    <w:p w:rsidR="007B3DB7" w:rsidRDefault="009F1F0F" w:rsidP="00821F3A">
      <w:pPr>
        <w:autoSpaceDE w:val="0"/>
        <w:autoSpaceDN w:val="0"/>
        <w:adjustRightInd w:val="0"/>
        <w:spacing w:after="0"/>
        <w:jc w:val="both"/>
        <w:rPr>
          <w:rFonts w:ascii="Arial" w:hAnsi="Arial" w:cs="Arial"/>
          <w:b/>
          <w:sz w:val="20"/>
          <w:szCs w:val="20"/>
        </w:rPr>
      </w:pPr>
      <w:bookmarkStart w:id="0" w:name="_GoBack"/>
      <w:bookmarkEnd w:id="0"/>
      <w:r>
        <w:rPr>
          <w:rFonts w:ascii="Arial" w:hAnsi="Arial" w:cs="Arial"/>
          <w:b/>
          <w:sz w:val="20"/>
          <w:szCs w:val="20"/>
        </w:rPr>
        <w:t xml:space="preserve"> </w:t>
      </w:r>
    </w:p>
    <w:p w:rsidR="007B3DB7" w:rsidRDefault="007B3DB7" w:rsidP="00821F3A">
      <w:pPr>
        <w:autoSpaceDE w:val="0"/>
        <w:autoSpaceDN w:val="0"/>
        <w:adjustRightInd w:val="0"/>
        <w:spacing w:after="0"/>
        <w:jc w:val="both"/>
        <w:rPr>
          <w:rFonts w:ascii="Arial" w:hAnsi="Arial" w:cs="Arial"/>
          <w:sz w:val="20"/>
          <w:szCs w:val="20"/>
        </w:rPr>
      </w:pPr>
      <w:r w:rsidRPr="007B3DB7">
        <w:rPr>
          <w:rFonts w:ascii="Arial" w:hAnsi="Arial" w:cs="Arial"/>
          <w:sz w:val="20"/>
          <w:szCs w:val="20"/>
        </w:rPr>
        <w:t xml:space="preserve">A </w:t>
      </w:r>
      <w:r>
        <w:rPr>
          <w:rFonts w:ascii="Arial" w:hAnsi="Arial" w:cs="Arial"/>
          <w:sz w:val="20"/>
          <w:szCs w:val="20"/>
        </w:rPr>
        <w:t xml:space="preserve">Unidade técnica </w:t>
      </w:r>
      <w:r w:rsidRPr="007B3DB7">
        <w:rPr>
          <w:rFonts w:ascii="Arial" w:hAnsi="Arial" w:cs="Arial"/>
          <w:sz w:val="20"/>
          <w:szCs w:val="20"/>
        </w:rPr>
        <w:t>apresentou cálculo oriundo do</w:t>
      </w:r>
      <w:r>
        <w:rPr>
          <w:rFonts w:ascii="Arial" w:hAnsi="Arial" w:cs="Arial"/>
          <w:sz w:val="20"/>
          <w:szCs w:val="20"/>
        </w:rPr>
        <w:t xml:space="preserve"> </w:t>
      </w:r>
      <w:r w:rsidRPr="007B3DB7">
        <w:rPr>
          <w:rFonts w:ascii="Arial" w:hAnsi="Arial" w:cs="Arial"/>
          <w:sz w:val="20"/>
          <w:szCs w:val="20"/>
        </w:rPr>
        <w:t>Relatório de Gestão Fiscal publicado pelo Estado, no qual os gastos com pessoal</w:t>
      </w:r>
      <w:r>
        <w:rPr>
          <w:rFonts w:ascii="Arial" w:hAnsi="Arial" w:cs="Arial"/>
          <w:sz w:val="20"/>
          <w:szCs w:val="20"/>
        </w:rPr>
        <w:t xml:space="preserve"> </w:t>
      </w:r>
      <w:r w:rsidRPr="007B3DB7">
        <w:rPr>
          <w:rFonts w:ascii="Arial" w:hAnsi="Arial" w:cs="Arial"/>
          <w:sz w:val="20"/>
          <w:szCs w:val="20"/>
        </w:rPr>
        <w:t>atingiram 92,11% do limite permitido pela LRF, bem como cálculo efetuado a partir dos</w:t>
      </w:r>
      <w:r>
        <w:rPr>
          <w:rFonts w:ascii="Arial" w:hAnsi="Arial" w:cs="Arial"/>
          <w:sz w:val="20"/>
          <w:szCs w:val="20"/>
        </w:rPr>
        <w:t xml:space="preserve"> </w:t>
      </w:r>
      <w:r w:rsidRPr="007B3DB7">
        <w:rPr>
          <w:rFonts w:ascii="Arial" w:hAnsi="Arial" w:cs="Arial"/>
          <w:sz w:val="20"/>
          <w:szCs w:val="20"/>
        </w:rPr>
        <w:t>dados remetidos a esta Corte, no qual os gastos com pessoal atingem 92,48% do</w:t>
      </w:r>
      <w:r>
        <w:rPr>
          <w:rFonts w:ascii="Arial" w:hAnsi="Arial" w:cs="Arial"/>
          <w:sz w:val="20"/>
          <w:szCs w:val="20"/>
        </w:rPr>
        <w:t xml:space="preserve"> </w:t>
      </w:r>
      <w:r w:rsidRPr="007B3DB7">
        <w:rPr>
          <w:rFonts w:ascii="Arial" w:hAnsi="Arial" w:cs="Arial"/>
          <w:sz w:val="20"/>
          <w:szCs w:val="20"/>
        </w:rPr>
        <w:t>mesmo marco.</w:t>
      </w:r>
    </w:p>
    <w:p w:rsidR="007B3DB7" w:rsidRPr="007B3DB7" w:rsidRDefault="007B3DB7" w:rsidP="00821F3A">
      <w:pPr>
        <w:autoSpaceDE w:val="0"/>
        <w:autoSpaceDN w:val="0"/>
        <w:adjustRightInd w:val="0"/>
        <w:spacing w:after="0"/>
        <w:jc w:val="both"/>
        <w:rPr>
          <w:rFonts w:ascii="Arial" w:hAnsi="Arial" w:cs="Arial"/>
          <w:sz w:val="20"/>
          <w:szCs w:val="20"/>
        </w:rPr>
      </w:pPr>
    </w:p>
    <w:p w:rsidR="007B3DB7" w:rsidRDefault="007B3DB7" w:rsidP="00821F3A">
      <w:pPr>
        <w:autoSpaceDE w:val="0"/>
        <w:autoSpaceDN w:val="0"/>
        <w:adjustRightInd w:val="0"/>
        <w:spacing w:after="0"/>
        <w:jc w:val="both"/>
        <w:rPr>
          <w:rFonts w:ascii="Arial" w:hAnsi="Arial" w:cs="Arial"/>
          <w:sz w:val="20"/>
          <w:szCs w:val="20"/>
        </w:rPr>
      </w:pPr>
      <w:r w:rsidRPr="007B3DB7">
        <w:rPr>
          <w:rFonts w:ascii="Arial" w:hAnsi="Arial" w:cs="Arial"/>
          <w:sz w:val="20"/>
          <w:szCs w:val="20"/>
        </w:rPr>
        <w:t>Essa divergência decorre da não contabilização, nos dados contidos no</w:t>
      </w:r>
      <w:r>
        <w:rPr>
          <w:rFonts w:ascii="Arial" w:hAnsi="Arial" w:cs="Arial"/>
          <w:sz w:val="20"/>
          <w:szCs w:val="20"/>
        </w:rPr>
        <w:t xml:space="preserve"> </w:t>
      </w:r>
      <w:r w:rsidRPr="007B3DB7">
        <w:rPr>
          <w:rFonts w:ascii="Arial" w:hAnsi="Arial" w:cs="Arial"/>
          <w:sz w:val="20"/>
          <w:szCs w:val="20"/>
        </w:rPr>
        <w:t>RGF, dos valores tocantes a empresas dependentes nas despesas com pessoal, assim</w:t>
      </w:r>
      <w:r>
        <w:rPr>
          <w:rFonts w:ascii="Arial" w:hAnsi="Arial" w:cs="Arial"/>
          <w:sz w:val="20"/>
          <w:szCs w:val="20"/>
        </w:rPr>
        <w:t xml:space="preserve"> </w:t>
      </w:r>
      <w:r w:rsidRPr="007B3DB7">
        <w:rPr>
          <w:rFonts w:ascii="Arial" w:hAnsi="Arial" w:cs="Arial"/>
          <w:sz w:val="20"/>
          <w:szCs w:val="20"/>
        </w:rPr>
        <w:t xml:space="preserve">como dos valores relativos </w:t>
      </w:r>
      <w:r w:rsidRPr="007B3DB7">
        <w:rPr>
          <w:rFonts w:ascii="Arial" w:hAnsi="Arial" w:cs="Arial"/>
          <w:sz w:val="20"/>
          <w:szCs w:val="20"/>
        </w:rPr>
        <w:lastRenderedPageBreak/>
        <w:t>à Fundação Estatal de Atenção em Saúde do Estado do</w:t>
      </w:r>
      <w:r>
        <w:rPr>
          <w:rFonts w:ascii="Arial" w:hAnsi="Arial" w:cs="Arial"/>
          <w:sz w:val="20"/>
          <w:szCs w:val="20"/>
        </w:rPr>
        <w:t xml:space="preserve"> </w:t>
      </w:r>
      <w:r w:rsidRPr="007B3DB7">
        <w:rPr>
          <w:rFonts w:ascii="Arial" w:hAnsi="Arial" w:cs="Arial"/>
          <w:sz w:val="20"/>
          <w:szCs w:val="20"/>
        </w:rPr>
        <w:t>Paraná (FUNEAS) nas despesas decorrentes de contratos de terceirização.</w:t>
      </w:r>
    </w:p>
    <w:p w:rsidR="007B3DB7" w:rsidRPr="007B3DB7" w:rsidRDefault="007B3DB7" w:rsidP="00821F3A">
      <w:pPr>
        <w:autoSpaceDE w:val="0"/>
        <w:autoSpaceDN w:val="0"/>
        <w:adjustRightInd w:val="0"/>
        <w:spacing w:after="0"/>
        <w:jc w:val="both"/>
        <w:rPr>
          <w:rFonts w:ascii="Arial" w:hAnsi="Arial" w:cs="Arial"/>
          <w:sz w:val="20"/>
          <w:szCs w:val="20"/>
        </w:rPr>
      </w:pPr>
    </w:p>
    <w:p w:rsidR="007B3DB7" w:rsidRDefault="007B3DB7" w:rsidP="00821F3A">
      <w:pPr>
        <w:autoSpaceDE w:val="0"/>
        <w:autoSpaceDN w:val="0"/>
        <w:adjustRightInd w:val="0"/>
        <w:spacing w:after="0"/>
        <w:jc w:val="both"/>
        <w:rPr>
          <w:rFonts w:ascii="Arial" w:hAnsi="Arial" w:cs="Arial"/>
          <w:sz w:val="20"/>
          <w:szCs w:val="20"/>
        </w:rPr>
      </w:pPr>
      <w:r w:rsidRPr="007B3DB7">
        <w:rPr>
          <w:rFonts w:ascii="Arial" w:hAnsi="Arial" w:cs="Arial"/>
          <w:sz w:val="20"/>
          <w:szCs w:val="20"/>
        </w:rPr>
        <w:t>Conforme já exposto no Acórdão 810/18-STP (emitido no Processo de</w:t>
      </w:r>
      <w:r>
        <w:rPr>
          <w:rFonts w:ascii="Arial" w:hAnsi="Arial" w:cs="Arial"/>
          <w:sz w:val="20"/>
          <w:szCs w:val="20"/>
        </w:rPr>
        <w:t xml:space="preserve"> </w:t>
      </w:r>
      <w:r w:rsidRPr="007B3DB7">
        <w:rPr>
          <w:rFonts w:ascii="Arial" w:hAnsi="Arial" w:cs="Arial"/>
          <w:sz w:val="20"/>
          <w:szCs w:val="20"/>
        </w:rPr>
        <w:t>Alerta 73947-0/17, referente ao período de setembro de 2016 a agosto de 2017, no</w:t>
      </w:r>
      <w:r>
        <w:rPr>
          <w:rFonts w:ascii="Arial" w:hAnsi="Arial" w:cs="Arial"/>
          <w:sz w:val="20"/>
          <w:szCs w:val="20"/>
        </w:rPr>
        <w:t xml:space="preserve"> </w:t>
      </w:r>
      <w:r w:rsidRPr="007B3DB7">
        <w:rPr>
          <w:rFonts w:ascii="Arial" w:hAnsi="Arial" w:cs="Arial"/>
          <w:sz w:val="20"/>
          <w:szCs w:val="20"/>
        </w:rPr>
        <w:t>qual verificou-se divergência idêntica à ora tratada), “</w:t>
      </w:r>
      <w:r w:rsidRPr="007B3DB7">
        <w:rPr>
          <w:rFonts w:ascii="Arial" w:hAnsi="Arial" w:cs="Arial"/>
          <w:i/>
          <w:iCs/>
          <w:sz w:val="20"/>
          <w:szCs w:val="20"/>
        </w:rPr>
        <w:t>apenas para os fins do presente</w:t>
      </w:r>
      <w:r>
        <w:rPr>
          <w:rFonts w:ascii="Arial" w:hAnsi="Arial" w:cs="Arial"/>
          <w:i/>
          <w:iCs/>
          <w:sz w:val="20"/>
          <w:szCs w:val="20"/>
        </w:rPr>
        <w:t xml:space="preserve"> </w:t>
      </w:r>
      <w:r w:rsidRPr="007B3DB7">
        <w:rPr>
          <w:rFonts w:ascii="Arial" w:hAnsi="Arial" w:cs="Arial"/>
          <w:i/>
          <w:iCs/>
          <w:sz w:val="20"/>
          <w:szCs w:val="20"/>
        </w:rPr>
        <w:t>feito, tal discussão mostra-se estéril, uma vez que o percentual previsto no inc. II, do §</w:t>
      </w:r>
      <w:r>
        <w:rPr>
          <w:rFonts w:ascii="Arial" w:hAnsi="Arial" w:cs="Arial"/>
          <w:i/>
          <w:iCs/>
          <w:sz w:val="20"/>
          <w:szCs w:val="20"/>
        </w:rPr>
        <w:t xml:space="preserve"> </w:t>
      </w:r>
      <w:r w:rsidRPr="007B3DB7">
        <w:rPr>
          <w:rFonts w:ascii="Arial" w:hAnsi="Arial" w:cs="Arial"/>
          <w:i/>
          <w:iCs/>
          <w:sz w:val="20"/>
          <w:szCs w:val="20"/>
        </w:rPr>
        <w:t>1°, do art. 59, da LC 101/00, resta atingido por qualquer um dos cálculos. Ademais, tal</w:t>
      </w:r>
      <w:r>
        <w:rPr>
          <w:rFonts w:ascii="Arial" w:hAnsi="Arial" w:cs="Arial"/>
          <w:i/>
          <w:iCs/>
          <w:sz w:val="20"/>
          <w:szCs w:val="20"/>
        </w:rPr>
        <w:t xml:space="preserve"> </w:t>
      </w:r>
      <w:r w:rsidRPr="007B3DB7">
        <w:rPr>
          <w:rFonts w:ascii="Arial" w:hAnsi="Arial" w:cs="Arial"/>
          <w:i/>
          <w:iCs/>
          <w:sz w:val="20"/>
          <w:szCs w:val="20"/>
        </w:rPr>
        <w:t>matéria constitui objeto da própria prestação de contas anual</w:t>
      </w:r>
      <w:r w:rsidRPr="007B3DB7">
        <w:rPr>
          <w:rFonts w:ascii="Arial" w:hAnsi="Arial" w:cs="Arial"/>
          <w:sz w:val="20"/>
          <w:szCs w:val="20"/>
        </w:rPr>
        <w:t>”.</w:t>
      </w:r>
    </w:p>
    <w:p w:rsidR="007B3DB7" w:rsidRPr="007B3DB7" w:rsidRDefault="007B3DB7" w:rsidP="00821F3A">
      <w:pPr>
        <w:autoSpaceDE w:val="0"/>
        <w:autoSpaceDN w:val="0"/>
        <w:adjustRightInd w:val="0"/>
        <w:spacing w:after="0"/>
        <w:jc w:val="both"/>
        <w:rPr>
          <w:rFonts w:ascii="Arial" w:hAnsi="Arial" w:cs="Arial"/>
          <w:sz w:val="20"/>
          <w:szCs w:val="20"/>
        </w:rPr>
      </w:pPr>
    </w:p>
    <w:p w:rsidR="007B3DB7" w:rsidRDefault="007B3DB7" w:rsidP="00821F3A">
      <w:pPr>
        <w:autoSpaceDE w:val="0"/>
        <w:autoSpaceDN w:val="0"/>
        <w:adjustRightInd w:val="0"/>
        <w:spacing w:after="0"/>
        <w:jc w:val="both"/>
        <w:rPr>
          <w:rFonts w:ascii="Arial" w:hAnsi="Arial" w:cs="Arial"/>
          <w:sz w:val="20"/>
          <w:szCs w:val="20"/>
        </w:rPr>
      </w:pPr>
      <w:r w:rsidRPr="007B3DB7">
        <w:rPr>
          <w:rFonts w:ascii="Arial" w:hAnsi="Arial" w:cs="Arial"/>
          <w:sz w:val="20"/>
          <w:szCs w:val="20"/>
        </w:rPr>
        <w:t>Ainda que haja divergências entre a forma de apuração do índice</w:t>
      </w:r>
      <w:r>
        <w:rPr>
          <w:rFonts w:ascii="Arial" w:hAnsi="Arial" w:cs="Arial"/>
          <w:sz w:val="20"/>
          <w:szCs w:val="20"/>
        </w:rPr>
        <w:t xml:space="preserve"> </w:t>
      </w:r>
      <w:r w:rsidRPr="007B3DB7">
        <w:rPr>
          <w:rFonts w:ascii="Arial" w:hAnsi="Arial" w:cs="Arial"/>
          <w:sz w:val="20"/>
          <w:szCs w:val="20"/>
        </w:rPr>
        <w:t>gastos com pessoal utilizada pelo Governo do Estado e por esta Corte de Contas,</w:t>
      </w:r>
      <w:r>
        <w:rPr>
          <w:rFonts w:ascii="Arial" w:hAnsi="Arial" w:cs="Arial"/>
          <w:sz w:val="20"/>
          <w:szCs w:val="20"/>
        </w:rPr>
        <w:t xml:space="preserve"> </w:t>
      </w:r>
      <w:r w:rsidRPr="007B3DB7">
        <w:rPr>
          <w:rFonts w:ascii="Arial" w:hAnsi="Arial" w:cs="Arial"/>
          <w:sz w:val="20"/>
          <w:szCs w:val="20"/>
        </w:rPr>
        <w:t>observa-se que o percentual previsto no inc. II, do § 1°, do art. 59, da LC 101/00, resta</w:t>
      </w:r>
      <w:r>
        <w:rPr>
          <w:rFonts w:ascii="Arial" w:hAnsi="Arial" w:cs="Arial"/>
          <w:sz w:val="20"/>
          <w:szCs w:val="20"/>
        </w:rPr>
        <w:t xml:space="preserve"> </w:t>
      </w:r>
      <w:r w:rsidRPr="007B3DB7">
        <w:rPr>
          <w:rFonts w:ascii="Arial" w:hAnsi="Arial" w:cs="Arial"/>
          <w:sz w:val="20"/>
          <w:szCs w:val="20"/>
        </w:rPr>
        <w:t>atingido, mostrando-se inevitável a emissão do alerta.</w:t>
      </w:r>
    </w:p>
    <w:p w:rsidR="007B3DB7" w:rsidRPr="007B3DB7" w:rsidRDefault="007B3DB7" w:rsidP="00821F3A">
      <w:pPr>
        <w:autoSpaceDE w:val="0"/>
        <w:autoSpaceDN w:val="0"/>
        <w:adjustRightInd w:val="0"/>
        <w:spacing w:after="0"/>
        <w:jc w:val="both"/>
        <w:rPr>
          <w:rFonts w:ascii="Arial" w:hAnsi="Arial" w:cs="Arial"/>
          <w:sz w:val="20"/>
          <w:szCs w:val="20"/>
        </w:rPr>
      </w:pPr>
    </w:p>
    <w:p w:rsidR="007B3DB7" w:rsidRPr="007B3DB7" w:rsidRDefault="007B3DB7" w:rsidP="00821F3A">
      <w:pPr>
        <w:autoSpaceDE w:val="0"/>
        <w:autoSpaceDN w:val="0"/>
        <w:adjustRightInd w:val="0"/>
        <w:spacing w:after="0"/>
        <w:jc w:val="both"/>
        <w:rPr>
          <w:rFonts w:ascii="Arial" w:hAnsi="Arial" w:cs="Arial"/>
          <w:b/>
          <w:sz w:val="20"/>
          <w:szCs w:val="20"/>
        </w:rPr>
      </w:pPr>
      <w:r>
        <w:rPr>
          <w:rFonts w:ascii="Arial" w:hAnsi="Arial" w:cs="Arial"/>
          <w:sz w:val="20"/>
          <w:szCs w:val="20"/>
        </w:rPr>
        <w:t>Adota-se</w:t>
      </w:r>
      <w:r w:rsidRPr="007B3DB7">
        <w:rPr>
          <w:rFonts w:ascii="Arial" w:hAnsi="Arial" w:cs="Arial"/>
          <w:sz w:val="20"/>
          <w:szCs w:val="20"/>
        </w:rPr>
        <w:t xml:space="preserve">, por ora, os cálculos efetuados pela </w:t>
      </w:r>
      <w:r>
        <w:rPr>
          <w:rFonts w:ascii="Arial" w:hAnsi="Arial" w:cs="Arial"/>
          <w:sz w:val="20"/>
          <w:szCs w:val="20"/>
        </w:rPr>
        <w:t>unidade técnica</w:t>
      </w:r>
      <w:r w:rsidRPr="007B3DB7">
        <w:rPr>
          <w:rFonts w:ascii="Arial" w:hAnsi="Arial" w:cs="Arial"/>
          <w:sz w:val="20"/>
          <w:szCs w:val="20"/>
        </w:rPr>
        <w:t>, considerando que: (a) não foram trazidas justificativas para os cálculos que embasaram o RGF; (b) a LRF expressamente prevê a participação de</w:t>
      </w:r>
      <w:r>
        <w:rPr>
          <w:rFonts w:ascii="Arial" w:hAnsi="Arial" w:cs="Arial"/>
          <w:sz w:val="20"/>
          <w:szCs w:val="20"/>
        </w:rPr>
        <w:t xml:space="preserve"> </w:t>
      </w:r>
      <w:r w:rsidRPr="007B3DB7">
        <w:rPr>
          <w:rFonts w:ascii="Arial" w:hAnsi="Arial" w:cs="Arial"/>
          <w:sz w:val="20"/>
          <w:szCs w:val="20"/>
        </w:rPr>
        <w:t>empresas dependentes nos indicadores fiscais, assim como o cômputo de contratos de</w:t>
      </w:r>
      <w:r>
        <w:rPr>
          <w:rFonts w:ascii="Arial" w:hAnsi="Arial" w:cs="Arial"/>
          <w:sz w:val="20"/>
          <w:szCs w:val="20"/>
        </w:rPr>
        <w:t xml:space="preserve"> </w:t>
      </w:r>
      <w:r w:rsidRPr="007B3DB7">
        <w:rPr>
          <w:rFonts w:ascii="Arial" w:hAnsi="Arial" w:cs="Arial"/>
          <w:sz w:val="20"/>
          <w:szCs w:val="20"/>
        </w:rPr>
        <w:t>terceirização entre as despesas com pessoal4; e (c) a metodologia utilizada encontra</w:t>
      </w:r>
      <w:r>
        <w:rPr>
          <w:rFonts w:ascii="Arial" w:hAnsi="Arial" w:cs="Arial"/>
          <w:sz w:val="20"/>
          <w:szCs w:val="20"/>
        </w:rPr>
        <w:t xml:space="preserve"> </w:t>
      </w:r>
      <w:r w:rsidRPr="007B3DB7">
        <w:rPr>
          <w:rFonts w:ascii="Arial" w:hAnsi="Arial" w:cs="Arial"/>
          <w:sz w:val="20"/>
          <w:szCs w:val="20"/>
        </w:rPr>
        <w:t>total amparo nas disposições da Instrução Normativa 56/2011 (com alterações</w:t>
      </w:r>
      <w:r>
        <w:rPr>
          <w:rFonts w:ascii="Arial" w:hAnsi="Arial" w:cs="Arial"/>
          <w:sz w:val="20"/>
          <w:szCs w:val="20"/>
        </w:rPr>
        <w:t xml:space="preserve"> </w:t>
      </w:r>
      <w:r w:rsidRPr="007B3DB7">
        <w:rPr>
          <w:rFonts w:ascii="Arial" w:hAnsi="Arial" w:cs="Arial"/>
          <w:sz w:val="20"/>
          <w:szCs w:val="20"/>
        </w:rPr>
        <w:t>promovidas pela Instrução Normativa 59/2011).</w:t>
      </w:r>
    </w:p>
    <w:p w:rsidR="007B3DB7" w:rsidRDefault="007B3DB7" w:rsidP="00821F3A">
      <w:pPr>
        <w:autoSpaceDE w:val="0"/>
        <w:autoSpaceDN w:val="0"/>
        <w:adjustRightInd w:val="0"/>
        <w:spacing w:after="0"/>
        <w:jc w:val="both"/>
        <w:rPr>
          <w:rFonts w:ascii="Arial" w:hAnsi="Arial" w:cs="Arial"/>
          <w:b/>
          <w:color w:val="000000"/>
          <w:sz w:val="20"/>
          <w:szCs w:val="20"/>
          <w:shd w:val="clear" w:color="auto" w:fill="FFFFFF"/>
        </w:rPr>
      </w:pPr>
    </w:p>
    <w:p w:rsidR="007B3DB7" w:rsidRDefault="007B3DB7" w:rsidP="00821F3A">
      <w:pPr>
        <w:autoSpaceDE w:val="0"/>
        <w:autoSpaceDN w:val="0"/>
        <w:adjustRightInd w:val="0"/>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Processo n° 243401/18 - </w:t>
      </w:r>
      <w:hyperlink r:id="rId15" w:history="1">
        <w:r w:rsidRPr="00634A9A">
          <w:rPr>
            <w:rStyle w:val="Hyperlink"/>
            <w:rFonts w:ascii="Arial" w:hAnsi="Arial" w:cs="Arial"/>
            <w:sz w:val="20"/>
            <w:szCs w:val="20"/>
            <w:shd w:val="clear" w:color="auto" w:fill="FFFFFF"/>
          </w:rPr>
          <w:t>Acórdão n° 2137/18 - Tribunal Pleno</w:t>
        </w:r>
      </w:hyperlink>
      <w:r>
        <w:rPr>
          <w:rFonts w:ascii="Arial" w:hAnsi="Arial" w:cs="Arial"/>
          <w:color w:val="000000"/>
          <w:sz w:val="20"/>
          <w:szCs w:val="20"/>
          <w:shd w:val="clear" w:color="auto" w:fill="FFFFFF"/>
        </w:rPr>
        <w:t xml:space="preserve"> </w:t>
      </w:r>
      <w:r w:rsidR="00DF0771">
        <w:rPr>
          <w:rFonts w:ascii="Arial" w:hAnsi="Arial" w:cs="Arial"/>
          <w:color w:val="000000"/>
          <w:sz w:val="20"/>
          <w:szCs w:val="20"/>
          <w:shd w:val="clear" w:color="auto" w:fill="FFFFFF"/>
        </w:rPr>
        <w:t>-</w:t>
      </w:r>
      <w:r>
        <w:rPr>
          <w:rFonts w:ascii="Arial" w:hAnsi="Arial" w:cs="Arial"/>
          <w:color w:val="000000"/>
          <w:sz w:val="20"/>
          <w:szCs w:val="20"/>
          <w:shd w:val="clear" w:color="auto" w:fill="FFFFFF"/>
        </w:rPr>
        <w:t xml:space="preserve"> Rel. Cons. Fernando Augusto Mello Guimarães.</w:t>
      </w:r>
    </w:p>
    <w:p w:rsidR="00074260" w:rsidRDefault="00074260" w:rsidP="00821F3A">
      <w:pPr>
        <w:autoSpaceDE w:val="0"/>
        <w:autoSpaceDN w:val="0"/>
        <w:adjustRightInd w:val="0"/>
        <w:spacing w:after="0"/>
        <w:jc w:val="both"/>
        <w:rPr>
          <w:rFonts w:ascii="Arial" w:hAnsi="Arial" w:cs="Arial"/>
          <w:color w:val="000000"/>
          <w:sz w:val="20"/>
          <w:szCs w:val="20"/>
          <w:shd w:val="clear" w:color="auto" w:fill="FFFFFF"/>
        </w:rPr>
      </w:pPr>
    </w:p>
    <w:p w:rsidR="00074260" w:rsidRPr="00287103" w:rsidRDefault="00283D94" w:rsidP="00821F3A">
      <w:pPr>
        <w:autoSpaceDE w:val="0"/>
        <w:autoSpaceDN w:val="0"/>
        <w:adjustRightInd w:val="0"/>
        <w:spacing w:after="0"/>
        <w:jc w:val="both"/>
        <w:rPr>
          <w:rFonts w:ascii="Arial" w:hAnsi="Arial" w:cs="Arial"/>
          <w:b/>
          <w:sz w:val="20"/>
          <w:szCs w:val="20"/>
        </w:rPr>
      </w:pPr>
      <w:r>
        <w:rPr>
          <w:rFonts w:ascii="Arial" w:hAnsi="Arial" w:cs="Arial"/>
          <w:b/>
          <w:sz w:val="20"/>
          <w:szCs w:val="20"/>
        </w:rPr>
        <w:t xml:space="preserve">9. </w:t>
      </w:r>
      <w:r w:rsidR="00074260" w:rsidRPr="00287103">
        <w:rPr>
          <w:rFonts w:ascii="Arial" w:hAnsi="Arial" w:cs="Arial"/>
          <w:b/>
          <w:sz w:val="20"/>
          <w:szCs w:val="20"/>
        </w:rPr>
        <w:t>Consulta. Serviços de saúde de urgência e emergência. Inexistência de hospital público municipal. Único estabelecimento local de propriedade do vice-prefeito. Contratação mediante inexigibilidade de licitação. Possibilidade.</w:t>
      </w:r>
    </w:p>
    <w:p w:rsidR="00074260" w:rsidRDefault="00074260" w:rsidP="00821F3A">
      <w:pPr>
        <w:autoSpaceDE w:val="0"/>
        <w:autoSpaceDN w:val="0"/>
        <w:adjustRightInd w:val="0"/>
        <w:spacing w:after="0"/>
        <w:jc w:val="both"/>
        <w:rPr>
          <w:rFonts w:ascii="Arial" w:hAnsi="Arial" w:cs="Arial"/>
          <w:sz w:val="20"/>
          <w:szCs w:val="20"/>
        </w:rPr>
      </w:pPr>
    </w:p>
    <w:p w:rsidR="00385686" w:rsidRPr="002E29FA" w:rsidRDefault="002E29FA" w:rsidP="00821F3A">
      <w:pPr>
        <w:autoSpaceDE w:val="0"/>
        <w:autoSpaceDN w:val="0"/>
        <w:adjustRightInd w:val="0"/>
        <w:spacing w:after="0"/>
        <w:jc w:val="both"/>
        <w:rPr>
          <w:rFonts w:ascii="Arial" w:hAnsi="Arial" w:cs="Arial"/>
          <w:sz w:val="20"/>
          <w:szCs w:val="20"/>
        </w:rPr>
      </w:pPr>
      <w:r w:rsidRPr="002E29FA">
        <w:rPr>
          <w:rFonts w:ascii="Arial" w:hAnsi="Arial" w:cs="Arial"/>
          <w:sz w:val="20"/>
          <w:szCs w:val="20"/>
        </w:rPr>
        <w:t xml:space="preserve">O </w:t>
      </w:r>
      <w:r w:rsidR="00385686" w:rsidRPr="002E29FA">
        <w:rPr>
          <w:rFonts w:ascii="Arial" w:hAnsi="Arial" w:cs="Arial"/>
          <w:sz w:val="20"/>
          <w:szCs w:val="20"/>
        </w:rPr>
        <w:t>Município pode proceder à contratação, mediante inexigibilidade de licitação,</w:t>
      </w:r>
      <w:r>
        <w:rPr>
          <w:rFonts w:ascii="Arial" w:hAnsi="Arial" w:cs="Arial"/>
          <w:sz w:val="20"/>
          <w:szCs w:val="20"/>
        </w:rPr>
        <w:t xml:space="preserve"> </w:t>
      </w:r>
      <w:r w:rsidR="00385686" w:rsidRPr="002E29FA">
        <w:rPr>
          <w:rFonts w:ascii="Arial" w:hAnsi="Arial" w:cs="Arial"/>
          <w:sz w:val="20"/>
          <w:szCs w:val="20"/>
        </w:rPr>
        <w:t>do único hospital instalado em seu território, ainda que de propriedade do vice</w:t>
      </w:r>
      <w:r w:rsidRPr="002E29FA">
        <w:rPr>
          <w:rFonts w:ascii="Arial" w:hAnsi="Arial" w:cs="Arial"/>
          <w:sz w:val="20"/>
          <w:szCs w:val="20"/>
        </w:rPr>
        <w:t>-</w:t>
      </w:r>
      <w:r w:rsidR="00385686" w:rsidRPr="002E29FA">
        <w:rPr>
          <w:rFonts w:ascii="Arial" w:hAnsi="Arial" w:cs="Arial"/>
          <w:sz w:val="20"/>
          <w:szCs w:val="20"/>
        </w:rPr>
        <w:t>prefeito</w:t>
      </w:r>
      <w:r w:rsidRPr="002E29FA">
        <w:rPr>
          <w:rFonts w:ascii="Arial" w:hAnsi="Arial" w:cs="Arial"/>
          <w:sz w:val="20"/>
          <w:szCs w:val="20"/>
        </w:rPr>
        <w:t xml:space="preserve"> </w:t>
      </w:r>
      <w:r w:rsidR="00385686" w:rsidRPr="002E29FA">
        <w:rPr>
          <w:rFonts w:ascii="Arial" w:hAnsi="Arial" w:cs="Arial"/>
          <w:sz w:val="20"/>
          <w:szCs w:val="20"/>
        </w:rPr>
        <w:t>municipal, para prestação de serviços de urgência e emergência à</w:t>
      </w:r>
      <w:r w:rsidRPr="002E29FA">
        <w:rPr>
          <w:rFonts w:ascii="Arial" w:hAnsi="Arial" w:cs="Arial"/>
          <w:sz w:val="20"/>
          <w:szCs w:val="20"/>
        </w:rPr>
        <w:t xml:space="preserve"> </w:t>
      </w:r>
      <w:r w:rsidR="00385686" w:rsidRPr="002E29FA">
        <w:rPr>
          <w:rFonts w:ascii="Arial" w:hAnsi="Arial" w:cs="Arial"/>
          <w:sz w:val="20"/>
          <w:szCs w:val="20"/>
        </w:rPr>
        <w:t>população local</w:t>
      </w:r>
      <w:r w:rsidRPr="002E29FA">
        <w:rPr>
          <w:rFonts w:ascii="Arial" w:hAnsi="Arial" w:cs="Arial"/>
          <w:sz w:val="20"/>
          <w:szCs w:val="20"/>
        </w:rPr>
        <w:t>.</w:t>
      </w:r>
    </w:p>
    <w:p w:rsidR="00074260" w:rsidRDefault="00074260" w:rsidP="00821F3A">
      <w:pPr>
        <w:autoSpaceDE w:val="0"/>
        <w:autoSpaceDN w:val="0"/>
        <w:adjustRightInd w:val="0"/>
        <w:spacing w:after="0"/>
        <w:jc w:val="both"/>
        <w:rPr>
          <w:rFonts w:ascii="Arial" w:hAnsi="Arial" w:cs="Arial"/>
          <w:color w:val="000000"/>
          <w:sz w:val="20"/>
          <w:szCs w:val="20"/>
          <w:shd w:val="clear" w:color="auto" w:fill="FFFFFF"/>
        </w:rPr>
      </w:pPr>
    </w:p>
    <w:p w:rsidR="002E29FA" w:rsidRPr="002E29FA" w:rsidRDefault="002E29FA" w:rsidP="00821F3A">
      <w:pPr>
        <w:autoSpaceDE w:val="0"/>
        <w:autoSpaceDN w:val="0"/>
        <w:adjustRightInd w:val="0"/>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Processo n° 112974/17 - </w:t>
      </w:r>
      <w:hyperlink r:id="rId16" w:history="1">
        <w:r w:rsidRPr="00525577">
          <w:rPr>
            <w:rStyle w:val="Hyperlink"/>
            <w:rFonts w:ascii="Arial" w:hAnsi="Arial" w:cs="Arial"/>
            <w:sz w:val="20"/>
            <w:szCs w:val="20"/>
            <w:shd w:val="clear" w:color="auto" w:fill="FFFFFF"/>
          </w:rPr>
          <w:t>Acórdão n° 2146/18 - Tribunal Pleno</w:t>
        </w:r>
      </w:hyperlink>
      <w:r>
        <w:rPr>
          <w:rFonts w:ascii="Arial" w:hAnsi="Arial" w:cs="Arial"/>
          <w:color w:val="000000"/>
          <w:sz w:val="20"/>
          <w:szCs w:val="20"/>
          <w:shd w:val="clear" w:color="auto" w:fill="FFFFFF"/>
        </w:rPr>
        <w:t xml:space="preserve"> - Rel. Cons. Ivan </w:t>
      </w:r>
      <w:proofErr w:type="spellStart"/>
      <w:r>
        <w:rPr>
          <w:rFonts w:ascii="Arial" w:hAnsi="Arial" w:cs="Arial"/>
          <w:color w:val="000000"/>
          <w:sz w:val="20"/>
          <w:szCs w:val="20"/>
          <w:shd w:val="clear" w:color="auto" w:fill="FFFFFF"/>
        </w:rPr>
        <w:t>Lelis</w:t>
      </w:r>
      <w:proofErr w:type="spellEnd"/>
      <w:r>
        <w:rPr>
          <w:rFonts w:ascii="Arial" w:hAnsi="Arial" w:cs="Arial"/>
          <w:color w:val="000000"/>
          <w:sz w:val="20"/>
          <w:szCs w:val="20"/>
          <w:shd w:val="clear" w:color="auto" w:fill="FFFFFF"/>
        </w:rPr>
        <w:t xml:space="preserve"> Bonilha.</w:t>
      </w:r>
    </w:p>
    <w:p w:rsidR="007B3DB7" w:rsidRDefault="007B3DB7" w:rsidP="00816942">
      <w:pPr>
        <w:autoSpaceDE w:val="0"/>
        <w:autoSpaceDN w:val="0"/>
        <w:adjustRightInd w:val="0"/>
        <w:spacing w:after="0"/>
        <w:jc w:val="both"/>
        <w:rPr>
          <w:rFonts w:ascii="Arial" w:hAnsi="Arial" w:cs="Arial"/>
          <w:color w:val="000000"/>
          <w:sz w:val="20"/>
          <w:szCs w:val="20"/>
          <w:shd w:val="clear" w:color="auto" w:fill="FFFFFF"/>
        </w:rPr>
      </w:pPr>
    </w:p>
    <w:p w:rsidR="007C37A7" w:rsidRPr="007C37A7" w:rsidRDefault="00283D94" w:rsidP="00821F3A">
      <w:pPr>
        <w:autoSpaceDE w:val="0"/>
        <w:autoSpaceDN w:val="0"/>
        <w:adjustRightInd w:val="0"/>
        <w:spacing w:after="0"/>
        <w:jc w:val="both"/>
        <w:rPr>
          <w:rFonts w:ascii="Arial,Italic" w:hAnsi="Arial,Italic" w:cs="Arial,Italic"/>
          <w:b/>
          <w:iCs/>
          <w:sz w:val="20"/>
          <w:szCs w:val="20"/>
        </w:rPr>
      </w:pPr>
      <w:r>
        <w:rPr>
          <w:rFonts w:ascii="Arial,Italic" w:hAnsi="Arial,Italic" w:cs="Arial,Italic"/>
          <w:b/>
          <w:iCs/>
          <w:sz w:val="20"/>
          <w:szCs w:val="20"/>
        </w:rPr>
        <w:t xml:space="preserve">10. </w:t>
      </w:r>
      <w:r w:rsidR="007C37A7" w:rsidRPr="007C37A7">
        <w:rPr>
          <w:rFonts w:ascii="Arial,Italic" w:hAnsi="Arial,Italic" w:cs="Arial,Italic"/>
          <w:b/>
          <w:iCs/>
          <w:sz w:val="20"/>
          <w:szCs w:val="20"/>
        </w:rPr>
        <w:t>Consulta. Possibilidade de licitações exclusivas a ME e EPP para alienação de bens públicos. Realização de pesquisa de preços exclusivamente com orçamentos de ME e EPP. Regime jurídico diferenciado. Impossibilidade de extensão do regime de tratamento favorecido, diferenciado e simplificado da LC nº 123/06. Resposta negativa.</w:t>
      </w:r>
    </w:p>
    <w:p w:rsidR="007C37A7" w:rsidRDefault="007C37A7" w:rsidP="00821F3A">
      <w:pPr>
        <w:autoSpaceDE w:val="0"/>
        <w:autoSpaceDN w:val="0"/>
        <w:adjustRightInd w:val="0"/>
        <w:spacing w:after="0"/>
        <w:jc w:val="both"/>
        <w:rPr>
          <w:rFonts w:ascii="Arial,Italic" w:hAnsi="Arial,Italic" w:cs="Arial,Italic"/>
          <w:iCs/>
          <w:sz w:val="20"/>
          <w:szCs w:val="20"/>
        </w:rPr>
      </w:pPr>
    </w:p>
    <w:p w:rsidR="007C37A7" w:rsidRDefault="00A01413" w:rsidP="00821F3A">
      <w:pPr>
        <w:autoSpaceDE w:val="0"/>
        <w:autoSpaceDN w:val="0"/>
        <w:adjustRightInd w:val="0"/>
        <w:spacing w:after="0"/>
        <w:jc w:val="both"/>
        <w:rPr>
          <w:rFonts w:ascii="Arial" w:hAnsi="Arial" w:cs="Arial"/>
          <w:sz w:val="20"/>
          <w:szCs w:val="20"/>
        </w:rPr>
      </w:pPr>
      <w:r w:rsidRPr="00A01413">
        <w:rPr>
          <w:rFonts w:ascii="Arial" w:hAnsi="Arial" w:cs="Arial"/>
          <w:sz w:val="20"/>
          <w:szCs w:val="20"/>
        </w:rPr>
        <w:t>Responder</w:t>
      </w:r>
      <w:r>
        <w:rPr>
          <w:rFonts w:ascii="Arial" w:hAnsi="Arial" w:cs="Arial"/>
          <w:sz w:val="20"/>
          <w:szCs w:val="20"/>
        </w:rPr>
        <w:t xml:space="preserve"> </w:t>
      </w:r>
      <w:r w:rsidRPr="00A01413">
        <w:rPr>
          <w:rFonts w:ascii="Arial" w:hAnsi="Arial" w:cs="Arial"/>
          <w:sz w:val="20"/>
          <w:szCs w:val="20"/>
        </w:rPr>
        <w:t>negativamente quanto aos</w:t>
      </w:r>
      <w:r>
        <w:rPr>
          <w:rFonts w:ascii="Arial" w:hAnsi="Arial" w:cs="Arial"/>
          <w:sz w:val="20"/>
          <w:szCs w:val="20"/>
        </w:rPr>
        <w:t xml:space="preserve"> </w:t>
      </w:r>
      <w:r w:rsidRPr="00A01413">
        <w:rPr>
          <w:rFonts w:ascii="Arial" w:hAnsi="Arial" w:cs="Arial"/>
          <w:sz w:val="20"/>
          <w:szCs w:val="20"/>
        </w:rPr>
        <w:t xml:space="preserve">dois quesitos, nos seguintes termos: </w:t>
      </w:r>
      <w:r w:rsidRPr="00A01413">
        <w:rPr>
          <w:rFonts w:ascii="Arial" w:hAnsi="Arial" w:cs="Arial"/>
          <w:bCs/>
          <w:sz w:val="20"/>
          <w:szCs w:val="20"/>
        </w:rPr>
        <w:t>a)</w:t>
      </w:r>
      <w:r w:rsidRPr="00A01413">
        <w:rPr>
          <w:rFonts w:ascii="Arial" w:hAnsi="Arial" w:cs="Arial"/>
          <w:b/>
          <w:bCs/>
          <w:sz w:val="20"/>
          <w:szCs w:val="20"/>
        </w:rPr>
        <w:t xml:space="preserve"> </w:t>
      </w:r>
      <w:r w:rsidRPr="00A01413">
        <w:rPr>
          <w:rFonts w:ascii="Arial" w:hAnsi="Arial" w:cs="Arial"/>
          <w:sz w:val="20"/>
          <w:szCs w:val="20"/>
        </w:rPr>
        <w:t>a legislação de licitações e contratos não</w:t>
      </w:r>
      <w:r>
        <w:rPr>
          <w:rFonts w:ascii="Arial" w:hAnsi="Arial" w:cs="Arial"/>
          <w:sz w:val="20"/>
          <w:szCs w:val="20"/>
        </w:rPr>
        <w:t xml:space="preserve"> </w:t>
      </w:r>
      <w:r w:rsidRPr="00A01413">
        <w:rPr>
          <w:rFonts w:ascii="Arial" w:hAnsi="Arial" w:cs="Arial"/>
          <w:sz w:val="20"/>
          <w:szCs w:val="20"/>
        </w:rPr>
        <w:t xml:space="preserve">autoriza a realização de processos licitatórios exclusivos a </w:t>
      </w:r>
      <w:r w:rsidRPr="00A01413">
        <w:rPr>
          <w:rFonts w:ascii="Arial" w:hAnsi="Arial" w:cs="Arial"/>
          <w:sz w:val="20"/>
          <w:szCs w:val="20"/>
        </w:rPr>
        <w:lastRenderedPageBreak/>
        <w:t>microempresas e</w:t>
      </w:r>
      <w:r>
        <w:rPr>
          <w:rFonts w:ascii="Arial" w:hAnsi="Arial" w:cs="Arial"/>
          <w:sz w:val="20"/>
          <w:szCs w:val="20"/>
        </w:rPr>
        <w:t xml:space="preserve"> </w:t>
      </w:r>
      <w:r w:rsidRPr="00A01413">
        <w:rPr>
          <w:rFonts w:ascii="Arial" w:hAnsi="Arial" w:cs="Arial"/>
          <w:sz w:val="20"/>
          <w:szCs w:val="20"/>
        </w:rPr>
        <w:t>empresas de pequeno porte para o fim de alienação de bens públicos, sob pena de</w:t>
      </w:r>
      <w:r>
        <w:rPr>
          <w:rFonts w:ascii="Arial" w:hAnsi="Arial" w:cs="Arial"/>
          <w:sz w:val="20"/>
          <w:szCs w:val="20"/>
        </w:rPr>
        <w:t xml:space="preserve"> </w:t>
      </w:r>
      <w:r w:rsidRPr="00A01413">
        <w:rPr>
          <w:rFonts w:ascii="Arial" w:hAnsi="Arial" w:cs="Arial"/>
          <w:sz w:val="20"/>
          <w:szCs w:val="20"/>
        </w:rPr>
        <w:t xml:space="preserve">violação dos princípios da igualdade e isonomia entre os licitantes; </w:t>
      </w:r>
      <w:r w:rsidRPr="00A01413">
        <w:rPr>
          <w:rFonts w:ascii="Arial" w:hAnsi="Arial" w:cs="Arial"/>
          <w:bCs/>
          <w:sz w:val="20"/>
          <w:szCs w:val="20"/>
        </w:rPr>
        <w:t>b)</w:t>
      </w:r>
      <w:r w:rsidRPr="00A01413">
        <w:rPr>
          <w:rFonts w:ascii="Arial" w:hAnsi="Arial" w:cs="Arial"/>
          <w:b/>
          <w:bCs/>
          <w:sz w:val="20"/>
          <w:szCs w:val="20"/>
        </w:rPr>
        <w:t xml:space="preserve"> </w:t>
      </w:r>
      <w:r w:rsidRPr="00A01413">
        <w:rPr>
          <w:rFonts w:ascii="Arial" w:hAnsi="Arial" w:cs="Arial"/>
          <w:sz w:val="20"/>
          <w:szCs w:val="20"/>
        </w:rPr>
        <w:t>inexiste</w:t>
      </w:r>
      <w:r>
        <w:rPr>
          <w:rFonts w:ascii="Arial" w:hAnsi="Arial" w:cs="Arial"/>
          <w:sz w:val="20"/>
          <w:szCs w:val="20"/>
        </w:rPr>
        <w:t xml:space="preserve"> </w:t>
      </w:r>
      <w:r w:rsidRPr="00A01413">
        <w:rPr>
          <w:rFonts w:ascii="Arial" w:hAnsi="Arial" w:cs="Arial"/>
          <w:sz w:val="20"/>
          <w:szCs w:val="20"/>
        </w:rPr>
        <w:t>autorização legal para que a Administração restrinja, mesmo em licitações</w:t>
      </w:r>
      <w:r>
        <w:rPr>
          <w:rFonts w:ascii="Arial" w:hAnsi="Arial" w:cs="Arial"/>
          <w:sz w:val="20"/>
          <w:szCs w:val="20"/>
        </w:rPr>
        <w:t xml:space="preserve"> </w:t>
      </w:r>
      <w:r w:rsidRPr="00A01413">
        <w:rPr>
          <w:rFonts w:ascii="Arial" w:hAnsi="Arial" w:cs="Arial"/>
          <w:sz w:val="20"/>
          <w:szCs w:val="20"/>
        </w:rPr>
        <w:t>exclusivas, a busca por orçamentos apenas de microempresas e empresas de</w:t>
      </w:r>
      <w:r>
        <w:rPr>
          <w:rFonts w:ascii="Arial" w:hAnsi="Arial" w:cs="Arial"/>
          <w:sz w:val="20"/>
          <w:szCs w:val="20"/>
        </w:rPr>
        <w:t xml:space="preserve"> </w:t>
      </w:r>
      <w:r w:rsidRPr="00A01413">
        <w:rPr>
          <w:rFonts w:ascii="Arial" w:hAnsi="Arial" w:cs="Arial"/>
          <w:sz w:val="20"/>
          <w:szCs w:val="20"/>
        </w:rPr>
        <w:t xml:space="preserve">pequeno porte, havendo a obrigatoriedade de se realizar uma </w:t>
      </w:r>
      <w:r w:rsidRPr="00A01413">
        <w:rPr>
          <w:rFonts w:ascii="Arial" w:hAnsi="Arial" w:cs="Arial"/>
          <w:i/>
          <w:sz w:val="20"/>
          <w:szCs w:val="20"/>
        </w:rPr>
        <w:t>“ampla pesquisa de mercado</w:t>
      </w:r>
      <w:r w:rsidRPr="00A01413">
        <w:rPr>
          <w:rFonts w:ascii="Arial" w:hAnsi="Arial" w:cs="Arial"/>
          <w:sz w:val="20"/>
          <w:szCs w:val="20"/>
        </w:rPr>
        <w:t>”.</w:t>
      </w:r>
    </w:p>
    <w:p w:rsidR="00A01413" w:rsidRDefault="00A01413" w:rsidP="00A01413">
      <w:pPr>
        <w:autoSpaceDE w:val="0"/>
        <w:autoSpaceDN w:val="0"/>
        <w:adjustRightInd w:val="0"/>
        <w:spacing w:after="0" w:line="240" w:lineRule="auto"/>
        <w:jc w:val="both"/>
        <w:rPr>
          <w:rFonts w:ascii="Arial" w:hAnsi="Arial" w:cs="Arial"/>
          <w:sz w:val="20"/>
          <w:szCs w:val="20"/>
        </w:rPr>
      </w:pPr>
    </w:p>
    <w:p w:rsidR="00A01413" w:rsidRDefault="00A01413" w:rsidP="00A0141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Processo n° 1031749/16 - </w:t>
      </w:r>
      <w:hyperlink r:id="rId17" w:history="1">
        <w:r w:rsidRPr="008332D4">
          <w:rPr>
            <w:rStyle w:val="Hyperlink"/>
            <w:rFonts w:ascii="Arial" w:hAnsi="Arial" w:cs="Arial"/>
            <w:sz w:val="20"/>
            <w:szCs w:val="20"/>
          </w:rPr>
          <w:t>Acórdão n° 2159/18 - Tribunal Pleno</w:t>
        </w:r>
      </w:hyperlink>
      <w:r>
        <w:rPr>
          <w:rFonts w:ascii="Arial" w:hAnsi="Arial" w:cs="Arial"/>
          <w:sz w:val="20"/>
          <w:szCs w:val="20"/>
        </w:rPr>
        <w:t xml:space="preserve"> - Rel. Cons. Ivens Zschoerper Linhares. </w:t>
      </w:r>
    </w:p>
    <w:p w:rsidR="002A155D" w:rsidRDefault="002A155D" w:rsidP="00A01413">
      <w:pPr>
        <w:autoSpaceDE w:val="0"/>
        <w:autoSpaceDN w:val="0"/>
        <w:adjustRightInd w:val="0"/>
        <w:spacing w:after="0" w:line="240" w:lineRule="auto"/>
        <w:jc w:val="both"/>
        <w:rPr>
          <w:rFonts w:ascii="Arial" w:hAnsi="Arial" w:cs="Arial"/>
          <w:sz w:val="20"/>
          <w:szCs w:val="20"/>
        </w:rPr>
      </w:pPr>
    </w:p>
    <w:p w:rsidR="002A155D" w:rsidRDefault="00283D94" w:rsidP="002A155D">
      <w:pPr>
        <w:autoSpaceDE w:val="0"/>
        <w:autoSpaceDN w:val="0"/>
        <w:adjustRightInd w:val="0"/>
        <w:spacing w:after="0"/>
        <w:jc w:val="both"/>
        <w:rPr>
          <w:rFonts w:ascii="Arial" w:hAnsi="Arial" w:cs="Arial"/>
          <w:b/>
          <w:sz w:val="20"/>
          <w:szCs w:val="20"/>
        </w:rPr>
      </w:pPr>
      <w:r>
        <w:rPr>
          <w:rFonts w:ascii="Arial" w:hAnsi="Arial" w:cs="Arial"/>
          <w:b/>
          <w:sz w:val="20"/>
          <w:szCs w:val="20"/>
        </w:rPr>
        <w:t xml:space="preserve">11. </w:t>
      </w:r>
      <w:r w:rsidR="002A155D" w:rsidRPr="005A3FD3">
        <w:rPr>
          <w:rFonts w:ascii="Arial" w:hAnsi="Arial" w:cs="Arial"/>
          <w:b/>
          <w:sz w:val="20"/>
          <w:szCs w:val="20"/>
        </w:rPr>
        <w:t xml:space="preserve">Consulta. Dispensa de licitação. Administração indireta. Requisitos. Art. 24, VIII, da Lei n.º 8.666/93. </w:t>
      </w:r>
    </w:p>
    <w:p w:rsidR="002A155D" w:rsidRPr="005A3FD3" w:rsidRDefault="002A155D" w:rsidP="002A155D">
      <w:pPr>
        <w:autoSpaceDE w:val="0"/>
        <w:autoSpaceDN w:val="0"/>
        <w:adjustRightInd w:val="0"/>
        <w:spacing w:after="0"/>
        <w:jc w:val="both"/>
        <w:rPr>
          <w:rFonts w:ascii="Arial" w:hAnsi="Arial" w:cs="Arial"/>
          <w:b/>
          <w:sz w:val="20"/>
          <w:szCs w:val="20"/>
        </w:rPr>
      </w:pPr>
    </w:p>
    <w:p w:rsidR="002A155D" w:rsidRDefault="002A155D" w:rsidP="002A155D">
      <w:pPr>
        <w:autoSpaceDE w:val="0"/>
        <w:autoSpaceDN w:val="0"/>
        <w:adjustRightInd w:val="0"/>
        <w:spacing w:after="0"/>
        <w:jc w:val="both"/>
        <w:rPr>
          <w:rFonts w:ascii="Arial" w:hAnsi="Arial" w:cs="Arial"/>
          <w:i/>
          <w:sz w:val="20"/>
          <w:szCs w:val="20"/>
        </w:rPr>
      </w:pPr>
      <w:r w:rsidRPr="005A3FD3">
        <w:rPr>
          <w:rFonts w:ascii="Arial" w:hAnsi="Arial" w:cs="Arial"/>
          <w:i/>
          <w:sz w:val="20"/>
          <w:szCs w:val="20"/>
        </w:rPr>
        <w:t>1) As prefeituras municipais do Estado do Paraná, autarquias e fundações de direito público, bem como os órgãos dos poderes executivo, legislativo e judiciário do Estado do Paraná, incluindo o Ministério Público e Tribunal de Contas podem contratar órgão ou entidade que integre a Administração Pública, de qualquer esfera de governo, criada especificamente para o objeto do contrato, com dispensa de licitação?</w:t>
      </w:r>
    </w:p>
    <w:p w:rsidR="002A155D" w:rsidRPr="005A3FD3" w:rsidRDefault="002A155D" w:rsidP="002A155D">
      <w:pPr>
        <w:autoSpaceDE w:val="0"/>
        <w:autoSpaceDN w:val="0"/>
        <w:adjustRightInd w:val="0"/>
        <w:spacing w:after="0"/>
        <w:jc w:val="both"/>
        <w:rPr>
          <w:rFonts w:ascii="Arial" w:hAnsi="Arial" w:cs="Arial"/>
          <w:i/>
          <w:sz w:val="20"/>
          <w:szCs w:val="20"/>
        </w:rPr>
      </w:pPr>
    </w:p>
    <w:p w:rsidR="002A155D" w:rsidRDefault="002A155D" w:rsidP="002A155D">
      <w:pPr>
        <w:autoSpaceDE w:val="0"/>
        <w:autoSpaceDN w:val="0"/>
        <w:adjustRightInd w:val="0"/>
        <w:spacing w:after="0"/>
        <w:jc w:val="both"/>
        <w:rPr>
          <w:rFonts w:ascii="Arial" w:hAnsi="Arial" w:cs="Arial"/>
          <w:sz w:val="20"/>
          <w:szCs w:val="20"/>
        </w:rPr>
      </w:pPr>
      <w:r w:rsidRPr="005A3FD3">
        <w:rPr>
          <w:rFonts w:ascii="Arial" w:hAnsi="Arial" w:cs="Arial"/>
          <w:sz w:val="20"/>
          <w:szCs w:val="20"/>
        </w:rPr>
        <w:t>Em relação à questão I formulada pelo consulente, a pessoa jurídica de direito público interno pode contratar por meio de dispensa de licitação órgão ou entidade que integre a Administração Pública, criada especificamente para o fim específico de fornecer bens e serviços referentes ao objeto do contratação, em data ant</w:t>
      </w:r>
      <w:r>
        <w:rPr>
          <w:rFonts w:ascii="Arial" w:hAnsi="Arial" w:cs="Arial"/>
          <w:sz w:val="20"/>
          <w:szCs w:val="20"/>
        </w:rPr>
        <w:t>erior à vigência da Lei n.º 8.6</w:t>
      </w:r>
      <w:r w:rsidRPr="005A3FD3">
        <w:rPr>
          <w:rFonts w:ascii="Arial" w:hAnsi="Arial" w:cs="Arial"/>
          <w:sz w:val="20"/>
          <w:szCs w:val="20"/>
        </w:rPr>
        <w:t>66/1993, não atuante no mercado, desde que o preço contratado seja compatível com o praticado no mercado, com respaldo no art. 24, VIII, da Lei n.º 8.666/1993 e com o disposto no item 2.1, supra;</w:t>
      </w:r>
    </w:p>
    <w:p w:rsidR="002A155D" w:rsidRDefault="002A155D" w:rsidP="002A155D">
      <w:pPr>
        <w:autoSpaceDE w:val="0"/>
        <w:autoSpaceDN w:val="0"/>
        <w:adjustRightInd w:val="0"/>
        <w:spacing w:after="0"/>
        <w:jc w:val="both"/>
        <w:rPr>
          <w:rFonts w:ascii="Arial" w:hAnsi="Arial" w:cs="Arial"/>
          <w:sz w:val="20"/>
          <w:szCs w:val="20"/>
        </w:rPr>
      </w:pPr>
    </w:p>
    <w:p w:rsidR="002A155D" w:rsidRDefault="002A155D" w:rsidP="002A155D">
      <w:pPr>
        <w:autoSpaceDE w:val="0"/>
        <w:autoSpaceDN w:val="0"/>
        <w:adjustRightInd w:val="0"/>
        <w:spacing w:after="0"/>
        <w:jc w:val="both"/>
        <w:rPr>
          <w:rFonts w:ascii="Arial" w:hAnsi="Arial" w:cs="Arial"/>
          <w:i/>
          <w:sz w:val="20"/>
          <w:szCs w:val="20"/>
        </w:rPr>
      </w:pPr>
      <w:r w:rsidRPr="005A3FD3">
        <w:rPr>
          <w:rFonts w:ascii="Arial" w:hAnsi="Arial" w:cs="Arial"/>
          <w:i/>
          <w:sz w:val="20"/>
          <w:szCs w:val="20"/>
        </w:rPr>
        <w:t xml:space="preserve">2) Em caso positivo, com base em qual dispositivo legal? </w:t>
      </w:r>
    </w:p>
    <w:p w:rsidR="002A155D" w:rsidRPr="005A3FD3" w:rsidRDefault="002A155D" w:rsidP="002A155D">
      <w:pPr>
        <w:autoSpaceDE w:val="0"/>
        <w:autoSpaceDN w:val="0"/>
        <w:adjustRightInd w:val="0"/>
        <w:spacing w:after="0"/>
        <w:jc w:val="both"/>
        <w:rPr>
          <w:rFonts w:ascii="Arial" w:hAnsi="Arial" w:cs="Arial"/>
          <w:i/>
          <w:sz w:val="20"/>
          <w:szCs w:val="20"/>
        </w:rPr>
      </w:pPr>
    </w:p>
    <w:p w:rsidR="002A155D" w:rsidRDefault="002A155D" w:rsidP="002A155D">
      <w:pPr>
        <w:autoSpaceDE w:val="0"/>
        <w:autoSpaceDN w:val="0"/>
        <w:adjustRightInd w:val="0"/>
        <w:spacing w:after="0"/>
        <w:jc w:val="both"/>
        <w:rPr>
          <w:rFonts w:ascii="Arial" w:hAnsi="Arial" w:cs="Arial"/>
          <w:sz w:val="20"/>
          <w:szCs w:val="20"/>
        </w:rPr>
      </w:pPr>
      <w:r w:rsidRPr="005A3FD3">
        <w:rPr>
          <w:rFonts w:ascii="Arial" w:hAnsi="Arial" w:cs="Arial"/>
          <w:sz w:val="20"/>
          <w:szCs w:val="20"/>
        </w:rPr>
        <w:t>Quanto à questão II, os critérios ou base legal são o art. 24, VIII, da Lei n.º 8.666/1993, e o art. 34, VII, da Lei Estadual nº 15.608/07;</w:t>
      </w:r>
    </w:p>
    <w:p w:rsidR="002A155D" w:rsidRPr="005A3FD3" w:rsidRDefault="002A155D" w:rsidP="002A155D">
      <w:pPr>
        <w:autoSpaceDE w:val="0"/>
        <w:autoSpaceDN w:val="0"/>
        <w:adjustRightInd w:val="0"/>
        <w:spacing w:after="0"/>
        <w:jc w:val="both"/>
        <w:rPr>
          <w:rFonts w:ascii="Arial" w:hAnsi="Arial" w:cs="Arial"/>
          <w:sz w:val="20"/>
          <w:szCs w:val="20"/>
        </w:rPr>
      </w:pPr>
    </w:p>
    <w:p w:rsidR="002A155D" w:rsidRDefault="002A155D" w:rsidP="002A155D">
      <w:pPr>
        <w:autoSpaceDE w:val="0"/>
        <w:autoSpaceDN w:val="0"/>
        <w:adjustRightInd w:val="0"/>
        <w:spacing w:after="0"/>
        <w:jc w:val="both"/>
        <w:rPr>
          <w:rFonts w:ascii="Arial" w:hAnsi="Arial" w:cs="Arial"/>
          <w:i/>
          <w:sz w:val="20"/>
          <w:szCs w:val="20"/>
        </w:rPr>
      </w:pPr>
      <w:r w:rsidRPr="005A3FD3">
        <w:rPr>
          <w:rFonts w:ascii="Arial" w:hAnsi="Arial" w:cs="Arial"/>
          <w:i/>
          <w:sz w:val="20"/>
          <w:szCs w:val="20"/>
        </w:rPr>
        <w:t>3) Na dicção do disposto no Art. 24, VIII, da Lei 8.666/93 e do correspondente Art. 34, VII da Lei Estadual nº 15.608/07, há necessidade que o órgão ou entidade contratado, forneça produtos ou serviços exclusivamente à pessoa jurídica de direito público interno que o criou?</w:t>
      </w:r>
    </w:p>
    <w:p w:rsidR="002A155D" w:rsidRPr="005A3FD3" w:rsidRDefault="002A155D" w:rsidP="002A155D">
      <w:pPr>
        <w:autoSpaceDE w:val="0"/>
        <w:autoSpaceDN w:val="0"/>
        <w:adjustRightInd w:val="0"/>
        <w:spacing w:after="0"/>
        <w:jc w:val="both"/>
        <w:rPr>
          <w:rFonts w:ascii="Arial" w:hAnsi="Arial" w:cs="Arial"/>
          <w:i/>
          <w:sz w:val="20"/>
          <w:szCs w:val="20"/>
        </w:rPr>
      </w:pPr>
    </w:p>
    <w:p w:rsidR="002A155D" w:rsidRDefault="002A155D" w:rsidP="002A155D">
      <w:pPr>
        <w:autoSpaceDE w:val="0"/>
        <w:autoSpaceDN w:val="0"/>
        <w:adjustRightInd w:val="0"/>
        <w:spacing w:after="0"/>
        <w:jc w:val="both"/>
        <w:rPr>
          <w:rFonts w:ascii="Arial" w:hAnsi="Arial" w:cs="Arial"/>
          <w:sz w:val="20"/>
          <w:szCs w:val="20"/>
        </w:rPr>
      </w:pPr>
      <w:r w:rsidRPr="005A3FD3">
        <w:rPr>
          <w:rFonts w:ascii="Arial" w:hAnsi="Arial" w:cs="Arial"/>
          <w:sz w:val="20"/>
          <w:szCs w:val="20"/>
        </w:rPr>
        <w:t>Por fim, no tocante à questão III, é admitida a contratação direta dos órgãos e entidades da Administração Pública, ou seja, é admitida a contratação direta dos órgãos e entidades estatais que forneçam exclusivamente à Administração Pública, não se exigindo que o contratado atenda apenas a esfera federativa da pessoa jurídica de direito público interno que o criou.</w:t>
      </w:r>
    </w:p>
    <w:p w:rsidR="002A155D" w:rsidRPr="005A3FD3" w:rsidRDefault="002A155D" w:rsidP="002A155D">
      <w:pPr>
        <w:autoSpaceDE w:val="0"/>
        <w:autoSpaceDN w:val="0"/>
        <w:adjustRightInd w:val="0"/>
        <w:spacing w:after="0"/>
        <w:jc w:val="both"/>
        <w:rPr>
          <w:rFonts w:ascii="Arial" w:hAnsi="Arial" w:cs="Arial"/>
          <w:sz w:val="20"/>
          <w:szCs w:val="20"/>
        </w:rPr>
      </w:pPr>
    </w:p>
    <w:p w:rsidR="002A155D" w:rsidRDefault="002A155D" w:rsidP="002A155D">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568315/17 - </w:t>
      </w:r>
      <w:hyperlink r:id="rId18" w:history="1">
        <w:r w:rsidRPr="00C81A93">
          <w:rPr>
            <w:rStyle w:val="Hyperlink"/>
            <w:rFonts w:ascii="Arial" w:hAnsi="Arial" w:cs="Arial"/>
            <w:sz w:val="20"/>
            <w:szCs w:val="20"/>
          </w:rPr>
          <w:t xml:space="preserve">Acórdão n° 2217/18 </w:t>
        </w:r>
        <w:r>
          <w:rPr>
            <w:rStyle w:val="Hyperlink"/>
            <w:rFonts w:ascii="Arial" w:hAnsi="Arial" w:cs="Arial"/>
            <w:sz w:val="20"/>
            <w:szCs w:val="20"/>
          </w:rPr>
          <w:t>-</w:t>
        </w:r>
        <w:r w:rsidRPr="00C81A93">
          <w:rPr>
            <w:rStyle w:val="Hyperlink"/>
            <w:rFonts w:ascii="Arial" w:hAnsi="Arial" w:cs="Arial"/>
            <w:sz w:val="20"/>
            <w:szCs w:val="20"/>
          </w:rPr>
          <w:t xml:space="preserve"> Tribunal Pleno</w:t>
        </w:r>
      </w:hyperlink>
      <w:r>
        <w:rPr>
          <w:rFonts w:ascii="Arial" w:hAnsi="Arial" w:cs="Arial"/>
          <w:sz w:val="20"/>
          <w:szCs w:val="20"/>
        </w:rPr>
        <w:t xml:space="preserve"> - Rel. Cons. </w:t>
      </w:r>
      <w:proofErr w:type="spellStart"/>
      <w:r w:rsidRPr="00B5156F">
        <w:rPr>
          <w:rFonts w:ascii="Arial" w:hAnsi="Arial" w:cs="Arial"/>
          <w:sz w:val="20"/>
          <w:szCs w:val="20"/>
        </w:rPr>
        <w:t>Artagão</w:t>
      </w:r>
      <w:proofErr w:type="spellEnd"/>
      <w:r w:rsidRPr="00B5156F">
        <w:rPr>
          <w:rFonts w:ascii="Arial" w:hAnsi="Arial" w:cs="Arial"/>
          <w:sz w:val="20"/>
          <w:szCs w:val="20"/>
        </w:rPr>
        <w:t xml:space="preserve"> de Mattos Leão</w:t>
      </w:r>
      <w:r>
        <w:rPr>
          <w:rFonts w:ascii="Arial" w:hAnsi="Arial" w:cs="Arial"/>
          <w:sz w:val="20"/>
          <w:szCs w:val="20"/>
        </w:rPr>
        <w:t>.</w:t>
      </w:r>
    </w:p>
    <w:p w:rsidR="002A155D" w:rsidRDefault="002A155D" w:rsidP="002A155D">
      <w:pPr>
        <w:autoSpaceDE w:val="0"/>
        <w:autoSpaceDN w:val="0"/>
        <w:adjustRightInd w:val="0"/>
        <w:spacing w:after="0"/>
        <w:jc w:val="both"/>
        <w:rPr>
          <w:rFonts w:ascii="Arial" w:hAnsi="Arial" w:cs="Arial"/>
          <w:color w:val="000000"/>
          <w:sz w:val="20"/>
          <w:szCs w:val="20"/>
          <w:shd w:val="clear" w:color="auto" w:fill="FFFFFF"/>
        </w:rPr>
      </w:pPr>
    </w:p>
    <w:p w:rsidR="002A155D" w:rsidRDefault="00283D94" w:rsidP="002A155D">
      <w:pPr>
        <w:autoSpaceDE w:val="0"/>
        <w:autoSpaceDN w:val="0"/>
        <w:adjustRightInd w:val="0"/>
        <w:spacing w:after="0"/>
        <w:jc w:val="both"/>
        <w:rPr>
          <w:rFonts w:ascii="Arial" w:hAnsi="Arial" w:cs="Arial"/>
          <w:b/>
          <w:sz w:val="20"/>
          <w:szCs w:val="20"/>
        </w:rPr>
      </w:pPr>
      <w:r>
        <w:rPr>
          <w:rFonts w:ascii="Arial" w:hAnsi="Arial" w:cs="Arial"/>
          <w:b/>
          <w:sz w:val="20"/>
          <w:szCs w:val="20"/>
        </w:rPr>
        <w:lastRenderedPageBreak/>
        <w:t xml:space="preserve">12. </w:t>
      </w:r>
      <w:r w:rsidR="002A155D" w:rsidRPr="0019633A">
        <w:rPr>
          <w:rFonts w:ascii="Arial" w:hAnsi="Arial" w:cs="Arial"/>
          <w:b/>
          <w:sz w:val="20"/>
          <w:szCs w:val="20"/>
        </w:rPr>
        <w:t>Consulta. Dúvida quanto à possibilidade de contagem em dobro da licença prêmio não usufruída para fins de aposentadoria. Possibilidade desde que existisse previsão na legislação local, à época, para inclusão do período laborado em regime de CLT para cômputo do período e que os requisitos para sua concessão tenham sido preenchidos antes da entrada em vigor da Emenda Constitucional nº 20/98.</w:t>
      </w:r>
    </w:p>
    <w:p w:rsidR="002A155D" w:rsidRPr="0019633A" w:rsidRDefault="002A155D" w:rsidP="002A155D">
      <w:pPr>
        <w:autoSpaceDE w:val="0"/>
        <w:autoSpaceDN w:val="0"/>
        <w:adjustRightInd w:val="0"/>
        <w:spacing w:after="0"/>
        <w:jc w:val="both"/>
        <w:rPr>
          <w:rFonts w:ascii="Arial" w:hAnsi="Arial" w:cs="Arial"/>
          <w:b/>
          <w:sz w:val="20"/>
          <w:szCs w:val="20"/>
        </w:rPr>
      </w:pPr>
    </w:p>
    <w:p w:rsidR="002A155D" w:rsidRDefault="002A155D" w:rsidP="002A155D">
      <w:pPr>
        <w:autoSpaceDE w:val="0"/>
        <w:autoSpaceDN w:val="0"/>
        <w:adjustRightInd w:val="0"/>
        <w:spacing w:after="0"/>
        <w:jc w:val="both"/>
        <w:rPr>
          <w:rFonts w:ascii="Arial" w:hAnsi="Arial" w:cs="Arial"/>
          <w:color w:val="000000"/>
          <w:sz w:val="20"/>
          <w:szCs w:val="20"/>
          <w:shd w:val="clear" w:color="auto" w:fill="FFFFFF"/>
        </w:rPr>
      </w:pPr>
      <w:r w:rsidRPr="0019633A">
        <w:rPr>
          <w:rFonts w:ascii="Arial" w:hAnsi="Arial" w:cs="Arial"/>
          <w:color w:val="000000"/>
          <w:sz w:val="20"/>
          <w:szCs w:val="20"/>
          <w:shd w:val="clear" w:color="auto" w:fill="FFFFFF"/>
        </w:rPr>
        <w:t>A licença prêmio não usufruída pode ser computada em dobro para fins de aposentadoria, desde que existisse previsão na legislação local, à época, para inclusão do período laborado em regime de CLT para cômputo do período e que os requisitos para sua concessão tenham sido preenchidos antes da entrada em vigor da Emenda Constitucional nº 20/98.</w:t>
      </w:r>
    </w:p>
    <w:p w:rsidR="002A155D" w:rsidRDefault="002A155D" w:rsidP="002A155D">
      <w:pPr>
        <w:autoSpaceDE w:val="0"/>
        <w:autoSpaceDN w:val="0"/>
        <w:adjustRightInd w:val="0"/>
        <w:spacing w:after="0"/>
        <w:jc w:val="both"/>
        <w:rPr>
          <w:rFonts w:ascii="Arial" w:hAnsi="Arial" w:cs="Arial"/>
          <w:color w:val="000000"/>
          <w:sz w:val="20"/>
          <w:szCs w:val="20"/>
          <w:shd w:val="clear" w:color="auto" w:fill="FFFFFF"/>
        </w:rPr>
      </w:pPr>
    </w:p>
    <w:p w:rsidR="002A155D" w:rsidRDefault="002A155D" w:rsidP="002A155D">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574940/16 - </w:t>
      </w:r>
      <w:hyperlink r:id="rId19" w:history="1">
        <w:r w:rsidRPr="009B1D53">
          <w:rPr>
            <w:rStyle w:val="Hyperlink"/>
            <w:rFonts w:ascii="Arial" w:hAnsi="Arial" w:cs="Arial"/>
            <w:sz w:val="20"/>
            <w:szCs w:val="20"/>
          </w:rPr>
          <w:t xml:space="preserve">Acórdão n° 2224/18 </w:t>
        </w:r>
        <w:r>
          <w:rPr>
            <w:rStyle w:val="Hyperlink"/>
            <w:rFonts w:ascii="Arial" w:hAnsi="Arial" w:cs="Arial"/>
            <w:sz w:val="20"/>
            <w:szCs w:val="20"/>
          </w:rPr>
          <w:t>-</w:t>
        </w:r>
        <w:r w:rsidRPr="009B1D53">
          <w:rPr>
            <w:rStyle w:val="Hyperlink"/>
            <w:rFonts w:ascii="Arial" w:hAnsi="Arial" w:cs="Arial"/>
            <w:sz w:val="20"/>
            <w:szCs w:val="20"/>
          </w:rPr>
          <w:t xml:space="preserve"> Tribunal Pleno</w:t>
        </w:r>
      </w:hyperlink>
      <w:r>
        <w:rPr>
          <w:rFonts w:ascii="Arial" w:hAnsi="Arial" w:cs="Arial"/>
          <w:sz w:val="20"/>
          <w:szCs w:val="20"/>
        </w:rPr>
        <w:t xml:space="preserve"> - Rel. Cons</w:t>
      </w:r>
      <w:r w:rsidRPr="007D5EEA">
        <w:rPr>
          <w:rFonts w:ascii="Arial" w:hAnsi="Arial" w:cs="Arial"/>
          <w:color w:val="000000"/>
          <w:sz w:val="20"/>
          <w:szCs w:val="20"/>
          <w:shd w:val="clear" w:color="auto" w:fill="FFFFFF"/>
        </w:rPr>
        <w:t>. Fabio de Souza Camargo.</w:t>
      </w:r>
    </w:p>
    <w:p w:rsidR="007C37A7" w:rsidRPr="007C37A7" w:rsidRDefault="007C37A7" w:rsidP="007C37A7">
      <w:pPr>
        <w:autoSpaceDE w:val="0"/>
        <w:autoSpaceDN w:val="0"/>
        <w:adjustRightInd w:val="0"/>
        <w:spacing w:after="0" w:line="240" w:lineRule="auto"/>
        <w:jc w:val="both"/>
        <w:rPr>
          <w:rFonts w:ascii="Arial" w:hAnsi="Arial" w:cs="Arial"/>
          <w:color w:val="000000"/>
          <w:sz w:val="20"/>
          <w:szCs w:val="20"/>
          <w:shd w:val="clear" w:color="auto" w:fill="FFFFFF"/>
        </w:rPr>
      </w:pPr>
    </w:p>
    <w:p w:rsidR="00E8762F" w:rsidRPr="0022060B" w:rsidRDefault="00E8762F"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 xml:space="preserve">Observações: </w:t>
      </w:r>
    </w:p>
    <w:p w:rsidR="005C4DB7" w:rsidRPr="0022060B" w:rsidRDefault="00E4415D" w:rsidP="00816942">
      <w:pPr>
        <w:spacing w:after="0"/>
        <w:rPr>
          <w:rFonts w:ascii="Arial" w:hAnsi="Arial" w:cs="Arial"/>
          <w:b/>
          <w:color w:val="000000"/>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54656" behindDoc="0" locked="0" layoutInCell="1" allowOverlap="1" wp14:anchorId="15D64EE6" wp14:editId="599D7F15">
                <wp:simplePos x="0" y="0"/>
                <wp:positionH relativeFrom="margin">
                  <wp:posOffset>-6985</wp:posOffset>
                </wp:positionH>
                <wp:positionV relativeFrom="paragraph">
                  <wp:posOffset>73660</wp:posOffset>
                </wp:positionV>
                <wp:extent cx="5499100" cy="0"/>
                <wp:effectExtent l="0" t="0" r="25400"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577E9F" id="Conector reto 58"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JmegIAAAcFAAAOAAAAZHJzL2Uyb0RvYy54bWysVFFv2yAQfp+0/4D8ntpOnTa26lSTneyl&#10;WyO1054J4BgVAwISO5r233fgxGq2l2maHyzuOD6+u/uOh8ehE+jIjOVKllF6k0SISaIol/sy+va6&#10;mS0jZB2WFAslWRmdmI0eVx8/PPS6YHPVKkGZQQAibdHrMmqd00UcW9KyDtsbpZmEzUaZDjswzT6m&#10;BveA3ol4niR3ca8M1UYRZi1463EzWgX8pmHEPTeNZQ6JMgJuLvxN+O/8P1494GJvsG45OdPA/8Ci&#10;w1zCpRNUjR1GB8P/gOo4Mcqqxt0Q1cWqaThhIQfIJk1+y+alxZqFXKA4Vk9lsv8Plnw9bg3itIwW&#10;0CmJO+hRBZ0iThlkmFMI/FCkXtsCYiu5NT5NMsgX/aTIm0VSVS2WexbIvp40AKT+RHx1xBtWw1W7&#10;/ouiEIMPToWKDY3pPCTUAg2hMaepMWxwiIBzkeV5mkD/yGUvxsXloDbWfWaqQ35RRoJLXzNc4OOT&#10;dZ4ILi4h3i3VhgsR+i4k6stovsgA2m9ZJTj1u8HwEmSVMOiIQTz0LQ0x4tBBAqMPKME3agj8oLTR&#10;H1xwbVCxhwgkrtCNOkgaSLQM0/V57TAX4xpOC+lpsCBiyMQb6uCYeWlpjyj3ucIE+KpQDor2WQTL&#10;KPeduzb0w1cyJGP2uymVEDf6sdAtHknf3ud5HhoHxMfwQHu6M1hXdKA9Z2K+UUHuP/IkXy/Xy2yW&#10;ze/Wsyyp69mnTZXN7jbp/aK+rauqTn96TmlWtJxSJn3BL6OXZn8n7fMjMA7NNHxTa+Nr9JH5ACWE&#10;sl5IB316SY7i3il62pqLbmHaQvD5ZfDj/N6G9fv3a/ULAAD//wMAUEsDBBQABgAIAAAAIQC12IYx&#10;2wAAAAgBAAAPAAAAZHJzL2Rvd25yZXYueG1sTI9BS8QwEIXvgv8hjOBFdtOK1lqbLiJ6EPbiKp5n&#10;mzEpNpPSZLfx3xvxoMd57/Hme+0muVEcaQ6DZwXlugBB3Hs9sFHw9vq0qkGEiKxx9EwKvijApjs9&#10;abHRfuEXOu6iEbmEQ4MKbIxTI2XoLTkMaz8RZ+/Dzw5jPmcj9YxLLnejvCyKSjocOH+wONGDpf5z&#10;d3AK+iTThX3UZjE3z3qLoX6X11ulzs/S/R2ISCn+heEHP6NDl5n2/sA6iFHBqixzMutlBSL7dXV1&#10;C2L/K8iulf8HdN8AAAD//wMAUEsBAi0AFAAGAAgAAAAhALaDOJL+AAAA4QEAABMAAAAAAAAAAAAA&#10;AAAAAAAAAFtDb250ZW50X1R5cGVzXS54bWxQSwECLQAUAAYACAAAACEAOP0h/9YAAACUAQAACwAA&#10;AAAAAAAAAAAAAAAvAQAAX3JlbHMvLnJlbHNQSwECLQAUAAYACAAAACEAuzZCZnoCAAAHBQAADgAA&#10;AAAAAAAAAAAAAAAuAgAAZHJzL2Uyb0RvYy54bWxQSwECLQAUAAYACAAAACEAtdiGMdsAAAAIAQAA&#10;DwAAAAAAAAAAAAAAAADUBAAAZHJzL2Rvd25yZXYueG1sUEsFBgAAAAAEAAQA8wAAANwFAAAAAA==&#10;" strokecolor="black [3200]" strokeweight="2pt">
                <v:shadow on="t" color="black" opacity="24903f" origin=",.5" offset="0,.55556mm"/>
                <w10:wrap anchorx="margin"/>
              </v:line>
            </w:pict>
          </mc:Fallback>
        </mc:AlternateContent>
      </w:r>
    </w:p>
    <w:p w:rsidR="0026477F" w:rsidRPr="0022060B" w:rsidRDefault="0026477F" w:rsidP="00821F3A">
      <w:pPr>
        <w:spacing w:after="0"/>
        <w:rPr>
          <w:rFonts w:ascii="Arial" w:hAnsi="Arial" w:cs="Arial"/>
          <w:color w:val="000000"/>
          <w:sz w:val="20"/>
          <w:szCs w:val="20"/>
        </w:rPr>
      </w:pPr>
      <w:r w:rsidRPr="0022060B">
        <w:rPr>
          <w:rFonts w:ascii="Arial" w:hAnsi="Arial" w:cs="Arial"/>
          <w:color w:val="000000"/>
          <w:sz w:val="20"/>
          <w:szCs w:val="20"/>
        </w:rPr>
        <w:t>Ju</w:t>
      </w:r>
      <w:r w:rsidR="00AD528F" w:rsidRPr="0022060B">
        <w:rPr>
          <w:rFonts w:ascii="Arial" w:hAnsi="Arial" w:cs="Arial"/>
          <w:color w:val="000000"/>
          <w:sz w:val="20"/>
          <w:szCs w:val="20"/>
        </w:rPr>
        <w:t xml:space="preserve">risprudência Selecionada: </w:t>
      </w:r>
    </w:p>
    <w:p w:rsidR="000B2FD9" w:rsidRDefault="000B2FD9" w:rsidP="00821F3A">
      <w:pPr>
        <w:spacing w:after="0"/>
        <w:jc w:val="both"/>
        <w:rPr>
          <w:rFonts w:ascii="Arial" w:hAnsi="Arial" w:cs="Arial"/>
          <w:b/>
          <w:color w:val="000000"/>
          <w:sz w:val="20"/>
          <w:szCs w:val="20"/>
        </w:rPr>
      </w:pPr>
    </w:p>
    <w:p w:rsidR="000800D1" w:rsidRDefault="000800D1" w:rsidP="00821F3A">
      <w:pPr>
        <w:spacing w:after="0"/>
        <w:jc w:val="both"/>
        <w:rPr>
          <w:rFonts w:ascii="Arial" w:hAnsi="Arial" w:cs="Arial"/>
          <w:b/>
          <w:color w:val="000000"/>
          <w:sz w:val="20"/>
          <w:szCs w:val="20"/>
        </w:rPr>
      </w:pPr>
      <w:r w:rsidRPr="00CB0FFC">
        <w:rPr>
          <w:rFonts w:ascii="Arial" w:hAnsi="Arial" w:cs="Arial"/>
          <w:b/>
          <w:color w:val="000000"/>
          <w:sz w:val="20"/>
          <w:szCs w:val="20"/>
        </w:rPr>
        <w:t>Superior Tribunal de Justiça:</w:t>
      </w:r>
    </w:p>
    <w:p w:rsidR="00BB40DF" w:rsidRPr="00CB0FFC" w:rsidRDefault="00BB40DF" w:rsidP="00821F3A">
      <w:pPr>
        <w:spacing w:after="0"/>
        <w:jc w:val="both"/>
        <w:rPr>
          <w:rFonts w:ascii="Arial" w:hAnsi="Arial" w:cs="Arial"/>
          <w:b/>
          <w:color w:val="000000"/>
          <w:sz w:val="20"/>
          <w:szCs w:val="20"/>
        </w:rPr>
      </w:pPr>
    </w:p>
    <w:p w:rsidR="00CC4E55" w:rsidRPr="00BB40DF" w:rsidRDefault="009F1F0F" w:rsidP="00821F3A">
      <w:pPr>
        <w:spacing w:after="0"/>
        <w:jc w:val="both"/>
        <w:rPr>
          <w:rFonts w:ascii="Arial" w:hAnsi="Arial" w:cs="Arial"/>
          <w:sz w:val="20"/>
          <w:szCs w:val="20"/>
          <w:shd w:val="clear" w:color="auto" w:fill="FFFFFF"/>
        </w:rPr>
      </w:pPr>
      <w:hyperlink r:id="rId20" w:history="1">
        <w:proofErr w:type="spellStart"/>
        <w:r w:rsidR="00BB40DF" w:rsidRPr="00BB40DF">
          <w:rPr>
            <w:rStyle w:val="Hyperlink"/>
            <w:rFonts w:ascii="Arial" w:hAnsi="Arial" w:cs="Arial"/>
            <w:b/>
            <w:sz w:val="20"/>
            <w:szCs w:val="20"/>
            <w:shd w:val="clear" w:color="auto" w:fill="FFFFFF"/>
          </w:rPr>
          <w:t>REsp</w:t>
        </w:r>
        <w:proofErr w:type="spellEnd"/>
        <w:r w:rsidR="00BB40DF" w:rsidRPr="00BB40DF">
          <w:rPr>
            <w:rStyle w:val="Hyperlink"/>
            <w:rFonts w:ascii="Arial" w:hAnsi="Arial" w:cs="Arial"/>
            <w:b/>
            <w:sz w:val="20"/>
            <w:szCs w:val="20"/>
            <w:shd w:val="clear" w:color="auto" w:fill="FFFFFF"/>
          </w:rPr>
          <w:t xml:space="preserve"> 1.746.784-PE</w:t>
        </w:r>
      </w:hyperlink>
      <w:r w:rsidR="00BB40DF" w:rsidRPr="00BB40DF">
        <w:rPr>
          <w:rFonts w:ascii="Arial" w:hAnsi="Arial" w:cs="Arial"/>
          <w:sz w:val="20"/>
          <w:szCs w:val="20"/>
          <w:shd w:val="clear" w:color="auto" w:fill="FFFFFF"/>
        </w:rPr>
        <w:t xml:space="preserve">, Rel. Min. </w:t>
      </w:r>
      <w:proofErr w:type="spellStart"/>
      <w:r w:rsidR="00BB40DF" w:rsidRPr="00BB40DF">
        <w:rPr>
          <w:rFonts w:ascii="Arial" w:hAnsi="Arial" w:cs="Arial"/>
          <w:sz w:val="20"/>
          <w:szCs w:val="20"/>
          <w:shd w:val="clear" w:color="auto" w:fill="FFFFFF"/>
        </w:rPr>
        <w:t>Og</w:t>
      </w:r>
      <w:proofErr w:type="spellEnd"/>
      <w:r w:rsidR="00BB40DF" w:rsidRPr="00BB40DF">
        <w:rPr>
          <w:rFonts w:ascii="Arial" w:hAnsi="Arial" w:cs="Arial"/>
          <w:sz w:val="20"/>
          <w:szCs w:val="20"/>
          <w:shd w:val="clear" w:color="auto" w:fill="FFFFFF"/>
        </w:rPr>
        <w:t xml:space="preserve"> Fernandes, por unanimidade, julgado em 23/08/2018, </w:t>
      </w:r>
      <w:proofErr w:type="spellStart"/>
      <w:r w:rsidR="00BB40DF" w:rsidRPr="00BB40DF">
        <w:rPr>
          <w:rFonts w:ascii="Arial" w:hAnsi="Arial" w:cs="Arial"/>
          <w:sz w:val="20"/>
          <w:szCs w:val="20"/>
          <w:shd w:val="clear" w:color="auto" w:fill="FFFFFF"/>
        </w:rPr>
        <w:t>DJe</w:t>
      </w:r>
      <w:proofErr w:type="spellEnd"/>
      <w:r w:rsidR="00BB40DF" w:rsidRPr="00BB40DF">
        <w:rPr>
          <w:rFonts w:ascii="Arial" w:hAnsi="Arial" w:cs="Arial"/>
          <w:sz w:val="20"/>
          <w:szCs w:val="20"/>
          <w:shd w:val="clear" w:color="auto" w:fill="FFFFFF"/>
        </w:rPr>
        <w:t xml:space="preserve"> 30/08/2018.</w:t>
      </w:r>
    </w:p>
    <w:p w:rsidR="00543DF0" w:rsidRPr="00BB40DF" w:rsidRDefault="00BB40DF" w:rsidP="00821F3A">
      <w:pPr>
        <w:spacing w:after="0"/>
        <w:jc w:val="both"/>
        <w:rPr>
          <w:rFonts w:ascii="Arial" w:hAnsi="Arial" w:cs="Arial"/>
          <w:b/>
          <w:sz w:val="20"/>
          <w:szCs w:val="20"/>
          <w:shd w:val="clear" w:color="auto" w:fill="FFFFFF"/>
        </w:rPr>
      </w:pPr>
      <w:r w:rsidRPr="00BB40DF">
        <w:rPr>
          <w:rFonts w:ascii="Arial" w:hAnsi="Arial" w:cs="Arial"/>
          <w:b/>
          <w:sz w:val="20"/>
          <w:szCs w:val="20"/>
          <w:shd w:val="clear" w:color="auto" w:fill="FFFFFF"/>
        </w:rPr>
        <w:t xml:space="preserve">Servidor público. Acumulação de cargos públicos remunerados. Área da saúde. Limitação da carga horária. Impossibilidade. Compatibilidade de horários. Requisito único. Aferição pela administração pública. Orientação do STF. </w:t>
      </w:r>
      <w:proofErr w:type="spellStart"/>
      <w:r w:rsidRPr="00BB40DF">
        <w:rPr>
          <w:rFonts w:ascii="Arial" w:hAnsi="Arial" w:cs="Arial"/>
          <w:b/>
          <w:sz w:val="20"/>
          <w:szCs w:val="20"/>
          <w:shd w:val="clear" w:color="auto" w:fill="FFFFFF"/>
        </w:rPr>
        <w:t>AgR</w:t>
      </w:r>
      <w:proofErr w:type="spellEnd"/>
      <w:r w:rsidRPr="00BB40DF">
        <w:rPr>
          <w:rFonts w:ascii="Arial" w:hAnsi="Arial" w:cs="Arial"/>
          <w:b/>
          <w:sz w:val="20"/>
          <w:szCs w:val="20"/>
          <w:shd w:val="clear" w:color="auto" w:fill="FFFFFF"/>
        </w:rPr>
        <w:t xml:space="preserve"> no RE 1.094.802-PE.</w:t>
      </w:r>
    </w:p>
    <w:p w:rsidR="00BB40DF" w:rsidRPr="00BB40DF" w:rsidRDefault="00BB40DF" w:rsidP="00821F3A">
      <w:pPr>
        <w:spacing w:after="0"/>
        <w:jc w:val="both"/>
        <w:rPr>
          <w:rFonts w:ascii="Arial" w:hAnsi="Arial" w:cs="Arial"/>
          <w:b/>
          <w:sz w:val="20"/>
          <w:szCs w:val="20"/>
        </w:rPr>
      </w:pPr>
    </w:p>
    <w:p w:rsidR="00BB40DF" w:rsidRPr="00BB40DF" w:rsidRDefault="00BB40DF" w:rsidP="00821F3A">
      <w:pPr>
        <w:spacing w:after="0"/>
        <w:jc w:val="both"/>
        <w:rPr>
          <w:rFonts w:ascii="Arial" w:hAnsi="Arial" w:cs="Arial"/>
          <w:b/>
          <w:sz w:val="20"/>
          <w:szCs w:val="20"/>
        </w:rPr>
      </w:pPr>
      <w:r w:rsidRPr="00BB40DF">
        <w:rPr>
          <w:rFonts w:ascii="Arial" w:hAnsi="Arial" w:cs="Arial"/>
          <w:sz w:val="20"/>
          <w:szCs w:val="20"/>
          <w:shd w:val="clear" w:color="auto" w:fill="FFFFFF"/>
        </w:rPr>
        <w:t>A acumulação de cargos públicos de profissionais da área de saúde, prevista no art. 37, XVI, da CF/88, não se sujeita ao limite de 60 horas semanais.</w:t>
      </w:r>
    </w:p>
    <w:p w:rsidR="00BB40DF" w:rsidRPr="00BB40DF" w:rsidRDefault="00BB40DF" w:rsidP="00821F3A">
      <w:pPr>
        <w:spacing w:after="0"/>
        <w:jc w:val="both"/>
        <w:rPr>
          <w:rFonts w:ascii="Arial" w:hAnsi="Arial" w:cs="Arial"/>
          <w:b/>
          <w:sz w:val="20"/>
          <w:szCs w:val="20"/>
        </w:rPr>
      </w:pPr>
    </w:p>
    <w:p w:rsidR="000800D1" w:rsidRPr="00CB0FFC" w:rsidRDefault="000800D1" w:rsidP="00821F3A">
      <w:pPr>
        <w:spacing w:after="0"/>
        <w:jc w:val="both"/>
        <w:rPr>
          <w:rFonts w:ascii="Arial" w:hAnsi="Arial" w:cs="Arial"/>
          <w:b/>
          <w:color w:val="000000"/>
          <w:sz w:val="20"/>
          <w:szCs w:val="20"/>
        </w:rPr>
      </w:pPr>
      <w:r w:rsidRPr="00CB0FFC">
        <w:rPr>
          <w:rFonts w:ascii="Arial" w:hAnsi="Arial" w:cs="Arial"/>
          <w:b/>
          <w:color w:val="000000"/>
          <w:sz w:val="20"/>
          <w:szCs w:val="20"/>
        </w:rPr>
        <w:t>Tribunal de Contas da União:</w:t>
      </w:r>
    </w:p>
    <w:p w:rsidR="00E3534F" w:rsidRPr="00CB0FFC" w:rsidRDefault="00E3534F" w:rsidP="00821F3A">
      <w:pPr>
        <w:spacing w:after="0"/>
        <w:jc w:val="both"/>
        <w:rPr>
          <w:rFonts w:ascii="Arial" w:hAnsi="Arial" w:cs="Arial"/>
          <w:b/>
          <w:color w:val="000000"/>
          <w:sz w:val="20"/>
          <w:szCs w:val="20"/>
        </w:rPr>
      </w:pPr>
    </w:p>
    <w:p w:rsidR="00B27917" w:rsidRDefault="009F1F0F" w:rsidP="00821F3A">
      <w:pPr>
        <w:widowControl w:val="0"/>
        <w:autoSpaceDE w:val="0"/>
        <w:autoSpaceDN w:val="0"/>
        <w:spacing w:after="0"/>
        <w:jc w:val="both"/>
        <w:rPr>
          <w:rFonts w:ascii="Arial" w:hAnsi="Arial"/>
          <w:sz w:val="20"/>
          <w:szCs w:val="20"/>
        </w:rPr>
      </w:pPr>
      <w:hyperlink r:id="rId21" w:history="1">
        <w:r w:rsidR="00B27917" w:rsidRPr="00F23BA9">
          <w:rPr>
            <w:rStyle w:val="Hyperlink"/>
            <w:rFonts w:ascii="Arial" w:hAnsi="Arial"/>
            <w:b/>
            <w:sz w:val="20"/>
            <w:szCs w:val="20"/>
          </w:rPr>
          <w:t xml:space="preserve">Acórdão 1567/2018 </w:t>
        </w:r>
        <w:r w:rsidR="00F23BA9">
          <w:rPr>
            <w:rStyle w:val="Hyperlink"/>
            <w:rFonts w:ascii="Arial" w:hAnsi="Arial"/>
            <w:b/>
            <w:sz w:val="20"/>
            <w:szCs w:val="20"/>
          </w:rPr>
          <w:t xml:space="preserve">- </w:t>
        </w:r>
        <w:r w:rsidR="00B27917" w:rsidRPr="00F23BA9">
          <w:rPr>
            <w:rStyle w:val="Hyperlink"/>
            <w:rFonts w:ascii="Arial" w:hAnsi="Arial"/>
            <w:b/>
            <w:sz w:val="20"/>
            <w:szCs w:val="20"/>
          </w:rPr>
          <w:t>Plenário</w:t>
        </w:r>
      </w:hyperlink>
      <w:r w:rsidR="00B27917" w:rsidRPr="00CB0FFC">
        <w:rPr>
          <w:rFonts w:ascii="Arial" w:hAnsi="Arial"/>
          <w:b/>
          <w:sz w:val="20"/>
          <w:szCs w:val="20"/>
        </w:rPr>
        <w:t xml:space="preserve"> </w:t>
      </w:r>
      <w:r w:rsidR="00B27917" w:rsidRPr="00CB0FFC">
        <w:rPr>
          <w:rFonts w:ascii="Arial" w:hAnsi="Arial"/>
          <w:sz w:val="20"/>
          <w:szCs w:val="20"/>
        </w:rPr>
        <w:t xml:space="preserve">(Representação, Relator Ministro Augusto </w:t>
      </w:r>
      <w:proofErr w:type="spellStart"/>
      <w:r w:rsidR="00B27917" w:rsidRPr="00CB0FFC">
        <w:rPr>
          <w:rFonts w:ascii="Arial" w:hAnsi="Arial"/>
          <w:sz w:val="20"/>
          <w:szCs w:val="20"/>
        </w:rPr>
        <w:t>Nardes</w:t>
      </w:r>
      <w:proofErr w:type="spellEnd"/>
      <w:r w:rsidR="00B27917" w:rsidRPr="00CB0FFC">
        <w:rPr>
          <w:rFonts w:ascii="Arial" w:hAnsi="Arial"/>
          <w:sz w:val="20"/>
          <w:szCs w:val="20"/>
        </w:rPr>
        <w:t>)</w:t>
      </w:r>
    </w:p>
    <w:p w:rsidR="00821F3A" w:rsidRPr="00CB0FFC" w:rsidRDefault="00821F3A" w:rsidP="00821F3A">
      <w:pPr>
        <w:widowControl w:val="0"/>
        <w:autoSpaceDE w:val="0"/>
        <w:autoSpaceDN w:val="0"/>
        <w:spacing w:after="0"/>
        <w:jc w:val="both"/>
        <w:rPr>
          <w:rFonts w:ascii="Arial" w:hAnsi="Arial" w:cs="Arial"/>
          <w:b/>
          <w:sz w:val="20"/>
          <w:szCs w:val="20"/>
        </w:rPr>
      </w:pPr>
    </w:p>
    <w:p w:rsidR="00B27917" w:rsidRDefault="00B27917" w:rsidP="00821F3A">
      <w:pPr>
        <w:spacing w:after="0"/>
        <w:jc w:val="both"/>
        <w:rPr>
          <w:rFonts w:ascii="Arial" w:hAnsi="Arial"/>
          <w:b/>
          <w:sz w:val="20"/>
          <w:szCs w:val="20"/>
        </w:rPr>
      </w:pPr>
      <w:r w:rsidRPr="00C54092">
        <w:rPr>
          <w:rFonts w:ascii="Arial" w:hAnsi="Arial"/>
          <w:b/>
          <w:sz w:val="20"/>
          <w:szCs w:val="20"/>
        </w:rPr>
        <w:t>Licitação. Qualificação técnica. Atestado de capacidade técnica. Serviços. Especificação. Competitividade. Restrição.</w:t>
      </w:r>
    </w:p>
    <w:p w:rsidR="00821F3A" w:rsidRPr="00C54092" w:rsidRDefault="00821F3A" w:rsidP="00821F3A">
      <w:pPr>
        <w:spacing w:after="0"/>
        <w:jc w:val="both"/>
        <w:rPr>
          <w:rFonts w:ascii="Arial" w:hAnsi="Arial" w:cs="Arial"/>
          <w:b/>
          <w:sz w:val="20"/>
          <w:szCs w:val="20"/>
        </w:rPr>
      </w:pPr>
    </w:p>
    <w:p w:rsidR="00B27917" w:rsidRDefault="00B27917" w:rsidP="00821F3A">
      <w:pPr>
        <w:spacing w:after="0"/>
        <w:jc w:val="both"/>
        <w:rPr>
          <w:rFonts w:ascii="Arial" w:hAnsi="Arial"/>
          <w:sz w:val="20"/>
          <w:szCs w:val="20"/>
        </w:rPr>
      </w:pPr>
      <w:r w:rsidRPr="00CB0FFC">
        <w:rPr>
          <w:rFonts w:ascii="Arial" w:hAnsi="Arial"/>
          <w:sz w:val="20"/>
          <w:szCs w:val="20"/>
        </w:rPr>
        <w:t>Caracteriza restrição à competitividade da licitação a exigência, como critério de habilitação, de atestado de qualificação técnica comprovando experiência em tipologia específica de serviço, salvo se imprescindível à certeza da boa execução do objeto e desde que devidamente fundamentada no processo licitatório.</w:t>
      </w:r>
    </w:p>
    <w:p w:rsidR="00821F3A" w:rsidRPr="00CB0FFC" w:rsidRDefault="00821F3A" w:rsidP="00821F3A">
      <w:pPr>
        <w:spacing w:after="0"/>
        <w:jc w:val="both"/>
        <w:rPr>
          <w:sz w:val="20"/>
          <w:szCs w:val="20"/>
        </w:rPr>
      </w:pPr>
    </w:p>
    <w:p w:rsidR="00B27917" w:rsidRDefault="009F1F0F" w:rsidP="00821F3A">
      <w:pPr>
        <w:widowControl w:val="0"/>
        <w:autoSpaceDE w:val="0"/>
        <w:autoSpaceDN w:val="0"/>
        <w:spacing w:after="0"/>
        <w:jc w:val="both"/>
        <w:rPr>
          <w:rFonts w:ascii="Arial" w:hAnsi="Arial"/>
          <w:sz w:val="20"/>
          <w:szCs w:val="20"/>
        </w:rPr>
      </w:pPr>
      <w:hyperlink r:id="rId22" w:history="1">
        <w:r w:rsidR="00B27917" w:rsidRPr="00C54092">
          <w:rPr>
            <w:rStyle w:val="Hyperlink"/>
            <w:rFonts w:ascii="Arial" w:hAnsi="Arial"/>
            <w:b/>
            <w:sz w:val="20"/>
            <w:szCs w:val="20"/>
          </w:rPr>
          <w:t>Acórdão 1586/2018</w:t>
        </w:r>
        <w:r w:rsidR="00C54092">
          <w:rPr>
            <w:rStyle w:val="Hyperlink"/>
            <w:rFonts w:ascii="Arial" w:hAnsi="Arial"/>
            <w:b/>
            <w:sz w:val="20"/>
            <w:szCs w:val="20"/>
          </w:rPr>
          <w:t xml:space="preserve"> - </w:t>
        </w:r>
        <w:r w:rsidR="00B27917" w:rsidRPr="00C54092">
          <w:rPr>
            <w:rStyle w:val="Hyperlink"/>
            <w:rFonts w:ascii="Arial" w:hAnsi="Arial"/>
            <w:b/>
            <w:sz w:val="20"/>
            <w:szCs w:val="20"/>
          </w:rPr>
          <w:t>Plenário</w:t>
        </w:r>
      </w:hyperlink>
      <w:r w:rsidR="00B27917" w:rsidRPr="00CB0FFC">
        <w:rPr>
          <w:rFonts w:ascii="Arial" w:hAnsi="Arial"/>
          <w:b/>
          <w:sz w:val="20"/>
          <w:szCs w:val="20"/>
        </w:rPr>
        <w:t xml:space="preserve"> </w:t>
      </w:r>
      <w:r w:rsidR="00B27917" w:rsidRPr="00CB0FFC">
        <w:rPr>
          <w:rFonts w:ascii="Arial" w:hAnsi="Arial"/>
          <w:sz w:val="20"/>
          <w:szCs w:val="20"/>
        </w:rPr>
        <w:t xml:space="preserve">(Tomada de Contas Especial, Relator Ministro-Substituto </w:t>
      </w:r>
      <w:r w:rsidR="00B27917" w:rsidRPr="00CB0FFC">
        <w:rPr>
          <w:rFonts w:ascii="Arial" w:hAnsi="Arial"/>
          <w:sz w:val="20"/>
          <w:szCs w:val="20"/>
        </w:rPr>
        <w:lastRenderedPageBreak/>
        <w:t>Augusto Sherman)</w:t>
      </w:r>
    </w:p>
    <w:p w:rsidR="00821F3A" w:rsidRPr="00CB0FFC" w:rsidRDefault="00821F3A" w:rsidP="00821F3A">
      <w:pPr>
        <w:widowControl w:val="0"/>
        <w:autoSpaceDE w:val="0"/>
        <w:autoSpaceDN w:val="0"/>
        <w:spacing w:after="0"/>
        <w:jc w:val="both"/>
        <w:rPr>
          <w:rFonts w:ascii="Arial" w:hAnsi="Arial" w:cs="Arial"/>
          <w:b/>
          <w:sz w:val="20"/>
          <w:szCs w:val="20"/>
        </w:rPr>
      </w:pPr>
    </w:p>
    <w:p w:rsidR="00B27917" w:rsidRDefault="00B27917" w:rsidP="00821F3A">
      <w:pPr>
        <w:spacing w:after="0"/>
        <w:jc w:val="both"/>
        <w:rPr>
          <w:rFonts w:ascii="Arial" w:hAnsi="Arial"/>
          <w:b/>
          <w:sz w:val="20"/>
          <w:szCs w:val="20"/>
        </w:rPr>
      </w:pPr>
      <w:r w:rsidRPr="00C54092">
        <w:rPr>
          <w:rFonts w:ascii="Arial" w:hAnsi="Arial"/>
          <w:b/>
          <w:sz w:val="20"/>
          <w:szCs w:val="20"/>
        </w:rPr>
        <w:t>Licitação. Orçamento estimativo. Encargos sociais. Terceirização. Aviso prévio. Indenização. Limite máximo.</w:t>
      </w:r>
    </w:p>
    <w:p w:rsidR="00821F3A" w:rsidRPr="00C54092" w:rsidRDefault="00821F3A" w:rsidP="00821F3A">
      <w:pPr>
        <w:spacing w:after="0"/>
        <w:jc w:val="both"/>
        <w:rPr>
          <w:rFonts w:ascii="Arial" w:hAnsi="Arial" w:cs="Arial"/>
          <w:b/>
          <w:sz w:val="20"/>
          <w:szCs w:val="20"/>
        </w:rPr>
      </w:pPr>
    </w:p>
    <w:p w:rsidR="00B27917" w:rsidRDefault="00B27917" w:rsidP="00821F3A">
      <w:pPr>
        <w:pStyle w:val="TCU-Epgrafe"/>
        <w:spacing w:line="276" w:lineRule="auto"/>
        <w:ind w:left="0"/>
        <w:rPr>
          <w:rFonts w:ascii="Arial" w:hAnsi="Arial"/>
          <w:sz w:val="20"/>
        </w:rPr>
      </w:pPr>
      <w:r w:rsidRPr="00CB0FFC">
        <w:rPr>
          <w:rFonts w:ascii="Arial" w:hAnsi="Arial"/>
          <w:sz w:val="20"/>
        </w:rPr>
        <w:t xml:space="preserve">Nas licitações para contratação de mão de obra terceirizada, a Administração deve estabelecer na minuta do contrato que a parcela mensal a título de aviso prévio trabalhado será no percentual máximo de 1,94% no primeiro ano, e, em caso de prorrogação do contrato, o percentual máximo dessa parcela será de 0,194% a cada ano de prorrogação, a ser incluído por ocasião da formulação do aditivo da prorrogação do contrato, conforme a </w:t>
      </w:r>
      <w:hyperlink r:id="rId23" w:history="1">
        <w:r w:rsidRPr="00CB0FFC">
          <w:rPr>
            <w:rStyle w:val="Hyperlink"/>
            <w:rFonts w:ascii="Arial" w:hAnsi="Arial"/>
            <w:color w:val="0000FF" w:themeColor="hyperlink"/>
            <w:sz w:val="20"/>
          </w:rPr>
          <w:t>Lei 12.506/2011</w:t>
        </w:r>
      </w:hyperlink>
      <w:r w:rsidRPr="00CB0FFC">
        <w:rPr>
          <w:rFonts w:ascii="Arial" w:hAnsi="Arial"/>
          <w:sz w:val="20"/>
        </w:rPr>
        <w:t>.</w:t>
      </w:r>
    </w:p>
    <w:p w:rsidR="00821F3A" w:rsidRPr="00CB0FFC" w:rsidRDefault="00821F3A" w:rsidP="00821F3A">
      <w:pPr>
        <w:pStyle w:val="TCU-Epgrafe"/>
        <w:spacing w:line="276" w:lineRule="auto"/>
        <w:ind w:left="0"/>
        <w:rPr>
          <w:sz w:val="20"/>
        </w:rPr>
      </w:pPr>
    </w:p>
    <w:p w:rsidR="00013C64" w:rsidRDefault="009F1F0F" w:rsidP="00821F3A">
      <w:pPr>
        <w:widowControl w:val="0"/>
        <w:autoSpaceDE w:val="0"/>
        <w:autoSpaceDN w:val="0"/>
        <w:spacing w:after="0"/>
        <w:jc w:val="both"/>
        <w:rPr>
          <w:rFonts w:ascii="Arial" w:hAnsi="Arial"/>
          <w:sz w:val="20"/>
          <w:szCs w:val="20"/>
        </w:rPr>
      </w:pPr>
      <w:hyperlink r:id="rId24" w:history="1">
        <w:r w:rsidR="00013C64" w:rsidRPr="00C54092">
          <w:rPr>
            <w:rStyle w:val="Hyperlink"/>
            <w:rFonts w:ascii="Arial" w:hAnsi="Arial"/>
            <w:b/>
            <w:sz w:val="20"/>
            <w:szCs w:val="20"/>
          </w:rPr>
          <w:t xml:space="preserve">Acórdão 6636/2018 </w:t>
        </w:r>
        <w:r w:rsidR="00C54092">
          <w:rPr>
            <w:rStyle w:val="Hyperlink"/>
            <w:rFonts w:ascii="Arial" w:hAnsi="Arial"/>
            <w:b/>
            <w:sz w:val="20"/>
            <w:szCs w:val="20"/>
          </w:rPr>
          <w:t xml:space="preserve">- </w:t>
        </w:r>
        <w:r w:rsidR="00013C64" w:rsidRPr="00C54092">
          <w:rPr>
            <w:rStyle w:val="Hyperlink"/>
            <w:rFonts w:ascii="Arial" w:hAnsi="Arial"/>
            <w:b/>
            <w:sz w:val="20"/>
            <w:szCs w:val="20"/>
          </w:rPr>
          <w:t>Primeira Câmara</w:t>
        </w:r>
      </w:hyperlink>
      <w:r w:rsidR="00013C64" w:rsidRPr="00CB0FFC">
        <w:rPr>
          <w:rFonts w:ascii="Arial" w:hAnsi="Arial"/>
          <w:b/>
          <w:sz w:val="20"/>
          <w:szCs w:val="20"/>
        </w:rPr>
        <w:t xml:space="preserve"> </w:t>
      </w:r>
      <w:r w:rsidR="00013C64" w:rsidRPr="00CB0FFC">
        <w:rPr>
          <w:rFonts w:ascii="Arial" w:hAnsi="Arial"/>
          <w:sz w:val="20"/>
          <w:szCs w:val="20"/>
        </w:rPr>
        <w:t xml:space="preserve">(Tomada de Contas Especial, Relator Ministro-Substituto Marcos </w:t>
      </w:r>
      <w:proofErr w:type="spellStart"/>
      <w:r w:rsidR="00013C64" w:rsidRPr="00CB0FFC">
        <w:rPr>
          <w:rFonts w:ascii="Arial" w:hAnsi="Arial"/>
          <w:sz w:val="20"/>
          <w:szCs w:val="20"/>
        </w:rPr>
        <w:t>Bemquerer</w:t>
      </w:r>
      <w:proofErr w:type="spellEnd"/>
      <w:r w:rsidR="00013C64" w:rsidRPr="00CB0FFC">
        <w:rPr>
          <w:rFonts w:ascii="Arial" w:hAnsi="Arial"/>
          <w:sz w:val="20"/>
          <w:szCs w:val="20"/>
        </w:rPr>
        <w:t>)</w:t>
      </w:r>
    </w:p>
    <w:p w:rsidR="00821F3A" w:rsidRPr="00CB0FFC" w:rsidRDefault="00821F3A" w:rsidP="00821F3A">
      <w:pPr>
        <w:widowControl w:val="0"/>
        <w:autoSpaceDE w:val="0"/>
        <w:autoSpaceDN w:val="0"/>
        <w:spacing w:after="0"/>
        <w:jc w:val="both"/>
        <w:rPr>
          <w:rFonts w:ascii="Arial" w:hAnsi="Arial" w:cs="Arial"/>
          <w:b/>
          <w:sz w:val="20"/>
          <w:szCs w:val="20"/>
        </w:rPr>
      </w:pPr>
    </w:p>
    <w:p w:rsidR="00013C64" w:rsidRDefault="00013C64" w:rsidP="00821F3A">
      <w:pPr>
        <w:spacing w:after="0"/>
        <w:jc w:val="both"/>
        <w:rPr>
          <w:rFonts w:ascii="Arial" w:hAnsi="Arial"/>
          <w:b/>
          <w:sz w:val="20"/>
          <w:szCs w:val="20"/>
        </w:rPr>
      </w:pPr>
      <w:r w:rsidRPr="00C54092">
        <w:rPr>
          <w:rFonts w:ascii="Arial" w:hAnsi="Arial"/>
          <w:b/>
          <w:sz w:val="20"/>
          <w:szCs w:val="20"/>
        </w:rPr>
        <w:t>Responsabilidade. Convênio. Débito. Evento. Empresa privada. Fotografia. Filmagem. Solidariedade.</w:t>
      </w:r>
    </w:p>
    <w:p w:rsidR="00821F3A" w:rsidRPr="00C54092" w:rsidRDefault="00821F3A" w:rsidP="00821F3A">
      <w:pPr>
        <w:spacing w:after="0"/>
        <w:jc w:val="both"/>
        <w:rPr>
          <w:rFonts w:ascii="Arial" w:hAnsi="Arial" w:cs="Arial"/>
          <w:b/>
          <w:sz w:val="20"/>
          <w:szCs w:val="20"/>
        </w:rPr>
      </w:pPr>
    </w:p>
    <w:p w:rsidR="00013C64" w:rsidRDefault="00013C64" w:rsidP="00821F3A">
      <w:pPr>
        <w:pStyle w:val="TCU-Epgrafe"/>
        <w:spacing w:line="276" w:lineRule="auto"/>
        <w:ind w:left="0"/>
        <w:rPr>
          <w:rFonts w:ascii="Arial" w:hAnsi="Arial"/>
          <w:sz w:val="20"/>
        </w:rPr>
      </w:pPr>
      <w:r w:rsidRPr="00CB0FFC">
        <w:rPr>
          <w:rFonts w:ascii="Arial" w:hAnsi="Arial"/>
          <w:sz w:val="20"/>
        </w:rPr>
        <w:t>No caso de débito decorrente da não apresentação pelo gestor convenente de documentos que comprovem a realização de evento artístico (fotografia, filmagem, publicação em jornais, revistas ou reportagens televisivas), não cabe a responsabilização solidária da empresa contratada.</w:t>
      </w:r>
    </w:p>
    <w:p w:rsidR="00821F3A" w:rsidRPr="00CB0FFC" w:rsidRDefault="00821F3A" w:rsidP="00821F3A">
      <w:pPr>
        <w:pStyle w:val="TCU-Epgrafe"/>
        <w:spacing w:line="276" w:lineRule="auto"/>
        <w:ind w:left="0"/>
        <w:rPr>
          <w:rFonts w:ascii="Arial" w:hAnsi="Arial"/>
          <w:sz w:val="20"/>
        </w:rPr>
      </w:pPr>
    </w:p>
    <w:p w:rsidR="003B59A8" w:rsidRPr="00CB0FFC" w:rsidRDefault="009F1F0F" w:rsidP="00821F3A">
      <w:pPr>
        <w:widowControl w:val="0"/>
        <w:autoSpaceDE w:val="0"/>
        <w:autoSpaceDN w:val="0"/>
        <w:spacing w:after="0"/>
        <w:jc w:val="both"/>
        <w:rPr>
          <w:rFonts w:ascii="Arial" w:hAnsi="Arial" w:cs="Arial"/>
          <w:b/>
          <w:sz w:val="20"/>
          <w:szCs w:val="20"/>
        </w:rPr>
      </w:pPr>
      <w:hyperlink r:id="rId25" w:history="1">
        <w:r w:rsidR="003B59A8" w:rsidRPr="00296CB9">
          <w:rPr>
            <w:rStyle w:val="Hyperlink"/>
            <w:rFonts w:ascii="Arial" w:hAnsi="Arial"/>
            <w:b/>
            <w:sz w:val="20"/>
            <w:szCs w:val="20"/>
          </w:rPr>
          <w:t>Acórdão 5465/2018</w:t>
        </w:r>
        <w:r w:rsidR="00296CB9">
          <w:rPr>
            <w:rStyle w:val="Hyperlink"/>
            <w:rFonts w:ascii="Arial" w:hAnsi="Arial"/>
            <w:b/>
            <w:sz w:val="20"/>
            <w:szCs w:val="20"/>
          </w:rPr>
          <w:t xml:space="preserve"> - </w:t>
        </w:r>
        <w:r w:rsidR="003B59A8" w:rsidRPr="00296CB9">
          <w:rPr>
            <w:rStyle w:val="Hyperlink"/>
            <w:rFonts w:ascii="Arial" w:hAnsi="Arial"/>
            <w:b/>
            <w:sz w:val="20"/>
            <w:szCs w:val="20"/>
          </w:rPr>
          <w:t>Segunda Câmara</w:t>
        </w:r>
      </w:hyperlink>
      <w:r w:rsidR="003B59A8" w:rsidRPr="00CB0FFC">
        <w:rPr>
          <w:rFonts w:ascii="Arial" w:hAnsi="Arial"/>
          <w:b/>
          <w:sz w:val="20"/>
          <w:szCs w:val="20"/>
        </w:rPr>
        <w:t xml:space="preserve"> </w:t>
      </w:r>
      <w:r w:rsidR="003B59A8" w:rsidRPr="00CB0FFC">
        <w:rPr>
          <w:rFonts w:ascii="Arial" w:hAnsi="Arial"/>
          <w:sz w:val="20"/>
          <w:szCs w:val="20"/>
        </w:rPr>
        <w:t xml:space="preserve">(Aposentadoria, Relator Ministro José </w:t>
      </w:r>
      <w:proofErr w:type="spellStart"/>
      <w:r w:rsidR="003B59A8" w:rsidRPr="00CB0FFC">
        <w:rPr>
          <w:rFonts w:ascii="Arial" w:hAnsi="Arial"/>
          <w:sz w:val="20"/>
          <w:szCs w:val="20"/>
        </w:rPr>
        <w:t>Múcio</w:t>
      </w:r>
      <w:proofErr w:type="spellEnd"/>
      <w:r w:rsidR="003B59A8" w:rsidRPr="00CB0FFC">
        <w:rPr>
          <w:rFonts w:ascii="Arial" w:hAnsi="Arial"/>
          <w:sz w:val="20"/>
          <w:szCs w:val="20"/>
        </w:rPr>
        <w:t xml:space="preserve"> Monteiro)</w:t>
      </w:r>
    </w:p>
    <w:p w:rsidR="003B59A8" w:rsidRDefault="003B59A8" w:rsidP="00821F3A">
      <w:pPr>
        <w:spacing w:after="0"/>
        <w:jc w:val="both"/>
        <w:rPr>
          <w:rFonts w:ascii="Arial" w:hAnsi="Arial"/>
          <w:b/>
          <w:sz w:val="20"/>
          <w:szCs w:val="20"/>
        </w:rPr>
      </w:pPr>
      <w:r w:rsidRPr="00C54092">
        <w:rPr>
          <w:rFonts w:ascii="Arial" w:hAnsi="Arial"/>
          <w:b/>
          <w:sz w:val="20"/>
          <w:szCs w:val="20"/>
        </w:rPr>
        <w:t>Pessoal. Ato sujeito a registro. Princípio da segurança jurídica. Ato ilegal. Requisito.</w:t>
      </w:r>
    </w:p>
    <w:p w:rsidR="00821F3A" w:rsidRPr="00C54092" w:rsidRDefault="00821F3A" w:rsidP="00821F3A">
      <w:pPr>
        <w:spacing w:after="0"/>
        <w:jc w:val="both"/>
        <w:rPr>
          <w:rFonts w:ascii="Arial" w:hAnsi="Arial" w:cs="Arial"/>
          <w:b/>
          <w:sz w:val="20"/>
          <w:szCs w:val="20"/>
        </w:rPr>
      </w:pPr>
    </w:p>
    <w:p w:rsidR="003B59A8" w:rsidRDefault="003B59A8" w:rsidP="00821F3A">
      <w:pPr>
        <w:pStyle w:val="TCU-Epgrafe"/>
        <w:spacing w:line="276" w:lineRule="auto"/>
        <w:ind w:left="0"/>
        <w:rPr>
          <w:rFonts w:ascii="Arial" w:hAnsi="Arial"/>
          <w:sz w:val="20"/>
        </w:rPr>
      </w:pPr>
      <w:r w:rsidRPr="00CB0FFC">
        <w:rPr>
          <w:rFonts w:ascii="Arial" w:hAnsi="Arial"/>
          <w:sz w:val="20"/>
        </w:rPr>
        <w:t xml:space="preserve">A aplicação do princípio da segurança jurídica, para fins de manutenção excepcional dos efeitos financeiros de atos de concessão ilegais, deve cingir-se àquelas hipóteses em que for irreversível a situação fática do interessado ou insuportável o prejuízo a ele causado, relacionadas em regra: i) à impossibilidade de reversão do servidor à atividade para complementar tempo de serviço considerado ilegal; </w:t>
      </w:r>
      <w:proofErr w:type="spellStart"/>
      <w:r w:rsidRPr="00CB0FFC">
        <w:rPr>
          <w:rFonts w:ascii="Arial" w:hAnsi="Arial"/>
          <w:sz w:val="20"/>
        </w:rPr>
        <w:t>ii</w:t>
      </w:r>
      <w:proofErr w:type="spellEnd"/>
      <w:r w:rsidRPr="00CB0FFC">
        <w:rPr>
          <w:rFonts w:ascii="Arial" w:hAnsi="Arial"/>
          <w:sz w:val="20"/>
        </w:rPr>
        <w:t xml:space="preserve">) à supressão dos meios de subsistência condigna; </w:t>
      </w:r>
      <w:proofErr w:type="spellStart"/>
      <w:r w:rsidRPr="00CB0FFC">
        <w:rPr>
          <w:rFonts w:ascii="Arial" w:hAnsi="Arial"/>
          <w:sz w:val="20"/>
        </w:rPr>
        <w:t>iii</w:t>
      </w:r>
      <w:proofErr w:type="spellEnd"/>
      <w:r w:rsidRPr="00CB0FFC">
        <w:rPr>
          <w:rFonts w:ascii="Arial" w:hAnsi="Arial"/>
          <w:sz w:val="20"/>
        </w:rPr>
        <w:t xml:space="preserve">) ao estado de saúde do beneficiário; ou </w:t>
      </w:r>
      <w:proofErr w:type="spellStart"/>
      <w:r w:rsidRPr="00CB0FFC">
        <w:rPr>
          <w:rFonts w:ascii="Arial" w:hAnsi="Arial"/>
          <w:sz w:val="20"/>
        </w:rPr>
        <w:t>iv</w:t>
      </w:r>
      <w:proofErr w:type="spellEnd"/>
      <w:r w:rsidRPr="00CB0FFC">
        <w:rPr>
          <w:rFonts w:ascii="Arial" w:hAnsi="Arial"/>
          <w:sz w:val="20"/>
        </w:rPr>
        <w:t>) à absoluta impossibilidade de preenchimento de algum requisito legal para aposentadoria.</w:t>
      </w:r>
    </w:p>
    <w:p w:rsidR="00821F3A" w:rsidRDefault="00821F3A" w:rsidP="00821F3A">
      <w:pPr>
        <w:pStyle w:val="TCU-Epgrafe"/>
        <w:spacing w:line="276" w:lineRule="auto"/>
        <w:ind w:left="0"/>
        <w:rPr>
          <w:rFonts w:ascii="Arial" w:hAnsi="Arial"/>
          <w:sz w:val="20"/>
        </w:rPr>
      </w:pPr>
    </w:p>
    <w:p w:rsidR="00406D57" w:rsidRDefault="009F1F0F" w:rsidP="00821F3A">
      <w:pPr>
        <w:widowControl w:val="0"/>
        <w:autoSpaceDE w:val="0"/>
        <w:autoSpaceDN w:val="0"/>
        <w:spacing w:after="0"/>
        <w:jc w:val="both"/>
        <w:rPr>
          <w:rFonts w:ascii="Arial" w:hAnsi="Arial"/>
          <w:sz w:val="20"/>
          <w:szCs w:val="20"/>
        </w:rPr>
      </w:pPr>
      <w:hyperlink r:id="rId26" w:history="1">
        <w:r w:rsidR="00406D57" w:rsidRPr="009D1A13">
          <w:rPr>
            <w:rStyle w:val="Hyperlink"/>
            <w:rFonts w:ascii="Arial" w:hAnsi="Arial"/>
            <w:b/>
            <w:sz w:val="20"/>
            <w:szCs w:val="20"/>
          </w:rPr>
          <w:t xml:space="preserve">Acórdão 1618/2018 </w:t>
        </w:r>
        <w:r w:rsidR="009D1A13">
          <w:rPr>
            <w:rStyle w:val="Hyperlink"/>
            <w:rFonts w:ascii="Arial" w:hAnsi="Arial"/>
            <w:b/>
            <w:sz w:val="20"/>
            <w:szCs w:val="20"/>
          </w:rPr>
          <w:t xml:space="preserve">- </w:t>
        </w:r>
        <w:r w:rsidR="00406D57" w:rsidRPr="009D1A13">
          <w:rPr>
            <w:rStyle w:val="Hyperlink"/>
            <w:rFonts w:ascii="Arial" w:hAnsi="Arial"/>
            <w:b/>
            <w:sz w:val="20"/>
            <w:szCs w:val="20"/>
          </w:rPr>
          <w:t>Plenário</w:t>
        </w:r>
      </w:hyperlink>
      <w:r w:rsidR="00406D57" w:rsidRPr="00406D57">
        <w:rPr>
          <w:rFonts w:ascii="Arial" w:hAnsi="Arial"/>
          <w:b/>
          <w:sz w:val="20"/>
          <w:szCs w:val="20"/>
        </w:rPr>
        <w:t xml:space="preserve"> </w:t>
      </w:r>
      <w:r w:rsidR="00406D57" w:rsidRPr="00406D57">
        <w:rPr>
          <w:rFonts w:ascii="Arial" w:hAnsi="Arial"/>
          <w:sz w:val="20"/>
          <w:szCs w:val="20"/>
        </w:rPr>
        <w:t>(Consulta, Relator Ministro Vital do Rêgo)</w:t>
      </w:r>
    </w:p>
    <w:p w:rsidR="00821F3A" w:rsidRPr="00406D57" w:rsidRDefault="00821F3A" w:rsidP="00821F3A">
      <w:pPr>
        <w:widowControl w:val="0"/>
        <w:autoSpaceDE w:val="0"/>
        <w:autoSpaceDN w:val="0"/>
        <w:spacing w:after="0"/>
        <w:jc w:val="both"/>
        <w:rPr>
          <w:rFonts w:ascii="Arial" w:hAnsi="Arial" w:cs="Arial"/>
          <w:b/>
          <w:sz w:val="20"/>
          <w:szCs w:val="20"/>
        </w:rPr>
      </w:pPr>
    </w:p>
    <w:p w:rsidR="00406D57" w:rsidRDefault="00406D57" w:rsidP="00821F3A">
      <w:pPr>
        <w:spacing w:after="0"/>
        <w:jc w:val="both"/>
        <w:rPr>
          <w:rFonts w:ascii="Arial" w:hAnsi="Arial"/>
          <w:b/>
          <w:sz w:val="20"/>
          <w:szCs w:val="20"/>
        </w:rPr>
      </w:pPr>
      <w:r w:rsidRPr="00C54092">
        <w:rPr>
          <w:rFonts w:ascii="Arial" w:hAnsi="Arial"/>
          <w:b/>
          <w:sz w:val="20"/>
          <w:szCs w:val="20"/>
        </w:rPr>
        <w:t>Finanças Públicas. Orçamento da União. Concurso público. Taxa. Consulta.</w:t>
      </w:r>
    </w:p>
    <w:p w:rsidR="00821F3A" w:rsidRPr="00C54092" w:rsidRDefault="00821F3A" w:rsidP="00821F3A">
      <w:pPr>
        <w:spacing w:after="0"/>
        <w:jc w:val="both"/>
        <w:rPr>
          <w:rFonts w:ascii="Arial" w:hAnsi="Arial" w:cs="Arial"/>
          <w:b/>
          <w:sz w:val="20"/>
          <w:szCs w:val="20"/>
        </w:rPr>
      </w:pPr>
    </w:p>
    <w:p w:rsidR="00406D57" w:rsidRDefault="00406D57" w:rsidP="00821F3A">
      <w:pPr>
        <w:spacing w:after="0"/>
        <w:jc w:val="both"/>
        <w:rPr>
          <w:rFonts w:ascii="Arial" w:hAnsi="Arial"/>
          <w:sz w:val="20"/>
          <w:szCs w:val="20"/>
        </w:rPr>
      </w:pPr>
      <w:r w:rsidRPr="00406D57">
        <w:rPr>
          <w:rFonts w:ascii="Arial" w:hAnsi="Arial"/>
          <w:sz w:val="20"/>
          <w:szCs w:val="20"/>
        </w:rPr>
        <w:t xml:space="preserve">As receitas decorrentes da arrecadação de taxa de inscrição em concurso público promovido por órgão estatal, e também as despesas necessárias à sua concretização, devem, mesmo sob a égide da </w:t>
      </w:r>
      <w:hyperlink r:id="rId27" w:history="1">
        <w:r w:rsidRPr="00406D57">
          <w:rPr>
            <w:rStyle w:val="Hyperlink"/>
            <w:rFonts w:ascii="Arial" w:hAnsi="Arial"/>
            <w:color w:val="0000FF" w:themeColor="hyperlink"/>
            <w:sz w:val="20"/>
            <w:szCs w:val="20"/>
          </w:rPr>
          <w:t>EC 95/2016</w:t>
        </w:r>
      </w:hyperlink>
      <w:r w:rsidRPr="00406D57">
        <w:rPr>
          <w:rFonts w:ascii="Arial" w:hAnsi="Arial"/>
          <w:sz w:val="20"/>
          <w:szCs w:val="20"/>
        </w:rPr>
        <w:t>, ser integralmente registradas no Orçamento da União, em deferência aos princípios da universalidade, do orçamento bruto e da transparência na gestão fiscal.</w:t>
      </w:r>
    </w:p>
    <w:p w:rsidR="00821F3A" w:rsidRDefault="00821F3A" w:rsidP="00821F3A">
      <w:pPr>
        <w:spacing w:after="0"/>
        <w:jc w:val="both"/>
        <w:rPr>
          <w:rFonts w:ascii="Arial" w:hAnsi="Arial"/>
          <w:sz w:val="20"/>
          <w:szCs w:val="20"/>
        </w:rPr>
      </w:pPr>
    </w:p>
    <w:p w:rsidR="00406D57" w:rsidRDefault="009F1F0F" w:rsidP="00821F3A">
      <w:pPr>
        <w:widowControl w:val="0"/>
        <w:autoSpaceDE w:val="0"/>
        <w:autoSpaceDN w:val="0"/>
        <w:spacing w:after="0"/>
        <w:jc w:val="both"/>
        <w:rPr>
          <w:rFonts w:ascii="Arial" w:hAnsi="Arial" w:cs="Arial"/>
          <w:sz w:val="20"/>
          <w:szCs w:val="20"/>
        </w:rPr>
      </w:pPr>
      <w:hyperlink r:id="rId28" w:history="1">
        <w:r w:rsidR="00406D57" w:rsidRPr="00685814">
          <w:rPr>
            <w:rStyle w:val="Hyperlink"/>
            <w:rFonts w:ascii="Arial" w:hAnsi="Arial" w:cs="Arial"/>
            <w:b/>
            <w:sz w:val="20"/>
            <w:szCs w:val="20"/>
          </w:rPr>
          <w:t>Acórdão 1618/2018</w:t>
        </w:r>
        <w:r w:rsidR="00685814">
          <w:rPr>
            <w:rStyle w:val="Hyperlink"/>
            <w:rFonts w:ascii="Arial" w:hAnsi="Arial" w:cs="Arial"/>
            <w:b/>
            <w:sz w:val="20"/>
            <w:szCs w:val="20"/>
          </w:rPr>
          <w:t xml:space="preserve"> - </w:t>
        </w:r>
        <w:r w:rsidR="00406D57" w:rsidRPr="00685814">
          <w:rPr>
            <w:rStyle w:val="Hyperlink"/>
            <w:rFonts w:ascii="Arial" w:hAnsi="Arial" w:cs="Arial"/>
            <w:b/>
            <w:sz w:val="20"/>
            <w:szCs w:val="20"/>
          </w:rPr>
          <w:t>Plenário</w:t>
        </w:r>
      </w:hyperlink>
      <w:r w:rsidR="00406D57" w:rsidRPr="00406D57">
        <w:rPr>
          <w:rFonts w:ascii="Arial" w:hAnsi="Arial" w:cs="Arial"/>
          <w:b/>
          <w:sz w:val="20"/>
          <w:szCs w:val="20"/>
        </w:rPr>
        <w:t xml:space="preserve"> </w:t>
      </w:r>
      <w:r w:rsidR="00406D57" w:rsidRPr="00406D57">
        <w:rPr>
          <w:rFonts w:ascii="Arial" w:hAnsi="Arial" w:cs="Arial"/>
          <w:sz w:val="20"/>
          <w:szCs w:val="20"/>
        </w:rPr>
        <w:t>(Consulta, Relator Ministro Vital do Rêgo)</w:t>
      </w:r>
    </w:p>
    <w:p w:rsidR="00821F3A" w:rsidRPr="00406D57" w:rsidRDefault="00821F3A" w:rsidP="00821F3A">
      <w:pPr>
        <w:widowControl w:val="0"/>
        <w:autoSpaceDE w:val="0"/>
        <w:autoSpaceDN w:val="0"/>
        <w:spacing w:after="0"/>
        <w:jc w:val="both"/>
        <w:rPr>
          <w:rFonts w:ascii="Arial" w:hAnsi="Arial" w:cs="Arial"/>
          <w:b/>
          <w:sz w:val="20"/>
          <w:szCs w:val="20"/>
        </w:rPr>
      </w:pPr>
    </w:p>
    <w:p w:rsidR="00406D57" w:rsidRDefault="00406D57" w:rsidP="00821F3A">
      <w:pPr>
        <w:spacing w:after="0"/>
        <w:jc w:val="both"/>
        <w:rPr>
          <w:rFonts w:ascii="Arial" w:hAnsi="Arial" w:cs="Arial"/>
          <w:b/>
          <w:sz w:val="20"/>
          <w:szCs w:val="20"/>
        </w:rPr>
      </w:pPr>
      <w:r w:rsidRPr="00C54092">
        <w:rPr>
          <w:rFonts w:ascii="Arial" w:hAnsi="Arial" w:cs="Arial"/>
          <w:b/>
          <w:sz w:val="20"/>
          <w:szCs w:val="20"/>
        </w:rPr>
        <w:t>Pessoal. Concurso público. Aproveitamento. Requisito. Consulta.</w:t>
      </w:r>
    </w:p>
    <w:p w:rsidR="00821F3A" w:rsidRPr="00C54092" w:rsidRDefault="00821F3A" w:rsidP="00821F3A">
      <w:pPr>
        <w:spacing w:after="0"/>
        <w:jc w:val="both"/>
        <w:rPr>
          <w:rFonts w:ascii="Arial" w:hAnsi="Arial" w:cs="Arial"/>
          <w:b/>
          <w:sz w:val="20"/>
          <w:szCs w:val="20"/>
        </w:rPr>
      </w:pPr>
    </w:p>
    <w:p w:rsidR="00406D57" w:rsidRDefault="00406D57" w:rsidP="00821F3A">
      <w:pPr>
        <w:spacing w:after="0"/>
        <w:jc w:val="both"/>
        <w:rPr>
          <w:rFonts w:ascii="Arial" w:hAnsi="Arial" w:cs="Arial"/>
          <w:sz w:val="20"/>
          <w:szCs w:val="20"/>
        </w:rPr>
      </w:pPr>
      <w:r w:rsidRPr="00406D57">
        <w:rPr>
          <w:rFonts w:ascii="Arial" w:hAnsi="Arial" w:cs="Arial"/>
          <w:sz w:val="20"/>
          <w:szCs w:val="20"/>
        </w:rPr>
        <w:t>O aproveitamento de candidatos aprovados em concursos púbicos por outros órgãos e entidades: (i) requer previsão expressa no edital do concurso de onde serão aproveitados os candidatos; (</w:t>
      </w:r>
      <w:proofErr w:type="spellStart"/>
      <w:r w:rsidRPr="00406D57">
        <w:rPr>
          <w:rFonts w:ascii="Arial" w:hAnsi="Arial" w:cs="Arial"/>
          <w:sz w:val="20"/>
          <w:szCs w:val="20"/>
        </w:rPr>
        <w:t>ii</w:t>
      </w:r>
      <w:proofErr w:type="spellEnd"/>
      <w:r w:rsidRPr="00406D57">
        <w:rPr>
          <w:rFonts w:ascii="Arial" w:hAnsi="Arial" w:cs="Arial"/>
          <w:sz w:val="20"/>
          <w:szCs w:val="20"/>
        </w:rPr>
        <w:t>) deve observar a ordem de classificação, a finalidade ou a destinação prevista no edital; (</w:t>
      </w:r>
      <w:proofErr w:type="spellStart"/>
      <w:r w:rsidRPr="00406D57">
        <w:rPr>
          <w:rFonts w:ascii="Arial" w:hAnsi="Arial" w:cs="Arial"/>
          <w:sz w:val="20"/>
          <w:szCs w:val="20"/>
        </w:rPr>
        <w:t>iii</w:t>
      </w:r>
      <w:proofErr w:type="spellEnd"/>
      <w:r w:rsidRPr="00406D57">
        <w:rPr>
          <w:rFonts w:ascii="Arial" w:hAnsi="Arial" w:cs="Arial"/>
          <w:sz w:val="20"/>
          <w:szCs w:val="20"/>
        </w:rPr>
        <w:t>) deve ser devidamente motivado; (</w:t>
      </w:r>
      <w:proofErr w:type="spellStart"/>
      <w:r w:rsidRPr="00406D57">
        <w:rPr>
          <w:rFonts w:ascii="Arial" w:hAnsi="Arial" w:cs="Arial"/>
          <w:sz w:val="20"/>
          <w:szCs w:val="20"/>
        </w:rPr>
        <w:t>iv</w:t>
      </w:r>
      <w:proofErr w:type="spellEnd"/>
      <w:r w:rsidRPr="00406D57">
        <w:rPr>
          <w:rFonts w:ascii="Arial" w:hAnsi="Arial" w:cs="Arial"/>
          <w:sz w:val="20"/>
          <w:szCs w:val="20"/>
        </w:rPr>
        <w:t xml:space="preserve">) deve se restringir a órgãos/entidades do mesmo Poder; (v) deve ser voltado ao provimento de cargo idêntico àquele para o qual foi realizado o concurso (mesma denominação e mesmos requisitos de habilitação acadêmica e profissional, atribuições, competências, direitos e deveres); (vi) somente poderá alcançar cargos que tenham seu exercício previsto para as mesmas localidades em que tenham exercício os servidores do órgão/entidade promotor do certame. </w:t>
      </w:r>
    </w:p>
    <w:p w:rsidR="00821F3A" w:rsidRDefault="00821F3A" w:rsidP="00821F3A">
      <w:pPr>
        <w:spacing w:after="0"/>
        <w:jc w:val="both"/>
        <w:rPr>
          <w:rFonts w:ascii="Arial" w:hAnsi="Arial" w:cs="Arial"/>
          <w:sz w:val="20"/>
          <w:szCs w:val="20"/>
        </w:rPr>
      </w:pPr>
    </w:p>
    <w:p w:rsidR="00E52744" w:rsidRDefault="009F1F0F" w:rsidP="00821F3A">
      <w:pPr>
        <w:widowControl w:val="0"/>
        <w:autoSpaceDE w:val="0"/>
        <w:autoSpaceDN w:val="0"/>
        <w:spacing w:after="0"/>
        <w:jc w:val="both"/>
        <w:rPr>
          <w:rFonts w:ascii="Arial" w:hAnsi="Arial" w:cs="Arial"/>
          <w:sz w:val="20"/>
          <w:szCs w:val="20"/>
        </w:rPr>
      </w:pPr>
      <w:hyperlink r:id="rId29" w:history="1">
        <w:r w:rsidR="00E52744" w:rsidRPr="00685814">
          <w:rPr>
            <w:rStyle w:val="Hyperlink"/>
            <w:rFonts w:ascii="Arial" w:hAnsi="Arial" w:cs="Arial"/>
            <w:b/>
            <w:sz w:val="20"/>
            <w:szCs w:val="20"/>
          </w:rPr>
          <w:t>Acórdão 1618/2018</w:t>
        </w:r>
        <w:r w:rsidR="00685814">
          <w:rPr>
            <w:rStyle w:val="Hyperlink"/>
            <w:rFonts w:ascii="Arial" w:hAnsi="Arial" w:cs="Arial"/>
            <w:b/>
            <w:sz w:val="20"/>
            <w:szCs w:val="20"/>
          </w:rPr>
          <w:t xml:space="preserve"> - </w:t>
        </w:r>
        <w:r w:rsidR="00E52744" w:rsidRPr="00685814">
          <w:rPr>
            <w:rStyle w:val="Hyperlink"/>
            <w:rFonts w:ascii="Arial" w:hAnsi="Arial" w:cs="Arial"/>
            <w:b/>
            <w:sz w:val="20"/>
            <w:szCs w:val="20"/>
          </w:rPr>
          <w:t>Plenário</w:t>
        </w:r>
      </w:hyperlink>
      <w:r w:rsidR="00E52744" w:rsidRPr="00E52744">
        <w:rPr>
          <w:rFonts w:ascii="Arial" w:hAnsi="Arial" w:cs="Arial"/>
          <w:b/>
          <w:sz w:val="20"/>
          <w:szCs w:val="20"/>
        </w:rPr>
        <w:t xml:space="preserve"> </w:t>
      </w:r>
      <w:r w:rsidR="00E52744" w:rsidRPr="00E52744">
        <w:rPr>
          <w:rFonts w:ascii="Arial" w:hAnsi="Arial" w:cs="Arial"/>
          <w:sz w:val="20"/>
          <w:szCs w:val="20"/>
        </w:rPr>
        <w:t>(Consulta, Relator Ministro Vital do Rêgo)</w:t>
      </w:r>
    </w:p>
    <w:p w:rsidR="00821F3A" w:rsidRPr="00E52744" w:rsidRDefault="00821F3A" w:rsidP="00821F3A">
      <w:pPr>
        <w:widowControl w:val="0"/>
        <w:autoSpaceDE w:val="0"/>
        <w:autoSpaceDN w:val="0"/>
        <w:spacing w:after="0"/>
        <w:jc w:val="both"/>
        <w:rPr>
          <w:rFonts w:ascii="Arial" w:hAnsi="Arial" w:cs="Arial"/>
          <w:b/>
          <w:sz w:val="20"/>
          <w:szCs w:val="20"/>
        </w:rPr>
      </w:pPr>
    </w:p>
    <w:p w:rsidR="00E52744" w:rsidRDefault="00E52744" w:rsidP="00821F3A">
      <w:pPr>
        <w:spacing w:after="0"/>
        <w:jc w:val="both"/>
        <w:rPr>
          <w:rFonts w:ascii="Arial" w:hAnsi="Arial" w:cs="Arial"/>
          <w:b/>
          <w:sz w:val="20"/>
          <w:szCs w:val="20"/>
        </w:rPr>
      </w:pPr>
      <w:r w:rsidRPr="00C54092">
        <w:rPr>
          <w:rFonts w:ascii="Arial" w:hAnsi="Arial" w:cs="Arial"/>
          <w:b/>
          <w:sz w:val="20"/>
          <w:szCs w:val="20"/>
        </w:rPr>
        <w:t>Concurso público. Aproveitamento. Requisito. Consulta.</w:t>
      </w:r>
    </w:p>
    <w:p w:rsidR="00821F3A" w:rsidRPr="00C54092" w:rsidRDefault="00821F3A" w:rsidP="00821F3A">
      <w:pPr>
        <w:spacing w:after="0"/>
        <w:jc w:val="both"/>
        <w:rPr>
          <w:rFonts w:ascii="Arial" w:hAnsi="Arial" w:cs="Arial"/>
          <w:b/>
          <w:sz w:val="20"/>
          <w:szCs w:val="20"/>
        </w:rPr>
      </w:pPr>
    </w:p>
    <w:p w:rsidR="00E52744" w:rsidRDefault="00E52744" w:rsidP="00821F3A">
      <w:pPr>
        <w:spacing w:after="0"/>
        <w:jc w:val="both"/>
        <w:rPr>
          <w:rFonts w:ascii="Arial" w:hAnsi="Arial" w:cs="Arial"/>
          <w:sz w:val="20"/>
          <w:szCs w:val="20"/>
        </w:rPr>
      </w:pPr>
      <w:r w:rsidRPr="00E52744">
        <w:rPr>
          <w:rFonts w:ascii="Arial" w:hAnsi="Arial" w:cs="Arial"/>
          <w:sz w:val="20"/>
          <w:szCs w:val="20"/>
        </w:rPr>
        <w:t>O aproveitamento de candidatos aprovados em concursos púbicos por outros órgãos e entidades: (i) requer previsão expressa no edital do concurso de onde serão aproveitados os candidatos; (</w:t>
      </w:r>
      <w:proofErr w:type="spellStart"/>
      <w:r w:rsidRPr="00E52744">
        <w:rPr>
          <w:rFonts w:ascii="Arial" w:hAnsi="Arial" w:cs="Arial"/>
          <w:sz w:val="20"/>
          <w:szCs w:val="20"/>
        </w:rPr>
        <w:t>ii</w:t>
      </w:r>
      <w:proofErr w:type="spellEnd"/>
      <w:r w:rsidRPr="00E52744">
        <w:rPr>
          <w:rFonts w:ascii="Arial" w:hAnsi="Arial" w:cs="Arial"/>
          <w:sz w:val="20"/>
          <w:szCs w:val="20"/>
        </w:rPr>
        <w:t>) deve observar a ordem de classificação, a finalidade ou a destinação prevista no edital; (</w:t>
      </w:r>
      <w:proofErr w:type="spellStart"/>
      <w:r w:rsidRPr="00E52744">
        <w:rPr>
          <w:rFonts w:ascii="Arial" w:hAnsi="Arial" w:cs="Arial"/>
          <w:sz w:val="20"/>
          <w:szCs w:val="20"/>
        </w:rPr>
        <w:t>iii</w:t>
      </w:r>
      <w:proofErr w:type="spellEnd"/>
      <w:r w:rsidRPr="00E52744">
        <w:rPr>
          <w:rFonts w:ascii="Arial" w:hAnsi="Arial" w:cs="Arial"/>
          <w:sz w:val="20"/>
          <w:szCs w:val="20"/>
        </w:rPr>
        <w:t>) deve ser devidamente motivado; (</w:t>
      </w:r>
      <w:proofErr w:type="spellStart"/>
      <w:r w:rsidRPr="00E52744">
        <w:rPr>
          <w:rFonts w:ascii="Arial" w:hAnsi="Arial" w:cs="Arial"/>
          <w:sz w:val="20"/>
          <w:szCs w:val="20"/>
        </w:rPr>
        <w:t>iv</w:t>
      </w:r>
      <w:proofErr w:type="spellEnd"/>
      <w:r w:rsidRPr="00E52744">
        <w:rPr>
          <w:rFonts w:ascii="Arial" w:hAnsi="Arial" w:cs="Arial"/>
          <w:sz w:val="20"/>
          <w:szCs w:val="20"/>
        </w:rPr>
        <w:t xml:space="preserve">) deve se restringir a órgãos/entidades do mesmo Poder; (v) deve ser voltado ao provimento de cargo idêntico àquele para o qual foi realizado o concurso (mesma denominação e mesmos requisitos de habilitação acadêmica e profissional, atribuições, competências, direitos e deveres); (vi) somente poderá alcançar cargos que tenham seu exercício previsto para as mesmas localidades em que tenham exercício os servidores do órgão/entidade promotor do certame. </w:t>
      </w:r>
    </w:p>
    <w:p w:rsidR="00821F3A" w:rsidRDefault="00821F3A" w:rsidP="00821F3A">
      <w:pPr>
        <w:spacing w:after="0"/>
        <w:jc w:val="both"/>
        <w:rPr>
          <w:rFonts w:ascii="Arial" w:hAnsi="Arial" w:cs="Arial"/>
          <w:sz w:val="20"/>
          <w:szCs w:val="20"/>
        </w:rPr>
      </w:pPr>
    </w:p>
    <w:p w:rsidR="00E70031" w:rsidRDefault="009F1F0F" w:rsidP="00821F3A">
      <w:pPr>
        <w:widowControl w:val="0"/>
        <w:autoSpaceDE w:val="0"/>
        <w:autoSpaceDN w:val="0"/>
        <w:spacing w:after="0"/>
        <w:jc w:val="both"/>
        <w:rPr>
          <w:rFonts w:ascii="Arial" w:hAnsi="Arial" w:cs="Arial"/>
          <w:sz w:val="20"/>
          <w:szCs w:val="20"/>
        </w:rPr>
      </w:pPr>
      <w:hyperlink r:id="rId30" w:history="1">
        <w:r w:rsidR="00E70031" w:rsidRPr="0051479A">
          <w:rPr>
            <w:rStyle w:val="Hyperlink"/>
            <w:rFonts w:ascii="Arial" w:hAnsi="Arial" w:cs="Arial"/>
            <w:b/>
            <w:sz w:val="20"/>
            <w:szCs w:val="20"/>
          </w:rPr>
          <w:t>Acórdão 7181/2018</w:t>
        </w:r>
        <w:r w:rsidR="0051479A">
          <w:rPr>
            <w:rStyle w:val="Hyperlink"/>
            <w:rFonts w:ascii="Arial" w:hAnsi="Arial" w:cs="Arial"/>
            <w:b/>
            <w:sz w:val="20"/>
            <w:szCs w:val="20"/>
          </w:rPr>
          <w:t xml:space="preserve"> - </w:t>
        </w:r>
        <w:r w:rsidR="00E70031" w:rsidRPr="0051479A">
          <w:rPr>
            <w:rStyle w:val="Hyperlink"/>
            <w:rFonts w:ascii="Arial" w:hAnsi="Arial" w:cs="Arial"/>
            <w:b/>
            <w:sz w:val="20"/>
            <w:szCs w:val="20"/>
          </w:rPr>
          <w:t>Segunda Câmara</w:t>
        </w:r>
      </w:hyperlink>
      <w:r w:rsidR="00E70031" w:rsidRPr="00E70031">
        <w:rPr>
          <w:rFonts w:ascii="Arial" w:hAnsi="Arial" w:cs="Arial"/>
          <w:b/>
          <w:sz w:val="20"/>
          <w:szCs w:val="20"/>
        </w:rPr>
        <w:t xml:space="preserve"> </w:t>
      </w:r>
      <w:r w:rsidR="00E70031" w:rsidRPr="00E70031">
        <w:rPr>
          <w:rFonts w:ascii="Arial" w:hAnsi="Arial" w:cs="Arial"/>
          <w:sz w:val="20"/>
          <w:szCs w:val="20"/>
        </w:rPr>
        <w:t>(Recurso de Reconsideração, Relator Ministro Aroldo Cedraz)</w:t>
      </w:r>
    </w:p>
    <w:p w:rsidR="00821F3A" w:rsidRPr="00E70031" w:rsidRDefault="00821F3A" w:rsidP="00821F3A">
      <w:pPr>
        <w:widowControl w:val="0"/>
        <w:autoSpaceDE w:val="0"/>
        <w:autoSpaceDN w:val="0"/>
        <w:spacing w:after="0"/>
        <w:jc w:val="both"/>
        <w:rPr>
          <w:rFonts w:ascii="Arial" w:hAnsi="Arial" w:cs="Arial"/>
          <w:b/>
          <w:sz w:val="20"/>
          <w:szCs w:val="20"/>
        </w:rPr>
      </w:pPr>
    </w:p>
    <w:p w:rsidR="00E70031" w:rsidRDefault="00E70031" w:rsidP="00821F3A">
      <w:pPr>
        <w:spacing w:after="0"/>
        <w:jc w:val="both"/>
        <w:rPr>
          <w:rFonts w:ascii="Arial" w:hAnsi="Arial" w:cs="Arial"/>
          <w:b/>
          <w:sz w:val="20"/>
          <w:szCs w:val="20"/>
        </w:rPr>
      </w:pPr>
      <w:r w:rsidRPr="00C54092">
        <w:rPr>
          <w:rFonts w:ascii="Arial" w:hAnsi="Arial" w:cs="Arial"/>
          <w:b/>
          <w:sz w:val="20"/>
          <w:szCs w:val="20"/>
        </w:rPr>
        <w:t>Responsabilidade. Licitação. Projeto básico. Aprovação. Solidariedade. Exceção.</w:t>
      </w:r>
    </w:p>
    <w:p w:rsidR="00821F3A" w:rsidRPr="00C54092" w:rsidRDefault="00821F3A" w:rsidP="00821F3A">
      <w:pPr>
        <w:spacing w:after="0"/>
        <w:jc w:val="both"/>
        <w:rPr>
          <w:rFonts w:ascii="Arial" w:hAnsi="Arial" w:cs="Arial"/>
          <w:b/>
          <w:sz w:val="20"/>
          <w:szCs w:val="20"/>
        </w:rPr>
      </w:pPr>
    </w:p>
    <w:p w:rsidR="00E70031" w:rsidRDefault="00E70031" w:rsidP="00821F3A">
      <w:pPr>
        <w:pStyle w:val="TCU-Epgrafe"/>
        <w:spacing w:line="276" w:lineRule="auto"/>
        <w:ind w:left="0"/>
        <w:rPr>
          <w:rFonts w:ascii="Arial" w:hAnsi="Arial" w:cs="Arial"/>
          <w:sz w:val="20"/>
        </w:rPr>
      </w:pPr>
      <w:r w:rsidRPr="00E70031">
        <w:rPr>
          <w:rFonts w:ascii="Arial" w:hAnsi="Arial" w:cs="Arial"/>
          <w:sz w:val="20"/>
        </w:rPr>
        <w:t xml:space="preserve">A autoridade que aprova o projeto básico é solidariamente responsável pelos prejuízos advindos de deficiências no documento técnico, exceto se forem vícios ocultos, dificilmente perceptíveis, pois a aprovação não é ato meramente formal ou </w:t>
      </w:r>
      <w:proofErr w:type="spellStart"/>
      <w:r w:rsidRPr="00E70031">
        <w:rPr>
          <w:rFonts w:ascii="Arial" w:hAnsi="Arial" w:cs="Arial"/>
          <w:sz w:val="20"/>
        </w:rPr>
        <w:t>chancelatório</w:t>
      </w:r>
      <w:proofErr w:type="spellEnd"/>
      <w:r w:rsidRPr="00E70031">
        <w:rPr>
          <w:rFonts w:ascii="Arial" w:hAnsi="Arial" w:cs="Arial"/>
          <w:sz w:val="20"/>
        </w:rPr>
        <w:t>, e sim ato de fiscalização por meio do qual a autoridade competente referenda os procedimentos adotados e o conteúdo elaborado.</w:t>
      </w:r>
    </w:p>
    <w:p w:rsidR="00821F3A" w:rsidRPr="00E70031" w:rsidRDefault="00821F3A" w:rsidP="00821F3A">
      <w:pPr>
        <w:pStyle w:val="TCU-Epgrafe"/>
        <w:spacing w:line="276" w:lineRule="auto"/>
        <w:ind w:left="0"/>
        <w:rPr>
          <w:rFonts w:ascii="Arial" w:hAnsi="Arial" w:cs="Arial"/>
          <w:sz w:val="20"/>
        </w:rPr>
      </w:pPr>
    </w:p>
    <w:p w:rsidR="00FA309D" w:rsidRDefault="009F1F0F" w:rsidP="00821F3A">
      <w:pPr>
        <w:widowControl w:val="0"/>
        <w:autoSpaceDE w:val="0"/>
        <w:autoSpaceDN w:val="0"/>
        <w:spacing w:after="0"/>
        <w:jc w:val="both"/>
        <w:rPr>
          <w:rFonts w:ascii="Arial" w:hAnsi="Arial" w:cs="Arial"/>
          <w:sz w:val="20"/>
          <w:szCs w:val="20"/>
        </w:rPr>
      </w:pPr>
      <w:hyperlink r:id="rId31" w:history="1">
        <w:r w:rsidR="00FA309D" w:rsidRPr="005210D0">
          <w:rPr>
            <w:rStyle w:val="Hyperlink"/>
            <w:rFonts w:ascii="Arial" w:hAnsi="Arial" w:cs="Arial"/>
            <w:b/>
            <w:sz w:val="20"/>
            <w:szCs w:val="20"/>
          </w:rPr>
          <w:t xml:space="preserve">Acórdão 7184/2018 </w:t>
        </w:r>
        <w:r w:rsidR="005210D0">
          <w:rPr>
            <w:rStyle w:val="Hyperlink"/>
            <w:rFonts w:ascii="Arial" w:hAnsi="Arial" w:cs="Arial"/>
            <w:b/>
            <w:sz w:val="20"/>
            <w:szCs w:val="20"/>
          </w:rPr>
          <w:t xml:space="preserve">- </w:t>
        </w:r>
        <w:r w:rsidR="00FA309D" w:rsidRPr="005210D0">
          <w:rPr>
            <w:rStyle w:val="Hyperlink"/>
            <w:rFonts w:ascii="Arial" w:hAnsi="Arial" w:cs="Arial"/>
            <w:b/>
            <w:sz w:val="20"/>
            <w:szCs w:val="20"/>
          </w:rPr>
          <w:t>Segunda Câmara</w:t>
        </w:r>
      </w:hyperlink>
      <w:r w:rsidR="00FA309D" w:rsidRPr="00FA309D">
        <w:rPr>
          <w:rFonts w:ascii="Arial" w:hAnsi="Arial" w:cs="Arial"/>
          <w:b/>
          <w:sz w:val="20"/>
          <w:szCs w:val="20"/>
        </w:rPr>
        <w:t xml:space="preserve"> </w:t>
      </w:r>
      <w:r w:rsidR="00FA309D" w:rsidRPr="00FA309D">
        <w:rPr>
          <w:rFonts w:ascii="Arial" w:hAnsi="Arial" w:cs="Arial"/>
          <w:sz w:val="20"/>
          <w:szCs w:val="20"/>
        </w:rPr>
        <w:t xml:space="preserve">(Recurso de Reconsideração, Relator Ministro Augusto </w:t>
      </w:r>
      <w:proofErr w:type="spellStart"/>
      <w:r w:rsidR="00FA309D" w:rsidRPr="00FA309D">
        <w:rPr>
          <w:rFonts w:ascii="Arial" w:hAnsi="Arial" w:cs="Arial"/>
          <w:sz w:val="20"/>
          <w:szCs w:val="20"/>
        </w:rPr>
        <w:t>Nardes</w:t>
      </w:r>
      <w:proofErr w:type="spellEnd"/>
      <w:r w:rsidR="00FA309D" w:rsidRPr="00FA309D">
        <w:rPr>
          <w:rFonts w:ascii="Arial" w:hAnsi="Arial" w:cs="Arial"/>
          <w:sz w:val="20"/>
          <w:szCs w:val="20"/>
        </w:rPr>
        <w:t>)</w:t>
      </w:r>
    </w:p>
    <w:p w:rsidR="00821F3A" w:rsidRPr="00FA309D" w:rsidRDefault="00821F3A" w:rsidP="00821F3A">
      <w:pPr>
        <w:widowControl w:val="0"/>
        <w:autoSpaceDE w:val="0"/>
        <w:autoSpaceDN w:val="0"/>
        <w:spacing w:after="0"/>
        <w:jc w:val="both"/>
        <w:rPr>
          <w:rFonts w:ascii="Arial" w:hAnsi="Arial" w:cs="Arial"/>
          <w:b/>
          <w:sz w:val="20"/>
          <w:szCs w:val="20"/>
        </w:rPr>
      </w:pPr>
    </w:p>
    <w:p w:rsidR="00FA309D" w:rsidRDefault="00FA309D" w:rsidP="00821F3A">
      <w:pPr>
        <w:spacing w:after="0"/>
        <w:jc w:val="both"/>
        <w:rPr>
          <w:rFonts w:ascii="Arial" w:hAnsi="Arial" w:cs="Arial"/>
          <w:b/>
          <w:sz w:val="20"/>
          <w:szCs w:val="20"/>
        </w:rPr>
      </w:pPr>
      <w:r w:rsidRPr="00C54092">
        <w:rPr>
          <w:rFonts w:ascii="Arial" w:hAnsi="Arial" w:cs="Arial"/>
          <w:b/>
          <w:sz w:val="20"/>
          <w:szCs w:val="20"/>
        </w:rPr>
        <w:lastRenderedPageBreak/>
        <w:t>Contrato Administrativo. Formalização do contrato. Cláusula obrigatória. Reajuste. Prazo. Reequilíbrio econômico-financeiro.</w:t>
      </w:r>
    </w:p>
    <w:p w:rsidR="00821F3A" w:rsidRPr="00C54092" w:rsidRDefault="00821F3A" w:rsidP="00821F3A">
      <w:pPr>
        <w:spacing w:after="0"/>
        <w:jc w:val="both"/>
        <w:rPr>
          <w:rFonts w:ascii="Arial" w:hAnsi="Arial" w:cs="Arial"/>
          <w:b/>
          <w:sz w:val="20"/>
          <w:szCs w:val="20"/>
        </w:rPr>
      </w:pPr>
    </w:p>
    <w:p w:rsidR="00FA309D" w:rsidRDefault="00FA309D" w:rsidP="00821F3A">
      <w:pPr>
        <w:pStyle w:val="TCU-Epgrafe"/>
        <w:spacing w:line="276" w:lineRule="auto"/>
        <w:ind w:left="0"/>
        <w:rPr>
          <w:rFonts w:ascii="Arial" w:hAnsi="Arial" w:cs="Arial"/>
          <w:sz w:val="20"/>
        </w:rPr>
      </w:pPr>
      <w:r w:rsidRPr="00FA309D">
        <w:rPr>
          <w:rFonts w:ascii="Arial" w:hAnsi="Arial" w:cs="Arial"/>
          <w:sz w:val="20"/>
        </w:rPr>
        <w:t xml:space="preserve">O estabelecimento do critério de reajuste de preços, tanto no edital quanto no contrato, não constitui discricionariedade conferida ao gestor, mas sim verdadeira imposição, ante o disposto nos </w:t>
      </w:r>
      <w:proofErr w:type="spellStart"/>
      <w:r w:rsidRPr="00FA309D">
        <w:rPr>
          <w:rFonts w:ascii="Arial" w:hAnsi="Arial" w:cs="Arial"/>
          <w:sz w:val="20"/>
        </w:rPr>
        <w:t>arts</w:t>
      </w:r>
      <w:proofErr w:type="spellEnd"/>
      <w:r w:rsidRPr="00FA309D">
        <w:rPr>
          <w:rFonts w:ascii="Arial" w:hAnsi="Arial" w:cs="Arial"/>
          <w:sz w:val="20"/>
        </w:rPr>
        <w:t xml:space="preserve">. 40, inciso XI, e 55, inciso III, da </w:t>
      </w:r>
      <w:hyperlink r:id="rId32" w:history="1">
        <w:r w:rsidRPr="00FA309D">
          <w:rPr>
            <w:rStyle w:val="Hyperlink"/>
            <w:rFonts w:ascii="Arial" w:hAnsi="Arial" w:cs="Arial"/>
            <w:color w:val="0000FF" w:themeColor="hyperlink"/>
            <w:sz w:val="20"/>
          </w:rPr>
          <w:t>Lei 8.666/1993</w:t>
        </w:r>
      </w:hyperlink>
      <w:r w:rsidRPr="00FA309D">
        <w:rPr>
          <w:rFonts w:ascii="Arial" w:hAnsi="Arial" w:cs="Arial"/>
          <w:sz w:val="20"/>
        </w:rPr>
        <w:t xml:space="preserve">, ainda que a vigência contratual prevista não supere doze meses. Entretanto, eventual ausência de cláusula de reajuste de preços não constitui impedimento ao reequilíbrio econômico-financeiro do contrato, sob pena de ofensa à garantia inserta no art. 37, inciso XXI, da </w:t>
      </w:r>
      <w:hyperlink r:id="rId33" w:history="1">
        <w:r w:rsidRPr="00FA309D">
          <w:rPr>
            <w:rStyle w:val="Hyperlink"/>
            <w:rFonts w:ascii="Arial" w:hAnsi="Arial" w:cs="Arial"/>
            <w:color w:val="0000FF" w:themeColor="hyperlink"/>
            <w:sz w:val="20"/>
          </w:rPr>
          <w:t>Constituição Federal</w:t>
        </w:r>
      </w:hyperlink>
      <w:r w:rsidRPr="00FA309D">
        <w:rPr>
          <w:rFonts w:ascii="Arial" w:hAnsi="Arial" w:cs="Arial"/>
          <w:sz w:val="20"/>
        </w:rPr>
        <w:t>, bem como de enriquecimento ilícito do erário e consequente violação ao princípio da boa-fé objetiva.</w:t>
      </w:r>
    </w:p>
    <w:p w:rsidR="00821F3A" w:rsidRDefault="00821F3A" w:rsidP="00821F3A">
      <w:pPr>
        <w:pStyle w:val="TCU-Epgrafe"/>
        <w:spacing w:line="276" w:lineRule="auto"/>
        <w:ind w:left="0"/>
        <w:rPr>
          <w:rFonts w:ascii="Arial" w:hAnsi="Arial" w:cs="Arial"/>
          <w:sz w:val="20"/>
        </w:rPr>
      </w:pPr>
    </w:p>
    <w:p w:rsidR="0043671D" w:rsidRDefault="009F1F0F" w:rsidP="00821F3A">
      <w:pPr>
        <w:widowControl w:val="0"/>
        <w:autoSpaceDE w:val="0"/>
        <w:autoSpaceDN w:val="0"/>
        <w:spacing w:after="0"/>
        <w:jc w:val="both"/>
        <w:rPr>
          <w:rFonts w:ascii="Arial" w:hAnsi="Arial"/>
          <w:sz w:val="20"/>
          <w:szCs w:val="20"/>
        </w:rPr>
      </w:pPr>
      <w:hyperlink r:id="rId34" w:history="1">
        <w:r w:rsidR="0043671D" w:rsidRPr="0000721C">
          <w:rPr>
            <w:rStyle w:val="Hyperlink"/>
            <w:rFonts w:ascii="Arial" w:hAnsi="Arial"/>
            <w:b/>
            <w:sz w:val="20"/>
            <w:szCs w:val="20"/>
          </w:rPr>
          <w:t xml:space="preserve">Acórdão 1751/2018 </w:t>
        </w:r>
        <w:r w:rsidR="0000721C">
          <w:rPr>
            <w:rStyle w:val="Hyperlink"/>
            <w:rFonts w:ascii="Arial" w:hAnsi="Arial"/>
            <w:b/>
            <w:sz w:val="20"/>
            <w:szCs w:val="20"/>
          </w:rPr>
          <w:t xml:space="preserve">- </w:t>
        </w:r>
        <w:r w:rsidR="0043671D" w:rsidRPr="0000721C">
          <w:rPr>
            <w:rStyle w:val="Hyperlink"/>
            <w:rFonts w:ascii="Arial" w:hAnsi="Arial"/>
            <w:b/>
            <w:sz w:val="20"/>
            <w:szCs w:val="20"/>
          </w:rPr>
          <w:t>Plenário</w:t>
        </w:r>
      </w:hyperlink>
      <w:r w:rsidR="0043671D" w:rsidRPr="00581C10">
        <w:rPr>
          <w:rFonts w:ascii="Arial" w:hAnsi="Arial"/>
          <w:b/>
          <w:sz w:val="20"/>
          <w:szCs w:val="20"/>
        </w:rPr>
        <w:t xml:space="preserve"> </w:t>
      </w:r>
      <w:r w:rsidR="0043671D" w:rsidRPr="00581C10">
        <w:rPr>
          <w:rFonts w:ascii="Arial" w:hAnsi="Arial"/>
          <w:sz w:val="20"/>
          <w:szCs w:val="20"/>
        </w:rPr>
        <w:t xml:space="preserve">(Monitoramento, Relator Ministro Benjamin </w:t>
      </w:r>
      <w:proofErr w:type="spellStart"/>
      <w:r w:rsidR="0043671D" w:rsidRPr="00581C10">
        <w:rPr>
          <w:rFonts w:ascii="Arial" w:hAnsi="Arial"/>
          <w:sz w:val="20"/>
          <w:szCs w:val="20"/>
        </w:rPr>
        <w:t>Zymler</w:t>
      </w:r>
      <w:proofErr w:type="spellEnd"/>
      <w:r w:rsidR="0043671D" w:rsidRPr="00581C10">
        <w:rPr>
          <w:rFonts w:ascii="Arial" w:hAnsi="Arial"/>
          <w:sz w:val="20"/>
          <w:szCs w:val="20"/>
        </w:rPr>
        <w:t>)</w:t>
      </w:r>
    </w:p>
    <w:p w:rsidR="00821F3A" w:rsidRPr="00581C10" w:rsidRDefault="00821F3A" w:rsidP="00821F3A">
      <w:pPr>
        <w:widowControl w:val="0"/>
        <w:autoSpaceDE w:val="0"/>
        <w:autoSpaceDN w:val="0"/>
        <w:spacing w:after="0"/>
        <w:jc w:val="both"/>
        <w:rPr>
          <w:rFonts w:ascii="Arial" w:hAnsi="Arial" w:cs="Arial"/>
          <w:b/>
          <w:sz w:val="20"/>
          <w:szCs w:val="20"/>
        </w:rPr>
      </w:pPr>
    </w:p>
    <w:p w:rsidR="0043671D" w:rsidRDefault="0043671D" w:rsidP="00821F3A">
      <w:pPr>
        <w:spacing w:after="0"/>
        <w:jc w:val="both"/>
        <w:rPr>
          <w:rFonts w:ascii="Arial" w:hAnsi="Arial"/>
          <w:b/>
          <w:sz w:val="20"/>
          <w:szCs w:val="20"/>
        </w:rPr>
      </w:pPr>
      <w:r w:rsidRPr="00C54092">
        <w:rPr>
          <w:rFonts w:ascii="Arial" w:hAnsi="Arial"/>
          <w:b/>
          <w:sz w:val="20"/>
          <w:szCs w:val="20"/>
        </w:rPr>
        <w:t>Regime de dedicação exclusiva. Vedação. Professor. Remuneração.</w:t>
      </w:r>
    </w:p>
    <w:p w:rsidR="00821F3A" w:rsidRPr="00C54092" w:rsidRDefault="00821F3A" w:rsidP="00821F3A">
      <w:pPr>
        <w:spacing w:after="0"/>
        <w:jc w:val="both"/>
        <w:rPr>
          <w:rFonts w:ascii="Arial" w:hAnsi="Arial" w:cs="Arial"/>
          <w:b/>
          <w:sz w:val="20"/>
          <w:szCs w:val="20"/>
        </w:rPr>
      </w:pPr>
    </w:p>
    <w:p w:rsidR="0043671D" w:rsidRDefault="0043671D" w:rsidP="00821F3A">
      <w:pPr>
        <w:pStyle w:val="TCU-Epgrafe"/>
        <w:spacing w:line="276" w:lineRule="auto"/>
        <w:ind w:left="0"/>
        <w:rPr>
          <w:rFonts w:ascii="Arial" w:hAnsi="Arial"/>
          <w:sz w:val="20"/>
        </w:rPr>
      </w:pPr>
      <w:r w:rsidRPr="00581C10">
        <w:rPr>
          <w:rFonts w:ascii="Arial" w:hAnsi="Arial"/>
          <w:sz w:val="20"/>
        </w:rPr>
        <w:t>Ao docente em regime de dedicação exclusiva é vedado o exercício de atividades, mesmo não remuneradas, que, em alguma medida, representem empecilho ao seu pleno envolvimento com a universidade.</w:t>
      </w:r>
    </w:p>
    <w:p w:rsidR="00821F3A" w:rsidRPr="00581C10" w:rsidRDefault="00821F3A" w:rsidP="00821F3A">
      <w:pPr>
        <w:pStyle w:val="TCU-Epgrafe"/>
        <w:spacing w:line="276" w:lineRule="auto"/>
        <w:ind w:left="0"/>
        <w:rPr>
          <w:sz w:val="20"/>
        </w:rPr>
      </w:pPr>
    </w:p>
    <w:p w:rsidR="0043671D" w:rsidRDefault="009F1F0F" w:rsidP="00821F3A">
      <w:pPr>
        <w:widowControl w:val="0"/>
        <w:autoSpaceDE w:val="0"/>
        <w:autoSpaceDN w:val="0"/>
        <w:spacing w:after="0"/>
        <w:jc w:val="both"/>
        <w:rPr>
          <w:rFonts w:ascii="Arial" w:hAnsi="Arial"/>
          <w:sz w:val="20"/>
          <w:szCs w:val="20"/>
        </w:rPr>
      </w:pPr>
      <w:hyperlink r:id="rId35" w:history="1">
        <w:r w:rsidR="0043671D" w:rsidRPr="003A20BB">
          <w:rPr>
            <w:rStyle w:val="Hyperlink"/>
            <w:rFonts w:ascii="Arial" w:hAnsi="Arial"/>
            <w:b/>
            <w:sz w:val="20"/>
            <w:szCs w:val="20"/>
          </w:rPr>
          <w:t xml:space="preserve">Acórdão 1827/2018 </w:t>
        </w:r>
        <w:r w:rsidR="003A20BB">
          <w:rPr>
            <w:rStyle w:val="Hyperlink"/>
            <w:rFonts w:ascii="Arial" w:hAnsi="Arial"/>
            <w:b/>
            <w:sz w:val="20"/>
            <w:szCs w:val="20"/>
          </w:rPr>
          <w:t xml:space="preserve">- </w:t>
        </w:r>
        <w:r w:rsidR="0043671D" w:rsidRPr="003A20BB">
          <w:rPr>
            <w:rStyle w:val="Hyperlink"/>
            <w:rFonts w:ascii="Arial" w:hAnsi="Arial"/>
            <w:b/>
            <w:sz w:val="20"/>
            <w:szCs w:val="20"/>
          </w:rPr>
          <w:t>Plenário</w:t>
        </w:r>
      </w:hyperlink>
      <w:r w:rsidR="0043671D" w:rsidRPr="00581C10">
        <w:rPr>
          <w:rFonts w:ascii="Arial" w:hAnsi="Arial"/>
          <w:b/>
          <w:sz w:val="20"/>
          <w:szCs w:val="20"/>
        </w:rPr>
        <w:t xml:space="preserve"> </w:t>
      </w:r>
      <w:r w:rsidR="0043671D" w:rsidRPr="00581C10">
        <w:rPr>
          <w:rFonts w:ascii="Arial" w:hAnsi="Arial"/>
          <w:sz w:val="20"/>
          <w:szCs w:val="20"/>
        </w:rPr>
        <w:t>(Pedido de Reexame, Relator Ministro Walton Alencar Rodrigues)</w:t>
      </w:r>
    </w:p>
    <w:p w:rsidR="00821F3A" w:rsidRPr="00581C10" w:rsidRDefault="00821F3A" w:rsidP="00821F3A">
      <w:pPr>
        <w:widowControl w:val="0"/>
        <w:autoSpaceDE w:val="0"/>
        <w:autoSpaceDN w:val="0"/>
        <w:spacing w:after="0"/>
        <w:jc w:val="both"/>
        <w:rPr>
          <w:rFonts w:ascii="Arial" w:hAnsi="Arial" w:cs="Arial"/>
          <w:b/>
          <w:sz w:val="20"/>
          <w:szCs w:val="20"/>
        </w:rPr>
      </w:pPr>
    </w:p>
    <w:p w:rsidR="0043671D" w:rsidRPr="00C54092" w:rsidRDefault="0043671D" w:rsidP="00821F3A">
      <w:pPr>
        <w:spacing w:after="0"/>
        <w:jc w:val="both"/>
        <w:rPr>
          <w:rFonts w:ascii="Arial" w:hAnsi="Arial" w:cs="Arial"/>
          <w:b/>
          <w:sz w:val="20"/>
          <w:szCs w:val="20"/>
        </w:rPr>
      </w:pPr>
      <w:r w:rsidRPr="00C54092">
        <w:rPr>
          <w:rFonts w:ascii="Arial" w:hAnsi="Arial"/>
          <w:b/>
          <w:sz w:val="20"/>
          <w:szCs w:val="20"/>
        </w:rPr>
        <w:t>Ato sujeito a registro. Revisão de ofício. Direito processual. Nulidade.</w:t>
      </w:r>
    </w:p>
    <w:p w:rsidR="0043671D" w:rsidRDefault="0043671D" w:rsidP="00821F3A">
      <w:pPr>
        <w:pStyle w:val="TCU-Epgrafe"/>
        <w:spacing w:line="276" w:lineRule="auto"/>
        <w:ind w:left="0"/>
        <w:rPr>
          <w:rFonts w:ascii="Arial" w:hAnsi="Arial"/>
          <w:sz w:val="20"/>
        </w:rPr>
      </w:pPr>
      <w:r w:rsidRPr="00581C10">
        <w:rPr>
          <w:rFonts w:ascii="Arial" w:hAnsi="Arial"/>
          <w:sz w:val="20"/>
        </w:rPr>
        <w:t>A revisão de ofício de ato de pessoal sujeito a registro deve ser processada nos autos que tratam do ato revisado, onde se localizam os elementos de prova dos quais se extraem as conclusões do relator e do colegiado. Deliberar sobre a revisão em autos que não versam sobre o caso em exame viola os princípios constitucionais do contraditório e da ampla defesa, por se tratar de julgamento que ignora a existência dos elementos de prova e de defesa do caso concreto, e implica a nulidade do acórdão.</w:t>
      </w:r>
    </w:p>
    <w:p w:rsidR="00821F3A" w:rsidRDefault="00821F3A" w:rsidP="00821F3A">
      <w:pPr>
        <w:pStyle w:val="TCU-Epgrafe"/>
        <w:spacing w:line="276" w:lineRule="auto"/>
        <w:ind w:left="0"/>
        <w:rPr>
          <w:rFonts w:ascii="Arial" w:hAnsi="Arial"/>
          <w:sz w:val="20"/>
        </w:rPr>
      </w:pPr>
    </w:p>
    <w:p w:rsidR="00543DF0" w:rsidRDefault="00543DF0" w:rsidP="00543DF0">
      <w:pPr>
        <w:pStyle w:val="Default"/>
        <w:spacing w:after="200" w:line="276" w:lineRule="auto"/>
        <w:jc w:val="both"/>
        <w:rPr>
          <w:b/>
          <w:sz w:val="20"/>
          <w:szCs w:val="20"/>
        </w:rPr>
      </w:pPr>
      <w:r>
        <w:rPr>
          <w:b/>
          <w:sz w:val="20"/>
          <w:szCs w:val="20"/>
        </w:rPr>
        <w:t xml:space="preserve">Acesse também: </w:t>
      </w:r>
    </w:p>
    <w:p w:rsidR="00270E2F" w:rsidRPr="006C4833" w:rsidRDefault="006C4833" w:rsidP="00270E2F">
      <w:pPr>
        <w:pStyle w:val="Default"/>
        <w:spacing w:line="276" w:lineRule="auto"/>
        <w:jc w:val="center"/>
        <w:rPr>
          <w:rStyle w:val="Hyperlink"/>
          <w:b/>
          <w:sz w:val="20"/>
          <w:szCs w:val="20"/>
        </w:rPr>
      </w:pPr>
      <w:r>
        <w:rPr>
          <w:b/>
          <w:sz w:val="20"/>
          <w:szCs w:val="20"/>
        </w:rPr>
        <w:fldChar w:fldCharType="begin"/>
      </w:r>
      <w:r>
        <w:rPr>
          <w:b/>
          <w:sz w:val="20"/>
          <w:szCs w:val="20"/>
        </w:rPr>
        <w:instrText xml:space="preserve"> HYPERLINK "http://www1.tce.pr.gov.br/conteudo/pesquisas-prontas/308475/area/242" </w:instrText>
      </w:r>
      <w:r>
        <w:rPr>
          <w:b/>
          <w:sz w:val="20"/>
          <w:szCs w:val="20"/>
        </w:rPr>
        <w:fldChar w:fldCharType="separate"/>
      </w:r>
      <w:r w:rsidR="00270E2F" w:rsidRPr="006C4833">
        <w:rPr>
          <w:rStyle w:val="Hyperlink"/>
          <w:b/>
          <w:sz w:val="20"/>
          <w:szCs w:val="20"/>
        </w:rPr>
        <w:t>Pesquisas Prontas</w:t>
      </w:r>
    </w:p>
    <w:p w:rsidR="00B7076B" w:rsidRDefault="006C4833" w:rsidP="00270E2F">
      <w:pPr>
        <w:pStyle w:val="Default"/>
        <w:spacing w:line="276" w:lineRule="auto"/>
        <w:jc w:val="center"/>
        <w:rPr>
          <w:rStyle w:val="Hyperlink"/>
          <w:b/>
          <w:sz w:val="20"/>
          <w:szCs w:val="20"/>
        </w:rPr>
      </w:pPr>
      <w:r>
        <w:rPr>
          <w:b/>
          <w:sz w:val="20"/>
          <w:szCs w:val="20"/>
        </w:rPr>
        <w:fldChar w:fldCharType="end"/>
      </w:r>
    </w:p>
    <w:p w:rsidR="00B7076B" w:rsidRDefault="009F1F0F" w:rsidP="00270E2F">
      <w:pPr>
        <w:pStyle w:val="Default"/>
        <w:spacing w:line="276" w:lineRule="auto"/>
        <w:jc w:val="center"/>
        <w:rPr>
          <w:rStyle w:val="Hyperlink"/>
          <w:b/>
          <w:sz w:val="20"/>
          <w:szCs w:val="20"/>
        </w:rPr>
      </w:pPr>
      <w:hyperlink r:id="rId36" w:history="1">
        <w:r w:rsidR="00B7076B" w:rsidRPr="00B7076B">
          <w:rPr>
            <w:rStyle w:val="Hyperlink"/>
            <w:b/>
            <w:sz w:val="20"/>
            <w:szCs w:val="20"/>
          </w:rPr>
          <w:t>Teses Ambientais</w:t>
        </w:r>
      </w:hyperlink>
      <w:r w:rsidR="00B7076B">
        <w:rPr>
          <w:rStyle w:val="Hyperlink"/>
          <w:b/>
          <w:sz w:val="20"/>
          <w:szCs w:val="20"/>
        </w:rPr>
        <w:t xml:space="preserve"> </w:t>
      </w:r>
    </w:p>
    <w:p w:rsidR="00B7076B" w:rsidRDefault="00B7076B" w:rsidP="00270E2F">
      <w:pPr>
        <w:pStyle w:val="Default"/>
        <w:spacing w:line="276" w:lineRule="auto"/>
        <w:jc w:val="center"/>
        <w:rPr>
          <w:rStyle w:val="Hyperlink"/>
          <w:b/>
          <w:sz w:val="20"/>
          <w:szCs w:val="20"/>
        </w:rPr>
      </w:pPr>
    </w:p>
    <w:p w:rsidR="00B7076B" w:rsidRPr="006C4833" w:rsidRDefault="006C4833" w:rsidP="00270E2F">
      <w:pPr>
        <w:pStyle w:val="Default"/>
        <w:spacing w:line="276" w:lineRule="auto"/>
        <w:jc w:val="center"/>
        <w:rPr>
          <w:rStyle w:val="Hyperlink"/>
          <w:b/>
          <w:sz w:val="20"/>
          <w:szCs w:val="20"/>
        </w:rPr>
      </w:pPr>
      <w:r>
        <w:rPr>
          <w:b/>
          <w:sz w:val="20"/>
          <w:szCs w:val="20"/>
        </w:rPr>
        <w:fldChar w:fldCharType="begin"/>
      </w:r>
      <w:r>
        <w:rPr>
          <w:b/>
          <w:sz w:val="20"/>
          <w:szCs w:val="20"/>
        </w:rPr>
        <w:instrText xml:space="preserve"> HYPERLINK "http://www1.tce.pr.gov.br/conteudo/boletim-de-jurisprudencia-internacional/316601/area/242" </w:instrText>
      </w:r>
      <w:r>
        <w:rPr>
          <w:b/>
          <w:sz w:val="20"/>
          <w:szCs w:val="20"/>
        </w:rPr>
        <w:fldChar w:fldCharType="separate"/>
      </w:r>
      <w:proofErr w:type="spellStart"/>
      <w:r w:rsidR="00B7076B" w:rsidRPr="006C4833">
        <w:rPr>
          <w:rStyle w:val="Hyperlink"/>
          <w:b/>
          <w:sz w:val="20"/>
          <w:szCs w:val="20"/>
        </w:rPr>
        <w:t>Interjuris</w:t>
      </w:r>
      <w:proofErr w:type="spellEnd"/>
    </w:p>
    <w:p w:rsidR="00270E2F" w:rsidRDefault="006C4833" w:rsidP="00270E2F">
      <w:pPr>
        <w:pStyle w:val="Default"/>
        <w:spacing w:line="276" w:lineRule="auto"/>
        <w:jc w:val="center"/>
      </w:pPr>
      <w:r>
        <w:rPr>
          <w:b/>
          <w:sz w:val="20"/>
          <w:szCs w:val="20"/>
        </w:rPr>
        <w:fldChar w:fldCharType="end"/>
      </w:r>
    </w:p>
    <w:p w:rsidR="00270E2F" w:rsidRPr="006C4833" w:rsidRDefault="006C4833" w:rsidP="00270E2F">
      <w:pPr>
        <w:pStyle w:val="Default"/>
        <w:spacing w:line="276" w:lineRule="auto"/>
        <w:jc w:val="center"/>
        <w:rPr>
          <w:rStyle w:val="Hyperlink"/>
          <w:b/>
          <w:sz w:val="20"/>
          <w:szCs w:val="20"/>
        </w:rPr>
      </w:pPr>
      <w:r>
        <w:rPr>
          <w:b/>
          <w:sz w:val="20"/>
          <w:szCs w:val="20"/>
        </w:rPr>
        <w:fldChar w:fldCharType="begin"/>
      </w:r>
      <w:r>
        <w:rPr>
          <w:b/>
          <w:sz w:val="20"/>
          <w:szCs w:val="20"/>
        </w:rPr>
        <w:instrText xml:space="preserve"> HYPERLINK "http://www1.tce.pr.gov.br/conteudo/repercussao-geral-no-stf-e-os-tribunais-de-contas/307026/area/242" </w:instrText>
      </w:r>
      <w:r>
        <w:rPr>
          <w:b/>
          <w:sz w:val="20"/>
          <w:szCs w:val="20"/>
        </w:rPr>
        <w:fldChar w:fldCharType="separate"/>
      </w:r>
      <w:r w:rsidR="00270E2F" w:rsidRPr="006C4833">
        <w:rPr>
          <w:rStyle w:val="Hyperlink"/>
          <w:b/>
          <w:sz w:val="20"/>
          <w:szCs w:val="20"/>
        </w:rPr>
        <w:t>Repercussão Geral do Supremo Tribunal Federal - STF e os Tribunais de Contas</w:t>
      </w:r>
    </w:p>
    <w:p w:rsidR="00270E2F" w:rsidRDefault="006C4833" w:rsidP="00270E2F">
      <w:pPr>
        <w:pStyle w:val="Default"/>
        <w:spacing w:line="276" w:lineRule="auto"/>
        <w:jc w:val="center"/>
        <w:rPr>
          <w:rStyle w:val="Hyperlink"/>
          <w:b/>
          <w:sz w:val="20"/>
          <w:szCs w:val="20"/>
        </w:rPr>
      </w:pPr>
      <w:r>
        <w:rPr>
          <w:b/>
          <w:sz w:val="20"/>
          <w:szCs w:val="20"/>
        </w:rPr>
        <w:fldChar w:fldCharType="end"/>
      </w:r>
    </w:p>
    <w:p w:rsidR="00B7076B" w:rsidRPr="006C4833" w:rsidRDefault="006C4833" w:rsidP="00270E2F">
      <w:pPr>
        <w:pStyle w:val="Default"/>
        <w:spacing w:line="276" w:lineRule="auto"/>
        <w:jc w:val="center"/>
        <w:rPr>
          <w:rStyle w:val="Hyperlink"/>
          <w:b/>
          <w:sz w:val="20"/>
          <w:szCs w:val="20"/>
        </w:rPr>
      </w:pPr>
      <w:r>
        <w:rPr>
          <w:b/>
          <w:sz w:val="20"/>
          <w:szCs w:val="20"/>
        </w:rPr>
        <w:fldChar w:fldCharType="begin"/>
      </w:r>
      <w:r>
        <w:rPr>
          <w:b/>
          <w:sz w:val="20"/>
          <w:szCs w:val="20"/>
        </w:rPr>
        <w:instrText xml:space="preserve"> HYPERLINK "http://www1.tce.pr.gov.br/conteudo/sumulas-selecionadas/316602/area/242" </w:instrText>
      </w:r>
      <w:r>
        <w:rPr>
          <w:b/>
          <w:sz w:val="20"/>
          <w:szCs w:val="20"/>
        </w:rPr>
        <w:fldChar w:fldCharType="separate"/>
      </w:r>
      <w:r w:rsidR="00B7076B" w:rsidRPr="006C4833">
        <w:rPr>
          <w:rStyle w:val="Hyperlink"/>
          <w:b/>
          <w:sz w:val="20"/>
          <w:szCs w:val="20"/>
        </w:rPr>
        <w:t>Súmulas Selecionadas</w:t>
      </w:r>
    </w:p>
    <w:p w:rsidR="00270E2F" w:rsidRDefault="006C4833" w:rsidP="00270E2F">
      <w:pPr>
        <w:pStyle w:val="TCU-Epgrafe"/>
        <w:spacing w:line="276" w:lineRule="auto"/>
        <w:ind w:left="0"/>
        <w:rPr>
          <w:sz w:val="22"/>
          <w:szCs w:val="22"/>
        </w:rPr>
      </w:pPr>
      <w:r>
        <w:rPr>
          <w:rFonts w:ascii="Arial" w:eastAsiaTheme="minorHAnsi" w:hAnsi="Arial" w:cs="Arial"/>
          <w:b/>
          <w:color w:val="000000"/>
          <w:sz w:val="20"/>
          <w:lang w:eastAsia="en-US"/>
        </w:rPr>
        <w:fldChar w:fldCharType="end"/>
      </w:r>
      <w:r w:rsidR="00270E2F" w:rsidRPr="0022060B">
        <w:rPr>
          <w:rFonts w:ascii="Arial" w:hAnsi="Arial" w:cs="Arial"/>
          <w:noProof/>
          <w:sz w:val="20"/>
        </w:rPr>
        <mc:AlternateContent>
          <mc:Choice Requires="wps">
            <w:drawing>
              <wp:anchor distT="0" distB="0" distL="114300" distR="114300" simplePos="0" relativeHeight="251664896" behindDoc="0" locked="0" layoutInCell="1" allowOverlap="1" wp14:anchorId="63484C90" wp14:editId="67AE2BB8">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BC0740" id="Conector reto 59"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rsidR="00984E8B" w:rsidRDefault="00984E8B" w:rsidP="00DB558E">
      <w:pPr>
        <w:spacing w:after="0"/>
        <w:jc w:val="center"/>
        <w:rPr>
          <w:rStyle w:val="Hyperlink"/>
          <w:rFonts w:ascii="Arial" w:hAnsi="Arial" w:cs="Arial"/>
          <w:i/>
          <w:color w:val="000000" w:themeColor="text1"/>
          <w:sz w:val="20"/>
          <w:szCs w:val="20"/>
          <w:u w:val="none"/>
        </w:rPr>
      </w:pPr>
    </w:p>
    <w:p w:rsidR="00B36644" w:rsidRDefault="00B36644" w:rsidP="00B36644">
      <w:pPr>
        <w:spacing w:after="0"/>
        <w:jc w:val="center"/>
        <w:rPr>
          <w:rStyle w:val="Hyperlink"/>
          <w:rFonts w:ascii="Arial" w:hAnsi="Arial" w:cs="Arial"/>
          <w:i/>
          <w:color w:val="auto"/>
          <w:sz w:val="20"/>
          <w:szCs w:val="20"/>
          <w:u w:val="none"/>
        </w:rPr>
      </w:pPr>
      <w:r>
        <w:rPr>
          <w:rStyle w:val="Hyperlink"/>
          <w:rFonts w:ascii="Arial" w:hAnsi="Arial" w:cs="Arial"/>
          <w:i/>
          <w:color w:val="auto"/>
          <w:sz w:val="20"/>
          <w:szCs w:val="20"/>
          <w:u w:val="none"/>
        </w:rPr>
        <w:t>Elaboração: Escola de Gestão Pública - Jurisprudência</w:t>
      </w:r>
    </w:p>
    <w:p w:rsidR="00B36644" w:rsidRDefault="00B36644" w:rsidP="00B36644">
      <w:pPr>
        <w:spacing w:after="0"/>
        <w:jc w:val="center"/>
        <w:rPr>
          <w:b/>
        </w:rPr>
      </w:pPr>
      <w:r>
        <w:rPr>
          <w:rStyle w:val="nfase"/>
          <w:rFonts w:ascii="Tahoma" w:hAnsi="Tahoma" w:cs="Tahoma"/>
          <w:sz w:val="20"/>
          <w:szCs w:val="20"/>
        </w:rPr>
        <w:t>E-mail: jurisprudencia@tce.pr.gov.br</w:t>
      </w:r>
    </w:p>
    <w:p w:rsidR="00B36644" w:rsidRDefault="00B36644" w:rsidP="00B36644">
      <w:pPr>
        <w:widowControl w:val="0"/>
        <w:autoSpaceDE w:val="0"/>
        <w:autoSpaceDN w:val="0"/>
        <w:spacing w:after="0"/>
        <w:jc w:val="both"/>
        <w:rPr>
          <w:rFonts w:ascii="Arial" w:hAnsi="Arial" w:cs="Arial"/>
          <w:b/>
          <w:sz w:val="20"/>
          <w:szCs w:val="20"/>
        </w:rPr>
      </w:pPr>
    </w:p>
    <w:p w:rsidR="00B36644" w:rsidRDefault="00B36644" w:rsidP="00DB558E">
      <w:pPr>
        <w:spacing w:after="0"/>
        <w:jc w:val="center"/>
        <w:rPr>
          <w:rFonts w:ascii="Arial" w:hAnsi="Arial" w:cs="Arial"/>
          <w:b/>
          <w:sz w:val="20"/>
          <w:szCs w:val="20"/>
        </w:rPr>
      </w:pPr>
    </w:p>
    <w:p w:rsidR="00DB558E" w:rsidRDefault="00DB558E" w:rsidP="00DB558E">
      <w:pPr>
        <w:widowControl w:val="0"/>
        <w:autoSpaceDE w:val="0"/>
        <w:autoSpaceDN w:val="0"/>
        <w:spacing w:after="0"/>
        <w:jc w:val="both"/>
        <w:rPr>
          <w:rFonts w:ascii="Arial" w:hAnsi="Arial" w:cs="Arial"/>
          <w:b/>
          <w:sz w:val="20"/>
          <w:szCs w:val="20"/>
        </w:rPr>
      </w:pPr>
    </w:p>
    <w:p w:rsidR="00E01524" w:rsidRPr="0022060B" w:rsidRDefault="00E01524" w:rsidP="00DB558E">
      <w:pPr>
        <w:pStyle w:val="TCU-Epgrafe"/>
        <w:spacing w:after="200" w:line="276" w:lineRule="auto"/>
        <w:ind w:left="0"/>
        <w:rPr>
          <w:rFonts w:ascii="Arial" w:hAnsi="Arial" w:cs="Arial"/>
          <w:b/>
          <w:sz w:val="20"/>
        </w:rPr>
      </w:pPr>
    </w:p>
    <w:sectPr w:rsidR="00E01524" w:rsidRPr="0022060B">
      <w:headerReference w:type="default" r:id="rId37"/>
      <w:footerReference w:type="default" r:id="rId3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7A9" w:rsidRDefault="009907A9" w:rsidP="00350CC2">
      <w:pPr>
        <w:spacing w:after="0" w:line="240" w:lineRule="auto"/>
      </w:pPr>
      <w:r>
        <w:separator/>
      </w:r>
    </w:p>
  </w:endnote>
  <w:endnote w:type="continuationSeparator" w:id="0">
    <w:p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Italic">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DE" w:rsidRDefault="002245DE" w:rsidP="002245DE">
    <w:pPr>
      <w:pStyle w:val="Rodap"/>
      <w:jc w:val="center"/>
      <w:rPr>
        <w:sz w:val="16"/>
        <w:szCs w:val="16"/>
      </w:rPr>
    </w:pPr>
    <w:r>
      <w:rPr>
        <w:noProof/>
        <w:lang w:eastAsia="pt-BR"/>
      </w:rPr>
      <w:drawing>
        <wp:inline distT="0" distB="0" distL="0" distR="0" wp14:anchorId="4DD8E97D" wp14:editId="15823BC0">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B82B41">
      <w:rPr>
        <w:noProof/>
        <w:sz w:val="16"/>
        <w:szCs w:val="16"/>
      </w:rPr>
      <w:t>3</w:t>
    </w:r>
    <w:r w:rsidRPr="00722924">
      <w:rPr>
        <w:sz w:val="16"/>
        <w:szCs w:val="16"/>
      </w:rPr>
      <w:fldChar w:fldCharType="end"/>
    </w:r>
  </w:p>
  <w:p w:rsidR="00375DB6" w:rsidRDefault="00375DB6"/>
  <w:p w:rsidR="00375DB6" w:rsidRDefault="00375DB6"/>
  <w:p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7A9" w:rsidRDefault="009907A9" w:rsidP="00350CC2">
      <w:pPr>
        <w:spacing w:after="0" w:line="240" w:lineRule="auto"/>
      </w:pPr>
      <w:r>
        <w:separator/>
      </w:r>
    </w:p>
  </w:footnote>
  <w:footnote w:type="continuationSeparator" w:id="0">
    <w:p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FD7" w:rsidRDefault="006A5FD7" w:rsidP="00F14CCC">
    <w:pPr>
      <w:pStyle w:val="Cabealho"/>
      <w:spacing w:after="100" w:afterAutospacing="1"/>
      <w:jc w:val="center"/>
      <w:rPr>
        <w:b/>
      </w:rPr>
    </w:pPr>
  </w:p>
  <w:p w:rsidR="006A5FD7" w:rsidRDefault="006A5FD7" w:rsidP="00F14CCC">
    <w:pPr>
      <w:pStyle w:val="Cabealho"/>
      <w:spacing w:after="100" w:afterAutospacing="1"/>
      <w:jc w:val="center"/>
      <w:rPr>
        <w:b/>
      </w:rPr>
    </w:pPr>
    <w:r>
      <w:rPr>
        <w:noProof/>
        <w:lang w:eastAsia="pt-BR"/>
      </w:rPr>
      <w:drawing>
        <wp:inline distT="0" distB="0" distL="0" distR="0" wp14:anchorId="460CA892" wp14:editId="6EABBF5B">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10"/>
  </w:num>
  <w:num w:numId="5">
    <w:abstractNumId w:val="11"/>
  </w:num>
  <w:num w:numId="6">
    <w:abstractNumId w:val="8"/>
  </w:num>
  <w:num w:numId="7">
    <w:abstractNumId w:val="0"/>
  </w:num>
  <w:num w:numId="8">
    <w:abstractNumId w:val="1"/>
  </w:num>
  <w:num w:numId="9">
    <w:abstractNumId w:val="5"/>
  </w:num>
  <w:num w:numId="10">
    <w:abstractNumId w:val="2"/>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hdrShapeDefaults>
    <o:shapedefaults v:ext="edit" spidmax="348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21C"/>
    <w:rsid w:val="000078B5"/>
    <w:rsid w:val="00007F7A"/>
    <w:rsid w:val="00007FD0"/>
    <w:rsid w:val="00010B69"/>
    <w:rsid w:val="00010F88"/>
    <w:rsid w:val="0001200F"/>
    <w:rsid w:val="000126A0"/>
    <w:rsid w:val="00012CBB"/>
    <w:rsid w:val="00013691"/>
    <w:rsid w:val="00013840"/>
    <w:rsid w:val="00013C64"/>
    <w:rsid w:val="00015FB0"/>
    <w:rsid w:val="0001675E"/>
    <w:rsid w:val="00017EBA"/>
    <w:rsid w:val="00021B0A"/>
    <w:rsid w:val="00025971"/>
    <w:rsid w:val="000262AD"/>
    <w:rsid w:val="00027A03"/>
    <w:rsid w:val="00027FAB"/>
    <w:rsid w:val="000300F4"/>
    <w:rsid w:val="00032A26"/>
    <w:rsid w:val="00033422"/>
    <w:rsid w:val="00033E69"/>
    <w:rsid w:val="00040EBA"/>
    <w:rsid w:val="00042502"/>
    <w:rsid w:val="00042DF3"/>
    <w:rsid w:val="000433EC"/>
    <w:rsid w:val="000439FD"/>
    <w:rsid w:val="00045700"/>
    <w:rsid w:val="00046191"/>
    <w:rsid w:val="00046E21"/>
    <w:rsid w:val="00047EF1"/>
    <w:rsid w:val="00052862"/>
    <w:rsid w:val="00053B72"/>
    <w:rsid w:val="00056028"/>
    <w:rsid w:val="00056686"/>
    <w:rsid w:val="00056E6F"/>
    <w:rsid w:val="000572CE"/>
    <w:rsid w:val="000617CF"/>
    <w:rsid w:val="00062737"/>
    <w:rsid w:val="00067E01"/>
    <w:rsid w:val="00070009"/>
    <w:rsid w:val="00070B14"/>
    <w:rsid w:val="000713DD"/>
    <w:rsid w:val="00071DE3"/>
    <w:rsid w:val="0007200C"/>
    <w:rsid w:val="00073F9F"/>
    <w:rsid w:val="00074260"/>
    <w:rsid w:val="00074287"/>
    <w:rsid w:val="000747BF"/>
    <w:rsid w:val="00074FAB"/>
    <w:rsid w:val="000759E5"/>
    <w:rsid w:val="00076184"/>
    <w:rsid w:val="000800D1"/>
    <w:rsid w:val="00081051"/>
    <w:rsid w:val="0009260D"/>
    <w:rsid w:val="000926D4"/>
    <w:rsid w:val="00092E5D"/>
    <w:rsid w:val="0009482D"/>
    <w:rsid w:val="0009711C"/>
    <w:rsid w:val="0009762F"/>
    <w:rsid w:val="00097B00"/>
    <w:rsid w:val="000A0748"/>
    <w:rsid w:val="000A0E48"/>
    <w:rsid w:val="000A29BE"/>
    <w:rsid w:val="000A3C2D"/>
    <w:rsid w:val="000A3E63"/>
    <w:rsid w:val="000A47FD"/>
    <w:rsid w:val="000A4EB6"/>
    <w:rsid w:val="000A5F01"/>
    <w:rsid w:val="000A71D1"/>
    <w:rsid w:val="000B04A0"/>
    <w:rsid w:val="000B11D2"/>
    <w:rsid w:val="000B1E10"/>
    <w:rsid w:val="000B2FD9"/>
    <w:rsid w:val="000B311A"/>
    <w:rsid w:val="000B31B6"/>
    <w:rsid w:val="000B47C0"/>
    <w:rsid w:val="000C2948"/>
    <w:rsid w:val="000C3582"/>
    <w:rsid w:val="000C4F73"/>
    <w:rsid w:val="000C5093"/>
    <w:rsid w:val="000C5460"/>
    <w:rsid w:val="000C5EB3"/>
    <w:rsid w:val="000C63BC"/>
    <w:rsid w:val="000C7D67"/>
    <w:rsid w:val="000D2D5B"/>
    <w:rsid w:val="000D357D"/>
    <w:rsid w:val="000D4DE6"/>
    <w:rsid w:val="000D6D01"/>
    <w:rsid w:val="000E300B"/>
    <w:rsid w:val="000E3ACE"/>
    <w:rsid w:val="000E3FC6"/>
    <w:rsid w:val="000E464B"/>
    <w:rsid w:val="000E52A3"/>
    <w:rsid w:val="000E5AC8"/>
    <w:rsid w:val="000F04ED"/>
    <w:rsid w:val="000F18DA"/>
    <w:rsid w:val="000F1FFA"/>
    <w:rsid w:val="000F314C"/>
    <w:rsid w:val="000F5AE7"/>
    <w:rsid w:val="000F639D"/>
    <w:rsid w:val="000F7356"/>
    <w:rsid w:val="000F7C1B"/>
    <w:rsid w:val="00100B9C"/>
    <w:rsid w:val="00106AA9"/>
    <w:rsid w:val="00110517"/>
    <w:rsid w:val="00110BD6"/>
    <w:rsid w:val="001119DC"/>
    <w:rsid w:val="00111B86"/>
    <w:rsid w:val="00111C26"/>
    <w:rsid w:val="00112B60"/>
    <w:rsid w:val="00113EF1"/>
    <w:rsid w:val="00114B62"/>
    <w:rsid w:val="001159C9"/>
    <w:rsid w:val="00120862"/>
    <w:rsid w:val="0012211A"/>
    <w:rsid w:val="00122E13"/>
    <w:rsid w:val="00123D02"/>
    <w:rsid w:val="0012498C"/>
    <w:rsid w:val="00124A0F"/>
    <w:rsid w:val="00126447"/>
    <w:rsid w:val="00127DF2"/>
    <w:rsid w:val="00130717"/>
    <w:rsid w:val="0013298B"/>
    <w:rsid w:val="0013396B"/>
    <w:rsid w:val="001342E3"/>
    <w:rsid w:val="0013514C"/>
    <w:rsid w:val="0013583F"/>
    <w:rsid w:val="00135D5F"/>
    <w:rsid w:val="001411E6"/>
    <w:rsid w:val="001415BA"/>
    <w:rsid w:val="00142D10"/>
    <w:rsid w:val="00144712"/>
    <w:rsid w:val="001472C1"/>
    <w:rsid w:val="00150844"/>
    <w:rsid w:val="001529D8"/>
    <w:rsid w:val="00156185"/>
    <w:rsid w:val="00156F74"/>
    <w:rsid w:val="00157806"/>
    <w:rsid w:val="00157D64"/>
    <w:rsid w:val="0016028F"/>
    <w:rsid w:val="00161AA2"/>
    <w:rsid w:val="00164520"/>
    <w:rsid w:val="0016670D"/>
    <w:rsid w:val="00166A96"/>
    <w:rsid w:val="00170F9D"/>
    <w:rsid w:val="00171401"/>
    <w:rsid w:val="001720EB"/>
    <w:rsid w:val="00172248"/>
    <w:rsid w:val="0017455D"/>
    <w:rsid w:val="001770AF"/>
    <w:rsid w:val="001800A9"/>
    <w:rsid w:val="001823E7"/>
    <w:rsid w:val="0018272D"/>
    <w:rsid w:val="00190B94"/>
    <w:rsid w:val="001930D1"/>
    <w:rsid w:val="001942C5"/>
    <w:rsid w:val="00196437"/>
    <w:rsid w:val="001975AB"/>
    <w:rsid w:val="00197764"/>
    <w:rsid w:val="001A16DE"/>
    <w:rsid w:val="001A5D2D"/>
    <w:rsid w:val="001B096B"/>
    <w:rsid w:val="001B5B65"/>
    <w:rsid w:val="001B5F7A"/>
    <w:rsid w:val="001B6E08"/>
    <w:rsid w:val="001C0F23"/>
    <w:rsid w:val="001C145F"/>
    <w:rsid w:val="001C1CCC"/>
    <w:rsid w:val="001C46A8"/>
    <w:rsid w:val="001D0693"/>
    <w:rsid w:val="001D0DD1"/>
    <w:rsid w:val="001D4D9A"/>
    <w:rsid w:val="001D51BD"/>
    <w:rsid w:val="001D6665"/>
    <w:rsid w:val="001D684B"/>
    <w:rsid w:val="001D6ADC"/>
    <w:rsid w:val="001D7E4B"/>
    <w:rsid w:val="001E1817"/>
    <w:rsid w:val="001E2E5A"/>
    <w:rsid w:val="001E5F2E"/>
    <w:rsid w:val="001E6CAA"/>
    <w:rsid w:val="001E73FF"/>
    <w:rsid w:val="001E75A7"/>
    <w:rsid w:val="001F7A25"/>
    <w:rsid w:val="002013D1"/>
    <w:rsid w:val="0020195B"/>
    <w:rsid w:val="00202E6D"/>
    <w:rsid w:val="00202F4B"/>
    <w:rsid w:val="002036C8"/>
    <w:rsid w:val="00206A4A"/>
    <w:rsid w:val="002100EE"/>
    <w:rsid w:val="00211A49"/>
    <w:rsid w:val="00213BD0"/>
    <w:rsid w:val="002147AC"/>
    <w:rsid w:val="00215BFE"/>
    <w:rsid w:val="00215EF3"/>
    <w:rsid w:val="0022060B"/>
    <w:rsid w:val="00220BB1"/>
    <w:rsid w:val="00221D15"/>
    <w:rsid w:val="00223A59"/>
    <w:rsid w:val="00223F1C"/>
    <w:rsid w:val="002245DE"/>
    <w:rsid w:val="00224904"/>
    <w:rsid w:val="00232878"/>
    <w:rsid w:val="0023318C"/>
    <w:rsid w:val="00234AE0"/>
    <w:rsid w:val="00235F82"/>
    <w:rsid w:val="00237C21"/>
    <w:rsid w:val="0024200E"/>
    <w:rsid w:val="002426C3"/>
    <w:rsid w:val="002450AA"/>
    <w:rsid w:val="002456AD"/>
    <w:rsid w:val="00245F7B"/>
    <w:rsid w:val="002478B9"/>
    <w:rsid w:val="00250F60"/>
    <w:rsid w:val="00251273"/>
    <w:rsid w:val="00252A2A"/>
    <w:rsid w:val="00252AA5"/>
    <w:rsid w:val="00253ADA"/>
    <w:rsid w:val="00255360"/>
    <w:rsid w:val="002558B7"/>
    <w:rsid w:val="00256A12"/>
    <w:rsid w:val="00256CEA"/>
    <w:rsid w:val="002571B4"/>
    <w:rsid w:val="00260758"/>
    <w:rsid w:val="00260D58"/>
    <w:rsid w:val="0026477F"/>
    <w:rsid w:val="00264F10"/>
    <w:rsid w:val="0026510B"/>
    <w:rsid w:val="002659BA"/>
    <w:rsid w:val="0026729F"/>
    <w:rsid w:val="00270E2F"/>
    <w:rsid w:val="00271154"/>
    <w:rsid w:val="00271655"/>
    <w:rsid w:val="002805F1"/>
    <w:rsid w:val="00283D94"/>
    <w:rsid w:val="00286EB4"/>
    <w:rsid w:val="00287103"/>
    <w:rsid w:val="002874A2"/>
    <w:rsid w:val="002921E2"/>
    <w:rsid w:val="0029566D"/>
    <w:rsid w:val="00295F4B"/>
    <w:rsid w:val="00296CB9"/>
    <w:rsid w:val="002A00AC"/>
    <w:rsid w:val="002A00E8"/>
    <w:rsid w:val="002A0792"/>
    <w:rsid w:val="002A155D"/>
    <w:rsid w:val="002A1D5F"/>
    <w:rsid w:val="002A2E6C"/>
    <w:rsid w:val="002B070A"/>
    <w:rsid w:val="002B0F20"/>
    <w:rsid w:val="002B14B7"/>
    <w:rsid w:val="002B25E7"/>
    <w:rsid w:val="002B297F"/>
    <w:rsid w:val="002B38A8"/>
    <w:rsid w:val="002B5E9F"/>
    <w:rsid w:val="002B6BA0"/>
    <w:rsid w:val="002C05FF"/>
    <w:rsid w:val="002C19EA"/>
    <w:rsid w:val="002C3EA5"/>
    <w:rsid w:val="002C480F"/>
    <w:rsid w:val="002C56C9"/>
    <w:rsid w:val="002C7487"/>
    <w:rsid w:val="002D1923"/>
    <w:rsid w:val="002D3BD3"/>
    <w:rsid w:val="002D48D1"/>
    <w:rsid w:val="002D5B56"/>
    <w:rsid w:val="002D6612"/>
    <w:rsid w:val="002D7650"/>
    <w:rsid w:val="002E09B1"/>
    <w:rsid w:val="002E0A60"/>
    <w:rsid w:val="002E29FA"/>
    <w:rsid w:val="002E4277"/>
    <w:rsid w:val="002E5303"/>
    <w:rsid w:val="002E6626"/>
    <w:rsid w:val="002E72FA"/>
    <w:rsid w:val="002E7DFF"/>
    <w:rsid w:val="002F0BE9"/>
    <w:rsid w:val="002F13A0"/>
    <w:rsid w:val="002F1634"/>
    <w:rsid w:val="002F1848"/>
    <w:rsid w:val="002F1D70"/>
    <w:rsid w:val="002F22FA"/>
    <w:rsid w:val="002F73BA"/>
    <w:rsid w:val="003005B3"/>
    <w:rsid w:val="0030165B"/>
    <w:rsid w:val="00302340"/>
    <w:rsid w:val="00303C9C"/>
    <w:rsid w:val="00305A67"/>
    <w:rsid w:val="00306B80"/>
    <w:rsid w:val="00307038"/>
    <w:rsid w:val="00310492"/>
    <w:rsid w:val="00313238"/>
    <w:rsid w:val="003132BE"/>
    <w:rsid w:val="00320577"/>
    <w:rsid w:val="0032266D"/>
    <w:rsid w:val="00325E2F"/>
    <w:rsid w:val="003265DB"/>
    <w:rsid w:val="003269A9"/>
    <w:rsid w:val="00327DF9"/>
    <w:rsid w:val="0033073E"/>
    <w:rsid w:val="00331533"/>
    <w:rsid w:val="0033240F"/>
    <w:rsid w:val="00333875"/>
    <w:rsid w:val="0033604C"/>
    <w:rsid w:val="003407F0"/>
    <w:rsid w:val="00340EB2"/>
    <w:rsid w:val="00343C28"/>
    <w:rsid w:val="00344A3D"/>
    <w:rsid w:val="00344A41"/>
    <w:rsid w:val="00344F5B"/>
    <w:rsid w:val="0034575E"/>
    <w:rsid w:val="00345C65"/>
    <w:rsid w:val="00350CC2"/>
    <w:rsid w:val="00351206"/>
    <w:rsid w:val="0035203F"/>
    <w:rsid w:val="003528A1"/>
    <w:rsid w:val="00352A72"/>
    <w:rsid w:val="0035371B"/>
    <w:rsid w:val="00353FEB"/>
    <w:rsid w:val="00356972"/>
    <w:rsid w:val="00356987"/>
    <w:rsid w:val="00356FB0"/>
    <w:rsid w:val="00361DA5"/>
    <w:rsid w:val="00361F1D"/>
    <w:rsid w:val="00364392"/>
    <w:rsid w:val="00365E61"/>
    <w:rsid w:val="00365EFF"/>
    <w:rsid w:val="00365F51"/>
    <w:rsid w:val="00373E05"/>
    <w:rsid w:val="00375692"/>
    <w:rsid w:val="00375DB6"/>
    <w:rsid w:val="0038012F"/>
    <w:rsid w:val="00380BAB"/>
    <w:rsid w:val="00381A0E"/>
    <w:rsid w:val="00385686"/>
    <w:rsid w:val="0038751C"/>
    <w:rsid w:val="0038778B"/>
    <w:rsid w:val="00394451"/>
    <w:rsid w:val="0039584A"/>
    <w:rsid w:val="00395F8B"/>
    <w:rsid w:val="0039625A"/>
    <w:rsid w:val="00396E93"/>
    <w:rsid w:val="003A20BB"/>
    <w:rsid w:val="003A4828"/>
    <w:rsid w:val="003A64CB"/>
    <w:rsid w:val="003A6622"/>
    <w:rsid w:val="003A673F"/>
    <w:rsid w:val="003B145D"/>
    <w:rsid w:val="003B4678"/>
    <w:rsid w:val="003B4F77"/>
    <w:rsid w:val="003B502C"/>
    <w:rsid w:val="003B59A8"/>
    <w:rsid w:val="003C6B35"/>
    <w:rsid w:val="003C7C21"/>
    <w:rsid w:val="003D0632"/>
    <w:rsid w:val="003D4EC3"/>
    <w:rsid w:val="003D650C"/>
    <w:rsid w:val="003D6713"/>
    <w:rsid w:val="003D6E90"/>
    <w:rsid w:val="003D7C37"/>
    <w:rsid w:val="003E110D"/>
    <w:rsid w:val="003E3529"/>
    <w:rsid w:val="003E3D02"/>
    <w:rsid w:val="003E3E6A"/>
    <w:rsid w:val="003E55BC"/>
    <w:rsid w:val="003E6EAF"/>
    <w:rsid w:val="003F0088"/>
    <w:rsid w:val="003F03C6"/>
    <w:rsid w:val="003F2DDE"/>
    <w:rsid w:val="003F314F"/>
    <w:rsid w:val="003F4721"/>
    <w:rsid w:val="003F5060"/>
    <w:rsid w:val="003F5829"/>
    <w:rsid w:val="003F63DA"/>
    <w:rsid w:val="003F677C"/>
    <w:rsid w:val="003F7090"/>
    <w:rsid w:val="00401EE0"/>
    <w:rsid w:val="0040347A"/>
    <w:rsid w:val="004043AD"/>
    <w:rsid w:val="00405A6A"/>
    <w:rsid w:val="00406D2C"/>
    <w:rsid w:val="00406D57"/>
    <w:rsid w:val="0041120A"/>
    <w:rsid w:val="00411935"/>
    <w:rsid w:val="0041337A"/>
    <w:rsid w:val="00416A72"/>
    <w:rsid w:val="00420AE1"/>
    <w:rsid w:val="0042728A"/>
    <w:rsid w:val="004276DC"/>
    <w:rsid w:val="0042779B"/>
    <w:rsid w:val="004324A7"/>
    <w:rsid w:val="0043291F"/>
    <w:rsid w:val="00434347"/>
    <w:rsid w:val="0043671D"/>
    <w:rsid w:val="004371F9"/>
    <w:rsid w:val="0043728E"/>
    <w:rsid w:val="00437541"/>
    <w:rsid w:val="00441D38"/>
    <w:rsid w:val="00441E59"/>
    <w:rsid w:val="004429A2"/>
    <w:rsid w:val="00442CB7"/>
    <w:rsid w:val="004432F4"/>
    <w:rsid w:val="00443CA1"/>
    <w:rsid w:val="00444C25"/>
    <w:rsid w:val="0044532C"/>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B9D"/>
    <w:rsid w:val="0047206A"/>
    <w:rsid w:val="00474978"/>
    <w:rsid w:val="0047499A"/>
    <w:rsid w:val="00474C78"/>
    <w:rsid w:val="00475AAE"/>
    <w:rsid w:val="00480934"/>
    <w:rsid w:val="0048130C"/>
    <w:rsid w:val="00482FA5"/>
    <w:rsid w:val="00484E6E"/>
    <w:rsid w:val="00485819"/>
    <w:rsid w:val="00487D31"/>
    <w:rsid w:val="00490000"/>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804"/>
    <w:rsid w:val="004A6F83"/>
    <w:rsid w:val="004A794E"/>
    <w:rsid w:val="004B142E"/>
    <w:rsid w:val="004B3D26"/>
    <w:rsid w:val="004B44C1"/>
    <w:rsid w:val="004B623F"/>
    <w:rsid w:val="004B6EA7"/>
    <w:rsid w:val="004C0D31"/>
    <w:rsid w:val="004C11DE"/>
    <w:rsid w:val="004C13DB"/>
    <w:rsid w:val="004D00EF"/>
    <w:rsid w:val="004D14AD"/>
    <w:rsid w:val="004D376C"/>
    <w:rsid w:val="004D3864"/>
    <w:rsid w:val="004D58CD"/>
    <w:rsid w:val="004D5EEF"/>
    <w:rsid w:val="004D75B0"/>
    <w:rsid w:val="004D7DC5"/>
    <w:rsid w:val="004E109A"/>
    <w:rsid w:val="004E3B94"/>
    <w:rsid w:val="004E6410"/>
    <w:rsid w:val="004E7C93"/>
    <w:rsid w:val="004F3C8F"/>
    <w:rsid w:val="00500939"/>
    <w:rsid w:val="00501FC7"/>
    <w:rsid w:val="005025F4"/>
    <w:rsid w:val="00502AAF"/>
    <w:rsid w:val="005067E0"/>
    <w:rsid w:val="00506CD4"/>
    <w:rsid w:val="00510B62"/>
    <w:rsid w:val="00511F85"/>
    <w:rsid w:val="0051479A"/>
    <w:rsid w:val="00516673"/>
    <w:rsid w:val="00517B69"/>
    <w:rsid w:val="00520368"/>
    <w:rsid w:val="005210D0"/>
    <w:rsid w:val="00523227"/>
    <w:rsid w:val="00523246"/>
    <w:rsid w:val="005237FD"/>
    <w:rsid w:val="005246B4"/>
    <w:rsid w:val="00525577"/>
    <w:rsid w:val="00525F8B"/>
    <w:rsid w:val="0052651B"/>
    <w:rsid w:val="00530F1E"/>
    <w:rsid w:val="00532F0D"/>
    <w:rsid w:val="00533C06"/>
    <w:rsid w:val="00533E30"/>
    <w:rsid w:val="0053401E"/>
    <w:rsid w:val="00535AAB"/>
    <w:rsid w:val="00540B8E"/>
    <w:rsid w:val="00542636"/>
    <w:rsid w:val="00543DF0"/>
    <w:rsid w:val="00544AB5"/>
    <w:rsid w:val="0054545F"/>
    <w:rsid w:val="00546D89"/>
    <w:rsid w:val="00547AFC"/>
    <w:rsid w:val="0055022A"/>
    <w:rsid w:val="005503E5"/>
    <w:rsid w:val="005513B0"/>
    <w:rsid w:val="00552BB9"/>
    <w:rsid w:val="00556F73"/>
    <w:rsid w:val="005576BE"/>
    <w:rsid w:val="00560217"/>
    <w:rsid w:val="005603B3"/>
    <w:rsid w:val="00561787"/>
    <w:rsid w:val="0056193C"/>
    <w:rsid w:val="00561EF9"/>
    <w:rsid w:val="005650CD"/>
    <w:rsid w:val="00566AE8"/>
    <w:rsid w:val="005670EC"/>
    <w:rsid w:val="00567328"/>
    <w:rsid w:val="005706D5"/>
    <w:rsid w:val="005728BC"/>
    <w:rsid w:val="00573F1D"/>
    <w:rsid w:val="0057421A"/>
    <w:rsid w:val="005759E4"/>
    <w:rsid w:val="00575AE8"/>
    <w:rsid w:val="00575E1D"/>
    <w:rsid w:val="00576089"/>
    <w:rsid w:val="005819D2"/>
    <w:rsid w:val="00581C10"/>
    <w:rsid w:val="00582374"/>
    <w:rsid w:val="00582DF8"/>
    <w:rsid w:val="00583800"/>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742F"/>
    <w:rsid w:val="005A7C78"/>
    <w:rsid w:val="005B0873"/>
    <w:rsid w:val="005B4F6C"/>
    <w:rsid w:val="005B7055"/>
    <w:rsid w:val="005C4763"/>
    <w:rsid w:val="005C4DB7"/>
    <w:rsid w:val="005C5DC8"/>
    <w:rsid w:val="005C661E"/>
    <w:rsid w:val="005C7258"/>
    <w:rsid w:val="005D1E9E"/>
    <w:rsid w:val="005D48C8"/>
    <w:rsid w:val="005D58CE"/>
    <w:rsid w:val="005D6DB4"/>
    <w:rsid w:val="005E2760"/>
    <w:rsid w:val="005E2D13"/>
    <w:rsid w:val="005E350B"/>
    <w:rsid w:val="005E4648"/>
    <w:rsid w:val="005E6068"/>
    <w:rsid w:val="005E64B3"/>
    <w:rsid w:val="005E6A47"/>
    <w:rsid w:val="005F03A4"/>
    <w:rsid w:val="005F0C51"/>
    <w:rsid w:val="005F16DB"/>
    <w:rsid w:val="005F17B2"/>
    <w:rsid w:val="005F2BB5"/>
    <w:rsid w:val="005F3A96"/>
    <w:rsid w:val="005F4DBF"/>
    <w:rsid w:val="005F58C1"/>
    <w:rsid w:val="005F65B1"/>
    <w:rsid w:val="005F66CC"/>
    <w:rsid w:val="005F7DEC"/>
    <w:rsid w:val="005F7E35"/>
    <w:rsid w:val="00600AA5"/>
    <w:rsid w:val="0060126D"/>
    <w:rsid w:val="0060146A"/>
    <w:rsid w:val="00601974"/>
    <w:rsid w:val="00601CE8"/>
    <w:rsid w:val="00602DA5"/>
    <w:rsid w:val="006045AF"/>
    <w:rsid w:val="00606B1E"/>
    <w:rsid w:val="006105E3"/>
    <w:rsid w:val="006115E2"/>
    <w:rsid w:val="00613D08"/>
    <w:rsid w:val="0061491F"/>
    <w:rsid w:val="00615FC7"/>
    <w:rsid w:val="00620DEF"/>
    <w:rsid w:val="0062204C"/>
    <w:rsid w:val="00623188"/>
    <w:rsid w:val="00626DD6"/>
    <w:rsid w:val="0062719D"/>
    <w:rsid w:val="00627FDF"/>
    <w:rsid w:val="00630296"/>
    <w:rsid w:val="006331E3"/>
    <w:rsid w:val="00633776"/>
    <w:rsid w:val="00633C62"/>
    <w:rsid w:val="00634A9A"/>
    <w:rsid w:val="006361F0"/>
    <w:rsid w:val="006372A4"/>
    <w:rsid w:val="006375ED"/>
    <w:rsid w:val="006378AB"/>
    <w:rsid w:val="0064029E"/>
    <w:rsid w:val="00640861"/>
    <w:rsid w:val="00640A36"/>
    <w:rsid w:val="00640BDC"/>
    <w:rsid w:val="0064171C"/>
    <w:rsid w:val="00646004"/>
    <w:rsid w:val="00646AD1"/>
    <w:rsid w:val="006473BA"/>
    <w:rsid w:val="00650E4E"/>
    <w:rsid w:val="00654D9D"/>
    <w:rsid w:val="00660C02"/>
    <w:rsid w:val="0066104E"/>
    <w:rsid w:val="0066130F"/>
    <w:rsid w:val="006641F4"/>
    <w:rsid w:val="006645D9"/>
    <w:rsid w:val="006650FB"/>
    <w:rsid w:val="00665EBC"/>
    <w:rsid w:val="00667637"/>
    <w:rsid w:val="00667BE8"/>
    <w:rsid w:val="0067150D"/>
    <w:rsid w:val="00673A29"/>
    <w:rsid w:val="00673AD9"/>
    <w:rsid w:val="006766F4"/>
    <w:rsid w:val="006777B6"/>
    <w:rsid w:val="00681341"/>
    <w:rsid w:val="00681787"/>
    <w:rsid w:val="0068250F"/>
    <w:rsid w:val="00685814"/>
    <w:rsid w:val="00685904"/>
    <w:rsid w:val="00685FFE"/>
    <w:rsid w:val="00686729"/>
    <w:rsid w:val="00686CAC"/>
    <w:rsid w:val="00686D5A"/>
    <w:rsid w:val="00687871"/>
    <w:rsid w:val="00693247"/>
    <w:rsid w:val="0069336E"/>
    <w:rsid w:val="00694174"/>
    <w:rsid w:val="0069729A"/>
    <w:rsid w:val="00697D60"/>
    <w:rsid w:val="006A27BC"/>
    <w:rsid w:val="006A27D6"/>
    <w:rsid w:val="006A3A42"/>
    <w:rsid w:val="006A41B4"/>
    <w:rsid w:val="006A5FD7"/>
    <w:rsid w:val="006A62B0"/>
    <w:rsid w:val="006B143E"/>
    <w:rsid w:val="006B30E3"/>
    <w:rsid w:val="006B5E72"/>
    <w:rsid w:val="006B6205"/>
    <w:rsid w:val="006C058F"/>
    <w:rsid w:val="006C275F"/>
    <w:rsid w:val="006C3252"/>
    <w:rsid w:val="006C4833"/>
    <w:rsid w:val="006C7A04"/>
    <w:rsid w:val="006D158F"/>
    <w:rsid w:val="006D1B83"/>
    <w:rsid w:val="006D1BE7"/>
    <w:rsid w:val="006D5C98"/>
    <w:rsid w:val="006D6FCC"/>
    <w:rsid w:val="006E0A9F"/>
    <w:rsid w:val="006E12D5"/>
    <w:rsid w:val="006E26E8"/>
    <w:rsid w:val="006E4493"/>
    <w:rsid w:val="006E76B0"/>
    <w:rsid w:val="006F08D4"/>
    <w:rsid w:val="006F3318"/>
    <w:rsid w:val="006F39CF"/>
    <w:rsid w:val="006F4894"/>
    <w:rsid w:val="006F58F5"/>
    <w:rsid w:val="006F676D"/>
    <w:rsid w:val="00700672"/>
    <w:rsid w:val="00701319"/>
    <w:rsid w:val="00701A95"/>
    <w:rsid w:val="007027E5"/>
    <w:rsid w:val="00702F7C"/>
    <w:rsid w:val="00706127"/>
    <w:rsid w:val="007077CD"/>
    <w:rsid w:val="00712A93"/>
    <w:rsid w:val="00714CF1"/>
    <w:rsid w:val="00715CEB"/>
    <w:rsid w:val="00717A58"/>
    <w:rsid w:val="00722924"/>
    <w:rsid w:val="00723D30"/>
    <w:rsid w:val="00723F1A"/>
    <w:rsid w:val="00726974"/>
    <w:rsid w:val="007306BB"/>
    <w:rsid w:val="007319AD"/>
    <w:rsid w:val="00732257"/>
    <w:rsid w:val="00734DDB"/>
    <w:rsid w:val="007400EB"/>
    <w:rsid w:val="00740240"/>
    <w:rsid w:val="0074037C"/>
    <w:rsid w:val="00740FC9"/>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6752"/>
    <w:rsid w:val="00766834"/>
    <w:rsid w:val="00766EC7"/>
    <w:rsid w:val="0077082D"/>
    <w:rsid w:val="0077181C"/>
    <w:rsid w:val="00771AF0"/>
    <w:rsid w:val="0077499E"/>
    <w:rsid w:val="0077508F"/>
    <w:rsid w:val="007752E2"/>
    <w:rsid w:val="00781A2C"/>
    <w:rsid w:val="00781F5F"/>
    <w:rsid w:val="00783479"/>
    <w:rsid w:val="00783696"/>
    <w:rsid w:val="00783D3E"/>
    <w:rsid w:val="00784B5D"/>
    <w:rsid w:val="00785DB0"/>
    <w:rsid w:val="00791384"/>
    <w:rsid w:val="00791D74"/>
    <w:rsid w:val="00791E5B"/>
    <w:rsid w:val="007931D7"/>
    <w:rsid w:val="007949B4"/>
    <w:rsid w:val="0079708B"/>
    <w:rsid w:val="0079779E"/>
    <w:rsid w:val="007A6DC9"/>
    <w:rsid w:val="007A71B5"/>
    <w:rsid w:val="007A797E"/>
    <w:rsid w:val="007B1216"/>
    <w:rsid w:val="007B255F"/>
    <w:rsid w:val="007B3DB7"/>
    <w:rsid w:val="007B55C5"/>
    <w:rsid w:val="007C0579"/>
    <w:rsid w:val="007C0E7E"/>
    <w:rsid w:val="007C10CC"/>
    <w:rsid w:val="007C250E"/>
    <w:rsid w:val="007C2CD7"/>
    <w:rsid w:val="007C37A7"/>
    <w:rsid w:val="007D009C"/>
    <w:rsid w:val="007D0643"/>
    <w:rsid w:val="007D2162"/>
    <w:rsid w:val="007D5A53"/>
    <w:rsid w:val="007D62D9"/>
    <w:rsid w:val="007D73C9"/>
    <w:rsid w:val="007E1FB4"/>
    <w:rsid w:val="007E28C1"/>
    <w:rsid w:val="007F0840"/>
    <w:rsid w:val="007F2086"/>
    <w:rsid w:val="007F67A7"/>
    <w:rsid w:val="007F6F0A"/>
    <w:rsid w:val="0080061B"/>
    <w:rsid w:val="00800773"/>
    <w:rsid w:val="00801004"/>
    <w:rsid w:val="0080111C"/>
    <w:rsid w:val="00801EFD"/>
    <w:rsid w:val="008058BC"/>
    <w:rsid w:val="00806D7C"/>
    <w:rsid w:val="00807854"/>
    <w:rsid w:val="00811012"/>
    <w:rsid w:val="00811A90"/>
    <w:rsid w:val="00813846"/>
    <w:rsid w:val="00814325"/>
    <w:rsid w:val="00815C4F"/>
    <w:rsid w:val="008161C2"/>
    <w:rsid w:val="00816942"/>
    <w:rsid w:val="0081738B"/>
    <w:rsid w:val="0082026A"/>
    <w:rsid w:val="008219BA"/>
    <w:rsid w:val="00821F3A"/>
    <w:rsid w:val="00824136"/>
    <w:rsid w:val="00826075"/>
    <w:rsid w:val="008267CA"/>
    <w:rsid w:val="00826A19"/>
    <w:rsid w:val="008312D4"/>
    <w:rsid w:val="008317C8"/>
    <w:rsid w:val="00831915"/>
    <w:rsid w:val="0083305B"/>
    <w:rsid w:val="008332D4"/>
    <w:rsid w:val="00834578"/>
    <w:rsid w:val="0083648B"/>
    <w:rsid w:val="00836500"/>
    <w:rsid w:val="008413CD"/>
    <w:rsid w:val="00841EAB"/>
    <w:rsid w:val="00844977"/>
    <w:rsid w:val="00844B97"/>
    <w:rsid w:val="00844E05"/>
    <w:rsid w:val="00845BB4"/>
    <w:rsid w:val="008464F9"/>
    <w:rsid w:val="00847302"/>
    <w:rsid w:val="00847BF3"/>
    <w:rsid w:val="00852A15"/>
    <w:rsid w:val="00853D0B"/>
    <w:rsid w:val="00854B16"/>
    <w:rsid w:val="00854BCA"/>
    <w:rsid w:val="00855A43"/>
    <w:rsid w:val="008561BF"/>
    <w:rsid w:val="00861E25"/>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28B6"/>
    <w:rsid w:val="00894CA0"/>
    <w:rsid w:val="00895461"/>
    <w:rsid w:val="008957B1"/>
    <w:rsid w:val="00896190"/>
    <w:rsid w:val="00897C5E"/>
    <w:rsid w:val="008A0656"/>
    <w:rsid w:val="008A1517"/>
    <w:rsid w:val="008A2307"/>
    <w:rsid w:val="008A2B8F"/>
    <w:rsid w:val="008A2BB7"/>
    <w:rsid w:val="008A4000"/>
    <w:rsid w:val="008A4A65"/>
    <w:rsid w:val="008A6621"/>
    <w:rsid w:val="008A70A5"/>
    <w:rsid w:val="008B201B"/>
    <w:rsid w:val="008B2D64"/>
    <w:rsid w:val="008B368E"/>
    <w:rsid w:val="008B38A4"/>
    <w:rsid w:val="008B38EE"/>
    <w:rsid w:val="008B4F2F"/>
    <w:rsid w:val="008B55B4"/>
    <w:rsid w:val="008B6A00"/>
    <w:rsid w:val="008C0269"/>
    <w:rsid w:val="008C076F"/>
    <w:rsid w:val="008C257C"/>
    <w:rsid w:val="008D0FDE"/>
    <w:rsid w:val="008D1051"/>
    <w:rsid w:val="008D22BE"/>
    <w:rsid w:val="008D7542"/>
    <w:rsid w:val="008D7F7C"/>
    <w:rsid w:val="008E0835"/>
    <w:rsid w:val="008E16ED"/>
    <w:rsid w:val="008E280E"/>
    <w:rsid w:val="008E2BA7"/>
    <w:rsid w:val="008E5642"/>
    <w:rsid w:val="008E5CC2"/>
    <w:rsid w:val="008F14E6"/>
    <w:rsid w:val="008F2E20"/>
    <w:rsid w:val="008F6E3D"/>
    <w:rsid w:val="0090061C"/>
    <w:rsid w:val="00900BC5"/>
    <w:rsid w:val="00901036"/>
    <w:rsid w:val="00904136"/>
    <w:rsid w:val="00904309"/>
    <w:rsid w:val="0090479F"/>
    <w:rsid w:val="00904BFC"/>
    <w:rsid w:val="00906692"/>
    <w:rsid w:val="00906853"/>
    <w:rsid w:val="00906CF8"/>
    <w:rsid w:val="009073CB"/>
    <w:rsid w:val="0090752A"/>
    <w:rsid w:val="00910805"/>
    <w:rsid w:val="00911A42"/>
    <w:rsid w:val="00912D60"/>
    <w:rsid w:val="009140A2"/>
    <w:rsid w:val="009141D0"/>
    <w:rsid w:val="00920480"/>
    <w:rsid w:val="00920D01"/>
    <w:rsid w:val="00923B20"/>
    <w:rsid w:val="009263DF"/>
    <w:rsid w:val="00927338"/>
    <w:rsid w:val="0093018E"/>
    <w:rsid w:val="0093167C"/>
    <w:rsid w:val="00932A3A"/>
    <w:rsid w:val="00934143"/>
    <w:rsid w:val="00934679"/>
    <w:rsid w:val="00935444"/>
    <w:rsid w:val="009378F0"/>
    <w:rsid w:val="00942696"/>
    <w:rsid w:val="00942EB6"/>
    <w:rsid w:val="0094307C"/>
    <w:rsid w:val="00944802"/>
    <w:rsid w:val="009470DD"/>
    <w:rsid w:val="009518D9"/>
    <w:rsid w:val="0095236F"/>
    <w:rsid w:val="00952404"/>
    <w:rsid w:val="00953350"/>
    <w:rsid w:val="00955BDA"/>
    <w:rsid w:val="0096328F"/>
    <w:rsid w:val="00965F52"/>
    <w:rsid w:val="0096737A"/>
    <w:rsid w:val="0097392A"/>
    <w:rsid w:val="009749C0"/>
    <w:rsid w:val="00977C0A"/>
    <w:rsid w:val="00982FF8"/>
    <w:rsid w:val="00984E8B"/>
    <w:rsid w:val="0098512F"/>
    <w:rsid w:val="0098550A"/>
    <w:rsid w:val="00985728"/>
    <w:rsid w:val="009857DD"/>
    <w:rsid w:val="009859AB"/>
    <w:rsid w:val="00987A4E"/>
    <w:rsid w:val="009907A9"/>
    <w:rsid w:val="00993DE4"/>
    <w:rsid w:val="00993F38"/>
    <w:rsid w:val="00994A4B"/>
    <w:rsid w:val="00996D25"/>
    <w:rsid w:val="009A043C"/>
    <w:rsid w:val="009A12ED"/>
    <w:rsid w:val="009A201F"/>
    <w:rsid w:val="009A62FC"/>
    <w:rsid w:val="009A6989"/>
    <w:rsid w:val="009A72EB"/>
    <w:rsid w:val="009B105E"/>
    <w:rsid w:val="009B2B4E"/>
    <w:rsid w:val="009B396E"/>
    <w:rsid w:val="009B39A2"/>
    <w:rsid w:val="009B3B97"/>
    <w:rsid w:val="009B49F3"/>
    <w:rsid w:val="009B4E5D"/>
    <w:rsid w:val="009B567A"/>
    <w:rsid w:val="009C1AD0"/>
    <w:rsid w:val="009C29C5"/>
    <w:rsid w:val="009C5426"/>
    <w:rsid w:val="009C5C75"/>
    <w:rsid w:val="009D1A13"/>
    <w:rsid w:val="009D1C23"/>
    <w:rsid w:val="009D2A29"/>
    <w:rsid w:val="009D417F"/>
    <w:rsid w:val="009D59DE"/>
    <w:rsid w:val="009E1362"/>
    <w:rsid w:val="009E1848"/>
    <w:rsid w:val="009E1BC1"/>
    <w:rsid w:val="009E1F6B"/>
    <w:rsid w:val="009E3E77"/>
    <w:rsid w:val="009E4DF2"/>
    <w:rsid w:val="009E6D60"/>
    <w:rsid w:val="009F1918"/>
    <w:rsid w:val="009F1F0F"/>
    <w:rsid w:val="009F2D0A"/>
    <w:rsid w:val="009F3962"/>
    <w:rsid w:val="009F6ED7"/>
    <w:rsid w:val="009F7401"/>
    <w:rsid w:val="009F78F2"/>
    <w:rsid w:val="00A01413"/>
    <w:rsid w:val="00A01C9B"/>
    <w:rsid w:val="00A065F5"/>
    <w:rsid w:val="00A10857"/>
    <w:rsid w:val="00A1221A"/>
    <w:rsid w:val="00A1269B"/>
    <w:rsid w:val="00A130F9"/>
    <w:rsid w:val="00A1585F"/>
    <w:rsid w:val="00A16000"/>
    <w:rsid w:val="00A16398"/>
    <w:rsid w:val="00A20EBA"/>
    <w:rsid w:val="00A20F2F"/>
    <w:rsid w:val="00A211A3"/>
    <w:rsid w:val="00A2357E"/>
    <w:rsid w:val="00A24629"/>
    <w:rsid w:val="00A25A27"/>
    <w:rsid w:val="00A27485"/>
    <w:rsid w:val="00A30038"/>
    <w:rsid w:val="00A309E8"/>
    <w:rsid w:val="00A3514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57E48"/>
    <w:rsid w:val="00A614EB"/>
    <w:rsid w:val="00A62886"/>
    <w:rsid w:val="00A63E79"/>
    <w:rsid w:val="00A6719E"/>
    <w:rsid w:val="00A672B2"/>
    <w:rsid w:val="00A74C51"/>
    <w:rsid w:val="00A77682"/>
    <w:rsid w:val="00A80C19"/>
    <w:rsid w:val="00A83279"/>
    <w:rsid w:val="00A83750"/>
    <w:rsid w:val="00A84631"/>
    <w:rsid w:val="00A85189"/>
    <w:rsid w:val="00A86498"/>
    <w:rsid w:val="00A86A0A"/>
    <w:rsid w:val="00A9067C"/>
    <w:rsid w:val="00A90A24"/>
    <w:rsid w:val="00A90BD3"/>
    <w:rsid w:val="00A91402"/>
    <w:rsid w:val="00A92FBB"/>
    <w:rsid w:val="00A93C1C"/>
    <w:rsid w:val="00A96790"/>
    <w:rsid w:val="00A96CE2"/>
    <w:rsid w:val="00A97543"/>
    <w:rsid w:val="00AA0DFE"/>
    <w:rsid w:val="00AA2502"/>
    <w:rsid w:val="00AA262E"/>
    <w:rsid w:val="00AA2AC5"/>
    <w:rsid w:val="00AA3174"/>
    <w:rsid w:val="00AA3A41"/>
    <w:rsid w:val="00AA5AE9"/>
    <w:rsid w:val="00AA6D45"/>
    <w:rsid w:val="00AA7585"/>
    <w:rsid w:val="00AA7DED"/>
    <w:rsid w:val="00AB031D"/>
    <w:rsid w:val="00AB08A6"/>
    <w:rsid w:val="00AB18B3"/>
    <w:rsid w:val="00AB1A1E"/>
    <w:rsid w:val="00AB236C"/>
    <w:rsid w:val="00AC0054"/>
    <w:rsid w:val="00AC06B6"/>
    <w:rsid w:val="00AC4C6A"/>
    <w:rsid w:val="00AC7830"/>
    <w:rsid w:val="00AD1557"/>
    <w:rsid w:val="00AD35F3"/>
    <w:rsid w:val="00AD44E9"/>
    <w:rsid w:val="00AD4CAC"/>
    <w:rsid w:val="00AD528F"/>
    <w:rsid w:val="00AD6760"/>
    <w:rsid w:val="00AD6EB3"/>
    <w:rsid w:val="00AD741D"/>
    <w:rsid w:val="00AD751D"/>
    <w:rsid w:val="00AD791C"/>
    <w:rsid w:val="00AE1C60"/>
    <w:rsid w:val="00AE4F42"/>
    <w:rsid w:val="00AE728D"/>
    <w:rsid w:val="00AE7589"/>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0732B"/>
    <w:rsid w:val="00B104C5"/>
    <w:rsid w:val="00B10F47"/>
    <w:rsid w:val="00B1385B"/>
    <w:rsid w:val="00B13B1B"/>
    <w:rsid w:val="00B15DBF"/>
    <w:rsid w:val="00B165C9"/>
    <w:rsid w:val="00B16F6C"/>
    <w:rsid w:val="00B17D70"/>
    <w:rsid w:val="00B22AD7"/>
    <w:rsid w:val="00B22D31"/>
    <w:rsid w:val="00B22E46"/>
    <w:rsid w:val="00B27853"/>
    <w:rsid w:val="00B27917"/>
    <w:rsid w:val="00B30291"/>
    <w:rsid w:val="00B306F7"/>
    <w:rsid w:val="00B30BB8"/>
    <w:rsid w:val="00B30FE2"/>
    <w:rsid w:val="00B3272E"/>
    <w:rsid w:val="00B32C71"/>
    <w:rsid w:val="00B330C4"/>
    <w:rsid w:val="00B36644"/>
    <w:rsid w:val="00B37580"/>
    <w:rsid w:val="00B4137A"/>
    <w:rsid w:val="00B50B77"/>
    <w:rsid w:val="00B51290"/>
    <w:rsid w:val="00B52215"/>
    <w:rsid w:val="00B530CA"/>
    <w:rsid w:val="00B53AC4"/>
    <w:rsid w:val="00B54527"/>
    <w:rsid w:val="00B57ADA"/>
    <w:rsid w:val="00B61EE9"/>
    <w:rsid w:val="00B6496C"/>
    <w:rsid w:val="00B65962"/>
    <w:rsid w:val="00B66B6C"/>
    <w:rsid w:val="00B7033E"/>
    <w:rsid w:val="00B7071A"/>
    <w:rsid w:val="00B7076B"/>
    <w:rsid w:val="00B71858"/>
    <w:rsid w:val="00B71A39"/>
    <w:rsid w:val="00B721DC"/>
    <w:rsid w:val="00B74715"/>
    <w:rsid w:val="00B7669D"/>
    <w:rsid w:val="00B766D9"/>
    <w:rsid w:val="00B80A28"/>
    <w:rsid w:val="00B82B41"/>
    <w:rsid w:val="00B82D73"/>
    <w:rsid w:val="00B84A2C"/>
    <w:rsid w:val="00B871D6"/>
    <w:rsid w:val="00B87A02"/>
    <w:rsid w:val="00B93557"/>
    <w:rsid w:val="00B96204"/>
    <w:rsid w:val="00BA0DCC"/>
    <w:rsid w:val="00BA12A2"/>
    <w:rsid w:val="00BA16EF"/>
    <w:rsid w:val="00BA18D0"/>
    <w:rsid w:val="00BA242E"/>
    <w:rsid w:val="00BA2ABF"/>
    <w:rsid w:val="00BA3317"/>
    <w:rsid w:val="00BA5A9D"/>
    <w:rsid w:val="00BA6363"/>
    <w:rsid w:val="00BB2D9C"/>
    <w:rsid w:val="00BB3512"/>
    <w:rsid w:val="00BB40DF"/>
    <w:rsid w:val="00BB5D1E"/>
    <w:rsid w:val="00BB62CC"/>
    <w:rsid w:val="00BB7ED6"/>
    <w:rsid w:val="00BC137A"/>
    <w:rsid w:val="00BC4347"/>
    <w:rsid w:val="00BC45E0"/>
    <w:rsid w:val="00BC54B5"/>
    <w:rsid w:val="00BC5D9D"/>
    <w:rsid w:val="00BC60E1"/>
    <w:rsid w:val="00BC6803"/>
    <w:rsid w:val="00BC7BCB"/>
    <w:rsid w:val="00BD109B"/>
    <w:rsid w:val="00BD1101"/>
    <w:rsid w:val="00BD2944"/>
    <w:rsid w:val="00BD2B5E"/>
    <w:rsid w:val="00BD3AFF"/>
    <w:rsid w:val="00BD4E7A"/>
    <w:rsid w:val="00BD531B"/>
    <w:rsid w:val="00BE00E5"/>
    <w:rsid w:val="00BE2E5A"/>
    <w:rsid w:val="00BE3A10"/>
    <w:rsid w:val="00BE4A21"/>
    <w:rsid w:val="00BE5859"/>
    <w:rsid w:val="00BE5DB1"/>
    <w:rsid w:val="00BE717E"/>
    <w:rsid w:val="00BE7E27"/>
    <w:rsid w:val="00BF183C"/>
    <w:rsid w:val="00BF2333"/>
    <w:rsid w:val="00BF4C15"/>
    <w:rsid w:val="00C01EFC"/>
    <w:rsid w:val="00C044CF"/>
    <w:rsid w:val="00C0782F"/>
    <w:rsid w:val="00C07A3E"/>
    <w:rsid w:val="00C11949"/>
    <w:rsid w:val="00C11F50"/>
    <w:rsid w:val="00C12603"/>
    <w:rsid w:val="00C12C7C"/>
    <w:rsid w:val="00C131FD"/>
    <w:rsid w:val="00C15322"/>
    <w:rsid w:val="00C16DA8"/>
    <w:rsid w:val="00C17352"/>
    <w:rsid w:val="00C21959"/>
    <w:rsid w:val="00C22875"/>
    <w:rsid w:val="00C30A7D"/>
    <w:rsid w:val="00C31169"/>
    <w:rsid w:val="00C3169F"/>
    <w:rsid w:val="00C318F6"/>
    <w:rsid w:val="00C3315C"/>
    <w:rsid w:val="00C3315D"/>
    <w:rsid w:val="00C37522"/>
    <w:rsid w:val="00C42EFD"/>
    <w:rsid w:val="00C43D8B"/>
    <w:rsid w:val="00C44042"/>
    <w:rsid w:val="00C46AF0"/>
    <w:rsid w:val="00C52956"/>
    <w:rsid w:val="00C53AE1"/>
    <w:rsid w:val="00C53CAD"/>
    <w:rsid w:val="00C54092"/>
    <w:rsid w:val="00C543C3"/>
    <w:rsid w:val="00C54893"/>
    <w:rsid w:val="00C560A1"/>
    <w:rsid w:val="00C56E9E"/>
    <w:rsid w:val="00C56EB6"/>
    <w:rsid w:val="00C571E2"/>
    <w:rsid w:val="00C63FC8"/>
    <w:rsid w:val="00C64F57"/>
    <w:rsid w:val="00C65D21"/>
    <w:rsid w:val="00C66E11"/>
    <w:rsid w:val="00C6789D"/>
    <w:rsid w:val="00C71A97"/>
    <w:rsid w:val="00C72FFE"/>
    <w:rsid w:val="00C73FFD"/>
    <w:rsid w:val="00C74512"/>
    <w:rsid w:val="00C75071"/>
    <w:rsid w:val="00C77EB0"/>
    <w:rsid w:val="00C84F07"/>
    <w:rsid w:val="00C851A6"/>
    <w:rsid w:val="00C855D4"/>
    <w:rsid w:val="00C87639"/>
    <w:rsid w:val="00C90685"/>
    <w:rsid w:val="00C9099A"/>
    <w:rsid w:val="00C9240A"/>
    <w:rsid w:val="00C93D5B"/>
    <w:rsid w:val="00C9442C"/>
    <w:rsid w:val="00C9532C"/>
    <w:rsid w:val="00C95BCF"/>
    <w:rsid w:val="00C95D16"/>
    <w:rsid w:val="00C95DCF"/>
    <w:rsid w:val="00CA184E"/>
    <w:rsid w:val="00CA23C4"/>
    <w:rsid w:val="00CA2E7E"/>
    <w:rsid w:val="00CA575F"/>
    <w:rsid w:val="00CA5AEC"/>
    <w:rsid w:val="00CA6114"/>
    <w:rsid w:val="00CA704A"/>
    <w:rsid w:val="00CB0797"/>
    <w:rsid w:val="00CB0FFC"/>
    <w:rsid w:val="00CB21FF"/>
    <w:rsid w:val="00CB2527"/>
    <w:rsid w:val="00CB5CAE"/>
    <w:rsid w:val="00CB644C"/>
    <w:rsid w:val="00CB6CAA"/>
    <w:rsid w:val="00CB78ED"/>
    <w:rsid w:val="00CC0004"/>
    <w:rsid w:val="00CC4E55"/>
    <w:rsid w:val="00CC550E"/>
    <w:rsid w:val="00CC5AC6"/>
    <w:rsid w:val="00CD0DCE"/>
    <w:rsid w:val="00CD1628"/>
    <w:rsid w:val="00CD1D27"/>
    <w:rsid w:val="00CD27B7"/>
    <w:rsid w:val="00CD3807"/>
    <w:rsid w:val="00CD3AE7"/>
    <w:rsid w:val="00CD3C10"/>
    <w:rsid w:val="00CD5194"/>
    <w:rsid w:val="00CD5981"/>
    <w:rsid w:val="00CD79FA"/>
    <w:rsid w:val="00CE10E6"/>
    <w:rsid w:val="00CE59A8"/>
    <w:rsid w:val="00CE657B"/>
    <w:rsid w:val="00CF0873"/>
    <w:rsid w:val="00CF237E"/>
    <w:rsid w:val="00CF3FB0"/>
    <w:rsid w:val="00CF515D"/>
    <w:rsid w:val="00CF53F5"/>
    <w:rsid w:val="00CF6B3F"/>
    <w:rsid w:val="00D002B4"/>
    <w:rsid w:val="00D03845"/>
    <w:rsid w:val="00D03DCB"/>
    <w:rsid w:val="00D05257"/>
    <w:rsid w:val="00D054DF"/>
    <w:rsid w:val="00D057A5"/>
    <w:rsid w:val="00D05D1F"/>
    <w:rsid w:val="00D144D0"/>
    <w:rsid w:val="00D14FC0"/>
    <w:rsid w:val="00D163A3"/>
    <w:rsid w:val="00D1656D"/>
    <w:rsid w:val="00D167CC"/>
    <w:rsid w:val="00D16943"/>
    <w:rsid w:val="00D211AE"/>
    <w:rsid w:val="00D21662"/>
    <w:rsid w:val="00D22416"/>
    <w:rsid w:val="00D23DE4"/>
    <w:rsid w:val="00D23F50"/>
    <w:rsid w:val="00D24447"/>
    <w:rsid w:val="00D24867"/>
    <w:rsid w:val="00D318E3"/>
    <w:rsid w:val="00D323A7"/>
    <w:rsid w:val="00D346BF"/>
    <w:rsid w:val="00D34A4B"/>
    <w:rsid w:val="00D416EB"/>
    <w:rsid w:val="00D41B20"/>
    <w:rsid w:val="00D44615"/>
    <w:rsid w:val="00D45321"/>
    <w:rsid w:val="00D50324"/>
    <w:rsid w:val="00D55A28"/>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6043"/>
    <w:rsid w:val="00D870D4"/>
    <w:rsid w:val="00D9398E"/>
    <w:rsid w:val="00D9464E"/>
    <w:rsid w:val="00D954E0"/>
    <w:rsid w:val="00D97059"/>
    <w:rsid w:val="00D97A1D"/>
    <w:rsid w:val="00DA0181"/>
    <w:rsid w:val="00DA2411"/>
    <w:rsid w:val="00DA2C81"/>
    <w:rsid w:val="00DA65C4"/>
    <w:rsid w:val="00DA7899"/>
    <w:rsid w:val="00DB0923"/>
    <w:rsid w:val="00DB29CA"/>
    <w:rsid w:val="00DB30C8"/>
    <w:rsid w:val="00DB558E"/>
    <w:rsid w:val="00DB5F2B"/>
    <w:rsid w:val="00DB74AF"/>
    <w:rsid w:val="00DC1AB8"/>
    <w:rsid w:val="00DC5C19"/>
    <w:rsid w:val="00DC7068"/>
    <w:rsid w:val="00DD0411"/>
    <w:rsid w:val="00DD265A"/>
    <w:rsid w:val="00DD6B9B"/>
    <w:rsid w:val="00DE07A1"/>
    <w:rsid w:val="00DE21A2"/>
    <w:rsid w:val="00DE2776"/>
    <w:rsid w:val="00DE3B11"/>
    <w:rsid w:val="00DE7183"/>
    <w:rsid w:val="00DF0771"/>
    <w:rsid w:val="00DF1DAC"/>
    <w:rsid w:val="00DF2165"/>
    <w:rsid w:val="00DF5A24"/>
    <w:rsid w:val="00DF60E6"/>
    <w:rsid w:val="00DF6105"/>
    <w:rsid w:val="00DF659E"/>
    <w:rsid w:val="00DF7D50"/>
    <w:rsid w:val="00E01524"/>
    <w:rsid w:val="00E0320F"/>
    <w:rsid w:val="00E07C16"/>
    <w:rsid w:val="00E1021D"/>
    <w:rsid w:val="00E1428E"/>
    <w:rsid w:val="00E14900"/>
    <w:rsid w:val="00E15903"/>
    <w:rsid w:val="00E218D3"/>
    <w:rsid w:val="00E22321"/>
    <w:rsid w:val="00E229ED"/>
    <w:rsid w:val="00E23091"/>
    <w:rsid w:val="00E23E21"/>
    <w:rsid w:val="00E245A0"/>
    <w:rsid w:val="00E25964"/>
    <w:rsid w:val="00E25E9F"/>
    <w:rsid w:val="00E27565"/>
    <w:rsid w:val="00E30DE6"/>
    <w:rsid w:val="00E31944"/>
    <w:rsid w:val="00E32395"/>
    <w:rsid w:val="00E32E0D"/>
    <w:rsid w:val="00E332E3"/>
    <w:rsid w:val="00E34DBA"/>
    <w:rsid w:val="00E3534F"/>
    <w:rsid w:val="00E35435"/>
    <w:rsid w:val="00E37194"/>
    <w:rsid w:val="00E3788B"/>
    <w:rsid w:val="00E40C6A"/>
    <w:rsid w:val="00E410B7"/>
    <w:rsid w:val="00E43977"/>
    <w:rsid w:val="00E4415D"/>
    <w:rsid w:val="00E44AB8"/>
    <w:rsid w:val="00E47BD8"/>
    <w:rsid w:val="00E50D3F"/>
    <w:rsid w:val="00E520BE"/>
    <w:rsid w:val="00E52744"/>
    <w:rsid w:val="00E53413"/>
    <w:rsid w:val="00E5484A"/>
    <w:rsid w:val="00E54E17"/>
    <w:rsid w:val="00E56A7A"/>
    <w:rsid w:val="00E60419"/>
    <w:rsid w:val="00E60E01"/>
    <w:rsid w:val="00E617D3"/>
    <w:rsid w:val="00E61E36"/>
    <w:rsid w:val="00E633C1"/>
    <w:rsid w:val="00E65532"/>
    <w:rsid w:val="00E667B0"/>
    <w:rsid w:val="00E67390"/>
    <w:rsid w:val="00E70031"/>
    <w:rsid w:val="00E71365"/>
    <w:rsid w:val="00E74904"/>
    <w:rsid w:val="00E75CFA"/>
    <w:rsid w:val="00E770A4"/>
    <w:rsid w:val="00E8097A"/>
    <w:rsid w:val="00E81192"/>
    <w:rsid w:val="00E83B51"/>
    <w:rsid w:val="00E8626C"/>
    <w:rsid w:val="00E8663B"/>
    <w:rsid w:val="00E86BDE"/>
    <w:rsid w:val="00E8762F"/>
    <w:rsid w:val="00E90171"/>
    <w:rsid w:val="00E90AB8"/>
    <w:rsid w:val="00E919D9"/>
    <w:rsid w:val="00E921C1"/>
    <w:rsid w:val="00E93C8B"/>
    <w:rsid w:val="00E93D8F"/>
    <w:rsid w:val="00E9531E"/>
    <w:rsid w:val="00E95E41"/>
    <w:rsid w:val="00E95E4C"/>
    <w:rsid w:val="00E977CE"/>
    <w:rsid w:val="00E97E05"/>
    <w:rsid w:val="00EA34E2"/>
    <w:rsid w:val="00EA52D1"/>
    <w:rsid w:val="00EA66A3"/>
    <w:rsid w:val="00EA703E"/>
    <w:rsid w:val="00EA791F"/>
    <w:rsid w:val="00EB671F"/>
    <w:rsid w:val="00EB70E7"/>
    <w:rsid w:val="00EB76D6"/>
    <w:rsid w:val="00EC02E8"/>
    <w:rsid w:val="00EC1139"/>
    <w:rsid w:val="00EC3842"/>
    <w:rsid w:val="00EC4299"/>
    <w:rsid w:val="00EC4D4D"/>
    <w:rsid w:val="00EC5D5D"/>
    <w:rsid w:val="00EC7908"/>
    <w:rsid w:val="00EC7C2B"/>
    <w:rsid w:val="00ED1F02"/>
    <w:rsid w:val="00ED213D"/>
    <w:rsid w:val="00EE15B5"/>
    <w:rsid w:val="00EE2087"/>
    <w:rsid w:val="00EE20A1"/>
    <w:rsid w:val="00EE6670"/>
    <w:rsid w:val="00EE74AF"/>
    <w:rsid w:val="00EF1F0E"/>
    <w:rsid w:val="00EF29F6"/>
    <w:rsid w:val="00EF4FBF"/>
    <w:rsid w:val="00EF518E"/>
    <w:rsid w:val="00EF5DF0"/>
    <w:rsid w:val="00EF69AE"/>
    <w:rsid w:val="00EF6E2C"/>
    <w:rsid w:val="00EF7106"/>
    <w:rsid w:val="00F001A6"/>
    <w:rsid w:val="00F00253"/>
    <w:rsid w:val="00F0070A"/>
    <w:rsid w:val="00F01660"/>
    <w:rsid w:val="00F01C16"/>
    <w:rsid w:val="00F0782D"/>
    <w:rsid w:val="00F10B74"/>
    <w:rsid w:val="00F11EB3"/>
    <w:rsid w:val="00F13F39"/>
    <w:rsid w:val="00F14B9B"/>
    <w:rsid w:val="00F14CCC"/>
    <w:rsid w:val="00F17988"/>
    <w:rsid w:val="00F20C09"/>
    <w:rsid w:val="00F217DF"/>
    <w:rsid w:val="00F21CAE"/>
    <w:rsid w:val="00F22AE0"/>
    <w:rsid w:val="00F23BA9"/>
    <w:rsid w:val="00F2601A"/>
    <w:rsid w:val="00F26701"/>
    <w:rsid w:val="00F310D7"/>
    <w:rsid w:val="00F343A0"/>
    <w:rsid w:val="00F368B9"/>
    <w:rsid w:val="00F3739F"/>
    <w:rsid w:val="00F374C1"/>
    <w:rsid w:val="00F37B34"/>
    <w:rsid w:val="00F37C53"/>
    <w:rsid w:val="00F41C34"/>
    <w:rsid w:val="00F4212F"/>
    <w:rsid w:val="00F447DB"/>
    <w:rsid w:val="00F447FA"/>
    <w:rsid w:val="00F469B9"/>
    <w:rsid w:val="00F46C32"/>
    <w:rsid w:val="00F46ECB"/>
    <w:rsid w:val="00F50F94"/>
    <w:rsid w:val="00F525B5"/>
    <w:rsid w:val="00F53D53"/>
    <w:rsid w:val="00F543B9"/>
    <w:rsid w:val="00F56177"/>
    <w:rsid w:val="00F56187"/>
    <w:rsid w:val="00F575D3"/>
    <w:rsid w:val="00F5786C"/>
    <w:rsid w:val="00F62117"/>
    <w:rsid w:val="00F62365"/>
    <w:rsid w:val="00F630A7"/>
    <w:rsid w:val="00F6520C"/>
    <w:rsid w:val="00F66225"/>
    <w:rsid w:val="00F662BC"/>
    <w:rsid w:val="00F6708D"/>
    <w:rsid w:val="00F675B4"/>
    <w:rsid w:val="00F707F0"/>
    <w:rsid w:val="00F71AD5"/>
    <w:rsid w:val="00F729ED"/>
    <w:rsid w:val="00F733B8"/>
    <w:rsid w:val="00F74F50"/>
    <w:rsid w:val="00F75192"/>
    <w:rsid w:val="00F77822"/>
    <w:rsid w:val="00F838B6"/>
    <w:rsid w:val="00F83B0D"/>
    <w:rsid w:val="00F83C31"/>
    <w:rsid w:val="00F85F05"/>
    <w:rsid w:val="00F86AD1"/>
    <w:rsid w:val="00F90D96"/>
    <w:rsid w:val="00F9222A"/>
    <w:rsid w:val="00F922EA"/>
    <w:rsid w:val="00F923F4"/>
    <w:rsid w:val="00F92927"/>
    <w:rsid w:val="00F949E0"/>
    <w:rsid w:val="00F94F0F"/>
    <w:rsid w:val="00F9627D"/>
    <w:rsid w:val="00F979B3"/>
    <w:rsid w:val="00F97CCD"/>
    <w:rsid w:val="00FA309D"/>
    <w:rsid w:val="00FA320D"/>
    <w:rsid w:val="00FA362B"/>
    <w:rsid w:val="00FA444C"/>
    <w:rsid w:val="00FA53E9"/>
    <w:rsid w:val="00FA60EC"/>
    <w:rsid w:val="00FB04E9"/>
    <w:rsid w:val="00FB1179"/>
    <w:rsid w:val="00FB1C6B"/>
    <w:rsid w:val="00FB3361"/>
    <w:rsid w:val="00FB42B4"/>
    <w:rsid w:val="00FB4841"/>
    <w:rsid w:val="00FB6C94"/>
    <w:rsid w:val="00FB7F8B"/>
    <w:rsid w:val="00FC22F5"/>
    <w:rsid w:val="00FC3753"/>
    <w:rsid w:val="00FC5170"/>
    <w:rsid w:val="00FC5743"/>
    <w:rsid w:val="00FC6240"/>
    <w:rsid w:val="00FD118C"/>
    <w:rsid w:val="00FD332F"/>
    <w:rsid w:val="00FD7395"/>
    <w:rsid w:val="00FE1CC1"/>
    <w:rsid w:val="00FE385E"/>
    <w:rsid w:val="00FE3CE2"/>
    <w:rsid w:val="00FE54AD"/>
    <w:rsid w:val="00FE5633"/>
    <w:rsid w:val="00FE6F7A"/>
    <w:rsid w:val="00FE7B14"/>
    <w:rsid w:val="00FF02D5"/>
    <w:rsid w:val="00FF0846"/>
    <w:rsid w:val="00FF248B"/>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61"/>
    <o:shapelayout v:ext="edit">
      <o:idmap v:ext="edit" data="1"/>
    </o:shapelayout>
  </w:shapeDefaults>
  <w:decimalSymbol w:val=","/>
  <w:listSeparator w:val=";"/>
  <w14:docId w14:val="42E5B811"/>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29906822">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8/8/pdf/00330648.pdf" TargetMode="External"/><Relationship Id="rId13" Type="http://schemas.openxmlformats.org/officeDocument/2006/relationships/hyperlink" Target="http://www1.tce.pr.gov.br/multimidia/2018/8/pdf/00330605.pdf" TargetMode="External"/><Relationship Id="rId18" Type="http://schemas.openxmlformats.org/officeDocument/2006/relationships/hyperlink" Target="http://www1.tce.pr.gov.br/multimidia/2018/8/pdf/00330663.pdf" TargetMode="External"/><Relationship Id="rId26" Type="http://schemas.openxmlformats.org/officeDocument/2006/relationships/hyperlink" Target="https://contas.tcu.gov.br/sagas/SvlVisualizarRelVotoAcRtf?codFiltro=SAGAS-SESSAO-ENCERRADA&amp;seOcultaPagina=S&amp;item0=632065"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ontas.tcu.gov.br/sagas/SvlVisualizarRelVotoAcRtf?codFiltro=SAGAS-SESSAO-ENCERRADA&amp;seOcultaPagina=S&amp;item0=630022" TargetMode="External"/><Relationship Id="rId34" Type="http://schemas.openxmlformats.org/officeDocument/2006/relationships/hyperlink" Target="https://contas.tcu.gov.br/sagas/SvlVisualizarRelVotoAcRtf?codFiltro=SAGAS-SESSAO-ENCERRADA&amp;seOcultaPagina=S&amp;item0=633620" TargetMode="External"/><Relationship Id="rId7" Type="http://schemas.openxmlformats.org/officeDocument/2006/relationships/endnotes" Target="endnotes.xml"/><Relationship Id="rId12" Type="http://schemas.openxmlformats.org/officeDocument/2006/relationships/hyperlink" Target="http://www1.tce.pr.gov.br/multimidia/2018/8/pdf/00330493.pdf" TargetMode="External"/><Relationship Id="rId17" Type="http://schemas.openxmlformats.org/officeDocument/2006/relationships/hyperlink" Target="http://www1.tce.pr.gov.br/multimidia/2018/8/pdf/00330481.pdf" TargetMode="External"/><Relationship Id="rId25" Type="http://schemas.openxmlformats.org/officeDocument/2006/relationships/hyperlink" Target="https://contas.tcu.gov.br/sagas/SvlVisualizarRelVotoAcRtf?codFiltro=SAGAS-SESSAO-ENCERRADA&amp;seOcultaPagina=S&amp;item0=628662" TargetMode="External"/><Relationship Id="rId33" Type="http://schemas.openxmlformats.org/officeDocument/2006/relationships/hyperlink" Target="http://www.planalto.gov.br/ccivil_03/Constituicao/Constituicao.htm"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1.tce.pr.gov.br/multimidia/2018/8/pdf/00330440.pdf" TargetMode="External"/><Relationship Id="rId20" Type="http://schemas.openxmlformats.org/officeDocument/2006/relationships/hyperlink" Target="https://ww2.stj.jus.br/processo/revista/documento/mediado/?componente=ATC&amp;sequencial=85319308&amp;num_registro=201801397163&amp;data=20180830&amp;tipo=51&amp;formato=PDF" TargetMode="External"/><Relationship Id="rId29" Type="http://schemas.openxmlformats.org/officeDocument/2006/relationships/hyperlink" Target="https://contas.tcu.gov.br/sagas/SvlVisualizarRelVotoAcRtf?codFiltro=SAGAS-SESSAO-ENCERRADA&amp;seOcultaPagina=S&amp;item0=6320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8/8/pdf/00330386.pdf" TargetMode="External"/><Relationship Id="rId24" Type="http://schemas.openxmlformats.org/officeDocument/2006/relationships/hyperlink" Target="https://contas.tcu.gov.br/sagas/SvlVisualizarRelVotoAcRtf?codFiltro=SAGAS-SESSAO-ENCERRADA&amp;seOcultaPagina=S&amp;item0=623363" TargetMode="External"/><Relationship Id="rId32" Type="http://schemas.openxmlformats.org/officeDocument/2006/relationships/hyperlink" Target="http://www.planalto.gov.br/ccivil_03/LEIS/L8666cons.htm"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1.tce.pr.gov.br/multimidia/2018/8/pdf/00330436.pdf" TargetMode="External"/><Relationship Id="rId23" Type="http://schemas.openxmlformats.org/officeDocument/2006/relationships/hyperlink" Target="http://www.planalto.gov.br/ccivil_03/_ato2011-2014/2011/lei/l12506.htm" TargetMode="External"/><Relationship Id="rId28" Type="http://schemas.openxmlformats.org/officeDocument/2006/relationships/hyperlink" Target="https://contas.tcu.gov.br/sagas/SvlVisualizarRelVotoAcRtf?codFiltro=SAGAS-SESSAO-ENCERRADA&amp;seOcultaPagina=S&amp;item0=632065" TargetMode="External"/><Relationship Id="rId36" Type="http://schemas.openxmlformats.org/officeDocument/2006/relationships/hyperlink" Target="http://www1.tce.pr.gov.br/conteudo/teses-ambientais/316603/area/242" TargetMode="External"/><Relationship Id="rId10" Type="http://schemas.openxmlformats.org/officeDocument/2006/relationships/hyperlink" Target="http://www1.tce.pr.gov.br/multimidia/2018/8/pdf/00330383.pdf" TargetMode="External"/><Relationship Id="rId19" Type="http://schemas.openxmlformats.org/officeDocument/2006/relationships/hyperlink" Target="/" TargetMode="External"/><Relationship Id="rId31" Type="http://schemas.openxmlformats.org/officeDocument/2006/relationships/hyperlink" Target="https://contas.tcu.gov.br/sagas/SvlVisualizarRelVotoAcRtf?codFiltro=SAGAS-SESSAO-ENCERRADA&amp;seOcultaPagina=S&amp;item0=633208" TargetMode="External"/><Relationship Id="rId4" Type="http://schemas.openxmlformats.org/officeDocument/2006/relationships/settings" Target="settings.xml"/><Relationship Id="rId9" Type="http://schemas.openxmlformats.org/officeDocument/2006/relationships/hyperlink" Target="http://www1.tce.pr.gov.br/multimidia/2018/8/pdf/00330453.pdf" TargetMode="External"/><Relationship Id="rId14" Type="http://schemas.openxmlformats.org/officeDocument/2006/relationships/hyperlink" Target="http://www1.tce.pr.gov.br/multimidia/2018/8/pdf/00330638.pdf" TargetMode="External"/><Relationship Id="rId22" Type="http://schemas.openxmlformats.org/officeDocument/2006/relationships/hyperlink" Target="https://contas.tcu.gov.br/sagas/SvlVisualizarRelVotoAcRtf?codFiltro=SAGAS-SESSAO-ENCERRADA&amp;seOcultaPagina=S&amp;item0=630623" TargetMode="External"/><Relationship Id="rId27" Type="http://schemas.openxmlformats.org/officeDocument/2006/relationships/hyperlink" Target="http://www.planalto.gov.br/ccivil_03/constituicao/emendas/emc/emc95.htm" TargetMode="External"/><Relationship Id="rId30" Type="http://schemas.openxmlformats.org/officeDocument/2006/relationships/hyperlink" Target="https://contas.tcu.gov.br/sagas/SvlVisualizarRelVotoAcRtf?codFiltro=SAGAS-SESSAO-ENCERRADA&amp;seOcultaPagina=S&amp;item0=634169" TargetMode="External"/><Relationship Id="rId35" Type="http://schemas.openxmlformats.org/officeDocument/2006/relationships/hyperlink" Target="https://contas.tcu.gov.br/sagas/SvlVisualizarRelVotoAcRtf?codFiltro=SAGAS-SESSAO-ENCERRADA&amp;seOcultaPagina=S&amp;item0=63069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90FC0-0236-45FA-80CF-0EAE7E77C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13</Pages>
  <Words>4977</Words>
  <Characters>26879</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Tiago Moraes Ribeiro</cp:lastModifiedBy>
  <cp:revision>305</cp:revision>
  <cp:lastPrinted>2017-07-10T20:46:00Z</cp:lastPrinted>
  <dcterms:created xsi:type="dcterms:W3CDTF">2017-07-10T20:45:00Z</dcterms:created>
  <dcterms:modified xsi:type="dcterms:W3CDTF">2018-10-09T13:17:00Z</dcterms:modified>
</cp:coreProperties>
</file>