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2F" w:rsidRPr="00640BDC" w:rsidRDefault="0038012F" w:rsidP="0038012F">
      <w:pPr>
        <w:pStyle w:val="Cabealho"/>
        <w:spacing w:after="100" w:afterAutospacing="1"/>
        <w:jc w:val="center"/>
        <w:rPr>
          <w:rFonts w:ascii="Arial" w:hAnsi="Arial" w:cs="Arial"/>
        </w:rPr>
      </w:pPr>
      <w:r w:rsidRPr="00640BDC">
        <w:rPr>
          <w:rFonts w:ascii="Arial" w:hAnsi="Arial" w:cs="Arial"/>
          <w:b/>
        </w:rPr>
        <w:t>Boletim de Jurisprudência TCE/PR</w:t>
      </w:r>
      <w:r w:rsidRPr="00640BDC">
        <w:rPr>
          <w:rFonts w:ascii="Arial" w:hAnsi="Arial" w:cs="Arial"/>
        </w:rPr>
        <w:t xml:space="preserve"> </w:t>
      </w:r>
    </w:p>
    <w:p w:rsidR="001B5F7A" w:rsidRPr="002147AC" w:rsidRDefault="001B5F7A" w:rsidP="001B5F7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7AC">
        <w:rPr>
          <w:rFonts w:ascii="Arial" w:hAnsi="Arial" w:cs="Arial"/>
          <w:b/>
          <w:sz w:val="20"/>
          <w:szCs w:val="20"/>
        </w:rPr>
        <w:t>Número 05</w:t>
      </w:r>
    </w:p>
    <w:p w:rsidR="001B5F7A" w:rsidRPr="002147AC" w:rsidRDefault="001B5F7A" w:rsidP="001B5F7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7AC">
        <w:rPr>
          <w:rFonts w:ascii="Arial" w:hAnsi="Arial" w:cs="Arial"/>
          <w:b/>
          <w:sz w:val="20"/>
          <w:szCs w:val="20"/>
        </w:rPr>
        <w:t xml:space="preserve">Sessões: 01 </w:t>
      </w:r>
      <w:r w:rsidR="000D4DE6" w:rsidRPr="002147AC">
        <w:rPr>
          <w:rFonts w:ascii="Arial" w:hAnsi="Arial" w:cs="Arial"/>
          <w:b/>
          <w:sz w:val="20"/>
          <w:szCs w:val="20"/>
        </w:rPr>
        <w:t>a</w:t>
      </w:r>
      <w:r w:rsidRPr="002147AC">
        <w:rPr>
          <w:rFonts w:ascii="Arial" w:hAnsi="Arial" w:cs="Arial"/>
          <w:b/>
          <w:sz w:val="20"/>
          <w:szCs w:val="20"/>
        </w:rPr>
        <w:t xml:space="preserve"> 15 de dezembro de 2016</w:t>
      </w:r>
    </w:p>
    <w:p w:rsidR="001B5F7A" w:rsidRPr="006375ED" w:rsidRDefault="001B5F7A" w:rsidP="001B5F7A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375ED">
        <w:rPr>
          <w:rFonts w:ascii="Arial" w:hAnsi="Arial" w:cs="Arial"/>
          <w:sz w:val="18"/>
          <w:szCs w:val="18"/>
        </w:rPr>
        <w:t xml:space="preserve">Este Boletim contém informações sintéticas de decisões proferidas pelos Colegiados do TCE/PR que receberam indicação de relevância sob o prisma jurisprudencial no período acima indicado. </w:t>
      </w:r>
      <w:r w:rsidR="00BC137A" w:rsidRPr="006375ED">
        <w:rPr>
          <w:rFonts w:ascii="Arial" w:hAnsi="Arial" w:cs="Arial"/>
          <w:color w:val="212121"/>
          <w:sz w:val="18"/>
          <w:szCs w:val="18"/>
        </w:rPr>
        <w:t>A seleção das decisões leva em consideração ao menos um dos seguintes fatores: ineditismo da deliberação, discussão no colegiado ou reiteração de entendimento importante</w:t>
      </w:r>
      <w:r w:rsidR="00F3739F" w:rsidRPr="006375ED">
        <w:rPr>
          <w:rFonts w:ascii="Arial" w:hAnsi="Arial" w:cs="Arial"/>
          <w:color w:val="212121"/>
          <w:sz w:val="18"/>
          <w:szCs w:val="18"/>
        </w:rPr>
        <w:t>.</w:t>
      </w:r>
      <w:r w:rsidR="00BC137A" w:rsidRPr="006375ED">
        <w:rPr>
          <w:rFonts w:ascii="Arial" w:hAnsi="Arial" w:cs="Arial"/>
          <w:sz w:val="18"/>
          <w:szCs w:val="18"/>
        </w:rPr>
        <w:t xml:space="preserve"> </w:t>
      </w:r>
      <w:r w:rsidRPr="006375ED">
        <w:rPr>
          <w:rFonts w:ascii="Arial" w:hAnsi="Arial" w:cs="Arial"/>
          <w:sz w:val="18"/>
          <w:szCs w:val="18"/>
        </w:rPr>
        <w:t>O objetivo é facilitar ao interessado o acompanhamento dos acórdãos mais importantes do Tribunal. Para aprofundamento, o leitor pode acessar o inteiro teor das deliberações por meio dos links disponíveis.</w:t>
      </w:r>
      <w:r w:rsidR="00BC137A" w:rsidRPr="006375ED">
        <w:rPr>
          <w:rFonts w:ascii="Arial" w:hAnsi="Arial" w:cs="Arial"/>
          <w:color w:val="212121"/>
          <w:sz w:val="18"/>
          <w:szCs w:val="18"/>
        </w:rPr>
        <w:t xml:space="preserve"> </w:t>
      </w:r>
      <w:r w:rsidRPr="006375ED">
        <w:rPr>
          <w:rFonts w:ascii="Arial" w:hAnsi="Arial" w:cs="Arial"/>
          <w:sz w:val="18"/>
          <w:szCs w:val="18"/>
        </w:rPr>
        <w:t>As informações aqui apresentadas não são repositórios oficiais de jurisprudência.</w:t>
      </w:r>
    </w:p>
    <w:p w:rsidR="001B5F7A" w:rsidRDefault="001B5F7A" w:rsidP="000F639D">
      <w:pPr>
        <w:spacing w:after="120"/>
        <w:jc w:val="both"/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0D3C" wp14:editId="0FA18267">
                <wp:simplePos x="0" y="0"/>
                <wp:positionH relativeFrom="margin">
                  <wp:posOffset>520</wp:posOffset>
                </wp:positionH>
                <wp:positionV relativeFrom="paragraph">
                  <wp:posOffset>31222</wp:posOffset>
                </wp:positionV>
                <wp:extent cx="5421085" cy="0"/>
                <wp:effectExtent l="0" t="0" r="27305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10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6BF98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2.45pt" to="426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AE4F42" w:rsidRPr="00722924" w:rsidRDefault="00AE4F42" w:rsidP="00AE4F42">
      <w:pPr>
        <w:shd w:val="pct10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221D15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MÁRIO</w:t>
      </w:r>
    </w:p>
    <w:p w:rsidR="000B1E10" w:rsidRDefault="00502AAF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0B1E10">
        <w:rPr>
          <w:rFonts w:ascii="Arial" w:hAnsi="Arial" w:cs="Arial"/>
          <w:sz w:val="20"/>
          <w:szCs w:val="20"/>
        </w:rPr>
        <w:t xml:space="preserve"> </w:t>
      </w:r>
      <w:r w:rsidR="000B1E10" w:rsidRPr="00D44615">
        <w:rPr>
          <w:rFonts w:ascii="Arial" w:hAnsi="Arial" w:cs="Arial"/>
          <w:sz w:val="20"/>
          <w:szCs w:val="20"/>
        </w:rPr>
        <w:t>Prestação de Contas Anual. Consórcios Públicos. Conselho Fiscal. Controle Interno. Segregação e Funções.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365E61" w:rsidRDefault="00502AAF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C3842" w:rsidRPr="00EC3842">
        <w:rPr>
          <w:rFonts w:ascii="Arial" w:hAnsi="Arial" w:cs="Arial"/>
          <w:sz w:val="20"/>
          <w:szCs w:val="20"/>
        </w:rPr>
        <w:t>Ato de inativação. Aposentadoria. Verbas transitórias. Incorporação. Cálculo. Princípio Contributivo.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365E61" w:rsidRDefault="00502AAF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FF7425" w:rsidRPr="00FF7425">
        <w:rPr>
          <w:rFonts w:ascii="Arial" w:hAnsi="Arial" w:cs="Arial"/>
          <w:sz w:val="20"/>
          <w:szCs w:val="20"/>
        </w:rPr>
        <w:t>Representação do Ouvidor. Acúmulo de função gratificada com cargo de vereador. Princípios constitucionais da simetria e separação de poderes</w:t>
      </w:r>
      <w:r w:rsidR="00FF7425">
        <w:rPr>
          <w:rFonts w:ascii="Arial" w:hAnsi="Arial" w:cs="Arial"/>
          <w:sz w:val="20"/>
          <w:szCs w:val="20"/>
        </w:rPr>
        <w:t>.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420AE1" w:rsidRDefault="00502AAF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0A29BE" w:rsidRPr="000A29BE">
        <w:rPr>
          <w:rFonts w:ascii="Arial" w:hAnsi="Arial" w:cs="Arial"/>
          <w:sz w:val="20"/>
          <w:szCs w:val="20"/>
        </w:rPr>
        <w:t>Representação. Terceirização de atividades típicas de servidores públicos. Ofensa ao art. 37, II, da Constituição e Prejulgado nº. 06 do TCE/PR.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AE4F42" w:rsidRDefault="00502AAF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3E55BC">
        <w:rPr>
          <w:rFonts w:ascii="Arial" w:hAnsi="Arial" w:cs="Arial"/>
          <w:sz w:val="20"/>
          <w:szCs w:val="20"/>
        </w:rPr>
        <w:t xml:space="preserve">Consulta. Interpretação do art. 56, § 1º, inciso III, da Lei Federal n° 8.666/93. Garantias Contratuais. </w:t>
      </w:r>
      <w:r w:rsidR="003E55BC" w:rsidRPr="00E520BE">
        <w:rPr>
          <w:rFonts w:ascii="Arial" w:hAnsi="Arial" w:cs="Arial"/>
          <w:i/>
          <w:sz w:val="20"/>
          <w:szCs w:val="20"/>
        </w:rPr>
        <w:t>Numerus clausus</w:t>
      </w:r>
      <w:r w:rsidR="003E55BC">
        <w:rPr>
          <w:rFonts w:ascii="Arial" w:hAnsi="Arial" w:cs="Arial"/>
          <w:sz w:val="20"/>
          <w:szCs w:val="20"/>
        </w:rPr>
        <w:t>.</w:t>
      </w:r>
      <w:r w:rsidR="00E520BE">
        <w:rPr>
          <w:rFonts w:ascii="Arial" w:hAnsi="Arial" w:cs="Arial"/>
          <w:sz w:val="20"/>
          <w:szCs w:val="20"/>
        </w:rPr>
        <w:t xml:space="preserve"> Primazia ao princípio da legalidade. Inadmissibilidade de outra modalidade de fiança que não a bancária.</w:t>
      </w:r>
    </w:p>
    <w:p w:rsidR="006375ED" w:rsidRDefault="006375ED" w:rsidP="006375E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520BE" w:rsidRDefault="005819D2" w:rsidP="006375E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520BE">
        <w:rPr>
          <w:rFonts w:ascii="Arial" w:hAnsi="Arial" w:cs="Arial"/>
          <w:sz w:val="20"/>
          <w:szCs w:val="20"/>
        </w:rPr>
        <w:t xml:space="preserve">. </w:t>
      </w:r>
      <w:r w:rsidR="00AD741D" w:rsidRPr="00AD741D">
        <w:rPr>
          <w:rFonts w:ascii="Arial" w:hAnsi="Arial" w:cs="Arial"/>
          <w:sz w:val="20"/>
          <w:szCs w:val="20"/>
        </w:rPr>
        <w:t>Re</w:t>
      </w:r>
      <w:r w:rsidR="004B623F">
        <w:rPr>
          <w:rFonts w:ascii="Arial" w:hAnsi="Arial" w:cs="Arial"/>
          <w:sz w:val="20"/>
          <w:szCs w:val="20"/>
        </w:rPr>
        <w:t>curso de R</w:t>
      </w:r>
      <w:r w:rsidR="00AD741D" w:rsidRPr="00AD741D">
        <w:rPr>
          <w:rFonts w:ascii="Arial" w:hAnsi="Arial" w:cs="Arial"/>
          <w:sz w:val="20"/>
          <w:szCs w:val="20"/>
        </w:rPr>
        <w:t>evista. Aposentadoria por invalidez. Rol</w:t>
      </w:r>
      <w:r w:rsidR="00AD741D">
        <w:rPr>
          <w:rFonts w:ascii="Arial" w:hAnsi="Arial" w:cs="Arial"/>
          <w:sz w:val="20"/>
          <w:szCs w:val="20"/>
        </w:rPr>
        <w:t xml:space="preserve"> </w:t>
      </w:r>
      <w:r w:rsidR="00AD741D" w:rsidRPr="00AD741D">
        <w:rPr>
          <w:rFonts w:ascii="Arial" w:hAnsi="Arial" w:cs="Arial"/>
          <w:sz w:val="20"/>
          <w:szCs w:val="20"/>
        </w:rPr>
        <w:t>de doenças graves. Revisão de Uniformização de</w:t>
      </w:r>
      <w:r w:rsidR="00AD741D">
        <w:rPr>
          <w:rFonts w:ascii="Arial" w:hAnsi="Arial" w:cs="Arial"/>
          <w:sz w:val="20"/>
          <w:szCs w:val="20"/>
        </w:rPr>
        <w:t xml:space="preserve"> </w:t>
      </w:r>
      <w:r w:rsidR="00AD741D" w:rsidRPr="00AD741D">
        <w:rPr>
          <w:rFonts w:ascii="Arial" w:hAnsi="Arial" w:cs="Arial"/>
          <w:sz w:val="20"/>
          <w:szCs w:val="20"/>
        </w:rPr>
        <w:t xml:space="preserve">Jurisprudência </w:t>
      </w:r>
      <w:r w:rsidR="000078B5">
        <w:rPr>
          <w:rFonts w:ascii="Arial" w:hAnsi="Arial" w:cs="Arial"/>
          <w:sz w:val="20"/>
          <w:szCs w:val="20"/>
        </w:rPr>
        <w:t>(</w:t>
      </w:r>
      <w:r w:rsidR="00AD741D" w:rsidRPr="00AD741D">
        <w:rPr>
          <w:rFonts w:ascii="Arial" w:hAnsi="Arial" w:cs="Arial"/>
          <w:sz w:val="20"/>
          <w:szCs w:val="20"/>
        </w:rPr>
        <w:t xml:space="preserve">Acórdão nº 2.842/16 </w:t>
      </w:r>
      <w:r w:rsidR="004B623F">
        <w:rPr>
          <w:rFonts w:ascii="Arial" w:hAnsi="Arial" w:cs="Arial"/>
          <w:sz w:val="20"/>
          <w:szCs w:val="20"/>
        </w:rPr>
        <w:t>-</w:t>
      </w:r>
      <w:r w:rsidR="00AD741D" w:rsidRPr="00AD741D">
        <w:rPr>
          <w:rFonts w:ascii="Arial" w:hAnsi="Arial" w:cs="Arial"/>
          <w:sz w:val="20"/>
          <w:szCs w:val="20"/>
        </w:rPr>
        <w:t xml:space="preserve"> T</w:t>
      </w:r>
      <w:r w:rsidR="004B623F">
        <w:rPr>
          <w:rFonts w:ascii="Arial" w:hAnsi="Arial" w:cs="Arial"/>
          <w:sz w:val="20"/>
          <w:szCs w:val="20"/>
        </w:rPr>
        <w:t>ribunal Pleno</w:t>
      </w:r>
      <w:r w:rsidR="00AD741D" w:rsidRPr="00AD741D">
        <w:rPr>
          <w:rFonts w:ascii="Arial" w:hAnsi="Arial" w:cs="Arial"/>
          <w:sz w:val="20"/>
          <w:szCs w:val="20"/>
        </w:rPr>
        <w:t>) não aplicável aos</w:t>
      </w:r>
      <w:r w:rsidR="00AD741D">
        <w:rPr>
          <w:rFonts w:ascii="Arial" w:hAnsi="Arial" w:cs="Arial"/>
          <w:sz w:val="20"/>
          <w:szCs w:val="20"/>
        </w:rPr>
        <w:t xml:space="preserve"> </w:t>
      </w:r>
      <w:r w:rsidR="00AD741D" w:rsidRPr="00AD741D">
        <w:rPr>
          <w:rFonts w:ascii="Arial" w:hAnsi="Arial" w:cs="Arial"/>
          <w:sz w:val="20"/>
          <w:szCs w:val="20"/>
        </w:rPr>
        <w:t>processos em trâmite quando da sua publicação. Incidência do</w:t>
      </w:r>
      <w:r w:rsidR="00AD741D">
        <w:rPr>
          <w:rFonts w:ascii="Arial" w:hAnsi="Arial" w:cs="Arial"/>
          <w:sz w:val="20"/>
          <w:szCs w:val="20"/>
        </w:rPr>
        <w:t xml:space="preserve"> </w:t>
      </w:r>
      <w:r w:rsidR="00AD741D" w:rsidRPr="00AD741D">
        <w:rPr>
          <w:rFonts w:ascii="Arial" w:hAnsi="Arial" w:cs="Arial"/>
          <w:sz w:val="20"/>
          <w:szCs w:val="20"/>
        </w:rPr>
        <w:t>entendimento vigente por ocasião do Acórdão nº 1.138/09</w:t>
      </w:r>
      <w:r w:rsidR="004B623F">
        <w:rPr>
          <w:rFonts w:ascii="Arial" w:hAnsi="Arial" w:cs="Arial"/>
          <w:sz w:val="20"/>
          <w:szCs w:val="20"/>
        </w:rPr>
        <w:t xml:space="preserve"> - </w:t>
      </w:r>
      <w:r w:rsidR="00AD741D" w:rsidRPr="00AD741D">
        <w:rPr>
          <w:rFonts w:ascii="Arial" w:hAnsi="Arial" w:cs="Arial"/>
          <w:sz w:val="20"/>
          <w:szCs w:val="20"/>
        </w:rPr>
        <w:t>T</w:t>
      </w:r>
      <w:r w:rsidR="004B623F">
        <w:rPr>
          <w:rFonts w:ascii="Arial" w:hAnsi="Arial" w:cs="Arial"/>
          <w:sz w:val="20"/>
          <w:szCs w:val="20"/>
        </w:rPr>
        <w:t>ribunal Pleno.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520BE" w:rsidRDefault="005819D2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520BE">
        <w:rPr>
          <w:rFonts w:ascii="Arial" w:hAnsi="Arial" w:cs="Arial"/>
          <w:sz w:val="20"/>
          <w:szCs w:val="20"/>
        </w:rPr>
        <w:t>.</w:t>
      </w:r>
      <w:r w:rsidR="0018272D">
        <w:rPr>
          <w:rFonts w:ascii="Arial" w:hAnsi="Arial" w:cs="Arial"/>
          <w:sz w:val="20"/>
          <w:szCs w:val="20"/>
        </w:rPr>
        <w:t xml:space="preserve"> Embargos de Declaração. Dever de Fundamentação</w:t>
      </w:r>
      <w:r w:rsidR="00420AE1">
        <w:rPr>
          <w:rFonts w:ascii="Arial" w:hAnsi="Arial" w:cs="Arial"/>
          <w:sz w:val="20"/>
          <w:szCs w:val="20"/>
        </w:rPr>
        <w:t xml:space="preserve"> Analítica da Sentença (art. 489 do CPC/2015). Alegação de Omissão. Inocorrência. Inviabilidade em sede de Embargos.</w:t>
      </w:r>
    </w:p>
    <w:p w:rsidR="006375ED" w:rsidRDefault="006375ED" w:rsidP="006375E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520BE" w:rsidRDefault="005819D2" w:rsidP="006375E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520BE">
        <w:rPr>
          <w:rFonts w:ascii="Arial" w:hAnsi="Arial" w:cs="Arial"/>
          <w:sz w:val="20"/>
          <w:szCs w:val="20"/>
        </w:rPr>
        <w:t>.</w:t>
      </w:r>
      <w:r w:rsidR="00FC5743">
        <w:rPr>
          <w:rFonts w:ascii="Arial" w:hAnsi="Arial" w:cs="Arial"/>
          <w:sz w:val="20"/>
          <w:szCs w:val="20"/>
        </w:rPr>
        <w:t xml:space="preserve"> Representação - Auditoria do Ministério da Previdência Social - Contribuições Previdenciárias - Cota Patronal - Falta de repasse ao Regime Próprio de Previdência Social no momento oportuno - Dever de cautela imposto ao gestor - Configuração de dano ao erário - Restituição aos cofres municipais de juros e eventuais multas. 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520BE" w:rsidRDefault="005819D2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520BE">
        <w:rPr>
          <w:rFonts w:ascii="Arial" w:hAnsi="Arial" w:cs="Arial"/>
          <w:sz w:val="20"/>
          <w:szCs w:val="20"/>
        </w:rPr>
        <w:t xml:space="preserve">. </w:t>
      </w:r>
      <w:r w:rsidR="002147AC" w:rsidRPr="002147AC">
        <w:rPr>
          <w:rFonts w:ascii="Arial" w:hAnsi="Arial" w:cs="Arial"/>
          <w:color w:val="000000"/>
          <w:sz w:val="20"/>
          <w:szCs w:val="20"/>
        </w:rPr>
        <w:t>Recurso de Revista. Representação da Lei nº 8.666/93. Contratação de empresa do cunhado do Vice-Prefeito. Nepotismo configurado. Interpretação extensiva da Súmula Vinculante 13 do STF, aplicável às hipóteses de licitações e contratos administrativos. Não provimento do recurso.</w:t>
      </w:r>
    </w:p>
    <w:p w:rsidR="00FA53E9" w:rsidRDefault="008D0FDE" w:rsidP="006375E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10.</w:t>
      </w:r>
      <w:r w:rsidR="00FA53E9">
        <w:rPr>
          <w:rFonts w:ascii="Arial" w:hAnsi="Arial" w:cs="Arial"/>
          <w:sz w:val="20"/>
          <w:szCs w:val="20"/>
        </w:rPr>
        <w:t xml:space="preserve"> </w:t>
      </w:r>
      <w:r w:rsidR="00FA53E9" w:rsidRPr="00FA53E9">
        <w:rPr>
          <w:rFonts w:ascii="Arial" w:hAnsi="Arial" w:cs="Arial"/>
          <w:color w:val="000000"/>
          <w:sz w:val="20"/>
          <w:szCs w:val="20"/>
        </w:rPr>
        <w:t>Recurso de Revista.  Contratação Temporária. Fundação Araucária. Natureza jurídica de direito privado.  Utilização de recursos públicos. Obrigatoriedade de observância dos princípios que regem a Administração Pública. Não provimento da Revista.</w:t>
      </w:r>
      <w:r w:rsidR="00FA53E9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12A93" w:rsidRPr="00722924" w:rsidRDefault="00712A93" w:rsidP="00722924">
      <w:pPr>
        <w:shd w:val="pct10" w:color="auto" w:fill="auto"/>
        <w:jc w:val="center"/>
        <w:rPr>
          <w:rFonts w:ascii="Arial" w:hAnsi="Arial" w:cs="Arial"/>
          <w:b/>
        </w:rPr>
      </w:pPr>
      <w:r w:rsidRPr="00722924">
        <w:rPr>
          <w:rFonts w:ascii="Arial" w:hAnsi="Arial" w:cs="Arial"/>
          <w:b/>
        </w:rPr>
        <w:t>PRIMEIRA CÂMARA</w:t>
      </w:r>
    </w:p>
    <w:p w:rsidR="00CD79FA" w:rsidRPr="00123D02" w:rsidRDefault="00CD1628" w:rsidP="00CD162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23D02">
        <w:rPr>
          <w:rFonts w:ascii="Arial" w:hAnsi="Arial" w:cs="Arial"/>
          <w:b/>
          <w:sz w:val="20"/>
          <w:szCs w:val="20"/>
        </w:rPr>
        <w:t xml:space="preserve">1. </w:t>
      </w:r>
      <w:r w:rsidR="00A74C51" w:rsidRPr="00123D02">
        <w:rPr>
          <w:rFonts w:ascii="Arial" w:hAnsi="Arial" w:cs="Arial"/>
          <w:b/>
          <w:sz w:val="20"/>
          <w:szCs w:val="20"/>
        </w:rPr>
        <w:t xml:space="preserve">Prestação de Contas Anual. </w:t>
      </w:r>
      <w:r w:rsidRPr="00123D02">
        <w:rPr>
          <w:rFonts w:ascii="Arial" w:hAnsi="Arial" w:cs="Arial"/>
          <w:b/>
          <w:sz w:val="20"/>
          <w:szCs w:val="20"/>
        </w:rPr>
        <w:t xml:space="preserve">Consórcios Públicos. Conselho Fiscal. </w:t>
      </w:r>
      <w:r w:rsidR="00D44615" w:rsidRPr="00123D02">
        <w:rPr>
          <w:rFonts w:ascii="Arial" w:hAnsi="Arial" w:cs="Arial"/>
          <w:b/>
          <w:sz w:val="20"/>
          <w:szCs w:val="20"/>
        </w:rPr>
        <w:t>Controle Interno. Segregação e F</w:t>
      </w:r>
      <w:r w:rsidRPr="00123D02">
        <w:rPr>
          <w:rFonts w:ascii="Arial" w:hAnsi="Arial" w:cs="Arial"/>
          <w:b/>
          <w:sz w:val="20"/>
          <w:szCs w:val="20"/>
        </w:rPr>
        <w:t>unções.</w:t>
      </w:r>
    </w:p>
    <w:p w:rsidR="00A10857" w:rsidRDefault="00CD79FA" w:rsidP="006375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No âmbito dos Consórcios Públicos, as funções do Conselho Fiscal não se confundem com as funções próprias do controle interno, </w:t>
      </w:r>
      <w:r w:rsidR="00895461" w:rsidRPr="00123D02">
        <w:rPr>
          <w:rFonts w:ascii="Arial" w:hAnsi="Arial" w:cs="Arial"/>
          <w:sz w:val="20"/>
          <w:szCs w:val="20"/>
        </w:rPr>
        <w:t>n</w:t>
      </w:r>
      <w:r w:rsidRPr="00123D02">
        <w:rPr>
          <w:rFonts w:ascii="Arial" w:hAnsi="Arial" w:cs="Arial"/>
          <w:sz w:val="20"/>
          <w:szCs w:val="20"/>
        </w:rPr>
        <w:t>ão podendo o Conselho Fiscal funcionar como substituto do controlador interno, visto que o</w:t>
      </w:r>
      <w:r w:rsidR="00D9398E" w:rsidRPr="00123D02">
        <w:rPr>
          <w:rFonts w:ascii="Arial" w:hAnsi="Arial" w:cs="Arial"/>
          <w:sz w:val="20"/>
          <w:szCs w:val="20"/>
        </w:rPr>
        <w:t>s</w:t>
      </w:r>
      <w:r w:rsidRPr="00123D02">
        <w:rPr>
          <w:rFonts w:ascii="Arial" w:hAnsi="Arial" w:cs="Arial"/>
          <w:sz w:val="20"/>
          <w:szCs w:val="20"/>
        </w:rPr>
        <w:t xml:space="preserve"> Cons</w:t>
      </w:r>
      <w:r w:rsidR="00C03099">
        <w:rPr>
          <w:rFonts w:ascii="Arial" w:hAnsi="Arial" w:cs="Arial"/>
          <w:sz w:val="20"/>
          <w:szCs w:val="20"/>
        </w:rPr>
        <w:t>e</w:t>
      </w:r>
      <w:r w:rsidRPr="00123D02">
        <w:rPr>
          <w:rFonts w:ascii="Arial" w:hAnsi="Arial" w:cs="Arial"/>
          <w:sz w:val="20"/>
          <w:szCs w:val="20"/>
        </w:rPr>
        <w:t>lho</w:t>
      </w:r>
      <w:r w:rsidR="00D9398E" w:rsidRPr="00123D02">
        <w:rPr>
          <w:rFonts w:ascii="Arial" w:hAnsi="Arial" w:cs="Arial"/>
          <w:sz w:val="20"/>
          <w:szCs w:val="20"/>
        </w:rPr>
        <w:t>s</w:t>
      </w:r>
      <w:r w:rsidRPr="00123D02">
        <w:rPr>
          <w:rFonts w:ascii="Arial" w:hAnsi="Arial" w:cs="Arial"/>
          <w:sz w:val="20"/>
          <w:szCs w:val="20"/>
        </w:rPr>
        <w:t xml:space="preserve"> Fisc</w:t>
      </w:r>
      <w:r w:rsidR="00D9398E" w:rsidRPr="00123D02">
        <w:rPr>
          <w:rFonts w:ascii="Arial" w:hAnsi="Arial" w:cs="Arial"/>
          <w:sz w:val="20"/>
          <w:szCs w:val="20"/>
        </w:rPr>
        <w:t>ais</w:t>
      </w:r>
      <w:r w:rsidRPr="00123D02">
        <w:rPr>
          <w:rFonts w:ascii="Arial" w:hAnsi="Arial" w:cs="Arial"/>
          <w:sz w:val="20"/>
          <w:szCs w:val="20"/>
        </w:rPr>
        <w:t xml:space="preserve"> que não exercem suas funções no dia a dia da entidade, função esta afeta ao controle interno, ao qual compete o acompanhamento prévio e concomitante de todas as operações do ente. Há, portanto uma clara segregação </w:t>
      </w:r>
      <w:r w:rsidR="00F74F50" w:rsidRPr="00123D02">
        <w:rPr>
          <w:rFonts w:ascii="Arial" w:hAnsi="Arial" w:cs="Arial"/>
          <w:sz w:val="20"/>
          <w:szCs w:val="20"/>
        </w:rPr>
        <w:t>entre essas</w:t>
      </w:r>
      <w:r w:rsidRPr="00123D02">
        <w:rPr>
          <w:rFonts w:ascii="Arial" w:hAnsi="Arial" w:cs="Arial"/>
          <w:sz w:val="20"/>
          <w:szCs w:val="20"/>
        </w:rPr>
        <w:t xml:space="preserve"> funções</w:t>
      </w:r>
      <w:r w:rsidR="00F74F50" w:rsidRPr="00123D02">
        <w:rPr>
          <w:rFonts w:ascii="Arial" w:hAnsi="Arial" w:cs="Arial"/>
          <w:sz w:val="20"/>
          <w:szCs w:val="20"/>
        </w:rPr>
        <w:t>. Desse modo o sistema de controle, tanto interno</w:t>
      </w:r>
      <w:r w:rsidR="00E1428E" w:rsidRPr="00123D02">
        <w:rPr>
          <w:rFonts w:ascii="Arial" w:hAnsi="Arial" w:cs="Arial"/>
          <w:sz w:val="20"/>
          <w:szCs w:val="20"/>
        </w:rPr>
        <w:t xml:space="preserve"> como </w:t>
      </w:r>
      <w:r w:rsidR="00F74F50" w:rsidRPr="00123D02">
        <w:rPr>
          <w:rFonts w:ascii="Arial" w:hAnsi="Arial" w:cs="Arial"/>
          <w:sz w:val="20"/>
          <w:szCs w:val="20"/>
        </w:rPr>
        <w:t>exter</w:t>
      </w:r>
      <w:r w:rsidR="00E1428E" w:rsidRPr="00123D02">
        <w:rPr>
          <w:rFonts w:ascii="Arial" w:hAnsi="Arial" w:cs="Arial"/>
          <w:sz w:val="20"/>
          <w:szCs w:val="20"/>
        </w:rPr>
        <w:t>no, alcança os Consórcios Públicos.</w:t>
      </w:r>
    </w:p>
    <w:p w:rsidR="006375ED" w:rsidRPr="00123D02" w:rsidRDefault="006375ED" w:rsidP="006375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1628" w:rsidRDefault="00CD1628" w:rsidP="00361F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</w:t>
      </w:r>
      <w:r w:rsidR="00487D31" w:rsidRPr="00123D02">
        <w:rPr>
          <w:rFonts w:ascii="Arial" w:hAnsi="Arial" w:cs="Arial"/>
          <w:sz w:val="20"/>
          <w:szCs w:val="20"/>
        </w:rPr>
        <w:t xml:space="preserve">nº </w:t>
      </w:r>
      <w:r w:rsidRPr="00123D02">
        <w:rPr>
          <w:rFonts w:ascii="Arial" w:hAnsi="Arial" w:cs="Arial"/>
          <w:sz w:val="20"/>
          <w:szCs w:val="20"/>
        </w:rPr>
        <w:t xml:space="preserve">024228-7/11 </w:t>
      </w:r>
      <w:r w:rsidR="00D44615" w:rsidRPr="00123D02">
        <w:rPr>
          <w:rFonts w:ascii="Arial" w:hAnsi="Arial" w:cs="Arial"/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Acórdão 6329/16 </w:t>
        </w:r>
        <w:r w:rsidR="007D009C" w:rsidRPr="00123D02">
          <w:rPr>
            <w:rStyle w:val="Hyperlink"/>
            <w:rFonts w:ascii="Arial" w:hAnsi="Arial" w:cs="Arial"/>
            <w:sz w:val="20"/>
            <w:szCs w:val="20"/>
          </w:rPr>
          <w:t>-</w:t>
        </w:r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 Primeira Câmara</w:t>
        </w:r>
      </w:hyperlink>
      <w:r w:rsidRPr="00123D02">
        <w:rPr>
          <w:rFonts w:ascii="Arial" w:hAnsi="Arial" w:cs="Arial"/>
          <w:sz w:val="20"/>
          <w:szCs w:val="20"/>
        </w:rPr>
        <w:t xml:space="preserve"> </w:t>
      </w:r>
      <w:r w:rsidR="00EC3842" w:rsidRPr="00123D02">
        <w:rPr>
          <w:rFonts w:ascii="Arial" w:hAnsi="Arial" w:cs="Arial"/>
          <w:sz w:val="20"/>
          <w:szCs w:val="20"/>
        </w:rPr>
        <w:t>.</w:t>
      </w:r>
      <w:r w:rsidRPr="00123D02">
        <w:rPr>
          <w:rFonts w:ascii="Arial" w:hAnsi="Arial" w:cs="Arial"/>
          <w:sz w:val="20"/>
          <w:szCs w:val="20"/>
        </w:rPr>
        <w:t xml:space="preserve"> Rel</w:t>
      </w:r>
      <w:r w:rsidR="00EC3842" w:rsidRPr="00123D02">
        <w:rPr>
          <w:rFonts w:ascii="Arial" w:hAnsi="Arial" w:cs="Arial"/>
          <w:sz w:val="20"/>
          <w:szCs w:val="20"/>
        </w:rPr>
        <w:t>.</w:t>
      </w:r>
      <w:r w:rsidRPr="00123D02">
        <w:rPr>
          <w:rFonts w:ascii="Arial" w:hAnsi="Arial" w:cs="Arial"/>
          <w:sz w:val="20"/>
          <w:szCs w:val="20"/>
        </w:rPr>
        <w:t xml:space="preserve"> Conselheiro José Durval Mattos do Amaral</w:t>
      </w:r>
      <w:r w:rsidR="00EC3842" w:rsidRPr="00123D02">
        <w:rPr>
          <w:rFonts w:ascii="Arial" w:hAnsi="Arial" w:cs="Arial"/>
          <w:sz w:val="20"/>
          <w:szCs w:val="20"/>
        </w:rPr>
        <w:t>.</w:t>
      </w:r>
    </w:p>
    <w:p w:rsidR="00EC3842" w:rsidRPr="00722924" w:rsidRDefault="00EC3842" w:rsidP="00EC3842">
      <w:pPr>
        <w:shd w:val="pct10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SEGUNDA</w:t>
      </w:r>
      <w:r w:rsidRPr="00722924">
        <w:rPr>
          <w:rFonts w:ascii="Arial" w:hAnsi="Arial" w:cs="Arial"/>
          <w:b/>
        </w:rPr>
        <w:t xml:space="preserve"> CÂMARA</w:t>
      </w:r>
    </w:p>
    <w:p w:rsidR="00A10857" w:rsidRPr="00123D02" w:rsidRDefault="00127DF2" w:rsidP="00A1085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23D02">
        <w:rPr>
          <w:rFonts w:ascii="Arial" w:hAnsi="Arial" w:cs="Arial"/>
          <w:b/>
          <w:sz w:val="20"/>
          <w:szCs w:val="20"/>
        </w:rPr>
        <w:t xml:space="preserve">2. </w:t>
      </w:r>
      <w:r w:rsidR="00A74C51" w:rsidRPr="00123D02">
        <w:rPr>
          <w:rFonts w:ascii="Arial" w:hAnsi="Arial" w:cs="Arial"/>
          <w:b/>
          <w:sz w:val="20"/>
          <w:szCs w:val="20"/>
        </w:rPr>
        <w:t xml:space="preserve">Ato de inativação. </w:t>
      </w:r>
      <w:r w:rsidR="001D684B" w:rsidRPr="00123D02">
        <w:rPr>
          <w:rFonts w:ascii="Arial" w:hAnsi="Arial" w:cs="Arial"/>
          <w:b/>
          <w:sz w:val="20"/>
          <w:szCs w:val="20"/>
        </w:rPr>
        <w:t>Aposentadoria. Verbas transitórias. Incorporação. Cálculo. Princípio Contributivo.</w:t>
      </w:r>
    </w:p>
    <w:p w:rsidR="00A10857" w:rsidRDefault="0055022A" w:rsidP="006375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>A incorporação das verbas transitórias aos proventos, incorporando 100% da média de todas as verbas transitórias percebidas pelo servidor, sem proporcionalizar-se cada uma pelo tempo de percepção</w:t>
      </w:r>
      <w:r w:rsidR="00B37580" w:rsidRPr="00123D02">
        <w:rPr>
          <w:rFonts w:ascii="Arial" w:hAnsi="Arial" w:cs="Arial"/>
          <w:sz w:val="20"/>
          <w:szCs w:val="20"/>
        </w:rPr>
        <w:t>,</w:t>
      </w:r>
      <w:r w:rsidR="00BC7BCB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 xml:space="preserve">fere o princípio contributivo bem como o Acórdão nº 3155/14-Pleno. O cálculo para incorporação de verbas transitórias aos proventos deve considerar </w:t>
      </w:r>
      <w:r w:rsidR="00B37580" w:rsidRPr="00123D02">
        <w:rPr>
          <w:rFonts w:ascii="Arial" w:hAnsi="Arial" w:cs="Arial"/>
          <w:sz w:val="20"/>
          <w:szCs w:val="20"/>
        </w:rPr>
        <w:t xml:space="preserve">proporcionalmente </w:t>
      </w:r>
      <w:r w:rsidRPr="00123D02">
        <w:rPr>
          <w:rFonts w:ascii="Arial" w:hAnsi="Arial" w:cs="Arial"/>
          <w:sz w:val="20"/>
          <w:szCs w:val="20"/>
        </w:rPr>
        <w:t xml:space="preserve">o tempo de contribuição sobre as vantagens transitórias. Além disso, a média de cada vantagem deve ser calculada individualmente, não se admitindo </w:t>
      </w:r>
      <w:r w:rsidR="00EC7C2B" w:rsidRPr="00123D02">
        <w:rPr>
          <w:rFonts w:ascii="Arial" w:hAnsi="Arial" w:cs="Arial"/>
          <w:sz w:val="20"/>
          <w:szCs w:val="20"/>
        </w:rPr>
        <w:t>o cálculo</w:t>
      </w:r>
      <w:r w:rsidRPr="00123D02">
        <w:rPr>
          <w:rFonts w:ascii="Arial" w:hAnsi="Arial" w:cs="Arial"/>
          <w:sz w:val="20"/>
          <w:szCs w:val="20"/>
        </w:rPr>
        <w:t xml:space="preserve"> genérico para incorporação de todas as verbas transitórias.</w:t>
      </w:r>
      <w:r w:rsidR="001930D1" w:rsidRPr="00123D02">
        <w:rPr>
          <w:rFonts w:ascii="Arial" w:hAnsi="Arial" w:cs="Arial"/>
          <w:sz w:val="20"/>
          <w:szCs w:val="20"/>
        </w:rPr>
        <w:t xml:space="preserve"> </w:t>
      </w:r>
    </w:p>
    <w:p w:rsidR="006375ED" w:rsidRPr="00123D02" w:rsidRDefault="006375ED" w:rsidP="006375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0BD3" w:rsidRDefault="00A90BD3" w:rsidP="00A90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</w:t>
      </w:r>
      <w:r w:rsidR="00487D31" w:rsidRPr="00123D02">
        <w:rPr>
          <w:rFonts w:ascii="Arial" w:hAnsi="Arial" w:cs="Arial"/>
          <w:sz w:val="20"/>
          <w:szCs w:val="20"/>
        </w:rPr>
        <w:t xml:space="preserve">nº </w:t>
      </w:r>
      <w:r w:rsidRPr="00123D02">
        <w:rPr>
          <w:rFonts w:ascii="Arial" w:hAnsi="Arial" w:cs="Arial"/>
          <w:sz w:val="20"/>
          <w:szCs w:val="20"/>
        </w:rPr>
        <w:t>83756/16</w:t>
      </w:r>
      <w:r w:rsidR="00EC3842" w:rsidRPr="00123D02">
        <w:rPr>
          <w:rFonts w:ascii="Arial" w:hAnsi="Arial" w:cs="Arial"/>
          <w:sz w:val="20"/>
          <w:szCs w:val="20"/>
        </w:rPr>
        <w:t xml:space="preserve"> -</w:t>
      </w:r>
      <w:r w:rsidRPr="00123D0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Acórdão 5876/16 </w:t>
        </w:r>
        <w:r w:rsidR="007D009C" w:rsidRPr="00123D02">
          <w:rPr>
            <w:rStyle w:val="Hyperlink"/>
            <w:rFonts w:ascii="Arial" w:hAnsi="Arial" w:cs="Arial"/>
            <w:sz w:val="20"/>
            <w:szCs w:val="20"/>
          </w:rPr>
          <w:t>-</w:t>
        </w:r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 Segunda Câmara</w:t>
        </w:r>
      </w:hyperlink>
      <w:r w:rsidRPr="00123D02">
        <w:rPr>
          <w:rFonts w:ascii="Arial" w:hAnsi="Arial" w:cs="Arial"/>
          <w:sz w:val="20"/>
          <w:szCs w:val="20"/>
        </w:rPr>
        <w:t xml:space="preserve"> </w:t>
      </w:r>
      <w:r w:rsidR="00EC3842" w:rsidRPr="00123D02">
        <w:rPr>
          <w:rFonts w:ascii="Arial" w:hAnsi="Arial" w:cs="Arial"/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Rel</w:t>
      </w:r>
      <w:r w:rsidR="00EC3842" w:rsidRPr="00123D02">
        <w:rPr>
          <w:rFonts w:ascii="Arial" w:hAnsi="Arial" w:cs="Arial"/>
          <w:sz w:val="20"/>
          <w:szCs w:val="20"/>
        </w:rPr>
        <w:t>.</w:t>
      </w:r>
      <w:r w:rsidRPr="00123D02">
        <w:rPr>
          <w:rFonts w:ascii="Arial" w:hAnsi="Arial" w:cs="Arial"/>
          <w:sz w:val="20"/>
          <w:szCs w:val="20"/>
        </w:rPr>
        <w:t xml:space="preserve"> Conselheiro Nestor Baptista.</w:t>
      </w:r>
    </w:p>
    <w:p w:rsidR="006375ED" w:rsidRPr="00123D02" w:rsidRDefault="006375ED" w:rsidP="00A90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F42" w:rsidRPr="00722924" w:rsidRDefault="00AE4F42" w:rsidP="00AE4F42">
      <w:pPr>
        <w:shd w:val="pct10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TRIBUNAL PLENO</w:t>
      </w:r>
    </w:p>
    <w:p w:rsidR="00406D2C" w:rsidRPr="00123D02" w:rsidRDefault="00CA6114" w:rsidP="00406D2C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t>3</w:t>
      </w:r>
      <w:r w:rsidRPr="00123D02">
        <w:rPr>
          <w:rFonts w:ascii="Arial" w:hAnsi="Arial" w:cs="Arial"/>
          <w:b/>
          <w:sz w:val="20"/>
          <w:szCs w:val="20"/>
        </w:rPr>
        <w:t xml:space="preserve">. </w:t>
      </w:r>
      <w:r w:rsidR="00566AE8" w:rsidRPr="00123D02">
        <w:rPr>
          <w:rFonts w:ascii="Arial" w:hAnsi="Arial" w:cs="Arial"/>
          <w:b/>
          <w:sz w:val="20"/>
          <w:szCs w:val="20"/>
        </w:rPr>
        <w:t xml:space="preserve">Representação do Ouvidor. </w:t>
      </w:r>
      <w:r w:rsidR="00406D2C" w:rsidRPr="00123D02">
        <w:rPr>
          <w:rFonts w:ascii="Arial" w:hAnsi="Arial" w:cs="Arial"/>
          <w:b/>
          <w:sz w:val="20"/>
          <w:szCs w:val="20"/>
        </w:rPr>
        <w:t>Acúmulo de função gratificada com cargo de vereador. Princípios constitucionais da simetria e separação de poderes.</w:t>
      </w:r>
    </w:p>
    <w:p w:rsidR="008C257C" w:rsidRPr="00123D02" w:rsidRDefault="00012CBB" w:rsidP="006375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É vedada a percepção de função gratificada cumulada com o exercício do mandato de vereador. Segundo entendimento já firmado pelo tribunal no Acórdão 1903/11, o exercício de função gratificada no </w:t>
      </w:r>
      <w:r w:rsidR="009A62FC" w:rsidRPr="00123D02">
        <w:rPr>
          <w:rFonts w:ascii="Arial" w:hAnsi="Arial" w:cs="Arial"/>
          <w:sz w:val="20"/>
          <w:szCs w:val="20"/>
        </w:rPr>
        <w:t>P</w:t>
      </w:r>
      <w:r w:rsidRPr="00123D02">
        <w:rPr>
          <w:rFonts w:ascii="Arial" w:hAnsi="Arial" w:cs="Arial"/>
          <w:sz w:val="20"/>
          <w:szCs w:val="20"/>
        </w:rPr>
        <w:t xml:space="preserve">oder </w:t>
      </w:r>
      <w:r w:rsidR="009A62FC" w:rsidRPr="00123D02">
        <w:rPr>
          <w:rFonts w:ascii="Arial" w:hAnsi="Arial" w:cs="Arial"/>
          <w:sz w:val="20"/>
          <w:szCs w:val="20"/>
        </w:rPr>
        <w:t>E</w:t>
      </w:r>
      <w:r w:rsidRPr="00123D02">
        <w:rPr>
          <w:rFonts w:ascii="Arial" w:hAnsi="Arial" w:cs="Arial"/>
          <w:sz w:val="20"/>
          <w:szCs w:val="20"/>
        </w:rPr>
        <w:t xml:space="preserve">xecutivo cumulado com o cargo de vereador é vedado pelas seguintes razões: violação ao princípio da separação de poderes, uma vez que o agir imparcial estaria comprometido pelo exercício de cargo ou função de chefia, direção ou assessoramento em outro poder; </w:t>
      </w:r>
      <w:r w:rsidR="00406D2C" w:rsidRPr="00123D02">
        <w:rPr>
          <w:rFonts w:ascii="Arial" w:hAnsi="Arial" w:cs="Arial"/>
          <w:sz w:val="20"/>
          <w:szCs w:val="20"/>
        </w:rPr>
        <w:t>o</w:t>
      </w:r>
      <w:r w:rsidRPr="00123D02">
        <w:rPr>
          <w:rFonts w:ascii="Arial" w:hAnsi="Arial" w:cs="Arial"/>
          <w:sz w:val="20"/>
          <w:szCs w:val="20"/>
        </w:rPr>
        <w:t xml:space="preserve">s cargos de provimento em comissão exigem uma maior lealdade por parte do ocupante em relação a quem o nomeou, visto que decorrem de um vínculo de confiança, com a possibilidade de demissão ad nutum em caso de quebra dessa confiança; </w:t>
      </w:r>
      <w:r w:rsidR="00406D2C" w:rsidRPr="00123D02">
        <w:rPr>
          <w:rFonts w:ascii="Arial" w:hAnsi="Arial" w:cs="Arial"/>
          <w:sz w:val="20"/>
          <w:szCs w:val="20"/>
        </w:rPr>
        <w:t>o</w:t>
      </w:r>
      <w:r w:rsidRPr="00123D02">
        <w:rPr>
          <w:rFonts w:ascii="Arial" w:hAnsi="Arial" w:cs="Arial"/>
          <w:sz w:val="20"/>
          <w:szCs w:val="20"/>
        </w:rPr>
        <w:t xml:space="preserve"> regime de dedicação dos cargos de provimento em comissão pressupõe a dedicação exclusiva, o que </w:t>
      </w:r>
      <w:r w:rsidRPr="00123D02">
        <w:rPr>
          <w:rFonts w:ascii="Arial" w:hAnsi="Arial" w:cs="Arial"/>
          <w:sz w:val="20"/>
          <w:szCs w:val="20"/>
        </w:rPr>
        <w:lastRenderedPageBreak/>
        <w:t>coloca os comissionados e gratificados em situação de disposição da autoridade nomeante além do horário dito normal p</w:t>
      </w:r>
      <w:r w:rsidR="00C03099">
        <w:rPr>
          <w:rFonts w:ascii="Arial" w:hAnsi="Arial" w:cs="Arial"/>
          <w:sz w:val="20"/>
          <w:szCs w:val="20"/>
        </w:rPr>
        <w:t>a</w:t>
      </w:r>
      <w:r w:rsidRPr="00123D02">
        <w:rPr>
          <w:rFonts w:ascii="Arial" w:hAnsi="Arial" w:cs="Arial"/>
          <w:sz w:val="20"/>
          <w:szCs w:val="20"/>
        </w:rPr>
        <w:t xml:space="preserve">ra os servidores efetivos sem função gratificada. </w:t>
      </w:r>
    </w:p>
    <w:p w:rsidR="00530F1E" w:rsidRDefault="00530F1E" w:rsidP="00530F1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</w:t>
      </w:r>
      <w:r w:rsidR="00487D31" w:rsidRPr="00123D02">
        <w:rPr>
          <w:rFonts w:ascii="Arial" w:hAnsi="Arial" w:cs="Arial"/>
          <w:sz w:val="20"/>
          <w:szCs w:val="20"/>
        </w:rPr>
        <w:t xml:space="preserve">nº </w:t>
      </w:r>
      <w:r w:rsidRPr="00123D02">
        <w:rPr>
          <w:rFonts w:ascii="Arial" w:hAnsi="Arial" w:cs="Arial"/>
          <w:sz w:val="20"/>
          <w:szCs w:val="20"/>
        </w:rPr>
        <w:t xml:space="preserve">474433/14 </w:t>
      </w:r>
      <w:r w:rsidR="00FF7425" w:rsidRPr="00123D02">
        <w:rPr>
          <w:rFonts w:ascii="Arial" w:hAnsi="Arial" w:cs="Arial"/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Acórdão </w:t>
        </w:r>
        <w:r w:rsidR="00E71365" w:rsidRPr="00123D02">
          <w:rPr>
            <w:rStyle w:val="Hyperlink"/>
            <w:rFonts w:ascii="Arial" w:hAnsi="Arial" w:cs="Arial"/>
            <w:sz w:val="20"/>
            <w:szCs w:val="20"/>
          </w:rPr>
          <w:t>6420</w:t>
        </w:r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/16 </w:t>
        </w:r>
        <w:r w:rsidR="007D009C" w:rsidRPr="00123D02">
          <w:rPr>
            <w:rStyle w:val="Hyperlink"/>
            <w:rFonts w:ascii="Arial" w:hAnsi="Arial" w:cs="Arial"/>
            <w:sz w:val="20"/>
            <w:szCs w:val="20"/>
          </w:rPr>
          <w:t>-</w:t>
        </w:r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 Tribunal Pleno</w:t>
        </w:r>
      </w:hyperlink>
      <w:r w:rsidRPr="00123D02">
        <w:rPr>
          <w:rFonts w:ascii="Arial" w:hAnsi="Arial" w:cs="Arial"/>
          <w:sz w:val="20"/>
          <w:szCs w:val="20"/>
        </w:rPr>
        <w:t xml:space="preserve"> </w:t>
      </w:r>
      <w:r w:rsidR="007D009C" w:rsidRPr="00123D02">
        <w:rPr>
          <w:rFonts w:ascii="Arial" w:hAnsi="Arial" w:cs="Arial"/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Rel</w:t>
      </w:r>
      <w:r w:rsidR="00FF7425" w:rsidRPr="00123D02">
        <w:rPr>
          <w:rFonts w:ascii="Arial" w:hAnsi="Arial" w:cs="Arial"/>
          <w:sz w:val="20"/>
          <w:szCs w:val="20"/>
        </w:rPr>
        <w:t>.</w:t>
      </w:r>
      <w:r w:rsidRPr="00123D02">
        <w:rPr>
          <w:rFonts w:ascii="Arial" w:hAnsi="Arial" w:cs="Arial"/>
          <w:sz w:val="20"/>
          <w:szCs w:val="20"/>
        </w:rPr>
        <w:t xml:space="preserve"> Conselheiro José Durval Mattos do Amaral</w:t>
      </w:r>
      <w:r w:rsidR="00FF7425" w:rsidRPr="00123D02">
        <w:rPr>
          <w:rFonts w:ascii="Arial" w:hAnsi="Arial" w:cs="Arial"/>
          <w:sz w:val="20"/>
          <w:szCs w:val="20"/>
        </w:rPr>
        <w:t>.</w:t>
      </w:r>
    </w:p>
    <w:p w:rsidR="006375ED" w:rsidRDefault="006375ED" w:rsidP="00C3752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0F04ED" w:rsidRPr="00123D02" w:rsidRDefault="00CA6114" w:rsidP="00C3752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23D02">
        <w:rPr>
          <w:rFonts w:ascii="Arial" w:hAnsi="Arial" w:cs="Arial"/>
          <w:b/>
          <w:sz w:val="20"/>
          <w:szCs w:val="20"/>
        </w:rPr>
        <w:t xml:space="preserve">4. </w:t>
      </w:r>
      <w:r w:rsidR="00566AE8" w:rsidRPr="00123D02">
        <w:rPr>
          <w:rFonts w:ascii="Arial" w:hAnsi="Arial" w:cs="Arial"/>
          <w:b/>
          <w:sz w:val="20"/>
          <w:szCs w:val="20"/>
        </w:rPr>
        <w:t xml:space="preserve">Representação. </w:t>
      </w:r>
      <w:r w:rsidR="00C37522" w:rsidRPr="00123D02">
        <w:rPr>
          <w:rFonts w:ascii="Arial" w:hAnsi="Arial" w:cs="Arial"/>
          <w:b/>
          <w:sz w:val="20"/>
          <w:szCs w:val="20"/>
        </w:rPr>
        <w:t>Terceirização de atividades típicas de servidores públicos. Ofensa ao art. 37, II, da Constituição e Prejulgado n</w:t>
      </w:r>
      <w:r w:rsidR="000A29BE" w:rsidRPr="00123D02">
        <w:rPr>
          <w:rFonts w:ascii="Arial" w:hAnsi="Arial" w:cs="Arial"/>
          <w:b/>
          <w:sz w:val="20"/>
          <w:szCs w:val="20"/>
        </w:rPr>
        <w:t>º</w:t>
      </w:r>
      <w:r w:rsidR="00C37522" w:rsidRPr="00123D02">
        <w:rPr>
          <w:rFonts w:ascii="Arial" w:hAnsi="Arial" w:cs="Arial"/>
          <w:b/>
          <w:sz w:val="20"/>
          <w:szCs w:val="20"/>
        </w:rPr>
        <w:t xml:space="preserve">. </w:t>
      </w:r>
      <w:r w:rsidR="000A29BE" w:rsidRPr="00123D02">
        <w:rPr>
          <w:rFonts w:ascii="Arial" w:hAnsi="Arial" w:cs="Arial"/>
          <w:b/>
          <w:sz w:val="20"/>
          <w:szCs w:val="20"/>
        </w:rPr>
        <w:t>0</w:t>
      </w:r>
      <w:r w:rsidR="00C37522" w:rsidRPr="00123D02">
        <w:rPr>
          <w:rFonts w:ascii="Arial" w:hAnsi="Arial" w:cs="Arial"/>
          <w:b/>
          <w:sz w:val="20"/>
          <w:szCs w:val="20"/>
        </w:rPr>
        <w:t>6</w:t>
      </w:r>
      <w:r w:rsidR="000A29BE" w:rsidRPr="00123D02">
        <w:rPr>
          <w:rFonts w:ascii="Arial" w:hAnsi="Arial" w:cs="Arial"/>
          <w:b/>
          <w:sz w:val="20"/>
          <w:szCs w:val="20"/>
        </w:rPr>
        <w:t xml:space="preserve"> do TCE/PR</w:t>
      </w:r>
      <w:r w:rsidR="00482FA5" w:rsidRPr="00123D02">
        <w:rPr>
          <w:rFonts w:ascii="Arial" w:hAnsi="Arial" w:cs="Arial"/>
          <w:b/>
          <w:sz w:val="20"/>
          <w:szCs w:val="20"/>
        </w:rPr>
        <w:t>.</w:t>
      </w:r>
    </w:p>
    <w:p w:rsidR="00530F1E" w:rsidRDefault="000F04ED" w:rsidP="006375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Os serviços de assessoria contábil, jurídica e administrativa devem ser prestados por servidores de carreira, conforme entendimento do Tribunal já firmado no Prejulgado n.º 6. Assim, </w:t>
      </w:r>
      <w:r w:rsidR="0082026A" w:rsidRPr="00123D02">
        <w:rPr>
          <w:rFonts w:ascii="Arial" w:hAnsi="Arial" w:cs="Arial"/>
          <w:sz w:val="20"/>
          <w:szCs w:val="20"/>
        </w:rPr>
        <w:t>configura</w:t>
      </w:r>
      <w:r w:rsidRPr="00123D02">
        <w:rPr>
          <w:rFonts w:ascii="Arial" w:hAnsi="Arial" w:cs="Arial"/>
          <w:sz w:val="20"/>
          <w:szCs w:val="20"/>
        </w:rPr>
        <w:t xml:space="preserve"> terceirização irregular a contratação de serviços de natureza contábil, advocatícia e administrativa, já que estão ligados à atividade-fim do Poder Executivo (serviços essenciais) e não a uma atividade meio. A proibição de contratação de assessorias de gestão decorre da Constituição Federal (art. 37) que impõe a realização de concurso público para investidura em cargo ou emprego público.</w:t>
      </w:r>
    </w:p>
    <w:p w:rsidR="006375ED" w:rsidRPr="00123D02" w:rsidRDefault="006375ED" w:rsidP="006375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87D31" w:rsidRPr="00123D02" w:rsidRDefault="00487D31" w:rsidP="00487D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>Processo n° 43130/12</w:t>
      </w:r>
      <w:r w:rsidRPr="00123D02">
        <w:rPr>
          <w:sz w:val="20"/>
          <w:szCs w:val="20"/>
        </w:rPr>
        <w:t xml:space="preserve"> </w:t>
      </w:r>
      <w:r w:rsidR="007D009C" w:rsidRPr="00123D02">
        <w:rPr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Acórdão 6436/16 </w:t>
        </w:r>
        <w:r w:rsidR="007D009C" w:rsidRPr="00123D02">
          <w:rPr>
            <w:rStyle w:val="Hyperlink"/>
            <w:rFonts w:ascii="Arial" w:hAnsi="Arial" w:cs="Arial"/>
            <w:sz w:val="20"/>
            <w:szCs w:val="20"/>
          </w:rPr>
          <w:t>-</w:t>
        </w:r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 Tribunal Pleno</w:t>
        </w:r>
      </w:hyperlink>
      <w:r w:rsidRPr="00123D02">
        <w:rPr>
          <w:rFonts w:ascii="Arial" w:hAnsi="Arial" w:cs="Arial"/>
          <w:sz w:val="20"/>
          <w:szCs w:val="20"/>
        </w:rPr>
        <w:t xml:space="preserve"> </w:t>
      </w:r>
      <w:r w:rsidR="007D009C" w:rsidRPr="00123D02">
        <w:rPr>
          <w:rFonts w:ascii="Arial" w:hAnsi="Arial" w:cs="Arial"/>
          <w:sz w:val="20"/>
          <w:szCs w:val="20"/>
        </w:rPr>
        <w:t>–</w:t>
      </w:r>
      <w:r w:rsidRPr="00123D02">
        <w:rPr>
          <w:rFonts w:ascii="Arial" w:hAnsi="Arial" w:cs="Arial"/>
          <w:sz w:val="20"/>
          <w:szCs w:val="20"/>
        </w:rPr>
        <w:t xml:space="preserve"> Rel</w:t>
      </w:r>
      <w:r w:rsidR="007D009C" w:rsidRPr="00123D02">
        <w:rPr>
          <w:rFonts w:ascii="Arial" w:hAnsi="Arial" w:cs="Arial"/>
          <w:sz w:val="20"/>
          <w:szCs w:val="20"/>
        </w:rPr>
        <w:t>.</w:t>
      </w:r>
      <w:r w:rsidRPr="00123D02">
        <w:rPr>
          <w:rFonts w:ascii="Arial" w:hAnsi="Arial" w:cs="Arial"/>
          <w:sz w:val="20"/>
          <w:szCs w:val="20"/>
        </w:rPr>
        <w:t xml:space="preserve"> Conselheiro José Durval Mattos do Amaral</w:t>
      </w:r>
      <w:r w:rsidR="007D009C" w:rsidRPr="00123D02">
        <w:rPr>
          <w:rFonts w:ascii="Arial" w:hAnsi="Arial" w:cs="Arial"/>
          <w:sz w:val="20"/>
          <w:szCs w:val="20"/>
        </w:rPr>
        <w:t>.</w:t>
      </w:r>
    </w:p>
    <w:p w:rsidR="006375ED" w:rsidRDefault="006375ED" w:rsidP="00640BDC">
      <w:pPr>
        <w:jc w:val="both"/>
        <w:rPr>
          <w:rFonts w:ascii="Arial" w:hAnsi="Arial" w:cs="Arial"/>
          <w:b/>
          <w:sz w:val="20"/>
          <w:szCs w:val="20"/>
        </w:rPr>
      </w:pPr>
    </w:p>
    <w:p w:rsidR="00AE4F42" w:rsidRPr="00123D02" w:rsidRDefault="00A10857" w:rsidP="00640BDC">
      <w:pPr>
        <w:jc w:val="both"/>
        <w:rPr>
          <w:rFonts w:ascii="Arial" w:hAnsi="Arial" w:cs="Arial"/>
          <w:b/>
          <w:sz w:val="20"/>
          <w:szCs w:val="20"/>
        </w:rPr>
      </w:pPr>
      <w:r w:rsidRPr="00123D02">
        <w:rPr>
          <w:rFonts w:ascii="Arial" w:hAnsi="Arial" w:cs="Arial"/>
          <w:b/>
          <w:sz w:val="20"/>
          <w:szCs w:val="20"/>
        </w:rPr>
        <w:t>5</w:t>
      </w:r>
      <w:r w:rsidR="00640BDC" w:rsidRPr="00123D02">
        <w:rPr>
          <w:rFonts w:ascii="Arial" w:hAnsi="Arial" w:cs="Arial"/>
          <w:b/>
          <w:sz w:val="20"/>
          <w:szCs w:val="20"/>
        </w:rPr>
        <w:t xml:space="preserve">. Consulta. Interpretação do art. 56, § 1º, inciso III, da Lei Federal n° 8.666/93. Garantias Contratuais. </w:t>
      </w:r>
      <w:r w:rsidR="00640BDC" w:rsidRPr="00123D02">
        <w:rPr>
          <w:rFonts w:ascii="Arial" w:hAnsi="Arial" w:cs="Arial"/>
          <w:b/>
          <w:i/>
          <w:sz w:val="20"/>
          <w:szCs w:val="20"/>
        </w:rPr>
        <w:t>Numerus clausus</w:t>
      </w:r>
      <w:r w:rsidR="00640BDC" w:rsidRPr="00123D02">
        <w:rPr>
          <w:rFonts w:ascii="Arial" w:hAnsi="Arial" w:cs="Arial"/>
          <w:b/>
          <w:sz w:val="20"/>
          <w:szCs w:val="20"/>
        </w:rPr>
        <w:t>. Primazia ao princípio da legalidade. Inadmissibilidade de outra modalidade de fiança que não a bancária.</w:t>
      </w:r>
    </w:p>
    <w:p w:rsidR="00BC7BCB" w:rsidRDefault="00234AE0" w:rsidP="00FB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Ainda que a dinâmica da administração pública possa permitir, em determinados casos, a flexibilização do princípio da legalidade, superando-se a compreensão clássica da restrita e incondicional obediência à lei como única forma de administrar o setor público, o que pode remeter o gestor à completa inação frente às dificuldades que os tempos atuais apresentam, no presente caso, por envolver situação de efetivo risco aos interesses e ao patrimônio público, a letra de lei, em seus exatos termos, deve, efetivamente, prevalecer sobre uma interpretação ampliativa, que autorize sua inobservância por mera conveniência do mercado. </w:t>
      </w:r>
    </w:p>
    <w:p w:rsidR="00BC7BCB" w:rsidRDefault="00BC7BCB" w:rsidP="00FB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DF2" w:rsidRPr="00123D02" w:rsidRDefault="00234AE0" w:rsidP="00FB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>A propósito, deve-se ressaltar a maior segurança de trabalhar com instituições bancárias, cujas operações estão integralmente sujeitas ao controle do Banco Central do Brasil, e cuja expertise para a aferição da efetiva possibilidade da concessão da garantia não pode ser menosprezada, ainda mais, em se tratando da salvaguarda dos interesses e do patrimônio público.</w:t>
      </w:r>
      <w:r w:rsidR="0061491F" w:rsidRPr="00123D02">
        <w:rPr>
          <w:rFonts w:ascii="Arial" w:hAnsi="Arial" w:cs="Arial"/>
          <w:sz w:val="20"/>
          <w:szCs w:val="20"/>
        </w:rPr>
        <w:t xml:space="preserve"> </w:t>
      </w:r>
      <w:r w:rsidR="00FB6C94" w:rsidRPr="00123D02">
        <w:rPr>
          <w:rFonts w:ascii="Arial" w:hAnsi="Arial" w:cs="Arial"/>
          <w:sz w:val="20"/>
          <w:szCs w:val="20"/>
        </w:rPr>
        <w:t>Portanto, uma vez que, a fim de cercar os interesses públicos de</w:t>
      </w:r>
      <w:r w:rsidR="0061491F" w:rsidRPr="00123D02">
        <w:rPr>
          <w:rFonts w:ascii="Arial" w:hAnsi="Arial" w:cs="Arial"/>
          <w:sz w:val="20"/>
          <w:szCs w:val="20"/>
        </w:rPr>
        <w:t xml:space="preserve"> </w:t>
      </w:r>
      <w:r w:rsidR="00FB6C94" w:rsidRPr="00123D02">
        <w:rPr>
          <w:rFonts w:ascii="Arial" w:hAnsi="Arial" w:cs="Arial"/>
          <w:sz w:val="20"/>
          <w:szCs w:val="20"/>
        </w:rPr>
        <w:t>maior segurança, a Lei de Licitações elegeu como modalidade de fiança, apenas, a</w:t>
      </w:r>
      <w:r w:rsidR="0061491F" w:rsidRPr="00123D02">
        <w:rPr>
          <w:rFonts w:ascii="Arial" w:hAnsi="Arial" w:cs="Arial"/>
          <w:sz w:val="20"/>
          <w:szCs w:val="20"/>
        </w:rPr>
        <w:t xml:space="preserve"> </w:t>
      </w:r>
      <w:r w:rsidR="00FB6C94" w:rsidRPr="00123D02">
        <w:rPr>
          <w:rFonts w:ascii="Arial" w:hAnsi="Arial" w:cs="Arial"/>
          <w:sz w:val="20"/>
          <w:szCs w:val="20"/>
        </w:rPr>
        <w:t>bancária, é incabível ao gestor adotar outra</w:t>
      </w:r>
      <w:r w:rsidR="0061491F" w:rsidRPr="00123D02">
        <w:rPr>
          <w:rFonts w:ascii="Arial" w:hAnsi="Arial" w:cs="Arial"/>
          <w:sz w:val="20"/>
          <w:szCs w:val="20"/>
        </w:rPr>
        <w:t>.</w:t>
      </w:r>
    </w:p>
    <w:p w:rsidR="0061491F" w:rsidRPr="00123D02" w:rsidRDefault="0061491F" w:rsidP="00FB6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36C8" w:rsidRDefault="002036C8" w:rsidP="00234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n° 474198/16 - </w:t>
      </w:r>
      <w:hyperlink r:id="rId12" w:history="1"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Acórdão n° 5947/16 </w:t>
        </w:r>
        <w:r w:rsidR="0066130F" w:rsidRPr="00123D02">
          <w:rPr>
            <w:rStyle w:val="Hyperlink"/>
            <w:rFonts w:ascii="Arial" w:hAnsi="Arial" w:cs="Arial"/>
            <w:sz w:val="20"/>
            <w:szCs w:val="20"/>
          </w:rPr>
          <w:t>-</w:t>
        </w:r>
        <w:r w:rsidRPr="00123D02">
          <w:rPr>
            <w:rStyle w:val="Hyperlink"/>
            <w:rFonts w:ascii="Arial" w:hAnsi="Arial" w:cs="Arial"/>
            <w:sz w:val="20"/>
            <w:szCs w:val="20"/>
          </w:rPr>
          <w:t xml:space="preserve"> Tribunal Pleno</w:t>
        </w:r>
      </w:hyperlink>
      <w:r w:rsidR="0066130F" w:rsidRPr="00123D02">
        <w:rPr>
          <w:rFonts w:ascii="Arial" w:hAnsi="Arial" w:cs="Arial"/>
          <w:sz w:val="20"/>
          <w:szCs w:val="20"/>
        </w:rPr>
        <w:t xml:space="preserve"> </w:t>
      </w:r>
      <w:r w:rsidR="00E31944" w:rsidRPr="00123D02">
        <w:rPr>
          <w:rFonts w:ascii="Arial" w:hAnsi="Arial" w:cs="Arial"/>
          <w:sz w:val="20"/>
          <w:szCs w:val="20"/>
        </w:rPr>
        <w:t>-</w:t>
      </w:r>
      <w:r w:rsidR="0066130F" w:rsidRPr="00123D02">
        <w:rPr>
          <w:rFonts w:ascii="Arial" w:hAnsi="Arial" w:cs="Arial"/>
          <w:sz w:val="20"/>
          <w:szCs w:val="20"/>
        </w:rPr>
        <w:t xml:space="preserve"> Relator Cons.</w:t>
      </w:r>
      <w:r w:rsidR="00E31944" w:rsidRPr="00123D02">
        <w:rPr>
          <w:rFonts w:ascii="Arial" w:hAnsi="Arial" w:cs="Arial"/>
          <w:sz w:val="20"/>
          <w:szCs w:val="20"/>
        </w:rPr>
        <w:t xml:space="preserve"> Ivens Zschoerper Linhares.</w:t>
      </w:r>
    </w:p>
    <w:p w:rsidR="00F97CCD" w:rsidRPr="00123D02" w:rsidRDefault="00F97CCD" w:rsidP="00234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1787" w:rsidRPr="00123D02" w:rsidRDefault="00561787" w:rsidP="00561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23D02">
        <w:rPr>
          <w:rFonts w:ascii="Arial" w:hAnsi="Arial" w:cs="Arial"/>
          <w:b/>
          <w:sz w:val="20"/>
          <w:szCs w:val="20"/>
        </w:rPr>
        <w:t>6. Recurso de Revista. Aposentadoria por invalidez. Rol de doenças graves. Revisão de Uniformização de Jurisprudência (Acórdão nº 2.842/16 - Tribunal Pleno) não aplicável aos processos em trâmite quando da sua publicação. Incidência do entendimento vigente por ocasião do Acórdão nº 1.138/09 - Tribunal Pleno.</w:t>
      </w:r>
    </w:p>
    <w:p w:rsidR="00365E61" w:rsidRPr="00123D02" w:rsidRDefault="00365E61" w:rsidP="00CD3A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BCB" w:rsidRDefault="00561787" w:rsidP="00CD3AE7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Cs/>
          <w:i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Observa-se que por meio do Acórdão nº 2.842/16 </w:t>
      </w:r>
      <w:r w:rsidR="008731E4" w:rsidRPr="00123D02">
        <w:rPr>
          <w:rFonts w:ascii="Arial" w:hAnsi="Arial" w:cs="Arial"/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TP, esta Corte</w:t>
      </w:r>
      <w:r w:rsidR="008731E4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 xml:space="preserve">de Contas procedeu </w:t>
      </w:r>
      <w:r w:rsidR="00C03099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123D02">
        <w:rPr>
          <w:rFonts w:ascii="Arial" w:hAnsi="Arial" w:cs="Arial"/>
          <w:sz w:val="20"/>
          <w:szCs w:val="20"/>
        </w:rPr>
        <w:t xml:space="preserve"> revisão da interpretação contida na Uniformização de</w:t>
      </w:r>
      <w:r w:rsidR="008731E4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>Jurisprudência n.º 15 deste Tribunal, diante da superveniência da definição pelo</w:t>
      </w:r>
      <w:r w:rsidR="008731E4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 xml:space="preserve">Supremo Tribunal Federal, em sede de repercussão </w:t>
      </w:r>
      <w:r w:rsidRPr="00123D02">
        <w:rPr>
          <w:rFonts w:ascii="Arial" w:hAnsi="Arial" w:cs="Arial"/>
          <w:sz w:val="20"/>
          <w:szCs w:val="20"/>
        </w:rPr>
        <w:lastRenderedPageBreak/>
        <w:t>geral, sobre a correta</w:t>
      </w:r>
      <w:r w:rsidR="008731E4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>interpretação do art. 40, § 1º, I, da Constituição Federal, adot</w:t>
      </w:r>
      <w:r w:rsidR="006361F0" w:rsidRPr="00123D02">
        <w:rPr>
          <w:rFonts w:ascii="Arial" w:hAnsi="Arial" w:cs="Arial"/>
          <w:sz w:val="20"/>
          <w:szCs w:val="20"/>
        </w:rPr>
        <w:t xml:space="preserve">ando </w:t>
      </w:r>
      <w:r w:rsidRPr="00123D02">
        <w:rPr>
          <w:rFonts w:ascii="Arial" w:hAnsi="Arial" w:cs="Arial"/>
          <w:sz w:val="20"/>
          <w:szCs w:val="20"/>
        </w:rPr>
        <w:t>o entendimento</w:t>
      </w:r>
      <w:r w:rsidR="008731E4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>de que:</w:t>
      </w:r>
      <w:r w:rsidR="008731E4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i/>
          <w:sz w:val="20"/>
          <w:szCs w:val="20"/>
        </w:rPr>
        <w:t>“</w:t>
      </w:r>
      <w:r w:rsidRPr="00123D02">
        <w:rPr>
          <w:rFonts w:ascii="Arial" w:hAnsi="Arial" w:cs="Arial"/>
          <w:bCs/>
          <w:i/>
          <w:sz w:val="20"/>
          <w:szCs w:val="20"/>
        </w:rPr>
        <w:t>I. O rol das doenças elencadas no § 1°, do artigo</w:t>
      </w:r>
      <w:r w:rsidR="008731E4" w:rsidRPr="00123D02">
        <w:rPr>
          <w:rFonts w:ascii="Arial" w:hAnsi="Arial" w:cs="Arial"/>
          <w:bCs/>
          <w:i/>
          <w:sz w:val="20"/>
          <w:szCs w:val="20"/>
        </w:rPr>
        <w:t xml:space="preserve"> </w:t>
      </w:r>
      <w:r w:rsidRPr="00123D02">
        <w:rPr>
          <w:rFonts w:ascii="Arial" w:hAnsi="Arial" w:cs="Arial"/>
          <w:bCs/>
          <w:i/>
          <w:sz w:val="20"/>
          <w:szCs w:val="20"/>
        </w:rPr>
        <w:t>48 da Lei Estadual n° 12.398/1998, é taxativo, cabendo a junta</w:t>
      </w:r>
      <w:r w:rsidR="008731E4" w:rsidRPr="00123D02">
        <w:rPr>
          <w:rFonts w:ascii="Arial" w:hAnsi="Arial" w:cs="Arial"/>
          <w:bCs/>
          <w:i/>
          <w:sz w:val="20"/>
          <w:szCs w:val="20"/>
        </w:rPr>
        <w:t xml:space="preserve"> </w:t>
      </w:r>
      <w:r w:rsidRPr="00123D02">
        <w:rPr>
          <w:rFonts w:ascii="Arial" w:hAnsi="Arial" w:cs="Arial"/>
          <w:bCs/>
          <w:i/>
          <w:sz w:val="20"/>
          <w:szCs w:val="20"/>
        </w:rPr>
        <w:t>médica pericial, do órgão previdenciário, declarar, em cada</w:t>
      </w:r>
      <w:r w:rsidR="008731E4" w:rsidRPr="00123D02">
        <w:rPr>
          <w:rFonts w:ascii="Arial" w:hAnsi="Arial" w:cs="Arial"/>
          <w:bCs/>
          <w:i/>
          <w:sz w:val="20"/>
          <w:szCs w:val="20"/>
        </w:rPr>
        <w:t xml:space="preserve"> </w:t>
      </w:r>
      <w:r w:rsidRPr="00123D02">
        <w:rPr>
          <w:rFonts w:ascii="Arial" w:hAnsi="Arial" w:cs="Arial"/>
          <w:bCs/>
          <w:i/>
          <w:sz w:val="20"/>
          <w:szCs w:val="20"/>
        </w:rPr>
        <w:t>caso, se a doença que acomete o respectivo servidor está</w:t>
      </w:r>
      <w:r w:rsidR="008731E4" w:rsidRPr="00123D02">
        <w:rPr>
          <w:rFonts w:ascii="Arial" w:hAnsi="Arial" w:cs="Arial"/>
          <w:bCs/>
          <w:i/>
          <w:sz w:val="20"/>
          <w:szCs w:val="20"/>
        </w:rPr>
        <w:t xml:space="preserve"> </w:t>
      </w:r>
      <w:r w:rsidRPr="00123D02">
        <w:rPr>
          <w:rFonts w:ascii="Arial" w:hAnsi="Arial" w:cs="Arial"/>
          <w:bCs/>
          <w:i/>
          <w:sz w:val="20"/>
          <w:szCs w:val="20"/>
        </w:rPr>
        <w:t>prevista na norma, bem como, declarar expressamente se a</w:t>
      </w:r>
      <w:r w:rsidR="008731E4" w:rsidRPr="00123D02">
        <w:rPr>
          <w:rFonts w:ascii="Arial" w:hAnsi="Arial" w:cs="Arial"/>
          <w:bCs/>
          <w:i/>
          <w:sz w:val="20"/>
          <w:szCs w:val="20"/>
        </w:rPr>
        <w:t xml:space="preserve"> </w:t>
      </w:r>
      <w:r w:rsidRPr="00123D02">
        <w:rPr>
          <w:rFonts w:ascii="Arial" w:hAnsi="Arial" w:cs="Arial"/>
          <w:bCs/>
          <w:i/>
          <w:sz w:val="20"/>
          <w:szCs w:val="20"/>
        </w:rPr>
        <w:t>doença é grave, contagiosa ou incurável</w:t>
      </w:r>
      <w:r w:rsidR="008731E4" w:rsidRPr="00123D02">
        <w:rPr>
          <w:rFonts w:ascii="Arial" w:hAnsi="Arial" w:cs="Arial"/>
          <w:bCs/>
          <w:i/>
          <w:sz w:val="20"/>
          <w:szCs w:val="20"/>
        </w:rPr>
        <w:t xml:space="preserve">; (...). </w:t>
      </w:r>
      <w:r w:rsidR="008731E4" w:rsidRPr="00123D02">
        <w:rPr>
          <w:rFonts w:ascii="Arial,Bold" w:hAnsi="Arial,Bold" w:cs="Arial,Bold"/>
          <w:bCs/>
          <w:i/>
          <w:sz w:val="20"/>
          <w:szCs w:val="20"/>
        </w:rPr>
        <w:t xml:space="preserve">IV. A decisão relativa a esta revisão deverá ter efeitos </w:t>
      </w:r>
      <w:r w:rsidR="008731E4" w:rsidRPr="00123D02">
        <w:rPr>
          <w:rFonts w:ascii="Arial,BoldItalic" w:hAnsi="Arial,BoldItalic" w:cs="Arial,BoldItalic"/>
          <w:bCs/>
          <w:i/>
          <w:iCs/>
          <w:sz w:val="20"/>
          <w:szCs w:val="20"/>
        </w:rPr>
        <w:t>ex nunc</w:t>
      </w:r>
      <w:r w:rsidR="008731E4" w:rsidRPr="00123D02">
        <w:rPr>
          <w:rFonts w:ascii="Arial,Bold" w:hAnsi="Arial,Bold" w:cs="Arial,Bold"/>
          <w:bCs/>
          <w:i/>
          <w:sz w:val="20"/>
          <w:szCs w:val="20"/>
        </w:rPr>
        <w:t>, para preservar apenas os atos já registrados com base no entendimento até então reinante, bem como os atos que são objetos de processos que ingressaram neste Tribunal até a data da decisão.”</w:t>
      </w:r>
      <w:r w:rsidR="0000505F" w:rsidRPr="00123D02">
        <w:rPr>
          <w:rFonts w:ascii="Arial,Bold" w:hAnsi="Arial,Bold" w:cs="Arial,Bold"/>
          <w:bCs/>
          <w:i/>
          <w:sz w:val="20"/>
          <w:szCs w:val="20"/>
        </w:rPr>
        <w:t xml:space="preserve"> </w:t>
      </w:r>
    </w:p>
    <w:p w:rsidR="00BC7BCB" w:rsidRDefault="00BC7BCB" w:rsidP="00CD3AE7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Cs/>
          <w:i/>
          <w:sz w:val="20"/>
          <w:szCs w:val="20"/>
        </w:rPr>
      </w:pPr>
    </w:p>
    <w:p w:rsidR="00E8762F" w:rsidRPr="00123D02" w:rsidRDefault="00BE7E27" w:rsidP="00CD3AE7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Considerando que o presente feito </w:t>
      </w:r>
      <w:r w:rsidR="0000505F" w:rsidRPr="00123D02">
        <w:rPr>
          <w:rFonts w:ascii="Arial" w:hAnsi="Arial" w:cs="Arial"/>
          <w:sz w:val="20"/>
          <w:szCs w:val="20"/>
        </w:rPr>
        <w:t>já tramitava quando da prolação do Acórdão nº</w:t>
      </w:r>
      <w:r w:rsidR="00CD3AE7" w:rsidRPr="00123D02">
        <w:rPr>
          <w:rFonts w:ascii="Arial" w:hAnsi="Arial" w:cs="Arial"/>
          <w:sz w:val="20"/>
          <w:szCs w:val="20"/>
        </w:rPr>
        <w:t xml:space="preserve"> </w:t>
      </w:r>
      <w:r w:rsidR="0000505F" w:rsidRPr="00123D02">
        <w:rPr>
          <w:rFonts w:ascii="Arial" w:hAnsi="Arial" w:cs="Arial"/>
          <w:sz w:val="20"/>
          <w:szCs w:val="20"/>
        </w:rPr>
        <w:t xml:space="preserve">2.842/16 </w:t>
      </w:r>
      <w:r w:rsidR="00E83B51" w:rsidRPr="00123D02">
        <w:rPr>
          <w:rFonts w:ascii="Arial" w:hAnsi="Arial" w:cs="Arial"/>
          <w:sz w:val="20"/>
          <w:szCs w:val="20"/>
        </w:rPr>
        <w:t>-</w:t>
      </w:r>
      <w:r w:rsidR="0000505F" w:rsidRPr="00123D02">
        <w:rPr>
          <w:rFonts w:ascii="Arial" w:hAnsi="Arial" w:cs="Arial"/>
          <w:sz w:val="20"/>
          <w:szCs w:val="20"/>
        </w:rPr>
        <w:t xml:space="preserve"> T</w:t>
      </w:r>
      <w:r w:rsidR="00CD3AE7" w:rsidRPr="00123D02">
        <w:rPr>
          <w:rFonts w:ascii="Arial" w:hAnsi="Arial" w:cs="Arial"/>
          <w:sz w:val="20"/>
          <w:szCs w:val="20"/>
        </w:rPr>
        <w:t>ribunal Pleno</w:t>
      </w:r>
      <w:r w:rsidR="0000505F" w:rsidRPr="00123D02">
        <w:rPr>
          <w:rFonts w:ascii="Arial" w:hAnsi="Arial" w:cs="Arial"/>
          <w:sz w:val="20"/>
          <w:szCs w:val="20"/>
        </w:rPr>
        <w:t>, prevalece o entendimento de que cabe à junta médica</w:t>
      </w:r>
      <w:r w:rsidR="00CD3AE7" w:rsidRPr="00123D02">
        <w:rPr>
          <w:rFonts w:ascii="Arial" w:hAnsi="Arial" w:cs="Arial"/>
          <w:sz w:val="20"/>
          <w:szCs w:val="20"/>
        </w:rPr>
        <w:t xml:space="preserve"> </w:t>
      </w:r>
      <w:r w:rsidR="0000505F" w:rsidRPr="00123D02">
        <w:rPr>
          <w:rFonts w:ascii="Arial" w:hAnsi="Arial" w:cs="Arial"/>
          <w:sz w:val="20"/>
          <w:szCs w:val="20"/>
        </w:rPr>
        <w:t>estabelecer a gravidade ou não da doença para fins de integralidade dos proventos,</w:t>
      </w:r>
      <w:r w:rsidR="00CD3AE7" w:rsidRPr="00123D02">
        <w:rPr>
          <w:rFonts w:ascii="Arial" w:hAnsi="Arial" w:cs="Arial"/>
          <w:sz w:val="20"/>
          <w:szCs w:val="20"/>
        </w:rPr>
        <w:t xml:space="preserve"> </w:t>
      </w:r>
      <w:r w:rsidR="0000505F" w:rsidRPr="00123D02">
        <w:rPr>
          <w:rFonts w:ascii="Arial" w:hAnsi="Arial" w:cs="Arial"/>
          <w:sz w:val="20"/>
          <w:szCs w:val="20"/>
        </w:rPr>
        <w:t xml:space="preserve">devendo ser mantida a decisão consubstanciada no Acórdão nº 3.393/15 </w:t>
      </w:r>
      <w:r w:rsidR="00E83B51" w:rsidRPr="00123D02">
        <w:rPr>
          <w:rFonts w:ascii="Arial" w:hAnsi="Arial" w:cs="Arial"/>
          <w:sz w:val="20"/>
          <w:szCs w:val="20"/>
        </w:rPr>
        <w:t>-</w:t>
      </w:r>
      <w:r w:rsidR="0000505F" w:rsidRPr="00123D02">
        <w:rPr>
          <w:rFonts w:ascii="Arial" w:hAnsi="Arial" w:cs="Arial"/>
          <w:sz w:val="20"/>
          <w:szCs w:val="20"/>
        </w:rPr>
        <w:t xml:space="preserve"> Primeira</w:t>
      </w:r>
      <w:r w:rsidR="00CD3AE7" w:rsidRPr="00123D02">
        <w:rPr>
          <w:rFonts w:ascii="Arial" w:hAnsi="Arial" w:cs="Arial"/>
          <w:sz w:val="20"/>
          <w:szCs w:val="20"/>
        </w:rPr>
        <w:t xml:space="preserve"> </w:t>
      </w:r>
      <w:r w:rsidR="0000505F" w:rsidRPr="00123D02">
        <w:rPr>
          <w:rFonts w:ascii="Arial" w:hAnsi="Arial" w:cs="Arial"/>
          <w:sz w:val="20"/>
          <w:szCs w:val="20"/>
        </w:rPr>
        <w:t xml:space="preserve">Câmara, que determinou conversão do julgamento em </w:t>
      </w:r>
      <w:r w:rsidR="0000505F" w:rsidRPr="00123D02">
        <w:rPr>
          <w:rFonts w:ascii="Arial,Bold" w:hAnsi="Arial,Bold" w:cs="Arial,Bold"/>
          <w:bCs/>
          <w:sz w:val="20"/>
          <w:szCs w:val="20"/>
        </w:rPr>
        <w:t>diligência à origem</w:t>
      </w:r>
      <w:r w:rsidR="0000505F" w:rsidRPr="00123D02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00505F" w:rsidRPr="00123D02">
        <w:rPr>
          <w:rFonts w:ascii="Arial" w:hAnsi="Arial" w:cs="Arial"/>
          <w:sz w:val="20"/>
          <w:szCs w:val="20"/>
        </w:rPr>
        <w:t>para que</w:t>
      </w:r>
      <w:r w:rsidR="00CD3AE7" w:rsidRPr="00123D02">
        <w:rPr>
          <w:rFonts w:ascii="Arial" w:hAnsi="Arial" w:cs="Arial"/>
          <w:sz w:val="20"/>
          <w:szCs w:val="20"/>
        </w:rPr>
        <w:t xml:space="preserve"> </w:t>
      </w:r>
      <w:r w:rsidR="0000505F" w:rsidRPr="00123D02">
        <w:rPr>
          <w:rFonts w:ascii="Arial" w:hAnsi="Arial" w:cs="Arial"/>
          <w:sz w:val="20"/>
          <w:szCs w:val="20"/>
        </w:rPr>
        <w:t>o “</w:t>
      </w:r>
      <w:r w:rsidR="0000505F" w:rsidRPr="00123D02">
        <w:rPr>
          <w:rFonts w:ascii="Arial,Italic" w:hAnsi="Arial,Italic" w:cs="Arial,Italic"/>
          <w:i/>
          <w:iCs/>
          <w:sz w:val="20"/>
          <w:szCs w:val="20"/>
        </w:rPr>
        <w:t>Instituto de Previdência dos Servidores do Município de Curitiba, no prazo de 15</w:t>
      </w:r>
      <w:r w:rsidR="00CD3AE7" w:rsidRPr="00123D02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r w:rsidR="0000505F" w:rsidRPr="00123D02">
        <w:rPr>
          <w:rFonts w:ascii="Arial,Italic" w:hAnsi="Arial,Italic" w:cs="Arial,Italic"/>
          <w:i/>
          <w:iCs/>
          <w:sz w:val="20"/>
          <w:szCs w:val="20"/>
        </w:rPr>
        <w:t>dias, apresente laudo médico indicando se a doença que acomete o servidor é</w:t>
      </w:r>
      <w:r w:rsidR="00CD3AE7" w:rsidRPr="00123D02">
        <w:rPr>
          <w:rFonts w:ascii="Arial,Italic" w:hAnsi="Arial,Italic" w:cs="Arial,Italic"/>
          <w:i/>
          <w:iCs/>
          <w:sz w:val="20"/>
          <w:szCs w:val="20"/>
        </w:rPr>
        <w:t xml:space="preserve"> grave, independentemente de estar ou não prevista em legislação municipal,</w:t>
      </w:r>
      <w:r w:rsidR="00E83B51" w:rsidRPr="00123D02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r w:rsidR="00CD3AE7" w:rsidRPr="00123D02">
        <w:rPr>
          <w:rFonts w:ascii="Arial,Italic" w:hAnsi="Arial,Italic" w:cs="Arial,Italic"/>
          <w:i/>
          <w:iCs/>
          <w:sz w:val="20"/>
          <w:szCs w:val="20"/>
        </w:rPr>
        <w:t>determinando-se, desde já, a fixação de proventos integrais, caso confirmada a</w:t>
      </w:r>
      <w:r w:rsidR="00E83B51" w:rsidRPr="00123D02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r w:rsidR="00CD3AE7" w:rsidRPr="00123D02">
        <w:rPr>
          <w:rFonts w:ascii="Arial,Italic" w:hAnsi="Arial,Italic" w:cs="Arial,Italic"/>
          <w:i/>
          <w:iCs/>
          <w:sz w:val="20"/>
          <w:szCs w:val="20"/>
        </w:rPr>
        <w:t>gravidade da doença.”</w:t>
      </w:r>
    </w:p>
    <w:p w:rsidR="009518D9" w:rsidRPr="00123D02" w:rsidRDefault="009518D9" w:rsidP="00CD3AE7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sz w:val="20"/>
          <w:szCs w:val="20"/>
        </w:rPr>
      </w:pPr>
    </w:p>
    <w:p w:rsidR="009518D9" w:rsidRPr="00123D02" w:rsidRDefault="009518D9" w:rsidP="00CD3AE7">
      <w:pPr>
        <w:autoSpaceDE w:val="0"/>
        <w:autoSpaceDN w:val="0"/>
        <w:adjustRightInd w:val="0"/>
        <w:spacing w:after="0" w:line="240" w:lineRule="auto"/>
        <w:jc w:val="both"/>
        <w:rPr>
          <w:b/>
          <w:color w:val="212121"/>
          <w:sz w:val="20"/>
          <w:szCs w:val="20"/>
        </w:rPr>
      </w:pPr>
      <w:r w:rsidRPr="00123D02">
        <w:rPr>
          <w:rFonts w:ascii="Arial,Italic" w:hAnsi="Arial,Italic" w:cs="Arial,Italic"/>
          <w:iCs/>
          <w:sz w:val="20"/>
          <w:szCs w:val="20"/>
        </w:rPr>
        <w:t>Processo n°</w:t>
      </w:r>
      <w:r w:rsidR="008058BC" w:rsidRPr="00123D02">
        <w:rPr>
          <w:rFonts w:ascii="Arial,Italic" w:hAnsi="Arial,Italic" w:cs="Arial,Italic"/>
          <w:iCs/>
          <w:sz w:val="20"/>
          <w:szCs w:val="20"/>
        </w:rPr>
        <w:t xml:space="preserve"> 655709/15 - </w:t>
      </w:r>
      <w:hyperlink r:id="rId13" w:history="1">
        <w:r w:rsidR="008058BC" w:rsidRPr="00123D02">
          <w:rPr>
            <w:rStyle w:val="Hyperlink"/>
            <w:rFonts w:ascii="Arial,Italic" w:hAnsi="Arial,Italic" w:cs="Arial,Italic"/>
            <w:iCs/>
            <w:sz w:val="20"/>
            <w:szCs w:val="20"/>
          </w:rPr>
          <w:t>Acórdão n° 5911/16 - Tribunal Pleno</w:t>
        </w:r>
      </w:hyperlink>
      <w:r w:rsidR="008058BC" w:rsidRPr="00123D02">
        <w:rPr>
          <w:rFonts w:ascii="Arial,Italic" w:hAnsi="Arial,Italic" w:cs="Arial,Italic"/>
          <w:iCs/>
          <w:sz w:val="20"/>
          <w:szCs w:val="20"/>
        </w:rPr>
        <w:t xml:space="preserve"> - Cons. Artagão de Mattos Leão. </w:t>
      </w:r>
      <w:r w:rsidRPr="00123D02">
        <w:rPr>
          <w:rFonts w:ascii="Arial,Italic" w:hAnsi="Arial,Italic" w:cs="Arial,Italic"/>
          <w:iCs/>
          <w:sz w:val="20"/>
          <w:szCs w:val="20"/>
        </w:rPr>
        <w:t xml:space="preserve"> </w:t>
      </w:r>
    </w:p>
    <w:p w:rsidR="00462A13" w:rsidRPr="00123D02" w:rsidRDefault="00462A13" w:rsidP="00462A1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62A13" w:rsidRPr="00123D02" w:rsidRDefault="00462A13" w:rsidP="00462A1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23D02">
        <w:rPr>
          <w:rFonts w:ascii="Arial" w:hAnsi="Arial" w:cs="Arial"/>
          <w:b/>
          <w:sz w:val="20"/>
          <w:szCs w:val="20"/>
        </w:rPr>
        <w:t>7. Embargos de Declaração. Dever de Fundamentação Analítica da Sentença (art. 489 do CPC/2015). Alegação de Omissão. Inocorrência. Inviabilidade em sede de Embargos.</w:t>
      </w:r>
    </w:p>
    <w:p w:rsidR="00DF1DAC" w:rsidRPr="00123D02" w:rsidRDefault="001342E3" w:rsidP="00985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>D</w:t>
      </w:r>
      <w:r w:rsidR="00331533" w:rsidRPr="00123D02">
        <w:rPr>
          <w:rFonts w:ascii="Arial" w:hAnsi="Arial" w:cs="Arial"/>
          <w:sz w:val="20"/>
          <w:szCs w:val="20"/>
        </w:rPr>
        <w:t>esta</w:t>
      </w:r>
      <w:r w:rsidR="0098512F" w:rsidRPr="00123D02">
        <w:rPr>
          <w:rFonts w:ascii="Arial" w:hAnsi="Arial" w:cs="Arial"/>
          <w:sz w:val="20"/>
          <w:szCs w:val="20"/>
        </w:rPr>
        <w:t>ca-se</w:t>
      </w:r>
      <w:r w:rsidR="00331533" w:rsidRPr="00123D02">
        <w:rPr>
          <w:rFonts w:ascii="Arial" w:hAnsi="Arial" w:cs="Arial"/>
          <w:sz w:val="20"/>
          <w:szCs w:val="20"/>
        </w:rPr>
        <w:t xml:space="preserve"> que o julgador não está obrigado a</w:t>
      </w:r>
      <w:r w:rsidRPr="00123D02">
        <w:rPr>
          <w:rFonts w:ascii="Arial" w:hAnsi="Arial" w:cs="Arial"/>
          <w:sz w:val="20"/>
          <w:szCs w:val="20"/>
        </w:rPr>
        <w:t xml:space="preserve"> </w:t>
      </w:r>
      <w:r w:rsidR="00331533" w:rsidRPr="00123D02">
        <w:rPr>
          <w:rFonts w:ascii="Arial" w:hAnsi="Arial" w:cs="Arial"/>
          <w:sz w:val="20"/>
          <w:szCs w:val="20"/>
        </w:rPr>
        <w:t>responder a todas as questões suscitadas pelas partes, quando já tenha encontrado</w:t>
      </w:r>
      <w:r w:rsidRPr="00123D02">
        <w:rPr>
          <w:rFonts w:ascii="Arial" w:hAnsi="Arial" w:cs="Arial"/>
          <w:sz w:val="20"/>
          <w:szCs w:val="20"/>
        </w:rPr>
        <w:t xml:space="preserve"> </w:t>
      </w:r>
      <w:r w:rsidR="00331533" w:rsidRPr="00123D02">
        <w:rPr>
          <w:rFonts w:ascii="Arial" w:hAnsi="Arial" w:cs="Arial"/>
          <w:bCs/>
          <w:iCs/>
          <w:sz w:val="20"/>
          <w:szCs w:val="20"/>
        </w:rPr>
        <w:t>motivo suficiente para proferir a decisão</w:t>
      </w:r>
      <w:r w:rsidR="00331533" w:rsidRPr="00123D02">
        <w:rPr>
          <w:rFonts w:ascii="Arial" w:hAnsi="Arial" w:cs="Arial"/>
          <w:sz w:val="20"/>
          <w:szCs w:val="20"/>
        </w:rPr>
        <w:t>. Uma vez que o juiz possui o dever de</w:t>
      </w:r>
      <w:r w:rsidRPr="00123D02">
        <w:rPr>
          <w:rFonts w:ascii="Arial" w:hAnsi="Arial" w:cs="Arial"/>
          <w:sz w:val="20"/>
          <w:szCs w:val="20"/>
        </w:rPr>
        <w:t xml:space="preserve"> </w:t>
      </w:r>
      <w:r w:rsidR="00331533" w:rsidRPr="00123D02">
        <w:rPr>
          <w:rFonts w:ascii="Arial" w:hAnsi="Arial" w:cs="Arial"/>
          <w:sz w:val="20"/>
          <w:szCs w:val="20"/>
        </w:rPr>
        <w:t>enfrentar apenas as questões capazes de infirmar a conclusão adotada na decisão</w:t>
      </w:r>
      <w:r w:rsidRPr="00123D02">
        <w:rPr>
          <w:rFonts w:ascii="Arial" w:hAnsi="Arial" w:cs="Arial"/>
          <w:sz w:val="20"/>
          <w:szCs w:val="20"/>
        </w:rPr>
        <w:t xml:space="preserve"> </w:t>
      </w:r>
      <w:r w:rsidR="00331533" w:rsidRPr="00123D02">
        <w:rPr>
          <w:rFonts w:ascii="Arial" w:hAnsi="Arial" w:cs="Arial"/>
          <w:sz w:val="20"/>
          <w:szCs w:val="20"/>
        </w:rPr>
        <w:t>recorrida, mesmo após a vigência do CPC/2015 conforme sedimentou o STJ (1ª</w:t>
      </w:r>
      <w:r w:rsidR="0098512F" w:rsidRPr="00123D02">
        <w:rPr>
          <w:rFonts w:ascii="Arial" w:hAnsi="Arial" w:cs="Arial"/>
          <w:sz w:val="20"/>
          <w:szCs w:val="20"/>
        </w:rPr>
        <w:t xml:space="preserve"> </w:t>
      </w:r>
      <w:r w:rsidR="00331533" w:rsidRPr="00123D02">
        <w:rPr>
          <w:rFonts w:ascii="Arial" w:hAnsi="Arial" w:cs="Arial"/>
          <w:sz w:val="20"/>
          <w:szCs w:val="20"/>
        </w:rPr>
        <w:t>Seção. EDcl no MS 21.315-DF, Rel. Min. Diva Malerbi - Desembargadora convocada</w:t>
      </w:r>
      <w:r w:rsidR="0098512F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>do TRF da 3° Região -, julgado em 8/6/2016 - Informativo n° 585), sendo caso,</w:t>
      </w:r>
      <w:r w:rsidR="0098512F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>inclusive, de não cabimento dos embargos.</w:t>
      </w:r>
    </w:p>
    <w:p w:rsidR="00DF1DAC" w:rsidRPr="00123D02" w:rsidRDefault="00DF1DAC" w:rsidP="00985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42E3" w:rsidRPr="00123D02" w:rsidRDefault="00DF1DAC" w:rsidP="00985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n° 809580/16 - </w:t>
      </w:r>
      <w:hyperlink r:id="rId14" w:history="1">
        <w:r w:rsidRPr="00123D02">
          <w:rPr>
            <w:rStyle w:val="Hyperlink"/>
            <w:rFonts w:ascii="Arial" w:hAnsi="Arial" w:cs="Arial"/>
            <w:sz w:val="20"/>
            <w:szCs w:val="20"/>
          </w:rPr>
          <w:t>Acórdão n° 5921/16 - Tribunal Pleno</w:t>
        </w:r>
      </w:hyperlink>
      <w:r w:rsidRPr="00123D02">
        <w:rPr>
          <w:rFonts w:ascii="Arial" w:hAnsi="Arial" w:cs="Arial"/>
          <w:sz w:val="20"/>
          <w:szCs w:val="20"/>
        </w:rPr>
        <w:t xml:space="preserve"> - Cons. José Durval Mattos do Amaral.</w:t>
      </w:r>
    </w:p>
    <w:p w:rsidR="00811A90" w:rsidRPr="00123D02" w:rsidRDefault="00811A90" w:rsidP="00985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1A90" w:rsidRPr="00123D02" w:rsidRDefault="00811A90" w:rsidP="00811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23D02">
        <w:rPr>
          <w:rFonts w:ascii="Arial" w:hAnsi="Arial" w:cs="Arial"/>
          <w:b/>
          <w:sz w:val="20"/>
          <w:szCs w:val="20"/>
        </w:rPr>
        <w:t>8. Representação - Auditoria do Ministério da Previdência Social - Contribuições Previdenciárias - Cota Patronal - Falta de repasse ao Regime Próprio de Previdência Social no momento oportuno - Dever de cautela imposto ao gestor - Configuração de dano ao erário - Restituição aos cofres municipais de juros e eventuais multas.</w:t>
      </w:r>
    </w:p>
    <w:p w:rsidR="00811A90" w:rsidRPr="00123D02" w:rsidRDefault="00811A90" w:rsidP="00811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23D02">
        <w:rPr>
          <w:rFonts w:ascii="Arial" w:hAnsi="Arial" w:cs="Arial"/>
          <w:b/>
          <w:sz w:val="20"/>
          <w:szCs w:val="20"/>
        </w:rPr>
        <w:t xml:space="preserve"> </w:t>
      </w:r>
    </w:p>
    <w:p w:rsidR="00811A90" w:rsidRPr="00123D02" w:rsidRDefault="00811A90" w:rsidP="00811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>O repasse intempestivo das contribuições previdenciárias patronais ao respectivo Fundo Previdenciário acarreta a cobrança de multas e juros, além de comprometer o equilíbrio financeiro e atuarial do sistema previdenciário. A inobservância das normas previstas na Lei nº 9.717/1998</w:t>
      </w:r>
      <w:r w:rsidR="0095236F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>acarreta a responsabilização do ordenador de despesas,</w:t>
      </w:r>
      <w:r w:rsidR="0095236F" w:rsidRPr="00123D02">
        <w:rPr>
          <w:rFonts w:ascii="Arial" w:hAnsi="Arial" w:cs="Arial"/>
          <w:sz w:val="20"/>
          <w:szCs w:val="20"/>
        </w:rPr>
        <w:t xml:space="preserve"> </w:t>
      </w:r>
      <w:r w:rsidRPr="00123D02">
        <w:rPr>
          <w:rFonts w:ascii="Arial" w:hAnsi="Arial" w:cs="Arial"/>
          <w:sz w:val="20"/>
          <w:szCs w:val="20"/>
        </w:rPr>
        <w:t>inclusive o ressarcimento aos cofres públicos</w:t>
      </w:r>
      <w:r w:rsidR="0095236F" w:rsidRPr="00123D02">
        <w:rPr>
          <w:rFonts w:ascii="Arial" w:hAnsi="Arial" w:cs="Arial"/>
          <w:sz w:val="20"/>
          <w:szCs w:val="20"/>
        </w:rPr>
        <w:t xml:space="preserve">. </w:t>
      </w:r>
    </w:p>
    <w:p w:rsidR="0095236F" w:rsidRPr="00123D02" w:rsidRDefault="0095236F" w:rsidP="00811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57DD" w:rsidRDefault="0095236F" w:rsidP="009857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n° 1062851/14 </w:t>
      </w:r>
      <w:r w:rsidR="009857DD" w:rsidRPr="00123D02">
        <w:rPr>
          <w:rFonts w:ascii="Arial" w:hAnsi="Arial" w:cs="Arial"/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123D02">
          <w:rPr>
            <w:rStyle w:val="Hyperlink"/>
            <w:rFonts w:ascii="Arial" w:hAnsi="Arial" w:cs="Arial"/>
            <w:sz w:val="20"/>
            <w:szCs w:val="20"/>
          </w:rPr>
          <w:t>Acórdão</w:t>
        </w:r>
        <w:r w:rsidR="009857DD" w:rsidRPr="00123D02">
          <w:rPr>
            <w:rStyle w:val="Hyperlink"/>
            <w:rFonts w:ascii="Arial" w:hAnsi="Arial" w:cs="Arial"/>
            <w:sz w:val="20"/>
            <w:szCs w:val="20"/>
          </w:rPr>
          <w:t xml:space="preserve"> n° 5927/16 - Tribunal Pleno</w:t>
        </w:r>
      </w:hyperlink>
      <w:r w:rsidR="009857DD" w:rsidRPr="00123D02">
        <w:rPr>
          <w:rFonts w:ascii="Arial" w:hAnsi="Arial" w:cs="Arial"/>
          <w:sz w:val="20"/>
          <w:szCs w:val="20"/>
        </w:rPr>
        <w:t xml:space="preserve"> - Cons. José Durval Mattos do Amaral.</w:t>
      </w:r>
    </w:p>
    <w:p w:rsidR="006375ED" w:rsidRPr="00123D02" w:rsidRDefault="006375ED" w:rsidP="009857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2" w:rsidRDefault="00123D02" w:rsidP="00123D02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9.  Recurso de Revista. Representação da Lei nº 8.666/93. Contra</w:t>
      </w:r>
      <w:r w:rsidR="000E5AC8">
        <w:rPr>
          <w:rFonts w:ascii="Arial" w:hAnsi="Arial" w:cs="Arial"/>
          <w:b/>
          <w:color w:val="000000"/>
          <w:sz w:val="20"/>
          <w:szCs w:val="20"/>
        </w:rPr>
        <w:t>tação de empresa do cunhado do V</w:t>
      </w:r>
      <w:r>
        <w:rPr>
          <w:rFonts w:ascii="Arial" w:hAnsi="Arial" w:cs="Arial"/>
          <w:b/>
          <w:color w:val="000000"/>
          <w:sz w:val="20"/>
          <w:szCs w:val="20"/>
        </w:rPr>
        <w:t>ice</w:t>
      </w:r>
      <w:r w:rsidR="000E5AC8">
        <w:rPr>
          <w:rFonts w:ascii="Arial" w:hAnsi="Arial" w:cs="Arial"/>
          <w:b/>
          <w:color w:val="000000"/>
          <w:sz w:val="20"/>
          <w:szCs w:val="20"/>
        </w:rPr>
        <w:t>-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Prefeito. Nepotismo configurado. Interpretação extensiva da Súmula Vinculante 13 do STF, aplicável às hipóteses de licitações e contratos administrativos. Não provimento do recurso. </w:t>
      </w:r>
    </w:p>
    <w:p w:rsidR="00123D02" w:rsidRDefault="00123D02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A contratação, pela Administração Pública, de sociedade empresarial de cunhado do vice-Prefeito , caracteriza nepotismo, instituto criado e impulsionado a partir dos princípios constitucionais da impessoalidade, da isonomia e da seleção da proposta mais vantajosa, com afronta ao Prejulgado 09 desta Corte de Contas e à Súmula Vinculante nº 13 do Supremo Tribunal Federal.  Ainda que o art. 9º, III da Lei nº 8.666/93, não mencione tal vedação de forma expressa, é certo que visa resguardar os princípios da impessoalidade e da moralidade. </w:t>
      </w:r>
    </w:p>
    <w:p w:rsidR="006375ED" w:rsidRDefault="006375ED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3D02" w:rsidRDefault="00123D02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aplicabilidade da Súmula Vinculante nº 13, às hipóteses de licitações e contratos administrativos deriva não da literalidade do enunciado proferido pela Suprema Corte, mas sim do fundamento jurídico e moral que a ampara. </w:t>
      </w:r>
    </w:p>
    <w:p w:rsidR="006375ED" w:rsidRDefault="006375ED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3D02" w:rsidRDefault="00123D02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Mantendo a decisão vergastada, o </w:t>
      </w:r>
      <w:r>
        <w:rPr>
          <w:rFonts w:ascii="Arial" w:hAnsi="Arial" w:cs="Arial"/>
          <w:i/>
          <w:color w:val="000000"/>
          <w:sz w:val="20"/>
          <w:szCs w:val="20"/>
        </w:rPr>
        <w:t>decisum</w:t>
      </w:r>
      <w:r>
        <w:rPr>
          <w:rFonts w:ascii="Arial" w:hAnsi="Arial" w:cs="Arial"/>
          <w:color w:val="000000"/>
          <w:sz w:val="20"/>
          <w:szCs w:val="20"/>
        </w:rPr>
        <w:t xml:space="preserve"> corroborou ter ficado evidente a ocorrência de nepotismo na contratação, com afronta ao princípio da impessoalidade, nos termos de precedente verificado no Acórdão nº 2745/10-TP, em sede de Consulta.  Ainda, evidenciou-se o descumprimento dos princípios da isonomia, porque o edital do certame exigiu habilitação técnica desnecessária, e da seleção da proposta mais vantajosa, porque houve a contratação pelo valor máximo indicado no certame. </w:t>
      </w:r>
    </w:p>
    <w:p w:rsidR="006375ED" w:rsidRDefault="006375ED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3D02" w:rsidRDefault="00123D02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Processo n° 524027/15 -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Acórdão n° 6166/16 - Tribunal Pleno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Cons. Fernando Augusto Mello Guimarães.</w:t>
      </w:r>
    </w:p>
    <w:p w:rsidR="006375ED" w:rsidRDefault="006375ED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3D02" w:rsidRDefault="00123D02" w:rsidP="00123D02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3D02">
        <w:rPr>
          <w:rFonts w:ascii="Arial" w:hAnsi="Arial" w:cs="Arial"/>
          <w:b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Recurso de Revista.  Contratação Temporária. Fundação Araucária. Natureza jurídica de direito privado.  Utilização de recursos públicos. Obrigatoriedade de observância dos princípios que regem a Administração Pública. Não provimento da Revista.  </w:t>
      </w:r>
    </w:p>
    <w:p w:rsidR="00123D02" w:rsidRDefault="00123D02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Fundação Araucária de Desenvolvimento Científico e Tecnológico do Paraná, embora efetivamente possua natureza jurídica de direito privado ao receber e gerir recursos públicos não pode se escusar ao cumprimento dos princípios que regem a Administração Pública. A Constituição do Estado do Paraná, inspirada diretamente pela Constituição Federal, é clara ao estender a tais entidades a obrigatoriedade da observância do princípio do concurso público, bem como a delimitação das hipóteses e condições para que ele seja excepcionalizado. </w:t>
      </w:r>
    </w:p>
    <w:p w:rsidR="006375ED" w:rsidRDefault="006375ED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3D02" w:rsidRDefault="00123D02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Falhas na divulgação do certame e o exíguo prazo para a realização das inscrições de quatro dias, no caso em comento, desrespeitaram as normas que regem a contratação de pessoal no âmbito da Administração Pública. Ficaram comprometidos os princípios da publicidade e da impessoalidade ao se divulgar o edital do certame apenas no sítio eletrônico da entidade, sem preencher requisitos mínimos de informação. Já quanto às inscrições, foram feridos os princípios da publicidade, da acessibilidade aos cargos públicos, o da razoabilidade e o da eficiência. </w:t>
      </w:r>
    </w:p>
    <w:p w:rsidR="006375ED" w:rsidRDefault="006375ED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3D02" w:rsidRDefault="00123D02" w:rsidP="006375E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Esta decisão ainda ressalta que a competência deste Tribunal para a análise de admissões de pessoal realizadas pela Fundação Araucária fora, já, objeto de apreciação no Acórdão nº 8235/14-2ªCâmara, que indicou expressamente a necessidade de que a entidade passasse a realizar concurso público para o provimento de suas vagas. </w:t>
      </w:r>
    </w:p>
    <w:p w:rsidR="006375ED" w:rsidRDefault="006375ED" w:rsidP="00123D0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23D02" w:rsidRDefault="00123D02" w:rsidP="00123D0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Processo nº 903990/15 -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Acórdão nº 6167/16 do Tribunal Pleno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Cons. Fernando Augusto Mello Guimarães. </w:t>
      </w:r>
    </w:p>
    <w:p w:rsidR="00F97CCD" w:rsidRDefault="00F97CCD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62F" w:rsidRPr="00AA3A41" w:rsidRDefault="00E8762F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3A41">
        <w:rPr>
          <w:rFonts w:ascii="Arial" w:hAnsi="Arial" w:cs="Arial"/>
          <w:sz w:val="20"/>
          <w:szCs w:val="20"/>
        </w:rPr>
        <w:t xml:space="preserve">Observações: </w:t>
      </w:r>
    </w:p>
    <w:p w:rsidR="005C4DB7" w:rsidRDefault="00E4415D" w:rsidP="00E8762F">
      <w:pPr>
        <w:rPr>
          <w:rFonts w:ascii="Arial" w:hAnsi="Arial" w:cs="Arial"/>
          <w:b/>
          <w:color w:val="000000"/>
          <w:sz w:val="20"/>
          <w:szCs w:val="20"/>
        </w:rPr>
      </w:pPr>
      <w:r w:rsidRPr="005C4DB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64EE6" wp14:editId="599D7F15">
                <wp:simplePos x="0" y="0"/>
                <wp:positionH relativeFrom="margin">
                  <wp:posOffset>-6350</wp:posOffset>
                </wp:positionH>
                <wp:positionV relativeFrom="paragraph">
                  <wp:posOffset>69850</wp:posOffset>
                </wp:positionV>
                <wp:extent cx="5420995" cy="0"/>
                <wp:effectExtent l="0" t="0" r="27305" b="571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890AA" id="Conector reto 5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5.5pt" to="426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E8762F" w:rsidRPr="005C4DB7" w:rsidRDefault="00E8762F" w:rsidP="00E8762F">
      <w:pPr>
        <w:rPr>
          <w:rFonts w:ascii="Arial" w:hAnsi="Arial" w:cs="Arial"/>
          <w:sz w:val="20"/>
          <w:szCs w:val="20"/>
        </w:rPr>
      </w:pPr>
      <w:r w:rsidRPr="005C4DB7">
        <w:rPr>
          <w:rFonts w:ascii="Arial" w:hAnsi="Arial" w:cs="Arial"/>
          <w:b/>
          <w:color w:val="000000"/>
          <w:sz w:val="20"/>
          <w:szCs w:val="20"/>
        </w:rPr>
        <w:t>Inovação Legislativa</w:t>
      </w:r>
      <w:r w:rsidRPr="005C4DB7">
        <w:rPr>
          <w:rFonts w:ascii="Arial" w:hAnsi="Arial" w:cs="Arial"/>
          <w:color w:val="000000"/>
          <w:sz w:val="20"/>
          <w:szCs w:val="20"/>
        </w:rPr>
        <w:t>:</w:t>
      </w:r>
    </w:p>
    <w:p w:rsidR="00E8762F" w:rsidRPr="005C4DB7" w:rsidRDefault="0060126D" w:rsidP="00D1694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4DB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84245" wp14:editId="4AD31EEB">
                <wp:simplePos x="0" y="0"/>
                <wp:positionH relativeFrom="margin">
                  <wp:posOffset>-10160</wp:posOffset>
                </wp:positionH>
                <wp:positionV relativeFrom="paragraph">
                  <wp:posOffset>869925</wp:posOffset>
                </wp:positionV>
                <wp:extent cx="5420995" cy="0"/>
                <wp:effectExtent l="0" t="0" r="27305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827B8" id="Conector reto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pt,68.5pt" to="426.0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hyperlink r:id="rId18">
        <w:r w:rsidR="00E8762F" w:rsidRPr="005C4DB7">
          <w:rPr>
            <w:rFonts w:ascii="Arial" w:hAnsi="Arial" w:cs="Arial"/>
            <w:color w:val="0000FF"/>
            <w:sz w:val="20"/>
            <w:szCs w:val="20"/>
            <w:u w:val="single"/>
          </w:rPr>
          <w:t>Decreto 8</w:t>
        </w:r>
      </w:hyperlink>
      <w:hyperlink r:id="rId19">
        <w:r w:rsidR="00E8762F" w:rsidRPr="005C4DB7">
          <w:rPr>
            <w:rFonts w:ascii="Arial" w:hAnsi="Arial" w:cs="Arial"/>
            <w:color w:val="0000FF"/>
            <w:sz w:val="20"/>
            <w:szCs w:val="20"/>
            <w:u w:val="single"/>
          </w:rPr>
          <w:t>.945, de 27.12.2016</w:t>
        </w:r>
      </w:hyperlink>
      <w:r w:rsidR="00E8762F" w:rsidRPr="005C4DB7">
        <w:rPr>
          <w:rFonts w:ascii="Arial" w:hAnsi="Arial" w:cs="Arial"/>
          <w:color w:val="000000"/>
          <w:sz w:val="20"/>
          <w:szCs w:val="20"/>
        </w:rPr>
        <w:t xml:space="preserve"> - Regulamenta, no âmbito da União, a Lei 13.303, de 30 de junho de 2016, que dispõe sobre o estatuto jurídico da empresa pública, da sociedade de economia mista e de suas subsidiárias, no âmbito da União, dos Estados, do Distrito Federal e dos Municípios</w:t>
      </w:r>
      <w:r w:rsidR="00E8762F" w:rsidRPr="005C4DB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60126D" w:rsidRDefault="0060126D" w:rsidP="00D16943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E8762F" w:rsidRPr="00F41C34" w:rsidRDefault="00E8762F" w:rsidP="00E8762F">
      <w:pPr>
        <w:spacing w:before="60" w:after="60"/>
        <w:jc w:val="center"/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</w:pPr>
      <w:r w:rsidRPr="00F41C34"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  <w:t xml:space="preserve">Elaboração: </w:t>
      </w:r>
      <w:r w:rsidR="00D16943" w:rsidRPr="00F41C34"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  <w:t>Escola de Gestão Pública -</w:t>
      </w:r>
      <w:r w:rsidRPr="00F41C34"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  <w:t xml:space="preserve"> </w:t>
      </w:r>
      <w:r w:rsidR="00D16943" w:rsidRPr="00F41C34"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  <w:t>Jurisprudência</w:t>
      </w:r>
    </w:p>
    <w:p w:rsidR="00D16943" w:rsidRPr="00D16943" w:rsidRDefault="00D16943" w:rsidP="00E8762F">
      <w:pPr>
        <w:spacing w:before="60" w:after="60"/>
        <w:jc w:val="center"/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</w:pPr>
    </w:p>
    <w:p w:rsidR="00AE4F42" w:rsidRDefault="00AE4F42" w:rsidP="00646004">
      <w:pPr>
        <w:jc w:val="center"/>
        <w:rPr>
          <w:b/>
          <w:color w:val="212121"/>
        </w:rPr>
      </w:pPr>
    </w:p>
    <w:p w:rsidR="00E8762F" w:rsidRDefault="00E8762F" w:rsidP="00646004">
      <w:pPr>
        <w:jc w:val="center"/>
        <w:rPr>
          <w:b/>
          <w:color w:val="212121"/>
        </w:rPr>
      </w:pPr>
    </w:p>
    <w:p w:rsidR="00E8762F" w:rsidRDefault="00E8762F" w:rsidP="00646004">
      <w:pPr>
        <w:jc w:val="center"/>
        <w:rPr>
          <w:b/>
          <w:color w:val="212121"/>
        </w:rPr>
      </w:pPr>
    </w:p>
    <w:p w:rsidR="00AE4F42" w:rsidRDefault="00AE4F42" w:rsidP="00646004">
      <w:pPr>
        <w:jc w:val="center"/>
        <w:rPr>
          <w:b/>
          <w:color w:val="212121"/>
        </w:rPr>
      </w:pPr>
    </w:p>
    <w:sectPr w:rsidR="00AE4F42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7A9" w:rsidRDefault="009907A9" w:rsidP="00350CC2">
      <w:pPr>
        <w:spacing w:after="0" w:line="240" w:lineRule="auto"/>
      </w:pPr>
      <w:r>
        <w:separator/>
      </w:r>
    </w:p>
  </w:endnote>
  <w:endnote w:type="continuationSeparator" w:id="0">
    <w:p w:rsidR="009907A9" w:rsidRDefault="009907A9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59336967" wp14:editId="245F8B55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C03099">
      <w:rPr>
        <w:noProof/>
        <w:sz w:val="16"/>
        <w:szCs w:val="16"/>
      </w:rPr>
      <w:t>6</w:t>
    </w:r>
    <w:r w:rsidRPr="0072292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7A9" w:rsidRDefault="009907A9" w:rsidP="00350CC2">
      <w:pPr>
        <w:spacing w:after="0" w:line="240" w:lineRule="auto"/>
      </w:pPr>
      <w:r>
        <w:separator/>
      </w:r>
    </w:p>
  </w:footnote>
  <w:footnote w:type="continuationSeparator" w:id="0">
    <w:p w:rsidR="009907A9" w:rsidRDefault="009907A9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D7" w:rsidRDefault="006A5FD7" w:rsidP="00F14CCC">
    <w:pPr>
      <w:pStyle w:val="Cabealho"/>
      <w:spacing w:after="100" w:afterAutospacing="1"/>
      <w:jc w:val="center"/>
      <w:rPr>
        <w:b/>
      </w:rPr>
    </w:pPr>
  </w:p>
  <w:p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577658B6" wp14:editId="723631CE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91"/>
    <w:rsid w:val="0000505F"/>
    <w:rsid w:val="000078B5"/>
    <w:rsid w:val="00007F7A"/>
    <w:rsid w:val="00010F88"/>
    <w:rsid w:val="00012CBB"/>
    <w:rsid w:val="00013840"/>
    <w:rsid w:val="00046191"/>
    <w:rsid w:val="00047EF1"/>
    <w:rsid w:val="00062737"/>
    <w:rsid w:val="000926D4"/>
    <w:rsid w:val="0009482D"/>
    <w:rsid w:val="000A29BE"/>
    <w:rsid w:val="000A4EB6"/>
    <w:rsid w:val="000A5F01"/>
    <w:rsid w:val="000B1E10"/>
    <w:rsid w:val="000B31B6"/>
    <w:rsid w:val="000C5093"/>
    <w:rsid w:val="000C63BC"/>
    <w:rsid w:val="000D4DE6"/>
    <w:rsid w:val="000E5AC8"/>
    <w:rsid w:val="000F04ED"/>
    <w:rsid w:val="000F639D"/>
    <w:rsid w:val="00100B9C"/>
    <w:rsid w:val="00110BD6"/>
    <w:rsid w:val="00123D02"/>
    <w:rsid w:val="00127DF2"/>
    <w:rsid w:val="001342E3"/>
    <w:rsid w:val="00135D5F"/>
    <w:rsid w:val="00157806"/>
    <w:rsid w:val="0018272D"/>
    <w:rsid w:val="001930D1"/>
    <w:rsid w:val="001B5F7A"/>
    <w:rsid w:val="001D684B"/>
    <w:rsid w:val="002036C8"/>
    <w:rsid w:val="002100EE"/>
    <w:rsid w:val="002147AC"/>
    <w:rsid w:val="00221D15"/>
    <w:rsid w:val="00223A59"/>
    <w:rsid w:val="002245DE"/>
    <w:rsid w:val="0023318C"/>
    <w:rsid w:val="00234AE0"/>
    <w:rsid w:val="00235F82"/>
    <w:rsid w:val="00237C21"/>
    <w:rsid w:val="00256CEA"/>
    <w:rsid w:val="00260D58"/>
    <w:rsid w:val="00271154"/>
    <w:rsid w:val="002A00AC"/>
    <w:rsid w:val="002A1D5F"/>
    <w:rsid w:val="002C56C9"/>
    <w:rsid w:val="002D6612"/>
    <w:rsid w:val="002E4277"/>
    <w:rsid w:val="002F13A0"/>
    <w:rsid w:val="002F22FA"/>
    <w:rsid w:val="00331533"/>
    <w:rsid w:val="00343C28"/>
    <w:rsid w:val="00344A41"/>
    <w:rsid w:val="0034575E"/>
    <w:rsid w:val="00350CC2"/>
    <w:rsid w:val="00353FEB"/>
    <w:rsid w:val="00361F1D"/>
    <w:rsid w:val="00365E61"/>
    <w:rsid w:val="0038012F"/>
    <w:rsid w:val="003E55BC"/>
    <w:rsid w:val="003F03C6"/>
    <w:rsid w:val="003F677C"/>
    <w:rsid w:val="00406D2C"/>
    <w:rsid w:val="00420AE1"/>
    <w:rsid w:val="0042728A"/>
    <w:rsid w:val="004276DC"/>
    <w:rsid w:val="0043291F"/>
    <w:rsid w:val="00462A13"/>
    <w:rsid w:val="00470218"/>
    <w:rsid w:val="00482FA5"/>
    <w:rsid w:val="00487D31"/>
    <w:rsid w:val="004927D6"/>
    <w:rsid w:val="004965C3"/>
    <w:rsid w:val="004A5804"/>
    <w:rsid w:val="004B623F"/>
    <w:rsid w:val="004E6410"/>
    <w:rsid w:val="00502AAF"/>
    <w:rsid w:val="00511F85"/>
    <w:rsid w:val="00520368"/>
    <w:rsid w:val="00530F1E"/>
    <w:rsid w:val="0053401E"/>
    <w:rsid w:val="00547AFC"/>
    <w:rsid w:val="0055022A"/>
    <w:rsid w:val="00561787"/>
    <w:rsid w:val="00566AE8"/>
    <w:rsid w:val="005706D5"/>
    <w:rsid w:val="005819D2"/>
    <w:rsid w:val="00584BC6"/>
    <w:rsid w:val="0058559D"/>
    <w:rsid w:val="00585A3B"/>
    <w:rsid w:val="005957D1"/>
    <w:rsid w:val="005C4DB7"/>
    <w:rsid w:val="005D48C8"/>
    <w:rsid w:val="005E2760"/>
    <w:rsid w:val="005F16DB"/>
    <w:rsid w:val="005F2BB5"/>
    <w:rsid w:val="005F4DBF"/>
    <w:rsid w:val="0060126D"/>
    <w:rsid w:val="0061491F"/>
    <w:rsid w:val="00626DD6"/>
    <w:rsid w:val="006361F0"/>
    <w:rsid w:val="006375ED"/>
    <w:rsid w:val="00640861"/>
    <w:rsid w:val="00640BDC"/>
    <w:rsid w:val="00646004"/>
    <w:rsid w:val="0066130F"/>
    <w:rsid w:val="006A27D6"/>
    <w:rsid w:val="006A5FD7"/>
    <w:rsid w:val="006B5E72"/>
    <w:rsid w:val="006D1BE7"/>
    <w:rsid w:val="006E26E8"/>
    <w:rsid w:val="006F4894"/>
    <w:rsid w:val="00712A93"/>
    <w:rsid w:val="00722924"/>
    <w:rsid w:val="007319AD"/>
    <w:rsid w:val="00742BC9"/>
    <w:rsid w:val="00745634"/>
    <w:rsid w:val="0079779E"/>
    <w:rsid w:val="007D009C"/>
    <w:rsid w:val="007D73C9"/>
    <w:rsid w:val="008058BC"/>
    <w:rsid w:val="00807854"/>
    <w:rsid w:val="00811A90"/>
    <w:rsid w:val="0082026A"/>
    <w:rsid w:val="008267CA"/>
    <w:rsid w:val="00826A19"/>
    <w:rsid w:val="00847BF3"/>
    <w:rsid w:val="00853D0B"/>
    <w:rsid w:val="00854BCA"/>
    <w:rsid w:val="00866481"/>
    <w:rsid w:val="008731E4"/>
    <w:rsid w:val="008745D6"/>
    <w:rsid w:val="00874DCA"/>
    <w:rsid w:val="0088277A"/>
    <w:rsid w:val="00895461"/>
    <w:rsid w:val="008C257C"/>
    <w:rsid w:val="008D0FDE"/>
    <w:rsid w:val="008D7F7C"/>
    <w:rsid w:val="008E5CC2"/>
    <w:rsid w:val="008F2E20"/>
    <w:rsid w:val="00912D60"/>
    <w:rsid w:val="009518D9"/>
    <w:rsid w:val="0095236F"/>
    <w:rsid w:val="0098512F"/>
    <w:rsid w:val="009857DD"/>
    <w:rsid w:val="009907A9"/>
    <w:rsid w:val="00993F38"/>
    <w:rsid w:val="009A62FC"/>
    <w:rsid w:val="009B396E"/>
    <w:rsid w:val="009E4DF2"/>
    <w:rsid w:val="009F3962"/>
    <w:rsid w:val="00A10857"/>
    <w:rsid w:val="00A1269B"/>
    <w:rsid w:val="00A130F9"/>
    <w:rsid w:val="00A16398"/>
    <w:rsid w:val="00A27485"/>
    <w:rsid w:val="00A30038"/>
    <w:rsid w:val="00A40F98"/>
    <w:rsid w:val="00A42619"/>
    <w:rsid w:val="00A4267D"/>
    <w:rsid w:val="00A672B2"/>
    <w:rsid w:val="00A74C51"/>
    <w:rsid w:val="00A80C19"/>
    <w:rsid w:val="00A90A24"/>
    <w:rsid w:val="00A90BD3"/>
    <w:rsid w:val="00AA262E"/>
    <w:rsid w:val="00AA3A41"/>
    <w:rsid w:val="00AA6D45"/>
    <w:rsid w:val="00AD741D"/>
    <w:rsid w:val="00AE4F42"/>
    <w:rsid w:val="00AF4D71"/>
    <w:rsid w:val="00B04D46"/>
    <w:rsid w:val="00B30FE2"/>
    <w:rsid w:val="00B37580"/>
    <w:rsid w:val="00B52215"/>
    <w:rsid w:val="00B530CA"/>
    <w:rsid w:val="00B6496C"/>
    <w:rsid w:val="00B82D73"/>
    <w:rsid w:val="00B84A2C"/>
    <w:rsid w:val="00BB3512"/>
    <w:rsid w:val="00BC137A"/>
    <w:rsid w:val="00BC7BCB"/>
    <w:rsid w:val="00BE7E27"/>
    <w:rsid w:val="00C03099"/>
    <w:rsid w:val="00C131FD"/>
    <w:rsid w:val="00C37522"/>
    <w:rsid w:val="00C46AF0"/>
    <w:rsid w:val="00C84F07"/>
    <w:rsid w:val="00C95D16"/>
    <w:rsid w:val="00CA6114"/>
    <w:rsid w:val="00CB644C"/>
    <w:rsid w:val="00CC5AC6"/>
    <w:rsid w:val="00CD1628"/>
    <w:rsid w:val="00CD1D27"/>
    <w:rsid w:val="00CD3AE7"/>
    <w:rsid w:val="00CD79FA"/>
    <w:rsid w:val="00D03DCB"/>
    <w:rsid w:val="00D16943"/>
    <w:rsid w:val="00D44615"/>
    <w:rsid w:val="00D62519"/>
    <w:rsid w:val="00D625AA"/>
    <w:rsid w:val="00D870D4"/>
    <w:rsid w:val="00D9398E"/>
    <w:rsid w:val="00DB29CA"/>
    <w:rsid w:val="00DB5F2B"/>
    <w:rsid w:val="00DC5C19"/>
    <w:rsid w:val="00DC7068"/>
    <w:rsid w:val="00DF1DAC"/>
    <w:rsid w:val="00E1428E"/>
    <w:rsid w:val="00E14900"/>
    <w:rsid w:val="00E31944"/>
    <w:rsid w:val="00E4415D"/>
    <w:rsid w:val="00E520BE"/>
    <w:rsid w:val="00E71365"/>
    <w:rsid w:val="00E83B51"/>
    <w:rsid w:val="00E8762F"/>
    <w:rsid w:val="00EC02E8"/>
    <w:rsid w:val="00EC3842"/>
    <w:rsid w:val="00EC5D5D"/>
    <w:rsid w:val="00EC7C2B"/>
    <w:rsid w:val="00EE20A1"/>
    <w:rsid w:val="00F0782D"/>
    <w:rsid w:val="00F14CCC"/>
    <w:rsid w:val="00F20C09"/>
    <w:rsid w:val="00F21CAE"/>
    <w:rsid w:val="00F3739F"/>
    <w:rsid w:val="00F37B34"/>
    <w:rsid w:val="00F41C34"/>
    <w:rsid w:val="00F469B9"/>
    <w:rsid w:val="00F46C32"/>
    <w:rsid w:val="00F74F50"/>
    <w:rsid w:val="00F83B0D"/>
    <w:rsid w:val="00F922EA"/>
    <w:rsid w:val="00F979B3"/>
    <w:rsid w:val="00F97CCD"/>
    <w:rsid w:val="00FA320D"/>
    <w:rsid w:val="00FA53E9"/>
    <w:rsid w:val="00FB1179"/>
    <w:rsid w:val="00FB6C94"/>
    <w:rsid w:val="00FC5743"/>
    <w:rsid w:val="00FD332F"/>
    <w:rsid w:val="00FE1CC1"/>
    <w:rsid w:val="00FF248B"/>
    <w:rsid w:val="00FF3E6F"/>
    <w:rsid w:val="00FF7425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BA78F4"/>
  <w15:docId w15:val="{54A527E8-9A31-44FF-93D3-8F77077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rsid w:val="001B5F7A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7/1/pdf/00308805.pdf" TargetMode="External"/><Relationship Id="rId13" Type="http://schemas.openxmlformats.org/officeDocument/2006/relationships/hyperlink" Target="http://www1.tce.pr.gov.br/multimidia/2016/12/pdf/00307908.pdf" TargetMode="External"/><Relationship Id="rId18" Type="http://schemas.openxmlformats.org/officeDocument/2006/relationships/hyperlink" Target="http://www.planalto.gov.br/ccivil_03/_Ato2015-2018/2016/Decreto/D8945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multimidia/2016/12/pdf/00307725.pdf" TargetMode="External"/><Relationship Id="rId17" Type="http://schemas.openxmlformats.org/officeDocument/2006/relationships/hyperlink" Target="http://www1.tce.pr.gov.br/multimidia/2016/12/pdf/0030788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multimidia/2016/12/pdf/0030806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multimidia/2017/1/pdf/0030868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multimidia/2016/12/pdf/0030771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1.tce.pr.gov.br/multimidia/2017/1/pdf/00308681.pdf" TargetMode="External"/><Relationship Id="rId19" Type="http://schemas.openxmlformats.org/officeDocument/2006/relationships/hyperlink" Target="http://www.planalto.gov.br/ccivil_03/_Ato2015-2018/2016/Decreto/D89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multimidia/2017/1/pdf/00308388.pdf" TargetMode="External"/><Relationship Id="rId14" Type="http://schemas.openxmlformats.org/officeDocument/2006/relationships/hyperlink" Target="http://www1.tce.pr.gov.br/multimidia/2016/12/pdf/00307707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1CB9-8C6F-4E48-B081-5EED061C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2583</Words>
  <Characters>13952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Tiago Moraes Ribeiro</cp:lastModifiedBy>
  <cp:revision>52</cp:revision>
  <cp:lastPrinted>2017-02-06T13:19:00Z</cp:lastPrinted>
  <dcterms:created xsi:type="dcterms:W3CDTF">2017-01-30T19:05:00Z</dcterms:created>
  <dcterms:modified xsi:type="dcterms:W3CDTF">2017-09-11T20:02:00Z</dcterms:modified>
</cp:coreProperties>
</file>