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B8DD" w14:textId="4F6E456E" w:rsidR="00912417" w:rsidRDefault="47D69A2E" w:rsidP="0045033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Boletim </w:t>
      </w:r>
      <w:r w:rsidR="7F010698"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Informativo </w:t>
      </w:r>
      <w:r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de Jurisprudência </w:t>
      </w:r>
      <w:r w:rsidR="7F010698"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n.º 1</w:t>
      </w:r>
      <w:r w:rsidR="5FCA3507"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3</w:t>
      </w:r>
      <w:r w:rsidR="00BE65B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4</w:t>
      </w:r>
    </w:p>
    <w:p w14:paraId="5889FBC7" w14:textId="77777777" w:rsidR="00BA6D21" w:rsidRPr="00F0381A" w:rsidRDefault="00BA6D21" w:rsidP="0045033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072"/>
        <w:gridCol w:w="3480"/>
        <w:gridCol w:w="1127"/>
        <w:gridCol w:w="1820"/>
      </w:tblGrid>
      <w:tr w:rsidR="00A9662E" w:rsidRPr="00835218" w14:paraId="46E33099" w14:textId="77777777" w:rsidTr="0085416C">
        <w:tc>
          <w:tcPr>
            <w:tcW w:w="8499" w:type="dxa"/>
            <w:gridSpan w:val="4"/>
            <w:shd w:val="clear" w:color="auto" w:fill="8BA6B4"/>
            <w:vAlign w:val="center"/>
          </w:tcPr>
          <w:p w14:paraId="04583483" w14:textId="54D21B45" w:rsidR="00A9662E" w:rsidRPr="001B784B" w:rsidRDefault="00A9662E" w:rsidP="004503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784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Sessões analisadas</w:t>
            </w:r>
          </w:p>
        </w:tc>
      </w:tr>
      <w:tr w:rsidR="00912417" w:rsidRPr="00835218" w14:paraId="5895E27F" w14:textId="77777777" w:rsidTr="0020291A">
        <w:tc>
          <w:tcPr>
            <w:tcW w:w="2072" w:type="dxa"/>
            <w:shd w:val="clear" w:color="auto" w:fill="8BA6B4"/>
            <w:vAlign w:val="center"/>
          </w:tcPr>
          <w:p w14:paraId="3EEDB36D" w14:textId="78DC5B57" w:rsidR="00912417" w:rsidRPr="00A9662E" w:rsidRDefault="00710B2D" w:rsidP="004503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Órgão</w:t>
            </w:r>
          </w:p>
        </w:tc>
        <w:tc>
          <w:tcPr>
            <w:tcW w:w="3480" w:type="dxa"/>
            <w:shd w:val="clear" w:color="auto" w:fill="8BA6B4"/>
            <w:vAlign w:val="center"/>
          </w:tcPr>
          <w:p w14:paraId="40093ED4" w14:textId="391E585C" w:rsidR="00912417" w:rsidRPr="00A9662E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1127" w:type="dxa"/>
            <w:shd w:val="clear" w:color="auto" w:fill="8BA6B4"/>
            <w:vAlign w:val="center"/>
          </w:tcPr>
          <w:p w14:paraId="3DBC29E0" w14:textId="3802ACA2" w:rsidR="00912417" w:rsidRPr="00A9662E" w:rsidRDefault="00710B2D" w:rsidP="004503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Número</w:t>
            </w:r>
          </w:p>
        </w:tc>
        <w:tc>
          <w:tcPr>
            <w:tcW w:w="1820" w:type="dxa"/>
            <w:shd w:val="clear" w:color="auto" w:fill="8BA6B4"/>
            <w:vAlign w:val="center"/>
          </w:tcPr>
          <w:p w14:paraId="769F4E90" w14:textId="46AE86A4" w:rsidR="00912417" w:rsidRPr="00A9662E" w:rsidRDefault="00710B2D" w:rsidP="0045033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</w:tr>
      <w:tr w:rsidR="00881568" w:rsidRPr="00835218" w14:paraId="1F590A39" w14:textId="77777777" w:rsidTr="0020291A">
        <w:tc>
          <w:tcPr>
            <w:tcW w:w="2072" w:type="dxa"/>
            <w:vMerge w:val="restart"/>
            <w:vAlign w:val="center"/>
          </w:tcPr>
          <w:p w14:paraId="091F0977" w14:textId="7AEFEE81" w:rsidR="00881568" w:rsidRPr="0083521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Pleno</w:t>
            </w:r>
          </w:p>
        </w:tc>
        <w:tc>
          <w:tcPr>
            <w:tcW w:w="3480" w:type="dxa"/>
            <w:vMerge w:val="restart"/>
            <w:vAlign w:val="center"/>
          </w:tcPr>
          <w:p w14:paraId="06BAE038" w14:textId="5E6B7707" w:rsidR="00881568" w:rsidRPr="0083521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1127" w:type="dxa"/>
          </w:tcPr>
          <w:p w14:paraId="4A386A7B" w14:textId="476499E4" w:rsidR="00881568" w:rsidRPr="00835218" w:rsidRDefault="00E24DF0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BE65B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820" w:type="dxa"/>
          </w:tcPr>
          <w:p w14:paraId="7159DBFA" w14:textId="7B80D11C" w:rsidR="00881568" w:rsidRPr="00835218" w:rsidRDefault="00BE65B6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/2023</w:t>
            </w:r>
          </w:p>
        </w:tc>
      </w:tr>
      <w:tr w:rsidR="00881568" w:rsidRPr="00835218" w14:paraId="276545ED" w14:textId="77777777" w:rsidTr="0020291A">
        <w:tc>
          <w:tcPr>
            <w:tcW w:w="2072" w:type="dxa"/>
            <w:vMerge/>
          </w:tcPr>
          <w:p w14:paraId="2AD943FF" w14:textId="6CF2173F" w:rsidR="0088156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vMerge/>
          </w:tcPr>
          <w:p w14:paraId="6C126959" w14:textId="03CA5B32" w:rsidR="0088156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96061C3" w14:textId="1DA8C3B6" w:rsidR="00881568" w:rsidRDefault="00626740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BE65B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820" w:type="dxa"/>
          </w:tcPr>
          <w:p w14:paraId="21933502" w14:textId="5F265F2C" w:rsidR="00881568" w:rsidRPr="00835218" w:rsidRDefault="00BE65B6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/2023</w:t>
            </w:r>
          </w:p>
        </w:tc>
      </w:tr>
      <w:tr w:rsidR="00BA6D21" w:rsidRPr="00835218" w14:paraId="3E466AB0" w14:textId="77777777" w:rsidTr="00BA6D21">
        <w:trPr>
          <w:trHeight w:val="218"/>
        </w:trPr>
        <w:tc>
          <w:tcPr>
            <w:tcW w:w="2072" w:type="dxa"/>
            <w:vMerge/>
          </w:tcPr>
          <w:p w14:paraId="35E9DEAF" w14:textId="39D81989" w:rsidR="00BA6D21" w:rsidRPr="00835218" w:rsidRDefault="00BA6D21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6810BF55" w14:textId="777AC861" w:rsidR="00BA6D21" w:rsidRPr="00835218" w:rsidRDefault="00BA6D21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</w:tcPr>
          <w:p w14:paraId="6588FEF6" w14:textId="0BDF06D8" w:rsidR="00BA6D21" w:rsidRPr="00835218" w:rsidRDefault="00BE65B6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820" w:type="dxa"/>
          </w:tcPr>
          <w:p w14:paraId="53AA1076" w14:textId="499D16A7" w:rsidR="00BA6D21" w:rsidRPr="00835218" w:rsidRDefault="00FB305C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5D25D0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BA6D21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5D25D0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BA6D21">
              <w:rPr>
                <w:rFonts w:ascii="Arial" w:eastAsia="Arial" w:hAnsi="Arial" w:cs="Arial"/>
                <w:sz w:val="20"/>
                <w:szCs w:val="20"/>
              </w:rPr>
              <w:t>/2023</w:t>
            </w:r>
          </w:p>
        </w:tc>
      </w:tr>
      <w:tr w:rsidR="00881568" w:rsidRPr="00835218" w14:paraId="326D319E" w14:textId="77777777" w:rsidTr="0020291A">
        <w:tc>
          <w:tcPr>
            <w:tcW w:w="2072" w:type="dxa"/>
          </w:tcPr>
          <w:p w14:paraId="2B46CC6E" w14:textId="0F316F27" w:rsidR="00881568" w:rsidRPr="0083521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1ª Câmara</w:t>
            </w:r>
          </w:p>
        </w:tc>
        <w:tc>
          <w:tcPr>
            <w:tcW w:w="3480" w:type="dxa"/>
            <w:vAlign w:val="center"/>
          </w:tcPr>
          <w:p w14:paraId="561D61EA" w14:textId="47D53911" w:rsidR="0088156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</w:tcPr>
          <w:p w14:paraId="40423290" w14:textId="6D1225D4" w:rsidR="0088156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BE65B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820" w:type="dxa"/>
          </w:tcPr>
          <w:p w14:paraId="469A8F03" w14:textId="4B6D2C44" w:rsidR="00881568" w:rsidRPr="00835218" w:rsidRDefault="005D25D0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/2023</w:t>
            </w:r>
          </w:p>
        </w:tc>
      </w:tr>
      <w:tr w:rsidR="00881568" w:rsidRPr="00835218" w14:paraId="42F737F0" w14:textId="77777777" w:rsidTr="0020291A">
        <w:tc>
          <w:tcPr>
            <w:tcW w:w="2072" w:type="dxa"/>
          </w:tcPr>
          <w:p w14:paraId="1A70F89E" w14:textId="1BE4C76B" w:rsidR="0088156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2ª Câmara</w:t>
            </w:r>
          </w:p>
        </w:tc>
        <w:tc>
          <w:tcPr>
            <w:tcW w:w="3480" w:type="dxa"/>
            <w:vAlign w:val="center"/>
          </w:tcPr>
          <w:p w14:paraId="7AFE9678" w14:textId="41717688" w:rsidR="0088156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</w:tcPr>
          <w:p w14:paraId="13DF67F7" w14:textId="41D96318" w:rsidR="00881568" w:rsidRDefault="00881568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BE65B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820" w:type="dxa"/>
          </w:tcPr>
          <w:p w14:paraId="7CA437A2" w14:textId="13F14485" w:rsidR="00881568" w:rsidRPr="00835218" w:rsidRDefault="005D25D0" w:rsidP="0045033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071A04">
              <w:rPr>
                <w:rFonts w:ascii="Arial" w:eastAsia="Arial" w:hAnsi="Arial" w:cs="Arial"/>
                <w:sz w:val="20"/>
                <w:szCs w:val="20"/>
              </w:rPr>
              <w:t>/2023</w:t>
            </w:r>
          </w:p>
        </w:tc>
      </w:tr>
    </w:tbl>
    <w:p w14:paraId="1F2BD992" w14:textId="77777777" w:rsidR="00BA6D21" w:rsidRDefault="00BA6D21" w:rsidP="0045033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671700D" w14:textId="55A2D331" w:rsidR="007826F1" w:rsidRDefault="007826F1" w:rsidP="0045033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>O Boletim Informativo de Jurisprudência do TCE</w:t>
      </w:r>
      <w:r w:rsidR="004F6800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PR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apresenta</w:t>
      </w: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 decisões proferidas pelos Colegiados do Tribunal que receberam indicação de relevância jurisprudencial nas sessões de julgamento acima indicadas. A seleção das decisões leva em consideração o ineditismo da deliberação, a discussão no colegiado e/ou a reiteração de entendimento importante. O objetivo é facilitar ao interessado o acompanhamento dos acórdãos mais importantes do Tribunal.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>Para aprofundamento, o leitor pode acessar o inteiro teor das deliberações por meio dos links disponíveis.</w:t>
      </w:r>
    </w:p>
    <w:p w14:paraId="33948FCD" w14:textId="302DF5D6" w:rsidR="002B3FB5" w:rsidRDefault="007826F1" w:rsidP="0045033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As informações aqui apresentadas não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representam</w:t>
      </w: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 repositórios oficiais de jurisprudência.</w:t>
      </w:r>
    </w:p>
    <w:p w14:paraId="2063E048" w14:textId="77777777" w:rsidR="009C459B" w:rsidRDefault="009C459B" w:rsidP="0045033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sdt>
      <w:sdtPr>
        <w:id w:val="-785428060"/>
        <w:docPartObj>
          <w:docPartGallery w:val="Table of Contents"/>
          <w:docPartUnique/>
        </w:docPartObj>
      </w:sdtPr>
      <w:sdtEndPr>
        <w:rPr>
          <w:rFonts w:ascii="Arial" w:hAnsi="Arial"/>
          <w:b/>
          <w:iCs/>
          <w:noProof/>
          <w:sz w:val="20"/>
          <w:szCs w:val="24"/>
        </w:rPr>
      </w:sdtEndPr>
      <w:sdtContent>
        <w:p w14:paraId="4A5EA592" w14:textId="3000C087" w:rsidR="009C459B" w:rsidRPr="00835218" w:rsidRDefault="009C459B" w:rsidP="009C459B">
          <w:pPr>
            <w:shd w:val="clear" w:color="auto" w:fill="EEECE1" w:themeFill="background2"/>
            <w:tabs>
              <w:tab w:val="center" w:pos="4252"/>
            </w:tabs>
            <w:spacing w:after="0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sz w:val="20"/>
              <w:szCs w:val="20"/>
            </w:rPr>
            <w:tab/>
          </w:r>
          <w:r w:rsidR="00227CFF">
            <w:rPr>
              <w:rFonts w:ascii="Arial" w:eastAsia="Arial" w:hAnsi="Arial" w:cs="Arial"/>
              <w:b/>
              <w:bCs/>
              <w:sz w:val="20"/>
              <w:szCs w:val="20"/>
            </w:rPr>
            <w:t>SUMÁRIO</w:t>
          </w:r>
        </w:p>
        <w:p w14:paraId="7E059B9E" w14:textId="42A5212B" w:rsidR="006E07C9" w:rsidRDefault="009C459B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604750" w:history="1">
            <w:r w:rsidR="006E07C9" w:rsidRPr="00C07459">
              <w:rPr>
                <w:rStyle w:val="Hyperlink"/>
              </w:rPr>
              <w:t>1. Tomada de contas extraordinária. Comunicação de irregularidade. Achado 1: atuação dos licitantes em conluio (Pregão Presencial), irregularidade no enquadramento legal e omissão na aplicação de sanções. Achado 2: aquisição de quantitativo elevado de pneus. Ausência de comprovação de irregularidades. Improcedência da tomada de contas extraordinária. Indícios de formação irregular de grupos de empresas, com finalidade possivelmente ilegítima. Comunicação à CGF deste Tribunal e a outras instâncias competentes.</w:t>
            </w:r>
            <w:r w:rsidR="006E07C9">
              <w:rPr>
                <w:webHidden/>
              </w:rPr>
              <w:tab/>
            </w:r>
            <w:r w:rsidR="006E07C9">
              <w:rPr>
                <w:webHidden/>
              </w:rPr>
              <w:fldChar w:fldCharType="begin"/>
            </w:r>
            <w:r w:rsidR="006E07C9">
              <w:rPr>
                <w:webHidden/>
              </w:rPr>
              <w:instrText xml:space="preserve"> PAGEREF _Toc155604750 \h </w:instrText>
            </w:r>
            <w:r w:rsidR="006E07C9">
              <w:rPr>
                <w:webHidden/>
              </w:rPr>
            </w:r>
            <w:r w:rsidR="006E07C9">
              <w:rPr>
                <w:webHidden/>
              </w:rPr>
              <w:fldChar w:fldCharType="separate"/>
            </w:r>
            <w:r w:rsidR="006E07C9">
              <w:rPr>
                <w:webHidden/>
              </w:rPr>
              <w:t>1</w:t>
            </w:r>
            <w:r w:rsidR="006E07C9">
              <w:rPr>
                <w:webHidden/>
              </w:rPr>
              <w:fldChar w:fldCharType="end"/>
            </w:r>
          </w:hyperlink>
        </w:p>
        <w:p w14:paraId="382FFD93" w14:textId="4DE60AD0" w:rsidR="006E07C9" w:rsidRDefault="006E07C9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155604751" w:history="1">
            <w:r w:rsidRPr="00C07459">
              <w:rPr>
                <w:rStyle w:val="Hyperlink"/>
              </w:rPr>
              <w:t>2. Denúncia. Inadequação do 5º da Lei Orçamentária Anual por permitir a abertura de créditos adicionais suplementares ilimitados. Inocorrência. CGM pela improcedência. MPC pela procedência parcial. Pela improcedência da Denúncia.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_Toc155604751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88C1515" w14:textId="1CF62FA2" w:rsidR="009C459B" w:rsidRDefault="006E07C9" w:rsidP="006E07C9">
          <w:pPr>
            <w:pStyle w:val="Sumrio1"/>
          </w:pPr>
          <w:hyperlink w:anchor="_Toc155604752" w:history="1">
            <w:r w:rsidRPr="00C07459">
              <w:rPr>
                <w:rStyle w:val="Hyperlink"/>
              </w:rPr>
              <w:t>3. Recursos de Revisão. Departamento de Estradas de Rodagem do Paraná - DER. Tomada de Contas Extraordinária que apurou despesas irregulares em contratos de supervisão e apoio à fiscalização de obras e de serviços de engenharia rodoviária. Reforma parcial do Acórdão n.º 2443/22 do Tribunal Pleno. Divergência jurisprudencial em relação aos Achados. Conhecimento e provimento parcial dos recursos. Manutenção da irregularidade das contas, com a conversão de algumas falhas em ressalva e afastamento das respectivas multas.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_Toc155604752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  <w:r w:rsidR="009C459B">
            <w:rPr>
              <w:b/>
              <w:bCs w:val="0"/>
            </w:rPr>
            <w:fldChar w:fldCharType="end"/>
          </w:r>
        </w:p>
      </w:sdtContent>
    </w:sdt>
    <w:p w14:paraId="3F55A8CF" w14:textId="71932646" w:rsidR="00AA5CA4" w:rsidRPr="00835218" w:rsidRDefault="00133928" w:rsidP="006E07C9">
      <w:pPr>
        <w:shd w:val="clear" w:color="auto" w:fill="EEECE1" w:themeFill="background2"/>
        <w:tabs>
          <w:tab w:val="center" w:pos="4252"/>
        </w:tabs>
        <w:spacing w:before="240"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BE65B6">
        <w:rPr>
          <w:rFonts w:ascii="Arial" w:eastAsia="Arial" w:hAnsi="Arial" w:cs="Arial"/>
          <w:b/>
          <w:bCs/>
          <w:sz w:val="20"/>
          <w:szCs w:val="20"/>
        </w:rPr>
        <w:t>SEGUNDA CÂMARA</w:t>
      </w:r>
    </w:p>
    <w:p w14:paraId="1BCA032A" w14:textId="7F0FB65B" w:rsidR="00BE65B6" w:rsidRDefault="00BE65B6" w:rsidP="00227CFF">
      <w:pPr>
        <w:pStyle w:val="Ttulo1"/>
        <w:spacing w:before="120"/>
      </w:pPr>
      <w:bookmarkStart w:id="0" w:name="_Toc155604750"/>
      <w:r w:rsidRPr="004B4683">
        <w:t xml:space="preserve">1. Tomada de contas extraordinária. Comunicação de irregularidade. Achado 1: atuação dos licitantes em conluio (Pregão Presencial), irregularidade no enquadramento legal e </w:t>
      </w:r>
      <w:r w:rsidRPr="004B4683">
        <w:lastRenderedPageBreak/>
        <w:t>omissão na aplicação de sanções. Achado 2: aquisição de quantitativo elevado de pneus. Ausência de comprovação de irregularidades. Improcedência da tomada de contas extraordinária. Indícios de formação irregular de grupos de empresas, com finalidade possivelmente ilegítima. Comunicação à CGF deste Tribunal e a outras instâncias competentes.</w:t>
      </w:r>
      <w:bookmarkEnd w:id="0"/>
    </w:p>
    <w:p w14:paraId="1AFA25B2" w14:textId="23876212" w:rsidR="00BE65B6" w:rsidRPr="004B4683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B4683">
        <w:rPr>
          <w:rFonts w:ascii="Arial" w:hAnsi="Arial" w:cs="Arial"/>
          <w:sz w:val="20"/>
          <w:szCs w:val="20"/>
        </w:rPr>
        <w:t>Segundo se extrai da comunicação de irregularidade, as evidências da ocorrência do primeiro achado de fiscalização, “Atuação dos licitantes em conluio (Pregão Presencial nº. 13/2017), irregularidade no enquadramento legal e omissão na aplicação de sanções”, são, em síntese: (a) o oferecimento por licitantes de diferentes preços para os mesmos itens, compreendidos em diferentes lotes (atuação a princípio não condizente com a lógica econômica e competitiva), inclusive de acordo com “a histórica divisão do objeto ‘pneus’ pelos licitantes e seus respectivos grupos econômicos no Município”; (b) a participação de licitantes que se confundem, na medida em que apresentam uma ou mais das seguintes situações: sócios em comum, sócios parentes, mesmo nome fantasia, mesmo endereço, mesmo representante na licitação; (c) empresas licitantes, agrupadas por esses vínculos, têm contratos com Municípios do Estado do Paraná cujos valores totalizam montante incompatível com a condição de micro e pequena empresa, denotando um indevido fracionamento do faturamento para gozarem de vantagens jurídicas; (d) ausência de sede física da empresa F</w:t>
      </w:r>
      <w:r>
        <w:rPr>
          <w:rFonts w:ascii="Arial" w:hAnsi="Arial" w:cs="Arial"/>
          <w:sz w:val="20"/>
          <w:szCs w:val="20"/>
        </w:rPr>
        <w:t>.</w:t>
      </w:r>
      <w:r w:rsidRPr="004B4683">
        <w:rPr>
          <w:rFonts w:ascii="Arial" w:hAnsi="Arial" w:cs="Arial"/>
          <w:sz w:val="20"/>
          <w:szCs w:val="20"/>
        </w:rPr>
        <w:t>L.S</w:t>
      </w:r>
      <w:r>
        <w:rPr>
          <w:rFonts w:ascii="Arial" w:hAnsi="Arial" w:cs="Arial"/>
          <w:sz w:val="20"/>
          <w:szCs w:val="20"/>
        </w:rPr>
        <w:t>.</w:t>
      </w:r>
      <w:r w:rsidRPr="004B4683">
        <w:rPr>
          <w:rFonts w:ascii="Arial" w:hAnsi="Arial" w:cs="Arial"/>
          <w:sz w:val="20"/>
          <w:szCs w:val="20"/>
        </w:rPr>
        <w:t xml:space="preserve"> EIRELI – ME para a execução dos serviços; (e) sede da empresa A.M.M</w:t>
      </w:r>
      <w:r>
        <w:rPr>
          <w:rFonts w:ascii="Arial" w:hAnsi="Arial" w:cs="Arial"/>
          <w:sz w:val="20"/>
          <w:szCs w:val="20"/>
        </w:rPr>
        <w:t>.</w:t>
      </w:r>
      <w:r w:rsidRPr="004B4683">
        <w:rPr>
          <w:rFonts w:ascii="Arial" w:hAnsi="Arial" w:cs="Arial"/>
          <w:sz w:val="20"/>
          <w:szCs w:val="20"/>
        </w:rPr>
        <w:t xml:space="preserve"> constituída unicamente por um depósito; (f) não verificação, pelo pregoeiro, quanto ao preenchimento, pelos licitantes, das condições legais e também da inocorrência de vedações referentes ao enquadramento como microempresa ou empresa de pequeno porte.</w:t>
      </w:r>
    </w:p>
    <w:p w14:paraId="19597199" w14:textId="5CFE84BC" w:rsidR="00BE65B6" w:rsidRDefault="00BE65B6" w:rsidP="00227CF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4B4683">
        <w:rPr>
          <w:rFonts w:ascii="Arial" w:hAnsi="Arial" w:cs="Arial"/>
          <w:sz w:val="20"/>
          <w:szCs w:val="20"/>
        </w:rPr>
        <w:t>Diante das informações comprovadas na comunicação de irregularidade e apresentadas nos quadros acima, entendo que há um conjunto de indícios que aponta, com efeito, para a vinculação entre as empresas referidas. Por outro lado, entendo que a COFIT não demonstrou a ocorrência das alegadas violações aos incisos III, IV e V do § 4 do artigo 3º da Lei Complementar 123/2006, já que não comprovou que os Municípios efetuaram pagamentos às empresas em valor global superior à receita bruta prevista na lei, como bem observa a CGM em sua instrução conclusiva.</w:t>
      </w:r>
      <w:r>
        <w:rPr>
          <w:rFonts w:ascii="Arial" w:hAnsi="Arial" w:cs="Arial"/>
          <w:sz w:val="20"/>
          <w:szCs w:val="20"/>
        </w:rPr>
        <w:t xml:space="preserve"> </w:t>
      </w:r>
      <w:r w:rsidRPr="004B4683">
        <w:rPr>
          <w:rFonts w:ascii="Arial" w:hAnsi="Arial" w:cs="Arial"/>
          <w:sz w:val="20"/>
          <w:szCs w:val="20"/>
        </w:rPr>
        <w:t>Adicionalmente, no caso dos incisos IV e V, faz-se necessária, respectivamente, a evidenciação da participação de mais de 10% no capital de outra empresa e a condição de administrador ou equiparado. Assim, não há como dar por caracterizada a irregularidade referente à segunda parte do primeiro achado de fiscalização, ainda que haja indícios suficientes para a comunicação dos fatos à Coordenadoria-Geral de Fiscalização deste Tribunal e às demais esferas competentes, para as apurações eventualmente cabíveis, de acordo com suas atribuições. Por fim, o segundo achado de fiscalização está sintetizado como a “Aquisição de quantitativo elevado de pneus”, observo que a COFIT não apresentou evidências para que as aquisições fossem consideradas irregulares. Na comunicação de irregularidade, por sua vez, a COFIT entendeu que “Com relação ao elevado quantitativo adquirido pelo Município, entende-se que as informações existentes nesta Corte de Contas, prima facie não demovem as razões expostas pelo Município em sede da resposta ao APA”. Assim, a suposta irregularidade não restou caracterizada, não se mostrando pertinente a proposta de monitoramento,</w:t>
      </w:r>
      <w:r>
        <w:rPr>
          <w:rFonts w:ascii="Arial" w:hAnsi="Arial" w:cs="Arial"/>
          <w:sz w:val="20"/>
          <w:szCs w:val="20"/>
        </w:rPr>
        <w:t xml:space="preserve"> </w:t>
      </w:r>
      <w:r w:rsidRPr="004B4683">
        <w:rPr>
          <w:rFonts w:ascii="Arial" w:hAnsi="Arial" w:cs="Arial"/>
          <w:sz w:val="20"/>
          <w:szCs w:val="20"/>
        </w:rPr>
        <w:t xml:space="preserve">diante da ausência de indícios de seu cabimento e em razão da necessidade de racionalização do </w:t>
      </w:r>
      <w:r w:rsidRPr="004B4683">
        <w:rPr>
          <w:rFonts w:ascii="Arial" w:hAnsi="Arial" w:cs="Arial"/>
          <w:sz w:val="20"/>
          <w:szCs w:val="20"/>
        </w:rPr>
        <w:lastRenderedPageBreak/>
        <w:t>exercício do controle externo, para que seja desempenhado com eficiência. G</w:t>
      </w:r>
      <w:r>
        <w:rPr>
          <w:rFonts w:ascii="Arial" w:hAnsi="Arial" w:cs="Arial"/>
          <w:sz w:val="20"/>
          <w:szCs w:val="20"/>
        </w:rPr>
        <w:t>.</w:t>
      </w:r>
      <w:r w:rsidRPr="004B468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. </w:t>
      </w:r>
      <w:r w:rsidRPr="004B4683">
        <w:rPr>
          <w:rFonts w:ascii="Arial" w:hAnsi="Arial" w:cs="Arial"/>
          <w:sz w:val="20"/>
          <w:szCs w:val="20"/>
        </w:rPr>
        <w:t>Ltda., atual denominação empresarial de F.M.G</w:t>
      </w:r>
      <w:r>
        <w:rPr>
          <w:rFonts w:ascii="Arial" w:hAnsi="Arial" w:cs="Arial"/>
          <w:sz w:val="20"/>
          <w:szCs w:val="20"/>
        </w:rPr>
        <w:t>.</w:t>
      </w:r>
      <w:r w:rsidRPr="004B4683">
        <w:rPr>
          <w:rFonts w:ascii="Arial" w:hAnsi="Arial" w:cs="Arial"/>
          <w:sz w:val="20"/>
          <w:szCs w:val="20"/>
        </w:rPr>
        <w:t xml:space="preserve"> - ACESSÓRIOS EPP, deverá ser incluída na autuação, conforme requerido em sua defesa. Diante do exposto, VOTO: I. Pela improcedência da tomada de contas extraordinária; II. Pelo registro, na autuação, de G</w:t>
      </w:r>
      <w:r>
        <w:rPr>
          <w:rFonts w:ascii="Arial" w:hAnsi="Arial" w:cs="Arial"/>
          <w:sz w:val="20"/>
          <w:szCs w:val="20"/>
        </w:rPr>
        <w:t>.</w:t>
      </w:r>
      <w:r w:rsidRPr="004B468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 L</w:t>
      </w:r>
      <w:r w:rsidRPr="004B4683">
        <w:rPr>
          <w:rFonts w:ascii="Arial" w:hAnsi="Arial" w:cs="Arial"/>
          <w:sz w:val="20"/>
          <w:szCs w:val="20"/>
        </w:rPr>
        <w:t>tda. (com seus procuradores), atual denominação empresarial de F.M.G</w:t>
      </w:r>
      <w:r>
        <w:rPr>
          <w:rFonts w:ascii="Arial" w:hAnsi="Arial" w:cs="Arial"/>
          <w:sz w:val="20"/>
          <w:szCs w:val="20"/>
        </w:rPr>
        <w:t>.</w:t>
      </w:r>
      <w:r w:rsidRPr="004B4683">
        <w:rPr>
          <w:rFonts w:ascii="Arial" w:hAnsi="Arial" w:cs="Arial"/>
          <w:sz w:val="20"/>
          <w:szCs w:val="20"/>
        </w:rPr>
        <w:t xml:space="preserve"> - ACESSÓRIOS EPP; III. Pelo encaminhamento à Coordenadoria-Geral de Fiscalização deste Tribunal para ciência, nestes autos, e para as providências, em procedimento próprio, que porventura considerar devidas (à luz dos critérios previstos no § 3º do artigo 151-A do Regimento Interno) em razão dos indícios apontados pela COFIT quanto à formação irregular de grupos de empresas, possivelmente com finalidade ilegítima; IV. Pela comunicação do teor dos autos à Secretaria da Receita Federal do Brasil, à Secretaria de Estado da Fazenda do Paraná e ao Ministério Público Estadual, para ciência e as providências que porventura considerarem cabíveis, no âmbito de suas competências, dados os indícios de formação irregular de grupos de empresas, possivelmente com finalidade ilegítima.</w:t>
      </w:r>
    </w:p>
    <w:p w14:paraId="19D8FD54" w14:textId="4C367224" w:rsidR="00BE65B6" w:rsidRPr="0014324A" w:rsidRDefault="00BE65B6" w:rsidP="008F02D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Tomada de Contas Extraordinária</w:t>
      </w:r>
      <w:r w:rsidRPr="0014324A">
        <w:rPr>
          <w:rFonts w:ascii="Arial" w:hAnsi="Arial" w:cs="Arial"/>
          <w:sz w:val="20"/>
          <w:szCs w:val="20"/>
        </w:rPr>
        <w:t xml:space="preserve"> n.</w:t>
      </w:r>
      <w:r w:rsidR="008F02DB">
        <w:rPr>
          <w:rFonts w:ascii="Arial" w:hAnsi="Arial" w:cs="Arial"/>
          <w:sz w:val="20"/>
          <w:szCs w:val="20"/>
        </w:rPr>
        <w:t>º</w:t>
      </w:r>
      <w:r w:rsidRPr="001432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471133/2017</w:t>
      </w:r>
      <w:r w:rsidRPr="0014324A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="008F02DB">
          <w:rPr>
            <w:rStyle w:val="Hyperlink"/>
            <w:rFonts w:ascii="Arial" w:hAnsi="Arial" w:cs="Arial"/>
            <w:sz w:val="20"/>
            <w:szCs w:val="20"/>
          </w:rPr>
          <w:t>Acórdão n.º 3280/2023</w:t>
        </w:r>
      </w:hyperlink>
      <w:r w:rsidRPr="0014324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Segunda</w:t>
      </w:r>
      <w:r w:rsidRPr="0014324A">
        <w:rPr>
          <w:rFonts w:ascii="Arial" w:hAnsi="Arial" w:cs="Arial"/>
          <w:sz w:val="20"/>
          <w:szCs w:val="20"/>
        </w:rPr>
        <w:t xml:space="preserve"> Câmara, Relator </w:t>
      </w:r>
      <w:r>
        <w:rPr>
          <w:rFonts w:ascii="Arial" w:hAnsi="Arial" w:cs="Arial"/>
          <w:sz w:val="20"/>
          <w:szCs w:val="20"/>
        </w:rPr>
        <w:t>Conselheiro Ivan Lelis Bonilha</w:t>
      </w:r>
      <w:r w:rsidRPr="0014324A">
        <w:rPr>
          <w:rFonts w:ascii="Arial" w:hAnsi="Arial" w:cs="Arial"/>
          <w:sz w:val="20"/>
          <w:szCs w:val="20"/>
        </w:rPr>
        <w:t xml:space="preserve">, julgado em </w:t>
      </w:r>
      <w:r>
        <w:rPr>
          <w:rFonts w:ascii="Arial" w:hAnsi="Arial" w:cs="Arial"/>
          <w:sz w:val="20"/>
          <w:szCs w:val="20"/>
        </w:rPr>
        <w:t>16</w:t>
      </w:r>
      <w:r w:rsidRPr="0014324A">
        <w:rPr>
          <w:rFonts w:ascii="Arial" w:hAnsi="Arial" w:cs="Arial"/>
          <w:sz w:val="20"/>
          <w:szCs w:val="20"/>
        </w:rPr>
        <w:t xml:space="preserve">/10/2023 e veiculado em </w:t>
      </w:r>
      <w:r>
        <w:rPr>
          <w:rFonts w:ascii="Arial" w:hAnsi="Arial" w:cs="Arial"/>
          <w:sz w:val="20"/>
          <w:szCs w:val="20"/>
        </w:rPr>
        <w:t>30</w:t>
      </w:r>
      <w:r w:rsidRPr="0014324A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0</w:t>
      </w:r>
      <w:r w:rsidRPr="0014324A">
        <w:rPr>
          <w:rFonts w:ascii="Arial" w:hAnsi="Arial" w:cs="Arial"/>
          <w:sz w:val="20"/>
          <w:szCs w:val="20"/>
        </w:rPr>
        <w:t>/2023.</w:t>
      </w:r>
    </w:p>
    <w:p w14:paraId="1A430D15" w14:textId="4D37BFB3" w:rsidR="0060512A" w:rsidRPr="00835218" w:rsidRDefault="0060512A" w:rsidP="00450335">
      <w:pPr>
        <w:shd w:val="clear" w:color="auto" w:fill="EEECE1" w:themeFill="background2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35218">
        <w:rPr>
          <w:rFonts w:ascii="Arial" w:eastAsia="Arial" w:hAnsi="Arial" w:cs="Arial"/>
          <w:b/>
          <w:bCs/>
          <w:sz w:val="20"/>
          <w:szCs w:val="20"/>
        </w:rPr>
        <w:t>TRIBUNAL PLENO</w:t>
      </w:r>
    </w:p>
    <w:p w14:paraId="7847C2F7" w14:textId="5E8BCED5" w:rsidR="00E7407C" w:rsidRDefault="008F02DB" w:rsidP="008F02DB">
      <w:pPr>
        <w:pStyle w:val="Ttulo1"/>
        <w:spacing w:before="120"/>
      </w:pPr>
      <w:bookmarkStart w:id="1" w:name="_Toc155604751"/>
      <w:r>
        <w:t>2</w:t>
      </w:r>
      <w:r w:rsidR="00E7407C" w:rsidRPr="00972DAB">
        <w:t>. D</w:t>
      </w:r>
      <w:r w:rsidR="00E7407C">
        <w:t>enúncia</w:t>
      </w:r>
      <w:r w:rsidR="00E7407C" w:rsidRPr="00972DAB">
        <w:t>. Inadequação do 5º da Lei Orçamentária Anual por permitir a abertura de créditos adicionais suplementares ilimitados. Inocorrência. CGM pela improcedência. MPC pela procedência parcial. Pela improcedência da Denúncia.</w:t>
      </w:r>
      <w:bookmarkEnd w:id="1"/>
    </w:p>
    <w:p w14:paraId="0F652256" w14:textId="332E1605" w:rsidR="00E7407C" w:rsidRDefault="00E7407C" w:rsidP="00227CF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3247">
        <w:rPr>
          <w:rFonts w:ascii="Arial" w:hAnsi="Arial" w:cs="Arial"/>
          <w:sz w:val="20"/>
          <w:szCs w:val="20"/>
        </w:rPr>
        <w:t xml:space="preserve">Trata-se de Denúncia, nos termos do art. 34 da Lei Complementar nº 113/20051 c/c com o artigo 275 do Regimento Interno deste Tribunal, formulada por G.M.L em desfavor dos Poderes Executivo e Legislativo do M.A. devido a violação do art. 5º, §4º, da Lei de Responsabilidade Fiscal em virtude de previsão, nas Leis Orçamentárias do Município Denunciado dos anos de 2003 a 2023, de dispositivo autorizado a abertura de créditos suplementares de forma ilimitada. A denunciante, em síntese, narra que o art. 5º da Lei Orçamentária Anual do ano de 2023, reproduzido nas Leis Orçamentárias de exercícios anteriores, possibilita a não oneração dos limites para a abertura de créditos suplementares por ocasião da insuficiência de dotações em diversos itens de despesas tidos como significativos, além de relatar a sonegação de informação de natureza pública, o que configuraria infringência a Lei de Acesso à Informação. Inexistindo questões preliminares a serem examinadas, passo à análise de mérito. Em termos normativos, o art. 167, V e VII, da Constituição Federal veda a abertura de crédito adicional suplementar ou especial sem prévia autorização legislativa e a concessão ou utilização de créditos ilimitados na respectiva Lei Orçamentária Anual (LOA), sendo que o art. 165, § 8º, da Carta Maior autoriza, como exceção ao princípio da exclusividade orçamentária, que conste na referida peça orçamentária permissão para a abertura de créditos suplementares. Dentro desse arranjo normativo, os artigos 7º, I, e 43 da Lei Federal 4.320/1964 admitem a inserção, na lei orçamentária, de regra autorizando a abertura de créditos adicionais suplementares até determinada importância, desde que exista recursos disponíveis para tanto. Em termos práticos, a Leis Orçamentária Anual pode autorizar a abertura de créditos adicionais suplementares mediante a fixação de um valor absoluto ou um percentual sobre as despesas fixadas. No caso </w:t>
      </w:r>
      <w:r w:rsidRPr="00E23247">
        <w:rPr>
          <w:rFonts w:ascii="Arial" w:hAnsi="Arial" w:cs="Arial"/>
          <w:sz w:val="20"/>
          <w:szCs w:val="20"/>
        </w:rPr>
        <w:lastRenderedPageBreak/>
        <w:t>concreto, os elementos de convicção retratados na Instrução nº 2854/23-CGM evidenciam que a redação do art. 5º da Lei Orçamentária Anual não viola as disposições constitucionais e legais retromencionadas. Verifica-se, portanto, que o percentual de incremento da peça orçamentária do exercício de 2022 em virtude da abertura de créditos adicionais, independentemente de sua natureza, deu-se em patamares razoáveis, inexistindo qualquer violação aos preceitos do art. 167, V e VII, da Constituição Federal. Diante do exposto, e em respeitosa divergência com o posicionamento do Ministério Público de Contas, proponho o julgamento pela improcedência desta denúncia. Ante todo o exposto, VOTO pela IMPROCEDÊNCIA da presente Denúncia.</w:t>
      </w:r>
    </w:p>
    <w:p w14:paraId="005475CB" w14:textId="6E53DC0B" w:rsidR="00E7407C" w:rsidRDefault="00E7407C" w:rsidP="00227CFF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Denúncia n.</w:t>
      </w:r>
      <w:r w:rsidR="008F02DB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116838/2023</w:t>
      </w:r>
      <w:r w:rsidRPr="00B03F8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8F02DB">
          <w:rPr>
            <w:rStyle w:val="Hyperlink"/>
            <w:rFonts w:ascii="Arial" w:hAnsi="Arial" w:cs="Arial"/>
            <w:sz w:val="20"/>
            <w:szCs w:val="20"/>
          </w:rPr>
          <w:t>Acórdão n.º 3426/2023</w:t>
        </w:r>
      </w:hyperlink>
      <w:hyperlink r:id="rId14" w:history="1"/>
      <w:r w:rsidRPr="00B03F82">
        <w:rPr>
          <w:rFonts w:ascii="Arial" w:hAnsi="Arial" w:cs="Arial"/>
          <w:sz w:val="20"/>
          <w:szCs w:val="20"/>
        </w:rPr>
        <w:t xml:space="preserve">, Sessão Ordinária do Tribunal Pleno, Relator Conselheiro </w:t>
      </w:r>
      <w:r>
        <w:rPr>
          <w:rFonts w:ascii="Arial" w:hAnsi="Arial" w:cs="Arial"/>
          <w:sz w:val="20"/>
          <w:szCs w:val="20"/>
        </w:rPr>
        <w:t>Augustinho Zucchi</w:t>
      </w:r>
      <w:r w:rsidRPr="00B03F82">
        <w:rPr>
          <w:rFonts w:ascii="Arial" w:hAnsi="Arial" w:cs="Arial"/>
          <w:sz w:val="20"/>
          <w:szCs w:val="20"/>
        </w:rPr>
        <w:t>, julgado em 2</w:t>
      </w:r>
      <w:r>
        <w:rPr>
          <w:rFonts w:ascii="Arial" w:hAnsi="Arial" w:cs="Arial"/>
          <w:sz w:val="20"/>
          <w:szCs w:val="20"/>
        </w:rPr>
        <w:t>3</w:t>
      </w:r>
      <w:r w:rsidRPr="00B03F82">
        <w:rPr>
          <w:rFonts w:ascii="Arial" w:hAnsi="Arial" w:cs="Arial"/>
          <w:sz w:val="20"/>
          <w:szCs w:val="20"/>
        </w:rPr>
        <w:t xml:space="preserve">/10/2023 e veiculado em </w:t>
      </w:r>
      <w:r>
        <w:rPr>
          <w:rFonts w:ascii="Arial" w:hAnsi="Arial" w:cs="Arial"/>
          <w:sz w:val="20"/>
          <w:szCs w:val="20"/>
        </w:rPr>
        <w:t>31</w:t>
      </w:r>
      <w:r w:rsidRPr="00B03F8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</w:t>
      </w:r>
      <w:r w:rsidRPr="00B03F82">
        <w:rPr>
          <w:rFonts w:ascii="Arial" w:hAnsi="Arial" w:cs="Arial"/>
          <w:sz w:val="20"/>
          <w:szCs w:val="20"/>
        </w:rPr>
        <w:t>0/2023.</w:t>
      </w:r>
    </w:p>
    <w:p w14:paraId="6E7EE094" w14:textId="50D202C8" w:rsidR="00BE65B6" w:rsidRPr="008F02DB" w:rsidRDefault="00AE533D" w:rsidP="008F02DB">
      <w:pPr>
        <w:pStyle w:val="Ttulo1"/>
      </w:pPr>
      <w:bookmarkStart w:id="2" w:name="_Toc155604752"/>
      <w:r>
        <w:t>3</w:t>
      </w:r>
      <w:r w:rsidR="00E7407C">
        <w:t xml:space="preserve">. </w:t>
      </w:r>
      <w:r w:rsidR="00BE65B6">
        <w:t>Recursos de Revisão. Departamento de Estradas de Rodagem do Paraná - DER. Tomada de Contas Extraordinária que apurou despesas irregulares em contratos de supervisão e apoio à fiscalização de obras e de serviços de engenharia rodoviária. Reforma parcial do Acórdão n.º 2443/22 do Tribunal Pleno. Divergência jurisprudencial em relação aos Achados. Conhecimento e provimento parcial dos recursos. Manutenção da irregularidade das contas, com a conversão de algumas falhas em ressalva e afastamento das respectivas multas.</w:t>
      </w:r>
      <w:bookmarkEnd w:id="2"/>
    </w:p>
    <w:p w14:paraId="147A7625" w14:textId="23C19CC2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 xml:space="preserve">Todavia, sopeso que, em princípio, teria se mostrado exíguo o tempo para adoção das medidas corretivas pelo DER, tendo em vista que, em 10/05/2018, efetivou-se a determinação mediante o Despacho n.º 592/18-GCAML (peça 25 dos autos 262058/18), homologado na sessão de 10/05/2018 (Acórdão 1135/18, peça 47). Por sua vez, os procedimentos licitatórios ora analisados3 deram-se durante o exercício de 2018, com a expedição da Declaração de Adequação da Despesa, com respectiva dotação orçamentária, em 14/06/2018, portanto, 35 dias após a primeira decisão. </w:t>
      </w:r>
    </w:p>
    <w:p w14:paraId="39131DF8" w14:textId="77777777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 xml:space="preserve">O afastamento de sanções em face do recorrente é reforçado pela insuficiência de estrutura do Controle Interno do DER. Nesse sentido, em sua defesa, na peça 123, foram relatadas falhas que limitavam a atuação da referida Unidade pela falta de profissionais. O recorrente destacou a inexistência nos quadros do Controle Interno de servidor da área contábil, o que teria dificultado a atuação especificamente na área ora questionada por esta Corte. </w:t>
      </w:r>
    </w:p>
    <w:p w14:paraId="1DC76337" w14:textId="37A43FBD" w:rsidR="00BE65B6" w:rsidRDefault="00227CFF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2D71733C" w14:textId="4A5AF074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 xml:space="preserve">A deficiência da estrutura do Controle Interno da Entidade é confirmada pela Sra. Silvana Bastos </w:t>
      </w:r>
      <w:proofErr w:type="spellStart"/>
      <w:r w:rsidRPr="00BE65B6">
        <w:rPr>
          <w:rFonts w:ascii="Arial" w:hAnsi="Arial" w:cs="Arial"/>
          <w:sz w:val="20"/>
          <w:szCs w:val="20"/>
        </w:rPr>
        <w:t>Stumm</w:t>
      </w:r>
      <w:proofErr w:type="spellEnd"/>
      <w:r w:rsidRPr="00BE65B6">
        <w:rPr>
          <w:rFonts w:ascii="Arial" w:hAnsi="Arial" w:cs="Arial"/>
          <w:sz w:val="20"/>
          <w:szCs w:val="20"/>
        </w:rPr>
        <w:t xml:space="preserve">, Agente de Controle Interno, em sua defesa na peça 86. </w:t>
      </w:r>
    </w:p>
    <w:p w14:paraId="745E8ADA" w14:textId="77777777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 xml:space="preserve">Nesse sentido, as sanções ora discutidas devem ser analisadas diante das dificuldades reais dos agentes, conforme art. 22, caput, da Lei de Introdução às Normas do Direito Brasileiro, o que leva ao juízo de razoabilidade e proporcionalidade. </w:t>
      </w:r>
    </w:p>
    <w:p w14:paraId="03373EBF" w14:textId="174FB0A9" w:rsidR="00BE65B6" w:rsidRDefault="00227CFF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6A01C707" w14:textId="0535FCFE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 xml:space="preserve">No presente caso, a defesa apresentada pelo ora recorrente, na peça 123, também evidenciou a atuação do controle interno no limite de suas atribuições, sobretudo, diante da precariedade de sua estrutura. Nas fls. 9/10 e 19 da peça 123, o recorrente comprovou o encaminhamento de </w:t>
      </w:r>
      <w:r w:rsidRPr="00BE65B6">
        <w:rPr>
          <w:rFonts w:ascii="Arial" w:hAnsi="Arial" w:cs="Arial"/>
          <w:sz w:val="20"/>
          <w:szCs w:val="20"/>
        </w:rPr>
        <w:lastRenderedPageBreak/>
        <w:t xml:space="preserve">e-mails a áreas competentes, solicitando providências para atendimento das determinações deste Tribunal, sem, contudo, obter êxito. Assim, não se evidenciou propriamente omissão. </w:t>
      </w:r>
    </w:p>
    <w:p w14:paraId="613D3EDE" w14:textId="77777777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>Em seu conjunto, os fatos ora verificados evidenciam a divergência das decisões ora impugnadas com o entendimento consubstanciado no Acórdão n.º 583/22 do Tribunal Pleno, que, ao tratar de circunstância semelhante, no Achado 2, intitulado “Uso indevido de receitas de capital para pagamento de despesas correntes custeadas com a Fonte 125”, converteu a falha em causa de ressalva das contas.</w:t>
      </w:r>
    </w:p>
    <w:p w14:paraId="05A1B700" w14:textId="641609CF" w:rsidR="00BE65B6" w:rsidRPr="00BE65B6" w:rsidRDefault="00227CFF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E65B6" w:rsidRPr="00BE65B6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14:paraId="27F62124" w14:textId="77777777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>Assim, no precedente, a retificação do item foi proposta por meio de recomendação, sem que a falha ensejasse a nulidade do certame ou a opção de multa. Portanto, no presente caso, seguindo as decisões ora citadas, tendo em vista os princípios da razoabilidade e da proporcionalidade, dou provimento ao recurso em relação ao presente item para converter o Achado 5 em ressalva e afastar a aplicação da multa do art. 87, inciso III, alínea d, da Lei Complementar Estadual n.º 113/2005 em face dos responsáveis:</w:t>
      </w:r>
    </w:p>
    <w:p w14:paraId="28622704" w14:textId="16BB368F" w:rsidR="00BE65B6" w:rsidRPr="00BE65B6" w:rsidRDefault="00227CFF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E65B6" w:rsidRPr="00BE65B6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14:paraId="587F7C20" w14:textId="77777777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>Nessa toada, diante de dispositivos aparentemente contraditórios, cabe uma análise teleológica e sistemática da vedação da subcontratação do objeto principal do contrato. A locação de veículos seria atividade secundária, complementar, não afetando primordialmente a execução contratual.</w:t>
      </w:r>
    </w:p>
    <w:p w14:paraId="2DC9AFE4" w14:textId="7BDCFB09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 xml:space="preserve">No presente caso, não houve a evidência de qualquer dano em razão da locação de veículos. Ademais, deve-se ressaltar que essa possibilidade tende a ampliar o número de concorrentes da licitação. </w:t>
      </w:r>
    </w:p>
    <w:p w14:paraId="2D6D969F" w14:textId="77777777" w:rsidR="00BE65B6" w:rsidRP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 xml:space="preserve">Portanto, as falhas apontadas pela 4ª Inspetoria de Controle Externo devem servir como recomendação ao DER a fim de que aperfeiçoe seus editais de licitação, com vistas a evitar a contradição de suas normas. </w:t>
      </w:r>
    </w:p>
    <w:p w14:paraId="619516AA" w14:textId="14F661DE" w:rsidR="00BE65B6" w:rsidRPr="00AE533D" w:rsidRDefault="00BE65B6" w:rsidP="00AE533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BE65B6">
        <w:rPr>
          <w:rFonts w:ascii="Arial" w:hAnsi="Arial" w:cs="Arial"/>
          <w:sz w:val="20"/>
          <w:szCs w:val="20"/>
        </w:rPr>
        <w:t>Entendo, assim, que a falha pode ser convertida em causa de ressalva das contas, afastando-se as multas anteriormente aplicadas aos gestores.</w:t>
      </w:r>
    </w:p>
    <w:p w14:paraId="2F93671A" w14:textId="6E7492A3" w:rsidR="00BE65B6" w:rsidRPr="00BE65B6" w:rsidRDefault="008F02DB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Recurso de Revisão</w:t>
      </w:r>
      <w:r w:rsidR="00BE65B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E65B6" w:rsidRPr="4ACCC83B">
        <w:rPr>
          <w:rFonts w:ascii="Arial" w:eastAsia="Arial" w:hAnsi="Arial" w:cs="Arial"/>
          <w:color w:val="000000" w:themeColor="text1"/>
          <w:sz w:val="20"/>
          <w:szCs w:val="20"/>
        </w:rPr>
        <w:t>n.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º</w:t>
      </w:r>
      <w:r w:rsidR="00BE65B6" w:rsidRPr="4ACCC83B">
        <w:rPr>
          <w:rFonts w:ascii="Arial" w:eastAsia="Arial" w:hAnsi="Arial" w:cs="Arial"/>
          <w:sz w:val="20"/>
          <w:szCs w:val="20"/>
        </w:rPr>
        <w:t xml:space="preserve"> </w:t>
      </w:r>
      <w:r w:rsidR="00BE65B6">
        <w:rPr>
          <w:rFonts w:ascii="Arial" w:eastAsia="Arial" w:hAnsi="Arial" w:cs="Arial"/>
          <w:sz w:val="20"/>
          <w:szCs w:val="20"/>
        </w:rPr>
        <w:t>704035/22</w:t>
      </w:r>
      <w:r w:rsidR="00BE65B6" w:rsidRPr="4ACCC83B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5">
        <w:r>
          <w:rPr>
            <w:rStyle w:val="Hyperlink"/>
            <w:rFonts w:ascii="Arial" w:eastAsia="Arial" w:hAnsi="Arial" w:cs="Arial"/>
            <w:sz w:val="20"/>
            <w:szCs w:val="20"/>
          </w:rPr>
          <w:t>Acórdão n.º 3544/23</w:t>
        </w:r>
      </w:hyperlink>
      <w:r w:rsidR="00BE65B6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E65B6" w:rsidRPr="00BE65B6">
        <w:rPr>
          <w:rFonts w:ascii="Arial" w:hAnsi="Arial" w:cs="Arial"/>
          <w:sz w:val="20"/>
          <w:szCs w:val="20"/>
        </w:rPr>
        <w:t xml:space="preserve">Tribunal Pleno, </w:t>
      </w:r>
      <w:r w:rsidRPr="00BE65B6">
        <w:rPr>
          <w:rFonts w:ascii="Arial" w:hAnsi="Arial" w:cs="Arial"/>
          <w:sz w:val="20"/>
          <w:szCs w:val="20"/>
        </w:rPr>
        <w:t xml:space="preserve">Conselheiro Ivens </w:t>
      </w:r>
      <w:proofErr w:type="spellStart"/>
      <w:r w:rsidRPr="00BE65B6">
        <w:rPr>
          <w:rFonts w:ascii="Arial" w:hAnsi="Arial" w:cs="Arial"/>
          <w:sz w:val="20"/>
          <w:szCs w:val="20"/>
        </w:rPr>
        <w:t>Zschoerper</w:t>
      </w:r>
      <w:proofErr w:type="spellEnd"/>
      <w:r w:rsidRPr="00BE65B6">
        <w:rPr>
          <w:rFonts w:ascii="Arial" w:hAnsi="Arial" w:cs="Arial"/>
          <w:sz w:val="20"/>
          <w:szCs w:val="20"/>
        </w:rPr>
        <w:t xml:space="preserve"> Linhares</w:t>
      </w:r>
      <w:r w:rsidR="00BE65B6" w:rsidRPr="00BE65B6">
        <w:rPr>
          <w:rFonts w:ascii="Arial" w:hAnsi="Arial" w:cs="Arial"/>
          <w:sz w:val="20"/>
          <w:szCs w:val="20"/>
        </w:rPr>
        <w:t>, julgado em 01/11/2023 e veiculado em 09/11/2023.</w:t>
      </w:r>
    </w:p>
    <w:p w14:paraId="59AB5A44" w14:textId="77777777" w:rsidR="00BE65B6" w:rsidRDefault="00BE65B6" w:rsidP="004503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E880263" w14:textId="3A29B5E5" w:rsidR="00202E25" w:rsidRDefault="00345F4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Jurisprudência selecionada:</w:t>
      </w:r>
    </w:p>
    <w:p w14:paraId="32543C9D" w14:textId="77777777" w:rsidR="00345F45" w:rsidRDefault="00345F4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871E8ED" w14:textId="73501C08" w:rsidR="00345F45" w:rsidRDefault="00345F4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Supremo Tribunal Federal</w:t>
      </w:r>
    </w:p>
    <w:p w14:paraId="515F91FA" w14:textId="77777777" w:rsidR="00450335" w:rsidRDefault="0045033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34DA0477" w14:textId="03A0F83B" w:rsidR="004552B2" w:rsidRDefault="0045033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bCs/>
          <w:color w:val="000000"/>
          <w:sz w:val="20"/>
          <w:szCs w:val="20"/>
        </w:rPr>
        <w:t>Teses com Repercussão Geral</w:t>
      </w:r>
    </w:p>
    <w:p w14:paraId="13DEFF87" w14:textId="77777777" w:rsidR="00450335" w:rsidRDefault="0045033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587C92A0" w14:textId="5A6FF38B" w:rsidR="00450335" w:rsidRDefault="0045033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bCs/>
          <w:color w:val="000000"/>
          <w:sz w:val="20"/>
          <w:szCs w:val="20"/>
        </w:rPr>
        <w:t>- Tema 865</w:t>
      </w:r>
    </w:p>
    <w:p w14:paraId="347DE3D2" w14:textId="3AE667A3" w:rsidR="00450335" w:rsidRDefault="0045033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450335">
        <w:rPr>
          <w:rFonts w:ascii="Arial" w:eastAsia="Arial" w:hAnsi="Arial" w:cs="Arial"/>
          <w:bCs/>
          <w:color w:val="000000"/>
          <w:sz w:val="20"/>
          <w:szCs w:val="20"/>
        </w:rPr>
        <w:t>No caso de necessidade de complementação da indenização, ao final do processo expropriatório, deverá o pagamento ser feito mediante depósito judicial direto se o Poder Público não estiver em dia com os precatórios.</w:t>
      </w:r>
    </w:p>
    <w:p w14:paraId="5995EC87" w14:textId="77777777" w:rsidR="00450335" w:rsidRDefault="0045033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79457DF6" w14:textId="5262036E" w:rsidR="00450335" w:rsidRDefault="00450335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 xml:space="preserve">- Tema </w:t>
      </w:r>
      <w:r w:rsidR="009C459B">
        <w:rPr>
          <w:rFonts w:ascii="Arial" w:eastAsia="Arial" w:hAnsi="Arial" w:cs="Arial"/>
          <w:bCs/>
          <w:color w:val="000000"/>
          <w:sz w:val="20"/>
          <w:szCs w:val="20"/>
        </w:rPr>
        <w:t>1015</w:t>
      </w:r>
    </w:p>
    <w:p w14:paraId="19E72BC4" w14:textId="3F351DE9" w:rsidR="009C459B" w:rsidRDefault="009C459B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9C459B">
        <w:rPr>
          <w:rFonts w:ascii="Arial" w:eastAsia="Arial" w:hAnsi="Arial" w:cs="Arial"/>
          <w:bCs/>
          <w:color w:val="000000"/>
          <w:sz w:val="20"/>
          <w:szCs w:val="20"/>
        </w:rPr>
        <w:t xml:space="preserve">É inconstitucional a vedação à posse em cargo público de candidato (a) aprovado(a) que, embora tenha sido acometido(a) por doença grave, não apresenta sintoma incapacitante nem possui restrição relevante que impeça o exercício da função pretendida (CF, </w:t>
      </w:r>
      <w:proofErr w:type="spellStart"/>
      <w:r w:rsidRPr="009C459B">
        <w:rPr>
          <w:rFonts w:ascii="Arial" w:eastAsia="Arial" w:hAnsi="Arial" w:cs="Arial"/>
          <w:bCs/>
          <w:color w:val="000000"/>
          <w:sz w:val="20"/>
          <w:szCs w:val="20"/>
        </w:rPr>
        <w:t>arts</w:t>
      </w:r>
      <w:proofErr w:type="spellEnd"/>
      <w:r w:rsidRPr="009C459B">
        <w:rPr>
          <w:rFonts w:ascii="Arial" w:eastAsia="Arial" w:hAnsi="Arial" w:cs="Arial"/>
          <w:bCs/>
          <w:color w:val="000000"/>
          <w:sz w:val="20"/>
          <w:szCs w:val="20"/>
        </w:rPr>
        <w:t>. 1º, III, 3º, IV, 5º, caput, 37, caput, I e II).</w:t>
      </w:r>
    </w:p>
    <w:p w14:paraId="36EA23A5" w14:textId="77777777" w:rsidR="00BE65B6" w:rsidRDefault="00BE65B6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A1FED8" w14:textId="6DB3B5A7" w:rsidR="00CA1B67" w:rsidRPr="00835218" w:rsidRDefault="00D36992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35218">
        <w:rPr>
          <w:rFonts w:ascii="Arial" w:eastAsia="Arial" w:hAnsi="Arial" w:cs="Arial"/>
          <w:b/>
          <w:color w:val="000000"/>
          <w:sz w:val="20"/>
          <w:szCs w:val="20"/>
        </w:rPr>
        <w:t xml:space="preserve">Acesse também: </w:t>
      </w:r>
    </w:p>
    <w:p w14:paraId="1ACE08DF" w14:textId="77777777" w:rsidR="00E46AF1" w:rsidRPr="00835218" w:rsidRDefault="00E46AF1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370031" w14:textId="77777777" w:rsidR="00CA1B67" w:rsidRPr="00835218" w:rsidRDefault="00000000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16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Pesquisas Prontas</w:t>
        </w:r>
      </w:hyperlink>
    </w:p>
    <w:p w14:paraId="720F45F1" w14:textId="77777777" w:rsidR="00CA1B67" w:rsidRPr="00835218" w:rsidRDefault="00CA1B67" w:rsidP="00450335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EFB2F5A" w14:textId="77777777" w:rsidR="00CA1B67" w:rsidRPr="00835218" w:rsidRDefault="00000000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17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Teses Ambientais</w:t>
        </w:r>
      </w:hyperlink>
    </w:p>
    <w:p w14:paraId="155472D4" w14:textId="77777777" w:rsidR="00CA1B67" w:rsidRPr="00835218" w:rsidRDefault="00CA1B67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</w:p>
    <w:p w14:paraId="63C5EE67" w14:textId="77777777" w:rsidR="00CA1B67" w:rsidRPr="00835218" w:rsidRDefault="00000000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hyperlink r:id="rId18">
        <w:proofErr w:type="spellStart"/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Interjuris</w:t>
        </w:r>
        <w:proofErr w:type="spellEnd"/>
      </w:hyperlink>
    </w:p>
    <w:p w14:paraId="3B57D8E2" w14:textId="77777777" w:rsidR="00CA1B67" w:rsidRPr="00835218" w:rsidRDefault="00CA1B67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4282C6C" w14:textId="77777777" w:rsidR="00CA1B67" w:rsidRPr="00835218" w:rsidRDefault="00000000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19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Repercussão Geral do Supremo Tribunal Federal - STF e os Tribunais de Contas</w:t>
        </w:r>
      </w:hyperlink>
    </w:p>
    <w:p w14:paraId="043CE84E" w14:textId="77777777" w:rsidR="00CA1B67" w:rsidRPr="00835218" w:rsidRDefault="00CA1B67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</w:p>
    <w:p w14:paraId="2FA8AD3D" w14:textId="77777777" w:rsidR="00CA1B67" w:rsidRPr="00835218" w:rsidRDefault="00000000" w:rsidP="0045033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20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Súmulas Selecionadas</w:t>
        </w:r>
      </w:hyperlink>
    </w:p>
    <w:p w14:paraId="750AB9C6" w14:textId="77777777" w:rsidR="00EA1A1F" w:rsidRPr="00835218" w:rsidRDefault="00EA1A1F" w:rsidP="00450335">
      <w:pP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785DF1C" w14:textId="77777777" w:rsidR="00CA1B67" w:rsidRPr="00835218" w:rsidRDefault="00D36992" w:rsidP="00450335">
      <w:pPr>
        <w:spacing w:after="0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 w:rsidRPr="00835218">
        <w:rPr>
          <w:rFonts w:ascii="Arial" w:eastAsia="Arial" w:hAnsi="Arial" w:cs="Arial"/>
          <w:i/>
          <w:color w:val="000000"/>
          <w:sz w:val="20"/>
          <w:szCs w:val="20"/>
        </w:rPr>
        <w:t>Elaboração: Escola de Gestão Pública - Jurisprudência</w:t>
      </w:r>
    </w:p>
    <w:p w14:paraId="25CD0A84" w14:textId="77777777" w:rsidR="00CA1B67" w:rsidRPr="00835218" w:rsidRDefault="00D36992" w:rsidP="00450335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35218">
        <w:rPr>
          <w:rFonts w:ascii="Arial" w:eastAsia="Arial" w:hAnsi="Arial" w:cs="Arial"/>
          <w:i/>
          <w:sz w:val="20"/>
          <w:szCs w:val="20"/>
        </w:rPr>
        <w:t>E-mail: jurisprudencia@tce.pr.gov.br</w:t>
      </w:r>
    </w:p>
    <w:sectPr w:rsidR="00CA1B67" w:rsidRPr="00835218" w:rsidSect="00353053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DCFA" w14:textId="77777777" w:rsidR="00353053" w:rsidRDefault="00353053">
      <w:pPr>
        <w:spacing w:after="0" w:line="240" w:lineRule="auto"/>
      </w:pPr>
      <w:r>
        <w:separator/>
      </w:r>
    </w:p>
  </w:endnote>
  <w:endnote w:type="continuationSeparator" w:id="0">
    <w:p w14:paraId="0761600E" w14:textId="77777777" w:rsidR="00353053" w:rsidRDefault="0035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A081" w14:textId="77777777" w:rsidR="00CA1B67" w:rsidRDefault="00D36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6C45F636" wp14:editId="53035872">
          <wp:extent cx="467873" cy="233936"/>
          <wp:effectExtent l="0" t="0" r="0" b="0"/>
          <wp:docPr id="10" name="image2.png" descr="Resultado de imagem para EGP T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m para EGP T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873" cy="233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A23501" w14:textId="77777777" w:rsidR="00CA1B67" w:rsidRDefault="003E05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 w:rsidR="00D36992"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92155D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58D82D6C" w14:textId="77777777" w:rsidR="00CA1B67" w:rsidRDefault="00CA1B67"/>
  <w:p w14:paraId="78535BB4" w14:textId="77777777" w:rsidR="00CA1B67" w:rsidRDefault="00CA1B67"/>
  <w:p w14:paraId="30F1EF91" w14:textId="77777777" w:rsidR="00CA1B67" w:rsidRDefault="00CA1B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5A07" w14:textId="77777777" w:rsidR="00353053" w:rsidRDefault="00353053">
      <w:pPr>
        <w:spacing w:after="0" w:line="240" w:lineRule="auto"/>
      </w:pPr>
      <w:r>
        <w:separator/>
      </w:r>
    </w:p>
  </w:footnote>
  <w:footnote w:type="continuationSeparator" w:id="0">
    <w:p w14:paraId="15B0E8ED" w14:textId="77777777" w:rsidR="00353053" w:rsidRDefault="0035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EE81" w14:textId="77777777" w:rsidR="00CA1B67" w:rsidRDefault="00CA1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8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14:paraId="4213D044" w14:textId="04D9B8CC" w:rsidR="00424623" w:rsidRDefault="00D36992" w:rsidP="00071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379BECBD" wp14:editId="73D5CDD2">
          <wp:extent cx="4071668" cy="872501"/>
          <wp:effectExtent l="0" t="0" r="0" b="0"/>
          <wp:docPr id="9" name="image1.png" descr="Resultado de imagem para EGP T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m para EGP T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1668" cy="872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3E3C"/>
    <w:multiLevelType w:val="hybridMultilevel"/>
    <w:tmpl w:val="0A4EB7DC"/>
    <w:lvl w:ilvl="0" w:tplc="29388D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AEB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2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CD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80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EC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B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67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5A3"/>
    <w:multiLevelType w:val="hybridMultilevel"/>
    <w:tmpl w:val="C580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F65"/>
    <w:multiLevelType w:val="hybridMultilevel"/>
    <w:tmpl w:val="60CCC5F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0903"/>
    <w:multiLevelType w:val="hybridMultilevel"/>
    <w:tmpl w:val="231677BA"/>
    <w:lvl w:ilvl="0" w:tplc="9C3AE4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E5554"/>
    <w:multiLevelType w:val="hybridMultilevel"/>
    <w:tmpl w:val="2D848D2E"/>
    <w:lvl w:ilvl="0" w:tplc="A97CA2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76C41B2">
      <w:start w:val="1"/>
      <w:numFmt w:val="lowerLetter"/>
      <w:lvlText w:val="%2."/>
      <w:lvlJc w:val="left"/>
      <w:pPr>
        <w:ind w:left="1440" w:hanging="360"/>
      </w:pPr>
    </w:lvl>
    <w:lvl w:ilvl="2" w:tplc="AE7EAA8C">
      <w:start w:val="1"/>
      <w:numFmt w:val="lowerRoman"/>
      <w:lvlText w:val="%3."/>
      <w:lvlJc w:val="right"/>
      <w:pPr>
        <w:ind w:left="2160" w:hanging="180"/>
      </w:pPr>
    </w:lvl>
    <w:lvl w:ilvl="3" w:tplc="3DC40528">
      <w:start w:val="1"/>
      <w:numFmt w:val="decimal"/>
      <w:lvlText w:val="%4."/>
      <w:lvlJc w:val="left"/>
      <w:pPr>
        <w:ind w:left="2880" w:hanging="360"/>
      </w:pPr>
    </w:lvl>
    <w:lvl w:ilvl="4" w:tplc="517EA018">
      <w:start w:val="1"/>
      <w:numFmt w:val="lowerLetter"/>
      <w:lvlText w:val="%5."/>
      <w:lvlJc w:val="left"/>
      <w:pPr>
        <w:ind w:left="3600" w:hanging="360"/>
      </w:pPr>
    </w:lvl>
    <w:lvl w:ilvl="5" w:tplc="255ED8B4">
      <w:start w:val="1"/>
      <w:numFmt w:val="lowerRoman"/>
      <w:lvlText w:val="%6."/>
      <w:lvlJc w:val="right"/>
      <w:pPr>
        <w:ind w:left="4320" w:hanging="180"/>
      </w:pPr>
    </w:lvl>
    <w:lvl w:ilvl="6" w:tplc="21ECD0FA">
      <w:start w:val="1"/>
      <w:numFmt w:val="decimal"/>
      <w:lvlText w:val="%7."/>
      <w:lvlJc w:val="left"/>
      <w:pPr>
        <w:ind w:left="5040" w:hanging="360"/>
      </w:pPr>
    </w:lvl>
    <w:lvl w:ilvl="7" w:tplc="A44CA9AA">
      <w:start w:val="1"/>
      <w:numFmt w:val="lowerLetter"/>
      <w:lvlText w:val="%8."/>
      <w:lvlJc w:val="left"/>
      <w:pPr>
        <w:ind w:left="5760" w:hanging="360"/>
      </w:pPr>
    </w:lvl>
    <w:lvl w:ilvl="8" w:tplc="547C9E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E877"/>
    <w:multiLevelType w:val="hybridMultilevel"/>
    <w:tmpl w:val="D4066B72"/>
    <w:lvl w:ilvl="0" w:tplc="8A263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8C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2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E8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84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6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E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FEF5"/>
    <w:multiLevelType w:val="hybridMultilevel"/>
    <w:tmpl w:val="9AB8ED56"/>
    <w:lvl w:ilvl="0" w:tplc="C60A29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700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0B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0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A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CE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69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A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6FBA"/>
    <w:multiLevelType w:val="hybridMultilevel"/>
    <w:tmpl w:val="8E64F740"/>
    <w:lvl w:ilvl="0" w:tplc="094AC77A">
      <w:start w:val="1"/>
      <w:numFmt w:val="decimal"/>
      <w:lvlText w:val="%1."/>
      <w:lvlJc w:val="left"/>
      <w:pPr>
        <w:ind w:left="720" w:hanging="360"/>
      </w:pPr>
    </w:lvl>
    <w:lvl w:ilvl="1" w:tplc="42DE9A68">
      <w:start w:val="1"/>
      <w:numFmt w:val="lowerLetter"/>
      <w:lvlText w:val="%2."/>
      <w:lvlJc w:val="left"/>
      <w:pPr>
        <w:ind w:left="1440" w:hanging="360"/>
      </w:pPr>
    </w:lvl>
    <w:lvl w:ilvl="2" w:tplc="211ECB8C">
      <w:start w:val="1"/>
      <w:numFmt w:val="lowerRoman"/>
      <w:lvlText w:val="%3."/>
      <w:lvlJc w:val="right"/>
      <w:pPr>
        <w:ind w:left="2160" w:hanging="180"/>
      </w:pPr>
    </w:lvl>
    <w:lvl w:ilvl="3" w:tplc="5544ADC6">
      <w:start w:val="1"/>
      <w:numFmt w:val="decimal"/>
      <w:lvlText w:val="%4."/>
      <w:lvlJc w:val="left"/>
      <w:pPr>
        <w:ind w:left="2880" w:hanging="360"/>
      </w:pPr>
    </w:lvl>
    <w:lvl w:ilvl="4" w:tplc="04E2D5BA">
      <w:start w:val="1"/>
      <w:numFmt w:val="lowerLetter"/>
      <w:lvlText w:val="%5."/>
      <w:lvlJc w:val="left"/>
      <w:pPr>
        <w:ind w:left="3600" w:hanging="360"/>
      </w:pPr>
    </w:lvl>
    <w:lvl w:ilvl="5" w:tplc="E2D82B74">
      <w:start w:val="1"/>
      <w:numFmt w:val="lowerRoman"/>
      <w:lvlText w:val="%6."/>
      <w:lvlJc w:val="right"/>
      <w:pPr>
        <w:ind w:left="4320" w:hanging="180"/>
      </w:pPr>
    </w:lvl>
    <w:lvl w:ilvl="6" w:tplc="7B54B8B4">
      <w:start w:val="1"/>
      <w:numFmt w:val="decimal"/>
      <w:lvlText w:val="%7."/>
      <w:lvlJc w:val="left"/>
      <w:pPr>
        <w:ind w:left="5040" w:hanging="360"/>
      </w:pPr>
    </w:lvl>
    <w:lvl w:ilvl="7" w:tplc="75EA3712">
      <w:start w:val="1"/>
      <w:numFmt w:val="lowerLetter"/>
      <w:lvlText w:val="%8."/>
      <w:lvlJc w:val="left"/>
      <w:pPr>
        <w:ind w:left="5760" w:hanging="360"/>
      </w:pPr>
    </w:lvl>
    <w:lvl w:ilvl="8" w:tplc="289AEE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86"/>
    <w:multiLevelType w:val="hybridMultilevel"/>
    <w:tmpl w:val="BC5800CE"/>
    <w:lvl w:ilvl="0" w:tplc="5A388D88">
      <w:start w:val="1"/>
      <w:numFmt w:val="decimal"/>
      <w:lvlText w:val="%1."/>
      <w:lvlJc w:val="left"/>
      <w:pPr>
        <w:ind w:left="720" w:hanging="360"/>
      </w:pPr>
    </w:lvl>
    <w:lvl w:ilvl="1" w:tplc="45485650">
      <w:start w:val="1"/>
      <w:numFmt w:val="lowerLetter"/>
      <w:lvlText w:val="%2."/>
      <w:lvlJc w:val="left"/>
      <w:pPr>
        <w:ind w:left="1440" w:hanging="360"/>
      </w:pPr>
    </w:lvl>
    <w:lvl w:ilvl="2" w:tplc="B2F01F10">
      <w:start w:val="1"/>
      <w:numFmt w:val="lowerRoman"/>
      <w:lvlText w:val="%3."/>
      <w:lvlJc w:val="right"/>
      <w:pPr>
        <w:ind w:left="2160" w:hanging="180"/>
      </w:pPr>
    </w:lvl>
    <w:lvl w:ilvl="3" w:tplc="1FA21180">
      <w:start w:val="1"/>
      <w:numFmt w:val="decimal"/>
      <w:lvlText w:val="%4."/>
      <w:lvlJc w:val="left"/>
      <w:pPr>
        <w:ind w:left="2880" w:hanging="360"/>
      </w:pPr>
    </w:lvl>
    <w:lvl w:ilvl="4" w:tplc="AEFEE6D0">
      <w:start w:val="1"/>
      <w:numFmt w:val="lowerLetter"/>
      <w:lvlText w:val="%5."/>
      <w:lvlJc w:val="left"/>
      <w:pPr>
        <w:ind w:left="3600" w:hanging="360"/>
      </w:pPr>
    </w:lvl>
    <w:lvl w:ilvl="5" w:tplc="64940FE8">
      <w:start w:val="1"/>
      <w:numFmt w:val="lowerRoman"/>
      <w:lvlText w:val="%6."/>
      <w:lvlJc w:val="right"/>
      <w:pPr>
        <w:ind w:left="4320" w:hanging="180"/>
      </w:pPr>
    </w:lvl>
    <w:lvl w:ilvl="6" w:tplc="893438BC">
      <w:start w:val="1"/>
      <w:numFmt w:val="decimal"/>
      <w:lvlText w:val="%7."/>
      <w:lvlJc w:val="left"/>
      <w:pPr>
        <w:ind w:left="5040" w:hanging="360"/>
      </w:pPr>
    </w:lvl>
    <w:lvl w:ilvl="7" w:tplc="11A66674">
      <w:start w:val="1"/>
      <w:numFmt w:val="lowerLetter"/>
      <w:lvlText w:val="%8."/>
      <w:lvlJc w:val="left"/>
      <w:pPr>
        <w:ind w:left="5760" w:hanging="360"/>
      </w:pPr>
    </w:lvl>
    <w:lvl w:ilvl="8" w:tplc="F58A46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44959"/>
    <w:multiLevelType w:val="hybridMultilevel"/>
    <w:tmpl w:val="6538AD10"/>
    <w:lvl w:ilvl="0" w:tplc="831C31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9534"/>
    <w:multiLevelType w:val="hybridMultilevel"/>
    <w:tmpl w:val="6AEEA728"/>
    <w:lvl w:ilvl="0" w:tplc="198EE4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A923DBE">
      <w:start w:val="1"/>
      <w:numFmt w:val="lowerLetter"/>
      <w:lvlText w:val="%2."/>
      <w:lvlJc w:val="left"/>
      <w:pPr>
        <w:ind w:left="1440" w:hanging="360"/>
      </w:pPr>
    </w:lvl>
    <w:lvl w:ilvl="2" w:tplc="FFBA31E6">
      <w:start w:val="1"/>
      <w:numFmt w:val="lowerRoman"/>
      <w:lvlText w:val="%3."/>
      <w:lvlJc w:val="right"/>
      <w:pPr>
        <w:ind w:left="2160" w:hanging="180"/>
      </w:pPr>
    </w:lvl>
    <w:lvl w:ilvl="3" w:tplc="C2CED968">
      <w:start w:val="1"/>
      <w:numFmt w:val="decimal"/>
      <w:lvlText w:val="%4."/>
      <w:lvlJc w:val="left"/>
      <w:pPr>
        <w:ind w:left="2880" w:hanging="360"/>
      </w:pPr>
    </w:lvl>
    <w:lvl w:ilvl="4" w:tplc="F6DC1B34">
      <w:start w:val="1"/>
      <w:numFmt w:val="lowerLetter"/>
      <w:lvlText w:val="%5."/>
      <w:lvlJc w:val="left"/>
      <w:pPr>
        <w:ind w:left="3600" w:hanging="360"/>
      </w:pPr>
    </w:lvl>
    <w:lvl w:ilvl="5" w:tplc="E80E1DDE">
      <w:start w:val="1"/>
      <w:numFmt w:val="lowerRoman"/>
      <w:lvlText w:val="%6."/>
      <w:lvlJc w:val="right"/>
      <w:pPr>
        <w:ind w:left="4320" w:hanging="180"/>
      </w:pPr>
    </w:lvl>
    <w:lvl w:ilvl="6" w:tplc="51D0F8C8">
      <w:start w:val="1"/>
      <w:numFmt w:val="decimal"/>
      <w:lvlText w:val="%7."/>
      <w:lvlJc w:val="left"/>
      <w:pPr>
        <w:ind w:left="5040" w:hanging="360"/>
      </w:pPr>
    </w:lvl>
    <w:lvl w:ilvl="7" w:tplc="BB60C354">
      <w:start w:val="1"/>
      <w:numFmt w:val="lowerLetter"/>
      <w:lvlText w:val="%8."/>
      <w:lvlJc w:val="left"/>
      <w:pPr>
        <w:ind w:left="5760" w:hanging="360"/>
      </w:pPr>
    </w:lvl>
    <w:lvl w:ilvl="8" w:tplc="F7AE7D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64693"/>
    <w:multiLevelType w:val="hybridMultilevel"/>
    <w:tmpl w:val="27A4123C"/>
    <w:lvl w:ilvl="0" w:tplc="831C31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A7670"/>
    <w:multiLevelType w:val="hybridMultilevel"/>
    <w:tmpl w:val="2642F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BA5C7"/>
    <w:multiLevelType w:val="hybridMultilevel"/>
    <w:tmpl w:val="D87A40DE"/>
    <w:lvl w:ilvl="0" w:tplc="FD58CA3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2782FE2">
      <w:start w:val="1"/>
      <w:numFmt w:val="lowerLetter"/>
      <w:lvlText w:val="%2."/>
      <w:lvlJc w:val="left"/>
      <w:pPr>
        <w:ind w:left="1440" w:hanging="360"/>
      </w:pPr>
    </w:lvl>
    <w:lvl w:ilvl="2" w:tplc="54746E6A">
      <w:start w:val="1"/>
      <w:numFmt w:val="lowerRoman"/>
      <w:lvlText w:val="%3."/>
      <w:lvlJc w:val="right"/>
      <w:pPr>
        <w:ind w:left="2160" w:hanging="180"/>
      </w:pPr>
    </w:lvl>
    <w:lvl w:ilvl="3" w:tplc="5F1E6A7A">
      <w:start w:val="1"/>
      <w:numFmt w:val="decimal"/>
      <w:lvlText w:val="%4."/>
      <w:lvlJc w:val="left"/>
      <w:pPr>
        <w:ind w:left="2880" w:hanging="360"/>
      </w:pPr>
    </w:lvl>
    <w:lvl w:ilvl="4" w:tplc="5478EABA">
      <w:start w:val="1"/>
      <w:numFmt w:val="lowerLetter"/>
      <w:lvlText w:val="%5."/>
      <w:lvlJc w:val="left"/>
      <w:pPr>
        <w:ind w:left="3600" w:hanging="360"/>
      </w:pPr>
    </w:lvl>
    <w:lvl w:ilvl="5" w:tplc="AA5C3EB4">
      <w:start w:val="1"/>
      <w:numFmt w:val="lowerRoman"/>
      <w:lvlText w:val="%6."/>
      <w:lvlJc w:val="right"/>
      <w:pPr>
        <w:ind w:left="4320" w:hanging="180"/>
      </w:pPr>
    </w:lvl>
    <w:lvl w:ilvl="6" w:tplc="02E8C770">
      <w:start w:val="1"/>
      <w:numFmt w:val="decimal"/>
      <w:lvlText w:val="%7."/>
      <w:lvlJc w:val="left"/>
      <w:pPr>
        <w:ind w:left="5040" w:hanging="360"/>
      </w:pPr>
    </w:lvl>
    <w:lvl w:ilvl="7" w:tplc="907C6D3A">
      <w:start w:val="1"/>
      <w:numFmt w:val="lowerLetter"/>
      <w:lvlText w:val="%8."/>
      <w:lvlJc w:val="left"/>
      <w:pPr>
        <w:ind w:left="5760" w:hanging="360"/>
      </w:pPr>
    </w:lvl>
    <w:lvl w:ilvl="8" w:tplc="B26206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C690B"/>
    <w:multiLevelType w:val="hybridMultilevel"/>
    <w:tmpl w:val="0D024B9A"/>
    <w:lvl w:ilvl="0" w:tplc="E730B0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BA3437F"/>
    <w:multiLevelType w:val="hybridMultilevel"/>
    <w:tmpl w:val="25ACB14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B840F"/>
    <w:multiLevelType w:val="hybridMultilevel"/>
    <w:tmpl w:val="6D140CBE"/>
    <w:lvl w:ilvl="0" w:tplc="17F459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11C0F74">
      <w:start w:val="1"/>
      <w:numFmt w:val="lowerLetter"/>
      <w:lvlText w:val="%2."/>
      <w:lvlJc w:val="left"/>
      <w:pPr>
        <w:ind w:left="1440" w:hanging="360"/>
      </w:pPr>
    </w:lvl>
    <w:lvl w:ilvl="2" w:tplc="27D8F7BE">
      <w:start w:val="1"/>
      <w:numFmt w:val="lowerRoman"/>
      <w:lvlText w:val="%3."/>
      <w:lvlJc w:val="right"/>
      <w:pPr>
        <w:ind w:left="2160" w:hanging="180"/>
      </w:pPr>
    </w:lvl>
    <w:lvl w:ilvl="3" w:tplc="D21881BC">
      <w:start w:val="1"/>
      <w:numFmt w:val="decimal"/>
      <w:lvlText w:val="%4."/>
      <w:lvlJc w:val="left"/>
      <w:pPr>
        <w:ind w:left="2880" w:hanging="360"/>
      </w:pPr>
    </w:lvl>
    <w:lvl w:ilvl="4" w:tplc="A5A08E52">
      <w:start w:val="1"/>
      <w:numFmt w:val="lowerLetter"/>
      <w:lvlText w:val="%5."/>
      <w:lvlJc w:val="left"/>
      <w:pPr>
        <w:ind w:left="3600" w:hanging="360"/>
      </w:pPr>
    </w:lvl>
    <w:lvl w:ilvl="5" w:tplc="469A0258">
      <w:start w:val="1"/>
      <w:numFmt w:val="lowerRoman"/>
      <w:lvlText w:val="%6."/>
      <w:lvlJc w:val="right"/>
      <w:pPr>
        <w:ind w:left="4320" w:hanging="180"/>
      </w:pPr>
    </w:lvl>
    <w:lvl w:ilvl="6" w:tplc="32265DE8">
      <w:start w:val="1"/>
      <w:numFmt w:val="decimal"/>
      <w:lvlText w:val="%7."/>
      <w:lvlJc w:val="left"/>
      <w:pPr>
        <w:ind w:left="5040" w:hanging="360"/>
      </w:pPr>
    </w:lvl>
    <w:lvl w:ilvl="7" w:tplc="EF7C3274">
      <w:start w:val="1"/>
      <w:numFmt w:val="lowerLetter"/>
      <w:lvlText w:val="%8."/>
      <w:lvlJc w:val="left"/>
      <w:pPr>
        <w:ind w:left="5760" w:hanging="360"/>
      </w:pPr>
    </w:lvl>
    <w:lvl w:ilvl="8" w:tplc="F984DB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3581"/>
    <w:multiLevelType w:val="hybridMultilevel"/>
    <w:tmpl w:val="1E9E0A28"/>
    <w:lvl w:ilvl="0" w:tplc="F9C6AC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A22E110">
      <w:start w:val="1"/>
      <w:numFmt w:val="lowerLetter"/>
      <w:lvlText w:val="%2."/>
      <w:lvlJc w:val="left"/>
      <w:pPr>
        <w:ind w:left="1440" w:hanging="360"/>
      </w:pPr>
    </w:lvl>
    <w:lvl w:ilvl="2" w:tplc="B56A19D8">
      <w:start w:val="1"/>
      <w:numFmt w:val="lowerRoman"/>
      <w:lvlText w:val="%3."/>
      <w:lvlJc w:val="right"/>
      <w:pPr>
        <w:ind w:left="2160" w:hanging="180"/>
      </w:pPr>
    </w:lvl>
    <w:lvl w:ilvl="3" w:tplc="DA2C573C">
      <w:start w:val="1"/>
      <w:numFmt w:val="decimal"/>
      <w:lvlText w:val="%4."/>
      <w:lvlJc w:val="left"/>
      <w:pPr>
        <w:ind w:left="2880" w:hanging="360"/>
      </w:pPr>
    </w:lvl>
    <w:lvl w:ilvl="4" w:tplc="FDBA7806">
      <w:start w:val="1"/>
      <w:numFmt w:val="lowerLetter"/>
      <w:lvlText w:val="%5."/>
      <w:lvlJc w:val="left"/>
      <w:pPr>
        <w:ind w:left="3600" w:hanging="360"/>
      </w:pPr>
    </w:lvl>
    <w:lvl w:ilvl="5" w:tplc="157C78EC">
      <w:start w:val="1"/>
      <w:numFmt w:val="lowerRoman"/>
      <w:lvlText w:val="%6."/>
      <w:lvlJc w:val="right"/>
      <w:pPr>
        <w:ind w:left="4320" w:hanging="180"/>
      </w:pPr>
    </w:lvl>
    <w:lvl w:ilvl="6" w:tplc="77EAD0AA">
      <w:start w:val="1"/>
      <w:numFmt w:val="decimal"/>
      <w:lvlText w:val="%7."/>
      <w:lvlJc w:val="left"/>
      <w:pPr>
        <w:ind w:left="5040" w:hanging="360"/>
      </w:pPr>
    </w:lvl>
    <w:lvl w:ilvl="7" w:tplc="A7AC08FC">
      <w:start w:val="1"/>
      <w:numFmt w:val="lowerLetter"/>
      <w:lvlText w:val="%8."/>
      <w:lvlJc w:val="left"/>
      <w:pPr>
        <w:ind w:left="5760" w:hanging="360"/>
      </w:pPr>
    </w:lvl>
    <w:lvl w:ilvl="8" w:tplc="000894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E184D"/>
    <w:multiLevelType w:val="hybridMultilevel"/>
    <w:tmpl w:val="1C0C67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71205">
    <w:abstractNumId w:val="8"/>
  </w:num>
  <w:num w:numId="2" w16cid:durableId="364985962">
    <w:abstractNumId w:val="7"/>
  </w:num>
  <w:num w:numId="3" w16cid:durableId="1868985579">
    <w:abstractNumId w:val="13"/>
  </w:num>
  <w:num w:numId="4" w16cid:durableId="361903457">
    <w:abstractNumId w:val="17"/>
  </w:num>
  <w:num w:numId="5" w16cid:durableId="323094274">
    <w:abstractNumId w:val="4"/>
  </w:num>
  <w:num w:numId="6" w16cid:durableId="283343696">
    <w:abstractNumId w:val="16"/>
  </w:num>
  <w:num w:numId="7" w16cid:durableId="477696485">
    <w:abstractNumId w:val="10"/>
  </w:num>
  <w:num w:numId="8" w16cid:durableId="1048647625">
    <w:abstractNumId w:val="6"/>
  </w:num>
  <w:num w:numId="9" w16cid:durableId="797450374">
    <w:abstractNumId w:val="5"/>
  </w:num>
  <w:num w:numId="10" w16cid:durableId="136604948">
    <w:abstractNumId w:val="0"/>
  </w:num>
  <w:num w:numId="11" w16cid:durableId="1899659199">
    <w:abstractNumId w:val="11"/>
  </w:num>
  <w:num w:numId="12" w16cid:durableId="1736656733">
    <w:abstractNumId w:val="9"/>
  </w:num>
  <w:num w:numId="13" w16cid:durableId="313029854">
    <w:abstractNumId w:val="15"/>
  </w:num>
  <w:num w:numId="14" w16cid:durableId="101269713">
    <w:abstractNumId w:val="2"/>
  </w:num>
  <w:num w:numId="15" w16cid:durableId="1458596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7430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0545748">
    <w:abstractNumId w:val="12"/>
  </w:num>
  <w:num w:numId="18" w16cid:durableId="901451161">
    <w:abstractNumId w:val="3"/>
  </w:num>
  <w:num w:numId="19" w16cid:durableId="1962344934">
    <w:abstractNumId w:val="18"/>
  </w:num>
  <w:num w:numId="20" w16cid:durableId="1665087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67"/>
    <w:rsid w:val="000122C7"/>
    <w:rsid w:val="00023844"/>
    <w:rsid w:val="0002503F"/>
    <w:rsid w:val="00045AFE"/>
    <w:rsid w:val="000507DD"/>
    <w:rsid w:val="00056800"/>
    <w:rsid w:val="00071A04"/>
    <w:rsid w:val="00073FBF"/>
    <w:rsid w:val="00081A94"/>
    <w:rsid w:val="0008C501"/>
    <w:rsid w:val="000B0D47"/>
    <w:rsid w:val="000C406B"/>
    <w:rsid w:val="000E35C4"/>
    <w:rsid w:val="000E4FE5"/>
    <w:rsid w:val="000E69B6"/>
    <w:rsid w:val="00101E4D"/>
    <w:rsid w:val="00102C0D"/>
    <w:rsid w:val="001300D7"/>
    <w:rsid w:val="001323D9"/>
    <w:rsid w:val="00133928"/>
    <w:rsid w:val="001704D0"/>
    <w:rsid w:val="00182254"/>
    <w:rsid w:val="00192260"/>
    <w:rsid w:val="001B3720"/>
    <w:rsid w:val="001B784B"/>
    <w:rsid w:val="001B7DAE"/>
    <w:rsid w:val="001D0055"/>
    <w:rsid w:val="001D05F2"/>
    <w:rsid w:val="001D2B24"/>
    <w:rsid w:val="001D7293"/>
    <w:rsid w:val="001E0230"/>
    <w:rsid w:val="00202455"/>
    <w:rsid w:val="0020291A"/>
    <w:rsid w:val="00202E25"/>
    <w:rsid w:val="00206332"/>
    <w:rsid w:val="00214172"/>
    <w:rsid w:val="0022409B"/>
    <w:rsid w:val="00227CFF"/>
    <w:rsid w:val="002411AF"/>
    <w:rsid w:val="00244F5E"/>
    <w:rsid w:val="00267AA9"/>
    <w:rsid w:val="00284A7E"/>
    <w:rsid w:val="00286FEA"/>
    <w:rsid w:val="00295BB0"/>
    <w:rsid w:val="002B3FB5"/>
    <w:rsid w:val="00301362"/>
    <w:rsid w:val="003052B8"/>
    <w:rsid w:val="0031120D"/>
    <w:rsid w:val="003223A8"/>
    <w:rsid w:val="00327CD6"/>
    <w:rsid w:val="0033179D"/>
    <w:rsid w:val="00345F45"/>
    <w:rsid w:val="00353053"/>
    <w:rsid w:val="00353ADC"/>
    <w:rsid w:val="003562B0"/>
    <w:rsid w:val="00383A81"/>
    <w:rsid w:val="003A0A2F"/>
    <w:rsid w:val="003C15BE"/>
    <w:rsid w:val="003E0504"/>
    <w:rsid w:val="00424623"/>
    <w:rsid w:val="00425D0E"/>
    <w:rsid w:val="00430321"/>
    <w:rsid w:val="004309B2"/>
    <w:rsid w:val="00435479"/>
    <w:rsid w:val="00450335"/>
    <w:rsid w:val="00450412"/>
    <w:rsid w:val="004552B2"/>
    <w:rsid w:val="00457411"/>
    <w:rsid w:val="00494025"/>
    <w:rsid w:val="004B341D"/>
    <w:rsid w:val="004D2E2A"/>
    <w:rsid w:val="004E20EA"/>
    <w:rsid w:val="004F6800"/>
    <w:rsid w:val="00506E40"/>
    <w:rsid w:val="00525E3E"/>
    <w:rsid w:val="00533C51"/>
    <w:rsid w:val="00536951"/>
    <w:rsid w:val="005926F2"/>
    <w:rsid w:val="005B318E"/>
    <w:rsid w:val="005B427D"/>
    <w:rsid w:val="005C1160"/>
    <w:rsid w:val="005C4F9C"/>
    <w:rsid w:val="005C7370"/>
    <w:rsid w:val="005D0870"/>
    <w:rsid w:val="005D25D0"/>
    <w:rsid w:val="005E284C"/>
    <w:rsid w:val="005E4A67"/>
    <w:rsid w:val="005E6292"/>
    <w:rsid w:val="0060512A"/>
    <w:rsid w:val="006067B3"/>
    <w:rsid w:val="0061399E"/>
    <w:rsid w:val="00626740"/>
    <w:rsid w:val="00630CE5"/>
    <w:rsid w:val="0063148B"/>
    <w:rsid w:val="00641B1B"/>
    <w:rsid w:val="00647EE6"/>
    <w:rsid w:val="00666A66"/>
    <w:rsid w:val="0067428C"/>
    <w:rsid w:val="00677602"/>
    <w:rsid w:val="006A31DD"/>
    <w:rsid w:val="006A5BFE"/>
    <w:rsid w:val="006C304D"/>
    <w:rsid w:val="006E07C9"/>
    <w:rsid w:val="006F706E"/>
    <w:rsid w:val="006F79DD"/>
    <w:rsid w:val="0070558A"/>
    <w:rsid w:val="00710B2D"/>
    <w:rsid w:val="00730181"/>
    <w:rsid w:val="007411D6"/>
    <w:rsid w:val="00741D54"/>
    <w:rsid w:val="00745221"/>
    <w:rsid w:val="00751F53"/>
    <w:rsid w:val="007528B6"/>
    <w:rsid w:val="00761A2A"/>
    <w:rsid w:val="00763D6F"/>
    <w:rsid w:val="00767A5C"/>
    <w:rsid w:val="00775102"/>
    <w:rsid w:val="0077680D"/>
    <w:rsid w:val="007826F1"/>
    <w:rsid w:val="00783232"/>
    <w:rsid w:val="00784A83"/>
    <w:rsid w:val="007B1129"/>
    <w:rsid w:val="007B33D2"/>
    <w:rsid w:val="007F618E"/>
    <w:rsid w:val="00821E0B"/>
    <w:rsid w:val="0082617B"/>
    <w:rsid w:val="00835218"/>
    <w:rsid w:val="00852A90"/>
    <w:rsid w:val="00854CB3"/>
    <w:rsid w:val="00856A04"/>
    <w:rsid w:val="0086338E"/>
    <w:rsid w:val="00876DD7"/>
    <w:rsid w:val="00881568"/>
    <w:rsid w:val="00884F9C"/>
    <w:rsid w:val="00887EE8"/>
    <w:rsid w:val="0089527F"/>
    <w:rsid w:val="00897009"/>
    <w:rsid w:val="008A28A5"/>
    <w:rsid w:val="008C0E12"/>
    <w:rsid w:val="008C379E"/>
    <w:rsid w:val="008C4CF3"/>
    <w:rsid w:val="008D22D0"/>
    <w:rsid w:val="008E6186"/>
    <w:rsid w:val="008F02DB"/>
    <w:rsid w:val="00912100"/>
    <w:rsid w:val="00912417"/>
    <w:rsid w:val="0092155D"/>
    <w:rsid w:val="00927AFF"/>
    <w:rsid w:val="00942042"/>
    <w:rsid w:val="00945CB3"/>
    <w:rsid w:val="0094729F"/>
    <w:rsid w:val="009515E2"/>
    <w:rsid w:val="00974196"/>
    <w:rsid w:val="009B3743"/>
    <w:rsid w:val="009B730A"/>
    <w:rsid w:val="009C3D2B"/>
    <w:rsid w:val="009C459B"/>
    <w:rsid w:val="009C541E"/>
    <w:rsid w:val="009D4843"/>
    <w:rsid w:val="009E7071"/>
    <w:rsid w:val="00A0520B"/>
    <w:rsid w:val="00A14218"/>
    <w:rsid w:val="00A23D54"/>
    <w:rsid w:val="00A31424"/>
    <w:rsid w:val="00A34361"/>
    <w:rsid w:val="00A414BB"/>
    <w:rsid w:val="00A620BF"/>
    <w:rsid w:val="00A65D15"/>
    <w:rsid w:val="00A677D7"/>
    <w:rsid w:val="00A7282C"/>
    <w:rsid w:val="00A7362D"/>
    <w:rsid w:val="00A81862"/>
    <w:rsid w:val="00A920C7"/>
    <w:rsid w:val="00A9662E"/>
    <w:rsid w:val="00AA0B6F"/>
    <w:rsid w:val="00AA511A"/>
    <w:rsid w:val="00AA5CA4"/>
    <w:rsid w:val="00AD270D"/>
    <w:rsid w:val="00AE1D7B"/>
    <w:rsid w:val="00AE52B2"/>
    <w:rsid w:val="00AE533D"/>
    <w:rsid w:val="00AF0D74"/>
    <w:rsid w:val="00B160AA"/>
    <w:rsid w:val="00B20A5F"/>
    <w:rsid w:val="00B231F7"/>
    <w:rsid w:val="00B52F11"/>
    <w:rsid w:val="00B53532"/>
    <w:rsid w:val="00B61EFC"/>
    <w:rsid w:val="00B6764D"/>
    <w:rsid w:val="00B82CE3"/>
    <w:rsid w:val="00B84A70"/>
    <w:rsid w:val="00B877E4"/>
    <w:rsid w:val="00B94030"/>
    <w:rsid w:val="00BA6D21"/>
    <w:rsid w:val="00BB55A0"/>
    <w:rsid w:val="00BD4B55"/>
    <w:rsid w:val="00BE14BC"/>
    <w:rsid w:val="00BE65B6"/>
    <w:rsid w:val="00C01523"/>
    <w:rsid w:val="00C17D49"/>
    <w:rsid w:val="00C221B7"/>
    <w:rsid w:val="00C40E2D"/>
    <w:rsid w:val="00C50370"/>
    <w:rsid w:val="00C830B7"/>
    <w:rsid w:val="00C83A07"/>
    <w:rsid w:val="00C8766A"/>
    <w:rsid w:val="00C94731"/>
    <w:rsid w:val="00C97882"/>
    <w:rsid w:val="00CA1B67"/>
    <w:rsid w:val="00CB7B7E"/>
    <w:rsid w:val="00CC7A49"/>
    <w:rsid w:val="00CD6B1F"/>
    <w:rsid w:val="00CF042B"/>
    <w:rsid w:val="00D133FB"/>
    <w:rsid w:val="00D2014D"/>
    <w:rsid w:val="00D36992"/>
    <w:rsid w:val="00D502A1"/>
    <w:rsid w:val="00D538AD"/>
    <w:rsid w:val="00D66EC6"/>
    <w:rsid w:val="00D74830"/>
    <w:rsid w:val="00D82C48"/>
    <w:rsid w:val="00DA3AC4"/>
    <w:rsid w:val="00DC42FE"/>
    <w:rsid w:val="00DC6245"/>
    <w:rsid w:val="00DD3506"/>
    <w:rsid w:val="00DF74A7"/>
    <w:rsid w:val="00E00DB2"/>
    <w:rsid w:val="00E05519"/>
    <w:rsid w:val="00E13A97"/>
    <w:rsid w:val="00E24DF0"/>
    <w:rsid w:val="00E259ED"/>
    <w:rsid w:val="00E267CA"/>
    <w:rsid w:val="00E34606"/>
    <w:rsid w:val="00E3791D"/>
    <w:rsid w:val="00E46AF1"/>
    <w:rsid w:val="00E54A0B"/>
    <w:rsid w:val="00E56A8B"/>
    <w:rsid w:val="00E65687"/>
    <w:rsid w:val="00E7407C"/>
    <w:rsid w:val="00E8349E"/>
    <w:rsid w:val="00E91A30"/>
    <w:rsid w:val="00E93295"/>
    <w:rsid w:val="00EA1A1F"/>
    <w:rsid w:val="00EA624C"/>
    <w:rsid w:val="00F0381A"/>
    <w:rsid w:val="00F11402"/>
    <w:rsid w:val="00F54F03"/>
    <w:rsid w:val="00F82533"/>
    <w:rsid w:val="00F956E1"/>
    <w:rsid w:val="00FA086F"/>
    <w:rsid w:val="00FA112B"/>
    <w:rsid w:val="00FB305C"/>
    <w:rsid w:val="00FC657E"/>
    <w:rsid w:val="00FC74FF"/>
    <w:rsid w:val="00FC7BD8"/>
    <w:rsid w:val="00FE1304"/>
    <w:rsid w:val="00FE3343"/>
    <w:rsid w:val="00FF50DD"/>
    <w:rsid w:val="00FF742D"/>
    <w:rsid w:val="0163342D"/>
    <w:rsid w:val="01A49562"/>
    <w:rsid w:val="0226C6CC"/>
    <w:rsid w:val="02366533"/>
    <w:rsid w:val="03D72DC2"/>
    <w:rsid w:val="047F3B30"/>
    <w:rsid w:val="04C4B31A"/>
    <w:rsid w:val="04D3BF23"/>
    <w:rsid w:val="04ECA45F"/>
    <w:rsid w:val="04F22A01"/>
    <w:rsid w:val="059383DB"/>
    <w:rsid w:val="05CACA26"/>
    <w:rsid w:val="0636A550"/>
    <w:rsid w:val="0829CAC3"/>
    <w:rsid w:val="089B9902"/>
    <w:rsid w:val="08B605F1"/>
    <w:rsid w:val="0926E1E3"/>
    <w:rsid w:val="0CD75FC3"/>
    <w:rsid w:val="0D02717D"/>
    <w:rsid w:val="0D1D0644"/>
    <w:rsid w:val="0E41B735"/>
    <w:rsid w:val="0FA9AAA7"/>
    <w:rsid w:val="0FDD8796"/>
    <w:rsid w:val="104A5C39"/>
    <w:rsid w:val="1124EC99"/>
    <w:rsid w:val="121F80EC"/>
    <w:rsid w:val="12ADBD6C"/>
    <w:rsid w:val="12C44A7D"/>
    <w:rsid w:val="130580B0"/>
    <w:rsid w:val="148205E8"/>
    <w:rsid w:val="15A64F43"/>
    <w:rsid w:val="15B485EF"/>
    <w:rsid w:val="16C0C15C"/>
    <w:rsid w:val="16CDB717"/>
    <w:rsid w:val="17207668"/>
    <w:rsid w:val="177E9343"/>
    <w:rsid w:val="17FA94B6"/>
    <w:rsid w:val="185C91BD"/>
    <w:rsid w:val="18DC5C6E"/>
    <w:rsid w:val="191A63A4"/>
    <w:rsid w:val="19579546"/>
    <w:rsid w:val="198C5762"/>
    <w:rsid w:val="19DDCE63"/>
    <w:rsid w:val="1A9EF028"/>
    <w:rsid w:val="1AA52341"/>
    <w:rsid w:val="1B381741"/>
    <w:rsid w:val="1B570B23"/>
    <w:rsid w:val="1BC6ADD4"/>
    <w:rsid w:val="1BDA646D"/>
    <w:rsid w:val="1C9845B9"/>
    <w:rsid w:val="1D3E3602"/>
    <w:rsid w:val="1DD80669"/>
    <w:rsid w:val="1E629194"/>
    <w:rsid w:val="1EF37B03"/>
    <w:rsid w:val="1F555B02"/>
    <w:rsid w:val="20321152"/>
    <w:rsid w:val="2086F2AB"/>
    <w:rsid w:val="2098F742"/>
    <w:rsid w:val="20B2AC37"/>
    <w:rsid w:val="21C6F67F"/>
    <w:rsid w:val="22E135C7"/>
    <w:rsid w:val="23CEF9D5"/>
    <w:rsid w:val="23F7A1EC"/>
    <w:rsid w:val="244747ED"/>
    <w:rsid w:val="247D0628"/>
    <w:rsid w:val="24A7743E"/>
    <w:rsid w:val="256ACA36"/>
    <w:rsid w:val="25895382"/>
    <w:rsid w:val="2636184E"/>
    <w:rsid w:val="266ADA6A"/>
    <w:rsid w:val="27069A97"/>
    <w:rsid w:val="29A27B2C"/>
    <w:rsid w:val="2A7F151A"/>
    <w:rsid w:val="2A964216"/>
    <w:rsid w:val="2AE9207E"/>
    <w:rsid w:val="2B098971"/>
    <w:rsid w:val="2C5A4758"/>
    <w:rsid w:val="2CC85934"/>
    <w:rsid w:val="2DB4B684"/>
    <w:rsid w:val="2EFAA5AA"/>
    <w:rsid w:val="308FCFD0"/>
    <w:rsid w:val="314386D9"/>
    <w:rsid w:val="31FFC3E6"/>
    <w:rsid w:val="325D3843"/>
    <w:rsid w:val="3279AF05"/>
    <w:rsid w:val="32F43263"/>
    <w:rsid w:val="33F783DF"/>
    <w:rsid w:val="3407F36E"/>
    <w:rsid w:val="34EA59EA"/>
    <w:rsid w:val="3539C8E5"/>
    <w:rsid w:val="358B064D"/>
    <w:rsid w:val="35ADA325"/>
    <w:rsid w:val="35F1B86B"/>
    <w:rsid w:val="362BD325"/>
    <w:rsid w:val="379A84A5"/>
    <w:rsid w:val="38C2A70F"/>
    <w:rsid w:val="39818A8D"/>
    <w:rsid w:val="3C0C1A20"/>
    <w:rsid w:val="3CA6295D"/>
    <w:rsid w:val="3D2B1EC2"/>
    <w:rsid w:val="3D61BFA8"/>
    <w:rsid w:val="3F28CEF4"/>
    <w:rsid w:val="4028397D"/>
    <w:rsid w:val="44FD9084"/>
    <w:rsid w:val="45A12A17"/>
    <w:rsid w:val="45E82EBC"/>
    <w:rsid w:val="460EFAAD"/>
    <w:rsid w:val="4783B7CF"/>
    <w:rsid w:val="47D69A2E"/>
    <w:rsid w:val="488D99E0"/>
    <w:rsid w:val="48A386BD"/>
    <w:rsid w:val="48A3AC3C"/>
    <w:rsid w:val="48D8CAD9"/>
    <w:rsid w:val="49B3656F"/>
    <w:rsid w:val="4A2988C0"/>
    <w:rsid w:val="4A32A25A"/>
    <w:rsid w:val="4A3F7C9D"/>
    <w:rsid w:val="4C48F6F5"/>
    <w:rsid w:val="4C701221"/>
    <w:rsid w:val="4C82E51A"/>
    <w:rsid w:val="4CB925F9"/>
    <w:rsid w:val="4D52500C"/>
    <w:rsid w:val="4D76F7E0"/>
    <w:rsid w:val="4DBE0C8C"/>
    <w:rsid w:val="4DE4C756"/>
    <w:rsid w:val="4E2E4734"/>
    <w:rsid w:val="4F28567C"/>
    <w:rsid w:val="4F61CC32"/>
    <w:rsid w:val="502E7DB3"/>
    <w:rsid w:val="50C8ED5D"/>
    <w:rsid w:val="50EBCA44"/>
    <w:rsid w:val="5129C543"/>
    <w:rsid w:val="521184AB"/>
    <w:rsid w:val="523A52E9"/>
    <w:rsid w:val="52F1B054"/>
    <w:rsid w:val="575B0BC8"/>
    <w:rsid w:val="57629D91"/>
    <w:rsid w:val="57A439E2"/>
    <w:rsid w:val="58FE6DF2"/>
    <w:rsid w:val="5A42FFC0"/>
    <w:rsid w:val="5A5C4268"/>
    <w:rsid w:val="5B1A27B2"/>
    <w:rsid w:val="5B5E1904"/>
    <w:rsid w:val="5BC2548E"/>
    <w:rsid w:val="5C2E7CEB"/>
    <w:rsid w:val="5CCBE5DF"/>
    <w:rsid w:val="5CF9355D"/>
    <w:rsid w:val="5D35EC17"/>
    <w:rsid w:val="5D47E752"/>
    <w:rsid w:val="5D7D677F"/>
    <w:rsid w:val="5E5015A2"/>
    <w:rsid w:val="5F4CEB88"/>
    <w:rsid w:val="5FCA3507"/>
    <w:rsid w:val="5FEBFFC1"/>
    <w:rsid w:val="6101AA64"/>
    <w:rsid w:val="6153CBCE"/>
    <w:rsid w:val="6190636B"/>
    <w:rsid w:val="61DC88A4"/>
    <w:rsid w:val="62295B1E"/>
    <w:rsid w:val="6267544D"/>
    <w:rsid w:val="63EFC1EB"/>
    <w:rsid w:val="652FC325"/>
    <w:rsid w:val="659BCDE1"/>
    <w:rsid w:val="6657B70C"/>
    <w:rsid w:val="665CF9C7"/>
    <w:rsid w:val="669D8175"/>
    <w:rsid w:val="674D3BC0"/>
    <w:rsid w:val="684BCA28"/>
    <w:rsid w:val="688A0281"/>
    <w:rsid w:val="69CE3304"/>
    <w:rsid w:val="6A033448"/>
    <w:rsid w:val="6A25D2E2"/>
    <w:rsid w:val="6A54AB49"/>
    <w:rsid w:val="6B258F29"/>
    <w:rsid w:val="6B2D366A"/>
    <w:rsid w:val="6BF17FEE"/>
    <w:rsid w:val="6D26B4D9"/>
    <w:rsid w:val="6F13A5EA"/>
    <w:rsid w:val="6F3E3905"/>
    <w:rsid w:val="6FEEB52F"/>
    <w:rsid w:val="703DB3B0"/>
    <w:rsid w:val="704080CF"/>
    <w:rsid w:val="707275CC"/>
    <w:rsid w:val="70FFA6AC"/>
    <w:rsid w:val="710FD428"/>
    <w:rsid w:val="719C77EE"/>
    <w:rsid w:val="71B4246D"/>
    <w:rsid w:val="7279F4B9"/>
    <w:rsid w:val="7312584F"/>
    <w:rsid w:val="744774EA"/>
    <w:rsid w:val="7509E43D"/>
    <w:rsid w:val="75135FD0"/>
    <w:rsid w:val="75387F97"/>
    <w:rsid w:val="75CE8D40"/>
    <w:rsid w:val="75E3454B"/>
    <w:rsid w:val="7661E2BA"/>
    <w:rsid w:val="76AB6DD2"/>
    <w:rsid w:val="774C6CBF"/>
    <w:rsid w:val="777888DB"/>
    <w:rsid w:val="7A195812"/>
    <w:rsid w:val="7B4B223B"/>
    <w:rsid w:val="7B939F99"/>
    <w:rsid w:val="7C703F99"/>
    <w:rsid w:val="7CA8EB66"/>
    <w:rsid w:val="7CD1243E"/>
    <w:rsid w:val="7CEA4C9B"/>
    <w:rsid w:val="7D1BAAF0"/>
    <w:rsid w:val="7DB54FAA"/>
    <w:rsid w:val="7F010698"/>
    <w:rsid w:val="7F59C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6D37D"/>
  <w15:docId w15:val="{F83A5018-1DE6-B34C-8FFE-C475972C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04"/>
  </w:style>
  <w:style w:type="paragraph" w:styleId="Ttulo1">
    <w:name w:val="heading 1"/>
    <w:basedOn w:val="Normal"/>
    <w:next w:val="Normal"/>
    <w:link w:val="Ttulo1Char"/>
    <w:uiPriority w:val="9"/>
    <w:qFormat/>
    <w:rsid w:val="00E8349E"/>
    <w:pPr>
      <w:autoSpaceDE w:val="0"/>
      <w:autoSpaceDN w:val="0"/>
      <w:adjustRightInd w:val="0"/>
      <w:spacing w:after="12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0504"/>
    <w:pPr>
      <w:widowControl w:val="0"/>
      <w:spacing w:before="1" w:after="0" w:line="240" w:lineRule="auto"/>
      <w:ind w:left="1824" w:right="322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uiPriority w:val="10"/>
    <w:qFormat/>
    <w:rsid w:val="005B427D"/>
  </w:style>
  <w:style w:type="table" w:customStyle="1" w:styleId="NormalTable1">
    <w:name w:val="Normal Table1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E0504"/>
    <w:pPr>
      <w:spacing w:before="200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473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73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A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3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33179D"/>
  </w:style>
  <w:style w:type="character" w:customStyle="1" w:styleId="eop">
    <w:name w:val="eop"/>
    <w:basedOn w:val="Fontepargpadro"/>
    <w:rsid w:val="0033179D"/>
  </w:style>
  <w:style w:type="character" w:customStyle="1" w:styleId="spellingerror">
    <w:name w:val="spellingerror"/>
    <w:basedOn w:val="Fontepargpadro"/>
    <w:rsid w:val="0033179D"/>
  </w:style>
  <w:style w:type="character" w:customStyle="1" w:styleId="contextualspellingandgrammarerror">
    <w:name w:val="contextualspellingandgrammarerror"/>
    <w:basedOn w:val="Fontepargpadro"/>
    <w:rsid w:val="0033179D"/>
  </w:style>
  <w:style w:type="paragraph" w:styleId="PargrafodaLista">
    <w:name w:val="List Paragraph"/>
    <w:basedOn w:val="Normal"/>
    <w:uiPriority w:val="34"/>
    <w:qFormat/>
    <w:rsid w:val="008D22D0"/>
    <w:pPr>
      <w:ind w:left="720"/>
      <w:contextualSpacing/>
    </w:pPr>
  </w:style>
  <w:style w:type="table" w:styleId="Tabelacomgrade">
    <w:name w:val="Table Grid"/>
    <w:basedOn w:val="Tabelanormal"/>
    <w:uiPriority w:val="39"/>
    <w:rsid w:val="0091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E40"/>
  </w:style>
  <w:style w:type="paragraph" w:styleId="Rodap">
    <w:name w:val="footer"/>
    <w:basedOn w:val="Normal"/>
    <w:link w:val="Rodap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E40"/>
  </w:style>
  <w:style w:type="paragraph" w:styleId="CabealhodoSumrio">
    <w:name w:val="TOC Heading"/>
    <w:basedOn w:val="Ttulo1"/>
    <w:next w:val="Normal"/>
    <w:uiPriority w:val="39"/>
    <w:unhideWhenUsed/>
    <w:qFormat/>
    <w:rsid w:val="00912100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4B341D"/>
    <w:pPr>
      <w:tabs>
        <w:tab w:val="right" w:leader="dot" w:pos="8494"/>
      </w:tabs>
      <w:spacing w:before="120" w:after="0"/>
      <w:jc w:val="both"/>
    </w:pPr>
    <w:rPr>
      <w:rFonts w:ascii="Arial" w:hAnsi="Arial"/>
      <w:bCs/>
      <w:iCs/>
      <w:noProof/>
      <w:sz w:val="20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912100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912100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1210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1210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1210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1210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12100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12100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SemEspaamento">
    <w:name w:val="No Spacing"/>
    <w:uiPriority w:val="1"/>
    <w:qFormat/>
    <w:rsid w:val="00FE334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21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E65B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1.tce.pr.gov.br/multimidia/2023/10/pdf/00380277.pdf" TargetMode="External"/><Relationship Id="rId18" Type="http://schemas.openxmlformats.org/officeDocument/2006/relationships/hyperlink" Target="http://www1.tce.pr.gov.br/conteudo/boletim-de-jurisprudencia-internacional/316601/area/249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1.tce.pr.gov.br/multimidia/2023/10/pdf/00380237.pdf" TargetMode="External"/><Relationship Id="rId17" Type="http://schemas.openxmlformats.org/officeDocument/2006/relationships/hyperlink" Target="http://www1.tce.pr.gov.br/conteudo/teses-ambientais/316603/area/2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1.tce.pr.gov.br/conteudo/pesquisas-prontas/308475/area/249" TargetMode="External"/><Relationship Id="rId20" Type="http://schemas.openxmlformats.org/officeDocument/2006/relationships/hyperlink" Target="http://www1.tce.pr.gov.br/conteudo/sumulas-selecionadas/316602/area/24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1.tce.pr.gov.br/multimidia/2023/10/pdf/00379866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1.tce.pr.gov.br/conteudo/repercussao-geral-no-stf-e-os-tribunais-de-contas/307026/area/24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1.tce.pr.gov.br/multimidia/2023/5/pdf/00373973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866433455D4A44B3FF26D3E158E8A3" ma:contentTypeVersion="7" ma:contentTypeDescription="Crie um novo documento." ma:contentTypeScope="" ma:versionID="5f6fe9857337afd2487d84d6a9f99569">
  <xsd:schema xmlns:xsd="http://www.w3.org/2001/XMLSchema" xmlns:xs="http://www.w3.org/2001/XMLSchema" xmlns:p="http://schemas.microsoft.com/office/2006/metadata/properties" xmlns:ns2="f62bad52-2a6e-40b3-a3af-2da62eb33b1b" xmlns:ns3="0679600b-37c4-4a70-a7c4-c4f216b34211" targetNamespace="http://schemas.microsoft.com/office/2006/metadata/properties" ma:root="true" ma:fieldsID="d1cedce80267e40600dc352f2429a5d7" ns2:_="" ns3:_="">
    <xsd:import namespace="f62bad52-2a6e-40b3-a3af-2da62eb33b1b"/>
    <xsd:import namespace="0679600b-37c4-4a70-a7c4-c4f216b34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ad52-2a6e-40b3-a3af-2da62eb33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9600b-37c4-4a70-a7c4-c4f216b34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j1WaZ57oWgmG+x55m+ksCdsl6A==">AMUW2mUhP3Z+Zv/Kp+73SKBog/nhBTGkZHQck/NAIAfPL0TsGEn1cX+xD0gaYcIpBhansl+Zbrh6QaIOXhX3VxeGw8LbLIWYNj6NQQZOdvo9Rg/razBD0VUmpN4sf1LOhYvzSTpXh7xTVvNcmEwpChRuEIjHZ1zvzXuVC4U8/tWFOl7eQNwWXHA=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208239-AE8C-447E-8C19-CD8972E9E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BC35C-67BB-4CBE-870B-ABC08BF0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bad52-2a6e-40b3-a3af-2da62eb33b1b"/>
    <ds:schemaRef ds:uri="0679600b-37c4-4a70-a7c4-c4f216b34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DA57E-0C77-4226-AF69-B25669B53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CDCCE19-B0C8-4E19-9B2A-61002977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2607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Isidio Martins</dc:creator>
  <cp:keywords/>
  <dc:description/>
  <cp:lastModifiedBy>Fernando do Rego Barros Filho</cp:lastModifiedBy>
  <cp:revision>2</cp:revision>
  <cp:lastPrinted>2023-07-25T17:06:00Z</cp:lastPrinted>
  <dcterms:created xsi:type="dcterms:W3CDTF">2024-01-08T14:17:00Z</dcterms:created>
  <dcterms:modified xsi:type="dcterms:W3CDTF">2024-01-08T14:17:00Z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0x0101000B866433455D4A44B3FF26D3E158E8A3</vt:lpwstr>
  </property>
</Properties>
</file>