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401EE0">
        <w:rPr>
          <w:rFonts w:ascii="Arial" w:hAnsi="Arial" w:cs="Arial"/>
          <w:b/>
          <w:sz w:val="20"/>
          <w:szCs w:val="20"/>
        </w:rPr>
        <w:t>2</w:t>
      </w:r>
      <w:r w:rsidR="00214E2C">
        <w:rPr>
          <w:rFonts w:ascii="Arial" w:hAnsi="Arial" w:cs="Arial"/>
          <w:b/>
          <w:sz w:val="20"/>
          <w:szCs w:val="20"/>
        </w:rPr>
        <w:t>3</w:t>
      </w:r>
    </w:p>
    <w:p w:rsidR="006F08D4" w:rsidRPr="0022060B" w:rsidRDefault="006F08D4" w:rsidP="00816942">
      <w:pPr>
        <w:spacing w:after="0"/>
        <w:jc w:val="center"/>
        <w:rPr>
          <w:rFonts w:ascii="Arial" w:hAnsi="Arial" w:cs="Arial"/>
          <w:b/>
          <w:sz w:val="20"/>
          <w:szCs w:val="20"/>
        </w:rPr>
      </w:pPr>
    </w:p>
    <w:p w:rsidR="001B5F7A" w:rsidRPr="0022060B" w:rsidRDefault="001B5F7A" w:rsidP="00816942">
      <w:pPr>
        <w:spacing w:after="0"/>
        <w:jc w:val="center"/>
        <w:rPr>
          <w:rFonts w:ascii="Arial" w:hAnsi="Arial" w:cs="Arial"/>
          <w:b/>
          <w:sz w:val="20"/>
          <w:szCs w:val="20"/>
        </w:rPr>
      </w:pPr>
      <w:r w:rsidRPr="0022060B">
        <w:rPr>
          <w:rFonts w:ascii="Arial" w:hAnsi="Arial" w:cs="Arial"/>
          <w:b/>
          <w:sz w:val="20"/>
          <w:szCs w:val="20"/>
        </w:rPr>
        <w:t xml:space="preserve">Sessões: </w:t>
      </w:r>
      <w:r w:rsidR="00214E2C">
        <w:rPr>
          <w:rFonts w:ascii="Arial" w:hAnsi="Arial" w:cs="Arial"/>
          <w:b/>
          <w:sz w:val="20"/>
          <w:szCs w:val="20"/>
        </w:rPr>
        <w:t>22</w:t>
      </w:r>
      <w:r w:rsidR="00814325">
        <w:rPr>
          <w:rFonts w:ascii="Arial" w:hAnsi="Arial" w:cs="Arial"/>
          <w:b/>
          <w:sz w:val="20"/>
          <w:szCs w:val="20"/>
        </w:rPr>
        <w:t>.0</w:t>
      </w:r>
      <w:r w:rsidR="00214E2C">
        <w:rPr>
          <w:rFonts w:ascii="Arial" w:hAnsi="Arial" w:cs="Arial"/>
          <w:b/>
          <w:sz w:val="20"/>
          <w:szCs w:val="20"/>
        </w:rPr>
        <w:t>8</w:t>
      </w:r>
      <w:r w:rsidR="005A0FD0" w:rsidRPr="0022060B">
        <w:rPr>
          <w:rFonts w:ascii="Arial" w:hAnsi="Arial" w:cs="Arial"/>
          <w:b/>
          <w:sz w:val="20"/>
          <w:szCs w:val="20"/>
        </w:rPr>
        <w:t xml:space="preserve"> </w:t>
      </w:r>
      <w:r w:rsidR="000D4DE6" w:rsidRPr="0022060B">
        <w:rPr>
          <w:rFonts w:ascii="Arial" w:hAnsi="Arial" w:cs="Arial"/>
          <w:b/>
          <w:sz w:val="20"/>
          <w:szCs w:val="20"/>
        </w:rPr>
        <w:t>a</w:t>
      </w:r>
      <w:r w:rsidRPr="0022060B">
        <w:rPr>
          <w:rFonts w:ascii="Arial" w:hAnsi="Arial" w:cs="Arial"/>
          <w:b/>
          <w:sz w:val="20"/>
          <w:szCs w:val="20"/>
        </w:rPr>
        <w:t xml:space="preserve"> </w:t>
      </w:r>
      <w:r w:rsidR="00214E2C">
        <w:rPr>
          <w:rFonts w:ascii="Arial" w:hAnsi="Arial" w:cs="Arial"/>
          <w:b/>
          <w:sz w:val="20"/>
          <w:szCs w:val="20"/>
        </w:rPr>
        <w:t>31</w:t>
      </w:r>
      <w:r w:rsidR="005A0FD0" w:rsidRPr="0022060B">
        <w:rPr>
          <w:rFonts w:ascii="Arial" w:hAnsi="Arial" w:cs="Arial"/>
          <w:b/>
          <w:sz w:val="20"/>
          <w:szCs w:val="20"/>
        </w:rPr>
        <w:t>.0</w:t>
      </w:r>
      <w:r w:rsidR="00214E2C">
        <w:rPr>
          <w:rFonts w:ascii="Arial" w:hAnsi="Arial" w:cs="Arial"/>
          <w:b/>
          <w:sz w:val="20"/>
          <w:szCs w:val="20"/>
        </w:rPr>
        <w:t>8</w:t>
      </w:r>
      <w:r w:rsidRPr="0022060B">
        <w:rPr>
          <w:rFonts w:ascii="Arial" w:hAnsi="Arial" w:cs="Arial"/>
          <w:b/>
          <w:sz w:val="20"/>
          <w:szCs w:val="20"/>
        </w:rPr>
        <w:t xml:space="preserve"> de 201</w:t>
      </w:r>
      <w:r w:rsidR="005A0FD0" w:rsidRPr="0022060B">
        <w:rPr>
          <w:rFonts w:ascii="Arial" w:hAnsi="Arial" w:cs="Arial"/>
          <w:b/>
          <w:sz w:val="20"/>
          <w:szCs w:val="20"/>
        </w:rPr>
        <w:t>7</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EA7D4E">
      <w:pPr>
        <w:shd w:val="pct10" w:color="auto" w:fill="auto"/>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9F29D2" w:rsidRDefault="009F29D2" w:rsidP="002B4AA2">
      <w:pPr>
        <w:autoSpaceDE w:val="0"/>
        <w:autoSpaceDN w:val="0"/>
        <w:adjustRightInd w:val="0"/>
        <w:spacing w:after="0"/>
        <w:jc w:val="both"/>
        <w:rPr>
          <w:rFonts w:ascii="Arial" w:hAnsi="Arial" w:cs="Arial"/>
          <w:sz w:val="20"/>
          <w:szCs w:val="20"/>
        </w:rPr>
      </w:pPr>
      <w:r w:rsidRPr="009F29D2">
        <w:rPr>
          <w:rFonts w:ascii="Arial" w:hAnsi="Arial" w:cs="Arial"/>
          <w:sz w:val="20"/>
          <w:szCs w:val="20"/>
        </w:rPr>
        <w:t>1. Admissão de Pessoal. Concurso Público. Publicação Edital. Prazo de inscrições. Antecedência. Critérios. Maior idade. Estatuto do Idoso.</w:t>
      </w:r>
    </w:p>
    <w:p w:rsidR="002B4AA2" w:rsidRPr="009F29D2" w:rsidRDefault="002B4AA2" w:rsidP="002B4AA2">
      <w:pPr>
        <w:autoSpaceDE w:val="0"/>
        <w:autoSpaceDN w:val="0"/>
        <w:adjustRightInd w:val="0"/>
        <w:spacing w:after="0"/>
        <w:jc w:val="both"/>
        <w:rPr>
          <w:rFonts w:ascii="Arial" w:hAnsi="Arial" w:cs="Arial"/>
          <w:sz w:val="20"/>
          <w:szCs w:val="20"/>
        </w:rPr>
      </w:pPr>
    </w:p>
    <w:p w:rsidR="009F29D2" w:rsidRPr="009F29D2" w:rsidRDefault="009F29D2" w:rsidP="002B4AA2">
      <w:pPr>
        <w:spacing w:after="0"/>
        <w:jc w:val="both"/>
        <w:rPr>
          <w:rFonts w:ascii="Arial" w:hAnsi="Arial" w:cs="Arial"/>
          <w:sz w:val="20"/>
          <w:szCs w:val="20"/>
        </w:rPr>
      </w:pPr>
      <w:r w:rsidRPr="009F29D2">
        <w:rPr>
          <w:rFonts w:ascii="Arial" w:hAnsi="Arial" w:cs="Arial"/>
          <w:sz w:val="20"/>
          <w:szCs w:val="20"/>
        </w:rPr>
        <w:t xml:space="preserve">2. Prestação de Contas de instituto de previdência. Exercício financeiro de 2013. Falta de credenciamento das instituições para receberem recursos dos RPPS. Irregularidade das contas. </w:t>
      </w:r>
    </w:p>
    <w:p w:rsidR="002B4AA2" w:rsidRDefault="002B4AA2" w:rsidP="002B4AA2">
      <w:pPr>
        <w:spacing w:after="0"/>
        <w:jc w:val="both"/>
        <w:rPr>
          <w:rFonts w:ascii="Arial" w:hAnsi="Arial" w:cs="Arial"/>
          <w:sz w:val="20"/>
          <w:szCs w:val="20"/>
        </w:rPr>
      </w:pPr>
    </w:p>
    <w:p w:rsidR="009F29D2" w:rsidRDefault="009F29D2" w:rsidP="002B4AA2">
      <w:pPr>
        <w:spacing w:after="0"/>
        <w:jc w:val="both"/>
        <w:rPr>
          <w:rFonts w:ascii="Arial" w:hAnsi="Arial" w:cs="Arial"/>
          <w:sz w:val="20"/>
          <w:szCs w:val="20"/>
        </w:rPr>
      </w:pPr>
      <w:r w:rsidRPr="009F29D2">
        <w:rPr>
          <w:rFonts w:ascii="Arial" w:hAnsi="Arial" w:cs="Arial"/>
          <w:sz w:val="20"/>
          <w:szCs w:val="20"/>
        </w:rPr>
        <w:t xml:space="preserve">3. Prestação de Contas. Prefeito Municipal. Não cumprimento do índice de 15% em aplicação dos recursos em ações de saúde pública. Aplicação do Prejulgado nº 18. Parecer Prévio que recomenda irregularidade das contas. Aplicação de multa. </w:t>
      </w:r>
    </w:p>
    <w:p w:rsidR="002B4AA2" w:rsidRPr="009F29D2" w:rsidRDefault="002B4AA2" w:rsidP="002B4AA2">
      <w:pPr>
        <w:spacing w:after="0"/>
        <w:jc w:val="both"/>
        <w:rPr>
          <w:rFonts w:ascii="Arial" w:hAnsi="Arial" w:cs="Arial"/>
          <w:sz w:val="20"/>
          <w:szCs w:val="20"/>
        </w:rPr>
      </w:pPr>
    </w:p>
    <w:p w:rsidR="009F29D2" w:rsidRDefault="009F29D2" w:rsidP="002B4AA2">
      <w:pPr>
        <w:autoSpaceDE w:val="0"/>
        <w:autoSpaceDN w:val="0"/>
        <w:adjustRightInd w:val="0"/>
        <w:spacing w:after="0"/>
        <w:jc w:val="both"/>
        <w:rPr>
          <w:rFonts w:ascii="Arial" w:hAnsi="Arial" w:cs="Arial"/>
          <w:color w:val="000000"/>
          <w:sz w:val="20"/>
          <w:szCs w:val="20"/>
          <w:shd w:val="clear" w:color="auto" w:fill="FFFFFF"/>
        </w:rPr>
      </w:pPr>
      <w:r w:rsidRPr="009F29D2">
        <w:rPr>
          <w:rFonts w:ascii="Arial" w:hAnsi="Arial" w:cs="Arial"/>
          <w:color w:val="000000"/>
          <w:sz w:val="20"/>
          <w:szCs w:val="20"/>
          <w:shd w:val="clear" w:color="auto" w:fill="FFFFFF"/>
        </w:rPr>
        <w:t>4. Consulta. Servidor Público. Magistério. Jornada de trabalho. Aumento de carga horária. Função de Direção. Dedicação integral.</w:t>
      </w:r>
    </w:p>
    <w:p w:rsidR="002B4AA2" w:rsidRPr="009F29D2" w:rsidRDefault="002B4AA2" w:rsidP="002B4AA2">
      <w:pPr>
        <w:autoSpaceDE w:val="0"/>
        <w:autoSpaceDN w:val="0"/>
        <w:adjustRightInd w:val="0"/>
        <w:spacing w:after="0"/>
        <w:jc w:val="both"/>
        <w:rPr>
          <w:rFonts w:ascii="Arial" w:hAnsi="Arial" w:cs="Arial"/>
          <w:color w:val="000000"/>
          <w:sz w:val="20"/>
          <w:szCs w:val="20"/>
          <w:shd w:val="clear" w:color="auto" w:fill="FFFFFF"/>
        </w:rPr>
      </w:pPr>
    </w:p>
    <w:p w:rsidR="009F29D2" w:rsidRDefault="009F29D2" w:rsidP="002B4AA2">
      <w:pPr>
        <w:autoSpaceDE w:val="0"/>
        <w:autoSpaceDN w:val="0"/>
        <w:adjustRightInd w:val="0"/>
        <w:spacing w:after="0"/>
        <w:jc w:val="both"/>
        <w:rPr>
          <w:rFonts w:ascii="Arial" w:hAnsi="Arial" w:cs="Arial"/>
          <w:color w:val="000000"/>
          <w:sz w:val="20"/>
          <w:szCs w:val="20"/>
          <w:shd w:val="clear" w:color="auto" w:fill="FFFFFF"/>
        </w:rPr>
      </w:pPr>
      <w:r w:rsidRPr="009F29D2">
        <w:rPr>
          <w:rFonts w:ascii="Arial" w:hAnsi="Arial" w:cs="Arial"/>
          <w:color w:val="000000"/>
          <w:sz w:val="20"/>
          <w:szCs w:val="20"/>
          <w:shd w:val="clear" w:color="auto" w:fill="FFFFFF"/>
        </w:rPr>
        <w:t>5. Denúncia. Termo de Parceria. Conselhos de Políticas Públicas. Consulta. Urgência. Lei 9.790/90.</w:t>
      </w:r>
    </w:p>
    <w:p w:rsidR="002B4AA2" w:rsidRPr="009F29D2" w:rsidRDefault="002B4AA2" w:rsidP="002B4AA2">
      <w:pPr>
        <w:autoSpaceDE w:val="0"/>
        <w:autoSpaceDN w:val="0"/>
        <w:adjustRightInd w:val="0"/>
        <w:spacing w:after="0"/>
        <w:jc w:val="both"/>
        <w:rPr>
          <w:rFonts w:ascii="Arial" w:hAnsi="Arial" w:cs="Arial"/>
          <w:color w:val="000000"/>
          <w:sz w:val="20"/>
          <w:szCs w:val="20"/>
          <w:shd w:val="clear" w:color="auto" w:fill="FFFFFF"/>
        </w:rPr>
      </w:pPr>
    </w:p>
    <w:p w:rsidR="009F29D2" w:rsidRDefault="009F29D2" w:rsidP="002B4AA2">
      <w:pPr>
        <w:autoSpaceDE w:val="0"/>
        <w:autoSpaceDN w:val="0"/>
        <w:adjustRightInd w:val="0"/>
        <w:spacing w:after="0"/>
        <w:jc w:val="both"/>
        <w:rPr>
          <w:rFonts w:ascii="Arial" w:hAnsi="Arial" w:cs="Arial"/>
          <w:color w:val="000000"/>
          <w:sz w:val="20"/>
          <w:szCs w:val="20"/>
          <w:shd w:val="clear" w:color="auto" w:fill="FFFFFF"/>
        </w:rPr>
      </w:pPr>
      <w:r w:rsidRPr="009F29D2">
        <w:rPr>
          <w:rFonts w:ascii="Arial" w:hAnsi="Arial" w:cs="Arial"/>
          <w:color w:val="000000"/>
          <w:sz w:val="20"/>
          <w:szCs w:val="20"/>
          <w:shd w:val="clear" w:color="auto" w:fill="FFFFFF"/>
        </w:rPr>
        <w:t xml:space="preserve">6. Representação da Lei Nº 8.666/1993. Edital de licitação. Falta de publicação. Necessidade de compra. Limitação de acesso. </w:t>
      </w:r>
    </w:p>
    <w:p w:rsidR="002B4AA2" w:rsidRPr="009F29D2" w:rsidRDefault="002B4AA2" w:rsidP="002B4AA2">
      <w:pPr>
        <w:autoSpaceDE w:val="0"/>
        <w:autoSpaceDN w:val="0"/>
        <w:adjustRightInd w:val="0"/>
        <w:spacing w:after="0"/>
        <w:jc w:val="both"/>
        <w:rPr>
          <w:rFonts w:ascii="Arial" w:hAnsi="Arial" w:cs="Arial"/>
          <w:color w:val="000000"/>
          <w:sz w:val="20"/>
          <w:szCs w:val="20"/>
          <w:shd w:val="clear" w:color="auto" w:fill="FFFFFF"/>
        </w:rPr>
      </w:pPr>
    </w:p>
    <w:p w:rsidR="009F29D2" w:rsidRPr="009F29D2" w:rsidRDefault="009F29D2" w:rsidP="002B4AA2">
      <w:pPr>
        <w:autoSpaceDE w:val="0"/>
        <w:autoSpaceDN w:val="0"/>
        <w:adjustRightInd w:val="0"/>
        <w:spacing w:after="0"/>
        <w:jc w:val="both"/>
        <w:rPr>
          <w:rFonts w:ascii="Arial" w:hAnsi="Arial" w:cs="Arial"/>
          <w:color w:val="000000"/>
          <w:sz w:val="20"/>
          <w:szCs w:val="20"/>
          <w:shd w:val="clear" w:color="auto" w:fill="FFFFFF"/>
        </w:rPr>
      </w:pPr>
      <w:r w:rsidRPr="009F29D2">
        <w:rPr>
          <w:rFonts w:ascii="Arial" w:hAnsi="Arial" w:cs="Arial"/>
          <w:sz w:val="20"/>
          <w:szCs w:val="20"/>
        </w:rPr>
        <w:t>7. Tomada de Contas Extraordinária. Autos de Infração Ambiental. Ausência de Cobrança dos Valores Apurados. Falta de Inscrição em Dívida Ativa. Falhas na Gestão dos Procedimentos Administrativos e Inscrição em Dívida Ativa. Risco de Prescrição Administrativa das Sanções impostas. Decreto Federal n° 6514/2008. Ameaça de Lesão ao Erário Pública configurada. Procedência. Aplicação de Sanções.</w:t>
      </w:r>
    </w:p>
    <w:p w:rsidR="009F29D2" w:rsidRDefault="009F29D2" w:rsidP="002B4AA2">
      <w:pPr>
        <w:autoSpaceDE w:val="0"/>
        <w:autoSpaceDN w:val="0"/>
        <w:adjustRightInd w:val="0"/>
        <w:spacing w:after="0"/>
        <w:jc w:val="both"/>
        <w:rPr>
          <w:rFonts w:ascii="Arial" w:hAnsi="Arial" w:cs="Arial"/>
          <w:sz w:val="20"/>
          <w:szCs w:val="20"/>
        </w:rPr>
      </w:pPr>
      <w:r w:rsidRPr="009F29D2">
        <w:rPr>
          <w:rFonts w:ascii="Arial" w:hAnsi="Arial" w:cs="Arial"/>
          <w:sz w:val="20"/>
          <w:szCs w:val="20"/>
        </w:rPr>
        <w:lastRenderedPageBreak/>
        <w:t xml:space="preserve">8. Representação da Lei nº 8.666/93. Contratação mediante registro de preço, visando à contratação de empresa para fornecimento de suporte para festas e eventos municipais. Evidente discrepância dos preços praticados. Empenhos e Ordens de serviços emitidos antes mesmo de se esgotarem todos os prazos legais. Presente o </w:t>
      </w:r>
      <w:r w:rsidRPr="009F29D2">
        <w:rPr>
          <w:rFonts w:ascii="Arial" w:hAnsi="Arial" w:cs="Arial"/>
          <w:i/>
          <w:iCs/>
          <w:sz w:val="20"/>
          <w:szCs w:val="20"/>
        </w:rPr>
        <w:t xml:space="preserve">“periculum in mora </w:t>
      </w:r>
      <w:r w:rsidRPr="009F29D2">
        <w:rPr>
          <w:rFonts w:ascii="Arial" w:hAnsi="Arial" w:cs="Arial"/>
          <w:sz w:val="20"/>
          <w:szCs w:val="20"/>
        </w:rPr>
        <w:t>”, para o deferimento da medida urgência. Deferimento da medida cautelar, suspendendo os efeitos do certame, considerando a presença de indícios do direito alegado.</w:t>
      </w:r>
    </w:p>
    <w:p w:rsidR="002B4AA2" w:rsidRPr="009F29D2" w:rsidRDefault="002B4AA2" w:rsidP="002B4AA2">
      <w:pPr>
        <w:autoSpaceDE w:val="0"/>
        <w:autoSpaceDN w:val="0"/>
        <w:adjustRightInd w:val="0"/>
        <w:spacing w:after="0"/>
        <w:jc w:val="both"/>
        <w:rPr>
          <w:rFonts w:ascii="Arial" w:hAnsi="Arial" w:cs="Arial"/>
          <w:sz w:val="20"/>
          <w:szCs w:val="20"/>
        </w:rPr>
      </w:pPr>
    </w:p>
    <w:p w:rsidR="009F29D2" w:rsidRDefault="009F29D2" w:rsidP="002B4AA2">
      <w:pPr>
        <w:autoSpaceDE w:val="0"/>
        <w:autoSpaceDN w:val="0"/>
        <w:adjustRightInd w:val="0"/>
        <w:spacing w:after="0"/>
        <w:jc w:val="both"/>
        <w:rPr>
          <w:rFonts w:ascii="Arial" w:hAnsi="Arial" w:cs="Arial"/>
          <w:sz w:val="20"/>
          <w:szCs w:val="20"/>
        </w:rPr>
      </w:pPr>
      <w:r w:rsidRPr="009F29D2">
        <w:rPr>
          <w:rFonts w:ascii="Arial" w:hAnsi="Arial" w:cs="Arial"/>
          <w:sz w:val="20"/>
          <w:szCs w:val="20"/>
        </w:rPr>
        <w:t>9. Tomada de Contas Extraordinária. Pagamentos realizados sem a apresentação dos comprovantes de execução de despesas. Danos aos cofres públicos. Conduta praticada por servidor. Ato que não possui nexo de causal idade com a conduta dos gestores. Medidas concretas efetivadas por esses visando a averiguação e responsabilização do responsável. Servidor que acumulou funções de diversas etapas da execução de despesas. Ofensa ao Princípio da Segregação de Funções. Procedência Parcial. Restituição de valores. Multa. Recomendação.</w:t>
      </w:r>
    </w:p>
    <w:p w:rsidR="002B4AA2" w:rsidRPr="009F29D2" w:rsidRDefault="002B4AA2" w:rsidP="002B4AA2">
      <w:pPr>
        <w:autoSpaceDE w:val="0"/>
        <w:autoSpaceDN w:val="0"/>
        <w:adjustRightInd w:val="0"/>
        <w:spacing w:after="0"/>
        <w:jc w:val="both"/>
        <w:rPr>
          <w:rFonts w:ascii="Arial" w:hAnsi="Arial" w:cs="Arial"/>
          <w:sz w:val="20"/>
          <w:szCs w:val="20"/>
        </w:rPr>
      </w:pPr>
    </w:p>
    <w:p w:rsidR="00712A93" w:rsidRPr="0022060B" w:rsidRDefault="00712A93" w:rsidP="00EA7D4E">
      <w:pPr>
        <w:shd w:val="pct10" w:color="auto" w:fill="auto"/>
        <w:jc w:val="center"/>
        <w:rPr>
          <w:rFonts w:ascii="Arial" w:hAnsi="Arial" w:cs="Arial"/>
          <w:b/>
          <w:sz w:val="20"/>
          <w:szCs w:val="20"/>
        </w:rPr>
      </w:pPr>
      <w:r w:rsidRPr="0022060B">
        <w:rPr>
          <w:rFonts w:ascii="Arial" w:hAnsi="Arial" w:cs="Arial"/>
          <w:b/>
          <w:sz w:val="20"/>
          <w:szCs w:val="20"/>
        </w:rPr>
        <w:t>PRIMEIRA CÂMARA</w:t>
      </w:r>
    </w:p>
    <w:p w:rsidR="005F7E35" w:rsidRDefault="00960D5D" w:rsidP="002B4AA2">
      <w:pPr>
        <w:autoSpaceDE w:val="0"/>
        <w:autoSpaceDN w:val="0"/>
        <w:adjustRightInd w:val="0"/>
        <w:spacing w:after="0"/>
        <w:jc w:val="both"/>
        <w:rPr>
          <w:rFonts w:ascii="Arial" w:hAnsi="Arial" w:cs="Arial"/>
          <w:b/>
          <w:sz w:val="20"/>
          <w:szCs w:val="20"/>
        </w:rPr>
      </w:pPr>
      <w:r w:rsidRPr="00960D5D">
        <w:rPr>
          <w:rFonts w:ascii="Arial" w:hAnsi="Arial" w:cs="Arial"/>
          <w:b/>
          <w:sz w:val="20"/>
          <w:szCs w:val="20"/>
        </w:rPr>
        <w:t>1.</w:t>
      </w:r>
      <w:r>
        <w:rPr>
          <w:rFonts w:ascii="Arial" w:hAnsi="Arial" w:cs="Arial"/>
          <w:b/>
          <w:sz w:val="20"/>
          <w:szCs w:val="20"/>
        </w:rPr>
        <w:t xml:space="preserve"> </w:t>
      </w:r>
      <w:r w:rsidR="005C35BE" w:rsidRPr="00960D5D">
        <w:rPr>
          <w:rFonts w:ascii="Arial" w:hAnsi="Arial" w:cs="Arial"/>
          <w:b/>
          <w:sz w:val="20"/>
          <w:szCs w:val="20"/>
        </w:rPr>
        <w:t>Admissão de Pessoal. Concurso Público. Publicação Edital. Prazo de inscrições. Antecedência. Critérios. Maior idade. Estatuto do Idoso.</w:t>
      </w:r>
    </w:p>
    <w:p w:rsidR="002B4AA2" w:rsidRPr="00960D5D" w:rsidRDefault="002B4AA2" w:rsidP="002B4AA2">
      <w:pPr>
        <w:autoSpaceDE w:val="0"/>
        <w:autoSpaceDN w:val="0"/>
        <w:adjustRightInd w:val="0"/>
        <w:spacing w:after="0"/>
        <w:jc w:val="both"/>
        <w:rPr>
          <w:rFonts w:ascii="Arial" w:hAnsi="Arial" w:cs="Arial"/>
          <w:b/>
          <w:sz w:val="20"/>
          <w:szCs w:val="20"/>
        </w:rPr>
      </w:pPr>
    </w:p>
    <w:p w:rsidR="000B54CF" w:rsidRDefault="00CB3F7F" w:rsidP="002B4AA2">
      <w:pPr>
        <w:autoSpaceDE w:val="0"/>
        <w:autoSpaceDN w:val="0"/>
        <w:adjustRightInd w:val="0"/>
        <w:spacing w:after="0"/>
        <w:jc w:val="both"/>
        <w:rPr>
          <w:rFonts w:ascii="Arial" w:hAnsi="Arial" w:cs="Arial"/>
          <w:sz w:val="20"/>
          <w:szCs w:val="20"/>
        </w:rPr>
      </w:pPr>
      <w:r>
        <w:rPr>
          <w:rFonts w:ascii="Arial" w:hAnsi="Arial" w:cs="Arial"/>
          <w:sz w:val="20"/>
          <w:szCs w:val="20"/>
        </w:rPr>
        <w:t>Na publicação de edital de concurso público deve-se observar prazo entre até o início do período de inscrições, sendo recomendável, pelo menos o lapso de alguns dias entre a publicação e o início das inscrições. Além disso, a Administração não deve omitir no edital, como critério desempate, o fator “maior idade”, na forma prevista no estatuto do idoso.</w:t>
      </w:r>
    </w:p>
    <w:p w:rsidR="002B4AA2" w:rsidRDefault="002B4AA2" w:rsidP="002B4AA2">
      <w:pPr>
        <w:autoSpaceDE w:val="0"/>
        <w:autoSpaceDN w:val="0"/>
        <w:adjustRightInd w:val="0"/>
        <w:spacing w:after="0"/>
        <w:jc w:val="both"/>
        <w:rPr>
          <w:rFonts w:ascii="Arial" w:hAnsi="Arial" w:cs="Arial"/>
          <w:sz w:val="20"/>
          <w:szCs w:val="20"/>
        </w:rPr>
      </w:pPr>
    </w:p>
    <w:p w:rsidR="00F86C57" w:rsidRDefault="00F86C57" w:rsidP="002B4AA2">
      <w:pPr>
        <w:autoSpaceDE w:val="0"/>
        <w:autoSpaceDN w:val="0"/>
        <w:adjustRightInd w:val="0"/>
        <w:spacing w:after="0"/>
        <w:jc w:val="both"/>
        <w:rPr>
          <w:rFonts w:ascii="Arial" w:hAnsi="Arial" w:cs="Arial"/>
          <w:sz w:val="20"/>
          <w:szCs w:val="20"/>
        </w:rPr>
      </w:pPr>
      <w:r>
        <w:rPr>
          <w:rFonts w:ascii="Arial" w:hAnsi="Arial" w:cs="Arial"/>
          <w:sz w:val="20"/>
          <w:szCs w:val="20"/>
        </w:rPr>
        <w:t>Processo nº 384450/14</w:t>
      </w:r>
      <w:r w:rsidR="002B4AA2">
        <w:rPr>
          <w:rFonts w:ascii="Arial" w:hAnsi="Arial" w:cs="Arial"/>
          <w:sz w:val="20"/>
          <w:szCs w:val="20"/>
        </w:rPr>
        <w:t xml:space="preserve"> - </w:t>
      </w:r>
      <w:hyperlink r:id="rId8" w:history="1">
        <w:r w:rsidRPr="00F86C57">
          <w:rPr>
            <w:rStyle w:val="Hyperlink"/>
            <w:rFonts w:ascii="Arial" w:hAnsi="Arial" w:cs="Arial"/>
            <w:sz w:val="20"/>
            <w:szCs w:val="20"/>
          </w:rPr>
          <w:t xml:space="preserve">Acórdão n° 3685/17 </w:t>
        </w:r>
        <w:r w:rsidR="002B4AA2">
          <w:rPr>
            <w:rStyle w:val="Hyperlink"/>
            <w:rFonts w:ascii="Arial" w:hAnsi="Arial" w:cs="Arial"/>
            <w:sz w:val="20"/>
            <w:szCs w:val="20"/>
          </w:rPr>
          <w:t>-</w:t>
        </w:r>
        <w:r w:rsidRPr="00F86C57">
          <w:rPr>
            <w:rStyle w:val="Hyperlink"/>
            <w:rFonts w:ascii="Arial" w:hAnsi="Arial" w:cs="Arial"/>
            <w:sz w:val="20"/>
            <w:szCs w:val="20"/>
          </w:rPr>
          <w:t xml:space="preserve"> Primeira Câmara</w:t>
        </w:r>
      </w:hyperlink>
      <w:r>
        <w:rPr>
          <w:rFonts w:ascii="Arial" w:hAnsi="Arial" w:cs="Arial"/>
          <w:sz w:val="20"/>
          <w:szCs w:val="20"/>
        </w:rPr>
        <w:t xml:space="preserve">. Relator Conselheiro Nestor Baptista. </w:t>
      </w:r>
    </w:p>
    <w:p w:rsidR="002B4AA2" w:rsidRDefault="002B4AA2" w:rsidP="002B4AA2">
      <w:pPr>
        <w:autoSpaceDE w:val="0"/>
        <w:autoSpaceDN w:val="0"/>
        <w:adjustRightInd w:val="0"/>
        <w:spacing w:after="0"/>
        <w:jc w:val="both"/>
        <w:rPr>
          <w:rFonts w:ascii="Arial" w:hAnsi="Arial" w:cs="Arial"/>
          <w:sz w:val="20"/>
          <w:szCs w:val="20"/>
        </w:rPr>
      </w:pPr>
    </w:p>
    <w:p w:rsidR="000A5EA3" w:rsidRDefault="00960D5D" w:rsidP="002B4AA2">
      <w:pPr>
        <w:spacing w:after="0"/>
        <w:jc w:val="both"/>
        <w:rPr>
          <w:rFonts w:ascii="Arial" w:hAnsi="Arial" w:cs="Arial"/>
          <w:b/>
          <w:sz w:val="20"/>
          <w:szCs w:val="20"/>
        </w:rPr>
      </w:pPr>
      <w:r>
        <w:rPr>
          <w:rFonts w:ascii="Arial" w:hAnsi="Arial" w:cs="Arial"/>
          <w:b/>
          <w:sz w:val="20"/>
          <w:szCs w:val="20"/>
        </w:rPr>
        <w:t xml:space="preserve">2. </w:t>
      </w:r>
      <w:r w:rsidR="000A5EA3">
        <w:rPr>
          <w:rFonts w:ascii="Arial" w:hAnsi="Arial" w:cs="Arial"/>
          <w:b/>
          <w:sz w:val="20"/>
          <w:szCs w:val="20"/>
        </w:rPr>
        <w:t xml:space="preserve">Prestação de Contas de instituto de previdência. Exercício financeiro de 2013. Falta de credenciamento das instituições para receberem recursos dos RPPS. Irregularidade das contas. </w:t>
      </w:r>
    </w:p>
    <w:p w:rsidR="002B4AA2" w:rsidRDefault="002B4AA2" w:rsidP="002B4AA2">
      <w:pPr>
        <w:spacing w:after="0"/>
        <w:jc w:val="both"/>
        <w:rPr>
          <w:rFonts w:ascii="Arial" w:hAnsi="Arial" w:cs="Arial"/>
          <w:b/>
          <w:sz w:val="20"/>
          <w:szCs w:val="20"/>
        </w:rPr>
      </w:pPr>
    </w:p>
    <w:p w:rsidR="000A5EA3" w:rsidRDefault="000A5EA3" w:rsidP="002B4AA2">
      <w:pPr>
        <w:autoSpaceDE w:val="0"/>
        <w:autoSpaceDN w:val="0"/>
        <w:adjustRightInd w:val="0"/>
        <w:spacing w:after="0"/>
        <w:jc w:val="both"/>
        <w:rPr>
          <w:rFonts w:ascii="Arial" w:hAnsi="Arial" w:cs="Arial"/>
          <w:sz w:val="20"/>
          <w:szCs w:val="20"/>
        </w:rPr>
      </w:pPr>
      <w:r>
        <w:rPr>
          <w:rFonts w:ascii="Arial" w:hAnsi="Arial" w:cs="Arial"/>
          <w:sz w:val="20"/>
          <w:szCs w:val="20"/>
        </w:rPr>
        <w:t xml:space="preserve"> Portaria MPS 519/11, alterada pela Portaria MPS 440/13, que dispõe sobre as aplicações dos recursos financeiros dos Regimes Próprios de Previdência Social instituídos pela União, Estados, Distrito Federal e Municípios, determina que as instituições escolhidas para receber as aplicações dos recursos dos RPPS tenham sido objeto de credenciamento. </w:t>
      </w:r>
    </w:p>
    <w:p w:rsidR="002B4AA2" w:rsidRDefault="002B4AA2" w:rsidP="002B4AA2">
      <w:pPr>
        <w:autoSpaceDE w:val="0"/>
        <w:autoSpaceDN w:val="0"/>
        <w:adjustRightInd w:val="0"/>
        <w:spacing w:after="0"/>
        <w:jc w:val="both"/>
        <w:rPr>
          <w:rFonts w:ascii="Arial" w:hAnsi="Arial" w:cs="Arial"/>
          <w:sz w:val="20"/>
          <w:szCs w:val="20"/>
        </w:rPr>
      </w:pPr>
    </w:p>
    <w:p w:rsidR="000A5EA3" w:rsidRDefault="000A5EA3" w:rsidP="002B4AA2">
      <w:pPr>
        <w:autoSpaceDE w:val="0"/>
        <w:autoSpaceDN w:val="0"/>
        <w:adjustRightInd w:val="0"/>
        <w:spacing w:after="0"/>
        <w:jc w:val="both"/>
        <w:rPr>
          <w:rFonts w:ascii="Arial" w:hAnsi="Arial" w:cs="Arial"/>
          <w:sz w:val="20"/>
          <w:szCs w:val="20"/>
        </w:rPr>
      </w:pPr>
      <w:r>
        <w:rPr>
          <w:rFonts w:ascii="Arial" w:hAnsi="Arial" w:cs="Arial"/>
          <w:sz w:val="20"/>
          <w:szCs w:val="20"/>
        </w:rPr>
        <w:t xml:space="preserve">No presente julgado, a entidade limitou-se a aduzir que suas aplicações são realizadas em instituição financeira oficial (Caixa Econômica Federal), o que dispensaria a realização de credenciamento. </w:t>
      </w:r>
    </w:p>
    <w:p w:rsidR="002B4AA2" w:rsidRDefault="002B4AA2" w:rsidP="002B4AA2">
      <w:pPr>
        <w:autoSpaceDE w:val="0"/>
        <w:autoSpaceDN w:val="0"/>
        <w:adjustRightInd w:val="0"/>
        <w:spacing w:after="0"/>
        <w:jc w:val="both"/>
        <w:rPr>
          <w:rFonts w:ascii="Arial" w:hAnsi="Arial" w:cs="Arial"/>
          <w:sz w:val="20"/>
          <w:szCs w:val="20"/>
        </w:rPr>
      </w:pPr>
    </w:p>
    <w:p w:rsidR="000A5EA3" w:rsidRDefault="000A5EA3" w:rsidP="002B4AA2">
      <w:pPr>
        <w:autoSpaceDE w:val="0"/>
        <w:autoSpaceDN w:val="0"/>
        <w:adjustRightInd w:val="0"/>
        <w:spacing w:after="0"/>
        <w:jc w:val="both"/>
        <w:rPr>
          <w:rFonts w:ascii="Arial" w:hAnsi="Arial" w:cs="Arial"/>
          <w:sz w:val="20"/>
          <w:szCs w:val="20"/>
        </w:rPr>
      </w:pPr>
      <w:r>
        <w:rPr>
          <w:rFonts w:ascii="Arial" w:hAnsi="Arial" w:cs="Arial"/>
          <w:sz w:val="20"/>
          <w:szCs w:val="20"/>
        </w:rPr>
        <w:lastRenderedPageBreak/>
        <w:t xml:space="preserve">“Tenho apresentado orientação mais flexível sobre o tema que as unidades instrutivas, especialmente em relação ao exercício de 2013, o primeiro no qual o credenciamento passou a ser exigido, havendo fixado duas condições para que a questão possa ser convertida em ressalva: a) utilização apenas de bancos oficiais e b) comprovação ao menos de providências introdutórias em relação ao processo de credenciamento. Uma vez não comprovado o segundo item, a questão deve figurar como causa de irregularidade de conta”, disse o Relator do processo. </w:t>
      </w:r>
    </w:p>
    <w:p w:rsidR="000A5EA3" w:rsidRDefault="000A5EA3" w:rsidP="002B4AA2">
      <w:pPr>
        <w:autoSpaceDE w:val="0"/>
        <w:autoSpaceDN w:val="0"/>
        <w:adjustRightInd w:val="0"/>
        <w:spacing w:after="0"/>
        <w:jc w:val="both"/>
        <w:rPr>
          <w:rFonts w:ascii="Arial" w:hAnsi="Arial" w:cs="Arial"/>
          <w:sz w:val="20"/>
          <w:szCs w:val="20"/>
        </w:rPr>
      </w:pPr>
      <w:r>
        <w:rPr>
          <w:rFonts w:ascii="Arial" w:hAnsi="Arial" w:cs="Arial"/>
          <w:sz w:val="20"/>
          <w:szCs w:val="20"/>
        </w:rPr>
        <w:t xml:space="preserve">Neste aspecto, assim, as contas foram julgadas irregulares. </w:t>
      </w:r>
    </w:p>
    <w:p w:rsidR="002B4AA2" w:rsidRDefault="002B4AA2" w:rsidP="002B4AA2">
      <w:pPr>
        <w:autoSpaceDE w:val="0"/>
        <w:autoSpaceDN w:val="0"/>
        <w:adjustRightInd w:val="0"/>
        <w:spacing w:after="0"/>
        <w:jc w:val="both"/>
        <w:rPr>
          <w:rFonts w:ascii="Arial" w:hAnsi="Arial" w:cs="Arial"/>
          <w:sz w:val="20"/>
          <w:szCs w:val="20"/>
        </w:rPr>
      </w:pPr>
    </w:p>
    <w:p w:rsidR="000A5EA3" w:rsidRDefault="000A5EA3" w:rsidP="002B4AA2">
      <w:pPr>
        <w:spacing w:after="0"/>
        <w:jc w:val="both"/>
        <w:rPr>
          <w:rFonts w:ascii="Arial" w:hAnsi="Arial" w:cs="Arial"/>
          <w:sz w:val="20"/>
          <w:szCs w:val="20"/>
        </w:rPr>
      </w:pPr>
      <w:r>
        <w:rPr>
          <w:rFonts w:ascii="Arial" w:hAnsi="Arial" w:cs="Arial"/>
          <w:sz w:val="20"/>
          <w:szCs w:val="20"/>
        </w:rPr>
        <w:t>Processo nº 279185/14</w:t>
      </w:r>
      <w:r w:rsidR="002B4AA2">
        <w:rPr>
          <w:rFonts w:ascii="Arial" w:hAnsi="Arial" w:cs="Arial"/>
          <w:sz w:val="20"/>
          <w:szCs w:val="20"/>
        </w:rPr>
        <w:t xml:space="preserve"> - </w:t>
      </w:r>
      <w:hyperlink r:id="rId9" w:history="1">
        <w:r w:rsidRPr="00BE0AF1">
          <w:rPr>
            <w:rStyle w:val="Hyperlink"/>
            <w:rFonts w:ascii="Arial" w:hAnsi="Arial" w:cs="Arial"/>
            <w:sz w:val="20"/>
            <w:szCs w:val="20"/>
          </w:rPr>
          <w:t>Acórdão nº 3814/17</w:t>
        </w:r>
        <w:r w:rsidR="002B4AA2">
          <w:rPr>
            <w:rStyle w:val="Hyperlink"/>
            <w:rFonts w:ascii="Arial" w:hAnsi="Arial" w:cs="Arial"/>
            <w:sz w:val="20"/>
            <w:szCs w:val="20"/>
          </w:rPr>
          <w:t xml:space="preserve"> </w:t>
        </w:r>
        <w:r w:rsidR="00BE42EE">
          <w:rPr>
            <w:rStyle w:val="Hyperlink"/>
            <w:rFonts w:ascii="Arial" w:hAnsi="Arial" w:cs="Arial"/>
            <w:sz w:val="20"/>
            <w:szCs w:val="20"/>
          </w:rPr>
          <w:t>-</w:t>
        </w:r>
        <w:r w:rsidR="002B4AA2">
          <w:rPr>
            <w:rStyle w:val="Hyperlink"/>
            <w:rFonts w:ascii="Arial" w:hAnsi="Arial" w:cs="Arial"/>
            <w:sz w:val="20"/>
            <w:szCs w:val="20"/>
          </w:rPr>
          <w:t xml:space="preserve"> </w:t>
        </w:r>
        <w:r w:rsidR="00BE42EE">
          <w:rPr>
            <w:rStyle w:val="Hyperlink"/>
            <w:rFonts w:ascii="Arial" w:hAnsi="Arial" w:cs="Arial"/>
            <w:sz w:val="20"/>
            <w:szCs w:val="20"/>
          </w:rPr>
          <w:t xml:space="preserve">Primeira </w:t>
        </w:r>
        <w:r w:rsidRPr="00BE0AF1">
          <w:rPr>
            <w:rStyle w:val="Hyperlink"/>
            <w:rFonts w:ascii="Arial" w:hAnsi="Arial" w:cs="Arial"/>
            <w:sz w:val="20"/>
            <w:szCs w:val="20"/>
          </w:rPr>
          <w:t>Câmara</w:t>
        </w:r>
      </w:hyperlink>
      <w:r w:rsidR="002B4AA2">
        <w:rPr>
          <w:rStyle w:val="Hyperlink"/>
          <w:rFonts w:ascii="Arial" w:hAnsi="Arial" w:cs="Arial"/>
          <w:sz w:val="20"/>
          <w:szCs w:val="20"/>
        </w:rPr>
        <w:t>.</w:t>
      </w:r>
      <w:r>
        <w:rPr>
          <w:rFonts w:ascii="Arial" w:hAnsi="Arial" w:cs="Arial"/>
          <w:sz w:val="20"/>
          <w:szCs w:val="20"/>
        </w:rPr>
        <w:t xml:space="preserve"> Rel. Conselheiro Fernando Augusto Mello Guimarães. </w:t>
      </w:r>
    </w:p>
    <w:p w:rsidR="002B4AA2" w:rsidRDefault="002B4AA2" w:rsidP="002B4AA2">
      <w:pPr>
        <w:spacing w:after="0"/>
        <w:jc w:val="both"/>
        <w:rPr>
          <w:rFonts w:ascii="Arial" w:hAnsi="Arial" w:cs="Arial"/>
          <w:sz w:val="20"/>
          <w:szCs w:val="20"/>
        </w:rPr>
      </w:pPr>
    </w:p>
    <w:p w:rsidR="00EC3842" w:rsidRPr="0022060B" w:rsidRDefault="00EC3842" w:rsidP="002B4AA2">
      <w:pPr>
        <w:shd w:val="pct10" w:color="auto" w:fill="auto"/>
        <w:spacing w:after="0"/>
        <w:jc w:val="center"/>
        <w:rPr>
          <w:rFonts w:ascii="Arial" w:hAnsi="Arial" w:cs="Arial"/>
          <w:b/>
          <w:sz w:val="20"/>
          <w:szCs w:val="20"/>
        </w:rPr>
      </w:pPr>
      <w:r w:rsidRPr="0022060B">
        <w:rPr>
          <w:rFonts w:ascii="Arial" w:hAnsi="Arial" w:cs="Arial"/>
          <w:b/>
          <w:sz w:val="20"/>
          <w:szCs w:val="20"/>
        </w:rPr>
        <w:t>SEGUNDA CÂMARA</w:t>
      </w:r>
    </w:p>
    <w:p w:rsidR="002B4AA2" w:rsidRDefault="002B4AA2" w:rsidP="002B4AA2">
      <w:pPr>
        <w:spacing w:after="0"/>
        <w:jc w:val="both"/>
        <w:rPr>
          <w:rFonts w:ascii="Arial" w:hAnsi="Arial" w:cs="Arial"/>
          <w:b/>
          <w:sz w:val="20"/>
          <w:szCs w:val="20"/>
        </w:rPr>
      </w:pPr>
    </w:p>
    <w:p w:rsidR="000A5EA3" w:rsidRDefault="00960D5D" w:rsidP="002B4AA2">
      <w:pPr>
        <w:spacing w:after="0"/>
        <w:jc w:val="both"/>
        <w:rPr>
          <w:rFonts w:ascii="Arial" w:hAnsi="Arial" w:cs="Arial"/>
          <w:b/>
          <w:sz w:val="20"/>
          <w:szCs w:val="20"/>
        </w:rPr>
      </w:pPr>
      <w:r>
        <w:rPr>
          <w:rFonts w:ascii="Arial" w:hAnsi="Arial" w:cs="Arial"/>
          <w:b/>
          <w:sz w:val="20"/>
          <w:szCs w:val="20"/>
        </w:rPr>
        <w:t xml:space="preserve">3. </w:t>
      </w:r>
      <w:r w:rsidR="000A5EA3" w:rsidRPr="00117465">
        <w:rPr>
          <w:rFonts w:ascii="Arial" w:hAnsi="Arial" w:cs="Arial"/>
          <w:b/>
          <w:sz w:val="20"/>
          <w:szCs w:val="20"/>
        </w:rPr>
        <w:t xml:space="preserve">Prestação de Contas. Prefeito Municipal. </w:t>
      </w:r>
      <w:r w:rsidR="000A5EA3">
        <w:rPr>
          <w:rFonts w:ascii="Arial" w:hAnsi="Arial" w:cs="Arial"/>
          <w:b/>
          <w:sz w:val="20"/>
          <w:szCs w:val="20"/>
        </w:rPr>
        <w:t xml:space="preserve">Não cumprimento do índice de 15% em aplicação dos recursos em ações de saúde pública. Aplicação do Prejulgado nº 18. Parecer Prévio que recomenda irregularidade das contas. Aplicação de multa. </w:t>
      </w:r>
    </w:p>
    <w:p w:rsidR="002B4AA2" w:rsidRPr="00117465" w:rsidRDefault="002B4AA2" w:rsidP="002B4AA2">
      <w:pPr>
        <w:spacing w:after="0"/>
        <w:jc w:val="both"/>
        <w:rPr>
          <w:rFonts w:ascii="Arial" w:hAnsi="Arial" w:cs="Arial"/>
          <w:b/>
          <w:sz w:val="20"/>
          <w:szCs w:val="20"/>
        </w:rPr>
      </w:pPr>
    </w:p>
    <w:p w:rsidR="000A5EA3" w:rsidRDefault="000A5EA3" w:rsidP="002B4AA2">
      <w:pPr>
        <w:spacing w:after="0"/>
        <w:jc w:val="both"/>
        <w:rPr>
          <w:rFonts w:ascii="Arial" w:hAnsi="Arial" w:cs="Arial"/>
          <w:sz w:val="20"/>
          <w:szCs w:val="20"/>
        </w:rPr>
      </w:pPr>
      <w:r>
        <w:rPr>
          <w:rFonts w:ascii="Arial" w:hAnsi="Arial" w:cs="Arial"/>
          <w:sz w:val="20"/>
          <w:szCs w:val="20"/>
        </w:rPr>
        <w:t>No exercício financeiro de 2015, objeto da Prestação de Contas, a municipalidade deixou de cumprir o índice mínimo de 15% de aplicação dos recursos em serviços e ações de saúde pública. Foi alcançado o percentual de 14,43%, o que motivou o gestor a aduzir que o percentual de 0,57% que deixou de ser investido representaria quantidade irrisória, incapaz de gerar efeitos concretos, diante da realidade orçamentária do Município.</w:t>
      </w:r>
      <w:r w:rsidR="00A91552">
        <w:rPr>
          <w:rFonts w:ascii="Arial" w:hAnsi="Arial" w:cs="Arial"/>
          <w:sz w:val="20"/>
          <w:szCs w:val="20"/>
        </w:rPr>
        <w:t xml:space="preserve"> </w:t>
      </w:r>
      <w:r>
        <w:rPr>
          <w:rFonts w:ascii="Arial" w:hAnsi="Arial" w:cs="Arial"/>
          <w:sz w:val="20"/>
          <w:szCs w:val="20"/>
        </w:rPr>
        <w:t xml:space="preserve">Se forem compensados os quatro anos de mandato houve um histórico de investimentos na saúde acima do limite constitucional. </w:t>
      </w:r>
    </w:p>
    <w:p w:rsidR="002B4AA2" w:rsidRDefault="002B4AA2" w:rsidP="002B4AA2">
      <w:pPr>
        <w:spacing w:after="0"/>
        <w:jc w:val="both"/>
        <w:rPr>
          <w:rFonts w:ascii="Arial" w:hAnsi="Arial" w:cs="Arial"/>
          <w:sz w:val="20"/>
          <w:szCs w:val="20"/>
        </w:rPr>
      </w:pPr>
    </w:p>
    <w:p w:rsidR="000A5EA3" w:rsidRDefault="000A5EA3" w:rsidP="002B4AA2">
      <w:pPr>
        <w:spacing w:after="0"/>
        <w:jc w:val="both"/>
        <w:rPr>
          <w:rFonts w:ascii="Arial" w:hAnsi="Arial" w:cs="Arial"/>
          <w:sz w:val="20"/>
          <w:szCs w:val="20"/>
        </w:rPr>
      </w:pPr>
      <w:r>
        <w:rPr>
          <w:rFonts w:ascii="Arial" w:hAnsi="Arial" w:cs="Arial"/>
          <w:sz w:val="20"/>
          <w:szCs w:val="20"/>
        </w:rPr>
        <w:t xml:space="preserve">O Relator do processo deixou de concordar com a afirmação de que a quantia equivalente a 0,57% é irrisória e que não gera efeitos concretos. Ademais, o Prejulgado nº18 “Não é possível aplicar de forma isolada o ‘método’ de compensação dos índices obrigatórios anuais durante o período de gestão do Chefe do Executivo, em vista do que dispõem os artigos 34, VII, “e”, 35, III, </w:t>
      </w:r>
      <w:proofErr w:type="gramStart"/>
      <w:r>
        <w:rPr>
          <w:rFonts w:ascii="Arial" w:hAnsi="Arial" w:cs="Arial"/>
          <w:sz w:val="20"/>
          <w:szCs w:val="20"/>
        </w:rPr>
        <w:t>167,V</w:t>
      </w:r>
      <w:proofErr w:type="gramEnd"/>
      <w:r>
        <w:rPr>
          <w:rFonts w:ascii="Arial" w:hAnsi="Arial" w:cs="Arial"/>
          <w:sz w:val="20"/>
          <w:szCs w:val="20"/>
        </w:rPr>
        <w:t xml:space="preserve">, 198, §3º e 212 da Constituição da República”. </w:t>
      </w:r>
    </w:p>
    <w:p w:rsidR="002B4AA2" w:rsidRDefault="002B4AA2" w:rsidP="002B4AA2">
      <w:pPr>
        <w:spacing w:after="0"/>
        <w:jc w:val="both"/>
        <w:rPr>
          <w:rFonts w:ascii="Arial" w:hAnsi="Arial" w:cs="Arial"/>
          <w:sz w:val="20"/>
          <w:szCs w:val="20"/>
        </w:rPr>
      </w:pPr>
    </w:p>
    <w:p w:rsidR="000A5EA3" w:rsidRDefault="000A5EA3" w:rsidP="002B4AA2">
      <w:pPr>
        <w:spacing w:after="0"/>
        <w:jc w:val="both"/>
        <w:rPr>
          <w:rFonts w:ascii="Arial" w:hAnsi="Arial" w:cs="Arial"/>
          <w:sz w:val="20"/>
          <w:szCs w:val="20"/>
        </w:rPr>
      </w:pPr>
      <w:r>
        <w:rPr>
          <w:rFonts w:ascii="Arial" w:hAnsi="Arial" w:cs="Arial"/>
          <w:sz w:val="20"/>
          <w:szCs w:val="20"/>
        </w:rPr>
        <w:t xml:space="preserve">Tal atitude aplicou-se ao gestor a multa prevista no art. 87, III, c/c § 4º da Lei Complementar Estadual nº 113/2005. </w:t>
      </w:r>
    </w:p>
    <w:p w:rsidR="002B4AA2" w:rsidRDefault="002B4AA2" w:rsidP="002B4AA2">
      <w:pPr>
        <w:spacing w:after="0"/>
        <w:jc w:val="both"/>
        <w:rPr>
          <w:rFonts w:ascii="Arial" w:hAnsi="Arial" w:cs="Arial"/>
          <w:sz w:val="20"/>
          <w:szCs w:val="20"/>
        </w:rPr>
      </w:pPr>
    </w:p>
    <w:p w:rsidR="000A5EA3" w:rsidRDefault="000A5EA3" w:rsidP="002B4AA2">
      <w:pPr>
        <w:spacing w:after="0"/>
        <w:jc w:val="both"/>
        <w:rPr>
          <w:rFonts w:ascii="Arial" w:hAnsi="Arial" w:cs="Arial"/>
          <w:sz w:val="20"/>
          <w:szCs w:val="20"/>
        </w:rPr>
      </w:pPr>
      <w:r>
        <w:rPr>
          <w:rFonts w:ascii="Arial" w:hAnsi="Arial" w:cs="Arial"/>
          <w:sz w:val="20"/>
          <w:szCs w:val="20"/>
        </w:rPr>
        <w:t xml:space="preserve">Processo nº 253400/16 </w:t>
      </w:r>
      <w:r w:rsidR="002B4AA2">
        <w:rPr>
          <w:rFonts w:ascii="Arial" w:hAnsi="Arial" w:cs="Arial"/>
          <w:sz w:val="20"/>
          <w:szCs w:val="20"/>
        </w:rPr>
        <w:t>-</w:t>
      </w:r>
      <w:r>
        <w:rPr>
          <w:rFonts w:ascii="Arial" w:hAnsi="Arial" w:cs="Arial"/>
          <w:sz w:val="20"/>
          <w:szCs w:val="20"/>
        </w:rPr>
        <w:t xml:space="preserve"> </w:t>
      </w:r>
      <w:hyperlink r:id="rId10" w:history="1">
        <w:r w:rsidRPr="00BE0AF1">
          <w:rPr>
            <w:rStyle w:val="Hyperlink"/>
            <w:rFonts w:ascii="Arial" w:hAnsi="Arial" w:cs="Arial"/>
            <w:sz w:val="20"/>
            <w:szCs w:val="20"/>
          </w:rPr>
          <w:t>Acórdão de Parecer Prévio nº 438/17</w:t>
        </w:r>
        <w:r w:rsidR="002B4AA2">
          <w:rPr>
            <w:rStyle w:val="Hyperlink"/>
            <w:rFonts w:ascii="Arial" w:hAnsi="Arial" w:cs="Arial"/>
            <w:sz w:val="20"/>
            <w:szCs w:val="20"/>
          </w:rPr>
          <w:t xml:space="preserve"> </w:t>
        </w:r>
        <w:r w:rsidRPr="00BE0AF1">
          <w:rPr>
            <w:rStyle w:val="Hyperlink"/>
            <w:rFonts w:ascii="Arial" w:hAnsi="Arial" w:cs="Arial"/>
            <w:sz w:val="20"/>
            <w:szCs w:val="20"/>
          </w:rPr>
          <w:t>-</w:t>
        </w:r>
        <w:r>
          <w:rPr>
            <w:rStyle w:val="Hyperlink"/>
            <w:rFonts w:ascii="Arial" w:hAnsi="Arial" w:cs="Arial"/>
            <w:sz w:val="20"/>
            <w:szCs w:val="20"/>
          </w:rPr>
          <w:t xml:space="preserve"> Segunda</w:t>
        </w:r>
        <w:r w:rsidRPr="00BE0AF1">
          <w:rPr>
            <w:rStyle w:val="Hyperlink"/>
            <w:rFonts w:ascii="Arial" w:hAnsi="Arial" w:cs="Arial"/>
            <w:sz w:val="20"/>
            <w:szCs w:val="20"/>
          </w:rPr>
          <w:t xml:space="preserve"> Câmara</w:t>
        </w:r>
      </w:hyperlink>
      <w:r w:rsidR="002B4AA2">
        <w:rPr>
          <w:rFonts w:ascii="Arial" w:hAnsi="Arial" w:cs="Arial"/>
          <w:sz w:val="20"/>
          <w:szCs w:val="20"/>
        </w:rPr>
        <w:t xml:space="preserve"> -</w:t>
      </w:r>
      <w:r>
        <w:rPr>
          <w:rFonts w:ascii="Arial" w:hAnsi="Arial" w:cs="Arial"/>
          <w:sz w:val="20"/>
          <w:szCs w:val="20"/>
        </w:rPr>
        <w:t xml:space="preserve"> Rel. Conselheiro Ivan </w:t>
      </w:r>
      <w:proofErr w:type="spellStart"/>
      <w:r>
        <w:rPr>
          <w:rFonts w:ascii="Arial" w:hAnsi="Arial" w:cs="Arial"/>
          <w:sz w:val="20"/>
          <w:szCs w:val="20"/>
        </w:rPr>
        <w:t>Lelis</w:t>
      </w:r>
      <w:proofErr w:type="spellEnd"/>
      <w:r>
        <w:rPr>
          <w:rFonts w:ascii="Arial" w:hAnsi="Arial" w:cs="Arial"/>
          <w:sz w:val="20"/>
          <w:szCs w:val="20"/>
        </w:rPr>
        <w:t xml:space="preserve"> Bonilha.   </w:t>
      </w:r>
    </w:p>
    <w:p w:rsidR="002B4AA2" w:rsidRDefault="002B4AA2" w:rsidP="002B4AA2">
      <w:pPr>
        <w:spacing w:after="0"/>
        <w:jc w:val="both"/>
        <w:rPr>
          <w:rFonts w:ascii="Arial" w:hAnsi="Arial" w:cs="Arial"/>
          <w:sz w:val="20"/>
          <w:szCs w:val="20"/>
        </w:rPr>
      </w:pPr>
    </w:p>
    <w:p w:rsidR="00AE4F42" w:rsidRPr="0022060B" w:rsidRDefault="00AE4F42" w:rsidP="002B4AA2">
      <w:pPr>
        <w:shd w:val="pct10" w:color="auto" w:fill="auto"/>
        <w:spacing w:after="0"/>
        <w:jc w:val="center"/>
        <w:rPr>
          <w:rFonts w:ascii="Arial" w:hAnsi="Arial" w:cs="Arial"/>
          <w:b/>
          <w:sz w:val="20"/>
          <w:szCs w:val="20"/>
        </w:rPr>
      </w:pPr>
      <w:r w:rsidRPr="0022060B">
        <w:rPr>
          <w:rFonts w:ascii="Arial" w:hAnsi="Arial" w:cs="Arial"/>
          <w:b/>
          <w:sz w:val="20"/>
          <w:szCs w:val="20"/>
        </w:rPr>
        <w:t>TRIBUNAL PLENO</w:t>
      </w:r>
    </w:p>
    <w:p w:rsidR="002B4AA2" w:rsidRDefault="002B4AA2" w:rsidP="002B4AA2">
      <w:pPr>
        <w:autoSpaceDE w:val="0"/>
        <w:autoSpaceDN w:val="0"/>
        <w:adjustRightInd w:val="0"/>
        <w:spacing w:after="0"/>
        <w:jc w:val="both"/>
        <w:rPr>
          <w:rFonts w:ascii="Arial" w:hAnsi="Arial" w:cs="Arial"/>
          <w:b/>
          <w:color w:val="000000"/>
          <w:sz w:val="20"/>
          <w:szCs w:val="20"/>
          <w:shd w:val="clear" w:color="auto" w:fill="FFFFFF"/>
        </w:rPr>
      </w:pPr>
    </w:p>
    <w:p w:rsidR="00C535A6" w:rsidRDefault="00960D5D" w:rsidP="002B4AA2">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t>4</w:t>
      </w:r>
      <w:r w:rsidRPr="00960D5D">
        <w:rPr>
          <w:rFonts w:ascii="Arial" w:hAnsi="Arial" w:cs="Arial"/>
          <w:b/>
          <w:color w:val="000000"/>
          <w:sz w:val="20"/>
          <w:szCs w:val="20"/>
          <w:shd w:val="clear" w:color="auto" w:fill="FFFFFF"/>
        </w:rPr>
        <w:t>.</w:t>
      </w:r>
      <w:r>
        <w:rPr>
          <w:rFonts w:ascii="Arial" w:hAnsi="Arial" w:cs="Arial"/>
          <w:b/>
          <w:color w:val="000000"/>
          <w:sz w:val="20"/>
          <w:szCs w:val="20"/>
          <w:shd w:val="clear" w:color="auto" w:fill="FFFFFF"/>
        </w:rPr>
        <w:t xml:space="preserve"> </w:t>
      </w:r>
      <w:r w:rsidR="00D636BD" w:rsidRPr="00960D5D">
        <w:rPr>
          <w:rFonts w:ascii="Arial" w:hAnsi="Arial" w:cs="Arial"/>
          <w:b/>
          <w:color w:val="000000"/>
          <w:sz w:val="20"/>
          <w:szCs w:val="20"/>
          <w:shd w:val="clear" w:color="auto" w:fill="FFFFFF"/>
        </w:rPr>
        <w:t>Consulta.</w:t>
      </w:r>
      <w:r w:rsidR="00A95C0E" w:rsidRPr="00960D5D">
        <w:rPr>
          <w:rFonts w:ascii="Arial" w:hAnsi="Arial" w:cs="Arial"/>
          <w:b/>
          <w:color w:val="000000"/>
          <w:sz w:val="20"/>
          <w:szCs w:val="20"/>
          <w:shd w:val="clear" w:color="auto" w:fill="FFFFFF"/>
        </w:rPr>
        <w:t xml:space="preserve"> Servidor Público. Magistério. Jornada de trabalho. Aumento de carga horária. Função de Direção. Dedicação integral.</w:t>
      </w:r>
    </w:p>
    <w:p w:rsidR="002B4AA2" w:rsidRPr="00960D5D" w:rsidRDefault="002B4AA2" w:rsidP="002B4AA2">
      <w:pPr>
        <w:autoSpaceDE w:val="0"/>
        <w:autoSpaceDN w:val="0"/>
        <w:adjustRightInd w:val="0"/>
        <w:spacing w:after="0"/>
        <w:jc w:val="both"/>
        <w:rPr>
          <w:rFonts w:ascii="Arial" w:hAnsi="Arial" w:cs="Arial"/>
          <w:b/>
          <w:color w:val="000000"/>
          <w:sz w:val="20"/>
          <w:szCs w:val="20"/>
          <w:shd w:val="clear" w:color="auto" w:fill="FFFFFF"/>
        </w:rPr>
      </w:pPr>
    </w:p>
    <w:p w:rsidR="002B4AA2" w:rsidRDefault="00C535A6" w:rsidP="002B4AA2">
      <w:pPr>
        <w:autoSpaceDE w:val="0"/>
        <w:autoSpaceDN w:val="0"/>
        <w:adjustRightInd w:val="0"/>
        <w:spacing w:after="0"/>
        <w:jc w:val="both"/>
        <w:rPr>
          <w:rFonts w:ascii="Arial" w:hAnsi="Arial" w:cs="Arial"/>
          <w:sz w:val="20"/>
          <w:szCs w:val="20"/>
        </w:rPr>
      </w:pPr>
      <w:r w:rsidRPr="00967051">
        <w:rPr>
          <w:rFonts w:ascii="Arial" w:hAnsi="Arial" w:cs="Arial"/>
          <w:sz w:val="20"/>
          <w:szCs w:val="20"/>
        </w:rPr>
        <w:lastRenderedPageBreak/>
        <w:t>Não é possível que professores contratados com carga horária de 20 horas semanais receb</w:t>
      </w:r>
      <w:r w:rsidR="00A91552">
        <w:rPr>
          <w:rFonts w:ascii="Arial" w:hAnsi="Arial" w:cs="Arial"/>
          <w:sz w:val="20"/>
          <w:szCs w:val="20"/>
        </w:rPr>
        <w:t>am</w:t>
      </w:r>
      <w:r w:rsidRPr="00967051">
        <w:rPr>
          <w:rFonts w:ascii="Arial" w:hAnsi="Arial" w:cs="Arial"/>
          <w:sz w:val="20"/>
          <w:szCs w:val="20"/>
        </w:rPr>
        <w:t xml:space="preserve"> valores relativos à “dobra de jornada”, ainda que de forma temporária, em cumulação com a gratificação fixada por lei para o desempenho de atividades de Direção Escolar, uma vez que são, logicamente, incompatíveis. </w:t>
      </w:r>
    </w:p>
    <w:p w:rsidR="002B4AA2" w:rsidRDefault="002B4AA2" w:rsidP="002B4AA2">
      <w:pPr>
        <w:autoSpaceDE w:val="0"/>
        <w:autoSpaceDN w:val="0"/>
        <w:adjustRightInd w:val="0"/>
        <w:spacing w:after="0"/>
        <w:jc w:val="both"/>
        <w:rPr>
          <w:rFonts w:ascii="Arial" w:hAnsi="Arial" w:cs="Arial"/>
          <w:sz w:val="20"/>
          <w:szCs w:val="20"/>
        </w:rPr>
      </w:pPr>
    </w:p>
    <w:p w:rsidR="00C535A6" w:rsidRDefault="00C535A6" w:rsidP="002B4AA2">
      <w:pPr>
        <w:autoSpaceDE w:val="0"/>
        <w:autoSpaceDN w:val="0"/>
        <w:adjustRightInd w:val="0"/>
        <w:spacing w:after="0"/>
        <w:jc w:val="both"/>
        <w:rPr>
          <w:rFonts w:ascii="Arial" w:hAnsi="Arial" w:cs="Arial"/>
          <w:sz w:val="20"/>
          <w:szCs w:val="20"/>
        </w:rPr>
      </w:pPr>
      <w:r w:rsidRPr="00967051">
        <w:rPr>
          <w:rFonts w:ascii="Arial" w:hAnsi="Arial" w:cs="Arial"/>
          <w:sz w:val="20"/>
          <w:szCs w:val="20"/>
        </w:rPr>
        <w:t>O Professor contratado para a carga horária de 20 horas semanais e que venha a assumir o cargo de Diretor de escola terá direito aos vencimentos do seu cargo de origem cumulados apenas ao percebimento da gratificação fixada por lei para o desempenho de atividades de Direção Escolar como compensação à dedicação integral às atividades inerentes a este cargo.</w:t>
      </w:r>
    </w:p>
    <w:p w:rsidR="002B4AA2" w:rsidRPr="00967051" w:rsidRDefault="002B4AA2" w:rsidP="002B4AA2">
      <w:pPr>
        <w:autoSpaceDE w:val="0"/>
        <w:autoSpaceDN w:val="0"/>
        <w:adjustRightInd w:val="0"/>
        <w:spacing w:after="0"/>
        <w:jc w:val="both"/>
        <w:rPr>
          <w:rFonts w:ascii="Arial" w:hAnsi="Arial" w:cs="Arial"/>
          <w:sz w:val="20"/>
          <w:szCs w:val="20"/>
        </w:rPr>
      </w:pPr>
    </w:p>
    <w:p w:rsidR="00967051" w:rsidRDefault="00967051" w:rsidP="002B4AA2">
      <w:pPr>
        <w:autoSpaceDE w:val="0"/>
        <w:autoSpaceDN w:val="0"/>
        <w:adjustRightInd w:val="0"/>
        <w:spacing w:after="0"/>
        <w:jc w:val="both"/>
        <w:rPr>
          <w:rFonts w:ascii="Arial" w:hAnsi="Arial" w:cs="Arial"/>
          <w:sz w:val="20"/>
          <w:szCs w:val="20"/>
        </w:rPr>
      </w:pPr>
      <w:r>
        <w:rPr>
          <w:rFonts w:ascii="Arial" w:hAnsi="Arial" w:cs="Arial"/>
          <w:sz w:val="20"/>
          <w:szCs w:val="20"/>
        </w:rPr>
        <w:t>Processo nº 101743/17</w:t>
      </w:r>
      <w:r w:rsidR="002B4AA2">
        <w:rPr>
          <w:rFonts w:ascii="Arial" w:hAnsi="Arial" w:cs="Arial"/>
          <w:sz w:val="20"/>
          <w:szCs w:val="20"/>
        </w:rPr>
        <w:t xml:space="preserve"> - </w:t>
      </w:r>
      <w:hyperlink r:id="rId11" w:history="1">
        <w:r w:rsidRPr="00967051">
          <w:rPr>
            <w:rStyle w:val="Hyperlink"/>
            <w:rFonts w:ascii="Arial" w:hAnsi="Arial" w:cs="Arial"/>
            <w:sz w:val="20"/>
            <w:szCs w:val="20"/>
          </w:rPr>
          <w:t xml:space="preserve">Acórdão n° 3899/17 </w:t>
        </w:r>
        <w:r w:rsidR="002B4AA2">
          <w:rPr>
            <w:rStyle w:val="Hyperlink"/>
            <w:rFonts w:ascii="Arial" w:hAnsi="Arial" w:cs="Arial"/>
            <w:sz w:val="20"/>
            <w:szCs w:val="20"/>
          </w:rPr>
          <w:t>-</w:t>
        </w:r>
        <w:r w:rsidRPr="00967051">
          <w:rPr>
            <w:rStyle w:val="Hyperlink"/>
            <w:rFonts w:ascii="Arial" w:hAnsi="Arial" w:cs="Arial"/>
            <w:sz w:val="20"/>
            <w:szCs w:val="20"/>
          </w:rPr>
          <w:t xml:space="preserve"> Tribunal Pleno</w:t>
        </w:r>
      </w:hyperlink>
      <w:r>
        <w:rPr>
          <w:rFonts w:ascii="Arial" w:hAnsi="Arial" w:cs="Arial"/>
          <w:sz w:val="20"/>
          <w:szCs w:val="20"/>
        </w:rPr>
        <w:t xml:space="preserve">. Relator Conselheiro </w:t>
      </w:r>
      <w:r w:rsidRPr="00967051">
        <w:rPr>
          <w:rFonts w:ascii="Arial" w:hAnsi="Arial" w:cs="Arial"/>
          <w:sz w:val="20"/>
          <w:szCs w:val="20"/>
        </w:rPr>
        <w:t>Fernando Augusto Mello Guimarães.</w:t>
      </w:r>
    </w:p>
    <w:p w:rsidR="002B4AA2" w:rsidRDefault="002B4AA2" w:rsidP="002B4AA2">
      <w:pPr>
        <w:autoSpaceDE w:val="0"/>
        <w:autoSpaceDN w:val="0"/>
        <w:adjustRightInd w:val="0"/>
        <w:spacing w:after="0"/>
        <w:jc w:val="both"/>
        <w:rPr>
          <w:rFonts w:ascii="Arial" w:hAnsi="Arial" w:cs="Arial"/>
          <w:sz w:val="20"/>
          <w:szCs w:val="20"/>
        </w:rPr>
      </w:pPr>
    </w:p>
    <w:p w:rsidR="00D636BD" w:rsidRDefault="00960D5D" w:rsidP="002B4AA2">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t xml:space="preserve">5. </w:t>
      </w:r>
      <w:r w:rsidR="00D636BD" w:rsidRPr="00582504">
        <w:rPr>
          <w:rFonts w:ascii="Arial" w:hAnsi="Arial" w:cs="Arial"/>
          <w:b/>
          <w:color w:val="000000"/>
          <w:sz w:val="20"/>
          <w:szCs w:val="20"/>
          <w:shd w:val="clear" w:color="auto" w:fill="FFFFFF"/>
        </w:rPr>
        <w:t>Denúncia.</w:t>
      </w:r>
      <w:r w:rsidR="00582504" w:rsidRPr="00582504">
        <w:rPr>
          <w:rFonts w:ascii="Arial" w:hAnsi="Arial" w:cs="Arial"/>
          <w:b/>
          <w:color w:val="000000"/>
          <w:sz w:val="20"/>
          <w:szCs w:val="20"/>
          <w:shd w:val="clear" w:color="auto" w:fill="FFFFFF"/>
        </w:rPr>
        <w:t xml:space="preserve"> Termo de Parceria. Conselhos de Políticas Públicas. Consulta. Urgência. Lei 9.790/90.</w:t>
      </w:r>
    </w:p>
    <w:p w:rsidR="002B4AA2" w:rsidRPr="00582504" w:rsidRDefault="002B4AA2" w:rsidP="002B4AA2">
      <w:pPr>
        <w:autoSpaceDE w:val="0"/>
        <w:autoSpaceDN w:val="0"/>
        <w:adjustRightInd w:val="0"/>
        <w:spacing w:after="0"/>
        <w:jc w:val="both"/>
        <w:rPr>
          <w:rFonts w:ascii="Arial" w:hAnsi="Arial" w:cs="Arial"/>
          <w:b/>
          <w:color w:val="000000"/>
          <w:sz w:val="20"/>
          <w:szCs w:val="20"/>
          <w:shd w:val="clear" w:color="auto" w:fill="FFFFFF"/>
        </w:rPr>
      </w:pPr>
    </w:p>
    <w:p w:rsidR="00920A48" w:rsidRDefault="00C3309F" w:rsidP="002B4AA2">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 celebração do Termo de Parceria será precedida de consulta aos Conselhos de Políticas Públicas das áreas correspondentes de atuação existentes, nos respectivos níveis de governo, conforme Lei 9.790/90, a urgência para prestação dos serviços não dispensa a consulta prevista em Lei.</w:t>
      </w:r>
    </w:p>
    <w:p w:rsidR="002B4AA2" w:rsidRDefault="002B4AA2" w:rsidP="002B4AA2">
      <w:pPr>
        <w:autoSpaceDE w:val="0"/>
        <w:autoSpaceDN w:val="0"/>
        <w:adjustRightInd w:val="0"/>
        <w:spacing w:after="0"/>
        <w:jc w:val="both"/>
        <w:rPr>
          <w:rFonts w:ascii="Arial" w:hAnsi="Arial" w:cs="Arial"/>
          <w:color w:val="000000"/>
          <w:sz w:val="20"/>
          <w:szCs w:val="20"/>
          <w:shd w:val="clear" w:color="auto" w:fill="FFFFFF"/>
        </w:rPr>
      </w:pPr>
    </w:p>
    <w:p w:rsidR="00C3309F" w:rsidRDefault="00C3309F" w:rsidP="002B4AA2">
      <w:pPr>
        <w:autoSpaceDE w:val="0"/>
        <w:autoSpaceDN w:val="0"/>
        <w:adjustRightInd w:val="0"/>
        <w:spacing w:after="0"/>
        <w:jc w:val="both"/>
        <w:rPr>
          <w:rFonts w:ascii="Arial" w:hAnsi="Arial" w:cs="Arial"/>
          <w:color w:val="000000"/>
          <w:sz w:val="20"/>
          <w:szCs w:val="20"/>
          <w:shd w:val="clear" w:color="auto" w:fill="FFFFFF"/>
        </w:rPr>
      </w:pPr>
      <w:r w:rsidRPr="00D636BD">
        <w:rPr>
          <w:rFonts w:ascii="Arial" w:hAnsi="Arial" w:cs="Arial"/>
          <w:color w:val="000000"/>
          <w:sz w:val="20"/>
          <w:szCs w:val="20"/>
          <w:shd w:val="clear" w:color="auto" w:fill="FFFFFF"/>
        </w:rPr>
        <w:t xml:space="preserve">Processo nº </w:t>
      </w:r>
      <w:r w:rsidR="00D636BD" w:rsidRPr="00D636BD">
        <w:rPr>
          <w:rFonts w:ascii="Arial" w:hAnsi="Arial" w:cs="Arial"/>
          <w:color w:val="000000"/>
          <w:sz w:val="20"/>
          <w:szCs w:val="20"/>
          <w:shd w:val="clear" w:color="auto" w:fill="FFFFFF"/>
        </w:rPr>
        <w:t>280444</w:t>
      </w:r>
      <w:r w:rsidRPr="00D636BD">
        <w:rPr>
          <w:rFonts w:ascii="Arial" w:hAnsi="Arial" w:cs="Arial"/>
          <w:color w:val="000000"/>
          <w:sz w:val="20"/>
          <w:szCs w:val="20"/>
          <w:shd w:val="clear" w:color="auto" w:fill="FFFFFF"/>
        </w:rPr>
        <w:t>/1</w:t>
      </w:r>
      <w:r w:rsidR="00D636BD">
        <w:rPr>
          <w:rFonts w:ascii="Arial" w:hAnsi="Arial" w:cs="Arial"/>
          <w:color w:val="000000"/>
          <w:sz w:val="20"/>
          <w:szCs w:val="20"/>
          <w:shd w:val="clear" w:color="auto" w:fill="FFFFFF"/>
        </w:rPr>
        <w:t>0</w:t>
      </w:r>
      <w:r w:rsidR="002B4AA2">
        <w:rPr>
          <w:rFonts w:ascii="Arial" w:hAnsi="Arial" w:cs="Arial"/>
          <w:color w:val="000000"/>
          <w:sz w:val="20"/>
          <w:szCs w:val="20"/>
          <w:shd w:val="clear" w:color="auto" w:fill="FFFFFF"/>
        </w:rPr>
        <w:t xml:space="preserve"> - </w:t>
      </w:r>
      <w:hyperlink r:id="rId12" w:history="1">
        <w:r w:rsidRPr="00202672">
          <w:rPr>
            <w:rStyle w:val="Hyperlink"/>
            <w:rFonts w:ascii="Arial" w:hAnsi="Arial" w:cs="Arial"/>
            <w:sz w:val="20"/>
            <w:szCs w:val="20"/>
            <w:shd w:val="clear" w:color="auto" w:fill="FFFFFF"/>
          </w:rPr>
          <w:t xml:space="preserve">Acórdão n° 3905/17 </w:t>
        </w:r>
        <w:r w:rsidR="002B4AA2">
          <w:rPr>
            <w:rStyle w:val="Hyperlink"/>
            <w:rFonts w:ascii="Arial" w:hAnsi="Arial" w:cs="Arial"/>
            <w:sz w:val="20"/>
            <w:szCs w:val="20"/>
            <w:shd w:val="clear" w:color="auto" w:fill="FFFFFF"/>
          </w:rPr>
          <w:t>-</w:t>
        </w:r>
        <w:r w:rsidRPr="00202672">
          <w:rPr>
            <w:rStyle w:val="Hyperlink"/>
            <w:rFonts w:ascii="Arial" w:hAnsi="Arial" w:cs="Arial"/>
            <w:sz w:val="20"/>
            <w:szCs w:val="20"/>
            <w:shd w:val="clear" w:color="auto" w:fill="FFFFFF"/>
          </w:rPr>
          <w:t xml:space="preserve"> Tribunal Pleno</w:t>
        </w:r>
      </w:hyperlink>
      <w:r w:rsidRPr="00D636BD">
        <w:rPr>
          <w:rFonts w:ascii="Arial" w:hAnsi="Arial" w:cs="Arial"/>
          <w:color w:val="000000"/>
          <w:sz w:val="20"/>
          <w:szCs w:val="20"/>
          <w:shd w:val="clear" w:color="auto" w:fill="FFFFFF"/>
        </w:rPr>
        <w:t xml:space="preserve">. Relator Conselheiro Ivan </w:t>
      </w:r>
      <w:proofErr w:type="spellStart"/>
      <w:r w:rsidRPr="00D636BD">
        <w:rPr>
          <w:rFonts w:ascii="Arial" w:hAnsi="Arial" w:cs="Arial"/>
          <w:color w:val="000000"/>
          <w:sz w:val="20"/>
          <w:szCs w:val="20"/>
          <w:shd w:val="clear" w:color="auto" w:fill="FFFFFF"/>
        </w:rPr>
        <w:t>Lelis</w:t>
      </w:r>
      <w:proofErr w:type="spellEnd"/>
      <w:r w:rsidRPr="00D636BD">
        <w:rPr>
          <w:rFonts w:ascii="Arial" w:hAnsi="Arial" w:cs="Arial"/>
          <w:color w:val="000000"/>
          <w:sz w:val="20"/>
          <w:szCs w:val="20"/>
          <w:shd w:val="clear" w:color="auto" w:fill="FFFFFF"/>
        </w:rPr>
        <w:t xml:space="preserve"> Bonilha.</w:t>
      </w:r>
    </w:p>
    <w:p w:rsidR="002B4AA2" w:rsidRPr="00D636BD" w:rsidRDefault="002B4AA2" w:rsidP="002B4AA2">
      <w:pPr>
        <w:autoSpaceDE w:val="0"/>
        <w:autoSpaceDN w:val="0"/>
        <w:adjustRightInd w:val="0"/>
        <w:spacing w:after="0"/>
        <w:jc w:val="both"/>
        <w:rPr>
          <w:rFonts w:ascii="Arial" w:hAnsi="Arial" w:cs="Arial"/>
          <w:color w:val="000000"/>
          <w:sz w:val="20"/>
          <w:szCs w:val="20"/>
          <w:shd w:val="clear" w:color="auto" w:fill="FFFFFF"/>
        </w:rPr>
      </w:pPr>
    </w:p>
    <w:p w:rsidR="00D636BD" w:rsidRDefault="00960D5D" w:rsidP="002B4AA2">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t xml:space="preserve">6. </w:t>
      </w:r>
      <w:r w:rsidR="00D636BD" w:rsidRPr="00582504">
        <w:rPr>
          <w:rFonts w:ascii="Arial" w:hAnsi="Arial" w:cs="Arial"/>
          <w:b/>
          <w:color w:val="000000"/>
          <w:sz w:val="20"/>
          <w:szCs w:val="20"/>
          <w:shd w:val="clear" w:color="auto" w:fill="FFFFFF"/>
        </w:rPr>
        <w:t>Representação da Lei Nº 8.666/1993.</w:t>
      </w:r>
      <w:r w:rsidR="00582504" w:rsidRPr="00582504">
        <w:rPr>
          <w:rFonts w:ascii="Arial" w:hAnsi="Arial" w:cs="Arial"/>
          <w:b/>
          <w:color w:val="000000"/>
          <w:sz w:val="20"/>
          <w:szCs w:val="20"/>
          <w:shd w:val="clear" w:color="auto" w:fill="FFFFFF"/>
        </w:rPr>
        <w:t xml:space="preserve"> Edital de licitação. Falta de publicação. Necessidade de compra. Limitação de acesso. </w:t>
      </w:r>
    </w:p>
    <w:p w:rsidR="002B4AA2" w:rsidRPr="00582504" w:rsidRDefault="002B4AA2" w:rsidP="002B4AA2">
      <w:pPr>
        <w:autoSpaceDE w:val="0"/>
        <w:autoSpaceDN w:val="0"/>
        <w:adjustRightInd w:val="0"/>
        <w:spacing w:after="0"/>
        <w:jc w:val="both"/>
        <w:rPr>
          <w:rFonts w:ascii="Arial" w:hAnsi="Arial" w:cs="Arial"/>
          <w:b/>
          <w:color w:val="000000"/>
          <w:sz w:val="20"/>
          <w:szCs w:val="20"/>
          <w:shd w:val="clear" w:color="auto" w:fill="FFFFFF"/>
        </w:rPr>
      </w:pPr>
    </w:p>
    <w:p w:rsidR="00D636BD" w:rsidRDefault="00D636BD" w:rsidP="002B4AA2">
      <w:pPr>
        <w:autoSpaceDE w:val="0"/>
        <w:autoSpaceDN w:val="0"/>
        <w:adjustRightInd w:val="0"/>
        <w:spacing w:after="0"/>
        <w:jc w:val="both"/>
        <w:rPr>
          <w:rFonts w:ascii="Arial" w:hAnsi="Arial" w:cs="Arial"/>
          <w:color w:val="000000"/>
          <w:sz w:val="20"/>
          <w:szCs w:val="20"/>
          <w:shd w:val="clear" w:color="auto" w:fill="FFFFFF"/>
        </w:rPr>
      </w:pPr>
      <w:r w:rsidRPr="00D636BD">
        <w:rPr>
          <w:rFonts w:ascii="Arial" w:hAnsi="Arial" w:cs="Arial"/>
          <w:color w:val="000000"/>
          <w:sz w:val="20"/>
          <w:szCs w:val="20"/>
          <w:shd w:val="clear" w:color="auto" w:fill="FFFFFF"/>
        </w:rPr>
        <w:t xml:space="preserve">A exigência de que o interessado compareça pessoalmente à prefeitura, a fim de ter acesso ao edital completo afronta a Lei de Licitações, uma vez que este requisito não possui previsão legal. A administração não deve cobrar preço superior ao da reprodução gráfica pela retirada do edital de licitação, </w:t>
      </w:r>
      <w:r>
        <w:rPr>
          <w:rFonts w:ascii="Arial" w:hAnsi="Arial" w:cs="Arial"/>
          <w:color w:val="000000"/>
          <w:sz w:val="20"/>
          <w:szCs w:val="20"/>
          <w:shd w:val="clear" w:color="auto" w:fill="FFFFFF"/>
        </w:rPr>
        <w:t>pois tal conduta pode afrontar o</w:t>
      </w:r>
      <w:r w:rsidRPr="00D636BD">
        <w:rPr>
          <w:rFonts w:ascii="Arial" w:hAnsi="Arial" w:cs="Arial"/>
          <w:color w:val="000000"/>
          <w:sz w:val="20"/>
          <w:szCs w:val="20"/>
          <w:shd w:val="clear" w:color="auto" w:fill="FFFFFF"/>
        </w:rPr>
        <w:t xml:space="preserve"> princípio de competitividade do certame</w:t>
      </w:r>
      <w:r>
        <w:rPr>
          <w:rFonts w:ascii="Arial" w:hAnsi="Arial" w:cs="Arial"/>
          <w:color w:val="000000"/>
          <w:sz w:val="20"/>
          <w:szCs w:val="20"/>
          <w:shd w:val="clear" w:color="auto" w:fill="FFFFFF"/>
        </w:rPr>
        <w:t>.</w:t>
      </w:r>
    </w:p>
    <w:p w:rsidR="002B4AA2" w:rsidRDefault="002B4AA2" w:rsidP="002B4AA2">
      <w:pPr>
        <w:autoSpaceDE w:val="0"/>
        <w:autoSpaceDN w:val="0"/>
        <w:adjustRightInd w:val="0"/>
        <w:spacing w:after="0"/>
        <w:jc w:val="both"/>
        <w:rPr>
          <w:rFonts w:ascii="Arial" w:hAnsi="Arial" w:cs="Arial"/>
          <w:color w:val="000000"/>
          <w:sz w:val="20"/>
          <w:szCs w:val="20"/>
          <w:shd w:val="clear" w:color="auto" w:fill="FFFFFF"/>
        </w:rPr>
      </w:pPr>
    </w:p>
    <w:p w:rsidR="00D636BD" w:rsidRDefault="00D636BD" w:rsidP="002B4AA2">
      <w:pPr>
        <w:autoSpaceDE w:val="0"/>
        <w:autoSpaceDN w:val="0"/>
        <w:adjustRightInd w:val="0"/>
        <w:spacing w:after="0"/>
        <w:jc w:val="both"/>
        <w:rPr>
          <w:rFonts w:ascii="Arial" w:hAnsi="Arial" w:cs="Arial"/>
          <w:color w:val="000000"/>
          <w:sz w:val="20"/>
          <w:szCs w:val="20"/>
          <w:shd w:val="clear" w:color="auto" w:fill="FFFFFF"/>
        </w:rPr>
      </w:pPr>
      <w:r w:rsidRPr="00D636BD">
        <w:rPr>
          <w:rFonts w:ascii="Arial" w:hAnsi="Arial" w:cs="Arial"/>
          <w:color w:val="000000"/>
          <w:sz w:val="20"/>
          <w:szCs w:val="20"/>
          <w:shd w:val="clear" w:color="auto" w:fill="FFFFFF"/>
        </w:rPr>
        <w:t xml:space="preserve">Processo nº </w:t>
      </w:r>
      <w:r>
        <w:rPr>
          <w:rFonts w:ascii="Arial" w:hAnsi="Arial" w:cs="Arial"/>
          <w:color w:val="000000"/>
          <w:sz w:val="20"/>
          <w:szCs w:val="20"/>
          <w:shd w:val="clear" w:color="auto" w:fill="FFFFFF"/>
        </w:rPr>
        <w:t>148052</w:t>
      </w:r>
      <w:r w:rsidRPr="00D636BD">
        <w:rPr>
          <w:rFonts w:ascii="Arial" w:hAnsi="Arial" w:cs="Arial"/>
          <w:color w:val="000000"/>
          <w:sz w:val="20"/>
          <w:szCs w:val="20"/>
          <w:shd w:val="clear" w:color="auto" w:fill="FFFFFF"/>
        </w:rPr>
        <w:t>/1</w:t>
      </w:r>
      <w:r>
        <w:rPr>
          <w:rFonts w:ascii="Arial" w:hAnsi="Arial" w:cs="Arial"/>
          <w:color w:val="000000"/>
          <w:sz w:val="20"/>
          <w:szCs w:val="20"/>
          <w:shd w:val="clear" w:color="auto" w:fill="FFFFFF"/>
        </w:rPr>
        <w:t>3</w:t>
      </w:r>
      <w:r w:rsidR="002B4AA2">
        <w:rPr>
          <w:rFonts w:ascii="Arial" w:hAnsi="Arial" w:cs="Arial"/>
          <w:color w:val="000000"/>
          <w:sz w:val="20"/>
          <w:szCs w:val="20"/>
          <w:shd w:val="clear" w:color="auto" w:fill="FFFFFF"/>
        </w:rPr>
        <w:t xml:space="preserve"> - </w:t>
      </w:r>
      <w:hyperlink r:id="rId13" w:history="1">
        <w:r w:rsidRPr="00A95C0E">
          <w:rPr>
            <w:rStyle w:val="Hyperlink"/>
            <w:rFonts w:ascii="Arial" w:hAnsi="Arial" w:cs="Arial"/>
            <w:sz w:val="20"/>
            <w:szCs w:val="20"/>
            <w:shd w:val="clear" w:color="auto" w:fill="FFFFFF"/>
          </w:rPr>
          <w:t xml:space="preserve">Acórdão n° 3896/17 </w:t>
        </w:r>
        <w:r w:rsidR="00B14C20">
          <w:rPr>
            <w:rStyle w:val="Hyperlink"/>
            <w:rFonts w:ascii="Arial" w:hAnsi="Arial" w:cs="Arial"/>
            <w:sz w:val="20"/>
            <w:szCs w:val="20"/>
            <w:shd w:val="clear" w:color="auto" w:fill="FFFFFF"/>
          </w:rPr>
          <w:t>-</w:t>
        </w:r>
        <w:r w:rsidRPr="00A95C0E">
          <w:rPr>
            <w:rStyle w:val="Hyperlink"/>
            <w:rFonts w:ascii="Arial" w:hAnsi="Arial" w:cs="Arial"/>
            <w:sz w:val="20"/>
            <w:szCs w:val="20"/>
            <w:shd w:val="clear" w:color="auto" w:fill="FFFFFF"/>
          </w:rPr>
          <w:t xml:space="preserve"> Tribunal Pleno</w:t>
        </w:r>
      </w:hyperlink>
      <w:r w:rsidRPr="00D636BD">
        <w:rPr>
          <w:rFonts w:ascii="Arial" w:hAnsi="Arial" w:cs="Arial"/>
          <w:color w:val="000000"/>
          <w:sz w:val="20"/>
          <w:szCs w:val="20"/>
          <w:shd w:val="clear" w:color="auto" w:fill="FFFFFF"/>
        </w:rPr>
        <w:t xml:space="preserve">. Relator Conselheiro </w:t>
      </w:r>
      <w:proofErr w:type="spellStart"/>
      <w:r w:rsidRPr="00D636BD">
        <w:rPr>
          <w:rFonts w:ascii="Arial" w:hAnsi="Arial" w:cs="Arial"/>
          <w:color w:val="000000"/>
          <w:sz w:val="20"/>
          <w:szCs w:val="20"/>
          <w:shd w:val="clear" w:color="auto" w:fill="FFFFFF"/>
        </w:rPr>
        <w:t>Artagão</w:t>
      </w:r>
      <w:proofErr w:type="spellEnd"/>
      <w:r w:rsidRPr="00D636BD">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d</w:t>
      </w:r>
      <w:r w:rsidRPr="00D636BD">
        <w:rPr>
          <w:rFonts w:ascii="Arial" w:hAnsi="Arial" w:cs="Arial"/>
          <w:color w:val="000000"/>
          <w:sz w:val="20"/>
          <w:szCs w:val="20"/>
          <w:shd w:val="clear" w:color="auto" w:fill="FFFFFF"/>
        </w:rPr>
        <w:t>e Mattos Leão</w:t>
      </w:r>
      <w:r>
        <w:rPr>
          <w:rFonts w:ascii="Arial" w:hAnsi="Arial" w:cs="Arial"/>
          <w:color w:val="000000"/>
          <w:sz w:val="20"/>
          <w:szCs w:val="20"/>
          <w:shd w:val="clear" w:color="auto" w:fill="FFFFFF"/>
        </w:rPr>
        <w:t>.</w:t>
      </w:r>
    </w:p>
    <w:p w:rsidR="002B4AA2" w:rsidRDefault="002B4AA2" w:rsidP="002B4AA2">
      <w:pPr>
        <w:autoSpaceDE w:val="0"/>
        <w:autoSpaceDN w:val="0"/>
        <w:adjustRightInd w:val="0"/>
        <w:spacing w:after="0"/>
        <w:jc w:val="both"/>
        <w:rPr>
          <w:rFonts w:ascii="Arial" w:hAnsi="Arial" w:cs="Arial"/>
          <w:color w:val="000000"/>
          <w:sz w:val="20"/>
          <w:szCs w:val="20"/>
          <w:shd w:val="clear" w:color="auto" w:fill="FFFFFF"/>
        </w:rPr>
      </w:pPr>
    </w:p>
    <w:p w:rsidR="00CE598B" w:rsidRDefault="00960D5D" w:rsidP="002B4AA2">
      <w:pPr>
        <w:autoSpaceDE w:val="0"/>
        <w:autoSpaceDN w:val="0"/>
        <w:adjustRightInd w:val="0"/>
        <w:spacing w:after="0"/>
        <w:jc w:val="both"/>
        <w:rPr>
          <w:rFonts w:ascii="Arial" w:hAnsi="Arial" w:cs="Arial"/>
          <w:b/>
          <w:sz w:val="20"/>
          <w:szCs w:val="20"/>
        </w:rPr>
      </w:pPr>
      <w:r>
        <w:rPr>
          <w:rFonts w:ascii="Arial" w:hAnsi="Arial" w:cs="Arial"/>
          <w:b/>
          <w:sz w:val="20"/>
          <w:szCs w:val="20"/>
        </w:rPr>
        <w:t xml:space="preserve">7. </w:t>
      </w:r>
      <w:r w:rsidR="00CE598B" w:rsidRPr="00765A11">
        <w:rPr>
          <w:rFonts w:ascii="Arial" w:hAnsi="Arial" w:cs="Arial"/>
          <w:b/>
          <w:sz w:val="20"/>
          <w:szCs w:val="20"/>
        </w:rPr>
        <w:t>Tomada de Contas Extraordinária. Autos de Infração Ambiental. Ausência de Cobrança dos Valores Apurados. Falta de Inscrição em Dívida Ativa. Falhas na Gestão dos Procedimentos Administrativos e Inscrição em Dívida Ativa. Risco de Prescrição Administrativa das Sanções impostas. Decreto Federal n° 6514/2008. Ameaça de Lesão ao Erário Públic</w:t>
      </w:r>
      <w:r w:rsidR="00A91552">
        <w:rPr>
          <w:rFonts w:ascii="Arial" w:hAnsi="Arial" w:cs="Arial"/>
          <w:b/>
          <w:sz w:val="20"/>
          <w:szCs w:val="20"/>
        </w:rPr>
        <w:t>o</w:t>
      </w:r>
      <w:r w:rsidR="00CE598B" w:rsidRPr="00765A11">
        <w:rPr>
          <w:rFonts w:ascii="Arial" w:hAnsi="Arial" w:cs="Arial"/>
          <w:b/>
          <w:sz w:val="20"/>
          <w:szCs w:val="20"/>
        </w:rPr>
        <w:t xml:space="preserve"> configurada. Procedência. Aplicação de Sanções.</w:t>
      </w:r>
    </w:p>
    <w:p w:rsidR="002B4AA2" w:rsidRPr="00765A11" w:rsidRDefault="002B4AA2" w:rsidP="002B4AA2">
      <w:pPr>
        <w:autoSpaceDE w:val="0"/>
        <w:autoSpaceDN w:val="0"/>
        <w:adjustRightInd w:val="0"/>
        <w:spacing w:after="0"/>
        <w:jc w:val="both"/>
        <w:rPr>
          <w:rFonts w:ascii="Arial" w:hAnsi="Arial" w:cs="Arial"/>
          <w:b/>
          <w:color w:val="000000"/>
          <w:sz w:val="20"/>
          <w:szCs w:val="20"/>
          <w:shd w:val="clear" w:color="auto" w:fill="FFFFFF"/>
        </w:rPr>
      </w:pPr>
    </w:p>
    <w:p w:rsidR="002B4AA2" w:rsidRDefault="00CE598B" w:rsidP="002B4AA2">
      <w:pPr>
        <w:autoSpaceDE w:val="0"/>
        <w:autoSpaceDN w:val="0"/>
        <w:adjustRightInd w:val="0"/>
        <w:spacing w:after="0"/>
        <w:jc w:val="both"/>
        <w:rPr>
          <w:rFonts w:ascii="Arial" w:hAnsi="Arial" w:cs="Arial"/>
          <w:sz w:val="20"/>
          <w:szCs w:val="20"/>
        </w:rPr>
      </w:pPr>
      <w:r w:rsidRPr="00765A11">
        <w:rPr>
          <w:rFonts w:ascii="Arial" w:hAnsi="Arial" w:cs="Arial"/>
          <w:sz w:val="20"/>
          <w:szCs w:val="20"/>
        </w:rPr>
        <w:lastRenderedPageBreak/>
        <w:t>A falta de escrituração dos valores em dívida ativa revela a</w:t>
      </w:r>
      <w:r>
        <w:rPr>
          <w:rFonts w:ascii="Arial" w:hAnsi="Arial" w:cs="Arial"/>
          <w:sz w:val="20"/>
          <w:szCs w:val="20"/>
        </w:rPr>
        <w:t xml:space="preserve"> </w:t>
      </w:r>
      <w:r w:rsidRPr="00765A11">
        <w:rPr>
          <w:rFonts w:ascii="Arial" w:hAnsi="Arial" w:cs="Arial"/>
          <w:sz w:val="20"/>
          <w:szCs w:val="20"/>
        </w:rPr>
        <w:t>negligência do gestor em promover o adequado controle das multas ambientais</w:t>
      </w:r>
      <w:r>
        <w:rPr>
          <w:rFonts w:ascii="Arial" w:hAnsi="Arial" w:cs="Arial"/>
          <w:sz w:val="20"/>
          <w:szCs w:val="20"/>
        </w:rPr>
        <w:t xml:space="preserve"> </w:t>
      </w:r>
      <w:r w:rsidRPr="00765A11">
        <w:rPr>
          <w:rFonts w:ascii="Arial" w:hAnsi="Arial" w:cs="Arial"/>
          <w:sz w:val="20"/>
          <w:szCs w:val="20"/>
        </w:rPr>
        <w:t>impostas, cujo regime jurídico é diferenciado das demais sanções econômicas.</w:t>
      </w:r>
      <w:r>
        <w:rPr>
          <w:rFonts w:ascii="Arial" w:hAnsi="Arial" w:cs="Arial"/>
          <w:sz w:val="20"/>
          <w:szCs w:val="20"/>
        </w:rPr>
        <w:t xml:space="preserve"> </w:t>
      </w:r>
      <w:r w:rsidRPr="00765A11">
        <w:rPr>
          <w:rFonts w:ascii="Arial" w:hAnsi="Arial" w:cs="Arial"/>
          <w:sz w:val="20"/>
          <w:szCs w:val="20"/>
        </w:rPr>
        <w:t>Normalmente, a sanção administrativa é vista como um desestímulo, sobretudo</w:t>
      </w:r>
      <w:r>
        <w:rPr>
          <w:rFonts w:ascii="Arial" w:hAnsi="Arial" w:cs="Arial"/>
          <w:sz w:val="20"/>
          <w:szCs w:val="20"/>
        </w:rPr>
        <w:t xml:space="preserve"> </w:t>
      </w:r>
      <w:r w:rsidRPr="00765A11">
        <w:rPr>
          <w:rFonts w:ascii="Arial" w:hAnsi="Arial" w:cs="Arial"/>
          <w:sz w:val="20"/>
          <w:szCs w:val="20"/>
        </w:rPr>
        <w:t xml:space="preserve">econômico, aplicado ao particular para que este não viole as normas. </w:t>
      </w:r>
    </w:p>
    <w:p w:rsidR="002B4AA2" w:rsidRDefault="002B4AA2" w:rsidP="002B4AA2">
      <w:pPr>
        <w:autoSpaceDE w:val="0"/>
        <w:autoSpaceDN w:val="0"/>
        <w:adjustRightInd w:val="0"/>
        <w:spacing w:after="0"/>
        <w:jc w:val="both"/>
        <w:rPr>
          <w:rFonts w:ascii="Arial" w:hAnsi="Arial" w:cs="Arial"/>
          <w:sz w:val="20"/>
          <w:szCs w:val="20"/>
        </w:rPr>
      </w:pPr>
    </w:p>
    <w:p w:rsidR="00CE598B" w:rsidRDefault="00CE598B" w:rsidP="002B4AA2">
      <w:pPr>
        <w:autoSpaceDE w:val="0"/>
        <w:autoSpaceDN w:val="0"/>
        <w:adjustRightInd w:val="0"/>
        <w:spacing w:after="0"/>
        <w:jc w:val="both"/>
        <w:rPr>
          <w:rFonts w:ascii="Arial" w:hAnsi="Arial" w:cs="Arial"/>
          <w:sz w:val="20"/>
          <w:szCs w:val="20"/>
        </w:rPr>
      </w:pPr>
      <w:r w:rsidRPr="00765A11">
        <w:rPr>
          <w:rFonts w:ascii="Arial" w:hAnsi="Arial" w:cs="Arial"/>
          <w:sz w:val="20"/>
          <w:szCs w:val="20"/>
        </w:rPr>
        <w:t>A sanção</w:t>
      </w:r>
      <w:r>
        <w:rPr>
          <w:rFonts w:ascii="Arial" w:hAnsi="Arial" w:cs="Arial"/>
          <w:sz w:val="20"/>
          <w:szCs w:val="20"/>
        </w:rPr>
        <w:t xml:space="preserve"> </w:t>
      </w:r>
      <w:r w:rsidRPr="00765A11">
        <w:rPr>
          <w:rFonts w:ascii="Arial" w:hAnsi="Arial" w:cs="Arial"/>
          <w:sz w:val="20"/>
          <w:szCs w:val="20"/>
        </w:rPr>
        <w:t>administrativa ambiental segue racionalidade diversa: seu objetivo principal é a</w:t>
      </w:r>
      <w:r>
        <w:rPr>
          <w:rFonts w:ascii="Arial" w:hAnsi="Arial" w:cs="Arial"/>
          <w:sz w:val="20"/>
          <w:szCs w:val="20"/>
        </w:rPr>
        <w:t xml:space="preserve"> </w:t>
      </w:r>
      <w:r w:rsidRPr="00765A11">
        <w:rPr>
          <w:rFonts w:ascii="Arial" w:hAnsi="Arial" w:cs="Arial"/>
          <w:sz w:val="20"/>
          <w:szCs w:val="20"/>
        </w:rPr>
        <w:t>resolução do dano causado, ou seja, a recuperação do dano ambiental em si.</w:t>
      </w:r>
      <w:r>
        <w:rPr>
          <w:rFonts w:ascii="Arial" w:hAnsi="Arial" w:cs="Arial"/>
          <w:sz w:val="20"/>
          <w:szCs w:val="20"/>
        </w:rPr>
        <w:t xml:space="preserve"> </w:t>
      </w:r>
      <w:r w:rsidRPr="00765A11">
        <w:rPr>
          <w:rFonts w:ascii="Arial" w:hAnsi="Arial" w:cs="Arial"/>
          <w:sz w:val="20"/>
          <w:szCs w:val="20"/>
        </w:rPr>
        <w:t>Ressalto que caso não seja possível a reparação do dano ou haja a possibilidade de</w:t>
      </w:r>
      <w:r>
        <w:rPr>
          <w:rFonts w:ascii="Arial" w:hAnsi="Arial" w:cs="Arial"/>
          <w:sz w:val="20"/>
          <w:szCs w:val="20"/>
        </w:rPr>
        <w:t xml:space="preserve"> </w:t>
      </w:r>
      <w:r w:rsidRPr="00765A11">
        <w:rPr>
          <w:rFonts w:ascii="Arial" w:hAnsi="Arial" w:cs="Arial"/>
          <w:sz w:val="20"/>
          <w:szCs w:val="20"/>
        </w:rPr>
        <w:t>recuperação natural da área afetada em tempo razoável, o desestímulo econômico a</w:t>
      </w:r>
      <w:r>
        <w:rPr>
          <w:rFonts w:ascii="Arial" w:hAnsi="Arial" w:cs="Arial"/>
          <w:sz w:val="20"/>
          <w:szCs w:val="20"/>
        </w:rPr>
        <w:t xml:space="preserve"> </w:t>
      </w:r>
      <w:r w:rsidRPr="00765A11">
        <w:rPr>
          <w:rFonts w:ascii="Arial" w:hAnsi="Arial" w:cs="Arial"/>
          <w:sz w:val="20"/>
          <w:szCs w:val="20"/>
        </w:rPr>
        <w:t>novas infrações deve ser perseguido.</w:t>
      </w:r>
    </w:p>
    <w:p w:rsidR="002B4AA2" w:rsidRPr="00765A11" w:rsidRDefault="002B4AA2" w:rsidP="002B4AA2">
      <w:pPr>
        <w:autoSpaceDE w:val="0"/>
        <w:autoSpaceDN w:val="0"/>
        <w:adjustRightInd w:val="0"/>
        <w:spacing w:after="0"/>
        <w:jc w:val="both"/>
        <w:rPr>
          <w:rFonts w:ascii="Arial" w:hAnsi="Arial" w:cs="Arial"/>
          <w:b/>
          <w:color w:val="000000"/>
          <w:sz w:val="20"/>
          <w:szCs w:val="20"/>
          <w:shd w:val="clear" w:color="auto" w:fill="FFFFFF"/>
        </w:rPr>
      </w:pPr>
    </w:p>
    <w:p w:rsidR="00CE598B" w:rsidRDefault="00CE598B" w:rsidP="002B4AA2">
      <w:pPr>
        <w:autoSpaceDE w:val="0"/>
        <w:autoSpaceDN w:val="0"/>
        <w:adjustRightInd w:val="0"/>
        <w:spacing w:after="0"/>
        <w:jc w:val="both"/>
        <w:rPr>
          <w:rFonts w:ascii="Arial" w:hAnsi="Arial" w:cs="Arial"/>
          <w:sz w:val="20"/>
          <w:szCs w:val="20"/>
        </w:rPr>
      </w:pPr>
      <w:r w:rsidRPr="00765A11">
        <w:rPr>
          <w:rFonts w:ascii="Arial" w:hAnsi="Arial" w:cs="Arial"/>
          <w:sz w:val="20"/>
          <w:szCs w:val="20"/>
        </w:rPr>
        <w:t>Dessa forma, a busca pela solução do dano representa o objetivo</w:t>
      </w:r>
      <w:r>
        <w:rPr>
          <w:rFonts w:ascii="Arial" w:hAnsi="Arial" w:cs="Arial"/>
          <w:sz w:val="20"/>
          <w:szCs w:val="20"/>
        </w:rPr>
        <w:t xml:space="preserve"> </w:t>
      </w:r>
      <w:r w:rsidRPr="00765A11">
        <w:rPr>
          <w:rFonts w:ascii="Arial" w:hAnsi="Arial" w:cs="Arial"/>
          <w:sz w:val="20"/>
          <w:szCs w:val="20"/>
        </w:rPr>
        <w:t>primário da sanção imposta. Não se trata, porém, de mero objetivo legal. A</w:t>
      </w:r>
      <w:r>
        <w:rPr>
          <w:rFonts w:ascii="Arial" w:hAnsi="Arial" w:cs="Arial"/>
          <w:sz w:val="20"/>
          <w:szCs w:val="20"/>
        </w:rPr>
        <w:t xml:space="preserve"> </w:t>
      </w:r>
      <w:r w:rsidRPr="00765A11">
        <w:rPr>
          <w:rFonts w:ascii="Arial" w:hAnsi="Arial" w:cs="Arial"/>
          <w:sz w:val="20"/>
          <w:szCs w:val="20"/>
        </w:rPr>
        <w:t>Constituição Federal determina a obrigação do Poder Público de assegurar o</w:t>
      </w:r>
      <w:r>
        <w:rPr>
          <w:rFonts w:ascii="Arial" w:hAnsi="Arial" w:cs="Arial"/>
          <w:sz w:val="20"/>
          <w:szCs w:val="20"/>
        </w:rPr>
        <w:t xml:space="preserve"> </w:t>
      </w:r>
      <w:r w:rsidRPr="00765A11">
        <w:rPr>
          <w:rFonts w:ascii="Arial" w:hAnsi="Arial" w:cs="Arial"/>
          <w:sz w:val="20"/>
          <w:szCs w:val="20"/>
        </w:rPr>
        <w:t>chamado meio ambiente ecologicamente equilibrado a todos (Art. 225, § 1º). Desse</w:t>
      </w:r>
      <w:r>
        <w:rPr>
          <w:rFonts w:ascii="Arial" w:hAnsi="Arial" w:cs="Arial"/>
          <w:sz w:val="20"/>
          <w:szCs w:val="20"/>
        </w:rPr>
        <w:t xml:space="preserve"> </w:t>
      </w:r>
      <w:r w:rsidRPr="00765A11">
        <w:rPr>
          <w:rFonts w:ascii="Arial" w:hAnsi="Arial" w:cs="Arial"/>
          <w:sz w:val="20"/>
          <w:szCs w:val="20"/>
        </w:rPr>
        <w:t>modo, o órgão ambiental não somente deve aceitar as tentativas viáveis de</w:t>
      </w:r>
      <w:r>
        <w:rPr>
          <w:rFonts w:ascii="Arial" w:hAnsi="Arial" w:cs="Arial"/>
          <w:sz w:val="20"/>
          <w:szCs w:val="20"/>
        </w:rPr>
        <w:t xml:space="preserve"> </w:t>
      </w:r>
      <w:r w:rsidRPr="00765A11">
        <w:rPr>
          <w:rFonts w:ascii="Arial" w:hAnsi="Arial" w:cs="Arial"/>
          <w:sz w:val="20"/>
          <w:szCs w:val="20"/>
        </w:rPr>
        <w:t>recuperação, mas buscá-las de forma ativa e material junto aos Municípios e evitar a</w:t>
      </w:r>
      <w:r>
        <w:rPr>
          <w:rFonts w:ascii="Arial" w:hAnsi="Arial" w:cs="Arial"/>
          <w:sz w:val="20"/>
          <w:szCs w:val="20"/>
        </w:rPr>
        <w:t xml:space="preserve"> </w:t>
      </w:r>
      <w:r w:rsidRPr="00765A11">
        <w:rPr>
          <w:rFonts w:ascii="Arial" w:hAnsi="Arial" w:cs="Arial"/>
          <w:sz w:val="20"/>
          <w:szCs w:val="20"/>
        </w:rPr>
        <w:t>continuidade do processo de imposição da multa administrativa.</w:t>
      </w:r>
    </w:p>
    <w:p w:rsidR="002B4AA2" w:rsidRPr="00765A11" w:rsidRDefault="002B4AA2" w:rsidP="002B4AA2">
      <w:pPr>
        <w:autoSpaceDE w:val="0"/>
        <w:autoSpaceDN w:val="0"/>
        <w:adjustRightInd w:val="0"/>
        <w:spacing w:after="0"/>
        <w:jc w:val="both"/>
        <w:rPr>
          <w:rFonts w:ascii="Arial" w:hAnsi="Arial" w:cs="Arial"/>
          <w:b/>
          <w:color w:val="000000"/>
          <w:sz w:val="20"/>
          <w:szCs w:val="20"/>
          <w:shd w:val="clear" w:color="auto" w:fill="FFFFFF"/>
        </w:rPr>
      </w:pPr>
    </w:p>
    <w:p w:rsidR="00CE598B" w:rsidRDefault="00CE598B" w:rsidP="002B4AA2">
      <w:pPr>
        <w:autoSpaceDE w:val="0"/>
        <w:autoSpaceDN w:val="0"/>
        <w:adjustRightInd w:val="0"/>
        <w:spacing w:after="0"/>
        <w:jc w:val="both"/>
        <w:rPr>
          <w:rFonts w:ascii="Arial" w:hAnsi="Arial" w:cs="Arial"/>
          <w:sz w:val="20"/>
          <w:szCs w:val="20"/>
        </w:rPr>
      </w:pPr>
      <w:r w:rsidRPr="00765A11">
        <w:rPr>
          <w:rFonts w:ascii="Arial" w:hAnsi="Arial" w:cs="Arial"/>
          <w:sz w:val="20"/>
          <w:szCs w:val="20"/>
        </w:rPr>
        <w:t>Ainda, a falta de contabilização ou a demora excessiva na cobrança</w:t>
      </w:r>
      <w:r>
        <w:rPr>
          <w:rFonts w:ascii="Arial" w:hAnsi="Arial" w:cs="Arial"/>
          <w:sz w:val="20"/>
          <w:szCs w:val="20"/>
        </w:rPr>
        <w:t xml:space="preserve"> </w:t>
      </w:r>
      <w:r w:rsidRPr="00765A11">
        <w:rPr>
          <w:rFonts w:ascii="Arial" w:hAnsi="Arial" w:cs="Arial"/>
          <w:sz w:val="20"/>
          <w:szCs w:val="20"/>
        </w:rPr>
        <w:t>da dívida ativa se revela em dois tipos de prejuízos. O primeiro deles é aquele</w:t>
      </w:r>
      <w:r>
        <w:rPr>
          <w:rFonts w:ascii="Arial" w:hAnsi="Arial" w:cs="Arial"/>
          <w:sz w:val="20"/>
          <w:szCs w:val="20"/>
        </w:rPr>
        <w:t xml:space="preserve"> </w:t>
      </w:r>
      <w:r w:rsidRPr="00765A11">
        <w:rPr>
          <w:rFonts w:ascii="Arial" w:hAnsi="Arial" w:cs="Arial"/>
          <w:sz w:val="20"/>
          <w:szCs w:val="20"/>
        </w:rPr>
        <w:t>vinculado à demora na conclusão do processo de inscrição, pois o Art. 1º da Lei</w:t>
      </w:r>
      <w:r>
        <w:rPr>
          <w:rFonts w:ascii="Arial" w:hAnsi="Arial" w:cs="Arial"/>
          <w:sz w:val="20"/>
          <w:szCs w:val="20"/>
        </w:rPr>
        <w:t xml:space="preserve"> </w:t>
      </w:r>
      <w:r w:rsidRPr="00765A11">
        <w:rPr>
          <w:rFonts w:ascii="Arial" w:hAnsi="Arial" w:cs="Arial"/>
          <w:sz w:val="20"/>
          <w:szCs w:val="20"/>
        </w:rPr>
        <w:t>9873/99 c/c Art. 21 do Decreto n.º 6.514/08 determinam o prazo prescricional de 5</w:t>
      </w:r>
      <w:r>
        <w:rPr>
          <w:rFonts w:ascii="Arial" w:hAnsi="Arial" w:cs="Arial"/>
          <w:sz w:val="20"/>
          <w:szCs w:val="20"/>
        </w:rPr>
        <w:t xml:space="preserve"> </w:t>
      </w:r>
      <w:r w:rsidRPr="00765A11">
        <w:rPr>
          <w:rFonts w:ascii="Arial" w:hAnsi="Arial" w:cs="Arial"/>
          <w:sz w:val="20"/>
          <w:szCs w:val="20"/>
        </w:rPr>
        <w:t>(cinco) anos, contados da ocorrência do dano, para que se exija a sanção aplicada.</w:t>
      </w:r>
    </w:p>
    <w:p w:rsidR="002B4AA2" w:rsidRDefault="002B4AA2" w:rsidP="002B4AA2">
      <w:pPr>
        <w:autoSpaceDE w:val="0"/>
        <w:autoSpaceDN w:val="0"/>
        <w:adjustRightInd w:val="0"/>
        <w:spacing w:after="0"/>
        <w:jc w:val="both"/>
        <w:rPr>
          <w:rFonts w:ascii="Arial" w:hAnsi="Arial" w:cs="Arial"/>
          <w:sz w:val="20"/>
          <w:szCs w:val="20"/>
        </w:rPr>
      </w:pPr>
    </w:p>
    <w:p w:rsidR="00CE598B" w:rsidRDefault="00CE598B" w:rsidP="002B4AA2">
      <w:pPr>
        <w:autoSpaceDE w:val="0"/>
        <w:autoSpaceDN w:val="0"/>
        <w:adjustRightInd w:val="0"/>
        <w:spacing w:after="0"/>
        <w:jc w:val="both"/>
        <w:rPr>
          <w:rFonts w:ascii="Arial" w:hAnsi="Arial" w:cs="Arial"/>
          <w:sz w:val="20"/>
          <w:szCs w:val="20"/>
        </w:rPr>
      </w:pPr>
      <w:r w:rsidRPr="00765A11">
        <w:rPr>
          <w:rFonts w:ascii="Arial" w:hAnsi="Arial" w:cs="Arial"/>
          <w:sz w:val="20"/>
          <w:szCs w:val="20"/>
        </w:rPr>
        <w:t>O segundo, e aplicável ao caso concreto, é vinculado à possiblidade</w:t>
      </w:r>
      <w:r>
        <w:rPr>
          <w:rFonts w:ascii="Arial" w:hAnsi="Arial" w:cs="Arial"/>
          <w:sz w:val="20"/>
          <w:szCs w:val="20"/>
        </w:rPr>
        <w:t xml:space="preserve"> </w:t>
      </w:r>
      <w:r w:rsidRPr="00765A11">
        <w:rPr>
          <w:rFonts w:ascii="Arial" w:hAnsi="Arial" w:cs="Arial"/>
          <w:sz w:val="20"/>
          <w:szCs w:val="20"/>
        </w:rPr>
        <w:t>de cobrança judicial das multas aplicadas. Após a decisão administrativa definitiva, o</w:t>
      </w:r>
      <w:r>
        <w:rPr>
          <w:rFonts w:ascii="Arial" w:hAnsi="Arial" w:cs="Arial"/>
          <w:sz w:val="20"/>
          <w:szCs w:val="20"/>
        </w:rPr>
        <w:t xml:space="preserve"> </w:t>
      </w:r>
      <w:r w:rsidRPr="00765A11">
        <w:rPr>
          <w:rFonts w:ascii="Arial" w:hAnsi="Arial" w:cs="Arial"/>
          <w:sz w:val="20"/>
          <w:szCs w:val="20"/>
        </w:rPr>
        <w:t>valor apurado deve ser inscrito em dívida ativa, para que seja possível o ajuizamento</w:t>
      </w:r>
      <w:r>
        <w:rPr>
          <w:rFonts w:ascii="Arial" w:hAnsi="Arial" w:cs="Arial"/>
          <w:sz w:val="20"/>
          <w:szCs w:val="20"/>
        </w:rPr>
        <w:t xml:space="preserve"> </w:t>
      </w:r>
      <w:r w:rsidRPr="00765A11">
        <w:rPr>
          <w:rFonts w:ascii="Arial" w:hAnsi="Arial" w:cs="Arial"/>
          <w:sz w:val="20"/>
          <w:szCs w:val="20"/>
        </w:rPr>
        <w:t>da Execução Fiscal c</w:t>
      </w:r>
      <w:r>
        <w:rPr>
          <w:rFonts w:ascii="Arial" w:hAnsi="Arial" w:cs="Arial"/>
          <w:sz w:val="20"/>
          <w:szCs w:val="20"/>
        </w:rPr>
        <w:t>ontra os infratores. A Súmula n</w:t>
      </w:r>
      <w:r w:rsidRPr="00765A11">
        <w:rPr>
          <w:rFonts w:ascii="Arial" w:hAnsi="Arial" w:cs="Arial"/>
          <w:sz w:val="20"/>
          <w:szCs w:val="20"/>
        </w:rPr>
        <w:t>º 467 do Superior Tribunal de Justiça é clara em determinar que “Prescreve em cinco anos, contados do término</w:t>
      </w:r>
      <w:r>
        <w:rPr>
          <w:rFonts w:ascii="Arial" w:hAnsi="Arial" w:cs="Arial"/>
          <w:sz w:val="20"/>
          <w:szCs w:val="20"/>
        </w:rPr>
        <w:t xml:space="preserve"> </w:t>
      </w:r>
      <w:r w:rsidRPr="00765A11">
        <w:rPr>
          <w:rFonts w:ascii="Arial" w:hAnsi="Arial" w:cs="Arial"/>
          <w:sz w:val="20"/>
          <w:szCs w:val="20"/>
        </w:rPr>
        <w:t>do processo administrativo, a Pretensão da Administração Pública de promover a</w:t>
      </w:r>
      <w:r>
        <w:rPr>
          <w:rFonts w:ascii="Arial" w:hAnsi="Arial" w:cs="Arial"/>
          <w:sz w:val="20"/>
          <w:szCs w:val="20"/>
        </w:rPr>
        <w:t xml:space="preserve"> </w:t>
      </w:r>
      <w:r w:rsidRPr="00765A11">
        <w:rPr>
          <w:rFonts w:ascii="Arial" w:hAnsi="Arial" w:cs="Arial"/>
          <w:sz w:val="20"/>
          <w:szCs w:val="20"/>
        </w:rPr>
        <w:t>execução da multa por infração ambiental”.</w:t>
      </w:r>
    </w:p>
    <w:p w:rsidR="002B4AA2" w:rsidRDefault="002B4AA2" w:rsidP="002B4AA2">
      <w:pPr>
        <w:autoSpaceDE w:val="0"/>
        <w:autoSpaceDN w:val="0"/>
        <w:adjustRightInd w:val="0"/>
        <w:spacing w:after="0"/>
        <w:jc w:val="both"/>
        <w:rPr>
          <w:rFonts w:ascii="Arial" w:hAnsi="Arial" w:cs="Arial"/>
          <w:sz w:val="20"/>
          <w:szCs w:val="20"/>
        </w:rPr>
      </w:pPr>
    </w:p>
    <w:p w:rsidR="00CE598B" w:rsidRDefault="00CE598B" w:rsidP="002B4AA2">
      <w:pPr>
        <w:autoSpaceDE w:val="0"/>
        <w:autoSpaceDN w:val="0"/>
        <w:adjustRightInd w:val="0"/>
        <w:spacing w:after="0"/>
        <w:jc w:val="both"/>
        <w:rPr>
          <w:rFonts w:ascii="Arial" w:hAnsi="Arial" w:cs="Arial"/>
          <w:sz w:val="20"/>
          <w:szCs w:val="20"/>
        </w:rPr>
      </w:pPr>
      <w:r w:rsidRPr="00765A11">
        <w:rPr>
          <w:rFonts w:ascii="Arial" w:hAnsi="Arial" w:cs="Arial"/>
          <w:sz w:val="20"/>
          <w:szCs w:val="20"/>
        </w:rPr>
        <w:t>Desse modo, a ação negligente do órgão ambiental acarretou a</w:t>
      </w:r>
      <w:r>
        <w:rPr>
          <w:rFonts w:ascii="Arial" w:hAnsi="Arial" w:cs="Arial"/>
          <w:sz w:val="20"/>
          <w:szCs w:val="20"/>
        </w:rPr>
        <w:t xml:space="preserve"> </w:t>
      </w:r>
      <w:r w:rsidRPr="00765A11">
        <w:rPr>
          <w:rFonts w:ascii="Arial" w:hAnsi="Arial" w:cs="Arial"/>
          <w:sz w:val="20"/>
          <w:szCs w:val="20"/>
        </w:rPr>
        <w:t>ineficácia das sanções impostas e, mais ainda, a impossibilidade completa de</w:t>
      </w:r>
      <w:r>
        <w:rPr>
          <w:rFonts w:ascii="Arial" w:hAnsi="Arial" w:cs="Arial"/>
          <w:sz w:val="20"/>
          <w:szCs w:val="20"/>
        </w:rPr>
        <w:t xml:space="preserve"> </w:t>
      </w:r>
      <w:r w:rsidRPr="00765A11">
        <w:rPr>
          <w:rFonts w:ascii="Arial" w:hAnsi="Arial" w:cs="Arial"/>
          <w:sz w:val="20"/>
          <w:szCs w:val="20"/>
        </w:rPr>
        <w:t>reparação do dano ambiental, violando-se diretamente o art. 39, da Lei nº 4.320/64.</w:t>
      </w:r>
      <w:r>
        <w:rPr>
          <w:rFonts w:ascii="Arial" w:hAnsi="Arial" w:cs="Arial"/>
          <w:sz w:val="20"/>
          <w:szCs w:val="20"/>
        </w:rPr>
        <w:t xml:space="preserve"> </w:t>
      </w:r>
      <w:r w:rsidRPr="00765A11">
        <w:rPr>
          <w:rFonts w:ascii="Arial" w:hAnsi="Arial" w:cs="Arial"/>
          <w:sz w:val="20"/>
          <w:szCs w:val="20"/>
        </w:rPr>
        <w:t>Embora não haja nos autos comprovação do efetivo montante</w:t>
      </w:r>
      <w:r>
        <w:rPr>
          <w:rFonts w:ascii="Arial" w:hAnsi="Arial" w:cs="Arial"/>
          <w:sz w:val="20"/>
          <w:szCs w:val="20"/>
        </w:rPr>
        <w:t xml:space="preserve"> </w:t>
      </w:r>
      <w:r w:rsidRPr="00765A11">
        <w:rPr>
          <w:rFonts w:ascii="Arial" w:hAnsi="Arial" w:cs="Arial"/>
          <w:sz w:val="20"/>
          <w:szCs w:val="20"/>
        </w:rPr>
        <w:t>perdido pela ação da prescrição, é possível observar o prejuízo operacional da falta</w:t>
      </w:r>
      <w:r>
        <w:rPr>
          <w:rFonts w:ascii="Arial" w:hAnsi="Arial" w:cs="Arial"/>
          <w:sz w:val="20"/>
          <w:szCs w:val="20"/>
        </w:rPr>
        <w:t xml:space="preserve"> </w:t>
      </w:r>
      <w:r w:rsidRPr="00765A11">
        <w:rPr>
          <w:rFonts w:ascii="Arial" w:hAnsi="Arial" w:cs="Arial"/>
          <w:sz w:val="20"/>
          <w:szCs w:val="20"/>
        </w:rPr>
        <w:t>de inscrição desses créditos, ligado à pronta cobrança pelo Estado do Paraná de</w:t>
      </w:r>
      <w:r>
        <w:rPr>
          <w:rFonts w:ascii="Arial" w:hAnsi="Arial" w:cs="Arial"/>
          <w:sz w:val="20"/>
          <w:szCs w:val="20"/>
        </w:rPr>
        <w:t xml:space="preserve"> </w:t>
      </w:r>
      <w:r w:rsidRPr="00765A11">
        <w:rPr>
          <w:rFonts w:ascii="Arial" w:hAnsi="Arial" w:cs="Arial"/>
          <w:sz w:val="20"/>
          <w:szCs w:val="20"/>
        </w:rPr>
        <w:t>recursos que poderiam ser utilizados na recuperação dos próprios danos ambientais</w:t>
      </w:r>
      <w:r>
        <w:rPr>
          <w:rFonts w:ascii="Arial" w:hAnsi="Arial" w:cs="Arial"/>
          <w:sz w:val="20"/>
          <w:szCs w:val="20"/>
        </w:rPr>
        <w:t xml:space="preserve"> </w:t>
      </w:r>
      <w:r w:rsidRPr="00765A11">
        <w:rPr>
          <w:rFonts w:ascii="Arial" w:hAnsi="Arial" w:cs="Arial"/>
          <w:sz w:val="20"/>
          <w:szCs w:val="20"/>
        </w:rPr>
        <w:t>causados.</w:t>
      </w:r>
    </w:p>
    <w:p w:rsidR="002B4AA2" w:rsidRDefault="002B4AA2" w:rsidP="002B4AA2">
      <w:pPr>
        <w:autoSpaceDE w:val="0"/>
        <w:autoSpaceDN w:val="0"/>
        <w:adjustRightInd w:val="0"/>
        <w:spacing w:after="0"/>
        <w:jc w:val="both"/>
        <w:rPr>
          <w:rFonts w:ascii="Arial" w:hAnsi="Arial" w:cs="Arial"/>
          <w:sz w:val="20"/>
          <w:szCs w:val="20"/>
        </w:rPr>
      </w:pPr>
    </w:p>
    <w:p w:rsidR="00CE598B" w:rsidRDefault="00CE598B" w:rsidP="002B4AA2">
      <w:pPr>
        <w:autoSpaceDE w:val="0"/>
        <w:autoSpaceDN w:val="0"/>
        <w:adjustRightInd w:val="0"/>
        <w:spacing w:after="0"/>
        <w:jc w:val="both"/>
        <w:rPr>
          <w:rFonts w:ascii="Arial" w:hAnsi="Arial" w:cs="Arial"/>
          <w:sz w:val="20"/>
          <w:szCs w:val="20"/>
        </w:rPr>
      </w:pPr>
      <w:r w:rsidRPr="003453BB">
        <w:rPr>
          <w:rFonts w:ascii="Arial" w:hAnsi="Arial" w:cs="Arial"/>
          <w:sz w:val="20"/>
          <w:szCs w:val="20"/>
        </w:rPr>
        <w:t>Por tais razões a procedência da Tomada de Contas Extraordinária instaurada, é medida que se impõe, com aplicação das multas correlatas</w:t>
      </w:r>
      <w:r>
        <w:rPr>
          <w:rFonts w:ascii="Arial" w:hAnsi="Arial" w:cs="Arial"/>
          <w:sz w:val="20"/>
          <w:szCs w:val="20"/>
        </w:rPr>
        <w:t xml:space="preserve">, </w:t>
      </w:r>
      <w:r w:rsidRPr="003453BB">
        <w:rPr>
          <w:rFonts w:ascii="Arial" w:hAnsi="Arial" w:cs="Arial"/>
          <w:sz w:val="20"/>
          <w:szCs w:val="20"/>
        </w:rPr>
        <w:t>em razão do</w:t>
      </w:r>
      <w:r>
        <w:rPr>
          <w:rFonts w:ascii="Arial" w:hAnsi="Arial" w:cs="Arial"/>
          <w:sz w:val="20"/>
          <w:szCs w:val="20"/>
        </w:rPr>
        <w:t xml:space="preserve"> </w:t>
      </w:r>
      <w:r w:rsidRPr="003453BB">
        <w:rPr>
          <w:rFonts w:ascii="Arial" w:hAnsi="Arial" w:cs="Arial"/>
          <w:sz w:val="20"/>
          <w:szCs w:val="20"/>
        </w:rPr>
        <w:t>dano ao erário causado pela</w:t>
      </w:r>
      <w:r>
        <w:rPr>
          <w:rFonts w:ascii="Arial" w:hAnsi="Arial" w:cs="Arial"/>
          <w:sz w:val="20"/>
          <w:szCs w:val="20"/>
        </w:rPr>
        <w:t xml:space="preserve"> </w:t>
      </w:r>
      <w:r w:rsidRPr="003453BB">
        <w:rPr>
          <w:rFonts w:ascii="Arial" w:hAnsi="Arial" w:cs="Arial"/>
          <w:sz w:val="20"/>
          <w:szCs w:val="20"/>
        </w:rPr>
        <w:t>inadequada contabilização da dívida ativa, oriunda de</w:t>
      </w:r>
      <w:r>
        <w:rPr>
          <w:rFonts w:ascii="Arial" w:hAnsi="Arial" w:cs="Arial"/>
          <w:sz w:val="20"/>
          <w:szCs w:val="20"/>
        </w:rPr>
        <w:t xml:space="preserve"> </w:t>
      </w:r>
      <w:r w:rsidRPr="003453BB">
        <w:rPr>
          <w:rFonts w:ascii="Arial" w:hAnsi="Arial" w:cs="Arial"/>
          <w:sz w:val="20"/>
          <w:szCs w:val="20"/>
        </w:rPr>
        <w:t>multas ambientais da entidade</w:t>
      </w:r>
      <w:r>
        <w:rPr>
          <w:rFonts w:ascii="Arial" w:hAnsi="Arial" w:cs="Arial"/>
          <w:sz w:val="20"/>
          <w:szCs w:val="20"/>
        </w:rPr>
        <w:t xml:space="preserve">, </w:t>
      </w:r>
      <w:r w:rsidRPr="003453BB">
        <w:rPr>
          <w:rFonts w:ascii="Arial" w:hAnsi="Arial" w:cs="Arial"/>
          <w:sz w:val="20"/>
          <w:szCs w:val="20"/>
        </w:rPr>
        <w:t>expondo tais créditos à prescrição e inviabilizando o correto reparo</w:t>
      </w:r>
      <w:r>
        <w:rPr>
          <w:rFonts w:ascii="Arial" w:hAnsi="Arial" w:cs="Arial"/>
          <w:sz w:val="20"/>
          <w:szCs w:val="20"/>
        </w:rPr>
        <w:t xml:space="preserve"> </w:t>
      </w:r>
      <w:r w:rsidRPr="003453BB">
        <w:rPr>
          <w:rFonts w:ascii="Arial" w:hAnsi="Arial" w:cs="Arial"/>
          <w:sz w:val="20"/>
          <w:szCs w:val="20"/>
        </w:rPr>
        <w:t>dos danos ambientais causados</w:t>
      </w:r>
      <w:r>
        <w:rPr>
          <w:rFonts w:ascii="Arial" w:hAnsi="Arial" w:cs="Arial"/>
          <w:sz w:val="20"/>
          <w:szCs w:val="20"/>
        </w:rPr>
        <w:t>.</w:t>
      </w:r>
    </w:p>
    <w:p w:rsidR="002B4AA2" w:rsidRPr="003453BB" w:rsidRDefault="002B4AA2" w:rsidP="002B4AA2">
      <w:pPr>
        <w:autoSpaceDE w:val="0"/>
        <w:autoSpaceDN w:val="0"/>
        <w:adjustRightInd w:val="0"/>
        <w:spacing w:after="0"/>
        <w:jc w:val="both"/>
        <w:rPr>
          <w:rFonts w:ascii="Arial" w:hAnsi="Arial" w:cs="Arial"/>
          <w:sz w:val="20"/>
          <w:szCs w:val="20"/>
        </w:rPr>
      </w:pPr>
    </w:p>
    <w:p w:rsidR="00CE598B" w:rsidRDefault="00CE598B" w:rsidP="002B4AA2">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 xml:space="preserve">Processo n° 871211/14 - </w:t>
      </w:r>
      <w:hyperlink r:id="rId14" w:history="1">
        <w:r w:rsidRPr="005B4373">
          <w:rPr>
            <w:rStyle w:val="Hyperlink"/>
            <w:rFonts w:ascii="Arial" w:hAnsi="Arial" w:cs="Arial"/>
            <w:sz w:val="20"/>
            <w:szCs w:val="20"/>
            <w:shd w:val="clear" w:color="auto" w:fill="FFFFFF"/>
          </w:rPr>
          <w:t>Acórdão n° 3768/17 - Tribunal Pleno</w:t>
        </w:r>
      </w:hyperlink>
      <w:r>
        <w:rPr>
          <w:rFonts w:ascii="Arial" w:hAnsi="Arial" w:cs="Arial"/>
          <w:color w:val="000000"/>
          <w:sz w:val="20"/>
          <w:szCs w:val="20"/>
          <w:shd w:val="clear" w:color="auto" w:fill="FFFFFF"/>
        </w:rPr>
        <w:t xml:space="preserve"> - Relator Conselheiro Nestor Baptista.</w:t>
      </w:r>
    </w:p>
    <w:p w:rsidR="002B4AA2" w:rsidRDefault="002B4AA2" w:rsidP="002B4AA2">
      <w:pPr>
        <w:autoSpaceDE w:val="0"/>
        <w:autoSpaceDN w:val="0"/>
        <w:adjustRightInd w:val="0"/>
        <w:spacing w:after="0"/>
        <w:jc w:val="both"/>
        <w:rPr>
          <w:rFonts w:ascii="Arial" w:hAnsi="Arial" w:cs="Arial"/>
          <w:color w:val="000000"/>
          <w:sz w:val="20"/>
          <w:szCs w:val="20"/>
          <w:shd w:val="clear" w:color="auto" w:fill="FFFFFF"/>
        </w:rPr>
      </w:pPr>
    </w:p>
    <w:p w:rsidR="00CE598B" w:rsidRDefault="00960D5D" w:rsidP="002B4AA2">
      <w:pPr>
        <w:autoSpaceDE w:val="0"/>
        <w:autoSpaceDN w:val="0"/>
        <w:adjustRightInd w:val="0"/>
        <w:spacing w:after="0"/>
        <w:jc w:val="both"/>
        <w:rPr>
          <w:rFonts w:ascii="Arial" w:hAnsi="Arial" w:cs="Arial"/>
          <w:b/>
          <w:sz w:val="20"/>
          <w:szCs w:val="20"/>
        </w:rPr>
      </w:pPr>
      <w:r>
        <w:rPr>
          <w:rFonts w:ascii="Arial" w:hAnsi="Arial" w:cs="Arial"/>
          <w:b/>
          <w:sz w:val="20"/>
          <w:szCs w:val="20"/>
        </w:rPr>
        <w:t xml:space="preserve">8. </w:t>
      </w:r>
      <w:r w:rsidR="00CE598B" w:rsidRPr="005F14C7">
        <w:rPr>
          <w:rFonts w:ascii="Arial" w:hAnsi="Arial" w:cs="Arial"/>
          <w:b/>
          <w:sz w:val="20"/>
          <w:szCs w:val="20"/>
        </w:rPr>
        <w:t xml:space="preserve">Representação da Lei nº 8.666/93. Contratação mediante registro de preço, visando à contratação de empresa para fornecimento de suporte para festas e eventos municipais. Evidente discrepância dos preços praticados. Empenhos e Ordens de serviços emitidos antes mesmo de se esgotarem todos os prazos legais. Presente o </w:t>
      </w:r>
      <w:r w:rsidR="00CE598B" w:rsidRPr="005F14C7">
        <w:rPr>
          <w:rFonts w:ascii="Arial" w:hAnsi="Arial" w:cs="Arial"/>
          <w:b/>
          <w:i/>
          <w:iCs/>
          <w:sz w:val="20"/>
          <w:szCs w:val="20"/>
        </w:rPr>
        <w:t xml:space="preserve">“periculum in mora </w:t>
      </w:r>
      <w:r w:rsidR="00CE598B" w:rsidRPr="005F14C7">
        <w:rPr>
          <w:rFonts w:ascii="Arial" w:hAnsi="Arial" w:cs="Arial"/>
          <w:b/>
          <w:sz w:val="20"/>
          <w:szCs w:val="20"/>
        </w:rPr>
        <w:t>”, para o deferimento da medida urgência. Deferimento da medida cautelar, suspendendo os efeitos do certame, considerando a presença de indícios do direito alegado.</w:t>
      </w:r>
    </w:p>
    <w:p w:rsidR="002B4AA2" w:rsidRDefault="002B4AA2" w:rsidP="002B4AA2">
      <w:pPr>
        <w:autoSpaceDE w:val="0"/>
        <w:autoSpaceDN w:val="0"/>
        <w:adjustRightInd w:val="0"/>
        <w:spacing w:after="0"/>
        <w:jc w:val="both"/>
        <w:rPr>
          <w:rFonts w:ascii="Arial" w:hAnsi="Arial" w:cs="Arial"/>
          <w:b/>
          <w:sz w:val="20"/>
          <w:szCs w:val="20"/>
        </w:rPr>
      </w:pPr>
    </w:p>
    <w:p w:rsidR="00CE598B" w:rsidRDefault="00CE598B" w:rsidP="002B4AA2">
      <w:pPr>
        <w:autoSpaceDE w:val="0"/>
        <w:autoSpaceDN w:val="0"/>
        <w:adjustRightInd w:val="0"/>
        <w:spacing w:after="0"/>
        <w:jc w:val="both"/>
        <w:rPr>
          <w:rFonts w:ascii="Arial" w:hAnsi="Arial" w:cs="Arial"/>
          <w:sz w:val="20"/>
          <w:szCs w:val="20"/>
        </w:rPr>
      </w:pPr>
      <w:r w:rsidRPr="005F14C7">
        <w:rPr>
          <w:rFonts w:ascii="Arial" w:hAnsi="Arial" w:cs="Arial"/>
          <w:sz w:val="20"/>
          <w:szCs w:val="20"/>
        </w:rPr>
        <w:t>Frente aos fortes indícios de superfaturamento nos contratos de locação celebrados,</w:t>
      </w:r>
      <w:r>
        <w:rPr>
          <w:rFonts w:ascii="Arial" w:hAnsi="Arial" w:cs="Arial"/>
          <w:sz w:val="20"/>
          <w:szCs w:val="20"/>
        </w:rPr>
        <w:t xml:space="preserve"> </w:t>
      </w:r>
      <w:r w:rsidRPr="005F14C7">
        <w:rPr>
          <w:rFonts w:ascii="Arial" w:hAnsi="Arial" w:cs="Arial"/>
          <w:sz w:val="20"/>
          <w:szCs w:val="20"/>
        </w:rPr>
        <w:t>cujos valores somados, ultrapassam em mais de 1 milhão o montante gasto no</w:t>
      </w:r>
      <w:r>
        <w:rPr>
          <w:rFonts w:ascii="Arial" w:hAnsi="Arial" w:cs="Arial"/>
          <w:sz w:val="20"/>
          <w:szCs w:val="20"/>
        </w:rPr>
        <w:t xml:space="preserve"> </w:t>
      </w:r>
      <w:r w:rsidRPr="005F14C7">
        <w:rPr>
          <w:rFonts w:ascii="Arial" w:hAnsi="Arial" w:cs="Arial"/>
          <w:sz w:val="20"/>
          <w:szCs w:val="20"/>
        </w:rPr>
        <w:t xml:space="preserve">exercício anterior, e dos quais, apenas </w:t>
      </w:r>
      <w:r>
        <w:rPr>
          <w:rFonts w:ascii="Arial" w:hAnsi="Arial" w:cs="Arial"/>
          <w:sz w:val="20"/>
          <w:szCs w:val="20"/>
        </w:rPr>
        <w:t xml:space="preserve">uma empresa </w:t>
      </w:r>
      <w:r w:rsidRPr="005F14C7">
        <w:rPr>
          <w:rFonts w:ascii="Arial" w:hAnsi="Arial" w:cs="Arial"/>
          <w:sz w:val="20"/>
          <w:szCs w:val="20"/>
        </w:rPr>
        <w:t xml:space="preserve">abarcou quase </w:t>
      </w:r>
      <w:r w:rsidRPr="0083449C">
        <w:rPr>
          <w:rFonts w:ascii="Arial" w:hAnsi="Arial" w:cs="Arial"/>
          <w:bCs/>
          <w:sz w:val="20"/>
          <w:szCs w:val="20"/>
        </w:rPr>
        <w:t>R$ 3 milhões</w:t>
      </w:r>
      <w:r w:rsidRPr="005F14C7">
        <w:rPr>
          <w:rFonts w:ascii="Arial" w:hAnsi="Arial" w:cs="Arial"/>
          <w:b/>
          <w:bCs/>
          <w:sz w:val="20"/>
          <w:szCs w:val="20"/>
        </w:rPr>
        <w:t xml:space="preserve">, </w:t>
      </w:r>
      <w:r w:rsidRPr="005F14C7">
        <w:rPr>
          <w:rFonts w:ascii="Arial" w:hAnsi="Arial" w:cs="Arial"/>
          <w:sz w:val="20"/>
          <w:szCs w:val="20"/>
        </w:rPr>
        <w:t xml:space="preserve">verifica-se a presença, </w:t>
      </w:r>
      <w:r w:rsidRPr="005F14C7">
        <w:rPr>
          <w:rFonts w:ascii="Arial" w:hAnsi="Arial" w:cs="Arial"/>
          <w:i/>
          <w:iCs/>
          <w:sz w:val="20"/>
          <w:szCs w:val="20"/>
        </w:rPr>
        <w:t>prima</w:t>
      </w:r>
      <w:r>
        <w:rPr>
          <w:rFonts w:ascii="Arial" w:hAnsi="Arial" w:cs="Arial"/>
          <w:i/>
          <w:iCs/>
          <w:sz w:val="20"/>
          <w:szCs w:val="20"/>
        </w:rPr>
        <w:t xml:space="preserve"> </w:t>
      </w:r>
      <w:r w:rsidRPr="005F14C7">
        <w:rPr>
          <w:rFonts w:ascii="Arial" w:hAnsi="Arial" w:cs="Arial"/>
          <w:i/>
          <w:iCs/>
          <w:sz w:val="20"/>
          <w:szCs w:val="20"/>
        </w:rPr>
        <w:t>facie</w:t>
      </w:r>
      <w:r w:rsidRPr="005F14C7">
        <w:rPr>
          <w:rFonts w:ascii="Arial" w:hAnsi="Arial" w:cs="Arial"/>
          <w:sz w:val="20"/>
          <w:szCs w:val="20"/>
        </w:rPr>
        <w:t>, do “</w:t>
      </w:r>
      <w:r w:rsidRPr="005F14C7">
        <w:rPr>
          <w:rFonts w:ascii="Arial" w:hAnsi="Arial" w:cs="Arial"/>
          <w:i/>
          <w:iCs/>
          <w:sz w:val="20"/>
          <w:szCs w:val="20"/>
        </w:rPr>
        <w:t>fumus boni iuris</w:t>
      </w:r>
      <w:r w:rsidRPr="005F14C7">
        <w:rPr>
          <w:rFonts w:ascii="Arial" w:hAnsi="Arial" w:cs="Arial"/>
          <w:sz w:val="20"/>
          <w:szCs w:val="20"/>
        </w:rPr>
        <w:t>” a embasar o pedido de suspensão dos Contratos</w:t>
      </w:r>
      <w:r>
        <w:rPr>
          <w:rFonts w:ascii="Arial" w:hAnsi="Arial" w:cs="Arial"/>
          <w:sz w:val="20"/>
          <w:szCs w:val="20"/>
        </w:rPr>
        <w:t xml:space="preserve"> </w:t>
      </w:r>
      <w:r w:rsidRPr="005F14C7">
        <w:rPr>
          <w:rFonts w:ascii="Arial" w:hAnsi="Arial" w:cs="Arial"/>
          <w:sz w:val="20"/>
          <w:szCs w:val="20"/>
        </w:rPr>
        <w:t>decorrentes do Pregão Presencial n° 03/2017, com fundamento no §2º do artigo 53</w:t>
      </w:r>
      <w:r>
        <w:rPr>
          <w:rFonts w:ascii="Arial" w:hAnsi="Arial" w:cs="Arial"/>
          <w:sz w:val="20"/>
          <w:szCs w:val="20"/>
        </w:rPr>
        <w:t xml:space="preserve"> </w:t>
      </w:r>
      <w:r w:rsidRPr="005F14C7">
        <w:rPr>
          <w:rFonts w:ascii="Arial" w:hAnsi="Arial" w:cs="Arial"/>
          <w:sz w:val="20"/>
          <w:szCs w:val="20"/>
        </w:rPr>
        <w:t>da Lei Orgânica, bem como no inciso VII do artigo 32, e no inciso V do artigo 401 do</w:t>
      </w:r>
      <w:r>
        <w:rPr>
          <w:rFonts w:ascii="Arial" w:hAnsi="Arial" w:cs="Arial"/>
          <w:sz w:val="20"/>
          <w:szCs w:val="20"/>
        </w:rPr>
        <w:t xml:space="preserve"> </w:t>
      </w:r>
      <w:r w:rsidRPr="005F14C7">
        <w:rPr>
          <w:rFonts w:ascii="Arial" w:hAnsi="Arial" w:cs="Arial"/>
          <w:sz w:val="20"/>
          <w:szCs w:val="20"/>
        </w:rPr>
        <w:t>Regimento Interno.</w:t>
      </w:r>
    </w:p>
    <w:p w:rsidR="002B4AA2" w:rsidRDefault="002B4AA2" w:rsidP="002B4AA2">
      <w:pPr>
        <w:autoSpaceDE w:val="0"/>
        <w:autoSpaceDN w:val="0"/>
        <w:adjustRightInd w:val="0"/>
        <w:spacing w:after="0"/>
        <w:jc w:val="both"/>
        <w:rPr>
          <w:rFonts w:ascii="Arial" w:hAnsi="Arial" w:cs="Arial"/>
          <w:sz w:val="20"/>
          <w:szCs w:val="20"/>
        </w:rPr>
      </w:pPr>
    </w:p>
    <w:p w:rsidR="00CE598B" w:rsidRDefault="00CE598B" w:rsidP="002B4AA2">
      <w:pPr>
        <w:autoSpaceDE w:val="0"/>
        <w:autoSpaceDN w:val="0"/>
        <w:adjustRightInd w:val="0"/>
        <w:spacing w:after="0"/>
        <w:jc w:val="both"/>
        <w:rPr>
          <w:rFonts w:ascii="Arial" w:hAnsi="Arial" w:cs="Arial"/>
          <w:sz w:val="20"/>
          <w:szCs w:val="20"/>
        </w:rPr>
      </w:pPr>
      <w:r w:rsidRPr="002876F8">
        <w:rPr>
          <w:rFonts w:ascii="Arial" w:hAnsi="Arial" w:cs="Arial"/>
          <w:sz w:val="20"/>
          <w:szCs w:val="20"/>
        </w:rPr>
        <w:t xml:space="preserve">Processo n° 588928/17 </w:t>
      </w:r>
      <w:r>
        <w:rPr>
          <w:rFonts w:ascii="Arial" w:hAnsi="Arial" w:cs="Arial"/>
          <w:sz w:val="20"/>
          <w:szCs w:val="20"/>
        </w:rPr>
        <w:t>-</w:t>
      </w:r>
      <w:r w:rsidRPr="002876F8">
        <w:rPr>
          <w:rFonts w:ascii="Arial" w:hAnsi="Arial" w:cs="Arial"/>
          <w:sz w:val="20"/>
          <w:szCs w:val="20"/>
        </w:rPr>
        <w:t xml:space="preserve"> </w:t>
      </w:r>
      <w:hyperlink r:id="rId15" w:history="1">
        <w:r w:rsidRPr="00453E6E">
          <w:rPr>
            <w:rStyle w:val="Hyperlink"/>
            <w:rFonts w:ascii="Arial" w:hAnsi="Arial" w:cs="Arial"/>
            <w:sz w:val="20"/>
            <w:szCs w:val="20"/>
          </w:rPr>
          <w:t>Acórdão n° 3774/17 - Tribunal Pleno</w:t>
        </w:r>
      </w:hyperlink>
      <w:r>
        <w:rPr>
          <w:rFonts w:ascii="Arial" w:hAnsi="Arial" w:cs="Arial"/>
          <w:sz w:val="20"/>
          <w:szCs w:val="20"/>
        </w:rPr>
        <w:t xml:space="preserve"> - Rel. Cons. </w:t>
      </w:r>
      <w:proofErr w:type="spellStart"/>
      <w:r>
        <w:rPr>
          <w:rFonts w:ascii="Arial" w:hAnsi="Arial" w:cs="Arial"/>
          <w:sz w:val="20"/>
          <w:szCs w:val="20"/>
        </w:rPr>
        <w:t>Artagão</w:t>
      </w:r>
      <w:proofErr w:type="spellEnd"/>
      <w:r>
        <w:rPr>
          <w:rFonts w:ascii="Arial" w:hAnsi="Arial" w:cs="Arial"/>
          <w:sz w:val="20"/>
          <w:szCs w:val="20"/>
        </w:rPr>
        <w:t xml:space="preserve"> de Mattos Leão.</w:t>
      </w:r>
    </w:p>
    <w:p w:rsidR="002B4AA2" w:rsidRPr="002876F8" w:rsidRDefault="002B4AA2" w:rsidP="002B4AA2">
      <w:pPr>
        <w:autoSpaceDE w:val="0"/>
        <w:autoSpaceDN w:val="0"/>
        <w:adjustRightInd w:val="0"/>
        <w:spacing w:after="0"/>
        <w:jc w:val="both"/>
        <w:rPr>
          <w:rFonts w:ascii="Arial" w:hAnsi="Arial" w:cs="Arial"/>
          <w:sz w:val="20"/>
          <w:szCs w:val="20"/>
        </w:rPr>
      </w:pPr>
    </w:p>
    <w:p w:rsidR="00CE598B" w:rsidRDefault="00960D5D" w:rsidP="002B4AA2">
      <w:pPr>
        <w:autoSpaceDE w:val="0"/>
        <w:autoSpaceDN w:val="0"/>
        <w:adjustRightInd w:val="0"/>
        <w:spacing w:after="0"/>
        <w:jc w:val="both"/>
        <w:rPr>
          <w:rFonts w:ascii="Arial" w:hAnsi="Arial" w:cs="Arial"/>
          <w:b/>
          <w:sz w:val="20"/>
          <w:szCs w:val="20"/>
        </w:rPr>
      </w:pPr>
      <w:r>
        <w:rPr>
          <w:rFonts w:ascii="Arial" w:hAnsi="Arial" w:cs="Arial"/>
          <w:b/>
          <w:sz w:val="20"/>
          <w:szCs w:val="20"/>
        </w:rPr>
        <w:t xml:space="preserve">9. </w:t>
      </w:r>
      <w:r w:rsidR="00CE598B" w:rsidRPr="00D9120E">
        <w:rPr>
          <w:rFonts w:ascii="Arial" w:hAnsi="Arial" w:cs="Arial"/>
          <w:b/>
          <w:sz w:val="20"/>
          <w:szCs w:val="20"/>
        </w:rPr>
        <w:t>Tomada de Contas Extraordinária. Pagamentos realizados sem a apresentação dos comprovantes de execução de despesas. Danos aos cofres públicos. Conduta praticada por servidor. Ato que não possui nexo de causal idade com a conduta dos gestores. Medidas concretas efetivadas por esses</w:t>
      </w:r>
      <w:r w:rsidR="00A91552">
        <w:rPr>
          <w:rFonts w:ascii="Arial" w:hAnsi="Arial" w:cs="Arial"/>
          <w:b/>
          <w:sz w:val="20"/>
          <w:szCs w:val="20"/>
        </w:rPr>
        <w:t>,</w:t>
      </w:r>
      <w:r w:rsidR="00CE598B" w:rsidRPr="00D9120E">
        <w:rPr>
          <w:rFonts w:ascii="Arial" w:hAnsi="Arial" w:cs="Arial"/>
          <w:b/>
          <w:sz w:val="20"/>
          <w:szCs w:val="20"/>
        </w:rPr>
        <w:t xml:space="preserve"> visando a averiguação e responsabilização do responsável. Servidor que acumulou funções de diversas etapas da execução de despesas. Ofensa ao Princípio da Segregação de Funções. Procedência Parcial. Restituição de valores. Multa. Recomendação.</w:t>
      </w:r>
    </w:p>
    <w:p w:rsidR="002B4AA2" w:rsidRDefault="002B4AA2" w:rsidP="002B4AA2">
      <w:pPr>
        <w:autoSpaceDE w:val="0"/>
        <w:autoSpaceDN w:val="0"/>
        <w:adjustRightInd w:val="0"/>
        <w:spacing w:after="0"/>
        <w:jc w:val="both"/>
        <w:rPr>
          <w:rFonts w:ascii="Arial" w:hAnsi="Arial" w:cs="Arial"/>
          <w:b/>
          <w:sz w:val="20"/>
          <w:szCs w:val="20"/>
        </w:rPr>
      </w:pPr>
    </w:p>
    <w:p w:rsidR="002B4AA2" w:rsidRDefault="00CE598B" w:rsidP="002B4AA2">
      <w:pPr>
        <w:autoSpaceDE w:val="0"/>
        <w:autoSpaceDN w:val="0"/>
        <w:adjustRightInd w:val="0"/>
        <w:spacing w:after="0"/>
        <w:jc w:val="both"/>
        <w:rPr>
          <w:rFonts w:ascii="Arial" w:hAnsi="Arial" w:cs="Arial"/>
          <w:sz w:val="20"/>
          <w:szCs w:val="20"/>
        </w:rPr>
      </w:pPr>
      <w:r w:rsidRPr="00BC2618">
        <w:rPr>
          <w:rFonts w:ascii="Arial" w:hAnsi="Arial" w:cs="Arial"/>
          <w:sz w:val="20"/>
          <w:szCs w:val="20"/>
        </w:rPr>
        <w:t xml:space="preserve">A concretização das despesas irregulares, e, consequentemente, o dano ao erário, ocorreram principalmente, diante de falhas no controle interno da entidade, em especial, pela inobservância do Princípio da Segregação de Funções, cujo esteio basilar consiste na separação de funções de autorização, aprovação, execução, controle e contabilização das operações. </w:t>
      </w:r>
    </w:p>
    <w:p w:rsidR="002B4AA2" w:rsidRDefault="002B4AA2" w:rsidP="002B4AA2">
      <w:pPr>
        <w:autoSpaceDE w:val="0"/>
        <w:autoSpaceDN w:val="0"/>
        <w:adjustRightInd w:val="0"/>
        <w:spacing w:after="0"/>
        <w:jc w:val="both"/>
        <w:rPr>
          <w:rFonts w:ascii="Arial" w:hAnsi="Arial" w:cs="Arial"/>
          <w:sz w:val="20"/>
          <w:szCs w:val="20"/>
        </w:rPr>
      </w:pPr>
    </w:p>
    <w:p w:rsidR="00CE598B" w:rsidRDefault="00CE598B" w:rsidP="002B4AA2">
      <w:pPr>
        <w:autoSpaceDE w:val="0"/>
        <w:autoSpaceDN w:val="0"/>
        <w:adjustRightInd w:val="0"/>
        <w:spacing w:after="0"/>
        <w:jc w:val="both"/>
        <w:rPr>
          <w:rFonts w:ascii="Arial" w:hAnsi="Arial" w:cs="Arial"/>
          <w:sz w:val="20"/>
          <w:szCs w:val="20"/>
        </w:rPr>
      </w:pPr>
      <w:r w:rsidRPr="00BC2618">
        <w:rPr>
          <w:rFonts w:ascii="Arial" w:hAnsi="Arial" w:cs="Arial"/>
          <w:sz w:val="20"/>
          <w:szCs w:val="20"/>
        </w:rPr>
        <w:t xml:space="preserve">Fica evidente, portanto, que a concentração de várias etapas das operações de despesa em um único servidor, </w:t>
      </w:r>
      <w:r w:rsidRPr="00BC2618">
        <w:rPr>
          <w:rFonts w:ascii="Arial" w:hAnsi="Arial" w:cs="Arial"/>
          <w:bCs/>
          <w:sz w:val="20"/>
          <w:szCs w:val="20"/>
        </w:rPr>
        <w:t xml:space="preserve">único responsável na época pelos empenhos, liquidações e pagamento das despesas, </w:t>
      </w:r>
      <w:r w:rsidRPr="00BC2618">
        <w:rPr>
          <w:rFonts w:ascii="Arial" w:hAnsi="Arial" w:cs="Arial"/>
          <w:sz w:val="20"/>
          <w:szCs w:val="20"/>
        </w:rPr>
        <w:t xml:space="preserve">atuou como facilitador para a ocorrência do dano. Diante disso, mesmo considerando todas as medidas administrativas e judiciais adotadas pela entidade, entende-se necessário seja que </w:t>
      </w:r>
      <w:r w:rsidRPr="00BC2618">
        <w:rPr>
          <w:rFonts w:ascii="Arial" w:hAnsi="Arial" w:cs="Arial"/>
          <w:bCs/>
          <w:sz w:val="20"/>
          <w:szCs w:val="20"/>
        </w:rPr>
        <w:t xml:space="preserve">recomendado </w:t>
      </w:r>
      <w:r w:rsidRPr="00BC2618">
        <w:rPr>
          <w:rFonts w:ascii="Arial" w:hAnsi="Arial" w:cs="Arial"/>
          <w:sz w:val="20"/>
          <w:szCs w:val="20"/>
        </w:rPr>
        <w:t>aos seus atuais gestores, que estabeleçam, dentre as rotinas de controle, a segregação das funções, de modo que as várias etapas das operações que envolvem, principalmente receitas e despesas, não sejam acumuladas ou concentradas em um único servidor.</w:t>
      </w:r>
    </w:p>
    <w:p w:rsidR="002B4AA2" w:rsidRDefault="002B4AA2" w:rsidP="002B4AA2">
      <w:pPr>
        <w:autoSpaceDE w:val="0"/>
        <w:autoSpaceDN w:val="0"/>
        <w:adjustRightInd w:val="0"/>
        <w:spacing w:after="0"/>
        <w:jc w:val="both"/>
        <w:rPr>
          <w:rFonts w:ascii="Arial" w:hAnsi="Arial" w:cs="Arial"/>
          <w:sz w:val="20"/>
          <w:szCs w:val="20"/>
        </w:rPr>
      </w:pPr>
    </w:p>
    <w:p w:rsidR="00CE598B" w:rsidRPr="00BC2618" w:rsidRDefault="00CE598B" w:rsidP="002B4AA2">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sz w:val="20"/>
          <w:szCs w:val="20"/>
        </w:rPr>
        <w:lastRenderedPageBreak/>
        <w:t xml:space="preserve">Processo n° 273206/16 - </w:t>
      </w:r>
      <w:hyperlink r:id="rId16" w:history="1">
        <w:r w:rsidRPr="00E62BA2">
          <w:rPr>
            <w:rStyle w:val="Hyperlink"/>
            <w:rFonts w:ascii="Arial" w:hAnsi="Arial" w:cs="Arial"/>
            <w:sz w:val="20"/>
            <w:szCs w:val="20"/>
          </w:rPr>
          <w:t>Acórdão n° 3773/17 - Tribunal Pleno</w:t>
        </w:r>
      </w:hyperlink>
      <w:r>
        <w:rPr>
          <w:rFonts w:ascii="Arial" w:hAnsi="Arial" w:cs="Arial"/>
          <w:sz w:val="20"/>
          <w:szCs w:val="20"/>
        </w:rPr>
        <w:t xml:space="preserve"> - Rel. Cons. </w:t>
      </w:r>
      <w:proofErr w:type="spellStart"/>
      <w:r>
        <w:rPr>
          <w:rFonts w:ascii="Arial" w:hAnsi="Arial" w:cs="Arial"/>
          <w:sz w:val="20"/>
          <w:szCs w:val="20"/>
        </w:rPr>
        <w:t>Artagão</w:t>
      </w:r>
      <w:proofErr w:type="spellEnd"/>
      <w:r>
        <w:rPr>
          <w:rFonts w:ascii="Arial" w:hAnsi="Arial" w:cs="Arial"/>
          <w:sz w:val="20"/>
          <w:szCs w:val="20"/>
        </w:rPr>
        <w:t xml:space="preserve"> de Mattos Leão.</w:t>
      </w:r>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816942">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601974" w:rsidRDefault="00601974" w:rsidP="00816942">
      <w:pPr>
        <w:spacing w:after="0"/>
        <w:rPr>
          <w:rFonts w:ascii="Arial" w:hAnsi="Arial" w:cs="Arial"/>
          <w:b/>
          <w:color w:val="000000"/>
          <w:sz w:val="20"/>
          <w:szCs w:val="20"/>
        </w:rPr>
      </w:pPr>
    </w:p>
    <w:p w:rsidR="005603B3" w:rsidRPr="0022060B" w:rsidRDefault="005603B3" w:rsidP="001D32E6">
      <w:pPr>
        <w:spacing w:after="0"/>
        <w:jc w:val="both"/>
        <w:rPr>
          <w:rFonts w:ascii="Arial" w:hAnsi="Arial" w:cs="Arial"/>
          <w:b/>
          <w:color w:val="000000"/>
          <w:sz w:val="20"/>
          <w:szCs w:val="20"/>
        </w:rPr>
      </w:pPr>
      <w:r w:rsidRPr="0022060B">
        <w:rPr>
          <w:rFonts w:ascii="Arial" w:hAnsi="Arial" w:cs="Arial"/>
          <w:b/>
          <w:color w:val="000000"/>
          <w:sz w:val="20"/>
          <w:szCs w:val="20"/>
        </w:rPr>
        <w:t>Supremo Tribunal Federal:</w:t>
      </w:r>
    </w:p>
    <w:p w:rsidR="006E12D5" w:rsidRDefault="006E12D5" w:rsidP="001D32E6">
      <w:pPr>
        <w:spacing w:after="0"/>
        <w:jc w:val="both"/>
        <w:rPr>
          <w:rFonts w:ascii="Arial" w:hAnsi="Arial" w:cs="Arial"/>
          <w:b/>
          <w:color w:val="000000"/>
          <w:sz w:val="20"/>
          <w:szCs w:val="20"/>
        </w:rPr>
      </w:pPr>
    </w:p>
    <w:p w:rsidR="00D333E6" w:rsidRDefault="00D333E6" w:rsidP="001D32E6">
      <w:pPr>
        <w:spacing w:after="0"/>
        <w:jc w:val="both"/>
        <w:rPr>
          <w:rFonts w:ascii="Arial" w:hAnsi="Arial" w:cs="Arial"/>
          <w:b/>
          <w:bCs/>
          <w:sz w:val="20"/>
          <w:szCs w:val="20"/>
          <w:shd w:val="clear" w:color="auto" w:fill="FFFFFF"/>
        </w:rPr>
      </w:pPr>
      <w:r w:rsidRPr="00D333E6">
        <w:rPr>
          <w:rFonts w:ascii="Arial" w:hAnsi="Arial" w:cs="Arial"/>
          <w:b/>
          <w:bCs/>
          <w:sz w:val="20"/>
          <w:szCs w:val="20"/>
          <w:shd w:val="clear" w:color="auto" w:fill="FFFFFF"/>
        </w:rPr>
        <w:t xml:space="preserve">Constituição Federal de 1988 e defensores admitidos sem concurso público. </w:t>
      </w:r>
      <w:r w:rsidRPr="00D333E6">
        <w:rPr>
          <w:rFonts w:ascii="Tahoma" w:hAnsi="Tahoma" w:cs="Tahoma"/>
          <w:sz w:val="17"/>
          <w:szCs w:val="17"/>
        </w:rPr>
        <w:br/>
      </w:r>
      <w:hyperlink r:id="rId17" w:history="1">
        <w:proofErr w:type="gramStart"/>
        <w:r w:rsidRPr="00A91552">
          <w:rPr>
            <w:rStyle w:val="Hyperlink"/>
            <w:rFonts w:ascii="Arial" w:hAnsi="Arial" w:cs="Arial"/>
            <w:b/>
            <w:sz w:val="20"/>
            <w:szCs w:val="20"/>
            <w:shd w:val="clear" w:color="auto" w:fill="FFFFFF"/>
            <w:lang w:val="es-ES_tradnl"/>
          </w:rPr>
          <w:t>RE 856550</w:t>
        </w:r>
        <w:proofErr w:type="gramEnd"/>
        <w:r w:rsidRPr="00A91552">
          <w:rPr>
            <w:rStyle w:val="Hyperlink"/>
            <w:rFonts w:ascii="Arial" w:hAnsi="Arial" w:cs="Arial"/>
            <w:b/>
            <w:sz w:val="20"/>
            <w:szCs w:val="20"/>
            <w:shd w:val="clear" w:color="auto" w:fill="FFFFFF"/>
            <w:lang w:val="es-ES_tradnl"/>
          </w:rPr>
          <w:t xml:space="preserve">/ES, </w:t>
        </w:r>
        <w:proofErr w:type="spellStart"/>
        <w:r w:rsidRPr="00A91552">
          <w:rPr>
            <w:rStyle w:val="Hyperlink"/>
            <w:rFonts w:ascii="Arial" w:hAnsi="Arial" w:cs="Arial"/>
            <w:b/>
            <w:sz w:val="20"/>
            <w:szCs w:val="20"/>
            <w:shd w:val="clear" w:color="auto" w:fill="FFFFFF"/>
            <w:lang w:val="es-ES_tradnl"/>
          </w:rPr>
          <w:t>rel.</w:t>
        </w:r>
        <w:proofErr w:type="spellEnd"/>
        <w:r w:rsidRPr="00A91552">
          <w:rPr>
            <w:rStyle w:val="Hyperlink"/>
            <w:rFonts w:ascii="Arial" w:hAnsi="Arial" w:cs="Arial"/>
            <w:b/>
            <w:sz w:val="20"/>
            <w:szCs w:val="20"/>
            <w:shd w:val="clear" w:color="auto" w:fill="FFFFFF"/>
            <w:lang w:val="es-ES_tradnl"/>
          </w:rPr>
          <w:t xml:space="preserve"> </w:t>
        </w:r>
        <w:proofErr w:type="spellStart"/>
        <w:r w:rsidRPr="00A91552">
          <w:rPr>
            <w:rStyle w:val="Hyperlink"/>
            <w:rFonts w:ascii="Arial" w:hAnsi="Arial" w:cs="Arial"/>
            <w:b/>
            <w:sz w:val="20"/>
            <w:szCs w:val="20"/>
            <w:shd w:val="clear" w:color="auto" w:fill="FFFFFF"/>
            <w:lang w:val="es-ES_tradnl"/>
          </w:rPr>
          <w:t>orig</w:t>
        </w:r>
        <w:proofErr w:type="spellEnd"/>
        <w:r w:rsidRPr="00A91552">
          <w:rPr>
            <w:rStyle w:val="Hyperlink"/>
            <w:rFonts w:ascii="Arial" w:hAnsi="Arial" w:cs="Arial"/>
            <w:b/>
            <w:sz w:val="20"/>
            <w:szCs w:val="20"/>
            <w:shd w:val="clear" w:color="auto" w:fill="FFFFFF"/>
            <w:lang w:val="es-ES_tradnl"/>
          </w:rPr>
          <w:t xml:space="preserve">. Min. Rosa Weber, red. p/ o ac. </w:t>
        </w:r>
        <w:r w:rsidRPr="009B4DF7">
          <w:rPr>
            <w:rStyle w:val="Hyperlink"/>
            <w:rFonts w:ascii="Arial" w:hAnsi="Arial" w:cs="Arial"/>
            <w:b/>
            <w:sz w:val="20"/>
            <w:szCs w:val="20"/>
            <w:shd w:val="clear" w:color="auto" w:fill="FFFFFF"/>
          </w:rPr>
          <w:t>Min. Alexandre de Moraes, julgamento em 10.10.2017. (RE-856550)</w:t>
        </w:r>
      </w:hyperlink>
    </w:p>
    <w:p w:rsidR="00D333E6" w:rsidRPr="00D333E6" w:rsidRDefault="00D333E6" w:rsidP="001D32E6">
      <w:pPr>
        <w:spacing w:after="0"/>
        <w:jc w:val="both"/>
        <w:rPr>
          <w:rFonts w:ascii="Arial" w:hAnsi="Arial" w:cs="Arial"/>
          <w:b/>
          <w:sz w:val="20"/>
          <w:szCs w:val="20"/>
        </w:rPr>
      </w:pPr>
    </w:p>
    <w:p w:rsidR="00D333E6" w:rsidRDefault="00D333E6" w:rsidP="001D32E6">
      <w:pPr>
        <w:spacing w:after="0"/>
        <w:jc w:val="both"/>
        <w:rPr>
          <w:rFonts w:ascii="Arial" w:hAnsi="Arial" w:cs="Arial"/>
          <w:sz w:val="20"/>
          <w:szCs w:val="20"/>
          <w:shd w:val="clear" w:color="auto" w:fill="FFFFFF"/>
        </w:rPr>
      </w:pPr>
      <w:r w:rsidRPr="00D333E6">
        <w:rPr>
          <w:rFonts w:ascii="Arial" w:hAnsi="Arial" w:cs="Arial"/>
          <w:sz w:val="20"/>
          <w:szCs w:val="20"/>
          <w:shd w:val="clear" w:color="auto" w:fill="FFFFFF"/>
        </w:rPr>
        <w:t>A Lei Complementar 55/1994, do Estado do Espírito Santo, que permitiu a incorporação de advogados admitidos sem a realização de concurso público à defensoria, foi declarada inconstitucional pela Suprema Corte no julgamento da Ação Direta de Inconstitucionalidade (ADI) 1199/ES (DJU de 19.4.2006), ressaltados os efeitos “</w:t>
      </w:r>
      <w:proofErr w:type="spellStart"/>
      <w:r w:rsidRPr="009B4DF7">
        <w:rPr>
          <w:rFonts w:ascii="Arial" w:hAnsi="Arial" w:cs="Arial"/>
          <w:i/>
          <w:sz w:val="20"/>
          <w:szCs w:val="20"/>
          <w:shd w:val="clear" w:color="auto" w:fill="FFFFFF"/>
        </w:rPr>
        <w:t>ex</w:t>
      </w:r>
      <w:proofErr w:type="spellEnd"/>
      <w:r w:rsidR="00A91552">
        <w:rPr>
          <w:rFonts w:ascii="Arial" w:hAnsi="Arial" w:cs="Arial"/>
          <w:i/>
          <w:sz w:val="20"/>
          <w:szCs w:val="20"/>
          <w:shd w:val="clear" w:color="auto" w:fill="FFFFFF"/>
        </w:rPr>
        <w:t xml:space="preserve"> </w:t>
      </w:r>
      <w:proofErr w:type="spellStart"/>
      <w:r w:rsidRPr="009B4DF7">
        <w:rPr>
          <w:rFonts w:ascii="Arial" w:hAnsi="Arial" w:cs="Arial"/>
          <w:i/>
          <w:sz w:val="20"/>
          <w:szCs w:val="20"/>
          <w:shd w:val="clear" w:color="auto" w:fill="FFFFFF"/>
        </w:rPr>
        <w:t>tunc</w:t>
      </w:r>
      <w:proofErr w:type="spellEnd"/>
      <w:r w:rsidRPr="00D333E6">
        <w:rPr>
          <w:rFonts w:ascii="Arial" w:hAnsi="Arial" w:cs="Arial"/>
          <w:sz w:val="20"/>
          <w:szCs w:val="20"/>
          <w:shd w:val="clear" w:color="auto" w:fill="FFFFFF"/>
        </w:rPr>
        <w:t>” da decisão.</w:t>
      </w:r>
      <w:r w:rsidRPr="00D333E6">
        <w:rPr>
          <w:rFonts w:ascii="Arial" w:hAnsi="Arial" w:cs="Arial"/>
          <w:sz w:val="20"/>
          <w:szCs w:val="20"/>
        </w:rPr>
        <w:br/>
      </w:r>
      <w:r w:rsidRPr="00D333E6">
        <w:rPr>
          <w:rFonts w:ascii="Arial" w:hAnsi="Arial" w:cs="Arial"/>
          <w:sz w:val="20"/>
          <w:szCs w:val="20"/>
          <w:shd w:val="clear" w:color="auto" w:fill="FFFFFF"/>
        </w:rPr>
        <w:t>Nesse sentido, a administração estadual solicitou o cumprimento da sentença da ADI e, por conseguinte, o desligamento dos advogados, alegando que sua manutenção estaria causando prejuízos à instituição.</w:t>
      </w:r>
    </w:p>
    <w:p w:rsidR="001D32E6" w:rsidRDefault="001D32E6" w:rsidP="001D32E6">
      <w:pPr>
        <w:spacing w:after="0"/>
        <w:jc w:val="both"/>
        <w:rPr>
          <w:rFonts w:ascii="Arial" w:hAnsi="Arial" w:cs="Arial"/>
          <w:sz w:val="20"/>
          <w:szCs w:val="20"/>
          <w:shd w:val="clear" w:color="auto" w:fill="FFFFFF"/>
        </w:rPr>
      </w:pPr>
    </w:p>
    <w:p w:rsidR="00D333E6" w:rsidRDefault="00E02BCF" w:rsidP="001D32E6">
      <w:pPr>
        <w:spacing w:after="0"/>
        <w:jc w:val="both"/>
        <w:rPr>
          <w:rFonts w:ascii="Arial" w:hAnsi="Arial" w:cs="Arial"/>
          <w:sz w:val="20"/>
          <w:szCs w:val="20"/>
          <w:shd w:val="clear" w:color="auto" w:fill="FFFFFF"/>
        </w:rPr>
      </w:pPr>
      <w:r>
        <w:rPr>
          <w:rFonts w:ascii="Arial" w:hAnsi="Arial" w:cs="Arial"/>
          <w:sz w:val="20"/>
          <w:szCs w:val="20"/>
          <w:shd w:val="clear" w:color="auto" w:fill="FFFFFF"/>
        </w:rPr>
        <w:t>D</w:t>
      </w:r>
      <w:r w:rsidR="00D333E6" w:rsidRPr="00D333E6">
        <w:rPr>
          <w:rFonts w:ascii="Arial" w:hAnsi="Arial" w:cs="Arial"/>
          <w:sz w:val="20"/>
          <w:szCs w:val="20"/>
          <w:shd w:val="clear" w:color="auto" w:fill="FFFFFF"/>
        </w:rPr>
        <w:t>essa forma, a Turma decidiu pela regularização da composição da defensoria, no sentido de substituir os advogados contratados pelos indivíduos aprovados em concurso que aguardam na fila, visando à organização mais eficiente e apropriada da administração.</w:t>
      </w:r>
    </w:p>
    <w:p w:rsidR="001D32E6" w:rsidRDefault="001D32E6" w:rsidP="001D32E6">
      <w:pPr>
        <w:spacing w:after="0"/>
        <w:jc w:val="both"/>
        <w:rPr>
          <w:rFonts w:ascii="Arial" w:hAnsi="Arial" w:cs="Arial"/>
          <w:sz w:val="20"/>
          <w:szCs w:val="20"/>
          <w:shd w:val="clear" w:color="auto" w:fill="FFFFFF"/>
        </w:rPr>
      </w:pPr>
    </w:p>
    <w:p w:rsidR="00D333E6" w:rsidRDefault="00D333E6" w:rsidP="001D32E6">
      <w:pPr>
        <w:spacing w:after="0"/>
        <w:jc w:val="both"/>
        <w:rPr>
          <w:rFonts w:ascii="Arial" w:hAnsi="Arial" w:cs="Arial"/>
          <w:sz w:val="20"/>
          <w:szCs w:val="20"/>
          <w:shd w:val="clear" w:color="auto" w:fill="FFFFFF"/>
        </w:rPr>
      </w:pPr>
      <w:r w:rsidRPr="00D333E6">
        <w:rPr>
          <w:rFonts w:ascii="Arial" w:hAnsi="Arial" w:cs="Arial"/>
          <w:sz w:val="20"/>
          <w:szCs w:val="20"/>
          <w:shd w:val="clear" w:color="auto" w:fill="FFFFFF"/>
        </w:rPr>
        <w:t>Conforme tese fixada em repercussão geral (</w:t>
      </w:r>
      <w:hyperlink r:id="rId18" w:history="1">
        <w:r w:rsidRPr="009B4DF7">
          <w:rPr>
            <w:rStyle w:val="Hyperlink"/>
            <w:rFonts w:ascii="Arial" w:hAnsi="Arial" w:cs="Arial"/>
            <w:sz w:val="20"/>
            <w:szCs w:val="20"/>
            <w:shd w:val="clear" w:color="auto" w:fill="FFFFFF"/>
          </w:rPr>
          <w:t>Tema 476</w:t>
        </w:r>
      </w:hyperlink>
      <w:r w:rsidRPr="00D333E6">
        <w:rPr>
          <w:rFonts w:ascii="Arial" w:hAnsi="Arial" w:cs="Arial"/>
          <w:sz w:val="20"/>
          <w:szCs w:val="20"/>
          <w:shd w:val="clear" w:color="auto" w:fill="FFFFFF"/>
        </w:rPr>
        <w:t>), os princípios da segurança jurídica e da proteção da confiança legítima não podem justificar a manutenção no cargo de candidato admitido sem concurso público. O Colegiado ressaltou, ainda, a inaplicabilidade do disposto no art. 22 (1) do Ato de Disposições Constitucionais Transitórias (ADCT) ao caso em questão, visto que a contratação dos advogados se deu após a instalação da constituinte.</w:t>
      </w:r>
    </w:p>
    <w:p w:rsidR="00D333E6" w:rsidRPr="00D333E6" w:rsidRDefault="00D333E6" w:rsidP="001D32E6">
      <w:pPr>
        <w:spacing w:after="0"/>
        <w:jc w:val="both"/>
        <w:rPr>
          <w:rFonts w:ascii="Arial" w:hAnsi="Arial" w:cs="Arial"/>
          <w:b/>
          <w:sz w:val="20"/>
          <w:szCs w:val="20"/>
        </w:rPr>
      </w:pPr>
    </w:p>
    <w:p w:rsidR="000800D1" w:rsidRPr="0022060B" w:rsidRDefault="000800D1" w:rsidP="001D32E6">
      <w:pPr>
        <w:spacing w:after="0"/>
        <w:jc w:val="both"/>
        <w:rPr>
          <w:rFonts w:ascii="Arial" w:hAnsi="Arial" w:cs="Arial"/>
          <w:b/>
          <w:color w:val="000000"/>
          <w:sz w:val="20"/>
          <w:szCs w:val="20"/>
        </w:rPr>
      </w:pPr>
      <w:r w:rsidRPr="0022060B">
        <w:rPr>
          <w:rFonts w:ascii="Arial" w:hAnsi="Arial" w:cs="Arial"/>
          <w:b/>
          <w:color w:val="000000"/>
          <w:sz w:val="20"/>
          <w:szCs w:val="20"/>
        </w:rPr>
        <w:t>Superior Tribunal de Justiça:</w:t>
      </w:r>
    </w:p>
    <w:p w:rsidR="00CC4E55" w:rsidRDefault="00CC4E55" w:rsidP="001D32E6">
      <w:pPr>
        <w:spacing w:after="0"/>
        <w:jc w:val="both"/>
        <w:rPr>
          <w:rFonts w:ascii="Arial" w:hAnsi="Arial" w:cs="Arial"/>
          <w:b/>
          <w:color w:val="000000"/>
          <w:sz w:val="20"/>
          <w:szCs w:val="20"/>
        </w:rPr>
      </w:pPr>
    </w:p>
    <w:p w:rsidR="00A20F2F" w:rsidRPr="00592860" w:rsidRDefault="0099421B" w:rsidP="001D32E6">
      <w:pPr>
        <w:spacing w:after="0"/>
        <w:jc w:val="both"/>
        <w:rPr>
          <w:rFonts w:ascii="Arial" w:hAnsi="Arial" w:cs="Arial"/>
          <w:b/>
          <w:sz w:val="20"/>
          <w:szCs w:val="20"/>
        </w:rPr>
      </w:pPr>
      <w:r w:rsidRPr="0099421B">
        <w:rPr>
          <w:rFonts w:ascii="Arial" w:hAnsi="Arial" w:cs="Arial"/>
          <w:b/>
          <w:sz w:val="20"/>
          <w:szCs w:val="20"/>
          <w:shd w:val="clear" w:color="auto" w:fill="FFFFFF"/>
        </w:rPr>
        <w:t>Concurso público. Candidato aprovado fora do número de vagas. Desistência de candidatos melhor classificados. Impetrante que passa a figurar no número de vagas previstas no edital. Direito à nomeação. Existência. Segurança concedida.</w:t>
      </w:r>
      <w:r>
        <w:rPr>
          <w:rFonts w:ascii="Arial" w:hAnsi="Arial" w:cs="Arial"/>
          <w:b/>
          <w:sz w:val="20"/>
          <w:szCs w:val="20"/>
          <w:shd w:val="clear" w:color="auto" w:fill="FFFFFF"/>
        </w:rPr>
        <w:t xml:space="preserve"> </w:t>
      </w:r>
      <w:hyperlink r:id="rId19" w:history="1">
        <w:r w:rsidRPr="00592860">
          <w:rPr>
            <w:rStyle w:val="Hyperlink"/>
            <w:rFonts w:ascii="Arial" w:hAnsi="Arial" w:cs="Arial"/>
            <w:b/>
            <w:sz w:val="20"/>
            <w:szCs w:val="20"/>
            <w:shd w:val="clear" w:color="auto" w:fill="FFFFFF"/>
          </w:rPr>
          <w:t xml:space="preserve">RMS 53.506-DF, Rel. Min. Regina Helena Costa, por unanimidade, julgado em 26/09/2017, </w:t>
        </w:r>
        <w:proofErr w:type="spellStart"/>
        <w:r w:rsidRPr="00592860">
          <w:rPr>
            <w:rStyle w:val="Hyperlink"/>
            <w:rFonts w:ascii="Arial" w:hAnsi="Arial" w:cs="Arial"/>
            <w:b/>
            <w:sz w:val="20"/>
            <w:szCs w:val="20"/>
            <w:shd w:val="clear" w:color="auto" w:fill="FFFFFF"/>
          </w:rPr>
          <w:t>DJe</w:t>
        </w:r>
        <w:proofErr w:type="spellEnd"/>
        <w:r w:rsidRPr="00592860">
          <w:rPr>
            <w:rStyle w:val="Hyperlink"/>
            <w:rFonts w:ascii="Arial" w:hAnsi="Arial" w:cs="Arial"/>
            <w:b/>
            <w:sz w:val="20"/>
            <w:szCs w:val="20"/>
            <w:shd w:val="clear" w:color="auto" w:fill="FFFFFF"/>
          </w:rPr>
          <w:t xml:space="preserve"> 29/09/2017</w:t>
        </w:r>
      </w:hyperlink>
    </w:p>
    <w:p w:rsidR="00A20F2F" w:rsidRDefault="00A20F2F" w:rsidP="001D32E6">
      <w:pPr>
        <w:spacing w:after="0"/>
        <w:jc w:val="both"/>
        <w:rPr>
          <w:rFonts w:ascii="Arial" w:hAnsi="Arial" w:cs="Arial"/>
          <w:b/>
          <w:color w:val="000000"/>
          <w:sz w:val="20"/>
          <w:szCs w:val="20"/>
        </w:rPr>
      </w:pPr>
    </w:p>
    <w:p w:rsidR="00C15E9E" w:rsidRDefault="00C15E9E" w:rsidP="001D32E6">
      <w:pPr>
        <w:spacing w:after="0"/>
        <w:jc w:val="both"/>
        <w:rPr>
          <w:rFonts w:ascii="Arial" w:hAnsi="Arial" w:cs="Arial"/>
          <w:sz w:val="20"/>
          <w:szCs w:val="20"/>
          <w:shd w:val="clear" w:color="auto" w:fill="FFFFFF"/>
        </w:rPr>
      </w:pPr>
      <w:r w:rsidRPr="00C15E9E">
        <w:rPr>
          <w:rFonts w:ascii="Arial" w:hAnsi="Arial" w:cs="Arial"/>
          <w:sz w:val="20"/>
          <w:szCs w:val="20"/>
          <w:shd w:val="clear" w:color="auto" w:fill="FFFFFF"/>
        </w:rPr>
        <w:t>A desistência de candidatos melhor classificados em concurso público convola a mera expectativa em direito líquido e certo, garantindo a nomeação dos candidatos que passarem a constar dentro do número de vagas previstas no edital.</w:t>
      </w:r>
    </w:p>
    <w:p w:rsidR="001D32E6" w:rsidRPr="00C15E9E" w:rsidRDefault="001D32E6" w:rsidP="001D32E6">
      <w:pPr>
        <w:spacing w:after="0"/>
        <w:jc w:val="both"/>
        <w:rPr>
          <w:rFonts w:ascii="Arial" w:hAnsi="Arial" w:cs="Arial"/>
          <w:b/>
          <w:sz w:val="20"/>
          <w:szCs w:val="20"/>
        </w:rPr>
      </w:pPr>
    </w:p>
    <w:p w:rsidR="00A20F2F" w:rsidRDefault="00A20F2F" w:rsidP="001D32E6">
      <w:pPr>
        <w:spacing w:after="0"/>
        <w:jc w:val="both"/>
        <w:rPr>
          <w:rFonts w:ascii="Arial" w:hAnsi="Arial" w:cs="Arial"/>
          <w:b/>
          <w:color w:val="000000"/>
          <w:sz w:val="20"/>
          <w:szCs w:val="20"/>
        </w:rPr>
      </w:pPr>
    </w:p>
    <w:p w:rsidR="000800D1" w:rsidRPr="0022060B" w:rsidRDefault="000800D1" w:rsidP="001D32E6">
      <w:pPr>
        <w:spacing w:after="0"/>
        <w:jc w:val="both"/>
        <w:rPr>
          <w:rFonts w:ascii="Arial" w:hAnsi="Arial" w:cs="Arial"/>
          <w:b/>
          <w:color w:val="000000"/>
          <w:sz w:val="20"/>
          <w:szCs w:val="20"/>
        </w:rPr>
      </w:pPr>
      <w:r w:rsidRPr="0022060B">
        <w:rPr>
          <w:rFonts w:ascii="Arial" w:hAnsi="Arial" w:cs="Arial"/>
          <w:b/>
          <w:color w:val="000000"/>
          <w:sz w:val="20"/>
          <w:szCs w:val="20"/>
        </w:rPr>
        <w:lastRenderedPageBreak/>
        <w:t>Tribunal de Contas da União:</w:t>
      </w:r>
    </w:p>
    <w:p w:rsidR="001D32E6" w:rsidRDefault="001D32E6" w:rsidP="001D32E6">
      <w:pPr>
        <w:widowControl w:val="0"/>
        <w:autoSpaceDE w:val="0"/>
        <w:autoSpaceDN w:val="0"/>
        <w:spacing w:after="0"/>
        <w:jc w:val="both"/>
      </w:pPr>
    </w:p>
    <w:p w:rsidR="005636DF" w:rsidRDefault="00A91552" w:rsidP="001D32E6">
      <w:pPr>
        <w:widowControl w:val="0"/>
        <w:autoSpaceDE w:val="0"/>
        <w:autoSpaceDN w:val="0"/>
        <w:spacing w:after="0"/>
        <w:jc w:val="both"/>
        <w:rPr>
          <w:rFonts w:ascii="Arial" w:hAnsi="Arial"/>
          <w:sz w:val="20"/>
          <w:szCs w:val="20"/>
        </w:rPr>
      </w:pPr>
      <w:hyperlink r:id="rId20" w:history="1">
        <w:r w:rsidR="00F971EF" w:rsidRPr="00DE27C9">
          <w:rPr>
            <w:rStyle w:val="Hyperlink"/>
            <w:rFonts w:ascii="Arial" w:hAnsi="Arial"/>
            <w:b/>
            <w:sz w:val="20"/>
            <w:szCs w:val="20"/>
          </w:rPr>
          <w:t>Acórdão 2000/2017</w:t>
        </w:r>
        <w:r w:rsidR="00EA2472" w:rsidRPr="00DE27C9">
          <w:rPr>
            <w:rStyle w:val="Hyperlink"/>
            <w:rFonts w:ascii="Arial" w:hAnsi="Arial"/>
            <w:b/>
            <w:sz w:val="20"/>
            <w:szCs w:val="20"/>
          </w:rPr>
          <w:t xml:space="preserve"> - </w:t>
        </w:r>
        <w:r w:rsidR="00F971EF" w:rsidRPr="00DE27C9">
          <w:rPr>
            <w:rStyle w:val="Hyperlink"/>
            <w:rFonts w:ascii="Arial" w:hAnsi="Arial"/>
            <w:b/>
            <w:sz w:val="20"/>
            <w:szCs w:val="20"/>
          </w:rPr>
          <w:t>Plenário</w:t>
        </w:r>
      </w:hyperlink>
      <w:r w:rsidR="00F971EF" w:rsidRPr="00DE27C9">
        <w:rPr>
          <w:rFonts w:ascii="Arial" w:hAnsi="Arial"/>
          <w:b/>
          <w:sz w:val="20"/>
          <w:szCs w:val="20"/>
        </w:rPr>
        <w:t xml:space="preserve"> </w:t>
      </w:r>
      <w:r w:rsidR="00F971EF" w:rsidRPr="00DE27C9">
        <w:rPr>
          <w:rFonts w:ascii="Arial" w:hAnsi="Arial"/>
          <w:sz w:val="20"/>
          <w:szCs w:val="20"/>
        </w:rPr>
        <w:t xml:space="preserve">(Agravo, Relator Ministro Benjamin </w:t>
      </w:r>
      <w:proofErr w:type="spellStart"/>
      <w:r w:rsidR="00F971EF" w:rsidRPr="00DE27C9">
        <w:rPr>
          <w:rFonts w:ascii="Arial" w:hAnsi="Arial"/>
          <w:sz w:val="20"/>
          <w:szCs w:val="20"/>
        </w:rPr>
        <w:t>Zymler</w:t>
      </w:r>
      <w:proofErr w:type="spellEnd"/>
      <w:r w:rsidR="00F971EF" w:rsidRPr="00DE27C9">
        <w:rPr>
          <w:rFonts w:ascii="Arial" w:hAnsi="Arial"/>
          <w:sz w:val="20"/>
          <w:szCs w:val="20"/>
        </w:rPr>
        <w:t>)</w:t>
      </w:r>
      <w:r w:rsidR="001D32E6">
        <w:rPr>
          <w:rFonts w:ascii="Arial" w:hAnsi="Arial"/>
          <w:sz w:val="20"/>
          <w:szCs w:val="20"/>
        </w:rPr>
        <w:t xml:space="preserve"> </w:t>
      </w:r>
      <w:r w:rsidR="005636DF">
        <w:rPr>
          <w:rFonts w:ascii="Arial" w:hAnsi="Arial"/>
          <w:sz w:val="20"/>
          <w:szCs w:val="20"/>
        </w:rPr>
        <w:t xml:space="preserve"> </w:t>
      </w:r>
    </w:p>
    <w:p w:rsidR="005636DF" w:rsidRDefault="005636DF" w:rsidP="001D32E6">
      <w:pPr>
        <w:widowControl w:val="0"/>
        <w:autoSpaceDE w:val="0"/>
        <w:autoSpaceDN w:val="0"/>
        <w:spacing w:after="0"/>
        <w:jc w:val="both"/>
        <w:rPr>
          <w:rFonts w:ascii="Arial" w:hAnsi="Arial"/>
          <w:b/>
          <w:sz w:val="20"/>
          <w:szCs w:val="20"/>
        </w:rPr>
      </w:pPr>
    </w:p>
    <w:p w:rsidR="00F971EF" w:rsidRDefault="00F971EF" w:rsidP="001D32E6">
      <w:pPr>
        <w:widowControl w:val="0"/>
        <w:autoSpaceDE w:val="0"/>
        <w:autoSpaceDN w:val="0"/>
        <w:spacing w:after="0"/>
        <w:jc w:val="both"/>
        <w:rPr>
          <w:rFonts w:ascii="Arial" w:hAnsi="Arial"/>
          <w:sz w:val="20"/>
          <w:szCs w:val="20"/>
        </w:rPr>
      </w:pPr>
      <w:r w:rsidRPr="005636DF">
        <w:rPr>
          <w:rFonts w:ascii="Arial" w:hAnsi="Arial"/>
          <w:b/>
          <w:sz w:val="20"/>
          <w:szCs w:val="20"/>
        </w:rPr>
        <w:t>Pessoal. Aposentadoria. Proventos. Base de cálculo. Contribuição previdenciária. Pensão. Vedação.</w:t>
      </w:r>
    </w:p>
    <w:p w:rsidR="001D32E6" w:rsidRPr="00DE27C9" w:rsidRDefault="001D32E6" w:rsidP="001D32E6">
      <w:pPr>
        <w:spacing w:after="0"/>
        <w:jc w:val="both"/>
        <w:rPr>
          <w:rFonts w:ascii="Arial" w:hAnsi="Arial" w:cs="Arial"/>
          <w:sz w:val="20"/>
          <w:szCs w:val="20"/>
        </w:rPr>
      </w:pPr>
    </w:p>
    <w:p w:rsidR="00F971EF" w:rsidRDefault="00F971EF" w:rsidP="001D32E6">
      <w:pPr>
        <w:pStyle w:val="TCU-Epgrafe"/>
        <w:spacing w:line="276" w:lineRule="auto"/>
        <w:ind w:left="0"/>
        <w:rPr>
          <w:rFonts w:ascii="Arial" w:hAnsi="Arial"/>
          <w:sz w:val="20"/>
        </w:rPr>
      </w:pPr>
      <w:r w:rsidRPr="00DE27C9">
        <w:rPr>
          <w:rFonts w:ascii="Arial" w:hAnsi="Arial"/>
          <w:sz w:val="20"/>
        </w:rPr>
        <w:t>No regime contributivo previdenciário constitucional é vedado ao servidor público carrear para os proventos da aposentadoria ou para a pensão por ele instituída parcela da remuneração sobre a qual não incidiu desconto previdenciário.</w:t>
      </w:r>
    </w:p>
    <w:p w:rsidR="001D32E6" w:rsidRPr="00DE27C9" w:rsidRDefault="001D32E6" w:rsidP="001D32E6">
      <w:pPr>
        <w:pStyle w:val="TCU-Epgrafe"/>
        <w:spacing w:line="276" w:lineRule="auto"/>
        <w:ind w:left="0"/>
        <w:rPr>
          <w:sz w:val="20"/>
        </w:rPr>
      </w:pPr>
    </w:p>
    <w:p w:rsidR="005636DF" w:rsidRDefault="00A91552" w:rsidP="001D32E6">
      <w:pPr>
        <w:widowControl w:val="0"/>
        <w:autoSpaceDE w:val="0"/>
        <w:autoSpaceDN w:val="0"/>
        <w:spacing w:after="0"/>
        <w:jc w:val="both"/>
        <w:rPr>
          <w:rFonts w:ascii="Arial" w:hAnsi="Arial"/>
          <w:sz w:val="20"/>
          <w:szCs w:val="20"/>
        </w:rPr>
      </w:pPr>
      <w:hyperlink r:id="rId21" w:history="1">
        <w:r w:rsidR="00BF3AA2" w:rsidRPr="00DE27C9">
          <w:rPr>
            <w:rStyle w:val="Hyperlink"/>
            <w:rFonts w:ascii="Arial" w:hAnsi="Arial"/>
            <w:b/>
            <w:sz w:val="20"/>
            <w:szCs w:val="20"/>
          </w:rPr>
          <w:t>Acórdão 2007/2017</w:t>
        </w:r>
        <w:r w:rsidR="00DE27C9" w:rsidRPr="00DE27C9">
          <w:rPr>
            <w:rStyle w:val="Hyperlink"/>
            <w:rFonts w:ascii="Arial" w:hAnsi="Arial"/>
            <w:b/>
            <w:sz w:val="20"/>
            <w:szCs w:val="20"/>
          </w:rPr>
          <w:t xml:space="preserve"> -</w:t>
        </w:r>
        <w:r w:rsidR="00BF3AA2" w:rsidRPr="00DE27C9">
          <w:rPr>
            <w:rStyle w:val="Hyperlink"/>
            <w:rFonts w:ascii="Arial" w:hAnsi="Arial"/>
            <w:b/>
            <w:sz w:val="20"/>
            <w:szCs w:val="20"/>
          </w:rPr>
          <w:t xml:space="preserve"> Plenário</w:t>
        </w:r>
      </w:hyperlink>
      <w:r w:rsidR="00BF3AA2" w:rsidRPr="00DE27C9">
        <w:rPr>
          <w:rFonts w:ascii="Arial" w:hAnsi="Arial"/>
          <w:b/>
          <w:sz w:val="20"/>
          <w:szCs w:val="20"/>
        </w:rPr>
        <w:t xml:space="preserve"> </w:t>
      </w:r>
      <w:r w:rsidR="00BF3AA2" w:rsidRPr="00DE27C9">
        <w:rPr>
          <w:rFonts w:ascii="Arial" w:hAnsi="Arial"/>
          <w:sz w:val="20"/>
          <w:szCs w:val="20"/>
        </w:rPr>
        <w:t xml:space="preserve">(Levantamento, Relator Ministro Benjamin </w:t>
      </w:r>
      <w:proofErr w:type="spellStart"/>
      <w:r w:rsidR="00BF3AA2" w:rsidRPr="00DE27C9">
        <w:rPr>
          <w:rFonts w:ascii="Arial" w:hAnsi="Arial"/>
          <w:sz w:val="20"/>
          <w:szCs w:val="20"/>
        </w:rPr>
        <w:t>Zymler</w:t>
      </w:r>
      <w:proofErr w:type="spellEnd"/>
      <w:r w:rsidR="00BF3AA2" w:rsidRPr="00DE27C9">
        <w:rPr>
          <w:rFonts w:ascii="Arial" w:hAnsi="Arial"/>
          <w:sz w:val="20"/>
          <w:szCs w:val="20"/>
        </w:rPr>
        <w:t>)</w:t>
      </w:r>
      <w:r w:rsidR="001D32E6">
        <w:rPr>
          <w:rFonts w:ascii="Arial" w:hAnsi="Arial"/>
          <w:sz w:val="20"/>
          <w:szCs w:val="20"/>
        </w:rPr>
        <w:t xml:space="preserve"> </w:t>
      </w:r>
    </w:p>
    <w:p w:rsidR="005636DF" w:rsidRDefault="005636DF" w:rsidP="001D32E6">
      <w:pPr>
        <w:widowControl w:val="0"/>
        <w:autoSpaceDE w:val="0"/>
        <w:autoSpaceDN w:val="0"/>
        <w:spacing w:after="0"/>
        <w:jc w:val="both"/>
        <w:rPr>
          <w:rFonts w:ascii="Arial" w:hAnsi="Arial"/>
          <w:sz w:val="20"/>
          <w:szCs w:val="20"/>
        </w:rPr>
      </w:pPr>
    </w:p>
    <w:p w:rsidR="00BF3AA2" w:rsidRPr="005636DF" w:rsidRDefault="00BF3AA2" w:rsidP="001D32E6">
      <w:pPr>
        <w:widowControl w:val="0"/>
        <w:autoSpaceDE w:val="0"/>
        <w:autoSpaceDN w:val="0"/>
        <w:spacing w:after="0"/>
        <w:jc w:val="both"/>
        <w:rPr>
          <w:rFonts w:ascii="Arial" w:hAnsi="Arial"/>
          <w:b/>
          <w:sz w:val="20"/>
          <w:szCs w:val="20"/>
        </w:rPr>
      </w:pPr>
      <w:r w:rsidRPr="005636DF">
        <w:rPr>
          <w:rFonts w:ascii="Arial" w:hAnsi="Arial"/>
          <w:b/>
          <w:sz w:val="20"/>
          <w:szCs w:val="20"/>
        </w:rPr>
        <w:t>Contrato Administrativo. Equilíbrio econômico-financeiro. Avaliação. Economicidade.</w:t>
      </w:r>
    </w:p>
    <w:p w:rsidR="001D32E6" w:rsidRPr="00DE27C9" w:rsidRDefault="001D32E6" w:rsidP="001D32E6">
      <w:pPr>
        <w:spacing w:after="0"/>
        <w:jc w:val="both"/>
        <w:rPr>
          <w:rFonts w:ascii="Arial" w:hAnsi="Arial" w:cs="Arial"/>
          <w:sz w:val="20"/>
          <w:szCs w:val="20"/>
        </w:rPr>
      </w:pPr>
    </w:p>
    <w:p w:rsidR="00BF3AA2" w:rsidRDefault="00BF3AA2" w:rsidP="001D32E6">
      <w:pPr>
        <w:pStyle w:val="TCU-Epgrafe"/>
        <w:spacing w:line="276" w:lineRule="auto"/>
        <w:ind w:left="0"/>
        <w:rPr>
          <w:rFonts w:ascii="Arial" w:hAnsi="Arial"/>
          <w:sz w:val="20"/>
        </w:rPr>
      </w:pPr>
      <w:r w:rsidRPr="00DE27C9">
        <w:rPr>
          <w:rFonts w:ascii="Arial" w:hAnsi="Arial"/>
          <w:sz w:val="20"/>
        </w:rPr>
        <w:t>Quando a equação econômico-financeira inicial se assenta em bases antieconômicas, ocorre violação ao princípio da economicidade desde a origem contratual. Nesse caso, não há que se falar em ato jurídico perfeito nem em direito adquirido a manutenção de situação lesiva aos cofres públicos.</w:t>
      </w:r>
    </w:p>
    <w:p w:rsidR="001D32E6" w:rsidRPr="00DE27C9" w:rsidRDefault="001D32E6" w:rsidP="001D32E6">
      <w:pPr>
        <w:pStyle w:val="TCU-Epgrafe"/>
        <w:spacing w:line="276" w:lineRule="auto"/>
        <w:ind w:left="0"/>
        <w:rPr>
          <w:sz w:val="20"/>
        </w:rPr>
      </w:pPr>
    </w:p>
    <w:p w:rsidR="005636DF" w:rsidRDefault="00A91552" w:rsidP="001D32E6">
      <w:pPr>
        <w:widowControl w:val="0"/>
        <w:autoSpaceDE w:val="0"/>
        <w:autoSpaceDN w:val="0"/>
        <w:spacing w:after="0"/>
        <w:jc w:val="both"/>
        <w:rPr>
          <w:rFonts w:ascii="Arial" w:hAnsi="Arial"/>
          <w:sz w:val="20"/>
          <w:szCs w:val="20"/>
        </w:rPr>
      </w:pPr>
      <w:hyperlink r:id="rId22" w:history="1">
        <w:r w:rsidR="00E538B3" w:rsidRPr="006C634A">
          <w:rPr>
            <w:rStyle w:val="Hyperlink"/>
            <w:rFonts w:ascii="Arial" w:hAnsi="Arial"/>
            <w:b/>
            <w:sz w:val="20"/>
            <w:szCs w:val="20"/>
          </w:rPr>
          <w:t>Acórdão 2020/2017</w:t>
        </w:r>
        <w:r w:rsidR="006C634A" w:rsidRPr="006C634A">
          <w:rPr>
            <w:rStyle w:val="Hyperlink"/>
            <w:rFonts w:ascii="Arial" w:hAnsi="Arial"/>
            <w:b/>
            <w:sz w:val="20"/>
            <w:szCs w:val="20"/>
          </w:rPr>
          <w:t xml:space="preserve"> -</w:t>
        </w:r>
        <w:r w:rsidR="00E538B3" w:rsidRPr="006C634A">
          <w:rPr>
            <w:rStyle w:val="Hyperlink"/>
            <w:rFonts w:ascii="Arial" w:hAnsi="Arial"/>
            <w:b/>
            <w:sz w:val="20"/>
            <w:szCs w:val="20"/>
          </w:rPr>
          <w:t xml:space="preserve"> Plenário</w:t>
        </w:r>
      </w:hyperlink>
      <w:r w:rsidR="00E538B3" w:rsidRPr="006C634A">
        <w:rPr>
          <w:rFonts w:ascii="Arial" w:hAnsi="Arial"/>
          <w:b/>
          <w:sz w:val="20"/>
          <w:szCs w:val="20"/>
        </w:rPr>
        <w:t xml:space="preserve"> </w:t>
      </w:r>
      <w:r w:rsidR="00E538B3" w:rsidRPr="00DE27C9">
        <w:rPr>
          <w:rFonts w:ascii="Arial" w:hAnsi="Arial"/>
          <w:sz w:val="20"/>
          <w:szCs w:val="20"/>
        </w:rPr>
        <w:t xml:space="preserve">(Representação, Relator Ministro-Substituto </w:t>
      </w:r>
      <w:proofErr w:type="spellStart"/>
      <w:r w:rsidR="00E538B3" w:rsidRPr="00DE27C9">
        <w:rPr>
          <w:rFonts w:ascii="Arial" w:hAnsi="Arial"/>
          <w:sz w:val="20"/>
          <w:szCs w:val="20"/>
        </w:rPr>
        <w:t>Weder</w:t>
      </w:r>
      <w:proofErr w:type="spellEnd"/>
      <w:r w:rsidR="00E538B3" w:rsidRPr="00DE27C9">
        <w:rPr>
          <w:rFonts w:ascii="Arial" w:hAnsi="Arial"/>
          <w:sz w:val="20"/>
          <w:szCs w:val="20"/>
        </w:rPr>
        <w:t xml:space="preserve"> de Oliveira)</w:t>
      </w:r>
      <w:r w:rsidR="001D32E6">
        <w:rPr>
          <w:rFonts w:ascii="Arial" w:hAnsi="Arial"/>
          <w:sz w:val="20"/>
          <w:szCs w:val="20"/>
        </w:rPr>
        <w:t xml:space="preserve"> </w:t>
      </w:r>
    </w:p>
    <w:p w:rsidR="005636DF" w:rsidRDefault="005636DF" w:rsidP="001D32E6">
      <w:pPr>
        <w:widowControl w:val="0"/>
        <w:autoSpaceDE w:val="0"/>
        <w:autoSpaceDN w:val="0"/>
        <w:spacing w:after="0"/>
        <w:jc w:val="both"/>
        <w:rPr>
          <w:rFonts w:ascii="Arial" w:hAnsi="Arial"/>
          <w:sz w:val="20"/>
          <w:szCs w:val="20"/>
        </w:rPr>
      </w:pPr>
    </w:p>
    <w:p w:rsidR="00E538B3" w:rsidRPr="005636DF" w:rsidRDefault="00E538B3" w:rsidP="001D32E6">
      <w:pPr>
        <w:widowControl w:val="0"/>
        <w:autoSpaceDE w:val="0"/>
        <w:autoSpaceDN w:val="0"/>
        <w:spacing w:after="0"/>
        <w:jc w:val="both"/>
        <w:rPr>
          <w:rFonts w:ascii="Arial" w:hAnsi="Arial"/>
          <w:b/>
          <w:sz w:val="20"/>
          <w:szCs w:val="20"/>
        </w:rPr>
      </w:pPr>
      <w:r w:rsidRPr="005636DF">
        <w:rPr>
          <w:rFonts w:ascii="Arial" w:hAnsi="Arial"/>
          <w:b/>
          <w:sz w:val="20"/>
          <w:szCs w:val="20"/>
        </w:rPr>
        <w:t>Licitação. Locação (Licitação). Bens imóveis. Parcelamento do objeto. Serviço de vigilância e guarda. Serviço de manutenção e reparos. Serviço de limpeza. Condomínio.</w:t>
      </w:r>
    </w:p>
    <w:p w:rsidR="001D32E6" w:rsidRPr="00DE27C9" w:rsidRDefault="001D32E6" w:rsidP="001D32E6">
      <w:pPr>
        <w:spacing w:after="0"/>
        <w:jc w:val="both"/>
        <w:rPr>
          <w:rFonts w:ascii="Arial" w:hAnsi="Arial" w:cs="Arial"/>
          <w:sz w:val="20"/>
          <w:szCs w:val="20"/>
        </w:rPr>
      </w:pPr>
    </w:p>
    <w:p w:rsidR="00E538B3" w:rsidRDefault="00E538B3" w:rsidP="001D32E6">
      <w:pPr>
        <w:pStyle w:val="TCU-Epgrafe"/>
        <w:spacing w:line="276" w:lineRule="auto"/>
        <w:ind w:left="0"/>
        <w:rPr>
          <w:rFonts w:ascii="Arial" w:hAnsi="Arial"/>
          <w:sz w:val="20"/>
        </w:rPr>
      </w:pPr>
      <w:r w:rsidRPr="00DE27C9">
        <w:rPr>
          <w:rFonts w:ascii="Arial" w:hAnsi="Arial"/>
          <w:sz w:val="20"/>
        </w:rPr>
        <w:t xml:space="preserve">Licitação que tenha por objeto a locação de bem imóvel juntamente com serviços de segurança, manutenção, limpeza e conservação (solução imobiliária completa), contidos na taxa condominial, não representa, por si só, violação ao art. 23, § 1º, da </w:t>
      </w:r>
      <w:hyperlink r:id="rId23" w:history="1">
        <w:r w:rsidRPr="00DE27C9">
          <w:rPr>
            <w:rStyle w:val="Hyperlink"/>
            <w:rFonts w:ascii="Arial" w:hAnsi="Arial"/>
            <w:color w:val="0000FF" w:themeColor="hyperlink"/>
            <w:sz w:val="20"/>
          </w:rPr>
          <w:t>Lei 8.666/1993</w:t>
        </w:r>
      </w:hyperlink>
      <w:r w:rsidRPr="00DE27C9">
        <w:rPr>
          <w:rFonts w:ascii="Arial" w:hAnsi="Arial"/>
          <w:sz w:val="20"/>
        </w:rPr>
        <w:t>, haja vista que esse dispositivo não traz regra absoluta, devendo ser avaliado, caso a caso, se o parcelamento é vantajoso ou não para a Administração.</w:t>
      </w:r>
    </w:p>
    <w:p w:rsidR="001D32E6" w:rsidRPr="00DE27C9" w:rsidRDefault="001D32E6" w:rsidP="001D32E6">
      <w:pPr>
        <w:pStyle w:val="TCU-Epgrafe"/>
        <w:spacing w:line="276" w:lineRule="auto"/>
        <w:ind w:left="0"/>
        <w:rPr>
          <w:b/>
          <w:sz w:val="20"/>
        </w:rPr>
      </w:pPr>
    </w:p>
    <w:p w:rsidR="005636DF" w:rsidRDefault="00A91552" w:rsidP="001D32E6">
      <w:pPr>
        <w:widowControl w:val="0"/>
        <w:autoSpaceDE w:val="0"/>
        <w:autoSpaceDN w:val="0"/>
        <w:spacing w:after="0"/>
        <w:jc w:val="both"/>
        <w:rPr>
          <w:rFonts w:ascii="Arial" w:hAnsi="Arial"/>
          <w:sz w:val="20"/>
          <w:szCs w:val="20"/>
        </w:rPr>
      </w:pPr>
      <w:hyperlink r:id="rId24" w:history="1">
        <w:r w:rsidR="00DE013F" w:rsidRPr="00DC515D">
          <w:rPr>
            <w:rStyle w:val="Hyperlink"/>
            <w:rFonts w:ascii="Arial" w:hAnsi="Arial"/>
            <w:b/>
            <w:sz w:val="20"/>
            <w:szCs w:val="20"/>
          </w:rPr>
          <w:t>Acórdão 2033/2017</w:t>
        </w:r>
        <w:r w:rsidR="00DC515D" w:rsidRPr="00DC515D">
          <w:rPr>
            <w:rStyle w:val="Hyperlink"/>
            <w:rFonts w:ascii="Arial" w:hAnsi="Arial"/>
            <w:b/>
            <w:sz w:val="20"/>
            <w:szCs w:val="20"/>
          </w:rPr>
          <w:t xml:space="preserve"> - </w:t>
        </w:r>
        <w:r w:rsidR="00DE013F" w:rsidRPr="00DC515D">
          <w:rPr>
            <w:rStyle w:val="Hyperlink"/>
            <w:rFonts w:ascii="Arial" w:hAnsi="Arial"/>
            <w:b/>
            <w:sz w:val="20"/>
            <w:szCs w:val="20"/>
          </w:rPr>
          <w:t>Plenário</w:t>
        </w:r>
      </w:hyperlink>
      <w:r w:rsidR="00DE013F" w:rsidRPr="00DE27C9">
        <w:rPr>
          <w:rFonts w:ascii="Arial" w:hAnsi="Arial"/>
          <w:b/>
          <w:sz w:val="20"/>
          <w:szCs w:val="20"/>
        </w:rPr>
        <w:t xml:space="preserve"> </w:t>
      </w:r>
      <w:r w:rsidR="00DE013F" w:rsidRPr="00DE27C9">
        <w:rPr>
          <w:rFonts w:ascii="Arial" w:hAnsi="Arial"/>
          <w:sz w:val="20"/>
          <w:szCs w:val="20"/>
        </w:rPr>
        <w:t xml:space="preserve">(Denúncia, Relator Ministro Benjamin </w:t>
      </w:r>
      <w:proofErr w:type="spellStart"/>
      <w:r w:rsidR="00DE013F" w:rsidRPr="00DE27C9">
        <w:rPr>
          <w:rFonts w:ascii="Arial" w:hAnsi="Arial"/>
          <w:sz w:val="20"/>
          <w:szCs w:val="20"/>
        </w:rPr>
        <w:t>Zymler</w:t>
      </w:r>
      <w:proofErr w:type="spellEnd"/>
      <w:r w:rsidR="00DE013F" w:rsidRPr="00DE27C9">
        <w:rPr>
          <w:rFonts w:ascii="Arial" w:hAnsi="Arial"/>
          <w:sz w:val="20"/>
          <w:szCs w:val="20"/>
        </w:rPr>
        <w:t>)</w:t>
      </w:r>
      <w:r w:rsidR="001D32E6">
        <w:rPr>
          <w:rFonts w:ascii="Arial" w:hAnsi="Arial"/>
          <w:sz w:val="20"/>
          <w:szCs w:val="20"/>
        </w:rPr>
        <w:t xml:space="preserve"> </w:t>
      </w:r>
    </w:p>
    <w:p w:rsidR="005636DF" w:rsidRDefault="005636DF" w:rsidP="001D32E6">
      <w:pPr>
        <w:widowControl w:val="0"/>
        <w:autoSpaceDE w:val="0"/>
        <w:autoSpaceDN w:val="0"/>
        <w:spacing w:after="0"/>
        <w:jc w:val="both"/>
        <w:rPr>
          <w:rFonts w:ascii="Arial" w:hAnsi="Arial"/>
          <w:sz w:val="20"/>
          <w:szCs w:val="20"/>
        </w:rPr>
      </w:pPr>
    </w:p>
    <w:p w:rsidR="00DE013F" w:rsidRPr="005636DF" w:rsidRDefault="00DE013F" w:rsidP="001D32E6">
      <w:pPr>
        <w:widowControl w:val="0"/>
        <w:autoSpaceDE w:val="0"/>
        <w:autoSpaceDN w:val="0"/>
        <w:spacing w:after="0"/>
        <w:jc w:val="both"/>
        <w:rPr>
          <w:rFonts w:ascii="Arial" w:hAnsi="Arial"/>
          <w:b/>
          <w:sz w:val="20"/>
          <w:szCs w:val="20"/>
        </w:rPr>
      </w:pPr>
      <w:r w:rsidRPr="005636DF">
        <w:rPr>
          <w:rFonts w:ascii="Arial" w:hAnsi="Arial"/>
          <w:b/>
          <w:sz w:val="20"/>
          <w:szCs w:val="20"/>
        </w:rPr>
        <w:t>Licitação. Empresa estatal. Atividade-fim. Seleção. Dispensa de licitação.</w:t>
      </w:r>
    </w:p>
    <w:p w:rsidR="001D32E6" w:rsidRPr="00DE27C9" w:rsidRDefault="001D32E6" w:rsidP="001D32E6">
      <w:pPr>
        <w:spacing w:after="0"/>
        <w:jc w:val="both"/>
        <w:rPr>
          <w:rFonts w:ascii="Arial" w:hAnsi="Arial" w:cs="Arial"/>
          <w:sz w:val="20"/>
          <w:szCs w:val="20"/>
        </w:rPr>
      </w:pPr>
    </w:p>
    <w:p w:rsidR="00DE013F" w:rsidRDefault="00DE013F" w:rsidP="001D32E6">
      <w:pPr>
        <w:pStyle w:val="TCU-Epgrafe"/>
        <w:spacing w:line="276" w:lineRule="auto"/>
        <w:ind w:left="0"/>
        <w:rPr>
          <w:rFonts w:ascii="Arial" w:hAnsi="Arial"/>
          <w:sz w:val="20"/>
        </w:rPr>
      </w:pPr>
      <w:r w:rsidRPr="00DE27C9">
        <w:rPr>
          <w:rFonts w:ascii="Arial" w:hAnsi="Arial"/>
          <w:sz w:val="20"/>
        </w:rPr>
        <w:t xml:space="preserve">Embora as empresas estatais estejam dispensadas de licitar a prestação de serviços relacionados com seus respectivos objetos sociais (art. 28, § 3º, inciso I, da </w:t>
      </w:r>
      <w:hyperlink r:id="rId25" w:history="1">
        <w:r w:rsidRPr="00DE27C9">
          <w:rPr>
            <w:rStyle w:val="Hyperlink"/>
            <w:rFonts w:ascii="Arial" w:hAnsi="Arial"/>
            <w:color w:val="0000FF" w:themeColor="hyperlink"/>
            <w:sz w:val="20"/>
          </w:rPr>
          <w:t>Lei 13.303/2016</w:t>
        </w:r>
      </w:hyperlink>
      <w:r w:rsidRPr="00DE27C9">
        <w:rPr>
          <w:rStyle w:val="Hyperlink"/>
          <w:rFonts w:ascii="Arial" w:hAnsi="Arial"/>
          <w:sz w:val="20"/>
        </w:rPr>
        <w:t xml:space="preserve">), </w:t>
      </w:r>
      <w:r w:rsidRPr="00DE27C9">
        <w:rPr>
          <w:rFonts w:ascii="Arial" w:hAnsi="Arial"/>
          <w:sz w:val="20"/>
        </w:rPr>
        <w:t>devem conferir lisura e transparência a essas contratações, em atenção aos princípios que regem a atuação da Administração Pública, selecionando seus parceiros por meio de processo competitivo, isonômico, impessoal e transparente.</w:t>
      </w:r>
    </w:p>
    <w:p w:rsidR="001D32E6" w:rsidRPr="00DE27C9" w:rsidRDefault="001D32E6" w:rsidP="001D32E6">
      <w:pPr>
        <w:pStyle w:val="TCU-Epgrafe"/>
        <w:spacing w:line="276" w:lineRule="auto"/>
        <w:ind w:left="0"/>
        <w:rPr>
          <w:rFonts w:ascii="Arial" w:hAnsi="Arial"/>
          <w:sz w:val="20"/>
        </w:rPr>
      </w:pPr>
    </w:p>
    <w:p w:rsidR="005636DF" w:rsidRDefault="00A91552" w:rsidP="001D32E6">
      <w:pPr>
        <w:widowControl w:val="0"/>
        <w:autoSpaceDE w:val="0"/>
        <w:autoSpaceDN w:val="0"/>
        <w:spacing w:after="0"/>
        <w:jc w:val="both"/>
        <w:rPr>
          <w:rFonts w:ascii="Arial" w:hAnsi="Arial"/>
          <w:sz w:val="20"/>
          <w:szCs w:val="20"/>
        </w:rPr>
      </w:pPr>
      <w:hyperlink r:id="rId26" w:history="1">
        <w:r w:rsidR="00DE013F" w:rsidRPr="00307DB5">
          <w:rPr>
            <w:rStyle w:val="Hyperlink"/>
            <w:rFonts w:ascii="Arial" w:hAnsi="Arial"/>
            <w:b/>
            <w:sz w:val="20"/>
            <w:szCs w:val="20"/>
          </w:rPr>
          <w:t>Acórdão 8486/2017</w:t>
        </w:r>
        <w:r w:rsidR="002023A5" w:rsidRPr="00307DB5">
          <w:rPr>
            <w:rStyle w:val="Hyperlink"/>
            <w:rFonts w:ascii="Arial" w:hAnsi="Arial"/>
            <w:b/>
            <w:sz w:val="20"/>
            <w:szCs w:val="20"/>
          </w:rPr>
          <w:t xml:space="preserve"> -</w:t>
        </w:r>
        <w:r w:rsidR="00DE013F" w:rsidRPr="00307DB5">
          <w:rPr>
            <w:rStyle w:val="Hyperlink"/>
            <w:rFonts w:ascii="Arial" w:hAnsi="Arial"/>
            <w:b/>
            <w:sz w:val="20"/>
            <w:szCs w:val="20"/>
          </w:rPr>
          <w:t xml:space="preserve"> Segunda Câmara</w:t>
        </w:r>
      </w:hyperlink>
      <w:r w:rsidR="00DE013F" w:rsidRPr="00DE27C9">
        <w:rPr>
          <w:rFonts w:ascii="Arial" w:hAnsi="Arial"/>
          <w:b/>
          <w:sz w:val="20"/>
          <w:szCs w:val="20"/>
        </w:rPr>
        <w:t xml:space="preserve"> </w:t>
      </w:r>
      <w:r w:rsidR="00DE013F" w:rsidRPr="00DE27C9">
        <w:rPr>
          <w:rFonts w:ascii="Arial" w:hAnsi="Arial"/>
          <w:sz w:val="20"/>
          <w:szCs w:val="20"/>
        </w:rPr>
        <w:t xml:space="preserve">(Recurso de Reconsideração, Relator Ministro Augusto </w:t>
      </w:r>
      <w:proofErr w:type="spellStart"/>
      <w:r w:rsidR="00DE013F" w:rsidRPr="00DE27C9">
        <w:rPr>
          <w:rFonts w:ascii="Arial" w:hAnsi="Arial"/>
          <w:sz w:val="20"/>
          <w:szCs w:val="20"/>
        </w:rPr>
        <w:lastRenderedPageBreak/>
        <w:t>Nardes</w:t>
      </w:r>
      <w:proofErr w:type="spellEnd"/>
      <w:r w:rsidR="00DE013F" w:rsidRPr="00DE27C9">
        <w:rPr>
          <w:rFonts w:ascii="Arial" w:hAnsi="Arial"/>
          <w:sz w:val="20"/>
          <w:szCs w:val="20"/>
        </w:rPr>
        <w:t>)</w:t>
      </w:r>
      <w:r w:rsidR="005636DF">
        <w:rPr>
          <w:rFonts w:ascii="Arial" w:hAnsi="Arial"/>
          <w:sz w:val="20"/>
          <w:szCs w:val="20"/>
        </w:rPr>
        <w:t>.</w:t>
      </w:r>
    </w:p>
    <w:p w:rsidR="005636DF" w:rsidRDefault="001D32E6" w:rsidP="001D32E6">
      <w:pPr>
        <w:widowControl w:val="0"/>
        <w:autoSpaceDE w:val="0"/>
        <w:autoSpaceDN w:val="0"/>
        <w:spacing w:after="0"/>
        <w:jc w:val="both"/>
        <w:rPr>
          <w:rFonts w:ascii="Arial" w:hAnsi="Arial"/>
          <w:sz w:val="20"/>
          <w:szCs w:val="20"/>
        </w:rPr>
      </w:pPr>
      <w:r>
        <w:rPr>
          <w:rFonts w:ascii="Arial" w:hAnsi="Arial"/>
          <w:sz w:val="20"/>
          <w:szCs w:val="20"/>
        </w:rPr>
        <w:t xml:space="preserve"> </w:t>
      </w:r>
    </w:p>
    <w:p w:rsidR="00DE013F" w:rsidRPr="005636DF" w:rsidRDefault="00DE013F" w:rsidP="001D32E6">
      <w:pPr>
        <w:widowControl w:val="0"/>
        <w:autoSpaceDE w:val="0"/>
        <w:autoSpaceDN w:val="0"/>
        <w:spacing w:after="0"/>
        <w:jc w:val="both"/>
        <w:rPr>
          <w:rFonts w:ascii="Arial" w:hAnsi="Arial"/>
          <w:b/>
          <w:sz w:val="20"/>
          <w:szCs w:val="20"/>
        </w:rPr>
      </w:pPr>
      <w:r w:rsidRPr="005636DF">
        <w:rPr>
          <w:rFonts w:ascii="Arial" w:hAnsi="Arial"/>
          <w:b/>
          <w:sz w:val="20"/>
          <w:szCs w:val="20"/>
        </w:rPr>
        <w:t>Responsabilidade. Débito. Imprescritibilidade. STF. Repercussão geral.</w:t>
      </w:r>
    </w:p>
    <w:p w:rsidR="001D32E6" w:rsidRPr="00DE27C9" w:rsidRDefault="001D32E6" w:rsidP="001D32E6">
      <w:pPr>
        <w:widowControl w:val="0"/>
        <w:autoSpaceDE w:val="0"/>
        <w:autoSpaceDN w:val="0"/>
        <w:spacing w:after="0"/>
        <w:jc w:val="both"/>
        <w:rPr>
          <w:rFonts w:ascii="Arial" w:hAnsi="Arial" w:cs="Arial"/>
          <w:sz w:val="20"/>
          <w:szCs w:val="20"/>
        </w:rPr>
      </w:pPr>
    </w:p>
    <w:p w:rsidR="00DE013F" w:rsidRDefault="00DE013F" w:rsidP="001D32E6">
      <w:pPr>
        <w:pStyle w:val="Default"/>
        <w:spacing w:line="276" w:lineRule="auto"/>
        <w:jc w:val="both"/>
        <w:rPr>
          <w:bCs/>
          <w:color w:val="auto"/>
          <w:sz w:val="20"/>
          <w:szCs w:val="20"/>
        </w:rPr>
      </w:pPr>
      <w:r w:rsidRPr="00DE27C9">
        <w:rPr>
          <w:bCs/>
          <w:color w:val="auto"/>
          <w:sz w:val="20"/>
          <w:szCs w:val="20"/>
        </w:rPr>
        <w:t xml:space="preserve">A suspensão pelo STF das demandas nas quais esteja em questão a </w:t>
      </w:r>
      <w:proofErr w:type="spellStart"/>
      <w:r w:rsidRPr="00DE27C9">
        <w:rPr>
          <w:bCs/>
          <w:color w:val="auto"/>
          <w:sz w:val="20"/>
          <w:szCs w:val="20"/>
        </w:rPr>
        <w:t>prescritibilidade</w:t>
      </w:r>
      <w:proofErr w:type="spellEnd"/>
      <w:r w:rsidRPr="00DE27C9">
        <w:rPr>
          <w:bCs/>
          <w:color w:val="auto"/>
          <w:sz w:val="20"/>
          <w:szCs w:val="20"/>
        </w:rPr>
        <w:t xml:space="preserve"> da pretensão de ressarcimento ao erário com base em decisão de tribunal de contas (RE 636.886/STF) alcança tão somente a fase judicial de cobrança do título extrajudicial, não atingindo os processos de controle externo em trâmite. Até julgamento definitivo em contrário pelo STF, permanecem imprescritíveis as pretensões de ressarcimento decorrentes de tomadas de contas especiais.</w:t>
      </w:r>
    </w:p>
    <w:p w:rsidR="001D32E6" w:rsidRPr="00DE27C9" w:rsidRDefault="001D32E6" w:rsidP="001D32E6">
      <w:pPr>
        <w:pStyle w:val="Default"/>
        <w:spacing w:line="276" w:lineRule="auto"/>
        <w:jc w:val="both"/>
        <w:rPr>
          <w:bCs/>
          <w:color w:val="auto"/>
          <w:sz w:val="20"/>
          <w:szCs w:val="20"/>
        </w:rPr>
      </w:pPr>
    </w:p>
    <w:p w:rsidR="00FD53F8" w:rsidRDefault="00A91552" w:rsidP="001D32E6">
      <w:pPr>
        <w:widowControl w:val="0"/>
        <w:autoSpaceDE w:val="0"/>
        <w:autoSpaceDN w:val="0"/>
        <w:spacing w:after="0"/>
        <w:jc w:val="both"/>
        <w:rPr>
          <w:rFonts w:ascii="Arial" w:hAnsi="Arial"/>
          <w:sz w:val="20"/>
          <w:szCs w:val="20"/>
        </w:rPr>
      </w:pPr>
      <w:hyperlink r:id="rId27" w:history="1">
        <w:r w:rsidR="00DE013F" w:rsidRPr="00AF1BAF">
          <w:rPr>
            <w:rStyle w:val="Hyperlink"/>
            <w:rFonts w:ascii="Arial" w:hAnsi="Arial"/>
            <w:b/>
            <w:sz w:val="20"/>
            <w:szCs w:val="20"/>
          </w:rPr>
          <w:t>Acórdão 8514/2017</w:t>
        </w:r>
        <w:r w:rsidR="00AF1BAF" w:rsidRPr="00AF1BAF">
          <w:rPr>
            <w:rStyle w:val="Hyperlink"/>
            <w:rFonts w:ascii="Arial" w:hAnsi="Arial"/>
            <w:b/>
            <w:sz w:val="20"/>
            <w:szCs w:val="20"/>
          </w:rPr>
          <w:t xml:space="preserve"> - </w:t>
        </w:r>
        <w:r w:rsidR="00DE013F" w:rsidRPr="00AF1BAF">
          <w:rPr>
            <w:rStyle w:val="Hyperlink"/>
            <w:rFonts w:ascii="Arial" w:hAnsi="Arial"/>
            <w:b/>
            <w:sz w:val="20"/>
            <w:szCs w:val="20"/>
          </w:rPr>
          <w:t>Segunda Câmara</w:t>
        </w:r>
      </w:hyperlink>
      <w:r w:rsidR="00DE013F" w:rsidRPr="00DE27C9">
        <w:rPr>
          <w:rFonts w:ascii="Arial" w:hAnsi="Arial"/>
          <w:b/>
          <w:sz w:val="20"/>
          <w:szCs w:val="20"/>
        </w:rPr>
        <w:t xml:space="preserve"> </w:t>
      </w:r>
      <w:r w:rsidR="00DE013F" w:rsidRPr="00DE27C9">
        <w:rPr>
          <w:rFonts w:ascii="Arial" w:hAnsi="Arial"/>
          <w:sz w:val="20"/>
          <w:szCs w:val="20"/>
        </w:rPr>
        <w:t xml:space="preserve">(Auditoria, Relator Ministro José </w:t>
      </w:r>
      <w:proofErr w:type="spellStart"/>
      <w:r w:rsidR="00DE013F" w:rsidRPr="00DE27C9">
        <w:rPr>
          <w:rFonts w:ascii="Arial" w:hAnsi="Arial"/>
          <w:sz w:val="20"/>
          <w:szCs w:val="20"/>
        </w:rPr>
        <w:t>Múcio</w:t>
      </w:r>
      <w:proofErr w:type="spellEnd"/>
      <w:r w:rsidR="00DE013F" w:rsidRPr="00DE27C9">
        <w:rPr>
          <w:rFonts w:ascii="Arial" w:hAnsi="Arial"/>
          <w:sz w:val="20"/>
          <w:szCs w:val="20"/>
        </w:rPr>
        <w:t xml:space="preserve"> Monteiro)</w:t>
      </w:r>
      <w:r w:rsidR="001D32E6">
        <w:rPr>
          <w:rFonts w:ascii="Arial" w:hAnsi="Arial"/>
          <w:sz w:val="20"/>
          <w:szCs w:val="20"/>
        </w:rPr>
        <w:t xml:space="preserve"> </w:t>
      </w:r>
    </w:p>
    <w:p w:rsidR="00FD53F8" w:rsidRDefault="00FD53F8" w:rsidP="001D32E6">
      <w:pPr>
        <w:widowControl w:val="0"/>
        <w:autoSpaceDE w:val="0"/>
        <w:autoSpaceDN w:val="0"/>
        <w:spacing w:after="0"/>
        <w:jc w:val="both"/>
        <w:rPr>
          <w:rFonts w:ascii="Arial" w:hAnsi="Arial"/>
          <w:sz w:val="20"/>
          <w:szCs w:val="20"/>
        </w:rPr>
      </w:pPr>
    </w:p>
    <w:p w:rsidR="00DE013F" w:rsidRPr="00FD53F8" w:rsidRDefault="00DE013F" w:rsidP="001D32E6">
      <w:pPr>
        <w:widowControl w:val="0"/>
        <w:autoSpaceDE w:val="0"/>
        <w:autoSpaceDN w:val="0"/>
        <w:spacing w:after="0"/>
        <w:jc w:val="both"/>
        <w:rPr>
          <w:rFonts w:ascii="Arial" w:hAnsi="Arial"/>
          <w:b/>
          <w:sz w:val="20"/>
          <w:szCs w:val="20"/>
        </w:rPr>
      </w:pPr>
      <w:r w:rsidRPr="00FD53F8">
        <w:rPr>
          <w:rFonts w:ascii="Arial" w:hAnsi="Arial"/>
          <w:b/>
          <w:sz w:val="20"/>
          <w:szCs w:val="20"/>
        </w:rPr>
        <w:t>Licitação. Orçamento estimativo. Elaboração. Equipamentos. Cotação. Preço mínimo.</w:t>
      </w:r>
    </w:p>
    <w:p w:rsidR="001D32E6" w:rsidRPr="00DE27C9" w:rsidRDefault="001D32E6" w:rsidP="001D32E6">
      <w:pPr>
        <w:widowControl w:val="0"/>
        <w:autoSpaceDE w:val="0"/>
        <w:autoSpaceDN w:val="0"/>
        <w:spacing w:after="0"/>
        <w:jc w:val="both"/>
        <w:rPr>
          <w:rFonts w:ascii="Arial" w:hAnsi="Arial" w:cs="Arial"/>
          <w:sz w:val="20"/>
          <w:szCs w:val="20"/>
        </w:rPr>
      </w:pPr>
    </w:p>
    <w:p w:rsidR="00DE013F" w:rsidRDefault="00DE013F" w:rsidP="001D32E6">
      <w:pPr>
        <w:pStyle w:val="TCU-Epgrafe"/>
        <w:spacing w:line="276" w:lineRule="auto"/>
        <w:ind w:left="0"/>
        <w:rPr>
          <w:rFonts w:ascii="Arial" w:hAnsi="Arial"/>
          <w:sz w:val="20"/>
        </w:rPr>
      </w:pPr>
      <w:r w:rsidRPr="00DE27C9">
        <w:rPr>
          <w:rFonts w:ascii="Arial" w:hAnsi="Arial"/>
          <w:sz w:val="20"/>
        </w:rPr>
        <w:t>Na elaboração de orçamento estimativo para equipamentos a serem fornecidos em mercado restrito, devem ser adotados os valores decorrentes das cotações mínimas. As médias ou medianas de cotações de preços devem ser empregadas apenas em condições de mercado competitivo.</w:t>
      </w:r>
    </w:p>
    <w:p w:rsidR="0001157E" w:rsidRPr="00DE27C9" w:rsidRDefault="0001157E" w:rsidP="001D32E6">
      <w:pPr>
        <w:pStyle w:val="TCU-Epgrafe"/>
        <w:spacing w:line="276" w:lineRule="auto"/>
        <w:ind w:left="0"/>
        <w:rPr>
          <w:sz w:val="20"/>
        </w:rPr>
      </w:pPr>
    </w:p>
    <w:p w:rsidR="00FD53F8" w:rsidRDefault="00A91552" w:rsidP="0001157E">
      <w:pPr>
        <w:widowControl w:val="0"/>
        <w:autoSpaceDE w:val="0"/>
        <w:autoSpaceDN w:val="0"/>
        <w:spacing w:after="0"/>
        <w:jc w:val="both"/>
        <w:rPr>
          <w:rFonts w:ascii="Arial" w:hAnsi="Arial"/>
          <w:sz w:val="20"/>
          <w:szCs w:val="20"/>
        </w:rPr>
      </w:pPr>
      <w:hyperlink r:id="rId28" w:history="1">
        <w:r w:rsidR="0027633B" w:rsidRPr="00D60FFF">
          <w:rPr>
            <w:rStyle w:val="Hyperlink"/>
            <w:rFonts w:ascii="Arial" w:hAnsi="Arial"/>
            <w:b/>
            <w:sz w:val="20"/>
            <w:szCs w:val="20"/>
          </w:rPr>
          <w:t>Acórdão 8812/2017</w:t>
        </w:r>
        <w:r w:rsidR="00D60FFF" w:rsidRPr="00D60FFF">
          <w:rPr>
            <w:rStyle w:val="Hyperlink"/>
            <w:rFonts w:ascii="Arial" w:hAnsi="Arial"/>
            <w:b/>
            <w:sz w:val="20"/>
            <w:szCs w:val="20"/>
          </w:rPr>
          <w:t xml:space="preserve"> - </w:t>
        </w:r>
        <w:r w:rsidR="0027633B" w:rsidRPr="00D60FFF">
          <w:rPr>
            <w:rStyle w:val="Hyperlink"/>
            <w:rFonts w:ascii="Arial" w:hAnsi="Arial"/>
            <w:b/>
            <w:sz w:val="20"/>
            <w:szCs w:val="20"/>
          </w:rPr>
          <w:t>Primeira Câmara</w:t>
        </w:r>
      </w:hyperlink>
      <w:r w:rsidR="0027633B" w:rsidRPr="00DE27C9">
        <w:rPr>
          <w:rFonts w:ascii="Arial" w:hAnsi="Arial"/>
          <w:b/>
          <w:sz w:val="20"/>
          <w:szCs w:val="20"/>
        </w:rPr>
        <w:t xml:space="preserve"> </w:t>
      </w:r>
      <w:r w:rsidR="0027633B" w:rsidRPr="00DE27C9">
        <w:rPr>
          <w:rFonts w:ascii="Arial" w:hAnsi="Arial"/>
          <w:sz w:val="20"/>
          <w:szCs w:val="20"/>
        </w:rPr>
        <w:t xml:space="preserve">(Pensão Civil, Relator Ministro-Substituto </w:t>
      </w:r>
      <w:proofErr w:type="spellStart"/>
      <w:r w:rsidR="0027633B" w:rsidRPr="00DE27C9">
        <w:rPr>
          <w:rFonts w:ascii="Arial" w:hAnsi="Arial"/>
          <w:sz w:val="20"/>
          <w:szCs w:val="20"/>
        </w:rPr>
        <w:t>Weder</w:t>
      </w:r>
      <w:proofErr w:type="spellEnd"/>
      <w:r w:rsidR="0027633B" w:rsidRPr="00DE27C9">
        <w:rPr>
          <w:rFonts w:ascii="Arial" w:hAnsi="Arial"/>
          <w:sz w:val="20"/>
          <w:szCs w:val="20"/>
        </w:rPr>
        <w:t xml:space="preserve"> de Oliveira)</w:t>
      </w:r>
      <w:r w:rsidR="0001157E">
        <w:rPr>
          <w:rFonts w:ascii="Arial" w:hAnsi="Arial"/>
          <w:sz w:val="20"/>
          <w:szCs w:val="20"/>
        </w:rPr>
        <w:t xml:space="preserve"> </w:t>
      </w:r>
    </w:p>
    <w:p w:rsidR="00FD53F8" w:rsidRDefault="00FD53F8" w:rsidP="0001157E">
      <w:pPr>
        <w:widowControl w:val="0"/>
        <w:autoSpaceDE w:val="0"/>
        <w:autoSpaceDN w:val="0"/>
        <w:spacing w:after="0"/>
        <w:jc w:val="both"/>
        <w:rPr>
          <w:rFonts w:ascii="Arial" w:hAnsi="Arial"/>
          <w:sz w:val="20"/>
          <w:szCs w:val="20"/>
        </w:rPr>
      </w:pPr>
    </w:p>
    <w:p w:rsidR="0027633B" w:rsidRPr="00FD53F8" w:rsidRDefault="0027633B" w:rsidP="0001157E">
      <w:pPr>
        <w:widowControl w:val="0"/>
        <w:autoSpaceDE w:val="0"/>
        <w:autoSpaceDN w:val="0"/>
        <w:spacing w:after="0"/>
        <w:jc w:val="both"/>
        <w:rPr>
          <w:rFonts w:ascii="Arial" w:hAnsi="Arial"/>
          <w:b/>
          <w:sz w:val="20"/>
          <w:szCs w:val="20"/>
        </w:rPr>
      </w:pPr>
      <w:r w:rsidRPr="00FD53F8">
        <w:rPr>
          <w:rFonts w:ascii="Arial" w:hAnsi="Arial"/>
          <w:b/>
          <w:sz w:val="20"/>
          <w:szCs w:val="20"/>
        </w:rPr>
        <w:t>Pessoal. Pensão civil. Concessão simultânea. Viúvo. Companheiro. Princípio da verdade material.</w:t>
      </w:r>
    </w:p>
    <w:p w:rsidR="0001157E" w:rsidRPr="00FD53F8" w:rsidRDefault="0001157E" w:rsidP="0001157E">
      <w:pPr>
        <w:widowControl w:val="0"/>
        <w:autoSpaceDE w:val="0"/>
        <w:autoSpaceDN w:val="0"/>
        <w:spacing w:after="0"/>
        <w:jc w:val="both"/>
        <w:rPr>
          <w:rFonts w:ascii="Arial" w:hAnsi="Arial" w:cs="Arial"/>
          <w:b/>
          <w:sz w:val="20"/>
          <w:szCs w:val="20"/>
        </w:rPr>
      </w:pPr>
    </w:p>
    <w:p w:rsidR="0027633B" w:rsidRDefault="0027633B" w:rsidP="001D32E6">
      <w:pPr>
        <w:pStyle w:val="TCU-Epgrafe"/>
        <w:spacing w:line="276" w:lineRule="auto"/>
        <w:ind w:left="0"/>
        <w:rPr>
          <w:rFonts w:ascii="Arial" w:hAnsi="Arial"/>
          <w:sz w:val="20"/>
        </w:rPr>
      </w:pPr>
      <w:r w:rsidRPr="00DE27C9">
        <w:rPr>
          <w:rFonts w:ascii="Arial" w:hAnsi="Arial"/>
          <w:sz w:val="20"/>
        </w:rPr>
        <w:t xml:space="preserve">É possível a concessão concomitante de pensão para viúva e companheira, sem que a união estável tenha sido judicialmente reconhecida, desde que configurado o relacionamento duradouro, público e contínuo, nos termos do art. 1º da </w:t>
      </w:r>
      <w:hyperlink r:id="rId29" w:history="1">
        <w:r w:rsidRPr="00DE27C9">
          <w:rPr>
            <w:rStyle w:val="Hyperlink"/>
            <w:rFonts w:ascii="Arial" w:hAnsi="Arial"/>
            <w:color w:val="0000FF" w:themeColor="hyperlink"/>
            <w:sz w:val="20"/>
          </w:rPr>
          <w:t>Lei 9.278/2006</w:t>
        </w:r>
      </w:hyperlink>
      <w:r w:rsidRPr="00DE27C9">
        <w:rPr>
          <w:rFonts w:ascii="Arial" w:hAnsi="Arial"/>
          <w:sz w:val="20"/>
        </w:rPr>
        <w:t xml:space="preserve">, que regula o art. 226, § 3º da </w:t>
      </w:r>
      <w:hyperlink r:id="rId30" w:history="1">
        <w:hyperlink w:tgtFrame="_blank" w:history="1">
          <w:r w:rsidRPr="00DE27C9">
            <w:rPr>
              <w:rStyle w:val="Hyperlink"/>
              <w:rFonts w:ascii="Arial" w:hAnsi="Arial"/>
              <w:sz w:val="20"/>
            </w:rPr>
            <w:t>Constituição Federal</w:t>
          </w:r>
        </w:hyperlink>
      </w:hyperlink>
      <w:r w:rsidRPr="00DE27C9">
        <w:rPr>
          <w:rFonts w:ascii="Arial" w:hAnsi="Arial"/>
          <w:sz w:val="20"/>
        </w:rPr>
        <w:t>, fazendo prevalecer o princípio da verdade material.</w:t>
      </w:r>
    </w:p>
    <w:p w:rsidR="0001157E" w:rsidRPr="00DE27C9" w:rsidRDefault="0001157E" w:rsidP="001D32E6">
      <w:pPr>
        <w:pStyle w:val="TCU-Epgrafe"/>
        <w:spacing w:line="276" w:lineRule="auto"/>
        <w:ind w:left="0"/>
        <w:rPr>
          <w:sz w:val="20"/>
        </w:rPr>
      </w:pPr>
    </w:p>
    <w:p w:rsidR="00FD53F8" w:rsidRDefault="00A91552" w:rsidP="0001157E">
      <w:pPr>
        <w:widowControl w:val="0"/>
        <w:autoSpaceDE w:val="0"/>
        <w:autoSpaceDN w:val="0"/>
        <w:spacing w:after="0"/>
        <w:jc w:val="both"/>
        <w:rPr>
          <w:rFonts w:ascii="Arial" w:hAnsi="Arial"/>
          <w:sz w:val="20"/>
          <w:szCs w:val="20"/>
        </w:rPr>
      </w:pPr>
      <w:hyperlink r:id="rId31" w:history="1">
        <w:r w:rsidR="00D83EA2" w:rsidRPr="0030323E">
          <w:rPr>
            <w:rStyle w:val="Hyperlink"/>
            <w:rFonts w:ascii="Arial" w:hAnsi="Arial"/>
            <w:b/>
            <w:sz w:val="20"/>
            <w:szCs w:val="20"/>
          </w:rPr>
          <w:t>Acórdão 2059/2017</w:t>
        </w:r>
        <w:r w:rsidR="00076B13" w:rsidRPr="0030323E">
          <w:rPr>
            <w:rStyle w:val="Hyperlink"/>
            <w:rFonts w:ascii="Arial" w:hAnsi="Arial"/>
            <w:b/>
            <w:sz w:val="20"/>
            <w:szCs w:val="20"/>
          </w:rPr>
          <w:t xml:space="preserve"> -</w:t>
        </w:r>
        <w:r w:rsidR="00D83EA2" w:rsidRPr="0030323E">
          <w:rPr>
            <w:rStyle w:val="Hyperlink"/>
            <w:rFonts w:ascii="Arial" w:hAnsi="Arial"/>
            <w:b/>
            <w:sz w:val="20"/>
            <w:szCs w:val="20"/>
          </w:rPr>
          <w:t xml:space="preserve"> Plenário</w:t>
        </w:r>
      </w:hyperlink>
      <w:r w:rsidR="00D83EA2" w:rsidRPr="00DE27C9">
        <w:rPr>
          <w:rFonts w:ascii="Arial" w:hAnsi="Arial"/>
          <w:b/>
          <w:sz w:val="20"/>
          <w:szCs w:val="20"/>
        </w:rPr>
        <w:t xml:space="preserve"> </w:t>
      </w:r>
      <w:r w:rsidR="00D83EA2" w:rsidRPr="00DE27C9">
        <w:rPr>
          <w:rFonts w:ascii="Arial" w:hAnsi="Arial"/>
          <w:sz w:val="20"/>
          <w:szCs w:val="20"/>
        </w:rPr>
        <w:t xml:space="preserve">(Representação, Relator Ministro Benjamin </w:t>
      </w:r>
      <w:proofErr w:type="spellStart"/>
      <w:r w:rsidR="00D83EA2" w:rsidRPr="00DE27C9">
        <w:rPr>
          <w:rFonts w:ascii="Arial" w:hAnsi="Arial"/>
          <w:sz w:val="20"/>
          <w:szCs w:val="20"/>
        </w:rPr>
        <w:t>Zymler</w:t>
      </w:r>
      <w:proofErr w:type="spellEnd"/>
      <w:r w:rsidR="00D83EA2" w:rsidRPr="00DE27C9">
        <w:rPr>
          <w:rFonts w:ascii="Arial" w:hAnsi="Arial"/>
          <w:sz w:val="20"/>
          <w:szCs w:val="20"/>
        </w:rPr>
        <w:t>)</w:t>
      </w:r>
      <w:r w:rsidR="0001157E">
        <w:rPr>
          <w:rFonts w:ascii="Arial" w:hAnsi="Arial"/>
          <w:sz w:val="20"/>
          <w:szCs w:val="20"/>
        </w:rPr>
        <w:t xml:space="preserve"> </w:t>
      </w:r>
    </w:p>
    <w:p w:rsidR="00FD53F8" w:rsidRDefault="00FD53F8" w:rsidP="0001157E">
      <w:pPr>
        <w:widowControl w:val="0"/>
        <w:autoSpaceDE w:val="0"/>
        <w:autoSpaceDN w:val="0"/>
        <w:spacing w:after="0"/>
        <w:jc w:val="both"/>
        <w:rPr>
          <w:rFonts w:ascii="Arial" w:hAnsi="Arial"/>
          <w:sz w:val="20"/>
          <w:szCs w:val="20"/>
        </w:rPr>
      </w:pPr>
    </w:p>
    <w:p w:rsidR="00D83EA2" w:rsidRPr="00FD53F8" w:rsidRDefault="00D83EA2" w:rsidP="0001157E">
      <w:pPr>
        <w:widowControl w:val="0"/>
        <w:autoSpaceDE w:val="0"/>
        <w:autoSpaceDN w:val="0"/>
        <w:spacing w:after="0"/>
        <w:jc w:val="both"/>
        <w:rPr>
          <w:rFonts w:ascii="Arial" w:hAnsi="Arial"/>
          <w:b/>
          <w:sz w:val="20"/>
          <w:szCs w:val="20"/>
        </w:rPr>
      </w:pPr>
      <w:r w:rsidRPr="00FD53F8">
        <w:rPr>
          <w:rFonts w:ascii="Arial" w:hAnsi="Arial"/>
          <w:b/>
          <w:sz w:val="20"/>
          <w:szCs w:val="20"/>
        </w:rPr>
        <w:t>Licitação. Bens e serviços de informática. Planejamento. Prova de conceito. Julgamento.</w:t>
      </w:r>
    </w:p>
    <w:p w:rsidR="0001157E" w:rsidRPr="00DE27C9" w:rsidRDefault="0001157E" w:rsidP="0001157E">
      <w:pPr>
        <w:widowControl w:val="0"/>
        <w:autoSpaceDE w:val="0"/>
        <w:autoSpaceDN w:val="0"/>
        <w:spacing w:after="0"/>
        <w:jc w:val="both"/>
        <w:rPr>
          <w:rFonts w:ascii="Arial" w:hAnsi="Arial" w:cs="Arial"/>
          <w:sz w:val="20"/>
          <w:szCs w:val="20"/>
        </w:rPr>
      </w:pPr>
    </w:p>
    <w:p w:rsidR="00D83EA2" w:rsidRDefault="00D83EA2" w:rsidP="001D32E6">
      <w:pPr>
        <w:pStyle w:val="TCU-Epgrafe"/>
        <w:spacing w:line="276" w:lineRule="auto"/>
        <w:ind w:left="0"/>
        <w:rPr>
          <w:rFonts w:ascii="Arial" w:hAnsi="Arial"/>
          <w:sz w:val="20"/>
        </w:rPr>
      </w:pPr>
      <w:r w:rsidRPr="00DE27C9">
        <w:rPr>
          <w:rFonts w:ascii="Arial" w:hAnsi="Arial"/>
          <w:sz w:val="20"/>
        </w:rPr>
        <w:t xml:space="preserve">Provas de conceito não devem ser utilizadas na fase interna da licitação (planejamento da contratação), uma vez que não se prestam à escolha da solução de TI e à elaboração de requisitos técnicos, mas a, na fase externa, avaliar se a ferramenta ofertada no certame atende às especificações técnicas definidas no projeto básico ou no termo de referência. </w:t>
      </w:r>
    </w:p>
    <w:p w:rsidR="0001157E" w:rsidRDefault="0001157E" w:rsidP="001D32E6">
      <w:pPr>
        <w:pStyle w:val="TCU-Epgrafe"/>
        <w:spacing w:line="276" w:lineRule="auto"/>
        <w:ind w:left="0"/>
        <w:rPr>
          <w:sz w:val="20"/>
        </w:rPr>
      </w:pPr>
    </w:p>
    <w:p w:rsidR="00F729ED" w:rsidRDefault="00F729ED" w:rsidP="001D32E6">
      <w:pPr>
        <w:pStyle w:val="Default"/>
        <w:spacing w:line="276" w:lineRule="auto"/>
        <w:jc w:val="both"/>
        <w:rPr>
          <w:b/>
          <w:sz w:val="20"/>
          <w:szCs w:val="20"/>
        </w:rPr>
      </w:pPr>
      <w:r>
        <w:rPr>
          <w:b/>
          <w:sz w:val="20"/>
          <w:szCs w:val="20"/>
        </w:rPr>
        <w:t xml:space="preserve">Acesse também: </w:t>
      </w:r>
    </w:p>
    <w:p w:rsidR="0001157E" w:rsidRDefault="0001157E" w:rsidP="001D32E6">
      <w:pPr>
        <w:pStyle w:val="Default"/>
        <w:spacing w:line="276" w:lineRule="auto"/>
        <w:jc w:val="center"/>
      </w:pPr>
    </w:p>
    <w:p w:rsidR="00A17CC0" w:rsidRDefault="00A17CC0" w:rsidP="001D32E6">
      <w:pPr>
        <w:pStyle w:val="Default"/>
        <w:spacing w:line="276" w:lineRule="auto"/>
        <w:jc w:val="center"/>
      </w:pPr>
    </w:p>
    <w:p w:rsidR="00DB2409" w:rsidRDefault="00A91552" w:rsidP="001D32E6">
      <w:pPr>
        <w:pStyle w:val="Default"/>
        <w:spacing w:line="276" w:lineRule="auto"/>
        <w:jc w:val="center"/>
        <w:rPr>
          <w:rStyle w:val="Hyperlink"/>
          <w:b/>
          <w:sz w:val="20"/>
          <w:szCs w:val="20"/>
        </w:rPr>
      </w:pPr>
      <w:hyperlink r:id="rId32" w:anchor="1" w:history="1">
        <w:r w:rsidR="00DB2409">
          <w:rPr>
            <w:rStyle w:val="Hyperlink"/>
            <w:b/>
            <w:sz w:val="20"/>
            <w:szCs w:val="20"/>
          </w:rPr>
          <w:t>Revista Digital do Tribunal de Contas do Estado do Paraná - Edição n° 17</w:t>
        </w:r>
      </w:hyperlink>
    </w:p>
    <w:p w:rsidR="00A17CC0" w:rsidRDefault="00A17CC0" w:rsidP="001D32E6">
      <w:pPr>
        <w:pStyle w:val="Default"/>
        <w:spacing w:line="276" w:lineRule="auto"/>
        <w:jc w:val="center"/>
        <w:rPr>
          <w:rStyle w:val="Hyperlink"/>
          <w:b/>
          <w:sz w:val="20"/>
          <w:szCs w:val="20"/>
        </w:rPr>
      </w:pPr>
    </w:p>
    <w:p w:rsidR="00DB2409" w:rsidRPr="00DB2409" w:rsidRDefault="00A91552" w:rsidP="001D32E6">
      <w:pPr>
        <w:pStyle w:val="Default"/>
        <w:spacing w:line="276" w:lineRule="auto"/>
        <w:jc w:val="center"/>
      </w:pPr>
      <w:hyperlink r:id="rId33" w:history="1">
        <w:r w:rsidR="00DB2409">
          <w:rPr>
            <w:rStyle w:val="Hyperlink"/>
            <w:b/>
            <w:sz w:val="20"/>
            <w:szCs w:val="20"/>
          </w:rPr>
          <w:t>Repercussão Geral do Supremo Tribunal Federal - STF e os Tribunais de Contas</w:t>
        </w:r>
      </w:hyperlink>
    </w:p>
    <w:p w:rsidR="004B6EA7" w:rsidRDefault="004B6EA7" w:rsidP="001D32E6">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57728" behindDoc="0" locked="0" layoutInCell="1" allowOverlap="1" wp14:anchorId="32880E73" wp14:editId="289F161D">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D115468" id="Conector reto 59"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CD31B7" w:rsidRDefault="00CD31B7" w:rsidP="001D32E6">
      <w:pPr>
        <w:spacing w:after="0"/>
        <w:jc w:val="center"/>
        <w:rPr>
          <w:rStyle w:val="Hyperlink"/>
          <w:rFonts w:ascii="Arial" w:hAnsi="Arial" w:cs="Arial"/>
          <w:i/>
          <w:color w:val="000000" w:themeColor="text1"/>
          <w:sz w:val="20"/>
          <w:szCs w:val="20"/>
          <w:u w:val="none"/>
        </w:rPr>
      </w:pPr>
    </w:p>
    <w:p w:rsidR="008D7542" w:rsidRPr="0022060B" w:rsidRDefault="00E30DE6" w:rsidP="001D32E6">
      <w:pPr>
        <w:spacing w:after="0"/>
        <w:jc w:val="center"/>
        <w:rPr>
          <w:rFonts w:ascii="Arial" w:hAnsi="Arial" w:cs="Arial"/>
          <w:b/>
          <w:sz w:val="20"/>
          <w:szCs w:val="20"/>
        </w:rPr>
      </w:pPr>
      <w:r w:rsidRPr="0022060B">
        <w:rPr>
          <w:rStyle w:val="Hyperlink"/>
          <w:rFonts w:ascii="Arial" w:hAnsi="Arial" w:cs="Arial"/>
          <w:i/>
          <w:color w:val="000000" w:themeColor="text1"/>
          <w:sz w:val="20"/>
          <w:szCs w:val="20"/>
          <w:u w:val="none"/>
        </w:rPr>
        <w:t xml:space="preserve">Elaboração: Escola de Gestão Pública </w:t>
      </w:r>
      <w:r w:rsidR="001A16DE" w:rsidRPr="0022060B">
        <w:rPr>
          <w:rStyle w:val="Hyperlink"/>
          <w:rFonts w:ascii="Arial" w:hAnsi="Arial" w:cs="Arial"/>
          <w:i/>
          <w:color w:val="000000" w:themeColor="text1"/>
          <w:sz w:val="20"/>
          <w:szCs w:val="20"/>
          <w:u w:val="none"/>
        </w:rPr>
        <w:t>-</w:t>
      </w:r>
      <w:r w:rsidRPr="0022060B">
        <w:rPr>
          <w:rStyle w:val="Hyperlink"/>
          <w:rFonts w:ascii="Arial" w:hAnsi="Arial" w:cs="Arial"/>
          <w:i/>
          <w:color w:val="000000" w:themeColor="text1"/>
          <w:sz w:val="20"/>
          <w:szCs w:val="20"/>
          <w:u w:val="none"/>
        </w:rPr>
        <w:t xml:space="preserve"> Jurisprudência</w:t>
      </w:r>
    </w:p>
    <w:p w:rsidR="00E01524" w:rsidRPr="0022060B" w:rsidRDefault="00E01524" w:rsidP="00816942">
      <w:pPr>
        <w:widowControl w:val="0"/>
        <w:autoSpaceDE w:val="0"/>
        <w:autoSpaceDN w:val="0"/>
        <w:spacing w:after="0"/>
        <w:jc w:val="both"/>
        <w:rPr>
          <w:rFonts w:ascii="Arial" w:hAnsi="Arial" w:cs="Arial"/>
          <w:b/>
          <w:sz w:val="20"/>
          <w:szCs w:val="20"/>
        </w:rPr>
      </w:pPr>
      <w:bookmarkStart w:id="0" w:name="_GoBack"/>
      <w:bookmarkEnd w:id="0"/>
    </w:p>
    <w:sectPr w:rsidR="00E01524" w:rsidRPr="0022060B">
      <w:headerReference w:type="default" r:id="rId34"/>
      <w:footerReference w:type="default" r:id="rId3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altName w:val=" Arial"/>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63122C">
      <w:rPr>
        <w:noProof/>
        <w:sz w:val="16"/>
        <w:szCs w:val="16"/>
      </w:rPr>
      <w:t>10</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5C0328E"/>
    <w:multiLevelType w:val="hybridMultilevel"/>
    <w:tmpl w:val="32124A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F31CD7"/>
    <w:multiLevelType w:val="hybridMultilevel"/>
    <w:tmpl w:val="F42034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7"/>
  </w:num>
  <w:num w:numId="3">
    <w:abstractNumId w:val="11"/>
  </w:num>
  <w:num w:numId="4">
    <w:abstractNumId w:val="12"/>
  </w:num>
  <w:num w:numId="5">
    <w:abstractNumId w:val="13"/>
  </w:num>
  <w:num w:numId="6">
    <w:abstractNumId w:val="9"/>
  </w:num>
  <w:num w:numId="7">
    <w:abstractNumId w:val="0"/>
  </w:num>
  <w:num w:numId="8">
    <w:abstractNumId w:val="1"/>
  </w:num>
  <w:num w:numId="9">
    <w:abstractNumId w:val="5"/>
  </w:num>
  <w:num w:numId="10">
    <w:abstractNumId w:val="2"/>
  </w:num>
  <w:num w:numId="11">
    <w:abstractNumId w:val="3"/>
  </w:num>
  <w:num w:numId="12">
    <w:abstractNumId w:val="8"/>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157E"/>
    <w:rsid w:val="0001200F"/>
    <w:rsid w:val="000126A0"/>
    <w:rsid w:val="00012CBB"/>
    <w:rsid w:val="00013691"/>
    <w:rsid w:val="00013840"/>
    <w:rsid w:val="00017EBA"/>
    <w:rsid w:val="00021B0A"/>
    <w:rsid w:val="00025971"/>
    <w:rsid w:val="000262AD"/>
    <w:rsid w:val="00027A03"/>
    <w:rsid w:val="00027FAB"/>
    <w:rsid w:val="000300F4"/>
    <w:rsid w:val="00033E69"/>
    <w:rsid w:val="00040EBA"/>
    <w:rsid w:val="00042502"/>
    <w:rsid w:val="00042DF3"/>
    <w:rsid w:val="000433EC"/>
    <w:rsid w:val="000439FD"/>
    <w:rsid w:val="00045700"/>
    <w:rsid w:val="00046191"/>
    <w:rsid w:val="00046E21"/>
    <w:rsid w:val="00047EF1"/>
    <w:rsid w:val="00052862"/>
    <w:rsid w:val="00053B72"/>
    <w:rsid w:val="00056686"/>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76B13"/>
    <w:rsid w:val="000800D1"/>
    <w:rsid w:val="0009260D"/>
    <w:rsid w:val="000926D4"/>
    <w:rsid w:val="00092E5D"/>
    <w:rsid w:val="0009482D"/>
    <w:rsid w:val="0009711C"/>
    <w:rsid w:val="0009762F"/>
    <w:rsid w:val="00097B00"/>
    <w:rsid w:val="000A0748"/>
    <w:rsid w:val="000A0E48"/>
    <w:rsid w:val="000A29BE"/>
    <w:rsid w:val="000A3C2D"/>
    <w:rsid w:val="000A47FD"/>
    <w:rsid w:val="000A4EB6"/>
    <w:rsid w:val="000A5EA3"/>
    <w:rsid w:val="000A5F01"/>
    <w:rsid w:val="000A71D1"/>
    <w:rsid w:val="000B11D2"/>
    <w:rsid w:val="000B1E10"/>
    <w:rsid w:val="000B31B6"/>
    <w:rsid w:val="000B47C0"/>
    <w:rsid w:val="000B54CF"/>
    <w:rsid w:val="000B5D40"/>
    <w:rsid w:val="000C2948"/>
    <w:rsid w:val="000C3582"/>
    <w:rsid w:val="000C4F73"/>
    <w:rsid w:val="000C5093"/>
    <w:rsid w:val="000C5460"/>
    <w:rsid w:val="000C5EB3"/>
    <w:rsid w:val="000C63BC"/>
    <w:rsid w:val="000C7D67"/>
    <w:rsid w:val="000D2D5B"/>
    <w:rsid w:val="000D357D"/>
    <w:rsid w:val="000D4DE6"/>
    <w:rsid w:val="000D6D01"/>
    <w:rsid w:val="000E300B"/>
    <w:rsid w:val="000E3ACE"/>
    <w:rsid w:val="000E3FC6"/>
    <w:rsid w:val="000E464B"/>
    <w:rsid w:val="000E5AC8"/>
    <w:rsid w:val="000F04ED"/>
    <w:rsid w:val="000F18DA"/>
    <w:rsid w:val="000F1FFA"/>
    <w:rsid w:val="000F314C"/>
    <w:rsid w:val="000F639D"/>
    <w:rsid w:val="000F7C1B"/>
    <w:rsid w:val="00100B9C"/>
    <w:rsid w:val="00104775"/>
    <w:rsid w:val="00106AA9"/>
    <w:rsid w:val="00110517"/>
    <w:rsid w:val="00110BD6"/>
    <w:rsid w:val="00111B86"/>
    <w:rsid w:val="00111C26"/>
    <w:rsid w:val="00112B60"/>
    <w:rsid w:val="00113EF1"/>
    <w:rsid w:val="00114B62"/>
    <w:rsid w:val="001159C9"/>
    <w:rsid w:val="00120862"/>
    <w:rsid w:val="0012211A"/>
    <w:rsid w:val="00122E13"/>
    <w:rsid w:val="00123D02"/>
    <w:rsid w:val="00124A0F"/>
    <w:rsid w:val="00126447"/>
    <w:rsid w:val="00126C53"/>
    <w:rsid w:val="00127DF2"/>
    <w:rsid w:val="00130717"/>
    <w:rsid w:val="0013298B"/>
    <w:rsid w:val="001342E3"/>
    <w:rsid w:val="0013514C"/>
    <w:rsid w:val="0013583F"/>
    <w:rsid w:val="00135D5F"/>
    <w:rsid w:val="001411E6"/>
    <w:rsid w:val="001415BA"/>
    <w:rsid w:val="00142D10"/>
    <w:rsid w:val="00144712"/>
    <w:rsid w:val="00144972"/>
    <w:rsid w:val="001472C1"/>
    <w:rsid w:val="00150844"/>
    <w:rsid w:val="001529D8"/>
    <w:rsid w:val="00156185"/>
    <w:rsid w:val="00156F74"/>
    <w:rsid w:val="00157806"/>
    <w:rsid w:val="00157D64"/>
    <w:rsid w:val="0016028F"/>
    <w:rsid w:val="00161AA2"/>
    <w:rsid w:val="0016670D"/>
    <w:rsid w:val="00166A96"/>
    <w:rsid w:val="00170F9D"/>
    <w:rsid w:val="00171401"/>
    <w:rsid w:val="001720EB"/>
    <w:rsid w:val="0017455D"/>
    <w:rsid w:val="001770AF"/>
    <w:rsid w:val="001800A9"/>
    <w:rsid w:val="001823E7"/>
    <w:rsid w:val="0018272D"/>
    <w:rsid w:val="00190B94"/>
    <w:rsid w:val="001930D1"/>
    <w:rsid w:val="001942C5"/>
    <w:rsid w:val="00196437"/>
    <w:rsid w:val="001975AB"/>
    <w:rsid w:val="001A16DE"/>
    <w:rsid w:val="001A5D2D"/>
    <w:rsid w:val="001B096B"/>
    <w:rsid w:val="001B5B65"/>
    <w:rsid w:val="001B5F7A"/>
    <w:rsid w:val="001B6E08"/>
    <w:rsid w:val="001C0F23"/>
    <w:rsid w:val="001C46A8"/>
    <w:rsid w:val="001D0693"/>
    <w:rsid w:val="001D0A62"/>
    <w:rsid w:val="001D0DD1"/>
    <w:rsid w:val="001D32E6"/>
    <w:rsid w:val="001D4D9A"/>
    <w:rsid w:val="001D51BD"/>
    <w:rsid w:val="001D6665"/>
    <w:rsid w:val="001D684B"/>
    <w:rsid w:val="001D6ADC"/>
    <w:rsid w:val="001D7E4B"/>
    <w:rsid w:val="001E1817"/>
    <w:rsid w:val="001E2E5A"/>
    <w:rsid w:val="001E5F2E"/>
    <w:rsid w:val="001E6CAA"/>
    <w:rsid w:val="001E73FF"/>
    <w:rsid w:val="001F34E8"/>
    <w:rsid w:val="001F7A25"/>
    <w:rsid w:val="002013D1"/>
    <w:rsid w:val="0020195B"/>
    <w:rsid w:val="002023A5"/>
    <w:rsid w:val="00202672"/>
    <w:rsid w:val="00202E6D"/>
    <w:rsid w:val="00202F4B"/>
    <w:rsid w:val="002036C8"/>
    <w:rsid w:val="002100EE"/>
    <w:rsid w:val="00211A49"/>
    <w:rsid w:val="002147AC"/>
    <w:rsid w:val="00214E2C"/>
    <w:rsid w:val="00215BFE"/>
    <w:rsid w:val="00215EF3"/>
    <w:rsid w:val="0022060B"/>
    <w:rsid w:val="00221D15"/>
    <w:rsid w:val="00223A59"/>
    <w:rsid w:val="00223F1C"/>
    <w:rsid w:val="002245DE"/>
    <w:rsid w:val="00224904"/>
    <w:rsid w:val="00225E79"/>
    <w:rsid w:val="00232878"/>
    <w:rsid w:val="0023318C"/>
    <w:rsid w:val="00234AE0"/>
    <w:rsid w:val="00235F82"/>
    <w:rsid w:val="00237C21"/>
    <w:rsid w:val="0024200E"/>
    <w:rsid w:val="002426C3"/>
    <w:rsid w:val="002450AA"/>
    <w:rsid w:val="002456AD"/>
    <w:rsid w:val="00245F7B"/>
    <w:rsid w:val="002478B9"/>
    <w:rsid w:val="00251273"/>
    <w:rsid w:val="00252AA5"/>
    <w:rsid w:val="00253ADA"/>
    <w:rsid w:val="00255360"/>
    <w:rsid w:val="00256A12"/>
    <w:rsid w:val="00256CEA"/>
    <w:rsid w:val="002571B4"/>
    <w:rsid w:val="00260758"/>
    <w:rsid w:val="00260D58"/>
    <w:rsid w:val="0026477F"/>
    <w:rsid w:val="00264F10"/>
    <w:rsid w:val="002659BA"/>
    <w:rsid w:val="0026729F"/>
    <w:rsid w:val="00271154"/>
    <w:rsid w:val="00271655"/>
    <w:rsid w:val="0027633B"/>
    <w:rsid w:val="002805F1"/>
    <w:rsid w:val="00286EB4"/>
    <w:rsid w:val="002874A2"/>
    <w:rsid w:val="002876F8"/>
    <w:rsid w:val="002921E2"/>
    <w:rsid w:val="0029566D"/>
    <w:rsid w:val="00295F4B"/>
    <w:rsid w:val="002A00AC"/>
    <w:rsid w:val="002A0792"/>
    <w:rsid w:val="002A1D5F"/>
    <w:rsid w:val="002A2E6C"/>
    <w:rsid w:val="002B070A"/>
    <w:rsid w:val="002B0F20"/>
    <w:rsid w:val="002B14B7"/>
    <w:rsid w:val="002B297F"/>
    <w:rsid w:val="002B38A8"/>
    <w:rsid w:val="002B4AA2"/>
    <w:rsid w:val="002B6BA0"/>
    <w:rsid w:val="002C05FF"/>
    <w:rsid w:val="002C19EA"/>
    <w:rsid w:val="002C480F"/>
    <w:rsid w:val="002C56C9"/>
    <w:rsid w:val="002C7487"/>
    <w:rsid w:val="002D1923"/>
    <w:rsid w:val="002D48D1"/>
    <w:rsid w:val="002D5B56"/>
    <w:rsid w:val="002D6612"/>
    <w:rsid w:val="002D7650"/>
    <w:rsid w:val="002E0A60"/>
    <w:rsid w:val="002E4277"/>
    <w:rsid w:val="002E5303"/>
    <w:rsid w:val="002E72FA"/>
    <w:rsid w:val="002E7DFF"/>
    <w:rsid w:val="002F0BE9"/>
    <w:rsid w:val="002F13A0"/>
    <w:rsid w:val="002F1634"/>
    <w:rsid w:val="002F1D70"/>
    <w:rsid w:val="002F22FA"/>
    <w:rsid w:val="002F73BA"/>
    <w:rsid w:val="003005B3"/>
    <w:rsid w:val="0030165B"/>
    <w:rsid w:val="00302340"/>
    <w:rsid w:val="0030323E"/>
    <w:rsid w:val="00303C9C"/>
    <w:rsid w:val="00305A67"/>
    <w:rsid w:val="00306B80"/>
    <w:rsid w:val="00307038"/>
    <w:rsid w:val="00307DB5"/>
    <w:rsid w:val="00313238"/>
    <w:rsid w:val="003132BE"/>
    <w:rsid w:val="00320577"/>
    <w:rsid w:val="0032266D"/>
    <w:rsid w:val="00325E2F"/>
    <w:rsid w:val="003269A9"/>
    <w:rsid w:val="00327DF9"/>
    <w:rsid w:val="003313EB"/>
    <w:rsid w:val="00331533"/>
    <w:rsid w:val="00333875"/>
    <w:rsid w:val="0033604C"/>
    <w:rsid w:val="003407F0"/>
    <w:rsid w:val="00343C28"/>
    <w:rsid w:val="00344A3D"/>
    <w:rsid w:val="00344A41"/>
    <w:rsid w:val="003453BB"/>
    <w:rsid w:val="0034575E"/>
    <w:rsid w:val="00345C65"/>
    <w:rsid w:val="00350CC2"/>
    <w:rsid w:val="00351206"/>
    <w:rsid w:val="0035203F"/>
    <w:rsid w:val="00352A72"/>
    <w:rsid w:val="0035371B"/>
    <w:rsid w:val="00353FEB"/>
    <w:rsid w:val="00356987"/>
    <w:rsid w:val="00356FB0"/>
    <w:rsid w:val="00361DA5"/>
    <w:rsid w:val="00361F1D"/>
    <w:rsid w:val="00364392"/>
    <w:rsid w:val="00365E61"/>
    <w:rsid w:val="00365EFF"/>
    <w:rsid w:val="00365F51"/>
    <w:rsid w:val="00375DB6"/>
    <w:rsid w:val="0038012F"/>
    <w:rsid w:val="00380BAB"/>
    <w:rsid w:val="00381A0E"/>
    <w:rsid w:val="0038751C"/>
    <w:rsid w:val="0038778B"/>
    <w:rsid w:val="00394451"/>
    <w:rsid w:val="0039584A"/>
    <w:rsid w:val="0039625A"/>
    <w:rsid w:val="00396E93"/>
    <w:rsid w:val="003A4828"/>
    <w:rsid w:val="003A64CB"/>
    <w:rsid w:val="003A6622"/>
    <w:rsid w:val="003A673F"/>
    <w:rsid w:val="003B145D"/>
    <w:rsid w:val="003B502C"/>
    <w:rsid w:val="003C6B35"/>
    <w:rsid w:val="003C7C21"/>
    <w:rsid w:val="003D650C"/>
    <w:rsid w:val="003D6713"/>
    <w:rsid w:val="003D6E90"/>
    <w:rsid w:val="003D7C37"/>
    <w:rsid w:val="003E110D"/>
    <w:rsid w:val="003E3529"/>
    <w:rsid w:val="003E3D02"/>
    <w:rsid w:val="003E3E6A"/>
    <w:rsid w:val="003E55BC"/>
    <w:rsid w:val="003E6EAF"/>
    <w:rsid w:val="003F0088"/>
    <w:rsid w:val="003F03C6"/>
    <w:rsid w:val="003F2DDE"/>
    <w:rsid w:val="003F4721"/>
    <w:rsid w:val="003F5060"/>
    <w:rsid w:val="003F5829"/>
    <w:rsid w:val="003F677C"/>
    <w:rsid w:val="003F7090"/>
    <w:rsid w:val="00401EE0"/>
    <w:rsid w:val="004043AD"/>
    <w:rsid w:val="00405A6A"/>
    <w:rsid w:val="00406D2C"/>
    <w:rsid w:val="0041120A"/>
    <w:rsid w:val="0041337A"/>
    <w:rsid w:val="00416A72"/>
    <w:rsid w:val="00420AE1"/>
    <w:rsid w:val="0042728A"/>
    <w:rsid w:val="004276DC"/>
    <w:rsid w:val="0042779B"/>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3E6E"/>
    <w:rsid w:val="00455387"/>
    <w:rsid w:val="00455AAB"/>
    <w:rsid w:val="00457317"/>
    <w:rsid w:val="004611E1"/>
    <w:rsid w:val="0046165B"/>
    <w:rsid w:val="00462460"/>
    <w:rsid w:val="004624E9"/>
    <w:rsid w:val="00462A13"/>
    <w:rsid w:val="00462F2A"/>
    <w:rsid w:val="00463AC5"/>
    <w:rsid w:val="00463BA8"/>
    <w:rsid w:val="004641AA"/>
    <w:rsid w:val="00464835"/>
    <w:rsid w:val="004654D3"/>
    <w:rsid w:val="00470218"/>
    <w:rsid w:val="00471B9D"/>
    <w:rsid w:val="0047206A"/>
    <w:rsid w:val="0048130C"/>
    <w:rsid w:val="00482FA5"/>
    <w:rsid w:val="00484E6E"/>
    <w:rsid w:val="00485819"/>
    <w:rsid w:val="00487D31"/>
    <w:rsid w:val="00490000"/>
    <w:rsid w:val="00491F60"/>
    <w:rsid w:val="00492026"/>
    <w:rsid w:val="004920C5"/>
    <w:rsid w:val="004927D6"/>
    <w:rsid w:val="00492E16"/>
    <w:rsid w:val="00494AE3"/>
    <w:rsid w:val="00494C04"/>
    <w:rsid w:val="0049557F"/>
    <w:rsid w:val="004965C3"/>
    <w:rsid w:val="004A0574"/>
    <w:rsid w:val="004A22CF"/>
    <w:rsid w:val="004A5804"/>
    <w:rsid w:val="004A794E"/>
    <w:rsid w:val="004B142E"/>
    <w:rsid w:val="004B3D26"/>
    <w:rsid w:val="004B44C1"/>
    <w:rsid w:val="004B623F"/>
    <w:rsid w:val="004B6EA7"/>
    <w:rsid w:val="004C11DE"/>
    <w:rsid w:val="004C13DB"/>
    <w:rsid w:val="004D00EF"/>
    <w:rsid w:val="004D14AD"/>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36DB8"/>
    <w:rsid w:val="00540B8E"/>
    <w:rsid w:val="00542636"/>
    <w:rsid w:val="00544AB5"/>
    <w:rsid w:val="00546D89"/>
    <w:rsid w:val="00547AFC"/>
    <w:rsid w:val="0055022A"/>
    <w:rsid w:val="005503E5"/>
    <w:rsid w:val="005513B0"/>
    <w:rsid w:val="00556F73"/>
    <w:rsid w:val="005576BE"/>
    <w:rsid w:val="005603B3"/>
    <w:rsid w:val="00561787"/>
    <w:rsid w:val="0056193C"/>
    <w:rsid w:val="00561EF9"/>
    <w:rsid w:val="005636DF"/>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504"/>
    <w:rsid w:val="00582DF8"/>
    <w:rsid w:val="00583800"/>
    <w:rsid w:val="00584BC6"/>
    <w:rsid w:val="0058559D"/>
    <w:rsid w:val="005856F2"/>
    <w:rsid w:val="00585A3B"/>
    <w:rsid w:val="00586D7A"/>
    <w:rsid w:val="00590FA0"/>
    <w:rsid w:val="00592860"/>
    <w:rsid w:val="00593EFC"/>
    <w:rsid w:val="00594F73"/>
    <w:rsid w:val="005957D1"/>
    <w:rsid w:val="00597215"/>
    <w:rsid w:val="005A0FD0"/>
    <w:rsid w:val="005A1468"/>
    <w:rsid w:val="005A4536"/>
    <w:rsid w:val="005A5AF2"/>
    <w:rsid w:val="005A742F"/>
    <w:rsid w:val="005A7C78"/>
    <w:rsid w:val="005B4373"/>
    <w:rsid w:val="005B4F6C"/>
    <w:rsid w:val="005B7055"/>
    <w:rsid w:val="005C35BE"/>
    <w:rsid w:val="005C4763"/>
    <w:rsid w:val="005C4DB7"/>
    <w:rsid w:val="005C5DC8"/>
    <w:rsid w:val="005C661E"/>
    <w:rsid w:val="005D1E9E"/>
    <w:rsid w:val="005D48C8"/>
    <w:rsid w:val="005D58CE"/>
    <w:rsid w:val="005D6DB4"/>
    <w:rsid w:val="005E2760"/>
    <w:rsid w:val="005E2D13"/>
    <w:rsid w:val="005E350B"/>
    <w:rsid w:val="005E4648"/>
    <w:rsid w:val="005E6068"/>
    <w:rsid w:val="005E64B3"/>
    <w:rsid w:val="005F03A4"/>
    <w:rsid w:val="005F0C51"/>
    <w:rsid w:val="005F14C7"/>
    <w:rsid w:val="005F16DB"/>
    <w:rsid w:val="005F17B2"/>
    <w:rsid w:val="005F2BB5"/>
    <w:rsid w:val="005F3A96"/>
    <w:rsid w:val="005F4DBF"/>
    <w:rsid w:val="005F58C1"/>
    <w:rsid w:val="005F66CC"/>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6DD6"/>
    <w:rsid w:val="0062719D"/>
    <w:rsid w:val="00627FDF"/>
    <w:rsid w:val="00630296"/>
    <w:rsid w:val="0063122C"/>
    <w:rsid w:val="006331E3"/>
    <w:rsid w:val="00633776"/>
    <w:rsid w:val="00633C62"/>
    <w:rsid w:val="006350FF"/>
    <w:rsid w:val="006361F0"/>
    <w:rsid w:val="006372A4"/>
    <w:rsid w:val="006375ED"/>
    <w:rsid w:val="0064029E"/>
    <w:rsid w:val="00640861"/>
    <w:rsid w:val="00640A36"/>
    <w:rsid w:val="00640BDC"/>
    <w:rsid w:val="00646004"/>
    <w:rsid w:val="00646AD1"/>
    <w:rsid w:val="006473BA"/>
    <w:rsid w:val="00650E4E"/>
    <w:rsid w:val="00654D9D"/>
    <w:rsid w:val="00660C02"/>
    <w:rsid w:val="0066130F"/>
    <w:rsid w:val="006641F4"/>
    <w:rsid w:val="006645D9"/>
    <w:rsid w:val="00665EBC"/>
    <w:rsid w:val="00667637"/>
    <w:rsid w:val="00667BE8"/>
    <w:rsid w:val="0067150D"/>
    <w:rsid w:val="00673A29"/>
    <w:rsid w:val="00673AD9"/>
    <w:rsid w:val="006766F4"/>
    <w:rsid w:val="00681787"/>
    <w:rsid w:val="0068250F"/>
    <w:rsid w:val="00685FFE"/>
    <w:rsid w:val="00686729"/>
    <w:rsid w:val="00686CAC"/>
    <w:rsid w:val="00686D5A"/>
    <w:rsid w:val="00687871"/>
    <w:rsid w:val="00693247"/>
    <w:rsid w:val="0069336E"/>
    <w:rsid w:val="00694174"/>
    <w:rsid w:val="006A27BC"/>
    <w:rsid w:val="006A27D6"/>
    <w:rsid w:val="006A31D7"/>
    <w:rsid w:val="006A3A42"/>
    <w:rsid w:val="006A41B4"/>
    <w:rsid w:val="006A5FD7"/>
    <w:rsid w:val="006B143E"/>
    <w:rsid w:val="006B30E3"/>
    <w:rsid w:val="006B5E72"/>
    <w:rsid w:val="006B6205"/>
    <w:rsid w:val="006C058F"/>
    <w:rsid w:val="006C3252"/>
    <w:rsid w:val="006C634A"/>
    <w:rsid w:val="006C7A04"/>
    <w:rsid w:val="006D1B83"/>
    <w:rsid w:val="006D1BE7"/>
    <w:rsid w:val="006D5C98"/>
    <w:rsid w:val="006D6FCC"/>
    <w:rsid w:val="006E033A"/>
    <w:rsid w:val="006E0A9F"/>
    <w:rsid w:val="006E12D5"/>
    <w:rsid w:val="006E26E8"/>
    <w:rsid w:val="006E76B0"/>
    <w:rsid w:val="006F08D4"/>
    <w:rsid w:val="006F3318"/>
    <w:rsid w:val="006F39CF"/>
    <w:rsid w:val="006F4894"/>
    <w:rsid w:val="006F58F5"/>
    <w:rsid w:val="006F676D"/>
    <w:rsid w:val="00700672"/>
    <w:rsid w:val="00701319"/>
    <w:rsid w:val="00701A95"/>
    <w:rsid w:val="00702F7C"/>
    <w:rsid w:val="00706127"/>
    <w:rsid w:val="007077CD"/>
    <w:rsid w:val="00712A93"/>
    <w:rsid w:val="00714CF1"/>
    <w:rsid w:val="00715CEB"/>
    <w:rsid w:val="00717A58"/>
    <w:rsid w:val="007204CF"/>
    <w:rsid w:val="00722924"/>
    <w:rsid w:val="00723D30"/>
    <w:rsid w:val="00723F1A"/>
    <w:rsid w:val="00726974"/>
    <w:rsid w:val="007306BB"/>
    <w:rsid w:val="007319AD"/>
    <w:rsid w:val="00732257"/>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4C7E"/>
    <w:rsid w:val="007557BC"/>
    <w:rsid w:val="007608F0"/>
    <w:rsid w:val="00762976"/>
    <w:rsid w:val="00765A11"/>
    <w:rsid w:val="00766752"/>
    <w:rsid w:val="00766834"/>
    <w:rsid w:val="00766EC7"/>
    <w:rsid w:val="0077082D"/>
    <w:rsid w:val="0077181C"/>
    <w:rsid w:val="00771AF0"/>
    <w:rsid w:val="0077499E"/>
    <w:rsid w:val="0077508F"/>
    <w:rsid w:val="007752E2"/>
    <w:rsid w:val="00781F5F"/>
    <w:rsid w:val="00783479"/>
    <w:rsid w:val="00783696"/>
    <w:rsid w:val="00783D3E"/>
    <w:rsid w:val="00784B5D"/>
    <w:rsid w:val="00785DB0"/>
    <w:rsid w:val="00791384"/>
    <w:rsid w:val="00791D74"/>
    <w:rsid w:val="00791E5B"/>
    <w:rsid w:val="007931D7"/>
    <w:rsid w:val="007949B4"/>
    <w:rsid w:val="0079708B"/>
    <w:rsid w:val="0079779E"/>
    <w:rsid w:val="007A6DC9"/>
    <w:rsid w:val="007A71B5"/>
    <w:rsid w:val="007A797E"/>
    <w:rsid w:val="007B255F"/>
    <w:rsid w:val="007C0E7E"/>
    <w:rsid w:val="007C10CC"/>
    <w:rsid w:val="007C250E"/>
    <w:rsid w:val="007C2CD7"/>
    <w:rsid w:val="007D009C"/>
    <w:rsid w:val="007D2162"/>
    <w:rsid w:val="007D5A53"/>
    <w:rsid w:val="007D62D9"/>
    <w:rsid w:val="007D73C9"/>
    <w:rsid w:val="007E1FB4"/>
    <w:rsid w:val="007E28C1"/>
    <w:rsid w:val="007F0840"/>
    <w:rsid w:val="007F2086"/>
    <w:rsid w:val="00800773"/>
    <w:rsid w:val="00801004"/>
    <w:rsid w:val="0080111C"/>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7CA"/>
    <w:rsid w:val="00826A19"/>
    <w:rsid w:val="008312D4"/>
    <w:rsid w:val="008317C8"/>
    <w:rsid w:val="00831915"/>
    <w:rsid w:val="0083305B"/>
    <w:rsid w:val="0083449C"/>
    <w:rsid w:val="00834578"/>
    <w:rsid w:val="0083648B"/>
    <w:rsid w:val="00836500"/>
    <w:rsid w:val="00841EAB"/>
    <w:rsid w:val="00844977"/>
    <w:rsid w:val="00844B97"/>
    <w:rsid w:val="00845BB4"/>
    <w:rsid w:val="00847BF3"/>
    <w:rsid w:val="00853D0B"/>
    <w:rsid w:val="00854B16"/>
    <w:rsid w:val="00854BCA"/>
    <w:rsid w:val="00855A43"/>
    <w:rsid w:val="008561BF"/>
    <w:rsid w:val="008633B6"/>
    <w:rsid w:val="00866481"/>
    <w:rsid w:val="0087076A"/>
    <w:rsid w:val="00870853"/>
    <w:rsid w:val="008731E4"/>
    <w:rsid w:val="008745D6"/>
    <w:rsid w:val="00874DCA"/>
    <w:rsid w:val="00875D64"/>
    <w:rsid w:val="00875E32"/>
    <w:rsid w:val="0087668E"/>
    <w:rsid w:val="008800F4"/>
    <w:rsid w:val="0088277A"/>
    <w:rsid w:val="0088297B"/>
    <w:rsid w:val="00885D7C"/>
    <w:rsid w:val="0088762D"/>
    <w:rsid w:val="00887B2D"/>
    <w:rsid w:val="00890235"/>
    <w:rsid w:val="00890A70"/>
    <w:rsid w:val="00890DDC"/>
    <w:rsid w:val="00890F9C"/>
    <w:rsid w:val="008928B6"/>
    <w:rsid w:val="00894CA0"/>
    <w:rsid w:val="00895461"/>
    <w:rsid w:val="008957B1"/>
    <w:rsid w:val="00896190"/>
    <w:rsid w:val="0089642E"/>
    <w:rsid w:val="00897C5E"/>
    <w:rsid w:val="008A1517"/>
    <w:rsid w:val="008A2307"/>
    <w:rsid w:val="008A2B8F"/>
    <w:rsid w:val="008A2BB7"/>
    <w:rsid w:val="008A4000"/>
    <w:rsid w:val="008A4A65"/>
    <w:rsid w:val="008A70A5"/>
    <w:rsid w:val="008B201B"/>
    <w:rsid w:val="008B2D64"/>
    <w:rsid w:val="008B368E"/>
    <w:rsid w:val="008B38A4"/>
    <w:rsid w:val="008B38EE"/>
    <w:rsid w:val="008B4F2F"/>
    <w:rsid w:val="008B55B4"/>
    <w:rsid w:val="008B6A00"/>
    <w:rsid w:val="008C0269"/>
    <w:rsid w:val="008C257C"/>
    <w:rsid w:val="008D0FDE"/>
    <w:rsid w:val="008D1051"/>
    <w:rsid w:val="008D22BE"/>
    <w:rsid w:val="008D7542"/>
    <w:rsid w:val="008D7F7C"/>
    <w:rsid w:val="008E0835"/>
    <w:rsid w:val="008E16ED"/>
    <w:rsid w:val="008E280E"/>
    <w:rsid w:val="008E2BA7"/>
    <w:rsid w:val="008E5642"/>
    <w:rsid w:val="008E5CC2"/>
    <w:rsid w:val="008F2E20"/>
    <w:rsid w:val="00900BC5"/>
    <w:rsid w:val="00901036"/>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A48"/>
    <w:rsid w:val="00923B20"/>
    <w:rsid w:val="009263DF"/>
    <w:rsid w:val="00927338"/>
    <w:rsid w:val="0093018E"/>
    <w:rsid w:val="0093167C"/>
    <w:rsid w:val="00932A3A"/>
    <w:rsid w:val="00934143"/>
    <w:rsid w:val="00935444"/>
    <w:rsid w:val="009378F0"/>
    <w:rsid w:val="00942696"/>
    <w:rsid w:val="00942EB6"/>
    <w:rsid w:val="0094307C"/>
    <w:rsid w:val="00944802"/>
    <w:rsid w:val="009470DD"/>
    <w:rsid w:val="009518D9"/>
    <w:rsid w:val="0095236F"/>
    <w:rsid w:val="00952404"/>
    <w:rsid w:val="00953350"/>
    <w:rsid w:val="00954C9A"/>
    <w:rsid w:val="00955BDA"/>
    <w:rsid w:val="00960D5D"/>
    <w:rsid w:val="00965F52"/>
    <w:rsid w:val="00967051"/>
    <w:rsid w:val="0096737A"/>
    <w:rsid w:val="0097392A"/>
    <w:rsid w:val="009749C0"/>
    <w:rsid w:val="00977C0A"/>
    <w:rsid w:val="00982FF8"/>
    <w:rsid w:val="0098512F"/>
    <w:rsid w:val="0098550A"/>
    <w:rsid w:val="00985728"/>
    <w:rsid w:val="009857DD"/>
    <w:rsid w:val="009859AB"/>
    <w:rsid w:val="00987A4E"/>
    <w:rsid w:val="009907A9"/>
    <w:rsid w:val="00993DE4"/>
    <w:rsid w:val="00993F38"/>
    <w:rsid w:val="0099421B"/>
    <w:rsid w:val="00994A4B"/>
    <w:rsid w:val="009A043C"/>
    <w:rsid w:val="009A12ED"/>
    <w:rsid w:val="009A201F"/>
    <w:rsid w:val="009A62FC"/>
    <w:rsid w:val="009A6989"/>
    <w:rsid w:val="009A72EB"/>
    <w:rsid w:val="009B105E"/>
    <w:rsid w:val="009B2B4E"/>
    <w:rsid w:val="009B396E"/>
    <w:rsid w:val="009B39A2"/>
    <w:rsid w:val="009B3B97"/>
    <w:rsid w:val="009B49F3"/>
    <w:rsid w:val="009B4DF7"/>
    <w:rsid w:val="009B4E5D"/>
    <w:rsid w:val="009B567A"/>
    <w:rsid w:val="009C5C75"/>
    <w:rsid w:val="009D2A29"/>
    <w:rsid w:val="009D59DE"/>
    <w:rsid w:val="009E1362"/>
    <w:rsid w:val="009E1848"/>
    <w:rsid w:val="009E1BC1"/>
    <w:rsid w:val="009E1F6B"/>
    <w:rsid w:val="009E3E77"/>
    <w:rsid w:val="009E4DF2"/>
    <w:rsid w:val="009E6D60"/>
    <w:rsid w:val="009F29D2"/>
    <w:rsid w:val="009F3962"/>
    <w:rsid w:val="009F6ED7"/>
    <w:rsid w:val="009F7401"/>
    <w:rsid w:val="009F78F2"/>
    <w:rsid w:val="00A01C9B"/>
    <w:rsid w:val="00A065F5"/>
    <w:rsid w:val="00A10857"/>
    <w:rsid w:val="00A1221A"/>
    <w:rsid w:val="00A1269B"/>
    <w:rsid w:val="00A130F9"/>
    <w:rsid w:val="00A14780"/>
    <w:rsid w:val="00A1585F"/>
    <w:rsid w:val="00A16000"/>
    <w:rsid w:val="00A16398"/>
    <w:rsid w:val="00A17CC0"/>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3279"/>
    <w:rsid w:val="00A83750"/>
    <w:rsid w:val="00A83C86"/>
    <w:rsid w:val="00A84631"/>
    <w:rsid w:val="00A86498"/>
    <w:rsid w:val="00A86A0A"/>
    <w:rsid w:val="00A9067C"/>
    <w:rsid w:val="00A90A24"/>
    <w:rsid w:val="00A90BD3"/>
    <w:rsid w:val="00A91402"/>
    <w:rsid w:val="00A91552"/>
    <w:rsid w:val="00A92FBB"/>
    <w:rsid w:val="00A93C1C"/>
    <w:rsid w:val="00A95C0E"/>
    <w:rsid w:val="00A96790"/>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236C"/>
    <w:rsid w:val="00AC06B6"/>
    <w:rsid w:val="00AC7830"/>
    <w:rsid w:val="00AD1557"/>
    <w:rsid w:val="00AD35F3"/>
    <w:rsid w:val="00AD4CAC"/>
    <w:rsid w:val="00AD528F"/>
    <w:rsid w:val="00AD6760"/>
    <w:rsid w:val="00AD6EB3"/>
    <w:rsid w:val="00AD741D"/>
    <w:rsid w:val="00AD751D"/>
    <w:rsid w:val="00AD791C"/>
    <w:rsid w:val="00AE1C60"/>
    <w:rsid w:val="00AE4EFF"/>
    <w:rsid w:val="00AE4F42"/>
    <w:rsid w:val="00AE728D"/>
    <w:rsid w:val="00AE7589"/>
    <w:rsid w:val="00AF1BAF"/>
    <w:rsid w:val="00AF2833"/>
    <w:rsid w:val="00AF3716"/>
    <w:rsid w:val="00AF3C46"/>
    <w:rsid w:val="00AF43E1"/>
    <w:rsid w:val="00AF4D71"/>
    <w:rsid w:val="00AF5921"/>
    <w:rsid w:val="00AF662D"/>
    <w:rsid w:val="00B0092E"/>
    <w:rsid w:val="00B018B2"/>
    <w:rsid w:val="00B018E8"/>
    <w:rsid w:val="00B03BF6"/>
    <w:rsid w:val="00B040B7"/>
    <w:rsid w:val="00B04A55"/>
    <w:rsid w:val="00B04D46"/>
    <w:rsid w:val="00B104C5"/>
    <w:rsid w:val="00B10F47"/>
    <w:rsid w:val="00B1385B"/>
    <w:rsid w:val="00B13B1B"/>
    <w:rsid w:val="00B14C20"/>
    <w:rsid w:val="00B15DBF"/>
    <w:rsid w:val="00B17D70"/>
    <w:rsid w:val="00B22AD7"/>
    <w:rsid w:val="00B22D31"/>
    <w:rsid w:val="00B22E46"/>
    <w:rsid w:val="00B27853"/>
    <w:rsid w:val="00B306F7"/>
    <w:rsid w:val="00B30BB8"/>
    <w:rsid w:val="00B30FE2"/>
    <w:rsid w:val="00B3272E"/>
    <w:rsid w:val="00B32C71"/>
    <w:rsid w:val="00B330C4"/>
    <w:rsid w:val="00B37580"/>
    <w:rsid w:val="00B4137A"/>
    <w:rsid w:val="00B50B77"/>
    <w:rsid w:val="00B51290"/>
    <w:rsid w:val="00B52215"/>
    <w:rsid w:val="00B530CA"/>
    <w:rsid w:val="00B53AC4"/>
    <w:rsid w:val="00B54527"/>
    <w:rsid w:val="00B57ADA"/>
    <w:rsid w:val="00B61EE9"/>
    <w:rsid w:val="00B6496C"/>
    <w:rsid w:val="00B65962"/>
    <w:rsid w:val="00B66B6C"/>
    <w:rsid w:val="00B7033E"/>
    <w:rsid w:val="00B7071A"/>
    <w:rsid w:val="00B71858"/>
    <w:rsid w:val="00B721DC"/>
    <w:rsid w:val="00B74715"/>
    <w:rsid w:val="00B7669D"/>
    <w:rsid w:val="00B766D9"/>
    <w:rsid w:val="00B77B50"/>
    <w:rsid w:val="00B80A28"/>
    <w:rsid w:val="00B82D73"/>
    <w:rsid w:val="00B84A2C"/>
    <w:rsid w:val="00B871D6"/>
    <w:rsid w:val="00B87A02"/>
    <w:rsid w:val="00BA0DCC"/>
    <w:rsid w:val="00BA12A2"/>
    <w:rsid w:val="00BA16EF"/>
    <w:rsid w:val="00BA18D0"/>
    <w:rsid w:val="00BA242E"/>
    <w:rsid w:val="00BA3317"/>
    <w:rsid w:val="00BA5A9D"/>
    <w:rsid w:val="00BA6363"/>
    <w:rsid w:val="00BB2D9C"/>
    <w:rsid w:val="00BB3512"/>
    <w:rsid w:val="00BB5D1E"/>
    <w:rsid w:val="00BB7ED6"/>
    <w:rsid w:val="00BC137A"/>
    <w:rsid w:val="00BC2618"/>
    <w:rsid w:val="00BC4347"/>
    <w:rsid w:val="00BC45E0"/>
    <w:rsid w:val="00BC54B5"/>
    <w:rsid w:val="00BC5D9D"/>
    <w:rsid w:val="00BC6803"/>
    <w:rsid w:val="00BC7BCB"/>
    <w:rsid w:val="00BD0270"/>
    <w:rsid w:val="00BD109B"/>
    <w:rsid w:val="00BD2944"/>
    <w:rsid w:val="00BD2B5E"/>
    <w:rsid w:val="00BD3AFF"/>
    <w:rsid w:val="00BD4E7A"/>
    <w:rsid w:val="00BD531B"/>
    <w:rsid w:val="00BE00E5"/>
    <w:rsid w:val="00BE2E5A"/>
    <w:rsid w:val="00BE3A10"/>
    <w:rsid w:val="00BE42EE"/>
    <w:rsid w:val="00BE4A21"/>
    <w:rsid w:val="00BE5859"/>
    <w:rsid w:val="00BE717E"/>
    <w:rsid w:val="00BE7E27"/>
    <w:rsid w:val="00BF183C"/>
    <w:rsid w:val="00BF3AA2"/>
    <w:rsid w:val="00BF4C15"/>
    <w:rsid w:val="00C0782F"/>
    <w:rsid w:val="00C11F50"/>
    <w:rsid w:val="00C12603"/>
    <w:rsid w:val="00C131FD"/>
    <w:rsid w:val="00C15322"/>
    <w:rsid w:val="00C15E9E"/>
    <w:rsid w:val="00C16DA8"/>
    <w:rsid w:val="00C17352"/>
    <w:rsid w:val="00C21959"/>
    <w:rsid w:val="00C30A7D"/>
    <w:rsid w:val="00C31169"/>
    <w:rsid w:val="00C3169F"/>
    <w:rsid w:val="00C318F6"/>
    <w:rsid w:val="00C3309F"/>
    <w:rsid w:val="00C37522"/>
    <w:rsid w:val="00C42EFD"/>
    <w:rsid w:val="00C43D8B"/>
    <w:rsid w:val="00C44042"/>
    <w:rsid w:val="00C46AF0"/>
    <w:rsid w:val="00C52956"/>
    <w:rsid w:val="00C535A6"/>
    <w:rsid w:val="00C53AE1"/>
    <w:rsid w:val="00C53CAD"/>
    <w:rsid w:val="00C54893"/>
    <w:rsid w:val="00C560A1"/>
    <w:rsid w:val="00C56E9E"/>
    <w:rsid w:val="00C56EB6"/>
    <w:rsid w:val="00C63FC8"/>
    <w:rsid w:val="00C64F57"/>
    <w:rsid w:val="00C65D21"/>
    <w:rsid w:val="00C66E11"/>
    <w:rsid w:val="00C6789D"/>
    <w:rsid w:val="00C71A97"/>
    <w:rsid w:val="00C73FFD"/>
    <w:rsid w:val="00C74512"/>
    <w:rsid w:val="00C84F07"/>
    <w:rsid w:val="00C851A6"/>
    <w:rsid w:val="00C855D4"/>
    <w:rsid w:val="00C87639"/>
    <w:rsid w:val="00C9099A"/>
    <w:rsid w:val="00C9240A"/>
    <w:rsid w:val="00C93D5B"/>
    <w:rsid w:val="00C9442C"/>
    <w:rsid w:val="00C9532C"/>
    <w:rsid w:val="00C95BCF"/>
    <w:rsid w:val="00C95D16"/>
    <w:rsid w:val="00C95DCF"/>
    <w:rsid w:val="00CA184E"/>
    <w:rsid w:val="00CA23C4"/>
    <w:rsid w:val="00CA575F"/>
    <w:rsid w:val="00CA5AEC"/>
    <w:rsid w:val="00CA6114"/>
    <w:rsid w:val="00CA704A"/>
    <w:rsid w:val="00CB0797"/>
    <w:rsid w:val="00CB3F7F"/>
    <w:rsid w:val="00CB644C"/>
    <w:rsid w:val="00CB78ED"/>
    <w:rsid w:val="00CC4E55"/>
    <w:rsid w:val="00CC550E"/>
    <w:rsid w:val="00CC5AC6"/>
    <w:rsid w:val="00CD0DCE"/>
    <w:rsid w:val="00CD1628"/>
    <w:rsid w:val="00CD1D27"/>
    <w:rsid w:val="00CD27B7"/>
    <w:rsid w:val="00CD31B7"/>
    <w:rsid w:val="00CD3807"/>
    <w:rsid w:val="00CD3AE7"/>
    <w:rsid w:val="00CD3C10"/>
    <w:rsid w:val="00CD5194"/>
    <w:rsid w:val="00CD5981"/>
    <w:rsid w:val="00CD79FA"/>
    <w:rsid w:val="00CE10E6"/>
    <w:rsid w:val="00CE598B"/>
    <w:rsid w:val="00CE59A8"/>
    <w:rsid w:val="00CE657B"/>
    <w:rsid w:val="00CF0873"/>
    <w:rsid w:val="00CF237E"/>
    <w:rsid w:val="00CF515D"/>
    <w:rsid w:val="00CF53F5"/>
    <w:rsid w:val="00CF6B3F"/>
    <w:rsid w:val="00D002B4"/>
    <w:rsid w:val="00D03845"/>
    <w:rsid w:val="00D03DCB"/>
    <w:rsid w:val="00D05257"/>
    <w:rsid w:val="00D054DF"/>
    <w:rsid w:val="00D057A5"/>
    <w:rsid w:val="00D05D1F"/>
    <w:rsid w:val="00D144D0"/>
    <w:rsid w:val="00D14FC0"/>
    <w:rsid w:val="00D1656D"/>
    <w:rsid w:val="00D167CC"/>
    <w:rsid w:val="00D16943"/>
    <w:rsid w:val="00D211AE"/>
    <w:rsid w:val="00D21662"/>
    <w:rsid w:val="00D23DE4"/>
    <w:rsid w:val="00D23F50"/>
    <w:rsid w:val="00D24867"/>
    <w:rsid w:val="00D318E3"/>
    <w:rsid w:val="00D323A7"/>
    <w:rsid w:val="00D333E6"/>
    <w:rsid w:val="00D346BF"/>
    <w:rsid w:val="00D416EB"/>
    <w:rsid w:val="00D41B20"/>
    <w:rsid w:val="00D44615"/>
    <w:rsid w:val="00D45321"/>
    <w:rsid w:val="00D453AD"/>
    <w:rsid w:val="00D50324"/>
    <w:rsid w:val="00D55A28"/>
    <w:rsid w:val="00D5605F"/>
    <w:rsid w:val="00D60FFF"/>
    <w:rsid w:val="00D61FBD"/>
    <w:rsid w:val="00D62519"/>
    <w:rsid w:val="00D625AA"/>
    <w:rsid w:val="00D636BD"/>
    <w:rsid w:val="00D63CBD"/>
    <w:rsid w:val="00D6500C"/>
    <w:rsid w:val="00D66392"/>
    <w:rsid w:val="00D66959"/>
    <w:rsid w:val="00D70A39"/>
    <w:rsid w:val="00D71A7E"/>
    <w:rsid w:val="00D7643D"/>
    <w:rsid w:val="00D76DE0"/>
    <w:rsid w:val="00D80DF0"/>
    <w:rsid w:val="00D83EA2"/>
    <w:rsid w:val="00D83ED5"/>
    <w:rsid w:val="00D86043"/>
    <w:rsid w:val="00D870D4"/>
    <w:rsid w:val="00D9120E"/>
    <w:rsid w:val="00D9398E"/>
    <w:rsid w:val="00D9464E"/>
    <w:rsid w:val="00D954E0"/>
    <w:rsid w:val="00D97059"/>
    <w:rsid w:val="00D97A1D"/>
    <w:rsid w:val="00DA0181"/>
    <w:rsid w:val="00DA2411"/>
    <w:rsid w:val="00DA2C81"/>
    <w:rsid w:val="00DA65C4"/>
    <w:rsid w:val="00DA7899"/>
    <w:rsid w:val="00DB0923"/>
    <w:rsid w:val="00DB2409"/>
    <w:rsid w:val="00DB29CA"/>
    <w:rsid w:val="00DB30C8"/>
    <w:rsid w:val="00DB5F2B"/>
    <w:rsid w:val="00DB74AF"/>
    <w:rsid w:val="00DC1AB8"/>
    <w:rsid w:val="00DC515D"/>
    <w:rsid w:val="00DC5C19"/>
    <w:rsid w:val="00DC7068"/>
    <w:rsid w:val="00DD6B9B"/>
    <w:rsid w:val="00DE013F"/>
    <w:rsid w:val="00DE07A1"/>
    <w:rsid w:val="00DE21A2"/>
    <w:rsid w:val="00DE2776"/>
    <w:rsid w:val="00DE27C9"/>
    <w:rsid w:val="00DE3B11"/>
    <w:rsid w:val="00DE7183"/>
    <w:rsid w:val="00DF1DAC"/>
    <w:rsid w:val="00DF2165"/>
    <w:rsid w:val="00DF5A24"/>
    <w:rsid w:val="00DF60E6"/>
    <w:rsid w:val="00DF6105"/>
    <w:rsid w:val="00DF659E"/>
    <w:rsid w:val="00E01524"/>
    <w:rsid w:val="00E02BCF"/>
    <w:rsid w:val="00E07C16"/>
    <w:rsid w:val="00E1021D"/>
    <w:rsid w:val="00E1428E"/>
    <w:rsid w:val="00E14900"/>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5435"/>
    <w:rsid w:val="00E37194"/>
    <w:rsid w:val="00E3788B"/>
    <w:rsid w:val="00E40C6A"/>
    <w:rsid w:val="00E43977"/>
    <w:rsid w:val="00E4415D"/>
    <w:rsid w:val="00E44AB8"/>
    <w:rsid w:val="00E47BD8"/>
    <w:rsid w:val="00E50D3F"/>
    <w:rsid w:val="00E520BE"/>
    <w:rsid w:val="00E538B3"/>
    <w:rsid w:val="00E5484A"/>
    <w:rsid w:val="00E54E17"/>
    <w:rsid w:val="00E56A7A"/>
    <w:rsid w:val="00E60419"/>
    <w:rsid w:val="00E60E01"/>
    <w:rsid w:val="00E617D3"/>
    <w:rsid w:val="00E61E36"/>
    <w:rsid w:val="00E62BA2"/>
    <w:rsid w:val="00E633C1"/>
    <w:rsid w:val="00E667B0"/>
    <w:rsid w:val="00E67390"/>
    <w:rsid w:val="00E71365"/>
    <w:rsid w:val="00E74904"/>
    <w:rsid w:val="00E770A4"/>
    <w:rsid w:val="00E81192"/>
    <w:rsid w:val="00E83B51"/>
    <w:rsid w:val="00E8626C"/>
    <w:rsid w:val="00E86BDE"/>
    <w:rsid w:val="00E8762F"/>
    <w:rsid w:val="00E90AB8"/>
    <w:rsid w:val="00E919D9"/>
    <w:rsid w:val="00E921C1"/>
    <w:rsid w:val="00E93C8B"/>
    <w:rsid w:val="00E93D8F"/>
    <w:rsid w:val="00E9531E"/>
    <w:rsid w:val="00E95E41"/>
    <w:rsid w:val="00E965ED"/>
    <w:rsid w:val="00E977CE"/>
    <w:rsid w:val="00E97E05"/>
    <w:rsid w:val="00EA2472"/>
    <w:rsid w:val="00EA34E2"/>
    <w:rsid w:val="00EA52D1"/>
    <w:rsid w:val="00EA703E"/>
    <w:rsid w:val="00EA791F"/>
    <w:rsid w:val="00EA7D4E"/>
    <w:rsid w:val="00EB3096"/>
    <w:rsid w:val="00EB671F"/>
    <w:rsid w:val="00EB70E7"/>
    <w:rsid w:val="00EB76D6"/>
    <w:rsid w:val="00EC02E8"/>
    <w:rsid w:val="00EC1139"/>
    <w:rsid w:val="00EC3842"/>
    <w:rsid w:val="00EC4299"/>
    <w:rsid w:val="00EC45DE"/>
    <w:rsid w:val="00EC4D4D"/>
    <w:rsid w:val="00EC5D5D"/>
    <w:rsid w:val="00EC7908"/>
    <w:rsid w:val="00EC7C2B"/>
    <w:rsid w:val="00ED1F02"/>
    <w:rsid w:val="00ED213D"/>
    <w:rsid w:val="00EE087F"/>
    <w:rsid w:val="00EE15B5"/>
    <w:rsid w:val="00EE2087"/>
    <w:rsid w:val="00EE20A1"/>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782D"/>
    <w:rsid w:val="00F10B74"/>
    <w:rsid w:val="00F11EB3"/>
    <w:rsid w:val="00F13F39"/>
    <w:rsid w:val="00F14B9B"/>
    <w:rsid w:val="00F14CCC"/>
    <w:rsid w:val="00F17988"/>
    <w:rsid w:val="00F20C09"/>
    <w:rsid w:val="00F217DF"/>
    <w:rsid w:val="00F21CAE"/>
    <w:rsid w:val="00F22AE0"/>
    <w:rsid w:val="00F2601A"/>
    <w:rsid w:val="00F26701"/>
    <w:rsid w:val="00F310D7"/>
    <w:rsid w:val="00F368B9"/>
    <w:rsid w:val="00F3739F"/>
    <w:rsid w:val="00F374C1"/>
    <w:rsid w:val="00F37B34"/>
    <w:rsid w:val="00F41C34"/>
    <w:rsid w:val="00F4212F"/>
    <w:rsid w:val="00F447DB"/>
    <w:rsid w:val="00F447FA"/>
    <w:rsid w:val="00F469B9"/>
    <w:rsid w:val="00F46C32"/>
    <w:rsid w:val="00F46ECB"/>
    <w:rsid w:val="00F50F94"/>
    <w:rsid w:val="00F525B5"/>
    <w:rsid w:val="00F53D53"/>
    <w:rsid w:val="00F543B9"/>
    <w:rsid w:val="00F56177"/>
    <w:rsid w:val="00F575D3"/>
    <w:rsid w:val="00F5786C"/>
    <w:rsid w:val="00F62117"/>
    <w:rsid w:val="00F62365"/>
    <w:rsid w:val="00F630A7"/>
    <w:rsid w:val="00F66225"/>
    <w:rsid w:val="00F662BC"/>
    <w:rsid w:val="00F6708D"/>
    <w:rsid w:val="00F707F0"/>
    <w:rsid w:val="00F71AD5"/>
    <w:rsid w:val="00F729ED"/>
    <w:rsid w:val="00F733B8"/>
    <w:rsid w:val="00F74F50"/>
    <w:rsid w:val="00F75192"/>
    <w:rsid w:val="00F77822"/>
    <w:rsid w:val="00F802FB"/>
    <w:rsid w:val="00F81E38"/>
    <w:rsid w:val="00F838B6"/>
    <w:rsid w:val="00F83B0D"/>
    <w:rsid w:val="00F83C31"/>
    <w:rsid w:val="00F85F05"/>
    <w:rsid w:val="00F86AD1"/>
    <w:rsid w:val="00F86C57"/>
    <w:rsid w:val="00F9222A"/>
    <w:rsid w:val="00F922EA"/>
    <w:rsid w:val="00F92927"/>
    <w:rsid w:val="00F971EF"/>
    <w:rsid w:val="00F979B3"/>
    <w:rsid w:val="00F97CCD"/>
    <w:rsid w:val="00FA320D"/>
    <w:rsid w:val="00FA362B"/>
    <w:rsid w:val="00FA53E9"/>
    <w:rsid w:val="00FA60EC"/>
    <w:rsid w:val="00FB04E9"/>
    <w:rsid w:val="00FB1179"/>
    <w:rsid w:val="00FB1C6B"/>
    <w:rsid w:val="00FB3361"/>
    <w:rsid w:val="00FB42B4"/>
    <w:rsid w:val="00FB4841"/>
    <w:rsid w:val="00FB6C94"/>
    <w:rsid w:val="00FB7F8B"/>
    <w:rsid w:val="00FC3753"/>
    <w:rsid w:val="00FC5743"/>
    <w:rsid w:val="00FC6240"/>
    <w:rsid w:val="00FD118C"/>
    <w:rsid w:val="00FD332F"/>
    <w:rsid w:val="00FD53F8"/>
    <w:rsid w:val="00FE1CC1"/>
    <w:rsid w:val="00FE385E"/>
    <w:rsid w:val="00FE3CE2"/>
    <w:rsid w:val="00FE45AF"/>
    <w:rsid w:val="00FE54AD"/>
    <w:rsid w:val="00FE5633"/>
    <w:rsid w:val="00FE6F7A"/>
    <w:rsid w:val="00FE7B14"/>
    <w:rsid w:val="00FF02D5"/>
    <w:rsid w:val="00FF0846"/>
    <w:rsid w:val="00FF248B"/>
    <w:rsid w:val="00FF3BA5"/>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0A6EF02D"/>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EA2472"/>
    <w:rPr>
      <w:color w:val="808080"/>
      <w:shd w:val="clear" w:color="auto" w:fill="E6E6E6"/>
    </w:rPr>
  </w:style>
  <w:style w:type="character" w:styleId="Refdecomentrio">
    <w:name w:val="annotation reference"/>
    <w:basedOn w:val="Fontepargpadro"/>
    <w:uiPriority w:val="99"/>
    <w:semiHidden/>
    <w:unhideWhenUsed/>
    <w:rsid w:val="006C634A"/>
    <w:rPr>
      <w:sz w:val="16"/>
      <w:szCs w:val="16"/>
    </w:rPr>
  </w:style>
  <w:style w:type="paragraph" w:styleId="Textodecomentrio">
    <w:name w:val="annotation text"/>
    <w:basedOn w:val="Normal"/>
    <w:link w:val="TextodecomentrioChar"/>
    <w:uiPriority w:val="99"/>
    <w:semiHidden/>
    <w:unhideWhenUsed/>
    <w:rsid w:val="006C634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C634A"/>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C634A"/>
    <w:rPr>
      <w:b/>
      <w:bCs/>
    </w:rPr>
  </w:style>
  <w:style w:type="character" w:customStyle="1" w:styleId="AssuntodocomentrioChar">
    <w:name w:val="Assunto do comentário Char"/>
    <w:basedOn w:val="TextodecomentrioChar"/>
    <w:link w:val="Assuntodocomentrio"/>
    <w:uiPriority w:val="99"/>
    <w:semiHidden/>
    <w:rsid w:val="006C634A"/>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032460424">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7/9/pdf/00320230.pdf" TargetMode="External"/><Relationship Id="rId13" Type="http://schemas.openxmlformats.org/officeDocument/2006/relationships/hyperlink" Target="http://www1.tce.pr.gov.br/multimidia/2017/9/pdf/00320366.pdf" TargetMode="External"/><Relationship Id="rId18" Type="http://schemas.openxmlformats.org/officeDocument/2006/relationships/hyperlink" Target="http://www.stf.jus.br/portal/jurisprudenciaRepercussao/verAndamentoProcesso.asp?incidente=3831488&amp;numeroProcesso=608482&amp;classeProcesso=RE&amp;numeroTema=476" TargetMode="External"/><Relationship Id="rId26" Type="http://schemas.openxmlformats.org/officeDocument/2006/relationships/hyperlink" Target="https://contas.tcu.gov.br/sagas/SvlVisualizarRelVotoAcRtf?codFiltro=SAGAS-SESSAO-ENCERRADA&amp;seOcultaPagina=S&amp;item0=597003" TargetMode="External"/><Relationship Id="rId3" Type="http://schemas.openxmlformats.org/officeDocument/2006/relationships/styles" Target="styles.xml"/><Relationship Id="rId21" Type="http://schemas.openxmlformats.org/officeDocument/2006/relationships/hyperlink" Target="https://contas.tcu.gov.br/sagas/SvlVisualizarRelVotoAcRtf?codFiltro=SAGAS-SESSAO-ENCERRADA&amp;seOcultaPagina=S&amp;item0=560803"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1.tce.pr.gov.br/multimidia/2017/9/pdf/00320371.pdf" TargetMode="External"/><Relationship Id="rId17" Type="http://schemas.openxmlformats.org/officeDocument/2006/relationships/hyperlink" Target="http://www.stf.jus.br/portal/processo/verProcessoAndamento.asp?numero=856550&amp;classe=RE&amp;origem=AP&amp;recurso=0&amp;tipoJulgamento=M" TargetMode="External"/><Relationship Id="rId25" Type="http://schemas.openxmlformats.org/officeDocument/2006/relationships/hyperlink" Target="http://www.planalto.gov.br/CCIVIL_03/_Ato2015-2018/2016/Lei/L13303.htm" TargetMode="External"/><Relationship Id="rId33" Type="http://schemas.openxmlformats.org/officeDocument/2006/relationships/hyperlink" Target="http://www1.tce.pr.gov.br/conteudo/repercussao-geral-no-stf-e-os-tribunais-de-contas/307026/area/249" TargetMode="External"/><Relationship Id="rId2" Type="http://schemas.openxmlformats.org/officeDocument/2006/relationships/numbering" Target="numbering.xml"/><Relationship Id="rId16" Type="http://schemas.openxmlformats.org/officeDocument/2006/relationships/hyperlink" Target="http://www1.tce.pr.gov.br/multimidia/2017/9/pdf/00320147.pdf" TargetMode="External"/><Relationship Id="rId20" Type="http://schemas.openxmlformats.org/officeDocument/2006/relationships/hyperlink" Target="https://contas.tcu.gov.br/sagas/SvlVisualizarRelVotoAcRtf?codFiltro=SAGAS-SESSAO-ENCERRADA&amp;seOcultaPagina=S&amp;item0=602501" TargetMode="External"/><Relationship Id="rId29" Type="http://schemas.openxmlformats.org/officeDocument/2006/relationships/hyperlink" Target="http://www.planalto.gov.br/ccivil_03/Leis/L927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7/9/pdf/00320369.pdf" TargetMode="External"/><Relationship Id="rId24" Type="http://schemas.openxmlformats.org/officeDocument/2006/relationships/hyperlink" Target="https://contas.tcu.gov.br/sagas/SvlVisualizarRelVotoAcRtf?codFiltro=SAGAS-SESSAO-ENCERRADA&amp;seOcultaPagina=S&amp;item0=601565" TargetMode="External"/><Relationship Id="rId32" Type="http://schemas.openxmlformats.org/officeDocument/2006/relationships/hyperlink" Target="http://www1.tce.pr.gov.br/multimidia/2017/7/flipbook/318496/files/assets/basic-html/index.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1.tce.pr.gov.br/multimidia/2017/9/pdf/00320148.pdf" TargetMode="External"/><Relationship Id="rId23" Type="http://schemas.openxmlformats.org/officeDocument/2006/relationships/hyperlink" Target="http://www.planalto.gov.br/ccivil_03/Leis/L8666cons.htm" TargetMode="External"/><Relationship Id="rId28" Type="http://schemas.openxmlformats.org/officeDocument/2006/relationships/hyperlink" Target="https://contas.tcu.gov.br/sagas/SvlVisualizarRelVotoAcRtf?codFiltro=SAGAS-SESSAO-ENCERRADA&amp;seOcultaPagina=S&amp;item0=600631" TargetMode="External"/><Relationship Id="rId36" Type="http://schemas.openxmlformats.org/officeDocument/2006/relationships/fontTable" Target="fontTable.xml"/><Relationship Id="rId10" Type="http://schemas.openxmlformats.org/officeDocument/2006/relationships/hyperlink" Target="http://www1.tce.pr.gov.br/multimidia/2017/9/pdf/00320201.pdf" TargetMode="External"/><Relationship Id="rId19" Type="http://schemas.openxmlformats.org/officeDocument/2006/relationships/hyperlink" Target="https://ww2.stj.jus.br/processo/revista/documento/mediado/?componente=ATC&amp;sequencial=74966764&amp;num_registro=201700511171&amp;data=20170929&amp;tipo=51&amp;formato=PDF" TargetMode="External"/><Relationship Id="rId31" Type="http://schemas.openxmlformats.org/officeDocument/2006/relationships/hyperlink" Target="https://contas.tcu.gov.br/sagas/SvlVisualizarRelVotoAcRtf?codFiltro=SAGAS-SESSAO-ENCERRADA&amp;seOcultaPagina=S&amp;item0=602335" TargetMode="External"/><Relationship Id="rId4" Type="http://schemas.openxmlformats.org/officeDocument/2006/relationships/settings" Target="settings.xml"/><Relationship Id="rId9" Type="http://schemas.openxmlformats.org/officeDocument/2006/relationships/hyperlink" Target="http://www1.tce.pr.gov.br/multimidia/2017/9/pdf/00320226.pdf" TargetMode="External"/><Relationship Id="rId14" Type="http://schemas.openxmlformats.org/officeDocument/2006/relationships/hyperlink" Target="http://www1.tce.pr.gov.br/multimidia/2017/9/pdf/00320377.pdf" TargetMode="External"/><Relationship Id="rId22" Type="http://schemas.openxmlformats.org/officeDocument/2006/relationships/hyperlink" Target="https://contas.tcu.gov.br/sagas/SvlVisualizarRelVotoAcRtf?codFiltro=SAGAS-SESSAO-ENCERRADA&amp;seOcultaPagina=S&amp;item0=597200" TargetMode="External"/><Relationship Id="rId27" Type="http://schemas.openxmlformats.org/officeDocument/2006/relationships/hyperlink" Target="https://contas.tcu.gov.br/sagas/SvlVisualizarRelVotoAcRtf?codFiltro=SAGAS-SESSAO-ENCERRADA&amp;seOcultaPagina=S&amp;item0=601553" TargetMode="External"/><Relationship Id="rId30" Type="http://schemas.openxmlformats.org/officeDocument/2006/relationships/hyperlink" Target="https://www.planalto.gov.br/ccivil_03/constituicao/constituicao.htm"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DA56B-6960-4C6E-BF8F-9C320A9AA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3820</Words>
  <Characters>20630</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4</cp:revision>
  <cp:lastPrinted>2017-07-10T20:46:00Z</cp:lastPrinted>
  <dcterms:created xsi:type="dcterms:W3CDTF">2017-11-07T15:16:00Z</dcterms:created>
  <dcterms:modified xsi:type="dcterms:W3CDTF">2018-12-11T15:02:00Z</dcterms:modified>
</cp:coreProperties>
</file>