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401EE0">
        <w:rPr>
          <w:rFonts w:ascii="Arial" w:hAnsi="Arial" w:cs="Arial"/>
          <w:b/>
          <w:sz w:val="20"/>
          <w:szCs w:val="20"/>
        </w:rPr>
        <w:t>2</w:t>
      </w:r>
      <w:r w:rsidR="006C00D1">
        <w:rPr>
          <w:rFonts w:ascii="Arial" w:hAnsi="Arial" w:cs="Arial"/>
          <w:b/>
          <w:sz w:val="20"/>
          <w:szCs w:val="20"/>
        </w:rPr>
        <w:t>7</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Sessões: </w:t>
      </w:r>
      <w:r w:rsidR="006C00D1">
        <w:rPr>
          <w:rFonts w:ascii="Arial" w:hAnsi="Arial" w:cs="Arial"/>
          <w:b/>
          <w:sz w:val="20"/>
          <w:szCs w:val="20"/>
        </w:rPr>
        <w:t>21</w:t>
      </w:r>
      <w:r w:rsidR="00814325">
        <w:rPr>
          <w:rFonts w:ascii="Arial" w:hAnsi="Arial" w:cs="Arial"/>
          <w:b/>
          <w:sz w:val="20"/>
          <w:szCs w:val="20"/>
        </w:rPr>
        <w:t>.</w:t>
      </w:r>
      <w:r w:rsidR="002B5E9F">
        <w:rPr>
          <w:rFonts w:ascii="Arial" w:hAnsi="Arial" w:cs="Arial"/>
          <w:b/>
          <w:sz w:val="20"/>
          <w:szCs w:val="20"/>
        </w:rPr>
        <w:t>1</w:t>
      </w:r>
      <w:r w:rsidR="006C00D1">
        <w:rPr>
          <w:rFonts w:ascii="Arial" w:hAnsi="Arial" w:cs="Arial"/>
          <w:b/>
          <w:sz w:val="20"/>
          <w:szCs w:val="20"/>
        </w:rPr>
        <w:t>1</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2B5E9F">
        <w:rPr>
          <w:rFonts w:ascii="Arial" w:hAnsi="Arial" w:cs="Arial"/>
          <w:b/>
          <w:sz w:val="20"/>
          <w:szCs w:val="20"/>
        </w:rPr>
        <w:t>3</w:t>
      </w:r>
      <w:r w:rsidR="006C00D1">
        <w:rPr>
          <w:rFonts w:ascii="Arial" w:hAnsi="Arial" w:cs="Arial"/>
          <w:b/>
          <w:sz w:val="20"/>
          <w:szCs w:val="20"/>
        </w:rPr>
        <w:t>0</w:t>
      </w:r>
      <w:r w:rsidR="005A0FD0" w:rsidRPr="0022060B">
        <w:rPr>
          <w:rFonts w:ascii="Arial" w:hAnsi="Arial" w:cs="Arial"/>
          <w:b/>
          <w:sz w:val="20"/>
          <w:szCs w:val="20"/>
        </w:rPr>
        <w:t>.</w:t>
      </w:r>
      <w:r w:rsidR="002B5E9F">
        <w:rPr>
          <w:rFonts w:ascii="Arial" w:hAnsi="Arial" w:cs="Arial"/>
          <w:b/>
          <w:sz w:val="20"/>
          <w:szCs w:val="20"/>
        </w:rPr>
        <w:t>1</w:t>
      </w:r>
      <w:r w:rsidR="006C00D1">
        <w:rPr>
          <w:rFonts w:ascii="Arial" w:hAnsi="Arial" w:cs="Arial"/>
          <w:b/>
          <w:sz w:val="20"/>
          <w:szCs w:val="20"/>
        </w:rPr>
        <w:t>1</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5925A9" w:rsidRDefault="005925A9" w:rsidP="005925A9">
      <w:pPr>
        <w:autoSpaceDE w:val="0"/>
        <w:autoSpaceDN w:val="0"/>
        <w:adjustRightInd w:val="0"/>
        <w:spacing w:after="0" w:line="240" w:lineRule="auto"/>
        <w:jc w:val="both"/>
        <w:rPr>
          <w:rFonts w:ascii="Arial" w:hAnsi="Arial" w:cs="Arial"/>
          <w:b/>
          <w:sz w:val="20"/>
          <w:szCs w:val="20"/>
        </w:rPr>
      </w:pPr>
    </w:p>
    <w:p w:rsidR="005925A9" w:rsidRPr="003C155A" w:rsidRDefault="005925A9" w:rsidP="00E55CDD">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 </w:t>
      </w:r>
      <w:r w:rsidRPr="003C155A">
        <w:rPr>
          <w:rFonts w:ascii="Arial" w:hAnsi="Arial" w:cs="Arial"/>
          <w:b/>
          <w:sz w:val="20"/>
          <w:szCs w:val="20"/>
        </w:rPr>
        <w:t>Embargos de declaração. Ausência de omissão na decisão atacada. Indicação expressa da relação entre sua conduta e o dano. Desprovimento.</w:t>
      </w:r>
    </w:p>
    <w:p w:rsidR="004429A2" w:rsidRDefault="004429A2" w:rsidP="00E55CDD">
      <w:pPr>
        <w:spacing w:after="0"/>
        <w:jc w:val="both"/>
        <w:rPr>
          <w:rStyle w:val="Hyperlink"/>
          <w:rFonts w:ascii="Arial" w:hAnsi="Arial" w:cs="Arial"/>
          <w:b/>
          <w:color w:val="000000" w:themeColor="text1"/>
          <w:sz w:val="20"/>
          <w:szCs w:val="20"/>
          <w:u w:val="none"/>
        </w:rPr>
      </w:pPr>
    </w:p>
    <w:p w:rsidR="00713AF0" w:rsidRDefault="00713AF0" w:rsidP="00E55CDD">
      <w:pPr>
        <w:autoSpaceDE w:val="0"/>
        <w:autoSpaceDN w:val="0"/>
        <w:adjustRightInd w:val="0"/>
        <w:spacing w:after="0"/>
        <w:jc w:val="both"/>
        <w:rPr>
          <w:rFonts w:ascii="Arial" w:hAnsi="Arial" w:cs="Arial"/>
          <w:b/>
          <w:sz w:val="20"/>
          <w:szCs w:val="20"/>
        </w:rPr>
      </w:pPr>
      <w:r>
        <w:rPr>
          <w:rFonts w:ascii="Arial" w:hAnsi="Arial" w:cs="Arial"/>
          <w:b/>
          <w:sz w:val="20"/>
          <w:szCs w:val="20"/>
        </w:rPr>
        <w:t xml:space="preserve">2. </w:t>
      </w:r>
      <w:r w:rsidRPr="00D15517">
        <w:rPr>
          <w:rFonts w:ascii="Arial" w:hAnsi="Arial" w:cs="Arial"/>
          <w:b/>
          <w:sz w:val="20"/>
          <w:szCs w:val="20"/>
        </w:rPr>
        <w:t xml:space="preserve">Tomada de Contas Extraordinária. </w:t>
      </w:r>
      <w:r>
        <w:rPr>
          <w:rFonts w:ascii="Arial" w:hAnsi="Arial" w:cs="Arial"/>
          <w:b/>
          <w:sz w:val="20"/>
          <w:szCs w:val="20"/>
        </w:rPr>
        <w:t xml:space="preserve">Contratos de Serviços de Informática. Pareceres Jurídicos. </w:t>
      </w:r>
      <w:r w:rsidRPr="00D15517">
        <w:rPr>
          <w:rFonts w:ascii="Arial" w:hAnsi="Arial" w:cs="Arial"/>
          <w:b/>
          <w:sz w:val="20"/>
          <w:szCs w:val="20"/>
        </w:rPr>
        <w:t>Contraditório improcedente. Imposição de multas e inabilitação para o exercício de cargo público e de contratação com a administração pública.</w:t>
      </w:r>
    </w:p>
    <w:p w:rsidR="00713AF0" w:rsidRDefault="00713AF0" w:rsidP="00E55CDD">
      <w:pPr>
        <w:spacing w:after="0"/>
        <w:jc w:val="both"/>
        <w:rPr>
          <w:rStyle w:val="Hyperlink"/>
          <w:rFonts w:ascii="Arial" w:hAnsi="Arial" w:cs="Arial"/>
          <w:b/>
          <w:color w:val="000000" w:themeColor="text1"/>
          <w:sz w:val="20"/>
          <w:szCs w:val="20"/>
          <w:u w:val="none"/>
        </w:rPr>
      </w:pPr>
    </w:p>
    <w:p w:rsidR="00893260" w:rsidRDefault="00893260" w:rsidP="00E55CDD">
      <w:pPr>
        <w:spacing w:after="0"/>
        <w:jc w:val="both"/>
        <w:rPr>
          <w:rFonts w:ascii="Arial" w:hAnsi="Arial" w:cs="Arial"/>
          <w:b/>
          <w:sz w:val="20"/>
          <w:szCs w:val="20"/>
        </w:rPr>
      </w:pPr>
      <w:r>
        <w:rPr>
          <w:rFonts w:ascii="Arial" w:hAnsi="Arial" w:cs="Arial"/>
          <w:b/>
          <w:sz w:val="20"/>
          <w:szCs w:val="20"/>
        </w:rPr>
        <w:t xml:space="preserve">3. </w:t>
      </w:r>
      <w:r w:rsidRPr="00851566">
        <w:rPr>
          <w:rFonts w:ascii="Arial" w:hAnsi="Arial" w:cs="Arial"/>
          <w:b/>
          <w:sz w:val="20"/>
          <w:szCs w:val="20"/>
        </w:rPr>
        <w:t xml:space="preserve">Ato de Inativação.  Ausência de parecer do órgão previdenciário. Inteligência da IN 98/14, que poderá ser complementada segundo juízo de conveniência e oportunidade da Administração da Corte.  Pelo registro. </w:t>
      </w:r>
    </w:p>
    <w:p w:rsidR="00893260" w:rsidRDefault="00893260" w:rsidP="00E55CDD">
      <w:pPr>
        <w:spacing w:after="0"/>
        <w:jc w:val="both"/>
        <w:rPr>
          <w:rStyle w:val="Hyperlink"/>
          <w:rFonts w:ascii="Arial" w:hAnsi="Arial" w:cs="Arial"/>
          <w:b/>
          <w:color w:val="000000" w:themeColor="text1"/>
          <w:sz w:val="20"/>
          <w:szCs w:val="20"/>
          <w:u w:val="none"/>
        </w:rPr>
      </w:pPr>
    </w:p>
    <w:p w:rsidR="00242356" w:rsidRDefault="00242356" w:rsidP="00E55CDD">
      <w:pPr>
        <w:spacing w:after="0"/>
        <w:jc w:val="both"/>
        <w:rPr>
          <w:rFonts w:ascii="Arial" w:hAnsi="Arial" w:cs="Arial"/>
          <w:b/>
          <w:sz w:val="20"/>
          <w:szCs w:val="20"/>
        </w:rPr>
      </w:pPr>
      <w:r>
        <w:rPr>
          <w:rFonts w:ascii="Arial" w:hAnsi="Arial" w:cs="Arial"/>
          <w:b/>
          <w:sz w:val="20"/>
          <w:szCs w:val="20"/>
        </w:rPr>
        <w:t xml:space="preserve">4. </w:t>
      </w:r>
      <w:r w:rsidRPr="00393B40">
        <w:rPr>
          <w:rFonts w:ascii="Arial" w:hAnsi="Arial" w:cs="Arial"/>
          <w:b/>
          <w:sz w:val="20"/>
          <w:szCs w:val="20"/>
        </w:rPr>
        <w:t>Tomada de Contas Extraordinária. Prescrição afastada. Não condenação em ressarcimento de valores. Aplicação de multas, inabilitação para o exercício de cargo comissionado e proibição de contratar com a Administração Pública. Procedência.</w:t>
      </w:r>
    </w:p>
    <w:p w:rsidR="00242356" w:rsidRDefault="00242356" w:rsidP="00E55CDD">
      <w:pPr>
        <w:spacing w:after="0"/>
        <w:jc w:val="both"/>
        <w:rPr>
          <w:rStyle w:val="Hyperlink"/>
          <w:rFonts w:ascii="Arial" w:hAnsi="Arial" w:cs="Arial"/>
          <w:b/>
          <w:color w:val="000000" w:themeColor="text1"/>
          <w:sz w:val="20"/>
          <w:szCs w:val="20"/>
          <w:u w:val="none"/>
        </w:rPr>
      </w:pPr>
    </w:p>
    <w:p w:rsidR="00047105" w:rsidRPr="007233D5" w:rsidRDefault="00047105" w:rsidP="00E55CDD">
      <w:pPr>
        <w:autoSpaceDE w:val="0"/>
        <w:autoSpaceDN w:val="0"/>
        <w:adjustRightInd w:val="0"/>
        <w:spacing w:after="0"/>
        <w:jc w:val="both"/>
        <w:rPr>
          <w:rFonts w:ascii="Arial" w:hAnsi="Arial" w:cs="Arial"/>
          <w:b/>
          <w:bCs/>
          <w:sz w:val="20"/>
          <w:szCs w:val="20"/>
        </w:rPr>
      </w:pPr>
      <w:r>
        <w:rPr>
          <w:rFonts w:ascii="Arial" w:hAnsi="Arial" w:cs="Arial"/>
          <w:b/>
          <w:sz w:val="20"/>
          <w:szCs w:val="20"/>
        </w:rPr>
        <w:t xml:space="preserve">5. </w:t>
      </w:r>
      <w:r w:rsidRPr="007233D5">
        <w:rPr>
          <w:rFonts w:ascii="Arial" w:hAnsi="Arial" w:cs="Arial"/>
          <w:b/>
          <w:sz w:val="20"/>
          <w:szCs w:val="20"/>
        </w:rPr>
        <w:t>Tomada de Contas Especial. Cooperativa de Catadores de Recicláveis e Serviço de Produção. Dano apurado inferior ao Valor de Alçada definido pela Resolução 60/2017. E</w:t>
      </w:r>
      <w:r w:rsidRPr="007233D5">
        <w:rPr>
          <w:rFonts w:ascii="Arial" w:hAnsi="Arial" w:cs="Arial"/>
          <w:b/>
          <w:bCs/>
          <w:sz w:val="20"/>
          <w:szCs w:val="20"/>
        </w:rPr>
        <w:t>ncerramento do processo, com base no Art. 398, § 2º do Regimento Interno deste Tribunal.</w:t>
      </w:r>
    </w:p>
    <w:p w:rsidR="006E12D5" w:rsidRDefault="006E12D5" w:rsidP="00E55CDD">
      <w:pPr>
        <w:spacing w:after="0"/>
        <w:jc w:val="both"/>
        <w:rPr>
          <w:rStyle w:val="Hyperlink"/>
          <w:rFonts w:ascii="Arial" w:hAnsi="Arial" w:cs="Arial"/>
          <w:b/>
          <w:color w:val="000000" w:themeColor="text1"/>
          <w:sz w:val="20"/>
          <w:szCs w:val="20"/>
          <w:u w:val="none"/>
        </w:rPr>
      </w:pPr>
    </w:p>
    <w:p w:rsidR="00547461" w:rsidRDefault="00547461" w:rsidP="00E55CDD">
      <w:pPr>
        <w:autoSpaceDE w:val="0"/>
        <w:autoSpaceDN w:val="0"/>
        <w:adjustRightInd w:val="0"/>
        <w:spacing w:after="0"/>
        <w:jc w:val="both"/>
        <w:rPr>
          <w:rFonts w:ascii="Arial" w:hAnsi="Arial" w:cs="Arial"/>
          <w:b/>
          <w:sz w:val="20"/>
        </w:rPr>
      </w:pPr>
      <w:r>
        <w:rPr>
          <w:rFonts w:ascii="Arial" w:hAnsi="Arial" w:cs="Arial"/>
          <w:b/>
          <w:sz w:val="20"/>
        </w:rPr>
        <w:t xml:space="preserve">6. </w:t>
      </w:r>
      <w:r w:rsidRPr="007C6D37">
        <w:rPr>
          <w:rFonts w:ascii="Arial" w:hAnsi="Arial" w:cs="Arial"/>
          <w:b/>
          <w:sz w:val="20"/>
        </w:rPr>
        <w:t xml:space="preserve">Representação da Lei Nº 8.666/1993. Licitação. Adjudicação em lotes. Economicidade. Fornecimento de pneus. </w:t>
      </w:r>
    </w:p>
    <w:p w:rsidR="00547461" w:rsidRDefault="00547461" w:rsidP="00E55CDD">
      <w:pPr>
        <w:spacing w:after="0"/>
        <w:jc w:val="both"/>
        <w:rPr>
          <w:rStyle w:val="Hyperlink"/>
          <w:rFonts w:ascii="Arial" w:hAnsi="Arial" w:cs="Arial"/>
          <w:b/>
          <w:color w:val="000000" w:themeColor="text1"/>
          <w:sz w:val="20"/>
          <w:szCs w:val="20"/>
          <w:u w:val="none"/>
        </w:rPr>
      </w:pPr>
    </w:p>
    <w:p w:rsidR="00547461" w:rsidRDefault="00547461" w:rsidP="00E55CDD">
      <w:pPr>
        <w:autoSpaceDE w:val="0"/>
        <w:autoSpaceDN w:val="0"/>
        <w:adjustRightInd w:val="0"/>
        <w:spacing w:after="0"/>
        <w:jc w:val="both"/>
        <w:rPr>
          <w:rFonts w:ascii="Arial" w:hAnsi="Arial" w:cs="Arial"/>
          <w:b/>
          <w:sz w:val="20"/>
        </w:rPr>
      </w:pPr>
      <w:r>
        <w:rPr>
          <w:rFonts w:ascii="Arial" w:hAnsi="Arial" w:cs="Arial"/>
          <w:b/>
          <w:sz w:val="20"/>
        </w:rPr>
        <w:t xml:space="preserve">7. </w:t>
      </w:r>
      <w:r w:rsidRPr="002B05C8">
        <w:rPr>
          <w:rFonts w:ascii="Arial" w:hAnsi="Arial" w:cs="Arial"/>
          <w:b/>
          <w:sz w:val="20"/>
        </w:rPr>
        <w:t xml:space="preserve">Representação da Lei Nº 8.666/1993. Licitação. Impedimentos. Quadro societário. Fraude. </w:t>
      </w:r>
    </w:p>
    <w:p w:rsidR="00547461" w:rsidRDefault="00547461" w:rsidP="00E55CDD">
      <w:pPr>
        <w:autoSpaceDE w:val="0"/>
        <w:autoSpaceDN w:val="0"/>
        <w:adjustRightInd w:val="0"/>
        <w:spacing w:after="0"/>
        <w:jc w:val="both"/>
        <w:rPr>
          <w:rFonts w:ascii="Arial" w:hAnsi="Arial" w:cs="Arial"/>
          <w:b/>
          <w:sz w:val="20"/>
        </w:rPr>
      </w:pPr>
      <w:r>
        <w:rPr>
          <w:rFonts w:ascii="Arial" w:hAnsi="Arial" w:cs="Arial"/>
          <w:b/>
          <w:sz w:val="20"/>
        </w:rPr>
        <w:lastRenderedPageBreak/>
        <w:t xml:space="preserve">8. </w:t>
      </w:r>
      <w:r w:rsidRPr="003929C3">
        <w:rPr>
          <w:rFonts w:ascii="Arial" w:hAnsi="Arial" w:cs="Arial"/>
          <w:b/>
          <w:sz w:val="20"/>
        </w:rPr>
        <w:t xml:space="preserve">Representação da Lei Nº 8.666/1993. Licitação. Exigência de Balanço Patrimonial. Microempresas ou empresa de pequeno porte. </w:t>
      </w:r>
    </w:p>
    <w:p w:rsidR="00327046" w:rsidRDefault="00327046" w:rsidP="00E55CDD">
      <w:pPr>
        <w:autoSpaceDE w:val="0"/>
        <w:autoSpaceDN w:val="0"/>
        <w:adjustRightInd w:val="0"/>
        <w:spacing w:after="0"/>
        <w:jc w:val="both"/>
        <w:rPr>
          <w:rFonts w:ascii="Arial" w:hAnsi="Arial" w:cs="Arial"/>
          <w:b/>
          <w:sz w:val="20"/>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Pr="00B225AE" w:rsidRDefault="005F7E35" w:rsidP="00816942">
      <w:pPr>
        <w:autoSpaceDE w:val="0"/>
        <w:autoSpaceDN w:val="0"/>
        <w:adjustRightInd w:val="0"/>
        <w:spacing w:after="0"/>
        <w:jc w:val="both"/>
        <w:rPr>
          <w:rFonts w:ascii="Arial" w:hAnsi="Arial" w:cs="Arial"/>
          <w:sz w:val="20"/>
          <w:szCs w:val="20"/>
        </w:rPr>
      </w:pPr>
    </w:p>
    <w:p w:rsidR="004429A2" w:rsidRPr="003C155A" w:rsidRDefault="005925A9" w:rsidP="00B225AE">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1. </w:t>
      </w:r>
      <w:r w:rsidR="00B225AE" w:rsidRPr="003C155A">
        <w:rPr>
          <w:rFonts w:ascii="Arial" w:hAnsi="Arial" w:cs="Arial"/>
          <w:b/>
          <w:sz w:val="20"/>
          <w:szCs w:val="20"/>
        </w:rPr>
        <w:t>Embargos de declaração. Ausência de omissão na decisão atacada. Indicação expressa da relação entre</w:t>
      </w:r>
      <w:r w:rsidR="003C155A" w:rsidRPr="003C155A">
        <w:rPr>
          <w:rFonts w:ascii="Arial" w:hAnsi="Arial" w:cs="Arial"/>
          <w:b/>
          <w:sz w:val="20"/>
          <w:szCs w:val="20"/>
        </w:rPr>
        <w:t xml:space="preserve"> </w:t>
      </w:r>
      <w:r w:rsidR="00B225AE" w:rsidRPr="003C155A">
        <w:rPr>
          <w:rFonts w:ascii="Arial" w:hAnsi="Arial" w:cs="Arial"/>
          <w:b/>
          <w:sz w:val="20"/>
          <w:szCs w:val="20"/>
        </w:rPr>
        <w:t>sua conduta e o dano</w:t>
      </w:r>
      <w:r w:rsidR="003C155A" w:rsidRPr="003C155A">
        <w:rPr>
          <w:rFonts w:ascii="Arial" w:hAnsi="Arial" w:cs="Arial"/>
          <w:b/>
          <w:sz w:val="20"/>
          <w:szCs w:val="20"/>
        </w:rPr>
        <w:t>.</w:t>
      </w:r>
      <w:r w:rsidR="00B225AE" w:rsidRPr="003C155A">
        <w:rPr>
          <w:rFonts w:ascii="Arial" w:hAnsi="Arial" w:cs="Arial"/>
          <w:b/>
          <w:sz w:val="20"/>
          <w:szCs w:val="20"/>
        </w:rPr>
        <w:t xml:space="preserve"> Desprovimento</w:t>
      </w:r>
      <w:r w:rsidR="003C155A" w:rsidRPr="003C155A">
        <w:rPr>
          <w:rFonts w:ascii="Arial" w:hAnsi="Arial" w:cs="Arial"/>
          <w:b/>
          <w:sz w:val="20"/>
          <w:szCs w:val="20"/>
        </w:rPr>
        <w:t>.</w:t>
      </w:r>
    </w:p>
    <w:p w:rsidR="004429A2" w:rsidRDefault="004429A2" w:rsidP="00B225AE">
      <w:pPr>
        <w:autoSpaceDE w:val="0"/>
        <w:autoSpaceDN w:val="0"/>
        <w:adjustRightInd w:val="0"/>
        <w:spacing w:after="0"/>
        <w:jc w:val="both"/>
        <w:rPr>
          <w:rFonts w:ascii="Arial" w:hAnsi="Arial" w:cs="Arial"/>
          <w:sz w:val="20"/>
          <w:szCs w:val="20"/>
        </w:rPr>
      </w:pPr>
    </w:p>
    <w:p w:rsidR="004914EC" w:rsidRDefault="003509EA" w:rsidP="003509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w:t>
      </w:r>
      <w:r w:rsidR="004914EC" w:rsidRPr="004914EC">
        <w:rPr>
          <w:rFonts w:ascii="Arial" w:hAnsi="Arial" w:cs="Arial"/>
          <w:sz w:val="20"/>
          <w:szCs w:val="20"/>
        </w:rPr>
        <w:t>ão logrou nem perfunctoriamente o Embargante</w:t>
      </w:r>
      <w:r>
        <w:rPr>
          <w:rFonts w:ascii="Arial" w:hAnsi="Arial" w:cs="Arial"/>
          <w:sz w:val="20"/>
          <w:szCs w:val="20"/>
        </w:rPr>
        <w:t xml:space="preserve"> d</w:t>
      </w:r>
      <w:r w:rsidR="004914EC" w:rsidRPr="004914EC">
        <w:rPr>
          <w:rFonts w:ascii="Arial" w:hAnsi="Arial" w:cs="Arial"/>
          <w:sz w:val="20"/>
          <w:szCs w:val="20"/>
        </w:rPr>
        <w:t>emonstrar que a decisão atacada possui mácula referente a ausência de</w:t>
      </w:r>
      <w:r>
        <w:rPr>
          <w:rFonts w:ascii="Arial" w:hAnsi="Arial" w:cs="Arial"/>
          <w:sz w:val="20"/>
          <w:szCs w:val="20"/>
        </w:rPr>
        <w:t xml:space="preserve"> </w:t>
      </w:r>
      <w:r w:rsidR="004914EC" w:rsidRPr="004914EC">
        <w:rPr>
          <w:rFonts w:ascii="Arial" w:hAnsi="Arial" w:cs="Arial"/>
          <w:sz w:val="20"/>
          <w:szCs w:val="20"/>
        </w:rPr>
        <w:t>fundamentação legal que dificulte seu exercício da ampla-defesa.</w:t>
      </w:r>
      <w:r>
        <w:rPr>
          <w:rFonts w:ascii="Arial" w:hAnsi="Arial" w:cs="Arial"/>
          <w:sz w:val="20"/>
          <w:szCs w:val="20"/>
        </w:rPr>
        <w:t xml:space="preserve"> </w:t>
      </w:r>
      <w:r w:rsidR="004914EC" w:rsidRPr="004914EC">
        <w:rPr>
          <w:rFonts w:ascii="Arial" w:hAnsi="Arial" w:cs="Arial"/>
          <w:sz w:val="20"/>
          <w:szCs w:val="20"/>
        </w:rPr>
        <w:t xml:space="preserve">A responsabilização do </w:t>
      </w:r>
      <w:r>
        <w:rPr>
          <w:rFonts w:ascii="Arial" w:hAnsi="Arial" w:cs="Arial"/>
          <w:sz w:val="20"/>
          <w:szCs w:val="20"/>
        </w:rPr>
        <w:t>Embargante é</w:t>
      </w:r>
      <w:r w:rsidR="004914EC" w:rsidRPr="004914EC">
        <w:rPr>
          <w:rFonts w:ascii="Arial" w:hAnsi="Arial" w:cs="Arial"/>
          <w:sz w:val="20"/>
          <w:szCs w:val="20"/>
        </w:rPr>
        <w:t xml:space="preserve"> decorrência direta de</w:t>
      </w:r>
      <w:r>
        <w:rPr>
          <w:rFonts w:ascii="Arial" w:hAnsi="Arial" w:cs="Arial"/>
          <w:sz w:val="20"/>
          <w:szCs w:val="20"/>
        </w:rPr>
        <w:t xml:space="preserve"> </w:t>
      </w:r>
      <w:r w:rsidR="004914EC" w:rsidRPr="004914EC">
        <w:rPr>
          <w:rFonts w:ascii="Arial" w:hAnsi="Arial" w:cs="Arial"/>
          <w:sz w:val="20"/>
          <w:szCs w:val="20"/>
        </w:rPr>
        <w:t xml:space="preserve">sua atuação como ordenador das despesas (especificamente, </w:t>
      </w:r>
      <w:r w:rsidR="004914EC" w:rsidRPr="004914EC">
        <w:rPr>
          <w:rFonts w:ascii="Arial" w:hAnsi="Arial" w:cs="Arial"/>
          <w:i/>
          <w:iCs/>
          <w:sz w:val="20"/>
          <w:szCs w:val="20"/>
        </w:rPr>
        <w:t xml:space="preserve">in </w:t>
      </w:r>
      <w:proofErr w:type="spellStart"/>
      <w:r w:rsidR="004914EC" w:rsidRPr="004914EC">
        <w:rPr>
          <w:rFonts w:ascii="Arial" w:hAnsi="Arial" w:cs="Arial"/>
          <w:i/>
          <w:iCs/>
          <w:sz w:val="20"/>
          <w:szCs w:val="20"/>
        </w:rPr>
        <w:t>casu</w:t>
      </w:r>
      <w:proofErr w:type="spellEnd"/>
      <w:r w:rsidR="004914EC" w:rsidRPr="004914EC">
        <w:rPr>
          <w:rFonts w:ascii="Arial" w:hAnsi="Arial" w:cs="Arial"/>
          <w:sz w:val="20"/>
          <w:szCs w:val="20"/>
        </w:rPr>
        <w:t>, às relativas ao</w:t>
      </w:r>
      <w:r>
        <w:rPr>
          <w:rFonts w:ascii="Arial" w:hAnsi="Arial" w:cs="Arial"/>
          <w:sz w:val="20"/>
          <w:szCs w:val="20"/>
        </w:rPr>
        <w:t xml:space="preserve"> </w:t>
      </w:r>
      <w:r w:rsidR="004914EC" w:rsidRPr="004914EC">
        <w:rPr>
          <w:rFonts w:ascii="Arial" w:hAnsi="Arial" w:cs="Arial"/>
          <w:sz w:val="20"/>
          <w:szCs w:val="20"/>
        </w:rPr>
        <w:t>pagamento de juros e multas decorrentes do recolhimento de contribuições</w:t>
      </w:r>
      <w:r>
        <w:rPr>
          <w:rFonts w:ascii="Arial" w:hAnsi="Arial" w:cs="Arial"/>
          <w:sz w:val="20"/>
          <w:szCs w:val="20"/>
        </w:rPr>
        <w:t xml:space="preserve"> </w:t>
      </w:r>
      <w:r w:rsidR="004914EC" w:rsidRPr="004914EC">
        <w:rPr>
          <w:rFonts w:ascii="Arial" w:hAnsi="Arial" w:cs="Arial"/>
          <w:sz w:val="20"/>
          <w:szCs w:val="20"/>
        </w:rPr>
        <w:t>previdenciárias ao INSS com atraso), restando expressamente indicado a relação entre</w:t>
      </w:r>
      <w:r>
        <w:rPr>
          <w:rFonts w:ascii="Arial" w:hAnsi="Arial" w:cs="Arial"/>
          <w:sz w:val="20"/>
          <w:szCs w:val="20"/>
        </w:rPr>
        <w:t xml:space="preserve"> </w:t>
      </w:r>
      <w:r w:rsidR="004914EC" w:rsidRPr="004914EC">
        <w:rPr>
          <w:rFonts w:ascii="Arial" w:hAnsi="Arial" w:cs="Arial"/>
          <w:sz w:val="20"/>
          <w:szCs w:val="20"/>
        </w:rPr>
        <w:t xml:space="preserve">sua conduta e o dano (derivado de culpa </w:t>
      </w:r>
      <w:r w:rsidR="004914EC" w:rsidRPr="004914EC">
        <w:rPr>
          <w:rFonts w:ascii="Arial" w:hAnsi="Arial" w:cs="Arial"/>
          <w:i/>
          <w:iCs/>
          <w:sz w:val="20"/>
          <w:szCs w:val="20"/>
        </w:rPr>
        <w:t>in vigilando</w:t>
      </w:r>
      <w:r w:rsidR="004914EC" w:rsidRPr="004914EC">
        <w:rPr>
          <w:rFonts w:ascii="Arial" w:hAnsi="Arial" w:cs="Arial"/>
          <w:sz w:val="20"/>
          <w:szCs w:val="20"/>
        </w:rPr>
        <w:t>). Ressalte-se que a</w:t>
      </w:r>
      <w:r>
        <w:rPr>
          <w:rFonts w:ascii="Arial" w:hAnsi="Arial" w:cs="Arial"/>
          <w:sz w:val="20"/>
          <w:szCs w:val="20"/>
        </w:rPr>
        <w:t xml:space="preserve"> </w:t>
      </w:r>
      <w:r w:rsidR="004914EC" w:rsidRPr="004914EC">
        <w:rPr>
          <w:rFonts w:ascii="Arial" w:hAnsi="Arial" w:cs="Arial"/>
          <w:sz w:val="20"/>
          <w:szCs w:val="20"/>
        </w:rPr>
        <w:t xml:space="preserve">responsabilização do </w:t>
      </w:r>
      <w:proofErr w:type="spellStart"/>
      <w:r>
        <w:rPr>
          <w:rFonts w:ascii="Arial" w:hAnsi="Arial" w:cs="Arial"/>
          <w:sz w:val="20"/>
          <w:szCs w:val="20"/>
        </w:rPr>
        <w:t>ex-alcaide</w:t>
      </w:r>
      <w:proofErr w:type="spellEnd"/>
      <w:r>
        <w:rPr>
          <w:rFonts w:ascii="Arial" w:hAnsi="Arial" w:cs="Arial"/>
          <w:sz w:val="20"/>
          <w:szCs w:val="20"/>
        </w:rPr>
        <w:t xml:space="preserve"> </w:t>
      </w:r>
      <w:r w:rsidR="004914EC" w:rsidRPr="004914EC">
        <w:rPr>
          <w:rFonts w:ascii="Arial" w:hAnsi="Arial" w:cs="Arial"/>
          <w:sz w:val="20"/>
          <w:szCs w:val="20"/>
        </w:rPr>
        <w:t>poderia ser afastada se tal agente houvesse diligenciado</w:t>
      </w:r>
      <w:r>
        <w:rPr>
          <w:rFonts w:ascii="Arial" w:hAnsi="Arial" w:cs="Arial"/>
          <w:sz w:val="20"/>
          <w:szCs w:val="20"/>
        </w:rPr>
        <w:t xml:space="preserve"> </w:t>
      </w:r>
      <w:r w:rsidR="004914EC" w:rsidRPr="004914EC">
        <w:rPr>
          <w:rFonts w:ascii="Arial" w:hAnsi="Arial" w:cs="Arial"/>
          <w:sz w:val="20"/>
          <w:szCs w:val="20"/>
        </w:rPr>
        <w:t>para apurar quem foram os diretos responsáveis pelo dano (expressamente</w:t>
      </w:r>
      <w:r>
        <w:rPr>
          <w:rFonts w:ascii="Arial" w:hAnsi="Arial" w:cs="Arial"/>
          <w:sz w:val="20"/>
          <w:szCs w:val="20"/>
        </w:rPr>
        <w:t xml:space="preserve"> </w:t>
      </w:r>
      <w:r w:rsidR="004914EC" w:rsidRPr="004914EC">
        <w:rPr>
          <w:rFonts w:ascii="Arial" w:hAnsi="Arial" w:cs="Arial"/>
          <w:sz w:val="20"/>
          <w:szCs w:val="20"/>
        </w:rPr>
        <w:t>ressalvando-se o direito de regresso), porém, nada foi comprovado em tal sentido.</w:t>
      </w:r>
      <w:r>
        <w:rPr>
          <w:rFonts w:ascii="Arial" w:hAnsi="Arial" w:cs="Arial"/>
          <w:sz w:val="20"/>
          <w:szCs w:val="20"/>
        </w:rPr>
        <w:t xml:space="preserve"> Desprovimento</w:t>
      </w:r>
      <w:r w:rsidR="00434BF5">
        <w:rPr>
          <w:rFonts w:ascii="Arial" w:hAnsi="Arial" w:cs="Arial"/>
          <w:sz w:val="20"/>
          <w:szCs w:val="20"/>
        </w:rPr>
        <w:t>.</w:t>
      </w:r>
    </w:p>
    <w:p w:rsidR="003509EA" w:rsidRDefault="003509EA" w:rsidP="003509EA">
      <w:pPr>
        <w:autoSpaceDE w:val="0"/>
        <w:autoSpaceDN w:val="0"/>
        <w:adjustRightInd w:val="0"/>
        <w:spacing w:after="0" w:line="240" w:lineRule="auto"/>
        <w:jc w:val="both"/>
        <w:rPr>
          <w:rFonts w:ascii="Arial" w:hAnsi="Arial" w:cs="Arial"/>
          <w:sz w:val="20"/>
          <w:szCs w:val="20"/>
        </w:rPr>
      </w:pPr>
    </w:p>
    <w:p w:rsidR="003509EA" w:rsidRPr="004914EC" w:rsidRDefault="00BE61AB" w:rsidP="003509E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Processo n° 793459/17 - </w:t>
      </w:r>
      <w:hyperlink r:id="rId8" w:history="1">
        <w:r w:rsidRPr="007770F6">
          <w:rPr>
            <w:rStyle w:val="Hyperlink"/>
            <w:rFonts w:ascii="Arial" w:hAnsi="Arial" w:cs="Arial"/>
            <w:sz w:val="20"/>
            <w:szCs w:val="20"/>
          </w:rPr>
          <w:t>Acórdão n° 4686/17 - Primeira Câmara</w:t>
        </w:r>
      </w:hyperlink>
      <w:r>
        <w:rPr>
          <w:rFonts w:ascii="Arial" w:hAnsi="Arial" w:cs="Arial"/>
          <w:sz w:val="20"/>
          <w:szCs w:val="20"/>
        </w:rPr>
        <w:t xml:space="preserve"> </w:t>
      </w:r>
      <w:r w:rsidR="00434BF5">
        <w:rPr>
          <w:rFonts w:ascii="Arial" w:hAnsi="Arial" w:cs="Arial"/>
          <w:sz w:val="20"/>
          <w:szCs w:val="20"/>
        </w:rPr>
        <w:t>-</w:t>
      </w:r>
      <w:r>
        <w:rPr>
          <w:rFonts w:ascii="Arial" w:hAnsi="Arial" w:cs="Arial"/>
          <w:sz w:val="20"/>
          <w:szCs w:val="20"/>
        </w:rPr>
        <w:t xml:space="preserve"> </w:t>
      </w:r>
      <w:r w:rsidR="00434BF5">
        <w:rPr>
          <w:rFonts w:ascii="Arial" w:hAnsi="Arial" w:cs="Arial"/>
          <w:sz w:val="20"/>
          <w:szCs w:val="20"/>
        </w:rPr>
        <w:t>Rel. Cons. Fernando Augusto Mello Guimarães.</w:t>
      </w:r>
      <w:r>
        <w:rPr>
          <w:rFonts w:ascii="Arial" w:hAnsi="Arial" w:cs="Arial"/>
          <w:sz w:val="20"/>
          <w:szCs w:val="20"/>
        </w:rPr>
        <w:t xml:space="preserve"> </w:t>
      </w:r>
    </w:p>
    <w:p w:rsidR="003C155A" w:rsidRDefault="003C155A" w:rsidP="00B225AE">
      <w:pPr>
        <w:autoSpaceDE w:val="0"/>
        <w:autoSpaceDN w:val="0"/>
        <w:adjustRightInd w:val="0"/>
        <w:spacing w:after="0"/>
        <w:jc w:val="both"/>
        <w:rPr>
          <w:rFonts w:ascii="Arial" w:hAnsi="Arial" w:cs="Arial"/>
          <w:sz w:val="20"/>
          <w:szCs w:val="20"/>
        </w:rPr>
      </w:pPr>
    </w:p>
    <w:p w:rsidR="000B2620" w:rsidRDefault="005925A9" w:rsidP="000B2620">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2. </w:t>
      </w:r>
      <w:r w:rsidR="000B2620" w:rsidRPr="00D15517">
        <w:rPr>
          <w:rFonts w:ascii="Arial" w:hAnsi="Arial" w:cs="Arial"/>
          <w:b/>
          <w:sz w:val="20"/>
          <w:szCs w:val="20"/>
        </w:rPr>
        <w:t xml:space="preserve">Tomada de Contas Extraordinária. </w:t>
      </w:r>
      <w:r w:rsidR="00D60596">
        <w:rPr>
          <w:rFonts w:ascii="Arial" w:hAnsi="Arial" w:cs="Arial"/>
          <w:b/>
          <w:sz w:val="20"/>
          <w:szCs w:val="20"/>
        </w:rPr>
        <w:t xml:space="preserve">Contratos de Serviços de Informática. </w:t>
      </w:r>
      <w:r w:rsidR="004807BD">
        <w:rPr>
          <w:rFonts w:ascii="Arial" w:hAnsi="Arial" w:cs="Arial"/>
          <w:b/>
          <w:sz w:val="20"/>
          <w:szCs w:val="20"/>
        </w:rPr>
        <w:t xml:space="preserve">Pareceres Jurídicos. </w:t>
      </w:r>
      <w:r w:rsidR="000B2620" w:rsidRPr="00D15517">
        <w:rPr>
          <w:rFonts w:ascii="Arial" w:hAnsi="Arial" w:cs="Arial"/>
          <w:b/>
          <w:sz w:val="20"/>
          <w:szCs w:val="20"/>
        </w:rPr>
        <w:t>Contraditório improcedente. Imposição de multas e inabilitação para o exercício de cargo público e de contratação com a administração pública.</w:t>
      </w:r>
    </w:p>
    <w:p w:rsidR="00D15517" w:rsidRDefault="00D15517" w:rsidP="000B2620">
      <w:pPr>
        <w:autoSpaceDE w:val="0"/>
        <w:autoSpaceDN w:val="0"/>
        <w:adjustRightInd w:val="0"/>
        <w:spacing w:after="0" w:line="240" w:lineRule="auto"/>
        <w:jc w:val="both"/>
        <w:rPr>
          <w:rFonts w:ascii="Arial" w:hAnsi="Arial" w:cs="Arial"/>
          <w:b/>
          <w:sz w:val="20"/>
          <w:szCs w:val="20"/>
        </w:rPr>
      </w:pPr>
    </w:p>
    <w:p w:rsidR="00412566" w:rsidRDefault="004807BD" w:rsidP="00412566">
      <w:pPr>
        <w:autoSpaceDE w:val="0"/>
        <w:autoSpaceDN w:val="0"/>
        <w:adjustRightInd w:val="0"/>
        <w:spacing w:after="0" w:line="240" w:lineRule="auto"/>
        <w:jc w:val="both"/>
        <w:rPr>
          <w:rFonts w:ascii="Arial" w:hAnsi="Arial" w:cs="Arial"/>
          <w:i/>
          <w:iCs/>
          <w:sz w:val="20"/>
          <w:szCs w:val="20"/>
        </w:rPr>
      </w:pPr>
      <w:r w:rsidRPr="004807BD">
        <w:rPr>
          <w:rFonts w:ascii="Arial" w:hAnsi="Arial" w:cs="Arial"/>
          <w:sz w:val="20"/>
          <w:szCs w:val="20"/>
        </w:rPr>
        <w:t xml:space="preserve">Quanto ao caráter meramente opinativo dos pareceres, </w:t>
      </w:r>
      <w:r>
        <w:rPr>
          <w:rFonts w:ascii="Arial" w:hAnsi="Arial" w:cs="Arial"/>
          <w:sz w:val="20"/>
          <w:szCs w:val="20"/>
        </w:rPr>
        <w:t xml:space="preserve">valendo-se dos </w:t>
      </w:r>
      <w:r w:rsidRPr="004807BD">
        <w:rPr>
          <w:rFonts w:ascii="Arial" w:hAnsi="Arial" w:cs="Arial"/>
          <w:sz w:val="20"/>
          <w:szCs w:val="20"/>
        </w:rPr>
        <w:t xml:space="preserve">ensinamentos exarados pelo ilustre professor Marçal </w:t>
      </w:r>
      <w:proofErr w:type="spellStart"/>
      <w:r w:rsidRPr="004807BD">
        <w:rPr>
          <w:rFonts w:ascii="Arial" w:hAnsi="Arial" w:cs="Arial"/>
          <w:sz w:val="20"/>
          <w:szCs w:val="20"/>
        </w:rPr>
        <w:t>Justen</w:t>
      </w:r>
      <w:proofErr w:type="spellEnd"/>
      <w:r w:rsidRPr="004807BD">
        <w:rPr>
          <w:rFonts w:ascii="Arial" w:hAnsi="Arial" w:cs="Arial"/>
          <w:sz w:val="20"/>
          <w:szCs w:val="20"/>
        </w:rPr>
        <w:t xml:space="preserve"> Filho, destacados no</w:t>
      </w:r>
      <w:r>
        <w:rPr>
          <w:rFonts w:ascii="Arial" w:hAnsi="Arial" w:cs="Arial"/>
          <w:sz w:val="20"/>
          <w:szCs w:val="20"/>
        </w:rPr>
        <w:t xml:space="preserve"> </w:t>
      </w:r>
      <w:r w:rsidRPr="004807BD">
        <w:rPr>
          <w:rFonts w:ascii="Arial" w:hAnsi="Arial" w:cs="Arial"/>
          <w:sz w:val="20"/>
          <w:szCs w:val="20"/>
        </w:rPr>
        <w:t xml:space="preserve">Parecer </w:t>
      </w:r>
      <w:r>
        <w:rPr>
          <w:rFonts w:ascii="Arial" w:hAnsi="Arial" w:cs="Arial"/>
          <w:sz w:val="20"/>
          <w:szCs w:val="20"/>
        </w:rPr>
        <w:t>Ministerial</w:t>
      </w:r>
      <w:r w:rsidR="00412566">
        <w:rPr>
          <w:rFonts w:ascii="Arial" w:hAnsi="Arial" w:cs="Arial"/>
          <w:sz w:val="20"/>
          <w:szCs w:val="20"/>
        </w:rPr>
        <w:t>, adotou-os como razão de decidir expressando que</w:t>
      </w:r>
      <w:r w:rsidR="00412566" w:rsidRPr="00412566">
        <w:rPr>
          <w:rFonts w:ascii="Arial" w:hAnsi="Arial" w:cs="Arial"/>
          <w:sz w:val="20"/>
          <w:szCs w:val="20"/>
        </w:rPr>
        <w:t xml:space="preserve"> </w:t>
      </w:r>
      <w:r w:rsidR="00412566">
        <w:rPr>
          <w:rFonts w:ascii="Arial" w:hAnsi="Arial" w:cs="Arial"/>
          <w:sz w:val="20"/>
          <w:szCs w:val="20"/>
        </w:rPr>
        <w:t>“</w:t>
      </w:r>
      <w:r w:rsidR="005E4547">
        <w:rPr>
          <w:rFonts w:ascii="Arial" w:hAnsi="Arial" w:cs="Arial"/>
          <w:i/>
          <w:iCs/>
          <w:sz w:val="20"/>
          <w:szCs w:val="20"/>
        </w:rPr>
        <w:t>a</w:t>
      </w:r>
      <w:r w:rsidR="00412566" w:rsidRPr="00412566">
        <w:rPr>
          <w:rFonts w:ascii="Arial" w:hAnsi="Arial" w:cs="Arial"/>
          <w:i/>
          <w:iCs/>
          <w:sz w:val="20"/>
          <w:szCs w:val="20"/>
        </w:rPr>
        <w:t>o examinar e aprovar os atos de licitação, a</w:t>
      </w:r>
      <w:r w:rsidR="00412566">
        <w:rPr>
          <w:rFonts w:ascii="Arial" w:hAnsi="Arial" w:cs="Arial"/>
          <w:i/>
          <w:iCs/>
          <w:sz w:val="20"/>
          <w:szCs w:val="20"/>
        </w:rPr>
        <w:t xml:space="preserve"> </w:t>
      </w:r>
      <w:r w:rsidR="00412566" w:rsidRPr="00412566">
        <w:rPr>
          <w:rFonts w:ascii="Arial" w:hAnsi="Arial" w:cs="Arial"/>
          <w:i/>
          <w:iCs/>
          <w:sz w:val="20"/>
          <w:szCs w:val="20"/>
        </w:rPr>
        <w:t>assessoria jurídica assume responsabilidade</w:t>
      </w:r>
      <w:r w:rsidR="00412566">
        <w:rPr>
          <w:rFonts w:ascii="Arial" w:hAnsi="Arial" w:cs="Arial"/>
          <w:i/>
          <w:iCs/>
          <w:sz w:val="20"/>
          <w:szCs w:val="20"/>
        </w:rPr>
        <w:t xml:space="preserve"> </w:t>
      </w:r>
      <w:r w:rsidR="00412566" w:rsidRPr="00412566">
        <w:rPr>
          <w:rFonts w:ascii="Arial" w:hAnsi="Arial" w:cs="Arial"/>
          <w:i/>
          <w:iCs/>
          <w:sz w:val="20"/>
          <w:szCs w:val="20"/>
        </w:rPr>
        <w:t>pessoal e solidária pelo que foi praticado. Ou seja,</w:t>
      </w:r>
      <w:r w:rsidR="00412566">
        <w:rPr>
          <w:rFonts w:ascii="Arial" w:hAnsi="Arial" w:cs="Arial"/>
          <w:i/>
          <w:iCs/>
          <w:sz w:val="20"/>
          <w:szCs w:val="20"/>
        </w:rPr>
        <w:t xml:space="preserve"> </w:t>
      </w:r>
      <w:r w:rsidR="00412566" w:rsidRPr="00412566">
        <w:rPr>
          <w:rFonts w:ascii="Arial" w:hAnsi="Arial" w:cs="Arial"/>
          <w:i/>
          <w:iCs/>
          <w:sz w:val="20"/>
          <w:szCs w:val="20"/>
        </w:rPr>
        <w:t>a manifestação acerca da validade do edital e dos</w:t>
      </w:r>
      <w:r w:rsidR="00412566">
        <w:rPr>
          <w:rFonts w:ascii="Arial" w:hAnsi="Arial" w:cs="Arial"/>
          <w:i/>
          <w:iCs/>
          <w:sz w:val="20"/>
          <w:szCs w:val="20"/>
        </w:rPr>
        <w:t xml:space="preserve"> </w:t>
      </w:r>
      <w:r w:rsidR="00412566" w:rsidRPr="00412566">
        <w:rPr>
          <w:rFonts w:ascii="Arial" w:hAnsi="Arial" w:cs="Arial"/>
          <w:i/>
          <w:iCs/>
          <w:sz w:val="20"/>
          <w:szCs w:val="20"/>
        </w:rPr>
        <w:t>instrumentos de contratação associa o emitente do</w:t>
      </w:r>
      <w:r w:rsidR="00412566">
        <w:rPr>
          <w:rFonts w:ascii="Arial" w:hAnsi="Arial" w:cs="Arial"/>
          <w:i/>
          <w:iCs/>
          <w:sz w:val="20"/>
          <w:szCs w:val="20"/>
        </w:rPr>
        <w:t xml:space="preserve"> </w:t>
      </w:r>
      <w:r w:rsidR="00412566" w:rsidRPr="00412566">
        <w:rPr>
          <w:rFonts w:ascii="Arial" w:hAnsi="Arial" w:cs="Arial"/>
          <w:i/>
          <w:iCs/>
          <w:sz w:val="20"/>
          <w:szCs w:val="20"/>
        </w:rPr>
        <w:t>parecer ao autor dos atos. Há dever de ofício de</w:t>
      </w:r>
      <w:r w:rsidR="00412566">
        <w:rPr>
          <w:rFonts w:ascii="Arial" w:hAnsi="Arial" w:cs="Arial"/>
          <w:i/>
          <w:iCs/>
          <w:sz w:val="20"/>
          <w:szCs w:val="20"/>
        </w:rPr>
        <w:t xml:space="preserve"> </w:t>
      </w:r>
      <w:r w:rsidR="00412566" w:rsidRPr="00412566">
        <w:rPr>
          <w:rFonts w:ascii="Arial" w:hAnsi="Arial" w:cs="Arial"/>
          <w:i/>
          <w:iCs/>
          <w:sz w:val="20"/>
          <w:szCs w:val="20"/>
        </w:rPr>
        <w:t>manifestar-se pela invalidade, quando os atos</w:t>
      </w:r>
      <w:r w:rsidR="00412566">
        <w:rPr>
          <w:rFonts w:ascii="Arial" w:hAnsi="Arial" w:cs="Arial"/>
          <w:i/>
          <w:iCs/>
          <w:sz w:val="20"/>
          <w:szCs w:val="20"/>
        </w:rPr>
        <w:t xml:space="preserve"> </w:t>
      </w:r>
      <w:r w:rsidR="00412566" w:rsidRPr="00412566">
        <w:rPr>
          <w:rFonts w:ascii="Arial" w:hAnsi="Arial" w:cs="Arial"/>
          <w:i/>
          <w:iCs/>
          <w:sz w:val="20"/>
          <w:szCs w:val="20"/>
        </w:rPr>
        <w:t>contenham defeitos. Não é possível os integrantes</w:t>
      </w:r>
      <w:r w:rsidR="00412566">
        <w:rPr>
          <w:rFonts w:ascii="Arial" w:hAnsi="Arial" w:cs="Arial"/>
          <w:i/>
          <w:iCs/>
          <w:sz w:val="20"/>
          <w:szCs w:val="20"/>
        </w:rPr>
        <w:t xml:space="preserve"> </w:t>
      </w:r>
      <w:r w:rsidR="00412566" w:rsidRPr="00412566">
        <w:rPr>
          <w:rFonts w:ascii="Arial" w:hAnsi="Arial" w:cs="Arial"/>
          <w:i/>
          <w:iCs/>
          <w:sz w:val="20"/>
          <w:szCs w:val="20"/>
        </w:rPr>
        <w:t>da assessoria jurídica pretenderem escapar aos</w:t>
      </w:r>
      <w:r w:rsidR="00412566">
        <w:rPr>
          <w:rFonts w:ascii="Arial" w:hAnsi="Arial" w:cs="Arial"/>
          <w:i/>
          <w:iCs/>
          <w:sz w:val="20"/>
          <w:szCs w:val="20"/>
        </w:rPr>
        <w:t xml:space="preserve"> </w:t>
      </w:r>
      <w:r w:rsidR="00412566" w:rsidRPr="00412566">
        <w:rPr>
          <w:rFonts w:ascii="Arial" w:hAnsi="Arial" w:cs="Arial"/>
          <w:i/>
          <w:iCs/>
          <w:sz w:val="20"/>
          <w:szCs w:val="20"/>
        </w:rPr>
        <w:t>efeitos da responsabilização pessoal quando</w:t>
      </w:r>
      <w:r w:rsidR="00412566">
        <w:rPr>
          <w:rFonts w:ascii="Arial" w:hAnsi="Arial" w:cs="Arial"/>
          <w:i/>
          <w:iCs/>
          <w:sz w:val="20"/>
          <w:szCs w:val="20"/>
        </w:rPr>
        <w:t xml:space="preserve"> </w:t>
      </w:r>
      <w:r w:rsidR="00412566" w:rsidRPr="00412566">
        <w:rPr>
          <w:rFonts w:ascii="Arial" w:hAnsi="Arial" w:cs="Arial"/>
          <w:i/>
          <w:iCs/>
          <w:sz w:val="20"/>
          <w:szCs w:val="20"/>
        </w:rPr>
        <w:t>tiverem atuado defeituosamente no cumprimento de</w:t>
      </w:r>
      <w:r w:rsidR="00412566">
        <w:rPr>
          <w:rFonts w:ascii="Arial" w:hAnsi="Arial" w:cs="Arial"/>
          <w:i/>
          <w:iCs/>
          <w:sz w:val="20"/>
          <w:szCs w:val="20"/>
        </w:rPr>
        <w:t xml:space="preserve"> </w:t>
      </w:r>
      <w:r w:rsidR="00412566" w:rsidRPr="00412566">
        <w:rPr>
          <w:rFonts w:ascii="Arial" w:hAnsi="Arial" w:cs="Arial"/>
          <w:i/>
          <w:iCs/>
          <w:sz w:val="20"/>
          <w:szCs w:val="20"/>
        </w:rPr>
        <w:t>seus deveres: se havia defeito jurídico, tinham o</w:t>
      </w:r>
      <w:r w:rsidR="00412566">
        <w:rPr>
          <w:rFonts w:ascii="Arial" w:hAnsi="Arial" w:cs="Arial"/>
          <w:i/>
          <w:iCs/>
          <w:sz w:val="20"/>
          <w:szCs w:val="20"/>
        </w:rPr>
        <w:t xml:space="preserve"> </w:t>
      </w:r>
      <w:r w:rsidR="00412566" w:rsidRPr="00412566">
        <w:rPr>
          <w:rFonts w:ascii="Arial" w:hAnsi="Arial" w:cs="Arial"/>
          <w:i/>
          <w:iCs/>
          <w:sz w:val="20"/>
          <w:szCs w:val="20"/>
        </w:rPr>
        <w:t>dever de apontá-lo. A afirmativa se mantém</w:t>
      </w:r>
      <w:r w:rsidR="00412566">
        <w:rPr>
          <w:rFonts w:ascii="Arial" w:hAnsi="Arial" w:cs="Arial"/>
          <w:i/>
          <w:iCs/>
          <w:sz w:val="20"/>
          <w:szCs w:val="20"/>
        </w:rPr>
        <w:t xml:space="preserve"> </w:t>
      </w:r>
      <w:r w:rsidR="00412566" w:rsidRPr="00412566">
        <w:rPr>
          <w:rFonts w:ascii="Arial" w:hAnsi="Arial" w:cs="Arial"/>
          <w:i/>
          <w:iCs/>
          <w:sz w:val="20"/>
          <w:szCs w:val="20"/>
        </w:rPr>
        <w:t>inclusive em face de questões duvidosas ou</w:t>
      </w:r>
      <w:r w:rsidR="00412566">
        <w:rPr>
          <w:rFonts w:ascii="Arial" w:hAnsi="Arial" w:cs="Arial"/>
          <w:i/>
          <w:iCs/>
          <w:sz w:val="20"/>
          <w:szCs w:val="20"/>
        </w:rPr>
        <w:t xml:space="preserve"> </w:t>
      </w:r>
      <w:r w:rsidR="00412566" w:rsidRPr="00412566">
        <w:rPr>
          <w:rFonts w:ascii="Arial" w:hAnsi="Arial" w:cs="Arial"/>
          <w:i/>
          <w:iCs/>
          <w:sz w:val="20"/>
          <w:szCs w:val="20"/>
        </w:rPr>
        <w:t>controvertidas. Havendo discordância doutrinária ou</w:t>
      </w:r>
      <w:r w:rsidR="00412566">
        <w:rPr>
          <w:rFonts w:ascii="Arial" w:hAnsi="Arial" w:cs="Arial"/>
          <w:i/>
          <w:iCs/>
          <w:sz w:val="20"/>
          <w:szCs w:val="20"/>
        </w:rPr>
        <w:t xml:space="preserve"> </w:t>
      </w:r>
      <w:r w:rsidR="00412566" w:rsidRPr="00412566">
        <w:rPr>
          <w:rFonts w:ascii="Arial" w:hAnsi="Arial" w:cs="Arial"/>
          <w:i/>
          <w:iCs/>
          <w:sz w:val="20"/>
          <w:szCs w:val="20"/>
        </w:rPr>
        <w:t>jurisprudencial acerca de certos temas, a</w:t>
      </w:r>
      <w:r w:rsidR="00412566">
        <w:rPr>
          <w:rFonts w:ascii="Arial" w:hAnsi="Arial" w:cs="Arial"/>
          <w:i/>
          <w:iCs/>
          <w:sz w:val="20"/>
          <w:szCs w:val="20"/>
        </w:rPr>
        <w:t xml:space="preserve"> </w:t>
      </w:r>
      <w:r w:rsidR="00412566" w:rsidRPr="00412566">
        <w:rPr>
          <w:rFonts w:ascii="Arial" w:hAnsi="Arial" w:cs="Arial"/>
          <w:i/>
          <w:iCs/>
          <w:sz w:val="20"/>
          <w:szCs w:val="20"/>
        </w:rPr>
        <w:t>assessoria jurídica tem o dever de consignar essas</w:t>
      </w:r>
      <w:r w:rsidR="00412566">
        <w:rPr>
          <w:rFonts w:ascii="Arial" w:hAnsi="Arial" w:cs="Arial"/>
          <w:i/>
          <w:iCs/>
          <w:sz w:val="20"/>
          <w:szCs w:val="20"/>
        </w:rPr>
        <w:t xml:space="preserve"> </w:t>
      </w:r>
      <w:r w:rsidR="00412566" w:rsidRPr="00412566">
        <w:rPr>
          <w:rFonts w:ascii="Arial" w:hAnsi="Arial" w:cs="Arial"/>
          <w:i/>
          <w:iCs/>
          <w:sz w:val="20"/>
          <w:szCs w:val="20"/>
        </w:rPr>
        <w:t>variações, para possibilitar às autoridades</w:t>
      </w:r>
      <w:r w:rsidR="00412566">
        <w:rPr>
          <w:rFonts w:ascii="Arial" w:hAnsi="Arial" w:cs="Arial"/>
          <w:i/>
          <w:iCs/>
          <w:sz w:val="20"/>
          <w:szCs w:val="20"/>
        </w:rPr>
        <w:t xml:space="preserve"> </w:t>
      </w:r>
      <w:r w:rsidR="00412566" w:rsidRPr="00412566">
        <w:rPr>
          <w:rFonts w:ascii="Arial" w:hAnsi="Arial" w:cs="Arial"/>
          <w:i/>
          <w:iCs/>
          <w:sz w:val="20"/>
          <w:szCs w:val="20"/>
        </w:rPr>
        <w:t>executivas pleno conhecimento dos riscos de</w:t>
      </w:r>
      <w:r w:rsidR="00412566">
        <w:rPr>
          <w:rFonts w:ascii="Arial" w:hAnsi="Arial" w:cs="Arial"/>
          <w:i/>
          <w:iCs/>
          <w:sz w:val="20"/>
          <w:szCs w:val="20"/>
        </w:rPr>
        <w:t xml:space="preserve"> </w:t>
      </w:r>
      <w:r w:rsidR="00412566" w:rsidRPr="00412566">
        <w:rPr>
          <w:rFonts w:ascii="Arial" w:hAnsi="Arial" w:cs="Arial"/>
          <w:i/>
          <w:iCs/>
          <w:sz w:val="20"/>
          <w:szCs w:val="20"/>
        </w:rPr>
        <w:t>determinadas decisões</w:t>
      </w:r>
      <w:r w:rsidR="00AD6B82">
        <w:rPr>
          <w:rFonts w:ascii="Arial" w:hAnsi="Arial" w:cs="Arial"/>
          <w:i/>
          <w:iCs/>
          <w:sz w:val="20"/>
          <w:szCs w:val="20"/>
        </w:rPr>
        <w:t>”</w:t>
      </w:r>
      <w:r w:rsidR="00412566" w:rsidRPr="00412566">
        <w:rPr>
          <w:rFonts w:ascii="Arial" w:hAnsi="Arial" w:cs="Arial"/>
          <w:i/>
          <w:iCs/>
          <w:sz w:val="20"/>
          <w:szCs w:val="20"/>
        </w:rPr>
        <w:t>.</w:t>
      </w:r>
    </w:p>
    <w:p w:rsidR="00527847" w:rsidRDefault="00527847" w:rsidP="00412566">
      <w:pPr>
        <w:autoSpaceDE w:val="0"/>
        <w:autoSpaceDN w:val="0"/>
        <w:adjustRightInd w:val="0"/>
        <w:spacing w:after="0" w:line="240" w:lineRule="auto"/>
        <w:jc w:val="both"/>
        <w:rPr>
          <w:rFonts w:ascii="Arial" w:hAnsi="Arial" w:cs="Arial"/>
          <w:i/>
          <w:iCs/>
          <w:sz w:val="20"/>
          <w:szCs w:val="20"/>
        </w:rPr>
      </w:pPr>
    </w:p>
    <w:p w:rsidR="00B60FCF" w:rsidRDefault="00BD0EA7" w:rsidP="00BD0EA7">
      <w:pPr>
        <w:autoSpaceDE w:val="0"/>
        <w:autoSpaceDN w:val="0"/>
        <w:adjustRightInd w:val="0"/>
        <w:spacing w:after="0" w:line="240" w:lineRule="auto"/>
        <w:jc w:val="both"/>
        <w:rPr>
          <w:rFonts w:ascii="Arial" w:hAnsi="Arial" w:cs="Arial"/>
          <w:sz w:val="20"/>
          <w:szCs w:val="20"/>
        </w:rPr>
      </w:pPr>
      <w:r w:rsidRPr="00BD0EA7">
        <w:rPr>
          <w:rFonts w:ascii="Arial" w:hAnsi="Arial" w:cs="Arial"/>
          <w:sz w:val="20"/>
          <w:szCs w:val="20"/>
        </w:rPr>
        <w:t>Dessa forma, acolh</w:t>
      </w:r>
      <w:r w:rsidR="00B60FCF">
        <w:rPr>
          <w:rFonts w:ascii="Arial" w:hAnsi="Arial" w:cs="Arial"/>
          <w:sz w:val="20"/>
          <w:szCs w:val="20"/>
        </w:rPr>
        <w:t>e</w:t>
      </w:r>
      <w:r w:rsidRPr="00BD0EA7">
        <w:rPr>
          <w:rFonts w:ascii="Arial" w:hAnsi="Arial" w:cs="Arial"/>
          <w:sz w:val="20"/>
          <w:szCs w:val="20"/>
        </w:rPr>
        <w:t>u-se integralmente como razões de decidir a</w:t>
      </w:r>
      <w:r>
        <w:rPr>
          <w:rFonts w:ascii="Arial" w:hAnsi="Arial" w:cs="Arial"/>
          <w:sz w:val="20"/>
          <w:szCs w:val="20"/>
        </w:rPr>
        <w:t xml:space="preserve"> </w:t>
      </w:r>
      <w:r w:rsidRPr="00BD0EA7">
        <w:rPr>
          <w:rFonts w:ascii="Arial" w:hAnsi="Arial" w:cs="Arial"/>
          <w:sz w:val="20"/>
          <w:szCs w:val="20"/>
        </w:rPr>
        <w:t>instrução da unidade técnica e o Parecer Ministerial para imputar ao interessado 3 (três) multas administrativas prevista no Art. 87, IV, “g” da Lei</w:t>
      </w:r>
      <w:r>
        <w:rPr>
          <w:rFonts w:ascii="Arial" w:hAnsi="Arial" w:cs="Arial"/>
          <w:sz w:val="20"/>
          <w:szCs w:val="20"/>
        </w:rPr>
        <w:t xml:space="preserve"> </w:t>
      </w:r>
      <w:r w:rsidRPr="00BD0EA7">
        <w:rPr>
          <w:rFonts w:ascii="Arial" w:hAnsi="Arial" w:cs="Arial"/>
          <w:sz w:val="20"/>
          <w:szCs w:val="20"/>
        </w:rPr>
        <w:t>Complementar 113/2005, por emitir parecer jurídico atestando a legalidade dos atos</w:t>
      </w:r>
      <w:r>
        <w:rPr>
          <w:rFonts w:ascii="Arial" w:hAnsi="Arial" w:cs="Arial"/>
          <w:sz w:val="20"/>
          <w:szCs w:val="20"/>
        </w:rPr>
        <w:t xml:space="preserve"> </w:t>
      </w:r>
      <w:r w:rsidRPr="00BD0EA7">
        <w:rPr>
          <w:rFonts w:ascii="Arial" w:hAnsi="Arial" w:cs="Arial"/>
          <w:sz w:val="20"/>
          <w:szCs w:val="20"/>
        </w:rPr>
        <w:t>de contratação referentes aos contratos mencionados nos Achados nº 19 e 20, em</w:t>
      </w:r>
      <w:r>
        <w:rPr>
          <w:rFonts w:ascii="Arial" w:hAnsi="Arial" w:cs="Arial"/>
          <w:sz w:val="20"/>
          <w:szCs w:val="20"/>
        </w:rPr>
        <w:t xml:space="preserve"> </w:t>
      </w:r>
      <w:r w:rsidRPr="00BD0EA7">
        <w:rPr>
          <w:rFonts w:ascii="Arial" w:hAnsi="Arial" w:cs="Arial"/>
          <w:sz w:val="20"/>
          <w:szCs w:val="20"/>
        </w:rPr>
        <w:t>desacordo com a Lei 8.666/93</w:t>
      </w:r>
      <w:r>
        <w:rPr>
          <w:rFonts w:ascii="Arial" w:hAnsi="Arial" w:cs="Arial"/>
          <w:sz w:val="20"/>
          <w:szCs w:val="20"/>
        </w:rPr>
        <w:t>.</w:t>
      </w:r>
    </w:p>
    <w:p w:rsidR="0070542E" w:rsidRDefault="0070542E" w:rsidP="00BD0EA7">
      <w:pPr>
        <w:autoSpaceDE w:val="0"/>
        <w:autoSpaceDN w:val="0"/>
        <w:adjustRightInd w:val="0"/>
        <w:spacing w:after="0" w:line="240" w:lineRule="auto"/>
        <w:jc w:val="both"/>
        <w:rPr>
          <w:rFonts w:ascii="Arial" w:hAnsi="Arial" w:cs="Arial"/>
          <w:sz w:val="20"/>
          <w:szCs w:val="20"/>
        </w:rPr>
      </w:pPr>
    </w:p>
    <w:p w:rsidR="00B60FCF" w:rsidRDefault="00B60FCF" w:rsidP="00BD0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Processo n° 618424/16 - </w:t>
      </w:r>
      <w:hyperlink r:id="rId9" w:history="1">
        <w:r w:rsidRPr="00136279">
          <w:rPr>
            <w:rStyle w:val="Hyperlink"/>
            <w:rFonts w:ascii="Arial" w:hAnsi="Arial" w:cs="Arial"/>
            <w:sz w:val="20"/>
            <w:szCs w:val="20"/>
          </w:rPr>
          <w:t>Acórdão n° 4674/17 - Primeira Câmara</w:t>
        </w:r>
      </w:hyperlink>
      <w:r>
        <w:rPr>
          <w:rFonts w:ascii="Arial" w:hAnsi="Arial" w:cs="Arial"/>
          <w:sz w:val="20"/>
          <w:szCs w:val="20"/>
        </w:rPr>
        <w:t xml:space="preserve"> </w:t>
      </w:r>
      <w:r w:rsidR="001A163B">
        <w:rPr>
          <w:rFonts w:ascii="Arial" w:hAnsi="Arial" w:cs="Arial"/>
          <w:sz w:val="20"/>
          <w:szCs w:val="20"/>
        </w:rPr>
        <w:t>-</w:t>
      </w:r>
      <w:r>
        <w:rPr>
          <w:rFonts w:ascii="Arial" w:hAnsi="Arial" w:cs="Arial"/>
          <w:sz w:val="20"/>
          <w:szCs w:val="20"/>
        </w:rPr>
        <w:t xml:space="preserve"> </w:t>
      </w:r>
      <w:r w:rsidR="001A163B">
        <w:rPr>
          <w:rFonts w:ascii="Arial" w:hAnsi="Arial" w:cs="Arial"/>
          <w:sz w:val="20"/>
          <w:szCs w:val="20"/>
        </w:rPr>
        <w:t xml:space="preserve">Rel. </w:t>
      </w:r>
      <w:r>
        <w:rPr>
          <w:rFonts w:ascii="Arial" w:hAnsi="Arial" w:cs="Arial"/>
          <w:sz w:val="20"/>
          <w:szCs w:val="20"/>
        </w:rPr>
        <w:t>Cons</w:t>
      </w:r>
      <w:r w:rsidR="001A163B">
        <w:rPr>
          <w:rFonts w:ascii="Arial" w:hAnsi="Arial" w:cs="Arial"/>
          <w:sz w:val="20"/>
          <w:szCs w:val="20"/>
        </w:rPr>
        <w:t xml:space="preserve">elheiro </w:t>
      </w:r>
      <w:r>
        <w:rPr>
          <w:rFonts w:ascii="Arial" w:hAnsi="Arial" w:cs="Arial"/>
          <w:sz w:val="20"/>
          <w:szCs w:val="20"/>
        </w:rPr>
        <w:t>Nestor Baptista.</w:t>
      </w:r>
    </w:p>
    <w:p w:rsidR="00FD0D9B" w:rsidRDefault="00FD0D9B" w:rsidP="00BD0EA7">
      <w:pPr>
        <w:autoSpaceDE w:val="0"/>
        <w:autoSpaceDN w:val="0"/>
        <w:adjustRightInd w:val="0"/>
        <w:spacing w:after="0" w:line="240" w:lineRule="auto"/>
        <w:jc w:val="both"/>
        <w:rPr>
          <w:rFonts w:ascii="Arial" w:hAnsi="Arial" w:cs="Arial"/>
          <w:sz w:val="20"/>
          <w:szCs w:val="20"/>
        </w:rPr>
      </w:pPr>
    </w:p>
    <w:p w:rsidR="00FD0D9B" w:rsidRDefault="003D5138" w:rsidP="00B95E9B">
      <w:pPr>
        <w:spacing w:after="0"/>
        <w:jc w:val="both"/>
        <w:rPr>
          <w:rFonts w:ascii="Arial" w:hAnsi="Arial" w:cs="Arial"/>
          <w:b/>
          <w:sz w:val="20"/>
          <w:szCs w:val="20"/>
        </w:rPr>
      </w:pPr>
      <w:r>
        <w:rPr>
          <w:rFonts w:ascii="Arial" w:hAnsi="Arial" w:cs="Arial"/>
          <w:b/>
          <w:sz w:val="20"/>
          <w:szCs w:val="20"/>
        </w:rPr>
        <w:t xml:space="preserve">3. </w:t>
      </w:r>
      <w:r w:rsidR="00FD0D9B" w:rsidRPr="00851566">
        <w:rPr>
          <w:rFonts w:ascii="Arial" w:hAnsi="Arial" w:cs="Arial"/>
          <w:b/>
          <w:sz w:val="20"/>
          <w:szCs w:val="20"/>
        </w:rPr>
        <w:t xml:space="preserve">Ato de Inativação.  Ausência de parecer do órgão previdenciário. Inteligência da IN 98/14, que poderá ser complementada segundo juízo de conveniência e oportunidade da Administração da Corte.  Pelo registro. </w:t>
      </w:r>
    </w:p>
    <w:p w:rsidR="00B95E9B" w:rsidRDefault="00B95E9B" w:rsidP="00B95E9B">
      <w:pPr>
        <w:spacing w:after="0"/>
        <w:jc w:val="both"/>
        <w:rPr>
          <w:rFonts w:ascii="Arial" w:hAnsi="Arial" w:cs="Arial"/>
          <w:b/>
          <w:sz w:val="20"/>
          <w:szCs w:val="20"/>
        </w:rPr>
      </w:pPr>
    </w:p>
    <w:p w:rsidR="00FD0D9B" w:rsidRDefault="00FD0D9B" w:rsidP="00B95E9B">
      <w:pPr>
        <w:spacing w:after="0"/>
        <w:jc w:val="both"/>
        <w:rPr>
          <w:rFonts w:ascii="Arial" w:hAnsi="Arial" w:cs="Arial"/>
          <w:sz w:val="20"/>
          <w:szCs w:val="20"/>
        </w:rPr>
      </w:pPr>
      <w:r>
        <w:rPr>
          <w:rFonts w:ascii="Arial" w:hAnsi="Arial" w:cs="Arial"/>
          <w:sz w:val="20"/>
          <w:szCs w:val="20"/>
        </w:rPr>
        <w:t xml:space="preserve">Câmara Municipal que tem reiteradamente apresentado, em processo de aposentadoria de seus servidores, parecer jurídico emitido por Procuradoria Jurídica própria e não pela entidade previdenciária, o faz de forma inadequada. </w:t>
      </w:r>
    </w:p>
    <w:p w:rsidR="00FD0D9B" w:rsidRDefault="00FD0D9B" w:rsidP="00B95E9B">
      <w:pPr>
        <w:spacing w:after="0"/>
        <w:jc w:val="both"/>
        <w:rPr>
          <w:rFonts w:ascii="Arial" w:hAnsi="Arial" w:cs="Arial"/>
          <w:sz w:val="20"/>
          <w:szCs w:val="20"/>
        </w:rPr>
      </w:pPr>
      <w:r>
        <w:rPr>
          <w:rFonts w:ascii="Arial" w:hAnsi="Arial" w:cs="Arial"/>
          <w:sz w:val="20"/>
          <w:szCs w:val="20"/>
        </w:rPr>
        <w:t xml:space="preserve">A manifestação que interessa a esta Casa em seu mister constitucional é a do órgão gestor do regime próprio de previdência, como ressaltou o Ministério Público de Contas em opinativo mencionado pelo Relator do julgado. </w:t>
      </w:r>
    </w:p>
    <w:p w:rsidR="00B95E9B" w:rsidRDefault="00B95E9B" w:rsidP="00B95E9B">
      <w:pPr>
        <w:spacing w:after="0"/>
        <w:jc w:val="both"/>
        <w:rPr>
          <w:rFonts w:ascii="Arial" w:hAnsi="Arial" w:cs="Arial"/>
          <w:sz w:val="20"/>
          <w:szCs w:val="20"/>
        </w:rPr>
      </w:pPr>
    </w:p>
    <w:p w:rsidR="00FD0D9B" w:rsidRDefault="00FD0D9B" w:rsidP="00B95E9B">
      <w:pPr>
        <w:spacing w:after="0"/>
        <w:jc w:val="both"/>
        <w:rPr>
          <w:rFonts w:ascii="Arial" w:hAnsi="Arial" w:cs="Arial"/>
          <w:sz w:val="20"/>
          <w:szCs w:val="20"/>
        </w:rPr>
      </w:pPr>
      <w:r>
        <w:rPr>
          <w:rFonts w:ascii="Arial" w:hAnsi="Arial" w:cs="Arial"/>
          <w:sz w:val="20"/>
          <w:szCs w:val="20"/>
        </w:rPr>
        <w:t xml:space="preserve">Processo nº 1133759/14 - </w:t>
      </w:r>
      <w:hyperlink r:id="rId10" w:history="1">
        <w:r w:rsidRPr="00E9413C">
          <w:rPr>
            <w:rStyle w:val="Hyperlink"/>
            <w:rFonts w:ascii="Arial" w:hAnsi="Arial" w:cs="Arial"/>
            <w:sz w:val="20"/>
            <w:szCs w:val="20"/>
          </w:rPr>
          <w:t>Acórdão nº 4704/17-</w:t>
        </w:r>
        <w:r>
          <w:rPr>
            <w:rStyle w:val="Hyperlink"/>
            <w:rFonts w:ascii="Arial" w:hAnsi="Arial" w:cs="Arial"/>
            <w:sz w:val="20"/>
            <w:szCs w:val="20"/>
          </w:rPr>
          <w:t xml:space="preserve"> Primeira </w:t>
        </w:r>
        <w:r w:rsidRPr="00E9413C">
          <w:rPr>
            <w:rStyle w:val="Hyperlink"/>
            <w:rFonts w:ascii="Arial" w:hAnsi="Arial" w:cs="Arial"/>
            <w:sz w:val="20"/>
            <w:szCs w:val="20"/>
          </w:rPr>
          <w:t>Câmara</w:t>
        </w:r>
      </w:hyperlink>
      <w:r>
        <w:rPr>
          <w:rFonts w:ascii="Arial" w:hAnsi="Arial" w:cs="Arial"/>
          <w:sz w:val="20"/>
          <w:szCs w:val="20"/>
        </w:rPr>
        <w:t xml:space="preserve"> - Rel. Conselheiro Fernando Augusto Mello Guimarães.</w:t>
      </w:r>
    </w:p>
    <w:p w:rsidR="00B95E9B" w:rsidRDefault="00B95E9B" w:rsidP="00B95E9B">
      <w:pPr>
        <w:spacing w:after="0"/>
        <w:jc w:val="both"/>
        <w:rPr>
          <w:rFonts w:ascii="Arial" w:hAnsi="Arial" w:cs="Arial"/>
          <w:sz w:val="20"/>
          <w:szCs w:val="20"/>
        </w:rPr>
      </w:pPr>
    </w:p>
    <w:p w:rsidR="00FD0D9B" w:rsidRDefault="00F25F14" w:rsidP="00B95E9B">
      <w:pPr>
        <w:spacing w:after="0"/>
        <w:jc w:val="both"/>
        <w:rPr>
          <w:rFonts w:ascii="Arial" w:hAnsi="Arial" w:cs="Arial"/>
          <w:b/>
          <w:sz w:val="20"/>
          <w:szCs w:val="20"/>
        </w:rPr>
      </w:pPr>
      <w:r>
        <w:rPr>
          <w:rFonts w:ascii="Arial" w:hAnsi="Arial" w:cs="Arial"/>
          <w:b/>
          <w:sz w:val="20"/>
          <w:szCs w:val="20"/>
        </w:rPr>
        <w:t xml:space="preserve">4. </w:t>
      </w:r>
      <w:r w:rsidR="00FD0D9B" w:rsidRPr="00393B40">
        <w:rPr>
          <w:rFonts w:ascii="Arial" w:hAnsi="Arial" w:cs="Arial"/>
          <w:b/>
          <w:sz w:val="20"/>
          <w:szCs w:val="20"/>
        </w:rPr>
        <w:t>Tomada de Contas Extraordinária. Prescrição afastada. Não condenação em ressarcimento de valores. Aplicação de multas, inabilitação para o exercício de cargo comissionado e proibição de contratar com a Administração Pública. Procedência.</w:t>
      </w:r>
    </w:p>
    <w:p w:rsidR="00B95E9B" w:rsidRPr="00393B40" w:rsidRDefault="00B95E9B" w:rsidP="00B95E9B">
      <w:pPr>
        <w:spacing w:after="0"/>
        <w:jc w:val="both"/>
        <w:rPr>
          <w:rFonts w:ascii="Arial" w:hAnsi="Arial" w:cs="Arial"/>
          <w:b/>
          <w:sz w:val="20"/>
          <w:szCs w:val="20"/>
        </w:rPr>
      </w:pPr>
      <w:bookmarkStart w:id="0" w:name="_GoBack"/>
      <w:bookmarkEnd w:id="0"/>
    </w:p>
    <w:p w:rsidR="00FD0D9B" w:rsidRDefault="00FD0D9B" w:rsidP="00B95E9B">
      <w:pPr>
        <w:spacing w:after="0"/>
        <w:jc w:val="both"/>
        <w:rPr>
          <w:rFonts w:ascii="Arial" w:hAnsi="Arial" w:cs="Arial"/>
          <w:sz w:val="20"/>
          <w:szCs w:val="20"/>
        </w:rPr>
      </w:pPr>
      <w:r>
        <w:rPr>
          <w:rFonts w:ascii="Arial" w:hAnsi="Arial" w:cs="Arial"/>
          <w:sz w:val="20"/>
          <w:szCs w:val="20"/>
        </w:rPr>
        <w:t xml:space="preserve">Tomada de Contas originada em processo de auditoria de contratos de serviços de informática, cujo desmembramento deu ensejo a inúmeros novos processos visando a responsabilização pessoal dos envolvidos não condenados à restituição de valores. </w:t>
      </w:r>
    </w:p>
    <w:p w:rsidR="00B95E9B" w:rsidRDefault="00B95E9B" w:rsidP="00B95E9B">
      <w:pPr>
        <w:spacing w:after="0"/>
        <w:jc w:val="both"/>
        <w:rPr>
          <w:rFonts w:ascii="Arial" w:hAnsi="Arial" w:cs="Arial"/>
          <w:sz w:val="20"/>
          <w:szCs w:val="20"/>
        </w:rPr>
      </w:pPr>
    </w:p>
    <w:p w:rsidR="00FD0D9B" w:rsidRDefault="00FD0D9B" w:rsidP="00B95E9B">
      <w:pPr>
        <w:spacing w:after="0"/>
        <w:jc w:val="both"/>
        <w:rPr>
          <w:rFonts w:ascii="Arial" w:hAnsi="Arial" w:cs="Arial"/>
          <w:sz w:val="20"/>
          <w:szCs w:val="20"/>
        </w:rPr>
      </w:pPr>
      <w:r>
        <w:rPr>
          <w:rFonts w:ascii="Arial" w:hAnsi="Arial" w:cs="Arial"/>
          <w:sz w:val="20"/>
          <w:szCs w:val="20"/>
        </w:rPr>
        <w:t>Enquadra-se nesta situação, advogada da Procuradoria Geral do município e membro da comissão de licitação, cuja responsabilização ocorre no presente julgado e consiste na inabilitação para o exercício de cargo em comissão, proibição de contratar com a Administração Pública pelo prazo de 05 anos e a aplicação de 6 multas, com base no art.87,</w:t>
      </w:r>
      <w:r w:rsidR="003649D8">
        <w:rPr>
          <w:rFonts w:ascii="Arial" w:hAnsi="Arial" w:cs="Arial"/>
          <w:sz w:val="20"/>
          <w:szCs w:val="20"/>
        </w:rPr>
        <w:t xml:space="preserve"> </w:t>
      </w:r>
      <w:r>
        <w:rPr>
          <w:rFonts w:ascii="Arial" w:hAnsi="Arial" w:cs="Arial"/>
          <w:sz w:val="20"/>
          <w:szCs w:val="20"/>
        </w:rPr>
        <w:t>IV “g” da Lei Complementar Estadual nº 113/2005.</w:t>
      </w:r>
    </w:p>
    <w:p w:rsidR="00B95E9B" w:rsidRDefault="00B95E9B" w:rsidP="00B95E9B">
      <w:pPr>
        <w:spacing w:after="0"/>
        <w:jc w:val="both"/>
        <w:rPr>
          <w:rFonts w:ascii="Arial" w:hAnsi="Arial" w:cs="Arial"/>
          <w:sz w:val="20"/>
          <w:szCs w:val="20"/>
        </w:rPr>
      </w:pPr>
    </w:p>
    <w:p w:rsidR="00FD0D9B" w:rsidRDefault="00FD0D9B" w:rsidP="00B95E9B">
      <w:pPr>
        <w:spacing w:after="0"/>
        <w:jc w:val="both"/>
        <w:rPr>
          <w:rFonts w:ascii="Arial" w:hAnsi="Arial" w:cs="Arial"/>
          <w:sz w:val="20"/>
          <w:szCs w:val="20"/>
        </w:rPr>
      </w:pPr>
      <w:r>
        <w:rPr>
          <w:rFonts w:ascii="Arial" w:hAnsi="Arial" w:cs="Arial"/>
          <w:sz w:val="20"/>
          <w:szCs w:val="20"/>
        </w:rPr>
        <w:t xml:space="preserve">Arguição de prescrição afastada, conforme fundamentado pela Unidade Técnica, na Súmula 282 do Tribunal de Contas da União, bem como, no Acórdão nº 573/2008-Tribunal Pleno, este, que alinhou posicionamento desta Corte quanto à imprescritibilidade das ações de ressarcimento ao erário, haja vista a relevância dos ilícitos apurados. </w:t>
      </w:r>
    </w:p>
    <w:p w:rsidR="00B95E9B" w:rsidRDefault="00B95E9B" w:rsidP="00B95E9B">
      <w:pPr>
        <w:spacing w:after="0"/>
        <w:jc w:val="both"/>
        <w:rPr>
          <w:rFonts w:ascii="Arial" w:hAnsi="Arial" w:cs="Arial"/>
          <w:sz w:val="20"/>
          <w:szCs w:val="20"/>
        </w:rPr>
      </w:pPr>
    </w:p>
    <w:p w:rsidR="00FD0D9B" w:rsidRDefault="00FD0D9B" w:rsidP="00B95E9B">
      <w:pPr>
        <w:spacing w:after="0"/>
        <w:jc w:val="both"/>
        <w:rPr>
          <w:rFonts w:ascii="Arial" w:hAnsi="Arial" w:cs="Arial"/>
          <w:sz w:val="20"/>
          <w:szCs w:val="20"/>
        </w:rPr>
      </w:pPr>
      <w:r>
        <w:rPr>
          <w:rFonts w:ascii="Arial" w:hAnsi="Arial" w:cs="Arial"/>
          <w:sz w:val="20"/>
          <w:szCs w:val="20"/>
        </w:rPr>
        <w:t xml:space="preserve">O colegiado decidiu pela procedência da TCE, com a irregularidade das contas e aplicação </w:t>
      </w:r>
      <w:proofErr w:type="gramStart"/>
      <w:r>
        <w:rPr>
          <w:rFonts w:ascii="Arial" w:hAnsi="Arial" w:cs="Arial"/>
          <w:sz w:val="20"/>
          <w:szCs w:val="20"/>
        </w:rPr>
        <w:t>das sansões</w:t>
      </w:r>
      <w:proofErr w:type="gramEnd"/>
      <w:r>
        <w:rPr>
          <w:rFonts w:ascii="Arial" w:hAnsi="Arial" w:cs="Arial"/>
          <w:sz w:val="20"/>
          <w:szCs w:val="20"/>
        </w:rPr>
        <w:t xml:space="preserve"> acima mencionadas. </w:t>
      </w:r>
    </w:p>
    <w:p w:rsidR="00B95E9B" w:rsidRDefault="00B95E9B" w:rsidP="00B95E9B">
      <w:pPr>
        <w:spacing w:after="0"/>
        <w:jc w:val="both"/>
        <w:rPr>
          <w:rFonts w:ascii="Arial" w:hAnsi="Arial" w:cs="Arial"/>
          <w:sz w:val="20"/>
          <w:szCs w:val="20"/>
        </w:rPr>
      </w:pPr>
    </w:p>
    <w:p w:rsidR="00FD0D9B" w:rsidRDefault="00FD0D9B" w:rsidP="00B95E9B">
      <w:pPr>
        <w:spacing w:after="0"/>
        <w:jc w:val="both"/>
        <w:rPr>
          <w:rFonts w:ascii="Arial" w:hAnsi="Arial" w:cs="Arial"/>
          <w:sz w:val="20"/>
          <w:szCs w:val="20"/>
        </w:rPr>
      </w:pPr>
      <w:r>
        <w:rPr>
          <w:rFonts w:ascii="Arial" w:hAnsi="Arial" w:cs="Arial"/>
          <w:sz w:val="20"/>
          <w:szCs w:val="20"/>
        </w:rPr>
        <w:t xml:space="preserve">Processo nº 618718/16 - </w:t>
      </w:r>
      <w:hyperlink r:id="rId11" w:history="1">
        <w:r w:rsidRPr="00E9413C">
          <w:rPr>
            <w:rStyle w:val="Hyperlink"/>
            <w:rFonts w:ascii="Arial" w:hAnsi="Arial" w:cs="Arial"/>
            <w:sz w:val="20"/>
            <w:szCs w:val="20"/>
          </w:rPr>
          <w:t>Acórdão nº 4690</w:t>
        </w:r>
        <w:r>
          <w:rPr>
            <w:rStyle w:val="Hyperlink"/>
            <w:rFonts w:ascii="Arial" w:hAnsi="Arial" w:cs="Arial"/>
            <w:sz w:val="20"/>
            <w:szCs w:val="20"/>
          </w:rPr>
          <w:t>/</w:t>
        </w:r>
        <w:r w:rsidRPr="00E9413C">
          <w:rPr>
            <w:rStyle w:val="Hyperlink"/>
            <w:rFonts w:ascii="Arial" w:hAnsi="Arial" w:cs="Arial"/>
            <w:sz w:val="20"/>
            <w:szCs w:val="20"/>
          </w:rPr>
          <w:t>17</w:t>
        </w:r>
        <w:r>
          <w:rPr>
            <w:rStyle w:val="Hyperlink"/>
            <w:rFonts w:ascii="Arial" w:hAnsi="Arial" w:cs="Arial"/>
            <w:sz w:val="20"/>
            <w:szCs w:val="20"/>
          </w:rPr>
          <w:t xml:space="preserve"> - Primeira </w:t>
        </w:r>
        <w:r w:rsidRPr="00E9413C">
          <w:rPr>
            <w:rStyle w:val="Hyperlink"/>
            <w:rFonts w:ascii="Arial" w:hAnsi="Arial" w:cs="Arial"/>
            <w:sz w:val="20"/>
            <w:szCs w:val="20"/>
          </w:rPr>
          <w:t>Câmara</w:t>
        </w:r>
      </w:hyperlink>
      <w:r>
        <w:rPr>
          <w:rFonts w:ascii="Arial" w:hAnsi="Arial" w:cs="Arial"/>
          <w:sz w:val="20"/>
          <w:szCs w:val="20"/>
        </w:rPr>
        <w:t xml:space="preserve"> - Rel. Conselheiro Nestor Baptista. </w:t>
      </w:r>
    </w:p>
    <w:p w:rsidR="00327046" w:rsidRDefault="00327046" w:rsidP="00B95E9B">
      <w:pPr>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SEGUNDA CÂMARA</w:t>
      </w:r>
    </w:p>
    <w:p w:rsidR="00785DB0" w:rsidRDefault="00785DB0" w:rsidP="00816942">
      <w:pPr>
        <w:autoSpaceDE w:val="0"/>
        <w:autoSpaceDN w:val="0"/>
        <w:adjustRightInd w:val="0"/>
        <w:spacing w:after="0"/>
        <w:rPr>
          <w:rFonts w:ascii="Arial" w:hAnsi="Arial" w:cs="Arial"/>
          <w:sz w:val="20"/>
          <w:szCs w:val="20"/>
        </w:rPr>
      </w:pPr>
    </w:p>
    <w:p w:rsidR="001441E1" w:rsidRPr="007233D5" w:rsidRDefault="00047105" w:rsidP="006E2693">
      <w:pPr>
        <w:autoSpaceDE w:val="0"/>
        <w:autoSpaceDN w:val="0"/>
        <w:adjustRightInd w:val="0"/>
        <w:spacing w:after="0" w:line="240" w:lineRule="auto"/>
        <w:jc w:val="both"/>
        <w:rPr>
          <w:rFonts w:ascii="Arial" w:hAnsi="Arial" w:cs="Arial"/>
          <w:b/>
          <w:bCs/>
          <w:sz w:val="20"/>
          <w:szCs w:val="20"/>
        </w:rPr>
      </w:pPr>
      <w:r>
        <w:rPr>
          <w:rFonts w:ascii="Arial" w:hAnsi="Arial" w:cs="Arial"/>
          <w:b/>
          <w:sz w:val="20"/>
          <w:szCs w:val="20"/>
        </w:rPr>
        <w:t xml:space="preserve">5. </w:t>
      </w:r>
      <w:r w:rsidR="001441E1" w:rsidRPr="007233D5">
        <w:rPr>
          <w:rFonts w:ascii="Arial" w:hAnsi="Arial" w:cs="Arial"/>
          <w:b/>
          <w:sz w:val="20"/>
          <w:szCs w:val="20"/>
        </w:rPr>
        <w:t xml:space="preserve">Tomada de Contas Especial. Cooperativa de Catadores de Recicláveis e Serviço de Produção. Dano apurado inferior ao Valor de Alçada definido pela Resolução 60/2017. </w:t>
      </w:r>
      <w:r w:rsidR="006E2693" w:rsidRPr="007233D5">
        <w:rPr>
          <w:rFonts w:ascii="Arial" w:hAnsi="Arial" w:cs="Arial"/>
          <w:b/>
          <w:sz w:val="20"/>
          <w:szCs w:val="20"/>
        </w:rPr>
        <w:t>E</w:t>
      </w:r>
      <w:r w:rsidR="001441E1" w:rsidRPr="007233D5">
        <w:rPr>
          <w:rFonts w:ascii="Arial" w:hAnsi="Arial" w:cs="Arial"/>
          <w:b/>
          <w:bCs/>
          <w:sz w:val="20"/>
          <w:szCs w:val="20"/>
        </w:rPr>
        <w:t>ncerramento do processo, com base no Art. 398, § 2º do</w:t>
      </w:r>
      <w:r w:rsidR="006E2693" w:rsidRPr="007233D5">
        <w:rPr>
          <w:rFonts w:ascii="Arial" w:hAnsi="Arial" w:cs="Arial"/>
          <w:b/>
          <w:bCs/>
          <w:sz w:val="20"/>
          <w:szCs w:val="20"/>
        </w:rPr>
        <w:t xml:space="preserve"> </w:t>
      </w:r>
      <w:r w:rsidR="001441E1" w:rsidRPr="007233D5">
        <w:rPr>
          <w:rFonts w:ascii="Arial" w:hAnsi="Arial" w:cs="Arial"/>
          <w:b/>
          <w:bCs/>
          <w:sz w:val="20"/>
          <w:szCs w:val="20"/>
        </w:rPr>
        <w:t>Regimento Interno deste Tribunal.</w:t>
      </w:r>
    </w:p>
    <w:p w:rsidR="00EA42CB" w:rsidRDefault="00EA42CB" w:rsidP="006E2693">
      <w:pPr>
        <w:autoSpaceDE w:val="0"/>
        <w:autoSpaceDN w:val="0"/>
        <w:adjustRightInd w:val="0"/>
        <w:spacing w:after="0" w:line="240" w:lineRule="auto"/>
        <w:jc w:val="both"/>
        <w:rPr>
          <w:rFonts w:ascii="Arial" w:hAnsi="Arial" w:cs="Arial"/>
          <w:bCs/>
          <w:sz w:val="20"/>
          <w:szCs w:val="20"/>
        </w:rPr>
      </w:pPr>
    </w:p>
    <w:p w:rsidR="000A7368" w:rsidRDefault="000A7368" w:rsidP="000A7368">
      <w:pPr>
        <w:autoSpaceDE w:val="0"/>
        <w:autoSpaceDN w:val="0"/>
        <w:adjustRightInd w:val="0"/>
        <w:spacing w:after="0" w:line="240" w:lineRule="auto"/>
        <w:jc w:val="both"/>
        <w:rPr>
          <w:rFonts w:ascii="Arial" w:hAnsi="Arial" w:cs="Arial"/>
          <w:sz w:val="20"/>
          <w:szCs w:val="20"/>
        </w:rPr>
      </w:pPr>
      <w:r w:rsidRPr="00FC588B">
        <w:rPr>
          <w:rFonts w:ascii="Arial" w:hAnsi="Arial" w:cs="Arial"/>
          <w:sz w:val="20"/>
          <w:szCs w:val="20"/>
        </w:rPr>
        <w:t>Verifica-se que, o valor do dano causado é inferior aos R$ 15.000,00</w:t>
      </w:r>
      <w:r w:rsidR="00FC588B">
        <w:rPr>
          <w:rFonts w:ascii="Arial" w:hAnsi="Arial" w:cs="Arial"/>
          <w:sz w:val="20"/>
          <w:szCs w:val="20"/>
        </w:rPr>
        <w:t xml:space="preserve"> </w:t>
      </w:r>
      <w:r w:rsidRPr="00FC588B">
        <w:rPr>
          <w:rFonts w:ascii="Arial" w:hAnsi="Arial" w:cs="Arial"/>
          <w:sz w:val="20"/>
          <w:szCs w:val="20"/>
        </w:rPr>
        <w:t>definidos pela RES 60/2017, sendo que conforme bem apontou a Unidade Técnica,</w:t>
      </w:r>
      <w:r w:rsidR="00FC588B">
        <w:rPr>
          <w:rFonts w:ascii="Arial" w:hAnsi="Arial" w:cs="Arial"/>
          <w:sz w:val="20"/>
          <w:szCs w:val="20"/>
        </w:rPr>
        <w:t xml:space="preserve"> </w:t>
      </w:r>
      <w:r w:rsidRPr="00FC588B">
        <w:rPr>
          <w:rFonts w:ascii="Arial" w:hAnsi="Arial" w:cs="Arial"/>
          <w:sz w:val="20"/>
          <w:szCs w:val="20"/>
        </w:rPr>
        <w:t>o custo processual da continuidade dos autos superaria e muito o prejuízo apurado</w:t>
      </w:r>
      <w:r w:rsidR="00FC588B">
        <w:rPr>
          <w:rFonts w:ascii="Arial" w:hAnsi="Arial" w:cs="Arial"/>
          <w:sz w:val="20"/>
          <w:szCs w:val="20"/>
        </w:rPr>
        <w:t xml:space="preserve"> </w:t>
      </w:r>
      <w:r w:rsidRPr="00FC588B">
        <w:rPr>
          <w:rFonts w:ascii="Arial" w:hAnsi="Arial" w:cs="Arial"/>
          <w:sz w:val="20"/>
          <w:szCs w:val="20"/>
        </w:rPr>
        <w:t>neste expediente, já que seria necessária a atuação dos setores administrativos</w:t>
      </w:r>
      <w:r w:rsidR="00FC588B">
        <w:rPr>
          <w:rFonts w:ascii="Arial" w:hAnsi="Arial" w:cs="Arial"/>
          <w:sz w:val="20"/>
          <w:szCs w:val="20"/>
        </w:rPr>
        <w:t xml:space="preserve"> </w:t>
      </w:r>
      <w:r w:rsidRPr="00FC588B">
        <w:rPr>
          <w:rFonts w:ascii="Arial" w:hAnsi="Arial" w:cs="Arial"/>
          <w:sz w:val="20"/>
          <w:szCs w:val="20"/>
        </w:rPr>
        <w:t>desta Corte, além do próprio Tribunal Pleno em face dos recursos eventualmente</w:t>
      </w:r>
      <w:r w:rsidR="00FC588B">
        <w:rPr>
          <w:rFonts w:ascii="Arial" w:hAnsi="Arial" w:cs="Arial"/>
          <w:sz w:val="20"/>
          <w:szCs w:val="20"/>
        </w:rPr>
        <w:t xml:space="preserve"> </w:t>
      </w:r>
      <w:r w:rsidRPr="00FC588B">
        <w:rPr>
          <w:rFonts w:ascii="Arial" w:hAnsi="Arial" w:cs="Arial"/>
          <w:sz w:val="20"/>
          <w:szCs w:val="20"/>
        </w:rPr>
        <w:t>impetrados pelas partes, de modo que, no interesse da racionalização administrativa</w:t>
      </w:r>
      <w:r w:rsidR="00FC588B">
        <w:rPr>
          <w:rFonts w:ascii="Arial" w:hAnsi="Arial" w:cs="Arial"/>
          <w:sz w:val="20"/>
          <w:szCs w:val="20"/>
        </w:rPr>
        <w:t xml:space="preserve"> </w:t>
      </w:r>
      <w:r w:rsidRPr="00FC588B">
        <w:rPr>
          <w:rFonts w:ascii="Arial" w:hAnsi="Arial" w:cs="Arial"/>
          <w:sz w:val="20"/>
          <w:szCs w:val="20"/>
        </w:rPr>
        <w:t>e economia processual, acolho o posicionamento da COFIT, no sentido do</w:t>
      </w:r>
      <w:r w:rsidR="00FC588B">
        <w:rPr>
          <w:rFonts w:ascii="Arial" w:hAnsi="Arial" w:cs="Arial"/>
          <w:sz w:val="20"/>
          <w:szCs w:val="20"/>
        </w:rPr>
        <w:t xml:space="preserve"> </w:t>
      </w:r>
      <w:r w:rsidRPr="00FC588B">
        <w:rPr>
          <w:rFonts w:ascii="Arial" w:hAnsi="Arial" w:cs="Arial"/>
          <w:sz w:val="20"/>
          <w:szCs w:val="20"/>
        </w:rPr>
        <w:t>encerramento do feito, por considerar ausente pressuposto válido para a regular</w:t>
      </w:r>
      <w:r w:rsidR="00FC588B">
        <w:rPr>
          <w:rFonts w:ascii="Arial" w:hAnsi="Arial" w:cs="Arial"/>
          <w:sz w:val="20"/>
          <w:szCs w:val="20"/>
        </w:rPr>
        <w:t xml:space="preserve"> </w:t>
      </w:r>
      <w:r w:rsidRPr="00FC588B">
        <w:rPr>
          <w:rFonts w:ascii="Arial" w:hAnsi="Arial" w:cs="Arial"/>
          <w:sz w:val="20"/>
          <w:szCs w:val="20"/>
        </w:rPr>
        <w:t>continuidade do processo.</w:t>
      </w:r>
    </w:p>
    <w:p w:rsidR="00FC588B" w:rsidRDefault="00FC588B" w:rsidP="000A7368">
      <w:pPr>
        <w:autoSpaceDE w:val="0"/>
        <w:autoSpaceDN w:val="0"/>
        <w:adjustRightInd w:val="0"/>
        <w:spacing w:after="0" w:line="240" w:lineRule="auto"/>
        <w:jc w:val="both"/>
        <w:rPr>
          <w:rFonts w:ascii="Arial" w:hAnsi="Arial" w:cs="Arial"/>
          <w:sz w:val="20"/>
          <w:szCs w:val="20"/>
        </w:rPr>
      </w:pPr>
    </w:p>
    <w:p w:rsidR="00AB6B34" w:rsidRDefault="00FC588B" w:rsidP="000A73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Processo</w:t>
      </w:r>
      <w:r w:rsidR="00326D0C">
        <w:rPr>
          <w:rFonts w:ascii="Arial" w:hAnsi="Arial" w:cs="Arial"/>
          <w:sz w:val="20"/>
          <w:szCs w:val="20"/>
        </w:rPr>
        <w:t xml:space="preserve"> n° 758427/15 - </w:t>
      </w:r>
      <w:hyperlink r:id="rId12" w:history="1">
        <w:r w:rsidR="00326D0C" w:rsidRPr="000B1D42">
          <w:rPr>
            <w:rStyle w:val="Hyperlink"/>
            <w:rFonts w:ascii="Arial" w:hAnsi="Arial" w:cs="Arial"/>
            <w:sz w:val="20"/>
            <w:szCs w:val="20"/>
          </w:rPr>
          <w:t>Acórdão n° 4719/17 - Segunda Câmara</w:t>
        </w:r>
      </w:hyperlink>
      <w:r w:rsidR="00AB6B34">
        <w:rPr>
          <w:rFonts w:ascii="Arial" w:hAnsi="Arial" w:cs="Arial"/>
          <w:sz w:val="20"/>
          <w:szCs w:val="20"/>
        </w:rPr>
        <w:t xml:space="preserve"> - Rel. Cons. </w:t>
      </w:r>
      <w:proofErr w:type="spellStart"/>
      <w:r w:rsidR="00AB6B34">
        <w:rPr>
          <w:rFonts w:ascii="Arial" w:hAnsi="Arial" w:cs="Arial"/>
          <w:sz w:val="20"/>
          <w:szCs w:val="20"/>
        </w:rPr>
        <w:t>Artagão</w:t>
      </w:r>
      <w:proofErr w:type="spellEnd"/>
      <w:r w:rsidR="00AB6B34">
        <w:rPr>
          <w:rFonts w:ascii="Arial" w:hAnsi="Arial" w:cs="Arial"/>
          <w:sz w:val="20"/>
          <w:szCs w:val="20"/>
        </w:rPr>
        <w:t xml:space="preserve"> de Mattos Leão.</w:t>
      </w:r>
    </w:p>
    <w:p w:rsidR="006D158F" w:rsidRDefault="006D158F" w:rsidP="006D158F">
      <w:pPr>
        <w:autoSpaceDE w:val="0"/>
        <w:autoSpaceDN w:val="0"/>
        <w:adjustRightInd w:val="0"/>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97697F" w:rsidRDefault="00305AFD" w:rsidP="0097697F">
      <w:pPr>
        <w:autoSpaceDE w:val="0"/>
        <w:autoSpaceDN w:val="0"/>
        <w:adjustRightInd w:val="0"/>
        <w:spacing w:after="0"/>
        <w:jc w:val="both"/>
        <w:rPr>
          <w:rFonts w:ascii="Arial" w:hAnsi="Arial" w:cs="Arial"/>
          <w:b/>
          <w:sz w:val="20"/>
        </w:rPr>
      </w:pPr>
      <w:r>
        <w:rPr>
          <w:rFonts w:ascii="Arial" w:hAnsi="Arial" w:cs="Arial"/>
          <w:b/>
          <w:sz w:val="20"/>
        </w:rPr>
        <w:t xml:space="preserve">6. </w:t>
      </w:r>
      <w:r w:rsidR="0097697F" w:rsidRPr="007C6D37">
        <w:rPr>
          <w:rFonts w:ascii="Arial" w:hAnsi="Arial" w:cs="Arial"/>
          <w:b/>
          <w:sz w:val="20"/>
        </w:rPr>
        <w:t xml:space="preserve">Representação da Lei Nº 8.666/1993. Licitação. Adjudicação em lotes. Economicidade. Fornecimento de pneus. </w:t>
      </w:r>
    </w:p>
    <w:p w:rsidR="0097697F" w:rsidRPr="007C6D37" w:rsidRDefault="0097697F" w:rsidP="0097697F">
      <w:pPr>
        <w:autoSpaceDE w:val="0"/>
        <w:autoSpaceDN w:val="0"/>
        <w:adjustRightInd w:val="0"/>
        <w:spacing w:after="0"/>
        <w:jc w:val="both"/>
        <w:rPr>
          <w:rFonts w:ascii="Arial" w:hAnsi="Arial" w:cs="Arial"/>
          <w:b/>
          <w:sz w:val="20"/>
        </w:rPr>
      </w:pPr>
    </w:p>
    <w:p w:rsidR="0097697F" w:rsidRDefault="0097697F" w:rsidP="0097697F">
      <w:pPr>
        <w:autoSpaceDE w:val="0"/>
        <w:autoSpaceDN w:val="0"/>
        <w:adjustRightInd w:val="0"/>
        <w:spacing w:after="0"/>
        <w:jc w:val="both"/>
        <w:rPr>
          <w:rFonts w:ascii="Arial" w:hAnsi="Arial" w:cs="Arial"/>
          <w:sz w:val="20"/>
        </w:rPr>
      </w:pPr>
      <w:r w:rsidRPr="00A146CC">
        <w:rPr>
          <w:rFonts w:ascii="Arial" w:hAnsi="Arial" w:cs="Arial"/>
          <w:sz w:val="20"/>
        </w:rPr>
        <w:t>É possível a adjudicação por lotes quando, por meio dela, se obtém economia de escala e evita-se a ocorrência de prejuízo ao conjunto, pela eventual frustração do fornecimento de pneus ou da sua respectiva câmara de ar, individualizados em itens separados. Tal procedimento não implica em violação ao art. 15, IV, ou ao art. 23, §1º, ambos da Lei nº 8.666/93.</w:t>
      </w:r>
    </w:p>
    <w:p w:rsidR="0097697F" w:rsidRPr="00A146CC" w:rsidRDefault="0097697F" w:rsidP="0097697F">
      <w:pPr>
        <w:autoSpaceDE w:val="0"/>
        <w:autoSpaceDN w:val="0"/>
        <w:adjustRightInd w:val="0"/>
        <w:spacing w:after="0"/>
        <w:jc w:val="both"/>
        <w:rPr>
          <w:rFonts w:ascii="Arial" w:hAnsi="Arial" w:cs="Arial"/>
          <w:sz w:val="20"/>
        </w:rPr>
      </w:pPr>
    </w:p>
    <w:p w:rsidR="0097697F" w:rsidRPr="00A146CC" w:rsidRDefault="0097697F" w:rsidP="0097697F">
      <w:pPr>
        <w:autoSpaceDE w:val="0"/>
        <w:autoSpaceDN w:val="0"/>
        <w:adjustRightInd w:val="0"/>
        <w:spacing w:after="0"/>
        <w:jc w:val="both"/>
        <w:rPr>
          <w:rFonts w:ascii="Arial" w:hAnsi="Arial" w:cs="Arial"/>
          <w:sz w:val="20"/>
        </w:rPr>
      </w:pPr>
      <w:r w:rsidRPr="00A146CC">
        <w:rPr>
          <w:rFonts w:ascii="Arial" w:hAnsi="Arial" w:cs="Arial"/>
          <w:sz w:val="20"/>
        </w:rPr>
        <w:t xml:space="preserve">Processo nº 202213/17. </w:t>
      </w:r>
      <w:hyperlink r:id="rId13" w:history="1">
        <w:r w:rsidRPr="0080058F">
          <w:rPr>
            <w:rStyle w:val="Hyperlink"/>
            <w:rFonts w:ascii="Arial" w:hAnsi="Arial" w:cs="Arial"/>
            <w:sz w:val="20"/>
          </w:rPr>
          <w:t>Acórdão</w:t>
        </w:r>
        <w:r>
          <w:rPr>
            <w:rStyle w:val="Hyperlink"/>
            <w:rFonts w:ascii="Arial" w:hAnsi="Arial" w:cs="Arial"/>
            <w:sz w:val="20"/>
          </w:rPr>
          <w:t xml:space="preserve"> n°</w:t>
        </w:r>
        <w:r w:rsidRPr="0080058F">
          <w:rPr>
            <w:rStyle w:val="Hyperlink"/>
            <w:rFonts w:ascii="Arial" w:hAnsi="Arial" w:cs="Arial"/>
            <w:sz w:val="20"/>
          </w:rPr>
          <w:t xml:space="preserve"> 4815/17 </w:t>
        </w:r>
        <w:r>
          <w:rPr>
            <w:rStyle w:val="Hyperlink"/>
            <w:rFonts w:ascii="Arial" w:hAnsi="Arial" w:cs="Arial"/>
            <w:sz w:val="20"/>
          </w:rPr>
          <w:t>-</w:t>
        </w:r>
        <w:r w:rsidRPr="0080058F">
          <w:rPr>
            <w:rStyle w:val="Hyperlink"/>
            <w:rFonts w:ascii="Arial" w:hAnsi="Arial" w:cs="Arial"/>
            <w:sz w:val="20"/>
          </w:rPr>
          <w:t xml:space="preserve"> Tribunal Pleno</w:t>
        </w:r>
      </w:hyperlink>
      <w:r w:rsidRPr="00A146CC">
        <w:rPr>
          <w:rFonts w:ascii="Arial" w:hAnsi="Arial" w:cs="Arial"/>
          <w:sz w:val="20"/>
        </w:rPr>
        <w:t xml:space="preserve">. </w:t>
      </w:r>
      <w:r>
        <w:rPr>
          <w:rFonts w:ascii="Arial" w:hAnsi="Arial" w:cs="Arial"/>
          <w:sz w:val="20"/>
        </w:rPr>
        <w:t xml:space="preserve">Relator Conselheiro </w:t>
      </w:r>
      <w:r w:rsidRPr="00A146CC">
        <w:rPr>
          <w:rFonts w:ascii="Arial" w:hAnsi="Arial" w:cs="Arial"/>
          <w:sz w:val="20"/>
        </w:rPr>
        <w:t>Ivens Zschoerper Linhares</w:t>
      </w:r>
      <w:r>
        <w:rPr>
          <w:rFonts w:ascii="Arial" w:hAnsi="Arial" w:cs="Arial"/>
          <w:sz w:val="20"/>
        </w:rPr>
        <w:t>.</w:t>
      </w:r>
    </w:p>
    <w:p w:rsidR="0097697F" w:rsidRDefault="0097697F" w:rsidP="0097697F">
      <w:pPr>
        <w:autoSpaceDE w:val="0"/>
        <w:autoSpaceDN w:val="0"/>
        <w:adjustRightInd w:val="0"/>
        <w:spacing w:after="0"/>
        <w:jc w:val="both"/>
        <w:rPr>
          <w:rFonts w:ascii="Arial" w:hAnsi="Arial" w:cs="Arial"/>
          <w:sz w:val="20"/>
          <w:szCs w:val="20"/>
        </w:rPr>
      </w:pPr>
    </w:p>
    <w:p w:rsidR="0097697F" w:rsidRPr="002B05C8" w:rsidRDefault="00730D37" w:rsidP="0097697F">
      <w:pPr>
        <w:autoSpaceDE w:val="0"/>
        <w:autoSpaceDN w:val="0"/>
        <w:adjustRightInd w:val="0"/>
        <w:spacing w:after="0"/>
        <w:jc w:val="both"/>
        <w:rPr>
          <w:rFonts w:ascii="Arial" w:hAnsi="Arial" w:cs="Arial"/>
          <w:b/>
          <w:sz w:val="20"/>
        </w:rPr>
      </w:pPr>
      <w:r>
        <w:rPr>
          <w:rFonts w:ascii="Arial" w:hAnsi="Arial" w:cs="Arial"/>
          <w:b/>
          <w:sz w:val="20"/>
        </w:rPr>
        <w:t xml:space="preserve">7. </w:t>
      </w:r>
      <w:r w:rsidR="0097697F" w:rsidRPr="002B05C8">
        <w:rPr>
          <w:rFonts w:ascii="Arial" w:hAnsi="Arial" w:cs="Arial"/>
          <w:b/>
          <w:sz w:val="20"/>
        </w:rPr>
        <w:t xml:space="preserve">Representação da Lei Nº 8.666/1993. Licitação. Impedimentos. Quadro societário. Fraude. </w:t>
      </w:r>
    </w:p>
    <w:p w:rsidR="0097697F" w:rsidRDefault="0097697F" w:rsidP="0097697F">
      <w:pPr>
        <w:autoSpaceDE w:val="0"/>
        <w:autoSpaceDN w:val="0"/>
        <w:adjustRightInd w:val="0"/>
        <w:spacing w:after="0"/>
        <w:jc w:val="both"/>
        <w:rPr>
          <w:rFonts w:ascii="Arial" w:hAnsi="Arial" w:cs="Arial"/>
          <w:sz w:val="20"/>
        </w:rPr>
      </w:pPr>
    </w:p>
    <w:p w:rsidR="0097697F" w:rsidRDefault="0097697F" w:rsidP="0097697F">
      <w:pPr>
        <w:autoSpaceDE w:val="0"/>
        <w:autoSpaceDN w:val="0"/>
        <w:adjustRightInd w:val="0"/>
        <w:spacing w:after="0"/>
        <w:jc w:val="both"/>
        <w:rPr>
          <w:rFonts w:ascii="Arial" w:hAnsi="Arial" w:cs="Arial"/>
          <w:sz w:val="20"/>
        </w:rPr>
      </w:pPr>
      <w:r w:rsidRPr="00C2528A">
        <w:rPr>
          <w:rFonts w:ascii="Arial" w:hAnsi="Arial" w:cs="Arial"/>
          <w:sz w:val="20"/>
        </w:rPr>
        <w:t>A manipulação do quadro societário da empresa</w:t>
      </w:r>
      <w:r>
        <w:rPr>
          <w:rFonts w:ascii="Arial" w:hAnsi="Arial" w:cs="Arial"/>
          <w:sz w:val="20"/>
        </w:rPr>
        <w:t xml:space="preserve"> pertencente a servidor público</w:t>
      </w:r>
      <w:r w:rsidRPr="00C2528A">
        <w:rPr>
          <w:rFonts w:ascii="Arial" w:hAnsi="Arial" w:cs="Arial"/>
          <w:sz w:val="20"/>
        </w:rPr>
        <w:t>, com objetivo de burlar o impedimento dos sócios em participarem dos procedimentos de licitação,</w:t>
      </w:r>
      <w:r>
        <w:rPr>
          <w:rFonts w:ascii="Arial" w:hAnsi="Arial" w:cs="Arial"/>
          <w:sz w:val="20"/>
        </w:rPr>
        <w:t xml:space="preserve"> por meio de transferência de </w:t>
      </w:r>
      <w:r w:rsidRPr="00C2528A">
        <w:rPr>
          <w:rFonts w:ascii="Arial" w:hAnsi="Arial" w:cs="Arial"/>
          <w:sz w:val="20"/>
        </w:rPr>
        <w:t>suas cotas para parentes próximos e</w:t>
      </w:r>
      <w:r>
        <w:rPr>
          <w:rFonts w:ascii="Arial" w:hAnsi="Arial" w:cs="Arial"/>
          <w:sz w:val="20"/>
        </w:rPr>
        <w:t xml:space="preserve"> a</w:t>
      </w:r>
      <w:r w:rsidRPr="00C2528A">
        <w:rPr>
          <w:rFonts w:ascii="Arial" w:hAnsi="Arial" w:cs="Arial"/>
          <w:sz w:val="20"/>
        </w:rPr>
        <w:t xml:space="preserve"> terceiros configura fraude ao procedimento licitatório. </w:t>
      </w:r>
    </w:p>
    <w:p w:rsidR="0097697F" w:rsidRDefault="0097697F" w:rsidP="0097697F">
      <w:pPr>
        <w:autoSpaceDE w:val="0"/>
        <w:autoSpaceDN w:val="0"/>
        <w:adjustRightInd w:val="0"/>
        <w:spacing w:after="0"/>
        <w:jc w:val="both"/>
        <w:rPr>
          <w:rFonts w:ascii="Arial" w:hAnsi="Arial" w:cs="Arial"/>
          <w:sz w:val="20"/>
        </w:rPr>
      </w:pPr>
    </w:p>
    <w:p w:rsidR="0097697F" w:rsidRPr="00C2528A" w:rsidRDefault="0097697F" w:rsidP="0097697F">
      <w:pPr>
        <w:autoSpaceDE w:val="0"/>
        <w:autoSpaceDN w:val="0"/>
        <w:adjustRightInd w:val="0"/>
        <w:spacing w:after="0"/>
        <w:jc w:val="both"/>
        <w:rPr>
          <w:rFonts w:ascii="Arial" w:hAnsi="Arial" w:cs="Arial"/>
          <w:sz w:val="20"/>
        </w:rPr>
      </w:pPr>
      <w:r>
        <w:rPr>
          <w:rFonts w:ascii="Arial" w:hAnsi="Arial" w:cs="Arial"/>
          <w:sz w:val="20"/>
        </w:rPr>
        <w:t xml:space="preserve">Processo nº 736598/15. </w:t>
      </w:r>
      <w:hyperlink r:id="rId14" w:history="1">
        <w:r w:rsidRPr="009744F4">
          <w:rPr>
            <w:rStyle w:val="Hyperlink"/>
            <w:rFonts w:ascii="Arial" w:hAnsi="Arial" w:cs="Arial"/>
            <w:sz w:val="20"/>
          </w:rPr>
          <w:t>Acórdão</w:t>
        </w:r>
        <w:r>
          <w:rPr>
            <w:rStyle w:val="Hyperlink"/>
            <w:rFonts w:ascii="Arial" w:hAnsi="Arial" w:cs="Arial"/>
            <w:sz w:val="20"/>
          </w:rPr>
          <w:t xml:space="preserve"> n°</w:t>
        </w:r>
        <w:r w:rsidRPr="009744F4">
          <w:rPr>
            <w:rStyle w:val="Hyperlink"/>
            <w:rFonts w:ascii="Arial" w:hAnsi="Arial" w:cs="Arial"/>
            <w:sz w:val="20"/>
          </w:rPr>
          <w:t xml:space="preserve"> 47</w:t>
        </w:r>
        <w:r>
          <w:rPr>
            <w:rStyle w:val="Hyperlink"/>
            <w:rFonts w:ascii="Arial" w:hAnsi="Arial" w:cs="Arial"/>
            <w:sz w:val="20"/>
          </w:rPr>
          <w:t>82</w:t>
        </w:r>
        <w:r w:rsidRPr="009744F4">
          <w:rPr>
            <w:rStyle w:val="Hyperlink"/>
            <w:rFonts w:ascii="Arial" w:hAnsi="Arial" w:cs="Arial"/>
            <w:sz w:val="20"/>
          </w:rPr>
          <w:t xml:space="preserve">/17 </w:t>
        </w:r>
        <w:r>
          <w:rPr>
            <w:rStyle w:val="Hyperlink"/>
            <w:rFonts w:ascii="Arial" w:hAnsi="Arial" w:cs="Arial"/>
            <w:sz w:val="20"/>
          </w:rPr>
          <w:t>-</w:t>
        </w:r>
        <w:r w:rsidRPr="009744F4">
          <w:rPr>
            <w:rStyle w:val="Hyperlink"/>
            <w:rFonts w:ascii="Arial" w:hAnsi="Arial" w:cs="Arial"/>
            <w:sz w:val="20"/>
          </w:rPr>
          <w:t xml:space="preserve"> Tribunal Pleno</w:t>
        </w:r>
      </w:hyperlink>
      <w:r>
        <w:rPr>
          <w:rFonts w:ascii="Arial" w:hAnsi="Arial" w:cs="Arial"/>
          <w:sz w:val="20"/>
        </w:rPr>
        <w:t xml:space="preserve">. Relator </w:t>
      </w:r>
      <w:r w:rsidRPr="00CD3B3F">
        <w:rPr>
          <w:rFonts w:ascii="Arial" w:hAnsi="Arial" w:cs="Arial"/>
          <w:sz w:val="20"/>
        </w:rPr>
        <w:t xml:space="preserve">Conselheiro </w:t>
      </w:r>
      <w:proofErr w:type="spellStart"/>
      <w:r w:rsidRPr="00CD3B3F">
        <w:rPr>
          <w:rFonts w:ascii="Arial" w:hAnsi="Arial" w:cs="Arial"/>
          <w:sz w:val="20"/>
        </w:rPr>
        <w:t>Artagão</w:t>
      </w:r>
      <w:proofErr w:type="spellEnd"/>
      <w:r w:rsidRPr="00CD3B3F">
        <w:rPr>
          <w:rFonts w:ascii="Arial" w:hAnsi="Arial" w:cs="Arial"/>
          <w:sz w:val="20"/>
        </w:rPr>
        <w:t xml:space="preserve"> </w:t>
      </w:r>
      <w:r>
        <w:rPr>
          <w:rFonts w:ascii="Arial" w:hAnsi="Arial" w:cs="Arial"/>
          <w:sz w:val="20"/>
        </w:rPr>
        <w:t>d</w:t>
      </w:r>
      <w:r w:rsidRPr="00CD3B3F">
        <w:rPr>
          <w:rFonts w:ascii="Arial" w:hAnsi="Arial" w:cs="Arial"/>
          <w:sz w:val="20"/>
        </w:rPr>
        <w:t>e Mattos Leão</w:t>
      </w:r>
      <w:r>
        <w:rPr>
          <w:rFonts w:ascii="Arial" w:hAnsi="Arial" w:cs="Arial"/>
          <w:sz w:val="20"/>
        </w:rPr>
        <w:t>.</w:t>
      </w:r>
    </w:p>
    <w:p w:rsidR="0097697F" w:rsidRDefault="0097697F" w:rsidP="0097697F">
      <w:pPr>
        <w:autoSpaceDE w:val="0"/>
        <w:autoSpaceDN w:val="0"/>
        <w:adjustRightInd w:val="0"/>
        <w:spacing w:after="0"/>
        <w:jc w:val="both"/>
        <w:rPr>
          <w:rFonts w:ascii="Arial" w:hAnsi="Arial" w:cs="Arial"/>
          <w:sz w:val="20"/>
          <w:szCs w:val="20"/>
        </w:rPr>
      </w:pPr>
    </w:p>
    <w:p w:rsidR="0097697F" w:rsidRDefault="00547461" w:rsidP="0097697F">
      <w:pPr>
        <w:autoSpaceDE w:val="0"/>
        <w:autoSpaceDN w:val="0"/>
        <w:adjustRightInd w:val="0"/>
        <w:spacing w:after="0"/>
        <w:jc w:val="both"/>
        <w:rPr>
          <w:rFonts w:ascii="Arial" w:hAnsi="Arial" w:cs="Arial"/>
          <w:b/>
          <w:sz w:val="20"/>
        </w:rPr>
      </w:pPr>
      <w:r>
        <w:rPr>
          <w:rFonts w:ascii="Arial" w:hAnsi="Arial" w:cs="Arial"/>
          <w:b/>
          <w:sz w:val="20"/>
        </w:rPr>
        <w:lastRenderedPageBreak/>
        <w:t xml:space="preserve">8. </w:t>
      </w:r>
      <w:r w:rsidR="0097697F" w:rsidRPr="003929C3">
        <w:rPr>
          <w:rFonts w:ascii="Arial" w:hAnsi="Arial" w:cs="Arial"/>
          <w:b/>
          <w:sz w:val="20"/>
        </w:rPr>
        <w:t xml:space="preserve">Representação da Lei Nº 8.666/1993. Licitação. Exigência de Balanço Patrimonial. Microempresas ou empresa de pequeno porte. </w:t>
      </w:r>
    </w:p>
    <w:p w:rsidR="0097697F" w:rsidRPr="003929C3" w:rsidRDefault="0097697F" w:rsidP="0097697F">
      <w:pPr>
        <w:autoSpaceDE w:val="0"/>
        <w:autoSpaceDN w:val="0"/>
        <w:adjustRightInd w:val="0"/>
        <w:spacing w:after="0"/>
        <w:jc w:val="both"/>
        <w:rPr>
          <w:rFonts w:ascii="Arial" w:hAnsi="Arial" w:cs="Arial"/>
          <w:b/>
          <w:sz w:val="20"/>
        </w:rPr>
      </w:pPr>
    </w:p>
    <w:p w:rsidR="0097697F" w:rsidRDefault="0097697F" w:rsidP="0097697F">
      <w:pPr>
        <w:autoSpaceDE w:val="0"/>
        <w:autoSpaceDN w:val="0"/>
        <w:adjustRightInd w:val="0"/>
        <w:spacing w:after="0"/>
        <w:jc w:val="both"/>
        <w:rPr>
          <w:rFonts w:ascii="Arial" w:hAnsi="Arial" w:cs="Arial"/>
          <w:sz w:val="20"/>
        </w:rPr>
      </w:pPr>
      <w:r w:rsidRPr="00342CCC">
        <w:rPr>
          <w:rFonts w:ascii="Arial" w:hAnsi="Arial" w:cs="Arial"/>
          <w:sz w:val="20"/>
        </w:rPr>
        <w:t>Há expressa vedação legal à exigência de apresentação de balanço patrimonial do último exercício social pelas microempresas ou empresas de pequeno porte para fins de habilitação em licitações para fornecimento de bens para pronta entrega, conforme art. 3º do</w:t>
      </w:r>
      <w:r>
        <w:rPr>
          <w:rFonts w:ascii="Arial" w:hAnsi="Arial" w:cs="Arial"/>
          <w:sz w:val="20"/>
        </w:rPr>
        <w:t xml:space="preserve"> Decreto Federal nº 6204/2007.</w:t>
      </w:r>
      <w:r w:rsidRPr="00342CCC">
        <w:rPr>
          <w:rFonts w:ascii="Arial" w:hAnsi="Arial" w:cs="Arial"/>
          <w:sz w:val="20"/>
        </w:rPr>
        <w:t xml:space="preserve"> </w:t>
      </w:r>
    </w:p>
    <w:p w:rsidR="003E035D" w:rsidRDefault="003E035D" w:rsidP="0097697F">
      <w:pPr>
        <w:autoSpaceDE w:val="0"/>
        <w:autoSpaceDN w:val="0"/>
        <w:adjustRightInd w:val="0"/>
        <w:spacing w:after="0"/>
        <w:jc w:val="both"/>
        <w:rPr>
          <w:rFonts w:ascii="Arial" w:hAnsi="Arial" w:cs="Arial"/>
          <w:sz w:val="20"/>
        </w:rPr>
      </w:pPr>
    </w:p>
    <w:p w:rsidR="0097697F" w:rsidRDefault="0097697F" w:rsidP="0097697F">
      <w:pPr>
        <w:autoSpaceDE w:val="0"/>
        <w:autoSpaceDN w:val="0"/>
        <w:adjustRightInd w:val="0"/>
        <w:spacing w:after="0"/>
        <w:jc w:val="both"/>
        <w:rPr>
          <w:rFonts w:ascii="Arial" w:hAnsi="Arial" w:cs="Arial"/>
          <w:sz w:val="20"/>
        </w:rPr>
      </w:pPr>
      <w:r>
        <w:rPr>
          <w:rFonts w:ascii="Arial" w:hAnsi="Arial" w:cs="Arial"/>
          <w:sz w:val="20"/>
        </w:rPr>
        <w:t xml:space="preserve">Processo nº 814030/17. </w:t>
      </w:r>
      <w:hyperlink r:id="rId15" w:history="1">
        <w:r w:rsidRPr="00983837">
          <w:rPr>
            <w:rStyle w:val="Hyperlink"/>
            <w:rFonts w:ascii="Arial" w:hAnsi="Arial" w:cs="Arial"/>
            <w:sz w:val="20"/>
          </w:rPr>
          <w:t>Acórdão</w:t>
        </w:r>
        <w:r>
          <w:rPr>
            <w:rStyle w:val="Hyperlink"/>
            <w:rFonts w:ascii="Arial" w:hAnsi="Arial" w:cs="Arial"/>
            <w:sz w:val="20"/>
          </w:rPr>
          <w:t xml:space="preserve"> n°</w:t>
        </w:r>
        <w:r w:rsidRPr="00983837">
          <w:rPr>
            <w:rStyle w:val="Hyperlink"/>
            <w:rFonts w:ascii="Arial" w:hAnsi="Arial" w:cs="Arial"/>
            <w:sz w:val="20"/>
          </w:rPr>
          <w:t xml:space="preserve"> 4817/17 </w:t>
        </w:r>
        <w:r>
          <w:rPr>
            <w:rStyle w:val="Hyperlink"/>
            <w:rFonts w:ascii="Arial" w:hAnsi="Arial" w:cs="Arial"/>
            <w:sz w:val="20"/>
          </w:rPr>
          <w:t>-</w:t>
        </w:r>
        <w:r w:rsidRPr="00983837">
          <w:rPr>
            <w:rStyle w:val="Hyperlink"/>
            <w:rFonts w:ascii="Arial" w:hAnsi="Arial" w:cs="Arial"/>
            <w:sz w:val="20"/>
          </w:rPr>
          <w:t xml:space="preserve"> Tribunal Pleno</w:t>
        </w:r>
      </w:hyperlink>
      <w:r>
        <w:rPr>
          <w:rFonts w:ascii="Arial" w:hAnsi="Arial" w:cs="Arial"/>
          <w:sz w:val="20"/>
        </w:rPr>
        <w:t xml:space="preserve">. Relator Conselheiro </w:t>
      </w:r>
      <w:r w:rsidRPr="00342CCC">
        <w:rPr>
          <w:rFonts w:ascii="Arial" w:hAnsi="Arial" w:cs="Arial"/>
          <w:sz w:val="20"/>
        </w:rPr>
        <w:t>Ivens Zschoerper Linhares.</w:t>
      </w:r>
    </w:p>
    <w:p w:rsidR="0097697F" w:rsidRDefault="0097697F" w:rsidP="0097697F">
      <w:pPr>
        <w:autoSpaceDE w:val="0"/>
        <w:autoSpaceDN w:val="0"/>
        <w:adjustRightInd w:val="0"/>
        <w:spacing w:after="0"/>
        <w:jc w:val="both"/>
        <w:rPr>
          <w:rFonts w:ascii="Arial" w:hAnsi="Arial" w:cs="Arial"/>
          <w:sz w:val="20"/>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DE782C" w:rsidRDefault="00DE782C" w:rsidP="00DE782C">
      <w:pPr>
        <w:spacing w:after="0"/>
        <w:jc w:val="both"/>
        <w:rPr>
          <w:rFonts w:ascii="Arial" w:hAnsi="Arial" w:cs="Arial"/>
          <w:b/>
          <w:color w:val="000000"/>
          <w:sz w:val="20"/>
          <w:szCs w:val="20"/>
        </w:rPr>
      </w:pPr>
    </w:p>
    <w:p w:rsidR="00DE782C" w:rsidRPr="0022060B" w:rsidRDefault="00DE782C" w:rsidP="00DE782C">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p>
    <w:p w:rsidR="00DE782C" w:rsidRDefault="00DE782C" w:rsidP="00816942">
      <w:pPr>
        <w:spacing w:after="0"/>
        <w:jc w:val="both"/>
        <w:rPr>
          <w:rFonts w:ascii="Arial" w:hAnsi="Arial" w:cs="Arial"/>
          <w:b/>
          <w:color w:val="000000"/>
          <w:sz w:val="20"/>
          <w:szCs w:val="20"/>
        </w:rPr>
      </w:pPr>
    </w:p>
    <w:p w:rsidR="005F7AE1" w:rsidRPr="00B96F83" w:rsidRDefault="003649D8" w:rsidP="00816942">
      <w:pPr>
        <w:spacing w:after="0"/>
        <w:jc w:val="both"/>
        <w:rPr>
          <w:rFonts w:ascii="Arial" w:hAnsi="Arial" w:cs="Arial"/>
          <w:b/>
          <w:sz w:val="20"/>
          <w:szCs w:val="20"/>
        </w:rPr>
      </w:pPr>
      <w:hyperlink r:id="rId16" w:history="1">
        <w:r w:rsidR="003E236B" w:rsidRPr="00B96F83">
          <w:rPr>
            <w:rStyle w:val="Hyperlink"/>
            <w:rFonts w:ascii="Arial" w:hAnsi="Arial" w:cs="Arial"/>
            <w:b/>
            <w:sz w:val="20"/>
            <w:szCs w:val="20"/>
            <w:shd w:val="clear" w:color="auto" w:fill="FFFFFF"/>
          </w:rPr>
          <w:t xml:space="preserve">RE 851711 </w:t>
        </w:r>
        <w:proofErr w:type="spellStart"/>
        <w:r w:rsidR="003E236B" w:rsidRPr="00B96F83">
          <w:rPr>
            <w:rStyle w:val="Hyperlink"/>
            <w:rFonts w:ascii="Arial" w:hAnsi="Arial" w:cs="Arial"/>
            <w:b/>
            <w:sz w:val="20"/>
            <w:szCs w:val="20"/>
            <w:shd w:val="clear" w:color="auto" w:fill="FFFFFF"/>
          </w:rPr>
          <w:t>AgR</w:t>
        </w:r>
        <w:proofErr w:type="spellEnd"/>
        <w:r w:rsidR="003E236B" w:rsidRPr="00B96F83">
          <w:rPr>
            <w:rStyle w:val="Hyperlink"/>
            <w:rFonts w:ascii="Arial" w:hAnsi="Arial" w:cs="Arial"/>
            <w:b/>
            <w:sz w:val="20"/>
            <w:szCs w:val="20"/>
            <w:shd w:val="clear" w:color="auto" w:fill="FFFFFF"/>
          </w:rPr>
          <w:t>/DF, rel. Min. Marco Aurélio, julgamento em 12.12.2017. (RE-851711)</w:t>
        </w:r>
      </w:hyperlink>
    </w:p>
    <w:p w:rsidR="002231AF" w:rsidRDefault="002231AF" w:rsidP="00816942">
      <w:pPr>
        <w:spacing w:after="0"/>
        <w:jc w:val="both"/>
        <w:rPr>
          <w:rFonts w:ascii="Tahoma" w:hAnsi="Tahoma" w:cs="Tahoma"/>
          <w:b/>
          <w:bCs/>
          <w:color w:val="587E93"/>
          <w:sz w:val="17"/>
          <w:szCs w:val="17"/>
          <w:shd w:val="clear" w:color="auto" w:fill="FFFFFF"/>
        </w:rPr>
      </w:pPr>
    </w:p>
    <w:p w:rsidR="005F7AE1" w:rsidRPr="002231AF" w:rsidRDefault="002231AF" w:rsidP="00816942">
      <w:pPr>
        <w:spacing w:after="0"/>
        <w:jc w:val="both"/>
        <w:rPr>
          <w:rFonts w:ascii="Arial" w:hAnsi="Arial" w:cs="Arial"/>
          <w:b/>
          <w:sz w:val="20"/>
          <w:szCs w:val="20"/>
        </w:rPr>
      </w:pPr>
      <w:r w:rsidRPr="002231AF">
        <w:rPr>
          <w:rFonts w:ascii="Arial" w:hAnsi="Arial" w:cs="Arial"/>
          <w:b/>
          <w:bCs/>
          <w:sz w:val="20"/>
          <w:szCs w:val="20"/>
          <w:shd w:val="clear" w:color="auto" w:fill="FFFFFF"/>
        </w:rPr>
        <w:t>Empresas Públicas e execução de débitos via precatório</w:t>
      </w:r>
    </w:p>
    <w:p w:rsidR="005F7AE1" w:rsidRDefault="005F7AE1" w:rsidP="00816942">
      <w:pPr>
        <w:spacing w:after="0"/>
        <w:jc w:val="both"/>
        <w:rPr>
          <w:rFonts w:ascii="Arial" w:hAnsi="Arial" w:cs="Arial"/>
          <w:b/>
          <w:color w:val="000000"/>
          <w:sz w:val="20"/>
          <w:szCs w:val="20"/>
        </w:rPr>
      </w:pPr>
    </w:p>
    <w:p w:rsidR="002231AF" w:rsidRDefault="002231AF" w:rsidP="00816942">
      <w:pPr>
        <w:spacing w:after="0"/>
        <w:jc w:val="both"/>
        <w:rPr>
          <w:rFonts w:ascii="Arial" w:hAnsi="Arial" w:cs="Arial"/>
          <w:sz w:val="20"/>
          <w:szCs w:val="20"/>
          <w:shd w:val="clear" w:color="auto" w:fill="FFFFFF"/>
        </w:rPr>
      </w:pPr>
      <w:r w:rsidRPr="002231AF">
        <w:rPr>
          <w:rFonts w:ascii="Arial" w:hAnsi="Arial" w:cs="Arial"/>
          <w:sz w:val="20"/>
          <w:szCs w:val="20"/>
          <w:shd w:val="clear" w:color="auto" w:fill="FFFFFF"/>
        </w:rPr>
        <w:t>As empresas públicas e sociedades de economia mista não têm direito à prerrogativa de execução via precatório.</w:t>
      </w:r>
    </w:p>
    <w:p w:rsidR="002231AF" w:rsidRPr="002231AF" w:rsidRDefault="002231AF" w:rsidP="00816942">
      <w:pPr>
        <w:spacing w:after="0"/>
        <w:jc w:val="both"/>
        <w:rPr>
          <w:rFonts w:ascii="Arial" w:hAnsi="Arial" w:cs="Arial"/>
          <w:sz w:val="20"/>
          <w:szCs w:val="20"/>
          <w:shd w:val="clear" w:color="auto" w:fill="FFFFFF"/>
        </w:rPr>
      </w:pPr>
      <w:r w:rsidRPr="002231AF">
        <w:rPr>
          <w:rFonts w:ascii="Arial" w:hAnsi="Arial" w:cs="Arial"/>
          <w:sz w:val="20"/>
          <w:szCs w:val="20"/>
          <w:shd w:val="clear" w:color="auto" w:fill="FFFFFF"/>
        </w:rPr>
        <w:t>Esse é o entendimento da Primeira Turma, que, por maioria, negou provimento a agravo regimental em recurso extraordinário.</w:t>
      </w:r>
    </w:p>
    <w:p w:rsidR="002231AF" w:rsidRPr="002231AF" w:rsidRDefault="002231AF" w:rsidP="00816942">
      <w:pPr>
        <w:spacing w:after="0"/>
        <w:jc w:val="both"/>
        <w:rPr>
          <w:rFonts w:ascii="Arial" w:hAnsi="Arial" w:cs="Arial"/>
          <w:sz w:val="20"/>
          <w:szCs w:val="20"/>
          <w:shd w:val="clear" w:color="auto" w:fill="FFFFFF"/>
        </w:rPr>
      </w:pPr>
    </w:p>
    <w:p w:rsidR="002231AF" w:rsidRPr="002231AF" w:rsidRDefault="002C3259" w:rsidP="00816942">
      <w:pPr>
        <w:spacing w:after="0"/>
        <w:jc w:val="both"/>
        <w:rPr>
          <w:rFonts w:ascii="Arial" w:hAnsi="Arial" w:cs="Arial"/>
          <w:sz w:val="20"/>
          <w:szCs w:val="20"/>
          <w:shd w:val="clear" w:color="auto" w:fill="FFFFFF"/>
        </w:rPr>
      </w:pPr>
      <w:r>
        <w:rPr>
          <w:rFonts w:ascii="Arial" w:hAnsi="Arial" w:cs="Arial"/>
          <w:sz w:val="20"/>
          <w:szCs w:val="20"/>
          <w:shd w:val="clear" w:color="auto" w:fill="FFFFFF"/>
        </w:rPr>
        <w:t xml:space="preserve">A </w:t>
      </w:r>
      <w:r w:rsidR="002231AF" w:rsidRPr="002231AF">
        <w:rPr>
          <w:rFonts w:ascii="Arial" w:hAnsi="Arial" w:cs="Arial"/>
          <w:sz w:val="20"/>
          <w:szCs w:val="20"/>
          <w:shd w:val="clear" w:color="auto" w:fill="FFFFFF"/>
        </w:rPr>
        <w:t>agravante, empresa pública constituída com capital integralmente pertencente ao Estado do Paraná e prestadora de serviço público, sustentava ter direito à execução de débitos via precatório, consoante o art. 100 da Constituição Federal (CF).</w:t>
      </w:r>
    </w:p>
    <w:p w:rsidR="002C3259" w:rsidRDefault="002231AF" w:rsidP="00816942">
      <w:pPr>
        <w:spacing w:after="0"/>
        <w:jc w:val="both"/>
        <w:rPr>
          <w:rFonts w:ascii="Arial" w:hAnsi="Arial" w:cs="Arial"/>
          <w:sz w:val="20"/>
          <w:szCs w:val="20"/>
          <w:shd w:val="clear" w:color="auto" w:fill="FFFFFF"/>
        </w:rPr>
      </w:pPr>
      <w:r w:rsidRPr="002231AF">
        <w:rPr>
          <w:rFonts w:ascii="Arial" w:hAnsi="Arial" w:cs="Arial"/>
          <w:sz w:val="20"/>
          <w:szCs w:val="20"/>
        </w:rPr>
        <w:br/>
      </w:r>
      <w:r w:rsidRPr="002231AF">
        <w:rPr>
          <w:rFonts w:ascii="Arial" w:hAnsi="Arial" w:cs="Arial"/>
          <w:sz w:val="20"/>
          <w:szCs w:val="20"/>
          <w:shd w:val="clear" w:color="auto" w:fill="FFFFFF"/>
        </w:rPr>
        <w:t>A Turma entendeu pela aplicação do art. 173, §1º, inciso II, da CF, o qual submete a empresa pública ao regime jurídico próprio das empresas privadas, inclusive quanto aos direitos e obrigações civis, comerciais, trabalhistas e tributários. Assim sendo, observou incongruente considerar os bens integrantes do patrimônio de empresas públicas, enquanto pessoas jurídicas de direito privado, como bens públicos, a fim de gozar das vantagens decorrentes.</w:t>
      </w:r>
    </w:p>
    <w:p w:rsidR="000800D1" w:rsidRPr="0022060B" w:rsidRDefault="002231AF" w:rsidP="00816942">
      <w:pPr>
        <w:spacing w:after="0"/>
        <w:jc w:val="both"/>
        <w:rPr>
          <w:rFonts w:ascii="Arial" w:hAnsi="Arial" w:cs="Arial"/>
          <w:b/>
          <w:color w:val="000000"/>
          <w:sz w:val="20"/>
          <w:szCs w:val="20"/>
        </w:rPr>
      </w:pPr>
      <w:r>
        <w:rPr>
          <w:rFonts w:ascii="Tahoma" w:hAnsi="Tahoma" w:cs="Tahoma"/>
          <w:color w:val="587E93"/>
          <w:sz w:val="17"/>
          <w:szCs w:val="17"/>
        </w:rPr>
        <w:br/>
      </w:r>
      <w:r w:rsidR="000800D1" w:rsidRPr="0022060B">
        <w:rPr>
          <w:rFonts w:ascii="Arial" w:hAnsi="Arial" w:cs="Arial"/>
          <w:b/>
          <w:color w:val="000000"/>
          <w:sz w:val="20"/>
          <w:szCs w:val="20"/>
        </w:rPr>
        <w:t>Superior Tribunal de Justiça:</w:t>
      </w:r>
    </w:p>
    <w:p w:rsidR="00CC4E55" w:rsidRDefault="00CC4E55" w:rsidP="006E12D5">
      <w:pPr>
        <w:spacing w:after="0"/>
        <w:jc w:val="both"/>
        <w:rPr>
          <w:rFonts w:ascii="Arial" w:hAnsi="Arial" w:cs="Arial"/>
          <w:b/>
          <w:color w:val="000000"/>
          <w:sz w:val="20"/>
          <w:szCs w:val="20"/>
        </w:rPr>
      </w:pPr>
    </w:p>
    <w:p w:rsidR="000D322C" w:rsidRPr="000D322C" w:rsidRDefault="003649D8" w:rsidP="006E12D5">
      <w:pPr>
        <w:spacing w:after="0"/>
        <w:jc w:val="both"/>
        <w:rPr>
          <w:rFonts w:ascii="Arial" w:hAnsi="Arial" w:cs="Arial"/>
          <w:sz w:val="20"/>
          <w:szCs w:val="20"/>
          <w:shd w:val="clear" w:color="auto" w:fill="FFFFFF"/>
        </w:rPr>
      </w:pPr>
      <w:hyperlink r:id="rId17" w:history="1">
        <w:proofErr w:type="spellStart"/>
        <w:r w:rsidR="000D322C" w:rsidRPr="000D322C">
          <w:rPr>
            <w:rStyle w:val="Hyperlink"/>
            <w:rFonts w:ascii="Arial" w:hAnsi="Arial" w:cs="Arial"/>
            <w:b/>
            <w:sz w:val="20"/>
            <w:szCs w:val="20"/>
            <w:shd w:val="clear" w:color="auto" w:fill="FFFFFF"/>
          </w:rPr>
          <w:t>AREsp</w:t>
        </w:r>
        <w:proofErr w:type="spellEnd"/>
        <w:r w:rsidR="000D322C" w:rsidRPr="000D322C">
          <w:rPr>
            <w:rStyle w:val="Hyperlink"/>
            <w:rFonts w:ascii="Arial" w:hAnsi="Arial" w:cs="Arial"/>
            <w:b/>
            <w:sz w:val="20"/>
            <w:szCs w:val="20"/>
            <w:shd w:val="clear" w:color="auto" w:fill="FFFFFF"/>
          </w:rPr>
          <w:t xml:space="preserve"> 613.239-RS</w:t>
        </w:r>
      </w:hyperlink>
      <w:r w:rsidR="000D322C" w:rsidRPr="000D322C">
        <w:rPr>
          <w:rFonts w:ascii="Arial" w:hAnsi="Arial" w:cs="Arial"/>
          <w:sz w:val="20"/>
          <w:szCs w:val="20"/>
          <w:shd w:val="clear" w:color="auto" w:fill="FFFFFF"/>
        </w:rPr>
        <w:t xml:space="preserve">, Rel. Min. Benedito Gonçalves, Primeira Turma, por unanimidade, julgado em 07/11/2017, </w:t>
      </w:r>
      <w:proofErr w:type="spellStart"/>
      <w:r w:rsidR="000D322C" w:rsidRPr="000D322C">
        <w:rPr>
          <w:rFonts w:ascii="Arial" w:hAnsi="Arial" w:cs="Arial"/>
          <w:sz w:val="20"/>
          <w:szCs w:val="20"/>
          <w:shd w:val="clear" w:color="auto" w:fill="FFFFFF"/>
        </w:rPr>
        <w:t>DJe</w:t>
      </w:r>
      <w:proofErr w:type="spellEnd"/>
      <w:r w:rsidR="000D322C" w:rsidRPr="000D322C">
        <w:rPr>
          <w:rFonts w:ascii="Arial" w:hAnsi="Arial" w:cs="Arial"/>
          <w:sz w:val="20"/>
          <w:szCs w:val="20"/>
          <w:shd w:val="clear" w:color="auto" w:fill="FFFFFF"/>
        </w:rPr>
        <w:t xml:space="preserve"> 16/11/2017</w:t>
      </w:r>
    </w:p>
    <w:p w:rsidR="000D322C" w:rsidRPr="000D322C" w:rsidRDefault="000D322C" w:rsidP="006E12D5">
      <w:pPr>
        <w:spacing w:after="0"/>
        <w:jc w:val="both"/>
        <w:rPr>
          <w:rFonts w:ascii="Arial" w:hAnsi="Arial" w:cs="Arial"/>
          <w:sz w:val="20"/>
          <w:szCs w:val="20"/>
          <w:shd w:val="clear" w:color="auto" w:fill="FFFFFF"/>
        </w:rPr>
      </w:pPr>
    </w:p>
    <w:p w:rsidR="000D322C" w:rsidRDefault="000D322C" w:rsidP="006E12D5">
      <w:pPr>
        <w:spacing w:after="0"/>
        <w:jc w:val="both"/>
        <w:rPr>
          <w:rFonts w:ascii="Arial" w:hAnsi="Arial" w:cs="Arial"/>
          <w:b/>
          <w:sz w:val="20"/>
          <w:szCs w:val="20"/>
          <w:shd w:val="clear" w:color="auto" w:fill="FFFFFF"/>
        </w:rPr>
      </w:pPr>
      <w:r w:rsidRPr="000D322C">
        <w:rPr>
          <w:rFonts w:ascii="Arial" w:hAnsi="Arial" w:cs="Arial"/>
          <w:b/>
          <w:sz w:val="20"/>
          <w:szCs w:val="20"/>
          <w:shd w:val="clear" w:color="auto" w:fill="FFFFFF"/>
        </w:rPr>
        <w:lastRenderedPageBreak/>
        <w:t>Franquias postais. Lei n. 11.668/2008. Licitação. Necessidade. Encerramento de contratos vigentes antes das novas contratações. Impossibilidade. Decreto n</w:t>
      </w:r>
      <w:r>
        <w:rPr>
          <w:rFonts w:ascii="Arial" w:hAnsi="Arial" w:cs="Arial"/>
          <w:b/>
          <w:sz w:val="20"/>
          <w:szCs w:val="20"/>
          <w:shd w:val="clear" w:color="auto" w:fill="FFFFFF"/>
        </w:rPr>
        <w:t>º</w:t>
      </w:r>
      <w:r w:rsidRPr="000D322C">
        <w:rPr>
          <w:rFonts w:ascii="Arial" w:hAnsi="Arial" w:cs="Arial"/>
          <w:b/>
          <w:sz w:val="20"/>
          <w:szCs w:val="20"/>
          <w:shd w:val="clear" w:color="auto" w:fill="FFFFFF"/>
        </w:rPr>
        <w:t xml:space="preserve"> 6.639/2008. Extrapolação do poder regulamentar. Violação ao princípio da legalidade.</w:t>
      </w:r>
    </w:p>
    <w:p w:rsidR="000D322C" w:rsidRDefault="000D322C" w:rsidP="006E12D5">
      <w:pPr>
        <w:spacing w:after="0"/>
        <w:jc w:val="both"/>
        <w:rPr>
          <w:rFonts w:ascii="Arial" w:hAnsi="Arial" w:cs="Arial"/>
          <w:b/>
          <w:sz w:val="20"/>
          <w:szCs w:val="20"/>
          <w:shd w:val="clear" w:color="auto" w:fill="FFFFFF"/>
        </w:rPr>
      </w:pPr>
    </w:p>
    <w:p w:rsidR="000D322C" w:rsidRPr="000D322C" w:rsidRDefault="000D322C" w:rsidP="006E12D5">
      <w:pPr>
        <w:spacing w:after="0"/>
        <w:jc w:val="both"/>
        <w:rPr>
          <w:rFonts w:ascii="Arial" w:hAnsi="Arial" w:cs="Arial"/>
          <w:b/>
          <w:sz w:val="20"/>
          <w:szCs w:val="20"/>
        </w:rPr>
      </w:pPr>
      <w:r w:rsidRPr="000D322C">
        <w:rPr>
          <w:rFonts w:ascii="Arial" w:hAnsi="Arial" w:cs="Arial"/>
          <w:sz w:val="20"/>
          <w:szCs w:val="20"/>
          <w:shd w:val="clear" w:color="auto" w:fill="FFFFFF"/>
        </w:rPr>
        <w:t>Os contratos das Agências de Correios Franqueadas em vigor em 27 de novembro de 2007 que não sejam precedidos de licitação possuem eficácia até que as novas avenças sejam firmadas, ainda que descumprido o prazo estabelecido pelo art. 7º, parágrafo único, da Lei n. 11.668/2008.</w:t>
      </w:r>
    </w:p>
    <w:p w:rsidR="00163367" w:rsidRDefault="00163367" w:rsidP="006E12D5">
      <w:pPr>
        <w:spacing w:after="0"/>
        <w:jc w:val="both"/>
        <w:rPr>
          <w:rFonts w:ascii="Arial" w:hAnsi="Arial" w:cs="Arial"/>
          <w:b/>
          <w:color w:val="000000"/>
          <w:sz w:val="20"/>
          <w:szCs w:val="20"/>
        </w:rPr>
      </w:pPr>
    </w:p>
    <w:p w:rsidR="000800D1" w:rsidRPr="00DB558E"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0E5067" w:rsidRDefault="000E5067" w:rsidP="00E30116">
      <w:pPr>
        <w:widowControl w:val="0"/>
        <w:autoSpaceDE w:val="0"/>
        <w:autoSpaceDN w:val="0"/>
        <w:jc w:val="both"/>
        <w:rPr>
          <w:rFonts w:ascii="Arial" w:hAnsi="Arial"/>
          <w:b/>
          <w:sz w:val="20"/>
          <w:szCs w:val="20"/>
        </w:rPr>
      </w:pPr>
    </w:p>
    <w:p w:rsidR="00E30116" w:rsidRPr="00DE71E0" w:rsidRDefault="003649D8" w:rsidP="00E30116">
      <w:pPr>
        <w:widowControl w:val="0"/>
        <w:autoSpaceDE w:val="0"/>
        <w:autoSpaceDN w:val="0"/>
        <w:jc w:val="both"/>
        <w:rPr>
          <w:rFonts w:ascii="Arial" w:hAnsi="Arial" w:cs="Arial"/>
          <w:b/>
          <w:sz w:val="20"/>
          <w:szCs w:val="20"/>
        </w:rPr>
      </w:pPr>
      <w:hyperlink r:id="rId18" w:history="1">
        <w:r w:rsidR="00E30116" w:rsidRPr="00542D11">
          <w:rPr>
            <w:rStyle w:val="Hyperlink"/>
            <w:rFonts w:ascii="Arial" w:hAnsi="Arial"/>
            <w:b/>
            <w:sz w:val="20"/>
            <w:szCs w:val="20"/>
          </w:rPr>
          <w:t>Acórdão 9690/2017</w:t>
        </w:r>
        <w:r w:rsidR="00BE5E51" w:rsidRPr="00542D11">
          <w:rPr>
            <w:rStyle w:val="Hyperlink"/>
            <w:rFonts w:ascii="Arial" w:hAnsi="Arial"/>
            <w:b/>
            <w:sz w:val="20"/>
            <w:szCs w:val="20"/>
          </w:rPr>
          <w:t xml:space="preserve"> -</w:t>
        </w:r>
        <w:r w:rsidR="00E30116" w:rsidRPr="00542D11">
          <w:rPr>
            <w:rStyle w:val="Hyperlink"/>
            <w:rFonts w:ascii="Arial" w:hAnsi="Arial"/>
            <w:b/>
            <w:sz w:val="20"/>
            <w:szCs w:val="20"/>
          </w:rPr>
          <w:t xml:space="preserve"> Segunda Câmara</w:t>
        </w:r>
      </w:hyperlink>
      <w:r w:rsidR="00E30116" w:rsidRPr="00DE71E0">
        <w:rPr>
          <w:rFonts w:ascii="Arial" w:hAnsi="Arial"/>
          <w:b/>
          <w:sz w:val="20"/>
          <w:szCs w:val="20"/>
        </w:rPr>
        <w:t xml:space="preserve"> </w:t>
      </w:r>
      <w:r w:rsidR="00E30116" w:rsidRPr="00DE71E0">
        <w:rPr>
          <w:rFonts w:ascii="Arial" w:hAnsi="Arial"/>
          <w:sz w:val="20"/>
          <w:szCs w:val="20"/>
        </w:rPr>
        <w:t>(Recurso de Reconsideração, Relator Ministro Aroldo Cedraz)</w:t>
      </w:r>
    </w:p>
    <w:p w:rsidR="00E30116" w:rsidRPr="00163367" w:rsidRDefault="00E30116" w:rsidP="00E30116">
      <w:pPr>
        <w:jc w:val="both"/>
        <w:rPr>
          <w:rFonts w:ascii="Arial" w:hAnsi="Arial" w:cs="Arial"/>
          <w:b/>
          <w:sz w:val="20"/>
          <w:szCs w:val="20"/>
        </w:rPr>
      </w:pPr>
      <w:r w:rsidRPr="00163367">
        <w:rPr>
          <w:rFonts w:ascii="Arial" w:hAnsi="Arial"/>
          <w:b/>
          <w:sz w:val="20"/>
          <w:szCs w:val="20"/>
        </w:rPr>
        <w:t>Convênio. Prestação de contas. Documentação. Certificado de Registro e Licenciamento de Veículos. Ambulância.</w:t>
      </w:r>
    </w:p>
    <w:p w:rsidR="00E30116" w:rsidRDefault="00E30116" w:rsidP="00E30116">
      <w:pPr>
        <w:pStyle w:val="TCU-Epgrafe"/>
        <w:spacing w:after="200" w:line="276" w:lineRule="auto"/>
        <w:ind w:left="0"/>
        <w:rPr>
          <w:rFonts w:ascii="Arial" w:hAnsi="Arial"/>
          <w:sz w:val="20"/>
        </w:rPr>
      </w:pPr>
      <w:r w:rsidRPr="00DE71E0">
        <w:rPr>
          <w:rFonts w:ascii="Arial" w:hAnsi="Arial"/>
          <w:sz w:val="20"/>
        </w:rPr>
        <w:t>Na prestação de contas de convênio para aquisição de unidade móvel de saúde, é exigível o Certificado de Registro e Licenciamento do Veículo (CRLV) em nome do convenente.</w:t>
      </w:r>
    </w:p>
    <w:p w:rsidR="00EF6B69" w:rsidRPr="00EF6B69" w:rsidRDefault="003649D8" w:rsidP="00EF6B69">
      <w:pPr>
        <w:widowControl w:val="0"/>
        <w:autoSpaceDE w:val="0"/>
        <w:autoSpaceDN w:val="0"/>
        <w:jc w:val="both"/>
        <w:rPr>
          <w:rFonts w:ascii="Arial" w:hAnsi="Arial" w:cs="Arial"/>
          <w:b/>
          <w:sz w:val="20"/>
          <w:szCs w:val="20"/>
        </w:rPr>
      </w:pPr>
      <w:hyperlink r:id="rId19" w:history="1">
        <w:r w:rsidR="00EF6B69" w:rsidRPr="00542D11">
          <w:rPr>
            <w:rStyle w:val="Hyperlink"/>
            <w:rFonts w:ascii="Arial" w:hAnsi="Arial" w:cs="Arial"/>
            <w:b/>
            <w:sz w:val="20"/>
            <w:szCs w:val="20"/>
          </w:rPr>
          <w:t>Acórdão 2552/2017</w:t>
        </w:r>
        <w:r w:rsidR="00F33560" w:rsidRPr="00542D11">
          <w:rPr>
            <w:rStyle w:val="Hyperlink"/>
            <w:rFonts w:ascii="Arial" w:hAnsi="Arial" w:cs="Arial"/>
            <w:b/>
            <w:sz w:val="20"/>
            <w:szCs w:val="20"/>
          </w:rPr>
          <w:t xml:space="preserve"> -</w:t>
        </w:r>
        <w:r w:rsidR="00EF6B69" w:rsidRPr="00542D11">
          <w:rPr>
            <w:rStyle w:val="Hyperlink"/>
            <w:rFonts w:ascii="Arial" w:hAnsi="Arial" w:cs="Arial"/>
            <w:b/>
            <w:sz w:val="20"/>
            <w:szCs w:val="20"/>
          </w:rPr>
          <w:t xml:space="preserve"> Plenário</w:t>
        </w:r>
      </w:hyperlink>
      <w:r w:rsidR="00EF6B69" w:rsidRPr="00EF6B69">
        <w:rPr>
          <w:rFonts w:ascii="Arial" w:hAnsi="Arial" w:cs="Arial"/>
          <w:b/>
          <w:sz w:val="20"/>
          <w:szCs w:val="20"/>
        </w:rPr>
        <w:t xml:space="preserve"> </w:t>
      </w:r>
      <w:r w:rsidR="00EF6B69" w:rsidRPr="00EF6B69">
        <w:rPr>
          <w:rFonts w:ascii="Arial" w:hAnsi="Arial" w:cs="Arial"/>
          <w:sz w:val="20"/>
          <w:szCs w:val="20"/>
        </w:rPr>
        <w:t>(Representação, Relator Ministro-Substituto Augusto Sherman)</w:t>
      </w:r>
    </w:p>
    <w:p w:rsidR="00EF6B69" w:rsidRPr="00F33560" w:rsidRDefault="00EF6B69" w:rsidP="00EF6B69">
      <w:pPr>
        <w:jc w:val="both"/>
        <w:rPr>
          <w:rFonts w:ascii="Arial" w:hAnsi="Arial" w:cs="Arial"/>
          <w:b/>
          <w:sz w:val="20"/>
          <w:szCs w:val="20"/>
        </w:rPr>
      </w:pPr>
      <w:r w:rsidRPr="00F33560">
        <w:rPr>
          <w:rFonts w:ascii="Arial" w:hAnsi="Arial" w:cs="Arial"/>
          <w:b/>
          <w:sz w:val="20"/>
          <w:szCs w:val="20"/>
        </w:rPr>
        <w:t>Licitação. Qualificação econômico-financeira. Garantia da proposta. Momento.</w:t>
      </w:r>
    </w:p>
    <w:p w:rsidR="00EF6B69" w:rsidRPr="00EF6B69" w:rsidRDefault="00EF6B69" w:rsidP="00EF6B69">
      <w:pPr>
        <w:pStyle w:val="TCU-Epgrafe"/>
        <w:spacing w:after="200" w:line="276" w:lineRule="auto"/>
        <w:ind w:left="0"/>
        <w:rPr>
          <w:rFonts w:ascii="Arial" w:hAnsi="Arial" w:cs="Arial"/>
          <w:sz w:val="20"/>
        </w:rPr>
      </w:pPr>
      <w:r w:rsidRPr="00EF6B69">
        <w:rPr>
          <w:rFonts w:ascii="Arial" w:hAnsi="Arial" w:cs="Arial"/>
          <w:sz w:val="20"/>
        </w:rPr>
        <w:t xml:space="preserve">É irregular a exigência de prestação de garantia da proposta antes da data de apresentação dos documentos de habilitação, pois não encontra amparo na </w:t>
      </w:r>
      <w:hyperlink r:id="rId20" w:history="1">
        <w:r w:rsidRPr="00EF6B69">
          <w:rPr>
            <w:rStyle w:val="Hyperlink"/>
            <w:rFonts w:ascii="Arial" w:hAnsi="Arial" w:cs="Arial"/>
            <w:color w:val="0000FF" w:themeColor="hyperlink"/>
            <w:sz w:val="20"/>
          </w:rPr>
          <w:t>Lei 8.666/1993</w:t>
        </w:r>
      </w:hyperlink>
      <w:r w:rsidRPr="00EF6B69">
        <w:rPr>
          <w:rFonts w:ascii="Arial" w:hAnsi="Arial" w:cs="Arial"/>
          <w:sz w:val="20"/>
        </w:rPr>
        <w:t xml:space="preserve"> e permite o conhecimento antecipado das empresas que efetivamente participarão do certame, o que pode comprometer o caráter competitivo da licitação.</w:t>
      </w:r>
    </w:p>
    <w:p w:rsidR="00EF6B69" w:rsidRPr="00EF6B69" w:rsidRDefault="003649D8" w:rsidP="00EF6B69">
      <w:pPr>
        <w:widowControl w:val="0"/>
        <w:autoSpaceDE w:val="0"/>
        <w:autoSpaceDN w:val="0"/>
        <w:jc w:val="both"/>
        <w:rPr>
          <w:rFonts w:ascii="Arial" w:hAnsi="Arial" w:cs="Arial"/>
          <w:b/>
          <w:sz w:val="20"/>
          <w:szCs w:val="20"/>
        </w:rPr>
      </w:pPr>
      <w:hyperlink r:id="rId21" w:history="1">
        <w:r w:rsidR="00EF6B69" w:rsidRPr="00542D11">
          <w:rPr>
            <w:rStyle w:val="Hyperlink"/>
            <w:rFonts w:ascii="Arial" w:hAnsi="Arial" w:cs="Arial"/>
            <w:b/>
            <w:sz w:val="20"/>
            <w:szCs w:val="20"/>
          </w:rPr>
          <w:t>Acórdão 2554/2017</w:t>
        </w:r>
        <w:r w:rsidR="00B84CE2" w:rsidRPr="00542D11">
          <w:rPr>
            <w:rStyle w:val="Hyperlink"/>
            <w:rFonts w:ascii="Arial" w:hAnsi="Arial" w:cs="Arial"/>
            <w:b/>
            <w:sz w:val="20"/>
            <w:szCs w:val="20"/>
          </w:rPr>
          <w:t xml:space="preserve"> -</w:t>
        </w:r>
        <w:r w:rsidR="00EF6B69" w:rsidRPr="00542D11">
          <w:rPr>
            <w:rStyle w:val="Hyperlink"/>
            <w:rFonts w:ascii="Arial" w:hAnsi="Arial" w:cs="Arial"/>
            <w:b/>
            <w:sz w:val="20"/>
            <w:szCs w:val="20"/>
          </w:rPr>
          <w:t xml:space="preserve"> Plenário</w:t>
        </w:r>
      </w:hyperlink>
      <w:r w:rsidR="00EF6B69" w:rsidRPr="00EF6B69">
        <w:rPr>
          <w:rFonts w:ascii="Arial" w:hAnsi="Arial" w:cs="Arial"/>
          <w:b/>
          <w:sz w:val="20"/>
          <w:szCs w:val="20"/>
        </w:rPr>
        <w:t xml:space="preserve"> </w:t>
      </w:r>
      <w:r w:rsidR="00EF6B69" w:rsidRPr="00EF6B69">
        <w:rPr>
          <w:rFonts w:ascii="Arial" w:hAnsi="Arial" w:cs="Arial"/>
          <w:sz w:val="20"/>
          <w:szCs w:val="20"/>
        </w:rPr>
        <w:t>(Auditoria, Relator Ministro-Substituto André de Carvalho)</w:t>
      </w:r>
    </w:p>
    <w:p w:rsidR="00EF6B69" w:rsidRPr="00E26098" w:rsidRDefault="00EF6B69" w:rsidP="00EF6B69">
      <w:pPr>
        <w:jc w:val="both"/>
        <w:rPr>
          <w:rFonts w:ascii="Arial" w:hAnsi="Arial" w:cs="Arial"/>
          <w:b/>
          <w:sz w:val="20"/>
          <w:szCs w:val="20"/>
        </w:rPr>
      </w:pPr>
      <w:r w:rsidRPr="00E26098">
        <w:rPr>
          <w:rFonts w:ascii="Arial" w:hAnsi="Arial" w:cs="Arial"/>
          <w:b/>
          <w:sz w:val="20"/>
          <w:szCs w:val="20"/>
        </w:rPr>
        <w:t>Contrato Administrativo. Aditivo. Limite. Acréscimo. Supressão. Compensação. Vedação.</w:t>
      </w:r>
    </w:p>
    <w:p w:rsidR="00EF6B69" w:rsidRDefault="00EF6B69" w:rsidP="00EF6B69">
      <w:pPr>
        <w:pStyle w:val="TCU-Epgrafe"/>
        <w:spacing w:after="200" w:line="276" w:lineRule="auto"/>
        <w:ind w:left="0"/>
        <w:rPr>
          <w:rFonts w:ascii="Arial" w:hAnsi="Arial" w:cs="Arial"/>
          <w:sz w:val="20"/>
        </w:rPr>
      </w:pPr>
      <w:r w:rsidRPr="00EF6B69">
        <w:rPr>
          <w:rFonts w:ascii="Arial" w:hAnsi="Arial" w:cs="Arial"/>
          <w:sz w:val="20"/>
        </w:rPr>
        <w:t xml:space="preserve">Como regra geral, para atendimento dos limites definidos no art. 65, §§ 1º e 2º, da </w:t>
      </w:r>
      <w:hyperlink r:id="rId22" w:history="1">
        <w:r w:rsidRPr="00EF6B69">
          <w:rPr>
            <w:rStyle w:val="Hyperlink"/>
            <w:rFonts w:ascii="Arial" w:hAnsi="Arial" w:cs="Arial"/>
            <w:sz w:val="20"/>
          </w:rPr>
          <w:t>Lei 8.666/1993</w:t>
        </w:r>
      </w:hyperlink>
      <w:r w:rsidRPr="00EF6B69">
        <w:rPr>
          <w:rFonts w:ascii="Arial" w:hAnsi="Arial" w:cs="Arial"/>
          <w:sz w:val="20"/>
        </w:rPr>
        <w:t>, os acréscimos ou supressões nos montantes dos contratos firmados pelos órgãos e entidades da Administração Pública devem ser considerados de forma isolada, sendo calculados sobre o valor original do contrato, vedada a compensação entre acréscimos e supressões.</w:t>
      </w:r>
    </w:p>
    <w:p w:rsidR="0078710E" w:rsidRPr="0078710E" w:rsidRDefault="003649D8" w:rsidP="0078710E">
      <w:pPr>
        <w:widowControl w:val="0"/>
        <w:autoSpaceDE w:val="0"/>
        <w:autoSpaceDN w:val="0"/>
        <w:jc w:val="both"/>
        <w:rPr>
          <w:rFonts w:ascii="Arial" w:hAnsi="Arial" w:cs="Arial"/>
          <w:b/>
          <w:sz w:val="20"/>
          <w:szCs w:val="20"/>
        </w:rPr>
      </w:pPr>
      <w:hyperlink r:id="rId23" w:history="1">
        <w:r w:rsidR="0078710E" w:rsidRPr="0015145E">
          <w:rPr>
            <w:rStyle w:val="Hyperlink"/>
            <w:rFonts w:ascii="Arial" w:hAnsi="Arial"/>
            <w:b/>
            <w:sz w:val="20"/>
            <w:szCs w:val="20"/>
          </w:rPr>
          <w:t>Acórdão 2583/2017</w:t>
        </w:r>
        <w:r w:rsidR="0015145E" w:rsidRPr="0015145E">
          <w:rPr>
            <w:rStyle w:val="Hyperlink"/>
            <w:rFonts w:ascii="Arial" w:hAnsi="Arial"/>
            <w:b/>
            <w:sz w:val="20"/>
            <w:szCs w:val="20"/>
          </w:rPr>
          <w:t xml:space="preserve"> - </w:t>
        </w:r>
        <w:r w:rsidR="0078710E" w:rsidRPr="0015145E">
          <w:rPr>
            <w:rStyle w:val="Hyperlink"/>
            <w:rFonts w:ascii="Arial" w:hAnsi="Arial"/>
            <w:b/>
            <w:sz w:val="20"/>
            <w:szCs w:val="20"/>
          </w:rPr>
          <w:t>Plenário</w:t>
        </w:r>
      </w:hyperlink>
      <w:r w:rsidR="0078710E" w:rsidRPr="0078710E">
        <w:rPr>
          <w:rFonts w:ascii="Arial" w:hAnsi="Arial"/>
          <w:b/>
          <w:sz w:val="20"/>
          <w:szCs w:val="20"/>
        </w:rPr>
        <w:t xml:space="preserve"> </w:t>
      </w:r>
      <w:r w:rsidR="0078710E" w:rsidRPr="0078710E">
        <w:rPr>
          <w:rFonts w:ascii="Arial" w:hAnsi="Arial"/>
          <w:sz w:val="20"/>
          <w:szCs w:val="20"/>
        </w:rPr>
        <w:t xml:space="preserve">(Recurso de Reconsideração, Relator Ministro José </w:t>
      </w:r>
      <w:proofErr w:type="spellStart"/>
      <w:r w:rsidR="0078710E" w:rsidRPr="0078710E">
        <w:rPr>
          <w:rFonts w:ascii="Arial" w:hAnsi="Arial"/>
          <w:sz w:val="20"/>
          <w:szCs w:val="20"/>
        </w:rPr>
        <w:t>Múcio</w:t>
      </w:r>
      <w:proofErr w:type="spellEnd"/>
      <w:r w:rsidR="0078710E" w:rsidRPr="0078710E">
        <w:rPr>
          <w:rFonts w:ascii="Arial" w:hAnsi="Arial"/>
          <w:sz w:val="20"/>
          <w:szCs w:val="20"/>
        </w:rPr>
        <w:t xml:space="preserve"> Monteiro)</w:t>
      </w:r>
    </w:p>
    <w:p w:rsidR="0078710E" w:rsidRPr="0015145E" w:rsidRDefault="0078710E" w:rsidP="0078710E">
      <w:pPr>
        <w:jc w:val="both"/>
        <w:rPr>
          <w:rFonts w:ascii="Arial" w:hAnsi="Arial" w:cs="Arial"/>
          <w:b/>
          <w:sz w:val="20"/>
          <w:szCs w:val="20"/>
        </w:rPr>
      </w:pPr>
      <w:r w:rsidRPr="0015145E">
        <w:rPr>
          <w:rFonts w:ascii="Arial" w:hAnsi="Arial"/>
          <w:b/>
          <w:sz w:val="20"/>
          <w:szCs w:val="20"/>
        </w:rPr>
        <w:t>Responsabilidade. Débito. Falecimento de responsável. Julgamento de contas. Herdeiro. Inventário. Bens. Ausência.</w:t>
      </w:r>
    </w:p>
    <w:p w:rsidR="0078710E" w:rsidRDefault="0078710E" w:rsidP="0078710E">
      <w:pPr>
        <w:pStyle w:val="TCU-Epgrafe"/>
        <w:spacing w:after="200" w:line="276" w:lineRule="auto"/>
        <w:ind w:left="0"/>
        <w:rPr>
          <w:rFonts w:ascii="Arial" w:hAnsi="Arial"/>
          <w:sz w:val="20"/>
        </w:rPr>
      </w:pPr>
      <w:r w:rsidRPr="0078710E">
        <w:rPr>
          <w:rFonts w:ascii="Arial" w:hAnsi="Arial"/>
          <w:sz w:val="20"/>
        </w:rPr>
        <w:lastRenderedPageBreak/>
        <w:t>A inexistência de bens a partilhar não é fator impeditivo para o julgamento das contas de responsável falecido e para a condenação em débito do seu espólio ou dos seus sucessores, uma vez que tal circunstância constitui matéria de defesa no âmbito do processo de execução judicial.</w:t>
      </w:r>
    </w:p>
    <w:p w:rsidR="001C2D86" w:rsidRPr="001C2D86" w:rsidRDefault="003649D8" w:rsidP="001C2D86">
      <w:pPr>
        <w:widowControl w:val="0"/>
        <w:autoSpaceDE w:val="0"/>
        <w:autoSpaceDN w:val="0"/>
        <w:jc w:val="both"/>
        <w:rPr>
          <w:rFonts w:ascii="Arial" w:hAnsi="Arial" w:cs="Arial"/>
          <w:b/>
          <w:sz w:val="20"/>
          <w:szCs w:val="20"/>
        </w:rPr>
      </w:pPr>
      <w:hyperlink r:id="rId24" w:history="1">
        <w:r w:rsidR="001C2D86" w:rsidRPr="002B356C">
          <w:rPr>
            <w:rStyle w:val="Hyperlink"/>
            <w:rFonts w:ascii="Arial" w:hAnsi="Arial"/>
            <w:b/>
            <w:sz w:val="20"/>
            <w:szCs w:val="20"/>
          </w:rPr>
          <w:t>Acórdão 2584/2017</w:t>
        </w:r>
        <w:r w:rsidR="006A7B72" w:rsidRPr="002B356C">
          <w:rPr>
            <w:rStyle w:val="Hyperlink"/>
            <w:rFonts w:ascii="Arial" w:hAnsi="Arial"/>
            <w:b/>
            <w:sz w:val="20"/>
            <w:szCs w:val="20"/>
          </w:rPr>
          <w:t xml:space="preserve"> - </w:t>
        </w:r>
        <w:r w:rsidR="001C2D86" w:rsidRPr="002B356C">
          <w:rPr>
            <w:rStyle w:val="Hyperlink"/>
            <w:rFonts w:ascii="Arial" w:hAnsi="Arial"/>
            <w:b/>
            <w:sz w:val="20"/>
            <w:szCs w:val="20"/>
          </w:rPr>
          <w:t>Plenário</w:t>
        </w:r>
      </w:hyperlink>
      <w:r w:rsidR="001C2D86" w:rsidRPr="001C2D86">
        <w:rPr>
          <w:rFonts w:ascii="Arial" w:hAnsi="Arial"/>
          <w:b/>
          <w:sz w:val="20"/>
          <w:szCs w:val="20"/>
        </w:rPr>
        <w:t xml:space="preserve"> </w:t>
      </w:r>
      <w:r w:rsidR="001C2D86" w:rsidRPr="001C2D86">
        <w:rPr>
          <w:rFonts w:ascii="Arial" w:hAnsi="Arial"/>
          <w:sz w:val="20"/>
          <w:szCs w:val="20"/>
        </w:rPr>
        <w:t>(Embargos de Declaração, Relator Ministro Walton Alencar Rodrigues)</w:t>
      </w:r>
    </w:p>
    <w:p w:rsidR="001C2D86" w:rsidRPr="003912FB" w:rsidRDefault="001C2D86" w:rsidP="001C2D86">
      <w:pPr>
        <w:jc w:val="both"/>
        <w:rPr>
          <w:rFonts w:ascii="Arial" w:hAnsi="Arial" w:cs="Arial"/>
          <w:b/>
          <w:sz w:val="20"/>
          <w:szCs w:val="20"/>
        </w:rPr>
      </w:pPr>
      <w:r w:rsidRPr="003912FB">
        <w:rPr>
          <w:rFonts w:ascii="Arial" w:hAnsi="Arial"/>
          <w:b/>
          <w:sz w:val="20"/>
          <w:szCs w:val="20"/>
        </w:rPr>
        <w:t>Responsabilidade. Convênio. Convenente. Estado-membro. Secretário.</w:t>
      </w:r>
    </w:p>
    <w:p w:rsidR="001C2D86" w:rsidRPr="001C2D86" w:rsidRDefault="001C2D86" w:rsidP="001C2D86">
      <w:pPr>
        <w:pStyle w:val="TCU-Epgrafe"/>
        <w:spacing w:after="200" w:line="276" w:lineRule="auto"/>
        <w:ind w:left="0"/>
        <w:rPr>
          <w:sz w:val="20"/>
        </w:rPr>
      </w:pPr>
      <w:r w:rsidRPr="001C2D86">
        <w:rPr>
          <w:rFonts w:ascii="Arial" w:hAnsi="Arial"/>
          <w:iCs/>
          <w:sz w:val="20"/>
        </w:rPr>
        <w:t>Secretário de Estado</w:t>
      </w:r>
      <w:r w:rsidRPr="001C2D86">
        <w:rPr>
          <w:rFonts w:ascii="Arial" w:hAnsi="Arial"/>
          <w:sz w:val="20"/>
        </w:rPr>
        <w:t xml:space="preserve"> </w:t>
      </w:r>
      <w:r w:rsidRPr="001C2D86">
        <w:rPr>
          <w:rFonts w:ascii="Arial" w:hAnsi="Arial"/>
          <w:iCs/>
          <w:sz w:val="20"/>
        </w:rPr>
        <w:t>pode ser responsabilizado quando assina convênios, mesmo não sendo o seu executor direto. Para tanto, basta que tenha praticado atos administrativos, além do ato de natureza política consistente na decisão discricionária de celebrar o ajuste</w:t>
      </w:r>
      <w:r w:rsidRPr="001C2D86">
        <w:rPr>
          <w:rFonts w:ascii="Arial" w:hAnsi="Arial"/>
          <w:sz w:val="20"/>
        </w:rPr>
        <w:t>.</w:t>
      </w:r>
    </w:p>
    <w:p w:rsidR="004F2EA6" w:rsidRPr="004F2EA6" w:rsidRDefault="003649D8" w:rsidP="004F2EA6">
      <w:pPr>
        <w:widowControl w:val="0"/>
        <w:autoSpaceDE w:val="0"/>
        <w:autoSpaceDN w:val="0"/>
        <w:jc w:val="both"/>
        <w:rPr>
          <w:rFonts w:ascii="Arial" w:hAnsi="Arial" w:cs="Arial"/>
          <w:b/>
          <w:sz w:val="20"/>
          <w:szCs w:val="20"/>
        </w:rPr>
      </w:pPr>
      <w:hyperlink r:id="rId25" w:history="1">
        <w:r w:rsidR="004F2EA6" w:rsidRPr="003912FB">
          <w:rPr>
            <w:rStyle w:val="Hyperlink"/>
            <w:rFonts w:ascii="Arial" w:hAnsi="Arial"/>
            <w:b/>
            <w:sz w:val="20"/>
            <w:szCs w:val="20"/>
          </w:rPr>
          <w:t>Acórdão 2588/2017</w:t>
        </w:r>
        <w:r w:rsidR="003912FB" w:rsidRPr="003912FB">
          <w:rPr>
            <w:rStyle w:val="Hyperlink"/>
            <w:rFonts w:ascii="Arial" w:hAnsi="Arial"/>
            <w:b/>
            <w:sz w:val="20"/>
            <w:szCs w:val="20"/>
          </w:rPr>
          <w:t xml:space="preserve"> -</w:t>
        </w:r>
        <w:r w:rsidR="004F2EA6" w:rsidRPr="003912FB">
          <w:rPr>
            <w:rStyle w:val="Hyperlink"/>
            <w:rFonts w:ascii="Arial" w:hAnsi="Arial"/>
            <w:b/>
            <w:sz w:val="20"/>
            <w:szCs w:val="20"/>
          </w:rPr>
          <w:t xml:space="preserve"> Plenário</w:t>
        </w:r>
      </w:hyperlink>
      <w:r w:rsidR="004F2EA6" w:rsidRPr="004F2EA6">
        <w:rPr>
          <w:rFonts w:ascii="Arial" w:hAnsi="Arial"/>
          <w:b/>
          <w:sz w:val="20"/>
          <w:szCs w:val="20"/>
        </w:rPr>
        <w:t xml:space="preserve"> </w:t>
      </w:r>
      <w:r w:rsidR="004F2EA6" w:rsidRPr="004F2EA6">
        <w:rPr>
          <w:rFonts w:ascii="Arial" w:hAnsi="Arial"/>
          <w:sz w:val="20"/>
          <w:szCs w:val="20"/>
        </w:rPr>
        <w:t>(Consulta, Relator Ministro Vital do Rêgo)</w:t>
      </w:r>
    </w:p>
    <w:p w:rsidR="004F2EA6" w:rsidRPr="003912FB" w:rsidRDefault="004F2EA6" w:rsidP="004F2EA6">
      <w:pPr>
        <w:jc w:val="both"/>
        <w:rPr>
          <w:rFonts w:ascii="Arial" w:hAnsi="Arial" w:cs="Arial"/>
          <w:b/>
          <w:sz w:val="20"/>
          <w:szCs w:val="20"/>
        </w:rPr>
      </w:pPr>
      <w:r w:rsidRPr="003912FB">
        <w:rPr>
          <w:rFonts w:ascii="Arial" w:hAnsi="Arial"/>
          <w:b/>
          <w:sz w:val="20"/>
          <w:szCs w:val="20"/>
        </w:rPr>
        <w:t>Convênio. Terceirização. Mão de obra. Requisito.</w:t>
      </w:r>
    </w:p>
    <w:p w:rsidR="004F2EA6" w:rsidRPr="004F2EA6" w:rsidRDefault="004F2EA6" w:rsidP="004F2EA6">
      <w:pPr>
        <w:jc w:val="both"/>
        <w:rPr>
          <w:sz w:val="20"/>
          <w:szCs w:val="20"/>
        </w:rPr>
      </w:pPr>
      <w:r w:rsidRPr="004F2EA6">
        <w:rPr>
          <w:rFonts w:ascii="Arial" w:hAnsi="Arial"/>
          <w:sz w:val="20"/>
          <w:szCs w:val="20"/>
        </w:rPr>
        <w:t xml:space="preserve">Não há vedação à aplicação de recursos de transferências voluntárias na contratação de serviços realizados por mão de obra terceirizada, desde que, simultaneamente: a) o convenente não conte em seus quadros com pessoal suficiente e adequado para a execução do objeto conveniado; b) os serviços sejam integralmente revertidos para a realização do objeto do convênio, limitada à duração da parceria firmada; c) os contratos de terceirização de mão de obra, nos termos do art. 18, § 1º, da </w:t>
      </w:r>
      <w:hyperlink r:id="rId26" w:history="1">
        <w:r w:rsidRPr="004F2EA6">
          <w:rPr>
            <w:rStyle w:val="Hyperlink"/>
            <w:rFonts w:ascii="Arial" w:hAnsi="Arial"/>
            <w:color w:val="0000FF" w:themeColor="hyperlink"/>
            <w:sz w:val="20"/>
            <w:szCs w:val="20"/>
          </w:rPr>
          <w:t>Lei Complementar 101/2000</w:t>
        </w:r>
      </w:hyperlink>
      <w:r w:rsidRPr="004F2EA6">
        <w:rPr>
          <w:rFonts w:ascii="Arial" w:hAnsi="Arial"/>
          <w:sz w:val="20"/>
          <w:szCs w:val="20"/>
        </w:rPr>
        <w:t xml:space="preserve"> (LRF), não se refiram à substituição de servidores e empregados públicos, e sejam observados os dispositivos da regulação federal pertinentes.</w:t>
      </w:r>
    </w:p>
    <w:p w:rsidR="003F2BAF" w:rsidRPr="003F2BAF" w:rsidRDefault="003649D8" w:rsidP="003F2BAF">
      <w:pPr>
        <w:widowControl w:val="0"/>
        <w:autoSpaceDE w:val="0"/>
        <w:autoSpaceDN w:val="0"/>
        <w:jc w:val="both"/>
        <w:rPr>
          <w:rFonts w:ascii="Arial" w:hAnsi="Arial" w:cs="Arial"/>
          <w:b/>
          <w:sz w:val="20"/>
          <w:szCs w:val="20"/>
        </w:rPr>
      </w:pPr>
      <w:hyperlink r:id="rId27" w:history="1">
        <w:r w:rsidR="003F2BAF" w:rsidRPr="00A32C51">
          <w:rPr>
            <w:rStyle w:val="Hyperlink"/>
            <w:rFonts w:ascii="Arial" w:hAnsi="Arial" w:cs="Arial"/>
            <w:b/>
            <w:sz w:val="20"/>
            <w:szCs w:val="20"/>
          </w:rPr>
          <w:t>Acórdão 2588/2017</w:t>
        </w:r>
        <w:r w:rsidR="00A32C51" w:rsidRPr="00A32C51">
          <w:rPr>
            <w:rStyle w:val="Hyperlink"/>
            <w:rFonts w:ascii="Arial" w:hAnsi="Arial" w:cs="Arial"/>
            <w:b/>
            <w:sz w:val="20"/>
            <w:szCs w:val="20"/>
          </w:rPr>
          <w:t xml:space="preserve"> -</w:t>
        </w:r>
        <w:r w:rsidR="003F2BAF" w:rsidRPr="00A32C51">
          <w:rPr>
            <w:rStyle w:val="Hyperlink"/>
            <w:rFonts w:ascii="Arial" w:hAnsi="Arial" w:cs="Arial"/>
            <w:b/>
            <w:sz w:val="20"/>
            <w:szCs w:val="20"/>
          </w:rPr>
          <w:t xml:space="preserve"> Plenário</w:t>
        </w:r>
      </w:hyperlink>
      <w:r w:rsidR="003F2BAF" w:rsidRPr="003F2BAF">
        <w:rPr>
          <w:rFonts w:ascii="Arial" w:hAnsi="Arial" w:cs="Arial"/>
          <w:b/>
          <w:sz w:val="20"/>
          <w:szCs w:val="20"/>
        </w:rPr>
        <w:t xml:space="preserve"> </w:t>
      </w:r>
      <w:r w:rsidR="003F2BAF" w:rsidRPr="003F2BAF">
        <w:rPr>
          <w:rFonts w:ascii="Arial" w:hAnsi="Arial" w:cs="Arial"/>
          <w:sz w:val="20"/>
          <w:szCs w:val="20"/>
        </w:rPr>
        <w:t>(Consulta, Relator Ministro Vital do Rêgo)</w:t>
      </w:r>
    </w:p>
    <w:p w:rsidR="003F2BAF" w:rsidRPr="00C7071D" w:rsidRDefault="003F2BAF" w:rsidP="003F2BAF">
      <w:pPr>
        <w:jc w:val="both"/>
        <w:rPr>
          <w:rFonts w:ascii="Arial" w:hAnsi="Arial" w:cs="Arial"/>
          <w:b/>
          <w:sz w:val="20"/>
          <w:szCs w:val="20"/>
        </w:rPr>
      </w:pPr>
      <w:r w:rsidRPr="00C7071D">
        <w:rPr>
          <w:rFonts w:ascii="Arial" w:hAnsi="Arial" w:cs="Arial"/>
          <w:b/>
          <w:sz w:val="20"/>
          <w:szCs w:val="20"/>
        </w:rPr>
        <w:t>Convênio. Transferência de recursos. Vedação. Despesa com pessoal. Contratação temporária. Ente da Federação.</w:t>
      </w:r>
    </w:p>
    <w:p w:rsidR="003F2BAF" w:rsidRPr="003F2BAF" w:rsidRDefault="003F2BAF" w:rsidP="003F2BAF">
      <w:pPr>
        <w:pStyle w:val="TCU-Epgrafe"/>
        <w:spacing w:after="200" w:line="276" w:lineRule="auto"/>
        <w:ind w:left="0"/>
        <w:rPr>
          <w:rFonts w:ascii="Arial" w:hAnsi="Arial" w:cs="Arial"/>
          <w:sz w:val="20"/>
        </w:rPr>
      </w:pPr>
      <w:r w:rsidRPr="003F2BAF">
        <w:rPr>
          <w:rFonts w:ascii="Arial" w:hAnsi="Arial" w:cs="Arial"/>
          <w:sz w:val="20"/>
        </w:rPr>
        <w:t>É vedado o uso de recursos de transferências voluntárias para pagamento de pessoal de ente da Federação, ainda que decorrente de contrato por tempo determinado.</w:t>
      </w:r>
    </w:p>
    <w:p w:rsidR="00853C2D" w:rsidRPr="00853C2D" w:rsidRDefault="003649D8" w:rsidP="00853C2D">
      <w:pPr>
        <w:widowControl w:val="0"/>
        <w:autoSpaceDE w:val="0"/>
        <w:autoSpaceDN w:val="0"/>
        <w:jc w:val="both"/>
        <w:rPr>
          <w:rFonts w:ascii="Arial" w:hAnsi="Arial" w:cs="Arial"/>
          <w:b/>
          <w:sz w:val="20"/>
          <w:szCs w:val="20"/>
        </w:rPr>
      </w:pPr>
      <w:hyperlink r:id="rId28" w:history="1">
        <w:r w:rsidR="00853C2D" w:rsidRPr="005009A5">
          <w:rPr>
            <w:rStyle w:val="Hyperlink"/>
            <w:rFonts w:ascii="Arial" w:hAnsi="Arial" w:cs="Arial"/>
            <w:b/>
            <w:sz w:val="20"/>
            <w:szCs w:val="20"/>
          </w:rPr>
          <w:t>Acórdão 2590/2017</w:t>
        </w:r>
        <w:r w:rsidR="000236A5" w:rsidRPr="005009A5">
          <w:rPr>
            <w:rStyle w:val="Hyperlink"/>
            <w:rFonts w:ascii="Arial" w:hAnsi="Arial" w:cs="Arial"/>
            <w:b/>
            <w:sz w:val="20"/>
            <w:szCs w:val="20"/>
          </w:rPr>
          <w:t xml:space="preserve"> -</w:t>
        </w:r>
        <w:r w:rsidR="00853C2D" w:rsidRPr="005009A5">
          <w:rPr>
            <w:rStyle w:val="Hyperlink"/>
            <w:rFonts w:ascii="Arial" w:hAnsi="Arial" w:cs="Arial"/>
            <w:b/>
            <w:sz w:val="20"/>
            <w:szCs w:val="20"/>
          </w:rPr>
          <w:t xml:space="preserve"> Plenário</w:t>
        </w:r>
      </w:hyperlink>
      <w:r w:rsidR="00853C2D" w:rsidRPr="00853C2D">
        <w:rPr>
          <w:rFonts w:ascii="Arial" w:hAnsi="Arial" w:cs="Arial"/>
          <w:b/>
          <w:sz w:val="20"/>
          <w:szCs w:val="20"/>
        </w:rPr>
        <w:t xml:space="preserve"> </w:t>
      </w:r>
      <w:r w:rsidR="00853C2D" w:rsidRPr="00853C2D">
        <w:rPr>
          <w:rFonts w:ascii="Arial" w:hAnsi="Arial" w:cs="Arial"/>
          <w:sz w:val="20"/>
          <w:szCs w:val="20"/>
        </w:rPr>
        <w:t xml:space="preserve">(Embargos de Declaração, Relator Ministro Benjamin </w:t>
      </w:r>
      <w:proofErr w:type="spellStart"/>
      <w:r w:rsidR="00853C2D" w:rsidRPr="00853C2D">
        <w:rPr>
          <w:rFonts w:ascii="Arial" w:hAnsi="Arial" w:cs="Arial"/>
          <w:sz w:val="20"/>
          <w:szCs w:val="20"/>
        </w:rPr>
        <w:t>Zymler</w:t>
      </w:r>
      <w:proofErr w:type="spellEnd"/>
      <w:r w:rsidR="00853C2D" w:rsidRPr="00853C2D">
        <w:rPr>
          <w:rFonts w:ascii="Arial" w:hAnsi="Arial" w:cs="Arial"/>
          <w:sz w:val="20"/>
          <w:szCs w:val="20"/>
        </w:rPr>
        <w:t>)</w:t>
      </w:r>
    </w:p>
    <w:p w:rsidR="00853C2D" w:rsidRPr="005C6176" w:rsidRDefault="00853C2D" w:rsidP="00853C2D">
      <w:pPr>
        <w:jc w:val="both"/>
        <w:rPr>
          <w:rFonts w:ascii="Arial" w:hAnsi="Arial" w:cs="Arial"/>
          <w:b/>
          <w:sz w:val="20"/>
          <w:szCs w:val="20"/>
        </w:rPr>
      </w:pPr>
      <w:r w:rsidRPr="005C6176">
        <w:rPr>
          <w:rFonts w:ascii="Arial" w:hAnsi="Arial" w:cs="Arial"/>
          <w:b/>
          <w:sz w:val="20"/>
          <w:szCs w:val="20"/>
        </w:rPr>
        <w:t>Direito Processual. Embargos de declaração. Efeito modificativo. Notificação. Obrigatoriedade. Contrarrazões. Princípio do contraditório. Princípio da ampla defesa.</w:t>
      </w:r>
    </w:p>
    <w:p w:rsidR="00853C2D" w:rsidRPr="00853C2D" w:rsidRDefault="00853C2D" w:rsidP="00853C2D">
      <w:pPr>
        <w:pStyle w:val="TCU-Epgrafe"/>
        <w:spacing w:after="200" w:line="276" w:lineRule="auto"/>
        <w:ind w:left="0"/>
        <w:rPr>
          <w:rFonts w:ascii="Arial" w:hAnsi="Arial" w:cs="Arial"/>
          <w:sz w:val="20"/>
        </w:rPr>
      </w:pPr>
      <w:r w:rsidRPr="00853C2D">
        <w:rPr>
          <w:rFonts w:ascii="Arial" w:hAnsi="Arial" w:cs="Arial"/>
          <w:sz w:val="20"/>
        </w:rPr>
        <w:t xml:space="preserve">Na oposição de embargos de declaração com possibilidade de gerar efeitos modificativos na decisão recorrida, deve ser realizada a notificação do embargado para oferta de contrarrazões, com fundamento na aplicação subsidiária dos </w:t>
      </w:r>
      <w:proofErr w:type="spellStart"/>
      <w:r w:rsidRPr="00853C2D">
        <w:rPr>
          <w:rFonts w:ascii="Arial" w:hAnsi="Arial" w:cs="Arial"/>
          <w:sz w:val="20"/>
        </w:rPr>
        <w:t>arts</w:t>
      </w:r>
      <w:proofErr w:type="spellEnd"/>
      <w:r w:rsidRPr="00853C2D">
        <w:rPr>
          <w:rFonts w:ascii="Arial" w:hAnsi="Arial" w:cs="Arial"/>
          <w:sz w:val="20"/>
        </w:rPr>
        <w:t xml:space="preserve">. 9⁰, 15 e 1.023, § 2⁰, da </w:t>
      </w:r>
      <w:hyperlink r:id="rId29" w:history="1">
        <w:r w:rsidRPr="00853C2D">
          <w:rPr>
            <w:rStyle w:val="Hyperlink"/>
            <w:rFonts w:ascii="Arial" w:hAnsi="Arial" w:cs="Arial"/>
            <w:color w:val="0000FF" w:themeColor="hyperlink"/>
            <w:sz w:val="20"/>
          </w:rPr>
          <w:t>Lei 13.105/2015</w:t>
        </w:r>
      </w:hyperlink>
      <w:r w:rsidRPr="00853C2D">
        <w:rPr>
          <w:rFonts w:ascii="Arial" w:hAnsi="Arial" w:cs="Arial"/>
          <w:sz w:val="20"/>
        </w:rPr>
        <w:t xml:space="preserve"> (CPC). A decisão tomada sem observância de tal formalidade pode ser anulada, por violação aos princípios do contraditório e da ampla defesa.</w:t>
      </w:r>
    </w:p>
    <w:p w:rsidR="006D2FFB" w:rsidRPr="006D2FFB" w:rsidRDefault="003649D8" w:rsidP="006D2FFB">
      <w:pPr>
        <w:widowControl w:val="0"/>
        <w:autoSpaceDE w:val="0"/>
        <w:autoSpaceDN w:val="0"/>
        <w:jc w:val="both"/>
        <w:rPr>
          <w:rFonts w:ascii="Arial" w:hAnsi="Arial" w:cs="Arial"/>
          <w:b/>
          <w:sz w:val="20"/>
          <w:szCs w:val="20"/>
        </w:rPr>
      </w:pPr>
      <w:hyperlink r:id="rId30" w:history="1">
        <w:r w:rsidR="006D2FFB" w:rsidRPr="00002CA9">
          <w:rPr>
            <w:rStyle w:val="Hyperlink"/>
            <w:rFonts w:ascii="Arial" w:hAnsi="Arial" w:cs="Arial"/>
            <w:b/>
            <w:sz w:val="20"/>
            <w:szCs w:val="20"/>
          </w:rPr>
          <w:t xml:space="preserve">Acórdão 2591/2017 </w:t>
        </w:r>
        <w:r w:rsidR="00002CA9" w:rsidRPr="00002CA9">
          <w:rPr>
            <w:rStyle w:val="Hyperlink"/>
            <w:rFonts w:ascii="Arial" w:hAnsi="Arial" w:cs="Arial"/>
            <w:b/>
            <w:sz w:val="20"/>
            <w:szCs w:val="20"/>
          </w:rPr>
          <w:t xml:space="preserve">- </w:t>
        </w:r>
        <w:r w:rsidR="006D2FFB" w:rsidRPr="00002CA9">
          <w:rPr>
            <w:rStyle w:val="Hyperlink"/>
            <w:rFonts w:ascii="Arial" w:hAnsi="Arial" w:cs="Arial"/>
            <w:b/>
            <w:sz w:val="20"/>
            <w:szCs w:val="20"/>
          </w:rPr>
          <w:t>Plenário</w:t>
        </w:r>
      </w:hyperlink>
      <w:r w:rsidR="006D2FFB" w:rsidRPr="006D2FFB">
        <w:rPr>
          <w:rFonts w:ascii="Arial" w:hAnsi="Arial" w:cs="Arial"/>
          <w:b/>
          <w:sz w:val="20"/>
          <w:szCs w:val="20"/>
        </w:rPr>
        <w:t xml:space="preserve"> </w:t>
      </w:r>
      <w:r w:rsidR="006D2FFB" w:rsidRPr="006D2FFB">
        <w:rPr>
          <w:rFonts w:ascii="Arial" w:hAnsi="Arial" w:cs="Arial"/>
          <w:sz w:val="20"/>
          <w:szCs w:val="20"/>
        </w:rPr>
        <w:t xml:space="preserve">(Auditoria, Relator Ministro Benjamin </w:t>
      </w:r>
      <w:proofErr w:type="spellStart"/>
      <w:r w:rsidR="006D2FFB" w:rsidRPr="006D2FFB">
        <w:rPr>
          <w:rFonts w:ascii="Arial" w:hAnsi="Arial" w:cs="Arial"/>
          <w:sz w:val="20"/>
          <w:szCs w:val="20"/>
        </w:rPr>
        <w:t>Zymler</w:t>
      </w:r>
      <w:proofErr w:type="spellEnd"/>
      <w:r w:rsidR="006D2FFB" w:rsidRPr="006D2FFB">
        <w:rPr>
          <w:rFonts w:ascii="Arial" w:hAnsi="Arial" w:cs="Arial"/>
          <w:sz w:val="20"/>
          <w:szCs w:val="20"/>
        </w:rPr>
        <w:t>)</w:t>
      </w:r>
    </w:p>
    <w:p w:rsidR="006D2FFB" w:rsidRPr="006A3230" w:rsidRDefault="006D2FFB" w:rsidP="006D2FFB">
      <w:pPr>
        <w:jc w:val="both"/>
        <w:rPr>
          <w:rFonts w:ascii="Arial" w:hAnsi="Arial" w:cs="Arial"/>
          <w:b/>
          <w:sz w:val="20"/>
          <w:szCs w:val="20"/>
        </w:rPr>
      </w:pPr>
      <w:r w:rsidRPr="006A3230">
        <w:rPr>
          <w:rFonts w:ascii="Arial" w:hAnsi="Arial" w:cs="Arial"/>
          <w:b/>
          <w:sz w:val="20"/>
          <w:szCs w:val="20"/>
        </w:rPr>
        <w:t>Contrato Administrativo. Aditivo. Contratação integrada. Anteprojeto. Projeto básico. Matriz de risco. Ausência.</w:t>
      </w:r>
    </w:p>
    <w:p w:rsidR="006D2FFB" w:rsidRPr="006D2FFB" w:rsidRDefault="006D2FFB" w:rsidP="006D2FFB">
      <w:pPr>
        <w:pStyle w:val="TCU-Epgrafe"/>
        <w:spacing w:after="200" w:line="276" w:lineRule="auto"/>
        <w:ind w:left="0"/>
        <w:rPr>
          <w:rFonts w:ascii="Arial" w:hAnsi="Arial" w:cs="Arial"/>
          <w:sz w:val="20"/>
        </w:rPr>
      </w:pPr>
      <w:r w:rsidRPr="006D2FFB">
        <w:rPr>
          <w:rFonts w:ascii="Arial" w:hAnsi="Arial" w:cs="Arial"/>
          <w:sz w:val="20"/>
        </w:rPr>
        <w:t>Na contratação integrada do RDC, eventuais ganhos ou encargos oriundos das soluções adotadas pelo contratado na elaboração do projeto básico devem ser auferidos ou suportados única e exclusivamente pelo particular, independentemente da existência de uma matriz de riscos disciplinando a contratação. Eventuais omissões ou indefinições no anteprojeto, em regra, não ensejam a celebração de termos de aditamento contratual, pois anteprojeto não é projeto básico.</w:t>
      </w:r>
    </w:p>
    <w:p w:rsidR="00DB558E" w:rsidRDefault="00DB558E" w:rsidP="00DB558E">
      <w:pPr>
        <w:pStyle w:val="Default"/>
        <w:spacing w:after="200" w:line="276" w:lineRule="auto"/>
        <w:jc w:val="both"/>
        <w:rPr>
          <w:b/>
          <w:sz w:val="20"/>
          <w:szCs w:val="20"/>
        </w:rPr>
      </w:pPr>
      <w:r>
        <w:rPr>
          <w:b/>
          <w:sz w:val="20"/>
          <w:szCs w:val="20"/>
        </w:rPr>
        <w:t xml:space="preserve">Acesse também: </w:t>
      </w:r>
    </w:p>
    <w:p w:rsidR="00270E2F" w:rsidRPr="00BC4C07" w:rsidRDefault="003649D8" w:rsidP="00270E2F">
      <w:pPr>
        <w:pStyle w:val="Default"/>
        <w:spacing w:line="276" w:lineRule="auto"/>
        <w:jc w:val="center"/>
        <w:rPr>
          <w:b/>
          <w:sz w:val="20"/>
          <w:szCs w:val="20"/>
        </w:rPr>
      </w:pPr>
      <w:hyperlink r:id="rId31" w:history="1">
        <w:r w:rsidR="00270E2F" w:rsidRPr="00BC4C07">
          <w:rPr>
            <w:rStyle w:val="Hyperlink"/>
            <w:b/>
            <w:sz w:val="20"/>
            <w:szCs w:val="20"/>
          </w:rPr>
          <w:t>Pesquisas Prontas</w:t>
        </w:r>
      </w:hyperlink>
    </w:p>
    <w:p w:rsidR="00270E2F" w:rsidRDefault="00270E2F" w:rsidP="00270E2F">
      <w:pPr>
        <w:pStyle w:val="Default"/>
        <w:spacing w:line="276" w:lineRule="auto"/>
        <w:jc w:val="center"/>
      </w:pPr>
    </w:p>
    <w:p w:rsidR="00270E2F" w:rsidRDefault="003649D8" w:rsidP="00270E2F">
      <w:pPr>
        <w:pStyle w:val="Default"/>
        <w:spacing w:line="276" w:lineRule="auto"/>
        <w:jc w:val="center"/>
        <w:rPr>
          <w:rStyle w:val="Hyperlink"/>
          <w:b/>
          <w:sz w:val="20"/>
          <w:szCs w:val="20"/>
        </w:rPr>
      </w:pPr>
      <w:hyperlink r:id="rId32" w:history="1">
        <w:r w:rsidR="00270E2F">
          <w:rPr>
            <w:rStyle w:val="Hyperlink"/>
            <w:b/>
            <w:sz w:val="20"/>
            <w:szCs w:val="20"/>
          </w:rPr>
          <w:t>Repercussão Geral do Supremo Tribunal Federal - STF e os Tribunais de Contas</w:t>
        </w:r>
      </w:hyperlink>
    </w:p>
    <w:p w:rsidR="00270E2F" w:rsidRPr="00134506" w:rsidRDefault="00270E2F" w:rsidP="00270E2F">
      <w:pPr>
        <w:pStyle w:val="Default"/>
        <w:spacing w:line="276" w:lineRule="auto"/>
        <w:jc w:val="center"/>
        <w:rPr>
          <w:b/>
        </w:rPr>
      </w:pPr>
    </w:p>
    <w:p w:rsidR="00A908A5" w:rsidRPr="00CE58B5" w:rsidRDefault="003649D8" w:rsidP="00A908A5">
      <w:pPr>
        <w:pStyle w:val="Default"/>
        <w:spacing w:line="276" w:lineRule="auto"/>
        <w:jc w:val="center"/>
        <w:rPr>
          <w:rStyle w:val="Hyperlink"/>
          <w:b/>
          <w:sz w:val="20"/>
          <w:szCs w:val="20"/>
        </w:rPr>
      </w:pPr>
      <w:hyperlink r:id="rId33" w:history="1">
        <w:r w:rsidR="00A908A5" w:rsidRPr="00CE58B5">
          <w:rPr>
            <w:rStyle w:val="Hyperlink"/>
            <w:b/>
            <w:sz w:val="20"/>
            <w:szCs w:val="20"/>
          </w:rPr>
          <w:t>Revista Digital do Tribunal de Contas do Estado do Paraná - Edição n° 19</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4"/>
      <w:foot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E55CDD">
      <w:rPr>
        <w:noProof/>
        <w:sz w:val="16"/>
        <w:szCs w:val="16"/>
      </w:rPr>
      <w:t>1</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2CA9"/>
    <w:rsid w:val="00003C03"/>
    <w:rsid w:val="0000505F"/>
    <w:rsid w:val="000078B5"/>
    <w:rsid w:val="00007F7A"/>
    <w:rsid w:val="00007FD0"/>
    <w:rsid w:val="00010B69"/>
    <w:rsid w:val="00010F88"/>
    <w:rsid w:val="0001200F"/>
    <w:rsid w:val="000126A0"/>
    <w:rsid w:val="00012CBB"/>
    <w:rsid w:val="00013691"/>
    <w:rsid w:val="00013840"/>
    <w:rsid w:val="00017EBA"/>
    <w:rsid w:val="00021B0A"/>
    <w:rsid w:val="000236A5"/>
    <w:rsid w:val="00025971"/>
    <w:rsid w:val="000262AD"/>
    <w:rsid w:val="00027A03"/>
    <w:rsid w:val="00027FAB"/>
    <w:rsid w:val="000300F4"/>
    <w:rsid w:val="00032A26"/>
    <w:rsid w:val="00033E69"/>
    <w:rsid w:val="00040EBA"/>
    <w:rsid w:val="00042502"/>
    <w:rsid w:val="00042DF3"/>
    <w:rsid w:val="000433EC"/>
    <w:rsid w:val="000439FD"/>
    <w:rsid w:val="00045700"/>
    <w:rsid w:val="00046191"/>
    <w:rsid w:val="00046E21"/>
    <w:rsid w:val="00047105"/>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47FD"/>
    <w:rsid w:val="000A4EB6"/>
    <w:rsid w:val="000A5F01"/>
    <w:rsid w:val="000A71D1"/>
    <w:rsid w:val="000A7368"/>
    <w:rsid w:val="000B11D2"/>
    <w:rsid w:val="000B1D42"/>
    <w:rsid w:val="000B1E10"/>
    <w:rsid w:val="000B2620"/>
    <w:rsid w:val="000B311A"/>
    <w:rsid w:val="000B31B6"/>
    <w:rsid w:val="000B47C0"/>
    <w:rsid w:val="000C2948"/>
    <w:rsid w:val="000C3582"/>
    <w:rsid w:val="000C4F73"/>
    <w:rsid w:val="000C5093"/>
    <w:rsid w:val="000C5460"/>
    <w:rsid w:val="000C5EB3"/>
    <w:rsid w:val="000C63BC"/>
    <w:rsid w:val="000C794D"/>
    <w:rsid w:val="000C7D67"/>
    <w:rsid w:val="000D2D5B"/>
    <w:rsid w:val="000D322C"/>
    <w:rsid w:val="000D357D"/>
    <w:rsid w:val="000D4DE6"/>
    <w:rsid w:val="000D6D01"/>
    <w:rsid w:val="000E300B"/>
    <w:rsid w:val="000E3ACE"/>
    <w:rsid w:val="000E3FC6"/>
    <w:rsid w:val="000E464B"/>
    <w:rsid w:val="000E5067"/>
    <w:rsid w:val="000E5AC8"/>
    <w:rsid w:val="000F04ED"/>
    <w:rsid w:val="000F18DA"/>
    <w:rsid w:val="000F1FFA"/>
    <w:rsid w:val="000F314C"/>
    <w:rsid w:val="000F639D"/>
    <w:rsid w:val="000F7C1B"/>
    <w:rsid w:val="001006D9"/>
    <w:rsid w:val="00100B9C"/>
    <w:rsid w:val="00106AA9"/>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717"/>
    <w:rsid w:val="00131BF2"/>
    <w:rsid w:val="0013298B"/>
    <w:rsid w:val="0013396B"/>
    <w:rsid w:val="001342E3"/>
    <w:rsid w:val="00134506"/>
    <w:rsid w:val="0013514C"/>
    <w:rsid w:val="0013583F"/>
    <w:rsid w:val="00135D5F"/>
    <w:rsid w:val="00136279"/>
    <w:rsid w:val="001411E6"/>
    <w:rsid w:val="001415BA"/>
    <w:rsid w:val="00141A89"/>
    <w:rsid w:val="00142D10"/>
    <w:rsid w:val="001441E1"/>
    <w:rsid w:val="00144712"/>
    <w:rsid w:val="001472C1"/>
    <w:rsid w:val="00150844"/>
    <w:rsid w:val="0015145E"/>
    <w:rsid w:val="001529D8"/>
    <w:rsid w:val="00156185"/>
    <w:rsid w:val="00156F74"/>
    <w:rsid w:val="00157806"/>
    <w:rsid w:val="00157D64"/>
    <w:rsid w:val="0016028F"/>
    <w:rsid w:val="00161AA2"/>
    <w:rsid w:val="00163367"/>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3B"/>
    <w:rsid w:val="001A16DE"/>
    <w:rsid w:val="001A5D2D"/>
    <w:rsid w:val="001B096B"/>
    <w:rsid w:val="001B5B65"/>
    <w:rsid w:val="001B5F7A"/>
    <w:rsid w:val="001B6E08"/>
    <w:rsid w:val="001C0F23"/>
    <w:rsid w:val="001C2D86"/>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F7A25"/>
    <w:rsid w:val="002013D1"/>
    <w:rsid w:val="0020195B"/>
    <w:rsid w:val="00202E6D"/>
    <w:rsid w:val="00202F4B"/>
    <w:rsid w:val="002036C8"/>
    <w:rsid w:val="00206864"/>
    <w:rsid w:val="002100EE"/>
    <w:rsid w:val="00211A49"/>
    <w:rsid w:val="00213BD0"/>
    <w:rsid w:val="002147AC"/>
    <w:rsid w:val="00215BFE"/>
    <w:rsid w:val="00215EF3"/>
    <w:rsid w:val="0022060B"/>
    <w:rsid w:val="00221D15"/>
    <w:rsid w:val="002231AF"/>
    <w:rsid w:val="00223A59"/>
    <w:rsid w:val="00223F1C"/>
    <w:rsid w:val="002245DE"/>
    <w:rsid w:val="00224904"/>
    <w:rsid w:val="00232878"/>
    <w:rsid w:val="0023318C"/>
    <w:rsid w:val="00234AE0"/>
    <w:rsid w:val="00235F82"/>
    <w:rsid w:val="00237C21"/>
    <w:rsid w:val="0024200E"/>
    <w:rsid w:val="00242356"/>
    <w:rsid w:val="002426C3"/>
    <w:rsid w:val="002450AA"/>
    <w:rsid w:val="002451F6"/>
    <w:rsid w:val="002456AD"/>
    <w:rsid w:val="00245F7B"/>
    <w:rsid w:val="002478B9"/>
    <w:rsid w:val="00251273"/>
    <w:rsid w:val="00252A2A"/>
    <w:rsid w:val="00252AA5"/>
    <w:rsid w:val="00253ADA"/>
    <w:rsid w:val="00255360"/>
    <w:rsid w:val="00256A12"/>
    <w:rsid w:val="00256CEA"/>
    <w:rsid w:val="002571B4"/>
    <w:rsid w:val="00260758"/>
    <w:rsid w:val="00260D58"/>
    <w:rsid w:val="00264103"/>
    <w:rsid w:val="0026477F"/>
    <w:rsid w:val="00264F10"/>
    <w:rsid w:val="0026510B"/>
    <w:rsid w:val="002659BA"/>
    <w:rsid w:val="0026729F"/>
    <w:rsid w:val="00270E2F"/>
    <w:rsid w:val="00271154"/>
    <w:rsid w:val="00271655"/>
    <w:rsid w:val="00275064"/>
    <w:rsid w:val="002805F1"/>
    <w:rsid w:val="00286EB4"/>
    <w:rsid w:val="002874A2"/>
    <w:rsid w:val="002921E2"/>
    <w:rsid w:val="0029566D"/>
    <w:rsid w:val="00295F4B"/>
    <w:rsid w:val="002A00AC"/>
    <w:rsid w:val="002A0792"/>
    <w:rsid w:val="002A1D5F"/>
    <w:rsid w:val="002A2E6C"/>
    <w:rsid w:val="002B070A"/>
    <w:rsid w:val="002B0F20"/>
    <w:rsid w:val="002B14B7"/>
    <w:rsid w:val="002B297F"/>
    <w:rsid w:val="002B356C"/>
    <w:rsid w:val="002B38A8"/>
    <w:rsid w:val="002B5E9F"/>
    <w:rsid w:val="002B6BA0"/>
    <w:rsid w:val="002C05FF"/>
    <w:rsid w:val="002C19EA"/>
    <w:rsid w:val="002C3259"/>
    <w:rsid w:val="002C3EA5"/>
    <w:rsid w:val="002C480F"/>
    <w:rsid w:val="002C56C9"/>
    <w:rsid w:val="002C56D2"/>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73BA"/>
    <w:rsid w:val="003005B3"/>
    <w:rsid w:val="0030165B"/>
    <w:rsid w:val="00302340"/>
    <w:rsid w:val="00303C9C"/>
    <w:rsid w:val="00305A67"/>
    <w:rsid w:val="00305AFD"/>
    <w:rsid w:val="00306B80"/>
    <w:rsid w:val="00307038"/>
    <w:rsid w:val="00313238"/>
    <w:rsid w:val="003132BE"/>
    <w:rsid w:val="00320577"/>
    <w:rsid w:val="0032266D"/>
    <w:rsid w:val="00325E2F"/>
    <w:rsid w:val="003265DB"/>
    <w:rsid w:val="003269A9"/>
    <w:rsid w:val="00326D0C"/>
    <w:rsid w:val="00327046"/>
    <w:rsid w:val="00327DF9"/>
    <w:rsid w:val="0033073E"/>
    <w:rsid w:val="00331533"/>
    <w:rsid w:val="0033240F"/>
    <w:rsid w:val="00333875"/>
    <w:rsid w:val="0033604C"/>
    <w:rsid w:val="003407F0"/>
    <w:rsid w:val="003413A6"/>
    <w:rsid w:val="00343C28"/>
    <w:rsid w:val="00344A3D"/>
    <w:rsid w:val="00344A41"/>
    <w:rsid w:val="0034575E"/>
    <w:rsid w:val="00345C65"/>
    <w:rsid w:val="003509EA"/>
    <w:rsid w:val="00350CC2"/>
    <w:rsid w:val="00351206"/>
    <w:rsid w:val="0035203F"/>
    <w:rsid w:val="003528A1"/>
    <w:rsid w:val="00352A72"/>
    <w:rsid w:val="0035371B"/>
    <w:rsid w:val="00353FEB"/>
    <w:rsid w:val="00356987"/>
    <w:rsid w:val="00356FB0"/>
    <w:rsid w:val="00361DA5"/>
    <w:rsid w:val="00361F1D"/>
    <w:rsid w:val="00364392"/>
    <w:rsid w:val="003649D8"/>
    <w:rsid w:val="00365E61"/>
    <w:rsid w:val="00365EFF"/>
    <w:rsid w:val="00365F51"/>
    <w:rsid w:val="00375692"/>
    <w:rsid w:val="00375DB6"/>
    <w:rsid w:val="0038012F"/>
    <w:rsid w:val="00380BAB"/>
    <w:rsid w:val="00381A0E"/>
    <w:rsid w:val="0038751C"/>
    <w:rsid w:val="0038778B"/>
    <w:rsid w:val="003912FB"/>
    <w:rsid w:val="00394451"/>
    <w:rsid w:val="0039584A"/>
    <w:rsid w:val="0039625A"/>
    <w:rsid w:val="00396E93"/>
    <w:rsid w:val="003A4828"/>
    <w:rsid w:val="003A64CB"/>
    <w:rsid w:val="003A6622"/>
    <w:rsid w:val="003A673F"/>
    <w:rsid w:val="003B145D"/>
    <w:rsid w:val="003B4678"/>
    <w:rsid w:val="003B4F77"/>
    <w:rsid w:val="003B502C"/>
    <w:rsid w:val="003C155A"/>
    <w:rsid w:val="003C45DF"/>
    <w:rsid w:val="003C6B35"/>
    <w:rsid w:val="003C7C21"/>
    <w:rsid w:val="003D1278"/>
    <w:rsid w:val="003D38C8"/>
    <w:rsid w:val="003D5138"/>
    <w:rsid w:val="003D650C"/>
    <w:rsid w:val="003D6713"/>
    <w:rsid w:val="003D6E90"/>
    <w:rsid w:val="003D7C37"/>
    <w:rsid w:val="003E035D"/>
    <w:rsid w:val="003E110D"/>
    <w:rsid w:val="003E236B"/>
    <w:rsid w:val="003E3529"/>
    <w:rsid w:val="003E3D02"/>
    <w:rsid w:val="003E3E6A"/>
    <w:rsid w:val="003E55BC"/>
    <w:rsid w:val="003E6EAF"/>
    <w:rsid w:val="003F0088"/>
    <w:rsid w:val="003F03C6"/>
    <w:rsid w:val="003F2BAF"/>
    <w:rsid w:val="003F2DDE"/>
    <w:rsid w:val="003F4721"/>
    <w:rsid w:val="003F5060"/>
    <w:rsid w:val="003F5829"/>
    <w:rsid w:val="003F63DA"/>
    <w:rsid w:val="003F677C"/>
    <w:rsid w:val="003F7090"/>
    <w:rsid w:val="00401EE0"/>
    <w:rsid w:val="004043AD"/>
    <w:rsid w:val="00405A6A"/>
    <w:rsid w:val="00406D2C"/>
    <w:rsid w:val="0041120A"/>
    <w:rsid w:val="00411935"/>
    <w:rsid w:val="00412566"/>
    <w:rsid w:val="0041337A"/>
    <w:rsid w:val="00416A72"/>
    <w:rsid w:val="0042087A"/>
    <w:rsid w:val="00420AE1"/>
    <w:rsid w:val="0042728A"/>
    <w:rsid w:val="004276DC"/>
    <w:rsid w:val="0042779B"/>
    <w:rsid w:val="0043291F"/>
    <w:rsid w:val="00434347"/>
    <w:rsid w:val="00434BF5"/>
    <w:rsid w:val="004371F9"/>
    <w:rsid w:val="0043728E"/>
    <w:rsid w:val="00437541"/>
    <w:rsid w:val="00437F6A"/>
    <w:rsid w:val="00441D38"/>
    <w:rsid w:val="00441E59"/>
    <w:rsid w:val="004429A2"/>
    <w:rsid w:val="00442CB7"/>
    <w:rsid w:val="00443CA1"/>
    <w:rsid w:val="00444C25"/>
    <w:rsid w:val="0044532C"/>
    <w:rsid w:val="0044752E"/>
    <w:rsid w:val="00447BB2"/>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9A"/>
    <w:rsid w:val="00474C78"/>
    <w:rsid w:val="00475AAE"/>
    <w:rsid w:val="004807BD"/>
    <w:rsid w:val="00480934"/>
    <w:rsid w:val="0048130C"/>
    <w:rsid w:val="00482FA5"/>
    <w:rsid w:val="00484E6E"/>
    <w:rsid w:val="00485819"/>
    <w:rsid w:val="00487D31"/>
    <w:rsid w:val="00490000"/>
    <w:rsid w:val="004914EC"/>
    <w:rsid w:val="00491F60"/>
    <w:rsid w:val="00492026"/>
    <w:rsid w:val="004920C5"/>
    <w:rsid w:val="004927D6"/>
    <w:rsid w:val="00492E16"/>
    <w:rsid w:val="004949D1"/>
    <w:rsid w:val="00494AE3"/>
    <w:rsid w:val="00494C04"/>
    <w:rsid w:val="0049557F"/>
    <w:rsid w:val="004965C3"/>
    <w:rsid w:val="004A0574"/>
    <w:rsid w:val="004A0A41"/>
    <w:rsid w:val="004A22CF"/>
    <w:rsid w:val="004A5804"/>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2EA6"/>
    <w:rsid w:val="004F3C8F"/>
    <w:rsid w:val="00500939"/>
    <w:rsid w:val="005009A5"/>
    <w:rsid w:val="00501FC7"/>
    <w:rsid w:val="005025F4"/>
    <w:rsid w:val="00502AAF"/>
    <w:rsid w:val="005067E0"/>
    <w:rsid w:val="00510B62"/>
    <w:rsid w:val="00511F85"/>
    <w:rsid w:val="00516673"/>
    <w:rsid w:val="005178C5"/>
    <w:rsid w:val="00517B69"/>
    <w:rsid w:val="00520368"/>
    <w:rsid w:val="00523227"/>
    <w:rsid w:val="00523246"/>
    <w:rsid w:val="005237FD"/>
    <w:rsid w:val="005246B4"/>
    <w:rsid w:val="00525F8B"/>
    <w:rsid w:val="0052651B"/>
    <w:rsid w:val="00527847"/>
    <w:rsid w:val="00530F1E"/>
    <w:rsid w:val="00532F0D"/>
    <w:rsid w:val="00533C06"/>
    <w:rsid w:val="00533E30"/>
    <w:rsid w:val="0053401E"/>
    <w:rsid w:val="00535AAB"/>
    <w:rsid w:val="00540B8E"/>
    <w:rsid w:val="00542636"/>
    <w:rsid w:val="00542D11"/>
    <w:rsid w:val="00544AB5"/>
    <w:rsid w:val="00546D89"/>
    <w:rsid w:val="0054723F"/>
    <w:rsid w:val="00547461"/>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25A9"/>
    <w:rsid w:val="00593EFC"/>
    <w:rsid w:val="00594F73"/>
    <w:rsid w:val="005957D1"/>
    <w:rsid w:val="00597215"/>
    <w:rsid w:val="005A0FD0"/>
    <w:rsid w:val="005A1468"/>
    <w:rsid w:val="005A4536"/>
    <w:rsid w:val="005A5AF2"/>
    <w:rsid w:val="005A742F"/>
    <w:rsid w:val="005A7C78"/>
    <w:rsid w:val="005B4F6C"/>
    <w:rsid w:val="005B7055"/>
    <w:rsid w:val="005C2ED3"/>
    <w:rsid w:val="005C4763"/>
    <w:rsid w:val="005C4DB7"/>
    <w:rsid w:val="005C5DC8"/>
    <w:rsid w:val="005C6176"/>
    <w:rsid w:val="005C661E"/>
    <w:rsid w:val="005C7258"/>
    <w:rsid w:val="005D1E9E"/>
    <w:rsid w:val="005D48C8"/>
    <w:rsid w:val="005D58CE"/>
    <w:rsid w:val="005D6DB4"/>
    <w:rsid w:val="005E2760"/>
    <w:rsid w:val="005E2D13"/>
    <w:rsid w:val="005E350B"/>
    <w:rsid w:val="005E4547"/>
    <w:rsid w:val="005E4648"/>
    <w:rsid w:val="005E6068"/>
    <w:rsid w:val="005E64B3"/>
    <w:rsid w:val="005F03A4"/>
    <w:rsid w:val="005F0C51"/>
    <w:rsid w:val="005F16DB"/>
    <w:rsid w:val="005F17B2"/>
    <w:rsid w:val="005F2BB5"/>
    <w:rsid w:val="005F3A96"/>
    <w:rsid w:val="005F4DBF"/>
    <w:rsid w:val="005F58C1"/>
    <w:rsid w:val="005F66CC"/>
    <w:rsid w:val="005F7AE1"/>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6004"/>
    <w:rsid w:val="00646AD1"/>
    <w:rsid w:val="006473BA"/>
    <w:rsid w:val="00650E4E"/>
    <w:rsid w:val="00654D9D"/>
    <w:rsid w:val="00660C02"/>
    <w:rsid w:val="0066130F"/>
    <w:rsid w:val="006641F4"/>
    <w:rsid w:val="006645D9"/>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230"/>
    <w:rsid w:val="006A3A42"/>
    <w:rsid w:val="006A41B4"/>
    <w:rsid w:val="006A5FD7"/>
    <w:rsid w:val="006A62B0"/>
    <w:rsid w:val="006A7B72"/>
    <w:rsid w:val="006B143E"/>
    <w:rsid w:val="006B30E3"/>
    <w:rsid w:val="006B5E72"/>
    <w:rsid w:val="006B6205"/>
    <w:rsid w:val="006C00D1"/>
    <w:rsid w:val="006C058F"/>
    <w:rsid w:val="006C3252"/>
    <w:rsid w:val="006C7A04"/>
    <w:rsid w:val="006D158F"/>
    <w:rsid w:val="006D1B83"/>
    <w:rsid w:val="006D1BE7"/>
    <w:rsid w:val="006D2FFB"/>
    <w:rsid w:val="006D5C98"/>
    <w:rsid w:val="006D6FCC"/>
    <w:rsid w:val="006E0A9F"/>
    <w:rsid w:val="006E12D5"/>
    <w:rsid w:val="006E2693"/>
    <w:rsid w:val="006E26E8"/>
    <w:rsid w:val="006E4493"/>
    <w:rsid w:val="006E76B0"/>
    <w:rsid w:val="006F08D4"/>
    <w:rsid w:val="006F3318"/>
    <w:rsid w:val="006F39CF"/>
    <w:rsid w:val="006F4894"/>
    <w:rsid w:val="006F58F5"/>
    <w:rsid w:val="006F676D"/>
    <w:rsid w:val="00700672"/>
    <w:rsid w:val="00701319"/>
    <w:rsid w:val="00701A95"/>
    <w:rsid w:val="00702F7C"/>
    <w:rsid w:val="0070542E"/>
    <w:rsid w:val="00706127"/>
    <w:rsid w:val="007077CD"/>
    <w:rsid w:val="00712A93"/>
    <w:rsid w:val="00713AF0"/>
    <w:rsid w:val="00714CF1"/>
    <w:rsid w:val="00715CEB"/>
    <w:rsid w:val="00717A58"/>
    <w:rsid w:val="00722924"/>
    <w:rsid w:val="007233D5"/>
    <w:rsid w:val="00723D30"/>
    <w:rsid w:val="00723F1A"/>
    <w:rsid w:val="00726974"/>
    <w:rsid w:val="007306BB"/>
    <w:rsid w:val="00730D37"/>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770F6"/>
    <w:rsid w:val="00781F5F"/>
    <w:rsid w:val="00783479"/>
    <w:rsid w:val="00783696"/>
    <w:rsid w:val="00783D3E"/>
    <w:rsid w:val="00784B5D"/>
    <w:rsid w:val="00785DB0"/>
    <w:rsid w:val="0078710E"/>
    <w:rsid w:val="00791384"/>
    <w:rsid w:val="00791D74"/>
    <w:rsid w:val="00791E5B"/>
    <w:rsid w:val="007931D7"/>
    <w:rsid w:val="007949B4"/>
    <w:rsid w:val="0079708B"/>
    <w:rsid w:val="0079779E"/>
    <w:rsid w:val="007A651C"/>
    <w:rsid w:val="007A6DC9"/>
    <w:rsid w:val="007A71B5"/>
    <w:rsid w:val="007A797E"/>
    <w:rsid w:val="007B1216"/>
    <w:rsid w:val="007B255F"/>
    <w:rsid w:val="007B55C5"/>
    <w:rsid w:val="007C0579"/>
    <w:rsid w:val="007C0E7E"/>
    <w:rsid w:val="007C10CC"/>
    <w:rsid w:val="007C250E"/>
    <w:rsid w:val="007C2CD7"/>
    <w:rsid w:val="007D009C"/>
    <w:rsid w:val="007D2162"/>
    <w:rsid w:val="007D5A53"/>
    <w:rsid w:val="007D62D9"/>
    <w:rsid w:val="007D73C9"/>
    <w:rsid w:val="007E1FB4"/>
    <w:rsid w:val="007E28C1"/>
    <w:rsid w:val="007F0840"/>
    <w:rsid w:val="007F2086"/>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0C63"/>
    <w:rsid w:val="008312D4"/>
    <w:rsid w:val="008317C8"/>
    <w:rsid w:val="00831915"/>
    <w:rsid w:val="0083305B"/>
    <w:rsid w:val="00834578"/>
    <w:rsid w:val="0083648B"/>
    <w:rsid w:val="00836500"/>
    <w:rsid w:val="00841EAB"/>
    <w:rsid w:val="00844977"/>
    <w:rsid w:val="00844B97"/>
    <w:rsid w:val="00845BB4"/>
    <w:rsid w:val="00847BF3"/>
    <w:rsid w:val="00852A15"/>
    <w:rsid w:val="00853C2D"/>
    <w:rsid w:val="00853D0B"/>
    <w:rsid w:val="00854B16"/>
    <w:rsid w:val="00854BCA"/>
    <w:rsid w:val="00855A43"/>
    <w:rsid w:val="008561BF"/>
    <w:rsid w:val="00861E25"/>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3260"/>
    <w:rsid w:val="00894CA0"/>
    <w:rsid w:val="00895461"/>
    <w:rsid w:val="008957B1"/>
    <w:rsid w:val="00896190"/>
    <w:rsid w:val="00897C5E"/>
    <w:rsid w:val="008A1517"/>
    <w:rsid w:val="008A2307"/>
    <w:rsid w:val="008A2B8F"/>
    <w:rsid w:val="008A2BB7"/>
    <w:rsid w:val="008A4000"/>
    <w:rsid w:val="008A4A65"/>
    <w:rsid w:val="008A55BE"/>
    <w:rsid w:val="008A57A9"/>
    <w:rsid w:val="008A6621"/>
    <w:rsid w:val="008A70A5"/>
    <w:rsid w:val="008B201B"/>
    <w:rsid w:val="008B2D64"/>
    <w:rsid w:val="008B368E"/>
    <w:rsid w:val="008B38A4"/>
    <w:rsid w:val="008B38EE"/>
    <w:rsid w:val="008B4F2F"/>
    <w:rsid w:val="008B55B4"/>
    <w:rsid w:val="008B6A00"/>
    <w:rsid w:val="008C0269"/>
    <w:rsid w:val="008C257C"/>
    <w:rsid w:val="008D0FDE"/>
    <w:rsid w:val="008D1051"/>
    <w:rsid w:val="008D22BE"/>
    <w:rsid w:val="008D7542"/>
    <w:rsid w:val="008D7F7C"/>
    <w:rsid w:val="008E0835"/>
    <w:rsid w:val="008E16C2"/>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0424"/>
    <w:rsid w:val="0093167C"/>
    <w:rsid w:val="00932A3A"/>
    <w:rsid w:val="00934143"/>
    <w:rsid w:val="00934679"/>
    <w:rsid w:val="00935444"/>
    <w:rsid w:val="009378F0"/>
    <w:rsid w:val="00940A40"/>
    <w:rsid w:val="0094148C"/>
    <w:rsid w:val="00941CFF"/>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697F"/>
    <w:rsid w:val="00977C0A"/>
    <w:rsid w:val="00982FF8"/>
    <w:rsid w:val="00984E8B"/>
    <w:rsid w:val="0098512F"/>
    <w:rsid w:val="0098550A"/>
    <w:rsid w:val="00985728"/>
    <w:rsid w:val="009857DD"/>
    <w:rsid w:val="009859AB"/>
    <w:rsid w:val="00987A4E"/>
    <w:rsid w:val="009907A9"/>
    <w:rsid w:val="00991E08"/>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2C51"/>
    <w:rsid w:val="00A3514D"/>
    <w:rsid w:val="00A40F98"/>
    <w:rsid w:val="00A41EF2"/>
    <w:rsid w:val="00A42619"/>
    <w:rsid w:val="00A4267D"/>
    <w:rsid w:val="00A427B2"/>
    <w:rsid w:val="00A43DEB"/>
    <w:rsid w:val="00A44733"/>
    <w:rsid w:val="00A47D62"/>
    <w:rsid w:val="00A53CDD"/>
    <w:rsid w:val="00A53EE6"/>
    <w:rsid w:val="00A5538A"/>
    <w:rsid w:val="00A564AE"/>
    <w:rsid w:val="00A57A4A"/>
    <w:rsid w:val="00A57C0E"/>
    <w:rsid w:val="00A614EB"/>
    <w:rsid w:val="00A62886"/>
    <w:rsid w:val="00A63E79"/>
    <w:rsid w:val="00A6719E"/>
    <w:rsid w:val="00A672B2"/>
    <w:rsid w:val="00A707B2"/>
    <w:rsid w:val="00A74C51"/>
    <w:rsid w:val="00A77682"/>
    <w:rsid w:val="00A80C19"/>
    <w:rsid w:val="00A83279"/>
    <w:rsid w:val="00A83750"/>
    <w:rsid w:val="00A84631"/>
    <w:rsid w:val="00A86498"/>
    <w:rsid w:val="00A86A0A"/>
    <w:rsid w:val="00A9067C"/>
    <w:rsid w:val="00A908A5"/>
    <w:rsid w:val="00A90A24"/>
    <w:rsid w:val="00A90BD3"/>
    <w:rsid w:val="00A91402"/>
    <w:rsid w:val="00A92FBB"/>
    <w:rsid w:val="00A93C1C"/>
    <w:rsid w:val="00A96790"/>
    <w:rsid w:val="00A97543"/>
    <w:rsid w:val="00AA0DFE"/>
    <w:rsid w:val="00AA2502"/>
    <w:rsid w:val="00AA262E"/>
    <w:rsid w:val="00AA2AC5"/>
    <w:rsid w:val="00AA2BF5"/>
    <w:rsid w:val="00AA3174"/>
    <w:rsid w:val="00AA3A41"/>
    <w:rsid w:val="00AA5AE9"/>
    <w:rsid w:val="00AA6D45"/>
    <w:rsid w:val="00AA7585"/>
    <w:rsid w:val="00AA7DED"/>
    <w:rsid w:val="00AB031D"/>
    <w:rsid w:val="00AB08A6"/>
    <w:rsid w:val="00AB18B3"/>
    <w:rsid w:val="00AB1A1E"/>
    <w:rsid w:val="00AB236C"/>
    <w:rsid w:val="00AB6B34"/>
    <w:rsid w:val="00AB79FC"/>
    <w:rsid w:val="00AC06B6"/>
    <w:rsid w:val="00AC6CD5"/>
    <w:rsid w:val="00AC7830"/>
    <w:rsid w:val="00AC79BC"/>
    <w:rsid w:val="00AD1557"/>
    <w:rsid w:val="00AD35F3"/>
    <w:rsid w:val="00AD44E9"/>
    <w:rsid w:val="00AD4CAC"/>
    <w:rsid w:val="00AD528F"/>
    <w:rsid w:val="00AD5AE7"/>
    <w:rsid w:val="00AD6760"/>
    <w:rsid w:val="00AD6B82"/>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5AE"/>
    <w:rsid w:val="00B22AD7"/>
    <w:rsid w:val="00B22D31"/>
    <w:rsid w:val="00B22E46"/>
    <w:rsid w:val="00B27853"/>
    <w:rsid w:val="00B30291"/>
    <w:rsid w:val="00B306F7"/>
    <w:rsid w:val="00B30BB8"/>
    <w:rsid w:val="00B30FE2"/>
    <w:rsid w:val="00B3272E"/>
    <w:rsid w:val="00B32C71"/>
    <w:rsid w:val="00B330C4"/>
    <w:rsid w:val="00B37580"/>
    <w:rsid w:val="00B4137A"/>
    <w:rsid w:val="00B47C69"/>
    <w:rsid w:val="00B50B77"/>
    <w:rsid w:val="00B51290"/>
    <w:rsid w:val="00B52215"/>
    <w:rsid w:val="00B530CA"/>
    <w:rsid w:val="00B53AC4"/>
    <w:rsid w:val="00B54527"/>
    <w:rsid w:val="00B57ADA"/>
    <w:rsid w:val="00B60FCF"/>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4CE2"/>
    <w:rsid w:val="00B871D6"/>
    <w:rsid w:val="00B87A02"/>
    <w:rsid w:val="00B909C8"/>
    <w:rsid w:val="00B95E9B"/>
    <w:rsid w:val="00B96204"/>
    <w:rsid w:val="00B96F83"/>
    <w:rsid w:val="00BA0DCC"/>
    <w:rsid w:val="00BA12A2"/>
    <w:rsid w:val="00BA16EF"/>
    <w:rsid w:val="00BA18D0"/>
    <w:rsid w:val="00BA242E"/>
    <w:rsid w:val="00BA3317"/>
    <w:rsid w:val="00BA5A9D"/>
    <w:rsid w:val="00BA6363"/>
    <w:rsid w:val="00BB2D9C"/>
    <w:rsid w:val="00BB3512"/>
    <w:rsid w:val="00BB5D1E"/>
    <w:rsid w:val="00BB62CC"/>
    <w:rsid w:val="00BB7ED6"/>
    <w:rsid w:val="00BC137A"/>
    <w:rsid w:val="00BC4347"/>
    <w:rsid w:val="00BC45E0"/>
    <w:rsid w:val="00BC54B5"/>
    <w:rsid w:val="00BC5D9D"/>
    <w:rsid w:val="00BC6803"/>
    <w:rsid w:val="00BC7BCB"/>
    <w:rsid w:val="00BD0EA7"/>
    <w:rsid w:val="00BD109B"/>
    <w:rsid w:val="00BD2944"/>
    <w:rsid w:val="00BD2B5E"/>
    <w:rsid w:val="00BD3AFF"/>
    <w:rsid w:val="00BD4E7A"/>
    <w:rsid w:val="00BD531B"/>
    <w:rsid w:val="00BE00E5"/>
    <w:rsid w:val="00BE1D8A"/>
    <w:rsid w:val="00BE2E5A"/>
    <w:rsid w:val="00BE3A10"/>
    <w:rsid w:val="00BE4A21"/>
    <w:rsid w:val="00BE5859"/>
    <w:rsid w:val="00BE5E51"/>
    <w:rsid w:val="00BE61AB"/>
    <w:rsid w:val="00BE717E"/>
    <w:rsid w:val="00BE7E27"/>
    <w:rsid w:val="00BF064A"/>
    <w:rsid w:val="00BF183C"/>
    <w:rsid w:val="00BF4C15"/>
    <w:rsid w:val="00C03CC9"/>
    <w:rsid w:val="00C0782F"/>
    <w:rsid w:val="00C10951"/>
    <w:rsid w:val="00C11F50"/>
    <w:rsid w:val="00C12603"/>
    <w:rsid w:val="00C12C7C"/>
    <w:rsid w:val="00C131FD"/>
    <w:rsid w:val="00C14499"/>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60A1"/>
    <w:rsid w:val="00C56E9E"/>
    <w:rsid w:val="00C56EB6"/>
    <w:rsid w:val="00C63FC8"/>
    <w:rsid w:val="00C64F57"/>
    <w:rsid w:val="00C65D21"/>
    <w:rsid w:val="00C66E11"/>
    <w:rsid w:val="00C6789D"/>
    <w:rsid w:val="00C7071D"/>
    <w:rsid w:val="00C71A97"/>
    <w:rsid w:val="00C72FFE"/>
    <w:rsid w:val="00C73FFD"/>
    <w:rsid w:val="00C74512"/>
    <w:rsid w:val="00C75071"/>
    <w:rsid w:val="00C84F07"/>
    <w:rsid w:val="00C851A6"/>
    <w:rsid w:val="00C855D4"/>
    <w:rsid w:val="00C87639"/>
    <w:rsid w:val="00C90685"/>
    <w:rsid w:val="00C9099A"/>
    <w:rsid w:val="00C9240A"/>
    <w:rsid w:val="00C92872"/>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5CAE"/>
    <w:rsid w:val="00CB644C"/>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8B5"/>
    <w:rsid w:val="00CE59A8"/>
    <w:rsid w:val="00CE657B"/>
    <w:rsid w:val="00CF0873"/>
    <w:rsid w:val="00CF237E"/>
    <w:rsid w:val="00CF515D"/>
    <w:rsid w:val="00CF53F5"/>
    <w:rsid w:val="00CF6B3F"/>
    <w:rsid w:val="00D002B4"/>
    <w:rsid w:val="00D03845"/>
    <w:rsid w:val="00D03DCB"/>
    <w:rsid w:val="00D05257"/>
    <w:rsid w:val="00D054DF"/>
    <w:rsid w:val="00D057A5"/>
    <w:rsid w:val="00D05D1F"/>
    <w:rsid w:val="00D144D0"/>
    <w:rsid w:val="00D14FC0"/>
    <w:rsid w:val="00D15517"/>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5A28"/>
    <w:rsid w:val="00D5605F"/>
    <w:rsid w:val="00D60596"/>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4CC3"/>
    <w:rsid w:val="00D95478"/>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C7280"/>
    <w:rsid w:val="00DD0411"/>
    <w:rsid w:val="00DD6B9B"/>
    <w:rsid w:val="00DE07A1"/>
    <w:rsid w:val="00DE21A2"/>
    <w:rsid w:val="00DE2776"/>
    <w:rsid w:val="00DE3B11"/>
    <w:rsid w:val="00DE7183"/>
    <w:rsid w:val="00DE71E0"/>
    <w:rsid w:val="00DE782C"/>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6098"/>
    <w:rsid w:val="00E27565"/>
    <w:rsid w:val="00E30116"/>
    <w:rsid w:val="00E30DE6"/>
    <w:rsid w:val="00E31944"/>
    <w:rsid w:val="00E32395"/>
    <w:rsid w:val="00E32E0D"/>
    <w:rsid w:val="00E332E3"/>
    <w:rsid w:val="00E35435"/>
    <w:rsid w:val="00E37194"/>
    <w:rsid w:val="00E3788B"/>
    <w:rsid w:val="00E40C6A"/>
    <w:rsid w:val="00E410B7"/>
    <w:rsid w:val="00E43977"/>
    <w:rsid w:val="00E4415D"/>
    <w:rsid w:val="00E44AB8"/>
    <w:rsid w:val="00E47BD8"/>
    <w:rsid w:val="00E50D3F"/>
    <w:rsid w:val="00E520BE"/>
    <w:rsid w:val="00E5484A"/>
    <w:rsid w:val="00E54E17"/>
    <w:rsid w:val="00E55CDD"/>
    <w:rsid w:val="00E56A7A"/>
    <w:rsid w:val="00E60419"/>
    <w:rsid w:val="00E60E01"/>
    <w:rsid w:val="00E617D3"/>
    <w:rsid w:val="00E61E36"/>
    <w:rsid w:val="00E633C1"/>
    <w:rsid w:val="00E667B0"/>
    <w:rsid w:val="00E67390"/>
    <w:rsid w:val="00E71365"/>
    <w:rsid w:val="00E74904"/>
    <w:rsid w:val="00E770A4"/>
    <w:rsid w:val="00E8097A"/>
    <w:rsid w:val="00E81192"/>
    <w:rsid w:val="00E83B51"/>
    <w:rsid w:val="00E8626C"/>
    <w:rsid w:val="00E86BDE"/>
    <w:rsid w:val="00E8762F"/>
    <w:rsid w:val="00E90AB8"/>
    <w:rsid w:val="00E919D9"/>
    <w:rsid w:val="00E921C1"/>
    <w:rsid w:val="00E93C8B"/>
    <w:rsid w:val="00E93D8F"/>
    <w:rsid w:val="00E9531E"/>
    <w:rsid w:val="00E95E41"/>
    <w:rsid w:val="00E977CE"/>
    <w:rsid w:val="00E97E05"/>
    <w:rsid w:val="00EA19A1"/>
    <w:rsid w:val="00EA34E2"/>
    <w:rsid w:val="00EA42CB"/>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B69"/>
    <w:rsid w:val="00EF6E2C"/>
    <w:rsid w:val="00EF7106"/>
    <w:rsid w:val="00F001A6"/>
    <w:rsid w:val="00F00253"/>
    <w:rsid w:val="00F0070A"/>
    <w:rsid w:val="00F01660"/>
    <w:rsid w:val="00F01C16"/>
    <w:rsid w:val="00F0782D"/>
    <w:rsid w:val="00F109E6"/>
    <w:rsid w:val="00F10B74"/>
    <w:rsid w:val="00F11EB3"/>
    <w:rsid w:val="00F13F39"/>
    <w:rsid w:val="00F14B9B"/>
    <w:rsid w:val="00F14CCC"/>
    <w:rsid w:val="00F17988"/>
    <w:rsid w:val="00F20C09"/>
    <w:rsid w:val="00F217DF"/>
    <w:rsid w:val="00F21CAE"/>
    <w:rsid w:val="00F22AE0"/>
    <w:rsid w:val="00F25F14"/>
    <w:rsid w:val="00F2601A"/>
    <w:rsid w:val="00F26701"/>
    <w:rsid w:val="00F310D7"/>
    <w:rsid w:val="00F33560"/>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6177"/>
    <w:rsid w:val="00F56187"/>
    <w:rsid w:val="00F567B7"/>
    <w:rsid w:val="00F575D3"/>
    <w:rsid w:val="00F5786C"/>
    <w:rsid w:val="00F62117"/>
    <w:rsid w:val="00F62365"/>
    <w:rsid w:val="00F630A7"/>
    <w:rsid w:val="00F66200"/>
    <w:rsid w:val="00F66225"/>
    <w:rsid w:val="00F662BC"/>
    <w:rsid w:val="00F6708D"/>
    <w:rsid w:val="00F707F0"/>
    <w:rsid w:val="00F71AD5"/>
    <w:rsid w:val="00F729ED"/>
    <w:rsid w:val="00F733B8"/>
    <w:rsid w:val="00F74F50"/>
    <w:rsid w:val="00F75192"/>
    <w:rsid w:val="00F77822"/>
    <w:rsid w:val="00F8020D"/>
    <w:rsid w:val="00F838B6"/>
    <w:rsid w:val="00F83B0D"/>
    <w:rsid w:val="00F83C31"/>
    <w:rsid w:val="00F85F05"/>
    <w:rsid w:val="00F86AD1"/>
    <w:rsid w:val="00F9222A"/>
    <w:rsid w:val="00F922EA"/>
    <w:rsid w:val="00F92927"/>
    <w:rsid w:val="00F979B3"/>
    <w:rsid w:val="00F97CCD"/>
    <w:rsid w:val="00FA320D"/>
    <w:rsid w:val="00FA362B"/>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588B"/>
    <w:rsid w:val="00FC6240"/>
    <w:rsid w:val="00FD0D9B"/>
    <w:rsid w:val="00FD118C"/>
    <w:rsid w:val="00FD332F"/>
    <w:rsid w:val="00FD56C9"/>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1426468E"/>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12/pdf/00322583.pdf" TargetMode="External"/><Relationship Id="rId13" Type="http://schemas.openxmlformats.org/officeDocument/2006/relationships/hyperlink" Target="http://www1.tce.pr.gov.br/multimidia/2017/12/pdf/00322758.pdf" TargetMode="External"/><Relationship Id="rId18" Type="http://schemas.openxmlformats.org/officeDocument/2006/relationships/hyperlink" Target="https://contas.tcu.gov.br/sagas/SvlVisualizarRelVotoAcRtf?codFiltro=SAGAS-SESSAO-ENCERRADA&amp;seOcultaPagina=S&amp;item0=606007" TargetMode="External"/><Relationship Id="rId26" Type="http://schemas.openxmlformats.org/officeDocument/2006/relationships/hyperlink" Target="http://www.planalto.gov.br/ccivil_03/leis/LCP/Lcp101.htm"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0496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1.tce.pr.gov.br/multimidia/2017/12/pdf/00322760.pdf" TargetMode="External"/><Relationship Id="rId17" Type="http://schemas.openxmlformats.org/officeDocument/2006/relationships/hyperlink" Target="https://ww2.stj.jus.br/processo/revista/documento/mediado/?componente=ATC&amp;sequencial=76925347&amp;num_registro=201402915928&amp;data=20171116&amp;tipo=91&amp;formato=PDF" TargetMode="External"/><Relationship Id="rId25" Type="http://schemas.openxmlformats.org/officeDocument/2006/relationships/hyperlink" Target="https://contas.tcu.gov.br/sagas/SvlVisualizarRelVotoAcRtf?codFiltro=SAGAS-SESSAO-ENCERRADA&amp;seOcultaPagina=S&amp;item0=585481" TargetMode="External"/><Relationship Id="rId33" Type="http://schemas.openxmlformats.org/officeDocument/2006/relationships/hyperlink" Target="http://www1.tce.pr.gov.br/conteudo/revista-digital-do-tce-pr/234678/area/46" TargetMode="External"/><Relationship Id="rId2" Type="http://schemas.openxmlformats.org/officeDocument/2006/relationships/numbering" Target="numbering.xml"/><Relationship Id="rId16" Type="http://schemas.openxmlformats.org/officeDocument/2006/relationships/hyperlink" Target="http://www.stf.jus.br/portal/processo/verProcessoAndamento.asp?numero=851711&amp;classe=RE&amp;origem=AP&amp;recurso=0&amp;tipoJulgamento=M"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planalto.gov.br/ccivil_03/_Ato2015-2018/2015/Lei/L1310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12/pdf/00322670.pdf" TargetMode="External"/><Relationship Id="rId24" Type="http://schemas.openxmlformats.org/officeDocument/2006/relationships/hyperlink" Target="https://contas.tcu.gov.br/sagas/SvlVisualizarRelVotoAcRtf?codFiltro=SAGAS-SESSAO-ENCERRADA&amp;seOcultaPagina=S&amp;item0=606394" TargetMode="External"/><Relationship Id="rId32" Type="http://schemas.openxmlformats.org/officeDocument/2006/relationships/hyperlink" Target="http://www1.tce.pr.gov.br/conteudo/repercussao-geral-no-stf-e-os-tribunais-de-contas/307026/area/24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tce.pr.gov.br/multimidia/2017/12/pdf/00322661.pdf" TargetMode="External"/><Relationship Id="rId23" Type="http://schemas.openxmlformats.org/officeDocument/2006/relationships/hyperlink" Target="https://contas.tcu.gov.br/sagas/SvlVisualizarRelVotoAcRtf?codFiltro=SAGAS-SESSAO-ENCERRADA&amp;seOcultaPagina=S&amp;item0=581400" TargetMode="External"/><Relationship Id="rId28" Type="http://schemas.openxmlformats.org/officeDocument/2006/relationships/hyperlink" Target="https://contas.tcu.gov.br/sagas/SvlVisualizarRelVotoAcRtf?codFiltro=SAGAS-SESSAO-ENCERRADA&amp;seOcultaPagina=S&amp;item0=607816" TargetMode="External"/><Relationship Id="rId36" Type="http://schemas.openxmlformats.org/officeDocument/2006/relationships/fontTable" Target="fontTable.xml"/><Relationship Id="rId10" Type="http://schemas.openxmlformats.org/officeDocument/2006/relationships/hyperlink" Target="http://www1.tce.pr.gov.br/multimidia/2017/12/pdf/00322670.pdf" TargetMode="External"/><Relationship Id="rId19" Type="http://schemas.openxmlformats.org/officeDocument/2006/relationships/hyperlink" Target="https://contas.tcu.gov.br/sagas/SvlVisualizarRelVotoAcRtf?codFiltro=SAGAS-SESSAO-ENCERRADA&amp;seOcultaPagina=S&amp;item0=602818" TargetMode="External"/><Relationship Id="rId31" Type="http://schemas.openxmlformats.org/officeDocument/2006/relationships/hyperlink" Target="http://www1.tce.pr.gov.br/conteudo/pesquisas-prontas/308475/area/249" TargetMode="External"/><Relationship Id="rId4" Type="http://schemas.openxmlformats.org/officeDocument/2006/relationships/settings" Target="settings.xml"/><Relationship Id="rId9" Type="http://schemas.openxmlformats.org/officeDocument/2006/relationships/hyperlink" Target="http://www1.tce.pr.gov.br/multimidia/2017/12/pdf/00322682.pdf" TargetMode="External"/><Relationship Id="rId14" Type="http://schemas.openxmlformats.org/officeDocument/2006/relationships/hyperlink" Target="http://www1.tce.pr.gov.br/multimidia/2017/12/pdf/00322740.pdf" TargetMode="External"/><Relationship Id="rId22" Type="http://schemas.openxmlformats.org/officeDocument/2006/relationships/hyperlink" Target="http://www.planalto.gov.br/ccivil_03/leis/L8666cons.htm" TargetMode="External"/><Relationship Id="rId27" Type="http://schemas.openxmlformats.org/officeDocument/2006/relationships/hyperlink" Target="https://contas.tcu.gov.br/sagas/SvlVisualizarRelVotoAcRtf?codFiltro=SAGAS-SESSAO-ENCERRADA&amp;seOcultaPagina=S&amp;item0=585481" TargetMode="External"/><Relationship Id="rId30" Type="http://schemas.openxmlformats.org/officeDocument/2006/relationships/hyperlink" Target="https://contas.tcu.gov.br/sagas/SvlVisualizarRelVotoAcRtf?codFiltro=SAGAS-SESSAO-ENCERRADA&amp;seOcultaPagina=S&amp;item0=607783"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E6C30-C019-474D-86BF-7AFB6CE7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8</Pages>
  <Words>3059</Words>
  <Characters>16524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268</cp:revision>
  <cp:lastPrinted>2017-07-10T20:46:00Z</cp:lastPrinted>
  <dcterms:created xsi:type="dcterms:W3CDTF">2017-07-10T20:45:00Z</dcterms:created>
  <dcterms:modified xsi:type="dcterms:W3CDTF">2018-12-13T12:29:00Z</dcterms:modified>
</cp:coreProperties>
</file>