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692C8E">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692C8E">
      <w:pPr>
        <w:spacing w:after="0"/>
        <w:jc w:val="center"/>
        <w:rPr>
          <w:rFonts w:ascii="Arial" w:hAnsi="Arial" w:cs="Arial"/>
          <w:b/>
          <w:sz w:val="20"/>
          <w:szCs w:val="20"/>
        </w:rPr>
      </w:pPr>
    </w:p>
    <w:p w:rsidR="001B5F7A" w:rsidRDefault="001B5F7A" w:rsidP="00692C8E">
      <w:pPr>
        <w:spacing w:after="0"/>
        <w:jc w:val="center"/>
        <w:rPr>
          <w:rFonts w:ascii="Arial" w:hAnsi="Arial" w:cs="Arial"/>
          <w:b/>
          <w:sz w:val="20"/>
          <w:szCs w:val="20"/>
        </w:rPr>
      </w:pPr>
      <w:r w:rsidRPr="0022060B">
        <w:rPr>
          <w:rFonts w:ascii="Arial" w:hAnsi="Arial" w:cs="Arial"/>
          <w:b/>
          <w:sz w:val="20"/>
          <w:szCs w:val="20"/>
        </w:rPr>
        <w:t xml:space="preserve">Número </w:t>
      </w:r>
      <w:r w:rsidR="00082716">
        <w:rPr>
          <w:rFonts w:ascii="Arial" w:hAnsi="Arial" w:cs="Arial"/>
          <w:b/>
          <w:sz w:val="20"/>
          <w:szCs w:val="20"/>
        </w:rPr>
        <w:t>5</w:t>
      </w:r>
      <w:r w:rsidR="008470D5">
        <w:rPr>
          <w:rFonts w:ascii="Arial" w:hAnsi="Arial" w:cs="Arial"/>
          <w:b/>
          <w:sz w:val="20"/>
          <w:szCs w:val="20"/>
        </w:rPr>
        <w:t>1</w:t>
      </w:r>
    </w:p>
    <w:p w:rsidR="006F08D4" w:rsidRPr="0022060B" w:rsidRDefault="006F08D4" w:rsidP="00692C8E">
      <w:pPr>
        <w:spacing w:after="0"/>
        <w:jc w:val="center"/>
        <w:rPr>
          <w:rFonts w:ascii="Arial" w:hAnsi="Arial" w:cs="Arial"/>
          <w:b/>
          <w:sz w:val="20"/>
          <w:szCs w:val="20"/>
        </w:rPr>
      </w:pPr>
    </w:p>
    <w:p w:rsidR="001B5F7A" w:rsidRPr="001E7E34" w:rsidRDefault="001B5F7A" w:rsidP="00692C8E">
      <w:pPr>
        <w:spacing w:after="0"/>
        <w:jc w:val="center"/>
        <w:rPr>
          <w:rFonts w:ascii="Arial" w:hAnsi="Arial" w:cs="Arial"/>
          <w:b/>
          <w:sz w:val="20"/>
          <w:szCs w:val="20"/>
        </w:rPr>
      </w:pPr>
      <w:r w:rsidRPr="001E7E34">
        <w:rPr>
          <w:rFonts w:ascii="Arial" w:hAnsi="Arial" w:cs="Arial"/>
          <w:b/>
          <w:sz w:val="20"/>
          <w:szCs w:val="20"/>
        </w:rPr>
        <w:t xml:space="preserve">Sessões: </w:t>
      </w:r>
      <w:r w:rsidR="001E7E34" w:rsidRPr="001E7E34">
        <w:rPr>
          <w:rFonts w:ascii="Arial" w:hAnsi="Arial" w:cs="Arial"/>
          <w:b/>
          <w:sz w:val="20"/>
          <w:szCs w:val="20"/>
        </w:rPr>
        <w:t>28</w:t>
      </w:r>
      <w:r w:rsidR="00814325" w:rsidRPr="001E7E34">
        <w:rPr>
          <w:rFonts w:ascii="Arial" w:hAnsi="Arial" w:cs="Arial"/>
          <w:b/>
          <w:sz w:val="20"/>
          <w:szCs w:val="20"/>
        </w:rPr>
        <w:t>.</w:t>
      </w:r>
      <w:r w:rsidR="00015FB0" w:rsidRPr="001E7E34">
        <w:rPr>
          <w:rFonts w:ascii="Arial" w:hAnsi="Arial" w:cs="Arial"/>
          <w:b/>
          <w:sz w:val="20"/>
          <w:szCs w:val="20"/>
        </w:rPr>
        <w:t>0</w:t>
      </w:r>
      <w:r w:rsidR="001E7E34" w:rsidRPr="001E7E34">
        <w:rPr>
          <w:rFonts w:ascii="Arial" w:hAnsi="Arial" w:cs="Arial"/>
          <w:b/>
          <w:sz w:val="20"/>
          <w:szCs w:val="20"/>
        </w:rPr>
        <w:t>1</w:t>
      </w:r>
      <w:r w:rsidR="005A0FD0" w:rsidRPr="001E7E34">
        <w:rPr>
          <w:rFonts w:ascii="Arial" w:hAnsi="Arial" w:cs="Arial"/>
          <w:b/>
          <w:sz w:val="20"/>
          <w:szCs w:val="20"/>
        </w:rPr>
        <w:t xml:space="preserve"> </w:t>
      </w:r>
      <w:r w:rsidR="000D4DE6" w:rsidRPr="001E7E34">
        <w:rPr>
          <w:rFonts w:ascii="Arial" w:hAnsi="Arial" w:cs="Arial"/>
          <w:b/>
          <w:sz w:val="20"/>
          <w:szCs w:val="20"/>
        </w:rPr>
        <w:t>a</w:t>
      </w:r>
      <w:r w:rsidRPr="001E7E34">
        <w:rPr>
          <w:rFonts w:ascii="Arial" w:hAnsi="Arial" w:cs="Arial"/>
          <w:b/>
          <w:sz w:val="20"/>
          <w:szCs w:val="20"/>
        </w:rPr>
        <w:t xml:space="preserve"> </w:t>
      </w:r>
      <w:r w:rsidR="001E7E34" w:rsidRPr="001E7E34">
        <w:rPr>
          <w:rFonts w:ascii="Arial" w:hAnsi="Arial" w:cs="Arial"/>
          <w:b/>
          <w:sz w:val="20"/>
          <w:szCs w:val="20"/>
        </w:rPr>
        <w:t>06</w:t>
      </w:r>
      <w:r w:rsidR="005A0FD0" w:rsidRPr="001E7E34">
        <w:rPr>
          <w:rFonts w:ascii="Arial" w:hAnsi="Arial" w:cs="Arial"/>
          <w:b/>
          <w:sz w:val="20"/>
          <w:szCs w:val="20"/>
        </w:rPr>
        <w:t>.</w:t>
      </w:r>
      <w:r w:rsidR="00015FB0" w:rsidRPr="001E7E34">
        <w:rPr>
          <w:rFonts w:ascii="Arial" w:hAnsi="Arial" w:cs="Arial"/>
          <w:b/>
          <w:sz w:val="20"/>
          <w:szCs w:val="20"/>
        </w:rPr>
        <w:t>0</w:t>
      </w:r>
      <w:r w:rsidR="001E7E34" w:rsidRPr="001E7E34">
        <w:rPr>
          <w:rFonts w:ascii="Arial" w:hAnsi="Arial" w:cs="Arial"/>
          <w:b/>
          <w:sz w:val="20"/>
          <w:szCs w:val="20"/>
        </w:rPr>
        <w:t>2</w:t>
      </w:r>
      <w:r w:rsidRPr="001E7E34">
        <w:rPr>
          <w:rFonts w:ascii="Arial" w:hAnsi="Arial" w:cs="Arial"/>
          <w:b/>
          <w:sz w:val="20"/>
          <w:szCs w:val="20"/>
        </w:rPr>
        <w:t xml:space="preserve"> de 201</w:t>
      </w:r>
      <w:r w:rsidR="001E7E34" w:rsidRPr="001E7E34">
        <w:rPr>
          <w:rFonts w:ascii="Arial" w:hAnsi="Arial" w:cs="Arial"/>
          <w:b/>
          <w:sz w:val="20"/>
          <w:szCs w:val="20"/>
        </w:rPr>
        <w:t>9</w:t>
      </w:r>
    </w:p>
    <w:p w:rsidR="007436B5" w:rsidRDefault="007436B5" w:rsidP="00692C8E">
      <w:pPr>
        <w:spacing w:after="0"/>
        <w:jc w:val="both"/>
        <w:rPr>
          <w:rFonts w:ascii="Arial" w:hAnsi="Arial" w:cs="Arial"/>
          <w:sz w:val="20"/>
          <w:szCs w:val="20"/>
        </w:rPr>
      </w:pPr>
    </w:p>
    <w:p w:rsidR="00FE7B14" w:rsidRPr="0022060B" w:rsidRDefault="00FE7B14" w:rsidP="00692C8E">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692C8E">
      <w:pPr>
        <w:spacing w:after="0"/>
        <w:jc w:val="both"/>
        <w:rPr>
          <w:rFonts w:ascii="Arial" w:hAnsi="Arial" w:cs="Arial"/>
          <w:sz w:val="20"/>
          <w:szCs w:val="20"/>
        </w:rPr>
      </w:pPr>
    </w:p>
    <w:p w:rsidR="00FE7B14" w:rsidRPr="0022060B" w:rsidRDefault="00FE7B14" w:rsidP="00692C8E">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692C8E">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Pr="00692C8E" w:rsidRDefault="004429A2" w:rsidP="00692C8E">
      <w:pPr>
        <w:autoSpaceDE w:val="0"/>
        <w:autoSpaceDN w:val="0"/>
        <w:adjustRightInd w:val="0"/>
        <w:spacing w:after="0"/>
        <w:jc w:val="both"/>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1. Admissão de Pessoal. PSS. Médico Veterinário. Pressupostos constitucionais que se enquadram no contexto de excepcional interesse público. Registro. </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2. Prestação de contas de transferência. Convênio. Cooperação. Repasses de recursos do FUNDEB à APM de Escola Municipal. Regularidade com recomendação para adequação de procedimentos.</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3. Comunicação de Irregularidade. Pagamento cumulado de gratificação por tempo integral (TIDE) com horas extras, de função gratificada com horas extras, ou, ainda, das três verbas concomitantemente. Indeferimento da medida cautelar proposta pela Unidade Técnica.</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4. Admissão de Pessoal. Irregularidades no Edital. Tomada de Preços. Restrição da competitividade. Exigência de visita técnica, apresentação de três atestados de qualificação técnica e de profissionais com habilitação técnica que não guarda relação com os cargos a serem providos como membros da equipe técnica. Deferimento de Medida Cautelar para suspensão do certame.</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5. Tomada de Contas Extraordinária. Reconhecimento de ofício, da prescrição da pretensão executória. Precedentes. </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6.Tomada de contas extraordinária. Restrições apuradas em contratação temporária, mediante pregão, de 01 (um) profissional habilitado na área de Engenharia Civil, para prestar serviços junto ao Departamento Municipal de Engenharia. Regularidade das contas com ressalva. Emissão de determinação de adequação dos procedimentos do município na contratação de profissionais </w:t>
      </w:r>
      <w:r w:rsidRPr="00692C8E">
        <w:rPr>
          <w:rFonts w:ascii="Arial" w:hAnsi="Arial" w:cs="Arial"/>
          <w:sz w:val="20"/>
          <w:szCs w:val="20"/>
        </w:rPr>
        <w:lastRenderedPageBreak/>
        <w:t>necessários ao atendimento de excepcional interesse público, com a regulamentação legal da matéria e realização prévia de teste seletivo. Aplicação de multa aos responsáveis.</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7. Pensão. Ascensão funcional. Agente Fiscal para Auditor Fiscal. (In)constitucionalidade pendente de decisão final pelo Supremo Tribunal Federal, com liminar denegada em face do decurso de tempo. Incidência dos princípios da segurança jurídica e boa-fé. Registro do ato de concessão de pensão. Reestruturação de carreira, </w:t>
      </w:r>
      <w:proofErr w:type="gramStart"/>
      <w:r w:rsidRPr="00692C8E">
        <w:rPr>
          <w:rFonts w:ascii="Arial" w:hAnsi="Arial" w:cs="Arial"/>
          <w:sz w:val="20"/>
          <w:szCs w:val="20"/>
        </w:rPr>
        <w:t>mantidas as mesmas</w:t>
      </w:r>
      <w:proofErr w:type="gramEnd"/>
      <w:r w:rsidRPr="00692C8E">
        <w:rPr>
          <w:rFonts w:ascii="Arial" w:hAnsi="Arial" w:cs="Arial"/>
          <w:sz w:val="20"/>
          <w:szCs w:val="20"/>
        </w:rPr>
        <w:t xml:space="preserve"> atribuições do cargo originário. Legalidade e registro.  </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8. Consulta. Doação de ração pelo Poder Público a entidades contempladas com título de utilidade pública para proteção e defesa dos animais. Interesse público. Possibilidade. Dispensa de licitação. Tratamento isonômico entre instituições contempladas. Resposta positiva.</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9. Tomada de Contas Extraordinária. Execução de contrato. Apuração de possíveis irregularidades lesivas ao erário. Pagamento de despesas fiscais em percentual superior ao conjunto das alíquotas de ISS, PIS e COFINS incididas pela empresa contratada. Prática de </w:t>
      </w:r>
      <w:proofErr w:type="spellStart"/>
      <w:r w:rsidRPr="00692C8E">
        <w:rPr>
          <w:rFonts w:ascii="Arial" w:hAnsi="Arial" w:cs="Arial"/>
          <w:sz w:val="20"/>
          <w:szCs w:val="20"/>
        </w:rPr>
        <w:t>sobrepreço</w:t>
      </w:r>
      <w:proofErr w:type="spellEnd"/>
      <w:r w:rsidRPr="00692C8E">
        <w:rPr>
          <w:rFonts w:ascii="Arial" w:hAnsi="Arial" w:cs="Arial"/>
          <w:sz w:val="20"/>
          <w:szCs w:val="20"/>
        </w:rPr>
        <w:t>. Ratificação de medida cautelar que determinou a imediata suspensão de eventuais pagamentos pendentes e a indisponibilidade de bens dos responsáveis.</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10. Consulta. Aplicabilidade do regime de licitações e contratações preconizado na Lei Federal nº 13.303/16. Perda de interesse processual. Extinção do feito sem julgamento de mérito</w:t>
      </w:r>
      <w:r>
        <w:rPr>
          <w:rFonts w:ascii="Arial" w:hAnsi="Arial" w:cs="Arial"/>
          <w:sz w:val="20"/>
          <w:szCs w:val="20"/>
        </w:rPr>
        <w:t>.</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11. Representação. Exigência de nota fiscal junto a atestado de capacidade técnica, registro no CREA/PR-CAU, e alvará de funcionamento, na fase de habilitação. Irregularidades. Certame concluído. Princípios da competitividade e economicidade atendidos. Pela manutenção do certame. Pela expedição de Recomendação ao Município. Procedência Parcial.</w:t>
      </w:r>
    </w:p>
    <w:p w:rsidR="00692C8E" w:rsidRDefault="00692C8E" w:rsidP="00692C8E">
      <w:pPr>
        <w:autoSpaceDE w:val="0"/>
        <w:autoSpaceDN w:val="0"/>
        <w:adjustRightInd w:val="0"/>
        <w:spacing w:after="0"/>
        <w:jc w:val="both"/>
        <w:rPr>
          <w:rFonts w:ascii="Arial" w:hAnsi="Arial" w:cs="Arial"/>
          <w:sz w:val="20"/>
          <w:szCs w:val="20"/>
        </w:rPr>
      </w:pPr>
    </w:p>
    <w:p w:rsidR="00692C8E" w:rsidRPr="00692C8E" w:rsidRDefault="00692C8E"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12. Recurso de Revista. Diárias não comprovadas. Caráter orientativo das determinações do TCE-PR. Não provimento.</w:t>
      </w:r>
    </w:p>
    <w:p w:rsidR="004429A2" w:rsidRPr="0022060B" w:rsidRDefault="004429A2" w:rsidP="00692C8E">
      <w:pPr>
        <w:spacing w:after="0"/>
        <w:jc w:val="both"/>
        <w:rPr>
          <w:rStyle w:val="Hyperlink"/>
          <w:rFonts w:ascii="Arial" w:hAnsi="Arial" w:cs="Arial"/>
          <w:b/>
          <w:color w:val="000000" w:themeColor="text1"/>
          <w:sz w:val="20"/>
          <w:szCs w:val="20"/>
          <w:u w:val="none"/>
        </w:rPr>
      </w:pPr>
    </w:p>
    <w:p w:rsidR="00712A93" w:rsidRPr="0022060B" w:rsidRDefault="00712A93" w:rsidP="00692C8E">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050A08" w:rsidRDefault="00050A08" w:rsidP="00692C8E">
      <w:pPr>
        <w:autoSpaceDE w:val="0"/>
        <w:autoSpaceDN w:val="0"/>
        <w:adjustRightInd w:val="0"/>
        <w:spacing w:after="0"/>
        <w:jc w:val="both"/>
        <w:rPr>
          <w:rFonts w:ascii="Arial" w:hAnsi="Arial" w:cs="Arial"/>
          <w:b/>
          <w:sz w:val="20"/>
          <w:szCs w:val="20"/>
        </w:rPr>
      </w:pPr>
    </w:p>
    <w:p w:rsidR="00050A08" w:rsidRDefault="00050A08" w:rsidP="00692C8E">
      <w:pPr>
        <w:autoSpaceDE w:val="0"/>
        <w:autoSpaceDN w:val="0"/>
        <w:adjustRightInd w:val="0"/>
        <w:spacing w:after="0"/>
        <w:jc w:val="both"/>
        <w:rPr>
          <w:rFonts w:ascii="Arial" w:hAnsi="Arial" w:cs="Arial"/>
          <w:b/>
          <w:sz w:val="20"/>
          <w:szCs w:val="20"/>
        </w:rPr>
      </w:pPr>
      <w:r w:rsidRPr="00F77EE9">
        <w:rPr>
          <w:rFonts w:ascii="Arial" w:hAnsi="Arial" w:cs="Arial"/>
          <w:b/>
          <w:sz w:val="20"/>
          <w:szCs w:val="20"/>
        </w:rPr>
        <w:t xml:space="preserve">1. </w:t>
      </w:r>
      <w:r>
        <w:rPr>
          <w:rFonts w:ascii="Arial" w:hAnsi="Arial" w:cs="Arial"/>
          <w:b/>
          <w:sz w:val="20"/>
          <w:szCs w:val="20"/>
        </w:rPr>
        <w:t xml:space="preserve">Admissão de Pessoal. </w:t>
      </w:r>
      <w:r w:rsidRPr="00F303F6">
        <w:rPr>
          <w:rFonts w:ascii="Arial" w:hAnsi="Arial" w:cs="Arial"/>
          <w:b/>
          <w:sz w:val="20"/>
          <w:szCs w:val="20"/>
        </w:rPr>
        <w:t>P</w:t>
      </w:r>
      <w:r>
        <w:rPr>
          <w:rFonts w:ascii="Arial" w:hAnsi="Arial" w:cs="Arial"/>
          <w:b/>
          <w:sz w:val="20"/>
          <w:szCs w:val="20"/>
        </w:rPr>
        <w:t>SS</w:t>
      </w:r>
      <w:r w:rsidRPr="00F303F6">
        <w:rPr>
          <w:rFonts w:ascii="Arial" w:hAnsi="Arial" w:cs="Arial"/>
          <w:b/>
          <w:sz w:val="20"/>
          <w:szCs w:val="20"/>
        </w:rPr>
        <w:t>. Médico Veterinário. Pressupostos constitucionais que se enquadram no contexto de excepcional interesse público. Registro</w:t>
      </w:r>
      <w:r w:rsidRPr="00F303F6">
        <w:rPr>
          <w:rFonts w:ascii="Arial,Bold" w:hAnsi="Arial,Bold" w:cs="Arial,Bold"/>
          <w:b/>
          <w:bCs/>
          <w:sz w:val="24"/>
          <w:szCs w:val="24"/>
        </w:rPr>
        <w:t>.</w:t>
      </w:r>
      <w:r>
        <w:rPr>
          <w:rFonts w:ascii="Arial" w:hAnsi="Arial" w:cs="Arial"/>
          <w:b/>
          <w:sz w:val="20"/>
          <w:szCs w:val="20"/>
        </w:rPr>
        <w:t xml:space="preserve"> </w:t>
      </w:r>
    </w:p>
    <w:p w:rsidR="00050A08" w:rsidRPr="00F77EE9" w:rsidRDefault="00050A08" w:rsidP="00692C8E">
      <w:pPr>
        <w:autoSpaceDE w:val="0"/>
        <w:autoSpaceDN w:val="0"/>
        <w:adjustRightInd w:val="0"/>
        <w:spacing w:after="0"/>
        <w:jc w:val="both"/>
        <w:rPr>
          <w:rFonts w:ascii="Arial" w:hAnsi="Arial" w:cs="Arial"/>
          <w:b/>
          <w:sz w:val="20"/>
          <w:szCs w:val="20"/>
        </w:rPr>
      </w:pPr>
    </w:p>
    <w:p w:rsidR="00050A08" w:rsidRPr="00F303F6" w:rsidRDefault="00050A08" w:rsidP="00692C8E">
      <w:pPr>
        <w:autoSpaceDE w:val="0"/>
        <w:autoSpaceDN w:val="0"/>
        <w:adjustRightInd w:val="0"/>
        <w:spacing w:after="0"/>
        <w:jc w:val="both"/>
        <w:rPr>
          <w:rFonts w:ascii="Arial" w:hAnsi="Arial" w:cs="Arial"/>
          <w:sz w:val="20"/>
          <w:szCs w:val="20"/>
        </w:rPr>
      </w:pPr>
      <w:r w:rsidRPr="00F303F6">
        <w:rPr>
          <w:rFonts w:ascii="Arial" w:hAnsi="Arial" w:cs="Arial"/>
          <w:sz w:val="20"/>
          <w:szCs w:val="20"/>
        </w:rPr>
        <w:t>De acordo com o art. 37, IX da Constituição Federal, a lei estabelecerá os casos de contratação por tempo determinado para atender à necessidade temporária de excepcional interesse público.</w:t>
      </w:r>
    </w:p>
    <w:p w:rsidR="00050A08" w:rsidRPr="00F303F6" w:rsidRDefault="00050A08" w:rsidP="00692C8E">
      <w:pPr>
        <w:autoSpaceDE w:val="0"/>
        <w:autoSpaceDN w:val="0"/>
        <w:adjustRightInd w:val="0"/>
        <w:spacing w:after="0"/>
        <w:jc w:val="both"/>
        <w:rPr>
          <w:rFonts w:ascii="Arial" w:hAnsi="Arial" w:cs="Arial"/>
          <w:sz w:val="20"/>
          <w:szCs w:val="20"/>
        </w:rPr>
      </w:pPr>
    </w:p>
    <w:p w:rsidR="00050A08" w:rsidRPr="00F303F6" w:rsidRDefault="00050A08" w:rsidP="00692C8E">
      <w:pPr>
        <w:autoSpaceDE w:val="0"/>
        <w:autoSpaceDN w:val="0"/>
        <w:adjustRightInd w:val="0"/>
        <w:spacing w:after="0"/>
        <w:jc w:val="both"/>
        <w:rPr>
          <w:rFonts w:ascii="Arial" w:hAnsi="Arial" w:cs="Arial"/>
          <w:sz w:val="20"/>
          <w:szCs w:val="20"/>
        </w:rPr>
      </w:pPr>
      <w:r>
        <w:rPr>
          <w:rFonts w:ascii="Arial" w:hAnsi="Arial" w:cs="Arial"/>
          <w:sz w:val="20"/>
          <w:szCs w:val="20"/>
        </w:rPr>
        <w:t>V</w:t>
      </w:r>
      <w:r w:rsidRPr="00F303F6">
        <w:rPr>
          <w:rFonts w:ascii="Arial" w:hAnsi="Arial" w:cs="Arial"/>
          <w:sz w:val="20"/>
          <w:szCs w:val="20"/>
        </w:rPr>
        <w:t>islumbra-se os pressupostos constitucionais para a contratação, dada a peculiaridade das funções do cargo, voltadas à fiscalização sanitária do Município, as quais, se enquadram no contexto de excepcional interesse público, visto estarem diretamente vinculadas à prestação de serviços de saúde pública.</w:t>
      </w:r>
    </w:p>
    <w:p w:rsidR="00050A08" w:rsidRDefault="00050A08" w:rsidP="00692C8E">
      <w:pPr>
        <w:autoSpaceDE w:val="0"/>
        <w:autoSpaceDN w:val="0"/>
        <w:adjustRightInd w:val="0"/>
        <w:spacing w:after="0"/>
        <w:jc w:val="both"/>
        <w:rPr>
          <w:rFonts w:ascii="Arial" w:hAnsi="Arial" w:cs="Arial"/>
          <w:sz w:val="20"/>
          <w:szCs w:val="20"/>
        </w:rPr>
      </w:pPr>
    </w:p>
    <w:p w:rsidR="00050A08" w:rsidRPr="00F77EE9" w:rsidRDefault="00050A08"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30172/16</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8" w:history="1">
        <w:r w:rsidRPr="00EF5666">
          <w:rPr>
            <w:rStyle w:val="Hyperlink"/>
            <w:rFonts w:ascii="Arial" w:hAnsi="Arial" w:cs="Arial"/>
            <w:sz w:val="20"/>
            <w:szCs w:val="20"/>
          </w:rPr>
          <w:t>Acórdão nº</w:t>
        </w:r>
        <w:r w:rsidRPr="00EF5666">
          <w:rPr>
            <w:rStyle w:val="Hyperlink"/>
            <w:rFonts w:ascii="Arial" w:hAnsi="Arial" w:cs="Arial"/>
            <w:sz w:val="20"/>
            <w:szCs w:val="20"/>
          </w:rPr>
          <w:t xml:space="preserve"> </w:t>
        </w:r>
        <w:r>
          <w:rPr>
            <w:rStyle w:val="Hyperlink"/>
            <w:rFonts w:ascii="Arial" w:hAnsi="Arial" w:cs="Arial"/>
            <w:sz w:val="20"/>
            <w:szCs w:val="20"/>
          </w:rPr>
          <w:t>2/19</w:t>
        </w:r>
        <w:r w:rsidRPr="00EF5666">
          <w:rPr>
            <w:rStyle w:val="Hyperlink"/>
            <w:rFonts w:ascii="Arial" w:hAnsi="Arial" w:cs="Arial"/>
            <w:sz w:val="20"/>
            <w:szCs w:val="20"/>
          </w:rPr>
          <w:t xml:space="preserve"> – Primeira Câmara</w:t>
        </w:r>
      </w:hyperlink>
      <w:r w:rsidRPr="00F77EE9">
        <w:rPr>
          <w:rFonts w:ascii="Arial" w:hAnsi="Arial" w:cs="Arial"/>
          <w:sz w:val="20"/>
          <w:szCs w:val="20"/>
        </w:rPr>
        <w:t xml:space="preserve"> - Relator </w:t>
      </w:r>
      <w:r>
        <w:rPr>
          <w:rFonts w:ascii="Arial" w:hAnsi="Arial" w:cs="Arial"/>
          <w:sz w:val="20"/>
          <w:szCs w:val="20"/>
        </w:rPr>
        <w:t>Conselheiro Fabio de Souza Camargo</w:t>
      </w:r>
      <w:r w:rsidRPr="00F77EE9">
        <w:rPr>
          <w:rFonts w:ascii="Arial" w:hAnsi="Arial" w:cs="Arial"/>
          <w:sz w:val="20"/>
          <w:szCs w:val="20"/>
        </w:rPr>
        <w:t>.</w:t>
      </w:r>
    </w:p>
    <w:p w:rsidR="00050A08" w:rsidRDefault="00050A08" w:rsidP="00692C8E">
      <w:pPr>
        <w:autoSpaceDE w:val="0"/>
        <w:autoSpaceDN w:val="0"/>
        <w:adjustRightInd w:val="0"/>
        <w:spacing w:after="0"/>
        <w:rPr>
          <w:rFonts w:ascii="Arial" w:hAnsi="Arial" w:cs="Arial"/>
          <w:sz w:val="20"/>
          <w:szCs w:val="20"/>
        </w:rPr>
      </w:pPr>
    </w:p>
    <w:p w:rsidR="00050A08" w:rsidRPr="00F85FF6" w:rsidRDefault="00050A08" w:rsidP="00692C8E">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345EF4">
        <w:rPr>
          <w:rFonts w:ascii="Arial" w:hAnsi="Arial" w:cs="Arial"/>
          <w:b/>
          <w:sz w:val="20"/>
          <w:szCs w:val="20"/>
        </w:rPr>
        <w:t xml:space="preserve">. Prestação de contas de transferência. </w:t>
      </w:r>
      <w:r>
        <w:rPr>
          <w:rFonts w:ascii="Arial" w:hAnsi="Arial" w:cs="Arial"/>
          <w:b/>
          <w:sz w:val="20"/>
          <w:szCs w:val="20"/>
        </w:rPr>
        <w:t xml:space="preserve">Convênio. Cooperação. Repasses de recursos do FUNDEB à APM de Escola Municipal. </w:t>
      </w:r>
      <w:r w:rsidRPr="00345EF4">
        <w:rPr>
          <w:rFonts w:ascii="Arial" w:hAnsi="Arial" w:cs="Arial"/>
          <w:b/>
          <w:sz w:val="20"/>
          <w:szCs w:val="20"/>
        </w:rPr>
        <w:t>Regularidade com recomendação</w:t>
      </w:r>
      <w:r>
        <w:rPr>
          <w:rFonts w:ascii="Arial" w:hAnsi="Arial" w:cs="Arial"/>
          <w:b/>
          <w:sz w:val="20"/>
          <w:szCs w:val="20"/>
        </w:rPr>
        <w:t xml:space="preserve"> para</w:t>
      </w:r>
      <w:r w:rsidRPr="00345EF4">
        <w:rPr>
          <w:rFonts w:ascii="Arial" w:hAnsi="Arial" w:cs="Arial"/>
          <w:b/>
          <w:sz w:val="20"/>
          <w:szCs w:val="20"/>
        </w:rPr>
        <w:t xml:space="preserve"> adequação de procedimentos.</w:t>
      </w:r>
    </w:p>
    <w:p w:rsidR="00050A08" w:rsidRDefault="00050A08" w:rsidP="00692C8E">
      <w:pPr>
        <w:autoSpaceDE w:val="0"/>
        <w:autoSpaceDN w:val="0"/>
        <w:adjustRightInd w:val="0"/>
        <w:spacing w:after="0"/>
        <w:jc w:val="both"/>
        <w:rPr>
          <w:rFonts w:ascii="Arial" w:hAnsi="Arial" w:cs="Arial"/>
          <w:sz w:val="20"/>
          <w:szCs w:val="20"/>
        </w:rPr>
      </w:pPr>
    </w:p>
    <w:p w:rsidR="00050A08" w:rsidRDefault="00050A08" w:rsidP="00692C8E">
      <w:pPr>
        <w:autoSpaceDE w:val="0"/>
        <w:autoSpaceDN w:val="0"/>
        <w:adjustRightInd w:val="0"/>
        <w:spacing w:after="0"/>
        <w:jc w:val="both"/>
        <w:rPr>
          <w:rFonts w:ascii="Arial" w:hAnsi="Arial" w:cs="Arial"/>
          <w:sz w:val="20"/>
          <w:szCs w:val="20"/>
        </w:rPr>
      </w:pPr>
      <w:r>
        <w:rPr>
          <w:rFonts w:ascii="Arial" w:hAnsi="Arial" w:cs="Arial"/>
          <w:sz w:val="20"/>
          <w:szCs w:val="20"/>
        </w:rPr>
        <w:t>O</w:t>
      </w:r>
      <w:r w:rsidRPr="003D0464">
        <w:rPr>
          <w:rFonts w:ascii="Arial" w:hAnsi="Arial" w:cs="Arial"/>
          <w:sz w:val="20"/>
          <w:szCs w:val="20"/>
        </w:rPr>
        <w:t xml:space="preserve"> posicionamento desta Corte acerca do tema já alcançou</w:t>
      </w:r>
      <w:r>
        <w:rPr>
          <w:rFonts w:ascii="Arial" w:hAnsi="Arial" w:cs="Arial"/>
          <w:sz w:val="20"/>
          <w:szCs w:val="20"/>
        </w:rPr>
        <w:t xml:space="preserve"> </w:t>
      </w:r>
      <w:r w:rsidRPr="003D0464">
        <w:rPr>
          <w:rFonts w:ascii="Arial" w:hAnsi="Arial" w:cs="Arial"/>
          <w:sz w:val="20"/>
          <w:szCs w:val="20"/>
        </w:rPr>
        <w:t>deslinde, conforme decisão consignada no Acórdão nº 1453/17 – S2C,</w:t>
      </w:r>
      <w:r>
        <w:rPr>
          <w:rFonts w:ascii="Arial" w:hAnsi="Arial" w:cs="Arial"/>
          <w:sz w:val="20"/>
          <w:szCs w:val="20"/>
        </w:rPr>
        <w:t xml:space="preserve">que </w:t>
      </w:r>
      <w:r w:rsidRPr="003D0464">
        <w:rPr>
          <w:rFonts w:ascii="Arial" w:hAnsi="Arial" w:cs="Arial"/>
          <w:sz w:val="20"/>
          <w:szCs w:val="20"/>
        </w:rPr>
        <w:t>consignou os seguintes termos: “a interpretação que deve ser atribuída ao artigo 15 da Lei de Diretrizes e Bases da Educação Nacional é a de que a garantia de autonomia às escolas públicas não exclui eventual participação de entidades privadas sem fins lucrativos em regime de cooperação, inclusive por intermédio de transferências voluntárias”</w:t>
      </w:r>
      <w:r w:rsidR="00692C8E">
        <w:rPr>
          <w:rFonts w:ascii="Arial" w:hAnsi="Arial" w:cs="Arial"/>
          <w:sz w:val="20"/>
          <w:szCs w:val="20"/>
        </w:rPr>
        <w:t>.</w:t>
      </w:r>
      <w:r w:rsidRPr="003D0464">
        <w:rPr>
          <w:rFonts w:ascii="Arial" w:hAnsi="Arial" w:cs="Arial"/>
          <w:sz w:val="20"/>
          <w:szCs w:val="20"/>
        </w:rPr>
        <w:t xml:space="preserve"> Destaca-se, por fim, que o presente entendimento é possível apenas quando não evidenciado </w:t>
      </w:r>
      <w:proofErr w:type="spellStart"/>
      <w:r w:rsidRPr="003D0464">
        <w:rPr>
          <w:rFonts w:ascii="Arial" w:hAnsi="Arial" w:cs="Arial"/>
          <w:sz w:val="20"/>
          <w:szCs w:val="20"/>
        </w:rPr>
        <w:t>dano</w:t>
      </w:r>
      <w:proofErr w:type="spellEnd"/>
      <w:r w:rsidRPr="003D0464">
        <w:rPr>
          <w:rFonts w:ascii="Arial" w:hAnsi="Arial" w:cs="Arial"/>
          <w:sz w:val="20"/>
          <w:szCs w:val="20"/>
        </w:rPr>
        <w:t xml:space="preserve"> ao erário ou à execução do objeto conveniado, podendo apontar que os objetivos do convênio foram alcançados, conforme é o caso em tela.</w:t>
      </w:r>
    </w:p>
    <w:p w:rsidR="00050A08" w:rsidRPr="003D0464" w:rsidRDefault="00050A08" w:rsidP="00692C8E">
      <w:pPr>
        <w:autoSpaceDE w:val="0"/>
        <w:autoSpaceDN w:val="0"/>
        <w:adjustRightInd w:val="0"/>
        <w:spacing w:after="0"/>
        <w:jc w:val="both"/>
        <w:rPr>
          <w:rFonts w:ascii="Arial" w:hAnsi="Arial" w:cs="Arial"/>
          <w:sz w:val="20"/>
          <w:szCs w:val="20"/>
        </w:rPr>
      </w:pPr>
    </w:p>
    <w:p w:rsidR="00050A08" w:rsidRPr="003D0464" w:rsidRDefault="00050A08" w:rsidP="00692C8E">
      <w:pPr>
        <w:autoSpaceDE w:val="0"/>
        <w:autoSpaceDN w:val="0"/>
        <w:adjustRightInd w:val="0"/>
        <w:spacing w:after="0"/>
        <w:jc w:val="both"/>
        <w:rPr>
          <w:rFonts w:ascii="Arial" w:hAnsi="Arial" w:cs="Arial"/>
          <w:sz w:val="20"/>
          <w:szCs w:val="20"/>
        </w:rPr>
      </w:pPr>
      <w:r w:rsidRPr="003D0464">
        <w:rPr>
          <w:rFonts w:ascii="Arial" w:hAnsi="Arial" w:cs="Arial"/>
          <w:sz w:val="20"/>
          <w:szCs w:val="20"/>
        </w:rPr>
        <w:t xml:space="preserve">Assim, </w:t>
      </w:r>
      <w:r>
        <w:rPr>
          <w:rFonts w:ascii="Arial" w:hAnsi="Arial" w:cs="Arial"/>
          <w:sz w:val="20"/>
          <w:szCs w:val="20"/>
        </w:rPr>
        <w:t>decidiu-se</w:t>
      </w:r>
      <w:r w:rsidRPr="003D0464">
        <w:rPr>
          <w:rFonts w:ascii="Arial" w:hAnsi="Arial" w:cs="Arial"/>
          <w:sz w:val="20"/>
          <w:szCs w:val="20"/>
        </w:rPr>
        <w:t xml:space="preserve"> pela regularidade d</w:t>
      </w:r>
      <w:r>
        <w:rPr>
          <w:rFonts w:ascii="Arial" w:hAnsi="Arial" w:cs="Arial"/>
          <w:sz w:val="20"/>
          <w:szCs w:val="20"/>
        </w:rPr>
        <w:t>a</w:t>
      </w:r>
      <w:r w:rsidRPr="003D0464">
        <w:rPr>
          <w:rFonts w:ascii="Arial" w:hAnsi="Arial" w:cs="Arial"/>
          <w:sz w:val="20"/>
          <w:szCs w:val="20"/>
        </w:rPr>
        <w:t xml:space="preserve"> prestação de contas de transferência voluntária, relativa a repasses efetuados pelo Município à Associação de Pais e Mestres (APM) d</w:t>
      </w:r>
      <w:r>
        <w:rPr>
          <w:rFonts w:ascii="Arial" w:hAnsi="Arial" w:cs="Arial"/>
          <w:sz w:val="20"/>
          <w:szCs w:val="20"/>
        </w:rPr>
        <w:t xml:space="preserve">e </w:t>
      </w:r>
      <w:r w:rsidRPr="003D0464">
        <w:rPr>
          <w:rFonts w:ascii="Arial" w:hAnsi="Arial" w:cs="Arial"/>
          <w:sz w:val="20"/>
          <w:szCs w:val="20"/>
        </w:rPr>
        <w:t>Escola Rural Municipal, nos termos do art. 16, I, da Lei Complementar Estadual nº 113/2005</w:t>
      </w:r>
      <w:r>
        <w:rPr>
          <w:rFonts w:ascii="Arial" w:hAnsi="Arial" w:cs="Arial"/>
          <w:sz w:val="20"/>
          <w:szCs w:val="20"/>
        </w:rPr>
        <w:t xml:space="preserve"> com </w:t>
      </w:r>
      <w:r w:rsidRPr="003D0464">
        <w:rPr>
          <w:rFonts w:ascii="Arial" w:hAnsi="Arial" w:cs="Arial"/>
          <w:sz w:val="20"/>
          <w:szCs w:val="20"/>
        </w:rPr>
        <w:t>recomendação aos Jurisdicionados para que observem o disposto na Resolução nº 28/2011, na Instrução Normativa nº 61/2011 e demais normas legais, visando a adoção de providências e medidas para que as faltas ora observadas e destacadas pela Instrução nº 591/14 – DAT, não venham a se repetir em futuras prestações de contas.</w:t>
      </w:r>
    </w:p>
    <w:p w:rsidR="00050A08" w:rsidRDefault="00050A08" w:rsidP="00692C8E">
      <w:pPr>
        <w:autoSpaceDE w:val="0"/>
        <w:autoSpaceDN w:val="0"/>
        <w:adjustRightInd w:val="0"/>
        <w:spacing w:after="0"/>
        <w:rPr>
          <w:rFonts w:ascii="Arial" w:hAnsi="Arial" w:cs="Arial"/>
          <w:sz w:val="20"/>
          <w:szCs w:val="20"/>
        </w:rPr>
      </w:pPr>
    </w:p>
    <w:p w:rsidR="00050A08" w:rsidRPr="00F77EE9" w:rsidRDefault="00050A08"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186361/13</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9" w:history="1">
        <w:r w:rsidRPr="0092607C">
          <w:rPr>
            <w:rStyle w:val="Hyperlink"/>
            <w:rFonts w:ascii="Arial" w:hAnsi="Arial" w:cs="Arial"/>
            <w:sz w:val="20"/>
            <w:szCs w:val="20"/>
          </w:rPr>
          <w:t xml:space="preserve">Acórdão nº </w:t>
        </w:r>
        <w:r>
          <w:rPr>
            <w:rStyle w:val="Hyperlink"/>
            <w:rFonts w:ascii="Arial" w:hAnsi="Arial" w:cs="Arial"/>
            <w:sz w:val="20"/>
            <w:szCs w:val="20"/>
          </w:rPr>
          <w:t>8/1</w:t>
        </w:r>
        <w:r>
          <w:rPr>
            <w:rStyle w:val="Hyperlink"/>
            <w:rFonts w:ascii="Arial" w:hAnsi="Arial" w:cs="Arial"/>
            <w:sz w:val="20"/>
            <w:szCs w:val="20"/>
          </w:rPr>
          <w:t>9</w:t>
        </w:r>
        <w:r w:rsidRPr="0092607C">
          <w:rPr>
            <w:rStyle w:val="Hyperlink"/>
            <w:rFonts w:ascii="Arial" w:hAnsi="Arial" w:cs="Arial"/>
            <w:sz w:val="20"/>
            <w:szCs w:val="20"/>
          </w:rPr>
          <w:t xml:space="preserve"> – Primeira Câmara</w:t>
        </w:r>
      </w:hyperlink>
      <w:r w:rsidRPr="00F77EE9">
        <w:rPr>
          <w:rFonts w:ascii="Arial" w:hAnsi="Arial" w:cs="Arial"/>
          <w:sz w:val="20"/>
          <w:szCs w:val="20"/>
        </w:rPr>
        <w:t xml:space="preserve"> - Relator </w:t>
      </w:r>
      <w:r>
        <w:rPr>
          <w:rFonts w:ascii="Arial" w:hAnsi="Arial" w:cs="Arial"/>
          <w:sz w:val="20"/>
          <w:szCs w:val="20"/>
        </w:rPr>
        <w:t>Conselheiro Fernando Augusto Mello Guimarães</w:t>
      </w:r>
      <w:r w:rsidRPr="00F77EE9">
        <w:rPr>
          <w:rFonts w:ascii="Arial" w:hAnsi="Arial" w:cs="Arial"/>
          <w:sz w:val="20"/>
          <w:szCs w:val="20"/>
        </w:rPr>
        <w:t>.</w:t>
      </w:r>
    </w:p>
    <w:p w:rsidR="00050A08" w:rsidRDefault="00050A08" w:rsidP="00692C8E">
      <w:pPr>
        <w:autoSpaceDE w:val="0"/>
        <w:autoSpaceDN w:val="0"/>
        <w:adjustRightInd w:val="0"/>
        <w:spacing w:after="0"/>
        <w:rPr>
          <w:rFonts w:ascii="Arial" w:hAnsi="Arial" w:cs="Arial"/>
          <w:sz w:val="20"/>
          <w:szCs w:val="20"/>
        </w:rPr>
      </w:pPr>
    </w:p>
    <w:p w:rsidR="00050A08" w:rsidRPr="00BC6DE4" w:rsidRDefault="00050A08" w:rsidP="00692C8E">
      <w:pPr>
        <w:autoSpaceDE w:val="0"/>
        <w:autoSpaceDN w:val="0"/>
        <w:adjustRightInd w:val="0"/>
        <w:spacing w:after="0"/>
        <w:jc w:val="both"/>
        <w:rPr>
          <w:rFonts w:ascii="Arial" w:hAnsi="Arial" w:cs="Arial"/>
          <w:b/>
          <w:sz w:val="20"/>
          <w:szCs w:val="20"/>
        </w:rPr>
      </w:pPr>
      <w:r w:rsidRPr="00BC6DE4">
        <w:rPr>
          <w:rFonts w:ascii="Arial" w:hAnsi="Arial" w:cs="Arial"/>
          <w:b/>
          <w:sz w:val="20"/>
          <w:szCs w:val="20"/>
        </w:rPr>
        <w:t>3. Comunicação de Irregularidade. Pagamento cumulado de gratificação por tempo integral (TIDE) com horas extras, de função gratificada com horas extras, ou, ainda, das três verbas concomitantemente. Indeferimento da medida cautelar proposta pela Unidade Técnica.</w:t>
      </w:r>
    </w:p>
    <w:p w:rsidR="00050A08" w:rsidRPr="00BC6DE4" w:rsidRDefault="00050A08" w:rsidP="00692C8E">
      <w:pPr>
        <w:autoSpaceDE w:val="0"/>
        <w:autoSpaceDN w:val="0"/>
        <w:adjustRightInd w:val="0"/>
        <w:spacing w:after="0"/>
        <w:rPr>
          <w:rFonts w:ascii="Arial" w:hAnsi="Arial" w:cs="Arial"/>
          <w:sz w:val="20"/>
          <w:szCs w:val="20"/>
        </w:rPr>
      </w:pPr>
    </w:p>
    <w:p w:rsidR="00050A08" w:rsidRPr="00BC6DE4"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t>Admitindo-se, a partir das ponderações anteriores, não ser evidente a irregularidade na acumulação da assim denominada TIDE com FG (Função Gratificada) e haver alguma razoabilidade no pagamento da TIDE (RTI) com hora extra, restaria como irregular a incompatibilidade do pagamento simultâneo da FG com horas extras, repudiada nos julgados desta Corte.</w:t>
      </w:r>
    </w:p>
    <w:p w:rsidR="00050A08" w:rsidRPr="00BC6DE4" w:rsidRDefault="00050A08" w:rsidP="00692C8E">
      <w:pPr>
        <w:autoSpaceDE w:val="0"/>
        <w:autoSpaceDN w:val="0"/>
        <w:adjustRightInd w:val="0"/>
        <w:spacing w:after="0"/>
        <w:jc w:val="both"/>
        <w:rPr>
          <w:rFonts w:ascii="Arial" w:hAnsi="Arial" w:cs="Arial"/>
          <w:sz w:val="20"/>
          <w:szCs w:val="20"/>
        </w:rPr>
      </w:pPr>
    </w:p>
    <w:p w:rsidR="00050A08" w:rsidRPr="00BC6DE4"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t xml:space="preserve">Sob tal ótica, não se justifica a adoção de medida tão extrema como uma cautelar em relação à situação de apenas um servidor, cuja remuneração não é extraordinária, </w:t>
      </w:r>
      <w:r w:rsidRPr="004C6D4C">
        <w:rPr>
          <w:rFonts w:ascii="Arial" w:hAnsi="Arial" w:cs="Arial"/>
          <w:sz w:val="20"/>
          <w:szCs w:val="20"/>
        </w:rPr>
        <w:t xml:space="preserve">não se vislumbrando </w:t>
      </w:r>
      <w:r w:rsidRPr="004C6D4C">
        <w:rPr>
          <w:rFonts w:ascii="Arial" w:hAnsi="Arial" w:cs="Arial"/>
          <w:sz w:val="20"/>
          <w:szCs w:val="20"/>
        </w:rPr>
        <w:lastRenderedPageBreak/>
        <w:t>também</w:t>
      </w:r>
      <w:r w:rsidRPr="00BC6DE4">
        <w:rPr>
          <w:rFonts w:ascii="Arial" w:hAnsi="Arial" w:cs="Arial"/>
          <w:sz w:val="20"/>
          <w:szCs w:val="20"/>
        </w:rPr>
        <w:t xml:space="preserve">, por consequência, no caso concreto, o </w:t>
      </w:r>
      <w:r w:rsidRPr="004C6D4C">
        <w:rPr>
          <w:rFonts w:ascii="Arial" w:hAnsi="Arial" w:cs="Arial"/>
          <w:sz w:val="20"/>
          <w:szCs w:val="20"/>
        </w:rPr>
        <w:t>perigo de dano ou o risco ao resultado útil do processo</w:t>
      </w:r>
      <w:r w:rsidRPr="00BC6DE4">
        <w:rPr>
          <w:rFonts w:ascii="Arial" w:hAnsi="Arial" w:cs="Arial"/>
          <w:sz w:val="20"/>
          <w:szCs w:val="20"/>
        </w:rPr>
        <w:t>.</w:t>
      </w:r>
    </w:p>
    <w:p w:rsidR="00050A08" w:rsidRPr="00BC6DE4" w:rsidRDefault="00050A08" w:rsidP="00692C8E">
      <w:pPr>
        <w:autoSpaceDE w:val="0"/>
        <w:autoSpaceDN w:val="0"/>
        <w:adjustRightInd w:val="0"/>
        <w:spacing w:after="0"/>
        <w:jc w:val="both"/>
        <w:rPr>
          <w:rFonts w:ascii="Arial" w:hAnsi="Arial" w:cs="Arial"/>
          <w:sz w:val="20"/>
          <w:szCs w:val="20"/>
        </w:rPr>
      </w:pPr>
    </w:p>
    <w:p w:rsidR="00050A08" w:rsidRPr="00BC6DE4"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t xml:space="preserve">Consoante tal histórico, o montante mencionado por certo não se aplica à presente análise da medida cautelar, e certamente será objeto de revisão posterior, seja em virtude das ponderações ora trazidas, seja porque em seu cálculo foram somadas todas as verbas cujo acúmulo se reputou irregular, sem a ponderação de que seria possível pagar a cada servidor ao menos uma das vantagens. </w:t>
      </w:r>
    </w:p>
    <w:p w:rsidR="00050A08" w:rsidRPr="00BC6DE4" w:rsidRDefault="00050A08" w:rsidP="00692C8E">
      <w:pPr>
        <w:autoSpaceDE w:val="0"/>
        <w:autoSpaceDN w:val="0"/>
        <w:adjustRightInd w:val="0"/>
        <w:spacing w:after="0"/>
        <w:rPr>
          <w:rFonts w:ascii="Arial" w:hAnsi="Arial" w:cs="Arial"/>
          <w:sz w:val="20"/>
          <w:szCs w:val="20"/>
        </w:rPr>
      </w:pPr>
    </w:p>
    <w:p w:rsidR="00050A08" w:rsidRPr="00F77EE9"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t xml:space="preserve">Processo nº </w:t>
      </w:r>
      <w:r>
        <w:rPr>
          <w:rFonts w:ascii="Arial" w:hAnsi="Arial" w:cs="Arial"/>
          <w:sz w:val="20"/>
          <w:szCs w:val="20"/>
        </w:rPr>
        <w:t xml:space="preserve">858848/18 </w:t>
      </w:r>
      <w:r w:rsidRPr="00BC6DE4">
        <w:rPr>
          <w:rFonts w:ascii="Arial" w:hAnsi="Arial" w:cs="Arial"/>
          <w:sz w:val="20"/>
          <w:szCs w:val="20"/>
        </w:rPr>
        <w:t xml:space="preserve">– </w:t>
      </w:r>
      <w:hyperlink r:id="rId10" w:history="1">
        <w:r w:rsidRPr="00BC6DE4">
          <w:rPr>
            <w:rStyle w:val="Hyperlink"/>
            <w:rFonts w:ascii="Arial" w:hAnsi="Arial" w:cs="Arial"/>
            <w:sz w:val="20"/>
            <w:szCs w:val="20"/>
          </w:rPr>
          <w:t xml:space="preserve">Acórdão nº </w:t>
        </w:r>
        <w:r>
          <w:rPr>
            <w:rStyle w:val="Hyperlink"/>
            <w:rFonts w:ascii="Arial" w:hAnsi="Arial" w:cs="Arial"/>
            <w:sz w:val="20"/>
            <w:szCs w:val="20"/>
          </w:rPr>
          <w:t>23</w:t>
        </w:r>
        <w:r w:rsidRPr="00BC6DE4">
          <w:rPr>
            <w:rStyle w:val="Hyperlink"/>
            <w:rFonts w:ascii="Arial" w:hAnsi="Arial" w:cs="Arial"/>
            <w:sz w:val="20"/>
            <w:szCs w:val="20"/>
          </w:rPr>
          <w:t>/</w:t>
        </w:r>
        <w:r w:rsidRPr="00BC6DE4">
          <w:rPr>
            <w:rStyle w:val="Hyperlink"/>
            <w:rFonts w:ascii="Arial" w:hAnsi="Arial" w:cs="Arial"/>
            <w:sz w:val="20"/>
            <w:szCs w:val="20"/>
          </w:rPr>
          <w:t>19 – Primeira Câmara</w:t>
        </w:r>
      </w:hyperlink>
      <w:r w:rsidRPr="00BC6DE4">
        <w:rPr>
          <w:rFonts w:ascii="Arial" w:hAnsi="Arial" w:cs="Arial"/>
          <w:sz w:val="20"/>
          <w:szCs w:val="20"/>
        </w:rPr>
        <w:t xml:space="preserve"> - Relator Conselheiro </w:t>
      </w:r>
      <w:r>
        <w:rPr>
          <w:rFonts w:ascii="Arial" w:hAnsi="Arial" w:cs="Arial"/>
          <w:sz w:val="20"/>
          <w:szCs w:val="20"/>
        </w:rPr>
        <w:t>Thiago Barbosa Cordeiro</w:t>
      </w:r>
      <w:r w:rsidRPr="00BC6DE4">
        <w:rPr>
          <w:rFonts w:ascii="Arial" w:hAnsi="Arial" w:cs="Arial"/>
          <w:sz w:val="20"/>
          <w:szCs w:val="20"/>
        </w:rPr>
        <w:t>.</w:t>
      </w:r>
    </w:p>
    <w:p w:rsidR="00050A08" w:rsidRDefault="00050A08" w:rsidP="00692C8E">
      <w:pPr>
        <w:autoSpaceDE w:val="0"/>
        <w:autoSpaceDN w:val="0"/>
        <w:adjustRightInd w:val="0"/>
        <w:spacing w:after="0"/>
        <w:rPr>
          <w:rFonts w:ascii="Arial" w:hAnsi="Arial" w:cs="Arial"/>
          <w:sz w:val="20"/>
          <w:szCs w:val="20"/>
        </w:rPr>
      </w:pPr>
    </w:p>
    <w:p w:rsidR="00050A08" w:rsidRPr="00BC6DE4" w:rsidRDefault="00050A08" w:rsidP="00692C8E">
      <w:pPr>
        <w:autoSpaceDE w:val="0"/>
        <w:autoSpaceDN w:val="0"/>
        <w:adjustRightInd w:val="0"/>
        <w:spacing w:after="0"/>
        <w:jc w:val="both"/>
        <w:rPr>
          <w:rFonts w:ascii="Arial" w:hAnsi="Arial" w:cs="Arial"/>
          <w:b/>
          <w:sz w:val="20"/>
          <w:szCs w:val="20"/>
        </w:rPr>
      </w:pPr>
      <w:r>
        <w:rPr>
          <w:rFonts w:ascii="Arial" w:hAnsi="Arial" w:cs="Arial"/>
          <w:b/>
          <w:sz w:val="20"/>
          <w:szCs w:val="20"/>
        </w:rPr>
        <w:t>4</w:t>
      </w:r>
      <w:r w:rsidRPr="00BC6DE4">
        <w:rPr>
          <w:rFonts w:ascii="Arial" w:hAnsi="Arial" w:cs="Arial"/>
          <w:b/>
          <w:sz w:val="20"/>
          <w:szCs w:val="20"/>
        </w:rPr>
        <w:t xml:space="preserve">. </w:t>
      </w:r>
      <w:r>
        <w:rPr>
          <w:rFonts w:ascii="Arial" w:hAnsi="Arial" w:cs="Arial"/>
          <w:b/>
          <w:sz w:val="20"/>
          <w:szCs w:val="20"/>
        </w:rPr>
        <w:t>Admissão de Pessoal. Irregularidades no Edital. Tomada de Preços. Restrição da competitividade. Exigência de visita técnica, apresentação de três atestados de qualificação técnica e de profissionais com habilitação técnica que não guarda relação com os cargos a serem providos como membros da equipe técnica. Deferimento de Medida Cautelar para suspensão do certame.</w:t>
      </w:r>
    </w:p>
    <w:p w:rsidR="00050A08" w:rsidRDefault="00050A08" w:rsidP="00692C8E">
      <w:pPr>
        <w:autoSpaceDE w:val="0"/>
        <w:autoSpaceDN w:val="0"/>
        <w:adjustRightInd w:val="0"/>
        <w:spacing w:after="0"/>
        <w:rPr>
          <w:rFonts w:ascii="Arial" w:hAnsi="Arial" w:cs="Arial"/>
          <w:sz w:val="20"/>
          <w:szCs w:val="20"/>
        </w:rPr>
      </w:pPr>
    </w:p>
    <w:p w:rsidR="00050A08" w:rsidRPr="000811A1" w:rsidRDefault="00050A08" w:rsidP="00692C8E">
      <w:pPr>
        <w:autoSpaceDE w:val="0"/>
        <w:autoSpaceDN w:val="0"/>
        <w:adjustRightInd w:val="0"/>
        <w:spacing w:after="0"/>
        <w:jc w:val="both"/>
        <w:rPr>
          <w:rFonts w:ascii="Arial" w:hAnsi="Arial" w:cs="Arial"/>
          <w:sz w:val="20"/>
          <w:szCs w:val="20"/>
        </w:rPr>
      </w:pPr>
      <w:r w:rsidRPr="000811A1">
        <w:rPr>
          <w:rFonts w:ascii="Arial" w:hAnsi="Arial" w:cs="Arial"/>
          <w:sz w:val="20"/>
          <w:szCs w:val="20"/>
        </w:rPr>
        <w:t xml:space="preserve">As </w:t>
      </w:r>
      <w:r w:rsidRPr="000811A1">
        <w:rPr>
          <w:rFonts w:ascii="Arial" w:hAnsi="Arial" w:cs="Arial"/>
          <w:bCs/>
          <w:sz w:val="20"/>
          <w:szCs w:val="20"/>
        </w:rPr>
        <w:t>irregularidades são graves e justificam a expedição de medida cautelar para a suspensão do andamento do processo</w:t>
      </w:r>
      <w:r w:rsidRPr="000811A1">
        <w:rPr>
          <w:rFonts w:ascii="Arial" w:hAnsi="Arial" w:cs="Arial"/>
          <w:sz w:val="20"/>
          <w:szCs w:val="20"/>
        </w:rPr>
        <w:t>. Em especial, preocupa a possibilidade de que as previsões contidas no edital da Tomada de Preços tenham restringido indevida e injustificadamente a competitividade do referido certame, ou até mesmo possibilitado seu direcionamento.</w:t>
      </w:r>
    </w:p>
    <w:p w:rsidR="00050A08" w:rsidRPr="000811A1" w:rsidRDefault="00050A08" w:rsidP="00692C8E">
      <w:pPr>
        <w:autoSpaceDE w:val="0"/>
        <w:autoSpaceDN w:val="0"/>
        <w:adjustRightInd w:val="0"/>
        <w:spacing w:after="0"/>
        <w:jc w:val="both"/>
        <w:rPr>
          <w:rFonts w:ascii="Arial" w:hAnsi="Arial" w:cs="Arial"/>
          <w:sz w:val="20"/>
          <w:szCs w:val="20"/>
        </w:rPr>
      </w:pPr>
    </w:p>
    <w:p w:rsidR="00050A08" w:rsidRPr="000811A1" w:rsidRDefault="00050A08" w:rsidP="00692C8E">
      <w:pPr>
        <w:autoSpaceDE w:val="0"/>
        <w:autoSpaceDN w:val="0"/>
        <w:adjustRightInd w:val="0"/>
        <w:spacing w:after="0"/>
        <w:jc w:val="both"/>
        <w:rPr>
          <w:rFonts w:ascii="Arial" w:hAnsi="Arial" w:cs="Arial"/>
          <w:sz w:val="20"/>
          <w:szCs w:val="20"/>
        </w:rPr>
      </w:pPr>
      <w:r w:rsidRPr="000811A1">
        <w:rPr>
          <w:rFonts w:ascii="Arial" w:hAnsi="Arial" w:cs="Arial"/>
          <w:sz w:val="20"/>
          <w:szCs w:val="20"/>
        </w:rPr>
        <w:t>A visita técnica, cabe somente naqueles casos em que o objeto não pode ser inteiramente descrito no edital, sobretudo em se tratando de obras.</w:t>
      </w:r>
    </w:p>
    <w:p w:rsidR="00050A08" w:rsidRPr="000811A1" w:rsidRDefault="00050A08" w:rsidP="00692C8E">
      <w:pPr>
        <w:autoSpaceDE w:val="0"/>
        <w:autoSpaceDN w:val="0"/>
        <w:adjustRightInd w:val="0"/>
        <w:spacing w:after="0"/>
        <w:jc w:val="both"/>
        <w:rPr>
          <w:rFonts w:ascii="Arial" w:hAnsi="Arial" w:cs="Arial"/>
          <w:sz w:val="20"/>
          <w:szCs w:val="20"/>
        </w:rPr>
      </w:pPr>
    </w:p>
    <w:p w:rsidR="00050A08" w:rsidRPr="000811A1" w:rsidRDefault="00050A08" w:rsidP="00692C8E">
      <w:pPr>
        <w:autoSpaceDE w:val="0"/>
        <w:autoSpaceDN w:val="0"/>
        <w:adjustRightInd w:val="0"/>
        <w:spacing w:after="0"/>
        <w:jc w:val="both"/>
        <w:rPr>
          <w:rFonts w:ascii="Arial" w:hAnsi="Arial" w:cs="Arial"/>
          <w:sz w:val="20"/>
          <w:szCs w:val="20"/>
        </w:rPr>
      </w:pPr>
      <w:r w:rsidRPr="000811A1">
        <w:rPr>
          <w:rFonts w:ascii="Arial" w:hAnsi="Arial" w:cs="Arial"/>
          <w:sz w:val="20"/>
          <w:szCs w:val="20"/>
        </w:rPr>
        <w:t xml:space="preserve">Igualmente </w:t>
      </w:r>
      <w:r w:rsidRPr="000811A1">
        <w:rPr>
          <w:rFonts w:ascii="Arial" w:hAnsi="Arial" w:cs="Arial"/>
          <w:bCs/>
          <w:sz w:val="20"/>
          <w:szCs w:val="20"/>
        </w:rPr>
        <w:t>injustificada a exigência de 3 atestados de qualificação técnica</w:t>
      </w:r>
      <w:r w:rsidRPr="000811A1">
        <w:rPr>
          <w:rFonts w:ascii="Arial" w:hAnsi="Arial" w:cs="Arial"/>
          <w:sz w:val="20"/>
          <w:szCs w:val="20"/>
        </w:rPr>
        <w:t xml:space="preserve">, fornecido por pessoa jurídica de direito público ou privado, </w:t>
      </w:r>
      <w:r w:rsidRPr="000811A1">
        <w:rPr>
          <w:rFonts w:ascii="Arial" w:hAnsi="Arial" w:cs="Arial"/>
          <w:bCs/>
          <w:sz w:val="20"/>
          <w:szCs w:val="20"/>
        </w:rPr>
        <w:t>certificando que a proponente executou satisfatoriamente serviços de complexidade semelhante ao objeto da licitação</w:t>
      </w:r>
      <w:r w:rsidRPr="000811A1">
        <w:rPr>
          <w:rFonts w:ascii="Arial" w:hAnsi="Arial" w:cs="Arial"/>
          <w:sz w:val="20"/>
          <w:szCs w:val="20"/>
        </w:rPr>
        <w:t xml:space="preserve">, </w:t>
      </w:r>
      <w:r w:rsidRPr="000811A1">
        <w:rPr>
          <w:rFonts w:ascii="Arial" w:hAnsi="Arial" w:cs="Arial"/>
          <w:bCs/>
          <w:sz w:val="20"/>
          <w:szCs w:val="20"/>
        </w:rPr>
        <w:t>devidamente aprovados pelo Tribunal de Contas do Estado</w:t>
      </w:r>
      <w:r w:rsidRPr="000811A1">
        <w:rPr>
          <w:rFonts w:ascii="Arial" w:hAnsi="Arial" w:cs="Arial"/>
          <w:b/>
          <w:bCs/>
          <w:sz w:val="20"/>
          <w:szCs w:val="20"/>
        </w:rPr>
        <w:t xml:space="preserve"> </w:t>
      </w:r>
      <w:r w:rsidRPr="000811A1">
        <w:rPr>
          <w:rFonts w:ascii="Arial" w:hAnsi="Arial" w:cs="Arial"/>
          <w:sz w:val="20"/>
          <w:szCs w:val="20"/>
        </w:rPr>
        <w:t>no qual o serviço foi prestado. A previsão pode restringir (ou mesmo direcionar), sob vários aspectos, o acesso de possíveis interessados ao objeto</w:t>
      </w:r>
      <w:r>
        <w:rPr>
          <w:rFonts w:ascii="Arial" w:hAnsi="Arial" w:cs="Arial"/>
          <w:sz w:val="20"/>
          <w:szCs w:val="20"/>
        </w:rPr>
        <w:t>. A</w:t>
      </w:r>
      <w:r w:rsidRPr="000811A1">
        <w:rPr>
          <w:rFonts w:ascii="Arial" w:hAnsi="Arial" w:cs="Arial"/>
          <w:sz w:val="20"/>
          <w:szCs w:val="20"/>
        </w:rPr>
        <w:t xml:space="preserve"> exigência mínima de atestados parece imprópria na fase de habilitação, sendo mais coerente que fosse exigida como critério de pontuação técnica, ao lado de outros fatores com igual ou maior importância, como a qualificação profissional dos membros da comissão examinadora. </w:t>
      </w:r>
    </w:p>
    <w:p w:rsidR="00050A08" w:rsidRPr="000811A1" w:rsidRDefault="00050A08" w:rsidP="00692C8E">
      <w:pPr>
        <w:autoSpaceDE w:val="0"/>
        <w:autoSpaceDN w:val="0"/>
        <w:adjustRightInd w:val="0"/>
        <w:spacing w:after="0"/>
        <w:jc w:val="both"/>
        <w:rPr>
          <w:rFonts w:ascii="Arial" w:hAnsi="Arial" w:cs="Arial"/>
          <w:sz w:val="20"/>
          <w:szCs w:val="20"/>
        </w:rPr>
      </w:pPr>
    </w:p>
    <w:p w:rsidR="00050A08" w:rsidRPr="000811A1" w:rsidRDefault="00050A08" w:rsidP="00692C8E">
      <w:pPr>
        <w:autoSpaceDE w:val="0"/>
        <w:autoSpaceDN w:val="0"/>
        <w:adjustRightInd w:val="0"/>
        <w:spacing w:after="0"/>
        <w:jc w:val="both"/>
        <w:rPr>
          <w:rFonts w:ascii="Arial" w:hAnsi="Arial" w:cs="Arial"/>
          <w:sz w:val="20"/>
          <w:szCs w:val="20"/>
        </w:rPr>
      </w:pPr>
      <w:r w:rsidRPr="000811A1">
        <w:rPr>
          <w:rFonts w:ascii="Arial" w:hAnsi="Arial" w:cs="Arial"/>
          <w:sz w:val="20"/>
          <w:szCs w:val="20"/>
        </w:rPr>
        <w:t>A</w:t>
      </w:r>
      <w:r w:rsidRPr="000811A1">
        <w:rPr>
          <w:rFonts w:ascii="Arial" w:hAnsi="Arial" w:cs="Arial"/>
          <w:b/>
          <w:bCs/>
          <w:sz w:val="20"/>
          <w:szCs w:val="20"/>
        </w:rPr>
        <w:t xml:space="preserve"> </w:t>
      </w:r>
      <w:r w:rsidRPr="000811A1">
        <w:rPr>
          <w:rFonts w:ascii="Arial" w:hAnsi="Arial" w:cs="Arial"/>
          <w:bCs/>
          <w:sz w:val="20"/>
          <w:szCs w:val="20"/>
        </w:rPr>
        <w:t>exigência de um profissional com habilitação em Pedagogia e de um profissional com graduação em Ciências Contábeis como membros da equipe técnica não guarda nenhuma relação com os cargos que se pretende prover</w:t>
      </w:r>
      <w:r w:rsidRPr="000811A1">
        <w:rPr>
          <w:rFonts w:ascii="Arial" w:hAnsi="Arial" w:cs="Arial"/>
          <w:sz w:val="20"/>
          <w:szCs w:val="20"/>
        </w:rPr>
        <w:t>. O Município deve prezar para que a empresa contratada detenha em seu quadro profissionais qualificados especificamente para elaborar as provas dos cargos ofertados, sendo desarrazoada a exigência de um corpo técnico distinto de tais necessidades.</w:t>
      </w:r>
    </w:p>
    <w:p w:rsidR="00050A08" w:rsidRDefault="00050A08" w:rsidP="00692C8E">
      <w:pPr>
        <w:autoSpaceDE w:val="0"/>
        <w:autoSpaceDN w:val="0"/>
        <w:adjustRightInd w:val="0"/>
        <w:spacing w:after="0"/>
        <w:jc w:val="both"/>
        <w:rPr>
          <w:rFonts w:ascii="Arial" w:hAnsi="Arial" w:cs="Arial"/>
        </w:rPr>
      </w:pPr>
    </w:p>
    <w:p w:rsidR="00050A08" w:rsidRPr="00F77EE9"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lastRenderedPageBreak/>
        <w:t xml:space="preserve">Processo nº </w:t>
      </w:r>
      <w:r>
        <w:rPr>
          <w:rFonts w:ascii="Arial" w:hAnsi="Arial" w:cs="Arial"/>
          <w:sz w:val="20"/>
          <w:szCs w:val="20"/>
        </w:rPr>
        <w:t xml:space="preserve">836380/18 </w:t>
      </w:r>
      <w:r w:rsidRPr="00BC6DE4">
        <w:rPr>
          <w:rFonts w:ascii="Arial" w:hAnsi="Arial" w:cs="Arial"/>
          <w:sz w:val="20"/>
          <w:szCs w:val="20"/>
        </w:rPr>
        <w:t xml:space="preserve">– </w:t>
      </w:r>
      <w:hyperlink r:id="rId11" w:history="1">
        <w:r w:rsidRPr="00BC6DE4">
          <w:rPr>
            <w:rStyle w:val="Hyperlink"/>
            <w:rFonts w:ascii="Arial" w:hAnsi="Arial" w:cs="Arial"/>
            <w:sz w:val="20"/>
            <w:szCs w:val="20"/>
          </w:rPr>
          <w:t xml:space="preserve">Acórdão nº </w:t>
        </w:r>
        <w:r>
          <w:rPr>
            <w:rStyle w:val="Hyperlink"/>
            <w:rFonts w:ascii="Arial" w:hAnsi="Arial" w:cs="Arial"/>
            <w:sz w:val="20"/>
            <w:szCs w:val="20"/>
          </w:rPr>
          <w:t>25</w:t>
        </w:r>
        <w:r w:rsidRPr="00BC6DE4">
          <w:rPr>
            <w:rStyle w:val="Hyperlink"/>
            <w:rFonts w:ascii="Arial" w:hAnsi="Arial" w:cs="Arial"/>
            <w:sz w:val="20"/>
            <w:szCs w:val="20"/>
          </w:rPr>
          <w:t>/19</w:t>
        </w:r>
        <w:r w:rsidRPr="00BC6DE4">
          <w:rPr>
            <w:rStyle w:val="Hyperlink"/>
            <w:rFonts w:ascii="Arial" w:hAnsi="Arial" w:cs="Arial"/>
            <w:sz w:val="20"/>
            <w:szCs w:val="20"/>
          </w:rPr>
          <w:t xml:space="preserve"> </w:t>
        </w:r>
        <w:r w:rsidRPr="00BC6DE4">
          <w:rPr>
            <w:rStyle w:val="Hyperlink"/>
            <w:rFonts w:ascii="Arial" w:hAnsi="Arial" w:cs="Arial"/>
            <w:sz w:val="20"/>
            <w:szCs w:val="20"/>
          </w:rPr>
          <w:t>– Primeira Câmara</w:t>
        </w:r>
      </w:hyperlink>
      <w:r w:rsidRPr="00BC6DE4">
        <w:rPr>
          <w:rFonts w:ascii="Arial" w:hAnsi="Arial" w:cs="Arial"/>
          <w:sz w:val="20"/>
          <w:szCs w:val="20"/>
        </w:rPr>
        <w:t xml:space="preserve"> - Relator Conselheiro </w:t>
      </w:r>
      <w:r>
        <w:rPr>
          <w:rFonts w:ascii="Arial" w:hAnsi="Arial" w:cs="Arial"/>
          <w:sz w:val="20"/>
          <w:szCs w:val="20"/>
        </w:rPr>
        <w:t>Thiago Barbosa Cordeiro</w:t>
      </w:r>
      <w:r w:rsidRPr="00BC6DE4">
        <w:rPr>
          <w:rFonts w:ascii="Arial" w:hAnsi="Arial" w:cs="Arial"/>
          <w:sz w:val="20"/>
          <w:szCs w:val="20"/>
        </w:rPr>
        <w:t>.</w:t>
      </w:r>
    </w:p>
    <w:p w:rsidR="00050A08" w:rsidRPr="00B2395C" w:rsidRDefault="00050A08" w:rsidP="00692C8E">
      <w:pPr>
        <w:autoSpaceDE w:val="0"/>
        <w:autoSpaceDN w:val="0"/>
        <w:adjustRightInd w:val="0"/>
        <w:spacing w:after="0"/>
        <w:rPr>
          <w:rFonts w:ascii="Arial" w:hAnsi="Arial" w:cs="Arial"/>
          <w:b/>
          <w:sz w:val="20"/>
          <w:szCs w:val="20"/>
        </w:rPr>
      </w:pPr>
    </w:p>
    <w:p w:rsidR="00050A08" w:rsidRDefault="00050A08" w:rsidP="00692C8E">
      <w:pPr>
        <w:autoSpaceDE w:val="0"/>
        <w:autoSpaceDN w:val="0"/>
        <w:adjustRightInd w:val="0"/>
        <w:spacing w:after="0"/>
        <w:jc w:val="both"/>
        <w:rPr>
          <w:rFonts w:ascii="Arial" w:hAnsi="Arial" w:cs="Arial"/>
          <w:b/>
          <w:sz w:val="20"/>
          <w:szCs w:val="20"/>
        </w:rPr>
      </w:pPr>
      <w:r w:rsidRPr="00B2395C">
        <w:rPr>
          <w:rFonts w:ascii="Arial" w:hAnsi="Arial" w:cs="Arial"/>
          <w:b/>
          <w:sz w:val="20"/>
          <w:szCs w:val="20"/>
        </w:rPr>
        <w:t>5. Tomada de Contas Extraordinária.</w:t>
      </w:r>
      <w:r>
        <w:rPr>
          <w:rFonts w:ascii="Arial" w:hAnsi="Arial" w:cs="Arial"/>
          <w:b/>
          <w:sz w:val="20"/>
          <w:szCs w:val="20"/>
        </w:rPr>
        <w:t xml:space="preserve"> </w:t>
      </w:r>
      <w:r w:rsidRPr="00B2395C">
        <w:rPr>
          <w:rFonts w:ascii="Arial" w:hAnsi="Arial" w:cs="Arial"/>
          <w:b/>
          <w:sz w:val="20"/>
          <w:szCs w:val="20"/>
        </w:rPr>
        <w:t xml:space="preserve">Reconhecimento de ofício, da prescrição da pretensão executória. Precedentes. </w:t>
      </w:r>
    </w:p>
    <w:p w:rsidR="00050A08" w:rsidRDefault="00050A08" w:rsidP="00692C8E">
      <w:pPr>
        <w:autoSpaceDE w:val="0"/>
        <w:autoSpaceDN w:val="0"/>
        <w:adjustRightInd w:val="0"/>
        <w:spacing w:after="0"/>
        <w:jc w:val="both"/>
        <w:rPr>
          <w:rFonts w:ascii="Arial" w:hAnsi="Arial" w:cs="Arial"/>
          <w:b/>
          <w:sz w:val="20"/>
          <w:szCs w:val="20"/>
        </w:rPr>
      </w:pPr>
    </w:p>
    <w:p w:rsidR="00050A08" w:rsidRDefault="00050A08" w:rsidP="00692C8E">
      <w:pPr>
        <w:autoSpaceDE w:val="0"/>
        <w:autoSpaceDN w:val="0"/>
        <w:adjustRightInd w:val="0"/>
        <w:spacing w:after="0"/>
        <w:jc w:val="both"/>
        <w:rPr>
          <w:rFonts w:ascii="Arial" w:hAnsi="Arial" w:cs="Arial"/>
          <w:sz w:val="20"/>
          <w:szCs w:val="20"/>
        </w:rPr>
      </w:pPr>
      <w:r>
        <w:rPr>
          <w:rFonts w:ascii="Arial" w:hAnsi="Arial" w:cs="Arial"/>
          <w:sz w:val="20"/>
          <w:szCs w:val="20"/>
        </w:rPr>
        <w:t xml:space="preserve">A </w:t>
      </w:r>
      <w:r w:rsidRPr="0026375B">
        <w:rPr>
          <w:rFonts w:ascii="Arial" w:hAnsi="Arial" w:cs="Arial"/>
          <w:sz w:val="20"/>
          <w:szCs w:val="20"/>
        </w:rPr>
        <w:t>jurisprudência d</w:t>
      </w:r>
      <w:r>
        <w:rPr>
          <w:rFonts w:ascii="Arial" w:hAnsi="Arial" w:cs="Arial"/>
          <w:sz w:val="20"/>
          <w:szCs w:val="20"/>
        </w:rPr>
        <w:t xml:space="preserve">o </w:t>
      </w:r>
      <w:r w:rsidRPr="0026375B">
        <w:rPr>
          <w:rFonts w:ascii="Arial" w:hAnsi="Arial" w:cs="Arial"/>
          <w:sz w:val="20"/>
          <w:szCs w:val="20"/>
        </w:rPr>
        <w:t>Tribunal</w:t>
      </w:r>
      <w:r>
        <w:rPr>
          <w:rFonts w:ascii="Arial" w:hAnsi="Arial" w:cs="Arial"/>
          <w:sz w:val="20"/>
          <w:szCs w:val="20"/>
        </w:rPr>
        <w:t xml:space="preserve"> contém </w:t>
      </w:r>
      <w:r w:rsidRPr="0026375B">
        <w:rPr>
          <w:rFonts w:ascii="Arial" w:hAnsi="Arial" w:cs="Arial"/>
          <w:sz w:val="20"/>
          <w:szCs w:val="20"/>
        </w:rPr>
        <w:t xml:space="preserve">decisões recentes no sentido de se reconhecer, de ofício, a </w:t>
      </w:r>
      <w:r w:rsidRPr="00930150">
        <w:rPr>
          <w:rFonts w:ascii="Arial" w:hAnsi="Arial" w:cs="Arial"/>
          <w:bCs/>
          <w:sz w:val="20"/>
          <w:szCs w:val="20"/>
        </w:rPr>
        <w:t>prescrição da pretensão executória</w:t>
      </w:r>
      <w:r w:rsidRPr="0026375B">
        <w:rPr>
          <w:rFonts w:ascii="Arial" w:hAnsi="Arial" w:cs="Arial"/>
          <w:sz w:val="20"/>
          <w:szCs w:val="20"/>
        </w:rPr>
        <w:t>, notadamente quando se verifica a inércia da Administração,</w:t>
      </w:r>
      <w:r>
        <w:rPr>
          <w:rFonts w:ascii="Arial" w:hAnsi="Arial" w:cs="Arial"/>
          <w:sz w:val="20"/>
          <w:szCs w:val="20"/>
        </w:rPr>
        <w:t xml:space="preserve"> </w:t>
      </w:r>
      <w:r w:rsidRPr="0026375B">
        <w:rPr>
          <w:rFonts w:ascii="Arial" w:hAnsi="Arial" w:cs="Arial"/>
          <w:sz w:val="20"/>
          <w:szCs w:val="20"/>
        </w:rPr>
        <w:t>como se observa do Acórdão nº. 3.086/16 - Primeira Câmara e do Acórdão</w:t>
      </w:r>
      <w:r>
        <w:rPr>
          <w:rFonts w:ascii="Arial" w:hAnsi="Arial" w:cs="Arial"/>
          <w:sz w:val="20"/>
          <w:szCs w:val="20"/>
        </w:rPr>
        <w:t xml:space="preserve"> </w:t>
      </w:r>
      <w:r w:rsidRPr="0026375B">
        <w:rPr>
          <w:rFonts w:ascii="Arial" w:hAnsi="Arial" w:cs="Arial"/>
          <w:sz w:val="20"/>
          <w:szCs w:val="20"/>
        </w:rPr>
        <w:t>4.659/16 – Tribunal Pleno</w:t>
      </w:r>
      <w:r>
        <w:rPr>
          <w:rFonts w:ascii="Arial" w:hAnsi="Arial" w:cs="Arial"/>
          <w:sz w:val="20"/>
          <w:szCs w:val="20"/>
        </w:rPr>
        <w:t>.</w:t>
      </w:r>
    </w:p>
    <w:p w:rsidR="00050A08" w:rsidRPr="0026375B" w:rsidRDefault="00050A08" w:rsidP="00692C8E">
      <w:pPr>
        <w:autoSpaceDE w:val="0"/>
        <w:autoSpaceDN w:val="0"/>
        <w:adjustRightInd w:val="0"/>
        <w:spacing w:after="0"/>
        <w:jc w:val="both"/>
        <w:rPr>
          <w:rFonts w:ascii="Arial" w:hAnsi="Arial" w:cs="Arial"/>
          <w:sz w:val="20"/>
          <w:szCs w:val="20"/>
        </w:rPr>
      </w:pPr>
    </w:p>
    <w:p w:rsidR="00050A08" w:rsidRDefault="00050A08" w:rsidP="00692C8E">
      <w:pPr>
        <w:autoSpaceDE w:val="0"/>
        <w:autoSpaceDN w:val="0"/>
        <w:adjustRightInd w:val="0"/>
        <w:spacing w:after="0"/>
        <w:jc w:val="both"/>
        <w:rPr>
          <w:rFonts w:ascii="Arial" w:hAnsi="Arial" w:cs="Arial"/>
          <w:sz w:val="20"/>
          <w:szCs w:val="20"/>
        </w:rPr>
      </w:pPr>
      <w:r w:rsidRPr="0026375B">
        <w:rPr>
          <w:rFonts w:ascii="Arial" w:hAnsi="Arial" w:cs="Arial"/>
          <w:sz w:val="20"/>
          <w:szCs w:val="20"/>
        </w:rPr>
        <w:t>Em que pese considerar imprescritível a ação de ressarcimento dos</w:t>
      </w:r>
      <w:r>
        <w:rPr>
          <w:rFonts w:ascii="Arial" w:hAnsi="Arial" w:cs="Arial"/>
          <w:sz w:val="20"/>
          <w:szCs w:val="20"/>
        </w:rPr>
        <w:t xml:space="preserve"> </w:t>
      </w:r>
      <w:r w:rsidRPr="0026375B">
        <w:rPr>
          <w:rFonts w:ascii="Arial" w:hAnsi="Arial" w:cs="Arial"/>
          <w:sz w:val="20"/>
          <w:szCs w:val="20"/>
        </w:rPr>
        <w:t>danos causados ao erário, o longo decurso de tempo decorrido para iniciar-se a</w:t>
      </w:r>
      <w:r>
        <w:rPr>
          <w:rFonts w:ascii="Arial" w:hAnsi="Arial" w:cs="Arial"/>
          <w:sz w:val="20"/>
          <w:szCs w:val="20"/>
        </w:rPr>
        <w:t xml:space="preserve"> </w:t>
      </w:r>
      <w:r w:rsidRPr="0026375B">
        <w:rPr>
          <w:rFonts w:ascii="Arial" w:hAnsi="Arial" w:cs="Arial"/>
          <w:sz w:val="20"/>
          <w:szCs w:val="20"/>
        </w:rPr>
        <w:t>cobrança da dívida, uma vez regularmente constituída, impõe a necessidade de se</w:t>
      </w:r>
      <w:r>
        <w:rPr>
          <w:rFonts w:ascii="Arial" w:hAnsi="Arial" w:cs="Arial"/>
          <w:sz w:val="20"/>
          <w:szCs w:val="20"/>
        </w:rPr>
        <w:t xml:space="preserve"> </w:t>
      </w:r>
      <w:r w:rsidRPr="0026375B">
        <w:rPr>
          <w:rFonts w:ascii="Arial" w:hAnsi="Arial" w:cs="Arial"/>
          <w:sz w:val="20"/>
          <w:szCs w:val="20"/>
        </w:rPr>
        <w:t>reconhecer a estabilidade das situações de fato que há muito se consolidaram,</w:t>
      </w:r>
      <w:r>
        <w:rPr>
          <w:rFonts w:ascii="Arial" w:hAnsi="Arial" w:cs="Arial"/>
          <w:sz w:val="20"/>
          <w:szCs w:val="20"/>
        </w:rPr>
        <w:t xml:space="preserve"> </w:t>
      </w:r>
      <w:r w:rsidRPr="0026375B">
        <w:rPr>
          <w:rFonts w:ascii="Arial" w:hAnsi="Arial" w:cs="Arial"/>
          <w:sz w:val="20"/>
          <w:szCs w:val="20"/>
        </w:rPr>
        <w:t>fazendo incidir o princípio da segurança jurídica.</w:t>
      </w:r>
      <w:r>
        <w:rPr>
          <w:rFonts w:ascii="Arial" w:hAnsi="Arial" w:cs="Arial"/>
          <w:sz w:val="20"/>
          <w:szCs w:val="20"/>
        </w:rPr>
        <w:t xml:space="preserve"> </w:t>
      </w:r>
      <w:r w:rsidRPr="0026375B">
        <w:rPr>
          <w:rFonts w:ascii="Arial" w:hAnsi="Arial" w:cs="Arial"/>
          <w:sz w:val="20"/>
          <w:szCs w:val="20"/>
        </w:rPr>
        <w:t>Diante disso, impõe-se o reconhecimento, de ofício, da prescrição da</w:t>
      </w:r>
      <w:r>
        <w:rPr>
          <w:rFonts w:ascii="Arial" w:hAnsi="Arial" w:cs="Arial"/>
          <w:sz w:val="20"/>
          <w:szCs w:val="20"/>
        </w:rPr>
        <w:t xml:space="preserve"> </w:t>
      </w:r>
      <w:r w:rsidRPr="0026375B">
        <w:rPr>
          <w:rFonts w:ascii="Arial" w:hAnsi="Arial" w:cs="Arial"/>
          <w:sz w:val="20"/>
          <w:szCs w:val="20"/>
        </w:rPr>
        <w:t>pretensão executória</w:t>
      </w:r>
      <w:r>
        <w:rPr>
          <w:rFonts w:ascii="Arial" w:hAnsi="Arial" w:cs="Arial"/>
          <w:sz w:val="20"/>
          <w:szCs w:val="20"/>
        </w:rPr>
        <w:t>.</w:t>
      </w:r>
    </w:p>
    <w:p w:rsidR="00050A08" w:rsidRDefault="00050A08" w:rsidP="00692C8E">
      <w:pPr>
        <w:autoSpaceDE w:val="0"/>
        <w:autoSpaceDN w:val="0"/>
        <w:adjustRightInd w:val="0"/>
        <w:spacing w:after="0"/>
        <w:jc w:val="both"/>
        <w:rPr>
          <w:rFonts w:ascii="Arial" w:hAnsi="Arial" w:cs="Arial"/>
          <w:sz w:val="20"/>
          <w:szCs w:val="20"/>
        </w:rPr>
      </w:pPr>
    </w:p>
    <w:p w:rsidR="00050A08" w:rsidRDefault="00050A08" w:rsidP="00692C8E">
      <w:pPr>
        <w:autoSpaceDE w:val="0"/>
        <w:autoSpaceDN w:val="0"/>
        <w:adjustRightInd w:val="0"/>
        <w:spacing w:after="0"/>
        <w:jc w:val="both"/>
        <w:rPr>
          <w:rFonts w:ascii="Arial" w:hAnsi="Arial" w:cs="Arial"/>
          <w:sz w:val="20"/>
          <w:szCs w:val="20"/>
        </w:rPr>
      </w:pPr>
      <w:r w:rsidRPr="00BC6DE4">
        <w:rPr>
          <w:rFonts w:ascii="Arial" w:hAnsi="Arial" w:cs="Arial"/>
          <w:sz w:val="20"/>
          <w:szCs w:val="20"/>
        </w:rPr>
        <w:t xml:space="preserve">Processo nº </w:t>
      </w:r>
      <w:r>
        <w:rPr>
          <w:rFonts w:ascii="Arial" w:hAnsi="Arial" w:cs="Arial"/>
          <w:sz w:val="20"/>
          <w:szCs w:val="20"/>
        </w:rPr>
        <w:t xml:space="preserve">12906/94 </w:t>
      </w:r>
      <w:r w:rsidRPr="00BC6DE4">
        <w:rPr>
          <w:rFonts w:ascii="Arial" w:hAnsi="Arial" w:cs="Arial"/>
          <w:sz w:val="20"/>
          <w:szCs w:val="20"/>
        </w:rPr>
        <w:t xml:space="preserve">– </w:t>
      </w:r>
      <w:hyperlink r:id="rId12" w:history="1">
        <w:r w:rsidRPr="00BC6DE4">
          <w:rPr>
            <w:rStyle w:val="Hyperlink"/>
            <w:rFonts w:ascii="Arial" w:hAnsi="Arial" w:cs="Arial"/>
            <w:sz w:val="20"/>
            <w:szCs w:val="20"/>
          </w:rPr>
          <w:t>Acórdão n</w:t>
        </w:r>
        <w:r w:rsidRPr="00BC6DE4">
          <w:rPr>
            <w:rStyle w:val="Hyperlink"/>
            <w:rFonts w:ascii="Arial" w:hAnsi="Arial" w:cs="Arial"/>
            <w:sz w:val="20"/>
            <w:szCs w:val="20"/>
          </w:rPr>
          <w:t>º</w:t>
        </w:r>
        <w:r w:rsidRPr="00BC6DE4">
          <w:rPr>
            <w:rStyle w:val="Hyperlink"/>
            <w:rFonts w:ascii="Arial" w:hAnsi="Arial" w:cs="Arial"/>
            <w:sz w:val="20"/>
            <w:szCs w:val="20"/>
          </w:rPr>
          <w:t xml:space="preserve"> </w:t>
        </w:r>
        <w:r>
          <w:rPr>
            <w:rStyle w:val="Hyperlink"/>
            <w:rFonts w:ascii="Arial" w:hAnsi="Arial" w:cs="Arial"/>
            <w:sz w:val="20"/>
            <w:szCs w:val="20"/>
          </w:rPr>
          <w:t>1/19</w:t>
        </w:r>
        <w:r w:rsidRPr="00BC6DE4">
          <w:rPr>
            <w:rStyle w:val="Hyperlink"/>
            <w:rFonts w:ascii="Arial" w:hAnsi="Arial" w:cs="Arial"/>
            <w:sz w:val="20"/>
            <w:szCs w:val="20"/>
          </w:rPr>
          <w:t xml:space="preserve"> – Primeira Câmara</w:t>
        </w:r>
      </w:hyperlink>
      <w:r w:rsidRPr="00BC6DE4">
        <w:rPr>
          <w:rFonts w:ascii="Arial" w:hAnsi="Arial" w:cs="Arial"/>
          <w:sz w:val="20"/>
          <w:szCs w:val="20"/>
        </w:rPr>
        <w:t xml:space="preserve"> - Relator Conselheiro </w:t>
      </w:r>
      <w:r>
        <w:rPr>
          <w:rFonts w:ascii="Arial" w:hAnsi="Arial" w:cs="Arial"/>
          <w:sz w:val="20"/>
          <w:szCs w:val="20"/>
        </w:rPr>
        <w:t>Fabio de Souza Camargo</w:t>
      </w:r>
      <w:r w:rsidRPr="00BC6DE4">
        <w:rPr>
          <w:rFonts w:ascii="Arial" w:hAnsi="Arial" w:cs="Arial"/>
          <w:sz w:val="20"/>
          <w:szCs w:val="20"/>
        </w:rPr>
        <w:t>.</w:t>
      </w:r>
    </w:p>
    <w:p w:rsidR="00F7574E" w:rsidRDefault="00F7574E" w:rsidP="00692C8E">
      <w:pPr>
        <w:autoSpaceDE w:val="0"/>
        <w:autoSpaceDN w:val="0"/>
        <w:adjustRightInd w:val="0"/>
        <w:spacing w:after="0"/>
        <w:jc w:val="both"/>
        <w:rPr>
          <w:rFonts w:ascii="Arial" w:hAnsi="Arial" w:cs="Arial"/>
          <w:sz w:val="20"/>
          <w:szCs w:val="20"/>
        </w:rPr>
      </w:pPr>
    </w:p>
    <w:p w:rsidR="00F7574E" w:rsidRPr="004B62DB" w:rsidRDefault="00692C8E" w:rsidP="00692C8E">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F7574E" w:rsidRPr="009B2564">
        <w:rPr>
          <w:rFonts w:ascii="Arial" w:hAnsi="Arial" w:cs="Arial"/>
          <w:b/>
          <w:sz w:val="20"/>
          <w:szCs w:val="20"/>
        </w:rPr>
        <w:t>.</w:t>
      </w:r>
      <w:r w:rsidR="00731353">
        <w:rPr>
          <w:rFonts w:ascii="Arial" w:hAnsi="Arial" w:cs="Arial"/>
          <w:b/>
          <w:sz w:val="20"/>
          <w:szCs w:val="20"/>
        </w:rPr>
        <w:t xml:space="preserve"> </w:t>
      </w:r>
      <w:r w:rsidR="00F7574E">
        <w:rPr>
          <w:rFonts w:ascii="Arial" w:hAnsi="Arial" w:cs="Arial"/>
          <w:b/>
          <w:sz w:val="20"/>
          <w:szCs w:val="20"/>
        </w:rPr>
        <w:t>T</w:t>
      </w:r>
      <w:r w:rsidR="00F7574E" w:rsidRPr="009B2564">
        <w:rPr>
          <w:rFonts w:ascii="Arial" w:hAnsi="Arial" w:cs="Arial"/>
          <w:b/>
          <w:sz w:val="20"/>
          <w:szCs w:val="20"/>
        </w:rPr>
        <w:t xml:space="preserve">omada de contas extraordinária. Restrições apuradas em contratação temporária, </w:t>
      </w:r>
      <w:r w:rsidR="00F7574E" w:rsidRPr="008A4F5C">
        <w:rPr>
          <w:rFonts w:ascii="Arial" w:hAnsi="Arial" w:cs="Arial"/>
          <w:b/>
          <w:sz w:val="20"/>
          <w:szCs w:val="20"/>
        </w:rPr>
        <w:t>mediante pregão, de 01 (um) profissional habilitado na área de Engenharia Civil, para</w:t>
      </w:r>
      <w:r w:rsidR="00F7574E" w:rsidRPr="009B2564">
        <w:rPr>
          <w:rFonts w:ascii="Arial" w:hAnsi="Arial" w:cs="Arial"/>
          <w:b/>
          <w:sz w:val="20"/>
          <w:szCs w:val="20"/>
        </w:rPr>
        <w:t xml:space="preserve"> prestar serviços junto ao Departamento Municipal de Engenharia. Regularidade das contas com ressalva. Emissão de determinação de adequação dos procedimentos do município na contratação de profissionais necessários ao atendimento de excepcional interesse público, com a regulamentação legal da matéria e realização prévia de teste seletivo. </w:t>
      </w:r>
      <w:r w:rsidR="00F7574E" w:rsidRPr="001462CA">
        <w:rPr>
          <w:rFonts w:ascii="Arial" w:hAnsi="Arial" w:cs="Arial"/>
          <w:b/>
          <w:sz w:val="20"/>
          <w:szCs w:val="20"/>
        </w:rPr>
        <w:t>Aplicação de multa aos responsáveis</w:t>
      </w:r>
      <w:r w:rsidR="00F7574E" w:rsidRPr="009B2564">
        <w:rPr>
          <w:rFonts w:ascii="Arial" w:hAnsi="Arial" w:cs="Arial"/>
          <w:b/>
          <w:sz w:val="20"/>
          <w:szCs w:val="20"/>
        </w:rPr>
        <w:t>.</w:t>
      </w:r>
    </w:p>
    <w:p w:rsidR="00F7574E" w:rsidRPr="008A4F5C" w:rsidRDefault="00F7574E" w:rsidP="00692C8E">
      <w:pPr>
        <w:autoSpaceDE w:val="0"/>
        <w:autoSpaceDN w:val="0"/>
        <w:adjustRightInd w:val="0"/>
        <w:spacing w:after="0"/>
        <w:jc w:val="both"/>
        <w:rPr>
          <w:rFonts w:ascii="Arial" w:hAnsi="Arial" w:cs="Arial"/>
          <w:sz w:val="20"/>
          <w:szCs w:val="20"/>
        </w:rPr>
      </w:pPr>
    </w:p>
    <w:p w:rsidR="00F7574E" w:rsidRPr="00494565" w:rsidRDefault="00F7574E" w:rsidP="00692C8E">
      <w:pPr>
        <w:autoSpaceDE w:val="0"/>
        <w:autoSpaceDN w:val="0"/>
        <w:adjustRightInd w:val="0"/>
        <w:spacing w:after="0"/>
        <w:jc w:val="both"/>
        <w:rPr>
          <w:rFonts w:ascii="Arial" w:hAnsi="Arial" w:cs="Arial"/>
          <w:sz w:val="20"/>
          <w:szCs w:val="20"/>
        </w:rPr>
      </w:pPr>
      <w:r>
        <w:rPr>
          <w:rFonts w:ascii="Arial" w:hAnsi="Arial" w:cs="Arial"/>
          <w:sz w:val="20"/>
          <w:szCs w:val="20"/>
        </w:rPr>
        <w:t xml:space="preserve">Julgar regular com ressalva a </w:t>
      </w:r>
      <w:r w:rsidRPr="00494565">
        <w:rPr>
          <w:rFonts w:ascii="Arial" w:hAnsi="Arial" w:cs="Arial"/>
          <w:sz w:val="20"/>
          <w:szCs w:val="20"/>
        </w:rPr>
        <w:t xml:space="preserve">Tomada de Contas </w:t>
      </w:r>
      <w:r>
        <w:rPr>
          <w:rFonts w:ascii="Arial" w:hAnsi="Arial" w:cs="Arial"/>
          <w:sz w:val="20"/>
          <w:szCs w:val="20"/>
        </w:rPr>
        <w:t xml:space="preserve">que </w:t>
      </w:r>
      <w:r w:rsidRPr="00494565">
        <w:rPr>
          <w:rFonts w:ascii="Arial" w:hAnsi="Arial" w:cs="Arial"/>
          <w:sz w:val="20"/>
          <w:szCs w:val="20"/>
        </w:rPr>
        <w:t>diz respeito à utilização de mecanismo inadequado, por Pregão Presencial para contratação de profissional para prestação de serviços de engenharia, por prazo determinado, com violação ao art. 37, II, da Constituição Federal.</w:t>
      </w:r>
    </w:p>
    <w:p w:rsidR="00F7574E" w:rsidRPr="00494565" w:rsidRDefault="00F7574E" w:rsidP="00692C8E">
      <w:pPr>
        <w:autoSpaceDE w:val="0"/>
        <w:autoSpaceDN w:val="0"/>
        <w:adjustRightInd w:val="0"/>
        <w:spacing w:after="0"/>
        <w:jc w:val="both"/>
        <w:rPr>
          <w:rFonts w:ascii="Arial" w:hAnsi="Arial" w:cs="Arial"/>
          <w:sz w:val="20"/>
          <w:szCs w:val="20"/>
        </w:rPr>
      </w:pPr>
    </w:p>
    <w:p w:rsidR="00F7574E" w:rsidRPr="00494565" w:rsidRDefault="00F7574E" w:rsidP="00692C8E">
      <w:pPr>
        <w:autoSpaceDE w:val="0"/>
        <w:autoSpaceDN w:val="0"/>
        <w:adjustRightInd w:val="0"/>
        <w:spacing w:after="0"/>
        <w:jc w:val="both"/>
        <w:rPr>
          <w:rFonts w:ascii="Arial" w:hAnsi="Arial" w:cs="Arial"/>
          <w:sz w:val="20"/>
          <w:szCs w:val="20"/>
        </w:rPr>
      </w:pPr>
      <w:r w:rsidRPr="00494565">
        <w:rPr>
          <w:rFonts w:ascii="Arial" w:hAnsi="Arial" w:cs="Arial"/>
          <w:sz w:val="20"/>
          <w:szCs w:val="20"/>
        </w:rPr>
        <w:t>Tendo em vista o avançado período de execução, bem como a perspectiva de que eventual interrupção contratual pode gerar consequências jurídicas, administrativas e financeiras negativas para o Município e seus administrados, acolhe-se a proposição da unidade técnica, em autorizar a manutenção da contratação havida em decorrência do Pregão Presencial pelo prazo inicialmente previsto de 12 (doze meses), proibindo em qualquer hipótese a prorrogação contratual</w:t>
      </w:r>
      <w:r>
        <w:rPr>
          <w:rFonts w:ascii="Arial" w:hAnsi="Arial" w:cs="Arial"/>
          <w:sz w:val="20"/>
          <w:szCs w:val="20"/>
        </w:rPr>
        <w:t xml:space="preserve"> </w:t>
      </w:r>
      <w:r w:rsidRPr="00494565">
        <w:rPr>
          <w:rFonts w:ascii="Arial" w:hAnsi="Arial" w:cs="Arial"/>
          <w:sz w:val="20"/>
          <w:szCs w:val="20"/>
        </w:rPr>
        <w:t xml:space="preserve">do Contrato e </w:t>
      </w:r>
      <w:r>
        <w:rPr>
          <w:rFonts w:ascii="Arial" w:hAnsi="Arial" w:cs="Arial"/>
          <w:sz w:val="20"/>
          <w:szCs w:val="20"/>
        </w:rPr>
        <w:t xml:space="preserve">a </w:t>
      </w:r>
      <w:r w:rsidRPr="00494565">
        <w:rPr>
          <w:rFonts w:ascii="Arial" w:hAnsi="Arial" w:cs="Arial"/>
          <w:sz w:val="20"/>
          <w:szCs w:val="20"/>
        </w:rPr>
        <w:t>aplicação de multa</w:t>
      </w:r>
      <w:r>
        <w:rPr>
          <w:rFonts w:ascii="Arial" w:hAnsi="Arial" w:cs="Arial"/>
          <w:sz w:val="20"/>
          <w:szCs w:val="20"/>
        </w:rPr>
        <w:t xml:space="preserve"> </w:t>
      </w:r>
      <w:r w:rsidRPr="00494565">
        <w:rPr>
          <w:rFonts w:ascii="Arial" w:hAnsi="Arial" w:cs="Arial"/>
          <w:sz w:val="20"/>
          <w:szCs w:val="20"/>
        </w:rPr>
        <w:t>ao gestor responsável.</w:t>
      </w:r>
    </w:p>
    <w:p w:rsidR="00F7574E" w:rsidRPr="00494565" w:rsidRDefault="00F7574E" w:rsidP="00692C8E">
      <w:pPr>
        <w:autoSpaceDE w:val="0"/>
        <w:autoSpaceDN w:val="0"/>
        <w:adjustRightInd w:val="0"/>
        <w:spacing w:after="0"/>
        <w:jc w:val="both"/>
        <w:rPr>
          <w:rFonts w:ascii="Arial" w:hAnsi="Arial" w:cs="Arial"/>
          <w:sz w:val="20"/>
          <w:szCs w:val="20"/>
        </w:rPr>
      </w:pPr>
    </w:p>
    <w:p w:rsidR="00F7574E" w:rsidRPr="00494565" w:rsidRDefault="00F7574E" w:rsidP="00692C8E">
      <w:pPr>
        <w:autoSpaceDE w:val="0"/>
        <w:autoSpaceDN w:val="0"/>
        <w:adjustRightInd w:val="0"/>
        <w:spacing w:after="0"/>
        <w:jc w:val="both"/>
        <w:rPr>
          <w:rFonts w:ascii="Arial" w:hAnsi="Arial" w:cs="Arial"/>
          <w:sz w:val="20"/>
          <w:szCs w:val="20"/>
        </w:rPr>
      </w:pPr>
      <w:r w:rsidRPr="00494565">
        <w:rPr>
          <w:rFonts w:ascii="Arial" w:hAnsi="Arial" w:cs="Arial"/>
          <w:sz w:val="20"/>
          <w:szCs w:val="20"/>
        </w:rPr>
        <w:t xml:space="preserve">Determina-se a adequação dos procedimentos do município na contratação temporária de profissionais necessários ao atendimento de excepcional interesse público, com a </w:t>
      </w:r>
      <w:r w:rsidRPr="00494565">
        <w:rPr>
          <w:rFonts w:ascii="Arial" w:hAnsi="Arial" w:cs="Arial"/>
          <w:sz w:val="20"/>
          <w:szCs w:val="20"/>
        </w:rPr>
        <w:lastRenderedPageBreak/>
        <w:t>regulamentação legal da matéria e com realização prévia de teste seletivo para atendimento de tais situações, consoante exigido pelo art. 27, IX, da Constituição Estadual.</w:t>
      </w:r>
    </w:p>
    <w:p w:rsidR="00F7574E" w:rsidRPr="00034D8B" w:rsidRDefault="00F7574E" w:rsidP="00692C8E">
      <w:pPr>
        <w:autoSpaceDE w:val="0"/>
        <w:autoSpaceDN w:val="0"/>
        <w:adjustRightInd w:val="0"/>
        <w:spacing w:after="0"/>
        <w:jc w:val="both"/>
        <w:rPr>
          <w:rFonts w:ascii="Arial" w:hAnsi="Arial" w:cs="Arial"/>
          <w:sz w:val="20"/>
          <w:szCs w:val="20"/>
        </w:rPr>
      </w:pPr>
    </w:p>
    <w:p w:rsidR="00F7574E" w:rsidRPr="00E532A0" w:rsidRDefault="00F7574E" w:rsidP="00692C8E">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683193/18</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3" w:history="1">
        <w:r w:rsidRPr="0035679C">
          <w:rPr>
            <w:rStyle w:val="Hyperlink"/>
            <w:rFonts w:ascii="Arial" w:hAnsi="Arial" w:cs="Arial"/>
            <w:sz w:val="20"/>
            <w:szCs w:val="20"/>
          </w:rPr>
          <w:t xml:space="preserve">Acórdão nº </w:t>
        </w:r>
        <w:r>
          <w:rPr>
            <w:rStyle w:val="Hyperlink"/>
            <w:rFonts w:ascii="Arial" w:hAnsi="Arial" w:cs="Arial"/>
            <w:sz w:val="20"/>
            <w:szCs w:val="20"/>
          </w:rPr>
          <w:t>9</w:t>
        </w:r>
        <w:r>
          <w:rPr>
            <w:rStyle w:val="Hyperlink"/>
            <w:rFonts w:ascii="Arial" w:hAnsi="Arial" w:cs="Arial"/>
            <w:sz w:val="20"/>
            <w:szCs w:val="20"/>
          </w:rPr>
          <w:t>5</w:t>
        </w:r>
        <w:r w:rsidRPr="0035679C">
          <w:rPr>
            <w:rStyle w:val="Hyperlink"/>
            <w:rFonts w:ascii="Arial" w:hAnsi="Arial" w:cs="Arial"/>
            <w:sz w:val="20"/>
            <w:szCs w:val="20"/>
          </w:rPr>
          <w:t>/1</w:t>
        </w:r>
        <w:r>
          <w:rPr>
            <w:rStyle w:val="Hyperlink"/>
            <w:rFonts w:ascii="Arial" w:hAnsi="Arial" w:cs="Arial"/>
            <w:sz w:val="20"/>
            <w:szCs w:val="20"/>
          </w:rPr>
          <w:t>9</w:t>
        </w:r>
        <w:r w:rsidRPr="0035679C">
          <w:rPr>
            <w:rStyle w:val="Hyperlink"/>
            <w:rFonts w:ascii="Arial" w:hAnsi="Arial" w:cs="Arial"/>
            <w:sz w:val="20"/>
            <w:szCs w:val="20"/>
          </w:rPr>
          <w:t xml:space="preserve"> – </w:t>
        </w:r>
        <w:r>
          <w:rPr>
            <w:rStyle w:val="Hyperlink"/>
            <w:rFonts w:ascii="Arial" w:hAnsi="Arial" w:cs="Arial"/>
            <w:sz w:val="20"/>
            <w:szCs w:val="20"/>
          </w:rPr>
          <w:t xml:space="preserve">Primeira </w:t>
        </w:r>
        <w:r w:rsidRPr="0035679C">
          <w:rPr>
            <w:rStyle w:val="Hyperlink"/>
            <w:rFonts w:ascii="Arial" w:hAnsi="Arial" w:cs="Arial"/>
            <w:sz w:val="20"/>
            <w:szCs w:val="20"/>
          </w:rPr>
          <w:t>Câmara</w:t>
        </w:r>
      </w:hyperlink>
      <w:r w:rsidRPr="00E532A0">
        <w:rPr>
          <w:rFonts w:ascii="Arial" w:hAnsi="Arial" w:cs="Arial"/>
          <w:sz w:val="20"/>
          <w:szCs w:val="20"/>
        </w:rPr>
        <w:t xml:space="preserve"> - Relator </w:t>
      </w:r>
      <w:r>
        <w:rPr>
          <w:rFonts w:ascii="Arial" w:hAnsi="Arial" w:cs="Arial"/>
          <w:sz w:val="20"/>
          <w:szCs w:val="20"/>
        </w:rPr>
        <w:t>Conselheiro Fernando Augusto Mello Guimarães</w:t>
      </w:r>
      <w:r w:rsidRPr="00E532A0">
        <w:rPr>
          <w:rFonts w:ascii="Arial" w:hAnsi="Arial" w:cs="Arial"/>
          <w:sz w:val="20"/>
          <w:szCs w:val="20"/>
        </w:rPr>
        <w:t>.</w:t>
      </w:r>
    </w:p>
    <w:p w:rsidR="004429A2" w:rsidRPr="0022060B" w:rsidRDefault="004429A2" w:rsidP="00692C8E">
      <w:pPr>
        <w:autoSpaceDE w:val="0"/>
        <w:autoSpaceDN w:val="0"/>
        <w:adjustRightInd w:val="0"/>
        <w:spacing w:after="0"/>
        <w:jc w:val="both"/>
        <w:rPr>
          <w:rFonts w:ascii="Arial" w:hAnsi="Arial" w:cs="Arial"/>
          <w:sz w:val="20"/>
          <w:szCs w:val="20"/>
        </w:rPr>
      </w:pPr>
    </w:p>
    <w:p w:rsidR="00EC3842" w:rsidRPr="0022060B" w:rsidRDefault="00EC3842" w:rsidP="00692C8E">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692C8E">
      <w:pPr>
        <w:autoSpaceDE w:val="0"/>
        <w:autoSpaceDN w:val="0"/>
        <w:adjustRightInd w:val="0"/>
        <w:spacing w:after="0"/>
        <w:rPr>
          <w:rFonts w:ascii="Arial" w:hAnsi="Arial" w:cs="Arial"/>
          <w:sz w:val="20"/>
          <w:szCs w:val="20"/>
        </w:rPr>
      </w:pPr>
    </w:p>
    <w:p w:rsidR="00F7574E" w:rsidRDefault="00692C8E" w:rsidP="00692C8E">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F7574E">
        <w:rPr>
          <w:rFonts w:ascii="Arial" w:hAnsi="Arial" w:cs="Arial"/>
          <w:b/>
          <w:sz w:val="20"/>
          <w:szCs w:val="20"/>
        </w:rPr>
        <w:t>.</w:t>
      </w:r>
      <w:r w:rsidR="00F7574E" w:rsidRPr="00BF2CE7">
        <w:t xml:space="preserve"> </w:t>
      </w:r>
      <w:r w:rsidR="00F7574E" w:rsidRPr="00FC0898">
        <w:rPr>
          <w:rFonts w:ascii="Arial" w:hAnsi="Arial" w:cs="Arial"/>
          <w:b/>
          <w:sz w:val="20"/>
          <w:szCs w:val="20"/>
        </w:rPr>
        <w:t xml:space="preserve">Pensão. Ascensão funcional. Agente Fiscal para Auditor Fiscal. (In)constitucionalidade pendente de decisão final pelo Supremo Tribunal Federal, com liminar denegada em face do decurso de tempo. Incidência dos princípios da segurança jurídica e boa-fé. Registro do ato de concessão de pensão. Reestruturação de carreira, </w:t>
      </w:r>
      <w:proofErr w:type="gramStart"/>
      <w:r w:rsidR="00F7574E" w:rsidRPr="00FC0898">
        <w:rPr>
          <w:rFonts w:ascii="Arial" w:hAnsi="Arial" w:cs="Arial"/>
          <w:b/>
          <w:sz w:val="20"/>
          <w:szCs w:val="20"/>
        </w:rPr>
        <w:t>mantidas as mesmas</w:t>
      </w:r>
      <w:proofErr w:type="gramEnd"/>
      <w:r w:rsidR="00F7574E" w:rsidRPr="00FC0898">
        <w:rPr>
          <w:rFonts w:ascii="Arial" w:hAnsi="Arial" w:cs="Arial"/>
          <w:b/>
          <w:sz w:val="20"/>
          <w:szCs w:val="20"/>
        </w:rPr>
        <w:t xml:space="preserve"> atribuições do cargo originário. Legalidade e registro.</w:t>
      </w:r>
      <w:r w:rsidR="00F7574E">
        <w:t xml:space="preserve"> </w:t>
      </w:r>
      <w:r w:rsidR="00F7574E">
        <w:rPr>
          <w:rFonts w:ascii="Arial" w:hAnsi="Arial" w:cs="Arial"/>
          <w:b/>
          <w:sz w:val="20"/>
          <w:szCs w:val="20"/>
        </w:rPr>
        <w:t xml:space="preserve"> </w:t>
      </w:r>
    </w:p>
    <w:p w:rsidR="00F7574E" w:rsidRPr="00F77EE9" w:rsidRDefault="00F7574E" w:rsidP="00692C8E">
      <w:pPr>
        <w:autoSpaceDE w:val="0"/>
        <w:autoSpaceDN w:val="0"/>
        <w:adjustRightInd w:val="0"/>
        <w:spacing w:after="0"/>
        <w:jc w:val="both"/>
        <w:rPr>
          <w:rFonts w:ascii="Arial" w:hAnsi="Arial" w:cs="Arial"/>
          <w:b/>
          <w:sz w:val="20"/>
          <w:szCs w:val="20"/>
        </w:rPr>
      </w:pPr>
    </w:p>
    <w:p w:rsidR="00F7574E" w:rsidRPr="00676659" w:rsidRDefault="00F7574E" w:rsidP="00692C8E">
      <w:pPr>
        <w:autoSpaceDE w:val="0"/>
        <w:autoSpaceDN w:val="0"/>
        <w:adjustRightInd w:val="0"/>
        <w:spacing w:after="0"/>
        <w:jc w:val="both"/>
        <w:rPr>
          <w:rFonts w:ascii="Arial" w:hAnsi="Arial" w:cs="Arial"/>
          <w:sz w:val="20"/>
          <w:szCs w:val="20"/>
        </w:rPr>
      </w:pPr>
      <w:r w:rsidRPr="00676659">
        <w:rPr>
          <w:rFonts w:ascii="Arial" w:hAnsi="Arial" w:cs="Arial"/>
          <w:sz w:val="20"/>
          <w:szCs w:val="20"/>
        </w:rPr>
        <w:t>É necessário que se considere a boa-fé do servidor no caso concreto, pois foi transposto de cargo em 2002 através de legislação complementar plenamente válida e eficaz, tendo exercido as atividades inerentes às suas atribuições e recolhido as contribuições sobre os proventos recebidos.</w:t>
      </w:r>
    </w:p>
    <w:p w:rsidR="00F7574E" w:rsidRPr="00676659" w:rsidRDefault="00F7574E" w:rsidP="00692C8E">
      <w:pPr>
        <w:autoSpaceDE w:val="0"/>
        <w:autoSpaceDN w:val="0"/>
        <w:adjustRightInd w:val="0"/>
        <w:spacing w:after="0"/>
        <w:jc w:val="both"/>
        <w:rPr>
          <w:rFonts w:ascii="Arial" w:hAnsi="Arial" w:cs="Arial"/>
          <w:sz w:val="20"/>
          <w:szCs w:val="20"/>
        </w:rPr>
      </w:pPr>
    </w:p>
    <w:p w:rsidR="00F7574E" w:rsidRPr="00676659" w:rsidRDefault="00F7574E" w:rsidP="00692C8E">
      <w:pPr>
        <w:autoSpaceDE w:val="0"/>
        <w:autoSpaceDN w:val="0"/>
        <w:adjustRightInd w:val="0"/>
        <w:spacing w:after="0"/>
        <w:jc w:val="both"/>
        <w:rPr>
          <w:rFonts w:ascii="Arial" w:hAnsi="Arial" w:cs="Arial"/>
          <w:sz w:val="20"/>
          <w:szCs w:val="20"/>
        </w:rPr>
      </w:pPr>
      <w:r w:rsidRPr="00676659">
        <w:rPr>
          <w:rFonts w:ascii="Arial" w:hAnsi="Arial" w:cs="Arial"/>
          <w:sz w:val="20"/>
          <w:szCs w:val="20"/>
        </w:rPr>
        <w:t>Perfilha-se, também, o entendimento do Supremo Tribunal Federal em decorrência do grande lapso temporal transcorrido entre o reenquadramento dos agentes fiscais e o questionamento das normas legais regulamentadoras do ato, dando-se primazia ao princípio da segurança jurídica.</w:t>
      </w:r>
    </w:p>
    <w:p w:rsidR="00F7574E" w:rsidRPr="00676659" w:rsidRDefault="00F7574E" w:rsidP="00692C8E">
      <w:pPr>
        <w:autoSpaceDE w:val="0"/>
        <w:autoSpaceDN w:val="0"/>
        <w:adjustRightInd w:val="0"/>
        <w:spacing w:after="0"/>
        <w:jc w:val="both"/>
        <w:rPr>
          <w:rFonts w:ascii="Arial" w:hAnsi="Arial" w:cs="Arial"/>
          <w:sz w:val="20"/>
          <w:szCs w:val="20"/>
        </w:rPr>
      </w:pPr>
    </w:p>
    <w:p w:rsidR="00F7574E" w:rsidRPr="00676659" w:rsidRDefault="00F7574E" w:rsidP="00692C8E">
      <w:pPr>
        <w:autoSpaceDE w:val="0"/>
        <w:autoSpaceDN w:val="0"/>
        <w:adjustRightInd w:val="0"/>
        <w:spacing w:after="0"/>
        <w:jc w:val="both"/>
        <w:rPr>
          <w:rFonts w:ascii="Arial" w:hAnsi="Arial" w:cs="Arial"/>
          <w:sz w:val="20"/>
          <w:szCs w:val="20"/>
        </w:rPr>
      </w:pPr>
      <w:r w:rsidRPr="00676659">
        <w:rPr>
          <w:rFonts w:ascii="Arial" w:hAnsi="Arial" w:cs="Arial"/>
          <w:sz w:val="20"/>
          <w:szCs w:val="20"/>
        </w:rPr>
        <w:t>Assim, considerando o entendimento jurisprudencial deste Tribunal, a ausência de decisão definitiva de mérito na ADI nº 5.510/PR (C. STF) e na ADI nº 1.528.0725 (</w:t>
      </w:r>
      <w:proofErr w:type="spellStart"/>
      <w:r w:rsidRPr="00676659">
        <w:rPr>
          <w:rFonts w:ascii="Arial" w:hAnsi="Arial" w:cs="Arial"/>
          <w:sz w:val="20"/>
          <w:szCs w:val="20"/>
        </w:rPr>
        <w:t>Eg</w:t>
      </w:r>
      <w:proofErr w:type="spellEnd"/>
      <w:r w:rsidRPr="00676659">
        <w:rPr>
          <w:rFonts w:ascii="Arial" w:hAnsi="Arial" w:cs="Arial"/>
          <w:sz w:val="20"/>
          <w:szCs w:val="20"/>
        </w:rPr>
        <w:t xml:space="preserve">. TJPR), a boa-fé do servidor no caso concreto, a primazia do princípio da segurança jurídica e o efetivo preenchimento dos requisitos legais para a concessão de pensão por morte às dependentes do </w:t>
      </w:r>
      <w:proofErr w:type="spellStart"/>
      <w:r w:rsidRPr="00676659">
        <w:rPr>
          <w:rFonts w:ascii="Arial" w:hAnsi="Arial" w:cs="Arial"/>
          <w:sz w:val="20"/>
          <w:szCs w:val="20"/>
        </w:rPr>
        <w:t>ex-servidor</w:t>
      </w:r>
      <w:proofErr w:type="spellEnd"/>
      <w:r w:rsidRPr="00676659">
        <w:rPr>
          <w:rFonts w:ascii="Arial" w:hAnsi="Arial" w:cs="Arial"/>
          <w:sz w:val="20"/>
          <w:szCs w:val="20"/>
        </w:rPr>
        <w:t>, conclui-se que o ato em questão deve ser registrado.</w:t>
      </w:r>
    </w:p>
    <w:p w:rsidR="00F7574E" w:rsidRPr="00676659" w:rsidRDefault="00F7574E" w:rsidP="00692C8E">
      <w:pPr>
        <w:autoSpaceDE w:val="0"/>
        <w:autoSpaceDN w:val="0"/>
        <w:adjustRightInd w:val="0"/>
        <w:spacing w:after="0"/>
        <w:jc w:val="both"/>
        <w:rPr>
          <w:rFonts w:ascii="Arial" w:hAnsi="Arial" w:cs="Arial"/>
          <w:sz w:val="20"/>
          <w:szCs w:val="20"/>
        </w:rPr>
      </w:pPr>
      <w:r w:rsidRPr="00676659">
        <w:rPr>
          <w:rFonts w:ascii="Arial" w:hAnsi="Arial" w:cs="Arial"/>
          <w:sz w:val="20"/>
          <w:szCs w:val="20"/>
        </w:rPr>
        <w:t xml:space="preserve"> </w:t>
      </w:r>
    </w:p>
    <w:p w:rsidR="00F7574E" w:rsidRDefault="00F7574E"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775031/16</w:t>
      </w:r>
      <w:r w:rsidRPr="00F77EE9">
        <w:rPr>
          <w:rFonts w:ascii="Arial" w:hAnsi="Arial" w:cs="Arial"/>
          <w:sz w:val="20"/>
          <w:szCs w:val="20"/>
        </w:rPr>
        <w:t xml:space="preserve"> - </w:t>
      </w:r>
      <w:hyperlink r:id="rId14" w:history="1">
        <w:r w:rsidRPr="00466C4F">
          <w:rPr>
            <w:rStyle w:val="Hyperlink"/>
            <w:rFonts w:ascii="Arial" w:hAnsi="Arial" w:cs="Arial"/>
            <w:sz w:val="20"/>
            <w:szCs w:val="20"/>
          </w:rPr>
          <w:t>Acórdão</w:t>
        </w:r>
        <w:r w:rsidRPr="00466C4F">
          <w:rPr>
            <w:rStyle w:val="Hyperlink"/>
            <w:rFonts w:ascii="Arial" w:hAnsi="Arial" w:cs="Arial"/>
            <w:sz w:val="20"/>
            <w:szCs w:val="20"/>
          </w:rPr>
          <w:t xml:space="preserve"> </w:t>
        </w:r>
        <w:r w:rsidRPr="00466C4F">
          <w:rPr>
            <w:rStyle w:val="Hyperlink"/>
            <w:rFonts w:ascii="Arial" w:hAnsi="Arial" w:cs="Arial"/>
            <w:sz w:val="20"/>
            <w:szCs w:val="20"/>
          </w:rPr>
          <w:t xml:space="preserve">nº </w:t>
        </w:r>
        <w:r>
          <w:rPr>
            <w:rStyle w:val="Hyperlink"/>
            <w:rFonts w:ascii="Arial" w:hAnsi="Arial" w:cs="Arial"/>
            <w:sz w:val="20"/>
            <w:szCs w:val="20"/>
          </w:rPr>
          <w:t>34</w:t>
        </w:r>
        <w:r w:rsidRPr="00466C4F">
          <w:rPr>
            <w:rStyle w:val="Hyperlink"/>
            <w:rFonts w:ascii="Arial" w:hAnsi="Arial" w:cs="Arial"/>
            <w:sz w:val="20"/>
            <w:szCs w:val="20"/>
          </w:rPr>
          <w:t>/1</w:t>
        </w:r>
        <w:r>
          <w:rPr>
            <w:rStyle w:val="Hyperlink"/>
            <w:rFonts w:ascii="Arial" w:hAnsi="Arial" w:cs="Arial"/>
            <w:sz w:val="20"/>
            <w:szCs w:val="20"/>
          </w:rPr>
          <w:t>9</w:t>
        </w:r>
        <w:r w:rsidRPr="00466C4F">
          <w:rPr>
            <w:rStyle w:val="Hyperlink"/>
            <w:rFonts w:ascii="Arial" w:hAnsi="Arial" w:cs="Arial"/>
            <w:sz w:val="20"/>
            <w:szCs w:val="20"/>
          </w:rPr>
          <w:t xml:space="preserve"> – Segunda Câmara</w:t>
        </w:r>
      </w:hyperlink>
      <w:r>
        <w:rPr>
          <w:rFonts w:ascii="Arial" w:hAnsi="Arial" w:cs="Arial"/>
          <w:sz w:val="20"/>
          <w:szCs w:val="20"/>
        </w:rPr>
        <w:t xml:space="preserve"> –</w:t>
      </w:r>
      <w:r w:rsidRPr="00F77EE9">
        <w:rPr>
          <w:rFonts w:ascii="Arial" w:hAnsi="Arial" w:cs="Arial"/>
          <w:sz w:val="20"/>
          <w:szCs w:val="20"/>
        </w:rPr>
        <w:t xml:space="preserve"> Relator</w:t>
      </w:r>
      <w:r>
        <w:rPr>
          <w:rFonts w:ascii="Arial" w:hAnsi="Arial" w:cs="Arial"/>
          <w:sz w:val="20"/>
          <w:szCs w:val="20"/>
        </w:rPr>
        <w:t xml:space="preserve"> Conselheiro </w:t>
      </w:r>
      <w:proofErr w:type="spellStart"/>
      <w:r>
        <w:rPr>
          <w:rFonts w:ascii="Arial" w:hAnsi="Arial" w:cs="Arial"/>
          <w:sz w:val="20"/>
          <w:szCs w:val="20"/>
        </w:rPr>
        <w:t>Artagão</w:t>
      </w:r>
      <w:proofErr w:type="spellEnd"/>
      <w:r>
        <w:rPr>
          <w:rFonts w:ascii="Arial" w:hAnsi="Arial" w:cs="Arial"/>
          <w:sz w:val="20"/>
          <w:szCs w:val="20"/>
        </w:rPr>
        <w:t xml:space="preserve"> de Matos Leão</w:t>
      </w:r>
      <w:r w:rsidRPr="00F77EE9">
        <w:rPr>
          <w:rFonts w:ascii="Arial" w:hAnsi="Arial" w:cs="Arial"/>
          <w:sz w:val="20"/>
          <w:szCs w:val="20"/>
        </w:rPr>
        <w:t>.</w:t>
      </w:r>
    </w:p>
    <w:p w:rsidR="006D158F" w:rsidRDefault="006D158F" w:rsidP="00692C8E">
      <w:pPr>
        <w:autoSpaceDE w:val="0"/>
        <w:autoSpaceDN w:val="0"/>
        <w:adjustRightInd w:val="0"/>
        <w:spacing w:after="0"/>
        <w:jc w:val="both"/>
        <w:rPr>
          <w:rFonts w:ascii="Arial" w:hAnsi="Arial" w:cs="Arial"/>
          <w:sz w:val="20"/>
          <w:szCs w:val="20"/>
        </w:rPr>
      </w:pPr>
    </w:p>
    <w:p w:rsidR="00AE4F42" w:rsidRPr="0022060B" w:rsidRDefault="00AE4F42" w:rsidP="00692C8E">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692C8E">
      <w:pPr>
        <w:autoSpaceDE w:val="0"/>
        <w:autoSpaceDN w:val="0"/>
        <w:adjustRightInd w:val="0"/>
        <w:spacing w:after="0"/>
        <w:jc w:val="both"/>
        <w:rPr>
          <w:rFonts w:ascii="Arial" w:hAnsi="Arial" w:cs="Arial"/>
          <w:b/>
          <w:color w:val="000000"/>
          <w:sz w:val="20"/>
          <w:szCs w:val="20"/>
          <w:shd w:val="clear" w:color="auto" w:fill="FFFFFF"/>
        </w:rPr>
      </w:pPr>
    </w:p>
    <w:p w:rsidR="0081222C" w:rsidRPr="00BF4C75" w:rsidRDefault="00692C8E" w:rsidP="00692C8E">
      <w:pPr>
        <w:widowControl w:val="0"/>
        <w:autoSpaceDE w:val="0"/>
        <w:autoSpaceDN w:val="0"/>
        <w:spacing w:after="0"/>
        <w:jc w:val="both"/>
        <w:rPr>
          <w:rFonts w:ascii="Arial" w:hAnsi="Arial"/>
          <w:b/>
          <w:sz w:val="20"/>
          <w:szCs w:val="20"/>
        </w:rPr>
      </w:pPr>
      <w:r>
        <w:rPr>
          <w:rFonts w:ascii="Arial" w:hAnsi="Arial"/>
          <w:b/>
          <w:sz w:val="20"/>
          <w:szCs w:val="20"/>
        </w:rPr>
        <w:t xml:space="preserve">8. </w:t>
      </w:r>
      <w:r w:rsidR="00BF4C75" w:rsidRPr="00BF4C75">
        <w:rPr>
          <w:rFonts w:ascii="Arial" w:hAnsi="Arial"/>
          <w:b/>
          <w:sz w:val="20"/>
          <w:szCs w:val="20"/>
        </w:rPr>
        <w:t>Consulta. Doação de ração pelo Poder Público a entidades contempladas com título de utilidade pública para proteção e defesa dos animais. Interesse público. Possibilidade. Dispensa de licitação. Tratamento isonômico entre instituições contempladas. Resposta positiva.</w:t>
      </w:r>
    </w:p>
    <w:p w:rsidR="00692C8E" w:rsidRDefault="00692C8E" w:rsidP="00692C8E">
      <w:pPr>
        <w:pStyle w:val="TCU-Epgrafe"/>
        <w:spacing w:line="276" w:lineRule="auto"/>
        <w:ind w:left="0"/>
        <w:rPr>
          <w:rFonts w:ascii="Arial" w:hAnsi="Arial"/>
          <w:sz w:val="20"/>
        </w:rPr>
      </w:pPr>
    </w:p>
    <w:p w:rsidR="00BF4C75" w:rsidRPr="00BF4C75" w:rsidRDefault="00BF4C75" w:rsidP="00692C8E">
      <w:pPr>
        <w:pStyle w:val="TCU-Epgrafe"/>
        <w:spacing w:line="276" w:lineRule="auto"/>
        <w:ind w:left="0"/>
        <w:rPr>
          <w:rFonts w:ascii="Arial" w:hAnsi="Arial"/>
          <w:sz w:val="20"/>
        </w:rPr>
      </w:pPr>
      <w:r w:rsidRPr="00BF4C75">
        <w:rPr>
          <w:rFonts w:ascii="Arial" w:hAnsi="Arial"/>
          <w:sz w:val="20"/>
        </w:rPr>
        <w:t xml:space="preserve">É possível a doação de ração pela Prefeitura a entidades de proteção e defesa dos animais, reconhecido o interesse público e a função social destas, fazendo-se desnecessária autorização </w:t>
      </w:r>
      <w:r w:rsidRPr="00BF4C75">
        <w:rPr>
          <w:rFonts w:ascii="Arial" w:hAnsi="Arial"/>
          <w:sz w:val="20"/>
        </w:rPr>
        <w:lastRenderedPageBreak/>
        <w:t>legislativa e dispensada a realização de avaliação prévia ou procedimento licitatório, sendo que o ato de alienação deve observar os princípios que regem a Administração Pública, dentre os quais se destaca o tratamento isonômico e impessoal às instituições beneficiadas</w:t>
      </w:r>
      <w:r w:rsidRPr="00BF4C75">
        <w:rPr>
          <w:rFonts w:ascii="Arial" w:hAnsi="Arial"/>
          <w:sz w:val="20"/>
        </w:rPr>
        <w:t>.</w:t>
      </w:r>
    </w:p>
    <w:p w:rsidR="00F27BA1" w:rsidRPr="00F77EE9" w:rsidRDefault="00F27BA1"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sidR="00CD31A4">
        <w:rPr>
          <w:rFonts w:ascii="Arial" w:hAnsi="Arial" w:cs="Arial"/>
          <w:sz w:val="20"/>
          <w:szCs w:val="20"/>
        </w:rPr>
        <w:t>537855</w:t>
      </w:r>
      <w:r>
        <w:rPr>
          <w:rFonts w:ascii="Arial" w:hAnsi="Arial" w:cs="Arial"/>
          <w:sz w:val="20"/>
          <w:szCs w:val="20"/>
        </w:rPr>
        <w:t>/1</w:t>
      </w:r>
      <w:r w:rsidR="00CD31A4">
        <w:rPr>
          <w:rFonts w:ascii="Arial" w:hAnsi="Arial" w:cs="Arial"/>
          <w:sz w:val="20"/>
          <w:szCs w:val="20"/>
        </w:rPr>
        <w:t>8</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5" w:history="1">
        <w:r w:rsidRPr="00055C20">
          <w:rPr>
            <w:rStyle w:val="Hyperlink"/>
            <w:rFonts w:ascii="Arial" w:hAnsi="Arial" w:cs="Arial"/>
            <w:sz w:val="20"/>
            <w:szCs w:val="20"/>
          </w:rPr>
          <w:t xml:space="preserve">Acórdão nº </w:t>
        </w:r>
        <w:r w:rsidR="00CD31A4" w:rsidRPr="00055C20">
          <w:rPr>
            <w:rStyle w:val="Hyperlink"/>
            <w:rFonts w:ascii="Arial" w:hAnsi="Arial" w:cs="Arial"/>
            <w:sz w:val="20"/>
            <w:szCs w:val="20"/>
          </w:rPr>
          <w:t>85</w:t>
        </w:r>
        <w:r w:rsidRPr="00055C20">
          <w:rPr>
            <w:rStyle w:val="Hyperlink"/>
            <w:rFonts w:ascii="Arial" w:hAnsi="Arial" w:cs="Arial"/>
            <w:sz w:val="20"/>
            <w:szCs w:val="20"/>
          </w:rPr>
          <w:t>/19 – Tribunal Pleno</w:t>
        </w:r>
      </w:hyperlink>
      <w:r>
        <w:rPr>
          <w:rFonts w:ascii="Arial" w:hAnsi="Arial" w:cs="Arial"/>
          <w:sz w:val="20"/>
          <w:szCs w:val="20"/>
        </w:rPr>
        <w:t xml:space="preserve"> </w:t>
      </w:r>
      <w:r w:rsidRPr="00F77EE9">
        <w:rPr>
          <w:rFonts w:ascii="Arial" w:hAnsi="Arial" w:cs="Arial"/>
          <w:sz w:val="20"/>
          <w:szCs w:val="20"/>
        </w:rPr>
        <w:t xml:space="preserve">- Relator </w:t>
      </w:r>
      <w:bookmarkStart w:id="0" w:name="_Hlk520374869"/>
      <w:r w:rsidRPr="00F77EE9">
        <w:rPr>
          <w:rFonts w:ascii="Arial" w:hAnsi="Arial" w:cs="Arial"/>
          <w:sz w:val="20"/>
          <w:szCs w:val="20"/>
        </w:rPr>
        <w:t xml:space="preserve">Conselheiro </w:t>
      </w:r>
      <w:r w:rsidR="00CD31A4" w:rsidRPr="00CD31A4">
        <w:rPr>
          <w:rFonts w:ascii="Arial" w:hAnsi="Arial" w:cs="Arial"/>
          <w:sz w:val="20"/>
          <w:szCs w:val="20"/>
        </w:rPr>
        <w:t xml:space="preserve">Ivens </w:t>
      </w:r>
      <w:proofErr w:type="spellStart"/>
      <w:r w:rsidR="00CD31A4" w:rsidRPr="00CD31A4">
        <w:rPr>
          <w:rFonts w:ascii="Arial" w:hAnsi="Arial" w:cs="Arial"/>
          <w:sz w:val="20"/>
          <w:szCs w:val="20"/>
        </w:rPr>
        <w:t>Zschoerper</w:t>
      </w:r>
      <w:proofErr w:type="spellEnd"/>
      <w:r w:rsidR="00CD31A4" w:rsidRPr="00CD31A4">
        <w:rPr>
          <w:rFonts w:ascii="Arial" w:hAnsi="Arial" w:cs="Arial"/>
          <w:sz w:val="20"/>
          <w:szCs w:val="20"/>
        </w:rPr>
        <w:t xml:space="preserve"> Linhares</w:t>
      </w:r>
      <w:r w:rsidR="00CD31A4">
        <w:rPr>
          <w:rFonts w:ascii="Arial" w:hAnsi="Arial" w:cs="Arial"/>
          <w:sz w:val="20"/>
          <w:szCs w:val="20"/>
        </w:rPr>
        <w:t>.</w:t>
      </w:r>
      <w:bookmarkEnd w:id="0"/>
    </w:p>
    <w:p w:rsidR="0044166B" w:rsidRDefault="0044166B" w:rsidP="00692C8E">
      <w:pPr>
        <w:autoSpaceDE w:val="0"/>
        <w:autoSpaceDN w:val="0"/>
        <w:adjustRightInd w:val="0"/>
        <w:spacing w:after="0"/>
        <w:jc w:val="both"/>
      </w:pPr>
    </w:p>
    <w:p w:rsidR="0044166B" w:rsidRPr="0044166B" w:rsidRDefault="00692C8E" w:rsidP="00692C8E">
      <w:pPr>
        <w:pStyle w:val="TCU-Epgrafe"/>
        <w:spacing w:line="276" w:lineRule="auto"/>
        <w:ind w:left="0"/>
        <w:rPr>
          <w:rFonts w:ascii="Arial" w:hAnsi="Arial"/>
          <w:sz w:val="20"/>
        </w:rPr>
      </w:pPr>
      <w:r>
        <w:rPr>
          <w:rFonts w:ascii="Arial" w:hAnsi="Arial"/>
          <w:b/>
          <w:sz w:val="20"/>
        </w:rPr>
        <w:t xml:space="preserve">9. </w:t>
      </w:r>
      <w:r w:rsidR="0044166B" w:rsidRPr="0044166B">
        <w:rPr>
          <w:rFonts w:ascii="Arial" w:hAnsi="Arial"/>
          <w:b/>
          <w:sz w:val="20"/>
        </w:rPr>
        <w:t xml:space="preserve">Tomada de Contas Extraordinária. Execução de contrato. Apuração de possíveis irregularidades lesivas ao erário. Pagamento de despesas fiscais em percentual superior ao conjunto das alíquotas de ISS, PIS e COFINS incididas pela empresa contratada. Prática de </w:t>
      </w:r>
      <w:proofErr w:type="spellStart"/>
      <w:r w:rsidR="0044166B" w:rsidRPr="0044166B">
        <w:rPr>
          <w:rFonts w:ascii="Arial" w:hAnsi="Arial"/>
          <w:b/>
          <w:sz w:val="20"/>
        </w:rPr>
        <w:t>sobrepreço</w:t>
      </w:r>
      <w:proofErr w:type="spellEnd"/>
      <w:r w:rsidR="0044166B" w:rsidRPr="0044166B">
        <w:rPr>
          <w:rFonts w:ascii="Arial" w:hAnsi="Arial"/>
          <w:b/>
          <w:sz w:val="20"/>
        </w:rPr>
        <w:t>. Ratificação de medida cautelar que determinou a imediata suspensão de eventuais pagamentos pendentes e a indisponibilidade de bens dos responsáveis.</w:t>
      </w:r>
    </w:p>
    <w:p w:rsidR="00692C8E" w:rsidRDefault="00692C8E" w:rsidP="00692C8E">
      <w:pPr>
        <w:pStyle w:val="TCU-Epgrafe"/>
        <w:spacing w:line="276" w:lineRule="auto"/>
        <w:ind w:left="0"/>
        <w:rPr>
          <w:rFonts w:ascii="Arial" w:hAnsi="Arial"/>
          <w:sz w:val="20"/>
        </w:rPr>
      </w:pPr>
    </w:p>
    <w:p w:rsidR="0044166B" w:rsidRPr="0044166B" w:rsidRDefault="0044166B" w:rsidP="00692C8E">
      <w:pPr>
        <w:pStyle w:val="TCU-Epgrafe"/>
        <w:spacing w:line="276" w:lineRule="auto"/>
        <w:ind w:left="0"/>
        <w:rPr>
          <w:rFonts w:ascii="Arial" w:hAnsi="Arial"/>
          <w:sz w:val="20"/>
        </w:rPr>
      </w:pPr>
      <w:r w:rsidRPr="0044166B">
        <w:rPr>
          <w:rFonts w:ascii="Arial" w:hAnsi="Arial"/>
          <w:sz w:val="20"/>
        </w:rPr>
        <w:t xml:space="preserve">No âmbito da licitação, não é permitido que o </w:t>
      </w:r>
      <w:r w:rsidRPr="0044166B">
        <w:rPr>
          <w:rFonts w:ascii="Arial" w:hAnsi="Arial"/>
          <w:sz w:val="20"/>
        </w:rPr>
        <w:t>licitante vencedor proponha determinado preço, incluindo determinado custo direto, indireto e seu lucro, e, na execução do contrato, pratique custos diretos menores, auferindo lucro maior, superfaturamento ou enriquecimento sem causa. Se isto ocorrer, caberá o direito de revisão do contrato em favor da Administração</w:t>
      </w:r>
      <w:r>
        <w:rPr>
          <w:rFonts w:ascii="Arial" w:hAnsi="Arial"/>
          <w:sz w:val="20"/>
        </w:rPr>
        <w:t>.</w:t>
      </w:r>
    </w:p>
    <w:p w:rsidR="00692C8E" w:rsidRDefault="00692C8E" w:rsidP="00692C8E">
      <w:pPr>
        <w:pStyle w:val="TCU-Epgrafe"/>
        <w:spacing w:line="276" w:lineRule="auto"/>
        <w:ind w:left="0"/>
        <w:rPr>
          <w:rFonts w:ascii="Arial" w:hAnsi="Arial"/>
          <w:sz w:val="20"/>
        </w:rPr>
      </w:pPr>
    </w:p>
    <w:p w:rsidR="0044166B" w:rsidRPr="00692C8E" w:rsidRDefault="00A16BC1" w:rsidP="00692C8E">
      <w:pPr>
        <w:autoSpaceDE w:val="0"/>
        <w:autoSpaceDN w:val="0"/>
        <w:adjustRightInd w:val="0"/>
        <w:spacing w:after="0"/>
        <w:jc w:val="both"/>
        <w:rPr>
          <w:rFonts w:ascii="Arial" w:hAnsi="Arial" w:cs="Arial"/>
          <w:sz w:val="20"/>
          <w:szCs w:val="20"/>
        </w:rPr>
      </w:pPr>
      <w:r w:rsidRPr="00692C8E">
        <w:rPr>
          <w:rFonts w:ascii="Arial" w:hAnsi="Arial" w:cs="Arial"/>
          <w:sz w:val="20"/>
          <w:szCs w:val="20"/>
        </w:rPr>
        <w:t xml:space="preserve">O pagamento de remuneração aos trabalhadores em valor inferior aos declarados, ou ainda, a falta de repasse de benefícios constantes da planilha de custos, gera a redução dos custos do contratado de forma indevida e enseja a repactuação dos valores contratuais em favor da Administração, em virtude da quebra do equilíbrio econômico financeiro do contrato. </w:t>
      </w:r>
      <w:r w:rsidR="0044166B" w:rsidRPr="00692C8E">
        <w:rPr>
          <w:rFonts w:ascii="Arial" w:hAnsi="Arial" w:cs="Arial"/>
          <w:sz w:val="20"/>
          <w:szCs w:val="20"/>
        </w:rPr>
        <w:t>Nesse caso, n</w:t>
      </w:r>
      <w:r w:rsidRPr="00692C8E">
        <w:rPr>
          <w:rFonts w:ascii="Arial" w:hAnsi="Arial" w:cs="Arial"/>
          <w:sz w:val="20"/>
          <w:szCs w:val="20"/>
        </w:rPr>
        <w:t>ão somente os valores orçados como despesas de pessoal estarão inflados, mas também os encargos sociais e o BDI, vez que são calculados em percentual sobre os custos</w:t>
      </w:r>
      <w:r w:rsidR="0044166B" w:rsidRPr="00692C8E">
        <w:rPr>
          <w:rFonts w:ascii="Arial" w:hAnsi="Arial" w:cs="Arial"/>
          <w:sz w:val="20"/>
          <w:szCs w:val="20"/>
        </w:rPr>
        <w:t xml:space="preserve">. </w:t>
      </w:r>
    </w:p>
    <w:p w:rsidR="00692C8E" w:rsidRDefault="00692C8E" w:rsidP="00692C8E">
      <w:pPr>
        <w:pStyle w:val="TCU-Epgrafe"/>
        <w:spacing w:line="276" w:lineRule="auto"/>
        <w:ind w:left="0"/>
        <w:rPr>
          <w:rFonts w:ascii="Arial" w:hAnsi="Arial"/>
          <w:sz w:val="20"/>
        </w:rPr>
      </w:pPr>
    </w:p>
    <w:p w:rsidR="00A16BC1" w:rsidRPr="0044166B" w:rsidRDefault="0044166B" w:rsidP="00692C8E">
      <w:pPr>
        <w:pStyle w:val="TCU-Epgrafe"/>
        <w:spacing w:line="276" w:lineRule="auto"/>
        <w:ind w:left="0"/>
        <w:rPr>
          <w:rFonts w:ascii="Arial" w:hAnsi="Arial"/>
          <w:sz w:val="20"/>
        </w:rPr>
      </w:pPr>
      <w:r w:rsidRPr="0044166B">
        <w:rPr>
          <w:rFonts w:ascii="Arial" w:hAnsi="Arial"/>
          <w:sz w:val="20"/>
        </w:rPr>
        <w:t>Assim, d</w:t>
      </w:r>
      <w:r w:rsidRPr="0044166B">
        <w:rPr>
          <w:rFonts w:ascii="Arial" w:hAnsi="Arial"/>
          <w:sz w:val="20"/>
        </w:rPr>
        <w:t>eve haver vinculação entre os valores constantes na planilha de custos integrante da proposta e aqueles efetivamente pagos pela contratada, para fins de balizar condutas por parte da Administração na execução e fiscalização dos contratos, devendo os servidores responsáveis proceder a glosas relativas às diferenças verificadas, na hipótese de divergência a menor de valores entre o que foi discriminado na licitação e aquilo que veio a ser efetivamente retido e recolhido pela empresa contratada.</w:t>
      </w:r>
    </w:p>
    <w:p w:rsidR="0044166B" w:rsidRPr="00F77EE9" w:rsidRDefault="0044166B"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793460</w:t>
      </w:r>
      <w:r>
        <w:rPr>
          <w:rFonts w:ascii="Arial" w:hAnsi="Arial" w:cs="Arial"/>
          <w:sz w:val="20"/>
          <w:szCs w:val="20"/>
        </w:rPr>
        <w:t>/18</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6" w:history="1">
        <w:r w:rsidRPr="002B7B98">
          <w:rPr>
            <w:rStyle w:val="Hyperlink"/>
            <w:rFonts w:ascii="Arial" w:hAnsi="Arial" w:cs="Arial"/>
            <w:sz w:val="20"/>
            <w:szCs w:val="20"/>
          </w:rPr>
          <w:t>Acórdão nº 79/19 – Tribunal Pleno</w:t>
        </w:r>
      </w:hyperlink>
      <w:r>
        <w:rPr>
          <w:rFonts w:ascii="Arial" w:hAnsi="Arial" w:cs="Arial"/>
          <w:sz w:val="20"/>
          <w:szCs w:val="20"/>
        </w:rPr>
        <w:t xml:space="preserve"> </w:t>
      </w:r>
      <w:r w:rsidRPr="00F77EE9">
        <w:rPr>
          <w:rFonts w:ascii="Arial" w:hAnsi="Arial" w:cs="Arial"/>
          <w:sz w:val="20"/>
          <w:szCs w:val="20"/>
        </w:rPr>
        <w:t xml:space="preserve">- Relator Conselheiro </w:t>
      </w:r>
      <w:r w:rsidRPr="00CD31A4">
        <w:rPr>
          <w:rFonts w:ascii="Arial" w:hAnsi="Arial" w:cs="Arial"/>
          <w:sz w:val="20"/>
          <w:szCs w:val="20"/>
        </w:rPr>
        <w:t xml:space="preserve">Ivens </w:t>
      </w:r>
      <w:proofErr w:type="spellStart"/>
      <w:r w:rsidRPr="00CD31A4">
        <w:rPr>
          <w:rFonts w:ascii="Arial" w:hAnsi="Arial" w:cs="Arial"/>
          <w:sz w:val="20"/>
          <w:szCs w:val="20"/>
        </w:rPr>
        <w:t>Zschoerper</w:t>
      </w:r>
      <w:proofErr w:type="spellEnd"/>
      <w:r w:rsidRPr="00CD31A4">
        <w:rPr>
          <w:rFonts w:ascii="Arial" w:hAnsi="Arial" w:cs="Arial"/>
          <w:sz w:val="20"/>
          <w:szCs w:val="20"/>
        </w:rPr>
        <w:t xml:space="preserve"> Linhares</w:t>
      </w:r>
      <w:r>
        <w:rPr>
          <w:rFonts w:ascii="Arial" w:hAnsi="Arial" w:cs="Arial"/>
          <w:sz w:val="20"/>
          <w:szCs w:val="20"/>
        </w:rPr>
        <w:t>.</w:t>
      </w:r>
    </w:p>
    <w:p w:rsidR="0026510B" w:rsidRDefault="0026510B" w:rsidP="00692C8E">
      <w:pPr>
        <w:autoSpaceDE w:val="0"/>
        <w:autoSpaceDN w:val="0"/>
        <w:adjustRightInd w:val="0"/>
        <w:spacing w:after="0"/>
        <w:jc w:val="both"/>
        <w:rPr>
          <w:rFonts w:ascii="Arial" w:hAnsi="Arial" w:cs="Arial"/>
          <w:color w:val="000000"/>
          <w:sz w:val="20"/>
          <w:szCs w:val="20"/>
          <w:shd w:val="clear" w:color="auto" w:fill="FFFFFF"/>
        </w:rPr>
      </w:pPr>
    </w:p>
    <w:p w:rsidR="00050A08" w:rsidRPr="00FF31E4" w:rsidRDefault="00050A08" w:rsidP="00692C8E">
      <w:pPr>
        <w:autoSpaceDE w:val="0"/>
        <w:autoSpaceDN w:val="0"/>
        <w:adjustRightInd w:val="0"/>
        <w:spacing w:after="0"/>
        <w:jc w:val="both"/>
        <w:rPr>
          <w:rFonts w:ascii="Arial" w:hAnsi="Arial" w:cs="Arial"/>
          <w:b/>
          <w:sz w:val="20"/>
          <w:szCs w:val="20"/>
        </w:rPr>
      </w:pPr>
      <w:r>
        <w:rPr>
          <w:rFonts w:ascii="Arial" w:hAnsi="Arial" w:cs="Arial"/>
          <w:b/>
          <w:sz w:val="20"/>
          <w:szCs w:val="20"/>
        </w:rPr>
        <w:t>1</w:t>
      </w:r>
      <w:r w:rsidR="00692C8E">
        <w:rPr>
          <w:rFonts w:ascii="Arial" w:hAnsi="Arial" w:cs="Arial"/>
          <w:b/>
          <w:sz w:val="20"/>
          <w:szCs w:val="20"/>
        </w:rPr>
        <w:t>0</w:t>
      </w:r>
      <w:r>
        <w:rPr>
          <w:rFonts w:ascii="Arial" w:hAnsi="Arial" w:cs="Arial"/>
          <w:b/>
          <w:sz w:val="20"/>
          <w:szCs w:val="20"/>
        </w:rPr>
        <w:t xml:space="preserve">. </w:t>
      </w:r>
      <w:r w:rsidRPr="00BD19D3">
        <w:rPr>
          <w:rFonts w:ascii="Arial" w:hAnsi="Arial" w:cs="Arial"/>
          <w:b/>
          <w:sz w:val="20"/>
          <w:szCs w:val="20"/>
        </w:rPr>
        <w:t>Consulta. Aplicabilidade do regime de licitações e contratações preconizado na Lei Federal</w:t>
      </w:r>
      <w:r>
        <w:rPr>
          <w:rFonts w:ascii="Arial" w:hAnsi="Arial" w:cs="Arial"/>
          <w:b/>
          <w:sz w:val="20"/>
          <w:szCs w:val="20"/>
        </w:rPr>
        <w:t xml:space="preserve"> </w:t>
      </w:r>
      <w:r w:rsidRPr="00BD19D3">
        <w:rPr>
          <w:rFonts w:ascii="Arial" w:hAnsi="Arial" w:cs="Arial"/>
          <w:b/>
          <w:sz w:val="20"/>
          <w:szCs w:val="20"/>
        </w:rPr>
        <w:t>nº 13.303/16. Perda de interesse processual. Extinção do feito sem julgamento de mérito</w:t>
      </w:r>
      <w:r>
        <w:rPr>
          <w:rFonts w:ascii="Arial" w:hAnsi="Arial" w:cs="Arial"/>
          <w:sz w:val="20"/>
          <w:szCs w:val="20"/>
        </w:rPr>
        <w:t>.</w:t>
      </w:r>
    </w:p>
    <w:p w:rsidR="00050A08" w:rsidRPr="00F77EE9" w:rsidRDefault="00050A08" w:rsidP="00692C8E">
      <w:pPr>
        <w:autoSpaceDE w:val="0"/>
        <w:autoSpaceDN w:val="0"/>
        <w:adjustRightInd w:val="0"/>
        <w:spacing w:after="0"/>
        <w:jc w:val="both"/>
        <w:rPr>
          <w:rFonts w:ascii="Arial" w:hAnsi="Arial" w:cs="Arial"/>
          <w:b/>
          <w:sz w:val="20"/>
          <w:szCs w:val="20"/>
        </w:rPr>
      </w:pPr>
    </w:p>
    <w:p w:rsidR="00050A08" w:rsidRPr="00494161" w:rsidRDefault="00050A08" w:rsidP="00692C8E">
      <w:pPr>
        <w:autoSpaceDE w:val="0"/>
        <w:autoSpaceDN w:val="0"/>
        <w:adjustRightInd w:val="0"/>
        <w:spacing w:after="0"/>
        <w:jc w:val="both"/>
        <w:rPr>
          <w:rFonts w:ascii="Arial" w:hAnsi="Arial" w:cs="Arial"/>
          <w:sz w:val="20"/>
          <w:szCs w:val="20"/>
        </w:rPr>
      </w:pPr>
      <w:r w:rsidRPr="00494161">
        <w:rPr>
          <w:rFonts w:ascii="Arial" w:hAnsi="Arial" w:cs="Arial"/>
          <w:sz w:val="20"/>
          <w:szCs w:val="20"/>
        </w:rPr>
        <w:t>A consulta circunscreveu-se à aplicabilidade da Lei 13.303/2016 às empresas públicas e sociedades de economia mista, formulada nos seguintes termos: “a sociedade de economia mista constituída conforme as normas vigentes à época e exercente de atividade econômica em sentido estrito pode adotar o regime de contratações previsto na Lei das Estatais”</w:t>
      </w:r>
    </w:p>
    <w:p w:rsidR="00050A08" w:rsidRPr="00494161" w:rsidRDefault="00050A08" w:rsidP="00692C8E">
      <w:pPr>
        <w:autoSpaceDE w:val="0"/>
        <w:autoSpaceDN w:val="0"/>
        <w:adjustRightInd w:val="0"/>
        <w:spacing w:after="0"/>
        <w:jc w:val="both"/>
        <w:rPr>
          <w:rFonts w:ascii="Arial" w:hAnsi="Arial" w:cs="Arial"/>
          <w:sz w:val="20"/>
          <w:szCs w:val="20"/>
        </w:rPr>
      </w:pPr>
    </w:p>
    <w:p w:rsidR="00050A08" w:rsidRDefault="00050A08" w:rsidP="00692C8E">
      <w:pPr>
        <w:autoSpaceDE w:val="0"/>
        <w:autoSpaceDN w:val="0"/>
        <w:adjustRightInd w:val="0"/>
        <w:spacing w:after="0"/>
        <w:jc w:val="both"/>
        <w:rPr>
          <w:rFonts w:ascii="Arial" w:hAnsi="Arial" w:cs="Arial"/>
          <w:sz w:val="24"/>
          <w:szCs w:val="24"/>
        </w:rPr>
      </w:pPr>
      <w:r>
        <w:rPr>
          <w:rFonts w:ascii="Arial" w:hAnsi="Arial" w:cs="Arial"/>
          <w:sz w:val="20"/>
          <w:szCs w:val="20"/>
        </w:rPr>
        <w:lastRenderedPageBreak/>
        <w:t>Não mais subsistindo a questão aventada pelo consulente, conforme destacado pelo órgão ministerial, e</w:t>
      </w:r>
      <w:r w:rsidRPr="00494161">
        <w:rPr>
          <w:rFonts w:ascii="Arial" w:hAnsi="Arial" w:cs="Arial"/>
          <w:sz w:val="20"/>
          <w:szCs w:val="20"/>
        </w:rPr>
        <w:t>videnciada a ausência de interesse processual na obtenção da resposta à consulta formulada, deve ser extinto o processo, com fundamento no art. 485, incisos VI e VIII do Código de Processo Civil, aplicável ao presente expediente por força do art. 537 do Regimento Interno desta Corte.</w:t>
      </w:r>
    </w:p>
    <w:p w:rsidR="00050A08" w:rsidRPr="00F77EE9" w:rsidRDefault="00050A08" w:rsidP="00692C8E">
      <w:pPr>
        <w:autoSpaceDE w:val="0"/>
        <w:autoSpaceDN w:val="0"/>
        <w:adjustRightInd w:val="0"/>
        <w:spacing w:after="0"/>
        <w:jc w:val="both"/>
        <w:rPr>
          <w:rFonts w:ascii="Arial" w:hAnsi="Arial" w:cs="Arial"/>
          <w:sz w:val="20"/>
          <w:szCs w:val="20"/>
        </w:rPr>
      </w:pPr>
    </w:p>
    <w:p w:rsidR="00050A08" w:rsidRPr="00F77EE9" w:rsidRDefault="00050A08" w:rsidP="00692C8E">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561973/17</w:t>
      </w:r>
      <w:r w:rsidRPr="00F77EE9">
        <w:rPr>
          <w:rFonts w:ascii="Arial" w:hAnsi="Arial" w:cs="Arial"/>
          <w:sz w:val="20"/>
          <w:szCs w:val="20"/>
        </w:rPr>
        <w:t xml:space="preserve"> </w:t>
      </w:r>
      <w:r>
        <w:rPr>
          <w:rFonts w:ascii="Arial" w:hAnsi="Arial" w:cs="Arial"/>
          <w:sz w:val="20"/>
          <w:szCs w:val="20"/>
        </w:rPr>
        <w:t>–</w:t>
      </w:r>
      <w:r w:rsidRPr="00F77EE9">
        <w:rPr>
          <w:rFonts w:ascii="Arial" w:hAnsi="Arial" w:cs="Arial"/>
          <w:sz w:val="20"/>
          <w:szCs w:val="20"/>
        </w:rPr>
        <w:t xml:space="preserve"> </w:t>
      </w:r>
      <w:hyperlink r:id="rId17" w:history="1">
        <w:r w:rsidRPr="00BD19D3">
          <w:rPr>
            <w:rStyle w:val="Hyperlink"/>
            <w:rFonts w:ascii="Arial" w:hAnsi="Arial" w:cs="Arial"/>
            <w:sz w:val="20"/>
            <w:szCs w:val="20"/>
          </w:rPr>
          <w:t>Acórdão nº 15</w:t>
        </w:r>
        <w:r w:rsidRPr="00BD19D3">
          <w:rPr>
            <w:rStyle w:val="Hyperlink"/>
            <w:rFonts w:ascii="Arial" w:hAnsi="Arial" w:cs="Arial"/>
            <w:sz w:val="20"/>
            <w:szCs w:val="20"/>
          </w:rPr>
          <w:t>1</w:t>
        </w:r>
        <w:r w:rsidRPr="00BD19D3">
          <w:rPr>
            <w:rStyle w:val="Hyperlink"/>
            <w:rFonts w:ascii="Arial" w:hAnsi="Arial" w:cs="Arial"/>
            <w:sz w:val="20"/>
            <w:szCs w:val="20"/>
          </w:rPr>
          <w:t>/19 – Tribunal Pleno</w:t>
        </w:r>
      </w:hyperlink>
      <w:r>
        <w:rPr>
          <w:rFonts w:ascii="Arial" w:hAnsi="Arial" w:cs="Arial"/>
          <w:sz w:val="20"/>
          <w:szCs w:val="20"/>
        </w:rPr>
        <w:t xml:space="preserve"> </w:t>
      </w:r>
      <w:r w:rsidRPr="00F77EE9">
        <w:rPr>
          <w:rFonts w:ascii="Arial" w:hAnsi="Arial" w:cs="Arial"/>
          <w:sz w:val="20"/>
          <w:szCs w:val="20"/>
        </w:rPr>
        <w:t xml:space="preserve">- Relator Conselheiro </w:t>
      </w:r>
      <w:r>
        <w:rPr>
          <w:rFonts w:ascii="Arial" w:hAnsi="Arial" w:cs="Arial"/>
          <w:sz w:val="20"/>
          <w:szCs w:val="20"/>
        </w:rPr>
        <w:t>Fernando Augusto Mello Guimarães.</w:t>
      </w:r>
    </w:p>
    <w:p w:rsidR="00050A08" w:rsidRDefault="00050A08" w:rsidP="00692C8E">
      <w:pPr>
        <w:autoSpaceDE w:val="0"/>
        <w:autoSpaceDN w:val="0"/>
        <w:adjustRightInd w:val="0"/>
        <w:spacing w:after="0"/>
        <w:jc w:val="both"/>
        <w:rPr>
          <w:rFonts w:ascii="Arial" w:hAnsi="Arial" w:cs="Arial"/>
          <w:b/>
          <w:sz w:val="20"/>
          <w:szCs w:val="20"/>
        </w:rPr>
      </w:pPr>
    </w:p>
    <w:p w:rsidR="00050A08" w:rsidRDefault="00692C8E" w:rsidP="00692C8E">
      <w:pPr>
        <w:autoSpaceDE w:val="0"/>
        <w:autoSpaceDN w:val="0"/>
        <w:adjustRightInd w:val="0"/>
        <w:spacing w:after="0"/>
        <w:jc w:val="both"/>
        <w:rPr>
          <w:rFonts w:ascii="Arial" w:hAnsi="Arial" w:cs="Arial"/>
          <w:b/>
          <w:sz w:val="20"/>
          <w:szCs w:val="20"/>
        </w:rPr>
      </w:pPr>
      <w:r>
        <w:rPr>
          <w:rFonts w:ascii="Arial" w:hAnsi="Arial" w:cs="Arial"/>
          <w:b/>
          <w:sz w:val="20"/>
          <w:szCs w:val="20"/>
        </w:rPr>
        <w:t>11</w:t>
      </w:r>
      <w:r w:rsidR="00050A08" w:rsidRPr="00E532A0">
        <w:rPr>
          <w:rFonts w:ascii="Arial" w:hAnsi="Arial" w:cs="Arial"/>
          <w:b/>
          <w:sz w:val="20"/>
          <w:szCs w:val="20"/>
        </w:rPr>
        <w:t xml:space="preserve">. </w:t>
      </w:r>
      <w:r w:rsidR="00050A08" w:rsidRPr="00930150">
        <w:rPr>
          <w:rFonts w:ascii="Arial" w:hAnsi="Arial" w:cs="Arial"/>
          <w:b/>
          <w:sz w:val="20"/>
          <w:szCs w:val="20"/>
        </w:rPr>
        <w:t>Representação. Exigência de nota fiscal junto a atestado de capacidade técnica, registro no CREA/PR-CAU, e alvará de funcionamento, na fase de habilitação. Irregularidades. Certame concluído. Princípios da competitividade e economicidade atendidos. Pela manutenção do certame. Pela expedição de Recomendação ao Município. Procedência Parcial.</w:t>
      </w:r>
    </w:p>
    <w:p w:rsidR="00050A08" w:rsidRDefault="00050A08" w:rsidP="00692C8E">
      <w:pPr>
        <w:autoSpaceDE w:val="0"/>
        <w:autoSpaceDN w:val="0"/>
        <w:adjustRightInd w:val="0"/>
        <w:spacing w:after="0"/>
        <w:jc w:val="both"/>
        <w:rPr>
          <w:rFonts w:ascii="Arial" w:hAnsi="Arial" w:cs="Arial"/>
          <w:b/>
          <w:sz w:val="20"/>
          <w:szCs w:val="20"/>
        </w:rPr>
      </w:pPr>
    </w:p>
    <w:p w:rsidR="00050A08" w:rsidRPr="00681827" w:rsidRDefault="00050A08" w:rsidP="00692C8E">
      <w:pPr>
        <w:autoSpaceDE w:val="0"/>
        <w:autoSpaceDN w:val="0"/>
        <w:adjustRightInd w:val="0"/>
        <w:spacing w:after="0"/>
        <w:jc w:val="both"/>
        <w:rPr>
          <w:rFonts w:ascii="Arial" w:hAnsi="Arial" w:cs="Arial"/>
          <w:sz w:val="20"/>
          <w:szCs w:val="20"/>
        </w:rPr>
      </w:pPr>
      <w:r>
        <w:rPr>
          <w:rFonts w:ascii="Arial" w:hAnsi="Arial" w:cs="Arial"/>
          <w:sz w:val="20"/>
          <w:szCs w:val="20"/>
        </w:rPr>
        <w:t>N</w:t>
      </w:r>
      <w:r w:rsidRPr="00681827">
        <w:rPr>
          <w:rFonts w:ascii="Arial" w:hAnsi="Arial" w:cs="Arial"/>
          <w:sz w:val="20"/>
          <w:szCs w:val="20"/>
        </w:rPr>
        <w:t>ecessidade de a Administração,</w:t>
      </w:r>
      <w:r>
        <w:rPr>
          <w:rFonts w:ascii="Arial" w:hAnsi="Arial" w:cs="Arial"/>
          <w:sz w:val="20"/>
          <w:szCs w:val="20"/>
        </w:rPr>
        <w:t xml:space="preserve"> </w:t>
      </w:r>
      <w:r w:rsidRPr="00681827">
        <w:rPr>
          <w:rFonts w:ascii="Arial" w:hAnsi="Arial" w:cs="Arial"/>
          <w:sz w:val="20"/>
          <w:szCs w:val="20"/>
        </w:rPr>
        <w:t>quando entender necessária a apresentação da nota fiscal junto com o atestado de</w:t>
      </w:r>
      <w:r>
        <w:rPr>
          <w:rFonts w:ascii="Arial" w:hAnsi="Arial" w:cs="Arial"/>
          <w:sz w:val="20"/>
          <w:szCs w:val="20"/>
        </w:rPr>
        <w:t xml:space="preserve"> </w:t>
      </w:r>
      <w:r w:rsidRPr="00681827">
        <w:rPr>
          <w:rFonts w:ascii="Arial" w:hAnsi="Arial" w:cs="Arial"/>
          <w:sz w:val="20"/>
          <w:szCs w:val="20"/>
        </w:rPr>
        <w:t>capacidade técnica, justifique-a de maneira bem fundamentada, visto que esta não se mostra como dado essencial a atestar a</w:t>
      </w:r>
      <w:r>
        <w:rPr>
          <w:rFonts w:ascii="Arial" w:hAnsi="Arial" w:cs="Arial"/>
          <w:sz w:val="20"/>
          <w:szCs w:val="20"/>
        </w:rPr>
        <w:t xml:space="preserve"> </w:t>
      </w:r>
      <w:r w:rsidRPr="00681827">
        <w:rPr>
          <w:rFonts w:ascii="Arial" w:hAnsi="Arial" w:cs="Arial"/>
          <w:sz w:val="20"/>
          <w:szCs w:val="20"/>
        </w:rPr>
        <w:t>capacidade do participante do certame.</w:t>
      </w:r>
    </w:p>
    <w:p w:rsidR="00050A08" w:rsidRDefault="00050A08" w:rsidP="00692C8E">
      <w:pPr>
        <w:autoSpaceDE w:val="0"/>
        <w:autoSpaceDN w:val="0"/>
        <w:adjustRightInd w:val="0"/>
        <w:spacing w:after="0"/>
        <w:jc w:val="both"/>
        <w:rPr>
          <w:rFonts w:ascii="Arial" w:hAnsi="Arial" w:cs="Arial"/>
          <w:sz w:val="20"/>
          <w:szCs w:val="20"/>
        </w:rPr>
      </w:pPr>
    </w:p>
    <w:p w:rsidR="00050A08" w:rsidRPr="00681827" w:rsidRDefault="00050A08" w:rsidP="00692C8E">
      <w:pPr>
        <w:autoSpaceDE w:val="0"/>
        <w:autoSpaceDN w:val="0"/>
        <w:adjustRightInd w:val="0"/>
        <w:spacing w:after="0"/>
        <w:jc w:val="both"/>
        <w:rPr>
          <w:rFonts w:ascii="Arial" w:hAnsi="Arial" w:cs="Arial"/>
          <w:sz w:val="20"/>
          <w:szCs w:val="20"/>
        </w:rPr>
      </w:pPr>
      <w:r w:rsidRPr="00681827">
        <w:rPr>
          <w:rFonts w:ascii="Arial" w:hAnsi="Arial" w:cs="Arial"/>
          <w:sz w:val="20"/>
          <w:szCs w:val="20"/>
        </w:rPr>
        <w:t>Quanto à exigência de alvará municipal de funcionamento com</w:t>
      </w:r>
      <w:r>
        <w:rPr>
          <w:rFonts w:ascii="Arial" w:hAnsi="Arial" w:cs="Arial"/>
          <w:sz w:val="20"/>
          <w:szCs w:val="20"/>
        </w:rPr>
        <w:t xml:space="preserve"> </w:t>
      </w:r>
      <w:r w:rsidRPr="00681827">
        <w:rPr>
          <w:rFonts w:ascii="Arial" w:hAnsi="Arial" w:cs="Arial"/>
          <w:sz w:val="20"/>
          <w:szCs w:val="20"/>
        </w:rPr>
        <w:t>habilitação para a função de locação de palco, expedido pela Administração Pública</w:t>
      </w:r>
      <w:r>
        <w:rPr>
          <w:rFonts w:ascii="Arial" w:hAnsi="Arial" w:cs="Arial"/>
          <w:sz w:val="20"/>
          <w:szCs w:val="20"/>
        </w:rPr>
        <w:t xml:space="preserve"> </w:t>
      </w:r>
      <w:r w:rsidRPr="00681827">
        <w:rPr>
          <w:rFonts w:ascii="Arial" w:hAnsi="Arial" w:cs="Arial"/>
          <w:sz w:val="20"/>
          <w:szCs w:val="20"/>
        </w:rPr>
        <w:t>Municipal, com prazo de validade vigente, aplicável o</w:t>
      </w:r>
      <w:r>
        <w:rPr>
          <w:rFonts w:ascii="Arial" w:hAnsi="Arial" w:cs="Arial"/>
          <w:sz w:val="20"/>
          <w:szCs w:val="20"/>
        </w:rPr>
        <w:t xml:space="preserve"> </w:t>
      </w:r>
      <w:r w:rsidRPr="00681827">
        <w:rPr>
          <w:rFonts w:ascii="Arial" w:hAnsi="Arial" w:cs="Arial"/>
          <w:sz w:val="20"/>
          <w:szCs w:val="20"/>
        </w:rPr>
        <w:t>mesmo entendimento em relação ao item anterior, supramencionado.</w:t>
      </w:r>
    </w:p>
    <w:p w:rsidR="00050A08" w:rsidRDefault="00050A08" w:rsidP="00692C8E">
      <w:pPr>
        <w:autoSpaceDE w:val="0"/>
        <w:autoSpaceDN w:val="0"/>
        <w:adjustRightInd w:val="0"/>
        <w:spacing w:after="0"/>
        <w:jc w:val="both"/>
        <w:rPr>
          <w:rFonts w:ascii="Arial" w:hAnsi="Arial" w:cs="Arial"/>
          <w:sz w:val="20"/>
          <w:szCs w:val="20"/>
        </w:rPr>
      </w:pPr>
    </w:p>
    <w:p w:rsidR="00050A08" w:rsidRDefault="00050A08" w:rsidP="00692C8E">
      <w:pPr>
        <w:autoSpaceDE w:val="0"/>
        <w:autoSpaceDN w:val="0"/>
        <w:adjustRightInd w:val="0"/>
        <w:spacing w:after="0"/>
        <w:jc w:val="both"/>
        <w:rPr>
          <w:rFonts w:ascii="Arial" w:hAnsi="Arial" w:cs="Arial"/>
          <w:sz w:val="20"/>
          <w:szCs w:val="20"/>
        </w:rPr>
      </w:pPr>
      <w:r w:rsidRPr="00681827">
        <w:rPr>
          <w:rFonts w:ascii="Arial" w:hAnsi="Arial" w:cs="Arial"/>
          <w:sz w:val="20"/>
          <w:szCs w:val="20"/>
        </w:rPr>
        <w:t xml:space="preserve">A despeito do entendimento acerca das ilegalidades mencionadas, </w:t>
      </w:r>
      <w:r w:rsidRPr="00681827">
        <w:rPr>
          <w:rFonts w:ascii="Arial" w:hAnsi="Arial" w:cs="Arial"/>
          <w:i/>
          <w:iCs/>
          <w:sz w:val="20"/>
          <w:szCs w:val="20"/>
        </w:rPr>
        <w:t xml:space="preserve">in </w:t>
      </w:r>
      <w:proofErr w:type="spellStart"/>
      <w:r w:rsidRPr="00681827">
        <w:rPr>
          <w:rFonts w:ascii="Arial" w:hAnsi="Arial" w:cs="Arial"/>
          <w:i/>
          <w:iCs/>
          <w:sz w:val="20"/>
          <w:szCs w:val="20"/>
        </w:rPr>
        <w:t>casu</w:t>
      </w:r>
      <w:proofErr w:type="spellEnd"/>
      <w:r w:rsidRPr="00681827">
        <w:rPr>
          <w:rFonts w:ascii="Arial" w:hAnsi="Arial" w:cs="Arial"/>
          <w:sz w:val="20"/>
          <w:szCs w:val="20"/>
        </w:rPr>
        <w:t>, verifica-se que o processo licitatório atendeu aos princípios da</w:t>
      </w:r>
      <w:r>
        <w:rPr>
          <w:rFonts w:ascii="Arial" w:hAnsi="Arial" w:cs="Arial"/>
          <w:sz w:val="20"/>
          <w:szCs w:val="20"/>
        </w:rPr>
        <w:t xml:space="preserve"> </w:t>
      </w:r>
      <w:r w:rsidRPr="00681827">
        <w:rPr>
          <w:rFonts w:ascii="Arial" w:hAnsi="Arial" w:cs="Arial"/>
          <w:sz w:val="20"/>
          <w:szCs w:val="20"/>
        </w:rPr>
        <w:t>competitividade e da economicidade.</w:t>
      </w:r>
    </w:p>
    <w:p w:rsidR="00050A08" w:rsidRPr="00E532A0" w:rsidRDefault="00050A08" w:rsidP="00692C8E">
      <w:pPr>
        <w:autoSpaceDE w:val="0"/>
        <w:autoSpaceDN w:val="0"/>
        <w:adjustRightInd w:val="0"/>
        <w:spacing w:after="0"/>
        <w:jc w:val="both"/>
        <w:rPr>
          <w:rFonts w:ascii="Arial" w:hAnsi="Arial" w:cs="Arial"/>
          <w:sz w:val="20"/>
          <w:szCs w:val="20"/>
        </w:rPr>
      </w:pPr>
    </w:p>
    <w:p w:rsidR="00050A08" w:rsidRPr="00E532A0" w:rsidRDefault="00050A08" w:rsidP="00692C8E">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178863/18</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8" w:history="1">
        <w:r w:rsidRPr="00EF3C6F">
          <w:rPr>
            <w:rStyle w:val="Hyperlink"/>
            <w:rFonts w:ascii="Arial" w:hAnsi="Arial" w:cs="Arial"/>
            <w:sz w:val="20"/>
            <w:szCs w:val="20"/>
          </w:rPr>
          <w:t xml:space="preserve">Acórdão nº </w:t>
        </w:r>
        <w:r>
          <w:rPr>
            <w:rStyle w:val="Hyperlink"/>
            <w:rFonts w:ascii="Arial" w:hAnsi="Arial" w:cs="Arial"/>
            <w:sz w:val="20"/>
            <w:szCs w:val="20"/>
          </w:rPr>
          <w:t>152</w:t>
        </w:r>
        <w:r w:rsidRPr="00EF3C6F">
          <w:rPr>
            <w:rStyle w:val="Hyperlink"/>
            <w:rFonts w:ascii="Arial" w:hAnsi="Arial" w:cs="Arial"/>
            <w:sz w:val="20"/>
            <w:szCs w:val="20"/>
          </w:rPr>
          <w:t>/</w:t>
        </w:r>
        <w:r w:rsidRPr="00EF3C6F">
          <w:rPr>
            <w:rStyle w:val="Hyperlink"/>
            <w:rFonts w:ascii="Arial" w:hAnsi="Arial" w:cs="Arial"/>
            <w:sz w:val="20"/>
            <w:szCs w:val="20"/>
          </w:rPr>
          <w:t>1</w:t>
        </w:r>
        <w:r>
          <w:rPr>
            <w:rStyle w:val="Hyperlink"/>
            <w:rFonts w:ascii="Arial" w:hAnsi="Arial" w:cs="Arial"/>
            <w:sz w:val="20"/>
            <w:szCs w:val="20"/>
          </w:rPr>
          <w:t>9</w:t>
        </w:r>
        <w:r w:rsidRPr="00EF3C6F">
          <w:rPr>
            <w:rStyle w:val="Hyperlink"/>
            <w:rFonts w:ascii="Arial" w:hAnsi="Arial" w:cs="Arial"/>
            <w:sz w:val="20"/>
            <w:szCs w:val="20"/>
          </w:rPr>
          <w:t xml:space="preserve"> – </w:t>
        </w:r>
        <w:r>
          <w:rPr>
            <w:rStyle w:val="Hyperlink"/>
            <w:rFonts w:ascii="Arial" w:hAnsi="Arial" w:cs="Arial"/>
            <w:sz w:val="20"/>
            <w:szCs w:val="20"/>
          </w:rPr>
          <w:t>Tribunal Pleno</w:t>
        </w:r>
      </w:hyperlink>
      <w:r w:rsidRPr="00E532A0">
        <w:rPr>
          <w:rFonts w:ascii="Arial" w:hAnsi="Arial" w:cs="Arial"/>
          <w:sz w:val="20"/>
          <w:szCs w:val="20"/>
        </w:rPr>
        <w:t xml:space="preserve"> - Relator </w:t>
      </w:r>
      <w:r>
        <w:rPr>
          <w:rFonts w:ascii="Arial" w:hAnsi="Arial" w:cs="Arial"/>
          <w:sz w:val="20"/>
          <w:szCs w:val="20"/>
        </w:rPr>
        <w:t>Conselheiro Fernando Augusto Mello Guimarães.</w:t>
      </w:r>
    </w:p>
    <w:p w:rsidR="00050A08" w:rsidRDefault="00050A08" w:rsidP="00692C8E">
      <w:pPr>
        <w:autoSpaceDE w:val="0"/>
        <w:autoSpaceDN w:val="0"/>
        <w:adjustRightInd w:val="0"/>
        <w:spacing w:after="0"/>
        <w:jc w:val="both"/>
        <w:rPr>
          <w:rFonts w:ascii="Arial" w:hAnsi="Arial" w:cs="Arial"/>
          <w:sz w:val="20"/>
          <w:szCs w:val="20"/>
        </w:rPr>
      </w:pPr>
    </w:p>
    <w:p w:rsidR="00050A08" w:rsidRPr="00452E22" w:rsidRDefault="00692C8E" w:rsidP="00692C8E">
      <w:pPr>
        <w:autoSpaceDE w:val="0"/>
        <w:autoSpaceDN w:val="0"/>
        <w:adjustRightInd w:val="0"/>
        <w:spacing w:after="0"/>
        <w:jc w:val="both"/>
        <w:rPr>
          <w:rFonts w:ascii="Arial" w:hAnsi="Arial" w:cs="Arial"/>
          <w:b/>
          <w:sz w:val="20"/>
          <w:szCs w:val="20"/>
        </w:rPr>
      </w:pPr>
      <w:r>
        <w:rPr>
          <w:rFonts w:ascii="Arial" w:hAnsi="Arial" w:cs="Arial"/>
          <w:b/>
          <w:sz w:val="20"/>
          <w:szCs w:val="20"/>
        </w:rPr>
        <w:t>12</w:t>
      </w:r>
      <w:r w:rsidR="00050A08" w:rsidRPr="00E532A0">
        <w:rPr>
          <w:rFonts w:ascii="Arial" w:hAnsi="Arial" w:cs="Arial"/>
          <w:b/>
          <w:sz w:val="20"/>
          <w:szCs w:val="20"/>
        </w:rPr>
        <w:t xml:space="preserve">. </w:t>
      </w:r>
      <w:r w:rsidR="00050A08" w:rsidRPr="00452E22">
        <w:rPr>
          <w:rFonts w:ascii="Arial" w:hAnsi="Arial" w:cs="Arial"/>
          <w:b/>
          <w:sz w:val="20"/>
          <w:szCs w:val="20"/>
        </w:rPr>
        <w:t xml:space="preserve">Recurso de Revista. Diárias não comprovadas. </w:t>
      </w:r>
      <w:r w:rsidR="00050A08">
        <w:rPr>
          <w:rFonts w:ascii="Arial" w:hAnsi="Arial" w:cs="Arial"/>
          <w:b/>
          <w:sz w:val="20"/>
          <w:szCs w:val="20"/>
        </w:rPr>
        <w:t xml:space="preserve">Caráter orientativo das determinações do TCE-PR. </w:t>
      </w:r>
      <w:r w:rsidR="00050A08" w:rsidRPr="00452E22">
        <w:rPr>
          <w:rFonts w:ascii="Arial" w:hAnsi="Arial" w:cs="Arial"/>
          <w:b/>
          <w:sz w:val="20"/>
          <w:szCs w:val="20"/>
        </w:rPr>
        <w:t>Não provimento.</w:t>
      </w:r>
    </w:p>
    <w:p w:rsidR="00050A08" w:rsidRDefault="00050A08" w:rsidP="00692C8E">
      <w:pPr>
        <w:autoSpaceDE w:val="0"/>
        <w:autoSpaceDN w:val="0"/>
        <w:adjustRightInd w:val="0"/>
        <w:spacing w:after="0"/>
        <w:jc w:val="both"/>
        <w:rPr>
          <w:rFonts w:ascii="Arial" w:hAnsi="Arial" w:cs="Arial"/>
          <w:sz w:val="20"/>
          <w:szCs w:val="20"/>
        </w:rPr>
      </w:pPr>
    </w:p>
    <w:p w:rsidR="00050A08" w:rsidRPr="00452E22" w:rsidRDefault="00050A08" w:rsidP="00692C8E">
      <w:pPr>
        <w:autoSpaceDE w:val="0"/>
        <w:autoSpaceDN w:val="0"/>
        <w:adjustRightInd w:val="0"/>
        <w:spacing w:after="0"/>
        <w:jc w:val="both"/>
        <w:rPr>
          <w:rFonts w:ascii="Arial" w:hAnsi="Arial" w:cs="Arial"/>
          <w:sz w:val="20"/>
          <w:szCs w:val="20"/>
        </w:rPr>
      </w:pPr>
      <w:r w:rsidRPr="00452E22">
        <w:rPr>
          <w:rFonts w:ascii="Arial" w:hAnsi="Arial" w:cs="Arial"/>
          <w:sz w:val="20"/>
          <w:szCs w:val="20"/>
        </w:rPr>
        <w:t>A alegação do recorrente de que a</w:t>
      </w:r>
      <w:r>
        <w:rPr>
          <w:rFonts w:ascii="Arial" w:hAnsi="Arial" w:cs="Arial"/>
          <w:sz w:val="20"/>
          <w:szCs w:val="20"/>
        </w:rPr>
        <w:t xml:space="preserve"> </w:t>
      </w:r>
      <w:r w:rsidRPr="00452E22">
        <w:rPr>
          <w:rFonts w:ascii="Arial" w:hAnsi="Arial" w:cs="Arial"/>
          <w:sz w:val="20"/>
          <w:szCs w:val="20"/>
        </w:rPr>
        <w:t>Lei n.º 06/93 não exige a prestação de contas dos gastos realizados com diárias, já</w:t>
      </w:r>
      <w:r>
        <w:rPr>
          <w:rFonts w:ascii="Arial" w:hAnsi="Arial" w:cs="Arial"/>
          <w:sz w:val="20"/>
          <w:szCs w:val="20"/>
        </w:rPr>
        <w:t xml:space="preserve"> </w:t>
      </w:r>
      <w:r w:rsidRPr="00452E22">
        <w:rPr>
          <w:rFonts w:ascii="Arial" w:hAnsi="Arial" w:cs="Arial"/>
          <w:sz w:val="20"/>
          <w:szCs w:val="20"/>
        </w:rPr>
        <w:t>foi devidamente analisada e afastada no Acórdão recorrido, pois a própria</w:t>
      </w:r>
      <w:r>
        <w:rPr>
          <w:rFonts w:ascii="Arial" w:hAnsi="Arial" w:cs="Arial"/>
          <w:sz w:val="20"/>
          <w:szCs w:val="20"/>
        </w:rPr>
        <w:t xml:space="preserve"> </w:t>
      </w:r>
      <w:r w:rsidRPr="00452E22">
        <w:rPr>
          <w:rFonts w:ascii="Arial" w:hAnsi="Arial" w:cs="Arial"/>
          <w:sz w:val="20"/>
          <w:szCs w:val="20"/>
        </w:rPr>
        <w:t>Lei em seu artigo 2º prevê a necessidade de descrição do trabalho a ser executado</w:t>
      </w:r>
      <w:r>
        <w:rPr>
          <w:rFonts w:ascii="Arial" w:hAnsi="Arial" w:cs="Arial"/>
          <w:sz w:val="20"/>
          <w:szCs w:val="20"/>
        </w:rPr>
        <w:t xml:space="preserve"> </w:t>
      </w:r>
      <w:r w:rsidRPr="00452E22">
        <w:rPr>
          <w:rFonts w:ascii="Arial" w:hAnsi="Arial" w:cs="Arial"/>
          <w:sz w:val="20"/>
          <w:szCs w:val="20"/>
        </w:rPr>
        <w:t>na viagem.</w:t>
      </w:r>
      <w:r>
        <w:rPr>
          <w:rFonts w:ascii="Arial" w:hAnsi="Arial" w:cs="Arial"/>
          <w:sz w:val="20"/>
          <w:szCs w:val="20"/>
        </w:rPr>
        <w:t xml:space="preserve"> </w:t>
      </w:r>
      <w:r w:rsidRPr="00452E22">
        <w:rPr>
          <w:rFonts w:ascii="Arial" w:hAnsi="Arial" w:cs="Arial"/>
          <w:sz w:val="20"/>
          <w:szCs w:val="20"/>
        </w:rPr>
        <w:t>Ademais, ressalt</w:t>
      </w:r>
      <w:r>
        <w:rPr>
          <w:rFonts w:ascii="Arial" w:hAnsi="Arial" w:cs="Arial"/>
          <w:sz w:val="20"/>
          <w:szCs w:val="20"/>
        </w:rPr>
        <w:t>a-se</w:t>
      </w:r>
      <w:r w:rsidRPr="00452E22">
        <w:rPr>
          <w:rFonts w:ascii="Arial" w:hAnsi="Arial" w:cs="Arial"/>
          <w:sz w:val="20"/>
          <w:szCs w:val="20"/>
        </w:rPr>
        <w:t xml:space="preserve"> que o artigo 70 da Constituição Federal dispõe</w:t>
      </w:r>
      <w:r>
        <w:rPr>
          <w:rFonts w:ascii="Arial" w:hAnsi="Arial" w:cs="Arial"/>
          <w:sz w:val="20"/>
          <w:szCs w:val="20"/>
        </w:rPr>
        <w:t xml:space="preserve"> </w:t>
      </w:r>
      <w:r w:rsidRPr="00452E22">
        <w:rPr>
          <w:rFonts w:ascii="Arial" w:hAnsi="Arial" w:cs="Arial"/>
          <w:sz w:val="20"/>
          <w:szCs w:val="20"/>
        </w:rPr>
        <w:t>que há a necessidade de prestação de contas, comprovando a aplicação dos</w:t>
      </w:r>
      <w:r>
        <w:rPr>
          <w:rFonts w:ascii="Arial" w:hAnsi="Arial" w:cs="Arial"/>
          <w:sz w:val="20"/>
          <w:szCs w:val="20"/>
        </w:rPr>
        <w:t xml:space="preserve"> </w:t>
      </w:r>
      <w:r w:rsidRPr="00452E22">
        <w:rPr>
          <w:rFonts w:ascii="Arial" w:hAnsi="Arial" w:cs="Arial"/>
          <w:sz w:val="20"/>
          <w:szCs w:val="20"/>
        </w:rPr>
        <w:t>recursos públicos.</w:t>
      </w:r>
    </w:p>
    <w:p w:rsidR="00050A08" w:rsidRDefault="00050A08" w:rsidP="00692C8E">
      <w:pPr>
        <w:autoSpaceDE w:val="0"/>
        <w:autoSpaceDN w:val="0"/>
        <w:adjustRightInd w:val="0"/>
        <w:spacing w:after="0"/>
        <w:jc w:val="both"/>
        <w:rPr>
          <w:rFonts w:ascii="Arial" w:hAnsi="Arial" w:cs="Arial"/>
          <w:sz w:val="20"/>
          <w:szCs w:val="20"/>
        </w:rPr>
      </w:pPr>
    </w:p>
    <w:p w:rsidR="00050A08" w:rsidRPr="00452E22" w:rsidRDefault="00050A08" w:rsidP="00692C8E">
      <w:pPr>
        <w:autoSpaceDE w:val="0"/>
        <w:autoSpaceDN w:val="0"/>
        <w:adjustRightInd w:val="0"/>
        <w:spacing w:after="0"/>
        <w:jc w:val="both"/>
        <w:rPr>
          <w:rFonts w:ascii="Arial" w:hAnsi="Arial" w:cs="Arial"/>
          <w:sz w:val="20"/>
          <w:szCs w:val="20"/>
        </w:rPr>
      </w:pPr>
      <w:r w:rsidRPr="00452E22">
        <w:rPr>
          <w:rFonts w:ascii="Arial" w:hAnsi="Arial" w:cs="Arial"/>
          <w:sz w:val="20"/>
          <w:szCs w:val="20"/>
        </w:rPr>
        <w:t>Quanto à alegação de que este Tribunal não teria competência para</w:t>
      </w:r>
      <w:r>
        <w:rPr>
          <w:rFonts w:ascii="Arial" w:hAnsi="Arial" w:cs="Arial"/>
          <w:sz w:val="20"/>
          <w:szCs w:val="20"/>
        </w:rPr>
        <w:t xml:space="preserve"> </w:t>
      </w:r>
      <w:r w:rsidRPr="00452E22">
        <w:rPr>
          <w:rFonts w:ascii="Arial" w:hAnsi="Arial" w:cs="Arial"/>
          <w:sz w:val="20"/>
          <w:szCs w:val="20"/>
        </w:rPr>
        <w:t>determinar as regras através das quais se darão o pagamento e a comprovação de</w:t>
      </w:r>
      <w:r>
        <w:rPr>
          <w:rFonts w:ascii="Arial" w:hAnsi="Arial" w:cs="Arial"/>
          <w:sz w:val="20"/>
          <w:szCs w:val="20"/>
        </w:rPr>
        <w:t xml:space="preserve"> </w:t>
      </w:r>
      <w:r w:rsidRPr="00452E22">
        <w:rPr>
          <w:rFonts w:ascii="Arial" w:hAnsi="Arial" w:cs="Arial"/>
          <w:sz w:val="20"/>
          <w:szCs w:val="20"/>
        </w:rPr>
        <w:t>diárias, o Tribunal de</w:t>
      </w:r>
      <w:r>
        <w:rPr>
          <w:rFonts w:ascii="Arial" w:hAnsi="Arial" w:cs="Arial"/>
          <w:sz w:val="20"/>
          <w:szCs w:val="20"/>
        </w:rPr>
        <w:t xml:space="preserve"> </w:t>
      </w:r>
      <w:r w:rsidRPr="00452E22">
        <w:rPr>
          <w:rFonts w:ascii="Arial" w:hAnsi="Arial" w:cs="Arial"/>
          <w:sz w:val="20"/>
          <w:szCs w:val="20"/>
        </w:rPr>
        <w:t>Contas exerce competência constitucional de controle externo, não havendo,</w:t>
      </w:r>
      <w:r>
        <w:rPr>
          <w:rFonts w:ascii="Arial" w:hAnsi="Arial" w:cs="Arial"/>
          <w:sz w:val="20"/>
          <w:szCs w:val="20"/>
        </w:rPr>
        <w:t xml:space="preserve"> </w:t>
      </w:r>
      <w:r w:rsidRPr="00452E22">
        <w:rPr>
          <w:rFonts w:ascii="Arial" w:hAnsi="Arial" w:cs="Arial"/>
          <w:sz w:val="20"/>
          <w:szCs w:val="20"/>
        </w:rPr>
        <w:t xml:space="preserve">portanto, violação à separação </w:t>
      </w:r>
      <w:r w:rsidRPr="00452E22">
        <w:rPr>
          <w:rFonts w:ascii="Arial" w:hAnsi="Arial" w:cs="Arial"/>
          <w:sz w:val="20"/>
          <w:szCs w:val="20"/>
        </w:rPr>
        <w:lastRenderedPageBreak/>
        <w:t>dos poderes.</w:t>
      </w:r>
      <w:r>
        <w:rPr>
          <w:rFonts w:ascii="Arial" w:hAnsi="Arial" w:cs="Arial"/>
          <w:sz w:val="20"/>
          <w:szCs w:val="20"/>
        </w:rPr>
        <w:t xml:space="preserve">  Ressalta-se </w:t>
      </w:r>
      <w:r w:rsidRPr="00452E22">
        <w:rPr>
          <w:rFonts w:ascii="Arial" w:hAnsi="Arial" w:cs="Arial"/>
          <w:sz w:val="20"/>
          <w:szCs w:val="20"/>
        </w:rPr>
        <w:t>que as orientações e recomendações</w:t>
      </w:r>
      <w:r>
        <w:rPr>
          <w:rFonts w:ascii="Arial" w:hAnsi="Arial" w:cs="Arial"/>
          <w:sz w:val="20"/>
          <w:szCs w:val="20"/>
        </w:rPr>
        <w:t xml:space="preserve"> </w:t>
      </w:r>
      <w:r w:rsidRPr="00452E22">
        <w:rPr>
          <w:rFonts w:ascii="Arial" w:hAnsi="Arial" w:cs="Arial"/>
          <w:sz w:val="20"/>
          <w:szCs w:val="20"/>
        </w:rPr>
        <w:t>deste Tribunal servem para auxiliar e orientar os jurisdicionados, tendo, portanto,</w:t>
      </w:r>
      <w:r>
        <w:rPr>
          <w:rFonts w:ascii="Arial" w:hAnsi="Arial" w:cs="Arial"/>
          <w:sz w:val="20"/>
          <w:szCs w:val="20"/>
        </w:rPr>
        <w:t xml:space="preserve"> </w:t>
      </w:r>
      <w:r w:rsidRPr="00452E22">
        <w:rPr>
          <w:rFonts w:ascii="Arial" w:hAnsi="Arial" w:cs="Arial"/>
          <w:sz w:val="20"/>
          <w:szCs w:val="20"/>
        </w:rPr>
        <w:t>caráter orientativo.</w:t>
      </w:r>
    </w:p>
    <w:p w:rsidR="00050A08" w:rsidRDefault="00050A08" w:rsidP="00692C8E">
      <w:pPr>
        <w:autoSpaceDE w:val="0"/>
        <w:autoSpaceDN w:val="0"/>
        <w:adjustRightInd w:val="0"/>
        <w:spacing w:after="0"/>
        <w:jc w:val="both"/>
        <w:rPr>
          <w:rFonts w:ascii="Arial" w:hAnsi="Arial" w:cs="Arial"/>
          <w:sz w:val="20"/>
          <w:szCs w:val="20"/>
        </w:rPr>
      </w:pPr>
      <w:bookmarkStart w:id="1" w:name="_GoBack"/>
      <w:bookmarkEnd w:id="1"/>
    </w:p>
    <w:p w:rsidR="00050A08" w:rsidRPr="00E532A0" w:rsidRDefault="00050A08" w:rsidP="00692C8E">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w:t>
      </w:r>
      <w:r>
        <w:rPr>
          <w:rFonts w:ascii="Arial" w:hAnsi="Arial" w:cs="Arial"/>
          <w:sz w:val="20"/>
          <w:szCs w:val="20"/>
        </w:rPr>
        <w:t>88647/17</w:t>
      </w:r>
      <w:r w:rsidRPr="00E532A0">
        <w:rPr>
          <w:rFonts w:ascii="Arial" w:hAnsi="Arial" w:cs="Arial"/>
          <w:sz w:val="20"/>
          <w:szCs w:val="20"/>
        </w:rPr>
        <w:t xml:space="preserve"> </w:t>
      </w:r>
      <w:r>
        <w:rPr>
          <w:rFonts w:ascii="Arial" w:hAnsi="Arial" w:cs="Arial"/>
          <w:sz w:val="20"/>
          <w:szCs w:val="20"/>
        </w:rPr>
        <w:t>–</w:t>
      </w:r>
      <w:r w:rsidRPr="00E532A0">
        <w:rPr>
          <w:rFonts w:ascii="Arial" w:hAnsi="Arial" w:cs="Arial"/>
          <w:sz w:val="20"/>
          <w:szCs w:val="20"/>
        </w:rPr>
        <w:t xml:space="preserve"> </w:t>
      </w:r>
      <w:hyperlink r:id="rId19" w:history="1">
        <w:r w:rsidRPr="00EF3C6F">
          <w:rPr>
            <w:rStyle w:val="Hyperlink"/>
            <w:rFonts w:ascii="Arial" w:hAnsi="Arial" w:cs="Arial"/>
            <w:sz w:val="20"/>
            <w:szCs w:val="20"/>
          </w:rPr>
          <w:t xml:space="preserve">Acórdão nº </w:t>
        </w:r>
        <w:r>
          <w:rPr>
            <w:rStyle w:val="Hyperlink"/>
            <w:rFonts w:ascii="Arial" w:hAnsi="Arial" w:cs="Arial"/>
            <w:sz w:val="20"/>
            <w:szCs w:val="20"/>
          </w:rPr>
          <w:t>174</w:t>
        </w:r>
        <w:r w:rsidRPr="00EF3C6F">
          <w:rPr>
            <w:rStyle w:val="Hyperlink"/>
            <w:rFonts w:ascii="Arial" w:hAnsi="Arial" w:cs="Arial"/>
            <w:sz w:val="20"/>
            <w:szCs w:val="20"/>
          </w:rPr>
          <w:t>/</w:t>
        </w:r>
        <w:r w:rsidRPr="00EF3C6F">
          <w:rPr>
            <w:rStyle w:val="Hyperlink"/>
            <w:rFonts w:ascii="Arial" w:hAnsi="Arial" w:cs="Arial"/>
            <w:sz w:val="20"/>
            <w:szCs w:val="20"/>
          </w:rPr>
          <w:t>1</w:t>
        </w:r>
        <w:r>
          <w:rPr>
            <w:rStyle w:val="Hyperlink"/>
            <w:rFonts w:ascii="Arial" w:hAnsi="Arial" w:cs="Arial"/>
            <w:sz w:val="20"/>
            <w:szCs w:val="20"/>
          </w:rPr>
          <w:t>9</w:t>
        </w:r>
        <w:r w:rsidRPr="00EF3C6F">
          <w:rPr>
            <w:rStyle w:val="Hyperlink"/>
            <w:rFonts w:ascii="Arial" w:hAnsi="Arial" w:cs="Arial"/>
            <w:sz w:val="20"/>
            <w:szCs w:val="20"/>
          </w:rPr>
          <w:t xml:space="preserve"> – </w:t>
        </w:r>
        <w:r>
          <w:rPr>
            <w:rStyle w:val="Hyperlink"/>
            <w:rFonts w:ascii="Arial" w:hAnsi="Arial" w:cs="Arial"/>
            <w:sz w:val="20"/>
            <w:szCs w:val="20"/>
          </w:rPr>
          <w:t>Tribunal Pleno</w:t>
        </w:r>
      </w:hyperlink>
      <w:r w:rsidRPr="00E532A0">
        <w:rPr>
          <w:rFonts w:ascii="Arial" w:hAnsi="Arial" w:cs="Arial"/>
          <w:sz w:val="20"/>
          <w:szCs w:val="20"/>
        </w:rPr>
        <w:t xml:space="preserve"> - Relator </w:t>
      </w:r>
      <w:r>
        <w:rPr>
          <w:rFonts w:ascii="Arial" w:hAnsi="Arial" w:cs="Arial"/>
          <w:sz w:val="20"/>
          <w:szCs w:val="20"/>
        </w:rPr>
        <w:t>Conselheiro Fabio de Souza Camargo.</w:t>
      </w:r>
    </w:p>
    <w:p w:rsidR="00050A08" w:rsidRPr="0026510B" w:rsidRDefault="00050A08" w:rsidP="00692C8E">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692C8E">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692C8E">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692C8E">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692C8E">
      <w:pPr>
        <w:spacing w:after="0"/>
        <w:jc w:val="both"/>
        <w:rPr>
          <w:rFonts w:ascii="Arial" w:hAnsi="Arial" w:cs="Arial"/>
          <w:b/>
          <w:color w:val="000000"/>
          <w:sz w:val="20"/>
          <w:szCs w:val="20"/>
        </w:rPr>
      </w:pPr>
    </w:p>
    <w:p w:rsidR="000800D1" w:rsidRDefault="000800D1" w:rsidP="00692C8E">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AD25B7" w:rsidRDefault="00AD25B7" w:rsidP="00692C8E">
      <w:pPr>
        <w:spacing w:after="0"/>
        <w:jc w:val="both"/>
        <w:rPr>
          <w:rFonts w:ascii="Arial" w:hAnsi="Arial" w:cs="Arial"/>
          <w:b/>
          <w:color w:val="000000"/>
          <w:sz w:val="20"/>
          <w:szCs w:val="20"/>
        </w:rPr>
      </w:pPr>
    </w:p>
    <w:p w:rsidR="008470D5" w:rsidRPr="00081B5D" w:rsidRDefault="004C6D4C" w:rsidP="00692C8E">
      <w:pPr>
        <w:widowControl w:val="0"/>
        <w:autoSpaceDE w:val="0"/>
        <w:autoSpaceDN w:val="0"/>
        <w:spacing w:after="0"/>
        <w:jc w:val="both"/>
        <w:rPr>
          <w:rFonts w:ascii="Arial" w:hAnsi="Arial" w:cs="Arial"/>
          <w:b/>
          <w:sz w:val="20"/>
          <w:szCs w:val="20"/>
        </w:rPr>
      </w:pPr>
      <w:hyperlink r:id="rId20" w:history="1">
        <w:r w:rsidR="008470D5" w:rsidRPr="004C6D4C">
          <w:rPr>
            <w:rStyle w:val="Hyperlink"/>
            <w:rFonts w:ascii="Arial" w:hAnsi="Arial"/>
            <w:b/>
            <w:sz w:val="20"/>
            <w:szCs w:val="20"/>
          </w:rPr>
          <w:t>Acórdão 2126</w:t>
        </w:r>
        <w:r w:rsidR="008470D5" w:rsidRPr="004C6D4C">
          <w:rPr>
            <w:rStyle w:val="Hyperlink"/>
            <w:rFonts w:ascii="Arial" w:hAnsi="Arial"/>
            <w:b/>
            <w:sz w:val="20"/>
            <w:szCs w:val="20"/>
          </w:rPr>
          <w:t>/</w:t>
        </w:r>
        <w:r w:rsidR="008470D5" w:rsidRPr="004C6D4C">
          <w:rPr>
            <w:rStyle w:val="Hyperlink"/>
            <w:rFonts w:ascii="Arial" w:hAnsi="Arial"/>
            <w:b/>
            <w:sz w:val="20"/>
            <w:szCs w:val="20"/>
          </w:rPr>
          <w:t>201</w:t>
        </w:r>
        <w:r w:rsidR="008470D5" w:rsidRPr="004C6D4C">
          <w:rPr>
            <w:rStyle w:val="Hyperlink"/>
            <w:rFonts w:ascii="Arial" w:hAnsi="Arial"/>
            <w:b/>
            <w:sz w:val="20"/>
            <w:szCs w:val="20"/>
          </w:rPr>
          <w:t>8</w:t>
        </w:r>
        <w:r w:rsidR="008470D5" w:rsidRPr="004C6D4C">
          <w:rPr>
            <w:rStyle w:val="Hyperlink"/>
            <w:rFonts w:ascii="Arial" w:hAnsi="Arial"/>
            <w:b/>
            <w:sz w:val="20"/>
            <w:szCs w:val="20"/>
          </w:rPr>
          <w:t xml:space="preserve"> P</w:t>
        </w:r>
        <w:r w:rsidR="008470D5" w:rsidRPr="004C6D4C">
          <w:rPr>
            <w:rStyle w:val="Hyperlink"/>
            <w:rFonts w:ascii="Arial" w:hAnsi="Arial"/>
            <w:b/>
            <w:sz w:val="20"/>
            <w:szCs w:val="20"/>
          </w:rPr>
          <w:t>lenário</w:t>
        </w:r>
      </w:hyperlink>
      <w:r w:rsidR="008470D5" w:rsidRPr="00081B5D">
        <w:rPr>
          <w:rFonts w:ascii="Arial" w:hAnsi="Arial"/>
          <w:b/>
          <w:sz w:val="20"/>
          <w:szCs w:val="20"/>
        </w:rPr>
        <w:t xml:space="preserve"> </w:t>
      </w:r>
      <w:r w:rsidR="008470D5" w:rsidRPr="00081B5D">
        <w:rPr>
          <w:rFonts w:ascii="Arial" w:hAnsi="Arial"/>
          <w:sz w:val="20"/>
          <w:szCs w:val="20"/>
        </w:rPr>
        <w:t>(Consulta, Relator Ministro Vital do Rêgo)</w:t>
      </w:r>
    </w:p>
    <w:p w:rsidR="008470D5" w:rsidRPr="00081B5D" w:rsidRDefault="008470D5" w:rsidP="00692C8E">
      <w:pPr>
        <w:spacing w:after="0"/>
        <w:jc w:val="both"/>
        <w:rPr>
          <w:rFonts w:ascii="Arial" w:hAnsi="Arial" w:cs="Arial"/>
          <w:sz w:val="20"/>
          <w:szCs w:val="20"/>
        </w:rPr>
      </w:pPr>
      <w:r w:rsidRPr="00081B5D">
        <w:rPr>
          <w:rFonts w:ascii="Arial" w:hAnsi="Arial"/>
          <w:sz w:val="20"/>
          <w:szCs w:val="20"/>
        </w:rPr>
        <w:t>Aposentadoria. Renúncia. Desaposentação. Marco temporal. STF. Recurso extraordinário. Consulta.</w:t>
      </w:r>
    </w:p>
    <w:p w:rsidR="008470D5" w:rsidRPr="00081B5D" w:rsidRDefault="008470D5" w:rsidP="00692C8E">
      <w:pPr>
        <w:pStyle w:val="TCU-Epgrafe"/>
        <w:spacing w:line="276" w:lineRule="auto"/>
        <w:ind w:left="0"/>
        <w:rPr>
          <w:sz w:val="20"/>
        </w:rPr>
      </w:pPr>
      <w:r w:rsidRPr="00081B5D">
        <w:rPr>
          <w:rFonts w:ascii="Arial" w:hAnsi="Arial"/>
          <w:sz w:val="20"/>
        </w:rPr>
        <w:t>A partir do entendimento firmado pelo STF no julgamento dos Recursos Extraordinários 381.367, 827.833 e 661.256 (sessão de 26/10/2016), não é possível renúncia a aposentadoria vinculada a regime próprio de previdência com objetivo de contagem de tempo de contribuição já utilizado, em outro benefício, seja vinculado a regime próprio, seja vinculado ao regime geral, em razão de não haver previsão legal do direito à desaposentação para os servidores públicos.</w:t>
      </w:r>
    </w:p>
    <w:p w:rsidR="00731353" w:rsidRDefault="00731353" w:rsidP="00692C8E">
      <w:pPr>
        <w:widowControl w:val="0"/>
        <w:autoSpaceDE w:val="0"/>
        <w:autoSpaceDN w:val="0"/>
        <w:spacing w:after="0"/>
        <w:jc w:val="both"/>
        <w:rPr>
          <w:rFonts w:ascii="Arial" w:hAnsi="Arial"/>
          <w:b/>
          <w:sz w:val="20"/>
          <w:szCs w:val="20"/>
        </w:rPr>
      </w:pPr>
    </w:p>
    <w:p w:rsidR="004D2E74" w:rsidRPr="00081B5D" w:rsidRDefault="004C6D4C" w:rsidP="00692C8E">
      <w:pPr>
        <w:widowControl w:val="0"/>
        <w:autoSpaceDE w:val="0"/>
        <w:autoSpaceDN w:val="0"/>
        <w:spacing w:after="0"/>
        <w:jc w:val="both"/>
        <w:rPr>
          <w:rFonts w:ascii="Arial" w:hAnsi="Arial" w:cs="Arial"/>
          <w:b/>
          <w:sz w:val="20"/>
          <w:szCs w:val="20"/>
        </w:rPr>
      </w:pPr>
      <w:hyperlink r:id="rId21" w:history="1">
        <w:r w:rsidR="004D2E74" w:rsidRPr="004C6D4C">
          <w:rPr>
            <w:rStyle w:val="Hyperlink"/>
            <w:rFonts w:ascii="Arial" w:hAnsi="Arial"/>
            <w:b/>
            <w:sz w:val="20"/>
            <w:szCs w:val="20"/>
          </w:rPr>
          <w:t>Acórdão 9098/2018 Segunda Câmara</w:t>
        </w:r>
      </w:hyperlink>
      <w:r w:rsidR="004D2E74" w:rsidRPr="00081B5D">
        <w:rPr>
          <w:rFonts w:ascii="Arial" w:hAnsi="Arial"/>
          <w:b/>
          <w:sz w:val="20"/>
          <w:szCs w:val="20"/>
        </w:rPr>
        <w:t xml:space="preserve"> </w:t>
      </w:r>
      <w:r w:rsidR="004D2E74" w:rsidRPr="00081B5D">
        <w:rPr>
          <w:rFonts w:ascii="Arial" w:hAnsi="Arial"/>
          <w:sz w:val="20"/>
          <w:szCs w:val="20"/>
        </w:rPr>
        <w:t xml:space="preserve">(Admissão, Relator Ministro José </w:t>
      </w:r>
      <w:proofErr w:type="spellStart"/>
      <w:r w:rsidR="004D2E74" w:rsidRPr="00081B5D">
        <w:rPr>
          <w:rFonts w:ascii="Arial" w:hAnsi="Arial"/>
          <w:sz w:val="20"/>
          <w:szCs w:val="20"/>
        </w:rPr>
        <w:t>Múcio</w:t>
      </w:r>
      <w:proofErr w:type="spellEnd"/>
      <w:r w:rsidR="004D2E74" w:rsidRPr="00081B5D">
        <w:rPr>
          <w:rFonts w:ascii="Arial" w:hAnsi="Arial"/>
          <w:sz w:val="20"/>
          <w:szCs w:val="20"/>
        </w:rPr>
        <w:t xml:space="preserve"> Monteiro)</w:t>
      </w:r>
    </w:p>
    <w:p w:rsidR="004D2E74" w:rsidRPr="00081B5D" w:rsidRDefault="004D2E74" w:rsidP="00692C8E">
      <w:pPr>
        <w:spacing w:after="0"/>
        <w:jc w:val="both"/>
        <w:rPr>
          <w:rFonts w:ascii="Arial" w:hAnsi="Arial" w:cs="Arial"/>
          <w:sz w:val="20"/>
          <w:szCs w:val="20"/>
        </w:rPr>
      </w:pPr>
      <w:r w:rsidRPr="00081B5D">
        <w:rPr>
          <w:rFonts w:ascii="Arial" w:hAnsi="Arial"/>
          <w:sz w:val="20"/>
          <w:szCs w:val="20"/>
        </w:rPr>
        <w:t>Acumulação de cargo público. Irregularidade. Ressarcimento administrativo. Jornada de trabalho.</w:t>
      </w:r>
    </w:p>
    <w:p w:rsidR="004D2E74" w:rsidRDefault="004D2E74" w:rsidP="00692C8E">
      <w:pPr>
        <w:spacing w:after="0"/>
        <w:jc w:val="both"/>
        <w:rPr>
          <w:rFonts w:ascii="Arial" w:hAnsi="Arial"/>
          <w:sz w:val="20"/>
          <w:szCs w:val="20"/>
          <w:shd w:val="clear" w:color="auto" w:fill="FFFFFF"/>
          <w:lang w:eastAsia="pt-BR"/>
        </w:rPr>
      </w:pPr>
      <w:r w:rsidRPr="00081B5D">
        <w:rPr>
          <w:rFonts w:ascii="Arial" w:hAnsi="Arial"/>
          <w:sz w:val="20"/>
          <w:szCs w:val="20"/>
          <w:shd w:val="clear" w:color="auto" w:fill="FFFFFF"/>
          <w:lang w:eastAsia="pt-BR"/>
        </w:rPr>
        <w:t>No caso de acumulação ilegal de cargos, a restituição somente é devida quando não houver contraprestação de serviços, mesmo na hipótese de se comprovar o exercício de jornadas de trabalho superiores a 60 horas semanais, sob pena de se configurar enriquecimento sem causa da Administração.</w:t>
      </w:r>
    </w:p>
    <w:p w:rsidR="00731353" w:rsidRDefault="00731353" w:rsidP="00692C8E">
      <w:pPr>
        <w:widowControl w:val="0"/>
        <w:autoSpaceDE w:val="0"/>
        <w:autoSpaceDN w:val="0"/>
        <w:spacing w:after="0"/>
        <w:jc w:val="both"/>
        <w:rPr>
          <w:rFonts w:ascii="Arial" w:hAnsi="Arial"/>
          <w:b/>
          <w:sz w:val="20"/>
          <w:szCs w:val="20"/>
        </w:rPr>
      </w:pPr>
    </w:p>
    <w:p w:rsidR="00491A7B" w:rsidRPr="00491A7B" w:rsidRDefault="004C6D4C" w:rsidP="00692C8E">
      <w:pPr>
        <w:widowControl w:val="0"/>
        <w:autoSpaceDE w:val="0"/>
        <w:autoSpaceDN w:val="0"/>
        <w:spacing w:after="0"/>
        <w:jc w:val="both"/>
        <w:rPr>
          <w:rFonts w:ascii="Arial" w:hAnsi="Arial" w:cs="Arial"/>
          <w:b/>
          <w:sz w:val="20"/>
          <w:szCs w:val="20"/>
        </w:rPr>
      </w:pPr>
      <w:hyperlink r:id="rId22" w:history="1">
        <w:r w:rsidR="00491A7B" w:rsidRPr="004C6D4C">
          <w:rPr>
            <w:rStyle w:val="Hyperlink"/>
            <w:rFonts w:ascii="Arial" w:hAnsi="Arial"/>
            <w:b/>
            <w:sz w:val="20"/>
            <w:szCs w:val="20"/>
          </w:rPr>
          <w:t>Acórdão 13748/2018 Primeira Câmara</w:t>
        </w:r>
      </w:hyperlink>
      <w:r w:rsidR="00491A7B" w:rsidRPr="00491A7B">
        <w:rPr>
          <w:rFonts w:ascii="Arial" w:hAnsi="Arial"/>
          <w:b/>
          <w:sz w:val="20"/>
          <w:szCs w:val="20"/>
        </w:rPr>
        <w:t xml:space="preserve"> </w:t>
      </w:r>
      <w:r w:rsidR="00491A7B" w:rsidRPr="00491A7B">
        <w:rPr>
          <w:rFonts w:ascii="Arial" w:hAnsi="Arial"/>
          <w:sz w:val="20"/>
          <w:szCs w:val="20"/>
        </w:rPr>
        <w:t>(Pedido de Reexame, Relator Ministro Walton Alencar Rodrigues)</w:t>
      </w:r>
    </w:p>
    <w:p w:rsidR="00491A7B" w:rsidRPr="00491A7B" w:rsidRDefault="00491A7B" w:rsidP="00692C8E">
      <w:pPr>
        <w:spacing w:after="0"/>
        <w:jc w:val="both"/>
        <w:rPr>
          <w:rFonts w:ascii="Arial" w:hAnsi="Arial" w:cs="Arial"/>
          <w:sz w:val="20"/>
          <w:szCs w:val="20"/>
        </w:rPr>
      </w:pPr>
      <w:r w:rsidRPr="00491A7B">
        <w:rPr>
          <w:rFonts w:ascii="Arial" w:hAnsi="Arial"/>
          <w:sz w:val="20"/>
          <w:szCs w:val="20"/>
        </w:rPr>
        <w:t>Licitação. Nulidade. Convalidação. Proposta. Desclassificação. Interesse público. Prejuízo.</w:t>
      </w:r>
    </w:p>
    <w:p w:rsidR="00491A7B" w:rsidRDefault="00491A7B" w:rsidP="00692C8E">
      <w:pPr>
        <w:pStyle w:val="TCU-Epgrafe"/>
        <w:spacing w:line="276" w:lineRule="auto"/>
        <w:ind w:left="0"/>
        <w:rPr>
          <w:rFonts w:ascii="Arial" w:hAnsi="Arial"/>
          <w:sz w:val="20"/>
        </w:rPr>
      </w:pPr>
      <w:r w:rsidRPr="00491A7B">
        <w:rPr>
          <w:rFonts w:ascii="Arial" w:hAnsi="Arial"/>
          <w:sz w:val="20"/>
        </w:rPr>
        <w:t>O risco de prejuízos para a Administração decorrentes de eventual paralisação do certame pode justificar a convalidação de atos irregulares, a exemplo de ilícita desclassificação de proposta de licitante, de forma a preservar o interesse público, pois a atuação do Poder Público não pode ocasionar um dano maior do que aquele que objetiva combater com a medida administrativa.</w:t>
      </w:r>
    </w:p>
    <w:p w:rsidR="00731353" w:rsidRDefault="00731353" w:rsidP="00692C8E">
      <w:pPr>
        <w:widowControl w:val="0"/>
        <w:autoSpaceDE w:val="0"/>
        <w:autoSpaceDN w:val="0"/>
        <w:spacing w:after="0"/>
        <w:jc w:val="both"/>
        <w:rPr>
          <w:rFonts w:ascii="Arial" w:hAnsi="Arial" w:cs="Arial"/>
          <w:b/>
          <w:sz w:val="20"/>
          <w:szCs w:val="20"/>
        </w:rPr>
      </w:pPr>
    </w:p>
    <w:p w:rsidR="001435E8" w:rsidRPr="001435E8" w:rsidRDefault="004C6D4C" w:rsidP="00692C8E">
      <w:pPr>
        <w:widowControl w:val="0"/>
        <w:autoSpaceDE w:val="0"/>
        <w:autoSpaceDN w:val="0"/>
        <w:spacing w:after="0"/>
        <w:jc w:val="both"/>
        <w:rPr>
          <w:rFonts w:ascii="Arial" w:hAnsi="Arial" w:cs="Arial"/>
          <w:b/>
          <w:sz w:val="20"/>
          <w:szCs w:val="20"/>
        </w:rPr>
      </w:pPr>
      <w:hyperlink r:id="rId23" w:history="1">
        <w:r w:rsidR="001435E8" w:rsidRPr="004C6D4C">
          <w:rPr>
            <w:rStyle w:val="Hyperlink"/>
            <w:rFonts w:ascii="Arial" w:hAnsi="Arial" w:cs="Arial"/>
            <w:b/>
            <w:sz w:val="20"/>
            <w:szCs w:val="20"/>
          </w:rPr>
          <w:t>Acórdão 11857/2018 Primeira Câmara</w:t>
        </w:r>
      </w:hyperlink>
      <w:r w:rsidR="001435E8" w:rsidRPr="001435E8">
        <w:rPr>
          <w:rFonts w:ascii="Arial" w:hAnsi="Arial" w:cs="Arial"/>
          <w:b/>
          <w:sz w:val="20"/>
          <w:szCs w:val="20"/>
        </w:rPr>
        <w:t xml:space="preserve"> </w:t>
      </w:r>
      <w:r w:rsidR="001435E8" w:rsidRPr="001435E8">
        <w:rPr>
          <w:rFonts w:ascii="Arial" w:hAnsi="Arial" w:cs="Arial"/>
          <w:sz w:val="20"/>
          <w:szCs w:val="20"/>
        </w:rPr>
        <w:t>(Pedido de Reexame, Relator Ministro Bruno Dantas)</w:t>
      </w:r>
    </w:p>
    <w:p w:rsidR="001435E8" w:rsidRPr="001435E8" w:rsidRDefault="001435E8" w:rsidP="00692C8E">
      <w:pPr>
        <w:spacing w:after="0"/>
        <w:jc w:val="both"/>
        <w:rPr>
          <w:rFonts w:ascii="Arial" w:hAnsi="Arial" w:cs="Arial"/>
          <w:sz w:val="20"/>
          <w:szCs w:val="20"/>
        </w:rPr>
      </w:pPr>
      <w:r w:rsidRPr="001435E8">
        <w:rPr>
          <w:rFonts w:ascii="Arial" w:hAnsi="Arial" w:cs="Arial"/>
          <w:sz w:val="20"/>
          <w:szCs w:val="20"/>
        </w:rPr>
        <w:t>Acumulação de cargo público. Proventos. Aposentadoria. Ato sujeito a registro.</w:t>
      </w:r>
    </w:p>
    <w:p w:rsidR="001435E8" w:rsidRPr="001435E8" w:rsidRDefault="001435E8" w:rsidP="00692C8E">
      <w:pPr>
        <w:spacing w:after="0"/>
        <w:jc w:val="both"/>
        <w:rPr>
          <w:rFonts w:ascii="Arial" w:hAnsi="Arial" w:cs="Arial"/>
          <w:sz w:val="20"/>
          <w:szCs w:val="20"/>
        </w:rPr>
      </w:pPr>
      <w:r w:rsidRPr="001435E8">
        <w:rPr>
          <w:rFonts w:ascii="Arial" w:hAnsi="Arial" w:cs="Arial"/>
          <w:sz w:val="20"/>
          <w:szCs w:val="20"/>
        </w:rPr>
        <w:t xml:space="preserve">É legal a concessão de segunda aposentadoria estatutária a servidor que, já estando aposentado em outro cargo público, reingressou no serviço público em cargo não acumulável antes da vigência da </w:t>
      </w:r>
      <w:hyperlink r:id="rId24" w:history="1">
        <w:r w:rsidRPr="001435E8">
          <w:rPr>
            <w:rStyle w:val="Hyperlink"/>
            <w:rFonts w:ascii="Arial" w:hAnsi="Arial" w:cs="Arial"/>
            <w:color w:val="0000FF" w:themeColor="hyperlink"/>
            <w:sz w:val="20"/>
            <w:szCs w:val="20"/>
          </w:rPr>
          <w:t>EC 20/1998</w:t>
        </w:r>
      </w:hyperlink>
      <w:r w:rsidRPr="001435E8">
        <w:rPr>
          <w:rFonts w:ascii="Arial" w:hAnsi="Arial" w:cs="Arial"/>
          <w:sz w:val="20"/>
          <w:szCs w:val="20"/>
        </w:rPr>
        <w:t xml:space="preserve">. No entanto, um dos atos de inativação não pode produzir efeitos </w:t>
      </w:r>
      <w:r w:rsidRPr="001435E8">
        <w:rPr>
          <w:rFonts w:ascii="Arial" w:hAnsi="Arial" w:cs="Arial"/>
          <w:sz w:val="20"/>
          <w:szCs w:val="20"/>
        </w:rPr>
        <w:lastRenderedPageBreak/>
        <w:t xml:space="preserve">financeiros, devendo o beneficiário optar pela percepção de um dos proventos, ante a vedação contida no art. 40, § 6º, da </w:t>
      </w:r>
      <w:hyperlink r:id="rId25" w:history="1">
        <w:r w:rsidRPr="001435E8">
          <w:rPr>
            <w:rStyle w:val="Hyperlink"/>
            <w:rFonts w:ascii="Arial" w:hAnsi="Arial" w:cs="Arial"/>
            <w:color w:val="0000FF" w:themeColor="hyperlink"/>
            <w:sz w:val="20"/>
            <w:szCs w:val="20"/>
          </w:rPr>
          <w:t>Constituição Federal</w:t>
        </w:r>
      </w:hyperlink>
      <w:r w:rsidRPr="001435E8">
        <w:rPr>
          <w:rFonts w:ascii="Arial" w:hAnsi="Arial" w:cs="Arial"/>
          <w:sz w:val="20"/>
          <w:szCs w:val="20"/>
        </w:rPr>
        <w:t xml:space="preserve"> c/c o art. 11 da </w:t>
      </w:r>
      <w:hyperlink r:id="rId26" w:history="1">
        <w:r w:rsidRPr="001435E8">
          <w:rPr>
            <w:rStyle w:val="Hyperlink"/>
            <w:rFonts w:ascii="Arial" w:hAnsi="Arial" w:cs="Arial"/>
            <w:color w:val="0000FF" w:themeColor="hyperlink"/>
            <w:sz w:val="20"/>
            <w:szCs w:val="20"/>
          </w:rPr>
          <w:t>EC 20/1998</w:t>
        </w:r>
      </w:hyperlink>
      <w:r w:rsidRPr="001435E8">
        <w:rPr>
          <w:rFonts w:ascii="Arial" w:hAnsi="Arial" w:cs="Arial"/>
          <w:sz w:val="20"/>
          <w:szCs w:val="20"/>
        </w:rPr>
        <w:t>.</w:t>
      </w:r>
    </w:p>
    <w:p w:rsidR="004C6D4C" w:rsidRDefault="004C6D4C" w:rsidP="00692C8E">
      <w:pPr>
        <w:pStyle w:val="Default"/>
        <w:spacing w:line="276" w:lineRule="auto"/>
        <w:jc w:val="both"/>
        <w:rPr>
          <w:b/>
          <w:sz w:val="20"/>
          <w:szCs w:val="20"/>
        </w:rPr>
      </w:pPr>
    </w:p>
    <w:p w:rsidR="00543DF0" w:rsidRDefault="00543DF0" w:rsidP="00692C8E">
      <w:pPr>
        <w:pStyle w:val="Default"/>
        <w:spacing w:line="276" w:lineRule="auto"/>
        <w:jc w:val="both"/>
        <w:rPr>
          <w:b/>
          <w:sz w:val="20"/>
          <w:szCs w:val="20"/>
        </w:rPr>
      </w:pPr>
      <w:r>
        <w:rPr>
          <w:b/>
          <w:sz w:val="20"/>
          <w:szCs w:val="20"/>
        </w:rPr>
        <w:t xml:space="preserve">Acesse também: </w:t>
      </w:r>
    </w:p>
    <w:p w:rsidR="00270E2F" w:rsidRDefault="00D57370" w:rsidP="00692C8E">
      <w:pPr>
        <w:pStyle w:val="Default"/>
        <w:spacing w:line="276" w:lineRule="auto"/>
        <w:jc w:val="center"/>
        <w:rPr>
          <w:rStyle w:val="Hyperlink"/>
          <w:b/>
          <w:sz w:val="20"/>
          <w:szCs w:val="20"/>
        </w:rPr>
      </w:pPr>
      <w:hyperlink r:id="rId27" w:history="1">
        <w:r w:rsidR="00270E2F" w:rsidRPr="00BC4C07">
          <w:rPr>
            <w:rStyle w:val="Hyperlink"/>
            <w:b/>
            <w:sz w:val="20"/>
            <w:szCs w:val="20"/>
          </w:rPr>
          <w:t>Pesquisas Prontas</w:t>
        </w:r>
      </w:hyperlink>
    </w:p>
    <w:p w:rsidR="00B7076B" w:rsidRDefault="00B7076B" w:rsidP="00692C8E">
      <w:pPr>
        <w:pStyle w:val="Default"/>
        <w:spacing w:line="276" w:lineRule="auto"/>
        <w:jc w:val="center"/>
        <w:rPr>
          <w:rStyle w:val="Hyperlink"/>
          <w:b/>
          <w:sz w:val="20"/>
          <w:szCs w:val="20"/>
        </w:rPr>
      </w:pPr>
    </w:p>
    <w:p w:rsidR="00B7076B" w:rsidRDefault="00D57370" w:rsidP="00692C8E">
      <w:pPr>
        <w:pStyle w:val="Default"/>
        <w:spacing w:line="276" w:lineRule="auto"/>
        <w:jc w:val="center"/>
        <w:rPr>
          <w:rStyle w:val="Hyperlink"/>
          <w:b/>
          <w:sz w:val="20"/>
          <w:szCs w:val="20"/>
        </w:rPr>
      </w:pPr>
      <w:hyperlink r:id="rId28"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692C8E">
      <w:pPr>
        <w:pStyle w:val="Default"/>
        <w:spacing w:line="276" w:lineRule="auto"/>
        <w:jc w:val="center"/>
        <w:rPr>
          <w:rStyle w:val="Hyperlink"/>
          <w:b/>
          <w:sz w:val="20"/>
          <w:szCs w:val="20"/>
        </w:rPr>
      </w:pPr>
    </w:p>
    <w:p w:rsidR="00B7076B" w:rsidRPr="00BC4C07" w:rsidRDefault="00D57370" w:rsidP="00692C8E">
      <w:pPr>
        <w:pStyle w:val="Default"/>
        <w:spacing w:line="276" w:lineRule="auto"/>
        <w:jc w:val="center"/>
        <w:rPr>
          <w:b/>
          <w:sz w:val="20"/>
          <w:szCs w:val="20"/>
        </w:rPr>
      </w:pPr>
      <w:hyperlink r:id="rId29" w:history="1">
        <w:proofErr w:type="spellStart"/>
        <w:r w:rsidR="00B7076B" w:rsidRPr="00B7076B">
          <w:rPr>
            <w:rStyle w:val="Hyperlink"/>
            <w:b/>
            <w:sz w:val="20"/>
            <w:szCs w:val="20"/>
          </w:rPr>
          <w:t>Interjuris</w:t>
        </w:r>
        <w:proofErr w:type="spellEnd"/>
      </w:hyperlink>
    </w:p>
    <w:p w:rsidR="00270E2F" w:rsidRDefault="00270E2F" w:rsidP="00692C8E">
      <w:pPr>
        <w:pStyle w:val="Default"/>
        <w:spacing w:line="276" w:lineRule="auto"/>
        <w:jc w:val="center"/>
      </w:pPr>
    </w:p>
    <w:p w:rsidR="00270E2F" w:rsidRDefault="00D57370" w:rsidP="00692C8E">
      <w:pPr>
        <w:pStyle w:val="Default"/>
        <w:spacing w:line="276" w:lineRule="auto"/>
        <w:jc w:val="center"/>
        <w:rPr>
          <w:rStyle w:val="Hyperlink"/>
          <w:b/>
          <w:sz w:val="20"/>
          <w:szCs w:val="20"/>
        </w:rPr>
      </w:pPr>
      <w:hyperlink r:id="rId30" w:history="1">
        <w:r w:rsidR="00270E2F">
          <w:rPr>
            <w:rStyle w:val="Hyperlink"/>
            <w:b/>
            <w:sz w:val="20"/>
            <w:szCs w:val="20"/>
          </w:rPr>
          <w:t>Repercussão Geral do Supremo Tribunal Federal - STF e os Tribunais de Contas</w:t>
        </w:r>
      </w:hyperlink>
    </w:p>
    <w:p w:rsidR="00270E2F" w:rsidRDefault="00270E2F" w:rsidP="00692C8E">
      <w:pPr>
        <w:pStyle w:val="Default"/>
        <w:spacing w:line="276" w:lineRule="auto"/>
        <w:jc w:val="center"/>
        <w:rPr>
          <w:rStyle w:val="Hyperlink"/>
          <w:b/>
          <w:sz w:val="20"/>
          <w:szCs w:val="20"/>
        </w:rPr>
      </w:pPr>
    </w:p>
    <w:p w:rsidR="00B7076B" w:rsidRPr="00DD265A" w:rsidRDefault="00D57370" w:rsidP="00692C8E">
      <w:pPr>
        <w:pStyle w:val="Default"/>
        <w:spacing w:line="276" w:lineRule="auto"/>
        <w:jc w:val="center"/>
        <w:rPr>
          <w:rStyle w:val="Hyperlink"/>
          <w:b/>
          <w:sz w:val="20"/>
          <w:szCs w:val="20"/>
        </w:rPr>
      </w:pPr>
      <w:hyperlink r:id="rId31" w:history="1">
        <w:r w:rsidR="00B7076B" w:rsidRPr="00B7076B">
          <w:rPr>
            <w:rStyle w:val="Hyperlink"/>
            <w:b/>
            <w:sz w:val="20"/>
            <w:szCs w:val="20"/>
          </w:rPr>
          <w:t>Súmulas Selecionadas</w:t>
        </w:r>
      </w:hyperlink>
    </w:p>
    <w:p w:rsidR="00270E2F" w:rsidRDefault="00270E2F" w:rsidP="00692C8E">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692C8E">
      <w:pPr>
        <w:spacing w:after="0"/>
        <w:jc w:val="center"/>
        <w:rPr>
          <w:rStyle w:val="Hyperlink"/>
          <w:rFonts w:ascii="Arial" w:hAnsi="Arial" w:cs="Arial"/>
          <w:i/>
          <w:color w:val="000000" w:themeColor="text1"/>
          <w:sz w:val="20"/>
          <w:szCs w:val="20"/>
          <w:u w:val="none"/>
        </w:rPr>
      </w:pPr>
    </w:p>
    <w:p w:rsidR="00F44BD1" w:rsidRDefault="00F44BD1" w:rsidP="00692C8E">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F44BD1" w:rsidRDefault="00F44BD1" w:rsidP="00692C8E">
      <w:pPr>
        <w:spacing w:after="0"/>
        <w:jc w:val="center"/>
        <w:rPr>
          <w:b/>
        </w:rPr>
      </w:pPr>
      <w:r>
        <w:rPr>
          <w:rStyle w:val="nfase"/>
          <w:rFonts w:ascii="Tahoma" w:hAnsi="Tahoma" w:cs="Tahoma"/>
          <w:sz w:val="20"/>
          <w:szCs w:val="20"/>
        </w:rPr>
        <w:t>E-mail: jurisprudencia@tce.pr.gov.br</w:t>
      </w:r>
    </w:p>
    <w:p w:rsidR="00F44BD1" w:rsidRDefault="00F44BD1" w:rsidP="00692C8E">
      <w:pPr>
        <w:widowControl w:val="0"/>
        <w:autoSpaceDE w:val="0"/>
        <w:autoSpaceDN w:val="0"/>
        <w:spacing w:after="0"/>
        <w:jc w:val="both"/>
        <w:rPr>
          <w:rFonts w:ascii="Arial" w:hAnsi="Arial" w:cs="Arial"/>
          <w:b/>
          <w:sz w:val="20"/>
          <w:szCs w:val="20"/>
        </w:rPr>
      </w:pPr>
    </w:p>
    <w:p w:rsidR="00DB558E" w:rsidRDefault="00DB558E" w:rsidP="00692C8E">
      <w:pPr>
        <w:widowControl w:val="0"/>
        <w:autoSpaceDE w:val="0"/>
        <w:autoSpaceDN w:val="0"/>
        <w:spacing w:after="0"/>
        <w:jc w:val="both"/>
        <w:rPr>
          <w:rFonts w:ascii="Arial" w:hAnsi="Arial" w:cs="Arial"/>
          <w:b/>
          <w:sz w:val="20"/>
          <w:szCs w:val="20"/>
        </w:rPr>
      </w:pPr>
    </w:p>
    <w:p w:rsidR="00E01524" w:rsidRPr="0022060B" w:rsidRDefault="00E01524" w:rsidP="00692C8E">
      <w:pPr>
        <w:pStyle w:val="TCU-Epgrafe"/>
        <w:spacing w:line="276" w:lineRule="auto"/>
        <w:ind w:left="0"/>
        <w:rPr>
          <w:rFonts w:ascii="Arial" w:hAnsi="Arial" w:cs="Arial"/>
          <w:b/>
          <w:sz w:val="20"/>
        </w:rPr>
      </w:pPr>
    </w:p>
    <w:sectPr w:rsidR="00E01524" w:rsidRPr="0022060B">
      <w:headerReference w:type="default" r:id="rId32"/>
      <w:foot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0A08"/>
    <w:rsid w:val="00052862"/>
    <w:rsid w:val="00053B72"/>
    <w:rsid w:val="00055C20"/>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35E8"/>
    <w:rsid w:val="00144712"/>
    <w:rsid w:val="001472C1"/>
    <w:rsid w:val="00150844"/>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E7E34"/>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57689"/>
    <w:rsid w:val="00260758"/>
    <w:rsid w:val="00260D58"/>
    <w:rsid w:val="0026477F"/>
    <w:rsid w:val="00264F10"/>
    <w:rsid w:val="0026510B"/>
    <w:rsid w:val="002659BA"/>
    <w:rsid w:val="0026729F"/>
    <w:rsid w:val="00270E2F"/>
    <w:rsid w:val="00271154"/>
    <w:rsid w:val="00271655"/>
    <w:rsid w:val="002805F1"/>
    <w:rsid w:val="002869C1"/>
    <w:rsid w:val="00286EB4"/>
    <w:rsid w:val="002874A2"/>
    <w:rsid w:val="002921E2"/>
    <w:rsid w:val="002944E5"/>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B7B98"/>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1BE3"/>
    <w:rsid w:val="0042728A"/>
    <w:rsid w:val="004276DC"/>
    <w:rsid w:val="0042779B"/>
    <w:rsid w:val="004324A7"/>
    <w:rsid w:val="0043291F"/>
    <w:rsid w:val="00434347"/>
    <w:rsid w:val="004371F9"/>
    <w:rsid w:val="0043728E"/>
    <w:rsid w:val="00437541"/>
    <w:rsid w:val="0044166B"/>
    <w:rsid w:val="00441D38"/>
    <w:rsid w:val="00441E59"/>
    <w:rsid w:val="004429A2"/>
    <w:rsid w:val="00442CB7"/>
    <w:rsid w:val="00443CA1"/>
    <w:rsid w:val="00444C25"/>
    <w:rsid w:val="0044532C"/>
    <w:rsid w:val="00447BB2"/>
    <w:rsid w:val="00450653"/>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C6D4C"/>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5"/>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873"/>
    <w:rsid w:val="005B4F6C"/>
    <w:rsid w:val="005B7055"/>
    <w:rsid w:val="005C4763"/>
    <w:rsid w:val="005C4DB7"/>
    <w:rsid w:val="005C5DC8"/>
    <w:rsid w:val="005C661E"/>
    <w:rsid w:val="005C7258"/>
    <w:rsid w:val="005D1E9E"/>
    <w:rsid w:val="005D48C8"/>
    <w:rsid w:val="005D58CE"/>
    <w:rsid w:val="005D6DB4"/>
    <w:rsid w:val="005E1A08"/>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2C8E"/>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353"/>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4B80"/>
    <w:rsid w:val="008058BC"/>
    <w:rsid w:val="00806D7C"/>
    <w:rsid w:val="00807854"/>
    <w:rsid w:val="00811012"/>
    <w:rsid w:val="00811A90"/>
    <w:rsid w:val="0081222C"/>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11A0"/>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16BC1"/>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C0054"/>
    <w:rsid w:val="00AC06B6"/>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97B4D"/>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BF4C75"/>
    <w:rsid w:val="00C002B2"/>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A4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1A4"/>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57370"/>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27BA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574E"/>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7220263B"/>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2/pdf/00334226.pdf" TargetMode="External"/><Relationship Id="rId13" Type="http://schemas.openxmlformats.org/officeDocument/2006/relationships/hyperlink" Target="http://www1.tce.pr.gov.br/multimidia/2019/2/pdf/00334415.pdf" TargetMode="External"/><Relationship Id="rId18" Type="http://schemas.openxmlformats.org/officeDocument/2006/relationships/hyperlink" Target="http://www1.tce.pr.gov.br/multimidia/2019/2/pdf/00334523.pdf" TargetMode="External"/><Relationship Id="rId26" Type="http://schemas.openxmlformats.org/officeDocument/2006/relationships/hyperlink" Target="http://www.planalto.gov.br/ccivil_03/constituicao/Emendas/Emc/emc20.htm"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4009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9/2/pdf/00334247.pdf" TargetMode="External"/><Relationship Id="rId17" Type="http://schemas.openxmlformats.org/officeDocument/2006/relationships/hyperlink" Target="http://www1.tce.pr.gov.br/multimidia/2019/2/pdf/00334522.pdf" TargetMode="External"/><Relationship Id="rId25" Type="http://schemas.openxmlformats.org/officeDocument/2006/relationships/hyperlink" Target="http://www.planalto.gov.br/ccivil_03/constituicao/constituicaocompilado.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9/2/pdf/00334313.pdf" TargetMode="External"/><Relationship Id="rId20" Type="http://schemas.openxmlformats.org/officeDocument/2006/relationships/hyperlink" Target="https://contas.tcu.gov.br/sagas/SvlVisualizarRelVotoAcRtf?codFiltro=SAGAS-SESSAO-ENCERRADA&amp;seOcultaPagina=S&amp;item0=617121"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2/pdf/00334235.pdf" TargetMode="External"/><Relationship Id="rId24" Type="http://schemas.openxmlformats.org/officeDocument/2006/relationships/hyperlink" Target="http://www.planalto.gov.br/ccivil_03/constituicao/Emendas/Emc/emc20.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9/2/pdf/00334319.pdf" TargetMode="External"/><Relationship Id="rId23" Type="http://schemas.openxmlformats.org/officeDocument/2006/relationships/hyperlink" Target="https://contas.tcu.gov.br/sagas/SvlVisualizarRelVotoAcRtf?codFiltro=SAGAS-SESSAO-ENCERRADA&amp;seOcultaPagina=S&amp;item0=642844" TargetMode="External"/><Relationship Id="rId28" Type="http://schemas.openxmlformats.org/officeDocument/2006/relationships/hyperlink" Target="http://www1.tce.pr.gov.br/conteudo/teses-ambientais/316603/area/249" TargetMode="External"/><Relationship Id="rId10" Type="http://schemas.openxmlformats.org/officeDocument/2006/relationships/hyperlink" Target="http://www1.tce.pr.gov.br/multimidia/2019/2/pdf/00334233.pdf" TargetMode="External"/><Relationship Id="rId19" Type="http://schemas.openxmlformats.org/officeDocument/2006/relationships/hyperlink" Target="http://www1.tce.pr.gov.br/multimidia/2019/2/pdf/00334515.pdf" TargetMode="External"/><Relationship Id="rId31" Type="http://schemas.openxmlformats.org/officeDocument/2006/relationships/hyperlink" Target="http://www1.tce.pr.gov.br/conteudo/sumulas-selecionadas/316602/area/249" TargetMode="External"/><Relationship Id="rId4" Type="http://schemas.openxmlformats.org/officeDocument/2006/relationships/settings" Target="settings.xml"/><Relationship Id="rId9" Type="http://schemas.openxmlformats.org/officeDocument/2006/relationships/hyperlink" Target="http://www1.tce.pr.gov.br/multimidia/2019/2/pdf/00334229.pdf" TargetMode="External"/><Relationship Id="rId14" Type="http://schemas.openxmlformats.org/officeDocument/2006/relationships/hyperlink" Target="http://www1.tce.pr.gov.br/multimidia/2019/2/pdf/00334325.pdf" TargetMode="External"/><Relationship Id="rId22" Type="http://schemas.openxmlformats.org/officeDocument/2006/relationships/hyperlink" Target="https://contas.tcu.gov.br/sagas/SvlVisualizarRelVotoAcRtf?codFiltro=SAGAS-SESSAO-ENCERRADA&amp;seOcultaPagina=S&amp;item0=642844"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5CE4-0E82-49B1-9A3D-8776F6C5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10</Pages>
  <Words>3948</Words>
  <Characters>21324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285</cp:revision>
  <cp:lastPrinted>2017-07-10T20:46:00Z</cp:lastPrinted>
  <dcterms:created xsi:type="dcterms:W3CDTF">2017-07-10T20:45:00Z</dcterms:created>
  <dcterms:modified xsi:type="dcterms:W3CDTF">2019-02-22T17:25:00Z</dcterms:modified>
</cp:coreProperties>
</file>