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12F" w:rsidRPr="0022060B" w:rsidRDefault="0038012F" w:rsidP="00816942">
      <w:pPr>
        <w:pStyle w:val="Cabealho"/>
        <w:spacing w:line="276" w:lineRule="auto"/>
        <w:jc w:val="center"/>
        <w:rPr>
          <w:rFonts w:ascii="Arial" w:hAnsi="Arial" w:cs="Arial"/>
          <w:sz w:val="20"/>
          <w:szCs w:val="20"/>
        </w:rPr>
      </w:pPr>
      <w:r w:rsidRPr="0022060B">
        <w:rPr>
          <w:rFonts w:ascii="Arial" w:hAnsi="Arial" w:cs="Arial"/>
          <w:b/>
          <w:sz w:val="20"/>
          <w:szCs w:val="20"/>
        </w:rPr>
        <w:t>Boletim de Jurisprudência TCE/PR</w:t>
      </w:r>
      <w:r w:rsidRPr="0022060B">
        <w:rPr>
          <w:rFonts w:ascii="Arial" w:hAnsi="Arial" w:cs="Arial"/>
          <w:sz w:val="20"/>
          <w:szCs w:val="20"/>
        </w:rPr>
        <w:t xml:space="preserve"> </w:t>
      </w:r>
    </w:p>
    <w:p w:rsidR="00814325" w:rsidRDefault="00814325" w:rsidP="00816942">
      <w:pPr>
        <w:spacing w:after="0"/>
        <w:jc w:val="center"/>
        <w:rPr>
          <w:rFonts w:ascii="Arial" w:hAnsi="Arial" w:cs="Arial"/>
          <w:b/>
          <w:sz w:val="20"/>
          <w:szCs w:val="20"/>
        </w:rPr>
      </w:pPr>
    </w:p>
    <w:p w:rsidR="001B5F7A" w:rsidRDefault="001B5F7A" w:rsidP="00816942">
      <w:pPr>
        <w:spacing w:after="0"/>
        <w:jc w:val="center"/>
        <w:rPr>
          <w:rFonts w:ascii="Arial" w:hAnsi="Arial" w:cs="Arial"/>
          <w:b/>
          <w:sz w:val="20"/>
          <w:szCs w:val="20"/>
        </w:rPr>
      </w:pPr>
      <w:r w:rsidRPr="0022060B">
        <w:rPr>
          <w:rFonts w:ascii="Arial" w:hAnsi="Arial" w:cs="Arial"/>
          <w:b/>
          <w:sz w:val="20"/>
          <w:szCs w:val="20"/>
        </w:rPr>
        <w:t xml:space="preserve">Número </w:t>
      </w:r>
      <w:r w:rsidR="00CB2527">
        <w:rPr>
          <w:rFonts w:ascii="Arial" w:hAnsi="Arial" w:cs="Arial"/>
          <w:b/>
          <w:sz w:val="20"/>
          <w:szCs w:val="20"/>
        </w:rPr>
        <w:t>40</w:t>
      </w:r>
    </w:p>
    <w:p w:rsidR="006F08D4" w:rsidRPr="0022060B" w:rsidRDefault="006F08D4" w:rsidP="00816942">
      <w:pPr>
        <w:spacing w:after="0"/>
        <w:jc w:val="center"/>
        <w:rPr>
          <w:rFonts w:ascii="Arial" w:hAnsi="Arial" w:cs="Arial"/>
          <w:b/>
          <w:sz w:val="20"/>
          <w:szCs w:val="20"/>
        </w:rPr>
      </w:pPr>
    </w:p>
    <w:p w:rsidR="001B5F7A" w:rsidRPr="0090061C" w:rsidRDefault="001B5F7A" w:rsidP="00816942">
      <w:pPr>
        <w:spacing w:after="0"/>
        <w:jc w:val="center"/>
        <w:rPr>
          <w:rFonts w:ascii="Arial" w:hAnsi="Arial" w:cs="Arial"/>
          <w:b/>
          <w:sz w:val="20"/>
          <w:szCs w:val="20"/>
        </w:rPr>
      </w:pPr>
      <w:r w:rsidRPr="00F47B90">
        <w:rPr>
          <w:rFonts w:ascii="Arial" w:hAnsi="Arial" w:cs="Arial"/>
          <w:b/>
          <w:sz w:val="20"/>
          <w:szCs w:val="20"/>
        </w:rPr>
        <w:t xml:space="preserve">Sessões: </w:t>
      </w:r>
      <w:r w:rsidR="00F47B90" w:rsidRPr="00F47B90">
        <w:rPr>
          <w:rFonts w:ascii="Arial" w:hAnsi="Arial" w:cs="Arial"/>
          <w:b/>
          <w:sz w:val="20"/>
          <w:szCs w:val="20"/>
        </w:rPr>
        <w:t>26</w:t>
      </w:r>
      <w:r w:rsidR="00814325" w:rsidRPr="00F47B90">
        <w:rPr>
          <w:rFonts w:ascii="Arial" w:hAnsi="Arial" w:cs="Arial"/>
          <w:b/>
          <w:sz w:val="20"/>
          <w:szCs w:val="20"/>
        </w:rPr>
        <w:t>.</w:t>
      </w:r>
      <w:r w:rsidR="00015FB0" w:rsidRPr="00F47B90">
        <w:rPr>
          <w:rFonts w:ascii="Arial" w:hAnsi="Arial" w:cs="Arial"/>
          <w:b/>
          <w:sz w:val="20"/>
          <w:szCs w:val="20"/>
        </w:rPr>
        <w:t>0</w:t>
      </w:r>
      <w:r w:rsidR="00F47B90" w:rsidRPr="00F47B90">
        <w:rPr>
          <w:rFonts w:ascii="Arial" w:hAnsi="Arial" w:cs="Arial"/>
          <w:b/>
          <w:sz w:val="20"/>
          <w:szCs w:val="20"/>
        </w:rPr>
        <w:t>6</w:t>
      </w:r>
      <w:r w:rsidR="005A0FD0" w:rsidRPr="00F47B90">
        <w:rPr>
          <w:rFonts w:ascii="Arial" w:hAnsi="Arial" w:cs="Arial"/>
          <w:b/>
          <w:sz w:val="20"/>
          <w:szCs w:val="20"/>
        </w:rPr>
        <w:t xml:space="preserve"> </w:t>
      </w:r>
      <w:r w:rsidR="000D4DE6" w:rsidRPr="00F47B90">
        <w:rPr>
          <w:rFonts w:ascii="Arial" w:hAnsi="Arial" w:cs="Arial"/>
          <w:b/>
          <w:sz w:val="20"/>
          <w:szCs w:val="20"/>
        </w:rPr>
        <w:t>a</w:t>
      </w:r>
      <w:r w:rsidRPr="00F47B90">
        <w:rPr>
          <w:rFonts w:ascii="Arial" w:hAnsi="Arial" w:cs="Arial"/>
          <w:b/>
          <w:sz w:val="20"/>
          <w:szCs w:val="20"/>
        </w:rPr>
        <w:t xml:space="preserve"> </w:t>
      </w:r>
      <w:r w:rsidR="00F47B90" w:rsidRPr="00F47B90">
        <w:rPr>
          <w:rFonts w:ascii="Arial" w:hAnsi="Arial" w:cs="Arial"/>
          <w:b/>
          <w:sz w:val="20"/>
          <w:szCs w:val="20"/>
        </w:rPr>
        <w:t>05</w:t>
      </w:r>
      <w:r w:rsidR="005A0FD0" w:rsidRPr="00F47B90">
        <w:rPr>
          <w:rFonts w:ascii="Arial" w:hAnsi="Arial" w:cs="Arial"/>
          <w:b/>
          <w:sz w:val="20"/>
          <w:szCs w:val="20"/>
        </w:rPr>
        <w:t>.</w:t>
      </w:r>
      <w:r w:rsidR="00015FB0" w:rsidRPr="00F47B90">
        <w:rPr>
          <w:rFonts w:ascii="Arial" w:hAnsi="Arial" w:cs="Arial"/>
          <w:b/>
          <w:sz w:val="20"/>
          <w:szCs w:val="20"/>
        </w:rPr>
        <w:t>0</w:t>
      </w:r>
      <w:r w:rsidR="00F47B90" w:rsidRPr="00F47B90">
        <w:rPr>
          <w:rFonts w:ascii="Arial" w:hAnsi="Arial" w:cs="Arial"/>
          <w:b/>
          <w:sz w:val="20"/>
          <w:szCs w:val="20"/>
        </w:rPr>
        <w:t>7</w:t>
      </w:r>
      <w:r w:rsidRPr="00F47B90">
        <w:rPr>
          <w:rFonts w:ascii="Arial" w:hAnsi="Arial" w:cs="Arial"/>
          <w:b/>
          <w:sz w:val="20"/>
          <w:szCs w:val="20"/>
        </w:rPr>
        <w:t xml:space="preserve"> de 201</w:t>
      </w:r>
      <w:r w:rsidR="00015FB0" w:rsidRPr="00F47B90">
        <w:rPr>
          <w:rFonts w:ascii="Arial" w:hAnsi="Arial" w:cs="Arial"/>
          <w:b/>
          <w:sz w:val="20"/>
          <w:szCs w:val="20"/>
        </w:rPr>
        <w:t>8</w:t>
      </w:r>
    </w:p>
    <w:p w:rsidR="007436B5" w:rsidRDefault="007436B5"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22060B">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22060B">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22060B">
        <w:rPr>
          <w:rFonts w:ascii="Arial" w:hAnsi="Arial" w:cs="Arial"/>
          <w:color w:val="212121"/>
          <w:sz w:val="20"/>
          <w:szCs w:val="20"/>
        </w:rPr>
        <w:t xml:space="preserve"> </w:t>
      </w:r>
      <w:r w:rsidRPr="0022060B">
        <w:rPr>
          <w:rFonts w:ascii="Arial" w:hAnsi="Arial" w:cs="Arial"/>
          <w:sz w:val="20"/>
          <w:szCs w:val="20"/>
        </w:rPr>
        <w:t>As informações aqui apresentadas não são repositórios oficiais de jurisprudência.</w:t>
      </w:r>
    </w:p>
    <w:p w:rsidR="00FE7B14" w:rsidRPr="0022060B" w:rsidRDefault="00FE7B14"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22060B" w:rsidRDefault="00AE4F42" w:rsidP="00E43DAD">
      <w:pPr>
        <w:shd w:val="pct10" w:color="auto" w:fill="auto"/>
        <w:spacing w:after="120"/>
        <w:jc w:val="center"/>
        <w:rPr>
          <w:rFonts w:ascii="Arial" w:hAnsi="Arial" w:cs="Arial"/>
          <w:b/>
          <w:sz w:val="20"/>
          <w:szCs w:val="20"/>
        </w:rPr>
      </w:pPr>
      <w:r w:rsidRPr="0022060B">
        <w:rPr>
          <w:rFonts w:ascii="Arial" w:hAnsi="Arial" w:cs="Arial"/>
          <w:b/>
          <w:sz w:val="20"/>
          <w:szCs w:val="20"/>
        </w:rPr>
        <w:t>S</w:t>
      </w:r>
      <w:r w:rsidR="00221D15" w:rsidRPr="0022060B">
        <w:rPr>
          <w:rFonts w:ascii="Arial" w:hAnsi="Arial" w:cs="Arial"/>
          <w:b/>
          <w:sz w:val="20"/>
          <w:szCs w:val="20"/>
        </w:rPr>
        <w:t>U</w:t>
      </w:r>
      <w:r w:rsidRPr="0022060B">
        <w:rPr>
          <w:rFonts w:ascii="Arial" w:hAnsi="Arial" w:cs="Arial"/>
          <w:b/>
          <w:sz w:val="20"/>
          <w:szCs w:val="20"/>
        </w:rPr>
        <w:t>MÁRIO</w:t>
      </w:r>
    </w:p>
    <w:p w:rsidR="00C42B84" w:rsidRPr="00C42B84" w:rsidRDefault="00C42B84" w:rsidP="00E43DAD">
      <w:pPr>
        <w:spacing w:after="0"/>
        <w:jc w:val="both"/>
        <w:rPr>
          <w:rFonts w:ascii="Arial" w:hAnsi="Arial" w:cs="Arial"/>
          <w:sz w:val="20"/>
          <w:szCs w:val="20"/>
        </w:rPr>
      </w:pPr>
      <w:r w:rsidRPr="00C42B84">
        <w:rPr>
          <w:rFonts w:ascii="Arial" w:hAnsi="Arial" w:cs="Arial"/>
          <w:sz w:val="20"/>
          <w:szCs w:val="20"/>
        </w:rPr>
        <w:t xml:space="preserve">1. Prestação de Contas Anual. Poder Executivo. Extrapolação dos limites de gastos de pessoal.  </w:t>
      </w:r>
      <w:proofErr w:type="gramStart"/>
      <w:r w:rsidRPr="00C42B84">
        <w:rPr>
          <w:rFonts w:ascii="Arial" w:hAnsi="Arial" w:cs="Arial"/>
          <w:sz w:val="20"/>
          <w:szCs w:val="20"/>
        </w:rPr>
        <w:t>Parecer Prévio</w:t>
      </w:r>
      <w:proofErr w:type="gramEnd"/>
      <w:r w:rsidRPr="00C42B84">
        <w:rPr>
          <w:rFonts w:ascii="Arial" w:hAnsi="Arial" w:cs="Arial"/>
          <w:sz w:val="20"/>
          <w:szCs w:val="20"/>
        </w:rPr>
        <w:t xml:space="preserve">. Irregularidade. Multa. </w:t>
      </w:r>
    </w:p>
    <w:p w:rsidR="00E43DAD" w:rsidRDefault="00E43DAD" w:rsidP="00E43DAD">
      <w:pPr>
        <w:spacing w:after="0"/>
        <w:jc w:val="both"/>
        <w:rPr>
          <w:rFonts w:ascii="Arial" w:hAnsi="Arial" w:cs="Arial"/>
          <w:sz w:val="20"/>
          <w:szCs w:val="20"/>
        </w:rPr>
      </w:pPr>
    </w:p>
    <w:p w:rsidR="00C42B84" w:rsidRPr="00C42B84" w:rsidRDefault="00C42B84" w:rsidP="00E43DAD">
      <w:pPr>
        <w:spacing w:after="0"/>
        <w:jc w:val="both"/>
        <w:rPr>
          <w:rFonts w:ascii="Arial" w:hAnsi="Arial" w:cs="Arial"/>
          <w:sz w:val="20"/>
          <w:szCs w:val="20"/>
        </w:rPr>
      </w:pPr>
      <w:r w:rsidRPr="00C42B84">
        <w:rPr>
          <w:rFonts w:ascii="Arial" w:hAnsi="Arial" w:cs="Arial"/>
          <w:sz w:val="20"/>
          <w:szCs w:val="20"/>
        </w:rPr>
        <w:t xml:space="preserve">2. Tomada de Contas Extraordinária. Contratação de serviços de telefonia. Ausência de prestação de serviços. Desconsideração da personalidade jurídica. Restituição. Procedência. </w:t>
      </w:r>
    </w:p>
    <w:p w:rsidR="00E43DAD" w:rsidRDefault="00E43DAD" w:rsidP="00E43DAD">
      <w:pPr>
        <w:spacing w:after="0"/>
        <w:jc w:val="both"/>
        <w:rPr>
          <w:rStyle w:val="Hyperlink"/>
          <w:rFonts w:ascii="Arial" w:hAnsi="Arial" w:cs="Arial"/>
          <w:color w:val="000000" w:themeColor="text1"/>
          <w:sz w:val="20"/>
          <w:szCs w:val="20"/>
          <w:u w:val="none"/>
        </w:rPr>
      </w:pPr>
    </w:p>
    <w:p w:rsidR="00C42B84" w:rsidRPr="00C42B84" w:rsidRDefault="00C42B84" w:rsidP="00E43DAD">
      <w:pPr>
        <w:spacing w:after="0"/>
        <w:jc w:val="both"/>
        <w:rPr>
          <w:rStyle w:val="Hyperlink"/>
          <w:rFonts w:ascii="Arial" w:hAnsi="Arial" w:cs="Arial"/>
          <w:color w:val="000000" w:themeColor="text1"/>
          <w:sz w:val="20"/>
          <w:szCs w:val="20"/>
          <w:u w:val="none"/>
        </w:rPr>
      </w:pPr>
      <w:r w:rsidRPr="00C42B84">
        <w:rPr>
          <w:rStyle w:val="Hyperlink"/>
          <w:rFonts w:ascii="Arial" w:hAnsi="Arial" w:cs="Arial"/>
          <w:color w:val="000000" w:themeColor="text1"/>
          <w:sz w:val="20"/>
          <w:szCs w:val="20"/>
          <w:u w:val="none"/>
        </w:rPr>
        <w:t xml:space="preserve">3. Prestação de Contas. Câmara Municipal.  Atrasos reiterados no cumprimento da agenda de obrigações do exercício. Regularidade com ressalva. Aplicação de multa única. Princípio da absorção. Infração Continuada. </w:t>
      </w:r>
    </w:p>
    <w:p w:rsidR="00E43DAD" w:rsidRDefault="00E43DAD" w:rsidP="00E43DAD">
      <w:pPr>
        <w:spacing w:after="0"/>
        <w:jc w:val="both"/>
        <w:rPr>
          <w:rStyle w:val="Hyperlink"/>
          <w:rFonts w:ascii="Arial" w:hAnsi="Arial" w:cs="Arial"/>
          <w:color w:val="000000" w:themeColor="text1"/>
          <w:sz w:val="20"/>
          <w:szCs w:val="20"/>
          <w:u w:val="none"/>
        </w:rPr>
      </w:pPr>
    </w:p>
    <w:p w:rsidR="00C42B84" w:rsidRPr="00C42B84" w:rsidRDefault="00C42B84" w:rsidP="00E43DAD">
      <w:pPr>
        <w:spacing w:after="0"/>
        <w:jc w:val="both"/>
        <w:rPr>
          <w:rStyle w:val="Hyperlink"/>
          <w:rFonts w:ascii="Arial" w:hAnsi="Arial" w:cs="Arial"/>
          <w:color w:val="000000" w:themeColor="text1"/>
          <w:sz w:val="20"/>
          <w:szCs w:val="20"/>
          <w:u w:val="none"/>
        </w:rPr>
      </w:pPr>
      <w:r w:rsidRPr="00C42B84">
        <w:rPr>
          <w:rStyle w:val="Hyperlink"/>
          <w:rFonts w:ascii="Arial" w:hAnsi="Arial" w:cs="Arial"/>
          <w:color w:val="000000" w:themeColor="text1"/>
          <w:sz w:val="20"/>
          <w:szCs w:val="20"/>
          <w:u w:val="none"/>
        </w:rPr>
        <w:t>4. Prestação de Contas Anual. Poder Executivo. Município. Falta de aportes ao RPPS. Déficit Atuarial. Infração à legi</w:t>
      </w:r>
      <w:r w:rsidR="00B2579E">
        <w:rPr>
          <w:rStyle w:val="Hyperlink"/>
          <w:rFonts w:ascii="Arial" w:hAnsi="Arial" w:cs="Arial"/>
          <w:color w:val="000000" w:themeColor="text1"/>
          <w:sz w:val="20"/>
          <w:szCs w:val="20"/>
          <w:u w:val="none"/>
        </w:rPr>
        <w:t xml:space="preserve">slação previdenciária. </w:t>
      </w:r>
      <w:proofErr w:type="gramStart"/>
      <w:r w:rsidR="00B2579E">
        <w:rPr>
          <w:rStyle w:val="Hyperlink"/>
          <w:rFonts w:ascii="Arial" w:hAnsi="Arial" w:cs="Arial"/>
          <w:color w:val="000000" w:themeColor="text1"/>
          <w:sz w:val="20"/>
          <w:szCs w:val="20"/>
          <w:u w:val="none"/>
        </w:rPr>
        <w:t xml:space="preserve">Parecer </w:t>
      </w:r>
      <w:r w:rsidRPr="00C42B84">
        <w:rPr>
          <w:rStyle w:val="Hyperlink"/>
          <w:rFonts w:ascii="Arial" w:hAnsi="Arial" w:cs="Arial"/>
          <w:color w:val="000000" w:themeColor="text1"/>
          <w:sz w:val="20"/>
          <w:szCs w:val="20"/>
          <w:u w:val="none"/>
        </w:rPr>
        <w:t>Prévio</w:t>
      </w:r>
      <w:proofErr w:type="gramEnd"/>
      <w:r w:rsidRPr="00C42B84">
        <w:rPr>
          <w:rStyle w:val="Hyperlink"/>
          <w:rFonts w:ascii="Arial" w:hAnsi="Arial" w:cs="Arial"/>
          <w:color w:val="000000" w:themeColor="text1"/>
          <w:sz w:val="20"/>
          <w:szCs w:val="20"/>
          <w:u w:val="none"/>
        </w:rPr>
        <w:t xml:space="preserve"> por irregularidade. Aplicação de multa.</w:t>
      </w:r>
    </w:p>
    <w:p w:rsidR="00E43DAD" w:rsidRDefault="00E43DAD" w:rsidP="00E43DAD">
      <w:pPr>
        <w:spacing w:after="0"/>
        <w:jc w:val="both"/>
        <w:rPr>
          <w:rFonts w:ascii="Arial" w:hAnsi="Arial" w:cs="Arial"/>
          <w:sz w:val="20"/>
          <w:szCs w:val="20"/>
        </w:rPr>
      </w:pPr>
    </w:p>
    <w:p w:rsidR="00C42B84" w:rsidRPr="00C42B84" w:rsidRDefault="00C42B84" w:rsidP="00E43DAD">
      <w:pPr>
        <w:spacing w:after="0"/>
        <w:jc w:val="both"/>
        <w:rPr>
          <w:rFonts w:ascii="Arial" w:hAnsi="Arial" w:cs="Arial"/>
          <w:sz w:val="20"/>
          <w:szCs w:val="20"/>
        </w:rPr>
      </w:pPr>
      <w:r w:rsidRPr="00C42B84">
        <w:rPr>
          <w:rFonts w:ascii="Arial" w:hAnsi="Arial" w:cs="Arial"/>
          <w:sz w:val="20"/>
          <w:szCs w:val="20"/>
        </w:rPr>
        <w:t>5. Recurso de Revisão. Reconhecimento do interesse e da legitimidade recursal do Prefeito, na condição de ordenador de despesas e assistente litisconsorcial da entidade tomadora dos recursos.</w:t>
      </w:r>
    </w:p>
    <w:p w:rsidR="00E43DAD" w:rsidRDefault="00E43DAD" w:rsidP="00E43DAD">
      <w:pPr>
        <w:spacing w:after="0"/>
        <w:jc w:val="both"/>
        <w:rPr>
          <w:rFonts w:ascii="Arial" w:hAnsi="Arial" w:cs="Arial"/>
          <w:sz w:val="20"/>
          <w:szCs w:val="20"/>
        </w:rPr>
      </w:pPr>
    </w:p>
    <w:p w:rsidR="00C42B84" w:rsidRPr="00C42B84" w:rsidRDefault="00C42B84" w:rsidP="00E43DAD">
      <w:pPr>
        <w:spacing w:after="0"/>
        <w:jc w:val="both"/>
        <w:rPr>
          <w:rFonts w:ascii="Arial" w:hAnsi="Arial" w:cs="Arial"/>
          <w:sz w:val="20"/>
          <w:szCs w:val="20"/>
        </w:rPr>
      </w:pPr>
      <w:r w:rsidRPr="00C42B84">
        <w:rPr>
          <w:rFonts w:ascii="Arial" w:hAnsi="Arial" w:cs="Arial"/>
          <w:sz w:val="20"/>
          <w:szCs w:val="20"/>
        </w:rPr>
        <w:t>6. Representação da Lei n° 8.666/1993. Legalidade da exigência da integralidade dos tributos federais, estaduais e municipais, em cumprimento ao artigo 29, III da Lei n.º 8.666/93.</w:t>
      </w:r>
    </w:p>
    <w:p w:rsidR="00E43DAD" w:rsidRDefault="00E43DAD" w:rsidP="00E43DAD">
      <w:pPr>
        <w:spacing w:after="0"/>
        <w:jc w:val="both"/>
        <w:rPr>
          <w:rFonts w:ascii="Arial" w:hAnsi="Arial" w:cs="Arial"/>
          <w:sz w:val="20"/>
          <w:szCs w:val="20"/>
        </w:rPr>
      </w:pPr>
    </w:p>
    <w:p w:rsidR="00C42B84" w:rsidRPr="00C42B84" w:rsidRDefault="00C42B84" w:rsidP="00E43DAD">
      <w:pPr>
        <w:spacing w:after="0"/>
        <w:jc w:val="both"/>
        <w:rPr>
          <w:rFonts w:ascii="Arial" w:hAnsi="Arial" w:cs="Arial"/>
          <w:sz w:val="20"/>
          <w:szCs w:val="20"/>
        </w:rPr>
      </w:pPr>
      <w:r w:rsidRPr="00C42B84">
        <w:rPr>
          <w:rFonts w:ascii="Arial" w:hAnsi="Arial" w:cs="Arial"/>
          <w:sz w:val="20"/>
          <w:szCs w:val="20"/>
        </w:rPr>
        <w:t>7. Consulta. Concessão de incentivos econômicos e fiscais pelos Municípios para a instalação de novas empresas ou ampliação das atividades daquelas já instaladas, com o fim precípuo de aumentar a geração de empregos diretos e indiretos e a arrecadação de tributos.</w:t>
      </w:r>
    </w:p>
    <w:p w:rsidR="00E43DAD" w:rsidRDefault="00E43DAD" w:rsidP="00E43DAD">
      <w:pPr>
        <w:spacing w:after="0"/>
        <w:jc w:val="both"/>
        <w:rPr>
          <w:rFonts w:ascii="Arial" w:hAnsi="Arial" w:cs="Arial"/>
          <w:sz w:val="20"/>
          <w:szCs w:val="20"/>
        </w:rPr>
      </w:pPr>
    </w:p>
    <w:p w:rsidR="00C42B84" w:rsidRPr="00C42B84" w:rsidRDefault="00C42B84" w:rsidP="00E43DAD">
      <w:pPr>
        <w:spacing w:after="0"/>
        <w:jc w:val="both"/>
        <w:rPr>
          <w:rFonts w:ascii="Arial" w:hAnsi="Arial" w:cs="Arial"/>
          <w:sz w:val="20"/>
          <w:szCs w:val="20"/>
        </w:rPr>
      </w:pPr>
      <w:r w:rsidRPr="00C42B84">
        <w:rPr>
          <w:rFonts w:ascii="Arial" w:hAnsi="Arial" w:cs="Arial"/>
          <w:sz w:val="20"/>
          <w:szCs w:val="20"/>
        </w:rPr>
        <w:lastRenderedPageBreak/>
        <w:t>8. Consulta. Abono de permanência. Pagamento com o implemento dos requisitos para aposentadoria. Desnecessidade de requerimento. Precedentes do Supremo Tribunal Federal. Prescrição quinquenal. Correção. Marco temporal e índices definido pela Suprema Corte. TR e IPCA-E. Aposentadoria. Emenda 47/05. Requisitos cumulativos preenchidos. Proventos integrais e paridade. Licença especial. Servidor efetivo (não oriundo do regime celetista) e inativo. Licenças não gozadas e não contadas em dobro. Indenização.</w:t>
      </w:r>
    </w:p>
    <w:p w:rsidR="00E43DAD" w:rsidRDefault="00E43DAD" w:rsidP="00E43DAD">
      <w:pPr>
        <w:spacing w:after="0"/>
        <w:jc w:val="both"/>
        <w:rPr>
          <w:rFonts w:ascii="Arial" w:hAnsi="Arial" w:cs="Arial"/>
          <w:sz w:val="20"/>
          <w:szCs w:val="20"/>
        </w:rPr>
      </w:pPr>
    </w:p>
    <w:p w:rsidR="00C42B84" w:rsidRPr="00C42B84" w:rsidRDefault="00C42B84" w:rsidP="00E43DAD">
      <w:pPr>
        <w:spacing w:after="0"/>
        <w:jc w:val="both"/>
        <w:rPr>
          <w:rFonts w:ascii="Arial" w:hAnsi="Arial" w:cs="Arial"/>
          <w:sz w:val="20"/>
          <w:szCs w:val="20"/>
        </w:rPr>
      </w:pPr>
      <w:r w:rsidRPr="00C42B84">
        <w:rPr>
          <w:rFonts w:ascii="Arial" w:hAnsi="Arial" w:cs="Arial"/>
          <w:sz w:val="20"/>
          <w:szCs w:val="20"/>
        </w:rPr>
        <w:t>9. Consulta. Incentivo à cultura. Ausência de conflito com a Lei n.º 13.019/2014. Apenas pessoa jurídica poderá concorrer ao chamamento público. Possibilidade de manutenção das políticas públicas municipais.</w:t>
      </w:r>
    </w:p>
    <w:p w:rsidR="00E43DAD" w:rsidRDefault="00E43DAD" w:rsidP="00E43DAD">
      <w:pPr>
        <w:spacing w:after="0"/>
        <w:jc w:val="both"/>
        <w:rPr>
          <w:rFonts w:ascii="Arial" w:hAnsi="Arial" w:cs="Arial"/>
          <w:sz w:val="20"/>
          <w:szCs w:val="20"/>
        </w:rPr>
      </w:pPr>
    </w:p>
    <w:p w:rsidR="00C42B84" w:rsidRDefault="00C42B84" w:rsidP="00E43DAD">
      <w:pPr>
        <w:spacing w:after="0"/>
        <w:jc w:val="both"/>
        <w:rPr>
          <w:rFonts w:ascii="Arial" w:hAnsi="Arial" w:cs="Arial"/>
          <w:sz w:val="20"/>
          <w:szCs w:val="20"/>
        </w:rPr>
      </w:pPr>
      <w:r w:rsidRPr="00C42B84">
        <w:rPr>
          <w:rFonts w:ascii="Arial" w:hAnsi="Arial" w:cs="Arial"/>
          <w:sz w:val="20"/>
          <w:szCs w:val="20"/>
        </w:rPr>
        <w:t xml:space="preserve">10. Consulta. Conceito de disponibilidade de caixa. Alcance técnico-jurídico para fins de observância à regra do depósito em banco oficial. Valores que não se enquadram como disponibilidade de caixa. Possibilidade de movimentação em instituição financeira oficial ou não-oficial. Contratação mediante prévia licitação. Modalidade a ser escolhida pela Administração Pública. </w:t>
      </w:r>
    </w:p>
    <w:p w:rsidR="00E43DAD" w:rsidRPr="00C42B84" w:rsidRDefault="00E43DAD" w:rsidP="00E43DAD">
      <w:pPr>
        <w:spacing w:after="0"/>
        <w:jc w:val="both"/>
        <w:rPr>
          <w:rFonts w:ascii="Arial" w:hAnsi="Arial" w:cs="Arial"/>
          <w:sz w:val="20"/>
          <w:szCs w:val="20"/>
        </w:rPr>
      </w:pPr>
    </w:p>
    <w:p w:rsidR="00712A93" w:rsidRPr="0022060B" w:rsidRDefault="00712A93" w:rsidP="00B2579E">
      <w:pPr>
        <w:shd w:val="pct10" w:color="auto" w:fill="auto"/>
        <w:spacing w:after="120"/>
        <w:jc w:val="center"/>
        <w:rPr>
          <w:rFonts w:ascii="Arial" w:hAnsi="Arial" w:cs="Arial"/>
          <w:b/>
          <w:sz w:val="20"/>
          <w:szCs w:val="20"/>
        </w:rPr>
      </w:pPr>
      <w:r w:rsidRPr="0022060B">
        <w:rPr>
          <w:rFonts w:ascii="Arial" w:hAnsi="Arial" w:cs="Arial"/>
          <w:b/>
          <w:sz w:val="20"/>
          <w:szCs w:val="20"/>
        </w:rPr>
        <w:t>PRIMEIRA CÂMARA</w:t>
      </w:r>
    </w:p>
    <w:p w:rsidR="007440B7" w:rsidRPr="007440B7" w:rsidRDefault="007440B7" w:rsidP="00B2579E">
      <w:pPr>
        <w:spacing w:after="0"/>
        <w:jc w:val="both"/>
        <w:rPr>
          <w:rFonts w:ascii="Arial" w:hAnsi="Arial" w:cs="Arial"/>
          <w:b/>
          <w:sz w:val="20"/>
          <w:szCs w:val="20"/>
        </w:rPr>
      </w:pPr>
      <w:r w:rsidRPr="007440B7">
        <w:rPr>
          <w:rFonts w:ascii="Arial" w:hAnsi="Arial" w:cs="Arial"/>
          <w:b/>
          <w:sz w:val="20"/>
          <w:szCs w:val="20"/>
        </w:rPr>
        <w:t>1.</w:t>
      </w:r>
      <w:r>
        <w:rPr>
          <w:rFonts w:ascii="Arial" w:hAnsi="Arial" w:cs="Arial"/>
          <w:b/>
          <w:sz w:val="20"/>
          <w:szCs w:val="20"/>
        </w:rPr>
        <w:t xml:space="preserve"> </w:t>
      </w:r>
      <w:r w:rsidRPr="007440B7">
        <w:rPr>
          <w:rFonts w:ascii="Arial" w:hAnsi="Arial" w:cs="Arial"/>
          <w:b/>
          <w:sz w:val="20"/>
          <w:szCs w:val="20"/>
        </w:rPr>
        <w:t xml:space="preserve">Prestação de Contas Anual. Poder Executivo. Extrapolação dos limites de gastos de pessoal.  </w:t>
      </w:r>
      <w:proofErr w:type="gramStart"/>
      <w:r w:rsidRPr="007440B7">
        <w:rPr>
          <w:rFonts w:ascii="Arial" w:hAnsi="Arial" w:cs="Arial"/>
          <w:b/>
          <w:sz w:val="20"/>
          <w:szCs w:val="20"/>
        </w:rPr>
        <w:t>Parecer Prévio</w:t>
      </w:r>
      <w:proofErr w:type="gramEnd"/>
      <w:r w:rsidRPr="007440B7">
        <w:rPr>
          <w:rFonts w:ascii="Arial" w:hAnsi="Arial" w:cs="Arial"/>
          <w:b/>
          <w:sz w:val="20"/>
          <w:szCs w:val="20"/>
        </w:rPr>
        <w:t xml:space="preserve">. Irregularidade. Multa. </w:t>
      </w:r>
    </w:p>
    <w:p w:rsidR="00B2579E" w:rsidRDefault="00B2579E" w:rsidP="00B2579E">
      <w:pPr>
        <w:spacing w:after="0"/>
        <w:jc w:val="both"/>
        <w:rPr>
          <w:rFonts w:ascii="Arial" w:hAnsi="Arial" w:cs="Arial"/>
          <w:sz w:val="20"/>
          <w:szCs w:val="20"/>
        </w:rPr>
      </w:pPr>
    </w:p>
    <w:p w:rsidR="007440B7" w:rsidRDefault="007440B7" w:rsidP="00B2579E">
      <w:pPr>
        <w:spacing w:after="0"/>
        <w:jc w:val="both"/>
        <w:rPr>
          <w:rFonts w:ascii="Arial" w:hAnsi="Arial" w:cs="Arial"/>
          <w:sz w:val="20"/>
          <w:szCs w:val="20"/>
        </w:rPr>
      </w:pPr>
      <w:r>
        <w:rPr>
          <w:rFonts w:ascii="Arial" w:hAnsi="Arial" w:cs="Arial"/>
          <w:sz w:val="20"/>
          <w:szCs w:val="20"/>
        </w:rPr>
        <w:t xml:space="preserve">A LRF distribuiu entre os Poderes e órgãos da Administração Pública os limites de gastos com pessoal determinados pelo art. 169, da Constituição Federal:  a) Limite de gastos global com pessoal, de 60% da receita corrente líquida; b) Limite de gastos do Município com o </w:t>
      </w:r>
      <w:proofErr w:type="gramStart"/>
      <w:r>
        <w:rPr>
          <w:rFonts w:ascii="Arial" w:hAnsi="Arial" w:cs="Arial"/>
          <w:sz w:val="20"/>
          <w:szCs w:val="20"/>
        </w:rPr>
        <w:t>Poder  Executivo</w:t>
      </w:r>
      <w:proofErr w:type="gramEnd"/>
      <w:r>
        <w:rPr>
          <w:rFonts w:ascii="Arial" w:hAnsi="Arial" w:cs="Arial"/>
          <w:sz w:val="20"/>
          <w:szCs w:val="20"/>
        </w:rPr>
        <w:t xml:space="preserve"> em 54% da receita corrente líquida. </w:t>
      </w:r>
    </w:p>
    <w:p w:rsidR="00B2579E" w:rsidRDefault="00B2579E" w:rsidP="00B2579E">
      <w:pPr>
        <w:spacing w:after="0"/>
        <w:jc w:val="both"/>
        <w:rPr>
          <w:rFonts w:ascii="Arial" w:hAnsi="Arial" w:cs="Arial"/>
          <w:sz w:val="20"/>
          <w:szCs w:val="20"/>
        </w:rPr>
      </w:pPr>
    </w:p>
    <w:p w:rsidR="007440B7" w:rsidRDefault="007440B7" w:rsidP="00B2579E">
      <w:pPr>
        <w:spacing w:after="0"/>
        <w:jc w:val="both"/>
        <w:rPr>
          <w:rFonts w:ascii="Arial" w:hAnsi="Arial" w:cs="Arial"/>
          <w:sz w:val="20"/>
          <w:szCs w:val="20"/>
        </w:rPr>
      </w:pPr>
      <w:r>
        <w:rPr>
          <w:rFonts w:ascii="Arial" w:hAnsi="Arial" w:cs="Arial"/>
          <w:sz w:val="20"/>
          <w:szCs w:val="20"/>
        </w:rPr>
        <w:t xml:space="preserve">O município extrapolou os limites previstos no art. 20, III, “b” do mencionado diploma legal, e não retornou os gastos ao limite prudencial. </w:t>
      </w:r>
    </w:p>
    <w:p w:rsidR="00B2579E" w:rsidRDefault="00B2579E" w:rsidP="00B2579E">
      <w:pPr>
        <w:spacing w:after="0"/>
        <w:jc w:val="both"/>
        <w:rPr>
          <w:rFonts w:ascii="Arial" w:hAnsi="Arial" w:cs="Arial"/>
          <w:sz w:val="20"/>
          <w:szCs w:val="20"/>
        </w:rPr>
      </w:pPr>
    </w:p>
    <w:p w:rsidR="007440B7" w:rsidRDefault="007440B7" w:rsidP="00B2579E">
      <w:pPr>
        <w:spacing w:after="0"/>
        <w:jc w:val="both"/>
        <w:rPr>
          <w:rFonts w:ascii="Arial" w:hAnsi="Arial" w:cs="Arial"/>
          <w:sz w:val="20"/>
          <w:szCs w:val="20"/>
        </w:rPr>
      </w:pPr>
      <w:r>
        <w:rPr>
          <w:rFonts w:ascii="Arial" w:hAnsi="Arial" w:cs="Arial"/>
          <w:sz w:val="20"/>
          <w:szCs w:val="20"/>
        </w:rPr>
        <w:t>Diante desta e outras irregularidades, emitiu-se Parecer Prévio pela irregularidade das contas e aplicação da multa prevista no art.87, IV, “g”, da Lei Complementar Estadual nº 113/05</w:t>
      </w:r>
    </w:p>
    <w:p w:rsidR="00B2579E" w:rsidRDefault="00B2579E" w:rsidP="00B2579E">
      <w:pPr>
        <w:spacing w:after="0"/>
        <w:jc w:val="both"/>
        <w:rPr>
          <w:rFonts w:ascii="Arial" w:hAnsi="Arial" w:cs="Arial"/>
          <w:sz w:val="20"/>
          <w:szCs w:val="20"/>
        </w:rPr>
      </w:pPr>
    </w:p>
    <w:p w:rsidR="007440B7" w:rsidRDefault="007440B7" w:rsidP="00B2579E">
      <w:pPr>
        <w:spacing w:after="0"/>
        <w:jc w:val="both"/>
        <w:rPr>
          <w:rFonts w:ascii="Arial" w:hAnsi="Arial" w:cs="Arial"/>
          <w:sz w:val="20"/>
          <w:szCs w:val="20"/>
        </w:rPr>
      </w:pPr>
      <w:r>
        <w:rPr>
          <w:rFonts w:ascii="Arial" w:hAnsi="Arial" w:cs="Arial"/>
          <w:sz w:val="20"/>
          <w:szCs w:val="20"/>
        </w:rPr>
        <w:t xml:space="preserve">Processo nº 255751/15 </w:t>
      </w:r>
      <w:hyperlink r:id="rId8" w:history="1">
        <w:r w:rsidRPr="00A023FE">
          <w:rPr>
            <w:rStyle w:val="Hyperlink"/>
            <w:rFonts w:ascii="Arial" w:hAnsi="Arial" w:cs="Arial"/>
            <w:sz w:val="20"/>
            <w:szCs w:val="20"/>
          </w:rPr>
          <w:t>– Acórdão de Parec</w:t>
        </w:r>
        <w:r>
          <w:rPr>
            <w:rStyle w:val="Hyperlink"/>
            <w:rFonts w:ascii="Arial" w:hAnsi="Arial" w:cs="Arial"/>
            <w:sz w:val="20"/>
            <w:szCs w:val="20"/>
          </w:rPr>
          <w:t>er Prévio nº 191/18- Primeira</w:t>
        </w:r>
        <w:r w:rsidRPr="00A023FE">
          <w:rPr>
            <w:rStyle w:val="Hyperlink"/>
            <w:rFonts w:ascii="Arial" w:hAnsi="Arial" w:cs="Arial"/>
            <w:sz w:val="20"/>
            <w:szCs w:val="20"/>
          </w:rPr>
          <w:t xml:space="preserve"> Câmara</w:t>
        </w:r>
      </w:hyperlink>
      <w:r>
        <w:rPr>
          <w:rFonts w:ascii="Arial" w:hAnsi="Arial" w:cs="Arial"/>
          <w:sz w:val="20"/>
          <w:szCs w:val="20"/>
        </w:rPr>
        <w:t xml:space="preserve"> – Relator Conselheiro Nestor Baptista. </w:t>
      </w:r>
    </w:p>
    <w:p w:rsidR="00B2579E" w:rsidRDefault="00B2579E" w:rsidP="00B2579E">
      <w:pPr>
        <w:spacing w:after="0"/>
        <w:jc w:val="both"/>
        <w:rPr>
          <w:rFonts w:ascii="Arial" w:hAnsi="Arial" w:cs="Arial"/>
          <w:b/>
          <w:sz w:val="20"/>
          <w:szCs w:val="20"/>
        </w:rPr>
      </w:pPr>
    </w:p>
    <w:p w:rsidR="007440B7" w:rsidRPr="002E7D05" w:rsidRDefault="007440B7" w:rsidP="00B2579E">
      <w:pPr>
        <w:spacing w:after="0"/>
        <w:jc w:val="both"/>
        <w:rPr>
          <w:rFonts w:ascii="Arial" w:hAnsi="Arial" w:cs="Arial"/>
          <w:b/>
          <w:sz w:val="20"/>
          <w:szCs w:val="20"/>
        </w:rPr>
      </w:pPr>
      <w:r>
        <w:rPr>
          <w:rFonts w:ascii="Arial" w:hAnsi="Arial" w:cs="Arial"/>
          <w:b/>
          <w:sz w:val="20"/>
          <w:szCs w:val="20"/>
        </w:rPr>
        <w:t xml:space="preserve">2. </w:t>
      </w:r>
      <w:r w:rsidRPr="002E7D05">
        <w:rPr>
          <w:rFonts w:ascii="Arial" w:hAnsi="Arial" w:cs="Arial"/>
          <w:b/>
          <w:sz w:val="20"/>
          <w:szCs w:val="20"/>
        </w:rPr>
        <w:t xml:space="preserve">Tomada de Contas Extraordinária. Contratação de serviços de telefonia. Ausência de prestação de serviços. Desconsideração da personalidade jurídica. Restituição. Procedência. </w:t>
      </w:r>
    </w:p>
    <w:p w:rsidR="00B2579E" w:rsidRDefault="00B2579E" w:rsidP="00B2579E">
      <w:pPr>
        <w:spacing w:after="0"/>
        <w:jc w:val="both"/>
        <w:rPr>
          <w:rFonts w:ascii="Arial" w:hAnsi="Arial" w:cs="Arial"/>
          <w:sz w:val="20"/>
          <w:szCs w:val="20"/>
        </w:rPr>
      </w:pPr>
    </w:p>
    <w:p w:rsidR="007440B7" w:rsidRDefault="007440B7" w:rsidP="00B2579E">
      <w:pPr>
        <w:spacing w:after="0"/>
        <w:jc w:val="both"/>
        <w:rPr>
          <w:rFonts w:ascii="Arial" w:hAnsi="Arial" w:cs="Arial"/>
          <w:sz w:val="20"/>
          <w:szCs w:val="20"/>
        </w:rPr>
      </w:pPr>
      <w:r>
        <w:rPr>
          <w:rFonts w:ascii="Arial" w:hAnsi="Arial" w:cs="Arial"/>
          <w:sz w:val="20"/>
          <w:szCs w:val="20"/>
        </w:rPr>
        <w:t xml:space="preserve">Instaurada a Tomada de Contas durante cumprimento do Plano Anual de Inspeções, verificou-se a inexecução dos serviços de telefonia de internet banda larga e tecnologia VOIP contratados </w:t>
      </w:r>
      <w:r>
        <w:rPr>
          <w:rFonts w:ascii="Arial" w:hAnsi="Arial" w:cs="Arial"/>
          <w:sz w:val="20"/>
          <w:szCs w:val="20"/>
        </w:rPr>
        <w:lastRenderedPageBreak/>
        <w:t xml:space="preserve">pela municipalidade.  A inidoneidade da empresa ficou caracterizada, inclusive porque o mesmo fato ocorreu em vários outros municípios paranaenses. </w:t>
      </w:r>
    </w:p>
    <w:p w:rsidR="00B2579E" w:rsidRDefault="00B2579E" w:rsidP="00B2579E">
      <w:pPr>
        <w:spacing w:after="0"/>
        <w:jc w:val="both"/>
        <w:rPr>
          <w:rFonts w:ascii="Arial" w:hAnsi="Arial" w:cs="Arial"/>
          <w:sz w:val="20"/>
          <w:szCs w:val="20"/>
        </w:rPr>
      </w:pPr>
    </w:p>
    <w:p w:rsidR="007440B7" w:rsidRDefault="007440B7" w:rsidP="00B2579E">
      <w:pPr>
        <w:spacing w:after="0"/>
        <w:jc w:val="both"/>
        <w:rPr>
          <w:rFonts w:ascii="Arial" w:hAnsi="Arial" w:cs="Arial"/>
          <w:sz w:val="20"/>
          <w:szCs w:val="20"/>
        </w:rPr>
      </w:pPr>
      <w:r>
        <w:rPr>
          <w:rFonts w:ascii="Arial" w:hAnsi="Arial" w:cs="Arial"/>
          <w:sz w:val="20"/>
          <w:szCs w:val="20"/>
        </w:rPr>
        <w:t>Entendeu o relator, em voto acompanhado por unanimidade no Colegiado, que deve haver a condenação dos envolvidos pelas fraudes para que reparem o dando causado. Para tanto, determinou a desconsideração da personalidade jurídica para atingir o</w:t>
      </w:r>
      <w:r>
        <w:rPr>
          <w:rFonts w:ascii="Arial" w:hAnsi="Arial" w:cs="Arial"/>
          <w:sz w:val="20"/>
          <w:szCs w:val="20"/>
        </w:rPr>
        <w:t xml:space="preserve">s sócios da empresa </w:t>
      </w:r>
      <w:proofErr w:type="spellStart"/>
      <w:r>
        <w:rPr>
          <w:rFonts w:ascii="Arial" w:hAnsi="Arial" w:cs="Arial"/>
          <w:sz w:val="20"/>
          <w:szCs w:val="20"/>
        </w:rPr>
        <w:t>contratada</w:t>
      </w:r>
      <w:proofErr w:type="gramStart"/>
      <w:r>
        <w:rPr>
          <w:rFonts w:ascii="Arial" w:hAnsi="Arial" w:cs="Arial"/>
          <w:sz w:val="20"/>
          <w:szCs w:val="20"/>
        </w:rPr>
        <w:t>:</w:t>
      </w:r>
      <w:r>
        <w:rPr>
          <w:rFonts w:ascii="Arial" w:hAnsi="Arial" w:cs="Arial"/>
          <w:sz w:val="20"/>
          <w:szCs w:val="20"/>
        </w:rPr>
        <w:t>“</w:t>
      </w:r>
      <w:proofErr w:type="gramEnd"/>
      <w:r>
        <w:rPr>
          <w:rFonts w:ascii="Arial" w:hAnsi="Arial" w:cs="Arial"/>
          <w:sz w:val="20"/>
          <w:szCs w:val="20"/>
        </w:rPr>
        <w:t>Para</w:t>
      </w:r>
      <w:proofErr w:type="spellEnd"/>
      <w:r>
        <w:rPr>
          <w:rFonts w:ascii="Arial" w:hAnsi="Arial" w:cs="Arial"/>
          <w:sz w:val="20"/>
          <w:szCs w:val="20"/>
        </w:rPr>
        <w:t xml:space="preserve"> delimitar as responsabilidades, entendo necessário desconsiderar a personalidade jurídica. Referido instituto, atualmente consagrado inclusive no novo Código de Processo Civil, mostra-se necessário para os casos em que a pessoa natural se utiliza, de forma indevida, da pessoa jurídica para blindar suas práticas. </w:t>
      </w:r>
    </w:p>
    <w:p w:rsidR="00B2579E" w:rsidRDefault="00B2579E" w:rsidP="00B2579E">
      <w:pPr>
        <w:spacing w:after="0"/>
        <w:jc w:val="both"/>
        <w:rPr>
          <w:rFonts w:ascii="Arial" w:hAnsi="Arial" w:cs="Arial"/>
          <w:sz w:val="20"/>
          <w:szCs w:val="20"/>
        </w:rPr>
      </w:pPr>
    </w:p>
    <w:p w:rsidR="007440B7" w:rsidRDefault="007440B7" w:rsidP="00B2579E">
      <w:pPr>
        <w:spacing w:after="0"/>
        <w:jc w:val="both"/>
        <w:rPr>
          <w:rFonts w:ascii="Arial" w:hAnsi="Arial" w:cs="Arial"/>
          <w:sz w:val="20"/>
          <w:szCs w:val="20"/>
        </w:rPr>
      </w:pPr>
      <w:r>
        <w:rPr>
          <w:rFonts w:ascii="Arial" w:hAnsi="Arial" w:cs="Arial"/>
          <w:sz w:val="20"/>
          <w:szCs w:val="20"/>
        </w:rPr>
        <w:t>A desconsideração também se mostra necessária tendo em vista o conjunto fático-probatório dos autos, que evidenciam conluio dos interessados para prática de atos lesivos ao erário.</w:t>
      </w:r>
    </w:p>
    <w:p w:rsidR="007440B7" w:rsidRDefault="007440B7" w:rsidP="00B2579E">
      <w:pPr>
        <w:spacing w:after="0"/>
        <w:jc w:val="both"/>
        <w:rPr>
          <w:rFonts w:ascii="Arial" w:hAnsi="Arial" w:cs="Arial"/>
          <w:sz w:val="20"/>
          <w:szCs w:val="20"/>
        </w:rPr>
      </w:pPr>
      <w:r>
        <w:rPr>
          <w:rFonts w:ascii="Arial" w:hAnsi="Arial" w:cs="Arial"/>
          <w:sz w:val="20"/>
          <w:szCs w:val="20"/>
        </w:rPr>
        <w:t xml:space="preserve">Para fins argumentativos, indico que referida teoria vem sendo aplicada neste Tribunal de Contas e, vastamente, pelo Tribunal de Contas da União”. </w:t>
      </w:r>
    </w:p>
    <w:p w:rsidR="00B2579E" w:rsidRDefault="00B2579E" w:rsidP="00B2579E">
      <w:pPr>
        <w:spacing w:after="0"/>
        <w:jc w:val="both"/>
        <w:rPr>
          <w:rFonts w:ascii="Arial" w:hAnsi="Arial" w:cs="Arial"/>
          <w:sz w:val="20"/>
          <w:szCs w:val="20"/>
        </w:rPr>
      </w:pPr>
    </w:p>
    <w:p w:rsidR="007440B7" w:rsidRDefault="007440B7" w:rsidP="00B2579E">
      <w:pPr>
        <w:spacing w:after="0"/>
        <w:jc w:val="both"/>
        <w:rPr>
          <w:rFonts w:ascii="Arial" w:hAnsi="Arial" w:cs="Arial"/>
          <w:sz w:val="20"/>
          <w:szCs w:val="20"/>
        </w:rPr>
      </w:pPr>
      <w:r>
        <w:rPr>
          <w:rFonts w:ascii="Arial" w:hAnsi="Arial" w:cs="Arial"/>
          <w:sz w:val="20"/>
          <w:szCs w:val="20"/>
        </w:rPr>
        <w:t xml:space="preserve">Processo nº 564221/09 – </w:t>
      </w:r>
      <w:hyperlink r:id="rId9" w:history="1">
        <w:r w:rsidRPr="00A023FE">
          <w:rPr>
            <w:rStyle w:val="Hyperlink"/>
            <w:rFonts w:ascii="Arial" w:hAnsi="Arial" w:cs="Arial"/>
            <w:sz w:val="20"/>
            <w:szCs w:val="20"/>
          </w:rPr>
          <w:t>Acórdão nº 1678/18</w:t>
        </w:r>
        <w:r>
          <w:rPr>
            <w:rStyle w:val="Hyperlink"/>
            <w:rFonts w:ascii="Arial" w:hAnsi="Arial" w:cs="Arial"/>
            <w:sz w:val="20"/>
            <w:szCs w:val="20"/>
          </w:rPr>
          <w:t xml:space="preserve"> </w:t>
        </w:r>
        <w:r w:rsidRPr="00A023FE">
          <w:rPr>
            <w:rStyle w:val="Hyperlink"/>
            <w:rFonts w:ascii="Arial" w:hAnsi="Arial" w:cs="Arial"/>
            <w:sz w:val="20"/>
            <w:szCs w:val="20"/>
          </w:rPr>
          <w:t>-</w:t>
        </w:r>
        <w:r>
          <w:rPr>
            <w:rStyle w:val="Hyperlink"/>
            <w:rFonts w:ascii="Arial" w:hAnsi="Arial" w:cs="Arial"/>
            <w:sz w:val="20"/>
            <w:szCs w:val="20"/>
          </w:rPr>
          <w:t xml:space="preserve"> Primeira</w:t>
        </w:r>
        <w:r w:rsidRPr="00A023FE">
          <w:rPr>
            <w:rStyle w:val="Hyperlink"/>
            <w:rFonts w:ascii="Arial" w:hAnsi="Arial" w:cs="Arial"/>
            <w:sz w:val="20"/>
            <w:szCs w:val="20"/>
          </w:rPr>
          <w:t xml:space="preserve"> Câmara</w:t>
        </w:r>
      </w:hyperlink>
      <w:r>
        <w:rPr>
          <w:rFonts w:ascii="Arial" w:hAnsi="Arial" w:cs="Arial"/>
          <w:sz w:val="20"/>
          <w:szCs w:val="20"/>
        </w:rPr>
        <w:t xml:space="preserve"> – Relator Conselheiro Fábio de Souza Camargo. </w:t>
      </w:r>
    </w:p>
    <w:p w:rsidR="00EC3842" w:rsidRPr="0022060B" w:rsidRDefault="00EC3842" w:rsidP="00B2579E">
      <w:pPr>
        <w:shd w:val="pct10" w:color="auto" w:fill="auto"/>
        <w:spacing w:after="120"/>
        <w:jc w:val="center"/>
        <w:rPr>
          <w:rFonts w:ascii="Arial" w:hAnsi="Arial" w:cs="Arial"/>
          <w:b/>
          <w:sz w:val="20"/>
          <w:szCs w:val="20"/>
        </w:rPr>
      </w:pPr>
      <w:r w:rsidRPr="0022060B">
        <w:rPr>
          <w:rFonts w:ascii="Arial" w:hAnsi="Arial" w:cs="Arial"/>
          <w:b/>
          <w:sz w:val="20"/>
          <w:szCs w:val="20"/>
        </w:rPr>
        <w:t>SEGUNDA CÂMARA</w:t>
      </w:r>
    </w:p>
    <w:p w:rsidR="007440B7" w:rsidRPr="00BD3C2A" w:rsidRDefault="007440B7" w:rsidP="00B2579E">
      <w:pPr>
        <w:spacing w:after="0"/>
        <w:jc w:val="both"/>
        <w:rPr>
          <w:rStyle w:val="Hyperlink"/>
          <w:rFonts w:ascii="Arial" w:hAnsi="Arial" w:cs="Arial"/>
          <w:b/>
          <w:color w:val="000000" w:themeColor="text1"/>
          <w:sz w:val="20"/>
          <w:szCs w:val="20"/>
          <w:u w:val="none"/>
        </w:rPr>
      </w:pPr>
      <w:r>
        <w:rPr>
          <w:rStyle w:val="Hyperlink"/>
          <w:rFonts w:ascii="Arial" w:hAnsi="Arial" w:cs="Arial"/>
          <w:b/>
          <w:color w:val="000000" w:themeColor="text1"/>
          <w:sz w:val="20"/>
          <w:szCs w:val="20"/>
          <w:u w:val="none"/>
        </w:rPr>
        <w:t xml:space="preserve">3. </w:t>
      </w:r>
      <w:r w:rsidRPr="00BD3C2A">
        <w:rPr>
          <w:rStyle w:val="Hyperlink"/>
          <w:rFonts w:ascii="Arial" w:hAnsi="Arial" w:cs="Arial"/>
          <w:b/>
          <w:color w:val="000000" w:themeColor="text1"/>
          <w:sz w:val="20"/>
          <w:szCs w:val="20"/>
          <w:u w:val="none"/>
        </w:rPr>
        <w:t>Prestação de Contas.</w:t>
      </w:r>
      <w:r>
        <w:rPr>
          <w:rStyle w:val="Hyperlink"/>
          <w:rFonts w:ascii="Arial" w:hAnsi="Arial" w:cs="Arial"/>
          <w:b/>
          <w:color w:val="000000" w:themeColor="text1"/>
          <w:sz w:val="20"/>
          <w:szCs w:val="20"/>
          <w:u w:val="none"/>
        </w:rPr>
        <w:t xml:space="preserve"> Câmara Municipal. </w:t>
      </w:r>
      <w:r w:rsidRPr="00BD3C2A">
        <w:rPr>
          <w:rStyle w:val="Hyperlink"/>
          <w:rFonts w:ascii="Arial" w:hAnsi="Arial" w:cs="Arial"/>
          <w:b/>
          <w:color w:val="000000" w:themeColor="text1"/>
          <w:sz w:val="20"/>
          <w:szCs w:val="20"/>
          <w:u w:val="none"/>
        </w:rPr>
        <w:t xml:space="preserve"> Atrasos reiterados no cumprimento da agenda de obrigações do exercício. Regularidade com ressalva. Aplicação de multa única. Princípio da absorção. Infração Continuada. </w:t>
      </w:r>
    </w:p>
    <w:p w:rsidR="00B2579E" w:rsidRDefault="00B2579E" w:rsidP="00B2579E">
      <w:pPr>
        <w:spacing w:after="0"/>
        <w:jc w:val="both"/>
        <w:rPr>
          <w:rStyle w:val="Hyperlink"/>
          <w:rFonts w:ascii="Arial" w:hAnsi="Arial" w:cs="Arial"/>
          <w:color w:val="000000" w:themeColor="text1"/>
          <w:sz w:val="20"/>
          <w:szCs w:val="20"/>
          <w:u w:val="none"/>
        </w:rPr>
      </w:pPr>
    </w:p>
    <w:p w:rsidR="007440B7" w:rsidRDefault="007440B7" w:rsidP="00B2579E">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Os prazos para remessas mensais dos dados a este Tribunal de Contas (Instrução Normativa da Agenda de Obrigações) não foram observados ao longo do exercício em análise, acarretando análise na maioria dos meses do exercício. </w:t>
      </w:r>
    </w:p>
    <w:p w:rsidR="00B2579E" w:rsidRDefault="00B2579E" w:rsidP="00B2579E">
      <w:pPr>
        <w:spacing w:after="0"/>
        <w:jc w:val="both"/>
        <w:rPr>
          <w:rStyle w:val="Hyperlink"/>
          <w:rFonts w:ascii="Arial" w:hAnsi="Arial" w:cs="Arial"/>
          <w:color w:val="000000" w:themeColor="text1"/>
          <w:sz w:val="20"/>
          <w:szCs w:val="20"/>
          <w:u w:val="none"/>
        </w:rPr>
      </w:pPr>
    </w:p>
    <w:p w:rsidR="007440B7" w:rsidRDefault="007440B7" w:rsidP="00B2579E">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Reiterados atrasos trouxeram prejuízo às funções de controle desta Corte. Contudo, esta situação deve ser analisada à luz do Princípio da Absorção, cujas infrações administrativas de mesma espécie, como é o caso, tem o mesmo tratamento do ilícito penal, sendo abarcadas pelas normas do Direito Penal Brasileiro. </w:t>
      </w:r>
    </w:p>
    <w:p w:rsidR="00B2579E" w:rsidRDefault="00B2579E" w:rsidP="00B2579E">
      <w:pPr>
        <w:spacing w:after="0"/>
        <w:jc w:val="both"/>
        <w:rPr>
          <w:rStyle w:val="Hyperlink"/>
          <w:rFonts w:ascii="Arial" w:hAnsi="Arial" w:cs="Arial"/>
          <w:color w:val="000000" w:themeColor="text1"/>
          <w:sz w:val="20"/>
          <w:szCs w:val="20"/>
          <w:u w:val="none"/>
        </w:rPr>
      </w:pPr>
    </w:p>
    <w:p w:rsidR="007440B7" w:rsidRDefault="007440B7" w:rsidP="00B2579E">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Sendo </w:t>
      </w:r>
      <w:proofErr w:type="gramStart"/>
      <w:r>
        <w:rPr>
          <w:rStyle w:val="Hyperlink"/>
          <w:rFonts w:ascii="Arial" w:hAnsi="Arial" w:cs="Arial"/>
          <w:color w:val="000000" w:themeColor="text1"/>
          <w:sz w:val="20"/>
          <w:szCs w:val="20"/>
          <w:u w:val="none"/>
        </w:rPr>
        <w:t>assim,  conforme</w:t>
      </w:r>
      <w:proofErr w:type="gramEnd"/>
      <w:r>
        <w:rPr>
          <w:rStyle w:val="Hyperlink"/>
          <w:rFonts w:ascii="Arial" w:hAnsi="Arial" w:cs="Arial"/>
          <w:color w:val="000000" w:themeColor="text1"/>
          <w:sz w:val="20"/>
          <w:szCs w:val="20"/>
          <w:u w:val="none"/>
        </w:rPr>
        <w:t xml:space="preserve"> o Princípio da Infração Continuada, é passível a aplicação de uma única multa, a do art. 87, III, “b”, da Lei Complementar nº 113/05, ao responsável pelas contas do exercício, diante do apontamento como um todo. </w:t>
      </w:r>
    </w:p>
    <w:p w:rsidR="00B2579E" w:rsidRDefault="00B2579E" w:rsidP="00B2579E">
      <w:pPr>
        <w:spacing w:after="0"/>
        <w:jc w:val="both"/>
        <w:rPr>
          <w:rStyle w:val="Hyperlink"/>
          <w:rFonts w:ascii="Arial" w:hAnsi="Arial" w:cs="Arial"/>
          <w:color w:val="000000" w:themeColor="text1"/>
          <w:sz w:val="20"/>
          <w:szCs w:val="20"/>
          <w:u w:val="none"/>
        </w:rPr>
      </w:pPr>
    </w:p>
    <w:p w:rsidR="007440B7" w:rsidRDefault="007440B7" w:rsidP="00B2579E">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Neste ponto, os atrasos foram considerados ressalvas com aplicação da respectiva multa administrativa.  </w:t>
      </w:r>
    </w:p>
    <w:p w:rsidR="007440B7" w:rsidRDefault="007440B7" w:rsidP="00B2579E">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Processo nº 306256/17 – </w:t>
      </w:r>
      <w:hyperlink r:id="rId10" w:history="1">
        <w:r w:rsidRPr="004E264D">
          <w:rPr>
            <w:rStyle w:val="Hyperlink"/>
            <w:rFonts w:ascii="Arial" w:hAnsi="Arial" w:cs="Arial"/>
            <w:sz w:val="20"/>
            <w:szCs w:val="20"/>
          </w:rPr>
          <w:t>Acórdão nº 1770/18-</w:t>
        </w:r>
        <w:r>
          <w:rPr>
            <w:rStyle w:val="Hyperlink"/>
            <w:rFonts w:ascii="Arial" w:hAnsi="Arial" w:cs="Arial"/>
            <w:sz w:val="20"/>
            <w:szCs w:val="20"/>
          </w:rPr>
          <w:t xml:space="preserve"> </w:t>
        </w:r>
      </w:hyperlink>
      <w:r>
        <w:rPr>
          <w:rStyle w:val="Hyperlink"/>
          <w:rFonts w:ascii="Arial" w:hAnsi="Arial" w:cs="Arial"/>
          <w:sz w:val="20"/>
          <w:szCs w:val="20"/>
        </w:rPr>
        <w:t>Segunda Câmara</w:t>
      </w:r>
      <w:r>
        <w:rPr>
          <w:rStyle w:val="Hyperlink"/>
          <w:rFonts w:ascii="Arial" w:hAnsi="Arial" w:cs="Arial"/>
          <w:color w:val="000000" w:themeColor="text1"/>
          <w:sz w:val="20"/>
          <w:szCs w:val="20"/>
          <w:u w:val="none"/>
        </w:rPr>
        <w:t xml:space="preserve"> – Relator Conselheiro </w:t>
      </w:r>
      <w:proofErr w:type="spellStart"/>
      <w:r>
        <w:rPr>
          <w:rStyle w:val="Hyperlink"/>
          <w:rFonts w:ascii="Arial" w:hAnsi="Arial" w:cs="Arial"/>
          <w:color w:val="000000" w:themeColor="text1"/>
          <w:sz w:val="20"/>
          <w:szCs w:val="20"/>
          <w:u w:val="none"/>
        </w:rPr>
        <w:t>Artagão</w:t>
      </w:r>
      <w:proofErr w:type="spellEnd"/>
      <w:r>
        <w:rPr>
          <w:rStyle w:val="Hyperlink"/>
          <w:rFonts w:ascii="Arial" w:hAnsi="Arial" w:cs="Arial"/>
          <w:color w:val="000000" w:themeColor="text1"/>
          <w:sz w:val="20"/>
          <w:szCs w:val="20"/>
          <w:u w:val="none"/>
        </w:rPr>
        <w:t xml:space="preserve"> de Mattos Leão. </w:t>
      </w:r>
    </w:p>
    <w:p w:rsidR="007440B7" w:rsidRDefault="007440B7" w:rsidP="00B2579E">
      <w:pPr>
        <w:spacing w:after="0"/>
        <w:jc w:val="both"/>
        <w:rPr>
          <w:rStyle w:val="Hyperlink"/>
          <w:rFonts w:ascii="Arial" w:hAnsi="Arial" w:cs="Arial"/>
          <w:color w:val="000000" w:themeColor="text1"/>
          <w:sz w:val="20"/>
          <w:szCs w:val="20"/>
          <w:u w:val="none"/>
        </w:rPr>
      </w:pPr>
    </w:p>
    <w:p w:rsidR="007440B7" w:rsidRPr="004237BE" w:rsidRDefault="007440B7" w:rsidP="00B2579E">
      <w:pPr>
        <w:spacing w:after="0"/>
        <w:jc w:val="both"/>
        <w:rPr>
          <w:rStyle w:val="Hyperlink"/>
          <w:rFonts w:ascii="Arial" w:hAnsi="Arial" w:cs="Arial"/>
          <w:b/>
          <w:color w:val="000000" w:themeColor="text1"/>
          <w:sz w:val="20"/>
          <w:szCs w:val="20"/>
          <w:u w:val="none"/>
        </w:rPr>
      </w:pPr>
      <w:r>
        <w:rPr>
          <w:rStyle w:val="Hyperlink"/>
          <w:rFonts w:ascii="Arial" w:hAnsi="Arial" w:cs="Arial"/>
          <w:b/>
          <w:color w:val="000000" w:themeColor="text1"/>
          <w:sz w:val="20"/>
          <w:szCs w:val="20"/>
          <w:u w:val="none"/>
        </w:rPr>
        <w:lastRenderedPageBreak/>
        <w:t xml:space="preserve">4. </w:t>
      </w:r>
      <w:r w:rsidRPr="004237BE">
        <w:rPr>
          <w:rStyle w:val="Hyperlink"/>
          <w:rFonts w:ascii="Arial" w:hAnsi="Arial" w:cs="Arial"/>
          <w:b/>
          <w:color w:val="000000" w:themeColor="text1"/>
          <w:sz w:val="20"/>
          <w:szCs w:val="20"/>
          <w:u w:val="none"/>
        </w:rPr>
        <w:t xml:space="preserve">Prestação de Contas Anual. Poder Executivo. Município. Falta de aportes ao RPPS. Déficit Atuarial. Infração à legislação previdenciária. </w:t>
      </w:r>
      <w:proofErr w:type="gramStart"/>
      <w:r w:rsidRPr="004237BE">
        <w:rPr>
          <w:rStyle w:val="Hyperlink"/>
          <w:rFonts w:ascii="Arial" w:hAnsi="Arial" w:cs="Arial"/>
          <w:b/>
          <w:color w:val="000000" w:themeColor="text1"/>
          <w:sz w:val="20"/>
          <w:szCs w:val="20"/>
          <w:u w:val="none"/>
        </w:rPr>
        <w:t>Parecer  Prévio</w:t>
      </w:r>
      <w:proofErr w:type="gramEnd"/>
      <w:r w:rsidRPr="004237BE">
        <w:rPr>
          <w:rStyle w:val="Hyperlink"/>
          <w:rFonts w:ascii="Arial" w:hAnsi="Arial" w:cs="Arial"/>
          <w:b/>
          <w:color w:val="000000" w:themeColor="text1"/>
          <w:sz w:val="20"/>
          <w:szCs w:val="20"/>
          <w:u w:val="none"/>
        </w:rPr>
        <w:t xml:space="preserve"> por irregularidade. Aplicação de multa.</w:t>
      </w:r>
    </w:p>
    <w:p w:rsidR="007440B7" w:rsidRDefault="007440B7" w:rsidP="00B2579E">
      <w:pPr>
        <w:spacing w:after="0"/>
        <w:jc w:val="both"/>
        <w:rPr>
          <w:rStyle w:val="Hyperlink"/>
          <w:rFonts w:ascii="Arial" w:hAnsi="Arial" w:cs="Arial"/>
          <w:color w:val="000000" w:themeColor="text1"/>
          <w:sz w:val="20"/>
          <w:szCs w:val="20"/>
          <w:u w:val="none"/>
        </w:rPr>
      </w:pPr>
    </w:p>
    <w:p w:rsidR="007440B7" w:rsidRDefault="007440B7" w:rsidP="00B2579E">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Nos termos do Laudo de Avaliação Atuarial verificou-se a necessidade de aportes ao Regime Próprio de Previdência, visando equacionar o déficit atuarial e a consequente busca do equilíbrio financeiro do sistema.</w:t>
      </w:r>
    </w:p>
    <w:p w:rsidR="00B2579E" w:rsidRDefault="00B2579E" w:rsidP="00B2579E">
      <w:pPr>
        <w:spacing w:after="0"/>
        <w:jc w:val="both"/>
        <w:rPr>
          <w:rStyle w:val="Hyperlink"/>
          <w:rFonts w:ascii="Arial" w:hAnsi="Arial" w:cs="Arial"/>
          <w:color w:val="000000" w:themeColor="text1"/>
          <w:sz w:val="20"/>
          <w:szCs w:val="20"/>
          <w:u w:val="none"/>
        </w:rPr>
      </w:pPr>
    </w:p>
    <w:p w:rsidR="007440B7" w:rsidRDefault="007440B7" w:rsidP="00B2579E">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As justificativas apresentadas pelo gestor responsável não foram acolhidas pelo Relator, </w:t>
      </w:r>
      <w:proofErr w:type="gramStart"/>
      <w:r>
        <w:rPr>
          <w:rStyle w:val="Hyperlink"/>
          <w:rFonts w:ascii="Arial" w:hAnsi="Arial" w:cs="Arial"/>
          <w:color w:val="000000" w:themeColor="text1"/>
          <w:sz w:val="20"/>
          <w:szCs w:val="20"/>
          <w:u w:val="none"/>
        </w:rPr>
        <w:t>por  verificar</w:t>
      </w:r>
      <w:proofErr w:type="gramEnd"/>
      <w:r>
        <w:rPr>
          <w:rStyle w:val="Hyperlink"/>
          <w:rFonts w:ascii="Arial" w:hAnsi="Arial" w:cs="Arial"/>
          <w:color w:val="000000" w:themeColor="text1"/>
          <w:sz w:val="20"/>
          <w:szCs w:val="20"/>
          <w:u w:val="none"/>
        </w:rPr>
        <w:t xml:space="preserve"> que o conjunto probatório dos autos demonstrou a inadimplência do Município, confirmada, inclusive, por meio de auditoria do Ministério da Previdência no RPPS. </w:t>
      </w:r>
    </w:p>
    <w:p w:rsidR="007440B7" w:rsidRDefault="007440B7" w:rsidP="00B2579E">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Nas palavras do Relator, “no caso tratado, não se pode admitir que um gestor passe quase todo o período de sua administração sem efetuar os devidos repasses ao Regime Próprio de Previdência Social”. </w:t>
      </w:r>
    </w:p>
    <w:p w:rsidR="00B2579E" w:rsidRDefault="00B2579E" w:rsidP="00B2579E">
      <w:pPr>
        <w:spacing w:after="0"/>
        <w:jc w:val="both"/>
        <w:rPr>
          <w:rStyle w:val="Hyperlink"/>
          <w:rFonts w:ascii="Arial" w:hAnsi="Arial" w:cs="Arial"/>
          <w:color w:val="000000" w:themeColor="text1"/>
          <w:sz w:val="20"/>
          <w:szCs w:val="20"/>
          <w:u w:val="none"/>
        </w:rPr>
      </w:pPr>
    </w:p>
    <w:p w:rsidR="007440B7" w:rsidRDefault="007440B7" w:rsidP="00B2579E">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A proposta de voto, acolhida por unanimidade, foi no sentido da emissão de Parecer Prévio pela irregularidade deste apontamento e aplicação da multa do art.87, IV, “g”, da Lei Orgânica deste Tribunal, ao gestor.  </w:t>
      </w:r>
    </w:p>
    <w:p w:rsidR="007440B7" w:rsidRDefault="007440B7" w:rsidP="00B2579E">
      <w:pPr>
        <w:spacing w:after="0"/>
        <w:jc w:val="both"/>
        <w:rPr>
          <w:rStyle w:val="Hyperlink"/>
          <w:rFonts w:ascii="Arial" w:hAnsi="Arial" w:cs="Arial"/>
          <w:color w:val="000000" w:themeColor="text1"/>
          <w:sz w:val="20"/>
          <w:szCs w:val="20"/>
          <w:u w:val="none"/>
        </w:rPr>
      </w:pPr>
    </w:p>
    <w:p w:rsidR="007440B7" w:rsidRDefault="007440B7" w:rsidP="00B2579E">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Processo nº 179273/15 – </w:t>
      </w:r>
      <w:hyperlink r:id="rId11" w:history="1">
        <w:r w:rsidRPr="00BE4080">
          <w:rPr>
            <w:rStyle w:val="Hyperlink"/>
            <w:rFonts w:ascii="Arial" w:hAnsi="Arial" w:cs="Arial"/>
            <w:sz w:val="20"/>
            <w:szCs w:val="20"/>
          </w:rPr>
          <w:t>Acórdão de Parecer Prévio  nº  199/18-</w:t>
        </w:r>
        <w:r>
          <w:rPr>
            <w:rStyle w:val="Hyperlink"/>
            <w:rFonts w:ascii="Arial" w:hAnsi="Arial" w:cs="Arial"/>
            <w:sz w:val="20"/>
            <w:szCs w:val="20"/>
          </w:rPr>
          <w:t xml:space="preserve"> Segunda</w:t>
        </w:r>
        <w:r w:rsidRPr="00BE4080">
          <w:rPr>
            <w:rStyle w:val="Hyperlink"/>
            <w:rFonts w:ascii="Arial" w:hAnsi="Arial" w:cs="Arial"/>
            <w:sz w:val="20"/>
            <w:szCs w:val="20"/>
          </w:rPr>
          <w:t xml:space="preserve"> Câmara</w:t>
        </w:r>
      </w:hyperlink>
      <w:r>
        <w:rPr>
          <w:rStyle w:val="Hyperlink"/>
          <w:rFonts w:ascii="Arial" w:hAnsi="Arial" w:cs="Arial"/>
          <w:color w:val="000000" w:themeColor="text1"/>
          <w:sz w:val="20"/>
          <w:szCs w:val="20"/>
          <w:u w:val="none"/>
        </w:rPr>
        <w:t xml:space="preserve"> – Relator Conselheiro Ivens </w:t>
      </w:r>
      <w:proofErr w:type="spellStart"/>
      <w:r>
        <w:rPr>
          <w:rStyle w:val="Hyperlink"/>
          <w:rFonts w:ascii="Arial" w:hAnsi="Arial" w:cs="Arial"/>
          <w:color w:val="000000" w:themeColor="text1"/>
          <w:sz w:val="20"/>
          <w:szCs w:val="20"/>
          <w:u w:val="none"/>
        </w:rPr>
        <w:t>Zschoerper</w:t>
      </w:r>
      <w:proofErr w:type="spellEnd"/>
      <w:r>
        <w:rPr>
          <w:rStyle w:val="Hyperlink"/>
          <w:rFonts w:ascii="Arial" w:hAnsi="Arial" w:cs="Arial"/>
          <w:color w:val="000000" w:themeColor="text1"/>
          <w:sz w:val="20"/>
          <w:szCs w:val="20"/>
          <w:u w:val="none"/>
        </w:rPr>
        <w:t xml:space="preserve"> Linhares. </w:t>
      </w:r>
    </w:p>
    <w:p w:rsidR="00785DB0" w:rsidRDefault="00785DB0" w:rsidP="00816942">
      <w:pPr>
        <w:autoSpaceDE w:val="0"/>
        <w:autoSpaceDN w:val="0"/>
        <w:adjustRightInd w:val="0"/>
        <w:spacing w:after="0"/>
        <w:rPr>
          <w:rFonts w:ascii="Arial" w:hAnsi="Arial" w:cs="Arial"/>
          <w:sz w:val="20"/>
          <w:szCs w:val="20"/>
        </w:rPr>
      </w:pPr>
    </w:p>
    <w:p w:rsidR="006D158F" w:rsidRDefault="006D158F" w:rsidP="006D158F">
      <w:pPr>
        <w:autoSpaceDE w:val="0"/>
        <w:autoSpaceDN w:val="0"/>
        <w:adjustRightInd w:val="0"/>
        <w:spacing w:after="0"/>
        <w:jc w:val="both"/>
        <w:rPr>
          <w:rFonts w:ascii="Arial" w:hAnsi="Arial" w:cs="Arial"/>
          <w:sz w:val="20"/>
          <w:szCs w:val="20"/>
        </w:rPr>
      </w:pPr>
    </w:p>
    <w:p w:rsidR="00AE4F42" w:rsidRPr="0022060B" w:rsidRDefault="00AE4F42" w:rsidP="00B2579E">
      <w:pPr>
        <w:shd w:val="pct10" w:color="auto" w:fill="auto"/>
        <w:spacing w:after="120"/>
        <w:jc w:val="center"/>
        <w:rPr>
          <w:rFonts w:ascii="Arial" w:hAnsi="Arial" w:cs="Arial"/>
          <w:b/>
          <w:sz w:val="20"/>
          <w:szCs w:val="20"/>
        </w:rPr>
      </w:pPr>
      <w:r w:rsidRPr="0022060B">
        <w:rPr>
          <w:rFonts w:ascii="Arial" w:hAnsi="Arial" w:cs="Arial"/>
          <w:b/>
          <w:sz w:val="20"/>
          <w:szCs w:val="20"/>
        </w:rPr>
        <w:t>TRIBUNAL PLENO</w:t>
      </w:r>
    </w:p>
    <w:p w:rsidR="00043AF6" w:rsidRPr="007A34F4" w:rsidRDefault="007440B7" w:rsidP="00B2579E">
      <w:pPr>
        <w:autoSpaceDE w:val="0"/>
        <w:autoSpaceDN w:val="0"/>
        <w:adjustRightInd w:val="0"/>
        <w:spacing w:after="0"/>
        <w:jc w:val="both"/>
        <w:rPr>
          <w:rFonts w:ascii="Arial" w:hAnsi="Arial" w:cs="Arial"/>
          <w:b/>
          <w:sz w:val="20"/>
          <w:szCs w:val="20"/>
        </w:rPr>
      </w:pPr>
      <w:r>
        <w:rPr>
          <w:rFonts w:ascii="Arial" w:hAnsi="Arial" w:cs="Arial"/>
          <w:b/>
          <w:sz w:val="20"/>
          <w:szCs w:val="20"/>
        </w:rPr>
        <w:t xml:space="preserve">5. </w:t>
      </w:r>
      <w:r w:rsidR="00043AF6" w:rsidRPr="007A34F4">
        <w:rPr>
          <w:rFonts w:ascii="Arial" w:hAnsi="Arial" w:cs="Arial"/>
          <w:b/>
          <w:sz w:val="20"/>
          <w:szCs w:val="20"/>
        </w:rPr>
        <w:t>Recurso de Revisão. Reconhecimento do interesse e da legitimidade recursal do Prefeito, na condição de ordenador de despesas e assistente litisconsorcial da entidade tomadora dos recursos.</w:t>
      </w:r>
    </w:p>
    <w:p w:rsidR="007A6525" w:rsidRPr="007A34F4" w:rsidRDefault="007A6525" w:rsidP="00B2579E">
      <w:pPr>
        <w:autoSpaceDE w:val="0"/>
        <w:autoSpaceDN w:val="0"/>
        <w:adjustRightInd w:val="0"/>
        <w:spacing w:after="0"/>
        <w:jc w:val="both"/>
        <w:rPr>
          <w:rFonts w:ascii="Arial" w:hAnsi="Arial" w:cs="Arial"/>
          <w:b/>
          <w:sz w:val="20"/>
          <w:szCs w:val="20"/>
        </w:rPr>
      </w:pPr>
    </w:p>
    <w:p w:rsidR="007A34F4" w:rsidRPr="007A34F4" w:rsidRDefault="007A34F4" w:rsidP="00B2579E">
      <w:pPr>
        <w:autoSpaceDE w:val="0"/>
        <w:autoSpaceDN w:val="0"/>
        <w:adjustRightInd w:val="0"/>
        <w:spacing w:after="0"/>
        <w:jc w:val="both"/>
        <w:rPr>
          <w:rFonts w:ascii="Arial" w:hAnsi="Arial" w:cs="Arial"/>
          <w:sz w:val="20"/>
          <w:szCs w:val="20"/>
        </w:rPr>
      </w:pPr>
      <w:r w:rsidRPr="007A34F4">
        <w:rPr>
          <w:rFonts w:ascii="Arial" w:hAnsi="Arial" w:cs="Arial"/>
          <w:sz w:val="20"/>
          <w:szCs w:val="20"/>
        </w:rPr>
        <w:t>Do ponto de vista material, na qualidade de ordenador da despesa, nos termos do art. 347, I, do Regimento Interno, o recorrente, Prefeito Municipal à época, participou das irregularidades apontadas, na medida em que teria autorizado os repasses e deixado de verificar a regularidade das contas prestadas pela entidade tomadora.</w:t>
      </w:r>
    </w:p>
    <w:p w:rsidR="007A34F4" w:rsidRPr="007A34F4" w:rsidRDefault="007A34F4" w:rsidP="00B2579E">
      <w:pPr>
        <w:autoSpaceDE w:val="0"/>
        <w:autoSpaceDN w:val="0"/>
        <w:adjustRightInd w:val="0"/>
        <w:spacing w:after="0"/>
        <w:jc w:val="both"/>
        <w:rPr>
          <w:rFonts w:ascii="Arial" w:hAnsi="Arial" w:cs="Arial"/>
          <w:sz w:val="20"/>
          <w:szCs w:val="20"/>
        </w:rPr>
      </w:pPr>
    </w:p>
    <w:p w:rsidR="007A6525" w:rsidRPr="007A34F4" w:rsidRDefault="007A34F4" w:rsidP="00B2579E">
      <w:pPr>
        <w:autoSpaceDE w:val="0"/>
        <w:autoSpaceDN w:val="0"/>
        <w:adjustRightInd w:val="0"/>
        <w:spacing w:after="0"/>
        <w:jc w:val="both"/>
        <w:rPr>
          <w:rFonts w:ascii="Arial" w:hAnsi="Arial" w:cs="Arial"/>
          <w:sz w:val="20"/>
          <w:szCs w:val="20"/>
        </w:rPr>
      </w:pPr>
      <w:r w:rsidRPr="007A34F4">
        <w:rPr>
          <w:rFonts w:ascii="Arial" w:hAnsi="Arial" w:cs="Arial"/>
          <w:sz w:val="20"/>
          <w:szCs w:val="20"/>
        </w:rPr>
        <w:t xml:space="preserve">Essa situação, de omissão no exercício de suas competências, ainda que não seja, em princípio, objeto de sancionamento específico nesta Corte, nessas condições, em corroboração à sua condição de ordenador de despesa e administrador de recursos públicos, que, por si só, lhe conferia legitimidade recursal, pode-se presumir que o gestor estaria atuando em favor da própria entidade tomadora dos recursos, que havia prestado serviços ao Município, pode repercutir em sua esfera jurídica em outros procedimentos que tratem da matéria promovidos pelos demais órgãos de controle, notadamente, Ministério Público Estadual e Poder Judiciário. </w:t>
      </w:r>
    </w:p>
    <w:p w:rsidR="007A34F4" w:rsidRDefault="007A34F4" w:rsidP="00B2579E">
      <w:pPr>
        <w:autoSpaceDE w:val="0"/>
        <w:autoSpaceDN w:val="0"/>
        <w:adjustRightInd w:val="0"/>
        <w:spacing w:after="0"/>
        <w:jc w:val="both"/>
        <w:rPr>
          <w:rFonts w:ascii="Arial" w:hAnsi="Arial" w:cs="Arial"/>
          <w:color w:val="000000"/>
          <w:sz w:val="20"/>
          <w:szCs w:val="20"/>
        </w:rPr>
      </w:pPr>
    </w:p>
    <w:p w:rsidR="007A34F4" w:rsidRPr="007A34F4" w:rsidRDefault="007A34F4" w:rsidP="00B2579E">
      <w:pPr>
        <w:autoSpaceDE w:val="0"/>
        <w:autoSpaceDN w:val="0"/>
        <w:adjustRightInd w:val="0"/>
        <w:spacing w:after="0"/>
        <w:jc w:val="both"/>
        <w:rPr>
          <w:rFonts w:ascii="Arial" w:hAnsi="Arial" w:cs="Arial"/>
          <w:color w:val="000000"/>
          <w:sz w:val="20"/>
          <w:szCs w:val="20"/>
        </w:rPr>
      </w:pPr>
      <w:r w:rsidRPr="007A34F4">
        <w:rPr>
          <w:rFonts w:ascii="Arial" w:hAnsi="Arial" w:cs="Arial"/>
          <w:color w:val="000000"/>
          <w:sz w:val="20"/>
          <w:szCs w:val="20"/>
        </w:rPr>
        <w:lastRenderedPageBreak/>
        <w:t xml:space="preserve">Nessas condições, em corroboração à sua condição de ordenador de despesa e administrador de recursos públicos, que, por si só, lhe conferia legitimidade recursal, pode-se presumir que o gestor estaria atuando em favor da própria entidade tomadora dos recursos, que havia prestado serviços ao Município, na condição de assistente litisconsorcial, de que tratam os </w:t>
      </w:r>
      <w:proofErr w:type="spellStart"/>
      <w:r w:rsidRPr="007A34F4">
        <w:rPr>
          <w:rFonts w:ascii="Arial" w:hAnsi="Arial" w:cs="Arial"/>
          <w:color w:val="000000"/>
          <w:sz w:val="20"/>
          <w:szCs w:val="20"/>
        </w:rPr>
        <w:t>arts</w:t>
      </w:r>
      <w:proofErr w:type="spellEnd"/>
      <w:r w:rsidRPr="007A34F4">
        <w:rPr>
          <w:rFonts w:ascii="Arial" w:hAnsi="Arial" w:cs="Arial"/>
          <w:color w:val="000000"/>
          <w:sz w:val="20"/>
          <w:szCs w:val="20"/>
        </w:rPr>
        <w:t>. 119 e 124 do Novo Código de Processo Civil.</w:t>
      </w:r>
    </w:p>
    <w:p w:rsidR="007A34F4" w:rsidRPr="007A34F4" w:rsidRDefault="007A34F4" w:rsidP="00B2579E">
      <w:pPr>
        <w:autoSpaceDE w:val="0"/>
        <w:autoSpaceDN w:val="0"/>
        <w:adjustRightInd w:val="0"/>
        <w:spacing w:after="0"/>
        <w:jc w:val="both"/>
        <w:rPr>
          <w:rFonts w:ascii="Arial" w:hAnsi="Arial" w:cs="Arial"/>
          <w:color w:val="000000"/>
          <w:sz w:val="20"/>
          <w:szCs w:val="20"/>
        </w:rPr>
      </w:pPr>
    </w:p>
    <w:p w:rsidR="007A34F4" w:rsidRDefault="007A34F4" w:rsidP="00B2579E">
      <w:pPr>
        <w:autoSpaceDE w:val="0"/>
        <w:autoSpaceDN w:val="0"/>
        <w:adjustRightInd w:val="0"/>
        <w:spacing w:after="0"/>
        <w:jc w:val="both"/>
        <w:rPr>
          <w:rFonts w:ascii="Arial" w:hAnsi="Arial" w:cs="Arial"/>
          <w:sz w:val="20"/>
          <w:szCs w:val="20"/>
        </w:rPr>
      </w:pPr>
      <w:r>
        <w:rPr>
          <w:rFonts w:ascii="Arial" w:hAnsi="Arial" w:cs="Arial"/>
          <w:color w:val="000000"/>
          <w:sz w:val="20"/>
          <w:szCs w:val="20"/>
        </w:rPr>
        <w:t>Pontua-se que n</w:t>
      </w:r>
      <w:r w:rsidRPr="007A34F4">
        <w:rPr>
          <w:rFonts w:ascii="Arial" w:hAnsi="Arial" w:cs="Arial"/>
          <w:color w:val="000000"/>
          <w:sz w:val="20"/>
          <w:szCs w:val="20"/>
        </w:rPr>
        <w:t xml:space="preserve">a prática </w:t>
      </w:r>
      <w:r>
        <w:rPr>
          <w:rFonts w:ascii="Arial" w:hAnsi="Arial" w:cs="Arial"/>
          <w:color w:val="000000"/>
          <w:sz w:val="20"/>
          <w:szCs w:val="20"/>
        </w:rPr>
        <w:t xml:space="preserve">ocorreu real </w:t>
      </w:r>
      <w:r>
        <w:rPr>
          <w:rFonts w:ascii="Arial" w:hAnsi="Arial" w:cs="Arial"/>
          <w:sz w:val="20"/>
          <w:szCs w:val="20"/>
        </w:rPr>
        <w:t xml:space="preserve">dificuldade de </w:t>
      </w:r>
      <w:r w:rsidRPr="007A34F4">
        <w:rPr>
          <w:rFonts w:ascii="Arial" w:hAnsi="Arial" w:cs="Arial"/>
          <w:sz w:val="20"/>
          <w:szCs w:val="20"/>
        </w:rPr>
        <w:t>promoção das defesas</w:t>
      </w:r>
      <w:r>
        <w:rPr>
          <w:rFonts w:ascii="Arial" w:hAnsi="Arial" w:cs="Arial"/>
          <w:sz w:val="20"/>
          <w:szCs w:val="20"/>
        </w:rPr>
        <w:t xml:space="preserve"> </w:t>
      </w:r>
      <w:r w:rsidRPr="007A34F4">
        <w:rPr>
          <w:rFonts w:ascii="Arial" w:hAnsi="Arial" w:cs="Arial"/>
          <w:sz w:val="20"/>
          <w:szCs w:val="20"/>
        </w:rPr>
        <w:t xml:space="preserve">pelas </w:t>
      </w:r>
      <w:proofErr w:type="spellStart"/>
      <w:r w:rsidRPr="007A34F4">
        <w:rPr>
          <w:rFonts w:ascii="Arial" w:hAnsi="Arial" w:cs="Arial"/>
          <w:sz w:val="20"/>
          <w:szCs w:val="20"/>
        </w:rPr>
        <w:t>ex-gestoras</w:t>
      </w:r>
      <w:proofErr w:type="spellEnd"/>
      <w:r w:rsidRPr="007A34F4">
        <w:rPr>
          <w:rFonts w:ascii="Arial" w:hAnsi="Arial" w:cs="Arial"/>
          <w:sz w:val="20"/>
          <w:szCs w:val="20"/>
        </w:rPr>
        <w:t>, o que corrobora a solução ora proposta, sob o ponto de vista da</w:t>
      </w:r>
      <w:r>
        <w:rPr>
          <w:rFonts w:ascii="Arial" w:hAnsi="Arial" w:cs="Arial"/>
          <w:sz w:val="20"/>
          <w:szCs w:val="20"/>
        </w:rPr>
        <w:t xml:space="preserve"> </w:t>
      </w:r>
      <w:r w:rsidRPr="007A34F4">
        <w:rPr>
          <w:rFonts w:ascii="Arial" w:hAnsi="Arial" w:cs="Arial"/>
          <w:sz w:val="20"/>
          <w:szCs w:val="20"/>
        </w:rPr>
        <w:t>instrumentalidade das formas.</w:t>
      </w:r>
      <w:r>
        <w:rPr>
          <w:rFonts w:ascii="Arial" w:hAnsi="Arial" w:cs="Arial"/>
          <w:sz w:val="20"/>
          <w:szCs w:val="20"/>
        </w:rPr>
        <w:t xml:space="preserve"> </w:t>
      </w:r>
      <w:r w:rsidR="00AB4CB4">
        <w:rPr>
          <w:rFonts w:ascii="Arial" w:hAnsi="Arial" w:cs="Arial"/>
          <w:sz w:val="20"/>
          <w:szCs w:val="20"/>
        </w:rPr>
        <w:t>Reconhece-se</w:t>
      </w:r>
      <w:r>
        <w:rPr>
          <w:rFonts w:ascii="Arial" w:hAnsi="Arial" w:cs="Arial"/>
          <w:sz w:val="20"/>
          <w:szCs w:val="20"/>
        </w:rPr>
        <w:t xml:space="preserve">, assim, </w:t>
      </w:r>
      <w:r w:rsidRPr="007A34F4">
        <w:rPr>
          <w:rFonts w:ascii="Arial" w:hAnsi="Arial" w:cs="Arial"/>
          <w:sz w:val="20"/>
          <w:szCs w:val="20"/>
        </w:rPr>
        <w:t>ao recorrente legitimidade e interesse pela condição de ordenador</w:t>
      </w:r>
      <w:r>
        <w:rPr>
          <w:rFonts w:ascii="Arial" w:hAnsi="Arial" w:cs="Arial"/>
          <w:sz w:val="20"/>
          <w:szCs w:val="20"/>
        </w:rPr>
        <w:t xml:space="preserve"> </w:t>
      </w:r>
      <w:r w:rsidRPr="007A34F4">
        <w:rPr>
          <w:rFonts w:ascii="Arial" w:hAnsi="Arial" w:cs="Arial"/>
          <w:sz w:val="20"/>
          <w:szCs w:val="20"/>
        </w:rPr>
        <w:t>da despesa e de assistente litisconsorcial da entidade tomadora dos recursos</w:t>
      </w:r>
      <w:r>
        <w:rPr>
          <w:rFonts w:ascii="Arial" w:hAnsi="Arial" w:cs="Arial"/>
          <w:sz w:val="20"/>
          <w:szCs w:val="20"/>
        </w:rPr>
        <w:t>.</w:t>
      </w:r>
    </w:p>
    <w:p w:rsidR="007A34F4" w:rsidRDefault="007A34F4" w:rsidP="00B2579E">
      <w:pPr>
        <w:autoSpaceDE w:val="0"/>
        <w:autoSpaceDN w:val="0"/>
        <w:adjustRightInd w:val="0"/>
        <w:spacing w:after="0"/>
        <w:jc w:val="both"/>
        <w:rPr>
          <w:rFonts w:ascii="Arial" w:hAnsi="Arial" w:cs="Arial"/>
          <w:sz w:val="20"/>
          <w:szCs w:val="20"/>
        </w:rPr>
      </w:pPr>
    </w:p>
    <w:p w:rsidR="00AB4CB4" w:rsidRDefault="002F35E7" w:rsidP="00B2579E">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89927/16 - </w:t>
      </w:r>
      <w:hyperlink r:id="rId12" w:history="1">
        <w:r w:rsidRPr="00BB1E07">
          <w:rPr>
            <w:rStyle w:val="Hyperlink"/>
            <w:rFonts w:ascii="Arial" w:hAnsi="Arial" w:cs="Arial"/>
            <w:sz w:val="20"/>
            <w:szCs w:val="20"/>
          </w:rPr>
          <w:t>Acórdão n° 1744/18 - Tribunal Pleno</w:t>
        </w:r>
      </w:hyperlink>
      <w:r>
        <w:rPr>
          <w:rFonts w:ascii="Arial" w:hAnsi="Arial" w:cs="Arial"/>
          <w:sz w:val="20"/>
          <w:szCs w:val="20"/>
        </w:rPr>
        <w:t xml:space="preserve"> - Rel. Cons. Ivens Zschoerper Linhares. </w:t>
      </w:r>
    </w:p>
    <w:p w:rsidR="00B469B0" w:rsidRDefault="00B469B0" w:rsidP="00B2579E">
      <w:pPr>
        <w:autoSpaceDE w:val="0"/>
        <w:autoSpaceDN w:val="0"/>
        <w:adjustRightInd w:val="0"/>
        <w:spacing w:after="0"/>
        <w:jc w:val="both"/>
        <w:rPr>
          <w:rFonts w:ascii="Arial" w:hAnsi="Arial" w:cs="Arial"/>
          <w:sz w:val="20"/>
          <w:szCs w:val="20"/>
        </w:rPr>
      </w:pPr>
    </w:p>
    <w:p w:rsidR="00B469B0" w:rsidRPr="00B469B0" w:rsidRDefault="007440B7" w:rsidP="00B2579E">
      <w:pPr>
        <w:autoSpaceDE w:val="0"/>
        <w:autoSpaceDN w:val="0"/>
        <w:adjustRightInd w:val="0"/>
        <w:spacing w:after="0"/>
        <w:jc w:val="both"/>
        <w:rPr>
          <w:rFonts w:ascii="Arial" w:hAnsi="Arial" w:cs="Arial"/>
          <w:b/>
          <w:sz w:val="20"/>
          <w:szCs w:val="20"/>
        </w:rPr>
      </w:pPr>
      <w:r>
        <w:rPr>
          <w:rFonts w:ascii="Arial" w:hAnsi="Arial" w:cs="Arial"/>
          <w:b/>
          <w:sz w:val="20"/>
          <w:szCs w:val="20"/>
        </w:rPr>
        <w:t xml:space="preserve">6. </w:t>
      </w:r>
      <w:r w:rsidR="00B469B0" w:rsidRPr="00B469B0">
        <w:rPr>
          <w:rFonts w:ascii="Arial" w:hAnsi="Arial" w:cs="Arial"/>
          <w:b/>
          <w:sz w:val="20"/>
          <w:szCs w:val="20"/>
        </w:rPr>
        <w:t>Representação da Lei n° 8.666/1993. Legalidade da exigência da integralidade dos tributos federais, estaduais e municipais, em cumprimento ao artigo 29, III da Lei n.º 8.666/93.</w:t>
      </w:r>
    </w:p>
    <w:p w:rsidR="00B469B0" w:rsidRDefault="00B469B0" w:rsidP="00B2579E">
      <w:pPr>
        <w:autoSpaceDE w:val="0"/>
        <w:autoSpaceDN w:val="0"/>
        <w:adjustRightInd w:val="0"/>
        <w:spacing w:after="0"/>
        <w:jc w:val="both"/>
        <w:rPr>
          <w:rFonts w:ascii="Arial" w:hAnsi="Arial" w:cs="Arial"/>
          <w:b/>
          <w:sz w:val="20"/>
          <w:szCs w:val="20"/>
        </w:rPr>
      </w:pPr>
    </w:p>
    <w:p w:rsidR="00203F0B" w:rsidRDefault="00E7438A" w:rsidP="00B2579E">
      <w:pPr>
        <w:autoSpaceDE w:val="0"/>
        <w:autoSpaceDN w:val="0"/>
        <w:adjustRightInd w:val="0"/>
        <w:spacing w:after="0"/>
        <w:jc w:val="both"/>
        <w:rPr>
          <w:rFonts w:ascii="Arial" w:hAnsi="Arial" w:cs="Arial"/>
          <w:sz w:val="20"/>
          <w:szCs w:val="20"/>
        </w:rPr>
      </w:pPr>
      <w:r w:rsidRPr="00203F0B">
        <w:rPr>
          <w:rFonts w:ascii="Arial" w:hAnsi="Arial" w:cs="Arial"/>
          <w:sz w:val="20"/>
          <w:szCs w:val="20"/>
        </w:rPr>
        <w:t xml:space="preserve">A </w:t>
      </w:r>
      <w:r w:rsidRPr="00203F0B">
        <w:rPr>
          <w:rFonts w:ascii="Arial" w:hAnsi="Arial" w:cs="Arial"/>
          <w:bCs/>
          <w:sz w:val="20"/>
          <w:szCs w:val="20"/>
        </w:rPr>
        <w:t xml:space="preserve">exigência de comprovação de regularidade fiscal </w:t>
      </w:r>
      <w:r w:rsidRPr="00203F0B">
        <w:rPr>
          <w:rFonts w:ascii="Arial" w:hAnsi="Arial" w:cs="Arial"/>
          <w:sz w:val="20"/>
          <w:szCs w:val="20"/>
        </w:rPr>
        <w:t>relativa a</w:t>
      </w:r>
      <w:r w:rsidR="00203F0B">
        <w:rPr>
          <w:rFonts w:ascii="Arial" w:hAnsi="Arial" w:cs="Arial"/>
          <w:sz w:val="20"/>
          <w:szCs w:val="20"/>
        </w:rPr>
        <w:t xml:space="preserve"> </w:t>
      </w:r>
      <w:r w:rsidRPr="00203F0B">
        <w:rPr>
          <w:rFonts w:ascii="Arial" w:hAnsi="Arial" w:cs="Arial"/>
          <w:sz w:val="20"/>
          <w:szCs w:val="20"/>
        </w:rPr>
        <w:t>tributos federais, estaduais e municipais é legítima, nos termos do art. 29, III da Lei</w:t>
      </w:r>
      <w:r w:rsidR="00203F0B">
        <w:rPr>
          <w:rFonts w:ascii="Arial" w:hAnsi="Arial" w:cs="Arial"/>
          <w:sz w:val="20"/>
          <w:szCs w:val="20"/>
        </w:rPr>
        <w:t xml:space="preserve"> </w:t>
      </w:r>
      <w:r w:rsidRPr="00203F0B">
        <w:rPr>
          <w:rFonts w:ascii="Arial" w:hAnsi="Arial" w:cs="Arial"/>
          <w:sz w:val="20"/>
          <w:szCs w:val="20"/>
        </w:rPr>
        <w:t>n.º 8.666/93. Em nenhum momento foi exigida a quitação de tributos, apenas a</w:t>
      </w:r>
      <w:r w:rsidR="00203F0B">
        <w:rPr>
          <w:rFonts w:ascii="Arial" w:hAnsi="Arial" w:cs="Arial"/>
          <w:sz w:val="20"/>
          <w:szCs w:val="20"/>
        </w:rPr>
        <w:t xml:space="preserve"> </w:t>
      </w:r>
      <w:r w:rsidRPr="00203F0B">
        <w:rPr>
          <w:rFonts w:ascii="Arial" w:hAnsi="Arial" w:cs="Arial"/>
          <w:sz w:val="20"/>
          <w:szCs w:val="20"/>
        </w:rPr>
        <w:t xml:space="preserve">prova de sua </w:t>
      </w:r>
      <w:r w:rsidRPr="00203F0B">
        <w:rPr>
          <w:rFonts w:ascii="Arial" w:hAnsi="Arial" w:cs="Arial"/>
          <w:bCs/>
          <w:sz w:val="20"/>
          <w:szCs w:val="20"/>
        </w:rPr>
        <w:t>regularidade</w:t>
      </w:r>
      <w:r w:rsidRPr="00203F0B">
        <w:rPr>
          <w:rFonts w:ascii="Arial" w:hAnsi="Arial" w:cs="Arial"/>
          <w:sz w:val="20"/>
          <w:szCs w:val="20"/>
        </w:rPr>
        <w:t>.</w:t>
      </w:r>
      <w:r w:rsidR="00203F0B">
        <w:rPr>
          <w:rFonts w:ascii="Arial" w:hAnsi="Arial" w:cs="Arial"/>
          <w:sz w:val="20"/>
          <w:szCs w:val="20"/>
        </w:rPr>
        <w:t xml:space="preserve"> </w:t>
      </w:r>
    </w:p>
    <w:p w:rsidR="00203F0B" w:rsidRDefault="00203F0B" w:rsidP="00B2579E">
      <w:pPr>
        <w:autoSpaceDE w:val="0"/>
        <w:autoSpaceDN w:val="0"/>
        <w:adjustRightInd w:val="0"/>
        <w:spacing w:after="0"/>
        <w:jc w:val="both"/>
        <w:rPr>
          <w:rFonts w:ascii="Arial" w:hAnsi="Arial" w:cs="Arial"/>
          <w:sz w:val="20"/>
          <w:szCs w:val="20"/>
        </w:rPr>
      </w:pPr>
    </w:p>
    <w:p w:rsidR="00E7438A" w:rsidRDefault="00E7438A" w:rsidP="00B2579E">
      <w:pPr>
        <w:autoSpaceDE w:val="0"/>
        <w:autoSpaceDN w:val="0"/>
        <w:adjustRightInd w:val="0"/>
        <w:spacing w:after="0"/>
        <w:jc w:val="both"/>
        <w:rPr>
          <w:rFonts w:ascii="Arial" w:hAnsi="Arial" w:cs="Arial"/>
          <w:i/>
          <w:iCs/>
          <w:sz w:val="20"/>
          <w:szCs w:val="20"/>
        </w:rPr>
      </w:pPr>
      <w:r w:rsidRPr="00203F0B">
        <w:rPr>
          <w:rFonts w:ascii="Arial" w:hAnsi="Arial" w:cs="Arial"/>
          <w:sz w:val="20"/>
          <w:szCs w:val="20"/>
        </w:rPr>
        <w:t>Neste sentido, o Tribunal de Contas da União já se manifestou,</w:t>
      </w:r>
      <w:r w:rsidR="00203F0B">
        <w:rPr>
          <w:rFonts w:ascii="Arial" w:hAnsi="Arial" w:cs="Arial"/>
          <w:sz w:val="20"/>
          <w:szCs w:val="20"/>
        </w:rPr>
        <w:t xml:space="preserve"> </w:t>
      </w:r>
      <w:r w:rsidRPr="00203F0B">
        <w:rPr>
          <w:rFonts w:ascii="Arial" w:hAnsi="Arial" w:cs="Arial"/>
          <w:sz w:val="20"/>
          <w:szCs w:val="20"/>
        </w:rPr>
        <w:t>como bem ressaltado pelos interessados:</w:t>
      </w:r>
      <w:r w:rsidR="00203F0B">
        <w:rPr>
          <w:rFonts w:ascii="Arial" w:hAnsi="Arial" w:cs="Arial"/>
          <w:sz w:val="20"/>
          <w:szCs w:val="20"/>
        </w:rPr>
        <w:t xml:space="preserve"> </w:t>
      </w:r>
      <w:r w:rsidRPr="00203F0B">
        <w:rPr>
          <w:rFonts w:ascii="Arial" w:hAnsi="Arial" w:cs="Arial"/>
          <w:i/>
          <w:iCs/>
          <w:sz w:val="20"/>
          <w:szCs w:val="20"/>
        </w:rPr>
        <w:t>“os editais de licitação devem exigir que cada licitante</w:t>
      </w:r>
      <w:r w:rsidR="00203F0B">
        <w:rPr>
          <w:rFonts w:ascii="Arial" w:hAnsi="Arial" w:cs="Arial"/>
          <w:i/>
          <w:iCs/>
          <w:sz w:val="20"/>
          <w:szCs w:val="20"/>
        </w:rPr>
        <w:t xml:space="preserve"> </w:t>
      </w:r>
      <w:r w:rsidRPr="00203F0B">
        <w:rPr>
          <w:rFonts w:ascii="Arial" w:hAnsi="Arial" w:cs="Arial"/>
          <w:i/>
          <w:iCs/>
          <w:sz w:val="20"/>
          <w:szCs w:val="20"/>
        </w:rPr>
        <w:t>apresente certidão atualizada sobre sua situação tributária, relativamente</w:t>
      </w:r>
      <w:r w:rsidR="00203F0B">
        <w:rPr>
          <w:rFonts w:ascii="Arial" w:hAnsi="Arial" w:cs="Arial"/>
          <w:i/>
          <w:iCs/>
          <w:sz w:val="20"/>
          <w:szCs w:val="20"/>
        </w:rPr>
        <w:t xml:space="preserve"> </w:t>
      </w:r>
      <w:r w:rsidRPr="00203F0B">
        <w:rPr>
          <w:rFonts w:ascii="Arial" w:hAnsi="Arial" w:cs="Arial"/>
          <w:i/>
          <w:iCs/>
          <w:sz w:val="20"/>
          <w:szCs w:val="20"/>
        </w:rPr>
        <w:t>às alíquotas dos impostos, taxas, contribuições que acompanham sua</w:t>
      </w:r>
      <w:r w:rsidR="00203F0B">
        <w:rPr>
          <w:rFonts w:ascii="Arial" w:hAnsi="Arial" w:cs="Arial"/>
          <w:i/>
          <w:iCs/>
          <w:sz w:val="20"/>
          <w:szCs w:val="20"/>
        </w:rPr>
        <w:t xml:space="preserve"> </w:t>
      </w:r>
      <w:r w:rsidRPr="00203F0B">
        <w:rPr>
          <w:rFonts w:ascii="Arial" w:hAnsi="Arial" w:cs="Arial"/>
          <w:i/>
          <w:iCs/>
          <w:sz w:val="20"/>
          <w:szCs w:val="20"/>
        </w:rPr>
        <w:t>proposta de preço, com o fim de verificar a conformidade entre o que é</w:t>
      </w:r>
      <w:r w:rsidR="00203F0B">
        <w:rPr>
          <w:rFonts w:ascii="Arial" w:hAnsi="Arial" w:cs="Arial"/>
          <w:i/>
          <w:iCs/>
          <w:sz w:val="20"/>
          <w:szCs w:val="20"/>
        </w:rPr>
        <w:t xml:space="preserve"> </w:t>
      </w:r>
      <w:r w:rsidRPr="00203F0B">
        <w:rPr>
          <w:rFonts w:ascii="Arial" w:hAnsi="Arial" w:cs="Arial"/>
          <w:i/>
          <w:iCs/>
          <w:sz w:val="20"/>
          <w:szCs w:val="20"/>
        </w:rPr>
        <w:t>cobrado e o que é efetivamente transferido ao fisco. (TCU, Decisões:</w:t>
      </w:r>
      <w:r w:rsidR="00203F0B">
        <w:rPr>
          <w:rFonts w:ascii="Arial" w:hAnsi="Arial" w:cs="Arial"/>
          <w:i/>
          <w:iCs/>
          <w:sz w:val="20"/>
          <w:szCs w:val="20"/>
        </w:rPr>
        <w:t xml:space="preserve"> </w:t>
      </w:r>
      <w:r w:rsidRPr="00203F0B">
        <w:rPr>
          <w:rFonts w:ascii="Arial" w:hAnsi="Arial" w:cs="Arial"/>
          <w:i/>
          <w:iCs/>
          <w:sz w:val="20"/>
          <w:szCs w:val="20"/>
        </w:rPr>
        <w:t>640/01; 88/02; 1419/02)”</w:t>
      </w:r>
    </w:p>
    <w:p w:rsidR="00203F0B" w:rsidRPr="00203F0B" w:rsidRDefault="00203F0B" w:rsidP="00B2579E">
      <w:pPr>
        <w:autoSpaceDE w:val="0"/>
        <w:autoSpaceDN w:val="0"/>
        <w:adjustRightInd w:val="0"/>
        <w:spacing w:after="0"/>
        <w:jc w:val="both"/>
        <w:rPr>
          <w:rFonts w:ascii="Arial" w:hAnsi="Arial" w:cs="Arial"/>
          <w:i/>
          <w:iCs/>
          <w:sz w:val="20"/>
          <w:szCs w:val="20"/>
        </w:rPr>
      </w:pPr>
    </w:p>
    <w:p w:rsidR="00B469B0" w:rsidRDefault="00E7438A" w:rsidP="00B2579E">
      <w:pPr>
        <w:autoSpaceDE w:val="0"/>
        <w:autoSpaceDN w:val="0"/>
        <w:adjustRightInd w:val="0"/>
        <w:spacing w:after="0"/>
        <w:jc w:val="both"/>
        <w:rPr>
          <w:rFonts w:ascii="Arial" w:hAnsi="Arial" w:cs="Arial"/>
          <w:sz w:val="20"/>
          <w:szCs w:val="20"/>
        </w:rPr>
      </w:pPr>
      <w:r w:rsidRPr="00203F0B">
        <w:rPr>
          <w:rFonts w:ascii="Arial" w:hAnsi="Arial" w:cs="Arial"/>
          <w:sz w:val="20"/>
          <w:szCs w:val="20"/>
        </w:rPr>
        <w:t>Portanto, a exigência para apresentação das certidões negativas de</w:t>
      </w:r>
      <w:r w:rsidR="00203F0B">
        <w:rPr>
          <w:rFonts w:ascii="Arial" w:hAnsi="Arial" w:cs="Arial"/>
          <w:sz w:val="20"/>
          <w:szCs w:val="20"/>
        </w:rPr>
        <w:t xml:space="preserve"> </w:t>
      </w:r>
      <w:r w:rsidRPr="00203F0B">
        <w:rPr>
          <w:rFonts w:ascii="Arial" w:hAnsi="Arial" w:cs="Arial"/>
          <w:sz w:val="20"/>
          <w:szCs w:val="20"/>
        </w:rPr>
        <w:t>débito e a garantia de ressarcimento ao contratado em caso de nulidade contratual,</w:t>
      </w:r>
      <w:r w:rsidR="00203F0B">
        <w:rPr>
          <w:rFonts w:ascii="Arial" w:hAnsi="Arial" w:cs="Arial"/>
          <w:sz w:val="20"/>
          <w:szCs w:val="20"/>
        </w:rPr>
        <w:t xml:space="preserve"> </w:t>
      </w:r>
      <w:r w:rsidRPr="00203F0B">
        <w:rPr>
          <w:rFonts w:ascii="Arial" w:hAnsi="Arial" w:cs="Arial"/>
          <w:sz w:val="20"/>
          <w:szCs w:val="20"/>
        </w:rPr>
        <w:t>estão de acordo com as normas legais e entendimento jurisprudencial dominante.</w:t>
      </w:r>
    </w:p>
    <w:p w:rsidR="00203F0B" w:rsidRDefault="00203F0B" w:rsidP="00B2579E">
      <w:pPr>
        <w:autoSpaceDE w:val="0"/>
        <w:autoSpaceDN w:val="0"/>
        <w:adjustRightInd w:val="0"/>
        <w:spacing w:after="0"/>
        <w:jc w:val="both"/>
        <w:rPr>
          <w:rFonts w:ascii="Arial" w:hAnsi="Arial" w:cs="Arial"/>
          <w:sz w:val="20"/>
          <w:szCs w:val="20"/>
        </w:rPr>
      </w:pPr>
    </w:p>
    <w:p w:rsidR="00203F0B" w:rsidRPr="00203F0B" w:rsidRDefault="00203F0B" w:rsidP="00B2579E">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809024/13 - </w:t>
      </w:r>
      <w:hyperlink r:id="rId13" w:history="1">
        <w:r w:rsidRPr="000E60DD">
          <w:rPr>
            <w:rStyle w:val="Hyperlink"/>
            <w:rFonts w:ascii="Arial" w:hAnsi="Arial" w:cs="Arial"/>
            <w:sz w:val="20"/>
            <w:szCs w:val="20"/>
          </w:rPr>
          <w:t>Acórdão n° 1738/18 - Tribunal Pleno</w:t>
        </w:r>
      </w:hyperlink>
      <w:r>
        <w:rPr>
          <w:rFonts w:ascii="Arial" w:hAnsi="Arial" w:cs="Arial"/>
          <w:sz w:val="20"/>
          <w:szCs w:val="20"/>
        </w:rPr>
        <w:t xml:space="preserve"> - Rel. Cons. Fabio de Souza Camargo.</w:t>
      </w:r>
    </w:p>
    <w:p w:rsidR="007A34F4" w:rsidRDefault="007A34F4" w:rsidP="00B2579E">
      <w:pPr>
        <w:autoSpaceDE w:val="0"/>
        <w:autoSpaceDN w:val="0"/>
        <w:adjustRightInd w:val="0"/>
        <w:spacing w:after="0"/>
        <w:jc w:val="both"/>
        <w:rPr>
          <w:rFonts w:ascii="Arial" w:hAnsi="Arial" w:cs="Arial"/>
          <w:color w:val="000000"/>
          <w:sz w:val="20"/>
          <w:szCs w:val="20"/>
          <w:shd w:val="clear" w:color="auto" w:fill="FFFFFF"/>
        </w:rPr>
      </w:pPr>
    </w:p>
    <w:p w:rsidR="003B5C9C" w:rsidRDefault="007440B7" w:rsidP="00B2579E">
      <w:pPr>
        <w:autoSpaceDE w:val="0"/>
        <w:autoSpaceDN w:val="0"/>
        <w:adjustRightInd w:val="0"/>
        <w:spacing w:after="0"/>
        <w:jc w:val="both"/>
        <w:rPr>
          <w:rFonts w:ascii="Arial" w:hAnsi="Arial" w:cs="Arial"/>
          <w:b/>
          <w:sz w:val="20"/>
          <w:szCs w:val="20"/>
        </w:rPr>
      </w:pPr>
      <w:r>
        <w:rPr>
          <w:rFonts w:ascii="Arial" w:hAnsi="Arial" w:cs="Arial"/>
          <w:b/>
          <w:sz w:val="20"/>
          <w:szCs w:val="20"/>
        </w:rPr>
        <w:t xml:space="preserve">7. </w:t>
      </w:r>
      <w:r w:rsidR="003B5C9C" w:rsidRPr="003B5C9C">
        <w:rPr>
          <w:rFonts w:ascii="Arial" w:hAnsi="Arial" w:cs="Arial"/>
          <w:b/>
          <w:sz w:val="20"/>
          <w:szCs w:val="20"/>
        </w:rPr>
        <w:t>Consulta. Concessão de incentivos econômicos e fiscais pelos Municípios para a instalação de</w:t>
      </w:r>
      <w:r w:rsidR="003B5C9C">
        <w:rPr>
          <w:rFonts w:ascii="Arial" w:hAnsi="Arial" w:cs="Arial"/>
          <w:b/>
          <w:sz w:val="20"/>
          <w:szCs w:val="20"/>
        </w:rPr>
        <w:t xml:space="preserve"> </w:t>
      </w:r>
      <w:r w:rsidR="003B5C9C" w:rsidRPr="003B5C9C">
        <w:rPr>
          <w:rFonts w:ascii="Arial" w:hAnsi="Arial" w:cs="Arial"/>
          <w:b/>
          <w:sz w:val="20"/>
          <w:szCs w:val="20"/>
        </w:rPr>
        <w:t>novas empresas ou ampliação das atividades daquelas já instaladas, com o fim precípuo de aumentar a geração de empregos diretos e indiretos e a arrecadação de tributos.</w:t>
      </w:r>
    </w:p>
    <w:p w:rsidR="003B5C9C" w:rsidRDefault="003B5C9C" w:rsidP="00B2579E">
      <w:pPr>
        <w:autoSpaceDE w:val="0"/>
        <w:autoSpaceDN w:val="0"/>
        <w:adjustRightInd w:val="0"/>
        <w:spacing w:after="0"/>
        <w:jc w:val="both"/>
        <w:rPr>
          <w:rFonts w:ascii="Arial" w:hAnsi="Arial" w:cs="Arial"/>
          <w:b/>
          <w:sz w:val="20"/>
          <w:szCs w:val="20"/>
        </w:rPr>
      </w:pPr>
    </w:p>
    <w:p w:rsidR="003B5C9C" w:rsidRPr="004A46ED" w:rsidRDefault="00C2024D" w:rsidP="00B2579E">
      <w:pPr>
        <w:autoSpaceDE w:val="0"/>
        <w:autoSpaceDN w:val="0"/>
        <w:adjustRightInd w:val="0"/>
        <w:spacing w:after="0"/>
        <w:jc w:val="both"/>
        <w:rPr>
          <w:rFonts w:ascii="Arial" w:hAnsi="Arial" w:cs="Arial"/>
          <w:b/>
          <w:color w:val="000000"/>
          <w:sz w:val="20"/>
          <w:szCs w:val="20"/>
          <w:shd w:val="clear" w:color="auto" w:fill="FFFFFF"/>
        </w:rPr>
      </w:pPr>
      <w:r w:rsidRPr="004A46ED">
        <w:rPr>
          <w:rFonts w:ascii="Arial" w:hAnsi="Arial" w:cs="Arial"/>
          <w:sz w:val="20"/>
          <w:szCs w:val="20"/>
        </w:rPr>
        <w:lastRenderedPageBreak/>
        <w:t>1. É vedada a concessão de subvenção em pecúnia para fins de</w:t>
      </w:r>
      <w:r w:rsidR="004A46ED">
        <w:rPr>
          <w:rFonts w:ascii="Arial" w:hAnsi="Arial" w:cs="Arial"/>
          <w:sz w:val="20"/>
          <w:szCs w:val="20"/>
        </w:rPr>
        <w:t xml:space="preserve"> </w:t>
      </w:r>
      <w:r w:rsidRPr="004A46ED">
        <w:rPr>
          <w:rFonts w:ascii="Arial" w:hAnsi="Arial" w:cs="Arial"/>
          <w:sz w:val="20"/>
          <w:szCs w:val="20"/>
        </w:rPr>
        <w:t>custeio de despesas de aluguel, água e luz de empresa privada</w:t>
      </w:r>
      <w:r w:rsidR="004A46ED">
        <w:rPr>
          <w:rFonts w:ascii="Arial" w:hAnsi="Arial" w:cs="Arial"/>
          <w:sz w:val="20"/>
          <w:szCs w:val="20"/>
        </w:rPr>
        <w:t xml:space="preserve"> </w:t>
      </w:r>
      <w:r w:rsidRPr="004A46ED">
        <w:rPr>
          <w:rFonts w:ascii="Arial" w:hAnsi="Arial" w:cs="Arial"/>
          <w:sz w:val="20"/>
          <w:szCs w:val="20"/>
        </w:rPr>
        <w:t>como forma de incentivo à sua instalação ou à ampliação de</w:t>
      </w:r>
      <w:r w:rsidR="004A46ED">
        <w:rPr>
          <w:rFonts w:ascii="Arial" w:hAnsi="Arial" w:cs="Arial"/>
          <w:sz w:val="20"/>
          <w:szCs w:val="20"/>
        </w:rPr>
        <w:t xml:space="preserve"> </w:t>
      </w:r>
      <w:r w:rsidRPr="004A46ED">
        <w:rPr>
          <w:rFonts w:ascii="Arial" w:hAnsi="Arial" w:cs="Arial"/>
          <w:sz w:val="20"/>
          <w:szCs w:val="20"/>
        </w:rPr>
        <w:t>suas atividades.</w:t>
      </w:r>
    </w:p>
    <w:p w:rsidR="003B5C9C" w:rsidRPr="004A46ED" w:rsidRDefault="003B5C9C" w:rsidP="00B2579E">
      <w:pPr>
        <w:autoSpaceDE w:val="0"/>
        <w:autoSpaceDN w:val="0"/>
        <w:adjustRightInd w:val="0"/>
        <w:spacing w:after="0"/>
        <w:jc w:val="both"/>
        <w:rPr>
          <w:rFonts w:ascii="Arial" w:hAnsi="Arial" w:cs="Arial"/>
          <w:color w:val="000000"/>
          <w:sz w:val="20"/>
          <w:szCs w:val="20"/>
          <w:shd w:val="clear" w:color="auto" w:fill="FFFFFF"/>
        </w:rPr>
      </w:pPr>
    </w:p>
    <w:p w:rsidR="00C2024D" w:rsidRPr="004A46ED" w:rsidRDefault="00C2024D" w:rsidP="00B2579E">
      <w:pPr>
        <w:autoSpaceDE w:val="0"/>
        <w:autoSpaceDN w:val="0"/>
        <w:adjustRightInd w:val="0"/>
        <w:spacing w:after="0"/>
        <w:jc w:val="both"/>
        <w:rPr>
          <w:rFonts w:ascii="Arial" w:hAnsi="Arial" w:cs="Arial"/>
          <w:color w:val="000000"/>
          <w:sz w:val="20"/>
          <w:szCs w:val="20"/>
          <w:shd w:val="clear" w:color="auto" w:fill="FFFFFF"/>
        </w:rPr>
      </w:pPr>
      <w:r w:rsidRPr="004A46ED">
        <w:rPr>
          <w:rFonts w:ascii="Arial" w:hAnsi="Arial" w:cs="Arial"/>
          <w:sz w:val="20"/>
          <w:szCs w:val="20"/>
        </w:rPr>
        <w:t>2. A locação de bem imóvel pelo Poder Público para transferência</w:t>
      </w:r>
      <w:r w:rsidR="004A46ED">
        <w:rPr>
          <w:rFonts w:ascii="Arial" w:hAnsi="Arial" w:cs="Arial"/>
          <w:sz w:val="20"/>
          <w:szCs w:val="20"/>
        </w:rPr>
        <w:t xml:space="preserve"> </w:t>
      </w:r>
      <w:r w:rsidRPr="004A46ED">
        <w:rPr>
          <w:rFonts w:ascii="Arial" w:hAnsi="Arial" w:cs="Arial"/>
          <w:sz w:val="20"/>
          <w:szCs w:val="20"/>
        </w:rPr>
        <w:t>de uso a entidade particular, dentro de uma política de incentivo</w:t>
      </w:r>
      <w:r w:rsidR="004A46ED">
        <w:rPr>
          <w:rFonts w:ascii="Arial" w:hAnsi="Arial" w:cs="Arial"/>
          <w:sz w:val="20"/>
          <w:szCs w:val="20"/>
        </w:rPr>
        <w:t xml:space="preserve"> </w:t>
      </w:r>
      <w:r w:rsidRPr="004A46ED">
        <w:rPr>
          <w:rFonts w:ascii="Arial" w:hAnsi="Arial" w:cs="Arial"/>
          <w:sz w:val="20"/>
          <w:szCs w:val="20"/>
        </w:rPr>
        <w:t>à instalação de empresas ou à ampliação das já instaladas, deve</w:t>
      </w:r>
      <w:r w:rsidR="004A46ED">
        <w:rPr>
          <w:rFonts w:ascii="Arial" w:hAnsi="Arial" w:cs="Arial"/>
          <w:sz w:val="20"/>
          <w:szCs w:val="20"/>
        </w:rPr>
        <w:t xml:space="preserve"> </w:t>
      </w:r>
      <w:r w:rsidRPr="004A46ED">
        <w:rPr>
          <w:rFonts w:ascii="Arial" w:hAnsi="Arial" w:cs="Arial"/>
          <w:sz w:val="20"/>
          <w:szCs w:val="20"/>
        </w:rPr>
        <w:t>ser autorizada por lei específica, atender às condições</w:t>
      </w:r>
      <w:r w:rsidR="004A46ED" w:rsidRPr="004A46ED">
        <w:rPr>
          <w:rFonts w:ascii="Arial" w:hAnsi="Arial" w:cs="Arial"/>
          <w:sz w:val="20"/>
          <w:szCs w:val="20"/>
        </w:rPr>
        <w:t xml:space="preserve"> estabelecidas na lei de diretrizes orçamentárias e estar prevista</w:t>
      </w:r>
      <w:r w:rsidR="004A46ED">
        <w:rPr>
          <w:rFonts w:ascii="Arial" w:hAnsi="Arial" w:cs="Arial"/>
          <w:sz w:val="20"/>
          <w:szCs w:val="20"/>
        </w:rPr>
        <w:t xml:space="preserve"> </w:t>
      </w:r>
      <w:r w:rsidR="004A46ED" w:rsidRPr="004A46ED">
        <w:rPr>
          <w:rFonts w:ascii="Arial" w:hAnsi="Arial" w:cs="Arial"/>
          <w:sz w:val="20"/>
          <w:szCs w:val="20"/>
        </w:rPr>
        <w:t>no orçamento ou em seus créditos adicionais. A Administração</w:t>
      </w:r>
      <w:r w:rsidR="004A46ED">
        <w:rPr>
          <w:rFonts w:ascii="Arial" w:hAnsi="Arial" w:cs="Arial"/>
          <w:sz w:val="20"/>
          <w:szCs w:val="20"/>
        </w:rPr>
        <w:t xml:space="preserve"> </w:t>
      </w:r>
      <w:r w:rsidR="004A46ED" w:rsidRPr="004A46ED">
        <w:rPr>
          <w:rFonts w:ascii="Arial" w:hAnsi="Arial" w:cs="Arial"/>
          <w:sz w:val="20"/>
          <w:szCs w:val="20"/>
        </w:rPr>
        <w:t>Pública deve realizar seleção impessoal e imparcial dos</w:t>
      </w:r>
      <w:r w:rsidR="004A46ED">
        <w:rPr>
          <w:rFonts w:ascii="Arial" w:hAnsi="Arial" w:cs="Arial"/>
          <w:sz w:val="20"/>
          <w:szCs w:val="20"/>
        </w:rPr>
        <w:t xml:space="preserve"> </w:t>
      </w:r>
      <w:r w:rsidR="004A46ED" w:rsidRPr="004A46ED">
        <w:rPr>
          <w:rFonts w:ascii="Arial" w:hAnsi="Arial" w:cs="Arial"/>
          <w:sz w:val="20"/>
          <w:szCs w:val="20"/>
        </w:rPr>
        <w:t>interessados e exigir contraprestação da empresa beneficiária,</w:t>
      </w:r>
      <w:r w:rsidR="004A46ED">
        <w:rPr>
          <w:rFonts w:ascii="Arial" w:hAnsi="Arial" w:cs="Arial"/>
          <w:sz w:val="20"/>
          <w:szCs w:val="20"/>
        </w:rPr>
        <w:t xml:space="preserve"> </w:t>
      </w:r>
      <w:r w:rsidR="004A46ED" w:rsidRPr="004A46ED">
        <w:rPr>
          <w:rFonts w:ascii="Arial" w:hAnsi="Arial" w:cs="Arial"/>
          <w:sz w:val="20"/>
          <w:szCs w:val="20"/>
        </w:rPr>
        <w:t>mediante, por exemplo, a geração de empregos e renda.</w:t>
      </w:r>
    </w:p>
    <w:p w:rsidR="00C2024D" w:rsidRPr="004A46ED" w:rsidRDefault="00C2024D" w:rsidP="00B2579E">
      <w:pPr>
        <w:autoSpaceDE w:val="0"/>
        <w:autoSpaceDN w:val="0"/>
        <w:adjustRightInd w:val="0"/>
        <w:spacing w:after="0"/>
        <w:jc w:val="both"/>
        <w:rPr>
          <w:rFonts w:ascii="Arial" w:hAnsi="Arial" w:cs="Arial"/>
          <w:color w:val="000000"/>
          <w:sz w:val="20"/>
          <w:szCs w:val="20"/>
          <w:shd w:val="clear" w:color="auto" w:fill="FFFFFF"/>
        </w:rPr>
      </w:pPr>
    </w:p>
    <w:p w:rsidR="004A46ED" w:rsidRDefault="004A46ED" w:rsidP="00B2579E">
      <w:pPr>
        <w:autoSpaceDE w:val="0"/>
        <w:autoSpaceDN w:val="0"/>
        <w:adjustRightInd w:val="0"/>
        <w:spacing w:after="0"/>
        <w:jc w:val="both"/>
        <w:rPr>
          <w:rFonts w:ascii="Arial" w:hAnsi="Arial" w:cs="Arial"/>
          <w:sz w:val="20"/>
          <w:szCs w:val="20"/>
        </w:rPr>
      </w:pPr>
      <w:r w:rsidRPr="004A46ED">
        <w:rPr>
          <w:rFonts w:ascii="Arial" w:hAnsi="Arial" w:cs="Arial"/>
          <w:sz w:val="20"/>
          <w:szCs w:val="20"/>
        </w:rPr>
        <w:t>3. A doação de terrenos públicos a particulares, como forma de</w:t>
      </w:r>
      <w:r>
        <w:rPr>
          <w:rFonts w:ascii="Arial" w:hAnsi="Arial" w:cs="Arial"/>
          <w:sz w:val="20"/>
          <w:szCs w:val="20"/>
        </w:rPr>
        <w:t xml:space="preserve"> </w:t>
      </w:r>
      <w:r w:rsidRPr="004A46ED">
        <w:rPr>
          <w:rFonts w:ascii="Arial" w:hAnsi="Arial" w:cs="Arial"/>
          <w:sz w:val="20"/>
          <w:szCs w:val="20"/>
        </w:rPr>
        <w:t>incentivo à instalação ou à ampliação de empresas privadas,</w:t>
      </w:r>
      <w:r>
        <w:rPr>
          <w:rFonts w:ascii="Arial" w:hAnsi="Arial" w:cs="Arial"/>
          <w:sz w:val="20"/>
          <w:szCs w:val="20"/>
        </w:rPr>
        <w:t xml:space="preserve"> </w:t>
      </w:r>
      <w:r w:rsidRPr="004A46ED">
        <w:rPr>
          <w:rFonts w:ascii="Arial" w:hAnsi="Arial" w:cs="Arial"/>
          <w:sz w:val="20"/>
          <w:szCs w:val="20"/>
        </w:rPr>
        <w:t>deve atender aos preceitos fixados no Acórdão nº 5330/13-</w:t>
      </w:r>
      <w:r>
        <w:rPr>
          <w:rFonts w:ascii="Arial" w:hAnsi="Arial" w:cs="Arial"/>
          <w:sz w:val="20"/>
          <w:szCs w:val="20"/>
        </w:rPr>
        <w:t>Tribunal Pleno</w:t>
      </w:r>
      <w:r w:rsidRPr="004A46ED">
        <w:rPr>
          <w:rFonts w:ascii="Arial" w:hAnsi="Arial" w:cs="Arial"/>
          <w:sz w:val="20"/>
          <w:szCs w:val="20"/>
        </w:rPr>
        <w:t>,</w:t>
      </w:r>
      <w:r>
        <w:rPr>
          <w:rFonts w:ascii="Arial" w:hAnsi="Arial" w:cs="Arial"/>
          <w:sz w:val="20"/>
          <w:szCs w:val="20"/>
        </w:rPr>
        <w:t xml:space="preserve"> </w:t>
      </w:r>
      <w:r w:rsidRPr="004A46ED">
        <w:rPr>
          <w:rFonts w:ascii="Arial" w:hAnsi="Arial" w:cs="Arial"/>
          <w:sz w:val="20"/>
          <w:szCs w:val="20"/>
        </w:rPr>
        <w:t xml:space="preserve">quais sejam: </w:t>
      </w:r>
      <w:r w:rsidRPr="004A46ED">
        <w:rPr>
          <w:rFonts w:ascii="Arial" w:hAnsi="Arial" w:cs="Arial"/>
          <w:i/>
          <w:iCs/>
          <w:sz w:val="20"/>
          <w:szCs w:val="20"/>
        </w:rPr>
        <w:t>“(i) a preferência pela concessão real de uso de</w:t>
      </w:r>
      <w:r>
        <w:rPr>
          <w:rFonts w:ascii="Arial" w:hAnsi="Arial" w:cs="Arial"/>
          <w:i/>
          <w:iCs/>
          <w:sz w:val="20"/>
          <w:szCs w:val="20"/>
        </w:rPr>
        <w:t xml:space="preserve"> </w:t>
      </w:r>
      <w:r w:rsidRPr="004A46ED">
        <w:rPr>
          <w:rFonts w:ascii="Arial" w:hAnsi="Arial" w:cs="Arial"/>
          <w:i/>
          <w:iCs/>
          <w:sz w:val="20"/>
          <w:szCs w:val="20"/>
        </w:rPr>
        <w:t>imóveis públicos é vantajosa pela proteção ao direito de</w:t>
      </w:r>
      <w:r>
        <w:rPr>
          <w:rFonts w:ascii="Arial" w:hAnsi="Arial" w:cs="Arial"/>
          <w:i/>
          <w:iCs/>
          <w:sz w:val="20"/>
          <w:szCs w:val="20"/>
        </w:rPr>
        <w:t xml:space="preserve"> </w:t>
      </w:r>
      <w:r w:rsidRPr="004A46ED">
        <w:rPr>
          <w:rFonts w:ascii="Arial" w:hAnsi="Arial" w:cs="Arial"/>
          <w:i/>
          <w:iCs/>
          <w:sz w:val="20"/>
          <w:szCs w:val="20"/>
        </w:rPr>
        <w:t>propriedade que permanece com o ente federativo, garantindo a</w:t>
      </w:r>
      <w:r>
        <w:rPr>
          <w:rFonts w:ascii="Arial" w:hAnsi="Arial" w:cs="Arial"/>
          <w:i/>
          <w:iCs/>
          <w:sz w:val="20"/>
          <w:szCs w:val="20"/>
        </w:rPr>
        <w:t xml:space="preserve"> </w:t>
      </w:r>
      <w:r w:rsidRPr="004A46ED">
        <w:rPr>
          <w:rFonts w:ascii="Arial" w:hAnsi="Arial" w:cs="Arial"/>
          <w:i/>
          <w:iCs/>
          <w:sz w:val="20"/>
          <w:szCs w:val="20"/>
        </w:rPr>
        <w:t>conservação do patrimônio público; (</w:t>
      </w:r>
      <w:proofErr w:type="spellStart"/>
      <w:r w:rsidRPr="004A46ED">
        <w:rPr>
          <w:rFonts w:ascii="Arial" w:hAnsi="Arial" w:cs="Arial"/>
          <w:i/>
          <w:iCs/>
          <w:sz w:val="20"/>
          <w:szCs w:val="20"/>
        </w:rPr>
        <w:t>ii</w:t>
      </w:r>
      <w:proofErr w:type="spellEnd"/>
      <w:r w:rsidRPr="004A46ED">
        <w:rPr>
          <w:rFonts w:ascii="Arial" w:hAnsi="Arial" w:cs="Arial"/>
          <w:i/>
          <w:iCs/>
          <w:sz w:val="20"/>
          <w:szCs w:val="20"/>
        </w:rPr>
        <w:t>) a doação com encargos</w:t>
      </w:r>
      <w:r>
        <w:rPr>
          <w:rFonts w:ascii="Arial" w:hAnsi="Arial" w:cs="Arial"/>
          <w:i/>
          <w:iCs/>
          <w:sz w:val="20"/>
          <w:szCs w:val="20"/>
        </w:rPr>
        <w:t xml:space="preserve"> </w:t>
      </w:r>
      <w:r w:rsidRPr="004A46ED">
        <w:rPr>
          <w:rFonts w:ascii="Arial" w:hAnsi="Arial" w:cs="Arial"/>
          <w:i/>
          <w:iCs/>
          <w:sz w:val="20"/>
          <w:szCs w:val="20"/>
        </w:rPr>
        <w:t>pode ser utilizada apenas em hipóteses excepcionais, quando</w:t>
      </w:r>
      <w:r>
        <w:rPr>
          <w:rFonts w:ascii="Arial" w:hAnsi="Arial" w:cs="Arial"/>
          <w:i/>
          <w:iCs/>
          <w:sz w:val="20"/>
          <w:szCs w:val="20"/>
        </w:rPr>
        <w:t xml:space="preserve"> </w:t>
      </w:r>
      <w:r w:rsidRPr="004A46ED">
        <w:rPr>
          <w:rFonts w:ascii="Arial" w:hAnsi="Arial" w:cs="Arial"/>
          <w:i/>
          <w:iCs/>
          <w:sz w:val="20"/>
          <w:szCs w:val="20"/>
        </w:rPr>
        <w:t xml:space="preserve">constatada a impossibilidade ou a não </w:t>
      </w:r>
      <w:proofErr w:type="spellStart"/>
      <w:r w:rsidRPr="004A46ED">
        <w:rPr>
          <w:rFonts w:ascii="Arial" w:hAnsi="Arial" w:cs="Arial"/>
          <w:i/>
          <w:iCs/>
          <w:sz w:val="20"/>
          <w:szCs w:val="20"/>
        </w:rPr>
        <w:t>vantajosidade</w:t>
      </w:r>
      <w:proofErr w:type="spellEnd"/>
      <w:r w:rsidRPr="004A46ED">
        <w:rPr>
          <w:rFonts w:ascii="Arial" w:hAnsi="Arial" w:cs="Arial"/>
          <w:i/>
          <w:iCs/>
          <w:sz w:val="20"/>
          <w:szCs w:val="20"/>
        </w:rPr>
        <w:t xml:space="preserve"> da</w:t>
      </w:r>
      <w:r>
        <w:rPr>
          <w:rFonts w:ascii="Arial" w:hAnsi="Arial" w:cs="Arial"/>
          <w:i/>
          <w:iCs/>
          <w:sz w:val="20"/>
          <w:szCs w:val="20"/>
        </w:rPr>
        <w:t xml:space="preserve"> </w:t>
      </w:r>
      <w:r w:rsidRPr="004A46ED">
        <w:rPr>
          <w:rFonts w:ascii="Arial" w:hAnsi="Arial" w:cs="Arial"/>
          <w:i/>
          <w:iCs/>
          <w:sz w:val="20"/>
          <w:szCs w:val="20"/>
        </w:rPr>
        <w:t>concessão real de uso; (</w:t>
      </w:r>
      <w:proofErr w:type="spellStart"/>
      <w:r w:rsidRPr="004A46ED">
        <w:rPr>
          <w:rFonts w:ascii="Arial" w:hAnsi="Arial" w:cs="Arial"/>
          <w:i/>
          <w:iCs/>
          <w:sz w:val="20"/>
          <w:szCs w:val="20"/>
        </w:rPr>
        <w:t>iii</w:t>
      </w:r>
      <w:proofErr w:type="spellEnd"/>
      <w:r w:rsidRPr="004A46ED">
        <w:rPr>
          <w:rFonts w:ascii="Arial" w:hAnsi="Arial" w:cs="Arial"/>
          <w:i/>
          <w:iCs/>
          <w:sz w:val="20"/>
          <w:szCs w:val="20"/>
        </w:rPr>
        <w:t>) tanto a doação com encargos quanto</w:t>
      </w:r>
      <w:r>
        <w:rPr>
          <w:rFonts w:ascii="Arial" w:hAnsi="Arial" w:cs="Arial"/>
          <w:i/>
          <w:iCs/>
          <w:sz w:val="20"/>
          <w:szCs w:val="20"/>
        </w:rPr>
        <w:t xml:space="preserve"> </w:t>
      </w:r>
      <w:r w:rsidRPr="004A46ED">
        <w:rPr>
          <w:rFonts w:ascii="Arial" w:hAnsi="Arial" w:cs="Arial"/>
          <w:i/>
          <w:iCs/>
          <w:sz w:val="20"/>
          <w:szCs w:val="20"/>
        </w:rPr>
        <w:t>a concessão real de uso, devem ser precedidas de licitação; (</w:t>
      </w:r>
      <w:proofErr w:type="spellStart"/>
      <w:r w:rsidRPr="004A46ED">
        <w:rPr>
          <w:rFonts w:ascii="Arial" w:hAnsi="Arial" w:cs="Arial"/>
          <w:i/>
          <w:iCs/>
          <w:sz w:val="20"/>
          <w:szCs w:val="20"/>
        </w:rPr>
        <w:t>iv</w:t>
      </w:r>
      <w:proofErr w:type="spellEnd"/>
      <w:r w:rsidRPr="004A46ED">
        <w:rPr>
          <w:rFonts w:ascii="Arial" w:hAnsi="Arial" w:cs="Arial"/>
          <w:i/>
          <w:iCs/>
          <w:sz w:val="20"/>
          <w:szCs w:val="20"/>
        </w:rPr>
        <w:t>) no caso de doação com encargos o edital da licitação deverá</w:t>
      </w:r>
      <w:r>
        <w:rPr>
          <w:rFonts w:ascii="Arial" w:hAnsi="Arial" w:cs="Arial"/>
          <w:i/>
          <w:iCs/>
          <w:sz w:val="20"/>
          <w:szCs w:val="20"/>
        </w:rPr>
        <w:t xml:space="preserve"> </w:t>
      </w:r>
      <w:r w:rsidRPr="004A46ED">
        <w:rPr>
          <w:rFonts w:ascii="Arial" w:hAnsi="Arial" w:cs="Arial"/>
          <w:i/>
          <w:iCs/>
          <w:sz w:val="20"/>
          <w:szCs w:val="20"/>
        </w:rPr>
        <w:t>prever os encargos, o prazo para cumprimento, cláusula de</w:t>
      </w:r>
      <w:r>
        <w:rPr>
          <w:rFonts w:ascii="Arial" w:hAnsi="Arial" w:cs="Arial"/>
          <w:i/>
          <w:iCs/>
          <w:sz w:val="20"/>
          <w:szCs w:val="20"/>
        </w:rPr>
        <w:t xml:space="preserve"> </w:t>
      </w:r>
      <w:r w:rsidRPr="004A46ED">
        <w:rPr>
          <w:rFonts w:ascii="Arial" w:hAnsi="Arial" w:cs="Arial"/>
          <w:i/>
          <w:iCs/>
          <w:sz w:val="20"/>
          <w:szCs w:val="20"/>
        </w:rPr>
        <w:t>reversão, sob pena de nulidade do ato; e, por fim (v) necessidade</w:t>
      </w:r>
      <w:r>
        <w:rPr>
          <w:rFonts w:ascii="Arial" w:hAnsi="Arial" w:cs="Arial"/>
          <w:i/>
          <w:iCs/>
          <w:sz w:val="20"/>
          <w:szCs w:val="20"/>
        </w:rPr>
        <w:t xml:space="preserve"> </w:t>
      </w:r>
      <w:r w:rsidRPr="004A46ED">
        <w:rPr>
          <w:rFonts w:ascii="Arial" w:hAnsi="Arial" w:cs="Arial"/>
          <w:i/>
          <w:iCs/>
          <w:sz w:val="20"/>
          <w:szCs w:val="20"/>
        </w:rPr>
        <w:t>de fixação de políticas públicas orientando e garantindo o</w:t>
      </w:r>
      <w:r>
        <w:rPr>
          <w:rFonts w:ascii="Arial" w:hAnsi="Arial" w:cs="Arial"/>
          <w:i/>
          <w:iCs/>
          <w:sz w:val="20"/>
          <w:szCs w:val="20"/>
        </w:rPr>
        <w:t xml:space="preserve"> </w:t>
      </w:r>
      <w:r w:rsidRPr="004A46ED">
        <w:rPr>
          <w:rFonts w:ascii="Arial" w:hAnsi="Arial" w:cs="Arial"/>
          <w:i/>
          <w:iCs/>
          <w:sz w:val="20"/>
          <w:szCs w:val="20"/>
        </w:rPr>
        <w:t>cumprimento do fim pretendido com o imóvel”</w:t>
      </w:r>
      <w:r w:rsidRPr="004A46ED">
        <w:rPr>
          <w:rFonts w:ascii="Arial" w:hAnsi="Arial" w:cs="Arial"/>
          <w:sz w:val="20"/>
          <w:szCs w:val="20"/>
        </w:rPr>
        <w:t>.</w:t>
      </w:r>
    </w:p>
    <w:p w:rsidR="004A46ED" w:rsidRPr="004A46ED" w:rsidRDefault="004A46ED" w:rsidP="00B2579E">
      <w:pPr>
        <w:autoSpaceDE w:val="0"/>
        <w:autoSpaceDN w:val="0"/>
        <w:adjustRightInd w:val="0"/>
        <w:spacing w:after="0"/>
        <w:jc w:val="both"/>
        <w:rPr>
          <w:rFonts w:ascii="Arial" w:hAnsi="Arial" w:cs="Arial"/>
          <w:sz w:val="20"/>
          <w:szCs w:val="20"/>
        </w:rPr>
      </w:pPr>
    </w:p>
    <w:p w:rsidR="004A46ED" w:rsidRDefault="004A46ED" w:rsidP="00B2579E">
      <w:pPr>
        <w:autoSpaceDE w:val="0"/>
        <w:autoSpaceDN w:val="0"/>
        <w:adjustRightInd w:val="0"/>
        <w:spacing w:after="0"/>
        <w:jc w:val="both"/>
        <w:rPr>
          <w:rFonts w:ascii="Arial" w:hAnsi="Arial" w:cs="Arial"/>
          <w:sz w:val="20"/>
          <w:szCs w:val="20"/>
        </w:rPr>
      </w:pPr>
      <w:r w:rsidRPr="004A46ED">
        <w:rPr>
          <w:rFonts w:ascii="Arial" w:hAnsi="Arial" w:cs="Arial"/>
          <w:sz w:val="20"/>
          <w:szCs w:val="20"/>
        </w:rPr>
        <w:t>4. Os bens imóveis desapropriados por utilidade pública ou</w:t>
      </w:r>
      <w:r>
        <w:rPr>
          <w:rFonts w:ascii="Arial" w:hAnsi="Arial" w:cs="Arial"/>
          <w:sz w:val="20"/>
          <w:szCs w:val="20"/>
        </w:rPr>
        <w:t xml:space="preserve"> </w:t>
      </w:r>
      <w:r w:rsidRPr="004A46ED">
        <w:rPr>
          <w:rFonts w:ascii="Arial" w:hAnsi="Arial" w:cs="Arial"/>
          <w:sz w:val="20"/>
          <w:szCs w:val="20"/>
        </w:rPr>
        <w:t>interesse social não podem ser doados a particulares como</w:t>
      </w:r>
      <w:r>
        <w:rPr>
          <w:rFonts w:ascii="Arial" w:hAnsi="Arial" w:cs="Arial"/>
          <w:sz w:val="20"/>
          <w:szCs w:val="20"/>
        </w:rPr>
        <w:t xml:space="preserve"> </w:t>
      </w:r>
      <w:r w:rsidRPr="004A46ED">
        <w:rPr>
          <w:rFonts w:ascii="Arial" w:hAnsi="Arial" w:cs="Arial"/>
          <w:sz w:val="20"/>
          <w:szCs w:val="20"/>
        </w:rPr>
        <w:t>forma de incentivo à instalação ou ampliação de empresas</w:t>
      </w:r>
      <w:r>
        <w:rPr>
          <w:rFonts w:ascii="Arial" w:hAnsi="Arial" w:cs="Arial"/>
          <w:sz w:val="20"/>
          <w:szCs w:val="20"/>
        </w:rPr>
        <w:t xml:space="preserve"> </w:t>
      </w:r>
      <w:r w:rsidRPr="004A46ED">
        <w:rPr>
          <w:rFonts w:ascii="Arial" w:hAnsi="Arial" w:cs="Arial"/>
          <w:sz w:val="20"/>
          <w:szCs w:val="20"/>
        </w:rPr>
        <w:t>privadas.</w:t>
      </w:r>
    </w:p>
    <w:p w:rsidR="004A46ED" w:rsidRPr="004A46ED" w:rsidRDefault="004A46ED" w:rsidP="00B2579E">
      <w:pPr>
        <w:autoSpaceDE w:val="0"/>
        <w:autoSpaceDN w:val="0"/>
        <w:adjustRightInd w:val="0"/>
        <w:spacing w:after="0"/>
        <w:jc w:val="both"/>
        <w:rPr>
          <w:rFonts w:ascii="Arial" w:hAnsi="Arial" w:cs="Arial"/>
          <w:sz w:val="20"/>
          <w:szCs w:val="20"/>
        </w:rPr>
      </w:pPr>
    </w:p>
    <w:p w:rsidR="004A46ED" w:rsidRDefault="004A46ED" w:rsidP="00B2579E">
      <w:pPr>
        <w:autoSpaceDE w:val="0"/>
        <w:autoSpaceDN w:val="0"/>
        <w:adjustRightInd w:val="0"/>
        <w:spacing w:after="0"/>
        <w:jc w:val="both"/>
        <w:rPr>
          <w:rFonts w:ascii="Arial" w:hAnsi="Arial" w:cs="Arial"/>
          <w:sz w:val="20"/>
          <w:szCs w:val="20"/>
        </w:rPr>
      </w:pPr>
      <w:r w:rsidRPr="004A46ED">
        <w:rPr>
          <w:rFonts w:ascii="Arial" w:hAnsi="Arial" w:cs="Arial"/>
          <w:sz w:val="20"/>
          <w:szCs w:val="20"/>
        </w:rPr>
        <w:t>5. A execução, pelo Poder Público, de serviços de terraplanagem,</w:t>
      </w:r>
      <w:r>
        <w:rPr>
          <w:rFonts w:ascii="Arial" w:hAnsi="Arial" w:cs="Arial"/>
          <w:sz w:val="20"/>
          <w:szCs w:val="20"/>
        </w:rPr>
        <w:t xml:space="preserve"> </w:t>
      </w:r>
      <w:r w:rsidRPr="004A46ED">
        <w:rPr>
          <w:rFonts w:ascii="Arial" w:hAnsi="Arial" w:cs="Arial"/>
          <w:sz w:val="20"/>
          <w:szCs w:val="20"/>
        </w:rPr>
        <w:t>aterro e drenagem com vistas a incentivar a instalação de</w:t>
      </w:r>
      <w:r>
        <w:rPr>
          <w:rFonts w:ascii="Arial" w:hAnsi="Arial" w:cs="Arial"/>
          <w:sz w:val="20"/>
          <w:szCs w:val="20"/>
        </w:rPr>
        <w:t xml:space="preserve"> </w:t>
      </w:r>
      <w:r w:rsidRPr="004A46ED">
        <w:rPr>
          <w:rFonts w:ascii="Arial" w:hAnsi="Arial" w:cs="Arial"/>
          <w:sz w:val="20"/>
          <w:szCs w:val="20"/>
        </w:rPr>
        <w:t>empresas ou a ampliação da atividade daquelas já instaladas é</w:t>
      </w:r>
      <w:r>
        <w:rPr>
          <w:rFonts w:ascii="Arial" w:hAnsi="Arial" w:cs="Arial"/>
          <w:sz w:val="20"/>
          <w:szCs w:val="20"/>
        </w:rPr>
        <w:t xml:space="preserve"> </w:t>
      </w:r>
      <w:r w:rsidRPr="004A46ED">
        <w:rPr>
          <w:rFonts w:ascii="Arial" w:hAnsi="Arial" w:cs="Arial"/>
          <w:sz w:val="20"/>
          <w:szCs w:val="20"/>
        </w:rPr>
        <w:t>legítima se cumpridos os seguintes requisitos: a) autorização por</w:t>
      </w:r>
      <w:r>
        <w:rPr>
          <w:rFonts w:ascii="Arial" w:hAnsi="Arial" w:cs="Arial"/>
          <w:sz w:val="20"/>
          <w:szCs w:val="20"/>
        </w:rPr>
        <w:t xml:space="preserve"> </w:t>
      </w:r>
      <w:r w:rsidRPr="004A46ED">
        <w:rPr>
          <w:rFonts w:ascii="Arial" w:hAnsi="Arial" w:cs="Arial"/>
          <w:sz w:val="20"/>
          <w:szCs w:val="20"/>
        </w:rPr>
        <w:t>lei específica, b) atendimento às condições estabelecidas na lei</w:t>
      </w:r>
      <w:r>
        <w:rPr>
          <w:rFonts w:ascii="Arial" w:hAnsi="Arial" w:cs="Arial"/>
          <w:sz w:val="20"/>
          <w:szCs w:val="20"/>
        </w:rPr>
        <w:t xml:space="preserve"> </w:t>
      </w:r>
      <w:r w:rsidRPr="004A46ED">
        <w:rPr>
          <w:rFonts w:ascii="Arial" w:hAnsi="Arial" w:cs="Arial"/>
          <w:sz w:val="20"/>
          <w:szCs w:val="20"/>
        </w:rPr>
        <w:t>de diretrizes orçamentárias, c) previsão no orçamento ou em seus créditos adicionais, d) exigência de contrapartida do</w:t>
      </w:r>
      <w:r>
        <w:rPr>
          <w:rFonts w:ascii="Arial" w:hAnsi="Arial" w:cs="Arial"/>
          <w:sz w:val="20"/>
          <w:szCs w:val="20"/>
        </w:rPr>
        <w:t xml:space="preserve"> </w:t>
      </w:r>
      <w:r w:rsidRPr="004A46ED">
        <w:rPr>
          <w:rFonts w:ascii="Arial" w:hAnsi="Arial" w:cs="Arial"/>
          <w:sz w:val="20"/>
          <w:szCs w:val="20"/>
        </w:rPr>
        <w:t xml:space="preserve">beneficiário, por meio da geração de emprego e renda, e </w:t>
      </w:r>
      <w:proofErr w:type="spellStart"/>
      <w:r w:rsidRPr="004A46ED">
        <w:rPr>
          <w:rFonts w:ascii="Arial" w:hAnsi="Arial" w:cs="Arial"/>
          <w:sz w:val="20"/>
          <w:szCs w:val="20"/>
        </w:rPr>
        <w:t>e</w:t>
      </w:r>
      <w:proofErr w:type="spellEnd"/>
      <w:r w:rsidRPr="004A46ED">
        <w:rPr>
          <w:rFonts w:ascii="Arial" w:hAnsi="Arial" w:cs="Arial"/>
          <w:sz w:val="20"/>
          <w:szCs w:val="20"/>
        </w:rPr>
        <w:t>)</w:t>
      </w:r>
      <w:r>
        <w:rPr>
          <w:rFonts w:ascii="Arial" w:hAnsi="Arial" w:cs="Arial"/>
          <w:sz w:val="20"/>
          <w:szCs w:val="20"/>
        </w:rPr>
        <w:t xml:space="preserve"> </w:t>
      </w:r>
      <w:r w:rsidRPr="004A46ED">
        <w:rPr>
          <w:rFonts w:ascii="Arial" w:hAnsi="Arial" w:cs="Arial"/>
          <w:sz w:val="20"/>
          <w:szCs w:val="20"/>
        </w:rPr>
        <w:t>disponibilização em caráter geral, mediante a realização de</w:t>
      </w:r>
      <w:r>
        <w:rPr>
          <w:rFonts w:ascii="Arial" w:hAnsi="Arial" w:cs="Arial"/>
          <w:sz w:val="20"/>
          <w:szCs w:val="20"/>
        </w:rPr>
        <w:t xml:space="preserve"> </w:t>
      </w:r>
      <w:r w:rsidRPr="004A46ED">
        <w:rPr>
          <w:rFonts w:ascii="Arial" w:hAnsi="Arial" w:cs="Arial"/>
          <w:sz w:val="20"/>
          <w:szCs w:val="20"/>
        </w:rPr>
        <w:t>procedimento objetivo e impessoal para escolha dos</w:t>
      </w:r>
      <w:r>
        <w:rPr>
          <w:rFonts w:ascii="Arial" w:hAnsi="Arial" w:cs="Arial"/>
          <w:sz w:val="20"/>
          <w:szCs w:val="20"/>
        </w:rPr>
        <w:t xml:space="preserve"> </w:t>
      </w:r>
      <w:r w:rsidRPr="004A46ED">
        <w:rPr>
          <w:rFonts w:ascii="Arial" w:hAnsi="Arial" w:cs="Arial"/>
          <w:sz w:val="20"/>
          <w:szCs w:val="20"/>
        </w:rPr>
        <w:t>beneficiários.</w:t>
      </w:r>
    </w:p>
    <w:p w:rsidR="004A46ED" w:rsidRPr="004A46ED" w:rsidRDefault="004A46ED" w:rsidP="00B2579E">
      <w:pPr>
        <w:autoSpaceDE w:val="0"/>
        <w:autoSpaceDN w:val="0"/>
        <w:adjustRightInd w:val="0"/>
        <w:spacing w:after="0"/>
        <w:jc w:val="both"/>
        <w:rPr>
          <w:rFonts w:ascii="Arial" w:hAnsi="Arial" w:cs="Arial"/>
          <w:sz w:val="20"/>
          <w:szCs w:val="20"/>
        </w:rPr>
      </w:pPr>
    </w:p>
    <w:p w:rsidR="004A46ED" w:rsidRDefault="004A46ED" w:rsidP="00B2579E">
      <w:pPr>
        <w:autoSpaceDE w:val="0"/>
        <w:autoSpaceDN w:val="0"/>
        <w:adjustRightInd w:val="0"/>
        <w:spacing w:after="0"/>
        <w:jc w:val="both"/>
        <w:rPr>
          <w:rFonts w:ascii="Arial" w:hAnsi="Arial" w:cs="Arial"/>
          <w:sz w:val="20"/>
          <w:szCs w:val="20"/>
        </w:rPr>
      </w:pPr>
      <w:r w:rsidRPr="004A46ED">
        <w:rPr>
          <w:rFonts w:ascii="Arial" w:hAnsi="Arial" w:cs="Arial"/>
          <w:sz w:val="20"/>
          <w:szCs w:val="20"/>
        </w:rPr>
        <w:t>6. O Poder Público não pode proceder à doação de materiais de</w:t>
      </w:r>
      <w:r>
        <w:rPr>
          <w:rFonts w:ascii="Arial" w:hAnsi="Arial" w:cs="Arial"/>
          <w:sz w:val="20"/>
          <w:szCs w:val="20"/>
        </w:rPr>
        <w:t xml:space="preserve"> </w:t>
      </w:r>
      <w:r w:rsidRPr="004A46ED">
        <w:rPr>
          <w:rFonts w:ascii="Arial" w:hAnsi="Arial" w:cs="Arial"/>
          <w:sz w:val="20"/>
          <w:szCs w:val="20"/>
        </w:rPr>
        <w:t>construção civil a particulares para fomento da atividade</w:t>
      </w:r>
      <w:r>
        <w:rPr>
          <w:rFonts w:ascii="Arial" w:hAnsi="Arial" w:cs="Arial"/>
          <w:sz w:val="20"/>
          <w:szCs w:val="20"/>
        </w:rPr>
        <w:t xml:space="preserve"> </w:t>
      </w:r>
      <w:r w:rsidRPr="004A46ED">
        <w:rPr>
          <w:rFonts w:ascii="Arial" w:hAnsi="Arial" w:cs="Arial"/>
          <w:sz w:val="20"/>
          <w:szCs w:val="20"/>
        </w:rPr>
        <w:t>industrial ou empresarial.</w:t>
      </w:r>
    </w:p>
    <w:p w:rsidR="004A46ED" w:rsidRPr="004A46ED" w:rsidRDefault="004A46ED" w:rsidP="00B2579E">
      <w:pPr>
        <w:autoSpaceDE w:val="0"/>
        <w:autoSpaceDN w:val="0"/>
        <w:adjustRightInd w:val="0"/>
        <w:spacing w:after="0"/>
        <w:jc w:val="both"/>
        <w:rPr>
          <w:rFonts w:ascii="Arial" w:hAnsi="Arial" w:cs="Arial"/>
          <w:sz w:val="20"/>
          <w:szCs w:val="20"/>
        </w:rPr>
      </w:pPr>
    </w:p>
    <w:p w:rsidR="004A46ED" w:rsidRPr="004A46ED" w:rsidRDefault="004A46ED" w:rsidP="00B2579E">
      <w:pPr>
        <w:autoSpaceDE w:val="0"/>
        <w:autoSpaceDN w:val="0"/>
        <w:adjustRightInd w:val="0"/>
        <w:spacing w:after="0"/>
        <w:jc w:val="both"/>
        <w:rPr>
          <w:rFonts w:ascii="Arial" w:hAnsi="Arial" w:cs="Arial"/>
          <w:sz w:val="20"/>
          <w:szCs w:val="20"/>
        </w:rPr>
      </w:pPr>
      <w:r w:rsidRPr="004A46ED">
        <w:rPr>
          <w:rFonts w:ascii="Arial" w:hAnsi="Arial" w:cs="Arial"/>
          <w:sz w:val="20"/>
          <w:szCs w:val="20"/>
        </w:rPr>
        <w:t>7. É possível que o Poder Público, como incentivo à instalação ou à</w:t>
      </w:r>
      <w:r>
        <w:rPr>
          <w:rFonts w:ascii="Arial" w:hAnsi="Arial" w:cs="Arial"/>
          <w:sz w:val="20"/>
          <w:szCs w:val="20"/>
        </w:rPr>
        <w:t xml:space="preserve"> </w:t>
      </w:r>
      <w:r w:rsidRPr="004A46ED">
        <w:rPr>
          <w:rFonts w:ascii="Arial" w:hAnsi="Arial" w:cs="Arial"/>
          <w:sz w:val="20"/>
          <w:szCs w:val="20"/>
        </w:rPr>
        <w:t>ampliação de empresas privadas, execute as obras públicas</w:t>
      </w:r>
      <w:r>
        <w:rPr>
          <w:rFonts w:ascii="Arial" w:hAnsi="Arial" w:cs="Arial"/>
          <w:sz w:val="20"/>
          <w:szCs w:val="20"/>
        </w:rPr>
        <w:t xml:space="preserve"> </w:t>
      </w:r>
      <w:r w:rsidRPr="004A46ED">
        <w:rPr>
          <w:rFonts w:ascii="Arial" w:hAnsi="Arial" w:cs="Arial"/>
          <w:sz w:val="20"/>
          <w:szCs w:val="20"/>
        </w:rPr>
        <w:t>necessárias a dotar o espaço estabelecido da infraestrutura</w:t>
      </w:r>
    </w:p>
    <w:p w:rsidR="004A46ED" w:rsidRDefault="004A46ED" w:rsidP="00B2579E">
      <w:pPr>
        <w:autoSpaceDE w:val="0"/>
        <w:autoSpaceDN w:val="0"/>
        <w:adjustRightInd w:val="0"/>
        <w:spacing w:after="0"/>
        <w:jc w:val="both"/>
        <w:rPr>
          <w:rFonts w:ascii="Arial" w:hAnsi="Arial" w:cs="Arial"/>
          <w:sz w:val="20"/>
          <w:szCs w:val="20"/>
        </w:rPr>
      </w:pPr>
      <w:r w:rsidRPr="004A46ED">
        <w:rPr>
          <w:rFonts w:ascii="Arial" w:hAnsi="Arial" w:cs="Arial"/>
          <w:sz w:val="20"/>
          <w:szCs w:val="20"/>
        </w:rPr>
        <w:t>adequada.</w:t>
      </w:r>
    </w:p>
    <w:p w:rsidR="004A46ED" w:rsidRPr="004A46ED" w:rsidRDefault="004A46ED" w:rsidP="00B2579E">
      <w:pPr>
        <w:autoSpaceDE w:val="0"/>
        <w:autoSpaceDN w:val="0"/>
        <w:adjustRightInd w:val="0"/>
        <w:spacing w:after="0"/>
        <w:jc w:val="both"/>
        <w:rPr>
          <w:rFonts w:ascii="Arial" w:hAnsi="Arial" w:cs="Arial"/>
          <w:sz w:val="20"/>
          <w:szCs w:val="20"/>
        </w:rPr>
      </w:pPr>
    </w:p>
    <w:p w:rsidR="004A46ED" w:rsidRPr="004A46ED" w:rsidRDefault="004A46ED" w:rsidP="00B2579E">
      <w:pPr>
        <w:autoSpaceDE w:val="0"/>
        <w:autoSpaceDN w:val="0"/>
        <w:adjustRightInd w:val="0"/>
        <w:spacing w:after="0"/>
        <w:jc w:val="both"/>
        <w:rPr>
          <w:rFonts w:ascii="Arial" w:hAnsi="Arial" w:cs="Arial"/>
          <w:sz w:val="20"/>
          <w:szCs w:val="20"/>
        </w:rPr>
      </w:pPr>
      <w:r w:rsidRPr="004A46ED">
        <w:rPr>
          <w:rFonts w:ascii="Arial" w:hAnsi="Arial" w:cs="Arial"/>
          <w:sz w:val="20"/>
          <w:szCs w:val="20"/>
        </w:rPr>
        <w:lastRenderedPageBreak/>
        <w:t>8. É lícita, dentro de uma política de incentivo ao desenvolvimento</w:t>
      </w:r>
      <w:r>
        <w:rPr>
          <w:rFonts w:ascii="Arial" w:hAnsi="Arial" w:cs="Arial"/>
          <w:sz w:val="20"/>
          <w:szCs w:val="20"/>
        </w:rPr>
        <w:t xml:space="preserve"> </w:t>
      </w:r>
      <w:r w:rsidRPr="004A46ED">
        <w:rPr>
          <w:rFonts w:ascii="Arial" w:hAnsi="Arial" w:cs="Arial"/>
          <w:sz w:val="20"/>
          <w:szCs w:val="20"/>
        </w:rPr>
        <w:t>econômico, a concessão de isenção ou de redução da base de</w:t>
      </w:r>
      <w:r>
        <w:rPr>
          <w:rFonts w:ascii="Arial" w:hAnsi="Arial" w:cs="Arial"/>
          <w:sz w:val="20"/>
          <w:szCs w:val="20"/>
        </w:rPr>
        <w:t xml:space="preserve"> </w:t>
      </w:r>
      <w:r w:rsidRPr="004A46ED">
        <w:rPr>
          <w:rFonts w:ascii="Arial" w:hAnsi="Arial" w:cs="Arial"/>
          <w:sz w:val="20"/>
          <w:szCs w:val="20"/>
        </w:rPr>
        <w:t>cálculo e/ou alíquota de tributo a empresas privadas que</w:t>
      </w:r>
      <w:r>
        <w:rPr>
          <w:rFonts w:ascii="Arial" w:hAnsi="Arial" w:cs="Arial"/>
          <w:sz w:val="20"/>
          <w:szCs w:val="20"/>
        </w:rPr>
        <w:t xml:space="preserve"> </w:t>
      </w:r>
      <w:r w:rsidRPr="004A46ED">
        <w:rPr>
          <w:rFonts w:ascii="Arial" w:hAnsi="Arial" w:cs="Arial"/>
          <w:sz w:val="20"/>
          <w:szCs w:val="20"/>
        </w:rPr>
        <w:t>pretendam instalar-se ou ampliar suas atividades, devendo ser</w:t>
      </w:r>
      <w:r>
        <w:rPr>
          <w:rFonts w:ascii="Arial" w:hAnsi="Arial" w:cs="Arial"/>
          <w:sz w:val="20"/>
          <w:szCs w:val="20"/>
        </w:rPr>
        <w:t xml:space="preserve"> </w:t>
      </w:r>
      <w:r w:rsidRPr="004A46ED">
        <w:rPr>
          <w:rFonts w:ascii="Arial" w:hAnsi="Arial" w:cs="Arial"/>
          <w:sz w:val="20"/>
          <w:szCs w:val="20"/>
        </w:rPr>
        <w:t>observados os seguintes pressupostos legais: a) concessão</w:t>
      </w:r>
      <w:r>
        <w:rPr>
          <w:rFonts w:ascii="Arial" w:hAnsi="Arial" w:cs="Arial"/>
          <w:sz w:val="20"/>
          <w:szCs w:val="20"/>
        </w:rPr>
        <w:t xml:space="preserve"> </w:t>
      </w:r>
      <w:r w:rsidRPr="004A46ED">
        <w:rPr>
          <w:rFonts w:ascii="Arial" w:hAnsi="Arial" w:cs="Arial"/>
          <w:sz w:val="20"/>
          <w:szCs w:val="20"/>
        </w:rPr>
        <w:t>mediante lei específica, b) fixação por lei dos requisitos para</w:t>
      </w:r>
    </w:p>
    <w:p w:rsidR="004A46ED" w:rsidRDefault="004A46ED" w:rsidP="00B2579E">
      <w:pPr>
        <w:autoSpaceDE w:val="0"/>
        <w:autoSpaceDN w:val="0"/>
        <w:adjustRightInd w:val="0"/>
        <w:spacing w:after="0"/>
        <w:jc w:val="both"/>
        <w:rPr>
          <w:rFonts w:ascii="Arial" w:hAnsi="Arial" w:cs="Arial"/>
          <w:sz w:val="20"/>
          <w:szCs w:val="20"/>
        </w:rPr>
      </w:pPr>
      <w:r w:rsidRPr="004A46ED">
        <w:rPr>
          <w:rFonts w:ascii="Arial" w:hAnsi="Arial" w:cs="Arial"/>
          <w:sz w:val="20"/>
          <w:szCs w:val="20"/>
        </w:rPr>
        <w:t>obtenção do benefício tributário, dos tributos aos quais se aplica</w:t>
      </w:r>
      <w:r>
        <w:rPr>
          <w:rFonts w:ascii="Arial" w:hAnsi="Arial" w:cs="Arial"/>
          <w:sz w:val="20"/>
          <w:szCs w:val="20"/>
        </w:rPr>
        <w:t xml:space="preserve"> </w:t>
      </w:r>
      <w:r w:rsidRPr="004A46ED">
        <w:rPr>
          <w:rFonts w:ascii="Arial" w:hAnsi="Arial" w:cs="Arial"/>
          <w:sz w:val="20"/>
          <w:szCs w:val="20"/>
        </w:rPr>
        <w:t>e do eventual prazo de duração, c) estimativa do impacto</w:t>
      </w:r>
      <w:r>
        <w:rPr>
          <w:rFonts w:ascii="Arial" w:hAnsi="Arial" w:cs="Arial"/>
          <w:sz w:val="20"/>
          <w:szCs w:val="20"/>
        </w:rPr>
        <w:t xml:space="preserve"> </w:t>
      </w:r>
      <w:r w:rsidRPr="004A46ED">
        <w:rPr>
          <w:rFonts w:ascii="Arial" w:hAnsi="Arial" w:cs="Arial"/>
          <w:sz w:val="20"/>
          <w:szCs w:val="20"/>
        </w:rPr>
        <w:t>orçamentário-financeiro no exercício em que deva iniciar sua</w:t>
      </w:r>
      <w:r>
        <w:rPr>
          <w:rFonts w:ascii="Arial" w:hAnsi="Arial" w:cs="Arial"/>
          <w:sz w:val="20"/>
          <w:szCs w:val="20"/>
        </w:rPr>
        <w:t xml:space="preserve"> </w:t>
      </w:r>
      <w:r w:rsidRPr="004A46ED">
        <w:rPr>
          <w:rFonts w:ascii="Arial" w:hAnsi="Arial" w:cs="Arial"/>
          <w:sz w:val="20"/>
          <w:szCs w:val="20"/>
        </w:rPr>
        <w:t>vigência e nos dois subsequentes, d) atendimento à Lei de</w:t>
      </w:r>
      <w:r>
        <w:rPr>
          <w:rFonts w:ascii="Arial" w:hAnsi="Arial" w:cs="Arial"/>
          <w:sz w:val="20"/>
          <w:szCs w:val="20"/>
        </w:rPr>
        <w:t xml:space="preserve"> </w:t>
      </w:r>
      <w:r w:rsidRPr="004A46ED">
        <w:rPr>
          <w:rFonts w:ascii="Arial" w:hAnsi="Arial" w:cs="Arial"/>
          <w:sz w:val="20"/>
          <w:szCs w:val="20"/>
        </w:rPr>
        <w:t xml:space="preserve">Diretrizes Orçamentárias e </w:t>
      </w:r>
      <w:proofErr w:type="spellStart"/>
      <w:r w:rsidRPr="004A46ED">
        <w:rPr>
          <w:rFonts w:ascii="Arial" w:hAnsi="Arial" w:cs="Arial"/>
          <w:sz w:val="20"/>
          <w:szCs w:val="20"/>
        </w:rPr>
        <w:t>e</w:t>
      </w:r>
      <w:proofErr w:type="spellEnd"/>
      <w:r w:rsidRPr="004A46ED">
        <w:rPr>
          <w:rFonts w:ascii="Arial" w:hAnsi="Arial" w:cs="Arial"/>
          <w:sz w:val="20"/>
          <w:szCs w:val="20"/>
        </w:rPr>
        <w:t>) demonstração de que a renúncia</w:t>
      </w:r>
      <w:r>
        <w:rPr>
          <w:rFonts w:ascii="Arial" w:hAnsi="Arial" w:cs="Arial"/>
          <w:sz w:val="20"/>
          <w:szCs w:val="20"/>
        </w:rPr>
        <w:t xml:space="preserve"> </w:t>
      </w:r>
      <w:r w:rsidRPr="004A46ED">
        <w:rPr>
          <w:rFonts w:ascii="Arial" w:hAnsi="Arial" w:cs="Arial"/>
          <w:sz w:val="20"/>
          <w:szCs w:val="20"/>
        </w:rPr>
        <w:t>foi considerada na estimativa de receita da lei orçamentária e de</w:t>
      </w:r>
      <w:r>
        <w:rPr>
          <w:rFonts w:ascii="Arial" w:hAnsi="Arial" w:cs="Arial"/>
          <w:sz w:val="20"/>
          <w:szCs w:val="20"/>
        </w:rPr>
        <w:t xml:space="preserve"> </w:t>
      </w:r>
      <w:r w:rsidRPr="004A46ED">
        <w:rPr>
          <w:rFonts w:ascii="Arial" w:hAnsi="Arial" w:cs="Arial"/>
          <w:sz w:val="20"/>
          <w:szCs w:val="20"/>
        </w:rPr>
        <w:t>que não afetará as metas de resultados fiscais previstas na Lei</w:t>
      </w:r>
      <w:r>
        <w:rPr>
          <w:rFonts w:ascii="Arial" w:hAnsi="Arial" w:cs="Arial"/>
          <w:sz w:val="20"/>
          <w:szCs w:val="20"/>
        </w:rPr>
        <w:t xml:space="preserve"> </w:t>
      </w:r>
      <w:r w:rsidRPr="004A46ED">
        <w:rPr>
          <w:rFonts w:ascii="Arial" w:hAnsi="Arial" w:cs="Arial"/>
          <w:sz w:val="20"/>
          <w:szCs w:val="20"/>
        </w:rPr>
        <w:t>de Diretrizes Orçamentárias ou demonstração da adoção de medidas que compensem a renúncia de receita, nos moldes do</w:t>
      </w:r>
      <w:r>
        <w:rPr>
          <w:rFonts w:ascii="Arial" w:hAnsi="Arial" w:cs="Arial"/>
          <w:sz w:val="20"/>
          <w:szCs w:val="20"/>
        </w:rPr>
        <w:t xml:space="preserve"> </w:t>
      </w:r>
      <w:r w:rsidRPr="004A46ED">
        <w:rPr>
          <w:rFonts w:ascii="Arial" w:hAnsi="Arial" w:cs="Arial"/>
          <w:sz w:val="20"/>
          <w:szCs w:val="20"/>
        </w:rPr>
        <w:t>art. 14, incisos I e II, da Lei de Responsabilidade Fiscal.</w:t>
      </w:r>
    </w:p>
    <w:p w:rsidR="004A46ED" w:rsidRDefault="004A46ED" w:rsidP="00B2579E">
      <w:pPr>
        <w:autoSpaceDE w:val="0"/>
        <w:autoSpaceDN w:val="0"/>
        <w:adjustRightInd w:val="0"/>
        <w:spacing w:after="0"/>
        <w:jc w:val="both"/>
        <w:rPr>
          <w:rFonts w:ascii="Arial" w:hAnsi="Arial" w:cs="Arial"/>
          <w:sz w:val="20"/>
          <w:szCs w:val="20"/>
        </w:rPr>
      </w:pPr>
    </w:p>
    <w:p w:rsidR="004A46ED" w:rsidRDefault="004A46ED" w:rsidP="00B2579E">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611500/16 - </w:t>
      </w:r>
      <w:hyperlink r:id="rId14" w:history="1">
        <w:r w:rsidRPr="000E60DD">
          <w:rPr>
            <w:rStyle w:val="Hyperlink"/>
            <w:rFonts w:ascii="Arial" w:hAnsi="Arial" w:cs="Arial"/>
            <w:sz w:val="20"/>
            <w:szCs w:val="20"/>
          </w:rPr>
          <w:t>Acórdão n° 1730/18 - Tribunal Pleno</w:t>
        </w:r>
      </w:hyperlink>
      <w:r>
        <w:rPr>
          <w:rFonts w:ascii="Arial" w:hAnsi="Arial" w:cs="Arial"/>
          <w:sz w:val="20"/>
          <w:szCs w:val="20"/>
        </w:rPr>
        <w:t xml:space="preserve"> - Rel. Cons. Ivan </w:t>
      </w:r>
      <w:proofErr w:type="spellStart"/>
      <w:r>
        <w:rPr>
          <w:rFonts w:ascii="Arial" w:hAnsi="Arial" w:cs="Arial"/>
          <w:sz w:val="20"/>
          <w:szCs w:val="20"/>
        </w:rPr>
        <w:t>Lelis</w:t>
      </w:r>
      <w:proofErr w:type="spellEnd"/>
      <w:r>
        <w:rPr>
          <w:rFonts w:ascii="Arial" w:hAnsi="Arial" w:cs="Arial"/>
          <w:sz w:val="20"/>
          <w:szCs w:val="20"/>
        </w:rPr>
        <w:t xml:space="preserve"> Bonilha. </w:t>
      </w:r>
    </w:p>
    <w:p w:rsidR="00C81D58" w:rsidRDefault="00C81D58" w:rsidP="00B2579E">
      <w:pPr>
        <w:autoSpaceDE w:val="0"/>
        <w:autoSpaceDN w:val="0"/>
        <w:adjustRightInd w:val="0"/>
        <w:spacing w:after="0"/>
        <w:jc w:val="both"/>
        <w:rPr>
          <w:rFonts w:ascii="Arial" w:hAnsi="Arial" w:cs="Arial"/>
          <w:color w:val="000000"/>
          <w:sz w:val="20"/>
          <w:szCs w:val="20"/>
          <w:shd w:val="clear" w:color="auto" w:fill="FFFFFF"/>
        </w:rPr>
      </w:pPr>
    </w:p>
    <w:p w:rsidR="00C81D58" w:rsidRPr="003776F2" w:rsidRDefault="00C42B84" w:rsidP="00B2579E">
      <w:pPr>
        <w:autoSpaceDE w:val="0"/>
        <w:autoSpaceDN w:val="0"/>
        <w:adjustRightInd w:val="0"/>
        <w:spacing w:after="0"/>
        <w:jc w:val="both"/>
        <w:rPr>
          <w:rFonts w:ascii="Arial" w:hAnsi="Arial" w:cs="Arial"/>
          <w:b/>
          <w:sz w:val="20"/>
          <w:szCs w:val="20"/>
        </w:rPr>
      </w:pPr>
      <w:r>
        <w:rPr>
          <w:rFonts w:ascii="Arial" w:hAnsi="Arial" w:cs="Arial"/>
          <w:b/>
          <w:sz w:val="20"/>
          <w:szCs w:val="20"/>
        </w:rPr>
        <w:t xml:space="preserve">8. </w:t>
      </w:r>
      <w:r w:rsidR="003776F2" w:rsidRPr="003776F2">
        <w:rPr>
          <w:rFonts w:ascii="Arial" w:hAnsi="Arial" w:cs="Arial"/>
          <w:b/>
          <w:sz w:val="20"/>
          <w:szCs w:val="20"/>
        </w:rPr>
        <w:t xml:space="preserve">Consulta. </w:t>
      </w:r>
      <w:r w:rsidR="003776F2" w:rsidRPr="003776F2">
        <w:rPr>
          <w:rFonts w:ascii="Arial" w:hAnsi="Arial" w:cs="Arial"/>
          <w:b/>
          <w:sz w:val="20"/>
          <w:szCs w:val="20"/>
        </w:rPr>
        <w:t>A</w:t>
      </w:r>
      <w:r w:rsidR="003776F2" w:rsidRPr="003776F2">
        <w:rPr>
          <w:rFonts w:ascii="Arial" w:hAnsi="Arial" w:cs="Arial"/>
          <w:b/>
          <w:sz w:val="20"/>
          <w:szCs w:val="20"/>
        </w:rPr>
        <w:t>bono de permanência. Pagamento com o implemento dos requisitos para aposentadoria. Desnecessidade de requerimento. Precedentes do Supremo Tribunal Federal. Prescrição quinquenal. Correção. Marco temporal e índices definido pela Suprema Corte. TR e IPCA-E. Aposentadoria. Emenda 47/05. Requisitos cumulativos preenchidos. Proventos integrais e paridade. Licença especial. Servidor efetivo (não oriundo do regime celetista) e inativo. Licenças não gozadas e não contadas em dobro. Indenização.</w:t>
      </w:r>
    </w:p>
    <w:p w:rsidR="00B2579E" w:rsidRDefault="00B2579E" w:rsidP="00B2579E">
      <w:pPr>
        <w:autoSpaceDE w:val="0"/>
        <w:autoSpaceDN w:val="0"/>
        <w:adjustRightInd w:val="0"/>
        <w:spacing w:after="0"/>
        <w:jc w:val="both"/>
        <w:rPr>
          <w:rFonts w:ascii="Arial" w:hAnsi="Arial" w:cs="Arial"/>
          <w:i/>
          <w:sz w:val="20"/>
          <w:szCs w:val="20"/>
        </w:rPr>
      </w:pPr>
    </w:p>
    <w:p w:rsidR="00C81D58" w:rsidRPr="00F737FE" w:rsidRDefault="00C81D58" w:rsidP="00B2579E">
      <w:pPr>
        <w:autoSpaceDE w:val="0"/>
        <w:autoSpaceDN w:val="0"/>
        <w:adjustRightInd w:val="0"/>
        <w:spacing w:after="0"/>
        <w:jc w:val="both"/>
        <w:rPr>
          <w:rFonts w:ascii="Arial" w:hAnsi="Arial" w:cs="Arial"/>
          <w:sz w:val="20"/>
          <w:szCs w:val="20"/>
        </w:rPr>
      </w:pPr>
      <w:r w:rsidRPr="00F737FE">
        <w:rPr>
          <w:rFonts w:ascii="Arial" w:hAnsi="Arial" w:cs="Arial"/>
          <w:i/>
          <w:sz w:val="20"/>
          <w:szCs w:val="20"/>
        </w:rPr>
        <w:t>É devido o Abono de Permanência quando do implemento dos requisitos de aposentadoria com base na Emenda Constitucional n° 41, independente de requerimento de inativação do servidor?</w:t>
      </w:r>
      <w:r w:rsidRPr="00F737FE">
        <w:rPr>
          <w:rFonts w:ascii="Arial" w:hAnsi="Arial" w:cs="Arial"/>
          <w:sz w:val="20"/>
          <w:szCs w:val="20"/>
        </w:rPr>
        <w:t xml:space="preserve"> Sim, o abono de permanência é devido a partir da implementação dos requisitos para inativação e não depende de requerimento expresso do servidor que optou por permanecer em atividade, conforme já decidiu o Supremo Tribunal Federal.</w:t>
      </w:r>
    </w:p>
    <w:p w:rsidR="00B2579E" w:rsidRDefault="00B2579E" w:rsidP="00B2579E">
      <w:pPr>
        <w:autoSpaceDE w:val="0"/>
        <w:autoSpaceDN w:val="0"/>
        <w:adjustRightInd w:val="0"/>
        <w:spacing w:after="0"/>
        <w:jc w:val="both"/>
        <w:rPr>
          <w:rFonts w:ascii="Arial" w:hAnsi="Arial" w:cs="Arial"/>
          <w:i/>
          <w:sz w:val="20"/>
          <w:szCs w:val="20"/>
        </w:rPr>
      </w:pPr>
    </w:p>
    <w:p w:rsidR="00C81D58" w:rsidRPr="00F737FE" w:rsidRDefault="00C81D58" w:rsidP="00B2579E">
      <w:pPr>
        <w:autoSpaceDE w:val="0"/>
        <w:autoSpaceDN w:val="0"/>
        <w:adjustRightInd w:val="0"/>
        <w:spacing w:after="0"/>
        <w:jc w:val="both"/>
        <w:rPr>
          <w:rFonts w:ascii="Arial" w:hAnsi="Arial" w:cs="Arial"/>
          <w:i/>
          <w:sz w:val="20"/>
          <w:szCs w:val="20"/>
        </w:rPr>
      </w:pPr>
      <w:r w:rsidRPr="00F737FE">
        <w:rPr>
          <w:rFonts w:ascii="Arial" w:hAnsi="Arial" w:cs="Arial"/>
          <w:i/>
          <w:sz w:val="20"/>
          <w:szCs w:val="20"/>
        </w:rPr>
        <w:t xml:space="preserve">Em caso afirmativo, o pagamento deve retroagir à data de implemento dos requisitos de aposentadoria ou à data de requerimento do abono? </w:t>
      </w:r>
    </w:p>
    <w:p w:rsidR="00C81D58" w:rsidRPr="00F737FE" w:rsidRDefault="00C81D58" w:rsidP="00B2579E">
      <w:pPr>
        <w:autoSpaceDE w:val="0"/>
        <w:autoSpaceDN w:val="0"/>
        <w:adjustRightInd w:val="0"/>
        <w:spacing w:after="0"/>
        <w:jc w:val="both"/>
        <w:rPr>
          <w:rFonts w:ascii="Arial" w:hAnsi="Arial" w:cs="Arial"/>
          <w:sz w:val="20"/>
          <w:szCs w:val="20"/>
        </w:rPr>
      </w:pPr>
      <w:r w:rsidRPr="00F737FE">
        <w:rPr>
          <w:rFonts w:ascii="Arial" w:hAnsi="Arial" w:cs="Arial"/>
          <w:sz w:val="20"/>
          <w:szCs w:val="20"/>
        </w:rPr>
        <w:t xml:space="preserve">Considerando a desnecessidade de requerimento, o pagamento deverá retroagir à data do implemento dos requisitos para a aposentadoria. Destaque-se apenas que qualquer demanda contra a Fazenda Pública prescreve em cinco anos da data do fato que a originou. </w:t>
      </w:r>
    </w:p>
    <w:p w:rsidR="00B2579E" w:rsidRDefault="00B2579E" w:rsidP="00B2579E">
      <w:pPr>
        <w:autoSpaceDE w:val="0"/>
        <w:autoSpaceDN w:val="0"/>
        <w:adjustRightInd w:val="0"/>
        <w:spacing w:after="0"/>
        <w:jc w:val="both"/>
        <w:rPr>
          <w:rFonts w:ascii="Arial" w:hAnsi="Arial" w:cs="Arial"/>
          <w:i/>
          <w:sz w:val="20"/>
          <w:szCs w:val="20"/>
        </w:rPr>
      </w:pPr>
    </w:p>
    <w:p w:rsidR="00C81D58" w:rsidRPr="00F737FE" w:rsidRDefault="00C81D58" w:rsidP="00B2579E">
      <w:pPr>
        <w:autoSpaceDE w:val="0"/>
        <w:autoSpaceDN w:val="0"/>
        <w:adjustRightInd w:val="0"/>
        <w:spacing w:after="0"/>
        <w:jc w:val="both"/>
        <w:rPr>
          <w:rFonts w:ascii="Arial" w:hAnsi="Arial" w:cs="Arial"/>
          <w:i/>
          <w:sz w:val="20"/>
          <w:szCs w:val="20"/>
        </w:rPr>
      </w:pPr>
      <w:r w:rsidRPr="00F737FE">
        <w:rPr>
          <w:rFonts w:ascii="Arial" w:hAnsi="Arial" w:cs="Arial"/>
          <w:i/>
          <w:sz w:val="20"/>
          <w:szCs w:val="20"/>
        </w:rPr>
        <w:t xml:space="preserve">Qual o índice de Correção para pagamento do Abono de Permanência a partir da data convencionada? </w:t>
      </w:r>
    </w:p>
    <w:p w:rsidR="00C81D58" w:rsidRPr="00F737FE" w:rsidRDefault="00C81D58" w:rsidP="00B2579E">
      <w:pPr>
        <w:autoSpaceDE w:val="0"/>
        <w:autoSpaceDN w:val="0"/>
        <w:adjustRightInd w:val="0"/>
        <w:spacing w:after="0"/>
        <w:jc w:val="both"/>
        <w:rPr>
          <w:rFonts w:ascii="Arial" w:hAnsi="Arial" w:cs="Arial"/>
          <w:sz w:val="20"/>
          <w:szCs w:val="20"/>
        </w:rPr>
      </w:pPr>
      <w:r w:rsidRPr="00F737FE">
        <w:rPr>
          <w:rFonts w:ascii="Arial" w:hAnsi="Arial" w:cs="Arial"/>
          <w:sz w:val="20"/>
          <w:szCs w:val="20"/>
        </w:rPr>
        <w:t>O índice de correção a ser usado deverá ser o estabelecido pelo Supremo Tribunal Federal, qual seja, até a data de 25 de março de 2015, o índice aplicado será a TR, após essa data, o índice aplicado será o IPCA-E.</w:t>
      </w:r>
    </w:p>
    <w:p w:rsidR="00B2579E" w:rsidRDefault="00B2579E" w:rsidP="00B2579E">
      <w:pPr>
        <w:autoSpaceDE w:val="0"/>
        <w:autoSpaceDN w:val="0"/>
        <w:adjustRightInd w:val="0"/>
        <w:spacing w:after="0"/>
        <w:jc w:val="both"/>
        <w:rPr>
          <w:rFonts w:ascii="Arial" w:hAnsi="Arial" w:cs="Arial"/>
          <w:i/>
          <w:sz w:val="20"/>
          <w:szCs w:val="20"/>
        </w:rPr>
      </w:pPr>
    </w:p>
    <w:p w:rsidR="00F737FE" w:rsidRDefault="00C81D58" w:rsidP="00B2579E">
      <w:pPr>
        <w:autoSpaceDE w:val="0"/>
        <w:autoSpaceDN w:val="0"/>
        <w:adjustRightInd w:val="0"/>
        <w:spacing w:after="0"/>
        <w:jc w:val="both"/>
        <w:rPr>
          <w:rFonts w:ascii="Arial" w:hAnsi="Arial" w:cs="Arial"/>
          <w:sz w:val="20"/>
          <w:szCs w:val="20"/>
        </w:rPr>
      </w:pPr>
      <w:r w:rsidRPr="00F737FE">
        <w:rPr>
          <w:rFonts w:ascii="Arial" w:hAnsi="Arial" w:cs="Arial"/>
          <w:i/>
          <w:sz w:val="20"/>
          <w:szCs w:val="20"/>
        </w:rPr>
        <w:lastRenderedPageBreak/>
        <w:t>Satisfazendo o servidor os requisitos da aposentadoria com base no art. 3° da Emenda n° 47/2005, os proventos consignados no Decreto de Inativação, deverão ser compostos pela média ou pela integralidade da remuneração no cargo? Nesse caso, haverá paridade?</w:t>
      </w:r>
      <w:r w:rsidRPr="00F737FE">
        <w:rPr>
          <w:rFonts w:ascii="Arial" w:hAnsi="Arial" w:cs="Arial"/>
          <w:sz w:val="20"/>
          <w:szCs w:val="20"/>
        </w:rPr>
        <w:t xml:space="preserve"> </w:t>
      </w:r>
    </w:p>
    <w:p w:rsidR="00F737FE" w:rsidRDefault="00C81D58" w:rsidP="00B2579E">
      <w:pPr>
        <w:autoSpaceDE w:val="0"/>
        <w:autoSpaceDN w:val="0"/>
        <w:adjustRightInd w:val="0"/>
        <w:spacing w:after="0"/>
        <w:jc w:val="both"/>
        <w:rPr>
          <w:rFonts w:ascii="Arial" w:hAnsi="Arial" w:cs="Arial"/>
          <w:sz w:val="20"/>
          <w:szCs w:val="20"/>
        </w:rPr>
      </w:pPr>
      <w:r w:rsidRPr="00F737FE">
        <w:rPr>
          <w:rFonts w:ascii="Arial" w:hAnsi="Arial" w:cs="Arial"/>
          <w:sz w:val="20"/>
          <w:szCs w:val="20"/>
        </w:rPr>
        <w:t xml:space="preserve">Satisfeitos os requisitos cumulativos dispostos no art. 3°, da Emenda Constitucional 47/05, os proventos consignados no Decreto de Inativação serão os proventos a que faz jus o aposentando, ou seja, integrais e com paridade, conforme art.2°, da mesma Emenda. </w:t>
      </w:r>
    </w:p>
    <w:p w:rsidR="00B2579E" w:rsidRDefault="00B2579E" w:rsidP="00B2579E">
      <w:pPr>
        <w:autoSpaceDE w:val="0"/>
        <w:autoSpaceDN w:val="0"/>
        <w:adjustRightInd w:val="0"/>
        <w:spacing w:after="0"/>
        <w:jc w:val="both"/>
        <w:rPr>
          <w:rFonts w:ascii="Arial" w:hAnsi="Arial" w:cs="Arial"/>
          <w:i/>
          <w:sz w:val="20"/>
          <w:szCs w:val="20"/>
        </w:rPr>
      </w:pPr>
    </w:p>
    <w:p w:rsidR="00F737FE" w:rsidRPr="00F737FE" w:rsidRDefault="00C81D58" w:rsidP="00B2579E">
      <w:pPr>
        <w:autoSpaceDE w:val="0"/>
        <w:autoSpaceDN w:val="0"/>
        <w:adjustRightInd w:val="0"/>
        <w:spacing w:after="0"/>
        <w:jc w:val="both"/>
        <w:rPr>
          <w:rFonts w:ascii="Arial" w:hAnsi="Arial" w:cs="Arial"/>
          <w:i/>
          <w:sz w:val="20"/>
          <w:szCs w:val="20"/>
        </w:rPr>
      </w:pPr>
      <w:r w:rsidRPr="00F737FE">
        <w:rPr>
          <w:rFonts w:ascii="Arial" w:hAnsi="Arial" w:cs="Arial"/>
          <w:i/>
          <w:sz w:val="20"/>
          <w:szCs w:val="20"/>
        </w:rPr>
        <w:t xml:space="preserve">O servidor com direito a licença especial não gozada, poderá ter o benefício convertido em pecúnia, em nível administrativo? </w:t>
      </w:r>
    </w:p>
    <w:p w:rsidR="00C81D58" w:rsidRPr="00F737FE" w:rsidRDefault="00C81D58" w:rsidP="00B2579E">
      <w:pPr>
        <w:autoSpaceDE w:val="0"/>
        <w:autoSpaceDN w:val="0"/>
        <w:adjustRightInd w:val="0"/>
        <w:spacing w:after="0"/>
        <w:jc w:val="both"/>
        <w:rPr>
          <w:rFonts w:ascii="Arial" w:hAnsi="Arial" w:cs="Arial"/>
          <w:sz w:val="20"/>
          <w:szCs w:val="20"/>
        </w:rPr>
      </w:pPr>
      <w:r w:rsidRPr="00F737FE">
        <w:rPr>
          <w:rFonts w:ascii="Arial" w:hAnsi="Arial" w:cs="Arial"/>
          <w:sz w:val="20"/>
          <w:szCs w:val="20"/>
        </w:rPr>
        <w:t>O servidor efetivo (não oriundo do regime celetista) e inativo que não tenha gozado as licenças especiais a que fazia jus, tampouco as contou em dobro para fins de concessão de aposentadoria, considerando que não poderão mais delas usufruir em razão do rompimento do vínculo com a Administração Pública, deverão tê-las indenizadas em pecúnia sob pena de enriquecimento sem causa da Administração. Acrescente-se que a Administração local deverá regulamentar a forma de pagamento de tal indenização em âmbito administrativo, a fim de que esse direito seja provido automaticamente após o rompimento do vínculo efetivo, para que não haja necessidade de qualquer demanda administrativa ou judicial por parte do aposentando.</w:t>
      </w:r>
    </w:p>
    <w:p w:rsidR="00452097" w:rsidRDefault="00452097" w:rsidP="00B2579E">
      <w:pPr>
        <w:autoSpaceDE w:val="0"/>
        <w:autoSpaceDN w:val="0"/>
        <w:adjustRightInd w:val="0"/>
        <w:spacing w:after="0"/>
        <w:jc w:val="both"/>
        <w:rPr>
          <w:rFonts w:ascii="Arial" w:hAnsi="Arial" w:cs="Arial"/>
          <w:sz w:val="20"/>
          <w:szCs w:val="20"/>
        </w:rPr>
      </w:pPr>
    </w:p>
    <w:p w:rsidR="002101D4" w:rsidRDefault="002101D4" w:rsidP="00B2579E">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w:t>
      </w:r>
      <w:r>
        <w:rPr>
          <w:rFonts w:ascii="Arial" w:hAnsi="Arial" w:cs="Arial"/>
          <w:sz w:val="20"/>
          <w:szCs w:val="20"/>
        </w:rPr>
        <w:t>456312</w:t>
      </w:r>
      <w:r>
        <w:rPr>
          <w:rFonts w:ascii="Arial" w:hAnsi="Arial" w:cs="Arial"/>
          <w:sz w:val="20"/>
          <w:szCs w:val="20"/>
        </w:rPr>
        <w:t>/1</w:t>
      </w:r>
      <w:r>
        <w:rPr>
          <w:rFonts w:ascii="Arial" w:hAnsi="Arial" w:cs="Arial"/>
          <w:sz w:val="20"/>
          <w:szCs w:val="20"/>
        </w:rPr>
        <w:t>7</w:t>
      </w:r>
      <w:r>
        <w:rPr>
          <w:rFonts w:ascii="Arial" w:hAnsi="Arial" w:cs="Arial"/>
          <w:sz w:val="20"/>
          <w:szCs w:val="20"/>
        </w:rPr>
        <w:t xml:space="preserve"> - </w:t>
      </w:r>
      <w:hyperlink r:id="rId15" w:history="1">
        <w:r w:rsidRPr="00CE5822">
          <w:rPr>
            <w:rStyle w:val="Hyperlink"/>
            <w:rFonts w:ascii="Arial" w:hAnsi="Arial" w:cs="Arial"/>
            <w:sz w:val="20"/>
            <w:szCs w:val="20"/>
          </w:rPr>
          <w:t>Acórdão n° 1790/18 - Tribunal Pleno</w:t>
        </w:r>
      </w:hyperlink>
      <w:r>
        <w:rPr>
          <w:rFonts w:ascii="Arial" w:hAnsi="Arial" w:cs="Arial"/>
          <w:sz w:val="20"/>
          <w:szCs w:val="20"/>
        </w:rPr>
        <w:t xml:space="preserve"> - Rel. Cons. </w:t>
      </w:r>
      <w:r w:rsidRPr="002101D4">
        <w:rPr>
          <w:rFonts w:ascii="Arial" w:hAnsi="Arial" w:cs="Arial"/>
          <w:sz w:val="20"/>
          <w:szCs w:val="20"/>
        </w:rPr>
        <w:t>Fernando Augusto Mello Guimarães</w:t>
      </w:r>
      <w:r>
        <w:rPr>
          <w:rFonts w:ascii="Arial" w:hAnsi="Arial" w:cs="Arial"/>
          <w:sz w:val="20"/>
          <w:szCs w:val="20"/>
        </w:rPr>
        <w:t xml:space="preserve">. </w:t>
      </w:r>
    </w:p>
    <w:p w:rsidR="00CE5822" w:rsidRDefault="00CE5822" w:rsidP="00B2579E">
      <w:pPr>
        <w:tabs>
          <w:tab w:val="left" w:pos="2755"/>
        </w:tabs>
        <w:autoSpaceDE w:val="0"/>
        <w:autoSpaceDN w:val="0"/>
        <w:adjustRightInd w:val="0"/>
        <w:spacing w:after="0"/>
        <w:jc w:val="both"/>
        <w:rPr>
          <w:rFonts w:ascii="Arial" w:hAnsi="Arial" w:cs="Arial"/>
          <w:color w:val="000000"/>
          <w:sz w:val="20"/>
          <w:szCs w:val="20"/>
          <w:shd w:val="clear" w:color="auto" w:fill="FFFFFF"/>
        </w:rPr>
      </w:pPr>
    </w:p>
    <w:p w:rsidR="00CE5822" w:rsidRPr="00C24FEE" w:rsidRDefault="00C42B84" w:rsidP="00B2579E">
      <w:pPr>
        <w:autoSpaceDE w:val="0"/>
        <w:autoSpaceDN w:val="0"/>
        <w:adjustRightInd w:val="0"/>
        <w:spacing w:after="0"/>
        <w:jc w:val="both"/>
        <w:rPr>
          <w:rFonts w:ascii="Arial" w:hAnsi="Arial" w:cs="Arial"/>
          <w:b/>
          <w:sz w:val="20"/>
          <w:szCs w:val="20"/>
        </w:rPr>
      </w:pPr>
      <w:r>
        <w:rPr>
          <w:rFonts w:ascii="Arial" w:hAnsi="Arial" w:cs="Arial"/>
          <w:b/>
          <w:sz w:val="20"/>
          <w:szCs w:val="20"/>
        </w:rPr>
        <w:t xml:space="preserve">9. </w:t>
      </w:r>
      <w:r w:rsidR="00C24FEE" w:rsidRPr="00C24FEE">
        <w:rPr>
          <w:rFonts w:ascii="Arial" w:hAnsi="Arial" w:cs="Arial"/>
          <w:b/>
          <w:sz w:val="20"/>
          <w:szCs w:val="20"/>
        </w:rPr>
        <w:t>Consulta. Incentivo à cultura. Ausência de conflito com a Lei n.º 13.019/2014. Apenas pessoa jurídica poderá concorrer ao chamamento público. Possibilidade de manutenção das políticas públicas municipais.</w:t>
      </w:r>
    </w:p>
    <w:p w:rsidR="00452097" w:rsidRDefault="00452097" w:rsidP="00B2579E">
      <w:pPr>
        <w:autoSpaceDE w:val="0"/>
        <w:autoSpaceDN w:val="0"/>
        <w:adjustRightInd w:val="0"/>
        <w:spacing w:after="0"/>
        <w:jc w:val="both"/>
        <w:rPr>
          <w:rFonts w:ascii="Arial" w:hAnsi="Arial" w:cs="Arial"/>
          <w:i/>
          <w:sz w:val="20"/>
          <w:szCs w:val="20"/>
        </w:rPr>
      </w:pPr>
    </w:p>
    <w:p w:rsidR="00724E70" w:rsidRPr="00724E70" w:rsidRDefault="00724E70" w:rsidP="00B2579E">
      <w:pPr>
        <w:autoSpaceDE w:val="0"/>
        <w:autoSpaceDN w:val="0"/>
        <w:adjustRightInd w:val="0"/>
        <w:spacing w:after="0"/>
        <w:jc w:val="both"/>
        <w:rPr>
          <w:rFonts w:ascii="Arial" w:hAnsi="Arial" w:cs="Arial"/>
          <w:i/>
          <w:sz w:val="20"/>
          <w:szCs w:val="20"/>
        </w:rPr>
      </w:pPr>
      <w:r w:rsidRPr="00724E70">
        <w:rPr>
          <w:rFonts w:ascii="Arial" w:hAnsi="Arial" w:cs="Arial"/>
          <w:i/>
          <w:sz w:val="20"/>
          <w:szCs w:val="20"/>
        </w:rPr>
        <w:t>U</w:t>
      </w:r>
      <w:r w:rsidRPr="00724E70">
        <w:rPr>
          <w:rFonts w:ascii="Arial" w:hAnsi="Arial" w:cs="Arial"/>
          <w:i/>
          <w:sz w:val="20"/>
          <w:szCs w:val="20"/>
        </w:rPr>
        <w:t xml:space="preserve">ma vez que a Lei n.º 13.019/2014 abarca apenas a instituição do temo de fomento ou do termo de colaboração para a celebração de parcerias com organizações da sociedade civil - pessoas jurídicas, poderia o Município, por meio da Secretaria Municipal da Cultura, dar continuidade ao processo de chamamento Público n.º 002/2016 realizado e concluído em 2016, com amparo na legislação municipal vigente e formalizar o termo de cooperação cultural e financeira com os empreendedores pessoas físicas já selecionados? </w:t>
      </w:r>
    </w:p>
    <w:p w:rsidR="00C81D58" w:rsidRDefault="00724E70" w:rsidP="00B2579E">
      <w:pPr>
        <w:autoSpaceDE w:val="0"/>
        <w:autoSpaceDN w:val="0"/>
        <w:adjustRightInd w:val="0"/>
        <w:spacing w:after="0"/>
        <w:jc w:val="both"/>
        <w:rPr>
          <w:rFonts w:ascii="Arial" w:hAnsi="Arial" w:cs="Arial"/>
          <w:color w:val="000000"/>
          <w:sz w:val="20"/>
          <w:szCs w:val="20"/>
          <w:shd w:val="clear" w:color="auto" w:fill="FFFFFF"/>
        </w:rPr>
      </w:pPr>
      <w:r w:rsidRPr="00724E70">
        <w:rPr>
          <w:rFonts w:ascii="Arial" w:hAnsi="Arial" w:cs="Arial"/>
          <w:sz w:val="20"/>
          <w:szCs w:val="20"/>
        </w:rPr>
        <w:t>O município poderá dar continuidade aos processos e poderá formalizar termos de cooperação cultural, pois não há conflitos entre a Lei n.º 13.019/2014 e as leis municipais que incentivam à cultura.</w:t>
      </w:r>
      <w:r w:rsidR="002101D4">
        <w:rPr>
          <w:rFonts w:ascii="Arial" w:hAnsi="Arial" w:cs="Arial"/>
          <w:color w:val="000000"/>
          <w:sz w:val="20"/>
          <w:szCs w:val="20"/>
          <w:shd w:val="clear" w:color="auto" w:fill="FFFFFF"/>
        </w:rPr>
        <w:tab/>
      </w:r>
    </w:p>
    <w:p w:rsidR="00452097" w:rsidRDefault="00452097" w:rsidP="00B2579E">
      <w:pPr>
        <w:autoSpaceDE w:val="0"/>
        <w:autoSpaceDN w:val="0"/>
        <w:adjustRightInd w:val="0"/>
        <w:spacing w:after="0"/>
        <w:jc w:val="both"/>
        <w:rPr>
          <w:rFonts w:ascii="Arial" w:hAnsi="Arial" w:cs="Arial"/>
          <w:i/>
          <w:sz w:val="20"/>
          <w:szCs w:val="20"/>
        </w:rPr>
      </w:pPr>
    </w:p>
    <w:p w:rsidR="00724E70" w:rsidRPr="00724E70" w:rsidRDefault="00452097" w:rsidP="00B2579E">
      <w:pPr>
        <w:autoSpaceDE w:val="0"/>
        <w:autoSpaceDN w:val="0"/>
        <w:adjustRightInd w:val="0"/>
        <w:spacing w:after="0"/>
        <w:jc w:val="both"/>
        <w:rPr>
          <w:rFonts w:ascii="Arial" w:hAnsi="Arial" w:cs="Arial"/>
          <w:i/>
          <w:sz w:val="20"/>
          <w:szCs w:val="20"/>
        </w:rPr>
      </w:pPr>
      <w:r>
        <w:rPr>
          <w:rFonts w:ascii="Arial" w:hAnsi="Arial" w:cs="Arial"/>
          <w:i/>
          <w:sz w:val="20"/>
          <w:szCs w:val="20"/>
        </w:rPr>
        <w:t>N</w:t>
      </w:r>
      <w:r w:rsidR="00724E70" w:rsidRPr="00724E70">
        <w:rPr>
          <w:rFonts w:ascii="Arial" w:hAnsi="Arial" w:cs="Arial"/>
          <w:i/>
          <w:sz w:val="20"/>
          <w:szCs w:val="20"/>
        </w:rPr>
        <w:t xml:space="preserve">a impossibilidade de formalizar os instrumentos nominados termos de cooperação cultural e financeira com pessoas físicas, cujos projetos foram selecionados por meio do referido chamamento público com base na legislação municipal, qual poderia ser o instrumento adequado para ajustar esse patrocínio ao produtor pessoa física? </w:t>
      </w:r>
    </w:p>
    <w:p w:rsidR="00724E70" w:rsidRPr="00724E70" w:rsidRDefault="00724E70" w:rsidP="00B2579E">
      <w:pPr>
        <w:autoSpaceDE w:val="0"/>
        <w:autoSpaceDN w:val="0"/>
        <w:adjustRightInd w:val="0"/>
        <w:spacing w:after="0"/>
        <w:jc w:val="both"/>
        <w:rPr>
          <w:rFonts w:ascii="Arial" w:hAnsi="Arial" w:cs="Arial"/>
          <w:sz w:val="20"/>
          <w:szCs w:val="20"/>
        </w:rPr>
      </w:pPr>
      <w:r w:rsidRPr="00724E70">
        <w:rPr>
          <w:rFonts w:ascii="Arial" w:hAnsi="Arial" w:cs="Arial"/>
          <w:sz w:val="20"/>
          <w:szCs w:val="20"/>
        </w:rPr>
        <w:t xml:space="preserve">Resposta prejudicada em razão da pergunta anterior. </w:t>
      </w:r>
    </w:p>
    <w:p w:rsidR="00724E70" w:rsidRPr="00724E70" w:rsidRDefault="00452097" w:rsidP="00B2579E">
      <w:pPr>
        <w:autoSpaceDE w:val="0"/>
        <w:autoSpaceDN w:val="0"/>
        <w:adjustRightInd w:val="0"/>
        <w:spacing w:after="0"/>
        <w:jc w:val="both"/>
        <w:rPr>
          <w:rFonts w:ascii="Arial" w:hAnsi="Arial" w:cs="Arial"/>
          <w:i/>
          <w:sz w:val="20"/>
          <w:szCs w:val="20"/>
        </w:rPr>
      </w:pPr>
      <w:r>
        <w:rPr>
          <w:rFonts w:ascii="Arial" w:hAnsi="Arial" w:cs="Arial"/>
          <w:i/>
          <w:sz w:val="20"/>
          <w:szCs w:val="20"/>
        </w:rPr>
        <w:lastRenderedPageBreak/>
        <w:t>É</w:t>
      </w:r>
      <w:r w:rsidR="00724E70" w:rsidRPr="00724E70">
        <w:rPr>
          <w:rFonts w:ascii="Arial" w:hAnsi="Arial" w:cs="Arial"/>
          <w:i/>
          <w:sz w:val="20"/>
          <w:szCs w:val="20"/>
        </w:rPr>
        <w:t xml:space="preserve"> possível a utilização da modalidade concurso prevista na Lei n.º 8666/93 para algum tipo de bolsa, apoio, patrocínio, termo de compromisso, prêmio ou outro para a concessão de recursos do Programa Municipal de Incentivo à Cultura – PROMIC </w:t>
      </w:r>
      <w:proofErr w:type="gramStart"/>
      <w:r w:rsidR="00724E70" w:rsidRPr="00724E70">
        <w:rPr>
          <w:rFonts w:ascii="Arial" w:hAnsi="Arial" w:cs="Arial"/>
          <w:i/>
          <w:sz w:val="20"/>
          <w:szCs w:val="20"/>
        </w:rPr>
        <w:t>à</w:t>
      </w:r>
      <w:proofErr w:type="gramEnd"/>
      <w:r w:rsidR="00724E70" w:rsidRPr="00724E70">
        <w:rPr>
          <w:rFonts w:ascii="Arial" w:hAnsi="Arial" w:cs="Arial"/>
          <w:i/>
          <w:sz w:val="20"/>
          <w:szCs w:val="20"/>
        </w:rPr>
        <w:t xml:space="preserve"> pessoas físicas? </w:t>
      </w:r>
    </w:p>
    <w:p w:rsidR="00724E70" w:rsidRPr="00724E70" w:rsidRDefault="00724E70" w:rsidP="00B2579E">
      <w:pPr>
        <w:autoSpaceDE w:val="0"/>
        <w:autoSpaceDN w:val="0"/>
        <w:adjustRightInd w:val="0"/>
        <w:spacing w:after="0"/>
        <w:jc w:val="both"/>
        <w:rPr>
          <w:rFonts w:ascii="Arial" w:hAnsi="Arial" w:cs="Arial"/>
          <w:sz w:val="20"/>
          <w:szCs w:val="20"/>
        </w:rPr>
      </w:pPr>
      <w:r w:rsidRPr="00724E70">
        <w:rPr>
          <w:rFonts w:ascii="Arial" w:hAnsi="Arial" w:cs="Arial"/>
          <w:sz w:val="20"/>
          <w:szCs w:val="20"/>
        </w:rPr>
        <w:t>Sim, pois a Lei n.º 8666/93 não veda a utilização desta modalidade, desde que não haja conflito com a legislação a respeito da concessão de benefícios na área da cultura.</w:t>
      </w:r>
    </w:p>
    <w:p w:rsidR="00452097" w:rsidRDefault="00452097" w:rsidP="00B2579E">
      <w:pPr>
        <w:autoSpaceDE w:val="0"/>
        <w:autoSpaceDN w:val="0"/>
        <w:adjustRightInd w:val="0"/>
        <w:spacing w:after="0"/>
        <w:jc w:val="both"/>
        <w:rPr>
          <w:rFonts w:ascii="Arial" w:hAnsi="Arial" w:cs="Arial"/>
          <w:i/>
          <w:sz w:val="20"/>
          <w:szCs w:val="20"/>
        </w:rPr>
      </w:pPr>
    </w:p>
    <w:p w:rsidR="00767871" w:rsidRPr="00C24FEE" w:rsidRDefault="00452097" w:rsidP="00B2579E">
      <w:pPr>
        <w:autoSpaceDE w:val="0"/>
        <w:autoSpaceDN w:val="0"/>
        <w:adjustRightInd w:val="0"/>
        <w:spacing w:after="0"/>
        <w:jc w:val="both"/>
        <w:rPr>
          <w:rFonts w:ascii="Arial" w:hAnsi="Arial" w:cs="Arial"/>
          <w:i/>
          <w:sz w:val="20"/>
          <w:szCs w:val="20"/>
        </w:rPr>
      </w:pPr>
      <w:r>
        <w:rPr>
          <w:rFonts w:ascii="Arial" w:hAnsi="Arial" w:cs="Arial"/>
          <w:i/>
          <w:sz w:val="20"/>
          <w:szCs w:val="20"/>
        </w:rPr>
        <w:t>H</w:t>
      </w:r>
      <w:r w:rsidR="00724E70" w:rsidRPr="00C24FEE">
        <w:rPr>
          <w:rFonts w:ascii="Arial" w:hAnsi="Arial" w:cs="Arial"/>
          <w:i/>
          <w:sz w:val="20"/>
          <w:szCs w:val="20"/>
        </w:rPr>
        <w:t xml:space="preserve">á possibilidade de realizar a publicação de chamamento público para seleção de propostas e aquelas que forem selecionadas e que tenham sido apresentadas por pessoa física, no prazo de envio da documentação, poderiam indicar pessoa jurídica parceira para celebrar o ajuste e gerir o projeto cultural e o recurso financeiro? </w:t>
      </w:r>
    </w:p>
    <w:p w:rsidR="00767871" w:rsidRDefault="00724E70" w:rsidP="00B2579E">
      <w:pPr>
        <w:autoSpaceDE w:val="0"/>
        <w:autoSpaceDN w:val="0"/>
        <w:adjustRightInd w:val="0"/>
        <w:spacing w:after="0"/>
        <w:jc w:val="both"/>
        <w:rPr>
          <w:rFonts w:ascii="Arial" w:hAnsi="Arial" w:cs="Arial"/>
          <w:sz w:val="20"/>
          <w:szCs w:val="20"/>
        </w:rPr>
      </w:pPr>
      <w:r w:rsidRPr="00724E70">
        <w:rPr>
          <w:rFonts w:ascii="Arial" w:hAnsi="Arial" w:cs="Arial"/>
          <w:sz w:val="20"/>
          <w:szCs w:val="20"/>
        </w:rPr>
        <w:t xml:space="preserve">Não há possibilidade de publicação de edital de chamamento público para selecionar propostas de pessoas físicas para que depois indiquem pessoa jurídica para celebração do ajuste, pois seria afronta a norma geral. </w:t>
      </w:r>
    </w:p>
    <w:p w:rsidR="00452097" w:rsidRDefault="00452097" w:rsidP="00B2579E">
      <w:pPr>
        <w:autoSpaceDE w:val="0"/>
        <w:autoSpaceDN w:val="0"/>
        <w:adjustRightInd w:val="0"/>
        <w:spacing w:after="0"/>
        <w:jc w:val="both"/>
        <w:rPr>
          <w:rFonts w:ascii="Arial" w:hAnsi="Arial" w:cs="Arial"/>
          <w:i/>
          <w:sz w:val="20"/>
          <w:szCs w:val="20"/>
        </w:rPr>
      </w:pPr>
    </w:p>
    <w:p w:rsidR="00C24FEE" w:rsidRPr="00C24FEE" w:rsidRDefault="00452097" w:rsidP="00B2579E">
      <w:pPr>
        <w:autoSpaceDE w:val="0"/>
        <w:autoSpaceDN w:val="0"/>
        <w:adjustRightInd w:val="0"/>
        <w:spacing w:after="0"/>
        <w:jc w:val="both"/>
        <w:rPr>
          <w:rFonts w:ascii="Arial" w:hAnsi="Arial" w:cs="Arial"/>
          <w:i/>
          <w:sz w:val="20"/>
          <w:szCs w:val="20"/>
        </w:rPr>
      </w:pPr>
      <w:r>
        <w:rPr>
          <w:rFonts w:ascii="Arial" w:hAnsi="Arial" w:cs="Arial"/>
          <w:i/>
          <w:sz w:val="20"/>
          <w:szCs w:val="20"/>
        </w:rPr>
        <w:t>C</w:t>
      </w:r>
      <w:r w:rsidR="00724E70" w:rsidRPr="00C24FEE">
        <w:rPr>
          <w:rFonts w:ascii="Arial" w:hAnsi="Arial" w:cs="Arial"/>
          <w:i/>
          <w:sz w:val="20"/>
          <w:szCs w:val="20"/>
        </w:rPr>
        <w:t xml:space="preserve">aso não seja possível adotar nenhuma das possibilidades anteriores, de que forma o Município de Londrina poderia manter a atual política cultural, viabilizando a produção cultural e artística da cidade, no âmbito do PROMIC, com a concessão e recursos a empreendedores culturais pessoas físicas, para a realização de projetos culturais que, por sua natureza e característica, via de regra, nasce de pessoas não organizadas juridicamente, tratando-se, em sua grande maioria, de produtores e artistas autônomos e desvinculados de entidades? </w:t>
      </w:r>
    </w:p>
    <w:p w:rsidR="00724E70" w:rsidRPr="00724E70" w:rsidRDefault="00724E70" w:rsidP="00B2579E">
      <w:pPr>
        <w:autoSpaceDE w:val="0"/>
        <w:autoSpaceDN w:val="0"/>
        <w:adjustRightInd w:val="0"/>
        <w:spacing w:after="0"/>
        <w:jc w:val="both"/>
        <w:rPr>
          <w:rFonts w:ascii="Arial" w:hAnsi="Arial" w:cs="Arial"/>
          <w:sz w:val="20"/>
          <w:szCs w:val="20"/>
        </w:rPr>
      </w:pPr>
      <w:r w:rsidRPr="00724E70">
        <w:rPr>
          <w:rFonts w:ascii="Arial" w:hAnsi="Arial" w:cs="Arial"/>
          <w:sz w:val="20"/>
          <w:szCs w:val="20"/>
        </w:rPr>
        <w:t>Resposta prejudicada, tendo em vista que há a possibilidade de manutenção da política cultural do município.</w:t>
      </w:r>
    </w:p>
    <w:p w:rsidR="00452097" w:rsidRDefault="00452097" w:rsidP="00B2579E">
      <w:pPr>
        <w:autoSpaceDE w:val="0"/>
        <w:autoSpaceDN w:val="0"/>
        <w:adjustRightInd w:val="0"/>
        <w:spacing w:after="0"/>
        <w:jc w:val="both"/>
        <w:rPr>
          <w:rFonts w:ascii="Arial" w:hAnsi="Arial" w:cs="Arial"/>
          <w:sz w:val="20"/>
          <w:szCs w:val="20"/>
        </w:rPr>
      </w:pPr>
    </w:p>
    <w:p w:rsidR="00C24FEE" w:rsidRDefault="00C24FEE" w:rsidP="00B2579E">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w:t>
      </w:r>
      <w:r>
        <w:rPr>
          <w:rFonts w:ascii="Arial" w:hAnsi="Arial" w:cs="Arial"/>
          <w:sz w:val="20"/>
          <w:szCs w:val="20"/>
        </w:rPr>
        <w:t>188822</w:t>
      </w:r>
      <w:r>
        <w:rPr>
          <w:rFonts w:ascii="Arial" w:hAnsi="Arial" w:cs="Arial"/>
          <w:sz w:val="20"/>
          <w:szCs w:val="20"/>
        </w:rPr>
        <w:t xml:space="preserve">/17 - </w:t>
      </w:r>
      <w:hyperlink r:id="rId16" w:history="1">
        <w:r w:rsidRPr="00381D3D">
          <w:rPr>
            <w:rStyle w:val="Hyperlink"/>
            <w:rFonts w:ascii="Arial" w:hAnsi="Arial" w:cs="Arial"/>
            <w:sz w:val="20"/>
            <w:szCs w:val="20"/>
          </w:rPr>
          <w:t>Acórdão n° 1805/18 - Tribunal Pleno</w:t>
        </w:r>
      </w:hyperlink>
      <w:r>
        <w:rPr>
          <w:rFonts w:ascii="Arial" w:hAnsi="Arial" w:cs="Arial"/>
          <w:sz w:val="20"/>
          <w:szCs w:val="20"/>
        </w:rPr>
        <w:t xml:space="preserve"> - Rel. Cons. </w:t>
      </w:r>
      <w:r w:rsidRPr="00C24FEE">
        <w:rPr>
          <w:rFonts w:ascii="Arial" w:hAnsi="Arial" w:cs="Arial"/>
          <w:sz w:val="20"/>
          <w:szCs w:val="20"/>
        </w:rPr>
        <w:t xml:space="preserve">Fabio </w:t>
      </w:r>
      <w:r>
        <w:rPr>
          <w:rFonts w:ascii="Arial" w:hAnsi="Arial" w:cs="Arial"/>
          <w:sz w:val="20"/>
          <w:szCs w:val="20"/>
        </w:rPr>
        <w:t>d</w:t>
      </w:r>
      <w:r w:rsidRPr="00C24FEE">
        <w:rPr>
          <w:rFonts w:ascii="Arial" w:hAnsi="Arial" w:cs="Arial"/>
          <w:sz w:val="20"/>
          <w:szCs w:val="20"/>
        </w:rPr>
        <w:t>e Souza Camargo</w:t>
      </w:r>
      <w:r>
        <w:rPr>
          <w:rFonts w:ascii="Arial" w:hAnsi="Arial" w:cs="Arial"/>
          <w:sz w:val="20"/>
          <w:szCs w:val="20"/>
        </w:rPr>
        <w:t xml:space="preserve">. </w:t>
      </w:r>
    </w:p>
    <w:p w:rsidR="000E263C" w:rsidRDefault="000E263C" w:rsidP="00B2579E">
      <w:pPr>
        <w:autoSpaceDE w:val="0"/>
        <w:autoSpaceDN w:val="0"/>
        <w:adjustRightInd w:val="0"/>
        <w:spacing w:after="0"/>
        <w:jc w:val="both"/>
        <w:rPr>
          <w:rFonts w:ascii="Arial" w:hAnsi="Arial" w:cs="Arial"/>
          <w:color w:val="000000"/>
          <w:sz w:val="20"/>
          <w:szCs w:val="20"/>
          <w:shd w:val="clear" w:color="auto" w:fill="FFFFFF"/>
        </w:rPr>
      </w:pPr>
    </w:p>
    <w:p w:rsidR="000E263C" w:rsidRPr="004272C0" w:rsidRDefault="00C42B84" w:rsidP="00B2579E">
      <w:pPr>
        <w:autoSpaceDE w:val="0"/>
        <w:autoSpaceDN w:val="0"/>
        <w:adjustRightInd w:val="0"/>
        <w:spacing w:after="0"/>
        <w:jc w:val="both"/>
        <w:rPr>
          <w:rFonts w:ascii="Arial" w:hAnsi="Arial" w:cs="Arial"/>
          <w:b/>
          <w:sz w:val="20"/>
          <w:szCs w:val="20"/>
        </w:rPr>
      </w:pPr>
      <w:r>
        <w:rPr>
          <w:rFonts w:ascii="Arial" w:hAnsi="Arial" w:cs="Arial"/>
          <w:b/>
          <w:sz w:val="20"/>
          <w:szCs w:val="20"/>
        </w:rPr>
        <w:t xml:space="preserve">10. </w:t>
      </w:r>
      <w:r w:rsidR="004272C0" w:rsidRPr="004272C0">
        <w:rPr>
          <w:rFonts w:ascii="Arial" w:hAnsi="Arial" w:cs="Arial"/>
          <w:b/>
          <w:sz w:val="20"/>
          <w:szCs w:val="20"/>
        </w:rPr>
        <w:t xml:space="preserve">Consulta. Conceito de disponibilidade de caixa. Alcance técnico-jurídico para fins de observância à regra do depósito em banco oficial. Valores que não se enquadram como disponibilidade de caixa. Possibilidade de movimentação em instituição financeira oficial ou não-oficial. Contratação mediante prévia licitação. Modalidade a ser escolhida pela Administração Pública. </w:t>
      </w:r>
    </w:p>
    <w:p w:rsidR="00C747C3" w:rsidRDefault="00C747C3" w:rsidP="00B2579E">
      <w:pPr>
        <w:autoSpaceDE w:val="0"/>
        <w:autoSpaceDN w:val="0"/>
        <w:adjustRightInd w:val="0"/>
        <w:spacing w:after="0"/>
        <w:jc w:val="both"/>
        <w:rPr>
          <w:rFonts w:ascii="Arial" w:hAnsi="Arial" w:cs="Arial"/>
          <w:sz w:val="20"/>
          <w:szCs w:val="20"/>
        </w:rPr>
      </w:pPr>
    </w:p>
    <w:p w:rsidR="000E263C" w:rsidRPr="004272C0" w:rsidRDefault="004272C0" w:rsidP="00B2579E">
      <w:pPr>
        <w:autoSpaceDE w:val="0"/>
        <w:autoSpaceDN w:val="0"/>
        <w:adjustRightInd w:val="0"/>
        <w:spacing w:after="0"/>
        <w:jc w:val="both"/>
        <w:rPr>
          <w:rFonts w:ascii="Arial" w:hAnsi="Arial" w:cs="Arial"/>
          <w:sz w:val="20"/>
          <w:szCs w:val="20"/>
        </w:rPr>
      </w:pPr>
      <w:r w:rsidRPr="004272C0">
        <w:rPr>
          <w:rFonts w:ascii="Arial" w:hAnsi="Arial" w:cs="Arial"/>
          <w:sz w:val="20"/>
          <w:szCs w:val="20"/>
        </w:rPr>
        <w:t>A</w:t>
      </w:r>
      <w:r w:rsidRPr="004272C0">
        <w:rPr>
          <w:rFonts w:ascii="Arial" w:hAnsi="Arial" w:cs="Arial"/>
          <w:sz w:val="20"/>
          <w:szCs w:val="20"/>
        </w:rPr>
        <w:t xml:space="preserve"> movimentação financeira de recursos que não se caracterizam como disponibilidade pode ser feita em banco oficial ou não oficial, devendo a contratação necessariamente ser precedida de licitação, cuja escolha da modalidade está inserida no âmbito da discricionariedade da Administração Pública, devendo eleger a opção e definir os critérios que melhor atendam ao interesse público, nos termos da lei.</w:t>
      </w:r>
    </w:p>
    <w:p w:rsidR="00C747C3" w:rsidRDefault="00C747C3" w:rsidP="00B2579E">
      <w:pPr>
        <w:autoSpaceDE w:val="0"/>
        <w:autoSpaceDN w:val="0"/>
        <w:adjustRightInd w:val="0"/>
        <w:spacing w:after="0"/>
        <w:jc w:val="both"/>
        <w:rPr>
          <w:rFonts w:ascii="Arial" w:hAnsi="Arial" w:cs="Arial"/>
          <w:sz w:val="20"/>
          <w:szCs w:val="20"/>
        </w:rPr>
      </w:pPr>
    </w:p>
    <w:p w:rsidR="004272C0" w:rsidRDefault="004272C0" w:rsidP="00B2579E">
      <w:pPr>
        <w:autoSpaceDE w:val="0"/>
        <w:autoSpaceDN w:val="0"/>
        <w:adjustRightInd w:val="0"/>
        <w:spacing w:after="0"/>
        <w:jc w:val="both"/>
        <w:rPr>
          <w:rFonts w:ascii="Arial" w:hAnsi="Arial" w:cs="Arial"/>
          <w:sz w:val="20"/>
          <w:szCs w:val="20"/>
        </w:rPr>
      </w:pPr>
      <w:bookmarkStart w:id="0" w:name="_GoBack"/>
      <w:bookmarkEnd w:id="0"/>
      <w:r>
        <w:rPr>
          <w:rFonts w:ascii="Arial" w:hAnsi="Arial" w:cs="Arial"/>
          <w:sz w:val="20"/>
          <w:szCs w:val="20"/>
        </w:rPr>
        <w:t xml:space="preserve">Processo n° </w:t>
      </w:r>
      <w:r w:rsidR="00380332">
        <w:rPr>
          <w:rFonts w:ascii="Arial" w:hAnsi="Arial" w:cs="Arial"/>
          <w:sz w:val="20"/>
          <w:szCs w:val="20"/>
        </w:rPr>
        <w:t>881648</w:t>
      </w:r>
      <w:r>
        <w:rPr>
          <w:rFonts w:ascii="Arial" w:hAnsi="Arial" w:cs="Arial"/>
          <w:sz w:val="20"/>
          <w:szCs w:val="20"/>
        </w:rPr>
        <w:t>/1</w:t>
      </w:r>
      <w:r w:rsidR="00380332">
        <w:rPr>
          <w:rFonts w:ascii="Arial" w:hAnsi="Arial" w:cs="Arial"/>
          <w:sz w:val="20"/>
          <w:szCs w:val="20"/>
        </w:rPr>
        <w:t>6</w:t>
      </w:r>
      <w:r>
        <w:rPr>
          <w:rFonts w:ascii="Arial" w:hAnsi="Arial" w:cs="Arial"/>
          <w:sz w:val="20"/>
          <w:szCs w:val="20"/>
        </w:rPr>
        <w:t xml:space="preserve"> - </w:t>
      </w:r>
      <w:hyperlink r:id="rId17" w:history="1">
        <w:r w:rsidRPr="00380332">
          <w:rPr>
            <w:rStyle w:val="Hyperlink"/>
            <w:rFonts w:ascii="Arial" w:hAnsi="Arial" w:cs="Arial"/>
            <w:sz w:val="20"/>
            <w:szCs w:val="20"/>
          </w:rPr>
          <w:t>Acórdão n° 18</w:t>
        </w:r>
        <w:r w:rsidR="00380332" w:rsidRPr="00380332">
          <w:rPr>
            <w:rStyle w:val="Hyperlink"/>
            <w:rFonts w:ascii="Arial" w:hAnsi="Arial" w:cs="Arial"/>
            <w:sz w:val="20"/>
            <w:szCs w:val="20"/>
          </w:rPr>
          <w:t>11</w:t>
        </w:r>
        <w:r w:rsidRPr="00380332">
          <w:rPr>
            <w:rStyle w:val="Hyperlink"/>
            <w:rFonts w:ascii="Arial" w:hAnsi="Arial" w:cs="Arial"/>
            <w:sz w:val="20"/>
            <w:szCs w:val="20"/>
          </w:rPr>
          <w:t>/18 - Tribunal Pleno</w:t>
        </w:r>
      </w:hyperlink>
      <w:r>
        <w:rPr>
          <w:rFonts w:ascii="Arial" w:hAnsi="Arial" w:cs="Arial"/>
          <w:sz w:val="20"/>
          <w:szCs w:val="20"/>
        </w:rPr>
        <w:t xml:space="preserve"> - Rel. Cons. </w:t>
      </w:r>
      <w:r w:rsidR="00380332" w:rsidRPr="00380332">
        <w:rPr>
          <w:rFonts w:ascii="Arial" w:hAnsi="Arial" w:cs="Arial"/>
          <w:sz w:val="20"/>
          <w:szCs w:val="20"/>
        </w:rPr>
        <w:t xml:space="preserve">Ivens </w:t>
      </w:r>
      <w:proofErr w:type="spellStart"/>
      <w:r w:rsidR="00380332" w:rsidRPr="00380332">
        <w:rPr>
          <w:rFonts w:ascii="Arial" w:hAnsi="Arial" w:cs="Arial"/>
          <w:sz w:val="20"/>
          <w:szCs w:val="20"/>
        </w:rPr>
        <w:t>Zschoerper</w:t>
      </w:r>
      <w:proofErr w:type="spellEnd"/>
      <w:r w:rsidR="00380332" w:rsidRPr="00380332">
        <w:rPr>
          <w:rFonts w:ascii="Arial" w:hAnsi="Arial" w:cs="Arial"/>
          <w:sz w:val="20"/>
          <w:szCs w:val="20"/>
        </w:rPr>
        <w:t xml:space="preserve"> Linhares</w:t>
      </w:r>
      <w:r w:rsidR="00380332">
        <w:rPr>
          <w:rFonts w:ascii="Arial" w:hAnsi="Arial" w:cs="Arial"/>
          <w:sz w:val="20"/>
          <w:szCs w:val="20"/>
        </w:rPr>
        <w:t>.</w:t>
      </w:r>
    </w:p>
    <w:p w:rsidR="000E263C" w:rsidRDefault="000E263C" w:rsidP="004A46ED">
      <w:pPr>
        <w:autoSpaceDE w:val="0"/>
        <w:autoSpaceDN w:val="0"/>
        <w:adjustRightInd w:val="0"/>
        <w:spacing w:after="0"/>
        <w:jc w:val="both"/>
        <w:rPr>
          <w:rFonts w:ascii="Arial" w:hAnsi="Arial" w:cs="Arial"/>
          <w:color w:val="000000"/>
          <w:sz w:val="20"/>
          <w:szCs w:val="20"/>
          <w:shd w:val="clear" w:color="auto" w:fill="FFFFFF"/>
        </w:rPr>
      </w:pPr>
    </w:p>
    <w:p w:rsidR="00C81D58" w:rsidRPr="004A46ED" w:rsidRDefault="00C81D58" w:rsidP="004A46ED">
      <w:pPr>
        <w:autoSpaceDE w:val="0"/>
        <w:autoSpaceDN w:val="0"/>
        <w:adjustRightInd w:val="0"/>
        <w:spacing w:after="0"/>
        <w:jc w:val="both"/>
        <w:rPr>
          <w:rFonts w:ascii="Arial" w:hAnsi="Arial" w:cs="Arial"/>
          <w:color w:val="000000"/>
          <w:sz w:val="20"/>
          <w:szCs w:val="20"/>
          <w:shd w:val="clear" w:color="auto" w:fill="FFFFFF"/>
        </w:rPr>
      </w:pPr>
    </w:p>
    <w:p w:rsidR="00E8762F" w:rsidRPr="0022060B" w:rsidRDefault="00E8762F"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lastRenderedPageBreak/>
        <w:t xml:space="preserve">Observações: </w:t>
      </w:r>
    </w:p>
    <w:p w:rsidR="005C4DB7" w:rsidRPr="0022060B" w:rsidRDefault="00E4415D" w:rsidP="00816942">
      <w:pPr>
        <w:spacing w:after="0"/>
        <w:rPr>
          <w:rFonts w:ascii="Arial" w:hAnsi="Arial" w:cs="Arial"/>
          <w:b/>
          <w:color w:val="000000"/>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54656" behindDoc="0" locked="0" layoutInCell="1" allowOverlap="1" wp14:anchorId="15D64EE6" wp14:editId="599D7F1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577E9F" id="Conector reto 58"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26477F" w:rsidRPr="0022060B" w:rsidRDefault="0026477F" w:rsidP="00816942">
      <w:pPr>
        <w:spacing w:after="0"/>
        <w:rPr>
          <w:rFonts w:ascii="Arial" w:hAnsi="Arial" w:cs="Arial"/>
          <w:color w:val="000000"/>
          <w:sz w:val="20"/>
          <w:szCs w:val="20"/>
        </w:rPr>
      </w:pPr>
      <w:r w:rsidRPr="0022060B">
        <w:rPr>
          <w:rFonts w:ascii="Arial" w:hAnsi="Arial" w:cs="Arial"/>
          <w:color w:val="000000"/>
          <w:sz w:val="20"/>
          <w:szCs w:val="20"/>
        </w:rPr>
        <w:t>Ju</w:t>
      </w:r>
      <w:r w:rsidR="00AD528F" w:rsidRPr="0022060B">
        <w:rPr>
          <w:rFonts w:ascii="Arial" w:hAnsi="Arial" w:cs="Arial"/>
          <w:color w:val="000000"/>
          <w:sz w:val="20"/>
          <w:szCs w:val="20"/>
        </w:rPr>
        <w:t xml:space="preserve">risprudência Selecionada: </w:t>
      </w:r>
    </w:p>
    <w:p w:rsidR="000B2FD9" w:rsidRDefault="000B2FD9" w:rsidP="000B2FD9">
      <w:pPr>
        <w:spacing w:after="0"/>
        <w:jc w:val="both"/>
        <w:rPr>
          <w:rFonts w:ascii="Arial" w:hAnsi="Arial" w:cs="Arial"/>
          <w:b/>
          <w:color w:val="000000"/>
          <w:sz w:val="20"/>
          <w:szCs w:val="20"/>
        </w:rPr>
      </w:pPr>
    </w:p>
    <w:p w:rsidR="000B2FD9" w:rsidRPr="0022060B" w:rsidRDefault="000B2FD9" w:rsidP="000B2FD9">
      <w:pPr>
        <w:spacing w:after="0"/>
        <w:jc w:val="both"/>
        <w:rPr>
          <w:rFonts w:ascii="Arial" w:hAnsi="Arial" w:cs="Arial"/>
          <w:b/>
          <w:color w:val="000000"/>
          <w:sz w:val="20"/>
          <w:szCs w:val="20"/>
        </w:rPr>
      </w:pPr>
      <w:r w:rsidRPr="0022060B">
        <w:rPr>
          <w:rFonts w:ascii="Arial" w:hAnsi="Arial" w:cs="Arial"/>
          <w:b/>
          <w:color w:val="000000"/>
          <w:sz w:val="20"/>
          <w:szCs w:val="20"/>
        </w:rPr>
        <w:t>Sup</w:t>
      </w:r>
      <w:r>
        <w:rPr>
          <w:rFonts w:ascii="Arial" w:hAnsi="Arial" w:cs="Arial"/>
          <w:b/>
          <w:color w:val="000000"/>
          <w:sz w:val="20"/>
          <w:szCs w:val="20"/>
        </w:rPr>
        <w:t>remo Tribunal Federal</w:t>
      </w:r>
      <w:r w:rsidRPr="0022060B">
        <w:rPr>
          <w:rFonts w:ascii="Arial" w:hAnsi="Arial" w:cs="Arial"/>
          <w:b/>
          <w:color w:val="000000"/>
          <w:sz w:val="20"/>
          <w:szCs w:val="20"/>
        </w:rPr>
        <w:t>:</w:t>
      </w:r>
    </w:p>
    <w:p w:rsidR="00601974" w:rsidRDefault="00601974" w:rsidP="00816942">
      <w:pPr>
        <w:spacing w:after="0"/>
        <w:rPr>
          <w:rFonts w:ascii="Arial" w:hAnsi="Arial" w:cs="Arial"/>
          <w:b/>
          <w:color w:val="000000"/>
          <w:sz w:val="20"/>
          <w:szCs w:val="20"/>
        </w:rPr>
      </w:pPr>
    </w:p>
    <w:p w:rsidR="000D520D" w:rsidRPr="000D520D" w:rsidRDefault="000D520D" w:rsidP="000D520D">
      <w:pPr>
        <w:shd w:val="clear" w:color="auto" w:fill="FFFFFF"/>
        <w:jc w:val="both"/>
        <w:textAlignment w:val="top"/>
        <w:rPr>
          <w:rFonts w:ascii="Arial" w:hAnsi="Arial" w:cs="Arial"/>
          <w:sz w:val="20"/>
          <w:szCs w:val="20"/>
        </w:rPr>
      </w:pPr>
      <w:r w:rsidRPr="000D520D">
        <w:rPr>
          <w:rFonts w:ascii="Arial" w:hAnsi="Arial" w:cs="Arial"/>
          <w:b/>
          <w:bCs/>
          <w:sz w:val="20"/>
          <w:szCs w:val="20"/>
        </w:rPr>
        <w:t>Concurso público</w:t>
      </w:r>
      <w:r>
        <w:rPr>
          <w:rFonts w:ascii="Arial" w:hAnsi="Arial" w:cs="Arial"/>
          <w:b/>
          <w:bCs/>
          <w:sz w:val="20"/>
          <w:szCs w:val="20"/>
        </w:rPr>
        <w:t xml:space="preserve"> - E</w:t>
      </w:r>
      <w:r w:rsidRPr="000D520D">
        <w:rPr>
          <w:rFonts w:ascii="Arial" w:hAnsi="Arial" w:cs="Arial"/>
          <w:b/>
          <w:bCs/>
          <w:sz w:val="20"/>
          <w:szCs w:val="20"/>
        </w:rPr>
        <w:t>mbargos de declaração e modulação de efeitos em ADI</w:t>
      </w:r>
      <w:r>
        <w:rPr>
          <w:rFonts w:ascii="Arial" w:hAnsi="Arial" w:cs="Arial"/>
          <w:b/>
          <w:bCs/>
          <w:sz w:val="20"/>
          <w:szCs w:val="20"/>
        </w:rPr>
        <w:t xml:space="preserve"> - Validação de atos administrativos. </w:t>
      </w:r>
    </w:p>
    <w:p w:rsidR="000D520D" w:rsidRDefault="000D520D" w:rsidP="000D520D">
      <w:pPr>
        <w:spacing w:after="0"/>
        <w:jc w:val="both"/>
        <w:rPr>
          <w:rFonts w:ascii="Arial" w:hAnsi="Arial" w:cs="Arial"/>
          <w:sz w:val="20"/>
          <w:szCs w:val="20"/>
          <w:shd w:val="clear" w:color="auto" w:fill="FFFFFF"/>
        </w:rPr>
      </w:pPr>
      <w:r w:rsidRPr="000D520D">
        <w:rPr>
          <w:rFonts w:ascii="Arial" w:hAnsi="Arial" w:cs="Arial"/>
          <w:sz w:val="20"/>
          <w:szCs w:val="20"/>
          <w:shd w:val="clear" w:color="auto" w:fill="FFFFFF"/>
        </w:rPr>
        <w:t>O Plenário, por maioria, acolheu parcialmente embargos de declaração com vistas a diferir, em dezoito meses, a contar da publicação da ata deste julgamento, os efeitos do pronunciamento de inconstitucionalidade das Leis amazonenses 2.875/2004 e 2.917/2004 (Informativo </w:t>
      </w:r>
      <w:hyperlink r:id="rId18" w:tgtFrame="_blank" w:history="1">
        <w:r w:rsidRPr="000D520D">
          <w:rPr>
            <w:rStyle w:val="Hyperlink"/>
            <w:rFonts w:ascii="Arial" w:hAnsi="Arial" w:cs="Arial"/>
            <w:color w:val="auto"/>
            <w:sz w:val="20"/>
            <w:szCs w:val="20"/>
            <w:shd w:val="clear" w:color="auto" w:fill="FFFFFF"/>
          </w:rPr>
          <w:t>800)</w:t>
        </w:r>
      </w:hyperlink>
      <w:r w:rsidRPr="000D520D">
        <w:rPr>
          <w:rFonts w:ascii="Arial" w:hAnsi="Arial" w:cs="Arial"/>
          <w:sz w:val="20"/>
          <w:szCs w:val="20"/>
          <w:shd w:val="clear" w:color="auto" w:fill="FFFFFF"/>
        </w:rPr>
        <w:t>, período em que estado poderá programar-se, nos planos administrativo e orçamentário, para cumprir a decisão.</w:t>
      </w:r>
    </w:p>
    <w:p w:rsidR="00051ED4" w:rsidRDefault="00051ED4" w:rsidP="000D520D">
      <w:pPr>
        <w:spacing w:after="0"/>
        <w:jc w:val="both"/>
        <w:rPr>
          <w:rFonts w:ascii="Arial" w:hAnsi="Arial" w:cs="Arial"/>
          <w:sz w:val="20"/>
          <w:szCs w:val="20"/>
          <w:shd w:val="clear" w:color="auto" w:fill="FFFFFF"/>
        </w:rPr>
      </w:pPr>
    </w:p>
    <w:p w:rsidR="000D520D" w:rsidRDefault="000D520D" w:rsidP="000D520D">
      <w:pPr>
        <w:spacing w:after="0"/>
        <w:jc w:val="both"/>
        <w:rPr>
          <w:rFonts w:ascii="Arial" w:hAnsi="Arial" w:cs="Arial"/>
          <w:sz w:val="20"/>
          <w:szCs w:val="20"/>
          <w:shd w:val="clear" w:color="auto" w:fill="FFFFFF"/>
        </w:rPr>
      </w:pPr>
      <w:r w:rsidRPr="000D520D">
        <w:rPr>
          <w:rFonts w:ascii="Arial" w:hAnsi="Arial" w:cs="Arial"/>
          <w:sz w:val="20"/>
          <w:szCs w:val="20"/>
          <w:shd w:val="clear" w:color="auto" w:fill="FFFFFF"/>
        </w:rPr>
        <w:t>Os referidos diplomas, que reestruturaram o quadro da polícia civil, conceberam espécie de ascensão funcional dos servidores investidos no cargo de comissário de polícia para a carreira de delegado, sem concurso público. Apesar de assentada a inconstitucionalidade das leis, o ente público não abriu o certame.</w:t>
      </w:r>
    </w:p>
    <w:p w:rsidR="000D520D" w:rsidRDefault="000D520D" w:rsidP="000D520D">
      <w:pPr>
        <w:spacing w:after="0"/>
        <w:jc w:val="both"/>
        <w:rPr>
          <w:rFonts w:ascii="Arial" w:hAnsi="Arial" w:cs="Arial"/>
          <w:sz w:val="20"/>
          <w:szCs w:val="20"/>
          <w:shd w:val="clear" w:color="auto" w:fill="FFFFFF"/>
        </w:rPr>
      </w:pPr>
      <w:r w:rsidRPr="000D520D">
        <w:rPr>
          <w:rFonts w:ascii="Arial" w:hAnsi="Arial" w:cs="Arial"/>
          <w:sz w:val="20"/>
          <w:szCs w:val="20"/>
        </w:rPr>
        <w:br/>
      </w:r>
      <w:r w:rsidRPr="000D520D">
        <w:rPr>
          <w:rFonts w:ascii="Arial" w:hAnsi="Arial" w:cs="Arial"/>
          <w:sz w:val="20"/>
          <w:szCs w:val="20"/>
          <w:shd w:val="clear" w:color="auto" w:fill="FFFFFF"/>
        </w:rPr>
        <w:t xml:space="preserve">Na modulação, o Tribunal levou em consideração a crise por que passou a unidade federativa, tanto na segurança pública </w:t>
      </w:r>
      <w:r>
        <w:rPr>
          <w:rFonts w:ascii="Arial" w:hAnsi="Arial" w:cs="Arial"/>
          <w:sz w:val="20"/>
          <w:szCs w:val="20"/>
          <w:shd w:val="clear" w:color="auto" w:fill="FFFFFF"/>
        </w:rPr>
        <w:t>-</w:t>
      </w:r>
      <w:r w:rsidRPr="000D520D">
        <w:rPr>
          <w:rFonts w:ascii="Arial" w:hAnsi="Arial" w:cs="Arial"/>
          <w:sz w:val="20"/>
          <w:szCs w:val="20"/>
          <w:shd w:val="clear" w:color="auto" w:fill="FFFFFF"/>
        </w:rPr>
        <w:t xml:space="preserve"> incluído o sistema penitenciário </w:t>
      </w:r>
      <w:r>
        <w:rPr>
          <w:rFonts w:ascii="Arial" w:hAnsi="Arial" w:cs="Arial"/>
          <w:sz w:val="20"/>
          <w:szCs w:val="20"/>
          <w:shd w:val="clear" w:color="auto" w:fill="FFFFFF"/>
        </w:rPr>
        <w:t>-</w:t>
      </w:r>
      <w:r w:rsidRPr="000D520D">
        <w:rPr>
          <w:rFonts w:ascii="Arial" w:hAnsi="Arial" w:cs="Arial"/>
          <w:sz w:val="20"/>
          <w:szCs w:val="20"/>
          <w:shd w:val="clear" w:color="auto" w:fill="FFFFFF"/>
        </w:rPr>
        <w:t>, quanto no sistema político. De um lado, o governador foi cassado e novo sufrágio precisou ser realizado, além do fato de haver eleições este ano. Por outro, o estado atingiu o limite prudencial para gastos com pessoal previsto na Lei de Responsabilidade Fiscal (LRF).</w:t>
      </w:r>
    </w:p>
    <w:p w:rsidR="00543DF0" w:rsidRPr="000D520D" w:rsidRDefault="000D520D" w:rsidP="000D520D">
      <w:pPr>
        <w:spacing w:after="0"/>
        <w:jc w:val="both"/>
        <w:rPr>
          <w:rFonts w:ascii="Arial" w:hAnsi="Arial" w:cs="Arial"/>
          <w:b/>
          <w:sz w:val="20"/>
          <w:szCs w:val="20"/>
        </w:rPr>
      </w:pPr>
      <w:r w:rsidRPr="000D520D">
        <w:rPr>
          <w:rFonts w:ascii="Arial" w:hAnsi="Arial" w:cs="Arial"/>
          <w:sz w:val="20"/>
          <w:szCs w:val="20"/>
        </w:rPr>
        <w:br/>
      </w:r>
      <w:r w:rsidRPr="000D520D">
        <w:rPr>
          <w:rFonts w:ascii="Arial" w:hAnsi="Arial" w:cs="Arial"/>
          <w:sz w:val="20"/>
          <w:szCs w:val="20"/>
          <w:shd w:val="clear" w:color="auto" w:fill="FFFFFF"/>
        </w:rPr>
        <w:t>Por fim, o Colegiado reafirmou que os efeitos daquela declaração não são retroativos, validados os atos praticados pelos ocupantes dos cargos de delegado de polícia.</w:t>
      </w:r>
    </w:p>
    <w:p w:rsidR="00CC4E55" w:rsidRDefault="00CC4E55" w:rsidP="000D520D">
      <w:pPr>
        <w:spacing w:after="0"/>
        <w:jc w:val="both"/>
        <w:rPr>
          <w:rFonts w:ascii="Arial" w:hAnsi="Arial" w:cs="Arial"/>
          <w:b/>
          <w:sz w:val="20"/>
          <w:szCs w:val="20"/>
        </w:rPr>
      </w:pPr>
    </w:p>
    <w:p w:rsidR="00051ED4" w:rsidRDefault="00C747C3" w:rsidP="000D520D">
      <w:pPr>
        <w:spacing w:after="0"/>
        <w:jc w:val="both"/>
        <w:rPr>
          <w:rFonts w:ascii="Arial" w:hAnsi="Arial" w:cs="Arial"/>
          <w:bCs/>
          <w:sz w:val="20"/>
          <w:szCs w:val="20"/>
          <w:shd w:val="clear" w:color="auto" w:fill="FFFFFF"/>
        </w:rPr>
      </w:pPr>
      <w:hyperlink r:id="rId19" w:history="1">
        <w:r w:rsidR="00844A77" w:rsidRPr="00C92BC2">
          <w:rPr>
            <w:rStyle w:val="Hyperlink"/>
            <w:rFonts w:ascii="Arial" w:hAnsi="Arial" w:cs="Arial"/>
            <w:b/>
            <w:bCs/>
            <w:sz w:val="20"/>
            <w:szCs w:val="20"/>
            <w:shd w:val="clear" w:color="auto" w:fill="FFFFFF"/>
          </w:rPr>
          <w:t>ADI-3415</w:t>
        </w:r>
      </w:hyperlink>
      <w:r w:rsidR="00844A77">
        <w:rPr>
          <w:rFonts w:ascii="Arial" w:hAnsi="Arial" w:cs="Arial"/>
          <w:b/>
          <w:bCs/>
          <w:sz w:val="20"/>
          <w:szCs w:val="20"/>
          <w:shd w:val="clear" w:color="auto" w:fill="FFFFFF"/>
        </w:rPr>
        <w:t xml:space="preserve"> </w:t>
      </w:r>
      <w:r w:rsidR="00844A77" w:rsidRPr="00844A77">
        <w:rPr>
          <w:rFonts w:ascii="Arial" w:hAnsi="Arial" w:cs="Arial"/>
          <w:bCs/>
          <w:sz w:val="20"/>
          <w:szCs w:val="20"/>
          <w:shd w:val="clear" w:color="auto" w:fill="FFFFFF"/>
        </w:rPr>
        <w:t xml:space="preserve">- </w:t>
      </w:r>
      <w:r w:rsidR="00051ED4" w:rsidRPr="00844A77">
        <w:rPr>
          <w:rFonts w:ascii="Arial" w:hAnsi="Arial" w:cs="Arial"/>
          <w:bCs/>
          <w:sz w:val="20"/>
          <w:szCs w:val="20"/>
          <w:shd w:val="clear" w:color="auto" w:fill="FFFFFF"/>
        </w:rPr>
        <w:t>ADI 3415 ED-segundos/AM, rel. Min. Alexandre de Moraes, julgamento em 1º.8.2018.</w:t>
      </w:r>
    </w:p>
    <w:p w:rsidR="005F3EA7" w:rsidRDefault="005F3EA7" w:rsidP="000D520D">
      <w:pPr>
        <w:spacing w:after="0"/>
        <w:jc w:val="both"/>
        <w:rPr>
          <w:rFonts w:ascii="Arial" w:hAnsi="Arial" w:cs="Arial"/>
          <w:bCs/>
          <w:sz w:val="20"/>
          <w:szCs w:val="20"/>
          <w:shd w:val="clear" w:color="auto" w:fill="FFFFFF"/>
        </w:rPr>
      </w:pPr>
    </w:p>
    <w:p w:rsidR="000800D1" w:rsidRDefault="000800D1" w:rsidP="006E12D5">
      <w:pPr>
        <w:spacing w:after="0"/>
        <w:jc w:val="both"/>
        <w:rPr>
          <w:rFonts w:ascii="Arial" w:hAnsi="Arial" w:cs="Arial"/>
          <w:b/>
          <w:color w:val="000000"/>
          <w:sz w:val="20"/>
          <w:szCs w:val="20"/>
        </w:rPr>
      </w:pPr>
      <w:r w:rsidRPr="00DB558E">
        <w:rPr>
          <w:rFonts w:ascii="Arial" w:hAnsi="Arial" w:cs="Arial"/>
          <w:b/>
          <w:color w:val="000000"/>
          <w:sz w:val="20"/>
          <w:szCs w:val="20"/>
        </w:rPr>
        <w:t>Tribunal de Contas da União:</w:t>
      </w:r>
    </w:p>
    <w:p w:rsidR="00E3534F" w:rsidRDefault="00E3534F" w:rsidP="006E12D5">
      <w:pPr>
        <w:spacing w:after="0"/>
        <w:jc w:val="both"/>
        <w:rPr>
          <w:rFonts w:ascii="Arial" w:hAnsi="Arial" w:cs="Arial"/>
          <w:b/>
          <w:color w:val="000000"/>
          <w:sz w:val="20"/>
          <w:szCs w:val="20"/>
        </w:rPr>
      </w:pPr>
    </w:p>
    <w:p w:rsidR="00E3534F" w:rsidRPr="00E3534F" w:rsidRDefault="00C747C3" w:rsidP="00E3534F">
      <w:pPr>
        <w:widowControl w:val="0"/>
        <w:autoSpaceDE w:val="0"/>
        <w:autoSpaceDN w:val="0"/>
        <w:jc w:val="both"/>
        <w:rPr>
          <w:rFonts w:ascii="Arial" w:hAnsi="Arial" w:cs="Arial"/>
          <w:b/>
          <w:sz w:val="20"/>
          <w:szCs w:val="20"/>
        </w:rPr>
      </w:pPr>
      <w:hyperlink r:id="rId20" w:history="1">
        <w:r w:rsidR="00E3534F" w:rsidRPr="00065A4E">
          <w:rPr>
            <w:rStyle w:val="Hyperlink"/>
            <w:rFonts w:ascii="Arial" w:hAnsi="Arial" w:cs="Arial"/>
            <w:b/>
            <w:sz w:val="20"/>
            <w:szCs w:val="20"/>
          </w:rPr>
          <w:t>Acórdão 1182/2018</w:t>
        </w:r>
        <w:r w:rsidR="00065A4E">
          <w:rPr>
            <w:rStyle w:val="Hyperlink"/>
            <w:rFonts w:ascii="Arial" w:hAnsi="Arial" w:cs="Arial"/>
            <w:b/>
            <w:sz w:val="20"/>
            <w:szCs w:val="20"/>
          </w:rPr>
          <w:t xml:space="preserve"> -</w:t>
        </w:r>
        <w:r w:rsidR="00E3534F" w:rsidRPr="00065A4E">
          <w:rPr>
            <w:rStyle w:val="Hyperlink"/>
            <w:rFonts w:ascii="Arial" w:hAnsi="Arial" w:cs="Arial"/>
            <w:b/>
            <w:sz w:val="20"/>
            <w:szCs w:val="20"/>
          </w:rPr>
          <w:t xml:space="preserve"> Plenário</w:t>
        </w:r>
      </w:hyperlink>
      <w:r w:rsidR="00E3534F" w:rsidRPr="00E3534F">
        <w:rPr>
          <w:rFonts w:ascii="Arial" w:hAnsi="Arial" w:cs="Arial"/>
          <w:b/>
          <w:sz w:val="20"/>
          <w:szCs w:val="20"/>
        </w:rPr>
        <w:t xml:space="preserve"> </w:t>
      </w:r>
      <w:r w:rsidR="00E3534F" w:rsidRPr="00E3534F">
        <w:rPr>
          <w:rFonts w:ascii="Arial" w:hAnsi="Arial" w:cs="Arial"/>
          <w:sz w:val="20"/>
          <w:szCs w:val="20"/>
        </w:rPr>
        <w:t xml:space="preserve">(Auditoria, Relator Ministro Benjamin </w:t>
      </w:r>
      <w:proofErr w:type="spellStart"/>
      <w:r w:rsidR="00E3534F" w:rsidRPr="00E3534F">
        <w:rPr>
          <w:rFonts w:ascii="Arial" w:hAnsi="Arial" w:cs="Arial"/>
          <w:sz w:val="20"/>
          <w:szCs w:val="20"/>
        </w:rPr>
        <w:t>Zymler</w:t>
      </w:r>
      <w:proofErr w:type="spellEnd"/>
      <w:r w:rsidR="00E3534F" w:rsidRPr="00E3534F">
        <w:rPr>
          <w:rFonts w:ascii="Arial" w:hAnsi="Arial" w:cs="Arial"/>
          <w:sz w:val="20"/>
          <w:szCs w:val="20"/>
        </w:rPr>
        <w:t>)</w:t>
      </w:r>
    </w:p>
    <w:p w:rsidR="00E3534F" w:rsidRPr="00E35F3D" w:rsidRDefault="00E3534F" w:rsidP="00E3534F">
      <w:pPr>
        <w:jc w:val="both"/>
        <w:rPr>
          <w:rFonts w:ascii="Arial" w:hAnsi="Arial" w:cs="Arial"/>
          <w:b/>
          <w:sz w:val="20"/>
          <w:szCs w:val="20"/>
        </w:rPr>
      </w:pPr>
      <w:r w:rsidRPr="00E35F3D">
        <w:rPr>
          <w:rFonts w:ascii="Arial" w:hAnsi="Arial" w:cs="Arial"/>
          <w:b/>
          <w:sz w:val="20"/>
          <w:szCs w:val="20"/>
        </w:rPr>
        <w:t>Contrato Administrativo. Obras e serviços de engenharia. Obra paralisada. Contratação emergencial. Indenização.</w:t>
      </w:r>
    </w:p>
    <w:p w:rsidR="00E3534F" w:rsidRPr="00E3534F" w:rsidRDefault="00E3534F" w:rsidP="00E3534F">
      <w:pPr>
        <w:pStyle w:val="TCU-Epgrafe"/>
        <w:spacing w:after="200" w:line="276" w:lineRule="auto"/>
        <w:ind w:left="0"/>
        <w:rPr>
          <w:rFonts w:ascii="Arial" w:hAnsi="Arial" w:cs="Arial"/>
          <w:sz w:val="20"/>
        </w:rPr>
      </w:pPr>
      <w:r w:rsidRPr="00E3534F">
        <w:rPr>
          <w:rFonts w:ascii="Arial" w:hAnsi="Arial" w:cs="Arial"/>
          <w:sz w:val="20"/>
        </w:rPr>
        <w:t xml:space="preserve">Despesas em contrato emergencial celebrado em decorrência de abandono de obra, e que não existiriam caso houvesse o adimplemento regular do contrato anterior, devem ser incluídas no encontro de contas da rescisão (art. 80, inciso III, da </w:t>
      </w:r>
      <w:hyperlink r:id="rId21" w:history="1">
        <w:r w:rsidRPr="00E3534F">
          <w:rPr>
            <w:rStyle w:val="Hyperlink"/>
            <w:rFonts w:ascii="Arial" w:hAnsi="Arial" w:cs="Arial"/>
            <w:color w:val="0000FF" w:themeColor="hyperlink"/>
            <w:sz w:val="20"/>
          </w:rPr>
          <w:t>Lei 8.666/1993</w:t>
        </w:r>
      </w:hyperlink>
      <w:r w:rsidRPr="00E3534F">
        <w:rPr>
          <w:rFonts w:ascii="Arial" w:hAnsi="Arial" w:cs="Arial"/>
          <w:sz w:val="20"/>
        </w:rPr>
        <w:t>), a título de indenização por perdas e danos da Administração.</w:t>
      </w:r>
    </w:p>
    <w:p w:rsidR="00D22416" w:rsidRPr="00D22416" w:rsidRDefault="00C747C3" w:rsidP="00D22416">
      <w:pPr>
        <w:widowControl w:val="0"/>
        <w:autoSpaceDE w:val="0"/>
        <w:autoSpaceDN w:val="0"/>
        <w:jc w:val="both"/>
        <w:rPr>
          <w:rFonts w:ascii="Arial" w:hAnsi="Arial" w:cs="Arial"/>
          <w:b/>
          <w:sz w:val="20"/>
          <w:szCs w:val="20"/>
        </w:rPr>
      </w:pPr>
      <w:hyperlink r:id="rId22" w:history="1">
        <w:r w:rsidR="00D22416" w:rsidRPr="00007198">
          <w:rPr>
            <w:rStyle w:val="Hyperlink"/>
            <w:rFonts w:ascii="Arial" w:hAnsi="Arial" w:cs="Arial"/>
            <w:b/>
            <w:sz w:val="20"/>
            <w:szCs w:val="20"/>
          </w:rPr>
          <w:t>Acórdão 1191/2018</w:t>
        </w:r>
        <w:r w:rsidR="00007198">
          <w:rPr>
            <w:rStyle w:val="Hyperlink"/>
            <w:rFonts w:ascii="Arial" w:hAnsi="Arial" w:cs="Arial"/>
            <w:b/>
            <w:sz w:val="20"/>
            <w:szCs w:val="20"/>
          </w:rPr>
          <w:t xml:space="preserve"> - </w:t>
        </w:r>
        <w:r w:rsidR="00D22416" w:rsidRPr="00007198">
          <w:rPr>
            <w:rStyle w:val="Hyperlink"/>
            <w:rFonts w:ascii="Arial" w:hAnsi="Arial" w:cs="Arial"/>
            <w:b/>
            <w:sz w:val="20"/>
            <w:szCs w:val="20"/>
          </w:rPr>
          <w:t>Plenário</w:t>
        </w:r>
      </w:hyperlink>
      <w:r w:rsidR="00D22416" w:rsidRPr="00D22416">
        <w:rPr>
          <w:rFonts w:ascii="Arial" w:hAnsi="Arial" w:cs="Arial"/>
          <w:b/>
          <w:sz w:val="20"/>
          <w:szCs w:val="20"/>
        </w:rPr>
        <w:t xml:space="preserve"> </w:t>
      </w:r>
      <w:r w:rsidR="00D22416" w:rsidRPr="00D22416">
        <w:rPr>
          <w:rFonts w:ascii="Arial" w:hAnsi="Arial" w:cs="Arial"/>
          <w:sz w:val="20"/>
          <w:szCs w:val="20"/>
        </w:rPr>
        <w:t xml:space="preserve">(Representação, Relator Ministro Benjamin </w:t>
      </w:r>
      <w:proofErr w:type="spellStart"/>
      <w:r w:rsidR="00D22416" w:rsidRPr="00D22416">
        <w:rPr>
          <w:rFonts w:ascii="Arial" w:hAnsi="Arial" w:cs="Arial"/>
          <w:sz w:val="20"/>
          <w:szCs w:val="20"/>
        </w:rPr>
        <w:t>Zymler</w:t>
      </w:r>
      <w:proofErr w:type="spellEnd"/>
      <w:r w:rsidR="00D22416" w:rsidRPr="00D22416">
        <w:rPr>
          <w:rFonts w:ascii="Arial" w:hAnsi="Arial" w:cs="Arial"/>
          <w:sz w:val="20"/>
          <w:szCs w:val="20"/>
        </w:rPr>
        <w:t>)</w:t>
      </w:r>
    </w:p>
    <w:p w:rsidR="00D22416" w:rsidRPr="00E35F3D" w:rsidRDefault="00D22416" w:rsidP="00D22416">
      <w:pPr>
        <w:jc w:val="both"/>
        <w:rPr>
          <w:rFonts w:ascii="Arial" w:hAnsi="Arial" w:cs="Arial"/>
          <w:b/>
          <w:sz w:val="20"/>
          <w:szCs w:val="20"/>
        </w:rPr>
      </w:pPr>
      <w:r w:rsidRPr="00E35F3D">
        <w:rPr>
          <w:rFonts w:ascii="Arial" w:hAnsi="Arial" w:cs="Arial"/>
          <w:b/>
          <w:sz w:val="20"/>
          <w:szCs w:val="20"/>
        </w:rPr>
        <w:t>Licitação. Inexigibilidade de licitação. Credenciamento. Folha de pagamento. Instituição financeira.</w:t>
      </w:r>
    </w:p>
    <w:p w:rsidR="00D22416" w:rsidRPr="00D22416" w:rsidRDefault="00D22416" w:rsidP="00D22416">
      <w:pPr>
        <w:pStyle w:val="TCU-Epgrafe"/>
        <w:spacing w:after="200" w:line="276" w:lineRule="auto"/>
        <w:ind w:left="0"/>
        <w:rPr>
          <w:rFonts w:ascii="Arial" w:hAnsi="Arial" w:cs="Arial"/>
          <w:sz w:val="20"/>
        </w:rPr>
      </w:pPr>
      <w:r w:rsidRPr="00D22416">
        <w:rPr>
          <w:rFonts w:ascii="Arial" w:hAnsi="Arial" w:cs="Arial"/>
          <w:sz w:val="20"/>
        </w:rPr>
        <w:t>É possível a utilização do credenciamento para a contratação de instituições financeiras visando à prestação do serviço de pagamento da remuneração de servidores públicos, desde que demonstrado que a adoção desse modelo é mais vantajosa para a Administração Pública.</w:t>
      </w:r>
    </w:p>
    <w:p w:rsidR="00D22416" w:rsidRPr="00D22416" w:rsidRDefault="00C747C3" w:rsidP="00D22416">
      <w:pPr>
        <w:widowControl w:val="0"/>
        <w:autoSpaceDE w:val="0"/>
        <w:autoSpaceDN w:val="0"/>
        <w:jc w:val="both"/>
        <w:rPr>
          <w:rFonts w:ascii="Arial" w:hAnsi="Arial" w:cs="Arial"/>
          <w:b/>
          <w:sz w:val="20"/>
          <w:szCs w:val="20"/>
        </w:rPr>
      </w:pPr>
      <w:hyperlink r:id="rId23" w:history="1">
        <w:r w:rsidR="00D22416" w:rsidRPr="005D11C2">
          <w:rPr>
            <w:rStyle w:val="Hyperlink"/>
            <w:rFonts w:ascii="Arial" w:hAnsi="Arial"/>
            <w:b/>
            <w:sz w:val="20"/>
            <w:szCs w:val="20"/>
          </w:rPr>
          <w:t xml:space="preserve">Acórdão 1194/2018 </w:t>
        </w:r>
        <w:r w:rsidR="005D11C2">
          <w:rPr>
            <w:rStyle w:val="Hyperlink"/>
            <w:rFonts w:ascii="Arial" w:hAnsi="Arial"/>
            <w:b/>
            <w:sz w:val="20"/>
            <w:szCs w:val="20"/>
          </w:rPr>
          <w:t xml:space="preserve">- </w:t>
        </w:r>
        <w:r w:rsidR="00D22416" w:rsidRPr="005D11C2">
          <w:rPr>
            <w:rStyle w:val="Hyperlink"/>
            <w:rFonts w:ascii="Arial" w:hAnsi="Arial"/>
            <w:b/>
            <w:sz w:val="20"/>
            <w:szCs w:val="20"/>
          </w:rPr>
          <w:t>Plenário</w:t>
        </w:r>
      </w:hyperlink>
      <w:r w:rsidR="00D22416" w:rsidRPr="00D22416">
        <w:rPr>
          <w:rFonts w:ascii="Arial" w:hAnsi="Arial"/>
          <w:b/>
          <w:sz w:val="20"/>
          <w:szCs w:val="20"/>
        </w:rPr>
        <w:t xml:space="preserve"> </w:t>
      </w:r>
      <w:r w:rsidR="00D22416" w:rsidRPr="00D22416">
        <w:rPr>
          <w:rFonts w:ascii="Arial" w:hAnsi="Arial"/>
          <w:sz w:val="20"/>
          <w:szCs w:val="20"/>
        </w:rPr>
        <w:t>(Auditoria, Relator Ministro-Substituto Augusto Sherman)</w:t>
      </w:r>
    </w:p>
    <w:p w:rsidR="00D22416" w:rsidRPr="00E35F3D" w:rsidRDefault="00D22416" w:rsidP="00D22416">
      <w:pPr>
        <w:jc w:val="both"/>
        <w:rPr>
          <w:rFonts w:ascii="Arial" w:hAnsi="Arial" w:cs="Arial"/>
          <w:b/>
          <w:sz w:val="20"/>
          <w:szCs w:val="20"/>
        </w:rPr>
      </w:pPr>
      <w:r w:rsidRPr="00E35F3D">
        <w:rPr>
          <w:rFonts w:ascii="Arial" w:hAnsi="Arial"/>
          <w:b/>
          <w:sz w:val="20"/>
          <w:szCs w:val="20"/>
        </w:rPr>
        <w:t>Contrato Administrativo. Aditivo. Requisito. Empreitada integral. Projeto básico. Imprecisão.</w:t>
      </w:r>
    </w:p>
    <w:p w:rsidR="00D22416" w:rsidRPr="00D22416" w:rsidRDefault="00D22416" w:rsidP="00D22416">
      <w:pPr>
        <w:pStyle w:val="TCU-Epgrafe"/>
        <w:spacing w:after="200" w:line="276" w:lineRule="auto"/>
        <w:ind w:left="0"/>
        <w:rPr>
          <w:sz w:val="20"/>
        </w:rPr>
      </w:pPr>
      <w:r w:rsidRPr="00D22416">
        <w:rPr>
          <w:rFonts w:ascii="Arial" w:hAnsi="Arial"/>
          <w:sz w:val="20"/>
        </w:rPr>
        <w:t>Em contratação sob o regime de empreitada integral, a celebração de aditivo contratual somente é admitida sob condições especiais, decorrentes de fatos imprevisíveis. Eventuais imprecisões no projeto básico não são motivo para correção por meio de aditivo, já que constituem riscos que se inserem na álea contratual ordinária, os quais são assumidos pelo contratado.</w:t>
      </w:r>
    </w:p>
    <w:p w:rsidR="00D22416" w:rsidRPr="00D22416" w:rsidRDefault="00C747C3" w:rsidP="00D22416">
      <w:pPr>
        <w:widowControl w:val="0"/>
        <w:autoSpaceDE w:val="0"/>
        <w:autoSpaceDN w:val="0"/>
        <w:jc w:val="both"/>
        <w:rPr>
          <w:rFonts w:ascii="Arial" w:hAnsi="Arial" w:cs="Arial"/>
          <w:b/>
          <w:sz w:val="20"/>
          <w:szCs w:val="20"/>
        </w:rPr>
      </w:pPr>
      <w:hyperlink r:id="rId24" w:history="1">
        <w:r w:rsidR="00D22416" w:rsidRPr="00F763FD">
          <w:rPr>
            <w:rStyle w:val="Hyperlink"/>
            <w:rFonts w:ascii="Arial" w:hAnsi="Arial"/>
            <w:b/>
            <w:sz w:val="20"/>
            <w:szCs w:val="20"/>
          </w:rPr>
          <w:t xml:space="preserve">Acórdão 1194/2018 </w:t>
        </w:r>
        <w:r w:rsidR="00F763FD">
          <w:rPr>
            <w:rStyle w:val="Hyperlink"/>
            <w:rFonts w:ascii="Arial" w:hAnsi="Arial"/>
            <w:b/>
            <w:sz w:val="20"/>
            <w:szCs w:val="20"/>
          </w:rPr>
          <w:t xml:space="preserve">- </w:t>
        </w:r>
        <w:r w:rsidR="00D22416" w:rsidRPr="00F763FD">
          <w:rPr>
            <w:rStyle w:val="Hyperlink"/>
            <w:rFonts w:ascii="Arial" w:hAnsi="Arial"/>
            <w:b/>
            <w:sz w:val="20"/>
            <w:szCs w:val="20"/>
          </w:rPr>
          <w:t>Plenário</w:t>
        </w:r>
      </w:hyperlink>
      <w:r w:rsidR="00D22416" w:rsidRPr="00D22416">
        <w:rPr>
          <w:rFonts w:ascii="Arial" w:hAnsi="Arial"/>
          <w:b/>
          <w:sz w:val="20"/>
          <w:szCs w:val="20"/>
        </w:rPr>
        <w:t xml:space="preserve"> </w:t>
      </w:r>
      <w:r w:rsidR="00D22416" w:rsidRPr="00D22416">
        <w:rPr>
          <w:rFonts w:ascii="Arial" w:hAnsi="Arial"/>
          <w:sz w:val="20"/>
          <w:szCs w:val="20"/>
        </w:rPr>
        <w:t>(Auditoria, Relator Ministro-Substituto Augusto Sherman)</w:t>
      </w:r>
    </w:p>
    <w:p w:rsidR="00D22416" w:rsidRPr="00E35F3D" w:rsidRDefault="00D22416" w:rsidP="00D22416">
      <w:pPr>
        <w:jc w:val="both"/>
        <w:rPr>
          <w:rFonts w:ascii="Arial" w:hAnsi="Arial" w:cs="Arial"/>
          <w:b/>
          <w:sz w:val="20"/>
          <w:szCs w:val="20"/>
        </w:rPr>
      </w:pPr>
      <w:r w:rsidRPr="00E35F3D">
        <w:rPr>
          <w:rFonts w:ascii="Arial" w:hAnsi="Arial"/>
          <w:b/>
          <w:sz w:val="20"/>
          <w:szCs w:val="20"/>
        </w:rPr>
        <w:t xml:space="preserve">Contrato Administrativo. Obras e serviços de engenharia. Superfaturamento. Metodologia. </w:t>
      </w:r>
      <w:proofErr w:type="spellStart"/>
      <w:r w:rsidRPr="00E35F3D">
        <w:rPr>
          <w:rFonts w:ascii="Arial" w:hAnsi="Arial"/>
          <w:b/>
          <w:sz w:val="20"/>
          <w:szCs w:val="20"/>
        </w:rPr>
        <w:t>Sobrepreço</w:t>
      </w:r>
      <w:proofErr w:type="spellEnd"/>
      <w:r w:rsidRPr="00E35F3D">
        <w:rPr>
          <w:rFonts w:ascii="Arial" w:hAnsi="Arial"/>
          <w:b/>
          <w:sz w:val="20"/>
          <w:szCs w:val="20"/>
        </w:rPr>
        <w:t>. Amostragem.</w:t>
      </w:r>
    </w:p>
    <w:p w:rsidR="00D22416" w:rsidRPr="00D22416" w:rsidRDefault="00D22416" w:rsidP="00D22416">
      <w:pPr>
        <w:jc w:val="both"/>
        <w:rPr>
          <w:sz w:val="20"/>
          <w:szCs w:val="20"/>
        </w:rPr>
      </w:pPr>
      <w:r w:rsidRPr="00D22416">
        <w:rPr>
          <w:rFonts w:ascii="Arial" w:hAnsi="Arial"/>
          <w:sz w:val="20"/>
          <w:szCs w:val="20"/>
          <w:shd w:val="clear" w:color="auto" w:fill="FFFFFF"/>
          <w:lang w:eastAsia="pt-BR"/>
        </w:rPr>
        <w:t xml:space="preserve">Admite-se imputação de débito com base em superfaturamento apurado em amostra de itens do orçamento da obra. Para itens não avaliados, compete ao responsável comprovar que eventuais subpreços compensam os </w:t>
      </w:r>
      <w:proofErr w:type="spellStart"/>
      <w:r w:rsidRPr="00D22416">
        <w:rPr>
          <w:rFonts w:ascii="Arial" w:hAnsi="Arial"/>
          <w:sz w:val="20"/>
          <w:szCs w:val="20"/>
          <w:shd w:val="clear" w:color="auto" w:fill="FFFFFF"/>
          <w:lang w:eastAsia="pt-BR"/>
        </w:rPr>
        <w:t>sobrepreços</w:t>
      </w:r>
      <w:proofErr w:type="spellEnd"/>
      <w:r w:rsidRPr="00D22416">
        <w:rPr>
          <w:rFonts w:ascii="Arial" w:hAnsi="Arial"/>
          <w:sz w:val="20"/>
          <w:szCs w:val="20"/>
          <w:shd w:val="clear" w:color="auto" w:fill="FFFFFF"/>
          <w:lang w:eastAsia="pt-BR"/>
        </w:rPr>
        <w:t xml:space="preserve"> detectados na amostra.</w:t>
      </w:r>
    </w:p>
    <w:p w:rsidR="00C01EFC" w:rsidRPr="00C01EFC" w:rsidRDefault="00C747C3" w:rsidP="00C01EFC">
      <w:pPr>
        <w:widowControl w:val="0"/>
        <w:autoSpaceDE w:val="0"/>
        <w:autoSpaceDN w:val="0"/>
        <w:jc w:val="both"/>
        <w:rPr>
          <w:rFonts w:ascii="Arial" w:hAnsi="Arial" w:cs="Arial"/>
          <w:b/>
          <w:sz w:val="20"/>
          <w:szCs w:val="20"/>
        </w:rPr>
      </w:pPr>
      <w:hyperlink r:id="rId25" w:history="1">
        <w:r w:rsidR="00C01EFC" w:rsidRPr="00162F2A">
          <w:rPr>
            <w:rStyle w:val="Hyperlink"/>
            <w:rFonts w:ascii="Arial" w:hAnsi="Arial" w:cs="Arial"/>
            <w:b/>
            <w:sz w:val="20"/>
            <w:szCs w:val="20"/>
          </w:rPr>
          <w:t xml:space="preserve">Acórdão 4725/2018 </w:t>
        </w:r>
        <w:r w:rsidR="00162F2A">
          <w:rPr>
            <w:rStyle w:val="Hyperlink"/>
            <w:rFonts w:ascii="Arial" w:hAnsi="Arial" w:cs="Arial"/>
            <w:b/>
            <w:sz w:val="20"/>
            <w:szCs w:val="20"/>
          </w:rPr>
          <w:t xml:space="preserve">- </w:t>
        </w:r>
        <w:r w:rsidR="00C01EFC" w:rsidRPr="00162F2A">
          <w:rPr>
            <w:rStyle w:val="Hyperlink"/>
            <w:rFonts w:ascii="Arial" w:hAnsi="Arial" w:cs="Arial"/>
            <w:b/>
            <w:sz w:val="20"/>
            <w:szCs w:val="20"/>
          </w:rPr>
          <w:t>Primeira Câmara</w:t>
        </w:r>
      </w:hyperlink>
      <w:r w:rsidR="00C01EFC" w:rsidRPr="00C01EFC">
        <w:rPr>
          <w:rFonts w:ascii="Arial" w:hAnsi="Arial" w:cs="Arial"/>
          <w:b/>
          <w:sz w:val="20"/>
          <w:szCs w:val="20"/>
        </w:rPr>
        <w:t xml:space="preserve"> </w:t>
      </w:r>
      <w:r w:rsidR="00C01EFC" w:rsidRPr="00C01EFC">
        <w:rPr>
          <w:rFonts w:ascii="Arial" w:hAnsi="Arial" w:cs="Arial"/>
          <w:sz w:val="20"/>
          <w:szCs w:val="20"/>
        </w:rPr>
        <w:t>(Aposentadoria, Relator Ministro Vital do Rêgo)</w:t>
      </w:r>
    </w:p>
    <w:p w:rsidR="00C01EFC" w:rsidRPr="00E35F3D" w:rsidRDefault="00C01EFC" w:rsidP="00C01EFC">
      <w:pPr>
        <w:jc w:val="both"/>
        <w:rPr>
          <w:rFonts w:ascii="Arial" w:hAnsi="Arial" w:cs="Arial"/>
          <w:b/>
          <w:sz w:val="20"/>
          <w:szCs w:val="20"/>
        </w:rPr>
      </w:pPr>
      <w:r w:rsidRPr="00E35F3D">
        <w:rPr>
          <w:rFonts w:ascii="Arial" w:hAnsi="Arial" w:cs="Arial"/>
          <w:b/>
          <w:sz w:val="20"/>
          <w:szCs w:val="20"/>
        </w:rPr>
        <w:t>Pessoal. Ato sujeito a registro. Princípio da segurança jurídica. Aposentadoria. Tempo de serviço. Averbação. Ato ilegal.</w:t>
      </w:r>
    </w:p>
    <w:p w:rsidR="00C01EFC" w:rsidRDefault="00C01EFC" w:rsidP="00C01EFC">
      <w:pPr>
        <w:pStyle w:val="TCU-Epgrafe"/>
        <w:spacing w:after="200" w:line="276" w:lineRule="auto"/>
        <w:ind w:left="0"/>
        <w:rPr>
          <w:rFonts w:ascii="Arial" w:hAnsi="Arial" w:cs="Arial"/>
          <w:sz w:val="20"/>
        </w:rPr>
      </w:pPr>
      <w:r w:rsidRPr="00C01EFC">
        <w:rPr>
          <w:rFonts w:ascii="Arial" w:hAnsi="Arial" w:cs="Arial"/>
          <w:sz w:val="20"/>
        </w:rPr>
        <w:t>Em caráter excepcional, considerando a idade avançada do interessado, que impossibilita seu retorno ao trabalho para complementação de tempo de serviço irregularmente averbado, e o longo período decorrido entre a data de concessão da aposentadoria e sua apreciação pelo TCU, é possível a aplicação do princípio da segurança jurídica, a fim de se considerar legal ato que contenha mencionada irregularidade.</w:t>
      </w:r>
    </w:p>
    <w:p w:rsidR="006378AB" w:rsidRPr="00E65532" w:rsidRDefault="00C747C3" w:rsidP="006378AB">
      <w:pPr>
        <w:widowControl w:val="0"/>
        <w:autoSpaceDE w:val="0"/>
        <w:autoSpaceDN w:val="0"/>
        <w:jc w:val="both"/>
        <w:rPr>
          <w:rFonts w:ascii="Arial" w:hAnsi="Arial" w:cs="Arial"/>
          <w:b/>
          <w:sz w:val="20"/>
          <w:szCs w:val="20"/>
        </w:rPr>
      </w:pPr>
      <w:hyperlink r:id="rId26" w:history="1">
        <w:r w:rsidR="006378AB" w:rsidRPr="00387F62">
          <w:rPr>
            <w:rStyle w:val="Hyperlink"/>
            <w:rFonts w:ascii="Arial" w:hAnsi="Arial" w:cs="Arial"/>
            <w:b/>
            <w:sz w:val="20"/>
            <w:szCs w:val="20"/>
          </w:rPr>
          <w:t xml:space="preserve">Acórdão 5267/2018 </w:t>
        </w:r>
        <w:r w:rsidR="00387F62">
          <w:rPr>
            <w:rStyle w:val="Hyperlink"/>
            <w:rFonts w:ascii="Arial" w:hAnsi="Arial" w:cs="Arial"/>
            <w:b/>
            <w:sz w:val="20"/>
            <w:szCs w:val="20"/>
          </w:rPr>
          <w:t xml:space="preserve">- </w:t>
        </w:r>
        <w:r w:rsidR="006378AB" w:rsidRPr="00387F62">
          <w:rPr>
            <w:rStyle w:val="Hyperlink"/>
            <w:rFonts w:ascii="Arial" w:hAnsi="Arial" w:cs="Arial"/>
            <w:b/>
            <w:sz w:val="20"/>
            <w:szCs w:val="20"/>
          </w:rPr>
          <w:t>Primeira Câmara</w:t>
        </w:r>
      </w:hyperlink>
      <w:r w:rsidR="006378AB" w:rsidRPr="00E65532">
        <w:rPr>
          <w:rFonts w:ascii="Arial" w:hAnsi="Arial" w:cs="Arial"/>
          <w:b/>
          <w:sz w:val="20"/>
          <w:szCs w:val="20"/>
        </w:rPr>
        <w:t xml:space="preserve"> </w:t>
      </w:r>
      <w:r w:rsidR="006378AB" w:rsidRPr="00E65532">
        <w:rPr>
          <w:rFonts w:ascii="Arial" w:hAnsi="Arial" w:cs="Arial"/>
          <w:sz w:val="20"/>
          <w:szCs w:val="20"/>
        </w:rPr>
        <w:t xml:space="preserve">(Admissão, Relator Ministro-Substituto </w:t>
      </w:r>
      <w:proofErr w:type="spellStart"/>
      <w:r w:rsidR="006378AB" w:rsidRPr="00E65532">
        <w:rPr>
          <w:rFonts w:ascii="Arial" w:hAnsi="Arial" w:cs="Arial"/>
          <w:sz w:val="20"/>
          <w:szCs w:val="20"/>
        </w:rPr>
        <w:t>Weder</w:t>
      </w:r>
      <w:proofErr w:type="spellEnd"/>
      <w:r w:rsidR="006378AB" w:rsidRPr="00E65532">
        <w:rPr>
          <w:rFonts w:ascii="Arial" w:hAnsi="Arial" w:cs="Arial"/>
          <w:sz w:val="20"/>
          <w:szCs w:val="20"/>
        </w:rPr>
        <w:t xml:space="preserve"> de Oliveira)</w:t>
      </w:r>
    </w:p>
    <w:p w:rsidR="006378AB" w:rsidRPr="00E35F3D" w:rsidRDefault="006378AB" w:rsidP="006378AB">
      <w:pPr>
        <w:jc w:val="both"/>
        <w:rPr>
          <w:rFonts w:ascii="Arial" w:hAnsi="Arial" w:cs="Arial"/>
          <w:b/>
          <w:sz w:val="20"/>
          <w:szCs w:val="20"/>
        </w:rPr>
      </w:pPr>
      <w:r w:rsidRPr="00E35F3D">
        <w:rPr>
          <w:rFonts w:ascii="Arial" w:hAnsi="Arial" w:cs="Arial"/>
          <w:b/>
          <w:sz w:val="20"/>
          <w:szCs w:val="20"/>
        </w:rPr>
        <w:t>Pessoal. Acumulação de cargo público. Professor. Cargo técnico. Nível médio.</w:t>
      </w:r>
    </w:p>
    <w:p w:rsidR="006378AB" w:rsidRPr="00E65532" w:rsidRDefault="006378AB" w:rsidP="006378AB">
      <w:pPr>
        <w:pStyle w:val="TCU-Epgrafe"/>
        <w:spacing w:after="200" w:line="276" w:lineRule="auto"/>
        <w:ind w:left="0"/>
        <w:rPr>
          <w:rFonts w:ascii="Arial" w:hAnsi="Arial" w:cs="Arial"/>
          <w:sz w:val="20"/>
        </w:rPr>
      </w:pPr>
      <w:r w:rsidRPr="00E65532">
        <w:rPr>
          <w:rFonts w:ascii="Arial" w:hAnsi="Arial" w:cs="Arial"/>
          <w:sz w:val="20"/>
        </w:rPr>
        <w:lastRenderedPageBreak/>
        <w:t xml:space="preserve">É irregular a acumulação de cargo de professor com de técnico de nível médio para o qual não se exige qualquer formação específica e cujas atribuições não são de natureza eminentemente técnica ou científica. A expressão “técnico” em nome de cargo não é suficiente, por si só, para classificá-lo na categoria de cargo técnico ou científico a que se refere o art. 37, inciso XVI, alínea “b”, da </w:t>
      </w:r>
      <w:hyperlink r:id="rId27" w:history="1">
        <w:r w:rsidRPr="00E65532">
          <w:rPr>
            <w:rStyle w:val="Hyperlink"/>
            <w:rFonts w:ascii="Arial" w:hAnsi="Arial" w:cs="Arial"/>
            <w:color w:val="0000FF" w:themeColor="hyperlink"/>
            <w:sz w:val="20"/>
          </w:rPr>
          <w:t>Constituição Federal</w:t>
        </w:r>
      </w:hyperlink>
      <w:r w:rsidRPr="00E65532">
        <w:rPr>
          <w:rFonts w:ascii="Arial" w:hAnsi="Arial" w:cs="Arial"/>
          <w:sz w:val="20"/>
        </w:rPr>
        <w:t>.</w:t>
      </w:r>
    </w:p>
    <w:p w:rsidR="00A46277" w:rsidRPr="00E65532" w:rsidRDefault="00C747C3" w:rsidP="00A46277">
      <w:pPr>
        <w:widowControl w:val="0"/>
        <w:autoSpaceDE w:val="0"/>
        <w:autoSpaceDN w:val="0"/>
        <w:jc w:val="both"/>
        <w:rPr>
          <w:rFonts w:ascii="Arial" w:hAnsi="Arial" w:cs="Arial"/>
          <w:b/>
          <w:sz w:val="20"/>
          <w:szCs w:val="20"/>
        </w:rPr>
      </w:pPr>
      <w:hyperlink r:id="rId28" w:history="1">
        <w:r w:rsidR="00A46277" w:rsidRPr="00E319EA">
          <w:rPr>
            <w:rStyle w:val="Hyperlink"/>
            <w:rFonts w:ascii="Arial" w:hAnsi="Arial" w:cs="Arial"/>
            <w:b/>
            <w:sz w:val="20"/>
            <w:szCs w:val="20"/>
          </w:rPr>
          <w:t>Acórdão 1347/2018</w:t>
        </w:r>
        <w:r w:rsidR="00E319EA">
          <w:rPr>
            <w:rStyle w:val="Hyperlink"/>
            <w:rFonts w:ascii="Arial" w:hAnsi="Arial" w:cs="Arial"/>
            <w:b/>
            <w:sz w:val="20"/>
            <w:szCs w:val="20"/>
          </w:rPr>
          <w:t xml:space="preserve"> -</w:t>
        </w:r>
        <w:r w:rsidR="00A46277" w:rsidRPr="00E319EA">
          <w:rPr>
            <w:rStyle w:val="Hyperlink"/>
            <w:rFonts w:ascii="Arial" w:hAnsi="Arial" w:cs="Arial"/>
            <w:b/>
            <w:sz w:val="20"/>
            <w:szCs w:val="20"/>
          </w:rPr>
          <w:t xml:space="preserve"> Plenário</w:t>
        </w:r>
      </w:hyperlink>
      <w:r w:rsidR="00A46277" w:rsidRPr="00E65532">
        <w:rPr>
          <w:rFonts w:ascii="Arial" w:hAnsi="Arial" w:cs="Arial"/>
          <w:b/>
          <w:sz w:val="20"/>
          <w:szCs w:val="20"/>
        </w:rPr>
        <w:t xml:space="preserve"> </w:t>
      </w:r>
      <w:r w:rsidR="00A46277" w:rsidRPr="00E65532">
        <w:rPr>
          <w:rFonts w:ascii="Arial" w:hAnsi="Arial" w:cs="Arial"/>
          <w:sz w:val="20"/>
          <w:szCs w:val="20"/>
        </w:rPr>
        <w:t>(Consulta, Relator Ministro Bruno Dantas)</w:t>
      </w:r>
    </w:p>
    <w:p w:rsidR="00A46277" w:rsidRPr="00E35F3D" w:rsidRDefault="00A46277" w:rsidP="00A46277">
      <w:pPr>
        <w:jc w:val="both"/>
        <w:rPr>
          <w:rFonts w:ascii="Arial" w:hAnsi="Arial" w:cs="Arial"/>
          <w:b/>
          <w:sz w:val="20"/>
          <w:szCs w:val="20"/>
        </w:rPr>
      </w:pPr>
      <w:r w:rsidRPr="00E35F3D">
        <w:rPr>
          <w:rFonts w:ascii="Arial" w:hAnsi="Arial" w:cs="Arial"/>
          <w:b/>
          <w:sz w:val="20"/>
          <w:szCs w:val="20"/>
        </w:rPr>
        <w:t>Licitação. Registro de preços. Lote (Licitação). Preço global. Preço unitário. Adjudicação. Consulta.</w:t>
      </w:r>
    </w:p>
    <w:p w:rsidR="00A46277" w:rsidRPr="00E65532" w:rsidRDefault="00A46277" w:rsidP="00A46277">
      <w:pPr>
        <w:pStyle w:val="TCU-Epgrafe"/>
        <w:spacing w:after="200" w:line="276" w:lineRule="auto"/>
        <w:ind w:left="0"/>
        <w:rPr>
          <w:rFonts w:ascii="Arial" w:hAnsi="Arial" w:cs="Arial"/>
          <w:sz w:val="20"/>
        </w:rPr>
      </w:pPr>
      <w:r w:rsidRPr="00E65532">
        <w:rPr>
          <w:rFonts w:ascii="Arial" w:hAnsi="Arial" w:cs="Arial"/>
          <w:sz w:val="20"/>
        </w:rPr>
        <w:t>Nas licitações para registro de preços, a modelagem de aquisição por preço global de grupo de itens é medida excepcional que precisa ser devidamente justificada, a ser utilizada apenas nos casos em que a Administração pretende contratar a totalidade dos itens do grupo, respeitadas as proporções de quantitativos definidos no certame. Apesar de essa modelagem ser, em regra, incompatível com a aquisição futura de itens isoladamente, admite-se tal hipótese quando o preço unitário ofertado pelo vencedor do grupo for o menor lance válido na disputa relativa ao item.</w:t>
      </w:r>
    </w:p>
    <w:p w:rsidR="00A46277" w:rsidRPr="00E65532" w:rsidRDefault="00C747C3" w:rsidP="00A46277">
      <w:pPr>
        <w:widowControl w:val="0"/>
        <w:autoSpaceDE w:val="0"/>
        <w:autoSpaceDN w:val="0"/>
        <w:jc w:val="both"/>
        <w:rPr>
          <w:rFonts w:ascii="Arial" w:hAnsi="Arial" w:cs="Arial"/>
          <w:b/>
          <w:sz w:val="20"/>
          <w:szCs w:val="20"/>
        </w:rPr>
      </w:pPr>
      <w:hyperlink r:id="rId29" w:history="1">
        <w:r w:rsidR="00A46277" w:rsidRPr="00ED29DD">
          <w:rPr>
            <w:rStyle w:val="Hyperlink"/>
            <w:rFonts w:ascii="Arial" w:hAnsi="Arial" w:cs="Arial"/>
            <w:b/>
            <w:sz w:val="20"/>
            <w:szCs w:val="20"/>
          </w:rPr>
          <w:t>Acórdão 1347/2018</w:t>
        </w:r>
        <w:r w:rsidR="00ED29DD">
          <w:rPr>
            <w:rStyle w:val="Hyperlink"/>
            <w:rFonts w:ascii="Arial" w:hAnsi="Arial" w:cs="Arial"/>
            <w:b/>
            <w:sz w:val="20"/>
            <w:szCs w:val="20"/>
          </w:rPr>
          <w:t xml:space="preserve"> -</w:t>
        </w:r>
        <w:r w:rsidR="00A46277" w:rsidRPr="00ED29DD">
          <w:rPr>
            <w:rStyle w:val="Hyperlink"/>
            <w:rFonts w:ascii="Arial" w:hAnsi="Arial" w:cs="Arial"/>
            <w:b/>
            <w:sz w:val="20"/>
            <w:szCs w:val="20"/>
          </w:rPr>
          <w:t xml:space="preserve"> Plenário</w:t>
        </w:r>
      </w:hyperlink>
      <w:r w:rsidR="00A46277" w:rsidRPr="00E65532">
        <w:rPr>
          <w:rFonts w:ascii="Arial" w:hAnsi="Arial" w:cs="Arial"/>
          <w:b/>
          <w:sz w:val="20"/>
          <w:szCs w:val="20"/>
        </w:rPr>
        <w:t xml:space="preserve"> </w:t>
      </w:r>
      <w:r w:rsidR="00A46277" w:rsidRPr="00E65532">
        <w:rPr>
          <w:rFonts w:ascii="Arial" w:hAnsi="Arial" w:cs="Arial"/>
          <w:sz w:val="20"/>
          <w:szCs w:val="20"/>
        </w:rPr>
        <w:t>(Consulta, Relator Ministro Bruno Dantas)</w:t>
      </w:r>
    </w:p>
    <w:p w:rsidR="00A46277" w:rsidRPr="00E35F3D" w:rsidRDefault="00A46277" w:rsidP="00A46277">
      <w:pPr>
        <w:jc w:val="both"/>
        <w:rPr>
          <w:rFonts w:ascii="Arial" w:hAnsi="Arial" w:cs="Arial"/>
          <w:b/>
          <w:sz w:val="20"/>
          <w:szCs w:val="20"/>
        </w:rPr>
      </w:pPr>
      <w:r w:rsidRPr="00E35F3D">
        <w:rPr>
          <w:rFonts w:ascii="Arial" w:hAnsi="Arial" w:cs="Arial"/>
          <w:b/>
          <w:sz w:val="20"/>
          <w:szCs w:val="20"/>
        </w:rPr>
        <w:t>Licitação. Registro de preços. Lote (Licitação). Vedação. Contratação. Consulta.</w:t>
      </w:r>
    </w:p>
    <w:p w:rsidR="00A46277" w:rsidRPr="00E65532" w:rsidRDefault="00A46277" w:rsidP="00A46277">
      <w:pPr>
        <w:jc w:val="both"/>
        <w:rPr>
          <w:rFonts w:ascii="Arial" w:hAnsi="Arial" w:cs="Arial"/>
          <w:sz w:val="20"/>
          <w:szCs w:val="20"/>
        </w:rPr>
      </w:pPr>
      <w:r w:rsidRPr="00E65532">
        <w:rPr>
          <w:rFonts w:ascii="Arial" w:hAnsi="Arial" w:cs="Arial"/>
          <w:sz w:val="20"/>
          <w:szCs w:val="20"/>
        </w:rPr>
        <w:t>No sistema de registro de preços com critério de adjudicação pelo menor preço global por grupo (lote) de itens, não é admissível aquisição junto a empresa que apresentou a melhor proposta para determinado item, mas que não foi vencedora do respectivo grupo, uma vez que a licitação para registro de preços objetiva a convocação dos fornecedores mais bem classificados para assinar as atas, sendo possível, única e exclusivamente, contratação com as empresas vencedoras para fornecimento dos itens nelas registrados.</w:t>
      </w:r>
    </w:p>
    <w:p w:rsidR="00B0732B" w:rsidRPr="00E65532" w:rsidRDefault="00C747C3" w:rsidP="00B0732B">
      <w:pPr>
        <w:widowControl w:val="0"/>
        <w:autoSpaceDE w:val="0"/>
        <w:autoSpaceDN w:val="0"/>
        <w:jc w:val="both"/>
        <w:rPr>
          <w:rFonts w:ascii="Arial" w:hAnsi="Arial" w:cs="Arial"/>
          <w:b/>
          <w:sz w:val="20"/>
          <w:szCs w:val="20"/>
        </w:rPr>
      </w:pPr>
      <w:hyperlink r:id="rId30" w:history="1">
        <w:r w:rsidR="00B0732B" w:rsidRPr="0065410C">
          <w:rPr>
            <w:rStyle w:val="Hyperlink"/>
            <w:rFonts w:ascii="Arial" w:hAnsi="Arial" w:cs="Arial"/>
            <w:b/>
            <w:sz w:val="20"/>
            <w:szCs w:val="20"/>
          </w:rPr>
          <w:t xml:space="preserve">Acórdão 1357/2018 </w:t>
        </w:r>
        <w:r w:rsidR="0065410C">
          <w:rPr>
            <w:rStyle w:val="Hyperlink"/>
            <w:rFonts w:ascii="Arial" w:hAnsi="Arial" w:cs="Arial"/>
            <w:b/>
            <w:sz w:val="20"/>
            <w:szCs w:val="20"/>
          </w:rPr>
          <w:t xml:space="preserve">- </w:t>
        </w:r>
        <w:r w:rsidR="00B0732B" w:rsidRPr="0065410C">
          <w:rPr>
            <w:rStyle w:val="Hyperlink"/>
            <w:rFonts w:ascii="Arial" w:hAnsi="Arial" w:cs="Arial"/>
            <w:b/>
            <w:sz w:val="20"/>
            <w:szCs w:val="20"/>
          </w:rPr>
          <w:t>Plenário</w:t>
        </w:r>
      </w:hyperlink>
      <w:r w:rsidR="00B0732B" w:rsidRPr="00E65532">
        <w:rPr>
          <w:rFonts w:ascii="Arial" w:hAnsi="Arial" w:cs="Arial"/>
          <w:b/>
          <w:sz w:val="20"/>
          <w:szCs w:val="20"/>
        </w:rPr>
        <w:t xml:space="preserve"> </w:t>
      </w:r>
      <w:r w:rsidR="00B0732B" w:rsidRPr="00E65532">
        <w:rPr>
          <w:rFonts w:ascii="Arial" w:hAnsi="Arial" w:cs="Arial"/>
          <w:sz w:val="20"/>
          <w:szCs w:val="20"/>
        </w:rPr>
        <w:t xml:space="preserve">(Pedido de Reexame, Relator Ministro Augusto </w:t>
      </w:r>
      <w:proofErr w:type="spellStart"/>
      <w:r w:rsidR="00B0732B" w:rsidRPr="00E65532">
        <w:rPr>
          <w:rFonts w:ascii="Arial" w:hAnsi="Arial" w:cs="Arial"/>
          <w:sz w:val="20"/>
          <w:szCs w:val="20"/>
        </w:rPr>
        <w:t>Nardes</w:t>
      </w:r>
      <w:proofErr w:type="spellEnd"/>
      <w:r w:rsidR="00B0732B" w:rsidRPr="00E65532">
        <w:rPr>
          <w:rFonts w:ascii="Arial" w:hAnsi="Arial" w:cs="Arial"/>
          <w:sz w:val="20"/>
          <w:szCs w:val="20"/>
        </w:rPr>
        <w:t>)</w:t>
      </w:r>
    </w:p>
    <w:p w:rsidR="00B0732B" w:rsidRPr="00E35F3D" w:rsidRDefault="00B0732B" w:rsidP="00B0732B">
      <w:pPr>
        <w:jc w:val="both"/>
        <w:rPr>
          <w:rFonts w:ascii="Arial" w:hAnsi="Arial" w:cs="Arial"/>
          <w:b/>
          <w:sz w:val="20"/>
          <w:szCs w:val="20"/>
        </w:rPr>
      </w:pPr>
      <w:r w:rsidRPr="00E35F3D">
        <w:rPr>
          <w:rFonts w:ascii="Arial" w:hAnsi="Arial" w:cs="Arial"/>
          <w:b/>
          <w:sz w:val="20"/>
          <w:szCs w:val="20"/>
        </w:rPr>
        <w:t>Licitação. Qualificação técnica. Conselho de fiscalização profissional. CREA. Anuidade. Quitação.</w:t>
      </w:r>
    </w:p>
    <w:p w:rsidR="00B0732B" w:rsidRPr="00E65532" w:rsidRDefault="00B0732B" w:rsidP="00B0732B">
      <w:pPr>
        <w:pStyle w:val="TCU-Epgrafe"/>
        <w:spacing w:after="200" w:line="276" w:lineRule="auto"/>
        <w:ind w:left="0"/>
        <w:rPr>
          <w:rFonts w:ascii="Arial" w:hAnsi="Arial" w:cs="Arial"/>
          <w:sz w:val="20"/>
        </w:rPr>
      </w:pPr>
      <w:r w:rsidRPr="00E65532">
        <w:rPr>
          <w:rFonts w:ascii="Arial" w:hAnsi="Arial" w:cs="Arial"/>
          <w:sz w:val="20"/>
        </w:rPr>
        <w:t xml:space="preserve">É ilegal a exigência de quitação de anuidades do Crea para fins de habilitação, pois o art. 30, inciso I, da </w:t>
      </w:r>
      <w:hyperlink r:id="rId31" w:history="1">
        <w:r w:rsidRPr="00E65532">
          <w:rPr>
            <w:rStyle w:val="Hyperlink"/>
            <w:rFonts w:ascii="Arial" w:hAnsi="Arial" w:cs="Arial"/>
            <w:color w:val="0000FF" w:themeColor="hyperlink"/>
            <w:sz w:val="20"/>
          </w:rPr>
          <w:t>Lei 8.666/1993</w:t>
        </w:r>
      </w:hyperlink>
      <w:r w:rsidRPr="00E65532">
        <w:rPr>
          <w:rFonts w:ascii="Arial" w:hAnsi="Arial" w:cs="Arial"/>
          <w:sz w:val="20"/>
        </w:rPr>
        <w:t xml:space="preserve"> exige apenas o registro na entidade.</w:t>
      </w:r>
    </w:p>
    <w:p w:rsidR="00E65532" w:rsidRPr="00E65532" w:rsidRDefault="00C747C3" w:rsidP="00E65532">
      <w:pPr>
        <w:widowControl w:val="0"/>
        <w:autoSpaceDE w:val="0"/>
        <w:autoSpaceDN w:val="0"/>
        <w:jc w:val="both"/>
        <w:rPr>
          <w:rFonts w:ascii="Arial" w:hAnsi="Arial" w:cs="Arial"/>
          <w:b/>
          <w:sz w:val="20"/>
          <w:szCs w:val="20"/>
        </w:rPr>
      </w:pPr>
      <w:hyperlink r:id="rId32" w:history="1">
        <w:r w:rsidR="00E65532" w:rsidRPr="00B7738B">
          <w:rPr>
            <w:rStyle w:val="Hyperlink"/>
            <w:rFonts w:ascii="Arial" w:hAnsi="Arial" w:cs="Arial"/>
            <w:b/>
            <w:sz w:val="20"/>
            <w:szCs w:val="20"/>
          </w:rPr>
          <w:t>Acórdão 4696/2018</w:t>
        </w:r>
        <w:r w:rsidR="00B7738B">
          <w:rPr>
            <w:rStyle w:val="Hyperlink"/>
            <w:rFonts w:ascii="Arial" w:hAnsi="Arial" w:cs="Arial"/>
            <w:b/>
            <w:sz w:val="20"/>
            <w:szCs w:val="20"/>
          </w:rPr>
          <w:t xml:space="preserve"> -</w:t>
        </w:r>
        <w:r w:rsidR="00E65532" w:rsidRPr="00B7738B">
          <w:rPr>
            <w:rStyle w:val="Hyperlink"/>
            <w:rFonts w:ascii="Arial" w:hAnsi="Arial" w:cs="Arial"/>
            <w:b/>
            <w:sz w:val="20"/>
            <w:szCs w:val="20"/>
          </w:rPr>
          <w:t xml:space="preserve"> Segunda Câmara</w:t>
        </w:r>
      </w:hyperlink>
      <w:r w:rsidR="00E65532" w:rsidRPr="00E65532">
        <w:rPr>
          <w:rFonts w:ascii="Arial" w:hAnsi="Arial" w:cs="Arial"/>
          <w:b/>
          <w:sz w:val="20"/>
          <w:szCs w:val="20"/>
        </w:rPr>
        <w:t xml:space="preserve"> </w:t>
      </w:r>
      <w:r w:rsidR="00E65532" w:rsidRPr="00E65532">
        <w:rPr>
          <w:rFonts w:ascii="Arial" w:hAnsi="Arial" w:cs="Arial"/>
          <w:sz w:val="20"/>
          <w:szCs w:val="20"/>
        </w:rPr>
        <w:t>(Recurso de Reconsideração, Relator Ministro Aroldo Cedraz)</w:t>
      </w:r>
    </w:p>
    <w:p w:rsidR="00E65532" w:rsidRPr="00E35F3D" w:rsidRDefault="00E65532" w:rsidP="00E65532">
      <w:pPr>
        <w:jc w:val="both"/>
        <w:rPr>
          <w:rFonts w:ascii="Arial" w:hAnsi="Arial" w:cs="Arial"/>
          <w:b/>
          <w:sz w:val="20"/>
          <w:szCs w:val="20"/>
        </w:rPr>
      </w:pPr>
      <w:r w:rsidRPr="00E35F3D">
        <w:rPr>
          <w:rFonts w:ascii="Arial" w:hAnsi="Arial" w:cs="Arial"/>
          <w:b/>
          <w:sz w:val="20"/>
          <w:szCs w:val="20"/>
        </w:rPr>
        <w:t xml:space="preserve">Responsabilidade. Licitação. Comissão de licitação. Superfaturamento. Orçamento estimativo. </w:t>
      </w:r>
      <w:proofErr w:type="spellStart"/>
      <w:r w:rsidRPr="00E35F3D">
        <w:rPr>
          <w:rFonts w:ascii="Arial" w:hAnsi="Arial" w:cs="Arial"/>
          <w:b/>
          <w:sz w:val="20"/>
          <w:szCs w:val="20"/>
        </w:rPr>
        <w:t>Sobrepreço</w:t>
      </w:r>
      <w:proofErr w:type="spellEnd"/>
      <w:r w:rsidRPr="00E35F3D">
        <w:rPr>
          <w:rFonts w:ascii="Arial" w:hAnsi="Arial" w:cs="Arial"/>
          <w:b/>
          <w:sz w:val="20"/>
          <w:szCs w:val="20"/>
        </w:rPr>
        <w:t>.</w:t>
      </w:r>
    </w:p>
    <w:p w:rsidR="00E65532" w:rsidRPr="00E65532" w:rsidRDefault="00E65532" w:rsidP="00E65532">
      <w:pPr>
        <w:pStyle w:val="TCU-Epgrafe"/>
        <w:spacing w:after="200" w:line="276" w:lineRule="auto"/>
        <w:ind w:left="0"/>
        <w:rPr>
          <w:rFonts w:ascii="Arial" w:hAnsi="Arial" w:cs="Arial"/>
          <w:sz w:val="20"/>
        </w:rPr>
      </w:pPr>
      <w:r w:rsidRPr="00E65532">
        <w:rPr>
          <w:rFonts w:ascii="Arial" w:hAnsi="Arial" w:cs="Arial"/>
          <w:sz w:val="20"/>
        </w:rPr>
        <w:lastRenderedPageBreak/>
        <w:t xml:space="preserve">Membros de comissão de licitação não devem ser responsabilizados por </w:t>
      </w:r>
      <w:proofErr w:type="spellStart"/>
      <w:r w:rsidRPr="00E65532">
        <w:rPr>
          <w:rFonts w:ascii="Arial" w:hAnsi="Arial" w:cs="Arial"/>
          <w:sz w:val="20"/>
        </w:rPr>
        <w:t>sobrepreço</w:t>
      </w:r>
      <w:proofErr w:type="spellEnd"/>
      <w:r w:rsidRPr="00E65532">
        <w:rPr>
          <w:rFonts w:ascii="Arial" w:hAnsi="Arial" w:cs="Arial"/>
          <w:sz w:val="20"/>
        </w:rPr>
        <w:t xml:space="preserve"> ou superfaturamento decorrente de orçamento estimativo com preços acima de mercado, salvo se houver prova de que tenham participado da elaboração do orçamento.</w:t>
      </w:r>
    </w:p>
    <w:p w:rsidR="00543DF0" w:rsidRDefault="00543DF0" w:rsidP="00543DF0">
      <w:pPr>
        <w:pStyle w:val="Default"/>
        <w:spacing w:after="200" w:line="276" w:lineRule="auto"/>
        <w:jc w:val="both"/>
        <w:rPr>
          <w:b/>
          <w:sz w:val="20"/>
          <w:szCs w:val="20"/>
        </w:rPr>
      </w:pPr>
      <w:r>
        <w:rPr>
          <w:b/>
          <w:sz w:val="20"/>
          <w:szCs w:val="20"/>
        </w:rPr>
        <w:t xml:space="preserve">Acesse também: </w:t>
      </w:r>
    </w:p>
    <w:p w:rsidR="001C5C1B" w:rsidRDefault="00C747C3" w:rsidP="001C5C1B">
      <w:pPr>
        <w:pStyle w:val="Default"/>
        <w:spacing w:line="276" w:lineRule="auto"/>
        <w:jc w:val="center"/>
        <w:rPr>
          <w:rStyle w:val="Hyperlink"/>
        </w:rPr>
      </w:pPr>
      <w:hyperlink r:id="rId33" w:history="1">
        <w:r w:rsidR="001C5C1B">
          <w:rPr>
            <w:rStyle w:val="Hyperlink"/>
            <w:b/>
            <w:sz w:val="20"/>
            <w:szCs w:val="20"/>
          </w:rPr>
          <w:t>Pesquisas Prontas</w:t>
        </w:r>
      </w:hyperlink>
    </w:p>
    <w:p w:rsidR="001C5C1B" w:rsidRDefault="001C5C1B" w:rsidP="001C5C1B">
      <w:pPr>
        <w:pStyle w:val="Default"/>
        <w:spacing w:line="276" w:lineRule="auto"/>
        <w:jc w:val="center"/>
        <w:rPr>
          <w:rStyle w:val="Hyperlink"/>
          <w:b/>
          <w:sz w:val="20"/>
          <w:szCs w:val="20"/>
        </w:rPr>
      </w:pPr>
    </w:p>
    <w:p w:rsidR="001C5C1B" w:rsidRDefault="00C747C3" w:rsidP="001C5C1B">
      <w:pPr>
        <w:pStyle w:val="Default"/>
        <w:spacing w:line="276" w:lineRule="auto"/>
        <w:jc w:val="center"/>
        <w:rPr>
          <w:rStyle w:val="Hyperlink"/>
          <w:b/>
          <w:sz w:val="20"/>
          <w:szCs w:val="20"/>
        </w:rPr>
      </w:pPr>
      <w:hyperlink r:id="rId34" w:history="1">
        <w:r w:rsidR="001C5C1B">
          <w:rPr>
            <w:rStyle w:val="Hyperlink"/>
            <w:b/>
            <w:sz w:val="20"/>
            <w:szCs w:val="20"/>
          </w:rPr>
          <w:t>Teses Ambientais</w:t>
        </w:r>
      </w:hyperlink>
      <w:r w:rsidR="001C5C1B">
        <w:rPr>
          <w:rStyle w:val="Hyperlink"/>
          <w:b/>
          <w:sz w:val="20"/>
          <w:szCs w:val="20"/>
        </w:rPr>
        <w:t xml:space="preserve"> </w:t>
      </w:r>
    </w:p>
    <w:p w:rsidR="001C5C1B" w:rsidRDefault="001C5C1B" w:rsidP="001C5C1B">
      <w:pPr>
        <w:pStyle w:val="Default"/>
        <w:spacing w:line="276" w:lineRule="auto"/>
        <w:jc w:val="center"/>
        <w:rPr>
          <w:rStyle w:val="Hyperlink"/>
          <w:b/>
          <w:sz w:val="20"/>
          <w:szCs w:val="20"/>
        </w:rPr>
      </w:pPr>
    </w:p>
    <w:p w:rsidR="001C5C1B" w:rsidRDefault="00C747C3" w:rsidP="001C5C1B">
      <w:pPr>
        <w:pStyle w:val="Default"/>
        <w:spacing w:line="276" w:lineRule="auto"/>
        <w:jc w:val="center"/>
      </w:pPr>
      <w:hyperlink r:id="rId35" w:history="1">
        <w:proofErr w:type="spellStart"/>
        <w:r w:rsidR="001C5C1B">
          <w:rPr>
            <w:rStyle w:val="Hyperlink"/>
            <w:b/>
            <w:sz w:val="20"/>
            <w:szCs w:val="20"/>
          </w:rPr>
          <w:t>Interjuris</w:t>
        </w:r>
        <w:proofErr w:type="spellEnd"/>
      </w:hyperlink>
    </w:p>
    <w:p w:rsidR="001C5C1B" w:rsidRDefault="001C5C1B" w:rsidP="001C5C1B">
      <w:pPr>
        <w:pStyle w:val="Default"/>
        <w:spacing w:line="276" w:lineRule="auto"/>
        <w:jc w:val="center"/>
      </w:pPr>
    </w:p>
    <w:p w:rsidR="001C5C1B" w:rsidRDefault="00C747C3" w:rsidP="001C5C1B">
      <w:pPr>
        <w:pStyle w:val="Default"/>
        <w:spacing w:line="276" w:lineRule="auto"/>
        <w:jc w:val="center"/>
        <w:rPr>
          <w:rStyle w:val="Hyperlink"/>
          <w:b/>
          <w:sz w:val="20"/>
          <w:szCs w:val="20"/>
        </w:rPr>
      </w:pPr>
      <w:hyperlink r:id="rId36" w:history="1">
        <w:r w:rsidR="001C5C1B">
          <w:rPr>
            <w:rStyle w:val="Hyperlink"/>
            <w:b/>
            <w:sz w:val="20"/>
            <w:szCs w:val="20"/>
          </w:rPr>
          <w:t>Repercussão Geral do Supremo Tribunal Federal - STF e os Tribunais de Contas</w:t>
        </w:r>
      </w:hyperlink>
    </w:p>
    <w:p w:rsidR="001C5C1B" w:rsidRDefault="001C5C1B" w:rsidP="001C5C1B">
      <w:pPr>
        <w:pStyle w:val="Default"/>
        <w:spacing w:line="276" w:lineRule="auto"/>
        <w:jc w:val="center"/>
        <w:rPr>
          <w:rStyle w:val="Hyperlink"/>
          <w:b/>
          <w:sz w:val="20"/>
          <w:szCs w:val="20"/>
        </w:rPr>
      </w:pPr>
    </w:p>
    <w:p w:rsidR="001C5C1B" w:rsidRDefault="00C747C3" w:rsidP="001C5C1B">
      <w:pPr>
        <w:pStyle w:val="Default"/>
        <w:spacing w:line="276" w:lineRule="auto"/>
        <w:jc w:val="center"/>
        <w:rPr>
          <w:rStyle w:val="Hyperlink"/>
          <w:b/>
          <w:sz w:val="20"/>
          <w:szCs w:val="20"/>
        </w:rPr>
      </w:pPr>
      <w:hyperlink r:id="rId37" w:history="1">
        <w:r w:rsidR="001C5C1B">
          <w:rPr>
            <w:rStyle w:val="Hyperlink"/>
            <w:b/>
            <w:sz w:val="20"/>
            <w:szCs w:val="20"/>
          </w:rPr>
          <w:t>Súmulas Selecionadas</w:t>
        </w:r>
      </w:hyperlink>
    </w:p>
    <w:p w:rsidR="00270E2F" w:rsidRDefault="00270E2F" w:rsidP="00270E2F">
      <w:pPr>
        <w:pStyle w:val="TCU-Epgrafe"/>
        <w:spacing w:line="276" w:lineRule="auto"/>
        <w:ind w:left="0"/>
        <w:rPr>
          <w:sz w:val="22"/>
          <w:szCs w:val="22"/>
        </w:rPr>
      </w:pPr>
      <w:r w:rsidRPr="0022060B">
        <w:rPr>
          <w:rFonts w:ascii="Arial" w:hAnsi="Arial" w:cs="Arial"/>
          <w:noProof/>
          <w:sz w:val="20"/>
        </w:rPr>
        <mc:AlternateContent>
          <mc:Choice Requires="wps">
            <w:drawing>
              <wp:anchor distT="0" distB="0" distL="114300" distR="114300" simplePos="0" relativeHeight="251664896" behindDoc="0" locked="0" layoutInCell="1" allowOverlap="1" wp14:anchorId="63484C90" wp14:editId="67AE2BB8">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BC0740"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rsidR="00984E8B" w:rsidRDefault="00984E8B" w:rsidP="00DB558E">
      <w:pPr>
        <w:spacing w:after="0"/>
        <w:jc w:val="center"/>
        <w:rPr>
          <w:rStyle w:val="Hyperlink"/>
          <w:rFonts w:ascii="Arial" w:hAnsi="Arial" w:cs="Arial"/>
          <w:i/>
          <w:color w:val="000000" w:themeColor="text1"/>
          <w:sz w:val="20"/>
          <w:szCs w:val="20"/>
          <w:u w:val="none"/>
        </w:rPr>
      </w:pPr>
    </w:p>
    <w:p w:rsidR="00DB558E" w:rsidRDefault="00DB558E" w:rsidP="00DB558E">
      <w:pPr>
        <w:spacing w:after="0"/>
        <w:jc w:val="center"/>
        <w:rPr>
          <w:rFonts w:ascii="Arial" w:hAnsi="Arial" w:cs="Arial"/>
          <w:b/>
          <w:sz w:val="20"/>
          <w:szCs w:val="20"/>
        </w:rPr>
      </w:pPr>
      <w:r>
        <w:rPr>
          <w:rStyle w:val="Hyperlink"/>
          <w:rFonts w:ascii="Arial" w:hAnsi="Arial" w:cs="Arial"/>
          <w:i/>
          <w:color w:val="000000" w:themeColor="text1"/>
          <w:sz w:val="20"/>
          <w:szCs w:val="20"/>
          <w:u w:val="none"/>
        </w:rPr>
        <w:t>Elaboração: Escola de Gestão Pública - Jurisprudência</w:t>
      </w:r>
    </w:p>
    <w:p w:rsidR="00DB558E" w:rsidRDefault="00DB558E" w:rsidP="00DB558E">
      <w:pPr>
        <w:widowControl w:val="0"/>
        <w:autoSpaceDE w:val="0"/>
        <w:autoSpaceDN w:val="0"/>
        <w:spacing w:after="0"/>
        <w:jc w:val="both"/>
        <w:rPr>
          <w:rFonts w:ascii="Arial" w:hAnsi="Arial" w:cs="Arial"/>
          <w:b/>
          <w:sz w:val="20"/>
          <w:szCs w:val="20"/>
        </w:rPr>
      </w:pPr>
    </w:p>
    <w:p w:rsidR="00E01524" w:rsidRPr="0022060B" w:rsidRDefault="00E01524" w:rsidP="00DB558E">
      <w:pPr>
        <w:pStyle w:val="TCU-Epgrafe"/>
        <w:spacing w:after="200" w:line="276" w:lineRule="auto"/>
        <w:ind w:left="0"/>
        <w:rPr>
          <w:rFonts w:ascii="Arial" w:hAnsi="Arial" w:cs="Arial"/>
          <w:b/>
          <w:sz w:val="20"/>
        </w:rPr>
      </w:pPr>
    </w:p>
    <w:sectPr w:rsidR="00E01524" w:rsidRPr="0022060B">
      <w:headerReference w:type="default" r:id="rId38"/>
      <w:footerReference w:type="default" r:id="rId3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7A9" w:rsidRDefault="009907A9" w:rsidP="00350CC2">
      <w:pPr>
        <w:spacing w:after="0" w:line="240" w:lineRule="auto"/>
      </w:pPr>
      <w:r>
        <w:separator/>
      </w:r>
    </w:p>
  </w:endnote>
  <w:endnote w:type="continuationSeparator" w:id="0">
    <w:p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E" w:rsidRDefault="002245DE" w:rsidP="002245DE">
    <w:pPr>
      <w:pStyle w:val="Rodap"/>
      <w:jc w:val="center"/>
      <w:rPr>
        <w:sz w:val="16"/>
        <w:szCs w:val="16"/>
      </w:rPr>
    </w:pPr>
    <w:r>
      <w:rPr>
        <w:noProof/>
        <w:lang w:eastAsia="pt-BR"/>
      </w:rPr>
      <w:drawing>
        <wp:inline distT="0" distB="0" distL="0" distR="0" wp14:anchorId="4DD8E97D" wp14:editId="15823BC0">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E65532">
      <w:rPr>
        <w:noProof/>
        <w:sz w:val="16"/>
        <w:szCs w:val="16"/>
      </w:rPr>
      <w:t>4</w:t>
    </w:r>
    <w:r w:rsidRPr="00722924">
      <w:rPr>
        <w:sz w:val="16"/>
        <w:szCs w:val="16"/>
      </w:rPr>
      <w:fldChar w:fldCharType="end"/>
    </w:r>
  </w:p>
  <w:p w:rsidR="00375DB6" w:rsidRDefault="00375DB6"/>
  <w:p w:rsidR="00375DB6" w:rsidRDefault="00375DB6"/>
  <w:p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7A9" w:rsidRDefault="009907A9" w:rsidP="00350CC2">
      <w:pPr>
        <w:spacing w:after="0" w:line="240" w:lineRule="auto"/>
      </w:pPr>
      <w:r>
        <w:separator/>
      </w:r>
    </w:p>
  </w:footnote>
  <w:footnote w:type="continuationSeparator" w:id="0">
    <w:p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460CA892" wp14:editId="6EABBF5B">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53D7710"/>
    <w:multiLevelType w:val="hybridMultilevel"/>
    <w:tmpl w:val="46CEDD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7"/>
  </w:num>
  <w:num w:numId="3">
    <w:abstractNumId w:val="10"/>
  </w:num>
  <w:num w:numId="4">
    <w:abstractNumId w:val="11"/>
  </w:num>
  <w:num w:numId="5">
    <w:abstractNumId w:val="12"/>
  </w:num>
  <w:num w:numId="6">
    <w:abstractNumId w:val="9"/>
  </w:num>
  <w:num w:numId="7">
    <w:abstractNumId w:val="0"/>
  </w:num>
  <w:num w:numId="8">
    <w:abstractNumId w:val="1"/>
  </w:num>
  <w:num w:numId="9">
    <w:abstractNumId w:val="6"/>
  </w:num>
  <w:num w:numId="10">
    <w:abstractNumId w:val="2"/>
  </w:num>
  <w:num w:numId="11">
    <w:abstractNumId w:val="3"/>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307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198"/>
    <w:rsid w:val="000078B5"/>
    <w:rsid w:val="00007F7A"/>
    <w:rsid w:val="00007FD0"/>
    <w:rsid w:val="00010B69"/>
    <w:rsid w:val="00010F88"/>
    <w:rsid w:val="0001200F"/>
    <w:rsid w:val="000126A0"/>
    <w:rsid w:val="00012CBB"/>
    <w:rsid w:val="00013691"/>
    <w:rsid w:val="00013840"/>
    <w:rsid w:val="00015FB0"/>
    <w:rsid w:val="00017EBA"/>
    <w:rsid w:val="00021B0A"/>
    <w:rsid w:val="00025971"/>
    <w:rsid w:val="000262AD"/>
    <w:rsid w:val="00027A03"/>
    <w:rsid w:val="00027FAB"/>
    <w:rsid w:val="000300F4"/>
    <w:rsid w:val="00032A26"/>
    <w:rsid w:val="00033422"/>
    <w:rsid w:val="00033E69"/>
    <w:rsid w:val="00040EBA"/>
    <w:rsid w:val="00042502"/>
    <w:rsid w:val="00042DF3"/>
    <w:rsid w:val="000433EC"/>
    <w:rsid w:val="000439FD"/>
    <w:rsid w:val="00043AF6"/>
    <w:rsid w:val="00045700"/>
    <w:rsid w:val="00046191"/>
    <w:rsid w:val="00046E21"/>
    <w:rsid w:val="00047EF1"/>
    <w:rsid w:val="00051ED4"/>
    <w:rsid w:val="00052862"/>
    <w:rsid w:val="00053B72"/>
    <w:rsid w:val="00056028"/>
    <w:rsid w:val="00056686"/>
    <w:rsid w:val="00056E6F"/>
    <w:rsid w:val="000572CE"/>
    <w:rsid w:val="000617CF"/>
    <w:rsid w:val="00062737"/>
    <w:rsid w:val="00065A4E"/>
    <w:rsid w:val="00067E01"/>
    <w:rsid w:val="00070009"/>
    <w:rsid w:val="00070B14"/>
    <w:rsid w:val="000713DD"/>
    <w:rsid w:val="00071DE3"/>
    <w:rsid w:val="0007200C"/>
    <w:rsid w:val="00073F9F"/>
    <w:rsid w:val="00074287"/>
    <w:rsid w:val="000747BF"/>
    <w:rsid w:val="00074FAB"/>
    <w:rsid w:val="000759E5"/>
    <w:rsid w:val="00076184"/>
    <w:rsid w:val="000800D1"/>
    <w:rsid w:val="00081051"/>
    <w:rsid w:val="0009260D"/>
    <w:rsid w:val="000926D4"/>
    <w:rsid w:val="00092E5D"/>
    <w:rsid w:val="0009482D"/>
    <w:rsid w:val="0009711C"/>
    <w:rsid w:val="0009762F"/>
    <w:rsid w:val="00097B00"/>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C2948"/>
    <w:rsid w:val="000C3582"/>
    <w:rsid w:val="000C4F73"/>
    <w:rsid w:val="000C5093"/>
    <w:rsid w:val="000C5460"/>
    <w:rsid w:val="000C5EB3"/>
    <w:rsid w:val="000C63BC"/>
    <w:rsid w:val="000C7D67"/>
    <w:rsid w:val="000D2D5B"/>
    <w:rsid w:val="000D357D"/>
    <w:rsid w:val="000D4DE6"/>
    <w:rsid w:val="000D520D"/>
    <w:rsid w:val="000D6D01"/>
    <w:rsid w:val="000E263C"/>
    <w:rsid w:val="000E300B"/>
    <w:rsid w:val="000E3ACE"/>
    <w:rsid w:val="000E3FC6"/>
    <w:rsid w:val="000E464B"/>
    <w:rsid w:val="000E5AC8"/>
    <w:rsid w:val="000E60DD"/>
    <w:rsid w:val="000F04ED"/>
    <w:rsid w:val="000F18DA"/>
    <w:rsid w:val="000F1FFA"/>
    <w:rsid w:val="000F314C"/>
    <w:rsid w:val="000F5AE7"/>
    <w:rsid w:val="000F639D"/>
    <w:rsid w:val="000F7C1B"/>
    <w:rsid w:val="00100B9C"/>
    <w:rsid w:val="00100F3D"/>
    <w:rsid w:val="00106AA9"/>
    <w:rsid w:val="00110517"/>
    <w:rsid w:val="00110BD6"/>
    <w:rsid w:val="001119DC"/>
    <w:rsid w:val="00111B86"/>
    <w:rsid w:val="00111C26"/>
    <w:rsid w:val="00112B60"/>
    <w:rsid w:val="00113EF1"/>
    <w:rsid w:val="00114B62"/>
    <w:rsid w:val="001159C9"/>
    <w:rsid w:val="00120862"/>
    <w:rsid w:val="0012211A"/>
    <w:rsid w:val="00122E13"/>
    <w:rsid w:val="00123D02"/>
    <w:rsid w:val="0012498C"/>
    <w:rsid w:val="00124A0F"/>
    <w:rsid w:val="00126447"/>
    <w:rsid w:val="00127DF2"/>
    <w:rsid w:val="00130717"/>
    <w:rsid w:val="0013298B"/>
    <w:rsid w:val="0013396B"/>
    <w:rsid w:val="001342E3"/>
    <w:rsid w:val="0013514C"/>
    <w:rsid w:val="0013583F"/>
    <w:rsid w:val="00135D5F"/>
    <w:rsid w:val="001411E6"/>
    <w:rsid w:val="001415BA"/>
    <w:rsid w:val="00142D10"/>
    <w:rsid w:val="00144712"/>
    <w:rsid w:val="001472C1"/>
    <w:rsid w:val="00150844"/>
    <w:rsid w:val="001529D8"/>
    <w:rsid w:val="00156185"/>
    <w:rsid w:val="00156F74"/>
    <w:rsid w:val="00157806"/>
    <w:rsid w:val="00157D64"/>
    <w:rsid w:val="0016028F"/>
    <w:rsid w:val="00161AA2"/>
    <w:rsid w:val="00162F2A"/>
    <w:rsid w:val="0016670D"/>
    <w:rsid w:val="00166A96"/>
    <w:rsid w:val="00170F9D"/>
    <w:rsid w:val="00171401"/>
    <w:rsid w:val="001720EB"/>
    <w:rsid w:val="00172248"/>
    <w:rsid w:val="0017455D"/>
    <w:rsid w:val="001770AF"/>
    <w:rsid w:val="001800A9"/>
    <w:rsid w:val="001823E7"/>
    <w:rsid w:val="0018272D"/>
    <w:rsid w:val="00190B94"/>
    <w:rsid w:val="001930D1"/>
    <w:rsid w:val="001942C5"/>
    <w:rsid w:val="00196437"/>
    <w:rsid w:val="001975AB"/>
    <w:rsid w:val="001A16DE"/>
    <w:rsid w:val="001A5D2D"/>
    <w:rsid w:val="001B096B"/>
    <w:rsid w:val="001B5B65"/>
    <w:rsid w:val="001B5F7A"/>
    <w:rsid w:val="001B6E08"/>
    <w:rsid w:val="001C0F23"/>
    <w:rsid w:val="001C1CCC"/>
    <w:rsid w:val="001C46A8"/>
    <w:rsid w:val="001C5C1B"/>
    <w:rsid w:val="001D0693"/>
    <w:rsid w:val="001D0DD1"/>
    <w:rsid w:val="001D4D9A"/>
    <w:rsid w:val="001D51BD"/>
    <w:rsid w:val="001D6665"/>
    <w:rsid w:val="001D684B"/>
    <w:rsid w:val="001D6ADC"/>
    <w:rsid w:val="001D7E4B"/>
    <w:rsid w:val="001E1817"/>
    <w:rsid w:val="001E2E5A"/>
    <w:rsid w:val="001E5F2E"/>
    <w:rsid w:val="001E6CAA"/>
    <w:rsid w:val="001E73FF"/>
    <w:rsid w:val="001E75A7"/>
    <w:rsid w:val="001F7A25"/>
    <w:rsid w:val="002013D1"/>
    <w:rsid w:val="0020195B"/>
    <w:rsid w:val="00202E6D"/>
    <w:rsid w:val="00202F4B"/>
    <w:rsid w:val="002036C8"/>
    <w:rsid w:val="00203F0B"/>
    <w:rsid w:val="002100EE"/>
    <w:rsid w:val="002101D4"/>
    <w:rsid w:val="00211A49"/>
    <w:rsid w:val="00213BD0"/>
    <w:rsid w:val="002147AC"/>
    <w:rsid w:val="00215BFE"/>
    <w:rsid w:val="00215EF3"/>
    <w:rsid w:val="0022060B"/>
    <w:rsid w:val="00220BB1"/>
    <w:rsid w:val="00221D15"/>
    <w:rsid w:val="00223A59"/>
    <w:rsid w:val="00223F1C"/>
    <w:rsid w:val="002245DE"/>
    <w:rsid w:val="00224904"/>
    <w:rsid w:val="00232878"/>
    <w:rsid w:val="0023318C"/>
    <w:rsid w:val="00234AE0"/>
    <w:rsid w:val="00235F82"/>
    <w:rsid w:val="00237C21"/>
    <w:rsid w:val="0024200E"/>
    <w:rsid w:val="002426C3"/>
    <w:rsid w:val="002450AA"/>
    <w:rsid w:val="002456AD"/>
    <w:rsid w:val="00245F7B"/>
    <w:rsid w:val="002478B9"/>
    <w:rsid w:val="00251273"/>
    <w:rsid w:val="00252A2A"/>
    <w:rsid w:val="00252AA5"/>
    <w:rsid w:val="00253ADA"/>
    <w:rsid w:val="00255360"/>
    <w:rsid w:val="00256A12"/>
    <w:rsid w:val="00256CEA"/>
    <w:rsid w:val="002571B4"/>
    <w:rsid w:val="00260758"/>
    <w:rsid w:val="00260D58"/>
    <w:rsid w:val="0026477F"/>
    <w:rsid w:val="00264F10"/>
    <w:rsid w:val="0026510B"/>
    <w:rsid w:val="002659BA"/>
    <w:rsid w:val="0026729F"/>
    <w:rsid w:val="00270E2F"/>
    <w:rsid w:val="00271154"/>
    <w:rsid w:val="00271655"/>
    <w:rsid w:val="002805F1"/>
    <w:rsid w:val="00286EB4"/>
    <w:rsid w:val="002874A2"/>
    <w:rsid w:val="002921E2"/>
    <w:rsid w:val="0029566D"/>
    <w:rsid w:val="00295F4B"/>
    <w:rsid w:val="002A00AC"/>
    <w:rsid w:val="002A00E8"/>
    <w:rsid w:val="002A0792"/>
    <w:rsid w:val="002A1D5F"/>
    <w:rsid w:val="002A2E6C"/>
    <w:rsid w:val="002B070A"/>
    <w:rsid w:val="002B0F20"/>
    <w:rsid w:val="002B14B7"/>
    <w:rsid w:val="002B297F"/>
    <w:rsid w:val="002B38A8"/>
    <w:rsid w:val="002B5E9F"/>
    <w:rsid w:val="002B6BA0"/>
    <w:rsid w:val="002C05FF"/>
    <w:rsid w:val="002C19EA"/>
    <w:rsid w:val="002C3EA5"/>
    <w:rsid w:val="002C480F"/>
    <w:rsid w:val="002C56C9"/>
    <w:rsid w:val="002C7487"/>
    <w:rsid w:val="002D1923"/>
    <w:rsid w:val="002D3BD3"/>
    <w:rsid w:val="002D48D1"/>
    <w:rsid w:val="002D5B56"/>
    <w:rsid w:val="002D6612"/>
    <w:rsid w:val="002D7650"/>
    <w:rsid w:val="002E09B1"/>
    <w:rsid w:val="002E0A60"/>
    <w:rsid w:val="002E4277"/>
    <w:rsid w:val="002E5303"/>
    <w:rsid w:val="002E6626"/>
    <w:rsid w:val="002E72FA"/>
    <w:rsid w:val="002E7DFF"/>
    <w:rsid w:val="002F0BE9"/>
    <w:rsid w:val="002F13A0"/>
    <w:rsid w:val="002F1634"/>
    <w:rsid w:val="002F1848"/>
    <w:rsid w:val="002F1D70"/>
    <w:rsid w:val="002F22FA"/>
    <w:rsid w:val="002F35E7"/>
    <w:rsid w:val="002F73BA"/>
    <w:rsid w:val="003005B3"/>
    <w:rsid w:val="0030165B"/>
    <w:rsid w:val="00302340"/>
    <w:rsid w:val="00303C9C"/>
    <w:rsid w:val="00305A67"/>
    <w:rsid w:val="00306B80"/>
    <w:rsid w:val="00307038"/>
    <w:rsid w:val="00310492"/>
    <w:rsid w:val="00310893"/>
    <w:rsid w:val="00313238"/>
    <w:rsid w:val="003132BE"/>
    <w:rsid w:val="00320577"/>
    <w:rsid w:val="0032266D"/>
    <w:rsid w:val="00325E2F"/>
    <w:rsid w:val="003265DB"/>
    <w:rsid w:val="003269A9"/>
    <w:rsid w:val="00327DF9"/>
    <w:rsid w:val="0033073E"/>
    <w:rsid w:val="00331533"/>
    <w:rsid w:val="0033240F"/>
    <w:rsid w:val="00333875"/>
    <w:rsid w:val="0033604C"/>
    <w:rsid w:val="003407F0"/>
    <w:rsid w:val="00343C28"/>
    <w:rsid w:val="00344A3D"/>
    <w:rsid w:val="00344A41"/>
    <w:rsid w:val="0034575E"/>
    <w:rsid w:val="00345C65"/>
    <w:rsid w:val="00350CC2"/>
    <w:rsid w:val="00351206"/>
    <w:rsid w:val="0035203F"/>
    <w:rsid w:val="003528A1"/>
    <w:rsid w:val="00352A72"/>
    <w:rsid w:val="0035371B"/>
    <w:rsid w:val="00353FEB"/>
    <w:rsid w:val="00356987"/>
    <w:rsid w:val="00356FB0"/>
    <w:rsid w:val="00361DA5"/>
    <w:rsid w:val="00361F1D"/>
    <w:rsid w:val="00364392"/>
    <w:rsid w:val="00365E61"/>
    <w:rsid w:val="00365EFF"/>
    <w:rsid w:val="00365F51"/>
    <w:rsid w:val="00373E05"/>
    <w:rsid w:val="00375692"/>
    <w:rsid w:val="00375DB6"/>
    <w:rsid w:val="003776F2"/>
    <w:rsid w:val="0038012F"/>
    <w:rsid w:val="00380332"/>
    <w:rsid w:val="00380BAB"/>
    <w:rsid w:val="00381A0E"/>
    <w:rsid w:val="00381D3D"/>
    <w:rsid w:val="0038751C"/>
    <w:rsid w:val="0038778B"/>
    <w:rsid w:val="00387F62"/>
    <w:rsid w:val="00394451"/>
    <w:rsid w:val="0039584A"/>
    <w:rsid w:val="00395F8B"/>
    <w:rsid w:val="0039625A"/>
    <w:rsid w:val="00396E93"/>
    <w:rsid w:val="003A4828"/>
    <w:rsid w:val="003A64CB"/>
    <w:rsid w:val="003A6622"/>
    <w:rsid w:val="003A673F"/>
    <w:rsid w:val="003B145D"/>
    <w:rsid w:val="003B4678"/>
    <w:rsid w:val="003B4F77"/>
    <w:rsid w:val="003B502C"/>
    <w:rsid w:val="003B5C9C"/>
    <w:rsid w:val="003C6B35"/>
    <w:rsid w:val="003C7C21"/>
    <w:rsid w:val="003D0632"/>
    <w:rsid w:val="003D650C"/>
    <w:rsid w:val="003D6713"/>
    <w:rsid w:val="003D6E90"/>
    <w:rsid w:val="003D7C37"/>
    <w:rsid w:val="003E110D"/>
    <w:rsid w:val="003E3529"/>
    <w:rsid w:val="003E3D02"/>
    <w:rsid w:val="003E3E6A"/>
    <w:rsid w:val="003E55BC"/>
    <w:rsid w:val="003E6EAF"/>
    <w:rsid w:val="003F0088"/>
    <w:rsid w:val="003F03C6"/>
    <w:rsid w:val="003F2DDE"/>
    <w:rsid w:val="003F314F"/>
    <w:rsid w:val="003F4721"/>
    <w:rsid w:val="003F5060"/>
    <w:rsid w:val="003F5829"/>
    <w:rsid w:val="003F63DA"/>
    <w:rsid w:val="003F677C"/>
    <w:rsid w:val="003F7090"/>
    <w:rsid w:val="00401EE0"/>
    <w:rsid w:val="004043AD"/>
    <w:rsid w:val="00405A6A"/>
    <w:rsid w:val="00406D2C"/>
    <w:rsid w:val="0041120A"/>
    <w:rsid w:val="00411935"/>
    <w:rsid w:val="0041337A"/>
    <w:rsid w:val="00416A72"/>
    <w:rsid w:val="00420AE1"/>
    <w:rsid w:val="0042728A"/>
    <w:rsid w:val="004272C0"/>
    <w:rsid w:val="004276DC"/>
    <w:rsid w:val="0042779B"/>
    <w:rsid w:val="00427B14"/>
    <w:rsid w:val="0043291F"/>
    <w:rsid w:val="00434347"/>
    <w:rsid w:val="004371F9"/>
    <w:rsid w:val="0043728E"/>
    <w:rsid w:val="00437541"/>
    <w:rsid w:val="00441D38"/>
    <w:rsid w:val="00441E59"/>
    <w:rsid w:val="004429A2"/>
    <w:rsid w:val="00442CB7"/>
    <w:rsid w:val="00443CA1"/>
    <w:rsid w:val="00444C25"/>
    <w:rsid w:val="0044532C"/>
    <w:rsid w:val="00447BB2"/>
    <w:rsid w:val="00452097"/>
    <w:rsid w:val="004527ED"/>
    <w:rsid w:val="00455387"/>
    <w:rsid w:val="00455AAB"/>
    <w:rsid w:val="00457317"/>
    <w:rsid w:val="004611E1"/>
    <w:rsid w:val="0046165B"/>
    <w:rsid w:val="00462460"/>
    <w:rsid w:val="004624E9"/>
    <w:rsid w:val="00462A13"/>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80934"/>
    <w:rsid w:val="0048130C"/>
    <w:rsid w:val="00482FA5"/>
    <w:rsid w:val="00484E6E"/>
    <w:rsid w:val="00485819"/>
    <w:rsid w:val="00487D31"/>
    <w:rsid w:val="00490000"/>
    <w:rsid w:val="00491F60"/>
    <w:rsid w:val="00492026"/>
    <w:rsid w:val="004920C5"/>
    <w:rsid w:val="004927D6"/>
    <w:rsid w:val="00492E16"/>
    <w:rsid w:val="004949D1"/>
    <w:rsid w:val="00494AE3"/>
    <w:rsid w:val="00494C04"/>
    <w:rsid w:val="0049557F"/>
    <w:rsid w:val="004965C3"/>
    <w:rsid w:val="00497639"/>
    <w:rsid w:val="004A0574"/>
    <w:rsid w:val="004A0A41"/>
    <w:rsid w:val="004A22CF"/>
    <w:rsid w:val="004A46ED"/>
    <w:rsid w:val="004A5804"/>
    <w:rsid w:val="004A794E"/>
    <w:rsid w:val="004B142E"/>
    <w:rsid w:val="004B3D26"/>
    <w:rsid w:val="004B44C1"/>
    <w:rsid w:val="004B623F"/>
    <w:rsid w:val="004B6EA7"/>
    <w:rsid w:val="004C11DE"/>
    <w:rsid w:val="004C13DB"/>
    <w:rsid w:val="004D00EF"/>
    <w:rsid w:val="004D14AD"/>
    <w:rsid w:val="004D376C"/>
    <w:rsid w:val="004D3864"/>
    <w:rsid w:val="004D58CD"/>
    <w:rsid w:val="004D5EEF"/>
    <w:rsid w:val="004D75B0"/>
    <w:rsid w:val="004D7DC5"/>
    <w:rsid w:val="004E109A"/>
    <w:rsid w:val="004E3B94"/>
    <w:rsid w:val="004E6410"/>
    <w:rsid w:val="004E7C93"/>
    <w:rsid w:val="004F3C8F"/>
    <w:rsid w:val="00500939"/>
    <w:rsid w:val="00501FC7"/>
    <w:rsid w:val="005025F4"/>
    <w:rsid w:val="00502AAF"/>
    <w:rsid w:val="005067E0"/>
    <w:rsid w:val="00510B62"/>
    <w:rsid w:val="00511F85"/>
    <w:rsid w:val="00513ED7"/>
    <w:rsid w:val="00516673"/>
    <w:rsid w:val="00517B69"/>
    <w:rsid w:val="00520368"/>
    <w:rsid w:val="00523227"/>
    <w:rsid w:val="00523246"/>
    <w:rsid w:val="005237FD"/>
    <w:rsid w:val="005246B4"/>
    <w:rsid w:val="00525F8B"/>
    <w:rsid w:val="0052651B"/>
    <w:rsid w:val="00530F1E"/>
    <w:rsid w:val="00532F0D"/>
    <w:rsid w:val="00533C06"/>
    <w:rsid w:val="00533E30"/>
    <w:rsid w:val="0053401E"/>
    <w:rsid w:val="00535AAB"/>
    <w:rsid w:val="00540B8E"/>
    <w:rsid w:val="00542636"/>
    <w:rsid w:val="00543DF0"/>
    <w:rsid w:val="00544AB5"/>
    <w:rsid w:val="00544E94"/>
    <w:rsid w:val="0054545F"/>
    <w:rsid w:val="00546A59"/>
    <w:rsid w:val="00546D89"/>
    <w:rsid w:val="00547AFC"/>
    <w:rsid w:val="0055022A"/>
    <w:rsid w:val="005503E5"/>
    <w:rsid w:val="005513B0"/>
    <w:rsid w:val="00556F73"/>
    <w:rsid w:val="005576BE"/>
    <w:rsid w:val="005603B3"/>
    <w:rsid w:val="00561787"/>
    <w:rsid w:val="0056193C"/>
    <w:rsid w:val="00561EF9"/>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742F"/>
    <w:rsid w:val="005A7C78"/>
    <w:rsid w:val="005B0873"/>
    <w:rsid w:val="005B4F6C"/>
    <w:rsid w:val="005B7055"/>
    <w:rsid w:val="005C4763"/>
    <w:rsid w:val="005C4DB7"/>
    <w:rsid w:val="005C5DC8"/>
    <w:rsid w:val="005C661E"/>
    <w:rsid w:val="005C7258"/>
    <w:rsid w:val="005D11C2"/>
    <w:rsid w:val="005D1E9E"/>
    <w:rsid w:val="005D48C8"/>
    <w:rsid w:val="005D58CE"/>
    <w:rsid w:val="005D6DB4"/>
    <w:rsid w:val="005E2760"/>
    <w:rsid w:val="005E2D13"/>
    <w:rsid w:val="005E350B"/>
    <w:rsid w:val="005E4648"/>
    <w:rsid w:val="005E6068"/>
    <w:rsid w:val="005E64B3"/>
    <w:rsid w:val="005E6A47"/>
    <w:rsid w:val="005F03A4"/>
    <w:rsid w:val="005F0C51"/>
    <w:rsid w:val="005F16DB"/>
    <w:rsid w:val="005F17B2"/>
    <w:rsid w:val="005F2BB5"/>
    <w:rsid w:val="005F3A96"/>
    <w:rsid w:val="005F3EA7"/>
    <w:rsid w:val="005F4DBF"/>
    <w:rsid w:val="005F58C1"/>
    <w:rsid w:val="005F66CC"/>
    <w:rsid w:val="005F7DEC"/>
    <w:rsid w:val="005F7E35"/>
    <w:rsid w:val="00600AA5"/>
    <w:rsid w:val="0060126D"/>
    <w:rsid w:val="0060146A"/>
    <w:rsid w:val="00601974"/>
    <w:rsid w:val="00601CE8"/>
    <w:rsid w:val="00602DA5"/>
    <w:rsid w:val="006045AF"/>
    <w:rsid w:val="00606B1E"/>
    <w:rsid w:val="006105E3"/>
    <w:rsid w:val="006115E2"/>
    <w:rsid w:val="00613D08"/>
    <w:rsid w:val="0061491F"/>
    <w:rsid w:val="00615FC7"/>
    <w:rsid w:val="00620DEF"/>
    <w:rsid w:val="0062204C"/>
    <w:rsid w:val="00623188"/>
    <w:rsid w:val="00626DD6"/>
    <w:rsid w:val="0062719D"/>
    <w:rsid w:val="00627FDF"/>
    <w:rsid w:val="00630296"/>
    <w:rsid w:val="006331E3"/>
    <w:rsid w:val="00633776"/>
    <w:rsid w:val="00633C62"/>
    <w:rsid w:val="006361F0"/>
    <w:rsid w:val="006372A4"/>
    <w:rsid w:val="006375ED"/>
    <w:rsid w:val="006378AB"/>
    <w:rsid w:val="0064029E"/>
    <w:rsid w:val="00640861"/>
    <w:rsid w:val="00640A36"/>
    <w:rsid w:val="00640BDC"/>
    <w:rsid w:val="0064171C"/>
    <w:rsid w:val="00646004"/>
    <w:rsid w:val="00646AD1"/>
    <w:rsid w:val="006473BA"/>
    <w:rsid w:val="00650E4E"/>
    <w:rsid w:val="0065410C"/>
    <w:rsid w:val="00654D9D"/>
    <w:rsid w:val="00660C02"/>
    <w:rsid w:val="0066104E"/>
    <w:rsid w:val="0066130F"/>
    <w:rsid w:val="006641F4"/>
    <w:rsid w:val="006645D9"/>
    <w:rsid w:val="006650FB"/>
    <w:rsid w:val="00665EBC"/>
    <w:rsid w:val="00667637"/>
    <w:rsid w:val="00667BE8"/>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D60"/>
    <w:rsid w:val="006A0ECC"/>
    <w:rsid w:val="006A27BC"/>
    <w:rsid w:val="006A27D6"/>
    <w:rsid w:val="006A3A42"/>
    <w:rsid w:val="006A41B4"/>
    <w:rsid w:val="006A5FD7"/>
    <w:rsid w:val="006A62B0"/>
    <w:rsid w:val="006B143E"/>
    <w:rsid w:val="006B30E3"/>
    <w:rsid w:val="006B5E72"/>
    <w:rsid w:val="006B6205"/>
    <w:rsid w:val="006C058F"/>
    <w:rsid w:val="006C275F"/>
    <w:rsid w:val="006C3252"/>
    <w:rsid w:val="006C7A04"/>
    <w:rsid w:val="006D158F"/>
    <w:rsid w:val="006D1B83"/>
    <w:rsid w:val="006D1BE7"/>
    <w:rsid w:val="006D5C98"/>
    <w:rsid w:val="006D6FCC"/>
    <w:rsid w:val="006E0A9F"/>
    <w:rsid w:val="006E12D5"/>
    <w:rsid w:val="006E26E8"/>
    <w:rsid w:val="006E4493"/>
    <w:rsid w:val="006E76B0"/>
    <w:rsid w:val="006F08D4"/>
    <w:rsid w:val="006F3318"/>
    <w:rsid w:val="006F39CF"/>
    <w:rsid w:val="006F4894"/>
    <w:rsid w:val="006F58F5"/>
    <w:rsid w:val="006F676D"/>
    <w:rsid w:val="00700672"/>
    <w:rsid w:val="00701319"/>
    <w:rsid w:val="00701A95"/>
    <w:rsid w:val="007027E5"/>
    <w:rsid w:val="00702F7C"/>
    <w:rsid w:val="00706127"/>
    <w:rsid w:val="007077CD"/>
    <w:rsid w:val="00712A93"/>
    <w:rsid w:val="00714CF1"/>
    <w:rsid w:val="00715CEB"/>
    <w:rsid w:val="00717A58"/>
    <w:rsid w:val="00722924"/>
    <w:rsid w:val="00723D30"/>
    <w:rsid w:val="00723F1A"/>
    <w:rsid w:val="00724E70"/>
    <w:rsid w:val="00726974"/>
    <w:rsid w:val="007306BB"/>
    <w:rsid w:val="007319AD"/>
    <w:rsid w:val="00732257"/>
    <w:rsid w:val="007400EB"/>
    <w:rsid w:val="00740240"/>
    <w:rsid w:val="0074037C"/>
    <w:rsid w:val="00742895"/>
    <w:rsid w:val="00742B72"/>
    <w:rsid w:val="00742BC9"/>
    <w:rsid w:val="00743251"/>
    <w:rsid w:val="007436B5"/>
    <w:rsid w:val="00743D5F"/>
    <w:rsid w:val="007440B7"/>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67871"/>
    <w:rsid w:val="0077082D"/>
    <w:rsid w:val="0077181C"/>
    <w:rsid w:val="00771AF0"/>
    <w:rsid w:val="0077499E"/>
    <w:rsid w:val="0077508F"/>
    <w:rsid w:val="007752E2"/>
    <w:rsid w:val="00781F5F"/>
    <w:rsid w:val="00783479"/>
    <w:rsid w:val="00783696"/>
    <w:rsid w:val="00783D3E"/>
    <w:rsid w:val="00784B5D"/>
    <w:rsid w:val="00785DB0"/>
    <w:rsid w:val="00791384"/>
    <w:rsid w:val="00791D74"/>
    <w:rsid w:val="00791E5B"/>
    <w:rsid w:val="007931D7"/>
    <w:rsid w:val="007949B4"/>
    <w:rsid w:val="0079708B"/>
    <w:rsid w:val="0079779E"/>
    <w:rsid w:val="007A34F4"/>
    <w:rsid w:val="007A6525"/>
    <w:rsid w:val="007A6DC9"/>
    <w:rsid w:val="007A71B5"/>
    <w:rsid w:val="007A797E"/>
    <w:rsid w:val="007B1216"/>
    <w:rsid w:val="007B255F"/>
    <w:rsid w:val="007B55C5"/>
    <w:rsid w:val="007C0579"/>
    <w:rsid w:val="007C0E7E"/>
    <w:rsid w:val="007C10CC"/>
    <w:rsid w:val="007C250E"/>
    <w:rsid w:val="007C2CD7"/>
    <w:rsid w:val="007D009C"/>
    <w:rsid w:val="007D2162"/>
    <w:rsid w:val="007D5A53"/>
    <w:rsid w:val="007D62D9"/>
    <w:rsid w:val="007D73C9"/>
    <w:rsid w:val="007E05CF"/>
    <w:rsid w:val="007E1FB4"/>
    <w:rsid w:val="007E28C1"/>
    <w:rsid w:val="007F0840"/>
    <w:rsid w:val="007F2086"/>
    <w:rsid w:val="007F67A7"/>
    <w:rsid w:val="007F6F0A"/>
    <w:rsid w:val="0080061B"/>
    <w:rsid w:val="00800773"/>
    <w:rsid w:val="00801004"/>
    <w:rsid w:val="0080111C"/>
    <w:rsid w:val="00801EFD"/>
    <w:rsid w:val="008058BC"/>
    <w:rsid w:val="00806D7C"/>
    <w:rsid w:val="00807854"/>
    <w:rsid w:val="00811012"/>
    <w:rsid w:val="00811A90"/>
    <w:rsid w:val="00813846"/>
    <w:rsid w:val="00814325"/>
    <w:rsid w:val="00815C4F"/>
    <w:rsid w:val="008161C2"/>
    <w:rsid w:val="00816942"/>
    <w:rsid w:val="0081738B"/>
    <w:rsid w:val="0082026A"/>
    <w:rsid w:val="008219BA"/>
    <w:rsid w:val="00824136"/>
    <w:rsid w:val="00826075"/>
    <w:rsid w:val="008267CA"/>
    <w:rsid w:val="00826A19"/>
    <w:rsid w:val="008312D4"/>
    <w:rsid w:val="008317C8"/>
    <w:rsid w:val="00831915"/>
    <w:rsid w:val="0083305B"/>
    <w:rsid w:val="00834578"/>
    <w:rsid w:val="0083648B"/>
    <w:rsid w:val="00836500"/>
    <w:rsid w:val="00841EAB"/>
    <w:rsid w:val="00844977"/>
    <w:rsid w:val="00844A77"/>
    <w:rsid w:val="00844B97"/>
    <w:rsid w:val="00844E05"/>
    <w:rsid w:val="00845BB4"/>
    <w:rsid w:val="008464F9"/>
    <w:rsid w:val="00847302"/>
    <w:rsid w:val="00847BF3"/>
    <w:rsid w:val="00852A15"/>
    <w:rsid w:val="00853D0B"/>
    <w:rsid w:val="00854B16"/>
    <w:rsid w:val="00854BCA"/>
    <w:rsid w:val="00855A43"/>
    <w:rsid w:val="008561BF"/>
    <w:rsid w:val="00861E25"/>
    <w:rsid w:val="008633B6"/>
    <w:rsid w:val="00866481"/>
    <w:rsid w:val="0087076A"/>
    <w:rsid w:val="00870853"/>
    <w:rsid w:val="008731E4"/>
    <w:rsid w:val="008745D6"/>
    <w:rsid w:val="00874DCA"/>
    <w:rsid w:val="00875D64"/>
    <w:rsid w:val="00875E32"/>
    <w:rsid w:val="0087668E"/>
    <w:rsid w:val="008800F4"/>
    <w:rsid w:val="0088277A"/>
    <w:rsid w:val="0088297B"/>
    <w:rsid w:val="00885D7C"/>
    <w:rsid w:val="0088762D"/>
    <w:rsid w:val="00890235"/>
    <w:rsid w:val="00890A70"/>
    <w:rsid w:val="00890DDC"/>
    <w:rsid w:val="00890F9C"/>
    <w:rsid w:val="008928B6"/>
    <w:rsid w:val="00894CA0"/>
    <w:rsid w:val="00895461"/>
    <w:rsid w:val="008957B1"/>
    <w:rsid w:val="00896190"/>
    <w:rsid w:val="00897C5E"/>
    <w:rsid w:val="008A0656"/>
    <w:rsid w:val="008A1517"/>
    <w:rsid w:val="008A2307"/>
    <w:rsid w:val="008A2B8F"/>
    <w:rsid w:val="008A2BB7"/>
    <w:rsid w:val="008A4000"/>
    <w:rsid w:val="008A4A65"/>
    <w:rsid w:val="008A6621"/>
    <w:rsid w:val="008A70A5"/>
    <w:rsid w:val="008B201B"/>
    <w:rsid w:val="008B2D64"/>
    <w:rsid w:val="008B368E"/>
    <w:rsid w:val="008B38A4"/>
    <w:rsid w:val="008B38EE"/>
    <w:rsid w:val="008B4F2F"/>
    <w:rsid w:val="008B55B4"/>
    <w:rsid w:val="008B6A00"/>
    <w:rsid w:val="008C0269"/>
    <w:rsid w:val="008C076F"/>
    <w:rsid w:val="008C257C"/>
    <w:rsid w:val="008D0FDE"/>
    <w:rsid w:val="008D1051"/>
    <w:rsid w:val="008D22BE"/>
    <w:rsid w:val="008D7542"/>
    <w:rsid w:val="008D7F7C"/>
    <w:rsid w:val="008E0835"/>
    <w:rsid w:val="008E16ED"/>
    <w:rsid w:val="008E280E"/>
    <w:rsid w:val="008E2BA7"/>
    <w:rsid w:val="008E5642"/>
    <w:rsid w:val="008E5CC2"/>
    <w:rsid w:val="008F2E20"/>
    <w:rsid w:val="0090061C"/>
    <w:rsid w:val="00900BC5"/>
    <w:rsid w:val="00901036"/>
    <w:rsid w:val="00904136"/>
    <w:rsid w:val="00904309"/>
    <w:rsid w:val="0090479F"/>
    <w:rsid w:val="00904BFC"/>
    <w:rsid w:val="00906692"/>
    <w:rsid w:val="00906853"/>
    <w:rsid w:val="00906CF8"/>
    <w:rsid w:val="009073CB"/>
    <w:rsid w:val="0090752A"/>
    <w:rsid w:val="00910805"/>
    <w:rsid w:val="00911A42"/>
    <w:rsid w:val="00912D60"/>
    <w:rsid w:val="009140A2"/>
    <w:rsid w:val="009141D0"/>
    <w:rsid w:val="00920480"/>
    <w:rsid w:val="00920D01"/>
    <w:rsid w:val="00923B20"/>
    <w:rsid w:val="009263DF"/>
    <w:rsid w:val="00927338"/>
    <w:rsid w:val="0093018E"/>
    <w:rsid w:val="0093167C"/>
    <w:rsid w:val="00932A3A"/>
    <w:rsid w:val="00934143"/>
    <w:rsid w:val="00934679"/>
    <w:rsid w:val="00935444"/>
    <w:rsid w:val="009378F0"/>
    <w:rsid w:val="00942696"/>
    <w:rsid w:val="00942EB6"/>
    <w:rsid w:val="0094307C"/>
    <w:rsid w:val="00944802"/>
    <w:rsid w:val="00946BF4"/>
    <w:rsid w:val="009470DD"/>
    <w:rsid w:val="009518D9"/>
    <w:rsid w:val="0095236F"/>
    <w:rsid w:val="00952404"/>
    <w:rsid w:val="00953350"/>
    <w:rsid w:val="00955BDA"/>
    <w:rsid w:val="00957060"/>
    <w:rsid w:val="0096328F"/>
    <w:rsid w:val="00965F52"/>
    <w:rsid w:val="0096737A"/>
    <w:rsid w:val="0097392A"/>
    <w:rsid w:val="009749C0"/>
    <w:rsid w:val="00977C0A"/>
    <w:rsid w:val="00982FF8"/>
    <w:rsid w:val="00984E8B"/>
    <w:rsid w:val="0098512F"/>
    <w:rsid w:val="0098550A"/>
    <w:rsid w:val="00985728"/>
    <w:rsid w:val="009857DD"/>
    <w:rsid w:val="009859AB"/>
    <w:rsid w:val="00987A4E"/>
    <w:rsid w:val="009907A9"/>
    <w:rsid w:val="00993DE4"/>
    <w:rsid w:val="00993F38"/>
    <w:rsid w:val="00994A4B"/>
    <w:rsid w:val="00996D25"/>
    <w:rsid w:val="009A043C"/>
    <w:rsid w:val="009A12ED"/>
    <w:rsid w:val="009A201F"/>
    <w:rsid w:val="009A62FC"/>
    <w:rsid w:val="009A6989"/>
    <w:rsid w:val="009A72EB"/>
    <w:rsid w:val="009B105E"/>
    <w:rsid w:val="009B2B4E"/>
    <w:rsid w:val="009B396E"/>
    <w:rsid w:val="009B39A2"/>
    <w:rsid w:val="009B3B97"/>
    <w:rsid w:val="009B49F3"/>
    <w:rsid w:val="009B4E5D"/>
    <w:rsid w:val="009B567A"/>
    <w:rsid w:val="009C29C5"/>
    <w:rsid w:val="009C5C75"/>
    <w:rsid w:val="009C66A5"/>
    <w:rsid w:val="009D1C23"/>
    <w:rsid w:val="009D2A29"/>
    <w:rsid w:val="009D417F"/>
    <w:rsid w:val="009D59DE"/>
    <w:rsid w:val="009E1362"/>
    <w:rsid w:val="009E1848"/>
    <w:rsid w:val="009E1BC1"/>
    <w:rsid w:val="009E1F6B"/>
    <w:rsid w:val="009E3E77"/>
    <w:rsid w:val="009E4DF2"/>
    <w:rsid w:val="009E6D60"/>
    <w:rsid w:val="009F1918"/>
    <w:rsid w:val="009F2D0A"/>
    <w:rsid w:val="009F3962"/>
    <w:rsid w:val="009F6ED7"/>
    <w:rsid w:val="009F7401"/>
    <w:rsid w:val="009F78F2"/>
    <w:rsid w:val="00A01C9B"/>
    <w:rsid w:val="00A065F5"/>
    <w:rsid w:val="00A10857"/>
    <w:rsid w:val="00A1221A"/>
    <w:rsid w:val="00A1269B"/>
    <w:rsid w:val="00A130F9"/>
    <w:rsid w:val="00A1585F"/>
    <w:rsid w:val="00A16000"/>
    <w:rsid w:val="00A16398"/>
    <w:rsid w:val="00A20EBA"/>
    <w:rsid w:val="00A20F2F"/>
    <w:rsid w:val="00A211A3"/>
    <w:rsid w:val="00A2357E"/>
    <w:rsid w:val="00A24629"/>
    <w:rsid w:val="00A25A27"/>
    <w:rsid w:val="00A27485"/>
    <w:rsid w:val="00A30038"/>
    <w:rsid w:val="00A309E8"/>
    <w:rsid w:val="00A3514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3279"/>
    <w:rsid w:val="00A83750"/>
    <w:rsid w:val="00A84631"/>
    <w:rsid w:val="00A86498"/>
    <w:rsid w:val="00A86A0A"/>
    <w:rsid w:val="00A9067C"/>
    <w:rsid w:val="00A90A24"/>
    <w:rsid w:val="00A90BD3"/>
    <w:rsid w:val="00A91402"/>
    <w:rsid w:val="00A92FBB"/>
    <w:rsid w:val="00A93C1C"/>
    <w:rsid w:val="00A96790"/>
    <w:rsid w:val="00A97543"/>
    <w:rsid w:val="00AA0DFE"/>
    <w:rsid w:val="00AA2502"/>
    <w:rsid w:val="00AA262E"/>
    <w:rsid w:val="00AA2AC5"/>
    <w:rsid w:val="00AA3174"/>
    <w:rsid w:val="00AA3A41"/>
    <w:rsid w:val="00AA5AE9"/>
    <w:rsid w:val="00AA6D45"/>
    <w:rsid w:val="00AA7585"/>
    <w:rsid w:val="00AA7DED"/>
    <w:rsid w:val="00AB031D"/>
    <w:rsid w:val="00AB08A6"/>
    <w:rsid w:val="00AB18B3"/>
    <w:rsid w:val="00AB1A1E"/>
    <w:rsid w:val="00AB236C"/>
    <w:rsid w:val="00AB4CB4"/>
    <w:rsid w:val="00AC06B6"/>
    <w:rsid w:val="00AC7830"/>
    <w:rsid w:val="00AD1557"/>
    <w:rsid w:val="00AD35F3"/>
    <w:rsid w:val="00AD44E9"/>
    <w:rsid w:val="00AD4CAC"/>
    <w:rsid w:val="00AD528F"/>
    <w:rsid w:val="00AD6760"/>
    <w:rsid w:val="00AD6EB3"/>
    <w:rsid w:val="00AD741D"/>
    <w:rsid w:val="00AD751D"/>
    <w:rsid w:val="00AD791C"/>
    <w:rsid w:val="00AE1C60"/>
    <w:rsid w:val="00AE4F42"/>
    <w:rsid w:val="00AE728D"/>
    <w:rsid w:val="00AE7589"/>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0732B"/>
    <w:rsid w:val="00B104C5"/>
    <w:rsid w:val="00B10F47"/>
    <w:rsid w:val="00B1385B"/>
    <w:rsid w:val="00B13B1B"/>
    <w:rsid w:val="00B15DBF"/>
    <w:rsid w:val="00B165C9"/>
    <w:rsid w:val="00B16F6C"/>
    <w:rsid w:val="00B17D70"/>
    <w:rsid w:val="00B22AD7"/>
    <w:rsid w:val="00B22D31"/>
    <w:rsid w:val="00B22E46"/>
    <w:rsid w:val="00B2579E"/>
    <w:rsid w:val="00B27853"/>
    <w:rsid w:val="00B30291"/>
    <w:rsid w:val="00B306F7"/>
    <w:rsid w:val="00B30BB8"/>
    <w:rsid w:val="00B30FE2"/>
    <w:rsid w:val="00B3272E"/>
    <w:rsid w:val="00B32C71"/>
    <w:rsid w:val="00B330C4"/>
    <w:rsid w:val="00B37580"/>
    <w:rsid w:val="00B4137A"/>
    <w:rsid w:val="00B469B0"/>
    <w:rsid w:val="00B50B77"/>
    <w:rsid w:val="00B51290"/>
    <w:rsid w:val="00B52215"/>
    <w:rsid w:val="00B530CA"/>
    <w:rsid w:val="00B53AC4"/>
    <w:rsid w:val="00B54527"/>
    <w:rsid w:val="00B57ADA"/>
    <w:rsid w:val="00B61EE9"/>
    <w:rsid w:val="00B6496C"/>
    <w:rsid w:val="00B65962"/>
    <w:rsid w:val="00B66B6C"/>
    <w:rsid w:val="00B7033E"/>
    <w:rsid w:val="00B7071A"/>
    <w:rsid w:val="00B71858"/>
    <w:rsid w:val="00B71A39"/>
    <w:rsid w:val="00B721DC"/>
    <w:rsid w:val="00B74715"/>
    <w:rsid w:val="00B7669D"/>
    <w:rsid w:val="00B766D9"/>
    <w:rsid w:val="00B7738B"/>
    <w:rsid w:val="00B80A28"/>
    <w:rsid w:val="00B82D73"/>
    <w:rsid w:val="00B84A2C"/>
    <w:rsid w:val="00B871D6"/>
    <w:rsid w:val="00B87A02"/>
    <w:rsid w:val="00B96204"/>
    <w:rsid w:val="00BA0DCC"/>
    <w:rsid w:val="00BA12A2"/>
    <w:rsid w:val="00BA16EF"/>
    <w:rsid w:val="00BA18D0"/>
    <w:rsid w:val="00BA242E"/>
    <w:rsid w:val="00BA2ABF"/>
    <w:rsid w:val="00BA3317"/>
    <w:rsid w:val="00BA5A9D"/>
    <w:rsid w:val="00BA6363"/>
    <w:rsid w:val="00BB1E07"/>
    <w:rsid w:val="00BB2D9C"/>
    <w:rsid w:val="00BB3512"/>
    <w:rsid w:val="00BB5D1E"/>
    <w:rsid w:val="00BB62CC"/>
    <w:rsid w:val="00BB7ED6"/>
    <w:rsid w:val="00BC137A"/>
    <w:rsid w:val="00BC4347"/>
    <w:rsid w:val="00BC45E0"/>
    <w:rsid w:val="00BC54B5"/>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5859"/>
    <w:rsid w:val="00BE5DB1"/>
    <w:rsid w:val="00BE717E"/>
    <w:rsid w:val="00BE7E27"/>
    <w:rsid w:val="00BF183C"/>
    <w:rsid w:val="00BF4C15"/>
    <w:rsid w:val="00C01EFC"/>
    <w:rsid w:val="00C044CF"/>
    <w:rsid w:val="00C0782F"/>
    <w:rsid w:val="00C11F50"/>
    <w:rsid w:val="00C12603"/>
    <w:rsid w:val="00C12C7C"/>
    <w:rsid w:val="00C131FD"/>
    <w:rsid w:val="00C15322"/>
    <w:rsid w:val="00C16DA8"/>
    <w:rsid w:val="00C17352"/>
    <w:rsid w:val="00C2024D"/>
    <w:rsid w:val="00C21959"/>
    <w:rsid w:val="00C24FEE"/>
    <w:rsid w:val="00C30A7D"/>
    <w:rsid w:val="00C30FD1"/>
    <w:rsid w:val="00C31169"/>
    <w:rsid w:val="00C3169F"/>
    <w:rsid w:val="00C318F6"/>
    <w:rsid w:val="00C37522"/>
    <w:rsid w:val="00C42B84"/>
    <w:rsid w:val="00C42EFD"/>
    <w:rsid w:val="00C43D8B"/>
    <w:rsid w:val="00C44042"/>
    <w:rsid w:val="00C46AF0"/>
    <w:rsid w:val="00C52956"/>
    <w:rsid w:val="00C53AE1"/>
    <w:rsid w:val="00C53CAD"/>
    <w:rsid w:val="00C54893"/>
    <w:rsid w:val="00C560A1"/>
    <w:rsid w:val="00C56E9E"/>
    <w:rsid w:val="00C56EB6"/>
    <w:rsid w:val="00C571E2"/>
    <w:rsid w:val="00C63FC8"/>
    <w:rsid w:val="00C64F57"/>
    <w:rsid w:val="00C65D21"/>
    <w:rsid w:val="00C66E11"/>
    <w:rsid w:val="00C6789D"/>
    <w:rsid w:val="00C71A97"/>
    <w:rsid w:val="00C72FFE"/>
    <w:rsid w:val="00C73FFD"/>
    <w:rsid w:val="00C74512"/>
    <w:rsid w:val="00C747C3"/>
    <w:rsid w:val="00C75071"/>
    <w:rsid w:val="00C77EB0"/>
    <w:rsid w:val="00C81D58"/>
    <w:rsid w:val="00C84F07"/>
    <w:rsid w:val="00C851A6"/>
    <w:rsid w:val="00C855D4"/>
    <w:rsid w:val="00C87639"/>
    <w:rsid w:val="00C90685"/>
    <w:rsid w:val="00C9099A"/>
    <w:rsid w:val="00C9240A"/>
    <w:rsid w:val="00C92BC2"/>
    <w:rsid w:val="00C93D5B"/>
    <w:rsid w:val="00C9442C"/>
    <w:rsid w:val="00C9532C"/>
    <w:rsid w:val="00C95BCF"/>
    <w:rsid w:val="00C95D16"/>
    <w:rsid w:val="00C95DCF"/>
    <w:rsid w:val="00CA184E"/>
    <w:rsid w:val="00CA23C4"/>
    <w:rsid w:val="00CA575F"/>
    <w:rsid w:val="00CA5AEC"/>
    <w:rsid w:val="00CA6114"/>
    <w:rsid w:val="00CA704A"/>
    <w:rsid w:val="00CB0797"/>
    <w:rsid w:val="00CB21FF"/>
    <w:rsid w:val="00CB2527"/>
    <w:rsid w:val="00CB5CAE"/>
    <w:rsid w:val="00CB644C"/>
    <w:rsid w:val="00CB78ED"/>
    <w:rsid w:val="00CC0004"/>
    <w:rsid w:val="00CC4E55"/>
    <w:rsid w:val="00CC550E"/>
    <w:rsid w:val="00CC5AC6"/>
    <w:rsid w:val="00CD0DCE"/>
    <w:rsid w:val="00CD1628"/>
    <w:rsid w:val="00CD1D27"/>
    <w:rsid w:val="00CD27B7"/>
    <w:rsid w:val="00CD3807"/>
    <w:rsid w:val="00CD3AE7"/>
    <w:rsid w:val="00CD3C10"/>
    <w:rsid w:val="00CD5194"/>
    <w:rsid w:val="00CD5981"/>
    <w:rsid w:val="00CD79FA"/>
    <w:rsid w:val="00CE10E6"/>
    <w:rsid w:val="00CE5822"/>
    <w:rsid w:val="00CE59A8"/>
    <w:rsid w:val="00CE657B"/>
    <w:rsid w:val="00CF0873"/>
    <w:rsid w:val="00CF237E"/>
    <w:rsid w:val="00CF3FB0"/>
    <w:rsid w:val="00CF515D"/>
    <w:rsid w:val="00CF53F5"/>
    <w:rsid w:val="00CF6B3F"/>
    <w:rsid w:val="00D002B4"/>
    <w:rsid w:val="00D03845"/>
    <w:rsid w:val="00D03DCB"/>
    <w:rsid w:val="00D05257"/>
    <w:rsid w:val="00D054DF"/>
    <w:rsid w:val="00D057A5"/>
    <w:rsid w:val="00D05D1F"/>
    <w:rsid w:val="00D144D0"/>
    <w:rsid w:val="00D14FC0"/>
    <w:rsid w:val="00D163A3"/>
    <w:rsid w:val="00D1656D"/>
    <w:rsid w:val="00D167CC"/>
    <w:rsid w:val="00D16943"/>
    <w:rsid w:val="00D211AE"/>
    <w:rsid w:val="00D21662"/>
    <w:rsid w:val="00D22416"/>
    <w:rsid w:val="00D23DE4"/>
    <w:rsid w:val="00D23F50"/>
    <w:rsid w:val="00D24867"/>
    <w:rsid w:val="00D318E3"/>
    <w:rsid w:val="00D323A7"/>
    <w:rsid w:val="00D346BF"/>
    <w:rsid w:val="00D34A4B"/>
    <w:rsid w:val="00D416EB"/>
    <w:rsid w:val="00D41B20"/>
    <w:rsid w:val="00D44615"/>
    <w:rsid w:val="00D45321"/>
    <w:rsid w:val="00D50324"/>
    <w:rsid w:val="00D55A28"/>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6043"/>
    <w:rsid w:val="00D870D4"/>
    <w:rsid w:val="00D9398E"/>
    <w:rsid w:val="00D9464E"/>
    <w:rsid w:val="00D954E0"/>
    <w:rsid w:val="00D97059"/>
    <w:rsid w:val="00D97A1D"/>
    <w:rsid w:val="00DA0181"/>
    <w:rsid w:val="00DA2411"/>
    <w:rsid w:val="00DA2C81"/>
    <w:rsid w:val="00DA65C4"/>
    <w:rsid w:val="00DA7899"/>
    <w:rsid w:val="00DB0923"/>
    <w:rsid w:val="00DB29CA"/>
    <w:rsid w:val="00DB30C8"/>
    <w:rsid w:val="00DB558E"/>
    <w:rsid w:val="00DB5F2B"/>
    <w:rsid w:val="00DB74AF"/>
    <w:rsid w:val="00DC1AB8"/>
    <w:rsid w:val="00DC56D8"/>
    <w:rsid w:val="00DC5C19"/>
    <w:rsid w:val="00DC7068"/>
    <w:rsid w:val="00DD0411"/>
    <w:rsid w:val="00DD265A"/>
    <w:rsid w:val="00DD6B9B"/>
    <w:rsid w:val="00DE07A1"/>
    <w:rsid w:val="00DE21A2"/>
    <w:rsid w:val="00DE2776"/>
    <w:rsid w:val="00DE3B11"/>
    <w:rsid w:val="00DE7183"/>
    <w:rsid w:val="00DF1DAC"/>
    <w:rsid w:val="00DF2165"/>
    <w:rsid w:val="00DF5A24"/>
    <w:rsid w:val="00DF60E6"/>
    <w:rsid w:val="00DF6105"/>
    <w:rsid w:val="00DF659E"/>
    <w:rsid w:val="00E01524"/>
    <w:rsid w:val="00E0320F"/>
    <w:rsid w:val="00E07C16"/>
    <w:rsid w:val="00E1021D"/>
    <w:rsid w:val="00E1428E"/>
    <w:rsid w:val="00E14900"/>
    <w:rsid w:val="00E15903"/>
    <w:rsid w:val="00E218D3"/>
    <w:rsid w:val="00E22321"/>
    <w:rsid w:val="00E229ED"/>
    <w:rsid w:val="00E23091"/>
    <w:rsid w:val="00E23E21"/>
    <w:rsid w:val="00E245A0"/>
    <w:rsid w:val="00E25964"/>
    <w:rsid w:val="00E25E9F"/>
    <w:rsid w:val="00E27565"/>
    <w:rsid w:val="00E30DE6"/>
    <w:rsid w:val="00E31944"/>
    <w:rsid w:val="00E319EA"/>
    <w:rsid w:val="00E32395"/>
    <w:rsid w:val="00E32E0D"/>
    <w:rsid w:val="00E332E3"/>
    <w:rsid w:val="00E34DBA"/>
    <w:rsid w:val="00E3534F"/>
    <w:rsid w:val="00E35435"/>
    <w:rsid w:val="00E35F3D"/>
    <w:rsid w:val="00E37194"/>
    <w:rsid w:val="00E3788B"/>
    <w:rsid w:val="00E40C6A"/>
    <w:rsid w:val="00E410B7"/>
    <w:rsid w:val="00E43977"/>
    <w:rsid w:val="00E43DAD"/>
    <w:rsid w:val="00E4415D"/>
    <w:rsid w:val="00E44AB8"/>
    <w:rsid w:val="00E47BD8"/>
    <w:rsid w:val="00E50D3F"/>
    <w:rsid w:val="00E520BE"/>
    <w:rsid w:val="00E53413"/>
    <w:rsid w:val="00E5484A"/>
    <w:rsid w:val="00E54E17"/>
    <w:rsid w:val="00E56A7A"/>
    <w:rsid w:val="00E60419"/>
    <w:rsid w:val="00E60E01"/>
    <w:rsid w:val="00E617D3"/>
    <w:rsid w:val="00E61E36"/>
    <w:rsid w:val="00E633C1"/>
    <w:rsid w:val="00E65532"/>
    <w:rsid w:val="00E667B0"/>
    <w:rsid w:val="00E67390"/>
    <w:rsid w:val="00E71365"/>
    <w:rsid w:val="00E7438A"/>
    <w:rsid w:val="00E74904"/>
    <w:rsid w:val="00E770A4"/>
    <w:rsid w:val="00E8097A"/>
    <w:rsid w:val="00E81192"/>
    <w:rsid w:val="00E83B51"/>
    <w:rsid w:val="00E8626C"/>
    <w:rsid w:val="00E8663B"/>
    <w:rsid w:val="00E86BDE"/>
    <w:rsid w:val="00E8762F"/>
    <w:rsid w:val="00E90171"/>
    <w:rsid w:val="00E90AB8"/>
    <w:rsid w:val="00E919D9"/>
    <w:rsid w:val="00E921C1"/>
    <w:rsid w:val="00E93C8B"/>
    <w:rsid w:val="00E93D8F"/>
    <w:rsid w:val="00E9531E"/>
    <w:rsid w:val="00E95E41"/>
    <w:rsid w:val="00E95E4C"/>
    <w:rsid w:val="00E977CE"/>
    <w:rsid w:val="00E97E05"/>
    <w:rsid w:val="00EA34E2"/>
    <w:rsid w:val="00EA52D1"/>
    <w:rsid w:val="00EA703E"/>
    <w:rsid w:val="00EA791F"/>
    <w:rsid w:val="00EB671F"/>
    <w:rsid w:val="00EB70E7"/>
    <w:rsid w:val="00EB76D6"/>
    <w:rsid w:val="00EC02E8"/>
    <w:rsid w:val="00EC1139"/>
    <w:rsid w:val="00EC3842"/>
    <w:rsid w:val="00EC4299"/>
    <w:rsid w:val="00EC4D4D"/>
    <w:rsid w:val="00EC5D5D"/>
    <w:rsid w:val="00EC7908"/>
    <w:rsid w:val="00EC7C2B"/>
    <w:rsid w:val="00ED1F02"/>
    <w:rsid w:val="00ED213D"/>
    <w:rsid w:val="00ED29DD"/>
    <w:rsid w:val="00EE15B5"/>
    <w:rsid w:val="00EE2087"/>
    <w:rsid w:val="00EE20A1"/>
    <w:rsid w:val="00EE6670"/>
    <w:rsid w:val="00EE74AF"/>
    <w:rsid w:val="00EF1F0E"/>
    <w:rsid w:val="00EF29F6"/>
    <w:rsid w:val="00EF4FBF"/>
    <w:rsid w:val="00EF518E"/>
    <w:rsid w:val="00EF5DF0"/>
    <w:rsid w:val="00EF69AE"/>
    <w:rsid w:val="00EF6E2C"/>
    <w:rsid w:val="00EF7106"/>
    <w:rsid w:val="00F001A6"/>
    <w:rsid w:val="00F00253"/>
    <w:rsid w:val="00F0070A"/>
    <w:rsid w:val="00F01660"/>
    <w:rsid w:val="00F01C16"/>
    <w:rsid w:val="00F0782D"/>
    <w:rsid w:val="00F10B74"/>
    <w:rsid w:val="00F11EB3"/>
    <w:rsid w:val="00F13F39"/>
    <w:rsid w:val="00F14B9B"/>
    <w:rsid w:val="00F14CCC"/>
    <w:rsid w:val="00F17988"/>
    <w:rsid w:val="00F20C09"/>
    <w:rsid w:val="00F217DF"/>
    <w:rsid w:val="00F21CAE"/>
    <w:rsid w:val="00F22AE0"/>
    <w:rsid w:val="00F2601A"/>
    <w:rsid w:val="00F26701"/>
    <w:rsid w:val="00F27ACB"/>
    <w:rsid w:val="00F310D7"/>
    <w:rsid w:val="00F368B9"/>
    <w:rsid w:val="00F3739F"/>
    <w:rsid w:val="00F374C1"/>
    <w:rsid w:val="00F37B34"/>
    <w:rsid w:val="00F41C34"/>
    <w:rsid w:val="00F4212F"/>
    <w:rsid w:val="00F447DB"/>
    <w:rsid w:val="00F447FA"/>
    <w:rsid w:val="00F469B9"/>
    <w:rsid w:val="00F46C32"/>
    <w:rsid w:val="00F46ECB"/>
    <w:rsid w:val="00F47B90"/>
    <w:rsid w:val="00F50F94"/>
    <w:rsid w:val="00F525B5"/>
    <w:rsid w:val="00F53D53"/>
    <w:rsid w:val="00F543B9"/>
    <w:rsid w:val="00F56177"/>
    <w:rsid w:val="00F56187"/>
    <w:rsid w:val="00F575D3"/>
    <w:rsid w:val="00F5786C"/>
    <w:rsid w:val="00F62117"/>
    <w:rsid w:val="00F62365"/>
    <w:rsid w:val="00F630A7"/>
    <w:rsid w:val="00F66225"/>
    <w:rsid w:val="00F662BC"/>
    <w:rsid w:val="00F6708D"/>
    <w:rsid w:val="00F707F0"/>
    <w:rsid w:val="00F71AD5"/>
    <w:rsid w:val="00F729ED"/>
    <w:rsid w:val="00F733B8"/>
    <w:rsid w:val="00F737FE"/>
    <w:rsid w:val="00F74F50"/>
    <w:rsid w:val="00F75192"/>
    <w:rsid w:val="00F763FD"/>
    <w:rsid w:val="00F77822"/>
    <w:rsid w:val="00F80072"/>
    <w:rsid w:val="00F838B6"/>
    <w:rsid w:val="00F83B0D"/>
    <w:rsid w:val="00F83C31"/>
    <w:rsid w:val="00F85F05"/>
    <w:rsid w:val="00F86AD1"/>
    <w:rsid w:val="00F9222A"/>
    <w:rsid w:val="00F922EA"/>
    <w:rsid w:val="00F92927"/>
    <w:rsid w:val="00F949E0"/>
    <w:rsid w:val="00F94F0F"/>
    <w:rsid w:val="00F979B3"/>
    <w:rsid w:val="00F97CCD"/>
    <w:rsid w:val="00FA320D"/>
    <w:rsid w:val="00FA362B"/>
    <w:rsid w:val="00FA53E9"/>
    <w:rsid w:val="00FA60EC"/>
    <w:rsid w:val="00FB04E9"/>
    <w:rsid w:val="00FB1179"/>
    <w:rsid w:val="00FB1C6B"/>
    <w:rsid w:val="00FB3361"/>
    <w:rsid w:val="00FB42B4"/>
    <w:rsid w:val="00FB4841"/>
    <w:rsid w:val="00FB6C94"/>
    <w:rsid w:val="00FB7F8B"/>
    <w:rsid w:val="00FC22F5"/>
    <w:rsid w:val="00FC3753"/>
    <w:rsid w:val="00FC5170"/>
    <w:rsid w:val="00FC5743"/>
    <w:rsid w:val="00FC6240"/>
    <w:rsid w:val="00FD118C"/>
    <w:rsid w:val="00FD332F"/>
    <w:rsid w:val="00FD7395"/>
    <w:rsid w:val="00FE1CC1"/>
    <w:rsid w:val="00FE385E"/>
    <w:rsid w:val="00FE3CE2"/>
    <w:rsid w:val="00FE54AD"/>
    <w:rsid w:val="00FE5633"/>
    <w:rsid w:val="00FE6F7A"/>
    <w:rsid w:val="00FE7B14"/>
    <w:rsid w:val="00FF02D5"/>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01"/>
    <o:shapelayout v:ext="edit">
      <o:idmap v:ext="edit" data="1"/>
    </o:shapelayout>
  </w:shapeDefaults>
  <w:decimalSymbol w:val=","/>
  <w:listSeparator w:val=";"/>
  <w14:docId w14:val="3C677B19"/>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5940997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75606367">
      <w:bodyDiv w:val="1"/>
      <w:marLeft w:val="0"/>
      <w:marRight w:val="0"/>
      <w:marTop w:val="0"/>
      <w:marBottom w:val="0"/>
      <w:divBdr>
        <w:top w:val="none" w:sz="0" w:space="0" w:color="auto"/>
        <w:left w:val="none" w:sz="0" w:space="0" w:color="auto"/>
        <w:bottom w:val="none" w:sz="0" w:space="0" w:color="auto"/>
        <w:right w:val="none" w:sz="0" w:space="0" w:color="auto"/>
      </w:divBdr>
    </w:div>
    <w:div w:id="1913270774">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8/7/pdf/00329727.pdf" TargetMode="External"/><Relationship Id="rId13" Type="http://schemas.openxmlformats.org/officeDocument/2006/relationships/hyperlink" Target="http://www1.tce.pr.gov.br/multimidia/2018/7/pdf/00329759.pdf" TargetMode="External"/><Relationship Id="rId18" Type="http://schemas.openxmlformats.org/officeDocument/2006/relationships/hyperlink" Target="http://www.stf.jus.br/arquivo/informativo/documento/informativo800.htm" TargetMode="External"/><Relationship Id="rId26" Type="http://schemas.openxmlformats.org/officeDocument/2006/relationships/hyperlink" Target="https://contas.tcu.gov.br/sagas/SvlVisualizarRelVotoAcRtf?codFiltro=SAGAS-SESSAO-ENCERRADA&amp;seOcultaPagina=S&amp;item0=623601"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planalto.gov.br/ccivil_03/Leis/L8666compilado.htm" TargetMode="External"/><Relationship Id="rId34" Type="http://schemas.openxmlformats.org/officeDocument/2006/relationships/hyperlink" Target="http://www1.tce.pr.gov.br/conteudo/teses-ambientais/316603/area/249" TargetMode="External"/><Relationship Id="rId7" Type="http://schemas.openxmlformats.org/officeDocument/2006/relationships/endnotes" Target="endnotes.xml"/><Relationship Id="rId12" Type="http://schemas.openxmlformats.org/officeDocument/2006/relationships/hyperlink" Target="http://www1.tce.pr.gov.br/multimidia/2018/7/pdf/00329253.pdf" TargetMode="External"/><Relationship Id="rId17" Type="http://schemas.openxmlformats.org/officeDocument/2006/relationships/hyperlink" Target="http://www1.tce.pr.gov.br/multimidia/2018/7/pdf/00329933.pdf" TargetMode="External"/><Relationship Id="rId25" Type="http://schemas.openxmlformats.org/officeDocument/2006/relationships/hyperlink" Target="https://contas.tcu.gov.br/sagas/SvlVisualizarRelVotoAcRtf?codFiltro=SAGAS-SESSAO-ENCERRADA&amp;seOcultaPagina=S&amp;item0=622910" TargetMode="External"/><Relationship Id="rId33" Type="http://schemas.openxmlformats.org/officeDocument/2006/relationships/hyperlink" Target="http://www1.tce.pr.gov.br/conteudo/pesquisas-prontas/308475/area/249"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1.tce.pr.gov.br/multimidia/2018/7/pdf/00329934.pdf" TargetMode="External"/><Relationship Id="rId20" Type="http://schemas.openxmlformats.org/officeDocument/2006/relationships/hyperlink" Target="https://contas.tcu.gov.br/sagas/SvlVisualizarRelVotoAcRtf?codFiltro=SAGAS-SESSAO-ENCERRADA&amp;seOcultaPagina=S&amp;item0=622645" TargetMode="External"/><Relationship Id="rId29" Type="http://schemas.openxmlformats.org/officeDocument/2006/relationships/hyperlink" Target="https://contas.tcu.gov.br/sagas/SvlVisualizarRelVotoAcRtf?codFiltro=SAGAS-SESSAO-ENCERRADA&amp;seOcultaPagina=S&amp;item0=624736"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8/7/pdf/00329805.pdf" TargetMode="External"/><Relationship Id="rId24" Type="http://schemas.openxmlformats.org/officeDocument/2006/relationships/hyperlink" Target="https://contas.tcu.gov.br/sagas/SvlVisualizarRelVotoAcRtf?codFiltro=SAGAS-SESSAO-ENCERRADA&amp;seOcultaPagina=S&amp;item0=615131" TargetMode="External"/><Relationship Id="rId32" Type="http://schemas.openxmlformats.org/officeDocument/2006/relationships/hyperlink" Target="https://contas.tcu.gov.br/sagas/SvlVisualizarRelVotoAcRtf?codFiltro=SAGAS-SESSAO-ENCERRADA&amp;seOcultaPagina=S&amp;item0=618498" TargetMode="External"/><Relationship Id="rId37" Type="http://schemas.openxmlformats.org/officeDocument/2006/relationships/hyperlink" Target="http://www1.tce.pr.gov.br/conteudo/sumulas-selecionadas/316602/area/249"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1.tce.pr.gov.br/multimidia/2018/7/pdf/00329935.pdf" TargetMode="External"/><Relationship Id="rId23" Type="http://schemas.openxmlformats.org/officeDocument/2006/relationships/hyperlink" Target="https://contas.tcu.gov.br/sagas/SvlVisualizarRelVotoAcRtf?codFiltro=SAGAS-SESSAO-ENCERRADA&amp;seOcultaPagina=S&amp;item0=615131" TargetMode="External"/><Relationship Id="rId28" Type="http://schemas.openxmlformats.org/officeDocument/2006/relationships/hyperlink" Target="https://contas.tcu.gov.br/sagas/SvlVisualizarRelVotoAcRtf?codFiltro=SAGAS-SESSAO-ENCERRADA&amp;seOcultaPagina=S&amp;item0=624736" TargetMode="External"/><Relationship Id="rId36" Type="http://schemas.openxmlformats.org/officeDocument/2006/relationships/hyperlink" Target="http://www1.tce.pr.gov.br/conteudo/repercussao-geral-no-stf-e-os-tribunais-de-contas/307026/area/249" TargetMode="External"/><Relationship Id="rId10" Type="http://schemas.openxmlformats.org/officeDocument/2006/relationships/hyperlink" Target="http://www1.tce.pr.gov.br/multimidia/2018/7/pdf/00329243.pdf" TargetMode="External"/><Relationship Id="rId19" Type="http://schemas.openxmlformats.org/officeDocument/2006/relationships/hyperlink" Target="http://www.stf.jus.br/portal/processo/verProcessoAndamento.asp?numero=3415&amp;classe=ADI&amp;origem=AP&amp;recurso=0&amp;tipoJulgamento=M" TargetMode="External"/><Relationship Id="rId31"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yperlink" Target="http://www1.tce.pr.gov.br/multimidia/2018/7/pdf/00329262.pdf" TargetMode="External"/><Relationship Id="rId14" Type="http://schemas.openxmlformats.org/officeDocument/2006/relationships/hyperlink" Target="http://www1.tce.pr.gov.br/multimidia/2018/7/pdf/00329751.pdf" TargetMode="External"/><Relationship Id="rId22" Type="http://schemas.openxmlformats.org/officeDocument/2006/relationships/hyperlink" Target="https://contas.tcu.gov.br/sagas/SvlVisualizarRelVotoAcRtf?codFiltro=SAGAS-SESSAO-ENCERRADA&amp;seOcultaPagina=S&amp;item0=622158" TargetMode="External"/><Relationship Id="rId27" Type="http://schemas.openxmlformats.org/officeDocument/2006/relationships/hyperlink" Target="http://www.planalto.gov.br/ccivil_03/constituicao/constituicaocompilado.htm" TargetMode="External"/><Relationship Id="rId30" Type="http://schemas.openxmlformats.org/officeDocument/2006/relationships/hyperlink" Target="https://contas.tcu.gov.br/sagas/SvlVisualizarRelVotoAcRtf?codFiltro=SAGAS-SESSAO-ENCERRADA&amp;seOcultaPagina=S&amp;item0=626113" TargetMode="External"/><Relationship Id="rId35" Type="http://schemas.openxmlformats.org/officeDocument/2006/relationships/hyperlink" Target="http://www1.tce.pr.gov.br/conteudo/boletim-de-jurisprudencia-internacional/316601/area/24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D05B0-24F1-45C0-BEC0-A9DEC1A00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5132</Words>
  <Characters>27716</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5</cp:revision>
  <cp:lastPrinted>2017-07-10T20:46:00Z</cp:lastPrinted>
  <dcterms:created xsi:type="dcterms:W3CDTF">2018-08-21T19:58:00Z</dcterms:created>
  <dcterms:modified xsi:type="dcterms:W3CDTF">2018-08-21T20:11:00Z</dcterms:modified>
</cp:coreProperties>
</file>