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571E2">
        <w:rPr>
          <w:rFonts w:ascii="Arial" w:hAnsi="Arial" w:cs="Arial"/>
          <w:b/>
          <w:sz w:val="20"/>
          <w:szCs w:val="20"/>
        </w:rPr>
        <w:t>3</w:t>
      </w:r>
      <w:r w:rsidR="00F223A9">
        <w:rPr>
          <w:rFonts w:ascii="Arial" w:hAnsi="Arial" w:cs="Arial"/>
          <w:b/>
          <w:sz w:val="20"/>
          <w:szCs w:val="20"/>
        </w:rPr>
        <w:t>4</w:t>
      </w:r>
    </w:p>
    <w:p w:rsidR="006F08D4" w:rsidRPr="0022060B" w:rsidRDefault="006F08D4" w:rsidP="00816942">
      <w:pPr>
        <w:spacing w:after="0"/>
        <w:jc w:val="center"/>
        <w:rPr>
          <w:rFonts w:ascii="Arial" w:hAnsi="Arial" w:cs="Arial"/>
          <w:b/>
          <w:sz w:val="20"/>
          <w:szCs w:val="20"/>
        </w:rPr>
      </w:pPr>
    </w:p>
    <w:p w:rsidR="001B5F7A" w:rsidRPr="0090061C" w:rsidRDefault="001B5F7A" w:rsidP="00816942">
      <w:pPr>
        <w:spacing w:after="0"/>
        <w:jc w:val="center"/>
        <w:rPr>
          <w:rFonts w:ascii="Arial" w:hAnsi="Arial" w:cs="Arial"/>
          <w:b/>
          <w:sz w:val="20"/>
          <w:szCs w:val="20"/>
        </w:rPr>
      </w:pPr>
      <w:r w:rsidRPr="003B2600">
        <w:rPr>
          <w:rFonts w:ascii="Arial" w:hAnsi="Arial" w:cs="Arial"/>
          <w:b/>
          <w:sz w:val="20"/>
          <w:szCs w:val="20"/>
        </w:rPr>
        <w:t xml:space="preserve">Sessões: </w:t>
      </w:r>
      <w:r w:rsidR="003B2600" w:rsidRPr="003B2600">
        <w:rPr>
          <w:rFonts w:ascii="Arial" w:hAnsi="Arial" w:cs="Arial"/>
          <w:b/>
          <w:sz w:val="20"/>
          <w:szCs w:val="20"/>
        </w:rPr>
        <w:t>17</w:t>
      </w:r>
      <w:r w:rsidR="00814325" w:rsidRPr="003B2600">
        <w:rPr>
          <w:rFonts w:ascii="Arial" w:hAnsi="Arial" w:cs="Arial"/>
          <w:b/>
          <w:sz w:val="20"/>
          <w:szCs w:val="20"/>
        </w:rPr>
        <w:t>.</w:t>
      </w:r>
      <w:r w:rsidR="00015FB0" w:rsidRPr="003B2600">
        <w:rPr>
          <w:rFonts w:ascii="Arial" w:hAnsi="Arial" w:cs="Arial"/>
          <w:b/>
          <w:sz w:val="20"/>
          <w:szCs w:val="20"/>
        </w:rPr>
        <w:t>0</w:t>
      </w:r>
      <w:r w:rsidR="0090061C" w:rsidRPr="003B2600">
        <w:rPr>
          <w:rFonts w:ascii="Arial" w:hAnsi="Arial" w:cs="Arial"/>
          <w:b/>
          <w:sz w:val="20"/>
          <w:szCs w:val="20"/>
        </w:rPr>
        <w:t>4</w:t>
      </w:r>
      <w:r w:rsidR="005A0FD0" w:rsidRPr="003B2600">
        <w:rPr>
          <w:rFonts w:ascii="Arial" w:hAnsi="Arial" w:cs="Arial"/>
          <w:b/>
          <w:sz w:val="20"/>
          <w:szCs w:val="20"/>
        </w:rPr>
        <w:t xml:space="preserve"> </w:t>
      </w:r>
      <w:r w:rsidR="000D4DE6" w:rsidRPr="003B2600">
        <w:rPr>
          <w:rFonts w:ascii="Arial" w:hAnsi="Arial" w:cs="Arial"/>
          <w:b/>
          <w:sz w:val="20"/>
          <w:szCs w:val="20"/>
        </w:rPr>
        <w:t>a</w:t>
      </w:r>
      <w:r w:rsidRPr="003B2600">
        <w:rPr>
          <w:rFonts w:ascii="Arial" w:hAnsi="Arial" w:cs="Arial"/>
          <w:b/>
          <w:sz w:val="20"/>
          <w:szCs w:val="20"/>
        </w:rPr>
        <w:t xml:space="preserve"> </w:t>
      </w:r>
      <w:r w:rsidR="003B2600" w:rsidRPr="003B2600">
        <w:rPr>
          <w:rFonts w:ascii="Arial" w:hAnsi="Arial" w:cs="Arial"/>
          <w:b/>
          <w:sz w:val="20"/>
          <w:szCs w:val="20"/>
        </w:rPr>
        <w:t>19</w:t>
      </w:r>
      <w:r w:rsidR="005A0FD0" w:rsidRPr="003B2600">
        <w:rPr>
          <w:rFonts w:ascii="Arial" w:hAnsi="Arial" w:cs="Arial"/>
          <w:b/>
          <w:sz w:val="20"/>
          <w:szCs w:val="20"/>
        </w:rPr>
        <w:t>.</w:t>
      </w:r>
      <w:r w:rsidR="00015FB0" w:rsidRPr="003B2600">
        <w:rPr>
          <w:rFonts w:ascii="Arial" w:hAnsi="Arial" w:cs="Arial"/>
          <w:b/>
          <w:sz w:val="20"/>
          <w:szCs w:val="20"/>
        </w:rPr>
        <w:t>0</w:t>
      </w:r>
      <w:r w:rsidR="0090061C" w:rsidRPr="003B2600">
        <w:rPr>
          <w:rFonts w:ascii="Arial" w:hAnsi="Arial" w:cs="Arial"/>
          <w:b/>
          <w:sz w:val="20"/>
          <w:szCs w:val="20"/>
        </w:rPr>
        <w:t>4</w:t>
      </w:r>
      <w:r w:rsidRPr="003B2600">
        <w:rPr>
          <w:rFonts w:ascii="Arial" w:hAnsi="Arial" w:cs="Arial"/>
          <w:b/>
          <w:sz w:val="20"/>
          <w:szCs w:val="20"/>
        </w:rPr>
        <w:t xml:space="preserve"> de 201</w:t>
      </w:r>
      <w:r w:rsidR="00015FB0" w:rsidRPr="003B2600">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 xml:space="preserve">As informações aqui apresentadas não são </w:t>
      </w:r>
      <w:proofErr w:type="gramStart"/>
      <w:r w:rsidRPr="0022060B">
        <w:rPr>
          <w:rFonts w:ascii="Arial" w:hAnsi="Arial" w:cs="Arial"/>
          <w:sz w:val="20"/>
          <w:szCs w:val="20"/>
        </w:rPr>
        <w:t>repositórios</w:t>
      </w:r>
      <w:proofErr w:type="gramEnd"/>
      <w:r w:rsidRPr="0022060B">
        <w:rPr>
          <w:rFonts w:ascii="Arial" w:hAnsi="Arial" w:cs="Arial"/>
          <w:sz w:val="20"/>
          <w:szCs w:val="20"/>
        </w:rPr>
        <w:t xml:space="preserve">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A455F4" w:rsidRDefault="00A455F4" w:rsidP="00950401">
      <w:pPr>
        <w:autoSpaceDE w:val="0"/>
        <w:autoSpaceDN w:val="0"/>
        <w:adjustRightInd w:val="0"/>
        <w:spacing w:after="0"/>
        <w:jc w:val="both"/>
        <w:rPr>
          <w:rFonts w:ascii="Arial" w:hAnsi="Arial" w:cs="Arial"/>
          <w:sz w:val="20"/>
          <w:szCs w:val="20"/>
        </w:rPr>
      </w:pPr>
    </w:p>
    <w:p w:rsidR="0057031C" w:rsidRDefault="0057031C" w:rsidP="0057031C">
      <w:pPr>
        <w:autoSpaceDE w:val="0"/>
        <w:autoSpaceDN w:val="0"/>
        <w:adjustRightInd w:val="0"/>
        <w:spacing w:after="0"/>
        <w:jc w:val="both"/>
        <w:rPr>
          <w:rFonts w:ascii="Arial" w:hAnsi="Arial" w:cs="Arial"/>
          <w:sz w:val="20"/>
          <w:szCs w:val="20"/>
        </w:rPr>
      </w:pPr>
      <w:r w:rsidRPr="00302747">
        <w:rPr>
          <w:rFonts w:ascii="Arial" w:hAnsi="Arial" w:cs="Arial"/>
          <w:sz w:val="20"/>
          <w:szCs w:val="20"/>
        </w:rPr>
        <w:t>1.</w:t>
      </w:r>
      <w:r>
        <w:rPr>
          <w:rFonts w:ascii="Arial" w:hAnsi="Arial" w:cs="Arial"/>
          <w:sz w:val="20"/>
          <w:szCs w:val="20"/>
        </w:rPr>
        <w:t xml:space="preserve"> </w:t>
      </w:r>
      <w:r w:rsidRPr="00302747">
        <w:rPr>
          <w:rFonts w:ascii="Arial" w:hAnsi="Arial" w:cs="Arial"/>
          <w:sz w:val="20"/>
          <w:szCs w:val="20"/>
        </w:rPr>
        <w:t>Tomada de Contas Extraordinária. Aquisição de medicamentos. Utilização de critérios de julgamento com base em desconto sobre preço de tabela inexistente ou com acesso restrito ao público. Ausência de definição precisa do objeto. Ausência de demonstração da limitação do mercado. Procedência parcial com determinações.</w:t>
      </w:r>
    </w:p>
    <w:p w:rsidR="0057031C" w:rsidRPr="00302747" w:rsidRDefault="0057031C" w:rsidP="0057031C">
      <w:pPr>
        <w:autoSpaceDE w:val="0"/>
        <w:autoSpaceDN w:val="0"/>
        <w:adjustRightInd w:val="0"/>
        <w:spacing w:after="0"/>
        <w:jc w:val="both"/>
        <w:rPr>
          <w:rFonts w:ascii="Arial" w:hAnsi="Arial" w:cs="Arial"/>
          <w:sz w:val="20"/>
          <w:szCs w:val="20"/>
        </w:rPr>
      </w:pPr>
    </w:p>
    <w:p w:rsidR="0057031C" w:rsidRPr="00302747" w:rsidRDefault="0057031C" w:rsidP="0057031C">
      <w:pPr>
        <w:autoSpaceDE w:val="0"/>
        <w:autoSpaceDN w:val="0"/>
        <w:adjustRightInd w:val="0"/>
        <w:spacing w:after="0"/>
        <w:jc w:val="both"/>
        <w:rPr>
          <w:rFonts w:ascii="Arial" w:hAnsi="Arial" w:cs="Arial"/>
          <w:sz w:val="20"/>
          <w:szCs w:val="20"/>
        </w:rPr>
      </w:pPr>
      <w:r w:rsidRPr="00302747">
        <w:rPr>
          <w:rFonts w:ascii="Arial" w:hAnsi="Arial" w:cs="Arial"/>
          <w:sz w:val="20"/>
          <w:szCs w:val="20"/>
        </w:rPr>
        <w:t xml:space="preserve">2. Pensão por morte. Atraso no encaminhamento a este TCE. Ausência de prejuízo ao exame da legalidade. Legalidade e registro com recomendação à entidade previdenciária. </w:t>
      </w:r>
    </w:p>
    <w:p w:rsidR="0057031C" w:rsidRDefault="0057031C" w:rsidP="0057031C">
      <w:pPr>
        <w:autoSpaceDE w:val="0"/>
        <w:autoSpaceDN w:val="0"/>
        <w:adjustRightInd w:val="0"/>
        <w:spacing w:after="0"/>
        <w:jc w:val="both"/>
        <w:rPr>
          <w:rFonts w:ascii="Arial" w:hAnsi="Arial" w:cs="Arial"/>
          <w:sz w:val="20"/>
          <w:szCs w:val="20"/>
        </w:rPr>
      </w:pPr>
    </w:p>
    <w:p w:rsidR="0057031C" w:rsidRPr="00950401" w:rsidRDefault="0057031C" w:rsidP="0057031C">
      <w:pPr>
        <w:autoSpaceDE w:val="0"/>
        <w:autoSpaceDN w:val="0"/>
        <w:adjustRightInd w:val="0"/>
        <w:spacing w:after="0"/>
        <w:jc w:val="both"/>
        <w:rPr>
          <w:rFonts w:ascii="Arial" w:hAnsi="Arial" w:cs="Arial"/>
          <w:sz w:val="20"/>
          <w:szCs w:val="20"/>
        </w:rPr>
      </w:pPr>
      <w:r>
        <w:rPr>
          <w:rFonts w:ascii="Arial" w:hAnsi="Arial" w:cs="Arial"/>
          <w:sz w:val="20"/>
          <w:szCs w:val="20"/>
        </w:rPr>
        <w:t xml:space="preserve">3. </w:t>
      </w:r>
      <w:r w:rsidRPr="00950401">
        <w:rPr>
          <w:rFonts w:ascii="Arial" w:hAnsi="Arial" w:cs="Arial"/>
          <w:sz w:val="20"/>
          <w:szCs w:val="20"/>
        </w:rPr>
        <w:t>Representação da Lei n° 8.666/1993. Pregão. Aquisição de ônibus. Exigências. Competitividade.</w:t>
      </w:r>
    </w:p>
    <w:p w:rsidR="0057031C" w:rsidRDefault="0057031C" w:rsidP="0057031C">
      <w:pPr>
        <w:autoSpaceDE w:val="0"/>
        <w:autoSpaceDN w:val="0"/>
        <w:adjustRightInd w:val="0"/>
        <w:spacing w:after="0"/>
        <w:jc w:val="both"/>
        <w:rPr>
          <w:rFonts w:ascii="Arial" w:hAnsi="Arial" w:cs="Arial"/>
          <w:sz w:val="20"/>
          <w:szCs w:val="20"/>
        </w:rPr>
      </w:pPr>
    </w:p>
    <w:p w:rsidR="0057031C" w:rsidRPr="002974D9" w:rsidRDefault="0057031C" w:rsidP="0057031C">
      <w:pPr>
        <w:autoSpaceDE w:val="0"/>
        <w:autoSpaceDN w:val="0"/>
        <w:adjustRightInd w:val="0"/>
        <w:spacing w:after="0"/>
        <w:jc w:val="both"/>
        <w:rPr>
          <w:rFonts w:ascii="Arial" w:hAnsi="Arial" w:cs="Arial"/>
          <w:color w:val="FF0000"/>
          <w:sz w:val="20"/>
          <w:szCs w:val="20"/>
        </w:rPr>
      </w:pPr>
      <w:r w:rsidRPr="00CC0506">
        <w:rPr>
          <w:rFonts w:ascii="Arial" w:hAnsi="Arial" w:cs="Arial"/>
          <w:sz w:val="20"/>
          <w:szCs w:val="20"/>
        </w:rPr>
        <w:t>4. Representação da Lei n° 8.666/1993.</w:t>
      </w:r>
      <w:r w:rsidRPr="002974D9">
        <w:rPr>
          <w:rFonts w:ascii="Arial" w:hAnsi="Arial" w:cs="Arial"/>
          <w:sz w:val="20"/>
          <w:szCs w:val="20"/>
        </w:rPr>
        <w:t xml:space="preserve"> Licitação. Contratação de empresa especializada na prestação de serviços e locação de software. Exigência. Treinamento.</w:t>
      </w:r>
      <w:r w:rsidRPr="00950401">
        <w:rPr>
          <w:rFonts w:ascii="Arial" w:hAnsi="Arial" w:cs="Arial"/>
          <w:sz w:val="20"/>
          <w:szCs w:val="20"/>
        </w:rPr>
        <w:t xml:space="preserve"> </w:t>
      </w:r>
      <w:r>
        <w:rPr>
          <w:rFonts w:ascii="Arial" w:hAnsi="Arial" w:cs="Arial"/>
          <w:sz w:val="20"/>
          <w:szCs w:val="20"/>
        </w:rPr>
        <w:t xml:space="preserve">  </w:t>
      </w:r>
    </w:p>
    <w:p w:rsidR="0057031C" w:rsidRDefault="0057031C" w:rsidP="0057031C">
      <w:pPr>
        <w:autoSpaceDE w:val="0"/>
        <w:autoSpaceDN w:val="0"/>
        <w:adjustRightInd w:val="0"/>
        <w:spacing w:after="0"/>
        <w:jc w:val="both"/>
        <w:rPr>
          <w:rFonts w:ascii="Arial" w:hAnsi="Arial" w:cs="Arial"/>
          <w:sz w:val="20"/>
          <w:szCs w:val="20"/>
        </w:rPr>
      </w:pPr>
    </w:p>
    <w:p w:rsidR="0057031C" w:rsidRPr="00950401" w:rsidRDefault="0057031C" w:rsidP="0057031C">
      <w:pPr>
        <w:autoSpaceDE w:val="0"/>
        <w:autoSpaceDN w:val="0"/>
        <w:adjustRightInd w:val="0"/>
        <w:spacing w:after="0"/>
        <w:jc w:val="both"/>
        <w:rPr>
          <w:rFonts w:ascii="Arial" w:hAnsi="Arial" w:cs="Arial"/>
          <w:sz w:val="20"/>
          <w:szCs w:val="20"/>
        </w:rPr>
      </w:pPr>
      <w:r w:rsidRPr="00950401">
        <w:rPr>
          <w:rFonts w:ascii="Arial" w:hAnsi="Arial" w:cs="Arial"/>
          <w:sz w:val="20"/>
          <w:szCs w:val="20"/>
        </w:rPr>
        <w:t>5. Representação. Servidor Público. Gratificação. Dedicação exclusiva. Adicional. Horas extras.</w:t>
      </w:r>
    </w:p>
    <w:p w:rsidR="0057031C" w:rsidRDefault="0057031C" w:rsidP="0057031C">
      <w:pPr>
        <w:autoSpaceDE w:val="0"/>
        <w:autoSpaceDN w:val="0"/>
        <w:adjustRightInd w:val="0"/>
        <w:spacing w:after="0"/>
        <w:jc w:val="both"/>
        <w:rPr>
          <w:rFonts w:ascii="Arial" w:hAnsi="Arial" w:cs="Arial"/>
          <w:sz w:val="20"/>
          <w:szCs w:val="20"/>
        </w:rPr>
      </w:pPr>
    </w:p>
    <w:p w:rsidR="0057031C" w:rsidRDefault="0057031C" w:rsidP="0057031C">
      <w:pPr>
        <w:autoSpaceDE w:val="0"/>
        <w:autoSpaceDN w:val="0"/>
        <w:adjustRightInd w:val="0"/>
        <w:spacing w:after="0"/>
        <w:jc w:val="both"/>
        <w:rPr>
          <w:rFonts w:ascii="Arial" w:hAnsi="Arial" w:cs="Arial"/>
          <w:sz w:val="20"/>
          <w:szCs w:val="20"/>
        </w:rPr>
      </w:pPr>
      <w:r w:rsidRPr="00950401">
        <w:rPr>
          <w:rFonts w:ascii="Arial" w:hAnsi="Arial" w:cs="Arial"/>
          <w:sz w:val="20"/>
          <w:szCs w:val="20"/>
        </w:rPr>
        <w:t>6. Denúncia. Tributos. Contribuição de melhoria. Princípio da legalidade. Cobrança. Custo da obra. Valorização do imóvel. Individualização.</w:t>
      </w:r>
    </w:p>
    <w:p w:rsidR="0057031C" w:rsidRDefault="0057031C" w:rsidP="0057031C">
      <w:pPr>
        <w:autoSpaceDE w:val="0"/>
        <w:autoSpaceDN w:val="0"/>
        <w:adjustRightInd w:val="0"/>
        <w:spacing w:after="0"/>
        <w:jc w:val="both"/>
        <w:rPr>
          <w:rFonts w:ascii="Arial" w:hAnsi="Arial" w:cs="Arial"/>
          <w:sz w:val="20"/>
          <w:szCs w:val="20"/>
        </w:rPr>
      </w:pPr>
    </w:p>
    <w:p w:rsidR="0057031C" w:rsidRDefault="0057031C" w:rsidP="0057031C">
      <w:pPr>
        <w:autoSpaceDE w:val="0"/>
        <w:autoSpaceDN w:val="0"/>
        <w:adjustRightInd w:val="0"/>
        <w:spacing w:after="0"/>
        <w:jc w:val="both"/>
        <w:rPr>
          <w:rFonts w:ascii="Arial" w:hAnsi="Arial" w:cs="Arial"/>
          <w:sz w:val="20"/>
          <w:szCs w:val="20"/>
        </w:rPr>
      </w:pPr>
    </w:p>
    <w:p w:rsidR="0057031C" w:rsidRDefault="0057031C" w:rsidP="0057031C">
      <w:pPr>
        <w:autoSpaceDE w:val="0"/>
        <w:autoSpaceDN w:val="0"/>
        <w:adjustRightInd w:val="0"/>
        <w:spacing w:after="0"/>
        <w:jc w:val="both"/>
        <w:rPr>
          <w:rFonts w:ascii="Arial" w:hAnsi="Arial" w:cs="Arial"/>
          <w:sz w:val="20"/>
          <w:szCs w:val="20"/>
        </w:rPr>
      </w:pPr>
    </w:p>
    <w:p w:rsidR="0057031C" w:rsidRDefault="0057031C" w:rsidP="0057031C">
      <w:pPr>
        <w:autoSpaceDE w:val="0"/>
        <w:autoSpaceDN w:val="0"/>
        <w:adjustRightInd w:val="0"/>
        <w:spacing w:after="0"/>
        <w:jc w:val="both"/>
        <w:rPr>
          <w:rFonts w:ascii="Arial" w:hAnsi="Arial" w:cs="Arial"/>
          <w:sz w:val="20"/>
          <w:szCs w:val="20"/>
        </w:rPr>
      </w:pPr>
    </w:p>
    <w:p w:rsidR="0057031C" w:rsidRDefault="0057031C" w:rsidP="0057031C">
      <w:pPr>
        <w:autoSpaceDE w:val="0"/>
        <w:autoSpaceDN w:val="0"/>
        <w:adjustRightInd w:val="0"/>
        <w:spacing w:after="0"/>
        <w:jc w:val="both"/>
        <w:rPr>
          <w:rFonts w:ascii="Arial" w:hAnsi="Arial" w:cs="Arial"/>
          <w:sz w:val="20"/>
          <w:szCs w:val="20"/>
        </w:rPr>
      </w:pPr>
    </w:p>
    <w:p w:rsidR="0057031C" w:rsidRPr="00950401" w:rsidRDefault="0057031C" w:rsidP="0057031C">
      <w:pPr>
        <w:autoSpaceDE w:val="0"/>
        <w:autoSpaceDN w:val="0"/>
        <w:adjustRightInd w:val="0"/>
        <w:spacing w:after="0"/>
        <w:jc w:val="both"/>
        <w:rPr>
          <w:rFonts w:ascii="Arial" w:hAnsi="Arial" w:cs="Arial"/>
          <w:sz w:val="20"/>
          <w:szCs w:val="20"/>
        </w:rPr>
      </w:pPr>
    </w:p>
    <w:p w:rsidR="0057031C" w:rsidRPr="0022060B" w:rsidRDefault="0057031C" w:rsidP="0057031C">
      <w:pPr>
        <w:spacing w:after="0"/>
        <w:jc w:val="both"/>
        <w:rPr>
          <w:rStyle w:val="Hyperlink"/>
          <w:rFonts w:ascii="Arial" w:hAnsi="Arial" w:cs="Arial"/>
          <w:b/>
          <w:color w:val="000000" w:themeColor="text1"/>
          <w:sz w:val="20"/>
          <w:szCs w:val="20"/>
          <w:u w:val="none"/>
        </w:rPr>
      </w:pPr>
    </w:p>
    <w:p w:rsidR="0057031C" w:rsidRPr="0022060B" w:rsidRDefault="0057031C" w:rsidP="0057031C">
      <w:pPr>
        <w:shd w:val="pct10" w:color="auto" w:fill="auto"/>
        <w:spacing w:after="0"/>
        <w:jc w:val="center"/>
        <w:rPr>
          <w:rFonts w:ascii="Arial" w:hAnsi="Arial" w:cs="Arial"/>
          <w:b/>
          <w:sz w:val="20"/>
          <w:szCs w:val="20"/>
        </w:rPr>
      </w:pPr>
      <w:r w:rsidRPr="0022060B">
        <w:rPr>
          <w:rFonts w:ascii="Arial" w:hAnsi="Arial" w:cs="Arial"/>
          <w:b/>
          <w:sz w:val="20"/>
          <w:szCs w:val="20"/>
        </w:rPr>
        <w:lastRenderedPageBreak/>
        <w:t>PRIMEIRA CÂMARA</w:t>
      </w:r>
    </w:p>
    <w:p w:rsidR="0057031C" w:rsidRDefault="0057031C" w:rsidP="0057031C">
      <w:pPr>
        <w:autoSpaceDE w:val="0"/>
        <w:autoSpaceDN w:val="0"/>
        <w:adjustRightInd w:val="0"/>
        <w:spacing w:after="0"/>
        <w:jc w:val="both"/>
        <w:rPr>
          <w:rFonts w:ascii="Arial" w:hAnsi="Arial" w:cs="Arial"/>
          <w:sz w:val="20"/>
          <w:szCs w:val="20"/>
        </w:rPr>
      </w:pPr>
    </w:p>
    <w:p w:rsidR="0057031C" w:rsidRPr="007D293B" w:rsidRDefault="0057031C" w:rsidP="0057031C">
      <w:pPr>
        <w:autoSpaceDE w:val="0"/>
        <w:autoSpaceDN w:val="0"/>
        <w:adjustRightInd w:val="0"/>
        <w:spacing w:after="0"/>
        <w:jc w:val="both"/>
        <w:rPr>
          <w:rFonts w:ascii="Arial" w:hAnsi="Arial" w:cs="Arial"/>
          <w:b/>
          <w:sz w:val="20"/>
          <w:szCs w:val="20"/>
        </w:rPr>
      </w:pPr>
      <w:r w:rsidRPr="007D293B">
        <w:rPr>
          <w:rFonts w:ascii="Arial" w:hAnsi="Arial" w:cs="Arial"/>
          <w:b/>
          <w:sz w:val="20"/>
          <w:szCs w:val="20"/>
        </w:rPr>
        <w:t>1.</w:t>
      </w:r>
      <w:r>
        <w:rPr>
          <w:rFonts w:ascii="Arial" w:hAnsi="Arial" w:cs="Arial"/>
          <w:b/>
          <w:sz w:val="20"/>
          <w:szCs w:val="20"/>
        </w:rPr>
        <w:t xml:space="preserve"> </w:t>
      </w:r>
      <w:r w:rsidRPr="007D293B">
        <w:rPr>
          <w:rFonts w:ascii="Arial" w:hAnsi="Arial" w:cs="Arial"/>
          <w:b/>
          <w:sz w:val="20"/>
          <w:szCs w:val="20"/>
        </w:rPr>
        <w:t>Tomada de Contas Extraordinária. Aquisição de medicamentos. Utilização de critérios de julgamento com base em desconto sobre preço de tabela inexistente ou com acesso restrito ao público. Ausência de definição precisa do objeto. Ausência de demonstração da limitação do mercado. Procedência parcial com determinações.</w:t>
      </w:r>
    </w:p>
    <w:p w:rsidR="0057031C" w:rsidRDefault="0057031C" w:rsidP="0057031C">
      <w:pPr>
        <w:autoSpaceDE w:val="0"/>
        <w:autoSpaceDN w:val="0"/>
        <w:adjustRightInd w:val="0"/>
        <w:spacing w:after="0"/>
        <w:jc w:val="both"/>
        <w:rPr>
          <w:rFonts w:ascii="Arial" w:hAnsi="Arial" w:cs="Arial"/>
          <w:b/>
          <w:sz w:val="20"/>
          <w:szCs w:val="20"/>
        </w:rPr>
      </w:pPr>
    </w:p>
    <w:p w:rsidR="0057031C" w:rsidRDefault="0057031C" w:rsidP="0057031C">
      <w:pPr>
        <w:autoSpaceDE w:val="0"/>
        <w:autoSpaceDN w:val="0"/>
        <w:adjustRightInd w:val="0"/>
        <w:spacing w:after="0"/>
        <w:jc w:val="both"/>
        <w:rPr>
          <w:rFonts w:ascii="Arial" w:hAnsi="Arial" w:cs="Arial"/>
          <w:sz w:val="20"/>
          <w:szCs w:val="20"/>
        </w:rPr>
      </w:pPr>
      <w:r>
        <w:rPr>
          <w:rFonts w:ascii="Arial" w:hAnsi="Arial" w:cs="Arial"/>
          <w:sz w:val="20"/>
          <w:szCs w:val="20"/>
        </w:rPr>
        <w:t xml:space="preserve">Estabeleceu-se que em </w:t>
      </w:r>
      <w:r w:rsidRPr="00E66361">
        <w:rPr>
          <w:rFonts w:ascii="Arial" w:hAnsi="Arial" w:cs="Arial"/>
          <w:sz w:val="20"/>
          <w:szCs w:val="20"/>
        </w:rPr>
        <w:t>um prazo de 6 (seis) meses do trânsito em julgado</w:t>
      </w:r>
      <w:r>
        <w:rPr>
          <w:rFonts w:ascii="Arial" w:hAnsi="Arial" w:cs="Arial"/>
          <w:sz w:val="20"/>
          <w:szCs w:val="20"/>
        </w:rPr>
        <w:t xml:space="preserve"> o município</w:t>
      </w:r>
      <w:r w:rsidRPr="00E66361">
        <w:rPr>
          <w:rFonts w:ascii="Arial" w:hAnsi="Arial" w:cs="Arial"/>
          <w:sz w:val="20"/>
          <w:szCs w:val="20"/>
        </w:rPr>
        <w:t xml:space="preserve">: </w:t>
      </w:r>
      <w:r w:rsidRPr="00E66361">
        <w:rPr>
          <w:rFonts w:ascii="Arial" w:hAnsi="Arial" w:cs="Arial"/>
          <w:b/>
          <w:bCs/>
          <w:sz w:val="20"/>
          <w:szCs w:val="20"/>
        </w:rPr>
        <w:t>(i)</w:t>
      </w:r>
      <w:r>
        <w:rPr>
          <w:rFonts w:ascii="Arial" w:hAnsi="Arial" w:cs="Arial"/>
          <w:b/>
          <w:bCs/>
          <w:sz w:val="20"/>
          <w:szCs w:val="20"/>
        </w:rPr>
        <w:t xml:space="preserve"> </w:t>
      </w:r>
      <w:r w:rsidRPr="00E66361">
        <w:rPr>
          <w:rFonts w:ascii="Arial" w:hAnsi="Arial" w:cs="Arial"/>
          <w:sz w:val="20"/>
          <w:szCs w:val="20"/>
        </w:rPr>
        <w:t>constitua comissão interna para recebimento dos medicamentos, preferencialmente</w:t>
      </w:r>
      <w:r>
        <w:rPr>
          <w:rFonts w:ascii="Arial" w:hAnsi="Arial" w:cs="Arial"/>
          <w:sz w:val="20"/>
          <w:szCs w:val="20"/>
        </w:rPr>
        <w:t xml:space="preserve"> </w:t>
      </w:r>
      <w:r w:rsidRPr="00E66361">
        <w:rPr>
          <w:rFonts w:ascii="Arial" w:hAnsi="Arial" w:cs="Arial"/>
          <w:sz w:val="20"/>
          <w:szCs w:val="20"/>
        </w:rPr>
        <w:t xml:space="preserve">supervisionada por um farmacêutico; </w:t>
      </w:r>
      <w:r w:rsidRPr="00E66361">
        <w:rPr>
          <w:rFonts w:ascii="Arial" w:hAnsi="Arial" w:cs="Arial"/>
          <w:b/>
          <w:bCs/>
          <w:sz w:val="20"/>
          <w:szCs w:val="20"/>
        </w:rPr>
        <w:t>(</w:t>
      </w:r>
      <w:proofErr w:type="spellStart"/>
      <w:r w:rsidRPr="00E66361">
        <w:rPr>
          <w:rFonts w:ascii="Arial" w:hAnsi="Arial" w:cs="Arial"/>
          <w:b/>
          <w:bCs/>
          <w:sz w:val="20"/>
          <w:szCs w:val="20"/>
        </w:rPr>
        <w:t>ii</w:t>
      </w:r>
      <w:proofErr w:type="spellEnd"/>
      <w:r w:rsidRPr="00E66361">
        <w:rPr>
          <w:rFonts w:ascii="Arial" w:hAnsi="Arial" w:cs="Arial"/>
          <w:b/>
          <w:bCs/>
          <w:sz w:val="20"/>
          <w:szCs w:val="20"/>
        </w:rPr>
        <w:t xml:space="preserve">) </w:t>
      </w:r>
      <w:r w:rsidRPr="00E66361">
        <w:rPr>
          <w:rFonts w:ascii="Arial" w:hAnsi="Arial" w:cs="Arial"/>
          <w:sz w:val="20"/>
          <w:szCs w:val="20"/>
        </w:rPr>
        <w:t>estabeleça em todos os contratos de</w:t>
      </w:r>
      <w:r>
        <w:rPr>
          <w:rFonts w:ascii="Arial" w:hAnsi="Arial" w:cs="Arial"/>
          <w:sz w:val="20"/>
          <w:szCs w:val="20"/>
        </w:rPr>
        <w:t xml:space="preserve"> </w:t>
      </w:r>
      <w:r w:rsidRPr="00E66361">
        <w:rPr>
          <w:rFonts w:ascii="Arial" w:hAnsi="Arial" w:cs="Arial"/>
          <w:sz w:val="20"/>
          <w:szCs w:val="20"/>
        </w:rPr>
        <w:t xml:space="preserve">aquisição de medicamentos um responsável pela sua fiscalização; </w:t>
      </w:r>
      <w:r w:rsidRPr="00E66361">
        <w:rPr>
          <w:rFonts w:ascii="Arial" w:hAnsi="Arial" w:cs="Arial"/>
          <w:b/>
          <w:bCs/>
          <w:sz w:val="20"/>
          <w:szCs w:val="20"/>
        </w:rPr>
        <w:t>(</w:t>
      </w:r>
      <w:proofErr w:type="spellStart"/>
      <w:r w:rsidRPr="00E66361">
        <w:rPr>
          <w:rFonts w:ascii="Arial" w:hAnsi="Arial" w:cs="Arial"/>
          <w:b/>
          <w:bCs/>
          <w:sz w:val="20"/>
          <w:szCs w:val="20"/>
        </w:rPr>
        <w:t>iii</w:t>
      </w:r>
      <w:proofErr w:type="spellEnd"/>
      <w:r w:rsidRPr="00E66361">
        <w:rPr>
          <w:rFonts w:ascii="Arial" w:hAnsi="Arial" w:cs="Arial"/>
          <w:b/>
          <w:bCs/>
          <w:sz w:val="20"/>
          <w:szCs w:val="20"/>
        </w:rPr>
        <w:t xml:space="preserve">) </w:t>
      </w:r>
      <w:r w:rsidRPr="00E66361">
        <w:rPr>
          <w:rFonts w:ascii="Arial" w:hAnsi="Arial" w:cs="Arial"/>
          <w:sz w:val="20"/>
          <w:szCs w:val="20"/>
        </w:rPr>
        <w:t>institua</w:t>
      </w:r>
      <w:r>
        <w:rPr>
          <w:rFonts w:ascii="Arial" w:hAnsi="Arial" w:cs="Arial"/>
          <w:sz w:val="20"/>
          <w:szCs w:val="20"/>
        </w:rPr>
        <w:t xml:space="preserve"> </w:t>
      </w:r>
      <w:r w:rsidRPr="00E66361">
        <w:rPr>
          <w:rFonts w:ascii="Arial" w:hAnsi="Arial" w:cs="Arial"/>
          <w:sz w:val="20"/>
          <w:szCs w:val="20"/>
        </w:rPr>
        <w:t>controle de medicamentos mais eficiente e, se possível, adote o programa HÓRUS</w:t>
      </w:r>
      <w:r>
        <w:rPr>
          <w:rFonts w:ascii="Arial" w:hAnsi="Arial" w:cs="Arial"/>
          <w:sz w:val="20"/>
          <w:szCs w:val="20"/>
        </w:rPr>
        <w:t xml:space="preserve"> </w:t>
      </w:r>
      <w:r w:rsidRPr="00E66361">
        <w:rPr>
          <w:rFonts w:ascii="Arial" w:hAnsi="Arial" w:cs="Arial"/>
          <w:sz w:val="20"/>
          <w:szCs w:val="20"/>
        </w:rPr>
        <w:t xml:space="preserve">do Ministério da Saúde; </w:t>
      </w:r>
      <w:r w:rsidRPr="00E66361">
        <w:rPr>
          <w:rFonts w:ascii="Arial" w:hAnsi="Arial" w:cs="Arial"/>
          <w:b/>
          <w:bCs/>
          <w:sz w:val="20"/>
          <w:szCs w:val="20"/>
        </w:rPr>
        <w:t>(</w:t>
      </w:r>
      <w:proofErr w:type="spellStart"/>
      <w:r w:rsidRPr="00E66361">
        <w:rPr>
          <w:rFonts w:ascii="Arial" w:hAnsi="Arial" w:cs="Arial"/>
          <w:b/>
          <w:bCs/>
          <w:sz w:val="20"/>
          <w:szCs w:val="20"/>
        </w:rPr>
        <w:t>iv</w:t>
      </w:r>
      <w:proofErr w:type="spellEnd"/>
      <w:r w:rsidRPr="00E66361">
        <w:rPr>
          <w:rFonts w:ascii="Arial" w:hAnsi="Arial" w:cs="Arial"/>
          <w:b/>
          <w:bCs/>
          <w:sz w:val="20"/>
          <w:szCs w:val="20"/>
        </w:rPr>
        <w:t xml:space="preserve">) </w:t>
      </w:r>
      <w:r w:rsidRPr="00E66361">
        <w:rPr>
          <w:rFonts w:ascii="Arial" w:hAnsi="Arial" w:cs="Arial"/>
          <w:sz w:val="20"/>
          <w:szCs w:val="20"/>
        </w:rPr>
        <w:t>determine à Unidade de Controle Interno a instituição de</w:t>
      </w:r>
      <w:r>
        <w:rPr>
          <w:rFonts w:ascii="Arial" w:hAnsi="Arial" w:cs="Arial"/>
          <w:sz w:val="20"/>
          <w:szCs w:val="20"/>
        </w:rPr>
        <w:t xml:space="preserve"> </w:t>
      </w:r>
      <w:r w:rsidRPr="00E66361">
        <w:rPr>
          <w:rFonts w:ascii="Arial" w:hAnsi="Arial" w:cs="Arial"/>
          <w:sz w:val="20"/>
          <w:szCs w:val="20"/>
        </w:rPr>
        <w:t>rotinas administrativas, sistematizando os procedimentos de entrada e saída de</w:t>
      </w:r>
      <w:r>
        <w:rPr>
          <w:rFonts w:ascii="Arial" w:hAnsi="Arial" w:cs="Arial"/>
          <w:sz w:val="20"/>
          <w:szCs w:val="20"/>
        </w:rPr>
        <w:t xml:space="preserve"> </w:t>
      </w:r>
      <w:r w:rsidRPr="00E66361">
        <w:rPr>
          <w:rFonts w:ascii="Arial" w:hAnsi="Arial" w:cs="Arial"/>
          <w:sz w:val="20"/>
          <w:szCs w:val="20"/>
        </w:rPr>
        <w:t xml:space="preserve">medicamentos, comprovando, ainda, a sua efetiva fiscalização; </w:t>
      </w:r>
      <w:r w:rsidRPr="00E66361">
        <w:rPr>
          <w:rFonts w:ascii="Arial" w:hAnsi="Arial" w:cs="Arial"/>
          <w:b/>
          <w:bCs/>
          <w:sz w:val="20"/>
          <w:szCs w:val="20"/>
        </w:rPr>
        <w:t xml:space="preserve">(v) </w:t>
      </w:r>
      <w:r w:rsidRPr="00E66361">
        <w:rPr>
          <w:rFonts w:ascii="Arial" w:hAnsi="Arial" w:cs="Arial"/>
          <w:sz w:val="20"/>
          <w:szCs w:val="20"/>
        </w:rPr>
        <w:t>utilize, nas</w:t>
      </w:r>
      <w:r>
        <w:rPr>
          <w:rFonts w:ascii="Arial" w:hAnsi="Arial" w:cs="Arial"/>
          <w:sz w:val="20"/>
          <w:szCs w:val="20"/>
        </w:rPr>
        <w:t xml:space="preserve"> </w:t>
      </w:r>
      <w:r w:rsidRPr="00E66361">
        <w:rPr>
          <w:rFonts w:ascii="Arial" w:hAnsi="Arial" w:cs="Arial"/>
          <w:sz w:val="20"/>
          <w:szCs w:val="20"/>
        </w:rPr>
        <w:t>próximas aquisições, pesquisas de preços com base nos preços praticados pelas</w:t>
      </w:r>
      <w:r>
        <w:rPr>
          <w:rFonts w:ascii="Arial" w:hAnsi="Arial" w:cs="Arial"/>
          <w:sz w:val="20"/>
          <w:szCs w:val="20"/>
        </w:rPr>
        <w:t xml:space="preserve"> </w:t>
      </w:r>
      <w:r w:rsidRPr="00E66361">
        <w:rPr>
          <w:rFonts w:ascii="Arial" w:hAnsi="Arial" w:cs="Arial"/>
          <w:sz w:val="20"/>
          <w:szCs w:val="20"/>
        </w:rPr>
        <w:t xml:space="preserve">distribuidoras de medicamentos; </w:t>
      </w:r>
      <w:r w:rsidRPr="00E66361">
        <w:rPr>
          <w:rFonts w:ascii="Arial" w:hAnsi="Arial" w:cs="Arial"/>
          <w:b/>
          <w:bCs/>
          <w:sz w:val="20"/>
          <w:szCs w:val="20"/>
        </w:rPr>
        <w:t xml:space="preserve">(vi) </w:t>
      </w:r>
      <w:r w:rsidRPr="00E66361">
        <w:rPr>
          <w:rFonts w:ascii="Arial" w:hAnsi="Arial" w:cs="Arial"/>
          <w:sz w:val="20"/>
          <w:szCs w:val="20"/>
        </w:rPr>
        <w:t>oferte as aquisições por itens não por lotes; e</w:t>
      </w:r>
      <w:r>
        <w:rPr>
          <w:rFonts w:ascii="Arial" w:hAnsi="Arial" w:cs="Arial"/>
          <w:sz w:val="20"/>
          <w:szCs w:val="20"/>
        </w:rPr>
        <w:t xml:space="preserve"> </w:t>
      </w:r>
      <w:r w:rsidRPr="00E66361">
        <w:rPr>
          <w:rFonts w:ascii="Arial" w:hAnsi="Arial" w:cs="Arial"/>
          <w:b/>
          <w:bCs/>
          <w:sz w:val="20"/>
          <w:szCs w:val="20"/>
        </w:rPr>
        <w:t>(</w:t>
      </w:r>
      <w:proofErr w:type="spellStart"/>
      <w:r w:rsidRPr="00E66361">
        <w:rPr>
          <w:rFonts w:ascii="Arial" w:hAnsi="Arial" w:cs="Arial"/>
          <w:b/>
          <w:bCs/>
          <w:sz w:val="20"/>
          <w:szCs w:val="20"/>
        </w:rPr>
        <w:t>vii</w:t>
      </w:r>
      <w:proofErr w:type="spellEnd"/>
      <w:r w:rsidRPr="00E66361">
        <w:rPr>
          <w:rFonts w:ascii="Arial" w:hAnsi="Arial" w:cs="Arial"/>
          <w:b/>
          <w:bCs/>
          <w:sz w:val="20"/>
          <w:szCs w:val="20"/>
        </w:rPr>
        <w:t xml:space="preserve">) </w:t>
      </w:r>
      <w:r w:rsidRPr="00E66361">
        <w:rPr>
          <w:rFonts w:ascii="Arial" w:hAnsi="Arial" w:cs="Arial"/>
          <w:sz w:val="20"/>
          <w:szCs w:val="20"/>
        </w:rPr>
        <w:t>no caso de aquisição direta com fornecedores, em especial por determinações</w:t>
      </w:r>
      <w:r>
        <w:rPr>
          <w:rFonts w:ascii="Arial" w:hAnsi="Arial" w:cs="Arial"/>
          <w:sz w:val="20"/>
          <w:szCs w:val="20"/>
        </w:rPr>
        <w:t xml:space="preserve"> </w:t>
      </w:r>
      <w:r w:rsidRPr="00E66361">
        <w:rPr>
          <w:rFonts w:ascii="Arial" w:hAnsi="Arial" w:cs="Arial"/>
          <w:sz w:val="20"/>
          <w:szCs w:val="20"/>
        </w:rPr>
        <w:t>judiciais, verifique se os preços praticados estão de acordo com os de mercado</w:t>
      </w:r>
      <w:r>
        <w:rPr>
          <w:rFonts w:ascii="Arial" w:hAnsi="Arial" w:cs="Arial"/>
          <w:sz w:val="20"/>
          <w:szCs w:val="20"/>
        </w:rPr>
        <w:t>.</w:t>
      </w:r>
    </w:p>
    <w:p w:rsidR="0057031C" w:rsidRDefault="0057031C" w:rsidP="0057031C">
      <w:pPr>
        <w:autoSpaceDE w:val="0"/>
        <w:autoSpaceDN w:val="0"/>
        <w:adjustRightInd w:val="0"/>
        <w:spacing w:after="0"/>
        <w:jc w:val="both"/>
        <w:rPr>
          <w:rFonts w:ascii="Arial" w:hAnsi="Arial" w:cs="Arial"/>
          <w:sz w:val="20"/>
          <w:szCs w:val="20"/>
        </w:rPr>
      </w:pPr>
    </w:p>
    <w:p w:rsidR="0057031C" w:rsidRPr="00E66361" w:rsidRDefault="0057031C" w:rsidP="0057031C">
      <w:pPr>
        <w:autoSpaceDE w:val="0"/>
        <w:autoSpaceDN w:val="0"/>
        <w:adjustRightInd w:val="0"/>
        <w:spacing w:after="0"/>
        <w:jc w:val="both"/>
        <w:rPr>
          <w:rFonts w:ascii="Arial" w:hAnsi="Arial" w:cs="Arial"/>
          <w:b/>
          <w:sz w:val="20"/>
          <w:szCs w:val="20"/>
        </w:rPr>
      </w:pPr>
      <w:r>
        <w:rPr>
          <w:rFonts w:ascii="Arial" w:hAnsi="Arial" w:cs="Arial"/>
          <w:sz w:val="20"/>
          <w:szCs w:val="20"/>
        </w:rPr>
        <w:t xml:space="preserve">Processo n° 772890/16 - </w:t>
      </w:r>
      <w:hyperlink r:id="rId8" w:history="1">
        <w:r w:rsidRPr="007F3284">
          <w:rPr>
            <w:rStyle w:val="Hyperlink"/>
            <w:rFonts w:ascii="Arial" w:hAnsi="Arial" w:cs="Arial"/>
            <w:sz w:val="20"/>
            <w:szCs w:val="20"/>
          </w:rPr>
          <w:t>Acórdão n° 919/18 - Primeira Câmara</w:t>
        </w:r>
      </w:hyperlink>
      <w:r>
        <w:rPr>
          <w:rFonts w:ascii="Arial" w:hAnsi="Arial" w:cs="Arial"/>
          <w:sz w:val="20"/>
          <w:szCs w:val="20"/>
        </w:rPr>
        <w:t xml:space="preserve"> - Rel. Cons. Fabio de Souza Camargo. </w:t>
      </w:r>
    </w:p>
    <w:p w:rsidR="0057031C" w:rsidRPr="0022060B" w:rsidRDefault="0057031C" w:rsidP="0057031C">
      <w:pPr>
        <w:autoSpaceDE w:val="0"/>
        <w:autoSpaceDN w:val="0"/>
        <w:adjustRightInd w:val="0"/>
        <w:spacing w:after="0"/>
        <w:jc w:val="both"/>
        <w:rPr>
          <w:rFonts w:ascii="Arial" w:hAnsi="Arial" w:cs="Arial"/>
          <w:sz w:val="20"/>
          <w:szCs w:val="20"/>
        </w:rPr>
      </w:pPr>
    </w:p>
    <w:p w:rsidR="0057031C" w:rsidRPr="0022060B" w:rsidRDefault="0057031C" w:rsidP="0057031C">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57031C" w:rsidRDefault="0057031C" w:rsidP="0057031C">
      <w:pPr>
        <w:spacing w:after="0"/>
        <w:jc w:val="both"/>
        <w:rPr>
          <w:rFonts w:ascii="Arial" w:hAnsi="Arial" w:cs="Arial"/>
          <w:b/>
          <w:sz w:val="20"/>
          <w:szCs w:val="20"/>
        </w:rPr>
      </w:pPr>
    </w:p>
    <w:p w:rsidR="0057031C" w:rsidRPr="00A53062" w:rsidRDefault="0057031C" w:rsidP="0057031C">
      <w:pPr>
        <w:spacing w:after="0"/>
        <w:jc w:val="both"/>
        <w:rPr>
          <w:rFonts w:ascii="Arial" w:hAnsi="Arial" w:cs="Arial"/>
          <w:b/>
          <w:sz w:val="20"/>
          <w:szCs w:val="20"/>
        </w:rPr>
      </w:pPr>
      <w:r>
        <w:rPr>
          <w:rFonts w:ascii="Arial" w:hAnsi="Arial" w:cs="Arial"/>
          <w:b/>
          <w:sz w:val="20"/>
          <w:szCs w:val="20"/>
        </w:rPr>
        <w:t xml:space="preserve">2. </w:t>
      </w:r>
      <w:r w:rsidRPr="00A53062">
        <w:rPr>
          <w:rFonts w:ascii="Arial" w:hAnsi="Arial" w:cs="Arial"/>
          <w:b/>
          <w:sz w:val="20"/>
          <w:szCs w:val="20"/>
        </w:rPr>
        <w:t xml:space="preserve">Pensão por morte. Atraso no encaminhamento a este TCE. Ausência de prejuízo ao exame da legalidade. Legalidade e registro com recomendação à entidade previdenciária. </w:t>
      </w:r>
    </w:p>
    <w:p w:rsidR="0057031C" w:rsidRDefault="0057031C" w:rsidP="0057031C">
      <w:pPr>
        <w:autoSpaceDE w:val="0"/>
        <w:autoSpaceDN w:val="0"/>
        <w:adjustRightInd w:val="0"/>
        <w:spacing w:after="0"/>
        <w:jc w:val="both"/>
        <w:rPr>
          <w:rFonts w:ascii="Arial" w:hAnsi="Arial" w:cs="Arial"/>
          <w:sz w:val="20"/>
          <w:szCs w:val="20"/>
        </w:rPr>
      </w:pPr>
    </w:p>
    <w:p w:rsidR="0057031C" w:rsidRDefault="0057031C" w:rsidP="0057031C">
      <w:pPr>
        <w:spacing w:after="0"/>
        <w:jc w:val="both"/>
        <w:rPr>
          <w:rFonts w:ascii="Arial" w:hAnsi="Arial" w:cs="Arial"/>
          <w:sz w:val="20"/>
          <w:szCs w:val="20"/>
        </w:rPr>
      </w:pPr>
      <w:r>
        <w:rPr>
          <w:rFonts w:ascii="Arial" w:hAnsi="Arial" w:cs="Arial"/>
          <w:sz w:val="20"/>
          <w:szCs w:val="20"/>
        </w:rPr>
        <w:t>Em pensão por morte concedida à viúva de servidor público, o Município atrasou o encaminhamento a esta Corte do ato de concessão do benefício em 729 dias, o que acarretou o posicionamento da unidade técnica e MPC pela aplicação da multa do artigo 87, II, “a” da Lei Complementar nº 113/</w:t>
      </w:r>
      <w:proofErr w:type="gramStart"/>
      <w:r>
        <w:rPr>
          <w:rFonts w:ascii="Arial" w:hAnsi="Arial" w:cs="Arial"/>
          <w:sz w:val="20"/>
          <w:szCs w:val="20"/>
        </w:rPr>
        <w:t>2005,  ao</w:t>
      </w:r>
      <w:proofErr w:type="gramEnd"/>
      <w:r>
        <w:rPr>
          <w:rFonts w:ascii="Arial" w:hAnsi="Arial" w:cs="Arial"/>
          <w:sz w:val="20"/>
          <w:szCs w:val="20"/>
        </w:rPr>
        <w:t xml:space="preserve"> gestor da entidade previdenciária. </w:t>
      </w:r>
    </w:p>
    <w:p w:rsidR="0057031C" w:rsidRDefault="0057031C" w:rsidP="0057031C">
      <w:pPr>
        <w:spacing w:after="0"/>
        <w:jc w:val="both"/>
        <w:rPr>
          <w:rFonts w:ascii="Arial" w:hAnsi="Arial" w:cs="Arial"/>
          <w:sz w:val="20"/>
          <w:szCs w:val="20"/>
        </w:rPr>
      </w:pPr>
      <w:r>
        <w:rPr>
          <w:rFonts w:ascii="Arial" w:hAnsi="Arial" w:cs="Arial"/>
          <w:sz w:val="20"/>
          <w:szCs w:val="20"/>
        </w:rPr>
        <w:t xml:space="preserve">Para o Relator, a ausência de prejuízo ao exame da legalidade do ato e a existência de inúmeros precedentes neste sentido, permitiram que se deixasse de aplicar a multa sugerida.  </w:t>
      </w:r>
    </w:p>
    <w:p w:rsidR="0057031C" w:rsidRDefault="0057031C" w:rsidP="0057031C">
      <w:pPr>
        <w:spacing w:after="0"/>
        <w:jc w:val="both"/>
        <w:rPr>
          <w:rFonts w:ascii="Arial" w:hAnsi="Arial" w:cs="Arial"/>
          <w:sz w:val="20"/>
          <w:szCs w:val="20"/>
        </w:rPr>
      </w:pPr>
    </w:p>
    <w:p w:rsidR="0057031C" w:rsidRDefault="0057031C" w:rsidP="0057031C">
      <w:pPr>
        <w:spacing w:after="0"/>
        <w:jc w:val="both"/>
        <w:rPr>
          <w:rFonts w:ascii="Arial" w:hAnsi="Arial" w:cs="Arial"/>
          <w:sz w:val="20"/>
          <w:szCs w:val="20"/>
        </w:rPr>
      </w:pPr>
      <w:r>
        <w:rPr>
          <w:rFonts w:ascii="Arial" w:hAnsi="Arial" w:cs="Arial"/>
          <w:sz w:val="20"/>
          <w:szCs w:val="20"/>
        </w:rPr>
        <w:t xml:space="preserve">Processo nº 1004628/16 – </w:t>
      </w:r>
      <w:hyperlink r:id="rId9" w:history="1">
        <w:r w:rsidRPr="00ED31FF">
          <w:rPr>
            <w:rStyle w:val="Hyperlink"/>
            <w:rFonts w:ascii="Arial" w:hAnsi="Arial" w:cs="Arial"/>
            <w:sz w:val="20"/>
            <w:szCs w:val="20"/>
          </w:rPr>
          <w:t>Acórdão nº 934/18-</w:t>
        </w:r>
        <w:r>
          <w:rPr>
            <w:rStyle w:val="Hyperlink"/>
            <w:rFonts w:ascii="Arial" w:hAnsi="Arial" w:cs="Arial"/>
            <w:sz w:val="20"/>
            <w:szCs w:val="20"/>
          </w:rPr>
          <w:t xml:space="preserve"> Segunda</w:t>
        </w:r>
        <w:r w:rsidRPr="00ED31FF">
          <w:rPr>
            <w:rStyle w:val="Hyperlink"/>
            <w:rFonts w:ascii="Arial" w:hAnsi="Arial" w:cs="Arial"/>
            <w:sz w:val="20"/>
            <w:szCs w:val="20"/>
          </w:rPr>
          <w:t xml:space="preserve"> Câmara</w:t>
        </w:r>
      </w:hyperlink>
      <w:r>
        <w:rPr>
          <w:rFonts w:ascii="Arial" w:hAnsi="Arial" w:cs="Arial"/>
          <w:sz w:val="20"/>
          <w:szCs w:val="20"/>
        </w:rPr>
        <w:t xml:space="preserve"> – Relator Conselheiro </w:t>
      </w:r>
      <w:proofErr w:type="spellStart"/>
      <w:r>
        <w:rPr>
          <w:rFonts w:ascii="Arial" w:hAnsi="Arial" w:cs="Arial"/>
          <w:sz w:val="20"/>
          <w:szCs w:val="20"/>
        </w:rPr>
        <w:t>Artagão</w:t>
      </w:r>
      <w:proofErr w:type="spellEnd"/>
      <w:r>
        <w:rPr>
          <w:rFonts w:ascii="Arial" w:hAnsi="Arial" w:cs="Arial"/>
          <w:sz w:val="20"/>
          <w:szCs w:val="20"/>
        </w:rPr>
        <w:t xml:space="preserve"> de Mattos Leão. </w:t>
      </w:r>
    </w:p>
    <w:p w:rsidR="0057031C" w:rsidRDefault="0057031C" w:rsidP="0057031C">
      <w:pPr>
        <w:autoSpaceDE w:val="0"/>
        <w:autoSpaceDN w:val="0"/>
        <w:adjustRightInd w:val="0"/>
        <w:spacing w:after="0"/>
        <w:jc w:val="both"/>
        <w:rPr>
          <w:rFonts w:ascii="Arial" w:hAnsi="Arial" w:cs="Arial"/>
          <w:sz w:val="20"/>
          <w:szCs w:val="20"/>
        </w:rPr>
      </w:pPr>
    </w:p>
    <w:p w:rsidR="0057031C" w:rsidRPr="0022060B" w:rsidRDefault="0057031C" w:rsidP="0057031C">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57031C" w:rsidRDefault="0057031C" w:rsidP="0057031C">
      <w:pPr>
        <w:autoSpaceDE w:val="0"/>
        <w:autoSpaceDN w:val="0"/>
        <w:adjustRightInd w:val="0"/>
        <w:spacing w:after="0"/>
        <w:jc w:val="both"/>
        <w:rPr>
          <w:rFonts w:ascii="Arial" w:hAnsi="Arial" w:cs="Arial"/>
          <w:b/>
          <w:sz w:val="20"/>
          <w:szCs w:val="20"/>
        </w:rPr>
      </w:pPr>
    </w:p>
    <w:p w:rsidR="0057031C" w:rsidRPr="00F04189" w:rsidRDefault="0057031C" w:rsidP="0057031C">
      <w:pPr>
        <w:autoSpaceDE w:val="0"/>
        <w:autoSpaceDN w:val="0"/>
        <w:adjustRightInd w:val="0"/>
        <w:spacing w:after="0"/>
        <w:jc w:val="both"/>
        <w:rPr>
          <w:rFonts w:ascii="Arial" w:hAnsi="Arial" w:cs="Arial"/>
          <w:b/>
          <w:sz w:val="20"/>
          <w:szCs w:val="20"/>
        </w:rPr>
      </w:pPr>
      <w:r>
        <w:rPr>
          <w:rFonts w:ascii="Arial" w:hAnsi="Arial" w:cs="Arial"/>
          <w:b/>
          <w:sz w:val="20"/>
          <w:szCs w:val="20"/>
        </w:rPr>
        <w:t xml:space="preserve">3. </w:t>
      </w:r>
      <w:r w:rsidRPr="00F04189">
        <w:rPr>
          <w:rFonts w:ascii="Arial" w:hAnsi="Arial" w:cs="Arial"/>
          <w:b/>
          <w:sz w:val="20"/>
          <w:szCs w:val="20"/>
        </w:rPr>
        <w:t>Representação da Lei n° 8.666/1993. Pregão. Aquisição de ônibus. Exigências. Competitividade.</w:t>
      </w:r>
    </w:p>
    <w:p w:rsidR="0057031C" w:rsidRDefault="0057031C" w:rsidP="0057031C">
      <w:pPr>
        <w:autoSpaceDE w:val="0"/>
        <w:autoSpaceDN w:val="0"/>
        <w:adjustRightInd w:val="0"/>
        <w:spacing w:after="0"/>
        <w:jc w:val="both"/>
        <w:rPr>
          <w:rFonts w:ascii="Arial" w:hAnsi="Arial" w:cs="Arial"/>
          <w:sz w:val="20"/>
          <w:szCs w:val="20"/>
        </w:rPr>
      </w:pPr>
    </w:p>
    <w:p w:rsidR="0057031C" w:rsidRPr="00FE79B8" w:rsidRDefault="0057031C" w:rsidP="0057031C">
      <w:pPr>
        <w:autoSpaceDE w:val="0"/>
        <w:autoSpaceDN w:val="0"/>
        <w:adjustRightInd w:val="0"/>
        <w:spacing w:after="0"/>
        <w:jc w:val="both"/>
        <w:rPr>
          <w:rFonts w:ascii="Arial" w:hAnsi="Arial" w:cs="Arial"/>
          <w:sz w:val="20"/>
          <w:szCs w:val="20"/>
        </w:rPr>
      </w:pPr>
      <w:r w:rsidRPr="00FE79B8">
        <w:rPr>
          <w:rFonts w:ascii="Arial" w:hAnsi="Arial" w:cs="Arial"/>
          <w:sz w:val="20"/>
          <w:szCs w:val="20"/>
        </w:rPr>
        <w:lastRenderedPageBreak/>
        <w:t>No pregão para aquisi</w:t>
      </w:r>
      <w:bookmarkStart w:id="0" w:name="_GoBack"/>
      <w:bookmarkEnd w:id="0"/>
      <w:r w:rsidRPr="00FE79B8">
        <w:rPr>
          <w:rFonts w:ascii="Arial" w:hAnsi="Arial" w:cs="Arial"/>
          <w:sz w:val="20"/>
          <w:szCs w:val="20"/>
        </w:rPr>
        <w:t xml:space="preserve">ção de um ônibus novo, o objeto licitado não encerra particularidade especial que justifique a exigência de dois atestados de venda e de entrega. As exigências de qualificação técnica no bojo de processos licitatórios devem limitar-se àquelas indispensáveis a assegurar o cumprimento das obrigações. Nessa situação, mostra-se desarrazoado exigir a experiência vindicada, posto que se trata de fornecimento de automóvel, o que, presume-se, não requer execução dificultosa. A exigência acaba por gerar óbices à competitividade não compensados por eventuais benefícios ao interesse público, eis que, o objeto da licitação não é de complexa consumação a ponto de justificar a obrigatoriedade de maior experiência. A idoneidade e capacidade econômica da empresa podem ser verificadas por outros meios. </w:t>
      </w:r>
    </w:p>
    <w:p w:rsidR="0057031C" w:rsidRPr="00FE79B8" w:rsidRDefault="0057031C" w:rsidP="0057031C">
      <w:pPr>
        <w:autoSpaceDE w:val="0"/>
        <w:autoSpaceDN w:val="0"/>
        <w:adjustRightInd w:val="0"/>
        <w:spacing w:after="0"/>
        <w:jc w:val="both"/>
        <w:rPr>
          <w:rFonts w:ascii="Arial" w:hAnsi="Arial" w:cs="Arial"/>
          <w:sz w:val="20"/>
          <w:szCs w:val="20"/>
        </w:rPr>
      </w:pPr>
      <w:r w:rsidRPr="00FE79B8">
        <w:rPr>
          <w:rFonts w:ascii="Arial" w:hAnsi="Arial" w:cs="Arial"/>
          <w:sz w:val="20"/>
          <w:szCs w:val="20"/>
        </w:rPr>
        <w:t>A exigência de comprovação de existência de centro de manutenção para o veículo num raio de 100 km mostra-se razoável, desde que se entenda que tal centro de manutenção não necessariamente seja da própria empresa que apenas venderá o ônibus – o objeto da licitação sendo apenas a aquisição do veículo. O mesmo se aplica às peças.</w:t>
      </w:r>
    </w:p>
    <w:p w:rsidR="0057031C" w:rsidRDefault="0057031C" w:rsidP="0057031C">
      <w:pPr>
        <w:spacing w:after="0"/>
        <w:jc w:val="both"/>
        <w:rPr>
          <w:rFonts w:ascii="Arial" w:hAnsi="Arial" w:cs="Arial"/>
          <w:sz w:val="20"/>
          <w:szCs w:val="20"/>
          <w:shd w:val="clear" w:color="auto" w:fill="FFFFFF"/>
        </w:rPr>
      </w:pPr>
    </w:p>
    <w:p w:rsidR="0057031C" w:rsidRPr="00330BBC" w:rsidRDefault="0057031C" w:rsidP="0057031C">
      <w:pPr>
        <w:spacing w:after="0"/>
        <w:jc w:val="both"/>
        <w:rPr>
          <w:rFonts w:ascii="Arial" w:hAnsi="Arial" w:cs="Arial"/>
          <w:sz w:val="20"/>
          <w:szCs w:val="20"/>
          <w:shd w:val="clear" w:color="auto" w:fill="FFFFFF"/>
        </w:rPr>
      </w:pPr>
      <w:r w:rsidRPr="00330BBC">
        <w:rPr>
          <w:rFonts w:ascii="Arial" w:hAnsi="Arial" w:cs="Arial"/>
          <w:sz w:val="20"/>
          <w:szCs w:val="20"/>
          <w:shd w:val="clear" w:color="auto" w:fill="FFFFFF"/>
        </w:rPr>
        <w:t xml:space="preserve">Processo n° </w:t>
      </w:r>
      <w:r>
        <w:rPr>
          <w:rFonts w:ascii="Arial" w:hAnsi="Arial" w:cs="Arial"/>
          <w:sz w:val="20"/>
          <w:szCs w:val="20"/>
          <w:shd w:val="clear" w:color="auto" w:fill="FFFFFF"/>
        </w:rPr>
        <w:t>256058/18</w:t>
      </w:r>
      <w:r w:rsidRPr="00330BBC">
        <w:rPr>
          <w:rFonts w:ascii="Arial" w:hAnsi="Arial" w:cs="Arial"/>
          <w:sz w:val="20"/>
          <w:szCs w:val="20"/>
          <w:shd w:val="clear" w:color="auto" w:fill="FFFFFF"/>
        </w:rPr>
        <w:t xml:space="preserve"> - </w:t>
      </w:r>
      <w:hyperlink r:id="rId10" w:history="1">
        <w:r w:rsidRPr="00F04189">
          <w:rPr>
            <w:rStyle w:val="Hyperlink"/>
            <w:rFonts w:ascii="Arial" w:hAnsi="Arial" w:cs="Arial"/>
            <w:sz w:val="20"/>
            <w:szCs w:val="20"/>
            <w:shd w:val="clear" w:color="auto" w:fill="FFFFFF"/>
          </w:rPr>
          <w:t>Acórdão n° 962/18 – Tribunal Pleno</w:t>
        </w:r>
      </w:hyperlink>
      <w:r w:rsidRPr="00330BBC">
        <w:rPr>
          <w:rFonts w:ascii="Arial" w:hAnsi="Arial" w:cs="Arial"/>
          <w:sz w:val="20"/>
          <w:szCs w:val="20"/>
          <w:shd w:val="clear" w:color="auto" w:fill="FFFFFF"/>
        </w:rPr>
        <w:t xml:space="preserve"> - Rel. Auditor Sérgio Ricardo Valadares Fonseca</w:t>
      </w:r>
    </w:p>
    <w:p w:rsidR="0057031C" w:rsidRPr="00330BBC" w:rsidRDefault="0057031C" w:rsidP="0057031C">
      <w:pPr>
        <w:spacing w:after="0"/>
        <w:jc w:val="both"/>
        <w:rPr>
          <w:rFonts w:ascii="Arial" w:hAnsi="Arial" w:cs="Arial"/>
          <w:sz w:val="20"/>
          <w:szCs w:val="20"/>
          <w:shd w:val="clear" w:color="auto" w:fill="FFFFFF"/>
        </w:rPr>
      </w:pPr>
    </w:p>
    <w:p w:rsidR="0057031C" w:rsidRDefault="0057031C" w:rsidP="0057031C">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b/>
          <w:sz w:val="20"/>
          <w:szCs w:val="20"/>
        </w:rPr>
        <w:t xml:space="preserve">4. </w:t>
      </w:r>
      <w:r w:rsidRPr="00F04189">
        <w:rPr>
          <w:rFonts w:ascii="Arial" w:hAnsi="Arial" w:cs="Arial"/>
          <w:b/>
          <w:sz w:val="20"/>
          <w:szCs w:val="20"/>
        </w:rPr>
        <w:t xml:space="preserve"> </w:t>
      </w:r>
      <w:r>
        <w:rPr>
          <w:rFonts w:ascii="Arial" w:hAnsi="Arial" w:cs="Arial"/>
          <w:b/>
          <w:sz w:val="20"/>
          <w:szCs w:val="20"/>
        </w:rPr>
        <w:t xml:space="preserve">Representação </w:t>
      </w:r>
      <w:r w:rsidRPr="00CC0506">
        <w:rPr>
          <w:rFonts w:ascii="Arial" w:hAnsi="Arial" w:cs="Arial"/>
          <w:b/>
          <w:sz w:val="20"/>
          <w:szCs w:val="20"/>
        </w:rPr>
        <w:t>da Lei n° 8.666/1993. Licitação.</w:t>
      </w:r>
      <w:r>
        <w:rPr>
          <w:rFonts w:ascii="Arial" w:hAnsi="Arial" w:cs="Arial"/>
          <w:b/>
          <w:sz w:val="20"/>
          <w:szCs w:val="20"/>
        </w:rPr>
        <w:t xml:space="preserve"> </w:t>
      </w:r>
      <w:r w:rsidRPr="003951FB">
        <w:rPr>
          <w:rFonts w:ascii="Arial" w:hAnsi="Arial" w:cs="Arial"/>
          <w:b/>
          <w:sz w:val="20"/>
          <w:szCs w:val="20"/>
        </w:rPr>
        <w:t>Contratação de empresa especializada na prestação de serviços e locação de software</w:t>
      </w:r>
      <w:r>
        <w:rPr>
          <w:rFonts w:ascii="Arial" w:hAnsi="Arial" w:cs="Arial"/>
          <w:b/>
          <w:sz w:val="20"/>
          <w:szCs w:val="20"/>
        </w:rPr>
        <w:t xml:space="preserve">. Exigência. Treinamento. </w:t>
      </w:r>
    </w:p>
    <w:p w:rsidR="0057031C" w:rsidRDefault="0057031C" w:rsidP="0057031C">
      <w:pPr>
        <w:autoSpaceDE w:val="0"/>
        <w:autoSpaceDN w:val="0"/>
        <w:adjustRightInd w:val="0"/>
        <w:spacing w:after="0"/>
        <w:jc w:val="both"/>
        <w:rPr>
          <w:rFonts w:ascii="Arial" w:hAnsi="Arial" w:cs="Arial"/>
          <w:sz w:val="20"/>
          <w:szCs w:val="20"/>
        </w:rPr>
      </w:pPr>
    </w:p>
    <w:p w:rsidR="0057031C" w:rsidRPr="00FE79B8" w:rsidRDefault="0057031C" w:rsidP="0057031C">
      <w:pPr>
        <w:autoSpaceDE w:val="0"/>
        <w:autoSpaceDN w:val="0"/>
        <w:adjustRightInd w:val="0"/>
        <w:spacing w:after="0"/>
        <w:jc w:val="both"/>
        <w:rPr>
          <w:rFonts w:ascii="Arial" w:hAnsi="Arial" w:cs="Arial"/>
          <w:sz w:val="20"/>
          <w:szCs w:val="20"/>
        </w:rPr>
      </w:pPr>
      <w:r w:rsidRPr="00FE79B8">
        <w:rPr>
          <w:rFonts w:ascii="Arial" w:hAnsi="Arial" w:cs="Arial"/>
          <w:sz w:val="20"/>
          <w:szCs w:val="20"/>
        </w:rPr>
        <w:t>Na contratação de empresa especializada na prestação de serviços e locação de software para gerenciamento e gestão de combustível, com a utilização de cartões magnéticos personalizados, com implantação e treinamento operacional para uso do sistema de abastecimento com cartão magnético a exigência de carga horária mínima de 80 horas para treinamento dos usuários do sistema não encontra, a princípio, qualquer amparo legal e fático, e, diante dos custos envolvidos, pode ensejar a onerosidade do contrato e, portanto, ofender ao princípio da economicidade e da busca da proposta mais vantajosa à Administração.</w:t>
      </w:r>
    </w:p>
    <w:p w:rsidR="0057031C" w:rsidRDefault="0057031C" w:rsidP="0057031C">
      <w:pPr>
        <w:spacing w:after="0"/>
        <w:jc w:val="both"/>
        <w:rPr>
          <w:rFonts w:ascii="Arial" w:hAnsi="Arial" w:cs="Arial"/>
          <w:sz w:val="20"/>
          <w:szCs w:val="20"/>
          <w:shd w:val="clear" w:color="auto" w:fill="FFFFFF"/>
        </w:rPr>
      </w:pPr>
    </w:p>
    <w:p w:rsidR="0057031C" w:rsidRPr="00330BBC" w:rsidRDefault="0057031C" w:rsidP="0057031C">
      <w:pPr>
        <w:spacing w:after="0"/>
        <w:jc w:val="both"/>
        <w:rPr>
          <w:rFonts w:ascii="Arial" w:hAnsi="Arial" w:cs="Arial"/>
          <w:sz w:val="20"/>
          <w:szCs w:val="20"/>
          <w:shd w:val="clear" w:color="auto" w:fill="FFFFFF"/>
        </w:rPr>
      </w:pPr>
      <w:r w:rsidRPr="00330BBC">
        <w:rPr>
          <w:rFonts w:ascii="Arial" w:hAnsi="Arial" w:cs="Arial"/>
          <w:sz w:val="20"/>
          <w:szCs w:val="20"/>
          <w:shd w:val="clear" w:color="auto" w:fill="FFFFFF"/>
        </w:rPr>
        <w:t xml:space="preserve">Processo n° </w:t>
      </w:r>
      <w:r>
        <w:rPr>
          <w:rFonts w:ascii="Arial" w:hAnsi="Arial" w:cs="Arial"/>
          <w:sz w:val="20"/>
          <w:szCs w:val="20"/>
          <w:shd w:val="clear" w:color="auto" w:fill="FFFFFF"/>
        </w:rPr>
        <w:t>246435/18</w:t>
      </w:r>
      <w:r w:rsidRPr="00330BBC">
        <w:rPr>
          <w:rFonts w:ascii="Arial" w:hAnsi="Arial" w:cs="Arial"/>
          <w:sz w:val="20"/>
          <w:szCs w:val="20"/>
          <w:shd w:val="clear" w:color="auto" w:fill="FFFFFF"/>
        </w:rPr>
        <w:t xml:space="preserve"> - </w:t>
      </w:r>
      <w:hyperlink r:id="rId11" w:history="1">
        <w:r w:rsidRPr="009F07FA">
          <w:rPr>
            <w:rStyle w:val="Hyperlink"/>
            <w:rFonts w:ascii="Arial" w:hAnsi="Arial" w:cs="Arial"/>
            <w:sz w:val="20"/>
            <w:szCs w:val="20"/>
            <w:shd w:val="clear" w:color="auto" w:fill="FFFFFF"/>
          </w:rPr>
          <w:t>Acórdão n° 963/18 – Tribunal Pleno</w:t>
        </w:r>
      </w:hyperlink>
      <w:r w:rsidRPr="00330BBC">
        <w:rPr>
          <w:rFonts w:ascii="Arial" w:hAnsi="Arial" w:cs="Arial"/>
          <w:sz w:val="20"/>
          <w:szCs w:val="20"/>
          <w:shd w:val="clear" w:color="auto" w:fill="FFFFFF"/>
        </w:rPr>
        <w:t xml:space="preserve"> - Rel. Auditor </w:t>
      </w:r>
      <w:r w:rsidRPr="003951FB">
        <w:rPr>
          <w:rFonts w:ascii="Arial" w:hAnsi="Arial" w:cs="Arial"/>
          <w:sz w:val="20"/>
          <w:szCs w:val="20"/>
          <w:shd w:val="clear" w:color="auto" w:fill="FFFFFF"/>
        </w:rPr>
        <w:t>Thiago Barbosa Cordeiro.</w:t>
      </w:r>
    </w:p>
    <w:p w:rsidR="0057031C" w:rsidRDefault="0057031C" w:rsidP="0057031C">
      <w:pPr>
        <w:autoSpaceDE w:val="0"/>
        <w:autoSpaceDN w:val="0"/>
        <w:adjustRightInd w:val="0"/>
        <w:spacing w:after="0"/>
        <w:jc w:val="both"/>
        <w:rPr>
          <w:rFonts w:ascii="Arial" w:hAnsi="Arial" w:cs="Arial"/>
          <w:color w:val="000000"/>
          <w:sz w:val="20"/>
          <w:szCs w:val="20"/>
          <w:shd w:val="clear" w:color="auto" w:fill="FFFFFF"/>
        </w:rPr>
      </w:pPr>
    </w:p>
    <w:p w:rsidR="0057031C" w:rsidRPr="007C724B" w:rsidRDefault="0057031C" w:rsidP="0057031C">
      <w:pPr>
        <w:autoSpaceDE w:val="0"/>
        <w:autoSpaceDN w:val="0"/>
        <w:adjustRightInd w:val="0"/>
        <w:spacing w:after="0"/>
        <w:jc w:val="both"/>
        <w:rPr>
          <w:rFonts w:ascii="Arial" w:hAnsi="Arial" w:cs="Arial"/>
          <w:b/>
          <w:sz w:val="20"/>
          <w:szCs w:val="20"/>
        </w:rPr>
      </w:pPr>
      <w:r>
        <w:rPr>
          <w:rFonts w:ascii="Arial" w:hAnsi="Arial" w:cs="Arial"/>
          <w:b/>
          <w:sz w:val="20"/>
          <w:szCs w:val="20"/>
        </w:rPr>
        <w:t xml:space="preserve">5. </w:t>
      </w:r>
      <w:r w:rsidRPr="007C724B">
        <w:rPr>
          <w:rFonts w:ascii="Arial" w:hAnsi="Arial" w:cs="Arial"/>
          <w:b/>
          <w:sz w:val="20"/>
          <w:szCs w:val="20"/>
        </w:rPr>
        <w:t>Representação. Servidor Público. Gratificação. Dedicação exclusiva. Adicional. Horas extras.</w:t>
      </w:r>
    </w:p>
    <w:p w:rsidR="0057031C" w:rsidRDefault="0057031C" w:rsidP="0057031C">
      <w:pPr>
        <w:autoSpaceDE w:val="0"/>
        <w:autoSpaceDN w:val="0"/>
        <w:adjustRightInd w:val="0"/>
        <w:spacing w:after="0"/>
        <w:jc w:val="both"/>
        <w:rPr>
          <w:rFonts w:ascii="Arial" w:hAnsi="Arial" w:cs="Arial"/>
          <w:sz w:val="20"/>
          <w:szCs w:val="20"/>
        </w:rPr>
      </w:pPr>
    </w:p>
    <w:p w:rsidR="0057031C" w:rsidRPr="00CC0506" w:rsidRDefault="0057031C" w:rsidP="0057031C">
      <w:pPr>
        <w:spacing w:after="0"/>
        <w:jc w:val="both"/>
        <w:rPr>
          <w:rFonts w:ascii="Arial" w:hAnsi="Arial" w:cs="Arial"/>
          <w:sz w:val="20"/>
          <w:szCs w:val="20"/>
          <w:shd w:val="clear" w:color="auto" w:fill="FFFFFF"/>
        </w:rPr>
      </w:pPr>
      <w:r w:rsidRPr="00CC0506">
        <w:rPr>
          <w:rFonts w:ascii="Arial" w:hAnsi="Arial" w:cs="Arial"/>
          <w:sz w:val="20"/>
          <w:szCs w:val="20"/>
          <w:shd w:val="clear" w:color="auto" w:fill="FFFFFF"/>
        </w:rPr>
        <w:t xml:space="preserve">A percepção, por servidor, da gratificação de tempo integral e dedicação exclusiva, por si só, já caracteriza a realização de atividades além das normais, as chamadas horas extraordinárias. Por lógica, se o tempo integral já está sendo remunerado, descabe </w:t>
      </w:r>
      <w:r>
        <w:rPr>
          <w:rFonts w:ascii="Arial" w:hAnsi="Arial" w:cs="Arial"/>
          <w:sz w:val="20"/>
          <w:szCs w:val="20"/>
          <w:shd w:val="clear" w:color="auto" w:fill="FFFFFF"/>
        </w:rPr>
        <w:t xml:space="preserve">o pagamento </w:t>
      </w:r>
      <w:r w:rsidRPr="00CC0506">
        <w:rPr>
          <w:rFonts w:ascii="Arial" w:hAnsi="Arial" w:cs="Arial"/>
          <w:sz w:val="20"/>
          <w:szCs w:val="20"/>
          <w:shd w:val="clear" w:color="auto" w:fill="FFFFFF"/>
        </w:rPr>
        <w:t xml:space="preserve">eventuais horas extras, porque estas, estão compreendidas naquela. </w:t>
      </w:r>
    </w:p>
    <w:p w:rsidR="0057031C" w:rsidRDefault="0057031C" w:rsidP="0057031C">
      <w:pPr>
        <w:spacing w:after="0"/>
        <w:jc w:val="both"/>
        <w:rPr>
          <w:rFonts w:ascii="Arial" w:hAnsi="Arial" w:cs="Arial"/>
          <w:sz w:val="20"/>
          <w:szCs w:val="20"/>
          <w:shd w:val="clear" w:color="auto" w:fill="FFFFFF"/>
        </w:rPr>
      </w:pPr>
    </w:p>
    <w:p w:rsidR="0057031C" w:rsidRPr="00330BBC" w:rsidRDefault="0057031C" w:rsidP="0057031C">
      <w:pPr>
        <w:spacing w:after="0"/>
        <w:jc w:val="both"/>
        <w:rPr>
          <w:rFonts w:ascii="Arial" w:hAnsi="Arial" w:cs="Arial"/>
          <w:sz w:val="20"/>
          <w:szCs w:val="20"/>
          <w:shd w:val="clear" w:color="auto" w:fill="FFFFFF"/>
        </w:rPr>
      </w:pPr>
      <w:r w:rsidRPr="00330BBC">
        <w:rPr>
          <w:rFonts w:ascii="Arial" w:hAnsi="Arial" w:cs="Arial"/>
          <w:sz w:val="20"/>
          <w:szCs w:val="20"/>
          <w:shd w:val="clear" w:color="auto" w:fill="FFFFFF"/>
        </w:rPr>
        <w:t xml:space="preserve">Processo n° </w:t>
      </w:r>
      <w:r>
        <w:rPr>
          <w:rFonts w:ascii="Arial" w:hAnsi="Arial" w:cs="Arial"/>
          <w:sz w:val="20"/>
          <w:szCs w:val="20"/>
          <w:shd w:val="clear" w:color="auto" w:fill="FFFFFF"/>
        </w:rPr>
        <w:t>257897/18</w:t>
      </w:r>
      <w:r w:rsidRPr="00330BBC">
        <w:rPr>
          <w:rFonts w:ascii="Arial" w:hAnsi="Arial" w:cs="Arial"/>
          <w:sz w:val="20"/>
          <w:szCs w:val="20"/>
          <w:shd w:val="clear" w:color="auto" w:fill="FFFFFF"/>
        </w:rPr>
        <w:t xml:space="preserve"> - </w:t>
      </w:r>
      <w:hyperlink r:id="rId12" w:history="1">
        <w:r w:rsidRPr="00905BDA">
          <w:rPr>
            <w:rStyle w:val="Hyperlink"/>
            <w:rFonts w:ascii="Arial" w:hAnsi="Arial" w:cs="Arial"/>
            <w:sz w:val="20"/>
            <w:szCs w:val="20"/>
            <w:shd w:val="clear" w:color="auto" w:fill="FFFFFF"/>
          </w:rPr>
          <w:t>Acórdão n° 960/18 – Tribunal Pleno</w:t>
        </w:r>
      </w:hyperlink>
      <w:r w:rsidRPr="00330BBC">
        <w:rPr>
          <w:rFonts w:ascii="Arial" w:hAnsi="Arial" w:cs="Arial"/>
          <w:sz w:val="20"/>
          <w:szCs w:val="20"/>
          <w:shd w:val="clear" w:color="auto" w:fill="FFFFFF"/>
        </w:rPr>
        <w:t xml:space="preserve"> - Rel.</w:t>
      </w:r>
      <w:r w:rsidRPr="007C724B">
        <w:rPr>
          <w:rFonts w:ascii="Arial" w:hAnsi="Arial" w:cs="Arial"/>
          <w:sz w:val="20"/>
          <w:szCs w:val="20"/>
          <w:shd w:val="clear" w:color="auto" w:fill="FFFFFF"/>
        </w:rPr>
        <w:t xml:space="preserve"> Conselheiro Fabio de Souza Camargo</w:t>
      </w:r>
      <w:r w:rsidRPr="003951FB">
        <w:rPr>
          <w:rFonts w:ascii="Arial" w:hAnsi="Arial" w:cs="Arial"/>
          <w:sz w:val="20"/>
          <w:szCs w:val="20"/>
          <w:shd w:val="clear" w:color="auto" w:fill="FFFFFF"/>
        </w:rPr>
        <w:t>.</w:t>
      </w:r>
    </w:p>
    <w:p w:rsidR="0057031C" w:rsidRDefault="0057031C" w:rsidP="0057031C">
      <w:pPr>
        <w:spacing w:after="0"/>
        <w:jc w:val="both"/>
        <w:rPr>
          <w:rFonts w:ascii="Arial" w:hAnsi="Arial" w:cs="Arial"/>
          <w:sz w:val="20"/>
          <w:szCs w:val="20"/>
          <w:shd w:val="clear" w:color="auto" w:fill="FFFFFF"/>
        </w:rPr>
      </w:pPr>
    </w:p>
    <w:p w:rsidR="0057031C" w:rsidRPr="00FE04F1" w:rsidRDefault="0057031C" w:rsidP="0057031C">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 xml:space="preserve">6. </w:t>
      </w:r>
      <w:r w:rsidRPr="00FE04F1">
        <w:rPr>
          <w:rFonts w:ascii="Arial" w:hAnsi="Arial" w:cs="Arial"/>
          <w:b/>
          <w:sz w:val="20"/>
          <w:szCs w:val="20"/>
        </w:rPr>
        <w:t>Denúncia. Tributos. Contribuição de melhoria. Princípio da legalidade. Cobrança. Custo da obra. Valorização do imóvel. Individualização.</w:t>
      </w:r>
    </w:p>
    <w:p w:rsidR="0057031C" w:rsidRDefault="0057031C" w:rsidP="0057031C">
      <w:pPr>
        <w:autoSpaceDE w:val="0"/>
        <w:autoSpaceDN w:val="0"/>
        <w:adjustRightInd w:val="0"/>
        <w:spacing w:after="0"/>
        <w:jc w:val="both"/>
        <w:rPr>
          <w:rFonts w:ascii="Arial" w:hAnsi="Arial" w:cs="Arial"/>
          <w:sz w:val="20"/>
          <w:szCs w:val="20"/>
        </w:rPr>
      </w:pPr>
    </w:p>
    <w:p w:rsidR="0057031C" w:rsidRPr="00FE79B8" w:rsidRDefault="0057031C" w:rsidP="0057031C">
      <w:pPr>
        <w:autoSpaceDE w:val="0"/>
        <w:autoSpaceDN w:val="0"/>
        <w:adjustRightInd w:val="0"/>
        <w:spacing w:after="0"/>
        <w:jc w:val="both"/>
        <w:rPr>
          <w:rFonts w:ascii="Arial" w:hAnsi="Arial" w:cs="Arial"/>
          <w:sz w:val="20"/>
          <w:szCs w:val="20"/>
        </w:rPr>
      </w:pPr>
      <w:r w:rsidRPr="00FE79B8">
        <w:rPr>
          <w:rFonts w:ascii="Arial" w:hAnsi="Arial" w:cs="Arial"/>
          <w:sz w:val="20"/>
          <w:szCs w:val="20"/>
        </w:rPr>
        <w:t>Afronta o princípio da legalidade a instituição e a cobrança de contribuição de melhoria sem a edição de lei específica e sem demonstração da valorização individual dos imóveis afetados. Além disso, o limite individual para a cobrança da contribuição de melhoria não deve ser estipulado em quotas de participação de cada beneficiado pelo custo total da obra, e sim pela valorização que a obra resultou para cada imóvel, individualmente, conforme disposto no parágrafo 1° do art. 82 do CTN.</w:t>
      </w:r>
    </w:p>
    <w:p w:rsidR="0057031C" w:rsidRDefault="0057031C" w:rsidP="0057031C">
      <w:pPr>
        <w:spacing w:after="0"/>
        <w:jc w:val="both"/>
        <w:rPr>
          <w:rFonts w:ascii="Arial" w:hAnsi="Arial" w:cs="Arial"/>
          <w:sz w:val="20"/>
          <w:szCs w:val="20"/>
          <w:shd w:val="clear" w:color="auto" w:fill="FFFFFF"/>
        </w:rPr>
      </w:pPr>
    </w:p>
    <w:p w:rsidR="0057031C" w:rsidRPr="00330BBC" w:rsidRDefault="0057031C" w:rsidP="0057031C">
      <w:pPr>
        <w:spacing w:after="0"/>
        <w:jc w:val="both"/>
        <w:rPr>
          <w:rFonts w:ascii="Arial" w:hAnsi="Arial" w:cs="Arial"/>
          <w:sz w:val="20"/>
          <w:szCs w:val="20"/>
          <w:shd w:val="clear" w:color="auto" w:fill="FFFFFF"/>
        </w:rPr>
      </w:pPr>
      <w:r w:rsidRPr="00330BBC">
        <w:rPr>
          <w:rFonts w:ascii="Arial" w:hAnsi="Arial" w:cs="Arial"/>
          <w:sz w:val="20"/>
          <w:szCs w:val="20"/>
          <w:shd w:val="clear" w:color="auto" w:fill="FFFFFF"/>
        </w:rPr>
        <w:t xml:space="preserve">Processo n° </w:t>
      </w:r>
      <w:r>
        <w:rPr>
          <w:rFonts w:ascii="Arial" w:hAnsi="Arial" w:cs="Arial"/>
          <w:sz w:val="20"/>
          <w:szCs w:val="20"/>
          <w:shd w:val="clear" w:color="auto" w:fill="FFFFFF"/>
        </w:rPr>
        <w:t>277037/18</w:t>
      </w:r>
      <w:r w:rsidRPr="00330BBC">
        <w:rPr>
          <w:rFonts w:ascii="Arial" w:hAnsi="Arial" w:cs="Arial"/>
          <w:sz w:val="20"/>
          <w:szCs w:val="20"/>
          <w:shd w:val="clear" w:color="auto" w:fill="FFFFFF"/>
        </w:rPr>
        <w:t xml:space="preserve"> - </w:t>
      </w:r>
      <w:hyperlink r:id="rId13" w:history="1">
        <w:r w:rsidRPr="00FE04F1">
          <w:rPr>
            <w:rStyle w:val="Hyperlink"/>
            <w:rFonts w:ascii="Arial" w:hAnsi="Arial" w:cs="Arial"/>
            <w:sz w:val="20"/>
            <w:szCs w:val="20"/>
            <w:shd w:val="clear" w:color="auto" w:fill="FFFFFF"/>
          </w:rPr>
          <w:t>Acórdão n° 957/18 – Tribunal Pleno</w:t>
        </w:r>
      </w:hyperlink>
      <w:r w:rsidRPr="00330BBC">
        <w:rPr>
          <w:rFonts w:ascii="Arial" w:hAnsi="Arial" w:cs="Arial"/>
          <w:sz w:val="20"/>
          <w:szCs w:val="20"/>
          <w:shd w:val="clear" w:color="auto" w:fill="FFFFFF"/>
        </w:rPr>
        <w:t xml:space="preserve"> - Rel.</w:t>
      </w:r>
      <w:r w:rsidRPr="007C724B">
        <w:rPr>
          <w:rFonts w:ascii="Arial" w:hAnsi="Arial" w:cs="Arial"/>
          <w:sz w:val="20"/>
          <w:szCs w:val="20"/>
          <w:shd w:val="clear" w:color="auto" w:fill="FFFFFF"/>
        </w:rPr>
        <w:t xml:space="preserve"> Conselheiro Fabio de Souza Camargo</w:t>
      </w:r>
      <w:r w:rsidRPr="003951FB">
        <w:rPr>
          <w:rFonts w:ascii="Arial" w:hAnsi="Arial" w:cs="Arial"/>
          <w:sz w:val="20"/>
          <w:szCs w:val="20"/>
          <w:shd w:val="clear" w:color="auto" w:fill="FFFFFF"/>
        </w:rPr>
        <w:t>.</w:t>
      </w:r>
    </w:p>
    <w:p w:rsidR="0026510B" w:rsidRPr="0026510B" w:rsidRDefault="0026510B" w:rsidP="00816942">
      <w:pPr>
        <w:autoSpaceDE w:val="0"/>
        <w:autoSpaceDN w:val="0"/>
        <w:adjustRightInd w:val="0"/>
        <w:spacing w:after="0"/>
        <w:jc w:val="both"/>
        <w:rPr>
          <w:rFonts w:ascii="Arial" w:hAnsi="Arial" w:cs="Arial"/>
          <w:color w:val="000000"/>
          <w:sz w:val="20"/>
          <w:szCs w:val="20"/>
          <w:shd w:val="clear" w:color="auto" w:fill="FFFFFF"/>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0B2FD9">
      <w:pPr>
        <w:spacing w:after="0"/>
        <w:jc w:val="both"/>
        <w:rPr>
          <w:rFonts w:ascii="Arial" w:hAnsi="Arial" w:cs="Arial"/>
          <w:b/>
          <w:color w:val="000000"/>
          <w:sz w:val="20"/>
          <w:szCs w:val="20"/>
        </w:rPr>
      </w:pPr>
    </w:p>
    <w:p w:rsidR="000B2FD9" w:rsidRPr="0022060B" w:rsidRDefault="000B2FD9" w:rsidP="000B2FD9">
      <w:pPr>
        <w:spacing w:after="0"/>
        <w:jc w:val="both"/>
        <w:rPr>
          <w:rFonts w:ascii="Arial" w:hAnsi="Arial" w:cs="Arial"/>
          <w:b/>
          <w:color w:val="000000"/>
          <w:sz w:val="20"/>
          <w:szCs w:val="20"/>
        </w:rPr>
      </w:pPr>
      <w:r w:rsidRPr="0022060B">
        <w:rPr>
          <w:rFonts w:ascii="Arial" w:hAnsi="Arial" w:cs="Arial"/>
          <w:b/>
          <w:color w:val="000000"/>
          <w:sz w:val="20"/>
          <w:szCs w:val="20"/>
        </w:rPr>
        <w:t>Sup</w:t>
      </w:r>
      <w:r>
        <w:rPr>
          <w:rFonts w:ascii="Arial" w:hAnsi="Arial" w:cs="Arial"/>
          <w:b/>
          <w:color w:val="000000"/>
          <w:sz w:val="20"/>
          <w:szCs w:val="20"/>
        </w:rPr>
        <w:t>remo Tribunal Federal</w:t>
      </w:r>
      <w:r w:rsidRPr="0022060B">
        <w:rPr>
          <w:rFonts w:ascii="Arial" w:hAnsi="Arial" w:cs="Arial"/>
          <w:b/>
          <w:color w:val="000000"/>
          <w:sz w:val="20"/>
          <w:szCs w:val="20"/>
        </w:rPr>
        <w:t>:</w:t>
      </w:r>
    </w:p>
    <w:p w:rsidR="00601974" w:rsidRPr="00487EE8" w:rsidRDefault="008676F7" w:rsidP="008676F7">
      <w:pPr>
        <w:spacing w:after="0"/>
        <w:jc w:val="both"/>
        <w:rPr>
          <w:rFonts w:ascii="Arial" w:hAnsi="Arial" w:cs="Arial"/>
          <w:b/>
          <w:sz w:val="20"/>
          <w:szCs w:val="20"/>
        </w:rPr>
      </w:pPr>
      <w:r>
        <w:rPr>
          <w:rFonts w:ascii="Tahoma" w:hAnsi="Tahoma" w:cs="Tahoma"/>
          <w:b/>
          <w:bCs/>
          <w:color w:val="587E93"/>
          <w:sz w:val="17"/>
          <w:szCs w:val="17"/>
          <w:shd w:val="clear" w:color="auto" w:fill="FFFFFF"/>
        </w:rPr>
        <w:br/>
      </w:r>
      <w:r w:rsidRPr="00487EE8">
        <w:rPr>
          <w:rFonts w:ascii="Arial" w:hAnsi="Arial" w:cs="Arial"/>
          <w:b/>
          <w:bCs/>
          <w:sz w:val="20"/>
          <w:szCs w:val="20"/>
          <w:shd w:val="clear" w:color="auto" w:fill="FFFFFF"/>
        </w:rPr>
        <w:t xml:space="preserve">Atividade parlamentar e o direito à informação - </w:t>
      </w:r>
      <w:hyperlink r:id="rId14" w:history="1">
        <w:r w:rsidRPr="00487EE8">
          <w:rPr>
            <w:rStyle w:val="Hyperlink"/>
            <w:rFonts w:ascii="Arial" w:hAnsi="Arial" w:cs="Arial"/>
            <w:b/>
            <w:sz w:val="20"/>
            <w:szCs w:val="20"/>
            <w:shd w:val="clear" w:color="auto" w:fill="FFFFFF"/>
          </w:rPr>
          <w:t>RE 865401/MG</w:t>
        </w:r>
      </w:hyperlink>
      <w:r w:rsidRPr="00487EE8">
        <w:rPr>
          <w:rFonts w:ascii="Arial" w:hAnsi="Arial" w:cs="Arial"/>
          <w:b/>
          <w:bCs/>
          <w:sz w:val="20"/>
          <w:szCs w:val="20"/>
          <w:shd w:val="clear" w:color="auto" w:fill="FFFFFF"/>
        </w:rPr>
        <w:t xml:space="preserve">, rel. Min. Dias </w:t>
      </w:r>
      <w:proofErr w:type="spellStart"/>
      <w:r w:rsidRPr="00487EE8">
        <w:rPr>
          <w:rFonts w:ascii="Arial" w:hAnsi="Arial" w:cs="Arial"/>
          <w:b/>
          <w:bCs/>
          <w:sz w:val="20"/>
          <w:szCs w:val="20"/>
          <w:shd w:val="clear" w:color="auto" w:fill="FFFFFF"/>
        </w:rPr>
        <w:t>Toffoli</w:t>
      </w:r>
      <w:proofErr w:type="spellEnd"/>
      <w:r w:rsidRPr="00487EE8">
        <w:rPr>
          <w:rFonts w:ascii="Arial" w:hAnsi="Arial" w:cs="Arial"/>
          <w:b/>
          <w:bCs/>
          <w:sz w:val="20"/>
          <w:szCs w:val="20"/>
          <w:shd w:val="clear" w:color="auto" w:fill="FFFFFF"/>
        </w:rPr>
        <w:t>, julgamento em 25.4.2018 (RE-865401).</w:t>
      </w:r>
    </w:p>
    <w:p w:rsidR="00543DF0" w:rsidRDefault="00543DF0" w:rsidP="00816942">
      <w:pPr>
        <w:spacing w:after="0"/>
        <w:rPr>
          <w:rFonts w:ascii="Arial" w:hAnsi="Arial" w:cs="Arial"/>
          <w:b/>
          <w:color w:val="000000"/>
          <w:sz w:val="20"/>
          <w:szCs w:val="20"/>
        </w:rPr>
      </w:pPr>
    </w:p>
    <w:p w:rsidR="00487EE8" w:rsidRDefault="00487EE8" w:rsidP="00487EE8">
      <w:pPr>
        <w:spacing w:after="0"/>
        <w:jc w:val="both"/>
        <w:rPr>
          <w:rFonts w:ascii="Arial" w:hAnsi="Arial" w:cs="Arial"/>
          <w:sz w:val="20"/>
          <w:szCs w:val="20"/>
          <w:shd w:val="clear" w:color="auto" w:fill="FFFFFF"/>
        </w:rPr>
      </w:pPr>
      <w:r w:rsidRPr="00487EE8">
        <w:rPr>
          <w:rFonts w:ascii="Arial" w:hAnsi="Arial" w:cs="Arial"/>
          <w:sz w:val="20"/>
          <w:szCs w:val="20"/>
          <w:shd w:val="clear" w:color="auto" w:fill="FFFFFF"/>
        </w:rPr>
        <w:t xml:space="preserve">O Plenário deu provimento </w:t>
      </w:r>
      <w:proofErr w:type="spellStart"/>
      <w:r w:rsidRPr="00487EE8">
        <w:rPr>
          <w:rFonts w:ascii="Arial" w:hAnsi="Arial" w:cs="Arial"/>
          <w:sz w:val="20"/>
          <w:szCs w:val="20"/>
          <w:shd w:val="clear" w:color="auto" w:fill="FFFFFF"/>
        </w:rPr>
        <w:t>a</w:t>
      </w:r>
      <w:proofErr w:type="spellEnd"/>
      <w:r w:rsidRPr="00487EE8">
        <w:rPr>
          <w:rFonts w:ascii="Arial" w:hAnsi="Arial" w:cs="Arial"/>
          <w:sz w:val="20"/>
          <w:szCs w:val="20"/>
          <w:shd w:val="clear" w:color="auto" w:fill="FFFFFF"/>
        </w:rPr>
        <w:t xml:space="preserve"> recurso extraordinário e fixou a seguinte tese de repercussão geral (Tema 832): "O parlamentar, na condição de cidadão, pode exercer plenamente seu direito fundamental de acesso a informações de interesse pessoal ou coletivo, nos termos do art. 5º, inciso XXXIII, da Constituição Federal (CF) e das normas de regência desse direito".</w:t>
      </w:r>
      <w:r w:rsidRPr="00487EE8">
        <w:rPr>
          <w:rFonts w:ascii="Arial" w:hAnsi="Arial" w:cs="Arial"/>
          <w:sz w:val="20"/>
          <w:szCs w:val="20"/>
        </w:rPr>
        <w:br/>
      </w:r>
      <w:r w:rsidRPr="00487EE8">
        <w:rPr>
          <w:rFonts w:ascii="Arial" w:hAnsi="Arial" w:cs="Arial"/>
          <w:sz w:val="20"/>
          <w:szCs w:val="20"/>
        </w:rPr>
        <w:br/>
      </w:r>
      <w:r w:rsidRPr="00487EE8">
        <w:rPr>
          <w:rFonts w:ascii="Arial" w:hAnsi="Arial" w:cs="Arial"/>
          <w:sz w:val="20"/>
          <w:szCs w:val="20"/>
          <w:shd w:val="clear" w:color="auto" w:fill="FFFFFF"/>
        </w:rPr>
        <w:t>O Tribunal entendeu que o parlamentar, na qualidade de cidadão, não pode ter cerceado o exercício do seu direito de acesso, via requerimento administrativo ou judicial, a documentos e informações sobre a gestão pública, desde que não estejam, excepcionalmente, sob regime de sigilo ou sujeitos à aprovação de Comissão Parlamentar de Inquérito (CPI). O fato de as casas legislativas, em determinadas situações, agirem de forma colegiada, por intermédio de seus órgãos, não afasta, tampouco restringe, os direitos inerentes ao parlamentar como indivíduo.</w:t>
      </w:r>
    </w:p>
    <w:p w:rsidR="0069619A" w:rsidRPr="00487EE8" w:rsidRDefault="0069619A" w:rsidP="00487EE8">
      <w:pPr>
        <w:spacing w:after="0"/>
        <w:jc w:val="both"/>
        <w:rPr>
          <w:rFonts w:ascii="Arial" w:hAnsi="Arial" w:cs="Arial"/>
          <w:b/>
          <w:sz w:val="20"/>
          <w:szCs w:val="20"/>
        </w:rPr>
      </w:pPr>
    </w:p>
    <w:p w:rsidR="000800D1" w:rsidRPr="00DB558E"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091A49" w:rsidRDefault="00091A49" w:rsidP="00C64425">
      <w:pPr>
        <w:widowControl w:val="0"/>
        <w:autoSpaceDE w:val="0"/>
        <w:autoSpaceDN w:val="0"/>
        <w:jc w:val="both"/>
      </w:pPr>
    </w:p>
    <w:p w:rsidR="00131BA8" w:rsidRPr="005D633E" w:rsidRDefault="0057031C" w:rsidP="00C64425">
      <w:pPr>
        <w:widowControl w:val="0"/>
        <w:autoSpaceDE w:val="0"/>
        <w:autoSpaceDN w:val="0"/>
        <w:jc w:val="both"/>
        <w:rPr>
          <w:rFonts w:ascii="Arial" w:hAnsi="Arial" w:cs="Arial"/>
          <w:b/>
          <w:sz w:val="20"/>
          <w:szCs w:val="20"/>
        </w:rPr>
      </w:pPr>
      <w:hyperlink r:id="rId15" w:history="1">
        <w:r w:rsidR="00131BA8" w:rsidRPr="005D633E">
          <w:rPr>
            <w:rStyle w:val="Hyperlink"/>
            <w:rFonts w:ascii="Arial" w:hAnsi="Arial"/>
            <w:b/>
            <w:sz w:val="20"/>
            <w:szCs w:val="20"/>
          </w:rPr>
          <w:t>Acórdão 2004/2018</w:t>
        </w:r>
        <w:r w:rsidR="005D633E" w:rsidRPr="005D633E">
          <w:rPr>
            <w:rStyle w:val="Hyperlink"/>
            <w:rFonts w:ascii="Arial" w:hAnsi="Arial"/>
            <w:b/>
            <w:sz w:val="20"/>
            <w:szCs w:val="20"/>
          </w:rPr>
          <w:t xml:space="preserve"> - </w:t>
        </w:r>
        <w:r w:rsidR="00131BA8" w:rsidRPr="005D633E">
          <w:rPr>
            <w:rStyle w:val="Hyperlink"/>
            <w:rFonts w:ascii="Arial" w:hAnsi="Arial"/>
            <w:b/>
            <w:sz w:val="20"/>
            <w:szCs w:val="20"/>
          </w:rPr>
          <w:t>Primeira Câmara</w:t>
        </w:r>
      </w:hyperlink>
      <w:r w:rsidR="00131BA8" w:rsidRPr="005D633E">
        <w:rPr>
          <w:rFonts w:ascii="Arial" w:hAnsi="Arial"/>
          <w:b/>
          <w:sz w:val="20"/>
          <w:szCs w:val="20"/>
        </w:rPr>
        <w:t xml:space="preserve"> (Representação, Relator Ministro Walton Alencar Rodrigues)</w:t>
      </w:r>
    </w:p>
    <w:p w:rsidR="00131BA8" w:rsidRPr="005D633E" w:rsidRDefault="00131BA8" w:rsidP="00C64425">
      <w:pPr>
        <w:jc w:val="both"/>
        <w:rPr>
          <w:rFonts w:ascii="Arial" w:hAnsi="Arial" w:cs="Arial"/>
          <w:b/>
          <w:sz w:val="20"/>
          <w:szCs w:val="20"/>
        </w:rPr>
      </w:pPr>
      <w:r w:rsidRPr="005D633E">
        <w:rPr>
          <w:rFonts w:ascii="Arial" w:hAnsi="Arial"/>
          <w:b/>
          <w:sz w:val="20"/>
          <w:szCs w:val="20"/>
        </w:rPr>
        <w:t>Licitação. Proposta. Preço. Exequibilidade. Taxa de administração. Vale refeição. Combustível.</w:t>
      </w:r>
    </w:p>
    <w:p w:rsidR="00131BA8" w:rsidRPr="00272FDC" w:rsidRDefault="00131BA8" w:rsidP="00C64425">
      <w:pPr>
        <w:pStyle w:val="TCU-Epgrafe"/>
        <w:spacing w:after="200" w:line="276" w:lineRule="auto"/>
        <w:ind w:left="0"/>
        <w:rPr>
          <w:rFonts w:ascii="Arial" w:hAnsi="Arial"/>
          <w:sz w:val="20"/>
        </w:rPr>
      </w:pPr>
      <w:r w:rsidRPr="00272FDC">
        <w:rPr>
          <w:rFonts w:ascii="Arial" w:hAnsi="Arial"/>
          <w:sz w:val="20"/>
        </w:rPr>
        <w:lastRenderedPageBreak/>
        <w:t>Em licitações para operacionalização de vale-refeição, vale-alimentação, vale-combustível e cartão combustível, não se deve proibir o oferecimento de proposta de preço com taxa de administração zero ou negativa. Entretanto, em cada caso, deve ser avaliado se a proposta com taxa de administração negativa ou de valor zero é exequível, a partir de critérios previamente fixados no edital.</w:t>
      </w:r>
    </w:p>
    <w:p w:rsidR="00C64425" w:rsidRPr="00E541BC" w:rsidRDefault="0057031C" w:rsidP="00C64425">
      <w:pPr>
        <w:widowControl w:val="0"/>
        <w:autoSpaceDE w:val="0"/>
        <w:autoSpaceDN w:val="0"/>
        <w:jc w:val="both"/>
        <w:rPr>
          <w:rFonts w:ascii="Arial" w:hAnsi="Arial" w:cs="Arial"/>
          <w:b/>
          <w:sz w:val="20"/>
          <w:szCs w:val="20"/>
        </w:rPr>
      </w:pPr>
      <w:hyperlink r:id="rId16" w:history="1">
        <w:r w:rsidR="00C64425" w:rsidRPr="00E541BC">
          <w:rPr>
            <w:rStyle w:val="Hyperlink"/>
            <w:rFonts w:ascii="Arial" w:hAnsi="Arial" w:cs="Arial"/>
            <w:b/>
            <w:sz w:val="20"/>
            <w:szCs w:val="20"/>
          </w:rPr>
          <w:t>Acórdão 602/2018</w:t>
        </w:r>
        <w:r w:rsidR="00E541BC" w:rsidRPr="00E541BC">
          <w:rPr>
            <w:rStyle w:val="Hyperlink"/>
            <w:rFonts w:ascii="Arial" w:hAnsi="Arial" w:cs="Arial"/>
            <w:b/>
            <w:sz w:val="20"/>
            <w:szCs w:val="20"/>
          </w:rPr>
          <w:t xml:space="preserve"> - </w:t>
        </w:r>
        <w:r w:rsidR="00C64425" w:rsidRPr="00E541BC">
          <w:rPr>
            <w:rStyle w:val="Hyperlink"/>
            <w:rFonts w:ascii="Arial" w:hAnsi="Arial" w:cs="Arial"/>
            <w:b/>
            <w:sz w:val="20"/>
            <w:szCs w:val="20"/>
          </w:rPr>
          <w:t>Plenário</w:t>
        </w:r>
      </w:hyperlink>
      <w:r w:rsidR="00C64425" w:rsidRPr="00E541BC">
        <w:rPr>
          <w:rFonts w:ascii="Arial" w:hAnsi="Arial" w:cs="Arial"/>
          <w:b/>
          <w:sz w:val="20"/>
          <w:szCs w:val="20"/>
        </w:rPr>
        <w:t xml:space="preserve"> (Representação, Relator Ministro Vital do Rêgo)</w:t>
      </w:r>
    </w:p>
    <w:p w:rsidR="00C64425" w:rsidRPr="00E541BC" w:rsidRDefault="00C64425" w:rsidP="00C64425">
      <w:pPr>
        <w:jc w:val="both"/>
        <w:rPr>
          <w:rFonts w:ascii="Arial" w:hAnsi="Arial" w:cs="Arial"/>
          <w:b/>
          <w:sz w:val="20"/>
          <w:szCs w:val="20"/>
        </w:rPr>
      </w:pPr>
      <w:r w:rsidRPr="00E541BC">
        <w:rPr>
          <w:rFonts w:ascii="Arial" w:hAnsi="Arial" w:cs="Arial"/>
          <w:b/>
          <w:sz w:val="20"/>
          <w:szCs w:val="20"/>
        </w:rPr>
        <w:t>Licitação. Pregão. Intenção de recurso. Admissibilidade. Mérito. Antecipação.</w:t>
      </w:r>
    </w:p>
    <w:p w:rsidR="00C64425" w:rsidRPr="00272FDC" w:rsidRDefault="00C64425" w:rsidP="00C64425">
      <w:pPr>
        <w:pStyle w:val="TCU-Epgrafe"/>
        <w:spacing w:after="200" w:line="276" w:lineRule="auto"/>
        <w:ind w:left="0"/>
        <w:rPr>
          <w:rFonts w:ascii="Arial" w:hAnsi="Arial" w:cs="Arial"/>
          <w:sz w:val="20"/>
        </w:rPr>
      </w:pPr>
      <w:r w:rsidRPr="00272FDC">
        <w:rPr>
          <w:rFonts w:ascii="Arial" w:hAnsi="Arial" w:cs="Arial"/>
          <w:sz w:val="20"/>
        </w:rPr>
        <w:t xml:space="preserve">No pregão, eletrônico ou presencial, o juízo de admissibilidade das intenções de recurso deve avaliar tão somente a presença dos pressupostos recursais (sucumbência, tempestividade, legitimidade, interesse e motivação), sem adentrar, antecipadamente, no mérito da questão. </w:t>
      </w:r>
    </w:p>
    <w:p w:rsidR="00F02472" w:rsidRPr="00850094" w:rsidRDefault="0057031C" w:rsidP="00F02472">
      <w:pPr>
        <w:widowControl w:val="0"/>
        <w:autoSpaceDE w:val="0"/>
        <w:autoSpaceDN w:val="0"/>
        <w:jc w:val="both"/>
        <w:rPr>
          <w:rFonts w:ascii="Arial" w:hAnsi="Arial" w:cs="Arial"/>
          <w:b/>
          <w:sz w:val="20"/>
          <w:szCs w:val="20"/>
        </w:rPr>
      </w:pPr>
      <w:hyperlink r:id="rId17" w:history="1">
        <w:r w:rsidR="00F02472" w:rsidRPr="00850094">
          <w:rPr>
            <w:rStyle w:val="Hyperlink"/>
            <w:rFonts w:ascii="Arial" w:hAnsi="Arial"/>
            <w:b/>
            <w:sz w:val="20"/>
            <w:szCs w:val="20"/>
          </w:rPr>
          <w:t xml:space="preserve">Acórdão 622/2018 </w:t>
        </w:r>
        <w:r w:rsidR="00850094" w:rsidRPr="00850094">
          <w:rPr>
            <w:rStyle w:val="Hyperlink"/>
            <w:rFonts w:ascii="Arial" w:hAnsi="Arial"/>
            <w:b/>
            <w:sz w:val="20"/>
            <w:szCs w:val="20"/>
          </w:rPr>
          <w:t xml:space="preserve">- </w:t>
        </w:r>
        <w:r w:rsidR="00F02472" w:rsidRPr="00850094">
          <w:rPr>
            <w:rStyle w:val="Hyperlink"/>
            <w:rFonts w:ascii="Arial" w:hAnsi="Arial"/>
            <w:b/>
            <w:sz w:val="20"/>
            <w:szCs w:val="20"/>
          </w:rPr>
          <w:t>Plenário</w:t>
        </w:r>
      </w:hyperlink>
      <w:r w:rsidR="00F02472" w:rsidRPr="00850094">
        <w:rPr>
          <w:rFonts w:ascii="Arial" w:hAnsi="Arial"/>
          <w:b/>
          <w:sz w:val="20"/>
          <w:szCs w:val="20"/>
        </w:rPr>
        <w:t xml:space="preserve"> (Auditoria, Relator Ministro-Substituto Augusto Sherman)</w:t>
      </w:r>
    </w:p>
    <w:p w:rsidR="00F02472" w:rsidRPr="00850094" w:rsidRDefault="00F02472" w:rsidP="00F02472">
      <w:pPr>
        <w:jc w:val="both"/>
        <w:rPr>
          <w:rFonts w:ascii="Arial" w:hAnsi="Arial" w:cs="Arial"/>
          <w:b/>
          <w:sz w:val="20"/>
          <w:szCs w:val="20"/>
        </w:rPr>
      </w:pPr>
      <w:r w:rsidRPr="00850094">
        <w:rPr>
          <w:rFonts w:ascii="Arial" w:hAnsi="Arial"/>
          <w:b/>
          <w:sz w:val="20"/>
          <w:szCs w:val="20"/>
        </w:rPr>
        <w:t>Licitação. RDC. Proposta técnica. Obras e serviços de engenharia. Licitação de técnica e preço.</w:t>
      </w:r>
    </w:p>
    <w:p w:rsidR="00F02472" w:rsidRPr="00272FDC" w:rsidRDefault="00F02472" w:rsidP="00F02472">
      <w:pPr>
        <w:jc w:val="both"/>
        <w:rPr>
          <w:sz w:val="20"/>
          <w:szCs w:val="20"/>
        </w:rPr>
      </w:pPr>
      <w:r w:rsidRPr="00272FDC">
        <w:rPr>
          <w:rFonts w:ascii="Arial" w:hAnsi="Arial"/>
          <w:sz w:val="20"/>
          <w:szCs w:val="20"/>
        </w:rPr>
        <w:t xml:space="preserve">Nas licitações de obras e serviços de engenharia, realizadas sob o Regime Diferenciado de Contratações Públicas - RDC, quando adotado o critério de julgamento de técnica e preço, deve-se pontuar a proposta técnica de acordo com a valoração da metodologia ou técnica construtiva a ser empregada, e não, somente, pontuar a experiência anterior das empresas interessadas (art. 9º, § 3º, e art. 20, § 1º, incisos I e II, ambos da </w:t>
      </w:r>
      <w:hyperlink r:id="rId18" w:history="1">
        <w:r w:rsidRPr="00272FDC">
          <w:rPr>
            <w:rStyle w:val="Hyperlink"/>
            <w:rFonts w:ascii="Arial" w:hAnsi="Arial"/>
            <w:color w:val="0000FF" w:themeColor="hyperlink"/>
            <w:sz w:val="20"/>
            <w:szCs w:val="20"/>
          </w:rPr>
          <w:t>Lei 12.462/2011</w:t>
        </w:r>
      </w:hyperlink>
      <w:r w:rsidRPr="00272FDC">
        <w:rPr>
          <w:rFonts w:ascii="Arial" w:hAnsi="Arial"/>
          <w:sz w:val="20"/>
          <w:szCs w:val="20"/>
        </w:rPr>
        <w:t>).</w:t>
      </w:r>
    </w:p>
    <w:p w:rsidR="00EE16D0" w:rsidRPr="00272FDC" w:rsidRDefault="0057031C" w:rsidP="00EE16D0">
      <w:pPr>
        <w:widowControl w:val="0"/>
        <w:autoSpaceDE w:val="0"/>
        <w:autoSpaceDN w:val="0"/>
        <w:jc w:val="both"/>
        <w:rPr>
          <w:rFonts w:ascii="Arial" w:hAnsi="Arial" w:cs="Arial"/>
          <w:b/>
          <w:sz w:val="20"/>
          <w:szCs w:val="20"/>
        </w:rPr>
      </w:pPr>
      <w:hyperlink r:id="rId19" w:history="1">
        <w:r w:rsidR="00EE16D0" w:rsidRPr="00817C73">
          <w:rPr>
            <w:rStyle w:val="Hyperlink"/>
            <w:rFonts w:ascii="Arial" w:hAnsi="Arial" w:cs="Arial"/>
            <w:b/>
            <w:sz w:val="20"/>
            <w:szCs w:val="20"/>
          </w:rPr>
          <w:t xml:space="preserve">Acórdão 2153/2018 </w:t>
        </w:r>
        <w:r w:rsidR="00817C73" w:rsidRPr="00817C73">
          <w:rPr>
            <w:rStyle w:val="Hyperlink"/>
            <w:rFonts w:ascii="Arial" w:hAnsi="Arial" w:cs="Arial"/>
            <w:b/>
            <w:sz w:val="20"/>
            <w:szCs w:val="20"/>
          </w:rPr>
          <w:t xml:space="preserve">- </w:t>
        </w:r>
        <w:r w:rsidR="00EE16D0" w:rsidRPr="00817C73">
          <w:rPr>
            <w:rStyle w:val="Hyperlink"/>
            <w:rFonts w:ascii="Arial" w:hAnsi="Arial" w:cs="Arial"/>
            <w:b/>
            <w:sz w:val="20"/>
            <w:szCs w:val="20"/>
          </w:rPr>
          <w:t>Primeira Câmara</w:t>
        </w:r>
      </w:hyperlink>
      <w:r w:rsidR="00EE16D0" w:rsidRPr="00272FDC">
        <w:rPr>
          <w:rFonts w:ascii="Arial" w:hAnsi="Arial" w:cs="Arial"/>
          <w:b/>
          <w:sz w:val="20"/>
          <w:szCs w:val="20"/>
        </w:rPr>
        <w:t xml:space="preserve"> </w:t>
      </w:r>
      <w:r w:rsidR="00EE16D0" w:rsidRPr="00272FDC">
        <w:rPr>
          <w:rFonts w:ascii="Arial" w:hAnsi="Arial" w:cs="Arial"/>
          <w:sz w:val="20"/>
          <w:szCs w:val="20"/>
        </w:rPr>
        <w:t>(Pensão Civil, Relator Ministro Bruno Dantas)</w:t>
      </w:r>
    </w:p>
    <w:p w:rsidR="00EE16D0" w:rsidRPr="00817C73" w:rsidRDefault="00EE16D0" w:rsidP="00EE16D0">
      <w:pPr>
        <w:jc w:val="both"/>
        <w:rPr>
          <w:rFonts w:ascii="Arial" w:hAnsi="Arial" w:cs="Arial"/>
          <w:b/>
          <w:sz w:val="20"/>
          <w:szCs w:val="20"/>
        </w:rPr>
      </w:pPr>
      <w:r w:rsidRPr="00817C73">
        <w:rPr>
          <w:rFonts w:ascii="Arial" w:hAnsi="Arial" w:cs="Arial"/>
          <w:b/>
          <w:sz w:val="20"/>
          <w:szCs w:val="20"/>
        </w:rPr>
        <w:t>Pessoal. Ressarcimento administrativo. Dispensa. Pensão. Informação. Omissão.</w:t>
      </w:r>
    </w:p>
    <w:p w:rsidR="00EE16D0" w:rsidRPr="00272FDC" w:rsidRDefault="00EE16D0" w:rsidP="00EE16D0">
      <w:pPr>
        <w:shd w:val="clear" w:color="auto" w:fill="FFFFFF"/>
        <w:jc w:val="both"/>
        <w:rPr>
          <w:rFonts w:ascii="Arial" w:hAnsi="Arial" w:cs="Arial"/>
          <w:sz w:val="20"/>
          <w:szCs w:val="20"/>
          <w:lang w:eastAsia="pt-BR"/>
        </w:rPr>
      </w:pPr>
      <w:r w:rsidRPr="00272FDC">
        <w:rPr>
          <w:rFonts w:ascii="Arial" w:hAnsi="Arial" w:cs="Arial"/>
          <w:sz w:val="20"/>
          <w:szCs w:val="20"/>
          <w:lang w:eastAsia="pt-BR"/>
        </w:rPr>
        <w:t xml:space="preserve">Configura má-fé do interessado a omissão de informação sabidamente relevante com a intenção de induzir a erro a Administração na concessão de benefício </w:t>
      </w:r>
      <w:proofErr w:type="spellStart"/>
      <w:r w:rsidRPr="00272FDC">
        <w:rPr>
          <w:rFonts w:ascii="Arial" w:hAnsi="Arial" w:cs="Arial"/>
          <w:sz w:val="20"/>
          <w:szCs w:val="20"/>
          <w:lang w:eastAsia="pt-BR"/>
        </w:rPr>
        <w:t>pensional</w:t>
      </w:r>
      <w:proofErr w:type="spellEnd"/>
      <w:r w:rsidRPr="00272FDC">
        <w:rPr>
          <w:rFonts w:ascii="Arial" w:hAnsi="Arial" w:cs="Arial"/>
          <w:sz w:val="20"/>
          <w:szCs w:val="20"/>
          <w:lang w:eastAsia="pt-BR"/>
        </w:rPr>
        <w:t>. Nesse caso, não se aplica a Súmula TCU 106, ensejando a obrigatoriedade de devolução ao erário de toda importância indevidamente recebida.</w:t>
      </w:r>
    </w:p>
    <w:p w:rsidR="00D516C3" w:rsidRPr="00272FDC" w:rsidRDefault="0057031C" w:rsidP="00D516C3">
      <w:pPr>
        <w:widowControl w:val="0"/>
        <w:autoSpaceDE w:val="0"/>
        <w:autoSpaceDN w:val="0"/>
        <w:jc w:val="both"/>
        <w:rPr>
          <w:rFonts w:ascii="Arial" w:hAnsi="Arial" w:cs="Arial"/>
          <w:b/>
          <w:sz w:val="20"/>
          <w:szCs w:val="20"/>
        </w:rPr>
      </w:pPr>
      <w:hyperlink r:id="rId20" w:history="1">
        <w:r w:rsidR="00D516C3" w:rsidRPr="00C017D8">
          <w:rPr>
            <w:rStyle w:val="Hyperlink"/>
            <w:rFonts w:ascii="Arial" w:hAnsi="Arial" w:cs="Arial"/>
            <w:b/>
            <w:sz w:val="20"/>
            <w:szCs w:val="20"/>
          </w:rPr>
          <w:t xml:space="preserve">Acórdão 2179/2018 </w:t>
        </w:r>
        <w:r w:rsidR="00C017D8" w:rsidRPr="00C017D8">
          <w:rPr>
            <w:rStyle w:val="Hyperlink"/>
            <w:rFonts w:ascii="Arial" w:hAnsi="Arial" w:cs="Arial"/>
            <w:b/>
            <w:sz w:val="20"/>
            <w:szCs w:val="20"/>
          </w:rPr>
          <w:t xml:space="preserve">- </w:t>
        </w:r>
        <w:r w:rsidR="00D516C3" w:rsidRPr="00C017D8">
          <w:rPr>
            <w:rStyle w:val="Hyperlink"/>
            <w:rFonts w:ascii="Arial" w:hAnsi="Arial" w:cs="Arial"/>
            <w:b/>
            <w:sz w:val="20"/>
            <w:szCs w:val="20"/>
          </w:rPr>
          <w:t>Primeira Câmara</w:t>
        </w:r>
      </w:hyperlink>
      <w:r w:rsidR="00D516C3" w:rsidRPr="00272FDC">
        <w:rPr>
          <w:rFonts w:ascii="Arial" w:hAnsi="Arial" w:cs="Arial"/>
          <w:b/>
          <w:sz w:val="20"/>
          <w:szCs w:val="20"/>
        </w:rPr>
        <w:t xml:space="preserve"> </w:t>
      </w:r>
      <w:r w:rsidR="00D516C3" w:rsidRPr="00272FDC">
        <w:rPr>
          <w:rFonts w:ascii="Arial" w:hAnsi="Arial" w:cs="Arial"/>
          <w:sz w:val="20"/>
          <w:szCs w:val="20"/>
        </w:rPr>
        <w:t>(Tomada de Contas Especial, Relator Ministro Walton Alencar Rodrigues)</w:t>
      </w:r>
    </w:p>
    <w:p w:rsidR="00D516C3" w:rsidRPr="00817C73" w:rsidRDefault="00D516C3" w:rsidP="00D516C3">
      <w:pPr>
        <w:jc w:val="both"/>
        <w:rPr>
          <w:rFonts w:ascii="Arial" w:hAnsi="Arial" w:cs="Arial"/>
          <w:b/>
          <w:sz w:val="20"/>
          <w:szCs w:val="20"/>
        </w:rPr>
      </w:pPr>
      <w:r w:rsidRPr="00817C73">
        <w:rPr>
          <w:rFonts w:ascii="Arial" w:hAnsi="Arial" w:cs="Arial"/>
          <w:b/>
          <w:sz w:val="20"/>
          <w:szCs w:val="20"/>
        </w:rPr>
        <w:t>Responsabilidade. Convênio. Gestor sucessor. Obra pública. Recebimento definitivo. Aceitação. Declaração. Falsidade.</w:t>
      </w:r>
    </w:p>
    <w:p w:rsidR="00151256" w:rsidRPr="00272FDC" w:rsidRDefault="00D516C3" w:rsidP="00151256">
      <w:pPr>
        <w:pStyle w:val="TCU-Epgrafe"/>
        <w:spacing w:after="200" w:line="276" w:lineRule="auto"/>
        <w:ind w:left="0"/>
        <w:rPr>
          <w:rFonts w:ascii="Arial" w:hAnsi="Arial" w:cs="Arial"/>
          <w:sz w:val="20"/>
        </w:rPr>
      </w:pPr>
      <w:r w:rsidRPr="00272FDC">
        <w:rPr>
          <w:rFonts w:ascii="Arial" w:hAnsi="Arial" w:cs="Arial"/>
          <w:sz w:val="20"/>
        </w:rPr>
        <w:t xml:space="preserve">A apresentação, pelo prefeito sucessor, de termo de aceitação definitiva de obra conveniada, com declaração falsa de plena e correta execução do objeto, deixando de adotar as medidas a seu cargo para resguardo do patrimônio público, nos termos da Súmula TCU 230, torna-o responsável não apenas pela movimentação de saldo da conta específica do ajuste na sua </w:t>
      </w:r>
      <w:r w:rsidRPr="00272FDC">
        <w:rPr>
          <w:rFonts w:ascii="Arial" w:hAnsi="Arial" w:cs="Arial"/>
          <w:sz w:val="20"/>
        </w:rPr>
        <w:lastRenderedPageBreak/>
        <w:t>gestão, mas solidário com o prefeito anterior por todo prejuízo ao erário constatado em razão de inexecução do objeto.</w:t>
      </w:r>
      <w:r w:rsidR="00151256" w:rsidRPr="00272FDC">
        <w:rPr>
          <w:rFonts w:ascii="Arial" w:hAnsi="Arial" w:cs="Arial"/>
          <w:sz w:val="20"/>
        </w:rPr>
        <w:t xml:space="preserve"> </w:t>
      </w:r>
    </w:p>
    <w:p w:rsidR="00D516C3" w:rsidRPr="00272FDC" w:rsidRDefault="0057031C" w:rsidP="00151256">
      <w:pPr>
        <w:pStyle w:val="TCU-Epgrafe"/>
        <w:spacing w:after="200" w:line="276" w:lineRule="auto"/>
        <w:ind w:left="0"/>
        <w:rPr>
          <w:rFonts w:ascii="Arial" w:hAnsi="Arial" w:cs="Arial"/>
          <w:b/>
          <w:sz w:val="20"/>
        </w:rPr>
      </w:pPr>
      <w:hyperlink r:id="rId21" w:history="1">
        <w:r w:rsidR="00D516C3" w:rsidRPr="00215CF1">
          <w:rPr>
            <w:rStyle w:val="Hyperlink"/>
            <w:rFonts w:ascii="Arial" w:hAnsi="Arial"/>
            <w:b/>
            <w:sz w:val="20"/>
          </w:rPr>
          <w:t>Acórdão 1456/2018</w:t>
        </w:r>
        <w:r w:rsidR="00215CF1" w:rsidRPr="00215CF1">
          <w:rPr>
            <w:rStyle w:val="Hyperlink"/>
            <w:rFonts w:ascii="Arial" w:hAnsi="Arial"/>
            <w:b/>
            <w:sz w:val="20"/>
          </w:rPr>
          <w:t xml:space="preserve"> - </w:t>
        </w:r>
        <w:r w:rsidR="00D516C3" w:rsidRPr="00215CF1">
          <w:rPr>
            <w:rStyle w:val="Hyperlink"/>
            <w:rFonts w:ascii="Arial" w:hAnsi="Arial"/>
            <w:b/>
            <w:sz w:val="20"/>
          </w:rPr>
          <w:t>Segunda Câmara</w:t>
        </w:r>
      </w:hyperlink>
      <w:r w:rsidR="00D516C3" w:rsidRPr="00272FDC">
        <w:rPr>
          <w:rFonts w:ascii="Arial" w:hAnsi="Arial"/>
          <w:b/>
          <w:sz w:val="20"/>
        </w:rPr>
        <w:t xml:space="preserve"> </w:t>
      </w:r>
      <w:r w:rsidR="00D516C3" w:rsidRPr="00272FDC">
        <w:rPr>
          <w:rFonts w:ascii="Arial" w:hAnsi="Arial"/>
          <w:sz w:val="20"/>
        </w:rPr>
        <w:t xml:space="preserve">(Admissão, Relator Ministro Augusto </w:t>
      </w:r>
      <w:proofErr w:type="spellStart"/>
      <w:r w:rsidR="00D516C3" w:rsidRPr="00272FDC">
        <w:rPr>
          <w:rFonts w:ascii="Arial" w:hAnsi="Arial"/>
          <w:sz w:val="20"/>
        </w:rPr>
        <w:t>Nardes</w:t>
      </w:r>
      <w:proofErr w:type="spellEnd"/>
      <w:r w:rsidR="00D516C3" w:rsidRPr="00272FDC">
        <w:rPr>
          <w:rFonts w:ascii="Arial" w:hAnsi="Arial"/>
          <w:sz w:val="20"/>
        </w:rPr>
        <w:t>)</w:t>
      </w:r>
    </w:p>
    <w:p w:rsidR="00D516C3" w:rsidRPr="00C017D8" w:rsidRDefault="00D516C3" w:rsidP="00D516C3">
      <w:pPr>
        <w:jc w:val="both"/>
        <w:rPr>
          <w:rFonts w:ascii="Arial" w:hAnsi="Arial" w:cs="Arial"/>
          <w:b/>
          <w:sz w:val="20"/>
          <w:szCs w:val="20"/>
        </w:rPr>
      </w:pPr>
      <w:r w:rsidRPr="00C017D8">
        <w:rPr>
          <w:rFonts w:ascii="Arial" w:hAnsi="Arial"/>
          <w:b/>
          <w:sz w:val="20"/>
          <w:szCs w:val="20"/>
        </w:rPr>
        <w:t>Pessoal. Admissão de pessoal. Princípio da ampla defesa. Estabilidade. Princípio do contraditório. Ato sujeito a registro. Negativa de registro.</w:t>
      </w:r>
    </w:p>
    <w:p w:rsidR="00D516C3" w:rsidRPr="00272FDC" w:rsidRDefault="00D516C3" w:rsidP="00D516C3">
      <w:pPr>
        <w:pStyle w:val="TCU-Epgrafe"/>
        <w:spacing w:after="200" w:line="276" w:lineRule="auto"/>
        <w:ind w:left="0"/>
        <w:rPr>
          <w:sz w:val="20"/>
        </w:rPr>
      </w:pPr>
      <w:r w:rsidRPr="00272FDC">
        <w:rPr>
          <w:rFonts w:ascii="Arial" w:hAnsi="Arial"/>
          <w:sz w:val="20"/>
        </w:rPr>
        <w:t>Diante de constatação que possa levar à negativa de registro de ato de admissão, caso o interessado já tenha adquirido estabilidade no serviço público, o TCU deve assegurar-lhe a oportunidade do contraditório e da ampla defesa.</w:t>
      </w:r>
    </w:p>
    <w:p w:rsidR="00151256" w:rsidRPr="00272FDC" w:rsidRDefault="0057031C" w:rsidP="00151256">
      <w:pPr>
        <w:widowControl w:val="0"/>
        <w:autoSpaceDE w:val="0"/>
        <w:autoSpaceDN w:val="0"/>
        <w:jc w:val="both"/>
        <w:rPr>
          <w:rFonts w:ascii="Arial" w:hAnsi="Arial" w:cs="Arial"/>
          <w:b/>
          <w:sz w:val="20"/>
          <w:szCs w:val="20"/>
        </w:rPr>
      </w:pPr>
      <w:hyperlink r:id="rId22" w:history="1">
        <w:r w:rsidR="00151256" w:rsidRPr="005A3079">
          <w:rPr>
            <w:rStyle w:val="Hyperlink"/>
            <w:rFonts w:ascii="Arial" w:hAnsi="Arial"/>
            <w:b/>
            <w:sz w:val="20"/>
            <w:szCs w:val="20"/>
          </w:rPr>
          <w:t>Acórdão 1460/2018</w:t>
        </w:r>
        <w:r w:rsidR="005A3079" w:rsidRPr="005A3079">
          <w:rPr>
            <w:rStyle w:val="Hyperlink"/>
            <w:rFonts w:ascii="Arial" w:hAnsi="Arial"/>
            <w:b/>
            <w:sz w:val="20"/>
            <w:szCs w:val="20"/>
          </w:rPr>
          <w:t xml:space="preserve"> - </w:t>
        </w:r>
        <w:r w:rsidR="00151256" w:rsidRPr="005A3079">
          <w:rPr>
            <w:rStyle w:val="Hyperlink"/>
            <w:rFonts w:ascii="Arial" w:hAnsi="Arial"/>
            <w:b/>
            <w:sz w:val="20"/>
            <w:szCs w:val="20"/>
          </w:rPr>
          <w:t>Segunda Câmara</w:t>
        </w:r>
      </w:hyperlink>
      <w:r w:rsidR="00151256" w:rsidRPr="00272FDC">
        <w:rPr>
          <w:rFonts w:ascii="Arial" w:hAnsi="Arial"/>
          <w:b/>
          <w:sz w:val="20"/>
          <w:szCs w:val="20"/>
        </w:rPr>
        <w:t xml:space="preserve"> </w:t>
      </w:r>
      <w:r w:rsidR="00151256" w:rsidRPr="00272FDC">
        <w:rPr>
          <w:rFonts w:ascii="Arial" w:hAnsi="Arial"/>
          <w:sz w:val="20"/>
          <w:szCs w:val="20"/>
        </w:rPr>
        <w:t>(Tomada de Contas Especial, Relator Ministro Aroldo Cedraz)</w:t>
      </w:r>
    </w:p>
    <w:p w:rsidR="00151256" w:rsidRPr="00C017D8" w:rsidRDefault="00151256" w:rsidP="00151256">
      <w:pPr>
        <w:jc w:val="both"/>
        <w:rPr>
          <w:rFonts w:ascii="Arial" w:hAnsi="Arial" w:cs="Arial"/>
          <w:b/>
          <w:sz w:val="20"/>
          <w:szCs w:val="20"/>
        </w:rPr>
      </w:pPr>
      <w:r w:rsidRPr="00C017D8">
        <w:rPr>
          <w:rFonts w:ascii="Arial" w:hAnsi="Arial"/>
          <w:b/>
          <w:sz w:val="20"/>
          <w:szCs w:val="20"/>
        </w:rPr>
        <w:t>Responsabilidade. Convênio. Execução física. Execução parcial. Débito. Redução.</w:t>
      </w:r>
    </w:p>
    <w:p w:rsidR="00151256" w:rsidRPr="00272FDC" w:rsidRDefault="00151256" w:rsidP="00151256">
      <w:pPr>
        <w:pStyle w:val="TCU-Epgrafe"/>
        <w:spacing w:after="200" w:line="276" w:lineRule="auto"/>
        <w:ind w:left="0"/>
        <w:rPr>
          <w:rFonts w:ascii="Arial" w:hAnsi="Arial"/>
          <w:sz w:val="20"/>
        </w:rPr>
      </w:pPr>
      <w:r w:rsidRPr="00272FDC">
        <w:rPr>
          <w:rFonts w:ascii="Arial" w:hAnsi="Arial"/>
          <w:sz w:val="20"/>
        </w:rPr>
        <w:t xml:space="preserve">Na hipótese de execução parcial do objeto, ocorrerá redução proporcional do débito somente quando a fração executada puder ser aproveitada para fins de atendimento aos objetivos do convênio. </w:t>
      </w:r>
    </w:p>
    <w:p w:rsidR="00151256" w:rsidRPr="00272FDC" w:rsidRDefault="0057031C" w:rsidP="00151256">
      <w:pPr>
        <w:pStyle w:val="TCU-Epgrafe"/>
        <w:spacing w:after="200" w:line="276" w:lineRule="auto"/>
        <w:ind w:left="0"/>
        <w:rPr>
          <w:rFonts w:ascii="Arial" w:hAnsi="Arial" w:cs="Arial"/>
          <w:b/>
          <w:sz w:val="20"/>
        </w:rPr>
      </w:pPr>
      <w:hyperlink r:id="rId23" w:history="1">
        <w:r w:rsidR="00151256" w:rsidRPr="00D67679">
          <w:rPr>
            <w:rStyle w:val="Hyperlink"/>
            <w:rFonts w:ascii="Arial" w:hAnsi="Arial"/>
            <w:b/>
            <w:sz w:val="20"/>
          </w:rPr>
          <w:t xml:space="preserve">Acórdão 1503/2018 </w:t>
        </w:r>
        <w:r w:rsidR="00C47340" w:rsidRPr="00D67679">
          <w:rPr>
            <w:rStyle w:val="Hyperlink"/>
            <w:rFonts w:ascii="Arial" w:hAnsi="Arial"/>
            <w:b/>
            <w:sz w:val="20"/>
          </w:rPr>
          <w:t xml:space="preserve">- </w:t>
        </w:r>
        <w:r w:rsidR="00151256" w:rsidRPr="00D67679">
          <w:rPr>
            <w:rStyle w:val="Hyperlink"/>
            <w:rFonts w:ascii="Arial" w:hAnsi="Arial"/>
            <w:b/>
            <w:sz w:val="20"/>
          </w:rPr>
          <w:t>Segunda Câmara</w:t>
        </w:r>
      </w:hyperlink>
      <w:r w:rsidR="00151256" w:rsidRPr="00272FDC">
        <w:rPr>
          <w:rFonts w:ascii="Arial" w:hAnsi="Arial"/>
          <w:b/>
          <w:sz w:val="20"/>
        </w:rPr>
        <w:t xml:space="preserve"> </w:t>
      </w:r>
      <w:r w:rsidR="00151256" w:rsidRPr="00272FDC">
        <w:rPr>
          <w:rFonts w:ascii="Arial" w:hAnsi="Arial"/>
          <w:sz w:val="20"/>
        </w:rPr>
        <w:t xml:space="preserve">(Tomada de Contas Especial, Relator Ministro-Substituto Marcos </w:t>
      </w:r>
      <w:proofErr w:type="spellStart"/>
      <w:r w:rsidR="00151256" w:rsidRPr="00272FDC">
        <w:rPr>
          <w:rFonts w:ascii="Arial" w:hAnsi="Arial"/>
          <w:sz w:val="20"/>
        </w:rPr>
        <w:t>Bemquerer</w:t>
      </w:r>
      <w:proofErr w:type="spellEnd"/>
      <w:r w:rsidR="00151256" w:rsidRPr="00272FDC">
        <w:rPr>
          <w:rFonts w:ascii="Arial" w:hAnsi="Arial"/>
          <w:sz w:val="20"/>
        </w:rPr>
        <w:t>)</w:t>
      </w:r>
    </w:p>
    <w:p w:rsidR="00151256" w:rsidRPr="00C017D8" w:rsidRDefault="00151256" w:rsidP="00151256">
      <w:pPr>
        <w:jc w:val="both"/>
        <w:rPr>
          <w:rFonts w:ascii="Arial" w:hAnsi="Arial" w:cs="Arial"/>
          <w:b/>
          <w:sz w:val="20"/>
          <w:szCs w:val="20"/>
        </w:rPr>
      </w:pPr>
      <w:proofErr w:type="gramStart"/>
      <w:r w:rsidRPr="00C017D8">
        <w:rPr>
          <w:rFonts w:ascii="Arial" w:hAnsi="Arial"/>
          <w:b/>
          <w:sz w:val="20"/>
          <w:szCs w:val="20"/>
        </w:rPr>
        <w:t>Direito Processual</w:t>
      </w:r>
      <w:proofErr w:type="gramEnd"/>
      <w:r w:rsidRPr="00C017D8">
        <w:rPr>
          <w:rFonts w:ascii="Arial" w:hAnsi="Arial"/>
          <w:b/>
          <w:sz w:val="20"/>
          <w:szCs w:val="20"/>
        </w:rPr>
        <w:t>. Citação. Validade. Advogado. Procuração.</w:t>
      </w:r>
    </w:p>
    <w:p w:rsidR="00151256" w:rsidRPr="00272FDC" w:rsidRDefault="00151256" w:rsidP="00151256">
      <w:pPr>
        <w:pStyle w:val="TCU-Epgrafe"/>
        <w:spacing w:after="200" w:line="276" w:lineRule="auto"/>
        <w:ind w:left="0"/>
        <w:rPr>
          <w:sz w:val="20"/>
        </w:rPr>
      </w:pPr>
      <w:r w:rsidRPr="00272FDC">
        <w:rPr>
          <w:rFonts w:ascii="Arial" w:hAnsi="Arial"/>
          <w:sz w:val="20"/>
        </w:rPr>
        <w:t>Ainda que o instrumento de mandato não contenha cláusula específica com outorga de poder para receber citação, o exercício pelo advogado de prerrogativas processuais, requerendo prorrogação de prazo e apresentando elementos de defesa de seu cliente, corresponde ao comparecimento espontâneo da parte aos autos, tornando válida e apta a produzir todos os seus efeitos a citação endereçada diretamente ao causídico.</w:t>
      </w:r>
    </w:p>
    <w:p w:rsidR="00543DF0" w:rsidRDefault="00543DF0" w:rsidP="00543DF0">
      <w:pPr>
        <w:pStyle w:val="Default"/>
        <w:spacing w:after="200" w:line="276" w:lineRule="auto"/>
        <w:jc w:val="both"/>
        <w:rPr>
          <w:b/>
          <w:sz w:val="20"/>
          <w:szCs w:val="20"/>
        </w:rPr>
      </w:pPr>
      <w:r>
        <w:rPr>
          <w:b/>
          <w:sz w:val="20"/>
          <w:szCs w:val="20"/>
        </w:rPr>
        <w:t xml:space="preserve">Acesse também: </w:t>
      </w:r>
    </w:p>
    <w:p w:rsidR="00270E2F" w:rsidRPr="00BC4C07" w:rsidRDefault="007D293B" w:rsidP="007D293B">
      <w:pPr>
        <w:pStyle w:val="Default"/>
        <w:tabs>
          <w:tab w:val="left" w:pos="750"/>
          <w:tab w:val="center" w:pos="4252"/>
        </w:tabs>
        <w:spacing w:line="276" w:lineRule="auto"/>
        <w:rPr>
          <w:b/>
          <w:sz w:val="20"/>
          <w:szCs w:val="20"/>
        </w:rPr>
      </w:pPr>
      <w:r>
        <w:tab/>
      </w:r>
      <w:r>
        <w:tab/>
      </w:r>
      <w:hyperlink r:id="rId24" w:history="1">
        <w:r w:rsidR="00270E2F" w:rsidRPr="00BC4C07">
          <w:rPr>
            <w:rStyle w:val="Hyperlink"/>
            <w:b/>
            <w:sz w:val="20"/>
            <w:szCs w:val="20"/>
          </w:rPr>
          <w:t>Pesquisas Prontas</w:t>
        </w:r>
      </w:hyperlink>
    </w:p>
    <w:p w:rsidR="00270E2F" w:rsidRDefault="00270E2F" w:rsidP="00270E2F">
      <w:pPr>
        <w:pStyle w:val="Default"/>
        <w:spacing w:line="276" w:lineRule="auto"/>
        <w:jc w:val="center"/>
      </w:pPr>
    </w:p>
    <w:p w:rsidR="00270E2F" w:rsidRDefault="0057031C" w:rsidP="00270E2F">
      <w:pPr>
        <w:pStyle w:val="Default"/>
        <w:spacing w:line="276" w:lineRule="auto"/>
        <w:jc w:val="center"/>
        <w:rPr>
          <w:rStyle w:val="Hyperlink"/>
          <w:b/>
          <w:sz w:val="20"/>
          <w:szCs w:val="20"/>
        </w:rPr>
      </w:pPr>
      <w:hyperlink r:id="rId25" w:history="1">
        <w:r w:rsidR="00270E2F">
          <w:rPr>
            <w:rStyle w:val="Hyperlink"/>
            <w:b/>
            <w:sz w:val="20"/>
            <w:szCs w:val="20"/>
          </w:rPr>
          <w:t>Repercussão Geral do Supremo Tribunal Federal - STF e os Tribunais de Contas</w:t>
        </w:r>
      </w:hyperlink>
    </w:p>
    <w:p w:rsidR="00270E2F" w:rsidRPr="00DD265A" w:rsidRDefault="00270E2F" w:rsidP="00270E2F">
      <w:pPr>
        <w:pStyle w:val="Default"/>
        <w:spacing w:line="276" w:lineRule="auto"/>
        <w:jc w:val="center"/>
        <w:rPr>
          <w:rStyle w:val="Hyperlink"/>
          <w:b/>
          <w:sz w:val="20"/>
          <w:szCs w:val="20"/>
        </w:rPr>
      </w:pPr>
    </w:p>
    <w:p w:rsidR="002D3BD3" w:rsidRDefault="0057031C" w:rsidP="002D3BD3">
      <w:pPr>
        <w:pStyle w:val="Default"/>
        <w:spacing w:line="276" w:lineRule="auto"/>
        <w:jc w:val="center"/>
        <w:rPr>
          <w:rStyle w:val="Hyperlink"/>
          <w:b/>
          <w:sz w:val="20"/>
          <w:szCs w:val="20"/>
        </w:rPr>
      </w:pPr>
      <w:hyperlink r:id="rId26" w:history="1">
        <w:r w:rsidR="002D3BD3">
          <w:rPr>
            <w:rStyle w:val="Hyperlink"/>
            <w:b/>
            <w:sz w:val="20"/>
            <w:szCs w:val="20"/>
          </w:rPr>
          <w:t>Revista Digital do Tribunal de Contas do Estado do Paraná - Edição n° 20</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DB558E" w:rsidRDefault="00DB558E" w:rsidP="00DB558E">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27"/>
      <w:foot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57031C">
      <w:rPr>
        <w:noProof/>
        <w:sz w:val="16"/>
        <w:szCs w:val="16"/>
      </w:rPr>
      <w:t>5</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A63734"/>
    <w:multiLevelType w:val="hybridMultilevel"/>
    <w:tmpl w:val="3A4496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D6F377D"/>
    <w:multiLevelType w:val="hybridMultilevel"/>
    <w:tmpl w:val="2814E0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1"/>
  </w:num>
  <w:num w:numId="4">
    <w:abstractNumId w:val="12"/>
  </w:num>
  <w:num w:numId="5">
    <w:abstractNumId w:val="13"/>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7EBA"/>
    <w:rsid w:val="00021B0A"/>
    <w:rsid w:val="000244A0"/>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1A49"/>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AC8"/>
    <w:rsid w:val="000F04ED"/>
    <w:rsid w:val="000F18DA"/>
    <w:rsid w:val="000F1FFA"/>
    <w:rsid w:val="000F314C"/>
    <w:rsid w:val="000F639D"/>
    <w:rsid w:val="000F7C1B"/>
    <w:rsid w:val="00100B9C"/>
    <w:rsid w:val="00106AA9"/>
    <w:rsid w:val="00110517"/>
    <w:rsid w:val="00110BD6"/>
    <w:rsid w:val="001119DC"/>
    <w:rsid w:val="00111B86"/>
    <w:rsid w:val="00111C26"/>
    <w:rsid w:val="00112B60"/>
    <w:rsid w:val="00113EF1"/>
    <w:rsid w:val="00114B62"/>
    <w:rsid w:val="001159C9"/>
    <w:rsid w:val="00120862"/>
    <w:rsid w:val="0012211A"/>
    <w:rsid w:val="00122E13"/>
    <w:rsid w:val="00123D02"/>
    <w:rsid w:val="0012498C"/>
    <w:rsid w:val="00124A0F"/>
    <w:rsid w:val="00126447"/>
    <w:rsid w:val="00127DF2"/>
    <w:rsid w:val="00130717"/>
    <w:rsid w:val="00131BA8"/>
    <w:rsid w:val="0013298B"/>
    <w:rsid w:val="0013396B"/>
    <w:rsid w:val="001342E3"/>
    <w:rsid w:val="0013514C"/>
    <w:rsid w:val="0013583F"/>
    <w:rsid w:val="00135D5F"/>
    <w:rsid w:val="00136AE1"/>
    <w:rsid w:val="001411E6"/>
    <w:rsid w:val="001415BA"/>
    <w:rsid w:val="00142D10"/>
    <w:rsid w:val="00144712"/>
    <w:rsid w:val="001472C1"/>
    <w:rsid w:val="00150844"/>
    <w:rsid w:val="00151256"/>
    <w:rsid w:val="001529D8"/>
    <w:rsid w:val="00156185"/>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1D6C"/>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687"/>
    <w:rsid w:val="00202E6D"/>
    <w:rsid w:val="00202F4B"/>
    <w:rsid w:val="002036C8"/>
    <w:rsid w:val="002100EE"/>
    <w:rsid w:val="00211A49"/>
    <w:rsid w:val="00213BD0"/>
    <w:rsid w:val="002147AC"/>
    <w:rsid w:val="00215BFE"/>
    <w:rsid w:val="00215CF1"/>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72FDC"/>
    <w:rsid w:val="002805F1"/>
    <w:rsid w:val="00286284"/>
    <w:rsid w:val="00286EB4"/>
    <w:rsid w:val="002874A2"/>
    <w:rsid w:val="002921E2"/>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1E82"/>
    <w:rsid w:val="002F22FA"/>
    <w:rsid w:val="002F73BA"/>
    <w:rsid w:val="003005B3"/>
    <w:rsid w:val="0030165B"/>
    <w:rsid w:val="00302340"/>
    <w:rsid w:val="00302747"/>
    <w:rsid w:val="00303C9C"/>
    <w:rsid w:val="00305A67"/>
    <w:rsid w:val="00306B80"/>
    <w:rsid w:val="00307038"/>
    <w:rsid w:val="00313238"/>
    <w:rsid w:val="003132BE"/>
    <w:rsid w:val="00320577"/>
    <w:rsid w:val="0032266D"/>
    <w:rsid w:val="00325E2F"/>
    <w:rsid w:val="003265DB"/>
    <w:rsid w:val="003269A9"/>
    <w:rsid w:val="00327DF9"/>
    <w:rsid w:val="0033073E"/>
    <w:rsid w:val="00331533"/>
    <w:rsid w:val="0033240F"/>
    <w:rsid w:val="00333875"/>
    <w:rsid w:val="0033604C"/>
    <w:rsid w:val="00336DD7"/>
    <w:rsid w:val="003407F0"/>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3E05"/>
    <w:rsid w:val="00375692"/>
    <w:rsid w:val="00375DB6"/>
    <w:rsid w:val="0038012F"/>
    <w:rsid w:val="00380BAB"/>
    <w:rsid w:val="00381A0E"/>
    <w:rsid w:val="0038751C"/>
    <w:rsid w:val="0038778B"/>
    <w:rsid w:val="00394451"/>
    <w:rsid w:val="0039584A"/>
    <w:rsid w:val="0039625A"/>
    <w:rsid w:val="00396E93"/>
    <w:rsid w:val="003A4828"/>
    <w:rsid w:val="003A64CB"/>
    <w:rsid w:val="003A6622"/>
    <w:rsid w:val="003A673F"/>
    <w:rsid w:val="003B145D"/>
    <w:rsid w:val="003B2600"/>
    <w:rsid w:val="003B4678"/>
    <w:rsid w:val="003B4F77"/>
    <w:rsid w:val="003B502C"/>
    <w:rsid w:val="003C6B35"/>
    <w:rsid w:val="003C7C21"/>
    <w:rsid w:val="003D0632"/>
    <w:rsid w:val="003D650C"/>
    <w:rsid w:val="003D6713"/>
    <w:rsid w:val="003D6E90"/>
    <w:rsid w:val="003D7C37"/>
    <w:rsid w:val="003E110D"/>
    <w:rsid w:val="003E3529"/>
    <w:rsid w:val="003E3D02"/>
    <w:rsid w:val="003E3E6A"/>
    <w:rsid w:val="003E55BC"/>
    <w:rsid w:val="003E6EAF"/>
    <w:rsid w:val="003E749E"/>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36AF"/>
    <w:rsid w:val="00474978"/>
    <w:rsid w:val="0047499A"/>
    <w:rsid w:val="00474C78"/>
    <w:rsid w:val="00475AAE"/>
    <w:rsid w:val="00480934"/>
    <w:rsid w:val="0048130C"/>
    <w:rsid w:val="00482FA5"/>
    <w:rsid w:val="00484E6E"/>
    <w:rsid w:val="00485819"/>
    <w:rsid w:val="00487D31"/>
    <w:rsid w:val="00487EE8"/>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623F"/>
    <w:rsid w:val="004B6EA7"/>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31C"/>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3079"/>
    <w:rsid w:val="005A4536"/>
    <w:rsid w:val="005A5AF2"/>
    <w:rsid w:val="005A742F"/>
    <w:rsid w:val="005A7C78"/>
    <w:rsid w:val="005B0873"/>
    <w:rsid w:val="005B4F6C"/>
    <w:rsid w:val="005B7055"/>
    <w:rsid w:val="005C4763"/>
    <w:rsid w:val="005C4DB7"/>
    <w:rsid w:val="005C5DC8"/>
    <w:rsid w:val="005C661E"/>
    <w:rsid w:val="005C7258"/>
    <w:rsid w:val="005D1E9E"/>
    <w:rsid w:val="005D48C8"/>
    <w:rsid w:val="005D58CE"/>
    <w:rsid w:val="005D633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5695"/>
    <w:rsid w:val="006361F0"/>
    <w:rsid w:val="006372A4"/>
    <w:rsid w:val="006375ED"/>
    <w:rsid w:val="0064029E"/>
    <w:rsid w:val="00640861"/>
    <w:rsid w:val="00640A36"/>
    <w:rsid w:val="00640BDC"/>
    <w:rsid w:val="0064171C"/>
    <w:rsid w:val="00646004"/>
    <w:rsid w:val="00646AD1"/>
    <w:rsid w:val="006473BA"/>
    <w:rsid w:val="00650E4E"/>
    <w:rsid w:val="00654D9D"/>
    <w:rsid w:val="00660C02"/>
    <w:rsid w:val="0066104E"/>
    <w:rsid w:val="0066130F"/>
    <w:rsid w:val="006641F4"/>
    <w:rsid w:val="006645D9"/>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619A"/>
    <w:rsid w:val="00697D60"/>
    <w:rsid w:val="006A27BC"/>
    <w:rsid w:val="006A27D6"/>
    <w:rsid w:val="006A3A42"/>
    <w:rsid w:val="006A41B4"/>
    <w:rsid w:val="006A5FD7"/>
    <w:rsid w:val="006A62B0"/>
    <w:rsid w:val="006B143E"/>
    <w:rsid w:val="006B30E3"/>
    <w:rsid w:val="006B5E72"/>
    <w:rsid w:val="006B6205"/>
    <w:rsid w:val="006B67CE"/>
    <w:rsid w:val="006C058F"/>
    <w:rsid w:val="006C3252"/>
    <w:rsid w:val="006C7A04"/>
    <w:rsid w:val="006D158F"/>
    <w:rsid w:val="006D1B83"/>
    <w:rsid w:val="006D1BE7"/>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1216"/>
    <w:rsid w:val="007B255F"/>
    <w:rsid w:val="007B55C5"/>
    <w:rsid w:val="007B697D"/>
    <w:rsid w:val="007C0579"/>
    <w:rsid w:val="007C0E7E"/>
    <w:rsid w:val="007C10CC"/>
    <w:rsid w:val="007C250E"/>
    <w:rsid w:val="007C2CD7"/>
    <w:rsid w:val="007D009C"/>
    <w:rsid w:val="007D2162"/>
    <w:rsid w:val="007D293B"/>
    <w:rsid w:val="007D5A53"/>
    <w:rsid w:val="007D62D9"/>
    <w:rsid w:val="007D73C9"/>
    <w:rsid w:val="007E1FB4"/>
    <w:rsid w:val="007E28C1"/>
    <w:rsid w:val="007E55AB"/>
    <w:rsid w:val="007F0840"/>
    <w:rsid w:val="007F2086"/>
    <w:rsid w:val="007F3284"/>
    <w:rsid w:val="007F67A7"/>
    <w:rsid w:val="007F6F0A"/>
    <w:rsid w:val="00800773"/>
    <w:rsid w:val="00801004"/>
    <w:rsid w:val="0080111C"/>
    <w:rsid w:val="00801EFD"/>
    <w:rsid w:val="008058BC"/>
    <w:rsid w:val="00806D7C"/>
    <w:rsid w:val="00807854"/>
    <w:rsid w:val="00811012"/>
    <w:rsid w:val="00811A90"/>
    <w:rsid w:val="00813846"/>
    <w:rsid w:val="00814325"/>
    <w:rsid w:val="00815C4F"/>
    <w:rsid w:val="008161C2"/>
    <w:rsid w:val="00816942"/>
    <w:rsid w:val="0081738B"/>
    <w:rsid w:val="00817C73"/>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0094"/>
    <w:rsid w:val="00852A15"/>
    <w:rsid w:val="00853D0B"/>
    <w:rsid w:val="00854B16"/>
    <w:rsid w:val="00854BCA"/>
    <w:rsid w:val="00855A43"/>
    <w:rsid w:val="008561BF"/>
    <w:rsid w:val="00861E25"/>
    <w:rsid w:val="008633B6"/>
    <w:rsid w:val="00866481"/>
    <w:rsid w:val="008676F7"/>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283"/>
    <w:rsid w:val="00890A70"/>
    <w:rsid w:val="00890DDC"/>
    <w:rsid w:val="00890F9C"/>
    <w:rsid w:val="008928B6"/>
    <w:rsid w:val="00894CA0"/>
    <w:rsid w:val="00895461"/>
    <w:rsid w:val="008957B1"/>
    <w:rsid w:val="00896190"/>
    <w:rsid w:val="00897C5E"/>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F2E20"/>
    <w:rsid w:val="0090061C"/>
    <w:rsid w:val="00900BC5"/>
    <w:rsid w:val="00901036"/>
    <w:rsid w:val="00904136"/>
    <w:rsid w:val="00904309"/>
    <w:rsid w:val="0090479F"/>
    <w:rsid w:val="00904BFC"/>
    <w:rsid w:val="00905D97"/>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0401"/>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5C75"/>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55F4"/>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C06B6"/>
    <w:rsid w:val="00AC7830"/>
    <w:rsid w:val="00AD1557"/>
    <w:rsid w:val="00AD35F3"/>
    <w:rsid w:val="00AD44E9"/>
    <w:rsid w:val="00AD4CAC"/>
    <w:rsid w:val="00AD528F"/>
    <w:rsid w:val="00AD6760"/>
    <w:rsid w:val="00AD6EB3"/>
    <w:rsid w:val="00AD741D"/>
    <w:rsid w:val="00AD751D"/>
    <w:rsid w:val="00AD791C"/>
    <w:rsid w:val="00AE1C60"/>
    <w:rsid w:val="00AE4F42"/>
    <w:rsid w:val="00AE5EDF"/>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6F7C"/>
    <w:rsid w:val="00B27853"/>
    <w:rsid w:val="00B30291"/>
    <w:rsid w:val="00B306F7"/>
    <w:rsid w:val="00B30BB8"/>
    <w:rsid w:val="00B30FE2"/>
    <w:rsid w:val="00B3272E"/>
    <w:rsid w:val="00B32C71"/>
    <w:rsid w:val="00B330C4"/>
    <w:rsid w:val="00B37580"/>
    <w:rsid w:val="00B4137A"/>
    <w:rsid w:val="00B50B77"/>
    <w:rsid w:val="00B51290"/>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1DA5"/>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C15"/>
    <w:rsid w:val="00C017D8"/>
    <w:rsid w:val="00C0356D"/>
    <w:rsid w:val="00C0782F"/>
    <w:rsid w:val="00C11F50"/>
    <w:rsid w:val="00C12603"/>
    <w:rsid w:val="00C12BCE"/>
    <w:rsid w:val="00C12C7C"/>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47340"/>
    <w:rsid w:val="00C52956"/>
    <w:rsid w:val="00C53AE1"/>
    <w:rsid w:val="00C53CAD"/>
    <w:rsid w:val="00C54893"/>
    <w:rsid w:val="00C560A1"/>
    <w:rsid w:val="00C56E9E"/>
    <w:rsid w:val="00C56EB6"/>
    <w:rsid w:val="00C571E2"/>
    <w:rsid w:val="00C63FC8"/>
    <w:rsid w:val="00C64425"/>
    <w:rsid w:val="00C64F57"/>
    <w:rsid w:val="00C65D21"/>
    <w:rsid w:val="00C66E11"/>
    <w:rsid w:val="00C6789D"/>
    <w:rsid w:val="00C71A97"/>
    <w:rsid w:val="00C72FFE"/>
    <w:rsid w:val="00C73FFD"/>
    <w:rsid w:val="00C74512"/>
    <w:rsid w:val="00C75071"/>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5CAE"/>
    <w:rsid w:val="00CB644C"/>
    <w:rsid w:val="00CB78ED"/>
    <w:rsid w:val="00CC0004"/>
    <w:rsid w:val="00CC4E55"/>
    <w:rsid w:val="00CC550E"/>
    <w:rsid w:val="00CC5AC6"/>
    <w:rsid w:val="00CC7D62"/>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318E3"/>
    <w:rsid w:val="00D323A7"/>
    <w:rsid w:val="00D346BF"/>
    <w:rsid w:val="00D34A4B"/>
    <w:rsid w:val="00D416EB"/>
    <w:rsid w:val="00D41B20"/>
    <w:rsid w:val="00D44615"/>
    <w:rsid w:val="00D45321"/>
    <w:rsid w:val="00D50324"/>
    <w:rsid w:val="00D516C3"/>
    <w:rsid w:val="00D55A28"/>
    <w:rsid w:val="00D5605F"/>
    <w:rsid w:val="00D61FBD"/>
    <w:rsid w:val="00D62519"/>
    <w:rsid w:val="00D625AA"/>
    <w:rsid w:val="00D63CBD"/>
    <w:rsid w:val="00D6500C"/>
    <w:rsid w:val="00D66392"/>
    <w:rsid w:val="00D66959"/>
    <w:rsid w:val="00D6767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6993"/>
    <w:rsid w:val="00DB74AF"/>
    <w:rsid w:val="00DC1AB8"/>
    <w:rsid w:val="00DC5C19"/>
    <w:rsid w:val="00DC7068"/>
    <w:rsid w:val="00DD0411"/>
    <w:rsid w:val="00DD265A"/>
    <w:rsid w:val="00DD6B9B"/>
    <w:rsid w:val="00DE07A1"/>
    <w:rsid w:val="00DE21A2"/>
    <w:rsid w:val="00DE2776"/>
    <w:rsid w:val="00DE3B11"/>
    <w:rsid w:val="00DE7183"/>
    <w:rsid w:val="00DF1DAC"/>
    <w:rsid w:val="00DF2165"/>
    <w:rsid w:val="00DF5A24"/>
    <w:rsid w:val="00DF60E6"/>
    <w:rsid w:val="00DF6105"/>
    <w:rsid w:val="00DF659E"/>
    <w:rsid w:val="00E01524"/>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7194"/>
    <w:rsid w:val="00E3788B"/>
    <w:rsid w:val="00E40C6A"/>
    <w:rsid w:val="00E410B7"/>
    <w:rsid w:val="00E43977"/>
    <w:rsid w:val="00E4415D"/>
    <w:rsid w:val="00E44AB8"/>
    <w:rsid w:val="00E47BD8"/>
    <w:rsid w:val="00E50D3F"/>
    <w:rsid w:val="00E520BE"/>
    <w:rsid w:val="00E541BC"/>
    <w:rsid w:val="00E5484A"/>
    <w:rsid w:val="00E54E17"/>
    <w:rsid w:val="00E56A7A"/>
    <w:rsid w:val="00E60419"/>
    <w:rsid w:val="00E60E01"/>
    <w:rsid w:val="00E617D3"/>
    <w:rsid w:val="00E61E36"/>
    <w:rsid w:val="00E633C1"/>
    <w:rsid w:val="00E66361"/>
    <w:rsid w:val="00E667B0"/>
    <w:rsid w:val="00E67390"/>
    <w:rsid w:val="00E71365"/>
    <w:rsid w:val="00E74904"/>
    <w:rsid w:val="00E770A4"/>
    <w:rsid w:val="00E8097A"/>
    <w:rsid w:val="00E81192"/>
    <w:rsid w:val="00E83B51"/>
    <w:rsid w:val="00E8626C"/>
    <w:rsid w:val="00E8663B"/>
    <w:rsid w:val="00E86BDE"/>
    <w:rsid w:val="00E8762F"/>
    <w:rsid w:val="00E90AB8"/>
    <w:rsid w:val="00E919D9"/>
    <w:rsid w:val="00E921C1"/>
    <w:rsid w:val="00E93C8B"/>
    <w:rsid w:val="00E93D8F"/>
    <w:rsid w:val="00E9531E"/>
    <w:rsid w:val="00E95E41"/>
    <w:rsid w:val="00E95E4C"/>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16D0"/>
    <w:rsid w:val="00EE2087"/>
    <w:rsid w:val="00EE20A1"/>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2472"/>
    <w:rsid w:val="00F0782D"/>
    <w:rsid w:val="00F10B74"/>
    <w:rsid w:val="00F11EB3"/>
    <w:rsid w:val="00F13F39"/>
    <w:rsid w:val="00F14B9B"/>
    <w:rsid w:val="00F14CCC"/>
    <w:rsid w:val="00F17988"/>
    <w:rsid w:val="00F20C09"/>
    <w:rsid w:val="00F217DF"/>
    <w:rsid w:val="00F21CAE"/>
    <w:rsid w:val="00F223A9"/>
    <w:rsid w:val="00F22AE0"/>
    <w:rsid w:val="00F2601A"/>
    <w:rsid w:val="00F26701"/>
    <w:rsid w:val="00F310D7"/>
    <w:rsid w:val="00F368B9"/>
    <w:rsid w:val="00F3739F"/>
    <w:rsid w:val="00F374C1"/>
    <w:rsid w:val="00F37B34"/>
    <w:rsid w:val="00F41C34"/>
    <w:rsid w:val="00F4212F"/>
    <w:rsid w:val="00F447DB"/>
    <w:rsid w:val="00F447FA"/>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927"/>
    <w:rsid w:val="00F949E0"/>
    <w:rsid w:val="00F94F0F"/>
    <w:rsid w:val="00F979B3"/>
    <w:rsid w:val="00F97CCD"/>
    <w:rsid w:val="00FA320D"/>
    <w:rsid w:val="00FA362B"/>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9B8"/>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7E38A395"/>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4/pdf/00326675.pdf" TargetMode="External"/><Relationship Id="rId13" Type="http://schemas.openxmlformats.org/officeDocument/2006/relationships/hyperlink" Target="http://www1.tce.pr.gov.br/multimidia/2018/4/pdf/00326643.pdf" TargetMode="External"/><Relationship Id="rId18" Type="http://schemas.openxmlformats.org/officeDocument/2006/relationships/hyperlink" Target="http://www.planalto.gov.br/CCIVIL_03/_Ato2011-2014/2011/Lei/L12462compilado.htm" TargetMode="External"/><Relationship Id="rId26" Type="http://schemas.openxmlformats.org/officeDocument/2006/relationships/hyperlink" Target="http://www1.tce.pr.gov.br/multimidia/2018/4/pdf/00326184.pdf"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616068" TargetMode="External"/><Relationship Id="rId7" Type="http://schemas.openxmlformats.org/officeDocument/2006/relationships/endnotes" Target="endnotes.xml"/><Relationship Id="rId12" Type="http://schemas.openxmlformats.org/officeDocument/2006/relationships/hyperlink" Target="http://www1.tce.pr.gov.br/multimidia/2018/4/pdf/00326646.pdf" TargetMode="External"/><Relationship Id="rId17" Type="http://schemas.openxmlformats.org/officeDocument/2006/relationships/hyperlink" Target="https://contas.tcu.gov.br/sagas/SvlVisualizarRelVotoAcRtf?codFiltro=SAGAS-SESSAO-ENCERRADA&amp;seOcultaPagina=S&amp;item0=609699" TargetMode="External"/><Relationship Id="rId25" Type="http://schemas.openxmlformats.org/officeDocument/2006/relationships/hyperlink" Target="http://www1.tce.pr.gov.br/conteudo/repercussao-geral-no-stf-e-os-tribunais-de-contas/307026/area/249" TargetMode="External"/><Relationship Id="rId2" Type="http://schemas.openxmlformats.org/officeDocument/2006/relationships/numbering" Target="numbering.xml"/><Relationship Id="rId16" Type="http://schemas.openxmlformats.org/officeDocument/2006/relationships/hyperlink" Target="https://contas.tcu.gov.br/sagas/SvlVisualizarRelVotoAcRtf?codFiltro=SAGAS-SESSAO-ENCERRADA&amp;seOcultaPagina=S&amp;item0=616177" TargetMode="External"/><Relationship Id="rId20" Type="http://schemas.openxmlformats.org/officeDocument/2006/relationships/hyperlink" Target="https://contas.tcu.gov.br/sagas/SvlVisualizarRelVotoAcRtf?codFiltro=SAGAS-SESSAO-ENCERRADA&amp;seOcultaPagina=S&amp;item0=6139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4/pdf/00326648.pdf" TargetMode="External"/><Relationship Id="rId24" Type="http://schemas.openxmlformats.org/officeDocument/2006/relationships/hyperlink" Target="http://www1.tce.pr.gov.br/conteudo/pesquisas-prontas/308475/area/249" TargetMode="External"/><Relationship Id="rId5" Type="http://schemas.openxmlformats.org/officeDocument/2006/relationships/webSettings" Target="webSettings.xml"/><Relationship Id="rId15" Type="http://schemas.openxmlformats.org/officeDocument/2006/relationships/hyperlink" Target="https://contas.tcu.gov.br/sagas/SvlVisualizarRelVotoAcRtf?codFiltro=SAGAS-SESSAO-ENCERRADA&amp;seOcultaPagina=S&amp;item0=614964" TargetMode="External"/><Relationship Id="rId23" Type="http://schemas.openxmlformats.org/officeDocument/2006/relationships/hyperlink" Target="https://contas.tcu.gov.br/sagas/SvlVisualizarRelVotoAcRtf?codFiltro=SAGAS-SESSAO-ENCERRADA&amp;seOcultaPagina=S&amp;item0=610237" TargetMode="External"/><Relationship Id="rId28" Type="http://schemas.openxmlformats.org/officeDocument/2006/relationships/footer" Target="footer1.xml"/><Relationship Id="rId10" Type="http://schemas.openxmlformats.org/officeDocument/2006/relationships/hyperlink" Target="http://www1.tce.pr.gov.br/multimidia/2018/5/pdf/00327902.pdf" TargetMode="External"/><Relationship Id="rId19" Type="http://schemas.openxmlformats.org/officeDocument/2006/relationships/hyperlink" Target="https://contas.tcu.gov.br/sagas/SvlVisualizarRelVotoAcRtf?codFiltro=SAGAS-SESSAO-ENCERRADA&amp;seOcultaPagina=S&amp;item0=614830" TargetMode="External"/><Relationship Id="rId4" Type="http://schemas.openxmlformats.org/officeDocument/2006/relationships/settings" Target="settings.xml"/><Relationship Id="rId9" Type="http://schemas.openxmlformats.org/officeDocument/2006/relationships/hyperlink" Target="http://www1.tce.pr.gov.br/multimidia/2018/4/pdf/00326551.pdf" TargetMode="External"/><Relationship Id="rId14" Type="http://schemas.openxmlformats.org/officeDocument/2006/relationships/hyperlink" Target="http://www.stf.jus.br/portal/processo/verProcessoAndamento.asp?numero=865401&amp;classe=RE&amp;origem=AP&amp;recurso=0&amp;tipoJulgamento=M" TargetMode="External"/><Relationship Id="rId22" Type="http://schemas.openxmlformats.org/officeDocument/2006/relationships/hyperlink" Target="https://contas.tcu.gov.br/sagas/SvlVisualizarRelVotoAcRtf?codFiltro=SAGAS-SESSAO-ENCERRADA&amp;seOcultaPagina=S&amp;item0=615699"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EED65-974F-409A-8BBE-585FA4A5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2364</Words>
  <Characters>12770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224</cp:revision>
  <cp:lastPrinted>2017-07-10T20:46:00Z</cp:lastPrinted>
  <dcterms:created xsi:type="dcterms:W3CDTF">2017-07-10T20:45:00Z</dcterms:created>
  <dcterms:modified xsi:type="dcterms:W3CDTF">2018-05-22T14:14:00Z</dcterms:modified>
</cp:coreProperties>
</file>