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401EE0">
        <w:rPr>
          <w:rFonts w:ascii="Arial" w:hAnsi="Arial" w:cs="Arial"/>
          <w:b/>
          <w:sz w:val="20"/>
          <w:szCs w:val="20"/>
        </w:rPr>
        <w:t>2</w:t>
      </w:r>
      <w:r w:rsidR="00C91B89">
        <w:rPr>
          <w:rFonts w:ascii="Arial" w:hAnsi="Arial" w:cs="Arial"/>
          <w:b/>
          <w:sz w:val="20"/>
          <w:szCs w:val="20"/>
        </w:rPr>
        <w:t>1</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F13466">
        <w:rPr>
          <w:rFonts w:ascii="Arial" w:hAnsi="Arial" w:cs="Arial"/>
          <w:b/>
          <w:sz w:val="20"/>
          <w:szCs w:val="20"/>
        </w:rPr>
        <w:t>25</w:t>
      </w:r>
      <w:r w:rsidR="00814325">
        <w:rPr>
          <w:rFonts w:ascii="Arial" w:hAnsi="Arial" w:cs="Arial"/>
          <w:b/>
          <w:sz w:val="20"/>
          <w:szCs w:val="20"/>
        </w:rPr>
        <w:t>.0</w:t>
      </w:r>
      <w:r w:rsidR="00401EE0">
        <w:rPr>
          <w:rFonts w:ascii="Arial" w:hAnsi="Arial" w:cs="Arial"/>
          <w:b/>
          <w:sz w:val="20"/>
          <w:szCs w:val="20"/>
        </w:rPr>
        <w:t>7</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F13466">
        <w:rPr>
          <w:rFonts w:ascii="Arial" w:hAnsi="Arial" w:cs="Arial"/>
          <w:b/>
          <w:sz w:val="20"/>
          <w:szCs w:val="20"/>
        </w:rPr>
        <w:t>03</w:t>
      </w:r>
      <w:r w:rsidR="005A0FD0" w:rsidRPr="0022060B">
        <w:rPr>
          <w:rFonts w:ascii="Arial" w:hAnsi="Arial" w:cs="Arial"/>
          <w:b/>
          <w:sz w:val="20"/>
          <w:szCs w:val="20"/>
        </w:rPr>
        <w:t>.0</w:t>
      </w:r>
      <w:r w:rsidR="00F13466">
        <w:rPr>
          <w:rFonts w:ascii="Arial" w:hAnsi="Arial" w:cs="Arial"/>
          <w:b/>
          <w:sz w:val="20"/>
          <w:szCs w:val="20"/>
        </w:rPr>
        <w:t>8</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684303" w:rsidRDefault="00684303" w:rsidP="00D54566">
      <w:pPr>
        <w:autoSpaceDE w:val="0"/>
        <w:autoSpaceDN w:val="0"/>
        <w:adjustRightInd w:val="0"/>
        <w:spacing w:after="0"/>
        <w:jc w:val="both"/>
        <w:rPr>
          <w:rFonts w:ascii="Arial" w:hAnsi="Arial" w:cs="Arial"/>
          <w:sz w:val="20"/>
          <w:szCs w:val="20"/>
        </w:rPr>
      </w:pPr>
    </w:p>
    <w:p w:rsidR="00822605" w:rsidRPr="00D54566" w:rsidRDefault="00D54566" w:rsidP="00D54566">
      <w:pPr>
        <w:autoSpaceDE w:val="0"/>
        <w:autoSpaceDN w:val="0"/>
        <w:adjustRightInd w:val="0"/>
        <w:spacing w:after="0"/>
        <w:jc w:val="both"/>
        <w:rPr>
          <w:rFonts w:ascii="Arial" w:hAnsi="Arial" w:cs="Arial"/>
          <w:sz w:val="20"/>
          <w:szCs w:val="20"/>
        </w:rPr>
      </w:pPr>
      <w:r>
        <w:rPr>
          <w:rFonts w:ascii="Arial" w:hAnsi="Arial" w:cs="Arial"/>
          <w:sz w:val="20"/>
          <w:szCs w:val="20"/>
        </w:rPr>
        <w:t xml:space="preserve">1. </w:t>
      </w:r>
      <w:r w:rsidR="00822605" w:rsidRPr="00D54566">
        <w:rPr>
          <w:rFonts w:ascii="Arial" w:hAnsi="Arial" w:cs="Arial"/>
          <w:sz w:val="20"/>
          <w:szCs w:val="20"/>
        </w:rPr>
        <w:t>Pensão Municipal. Inclusão de adicional de insalubridade. Verba percebida durante todo o período laboral e inerente à natureza do cargo. Legalidade e registro do ato.</w:t>
      </w:r>
    </w:p>
    <w:p w:rsidR="00822605" w:rsidRPr="00DB0880" w:rsidRDefault="00822605" w:rsidP="00D54566">
      <w:pPr>
        <w:spacing w:after="0"/>
        <w:jc w:val="both"/>
        <w:rPr>
          <w:rFonts w:ascii="Arial" w:hAnsi="Arial" w:cs="Arial"/>
          <w:sz w:val="20"/>
          <w:szCs w:val="20"/>
        </w:rPr>
      </w:pPr>
    </w:p>
    <w:p w:rsidR="00822605" w:rsidRPr="00D54566" w:rsidRDefault="00D54566" w:rsidP="00D54566">
      <w:pPr>
        <w:autoSpaceDE w:val="0"/>
        <w:autoSpaceDN w:val="0"/>
        <w:adjustRightInd w:val="0"/>
        <w:spacing w:after="0"/>
        <w:jc w:val="both"/>
        <w:rPr>
          <w:rFonts w:ascii="Arial" w:hAnsi="Arial" w:cs="Arial"/>
          <w:sz w:val="20"/>
          <w:szCs w:val="20"/>
        </w:rPr>
      </w:pPr>
      <w:r>
        <w:rPr>
          <w:rFonts w:ascii="Arial" w:hAnsi="Arial" w:cs="Arial"/>
          <w:sz w:val="20"/>
          <w:szCs w:val="20"/>
        </w:rPr>
        <w:t xml:space="preserve">2. </w:t>
      </w:r>
      <w:r w:rsidR="00822605" w:rsidRPr="00D54566">
        <w:rPr>
          <w:rFonts w:ascii="Arial" w:hAnsi="Arial" w:cs="Arial"/>
          <w:sz w:val="20"/>
          <w:szCs w:val="20"/>
        </w:rPr>
        <w:t xml:space="preserve">Prestação de Contas. Transferência voluntária. Despesas com pagamento de refeições e passagens de policiais civis e militares. Inteligência do art. 62 da LRF. Conversão em ressalva. Regularidade com ressalva e recomendação. </w:t>
      </w:r>
    </w:p>
    <w:p w:rsidR="00822605" w:rsidRPr="00DB0880" w:rsidRDefault="00822605" w:rsidP="00D54566">
      <w:pPr>
        <w:spacing w:after="0"/>
        <w:jc w:val="both"/>
        <w:rPr>
          <w:rFonts w:ascii="Arial" w:hAnsi="Arial" w:cs="Arial"/>
          <w:sz w:val="20"/>
          <w:szCs w:val="20"/>
        </w:rPr>
      </w:pPr>
    </w:p>
    <w:p w:rsidR="00822605" w:rsidRPr="00D54566" w:rsidRDefault="00D54566" w:rsidP="00D54566">
      <w:pPr>
        <w:autoSpaceDE w:val="0"/>
        <w:autoSpaceDN w:val="0"/>
        <w:adjustRightInd w:val="0"/>
        <w:spacing w:after="0"/>
        <w:jc w:val="both"/>
        <w:rPr>
          <w:rFonts w:ascii="Arial" w:hAnsi="Arial" w:cs="Arial"/>
          <w:sz w:val="20"/>
          <w:szCs w:val="20"/>
        </w:rPr>
      </w:pPr>
      <w:r>
        <w:rPr>
          <w:rFonts w:ascii="Arial" w:hAnsi="Arial" w:cs="Arial"/>
          <w:sz w:val="20"/>
          <w:szCs w:val="20"/>
        </w:rPr>
        <w:t xml:space="preserve">3. </w:t>
      </w:r>
      <w:r w:rsidR="00822605" w:rsidRPr="00D54566">
        <w:rPr>
          <w:rFonts w:ascii="Arial" w:hAnsi="Arial" w:cs="Arial"/>
          <w:sz w:val="20"/>
          <w:szCs w:val="20"/>
        </w:rPr>
        <w:t>Embargos de Declaração que aduz</w:t>
      </w:r>
      <w:r w:rsidR="00FF1139">
        <w:rPr>
          <w:rFonts w:ascii="Arial" w:hAnsi="Arial" w:cs="Arial"/>
          <w:sz w:val="20"/>
          <w:szCs w:val="20"/>
        </w:rPr>
        <w:t>em</w:t>
      </w:r>
      <w:r w:rsidR="00822605" w:rsidRPr="00D54566">
        <w:rPr>
          <w:rFonts w:ascii="Arial" w:hAnsi="Arial" w:cs="Arial"/>
          <w:sz w:val="20"/>
          <w:szCs w:val="20"/>
        </w:rPr>
        <w:t xml:space="preserve"> não ter havido fundamentação na parte dispositiva do Acórdão.  Parecer Prévio em PCA. Inteligência do art. 489 do NCPC. Pelo não provimento.  </w:t>
      </w:r>
    </w:p>
    <w:p w:rsidR="00822605" w:rsidRPr="00DB0880" w:rsidRDefault="00822605" w:rsidP="00D54566">
      <w:pPr>
        <w:spacing w:after="0"/>
        <w:jc w:val="both"/>
        <w:rPr>
          <w:rFonts w:ascii="Arial" w:hAnsi="Arial" w:cs="Arial"/>
          <w:sz w:val="20"/>
          <w:szCs w:val="20"/>
        </w:rPr>
      </w:pPr>
    </w:p>
    <w:p w:rsidR="00822605" w:rsidRPr="00D54566" w:rsidRDefault="00D54566" w:rsidP="00D54566">
      <w:pPr>
        <w:autoSpaceDE w:val="0"/>
        <w:autoSpaceDN w:val="0"/>
        <w:adjustRightInd w:val="0"/>
        <w:spacing w:after="0"/>
        <w:jc w:val="both"/>
        <w:rPr>
          <w:rFonts w:ascii="Arial" w:hAnsi="Arial" w:cs="Arial"/>
          <w:sz w:val="20"/>
          <w:szCs w:val="20"/>
        </w:rPr>
      </w:pPr>
      <w:r>
        <w:rPr>
          <w:rFonts w:ascii="Arial" w:hAnsi="Arial" w:cs="Arial"/>
          <w:sz w:val="20"/>
          <w:szCs w:val="20"/>
        </w:rPr>
        <w:t xml:space="preserve">4. </w:t>
      </w:r>
      <w:r w:rsidR="00822605" w:rsidRPr="00D54566">
        <w:rPr>
          <w:rFonts w:ascii="Arial" w:hAnsi="Arial" w:cs="Arial"/>
          <w:sz w:val="20"/>
          <w:szCs w:val="20"/>
        </w:rPr>
        <w:t xml:space="preserve">Admissão de Pessoal. Contratação temporária. Recurso de Agravo interposto pelo ente municipal. Juízo de retratação pela revogação da medida cautelar de suspensão do certame. Teste seletivo apto a retomar seu trâmite normal. </w:t>
      </w:r>
    </w:p>
    <w:p w:rsidR="00DB0880" w:rsidRPr="00DB0880" w:rsidRDefault="00DB0880" w:rsidP="00D54566">
      <w:pPr>
        <w:autoSpaceDE w:val="0"/>
        <w:autoSpaceDN w:val="0"/>
        <w:adjustRightInd w:val="0"/>
        <w:spacing w:after="0"/>
        <w:jc w:val="both"/>
        <w:rPr>
          <w:rFonts w:ascii="Arial" w:hAnsi="Arial" w:cs="Arial"/>
          <w:sz w:val="20"/>
          <w:szCs w:val="20"/>
        </w:rPr>
      </w:pPr>
    </w:p>
    <w:p w:rsidR="00822605" w:rsidRPr="00D54566" w:rsidRDefault="00D54566" w:rsidP="00D54566">
      <w:pPr>
        <w:autoSpaceDE w:val="0"/>
        <w:autoSpaceDN w:val="0"/>
        <w:adjustRightInd w:val="0"/>
        <w:spacing w:after="0"/>
        <w:jc w:val="both"/>
        <w:rPr>
          <w:rFonts w:ascii="Arial" w:hAnsi="Arial" w:cs="Arial"/>
          <w:sz w:val="20"/>
          <w:szCs w:val="20"/>
        </w:rPr>
      </w:pPr>
      <w:r>
        <w:rPr>
          <w:rFonts w:ascii="Arial" w:hAnsi="Arial" w:cs="Arial"/>
          <w:sz w:val="20"/>
          <w:szCs w:val="20"/>
        </w:rPr>
        <w:t xml:space="preserve">5. </w:t>
      </w:r>
      <w:r w:rsidR="00822605" w:rsidRPr="00D54566">
        <w:rPr>
          <w:rFonts w:ascii="Arial" w:hAnsi="Arial" w:cs="Arial"/>
          <w:sz w:val="20"/>
          <w:szCs w:val="20"/>
        </w:rPr>
        <w:t>Certidão Liberatória. Aplicação de receita na manutenção de ensino. Educação. Responsabilidade fiscal.</w:t>
      </w:r>
    </w:p>
    <w:p w:rsidR="00DB0880" w:rsidRPr="00DB0880" w:rsidRDefault="00DB0880" w:rsidP="00D54566">
      <w:pPr>
        <w:autoSpaceDE w:val="0"/>
        <w:autoSpaceDN w:val="0"/>
        <w:adjustRightInd w:val="0"/>
        <w:spacing w:after="0"/>
        <w:jc w:val="both"/>
        <w:rPr>
          <w:rFonts w:ascii="Arial" w:hAnsi="Arial" w:cs="Arial"/>
          <w:sz w:val="20"/>
          <w:szCs w:val="20"/>
        </w:rPr>
      </w:pPr>
    </w:p>
    <w:p w:rsidR="00822605" w:rsidRPr="00D54566" w:rsidRDefault="00D54566" w:rsidP="00D54566">
      <w:pPr>
        <w:autoSpaceDE w:val="0"/>
        <w:autoSpaceDN w:val="0"/>
        <w:adjustRightInd w:val="0"/>
        <w:spacing w:after="0"/>
        <w:jc w:val="both"/>
        <w:rPr>
          <w:rFonts w:ascii="Arial" w:hAnsi="Arial" w:cs="Arial"/>
          <w:sz w:val="20"/>
          <w:szCs w:val="20"/>
        </w:rPr>
      </w:pPr>
      <w:r>
        <w:rPr>
          <w:rFonts w:ascii="Arial" w:hAnsi="Arial" w:cs="Arial"/>
          <w:sz w:val="20"/>
          <w:szCs w:val="20"/>
        </w:rPr>
        <w:t xml:space="preserve">6. </w:t>
      </w:r>
      <w:r w:rsidR="00822605" w:rsidRPr="00D54566">
        <w:rPr>
          <w:rFonts w:ascii="Arial" w:hAnsi="Arial" w:cs="Arial"/>
          <w:sz w:val="20"/>
          <w:szCs w:val="20"/>
        </w:rPr>
        <w:t>Aposentadoria. Possibilidade de contagem de tempo celetista para aquisição de licença especial não gozada, contada em dobro como tempo de contribuição do servidor, desde que relativa a período anterior à Emenda Constitucional nº 20/1998. Legalidade e registro da inativação.</w:t>
      </w:r>
    </w:p>
    <w:p w:rsidR="00DB0880" w:rsidRPr="00DB0880" w:rsidRDefault="00DB0880" w:rsidP="00D54566">
      <w:pPr>
        <w:autoSpaceDE w:val="0"/>
        <w:autoSpaceDN w:val="0"/>
        <w:adjustRightInd w:val="0"/>
        <w:spacing w:after="0"/>
        <w:jc w:val="both"/>
        <w:rPr>
          <w:rFonts w:ascii="Arial" w:hAnsi="Arial" w:cs="Arial"/>
          <w:sz w:val="20"/>
          <w:szCs w:val="20"/>
        </w:rPr>
      </w:pPr>
    </w:p>
    <w:p w:rsidR="00822605" w:rsidRPr="00D54566" w:rsidRDefault="00D54566" w:rsidP="00D54566">
      <w:pPr>
        <w:autoSpaceDE w:val="0"/>
        <w:autoSpaceDN w:val="0"/>
        <w:adjustRightInd w:val="0"/>
        <w:spacing w:after="0"/>
        <w:jc w:val="both"/>
        <w:rPr>
          <w:rFonts w:ascii="Arial" w:hAnsi="Arial" w:cs="Arial"/>
          <w:sz w:val="20"/>
          <w:szCs w:val="20"/>
        </w:rPr>
      </w:pPr>
      <w:r>
        <w:rPr>
          <w:rFonts w:ascii="Arial" w:hAnsi="Arial" w:cs="Arial"/>
          <w:sz w:val="20"/>
          <w:szCs w:val="20"/>
        </w:rPr>
        <w:t xml:space="preserve">7. </w:t>
      </w:r>
      <w:r w:rsidR="00822605" w:rsidRPr="00D54566">
        <w:rPr>
          <w:rFonts w:ascii="Arial" w:hAnsi="Arial" w:cs="Arial"/>
          <w:sz w:val="20"/>
          <w:szCs w:val="20"/>
        </w:rPr>
        <w:t xml:space="preserve">Reserva remunerada a pedido, com base no art. 157, §4º, III, da Lei nº 1.923/54 (Código da Polícia Militar do Estado). Afastada a aplicação da Lei nº 7.634/82, que permite o aproveitamento do tempo de contribuição de INSS, sobre serviços prestados à iniciativa privada, dada sua </w:t>
      </w:r>
      <w:r w:rsidR="00822605" w:rsidRPr="00D54566">
        <w:rPr>
          <w:rFonts w:ascii="Arial" w:hAnsi="Arial" w:cs="Arial"/>
          <w:sz w:val="20"/>
          <w:szCs w:val="20"/>
        </w:rPr>
        <w:lastRenderedPageBreak/>
        <w:t>incompatibilidade com a lei específica, nos termos do art. 42, §1º, combinado com o art. 142, §3º, X, ambos da Constituição Federal.</w:t>
      </w:r>
    </w:p>
    <w:p w:rsidR="00DB0880" w:rsidRPr="00DB0880" w:rsidRDefault="00DB0880" w:rsidP="00D54566">
      <w:pPr>
        <w:autoSpaceDE w:val="0"/>
        <w:autoSpaceDN w:val="0"/>
        <w:adjustRightInd w:val="0"/>
        <w:spacing w:after="0"/>
        <w:jc w:val="both"/>
        <w:rPr>
          <w:rFonts w:ascii="Arial" w:hAnsi="Arial" w:cs="Arial"/>
          <w:sz w:val="20"/>
          <w:szCs w:val="20"/>
        </w:rPr>
      </w:pPr>
    </w:p>
    <w:p w:rsidR="00822605" w:rsidRPr="00D54566" w:rsidRDefault="00E61B6E" w:rsidP="00D54566">
      <w:pPr>
        <w:autoSpaceDE w:val="0"/>
        <w:autoSpaceDN w:val="0"/>
        <w:adjustRightInd w:val="0"/>
        <w:spacing w:after="0"/>
        <w:jc w:val="both"/>
        <w:rPr>
          <w:rFonts w:ascii="Arial" w:hAnsi="Arial" w:cs="Arial"/>
          <w:sz w:val="20"/>
          <w:szCs w:val="20"/>
        </w:rPr>
      </w:pPr>
      <w:r>
        <w:rPr>
          <w:rFonts w:ascii="Arial" w:hAnsi="Arial" w:cs="Arial"/>
          <w:sz w:val="20"/>
          <w:szCs w:val="20"/>
        </w:rPr>
        <w:t>8</w:t>
      </w:r>
      <w:r w:rsidR="00D54566">
        <w:rPr>
          <w:rFonts w:ascii="Arial" w:hAnsi="Arial" w:cs="Arial"/>
          <w:sz w:val="20"/>
          <w:szCs w:val="20"/>
        </w:rPr>
        <w:t xml:space="preserve">. </w:t>
      </w:r>
      <w:r w:rsidR="00822605" w:rsidRPr="00D54566">
        <w:rPr>
          <w:rFonts w:ascii="Arial" w:hAnsi="Arial" w:cs="Arial"/>
          <w:sz w:val="20"/>
          <w:szCs w:val="20"/>
        </w:rPr>
        <w:t xml:space="preserve">Representação. Administração Pública. Publicidade. Princípios da moralidade e impessoalidade. Promoção pessoal. </w:t>
      </w:r>
    </w:p>
    <w:p w:rsidR="00DB0880" w:rsidRPr="00DB0880" w:rsidRDefault="00DB0880" w:rsidP="00D54566">
      <w:pPr>
        <w:autoSpaceDE w:val="0"/>
        <w:autoSpaceDN w:val="0"/>
        <w:adjustRightInd w:val="0"/>
        <w:spacing w:after="0"/>
        <w:jc w:val="both"/>
        <w:rPr>
          <w:rFonts w:ascii="Arial" w:hAnsi="Arial" w:cs="Arial"/>
          <w:sz w:val="20"/>
          <w:szCs w:val="20"/>
        </w:rPr>
      </w:pPr>
    </w:p>
    <w:p w:rsidR="00822605" w:rsidRPr="00D54566" w:rsidRDefault="00E61B6E" w:rsidP="00D54566">
      <w:pPr>
        <w:autoSpaceDE w:val="0"/>
        <w:autoSpaceDN w:val="0"/>
        <w:adjustRightInd w:val="0"/>
        <w:spacing w:after="0"/>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9</w:t>
      </w:r>
      <w:r w:rsidR="00D54566">
        <w:rPr>
          <w:rFonts w:ascii="Arial" w:eastAsia="Times New Roman" w:hAnsi="Arial" w:cs="Arial"/>
          <w:color w:val="000000"/>
          <w:sz w:val="20"/>
          <w:szCs w:val="20"/>
          <w:lang w:eastAsia="pt-BR"/>
        </w:rPr>
        <w:t xml:space="preserve">. </w:t>
      </w:r>
      <w:r w:rsidR="00822605" w:rsidRPr="00D54566">
        <w:rPr>
          <w:rFonts w:ascii="Arial" w:eastAsia="Times New Roman" w:hAnsi="Arial" w:cs="Arial"/>
          <w:color w:val="000000"/>
          <w:sz w:val="20"/>
          <w:szCs w:val="20"/>
          <w:lang w:eastAsia="pt-BR"/>
        </w:rPr>
        <w:t xml:space="preserve">Consulta. Ente federado incurso nas vedações do art. 22, Parágrafo Único, da Lei de Responsabilidade Fiscal. Concessão de adicional a servidores públicos integrantes das equipes de saúde da atenção básica. Recursos Federais oriundos do Piso da Atenção Básica Variável – PAB Variável. Impossibilidade. </w:t>
      </w:r>
    </w:p>
    <w:p w:rsidR="00DB0880" w:rsidRPr="00DB0880" w:rsidRDefault="00DB0880" w:rsidP="00D54566">
      <w:pPr>
        <w:spacing w:after="0"/>
        <w:jc w:val="both"/>
        <w:rPr>
          <w:rStyle w:val="Hyperlink"/>
          <w:rFonts w:ascii="Arial" w:hAnsi="Arial" w:cs="Arial"/>
          <w:color w:val="000000" w:themeColor="text1"/>
          <w:sz w:val="20"/>
          <w:szCs w:val="20"/>
          <w:u w:val="none"/>
        </w:rPr>
      </w:pPr>
    </w:p>
    <w:p w:rsidR="00822605" w:rsidRPr="00D54566" w:rsidRDefault="00E61B6E" w:rsidP="00D54566">
      <w:pPr>
        <w:autoSpaceDE w:val="0"/>
        <w:autoSpaceDN w:val="0"/>
        <w:adjustRightInd w:val="0"/>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10</w:t>
      </w:r>
      <w:r w:rsidR="00D54566">
        <w:rPr>
          <w:rStyle w:val="Hyperlink"/>
          <w:rFonts w:ascii="Arial" w:hAnsi="Arial" w:cs="Arial"/>
          <w:color w:val="000000" w:themeColor="text1"/>
          <w:sz w:val="20"/>
          <w:szCs w:val="20"/>
          <w:u w:val="none"/>
        </w:rPr>
        <w:t xml:space="preserve">. </w:t>
      </w:r>
      <w:r w:rsidR="00822605" w:rsidRPr="00D54566">
        <w:rPr>
          <w:rStyle w:val="Hyperlink"/>
          <w:rFonts w:ascii="Arial" w:hAnsi="Arial" w:cs="Arial"/>
          <w:color w:val="000000" w:themeColor="text1"/>
          <w:sz w:val="20"/>
          <w:szCs w:val="20"/>
          <w:u w:val="none"/>
        </w:rPr>
        <w:t xml:space="preserve">Representação da Lei nº 8666/93. Pregão Presencial. Supostas irregularidades.  Exigência de pneus de fabricação nacional. Pela não procedência neste ponto, sem aplicação de multa. </w:t>
      </w:r>
    </w:p>
    <w:p w:rsidR="00DB0880" w:rsidRPr="00DB0880" w:rsidRDefault="00DB0880" w:rsidP="00D54566">
      <w:pPr>
        <w:spacing w:after="0"/>
        <w:jc w:val="both"/>
        <w:rPr>
          <w:rStyle w:val="Hyperlink"/>
          <w:rFonts w:ascii="Arial" w:hAnsi="Arial" w:cs="Arial"/>
          <w:color w:val="000000" w:themeColor="text1"/>
          <w:sz w:val="20"/>
          <w:szCs w:val="20"/>
          <w:u w:val="none"/>
        </w:rPr>
      </w:pPr>
    </w:p>
    <w:p w:rsidR="00822605" w:rsidRPr="00D54566" w:rsidRDefault="00E61B6E" w:rsidP="00D54566">
      <w:pPr>
        <w:autoSpaceDE w:val="0"/>
        <w:autoSpaceDN w:val="0"/>
        <w:adjustRightInd w:val="0"/>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11</w:t>
      </w:r>
      <w:r w:rsidR="00D54566">
        <w:rPr>
          <w:rStyle w:val="Hyperlink"/>
          <w:rFonts w:ascii="Arial" w:hAnsi="Arial" w:cs="Arial"/>
          <w:color w:val="000000" w:themeColor="text1"/>
          <w:sz w:val="20"/>
          <w:szCs w:val="20"/>
          <w:u w:val="none"/>
        </w:rPr>
        <w:t>. R</w:t>
      </w:r>
      <w:r w:rsidR="00822605" w:rsidRPr="00D54566">
        <w:rPr>
          <w:rStyle w:val="Hyperlink"/>
          <w:rFonts w:ascii="Arial" w:hAnsi="Arial" w:cs="Arial"/>
          <w:color w:val="000000" w:themeColor="text1"/>
          <w:sz w:val="20"/>
          <w:szCs w:val="20"/>
          <w:u w:val="none"/>
        </w:rPr>
        <w:t xml:space="preserve">ecurso de Revista. Cargos em comissão. Pagamento de verbas rescisórias por ocasião do desligamento. Boa-fé do gestor. Não provimento. </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Pr="00AB1CD6" w:rsidRDefault="005F7E35" w:rsidP="00816942">
      <w:pPr>
        <w:autoSpaceDE w:val="0"/>
        <w:autoSpaceDN w:val="0"/>
        <w:adjustRightInd w:val="0"/>
        <w:spacing w:after="0"/>
        <w:jc w:val="both"/>
        <w:rPr>
          <w:rFonts w:ascii="Arial" w:hAnsi="Arial" w:cs="Arial"/>
          <w:b/>
          <w:sz w:val="20"/>
          <w:szCs w:val="20"/>
        </w:rPr>
      </w:pPr>
    </w:p>
    <w:p w:rsidR="004429A2" w:rsidRDefault="005F35B7" w:rsidP="00822605">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 </w:t>
      </w:r>
      <w:r w:rsidR="00AB1CD6" w:rsidRPr="00AB1CD6">
        <w:rPr>
          <w:rFonts w:ascii="Arial" w:hAnsi="Arial" w:cs="Arial"/>
          <w:b/>
          <w:sz w:val="20"/>
          <w:szCs w:val="20"/>
        </w:rPr>
        <w:t>Pensão Municipal. Inclusão de adicional de insalubridade. Verba percebida durante todo o período laboral e inerente à natureza do cargo. Legalidade e registro do ato.</w:t>
      </w:r>
    </w:p>
    <w:p w:rsidR="00AB1CD6" w:rsidRDefault="00AB1CD6" w:rsidP="00822605">
      <w:pPr>
        <w:autoSpaceDE w:val="0"/>
        <w:autoSpaceDN w:val="0"/>
        <w:adjustRightInd w:val="0"/>
        <w:spacing w:after="0"/>
        <w:jc w:val="both"/>
        <w:rPr>
          <w:rFonts w:ascii="Arial" w:hAnsi="Arial" w:cs="Arial"/>
          <w:b/>
          <w:sz w:val="20"/>
          <w:szCs w:val="20"/>
        </w:rPr>
      </w:pPr>
    </w:p>
    <w:p w:rsidR="00AB1CD6" w:rsidRDefault="00AB1CD6" w:rsidP="00822605">
      <w:pPr>
        <w:autoSpaceDE w:val="0"/>
        <w:autoSpaceDN w:val="0"/>
        <w:adjustRightInd w:val="0"/>
        <w:spacing w:after="0"/>
        <w:jc w:val="both"/>
        <w:rPr>
          <w:rFonts w:ascii="Arial" w:hAnsi="Arial" w:cs="Arial"/>
          <w:sz w:val="20"/>
          <w:szCs w:val="20"/>
        </w:rPr>
      </w:pPr>
      <w:r w:rsidRPr="00AB1CD6">
        <w:rPr>
          <w:rFonts w:ascii="Arial" w:hAnsi="Arial" w:cs="Arial"/>
          <w:sz w:val="20"/>
          <w:szCs w:val="20"/>
        </w:rPr>
        <w:t>Sendo o adicional de insalubridade verba inerente ao cargo de Auxiliar de Serviços Gerais, não se tratando de verba de natureza transitória, sobre o qual, inclusive, incid</w:t>
      </w:r>
      <w:r>
        <w:rPr>
          <w:rFonts w:ascii="Arial" w:hAnsi="Arial" w:cs="Arial"/>
          <w:sz w:val="20"/>
          <w:szCs w:val="20"/>
        </w:rPr>
        <w:t xml:space="preserve">e </w:t>
      </w:r>
      <w:r w:rsidRPr="00AB1CD6">
        <w:rPr>
          <w:rFonts w:ascii="Arial" w:hAnsi="Arial" w:cs="Arial"/>
          <w:sz w:val="20"/>
          <w:szCs w:val="20"/>
        </w:rPr>
        <w:t>os descontos previdenciários respectivos</w:t>
      </w:r>
      <w:r>
        <w:rPr>
          <w:rFonts w:ascii="Arial" w:hAnsi="Arial" w:cs="Arial"/>
          <w:sz w:val="20"/>
          <w:szCs w:val="20"/>
        </w:rPr>
        <w:t xml:space="preserve"> a legalidade e registro do ato se impõe.</w:t>
      </w:r>
    </w:p>
    <w:p w:rsidR="00AB1CD6" w:rsidRDefault="00AB1CD6" w:rsidP="00822605">
      <w:pPr>
        <w:autoSpaceDE w:val="0"/>
        <w:autoSpaceDN w:val="0"/>
        <w:adjustRightInd w:val="0"/>
        <w:spacing w:after="0"/>
        <w:jc w:val="both"/>
        <w:rPr>
          <w:rFonts w:ascii="Arial" w:hAnsi="Arial" w:cs="Arial"/>
          <w:sz w:val="20"/>
          <w:szCs w:val="20"/>
        </w:rPr>
      </w:pPr>
    </w:p>
    <w:p w:rsidR="00AB1CD6" w:rsidRDefault="00AB1CD6" w:rsidP="00822605">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113764/16 - </w:t>
      </w:r>
      <w:hyperlink r:id="rId8" w:history="1">
        <w:r w:rsidRPr="004F2CF1">
          <w:rPr>
            <w:rStyle w:val="Hyperlink"/>
            <w:rFonts w:ascii="Arial" w:hAnsi="Arial" w:cs="Arial"/>
            <w:sz w:val="20"/>
            <w:szCs w:val="20"/>
          </w:rPr>
          <w:t>Acórdão n° 3443/17 - Primeira Câmara</w:t>
        </w:r>
      </w:hyperlink>
      <w:r>
        <w:rPr>
          <w:rFonts w:ascii="Arial" w:hAnsi="Arial" w:cs="Arial"/>
          <w:sz w:val="20"/>
          <w:szCs w:val="20"/>
        </w:rPr>
        <w:t xml:space="preserve"> - Rel. Cons. Fabio de Souza Camargo. </w:t>
      </w:r>
      <w:r w:rsidRPr="00AB1CD6">
        <w:rPr>
          <w:rFonts w:ascii="Arial" w:hAnsi="Arial" w:cs="Arial"/>
          <w:sz w:val="20"/>
          <w:szCs w:val="20"/>
        </w:rPr>
        <w:t xml:space="preserve"> </w:t>
      </w:r>
    </w:p>
    <w:p w:rsidR="00376AEB" w:rsidRDefault="00376AEB" w:rsidP="00822605">
      <w:pPr>
        <w:autoSpaceDE w:val="0"/>
        <w:autoSpaceDN w:val="0"/>
        <w:adjustRightInd w:val="0"/>
        <w:spacing w:after="0"/>
        <w:jc w:val="both"/>
        <w:rPr>
          <w:rFonts w:ascii="Arial" w:hAnsi="Arial" w:cs="Arial"/>
          <w:sz w:val="20"/>
          <w:szCs w:val="20"/>
        </w:rPr>
      </w:pPr>
    </w:p>
    <w:p w:rsidR="00376AEB" w:rsidRDefault="005F35B7" w:rsidP="00822605">
      <w:pPr>
        <w:spacing w:after="0"/>
        <w:jc w:val="both"/>
        <w:rPr>
          <w:rFonts w:ascii="Arial" w:hAnsi="Arial" w:cs="Arial"/>
          <w:sz w:val="20"/>
          <w:szCs w:val="20"/>
        </w:rPr>
      </w:pPr>
      <w:r>
        <w:rPr>
          <w:rFonts w:ascii="Arial" w:hAnsi="Arial" w:cs="Arial"/>
          <w:b/>
          <w:sz w:val="20"/>
          <w:szCs w:val="20"/>
        </w:rPr>
        <w:t xml:space="preserve">2. </w:t>
      </w:r>
      <w:r w:rsidR="00376AEB">
        <w:rPr>
          <w:rFonts w:ascii="Arial" w:hAnsi="Arial" w:cs="Arial"/>
          <w:b/>
          <w:sz w:val="20"/>
          <w:szCs w:val="20"/>
        </w:rPr>
        <w:t xml:space="preserve">Prestação de Contas. Transferência voluntária. Despesas com pagamento de refeições e passagens de policiais civis e militares. Inteligência do art. 62 da LRF. Conversão em ressalva. Regularidade com ressalva e recomendação. </w:t>
      </w:r>
    </w:p>
    <w:p w:rsidR="005F35B7" w:rsidRDefault="005F35B7" w:rsidP="00822605">
      <w:pPr>
        <w:spacing w:after="0"/>
        <w:jc w:val="both"/>
        <w:rPr>
          <w:rFonts w:ascii="Arial" w:hAnsi="Arial" w:cs="Arial"/>
          <w:sz w:val="20"/>
          <w:szCs w:val="20"/>
        </w:rPr>
      </w:pPr>
    </w:p>
    <w:p w:rsidR="00376AEB" w:rsidRDefault="00376AEB" w:rsidP="00822605">
      <w:pPr>
        <w:spacing w:after="0"/>
        <w:jc w:val="both"/>
        <w:rPr>
          <w:rFonts w:ascii="Arial" w:hAnsi="Arial" w:cs="Arial"/>
          <w:sz w:val="20"/>
          <w:szCs w:val="20"/>
        </w:rPr>
      </w:pPr>
      <w:r>
        <w:rPr>
          <w:rFonts w:ascii="Arial" w:hAnsi="Arial" w:cs="Arial"/>
          <w:sz w:val="20"/>
          <w:szCs w:val="20"/>
        </w:rPr>
        <w:t xml:space="preserve">Recursos Financeiros oriundos de transferência voluntária celebrada entre o Município e o Conselho Comunitário de Segurança da Cidade foram aplicados no pagamento de refeições e passagens a policiais civis e militares. </w:t>
      </w:r>
    </w:p>
    <w:p w:rsidR="00684303" w:rsidRDefault="00684303" w:rsidP="00822605">
      <w:pPr>
        <w:spacing w:after="0"/>
        <w:jc w:val="both"/>
        <w:rPr>
          <w:rFonts w:ascii="Arial" w:hAnsi="Arial" w:cs="Arial"/>
          <w:sz w:val="20"/>
          <w:szCs w:val="20"/>
        </w:rPr>
      </w:pPr>
    </w:p>
    <w:p w:rsidR="00376AEB" w:rsidRDefault="00376AEB" w:rsidP="00822605">
      <w:pPr>
        <w:spacing w:after="0"/>
        <w:jc w:val="both"/>
        <w:rPr>
          <w:rFonts w:ascii="Arial" w:hAnsi="Arial" w:cs="Arial"/>
          <w:sz w:val="20"/>
          <w:szCs w:val="20"/>
        </w:rPr>
      </w:pPr>
      <w:r>
        <w:rPr>
          <w:rFonts w:ascii="Arial" w:hAnsi="Arial" w:cs="Arial"/>
          <w:sz w:val="20"/>
          <w:szCs w:val="20"/>
        </w:rPr>
        <w:t>Contudo, o convênio realizado teve por objeto a manutenção e o funcionamento do Conselho Comunitário de Segurança e não o custeio de despesas do Estado do Paraná, tendo em vista que o custeio da Segurança Pública cabe a este ente da federação.</w:t>
      </w:r>
    </w:p>
    <w:p w:rsidR="00684303" w:rsidRDefault="00684303" w:rsidP="00822605">
      <w:pPr>
        <w:spacing w:after="0"/>
        <w:jc w:val="both"/>
        <w:rPr>
          <w:rFonts w:ascii="Arial" w:hAnsi="Arial" w:cs="Arial"/>
          <w:sz w:val="20"/>
          <w:szCs w:val="20"/>
        </w:rPr>
      </w:pPr>
    </w:p>
    <w:p w:rsidR="00376AEB" w:rsidRDefault="00376AEB" w:rsidP="00822605">
      <w:pPr>
        <w:spacing w:after="0"/>
        <w:jc w:val="both"/>
        <w:rPr>
          <w:rFonts w:ascii="Arial" w:hAnsi="Arial" w:cs="Arial"/>
          <w:sz w:val="20"/>
          <w:szCs w:val="20"/>
        </w:rPr>
      </w:pPr>
      <w:r>
        <w:rPr>
          <w:rFonts w:ascii="Arial" w:hAnsi="Arial" w:cs="Arial"/>
          <w:sz w:val="20"/>
          <w:szCs w:val="20"/>
        </w:rPr>
        <w:lastRenderedPageBreak/>
        <w:t xml:space="preserve">O julgado entendeu não se ter observado os ditames legais na realização das despesas mencionadas, pois, para esta finalidade, deveria ter sido observado o art. 62 da Lei de Responsabilidade Fiscal. Tal irregularidade formal, asseverou o Relator, por se destinarem ao custeio da segurança pública municipal, pode ser convertida em regularidade com ressalva e recomendação ao gestor para que deixe de realizar tais despesas por meio do convênio com o Conselho Municipal. </w:t>
      </w:r>
    </w:p>
    <w:p w:rsidR="005F35B7" w:rsidRDefault="005F35B7" w:rsidP="00822605">
      <w:pPr>
        <w:spacing w:after="0"/>
        <w:jc w:val="both"/>
        <w:rPr>
          <w:rFonts w:ascii="Arial" w:hAnsi="Arial" w:cs="Arial"/>
          <w:sz w:val="20"/>
          <w:szCs w:val="20"/>
        </w:rPr>
      </w:pPr>
    </w:p>
    <w:p w:rsidR="00376AEB" w:rsidRDefault="00376AEB" w:rsidP="00822605">
      <w:pPr>
        <w:spacing w:after="0"/>
        <w:jc w:val="both"/>
        <w:rPr>
          <w:rFonts w:ascii="Arial" w:hAnsi="Arial" w:cs="Arial"/>
          <w:sz w:val="20"/>
          <w:szCs w:val="20"/>
        </w:rPr>
      </w:pPr>
      <w:r>
        <w:rPr>
          <w:rFonts w:ascii="Arial" w:hAnsi="Arial" w:cs="Arial"/>
          <w:sz w:val="20"/>
          <w:szCs w:val="20"/>
        </w:rPr>
        <w:t xml:space="preserve">Processo nº 140060/13 </w:t>
      </w:r>
      <w:r w:rsidR="00684303">
        <w:rPr>
          <w:rFonts w:ascii="Arial" w:hAnsi="Arial" w:cs="Arial"/>
          <w:sz w:val="20"/>
          <w:szCs w:val="20"/>
        </w:rPr>
        <w:t>-</w:t>
      </w:r>
      <w:r>
        <w:rPr>
          <w:rFonts w:ascii="Arial" w:hAnsi="Arial" w:cs="Arial"/>
          <w:sz w:val="20"/>
          <w:szCs w:val="20"/>
        </w:rPr>
        <w:t xml:space="preserve"> </w:t>
      </w:r>
      <w:hyperlink r:id="rId9" w:history="1">
        <w:r w:rsidRPr="007645AC">
          <w:rPr>
            <w:rStyle w:val="Hyperlink"/>
            <w:rFonts w:ascii="Arial" w:hAnsi="Arial" w:cs="Arial"/>
            <w:sz w:val="20"/>
            <w:szCs w:val="20"/>
          </w:rPr>
          <w:t>Acórdão nº 3357/17</w:t>
        </w:r>
        <w:r w:rsidR="00730795">
          <w:rPr>
            <w:rStyle w:val="Hyperlink"/>
            <w:rFonts w:ascii="Arial" w:hAnsi="Arial" w:cs="Arial"/>
            <w:sz w:val="20"/>
            <w:szCs w:val="20"/>
          </w:rPr>
          <w:t xml:space="preserve"> </w:t>
        </w:r>
        <w:r w:rsidRPr="007645AC">
          <w:rPr>
            <w:rStyle w:val="Hyperlink"/>
            <w:rFonts w:ascii="Arial" w:hAnsi="Arial" w:cs="Arial"/>
            <w:sz w:val="20"/>
            <w:szCs w:val="20"/>
          </w:rPr>
          <w:t>-</w:t>
        </w:r>
        <w:r w:rsidR="00730795">
          <w:rPr>
            <w:rStyle w:val="Hyperlink"/>
            <w:rFonts w:ascii="Arial" w:hAnsi="Arial" w:cs="Arial"/>
            <w:sz w:val="20"/>
            <w:szCs w:val="20"/>
          </w:rPr>
          <w:t xml:space="preserve"> </w:t>
        </w:r>
        <w:r w:rsidR="00712503">
          <w:rPr>
            <w:rStyle w:val="Hyperlink"/>
            <w:rFonts w:ascii="Arial" w:hAnsi="Arial" w:cs="Arial"/>
            <w:sz w:val="20"/>
            <w:szCs w:val="20"/>
          </w:rPr>
          <w:t>Primeira</w:t>
        </w:r>
        <w:r w:rsidRPr="007645AC">
          <w:rPr>
            <w:rStyle w:val="Hyperlink"/>
            <w:rFonts w:ascii="Arial" w:hAnsi="Arial" w:cs="Arial"/>
            <w:sz w:val="20"/>
            <w:szCs w:val="20"/>
          </w:rPr>
          <w:t xml:space="preserve"> Câmara</w:t>
        </w:r>
      </w:hyperlink>
      <w:r>
        <w:rPr>
          <w:rFonts w:ascii="Arial" w:hAnsi="Arial" w:cs="Arial"/>
          <w:sz w:val="20"/>
          <w:szCs w:val="20"/>
        </w:rPr>
        <w:t xml:space="preserve"> </w:t>
      </w:r>
      <w:r w:rsidR="00684303">
        <w:rPr>
          <w:rFonts w:ascii="Arial" w:hAnsi="Arial" w:cs="Arial"/>
          <w:sz w:val="20"/>
          <w:szCs w:val="20"/>
        </w:rPr>
        <w:t>-</w:t>
      </w:r>
      <w:r>
        <w:rPr>
          <w:rFonts w:ascii="Arial" w:hAnsi="Arial" w:cs="Arial"/>
          <w:sz w:val="20"/>
          <w:szCs w:val="20"/>
        </w:rPr>
        <w:t xml:space="preserve"> Rel. Conselheiro Fernando Augusto Mello Guimarães. </w:t>
      </w:r>
    </w:p>
    <w:p w:rsidR="00376AEB" w:rsidRDefault="00376AEB" w:rsidP="00822605">
      <w:pPr>
        <w:spacing w:after="0"/>
        <w:jc w:val="both"/>
        <w:rPr>
          <w:rFonts w:ascii="Arial" w:hAnsi="Arial" w:cs="Arial"/>
          <w:sz w:val="20"/>
          <w:szCs w:val="20"/>
        </w:rPr>
      </w:pPr>
    </w:p>
    <w:p w:rsidR="00376AEB" w:rsidRDefault="005F35B7" w:rsidP="00822605">
      <w:pPr>
        <w:spacing w:after="0"/>
        <w:jc w:val="both"/>
        <w:rPr>
          <w:rFonts w:ascii="Arial" w:hAnsi="Arial" w:cs="Arial"/>
          <w:sz w:val="20"/>
          <w:szCs w:val="20"/>
        </w:rPr>
      </w:pPr>
      <w:r>
        <w:rPr>
          <w:rFonts w:ascii="Arial" w:hAnsi="Arial" w:cs="Arial"/>
          <w:b/>
          <w:sz w:val="20"/>
          <w:szCs w:val="20"/>
        </w:rPr>
        <w:t xml:space="preserve">3. </w:t>
      </w:r>
      <w:r w:rsidR="00376AEB">
        <w:rPr>
          <w:rFonts w:ascii="Arial" w:hAnsi="Arial" w:cs="Arial"/>
          <w:b/>
          <w:sz w:val="20"/>
          <w:szCs w:val="20"/>
        </w:rPr>
        <w:t>Embargos de Declaração que aduz</w:t>
      </w:r>
      <w:r w:rsidR="00FF1139">
        <w:rPr>
          <w:rFonts w:ascii="Arial" w:hAnsi="Arial" w:cs="Arial"/>
          <w:b/>
          <w:sz w:val="20"/>
          <w:szCs w:val="20"/>
        </w:rPr>
        <w:t>em</w:t>
      </w:r>
      <w:r w:rsidR="00376AEB">
        <w:rPr>
          <w:rFonts w:ascii="Arial" w:hAnsi="Arial" w:cs="Arial"/>
          <w:b/>
          <w:sz w:val="20"/>
          <w:szCs w:val="20"/>
        </w:rPr>
        <w:t xml:space="preserve"> não ter havido fundamentação na parte dispositiva do Acórdão.  Parecer Prévio em PCA. Inteligência do art. 489 do NCPC. Pelo não provimento.  </w:t>
      </w:r>
    </w:p>
    <w:p w:rsidR="005F35B7" w:rsidRDefault="005F35B7" w:rsidP="00822605">
      <w:pPr>
        <w:spacing w:after="0"/>
        <w:jc w:val="both"/>
        <w:rPr>
          <w:rFonts w:ascii="Arial" w:hAnsi="Arial" w:cs="Arial"/>
          <w:sz w:val="20"/>
          <w:szCs w:val="20"/>
        </w:rPr>
      </w:pPr>
    </w:p>
    <w:p w:rsidR="00376AEB" w:rsidRDefault="00376AEB" w:rsidP="00822605">
      <w:pPr>
        <w:spacing w:after="0"/>
        <w:jc w:val="both"/>
        <w:rPr>
          <w:rFonts w:ascii="Arial" w:hAnsi="Arial" w:cs="Arial"/>
          <w:sz w:val="20"/>
          <w:szCs w:val="20"/>
        </w:rPr>
      </w:pPr>
      <w:r>
        <w:rPr>
          <w:rFonts w:ascii="Arial" w:hAnsi="Arial" w:cs="Arial"/>
          <w:sz w:val="20"/>
          <w:szCs w:val="20"/>
        </w:rPr>
        <w:t>Os Embargos opostos apontaram omissão no dispositivo do Acórdão que emitiu Parecer Prévio em prestação de contas anual do Poder Executivo d</w:t>
      </w:r>
      <w:r w:rsidR="00730795">
        <w:rPr>
          <w:rFonts w:ascii="Arial" w:hAnsi="Arial" w:cs="Arial"/>
          <w:sz w:val="20"/>
          <w:szCs w:val="20"/>
        </w:rPr>
        <w:t xml:space="preserve">o Município </w:t>
      </w:r>
      <w:r>
        <w:rPr>
          <w:rFonts w:ascii="Arial" w:hAnsi="Arial" w:cs="Arial"/>
          <w:sz w:val="20"/>
          <w:szCs w:val="20"/>
        </w:rPr>
        <w:t xml:space="preserve">do exercício financeiro de 2013. Segundo arguiram, o dispositivo do Acórdão não teria apontado os dispositivos legais infringidos para que fosse possível o seu entendimento. </w:t>
      </w:r>
    </w:p>
    <w:p w:rsidR="00684303" w:rsidRDefault="00684303" w:rsidP="00822605">
      <w:pPr>
        <w:spacing w:after="0"/>
        <w:jc w:val="both"/>
        <w:rPr>
          <w:rFonts w:ascii="Arial" w:hAnsi="Arial" w:cs="Arial"/>
          <w:sz w:val="20"/>
          <w:szCs w:val="20"/>
        </w:rPr>
      </w:pPr>
    </w:p>
    <w:p w:rsidR="00376AEB" w:rsidRDefault="00376AEB" w:rsidP="00822605">
      <w:pPr>
        <w:spacing w:after="0"/>
        <w:jc w:val="both"/>
        <w:rPr>
          <w:rFonts w:ascii="Arial" w:hAnsi="Arial" w:cs="Arial"/>
          <w:sz w:val="20"/>
          <w:szCs w:val="20"/>
        </w:rPr>
      </w:pPr>
      <w:r>
        <w:rPr>
          <w:rFonts w:ascii="Arial" w:hAnsi="Arial" w:cs="Arial"/>
          <w:sz w:val="20"/>
          <w:szCs w:val="20"/>
        </w:rPr>
        <w:t>“No entanto, conforme pacificamente adotado pela doutrina e pela legislação pátria, as sentenças possuem como elementos essenciais o relatório, a fundamentação e o dispositivo, devendo ser indicadas as razões de fato e de direito da decisão em sua fundamentação e não em seu dispositivo”, alegou, com fulcro no art. 489 do NCPC, o Relator do julgado em seu voto acompanhado por unanimidade. Embargos conhecidos, porém</w:t>
      </w:r>
      <w:r w:rsidR="004E3A4A">
        <w:rPr>
          <w:rFonts w:ascii="Arial" w:hAnsi="Arial" w:cs="Arial"/>
          <w:sz w:val="20"/>
          <w:szCs w:val="20"/>
        </w:rPr>
        <w:t>,</w:t>
      </w:r>
      <w:r>
        <w:rPr>
          <w:rFonts w:ascii="Arial" w:hAnsi="Arial" w:cs="Arial"/>
          <w:sz w:val="20"/>
          <w:szCs w:val="20"/>
        </w:rPr>
        <w:t xml:space="preserve"> com provimento negado. </w:t>
      </w:r>
    </w:p>
    <w:p w:rsidR="00376AEB" w:rsidRDefault="00376AEB" w:rsidP="00822605">
      <w:pPr>
        <w:spacing w:after="0"/>
        <w:jc w:val="both"/>
        <w:rPr>
          <w:rFonts w:ascii="Arial" w:hAnsi="Arial" w:cs="Arial"/>
          <w:sz w:val="20"/>
          <w:szCs w:val="20"/>
        </w:rPr>
      </w:pPr>
    </w:p>
    <w:p w:rsidR="00376AEB" w:rsidRDefault="00376AEB" w:rsidP="00822605">
      <w:pPr>
        <w:spacing w:after="0"/>
        <w:jc w:val="both"/>
        <w:rPr>
          <w:rFonts w:ascii="Arial" w:hAnsi="Arial" w:cs="Arial"/>
          <w:sz w:val="20"/>
          <w:szCs w:val="20"/>
        </w:rPr>
      </w:pPr>
      <w:r>
        <w:rPr>
          <w:rFonts w:ascii="Arial" w:hAnsi="Arial" w:cs="Arial"/>
          <w:sz w:val="20"/>
          <w:szCs w:val="20"/>
        </w:rPr>
        <w:t xml:space="preserve">Processo nº 488303/17 </w:t>
      </w:r>
      <w:r w:rsidR="00684303">
        <w:rPr>
          <w:rFonts w:ascii="Arial" w:hAnsi="Arial" w:cs="Arial"/>
          <w:sz w:val="20"/>
          <w:szCs w:val="20"/>
        </w:rPr>
        <w:t>-</w:t>
      </w:r>
      <w:hyperlink r:id="rId10" w:history="1">
        <w:r w:rsidRPr="00167834">
          <w:rPr>
            <w:rStyle w:val="Hyperlink"/>
            <w:rFonts w:ascii="Arial" w:hAnsi="Arial" w:cs="Arial"/>
            <w:sz w:val="20"/>
            <w:szCs w:val="20"/>
          </w:rPr>
          <w:t xml:space="preserve"> Acórdão nº 3360/17</w:t>
        </w:r>
        <w:r w:rsidR="00730795">
          <w:rPr>
            <w:rStyle w:val="Hyperlink"/>
            <w:rFonts w:ascii="Arial" w:hAnsi="Arial" w:cs="Arial"/>
            <w:sz w:val="20"/>
            <w:szCs w:val="20"/>
          </w:rPr>
          <w:t xml:space="preserve"> </w:t>
        </w:r>
        <w:r w:rsidRPr="00167834">
          <w:rPr>
            <w:rStyle w:val="Hyperlink"/>
            <w:rFonts w:ascii="Arial" w:hAnsi="Arial" w:cs="Arial"/>
            <w:sz w:val="20"/>
            <w:szCs w:val="20"/>
          </w:rPr>
          <w:t>-</w:t>
        </w:r>
        <w:r w:rsidR="00730795">
          <w:rPr>
            <w:rStyle w:val="Hyperlink"/>
            <w:rFonts w:ascii="Arial" w:hAnsi="Arial" w:cs="Arial"/>
            <w:sz w:val="20"/>
            <w:szCs w:val="20"/>
          </w:rPr>
          <w:t xml:space="preserve"> </w:t>
        </w:r>
        <w:r w:rsidR="00432A5E">
          <w:rPr>
            <w:rStyle w:val="Hyperlink"/>
            <w:rFonts w:ascii="Arial" w:hAnsi="Arial" w:cs="Arial"/>
            <w:sz w:val="20"/>
            <w:szCs w:val="20"/>
          </w:rPr>
          <w:t>Primeira</w:t>
        </w:r>
        <w:r w:rsidRPr="00167834">
          <w:rPr>
            <w:rStyle w:val="Hyperlink"/>
            <w:rFonts w:ascii="Arial" w:hAnsi="Arial" w:cs="Arial"/>
            <w:sz w:val="20"/>
            <w:szCs w:val="20"/>
          </w:rPr>
          <w:t xml:space="preserve"> Câmara</w:t>
        </w:r>
      </w:hyperlink>
      <w:r>
        <w:rPr>
          <w:rFonts w:ascii="Arial" w:hAnsi="Arial" w:cs="Arial"/>
          <w:sz w:val="20"/>
          <w:szCs w:val="20"/>
        </w:rPr>
        <w:t xml:space="preserve"> </w:t>
      </w:r>
      <w:r w:rsidR="00684303">
        <w:rPr>
          <w:rFonts w:ascii="Arial" w:hAnsi="Arial" w:cs="Arial"/>
          <w:sz w:val="20"/>
          <w:szCs w:val="20"/>
        </w:rPr>
        <w:t>-</w:t>
      </w:r>
      <w:r>
        <w:rPr>
          <w:rFonts w:ascii="Arial" w:hAnsi="Arial" w:cs="Arial"/>
          <w:sz w:val="20"/>
          <w:szCs w:val="20"/>
        </w:rPr>
        <w:t xml:space="preserve"> Rel. Conselheiro Fernando Augusto Mello Guimarães. </w:t>
      </w:r>
    </w:p>
    <w:p w:rsidR="00376AEB" w:rsidRDefault="00376AEB" w:rsidP="00822605">
      <w:pPr>
        <w:spacing w:after="0"/>
        <w:jc w:val="both"/>
        <w:rPr>
          <w:rFonts w:ascii="Arial" w:hAnsi="Arial" w:cs="Arial"/>
          <w:sz w:val="20"/>
          <w:szCs w:val="20"/>
        </w:rPr>
      </w:pPr>
    </w:p>
    <w:p w:rsidR="00376AEB" w:rsidRPr="0088778C" w:rsidRDefault="005F35B7" w:rsidP="00822605">
      <w:pPr>
        <w:spacing w:after="0"/>
        <w:jc w:val="both"/>
        <w:rPr>
          <w:rFonts w:ascii="Arial" w:hAnsi="Arial" w:cs="Arial"/>
          <w:b/>
          <w:sz w:val="20"/>
          <w:szCs w:val="20"/>
        </w:rPr>
      </w:pPr>
      <w:r>
        <w:rPr>
          <w:rFonts w:ascii="Arial" w:hAnsi="Arial" w:cs="Arial"/>
          <w:b/>
          <w:sz w:val="20"/>
          <w:szCs w:val="20"/>
        </w:rPr>
        <w:t xml:space="preserve">4. </w:t>
      </w:r>
      <w:r w:rsidR="00376AEB" w:rsidRPr="0088778C">
        <w:rPr>
          <w:rFonts w:ascii="Arial" w:hAnsi="Arial" w:cs="Arial"/>
          <w:b/>
          <w:sz w:val="20"/>
          <w:szCs w:val="20"/>
        </w:rPr>
        <w:t xml:space="preserve">Admissão de Pessoal. Contratação temporária. Recurso de Agravo interposto pelo ente municipal. Juízo de retratação pela revogação da medida cautelar de suspensão do certame. Teste seletivo apto a retomar seu trâmite normal. </w:t>
      </w:r>
    </w:p>
    <w:p w:rsidR="00376AEB" w:rsidRDefault="00376AEB" w:rsidP="00822605">
      <w:pPr>
        <w:spacing w:after="0"/>
        <w:jc w:val="both"/>
        <w:rPr>
          <w:rFonts w:ascii="Arial" w:hAnsi="Arial" w:cs="Arial"/>
          <w:sz w:val="20"/>
          <w:szCs w:val="20"/>
        </w:rPr>
      </w:pPr>
    </w:p>
    <w:p w:rsidR="00376AEB" w:rsidRDefault="00376AEB" w:rsidP="00822605">
      <w:pPr>
        <w:spacing w:after="0"/>
        <w:jc w:val="both"/>
        <w:rPr>
          <w:rFonts w:ascii="Arial" w:hAnsi="Arial" w:cs="Arial"/>
          <w:sz w:val="20"/>
          <w:szCs w:val="20"/>
        </w:rPr>
      </w:pPr>
      <w:r>
        <w:rPr>
          <w:rFonts w:ascii="Arial" w:hAnsi="Arial" w:cs="Arial"/>
          <w:sz w:val="20"/>
          <w:szCs w:val="20"/>
        </w:rPr>
        <w:t xml:space="preserve">A aparente inconstitucionalidade das normas que criaram empregos públicos a partir de 2017 (Lei Municipal nº 320/2017), redundou na concessão de cautelar, devidamente apreciada pelo corpo deliberativo desta Casa, que visava determinar ao Município que se abstivesse de admitir servidores/empregados habilitados no certame, até decisão definitiva da Corte. </w:t>
      </w:r>
      <w:r w:rsidR="00684303">
        <w:rPr>
          <w:rFonts w:ascii="Arial" w:hAnsi="Arial" w:cs="Arial"/>
          <w:sz w:val="20"/>
          <w:szCs w:val="20"/>
        </w:rPr>
        <w:t xml:space="preserve"> </w:t>
      </w:r>
      <w:r>
        <w:rPr>
          <w:rFonts w:ascii="Arial" w:hAnsi="Arial" w:cs="Arial"/>
          <w:sz w:val="20"/>
          <w:szCs w:val="20"/>
        </w:rPr>
        <w:t xml:space="preserve">Recurso de Agravo interposto contra o despacho que concedeu a cautelar. </w:t>
      </w:r>
    </w:p>
    <w:p w:rsidR="00684303" w:rsidRDefault="00684303" w:rsidP="00822605">
      <w:pPr>
        <w:spacing w:after="0"/>
        <w:jc w:val="both"/>
        <w:rPr>
          <w:rFonts w:ascii="Arial" w:hAnsi="Arial" w:cs="Arial"/>
          <w:sz w:val="20"/>
          <w:szCs w:val="20"/>
        </w:rPr>
      </w:pPr>
    </w:p>
    <w:p w:rsidR="00376AEB" w:rsidRDefault="00376AEB" w:rsidP="00822605">
      <w:pPr>
        <w:spacing w:after="0"/>
        <w:jc w:val="both"/>
        <w:rPr>
          <w:rFonts w:ascii="Arial" w:hAnsi="Arial" w:cs="Arial"/>
          <w:sz w:val="20"/>
          <w:szCs w:val="20"/>
        </w:rPr>
      </w:pPr>
      <w:r>
        <w:rPr>
          <w:rFonts w:ascii="Arial" w:hAnsi="Arial" w:cs="Arial"/>
          <w:sz w:val="20"/>
          <w:szCs w:val="20"/>
        </w:rPr>
        <w:t xml:space="preserve">Em sede recursal, então, verificou-se que foram corrigidos os vícios que deram ensejo à concessão da medida cautelar mediante a revogação da Lei Municipal nº 320/207, que estabelecia o regime celetista para os contratados por tempo determinado. Além disso, foram criados cargos públicos efetivos para as funções que serão provisoriamente exercidas pelos </w:t>
      </w:r>
      <w:r>
        <w:rPr>
          <w:rFonts w:ascii="Arial" w:hAnsi="Arial" w:cs="Arial"/>
          <w:sz w:val="20"/>
          <w:szCs w:val="20"/>
        </w:rPr>
        <w:lastRenderedPageBreak/>
        <w:t xml:space="preserve">temporários selecionados no certame, os quais passarão a ser regidos pela Lei Complementar Municipal nº 01/2014 (regime jurídico específico para os servidores admitidos por prazo determinado). </w:t>
      </w:r>
    </w:p>
    <w:p w:rsidR="00684303" w:rsidRDefault="00684303" w:rsidP="00822605">
      <w:pPr>
        <w:spacing w:after="0"/>
        <w:jc w:val="both"/>
        <w:rPr>
          <w:rFonts w:ascii="Arial" w:hAnsi="Arial" w:cs="Arial"/>
          <w:sz w:val="20"/>
          <w:szCs w:val="20"/>
        </w:rPr>
      </w:pPr>
    </w:p>
    <w:p w:rsidR="00376AEB" w:rsidRDefault="00376AEB" w:rsidP="00822605">
      <w:pPr>
        <w:spacing w:after="0"/>
        <w:jc w:val="both"/>
        <w:rPr>
          <w:rFonts w:ascii="Arial" w:hAnsi="Arial" w:cs="Arial"/>
          <w:sz w:val="20"/>
          <w:szCs w:val="20"/>
        </w:rPr>
      </w:pPr>
      <w:r>
        <w:rPr>
          <w:rFonts w:ascii="Arial" w:hAnsi="Arial" w:cs="Arial"/>
          <w:sz w:val="20"/>
          <w:szCs w:val="20"/>
        </w:rPr>
        <w:t xml:space="preserve">Foi então ratificado o despacho que revogou a medida cautelar de suspensão do certame, com recomendação ao Município para que inicie os procedimentos necessários à realização de concurso público para substituir os servidores temporários que serão contratados pelo Processo Seletivo Simplificado de Edital nº 001/2017. </w:t>
      </w:r>
    </w:p>
    <w:p w:rsidR="00376AEB" w:rsidRDefault="00376AEB" w:rsidP="00822605">
      <w:pPr>
        <w:spacing w:after="0"/>
        <w:jc w:val="both"/>
        <w:rPr>
          <w:rFonts w:ascii="Arial" w:hAnsi="Arial" w:cs="Arial"/>
          <w:sz w:val="20"/>
          <w:szCs w:val="20"/>
        </w:rPr>
      </w:pPr>
    </w:p>
    <w:p w:rsidR="00376AEB" w:rsidRDefault="00376AEB" w:rsidP="00822605">
      <w:pPr>
        <w:spacing w:after="0"/>
        <w:jc w:val="both"/>
        <w:rPr>
          <w:rFonts w:ascii="Arial" w:hAnsi="Arial" w:cs="Arial"/>
          <w:sz w:val="20"/>
          <w:szCs w:val="20"/>
        </w:rPr>
      </w:pPr>
      <w:r>
        <w:rPr>
          <w:rFonts w:ascii="Arial" w:hAnsi="Arial" w:cs="Arial"/>
          <w:sz w:val="20"/>
          <w:szCs w:val="20"/>
        </w:rPr>
        <w:t xml:space="preserve">Processo nº 267900/17 </w:t>
      </w:r>
      <w:r w:rsidR="00684303">
        <w:rPr>
          <w:rFonts w:ascii="Arial" w:hAnsi="Arial" w:cs="Arial"/>
          <w:sz w:val="20"/>
          <w:szCs w:val="20"/>
        </w:rPr>
        <w:t>-</w:t>
      </w:r>
      <w:r>
        <w:rPr>
          <w:rFonts w:ascii="Arial" w:hAnsi="Arial" w:cs="Arial"/>
          <w:sz w:val="20"/>
          <w:szCs w:val="20"/>
        </w:rPr>
        <w:t xml:space="preserve"> </w:t>
      </w:r>
      <w:hyperlink r:id="rId11" w:history="1">
        <w:r w:rsidRPr="00C63849">
          <w:rPr>
            <w:rStyle w:val="Hyperlink"/>
            <w:rFonts w:ascii="Arial" w:hAnsi="Arial" w:cs="Arial"/>
            <w:sz w:val="20"/>
            <w:szCs w:val="20"/>
          </w:rPr>
          <w:t>Acórdão nº 3372/17-</w:t>
        </w:r>
        <w:r w:rsidR="00754CE6">
          <w:rPr>
            <w:rStyle w:val="Hyperlink"/>
            <w:rFonts w:ascii="Arial" w:hAnsi="Arial" w:cs="Arial"/>
            <w:sz w:val="20"/>
            <w:szCs w:val="20"/>
          </w:rPr>
          <w:t xml:space="preserve"> </w:t>
        </w:r>
        <w:r w:rsidR="00D624F1">
          <w:rPr>
            <w:rStyle w:val="Hyperlink"/>
            <w:rFonts w:ascii="Arial" w:hAnsi="Arial" w:cs="Arial"/>
            <w:sz w:val="20"/>
            <w:szCs w:val="20"/>
          </w:rPr>
          <w:t>Primeira</w:t>
        </w:r>
        <w:r w:rsidRPr="00C63849">
          <w:rPr>
            <w:rStyle w:val="Hyperlink"/>
            <w:rFonts w:ascii="Arial" w:hAnsi="Arial" w:cs="Arial"/>
            <w:sz w:val="20"/>
            <w:szCs w:val="20"/>
          </w:rPr>
          <w:t xml:space="preserve"> Câmara</w:t>
        </w:r>
      </w:hyperlink>
      <w:r>
        <w:rPr>
          <w:rFonts w:ascii="Arial" w:hAnsi="Arial" w:cs="Arial"/>
          <w:sz w:val="20"/>
          <w:szCs w:val="20"/>
        </w:rPr>
        <w:t xml:space="preserve"> </w:t>
      </w:r>
      <w:r w:rsidR="00684303">
        <w:rPr>
          <w:rFonts w:ascii="Arial" w:hAnsi="Arial" w:cs="Arial"/>
          <w:sz w:val="20"/>
          <w:szCs w:val="20"/>
        </w:rPr>
        <w:t>-</w:t>
      </w:r>
      <w:r>
        <w:rPr>
          <w:rFonts w:ascii="Arial" w:hAnsi="Arial" w:cs="Arial"/>
          <w:sz w:val="20"/>
          <w:szCs w:val="20"/>
        </w:rPr>
        <w:t xml:space="preserve"> Rel. Auditor Tiago Alvarez Pedroso.</w:t>
      </w:r>
    </w:p>
    <w:p w:rsidR="00376AEB" w:rsidRDefault="00376AEB" w:rsidP="00822605">
      <w:pPr>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816942">
      <w:pPr>
        <w:autoSpaceDE w:val="0"/>
        <w:autoSpaceDN w:val="0"/>
        <w:adjustRightInd w:val="0"/>
        <w:spacing w:after="0"/>
        <w:rPr>
          <w:rFonts w:ascii="Arial" w:hAnsi="Arial" w:cs="Arial"/>
          <w:sz w:val="20"/>
          <w:szCs w:val="20"/>
        </w:rPr>
      </w:pPr>
    </w:p>
    <w:p w:rsidR="00D624F1" w:rsidRPr="000D251F" w:rsidRDefault="00D624F1" w:rsidP="00D624F1">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Pr="000D251F">
        <w:rPr>
          <w:rFonts w:ascii="Arial" w:hAnsi="Arial" w:cs="Arial"/>
          <w:b/>
          <w:sz w:val="20"/>
          <w:szCs w:val="20"/>
        </w:rPr>
        <w:t>Certidão Liberatória. Aplicação de receita na manutenção de ensino. Educação. Responsabilidade fiscal.</w:t>
      </w:r>
    </w:p>
    <w:p w:rsidR="00D624F1" w:rsidRDefault="00D624F1" w:rsidP="00D624F1">
      <w:pPr>
        <w:autoSpaceDE w:val="0"/>
        <w:autoSpaceDN w:val="0"/>
        <w:adjustRightInd w:val="0"/>
        <w:spacing w:after="0"/>
        <w:jc w:val="both"/>
        <w:rPr>
          <w:rFonts w:ascii="Arial" w:hAnsi="Arial" w:cs="Arial"/>
          <w:sz w:val="20"/>
          <w:szCs w:val="20"/>
        </w:rPr>
      </w:pPr>
    </w:p>
    <w:p w:rsidR="00D624F1" w:rsidRDefault="00D624F1" w:rsidP="00D624F1">
      <w:pPr>
        <w:autoSpaceDE w:val="0"/>
        <w:autoSpaceDN w:val="0"/>
        <w:adjustRightInd w:val="0"/>
        <w:spacing w:after="0"/>
        <w:jc w:val="both"/>
        <w:rPr>
          <w:rFonts w:ascii="Arial" w:hAnsi="Arial" w:cs="Arial"/>
          <w:sz w:val="20"/>
          <w:szCs w:val="20"/>
        </w:rPr>
      </w:pPr>
      <w:r w:rsidRPr="000D251F">
        <w:rPr>
          <w:rFonts w:ascii="Arial" w:hAnsi="Arial" w:cs="Arial"/>
          <w:sz w:val="20"/>
          <w:szCs w:val="20"/>
        </w:rPr>
        <w:t>A não aplicação de 25% (vinte e cinco por cento), no mínimo, da receita resultante de impostos, compreendida a proveniente de transferências, na manutenção e desenvolvimento do ensino constitui impedimento à obtenção de certidão liberatória pelo Município, com fundamento no artigo 212, caput, da Constituição Federal, e artigo 25, § 1º, inciso IV, alínea “b”, da Lei Complementar 101/2000.</w:t>
      </w:r>
    </w:p>
    <w:p w:rsidR="00D624F1" w:rsidRDefault="00D624F1" w:rsidP="00D624F1">
      <w:pPr>
        <w:autoSpaceDE w:val="0"/>
        <w:autoSpaceDN w:val="0"/>
        <w:adjustRightInd w:val="0"/>
        <w:spacing w:after="0"/>
        <w:jc w:val="both"/>
        <w:rPr>
          <w:rFonts w:ascii="Arial" w:hAnsi="Arial" w:cs="Arial"/>
          <w:sz w:val="20"/>
          <w:szCs w:val="20"/>
        </w:rPr>
      </w:pPr>
    </w:p>
    <w:p w:rsidR="00D624F1" w:rsidRPr="000D251F" w:rsidRDefault="00D624F1" w:rsidP="00D624F1">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549620/17 - </w:t>
      </w:r>
      <w:hyperlink r:id="rId12" w:history="1">
        <w:r w:rsidRPr="00603E8F">
          <w:rPr>
            <w:rStyle w:val="Hyperlink"/>
            <w:rFonts w:ascii="Arial" w:hAnsi="Arial" w:cs="Arial"/>
            <w:sz w:val="20"/>
            <w:szCs w:val="20"/>
          </w:rPr>
          <w:t>Acórdão n° 3472/17 - Segunda Câmara</w:t>
        </w:r>
      </w:hyperlink>
      <w:r>
        <w:rPr>
          <w:rFonts w:ascii="Arial" w:hAnsi="Arial" w:cs="Arial"/>
          <w:sz w:val="20"/>
          <w:szCs w:val="20"/>
        </w:rPr>
        <w:t xml:space="preserve"> - Rel. Conselheiro </w:t>
      </w:r>
      <w:r w:rsidRPr="000D251F">
        <w:rPr>
          <w:rFonts w:ascii="Arial" w:hAnsi="Arial" w:cs="Arial"/>
          <w:sz w:val="20"/>
          <w:szCs w:val="20"/>
        </w:rPr>
        <w:t xml:space="preserve">Ivan </w:t>
      </w:r>
      <w:proofErr w:type="spellStart"/>
      <w:r w:rsidRPr="000D251F">
        <w:rPr>
          <w:rFonts w:ascii="Arial" w:hAnsi="Arial" w:cs="Arial"/>
          <w:sz w:val="20"/>
          <w:szCs w:val="20"/>
        </w:rPr>
        <w:t>Lelis</w:t>
      </w:r>
      <w:proofErr w:type="spellEnd"/>
      <w:r w:rsidRPr="000D251F">
        <w:rPr>
          <w:rFonts w:ascii="Arial" w:hAnsi="Arial" w:cs="Arial"/>
          <w:sz w:val="20"/>
          <w:szCs w:val="20"/>
        </w:rPr>
        <w:t xml:space="preserve"> Bonilha</w:t>
      </w:r>
      <w:r>
        <w:rPr>
          <w:rFonts w:ascii="Arial" w:hAnsi="Arial" w:cs="Arial"/>
          <w:sz w:val="20"/>
          <w:szCs w:val="20"/>
        </w:rPr>
        <w:t xml:space="preserve">. </w:t>
      </w:r>
      <w:r w:rsidRPr="00AB1CD6">
        <w:rPr>
          <w:rFonts w:ascii="Arial" w:hAnsi="Arial" w:cs="Arial"/>
          <w:sz w:val="20"/>
          <w:szCs w:val="20"/>
        </w:rPr>
        <w:t xml:space="preserve"> </w:t>
      </w:r>
    </w:p>
    <w:p w:rsidR="00D624F1" w:rsidRDefault="00D624F1" w:rsidP="00822605">
      <w:pPr>
        <w:autoSpaceDE w:val="0"/>
        <w:autoSpaceDN w:val="0"/>
        <w:adjustRightInd w:val="0"/>
        <w:spacing w:after="0"/>
        <w:jc w:val="both"/>
        <w:rPr>
          <w:rFonts w:ascii="Arial" w:hAnsi="Arial" w:cs="Arial"/>
          <w:b/>
          <w:sz w:val="20"/>
          <w:szCs w:val="20"/>
        </w:rPr>
      </w:pPr>
    </w:p>
    <w:p w:rsidR="004429A2" w:rsidRPr="00A329AE" w:rsidRDefault="005F35B7" w:rsidP="00822605">
      <w:pPr>
        <w:autoSpaceDE w:val="0"/>
        <w:autoSpaceDN w:val="0"/>
        <w:adjustRightInd w:val="0"/>
        <w:spacing w:after="0"/>
        <w:jc w:val="both"/>
        <w:rPr>
          <w:rFonts w:ascii="Arial" w:hAnsi="Arial" w:cs="Arial"/>
          <w:b/>
          <w:sz w:val="20"/>
          <w:szCs w:val="20"/>
        </w:rPr>
      </w:pPr>
      <w:r>
        <w:rPr>
          <w:rFonts w:ascii="Arial" w:hAnsi="Arial" w:cs="Arial"/>
          <w:b/>
          <w:sz w:val="20"/>
          <w:szCs w:val="20"/>
        </w:rPr>
        <w:t xml:space="preserve">6. </w:t>
      </w:r>
      <w:r w:rsidR="00A329AE" w:rsidRPr="00A329AE">
        <w:rPr>
          <w:rFonts w:ascii="Arial" w:hAnsi="Arial" w:cs="Arial"/>
          <w:b/>
          <w:sz w:val="20"/>
          <w:szCs w:val="20"/>
        </w:rPr>
        <w:t>Aposentadoria. Possibilidade de contagem de tempo celetista para aquisição de licença especial não gozada, contada em dobro como tempo de contribuição do servidor, desde que relativa a período anterior à Emenda Constitucional nº 20/1998. Legalidade e registro da inativação.</w:t>
      </w:r>
    </w:p>
    <w:p w:rsidR="00A329AE" w:rsidRPr="00A329AE" w:rsidRDefault="00A329AE" w:rsidP="00822605">
      <w:pPr>
        <w:autoSpaceDE w:val="0"/>
        <w:autoSpaceDN w:val="0"/>
        <w:adjustRightInd w:val="0"/>
        <w:spacing w:after="0"/>
        <w:jc w:val="both"/>
        <w:rPr>
          <w:rFonts w:ascii="Arial" w:hAnsi="Arial" w:cs="Arial"/>
          <w:sz w:val="20"/>
          <w:szCs w:val="20"/>
        </w:rPr>
      </w:pPr>
    </w:p>
    <w:p w:rsidR="00A329AE" w:rsidRDefault="00A329AE" w:rsidP="00822605">
      <w:pPr>
        <w:autoSpaceDE w:val="0"/>
        <w:autoSpaceDN w:val="0"/>
        <w:adjustRightInd w:val="0"/>
        <w:spacing w:after="0"/>
        <w:jc w:val="both"/>
        <w:rPr>
          <w:rFonts w:ascii="Arial" w:hAnsi="Arial" w:cs="Arial"/>
          <w:sz w:val="20"/>
          <w:szCs w:val="20"/>
        </w:rPr>
      </w:pPr>
      <w:r w:rsidRPr="00A329AE">
        <w:rPr>
          <w:rFonts w:ascii="Arial" w:hAnsi="Arial" w:cs="Arial"/>
          <w:sz w:val="20"/>
          <w:szCs w:val="20"/>
        </w:rPr>
        <w:t xml:space="preserve">A jurisprudência do Tribunal de Justiça do Estado do Paraná e a do Superior Tribunal de Justiça são igualmente favoráveis à possibilidade de contagem em dobro de licença prêmio não usufruída referente ao tempo celetista, desde que atendidos os requisitos previstos em lei, e que abranjam momento anterior à edição da </w:t>
      </w:r>
      <w:proofErr w:type="gramStart"/>
      <w:r w:rsidRPr="00A329AE">
        <w:rPr>
          <w:rFonts w:ascii="Arial" w:hAnsi="Arial" w:cs="Arial"/>
          <w:sz w:val="20"/>
          <w:szCs w:val="20"/>
        </w:rPr>
        <w:t>Emenda  Constitucional</w:t>
      </w:r>
      <w:proofErr w:type="gramEnd"/>
      <w:r w:rsidRPr="00A329AE">
        <w:rPr>
          <w:rFonts w:ascii="Arial" w:hAnsi="Arial" w:cs="Arial"/>
          <w:sz w:val="20"/>
          <w:szCs w:val="20"/>
        </w:rPr>
        <w:t xml:space="preserve"> n.º 20/98.</w:t>
      </w:r>
    </w:p>
    <w:p w:rsidR="00A329AE" w:rsidRPr="00A329AE" w:rsidRDefault="00A329AE" w:rsidP="00822605">
      <w:pPr>
        <w:autoSpaceDE w:val="0"/>
        <w:autoSpaceDN w:val="0"/>
        <w:adjustRightInd w:val="0"/>
        <w:spacing w:after="0"/>
        <w:jc w:val="both"/>
        <w:rPr>
          <w:rFonts w:ascii="Arial" w:hAnsi="Arial" w:cs="Arial"/>
          <w:sz w:val="20"/>
          <w:szCs w:val="20"/>
        </w:rPr>
      </w:pPr>
    </w:p>
    <w:p w:rsidR="00A329AE" w:rsidRPr="00A329AE" w:rsidRDefault="00A329AE" w:rsidP="00822605">
      <w:pPr>
        <w:autoSpaceDE w:val="0"/>
        <w:autoSpaceDN w:val="0"/>
        <w:adjustRightInd w:val="0"/>
        <w:spacing w:after="0"/>
        <w:jc w:val="both"/>
        <w:rPr>
          <w:rFonts w:ascii="Arial" w:hAnsi="Arial" w:cs="Arial"/>
          <w:sz w:val="20"/>
          <w:szCs w:val="20"/>
        </w:rPr>
      </w:pPr>
      <w:r w:rsidRPr="00A329AE">
        <w:rPr>
          <w:rFonts w:ascii="Arial" w:hAnsi="Arial" w:cs="Arial"/>
          <w:sz w:val="20"/>
          <w:szCs w:val="20"/>
        </w:rPr>
        <w:t>Assim, entende-se regular o tempo ficto, referente a</w:t>
      </w:r>
      <w:r w:rsidR="00F91800">
        <w:rPr>
          <w:rFonts w:ascii="Arial" w:hAnsi="Arial" w:cs="Arial"/>
          <w:sz w:val="20"/>
          <w:szCs w:val="20"/>
        </w:rPr>
        <w:t>o</w:t>
      </w:r>
      <w:r w:rsidRPr="00A329AE">
        <w:rPr>
          <w:rFonts w:ascii="Arial" w:hAnsi="Arial" w:cs="Arial"/>
          <w:sz w:val="20"/>
          <w:szCs w:val="20"/>
        </w:rPr>
        <w:t xml:space="preserve"> período anterior à Emenda</w:t>
      </w:r>
      <w:r>
        <w:rPr>
          <w:rFonts w:ascii="Arial" w:hAnsi="Arial" w:cs="Arial"/>
          <w:sz w:val="20"/>
          <w:szCs w:val="20"/>
        </w:rPr>
        <w:t xml:space="preserve"> </w:t>
      </w:r>
      <w:r w:rsidRPr="00A329AE">
        <w:rPr>
          <w:rFonts w:ascii="Arial" w:hAnsi="Arial" w:cs="Arial"/>
          <w:sz w:val="20"/>
          <w:szCs w:val="20"/>
        </w:rPr>
        <w:t>Constitucional n.º 20/98, no total de 548 (quinhentos e quarenta e oito) dias,</w:t>
      </w:r>
      <w:r>
        <w:rPr>
          <w:rFonts w:ascii="Arial" w:hAnsi="Arial" w:cs="Arial"/>
          <w:sz w:val="20"/>
          <w:szCs w:val="20"/>
        </w:rPr>
        <w:t xml:space="preserve"> </w:t>
      </w:r>
      <w:r w:rsidRPr="00A329AE">
        <w:rPr>
          <w:rFonts w:ascii="Arial" w:hAnsi="Arial" w:cs="Arial"/>
          <w:sz w:val="20"/>
          <w:szCs w:val="20"/>
        </w:rPr>
        <w:t>averbados ao acervo de tempo de contribuição da servidora, relativo a licença</w:t>
      </w:r>
      <w:r>
        <w:rPr>
          <w:rFonts w:ascii="Arial" w:hAnsi="Arial" w:cs="Arial"/>
          <w:sz w:val="20"/>
          <w:szCs w:val="20"/>
        </w:rPr>
        <w:t xml:space="preserve"> </w:t>
      </w:r>
      <w:r w:rsidRPr="00A329AE">
        <w:rPr>
          <w:rFonts w:ascii="Arial" w:hAnsi="Arial" w:cs="Arial"/>
          <w:sz w:val="20"/>
          <w:szCs w:val="20"/>
        </w:rPr>
        <w:t>prêmio não usufruída, no período aquisitivo de 1989 a 1998, com fundamento no</w:t>
      </w:r>
      <w:r>
        <w:rPr>
          <w:rFonts w:ascii="Arial" w:hAnsi="Arial" w:cs="Arial"/>
          <w:sz w:val="20"/>
          <w:szCs w:val="20"/>
        </w:rPr>
        <w:t xml:space="preserve"> </w:t>
      </w:r>
      <w:r w:rsidRPr="00A329AE">
        <w:rPr>
          <w:rFonts w:ascii="Arial" w:hAnsi="Arial" w:cs="Arial"/>
          <w:sz w:val="20"/>
          <w:szCs w:val="20"/>
        </w:rPr>
        <w:t>artigo 53 da Lei Orgânica Municipal</w:t>
      </w:r>
      <w:r>
        <w:rPr>
          <w:rFonts w:ascii="Arial" w:hAnsi="Arial" w:cs="Arial"/>
          <w:sz w:val="20"/>
          <w:szCs w:val="20"/>
        </w:rPr>
        <w:t>.</w:t>
      </w:r>
    </w:p>
    <w:p w:rsidR="00A329AE" w:rsidRDefault="00A329AE" w:rsidP="00822605">
      <w:pPr>
        <w:autoSpaceDE w:val="0"/>
        <w:autoSpaceDN w:val="0"/>
        <w:adjustRightInd w:val="0"/>
        <w:spacing w:after="0"/>
        <w:jc w:val="both"/>
        <w:rPr>
          <w:rFonts w:ascii="Arial" w:hAnsi="Arial" w:cs="Arial"/>
          <w:sz w:val="20"/>
          <w:szCs w:val="20"/>
        </w:rPr>
      </w:pPr>
    </w:p>
    <w:p w:rsidR="00A329AE" w:rsidRDefault="00A329AE" w:rsidP="00822605">
      <w:pPr>
        <w:autoSpaceDE w:val="0"/>
        <w:autoSpaceDN w:val="0"/>
        <w:adjustRightInd w:val="0"/>
        <w:spacing w:after="0"/>
        <w:jc w:val="both"/>
        <w:rPr>
          <w:rFonts w:ascii="Arial" w:hAnsi="Arial" w:cs="Arial"/>
          <w:sz w:val="20"/>
          <w:szCs w:val="20"/>
        </w:rPr>
      </w:pPr>
      <w:r>
        <w:rPr>
          <w:rFonts w:ascii="Arial" w:hAnsi="Arial" w:cs="Arial"/>
          <w:sz w:val="20"/>
          <w:szCs w:val="20"/>
        </w:rPr>
        <w:lastRenderedPageBreak/>
        <w:t xml:space="preserve">Processo n° 782956/15 - </w:t>
      </w:r>
      <w:hyperlink r:id="rId13" w:history="1">
        <w:r w:rsidRPr="00A329AE">
          <w:rPr>
            <w:rStyle w:val="Hyperlink"/>
            <w:rFonts w:ascii="Arial" w:hAnsi="Arial" w:cs="Arial"/>
            <w:sz w:val="20"/>
            <w:szCs w:val="20"/>
          </w:rPr>
          <w:t>Acórdão n° 3389/17 - Segunda Câmara</w:t>
        </w:r>
      </w:hyperlink>
      <w:r>
        <w:rPr>
          <w:rFonts w:ascii="Arial" w:hAnsi="Arial" w:cs="Arial"/>
          <w:sz w:val="20"/>
          <w:szCs w:val="20"/>
        </w:rPr>
        <w:t xml:space="preserve"> - Rel. Auditor Thiago Barbosa Cordeiro. </w:t>
      </w:r>
    </w:p>
    <w:p w:rsidR="00600118" w:rsidRDefault="00600118" w:rsidP="00822605">
      <w:pPr>
        <w:autoSpaceDE w:val="0"/>
        <w:autoSpaceDN w:val="0"/>
        <w:adjustRightInd w:val="0"/>
        <w:spacing w:after="0"/>
        <w:jc w:val="both"/>
        <w:rPr>
          <w:rFonts w:ascii="Arial" w:hAnsi="Arial" w:cs="Arial"/>
          <w:sz w:val="20"/>
          <w:szCs w:val="20"/>
        </w:rPr>
      </w:pPr>
    </w:p>
    <w:p w:rsidR="00D720D0" w:rsidRPr="00C55A50" w:rsidRDefault="005F35B7" w:rsidP="00822605">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00D720D0" w:rsidRPr="00C55A50">
        <w:rPr>
          <w:rFonts w:ascii="Arial" w:hAnsi="Arial" w:cs="Arial"/>
          <w:b/>
          <w:sz w:val="20"/>
          <w:szCs w:val="20"/>
        </w:rPr>
        <w:t>Reserva remunerada a pedido, com base no art. 157, §4º, III, da Lei nº 1.923/54 (Código da Polícia Militar do Estado). Afastada a aplicação da Lei nº 7.634/82, que permite o aproveitamento do tempo de contribuição de INSS, sobre</w:t>
      </w:r>
      <w:r w:rsidR="00C55A50" w:rsidRPr="00C55A50">
        <w:rPr>
          <w:rFonts w:ascii="Arial" w:hAnsi="Arial" w:cs="Arial"/>
          <w:b/>
          <w:sz w:val="20"/>
          <w:szCs w:val="20"/>
        </w:rPr>
        <w:t xml:space="preserve"> </w:t>
      </w:r>
      <w:r w:rsidR="00D720D0" w:rsidRPr="00C55A50">
        <w:rPr>
          <w:rFonts w:ascii="Arial" w:hAnsi="Arial" w:cs="Arial"/>
          <w:b/>
          <w:sz w:val="20"/>
          <w:szCs w:val="20"/>
        </w:rPr>
        <w:t>serviços prestados à iniciativa privada, dada sua</w:t>
      </w:r>
      <w:r w:rsidR="00C55A50" w:rsidRPr="00C55A50">
        <w:rPr>
          <w:rFonts w:ascii="Arial" w:hAnsi="Arial" w:cs="Arial"/>
          <w:b/>
          <w:sz w:val="20"/>
          <w:szCs w:val="20"/>
        </w:rPr>
        <w:t xml:space="preserve"> </w:t>
      </w:r>
      <w:r w:rsidR="00D720D0" w:rsidRPr="00C55A50">
        <w:rPr>
          <w:rFonts w:ascii="Arial" w:hAnsi="Arial" w:cs="Arial"/>
          <w:b/>
          <w:sz w:val="20"/>
          <w:szCs w:val="20"/>
        </w:rPr>
        <w:t>incompatibilidade com a lei específica, nos termos do art. 42,</w:t>
      </w:r>
      <w:r w:rsidR="00C55A50" w:rsidRPr="00C55A50">
        <w:rPr>
          <w:rFonts w:ascii="Arial" w:hAnsi="Arial" w:cs="Arial"/>
          <w:b/>
          <w:sz w:val="20"/>
          <w:szCs w:val="20"/>
        </w:rPr>
        <w:t xml:space="preserve"> </w:t>
      </w:r>
      <w:r w:rsidR="00D720D0" w:rsidRPr="00C55A50">
        <w:rPr>
          <w:rFonts w:ascii="Arial" w:hAnsi="Arial" w:cs="Arial"/>
          <w:b/>
          <w:sz w:val="20"/>
          <w:szCs w:val="20"/>
        </w:rPr>
        <w:t>§1º, combinado com o art. 142, §3º, X, ambos da Constituição</w:t>
      </w:r>
      <w:r w:rsidR="00C55A50" w:rsidRPr="00C55A50">
        <w:rPr>
          <w:rFonts w:ascii="Arial" w:hAnsi="Arial" w:cs="Arial"/>
          <w:b/>
          <w:sz w:val="20"/>
          <w:szCs w:val="20"/>
        </w:rPr>
        <w:t xml:space="preserve"> </w:t>
      </w:r>
      <w:r w:rsidR="00D720D0" w:rsidRPr="00C55A50">
        <w:rPr>
          <w:rFonts w:ascii="Arial" w:hAnsi="Arial" w:cs="Arial"/>
          <w:b/>
          <w:sz w:val="20"/>
          <w:szCs w:val="20"/>
        </w:rPr>
        <w:t>Federal.</w:t>
      </w:r>
    </w:p>
    <w:p w:rsidR="004429A2" w:rsidRPr="0022060B" w:rsidRDefault="004429A2" w:rsidP="00822605">
      <w:pPr>
        <w:autoSpaceDE w:val="0"/>
        <w:autoSpaceDN w:val="0"/>
        <w:adjustRightInd w:val="0"/>
        <w:spacing w:after="0"/>
        <w:rPr>
          <w:rFonts w:ascii="Arial" w:hAnsi="Arial" w:cs="Arial"/>
          <w:sz w:val="20"/>
          <w:szCs w:val="20"/>
        </w:rPr>
      </w:pPr>
    </w:p>
    <w:p w:rsidR="000948DC" w:rsidRDefault="00C55A50" w:rsidP="00822605">
      <w:pPr>
        <w:autoSpaceDE w:val="0"/>
        <w:autoSpaceDN w:val="0"/>
        <w:adjustRightInd w:val="0"/>
        <w:spacing w:after="0"/>
        <w:jc w:val="both"/>
        <w:rPr>
          <w:rFonts w:ascii="Arial" w:hAnsi="Arial" w:cs="Arial"/>
          <w:sz w:val="20"/>
          <w:szCs w:val="20"/>
        </w:rPr>
      </w:pPr>
      <w:r w:rsidRPr="00C55A50">
        <w:rPr>
          <w:rFonts w:ascii="Arial" w:hAnsi="Arial" w:cs="Arial"/>
          <w:sz w:val="20"/>
          <w:szCs w:val="20"/>
        </w:rPr>
        <w:t>O</w:t>
      </w:r>
      <w:r>
        <w:rPr>
          <w:rFonts w:ascii="Arial" w:hAnsi="Arial" w:cs="Arial"/>
          <w:sz w:val="20"/>
          <w:szCs w:val="20"/>
        </w:rPr>
        <w:t xml:space="preserve"> </w:t>
      </w:r>
      <w:r w:rsidRPr="00C55A50">
        <w:rPr>
          <w:rFonts w:ascii="Arial" w:hAnsi="Arial" w:cs="Arial"/>
          <w:sz w:val="20"/>
          <w:szCs w:val="20"/>
        </w:rPr>
        <w:t xml:space="preserve">ato de concessão do benefício previdenciário em exame, concedido ao militar por tempo de serviço, </w:t>
      </w:r>
      <w:r w:rsidRPr="00C55A50">
        <w:rPr>
          <w:rFonts w:ascii="Arial" w:hAnsi="Arial" w:cs="Arial"/>
          <w:bCs/>
          <w:sz w:val="20"/>
          <w:szCs w:val="20"/>
        </w:rPr>
        <w:t>deve necessariamente observar a contagem de tempo de serviço prestado à iniciativa privada</w:t>
      </w:r>
      <w:r w:rsidRPr="00C55A50">
        <w:rPr>
          <w:rFonts w:ascii="Arial" w:hAnsi="Arial" w:cs="Arial"/>
          <w:sz w:val="20"/>
          <w:szCs w:val="20"/>
        </w:rPr>
        <w:t xml:space="preserve">, com recolhimentos ao regime geral de previdência social. </w:t>
      </w:r>
    </w:p>
    <w:p w:rsidR="00F163A1" w:rsidRDefault="00F163A1" w:rsidP="00822605">
      <w:pPr>
        <w:autoSpaceDE w:val="0"/>
        <w:autoSpaceDN w:val="0"/>
        <w:adjustRightInd w:val="0"/>
        <w:spacing w:after="0"/>
        <w:jc w:val="both"/>
        <w:rPr>
          <w:rFonts w:ascii="Arial" w:hAnsi="Arial" w:cs="Arial"/>
          <w:sz w:val="20"/>
          <w:szCs w:val="20"/>
        </w:rPr>
      </w:pPr>
    </w:p>
    <w:p w:rsidR="00FB3361" w:rsidRDefault="00C55A50" w:rsidP="00822605">
      <w:pPr>
        <w:autoSpaceDE w:val="0"/>
        <w:autoSpaceDN w:val="0"/>
        <w:adjustRightInd w:val="0"/>
        <w:spacing w:after="0"/>
        <w:jc w:val="both"/>
        <w:rPr>
          <w:rFonts w:ascii="Arial" w:hAnsi="Arial" w:cs="Arial"/>
          <w:sz w:val="20"/>
          <w:szCs w:val="20"/>
        </w:rPr>
      </w:pPr>
      <w:r w:rsidRPr="00C55A50">
        <w:rPr>
          <w:rFonts w:ascii="Arial" w:hAnsi="Arial" w:cs="Arial"/>
          <w:sz w:val="20"/>
          <w:szCs w:val="20"/>
        </w:rPr>
        <w:t>Não é demais destacar que a concessão de benefício em regime</w:t>
      </w:r>
      <w:r>
        <w:rPr>
          <w:rFonts w:ascii="Arial" w:hAnsi="Arial" w:cs="Arial"/>
          <w:sz w:val="20"/>
          <w:szCs w:val="20"/>
        </w:rPr>
        <w:t xml:space="preserve"> </w:t>
      </w:r>
      <w:r w:rsidRPr="00C55A50">
        <w:rPr>
          <w:rFonts w:ascii="Arial" w:hAnsi="Arial" w:cs="Arial"/>
          <w:sz w:val="20"/>
          <w:szCs w:val="20"/>
        </w:rPr>
        <w:t>de previdência pública, com o cômputo de tempo de serviço prestado com</w:t>
      </w:r>
      <w:r>
        <w:rPr>
          <w:rFonts w:ascii="Arial" w:hAnsi="Arial" w:cs="Arial"/>
          <w:sz w:val="20"/>
          <w:szCs w:val="20"/>
        </w:rPr>
        <w:t xml:space="preserve"> </w:t>
      </w:r>
      <w:r w:rsidRPr="00C55A50">
        <w:rPr>
          <w:rFonts w:ascii="Arial" w:hAnsi="Arial" w:cs="Arial"/>
          <w:sz w:val="20"/>
          <w:szCs w:val="20"/>
        </w:rPr>
        <w:t>contribuições ao Regime Geral de Previdência Social, encontra respaldo na</w:t>
      </w:r>
      <w:r>
        <w:rPr>
          <w:rFonts w:ascii="Arial" w:hAnsi="Arial" w:cs="Arial"/>
          <w:sz w:val="20"/>
          <w:szCs w:val="20"/>
        </w:rPr>
        <w:t xml:space="preserve"> </w:t>
      </w:r>
      <w:r w:rsidRPr="00C55A50">
        <w:rPr>
          <w:rFonts w:ascii="Arial" w:hAnsi="Arial" w:cs="Arial"/>
          <w:sz w:val="20"/>
          <w:szCs w:val="20"/>
        </w:rPr>
        <w:t>Constituição Federal, na Constituição Estadual e na legislação infraconstitucional</w:t>
      </w:r>
      <w:r>
        <w:rPr>
          <w:rFonts w:ascii="Arial" w:hAnsi="Arial" w:cs="Arial"/>
          <w:sz w:val="20"/>
          <w:szCs w:val="20"/>
        </w:rPr>
        <w:t xml:space="preserve"> </w:t>
      </w:r>
      <w:r w:rsidRPr="00C55A50">
        <w:rPr>
          <w:rFonts w:ascii="Arial" w:hAnsi="Arial" w:cs="Arial"/>
          <w:sz w:val="20"/>
          <w:szCs w:val="20"/>
        </w:rPr>
        <w:t>vigente.</w:t>
      </w:r>
    </w:p>
    <w:p w:rsidR="00684303" w:rsidRPr="00C55A50" w:rsidRDefault="00684303" w:rsidP="00822605">
      <w:pPr>
        <w:autoSpaceDE w:val="0"/>
        <w:autoSpaceDN w:val="0"/>
        <w:adjustRightInd w:val="0"/>
        <w:spacing w:after="0"/>
        <w:jc w:val="both"/>
        <w:rPr>
          <w:rFonts w:ascii="Arial" w:hAnsi="Arial" w:cs="Arial"/>
          <w:sz w:val="20"/>
          <w:szCs w:val="20"/>
        </w:rPr>
      </w:pPr>
    </w:p>
    <w:p w:rsidR="000948DC" w:rsidRDefault="000948DC" w:rsidP="00822605">
      <w:pPr>
        <w:autoSpaceDE w:val="0"/>
        <w:autoSpaceDN w:val="0"/>
        <w:adjustRightInd w:val="0"/>
        <w:spacing w:after="0"/>
        <w:jc w:val="both"/>
        <w:rPr>
          <w:rFonts w:ascii="Arial" w:hAnsi="Arial" w:cs="Arial"/>
          <w:bCs/>
          <w:sz w:val="20"/>
          <w:szCs w:val="20"/>
        </w:rPr>
      </w:pPr>
      <w:r w:rsidRPr="000948DC">
        <w:rPr>
          <w:rFonts w:ascii="Arial" w:hAnsi="Arial" w:cs="Arial"/>
          <w:sz w:val="20"/>
          <w:szCs w:val="20"/>
        </w:rPr>
        <w:t>Por sua vez, o art. 42, da Constituição Federal, trata</w:t>
      </w:r>
      <w:r>
        <w:rPr>
          <w:rFonts w:ascii="Arial" w:hAnsi="Arial" w:cs="Arial"/>
          <w:sz w:val="20"/>
          <w:szCs w:val="20"/>
        </w:rPr>
        <w:t xml:space="preserve"> </w:t>
      </w:r>
      <w:r w:rsidRPr="000948DC">
        <w:rPr>
          <w:rFonts w:ascii="Arial" w:hAnsi="Arial" w:cs="Arial"/>
          <w:sz w:val="20"/>
          <w:szCs w:val="20"/>
        </w:rPr>
        <w:t>especificamente “</w:t>
      </w:r>
      <w:r w:rsidRPr="000948DC">
        <w:rPr>
          <w:rFonts w:ascii="Arial" w:hAnsi="Arial" w:cs="Arial"/>
          <w:i/>
          <w:iCs/>
          <w:sz w:val="20"/>
          <w:szCs w:val="20"/>
        </w:rPr>
        <w:t>Dos Militares dos Estados, do Distrito Federal e dos Territórios</w:t>
      </w:r>
      <w:r w:rsidRPr="000948DC">
        <w:rPr>
          <w:rFonts w:ascii="Arial" w:hAnsi="Arial" w:cs="Arial"/>
          <w:sz w:val="20"/>
          <w:szCs w:val="20"/>
        </w:rPr>
        <w:t>”,</w:t>
      </w:r>
      <w:r>
        <w:rPr>
          <w:rFonts w:ascii="Arial" w:hAnsi="Arial" w:cs="Arial"/>
          <w:sz w:val="20"/>
          <w:szCs w:val="20"/>
        </w:rPr>
        <w:t xml:space="preserve"> </w:t>
      </w:r>
      <w:r w:rsidRPr="000948DC">
        <w:rPr>
          <w:rFonts w:ascii="Arial" w:hAnsi="Arial" w:cs="Arial"/>
          <w:sz w:val="20"/>
          <w:szCs w:val="20"/>
        </w:rPr>
        <w:t>determinando a aplicação desse dispositivo também aos servidores militares</w:t>
      </w:r>
      <w:r w:rsidRPr="000948DC">
        <w:rPr>
          <w:rFonts w:ascii="Arial" w:hAnsi="Arial" w:cs="Arial"/>
          <w:i/>
          <w:iCs/>
          <w:sz w:val="20"/>
          <w:szCs w:val="20"/>
        </w:rPr>
        <w:t xml:space="preserve">. </w:t>
      </w:r>
      <w:r w:rsidRPr="000948DC">
        <w:rPr>
          <w:rFonts w:ascii="Arial" w:hAnsi="Arial" w:cs="Arial"/>
          <w:sz w:val="20"/>
          <w:szCs w:val="20"/>
        </w:rPr>
        <w:t>E, ao</w:t>
      </w:r>
      <w:r>
        <w:rPr>
          <w:rFonts w:ascii="Arial" w:hAnsi="Arial" w:cs="Arial"/>
          <w:sz w:val="20"/>
          <w:szCs w:val="20"/>
        </w:rPr>
        <w:t xml:space="preserve"> </w:t>
      </w:r>
      <w:r w:rsidRPr="000948DC">
        <w:rPr>
          <w:rFonts w:ascii="Arial" w:hAnsi="Arial" w:cs="Arial"/>
          <w:sz w:val="20"/>
          <w:szCs w:val="20"/>
        </w:rPr>
        <w:t xml:space="preserve">fazer referência à aplicabilidade do cômputo do </w:t>
      </w:r>
      <w:r w:rsidRPr="000948DC">
        <w:rPr>
          <w:rFonts w:ascii="Arial" w:hAnsi="Arial" w:cs="Arial"/>
          <w:i/>
          <w:iCs/>
          <w:sz w:val="20"/>
          <w:szCs w:val="20"/>
        </w:rPr>
        <w:t>tempo de contribuição federal,</w:t>
      </w:r>
      <w:r>
        <w:rPr>
          <w:rFonts w:ascii="Arial" w:hAnsi="Arial" w:cs="Arial"/>
          <w:i/>
          <w:iCs/>
          <w:sz w:val="20"/>
          <w:szCs w:val="20"/>
        </w:rPr>
        <w:t xml:space="preserve"> </w:t>
      </w:r>
      <w:r w:rsidRPr="000948DC">
        <w:rPr>
          <w:rFonts w:ascii="Arial" w:hAnsi="Arial" w:cs="Arial"/>
          <w:i/>
          <w:iCs/>
          <w:sz w:val="20"/>
          <w:szCs w:val="20"/>
        </w:rPr>
        <w:t>estadual ou municipal</w:t>
      </w:r>
      <w:r w:rsidRPr="000948DC">
        <w:rPr>
          <w:rFonts w:ascii="Arial" w:hAnsi="Arial" w:cs="Arial"/>
          <w:sz w:val="20"/>
          <w:szCs w:val="20"/>
        </w:rPr>
        <w:t>, o referido dispositivo constitucional determinou, de forma</w:t>
      </w:r>
      <w:r>
        <w:rPr>
          <w:rFonts w:ascii="Arial" w:hAnsi="Arial" w:cs="Arial"/>
          <w:sz w:val="20"/>
          <w:szCs w:val="20"/>
        </w:rPr>
        <w:t xml:space="preserve"> </w:t>
      </w:r>
      <w:r w:rsidRPr="000948DC">
        <w:rPr>
          <w:rFonts w:ascii="Arial" w:hAnsi="Arial" w:cs="Arial"/>
          <w:sz w:val="20"/>
          <w:szCs w:val="20"/>
        </w:rPr>
        <w:t>expressa: “</w:t>
      </w:r>
      <w:r w:rsidRPr="000948DC">
        <w:rPr>
          <w:rFonts w:ascii="Arial" w:hAnsi="Arial" w:cs="Arial"/>
          <w:i/>
          <w:iCs/>
          <w:sz w:val="20"/>
          <w:szCs w:val="20"/>
        </w:rPr>
        <w:t xml:space="preserve">Aplicam-se aos militares dos Estados, (...) </w:t>
      </w:r>
      <w:r w:rsidRPr="000948DC">
        <w:rPr>
          <w:rFonts w:ascii="Arial" w:hAnsi="Arial" w:cs="Arial"/>
          <w:bCs/>
          <w:i/>
          <w:iCs/>
          <w:sz w:val="20"/>
          <w:szCs w:val="20"/>
        </w:rPr>
        <w:t>além do que vier a ser fixado</w:t>
      </w:r>
      <w:r>
        <w:rPr>
          <w:rFonts w:ascii="Arial" w:hAnsi="Arial" w:cs="Arial"/>
          <w:bCs/>
          <w:i/>
          <w:iCs/>
          <w:sz w:val="20"/>
          <w:szCs w:val="20"/>
        </w:rPr>
        <w:t xml:space="preserve"> </w:t>
      </w:r>
      <w:r w:rsidRPr="000948DC">
        <w:rPr>
          <w:rFonts w:ascii="Arial" w:hAnsi="Arial" w:cs="Arial"/>
          <w:bCs/>
          <w:i/>
          <w:iCs/>
          <w:sz w:val="20"/>
          <w:szCs w:val="20"/>
        </w:rPr>
        <w:t>em lei</w:t>
      </w:r>
      <w:r w:rsidRPr="000948DC">
        <w:rPr>
          <w:rFonts w:ascii="Arial" w:hAnsi="Arial" w:cs="Arial"/>
          <w:i/>
          <w:iCs/>
          <w:sz w:val="20"/>
          <w:szCs w:val="20"/>
        </w:rPr>
        <w:t>, as disposições do art. 14. § 8º, do art. 40, §9º, etc.</w:t>
      </w:r>
      <w:r>
        <w:rPr>
          <w:rFonts w:ascii="Arial" w:hAnsi="Arial" w:cs="Arial"/>
          <w:i/>
          <w:iCs/>
          <w:sz w:val="20"/>
          <w:szCs w:val="20"/>
        </w:rPr>
        <w:t>”</w:t>
      </w:r>
      <w:r w:rsidRPr="000948DC">
        <w:rPr>
          <w:rFonts w:ascii="Arial" w:hAnsi="Arial" w:cs="Arial"/>
          <w:sz w:val="20"/>
          <w:szCs w:val="20"/>
        </w:rPr>
        <w:t>.</w:t>
      </w:r>
      <w:r>
        <w:rPr>
          <w:rFonts w:ascii="Arial" w:hAnsi="Arial" w:cs="Arial"/>
          <w:sz w:val="20"/>
          <w:szCs w:val="20"/>
        </w:rPr>
        <w:t xml:space="preserve"> </w:t>
      </w:r>
      <w:r w:rsidRPr="000948DC">
        <w:rPr>
          <w:rFonts w:ascii="Arial" w:hAnsi="Arial" w:cs="Arial"/>
          <w:sz w:val="20"/>
          <w:szCs w:val="20"/>
        </w:rPr>
        <w:t xml:space="preserve">Portanto, no Estado do Paraná, </w:t>
      </w:r>
      <w:r w:rsidRPr="000948DC">
        <w:rPr>
          <w:rFonts w:ascii="Arial" w:hAnsi="Arial" w:cs="Arial"/>
          <w:bCs/>
          <w:sz w:val="20"/>
          <w:szCs w:val="20"/>
        </w:rPr>
        <w:t>estando vigente a lei estadual</w:t>
      </w:r>
      <w:r>
        <w:rPr>
          <w:rFonts w:ascii="Arial" w:hAnsi="Arial" w:cs="Arial"/>
          <w:bCs/>
          <w:sz w:val="20"/>
          <w:szCs w:val="20"/>
        </w:rPr>
        <w:t xml:space="preserve"> </w:t>
      </w:r>
      <w:r w:rsidRPr="000948DC">
        <w:rPr>
          <w:rFonts w:ascii="Arial" w:hAnsi="Arial" w:cs="Arial"/>
          <w:bCs/>
          <w:sz w:val="20"/>
          <w:szCs w:val="20"/>
        </w:rPr>
        <w:t>nº 7634/82, nos termos do art. 42 da Constituição Federal, foi ela recepcionada</w:t>
      </w:r>
      <w:r>
        <w:rPr>
          <w:rFonts w:ascii="Arial" w:hAnsi="Arial" w:cs="Arial"/>
          <w:bCs/>
          <w:sz w:val="20"/>
          <w:szCs w:val="20"/>
        </w:rPr>
        <w:t xml:space="preserve"> </w:t>
      </w:r>
      <w:r w:rsidRPr="000948DC">
        <w:rPr>
          <w:rFonts w:ascii="Arial" w:hAnsi="Arial" w:cs="Arial"/>
          <w:bCs/>
          <w:sz w:val="20"/>
          <w:szCs w:val="20"/>
        </w:rPr>
        <w:t>pela Constituição Federal, incorporando-se ao regime jurídico próprio dos</w:t>
      </w:r>
      <w:r>
        <w:rPr>
          <w:rFonts w:ascii="Arial" w:hAnsi="Arial" w:cs="Arial"/>
          <w:bCs/>
          <w:sz w:val="20"/>
          <w:szCs w:val="20"/>
        </w:rPr>
        <w:t xml:space="preserve"> </w:t>
      </w:r>
      <w:r w:rsidRPr="000948DC">
        <w:rPr>
          <w:rFonts w:ascii="Arial" w:hAnsi="Arial" w:cs="Arial"/>
          <w:bCs/>
          <w:sz w:val="20"/>
          <w:szCs w:val="20"/>
        </w:rPr>
        <w:t>servidores militares do estado.</w:t>
      </w:r>
    </w:p>
    <w:p w:rsidR="00684303" w:rsidRDefault="00684303" w:rsidP="00822605">
      <w:pPr>
        <w:autoSpaceDE w:val="0"/>
        <w:autoSpaceDN w:val="0"/>
        <w:adjustRightInd w:val="0"/>
        <w:spacing w:after="0"/>
        <w:jc w:val="both"/>
        <w:rPr>
          <w:rFonts w:ascii="Arial" w:hAnsi="Arial" w:cs="Arial"/>
          <w:bCs/>
          <w:sz w:val="20"/>
          <w:szCs w:val="20"/>
        </w:rPr>
      </w:pPr>
    </w:p>
    <w:p w:rsidR="000948DC" w:rsidRDefault="000948DC" w:rsidP="00822605">
      <w:pPr>
        <w:autoSpaceDE w:val="0"/>
        <w:autoSpaceDN w:val="0"/>
        <w:adjustRightInd w:val="0"/>
        <w:spacing w:after="0"/>
        <w:jc w:val="both"/>
        <w:rPr>
          <w:rFonts w:ascii="Arial" w:hAnsi="Arial" w:cs="Arial"/>
          <w:sz w:val="20"/>
          <w:szCs w:val="20"/>
        </w:rPr>
      </w:pPr>
      <w:r w:rsidRPr="000948DC">
        <w:rPr>
          <w:rFonts w:ascii="Arial" w:hAnsi="Arial" w:cs="Arial"/>
          <w:sz w:val="20"/>
          <w:szCs w:val="20"/>
        </w:rPr>
        <w:t>Também cumpre referir que nem da Lei nº 3807/1960, nem</w:t>
      </w:r>
      <w:r>
        <w:rPr>
          <w:rFonts w:ascii="Arial" w:hAnsi="Arial" w:cs="Arial"/>
          <w:sz w:val="20"/>
          <w:szCs w:val="20"/>
        </w:rPr>
        <w:t xml:space="preserve"> </w:t>
      </w:r>
      <w:r w:rsidRPr="000948DC">
        <w:rPr>
          <w:rFonts w:ascii="Arial" w:hAnsi="Arial" w:cs="Arial"/>
          <w:sz w:val="20"/>
          <w:szCs w:val="20"/>
        </w:rPr>
        <w:t>tampouco da Lei nº 98213/91 que a substituiu, dispondo sobre os Planos de</w:t>
      </w:r>
      <w:r>
        <w:rPr>
          <w:rFonts w:ascii="Arial" w:hAnsi="Arial" w:cs="Arial"/>
          <w:sz w:val="20"/>
          <w:szCs w:val="20"/>
        </w:rPr>
        <w:t xml:space="preserve"> </w:t>
      </w:r>
      <w:r w:rsidRPr="000948DC">
        <w:rPr>
          <w:rFonts w:ascii="Arial" w:hAnsi="Arial" w:cs="Arial"/>
          <w:sz w:val="20"/>
          <w:szCs w:val="20"/>
        </w:rPr>
        <w:t>Benefícios da Previdência Social, consta qualquer tipo de vedação ou impedimento</w:t>
      </w:r>
      <w:r>
        <w:rPr>
          <w:rFonts w:ascii="Arial" w:hAnsi="Arial" w:cs="Arial"/>
          <w:sz w:val="20"/>
          <w:szCs w:val="20"/>
        </w:rPr>
        <w:t xml:space="preserve"> </w:t>
      </w:r>
      <w:r w:rsidR="00FF1139">
        <w:rPr>
          <w:rFonts w:ascii="Arial" w:hAnsi="Arial" w:cs="Arial"/>
          <w:sz w:val="20"/>
          <w:szCs w:val="20"/>
        </w:rPr>
        <w:t>ao cô</w:t>
      </w:r>
      <w:r w:rsidRPr="000948DC">
        <w:rPr>
          <w:rFonts w:ascii="Arial" w:hAnsi="Arial" w:cs="Arial"/>
          <w:sz w:val="20"/>
          <w:szCs w:val="20"/>
        </w:rPr>
        <w:t>mputo de tempo geral para fins de reserva de servidores militares</w:t>
      </w:r>
      <w:r>
        <w:rPr>
          <w:rFonts w:ascii="Arial" w:hAnsi="Arial" w:cs="Arial"/>
          <w:sz w:val="20"/>
          <w:szCs w:val="20"/>
        </w:rPr>
        <w:t xml:space="preserve">. </w:t>
      </w:r>
    </w:p>
    <w:p w:rsidR="00684303" w:rsidRDefault="00684303" w:rsidP="00822605">
      <w:pPr>
        <w:autoSpaceDE w:val="0"/>
        <w:autoSpaceDN w:val="0"/>
        <w:adjustRightInd w:val="0"/>
        <w:spacing w:after="0"/>
        <w:jc w:val="both"/>
        <w:rPr>
          <w:rFonts w:ascii="Arial" w:hAnsi="Arial" w:cs="Arial"/>
          <w:sz w:val="20"/>
          <w:szCs w:val="20"/>
        </w:rPr>
      </w:pPr>
    </w:p>
    <w:p w:rsidR="000948DC" w:rsidRDefault="000948DC" w:rsidP="00822605">
      <w:pPr>
        <w:autoSpaceDE w:val="0"/>
        <w:autoSpaceDN w:val="0"/>
        <w:adjustRightInd w:val="0"/>
        <w:spacing w:after="0"/>
        <w:jc w:val="both"/>
        <w:rPr>
          <w:rFonts w:ascii="Arial" w:hAnsi="Arial" w:cs="Arial"/>
          <w:sz w:val="20"/>
          <w:szCs w:val="20"/>
        </w:rPr>
      </w:pPr>
      <w:r w:rsidRPr="000948DC">
        <w:rPr>
          <w:rFonts w:ascii="Arial" w:hAnsi="Arial" w:cs="Arial"/>
          <w:sz w:val="20"/>
          <w:szCs w:val="20"/>
        </w:rPr>
        <w:t>Ainda, a Lei nº 1943/54 expressamente prevê a possibilidade de</w:t>
      </w:r>
      <w:r>
        <w:rPr>
          <w:rFonts w:ascii="Arial" w:hAnsi="Arial" w:cs="Arial"/>
          <w:sz w:val="20"/>
          <w:szCs w:val="20"/>
        </w:rPr>
        <w:t xml:space="preserve"> </w:t>
      </w:r>
      <w:r w:rsidR="00FF1139">
        <w:rPr>
          <w:rFonts w:ascii="Arial" w:hAnsi="Arial" w:cs="Arial"/>
          <w:sz w:val="20"/>
          <w:szCs w:val="20"/>
        </w:rPr>
        <w:t>cô</w:t>
      </w:r>
      <w:r w:rsidRPr="000948DC">
        <w:rPr>
          <w:rFonts w:ascii="Arial" w:hAnsi="Arial" w:cs="Arial"/>
          <w:sz w:val="20"/>
          <w:szCs w:val="20"/>
        </w:rPr>
        <w:t>mputo de tempo de serviço público prestado à união, estado ou município,</w:t>
      </w:r>
      <w:r>
        <w:rPr>
          <w:rFonts w:ascii="Arial" w:hAnsi="Arial" w:cs="Arial"/>
          <w:sz w:val="20"/>
          <w:szCs w:val="20"/>
        </w:rPr>
        <w:t xml:space="preserve"> </w:t>
      </w:r>
      <w:r w:rsidRPr="000948DC">
        <w:rPr>
          <w:rFonts w:ascii="Arial" w:hAnsi="Arial" w:cs="Arial"/>
          <w:sz w:val="20"/>
          <w:szCs w:val="20"/>
        </w:rPr>
        <w:t>dispositivo este também constante da atual Constituição Federal, nos termos de seu</w:t>
      </w:r>
      <w:r>
        <w:rPr>
          <w:rFonts w:ascii="Arial" w:hAnsi="Arial" w:cs="Arial"/>
          <w:sz w:val="20"/>
          <w:szCs w:val="20"/>
        </w:rPr>
        <w:t xml:space="preserve"> </w:t>
      </w:r>
      <w:r w:rsidRPr="000948DC">
        <w:rPr>
          <w:rFonts w:ascii="Arial" w:hAnsi="Arial" w:cs="Arial"/>
          <w:sz w:val="20"/>
          <w:szCs w:val="20"/>
        </w:rPr>
        <w:t>art. 42, §1º, que faz referência ao art. 40, § 9º, afastando qualquer argumentação no</w:t>
      </w:r>
      <w:r>
        <w:rPr>
          <w:rFonts w:ascii="Arial" w:hAnsi="Arial" w:cs="Arial"/>
          <w:sz w:val="20"/>
          <w:szCs w:val="20"/>
        </w:rPr>
        <w:t xml:space="preserve"> </w:t>
      </w:r>
      <w:r w:rsidRPr="000948DC">
        <w:rPr>
          <w:rFonts w:ascii="Arial" w:hAnsi="Arial" w:cs="Arial"/>
          <w:sz w:val="20"/>
          <w:szCs w:val="20"/>
        </w:rPr>
        <w:t>sentido de que para a inativação como policial militar somente poderiam ser</w:t>
      </w:r>
      <w:r>
        <w:rPr>
          <w:rFonts w:ascii="Arial" w:hAnsi="Arial" w:cs="Arial"/>
          <w:sz w:val="20"/>
          <w:szCs w:val="20"/>
        </w:rPr>
        <w:t xml:space="preserve"> </w:t>
      </w:r>
      <w:r w:rsidRPr="000948DC">
        <w:rPr>
          <w:rFonts w:ascii="Arial" w:hAnsi="Arial" w:cs="Arial"/>
          <w:sz w:val="20"/>
          <w:szCs w:val="20"/>
        </w:rPr>
        <w:t>computados períodos de trabalho em atividades estritamente vinculadas às</w:t>
      </w:r>
      <w:r>
        <w:rPr>
          <w:rFonts w:ascii="Arial" w:hAnsi="Arial" w:cs="Arial"/>
          <w:sz w:val="20"/>
          <w:szCs w:val="20"/>
        </w:rPr>
        <w:t xml:space="preserve"> </w:t>
      </w:r>
      <w:r w:rsidRPr="000948DC">
        <w:rPr>
          <w:rFonts w:ascii="Arial" w:hAnsi="Arial" w:cs="Arial"/>
          <w:sz w:val="20"/>
          <w:szCs w:val="20"/>
        </w:rPr>
        <w:t>atividades próprias da polícia militar.</w:t>
      </w:r>
    </w:p>
    <w:p w:rsidR="00684303" w:rsidRDefault="00684303" w:rsidP="00822605">
      <w:pPr>
        <w:autoSpaceDE w:val="0"/>
        <w:autoSpaceDN w:val="0"/>
        <w:adjustRightInd w:val="0"/>
        <w:spacing w:after="0"/>
        <w:jc w:val="both"/>
        <w:rPr>
          <w:rFonts w:ascii="Arial" w:hAnsi="Arial" w:cs="Arial"/>
          <w:sz w:val="20"/>
          <w:szCs w:val="20"/>
        </w:rPr>
      </w:pPr>
    </w:p>
    <w:p w:rsidR="000948DC" w:rsidRDefault="000948DC" w:rsidP="00822605">
      <w:pPr>
        <w:autoSpaceDE w:val="0"/>
        <w:autoSpaceDN w:val="0"/>
        <w:adjustRightInd w:val="0"/>
        <w:spacing w:after="0"/>
        <w:jc w:val="both"/>
        <w:rPr>
          <w:rFonts w:ascii="Arial" w:hAnsi="Arial" w:cs="Arial"/>
          <w:bCs/>
          <w:sz w:val="20"/>
          <w:szCs w:val="20"/>
        </w:rPr>
      </w:pPr>
      <w:r w:rsidRPr="000948DC">
        <w:rPr>
          <w:rFonts w:ascii="Arial" w:hAnsi="Arial" w:cs="Arial"/>
          <w:sz w:val="20"/>
          <w:szCs w:val="20"/>
        </w:rPr>
        <w:t>Portanto, aplicando-se a legislação pertinente ao caso concreto,</w:t>
      </w:r>
      <w:r>
        <w:rPr>
          <w:rFonts w:ascii="Arial" w:hAnsi="Arial" w:cs="Arial"/>
          <w:sz w:val="20"/>
          <w:szCs w:val="20"/>
        </w:rPr>
        <w:t xml:space="preserve"> </w:t>
      </w:r>
      <w:r w:rsidRPr="000948DC">
        <w:rPr>
          <w:rFonts w:ascii="Arial" w:hAnsi="Arial" w:cs="Arial"/>
          <w:sz w:val="20"/>
          <w:szCs w:val="20"/>
        </w:rPr>
        <w:t>observa-se que, ante a existência de norma vigente e válida, expressamente</w:t>
      </w:r>
      <w:r>
        <w:rPr>
          <w:rFonts w:ascii="Arial" w:hAnsi="Arial" w:cs="Arial"/>
          <w:sz w:val="20"/>
          <w:szCs w:val="20"/>
        </w:rPr>
        <w:t xml:space="preserve"> </w:t>
      </w:r>
      <w:r w:rsidRPr="000948DC">
        <w:rPr>
          <w:rFonts w:ascii="Arial" w:hAnsi="Arial" w:cs="Arial"/>
          <w:sz w:val="20"/>
          <w:szCs w:val="20"/>
        </w:rPr>
        <w:t xml:space="preserve">prevendo o cômputo do tempo de </w:t>
      </w:r>
      <w:r w:rsidRPr="000948DC">
        <w:rPr>
          <w:rFonts w:ascii="Arial" w:hAnsi="Arial" w:cs="Arial"/>
          <w:sz w:val="20"/>
          <w:szCs w:val="20"/>
        </w:rPr>
        <w:lastRenderedPageBreak/>
        <w:t>serviço/contribuição ao regime geral de</w:t>
      </w:r>
      <w:r>
        <w:rPr>
          <w:rFonts w:ascii="Arial" w:hAnsi="Arial" w:cs="Arial"/>
          <w:sz w:val="20"/>
          <w:szCs w:val="20"/>
        </w:rPr>
        <w:t xml:space="preserve"> </w:t>
      </w:r>
      <w:r w:rsidRPr="000948DC">
        <w:rPr>
          <w:rFonts w:ascii="Arial" w:hAnsi="Arial" w:cs="Arial"/>
          <w:sz w:val="20"/>
          <w:szCs w:val="20"/>
        </w:rPr>
        <w:t xml:space="preserve">previdência para fins de transferência para a reserva remunerada, </w:t>
      </w:r>
      <w:r w:rsidRPr="000948DC">
        <w:rPr>
          <w:rFonts w:ascii="Arial" w:hAnsi="Arial" w:cs="Arial"/>
          <w:bCs/>
          <w:sz w:val="20"/>
          <w:szCs w:val="20"/>
        </w:rPr>
        <w:t>no presente caso o mesmo foi inadequadamente computado, não merecendo registro deste Tribunal o ato de inativação.</w:t>
      </w:r>
    </w:p>
    <w:p w:rsidR="007D4DA4" w:rsidRDefault="007D4DA4" w:rsidP="00822605">
      <w:pPr>
        <w:autoSpaceDE w:val="0"/>
        <w:autoSpaceDN w:val="0"/>
        <w:adjustRightInd w:val="0"/>
        <w:spacing w:after="0"/>
        <w:jc w:val="both"/>
        <w:rPr>
          <w:rFonts w:ascii="Arial" w:hAnsi="Arial" w:cs="Arial"/>
          <w:bCs/>
          <w:sz w:val="20"/>
          <w:szCs w:val="20"/>
        </w:rPr>
      </w:pPr>
    </w:p>
    <w:p w:rsidR="007D4DA4" w:rsidRPr="000948DC" w:rsidRDefault="007D4DA4" w:rsidP="00822605">
      <w:pPr>
        <w:autoSpaceDE w:val="0"/>
        <w:autoSpaceDN w:val="0"/>
        <w:adjustRightInd w:val="0"/>
        <w:spacing w:after="0"/>
        <w:jc w:val="both"/>
        <w:rPr>
          <w:rFonts w:ascii="Arial" w:hAnsi="Arial" w:cs="Arial"/>
          <w:sz w:val="20"/>
          <w:szCs w:val="20"/>
        </w:rPr>
      </w:pPr>
      <w:r>
        <w:rPr>
          <w:rFonts w:ascii="Arial" w:hAnsi="Arial" w:cs="Arial"/>
          <w:bCs/>
          <w:sz w:val="20"/>
          <w:szCs w:val="20"/>
        </w:rPr>
        <w:t xml:space="preserve">Processo n° 637758/14 - </w:t>
      </w:r>
      <w:hyperlink r:id="rId14" w:history="1">
        <w:r w:rsidRPr="00E504A3">
          <w:rPr>
            <w:rStyle w:val="Hyperlink"/>
            <w:rFonts w:ascii="Arial" w:hAnsi="Arial" w:cs="Arial"/>
            <w:sz w:val="20"/>
            <w:szCs w:val="20"/>
          </w:rPr>
          <w:t>Acórdão n° 3388/17 - Segunda Câmara</w:t>
        </w:r>
      </w:hyperlink>
      <w:r>
        <w:rPr>
          <w:rFonts w:ascii="Arial" w:hAnsi="Arial" w:cs="Arial"/>
          <w:bCs/>
          <w:sz w:val="20"/>
          <w:szCs w:val="20"/>
        </w:rPr>
        <w:t xml:space="preserve"> - Rel. Cons. Ivens Zschoerper Linhares.</w:t>
      </w:r>
    </w:p>
    <w:p w:rsidR="00C55A50" w:rsidRPr="0022060B" w:rsidRDefault="00C55A50" w:rsidP="00816942">
      <w:pPr>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822605" w:rsidRDefault="00822605" w:rsidP="00822605">
      <w:pPr>
        <w:autoSpaceDE w:val="0"/>
        <w:autoSpaceDN w:val="0"/>
        <w:adjustRightInd w:val="0"/>
        <w:spacing w:after="0" w:line="240" w:lineRule="auto"/>
        <w:jc w:val="both"/>
        <w:rPr>
          <w:rFonts w:ascii="Arial" w:hAnsi="Arial" w:cs="Arial"/>
          <w:b/>
          <w:sz w:val="20"/>
          <w:szCs w:val="20"/>
        </w:rPr>
      </w:pPr>
    </w:p>
    <w:p w:rsidR="00822605" w:rsidRPr="00BB4B0D" w:rsidRDefault="00E21729" w:rsidP="00822605">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5F35B7">
        <w:rPr>
          <w:rFonts w:ascii="Arial" w:hAnsi="Arial" w:cs="Arial"/>
          <w:b/>
          <w:sz w:val="20"/>
          <w:szCs w:val="20"/>
        </w:rPr>
        <w:t xml:space="preserve">. </w:t>
      </w:r>
      <w:r w:rsidR="00822605" w:rsidRPr="00BB4B0D">
        <w:rPr>
          <w:rFonts w:ascii="Arial" w:hAnsi="Arial" w:cs="Arial"/>
          <w:b/>
          <w:sz w:val="20"/>
          <w:szCs w:val="20"/>
        </w:rPr>
        <w:t xml:space="preserve">Representação. Administração Pública. Publicidade. Princípios da moralidade e impessoalidade. Promoção pessoal. </w:t>
      </w:r>
    </w:p>
    <w:p w:rsidR="00822605" w:rsidRDefault="00822605" w:rsidP="00822605">
      <w:pPr>
        <w:autoSpaceDE w:val="0"/>
        <w:autoSpaceDN w:val="0"/>
        <w:adjustRightInd w:val="0"/>
        <w:spacing w:after="0"/>
        <w:jc w:val="both"/>
        <w:rPr>
          <w:rFonts w:ascii="Arial" w:hAnsi="Arial" w:cs="Arial"/>
          <w:sz w:val="20"/>
          <w:szCs w:val="20"/>
        </w:rPr>
      </w:pPr>
    </w:p>
    <w:p w:rsidR="00822605" w:rsidRDefault="00822605" w:rsidP="00822605">
      <w:pPr>
        <w:autoSpaceDE w:val="0"/>
        <w:autoSpaceDN w:val="0"/>
        <w:adjustRightInd w:val="0"/>
        <w:spacing w:after="0"/>
        <w:jc w:val="both"/>
        <w:rPr>
          <w:rFonts w:ascii="Arial" w:hAnsi="Arial" w:cs="Arial"/>
          <w:sz w:val="20"/>
          <w:szCs w:val="20"/>
        </w:rPr>
      </w:pPr>
      <w:r>
        <w:rPr>
          <w:rFonts w:ascii="Arial" w:hAnsi="Arial" w:cs="Arial"/>
          <w:sz w:val="20"/>
          <w:szCs w:val="20"/>
        </w:rPr>
        <w:t xml:space="preserve">A personalização de placas de carros pertencentes a ente público, como forma de associar os caracteres ao gestor, como forma de promoção pessoal ou política, caracteriza </w:t>
      </w:r>
      <w:r w:rsidRPr="0013594F">
        <w:rPr>
          <w:rFonts w:ascii="Arial" w:hAnsi="Arial" w:cs="Arial"/>
          <w:sz w:val="20"/>
          <w:szCs w:val="20"/>
        </w:rPr>
        <w:t>lesão aos princípios da moralidade e impessoalidade</w:t>
      </w:r>
      <w:r>
        <w:rPr>
          <w:rFonts w:ascii="Arial" w:hAnsi="Arial" w:cs="Arial"/>
          <w:sz w:val="20"/>
          <w:szCs w:val="20"/>
        </w:rPr>
        <w:t xml:space="preserve">. Mesmo não havendo </w:t>
      </w:r>
      <w:proofErr w:type="spellStart"/>
      <w:r>
        <w:rPr>
          <w:rFonts w:ascii="Arial" w:hAnsi="Arial" w:cs="Arial"/>
          <w:sz w:val="20"/>
          <w:szCs w:val="20"/>
        </w:rPr>
        <w:t>dano</w:t>
      </w:r>
      <w:proofErr w:type="spellEnd"/>
      <w:r>
        <w:rPr>
          <w:rFonts w:ascii="Arial" w:hAnsi="Arial" w:cs="Arial"/>
          <w:sz w:val="20"/>
          <w:szCs w:val="20"/>
        </w:rPr>
        <w:t xml:space="preserve"> ao erário, a utilização de bens públicos como instrumento de promoção pessoal viola diretamente o artigo 37, § 1º, da Constituição Federal. </w:t>
      </w:r>
    </w:p>
    <w:p w:rsidR="00822605" w:rsidRDefault="00822605" w:rsidP="00822605">
      <w:pPr>
        <w:autoSpaceDE w:val="0"/>
        <w:autoSpaceDN w:val="0"/>
        <w:adjustRightInd w:val="0"/>
        <w:spacing w:after="0"/>
        <w:jc w:val="both"/>
        <w:rPr>
          <w:rFonts w:ascii="Arial" w:hAnsi="Arial" w:cs="Arial"/>
          <w:sz w:val="20"/>
          <w:szCs w:val="20"/>
        </w:rPr>
      </w:pPr>
    </w:p>
    <w:p w:rsidR="00822605" w:rsidRPr="000D251F" w:rsidRDefault="00822605" w:rsidP="00822605">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81193/11 - </w:t>
      </w:r>
      <w:hyperlink r:id="rId15" w:history="1">
        <w:r w:rsidRPr="00AD6CB9">
          <w:rPr>
            <w:rStyle w:val="Hyperlink"/>
            <w:rFonts w:ascii="Arial" w:hAnsi="Arial" w:cs="Arial"/>
            <w:sz w:val="20"/>
            <w:szCs w:val="20"/>
          </w:rPr>
          <w:t xml:space="preserve">Acórdão n° 3407/17 </w:t>
        </w:r>
        <w:r w:rsidR="00684303">
          <w:rPr>
            <w:rStyle w:val="Hyperlink"/>
            <w:rFonts w:ascii="Arial" w:hAnsi="Arial" w:cs="Arial"/>
            <w:sz w:val="20"/>
            <w:szCs w:val="20"/>
          </w:rPr>
          <w:t>-</w:t>
        </w:r>
        <w:r w:rsidRPr="00AD6CB9">
          <w:rPr>
            <w:rStyle w:val="Hyperlink"/>
            <w:rFonts w:ascii="Arial" w:hAnsi="Arial" w:cs="Arial"/>
            <w:sz w:val="20"/>
            <w:szCs w:val="20"/>
          </w:rPr>
          <w:t xml:space="preserve"> Tribunal Pleno</w:t>
        </w:r>
      </w:hyperlink>
      <w:r>
        <w:rPr>
          <w:rFonts w:ascii="Arial" w:hAnsi="Arial" w:cs="Arial"/>
          <w:sz w:val="20"/>
          <w:szCs w:val="20"/>
        </w:rPr>
        <w:t xml:space="preserve"> - Rel. Conselheiro </w:t>
      </w:r>
      <w:r w:rsidRPr="0013594F">
        <w:rPr>
          <w:rFonts w:ascii="Arial" w:hAnsi="Arial" w:cs="Arial"/>
          <w:sz w:val="20"/>
          <w:szCs w:val="20"/>
        </w:rPr>
        <w:t xml:space="preserve">Fabio </w:t>
      </w:r>
      <w:r>
        <w:rPr>
          <w:rFonts w:ascii="Arial" w:hAnsi="Arial" w:cs="Arial"/>
          <w:sz w:val="20"/>
          <w:szCs w:val="20"/>
        </w:rPr>
        <w:t>d</w:t>
      </w:r>
      <w:r w:rsidRPr="0013594F">
        <w:rPr>
          <w:rFonts w:ascii="Arial" w:hAnsi="Arial" w:cs="Arial"/>
          <w:sz w:val="20"/>
          <w:szCs w:val="20"/>
        </w:rPr>
        <w:t>e Souza Camargo.</w:t>
      </w:r>
    </w:p>
    <w:p w:rsidR="00822605" w:rsidRDefault="00822605" w:rsidP="00822605">
      <w:pPr>
        <w:autoSpaceDE w:val="0"/>
        <w:autoSpaceDN w:val="0"/>
        <w:adjustRightInd w:val="0"/>
        <w:spacing w:after="0"/>
        <w:jc w:val="both"/>
        <w:rPr>
          <w:rFonts w:ascii="Arial" w:hAnsi="Arial" w:cs="Arial"/>
          <w:sz w:val="20"/>
          <w:szCs w:val="20"/>
        </w:rPr>
      </w:pPr>
    </w:p>
    <w:p w:rsidR="005954F7" w:rsidRDefault="00E21729" w:rsidP="00822605">
      <w:pPr>
        <w:shd w:val="clear" w:color="auto" w:fill="FFFFFF"/>
        <w:spacing w:after="0"/>
        <w:jc w:val="both"/>
        <w:textAlignment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9</w:t>
      </w:r>
      <w:r w:rsidR="005F35B7">
        <w:rPr>
          <w:rFonts w:ascii="Arial" w:eastAsia="Times New Roman" w:hAnsi="Arial" w:cs="Arial"/>
          <w:b/>
          <w:color w:val="000000"/>
          <w:sz w:val="20"/>
          <w:szCs w:val="20"/>
          <w:lang w:eastAsia="pt-BR"/>
        </w:rPr>
        <w:t xml:space="preserve">. </w:t>
      </w:r>
      <w:r w:rsidR="005954F7" w:rsidRPr="003B7BDF">
        <w:rPr>
          <w:rFonts w:ascii="Arial" w:eastAsia="Times New Roman" w:hAnsi="Arial" w:cs="Arial"/>
          <w:b/>
          <w:color w:val="000000"/>
          <w:sz w:val="20"/>
          <w:szCs w:val="20"/>
          <w:lang w:eastAsia="pt-BR"/>
        </w:rPr>
        <w:t xml:space="preserve">Consulta. Ente federado incurso nas vedações do art. 22, Parágrafo Único, da Lei de Responsabilidade Fiscal. Concessão de adicional a servidores públicos integrantes das equipes de saúde da atenção básica. Recursos Federais oriundos do Piso da Atenção Básica Variável </w:t>
      </w:r>
      <w:r w:rsidR="00F163A1">
        <w:rPr>
          <w:rFonts w:ascii="Arial" w:eastAsia="Times New Roman" w:hAnsi="Arial" w:cs="Arial"/>
          <w:b/>
          <w:color w:val="000000"/>
          <w:sz w:val="20"/>
          <w:szCs w:val="20"/>
          <w:lang w:eastAsia="pt-BR"/>
        </w:rPr>
        <w:t>-</w:t>
      </w:r>
      <w:r w:rsidR="005954F7" w:rsidRPr="003B7BDF">
        <w:rPr>
          <w:rFonts w:ascii="Arial" w:eastAsia="Times New Roman" w:hAnsi="Arial" w:cs="Arial"/>
          <w:b/>
          <w:color w:val="000000"/>
          <w:sz w:val="20"/>
          <w:szCs w:val="20"/>
          <w:lang w:eastAsia="pt-BR"/>
        </w:rPr>
        <w:t xml:space="preserve"> PAB Variável. Impossibilidade. </w:t>
      </w:r>
    </w:p>
    <w:p w:rsidR="005F35B7" w:rsidRDefault="005F35B7" w:rsidP="00822605">
      <w:pPr>
        <w:shd w:val="clear" w:color="auto" w:fill="FFFFFF"/>
        <w:spacing w:after="0"/>
        <w:jc w:val="both"/>
        <w:textAlignment w:val="center"/>
        <w:rPr>
          <w:rFonts w:ascii="Arial" w:eastAsia="Times New Roman" w:hAnsi="Arial" w:cs="Arial"/>
          <w:color w:val="000000"/>
          <w:sz w:val="20"/>
          <w:szCs w:val="20"/>
          <w:lang w:eastAsia="pt-BR"/>
        </w:rPr>
      </w:pPr>
    </w:p>
    <w:p w:rsidR="005954F7" w:rsidRDefault="005954F7" w:rsidP="00822605">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A Portaria nº 204/2007 do Ministério da Saúde regulamenta o financiamento e a transferência dos recursos federais para as ações e os serviços de saúde na forma de blocos de financiamento, entre eles o Bloco de Atenção Básica. O referido ato normativo também impõe restrições à aplicação da verba e os recursos que constituem o Componente PAB Variável são destinados ao financiamento de estratégias específicas no âmbito da atenção básica em saúde. </w:t>
      </w:r>
    </w:p>
    <w:p w:rsidR="00684303" w:rsidRDefault="00684303" w:rsidP="00822605">
      <w:pPr>
        <w:shd w:val="clear" w:color="auto" w:fill="FFFFFF"/>
        <w:spacing w:after="0"/>
        <w:jc w:val="both"/>
        <w:textAlignment w:val="center"/>
        <w:rPr>
          <w:rFonts w:ascii="Arial" w:eastAsia="Times New Roman" w:hAnsi="Arial" w:cs="Arial"/>
          <w:color w:val="000000"/>
          <w:sz w:val="20"/>
          <w:szCs w:val="20"/>
          <w:lang w:eastAsia="pt-BR"/>
        </w:rPr>
      </w:pPr>
    </w:p>
    <w:p w:rsidR="005954F7" w:rsidRDefault="005954F7" w:rsidP="00822605">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O ente municipal somente poderá utilizar-se da verba oriunda do PAB Variável para implementação das respectivas ações de saúde, de modo que a remuneração de servidores com essa receita está condicionada a sua atuação em funções relacionadas à Atenção Básica que estejam definidas no seu plano de saúde.</w:t>
      </w:r>
    </w:p>
    <w:p w:rsidR="00684303" w:rsidRDefault="00684303" w:rsidP="00822605">
      <w:pPr>
        <w:shd w:val="clear" w:color="auto" w:fill="FFFFFF"/>
        <w:spacing w:after="0"/>
        <w:jc w:val="both"/>
        <w:textAlignment w:val="center"/>
        <w:rPr>
          <w:rFonts w:ascii="Arial" w:eastAsia="Times New Roman" w:hAnsi="Arial" w:cs="Arial"/>
          <w:color w:val="000000"/>
          <w:sz w:val="20"/>
          <w:szCs w:val="20"/>
          <w:lang w:eastAsia="pt-BR"/>
        </w:rPr>
      </w:pPr>
    </w:p>
    <w:p w:rsidR="005954F7" w:rsidRDefault="005954F7" w:rsidP="00822605">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Assim, o Tribunal Pleno respondeu a consulta no sentido de que não é permitido ao ente federado incurso na vedação prevista no art. 22, Parágrafo Único, inciso I, da Lei de Responsabilidade Fiscal, conceder adicional aos servidores públicos integrantes das equipes de saúde da atenção básica, ainda que a despesa seja suportada por recursos recebidos da União oriundos do Componente Piso da Atenção Básica Variável </w:t>
      </w:r>
      <w:r w:rsidR="00684303">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PAB Variável. </w:t>
      </w:r>
    </w:p>
    <w:p w:rsidR="005F35B7" w:rsidRDefault="005F35B7" w:rsidP="00822605">
      <w:pPr>
        <w:shd w:val="clear" w:color="auto" w:fill="FFFFFF"/>
        <w:spacing w:after="0"/>
        <w:jc w:val="both"/>
        <w:textAlignment w:val="center"/>
        <w:rPr>
          <w:rFonts w:ascii="Arial" w:eastAsia="Times New Roman" w:hAnsi="Arial" w:cs="Arial"/>
          <w:color w:val="000000"/>
          <w:sz w:val="20"/>
          <w:szCs w:val="20"/>
          <w:lang w:eastAsia="pt-BR"/>
        </w:rPr>
      </w:pPr>
    </w:p>
    <w:p w:rsidR="005954F7" w:rsidRDefault="005954F7" w:rsidP="00822605">
      <w:pPr>
        <w:shd w:val="clear" w:color="auto" w:fill="FFFFFF"/>
        <w:spacing w:after="0"/>
        <w:jc w:val="both"/>
        <w:textAlignment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Processo nº 129210/16 </w:t>
      </w:r>
      <w:r w:rsidR="00684303">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w:t>
      </w:r>
      <w:hyperlink r:id="rId16" w:history="1">
        <w:r w:rsidRPr="007645AC">
          <w:rPr>
            <w:rStyle w:val="Hyperlink"/>
            <w:rFonts w:ascii="Arial" w:eastAsia="Times New Roman" w:hAnsi="Arial" w:cs="Arial"/>
            <w:sz w:val="20"/>
            <w:szCs w:val="20"/>
            <w:lang w:eastAsia="pt-BR"/>
          </w:rPr>
          <w:t>Acórdão nº 3503/17</w:t>
        </w:r>
        <w:r w:rsidR="00754CE6">
          <w:rPr>
            <w:rStyle w:val="Hyperlink"/>
            <w:rFonts w:ascii="Arial" w:eastAsia="Times New Roman" w:hAnsi="Arial" w:cs="Arial"/>
            <w:sz w:val="20"/>
            <w:szCs w:val="20"/>
            <w:lang w:eastAsia="pt-BR"/>
          </w:rPr>
          <w:t xml:space="preserve"> </w:t>
        </w:r>
        <w:r w:rsidRPr="007645AC">
          <w:rPr>
            <w:rStyle w:val="Hyperlink"/>
            <w:rFonts w:ascii="Arial" w:eastAsia="Times New Roman" w:hAnsi="Arial" w:cs="Arial"/>
            <w:sz w:val="20"/>
            <w:szCs w:val="20"/>
            <w:lang w:eastAsia="pt-BR"/>
          </w:rPr>
          <w:t>- Tribunal Pleno</w:t>
        </w:r>
      </w:hyperlink>
      <w:r>
        <w:rPr>
          <w:rFonts w:ascii="Arial" w:eastAsia="Times New Roman" w:hAnsi="Arial" w:cs="Arial"/>
          <w:color w:val="000000"/>
          <w:sz w:val="20"/>
          <w:szCs w:val="20"/>
          <w:lang w:eastAsia="pt-BR"/>
        </w:rPr>
        <w:t xml:space="preserve"> – Rel. Conselheiro Ivan </w:t>
      </w:r>
      <w:proofErr w:type="spellStart"/>
      <w:r>
        <w:rPr>
          <w:rFonts w:ascii="Arial" w:eastAsia="Times New Roman" w:hAnsi="Arial" w:cs="Arial"/>
          <w:color w:val="000000"/>
          <w:sz w:val="20"/>
          <w:szCs w:val="20"/>
          <w:lang w:eastAsia="pt-BR"/>
        </w:rPr>
        <w:t>Lelis</w:t>
      </w:r>
      <w:proofErr w:type="spellEnd"/>
      <w:r>
        <w:rPr>
          <w:rFonts w:ascii="Arial" w:eastAsia="Times New Roman" w:hAnsi="Arial" w:cs="Arial"/>
          <w:color w:val="000000"/>
          <w:sz w:val="20"/>
          <w:szCs w:val="20"/>
          <w:lang w:eastAsia="pt-BR"/>
        </w:rPr>
        <w:t xml:space="preserve"> Bonilha. </w:t>
      </w:r>
    </w:p>
    <w:p w:rsidR="00822605" w:rsidRDefault="00822605" w:rsidP="00822605">
      <w:pPr>
        <w:spacing w:after="0"/>
        <w:jc w:val="both"/>
        <w:rPr>
          <w:rStyle w:val="Hyperlink"/>
          <w:rFonts w:ascii="Arial" w:hAnsi="Arial" w:cs="Arial"/>
          <w:b/>
          <w:color w:val="000000" w:themeColor="text1"/>
          <w:sz w:val="20"/>
          <w:szCs w:val="20"/>
          <w:u w:val="none"/>
        </w:rPr>
      </w:pPr>
    </w:p>
    <w:p w:rsidR="005954F7" w:rsidRPr="00822605" w:rsidRDefault="005F35B7" w:rsidP="00822605">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1</w:t>
      </w:r>
      <w:r w:rsidR="00E21729">
        <w:rPr>
          <w:rStyle w:val="Hyperlink"/>
          <w:rFonts w:ascii="Arial" w:hAnsi="Arial" w:cs="Arial"/>
          <w:b/>
          <w:color w:val="000000" w:themeColor="text1"/>
          <w:sz w:val="20"/>
          <w:szCs w:val="20"/>
          <w:u w:val="none"/>
        </w:rPr>
        <w:t>0</w:t>
      </w:r>
      <w:r>
        <w:rPr>
          <w:rStyle w:val="Hyperlink"/>
          <w:rFonts w:ascii="Arial" w:hAnsi="Arial" w:cs="Arial"/>
          <w:b/>
          <w:color w:val="000000" w:themeColor="text1"/>
          <w:sz w:val="20"/>
          <w:szCs w:val="20"/>
          <w:u w:val="none"/>
        </w:rPr>
        <w:t xml:space="preserve">. </w:t>
      </w:r>
      <w:r w:rsidR="005954F7" w:rsidRPr="00822605">
        <w:rPr>
          <w:rStyle w:val="Hyperlink"/>
          <w:rFonts w:ascii="Arial" w:hAnsi="Arial" w:cs="Arial"/>
          <w:b/>
          <w:color w:val="000000" w:themeColor="text1"/>
          <w:sz w:val="20"/>
          <w:szCs w:val="20"/>
          <w:u w:val="none"/>
        </w:rPr>
        <w:t xml:space="preserve">Representação da Lei nº 8666/93. Pregão Presencial. Supostas irregularidades.  Exigência de pneus de fabricação nacional. Pela não procedência neste ponto, sem aplicação de multa. </w:t>
      </w:r>
    </w:p>
    <w:p w:rsidR="005F35B7" w:rsidRDefault="005F35B7" w:rsidP="00822605">
      <w:pPr>
        <w:spacing w:after="0"/>
        <w:jc w:val="both"/>
        <w:rPr>
          <w:rStyle w:val="Hyperlink"/>
          <w:rFonts w:ascii="Arial" w:hAnsi="Arial" w:cs="Arial"/>
          <w:color w:val="000000" w:themeColor="text1"/>
          <w:sz w:val="20"/>
          <w:szCs w:val="20"/>
          <w:u w:val="none"/>
        </w:rPr>
      </w:pPr>
    </w:p>
    <w:p w:rsidR="005954F7" w:rsidRDefault="005954F7" w:rsidP="00822605">
      <w:pPr>
        <w:spacing w:after="0"/>
        <w:jc w:val="both"/>
        <w:rPr>
          <w:rStyle w:val="Hyperlink"/>
          <w:rFonts w:ascii="Arial" w:hAnsi="Arial" w:cs="Arial"/>
          <w:color w:val="000000" w:themeColor="text1"/>
          <w:sz w:val="20"/>
          <w:szCs w:val="20"/>
          <w:u w:val="none"/>
        </w:rPr>
      </w:pPr>
      <w:r w:rsidRPr="00822605">
        <w:rPr>
          <w:rStyle w:val="Hyperlink"/>
          <w:rFonts w:ascii="Arial" w:hAnsi="Arial" w:cs="Arial"/>
          <w:color w:val="000000" w:themeColor="text1"/>
          <w:sz w:val="20"/>
          <w:szCs w:val="20"/>
          <w:u w:val="none"/>
        </w:rPr>
        <w:t xml:space="preserve">O Pregão Presencial nº 027/2015, teve por objeto a contratação de empresa para fornecimento de pneus novos, câmaras, protetores novos e bicos para máquinas, ônibus, micro-ônibus, vans e veículos. Pela Representante foi aduzida a ocorrência de impropriedades no instrumento convocatório, entre os quais, a exigência de pneus de fabricação nacional. </w:t>
      </w:r>
    </w:p>
    <w:p w:rsidR="00684303" w:rsidRPr="00822605" w:rsidRDefault="00684303" w:rsidP="00822605">
      <w:pPr>
        <w:spacing w:after="0"/>
        <w:jc w:val="both"/>
        <w:rPr>
          <w:rStyle w:val="Hyperlink"/>
          <w:rFonts w:ascii="Arial" w:hAnsi="Arial" w:cs="Arial"/>
          <w:color w:val="000000" w:themeColor="text1"/>
          <w:sz w:val="20"/>
          <w:szCs w:val="20"/>
          <w:u w:val="none"/>
        </w:rPr>
      </w:pPr>
    </w:p>
    <w:p w:rsidR="005954F7" w:rsidRDefault="005954F7" w:rsidP="00822605">
      <w:pPr>
        <w:spacing w:after="0"/>
        <w:jc w:val="both"/>
        <w:rPr>
          <w:rStyle w:val="Hyperlink"/>
          <w:rFonts w:ascii="Arial" w:hAnsi="Arial" w:cs="Arial"/>
          <w:color w:val="000000" w:themeColor="text1"/>
          <w:sz w:val="20"/>
          <w:szCs w:val="20"/>
          <w:u w:val="none"/>
        </w:rPr>
      </w:pPr>
      <w:r w:rsidRPr="00822605">
        <w:rPr>
          <w:rStyle w:val="Hyperlink"/>
          <w:rFonts w:ascii="Arial" w:hAnsi="Arial" w:cs="Arial"/>
          <w:color w:val="000000" w:themeColor="text1"/>
          <w:sz w:val="20"/>
          <w:szCs w:val="20"/>
          <w:u w:val="none"/>
        </w:rPr>
        <w:t xml:space="preserve">“Entendo que a licitação para aquisição exclusiva de pneus nacionais em detrimento de importados é exigência excessiva e viola a competitividade do certame, em afronta ao artigo 3º, §1º, II, da Lei nº 8.666/93”.  Assim, </w:t>
      </w:r>
      <w:bookmarkStart w:id="0" w:name="_GoBack"/>
      <w:bookmarkEnd w:id="0"/>
      <w:r w:rsidRPr="00822605">
        <w:rPr>
          <w:rStyle w:val="Hyperlink"/>
          <w:rFonts w:ascii="Arial" w:hAnsi="Arial" w:cs="Arial"/>
          <w:color w:val="000000" w:themeColor="text1"/>
          <w:sz w:val="20"/>
          <w:szCs w:val="20"/>
          <w:u w:val="none"/>
        </w:rPr>
        <w:t xml:space="preserve">o Relator do julgado entendeu procedente a Representação quanto a este ponto. </w:t>
      </w:r>
    </w:p>
    <w:p w:rsidR="00684303" w:rsidRPr="00822605" w:rsidRDefault="00684303" w:rsidP="00822605">
      <w:pPr>
        <w:spacing w:after="0"/>
        <w:jc w:val="both"/>
        <w:rPr>
          <w:rStyle w:val="Hyperlink"/>
          <w:rFonts w:ascii="Arial" w:hAnsi="Arial" w:cs="Arial"/>
          <w:color w:val="000000" w:themeColor="text1"/>
          <w:sz w:val="20"/>
          <w:szCs w:val="20"/>
          <w:u w:val="none"/>
        </w:rPr>
      </w:pPr>
    </w:p>
    <w:p w:rsidR="005954F7" w:rsidRPr="00822605" w:rsidRDefault="005954F7" w:rsidP="00822605">
      <w:pPr>
        <w:spacing w:after="0"/>
        <w:jc w:val="both"/>
        <w:rPr>
          <w:rStyle w:val="Hyperlink"/>
          <w:rFonts w:ascii="Arial" w:hAnsi="Arial" w:cs="Arial"/>
          <w:color w:val="000000" w:themeColor="text1"/>
          <w:sz w:val="20"/>
          <w:szCs w:val="20"/>
          <w:u w:val="none"/>
        </w:rPr>
      </w:pPr>
      <w:r w:rsidRPr="00822605">
        <w:rPr>
          <w:rStyle w:val="Hyperlink"/>
          <w:rFonts w:ascii="Arial" w:hAnsi="Arial" w:cs="Arial"/>
          <w:color w:val="000000" w:themeColor="text1"/>
          <w:sz w:val="20"/>
          <w:szCs w:val="20"/>
          <w:u w:val="none"/>
        </w:rPr>
        <w:t xml:space="preserve">O Relator deixou de propor em seu voto a aplicação de multa administrativa, visto que não restou caracterizada má-fé e por ser o certame anterior ao Acórdão nº 1045/16-TP, que reuniu diversos processos de Representação da Lei nº 8.666/93, relacionados à aquisição de pneus e produtos afins, onde foi proferida decisão da vedação de exigência de produto exclusivamente nacional. </w:t>
      </w:r>
    </w:p>
    <w:p w:rsidR="005954F7" w:rsidRPr="00822605" w:rsidRDefault="005954F7" w:rsidP="00822605">
      <w:pPr>
        <w:spacing w:after="0"/>
        <w:jc w:val="both"/>
        <w:rPr>
          <w:rStyle w:val="Hyperlink"/>
          <w:rFonts w:ascii="Arial" w:hAnsi="Arial" w:cs="Arial"/>
          <w:color w:val="000000" w:themeColor="text1"/>
          <w:sz w:val="20"/>
          <w:szCs w:val="20"/>
          <w:u w:val="none"/>
        </w:rPr>
      </w:pPr>
    </w:p>
    <w:p w:rsidR="005954F7" w:rsidRPr="00822605" w:rsidRDefault="005954F7" w:rsidP="00822605">
      <w:pPr>
        <w:spacing w:after="0"/>
        <w:jc w:val="both"/>
        <w:rPr>
          <w:rStyle w:val="Hyperlink"/>
          <w:rFonts w:ascii="Arial" w:hAnsi="Arial" w:cs="Arial"/>
          <w:b/>
          <w:color w:val="000000" w:themeColor="text1"/>
          <w:sz w:val="20"/>
          <w:szCs w:val="20"/>
          <w:u w:val="none"/>
        </w:rPr>
      </w:pPr>
      <w:r w:rsidRPr="00822605">
        <w:rPr>
          <w:rStyle w:val="Hyperlink"/>
          <w:rFonts w:ascii="Arial" w:hAnsi="Arial" w:cs="Arial"/>
          <w:color w:val="000000" w:themeColor="text1"/>
          <w:sz w:val="20"/>
          <w:szCs w:val="20"/>
          <w:u w:val="none"/>
        </w:rPr>
        <w:t xml:space="preserve">Processo nº 496465/15 </w:t>
      </w:r>
      <w:r w:rsidR="00684303">
        <w:rPr>
          <w:rStyle w:val="Hyperlink"/>
          <w:rFonts w:ascii="Arial" w:hAnsi="Arial" w:cs="Arial"/>
          <w:color w:val="000000" w:themeColor="text1"/>
          <w:sz w:val="20"/>
          <w:szCs w:val="20"/>
          <w:u w:val="none"/>
        </w:rPr>
        <w:t>-</w:t>
      </w:r>
      <w:r w:rsidRPr="00822605">
        <w:rPr>
          <w:rStyle w:val="Hyperlink"/>
          <w:rFonts w:ascii="Arial" w:hAnsi="Arial" w:cs="Arial"/>
          <w:color w:val="000000" w:themeColor="text1"/>
          <w:sz w:val="20"/>
          <w:szCs w:val="20"/>
          <w:u w:val="none"/>
        </w:rPr>
        <w:t xml:space="preserve"> </w:t>
      </w:r>
      <w:hyperlink r:id="rId17" w:history="1">
        <w:r w:rsidRPr="00822605">
          <w:rPr>
            <w:rStyle w:val="Hyperlink"/>
            <w:rFonts w:ascii="Arial" w:hAnsi="Arial" w:cs="Arial"/>
            <w:sz w:val="20"/>
            <w:szCs w:val="20"/>
          </w:rPr>
          <w:t>Acórdão nº 3506/17-Tribunal Pleno</w:t>
        </w:r>
      </w:hyperlink>
      <w:r w:rsidRPr="00822605">
        <w:rPr>
          <w:rStyle w:val="Hyperlink"/>
          <w:rFonts w:ascii="Arial" w:hAnsi="Arial" w:cs="Arial"/>
          <w:color w:val="000000" w:themeColor="text1"/>
          <w:sz w:val="20"/>
          <w:szCs w:val="20"/>
          <w:u w:val="none"/>
        </w:rPr>
        <w:t xml:space="preserve"> </w:t>
      </w:r>
      <w:r w:rsidR="00F163A1">
        <w:rPr>
          <w:rStyle w:val="Hyperlink"/>
          <w:rFonts w:ascii="Arial" w:hAnsi="Arial" w:cs="Arial"/>
          <w:color w:val="000000" w:themeColor="text1"/>
          <w:sz w:val="20"/>
          <w:szCs w:val="20"/>
          <w:u w:val="none"/>
        </w:rPr>
        <w:t>-</w:t>
      </w:r>
      <w:r w:rsidRPr="00822605">
        <w:rPr>
          <w:rStyle w:val="Hyperlink"/>
          <w:rFonts w:ascii="Arial" w:hAnsi="Arial" w:cs="Arial"/>
          <w:color w:val="000000" w:themeColor="text1"/>
          <w:sz w:val="20"/>
          <w:szCs w:val="20"/>
          <w:u w:val="none"/>
        </w:rPr>
        <w:t xml:space="preserve"> Rel. Conselheiro Fábio de Souza Camargo.</w:t>
      </w:r>
    </w:p>
    <w:p w:rsidR="005954F7" w:rsidRPr="00822605" w:rsidRDefault="005954F7" w:rsidP="00822605">
      <w:pPr>
        <w:spacing w:after="0"/>
        <w:jc w:val="both"/>
        <w:rPr>
          <w:rStyle w:val="Hyperlink"/>
          <w:rFonts w:ascii="Arial" w:hAnsi="Arial" w:cs="Arial"/>
          <w:b/>
          <w:color w:val="000000" w:themeColor="text1"/>
          <w:sz w:val="20"/>
          <w:szCs w:val="20"/>
          <w:u w:val="none"/>
        </w:rPr>
      </w:pPr>
    </w:p>
    <w:p w:rsidR="005954F7" w:rsidRDefault="005F35B7" w:rsidP="00822605">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1</w:t>
      </w:r>
      <w:r w:rsidR="00E21729">
        <w:rPr>
          <w:rStyle w:val="Hyperlink"/>
          <w:rFonts w:ascii="Arial" w:hAnsi="Arial" w:cs="Arial"/>
          <w:b/>
          <w:color w:val="000000" w:themeColor="text1"/>
          <w:sz w:val="20"/>
          <w:szCs w:val="20"/>
          <w:u w:val="none"/>
        </w:rPr>
        <w:t>1</w:t>
      </w:r>
      <w:r>
        <w:rPr>
          <w:rStyle w:val="Hyperlink"/>
          <w:rFonts w:ascii="Arial" w:hAnsi="Arial" w:cs="Arial"/>
          <w:b/>
          <w:color w:val="000000" w:themeColor="text1"/>
          <w:sz w:val="20"/>
          <w:szCs w:val="20"/>
          <w:u w:val="none"/>
        </w:rPr>
        <w:t xml:space="preserve">. </w:t>
      </w:r>
      <w:r w:rsidR="005954F7" w:rsidRPr="00822605">
        <w:rPr>
          <w:rStyle w:val="Hyperlink"/>
          <w:rFonts w:ascii="Arial" w:hAnsi="Arial" w:cs="Arial"/>
          <w:b/>
          <w:color w:val="000000" w:themeColor="text1"/>
          <w:sz w:val="20"/>
          <w:szCs w:val="20"/>
          <w:u w:val="none"/>
        </w:rPr>
        <w:t xml:space="preserve">Recurso de Revista. Cargos em comissão. Pagamento de verbas rescisórias por ocasião do desligamento. Boa-fé do gestor. Não provimento. </w:t>
      </w:r>
    </w:p>
    <w:p w:rsidR="00684303" w:rsidRPr="00822605" w:rsidRDefault="00684303" w:rsidP="00822605">
      <w:pPr>
        <w:spacing w:after="0"/>
        <w:jc w:val="both"/>
        <w:rPr>
          <w:rStyle w:val="Hyperlink"/>
          <w:rFonts w:ascii="Arial" w:hAnsi="Arial" w:cs="Arial"/>
          <w:b/>
          <w:color w:val="000000" w:themeColor="text1"/>
          <w:sz w:val="20"/>
          <w:szCs w:val="20"/>
          <w:u w:val="none"/>
        </w:rPr>
      </w:pPr>
    </w:p>
    <w:p w:rsidR="005954F7" w:rsidRPr="00822605" w:rsidRDefault="005954F7" w:rsidP="00822605">
      <w:pPr>
        <w:spacing w:after="0"/>
        <w:jc w:val="both"/>
        <w:rPr>
          <w:rStyle w:val="Hyperlink"/>
          <w:rFonts w:ascii="Arial" w:hAnsi="Arial" w:cs="Arial"/>
          <w:color w:val="000000" w:themeColor="text1"/>
          <w:sz w:val="20"/>
          <w:szCs w:val="20"/>
          <w:u w:val="none"/>
        </w:rPr>
      </w:pPr>
      <w:r w:rsidRPr="00822605">
        <w:rPr>
          <w:rStyle w:val="Hyperlink"/>
          <w:rFonts w:ascii="Arial" w:hAnsi="Arial" w:cs="Arial"/>
          <w:color w:val="000000" w:themeColor="text1"/>
          <w:sz w:val="20"/>
          <w:szCs w:val="20"/>
          <w:u w:val="none"/>
        </w:rPr>
        <w:t xml:space="preserve">O recurso foi interposto pelo Ministério Público de Contas insurgindo-se contra o pagamento de verbas rescisórias em razão da exoneração de servidores ocupantes de cargos comissionados. </w:t>
      </w:r>
    </w:p>
    <w:p w:rsidR="005954F7" w:rsidRDefault="005954F7" w:rsidP="00822605">
      <w:pPr>
        <w:spacing w:after="0"/>
        <w:jc w:val="both"/>
        <w:rPr>
          <w:rStyle w:val="Hyperlink"/>
          <w:rFonts w:ascii="Arial" w:hAnsi="Arial" w:cs="Arial"/>
          <w:color w:val="000000" w:themeColor="text1"/>
          <w:sz w:val="20"/>
          <w:szCs w:val="20"/>
          <w:u w:val="none"/>
        </w:rPr>
      </w:pPr>
      <w:r w:rsidRPr="00822605">
        <w:rPr>
          <w:rStyle w:val="Hyperlink"/>
          <w:rFonts w:ascii="Arial" w:hAnsi="Arial" w:cs="Arial"/>
          <w:color w:val="000000" w:themeColor="text1"/>
          <w:sz w:val="20"/>
          <w:szCs w:val="20"/>
          <w:u w:val="none"/>
        </w:rPr>
        <w:t>O julgado acompanhou o entendimento asseverado pela Unidade Técnica (COFAP), no sentido de que a Constituição Federal, ao tratar do cargo comissionado, dispõe que seus ocupantes se submetem ao regime geral de previdência e que o servidor comissionado consta como empregado para fins previdenciários, concluindo-se que o regime jurídico do cargo comissionado é híbrido: mesma</w:t>
      </w:r>
      <w:r w:rsidR="00FF1139">
        <w:rPr>
          <w:rStyle w:val="Hyperlink"/>
          <w:rFonts w:ascii="Arial" w:hAnsi="Arial" w:cs="Arial"/>
          <w:color w:val="000000" w:themeColor="text1"/>
          <w:sz w:val="20"/>
          <w:szCs w:val="20"/>
          <w:u w:val="none"/>
        </w:rPr>
        <w:t>s</w:t>
      </w:r>
      <w:r w:rsidRPr="00822605">
        <w:rPr>
          <w:rStyle w:val="Hyperlink"/>
          <w:rFonts w:ascii="Arial" w:hAnsi="Arial" w:cs="Arial"/>
          <w:color w:val="000000" w:themeColor="text1"/>
          <w:sz w:val="20"/>
          <w:szCs w:val="20"/>
          <w:u w:val="none"/>
        </w:rPr>
        <w:t xml:space="preserve"> disposições do regime jurídico administrativo com regras de direito privado e que diante da divergência de entendimento no que tange ao pagamento apenas de verbas salariais do mês em curso e eventual indenização de férias não gozadas, não há que se falar em responsabilização dos recorridos. </w:t>
      </w:r>
    </w:p>
    <w:p w:rsidR="00684303" w:rsidRPr="00822605" w:rsidRDefault="00684303" w:rsidP="00822605">
      <w:pPr>
        <w:spacing w:after="0"/>
        <w:jc w:val="both"/>
        <w:rPr>
          <w:rStyle w:val="Hyperlink"/>
          <w:rFonts w:ascii="Arial" w:hAnsi="Arial" w:cs="Arial"/>
          <w:color w:val="000000" w:themeColor="text1"/>
          <w:sz w:val="20"/>
          <w:szCs w:val="20"/>
          <w:u w:val="none"/>
        </w:rPr>
      </w:pPr>
    </w:p>
    <w:p w:rsidR="005954F7" w:rsidRDefault="005954F7" w:rsidP="00822605">
      <w:pPr>
        <w:spacing w:after="0"/>
        <w:jc w:val="both"/>
        <w:rPr>
          <w:rStyle w:val="Hyperlink"/>
          <w:rFonts w:ascii="Arial" w:hAnsi="Arial" w:cs="Arial"/>
          <w:color w:val="000000" w:themeColor="text1"/>
          <w:sz w:val="20"/>
          <w:szCs w:val="20"/>
          <w:u w:val="none"/>
        </w:rPr>
      </w:pPr>
      <w:r w:rsidRPr="00822605">
        <w:rPr>
          <w:rStyle w:val="Hyperlink"/>
          <w:rFonts w:ascii="Arial" w:hAnsi="Arial" w:cs="Arial"/>
          <w:color w:val="000000" w:themeColor="text1"/>
          <w:sz w:val="20"/>
          <w:szCs w:val="20"/>
          <w:u w:val="none"/>
        </w:rPr>
        <w:t xml:space="preserve">Embora a posição majoritária da jurisprudência refugie a natureza administrativa do vínculo, mesmo quando regido pela CLT, conforme consulta respondida por meio do Acórdão nº </w:t>
      </w:r>
      <w:r w:rsidRPr="00822605">
        <w:rPr>
          <w:rStyle w:val="Hyperlink"/>
          <w:rFonts w:ascii="Arial" w:hAnsi="Arial" w:cs="Arial"/>
          <w:color w:val="000000" w:themeColor="text1"/>
          <w:sz w:val="20"/>
          <w:szCs w:val="20"/>
          <w:u w:val="none"/>
        </w:rPr>
        <w:lastRenderedPageBreak/>
        <w:t xml:space="preserve">889/2006-TP, desta Corte de Contas, uma série de decisões judiciais foi acostada no sentido da natureza estritamente privada do vínculo e da aplicação de todas as regras do sistema privado trabalhista. </w:t>
      </w:r>
    </w:p>
    <w:p w:rsidR="00684303" w:rsidRPr="00822605" w:rsidRDefault="00684303" w:rsidP="00822605">
      <w:pPr>
        <w:spacing w:after="0"/>
        <w:jc w:val="both"/>
        <w:rPr>
          <w:rStyle w:val="Hyperlink"/>
          <w:rFonts w:ascii="Arial" w:hAnsi="Arial" w:cs="Arial"/>
          <w:color w:val="000000" w:themeColor="text1"/>
          <w:sz w:val="20"/>
          <w:szCs w:val="20"/>
          <w:u w:val="none"/>
        </w:rPr>
      </w:pPr>
    </w:p>
    <w:p w:rsidR="005954F7" w:rsidRPr="00822605" w:rsidRDefault="005954F7" w:rsidP="00822605">
      <w:pPr>
        <w:spacing w:after="0"/>
        <w:jc w:val="both"/>
        <w:rPr>
          <w:rStyle w:val="Hyperlink"/>
          <w:rFonts w:ascii="Arial" w:hAnsi="Arial" w:cs="Arial"/>
          <w:color w:val="000000" w:themeColor="text1"/>
          <w:sz w:val="20"/>
          <w:szCs w:val="20"/>
          <w:u w:val="none"/>
        </w:rPr>
      </w:pPr>
      <w:r w:rsidRPr="00822605">
        <w:rPr>
          <w:rStyle w:val="Hyperlink"/>
          <w:rFonts w:ascii="Arial" w:hAnsi="Arial" w:cs="Arial"/>
          <w:color w:val="000000" w:themeColor="text1"/>
          <w:sz w:val="20"/>
          <w:szCs w:val="20"/>
          <w:u w:val="none"/>
        </w:rPr>
        <w:t xml:space="preserve">Processo nº 689259/16 </w:t>
      </w:r>
      <w:r w:rsidR="00684303">
        <w:rPr>
          <w:rStyle w:val="Hyperlink"/>
          <w:rFonts w:ascii="Arial" w:hAnsi="Arial" w:cs="Arial"/>
          <w:color w:val="000000" w:themeColor="text1"/>
          <w:sz w:val="20"/>
          <w:szCs w:val="20"/>
          <w:u w:val="none"/>
        </w:rPr>
        <w:t>-</w:t>
      </w:r>
      <w:r w:rsidRPr="00822605">
        <w:rPr>
          <w:rStyle w:val="Hyperlink"/>
          <w:rFonts w:ascii="Arial" w:hAnsi="Arial" w:cs="Arial"/>
          <w:color w:val="000000" w:themeColor="text1"/>
          <w:sz w:val="20"/>
          <w:szCs w:val="20"/>
          <w:u w:val="none"/>
        </w:rPr>
        <w:t xml:space="preserve"> </w:t>
      </w:r>
      <w:hyperlink r:id="rId18" w:history="1">
        <w:r w:rsidRPr="00822605">
          <w:rPr>
            <w:rStyle w:val="Hyperlink"/>
            <w:rFonts w:ascii="Arial" w:hAnsi="Arial" w:cs="Arial"/>
            <w:sz w:val="20"/>
            <w:szCs w:val="20"/>
          </w:rPr>
          <w:t>Acórdão nº 3498/17-Tribunal Pleno</w:t>
        </w:r>
      </w:hyperlink>
      <w:r w:rsidRPr="00822605">
        <w:rPr>
          <w:rStyle w:val="Hyperlink"/>
          <w:rFonts w:ascii="Arial" w:hAnsi="Arial" w:cs="Arial"/>
          <w:color w:val="000000" w:themeColor="text1"/>
          <w:sz w:val="20"/>
          <w:szCs w:val="20"/>
          <w:u w:val="none"/>
        </w:rPr>
        <w:t xml:space="preserve"> </w:t>
      </w:r>
      <w:r w:rsidR="00E61B6E">
        <w:rPr>
          <w:rStyle w:val="Hyperlink"/>
          <w:rFonts w:ascii="Arial" w:hAnsi="Arial" w:cs="Arial"/>
          <w:color w:val="000000" w:themeColor="text1"/>
          <w:sz w:val="20"/>
          <w:szCs w:val="20"/>
          <w:u w:val="none"/>
        </w:rPr>
        <w:t>-</w:t>
      </w:r>
      <w:r w:rsidRPr="00822605">
        <w:rPr>
          <w:rStyle w:val="Hyperlink"/>
          <w:rFonts w:ascii="Arial" w:hAnsi="Arial" w:cs="Arial"/>
          <w:color w:val="000000" w:themeColor="text1"/>
          <w:sz w:val="20"/>
          <w:szCs w:val="20"/>
          <w:u w:val="none"/>
        </w:rPr>
        <w:t xml:space="preserve"> Rel. Conselheiro </w:t>
      </w:r>
      <w:proofErr w:type="spellStart"/>
      <w:r w:rsidRPr="00822605">
        <w:rPr>
          <w:rStyle w:val="Hyperlink"/>
          <w:rFonts w:ascii="Arial" w:hAnsi="Arial" w:cs="Arial"/>
          <w:color w:val="000000" w:themeColor="text1"/>
          <w:sz w:val="20"/>
          <w:szCs w:val="20"/>
          <w:u w:val="none"/>
        </w:rPr>
        <w:t>Artagão</w:t>
      </w:r>
      <w:proofErr w:type="spellEnd"/>
      <w:r w:rsidRPr="00822605">
        <w:rPr>
          <w:rStyle w:val="Hyperlink"/>
          <w:rFonts w:ascii="Arial" w:hAnsi="Arial" w:cs="Arial"/>
          <w:color w:val="000000" w:themeColor="text1"/>
          <w:sz w:val="20"/>
          <w:szCs w:val="20"/>
          <w:u w:val="none"/>
        </w:rPr>
        <w:t xml:space="preserve"> de Mattos Leão.  </w:t>
      </w:r>
    </w:p>
    <w:p w:rsidR="005954F7" w:rsidRDefault="005954F7" w:rsidP="00816942">
      <w:pPr>
        <w:autoSpaceDE w:val="0"/>
        <w:autoSpaceDN w:val="0"/>
        <w:adjustRightInd w:val="0"/>
        <w:spacing w:after="0"/>
        <w:jc w:val="both"/>
        <w:rPr>
          <w:rFonts w:ascii="Arial" w:hAnsi="Arial" w:cs="Arial"/>
          <w:b/>
          <w:color w:val="000000"/>
          <w:sz w:val="20"/>
          <w:szCs w:val="20"/>
          <w:shd w:val="clear" w:color="auto" w:fill="FFFFFF"/>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601974" w:rsidRDefault="00601974" w:rsidP="00816942">
      <w:pPr>
        <w:spacing w:after="0"/>
        <w:rPr>
          <w:rFonts w:ascii="Arial" w:hAnsi="Arial" w:cs="Arial"/>
          <w:b/>
          <w:color w:val="000000"/>
          <w:sz w:val="20"/>
          <w:szCs w:val="20"/>
        </w:rPr>
      </w:pPr>
    </w:p>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CC4E55" w:rsidRPr="00414EF8" w:rsidRDefault="00CC4E55" w:rsidP="006E12D5">
      <w:pPr>
        <w:spacing w:after="0"/>
        <w:jc w:val="both"/>
        <w:rPr>
          <w:rFonts w:ascii="Arial" w:hAnsi="Arial" w:cs="Arial"/>
          <w:b/>
          <w:color w:val="000000"/>
          <w:sz w:val="20"/>
          <w:szCs w:val="20"/>
        </w:rPr>
      </w:pPr>
    </w:p>
    <w:p w:rsidR="00414EF8" w:rsidRPr="00414EF8" w:rsidRDefault="004E3A4A" w:rsidP="00414EF8">
      <w:pPr>
        <w:spacing w:after="0" w:line="240" w:lineRule="auto"/>
        <w:rPr>
          <w:rFonts w:ascii="Arial" w:eastAsia="Times New Roman" w:hAnsi="Arial" w:cs="Arial"/>
          <w:b/>
          <w:sz w:val="20"/>
          <w:szCs w:val="20"/>
          <w:shd w:val="clear" w:color="auto" w:fill="FFFFFF"/>
          <w:lang w:eastAsia="pt-BR"/>
        </w:rPr>
      </w:pPr>
      <w:hyperlink r:id="rId19" w:anchor="TIT1TEMA0" w:history="1">
        <w:r w:rsidR="00414EF8" w:rsidRPr="00414EF8">
          <w:rPr>
            <w:rStyle w:val="Hyperlink"/>
            <w:rFonts w:ascii="Arial" w:eastAsia="Times New Roman" w:hAnsi="Arial" w:cs="Arial"/>
            <w:b/>
            <w:sz w:val="20"/>
            <w:szCs w:val="20"/>
            <w:shd w:val="clear" w:color="auto" w:fill="FFFFFF"/>
            <w:lang w:eastAsia="pt-BR"/>
          </w:rPr>
          <w:t>SÚMULA N</w:t>
        </w:r>
        <w:r w:rsidR="00E56591">
          <w:rPr>
            <w:rStyle w:val="Hyperlink"/>
            <w:rFonts w:ascii="Arial" w:eastAsia="Times New Roman" w:hAnsi="Arial" w:cs="Arial"/>
            <w:b/>
            <w:sz w:val="20"/>
            <w:szCs w:val="20"/>
            <w:shd w:val="clear" w:color="auto" w:fill="FFFFFF"/>
            <w:lang w:eastAsia="pt-BR"/>
          </w:rPr>
          <w:t>°</w:t>
        </w:r>
        <w:r w:rsidR="00414EF8" w:rsidRPr="00414EF8">
          <w:rPr>
            <w:rStyle w:val="Hyperlink"/>
            <w:rFonts w:ascii="Arial" w:eastAsia="Times New Roman" w:hAnsi="Arial" w:cs="Arial"/>
            <w:b/>
            <w:sz w:val="20"/>
            <w:szCs w:val="20"/>
            <w:shd w:val="clear" w:color="auto" w:fill="FFFFFF"/>
            <w:lang w:eastAsia="pt-BR"/>
          </w:rPr>
          <w:t xml:space="preserve"> 591</w:t>
        </w:r>
      </w:hyperlink>
    </w:p>
    <w:p w:rsidR="00414EF8" w:rsidRPr="00414EF8" w:rsidRDefault="00414EF8" w:rsidP="00414EF8">
      <w:pPr>
        <w:spacing w:before="100" w:beforeAutospacing="1" w:after="100" w:afterAutospacing="1" w:line="240" w:lineRule="auto"/>
        <w:jc w:val="both"/>
        <w:rPr>
          <w:rFonts w:ascii="Arial" w:eastAsia="Times New Roman" w:hAnsi="Arial" w:cs="Arial"/>
          <w:b/>
          <w:bCs/>
          <w:sz w:val="20"/>
          <w:szCs w:val="20"/>
          <w:shd w:val="clear" w:color="auto" w:fill="FFFFFF"/>
          <w:lang w:eastAsia="pt-BR"/>
        </w:rPr>
      </w:pPr>
      <w:r w:rsidRPr="00414EF8">
        <w:rPr>
          <w:rFonts w:ascii="Arial" w:eastAsia="Times New Roman" w:hAnsi="Arial" w:cs="Arial"/>
          <w:sz w:val="20"/>
          <w:szCs w:val="20"/>
          <w:shd w:val="clear" w:color="auto" w:fill="FFFFFF"/>
          <w:lang w:eastAsia="pt-BR"/>
        </w:rPr>
        <w:t>É permitida a prova emprestada no processo administrativo disciplinar, desde que devidamente autorizada pelo juízo competente e respeitados o contraditório e a ampla defesa. </w:t>
      </w:r>
      <w:r w:rsidRPr="00414EF8">
        <w:rPr>
          <w:rFonts w:ascii="Arial" w:eastAsia="Times New Roman" w:hAnsi="Arial" w:cs="Arial"/>
          <w:b/>
          <w:bCs/>
          <w:sz w:val="20"/>
          <w:szCs w:val="20"/>
          <w:shd w:val="clear" w:color="auto" w:fill="FFFFFF"/>
          <w:lang w:eastAsia="pt-BR"/>
        </w:rPr>
        <w:t xml:space="preserve">Primeira Seção, aprovada em 13/9/2017, </w:t>
      </w:r>
      <w:proofErr w:type="spellStart"/>
      <w:r w:rsidRPr="00414EF8">
        <w:rPr>
          <w:rFonts w:ascii="Arial" w:eastAsia="Times New Roman" w:hAnsi="Arial" w:cs="Arial"/>
          <w:b/>
          <w:bCs/>
          <w:sz w:val="20"/>
          <w:szCs w:val="20"/>
          <w:shd w:val="clear" w:color="auto" w:fill="FFFFFF"/>
          <w:lang w:eastAsia="pt-BR"/>
        </w:rPr>
        <w:t>DJe</w:t>
      </w:r>
      <w:proofErr w:type="spellEnd"/>
      <w:r w:rsidRPr="00414EF8">
        <w:rPr>
          <w:rFonts w:ascii="Arial" w:eastAsia="Times New Roman" w:hAnsi="Arial" w:cs="Arial"/>
          <w:b/>
          <w:bCs/>
          <w:sz w:val="20"/>
          <w:szCs w:val="20"/>
          <w:shd w:val="clear" w:color="auto" w:fill="FFFFFF"/>
          <w:lang w:eastAsia="pt-BR"/>
        </w:rPr>
        <w:t xml:space="preserve"> 18/9/2017.</w:t>
      </w:r>
    </w:p>
    <w:p w:rsidR="00414EF8" w:rsidRPr="00414EF8" w:rsidRDefault="004E3A4A" w:rsidP="00414EF8">
      <w:pPr>
        <w:rPr>
          <w:rStyle w:val="clsinformativotexto"/>
          <w:rFonts w:ascii="Arial" w:hAnsi="Arial" w:cs="Arial"/>
          <w:b/>
          <w:sz w:val="20"/>
          <w:szCs w:val="20"/>
          <w:shd w:val="clear" w:color="auto" w:fill="FFFFFF"/>
        </w:rPr>
      </w:pPr>
      <w:hyperlink r:id="rId20" w:anchor="TIT1TEMA0" w:history="1">
        <w:r w:rsidR="00414EF8" w:rsidRPr="00414EF8">
          <w:rPr>
            <w:rStyle w:val="Hyperlink"/>
            <w:rFonts w:ascii="Arial" w:hAnsi="Arial" w:cs="Arial"/>
            <w:b/>
            <w:sz w:val="20"/>
            <w:szCs w:val="20"/>
            <w:shd w:val="clear" w:color="auto" w:fill="FFFFFF"/>
          </w:rPr>
          <w:t>SÚMULA N</w:t>
        </w:r>
        <w:r w:rsidR="00E56591">
          <w:rPr>
            <w:rStyle w:val="Hyperlink"/>
            <w:rFonts w:ascii="Arial" w:hAnsi="Arial" w:cs="Arial"/>
            <w:b/>
            <w:sz w:val="20"/>
            <w:szCs w:val="20"/>
            <w:shd w:val="clear" w:color="auto" w:fill="FFFFFF"/>
          </w:rPr>
          <w:t>°</w:t>
        </w:r>
        <w:r w:rsidR="00414EF8" w:rsidRPr="00414EF8">
          <w:rPr>
            <w:rStyle w:val="Hyperlink"/>
            <w:rFonts w:ascii="Arial" w:hAnsi="Arial" w:cs="Arial"/>
            <w:b/>
            <w:sz w:val="20"/>
            <w:szCs w:val="20"/>
            <w:shd w:val="clear" w:color="auto" w:fill="FFFFFF"/>
          </w:rPr>
          <w:t xml:space="preserve"> 592</w:t>
        </w:r>
      </w:hyperlink>
    </w:p>
    <w:p w:rsidR="00414EF8" w:rsidRDefault="00414EF8" w:rsidP="00414EF8">
      <w:pPr>
        <w:pStyle w:val="NormalWeb"/>
        <w:jc w:val="both"/>
        <w:rPr>
          <w:rStyle w:val="Forte"/>
          <w:rFonts w:ascii="Arial" w:hAnsi="Arial" w:cs="Arial"/>
          <w:sz w:val="20"/>
          <w:szCs w:val="20"/>
          <w:shd w:val="clear" w:color="auto" w:fill="FFFFFF"/>
        </w:rPr>
      </w:pPr>
      <w:r w:rsidRPr="00414EF8">
        <w:rPr>
          <w:rFonts w:ascii="Arial" w:hAnsi="Arial" w:cs="Arial"/>
          <w:sz w:val="20"/>
          <w:szCs w:val="20"/>
          <w:shd w:val="clear" w:color="auto" w:fill="FFFFFF"/>
        </w:rPr>
        <w:t>O excesso de prazo para a conclusão do processo administrativo disciplinar só causa nulidade se houver demonstração de prejuízo à defesa. </w:t>
      </w:r>
      <w:r w:rsidRPr="00414EF8">
        <w:rPr>
          <w:rStyle w:val="Forte"/>
          <w:rFonts w:ascii="Arial" w:hAnsi="Arial" w:cs="Arial"/>
          <w:sz w:val="20"/>
          <w:szCs w:val="20"/>
          <w:shd w:val="clear" w:color="auto" w:fill="FFFFFF"/>
        </w:rPr>
        <w:t xml:space="preserve">Primeira Seção, aprovada em 13/9/2017, </w:t>
      </w:r>
      <w:proofErr w:type="spellStart"/>
      <w:r w:rsidRPr="00414EF8">
        <w:rPr>
          <w:rStyle w:val="Forte"/>
          <w:rFonts w:ascii="Arial" w:hAnsi="Arial" w:cs="Arial"/>
          <w:sz w:val="20"/>
          <w:szCs w:val="20"/>
          <w:shd w:val="clear" w:color="auto" w:fill="FFFFFF"/>
        </w:rPr>
        <w:t>DJe</w:t>
      </w:r>
      <w:proofErr w:type="spellEnd"/>
      <w:r w:rsidRPr="00414EF8">
        <w:rPr>
          <w:rStyle w:val="Forte"/>
          <w:rFonts w:ascii="Arial" w:hAnsi="Arial" w:cs="Arial"/>
          <w:sz w:val="20"/>
          <w:szCs w:val="20"/>
          <w:shd w:val="clear" w:color="auto" w:fill="FFFFFF"/>
        </w:rPr>
        <w:t xml:space="preserve"> 18/9/2017.</w:t>
      </w:r>
    </w:p>
    <w:p w:rsidR="00414EF8" w:rsidRDefault="004E3A4A" w:rsidP="00414EF8">
      <w:pPr>
        <w:pStyle w:val="NormalWeb"/>
        <w:jc w:val="both"/>
        <w:rPr>
          <w:rStyle w:val="Forte"/>
          <w:rFonts w:ascii="Arial" w:hAnsi="Arial" w:cs="Arial"/>
          <w:sz w:val="20"/>
          <w:szCs w:val="20"/>
          <w:shd w:val="clear" w:color="auto" w:fill="FFFFFF"/>
        </w:rPr>
      </w:pPr>
      <w:hyperlink r:id="rId21" w:history="1">
        <w:proofErr w:type="spellStart"/>
        <w:r w:rsidR="00414EF8" w:rsidRPr="00414EF8">
          <w:rPr>
            <w:rStyle w:val="Hyperlink"/>
            <w:rFonts w:ascii="Arial" w:hAnsi="Arial" w:cs="Arial"/>
            <w:b/>
            <w:sz w:val="20"/>
            <w:szCs w:val="20"/>
            <w:shd w:val="clear" w:color="auto" w:fill="FFFFFF"/>
          </w:rPr>
          <w:t>REsp</w:t>
        </w:r>
        <w:proofErr w:type="spellEnd"/>
        <w:r w:rsidR="00414EF8" w:rsidRPr="00414EF8">
          <w:rPr>
            <w:rStyle w:val="Hyperlink"/>
            <w:rFonts w:ascii="Arial" w:hAnsi="Arial" w:cs="Arial"/>
            <w:b/>
            <w:sz w:val="20"/>
            <w:szCs w:val="20"/>
            <w:shd w:val="clear" w:color="auto" w:fill="FFFFFF"/>
          </w:rPr>
          <w:t xml:space="preserve"> 1.503.007-CE</w:t>
        </w:r>
      </w:hyperlink>
      <w:r w:rsidR="00414EF8" w:rsidRPr="00414EF8">
        <w:rPr>
          <w:rStyle w:val="Forte"/>
          <w:rFonts w:ascii="Arial" w:hAnsi="Arial" w:cs="Arial"/>
          <w:sz w:val="20"/>
          <w:szCs w:val="20"/>
          <w:shd w:val="clear" w:color="auto" w:fill="FFFFFF"/>
        </w:rPr>
        <w:t xml:space="preserve">, Rel. Min. Herman Benjamin, por unanimidade, julgado em 14/6/2017, </w:t>
      </w:r>
      <w:proofErr w:type="spellStart"/>
      <w:r w:rsidR="00414EF8" w:rsidRPr="00414EF8">
        <w:rPr>
          <w:rStyle w:val="Forte"/>
          <w:rFonts w:ascii="Arial" w:hAnsi="Arial" w:cs="Arial"/>
          <w:sz w:val="20"/>
          <w:szCs w:val="20"/>
          <w:shd w:val="clear" w:color="auto" w:fill="FFFFFF"/>
        </w:rPr>
        <w:t>DJe</w:t>
      </w:r>
      <w:proofErr w:type="spellEnd"/>
      <w:r w:rsidR="00414EF8" w:rsidRPr="00414EF8">
        <w:rPr>
          <w:rStyle w:val="Forte"/>
          <w:rFonts w:ascii="Arial" w:hAnsi="Arial" w:cs="Arial"/>
          <w:sz w:val="20"/>
          <w:szCs w:val="20"/>
          <w:shd w:val="clear" w:color="auto" w:fill="FFFFFF"/>
        </w:rPr>
        <w:t xml:space="preserve"> 6/9/2017.</w:t>
      </w:r>
    </w:p>
    <w:p w:rsidR="00414EF8" w:rsidRPr="00414EF8" w:rsidRDefault="00414EF8" w:rsidP="00414EF8">
      <w:pPr>
        <w:pStyle w:val="NormalWeb"/>
        <w:jc w:val="both"/>
        <w:rPr>
          <w:rStyle w:val="Forte"/>
          <w:rFonts w:ascii="Arial" w:hAnsi="Arial" w:cs="Arial"/>
          <w:b w:val="0"/>
          <w:sz w:val="20"/>
          <w:szCs w:val="20"/>
          <w:shd w:val="clear" w:color="auto" w:fill="FFFFFF"/>
        </w:rPr>
      </w:pPr>
      <w:r w:rsidRPr="00414EF8">
        <w:rPr>
          <w:rFonts w:ascii="Arial" w:hAnsi="Arial" w:cs="Arial"/>
          <w:b/>
          <w:sz w:val="20"/>
          <w:szCs w:val="20"/>
          <w:shd w:val="clear" w:color="auto" w:fill="FFFFFF"/>
        </w:rPr>
        <w:t>Associação de municípios. Representação processual. Impossibilidade.</w:t>
      </w:r>
    </w:p>
    <w:p w:rsidR="00414EF8" w:rsidRDefault="00414EF8" w:rsidP="00414EF8">
      <w:pPr>
        <w:pStyle w:val="NormalWeb"/>
        <w:jc w:val="both"/>
        <w:rPr>
          <w:rFonts w:ascii="Arial" w:hAnsi="Arial" w:cs="Arial"/>
          <w:sz w:val="20"/>
          <w:szCs w:val="20"/>
          <w:shd w:val="clear" w:color="auto" w:fill="FFFFFF"/>
        </w:rPr>
      </w:pPr>
      <w:r w:rsidRPr="00414EF8">
        <w:rPr>
          <w:rFonts w:ascii="Arial" w:hAnsi="Arial" w:cs="Arial"/>
          <w:sz w:val="20"/>
          <w:szCs w:val="20"/>
          <w:shd w:val="clear" w:color="auto" w:fill="FFFFFF"/>
        </w:rPr>
        <w:t>Associação de Municípios e Prefeitos não possui legitimidade ativa para tutelar em juízo direitos e interesses das pessoas jurídicas de direito público.</w:t>
      </w:r>
    </w:p>
    <w:p w:rsidR="000800D1" w:rsidRPr="0022060B" w:rsidRDefault="000800D1" w:rsidP="006E12D5">
      <w:pPr>
        <w:spacing w:after="0"/>
        <w:jc w:val="both"/>
        <w:rPr>
          <w:rFonts w:ascii="Arial" w:hAnsi="Arial" w:cs="Arial"/>
          <w:b/>
          <w:color w:val="000000"/>
          <w:sz w:val="20"/>
          <w:szCs w:val="20"/>
        </w:rPr>
      </w:pPr>
      <w:r w:rsidRPr="0022060B">
        <w:rPr>
          <w:rFonts w:ascii="Arial" w:hAnsi="Arial" w:cs="Arial"/>
          <w:b/>
          <w:color w:val="000000"/>
          <w:sz w:val="20"/>
          <w:szCs w:val="20"/>
        </w:rPr>
        <w:t>Tribunal de Contas da União:</w:t>
      </w:r>
    </w:p>
    <w:p w:rsidR="006E2848" w:rsidRPr="00FA32BC" w:rsidRDefault="006E2848" w:rsidP="00CF4FDB">
      <w:pPr>
        <w:widowControl w:val="0"/>
        <w:autoSpaceDE w:val="0"/>
        <w:autoSpaceDN w:val="0"/>
        <w:jc w:val="both"/>
        <w:rPr>
          <w:rFonts w:ascii="Arial" w:hAnsi="Arial"/>
          <w:b/>
          <w:sz w:val="20"/>
          <w:szCs w:val="20"/>
        </w:rPr>
      </w:pPr>
    </w:p>
    <w:p w:rsidR="00CF4FDB" w:rsidRPr="00FA32BC" w:rsidRDefault="004E3A4A" w:rsidP="00CF4FDB">
      <w:pPr>
        <w:widowControl w:val="0"/>
        <w:autoSpaceDE w:val="0"/>
        <w:autoSpaceDN w:val="0"/>
        <w:jc w:val="both"/>
        <w:rPr>
          <w:rFonts w:ascii="Arial" w:hAnsi="Arial" w:cs="Arial"/>
          <w:b/>
          <w:sz w:val="20"/>
          <w:szCs w:val="20"/>
        </w:rPr>
      </w:pPr>
      <w:hyperlink r:id="rId22" w:history="1">
        <w:r w:rsidR="00CF4FDB" w:rsidRPr="00FA32BC">
          <w:rPr>
            <w:rStyle w:val="Hyperlink"/>
            <w:rFonts w:ascii="Arial" w:hAnsi="Arial"/>
            <w:b/>
            <w:sz w:val="20"/>
            <w:szCs w:val="20"/>
          </w:rPr>
          <w:t>Acórdão 1651/2017</w:t>
        </w:r>
        <w:r w:rsidR="00F13466" w:rsidRPr="00FA32BC">
          <w:rPr>
            <w:rStyle w:val="Hyperlink"/>
            <w:rFonts w:ascii="Arial" w:hAnsi="Arial"/>
            <w:b/>
            <w:sz w:val="20"/>
            <w:szCs w:val="20"/>
          </w:rPr>
          <w:t xml:space="preserve"> -</w:t>
        </w:r>
        <w:r w:rsidR="00CF4FDB" w:rsidRPr="00FA32BC">
          <w:rPr>
            <w:rStyle w:val="Hyperlink"/>
            <w:rFonts w:ascii="Arial" w:hAnsi="Arial"/>
            <w:b/>
            <w:sz w:val="20"/>
            <w:szCs w:val="20"/>
          </w:rPr>
          <w:t xml:space="preserve"> Plenário</w:t>
        </w:r>
      </w:hyperlink>
      <w:r w:rsidR="00CF4FDB" w:rsidRPr="00FA32BC">
        <w:rPr>
          <w:rFonts w:ascii="Arial" w:hAnsi="Arial"/>
          <w:b/>
          <w:sz w:val="20"/>
          <w:szCs w:val="20"/>
        </w:rPr>
        <w:t xml:space="preserve"> </w:t>
      </w:r>
      <w:r w:rsidR="00CF4FDB" w:rsidRPr="00FA32BC">
        <w:rPr>
          <w:rFonts w:ascii="Arial" w:hAnsi="Arial"/>
          <w:sz w:val="20"/>
          <w:szCs w:val="20"/>
        </w:rPr>
        <w:t>(Recurso de Revisão, Relator Ministro Walton Alencar Rodrigues)</w:t>
      </w:r>
    </w:p>
    <w:p w:rsidR="00CF4FDB" w:rsidRPr="00FA32BC" w:rsidRDefault="00CF4FDB" w:rsidP="00CF4FDB">
      <w:pPr>
        <w:jc w:val="both"/>
        <w:rPr>
          <w:rFonts w:ascii="Arial" w:hAnsi="Arial" w:cs="Arial"/>
          <w:b/>
          <w:sz w:val="20"/>
          <w:szCs w:val="20"/>
        </w:rPr>
      </w:pPr>
      <w:r w:rsidRPr="00FA32BC">
        <w:rPr>
          <w:rFonts w:ascii="Arial" w:hAnsi="Arial"/>
          <w:b/>
          <w:sz w:val="20"/>
          <w:szCs w:val="20"/>
        </w:rPr>
        <w:t>Responsabilidade. Convênio. Débito. Ressarcimento. Ente da Federação. Gestor público.</w:t>
      </w:r>
    </w:p>
    <w:p w:rsidR="00CF4FDB" w:rsidRPr="00FA32BC" w:rsidRDefault="00CF4FDB" w:rsidP="00CF4FDB">
      <w:pPr>
        <w:pStyle w:val="TCU-Epgrafe"/>
        <w:spacing w:after="200" w:line="276" w:lineRule="auto"/>
        <w:ind w:left="0"/>
        <w:rPr>
          <w:rFonts w:ascii="Arial" w:hAnsi="Arial"/>
          <w:iCs/>
          <w:sz w:val="20"/>
        </w:rPr>
      </w:pPr>
      <w:r w:rsidRPr="00FA32BC">
        <w:rPr>
          <w:rFonts w:ascii="Arial" w:hAnsi="Arial"/>
          <w:iCs/>
          <w:sz w:val="20"/>
        </w:rPr>
        <w:t xml:space="preserve">A restituição dos recursos do convênio pelo município, quando este não auferiu vantagem da irregularidade cometida, não elide o débito imputado ao gestor público pelo TCU, tendo em vista </w:t>
      </w:r>
      <w:r w:rsidRPr="00FA32BC">
        <w:rPr>
          <w:rFonts w:ascii="Arial" w:hAnsi="Arial"/>
          <w:iCs/>
          <w:sz w:val="20"/>
        </w:rPr>
        <w:lastRenderedPageBreak/>
        <w:t xml:space="preserve">a possibilidade, em situações da espécie, de o ente federado ajuizar ação de repetição de indébito em face da União para obter a devolução dos valores. </w:t>
      </w:r>
    </w:p>
    <w:p w:rsidR="00424258" w:rsidRPr="00FA32BC" w:rsidRDefault="004E3A4A" w:rsidP="00424258">
      <w:pPr>
        <w:widowControl w:val="0"/>
        <w:autoSpaceDE w:val="0"/>
        <w:autoSpaceDN w:val="0"/>
        <w:jc w:val="both"/>
        <w:rPr>
          <w:rFonts w:ascii="Arial" w:hAnsi="Arial" w:cs="Arial"/>
          <w:b/>
          <w:sz w:val="20"/>
          <w:szCs w:val="20"/>
        </w:rPr>
      </w:pPr>
      <w:hyperlink r:id="rId23" w:history="1">
        <w:r w:rsidR="00424258" w:rsidRPr="00FA32BC">
          <w:rPr>
            <w:rStyle w:val="Hyperlink"/>
            <w:rFonts w:ascii="Arial" w:hAnsi="Arial"/>
            <w:b/>
            <w:sz w:val="20"/>
            <w:szCs w:val="20"/>
          </w:rPr>
          <w:t>Acórdão 1667/2017</w:t>
        </w:r>
        <w:r w:rsidR="00F13466" w:rsidRPr="00FA32BC">
          <w:rPr>
            <w:rStyle w:val="Hyperlink"/>
            <w:rFonts w:ascii="Arial" w:hAnsi="Arial"/>
            <w:b/>
            <w:sz w:val="20"/>
            <w:szCs w:val="20"/>
          </w:rPr>
          <w:t>-</w:t>
        </w:r>
        <w:r w:rsidR="00424258" w:rsidRPr="00FA32BC">
          <w:rPr>
            <w:rStyle w:val="Hyperlink"/>
            <w:rFonts w:ascii="Arial" w:hAnsi="Arial"/>
            <w:b/>
            <w:sz w:val="20"/>
            <w:szCs w:val="20"/>
          </w:rPr>
          <w:t xml:space="preserve"> Plenário</w:t>
        </w:r>
      </w:hyperlink>
      <w:r w:rsidR="00424258" w:rsidRPr="00FA32BC">
        <w:rPr>
          <w:rFonts w:ascii="Arial" w:hAnsi="Arial"/>
          <w:b/>
          <w:sz w:val="20"/>
          <w:szCs w:val="20"/>
        </w:rPr>
        <w:t xml:space="preserve"> </w:t>
      </w:r>
      <w:r w:rsidR="00424258" w:rsidRPr="00FA32BC">
        <w:rPr>
          <w:rFonts w:ascii="Arial" w:hAnsi="Arial"/>
          <w:sz w:val="20"/>
          <w:szCs w:val="20"/>
        </w:rPr>
        <w:t>(Agravo, Relator Ministro Aroldo Cedraz)</w:t>
      </w:r>
    </w:p>
    <w:p w:rsidR="00424258" w:rsidRPr="00FA32BC" w:rsidRDefault="00424258" w:rsidP="00424258">
      <w:pPr>
        <w:jc w:val="both"/>
        <w:rPr>
          <w:rFonts w:ascii="Arial" w:hAnsi="Arial" w:cs="Arial"/>
          <w:b/>
          <w:sz w:val="20"/>
          <w:szCs w:val="20"/>
        </w:rPr>
      </w:pPr>
      <w:r w:rsidRPr="00FA32BC">
        <w:rPr>
          <w:rFonts w:ascii="Arial" w:hAnsi="Arial"/>
          <w:b/>
          <w:sz w:val="20"/>
          <w:szCs w:val="20"/>
        </w:rPr>
        <w:t>Direito Processual. Parte processual. Representante. Licitante. Direito subjetivo.</w:t>
      </w:r>
    </w:p>
    <w:p w:rsidR="00424258" w:rsidRPr="00FA32BC" w:rsidRDefault="00424258" w:rsidP="00424258">
      <w:pPr>
        <w:pStyle w:val="TCU-Epgrafe"/>
        <w:spacing w:after="200" w:line="276" w:lineRule="auto"/>
        <w:ind w:left="0"/>
        <w:rPr>
          <w:rFonts w:ascii="Arial" w:hAnsi="Arial"/>
          <w:sz w:val="20"/>
        </w:rPr>
      </w:pPr>
      <w:r w:rsidRPr="00FA32BC">
        <w:rPr>
          <w:rFonts w:ascii="Arial" w:hAnsi="Arial"/>
          <w:sz w:val="20"/>
        </w:rPr>
        <w:t>A mera participação na licitação não gera direito subjetivo a ser defendido perante o TCU e, portanto, não confere a licitante, mesmo como autora da representação, a condição de parte no processo que apura eventuais irregularidades no certame, especialmente no caso em que não houve contratação nem mesmo adjudicação em favor da licitante.</w:t>
      </w:r>
    </w:p>
    <w:p w:rsidR="006639D8" w:rsidRPr="00FA32BC" w:rsidRDefault="004E3A4A" w:rsidP="006639D8">
      <w:pPr>
        <w:widowControl w:val="0"/>
        <w:autoSpaceDE w:val="0"/>
        <w:autoSpaceDN w:val="0"/>
        <w:jc w:val="both"/>
        <w:rPr>
          <w:rFonts w:ascii="Arial" w:hAnsi="Arial" w:cs="Arial"/>
          <w:b/>
          <w:sz w:val="20"/>
          <w:szCs w:val="20"/>
        </w:rPr>
      </w:pPr>
      <w:hyperlink r:id="rId24" w:history="1">
        <w:r w:rsidR="006639D8" w:rsidRPr="00FA32BC">
          <w:rPr>
            <w:rStyle w:val="Hyperlink"/>
            <w:rFonts w:ascii="Arial" w:hAnsi="Arial"/>
            <w:b/>
            <w:sz w:val="20"/>
            <w:szCs w:val="20"/>
          </w:rPr>
          <w:t>Acórdão 1667/2017</w:t>
        </w:r>
        <w:r w:rsidR="00F13466" w:rsidRPr="00FA32BC">
          <w:rPr>
            <w:rStyle w:val="Hyperlink"/>
            <w:rFonts w:ascii="Arial" w:hAnsi="Arial"/>
            <w:b/>
            <w:sz w:val="20"/>
            <w:szCs w:val="20"/>
          </w:rPr>
          <w:t xml:space="preserve"> -</w:t>
        </w:r>
        <w:r w:rsidR="006639D8" w:rsidRPr="00FA32BC">
          <w:rPr>
            <w:rStyle w:val="Hyperlink"/>
            <w:rFonts w:ascii="Arial" w:hAnsi="Arial"/>
            <w:b/>
            <w:sz w:val="20"/>
            <w:szCs w:val="20"/>
          </w:rPr>
          <w:t xml:space="preserve"> Plenário</w:t>
        </w:r>
      </w:hyperlink>
      <w:r w:rsidR="006639D8" w:rsidRPr="00FA32BC">
        <w:rPr>
          <w:rFonts w:ascii="Arial" w:hAnsi="Arial"/>
          <w:b/>
          <w:sz w:val="20"/>
          <w:szCs w:val="20"/>
        </w:rPr>
        <w:t xml:space="preserve"> </w:t>
      </w:r>
      <w:r w:rsidR="006639D8" w:rsidRPr="00FA32BC">
        <w:rPr>
          <w:rFonts w:ascii="Arial" w:hAnsi="Arial"/>
          <w:sz w:val="20"/>
          <w:szCs w:val="20"/>
        </w:rPr>
        <w:t>(Agravo, Relator Ministro Aroldo Cedraz)</w:t>
      </w:r>
    </w:p>
    <w:p w:rsidR="006639D8" w:rsidRPr="00FA32BC" w:rsidRDefault="006639D8" w:rsidP="006639D8">
      <w:pPr>
        <w:jc w:val="both"/>
        <w:rPr>
          <w:rFonts w:ascii="Arial" w:hAnsi="Arial" w:cs="Arial"/>
          <w:b/>
          <w:sz w:val="20"/>
          <w:szCs w:val="20"/>
        </w:rPr>
      </w:pPr>
      <w:r w:rsidRPr="00FA32BC">
        <w:rPr>
          <w:rFonts w:ascii="Arial" w:hAnsi="Arial"/>
          <w:b/>
          <w:sz w:val="20"/>
          <w:szCs w:val="20"/>
        </w:rPr>
        <w:t>Licitação. Pregão. Bens e serviços de informática. Serviços comuns. Software.</w:t>
      </w:r>
    </w:p>
    <w:p w:rsidR="006639D8" w:rsidRPr="00FA32BC" w:rsidRDefault="006639D8" w:rsidP="006639D8">
      <w:pPr>
        <w:pStyle w:val="TCU-Epgrafe"/>
        <w:spacing w:after="200" w:line="276" w:lineRule="auto"/>
        <w:ind w:left="0"/>
        <w:rPr>
          <w:sz w:val="20"/>
        </w:rPr>
      </w:pPr>
      <w:r w:rsidRPr="00FA32BC">
        <w:rPr>
          <w:rFonts w:ascii="Arial" w:hAnsi="Arial"/>
          <w:sz w:val="20"/>
        </w:rPr>
        <w:t xml:space="preserve">O desenvolvimento e a manutenção de </w:t>
      </w:r>
      <w:r w:rsidRPr="00FA32BC">
        <w:rPr>
          <w:rFonts w:ascii="Arial" w:hAnsi="Arial"/>
          <w:bCs/>
          <w:i/>
          <w:sz w:val="20"/>
        </w:rPr>
        <w:t>softwares</w:t>
      </w:r>
      <w:r w:rsidRPr="00FA32BC">
        <w:rPr>
          <w:rFonts w:ascii="Arial" w:hAnsi="Arial"/>
          <w:sz w:val="20"/>
        </w:rPr>
        <w:t xml:space="preserve"> enquadram-se na categoria de objetos comuns prevista na </w:t>
      </w:r>
      <w:hyperlink r:id="rId25" w:tgtFrame="_blank" w:history="1">
        <w:r w:rsidRPr="00FA32BC">
          <w:rPr>
            <w:rStyle w:val="Hyperlink"/>
            <w:rFonts w:ascii="Arial" w:hAnsi="Arial"/>
            <w:color w:val="0000FF" w:themeColor="hyperlink"/>
            <w:sz w:val="20"/>
            <w:shd w:val="clear" w:color="auto" w:fill="FFFFFF"/>
          </w:rPr>
          <w:t>Lei 10.520/2002</w:t>
        </w:r>
      </w:hyperlink>
      <w:r w:rsidRPr="00FA32BC">
        <w:rPr>
          <w:rFonts w:ascii="Arial" w:hAnsi="Arial"/>
          <w:sz w:val="20"/>
        </w:rPr>
        <w:t xml:space="preserve"> sempre que possam ter seus padrões de desempenho e qualidade objetivamente definidos no edital por meio de especificações usuais no mercado, devendo, nessa situação, ser licitados mediante pregão (art. 9º, §§ 1º e 2º, do </w:t>
      </w:r>
      <w:hyperlink r:id="rId26" w:tgtFrame="_blank" w:history="1">
        <w:r w:rsidRPr="00FA32BC">
          <w:rPr>
            <w:rStyle w:val="Hyperlink"/>
            <w:rFonts w:ascii="Arial" w:hAnsi="Arial"/>
            <w:color w:val="0000FF" w:themeColor="hyperlink"/>
            <w:sz w:val="20"/>
            <w:shd w:val="clear" w:color="auto" w:fill="FFFFFF"/>
          </w:rPr>
          <w:t>Decreto 7.174/2010</w:t>
        </w:r>
      </w:hyperlink>
      <w:r w:rsidRPr="00FA32BC">
        <w:rPr>
          <w:rFonts w:ascii="Arial" w:hAnsi="Arial"/>
          <w:sz w:val="20"/>
        </w:rPr>
        <w:t>).</w:t>
      </w:r>
    </w:p>
    <w:p w:rsidR="00A201C2" w:rsidRDefault="004E3A4A" w:rsidP="00A201C2">
      <w:pPr>
        <w:widowControl w:val="0"/>
        <w:autoSpaceDE w:val="0"/>
        <w:autoSpaceDN w:val="0"/>
        <w:jc w:val="both"/>
        <w:rPr>
          <w:rFonts w:ascii="Arial" w:hAnsi="Arial"/>
          <w:sz w:val="20"/>
          <w:szCs w:val="20"/>
        </w:rPr>
      </w:pPr>
      <w:hyperlink r:id="rId27" w:history="1">
        <w:r w:rsidR="00A201C2" w:rsidRPr="00FA32BC">
          <w:rPr>
            <w:rStyle w:val="Hyperlink"/>
            <w:rFonts w:ascii="Arial" w:hAnsi="Arial"/>
            <w:b/>
            <w:sz w:val="20"/>
            <w:szCs w:val="20"/>
          </w:rPr>
          <w:t>Acórdão 1671/2017</w:t>
        </w:r>
        <w:r w:rsidR="00F13466" w:rsidRPr="00FA32BC">
          <w:rPr>
            <w:rStyle w:val="Hyperlink"/>
            <w:rFonts w:ascii="Arial" w:hAnsi="Arial"/>
            <w:b/>
            <w:sz w:val="20"/>
            <w:szCs w:val="20"/>
          </w:rPr>
          <w:t xml:space="preserve"> -</w:t>
        </w:r>
        <w:r w:rsidR="00A201C2" w:rsidRPr="00FA32BC">
          <w:rPr>
            <w:rStyle w:val="Hyperlink"/>
            <w:rFonts w:ascii="Arial" w:hAnsi="Arial"/>
            <w:b/>
            <w:sz w:val="20"/>
            <w:szCs w:val="20"/>
          </w:rPr>
          <w:t xml:space="preserve"> Plenário</w:t>
        </w:r>
      </w:hyperlink>
      <w:r w:rsidR="00A201C2" w:rsidRPr="00FA32BC">
        <w:rPr>
          <w:rFonts w:ascii="Arial" w:hAnsi="Arial"/>
          <w:b/>
          <w:sz w:val="20"/>
          <w:szCs w:val="20"/>
        </w:rPr>
        <w:t xml:space="preserve"> </w:t>
      </w:r>
      <w:r w:rsidR="00A201C2" w:rsidRPr="00FA32BC">
        <w:rPr>
          <w:rFonts w:ascii="Arial" w:hAnsi="Arial"/>
          <w:sz w:val="20"/>
          <w:szCs w:val="20"/>
        </w:rPr>
        <w:t xml:space="preserve">(Representação, Relator Ministro José </w:t>
      </w:r>
      <w:proofErr w:type="spellStart"/>
      <w:r w:rsidR="00A201C2" w:rsidRPr="00FA32BC">
        <w:rPr>
          <w:rFonts w:ascii="Arial" w:hAnsi="Arial"/>
          <w:sz w:val="20"/>
          <w:szCs w:val="20"/>
        </w:rPr>
        <w:t>Múcio</w:t>
      </w:r>
      <w:proofErr w:type="spellEnd"/>
      <w:r w:rsidR="00A201C2" w:rsidRPr="00FA32BC">
        <w:rPr>
          <w:rFonts w:ascii="Arial" w:hAnsi="Arial"/>
          <w:sz w:val="20"/>
          <w:szCs w:val="20"/>
        </w:rPr>
        <w:t xml:space="preserve"> Monteiro)</w:t>
      </w:r>
    </w:p>
    <w:p w:rsidR="00A201C2" w:rsidRPr="00FA32BC" w:rsidRDefault="00A201C2" w:rsidP="00A201C2">
      <w:pPr>
        <w:jc w:val="both"/>
        <w:rPr>
          <w:rFonts w:ascii="Arial" w:hAnsi="Arial" w:cs="Arial"/>
          <w:b/>
          <w:sz w:val="20"/>
          <w:szCs w:val="20"/>
        </w:rPr>
      </w:pPr>
      <w:r w:rsidRPr="00FA32BC">
        <w:rPr>
          <w:rFonts w:ascii="Arial" w:hAnsi="Arial"/>
          <w:b/>
          <w:sz w:val="20"/>
          <w:szCs w:val="20"/>
        </w:rPr>
        <w:t>Contrato Administrativo. Terceirização. Pagamento. Inadimplência. Retenção. Encargos trabalhistas. Contribuição previdenciária.</w:t>
      </w:r>
    </w:p>
    <w:p w:rsidR="00A201C2" w:rsidRPr="00FA32BC" w:rsidRDefault="00A201C2" w:rsidP="00A201C2">
      <w:pPr>
        <w:pStyle w:val="TCU-Epgrafe"/>
        <w:spacing w:after="200" w:line="276" w:lineRule="auto"/>
        <w:ind w:left="0"/>
        <w:rPr>
          <w:b/>
          <w:sz w:val="20"/>
        </w:rPr>
      </w:pPr>
      <w:r w:rsidRPr="00FA32BC">
        <w:rPr>
          <w:rFonts w:ascii="Arial" w:hAnsi="Arial"/>
          <w:sz w:val="20"/>
        </w:rPr>
        <w:t>Nos serviços de natureza continuada, é lícita a previsão contratual de retenção pela Administração de pagamentos devidos à contratada em valores correspondentes às obrigações trabalhistas e previdenciárias inadimplidas, relativas aos empregados dedicados à execução do contrato.</w:t>
      </w:r>
      <w:r w:rsidRPr="00FA32BC">
        <w:rPr>
          <w:rFonts w:ascii="Arial" w:hAnsi="Arial"/>
          <w:b/>
          <w:sz w:val="20"/>
        </w:rPr>
        <w:t xml:space="preserve"> </w:t>
      </w:r>
    </w:p>
    <w:p w:rsidR="0090707B" w:rsidRPr="00FA32BC" w:rsidRDefault="004E3A4A" w:rsidP="0090707B">
      <w:pPr>
        <w:widowControl w:val="0"/>
        <w:autoSpaceDE w:val="0"/>
        <w:autoSpaceDN w:val="0"/>
        <w:jc w:val="both"/>
        <w:rPr>
          <w:rFonts w:ascii="Arial" w:hAnsi="Arial" w:cs="Arial"/>
          <w:b/>
          <w:sz w:val="20"/>
          <w:szCs w:val="20"/>
        </w:rPr>
      </w:pPr>
      <w:hyperlink r:id="rId28" w:history="1">
        <w:r w:rsidR="0090707B" w:rsidRPr="00FA32BC">
          <w:rPr>
            <w:rStyle w:val="Hyperlink"/>
            <w:rFonts w:ascii="Arial" w:hAnsi="Arial"/>
            <w:b/>
            <w:sz w:val="20"/>
            <w:szCs w:val="20"/>
          </w:rPr>
          <w:t xml:space="preserve">Acórdão 6457/2017 </w:t>
        </w:r>
        <w:r w:rsidR="004F4C43" w:rsidRPr="00FA32BC">
          <w:rPr>
            <w:rStyle w:val="Hyperlink"/>
            <w:rFonts w:ascii="Arial" w:hAnsi="Arial"/>
            <w:b/>
            <w:sz w:val="20"/>
            <w:szCs w:val="20"/>
          </w:rPr>
          <w:t xml:space="preserve">- </w:t>
        </w:r>
        <w:r w:rsidR="0090707B" w:rsidRPr="00FA32BC">
          <w:rPr>
            <w:rStyle w:val="Hyperlink"/>
            <w:rFonts w:ascii="Arial" w:hAnsi="Arial"/>
            <w:b/>
            <w:sz w:val="20"/>
            <w:szCs w:val="20"/>
          </w:rPr>
          <w:t>Primeira Câmara</w:t>
        </w:r>
      </w:hyperlink>
      <w:r w:rsidR="0090707B" w:rsidRPr="00FA32BC">
        <w:rPr>
          <w:rFonts w:ascii="Arial" w:hAnsi="Arial"/>
          <w:b/>
          <w:sz w:val="20"/>
          <w:szCs w:val="20"/>
        </w:rPr>
        <w:t xml:space="preserve"> </w:t>
      </w:r>
      <w:r w:rsidR="0090707B" w:rsidRPr="00FA32BC">
        <w:rPr>
          <w:rFonts w:ascii="Arial" w:hAnsi="Arial"/>
          <w:sz w:val="20"/>
          <w:szCs w:val="20"/>
        </w:rPr>
        <w:t xml:space="preserve">(Pensão Civil, Relator Ministro Benjamin </w:t>
      </w:r>
      <w:proofErr w:type="spellStart"/>
      <w:r w:rsidR="0090707B" w:rsidRPr="00FA32BC">
        <w:rPr>
          <w:rFonts w:ascii="Arial" w:hAnsi="Arial"/>
          <w:sz w:val="20"/>
          <w:szCs w:val="20"/>
        </w:rPr>
        <w:t>Zymler</w:t>
      </w:r>
      <w:proofErr w:type="spellEnd"/>
      <w:r w:rsidR="0090707B" w:rsidRPr="00FA32BC">
        <w:rPr>
          <w:rFonts w:ascii="Arial" w:hAnsi="Arial"/>
          <w:sz w:val="20"/>
          <w:szCs w:val="20"/>
        </w:rPr>
        <w:t>)</w:t>
      </w:r>
    </w:p>
    <w:p w:rsidR="0090707B" w:rsidRPr="00FA32BC" w:rsidRDefault="0090707B" w:rsidP="0090707B">
      <w:pPr>
        <w:jc w:val="both"/>
        <w:rPr>
          <w:rFonts w:ascii="Arial" w:hAnsi="Arial" w:cs="Arial"/>
          <w:b/>
          <w:sz w:val="20"/>
          <w:szCs w:val="20"/>
        </w:rPr>
      </w:pPr>
      <w:r w:rsidRPr="00FA32BC">
        <w:rPr>
          <w:rFonts w:ascii="Arial" w:hAnsi="Arial"/>
          <w:b/>
          <w:sz w:val="20"/>
          <w:szCs w:val="20"/>
        </w:rPr>
        <w:t>Pessoal. Pensão civil. Dependência econômica. Comprovação. Declaração de bens e rendas.</w:t>
      </w:r>
    </w:p>
    <w:p w:rsidR="0090707B" w:rsidRPr="00FA32BC" w:rsidRDefault="0090707B" w:rsidP="0090707B">
      <w:pPr>
        <w:pStyle w:val="TCU-Epgrafe"/>
        <w:spacing w:after="200" w:line="276" w:lineRule="auto"/>
        <w:ind w:left="0"/>
        <w:rPr>
          <w:rFonts w:ascii="Arial" w:hAnsi="Arial"/>
          <w:sz w:val="20"/>
        </w:rPr>
      </w:pPr>
      <w:r w:rsidRPr="00FA32BC">
        <w:rPr>
          <w:rFonts w:ascii="Arial" w:hAnsi="Arial"/>
          <w:sz w:val="20"/>
        </w:rPr>
        <w:t>A condição de dependente para efeitos fiscais (declaração de ajuste anual de imposto de renda) não é bastante para comprovar a efetiva dependência econômica do beneficiário da pensão em relação ao instituidor, que deve ser corroborada por outros elementos, uma vez que a dependência para fins tributários não se confunde com a dependência econômica para fins previdenciários, pois há distinções de natureza, propósito e abrangência entre elas.</w:t>
      </w:r>
    </w:p>
    <w:p w:rsidR="003608F9" w:rsidRPr="00FA32BC" w:rsidRDefault="004E3A4A" w:rsidP="00215847">
      <w:pPr>
        <w:widowControl w:val="0"/>
        <w:autoSpaceDE w:val="0"/>
        <w:autoSpaceDN w:val="0"/>
        <w:jc w:val="both"/>
        <w:rPr>
          <w:rFonts w:ascii="Arial" w:hAnsi="Arial" w:cs="Arial"/>
          <w:b/>
          <w:sz w:val="20"/>
          <w:szCs w:val="20"/>
        </w:rPr>
      </w:pPr>
      <w:hyperlink r:id="rId29" w:history="1">
        <w:r w:rsidR="003608F9" w:rsidRPr="00FA32BC">
          <w:rPr>
            <w:rStyle w:val="Hyperlink"/>
            <w:rFonts w:ascii="Arial" w:hAnsi="Arial"/>
            <w:b/>
            <w:sz w:val="20"/>
            <w:szCs w:val="20"/>
          </w:rPr>
          <w:t>Acórdão 1673/2017</w:t>
        </w:r>
        <w:r w:rsidR="00F20A05" w:rsidRPr="00FA32BC">
          <w:rPr>
            <w:rStyle w:val="Hyperlink"/>
            <w:rFonts w:ascii="Arial" w:hAnsi="Arial"/>
            <w:b/>
            <w:sz w:val="20"/>
            <w:szCs w:val="20"/>
          </w:rPr>
          <w:t xml:space="preserve"> -</w:t>
        </w:r>
        <w:r w:rsidR="003608F9" w:rsidRPr="00FA32BC">
          <w:rPr>
            <w:rStyle w:val="Hyperlink"/>
            <w:rFonts w:ascii="Arial" w:hAnsi="Arial"/>
            <w:b/>
            <w:sz w:val="20"/>
            <w:szCs w:val="20"/>
          </w:rPr>
          <w:t xml:space="preserve"> Plenário</w:t>
        </w:r>
      </w:hyperlink>
      <w:r w:rsidR="003608F9" w:rsidRPr="00FA32BC">
        <w:rPr>
          <w:rFonts w:ascii="Arial" w:hAnsi="Arial"/>
          <w:b/>
          <w:sz w:val="20"/>
          <w:szCs w:val="20"/>
        </w:rPr>
        <w:t xml:space="preserve"> </w:t>
      </w:r>
      <w:r w:rsidR="003608F9" w:rsidRPr="00FA32BC">
        <w:rPr>
          <w:rFonts w:ascii="Arial" w:hAnsi="Arial"/>
          <w:sz w:val="20"/>
          <w:szCs w:val="20"/>
        </w:rPr>
        <w:t>(Recurso de Reconsideração, Relator Ministro Vital do Rêgo)</w:t>
      </w:r>
    </w:p>
    <w:p w:rsidR="003608F9" w:rsidRPr="00FA32BC" w:rsidRDefault="003608F9" w:rsidP="00215847">
      <w:pPr>
        <w:jc w:val="both"/>
        <w:rPr>
          <w:rFonts w:ascii="Arial" w:hAnsi="Arial" w:cs="Arial"/>
          <w:b/>
          <w:sz w:val="20"/>
          <w:szCs w:val="20"/>
        </w:rPr>
      </w:pPr>
      <w:r w:rsidRPr="00FA32BC">
        <w:rPr>
          <w:rFonts w:ascii="Arial" w:hAnsi="Arial"/>
          <w:b/>
          <w:sz w:val="20"/>
          <w:szCs w:val="20"/>
        </w:rPr>
        <w:t>Licitação. Obras e serviços de engenharia. Rodovia. Orçamento estimativo. Chuva.</w:t>
      </w:r>
    </w:p>
    <w:p w:rsidR="003608F9" w:rsidRPr="00FA32BC" w:rsidRDefault="003608F9" w:rsidP="00215847">
      <w:pPr>
        <w:pStyle w:val="TCU-Epgrafe"/>
        <w:spacing w:after="200" w:line="276" w:lineRule="auto"/>
        <w:ind w:left="0"/>
        <w:rPr>
          <w:rFonts w:ascii="Arial" w:hAnsi="Arial"/>
          <w:sz w:val="20"/>
        </w:rPr>
      </w:pPr>
      <w:r w:rsidRPr="00FA32BC">
        <w:rPr>
          <w:rFonts w:ascii="Arial" w:hAnsi="Arial"/>
          <w:sz w:val="20"/>
        </w:rPr>
        <w:lastRenderedPageBreak/>
        <w:t xml:space="preserve">Não é aceitável a inclusão do fator chuva nos orçamentos de obras rodoviárias, pois a precipitação de chuvas ordinárias não repercute de modo significativo sobre os custos dos empreendimentos, além de ser contrabalanceada por fatores não considerados pelo </w:t>
      </w:r>
      <w:r w:rsidR="006D7AFA" w:rsidRPr="00FA32BC">
        <w:rPr>
          <w:rFonts w:ascii="Arial" w:hAnsi="Arial"/>
          <w:sz w:val="20"/>
        </w:rPr>
        <w:t>SICRO</w:t>
      </w:r>
      <w:r w:rsidRPr="00FA32BC">
        <w:rPr>
          <w:rFonts w:ascii="Arial" w:hAnsi="Arial"/>
          <w:sz w:val="20"/>
        </w:rPr>
        <w:t xml:space="preserve"> na formação do preço de referência, como fator de barganha, economia de escala, valor residual subestimado no cálculo das depreciações dos equipamentos, produtividades ultrapassadas, entre outros.</w:t>
      </w:r>
    </w:p>
    <w:p w:rsidR="0020559A" w:rsidRDefault="0020559A" w:rsidP="00F729ED">
      <w:pPr>
        <w:pStyle w:val="Default"/>
        <w:spacing w:after="200" w:line="276" w:lineRule="auto"/>
        <w:jc w:val="both"/>
        <w:rPr>
          <w:b/>
          <w:sz w:val="20"/>
          <w:szCs w:val="20"/>
        </w:rPr>
      </w:pPr>
    </w:p>
    <w:p w:rsidR="00F729ED" w:rsidRDefault="00F729ED" w:rsidP="00F729ED">
      <w:pPr>
        <w:pStyle w:val="Default"/>
        <w:spacing w:after="200" w:line="276" w:lineRule="auto"/>
        <w:jc w:val="both"/>
        <w:rPr>
          <w:b/>
          <w:sz w:val="20"/>
          <w:szCs w:val="20"/>
        </w:rPr>
      </w:pPr>
      <w:r>
        <w:rPr>
          <w:b/>
          <w:sz w:val="20"/>
          <w:szCs w:val="20"/>
        </w:rPr>
        <w:t xml:space="preserve">Acesse também: </w:t>
      </w:r>
    </w:p>
    <w:p w:rsidR="00F729ED" w:rsidRDefault="004E3A4A" w:rsidP="00F729ED">
      <w:pPr>
        <w:pStyle w:val="Default"/>
        <w:spacing w:after="200" w:line="276" w:lineRule="auto"/>
        <w:jc w:val="center"/>
        <w:rPr>
          <w:rStyle w:val="Hyperlink"/>
          <w:b/>
          <w:sz w:val="20"/>
          <w:szCs w:val="20"/>
        </w:rPr>
      </w:pPr>
      <w:hyperlink r:id="rId30" w:anchor="1" w:history="1">
        <w:r w:rsidR="00F729ED">
          <w:rPr>
            <w:rStyle w:val="Hyperlink"/>
            <w:b/>
            <w:sz w:val="20"/>
            <w:szCs w:val="20"/>
          </w:rPr>
          <w:t>Revista Digital do Tribunal de Contas do Estado do Paraná - Edição n° 17</w:t>
        </w:r>
      </w:hyperlink>
    </w:p>
    <w:p w:rsidR="00F13466" w:rsidRPr="006D0989" w:rsidRDefault="004E3A4A" w:rsidP="00F13466">
      <w:pPr>
        <w:pStyle w:val="Default"/>
        <w:spacing w:after="200" w:line="276" w:lineRule="auto"/>
        <w:jc w:val="center"/>
        <w:rPr>
          <w:b/>
          <w:sz w:val="20"/>
          <w:szCs w:val="20"/>
        </w:rPr>
      </w:pPr>
      <w:hyperlink r:id="rId31" w:history="1">
        <w:r w:rsidR="00F13466" w:rsidRPr="006D0989">
          <w:rPr>
            <w:rStyle w:val="Hyperlink"/>
            <w:b/>
            <w:sz w:val="20"/>
            <w:szCs w:val="20"/>
          </w:rPr>
          <w:t>Repercussão Geral do Supremo Tribunal Federal - STF e os Tribunais de Contas</w:t>
        </w:r>
      </w:hyperlink>
    </w:p>
    <w:p w:rsidR="004B6EA7" w:rsidRDefault="004B6EA7" w:rsidP="00E67D3C">
      <w:pPr>
        <w:pStyle w:val="TCU-Epgrafe"/>
        <w:spacing w:after="200"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57728" behindDoc="0" locked="0" layoutInCell="1" allowOverlap="1" wp14:anchorId="32880E73" wp14:editId="289F161D">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115468" id="Conector reto 5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Pr="0022060B" w:rsidRDefault="00E30DE6" w:rsidP="004B6EA7">
      <w:pPr>
        <w:spacing w:after="0"/>
        <w:jc w:val="center"/>
        <w:rPr>
          <w:rFonts w:ascii="Arial" w:hAnsi="Arial" w:cs="Arial"/>
          <w:b/>
          <w:sz w:val="20"/>
          <w:szCs w:val="20"/>
        </w:rPr>
      </w:pPr>
      <w:r w:rsidRPr="0022060B">
        <w:rPr>
          <w:rStyle w:val="Hyperlink"/>
          <w:rFonts w:ascii="Arial" w:hAnsi="Arial" w:cs="Arial"/>
          <w:i/>
          <w:color w:val="000000" w:themeColor="text1"/>
          <w:sz w:val="20"/>
          <w:szCs w:val="20"/>
          <w:u w:val="none"/>
        </w:rPr>
        <w:t xml:space="preserve">Elaboração: Escola de Gestão Pública </w:t>
      </w:r>
      <w:r w:rsidR="001A16DE" w:rsidRPr="0022060B">
        <w:rPr>
          <w:rStyle w:val="Hyperlink"/>
          <w:rFonts w:ascii="Arial" w:hAnsi="Arial" w:cs="Arial"/>
          <w:i/>
          <w:color w:val="000000" w:themeColor="text1"/>
          <w:sz w:val="20"/>
          <w:szCs w:val="20"/>
          <w:u w:val="none"/>
        </w:rPr>
        <w:t>-</w:t>
      </w:r>
      <w:r w:rsidRPr="0022060B">
        <w:rPr>
          <w:rStyle w:val="Hyperlink"/>
          <w:rFonts w:ascii="Arial" w:hAnsi="Arial" w:cs="Arial"/>
          <w:i/>
          <w:color w:val="000000" w:themeColor="text1"/>
          <w:sz w:val="20"/>
          <w:szCs w:val="20"/>
          <w:u w:val="none"/>
        </w:rPr>
        <w:t xml:space="preserve"> Jurisprudência</w:t>
      </w:r>
    </w:p>
    <w:p w:rsidR="00E01524" w:rsidRPr="0022060B" w:rsidRDefault="00E01524" w:rsidP="00816942">
      <w:pPr>
        <w:widowControl w:val="0"/>
        <w:autoSpaceDE w:val="0"/>
        <w:autoSpaceDN w:val="0"/>
        <w:spacing w:after="0"/>
        <w:jc w:val="both"/>
        <w:rPr>
          <w:rFonts w:ascii="Arial" w:hAnsi="Arial" w:cs="Arial"/>
          <w:b/>
          <w:sz w:val="20"/>
          <w:szCs w:val="20"/>
        </w:rPr>
      </w:pPr>
    </w:p>
    <w:sectPr w:rsidR="00E01524" w:rsidRPr="0022060B">
      <w:headerReference w:type="default" r:id="rId32"/>
      <w:foot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F91800">
      <w:rPr>
        <w:noProof/>
        <w:sz w:val="16"/>
        <w:szCs w:val="16"/>
      </w:rPr>
      <w:t>10</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2F26E94"/>
    <w:multiLevelType w:val="hybridMultilevel"/>
    <w:tmpl w:val="E012C2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3D727B"/>
    <w:multiLevelType w:val="multilevel"/>
    <w:tmpl w:val="2EBA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1"/>
  </w:num>
  <w:num w:numId="4">
    <w:abstractNumId w:val="12"/>
  </w:num>
  <w:num w:numId="5">
    <w:abstractNumId w:val="13"/>
  </w:num>
  <w:num w:numId="6">
    <w:abstractNumId w:val="9"/>
  </w:num>
  <w:num w:numId="7">
    <w:abstractNumId w:val="0"/>
  </w:num>
  <w:num w:numId="8">
    <w:abstractNumId w:val="1"/>
  </w:num>
  <w:num w:numId="9">
    <w:abstractNumId w:val="5"/>
  </w:num>
  <w:num w:numId="10">
    <w:abstractNumId w:val="2"/>
  </w:num>
  <w:num w:numId="11">
    <w:abstractNumId w:val="3"/>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7EBA"/>
    <w:rsid w:val="00021B0A"/>
    <w:rsid w:val="00025971"/>
    <w:rsid w:val="000262AD"/>
    <w:rsid w:val="00027A03"/>
    <w:rsid w:val="00027FAB"/>
    <w:rsid w:val="000300F4"/>
    <w:rsid w:val="00033E69"/>
    <w:rsid w:val="00040EBA"/>
    <w:rsid w:val="00042502"/>
    <w:rsid w:val="00042DF3"/>
    <w:rsid w:val="000433EC"/>
    <w:rsid w:val="000439FD"/>
    <w:rsid w:val="00045700"/>
    <w:rsid w:val="00046191"/>
    <w:rsid w:val="00046E21"/>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9260D"/>
    <w:rsid w:val="000926D4"/>
    <w:rsid w:val="00092E5D"/>
    <w:rsid w:val="0009482D"/>
    <w:rsid w:val="000948DC"/>
    <w:rsid w:val="0009711C"/>
    <w:rsid w:val="0009762F"/>
    <w:rsid w:val="00097B00"/>
    <w:rsid w:val="000A0748"/>
    <w:rsid w:val="000A0E48"/>
    <w:rsid w:val="000A29BE"/>
    <w:rsid w:val="000A3C2D"/>
    <w:rsid w:val="000A47FD"/>
    <w:rsid w:val="000A4EB6"/>
    <w:rsid w:val="000A5F01"/>
    <w:rsid w:val="000A71D1"/>
    <w:rsid w:val="000B11D2"/>
    <w:rsid w:val="000B1E10"/>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AC8"/>
    <w:rsid w:val="000F04ED"/>
    <w:rsid w:val="000F18DA"/>
    <w:rsid w:val="000F1FFA"/>
    <w:rsid w:val="000F314C"/>
    <w:rsid w:val="000F639D"/>
    <w:rsid w:val="000F7C1B"/>
    <w:rsid w:val="00100B9C"/>
    <w:rsid w:val="00106AA9"/>
    <w:rsid w:val="00110517"/>
    <w:rsid w:val="00110BD6"/>
    <w:rsid w:val="00111B86"/>
    <w:rsid w:val="00111C26"/>
    <w:rsid w:val="00112B60"/>
    <w:rsid w:val="00113EF1"/>
    <w:rsid w:val="00114B62"/>
    <w:rsid w:val="001159C9"/>
    <w:rsid w:val="00120862"/>
    <w:rsid w:val="0012211A"/>
    <w:rsid w:val="00122E13"/>
    <w:rsid w:val="00123D02"/>
    <w:rsid w:val="00124A0F"/>
    <w:rsid w:val="00126447"/>
    <w:rsid w:val="00127DF2"/>
    <w:rsid w:val="001306FC"/>
    <w:rsid w:val="00130717"/>
    <w:rsid w:val="0013298B"/>
    <w:rsid w:val="001342E3"/>
    <w:rsid w:val="0013514C"/>
    <w:rsid w:val="0013583F"/>
    <w:rsid w:val="00135D5F"/>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20EB"/>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46A8"/>
    <w:rsid w:val="001D0693"/>
    <w:rsid w:val="001D0DD1"/>
    <w:rsid w:val="001D4D9A"/>
    <w:rsid w:val="001D51BD"/>
    <w:rsid w:val="001D5A55"/>
    <w:rsid w:val="001D6665"/>
    <w:rsid w:val="001D684B"/>
    <w:rsid w:val="001D6ADC"/>
    <w:rsid w:val="001E1817"/>
    <w:rsid w:val="001E2E5A"/>
    <w:rsid w:val="001E5F2E"/>
    <w:rsid w:val="001E6CAA"/>
    <w:rsid w:val="001E73FF"/>
    <w:rsid w:val="001F7A25"/>
    <w:rsid w:val="002013D1"/>
    <w:rsid w:val="0020195B"/>
    <w:rsid w:val="00202E6D"/>
    <w:rsid w:val="00202F4B"/>
    <w:rsid w:val="002036C8"/>
    <w:rsid w:val="0020559A"/>
    <w:rsid w:val="002100EE"/>
    <w:rsid w:val="00211A49"/>
    <w:rsid w:val="002147AC"/>
    <w:rsid w:val="00215847"/>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A5"/>
    <w:rsid w:val="00253ADA"/>
    <w:rsid w:val="00255360"/>
    <w:rsid w:val="00256A12"/>
    <w:rsid w:val="00256CEA"/>
    <w:rsid w:val="002570CB"/>
    <w:rsid w:val="002571B4"/>
    <w:rsid w:val="00260758"/>
    <w:rsid w:val="00260D58"/>
    <w:rsid w:val="0026477F"/>
    <w:rsid w:val="002659BA"/>
    <w:rsid w:val="0026729F"/>
    <w:rsid w:val="00271154"/>
    <w:rsid w:val="00271655"/>
    <w:rsid w:val="002805F1"/>
    <w:rsid w:val="00286EB4"/>
    <w:rsid w:val="002874A2"/>
    <w:rsid w:val="002921E2"/>
    <w:rsid w:val="0029566D"/>
    <w:rsid w:val="00295F4B"/>
    <w:rsid w:val="002A00AC"/>
    <w:rsid w:val="002A0792"/>
    <w:rsid w:val="002A1D5F"/>
    <w:rsid w:val="002A2E6C"/>
    <w:rsid w:val="002B070A"/>
    <w:rsid w:val="002B0F20"/>
    <w:rsid w:val="002B14B7"/>
    <w:rsid w:val="002B297F"/>
    <w:rsid w:val="002B38A8"/>
    <w:rsid w:val="002B6BA0"/>
    <w:rsid w:val="002C05FF"/>
    <w:rsid w:val="002C19EA"/>
    <w:rsid w:val="002C480F"/>
    <w:rsid w:val="002C56C9"/>
    <w:rsid w:val="002C7487"/>
    <w:rsid w:val="002D1923"/>
    <w:rsid w:val="002D48D1"/>
    <w:rsid w:val="002D5B56"/>
    <w:rsid w:val="002D6612"/>
    <w:rsid w:val="002D7650"/>
    <w:rsid w:val="002E0A60"/>
    <w:rsid w:val="002E4277"/>
    <w:rsid w:val="002E52D9"/>
    <w:rsid w:val="002E5303"/>
    <w:rsid w:val="002E72FA"/>
    <w:rsid w:val="002E7DFF"/>
    <w:rsid w:val="002F0BE9"/>
    <w:rsid w:val="002F13A0"/>
    <w:rsid w:val="002F1634"/>
    <w:rsid w:val="002F1D70"/>
    <w:rsid w:val="002F22FA"/>
    <w:rsid w:val="002F73BA"/>
    <w:rsid w:val="003005B3"/>
    <w:rsid w:val="0030165B"/>
    <w:rsid w:val="00302340"/>
    <w:rsid w:val="00303C9C"/>
    <w:rsid w:val="00305A67"/>
    <w:rsid w:val="00306B80"/>
    <w:rsid w:val="00307038"/>
    <w:rsid w:val="00313238"/>
    <w:rsid w:val="003132BE"/>
    <w:rsid w:val="00320577"/>
    <w:rsid w:val="0032266D"/>
    <w:rsid w:val="00325E2F"/>
    <w:rsid w:val="003269A9"/>
    <w:rsid w:val="00327DF9"/>
    <w:rsid w:val="00331533"/>
    <w:rsid w:val="00333875"/>
    <w:rsid w:val="0033604C"/>
    <w:rsid w:val="003407F0"/>
    <w:rsid w:val="00343C28"/>
    <w:rsid w:val="00344A3D"/>
    <w:rsid w:val="00344A41"/>
    <w:rsid w:val="0034575E"/>
    <w:rsid w:val="00345C65"/>
    <w:rsid w:val="00350CC2"/>
    <w:rsid w:val="00351206"/>
    <w:rsid w:val="0035203F"/>
    <w:rsid w:val="00352A72"/>
    <w:rsid w:val="0035371B"/>
    <w:rsid w:val="00353FEB"/>
    <w:rsid w:val="00356987"/>
    <w:rsid w:val="00356FB0"/>
    <w:rsid w:val="003608F9"/>
    <w:rsid w:val="00361DA5"/>
    <w:rsid w:val="00361F1D"/>
    <w:rsid w:val="003638C9"/>
    <w:rsid w:val="00364392"/>
    <w:rsid w:val="00365E61"/>
    <w:rsid w:val="00365EFF"/>
    <w:rsid w:val="00365F51"/>
    <w:rsid w:val="00375DB6"/>
    <w:rsid w:val="00376AEB"/>
    <w:rsid w:val="0038012F"/>
    <w:rsid w:val="00380BAB"/>
    <w:rsid w:val="00381A0E"/>
    <w:rsid w:val="0038751C"/>
    <w:rsid w:val="0038778B"/>
    <w:rsid w:val="00394451"/>
    <w:rsid w:val="0039584A"/>
    <w:rsid w:val="00396E93"/>
    <w:rsid w:val="003A4828"/>
    <w:rsid w:val="003A64CB"/>
    <w:rsid w:val="003A6622"/>
    <w:rsid w:val="003A673F"/>
    <w:rsid w:val="003B145D"/>
    <w:rsid w:val="003B286F"/>
    <w:rsid w:val="003B502C"/>
    <w:rsid w:val="003C6B35"/>
    <w:rsid w:val="003C7C21"/>
    <w:rsid w:val="003D650C"/>
    <w:rsid w:val="003D6713"/>
    <w:rsid w:val="003D6E90"/>
    <w:rsid w:val="003D7C37"/>
    <w:rsid w:val="003E110D"/>
    <w:rsid w:val="003E3529"/>
    <w:rsid w:val="003E3D02"/>
    <w:rsid w:val="003E3E6A"/>
    <w:rsid w:val="003E55BC"/>
    <w:rsid w:val="003E6EAF"/>
    <w:rsid w:val="003F0088"/>
    <w:rsid w:val="003F03C6"/>
    <w:rsid w:val="003F2DDE"/>
    <w:rsid w:val="003F4721"/>
    <w:rsid w:val="003F5060"/>
    <w:rsid w:val="003F5829"/>
    <w:rsid w:val="003F677C"/>
    <w:rsid w:val="003F7090"/>
    <w:rsid w:val="00401EE0"/>
    <w:rsid w:val="004043AD"/>
    <w:rsid w:val="00405A6A"/>
    <w:rsid w:val="00406D2C"/>
    <w:rsid w:val="0041120A"/>
    <w:rsid w:val="0041337A"/>
    <w:rsid w:val="00414EF8"/>
    <w:rsid w:val="00416A72"/>
    <w:rsid w:val="00420AE1"/>
    <w:rsid w:val="00424258"/>
    <w:rsid w:val="0042728A"/>
    <w:rsid w:val="004276DC"/>
    <w:rsid w:val="0042779B"/>
    <w:rsid w:val="0043291F"/>
    <w:rsid w:val="00432A5E"/>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AC5"/>
    <w:rsid w:val="00463BA8"/>
    <w:rsid w:val="004641AA"/>
    <w:rsid w:val="00464835"/>
    <w:rsid w:val="004654D3"/>
    <w:rsid w:val="00470218"/>
    <w:rsid w:val="00471B9D"/>
    <w:rsid w:val="0047206A"/>
    <w:rsid w:val="0048130C"/>
    <w:rsid w:val="00482FA5"/>
    <w:rsid w:val="00484E6E"/>
    <w:rsid w:val="00485819"/>
    <w:rsid w:val="00487D31"/>
    <w:rsid w:val="00490000"/>
    <w:rsid w:val="00491F60"/>
    <w:rsid w:val="00492026"/>
    <w:rsid w:val="004920C5"/>
    <w:rsid w:val="004927D6"/>
    <w:rsid w:val="00492E16"/>
    <w:rsid w:val="00494AE3"/>
    <w:rsid w:val="00494C04"/>
    <w:rsid w:val="0049557F"/>
    <w:rsid w:val="004965C3"/>
    <w:rsid w:val="004A0574"/>
    <w:rsid w:val="004A22CF"/>
    <w:rsid w:val="004A5804"/>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A4A"/>
    <w:rsid w:val="004E3B94"/>
    <w:rsid w:val="004E6410"/>
    <w:rsid w:val="004E7C93"/>
    <w:rsid w:val="004F2CF1"/>
    <w:rsid w:val="004F3C8F"/>
    <w:rsid w:val="004F4C43"/>
    <w:rsid w:val="00500939"/>
    <w:rsid w:val="00501FC7"/>
    <w:rsid w:val="005025F4"/>
    <w:rsid w:val="00502AAF"/>
    <w:rsid w:val="005067E0"/>
    <w:rsid w:val="00510B62"/>
    <w:rsid w:val="00511F85"/>
    <w:rsid w:val="0051310C"/>
    <w:rsid w:val="00513988"/>
    <w:rsid w:val="00516673"/>
    <w:rsid w:val="00517B69"/>
    <w:rsid w:val="00520368"/>
    <w:rsid w:val="00523227"/>
    <w:rsid w:val="00523246"/>
    <w:rsid w:val="005237FD"/>
    <w:rsid w:val="005246B4"/>
    <w:rsid w:val="00525F8B"/>
    <w:rsid w:val="0052651B"/>
    <w:rsid w:val="00530F1E"/>
    <w:rsid w:val="00532F0D"/>
    <w:rsid w:val="00533C06"/>
    <w:rsid w:val="0053401E"/>
    <w:rsid w:val="00535AAB"/>
    <w:rsid w:val="00540B8E"/>
    <w:rsid w:val="00542636"/>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4F7"/>
    <w:rsid w:val="005957D1"/>
    <w:rsid w:val="00597215"/>
    <w:rsid w:val="005A0FD0"/>
    <w:rsid w:val="005A1468"/>
    <w:rsid w:val="005A4536"/>
    <w:rsid w:val="005A5AF2"/>
    <w:rsid w:val="005A742F"/>
    <w:rsid w:val="005A7C78"/>
    <w:rsid w:val="005B4F6C"/>
    <w:rsid w:val="005B7055"/>
    <w:rsid w:val="005C4763"/>
    <w:rsid w:val="005C4DB7"/>
    <w:rsid w:val="005C5DC8"/>
    <w:rsid w:val="005C661E"/>
    <w:rsid w:val="005D1E9E"/>
    <w:rsid w:val="005D48C8"/>
    <w:rsid w:val="005D58CE"/>
    <w:rsid w:val="005D6DB4"/>
    <w:rsid w:val="005E2760"/>
    <w:rsid w:val="005E2D13"/>
    <w:rsid w:val="005E350B"/>
    <w:rsid w:val="005E4648"/>
    <w:rsid w:val="005E64B3"/>
    <w:rsid w:val="005F03A4"/>
    <w:rsid w:val="005F0C51"/>
    <w:rsid w:val="005F16DB"/>
    <w:rsid w:val="005F17B2"/>
    <w:rsid w:val="005F2BB5"/>
    <w:rsid w:val="005F35B7"/>
    <w:rsid w:val="005F3A96"/>
    <w:rsid w:val="005F4DBF"/>
    <w:rsid w:val="005F58C1"/>
    <w:rsid w:val="005F66CC"/>
    <w:rsid w:val="005F7DEC"/>
    <w:rsid w:val="005F7E35"/>
    <w:rsid w:val="00600118"/>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6004"/>
    <w:rsid w:val="00646AD1"/>
    <w:rsid w:val="006473BA"/>
    <w:rsid w:val="00650E4E"/>
    <w:rsid w:val="00654D9D"/>
    <w:rsid w:val="00660C02"/>
    <w:rsid w:val="0066130F"/>
    <w:rsid w:val="006639D8"/>
    <w:rsid w:val="006641F4"/>
    <w:rsid w:val="006645D9"/>
    <w:rsid w:val="00665EBC"/>
    <w:rsid w:val="00667637"/>
    <w:rsid w:val="00667BE8"/>
    <w:rsid w:val="0067150D"/>
    <w:rsid w:val="00673A29"/>
    <w:rsid w:val="00673AD9"/>
    <w:rsid w:val="006766F4"/>
    <w:rsid w:val="00681787"/>
    <w:rsid w:val="0068250F"/>
    <w:rsid w:val="00684303"/>
    <w:rsid w:val="00685FFE"/>
    <w:rsid w:val="00686729"/>
    <w:rsid w:val="00686CAC"/>
    <w:rsid w:val="00686D5A"/>
    <w:rsid w:val="00687871"/>
    <w:rsid w:val="00693247"/>
    <w:rsid w:val="0069336E"/>
    <w:rsid w:val="00694174"/>
    <w:rsid w:val="006A27BC"/>
    <w:rsid w:val="006A27D6"/>
    <w:rsid w:val="006A3A42"/>
    <w:rsid w:val="006A41B4"/>
    <w:rsid w:val="006A5FD7"/>
    <w:rsid w:val="006B143E"/>
    <w:rsid w:val="006B30E3"/>
    <w:rsid w:val="006B5E72"/>
    <w:rsid w:val="006B6205"/>
    <w:rsid w:val="006C058F"/>
    <w:rsid w:val="006C3252"/>
    <w:rsid w:val="006C7A04"/>
    <w:rsid w:val="006D1B83"/>
    <w:rsid w:val="006D1BE7"/>
    <w:rsid w:val="006D5C98"/>
    <w:rsid w:val="006D6FCC"/>
    <w:rsid w:val="006D7AFA"/>
    <w:rsid w:val="006E0A9F"/>
    <w:rsid w:val="006E12D5"/>
    <w:rsid w:val="006E26E8"/>
    <w:rsid w:val="006E2848"/>
    <w:rsid w:val="006E76B0"/>
    <w:rsid w:val="006F0892"/>
    <w:rsid w:val="006F08D4"/>
    <w:rsid w:val="006F3318"/>
    <w:rsid w:val="006F39CF"/>
    <w:rsid w:val="006F4894"/>
    <w:rsid w:val="006F58F5"/>
    <w:rsid w:val="006F676D"/>
    <w:rsid w:val="00700672"/>
    <w:rsid w:val="00701319"/>
    <w:rsid w:val="00701A95"/>
    <w:rsid w:val="00702F7C"/>
    <w:rsid w:val="00706127"/>
    <w:rsid w:val="007077CD"/>
    <w:rsid w:val="00712503"/>
    <w:rsid w:val="00712A93"/>
    <w:rsid w:val="00714CF1"/>
    <w:rsid w:val="00715CEB"/>
    <w:rsid w:val="00717A58"/>
    <w:rsid w:val="00722924"/>
    <w:rsid w:val="00723D30"/>
    <w:rsid w:val="00723F1A"/>
    <w:rsid w:val="00726974"/>
    <w:rsid w:val="007306BB"/>
    <w:rsid w:val="00730795"/>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4C7E"/>
    <w:rsid w:val="00754CE6"/>
    <w:rsid w:val="007557BC"/>
    <w:rsid w:val="007608F0"/>
    <w:rsid w:val="00762976"/>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255F"/>
    <w:rsid w:val="007C0E7E"/>
    <w:rsid w:val="007C10CC"/>
    <w:rsid w:val="007C250E"/>
    <w:rsid w:val="007C2CD7"/>
    <w:rsid w:val="007D009C"/>
    <w:rsid w:val="007D2162"/>
    <w:rsid w:val="007D4DA4"/>
    <w:rsid w:val="007D5A53"/>
    <w:rsid w:val="007D62D9"/>
    <w:rsid w:val="007D73C9"/>
    <w:rsid w:val="007E1FB4"/>
    <w:rsid w:val="007E28C1"/>
    <w:rsid w:val="007F0840"/>
    <w:rsid w:val="007F2086"/>
    <w:rsid w:val="00800773"/>
    <w:rsid w:val="00801004"/>
    <w:rsid w:val="0080111C"/>
    <w:rsid w:val="008058BC"/>
    <w:rsid w:val="00806D7C"/>
    <w:rsid w:val="00807854"/>
    <w:rsid w:val="00811012"/>
    <w:rsid w:val="00811A90"/>
    <w:rsid w:val="00813846"/>
    <w:rsid w:val="00814325"/>
    <w:rsid w:val="00815C4F"/>
    <w:rsid w:val="008161C2"/>
    <w:rsid w:val="00816942"/>
    <w:rsid w:val="0081738B"/>
    <w:rsid w:val="0082026A"/>
    <w:rsid w:val="008219BA"/>
    <w:rsid w:val="00822605"/>
    <w:rsid w:val="00824136"/>
    <w:rsid w:val="00826075"/>
    <w:rsid w:val="008267CA"/>
    <w:rsid w:val="00826A19"/>
    <w:rsid w:val="008312D4"/>
    <w:rsid w:val="008317C8"/>
    <w:rsid w:val="00831915"/>
    <w:rsid w:val="0083305B"/>
    <w:rsid w:val="00834578"/>
    <w:rsid w:val="00834B69"/>
    <w:rsid w:val="0083648B"/>
    <w:rsid w:val="00836500"/>
    <w:rsid w:val="00841EAB"/>
    <w:rsid w:val="00844977"/>
    <w:rsid w:val="00844B97"/>
    <w:rsid w:val="00845BB4"/>
    <w:rsid w:val="00847BF3"/>
    <w:rsid w:val="00853D0B"/>
    <w:rsid w:val="00854B16"/>
    <w:rsid w:val="00854BCA"/>
    <w:rsid w:val="00855A43"/>
    <w:rsid w:val="008561BF"/>
    <w:rsid w:val="008633B6"/>
    <w:rsid w:val="0086535C"/>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70A5"/>
    <w:rsid w:val="008B201B"/>
    <w:rsid w:val="008B2D64"/>
    <w:rsid w:val="008B368E"/>
    <w:rsid w:val="008B38A4"/>
    <w:rsid w:val="008B38EE"/>
    <w:rsid w:val="008B4F2F"/>
    <w:rsid w:val="008B55B4"/>
    <w:rsid w:val="008B6A00"/>
    <w:rsid w:val="008C0269"/>
    <w:rsid w:val="008C257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07B"/>
    <w:rsid w:val="009073CB"/>
    <w:rsid w:val="0090752A"/>
    <w:rsid w:val="00910805"/>
    <w:rsid w:val="00911A42"/>
    <w:rsid w:val="00912D60"/>
    <w:rsid w:val="009140A2"/>
    <w:rsid w:val="009141D0"/>
    <w:rsid w:val="00920480"/>
    <w:rsid w:val="00923B20"/>
    <w:rsid w:val="009263DF"/>
    <w:rsid w:val="00927338"/>
    <w:rsid w:val="0093018E"/>
    <w:rsid w:val="0093167C"/>
    <w:rsid w:val="00932A3A"/>
    <w:rsid w:val="00934143"/>
    <w:rsid w:val="00935444"/>
    <w:rsid w:val="009378F0"/>
    <w:rsid w:val="00942696"/>
    <w:rsid w:val="00942EB6"/>
    <w:rsid w:val="0094307C"/>
    <w:rsid w:val="00944802"/>
    <w:rsid w:val="009470DD"/>
    <w:rsid w:val="009518D9"/>
    <w:rsid w:val="0095236F"/>
    <w:rsid w:val="00952404"/>
    <w:rsid w:val="00953350"/>
    <w:rsid w:val="00955BDA"/>
    <w:rsid w:val="00965F52"/>
    <w:rsid w:val="0096737A"/>
    <w:rsid w:val="0097392A"/>
    <w:rsid w:val="009749C0"/>
    <w:rsid w:val="00977C0A"/>
    <w:rsid w:val="00982FF8"/>
    <w:rsid w:val="0098512F"/>
    <w:rsid w:val="0098550A"/>
    <w:rsid w:val="00985728"/>
    <w:rsid w:val="009857DD"/>
    <w:rsid w:val="009859AB"/>
    <w:rsid w:val="00987A4E"/>
    <w:rsid w:val="009907A9"/>
    <w:rsid w:val="00993DE4"/>
    <w:rsid w:val="00993F38"/>
    <w:rsid w:val="00994A4B"/>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5C75"/>
    <w:rsid w:val="009D2A29"/>
    <w:rsid w:val="009D59DE"/>
    <w:rsid w:val="009E1362"/>
    <w:rsid w:val="009E1848"/>
    <w:rsid w:val="009E1BC1"/>
    <w:rsid w:val="009E1F6B"/>
    <w:rsid w:val="009E3E77"/>
    <w:rsid w:val="009E4DF2"/>
    <w:rsid w:val="009E6D60"/>
    <w:rsid w:val="009E76CE"/>
    <w:rsid w:val="009F3962"/>
    <w:rsid w:val="009F6ED7"/>
    <w:rsid w:val="009F7401"/>
    <w:rsid w:val="009F78F2"/>
    <w:rsid w:val="00A01193"/>
    <w:rsid w:val="00A01C9B"/>
    <w:rsid w:val="00A065F5"/>
    <w:rsid w:val="00A10857"/>
    <w:rsid w:val="00A1221A"/>
    <w:rsid w:val="00A1269B"/>
    <w:rsid w:val="00A130F9"/>
    <w:rsid w:val="00A1585F"/>
    <w:rsid w:val="00A16000"/>
    <w:rsid w:val="00A16398"/>
    <w:rsid w:val="00A201C2"/>
    <w:rsid w:val="00A20EBA"/>
    <w:rsid w:val="00A20F2F"/>
    <w:rsid w:val="00A211A3"/>
    <w:rsid w:val="00A2357E"/>
    <w:rsid w:val="00A24629"/>
    <w:rsid w:val="00A25A27"/>
    <w:rsid w:val="00A27485"/>
    <w:rsid w:val="00A30038"/>
    <w:rsid w:val="00A309E8"/>
    <w:rsid w:val="00A329AE"/>
    <w:rsid w:val="00A3514D"/>
    <w:rsid w:val="00A40F98"/>
    <w:rsid w:val="00A41EF2"/>
    <w:rsid w:val="00A42619"/>
    <w:rsid w:val="00A4267D"/>
    <w:rsid w:val="00A427B2"/>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3174"/>
    <w:rsid w:val="00AA3A41"/>
    <w:rsid w:val="00AA6D45"/>
    <w:rsid w:val="00AA7585"/>
    <w:rsid w:val="00AA7DED"/>
    <w:rsid w:val="00AB031D"/>
    <w:rsid w:val="00AB08A6"/>
    <w:rsid w:val="00AB18B3"/>
    <w:rsid w:val="00AB1A1E"/>
    <w:rsid w:val="00AB1CD6"/>
    <w:rsid w:val="00AB236C"/>
    <w:rsid w:val="00AC06B6"/>
    <w:rsid w:val="00AD1557"/>
    <w:rsid w:val="00AD35F3"/>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40B7"/>
    <w:rsid w:val="00B04A55"/>
    <w:rsid w:val="00B04D46"/>
    <w:rsid w:val="00B104C5"/>
    <w:rsid w:val="00B10F47"/>
    <w:rsid w:val="00B1385B"/>
    <w:rsid w:val="00B13B1B"/>
    <w:rsid w:val="00B15DBF"/>
    <w:rsid w:val="00B17D70"/>
    <w:rsid w:val="00B22AD7"/>
    <w:rsid w:val="00B22D31"/>
    <w:rsid w:val="00B22E46"/>
    <w:rsid w:val="00B27853"/>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21DC"/>
    <w:rsid w:val="00B74715"/>
    <w:rsid w:val="00B7669D"/>
    <w:rsid w:val="00B766D9"/>
    <w:rsid w:val="00B80A28"/>
    <w:rsid w:val="00B82D73"/>
    <w:rsid w:val="00B84A2C"/>
    <w:rsid w:val="00B871D6"/>
    <w:rsid w:val="00B87A02"/>
    <w:rsid w:val="00BA0DCC"/>
    <w:rsid w:val="00BA12A2"/>
    <w:rsid w:val="00BA16EF"/>
    <w:rsid w:val="00BA18D0"/>
    <w:rsid w:val="00BA242E"/>
    <w:rsid w:val="00BA3317"/>
    <w:rsid w:val="00BA5A9D"/>
    <w:rsid w:val="00BA6363"/>
    <w:rsid w:val="00BA67B2"/>
    <w:rsid w:val="00BB2D9C"/>
    <w:rsid w:val="00BB3512"/>
    <w:rsid w:val="00BB5D1E"/>
    <w:rsid w:val="00BB7ED6"/>
    <w:rsid w:val="00BC137A"/>
    <w:rsid w:val="00BC4347"/>
    <w:rsid w:val="00BC45E0"/>
    <w:rsid w:val="00BC54B5"/>
    <w:rsid w:val="00BC5D9D"/>
    <w:rsid w:val="00BC6803"/>
    <w:rsid w:val="00BC7BCB"/>
    <w:rsid w:val="00BD109B"/>
    <w:rsid w:val="00BD2944"/>
    <w:rsid w:val="00BD2B5E"/>
    <w:rsid w:val="00BD3AFF"/>
    <w:rsid w:val="00BD4E7A"/>
    <w:rsid w:val="00BD531B"/>
    <w:rsid w:val="00BE00E5"/>
    <w:rsid w:val="00BE2E5A"/>
    <w:rsid w:val="00BE4A21"/>
    <w:rsid w:val="00BE5859"/>
    <w:rsid w:val="00BE717E"/>
    <w:rsid w:val="00BE7E27"/>
    <w:rsid w:val="00BF183C"/>
    <w:rsid w:val="00BF4C15"/>
    <w:rsid w:val="00C0782F"/>
    <w:rsid w:val="00C11F50"/>
    <w:rsid w:val="00C12603"/>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5A50"/>
    <w:rsid w:val="00C560A1"/>
    <w:rsid w:val="00C56E9E"/>
    <w:rsid w:val="00C56EB6"/>
    <w:rsid w:val="00C63FC8"/>
    <w:rsid w:val="00C64F57"/>
    <w:rsid w:val="00C65D21"/>
    <w:rsid w:val="00C66E11"/>
    <w:rsid w:val="00C6789D"/>
    <w:rsid w:val="00C71A97"/>
    <w:rsid w:val="00C73FFD"/>
    <w:rsid w:val="00C74512"/>
    <w:rsid w:val="00C84F07"/>
    <w:rsid w:val="00C851A6"/>
    <w:rsid w:val="00C855D4"/>
    <w:rsid w:val="00C87639"/>
    <w:rsid w:val="00C9099A"/>
    <w:rsid w:val="00C91B89"/>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644C"/>
    <w:rsid w:val="00CB78ED"/>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4FDB"/>
    <w:rsid w:val="00CF515D"/>
    <w:rsid w:val="00CF53F5"/>
    <w:rsid w:val="00CF6B3F"/>
    <w:rsid w:val="00D002B4"/>
    <w:rsid w:val="00D03845"/>
    <w:rsid w:val="00D03DCB"/>
    <w:rsid w:val="00D05257"/>
    <w:rsid w:val="00D054DF"/>
    <w:rsid w:val="00D057A5"/>
    <w:rsid w:val="00D05D1F"/>
    <w:rsid w:val="00D144D0"/>
    <w:rsid w:val="00D14FC0"/>
    <w:rsid w:val="00D1656D"/>
    <w:rsid w:val="00D167CC"/>
    <w:rsid w:val="00D16943"/>
    <w:rsid w:val="00D211AE"/>
    <w:rsid w:val="00D21662"/>
    <w:rsid w:val="00D23DE4"/>
    <w:rsid w:val="00D23F50"/>
    <w:rsid w:val="00D24867"/>
    <w:rsid w:val="00D318E3"/>
    <w:rsid w:val="00D323A7"/>
    <w:rsid w:val="00D346BF"/>
    <w:rsid w:val="00D416EB"/>
    <w:rsid w:val="00D41B20"/>
    <w:rsid w:val="00D44615"/>
    <w:rsid w:val="00D45321"/>
    <w:rsid w:val="00D50324"/>
    <w:rsid w:val="00D54566"/>
    <w:rsid w:val="00D55A28"/>
    <w:rsid w:val="00D5605F"/>
    <w:rsid w:val="00D61FBD"/>
    <w:rsid w:val="00D624F1"/>
    <w:rsid w:val="00D62519"/>
    <w:rsid w:val="00D625AA"/>
    <w:rsid w:val="00D63CBD"/>
    <w:rsid w:val="00D6500C"/>
    <w:rsid w:val="00D66392"/>
    <w:rsid w:val="00D66959"/>
    <w:rsid w:val="00D70A39"/>
    <w:rsid w:val="00D71A7E"/>
    <w:rsid w:val="00D720D0"/>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880"/>
    <w:rsid w:val="00DB0923"/>
    <w:rsid w:val="00DB29CA"/>
    <w:rsid w:val="00DB30C8"/>
    <w:rsid w:val="00DB5F2B"/>
    <w:rsid w:val="00DB74AF"/>
    <w:rsid w:val="00DC1AB8"/>
    <w:rsid w:val="00DC5C19"/>
    <w:rsid w:val="00DC7068"/>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21729"/>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3977"/>
    <w:rsid w:val="00E4415D"/>
    <w:rsid w:val="00E44AB8"/>
    <w:rsid w:val="00E47BD8"/>
    <w:rsid w:val="00E504A3"/>
    <w:rsid w:val="00E50D3F"/>
    <w:rsid w:val="00E520BE"/>
    <w:rsid w:val="00E5484A"/>
    <w:rsid w:val="00E54E17"/>
    <w:rsid w:val="00E56591"/>
    <w:rsid w:val="00E56A7A"/>
    <w:rsid w:val="00E60419"/>
    <w:rsid w:val="00E60E01"/>
    <w:rsid w:val="00E617D3"/>
    <w:rsid w:val="00E61B6E"/>
    <w:rsid w:val="00E61E36"/>
    <w:rsid w:val="00E633C1"/>
    <w:rsid w:val="00E667B0"/>
    <w:rsid w:val="00E67390"/>
    <w:rsid w:val="00E71365"/>
    <w:rsid w:val="00E74904"/>
    <w:rsid w:val="00E770A4"/>
    <w:rsid w:val="00E81192"/>
    <w:rsid w:val="00E83B51"/>
    <w:rsid w:val="00E8626C"/>
    <w:rsid w:val="00E86BDE"/>
    <w:rsid w:val="00E8762F"/>
    <w:rsid w:val="00E90AB8"/>
    <w:rsid w:val="00E919D9"/>
    <w:rsid w:val="00E921C1"/>
    <w:rsid w:val="00E93C8B"/>
    <w:rsid w:val="00E93D8F"/>
    <w:rsid w:val="00E9531E"/>
    <w:rsid w:val="00E95E41"/>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0DB1"/>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466"/>
    <w:rsid w:val="00F137F0"/>
    <w:rsid w:val="00F13F39"/>
    <w:rsid w:val="00F14B9B"/>
    <w:rsid w:val="00F14CCC"/>
    <w:rsid w:val="00F163A1"/>
    <w:rsid w:val="00F17988"/>
    <w:rsid w:val="00F20A05"/>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1800"/>
    <w:rsid w:val="00F9222A"/>
    <w:rsid w:val="00F922EA"/>
    <w:rsid w:val="00F92927"/>
    <w:rsid w:val="00F979B3"/>
    <w:rsid w:val="00F97CCD"/>
    <w:rsid w:val="00FA320D"/>
    <w:rsid w:val="00FA32BC"/>
    <w:rsid w:val="00FA362B"/>
    <w:rsid w:val="00FA53E9"/>
    <w:rsid w:val="00FA60EC"/>
    <w:rsid w:val="00FB04E9"/>
    <w:rsid w:val="00FB1179"/>
    <w:rsid w:val="00FB1C6B"/>
    <w:rsid w:val="00FB3361"/>
    <w:rsid w:val="00FB42B4"/>
    <w:rsid w:val="00FB4841"/>
    <w:rsid w:val="00FB6C94"/>
    <w:rsid w:val="00FB7F8B"/>
    <w:rsid w:val="00FC3753"/>
    <w:rsid w:val="00FC5743"/>
    <w:rsid w:val="00FC6240"/>
    <w:rsid w:val="00FD118C"/>
    <w:rsid w:val="00FD332F"/>
    <w:rsid w:val="00FE1CC1"/>
    <w:rsid w:val="00FE385E"/>
    <w:rsid w:val="00FE3CE2"/>
    <w:rsid w:val="00FE54AD"/>
    <w:rsid w:val="00FE5633"/>
    <w:rsid w:val="00FE6F7A"/>
    <w:rsid w:val="00FE7B14"/>
    <w:rsid w:val="00FF02D5"/>
    <w:rsid w:val="00FF0846"/>
    <w:rsid w:val="00FF1139"/>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2E60642C"/>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4">
    <w:name w:val="heading 4"/>
    <w:basedOn w:val="Normal"/>
    <w:next w:val="Normal"/>
    <w:link w:val="Ttulo4Char"/>
    <w:uiPriority w:val="9"/>
    <w:semiHidden/>
    <w:unhideWhenUsed/>
    <w:qFormat/>
    <w:rsid w:val="00414EF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F13466"/>
    <w:rPr>
      <w:color w:val="808080"/>
      <w:shd w:val="clear" w:color="auto" w:fill="E6E6E6"/>
    </w:rPr>
  </w:style>
  <w:style w:type="character" w:customStyle="1" w:styleId="clsinformativotextotitulo">
    <w:name w:val="clsinformativotextotitulo"/>
    <w:basedOn w:val="Fontepargpadro"/>
    <w:rsid w:val="00414EF8"/>
  </w:style>
  <w:style w:type="character" w:customStyle="1" w:styleId="clsinformativotexto">
    <w:name w:val="clsinformativotexto"/>
    <w:basedOn w:val="Fontepargpadro"/>
    <w:rsid w:val="00414EF8"/>
  </w:style>
  <w:style w:type="character" w:customStyle="1" w:styleId="Ttulo4Char">
    <w:name w:val="Título 4 Char"/>
    <w:basedOn w:val="Fontepargpadro"/>
    <w:link w:val="Ttulo4"/>
    <w:uiPriority w:val="9"/>
    <w:semiHidden/>
    <w:rsid w:val="00414EF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2192766">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33930027">
      <w:bodyDiv w:val="1"/>
      <w:marLeft w:val="0"/>
      <w:marRight w:val="0"/>
      <w:marTop w:val="0"/>
      <w:marBottom w:val="0"/>
      <w:divBdr>
        <w:top w:val="none" w:sz="0" w:space="0" w:color="auto"/>
        <w:left w:val="none" w:sz="0" w:space="0" w:color="auto"/>
        <w:bottom w:val="none" w:sz="0" w:space="0" w:color="auto"/>
        <w:right w:val="none" w:sz="0" w:space="0" w:color="auto"/>
      </w:divBdr>
      <w:divsChild>
        <w:div w:id="549921696">
          <w:marLeft w:val="1201"/>
          <w:marRight w:val="601"/>
          <w:marTop w:val="240"/>
          <w:marBottom w:val="240"/>
          <w:divBdr>
            <w:top w:val="none" w:sz="0" w:space="0" w:color="auto"/>
            <w:left w:val="none" w:sz="0" w:space="0" w:color="auto"/>
            <w:bottom w:val="none" w:sz="0" w:space="0" w:color="auto"/>
            <w:right w:val="none" w:sz="0" w:space="0" w:color="auto"/>
          </w:divBdr>
        </w:div>
      </w:divsChild>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8/pdf/00319624.pdf" TargetMode="External"/><Relationship Id="rId13" Type="http://schemas.openxmlformats.org/officeDocument/2006/relationships/hyperlink" Target="http://www1.tce.pr.gov.br/multimidia/2017/9/pdf/00320705.pdf" TargetMode="External"/><Relationship Id="rId18" Type="http://schemas.openxmlformats.org/officeDocument/2006/relationships/hyperlink" Target="http://www1.tce.pr.gov.br/multimidia/2017/8/pdf/00319578.pdf" TargetMode="External"/><Relationship Id="rId26" Type="http://schemas.openxmlformats.org/officeDocument/2006/relationships/hyperlink" Target="https://www.planalto.gov.br/ccivil_03/_ato2007-2010/2010/decreto/d7174.htm" TargetMode="External"/><Relationship Id="rId3" Type="http://schemas.openxmlformats.org/officeDocument/2006/relationships/styles" Target="styles.xml"/><Relationship Id="rId21" Type="http://schemas.openxmlformats.org/officeDocument/2006/relationships/hyperlink" Target="https://ww2.stj.jus.br/processo/revista/documento/mediado/?componente=ATC&amp;sequencial=71827913&amp;num_registro=201402879395&amp;data=20170906&amp;tipo=51&amp;formato=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tce.pr.gov.br/multimidia/2017/8/pdf/00319600.pdf" TargetMode="External"/><Relationship Id="rId17" Type="http://schemas.openxmlformats.org/officeDocument/2006/relationships/hyperlink" Target="http://www1.tce.pr.gov.br/multimidia/2017/8/pdf/00319550.pdf" TargetMode="External"/><Relationship Id="rId25" Type="http://schemas.openxmlformats.org/officeDocument/2006/relationships/hyperlink" Target="https://www.planalto.gov.br/ccivil_03/leis/2002/l10520.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tce.pr.gov.br/multimidia/2017/8/pdf/00319515.pdf" TargetMode="External"/><Relationship Id="rId20" Type="http://schemas.openxmlformats.org/officeDocument/2006/relationships/hyperlink" Target="http://www.stj.jus.br/SCON/sumanot/toc.jsp?livre=(sumula%20adj%20592).sub." TargetMode="External"/><Relationship Id="rId29" Type="http://schemas.openxmlformats.org/officeDocument/2006/relationships/hyperlink" Target="https://contas.tcu.gov.br/sagas/SvlVisualizarRelVotoAcRtf?codFiltro=SAGAS-SESSAO-ENCERRADA&amp;seOcultaPagina=S&amp;item0=5933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8/pdf/00319332.pdf" TargetMode="External"/><Relationship Id="rId24" Type="http://schemas.openxmlformats.org/officeDocument/2006/relationships/hyperlink" Target="https://contas.tcu.gov.br/sagas/SvlVisualizarRelVotoAcRtf?codFiltro=SAGAS-SESSAO-ENCERRADA&amp;seOcultaPagina=S&amp;item0=597162"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tce.pr.gov.br/multimidia/2017/8/pdf/00319438.pdf" TargetMode="External"/><Relationship Id="rId23" Type="http://schemas.openxmlformats.org/officeDocument/2006/relationships/hyperlink" Target="https://contas.tcu.gov.br/sagas/SvlVisualizarRelVotoAcRtf?codFiltro=SAGAS-SESSAO-ENCERRADA&amp;seOcultaPagina=S&amp;item0=597162" TargetMode="External"/><Relationship Id="rId28" Type="http://schemas.openxmlformats.org/officeDocument/2006/relationships/hyperlink" Target="https://contas.tcu.gov.br/sagas/SvlVisualizarRelVotoAcRtf?codFiltro=SAGAS-SESSAO-ENCERRADA&amp;seOcultaPagina=S&amp;item0=597186" TargetMode="External"/><Relationship Id="rId10" Type="http://schemas.openxmlformats.org/officeDocument/2006/relationships/hyperlink" Target="http://www1.tce.pr.gov.br/multimidia/2017/7/pdf/00319194.pdf" TargetMode="External"/><Relationship Id="rId19" Type="http://schemas.openxmlformats.org/officeDocument/2006/relationships/hyperlink" Target="http://www.stj.jus.br/SCON/sumanot/toc.jsp?livre=(sumula%20adj%20591).sub." TargetMode="External"/><Relationship Id="rId31" Type="http://schemas.openxmlformats.org/officeDocument/2006/relationships/hyperlink" Target="http://www1.tce.pr.gov.br/conteudo/repercussao-geral-no-stf-e-os-tribunais-de-contas/307026/area/249" TargetMode="External"/><Relationship Id="rId4" Type="http://schemas.openxmlformats.org/officeDocument/2006/relationships/settings" Target="settings.xml"/><Relationship Id="rId9" Type="http://schemas.openxmlformats.org/officeDocument/2006/relationships/hyperlink" Target="http://www1.tce.pr.gov.br/multimidia/2017/7/pdf/00319191.pdf" TargetMode="External"/><Relationship Id="rId14" Type="http://schemas.openxmlformats.org/officeDocument/2006/relationships/hyperlink" Target="http://www1.tce.pr.gov.br/multimidia/2017/8/pdf/00319629.pdf" TargetMode="External"/><Relationship Id="rId22" Type="http://schemas.openxmlformats.org/officeDocument/2006/relationships/hyperlink" Target="https://contas.tcu.gov.br/sagas/SvlVisualizarRelVotoAcRtf?codFiltro=SAGAS-SESSAO-ENCERRADA&amp;seOcultaPagina=S&amp;item0=574549" TargetMode="External"/><Relationship Id="rId27" Type="http://schemas.openxmlformats.org/officeDocument/2006/relationships/hyperlink" Target="https://contas.tcu.gov.br/sagas/SvlVisualizarRelVotoAcRtf?codFiltro=SAGAS-SESSAO-ENCERRADA&amp;seOcultaPagina=S&amp;item0=596574" TargetMode="External"/><Relationship Id="rId30" Type="http://schemas.openxmlformats.org/officeDocument/2006/relationships/hyperlink" Target="http://www1.tce.pr.gov.br/multimidia/2017/7/flipbook/318496/files/assets/basic-html/index.html"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E7AEA-7FD8-4276-B612-A6975DA4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3780</Words>
  <Characters>20414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94</cp:revision>
  <cp:lastPrinted>2017-07-10T20:46:00Z</cp:lastPrinted>
  <dcterms:created xsi:type="dcterms:W3CDTF">2017-07-10T20:45:00Z</dcterms:created>
  <dcterms:modified xsi:type="dcterms:W3CDTF">2018-12-11T14:21:00Z</dcterms:modified>
</cp:coreProperties>
</file>