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C91B89">
        <w:rPr>
          <w:rFonts w:ascii="Arial" w:hAnsi="Arial" w:cs="Arial"/>
          <w:b/>
          <w:sz w:val="20"/>
          <w:szCs w:val="20"/>
        </w:rPr>
        <w:t>1</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F13466">
        <w:rPr>
          <w:rFonts w:ascii="Arial" w:hAnsi="Arial" w:cs="Arial"/>
          <w:b/>
          <w:sz w:val="20"/>
          <w:szCs w:val="20"/>
        </w:rPr>
        <w:t>25</w:t>
      </w:r>
      <w:r w:rsidR="00814325">
        <w:rPr>
          <w:rFonts w:ascii="Arial" w:hAnsi="Arial" w:cs="Arial"/>
          <w:b/>
          <w:sz w:val="20"/>
          <w:szCs w:val="20"/>
        </w:rPr>
        <w:t>.0</w:t>
      </w:r>
      <w:r w:rsidR="00401EE0">
        <w:rPr>
          <w:rFonts w:ascii="Arial" w:hAnsi="Arial" w:cs="Arial"/>
          <w:b/>
          <w:sz w:val="20"/>
          <w:szCs w:val="20"/>
        </w:rPr>
        <w:t>7</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F13466">
        <w:rPr>
          <w:rFonts w:ascii="Arial" w:hAnsi="Arial" w:cs="Arial"/>
          <w:b/>
          <w:sz w:val="20"/>
          <w:szCs w:val="20"/>
        </w:rPr>
        <w:t>03</w:t>
      </w:r>
      <w:r w:rsidR="005A0FD0" w:rsidRPr="0022060B">
        <w:rPr>
          <w:rFonts w:ascii="Arial" w:hAnsi="Arial" w:cs="Arial"/>
          <w:b/>
          <w:sz w:val="20"/>
          <w:szCs w:val="20"/>
        </w:rPr>
        <w:t>.0</w:t>
      </w:r>
      <w:r w:rsidR="00F13466">
        <w:rPr>
          <w:rFonts w:ascii="Arial" w:hAnsi="Arial" w:cs="Arial"/>
          <w:b/>
          <w:sz w:val="20"/>
          <w:szCs w:val="20"/>
        </w:rPr>
        <w:t>8</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684303" w:rsidRDefault="00684303" w:rsidP="00D54566">
      <w:pPr>
        <w:autoSpaceDE w:val="0"/>
        <w:autoSpaceDN w:val="0"/>
        <w:adjustRightInd w:val="0"/>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1. </w:t>
      </w:r>
      <w:r w:rsidR="00822605" w:rsidRPr="00D54566">
        <w:rPr>
          <w:rFonts w:ascii="Arial" w:hAnsi="Arial" w:cs="Arial"/>
          <w:sz w:val="20"/>
          <w:szCs w:val="20"/>
        </w:rPr>
        <w:t>Pensão Municipal. Inclusão de adicional de insalubridade. Verba percebida durante todo o período laboral e inerente à natureza do cargo. Legalidade e registro do ato.</w:t>
      </w:r>
    </w:p>
    <w:p w:rsidR="00822605" w:rsidRPr="00DB0880" w:rsidRDefault="00822605" w:rsidP="00D54566">
      <w:pPr>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2. </w:t>
      </w:r>
      <w:r w:rsidR="00822605" w:rsidRPr="00D54566">
        <w:rPr>
          <w:rFonts w:ascii="Arial" w:hAnsi="Arial" w:cs="Arial"/>
          <w:sz w:val="20"/>
          <w:szCs w:val="20"/>
        </w:rPr>
        <w:t xml:space="preserve">Prestação de Contas. Transferência voluntária. Despesas com pagamento de refeições e passagens de policiais civis e militares. Inteligência do art. 62 da LRF. Conversão em ressalva. Regularidade com ressalva e recomendação. </w:t>
      </w:r>
    </w:p>
    <w:p w:rsidR="00822605" w:rsidRPr="00DB0880" w:rsidRDefault="00822605" w:rsidP="00D54566">
      <w:pPr>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3. </w:t>
      </w:r>
      <w:r w:rsidR="00822605" w:rsidRPr="00D54566">
        <w:rPr>
          <w:rFonts w:ascii="Arial" w:hAnsi="Arial" w:cs="Arial"/>
          <w:sz w:val="20"/>
          <w:szCs w:val="20"/>
        </w:rPr>
        <w:t>Embargos de Declaração que aduz</w:t>
      </w:r>
      <w:r w:rsidR="00FF1139">
        <w:rPr>
          <w:rFonts w:ascii="Arial" w:hAnsi="Arial" w:cs="Arial"/>
          <w:sz w:val="20"/>
          <w:szCs w:val="20"/>
        </w:rPr>
        <w:t>em</w:t>
      </w:r>
      <w:r w:rsidR="00822605" w:rsidRPr="00D54566">
        <w:rPr>
          <w:rFonts w:ascii="Arial" w:hAnsi="Arial" w:cs="Arial"/>
          <w:sz w:val="20"/>
          <w:szCs w:val="20"/>
        </w:rPr>
        <w:t xml:space="preserve"> não ter havido fundamentação na parte dispositiva do Acórdão.  Parecer Prévio em PCA. Inteligência do art. 489 do NCPC. Pelo não provimento.  </w:t>
      </w:r>
    </w:p>
    <w:p w:rsidR="00822605" w:rsidRPr="00DB0880" w:rsidRDefault="00822605" w:rsidP="00D54566">
      <w:pPr>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4. </w:t>
      </w:r>
      <w:r w:rsidR="00822605" w:rsidRPr="00D54566">
        <w:rPr>
          <w:rFonts w:ascii="Arial" w:hAnsi="Arial" w:cs="Arial"/>
          <w:sz w:val="20"/>
          <w:szCs w:val="20"/>
        </w:rPr>
        <w:t xml:space="preserve">Admissão de Pessoal. Contratação temporária. Recurso de Agravo interposto pelo ente municipal. Juízo de retratação pela revogação da medida cautelar de suspensão do certame. Teste seletivo apto a retomar seu trâmite normal. </w:t>
      </w:r>
    </w:p>
    <w:p w:rsidR="00DB0880" w:rsidRPr="00DB0880" w:rsidRDefault="00DB0880" w:rsidP="00D54566">
      <w:pPr>
        <w:autoSpaceDE w:val="0"/>
        <w:autoSpaceDN w:val="0"/>
        <w:adjustRightInd w:val="0"/>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5. </w:t>
      </w:r>
      <w:r w:rsidR="00822605" w:rsidRPr="00D54566">
        <w:rPr>
          <w:rFonts w:ascii="Arial" w:hAnsi="Arial" w:cs="Arial"/>
          <w:sz w:val="20"/>
          <w:szCs w:val="20"/>
        </w:rPr>
        <w:t>Certidão Liberatória. Aplicação de receita na manutenção de ensino. Educação. Responsabilidade fiscal.</w:t>
      </w:r>
    </w:p>
    <w:p w:rsidR="00DB0880" w:rsidRPr="00DB0880" w:rsidRDefault="00DB0880" w:rsidP="00D54566">
      <w:pPr>
        <w:autoSpaceDE w:val="0"/>
        <w:autoSpaceDN w:val="0"/>
        <w:adjustRightInd w:val="0"/>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6. </w:t>
      </w:r>
      <w:r w:rsidR="00822605" w:rsidRPr="00D54566">
        <w:rPr>
          <w:rFonts w:ascii="Arial" w:hAnsi="Arial" w:cs="Arial"/>
          <w:sz w:val="20"/>
          <w:szCs w:val="20"/>
        </w:rPr>
        <w:t>Aposentadoria. Possibilidade de contagem de tempo celetista para aquisição de licença especial não gozada, contada em dobro como tempo de contribuição do servidor, desde que relativa a período anterior à Emenda Constitucional nº 20/1998. Legalidade e registro da inativação.</w:t>
      </w:r>
    </w:p>
    <w:p w:rsidR="00DB0880" w:rsidRPr="00DB0880" w:rsidRDefault="00DB0880" w:rsidP="00D54566">
      <w:pPr>
        <w:autoSpaceDE w:val="0"/>
        <w:autoSpaceDN w:val="0"/>
        <w:adjustRightInd w:val="0"/>
        <w:spacing w:after="0"/>
        <w:jc w:val="both"/>
        <w:rPr>
          <w:rFonts w:ascii="Arial" w:hAnsi="Arial" w:cs="Arial"/>
          <w:sz w:val="20"/>
          <w:szCs w:val="20"/>
        </w:rPr>
      </w:pPr>
    </w:p>
    <w:p w:rsidR="00822605" w:rsidRPr="00D54566" w:rsidRDefault="00D54566" w:rsidP="00D54566">
      <w:pPr>
        <w:autoSpaceDE w:val="0"/>
        <w:autoSpaceDN w:val="0"/>
        <w:adjustRightInd w:val="0"/>
        <w:spacing w:after="0"/>
        <w:jc w:val="both"/>
        <w:rPr>
          <w:rFonts w:ascii="Arial" w:hAnsi="Arial" w:cs="Arial"/>
          <w:sz w:val="20"/>
          <w:szCs w:val="20"/>
        </w:rPr>
      </w:pPr>
      <w:r>
        <w:rPr>
          <w:rFonts w:ascii="Arial" w:hAnsi="Arial" w:cs="Arial"/>
          <w:sz w:val="20"/>
          <w:szCs w:val="20"/>
        </w:rPr>
        <w:t xml:space="preserve">7. </w:t>
      </w:r>
      <w:r w:rsidR="00822605" w:rsidRPr="00D54566">
        <w:rPr>
          <w:rFonts w:ascii="Arial" w:hAnsi="Arial" w:cs="Arial"/>
          <w:sz w:val="20"/>
          <w:szCs w:val="20"/>
        </w:rPr>
        <w:t xml:space="preserve">Reserva remunerada a pedido, com base no art. 157, §4º, III, da Lei nº 1.923/54 (Código da Polícia Militar do Estado). Afastada a aplicação da Lei nº 7.634/82, que permite o aproveitamento do tempo de contribuição de INSS, sobre serviços prestados à iniciativa privada, dada sua </w:t>
      </w:r>
      <w:r w:rsidR="00822605" w:rsidRPr="00D54566">
        <w:rPr>
          <w:rFonts w:ascii="Arial" w:hAnsi="Arial" w:cs="Arial"/>
          <w:sz w:val="20"/>
          <w:szCs w:val="20"/>
        </w:rPr>
        <w:lastRenderedPageBreak/>
        <w:t>incompatibilidade com a lei específica, nos termos do art. 42, §1º, combinado com o art. 142, §3º, X, ambos da Constituição Federal.</w:t>
      </w:r>
    </w:p>
    <w:p w:rsidR="00DB0880" w:rsidRPr="00DB0880" w:rsidRDefault="00DB0880" w:rsidP="00D54566">
      <w:pPr>
        <w:autoSpaceDE w:val="0"/>
        <w:autoSpaceDN w:val="0"/>
        <w:adjustRightInd w:val="0"/>
        <w:spacing w:after="0"/>
        <w:jc w:val="both"/>
        <w:rPr>
          <w:rFonts w:ascii="Arial" w:hAnsi="Arial" w:cs="Arial"/>
          <w:sz w:val="20"/>
          <w:szCs w:val="20"/>
        </w:rPr>
      </w:pPr>
    </w:p>
    <w:p w:rsidR="00822605" w:rsidRPr="00D54566" w:rsidRDefault="00E61B6E" w:rsidP="00D54566">
      <w:pPr>
        <w:autoSpaceDE w:val="0"/>
        <w:autoSpaceDN w:val="0"/>
        <w:adjustRightInd w:val="0"/>
        <w:spacing w:after="0"/>
        <w:jc w:val="both"/>
        <w:rPr>
          <w:rFonts w:ascii="Arial" w:hAnsi="Arial" w:cs="Arial"/>
          <w:sz w:val="20"/>
          <w:szCs w:val="20"/>
        </w:rPr>
      </w:pPr>
      <w:r>
        <w:rPr>
          <w:rFonts w:ascii="Arial" w:hAnsi="Arial" w:cs="Arial"/>
          <w:sz w:val="20"/>
          <w:szCs w:val="20"/>
        </w:rPr>
        <w:t>8</w:t>
      </w:r>
      <w:r w:rsidR="00D54566">
        <w:rPr>
          <w:rFonts w:ascii="Arial" w:hAnsi="Arial" w:cs="Arial"/>
          <w:sz w:val="20"/>
          <w:szCs w:val="20"/>
        </w:rPr>
        <w:t xml:space="preserve">. </w:t>
      </w:r>
      <w:r w:rsidR="00822605" w:rsidRPr="00D54566">
        <w:rPr>
          <w:rFonts w:ascii="Arial" w:hAnsi="Arial" w:cs="Arial"/>
          <w:sz w:val="20"/>
          <w:szCs w:val="20"/>
        </w:rPr>
        <w:t xml:space="preserve">Representação. Administração Pública. Publicidade. Princípios da moralidade e impessoalidade. Promoção pessoal. </w:t>
      </w:r>
    </w:p>
    <w:p w:rsidR="00DB0880" w:rsidRPr="00DB0880" w:rsidRDefault="00DB0880" w:rsidP="00D54566">
      <w:pPr>
        <w:autoSpaceDE w:val="0"/>
        <w:autoSpaceDN w:val="0"/>
        <w:adjustRightInd w:val="0"/>
        <w:spacing w:after="0"/>
        <w:jc w:val="both"/>
        <w:rPr>
          <w:rFonts w:ascii="Arial" w:hAnsi="Arial" w:cs="Arial"/>
          <w:sz w:val="20"/>
          <w:szCs w:val="20"/>
        </w:rPr>
      </w:pPr>
    </w:p>
    <w:p w:rsidR="00822605" w:rsidRPr="00D54566" w:rsidRDefault="00E61B6E" w:rsidP="00D54566">
      <w:pPr>
        <w:autoSpaceDE w:val="0"/>
        <w:autoSpaceDN w:val="0"/>
        <w:adjustRightInd w:val="0"/>
        <w:spacing w:after="0"/>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w:t>
      </w:r>
      <w:r w:rsidR="00D54566">
        <w:rPr>
          <w:rFonts w:ascii="Arial" w:eastAsia="Times New Roman" w:hAnsi="Arial" w:cs="Arial"/>
          <w:color w:val="000000"/>
          <w:sz w:val="20"/>
          <w:szCs w:val="20"/>
          <w:lang w:eastAsia="pt-BR"/>
        </w:rPr>
        <w:t xml:space="preserve">. </w:t>
      </w:r>
      <w:r w:rsidR="00822605" w:rsidRPr="00D54566">
        <w:rPr>
          <w:rFonts w:ascii="Arial" w:eastAsia="Times New Roman" w:hAnsi="Arial" w:cs="Arial"/>
          <w:color w:val="000000"/>
          <w:sz w:val="20"/>
          <w:szCs w:val="20"/>
          <w:lang w:eastAsia="pt-BR"/>
        </w:rPr>
        <w:t xml:space="preserve">Consulta. Ente federado incurso nas vedações do art. 22, Parágrafo Único, da Lei de Responsabilidade Fiscal. Concessão de adicional a servidores públicos integrantes das equipes de saúde da atenção básica. Recursos Federais oriundos do Piso da Atenção Básica Variável – PAB Variável. Impossibilidade. </w:t>
      </w:r>
    </w:p>
    <w:p w:rsidR="00DB0880" w:rsidRPr="00DB0880" w:rsidRDefault="00DB0880" w:rsidP="00D54566">
      <w:pPr>
        <w:spacing w:after="0"/>
        <w:jc w:val="both"/>
        <w:rPr>
          <w:rStyle w:val="Hyperlink"/>
          <w:rFonts w:ascii="Arial" w:hAnsi="Arial" w:cs="Arial"/>
          <w:color w:val="000000" w:themeColor="text1"/>
          <w:sz w:val="20"/>
          <w:szCs w:val="20"/>
          <w:u w:val="none"/>
        </w:rPr>
      </w:pPr>
    </w:p>
    <w:p w:rsidR="00822605" w:rsidRPr="00D54566" w:rsidRDefault="00E61B6E" w:rsidP="00D54566">
      <w:pPr>
        <w:autoSpaceDE w:val="0"/>
        <w:autoSpaceDN w:val="0"/>
        <w:adjustRightInd w:val="0"/>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10</w:t>
      </w:r>
      <w:r w:rsidR="00D54566">
        <w:rPr>
          <w:rStyle w:val="Hyperlink"/>
          <w:rFonts w:ascii="Arial" w:hAnsi="Arial" w:cs="Arial"/>
          <w:color w:val="000000" w:themeColor="text1"/>
          <w:sz w:val="20"/>
          <w:szCs w:val="20"/>
          <w:u w:val="none"/>
        </w:rPr>
        <w:t xml:space="preserve">. </w:t>
      </w:r>
      <w:r w:rsidR="00822605" w:rsidRPr="00D54566">
        <w:rPr>
          <w:rStyle w:val="Hyperlink"/>
          <w:rFonts w:ascii="Arial" w:hAnsi="Arial" w:cs="Arial"/>
          <w:color w:val="000000" w:themeColor="text1"/>
          <w:sz w:val="20"/>
          <w:szCs w:val="20"/>
          <w:u w:val="none"/>
        </w:rPr>
        <w:t xml:space="preserve">Representação da Lei nº 8666/93. Pregão Presencial. Supostas irregularidades.  Exigência de pneus de fabricação nacional. Pela não procedência neste ponto, sem aplicação de multa. </w:t>
      </w:r>
    </w:p>
    <w:p w:rsidR="00DB0880" w:rsidRPr="00DB0880" w:rsidRDefault="00DB0880" w:rsidP="00D54566">
      <w:pPr>
        <w:spacing w:after="0"/>
        <w:jc w:val="both"/>
        <w:rPr>
          <w:rStyle w:val="Hyperlink"/>
          <w:rFonts w:ascii="Arial" w:hAnsi="Arial" w:cs="Arial"/>
          <w:color w:val="000000" w:themeColor="text1"/>
          <w:sz w:val="20"/>
          <w:szCs w:val="20"/>
          <w:u w:val="none"/>
        </w:rPr>
      </w:pPr>
    </w:p>
    <w:p w:rsidR="00822605" w:rsidRPr="00D54566" w:rsidRDefault="00E61B6E" w:rsidP="00D54566">
      <w:pPr>
        <w:autoSpaceDE w:val="0"/>
        <w:autoSpaceDN w:val="0"/>
        <w:adjustRightInd w:val="0"/>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11</w:t>
      </w:r>
      <w:r w:rsidR="00D54566">
        <w:rPr>
          <w:rStyle w:val="Hyperlink"/>
          <w:rFonts w:ascii="Arial" w:hAnsi="Arial" w:cs="Arial"/>
          <w:color w:val="000000" w:themeColor="text1"/>
          <w:sz w:val="20"/>
          <w:szCs w:val="20"/>
          <w:u w:val="none"/>
        </w:rPr>
        <w:t>. R</w:t>
      </w:r>
      <w:r w:rsidR="00822605" w:rsidRPr="00D54566">
        <w:rPr>
          <w:rStyle w:val="Hyperlink"/>
          <w:rFonts w:ascii="Arial" w:hAnsi="Arial" w:cs="Arial"/>
          <w:color w:val="000000" w:themeColor="text1"/>
          <w:sz w:val="20"/>
          <w:szCs w:val="20"/>
          <w:u w:val="none"/>
        </w:rPr>
        <w:t xml:space="preserve">ecurso de Revista. Cargos em comissão. Pagamento de verbas rescisórias por ocasião do desligamento. Boa-fé do gestor. Não provimento.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Pr="00AB1CD6" w:rsidRDefault="005F7E35" w:rsidP="00816942">
      <w:pPr>
        <w:autoSpaceDE w:val="0"/>
        <w:autoSpaceDN w:val="0"/>
        <w:adjustRightInd w:val="0"/>
        <w:spacing w:after="0"/>
        <w:jc w:val="both"/>
        <w:rPr>
          <w:rFonts w:ascii="Arial" w:hAnsi="Arial" w:cs="Arial"/>
          <w:b/>
          <w:sz w:val="20"/>
          <w:szCs w:val="20"/>
        </w:rPr>
      </w:pPr>
    </w:p>
    <w:p w:rsidR="004429A2" w:rsidRDefault="005F35B7" w:rsidP="0082260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AB1CD6" w:rsidRPr="00AB1CD6">
        <w:rPr>
          <w:rFonts w:ascii="Arial" w:hAnsi="Arial" w:cs="Arial"/>
          <w:b/>
          <w:sz w:val="20"/>
          <w:szCs w:val="20"/>
        </w:rPr>
        <w:t>Pensão Municipal. Inclusão de adicional de insalubridade. Verba percebida durante todo o período laboral e inerente à natureza do cargo. Legalidade e registro do ato.</w:t>
      </w:r>
    </w:p>
    <w:p w:rsidR="00AB1CD6" w:rsidRDefault="00AB1CD6" w:rsidP="00822605">
      <w:pPr>
        <w:autoSpaceDE w:val="0"/>
        <w:autoSpaceDN w:val="0"/>
        <w:adjustRightInd w:val="0"/>
        <w:spacing w:after="0"/>
        <w:jc w:val="both"/>
        <w:rPr>
          <w:rFonts w:ascii="Arial" w:hAnsi="Arial" w:cs="Arial"/>
          <w:b/>
          <w:sz w:val="20"/>
          <w:szCs w:val="20"/>
        </w:rPr>
      </w:pPr>
    </w:p>
    <w:p w:rsidR="00AB1CD6" w:rsidRDefault="00AB1CD6" w:rsidP="00822605">
      <w:pPr>
        <w:autoSpaceDE w:val="0"/>
        <w:autoSpaceDN w:val="0"/>
        <w:adjustRightInd w:val="0"/>
        <w:spacing w:after="0"/>
        <w:jc w:val="both"/>
        <w:rPr>
          <w:rFonts w:ascii="Arial" w:hAnsi="Arial" w:cs="Arial"/>
          <w:sz w:val="20"/>
          <w:szCs w:val="20"/>
        </w:rPr>
      </w:pPr>
      <w:r w:rsidRPr="00AB1CD6">
        <w:rPr>
          <w:rFonts w:ascii="Arial" w:hAnsi="Arial" w:cs="Arial"/>
          <w:sz w:val="20"/>
          <w:szCs w:val="20"/>
        </w:rPr>
        <w:t>Sendo o adicional de insalubridade verba inerente ao cargo de Auxiliar de Serviços Gerais, não se tratando de verba de natureza transitória, sobre o qual, inclusive, incid</w:t>
      </w:r>
      <w:r>
        <w:rPr>
          <w:rFonts w:ascii="Arial" w:hAnsi="Arial" w:cs="Arial"/>
          <w:sz w:val="20"/>
          <w:szCs w:val="20"/>
        </w:rPr>
        <w:t xml:space="preserve">e </w:t>
      </w:r>
      <w:r w:rsidRPr="00AB1CD6">
        <w:rPr>
          <w:rFonts w:ascii="Arial" w:hAnsi="Arial" w:cs="Arial"/>
          <w:sz w:val="20"/>
          <w:szCs w:val="20"/>
        </w:rPr>
        <w:t>os descontos previdenciários respectivos</w:t>
      </w:r>
      <w:r>
        <w:rPr>
          <w:rFonts w:ascii="Arial" w:hAnsi="Arial" w:cs="Arial"/>
          <w:sz w:val="20"/>
          <w:szCs w:val="20"/>
        </w:rPr>
        <w:t xml:space="preserve"> a legalidade e registro do ato se impõe.</w:t>
      </w:r>
    </w:p>
    <w:p w:rsidR="00AB1CD6" w:rsidRDefault="00AB1CD6" w:rsidP="00822605">
      <w:pPr>
        <w:autoSpaceDE w:val="0"/>
        <w:autoSpaceDN w:val="0"/>
        <w:adjustRightInd w:val="0"/>
        <w:spacing w:after="0"/>
        <w:jc w:val="both"/>
        <w:rPr>
          <w:rFonts w:ascii="Arial" w:hAnsi="Arial" w:cs="Arial"/>
          <w:sz w:val="20"/>
          <w:szCs w:val="20"/>
        </w:rPr>
      </w:pPr>
    </w:p>
    <w:p w:rsidR="00AB1CD6" w:rsidRDefault="00AB1CD6" w:rsidP="0082260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113764/16 - </w:t>
      </w:r>
      <w:hyperlink r:id="rId8" w:history="1">
        <w:r w:rsidRPr="004F2CF1">
          <w:rPr>
            <w:rStyle w:val="Hyperlink"/>
            <w:rFonts w:ascii="Arial" w:hAnsi="Arial" w:cs="Arial"/>
            <w:sz w:val="20"/>
            <w:szCs w:val="20"/>
          </w:rPr>
          <w:t>Acórdão n° 3443/17 - Primeira Câmara</w:t>
        </w:r>
      </w:hyperlink>
      <w:r>
        <w:rPr>
          <w:rFonts w:ascii="Arial" w:hAnsi="Arial" w:cs="Arial"/>
          <w:sz w:val="20"/>
          <w:szCs w:val="20"/>
        </w:rPr>
        <w:t xml:space="preserve"> - Rel. Cons. Fabio de Souza Camargo. </w:t>
      </w:r>
      <w:r w:rsidRPr="00AB1CD6">
        <w:rPr>
          <w:rFonts w:ascii="Arial" w:hAnsi="Arial" w:cs="Arial"/>
          <w:sz w:val="20"/>
          <w:szCs w:val="20"/>
        </w:rPr>
        <w:t xml:space="preserve"> </w:t>
      </w:r>
    </w:p>
    <w:p w:rsidR="00376AEB" w:rsidRDefault="00376AEB" w:rsidP="00822605">
      <w:pPr>
        <w:autoSpaceDE w:val="0"/>
        <w:autoSpaceDN w:val="0"/>
        <w:adjustRightInd w:val="0"/>
        <w:spacing w:after="0"/>
        <w:jc w:val="both"/>
        <w:rPr>
          <w:rFonts w:ascii="Arial" w:hAnsi="Arial" w:cs="Arial"/>
          <w:sz w:val="20"/>
          <w:szCs w:val="20"/>
        </w:rPr>
      </w:pPr>
    </w:p>
    <w:p w:rsidR="00376AEB" w:rsidRDefault="005F35B7" w:rsidP="00822605">
      <w:pPr>
        <w:spacing w:after="0"/>
        <w:jc w:val="both"/>
        <w:rPr>
          <w:rFonts w:ascii="Arial" w:hAnsi="Arial" w:cs="Arial"/>
          <w:sz w:val="20"/>
          <w:szCs w:val="20"/>
        </w:rPr>
      </w:pPr>
      <w:r>
        <w:rPr>
          <w:rFonts w:ascii="Arial" w:hAnsi="Arial" w:cs="Arial"/>
          <w:b/>
          <w:sz w:val="20"/>
          <w:szCs w:val="20"/>
        </w:rPr>
        <w:t xml:space="preserve">2. </w:t>
      </w:r>
      <w:r w:rsidR="00376AEB">
        <w:rPr>
          <w:rFonts w:ascii="Arial" w:hAnsi="Arial" w:cs="Arial"/>
          <w:b/>
          <w:sz w:val="20"/>
          <w:szCs w:val="20"/>
        </w:rPr>
        <w:t xml:space="preserve">Prestação de Contas. Transferência voluntária. Despesas com pagamento de refeições e passagens de policiais civis e militares. Inteligência do art. 62 da LRF. Conversão em ressalva. Regularidade com ressalva e recomendação. </w:t>
      </w:r>
    </w:p>
    <w:p w:rsidR="005F35B7" w:rsidRDefault="005F35B7"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Recursos Financeiros oriundos de transferência voluntária celebrada entre o Município e o Conselho Comunitário de Segurança da Cidade foram aplicados no pagamento de refeições e passagens a policiais civis e militares. </w:t>
      </w:r>
    </w:p>
    <w:p w:rsidR="00684303" w:rsidRDefault="00684303"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Contudo, o convênio realizado teve por objeto a manutenção e o funcionamento do Conselho Comunitário de Segurança e não o custeio de despesas do Estado do Paraná, tendo em vista que o custeio da Segurança Pública cabe a este ente da federação.</w:t>
      </w:r>
    </w:p>
    <w:p w:rsidR="00684303" w:rsidRDefault="00684303"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lastRenderedPageBreak/>
        <w:t xml:space="preserve">O julgado entendeu não se ter observado os ditames legais na realização das despesas mencionadas, pois, para esta finalidade, deveria ter sido observado o art. 62 da Lei de Responsabilidade Fiscal. Tal irregularidade formal, asseverou o Relator, por se destinarem ao custeio da segurança pública municipal, pode ser convertida em regularidade com ressalva e recomendação ao gestor para que deixe de realizar tais despesas por meio do convênio com o Conselho Municipal. </w:t>
      </w:r>
    </w:p>
    <w:p w:rsidR="005F35B7" w:rsidRDefault="005F35B7"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Processo nº 140060/13 </w:t>
      </w:r>
      <w:r w:rsidR="00684303">
        <w:rPr>
          <w:rFonts w:ascii="Arial" w:hAnsi="Arial" w:cs="Arial"/>
          <w:sz w:val="20"/>
          <w:szCs w:val="20"/>
        </w:rPr>
        <w:t>-</w:t>
      </w:r>
      <w:r>
        <w:rPr>
          <w:rFonts w:ascii="Arial" w:hAnsi="Arial" w:cs="Arial"/>
          <w:sz w:val="20"/>
          <w:szCs w:val="20"/>
        </w:rPr>
        <w:t xml:space="preserve"> </w:t>
      </w:r>
      <w:hyperlink r:id="rId9" w:history="1">
        <w:r w:rsidRPr="007645AC">
          <w:rPr>
            <w:rStyle w:val="Hyperlink"/>
            <w:rFonts w:ascii="Arial" w:hAnsi="Arial" w:cs="Arial"/>
            <w:sz w:val="20"/>
            <w:szCs w:val="20"/>
          </w:rPr>
          <w:t>Acórdão nº 3357/17</w:t>
        </w:r>
        <w:r w:rsidR="00730795">
          <w:rPr>
            <w:rStyle w:val="Hyperlink"/>
            <w:rFonts w:ascii="Arial" w:hAnsi="Arial" w:cs="Arial"/>
            <w:sz w:val="20"/>
            <w:szCs w:val="20"/>
          </w:rPr>
          <w:t xml:space="preserve"> </w:t>
        </w:r>
        <w:r w:rsidRPr="007645AC">
          <w:rPr>
            <w:rStyle w:val="Hyperlink"/>
            <w:rFonts w:ascii="Arial" w:hAnsi="Arial" w:cs="Arial"/>
            <w:sz w:val="20"/>
            <w:szCs w:val="20"/>
          </w:rPr>
          <w:t>-</w:t>
        </w:r>
        <w:r w:rsidR="00730795">
          <w:rPr>
            <w:rStyle w:val="Hyperlink"/>
            <w:rFonts w:ascii="Arial" w:hAnsi="Arial" w:cs="Arial"/>
            <w:sz w:val="20"/>
            <w:szCs w:val="20"/>
          </w:rPr>
          <w:t xml:space="preserve"> </w:t>
        </w:r>
        <w:r w:rsidR="00712503">
          <w:rPr>
            <w:rStyle w:val="Hyperlink"/>
            <w:rFonts w:ascii="Arial" w:hAnsi="Arial" w:cs="Arial"/>
            <w:sz w:val="20"/>
            <w:szCs w:val="20"/>
          </w:rPr>
          <w:t>Primeira</w:t>
        </w:r>
        <w:r w:rsidRPr="007645AC">
          <w:rPr>
            <w:rStyle w:val="Hyperlink"/>
            <w:rFonts w:ascii="Arial" w:hAnsi="Arial" w:cs="Arial"/>
            <w:sz w:val="20"/>
            <w:szCs w:val="20"/>
          </w:rPr>
          <w:t xml:space="preserve"> Câmara</w:t>
        </w:r>
      </w:hyperlink>
      <w:r>
        <w:rPr>
          <w:rFonts w:ascii="Arial" w:hAnsi="Arial" w:cs="Arial"/>
          <w:sz w:val="20"/>
          <w:szCs w:val="20"/>
        </w:rPr>
        <w:t xml:space="preserve"> </w:t>
      </w:r>
      <w:r w:rsidR="00684303">
        <w:rPr>
          <w:rFonts w:ascii="Arial" w:hAnsi="Arial" w:cs="Arial"/>
          <w:sz w:val="20"/>
          <w:szCs w:val="20"/>
        </w:rPr>
        <w:t>-</w:t>
      </w:r>
      <w:r>
        <w:rPr>
          <w:rFonts w:ascii="Arial" w:hAnsi="Arial" w:cs="Arial"/>
          <w:sz w:val="20"/>
          <w:szCs w:val="20"/>
        </w:rPr>
        <w:t xml:space="preserve"> Rel. Conselheiro Fernando Augusto Mello Guimarães. </w:t>
      </w:r>
    </w:p>
    <w:p w:rsidR="00376AEB" w:rsidRDefault="00376AEB" w:rsidP="00822605">
      <w:pPr>
        <w:spacing w:after="0"/>
        <w:jc w:val="both"/>
        <w:rPr>
          <w:rFonts w:ascii="Arial" w:hAnsi="Arial" w:cs="Arial"/>
          <w:sz w:val="20"/>
          <w:szCs w:val="20"/>
        </w:rPr>
      </w:pPr>
    </w:p>
    <w:p w:rsidR="00376AEB" w:rsidRDefault="005F35B7" w:rsidP="00822605">
      <w:pPr>
        <w:spacing w:after="0"/>
        <w:jc w:val="both"/>
        <w:rPr>
          <w:rFonts w:ascii="Arial" w:hAnsi="Arial" w:cs="Arial"/>
          <w:sz w:val="20"/>
          <w:szCs w:val="20"/>
        </w:rPr>
      </w:pPr>
      <w:r>
        <w:rPr>
          <w:rFonts w:ascii="Arial" w:hAnsi="Arial" w:cs="Arial"/>
          <w:b/>
          <w:sz w:val="20"/>
          <w:szCs w:val="20"/>
        </w:rPr>
        <w:t xml:space="preserve">3. </w:t>
      </w:r>
      <w:r w:rsidR="00376AEB">
        <w:rPr>
          <w:rFonts w:ascii="Arial" w:hAnsi="Arial" w:cs="Arial"/>
          <w:b/>
          <w:sz w:val="20"/>
          <w:szCs w:val="20"/>
        </w:rPr>
        <w:t>Embargos de Declaração que aduz</w:t>
      </w:r>
      <w:r w:rsidR="00FF1139">
        <w:rPr>
          <w:rFonts w:ascii="Arial" w:hAnsi="Arial" w:cs="Arial"/>
          <w:b/>
          <w:sz w:val="20"/>
          <w:szCs w:val="20"/>
        </w:rPr>
        <w:t>em</w:t>
      </w:r>
      <w:r w:rsidR="00376AEB">
        <w:rPr>
          <w:rFonts w:ascii="Arial" w:hAnsi="Arial" w:cs="Arial"/>
          <w:b/>
          <w:sz w:val="20"/>
          <w:szCs w:val="20"/>
        </w:rPr>
        <w:t xml:space="preserve"> não ter havido fundamentação na parte dispositiva do Acórdão.  Parecer Prévio em PCA. Inteligência do art. 489 do NCPC. Pelo não provimento.  </w:t>
      </w:r>
    </w:p>
    <w:p w:rsidR="005F35B7" w:rsidRDefault="005F35B7"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Os Embargos opostos apontaram omissão no dispositivo do Acórdão que emitiu Parecer Prévio em prestação de contas anual do Poder Executivo d</w:t>
      </w:r>
      <w:r w:rsidR="00730795">
        <w:rPr>
          <w:rFonts w:ascii="Arial" w:hAnsi="Arial" w:cs="Arial"/>
          <w:sz w:val="20"/>
          <w:szCs w:val="20"/>
        </w:rPr>
        <w:t xml:space="preserve">o Município </w:t>
      </w:r>
      <w:r>
        <w:rPr>
          <w:rFonts w:ascii="Arial" w:hAnsi="Arial" w:cs="Arial"/>
          <w:sz w:val="20"/>
          <w:szCs w:val="20"/>
        </w:rPr>
        <w:t xml:space="preserve">do exercício financeiro de 2013. Segundo arguiram, o dispositivo do Acórdão não teria apontado os dispositivos legais infringidos para que fosse possível o seu entendimento. </w:t>
      </w:r>
    </w:p>
    <w:p w:rsidR="00684303" w:rsidRDefault="00684303"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“No entanto, conforme pacificamente adotado pela doutrina e pela legislação pátria, as sentenças possuem como elementos essenciais o relatório, a fundamentação e o dispositivo, devendo ser indicadas as razões de fato e de direito da decisão em sua fundamentação e não em seu dispositivo”, alegou, com fulcro no art. 489 do NCPC, o Relator do julgado em seu voto acompanhado por unanimidade. Embargos conhecidos, porém</w:t>
      </w:r>
      <w:r w:rsidR="004E3A4A">
        <w:rPr>
          <w:rFonts w:ascii="Arial" w:hAnsi="Arial" w:cs="Arial"/>
          <w:sz w:val="20"/>
          <w:szCs w:val="20"/>
        </w:rPr>
        <w:t>,</w:t>
      </w:r>
      <w:r>
        <w:rPr>
          <w:rFonts w:ascii="Arial" w:hAnsi="Arial" w:cs="Arial"/>
          <w:sz w:val="20"/>
          <w:szCs w:val="20"/>
        </w:rPr>
        <w:t xml:space="preserve"> com provimento negado. </w:t>
      </w:r>
    </w:p>
    <w:p w:rsidR="00376AEB" w:rsidRDefault="00376AEB"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Processo nº 488303/17 </w:t>
      </w:r>
      <w:r w:rsidR="00684303">
        <w:rPr>
          <w:rFonts w:ascii="Arial" w:hAnsi="Arial" w:cs="Arial"/>
          <w:sz w:val="20"/>
          <w:szCs w:val="20"/>
        </w:rPr>
        <w:t>-</w:t>
      </w:r>
      <w:hyperlink r:id="rId10" w:history="1">
        <w:r w:rsidRPr="00167834">
          <w:rPr>
            <w:rStyle w:val="Hyperlink"/>
            <w:rFonts w:ascii="Arial" w:hAnsi="Arial" w:cs="Arial"/>
            <w:sz w:val="20"/>
            <w:szCs w:val="20"/>
          </w:rPr>
          <w:t xml:space="preserve"> Acórdão nº 3360/17</w:t>
        </w:r>
        <w:r w:rsidR="00730795">
          <w:rPr>
            <w:rStyle w:val="Hyperlink"/>
            <w:rFonts w:ascii="Arial" w:hAnsi="Arial" w:cs="Arial"/>
            <w:sz w:val="20"/>
            <w:szCs w:val="20"/>
          </w:rPr>
          <w:t xml:space="preserve"> </w:t>
        </w:r>
        <w:r w:rsidRPr="00167834">
          <w:rPr>
            <w:rStyle w:val="Hyperlink"/>
            <w:rFonts w:ascii="Arial" w:hAnsi="Arial" w:cs="Arial"/>
            <w:sz w:val="20"/>
            <w:szCs w:val="20"/>
          </w:rPr>
          <w:t>-</w:t>
        </w:r>
        <w:r w:rsidR="00730795">
          <w:rPr>
            <w:rStyle w:val="Hyperlink"/>
            <w:rFonts w:ascii="Arial" w:hAnsi="Arial" w:cs="Arial"/>
            <w:sz w:val="20"/>
            <w:szCs w:val="20"/>
          </w:rPr>
          <w:t xml:space="preserve"> </w:t>
        </w:r>
        <w:r w:rsidR="00432A5E">
          <w:rPr>
            <w:rStyle w:val="Hyperlink"/>
            <w:rFonts w:ascii="Arial" w:hAnsi="Arial" w:cs="Arial"/>
            <w:sz w:val="20"/>
            <w:szCs w:val="20"/>
          </w:rPr>
          <w:t>Primeira</w:t>
        </w:r>
        <w:r w:rsidRPr="00167834">
          <w:rPr>
            <w:rStyle w:val="Hyperlink"/>
            <w:rFonts w:ascii="Arial" w:hAnsi="Arial" w:cs="Arial"/>
            <w:sz w:val="20"/>
            <w:szCs w:val="20"/>
          </w:rPr>
          <w:t xml:space="preserve"> Câmara</w:t>
        </w:r>
      </w:hyperlink>
      <w:r>
        <w:rPr>
          <w:rFonts w:ascii="Arial" w:hAnsi="Arial" w:cs="Arial"/>
          <w:sz w:val="20"/>
          <w:szCs w:val="20"/>
        </w:rPr>
        <w:t xml:space="preserve"> </w:t>
      </w:r>
      <w:r w:rsidR="00684303">
        <w:rPr>
          <w:rFonts w:ascii="Arial" w:hAnsi="Arial" w:cs="Arial"/>
          <w:sz w:val="20"/>
          <w:szCs w:val="20"/>
        </w:rPr>
        <w:t>-</w:t>
      </w:r>
      <w:r>
        <w:rPr>
          <w:rFonts w:ascii="Arial" w:hAnsi="Arial" w:cs="Arial"/>
          <w:sz w:val="20"/>
          <w:szCs w:val="20"/>
        </w:rPr>
        <w:t xml:space="preserve"> Rel. Conselheiro Fernando Augusto Mello Guimarães. </w:t>
      </w:r>
    </w:p>
    <w:p w:rsidR="00376AEB" w:rsidRDefault="00376AEB" w:rsidP="00822605">
      <w:pPr>
        <w:spacing w:after="0"/>
        <w:jc w:val="both"/>
        <w:rPr>
          <w:rFonts w:ascii="Arial" w:hAnsi="Arial" w:cs="Arial"/>
          <w:sz w:val="20"/>
          <w:szCs w:val="20"/>
        </w:rPr>
      </w:pPr>
    </w:p>
    <w:p w:rsidR="00376AEB" w:rsidRPr="0088778C" w:rsidRDefault="005F35B7" w:rsidP="00822605">
      <w:pPr>
        <w:spacing w:after="0"/>
        <w:jc w:val="both"/>
        <w:rPr>
          <w:rFonts w:ascii="Arial" w:hAnsi="Arial" w:cs="Arial"/>
          <w:b/>
          <w:sz w:val="20"/>
          <w:szCs w:val="20"/>
        </w:rPr>
      </w:pPr>
      <w:r>
        <w:rPr>
          <w:rFonts w:ascii="Arial" w:hAnsi="Arial" w:cs="Arial"/>
          <w:b/>
          <w:sz w:val="20"/>
          <w:szCs w:val="20"/>
        </w:rPr>
        <w:t xml:space="preserve">4. </w:t>
      </w:r>
      <w:r w:rsidR="00376AEB" w:rsidRPr="0088778C">
        <w:rPr>
          <w:rFonts w:ascii="Arial" w:hAnsi="Arial" w:cs="Arial"/>
          <w:b/>
          <w:sz w:val="20"/>
          <w:szCs w:val="20"/>
        </w:rPr>
        <w:t xml:space="preserve">Admissão de Pessoal. Contratação temporária. Recurso de Agravo interposto pelo ente municipal. Juízo de retratação pela revogação da medida cautelar de suspensão do certame. Teste seletivo apto a retomar seu trâmite normal. </w:t>
      </w:r>
    </w:p>
    <w:p w:rsidR="00376AEB" w:rsidRDefault="00376AEB"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A aparente inconstitucionalidade das normas que criaram empregos públicos a partir de 2017 (Lei Municipal nº 320/2017), redundou na concessão de cautelar, devidamente apreciada pelo corpo deliberativo desta Casa, que visava determinar ao Município que se abstivesse de admitir servidores/empregados habilitados no certame, até decisão definitiva da Corte. </w:t>
      </w:r>
      <w:r w:rsidR="00684303">
        <w:rPr>
          <w:rFonts w:ascii="Arial" w:hAnsi="Arial" w:cs="Arial"/>
          <w:sz w:val="20"/>
          <w:szCs w:val="20"/>
        </w:rPr>
        <w:t xml:space="preserve"> </w:t>
      </w:r>
      <w:r>
        <w:rPr>
          <w:rFonts w:ascii="Arial" w:hAnsi="Arial" w:cs="Arial"/>
          <w:sz w:val="20"/>
          <w:szCs w:val="20"/>
        </w:rPr>
        <w:t xml:space="preserve">Recurso de Agravo interposto contra o despacho que concedeu a cautelar. </w:t>
      </w:r>
    </w:p>
    <w:p w:rsidR="00684303" w:rsidRDefault="00684303"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Em sede recursal, então, verificou-se que foram corrigidos os vícios que deram ensejo à concessão da medida cautelar mediante a revogação da Lei Municipal nº 320/207, que estabelecia o regime celetista para os contratados por tempo determinado. Além disso, foram criados cargos públicos efetivos para as funções que serão provisoriamente exercidas pelos </w:t>
      </w:r>
      <w:r>
        <w:rPr>
          <w:rFonts w:ascii="Arial" w:hAnsi="Arial" w:cs="Arial"/>
          <w:sz w:val="20"/>
          <w:szCs w:val="20"/>
        </w:rPr>
        <w:lastRenderedPageBreak/>
        <w:t xml:space="preserve">temporários selecionados no certame, os quais passarão a ser regidos pela Lei Complementar Municipal nº 01/2014 (regime jurídico específico para os servidores admitidos por prazo determinado). </w:t>
      </w:r>
    </w:p>
    <w:p w:rsidR="00684303" w:rsidRDefault="00684303"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Foi então ratificado o despacho que revogou a medida cautelar de suspensão do certame, com recomendação ao Município para que inicie os procedimentos necessários à realização de concurso público para substituir os servidores temporários que serão contratados pelo Processo Seletivo Simplificado de Edital nº 001/2017. </w:t>
      </w:r>
    </w:p>
    <w:p w:rsidR="00376AEB" w:rsidRDefault="00376AEB" w:rsidP="00822605">
      <w:pPr>
        <w:spacing w:after="0"/>
        <w:jc w:val="both"/>
        <w:rPr>
          <w:rFonts w:ascii="Arial" w:hAnsi="Arial" w:cs="Arial"/>
          <w:sz w:val="20"/>
          <w:szCs w:val="20"/>
        </w:rPr>
      </w:pPr>
    </w:p>
    <w:p w:rsidR="00376AEB" w:rsidRDefault="00376AEB" w:rsidP="00822605">
      <w:pPr>
        <w:spacing w:after="0"/>
        <w:jc w:val="both"/>
        <w:rPr>
          <w:rFonts w:ascii="Arial" w:hAnsi="Arial" w:cs="Arial"/>
          <w:sz w:val="20"/>
          <w:szCs w:val="20"/>
        </w:rPr>
      </w:pPr>
      <w:r>
        <w:rPr>
          <w:rFonts w:ascii="Arial" w:hAnsi="Arial" w:cs="Arial"/>
          <w:sz w:val="20"/>
          <w:szCs w:val="20"/>
        </w:rPr>
        <w:t xml:space="preserve">Processo nº 267900/17 </w:t>
      </w:r>
      <w:r w:rsidR="00684303">
        <w:rPr>
          <w:rFonts w:ascii="Arial" w:hAnsi="Arial" w:cs="Arial"/>
          <w:sz w:val="20"/>
          <w:szCs w:val="20"/>
        </w:rPr>
        <w:t>-</w:t>
      </w:r>
      <w:r>
        <w:rPr>
          <w:rFonts w:ascii="Arial" w:hAnsi="Arial" w:cs="Arial"/>
          <w:sz w:val="20"/>
          <w:szCs w:val="20"/>
        </w:rPr>
        <w:t xml:space="preserve"> </w:t>
      </w:r>
      <w:hyperlink r:id="rId11" w:history="1">
        <w:r w:rsidRPr="00C63849">
          <w:rPr>
            <w:rStyle w:val="Hyperlink"/>
            <w:rFonts w:ascii="Arial" w:hAnsi="Arial" w:cs="Arial"/>
            <w:sz w:val="20"/>
            <w:szCs w:val="20"/>
          </w:rPr>
          <w:t>Acórdão nº 3372/17-</w:t>
        </w:r>
        <w:r w:rsidR="00754CE6">
          <w:rPr>
            <w:rStyle w:val="Hyperlink"/>
            <w:rFonts w:ascii="Arial" w:hAnsi="Arial" w:cs="Arial"/>
            <w:sz w:val="20"/>
            <w:szCs w:val="20"/>
          </w:rPr>
          <w:t xml:space="preserve"> </w:t>
        </w:r>
        <w:r w:rsidR="00D624F1">
          <w:rPr>
            <w:rStyle w:val="Hyperlink"/>
            <w:rFonts w:ascii="Arial" w:hAnsi="Arial" w:cs="Arial"/>
            <w:sz w:val="20"/>
            <w:szCs w:val="20"/>
          </w:rPr>
          <w:t>Primeira</w:t>
        </w:r>
        <w:r w:rsidRPr="00C63849">
          <w:rPr>
            <w:rStyle w:val="Hyperlink"/>
            <w:rFonts w:ascii="Arial" w:hAnsi="Arial" w:cs="Arial"/>
            <w:sz w:val="20"/>
            <w:szCs w:val="20"/>
          </w:rPr>
          <w:t xml:space="preserve"> Câmara</w:t>
        </w:r>
      </w:hyperlink>
      <w:r>
        <w:rPr>
          <w:rFonts w:ascii="Arial" w:hAnsi="Arial" w:cs="Arial"/>
          <w:sz w:val="20"/>
          <w:szCs w:val="20"/>
        </w:rPr>
        <w:t xml:space="preserve"> </w:t>
      </w:r>
      <w:r w:rsidR="00684303">
        <w:rPr>
          <w:rFonts w:ascii="Arial" w:hAnsi="Arial" w:cs="Arial"/>
          <w:sz w:val="20"/>
          <w:szCs w:val="20"/>
        </w:rPr>
        <w:t>-</w:t>
      </w:r>
      <w:r>
        <w:rPr>
          <w:rFonts w:ascii="Arial" w:hAnsi="Arial" w:cs="Arial"/>
          <w:sz w:val="20"/>
          <w:szCs w:val="20"/>
        </w:rPr>
        <w:t xml:space="preserve"> Rel. Auditor Tiago Alvarez Pedroso.</w:t>
      </w:r>
    </w:p>
    <w:p w:rsidR="00376AEB" w:rsidRDefault="00376AEB" w:rsidP="00822605">
      <w:pPr>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D624F1" w:rsidRPr="000D251F" w:rsidRDefault="00D624F1" w:rsidP="00D624F1">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Pr="000D251F">
        <w:rPr>
          <w:rFonts w:ascii="Arial" w:hAnsi="Arial" w:cs="Arial"/>
          <w:b/>
          <w:sz w:val="20"/>
          <w:szCs w:val="20"/>
        </w:rPr>
        <w:t>Certidão Liberatória. Aplicação de receita na manutenção de ensino. Educação. Responsabilidade fiscal.</w:t>
      </w:r>
    </w:p>
    <w:p w:rsidR="00D624F1" w:rsidRDefault="00D624F1" w:rsidP="00D624F1">
      <w:pPr>
        <w:autoSpaceDE w:val="0"/>
        <w:autoSpaceDN w:val="0"/>
        <w:adjustRightInd w:val="0"/>
        <w:spacing w:after="0"/>
        <w:jc w:val="both"/>
        <w:rPr>
          <w:rFonts w:ascii="Arial" w:hAnsi="Arial" w:cs="Arial"/>
          <w:sz w:val="20"/>
          <w:szCs w:val="20"/>
        </w:rPr>
      </w:pPr>
    </w:p>
    <w:p w:rsidR="00D624F1" w:rsidRDefault="00D624F1" w:rsidP="00D624F1">
      <w:pPr>
        <w:autoSpaceDE w:val="0"/>
        <w:autoSpaceDN w:val="0"/>
        <w:adjustRightInd w:val="0"/>
        <w:spacing w:after="0"/>
        <w:jc w:val="both"/>
        <w:rPr>
          <w:rFonts w:ascii="Arial" w:hAnsi="Arial" w:cs="Arial"/>
          <w:sz w:val="20"/>
          <w:szCs w:val="20"/>
        </w:rPr>
      </w:pPr>
      <w:r w:rsidRPr="000D251F">
        <w:rPr>
          <w:rFonts w:ascii="Arial" w:hAnsi="Arial" w:cs="Arial"/>
          <w:sz w:val="20"/>
          <w:szCs w:val="20"/>
        </w:rPr>
        <w:t>A não aplicação de 25% (vinte e cinco por cento), no mínimo, da receita resultante de impostos, compreendida a proveniente de transferências, na manutenção e desenvolvimento do ensino constitui impedimento à obtenção de certidão liberatória pelo Município, com fundamento no artigo 212, caput, da Constituição Federal, e artigo 25, § 1º, inciso IV, alínea “b”, da Lei Complementar 101/2000.</w:t>
      </w:r>
    </w:p>
    <w:p w:rsidR="00D624F1" w:rsidRDefault="00D624F1" w:rsidP="00D624F1">
      <w:pPr>
        <w:autoSpaceDE w:val="0"/>
        <w:autoSpaceDN w:val="0"/>
        <w:adjustRightInd w:val="0"/>
        <w:spacing w:after="0"/>
        <w:jc w:val="both"/>
        <w:rPr>
          <w:rFonts w:ascii="Arial" w:hAnsi="Arial" w:cs="Arial"/>
          <w:sz w:val="20"/>
          <w:szCs w:val="20"/>
        </w:rPr>
      </w:pPr>
    </w:p>
    <w:p w:rsidR="00D624F1" w:rsidRPr="000D251F" w:rsidRDefault="00D624F1" w:rsidP="00D624F1">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549620/17 - </w:t>
      </w:r>
      <w:hyperlink r:id="rId12" w:history="1">
        <w:r w:rsidRPr="00603E8F">
          <w:rPr>
            <w:rStyle w:val="Hyperlink"/>
            <w:rFonts w:ascii="Arial" w:hAnsi="Arial" w:cs="Arial"/>
            <w:sz w:val="20"/>
            <w:szCs w:val="20"/>
          </w:rPr>
          <w:t>Acórdão n° 3472/17 - Segunda Câmara</w:t>
        </w:r>
      </w:hyperlink>
      <w:r>
        <w:rPr>
          <w:rFonts w:ascii="Arial" w:hAnsi="Arial" w:cs="Arial"/>
          <w:sz w:val="20"/>
          <w:szCs w:val="20"/>
        </w:rPr>
        <w:t xml:space="preserve"> - Rel. Conselheiro </w:t>
      </w:r>
      <w:r w:rsidRPr="000D251F">
        <w:rPr>
          <w:rFonts w:ascii="Arial" w:hAnsi="Arial" w:cs="Arial"/>
          <w:sz w:val="20"/>
          <w:szCs w:val="20"/>
        </w:rPr>
        <w:t xml:space="preserve">Ivan </w:t>
      </w:r>
      <w:proofErr w:type="spellStart"/>
      <w:r w:rsidRPr="000D251F">
        <w:rPr>
          <w:rFonts w:ascii="Arial" w:hAnsi="Arial" w:cs="Arial"/>
          <w:sz w:val="20"/>
          <w:szCs w:val="20"/>
        </w:rPr>
        <w:t>Lelis</w:t>
      </w:r>
      <w:proofErr w:type="spellEnd"/>
      <w:r w:rsidRPr="000D251F">
        <w:rPr>
          <w:rFonts w:ascii="Arial" w:hAnsi="Arial" w:cs="Arial"/>
          <w:sz w:val="20"/>
          <w:szCs w:val="20"/>
        </w:rPr>
        <w:t xml:space="preserve"> Bonilha</w:t>
      </w:r>
      <w:r>
        <w:rPr>
          <w:rFonts w:ascii="Arial" w:hAnsi="Arial" w:cs="Arial"/>
          <w:sz w:val="20"/>
          <w:szCs w:val="20"/>
        </w:rPr>
        <w:t xml:space="preserve">. </w:t>
      </w:r>
      <w:r w:rsidRPr="00AB1CD6">
        <w:rPr>
          <w:rFonts w:ascii="Arial" w:hAnsi="Arial" w:cs="Arial"/>
          <w:sz w:val="20"/>
          <w:szCs w:val="20"/>
        </w:rPr>
        <w:t xml:space="preserve"> </w:t>
      </w:r>
    </w:p>
    <w:p w:rsidR="00D624F1" w:rsidRDefault="00D624F1" w:rsidP="00822605">
      <w:pPr>
        <w:autoSpaceDE w:val="0"/>
        <w:autoSpaceDN w:val="0"/>
        <w:adjustRightInd w:val="0"/>
        <w:spacing w:after="0"/>
        <w:jc w:val="both"/>
        <w:rPr>
          <w:rFonts w:ascii="Arial" w:hAnsi="Arial" w:cs="Arial"/>
          <w:b/>
          <w:sz w:val="20"/>
          <w:szCs w:val="20"/>
        </w:rPr>
      </w:pPr>
    </w:p>
    <w:p w:rsidR="004429A2" w:rsidRPr="00A329AE" w:rsidRDefault="005F35B7" w:rsidP="0082260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A329AE" w:rsidRPr="00A329AE">
        <w:rPr>
          <w:rFonts w:ascii="Arial" w:hAnsi="Arial" w:cs="Arial"/>
          <w:b/>
          <w:sz w:val="20"/>
          <w:szCs w:val="20"/>
        </w:rPr>
        <w:t>Aposentadoria. Possibilidade de contagem de tempo celetista para aquisição de licença especial não gozada, contada em dobro como tempo de contribuição do servidor, desde que relativa a período anterior à Emenda Constitucional nº 20/1998. Legalidade e registro da inativação.</w:t>
      </w:r>
    </w:p>
    <w:p w:rsidR="00A329AE" w:rsidRPr="00A329AE" w:rsidRDefault="00A329AE" w:rsidP="00822605">
      <w:pPr>
        <w:autoSpaceDE w:val="0"/>
        <w:autoSpaceDN w:val="0"/>
        <w:adjustRightInd w:val="0"/>
        <w:spacing w:after="0"/>
        <w:jc w:val="both"/>
        <w:rPr>
          <w:rFonts w:ascii="Arial" w:hAnsi="Arial" w:cs="Arial"/>
          <w:sz w:val="20"/>
          <w:szCs w:val="20"/>
        </w:rPr>
      </w:pPr>
    </w:p>
    <w:p w:rsidR="00A329AE" w:rsidRDefault="00A329AE" w:rsidP="00822605">
      <w:pPr>
        <w:autoSpaceDE w:val="0"/>
        <w:autoSpaceDN w:val="0"/>
        <w:adjustRightInd w:val="0"/>
        <w:spacing w:after="0"/>
        <w:jc w:val="both"/>
        <w:rPr>
          <w:rFonts w:ascii="Arial" w:hAnsi="Arial" w:cs="Arial"/>
          <w:sz w:val="20"/>
          <w:szCs w:val="20"/>
        </w:rPr>
      </w:pPr>
      <w:r w:rsidRPr="00A329AE">
        <w:rPr>
          <w:rFonts w:ascii="Arial" w:hAnsi="Arial" w:cs="Arial"/>
          <w:sz w:val="20"/>
          <w:szCs w:val="20"/>
        </w:rPr>
        <w:t xml:space="preserve">A jurisprudência do Tribunal de Justiça do Estado do Paraná e a do Superior Tribunal de Justiça são igualmente favoráveis à possibilidade de contagem em dobro de licença prêmio não usufruída referente ao tempo celetista, desde que atendidos os requisitos previstos em lei, e que abranjam momento anterior à edição da </w:t>
      </w:r>
      <w:proofErr w:type="gramStart"/>
      <w:r w:rsidRPr="00A329AE">
        <w:rPr>
          <w:rFonts w:ascii="Arial" w:hAnsi="Arial" w:cs="Arial"/>
          <w:sz w:val="20"/>
          <w:szCs w:val="20"/>
        </w:rPr>
        <w:t>Emenda  Constitucional</w:t>
      </w:r>
      <w:proofErr w:type="gramEnd"/>
      <w:r w:rsidRPr="00A329AE">
        <w:rPr>
          <w:rFonts w:ascii="Arial" w:hAnsi="Arial" w:cs="Arial"/>
          <w:sz w:val="20"/>
          <w:szCs w:val="20"/>
        </w:rPr>
        <w:t xml:space="preserve"> n.º 20/98.</w:t>
      </w:r>
    </w:p>
    <w:p w:rsidR="00A329AE" w:rsidRPr="00A329AE" w:rsidRDefault="00A329AE" w:rsidP="00822605">
      <w:pPr>
        <w:autoSpaceDE w:val="0"/>
        <w:autoSpaceDN w:val="0"/>
        <w:adjustRightInd w:val="0"/>
        <w:spacing w:after="0"/>
        <w:jc w:val="both"/>
        <w:rPr>
          <w:rFonts w:ascii="Arial" w:hAnsi="Arial" w:cs="Arial"/>
          <w:sz w:val="20"/>
          <w:szCs w:val="20"/>
        </w:rPr>
      </w:pPr>
    </w:p>
    <w:p w:rsidR="00A329AE" w:rsidRPr="00A329AE" w:rsidRDefault="00A329AE" w:rsidP="00822605">
      <w:pPr>
        <w:autoSpaceDE w:val="0"/>
        <w:autoSpaceDN w:val="0"/>
        <w:adjustRightInd w:val="0"/>
        <w:spacing w:after="0"/>
        <w:jc w:val="both"/>
        <w:rPr>
          <w:rFonts w:ascii="Arial" w:hAnsi="Arial" w:cs="Arial"/>
          <w:sz w:val="20"/>
          <w:szCs w:val="20"/>
        </w:rPr>
      </w:pPr>
      <w:r w:rsidRPr="00A329AE">
        <w:rPr>
          <w:rFonts w:ascii="Arial" w:hAnsi="Arial" w:cs="Arial"/>
          <w:sz w:val="20"/>
          <w:szCs w:val="20"/>
        </w:rPr>
        <w:t>Assim, entende-se regular o tempo ficto, referente a</w:t>
      </w:r>
      <w:r w:rsidR="00F91800">
        <w:rPr>
          <w:rFonts w:ascii="Arial" w:hAnsi="Arial" w:cs="Arial"/>
          <w:sz w:val="20"/>
          <w:szCs w:val="20"/>
        </w:rPr>
        <w:t>o</w:t>
      </w:r>
      <w:r w:rsidRPr="00A329AE">
        <w:rPr>
          <w:rFonts w:ascii="Arial" w:hAnsi="Arial" w:cs="Arial"/>
          <w:sz w:val="20"/>
          <w:szCs w:val="20"/>
        </w:rPr>
        <w:t xml:space="preserve"> período anterior à Emenda</w:t>
      </w:r>
      <w:r>
        <w:rPr>
          <w:rFonts w:ascii="Arial" w:hAnsi="Arial" w:cs="Arial"/>
          <w:sz w:val="20"/>
          <w:szCs w:val="20"/>
        </w:rPr>
        <w:t xml:space="preserve"> </w:t>
      </w:r>
      <w:r w:rsidRPr="00A329AE">
        <w:rPr>
          <w:rFonts w:ascii="Arial" w:hAnsi="Arial" w:cs="Arial"/>
          <w:sz w:val="20"/>
          <w:szCs w:val="20"/>
        </w:rPr>
        <w:t>Constitucional n.º 20/98, no total de 548 (quinhentos e quarenta e oito) dias,</w:t>
      </w:r>
      <w:r>
        <w:rPr>
          <w:rFonts w:ascii="Arial" w:hAnsi="Arial" w:cs="Arial"/>
          <w:sz w:val="20"/>
          <w:szCs w:val="20"/>
        </w:rPr>
        <w:t xml:space="preserve"> </w:t>
      </w:r>
      <w:r w:rsidRPr="00A329AE">
        <w:rPr>
          <w:rFonts w:ascii="Arial" w:hAnsi="Arial" w:cs="Arial"/>
          <w:sz w:val="20"/>
          <w:szCs w:val="20"/>
        </w:rPr>
        <w:t>averbados ao acervo de tempo de contribuição da servidora, relativo a licença</w:t>
      </w:r>
      <w:r>
        <w:rPr>
          <w:rFonts w:ascii="Arial" w:hAnsi="Arial" w:cs="Arial"/>
          <w:sz w:val="20"/>
          <w:szCs w:val="20"/>
        </w:rPr>
        <w:t xml:space="preserve"> </w:t>
      </w:r>
      <w:r w:rsidRPr="00A329AE">
        <w:rPr>
          <w:rFonts w:ascii="Arial" w:hAnsi="Arial" w:cs="Arial"/>
          <w:sz w:val="20"/>
          <w:szCs w:val="20"/>
        </w:rPr>
        <w:t>prêmio não usufruída, no período aquisitivo de 1989 a 1998, com fundamento no</w:t>
      </w:r>
      <w:r>
        <w:rPr>
          <w:rFonts w:ascii="Arial" w:hAnsi="Arial" w:cs="Arial"/>
          <w:sz w:val="20"/>
          <w:szCs w:val="20"/>
        </w:rPr>
        <w:t xml:space="preserve"> </w:t>
      </w:r>
      <w:r w:rsidRPr="00A329AE">
        <w:rPr>
          <w:rFonts w:ascii="Arial" w:hAnsi="Arial" w:cs="Arial"/>
          <w:sz w:val="20"/>
          <w:szCs w:val="20"/>
        </w:rPr>
        <w:t>artigo 53 da Lei Orgânica Municipal</w:t>
      </w:r>
      <w:r>
        <w:rPr>
          <w:rFonts w:ascii="Arial" w:hAnsi="Arial" w:cs="Arial"/>
          <w:sz w:val="20"/>
          <w:szCs w:val="20"/>
        </w:rPr>
        <w:t>.</w:t>
      </w:r>
    </w:p>
    <w:p w:rsidR="00A329AE" w:rsidRDefault="00A329AE" w:rsidP="00822605">
      <w:pPr>
        <w:autoSpaceDE w:val="0"/>
        <w:autoSpaceDN w:val="0"/>
        <w:adjustRightInd w:val="0"/>
        <w:spacing w:after="0"/>
        <w:jc w:val="both"/>
        <w:rPr>
          <w:rFonts w:ascii="Arial" w:hAnsi="Arial" w:cs="Arial"/>
          <w:sz w:val="20"/>
          <w:szCs w:val="20"/>
        </w:rPr>
      </w:pPr>
    </w:p>
    <w:p w:rsidR="00A329AE" w:rsidRDefault="00A329AE" w:rsidP="00822605">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Processo n° 782956/15 - </w:t>
      </w:r>
      <w:hyperlink r:id="rId13" w:history="1">
        <w:r w:rsidRPr="00A329AE">
          <w:rPr>
            <w:rStyle w:val="Hyperlink"/>
            <w:rFonts w:ascii="Arial" w:hAnsi="Arial" w:cs="Arial"/>
            <w:sz w:val="20"/>
            <w:szCs w:val="20"/>
          </w:rPr>
          <w:t>Acórdão n° 3389/17 - Segunda Câmara</w:t>
        </w:r>
      </w:hyperlink>
      <w:r>
        <w:rPr>
          <w:rFonts w:ascii="Arial" w:hAnsi="Arial" w:cs="Arial"/>
          <w:sz w:val="20"/>
          <w:szCs w:val="20"/>
        </w:rPr>
        <w:t xml:space="preserve"> - Rel. Auditor Thiago Barbosa Cordeiro. </w:t>
      </w:r>
    </w:p>
    <w:p w:rsidR="00600118" w:rsidRDefault="00600118" w:rsidP="00822605">
      <w:pPr>
        <w:autoSpaceDE w:val="0"/>
        <w:autoSpaceDN w:val="0"/>
        <w:adjustRightInd w:val="0"/>
        <w:spacing w:after="0"/>
        <w:jc w:val="both"/>
        <w:rPr>
          <w:rFonts w:ascii="Arial" w:hAnsi="Arial" w:cs="Arial"/>
          <w:sz w:val="20"/>
          <w:szCs w:val="20"/>
        </w:rPr>
      </w:pPr>
    </w:p>
    <w:p w:rsidR="00D720D0" w:rsidRPr="00C55A50" w:rsidRDefault="005F35B7" w:rsidP="0082260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D720D0" w:rsidRPr="00C55A50">
        <w:rPr>
          <w:rFonts w:ascii="Arial" w:hAnsi="Arial" w:cs="Arial"/>
          <w:b/>
          <w:sz w:val="20"/>
          <w:szCs w:val="20"/>
        </w:rPr>
        <w:t>Reserva remunerada a pedido, com base no art. 157, §4º, III, da Lei nº 1.923/54 (Código da Polícia Militar do Estado). Afastada a aplicação da Lei nº 7.634/82, que permite o aproveitamento do tempo de contribuição de INSS, sobre</w:t>
      </w:r>
      <w:r w:rsidR="00C55A50" w:rsidRPr="00C55A50">
        <w:rPr>
          <w:rFonts w:ascii="Arial" w:hAnsi="Arial" w:cs="Arial"/>
          <w:b/>
          <w:sz w:val="20"/>
          <w:szCs w:val="20"/>
        </w:rPr>
        <w:t xml:space="preserve"> </w:t>
      </w:r>
      <w:r w:rsidR="00D720D0" w:rsidRPr="00C55A50">
        <w:rPr>
          <w:rFonts w:ascii="Arial" w:hAnsi="Arial" w:cs="Arial"/>
          <w:b/>
          <w:sz w:val="20"/>
          <w:szCs w:val="20"/>
        </w:rPr>
        <w:t>serviços prestados à iniciativa privada, dada sua</w:t>
      </w:r>
      <w:r w:rsidR="00C55A50" w:rsidRPr="00C55A50">
        <w:rPr>
          <w:rFonts w:ascii="Arial" w:hAnsi="Arial" w:cs="Arial"/>
          <w:b/>
          <w:sz w:val="20"/>
          <w:szCs w:val="20"/>
        </w:rPr>
        <w:t xml:space="preserve"> </w:t>
      </w:r>
      <w:r w:rsidR="00D720D0" w:rsidRPr="00C55A50">
        <w:rPr>
          <w:rFonts w:ascii="Arial" w:hAnsi="Arial" w:cs="Arial"/>
          <w:b/>
          <w:sz w:val="20"/>
          <w:szCs w:val="20"/>
        </w:rPr>
        <w:t>incompatibilidade com a lei específica, nos termos do art. 42,</w:t>
      </w:r>
      <w:r w:rsidR="00C55A50" w:rsidRPr="00C55A50">
        <w:rPr>
          <w:rFonts w:ascii="Arial" w:hAnsi="Arial" w:cs="Arial"/>
          <w:b/>
          <w:sz w:val="20"/>
          <w:szCs w:val="20"/>
        </w:rPr>
        <w:t xml:space="preserve"> </w:t>
      </w:r>
      <w:r w:rsidR="00D720D0" w:rsidRPr="00C55A50">
        <w:rPr>
          <w:rFonts w:ascii="Arial" w:hAnsi="Arial" w:cs="Arial"/>
          <w:b/>
          <w:sz w:val="20"/>
          <w:szCs w:val="20"/>
        </w:rPr>
        <w:t>§1º, combinado com o art. 142, §3º, X, ambos da Constituição</w:t>
      </w:r>
      <w:r w:rsidR="00C55A50" w:rsidRPr="00C55A50">
        <w:rPr>
          <w:rFonts w:ascii="Arial" w:hAnsi="Arial" w:cs="Arial"/>
          <w:b/>
          <w:sz w:val="20"/>
          <w:szCs w:val="20"/>
        </w:rPr>
        <w:t xml:space="preserve"> </w:t>
      </w:r>
      <w:r w:rsidR="00D720D0" w:rsidRPr="00C55A50">
        <w:rPr>
          <w:rFonts w:ascii="Arial" w:hAnsi="Arial" w:cs="Arial"/>
          <w:b/>
          <w:sz w:val="20"/>
          <w:szCs w:val="20"/>
        </w:rPr>
        <w:t>Federal.</w:t>
      </w:r>
    </w:p>
    <w:p w:rsidR="004429A2" w:rsidRPr="0022060B" w:rsidRDefault="004429A2" w:rsidP="00822605">
      <w:pPr>
        <w:autoSpaceDE w:val="0"/>
        <w:autoSpaceDN w:val="0"/>
        <w:adjustRightInd w:val="0"/>
        <w:spacing w:after="0"/>
        <w:rPr>
          <w:rFonts w:ascii="Arial" w:hAnsi="Arial" w:cs="Arial"/>
          <w:sz w:val="20"/>
          <w:szCs w:val="20"/>
        </w:rPr>
      </w:pPr>
    </w:p>
    <w:p w:rsidR="000948DC" w:rsidRDefault="00C55A50" w:rsidP="00822605">
      <w:pPr>
        <w:autoSpaceDE w:val="0"/>
        <w:autoSpaceDN w:val="0"/>
        <w:adjustRightInd w:val="0"/>
        <w:spacing w:after="0"/>
        <w:jc w:val="both"/>
        <w:rPr>
          <w:rFonts w:ascii="Arial" w:hAnsi="Arial" w:cs="Arial"/>
          <w:sz w:val="20"/>
          <w:szCs w:val="20"/>
        </w:rPr>
      </w:pPr>
      <w:r w:rsidRPr="00C55A50">
        <w:rPr>
          <w:rFonts w:ascii="Arial" w:hAnsi="Arial" w:cs="Arial"/>
          <w:sz w:val="20"/>
          <w:szCs w:val="20"/>
        </w:rPr>
        <w:t>O</w:t>
      </w:r>
      <w:r>
        <w:rPr>
          <w:rFonts w:ascii="Arial" w:hAnsi="Arial" w:cs="Arial"/>
          <w:sz w:val="20"/>
          <w:szCs w:val="20"/>
        </w:rPr>
        <w:t xml:space="preserve"> </w:t>
      </w:r>
      <w:r w:rsidRPr="00C55A50">
        <w:rPr>
          <w:rFonts w:ascii="Arial" w:hAnsi="Arial" w:cs="Arial"/>
          <w:sz w:val="20"/>
          <w:szCs w:val="20"/>
        </w:rPr>
        <w:t xml:space="preserve">ato de concessão do benefício previdenciário em exame, concedido ao militar por tempo de serviço, </w:t>
      </w:r>
      <w:r w:rsidRPr="00C55A50">
        <w:rPr>
          <w:rFonts w:ascii="Arial" w:hAnsi="Arial" w:cs="Arial"/>
          <w:bCs/>
          <w:sz w:val="20"/>
          <w:szCs w:val="20"/>
        </w:rPr>
        <w:t>deve necessariamente observar a contagem de tempo de serviço prestado à iniciativa privada</w:t>
      </w:r>
      <w:r w:rsidRPr="00C55A50">
        <w:rPr>
          <w:rFonts w:ascii="Arial" w:hAnsi="Arial" w:cs="Arial"/>
          <w:sz w:val="20"/>
          <w:szCs w:val="20"/>
        </w:rPr>
        <w:t xml:space="preserve">, com recolhimentos ao regime geral de previdência social. </w:t>
      </w:r>
    </w:p>
    <w:p w:rsidR="00F163A1" w:rsidRDefault="00F163A1" w:rsidP="00822605">
      <w:pPr>
        <w:autoSpaceDE w:val="0"/>
        <w:autoSpaceDN w:val="0"/>
        <w:adjustRightInd w:val="0"/>
        <w:spacing w:after="0"/>
        <w:jc w:val="both"/>
        <w:rPr>
          <w:rFonts w:ascii="Arial" w:hAnsi="Arial" w:cs="Arial"/>
          <w:sz w:val="20"/>
          <w:szCs w:val="20"/>
        </w:rPr>
      </w:pPr>
    </w:p>
    <w:p w:rsidR="00FB3361" w:rsidRDefault="00C55A50" w:rsidP="00822605">
      <w:pPr>
        <w:autoSpaceDE w:val="0"/>
        <w:autoSpaceDN w:val="0"/>
        <w:adjustRightInd w:val="0"/>
        <w:spacing w:after="0"/>
        <w:jc w:val="both"/>
        <w:rPr>
          <w:rFonts w:ascii="Arial" w:hAnsi="Arial" w:cs="Arial"/>
          <w:sz w:val="20"/>
          <w:szCs w:val="20"/>
        </w:rPr>
      </w:pPr>
      <w:r w:rsidRPr="00C55A50">
        <w:rPr>
          <w:rFonts w:ascii="Arial" w:hAnsi="Arial" w:cs="Arial"/>
          <w:sz w:val="20"/>
          <w:szCs w:val="20"/>
        </w:rPr>
        <w:t>Não é demais destacar que a concessão de benefício em regime</w:t>
      </w:r>
      <w:r>
        <w:rPr>
          <w:rFonts w:ascii="Arial" w:hAnsi="Arial" w:cs="Arial"/>
          <w:sz w:val="20"/>
          <w:szCs w:val="20"/>
        </w:rPr>
        <w:t xml:space="preserve"> </w:t>
      </w:r>
      <w:r w:rsidRPr="00C55A50">
        <w:rPr>
          <w:rFonts w:ascii="Arial" w:hAnsi="Arial" w:cs="Arial"/>
          <w:sz w:val="20"/>
          <w:szCs w:val="20"/>
        </w:rPr>
        <w:t>de previdência pública, com o cômputo de tempo de serviço prestado com</w:t>
      </w:r>
      <w:r>
        <w:rPr>
          <w:rFonts w:ascii="Arial" w:hAnsi="Arial" w:cs="Arial"/>
          <w:sz w:val="20"/>
          <w:szCs w:val="20"/>
        </w:rPr>
        <w:t xml:space="preserve"> </w:t>
      </w:r>
      <w:r w:rsidRPr="00C55A50">
        <w:rPr>
          <w:rFonts w:ascii="Arial" w:hAnsi="Arial" w:cs="Arial"/>
          <w:sz w:val="20"/>
          <w:szCs w:val="20"/>
        </w:rPr>
        <w:t>contribuições ao Regime Geral de Previdência Social, encontra respaldo na</w:t>
      </w:r>
      <w:r>
        <w:rPr>
          <w:rFonts w:ascii="Arial" w:hAnsi="Arial" w:cs="Arial"/>
          <w:sz w:val="20"/>
          <w:szCs w:val="20"/>
        </w:rPr>
        <w:t xml:space="preserve"> </w:t>
      </w:r>
      <w:r w:rsidRPr="00C55A50">
        <w:rPr>
          <w:rFonts w:ascii="Arial" w:hAnsi="Arial" w:cs="Arial"/>
          <w:sz w:val="20"/>
          <w:szCs w:val="20"/>
        </w:rPr>
        <w:t>Constituição Federal, na Constituição Estadual e na legislação infraconstitucional</w:t>
      </w:r>
      <w:r>
        <w:rPr>
          <w:rFonts w:ascii="Arial" w:hAnsi="Arial" w:cs="Arial"/>
          <w:sz w:val="20"/>
          <w:szCs w:val="20"/>
        </w:rPr>
        <w:t xml:space="preserve"> </w:t>
      </w:r>
      <w:r w:rsidRPr="00C55A50">
        <w:rPr>
          <w:rFonts w:ascii="Arial" w:hAnsi="Arial" w:cs="Arial"/>
          <w:sz w:val="20"/>
          <w:szCs w:val="20"/>
        </w:rPr>
        <w:t>vigente.</w:t>
      </w:r>
    </w:p>
    <w:p w:rsidR="00684303" w:rsidRPr="00C55A50" w:rsidRDefault="00684303" w:rsidP="00822605">
      <w:pPr>
        <w:autoSpaceDE w:val="0"/>
        <w:autoSpaceDN w:val="0"/>
        <w:adjustRightInd w:val="0"/>
        <w:spacing w:after="0"/>
        <w:jc w:val="both"/>
        <w:rPr>
          <w:rFonts w:ascii="Arial" w:hAnsi="Arial" w:cs="Arial"/>
          <w:sz w:val="20"/>
          <w:szCs w:val="20"/>
        </w:rPr>
      </w:pPr>
    </w:p>
    <w:p w:rsidR="000948DC" w:rsidRDefault="000948DC" w:rsidP="00822605">
      <w:pPr>
        <w:autoSpaceDE w:val="0"/>
        <w:autoSpaceDN w:val="0"/>
        <w:adjustRightInd w:val="0"/>
        <w:spacing w:after="0"/>
        <w:jc w:val="both"/>
        <w:rPr>
          <w:rFonts w:ascii="Arial" w:hAnsi="Arial" w:cs="Arial"/>
          <w:bCs/>
          <w:sz w:val="20"/>
          <w:szCs w:val="20"/>
        </w:rPr>
      </w:pPr>
      <w:r w:rsidRPr="000948DC">
        <w:rPr>
          <w:rFonts w:ascii="Arial" w:hAnsi="Arial" w:cs="Arial"/>
          <w:sz w:val="20"/>
          <w:szCs w:val="20"/>
        </w:rPr>
        <w:t>Por sua vez, o art. 42, da Constituição Federal, trata</w:t>
      </w:r>
      <w:r>
        <w:rPr>
          <w:rFonts w:ascii="Arial" w:hAnsi="Arial" w:cs="Arial"/>
          <w:sz w:val="20"/>
          <w:szCs w:val="20"/>
        </w:rPr>
        <w:t xml:space="preserve"> </w:t>
      </w:r>
      <w:r w:rsidRPr="000948DC">
        <w:rPr>
          <w:rFonts w:ascii="Arial" w:hAnsi="Arial" w:cs="Arial"/>
          <w:sz w:val="20"/>
          <w:szCs w:val="20"/>
        </w:rPr>
        <w:t>especificamente “</w:t>
      </w:r>
      <w:r w:rsidRPr="000948DC">
        <w:rPr>
          <w:rFonts w:ascii="Arial" w:hAnsi="Arial" w:cs="Arial"/>
          <w:i/>
          <w:iCs/>
          <w:sz w:val="20"/>
          <w:szCs w:val="20"/>
        </w:rPr>
        <w:t>Dos Militares dos Estados, do Distrito Federal e dos Territórios</w:t>
      </w:r>
      <w:r w:rsidRPr="000948DC">
        <w:rPr>
          <w:rFonts w:ascii="Arial" w:hAnsi="Arial" w:cs="Arial"/>
          <w:sz w:val="20"/>
          <w:szCs w:val="20"/>
        </w:rPr>
        <w:t>”,</w:t>
      </w:r>
      <w:r>
        <w:rPr>
          <w:rFonts w:ascii="Arial" w:hAnsi="Arial" w:cs="Arial"/>
          <w:sz w:val="20"/>
          <w:szCs w:val="20"/>
        </w:rPr>
        <w:t xml:space="preserve"> </w:t>
      </w:r>
      <w:r w:rsidRPr="000948DC">
        <w:rPr>
          <w:rFonts w:ascii="Arial" w:hAnsi="Arial" w:cs="Arial"/>
          <w:sz w:val="20"/>
          <w:szCs w:val="20"/>
        </w:rPr>
        <w:t>determinando a aplicação desse dispositivo também aos servidores militares</w:t>
      </w:r>
      <w:r w:rsidRPr="000948DC">
        <w:rPr>
          <w:rFonts w:ascii="Arial" w:hAnsi="Arial" w:cs="Arial"/>
          <w:i/>
          <w:iCs/>
          <w:sz w:val="20"/>
          <w:szCs w:val="20"/>
        </w:rPr>
        <w:t xml:space="preserve">. </w:t>
      </w:r>
      <w:r w:rsidRPr="000948DC">
        <w:rPr>
          <w:rFonts w:ascii="Arial" w:hAnsi="Arial" w:cs="Arial"/>
          <w:sz w:val="20"/>
          <w:szCs w:val="20"/>
        </w:rPr>
        <w:t>E, ao</w:t>
      </w:r>
      <w:r>
        <w:rPr>
          <w:rFonts w:ascii="Arial" w:hAnsi="Arial" w:cs="Arial"/>
          <w:sz w:val="20"/>
          <w:szCs w:val="20"/>
        </w:rPr>
        <w:t xml:space="preserve"> </w:t>
      </w:r>
      <w:r w:rsidRPr="000948DC">
        <w:rPr>
          <w:rFonts w:ascii="Arial" w:hAnsi="Arial" w:cs="Arial"/>
          <w:sz w:val="20"/>
          <w:szCs w:val="20"/>
        </w:rPr>
        <w:t xml:space="preserve">fazer referência à aplicabilidade do cômputo do </w:t>
      </w:r>
      <w:r w:rsidRPr="000948DC">
        <w:rPr>
          <w:rFonts w:ascii="Arial" w:hAnsi="Arial" w:cs="Arial"/>
          <w:i/>
          <w:iCs/>
          <w:sz w:val="20"/>
          <w:szCs w:val="20"/>
        </w:rPr>
        <w:t>tempo de contribuição federal,</w:t>
      </w:r>
      <w:r>
        <w:rPr>
          <w:rFonts w:ascii="Arial" w:hAnsi="Arial" w:cs="Arial"/>
          <w:i/>
          <w:iCs/>
          <w:sz w:val="20"/>
          <w:szCs w:val="20"/>
        </w:rPr>
        <w:t xml:space="preserve"> </w:t>
      </w:r>
      <w:r w:rsidRPr="000948DC">
        <w:rPr>
          <w:rFonts w:ascii="Arial" w:hAnsi="Arial" w:cs="Arial"/>
          <w:i/>
          <w:iCs/>
          <w:sz w:val="20"/>
          <w:szCs w:val="20"/>
        </w:rPr>
        <w:t>estadual ou municipal</w:t>
      </w:r>
      <w:r w:rsidRPr="000948DC">
        <w:rPr>
          <w:rFonts w:ascii="Arial" w:hAnsi="Arial" w:cs="Arial"/>
          <w:sz w:val="20"/>
          <w:szCs w:val="20"/>
        </w:rPr>
        <w:t>, o referido dispositivo constitucional determinou, de forma</w:t>
      </w:r>
      <w:r>
        <w:rPr>
          <w:rFonts w:ascii="Arial" w:hAnsi="Arial" w:cs="Arial"/>
          <w:sz w:val="20"/>
          <w:szCs w:val="20"/>
        </w:rPr>
        <w:t xml:space="preserve"> </w:t>
      </w:r>
      <w:r w:rsidRPr="000948DC">
        <w:rPr>
          <w:rFonts w:ascii="Arial" w:hAnsi="Arial" w:cs="Arial"/>
          <w:sz w:val="20"/>
          <w:szCs w:val="20"/>
        </w:rPr>
        <w:t>expressa: “</w:t>
      </w:r>
      <w:r w:rsidRPr="000948DC">
        <w:rPr>
          <w:rFonts w:ascii="Arial" w:hAnsi="Arial" w:cs="Arial"/>
          <w:i/>
          <w:iCs/>
          <w:sz w:val="20"/>
          <w:szCs w:val="20"/>
        </w:rPr>
        <w:t xml:space="preserve">Aplicam-se aos militares dos Estados, (...) </w:t>
      </w:r>
      <w:r w:rsidRPr="000948DC">
        <w:rPr>
          <w:rFonts w:ascii="Arial" w:hAnsi="Arial" w:cs="Arial"/>
          <w:bCs/>
          <w:i/>
          <w:iCs/>
          <w:sz w:val="20"/>
          <w:szCs w:val="20"/>
        </w:rPr>
        <w:t>além do que vier a ser fixado</w:t>
      </w:r>
      <w:r>
        <w:rPr>
          <w:rFonts w:ascii="Arial" w:hAnsi="Arial" w:cs="Arial"/>
          <w:bCs/>
          <w:i/>
          <w:iCs/>
          <w:sz w:val="20"/>
          <w:szCs w:val="20"/>
        </w:rPr>
        <w:t xml:space="preserve"> </w:t>
      </w:r>
      <w:r w:rsidRPr="000948DC">
        <w:rPr>
          <w:rFonts w:ascii="Arial" w:hAnsi="Arial" w:cs="Arial"/>
          <w:bCs/>
          <w:i/>
          <w:iCs/>
          <w:sz w:val="20"/>
          <w:szCs w:val="20"/>
        </w:rPr>
        <w:t>em lei</w:t>
      </w:r>
      <w:r w:rsidRPr="000948DC">
        <w:rPr>
          <w:rFonts w:ascii="Arial" w:hAnsi="Arial" w:cs="Arial"/>
          <w:i/>
          <w:iCs/>
          <w:sz w:val="20"/>
          <w:szCs w:val="20"/>
        </w:rPr>
        <w:t>, as disposições do art. 14. § 8º, do art. 40, §9º, etc.</w:t>
      </w:r>
      <w:r>
        <w:rPr>
          <w:rFonts w:ascii="Arial" w:hAnsi="Arial" w:cs="Arial"/>
          <w:i/>
          <w:iCs/>
          <w:sz w:val="20"/>
          <w:szCs w:val="20"/>
        </w:rPr>
        <w:t>”</w:t>
      </w:r>
      <w:r w:rsidRPr="000948DC">
        <w:rPr>
          <w:rFonts w:ascii="Arial" w:hAnsi="Arial" w:cs="Arial"/>
          <w:sz w:val="20"/>
          <w:szCs w:val="20"/>
        </w:rPr>
        <w:t>.</w:t>
      </w:r>
      <w:r>
        <w:rPr>
          <w:rFonts w:ascii="Arial" w:hAnsi="Arial" w:cs="Arial"/>
          <w:sz w:val="20"/>
          <w:szCs w:val="20"/>
        </w:rPr>
        <w:t xml:space="preserve"> </w:t>
      </w:r>
      <w:r w:rsidRPr="000948DC">
        <w:rPr>
          <w:rFonts w:ascii="Arial" w:hAnsi="Arial" w:cs="Arial"/>
          <w:sz w:val="20"/>
          <w:szCs w:val="20"/>
        </w:rPr>
        <w:t xml:space="preserve">Portanto, no Estado do Paraná, </w:t>
      </w:r>
      <w:r w:rsidRPr="000948DC">
        <w:rPr>
          <w:rFonts w:ascii="Arial" w:hAnsi="Arial" w:cs="Arial"/>
          <w:bCs/>
          <w:sz w:val="20"/>
          <w:szCs w:val="20"/>
        </w:rPr>
        <w:t>estando vigente a lei estadual</w:t>
      </w:r>
      <w:r>
        <w:rPr>
          <w:rFonts w:ascii="Arial" w:hAnsi="Arial" w:cs="Arial"/>
          <w:bCs/>
          <w:sz w:val="20"/>
          <w:szCs w:val="20"/>
        </w:rPr>
        <w:t xml:space="preserve"> </w:t>
      </w:r>
      <w:r w:rsidRPr="000948DC">
        <w:rPr>
          <w:rFonts w:ascii="Arial" w:hAnsi="Arial" w:cs="Arial"/>
          <w:bCs/>
          <w:sz w:val="20"/>
          <w:szCs w:val="20"/>
        </w:rPr>
        <w:t>nº 7634/82, nos termos do art. 42 da Constituição Federal, foi ela recepcionada</w:t>
      </w:r>
      <w:r>
        <w:rPr>
          <w:rFonts w:ascii="Arial" w:hAnsi="Arial" w:cs="Arial"/>
          <w:bCs/>
          <w:sz w:val="20"/>
          <w:szCs w:val="20"/>
        </w:rPr>
        <w:t xml:space="preserve"> </w:t>
      </w:r>
      <w:r w:rsidRPr="000948DC">
        <w:rPr>
          <w:rFonts w:ascii="Arial" w:hAnsi="Arial" w:cs="Arial"/>
          <w:bCs/>
          <w:sz w:val="20"/>
          <w:szCs w:val="20"/>
        </w:rPr>
        <w:t>pela Constituição Federal, incorporando-se ao regime jurídico próprio dos</w:t>
      </w:r>
      <w:r>
        <w:rPr>
          <w:rFonts w:ascii="Arial" w:hAnsi="Arial" w:cs="Arial"/>
          <w:bCs/>
          <w:sz w:val="20"/>
          <w:szCs w:val="20"/>
        </w:rPr>
        <w:t xml:space="preserve"> </w:t>
      </w:r>
      <w:r w:rsidRPr="000948DC">
        <w:rPr>
          <w:rFonts w:ascii="Arial" w:hAnsi="Arial" w:cs="Arial"/>
          <w:bCs/>
          <w:sz w:val="20"/>
          <w:szCs w:val="20"/>
        </w:rPr>
        <w:t>servidores militares do estado.</w:t>
      </w:r>
    </w:p>
    <w:p w:rsidR="00684303" w:rsidRDefault="00684303" w:rsidP="00822605">
      <w:pPr>
        <w:autoSpaceDE w:val="0"/>
        <w:autoSpaceDN w:val="0"/>
        <w:adjustRightInd w:val="0"/>
        <w:spacing w:after="0"/>
        <w:jc w:val="both"/>
        <w:rPr>
          <w:rFonts w:ascii="Arial" w:hAnsi="Arial" w:cs="Arial"/>
          <w:bCs/>
          <w:sz w:val="20"/>
          <w:szCs w:val="20"/>
        </w:rPr>
      </w:pPr>
    </w:p>
    <w:p w:rsidR="000948DC" w:rsidRDefault="000948DC" w:rsidP="00822605">
      <w:pPr>
        <w:autoSpaceDE w:val="0"/>
        <w:autoSpaceDN w:val="0"/>
        <w:adjustRightInd w:val="0"/>
        <w:spacing w:after="0"/>
        <w:jc w:val="both"/>
        <w:rPr>
          <w:rFonts w:ascii="Arial" w:hAnsi="Arial" w:cs="Arial"/>
          <w:sz w:val="20"/>
          <w:szCs w:val="20"/>
        </w:rPr>
      </w:pPr>
      <w:r w:rsidRPr="000948DC">
        <w:rPr>
          <w:rFonts w:ascii="Arial" w:hAnsi="Arial" w:cs="Arial"/>
          <w:sz w:val="20"/>
          <w:szCs w:val="20"/>
        </w:rPr>
        <w:t>Também cumpre referir que nem da Lei nº 3807/1960, nem</w:t>
      </w:r>
      <w:r>
        <w:rPr>
          <w:rFonts w:ascii="Arial" w:hAnsi="Arial" w:cs="Arial"/>
          <w:sz w:val="20"/>
          <w:szCs w:val="20"/>
        </w:rPr>
        <w:t xml:space="preserve"> </w:t>
      </w:r>
      <w:r w:rsidRPr="000948DC">
        <w:rPr>
          <w:rFonts w:ascii="Arial" w:hAnsi="Arial" w:cs="Arial"/>
          <w:sz w:val="20"/>
          <w:szCs w:val="20"/>
        </w:rPr>
        <w:t>tampouco da Lei nº 98213/91 que a substituiu, dispondo sobre os Planos de</w:t>
      </w:r>
      <w:r>
        <w:rPr>
          <w:rFonts w:ascii="Arial" w:hAnsi="Arial" w:cs="Arial"/>
          <w:sz w:val="20"/>
          <w:szCs w:val="20"/>
        </w:rPr>
        <w:t xml:space="preserve"> </w:t>
      </w:r>
      <w:r w:rsidRPr="000948DC">
        <w:rPr>
          <w:rFonts w:ascii="Arial" w:hAnsi="Arial" w:cs="Arial"/>
          <w:sz w:val="20"/>
          <w:szCs w:val="20"/>
        </w:rPr>
        <w:t>Benefícios da Previdência Social, consta qualquer tipo de vedação ou impedimento</w:t>
      </w:r>
      <w:r>
        <w:rPr>
          <w:rFonts w:ascii="Arial" w:hAnsi="Arial" w:cs="Arial"/>
          <w:sz w:val="20"/>
          <w:szCs w:val="20"/>
        </w:rPr>
        <w:t xml:space="preserve"> </w:t>
      </w:r>
      <w:r w:rsidR="00FF1139">
        <w:rPr>
          <w:rFonts w:ascii="Arial" w:hAnsi="Arial" w:cs="Arial"/>
          <w:sz w:val="20"/>
          <w:szCs w:val="20"/>
        </w:rPr>
        <w:t>ao cô</w:t>
      </w:r>
      <w:r w:rsidRPr="000948DC">
        <w:rPr>
          <w:rFonts w:ascii="Arial" w:hAnsi="Arial" w:cs="Arial"/>
          <w:sz w:val="20"/>
          <w:szCs w:val="20"/>
        </w:rPr>
        <w:t>mputo de tempo geral para fins de reserva de servidores militares</w:t>
      </w:r>
      <w:r>
        <w:rPr>
          <w:rFonts w:ascii="Arial" w:hAnsi="Arial" w:cs="Arial"/>
          <w:sz w:val="20"/>
          <w:szCs w:val="20"/>
        </w:rPr>
        <w:t xml:space="preserve">. </w:t>
      </w:r>
    </w:p>
    <w:p w:rsidR="00684303" w:rsidRDefault="00684303" w:rsidP="00822605">
      <w:pPr>
        <w:autoSpaceDE w:val="0"/>
        <w:autoSpaceDN w:val="0"/>
        <w:adjustRightInd w:val="0"/>
        <w:spacing w:after="0"/>
        <w:jc w:val="both"/>
        <w:rPr>
          <w:rFonts w:ascii="Arial" w:hAnsi="Arial" w:cs="Arial"/>
          <w:sz w:val="20"/>
          <w:szCs w:val="20"/>
        </w:rPr>
      </w:pPr>
    </w:p>
    <w:p w:rsidR="000948DC" w:rsidRDefault="000948DC" w:rsidP="00822605">
      <w:pPr>
        <w:autoSpaceDE w:val="0"/>
        <w:autoSpaceDN w:val="0"/>
        <w:adjustRightInd w:val="0"/>
        <w:spacing w:after="0"/>
        <w:jc w:val="both"/>
        <w:rPr>
          <w:rFonts w:ascii="Arial" w:hAnsi="Arial" w:cs="Arial"/>
          <w:sz w:val="20"/>
          <w:szCs w:val="20"/>
        </w:rPr>
      </w:pPr>
      <w:r w:rsidRPr="000948DC">
        <w:rPr>
          <w:rFonts w:ascii="Arial" w:hAnsi="Arial" w:cs="Arial"/>
          <w:sz w:val="20"/>
          <w:szCs w:val="20"/>
        </w:rPr>
        <w:t>Ainda, a Lei nº 1943/54 expressamente prevê a possibilidade de</w:t>
      </w:r>
      <w:r>
        <w:rPr>
          <w:rFonts w:ascii="Arial" w:hAnsi="Arial" w:cs="Arial"/>
          <w:sz w:val="20"/>
          <w:szCs w:val="20"/>
        </w:rPr>
        <w:t xml:space="preserve"> </w:t>
      </w:r>
      <w:r w:rsidR="00FF1139">
        <w:rPr>
          <w:rFonts w:ascii="Arial" w:hAnsi="Arial" w:cs="Arial"/>
          <w:sz w:val="20"/>
          <w:szCs w:val="20"/>
        </w:rPr>
        <w:t>cô</w:t>
      </w:r>
      <w:r w:rsidRPr="000948DC">
        <w:rPr>
          <w:rFonts w:ascii="Arial" w:hAnsi="Arial" w:cs="Arial"/>
          <w:sz w:val="20"/>
          <w:szCs w:val="20"/>
        </w:rPr>
        <w:t>mputo de tempo de serviço público prestado à união, estado ou município,</w:t>
      </w:r>
      <w:r>
        <w:rPr>
          <w:rFonts w:ascii="Arial" w:hAnsi="Arial" w:cs="Arial"/>
          <w:sz w:val="20"/>
          <w:szCs w:val="20"/>
        </w:rPr>
        <w:t xml:space="preserve"> </w:t>
      </w:r>
      <w:r w:rsidRPr="000948DC">
        <w:rPr>
          <w:rFonts w:ascii="Arial" w:hAnsi="Arial" w:cs="Arial"/>
          <w:sz w:val="20"/>
          <w:szCs w:val="20"/>
        </w:rPr>
        <w:t>dispositivo este também constante da atual Constituição Federal, nos termos de seu</w:t>
      </w:r>
      <w:r>
        <w:rPr>
          <w:rFonts w:ascii="Arial" w:hAnsi="Arial" w:cs="Arial"/>
          <w:sz w:val="20"/>
          <w:szCs w:val="20"/>
        </w:rPr>
        <w:t xml:space="preserve"> </w:t>
      </w:r>
      <w:r w:rsidRPr="000948DC">
        <w:rPr>
          <w:rFonts w:ascii="Arial" w:hAnsi="Arial" w:cs="Arial"/>
          <w:sz w:val="20"/>
          <w:szCs w:val="20"/>
        </w:rPr>
        <w:t>art. 42, §1º, que faz referência ao art. 40, § 9º, afastando qualquer argumentação no</w:t>
      </w:r>
      <w:r>
        <w:rPr>
          <w:rFonts w:ascii="Arial" w:hAnsi="Arial" w:cs="Arial"/>
          <w:sz w:val="20"/>
          <w:szCs w:val="20"/>
        </w:rPr>
        <w:t xml:space="preserve"> </w:t>
      </w:r>
      <w:r w:rsidRPr="000948DC">
        <w:rPr>
          <w:rFonts w:ascii="Arial" w:hAnsi="Arial" w:cs="Arial"/>
          <w:sz w:val="20"/>
          <w:szCs w:val="20"/>
        </w:rPr>
        <w:t>sentido de que para a inativação como policial militar somente poderiam ser</w:t>
      </w:r>
      <w:r>
        <w:rPr>
          <w:rFonts w:ascii="Arial" w:hAnsi="Arial" w:cs="Arial"/>
          <w:sz w:val="20"/>
          <w:szCs w:val="20"/>
        </w:rPr>
        <w:t xml:space="preserve"> </w:t>
      </w:r>
      <w:r w:rsidRPr="000948DC">
        <w:rPr>
          <w:rFonts w:ascii="Arial" w:hAnsi="Arial" w:cs="Arial"/>
          <w:sz w:val="20"/>
          <w:szCs w:val="20"/>
        </w:rPr>
        <w:t>computados períodos de trabalho em atividades estritamente vinculadas às</w:t>
      </w:r>
      <w:r>
        <w:rPr>
          <w:rFonts w:ascii="Arial" w:hAnsi="Arial" w:cs="Arial"/>
          <w:sz w:val="20"/>
          <w:szCs w:val="20"/>
        </w:rPr>
        <w:t xml:space="preserve"> </w:t>
      </w:r>
      <w:r w:rsidRPr="000948DC">
        <w:rPr>
          <w:rFonts w:ascii="Arial" w:hAnsi="Arial" w:cs="Arial"/>
          <w:sz w:val="20"/>
          <w:szCs w:val="20"/>
        </w:rPr>
        <w:t>atividades próprias da polícia militar.</w:t>
      </w:r>
    </w:p>
    <w:p w:rsidR="00684303" w:rsidRDefault="00684303" w:rsidP="00822605">
      <w:pPr>
        <w:autoSpaceDE w:val="0"/>
        <w:autoSpaceDN w:val="0"/>
        <w:adjustRightInd w:val="0"/>
        <w:spacing w:after="0"/>
        <w:jc w:val="both"/>
        <w:rPr>
          <w:rFonts w:ascii="Arial" w:hAnsi="Arial" w:cs="Arial"/>
          <w:sz w:val="20"/>
          <w:szCs w:val="20"/>
        </w:rPr>
      </w:pPr>
    </w:p>
    <w:p w:rsidR="000948DC" w:rsidRDefault="000948DC" w:rsidP="00822605">
      <w:pPr>
        <w:autoSpaceDE w:val="0"/>
        <w:autoSpaceDN w:val="0"/>
        <w:adjustRightInd w:val="0"/>
        <w:spacing w:after="0"/>
        <w:jc w:val="both"/>
        <w:rPr>
          <w:rFonts w:ascii="Arial" w:hAnsi="Arial" w:cs="Arial"/>
          <w:bCs/>
          <w:sz w:val="20"/>
          <w:szCs w:val="20"/>
        </w:rPr>
      </w:pPr>
      <w:r w:rsidRPr="000948DC">
        <w:rPr>
          <w:rFonts w:ascii="Arial" w:hAnsi="Arial" w:cs="Arial"/>
          <w:sz w:val="20"/>
          <w:szCs w:val="20"/>
        </w:rPr>
        <w:t>Portanto, aplicando-se a legislação pertinente ao caso concreto,</w:t>
      </w:r>
      <w:r>
        <w:rPr>
          <w:rFonts w:ascii="Arial" w:hAnsi="Arial" w:cs="Arial"/>
          <w:sz w:val="20"/>
          <w:szCs w:val="20"/>
        </w:rPr>
        <w:t xml:space="preserve"> </w:t>
      </w:r>
      <w:r w:rsidRPr="000948DC">
        <w:rPr>
          <w:rFonts w:ascii="Arial" w:hAnsi="Arial" w:cs="Arial"/>
          <w:sz w:val="20"/>
          <w:szCs w:val="20"/>
        </w:rPr>
        <w:t>observa-se que, ante a existência de norma vigente e válida, expressamente</w:t>
      </w:r>
      <w:r>
        <w:rPr>
          <w:rFonts w:ascii="Arial" w:hAnsi="Arial" w:cs="Arial"/>
          <w:sz w:val="20"/>
          <w:szCs w:val="20"/>
        </w:rPr>
        <w:t xml:space="preserve"> </w:t>
      </w:r>
      <w:r w:rsidRPr="000948DC">
        <w:rPr>
          <w:rFonts w:ascii="Arial" w:hAnsi="Arial" w:cs="Arial"/>
          <w:sz w:val="20"/>
          <w:szCs w:val="20"/>
        </w:rPr>
        <w:t xml:space="preserve">prevendo o cômputo do tempo de </w:t>
      </w:r>
      <w:r w:rsidRPr="000948DC">
        <w:rPr>
          <w:rFonts w:ascii="Arial" w:hAnsi="Arial" w:cs="Arial"/>
          <w:sz w:val="20"/>
          <w:szCs w:val="20"/>
        </w:rPr>
        <w:lastRenderedPageBreak/>
        <w:t>serviço/contribuição ao regime geral de</w:t>
      </w:r>
      <w:r>
        <w:rPr>
          <w:rFonts w:ascii="Arial" w:hAnsi="Arial" w:cs="Arial"/>
          <w:sz w:val="20"/>
          <w:szCs w:val="20"/>
        </w:rPr>
        <w:t xml:space="preserve"> </w:t>
      </w:r>
      <w:r w:rsidRPr="000948DC">
        <w:rPr>
          <w:rFonts w:ascii="Arial" w:hAnsi="Arial" w:cs="Arial"/>
          <w:sz w:val="20"/>
          <w:szCs w:val="20"/>
        </w:rPr>
        <w:t xml:space="preserve">previdência para fins de transferência para a reserva remunerada, </w:t>
      </w:r>
      <w:r w:rsidRPr="000948DC">
        <w:rPr>
          <w:rFonts w:ascii="Arial" w:hAnsi="Arial" w:cs="Arial"/>
          <w:bCs/>
          <w:sz w:val="20"/>
          <w:szCs w:val="20"/>
        </w:rPr>
        <w:t>no presente caso o mesmo foi inadequadamente computado, não merecendo registro deste Tribunal o ato de inativação.</w:t>
      </w:r>
    </w:p>
    <w:p w:rsidR="007D4DA4" w:rsidRDefault="007D4DA4" w:rsidP="00822605">
      <w:pPr>
        <w:autoSpaceDE w:val="0"/>
        <w:autoSpaceDN w:val="0"/>
        <w:adjustRightInd w:val="0"/>
        <w:spacing w:after="0"/>
        <w:jc w:val="both"/>
        <w:rPr>
          <w:rFonts w:ascii="Arial" w:hAnsi="Arial" w:cs="Arial"/>
          <w:bCs/>
          <w:sz w:val="20"/>
          <w:szCs w:val="20"/>
        </w:rPr>
      </w:pPr>
    </w:p>
    <w:p w:rsidR="007D4DA4" w:rsidRPr="000948DC" w:rsidRDefault="007D4DA4" w:rsidP="00822605">
      <w:pPr>
        <w:autoSpaceDE w:val="0"/>
        <w:autoSpaceDN w:val="0"/>
        <w:adjustRightInd w:val="0"/>
        <w:spacing w:after="0"/>
        <w:jc w:val="both"/>
        <w:rPr>
          <w:rFonts w:ascii="Arial" w:hAnsi="Arial" w:cs="Arial"/>
          <w:sz w:val="20"/>
          <w:szCs w:val="20"/>
        </w:rPr>
      </w:pPr>
      <w:r>
        <w:rPr>
          <w:rFonts w:ascii="Arial" w:hAnsi="Arial" w:cs="Arial"/>
          <w:bCs/>
          <w:sz w:val="20"/>
          <w:szCs w:val="20"/>
        </w:rPr>
        <w:t xml:space="preserve">Processo n° 637758/14 - </w:t>
      </w:r>
      <w:hyperlink r:id="rId14" w:history="1">
        <w:r w:rsidRPr="00E504A3">
          <w:rPr>
            <w:rStyle w:val="Hyperlink"/>
            <w:rFonts w:ascii="Arial" w:hAnsi="Arial" w:cs="Arial"/>
            <w:sz w:val="20"/>
            <w:szCs w:val="20"/>
          </w:rPr>
          <w:t>Acórdão n° 3388/17 - Segunda Câmara</w:t>
        </w:r>
      </w:hyperlink>
      <w:r>
        <w:rPr>
          <w:rFonts w:ascii="Arial" w:hAnsi="Arial" w:cs="Arial"/>
          <w:bCs/>
          <w:sz w:val="20"/>
          <w:szCs w:val="20"/>
        </w:rPr>
        <w:t xml:space="preserve"> - Rel. Cons. Ivens Zschoerper Linhares.</w:t>
      </w:r>
    </w:p>
    <w:p w:rsidR="00C55A50" w:rsidRPr="0022060B" w:rsidRDefault="00C55A50" w:rsidP="00816942">
      <w:pPr>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822605" w:rsidRDefault="00822605" w:rsidP="00822605">
      <w:pPr>
        <w:autoSpaceDE w:val="0"/>
        <w:autoSpaceDN w:val="0"/>
        <w:adjustRightInd w:val="0"/>
        <w:spacing w:after="0" w:line="240" w:lineRule="auto"/>
        <w:jc w:val="both"/>
        <w:rPr>
          <w:rFonts w:ascii="Arial" w:hAnsi="Arial" w:cs="Arial"/>
          <w:b/>
          <w:sz w:val="20"/>
          <w:szCs w:val="20"/>
        </w:rPr>
      </w:pPr>
    </w:p>
    <w:p w:rsidR="00822605" w:rsidRPr="00BB4B0D" w:rsidRDefault="00E21729" w:rsidP="00822605">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5F35B7">
        <w:rPr>
          <w:rFonts w:ascii="Arial" w:hAnsi="Arial" w:cs="Arial"/>
          <w:b/>
          <w:sz w:val="20"/>
          <w:szCs w:val="20"/>
        </w:rPr>
        <w:t xml:space="preserve">. </w:t>
      </w:r>
      <w:r w:rsidR="00822605" w:rsidRPr="00BB4B0D">
        <w:rPr>
          <w:rFonts w:ascii="Arial" w:hAnsi="Arial" w:cs="Arial"/>
          <w:b/>
          <w:sz w:val="20"/>
          <w:szCs w:val="20"/>
        </w:rPr>
        <w:t xml:space="preserve">Representação. Administração Pública. Publicidade. Princípios da moralidade e impessoalidade. Promoção pessoal. </w:t>
      </w:r>
    </w:p>
    <w:p w:rsidR="00822605" w:rsidRDefault="00822605" w:rsidP="00822605">
      <w:pPr>
        <w:autoSpaceDE w:val="0"/>
        <w:autoSpaceDN w:val="0"/>
        <w:adjustRightInd w:val="0"/>
        <w:spacing w:after="0"/>
        <w:jc w:val="both"/>
        <w:rPr>
          <w:rFonts w:ascii="Arial" w:hAnsi="Arial" w:cs="Arial"/>
          <w:sz w:val="20"/>
          <w:szCs w:val="20"/>
        </w:rPr>
      </w:pPr>
    </w:p>
    <w:p w:rsidR="00822605" w:rsidRDefault="00822605" w:rsidP="00822605">
      <w:pPr>
        <w:autoSpaceDE w:val="0"/>
        <w:autoSpaceDN w:val="0"/>
        <w:adjustRightInd w:val="0"/>
        <w:spacing w:after="0"/>
        <w:jc w:val="both"/>
        <w:rPr>
          <w:rFonts w:ascii="Arial" w:hAnsi="Arial" w:cs="Arial"/>
          <w:sz w:val="20"/>
          <w:szCs w:val="20"/>
        </w:rPr>
      </w:pPr>
      <w:r>
        <w:rPr>
          <w:rFonts w:ascii="Arial" w:hAnsi="Arial" w:cs="Arial"/>
          <w:sz w:val="20"/>
          <w:szCs w:val="20"/>
        </w:rPr>
        <w:t xml:space="preserve">A personalização de placas de carros pertencentes a ente público, como forma de associar os caracteres ao gestor, como forma de promoção pessoal ou política, caracteriza </w:t>
      </w:r>
      <w:r w:rsidRPr="0013594F">
        <w:rPr>
          <w:rFonts w:ascii="Arial" w:hAnsi="Arial" w:cs="Arial"/>
          <w:sz w:val="20"/>
          <w:szCs w:val="20"/>
        </w:rPr>
        <w:t>lesão aos princípios da moralidade e impessoalidade</w:t>
      </w:r>
      <w:r>
        <w:rPr>
          <w:rFonts w:ascii="Arial" w:hAnsi="Arial" w:cs="Arial"/>
          <w:sz w:val="20"/>
          <w:szCs w:val="20"/>
        </w:rPr>
        <w:t xml:space="preserve">. Mesmo não havendo </w:t>
      </w:r>
      <w:proofErr w:type="spellStart"/>
      <w:r>
        <w:rPr>
          <w:rFonts w:ascii="Arial" w:hAnsi="Arial" w:cs="Arial"/>
          <w:sz w:val="20"/>
          <w:szCs w:val="20"/>
        </w:rPr>
        <w:t>dano</w:t>
      </w:r>
      <w:proofErr w:type="spellEnd"/>
      <w:r>
        <w:rPr>
          <w:rFonts w:ascii="Arial" w:hAnsi="Arial" w:cs="Arial"/>
          <w:sz w:val="20"/>
          <w:szCs w:val="20"/>
        </w:rPr>
        <w:t xml:space="preserve"> ao erário, a utilização de bens públicos como instrumento de promoção pessoal viola diretamente o artigo 37, § 1º, da Constituição Federal. </w:t>
      </w:r>
    </w:p>
    <w:p w:rsidR="00822605" w:rsidRDefault="00822605" w:rsidP="00822605">
      <w:pPr>
        <w:autoSpaceDE w:val="0"/>
        <w:autoSpaceDN w:val="0"/>
        <w:adjustRightInd w:val="0"/>
        <w:spacing w:after="0"/>
        <w:jc w:val="both"/>
        <w:rPr>
          <w:rFonts w:ascii="Arial" w:hAnsi="Arial" w:cs="Arial"/>
          <w:sz w:val="20"/>
          <w:szCs w:val="20"/>
        </w:rPr>
      </w:pPr>
    </w:p>
    <w:p w:rsidR="00822605" w:rsidRPr="000D251F" w:rsidRDefault="00822605" w:rsidP="0082260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81193/11 - </w:t>
      </w:r>
      <w:hyperlink r:id="rId15" w:history="1">
        <w:r w:rsidRPr="00AD6CB9">
          <w:rPr>
            <w:rStyle w:val="Hyperlink"/>
            <w:rFonts w:ascii="Arial" w:hAnsi="Arial" w:cs="Arial"/>
            <w:sz w:val="20"/>
            <w:szCs w:val="20"/>
          </w:rPr>
          <w:t xml:space="preserve">Acórdão n° 3407/17 </w:t>
        </w:r>
        <w:r w:rsidR="00684303">
          <w:rPr>
            <w:rStyle w:val="Hyperlink"/>
            <w:rFonts w:ascii="Arial" w:hAnsi="Arial" w:cs="Arial"/>
            <w:sz w:val="20"/>
            <w:szCs w:val="20"/>
          </w:rPr>
          <w:t>-</w:t>
        </w:r>
        <w:r w:rsidRPr="00AD6CB9">
          <w:rPr>
            <w:rStyle w:val="Hyperlink"/>
            <w:rFonts w:ascii="Arial" w:hAnsi="Arial" w:cs="Arial"/>
            <w:sz w:val="20"/>
            <w:szCs w:val="20"/>
          </w:rPr>
          <w:t xml:space="preserve"> Tribunal Pleno</w:t>
        </w:r>
      </w:hyperlink>
      <w:r>
        <w:rPr>
          <w:rFonts w:ascii="Arial" w:hAnsi="Arial" w:cs="Arial"/>
          <w:sz w:val="20"/>
          <w:szCs w:val="20"/>
        </w:rPr>
        <w:t xml:space="preserve"> - Rel. Conselheiro </w:t>
      </w:r>
      <w:r w:rsidRPr="0013594F">
        <w:rPr>
          <w:rFonts w:ascii="Arial" w:hAnsi="Arial" w:cs="Arial"/>
          <w:sz w:val="20"/>
          <w:szCs w:val="20"/>
        </w:rPr>
        <w:t xml:space="preserve">Fabio </w:t>
      </w:r>
      <w:r>
        <w:rPr>
          <w:rFonts w:ascii="Arial" w:hAnsi="Arial" w:cs="Arial"/>
          <w:sz w:val="20"/>
          <w:szCs w:val="20"/>
        </w:rPr>
        <w:t>d</w:t>
      </w:r>
      <w:r w:rsidRPr="0013594F">
        <w:rPr>
          <w:rFonts w:ascii="Arial" w:hAnsi="Arial" w:cs="Arial"/>
          <w:sz w:val="20"/>
          <w:szCs w:val="20"/>
        </w:rPr>
        <w:t>e Souza Camargo.</w:t>
      </w:r>
    </w:p>
    <w:p w:rsidR="00822605" w:rsidRDefault="00822605" w:rsidP="00822605">
      <w:pPr>
        <w:autoSpaceDE w:val="0"/>
        <w:autoSpaceDN w:val="0"/>
        <w:adjustRightInd w:val="0"/>
        <w:spacing w:after="0"/>
        <w:jc w:val="both"/>
        <w:rPr>
          <w:rFonts w:ascii="Arial" w:hAnsi="Arial" w:cs="Arial"/>
          <w:sz w:val="20"/>
          <w:szCs w:val="20"/>
        </w:rPr>
      </w:pPr>
    </w:p>
    <w:p w:rsidR="005954F7" w:rsidRDefault="00E21729" w:rsidP="00822605">
      <w:pPr>
        <w:shd w:val="clear" w:color="auto" w:fill="FFFFFF"/>
        <w:spacing w:after="0"/>
        <w:jc w:val="both"/>
        <w:textAlignment w:val="center"/>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9</w:t>
      </w:r>
      <w:r w:rsidR="005F35B7">
        <w:rPr>
          <w:rFonts w:ascii="Arial" w:eastAsia="Times New Roman" w:hAnsi="Arial" w:cs="Arial"/>
          <w:b/>
          <w:color w:val="000000"/>
          <w:sz w:val="20"/>
          <w:szCs w:val="20"/>
          <w:lang w:eastAsia="pt-BR"/>
        </w:rPr>
        <w:t xml:space="preserve">. </w:t>
      </w:r>
      <w:r w:rsidR="005954F7" w:rsidRPr="003B7BDF">
        <w:rPr>
          <w:rFonts w:ascii="Arial" w:eastAsia="Times New Roman" w:hAnsi="Arial" w:cs="Arial"/>
          <w:b/>
          <w:color w:val="000000"/>
          <w:sz w:val="20"/>
          <w:szCs w:val="20"/>
          <w:lang w:eastAsia="pt-BR"/>
        </w:rPr>
        <w:t xml:space="preserve">Consulta. Ente federado incurso nas vedações do art. 22, Parágrafo Único, da Lei de Responsabilidade Fiscal. Concessão de adicional a servidores públicos integrantes das equipes de saúde da atenção básica. Recursos Federais oriundos do Piso da Atenção Básica Variável </w:t>
      </w:r>
      <w:r w:rsidR="00F163A1">
        <w:rPr>
          <w:rFonts w:ascii="Arial" w:eastAsia="Times New Roman" w:hAnsi="Arial" w:cs="Arial"/>
          <w:b/>
          <w:color w:val="000000"/>
          <w:sz w:val="20"/>
          <w:szCs w:val="20"/>
          <w:lang w:eastAsia="pt-BR"/>
        </w:rPr>
        <w:t>-</w:t>
      </w:r>
      <w:r w:rsidR="005954F7" w:rsidRPr="003B7BDF">
        <w:rPr>
          <w:rFonts w:ascii="Arial" w:eastAsia="Times New Roman" w:hAnsi="Arial" w:cs="Arial"/>
          <w:b/>
          <w:color w:val="000000"/>
          <w:sz w:val="20"/>
          <w:szCs w:val="20"/>
          <w:lang w:eastAsia="pt-BR"/>
        </w:rPr>
        <w:t xml:space="preserve"> PAB Variável. Impossibilidade. </w:t>
      </w:r>
    </w:p>
    <w:p w:rsidR="005F35B7" w:rsidRDefault="005F35B7" w:rsidP="00822605">
      <w:pPr>
        <w:shd w:val="clear" w:color="auto" w:fill="FFFFFF"/>
        <w:spacing w:after="0"/>
        <w:jc w:val="both"/>
        <w:textAlignment w:val="center"/>
        <w:rPr>
          <w:rFonts w:ascii="Arial" w:eastAsia="Times New Roman" w:hAnsi="Arial" w:cs="Arial"/>
          <w:color w:val="000000"/>
          <w:sz w:val="20"/>
          <w:szCs w:val="20"/>
          <w:lang w:eastAsia="pt-BR"/>
        </w:rPr>
      </w:pPr>
    </w:p>
    <w:p w:rsidR="005954F7" w:rsidRDefault="005954F7" w:rsidP="00822605">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 Portaria nº 204/2007 do Ministério da Saúde regulamenta o financiamento e a transferência dos recursos federais para as ações e os serviços de saúde na forma de blocos de financiamento, entre eles o Bloco de Atenção Básica. O referido ato normativo também impõe restrições à aplicação da verba e os recursos que constituem o Componente PAB Variável são destinados ao financiamento de estratégias específicas no âmbito da atenção básica em saúde. </w:t>
      </w:r>
    </w:p>
    <w:p w:rsidR="00684303" w:rsidRDefault="00684303" w:rsidP="00822605">
      <w:pPr>
        <w:shd w:val="clear" w:color="auto" w:fill="FFFFFF"/>
        <w:spacing w:after="0"/>
        <w:jc w:val="both"/>
        <w:textAlignment w:val="center"/>
        <w:rPr>
          <w:rFonts w:ascii="Arial" w:eastAsia="Times New Roman" w:hAnsi="Arial" w:cs="Arial"/>
          <w:color w:val="000000"/>
          <w:sz w:val="20"/>
          <w:szCs w:val="20"/>
          <w:lang w:eastAsia="pt-BR"/>
        </w:rPr>
      </w:pPr>
    </w:p>
    <w:p w:rsidR="005954F7" w:rsidRDefault="005954F7" w:rsidP="00822605">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O ente municipal somente poderá utilizar-se da verba oriunda do PAB Variável para implementação das respectivas ações de saúde, de modo que a remuneração de servidores com essa receita está condicionada a sua atuação em funções relacionadas à Atenção Básica que estejam definidas no seu plano de saúde.</w:t>
      </w:r>
    </w:p>
    <w:p w:rsidR="00684303" w:rsidRDefault="00684303" w:rsidP="00822605">
      <w:pPr>
        <w:shd w:val="clear" w:color="auto" w:fill="FFFFFF"/>
        <w:spacing w:after="0"/>
        <w:jc w:val="both"/>
        <w:textAlignment w:val="center"/>
        <w:rPr>
          <w:rFonts w:ascii="Arial" w:eastAsia="Times New Roman" w:hAnsi="Arial" w:cs="Arial"/>
          <w:color w:val="000000"/>
          <w:sz w:val="20"/>
          <w:szCs w:val="20"/>
          <w:lang w:eastAsia="pt-BR"/>
        </w:rPr>
      </w:pPr>
    </w:p>
    <w:p w:rsidR="005954F7" w:rsidRDefault="005954F7" w:rsidP="00822605">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Assim, o Tribunal Pleno respondeu a consulta no sentido de que não é permitido ao ente federado incurso na vedação prevista no art. 22, Parágrafo Único, inciso I, da Lei de Responsabilidade Fiscal, conceder adicional aos servidores públicos integrantes das equipes de saúde da atenção básica, ainda que a despesa seja suportada por recursos recebidos da União oriundos do Componente Piso da Atenção Básica Variável </w:t>
      </w:r>
      <w:r w:rsidR="00684303">
        <w:rPr>
          <w:rFonts w:ascii="Arial" w:eastAsia="Times New Roman" w:hAnsi="Arial" w:cs="Arial"/>
          <w:color w:val="000000"/>
          <w:sz w:val="20"/>
          <w:szCs w:val="20"/>
          <w:lang w:eastAsia="pt-BR"/>
        </w:rPr>
        <w:t>-</w:t>
      </w:r>
      <w:r>
        <w:rPr>
          <w:rFonts w:ascii="Arial" w:eastAsia="Times New Roman" w:hAnsi="Arial" w:cs="Arial"/>
          <w:color w:val="000000"/>
          <w:sz w:val="20"/>
          <w:szCs w:val="20"/>
          <w:lang w:eastAsia="pt-BR"/>
        </w:rPr>
        <w:t xml:space="preserve"> PAB Variável. </w:t>
      </w:r>
    </w:p>
    <w:p w:rsidR="005F35B7" w:rsidRDefault="005F35B7" w:rsidP="00822605">
      <w:pPr>
        <w:shd w:val="clear" w:color="auto" w:fill="FFFFFF"/>
        <w:spacing w:after="0"/>
        <w:jc w:val="both"/>
        <w:textAlignment w:val="center"/>
        <w:rPr>
          <w:rFonts w:ascii="Arial" w:eastAsia="Times New Roman" w:hAnsi="Arial" w:cs="Arial"/>
          <w:color w:val="000000"/>
          <w:sz w:val="20"/>
          <w:szCs w:val="20"/>
          <w:lang w:eastAsia="pt-BR"/>
        </w:rPr>
      </w:pPr>
    </w:p>
    <w:p w:rsidR="005954F7" w:rsidRDefault="005954F7" w:rsidP="00822605">
      <w:pPr>
        <w:shd w:val="clear" w:color="auto" w:fill="FFFFFF"/>
        <w:spacing w:after="0"/>
        <w:jc w:val="both"/>
        <w:textAlignment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Processo nº 129210/16 </w:t>
      </w:r>
      <w:r w:rsidR="00684303">
        <w:rPr>
          <w:rFonts w:ascii="Arial" w:eastAsia="Times New Roman" w:hAnsi="Arial" w:cs="Arial"/>
          <w:color w:val="000000"/>
          <w:sz w:val="20"/>
          <w:szCs w:val="20"/>
          <w:lang w:eastAsia="pt-BR"/>
        </w:rPr>
        <w:t>-</w:t>
      </w:r>
      <w:r>
        <w:rPr>
          <w:rFonts w:ascii="Arial" w:eastAsia="Times New Roman" w:hAnsi="Arial" w:cs="Arial"/>
          <w:color w:val="000000"/>
          <w:sz w:val="20"/>
          <w:szCs w:val="20"/>
          <w:lang w:eastAsia="pt-BR"/>
        </w:rPr>
        <w:t xml:space="preserve"> </w:t>
      </w:r>
      <w:hyperlink r:id="rId16" w:history="1">
        <w:r w:rsidRPr="007645AC">
          <w:rPr>
            <w:rStyle w:val="Hyperlink"/>
            <w:rFonts w:ascii="Arial" w:eastAsia="Times New Roman" w:hAnsi="Arial" w:cs="Arial"/>
            <w:sz w:val="20"/>
            <w:szCs w:val="20"/>
            <w:lang w:eastAsia="pt-BR"/>
          </w:rPr>
          <w:t>Acórdão nº 3503/17</w:t>
        </w:r>
        <w:r w:rsidR="00754CE6">
          <w:rPr>
            <w:rStyle w:val="Hyperlink"/>
            <w:rFonts w:ascii="Arial" w:eastAsia="Times New Roman" w:hAnsi="Arial" w:cs="Arial"/>
            <w:sz w:val="20"/>
            <w:szCs w:val="20"/>
            <w:lang w:eastAsia="pt-BR"/>
          </w:rPr>
          <w:t xml:space="preserve"> </w:t>
        </w:r>
        <w:r w:rsidRPr="007645AC">
          <w:rPr>
            <w:rStyle w:val="Hyperlink"/>
            <w:rFonts w:ascii="Arial" w:eastAsia="Times New Roman" w:hAnsi="Arial" w:cs="Arial"/>
            <w:sz w:val="20"/>
            <w:szCs w:val="20"/>
            <w:lang w:eastAsia="pt-BR"/>
          </w:rPr>
          <w:t>- Tribunal Pleno</w:t>
        </w:r>
      </w:hyperlink>
      <w:r>
        <w:rPr>
          <w:rFonts w:ascii="Arial" w:eastAsia="Times New Roman" w:hAnsi="Arial" w:cs="Arial"/>
          <w:color w:val="000000"/>
          <w:sz w:val="20"/>
          <w:szCs w:val="20"/>
          <w:lang w:eastAsia="pt-BR"/>
        </w:rPr>
        <w:t xml:space="preserve"> – Rel. Conselheiro Ivan </w:t>
      </w:r>
      <w:proofErr w:type="spellStart"/>
      <w:r>
        <w:rPr>
          <w:rFonts w:ascii="Arial" w:eastAsia="Times New Roman" w:hAnsi="Arial" w:cs="Arial"/>
          <w:color w:val="000000"/>
          <w:sz w:val="20"/>
          <w:szCs w:val="20"/>
          <w:lang w:eastAsia="pt-BR"/>
        </w:rPr>
        <w:t>Lelis</w:t>
      </w:r>
      <w:proofErr w:type="spellEnd"/>
      <w:r>
        <w:rPr>
          <w:rFonts w:ascii="Arial" w:eastAsia="Times New Roman" w:hAnsi="Arial" w:cs="Arial"/>
          <w:color w:val="000000"/>
          <w:sz w:val="20"/>
          <w:szCs w:val="20"/>
          <w:lang w:eastAsia="pt-BR"/>
        </w:rPr>
        <w:t xml:space="preserve"> Bonilha. </w:t>
      </w:r>
    </w:p>
    <w:p w:rsidR="00822605" w:rsidRDefault="00822605" w:rsidP="00822605">
      <w:pPr>
        <w:spacing w:after="0"/>
        <w:jc w:val="both"/>
        <w:rPr>
          <w:rStyle w:val="Hyperlink"/>
          <w:rFonts w:ascii="Arial" w:hAnsi="Arial" w:cs="Arial"/>
          <w:b/>
          <w:color w:val="000000" w:themeColor="text1"/>
          <w:sz w:val="20"/>
          <w:szCs w:val="20"/>
          <w:u w:val="none"/>
        </w:rPr>
      </w:pPr>
    </w:p>
    <w:p w:rsidR="005954F7" w:rsidRPr="00822605" w:rsidRDefault="005F35B7" w:rsidP="00822605">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1</w:t>
      </w:r>
      <w:r w:rsidR="00E21729">
        <w:rPr>
          <w:rStyle w:val="Hyperlink"/>
          <w:rFonts w:ascii="Arial" w:hAnsi="Arial" w:cs="Arial"/>
          <w:b/>
          <w:color w:val="000000" w:themeColor="text1"/>
          <w:sz w:val="20"/>
          <w:szCs w:val="20"/>
          <w:u w:val="none"/>
        </w:rPr>
        <w:t>0</w:t>
      </w:r>
      <w:r>
        <w:rPr>
          <w:rStyle w:val="Hyperlink"/>
          <w:rFonts w:ascii="Arial" w:hAnsi="Arial" w:cs="Arial"/>
          <w:b/>
          <w:color w:val="000000" w:themeColor="text1"/>
          <w:sz w:val="20"/>
          <w:szCs w:val="20"/>
          <w:u w:val="none"/>
        </w:rPr>
        <w:t xml:space="preserve">. </w:t>
      </w:r>
      <w:r w:rsidR="005954F7" w:rsidRPr="00822605">
        <w:rPr>
          <w:rStyle w:val="Hyperlink"/>
          <w:rFonts w:ascii="Arial" w:hAnsi="Arial" w:cs="Arial"/>
          <w:b/>
          <w:color w:val="000000" w:themeColor="text1"/>
          <w:sz w:val="20"/>
          <w:szCs w:val="20"/>
          <w:u w:val="none"/>
        </w:rPr>
        <w:t xml:space="preserve">Representação da Lei nº 8666/93. Pregão Presencial. Supostas irregularidades.  Exigência de pneus de fabricação nacional. Pela não procedência neste ponto, sem aplicação de multa. </w:t>
      </w:r>
    </w:p>
    <w:p w:rsidR="005F35B7" w:rsidRDefault="005F35B7" w:rsidP="00822605">
      <w:pPr>
        <w:spacing w:after="0"/>
        <w:jc w:val="both"/>
        <w:rPr>
          <w:rStyle w:val="Hyperlink"/>
          <w:rFonts w:ascii="Arial" w:hAnsi="Arial" w:cs="Arial"/>
          <w:color w:val="000000" w:themeColor="text1"/>
          <w:sz w:val="20"/>
          <w:szCs w:val="20"/>
          <w:u w:val="none"/>
        </w:rPr>
      </w:pPr>
    </w:p>
    <w:p w:rsidR="005954F7"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O Pregão Presencial nº 027/2015, teve por objeto a contratação de empresa para fornecimento de pneus novos, câmaras, protetores novos e bicos para máquinas, ônibus, micro-ônibus, vans e veículos. Pela Representante foi aduzida a ocorrência de impropriedades no instrumento convocatório, entre os quais, a exigência de pneus de fabricação nacional. </w:t>
      </w:r>
    </w:p>
    <w:p w:rsidR="00684303" w:rsidRPr="00822605" w:rsidRDefault="00684303" w:rsidP="00822605">
      <w:pPr>
        <w:spacing w:after="0"/>
        <w:jc w:val="both"/>
        <w:rPr>
          <w:rStyle w:val="Hyperlink"/>
          <w:rFonts w:ascii="Arial" w:hAnsi="Arial" w:cs="Arial"/>
          <w:color w:val="000000" w:themeColor="text1"/>
          <w:sz w:val="20"/>
          <w:szCs w:val="20"/>
          <w:u w:val="none"/>
        </w:rPr>
      </w:pPr>
    </w:p>
    <w:p w:rsidR="005954F7"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“Entendo que a licitação para aquisição exclusiva de pneus nacionais em detrimento de importados é exigência excessiva e viola a competitividade do certame, em afronta ao artigo 3º, §1º, II, da Lei nº 8.666/93”.  Assim, </w:t>
      </w:r>
      <w:bookmarkStart w:id="0" w:name="_GoBack"/>
      <w:bookmarkEnd w:id="0"/>
      <w:r w:rsidRPr="00822605">
        <w:rPr>
          <w:rStyle w:val="Hyperlink"/>
          <w:rFonts w:ascii="Arial" w:hAnsi="Arial" w:cs="Arial"/>
          <w:color w:val="000000" w:themeColor="text1"/>
          <w:sz w:val="20"/>
          <w:szCs w:val="20"/>
          <w:u w:val="none"/>
        </w:rPr>
        <w:t xml:space="preserve">o Relator do julgado entendeu procedente a Representação quanto a este ponto. </w:t>
      </w:r>
    </w:p>
    <w:p w:rsidR="00684303" w:rsidRPr="00822605" w:rsidRDefault="00684303" w:rsidP="00822605">
      <w:pPr>
        <w:spacing w:after="0"/>
        <w:jc w:val="both"/>
        <w:rPr>
          <w:rStyle w:val="Hyperlink"/>
          <w:rFonts w:ascii="Arial" w:hAnsi="Arial" w:cs="Arial"/>
          <w:color w:val="000000" w:themeColor="text1"/>
          <w:sz w:val="20"/>
          <w:szCs w:val="20"/>
          <w:u w:val="none"/>
        </w:rPr>
      </w:pPr>
    </w:p>
    <w:p w:rsidR="005954F7" w:rsidRPr="00822605"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O Relator deixou de propor em seu voto a aplicação de multa administrativa, visto que não restou caracterizada má-fé e por ser o certame anterior ao Acórdão nº 1045/16-TP, que reuniu diversos processos de Representação da Lei nº 8.666/93, relacionados à aquisição de pneus e produtos afins, onde foi proferida decisão da vedação de exigência de produto exclusivamente nacional. </w:t>
      </w:r>
    </w:p>
    <w:p w:rsidR="005954F7" w:rsidRPr="00822605" w:rsidRDefault="005954F7" w:rsidP="00822605">
      <w:pPr>
        <w:spacing w:after="0"/>
        <w:jc w:val="both"/>
        <w:rPr>
          <w:rStyle w:val="Hyperlink"/>
          <w:rFonts w:ascii="Arial" w:hAnsi="Arial" w:cs="Arial"/>
          <w:color w:val="000000" w:themeColor="text1"/>
          <w:sz w:val="20"/>
          <w:szCs w:val="20"/>
          <w:u w:val="none"/>
        </w:rPr>
      </w:pPr>
    </w:p>
    <w:p w:rsidR="005954F7" w:rsidRPr="00822605" w:rsidRDefault="005954F7" w:rsidP="00822605">
      <w:pPr>
        <w:spacing w:after="0"/>
        <w:jc w:val="both"/>
        <w:rPr>
          <w:rStyle w:val="Hyperlink"/>
          <w:rFonts w:ascii="Arial" w:hAnsi="Arial" w:cs="Arial"/>
          <w:b/>
          <w:color w:val="000000" w:themeColor="text1"/>
          <w:sz w:val="20"/>
          <w:szCs w:val="20"/>
          <w:u w:val="none"/>
        </w:rPr>
      </w:pPr>
      <w:r w:rsidRPr="00822605">
        <w:rPr>
          <w:rStyle w:val="Hyperlink"/>
          <w:rFonts w:ascii="Arial" w:hAnsi="Arial" w:cs="Arial"/>
          <w:color w:val="000000" w:themeColor="text1"/>
          <w:sz w:val="20"/>
          <w:szCs w:val="20"/>
          <w:u w:val="none"/>
        </w:rPr>
        <w:t xml:space="preserve">Processo nº 496465/15 </w:t>
      </w:r>
      <w:r w:rsidR="00684303">
        <w:rPr>
          <w:rStyle w:val="Hyperlink"/>
          <w:rFonts w:ascii="Arial" w:hAnsi="Arial" w:cs="Arial"/>
          <w:color w:val="000000" w:themeColor="text1"/>
          <w:sz w:val="20"/>
          <w:szCs w:val="20"/>
          <w:u w:val="none"/>
        </w:rPr>
        <w:t>-</w:t>
      </w:r>
      <w:r w:rsidRPr="00822605">
        <w:rPr>
          <w:rStyle w:val="Hyperlink"/>
          <w:rFonts w:ascii="Arial" w:hAnsi="Arial" w:cs="Arial"/>
          <w:color w:val="000000" w:themeColor="text1"/>
          <w:sz w:val="20"/>
          <w:szCs w:val="20"/>
          <w:u w:val="none"/>
        </w:rPr>
        <w:t xml:space="preserve"> </w:t>
      </w:r>
      <w:hyperlink r:id="rId17" w:history="1">
        <w:r w:rsidRPr="00822605">
          <w:rPr>
            <w:rStyle w:val="Hyperlink"/>
            <w:rFonts w:ascii="Arial" w:hAnsi="Arial" w:cs="Arial"/>
            <w:sz w:val="20"/>
            <w:szCs w:val="20"/>
          </w:rPr>
          <w:t>Acórdão nº 3506/17-Tribunal Pleno</w:t>
        </w:r>
      </w:hyperlink>
      <w:r w:rsidRPr="00822605">
        <w:rPr>
          <w:rStyle w:val="Hyperlink"/>
          <w:rFonts w:ascii="Arial" w:hAnsi="Arial" w:cs="Arial"/>
          <w:color w:val="000000" w:themeColor="text1"/>
          <w:sz w:val="20"/>
          <w:szCs w:val="20"/>
          <w:u w:val="none"/>
        </w:rPr>
        <w:t xml:space="preserve"> </w:t>
      </w:r>
      <w:r w:rsidR="00F163A1">
        <w:rPr>
          <w:rStyle w:val="Hyperlink"/>
          <w:rFonts w:ascii="Arial" w:hAnsi="Arial" w:cs="Arial"/>
          <w:color w:val="000000" w:themeColor="text1"/>
          <w:sz w:val="20"/>
          <w:szCs w:val="20"/>
          <w:u w:val="none"/>
        </w:rPr>
        <w:t>-</w:t>
      </w:r>
      <w:r w:rsidRPr="00822605">
        <w:rPr>
          <w:rStyle w:val="Hyperlink"/>
          <w:rFonts w:ascii="Arial" w:hAnsi="Arial" w:cs="Arial"/>
          <w:color w:val="000000" w:themeColor="text1"/>
          <w:sz w:val="20"/>
          <w:szCs w:val="20"/>
          <w:u w:val="none"/>
        </w:rPr>
        <w:t xml:space="preserve"> Rel. Conselheiro Fábio de Souza Camargo.</w:t>
      </w:r>
    </w:p>
    <w:p w:rsidR="005954F7" w:rsidRPr="00822605" w:rsidRDefault="005954F7" w:rsidP="00822605">
      <w:pPr>
        <w:spacing w:after="0"/>
        <w:jc w:val="both"/>
        <w:rPr>
          <w:rStyle w:val="Hyperlink"/>
          <w:rFonts w:ascii="Arial" w:hAnsi="Arial" w:cs="Arial"/>
          <w:b/>
          <w:color w:val="000000" w:themeColor="text1"/>
          <w:sz w:val="20"/>
          <w:szCs w:val="20"/>
          <w:u w:val="none"/>
        </w:rPr>
      </w:pPr>
    </w:p>
    <w:p w:rsidR="005954F7" w:rsidRDefault="005F35B7" w:rsidP="00822605">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1</w:t>
      </w:r>
      <w:r w:rsidR="00E21729">
        <w:rPr>
          <w:rStyle w:val="Hyperlink"/>
          <w:rFonts w:ascii="Arial" w:hAnsi="Arial" w:cs="Arial"/>
          <w:b/>
          <w:color w:val="000000" w:themeColor="text1"/>
          <w:sz w:val="20"/>
          <w:szCs w:val="20"/>
          <w:u w:val="none"/>
        </w:rPr>
        <w:t>1</w:t>
      </w:r>
      <w:r>
        <w:rPr>
          <w:rStyle w:val="Hyperlink"/>
          <w:rFonts w:ascii="Arial" w:hAnsi="Arial" w:cs="Arial"/>
          <w:b/>
          <w:color w:val="000000" w:themeColor="text1"/>
          <w:sz w:val="20"/>
          <w:szCs w:val="20"/>
          <w:u w:val="none"/>
        </w:rPr>
        <w:t xml:space="preserve">. </w:t>
      </w:r>
      <w:r w:rsidR="005954F7" w:rsidRPr="00822605">
        <w:rPr>
          <w:rStyle w:val="Hyperlink"/>
          <w:rFonts w:ascii="Arial" w:hAnsi="Arial" w:cs="Arial"/>
          <w:b/>
          <w:color w:val="000000" w:themeColor="text1"/>
          <w:sz w:val="20"/>
          <w:szCs w:val="20"/>
          <w:u w:val="none"/>
        </w:rPr>
        <w:t xml:space="preserve">Recurso de Revista. Cargos em comissão. Pagamento de verbas rescisórias por ocasião do desligamento. Boa-fé do gestor. Não provimento. </w:t>
      </w:r>
    </w:p>
    <w:p w:rsidR="00684303" w:rsidRPr="00822605" w:rsidRDefault="00684303" w:rsidP="00822605">
      <w:pPr>
        <w:spacing w:after="0"/>
        <w:jc w:val="both"/>
        <w:rPr>
          <w:rStyle w:val="Hyperlink"/>
          <w:rFonts w:ascii="Arial" w:hAnsi="Arial" w:cs="Arial"/>
          <w:b/>
          <w:color w:val="000000" w:themeColor="text1"/>
          <w:sz w:val="20"/>
          <w:szCs w:val="20"/>
          <w:u w:val="none"/>
        </w:rPr>
      </w:pPr>
    </w:p>
    <w:p w:rsidR="005954F7" w:rsidRPr="00822605"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O recurso foi interposto pelo Ministério Público de Contas insurgindo-se contra o pagamento de verbas rescisórias em razão da exoneração de servidores ocupantes de cargos comissionados. </w:t>
      </w:r>
    </w:p>
    <w:p w:rsidR="005954F7"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O julgado acompanhou o entendimento asseverado pela Unidade Técnica (COFAP), no sentido de que a Constituição Federal, ao tratar do cargo comissionado, dispõe que seus ocupantes se submetem ao regime geral de previdência e que o servidor comissionado consta como empregado para fins previdenciários, concluindo-se que o regime jurídico do cargo comissionado é híbrido: mesma</w:t>
      </w:r>
      <w:r w:rsidR="00FF1139">
        <w:rPr>
          <w:rStyle w:val="Hyperlink"/>
          <w:rFonts w:ascii="Arial" w:hAnsi="Arial" w:cs="Arial"/>
          <w:color w:val="000000" w:themeColor="text1"/>
          <w:sz w:val="20"/>
          <w:szCs w:val="20"/>
          <w:u w:val="none"/>
        </w:rPr>
        <w:t>s</w:t>
      </w:r>
      <w:r w:rsidRPr="00822605">
        <w:rPr>
          <w:rStyle w:val="Hyperlink"/>
          <w:rFonts w:ascii="Arial" w:hAnsi="Arial" w:cs="Arial"/>
          <w:color w:val="000000" w:themeColor="text1"/>
          <w:sz w:val="20"/>
          <w:szCs w:val="20"/>
          <w:u w:val="none"/>
        </w:rPr>
        <w:t xml:space="preserve"> disposições do regime jurídico administrativo com regras de direito privado e que diante da divergência de entendimento no que tange ao pagamento apenas de verbas salariais do mês em curso e eventual indenização de férias não gozadas, não há que se falar em responsabilização dos recorridos. </w:t>
      </w:r>
    </w:p>
    <w:p w:rsidR="00684303" w:rsidRPr="00822605" w:rsidRDefault="00684303" w:rsidP="00822605">
      <w:pPr>
        <w:spacing w:after="0"/>
        <w:jc w:val="both"/>
        <w:rPr>
          <w:rStyle w:val="Hyperlink"/>
          <w:rFonts w:ascii="Arial" w:hAnsi="Arial" w:cs="Arial"/>
          <w:color w:val="000000" w:themeColor="text1"/>
          <w:sz w:val="20"/>
          <w:szCs w:val="20"/>
          <w:u w:val="none"/>
        </w:rPr>
      </w:pPr>
    </w:p>
    <w:p w:rsidR="005954F7"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Embora a posição majoritária da jurisprudência refugie a natureza administrativa do vínculo, mesmo quando regido pela CLT, conforme consulta respondida por meio do Acórdão nº </w:t>
      </w:r>
      <w:r w:rsidRPr="00822605">
        <w:rPr>
          <w:rStyle w:val="Hyperlink"/>
          <w:rFonts w:ascii="Arial" w:hAnsi="Arial" w:cs="Arial"/>
          <w:color w:val="000000" w:themeColor="text1"/>
          <w:sz w:val="20"/>
          <w:szCs w:val="20"/>
          <w:u w:val="none"/>
        </w:rPr>
        <w:lastRenderedPageBreak/>
        <w:t xml:space="preserve">889/2006-TP, desta Corte de Contas, uma série de decisões judiciais foi acostada no sentido da natureza estritamente privada do vínculo e da aplicação de todas as regras do sistema privado trabalhista. </w:t>
      </w:r>
    </w:p>
    <w:p w:rsidR="00684303" w:rsidRPr="00822605" w:rsidRDefault="00684303" w:rsidP="00822605">
      <w:pPr>
        <w:spacing w:after="0"/>
        <w:jc w:val="both"/>
        <w:rPr>
          <w:rStyle w:val="Hyperlink"/>
          <w:rFonts w:ascii="Arial" w:hAnsi="Arial" w:cs="Arial"/>
          <w:color w:val="000000" w:themeColor="text1"/>
          <w:sz w:val="20"/>
          <w:szCs w:val="20"/>
          <w:u w:val="none"/>
        </w:rPr>
      </w:pPr>
    </w:p>
    <w:p w:rsidR="005954F7" w:rsidRPr="00822605" w:rsidRDefault="005954F7" w:rsidP="00822605">
      <w:pPr>
        <w:spacing w:after="0"/>
        <w:jc w:val="both"/>
        <w:rPr>
          <w:rStyle w:val="Hyperlink"/>
          <w:rFonts w:ascii="Arial" w:hAnsi="Arial" w:cs="Arial"/>
          <w:color w:val="000000" w:themeColor="text1"/>
          <w:sz w:val="20"/>
          <w:szCs w:val="20"/>
          <w:u w:val="none"/>
        </w:rPr>
      </w:pPr>
      <w:r w:rsidRPr="00822605">
        <w:rPr>
          <w:rStyle w:val="Hyperlink"/>
          <w:rFonts w:ascii="Arial" w:hAnsi="Arial" w:cs="Arial"/>
          <w:color w:val="000000" w:themeColor="text1"/>
          <w:sz w:val="20"/>
          <w:szCs w:val="20"/>
          <w:u w:val="none"/>
        </w:rPr>
        <w:t xml:space="preserve">Processo nº 689259/16 </w:t>
      </w:r>
      <w:r w:rsidR="00684303">
        <w:rPr>
          <w:rStyle w:val="Hyperlink"/>
          <w:rFonts w:ascii="Arial" w:hAnsi="Arial" w:cs="Arial"/>
          <w:color w:val="000000" w:themeColor="text1"/>
          <w:sz w:val="20"/>
          <w:szCs w:val="20"/>
          <w:u w:val="none"/>
        </w:rPr>
        <w:t>-</w:t>
      </w:r>
      <w:r w:rsidRPr="00822605">
        <w:rPr>
          <w:rStyle w:val="Hyperlink"/>
          <w:rFonts w:ascii="Arial" w:hAnsi="Arial" w:cs="Arial"/>
          <w:color w:val="000000" w:themeColor="text1"/>
          <w:sz w:val="20"/>
          <w:szCs w:val="20"/>
          <w:u w:val="none"/>
        </w:rPr>
        <w:t xml:space="preserve"> </w:t>
      </w:r>
      <w:hyperlink r:id="rId18" w:history="1">
        <w:r w:rsidRPr="00822605">
          <w:rPr>
            <w:rStyle w:val="Hyperlink"/>
            <w:rFonts w:ascii="Arial" w:hAnsi="Arial" w:cs="Arial"/>
            <w:sz w:val="20"/>
            <w:szCs w:val="20"/>
          </w:rPr>
          <w:t>Acórdão nº 3498/17-Tribunal Pleno</w:t>
        </w:r>
      </w:hyperlink>
      <w:r w:rsidRPr="00822605">
        <w:rPr>
          <w:rStyle w:val="Hyperlink"/>
          <w:rFonts w:ascii="Arial" w:hAnsi="Arial" w:cs="Arial"/>
          <w:color w:val="000000" w:themeColor="text1"/>
          <w:sz w:val="20"/>
          <w:szCs w:val="20"/>
          <w:u w:val="none"/>
        </w:rPr>
        <w:t xml:space="preserve"> </w:t>
      </w:r>
      <w:r w:rsidR="00E61B6E">
        <w:rPr>
          <w:rStyle w:val="Hyperlink"/>
          <w:rFonts w:ascii="Arial" w:hAnsi="Arial" w:cs="Arial"/>
          <w:color w:val="000000" w:themeColor="text1"/>
          <w:sz w:val="20"/>
          <w:szCs w:val="20"/>
          <w:u w:val="none"/>
        </w:rPr>
        <w:t>-</w:t>
      </w:r>
      <w:r w:rsidRPr="00822605">
        <w:rPr>
          <w:rStyle w:val="Hyperlink"/>
          <w:rFonts w:ascii="Arial" w:hAnsi="Arial" w:cs="Arial"/>
          <w:color w:val="000000" w:themeColor="text1"/>
          <w:sz w:val="20"/>
          <w:szCs w:val="20"/>
          <w:u w:val="none"/>
        </w:rPr>
        <w:t xml:space="preserve"> Rel. Conselheiro </w:t>
      </w:r>
      <w:proofErr w:type="spellStart"/>
      <w:r w:rsidRPr="00822605">
        <w:rPr>
          <w:rStyle w:val="Hyperlink"/>
          <w:rFonts w:ascii="Arial" w:hAnsi="Arial" w:cs="Arial"/>
          <w:color w:val="000000" w:themeColor="text1"/>
          <w:sz w:val="20"/>
          <w:szCs w:val="20"/>
          <w:u w:val="none"/>
        </w:rPr>
        <w:t>Artagão</w:t>
      </w:r>
      <w:proofErr w:type="spellEnd"/>
      <w:r w:rsidRPr="00822605">
        <w:rPr>
          <w:rStyle w:val="Hyperlink"/>
          <w:rFonts w:ascii="Arial" w:hAnsi="Arial" w:cs="Arial"/>
          <w:color w:val="000000" w:themeColor="text1"/>
          <w:sz w:val="20"/>
          <w:szCs w:val="20"/>
          <w:u w:val="none"/>
        </w:rPr>
        <w:t xml:space="preserve"> de Mattos Leão.  </w:t>
      </w:r>
    </w:p>
    <w:p w:rsidR="005954F7" w:rsidRDefault="005954F7" w:rsidP="00816942">
      <w:pPr>
        <w:autoSpaceDE w:val="0"/>
        <w:autoSpaceDN w:val="0"/>
        <w:adjustRightInd w:val="0"/>
        <w:spacing w:after="0"/>
        <w:jc w:val="both"/>
        <w:rPr>
          <w:rFonts w:ascii="Arial" w:hAnsi="Arial" w:cs="Arial"/>
          <w:b/>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816942">
      <w:pPr>
        <w:spacing w:after="0"/>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Pr="00414EF8" w:rsidRDefault="00CC4E55" w:rsidP="006E12D5">
      <w:pPr>
        <w:spacing w:after="0"/>
        <w:jc w:val="both"/>
        <w:rPr>
          <w:rFonts w:ascii="Arial" w:hAnsi="Arial" w:cs="Arial"/>
          <w:b/>
          <w:color w:val="000000"/>
          <w:sz w:val="20"/>
          <w:szCs w:val="20"/>
        </w:rPr>
      </w:pPr>
    </w:p>
    <w:p w:rsidR="00414EF8" w:rsidRPr="00414EF8" w:rsidRDefault="004E3A4A" w:rsidP="00414EF8">
      <w:pPr>
        <w:spacing w:after="0" w:line="240" w:lineRule="auto"/>
        <w:rPr>
          <w:rFonts w:ascii="Arial" w:eastAsia="Times New Roman" w:hAnsi="Arial" w:cs="Arial"/>
          <w:b/>
          <w:sz w:val="20"/>
          <w:szCs w:val="20"/>
          <w:shd w:val="clear" w:color="auto" w:fill="FFFFFF"/>
          <w:lang w:eastAsia="pt-BR"/>
        </w:rPr>
      </w:pPr>
      <w:hyperlink r:id="rId19" w:anchor="TIT1TEMA0" w:history="1">
        <w:r w:rsidR="00414EF8" w:rsidRPr="00414EF8">
          <w:rPr>
            <w:rStyle w:val="Hyperlink"/>
            <w:rFonts w:ascii="Arial" w:eastAsia="Times New Roman" w:hAnsi="Arial" w:cs="Arial"/>
            <w:b/>
            <w:sz w:val="20"/>
            <w:szCs w:val="20"/>
            <w:shd w:val="clear" w:color="auto" w:fill="FFFFFF"/>
            <w:lang w:eastAsia="pt-BR"/>
          </w:rPr>
          <w:t>SÚMULA N</w:t>
        </w:r>
        <w:r w:rsidR="00E56591">
          <w:rPr>
            <w:rStyle w:val="Hyperlink"/>
            <w:rFonts w:ascii="Arial" w:eastAsia="Times New Roman" w:hAnsi="Arial" w:cs="Arial"/>
            <w:b/>
            <w:sz w:val="20"/>
            <w:szCs w:val="20"/>
            <w:shd w:val="clear" w:color="auto" w:fill="FFFFFF"/>
            <w:lang w:eastAsia="pt-BR"/>
          </w:rPr>
          <w:t>°</w:t>
        </w:r>
        <w:r w:rsidR="00414EF8" w:rsidRPr="00414EF8">
          <w:rPr>
            <w:rStyle w:val="Hyperlink"/>
            <w:rFonts w:ascii="Arial" w:eastAsia="Times New Roman" w:hAnsi="Arial" w:cs="Arial"/>
            <w:b/>
            <w:sz w:val="20"/>
            <w:szCs w:val="20"/>
            <w:shd w:val="clear" w:color="auto" w:fill="FFFFFF"/>
            <w:lang w:eastAsia="pt-BR"/>
          </w:rPr>
          <w:t xml:space="preserve"> 591</w:t>
        </w:r>
      </w:hyperlink>
    </w:p>
    <w:p w:rsidR="00414EF8" w:rsidRPr="00414EF8" w:rsidRDefault="00414EF8" w:rsidP="00414EF8">
      <w:pPr>
        <w:spacing w:before="100" w:beforeAutospacing="1" w:after="100" w:afterAutospacing="1" w:line="240" w:lineRule="auto"/>
        <w:jc w:val="both"/>
        <w:rPr>
          <w:rFonts w:ascii="Arial" w:eastAsia="Times New Roman" w:hAnsi="Arial" w:cs="Arial"/>
          <w:b/>
          <w:bCs/>
          <w:sz w:val="20"/>
          <w:szCs w:val="20"/>
          <w:shd w:val="clear" w:color="auto" w:fill="FFFFFF"/>
          <w:lang w:eastAsia="pt-BR"/>
        </w:rPr>
      </w:pPr>
      <w:r w:rsidRPr="00414EF8">
        <w:rPr>
          <w:rFonts w:ascii="Arial" w:eastAsia="Times New Roman" w:hAnsi="Arial" w:cs="Arial"/>
          <w:sz w:val="20"/>
          <w:szCs w:val="20"/>
          <w:shd w:val="clear" w:color="auto" w:fill="FFFFFF"/>
          <w:lang w:eastAsia="pt-BR"/>
        </w:rPr>
        <w:t>É permitida a prova emprestada no processo administrativo disciplinar, desde que devidamente autorizada pelo juízo competente e respeitados o contraditório e a ampla defesa. </w:t>
      </w:r>
      <w:r w:rsidRPr="00414EF8">
        <w:rPr>
          <w:rFonts w:ascii="Arial" w:eastAsia="Times New Roman" w:hAnsi="Arial" w:cs="Arial"/>
          <w:b/>
          <w:bCs/>
          <w:sz w:val="20"/>
          <w:szCs w:val="20"/>
          <w:shd w:val="clear" w:color="auto" w:fill="FFFFFF"/>
          <w:lang w:eastAsia="pt-BR"/>
        </w:rPr>
        <w:t xml:space="preserve">Primeira Seção, aprovada em 13/9/2017, </w:t>
      </w:r>
      <w:proofErr w:type="spellStart"/>
      <w:r w:rsidRPr="00414EF8">
        <w:rPr>
          <w:rFonts w:ascii="Arial" w:eastAsia="Times New Roman" w:hAnsi="Arial" w:cs="Arial"/>
          <w:b/>
          <w:bCs/>
          <w:sz w:val="20"/>
          <w:szCs w:val="20"/>
          <w:shd w:val="clear" w:color="auto" w:fill="FFFFFF"/>
          <w:lang w:eastAsia="pt-BR"/>
        </w:rPr>
        <w:t>DJe</w:t>
      </w:r>
      <w:proofErr w:type="spellEnd"/>
      <w:r w:rsidRPr="00414EF8">
        <w:rPr>
          <w:rFonts w:ascii="Arial" w:eastAsia="Times New Roman" w:hAnsi="Arial" w:cs="Arial"/>
          <w:b/>
          <w:bCs/>
          <w:sz w:val="20"/>
          <w:szCs w:val="20"/>
          <w:shd w:val="clear" w:color="auto" w:fill="FFFFFF"/>
          <w:lang w:eastAsia="pt-BR"/>
        </w:rPr>
        <w:t xml:space="preserve"> 18/9/2017.</w:t>
      </w:r>
    </w:p>
    <w:p w:rsidR="00414EF8" w:rsidRPr="00414EF8" w:rsidRDefault="004E3A4A" w:rsidP="00414EF8">
      <w:pPr>
        <w:rPr>
          <w:rStyle w:val="clsinformativotexto"/>
          <w:rFonts w:ascii="Arial" w:hAnsi="Arial" w:cs="Arial"/>
          <w:b/>
          <w:sz w:val="20"/>
          <w:szCs w:val="20"/>
          <w:shd w:val="clear" w:color="auto" w:fill="FFFFFF"/>
        </w:rPr>
      </w:pPr>
      <w:hyperlink r:id="rId20" w:anchor="TIT1TEMA0" w:history="1">
        <w:r w:rsidR="00414EF8" w:rsidRPr="00414EF8">
          <w:rPr>
            <w:rStyle w:val="Hyperlink"/>
            <w:rFonts w:ascii="Arial" w:hAnsi="Arial" w:cs="Arial"/>
            <w:b/>
            <w:sz w:val="20"/>
            <w:szCs w:val="20"/>
            <w:shd w:val="clear" w:color="auto" w:fill="FFFFFF"/>
          </w:rPr>
          <w:t>SÚMULA N</w:t>
        </w:r>
        <w:r w:rsidR="00E56591">
          <w:rPr>
            <w:rStyle w:val="Hyperlink"/>
            <w:rFonts w:ascii="Arial" w:hAnsi="Arial" w:cs="Arial"/>
            <w:b/>
            <w:sz w:val="20"/>
            <w:szCs w:val="20"/>
            <w:shd w:val="clear" w:color="auto" w:fill="FFFFFF"/>
          </w:rPr>
          <w:t>°</w:t>
        </w:r>
        <w:r w:rsidR="00414EF8" w:rsidRPr="00414EF8">
          <w:rPr>
            <w:rStyle w:val="Hyperlink"/>
            <w:rFonts w:ascii="Arial" w:hAnsi="Arial" w:cs="Arial"/>
            <w:b/>
            <w:sz w:val="20"/>
            <w:szCs w:val="20"/>
            <w:shd w:val="clear" w:color="auto" w:fill="FFFFFF"/>
          </w:rPr>
          <w:t xml:space="preserve"> 592</w:t>
        </w:r>
      </w:hyperlink>
    </w:p>
    <w:p w:rsidR="00414EF8" w:rsidRDefault="00414EF8" w:rsidP="00414EF8">
      <w:pPr>
        <w:pStyle w:val="NormalWeb"/>
        <w:jc w:val="both"/>
        <w:rPr>
          <w:rStyle w:val="Forte"/>
          <w:rFonts w:ascii="Arial" w:hAnsi="Arial" w:cs="Arial"/>
          <w:sz w:val="20"/>
          <w:szCs w:val="20"/>
          <w:shd w:val="clear" w:color="auto" w:fill="FFFFFF"/>
        </w:rPr>
      </w:pPr>
      <w:r w:rsidRPr="00414EF8">
        <w:rPr>
          <w:rFonts w:ascii="Arial" w:hAnsi="Arial" w:cs="Arial"/>
          <w:sz w:val="20"/>
          <w:szCs w:val="20"/>
          <w:shd w:val="clear" w:color="auto" w:fill="FFFFFF"/>
        </w:rPr>
        <w:t>O excesso de prazo para a conclusão do processo administrativo disciplinar só causa nulidade se houver demonstração de prejuízo à defesa. </w:t>
      </w:r>
      <w:r w:rsidRPr="00414EF8">
        <w:rPr>
          <w:rStyle w:val="Forte"/>
          <w:rFonts w:ascii="Arial" w:hAnsi="Arial" w:cs="Arial"/>
          <w:sz w:val="20"/>
          <w:szCs w:val="20"/>
          <w:shd w:val="clear" w:color="auto" w:fill="FFFFFF"/>
        </w:rPr>
        <w:t xml:space="preserve">Primeira Seção, aprovada em 13/9/2017, </w:t>
      </w:r>
      <w:proofErr w:type="spellStart"/>
      <w:r w:rsidRPr="00414EF8">
        <w:rPr>
          <w:rStyle w:val="Forte"/>
          <w:rFonts w:ascii="Arial" w:hAnsi="Arial" w:cs="Arial"/>
          <w:sz w:val="20"/>
          <w:szCs w:val="20"/>
          <w:shd w:val="clear" w:color="auto" w:fill="FFFFFF"/>
        </w:rPr>
        <w:t>DJe</w:t>
      </w:r>
      <w:proofErr w:type="spellEnd"/>
      <w:r w:rsidRPr="00414EF8">
        <w:rPr>
          <w:rStyle w:val="Forte"/>
          <w:rFonts w:ascii="Arial" w:hAnsi="Arial" w:cs="Arial"/>
          <w:sz w:val="20"/>
          <w:szCs w:val="20"/>
          <w:shd w:val="clear" w:color="auto" w:fill="FFFFFF"/>
        </w:rPr>
        <w:t xml:space="preserve"> 18/9/2017.</w:t>
      </w:r>
    </w:p>
    <w:p w:rsidR="00414EF8" w:rsidRDefault="004E3A4A" w:rsidP="00414EF8">
      <w:pPr>
        <w:pStyle w:val="NormalWeb"/>
        <w:jc w:val="both"/>
        <w:rPr>
          <w:rStyle w:val="Forte"/>
          <w:rFonts w:ascii="Arial" w:hAnsi="Arial" w:cs="Arial"/>
          <w:sz w:val="20"/>
          <w:szCs w:val="20"/>
          <w:shd w:val="clear" w:color="auto" w:fill="FFFFFF"/>
        </w:rPr>
      </w:pPr>
      <w:hyperlink r:id="rId21" w:history="1">
        <w:proofErr w:type="spellStart"/>
        <w:r w:rsidR="00414EF8" w:rsidRPr="00414EF8">
          <w:rPr>
            <w:rStyle w:val="Hyperlink"/>
            <w:rFonts w:ascii="Arial" w:hAnsi="Arial" w:cs="Arial"/>
            <w:b/>
            <w:sz w:val="20"/>
            <w:szCs w:val="20"/>
            <w:shd w:val="clear" w:color="auto" w:fill="FFFFFF"/>
          </w:rPr>
          <w:t>REsp</w:t>
        </w:r>
        <w:proofErr w:type="spellEnd"/>
        <w:r w:rsidR="00414EF8" w:rsidRPr="00414EF8">
          <w:rPr>
            <w:rStyle w:val="Hyperlink"/>
            <w:rFonts w:ascii="Arial" w:hAnsi="Arial" w:cs="Arial"/>
            <w:b/>
            <w:sz w:val="20"/>
            <w:szCs w:val="20"/>
            <w:shd w:val="clear" w:color="auto" w:fill="FFFFFF"/>
          </w:rPr>
          <w:t xml:space="preserve"> 1.503.007-CE</w:t>
        </w:r>
      </w:hyperlink>
      <w:r w:rsidR="00414EF8" w:rsidRPr="00414EF8">
        <w:rPr>
          <w:rStyle w:val="Forte"/>
          <w:rFonts w:ascii="Arial" w:hAnsi="Arial" w:cs="Arial"/>
          <w:sz w:val="20"/>
          <w:szCs w:val="20"/>
          <w:shd w:val="clear" w:color="auto" w:fill="FFFFFF"/>
        </w:rPr>
        <w:t xml:space="preserve">, Rel. Min. Herman Benjamin, por unanimidade, julgado em 14/6/2017, </w:t>
      </w:r>
      <w:proofErr w:type="spellStart"/>
      <w:r w:rsidR="00414EF8" w:rsidRPr="00414EF8">
        <w:rPr>
          <w:rStyle w:val="Forte"/>
          <w:rFonts w:ascii="Arial" w:hAnsi="Arial" w:cs="Arial"/>
          <w:sz w:val="20"/>
          <w:szCs w:val="20"/>
          <w:shd w:val="clear" w:color="auto" w:fill="FFFFFF"/>
        </w:rPr>
        <w:t>DJe</w:t>
      </w:r>
      <w:proofErr w:type="spellEnd"/>
      <w:r w:rsidR="00414EF8" w:rsidRPr="00414EF8">
        <w:rPr>
          <w:rStyle w:val="Forte"/>
          <w:rFonts w:ascii="Arial" w:hAnsi="Arial" w:cs="Arial"/>
          <w:sz w:val="20"/>
          <w:szCs w:val="20"/>
          <w:shd w:val="clear" w:color="auto" w:fill="FFFFFF"/>
        </w:rPr>
        <w:t xml:space="preserve"> 6/9/2017.</w:t>
      </w:r>
    </w:p>
    <w:p w:rsidR="00414EF8" w:rsidRPr="00414EF8" w:rsidRDefault="00414EF8" w:rsidP="00414EF8">
      <w:pPr>
        <w:pStyle w:val="NormalWeb"/>
        <w:jc w:val="both"/>
        <w:rPr>
          <w:rStyle w:val="Forte"/>
          <w:rFonts w:ascii="Arial" w:hAnsi="Arial" w:cs="Arial"/>
          <w:b w:val="0"/>
          <w:sz w:val="20"/>
          <w:szCs w:val="20"/>
          <w:shd w:val="clear" w:color="auto" w:fill="FFFFFF"/>
        </w:rPr>
      </w:pPr>
      <w:r w:rsidRPr="00414EF8">
        <w:rPr>
          <w:rFonts w:ascii="Arial" w:hAnsi="Arial" w:cs="Arial"/>
          <w:b/>
          <w:sz w:val="20"/>
          <w:szCs w:val="20"/>
          <w:shd w:val="clear" w:color="auto" w:fill="FFFFFF"/>
        </w:rPr>
        <w:t>Associação de municípios. Representação processual. Impossibilidade.</w:t>
      </w:r>
    </w:p>
    <w:p w:rsidR="00414EF8" w:rsidRDefault="00414EF8" w:rsidP="00414EF8">
      <w:pPr>
        <w:pStyle w:val="NormalWeb"/>
        <w:jc w:val="both"/>
        <w:rPr>
          <w:rFonts w:ascii="Arial" w:hAnsi="Arial" w:cs="Arial"/>
          <w:sz w:val="20"/>
          <w:szCs w:val="20"/>
          <w:shd w:val="clear" w:color="auto" w:fill="FFFFFF"/>
        </w:rPr>
      </w:pPr>
      <w:r w:rsidRPr="00414EF8">
        <w:rPr>
          <w:rFonts w:ascii="Arial" w:hAnsi="Arial" w:cs="Arial"/>
          <w:sz w:val="20"/>
          <w:szCs w:val="20"/>
          <w:shd w:val="clear" w:color="auto" w:fill="FFFFFF"/>
        </w:rPr>
        <w:t>Associação de Municípios e Prefeitos não possui legitimidade ativa para tutelar em juízo direitos e interesses das pessoas jurídicas de direito público.</w:t>
      </w:r>
    </w:p>
    <w:p w:rsidR="000800D1" w:rsidRPr="0022060B" w:rsidRDefault="000800D1" w:rsidP="006E12D5">
      <w:pPr>
        <w:spacing w:after="0"/>
        <w:jc w:val="both"/>
        <w:rPr>
          <w:rFonts w:ascii="Arial" w:hAnsi="Arial" w:cs="Arial"/>
          <w:b/>
          <w:color w:val="000000"/>
          <w:sz w:val="20"/>
          <w:szCs w:val="20"/>
        </w:rPr>
      </w:pPr>
      <w:r w:rsidRPr="0022060B">
        <w:rPr>
          <w:rFonts w:ascii="Arial" w:hAnsi="Arial" w:cs="Arial"/>
          <w:b/>
          <w:color w:val="000000"/>
          <w:sz w:val="20"/>
          <w:szCs w:val="20"/>
        </w:rPr>
        <w:t>Tribunal de Contas da União:</w:t>
      </w:r>
    </w:p>
    <w:p w:rsidR="006E2848" w:rsidRPr="00FA32BC" w:rsidRDefault="006E2848" w:rsidP="00CF4FDB">
      <w:pPr>
        <w:widowControl w:val="0"/>
        <w:autoSpaceDE w:val="0"/>
        <w:autoSpaceDN w:val="0"/>
        <w:jc w:val="both"/>
        <w:rPr>
          <w:rFonts w:ascii="Arial" w:hAnsi="Arial"/>
          <w:b/>
          <w:sz w:val="20"/>
          <w:szCs w:val="20"/>
        </w:rPr>
      </w:pPr>
    </w:p>
    <w:p w:rsidR="00CF4FDB" w:rsidRPr="00FA32BC" w:rsidRDefault="004E3A4A" w:rsidP="00CF4FDB">
      <w:pPr>
        <w:widowControl w:val="0"/>
        <w:autoSpaceDE w:val="0"/>
        <w:autoSpaceDN w:val="0"/>
        <w:jc w:val="both"/>
        <w:rPr>
          <w:rFonts w:ascii="Arial" w:hAnsi="Arial" w:cs="Arial"/>
          <w:b/>
          <w:sz w:val="20"/>
          <w:szCs w:val="20"/>
        </w:rPr>
      </w:pPr>
      <w:hyperlink r:id="rId22" w:history="1">
        <w:r w:rsidR="00CF4FDB" w:rsidRPr="00FA32BC">
          <w:rPr>
            <w:rStyle w:val="Hyperlink"/>
            <w:rFonts w:ascii="Arial" w:hAnsi="Arial"/>
            <w:b/>
            <w:sz w:val="20"/>
            <w:szCs w:val="20"/>
          </w:rPr>
          <w:t>Acórdão 1651/2017</w:t>
        </w:r>
        <w:r w:rsidR="00F13466" w:rsidRPr="00FA32BC">
          <w:rPr>
            <w:rStyle w:val="Hyperlink"/>
            <w:rFonts w:ascii="Arial" w:hAnsi="Arial"/>
            <w:b/>
            <w:sz w:val="20"/>
            <w:szCs w:val="20"/>
          </w:rPr>
          <w:t xml:space="preserve"> -</w:t>
        </w:r>
        <w:r w:rsidR="00CF4FDB" w:rsidRPr="00FA32BC">
          <w:rPr>
            <w:rStyle w:val="Hyperlink"/>
            <w:rFonts w:ascii="Arial" w:hAnsi="Arial"/>
            <w:b/>
            <w:sz w:val="20"/>
            <w:szCs w:val="20"/>
          </w:rPr>
          <w:t xml:space="preserve"> Plenário</w:t>
        </w:r>
      </w:hyperlink>
      <w:r w:rsidR="00CF4FDB" w:rsidRPr="00FA32BC">
        <w:rPr>
          <w:rFonts w:ascii="Arial" w:hAnsi="Arial"/>
          <w:b/>
          <w:sz w:val="20"/>
          <w:szCs w:val="20"/>
        </w:rPr>
        <w:t xml:space="preserve"> </w:t>
      </w:r>
      <w:r w:rsidR="00CF4FDB" w:rsidRPr="00FA32BC">
        <w:rPr>
          <w:rFonts w:ascii="Arial" w:hAnsi="Arial"/>
          <w:sz w:val="20"/>
          <w:szCs w:val="20"/>
        </w:rPr>
        <w:t>(Recurso de Revisão, Relator Ministro Walton Alencar Rodrigues)</w:t>
      </w:r>
    </w:p>
    <w:p w:rsidR="00CF4FDB" w:rsidRPr="00FA32BC" w:rsidRDefault="00CF4FDB" w:rsidP="00CF4FDB">
      <w:pPr>
        <w:jc w:val="both"/>
        <w:rPr>
          <w:rFonts w:ascii="Arial" w:hAnsi="Arial" w:cs="Arial"/>
          <w:b/>
          <w:sz w:val="20"/>
          <w:szCs w:val="20"/>
        </w:rPr>
      </w:pPr>
      <w:r w:rsidRPr="00FA32BC">
        <w:rPr>
          <w:rFonts w:ascii="Arial" w:hAnsi="Arial"/>
          <w:b/>
          <w:sz w:val="20"/>
          <w:szCs w:val="20"/>
        </w:rPr>
        <w:t>Responsabilidade. Convênio. Débito. Ressarcimento. Ente da Federação. Gestor público.</w:t>
      </w:r>
    </w:p>
    <w:p w:rsidR="00CF4FDB" w:rsidRPr="00FA32BC" w:rsidRDefault="00CF4FDB" w:rsidP="00CF4FDB">
      <w:pPr>
        <w:pStyle w:val="TCU-Epgrafe"/>
        <w:spacing w:after="200" w:line="276" w:lineRule="auto"/>
        <w:ind w:left="0"/>
        <w:rPr>
          <w:rFonts w:ascii="Arial" w:hAnsi="Arial"/>
          <w:iCs/>
          <w:sz w:val="20"/>
        </w:rPr>
      </w:pPr>
      <w:r w:rsidRPr="00FA32BC">
        <w:rPr>
          <w:rFonts w:ascii="Arial" w:hAnsi="Arial"/>
          <w:iCs/>
          <w:sz w:val="20"/>
        </w:rPr>
        <w:t xml:space="preserve">A restituição dos recursos do convênio pelo município, quando este não auferiu vantagem da irregularidade cometida, não elide o débito imputado ao gestor público pelo TCU, tendo em vista </w:t>
      </w:r>
      <w:r w:rsidRPr="00FA32BC">
        <w:rPr>
          <w:rFonts w:ascii="Arial" w:hAnsi="Arial"/>
          <w:iCs/>
          <w:sz w:val="20"/>
        </w:rPr>
        <w:lastRenderedPageBreak/>
        <w:t xml:space="preserve">a possibilidade, em situações da espécie, de o ente federado ajuizar ação de repetição de indébito em face da União para obter a devolução dos valores. </w:t>
      </w:r>
    </w:p>
    <w:p w:rsidR="00424258" w:rsidRPr="00FA32BC" w:rsidRDefault="004E3A4A" w:rsidP="00424258">
      <w:pPr>
        <w:widowControl w:val="0"/>
        <w:autoSpaceDE w:val="0"/>
        <w:autoSpaceDN w:val="0"/>
        <w:jc w:val="both"/>
        <w:rPr>
          <w:rFonts w:ascii="Arial" w:hAnsi="Arial" w:cs="Arial"/>
          <w:b/>
          <w:sz w:val="20"/>
          <w:szCs w:val="20"/>
        </w:rPr>
      </w:pPr>
      <w:hyperlink r:id="rId23" w:history="1">
        <w:r w:rsidR="00424258" w:rsidRPr="00FA32BC">
          <w:rPr>
            <w:rStyle w:val="Hyperlink"/>
            <w:rFonts w:ascii="Arial" w:hAnsi="Arial"/>
            <w:b/>
            <w:sz w:val="20"/>
            <w:szCs w:val="20"/>
          </w:rPr>
          <w:t>Acórdão 1667/2017</w:t>
        </w:r>
        <w:r w:rsidR="00F13466" w:rsidRPr="00FA32BC">
          <w:rPr>
            <w:rStyle w:val="Hyperlink"/>
            <w:rFonts w:ascii="Arial" w:hAnsi="Arial"/>
            <w:b/>
            <w:sz w:val="20"/>
            <w:szCs w:val="20"/>
          </w:rPr>
          <w:t>-</w:t>
        </w:r>
        <w:r w:rsidR="00424258" w:rsidRPr="00FA32BC">
          <w:rPr>
            <w:rStyle w:val="Hyperlink"/>
            <w:rFonts w:ascii="Arial" w:hAnsi="Arial"/>
            <w:b/>
            <w:sz w:val="20"/>
            <w:szCs w:val="20"/>
          </w:rPr>
          <w:t xml:space="preserve"> Plenário</w:t>
        </w:r>
      </w:hyperlink>
      <w:r w:rsidR="00424258" w:rsidRPr="00FA32BC">
        <w:rPr>
          <w:rFonts w:ascii="Arial" w:hAnsi="Arial"/>
          <w:b/>
          <w:sz w:val="20"/>
          <w:szCs w:val="20"/>
        </w:rPr>
        <w:t xml:space="preserve"> </w:t>
      </w:r>
      <w:r w:rsidR="00424258" w:rsidRPr="00FA32BC">
        <w:rPr>
          <w:rFonts w:ascii="Arial" w:hAnsi="Arial"/>
          <w:sz w:val="20"/>
          <w:szCs w:val="20"/>
        </w:rPr>
        <w:t>(Agravo, Relator Ministro Aroldo Cedraz)</w:t>
      </w:r>
    </w:p>
    <w:p w:rsidR="00424258" w:rsidRPr="00FA32BC" w:rsidRDefault="00424258" w:rsidP="00424258">
      <w:pPr>
        <w:jc w:val="both"/>
        <w:rPr>
          <w:rFonts w:ascii="Arial" w:hAnsi="Arial" w:cs="Arial"/>
          <w:b/>
          <w:sz w:val="20"/>
          <w:szCs w:val="20"/>
        </w:rPr>
      </w:pPr>
      <w:r w:rsidRPr="00FA32BC">
        <w:rPr>
          <w:rFonts w:ascii="Arial" w:hAnsi="Arial"/>
          <w:b/>
          <w:sz w:val="20"/>
          <w:szCs w:val="20"/>
        </w:rPr>
        <w:t>Direito Processual. Parte processual. Representante. Licitante. Direito subjetivo.</w:t>
      </w:r>
    </w:p>
    <w:p w:rsidR="00424258" w:rsidRPr="00FA32BC" w:rsidRDefault="00424258" w:rsidP="00424258">
      <w:pPr>
        <w:pStyle w:val="TCU-Epgrafe"/>
        <w:spacing w:after="200" w:line="276" w:lineRule="auto"/>
        <w:ind w:left="0"/>
        <w:rPr>
          <w:rFonts w:ascii="Arial" w:hAnsi="Arial"/>
          <w:sz w:val="20"/>
        </w:rPr>
      </w:pPr>
      <w:r w:rsidRPr="00FA32BC">
        <w:rPr>
          <w:rFonts w:ascii="Arial" w:hAnsi="Arial"/>
          <w:sz w:val="20"/>
        </w:rPr>
        <w:t>A mera participação na licitação não gera direito subjetivo a ser defendido perante o TCU e, portanto, não confere a licitante, mesmo como autora da representação, a condição de parte no processo que apura eventuais irregularidades no certame, especialmente no caso em que não houve contratação nem mesmo adjudicação em favor da licitante.</w:t>
      </w:r>
    </w:p>
    <w:p w:rsidR="006639D8" w:rsidRPr="00FA32BC" w:rsidRDefault="004E3A4A" w:rsidP="006639D8">
      <w:pPr>
        <w:widowControl w:val="0"/>
        <w:autoSpaceDE w:val="0"/>
        <w:autoSpaceDN w:val="0"/>
        <w:jc w:val="both"/>
        <w:rPr>
          <w:rFonts w:ascii="Arial" w:hAnsi="Arial" w:cs="Arial"/>
          <w:b/>
          <w:sz w:val="20"/>
          <w:szCs w:val="20"/>
        </w:rPr>
      </w:pPr>
      <w:hyperlink r:id="rId24" w:history="1">
        <w:r w:rsidR="006639D8" w:rsidRPr="00FA32BC">
          <w:rPr>
            <w:rStyle w:val="Hyperlink"/>
            <w:rFonts w:ascii="Arial" w:hAnsi="Arial"/>
            <w:b/>
            <w:sz w:val="20"/>
            <w:szCs w:val="20"/>
          </w:rPr>
          <w:t>Acórdão 1667/2017</w:t>
        </w:r>
        <w:r w:rsidR="00F13466" w:rsidRPr="00FA32BC">
          <w:rPr>
            <w:rStyle w:val="Hyperlink"/>
            <w:rFonts w:ascii="Arial" w:hAnsi="Arial"/>
            <w:b/>
            <w:sz w:val="20"/>
            <w:szCs w:val="20"/>
          </w:rPr>
          <w:t xml:space="preserve"> -</w:t>
        </w:r>
        <w:r w:rsidR="006639D8" w:rsidRPr="00FA32BC">
          <w:rPr>
            <w:rStyle w:val="Hyperlink"/>
            <w:rFonts w:ascii="Arial" w:hAnsi="Arial"/>
            <w:b/>
            <w:sz w:val="20"/>
            <w:szCs w:val="20"/>
          </w:rPr>
          <w:t xml:space="preserve"> Plenário</w:t>
        </w:r>
      </w:hyperlink>
      <w:r w:rsidR="006639D8" w:rsidRPr="00FA32BC">
        <w:rPr>
          <w:rFonts w:ascii="Arial" w:hAnsi="Arial"/>
          <w:b/>
          <w:sz w:val="20"/>
          <w:szCs w:val="20"/>
        </w:rPr>
        <w:t xml:space="preserve"> </w:t>
      </w:r>
      <w:r w:rsidR="006639D8" w:rsidRPr="00FA32BC">
        <w:rPr>
          <w:rFonts w:ascii="Arial" w:hAnsi="Arial"/>
          <w:sz w:val="20"/>
          <w:szCs w:val="20"/>
        </w:rPr>
        <w:t>(Agravo, Relator Ministro Aroldo Cedraz)</w:t>
      </w:r>
    </w:p>
    <w:p w:rsidR="006639D8" w:rsidRPr="00FA32BC" w:rsidRDefault="006639D8" w:rsidP="006639D8">
      <w:pPr>
        <w:jc w:val="both"/>
        <w:rPr>
          <w:rFonts w:ascii="Arial" w:hAnsi="Arial" w:cs="Arial"/>
          <w:b/>
          <w:sz w:val="20"/>
          <w:szCs w:val="20"/>
        </w:rPr>
      </w:pPr>
      <w:r w:rsidRPr="00FA32BC">
        <w:rPr>
          <w:rFonts w:ascii="Arial" w:hAnsi="Arial"/>
          <w:b/>
          <w:sz w:val="20"/>
          <w:szCs w:val="20"/>
        </w:rPr>
        <w:t>Licitação. Pregão. Bens e serviços de informática. Serviços comuns. Software.</w:t>
      </w:r>
    </w:p>
    <w:p w:rsidR="006639D8" w:rsidRPr="00FA32BC" w:rsidRDefault="006639D8" w:rsidP="006639D8">
      <w:pPr>
        <w:pStyle w:val="TCU-Epgrafe"/>
        <w:spacing w:after="200" w:line="276" w:lineRule="auto"/>
        <w:ind w:left="0"/>
        <w:rPr>
          <w:sz w:val="20"/>
        </w:rPr>
      </w:pPr>
      <w:r w:rsidRPr="00FA32BC">
        <w:rPr>
          <w:rFonts w:ascii="Arial" w:hAnsi="Arial"/>
          <w:sz w:val="20"/>
        </w:rPr>
        <w:t xml:space="preserve">O desenvolvimento e a manutenção de </w:t>
      </w:r>
      <w:r w:rsidRPr="00FA32BC">
        <w:rPr>
          <w:rFonts w:ascii="Arial" w:hAnsi="Arial"/>
          <w:bCs/>
          <w:i/>
          <w:sz w:val="20"/>
        </w:rPr>
        <w:t>softwares</w:t>
      </w:r>
      <w:r w:rsidRPr="00FA32BC">
        <w:rPr>
          <w:rFonts w:ascii="Arial" w:hAnsi="Arial"/>
          <w:sz w:val="20"/>
        </w:rPr>
        <w:t xml:space="preserve"> enquadram-se na categoria de objetos comuns prevista na </w:t>
      </w:r>
      <w:hyperlink r:id="rId25" w:tgtFrame="_blank" w:history="1">
        <w:r w:rsidRPr="00FA32BC">
          <w:rPr>
            <w:rStyle w:val="Hyperlink"/>
            <w:rFonts w:ascii="Arial" w:hAnsi="Arial"/>
            <w:color w:val="0000FF" w:themeColor="hyperlink"/>
            <w:sz w:val="20"/>
            <w:shd w:val="clear" w:color="auto" w:fill="FFFFFF"/>
          </w:rPr>
          <w:t>Lei 10.520/2002</w:t>
        </w:r>
      </w:hyperlink>
      <w:r w:rsidRPr="00FA32BC">
        <w:rPr>
          <w:rFonts w:ascii="Arial" w:hAnsi="Arial"/>
          <w:sz w:val="20"/>
        </w:rPr>
        <w:t xml:space="preserve"> sempre que possam ter seus padrões de desempenho e qualidade objetivamente definidos no edital por meio de especificações usuais no mercado, devendo, nessa situação, ser licitados mediante pregão (art. 9º, §§ 1º e 2º, do </w:t>
      </w:r>
      <w:hyperlink r:id="rId26" w:tgtFrame="_blank" w:history="1">
        <w:r w:rsidRPr="00FA32BC">
          <w:rPr>
            <w:rStyle w:val="Hyperlink"/>
            <w:rFonts w:ascii="Arial" w:hAnsi="Arial"/>
            <w:color w:val="0000FF" w:themeColor="hyperlink"/>
            <w:sz w:val="20"/>
            <w:shd w:val="clear" w:color="auto" w:fill="FFFFFF"/>
          </w:rPr>
          <w:t>Decreto 7.174/2010</w:t>
        </w:r>
      </w:hyperlink>
      <w:r w:rsidRPr="00FA32BC">
        <w:rPr>
          <w:rFonts w:ascii="Arial" w:hAnsi="Arial"/>
          <w:sz w:val="20"/>
        </w:rPr>
        <w:t>).</w:t>
      </w:r>
    </w:p>
    <w:p w:rsidR="00A201C2" w:rsidRDefault="004E3A4A" w:rsidP="00A201C2">
      <w:pPr>
        <w:widowControl w:val="0"/>
        <w:autoSpaceDE w:val="0"/>
        <w:autoSpaceDN w:val="0"/>
        <w:jc w:val="both"/>
        <w:rPr>
          <w:rFonts w:ascii="Arial" w:hAnsi="Arial"/>
          <w:sz w:val="20"/>
          <w:szCs w:val="20"/>
        </w:rPr>
      </w:pPr>
      <w:hyperlink r:id="rId27" w:history="1">
        <w:r w:rsidR="00A201C2" w:rsidRPr="00FA32BC">
          <w:rPr>
            <w:rStyle w:val="Hyperlink"/>
            <w:rFonts w:ascii="Arial" w:hAnsi="Arial"/>
            <w:b/>
            <w:sz w:val="20"/>
            <w:szCs w:val="20"/>
          </w:rPr>
          <w:t>Acórdão 1671/2017</w:t>
        </w:r>
        <w:r w:rsidR="00F13466" w:rsidRPr="00FA32BC">
          <w:rPr>
            <w:rStyle w:val="Hyperlink"/>
            <w:rFonts w:ascii="Arial" w:hAnsi="Arial"/>
            <w:b/>
            <w:sz w:val="20"/>
            <w:szCs w:val="20"/>
          </w:rPr>
          <w:t xml:space="preserve"> -</w:t>
        </w:r>
        <w:r w:rsidR="00A201C2" w:rsidRPr="00FA32BC">
          <w:rPr>
            <w:rStyle w:val="Hyperlink"/>
            <w:rFonts w:ascii="Arial" w:hAnsi="Arial"/>
            <w:b/>
            <w:sz w:val="20"/>
            <w:szCs w:val="20"/>
          </w:rPr>
          <w:t xml:space="preserve"> Plenário</w:t>
        </w:r>
      </w:hyperlink>
      <w:r w:rsidR="00A201C2" w:rsidRPr="00FA32BC">
        <w:rPr>
          <w:rFonts w:ascii="Arial" w:hAnsi="Arial"/>
          <w:b/>
          <w:sz w:val="20"/>
          <w:szCs w:val="20"/>
        </w:rPr>
        <w:t xml:space="preserve"> </w:t>
      </w:r>
      <w:r w:rsidR="00A201C2" w:rsidRPr="00FA32BC">
        <w:rPr>
          <w:rFonts w:ascii="Arial" w:hAnsi="Arial"/>
          <w:sz w:val="20"/>
          <w:szCs w:val="20"/>
        </w:rPr>
        <w:t xml:space="preserve">(Representação, Relator Ministro José </w:t>
      </w:r>
      <w:proofErr w:type="spellStart"/>
      <w:r w:rsidR="00A201C2" w:rsidRPr="00FA32BC">
        <w:rPr>
          <w:rFonts w:ascii="Arial" w:hAnsi="Arial"/>
          <w:sz w:val="20"/>
          <w:szCs w:val="20"/>
        </w:rPr>
        <w:t>Múcio</w:t>
      </w:r>
      <w:proofErr w:type="spellEnd"/>
      <w:r w:rsidR="00A201C2" w:rsidRPr="00FA32BC">
        <w:rPr>
          <w:rFonts w:ascii="Arial" w:hAnsi="Arial"/>
          <w:sz w:val="20"/>
          <w:szCs w:val="20"/>
        </w:rPr>
        <w:t xml:space="preserve"> Monteiro)</w:t>
      </w:r>
    </w:p>
    <w:p w:rsidR="00A201C2" w:rsidRPr="00FA32BC" w:rsidRDefault="00A201C2" w:rsidP="00A201C2">
      <w:pPr>
        <w:jc w:val="both"/>
        <w:rPr>
          <w:rFonts w:ascii="Arial" w:hAnsi="Arial" w:cs="Arial"/>
          <w:b/>
          <w:sz w:val="20"/>
          <w:szCs w:val="20"/>
        </w:rPr>
      </w:pPr>
      <w:r w:rsidRPr="00FA32BC">
        <w:rPr>
          <w:rFonts w:ascii="Arial" w:hAnsi="Arial"/>
          <w:b/>
          <w:sz w:val="20"/>
          <w:szCs w:val="20"/>
        </w:rPr>
        <w:t>Contrato Administrativo. Terceirização. Pagamento. Inadimplência. Retenção. Encargos trabalhistas. Contribuição previdenciária.</w:t>
      </w:r>
    </w:p>
    <w:p w:rsidR="00A201C2" w:rsidRPr="00FA32BC" w:rsidRDefault="00A201C2" w:rsidP="00A201C2">
      <w:pPr>
        <w:pStyle w:val="TCU-Epgrafe"/>
        <w:spacing w:after="200" w:line="276" w:lineRule="auto"/>
        <w:ind w:left="0"/>
        <w:rPr>
          <w:b/>
          <w:sz w:val="20"/>
        </w:rPr>
      </w:pPr>
      <w:r w:rsidRPr="00FA32BC">
        <w:rPr>
          <w:rFonts w:ascii="Arial" w:hAnsi="Arial"/>
          <w:sz w:val="20"/>
        </w:rPr>
        <w:t>Nos serviços de natureza continuada, é lícita a previsão contratual de retenção pela Administração de pagamentos devidos à contratada em valores correspondentes às obrigações trabalhistas e previdenciárias inadimplidas, relativas aos empregados dedicados à execução do contrato.</w:t>
      </w:r>
      <w:r w:rsidRPr="00FA32BC">
        <w:rPr>
          <w:rFonts w:ascii="Arial" w:hAnsi="Arial"/>
          <w:b/>
          <w:sz w:val="20"/>
        </w:rPr>
        <w:t xml:space="preserve"> </w:t>
      </w:r>
    </w:p>
    <w:p w:rsidR="0090707B" w:rsidRPr="00FA32BC" w:rsidRDefault="004E3A4A" w:rsidP="0090707B">
      <w:pPr>
        <w:widowControl w:val="0"/>
        <w:autoSpaceDE w:val="0"/>
        <w:autoSpaceDN w:val="0"/>
        <w:jc w:val="both"/>
        <w:rPr>
          <w:rFonts w:ascii="Arial" w:hAnsi="Arial" w:cs="Arial"/>
          <w:b/>
          <w:sz w:val="20"/>
          <w:szCs w:val="20"/>
        </w:rPr>
      </w:pPr>
      <w:hyperlink r:id="rId28" w:history="1">
        <w:r w:rsidR="0090707B" w:rsidRPr="00FA32BC">
          <w:rPr>
            <w:rStyle w:val="Hyperlink"/>
            <w:rFonts w:ascii="Arial" w:hAnsi="Arial"/>
            <w:b/>
            <w:sz w:val="20"/>
            <w:szCs w:val="20"/>
          </w:rPr>
          <w:t xml:space="preserve">Acórdão 6457/2017 </w:t>
        </w:r>
        <w:r w:rsidR="004F4C43" w:rsidRPr="00FA32BC">
          <w:rPr>
            <w:rStyle w:val="Hyperlink"/>
            <w:rFonts w:ascii="Arial" w:hAnsi="Arial"/>
            <w:b/>
            <w:sz w:val="20"/>
            <w:szCs w:val="20"/>
          </w:rPr>
          <w:t xml:space="preserve">- </w:t>
        </w:r>
        <w:r w:rsidR="0090707B" w:rsidRPr="00FA32BC">
          <w:rPr>
            <w:rStyle w:val="Hyperlink"/>
            <w:rFonts w:ascii="Arial" w:hAnsi="Arial"/>
            <w:b/>
            <w:sz w:val="20"/>
            <w:szCs w:val="20"/>
          </w:rPr>
          <w:t>Primeira Câmara</w:t>
        </w:r>
      </w:hyperlink>
      <w:r w:rsidR="0090707B" w:rsidRPr="00FA32BC">
        <w:rPr>
          <w:rFonts w:ascii="Arial" w:hAnsi="Arial"/>
          <w:b/>
          <w:sz w:val="20"/>
          <w:szCs w:val="20"/>
        </w:rPr>
        <w:t xml:space="preserve"> </w:t>
      </w:r>
      <w:r w:rsidR="0090707B" w:rsidRPr="00FA32BC">
        <w:rPr>
          <w:rFonts w:ascii="Arial" w:hAnsi="Arial"/>
          <w:sz w:val="20"/>
          <w:szCs w:val="20"/>
        </w:rPr>
        <w:t xml:space="preserve">(Pensão Civil, Relator Ministro Benjamin </w:t>
      </w:r>
      <w:proofErr w:type="spellStart"/>
      <w:r w:rsidR="0090707B" w:rsidRPr="00FA32BC">
        <w:rPr>
          <w:rFonts w:ascii="Arial" w:hAnsi="Arial"/>
          <w:sz w:val="20"/>
          <w:szCs w:val="20"/>
        </w:rPr>
        <w:t>Zymler</w:t>
      </w:r>
      <w:proofErr w:type="spellEnd"/>
      <w:r w:rsidR="0090707B" w:rsidRPr="00FA32BC">
        <w:rPr>
          <w:rFonts w:ascii="Arial" w:hAnsi="Arial"/>
          <w:sz w:val="20"/>
          <w:szCs w:val="20"/>
        </w:rPr>
        <w:t>)</w:t>
      </w:r>
    </w:p>
    <w:p w:rsidR="0090707B" w:rsidRPr="00FA32BC" w:rsidRDefault="0090707B" w:rsidP="0090707B">
      <w:pPr>
        <w:jc w:val="both"/>
        <w:rPr>
          <w:rFonts w:ascii="Arial" w:hAnsi="Arial" w:cs="Arial"/>
          <w:b/>
          <w:sz w:val="20"/>
          <w:szCs w:val="20"/>
        </w:rPr>
      </w:pPr>
      <w:r w:rsidRPr="00FA32BC">
        <w:rPr>
          <w:rFonts w:ascii="Arial" w:hAnsi="Arial"/>
          <w:b/>
          <w:sz w:val="20"/>
          <w:szCs w:val="20"/>
        </w:rPr>
        <w:t>Pessoal. Pensão civil. Dependência econômica. Comprovação. Declaração de bens e rendas.</w:t>
      </w:r>
    </w:p>
    <w:p w:rsidR="0090707B" w:rsidRPr="00FA32BC" w:rsidRDefault="0090707B" w:rsidP="0090707B">
      <w:pPr>
        <w:pStyle w:val="TCU-Epgrafe"/>
        <w:spacing w:after="200" w:line="276" w:lineRule="auto"/>
        <w:ind w:left="0"/>
        <w:rPr>
          <w:rFonts w:ascii="Arial" w:hAnsi="Arial"/>
          <w:sz w:val="20"/>
        </w:rPr>
      </w:pPr>
      <w:r w:rsidRPr="00FA32BC">
        <w:rPr>
          <w:rFonts w:ascii="Arial" w:hAnsi="Arial"/>
          <w:sz w:val="20"/>
        </w:rPr>
        <w:t>A condição de dependente para efeitos fiscais (declaração de ajuste anual de imposto de renda) não é bastante para comprovar a efetiva dependência econômica do beneficiário da pensão em relação ao instituidor, que deve ser corroborada por outros elementos, uma vez que a dependência para fins tributários não se confunde com a dependência econômica para fins previdenciários, pois há distinções de natureza, propósito e abrangência entre elas.</w:t>
      </w:r>
    </w:p>
    <w:p w:rsidR="003608F9" w:rsidRPr="00FA32BC" w:rsidRDefault="004E3A4A" w:rsidP="00215847">
      <w:pPr>
        <w:widowControl w:val="0"/>
        <w:autoSpaceDE w:val="0"/>
        <w:autoSpaceDN w:val="0"/>
        <w:jc w:val="both"/>
        <w:rPr>
          <w:rFonts w:ascii="Arial" w:hAnsi="Arial" w:cs="Arial"/>
          <w:b/>
          <w:sz w:val="20"/>
          <w:szCs w:val="20"/>
        </w:rPr>
      </w:pPr>
      <w:hyperlink r:id="rId29" w:history="1">
        <w:r w:rsidR="003608F9" w:rsidRPr="00FA32BC">
          <w:rPr>
            <w:rStyle w:val="Hyperlink"/>
            <w:rFonts w:ascii="Arial" w:hAnsi="Arial"/>
            <w:b/>
            <w:sz w:val="20"/>
            <w:szCs w:val="20"/>
          </w:rPr>
          <w:t>Acórdão 1673/2017</w:t>
        </w:r>
        <w:r w:rsidR="00F20A05" w:rsidRPr="00FA32BC">
          <w:rPr>
            <w:rStyle w:val="Hyperlink"/>
            <w:rFonts w:ascii="Arial" w:hAnsi="Arial"/>
            <w:b/>
            <w:sz w:val="20"/>
            <w:szCs w:val="20"/>
          </w:rPr>
          <w:t xml:space="preserve"> -</w:t>
        </w:r>
        <w:r w:rsidR="003608F9" w:rsidRPr="00FA32BC">
          <w:rPr>
            <w:rStyle w:val="Hyperlink"/>
            <w:rFonts w:ascii="Arial" w:hAnsi="Arial"/>
            <w:b/>
            <w:sz w:val="20"/>
            <w:szCs w:val="20"/>
          </w:rPr>
          <w:t xml:space="preserve"> Plenário</w:t>
        </w:r>
      </w:hyperlink>
      <w:r w:rsidR="003608F9" w:rsidRPr="00FA32BC">
        <w:rPr>
          <w:rFonts w:ascii="Arial" w:hAnsi="Arial"/>
          <w:b/>
          <w:sz w:val="20"/>
          <w:szCs w:val="20"/>
        </w:rPr>
        <w:t xml:space="preserve"> </w:t>
      </w:r>
      <w:r w:rsidR="003608F9" w:rsidRPr="00FA32BC">
        <w:rPr>
          <w:rFonts w:ascii="Arial" w:hAnsi="Arial"/>
          <w:sz w:val="20"/>
          <w:szCs w:val="20"/>
        </w:rPr>
        <w:t>(Recurso de Reconsideração, Relator Ministro Vital do Rêgo)</w:t>
      </w:r>
    </w:p>
    <w:p w:rsidR="003608F9" w:rsidRPr="00FA32BC" w:rsidRDefault="003608F9" w:rsidP="00215847">
      <w:pPr>
        <w:jc w:val="both"/>
        <w:rPr>
          <w:rFonts w:ascii="Arial" w:hAnsi="Arial" w:cs="Arial"/>
          <w:b/>
          <w:sz w:val="20"/>
          <w:szCs w:val="20"/>
        </w:rPr>
      </w:pPr>
      <w:r w:rsidRPr="00FA32BC">
        <w:rPr>
          <w:rFonts w:ascii="Arial" w:hAnsi="Arial"/>
          <w:b/>
          <w:sz w:val="20"/>
          <w:szCs w:val="20"/>
        </w:rPr>
        <w:t>Licitação. Obras e serviços de engenharia. Rodovia. Orçamento estimativo. Chuva.</w:t>
      </w:r>
    </w:p>
    <w:p w:rsidR="003608F9" w:rsidRPr="00FA32BC" w:rsidRDefault="003608F9" w:rsidP="00215847">
      <w:pPr>
        <w:pStyle w:val="TCU-Epgrafe"/>
        <w:spacing w:after="200" w:line="276" w:lineRule="auto"/>
        <w:ind w:left="0"/>
        <w:rPr>
          <w:rFonts w:ascii="Arial" w:hAnsi="Arial"/>
          <w:sz w:val="20"/>
        </w:rPr>
      </w:pPr>
      <w:r w:rsidRPr="00FA32BC">
        <w:rPr>
          <w:rFonts w:ascii="Arial" w:hAnsi="Arial"/>
          <w:sz w:val="20"/>
        </w:rPr>
        <w:lastRenderedPageBreak/>
        <w:t xml:space="preserve">Não é aceitável a inclusão do fator chuva nos orçamentos de obras rodoviárias, pois a precipitação de chuvas ordinárias não repercute de modo significativo sobre os custos dos empreendimentos, além de ser contrabalanceada por fatores não considerados pelo </w:t>
      </w:r>
      <w:r w:rsidR="006D7AFA" w:rsidRPr="00FA32BC">
        <w:rPr>
          <w:rFonts w:ascii="Arial" w:hAnsi="Arial"/>
          <w:sz w:val="20"/>
        </w:rPr>
        <w:t>SICRO</w:t>
      </w:r>
      <w:r w:rsidRPr="00FA32BC">
        <w:rPr>
          <w:rFonts w:ascii="Arial" w:hAnsi="Arial"/>
          <w:sz w:val="20"/>
        </w:rPr>
        <w:t xml:space="preserve"> na formação do preço de referência, como fator de barganha, economia de escala, valor residual subestimado no cálculo das depreciações dos equipamentos, produtividades ultrapassadas, entre outros.</w:t>
      </w:r>
    </w:p>
    <w:p w:rsidR="0020559A" w:rsidRDefault="0020559A" w:rsidP="00F729ED">
      <w:pPr>
        <w:pStyle w:val="Default"/>
        <w:spacing w:after="200" w:line="276" w:lineRule="auto"/>
        <w:jc w:val="both"/>
        <w:rPr>
          <w:b/>
          <w:sz w:val="20"/>
          <w:szCs w:val="20"/>
        </w:rPr>
      </w:pPr>
    </w:p>
    <w:p w:rsidR="00F729ED" w:rsidRDefault="00F729ED" w:rsidP="00F729ED">
      <w:pPr>
        <w:pStyle w:val="Default"/>
        <w:spacing w:after="200" w:line="276" w:lineRule="auto"/>
        <w:jc w:val="both"/>
        <w:rPr>
          <w:b/>
          <w:sz w:val="20"/>
          <w:szCs w:val="20"/>
        </w:rPr>
      </w:pPr>
      <w:r>
        <w:rPr>
          <w:b/>
          <w:sz w:val="20"/>
          <w:szCs w:val="20"/>
        </w:rPr>
        <w:t xml:space="preserve">Acesse também: </w:t>
      </w:r>
    </w:p>
    <w:p w:rsidR="00F729ED" w:rsidRDefault="004E3A4A" w:rsidP="00F729ED">
      <w:pPr>
        <w:pStyle w:val="Default"/>
        <w:spacing w:after="200" w:line="276" w:lineRule="auto"/>
        <w:jc w:val="center"/>
        <w:rPr>
          <w:rStyle w:val="Hyperlink"/>
          <w:b/>
          <w:sz w:val="20"/>
          <w:szCs w:val="20"/>
        </w:rPr>
      </w:pPr>
      <w:hyperlink r:id="rId30" w:anchor="1" w:history="1">
        <w:r w:rsidR="00F729ED">
          <w:rPr>
            <w:rStyle w:val="Hyperlink"/>
            <w:b/>
            <w:sz w:val="20"/>
            <w:szCs w:val="20"/>
          </w:rPr>
          <w:t>Revista Digital do Tribunal de Contas do Estado do Paraná - Edição n° 17</w:t>
        </w:r>
      </w:hyperlink>
    </w:p>
    <w:p w:rsidR="00F13466" w:rsidRPr="006D0989" w:rsidRDefault="004E3A4A" w:rsidP="00F13466">
      <w:pPr>
        <w:pStyle w:val="Default"/>
        <w:spacing w:after="200" w:line="276" w:lineRule="auto"/>
        <w:jc w:val="center"/>
        <w:rPr>
          <w:b/>
          <w:sz w:val="20"/>
          <w:szCs w:val="20"/>
        </w:rPr>
      </w:pPr>
      <w:hyperlink r:id="rId31" w:history="1">
        <w:r w:rsidR="00F13466" w:rsidRPr="006D0989">
          <w:rPr>
            <w:rStyle w:val="Hyperlink"/>
            <w:b/>
            <w:sz w:val="20"/>
            <w:szCs w:val="20"/>
          </w:rPr>
          <w:t>Repercussão Geral do Supremo Tribunal Federal - STF e os Tribunais de Contas</w:t>
        </w:r>
      </w:hyperlink>
    </w:p>
    <w:p w:rsidR="004B6EA7" w:rsidRDefault="004B6EA7" w:rsidP="00E67D3C">
      <w:pPr>
        <w:pStyle w:val="TCU-Epgrafe"/>
        <w:spacing w:after="200"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4B6EA7">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p>
    <w:sectPr w:rsidR="00E01524" w:rsidRPr="0022060B">
      <w:headerReference w:type="default" r:id="rId32"/>
      <w:footerReference w:type="defaul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91800">
      <w:rPr>
        <w:noProof/>
        <w:sz w:val="16"/>
        <w:szCs w:val="16"/>
      </w:rPr>
      <w:t>10</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2F26E94"/>
    <w:multiLevelType w:val="hybridMultilevel"/>
    <w:tmpl w:val="E012C2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3D727B"/>
    <w:multiLevelType w:val="multilevel"/>
    <w:tmpl w:val="2EB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1"/>
  </w:num>
  <w:num w:numId="4">
    <w:abstractNumId w:val="12"/>
  </w:num>
  <w:num w:numId="5">
    <w:abstractNumId w:val="13"/>
  </w:num>
  <w:num w:numId="6">
    <w:abstractNumId w:val="9"/>
  </w:num>
  <w:num w:numId="7">
    <w:abstractNumId w:val="0"/>
  </w:num>
  <w:num w:numId="8">
    <w:abstractNumId w:val="1"/>
  </w:num>
  <w:num w:numId="9">
    <w:abstractNumId w:val="5"/>
  </w:num>
  <w:num w:numId="10">
    <w:abstractNumId w:val="2"/>
  </w:num>
  <w:num w:numId="11">
    <w:abstractNumId w:val="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9260D"/>
    <w:rsid w:val="000926D4"/>
    <w:rsid w:val="00092E5D"/>
    <w:rsid w:val="0009482D"/>
    <w:rsid w:val="000948DC"/>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B86"/>
    <w:rsid w:val="00111C26"/>
    <w:rsid w:val="00112B60"/>
    <w:rsid w:val="00113EF1"/>
    <w:rsid w:val="00114B62"/>
    <w:rsid w:val="001159C9"/>
    <w:rsid w:val="00120862"/>
    <w:rsid w:val="0012211A"/>
    <w:rsid w:val="00122E13"/>
    <w:rsid w:val="00123D02"/>
    <w:rsid w:val="00124A0F"/>
    <w:rsid w:val="00126447"/>
    <w:rsid w:val="00127DF2"/>
    <w:rsid w:val="001306FC"/>
    <w:rsid w:val="00130717"/>
    <w:rsid w:val="0013298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5A55"/>
    <w:rsid w:val="001D6665"/>
    <w:rsid w:val="001D684B"/>
    <w:rsid w:val="001D6ADC"/>
    <w:rsid w:val="001E1817"/>
    <w:rsid w:val="001E2E5A"/>
    <w:rsid w:val="001E5F2E"/>
    <w:rsid w:val="001E6CAA"/>
    <w:rsid w:val="001E73FF"/>
    <w:rsid w:val="001F7A25"/>
    <w:rsid w:val="002013D1"/>
    <w:rsid w:val="0020195B"/>
    <w:rsid w:val="00202E6D"/>
    <w:rsid w:val="00202F4B"/>
    <w:rsid w:val="002036C8"/>
    <w:rsid w:val="0020559A"/>
    <w:rsid w:val="002100EE"/>
    <w:rsid w:val="00211A49"/>
    <w:rsid w:val="002147AC"/>
    <w:rsid w:val="00215847"/>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0CB"/>
    <w:rsid w:val="002571B4"/>
    <w:rsid w:val="00260758"/>
    <w:rsid w:val="00260D58"/>
    <w:rsid w:val="0026477F"/>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B070A"/>
    <w:rsid w:val="002B0F20"/>
    <w:rsid w:val="002B14B7"/>
    <w:rsid w:val="002B297F"/>
    <w:rsid w:val="002B38A8"/>
    <w:rsid w:val="002B6BA0"/>
    <w:rsid w:val="002C05FF"/>
    <w:rsid w:val="002C19EA"/>
    <w:rsid w:val="002C480F"/>
    <w:rsid w:val="002C56C9"/>
    <w:rsid w:val="002C7487"/>
    <w:rsid w:val="002D1923"/>
    <w:rsid w:val="002D48D1"/>
    <w:rsid w:val="002D5B56"/>
    <w:rsid w:val="002D6612"/>
    <w:rsid w:val="002D7650"/>
    <w:rsid w:val="002E0A60"/>
    <w:rsid w:val="002E4277"/>
    <w:rsid w:val="002E52D9"/>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9A9"/>
    <w:rsid w:val="00327DF9"/>
    <w:rsid w:val="00331533"/>
    <w:rsid w:val="00333875"/>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08F9"/>
    <w:rsid w:val="00361DA5"/>
    <w:rsid w:val="00361F1D"/>
    <w:rsid w:val="003638C9"/>
    <w:rsid w:val="00364392"/>
    <w:rsid w:val="00365E61"/>
    <w:rsid w:val="00365EFF"/>
    <w:rsid w:val="00365F51"/>
    <w:rsid w:val="00375DB6"/>
    <w:rsid w:val="00376AEB"/>
    <w:rsid w:val="0038012F"/>
    <w:rsid w:val="00380BAB"/>
    <w:rsid w:val="00381A0E"/>
    <w:rsid w:val="0038751C"/>
    <w:rsid w:val="0038778B"/>
    <w:rsid w:val="00394451"/>
    <w:rsid w:val="0039584A"/>
    <w:rsid w:val="00396E93"/>
    <w:rsid w:val="003A4828"/>
    <w:rsid w:val="003A64CB"/>
    <w:rsid w:val="003A6622"/>
    <w:rsid w:val="003A673F"/>
    <w:rsid w:val="003B145D"/>
    <w:rsid w:val="003B286F"/>
    <w:rsid w:val="003B502C"/>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1EE0"/>
    <w:rsid w:val="004043AD"/>
    <w:rsid w:val="00405A6A"/>
    <w:rsid w:val="00406D2C"/>
    <w:rsid w:val="0041120A"/>
    <w:rsid w:val="0041337A"/>
    <w:rsid w:val="00414EF8"/>
    <w:rsid w:val="00416A72"/>
    <w:rsid w:val="00420AE1"/>
    <w:rsid w:val="00424258"/>
    <w:rsid w:val="0042728A"/>
    <w:rsid w:val="004276DC"/>
    <w:rsid w:val="0042779B"/>
    <w:rsid w:val="0043291F"/>
    <w:rsid w:val="00432A5E"/>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A4A"/>
    <w:rsid w:val="004E3B94"/>
    <w:rsid w:val="004E6410"/>
    <w:rsid w:val="004E7C93"/>
    <w:rsid w:val="004F2CF1"/>
    <w:rsid w:val="004F3C8F"/>
    <w:rsid w:val="004F4C43"/>
    <w:rsid w:val="00500939"/>
    <w:rsid w:val="00501FC7"/>
    <w:rsid w:val="005025F4"/>
    <w:rsid w:val="00502AAF"/>
    <w:rsid w:val="005067E0"/>
    <w:rsid w:val="00510B62"/>
    <w:rsid w:val="00511F85"/>
    <w:rsid w:val="0051310C"/>
    <w:rsid w:val="00513988"/>
    <w:rsid w:val="00516673"/>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4F7"/>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D1E9E"/>
    <w:rsid w:val="005D48C8"/>
    <w:rsid w:val="005D58CE"/>
    <w:rsid w:val="005D6DB4"/>
    <w:rsid w:val="005E2760"/>
    <w:rsid w:val="005E2D13"/>
    <w:rsid w:val="005E350B"/>
    <w:rsid w:val="005E4648"/>
    <w:rsid w:val="005E64B3"/>
    <w:rsid w:val="005F03A4"/>
    <w:rsid w:val="005F0C51"/>
    <w:rsid w:val="005F16DB"/>
    <w:rsid w:val="005F17B2"/>
    <w:rsid w:val="005F2BB5"/>
    <w:rsid w:val="005F35B7"/>
    <w:rsid w:val="005F3A96"/>
    <w:rsid w:val="005F4DBF"/>
    <w:rsid w:val="005F58C1"/>
    <w:rsid w:val="005F66CC"/>
    <w:rsid w:val="005F7DEC"/>
    <w:rsid w:val="005F7E35"/>
    <w:rsid w:val="00600118"/>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39D8"/>
    <w:rsid w:val="006641F4"/>
    <w:rsid w:val="006645D9"/>
    <w:rsid w:val="00665EBC"/>
    <w:rsid w:val="00667637"/>
    <w:rsid w:val="00667BE8"/>
    <w:rsid w:val="0067150D"/>
    <w:rsid w:val="00673A29"/>
    <w:rsid w:val="00673AD9"/>
    <w:rsid w:val="006766F4"/>
    <w:rsid w:val="00681787"/>
    <w:rsid w:val="0068250F"/>
    <w:rsid w:val="00684303"/>
    <w:rsid w:val="00685FFE"/>
    <w:rsid w:val="00686729"/>
    <w:rsid w:val="00686CAC"/>
    <w:rsid w:val="00686D5A"/>
    <w:rsid w:val="00687871"/>
    <w:rsid w:val="00693247"/>
    <w:rsid w:val="0069336E"/>
    <w:rsid w:val="00694174"/>
    <w:rsid w:val="006A27BC"/>
    <w:rsid w:val="006A27D6"/>
    <w:rsid w:val="006A3A42"/>
    <w:rsid w:val="006A41B4"/>
    <w:rsid w:val="006A5FD7"/>
    <w:rsid w:val="006B143E"/>
    <w:rsid w:val="006B30E3"/>
    <w:rsid w:val="006B5E72"/>
    <w:rsid w:val="006B6205"/>
    <w:rsid w:val="006C058F"/>
    <w:rsid w:val="006C3252"/>
    <w:rsid w:val="006C7A04"/>
    <w:rsid w:val="006D1B83"/>
    <w:rsid w:val="006D1BE7"/>
    <w:rsid w:val="006D5C98"/>
    <w:rsid w:val="006D6FCC"/>
    <w:rsid w:val="006D7AFA"/>
    <w:rsid w:val="006E0A9F"/>
    <w:rsid w:val="006E12D5"/>
    <w:rsid w:val="006E26E8"/>
    <w:rsid w:val="006E2848"/>
    <w:rsid w:val="006E76B0"/>
    <w:rsid w:val="006F0892"/>
    <w:rsid w:val="006F08D4"/>
    <w:rsid w:val="006F3318"/>
    <w:rsid w:val="006F39CF"/>
    <w:rsid w:val="006F4894"/>
    <w:rsid w:val="006F58F5"/>
    <w:rsid w:val="006F676D"/>
    <w:rsid w:val="00700672"/>
    <w:rsid w:val="00701319"/>
    <w:rsid w:val="00701A95"/>
    <w:rsid w:val="00702F7C"/>
    <w:rsid w:val="00706127"/>
    <w:rsid w:val="007077CD"/>
    <w:rsid w:val="00712503"/>
    <w:rsid w:val="00712A93"/>
    <w:rsid w:val="00714CF1"/>
    <w:rsid w:val="00715CEB"/>
    <w:rsid w:val="00717A58"/>
    <w:rsid w:val="00722924"/>
    <w:rsid w:val="00723D30"/>
    <w:rsid w:val="00723F1A"/>
    <w:rsid w:val="00726974"/>
    <w:rsid w:val="007306BB"/>
    <w:rsid w:val="00730795"/>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4CE6"/>
    <w:rsid w:val="007557BC"/>
    <w:rsid w:val="007608F0"/>
    <w:rsid w:val="00762976"/>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2162"/>
    <w:rsid w:val="007D4DA4"/>
    <w:rsid w:val="007D5A53"/>
    <w:rsid w:val="007D62D9"/>
    <w:rsid w:val="007D73C9"/>
    <w:rsid w:val="007E1FB4"/>
    <w:rsid w:val="007E28C1"/>
    <w:rsid w:val="007F0840"/>
    <w:rsid w:val="007F2086"/>
    <w:rsid w:val="00800773"/>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2605"/>
    <w:rsid w:val="00824136"/>
    <w:rsid w:val="00826075"/>
    <w:rsid w:val="008267CA"/>
    <w:rsid w:val="00826A19"/>
    <w:rsid w:val="008312D4"/>
    <w:rsid w:val="008317C8"/>
    <w:rsid w:val="00831915"/>
    <w:rsid w:val="0083305B"/>
    <w:rsid w:val="00834578"/>
    <w:rsid w:val="00834B69"/>
    <w:rsid w:val="0083648B"/>
    <w:rsid w:val="00836500"/>
    <w:rsid w:val="00841EAB"/>
    <w:rsid w:val="00844977"/>
    <w:rsid w:val="00844B97"/>
    <w:rsid w:val="00845BB4"/>
    <w:rsid w:val="00847BF3"/>
    <w:rsid w:val="00853D0B"/>
    <w:rsid w:val="00854B16"/>
    <w:rsid w:val="00854BCA"/>
    <w:rsid w:val="00855A43"/>
    <w:rsid w:val="008561BF"/>
    <w:rsid w:val="008633B6"/>
    <w:rsid w:val="0086535C"/>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07B"/>
    <w:rsid w:val="009073CB"/>
    <w:rsid w:val="0090752A"/>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55BDA"/>
    <w:rsid w:val="00965F52"/>
    <w:rsid w:val="0096737A"/>
    <w:rsid w:val="0097392A"/>
    <w:rsid w:val="009749C0"/>
    <w:rsid w:val="00977C0A"/>
    <w:rsid w:val="00982FF8"/>
    <w:rsid w:val="0098512F"/>
    <w:rsid w:val="0098550A"/>
    <w:rsid w:val="00985728"/>
    <w:rsid w:val="009857DD"/>
    <w:rsid w:val="009859AB"/>
    <w:rsid w:val="00987A4E"/>
    <w:rsid w:val="009907A9"/>
    <w:rsid w:val="00993DE4"/>
    <w:rsid w:val="00993F38"/>
    <w:rsid w:val="00994A4B"/>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1362"/>
    <w:rsid w:val="009E1848"/>
    <w:rsid w:val="009E1BC1"/>
    <w:rsid w:val="009E1F6B"/>
    <w:rsid w:val="009E3E77"/>
    <w:rsid w:val="009E4DF2"/>
    <w:rsid w:val="009E6D60"/>
    <w:rsid w:val="009E76CE"/>
    <w:rsid w:val="009F3962"/>
    <w:rsid w:val="009F6ED7"/>
    <w:rsid w:val="009F7401"/>
    <w:rsid w:val="009F78F2"/>
    <w:rsid w:val="00A01193"/>
    <w:rsid w:val="00A01C9B"/>
    <w:rsid w:val="00A065F5"/>
    <w:rsid w:val="00A10857"/>
    <w:rsid w:val="00A1221A"/>
    <w:rsid w:val="00A1269B"/>
    <w:rsid w:val="00A130F9"/>
    <w:rsid w:val="00A1585F"/>
    <w:rsid w:val="00A16000"/>
    <w:rsid w:val="00A16398"/>
    <w:rsid w:val="00A201C2"/>
    <w:rsid w:val="00A20EBA"/>
    <w:rsid w:val="00A20F2F"/>
    <w:rsid w:val="00A211A3"/>
    <w:rsid w:val="00A2357E"/>
    <w:rsid w:val="00A24629"/>
    <w:rsid w:val="00A25A27"/>
    <w:rsid w:val="00A27485"/>
    <w:rsid w:val="00A30038"/>
    <w:rsid w:val="00A309E8"/>
    <w:rsid w:val="00A329AE"/>
    <w:rsid w:val="00A3514D"/>
    <w:rsid w:val="00A40F98"/>
    <w:rsid w:val="00A41EF2"/>
    <w:rsid w:val="00A42619"/>
    <w:rsid w:val="00A4267D"/>
    <w:rsid w:val="00A427B2"/>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3174"/>
    <w:rsid w:val="00AA3A41"/>
    <w:rsid w:val="00AA6D45"/>
    <w:rsid w:val="00AA7585"/>
    <w:rsid w:val="00AA7DED"/>
    <w:rsid w:val="00AB031D"/>
    <w:rsid w:val="00AB08A6"/>
    <w:rsid w:val="00AB18B3"/>
    <w:rsid w:val="00AB1A1E"/>
    <w:rsid w:val="00AB1CD6"/>
    <w:rsid w:val="00AB236C"/>
    <w:rsid w:val="00AC06B6"/>
    <w:rsid w:val="00AD1557"/>
    <w:rsid w:val="00AD35F3"/>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40B7"/>
    <w:rsid w:val="00B04A55"/>
    <w:rsid w:val="00B04D46"/>
    <w:rsid w:val="00B104C5"/>
    <w:rsid w:val="00B10F47"/>
    <w:rsid w:val="00B1385B"/>
    <w:rsid w:val="00B13B1B"/>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317"/>
    <w:rsid w:val="00BA5A9D"/>
    <w:rsid w:val="00BA6363"/>
    <w:rsid w:val="00BA67B2"/>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2E5A"/>
    <w:rsid w:val="00BE4A21"/>
    <w:rsid w:val="00BE5859"/>
    <w:rsid w:val="00BE717E"/>
    <w:rsid w:val="00BE7E27"/>
    <w:rsid w:val="00BF183C"/>
    <w:rsid w:val="00BF4C15"/>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5A50"/>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7639"/>
    <w:rsid w:val="00C9099A"/>
    <w:rsid w:val="00C91B89"/>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644C"/>
    <w:rsid w:val="00CB78ED"/>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4FDB"/>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318E3"/>
    <w:rsid w:val="00D323A7"/>
    <w:rsid w:val="00D346BF"/>
    <w:rsid w:val="00D416EB"/>
    <w:rsid w:val="00D41B20"/>
    <w:rsid w:val="00D44615"/>
    <w:rsid w:val="00D45321"/>
    <w:rsid w:val="00D50324"/>
    <w:rsid w:val="00D54566"/>
    <w:rsid w:val="00D55A28"/>
    <w:rsid w:val="00D5605F"/>
    <w:rsid w:val="00D61FBD"/>
    <w:rsid w:val="00D624F1"/>
    <w:rsid w:val="00D62519"/>
    <w:rsid w:val="00D625AA"/>
    <w:rsid w:val="00D63CBD"/>
    <w:rsid w:val="00D6500C"/>
    <w:rsid w:val="00D66392"/>
    <w:rsid w:val="00D66959"/>
    <w:rsid w:val="00D70A39"/>
    <w:rsid w:val="00D71A7E"/>
    <w:rsid w:val="00D720D0"/>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880"/>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729"/>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4A3"/>
    <w:rsid w:val="00E50D3F"/>
    <w:rsid w:val="00E520BE"/>
    <w:rsid w:val="00E5484A"/>
    <w:rsid w:val="00E54E17"/>
    <w:rsid w:val="00E56591"/>
    <w:rsid w:val="00E56A7A"/>
    <w:rsid w:val="00E60419"/>
    <w:rsid w:val="00E60E01"/>
    <w:rsid w:val="00E617D3"/>
    <w:rsid w:val="00E61B6E"/>
    <w:rsid w:val="00E61E36"/>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0DB1"/>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466"/>
    <w:rsid w:val="00F137F0"/>
    <w:rsid w:val="00F13F39"/>
    <w:rsid w:val="00F14B9B"/>
    <w:rsid w:val="00F14CCC"/>
    <w:rsid w:val="00F163A1"/>
    <w:rsid w:val="00F17988"/>
    <w:rsid w:val="00F20A05"/>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1800"/>
    <w:rsid w:val="00F9222A"/>
    <w:rsid w:val="00F922EA"/>
    <w:rsid w:val="00F92927"/>
    <w:rsid w:val="00F979B3"/>
    <w:rsid w:val="00F97CCD"/>
    <w:rsid w:val="00FA320D"/>
    <w:rsid w:val="00FA32BC"/>
    <w:rsid w:val="00FA362B"/>
    <w:rsid w:val="00FA53E9"/>
    <w:rsid w:val="00FA60EC"/>
    <w:rsid w:val="00FB04E9"/>
    <w:rsid w:val="00FB1179"/>
    <w:rsid w:val="00FB1C6B"/>
    <w:rsid w:val="00FB3361"/>
    <w:rsid w:val="00FB42B4"/>
    <w:rsid w:val="00FB4841"/>
    <w:rsid w:val="00FB6C94"/>
    <w:rsid w:val="00FB7F8B"/>
    <w:rsid w:val="00FC3753"/>
    <w:rsid w:val="00FC5743"/>
    <w:rsid w:val="00FC6240"/>
    <w:rsid w:val="00FD118C"/>
    <w:rsid w:val="00FD332F"/>
    <w:rsid w:val="00FE1CC1"/>
    <w:rsid w:val="00FE385E"/>
    <w:rsid w:val="00FE3CE2"/>
    <w:rsid w:val="00FE54AD"/>
    <w:rsid w:val="00FE5633"/>
    <w:rsid w:val="00FE6F7A"/>
    <w:rsid w:val="00FE7B14"/>
    <w:rsid w:val="00FF02D5"/>
    <w:rsid w:val="00FF0846"/>
    <w:rsid w:val="00FF1139"/>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2E60642C"/>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4">
    <w:name w:val="heading 4"/>
    <w:basedOn w:val="Normal"/>
    <w:next w:val="Normal"/>
    <w:link w:val="Ttulo4Char"/>
    <w:uiPriority w:val="9"/>
    <w:semiHidden/>
    <w:unhideWhenUsed/>
    <w:qFormat/>
    <w:rsid w:val="00414EF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F13466"/>
    <w:rPr>
      <w:color w:val="808080"/>
      <w:shd w:val="clear" w:color="auto" w:fill="E6E6E6"/>
    </w:rPr>
  </w:style>
  <w:style w:type="character" w:customStyle="1" w:styleId="clsinformativotextotitulo">
    <w:name w:val="clsinformativotextotitulo"/>
    <w:basedOn w:val="Fontepargpadro"/>
    <w:rsid w:val="00414EF8"/>
  </w:style>
  <w:style w:type="character" w:customStyle="1" w:styleId="clsinformativotexto">
    <w:name w:val="clsinformativotexto"/>
    <w:basedOn w:val="Fontepargpadro"/>
    <w:rsid w:val="00414EF8"/>
  </w:style>
  <w:style w:type="character" w:customStyle="1" w:styleId="Ttulo4Char">
    <w:name w:val="Título 4 Char"/>
    <w:basedOn w:val="Fontepargpadro"/>
    <w:link w:val="Ttulo4"/>
    <w:uiPriority w:val="9"/>
    <w:semiHidden/>
    <w:rsid w:val="00414EF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2192766">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33930027">
      <w:bodyDiv w:val="1"/>
      <w:marLeft w:val="0"/>
      <w:marRight w:val="0"/>
      <w:marTop w:val="0"/>
      <w:marBottom w:val="0"/>
      <w:divBdr>
        <w:top w:val="none" w:sz="0" w:space="0" w:color="auto"/>
        <w:left w:val="none" w:sz="0" w:space="0" w:color="auto"/>
        <w:bottom w:val="none" w:sz="0" w:space="0" w:color="auto"/>
        <w:right w:val="none" w:sz="0" w:space="0" w:color="auto"/>
      </w:divBdr>
      <w:divsChild>
        <w:div w:id="549921696">
          <w:marLeft w:val="1201"/>
          <w:marRight w:val="601"/>
          <w:marTop w:val="240"/>
          <w:marBottom w:val="240"/>
          <w:divBdr>
            <w:top w:val="none" w:sz="0" w:space="0" w:color="auto"/>
            <w:left w:val="none" w:sz="0" w:space="0" w:color="auto"/>
            <w:bottom w:val="none" w:sz="0" w:space="0" w:color="auto"/>
            <w:right w:val="none" w:sz="0" w:space="0" w:color="auto"/>
          </w:divBdr>
        </w:div>
      </w:divsChild>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8/pdf/00319624.pdf" TargetMode="External"/><Relationship Id="rId13" Type="http://schemas.openxmlformats.org/officeDocument/2006/relationships/hyperlink" Target="http://www1.tce.pr.gov.br/multimidia/2017/9/pdf/00320705.pdf" TargetMode="External"/><Relationship Id="rId18" Type="http://schemas.openxmlformats.org/officeDocument/2006/relationships/hyperlink" Target="http://www1.tce.pr.gov.br/multimidia/2017/8/pdf/00319578.pdf" TargetMode="External"/><Relationship Id="rId26" Type="http://schemas.openxmlformats.org/officeDocument/2006/relationships/hyperlink" Target="https://www.planalto.gov.br/ccivil_03/_ato2007-2010/2010/decreto/d7174.htm" TargetMode="External"/><Relationship Id="rId3" Type="http://schemas.openxmlformats.org/officeDocument/2006/relationships/styles" Target="styles.xml"/><Relationship Id="rId21" Type="http://schemas.openxmlformats.org/officeDocument/2006/relationships/hyperlink" Target="https://ww2.stj.jus.br/processo/revista/documento/mediado/?componente=ATC&amp;sequencial=71827913&amp;num_registro=201402879395&amp;data=20170906&amp;tipo=51&amp;formato=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7/8/pdf/00319600.pdf" TargetMode="External"/><Relationship Id="rId17" Type="http://schemas.openxmlformats.org/officeDocument/2006/relationships/hyperlink" Target="http://www1.tce.pr.gov.br/multimidia/2017/8/pdf/00319550.pdf" TargetMode="External"/><Relationship Id="rId25" Type="http://schemas.openxmlformats.org/officeDocument/2006/relationships/hyperlink" Target="https://www.planalto.gov.br/ccivil_03/leis/2002/l10520.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7/8/pdf/00319515.pdf" TargetMode="External"/><Relationship Id="rId20" Type="http://schemas.openxmlformats.org/officeDocument/2006/relationships/hyperlink" Target="http://www.stj.jus.br/SCON/sumanot/toc.jsp?livre=(sumula%20adj%20592).sub." TargetMode="External"/><Relationship Id="rId29" Type="http://schemas.openxmlformats.org/officeDocument/2006/relationships/hyperlink" Target="https://contas.tcu.gov.br/sagas/SvlVisualizarRelVotoAcRtf?codFiltro=SAGAS-SESSAO-ENCERRADA&amp;seOcultaPagina=S&amp;item0=5933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8/pdf/00319332.pdf" TargetMode="External"/><Relationship Id="rId24" Type="http://schemas.openxmlformats.org/officeDocument/2006/relationships/hyperlink" Target="https://contas.tcu.gov.br/sagas/SvlVisualizarRelVotoAcRtf?codFiltro=SAGAS-SESSAO-ENCERRADA&amp;seOcultaPagina=S&amp;item0=597162"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7/8/pdf/00319438.pdf" TargetMode="External"/><Relationship Id="rId23" Type="http://schemas.openxmlformats.org/officeDocument/2006/relationships/hyperlink" Target="https://contas.tcu.gov.br/sagas/SvlVisualizarRelVotoAcRtf?codFiltro=SAGAS-SESSAO-ENCERRADA&amp;seOcultaPagina=S&amp;item0=597162" TargetMode="External"/><Relationship Id="rId28" Type="http://schemas.openxmlformats.org/officeDocument/2006/relationships/hyperlink" Target="https://contas.tcu.gov.br/sagas/SvlVisualizarRelVotoAcRtf?codFiltro=SAGAS-SESSAO-ENCERRADA&amp;seOcultaPagina=S&amp;item0=597186" TargetMode="External"/><Relationship Id="rId10" Type="http://schemas.openxmlformats.org/officeDocument/2006/relationships/hyperlink" Target="http://www1.tce.pr.gov.br/multimidia/2017/7/pdf/00319194.pdf" TargetMode="External"/><Relationship Id="rId19" Type="http://schemas.openxmlformats.org/officeDocument/2006/relationships/hyperlink" Target="http://www.stj.jus.br/SCON/sumanot/toc.jsp?livre=(sumula%20adj%20591).sub."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www1.tce.pr.gov.br/multimidia/2017/7/pdf/00319191.pdf" TargetMode="External"/><Relationship Id="rId14" Type="http://schemas.openxmlformats.org/officeDocument/2006/relationships/hyperlink" Target="http://www1.tce.pr.gov.br/multimidia/2017/8/pdf/00319629.pdf" TargetMode="External"/><Relationship Id="rId22" Type="http://schemas.openxmlformats.org/officeDocument/2006/relationships/hyperlink" Target="https://contas.tcu.gov.br/sagas/SvlVisualizarRelVotoAcRtf?codFiltro=SAGAS-SESSAO-ENCERRADA&amp;seOcultaPagina=S&amp;item0=574549" TargetMode="External"/><Relationship Id="rId27" Type="http://schemas.openxmlformats.org/officeDocument/2006/relationships/hyperlink" Target="https://contas.tcu.gov.br/sagas/SvlVisualizarRelVotoAcRtf?codFiltro=SAGAS-SESSAO-ENCERRADA&amp;seOcultaPagina=S&amp;item0=596574" TargetMode="External"/><Relationship Id="rId30" Type="http://schemas.openxmlformats.org/officeDocument/2006/relationships/hyperlink" Target="http://www1.tce.pr.gov.br/multimidia/2017/7/flipbook/318496/files/assets/basic-html/index.html"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E7AEA-7FD8-4276-B612-A6975DA4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3780</Words>
  <Characters>20414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94</cp:revision>
  <cp:lastPrinted>2017-07-10T20:46:00Z</cp:lastPrinted>
  <dcterms:created xsi:type="dcterms:W3CDTF">2017-07-10T20:45:00Z</dcterms:created>
  <dcterms:modified xsi:type="dcterms:W3CDTF">2018-12-11T14:21:00Z</dcterms:modified>
</cp:coreProperties>
</file>