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2F" w:rsidRPr="00640BDC" w:rsidRDefault="0038012F" w:rsidP="0038012F">
      <w:pPr>
        <w:pStyle w:val="Cabealho"/>
        <w:spacing w:after="100" w:afterAutospacing="1"/>
        <w:jc w:val="center"/>
        <w:rPr>
          <w:rFonts w:ascii="Arial" w:hAnsi="Arial" w:cs="Arial"/>
        </w:rPr>
      </w:pPr>
      <w:r w:rsidRPr="00640BDC">
        <w:rPr>
          <w:rFonts w:ascii="Arial" w:hAnsi="Arial" w:cs="Arial"/>
          <w:b/>
        </w:rPr>
        <w:t>Boletim de Jurisprudência TCE/PR</w:t>
      </w:r>
      <w:r w:rsidRPr="00640BDC">
        <w:rPr>
          <w:rFonts w:ascii="Arial" w:hAnsi="Arial" w:cs="Arial"/>
        </w:rPr>
        <w:t xml:space="preserve"> </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Número 0</w:t>
      </w:r>
      <w:r w:rsidR="00D66392">
        <w:rPr>
          <w:rFonts w:ascii="Arial" w:hAnsi="Arial" w:cs="Arial"/>
          <w:b/>
          <w:sz w:val="20"/>
          <w:szCs w:val="20"/>
        </w:rPr>
        <w:t>7</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 xml:space="preserve">Sessões: </w:t>
      </w:r>
      <w:r w:rsidR="00D66392">
        <w:rPr>
          <w:rFonts w:ascii="Arial" w:hAnsi="Arial" w:cs="Arial"/>
          <w:b/>
          <w:sz w:val="20"/>
          <w:szCs w:val="20"/>
        </w:rPr>
        <w:t>31</w:t>
      </w:r>
      <w:r w:rsidR="005A0FD0">
        <w:rPr>
          <w:rFonts w:ascii="Arial" w:hAnsi="Arial" w:cs="Arial"/>
          <w:b/>
          <w:sz w:val="20"/>
          <w:szCs w:val="20"/>
        </w:rPr>
        <w:t xml:space="preserve">.01 </w:t>
      </w:r>
      <w:r w:rsidR="000D4DE6" w:rsidRPr="002147AC">
        <w:rPr>
          <w:rFonts w:ascii="Arial" w:hAnsi="Arial" w:cs="Arial"/>
          <w:b/>
          <w:sz w:val="20"/>
          <w:szCs w:val="20"/>
        </w:rPr>
        <w:t>a</w:t>
      </w:r>
      <w:r w:rsidRPr="002147AC">
        <w:rPr>
          <w:rFonts w:ascii="Arial" w:hAnsi="Arial" w:cs="Arial"/>
          <w:b/>
          <w:sz w:val="20"/>
          <w:szCs w:val="20"/>
        </w:rPr>
        <w:t xml:space="preserve"> </w:t>
      </w:r>
      <w:r w:rsidR="00D03845">
        <w:rPr>
          <w:rFonts w:ascii="Arial" w:hAnsi="Arial" w:cs="Arial"/>
          <w:b/>
          <w:sz w:val="20"/>
          <w:szCs w:val="20"/>
        </w:rPr>
        <w:t>09</w:t>
      </w:r>
      <w:r w:rsidR="005A0FD0">
        <w:rPr>
          <w:rFonts w:ascii="Arial" w:hAnsi="Arial" w:cs="Arial"/>
          <w:b/>
          <w:sz w:val="20"/>
          <w:szCs w:val="20"/>
        </w:rPr>
        <w:t>.0</w:t>
      </w:r>
      <w:r w:rsidR="00D03845">
        <w:rPr>
          <w:rFonts w:ascii="Arial" w:hAnsi="Arial" w:cs="Arial"/>
          <w:b/>
          <w:sz w:val="20"/>
          <w:szCs w:val="20"/>
        </w:rPr>
        <w:t>2</w:t>
      </w:r>
      <w:r w:rsidRPr="002147AC">
        <w:rPr>
          <w:rFonts w:ascii="Arial" w:hAnsi="Arial" w:cs="Arial"/>
          <w:b/>
          <w:sz w:val="20"/>
          <w:szCs w:val="20"/>
        </w:rPr>
        <w:t xml:space="preserve"> de 201</w:t>
      </w:r>
      <w:r w:rsidR="005A0FD0">
        <w:rPr>
          <w:rFonts w:ascii="Arial" w:hAnsi="Arial" w:cs="Arial"/>
          <w:b/>
          <w:sz w:val="20"/>
          <w:szCs w:val="20"/>
        </w:rPr>
        <w:t>7</w:t>
      </w:r>
    </w:p>
    <w:p w:rsidR="001B5F7A" w:rsidRPr="006375ED" w:rsidRDefault="001B5F7A" w:rsidP="001B5F7A">
      <w:pPr>
        <w:spacing w:after="120"/>
        <w:jc w:val="both"/>
        <w:rPr>
          <w:rFonts w:ascii="Arial" w:hAnsi="Arial" w:cs="Arial"/>
          <w:sz w:val="18"/>
          <w:szCs w:val="18"/>
        </w:rPr>
      </w:pPr>
      <w:r w:rsidRPr="006375ED">
        <w:rPr>
          <w:rFonts w:ascii="Arial" w:hAnsi="Arial" w:cs="Arial"/>
          <w:sz w:val="18"/>
          <w:szCs w:val="18"/>
        </w:rPr>
        <w:t xml:space="preserve">Este Boletim contém informações sintéticas de decisões proferidas pelos Colegiados do TCE/PR que receberam indicação de relevância sob o prisma jurisprudencial no período acima indicado. </w:t>
      </w:r>
      <w:r w:rsidR="00BC137A" w:rsidRPr="006375ED">
        <w:rPr>
          <w:rFonts w:ascii="Arial" w:hAnsi="Arial" w:cs="Arial"/>
          <w:color w:val="212121"/>
          <w:sz w:val="18"/>
          <w:szCs w:val="18"/>
        </w:rPr>
        <w:t>A seleção das decisões leva em consideração ao menos um dos seguintes fatores: ineditismo da deliberação, discussão no colegiado ou reiteração de entendimento importante</w:t>
      </w:r>
      <w:r w:rsidR="00F3739F" w:rsidRPr="006375ED">
        <w:rPr>
          <w:rFonts w:ascii="Arial" w:hAnsi="Arial" w:cs="Arial"/>
          <w:color w:val="212121"/>
          <w:sz w:val="18"/>
          <w:szCs w:val="18"/>
        </w:rPr>
        <w:t>.</w:t>
      </w:r>
      <w:r w:rsidR="00BC137A" w:rsidRPr="006375ED">
        <w:rPr>
          <w:rFonts w:ascii="Arial" w:hAnsi="Arial" w:cs="Arial"/>
          <w:sz w:val="18"/>
          <w:szCs w:val="18"/>
        </w:rPr>
        <w:t xml:space="preserve"> </w:t>
      </w:r>
      <w:r w:rsidRPr="006375ED">
        <w:rPr>
          <w:rFonts w:ascii="Arial" w:hAnsi="Arial" w:cs="Arial"/>
          <w:sz w:val="18"/>
          <w:szCs w:val="18"/>
        </w:rPr>
        <w:t>O objetivo é facilitar ao interessado o acompanhamento dos acórdãos mais importantes do Tribunal. Para aprofundamento, o leitor pode acessar o inteiro teor das deliberações por meio dos links disponíveis.</w:t>
      </w:r>
      <w:r w:rsidR="00BC137A" w:rsidRPr="006375ED">
        <w:rPr>
          <w:rFonts w:ascii="Arial" w:hAnsi="Arial" w:cs="Arial"/>
          <w:color w:val="212121"/>
          <w:sz w:val="18"/>
          <w:szCs w:val="18"/>
        </w:rPr>
        <w:t xml:space="preserve"> </w:t>
      </w:r>
      <w:r w:rsidRPr="006375ED">
        <w:rPr>
          <w:rFonts w:ascii="Arial" w:hAnsi="Arial" w:cs="Arial"/>
          <w:sz w:val="18"/>
          <w:szCs w:val="18"/>
        </w:rPr>
        <w:t>As informações aqui apresentadas não são repositórios oficiais de jurisprudência.</w:t>
      </w:r>
    </w:p>
    <w:p w:rsidR="001B5F7A" w:rsidRDefault="001B5F7A" w:rsidP="000F639D">
      <w:pPr>
        <w:spacing w:after="120"/>
        <w:jc w:val="both"/>
      </w:pPr>
      <w:r>
        <w:rPr>
          <w:rFonts w:ascii="Times New Roman" w:hAnsi="Times New Roman"/>
          <w:noProof/>
          <w:lang w:eastAsia="pt-BR"/>
        </w:rPr>
        <mc:AlternateContent>
          <mc:Choice Requires="wps">
            <w:drawing>
              <wp:anchor distT="0" distB="0" distL="114300" distR="114300" simplePos="0" relativeHeight="251659264" behindDoc="0" locked="0" layoutInCell="1" allowOverlap="1" wp14:anchorId="416D0D3C" wp14:editId="0FA18267">
                <wp:simplePos x="0" y="0"/>
                <wp:positionH relativeFrom="margin">
                  <wp:posOffset>520</wp:posOffset>
                </wp:positionH>
                <wp:positionV relativeFrom="paragraph">
                  <wp:posOffset>31222</wp:posOffset>
                </wp:positionV>
                <wp:extent cx="5421085" cy="0"/>
                <wp:effectExtent l="0" t="0" r="27305"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08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45pt" to="426.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" strokecolor="black [3200]" strokeweight="2pt">
                <v:shadow on="t" color="black" opacity="24903f" origin=",.5" offset="0,.55556mm"/>
                <w10:wrap anchorx="margin"/>
              </v:line>
            </w:pict>
          </mc:Fallback>
        </mc:AlternateContent>
      </w:r>
    </w:p>
    <w:p w:rsidR="00AE4F42" w:rsidRPr="00722924" w:rsidRDefault="00AE4F42" w:rsidP="00AE4F42">
      <w:pPr>
        <w:shd w:val="pct10" w:color="auto" w:fill="auto"/>
        <w:jc w:val="center"/>
        <w:rPr>
          <w:rFonts w:ascii="Arial" w:hAnsi="Arial" w:cs="Arial"/>
          <w:b/>
        </w:rPr>
      </w:pPr>
      <w:r>
        <w:rPr>
          <w:rFonts w:ascii="Arial" w:hAnsi="Arial" w:cs="Arial"/>
          <w:b/>
        </w:rPr>
        <w:t>S</w:t>
      </w:r>
      <w:r w:rsidR="00221D15">
        <w:rPr>
          <w:rFonts w:ascii="Arial" w:hAnsi="Arial" w:cs="Arial"/>
          <w:b/>
        </w:rPr>
        <w:t>U</w:t>
      </w:r>
      <w:r>
        <w:rPr>
          <w:rFonts w:ascii="Arial" w:hAnsi="Arial" w:cs="Arial"/>
          <w:b/>
        </w:rPr>
        <w:t>MÁRIO</w:t>
      </w:r>
    </w:p>
    <w:p w:rsidR="002D76AD" w:rsidRDefault="005736E0" w:rsidP="002D76AD">
      <w:pPr>
        <w:pStyle w:val="PargrafodaLista"/>
        <w:numPr>
          <w:ilvl w:val="0"/>
          <w:numId w:val="6"/>
        </w:numPr>
        <w:tabs>
          <w:tab w:val="left" w:pos="284"/>
        </w:tabs>
        <w:spacing w:after="0"/>
        <w:ind w:left="0" w:firstLine="0"/>
        <w:contextualSpacing w:val="0"/>
        <w:jc w:val="both"/>
        <w:rPr>
          <w:rFonts w:ascii="Arial" w:hAnsi="Arial" w:cs="Arial"/>
          <w:sz w:val="20"/>
          <w:szCs w:val="20"/>
        </w:rPr>
      </w:pPr>
      <w:r w:rsidRPr="002D76AD">
        <w:rPr>
          <w:rFonts w:ascii="Arial" w:hAnsi="Arial" w:cs="Arial"/>
          <w:sz w:val="20"/>
          <w:szCs w:val="20"/>
        </w:rPr>
        <w:t>Processo de servidor ativo. Averbação de tempo de serviço realizado no exterior. Incompetência deste Tribunal para reconhecimento do direito. Competência do INSS. Necessária compensação em regimes previdenciários distintos. Acordo bilateral não vigente. Indeferimento.</w:t>
      </w:r>
    </w:p>
    <w:p w:rsidR="002D76AD" w:rsidRPr="002D76AD" w:rsidRDefault="002D76AD" w:rsidP="002D76AD">
      <w:pPr>
        <w:tabs>
          <w:tab w:val="left" w:pos="284"/>
        </w:tabs>
        <w:spacing w:after="0"/>
        <w:jc w:val="both"/>
        <w:rPr>
          <w:rFonts w:ascii="Arial" w:hAnsi="Arial" w:cs="Arial"/>
          <w:sz w:val="20"/>
          <w:szCs w:val="20"/>
        </w:rPr>
      </w:pPr>
    </w:p>
    <w:p w:rsidR="00754279" w:rsidRPr="009B6921" w:rsidRDefault="00754279" w:rsidP="002D76AD">
      <w:pPr>
        <w:pStyle w:val="PargrafodaLista"/>
        <w:numPr>
          <w:ilvl w:val="0"/>
          <w:numId w:val="6"/>
        </w:numPr>
        <w:tabs>
          <w:tab w:val="left" w:pos="284"/>
        </w:tabs>
        <w:spacing w:after="0"/>
        <w:ind w:left="0" w:firstLine="0"/>
        <w:contextualSpacing w:val="0"/>
        <w:jc w:val="both"/>
        <w:rPr>
          <w:rFonts w:ascii="Arial" w:hAnsi="Arial" w:cs="Arial"/>
          <w:sz w:val="20"/>
          <w:szCs w:val="20"/>
        </w:rPr>
      </w:pPr>
      <w:r w:rsidRPr="009B6921">
        <w:rPr>
          <w:rFonts w:ascii="Arial" w:hAnsi="Arial" w:cs="Arial"/>
          <w:sz w:val="20"/>
          <w:szCs w:val="20"/>
        </w:rPr>
        <w:t xml:space="preserve">Tomada de Contas extraordinária. Dano ao erário. Negligência do gestor. Omissão. Ressarcimento. Imprescritibilidade. </w:t>
      </w:r>
    </w:p>
    <w:p w:rsidR="002D76AD" w:rsidRDefault="002D76AD" w:rsidP="002D76AD">
      <w:pPr>
        <w:spacing w:after="0"/>
        <w:jc w:val="both"/>
        <w:rPr>
          <w:rFonts w:ascii="Arial" w:hAnsi="Arial" w:cs="Arial"/>
          <w:sz w:val="20"/>
          <w:szCs w:val="20"/>
        </w:rPr>
      </w:pPr>
    </w:p>
    <w:p w:rsidR="00036CD8" w:rsidRDefault="0001405D" w:rsidP="002D76AD">
      <w:pPr>
        <w:spacing w:after="0"/>
        <w:jc w:val="both"/>
        <w:rPr>
          <w:rFonts w:ascii="Arial" w:hAnsi="Arial" w:cs="Arial"/>
          <w:sz w:val="20"/>
          <w:szCs w:val="20"/>
        </w:rPr>
      </w:pPr>
      <w:r w:rsidRPr="009B6921">
        <w:rPr>
          <w:rFonts w:ascii="Arial" w:hAnsi="Arial" w:cs="Arial"/>
          <w:sz w:val="20"/>
          <w:szCs w:val="20"/>
        </w:rPr>
        <w:t>3</w:t>
      </w:r>
      <w:r w:rsidR="00036CD8" w:rsidRPr="009B6921">
        <w:rPr>
          <w:rFonts w:ascii="Arial" w:hAnsi="Arial" w:cs="Arial"/>
          <w:sz w:val="20"/>
          <w:szCs w:val="20"/>
        </w:rPr>
        <w:t>. Aposentadoria. Negativa de Registro. Determinação de Emissão de Ato de Inativação compatível com o ca</w:t>
      </w:r>
      <w:r w:rsidR="00D408BD">
        <w:rPr>
          <w:rFonts w:ascii="Arial" w:hAnsi="Arial" w:cs="Arial"/>
          <w:sz w:val="20"/>
          <w:szCs w:val="20"/>
        </w:rPr>
        <w:t>rgo originalmente ocupado pelo s</w:t>
      </w:r>
      <w:r w:rsidR="00036CD8" w:rsidRPr="009B6921">
        <w:rPr>
          <w:rFonts w:ascii="Arial" w:hAnsi="Arial" w:cs="Arial"/>
          <w:sz w:val="20"/>
          <w:szCs w:val="20"/>
        </w:rPr>
        <w:t xml:space="preserve">ervidor. </w:t>
      </w:r>
    </w:p>
    <w:p w:rsidR="00040DA9" w:rsidRPr="009B6921" w:rsidRDefault="00040DA9" w:rsidP="002D76AD">
      <w:pPr>
        <w:spacing w:after="0"/>
        <w:jc w:val="both"/>
        <w:rPr>
          <w:rFonts w:ascii="Arial" w:hAnsi="Arial" w:cs="Arial"/>
          <w:sz w:val="20"/>
          <w:szCs w:val="20"/>
        </w:rPr>
      </w:pPr>
    </w:p>
    <w:p w:rsidR="00DC105F" w:rsidRPr="009B6921" w:rsidRDefault="00DC105F" w:rsidP="002D76AD">
      <w:pPr>
        <w:autoSpaceDE w:val="0"/>
        <w:autoSpaceDN w:val="0"/>
        <w:adjustRightInd w:val="0"/>
        <w:spacing w:after="0"/>
        <w:jc w:val="both"/>
        <w:rPr>
          <w:rFonts w:ascii="Arial" w:hAnsi="Arial" w:cs="Arial"/>
          <w:sz w:val="20"/>
          <w:szCs w:val="20"/>
        </w:rPr>
      </w:pPr>
      <w:r w:rsidRPr="009B6921">
        <w:rPr>
          <w:rFonts w:ascii="Arial" w:hAnsi="Arial" w:cs="Arial"/>
          <w:sz w:val="20"/>
          <w:szCs w:val="20"/>
        </w:rPr>
        <w:t>4. Embargos de Declaração. Servidor Público. Remuneração. Limite. Poderes. Lei municipal.</w:t>
      </w:r>
    </w:p>
    <w:p w:rsidR="00BD4F31" w:rsidRPr="009B6921" w:rsidRDefault="00BD4F31" w:rsidP="002D76AD">
      <w:pPr>
        <w:pStyle w:val="PargrafodaLista"/>
        <w:tabs>
          <w:tab w:val="left" w:pos="284"/>
        </w:tabs>
        <w:spacing w:after="0"/>
        <w:ind w:left="0"/>
        <w:contextualSpacing w:val="0"/>
        <w:jc w:val="both"/>
        <w:rPr>
          <w:rFonts w:ascii="Arial" w:hAnsi="Arial" w:cs="Arial"/>
          <w:sz w:val="20"/>
          <w:szCs w:val="20"/>
        </w:rPr>
      </w:pPr>
    </w:p>
    <w:p w:rsidR="00A94293" w:rsidRPr="009B6921" w:rsidRDefault="0001405D" w:rsidP="002D76AD">
      <w:pPr>
        <w:pStyle w:val="PargrafodaLista"/>
        <w:tabs>
          <w:tab w:val="left" w:pos="284"/>
        </w:tabs>
        <w:spacing w:after="0"/>
        <w:ind w:left="0"/>
        <w:contextualSpacing w:val="0"/>
        <w:jc w:val="both"/>
        <w:rPr>
          <w:rFonts w:ascii="Arial" w:hAnsi="Arial" w:cs="Arial"/>
          <w:sz w:val="20"/>
          <w:szCs w:val="20"/>
        </w:rPr>
      </w:pPr>
      <w:r w:rsidRPr="009B6921">
        <w:rPr>
          <w:rFonts w:ascii="Arial" w:hAnsi="Arial" w:cs="Arial"/>
          <w:sz w:val="20"/>
          <w:szCs w:val="20"/>
        </w:rPr>
        <w:t>5</w:t>
      </w:r>
      <w:r w:rsidR="00A94293" w:rsidRPr="009B6921">
        <w:rPr>
          <w:rFonts w:ascii="Arial" w:hAnsi="Arial" w:cs="Arial"/>
          <w:sz w:val="20"/>
          <w:szCs w:val="20"/>
        </w:rPr>
        <w:t xml:space="preserve">. Consulta. Câmaras de Prevenção e </w:t>
      </w:r>
      <w:proofErr w:type="spellStart"/>
      <w:r w:rsidR="00A94293" w:rsidRPr="009B6921">
        <w:rPr>
          <w:rFonts w:ascii="Arial" w:hAnsi="Arial" w:cs="Arial"/>
          <w:sz w:val="20"/>
          <w:szCs w:val="20"/>
        </w:rPr>
        <w:t>Autocomposição</w:t>
      </w:r>
      <w:proofErr w:type="spellEnd"/>
      <w:r w:rsidR="00A94293" w:rsidRPr="009B6921">
        <w:rPr>
          <w:rFonts w:ascii="Arial" w:hAnsi="Arial" w:cs="Arial"/>
          <w:sz w:val="20"/>
          <w:szCs w:val="20"/>
        </w:rPr>
        <w:t xml:space="preserve"> de Litígios. Lei nº 13.140/15. Possibilidade de sua instituição pelo Município por intermédio de Lei. Âmbito da Advocacia Municipal. Possibilidade de tratar sobre o reconhecimento de direito e pagamento de indenização por prejuízos causados pela Administração a terceiros. </w:t>
      </w:r>
    </w:p>
    <w:p w:rsidR="00770188" w:rsidRDefault="00770188" w:rsidP="002D76AD">
      <w:pPr>
        <w:autoSpaceDE w:val="0"/>
        <w:autoSpaceDN w:val="0"/>
        <w:adjustRightInd w:val="0"/>
        <w:spacing w:after="0"/>
        <w:jc w:val="both"/>
        <w:rPr>
          <w:rFonts w:ascii="Arial" w:hAnsi="Arial" w:cs="Arial"/>
          <w:sz w:val="20"/>
          <w:szCs w:val="20"/>
        </w:rPr>
      </w:pPr>
    </w:p>
    <w:p w:rsidR="002832C1" w:rsidRPr="009B6921" w:rsidRDefault="002832C1" w:rsidP="002D76AD">
      <w:pPr>
        <w:autoSpaceDE w:val="0"/>
        <w:autoSpaceDN w:val="0"/>
        <w:adjustRightInd w:val="0"/>
        <w:spacing w:after="0"/>
        <w:jc w:val="both"/>
        <w:rPr>
          <w:rFonts w:ascii="Arial" w:hAnsi="Arial" w:cs="Arial"/>
          <w:sz w:val="20"/>
          <w:szCs w:val="20"/>
        </w:rPr>
      </w:pPr>
      <w:r w:rsidRPr="009B6921">
        <w:rPr>
          <w:rFonts w:ascii="Arial" w:hAnsi="Arial" w:cs="Arial"/>
          <w:sz w:val="20"/>
          <w:szCs w:val="20"/>
        </w:rPr>
        <w:t>6. Consulta. Servidor Público. Aposentadoria. Enquadramento. Observância dos Prazos Constitucionais.</w:t>
      </w:r>
    </w:p>
    <w:p w:rsidR="009B6921" w:rsidRPr="009B6921" w:rsidRDefault="009B6921" w:rsidP="002D76AD">
      <w:pPr>
        <w:autoSpaceDE w:val="0"/>
        <w:autoSpaceDN w:val="0"/>
        <w:adjustRightInd w:val="0"/>
        <w:spacing w:after="0"/>
        <w:jc w:val="both"/>
        <w:rPr>
          <w:rFonts w:ascii="Arial" w:hAnsi="Arial" w:cs="Arial"/>
          <w:sz w:val="20"/>
          <w:szCs w:val="20"/>
        </w:rPr>
      </w:pPr>
    </w:p>
    <w:p w:rsidR="009B6921" w:rsidRPr="009B6921" w:rsidRDefault="009B6921" w:rsidP="002D76AD">
      <w:pPr>
        <w:autoSpaceDE w:val="0"/>
        <w:autoSpaceDN w:val="0"/>
        <w:adjustRightInd w:val="0"/>
        <w:spacing w:after="0"/>
        <w:jc w:val="both"/>
        <w:rPr>
          <w:rFonts w:ascii="Arial" w:hAnsi="Arial" w:cs="Arial"/>
          <w:sz w:val="20"/>
          <w:szCs w:val="20"/>
        </w:rPr>
      </w:pPr>
      <w:r w:rsidRPr="009B6921">
        <w:rPr>
          <w:rFonts w:ascii="Arial" w:hAnsi="Arial" w:cs="Arial"/>
          <w:sz w:val="20"/>
          <w:szCs w:val="20"/>
        </w:rPr>
        <w:t>7. Recurso de Revista. Administração Pública. Publicidade. Promoção Pessoal. Dano ao erário. Ressarcimento.</w:t>
      </w:r>
    </w:p>
    <w:p w:rsidR="00F14B9B" w:rsidRDefault="00F14B9B" w:rsidP="006375ED">
      <w:pPr>
        <w:spacing w:after="0" w:line="240" w:lineRule="atLeast"/>
        <w:jc w:val="both"/>
        <w:rPr>
          <w:rFonts w:ascii="Arial" w:hAnsi="Arial" w:cs="Arial"/>
          <w:b/>
          <w:color w:val="000000"/>
          <w:sz w:val="20"/>
          <w:szCs w:val="20"/>
        </w:rPr>
      </w:pPr>
    </w:p>
    <w:p w:rsidR="00712A93" w:rsidRPr="00722924" w:rsidRDefault="00712A93" w:rsidP="00722924">
      <w:pPr>
        <w:shd w:val="pct10" w:color="auto" w:fill="auto"/>
        <w:jc w:val="center"/>
        <w:rPr>
          <w:rFonts w:ascii="Arial" w:hAnsi="Arial" w:cs="Arial"/>
          <w:b/>
        </w:rPr>
      </w:pPr>
      <w:r w:rsidRPr="00722924">
        <w:rPr>
          <w:rFonts w:ascii="Arial" w:hAnsi="Arial" w:cs="Arial"/>
          <w:b/>
        </w:rPr>
        <w:t>PRIMEIRA CÂMARA</w:t>
      </w:r>
    </w:p>
    <w:p w:rsidR="00784D7B" w:rsidRPr="00784D7B" w:rsidRDefault="00784D7B" w:rsidP="00784D7B">
      <w:pPr>
        <w:pStyle w:val="PargrafodaLista"/>
        <w:numPr>
          <w:ilvl w:val="0"/>
          <w:numId w:val="8"/>
        </w:numPr>
        <w:tabs>
          <w:tab w:val="left" w:pos="284"/>
        </w:tabs>
        <w:spacing w:after="120"/>
        <w:ind w:left="0" w:firstLine="0"/>
        <w:jc w:val="both"/>
        <w:rPr>
          <w:rFonts w:ascii="Arial" w:hAnsi="Arial" w:cs="Arial"/>
          <w:b/>
          <w:sz w:val="20"/>
          <w:szCs w:val="20"/>
        </w:rPr>
      </w:pPr>
      <w:r w:rsidRPr="00784D7B">
        <w:rPr>
          <w:rFonts w:ascii="Arial" w:hAnsi="Arial" w:cs="Arial"/>
          <w:b/>
          <w:sz w:val="20"/>
          <w:szCs w:val="20"/>
        </w:rPr>
        <w:t xml:space="preserve">Processo de servidor ativo. Averbação de tempo de serviço realizado no exterior. Incompetência deste Tribunal para reconhecimento do direito. Competência do INSS. Necessária compensação em regimes previdenciários distintos. Acordo bilateral não vigente. Indeferimento. </w:t>
      </w:r>
    </w:p>
    <w:p w:rsidR="0036739F" w:rsidRDefault="005736E0" w:rsidP="00203387">
      <w:pPr>
        <w:tabs>
          <w:tab w:val="left" w:pos="284"/>
        </w:tabs>
        <w:spacing w:after="0"/>
        <w:jc w:val="both"/>
        <w:rPr>
          <w:rFonts w:ascii="Arial" w:hAnsi="Arial" w:cs="Arial"/>
          <w:sz w:val="20"/>
          <w:szCs w:val="20"/>
        </w:rPr>
      </w:pPr>
      <w:r w:rsidRPr="00784D7B">
        <w:rPr>
          <w:rFonts w:ascii="Arial" w:hAnsi="Arial" w:cs="Arial"/>
          <w:sz w:val="20"/>
          <w:szCs w:val="20"/>
        </w:rPr>
        <w:lastRenderedPageBreak/>
        <w:t xml:space="preserve">O requerimento visava </w:t>
      </w:r>
      <w:r w:rsidR="002D3266" w:rsidRPr="00784D7B">
        <w:rPr>
          <w:rFonts w:ascii="Arial" w:hAnsi="Arial" w:cs="Arial"/>
          <w:sz w:val="20"/>
          <w:szCs w:val="20"/>
        </w:rPr>
        <w:t>à</w:t>
      </w:r>
      <w:r w:rsidRPr="00784D7B">
        <w:rPr>
          <w:rFonts w:ascii="Arial" w:hAnsi="Arial" w:cs="Arial"/>
          <w:sz w:val="20"/>
          <w:szCs w:val="20"/>
        </w:rPr>
        <w:t xml:space="preserve"> averbação de tempo prestado em instituição de ensino nos Estados Unidos da América, enquanto estudava na própria instituição. A apresentação de fotocópia de Acordo de Previdência entre a República Federativa do Brasil e a dos Estados Unidos da América e uma carta proveniente da </w:t>
      </w:r>
      <w:r w:rsidRPr="002D3266">
        <w:rPr>
          <w:rFonts w:ascii="Arial" w:hAnsi="Arial" w:cs="Arial"/>
          <w:i/>
          <w:sz w:val="20"/>
          <w:szCs w:val="20"/>
        </w:rPr>
        <w:t xml:space="preserve">Miami </w:t>
      </w:r>
      <w:proofErr w:type="spellStart"/>
      <w:r w:rsidRPr="002D3266">
        <w:rPr>
          <w:rFonts w:ascii="Arial" w:hAnsi="Arial" w:cs="Arial"/>
          <w:i/>
          <w:sz w:val="20"/>
          <w:szCs w:val="20"/>
        </w:rPr>
        <w:t>University</w:t>
      </w:r>
      <w:proofErr w:type="spellEnd"/>
      <w:r w:rsidRPr="00784D7B">
        <w:rPr>
          <w:rFonts w:ascii="Arial" w:hAnsi="Arial" w:cs="Arial"/>
          <w:sz w:val="20"/>
          <w:szCs w:val="20"/>
        </w:rPr>
        <w:t>, que trabalhou como “</w:t>
      </w:r>
      <w:proofErr w:type="spellStart"/>
      <w:r w:rsidRPr="00784D7B">
        <w:rPr>
          <w:rFonts w:ascii="Arial" w:hAnsi="Arial" w:cs="Arial"/>
          <w:i/>
          <w:sz w:val="20"/>
          <w:szCs w:val="20"/>
        </w:rPr>
        <w:t>student</w:t>
      </w:r>
      <w:proofErr w:type="spellEnd"/>
      <w:r w:rsidRPr="00784D7B">
        <w:rPr>
          <w:rFonts w:ascii="Arial" w:hAnsi="Arial" w:cs="Arial"/>
          <w:i/>
          <w:sz w:val="20"/>
          <w:szCs w:val="20"/>
        </w:rPr>
        <w:t xml:space="preserve"> </w:t>
      </w:r>
      <w:proofErr w:type="spellStart"/>
      <w:r w:rsidRPr="00784D7B">
        <w:rPr>
          <w:rFonts w:ascii="Arial" w:hAnsi="Arial" w:cs="Arial"/>
          <w:i/>
          <w:sz w:val="20"/>
          <w:szCs w:val="20"/>
        </w:rPr>
        <w:t>employee</w:t>
      </w:r>
      <w:proofErr w:type="spellEnd"/>
      <w:r w:rsidRPr="00784D7B">
        <w:rPr>
          <w:rFonts w:ascii="Arial" w:hAnsi="Arial" w:cs="Arial"/>
          <w:sz w:val="20"/>
          <w:szCs w:val="20"/>
        </w:rPr>
        <w:t xml:space="preserve">” ou estudante </w:t>
      </w:r>
      <w:r w:rsidRPr="002D3266">
        <w:rPr>
          <w:rFonts w:ascii="Arial" w:hAnsi="Arial" w:cs="Arial"/>
          <w:szCs w:val="20"/>
        </w:rPr>
        <w:t>assalariado, teriam o intuito de embasar o pedido. Não foi comprovado que houve contribuições ao siste</w:t>
      </w:r>
      <w:r w:rsidRPr="00784D7B">
        <w:rPr>
          <w:rFonts w:ascii="Arial" w:hAnsi="Arial" w:cs="Arial"/>
          <w:sz w:val="20"/>
          <w:szCs w:val="20"/>
        </w:rPr>
        <w:t xml:space="preserve">ma previdenciário dos Estados Unidos, entretanto. Mas, ainda que o interessado tivesse produzido prova neste sentido, compete ao Instituto Nacional do Seguro Social </w:t>
      </w:r>
      <w:r w:rsidR="0049335D">
        <w:rPr>
          <w:rFonts w:ascii="Arial" w:hAnsi="Arial" w:cs="Arial"/>
          <w:sz w:val="20"/>
          <w:szCs w:val="20"/>
        </w:rPr>
        <w:t>-</w:t>
      </w:r>
      <w:r w:rsidRPr="00784D7B">
        <w:rPr>
          <w:rFonts w:ascii="Arial" w:hAnsi="Arial" w:cs="Arial"/>
          <w:sz w:val="20"/>
          <w:szCs w:val="20"/>
        </w:rPr>
        <w:t xml:space="preserve"> INSS reconhecer a validade e reciprocidade desse tempo de serviço, já que a compensação, se houver, ocorrerá entre os regimes gerais de previdência dos países envolvidos. Advertiu-se, ainda, quanto à inaplicabilidade do referido acordo bilateral, em razão da pendência de sua ratificação pelo Congresso Nacional.</w:t>
      </w:r>
    </w:p>
    <w:p w:rsidR="00203387" w:rsidRDefault="00203387" w:rsidP="00203387">
      <w:pPr>
        <w:tabs>
          <w:tab w:val="left" w:pos="284"/>
        </w:tabs>
        <w:spacing w:after="0"/>
        <w:jc w:val="both"/>
        <w:rPr>
          <w:rFonts w:ascii="Arial" w:hAnsi="Arial" w:cs="Arial"/>
          <w:sz w:val="20"/>
          <w:szCs w:val="20"/>
        </w:rPr>
      </w:pPr>
    </w:p>
    <w:p w:rsidR="005736E0" w:rsidRDefault="005736E0" w:rsidP="00203387">
      <w:pPr>
        <w:tabs>
          <w:tab w:val="left" w:pos="284"/>
        </w:tabs>
        <w:spacing w:after="0"/>
        <w:jc w:val="both"/>
        <w:rPr>
          <w:rFonts w:ascii="Arial" w:hAnsi="Arial" w:cs="Arial"/>
          <w:sz w:val="20"/>
          <w:szCs w:val="20"/>
        </w:rPr>
      </w:pPr>
      <w:r>
        <w:rPr>
          <w:rFonts w:ascii="Arial" w:hAnsi="Arial" w:cs="Arial"/>
          <w:sz w:val="20"/>
          <w:szCs w:val="20"/>
        </w:rPr>
        <w:t xml:space="preserve">Processo nº 836359/16 </w:t>
      </w:r>
      <w:r w:rsidR="00784D7B">
        <w:rPr>
          <w:rFonts w:ascii="Arial" w:hAnsi="Arial" w:cs="Arial"/>
          <w:sz w:val="20"/>
          <w:szCs w:val="20"/>
        </w:rPr>
        <w:t>-</w:t>
      </w:r>
      <w:r>
        <w:rPr>
          <w:rFonts w:ascii="Arial" w:hAnsi="Arial" w:cs="Arial"/>
          <w:sz w:val="20"/>
          <w:szCs w:val="20"/>
        </w:rPr>
        <w:t xml:space="preserve"> </w:t>
      </w:r>
      <w:hyperlink r:id="rId9" w:history="1">
        <w:r w:rsidRPr="00675422">
          <w:rPr>
            <w:rStyle w:val="Hyperlink"/>
            <w:rFonts w:ascii="Arial" w:hAnsi="Arial" w:cs="Arial"/>
            <w:b/>
            <w:sz w:val="20"/>
            <w:szCs w:val="20"/>
          </w:rPr>
          <w:t xml:space="preserve">Acórdão nº 74/17 </w:t>
        </w:r>
        <w:r w:rsidR="00494B10">
          <w:rPr>
            <w:rStyle w:val="Hyperlink"/>
            <w:rFonts w:ascii="Arial" w:hAnsi="Arial" w:cs="Arial"/>
            <w:b/>
            <w:sz w:val="20"/>
            <w:szCs w:val="20"/>
          </w:rPr>
          <w:t xml:space="preserve">- Primeira </w:t>
        </w:r>
        <w:r w:rsidRPr="00675422">
          <w:rPr>
            <w:rStyle w:val="Hyperlink"/>
            <w:rFonts w:ascii="Arial" w:hAnsi="Arial" w:cs="Arial"/>
            <w:b/>
            <w:sz w:val="20"/>
            <w:szCs w:val="20"/>
          </w:rPr>
          <w:t>Câmara</w:t>
        </w:r>
      </w:hyperlink>
      <w:r>
        <w:rPr>
          <w:rFonts w:ascii="Arial" w:hAnsi="Arial" w:cs="Arial"/>
          <w:sz w:val="20"/>
          <w:szCs w:val="20"/>
        </w:rPr>
        <w:t xml:space="preserve"> </w:t>
      </w:r>
      <w:r w:rsidR="00784D7B">
        <w:rPr>
          <w:rFonts w:ascii="Arial" w:hAnsi="Arial" w:cs="Arial"/>
          <w:sz w:val="20"/>
          <w:szCs w:val="20"/>
        </w:rPr>
        <w:t>-</w:t>
      </w:r>
      <w:r>
        <w:rPr>
          <w:rFonts w:ascii="Arial" w:hAnsi="Arial" w:cs="Arial"/>
          <w:sz w:val="20"/>
          <w:szCs w:val="20"/>
        </w:rPr>
        <w:t xml:space="preserve"> Relator Cons. Fernando Augusto Mello Guimarães. </w:t>
      </w:r>
    </w:p>
    <w:p w:rsidR="00D03845" w:rsidRDefault="00D03845" w:rsidP="006375ED">
      <w:pPr>
        <w:spacing w:after="0"/>
        <w:jc w:val="both"/>
        <w:rPr>
          <w:rFonts w:ascii="Arial" w:hAnsi="Arial" w:cs="Arial"/>
          <w:sz w:val="20"/>
          <w:szCs w:val="20"/>
        </w:rPr>
      </w:pPr>
    </w:p>
    <w:p w:rsidR="00754279" w:rsidRDefault="00754279" w:rsidP="00754279">
      <w:pPr>
        <w:jc w:val="both"/>
        <w:rPr>
          <w:rFonts w:ascii="Arial" w:hAnsi="Arial" w:cs="Arial"/>
          <w:b/>
          <w:sz w:val="20"/>
          <w:szCs w:val="20"/>
        </w:rPr>
      </w:pPr>
      <w:r>
        <w:rPr>
          <w:rFonts w:ascii="Arial" w:hAnsi="Arial" w:cs="Arial"/>
          <w:b/>
          <w:sz w:val="20"/>
          <w:szCs w:val="20"/>
        </w:rPr>
        <w:t xml:space="preserve">2. Tomada de Contas extraordinária. Dano ao erário. Negligência do gestor. Omissão. Ressarcimento. Imprescritibilidade. </w:t>
      </w:r>
    </w:p>
    <w:p w:rsidR="00754279" w:rsidRDefault="00754279" w:rsidP="009D5D12">
      <w:pPr>
        <w:autoSpaceDE w:val="0"/>
        <w:autoSpaceDN w:val="0"/>
        <w:adjustRightInd w:val="0"/>
        <w:spacing w:after="0"/>
        <w:jc w:val="both"/>
        <w:rPr>
          <w:rFonts w:ascii="Arial" w:hAnsi="Arial" w:cs="Arial"/>
          <w:sz w:val="20"/>
          <w:szCs w:val="20"/>
        </w:rPr>
      </w:pPr>
      <w:r w:rsidRPr="009B6921">
        <w:rPr>
          <w:rFonts w:ascii="Arial" w:hAnsi="Arial" w:cs="Arial"/>
          <w:sz w:val="20"/>
          <w:szCs w:val="20"/>
        </w:rPr>
        <w:t xml:space="preserve">O gestor público é responsável pelos danos ao patrimônio público decorrentes de conduta omissiva. A negligência na preservação do patrimônio público, quando acarretar dano ao erário, gera responsabilidade do gestor que foi negligente com a coisa pública. Assim, no caso de desativação injustificada de terminais ou estações de ônibus, com sua consequente deterioração, a omissão do gestor, em face da cogente necessidade de preservação do patrimônio público, acarreta sua responsabilidade pelos danos causados pela desativação e deterioração dos terminais ou estações. Além disso, é imprescritível a pretensão decorrente do prejuízo causado ao erário pela má gestão de recursos públicos. </w:t>
      </w:r>
    </w:p>
    <w:p w:rsidR="00203387" w:rsidRPr="009B6921" w:rsidRDefault="00203387" w:rsidP="00754CEE">
      <w:pPr>
        <w:autoSpaceDE w:val="0"/>
        <w:autoSpaceDN w:val="0"/>
        <w:adjustRightInd w:val="0"/>
        <w:spacing w:after="0"/>
        <w:jc w:val="both"/>
        <w:rPr>
          <w:rFonts w:ascii="Arial" w:hAnsi="Arial" w:cs="Arial"/>
          <w:sz w:val="20"/>
          <w:szCs w:val="20"/>
        </w:rPr>
      </w:pPr>
    </w:p>
    <w:p w:rsidR="00754279" w:rsidRPr="009B6921" w:rsidRDefault="00754279" w:rsidP="00754CEE">
      <w:pPr>
        <w:autoSpaceDE w:val="0"/>
        <w:autoSpaceDN w:val="0"/>
        <w:adjustRightInd w:val="0"/>
        <w:spacing w:after="0"/>
        <w:jc w:val="both"/>
        <w:rPr>
          <w:rFonts w:ascii="Arial" w:hAnsi="Arial" w:cs="Arial"/>
          <w:sz w:val="20"/>
          <w:szCs w:val="20"/>
        </w:rPr>
      </w:pPr>
      <w:r w:rsidRPr="009B6921">
        <w:rPr>
          <w:rFonts w:ascii="Arial" w:hAnsi="Arial" w:cs="Arial"/>
          <w:sz w:val="20"/>
          <w:szCs w:val="20"/>
        </w:rPr>
        <w:t xml:space="preserve">Processo n° 89408/10 </w:t>
      </w:r>
      <w:r w:rsidR="00A4713B">
        <w:rPr>
          <w:rFonts w:ascii="Arial" w:hAnsi="Arial" w:cs="Arial"/>
          <w:sz w:val="20"/>
          <w:szCs w:val="20"/>
        </w:rPr>
        <w:t>-</w:t>
      </w:r>
      <w:r w:rsidRPr="009B6921">
        <w:rPr>
          <w:rFonts w:ascii="Arial" w:hAnsi="Arial" w:cs="Arial"/>
          <w:b/>
          <w:sz w:val="20"/>
          <w:szCs w:val="20"/>
        </w:rPr>
        <w:t xml:space="preserve"> </w:t>
      </w:r>
      <w:hyperlink r:id="rId10" w:history="1">
        <w:r w:rsidRPr="009B6921">
          <w:rPr>
            <w:rStyle w:val="Hyperlink"/>
            <w:rFonts w:ascii="Arial" w:hAnsi="Arial" w:cs="Arial"/>
            <w:b/>
            <w:sz w:val="20"/>
            <w:szCs w:val="20"/>
          </w:rPr>
          <w:t xml:space="preserve">Acórdão n° 273/17 </w:t>
        </w:r>
        <w:r w:rsidR="00E02804">
          <w:rPr>
            <w:rStyle w:val="Hyperlink"/>
            <w:rFonts w:ascii="Arial" w:hAnsi="Arial" w:cs="Arial"/>
            <w:b/>
            <w:sz w:val="20"/>
            <w:szCs w:val="20"/>
          </w:rPr>
          <w:t>-</w:t>
        </w:r>
        <w:r w:rsidRPr="009B6921">
          <w:rPr>
            <w:rStyle w:val="Hyperlink"/>
            <w:rFonts w:ascii="Arial" w:hAnsi="Arial" w:cs="Arial"/>
            <w:b/>
            <w:sz w:val="20"/>
            <w:szCs w:val="20"/>
          </w:rPr>
          <w:t xml:space="preserve"> Primeira Câmara</w:t>
        </w:r>
      </w:hyperlink>
      <w:r w:rsidRPr="009B6921">
        <w:rPr>
          <w:rFonts w:ascii="Arial" w:hAnsi="Arial" w:cs="Arial"/>
          <w:sz w:val="20"/>
          <w:szCs w:val="20"/>
        </w:rPr>
        <w:t xml:space="preserve"> - Relator Cons. Fábio de Souza Camargo.</w:t>
      </w:r>
    </w:p>
    <w:p w:rsidR="00754279" w:rsidRDefault="00754279" w:rsidP="00754279">
      <w:pPr>
        <w:spacing w:after="0"/>
        <w:jc w:val="both"/>
        <w:rPr>
          <w:rFonts w:ascii="Arial" w:hAnsi="Arial" w:cs="Arial"/>
          <w:sz w:val="20"/>
          <w:szCs w:val="20"/>
        </w:rPr>
      </w:pPr>
    </w:p>
    <w:p w:rsidR="00EC3842" w:rsidRPr="00722924" w:rsidRDefault="00EC3842" w:rsidP="00EC3842">
      <w:pPr>
        <w:shd w:val="pct10" w:color="auto" w:fill="auto"/>
        <w:jc w:val="center"/>
        <w:rPr>
          <w:rFonts w:ascii="Arial" w:hAnsi="Arial" w:cs="Arial"/>
          <w:b/>
        </w:rPr>
      </w:pPr>
      <w:r>
        <w:rPr>
          <w:rFonts w:ascii="Arial" w:hAnsi="Arial" w:cs="Arial"/>
          <w:b/>
        </w:rPr>
        <w:t>SEGUNDA</w:t>
      </w:r>
      <w:r w:rsidRPr="00722924">
        <w:rPr>
          <w:rFonts w:ascii="Arial" w:hAnsi="Arial" w:cs="Arial"/>
          <w:b/>
        </w:rPr>
        <w:t xml:space="preserve"> CÂMARA</w:t>
      </w:r>
    </w:p>
    <w:p w:rsidR="0037216D" w:rsidRPr="0037216D" w:rsidRDefault="00754279" w:rsidP="0037216D">
      <w:pPr>
        <w:spacing w:after="120"/>
        <w:jc w:val="both"/>
        <w:rPr>
          <w:rFonts w:ascii="Arial" w:hAnsi="Arial" w:cs="Arial"/>
          <w:b/>
          <w:sz w:val="20"/>
          <w:szCs w:val="20"/>
        </w:rPr>
      </w:pPr>
      <w:r>
        <w:rPr>
          <w:rFonts w:ascii="Arial" w:hAnsi="Arial" w:cs="Arial"/>
          <w:b/>
          <w:sz w:val="20"/>
          <w:szCs w:val="20"/>
        </w:rPr>
        <w:t>3</w:t>
      </w:r>
      <w:r w:rsidR="0037216D" w:rsidRPr="0037216D">
        <w:rPr>
          <w:rFonts w:ascii="Arial" w:hAnsi="Arial" w:cs="Arial"/>
          <w:b/>
          <w:sz w:val="20"/>
          <w:szCs w:val="20"/>
        </w:rPr>
        <w:t xml:space="preserve">. Aposentadoria. Negativa de Registro. Determinação de Emissão de Ato de Inativação compatível com o cargo originalmente ocupado pelo Servidor. </w:t>
      </w:r>
    </w:p>
    <w:p w:rsidR="0037216D" w:rsidRDefault="0037216D" w:rsidP="002F0F36">
      <w:pPr>
        <w:spacing w:after="0"/>
        <w:jc w:val="both"/>
        <w:rPr>
          <w:rFonts w:ascii="Arial" w:hAnsi="Arial" w:cs="Arial"/>
          <w:sz w:val="20"/>
          <w:szCs w:val="20"/>
        </w:rPr>
      </w:pPr>
      <w:r>
        <w:rPr>
          <w:rFonts w:ascii="Arial" w:hAnsi="Arial" w:cs="Arial"/>
          <w:sz w:val="20"/>
          <w:szCs w:val="20"/>
        </w:rPr>
        <w:t>O servidor inativado ocupava o cargo de agente fiscal, que por meio da Lei Complementar Estadual nº 131/2010, passou a ser denominado de auditor fiscal. Não houve alteração apenas da denominação do cargo, mas também o nível de complexidade e as atividades desenvolvidas, ocorrendo provimento derivado, em desrespeito à Súmula 685 do STF, ao art. 37, II, da Constituição Federal e aos princípios da impessoalidade, moralidade e eficiência do serviço público. Ressaltou-se, por fim, que sequer houve comprovação de que o servidor atendia aos requisitos da nova classe ocupada, prevista na referida Lei, cuja constitucionalidade está sendo discutida no STF, na ADI 5510/2016.</w:t>
      </w:r>
    </w:p>
    <w:p w:rsidR="002F0F36" w:rsidRDefault="002F0F36" w:rsidP="002F0F36">
      <w:pPr>
        <w:spacing w:after="0"/>
        <w:jc w:val="both"/>
        <w:rPr>
          <w:rFonts w:ascii="Arial" w:hAnsi="Arial" w:cs="Arial"/>
          <w:sz w:val="20"/>
          <w:szCs w:val="20"/>
        </w:rPr>
      </w:pPr>
    </w:p>
    <w:p w:rsidR="0037216D" w:rsidRDefault="0037216D" w:rsidP="002F0F36">
      <w:pPr>
        <w:spacing w:after="0"/>
        <w:jc w:val="both"/>
        <w:rPr>
          <w:rFonts w:ascii="Arial" w:hAnsi="Arial" w:cs="Arial"/>
          <w:sz w:val="20"/>
          <w:szCs w:val="20"/>
        </w:rPr>
      </w:pPr>
      <w:r>
        <w:rPr>
          <w:rFonts w:ascii="Arial" w:hAnsi="Arial" w:cs="Arial"/>
          <w:sz w:val="20"/>
          <w:szCs w:val="20"/>
        </w:rPr>
        <w:t xml:space="preserve">Processo nº 550994/16 - </w:t>
      </w:r>
      <w:hyperlink r:id="rId11" w:history="1">
        <w:r w:rsidRPr="00675422">
          <w:rPr>
            <w:rStyle w:val="Hyperlink"/>
            <w:rFonts w:ascii="Arial" w:hAnsi="Arial" w:cs="Arial"/>
            <w:b/>
            <w:sz w:val="20"/>
            <w:szCs w:val="20"/>
          </w:rPr>
          <w:t>Acórdão nº 181/17</w:t>
        </w:r>
        <w:r w:rsidR="001E6023" w:rsidRPr="00675422">
          <w:rPr>
            <w:rStyle w:val="Hyperlink"/>
            <w:rFonts w:ascii="Arial" w:hAnsi="Arial" w:cs="Arial"/>
            <w:b/>
            <w:sz w:val="20"/>
            <w:szCs w:val="20"/>
          </w:rPr>
          <w:t xml:space="preserve"> </w:t>
        </w:r>
        <w:r w:rsidRPr="00675422">
          <w:rPr>
            <w:rStyle w:val="Hyperlink"/>
            <w:rFonts w:ascii="Arial" w:hAnsi="Arial" w:cs="Arial"/>
            <w:b/>
            <w:sz w:val="20"/>
            <w:szCs w:val="20"/>
          </w:rPr>
          <w:t>-</w:t>
        </w:r>
        <w:r w:rsidR="00E02804" w:rsidRPr="00675422">
          <w:rPr>
            <w:rStyle w:val="Hyperlink"/>
            <w:rFonts w:ascii="Arial" w:hAnsi="Arial" w:cs="Arial"/>
            <w:b/>
            <w:sz w:val="20"/>
            <w:szCs w:val="20"/>
          </w:rPr>
          <w:t xml:space="preserve"> Segunda </w:t>
        </w:r>
        <w:r w:rsidRPr="00675422">
          <w:rPr>
            <w:rStyle w:val="Hyperlink"/>
            <w:rFonts w:ascii="Arial" w:hAnsi="Arial" w:cs="Arial"/>
            <w:b/>
            <w:sz w:val="20"/>
            <w:szCs w:val="20"/>
          </w:rPr>
          <w:t>Câmara</w:t>
        </w:r>
      </w:hyperlink>
      <w:r>
        <w:rPr>
          <w:rFonts w:ascii="Arial" w:hAnsi="Arial" w:cs="Arial"/>
          <w:sz w:val="20"/>
          <w:szCs w:val="20"/>
        </w:rPr>
        <w:t xml:space="preserve"> - Relator Auditor Claudio Augusto Canha. </w:t>
      </w:r>
    </w:p>
    <w:p w:rsidR="00DC105F" w:rsidRDefault="00DC105F" w:rsidP="009A021C">
      <w:pPr>
        <w:autoSpaceDE w:val="0"/>
        <w:autoSpaceDN w:val="0"/>
        <w:adjustRightInd w:val="0"/>
        <w:spacing w:after="0" w:line="240" w:lineRule="auto"/>
        <w:jc w:val="both"/>
        <w:rPr>
          <w:rFonts w:ascii="Arial" w:hAnsi="Arial" w:cs="Arial"/>
          <w:b/>
          <w:sz w:val="20"/>
          <w:szCs w:val="20"/>
        </w:rPr>
      </w:pPr>
    </w:p>
    <w:p w:rsidR="009A021C" w:rsidRPr="00AF3AC4" w:rsidRDefault="009A021C" w:rsidP="009A021C">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 xml:space="preserve">4. </w:t>
      </w:r>
      <w:r w:rsidRPr="00AF3AC4">
        <w:rPr>
          <w:rFonts w:ascii="Arial" w:hAnsi="Arial" w:cs="Arial"/>
          <w:b/>
          <w:sz w:val="20"/>
          <w:szCs w:val="20"/>
        </w:rPr>
        <w:t>Embargos de Declaração. Servidor Público. Remuneração. Limite. Poderes. Lei municipal.</w:t>
      </w:r>
    </w:p>
    <w:p w:rsidR="009A021C" w:rsidRPr="00AF3AC4" w:rsidRDefault="009A021C" w:rsidP="009A021C">
      <w:pPr>
        <w:autoSpaceDE w:val="0"/>
        <w:autoSpaceDN w:val="0"/>
        <w:adjustRightInd w:val="0"/>
        <w:spacing w:after="0" w:line="240" w:lineRule="auto"/>
        <w:jc w:val="both"/>
        <w:rPr>
          <w:rFonts w:ascii="Arial" w:hAnsi="Arial" w:cs="Arial"/>
          <w:sz w:val="20"/>
          <w:szCs w:val="20"/>
        </w:rPr>
      </w:pPr>
    </w:p>
    <w:p w:rsidR="009A021C" w:rsidRDefault="009A021C" w:rsidP="00655A03">
      <w:pPr>
        <w:autoSpaceDE w:val="0"/>
        <w:autoSpaceDN w:val="0"/>
        <w:adjustRightInd w:val="0"/>
        <w:spacing w:after="0"/>
        <w:jc w:val="both"/>
        <w:rPr>
          <w:rFonts w:ascii="Arial" w:hAnsi="Arial" w:cs="Arial"/>
          <w:sz w:val="20"/>
          <w:szCs w:val="20"/>
        </w:rPr>
      </w:pPr>
      <w:r w:rsidRPr="00AF3AC4">
        <w:rPr>
          <w:rFonts w:ascii="Arial" w:hAnsi="Arial" w:cs="Arial"/>
          <w:sz w:val="20"/>
          <w:szCs w:val="20"/>
        </w:rPr>
        <w:t>Os valores pagos a título de vencimentos aos servidores públicos do Poder Legislativo não poderão exceder os valores pagos aos servidores do Poder Executivo para os cargos assemelhados, uma vez que o art. 37, XII, da Constituição Federal cria um limite, conforme decidiu o Supremo Tribunal Federal. Entretanto, esse entendimento deve ser aplicado para nortear legislações futuras sobre o tema, não devendo retroagir sobre relações jurídicas já consolidadas no momento da fixação do entendimento pelo Supremo Tribunal Federal no RE nº 504351. Dessa forma, não se deve afastar a aplicação de lei municipal situações anteriores a esse entendimento.</w:t>
      </w:r>
    </w:p>
    <w:p w:rsidR="00490CC7" w:rsidRPr="00AF3AC4" w:rsidRDefault="00490CC7" w:rsidP="00655A03">
      <w:pPr>
        <w:autoSpaceDE w:val="0"/>
        <w:autoSpaceDN w:val="0"/>
        <w:adjustRightInd w:val="0"/>
        <w:spacing w:after="0"/>
        <w:jc w:val="both"/>
        <w:rPr>
          <w:rFonts w:ascii="Arial" w:hAnsi="Arial" w:cs="Arial"/>
          <w:sz w:val="20"/>
          <w:szCs w:val="20"/>
        </w:rPr>
      </w:pPr>
    </w:p>
    <w:p w:rsidR="009A021C" w:rsidRDefault="009A021C" w:rsidP="00655A03">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520513/16 </w:t>
      </w:r>
      <w:r w:rsidR="00A4713B">
        <w:rPr>
          <w:rFonts w:ascii="Arial" w:hAnsi="Arial" w:cs="Arial"/>
          <w:sz w:val="20"/>
          <w:szCs w:val="20"/>
        </w:rPr>
        <w:t>-</w:t>
      </w:r>
      <w:r w:rsidRPr="006740A1">
        <w:rPr>
          <w:rFonts w:ascii="Arial" w:hAnsi="Arial" w:cs="Arial"/>
          <w:b/>
          <w:sz w:val="20"/>
          <w:szCs w:val="20"/>
        </w:rPr>
        <w:t xml:space="preserve"> </w:t>
      </w:r>
      <w:hyperlink r:id="rId12" w:history="1">
        <w:r w:rsidRPr="00EF67FB">
          <w:rPr>
            <w:rStyle w:val="Hyperlink"/>
            <w:rFonts w:ascii="Arial" w:hAnsi="Arial" w:cs="Arial"/>
            <w:b/>
            <w:sz w:val="20"/>
            <w:szCs w:val="20"/>
          </w:rPr>
          <w:t xml:space="preserve">Acórdão n° 352/17 </w:t>
        </w:r>
        <w:r w:rsidR="00490CC7">
          <w:rPr>
            <w:rStyle w:val="Hyperlink"/>
            <w:rFonts w:ascii="Arial" w:hAnsi="Arial" w:cs="Arial"/>
            <w:b/>
            <w:sz w:val="20"/>
            <w:szCs w:val="20"/>
          </w:rPr>
          <w:t>-</w:t>
        </w:r>
        <w:r w:rsidRPr="00EF67FB">
          <w:rPr>
            <w:rStyle w:val="Hyperlink"/>
            <w:rFonts w:ascii="Arial" w:hAnsi="Arial" w:cs="Arial"/>
            <w:b/>
            <w:sz w:val="20"/>
            <w:szCs w:val="20"/>
          </w:rPr>
          <w:t xml:space="preserve"> Segunda Câmara</w:t>
        </w:r>
      </w:hyperlink>
      <w:r>
        <w:rPr>
          <w:rFonts w:ascii="Arial" w:hAnsi="Arial" w:cs="Arial"/>
          <w:sz w:val="20"/>
          <w:szCs w:val="20"/>
        </w:rPr>
        <w:t xml:space="preserve"> - Relator </w:t>
      </w:r>
      <w:r w:rsidRPr="00EF67FB">
        <w:rPr>
          <w:rFonts w:ascii="Arial" w:hAnsi="Arial" w:cs="Arial"/>
          <w:sz w:val="20"/>
          <w:szCs w:val="20"/>
        </w:rPr>
        <w:t>Auditor Cláudio Augusto Canha.</w:t>
      </w:r>
    </w:p>
    <w:p w:rsidR="001C0D0A" w:rsidRDefault="001C0D0A" w:rsidP="0037216D">
      <w:pPr>
        <w:spacing w:after="120"/>
        <w:jc w:val="both"/>
        <w:rPr>
          <w:rFonts w:ascii="Arial" w:hAnsi="Arial" w:cs="Arial"/>
          <w:sz w:val="20"/>
          <w:szCs w:val="20"/>
        </w:rPr>
      </w:pPr>
    </w:p>
    <w:p w:rsidR="00AE4F42" w:rsidRPr="00722924" w:rsidRDefault="00AE4F42" w:rsidP="00AE4F42">
      <w:pPr>
        <w:shd w:val="pct10" w:color="auto" w:fill="auto"/>
        <w:jc w:val="center"/>
        <w:rPr>
          <w:rFonts w:ascii="Arial" w:hAnsi="Arial" w:cs="Arial"/>
          <w:b/>
        </w:rPr>
      </w:pPr>
      <w:r>
        <w:rPr>
          <w:rFonts w:ascii="Arial" w:hAnsi="Arial" w:cs="Arial"/>
          <w:b/>
        </w:rPr>
        <w:t>TRIBUNAL PLENO</w:t>
      </w:r>
    </w:p>
    <w:p w:rsidR="00B16835" w:rsidRPr="00BC20E4" w:rsidRDefault="000D5C1A" w:rsidP="00B16835">
      <w:pPr>
        <w:pStyle w:val="PargrafodaLista"/>
        <w:tabs>
          <w:tab w:val="left" w:pos="284"/>
        </w:tabs>
        <w:spacing w:after="120"/>
        <w:ind w:left="0"/>
        <w:jc w:val="both"/>
        <w:rPr>
          <w:rFonts w:ascii="Arial" w:hAnsi="Arial" w:cs="Arial"/>
          <w:b/>
          <w:sz w:val="20"/>
          <w:szCs w:val="20"/>
        </w:rPr>
      </w:pPr>
      <w:r>
        <w:rPr>
          <w:rFonts w:ascii="Arial" w:hAnsi="Arial" w:cs="Arial"/>
          <w:b/>
          <w:sz w:val="20"/>
          <w:szCs w:val="20"/>
        </w:rPr>
        <w:t>5</w:t>
      </w:r>
      <w:r w:rsidR="00B16835" w:rsidRPr="00BC20E4">
        <w:rPr>
          <w:rFonts w:ascii="Arial" w:hAnsi="Arial" w:cs="Arial"/>
          <w:b/>
          <w:sz w:val="20"/>
          <w:szCs w:val="20"/>
        </w:rPr>
        <w:t xml:space="preserve">. Consulta. Câmaras de Prevenção e </w:t>
      </w:r>
      <w:proofErr w:type="spellStart"/>
      <w:r w:rsidR="00B16835" w:rsidRPr="00BC20E4">
        <w:rPr>
          <w:rFonts w:ascii="Arial" w:hAnsi="Arial" w:cs="Arial"/>
          <w:b/>
          <w:sz w:val="20"/>
          <w:szCs w:val="20"/>
        </w:rPr>
        <w:t>Autocomposição</w:t>
      </w:r>
      <w:proofErr w:type="spellEnd"/>
      <w:r w:rsidR="00B16835" w:rsidRPr="00BC20E4">
        <w:rPr>
          <w:rFonts w:ascii="Arial" w:hAnsi="Arial" w:cs="Arial"/>
          <w:b/>
          <w:sz w:val="20"/>
          <w:szCs w:val="20"/>
        </w:rPr>
        <w:t xml:space="preserve"> de Litígios. Lei nº 13.140/15. Possibilidade de sua instituição pelo Município por intermédio de Lei. Âmbito da Advocacia Municipal. Possibilidade de tratar sobre o reconhecimento de direito e pagamento de indenização por prejuízos causados pela Administração a terceiros. </w:t>
      </w:r>
    </w:p>
    <w:p w:rsidR="00BC20E4" w:rsidRDefault="00BC20E4" w:rsidP="002B0BAA">
      <w:pPr>
        <w:spacing w:after="0"/>
        <w:jc w:val="both"/>
        <w:rPr>
          <w:rFonts w:ascii="Arial" w:hAnsi="Arial" w:cs="Arial"/>
          <w:sz w:val="20"/>
          <w:szCs w:val="20"/>
        </w:rPr>
      </w:pPr>
      <w:r w:rsidRPr="00560BD6">
        <w:rPr>
          <w:rFonts w:ascii="Arial" w:hAnsi="Arial" w:cs="Arial"/>
          <w:sz w:val="20"/>
          <w:szCs w:val="20"/>
        </w:rPr>
        <w:t xml:space="preserve">A Lei Federal nº 13.140/2015 dispõe sobre a mediação entre particulares como método de solução de controvérsia, assim como sobre a </w:t>
      </w:r>
      <w:proofErr w:type="spellStart"/>
      <w:r w:rsidRPr="00560BD6">
        <w:rPr>
          <w:rFonts w:ascii="Arial" w:hAnsi="Arial" w:cs="Arial"/>
          <w:sz w:val="20"/>
          <w:szCs w:val="20"/>
        </w:rPr>
        <w:t>autocomposição</w:t>
      </w:r>
      <w:proofErr w:type="spellEnd"/>
      <w:r w:rsidRPr="00560BD6">
        <w:rPr>
          <w:rFonts w:ascii="Arial" w:hAnsi="Arial" w:cs="Arial"/>
          <w:sz w:val="20"/>
          <w:szCs w:val="20"/>
        </w:rPr>
        <w:t xml:space="preserve"> de conflitos no âmbito da Administração Pública, seguindo a atual tendência de busca pela celeridade e diminuição da litigiosidade com a </w:t>
      </w:r>
      <w:proofErr w:type="spellStart"/>
      <w:r w:rsidRPr="00560BD6">
        <w:rPr>
          <w:rFonts w:ascii="Arial" w:hAnsi="Arial" w:cs="Arial"/>
          <w:sz w:val="20"/>
          <w:szCs w:val="20"/>
        </w:rPr>
        <w:t>desjudicialização</w:t>
      </w:r>
      <w:proofErr w:type="spellEnd"/>
      <w:r w:rsidRPr="00560BD6">
        <w:rPr>
          <w:rFonts w:ascii="Arial" w:hAnsi="Arial" w:cs="Arial"/>
          <w:sz w:val="20"/>
          <w:szCs w:val="20"/>
        </w:rPr>
        <w:t xml:space="preserve"> das relações, aspecto enaltecido pelo Código de Processo Civil vigente.</w:t>
      </w:r>
      <w:r w:rsidR="003847D4">
        <w:rPr>
          <w:rFonts w:ascii="Arial" w:hAnsi="Arial" w:cs="Arial"/>
          <w:sz w:val="20"/>
          <w:szCs w:val="20"/>
        </w:rPr>
        <w:t xml:space="preserve"> </w:t>
      </w:r>
      <w:r>
        <w:rPr>
          <w:rFonts w:ascii="Arial" w:hAnsi="Arial" w:cs="Arial"/>
          <w:sz w:val="20"/>
          <w:szCs w:val="20"/>
        </w:rPr>
        <w:t xml:space="preserve">Nos moldes de tal legislação, respondeu-se à consulta no sentido da possibilidade dos Municípios criarem as chamadas Câmaras de Prevenção e Resolução Administrativa de Conflitos, por meio de lei, com vinculação direta à Advocacia Pública da respectiva unidade federativa. </w:t>
      </w:r>
    </w:p>
    <w:p w:rsidR="00844A85" w:rsidRDefault="00844A85" w:rsidP="002B0BAA">
      <w:pPr>
        <w:spacing w:after="0"/>
        <w:jc w:val="both"/>
        <w:rPr>
          <w:rFonts w:ascii="Arial" w:hAnsi="Arial" w:cs="Arial"/>
          <w:sz w:val="20"/>
          <w:szCs w:val="20"/>
        </w:rPr>
      </w:pPr>
    </w:p>
    <w:p w:rsidR="00BC20E4" w:rsidRDefault="00BC20E4" w:rsidP="002B0BAA">
      <w:pPr>
        <w:pStyle w:val="PargrafodaLista"/>
        <w:spacing w:after="0"/>
        <w:ind w:left="0"/>
        <w:contextualSpacing w:val="0"/>
        <w:jc w:val="both"/>
        <w:rPr>
          <w:rFonts w:ascii="Arial" w:hAnsi="Arial" w:cs="Arial"/>
          <w:sz w:val="20"/>
          <w:szCs w:val="20"/>
        </w:rPr>
      </w:pPr>
      <w:r>
        <w:rPr>
          <w:rFonts w:ascii="Arial" w:hAnsi="Arial" w:cs="Arial"/>
          <w:sz w:val="20"/>
          <w:szCs w:val="20"/>
        </w:rPr>
        <w:t xml:space="preserve">Processo nº </w:t>
      </w:r>
      <w:r w:rsidR="003F3CE5">
        <w:rPr>
          <w:rFonts w:ascii="Arial" w:hAnsi="Arial" w:cs="Arial"/>
          <w:sz w:val="20"/>
          <w:szCs w:val="20"/>
        </w:rPr>
        <w:t>271599</w:t>
      </w:r>
      <w:r>
        <w:rPr>
          <w:rFonts w:ascii="Arial" w:hAnsi="Arial" w:cs="Arial"/>
          <w:sz w:val="20"/>
          <w:szCs w:val="20"/>
        </w:rPr>
        <w:t>/</w:t>
      </w:r>
      <w:r w:rsidR="003F3CE5">
        <w:rPr>
          <w:rFonts w:ascii="Arial" w:hAnsi="Arial" w:cs="Arial"/>
          <w:sz w:val="20"/>
          <w:szCs w:val="20"/>
        </w:rPr>
        <w:t>16</w:t>
      </w:r>
      <w:r>
        <w:rPr>
          <w:rFonts w:ascii="Arial" w:hAnsi="Arial" w:cs="Arial"/>
          <w:sz w:val="20"/>
          <w:szCs w:val="20"/>
        </w:rPr>
        <w:t xml:space="preserve"> - </w:t>
      </w:r>
      <w:hyperlink r:id="rId13" w:history="1">
        <w:r w:rsidRPr="005179F5">
          <w:rPr>
            <w:rStyle w:val="Hyperlink"/>
            <w:rFonts w:ascii="Arial" w:hAnsi="Arial" w:cs="Arial"/>
            <w:b/>
            <w:sz w:val="20"/>
            <w:szCs w:val="20"/>
          </w:rPr>
          <w:t>Acórdão nº 194/17- Tribunal Pleno</w:t>
        </w:r>
      </w:hyperlink>
      <w:r>
        <w:rPr>
          <w:rFonts w:ascii="Arial" w:hAnsi="Arial" w:cs="Arial"/>
          <w:sz w:val="20"/>
          <w:szCs w:val="20"/>
        </w:rPr>
        <w:t xml:space="preserve"> - Relator Cons.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2B0BAA" w:rsidRDefault="002B0BAA" w:rsidP="002B0BAA">
      <w:pPr>
        <w:pStyle w:val="PargrafodaLista"/>
        <w:spacing w:after="0"/>
        <w:ind w:left="0"/>
        <w:contextualSpacing w:val="0"/>
        <w:jc w:val="both"/>
        <w:rPr>
          <w:rFonts w:ascii="Arial" w:hAnsi="Arial" w:cs="Arial"/>
          <w:sz w:val="20"/>
          <w:szCs w:val="20"/>
        </w:rPr>
      </w:pPr>
    </w:p>
    <w:p w:rsidR="000D5C1A" w:rsidRPr="00E44EE8" w:rsidRDefault="000D5C1A" w:rsidP="000D5C1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6. </w:t>
      </w:r>
      <w:r w:rsidRPr="00E44EE8">
        <w:rPr>
          <w:rFonts w:ascii="Arial" w:hAnsi="Arial" w:cs="Arial"/>
          <w:b/>
          <w:sz w:val="20"/>
          <w:szCs w:val="20"/>
        </w:rPr>
        <w:t xml:space="preserve">Consulta. Servidor Público. Aposentadoria. Enquadramento. </w:t>
      </w:r>
      <w:r w:rsidR="002832C1">
        <w:rPr>
          <w:rFonts w:ascii="Arial" w:hAnsi="Arial" w:cs="Arial"/>
          <w:b/>
          <w:sz w:val="20"/>
          <w:szCs w:val="20"/>
        </w:rPr>
        <w:t>Observância dos Prazos C</w:t>
      </w:r>
      <w:r w:rsidRPr="00E44EE8">
        <w:rPr>
          <w:rFonts w:ascii="Arial" w:hAnsi="Arial" w:cs="Arial"/>
          <w:b/>
          <w:sz w:val="20"/>
          <w:szCs w:val="20"/>
        </w:rPr>
        <w:t>onstitucionais</w:t>
      </w:r>
      <w:r w:rsidR="005302D8">
        <w:rPr>
          <w:rFonts w:ascii="Arial" w:hAnsi="Arial" w:cs="Arial"/>
          <w:b/>
          <w:sz w:val="20"/>
          <w:szCs w:val="20"/>
        </w:rPr>
        <w:t xml:space="preserve"> para Inativação</w:t>
      </w:r>
      <w:r w:rsidRPr="00E44EE8">
        <w:rPr>
          <w:rFonts w:ascii="Arial" w:hAnsi="Arial" w:cs="Arial"/>
          <w:b/>
          <w:sz w:val="20"/>
          <w:szCs w:val="20"/>
        </w:rPr>
        <w:t>.</w:t>
      </w:r>
    </w:p>
    <w:p w:rsidR="000D5C1A" w:rsidRPr="00FC55CB" w:rsidRDefault="000D5C1A" w:rsidP="000D5C1A">
      <w:pPr>
        <w:autoSpaceDE w:val="0"/>
        <w:autoSpaceDN w:val="0"/>
        <w:adjustRightInd w:val="0"/>
        <w:spacing w:after="0" w:line="240" w:lineRule="auto"/>
        <w:jc w:val="both"/>
        <w:rPr>
          <w:rFonts w:ascii="Arial" w:hAnsi="Arial" w:cs="Arial"/>
        </w:rPr>
      </w:pPr>
    </w:p>
    <w:p w:rsidR="000D5C1A" w:rsidRPr="00A34D88" w:rsidRDefault="000D5C1A" w:rsidP="00E639E4">
      <w:pPr>
        <w:autoSpaceDE w:val="0"/>
        <w:autoSpaceDN w:val="0"/>
        <w:adjustRightInd w:val="0"/>
        <w:spacing w:after="0"/>
        <w:jc w:val="both"/>
        <w:rPr>
          <w:rFonts w:ascii="Arial" w:hAnsi="Arial" w:cs="Arial"/>
          <w:sz w:val="20"/>
          <w:szCs w:val="20"/>
        </w:rPr>
      </w:pPr>
      <w:r w:rsidRPr="00A34D88">
        <w:rPr>
          <w:rFonts w:ascii="Arial" w:hAnsi="Arial" w:cs="Arial"/>
          <w:sz w:val="20"/>
          <w:szCs w:val="20"/>
        </w:rPr>
        <w:t>É lícita a concessão de aposentadoria voluntária, bem como do abono de permanência, ao servidor enquadrado na forma do artigo 1º da Lei Estadual nº 18.107/2014, observados os prazos constitucionais</w:t>
      </w:r>
      <w:r w:rsidR="005302D8" w:rsidRPr="00A34D88">
        <w:rPr>
          <w:rFonts w:ascii="Arial" w:hAnsi="Arial" w:cs="Arial"/>
          <w:sz w:val="20"/>
          <w:szCs w:val="20"/>
        </w:rPr>
        <w:t xml:space="preserve"> para inativação (</w:t>
      </w:r>
      <w:r w:rsidR="006E5801" w:rsidRPr="00A34D88">
        <w:rPr>
          <w:rFonts w:ascii="Arial" w:hAnsi="Arial" w:cs="Arial"/>
          <w:iCs/>
          <w:sz w:val="20"/>
          <w:szCs w:val="20"/>
        </w:rPr>
        <w:t>art. 40, §1º, III</w:t>
      </w:r>
      <w:r w:rsidR="00EB383F">
        <w:rPr>
          <w:rFonts w:ascii="Arial" w:hAnsi="Arial" w:cs="Arial"/>
          <w:iCs/>
          <w:sz w:val="20"/>
          <w:szCs w:val="20"/>
        </w:rPr>
        <w:t xml:space="preserve">; </w:t>
      </w:r>
      <w:r w:rsidR="006E5801" w:rsidRPr="00A34D88">
        <w:rPr>
          <w:rFonts w:ascii="Arial" w:hAnsi="Arial" w:cs="Arial"/>
          <w:iCs/>
          <w:sz w:val="20"/>
          <w:szCs w:val="20"/>
        </w:rPr>
        <w:t xml:space="preserve">art. 2º da EC nº 41/03 e dos </w:t>
      </w:r>
      <w:proofErr w:type="spellStart"/>
      <w:r w:rsidR="006E5801" w:rsidRPr="00A34D88">
        <w:rPr>
          <w:rFonts w:ascii="Arial" w:hAnsi="Arial" w:cs="Arial"/>
          <w:iCs/>
          <w:sz w:val="20"/>
          <w:szCs w:val="20"/>
        </w:rPr>
        <w:t>arts</w:t>
      </w:r>
      <w:proofErr w:type="spellEnd"/>
      <w:r w:rsidR="006E5801" w:rsidRPr="00A34D88">
        <w:rPr>
          <w:rFonts w:ascii="Arial" w:hAnsi="Arial" w:cs="Arial"/>
          <w:iCs/>
          <w:sz w:val="20"/>
          <w:szCs w:val="20"/>
        </w:rPr>
        <w:t xml:space="preserve">. 6º da EC 41/03 e 3º da EC 47/05, </w:t>
      </w:r>
      <w:r w:rsidR="00EB383F">
        <w:rPr>
          <w:rFonts w:ascii="Arial" w:hAnsi="Arial" w:cs="Arial"/>
          <w:iCs/>
          <w:sz w:val="20"/>
          <w:szCs w:val="20"/>
        </w:rPr>
        <w:t xml:space="preserve">todos </w:t>
      </w:r>
      <w:r w:rsidR="00A34D88" w:rsidRPr="00A34D88">
        <w:rPr>
          <w:rFonts w:ascii="Arial" w:hAnsi="Arial" w:cs="Arial"/>
          <w:iCs/>
          <w:sz w:val="20"/>
          <w:szCs w:val="20"/>
        </w:rPr>
        <w:t>da CF/88</w:t>
      </w:r>
      <w:r w:rsidR="006E5801" w:rsidRPr="00A34D88">
        <w:rPr>
          <w:rFonts w:ascii="Arial" w:hAnsi="Arial" w:cs="Arial"/>
          <w:iCs/>
          <w:sz w:val="20"/>
          <w:szCs w:val="20"/>
        </w:rPr>
        <w:t>)</w:t>
      </w:r>
      <w:r w:rsidRPr="00A34D88">
        <w:rPr>
          <w:rFonts w:ascii="Arial" w:hAnsi="Arial" w:cs="Arial"/>
          <w:sz w:val="20"/>
          <w:szCs w:val="20"/>
        </w:rPr>
        <w:t xml:space="preserve">, tomando-se como base o ingresso do servidor </w:t>
      </w:r>
      <w:r w:rsidR="00B45C55" w:rsidRPr="00A34D88">
        <w:rPr>
          <w:rFonts w:ascii="Arial" w:hAnsi="Arial" w:cs="Arial"/>
          <w:sz w:val="20"/>
          <w:szCs w:val="20"/>
        </w:rPr>
        <w:t>n</w:t>
      </w:r>
      <w:r w:rsidRPr="00A34D88">
        <w:rPr>
          <w:rFonts w:ascii="Arial" w:hAnsi="Arial" w:cs="Arial"/>
          <w:sz w:val="20"/>
          <w:szCs w:val="20"/>
        </w:rPr>
        <w:t>o cargo originário que foi posteriormente transformado em Agente Fazendário.</w:t>
      </w:r>
    </w:p>
    <w:p w:rsidR="002832C1" w:rsidRPr="00FC55CB" w:rsidRDefault="002832C1" w:rsidP="002B0BAA">
      <w:pPr>
        <w:autoSpaceDE w:val="0"/>
        <w:autoSpaceDN w:val="0"/>
        <w:adjustRightInd w:val="0"/>
        <w:spacing w:after="0"/>
        <w:jc w:val="both"/>
        <w:rPr>
          <w:rFonts w:ascii="Arial" w:hAnsi="Arial" w:cs="Arial"/>
          <w:sz w:val="20"/>
          <w:szCs w:val="20"/>
        </w:rPr>
      </w:pPr>
    </w:p>
    <w:p w:rsidR="000D5C1A" w:rsidRDefault="000D5C1A" w:rsidP="002B0BAA">
      <w:pPr>
        <w:autoSpaceDE w:val="0"/>
        <w:autoSpaceDN w:val="0"/>
        <w:adjustRightInd w:val="0"/>
        <w:spacing w:after="0"/>
        <w:jc w:val="both"/>
        <w:rPr>
          <w:rFonts w:ascii="Arial" w:hAnsi="Arial" w:cs="Arial"/>
        </w:rPr>
      </w:pPr>
      <w:r w:rsidRPr="00FC55CB">
        <w:rPr>
          <w:rFonts w:ascii="Arial" w:hAnsi="Arial" w:cs="Arial"/>
          <w:sz w:val="20"/>
          <w:szCs w:val="20"/>
        </w:rPr>
        <w:t xml:space="preserve">Processo n° 195590/16 </w:t>
      </w:r>
      <w:r w:rsidR="00A4713B">
        <w:rPr>
          <w:rFonts w:ascii="Arial" w:hAnsi="Arial" w:cs="Arial"/>
          <w:sz w:val="20"/>
          <w:szCs w:val="20"/>
        </w:rPr>
        <w:t>-</w:t>
      </w:r>
      <w:r w:rsidRPr="00FC55CB">
        <w:rPr>
          <w:rFonts w:ascii="Arial" w:hAnsi="Arial" w:cs="Arial"/>
          <w:b/>
          <w:sz w:val="20"/>
          <w:szCs w:val="20"/>
        </w:rPr>
        <w:t xml:space="preserve"> </w:t>
      </w:r>
      <w:hyperlink r:id="rId14" w:history="1">
        <w:r w:rsidRPr="00FC55CB">
          <w:rPr>
            <w:rStyle w:val="Hyperlink"/>
            <w:rFonts w:ascii="Arial" w:hAnsi="Arial" w:cs="Arial"/>
            <w:b/>
            <w:sz w:val="20"/>
            <w:szCs w:val="20"/>
          </w:rPr>
          <w:t xml:space="preserve">Acórdão n° 365/17 </w:t>
        </w:r>
        <w:r w:rsidR="005179F5">
          <w:rPr>
            <w:rStyle w:val="Hyperlink"/>
            <w:rFonts w:ascii="Arial" w:hAnsi="Arial" w:cs="Arial"/>
            <w:b/>
            <w:sz w:val="20"/>
            <w:szCs w:val="20"/>
          </w:rPr>
          <w:t>-</w:t>
        </w:r>
        <w:r w:rsidRPr="00FC55CB">
          <w:rPr>
            <w:rStyle w:val="Hyperlink"/>
            <w:rFonts w:ascii="Arial" w:hAnsi="Arial" w:cs="Arial"/>
            <w:b/>
            <w:sz w:val="20"/>
            <w:szCs w:val="20"/>
          </w:rPr>
          <w:t xml:space="preserve"> Tribunal Pleno</w:t>
        </w:r>
      </w:hyperlink>
      <w:r w:rsidRPr="00FC55CB">
        <w:rPr>
          <w:rFonts w:ascii="Arial" w:hAnsi="Arial" w:cs="Arial"/>
          <w:sz w:val="20"/>
          <w:szCs w:val="20"/>
        </w:rPr>
        <w:t xml:space="preserve"> - Relator </w:t>
      </w:r>
      <w:r w:rsidRPr="00FC55CB">
        <w:rPr>
          <w:rFonts w:ascii="Arial" w:hAnsi="Arial" w:cs="Arial"/>
        </w:rPr>
        <w:t xml:space="preserve">Cons. </w:t>
      </w:r>
      <w:proofErr w:type="spellStart"/>
      <w:r w:rsidRPr="00FC55CB">
        <w:rPr>
          <w:rFonts w:ascii="Arial" w:hAnsi="Arial" w:cs="Arial"/>
        </w:rPr>
        <w:t>Artagão</w:t>
      </w:r>
      <w:proofErr w:type="spellEnd"/>
      <w:r w:rsidRPr="00FC55CB">
        <w:rPr>
          <w:rFonts w:ascii="Arial" w:hAnsi="Arial" w:cs="Arial"/>
        </w:rPr>
        <w:t xml:space="preserve"> de Mattos Leão.</w:t>
      </w:r>
    </w:p>
    <w:p w:rsidR="00F258E8" w:rsidRDefault="00F258E8" w:rsidP="002B0BAA">
      <w:pPr>
        <w:autoSpaceDE w:val="0"/>
        <w:autoSpaceDN w:val="0"/>
        <w:adjustRightInd w:val="0"/>
        <w:spacing w:after="0"/>
        <w:jc w:val="both"/>
        <w:rPr>
          <w:rFonts w:ascii="Arial" w:hAnsi="Arial" w:cs="Arial"/>
        </w:rPr>
      </w:pPr>
    </w:p>
    <w:p w:rsidR="00F258E8" w:rsidRPr="00FC55CB" w:rsidRDefault="00F258E8" w:rsidP="002B0BAA">
      <w:pPr>
        <w:autoSpaceDE w:val="0"/>
        <w:autoSpaceDN w:val="0"/>
        <w:adjustRightInd w:val="0"/>
        <w:spacing w:after="0"/>
        <w:jc w:val="both"/>
        <w:rPr>
          <w:rFonts w:ascii="Arial" w:hAnsi="Arial" w:cs="Arial"/>
          <w:sz w:val="20"/>
          <w:szCs w:val="20"/>
        </w:rPr>
      </w:pPr>
    </w:p>
    <w:p w:rsidR="000D5C1A" w:rsidRDefault="000D5C1A" w:rsidP="000D5C1A">
      <w:pPr>
        <w:autoSpaceDE w:val="0"/>
        <w:autoSpaceDN w:val="0"/>
        <w:adjustRightInd w:val="0"/>
        <w:spacing w:after="0" w:line="240" w:lineRule="auto"/>
        <w:jc w:val="both"/>
        <w:rPr>
          <w:rFonts w:ascii="Arial" w:hAnsi="Arial" w:cs="Arial"/>
          <w:sz w:val="20"/>
          <w:szCs w:val="20"/>
        </w:rPr>
      </w:pPr>
    </w:p>
    <w:p w:rsidR="000D5C1A" w:rsidRDefault="000D5C1A" w:rsidP="000D5C1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 xml:space="preserve">7. </w:t>
      </w:r>
      <w:r w:rsidRPr="00836941">
        <w:rPr>
          <w:rFonts w:ascii="Arial" w:hAnsi="Arial" w:cs="Arial"/>
          <w:b/>
          <w:sz w:val="20"/>
          <w:szCs w:val="20"/>
        </w:rPr>
        <w:t>Recurso de Revista. Administração Pública. Publicidade. Promoção Pessoal. Dano ao erário. Ressarcimento.</w:t>
      </w:r>
    </w:p>
    <w:p w:rsidR="000D5C1A" w:rsidRPr="00836941" w:rsidRDefault="000D5C1A" w:rsidP="00E973EF">
      <w:pPr>
        <w:autoSpaceDE w:val="0"/>
        <w:autoSpaceDN w:val="0"/>
        <w:adjustRightInd w:val="0"/>
        <w:spacing w:after="0"/>
        <w:jc w:val="both"/>
        <w:rPr>
          <w:rFonts w:ascii="Arial" w:hAnsi="Arial" w:cs="Arial"/>
          <w:b/>
          <w:sz w:val="20"/>
          <w:szCs w:val="20"/>
        </w:rPr>
      </w:pPr>
    </w:p>
    <w:p w:rsidR="000D5C1A" w:rsidRDefault="000D5C1A" w:rsidP="00E639E4">
      <w:pPr>
        <w:autoSpaceDE w:val="0"/>
        <w:autoSpaceDN w:val="0"/>
        <w:adjustRightInd w:val="0"/>
        <w:spacing w:after="0"/>
        <w:jc w:val="both"/>
        <w:rPr>
          <w:rFonts w:ascii="Arial" w:hAnsi="Arial" w:cs="Arial"/>
          <w:sz w:val="20"/>
          <w:szCs w:val="20"/>
        </w:rPr>
      </w:pPr>
      <w:r w:rsidRPr="00836941">
        <w:rPr>
          <w:rFonts w:ascii="Arial" w:hAnsi="Arial" w:cs="Arial"/>
          <w:sz w:val="20"/>
          <w:szCs w:val="20"/>
        </w:rPr>
        <w:t xml:space="preserve">A utilização dos serviços de publicidade ou assessoria de imprensa com a finalidade de promoção pessoal de agentes públicos viola o art. 37, § 1º, da Constituição Federal. A infringência desse mandamento constitucional </w:t>
      </w:r>
      <w:r w:rsidR="00FE6543">
        <w:rPr>
          <w:rFonts w:ascii="Arial" w:hAnsi="Arial" w:cs="Arial"/>
          <w:sz w:val="20"/>
          <w:szCs w:val="20"/>
        </w:rPr>
        <w:t>implica</w:t>
      </w:r>
      <w:r w:rsidRPr="00836941">
        <w:rPr>
          <w:rFonts w:ascii="Arial" w:hAnsi="Arial" w:cs="Arial"/>
          <w:sz w:val="20"/>
          <w:szCs w:val="20"/>
        </w:rPr>
        <w:t xml:space="preserve"> </w:t>
      </w:r>
      <w:r w:rsidR="00FE6543">
        <w:rPr>
          <w:rFonts w:ascii="Arial" w:hAnsi="Arial" w:cs="Arial"/>
          <w:sz w:val="20"/>
          <w:szCs w:val="20"/>
        </w:rPr>
        <w:t>em</w:t>
      </w:r>
      <w:r w:rsidRPr="00836941">
        <w:rPr>
          <w:rFonts w:ascii="Arial" w:hAnsi="Arial" w:cs="Arial"/>
          <w:sz w:val="20"/>
          <w:szCs w:val="20"/>
        </w:rPr>
        <w:t xml:space="preserve"> responsabilização jurídica do agente público</w:t>
      </w:r>
      <w:r w:rsidR="00FE6543">
        <w:rPr>
          <w:rFonts w:ascii="Arial" w:hAnsi="Arial" w:cs="Arial"/>
          <w:sz w:val="20"/>
          <w:szCs w:val="20"/>
        </w:rPr>
        <w:t>,</w:t>
      </w:r>
      <w:r w:rsidRPr="00836941">
        <w:rPr>
          <w:rFonts w:ascii="Arial" w:hAnsi="Arial" w:cs="Arial"/>
          <w:sz w:val="20"/>
          <w:szCs w:val="20"/>
        </w:rPr>
        <w:t xml:space="preserve"> além d</w:t>
      </w:r>
      <w:r w:rsidR="00CD430C">
        <w:rPr>
          <w:rFonts w:ascii="Arial" w:hAnsi="Arial" w:cs="Arial"/>
          <w:sz w:val="20"/>
          <w:szCs w:val="20"/>
        </w:rPr>
        <w:t>a</w:t>
      </w:r>
      <w:r w:rsidRPr="00836941">
        <w:rPr>
          <w:rFonts w:ascii="Arial" w:hAnsi="Arial" w:cs="Arial"/>
          <w:sz w:val="20"/>
          <w:szCs w:val="20"/>
        </w:rPr>
        <w:t xml:space="preserve"> necessidade ressarcimento ao erário em caso de gastos com esse tipo de publicidade.</w:t>
      </w:r>
      <w:bookmarkStart w:id="0" w:name="_GoBack"/>
      <w:bookmarkEnd w:id="0"/>
    </w:p>
    <w:p w:rsidR="002832C1" w:rsidRPr="00836941" w:rsidRDefault="002832C1" w:rsidP="00E973EF">
      <w:pPr>
        <w:autoSpaceDE w:val="0"/>
        <w:autoSpaceDN w:val="0"/>
        <w:adjustRightInd w:val="0"/>
        <w:spacing w:after="0"/>
        <w:jc w:val="both"/>
        <w:rPr>
          <w:rFonts w:ascii="Arial" w:hAnsi="Arial" w:cs="Arial"/>
          <w:sz w:val="20"/>
          <w:szCs w:val="20"/>
        </w:rPr>
      </w:pPr>
    </w:p>
    <w:p w:rsidR="000D5C1A" w:rsidRPr="00FC55CB" w:rsidRDefault="000D5C1A" w:rsidP="00E973EF">
      <w:pPr>
        <w:autoSpaceDE w:val="0"/>
        <w:autoSpaceDN w:val="0"/>
        <w:adjustRightInd w:val="0"/>
        <w:spacing w:after="0"/>
        <w:jc w:val="both"/>
        <w:rPr>
          <w:rFonts w:ascii="Arial" w:hAnsi="Arial" w:cs="Arial"/>
          <w:sz w:val="20"/>
          <w:szCs w:val="20"/>
        </w:rPr>
      </w:pPr>
      <w:r w:rsidRPr="00FC55CB">
        <w:rPr>
          <w:rFonts w:ascii="Arial" w:hAnsi="Arial" w:cs="Arial"/>
          <w:sz w:val="20"/>
          <w:szCs w:val="20"/>
        </w:rPr>
        <w:t xml:space="preserve">Processo n° </w:t>
      </w:r>
      <w:r>
        <w:rPr>
          <w:rFonts w:ascii="Arial" w:hAnsi="Arial" w:cs="Arial"/>
          <w:sz w:val="20"/>
          <w:szCs w:val="20"/>
        </w:rPr>
        <w:t>974243</w:t>
      </w:r>
      <w:r w:rsidRPr="00FC55CB">
        <w:rPr>
          <w:rFonts w:ascii="Arial" w:hAnsi="Arial" w:cs="Arial"/>
          <w:sz w:val="20"/>
          <w:szCs w:val="20"/>
        </w:rPr>
        <w:t>/1</w:t>
      </w:r>
      <w:r>
        <w:rPr>
          <w:rFonts w:ascii="Arial" w:hAnsi="Arial" w:cs="Arial"/>
          <w:sz w:val="20"/>
          <w:szCs w:val="20"/>
        </w:rPr>
        <w:t>5</w:t>
      </w:r>
      <w:r w:rsidRPr="00FC55CB">
        <w:rPr>
          <w:rFonts w:ascii="Arial" w:hAnsi="Arial" w:cs="Arial"/>
          <w:sz w:val="20"/>
          <w:szCs w:val="20"/>
        </w:rPr>
        <w:t xml:space="preserve"> </w:t>
      </w:r>
      <w:r w:rsidRPr="00836941">
        <w:rPr>
          <w:rFonts w:ascii="Arial" w:hAnsi="Arial" w:cs="Arial"/>
          <w:sz w:val="20"/>
          <w:szCs w:val="20"/>
        </w:rPr>
        <w:t xml:space="preserve">- </w:t>
      </w:r>
      <w:hyperlink r:id="rId15" w:history="1">
        <w:r w:rsidRPr="002F15B8">
          <w:rPr>
            <w:rStyle w:val="Hyperlink"/>
            <w:rFonts w:ascii="Arial" w:hAnsi="Arial" w:cs="Arial"/>
            <w:b/>
            <w:sz w:val="20"/>
            <w:szCs w:val="20"/>
          </w:rPr>
          <w:t xml:space="preserve">Acórdão n° 362/17 </w:t>
        </w:r>
        <w:r w:rsidR="009B6921">
          <w:rPr>
            <w:rStyle w:val="Hyperlink"/>
            <w:rFonts w:ascii="Arial" w:hAnsi="Arial" w:cs="Arial"/>
            <w:b/>
            <w:sz w:val="20"/>
            <w:szCs w:val="20"/>
          </w:rPr>
          <w:t>-</w:t>
        </w:r>
        <w:r w:rsidRPr="002F15B8">
          <w:rPr>
            <w:rStyle w:val="Hyperlink"/>
            <w:rFonts w:ascii="Arial" w:hAnsi="Arial" w:cs="Arial"/>
            <w:b/>
            <w:sz w:val="20"/>
            <w:szCs w:val="20"/>
          </w:rPr>
          <w:t xml:space="preserve"> Tribunal Pleno</w:t>
        </w:r>
      </w:hyperlink>
      <w:r w:rsidRPr="00FC55CB">
        <w:rPr>
          <w:rFonts w:ascii="Arial" w:hAnsi="Arial" w:cs="Arial"/>
          <w:sz w:val="20"/>
          <w:szCs w:val="20"/>
        </w:rPr>
        <w:t xml:space="preserve"> - Relator </w:t>
      </w:r>
      <w:r w:rsidRPr="00836941">
        <w:rPr>
          <w:rFonts w:ascii="Arial" w:hAnsi="Arial" w:cs="Arial"/>
          <w:sz w:val="20"/>
          <w:szCs w:val="20"/>
        </w:rPr>
        <w:t xml:space="preserve">Cons. </w:t>
      </w:r>
      <w:proofErr w:type="spellStart"/>
      <w:r w:rsidRPr="00836941">
        <w:rPr>
          <w:rFonts w:ascii="Arial" w:hAnsi="Arial" w:cs="Arial"/>
          <w:sz w:val="20"/>
          <w:szCs w:val="20"/>
        </w:rPr>
        <w:t>Artagão</w:t>
      </w:r>
      <w:proofErr w:type="spellEnd"/>
      <w:r w:rsidRPr="00836941">
        <w:rPr>
          <w:rFonts w:ascii="Arial" w:hAnsi="Arial" w:cs="Arial"/>
          <w:sz w:val="20"/>
          <w:szCs w:val="20"/>
        </w:rPr>
        <w:t xml:space="preserve"> de Mattos Leão.</w:t>
      </w:r>
    </w:p>
    <w:p w:rsidR="000D5C1A" w:rsidRDefault="000D5C1A" w:rsidP="00E973EF">
      <w:pPr>
        <w:autoSpaceDE w:val="0"/>
        <w:autoSpaceDN w:val="0"/>
        <w:adjustRightInd w:val="0"/>
        <w:spacing w:after="0"/>
        <w:jc w:val="both"/>
        <w:rPr>
          <w:rFonts w:ascii="Arial" w:hAnsi="Arial" w:cs="Arial"/>
          <w:sz w:val="18"/>
          <w:szCs w:val="20"/>
        </w:rPr>
      </w:pPr>
    </w:p>
    <w:p w:rsidR="00E8762F" w:rsidRPr="00AA3A41" w:rsidRDefault="00E8762F" w:rsidP="00F46C32">
      <w:pPr>
        <w:autoSpaceDE w:val="0"/>
        <w:autoSpaceDN w:val="0"/>
        <w:adjustRightInd w:val="0"/>
        <w:spacing w:after="0" w:line="240" w:lineRule="auto"/>
        <w:jc w:val="both"/>
        <w:rPr>
          <w:rFonts w:ascii="Arial" w:hAnsi="Arial" w:cs="Arial"/>
          <w:sz w:val="20"/>
          <w:szCs w:val="20"/>
        </w:rPr>
      </w:pPr>
      <w:r w:rsidRPr="00AA3A41">
        <w:rPr>
          <w:rFonts w:ascii="Arial" w:hAnsi="Arial" w:cs="Arial"/>
          <w:sz w:val="20"/>
          <w:szCs w:val="20"/>
        </w:rPr>
        <w:t xml:space="preserve">Observações: </w:t>
      </w:r>
    </w:p>
    <w:p w:rsidR="005C4DB7" w:rsidRDefault="00E4415D" w:rsidP="00E8762F">
      <w:pPr>
        <w:rPr>
          <w:rFonts w:ascii="Arial" w:hAnsi="Arial" w:cs="Arial"/>
          <w:b/>
          <w:color w:val="000000"/>
          <w:sz w:val="20"/>
          <w:szCs w:val="20"/>
        </w:rPr>
      </w:pPr>
      <w:r w:rsidRPr="005C4DB7">
        <w:rPr>
          <w:rFonts w:ascii="Arial" w:hAnsi="Arial" w:cs="Arial"/>
          <w:noProof/>
          <w:sz w:val="20"/>
          <w:szCs w:val="20"/>
          <w:lang w:eastAsia="pt-BR"/>
        </w:rPr>
        <mc:AlternateContent>
          <mc:Choice Requires="wps">
            <w:drawing>
              <wp:anchor distT="0" distB="0" distL="114300" distR="114300" simplePos="0" relativeHeight="251665408" behindDoc="0" locked="0" layoutInCell="1" allowOverlap="1" wp14:anchorId="415D2D07" wp14:editId="2E9549B9">
                <wp:simplePos x="0" y="0"/>
                <wp:positionH relativeFrom="margin">
                  <wp:posOffset>-6350</wp:posOffset>
                </wp:positionH>
                <wp:positionV relativeFrom="paragraph">
                  <wp:posOffset>69850</wp:posOffset>
                </wp:positionV>
                <wp:extent cx="5420995" cy="0"/>
                <wp:effectExtent l="0" t="0" r="27305"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5.5pt" to="4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" strokecolor="black [3200]" strokeweight="2pt">
                <v:shadow on="t" color="black" opacity="24903f" origin=",.5" offset="0,.55556mm"/>
                <w10:wrap anchorx="margin"/>
              </v:line>
            </w:pict>
          </mc:Fallback>
        </mc:AlternateContent>
      </w:r>
    </w:p>
    <w:p w:rsidR="0026477F" w:rsidRPr="00AD528F" w:rsidRDefault="0026477F" w:rsidP="00E8762F">
      <w:pPr>
        <w:rPr>
          <w:rFonts w:ascii="Arial" w:hAnsi="Arial" w:cs="Arial"/>
          <w:color w:val="000000"/>
          <w:sz w:val="20"/>
          <w:szCs w:val="20"/>
        </w:rPr>
      </w:pPr>
      <w:r w:rsidRPr="00AD528F">
        <w:rPr>
          <w:rFonts w:ascii="Arial" w:hAnsi="Arial" w:cs="Arial"/>
          <w:color w:val="000000"/>
          <w:sz w:val="20"/>
          <w:szCs w:val="20"/>
        </w:rPr>
        <w:t>Ju</w:t>
      </w:r>
      <w:r w:rsidR="00AD528F" w:rsidRPr="00AD528F">
        <w:rPr>
          <w:rFonts w:ascii="Arial" w:hAnsi="Arial" w:cs="Arial"/>
          <w:color w:val="000000"/>
          <w:sz w:val="20"/>
          <w:szCs w:val="20"/>
        </w:rPr>
        <w:t xml:space="preserve">risprudência Selecionada: </w:t>
      </w:r>
    </w:p>
    <w:p w:rsidR="008633B6" w:rsidRDefault="008633B6" w:rsidP="00E8762F">
      <w:pPr>
        <w:rPr>
          <w:rFonts w:ascii="Arial" w:hAnsi="Arial" w:cs="Arial"/>
          <w:b/>
          <w:color w:val="000000"/>
          <w:sz w:val="20"/>
          <w:szCs w:val="20"/>
        </w:rPr>
      </w:pPr>
      <w:r>
        <w:rPr>
          <w:rFonts w:ascii="Arial" w:hAnsi="Arial" w:cs="Arial"/>
          <w:b/>
          <w:color w:val="000000"/>
          <w:sz w:val="20"/>
          <w:szCs w:val="20"/>
        </w:rPr>
        <w:t>Tribunal de Contas da União:</w:t>
      </w:r>
    </w:p>
    <w:p w:rsidR="0077499E" w:rsidRDefault="00024796" w:rsidP="0077499E">
      <w:pPr>
        <w:jc w:val="both"/>
        <w:rPr>
          <w:rFonts w:ascii="Arial" w:hAnsi="Arial" w:cs="Arial"/>
          <w:color w:val="000000"/>
          <w:sz w:val="20"/>
          <w:szCs w:val="20"/>
        </w:rPr>
      </w:pPr>
      <w:hyperlink r:id="rId16" w:history="1">
        <w:r w:rsidR="0077499E" w:rsidRPr="00DF60E6">
          <w:rPr>
            <w:rStyle w:val="Hyperlink"/>
            <w:rFonts w:ascii="Arial" w:hAnsi="Arial" w:cs="Arial"/>
            <w:b/>
            <w:sz w:val="20"/>
            <w:szCs w:val="20"/>
          </w:rPr>
          <w:t>Acórdão 232/2017</w:t>
        </w:r>
        <w:r w:rsidR="009B6921">
          <w:rPr>
            <w:rStyle w:val="Hyperlink"/>
            <w:rFonts w:ascii="Arial" w:hAnsi="Arial" w:cs="Arial"/>
            <w:b/>
            <w:sz w:val="20"/>
            <w:szCs w:val="20"/>
          </w:rPr>
          <w:t xml:space="preserve"> -</w:t>
        </w:r>
        <w:r w:rsidR="0077499E" w:rsidRPr="00DF60E6">
          <w:rPr>
            <w:rStyle w:val="Hyperlink"/>
            <w:rFonts w:ascii="Arial" w:hAnsi="Arial" w:cs="Arial"/>
            <w:b/>
            <w:sz w:val="20"/>
            <w:szCs w:val="20"/>
          </w:rPr>
          <w:t xml:space="preserve"> Primeira Câmara</w:t>
        </w:r>
      </w:hyperlink>
      <w:r w:rsidR="0077499E" w:rsidRPr="0077499E">
        <w:rPr>
          <w:rFonts w:ascii="Arial" w:hAnsi="Arial" w:cs="Arial"/>
          <w:color w:val="000000"/>
          <w:sz w:val="20"/>
          <w:szCs w:val="20"/>
        </w:rPr>
        <w:t xml:space="preserve"> (Recurso de Reconsideração, Relator Ministro Bruno Dantas</w:t>
      </w:r>
      <w:proofErr w:type="gramStart"/>
      <w:r w:rsidR="0077499E" w:rsidRPr="0077499E">
        <w:rPr>
          <w:rFonts w:ascii="Arial" w:hAnsi="Arial" w:cs="Arial"/>
          <w:color w:val="000000"/>
          <w:sz w:val="20"/>
          <w:szCs w:val="20"/>
        </w:rPr>
        <w:t>)</w:t>
      </w:r>
      <w:proofErr w:type="gramEnd"/>
    </w:p>
    <w:p w:rsidR="009B3B97" w:rsidRPr="0077499E" w:rsidRDefault="009B3B97" w:rsidP="00F93C71">
      <w:pPr>
        <w:jc w:val="both"/>
        <w:rPr>
          <w:rFonts w:ascii="Arial" w:hAnsi="Arial" w:cs="Arial"/>
          <w:color w:val="000000"/>
          <w:sz w:val="20"/>
          <w:szCs w:val="20"/>
        </w:rPr>
      </w:pPr>
      <w:r>
        <w:rPr>
          <w:rFonts w:ascii="Arial" w:hAnsi="Arial" w:cs="Arial"/>
          <w:color w:val="000000"/>
          <w:sz w:val="20"/>
          <w:szCs w:val="20"/>
        </w:rPr>
        <w:t>Responsabilidade. Débito. Imprescritibilidade. Ilícito administrativo. STF.</w:t>
      </w:r>
    </w:p>
    <w:p w:rsidR="001B6E08" w:rsidRDefault="009B3B97" w:rsidP="00F93C71">
      <w:pPr>
        <w:jc w:val="both"/>
        <w:rPr>
          <w:rFonts w:ascii="Arial" w:hAnsi="Arial" w:cs="Arial"/>
          <w:color w:val="000000"/>
          <w:sz w:val="20"/>
          <w:szCs w:val="20"/>
        </w:rPr>
      </w:pPr>
      <w:r>
        <w:rPr>
          <w:rFonts w:ascii="Arial" w:hAnsi="Arial" w:cs="Arial"/>
          <w:color w:val="000000"/>
          <w:sz w:val="20"/>
          <w:szCs w:val="20"/>
        </w:rPr>
        <w:t xml:space="preserve">A tese fixada pelo STF no RE 669.069 (Repercussão </w:t>
      </w:r>
      <w:r w:rsidR="00C95BCF">
        <w:rPr>
          <w:rFonts w:ascii="Arial" w:hAnsi="Arial" w:cs="Arial"/>
          <w:color w:val="000000"/>
          <w:sz w:val="20"/>
          <w:szCs w:val="20"/>
        </w:rPr>
        <w:t xml:space="preserve">Geral n° 666), que trata da incidência da prescrição nos débitos com a União decorrentes de ilícitos civis (prazo prescricional de cinco anos), não alcança prejuízos que decorram de ilícitos administrativos, como a não comprovação da </w:t>
      </w:r>
      <w:proofErr w:type="gramStart"/>
      <w:r w:rsidR="00C95BCF">
        <w:rPr>
          <w:rFonts w:ascii="Arial" w:hAnsi="Arial" w:cs="Arial"/>
          <w:color w:val="000000"/>
          <w:sz w:val="20"/>
          <w:szCs w:val="20"/>
        </w:rPr>
        <w:t>regular gestão de recurso públicos, que são imprescritíveis</w:t>
      </w:r>
      <w:proofErr w:type="gramEnd"/>
      <w:r w:rsidR="00C95BCF">
        <w:rPr>
          <w:rFonts w:ascii="Arial" w:hAnsi="Arial" w:cs="Arial"/>
          <w:color w:val="000000"/>
          <w:sz w:val="20"/>
          <w:szCs w:val="20"/>
        </w:rPr>
        <w:t>.</w:t>
      </w:r>
    </w:p>
    <w:p w:rsidR="008928B6" w:rsidRDefault="00024796" w:rsidP="00C95BCF">
      <w:pPr>
        <w:jc w:val="both"/>
        <w:rPr>
          <w:rFonts w:ascii="Arial" w:hAnsi="Arial" w:cs="Arial"/>
          <w:color w:val="000000"/>
          <w:sz w:val="20"/>
          <w:szCs w:val="20"/>
        </w:rPr>
      </w:pPr>
      <w:hyperlink r:id="rId17" w:history="1">
        <w:r w:rsidR="008928B6" w:rsidRPr="00BD531B">
          <w:rPr>
            <w:rStyle w:val="Hyperlink"/>
            <w:rFonts w:ascii="Arial" w:hAnsi="Arial" w:cs="Arial"/>
            <w:b/>
            <w:sz w:val="20"/>
            <w:szCs w:val="20"/>
          </w:rPr>
          <w:t>Acórdão 19/2017</w:t>
        </w:r>
        <w:r w:rsidR="009B6921">
          <w:rPr>
            <w:rStyle w:val="Hyperlink"/>
            <w:rFonts w:ascii="Arial" w:hAnsi="Arial" w:cs="Arial"/>
            <w:b/>
            <w:sz w:val="20"/>
            <w:szCs w:val="20"/>
          </w:rPr>
          <w:t xml:space="preserve"> -</w:t>
        </w:r>
        <w:r w:rsidR="008928B6" w:rsidRPr="00BD531B">
          <w:rPr>
            <w:rStyle w:val="Hyperlink"/>
            <w:rFonts w:ascii="Arial" w:hAnsi="Arial" w:cs="Arial"/>
            <w:b/>
            <w:sz w:val="20"/>
            <w:szCs w:val="20"/>
          </w:rPr>
          <w:t xml:space="preserve"> Plenário</w:t>
        </w:r>
      </w:hyperlink>
      <w:r w:rsidR="008928B6">
        <w:rPr>
          <w:rFonts w:ascii="Arial" w:hAnsi="Arial" w:cs="Arial"/>
          <w:color w:val="000000"/>
          <w:sz w:val="20"/>
          <w:szCs w:val="20"/>
        </w:rPr>
        <w:t xml:space="preserve"> (Representação, Relator Ministro Benjamin </w:t>
      </w:r>
      <w:proofErr w:type="spellStart"/>
      <w:r w:rsidR="008928B6">
        <w:rPr>
          <w:rFonts w:ascii="Arial" w:hAnsi="Arial" w:cs="Arial"/>
          <w:color w:val="000000"/>
          <w:sz w:val="20"/>
          <w:szCs w:val="20"/>
        </w:rPr>
        <w:t>Zymler</w:t>
      </w:r>
      <w:proofErr w:type="spellEnd"/>
      <w:proofErr w:type="gramStart"/>
      <w:r w:rsidR="008928B6">
        <w:rPr>
          <w:rFonts w:ascii="Arial" w:hAnsi="Arial" w:cs="Arial"/>
          <w:color w:val="000000"/>
          <w:sz w:val="20"/>
          <w:szCs w:val="20"/>
        </w:rPr>
        <w:t>)</w:t>
      </w:r>
      <w:proofErr w:type="gramEnd"/>
    </w:p>
    <w:p w:rsidR="00C54893" w:rsidRDefault="00C54893" w:rsidP="00C95BCF">
      <w:pPr>
        <w:jc w:val="both"/>
        <w:rPr>
          <w:rFonts w:ascii="Arial" w:hAnsi="Arial" w:cs="Arial"/>
          <w:color w:val="000000"/>
          <w:sz w:val="20"/>
          <w:szCs w:val="20"/>
        </w:rPr>
      </w:pPr>
      <w:r>
        <w:rPr>
          <w:rFonts w:ascii="Arial" w:hAnsi="Arial" w:cs="Arial"/>
          <w:color w:val="000000"/>
          <w:sz w:val="20"/>
          <w:szCs w:val="20"/>
        </w:rPr>
        <w:t>Custo da Contratação. Marco Inicial para efeito de reajustamento contratual</w:t>
      </w:r>
      <w:r w:rsidR="00EF518E">
        <w:rPr>
          <w:rFonts w:ascii="Arial" w:hAnsi="Arial" w:cs="Arial"/>
          <w:color w:val="000000"/>
          <w:sz w:val="20"/>
          <w:szCs w:val="20"/>
        </w:rPr>
        <w:t>. Data</w:t>
      </w:r>
      <w:r>
        <w:rPr>
          <w:rFonts w:ascii="Arial" w:hAnsi="Arial" w:cs="Arial"/>
          <w:color w:val="000000"/>
          <w:sz w:val="20"/>
          <w:szCs w:val="20"/>
        </w:rPr>
        <w:t>-base de elaboração da planilha orçamentária</w:t>
      </w:r>
      <w:r w:rsidR="00EF518E">
        <w:rPr>
          <w:rFonts w:ascii="Arial" w:hAnsi="Arial" w:cs="Arial"/>
          <w:color w:val="000000"/>
          <w:sz w:val="20"/>
          <w:szCs w:val="20"/>
        </w:rPr>
        <w:t>.</w:t>
      </w:r>
    </w:p>
    <w:p w:rsidR="00DE21A2" w:rsidRDefault="00FD118C" w:rsidP="00C95BCF">
      <w:pPr>
        <w:jc w:val="both"/>
        <w:rPr>
          <w:rFonts w:ascii="Arial" w:hAnsi="Arial" w:cs="Arial"/>
          <w:color w:val="000000"/>
          <w:sz w:val="20"/>
          <w:szCs w:val="20"/>
        </w:rPr>
      </w:pPr>
      <w:r>
        <w:rPr>
          <w:rFonts w:ascii="Arial" w:hAnsi="Arial" w:cs="Arial"/>
          <w:color w:val="000000"/>
          <w:sz w:val="20"/>
          <w:szCs w:val="20"/>
        </w:rPr>
        <w:t>Embora o gestor público possa adotar, discricionariamente, dois marcos iniciais distintos para efeito de reajustamento dos contratos, (i) a data limite para apresentação das propostas ou (</w:t>
      </w:r>
      <w:proofErr w:type="spellStart"/>
      <w:proofErr w:type="gramStart"/>
      <w:r>
        <w:rPr>
          <w:rFonts w:ascii="Arial" w:hAnsi="Arial" w:cs="Arial"/>
          <w:color w:val="000000"/>
          <w:sz w:val="20"/>
          <w:szCs w:val="20"/>
        </w:rPr>
        <w:t>ii</w:t>
      </w:r>
      <w:proofErr w:type="spellEnd"/>
      <w:proofErr w:type="gramEnd"/>
      <w:r>
        <w:rPr>
          <w:rFonts w:ascii="Arial" w:hAnsi="Arial" w:cs="Arial"/>
          <w:color w:val="000000"/>
          <w:sz w:val="20"/>
          <w:szCs w:val="20"/>
        </w:rPr>
        <w:t>) a data do orçamento estimativo da licitação, o segundo critério é o mais adequado, pois reduz os problemas advindos de orçamentos desatualizados em virtude do transcurso de vários meses entre a data-base da estimativa de cu</w:t>
      </w:r>
      <w:r w:rsidR="00BD531B">
        <w:rPr>
          <w:rFonts w:ascii="Arial" w:hAnsi="Arial" w:cs="Arial"/>
          <w:color w:val="000000"/>
          <w:sz w:val="20"/>
          <w:szCs w:val="20"/>
        </w:rPr>
        <w:t>s</w:t>
      </w:r>
      <w:r>
        <w:rPr>
          <w:rFonts w:ascii="Arial" w:hAnsi="Arial" w:cs="Arial"/>
          <w:color w:val="000000"/>
          <w:sz w:val="20"/>
          <w:szCs w:val="20"/>
        </w:rPr>
        <w:t>tos e a data de abertura das propostas.</w:t>
      </w:r>
    </w:p>
    <w:p w:rsidR="00AF2833" w:rsidRDefault="00024796" w:rsidP="00C95BCF">
      <w:pPr>
        <w:jc w:val="both"/>
        <w:rPr>
          <w:rFonts w:ascii="Arial" w:hAnsi="Arial" w:cs="Arial"/>
          <w:color w:val="000000"/>
          <w:sz w:val="20"/>
          <w:szCs w:val="20"/>
        </w:rPr>
      </w:pPr>
      <w:hyperlink r:id="rId18" w:history="1">
        <w:r w:rsidR="00EF69AE" w:rsidRPr="009B39A2">
          <w:rPr>
            <w:rStyle w:val="Hyperlink"/>
            <w:rFonts w:ascii="Arial" w:hAnsi="Arial" w:cs="Arial"/>
            <w:b/>
            <w:sz w:val="20"/>
            <w:szCs w:val="20"/>
          </w:rPr>
          <w:t>Acórdão 359/2</w:t>
        </w:r>
        <w:r w:rsidR="00A24629" w:rsidRPr="009B39A2">
          <w:rPr>
            <w:rStyle w:val="Hyperlink"/>
            <w:rFonts w:ascii="Arial" w:hAnsi="Arial" w:cs="Arial"/>
            <w:b/>
            <w:sz w:val="20"/>
            <w:szCs w:val="20"/>
          </w:rPr>
          <w:t>017</w:t>
        </w:r>
        <w:r w:rsidR="009B6921">
          <w:rPr>
            <w:rStyle w:val="Hyperlink"/>
            <w:rFonts w:ascii="Arial" w:hAnsi="Arial" w:cs="Arial"/>
            <w:b/>
            <w:sz w:val="20"/>
            <w:szCs w:val="20"/>
          </w:rPr>
          <w:t xml:space="preserve"> -</w:t>
        </w:r>
        <w:r w:rsidR="00A24629" w:rsidRPr="009B39A2">
          <w:rPr>
            <w:rStyle w:val="Hyperlink"/>
            <w:rFonts w:ascii="Arial" w:hAnsi="Arial" w:cs="Arial"/>
            <w:b/>
            <w:sz w:val="20"/>
            <w:szCs w:val="20"/>
          </w:rPr>
          <w:t xml:space="preserve"> Primeira Câmara</w:t>
        </w:r>
      </w:hyperlink>
      <w:r w:rsidR="00A24629">
        <w:rPr>
          <w:rFonts w:ascii="Arial" w:hAnsi="Arial" w:cs="Arial"/>
          <w:color w:val="000000"/>
          <w:sz w:val="20"/>
          <w:szCs w:val="20"/>
        </w:rPr>
        <w:t xml:space="preserve"> (</w:t>
      </w:r>
      <w:r w:rsidR="00694174">
        <w:rPr>
          <w:rFonts w:ascii="Arial" w:hAnsi="Arial" w:cs="Arial"/>
          <w:color w:val="000000"/>
          <w:sz w:val="20"/>
          <w:szCs w:val="20"/>
        </w:rPr>
        <w:t xml:space="preserve">Aposentadoria, Relator Ministro Benjamin </w:t>
      </w:r>
      <w:proofErr w:type="spellStart"/>
      <w:r w:rsidR="00694174">
        <w:rPr>
          <w:rFonts w:ascii="Arial" w:hAnsi="Arial" w:cs="Arial"/>
          <w:color w:val="000000"/>
          <w:sz w:val="20"/>
          <w:szCs w:val="20"/>
        </w:rPr>
        <w:t>Zymler</w:t>
      </w:r>
      <w:proofErr w:type="spellEnd"/>
      <w:proofErr w:type="gramStart"/>
      <w:r w:rsidR="00694174">
        <w:rPr>
          <w:rFonts w:ascii="Arial" w:hAnsi="Arial" w:cs="Arial"/>
          <w:color w:val="000000"/>
          <w:sz w:val="20"/>
          <w:szCs w:val="20"/>
        </w:rPr>
        <w:t>)</w:t>
      </w:r>
      <w:proofErr w:type="gramEnd"/>
    </w:p>
    <w:p w:rsidR="00AF2833" w:rsidRDefault="00694174" w:rsidP="00C95BCF">
      <w:pPr>
        <w:jc w:val="both"/>
        <w:rPr>
          <w:rFonts w:ascii="Arial" w:hAnsi="Arial" w:cs="Arial"/>
          <w:color w:val="000000"/>
          <w:sz w:val="20"/>
          <w:szCs w:val="20"/>
        </w:rPr>
      </w:pPr>
      <w:r>
        <w:rPr>
          <w:rFonts w:ascii="Arial" w:hAnsi="Arial" w:cs="Arial"/>
          <w:color w:val="000000"/>
          <w:sz w:val="20"/>
          <w:szCs w:val="20"/>
        </w:rPr>
        <w:t>Pessoal. Teto Constitucional. Acumulação de cargo público. Magistrado. Proventos. Vencimentos.</w:t>
      </w:r>
    </w:p>
    <w:p w:rsidR="00694174" w:rsidRDefault="00694174" w:rsidP="00C95BCF">
      <w:pPr>
        <w:jc w:val="both"/>
        <w:rPr>
          <w:rFonts w:ascii="Arial" w:hAnsi="Arial" w:cs="Arial"/>
          <w:color w:val="000000"/>
          <w:sz w:val="20"/>
          <w:szCs w:val="20"/>
        </w:rPr>
      </w:pPr>
      <w:r>
        <w:rPr>
          <w:rFonts w:ascii="Arial" w:hAnsi="Arial" w:cs="Arial"/>
          <w:color w:val="000000"/>
          <w:sz w:val="20"/>
          <w:szCs w:val="20"/>
        </w:rPr>
        <w:t>N</w:t>
      </w:r>
      <w:r w:rsidR="0007200C">
        <w:rPr>
          <w:rFonts w:ascii="Arial" w:hAnsi="Arial" w:cs="Arial"/>
          <w:color w:val="000000"/>
          <w:sz w:val="20"/>
          <w:szCs w:val="20"/>
        </w:rPr>
        <w:t>as situações em que houver acumulação de proventos de inatividade ou acumulação de proventos com remuneração de cargo público, aplica-se à soma dos rendimentos o teto remuneratório fixado no art. 37, inciso XI, da Constituição Federal, em todas as hip</w:t>
      </w:r>
      <w:r w:rsidR="00A77682">
        <w:rPr>
          <w:rFonts w:ascii="Arial" w:hAnsi="Arial" w:cs="Arial"/>
          <w:color w:val="000000"/>
          <w:sz w:val="20"/>
          <w:szCs w:val="20"/>
        </w:rPr>
        <w:t>ó</w:t>
      </w:r>
      <w:r w:rsidR="0007200C">
        <w:rPr>
          <w:rFonts w:ascii="Arial" w:hAnsi="Arial" w:cs="Arial"/>
          <w:color w:val="000000"/>
          <w:sz w:val="20"/>
          <w:szCs w:val="20"/>
        </w:rPr>
        <w:t>t</w:t>
      </w:r>
      <w:r w:rsidR="00A77682">
        <w:rPr>
          <w:rFonts w:ascii="Arial" w:hAnsi="Arial" w:cs="Arial"/>
          <w:color w:val="000000"/>
          <w:sz w:val="20"/>
          <w:szCs w:val="20"/>
        </w:rPr>
        <w:t>e</w:t>
      </w:r>
      <w:r w:rsidR="0007200C">
        <w:rPr>
          <w:rFonts w:ascii="Arial" w:hAnsi="Arial" w:cs="Arial"/>
          <w:color w:val="000000"/>
          <w:sz w:val="20"/>
          <w:szCs w:val="20"/>
        </w:rPr>
        <w:t>ses de ac</w:t>
      </w:r>
      <w:r w:rsidR="00A77682">
        <w:rPr>
          <w:rFonts w:ascii="Arial" w:hAnsi="Arial" w:cs="Arial"/>
          <w:color w:val="000000"/>
          <w:sz w:val="20"/>
          <w:szCs w:val="20"/>
        </w:rPr>
        <w:t>umulação constitucionalmente previstas, inclusive as referentes a magistrados e membros do Ministério Pú</w:t>
      </w:r>
      <w:r w:rsidR="00700672">
        <w:rPr>
          <w:rFonts w:ascii="Arial" w:hAnsi="Arial" w:cs="Arial"/>
          <w:color w:val="000000"/>
          <w:sz w:val="20"/>
          <w:szCs w:val="20"/>
        </w:rPr>
        <w:t>blico, tendo em vista o disposto no art. 40, § 11, do texto constitucional.</w:t>
      </w:r>
    </w:p>
    <w:p w:rsidR="00B27853" w:rsidRDefault="00024796" w:rsidP="00C95BCF">
      <w:pPr>
        <w:jc w:val="both"/>
        <w:rPr>
          <w:rFonts w:ascii="Arial" w:hAnsi="Arial" w:cs="Arial"/>
          <w:color w:val="000000"/>
          <w:sz w:val="20"/>
          <w:szCs w:val="20"/>
        </w:rPr>
      </w:pPr>
      <w:hyperlink r:id="rId19" w:history="1">
        <w:r w:rsidR="00EB70E7" w:rsidRPr="00BC4347">
          <w:rPr>
            <w:rStyle w:val="Hyperlink"/>
            <w:rFonts w:ascii="Arial" w:hAnsi="Arial" w:cs="Arial"/>
            <w:b/>
            <w:sz w:val="20"/>
            <w:szCs w:val="20"/>
          </w:rPr>
          <w:t>Acórdão 346/2017</w:t>
        </w:r>
        <w:r w:rsidR="009B6921">
          <w:rPr>
            <w:rStyle w:val="Hyperlink"/>
            <w:rFonts w:ascii="Arial" w:hAnsi="Arial" w:cs="Arial"/>
            <w:b/>
            <w:sz w:val="20"/>
            <w:szCs w:val="20"/>
          </w:rPr>
          <w:t xml:space="preserve"> -</w:t>
        </w:r>
        <w:r w:rsidR="00742895" w:rsidRPr="00BC4347">
          <w:rPr>
            <w:rStyle w:val="Hyperlink"/>
            <w:rFonts w:ascii="Arial" w:hAnsi="Arial" w:cs="Arial"/>
            <w:b/>
            <w:sz w:val="20"/>
            <w:szCs w:val="20"/>
          </w:rPr>
          <w:t xml:space="preserve"> Primeira Câmara</w:t>
        </w:r>
      </w:hyperlink>
      <w:r w:rsidR="00742895">
        <w:rPr>
          <w:rFonts w:ascii="Arial" w:hAnsi="Arial" w:cs="Arial"/>
          <w:color w:val="000000"/>
          <w:sz w:val="20"/>
          <w:szCs w:val="20"/>
        </w:rPr>
        <w:t xml:space="preserve"> (Tomada de Contas Especial, Relator Ministro-Substituto Augusto </w:t>
      </w:r>
      <w:proofErr w:type="spellStart"/>
      <w:r w:rsidR="00742895">
        <w:rPr>
          <w:rFonts w:ascii="Arial" w:hAnsi="Arial" w:cs="Arial"/>
          <w:color w:val="000000"/>
          <w:sz w:val="20"/>
          <w:szCs w:val="20"/>
        </w:rPr>
        <w:t>Sherman</w:t>
      </w:r>
      <w:proofErr w:type="spellEnd"/>
      <w:proofErr w:type="gramStart"/>
      <w:r w:rsidR="00742895">
        <w:rPr>
          <w:rFonts w:ascii="Arial" w:hAnsi="Arial" w:cs="Arial"/>
          <w:color w:val="000000"/>
          <w:sz w:val="20"/>
          <w:szCs w:val="20"/>
        </w:rPr>
        <w:t>)</w:t>
      </w:r>
      <w:proofErr w:type="gramEnd"/>
    </w:p>
    <w:p w:rsidR="0029566D" w:rsidRDefault="0029566D" w:rsidP="00F93C71">
      <w:pPr>
        <w:jc w:val="both"/>
        <w:rPr>
          <w:rFonts w:ascii="Arial" w:hAnsi="Arial" w:cs="Arial"/>
          <w:color w:val="000000"/>
          <w:sz w:val="20"/>
          <w:szCs w:val="20"/>
        </w:rPr>
      </w:pPr>
      <w:r>
        <w:rPr>
          <w:rFonts w:ascii="Arial" w:hAnsi="Arial" w:cs="Arial"/>
          <w:color w:val="000000"/>
          <w:sz w:val="20"/>
          <w:szCs w:val="20"/>
        </w:rPr>
        <w:t>Responsabilidade. Convênio. Execução física. Execução Parcial. Gestor Público. Agente privado. Débito.</w:t>
      </w:r>
    </w:p>
    <w:p w:rsidR="002D7650" w:rsidRDefault="002D7650" w:rsidP="00F93C71">
      <w:pPr>
        <w:jc w:val="both"/>
        <w:rPr>
          <w:rFonts w:ascii="Arial" w:hAnsi="Arial" w:cs="Arial"/>
          <w:color w:val="000000"/>
          <w:sz w:val="20"/>
          <w:szCs w:val="20"/>
        </w:rPr>
      </w:pPr>
      <w:r>
        <w:rPr>
          <w:rFonts w:ascii="Arial" w:hAnsi="Arial" w:cs="Arial"/>
          <w:color w:val="000000"/>
          <w:sz w:val="20"/>
          <w:szCs w:val="20"/>
        </w:rPr>
        <w:t>No caso de execução parcial do objeto do con</w:t>
      </w:r>
      <w:r w:rsidR="00EC7908">
        <w:rPr>
          <w:rFonts w:ascii="Arial" w:hAnsi="Arial" w:cs="Arial"/>
          <w:color w:val="000000"/>
          <w:sz w:val="20"/>
          <w:szCs w:val="20"/>
        </w:rPr>
        <w:t>vênio, sem alcance dos seus objetivos, o gestor convenente responde pelo total dos recursos repassados. A empresa contratada, por outro lado</w:t>
      </w:r>
      <w:r w:rsidR="00FE6F7A">
        <w:rPr>
          <w:rFonts w:ascii="Arial" w:hAnsi="Arial" w:cs="Arial"/>
          <w:color w:val="000000"/>
          <w:sz w:val="20"/>
          <w:szCs w:val="20"/>
        </w:rPr>
        <w:t>, somente deve ressarcir ao erário o montante correspondente ao valor recebido e não executado, porquanto est</w:t>
      </w:r>
      <w:r w:rsidR="001A16DE">
        <w:rPr>
          <w:rFonts w:ascii="Arial" w:hAnsi="Arial" w:cs="Arial"/>
          <w:color w:val="000000"/>
          <w:sz w:val="20"/>
          <w:szCs w:val="20"/>
        </w:rPr>
        <w:t>a</w:t>
      </w:r>
      <w:r w:rsidR="00FE6F7A">
        <w:rPr>
          <w:rFonts w:ascii="Arial" w:hAnsi="Arial" w:cs="Arial"/>
          <w:color w:val="000000"/>
          <w:sz w:val="20"/>
          <w:szCs w:val="20"/>
        </w:rPr>
        <w:t xml:space="preserve"> não tem a responsabilidade de assegurar o cumprimento dos objetivos do convênio, mas de realizar a obra. Havendo a empreiteira</w:t>
      </w:r>
      <w:r>
        <w:rPr>
          <w:rFonts w:ascii="Arial" w:hAnsi="Arial" w:cs="Arial"/>
          <w:color w:val="000000"/>
          <w:sz w:val="20"/>
          <w:szCs w:val="20"/>
        </w:rPr>
        <w:t xml:space="preserve"> </w:t>
      </w:r>
      <w:r w:rsidR="00FE6F7A">
        <w:rPr>
          <w:rFonts w:ascii="Arial" w:hAnsi="Arial" w:cs="Arial"/>
          <w:color w:val="000000"/>
          <w:sz w:val="20"/>
          <w:szCs w:val="20"/>
        </w:rPr>
        <w:t>executado serviços para os quais foi contratada, deve receber a respectiva remuneração.</w:t>
      </w:r>
    </w:p>
    <w:p w:rsidR="002874A2" w:rsidRDefault="0060126D" w:rsidP="007D62D9">
      <w:pPr>
        <w:rPr>
          <w:rStyle w:val="Hyperlink"/>
          <w:rFonts w:ascii="Arial" w:hAnsi="Arial" w:cs="Arial"/>
          <w:i/>
          <w:color w:val="000000" w:themeColor="text1"/>
          <w:sz w:val="18"/>
          <w:szCs w:val="18"/>
          <w:u w:val="none"/>
        </w:rPr>
      </w:pPr>
      <w:r w:rsidRPr="005C4DB7">
        <w:rPr>
          <w:rFonts w:ascii="Arial" w:hAnsi="Arial" w:cs="Arial"/>
          <w:noProof/>
          <w:sz w:val="20"/>
          <w:szCs w:val="20"/>
          <w:lang w:eastAsia="pt-BR"/>
        </w:rPr>
        <mc:AlternateContent>
          <mc:Choice Requires="wps">
            <w:drawing>
              <wp:anchor distT="0" distB="0" distL="114300" distR="114300" simplePos="0" relativeHeight="251667456" behindDoc="0" locked="0" layoutInCell="1" allowOverlap="1" wp14:anchorId="21B6ACDF" wp14:editId="78129A8F">
                <wp:simplePos x="0" y="0"/>
                <wp:positionH relativeFrom="margin">
                  <wp:posOffset>-10160</wp:posOffset>
                </wp:positionH>
                <wp:positionV relativeFrom="paragraph">
                  <wp:posOffset>97625</wp:posOffset>
                </wp:positionV>
                <wp:extent cx="5420995" cy="0"/>
                <wp:effectExtent l="0" t="0" r="27305"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7.7pt" to="42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" strokecolor="black [3200]" strokeweight="2pt">
                <v:shadow on="t" color="black" opacity="24903f" origin=",.5" offset="0,.55556mm"/>
                <w10:wrap anchorx="margin"/>
              </v:line>
            </w:pict>
          </mc:Fallback>
        </mc:AlternateContent>
      </w:r>
    </w:p>
    <w:p w:rsidR="00E30DE6" w:rsidRDefault="00E30DE6" w:rsidP="00E30DE6">
      <w:pPr>
        <w:spacing w:before="60" w:after="60"/>
        <w:jc w:val="center"/>
        <w:rPr>
          <w:rStyle w:val="Hyperlink"/>
          <w:rFonts w:ascii="Arial" w:hAnsi="Arial" w:cs="Arial"/>
          <w:i/>
          <w:color w:val="000000" w:themeColor="text1"/>
          <w:sz w:val="18"/>
          <w:szCs w:val="18"/>
          <w:u w:val="none"/>
        </w:rPr>
      </w:pPr>
      <w:r w:rsidRPr="00F41C34">
        <w:rPr>
          <w:rStyle w:val="Hyperlink"/>
          <w:rFonts w:ascii="Arial" w:hAnsi="Arial" w:cs="Arial"/>
          <w:i/>
          <w:color w:val="000000" w:themeColor="text1"/>
          <w:sz w:val="18"/>
          <w:szCs w:val="18"/>
          <w:u w:val="none"/>
        </w:rPr>
        <w:t xml:space="preserve">Elaboração: Escola de Gestão Pública </w:t>
      </w:r>
      <w:r w:rsidR="001A16DE">
        <w:rPr>
          <w:rStyle w:val="Hyperlink"/>
          <w:rFonts w:ascii="Arial" w:hAnsi="Arial" w:cs="Arial"/>
          <w:i/>
          <w:color w:val="000000" w:themeColor="text1"/>
          <w:sz w:val="18"/>
          <w:szCs w:val="18"/>
          <w:u w:val="none"/>
        </w:rPr>
        <w:t>-</w:t>
      </w:r>
      <w:r w:rsidRPr="00F41C34">
        <w:rPr>
          <w:rStyle w:val="Hyperlink"/>
          <w:rFonts w:ascii="Arial" w:hAnsi="Arial" w:cs="Arial"/>
          <w:i/>
          <w:color w:val="000000" w:themeColor="text1"/>
          <w:sz w:val="18"/>
          <w:szCs w:val="18"/>
          <w:u w:val="none"/>
        </w:rPr>
        <w:t xml:space="preserve"> Jurisprudência</w:t>
      </w:r>
    </w:p>
    <w:p w:rsidR="001A16DE" w:rsidRDefault="001A16DE" w:rsidP="00E30DE6">
      <w:pPr>
        <w:spacing w:before="60" w:after="60"/>
        <w:jc w:val="center"/>
        <w:rPr>
          <w:rStyle w:val="Hyperlink"/>
          <w:rFonts w:ascii="Arial" w:hAnsi="Arial" w:cs="Arial"/>
          <w:i/>
          <w:color w:val="000000" w:themeColor="text1"/>
          <w:sz w:val="18"/>
          <w:szCs w:val="18"/>
          <w:u w:val="none"/>
        </w:rPr>
      </w:pPr>
    </w:p>
    <w:p w:rsidR="001A16DE" w:rsidRDefault="001A16DE" w:rsidP="00E30DE6">
      <w:pPr>
        <w:spacing w:before="60" w:after="60"/>
        <w:jc w:val="center"/>
        <w:rPr>
          <w:rStyle w:val="Hyperlink"/>
          <w:rFonts w:ascii="Arial" w:hAnsi="Arial" w:cs="Arial"/>
          <w:i/>
          <w:color w:val="000000" w:themeColor="text1"/>
          <w:sz w:val="18"/>
          <w:szCs w:val="18"/>
          <w:u w:val="none"/>
        </w:rPr>
      </w:pPr>
    </w:p>
    <w:p w:rsidR="001A16DE" w:rsidRDefault="001A16DE" w:rsidP="00E30DE6">
      <w:pPr>
        <w:spacing w:before="60" w:after="60"/>
        <w:jc w:val="center"/>
        <w:rPr>
          <w:rStyle w:val="Hyperlink"/>
          <w:rFonts w:ascii="Arial" w:hAnsi="Arial" w:cs="Arial"/>
          <w:i/>
          <w:color w:val="000000" w:themeColor="text1"/>
          <w:sz w:val="18"/>
          <w:szCs w:val="18"/>
          <w:u w:val="none"/>
        </w:rPr>
      </w:pPr>
    </w:p>
    <w:p w:rsidR="001A16DE" w:rsidRPr="00F41C34" w:rsidRDefault="001A16DE" w:rsidP="00E30DE6">
      <w:pPr>
        <w:spacing w:before="60" w:after="60"/>
        <w:jc w:val="center"/>
        <w:rPr>
          <w:rStyle w:val="Hyperlink"/>
          <w:rFonts w:ascii="Arial" w:hAnsi="Arial" w:cs="Arial"/>
          <w:i/>
          <w:color w:val="000000" w:themeColor="text1"/>
          <w:sz w:val="18"/>
          <w:szCs w:val="18"/>
          <w:u w:val="none"/>
        </w:rPr>
      </w:pPr>
    </w:p>
    <w:p w:rsidR="004043AD" w:rsidRDefault="004043AD" w:rsidP="00646004">
      <w:pPr>
        <w:jc w:val="center"/>
        <w:rPr>
          <w:b/>
          <w:color w:val="212121"/>
        </w:rPr>
      </w:pPr>
    </w:p>
    <w:sectPr w:rsidR="004043AD">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DE" w:rsidRDefault="002245DE" w:rsidP="002245DE">
    <w:pPr>
      <w:pStyle w:val="Rodap"/>
      <w:jc w:val="center"/>
      <w:rPr>
        <w:sz w:val="16"/>
        <w:szCs w:val="16"/>
      </w:rPr>
    </w:pPr>
    <w:r>
      <w:rPr>
        <w:noProof/>
        <w:lang w:eastAsia="pt-BR"/>
      </w:rPr>
      <w:drawing>
        <wp:inline distT="0" distB="0" distL="0" distR="0" wp14:anchorId="59336967" wp14:editId="245F8B5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024796">
      <w:rPr>
        <w:noProof/>
        <w:sz w:val="16"/>
        <w:szCs w:val="16"/>
      </w:rPr>
      <w:t>5</w:t>
    </w:r>
    <w:r w:rsidRPr="0072292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577658B6" wp14:editId="723631CE">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CC8"/>
    <w:multiLevelType w:val="hybridMultilevel"/>
    <w:tmpl w:val="1A98A2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6715D0"/>
    <w:multiLevelType w:val="hybridMultilevel"/>
    <w:tmpl w:val="75DCDA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A7B31B7"/>
    <w:multiLevelType w:val="hybridMultilevel"/>
    <w:tmpl w:val="75DCDA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EEB7D29"/>
    <w:multiLevelType w:val="hybridMultilevel"/>
    <w:tmpl w:val="F42CC8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8"/>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1"/>
    <w:rsid w:val="00004380"/>
    <w:rsid w:val="0000505F"/>
    <w:rsid w:val="000078B5"/>
    <w:rsid w:val="00007F7A"/>
    <w:rsid w:val="00007FD0"/>
    <w:rsid w:val="00010F88"/>
    <w:rsid w:val="00012CBB"/>
    <w:rsid w:val="00013840"/>
    <w:rsid w:val="0001405D"/>
    <w:rsid w:val="00017EBA"/>
    <w:rsid w:val="00024796"/>
    <w:rsid w:val="000300F4"/>
    <w:rsid w:val="00033E69"/>
    <w:rsid w:val="00036CD8"/>
    <w:rsid w:val="00040C74"/>
    <w:rsid w:val="00040DA9"/>
    <w:rsid w:val="00046191"/>
    <w:rsid w:val="00047EF1"/>
    <w:rsid w:val="00052862"/>
    <w:rsid w:val="00054950"/>
    <w:rsid w:val="00056686"/>
    <w:rsid w:val="000617CF"/>
    <w:rsid w:val="00062737"/>
    <w:rsid w:val="00070009"/>
    <w:rsid w:val="00070B14"/>
    <w:rsid w:val="0007200C"/>
    <w:rsid w:val="00074287"/>
    <w:rsid w:val="00074FAB"/>
    <w:rsid w:val="000759E5"/>
    <w:rsid w:val="000926D4"/>
    <w:rsid w:val="00092E5D"/>
    <w:rsid w:val="0009482D"/>
    <w:rsid w:val="000A29BE"/>
    <w:rsid w:val="000A4EB6"/>
    <w:rsid w:val="000A5F01"/>
    <w:rsid w:val="000A71D1"/>
    <w:rsid w:val="000B1E10"/>
    <w:rsid w:val="000B31B6"/>
    <w:rsid w:val="000C5093"/>
    <w:rsid w:val="000C63BC"/>
    <w:rsid w:val="000D216D"/>
    <w:rsid w:val="000D4DE6"/>
    <w:rsid w:val="000D5C1A"/>
    <w:rsid w:val="000E3FC6"/>
    <w:rsid w:val="000E5AC8"/>
    <w:rsid w:val="000F04ED"/>
    <w:rsid w:val="000F443D"/>
    <w:rsid w:val="000F639D"/>
    <w:rsid w:val="00100B9C"/>
    <w:rsid w:val="00110BD6"/>
    <w:rsid w:val="00120862"/>
    <w:rsid w:val="00123D02"/>
    <w:rsid w:val="00126447"/>
    <w:rsid w:val="00127DF2"/>
    <w:rsid w:val="001342E3"/>
    <w:rsid w:val="00135D5F"/>
    <w:rsid w:val="001472C1"/>
    <w:rsid w:val="00157806"/>
    <w:rsid w:val="0016481B"/>
    <w:rsid w:val="00164AC8"/>
    <w:rsid w:val="001720EB"/>
    <w:rsid w:val="0018272D"/>
    <w:rsid w:val="00190B94"/>
    <w:rsid w:val="001930D1"/>
    <w:rsid w:val="00196437"/>
    <w:rsid w:val="001A16DE"/>
    <w:rsid w:val="001B5F7A"/>
    <w:rsid w:val="001B6E08"/>
    <w:rsid w:val="001C0D0A"/>
    <w:rsid w:val="001D51BD"/>
    <w:rsid w:val="001D5BFF"/>
    <w:rsid w:val="001D684B"/>
    <w:rsid w:val="001E6023"/>
    <w:rsid w:val="001E6CAA"/>
    <w:rsid w:val="002013D1"/>
    <w:rsid w:val="00203387"/>
    <w:rsid w:val="002036C8"/>
    <w:rsid w:val="002100EE"/>
    <w:rsid w:val="002147AC"/>
    <w:rsid w:val="00221D15"/>
    <w:rsid w:val="00223A59"/>
    <w:rsid w:val="002245DE"/>
    <w:rsid w:val="0023318C"/>
    <w:rsid w:val="00234AE0"/>
    <w:rsid w:val="00235F82"/>
    <w:rsid w:val="00237C21"/>
    <w:rsid w:val="00256CEA"/>
    <w:rsid w:val="00260758"/>
    <w:rsid w:val="00260D58"/>
    <w:rsid w:val="0026477F"/>
    <w:rsid w:val="00271154"/>
    <w:rsid w:val="002832C1"/>
    <w:rsid w:val="002874A2"/>
    <w:rsid w:val="002921E2"/>
    <w:rsid w:val="0029566D"/>
    <w:rsid w:val="00295F4B"/>
    <w:rsid w:val="002A00AC"/>
    <w:rsid w:val="002A1D5F"/>
    <w:rsid w:val="002B070A"/>
    <w:rsid w:val="002B0BAA"/>
    <w:rsid w:val="002C56C9"/>
    <w:rsid w:val="002D3266"/>
    <w:rsid w:val="002D5B56"/>
    <w:rsid w:val="002D6612"/>
    <w:rsid w:val="002D7650"/>
    <w:rsid w:val="002D76AD"/>
    <w:rsid w:val="002E4277"/>
    <w:rsid w:val="002E72FA"/>
    <w:rsid w:val="002E7DFF"/>
    <w:rsid w:val="002F0BE9"/>
    <w:rsid w:val="002F0F36"/>
    <w:rsid w:val="002F13A0"/>
    <w:rsid w:val="002F1634"/>
    <w:rsid w:val="002F22FA"/>
    <w:rsid w:val="00307038"/>
    <w:rsid w:val="00320577"/>
    <w:rsid w:val="0032266D"/>
    <w:rsid w:val="00331533"/>
    <w:rsid w:val="00343C28"/>
    <w:rsid w:val="00344A41"/>
    <w:rsid w:val="0034575E"/>
    <w:rsid w:val="00350CC2"/>
    <w:rsid w:val="00353FEB"/>
    <w:rsid w:val="00356FB0"/>
    <w:rsid w:val="00361F1D"/>
    <w:rsid w:val="00365E61"/>
    <w:rsid w:val="0036739F"/>
    <w:rsid w:val="0037216D"/>
    <w:rsid w:val="0038012F"/>
    <w:rsid w:val="003847D4"/>
    <w:rsid w:val="003D7C37"/>
    <w:rsid w:val="003E55BC"/>
    <w:rsid w:val="003F03C6"/>
    <w:rsid w:val="003F3CE5"/>
    <w:rsid w:val="003F677C"/>
    <w:rsid w:val="003F7090"/>
    <w:rsid w:val="004043AD"/>
    <w:rsid w:val="00406D2C"/>
    <w:rsid w:val="0041337A"/>
    <w:rsid w:val="00420AE1"/>
    <w:rsid w:val="0042728A"/>
    <w:rsid w:val="004276DC"/>
    <w:rsid w:val="0043291F"/>
    <w:rsid w:val="00437541"/>
    <w:rsid w:val="00441D38"/>
    <w:rsid w:val="00447BB2"/>
    <w:rsid w:val="00455AAB"/>
    <w:rsid w:val="00456E5A"/>
    <w:rsid w:val="0046165B"/>
    <w:rsid w:val="00462A13"/>
    <w:rsid w:val="00470218"/>
    <w:rsid w:val="00482FA5"/>
    <w:rsid w:val="00487D31"/>
    <w:rsid w:val="00490CC7"/>
    <w:rsid w:val="004920C5"/>
    <w:rsid w:val="004927D6"/>
    <w:rsid w:val="0049335D"/>
    <w:rsid w:val="00494B10"/>
    <w:rsid w:val="004965C3"/>
    <w:rsid w:val="004A5804"/>
    <w:rsid w:val="004A794E"/>
    <w:rsid w:val="004B142E"/>
    <w:rsid w:val="004B623F"/>
    <w:rsid w:val="004C11DE"/>
    <w:rsid w:val="004E6410"/>
    <w:rsid w:val="00501FC7"/>
    <w:rsid w:val="005025F4"/>
    <w:rsid w:val="00502AAF"/>
    <w:rsid w:val="00511F85"/>
    <w:rsid w:val="005179F5"/>
    <w:rsid w:val="00517B69"/>
    <w:rsid w:val="00520368"/>
    <w:rsid w:val="005302D8"/>
    <w:rsid w:val="00530F1E"/>
    <w:rsid w:val="00532F0D"/>
    <w:rsid w:val="00533C06"/>
    <w:rsid w:val="0053401E"/>
    <w:rsid w:val="00542636"/>
    <w:rsid w:val="00544AB5"/>
    <w:rsid w:val="00547AFC"/>
    <w:rsid w:val="0055022A"/>
    <w:rsid w:val="00556F73"/>
    <w:rsid w:val="00561787"/>
    <w:rsid w:val="0056193C"/>
    <w:rsid w:val="005650CD"/>
    <w:rsid w:val="00566AE8"/>
    <w:rsid w:val="005706D5"/>
    <w:rsid w:val="005736E0"/>
    <w:rsid w:val="005759E4"/>
    <w:rsid w:val="005819D2"/>
    <w:rsid w:val="00584BC6"/>
    <w:rsid w:val="0058559D"/>
    <w:rsid w:val="00585A3B"/>
    <w:rsid w:val="005957D1"/>
    <w:rsid w:val="0059613E"/>
    <w:rsid w:val="005A0FD0"/>
    <w:rsid w:val="005B7055"/>
    <w:rsid w:val="005C4DB7"/>
    <w:rsid w:val="005C5DC8"/>
    <w:rsid w:val="005D48C8"/>
    <w:rsid w:val="005D58CE"/>
    <w:rsid w:val="005D6436"/>
    <w:rsid w:val="005E2760"/>
    <w:rsid w:val="005F16DB"/>
    <w:rsid w:val="005F2BB5"/>
    <w:rsid w:val="005F4DBF"/>
    <w:rsid w:val="0060126D"/>
    <w:rsid w:val="006105E3"/>
    <w:rsid w:val="0061491F"/>
    <w:rsid w:val="00620DEF"/>
    <w:rsid w:val="00626DD6"/>
    <w:rsid w:val="006331E3"/>
    <w:rsid w:val="00633C62"/>
    <w:rsid w:val="006361F0"/>
    <w:rsid w:val="006375ED"/>
    <w:rsid w:val="00640861"/>
    <w:rsid w:val="00640BDC"/>
    <w:rsid w:val="00646004"/>
    <w:rsid w:val="006509E1"/>
    <w:rsid w:val="00655A03"/>
    <w:rsid w:val="0066130F"/>
    <w:rsid w:val="00667637"/>
    <w:rsid w:val="00675422"/>
    <w:rsid w:val="0068250F"/>
    <w:rsid w:val="00694174"/>
    <w:rsid w:val="006A27D6"/>
    <w:rsid w:val="006A5FD7"/>
    <w:rsid w:val="006B143E"/>
    <w:rsid w:val="006B5E72"/>
    <w:rsid w:val="006C7A04"/>
    <w:rsid w:val="006D1BE7"/>
    <w:rsid w:val="006D6FCC"/>
    <w:rsid w:val="006E26E8"/>
    <w:rsid w:val="006E5801"/>
    <w:rsid w:val="006F4894"/>
    <w:rsid w:val="00700672"/>
    <w:rsid w:val="007064F0"/>
    <w:rsid w:val="00712A93"/>
    <w:rsid w:val="00714CF1"/>
    <w:rsid w:val="00715CEB"/>
    <w:rsid w:val="00722924"/>
    <w:rsid w:val="00723F1A"/>
    <w:rsid w:val="007319AD"/>
    <w:rsid w:val="00740240"/>
    <w:rsid w:val="00742895"/>
    <w:rsid w:val="00742BC9"/>
    <w:rsid w:val="00745634"/>
    <w:rsid w:val="00747EAE"/>
    <w:rsid w:val="00750DEB"/>
    <w:rsid w:val="00751CEE"/>
    <w:rsid w:val="0075387C"/>
    <w:rsid w:val="00754279"/>
    <w:rsid w:val="00754CEE"/>
    <w:rsid w:val="007557BC"/>
    <w:rsid w:val="00762976"/>
    <w:rsid w:val="00766834"/>
    <w:rsid w:val="00770188"/>
    <w:rsid w:val="0077082D"/>
    <w:rsid w:val="0077181C"/>
    <w:rsid w:val="0077499E"/>
    <w:rsid w:val="00784D7B"/>
    <w:rsid w:val="0079708B"/>
    <w:rsid w:val="0079779E"/>
    <w:rsid w:val="007C0E7E"/>
    <w:rsid w:val="007D009C"/>
    <w:rsid w:val="007D1470"/>
    <w:rsid w:val="007D2162"/>
    <w:rsid w:val="007D62D9"/>
    <w:rsid w:val="007D73C9"/>
    <w:rsid w:val="007E28C1"/>
    <w:rsid w:val="007F5AD4"/>
    <w:rsid w:val="00801004"/>
    <w:rsid w:val="008058BC"/>
    <w:rsid w:val="00807854"/>
    <w:rsid w:val="00811A90"/>
    <w:rsid w:val="00815C4F"/>
    <w:rsid w:val="0082026A"/>
    <w:rsid w:val="00826075"/>
    <w:rsid w:val="008267CA"/>
    <w:rsid w:val="00826A19"/>
    <w:rsid w:val="00826F6D"/>
    <w:rsid w:val="00831915"/>
    <w:rsid w:val="0083305B"/>
    <w:rsid w:val="00834578"/>
    <w:rsid w:val="00841EAB"/>
    <w:rsid w:val="00844A85"/>
    <w:rsid w:val="00845BB4"/>
    <w:rsid w:val="00847BF3"/>
    <w:rsid w:val="00853D0B"/>
    <w:rsid w:val="00854B16"/>
    <w:rsid w:val="00854BCA"/>
    <w:rsid w:val="008633B6"/>
    <w:rsid w:val="00866481"/>
    <w:rsid w:val="0087076A"/>
    <w:rsid w:val="008731E4"/>
    <w:rsid w:val="008745D6"/>
    <w:rsid w:val="00874DCA"/>
    <w:rsid w:val="00875D64"/>
    <w:rsid w:val="0088277A"/>
    <w:rsid w:val="0088297B"/>
    <w:rsid w:val="008928B6"/>
    <w:rsid w:val="00894CA0"/>
    <w:rsid w:val="00895461"/>
    <w:rsid w:val="00897C5E"/>
    <w:rsid w:val="008A2BB7"/>
    <w:rsid w:val="008B55B4"/>
    <w:rsid w:val="008B6A00"/>
    <w:rsid w:val="008C0269"/>
    <w:rsid w:val="008C257C"/>
    <w:rsid w:val="008D0FDE"/>
    <w:rsid w:val="008D7F7C"/>
    <w:rsid w:val="008E16ED"/>
    <w:rsid w:val="008E280E"/>
    <w:rsid w:val="008E2BA7"/>
    <w:rsid w:val="008E5642"/>
    <w:rsid w:val="008E5CC2"/>
    <w:rsid w:val="008F2E20"/>
    <w:rsid w:val="00912D60"/>
    <w:rsid w:val="00923B20"/>
    <w:rsid w:val="00932A3A"/>
    <w:rsid w:val="00935444"/>
    <w:rsid w:val="009518D9"/>
    <w:rsid w:val="0095236F"/>
    <w:rsid w:val="00953350"/>
    <w:rsid w:val="0097392A"/>
    <w:rsid w:val="0098512F"/>
    <w:rsid w:val="00985728"/>
    <w:rsid w:val="009857DD"/>
    <w:rsid w:val="009859AB"/>
    <w:rsid w:val="009907A9"/>
    <w:rsid w:val="00993DE4"/>
    <w:rsid w:val="00993F38"/>
    <w:rsid w:val="009A021C"/>
    <w:rsid w:val="009A62FC"/>
    <w:rsid w:val="009B105E"/>
    <w:rsid w:val="009B396E"/>
    <w:rsid w:val="009B39A2"/>
    <w:rsid w:val="009B3B97"/>
    <w:rsid w:val="009B567A"/>
    <w:rsid w:val="009B6921"/>
    <w:rsid w:val="009C5C75"/>
    <w:rsid w:val="009D2A29"/>
    <w:rsid w:val="009D5D12"/>
    <w:rsid w:val="009E4DF2"/>
    <w:rsid w:val="009E6D60"/>
    <w:rsid w:val="009F3962"/>
    <w:rsid w:val="009F7401"/>
    <w:rsid w:val="009F78F2"/>
    <w:rsid w:val="00A10857"/>
    <w:rsid w:val="00A1269B"/>
    <w:rsid w:val="00A130F9"/>
    <w:rsid w:val="00A1585F"/>
    <w:rsid w:val="00A16398"/>
    <w:rsid w:val="00A211A3"/>
    <w:rsid w:val="00A24629"/>
    <w:rsid w:val="00A27485"/>
    <w:rsid w:val="00A30038"/>
    <w:rsid w:val="00A309E8"/>
    <w:rsid w:val="00A34D88"/>
    <w:rsid w:val="00A3514D"/>
    <w:rsid w:val="00A40F98"/>
    <w:rsid w:val="00A42619"/>
    <w:rsid w:val="00A4267D"/>
    <w:rsid w:val="00A4713B"/>
    <w:rsid w:val="00A60956"/>
    <w:rsid w:val="00A63E79"/>
    <w:rsid w:val="00A672B2"/>
    <w:rsid w:val="00A74C51"/>
    <w:rsid w:val="00A77682"/>
    <w:rsid w:val="00A80C19"/>
    <w:rsid w:val="00A90A24"/>
    <w:rsid w:val="00A90BD3"/>
    <w:rsid w:val="00A94293"/>
    <w:rsid w:val="00AA0DFE"/>
    <w:rsid w:val="00AA262E"/>
    <w:rsid w:val="00AA3174"/>
    <w:rsid w:val="00AA3A41"/>
    <w:rsid w:val="00AA6D45"/>
    <w:rsid w:val="00AA7585"/>
    <w:rsid w:val="00AB031D"/>
    <w:rsid w:val="00AD0FDD"/>
    <w:rsid w:val="00AD528F"/>
    <w:rsid w:val="00AD6EB3"/>
    <w:rsid w:val="00AD741D"/>
    <w:rsid w:val="00AD791C"/>
    <w:rsid w:val="00AE4F42"/>
    <w:rsid w:val="00AE728D"/>
    <w:rsid w:val="00AF2833"/>
    <w:rsid w:val="00AF3716"/>
    <w:rsid w:val="00AF4D71"/>
    <w:rsid w:val="00B04D46"/>
    <w:rsid w:val="00B1385B"/>
    <w:rsid w:val="00B16835"/>
    <w:rsid w:val="00B22D31"/>
    <w:rsid w:val="00B27853"/>
    <w:rsid w:val="00B30FE2"/>
    <w:rsid w:val="00B37580"/>
    <w:rsid w:val="00B45C55"/>
    <w:rsid w:val="00B52215"/>
    <w:rsid w:val="00B530CA"/>
    <w:rsid w:val="00B54527"/>
    <w:rsid w:val="00B57ADA"/>
    <w:rsid w:val="00B6496C"/>
    <w:rsid w:val="00B65962"/>
    <w:rsid w:val="00B82D73"/>
    <w:rsid w:val="00B84A2C"/>
    <w:rsid w:val="00BA0DCC"/>
    <w:rsid w:val="00BB3512"/>
    <w:rsid w:val="00BC137A"/>
    <w:rsid w:val="00BC20E4"/>
    <w:rsid w:val="00BC4347"/>
    <w:rsid w:val="00BC7BCB"/>
    <w:rsid w:val="00BD109B"/>
    <w:rsid w:val="00BD2B5E"/>
    <w:rsid w:val="00BD4F31"/>
    <w:rsid w:val="00BD531B"/>
    <w:rsid w:val="00BE7E27"/>
    <w:rsid w:val="00C1091B"/>
    <w:rsid w:val="00C131FD"/>
    <w:rsid w:val="00C31169"/>
    <w:rsid w:val="00C37522"/>
    <w:rsid w:val="00C43D8B"/>
    <w:rsid w:val="00C44042"/>
    <w:rsid w:val="00C46AF0"/>
    <w:rsid w:val="00C52956"/>
    <w:rsid w:val="00C53AE1"/>
    <w:rsid w:val="00C54893"/>
    <w:rsid w:val="00C56EB6"/>
    <w:rsid w:val="00C6789D"/>
    <w:rsid w:val="00C84F07"/>
    <w:rsid w:val="00C855D4"/>
    <w:rsid w:val="00C9442C"/>
    <w:rsid w:val="00C95BCF"/>
    <w:rsid w:val="00C95D16"/>
    <w:rsid w:val="00C95DCF"/>
    <w:rsid w:val="00CA23C4"/>
    <w:rsid w:val="00CA2B38"/>
    <w:rsid w:val="00CA575F"/>
    <w:rsid w:val="00CA6114"/>
    <w:rsid w:val="00CB0797"/>
    <w:rsid w:val="00CB644C"/>
    <w:rsid w:val="00CC5AC6"/>
    <w:rsid w:val="00CD1628"/>
    <w:rsid w:val="00CD1D27"/>
    <w:rsid w:val="00CD3AE7"/>
    <w:rsid w:val="00CD430C"/>
    <w:rsid w:val="00CD79FA"/>
    <w:rsid w:val="00CF4BD1"/>
    <w:rsid w:val="00CF6B3F"/>
    <w:rsid w:val="00D03845"/>
    <w:rsid w:val="00D03DCB"/>
    <w:rsid w:val="00D16943"/>
    <w:rsid w:val="00D211AE"/>
    <w:rsid w:val="00D318E3"/>
    <w:rsid w:val="00D408BD"/>
    <w:rsid w:val="00D41B20"/>
    <w:rsid w:val="00D44615"/>
    <w:rsid w:val="00D45321"/>
    <w:rsid w:val="00D62519"/>
    <w:rsid w:val="00D625AA"/>
    <w:rsid w:val="00D63CBD"/>
    <w:rsid w:val="00D66392"/>
    <w:rsid w:val="00D66959"/>
    <w:rsid w:val="00D70A39"/>
    <w:rsid w:val="00D71A7E"/>
    <w:rsid w:val="00D870D4"/>
    <w:rsid w:val="00D9398E"/>
    <w:rsid w:val="00D97059"/>
    <w:rsid w:val="00DB29CA"/>
    <w:rsid w:val="00DB5F2B"/>
    <w:rsid w:val="00DC105F"/>
    <w:rsid w:val="00DC5C19"/>
    <w:rsid w:val="00DC7068"/>
    <w:rsid w:val="00DE21A2"/>
    <w:rsid w:val="00DF1DAC"/>
    <w:rsid w:val="00DF60E6"/>
    <w:rsid w:val="00DF6105"/>
    <w:rsid w:val="00E02804"/>
    <w:rsid w:val="00E11BA2"/>
    <w:rsid w:val="00E1428E"/>
    <w:rsid w:val="00E14900"/>
    <w:rsid w:val="00E218D3"/>
    <w:rsid w:val="00E248E6"/>
    <w:rsid w:val="00E30DE6"/>
    <w:rsid w:val="00E31944"/>
    <w:rsid w:val="00E37194"/>
    <w:rsid w:val="00E372BC"/>
    <w:rsid w:val="00E4415D"/>
    <w:rsid w:val="00E44AB8"/>
    <w:rsid w:val="00E520BE"/>
    <w:rsid w:val="00E54E17"/>
    <w:rsid w:val="00E56A7A"/>
    <w:rsid w:val="00E60419"/>
    <w:rsid w:val="00E617D3"/>
    <w:rsid w:val="00E639E4"/>
    <w:rsid w:val="00E71365"/>
    <w:rsid w:val="00E83B51"/>
    <w:rsid w:val="00E8762F"/>
    <w:rsid w:val="00E90AB8"/>
    <w:rsid w:val="00E973EF"/>
    <w:rsid w:val="00EA34E2"/>
    <w:rsid w:val="00EA52D1"/>
    <w:rsid w:val="00EB383F"/>
    <w:rsid w:val="00EB70E7"/>
    <w:rsid w:val="00EB76D6"/>
    <w:rsid w:val="00EC02E8"/>
    <w:rsid w:val="00EC3842"/>
    <w:rsid w:val="00EC5D5D"/>
    <w:rsid w:val="00EC7908"/>
    <w:rsid w:val="00EC7C2B"/>
    <w:rsid w:val="00ED1F02"/>
    <w:rsid w:val="00EE0EE0"/>
    <w:rsid w:val="00EE20A1"/>
    <w:rsid w:val="00EF518E"/>
    <w:rsid w:val="00EF69AE"/>
    <w:rsid w:val="00EF6E2C"/>
    <w:rsid w:val="00F0782D"/>
    <w:rsid w:val="00F14B9B"/>
    <w:rsid w:val="00F14CCC"/>
    <w:rsid w:val="00F20C09"/>
    <w:rsid w:val="00F217DF"/>
    <w:rsid w:val="00F21CAE"/>
    <w:rsid w:val="00F258E8"/>
    <w:rsid w:val="00F368B9"/>
    <w:rsid w:val="00F3739F"/>
    <w:rsid w:val="00F374C1"/>
    <w:rsid w:val="00F37B34"/>
    <w:rsid w:val="00F41C34"/>
    <w:rsid w:val="00F469B9"/>
    <w:rsid w:val="00F46C32"/>
    <w:rsid w:val="00F525B5"/>
    <w:rsid w:val="00F62365"/>
    <w:rsid w:val="00F74F50"/>
    <w:rsid w:val="00F83B0D"/>
    <w:rsid w:val="00F87298"/>
    <w:rsid w:val="00F9222A"/>
    <w:rsid w:val="00F922EA"/>
    <w:rsid w:val="00F92927"/>
    <w:rsid w:val="00F93C71"/>
    <w:rsid w:val="00F979B3"/>
    <w:rsid w:val="00F97CCD"/>
    <w:rsid w:val="00FA320D"/>
    <w:rsid w:val="00FA53E9"/>
    <w:rsid w:val="00FB04E9"/>
    <w:rsid w:val="00FB1179"/>
    <w:rsid w:val="00FB1C6B"/>
    <w:rsid w:val="00FB4841"/>
    <w:rsid w:val="00FB6C94"/>
    <w:rsid w:val="00FB7F8B"/>
    <w:rsid w:val="00FC3753"/>
    <w:rsid w:val="00FC4D04"/>
    <w:rsid w:val="00FC5743"/>
    <w:rsid w:val="00FD118C"/>
    <w:rsid w:val="00FD332F"/>
    <w:rsid w:val="00FE1CC1"/>
    <w:rsid w:val="00FE6543"/>
    <w:rsid w:val="00FE6F7A"/>
    <w:rsid w:val="00FF248B"/>
    <w:rsid w:val="00FF3E6F"/>
    <w:rsid w:val="00FF7425"/>
    <w:rsid w:val="00FF7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tce.pr.gov.br/multimidia/2017/2/pdf/00310358.pdf" TargetMode="External"/><Relationship Id="rId18" Type="http://schemas.openxmlformats.org/officeDocument/2006/relationships/hyperlink" Target="https://contas.tcu.gov.br/sagas/SvlVisualizarRelVotoAcRtf?codFiltro=SAGAS-SESSAO-ENCERRADA&amp;seOcultaPagina=S&amp;item0=57901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1.tce.pr.gov.br/multimidia/2017/2/pdf/00310557.pdf" TargetMode="External"/><Relationship Id="rId17" Type="http://schemas.openxmlformats.org/officeDocument/2006/relationships/hyperlink" Target="https://contas.tcu.gov.br/sagas/SvlVisualizarRelVotoAcRtf?codFiltro=SAGAS-SESSAO-ENCERRADA&amp;seOcultaPagina=S&amp;item0=579139" TargetMode="External"/><Relationship Id="rId2" Type="http://schemas.openxmlformats.org/officeDocument/2006/relationships/numbering" Target="numbering.xml"/><Relationship Id="rId16" Type="http://schemas.openxmlformats.org/officeDocument/2006/relationships/hyperlink" Target="https://contas.tcu.gov.br/sagas/SvlVisualizarRelVotoAcRtf?codFiltro=SAGAS-SESSAO-ENCERRADA&amp;seOcultaPagina=S&amp;item0=57137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tce.pr.gov.br/multimidia/2017/2/pdf/00310090.pdf" TargetMode="External"/><Relationship Id="rId5" Type="http://schemas.openxmlformats.org/officeDocument/2006/relationships/settings" Target="settings.xml"/><Relationship Id="rId15" Type="http://schemas.openxmlformats.org/officeDocument/2006/relationships/hyperlink" Target="http://www1.tce.pr.gov.br/multimidia/2017/2/pdf/00310620.pdf" TargetMode="External"/><Relationship Id="rId23" Type="http://schemas.openxmlformats.org/officeDocument/2006/relationships/theme" Target="theme/theme1.xml"/><Relationship Id="rId10" Type="http://schemas.openxmlformats.org/officeDocument/2006/relationships/hyperlink" Target="http://www1.tce.pr.gov.br/multimidia/2017/2/pdf/00310627.pdf" TargetMode="External"/><Relationship Id="rId19" Type="http://schemas.openxmlformats.org/officeDocument/2006/relationships/hyperlink" Target="https://contas.tcu.gov.br/sagas/SvlVisualizarRelVotoAcRtf?codFiltro=SAGAS-SESSAO-ENCERRADA&amp;seOcultaPagina=S&amp;item0=575326" TargetMode="External"/><Relationship Id="rId4" Type="http://schemas.microsoft.com/office/2007/relationships/stylesWithEffects" Target="stylesWithEffects.xml"/><Relationship Id="rId9" Type="http://schemas.openxmlformats.org/officeDocument/2006/relationships/hyperlink" Target="http://www1.tce.pr.gov.br/multimidia/2017/2/pdf/00310122.pdf" TargetMode="External"/><Relationship Id="rId14" Type="http://schemas.openxmlformats.org/officeDocument/2006/relationships/hyperlink" Target="http://www1.tce.pr.gov.br/multimidia/2017/2/pdf/00310623.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EF6A-ECFA-4779-8F15-65366359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Pages>
  <Words>1875</Words>
  <Characters>10127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217</cp:revision>
  <cp:lastPrinted>2017-03-09T17:35:00Z</cp:lastPrinted>
  <dcterms:created xsi:type="dcterms:W3CDTF">2017-01-30T19:05:00Z</dcterms:created>
  <dcterms:modified xsi:type="dcterms:W3CDTF">2017-03-09T17:36:00Z</dcterms:modified>
</cp:coreProperties>
</file>