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401EE0">
        <w:rPr>
          <w:rFonts w:ascii="Arial" w:hAnsi="Arial" w:cs="Arial"/>
          <w:b/>
          <w:sz w:val="20"/>
          <w:szCs w:val="20"/>
        </w:rPr>
        <w:t>2</w:t>
      </w:r>
      <w:r w:rsidR="00BD1101">
        <w:rPr>
          <w:rFonts w:ascii="Arial" w:hAnsi="Arial" w:cs="Arial"/>
          <w:b/>
          <w:sz w:val="20"/>
          <w:szCs w:val="20"/>
        </w:rPr>
        <w:t>8</w:t>
      </w:r>
    </w:p>
    <w:p w:rsidR="006F08D4" w:rsidRPr="0022060B" w:rsidRDefault="006F08D4" w:rsidP="00816942">
      <w:pPr>
        <w:spacing w:after="0"/>
        <w:jc w:val="center"/>
        <w:rPr>
          <w:rFonts w:ascii="Arial" w:hAnsi="Arial" w:cs="Arial"/>
          <w:b/>
          <w:sz w:val="20"/>
          <w:szCs w:val="20"/>
        </w:rPr>
      </w:pPr>
    </w:p>
    <w:p w:rsidR="001B5F7A" w:rsidRPr="0022060B" w:rsidRDefault="001B5F7A" w:rsidP="00816942">
      <w:pPr>
        <w:spacing w:after="0"/>
        <w:jc w:val="center"/>
        <w:rPr>
          <w:rFonts w:ascii="Arial" w:hAnsi="Arial" w:cs="Arial"/>
          <w:b/>
          <w:sz w:val="20"/>
          <w:szCs w:val="20"/>
        </w:rPr>
      </w:pPr>
      <w:r w:rsidRPr="0022060B">
        <w:rPr>
          <w:rFonts w:ascii="Arial" w:hAnsi="Arial" w:cs="Arial"/>
          <w:b/>
          <w:sz w:val="20"/>
          <w:szCs w:val="20"/>
        </w:rPr>
        <w:t xml:space="preserve">Sessões: </w:t>
      </w:r>
      <w:r w:rsidR="00BD1101">
        <w:rPr>
          <w:rFonts w:ascii="Arial" w:hAnsi="Arial" w:cs="Arial"/>
          <w:b/>
          <w:sz w:val="20"/>
          <w:szCs w:val="20"/>
        </w:rPr>
        <w:t>05</w:t>
      </w:r>
      <w:r w:rsidR="00814325">
        <w:rPr>
          <w:rFonts w:ascii="Arial" w:hAnsi="Arial" w:cs="Arial"/>
          <w:b/>
          <w:sz w:val="20"/>
          <w:szCs w:val="20"/>
        </w:rPr>
        <w:t>.</w:t>
      </w:r>
      <w:r w:rsidR="002B5E9F">
        <w:rPr>
          <w:rFonts w:ascii="Arial" w:hAnsi="Arial" w:cs="Arial"/>
          <w:b/>
          <w:sz w:val="20"/>
          <w:szCs w:val="20"/>
        </w:rPr>
        <w:t>1</w:t>
      </w:r>
      <w:r w:rsidR="00BD1101">
        <w:rPr>
          <w:rFonts w:ascii="Arial" w:hAnsi="Arial" w:cs="Arial"/>
          <w:b/>
          <w:sz w:val="20"/>
          <w:szCs w:val="20"/>
        </w:rPr>
        <w:t>2</w:t>
      </w:r>
      <w:r w:rsidR="005A0FD0" w:rsidRPr="0022060B">
        <w:rPr>
          <w:rFonts w:ascii="Arial" w:hAnsi="Arial" w:cs="Arial"/>
          <w:b/>
          <w:sz w:val="20"/>
          <w:szCs w:val="20"/>
        </w:rPr>
        <w:t xml:space="preserve"> </w:t>
      </w:r>
      <w:r w:rsidR="000D4DE6" w:rsidRPr="0022060B">
        <w:rPr>
          <w:rFonts w:ascii="Arial" w:hAnsi="Arial" w:cs="Arial"/>
          <w:b/>
          <w:sz w:val="20"/>
          <w:szCs w:val="20"/>
        </w:rPr>
        <w:t>a</w:t>
      </w:r>
      <w:r w:rsidRPr="0022060B">
        <w:rPr>
          <w:rFonts w:ascii="Arial" w:hAnsi="Arial" w:cs="Arial"/>
          <w:b/>
          <w:sz w:val="20"/>
          <w:szCs w:val="20"/>
        </w:rPr>
        <w:t xml:space="preserve"> </w:t>
      </w:r>
      <w:r w:rsidR="00BD1101">
        <w:rPr>
          <w:rFonts w:ascii="Arial" w:hAnsi="Arial" w:cs="Arial"/>
          <w:b/>
          <w:sz w:val="20"/>
          <w:szCs w:val="20"/>
        </w:rPr>
        <w:t>14</w:t>
      </w:r>
      <w:r w:rsidR="005A0FD0" w:rsidRPr="0022060B">
        <w:rPr>
          <w:rFonts w:ascii="Arial" w:hAnsi="Arial" w:cs="Arial"/>
          <w:b/>
          <w:sz w:val="20"/>
          <w:szCs w:val="20"/>
        </w:rPr>
        <w:t>.</w:t>
      </w:r>
      <w:r w:rsidR="002B5E9F">
        <w:rPr>
          <w:rFonts w:ascii="Arial" w:hAnsi="Arial" w:cs="Arial"/>
          <w:b/>
          <w:sz w:val="20"/>
          <w:szCs w:val="20"/>
        </w:rPr>
        <w:t>1</w:t>
      </w:r>
      <w:r w:rsidR="00BD1101">
        <w:rPr>
          <w:rFonts w:ascii="Arial" w:hAnsi="Arial" w:cs="Arial"/>
          <w:b/>
          <w:sz w:val="20"/>
          <w:szCs w:val="20"/>
        </w:rPr>
        <w:t>2</w:t>
      </w:r>
      <w:r w:rsidRPr="0022060B">
        <w:rPr>
          <w:rFonts w:ascii="Arial" w:hAnsi="Arial" w:cs="Arial"/>
          <w:b/>
          <w:sz w:val="20"/>
          <w:szCs w:val="20"/>
        </w:rPr>
        <w:t xml:space="preserve"> de 201</w:t>
      </w:r>
      <w:r w:rsidR="005A0FD0" w:rsidRPr="0022060B">
        <w:rPr>
          <w:rFonts w:ascii="Arial" w:hAnsi="Arial" w:cs="Arial"/>
          <w:b/>
          <w:sz w:val="20"/>
          <w:szCs w:val="20"/>
        </w:rPr>
        <w:t>7</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B71476" w:rsidRDefault="00B71476" w:rsidP="00D34524">
      <w:pPr>
        <w:autoSpaceDE w:val="0"/>
        <w:autoSpaceDN w:val="0"/>
        <w:adjustRightInd w:val="0"/>
        <w:spacing w:after="0"/>
        <w:jc w:val="both"/>
        <w:rPr>
          <w:rFonts w:ascii="Arial" w:hAnsi="Arial" w:cs="Arial"/>
          <w:b/>
          <w:sz w:val="20"/>
          <w:szCs w:val="20"/>
        </w:rPr>
      </w:pPr>
    </w:p>
    <w:p w:rsidR="00D34524" w:rsidRPr="00B71476" w:rsidRDefault="00D34524" w:rsidP="00D34524">
      <w:pPr>
        <w:autoSpaceDE w:val="0"/>
        <w:autoSpaceDN w:val="0"/>
        <w:adjustRightInd w:val="0"/>
        <w:spacing w:after="0"/>
        <w:jc w:val="both"/>
        <w:rPr>
          <w:rFonts w:ascii="Arial" w:hAnsi="Arial" w:cs="Arial"/>
          <w:b/>
          <w:sz w:val="20"/>
          <w:szCs w:val="20"/>
        </w:rPr>
      </w:pPr>
      <w:r w:rsidRPr="00B71476">
        <w:rPr>
          <w:rFonts w:ascii="Arial" w:hAnsi="Arial" w:cs="Arial"/>
          <w:b/>
          <w:sz w:val="20"/>
          <w:szCs w:val="20"/>
        </w:rPr>
        <w:t xml:space="preserve">1. Admissão de pessoal. Contratação temporária. </w:t>
      </w:r>
      <w:r w:rsidRPr="0005225C">
        <w:rPr>
          <w:rFonts w:ascii="Arial" w:hAnsi="Arial" w:cs="Arial"/>
          <w:b/>
          <w:sz w:val="20"/>
          <w:szCs w:val="20"/>
        </w:rPr>
        <w:t>Lei Estadual 108/2005. Lei de Responsabilidade Fiscal.</w:t>
      </w:r>
    </w:p>
    <w:p w:rsidR="00C714B3" w:rsidRDefault="00C714B3" w:rsidP="00B71476">
      <w:pPr>
        <w:autoSpaceDE w:val="0"/>
        <w:autoSpaceDN w:val="0"/>
        <w:adjustRightInd w:val="0"/>
        <w:spacing w:after="0"/>
        <w:jc w:val="both"/>
        <w:rPr>
          <w:rFonts w:ascii="Arial" w:hAnsi="Arial" w:cs="Arial"/>
          <w:b/>
          <w:sz w:val="20"/>
          <w:szCs w:val="20"/>
        </w:rPr>
      </w:pPr>
    </w:p>
    <w:p w:rsidR="00C714B3" w:rsidRPr="00F005FD" w:rsidRDefault="00C714B3" w:rsidP="00C714B3">
      <w:pPr>
        <w:autoSpaceDE w:val="0"/>
        <w:autoSpaceDN w:val="0"/>
        <w:adjustRightInd w:val="0"/>
        <w:spacing w:after="0"/>
        <w:jc w:val="both"/>
        <w:rPr>
          <w:rFonts w:ascii="Arial" w:hAnsi="Arial" w:cs="Arial"/>
          <w:b/>
          <w:sz w:val="20"/>
          <w:szCs w:val="20"/>
        </w:rPr>
      </w:pPr>
      <w:r>
        <w:rPr>
          <w:rFonts w:ascii="Arial" w:hAnsi="Arial" w:cs="Arial"/>
          <w:b/>
          <w:sz w:val="20"/>
          <w:szCs w:val="20"/>
        </w:rPr>
        <w:t xml:space="preserve">2. </w:t>
      </w:r>
      <w:r w:rsidRPr="00F005FD">
        <w:rPr>
          <w:rFonts w:ascii="Arial" w:hAnsi="Arial" w:cs="Arial"/>
          <w:b/>
          <w:sz w:val="20"/>
          <w:szCs w:val="20"/>
        </w:rPr>
        <w:t xml:space="preserve">Prestação de Contas. Transferência voluntária. Utilização de instituição financeira não oficial. Ausência de indícios de dano. Ressalva. </w:t>
      </w:r>
    </w:p>
    <w:p w:rsidR="00C714B3" w:rsidRDefault="00C714B3" w:rsidP="00C714B3">
      <w:pPr>
        <w:spacing w:after="120"/>
        <w:jc w:val="both"/>
        <w:rPr>
          <w:rFonts w:ascii="Arial" w:hAnsi="Arial" w:cs="Arial"/>
          <w:b/>
          <w:sz w:val="20"/>
          <w:szCs w:val="20"/>
        </w:rPr>
      </w:pPr>
    </w:p>
    <w:p w:rsidR="00C714B3" w:rsidRPr="00C714B3" w:rsidRDefault="00C714B3" w:rsidP="00C714B3">
      <w:pPr>
        <w:autoSpaceDE w:val="0"/>
        <w:autoSpaceDN w:val="0"/>
        <w:adjustRightInd w:val="0"/>
        <w:spacing w:after="0"/>
        <w:jc w:val="both"/>
        <w:rPr>
          <w:rFonts w:ascii="Arial" w:hAnsi="Arial" w:cs="Arial"/>
          <w:b/>
          <w:sz w:val="20"/>
          <w:szCs w:val="20"/>
        </w:rPr>
      </w:pPr>
      <w:r>
        <w:rPr>
          <w:rFonts w:ascii="Arial" w:hAnsi="Arial" w:cs="Arial"/>
          <w:b/>
          <w:sz w:val="20"/>
          <w:szCs w:val="20"/>
        </w:rPr>
        <w:t xml:space="preserve">3. </w:t>
      </w:r>
      <w:r w:rsidRPr="00E05F2D">
        <w:rPr>
          <w:rFonts w:ascii="Arial" w:hAnsi="Arial" w:cs="Arial"/>
          <w:b/>
          <w:sz w:val="20"/>
          <w:szCs w:val="20"/>
        </w:rPr>
        <w:t>Prestação de Contas Municipal. Controlador Interno. Ausência de atualização de cadastro. Ressalva</w:t>
      </w:r>
      <w:r w:rsidRPr="00C714B3">
        <w:rPr>
          <w:rFonts w:ascii="Arial" w:hAnsi="Arial" w:cs="Arial"/>
          <w:b/>
          <w:sz w:val="20"/>
          <w:szCs w:val="20"/>
        </w:rPr>
        <w:t xml:space="preserve">.  </w:t>
      </w:r>
    </w:p>
    <w:p w:rsidR="00C714B3" w:rsidRDefault="00C714B3" w:rsidP="00C714B3">
      <w:pPr>
        <w:spacing w:after="120"/>
        <w:jc w:val="both"/>
        <w:rPr>
          <w:rFonts w:ascii="Arial" w:hAnsi="Arial" w:cs="Arial"/>
          <w:b/>
          <w:sz w:val="20"/>
          <w:szCs w:val="20"/>
        </w:rPr>
      </w:pPr>
    </w:p>
    <w:p w:rsidR="00C714B3" w:rsidRPr="00F25277" w:rsidRDefault="00C714B3" w:rsidP="00C714B3">
      <w:pPr>
        <w:spacing w:after="120"/>
        <w:jc w:val="both"/>
        <w:rPr>
          <w:rFonts w:ascii="Arial" w:hAnsi="Arial" w:cs="Arial"/>
          <w:b/>
          <w:sz w:val="20"/>
          <w:szCs w:val="20"/>
        </w:rPr>
      </w:pPr>
      <w:r>
        <w:rPr>
          <w:rFonts w:ascii="Arial" w:hAnsi="Arial" w:cs="Arial"/>
          <w:b/>
          <w:sz w:val="20"/>
          <w:szCs w:val="20"/>
        </w:rPr>
        <w:t xml:space="preserve">4. </w:t>
      </w:r>
      <w:r w:rsidRPr="00F25277">
        <w:rPr>
          <w:rFonts w:ascii="Arial" w:hAnsi="Arial" w:cs="Arial"/>
          <w:b/>
          <w:sz w:val="20"/>
          <w:szCs w:val="20"/>
        </w:rPr>
        <w:t xml:space="preserve">Prestação de Contas. Prefeito Municipal. Parecer Prévio que recomenda a irregularidades das contas. Extrapolação do índice de despesas com pessoal. Não retorno ao limite. </w:t>
      </w:r>
    </w:p>
    <w:p w:rsidR="00C714B3" w:rsidRDefault="00C714B3" w:rsidP="00B71476">
      <w:pPr>
        <w:autoSpaceDE w:val="0"/>
        <w:autoSpaceDN w:val="0"/>
        <w:adjustRightInd w:val="0"/>
        <w:spacing w:after="0"/>
        <w:jc w:val="both"/>
        <w:rPr>
          <w:rFonts w:ascii="Arial" w:hAnsi="Arial" w:cs="Arial"/>
          <w:b/>
          <w:sz w:val="20"/>
          <w:szCs w:val="20"/>
        </w:rPr>
      </w:pPr>
    </w:p>
    <w:p w:rsidR="00D34524" w:rsidRPr="005910E8" w:rsidRDefault="00C714B3" w:rsidP="00B71476">
      <w:pPr>
        <w:autoSpaceDE w:val="0"/>
        <w:autoSpaceDN w:val="0"/>
        <w:adjustRightInd w:val="0"/>
        <w:spacing w:after="0"/>
        <w:jc w:val="both"/>
        <w:rPr>
          <w:rFonts w:ascii="Arial" w:hAnsi="Arial" w:cs="Arial"/>
          <w:b/>
          <w:sz w:val="20"/>
          <w:szCs w:val="20"/>
        </w:rPr>
      </w:pPr>
      <w:r>
        <w:rPr>
          <w:rFonts w:ascii="Arial" w:hAnsi="Arial" w:cs="Arial"/>
          <w:b/>
          <w:sz w:val="20"/>
          <w:szCs w:val="20"/>
        </w:rPr>
        <w:t>5</w:t>
      </w:r>
      <w:r w:rsidR="00D34524">
        <w:rPr>
          <w:rFonts w:ascii="Arial" w:hAnsi="Arial" w:cs="Arial"/>
          <w:b/>
          <w:sz w:val="20"/>
          <w:szCs w:val="20"/>
        </w:rPr>
        <w:t xml:space="preserve">. </w:t>
      </w:r>
      <w:r w:rsidR="00D34524" w:rsidRPr="005910E8">
        <w:rPr>
          <w:rFonts w:ascii="Arial" w:hAnsi="Arial" w:cs="Arial"/>
          <w:b/>
          <w:sz w:val="20"/>
          <w:szCs w:val="20"/>
        </w:rPr>
        <w:t>Admissão de Pessoal. C</w:t>
      </w:r>
      <w:r w:rsidR="00D34524">
        <w:rPr>
          <w:rFonts w:ascii="Arial" w:hAnsi="Arial" w:cs="Arial"/>
          <w:b/>
          <w:sz w:val="20"/>
          <w:szCs w:val="20"/>
        </w:rPr>
        <w:t>oncurso P</w:t>
      </w:r>
      <w:r w:rsidR="00D34524" w:rsidRPr="005910E8">
        <w:rPr>
          <w:rFonts w:ascii="Arial" w:hAnsi="Arial" w:cs="Arial"/>
          <w:b/>
          <w:sz w:val="20"/>
          <w:szCs w:val="20"/>
        </w:rPr>
        <w:t xml:space="preserve">úblico. </w:t>
      </w:r>
      <w:r w:rsidR="00D34524">
        <w:rPr>
          <w:rFonts w:ascii="Arial" w:hAnsi="Arial" w:cs="Arial"/>
          <w:b/>
          <w:sz w:val="20"/>
          <w:szCs w:val="20"/>
        </w:rPr>
        <w:t>Legalidade e Registro das A</w:t>
      </w:r>
      <w:r w:rsidR="00D34524" w:rsidRPr="005910E8">
        <w:rPr>
          <w:rFonts w:ascii="Arial" w:hAnsi="Arial" w:cs="Arial"/>
          <w:b/>
          <w:sz w:val="20"/>
          <w:szCs w:val="20"/>
        </w:rPr>
        <w:t xml:space="preserve">dmissões. Modalidade </w:t>
      </w:r>
      <w:r w:rsidR="00D34524">
        <w:rPr>
          <w:rFonts w:ascii="Arial" w:hAnsi="Arial" w:cs="Arial"/>
          <w:b/>
          <w:sz w:val="20"/>
          <w:szCs w:val="20"/>
        </w:rPr>
        <w:t>e Tipo de Licitação E</w:t>
      </w:r>
      <w:r w:rsidR="00D34524" w:rsidRPr="005910E8">
        <w:rPr>
          <w:rFonts w:ascii="Arial" w:hAnsi="Arial" w:cs="Arial"/>
          <w:b/>
          <w:sz w:val="20"/>
          <w:szCs w:val="20"/>
        </w:rPr>
        <w:t xml:space="preserve">scolhida. Determinação. </w:t>
      </w:r>
    </w:p>
    <w:p w:rsidR="00B71476" w:rsidRDefault="00B71476" w:rsidP="00D34524">
      <w:pPr>
        <w:autoSpaceDE w:val="0"/>
        <w:autoSpaceDN w:val="0"/>
        <w:adjustRightInd w:val="0"/>
        <w:spacing w:after="0"/>
        <w:jc w:val="both"/>
        <w:rPr>
          <w:rFonts w:ascii="Arial" w:hAnsi="Arial" w:cs="Arial"/>
          <w:b/>
          <w:sz w:val="20"/>
          <w:szCs w:val="20"/>
        </w:rPr>
      </w:pPr>
    </w:p>
    <w:p w:rsidR="00D34524" w:rsidRDefault="00C714B3" w:rsidP="00D34524">
      <w:pPr>
        <w:autoSpaceDE w:val="0"/>
        <w:autoSpaceDN w:val="0"/>
        <w:adjustRightInd w:val="0"/>
        <w:spacing w:after="0"/>
        <w:jc w:val="both"/>
        <w:rPr>
          <w:rFonts w:ascii="Arial" w:hAnsi="Arial" w:cs="Arial"/>
          <w:b/>
          <w:sz w:val="20"/>
          <w:szCs w:val="20"/>
        </w:rPr>
      </w:pPr>
      <w:r>
        <w:rPr>
          <w:rFonts w:ascii="Arial" w:hAnsi="Arial" w:cs="Arial"/>
          <w:b/>
          <w:sz w:val="20"/>
          <w:szCs w:val="20"/>
        </w:rPr>
        <w:t>6</w:t>
      </w:r>
      <w:r w:rsidR="00D34524">
        <w:rPr>
          <w:rFonts w:ascii="Arial" w:hAnsi="Arial" w:cs="Arial"/>
          <w:b/>
          <w:sz w:val="20"/>
          <w:szCs w:val="20"/>
        </w:rPr>
        <w:t xml:space="preserve">. </w:t>
      </w:r>
      <w:r w:rsidR="00D34524" w:rsidRPr="000972FE">
        <w:rPr>
          <w:rFonts w:ascii="Arial" w:hAnsi="Arial" w:cs="Arial"/>
          <w:b/>
          <w:sz w:val="20"/>
          <w:szCs w:val="20"/>
        </w:rPr>
        <w:t>Embargos de Declaração. Omissão inexistente.  Recursos Públicos. Regular Aplicação. Ônus</w:t>
      </w:r>
      <w:r w:rsidR="00D34524">
        <w:rPr>
          <w:rFonts w:ascii="Arial" w:hAnsi="Arial" w:cs="Arial"/>
          <w:b/>
          <w:sz w:val="20"/>
          <w:szCs w:val="20"/>
        </w:rPr>
        <w:t xml:space="preserve">. </w:t>
      </w:r>
      <w:r w:rsidR="00D34524" w:rsidRPr="000972FE">
        <w:rPr>
          <w:rFonts w:ascii="Arial" w:hAnsi="Arial" w:cs="Arial"/>
          <w:b/>
          <w:sz w:val="20"/>
          <w:szCs w:val="20"/>
        </w:rPr>
        <w:t xml:space="preserve">Entidade Repassadora e Tomadora. Não provimento. </w:t>
      </w:r>
    </w:p>
    <w:p w:rsidR="00B71476" w:rsidRDefault="00B71476" w:rsidP="00D34524">
      <w:pPr>
        <w:autoSpaceDE w:val="0"/>
        <w:autoSpaceDN w:val="0"/>
        <w:adjustRightInd w:val="0"/>
        <w:spacing w:after="0"/>
        <w:jc w:val="both"/>
        <w:rPr>
          <w:rFonts w:ascii="Arial" w:hAnsi="Arial" w:cs="Arial"/>
          <w:b/>
          <w:sz w:val="20"/>
          <w:szCs w:val="20"/>
        </w:rPr>
      </w:pPr>
    </w:p>
    <w:p w:rsidR="00D34524" w:rsidRPr="00B71476" w:rsidRDefault="00C714B3" w:rsidP="00D34524">
      <w:pPr>
        <w:autoSpaceDE w:val="0"/>
        <w:autoSpaceDN w:val="0"/>
        <w:adjustRightInd w:val="0"/>
        <w:spacing w:after="0"/>
        <w:jc w:val="both"/>
        <w:rPr>
          <w:rFonts w:ascii="Arial" w:hAnsi="Arial" w:cs="Arial"/>
          <w:b/>
          <w:sz w:val="20"/>
          <w:szCs w:val="20"/>
        </w:rPr>
      </w:pPr>
      <w:r>
        <w:rPr>
          <w:rFonts w:ascii="Arial" w:hAnsi="Arial" w:cs="Arial"/>
          <w:b/>
          <w:sz w:val="20"/>
          <w:szCs w:val="20"/>
        </w:rPr>
        <w:t>7</w:t>
      </w:r>
      <w:r w:rsidR="00D34524">
        <w:rPr>
          <w:rFonts w:ascii="Arial" w:hAnsi="Arial" w:cs="Arial"/>
          <w:b/>
          <w:sz w:val="20"/>
          <w:szCs w:val="20"/>
        </w:rPr>
        <w:t xml:space="preserve">. </w:t>
      </w:r>
      <w:r w:rsidR="00D34524" w:rsidRPr="00040672">
        <w:rPr>
          <w:rFonts w:ascii="Arial" w:hAnsi="Arial" w:cs="Arial"/>
          <w:b/>
          <w:sz w:val="20"/>
          <w:szCs w:val="20"/>
        </w:rPr>
        <w:t xml:space="preserve">Admissão de pessoal. Concurso Público. Candidato que participou de atos preparatórios do concurso (licitação). Acórdãos 1608/11 e 938/12, emitidos em sede de Consulta. </w:t>
      </w:r>
      <w:r w:rsidR="00D34524" w:rsidRPr="00B71476">
        <w:rPr>
          <w:rFonts w:ascii="Arial" w:hAnsi="Arial" w:cs="Arial"/>
          <w:b/>
          <w:sz w:val="20"/>
          <w:szCs w:val="20"/>
        </w:rPr>
        <w:t xml:space="preserve">Negativa de registro da admissão do servidor que praticou atos administrativos ligados ao certame. </w:t>
      </w:r>
    </w:p>
    <w:p w:rsidR="00B71476" w:rsidRDefault="00B71476" w:rsidP="00D34524">
      <w:pPr>
        <w:autoSpaceDE w:val="0"/>
        <w:autoSpaceDN w:val="0"/>
        <w:adjustRightInd w:val="0"/>
        <w:spacing w:after="0"/>
        <w:jc w:val="both"/>
        <w:rPr>
          <w:rFonts w:ascii="Arial" w:hAnsi="Arial" w:cs="Arial"/>
          <w:b/>
          <w:sz w:val="20"/>
          <w:szCs w:val="20"/>
        </w:rPr>
      </w:pPr>
    </w:p>
    <w:p w:rsidR="00D34524" w:rsidRPr="00B71476" w:rsidRDefault="00C714B3" w:rsidP="00D34524">
      <w:pPr>
        <w:autoSpaceDE w:val="0"/>
        <w:autoSpaceDN w:val="0"/>
        <w:adjustRightInd w:val="0"/>
        <w:spacing w:after="0"/>
        <w:jc w:val="both"/>
        <w:rPr>
          <w:rFonts w:ascii="Arial" w:hAnsi="Arial" w:cs="Arial"/>
          <w:b/>
          <w:sz w:val="20"/>
          <w:szCs w:val="20"/>
        </w:rPr>
      </w:pPr>
      <w:r>
        <w:rPr>
          <w:rFonts w:ascii="Arial" w:hAnsi="Arial" w:cs="Arial"/>
          <w:b/>
          <w:sz w:val="20"/>
          <w:szCs w:val="20"/>
        </w:rPr>
        <w:t>8</w:t>
      </w:r>
      <w:r w:rsidR="00D34524" w:rsidRPr="00B71476">
        <w:rPr>
          <w:rFonts w:ascii="Arial" w:hAnsi="Arial" w:cs="Arial"/>
          <w:b/>
          <w:sz w:val="20"/>
          <w:szCs w:val="20"/>
        </w:rPr>
        <w:t>. Tomada de Contas Extraordinária. Parecerista. Inexigibilidade de licitação. Ausência de demonstração da singularidade do objeto. Contratação de consultoria jurídica terceirizada indevida. Irregularidade, com restituição de valores ao erário e aplicação de multas.</w:t>
      </w:r>
    </w:p>
    <w:p w:rsidR="00B71476" w:rsidRDefault="00B71476" w:rsidP="00D34524">
      <w:pPr>
        <w:autoSpaceDE w:val="0"/>
        <w:autoSpaceDN w:val="0"/>
        <w:adjustRightInd w:val="0"/>
        <w:spacing w:after="0"/>
        <w:jc w:val="both"/>
        <w:rPr>
          <w:rFonts w:ascii="Arial" w:hAnsi="Arial" w:cs="Arial"/>
          <w:b/>
          <w:sz w:val="20"/>
          <w:szCs w:val="20"/>
        </w:rPr>
      </w:pPr>
    </w:p>
    <w:p w:rsidR="00D34524" w:rsidRPr="00602FDE" w:rsidRDefault="00C714B3" w:rsidP="00D34524">
      <w:pPr>
        <w:autoSpaceDE w:val="0"/>
        <w:autoSpaceDN w:val="0"/>
        <w:adjustRightInd w:val="0"/>
        <w:spacing w:after="0"/>
        <w:jc w:val="both"/>
        <w:rPr>
          <w:rFonts w:ascii="Arial" w:hAnsi="Arial" w:cs="Arial"/>
          <w:b/>
          <w:sz w:val="20"/>
          <w:szCs w:val="20"/>
        </w:rPr>
      </w:pPr>
      <w:r>
        <w:rPr>
          <w:rFonts w:ascii="Arial" w:hAnsi="Arial" w:cs="Arial"/>
          <w:b/>
          <w:sz w:val="20"/>
          <w:szCs w:val="20"/>
        </w:rPr>
        <w:t>9</w:t>
      </w:r>
      <w:r w:rsidR="00D34524">
        <w:rPr>
          <w:rFonts w:ascii="Arial" w:hAnsi="Arial" w:cs="Arial"/>
          <w:b/>
          <w:sz w:val="20"/>
          <w:szCs w:val="20"/>
        </w:rPr>
        <w:t xml:space="preserve">. </w:t>
      </w:r>
      <w:r w:rsidR="00D34524" w:rsidRPr="00602FDE">
        <w:rPr>
          <w:rFonts w:ascii="Arial" w:hAnsi="Arial" w:cs="Arial"/>
          <w:b/>
          <w:sz w:val="20"/>
          <w:szCs w:val="20"/>
        </w:rPr>
        <w:t>Representação da Lei nº 8.666/1993.</w:t>
      </w:r>
      <w:r w:rsidR="00D34524">
        <w:rPr>
          <w:rFonts w:ascii="Arial" w:hAnsi="Arial" w:cs="Arial"/>
          <w:b/>
          <w:sz w:val="20"/>
          <w:szCs w:val="20"/>
        </w:rPr>
        <w:t xml:space="preserve"> Princípio da isonomia. Caráter competitivo. Preferências incompatíveis. </w:t>
      </w:r>
    </w:p>
    <w:p w:rsidR="00B71476" w:rsidRDefault="00B71476" w:rsidP="00D34524">
      <w:pPr>
        <w:autoSpaceDE w:val="0"/>
        <w:autoSpaceDN w:val="0"/>
        <w:adjustRightInd w:val="0"/>
        <w:spacing w:after="0"/>
        <w:jc w:val="both"/>
        <w:rPr>
          <w:rFonts w:ascii="Arial" w:hAnsi="Arial" w:cs="Arial"/>
          <w:b/>
          <w:sz w:val="20"/>
          <w:szCs w:val="20"/>
        </w:rPr>
      </w:pPr>
    </w:p>
    <w:p w:rsidR="00D34524" w:rsidRPr="00001713" w:rsidRDefault="00C714B3" w:rsidP="00D34524">
      <w:pPr>
        <w:autoSpaceDE w:val="0"/>
        <w:autoSpaceDN w:val="0"/>
        <w:adjustRightInd w:val="0"/>
        <w:spacing w:after="0"/>
        <w:jc w:val="both"/>
        <w:rPr>
          <w:rFonts w:ascii="Arial" w:hAnsi="Arial" w:cs="Arial"/>
          <w:b/>
          <w:sz w:val="20"/>
          <w:szCs w:val="20"/>
        </w:rPr>
      </w:pPr>
      <w:r>
        <w:rPr>
          <w:rFonts w:ascii="Arial" w:hAnsi="Arial" w:cs="Arial"/>
          <w:b/>
          <w:sz w:val="20"/>
          <w:szCs w:val="20"/>
        </w:rPr>
        <w:t>10</w:t>
      </w:r>
      <w:r w:rsidR="00D34524">
        <w:rPr>
          <w:rFonts w:ascii="Arial" w:hAnsi="Arial" w:cs="Arial"/>
          <w:b/>
          <w:sz w:val="20"/>
          <w:szCs w:val="20"/>
        </w:rPr>
        <w:t xml:space="preserve">. </w:t>
      </w:r>
      <w:r w:rsidR="00D34524" w:rsidRPr="00001713">
        <w:rPr>
          <w:rFonts w:ascii="Arial" w:hAnsi="Arial" w:cs="Arial"/>
          <w:b/>
          <w:sz w:val="20"/>
          <w:szCs w:val="20"/>
        </w:rPr>
        <w:t xml:space="preserve">Representação </w:t>
      </w:r>
      <w:r w:rsidR="00D34524">
        <w:rPr>
          <w:rFonts w:ascii="Arial" w:hAnsi="Arial" w:cs="Arial"/>
          <w:b/>
          <w:sz w:val="20"/>
          <w:szCs w:val="20"/>
        </w:rPr>
        <w:t>d</w:t>
      </w:r>
      <w:r w:rsidR="00D34524" w:rsidRPr="00001713">
        <w:rPr>
          <w:rFonts w:ascii="Arial" w:hAnsi="Arial" w:cs="Arial"/>
          <w:b/>
          <w:sz w:val="20"/>
          <w:szCs w:val="20"/>
        </w:rPr>
        <w:t xml:space="preserve">a Lei </w:t>
      </w:r>
      <w:r w:rsidR="00D34524">
        <w:rPr>
          <w:rFonts w:ascii="Arial" w:hAnsi="Arial" w:cs="Arial"/>
          <w:b/>
          <w:sz w:val="20"/>
          <w:szCs w:val="20"/>
        </w:rPr>
        <w:t>n</w:t>
      </w:r>
      <w:r w:rsidR="00D34524" w:rsidRPr="00001713">
        <w:rPr>
          <w:rFonts w:ascii="Arial" w:hAnsi="Arial" w:cs="Arial"/>
          <w:b/>
          <w:sz w:val="20"/>
          <w:szCs w:val="20"/>
        </w:rPr>
        <w:t>º 8.666/1993</w:t>
      </w:r>
      <w:r w:rsidR="00D34524">
        <w:rPr>
          <w:rFonts w:ascii="Arial" w:hAnsi="Arial" w:cs="Arial"/>
          <w:b/>
          <w:sz w:val="20"/>
          <w:szCs w:val="20"/>
        </w:rPr>
        <w:t>. Princípio da legalidade. Formalidade excessiva. Interesse público. Proporcionalidade e razoabilidade.</w:t>
      </w:r>
    </w:p>
    <w:p w:rsidR="00B71476" w:rsidRDefault="00B71476" w:rsidP="00D34524">
      <w:pPr>
        <w:autoSpaceDE w:val="0"/>
        <w:autoSpaceDN w:val="0"/>
        <w:adjustRightInd w:val="0"/>
        <w:spacing w:after="0"/>
        <w:jc w:val="both"/>
        <w:rPr>
          <w:rFonts w:ascii="Arial" w:hAnsi="Arial" w:cs="Arial"/>
          <w:b/>
          <w:sz w:val="20"/>
          <w:szCs w:val="20"/>
        </w:rPr>
      </w:pPr>
    </w:p>
    <w:p w:rsidR="00D34524" w:rsidRPr="003A608A" w:rsidRDefault="00C714B3" w:rsidP="00D34524">
      <w:pPr>
        <w:autoSpaceDE w:val="0"/>
        <w:autoSpaceDN w:val="0"/>
        <w:adjustRightInd w:val="0"/>
        <w:spacing w:after="0"/>
        <w:jc w:val="both"/>
        <w:rPr>
          <w:rFonts w:ascii="Arial" w:hAnsi="Arial" w:cs="Arial"/>
          <w:b/>
          <w:sz w:val="20"/>
          <w:szCs w:val="20"/>
        </w:rPr>
      </w:pPr>
      <w:r>
        <w:rPr>
          <w:rFonts w:ascii="Arial" w:hAnsi="Arial" w:cs="Arial"/>
          <w:b/>
          <w:sz w:val="20"/>
          <w:szCs w:val="20"/>
        </w:rPr>
        <w:t>11</w:t>
      </w:r>
      <w:r w:rsidR="00D34524" w:rsidRPr="00B71476">
        <w:rPr>
          <w:rFonts w:ascii="Arial" w:hAnsi="Arial" w:cs="Arial"/>
          <w:b/>
          <w:sz w:val="20"/>
          <w:szCs w:val="20"/>
        </w:rPr>
        <w:t>. Prestação de Contas Anual. Prejulgado nº 6 TCE/PR. Contador. Cargo em comissão. Medidas para admissão.</w:t>
      </w:r>
    </w:p>
    <w:p w:rsidR="004429A2" w:rsidRPr="0022060B" w:rsidRDefault="004429A2" w:rsidP="00816942">
      <w:pPr>
        <w:spacing w:after="0"/>
        <w:jc w:val="both"/>
        <w:rPr>
          <w:rStyle w:val="Hyperlink"/>
          <w:rFonts w:ascii="Arial" w:hAnsi="Arial" w:cs="Arial"/>
          <w:b/>
          <w:color w:val="000000" w:themeColor="text1"/>
          <w:sz w:val="20"/>
          <w:szCs w:val="20"/>
          <w:u w:val="none"/>
        </w:rPr>
      </w:pPr>
    </w:p>
    <w:p w:rsidR="00712A93" w:rsidRPr="0022060B" w:rsidRDefault="00712A93" w:rsidP="00816942">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5F7E35" w:rsidRDefault="005F7E35" w:rsidP="00816942">
      <w:pPr>
        <w:autoSpaceDE w:val="0"/>
        <w:autoSpaceDN w:val="0"/>
        <w:adjustRightInd w:val="0"/>
        <w:spacing w:after="0"/>
        <w:jc w:val="both"/>
        <w:rPr>
          <w:rFonts w:ascii="Arial" w:hAnsi="Arial" w:cs="Arial"/>
          <w:sz w:val="20"/>
          <w:szCs w:val="20"/>
        </w:rPr>
      </w:pPr>
    </w:p>
    <w:p w:rsidR="00AF283F" w:rsidRPr="00B71476" w:rsidRDefault="0005225C" w:rsidP="00B71476">
      <w:pPr>
        <w:autoSpaceDE w:val="0"/>
        <w:autoSpaceDN w:val="0"/>
        <w:adjustRightInd w:val="0"/>
        <w:spacing w:after="0" w:line="240" w:lineRule="auto"/>
        <w:jc w:val="both"/>
        <w:rPr>
          <w:rFonts w:ascii="Arial" w:hAnsi="Arial" w:cs="Arial"/>
          <w:b/>
          <w:sz w:val="20"/>
          <w:szCs w:val="20"/>
        </w:rPr>
      </w:pPr>
      <w:r w:rsidRPr="00B71476">
        <w:rPr>
          <w:rFonts w:ascii="Arial" w:hAnsi="Arial" w:cs="Arial"/>
          <w:b/>
          <w:sz w:val="20"/>
          <w:szCs w:val="20"/>
        </w:rPr>
        <w:t xml:space="preserve">1. </w:t>
      </w:r>
      <w:r w:rsidR="00502265" w:rsidRPr="00B71476">
        <w:rPr>
          <w:rFonts w:ascii="Arial" w:hAnsi="Arial" w:cs="Arial"/>
          <w:b/>
          <w:sz w:val="20"/>
          <w:szCs w:val="20"/>
        </w:rPr>
        <w:t xml:space="preserve">Admissão de pessoal. Contratação temporária. </w:t>
      </w:r>
      <w:r w:rsidR="00502265" w:rsidRPr="0005225C">
        <w:rPr>
          <w:rFonts w:ascii="Arial" w:hAnsi="Arial" w:cs="Arial"/>
          <w:b/>
          <w:sz w:val="20"/>
          <w:szCs w:val="20"/>
        </w:rPr>
        <w:t>Lei Estadual 108/2005. Lei de Responsabilidade Fiscal.</w:t>
      </w:r>
    </w:p>
    <w:p w:rsidR="00B71476" w:rsidRDefault="00B71476" w:rsidP="00816942">
      <w:pPr>
        <w:autoSpaceDE w:val="0"/>
        <w:autoSpaceDN w:val="0"/>
        <w:adjustRightInd w:val="0"/>
        <w:spacing w:after="0"/>
        <w:jc w:val="both"/>
        <w:rPr>
          <w:rFonts w:ascii="Arial" w:hAnsi="Arial" w:cs="Arial"/>
          <w:sz w:val="20"/>
          <w:szCs w:val="20"/>
        </w:rPr>
      </w:pPr>
    </w:p>
    <w:p w:rsidR="00AF283F" w:rsidRPr="00AF283F" w:rsidRDefault="00AF283F" w:rsidP="00816942">
      <w:pPr>
        <w:autoSpaceDE w:val="0"/>
        <w:autoSpaceDN w:val="0"/>
        <w:adjustRightInd w:val="0"/>
        <w:spacing w:after="0"/>
        <w:jc w:val="both"/>
        <w:rPr>
          <w:rFonts w:ascii="Arial" w:hAnsi="Arial" w:cs="Arial"/>
          <w:sz w:val="20"/>
          <w:szCs w:val="20"/>
        </w:rPr>
      </w:pPr>
      <w:r w:rsidRPr="00AF283F">
        <w:rPr>
          <w:rFonts w:ascii="Arial" w:hAnsi="Arial" w:cs="Arial"/>
          <w:sz w:val="20"/>
          <w:szCs w:val="20"/>
        </w:rPr>
        <w:t xml:space="preserve">Estando as contratações temporárias pautadas nos termos da Lei Estadual 108/2005 e de acordo com os preceitos da Lei de Responsabilidade Fiscal, e desde que observados os limites para contratação de pessoal, </w:t>
      </w:r>
      <w:r w:rsidR="00E711F1">
        <w:rPr>
          <w:rFonts w:ascii="Arial" w:hAnsi="Arial" w:cs="Arial"/>
          <w:sz w:val="20"/>
          <w:szCs w:val="20"/>
        </w:rPr>
        <w:t>é</w:t>
      </w:r>
      <w:r w:rsidRPr="00AF283F">
        <w:rPr>
          <w:rFonts w:ascii="Arial" w:hAnsi="Arial" w:cs="Arial"/>
          <w:sz w:val="20"/>
          <w:szCs w:val="20"/>
        </w:rPr>
        <w:t xml:space="preserve"> </w:t>
      </w:r>
      <w:r w:rsidR="00E711F1">
        <w:rPr>
          <w:rFonts w:ascii="Arial" w:hAnsi="Arial" w:cs="Arial"/>
          <w:sz w:val="20"/>
          <w:szCs w:val="20"/>
        </w:rPr>
        <w:t>possível o registro de contratações sazonais</w:t>
      </w:r>
      <w:r w:rsidRPr="00AF283F">
        <w:rPr>
          <w:rFonts w:ascii="Arial" w:hAnsi="Arial" w:cs="Arial"/>
          <w:sz w:val="20"/>
          <w:szCs w:val="20"/>
        </w:rPr>
        <w:t>.</w:t>
      </w:r>
    </w:p>
    <w:p w:rsidR="00B71476" w:rsidRDefault="00B71476" w:rsidP="00816942">
      <w:pPr>
        <w:autoSpaceDE w:val="0"/>
        <w:autoSpaceDN w:val="0"/>
        <w:adjustRightInd w:val="0"/>
        <w:spacing w:after="0"/>
        <w:jc w:val="both"/>
        <w:rPr>
          <w:rFonts w:ascii="Arial" w:hAnsi="Arial" w:cs="Arial"/>
          <w:sz w:val="20"/>
          <w:szCs w:val="20"/>
        </w:rPr>
      </w:pPr>
    </w:p>
    <w:p w:rsidR="00AF283F" w:rsidRDefault="00AF283F" w:rsidP="00816942">
      <w:pPr>
        <w:autoSpaceDE w:val="0"/>
        <w:autoSpaceDN w:val="0"/>
        <w:adjustRightInd w:val="0"/>
        <w:spacing w:after="0"/>
        <w:jc w:val="both"/>
        <w:rPr>
          <w:rFonts w:ascii="Arial" w:hAnsi="Arial" w:cs="Arial"/>
          <w:sz w:val="20"/>
          <w:szCs w:val="20"/>
        </w:rPr>
      </w:pPr>
      <w:r>
        <w:rPr>
          <w:rFonts w:ascii="Arial" w:hAnsi="Arial" w:cs="Arial"/>
          <w:sz w:val="20"/>
          <w:szCs w:val="20"/>
        </w:rPr>
        <w:t>Processo nº 59619/16</w:t>
      </w:r>
      <w:r w:rsidR="000714F4">
        <w:rPr>
          <w:rFonts w:ascii="Arial" w:hAnsi="Arial" w:cs="Arial"/>
          <w:sz w:val="20"/>
          <w:szCs w:val="20"/>
        </w:rPr>
        <w:t xml:space="preserve"> -</w:t>
      </w:r>
      <w:r>
        <w:rPr>
          <w:rFonts w:ascii="Arial" w:hAnsi="Arial" w:cs="Arial"/>
          <w:sz w:val="20"/>
          <w:szCs w:val="20"/>
        </w:rPr>
        <w:t xml:space="preserve"> </w:t>
      </w:r>
      <w:hyperlink r:id="rId8" w:history="1">
        <w:r w:rsidRPr="00203401">
          <w:rPr>
            <w:rStyle w:val="Hyperlink"/>
            <w:rFonts w:ascii="Arial" w:hAnsi="Arial" w:cs="Arial"/>
            <w:sz w:val="20"/>
            <w:szCs w:val="20"/>
          </w:rPr>
          <w:t xml:space="preserve">Acórdão 4837/17 </w:t>
        </w:r>
        <w:r w:rsidR="000E5474">
          <w:rPr>
            <w:rStyle w:val="Hyperlink"/>
            <w:rFonts w:ascii="Arial" w:hAnsi="Arial" w:cs="Arial"/>
            <w:sz w:val="20"/>
            <w:szCs w:val="20"/>
          </w:rPr>
          <w:t>–</w:t>
        </w:r>
        <w:r w:rsidRPr="00203401">
          <w:rPr>
            <w:rStyle w:val="Hyperlink"/>
            <w:rFonts w:ascii="Arial" w:hAnsi="Arial" w:cs="Arial"/>
            <w:sz w:val="20"/>
            <w:szCs w:val="20"/>
          </w:rPr>
          <w:t xml:space="preserve"> </w:t>
        </w:r>
        <w:r w:rsidR="000E5474">
          <w:rPr>
            <w:rStyle w:val="Hyperlink"/>
            <w:rFonts w:ascii="Arial" w:hAnsi="Arial" w:cs="Arial"/>
            <w:sz w:val="20"/>
            <w:szCs w:val="20"/>
          </w:rPr>
          <w:t>Primeira Câmara</w:t>
        </w:r>
      </w:hyperlink>
      <w:r w:rsidR="000714F4">
        <w:rPr>
          <w:rStyle w:val="Hyperlink"/>
          <w:rFonts w:ascii="Arial" w:hAnsi="Arial" w:cs="Arial"/>
          <w:sz w:val="20"/>
          <w:szCs w:val="20"/>
        </w:rPr>
        <w:t xml:space="preserve"> </w:t>
      </w:r>
      <w:r w:rsidR="000714F4" w:rsidRPr="000714F4">
        <w:rPr>
          <w:rStyle w:val="Hyperlink"/>
          <w:rFonts w:ascii="Arial" w:hAnsi="Arial" w:cs="Arial"/>
          <w:sz w:val="20"/>
          <w:szCs w:val="20"/>
          <w:u w:val="none"/>
        </w:rPr>
        <w:t>-</w:t>
      </w:r>
      <w:r>
        <w:rPr>
          <w:rFonts w:ascii="Arial" w:hAnsi="Arial" w:cs="Arial"/>
          <w:sz w:val="20"/>
          <w:szCs w:val="20"/>
        </w:rPr>
        <w:t xml:space="preserve"> Relator </w:t>
      </w:r>
      <w:r w:rsidRPr="00AF283F">
        <w:rPr>
          <w:rFonts w:ascii="Arial" w:hAnsi="Arial" w:cs="Arial"/>
          <w:sz w:val="20"/>
          <w:szCs w:val="20"/>
        </w:rPr>
        <w:t>Conselheiro Fernando Augusto Mello Guimarães.</w:t>
      </w:r>
    </w:p>
    <w:p w:rsidR="004429A2" w:rsidRPr="0022060B" w:rsidRDefault="004429A2" w:rsidP="00816942">
      <w:pPr>
        <w:autoSpaceDE w:val="0"/>
        <w:autoSpaceDN w:val="0"/>
        <w:adjustRightInd w:val="0"/>
        <w:spacing w:after="0"/>
        <w:jc w:val="both"/>
        <w:rPr>
          <w:rFonts w:ascii="Arial" w:hAnsi="Arial" w:cs="Arial"/>
          <w:sz w:val="20"/>
          <w:szCs w:val="20"/>
        </w:rPr>
      </w:pPr>
    </w:p>
    <w:p w:rsidR="00EC3842" w:rsidRPr="0022060B" w:rsidRDefault="00EC3842" w:rsidP="00816942">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785DB0" w:rsidRDefault="00785DB0" w:rsidP="00816942">
      <w:pPr>
        <w:autoSpaceDE w:val="0"/>
        <w:autoSpaceDN w:val="0"/>
        <w:adjustRightInd w:val="0"/>
        <w:spacing w:after="0"/>
        <w:rPr>
          <w:rFonts w:ascii="Arial" w:hAnsi="Arial" w:cs="Arial"/>
          <w:sz w:val="20"/>
          <w:szCs w:val="20"/>
        </w:rPr>
      </w:pPr>
    </w:p>
    <w:p w:rsidR="00C714B3" w:rsidRPr="00F005FD" w:rsidRDefault="00C714B3" w:rsidP="00C714B3">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2. </w:t>
      </w:r>
      <w:r w:rsidRPr="00F005FD">
        <w:rPr>
          <w:rFonts w:ascii="Arial" w:hAnsi="Arial" w:cs="Arial"/>
          <w:b/>
          <w:sz w:val="20"/>
          <w:szCs w:val="20"/>
        </w:rPr>
        <w:t xml:space="preserve">Prestação de Contas. Transferência voluntária. Utilização de instituição financeira não oficial. Ausência de indícios de dano. Ressalva. </w:t>
      </w:r>
    </w:p>
    <w:p w:rsidR="00C714B3" w:rsidRDefault="00C714B3" w:rsidP="00C714B3">
      <w:pPr>
        <w:autoSpaceDE w:val="0"/>
        <w:autoSpaceDN w:val="0"/>
        <w:adjustRightInd w:val="0"/>
        <w:spacing w:after="0"/>
        <w:jc w:val="both"/>
        <w:rPr>
          <w:rFonts w:ascii="Arial" w:hAnsi="Arial" w:cs="Arial"/>
          <w:sz w:val="20"/>
          <w:szCs w:val="20"/>
        </w:rPr>
      </w:pPr>
    </w:p>
    <w:p w:rsidR="00C714B3" w:rsidRDefault="00C714B3" w:rsidP="00C714B3">
      <w:pPr>
        <w:autoSpaceDE w:val="0"/>
        <w:autoSpaceDN w:val="0"/>
        <w:adjustRightInd w:val="0"/>
        <w:spacing w:after="0"/>
        <w:jc w:val="both"/>
        <w:rPr>
          <w:rFonts w:ascii="Arial" w:hAnsi="Arial" w:cs="Arial"/>
          <w:sz w:val="20"/>
          <w:szCs w:val="20"/>
        </w:rPr>
      </w:pPr>
      <w:r>
        <w:rPr>
          <w:rFonts w:ascii="Arial" w:hAnsi="Arial" w:cs="Arial"/>
          <w:sz w:val="20"/>
          <w:szCs w:val="20"/>
        </w:rPr>
        <w:t xml:space="preserve">Na prestação de contas de repasses efetuados por Município à entidade esportiva, visando o incentivo do esporte mediante escolinhas de futebol e futsal, constatou-se a utilização de conta bancária aberta em banco não oficial. </w:t>
      </w:r>
    </w:p>
    <w:p w:rsidR="00C714B3" w:rsidRDefault="00C714B3" w:rsidP="00C714B3">
      <w:pPr>
        <w:autoSpaceDE w:val="0"/>
        <w:autoSpaceDN w:val="0"/>
        <w:adjustRightInd w:val="0"/>
        <w:spacing w:after="0"/>
        <w:jc w:val="both"/>
        <w:rPr>
          <w:rFonts w:ascii="Arial" w:hAnsi="Arial" w:cs="Arial"/>
          <w:sz w:val="20"/>
          <w:szCs w:val="20"/>
        </w:rPr>
      </w:pPr>
      <w:r>
        <w:rPr>
          <w:rFonts w:ascii="Arial" w:hAnsi="Arial" w:cs="Arial"/>
          <w:sz w:val="20"/>
          <w:szCs w:val="20"/>
        </w:rPr>
        <w:t xml:space="preserve">Em sua proposta de voto, o Relator, acompanhado unanimemente pelo Colegiado, entendeu que a abertura de conta bancária em instituição financeira não oficial é passível de ressalva vez que não vislumbrados indícios de danos à execução do objeto conveniado em decorrência de tal impropriedade. </w:t>
      </w:r>
    </w:p>
    <w:p w:rsidR="00C714B3" w:rsidRDefault="00C714B3" w:rsidP="00C714B3">
      <w:pPr>
        <w:spacing w:after="120"/>
        <w:jc w:val="both"/>
        <w:rPr>
          <w:rFonts w:ascii="Arial" w:hAnsi="Arial" w:cs="Arial"/>
          <w:sz w:val="20"/>
          <w:szCs w:val="20"/>
        </w:rPr>
      </w:pPr>
    </w:p>
    <w:p w:rsidR="00C714B3" w:rsidRDefault="00C714B3" w:rsidP="00C714B3">
      <w:pPr>
        <w:spacing w:after="120"/>
        <w:jc w:val="both"/>
        <w:rPr>
          <w:rFonts w:ascii="Arial" w:hAnsi="Arial" w:cs="Arial"/>
          <w:sz w:val="20"/>
          <w:szCs w:val="20"/>
        </w:rPr>
      </w:pPr>
      <w:r>
        <w:rPr>
          <w:rFonts w:ascii="Arial" w:hAnsi="Arial" w:cs="Arial"/>
          <w:sz w:val="20"/>
          <w:szCs w:val="20"/>
        </w:rPr>
        <w:t xml:space="preserve">Processo nº 227533/14 – </w:t>
      </w:r>
      <w:hyperlink r:id="rId9" w:history="1">
        <w:r w:rsidRPr="00593D70">
          <w:rPr>
            <w:rStyle w:val="Hyperlink"/>
            <w:rFonts w:ascii="Arial" w:hAnsi="Arial" w:cs="Arial"/>
            <w:sz w:val="20"/>
            <w:szCs w:val="20"/>
          </w:rPr>
          <w:t>Acórdão nº 4963/17-2ª Câmara</w:t>
        </w:r>
      </w:hyperlink>
      <w:r>
        <w:rPr>
          <w:rFonts w:ascii="Arial" w:hAnsi="Arial" w:cs="Arial"/>
          <w:sz w:val="20"/>
          <w:szCs w:val="20"/>
        </w:rPr>
        <w:t xml:space="preserve"> – Relator Conselheiro Ivan </w:t>
      </w:r>
      <w:proofErr w:type="spellStart"/>
      <w:r>
        <w:rPr>
          <w:rFonts w:ascii="Arial" w:hAnsi="Arial" w:cs="Arial"/>
          <w:sz w:val="20"/>
          <w:szCs w:val="20"/>
        </w:rPr>
        <w:t>Lelis</w:t>
      </w:r>
      <w:proofErr w:type="spellEnd"/>
      <w:r>
        <w:rPr>
          <w:rFonts w:ascii="Arial" w:hAnsi="Arial" w:cs="Arial"/>
          <w:sz w:val="20"/>
          <w:szCs w:val="20"/>
        </w:rPr>
        <w:t xml:space="preserve"> Bonilha. </w:t>
      </w:r>
    </w:p>
    <w:p w:rsidR="00C714B3" w:rsidRDefault="00C714B3" w:rsidP="00C714B3">
      <w:pPr>
        <w:autoSpaceDE w:val="0"/>
        <w:autoSpaceDN w:val="0"/>
        <w:adjustRightInd w:val="0"/>
        <w:spacing w:after="0"/>
        <w:jc w:val="both"/>
        <w:rPr>
          <w:rFonts w:ascii="Arial" w:hAnsi="Arial" w:cs="Arial"/>
          <w:b/>
          <w:sz w:val="20"/>
          <w:szCs w:val="20"/>
        </w:rPr>
      </w:pPr>
    </w:p>
    <w:p w:rsidR="00C714B3" w:rsidRPr="00C714B3" w:rsidRDefault="00C714B3" w:rsidP="00C714B3">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3. </w:t>
      </w:r>
      <w:r w:rsidRPr="00E05F2D">
        <w:rPr>
          <w:rFonts w:ascii="Arial" w:hAnsi="Arial" w:cs="Arial"/>
          <w:b/>
          <w:sz w:val="20"/>
          <w:szCs w:val="20"/>
        </w:rPr>
        <w:t>Prestação de Contas Municipal. Controlador Interno. Ausência de atualização de cadastro. Ressalva</w:t>
      </w:r>
      <w:r w:rsidRPr="00C714B3">
        <w:rPr>
          <w:rFonts w:ascii="Arial" w:hAnsi="Arial" w:cs="Arial"/>
          <w:b/>
          <w:sz w:val="20"/>
          <w:szCs w:val="20"/>
        </w:rPr>
        <w:t xml:space="preserve">.  </w:t>
      </w:r>
    </w:p>
    <w:p w:rsidR="00C714B3" w:rsidRDefault="00C714B3" w:rsidP="00C714B3">
      <w:pPr>
        <w:autoSpaceDE w:val="0"/>
        <w:autoSpaceDN w:val="0"/>
        <w:adjustRightInd w:val="0"/>
        <w:spacing w:after="0"/>
        <w:jc w:val="both"/>
        <w:rPr>
          <w:rFonts w:ascii="Arial" w:hAnsi="Arial" w:cs="Arial"/>
          <w:sz w:val="20"/>
          <w:szCs w:val="20"/>
        </w:rPr>
      </w:pPr>
    </w:p>
    <w:p w:rsidR="00C714B3" w:rsidRDefault="00C714B3" w:rsidP="00C714B3">
      <w:pPr>
        <w:autoSpaceDE w:val="0"/>
        <w:autoSpaceDN w:val="0"/>
        <w:adjustRightInd w:val="0"/>
        <w:spacing w:after="0"/>
        <w:jc w:val="both"/>
        <w:rPr>
          <w:rFonts w:ascii="Arial" w:hAnsi="Arial" w:cs="Arial"/>
          <w:sz w:val="20"/>
          <w:szCs w:val="20"/>
        </w:rPr>
      </w:pPr>
      <w:r>
        <w:rPr>
          <w:rFonts w:ascii="Arial" w:hAnsi="Arial" w:cs="Arial"/>
          <w:sz w:val="20"/>
          <w:szCs w:val="20"/>
        </w:rPr>
        <w:t xml:space="preserve">Ausência de atualização do responsável pelo Controle Interno nos sistemas informatizados desta Corte de Contas, porém com demonstração da regular nomeação do servidor e superveniente regularização do cadastro para os exercícios financeiros posteriores, permitiu considerar a falha como ressalva nas contas de Câmara Municipal atinente ao exercício financeiro de 2013.  </w:t>
      </w:r>
    </w:p>
    <w:p w:rsidR="00C714B3" w:rsidRDefault="00C714B3" w:rsidP="00C714B3">
      <w:pPr>
        <w:autoSpaceDE w:val="0"/>
        <w:autoSpaceDN w:val="0"/>
        <w:adjustRightInd w:val="0"/>
        <w:spacing w:after="0"/>
        <w:jc w:val="both"/>
        <w:rPr>
          <w:rFonts w:ascii="Arial" w:hAnsi="Arial" w:cs="Arial"/>
          <w:sz w:val="20"/>
          <w:szCs w:val="20"/>
        </w:rPr>
      </w:pPr>
      <w:r>
        <w:rPr>
          <w:rFonts w:ascii="Arial" w:hAnsi="Arial" w:cs="Arial"/>
          <w:sz w:val="20"/>
          <w:szCs w:val="20"/>
        </w:rPr>
        <w:t xml:space="preserve">As contas foram julgadas regulares com ressalva, conforme proposta de voto do relator, aprovada de forma unânime. </w:t>
      </w:r>
    </w:p>
    <w:p w:rsidR="00C714B3" w:rsidRDefault="00C714B3" w:rsidP="00C714B3">
      <w:pPr>
        <w:autoSpaceDE w:val="0"/>
        <w:autoSpaceDN w:val="0"/>
        <w:adjustRightInd w:val="0"/>
        <w:spacing w:after="0"/>
        <w:jc w:val="both"/>
        <w:rPr>
          <w:rFonts w:ascii="Arial" w:hAnsi="Arial" w:cs="Arial"/>
          <w:sz w:val="20"/>
          <w:szCs w:val="20"/>
        </w:rPr>
      </w:pPr>
    </w:p>
    <w:p w:rsidR="00C714B3" w:rsidRDefault="00C714B3" w:rsidP="00C714B3">
      <w:pPr>
        <w:spacing w:after="120"/>
        <w:jc w:val="both"/>
        <w:rPr>
          <w:rFonts w:ascii="Arial" w:hAnsi="Arial" w:cs="Arial"/>
          <w:sz w:val="20"/>
          <w:szCs w:val="20"/>
        </w:rPr>
      </w:pPr>
      <w:r>
        <w:rPr>
          <w:rFonts w:ascii="Arial" w:hAnsi="Arial" w:cs="Arial"/>
          <w:sz w:val="20"/>
          <w:szCs w:val="20"/>
        </w:rPr>
        <w:t xml:space="preserve">Processo nº 26618-0/14 – </w:t>
      </w:r>
      <w:hyperlink r:id="rId10" w:history="1">
        <w:r w:rsidRPr="00593D70">
          <w:rPr>
            <w:rStyle w:val="Hyperlink"/>
            <w:rFonts w:ascii="Arial" w:hAnsi="Arial" w:cs="Arial"/>
            <w:sz w:val="20"/>
            <w:szCs w:val="20"/>
          </w:rPr>
          <w:t>Acórdão nº 4980/17-2ª Câmara</w:t>
        </w:r>
      </w:hyperlink>
      <w:r>
        <w:rPr>
          <w:rFonts w:ascii="Arial" w:hAnsi="Arial" w:cs="Arial"/>
          <w:sz w:val="20"/>
          <w:szCs w:val="20"/>
        </w:rPr>
        <w:t xml:space="preserve"> – Relator Conselheiro Ivens Zschoerper Linhares.  </w:t>
      </w:r>
    </w:p>
    <w:p w:rsidR="00C714B3" w:rsidRDefault="00C714B3" w:rsidP="00C714B3">
      <w:pPr>
        <w:autoSpaceDE w:val="0"/>
        <w:autoSpaceDN w:val="0"/>
        <w:adjustRightInd w:val="0"/>
        <w:spacing w:after="0" w:line="240" w:lineRule="auto"/>
        <w:jc w:val="both"/>
        <w:rPr>
          <w:rFonts w:ascii="Arial" w:hAnsi="Arial" w:cs="Arial"/>
          <w:b/>
          <w:sz w:val="20"/>
          <w:szCs w:val="20"/>
        </w:rPr>
      </w:pPr>
    </w:p>
    <w:p w:rsidR="00C714B3" w:rsidRPr="00F25277" w:rsidRDefault="00C714B3" w:rsidP="00C714B3">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4. </w:t>
      </w:r>
      <w:r w:rsidRPr="00F25277">
        <w:rPr>
          <w:rFonts w:ascii="Arial" w:hAnsi="Arial" w:cs="Arial"/>
          <w:b/>
          <w:sz w:val="20"/>
          <w:szCs w:val="20"/>
        </w:rPr>
        <w:t xml:space="preserve">Prestação de Contas. Prefeito Municipal. Parecer Prévio que recomenda a irregularidades das contas. Extrapolação do índice de despesas com pessoal. Não retorno ao limite. </w:t>
      </w:r>
    </w:p>
    <w:p w:rsidR="00C714B3" w:rsidRPr="00F25277" w:rsidRDefault="00C714B3" w:rsidP="00C714B3">
      <w:pPr>
        <w:spacing w:after="120"/>
        <w:jc w:val="both"/>
        <w:rPr>
          <w:rFonts w:ascii="Arial" w:hAnsi="Arial" w:cs="Arial"/>
          <w:b/>
          <w:sz w:val="20"/>
          <w:szCs w:val="20"/>
        </w:rPr>
      </w:pPr>
    </w:p>
    <w:p w:rsidR="00C714B3" w:rsidRDefault="00C714B3" w:rsidP="00C714B3">
      <w:pPr>
        <w:autoSpaceDE w:val="0"/>
        <w:autoSpaceDN w:val="0"/>
        <w:adjustRightInd w:val="0"/>
        <w:spacing w:after="0"/>
        <w:jc w:val="both"/>
        <w:rPr>
          <w:rFonts w:ascii="Arial" w:hAnsi="Arial" w:cs="Arial"/>
          <w:sz w:val="20"/>
          <w:szCs w:val="20"/>
        </w:rPr>
      </w:pPr>
      <w:r>
        <w:rPr>
          <w:rFonts w:ascii="Arial" w:hAnsi="Arial" w:cs="Arial"/>
          <w:sz w:val="20"/>
          <w:szCs w:val="20"/>
        </w:rPr>
        <w:t xml:space="preserve">Entre os apontamentos de irregularidades que ocasionaram a emissão de Parecer Prévio pela irregularidade das contas de Poder Executivo Municipal, encontra-se a realização de despesas de pessoal acima dos limites fixados pela Lei de Responsabilidade Fiscal e não regularizados no prazo legal. </w:t>
      </w:r>
    </w:p>
    <w:p w:rsidR="00C714B3" w:rsidRDefault="00C714B3" w:rsidP="00C714B3">
      <w:pPr>
        <w:autoSpaceDE w:val="0"/>
        <w:autoSpaceDN w:val="0"/>
        <w:adjustRightInd w:val="0"/>
        <w:spacing w:after="0"/>
        <w:jc w:val="both"/>
        <w:rPr>
          <w:rFonts w:ascii="Arial" w:hAnsi="Arial" w:cs="Arial"/>
          <w:sz w:val="20"/>
          <w:szCs w:val="20"/>
        </w:rPr>
      </w:pPr>
      <w:r>
        <w:rPr>
          <w:rFonts w:ascii="Arial" w:hAnsi="Arial" w:cs="Arial"/>
          <w:sz w:val="20"/>
          <w:szCs w:val="20"/>
        </w:rPr>
        <w:t>O Município não retornou ao limite no prazo estabelecido pelo referido Diploma Legal. Descumpriu os limites e prazos previstos nos artigos 19, 20 e 23 da LRF.</w:t>
      </w:r>
    </w:p>
    <w:p w:rsidR="00C714B3" w:rsidRDefault="00C714B3" w:rsidP="00C714B3">
      <w:pPr>
        <w:autoSpaceDE w:val="0"/>
        <w:autoSpaceDN w:val="0"/>
        <w:adjustRightInd w:val="0"/>
        <w:spacing w:after="0"/>
        <w:jc w:val="both"/>
        <w:rPr>
          <w:rFonts w:ascii="Arial" w:hAnsi="Arial" w:cs="Arial"/>
          <w:sz w:val="20"/>
          <w:szCs w:val="20"/>
        </w:rPr>
      </w:pPr>
      <w:r>
        <w:rPr>
          <w:rFonts w:ascii="Arial" w:hAnsi="Arial" w:cs="Arial"/>
          <w:sz w:val="20"/>
          <w:szCs w:val="20"/>
        </w:rPr>
        <w:t xml:space="preserve">Ressaltou-se que a instrução processual sugere a inércia da Administração Pública em adotar medidas eficientes e eficazes na tentativa de reduzir os percentuais apresentados, segundo mecanismos previstos e recomendados pela Lei de Responsabilidade Fiscal. </w:t>
      </w:r>
    </w:p>
    <w:p w:rsidR="00C714B3" w:rsidRDefault="00C714B3" w:rsidP="00C714B3">
      <w:pPr>
        <w:spacing w:after="120"/>
        <w:jc w:val="both"/>
        <w:rPr>
          <w:rFonts w:ascii="Arial" w:hAnsi="Arial" w:cs="Arial"/>
          <w:sz w:val="20"/>
          <w:szCs w:val="20"/>
        </w:rPr>
      </w:pPr>
    </w:p>
    <w:p w:rsidR="00C714B3" w:rsidRDefault="00C714B3" w:rsidP="00C714B3">
      <w:pPr>
        <w:spacing w:after="120"/>
        <w:jc w:val="both"/>
        <w:rPr>
          <w:rFonts w:ascii="Arial" w:hAnsi="Arial" w:cs="Arial"/>
          <w:sz w:val="20"/>
          <w:szCs w:val="20"/>
        </w:rPr>
      </w:pPr>
      <w:r>
        <w:rPr>
          <w:rFonts w:ascii="Arial" w:hAnsi="Arial" w:cs="Arial"/>
          <w:sz w:val="20"/>
          <w:szCs w:val="20"/>
        </w:rPr>
        <w:t xml:space="preserve">Processo nº  180712/16 -  </w:t>
      </w:r>
      <w:hyperlink r:id="rId11" w:history="1">
        <w:r w:rsidRPr="00CE4890">
          <w:rPr>
            <w:rStyle w:val="Hyperlink"/>
            <w:rFonts w:ascii="Arial" w:hAnsi="Arial" w:cs="Arial"/>
            <w:sz w:val="20"/>
            <w:szCs w:val="20"/>
          </w:rPr>
          <w:t>Acórdão de Parecer Prévio nº 582/17-2ª Câmara</w:t>
        </w:r>
      </w:hyperlink>
      <w:r>
        <w:rPr>
          <w:rFonts w:ascii="Arial" w:hAnsi="Arial" w:cs="Arial"/>
          <w:sz w:val="20"/>
          <w:szCs w:val="20"/>
        </w:rPr>
        <w:t xml:space="preserve"> – Relator Conselheiro Ivens Zschoerper Linhares. </w:t>
      </w:r>
    </w:p>
    <w:p w:rsidR="00C714B3" w:rsidRDefault="00C714B3" w:rsidP="00544EE4">
      <w:pPr>
        <w:autoSpaceDE w:val="0"/>
        <w:autoSpaceDN w:val="0"/>
        <w:adjustRightInd w:val="0"/>
        <w:spacing w:after="0" w:line="240" w:lineRule="auto"/>
        <w:jc w:val="both"/>
        <w:rPr>
          <w:rFonts w:ascii="Arial" w:hAnsi="Arial" w:cs="Arial"/>
          <w:b/>
          <w:sz w:val="20"/>
          <w:szCs w:val="20"/>
        </w:rPr>
      </w:pPr>
    </w:p>
    <w:p w:rsidR="00544EE4" w:rsidRPr="005910E8" w:rsidRDefault="00C714B3" w:rsidP="00544EE4">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5</w:t>
      </w:r>
      <w:r w:rsidR="0005225C">
        <w:rPr>
          <w:rFonts w:ascii="Arial" w:hAnsi="Arial" w:cs="Arial"/>
          <w:b/>
          <w:sz w:val="20"/>
          <w:szCs w:val="20"/>
        </w:rPr>
        <w:t xml:space="preserve">. </w:t>
      </w:r>
      <w:r w:rsidR="00544EE4" w:rsidRPr="005910E8">
        <w:rPr>
          <w:rFonts w:ascii="Arial" w:hAnsi="Arial" w:cs="Arial"/>
          <w:b/>
          <w:sz w:val="20"/>
          <w:szCs w:val="20"/>
        </w:rPr>
        <w:t>Admissão de Pessoal. C</w:t>
      </w:r>
      <w:r w:rsidR="005910E8">
        <w:rPr>
          <w:rFonts w:ascii="Arial" w:hAnsi="Arial" w:cs="Arial"/>
          <w:b/>
          <w:sz w:val="20"/>
          <w:szCs w:val="20"/>
        </w:rPr>
        <w:t>oncurso P</w:t>
      </w:r>
      <w:r w:rsidR="00544EE4" w:rsidRPr="005910E8">
        <w:rPr>
          <w:rFonts w:ascii="Arial" w:hAnsi="Arial" w:cs="Arial"/>
          <w:b/>
          <w:sz w:val="20"/>
          <w:szCs w:val="20"/>
        </w:rPr>
        <w:t xml:space="preserve">úblico. </w:t>
      </w:r>
      <w:r w:rsidR="005910E8">
        <w:rPr>
          <w:rFonts w:ascii="Arial" w:hAnsi="Arial" w:cs="Arial"/>
          <w:b/>
          <w:sz w:val="20"/>
          <w:szCs w:val="20"/>
        </w:rPr>
        <w:t>Legalidade e Registro das A</w:t>
      </w:r>
      <w:r w:rsidR="00544EE4" w:rsidRPr="005910E8">
        <w:rPr>
          <w:rFonts w:ascii="Arial" w:hAnsi="Arial" w:cs="Arial"/>
          <w:b/>
          <w:sz w:val="20"/>
          <w:szCs w:val="20"/>
        </w:rPr>
        <w:t xml:space="preserve">dmissões. </w:t>
      </w:r>
      <w:r w:rsidR="00503FEF" w:rsidRPr="005910E8">
        <w:rPr>
          <w:rFonts w:ascii="Arial" w:hAnsi="Arial" w:cs="Arial"/>
          <w:b/>
          <w:sz w:val="20"/>
          <w:szCs w:val="20"/>
        </w:rPr>
        <w:t xml:space="preserve">Modalidade </w:t>
      </w:r>
      <w:r w:rsidR="005910E8">
        <w:rPr>
          <w:rFonts w:ascii="Arial" w:hAnsi="Arial" w:cs="Arial"/>
          <w:b/>
          <w:sz w:val="20"/>
          <w:szCs w:val="20"/>
        </w:rPr>
        <w:t>e Tipo de Licitação E</w:t>
      </w:r>
      <w:r w:rsidR="00544EE4" w:rsidRPr="005910E8">
        <w:rPr>
          <w:rFonts w:ascii="Arial" w:hAnsi="Arial" w:cs="Arial"/>
          <w:b/>
          <w:sz w:val="20"/>
          <w:szCs w:val="20"/>
        </w:rPr>
        <w:t>scolhida. Determinaç</w:t>
      </w:r>
      <w:r w:rsidR="00503FEF" w:rsidRPr="005910E8">
        <w:rPr>
          <w:rFonts w:ascii="Arial" w:hAnsi="Arial" w:cs="Arial"/>
          <w:b/>
          <w:sz w:val="20"/>
          <w:szCs w:val="20"/>
        </w:rPr>
        <w:t xml:space="preserve">ão. </w:t>
      </w:r>
    </w:p>
    <w:p w:rsidR="00544EE4" w:rsidRDefault="00544EE4" w:rsidP="009B7A76">
      <w:pPr>
        <w:autoSpaceDE w:val="0"/>
        <w:autoSpaceDN w:val="0"/>
        <w:adjustRightInd w:val="0"/>
        <w:spacing w:after="0" w:line="240" w:lineRule="auto"/>
        <w:jc w:val="both"/>
        <w:rPr>
          <w:rFonts w:ascii="Arial" w:hAnsi="Arial" w:cs="Arial"/>
          <w:sz w:val="20"/>
          <w:szCs w:val="20"/>
        </w:rPr>
      </w:pPr>
    </w:p>
    <w:p w:rsidR="006D158F" w:rsidRDefault="009B7A76" w:rsidP="00F34765">
      <w:pPr>
        <w:autoSpaceDE w:val="0"/>
        <w:autoSpaceDN w:val="0"/>
        <w:adjustRightInd w:val="0"/>
        <w:spacing w:after="0"/>
        <w:jc w:val="both"/>
        <w:rPr>
          <w:rFonts w:ascii="Arial" w:hAnsi="Arial" w:cs="Arial"/>
          <w:sz w:val="20"/>
          <w:szCs w:val="20"/>
        </w:rPr>
      </w:pPr>
      <w:r w:rsidRPr="009B7A76">
        <w:rPr>
          <w:rFonts w:ascii="Arial" w:hAnsi="Arial" w:cs="Arial"/>
          <w:sz w:val="20"/>
          <w:szCs w:val="20"/>
        </w:rPr>
        <w:t>No que diz respeito à modalidade licitatória escolhida pelo Município,</w:t>
      </w:r>
      <w:r>
        <w:rPr>
          <w:rFonts w:ascii="Arial" w:hAnsi="Arial" w:cs="Arial"/>
          <w:sz w:val="20"/>
          <w:szCs w:val="20"/>
        </w:rPr>
        <w:t xml:space="preserve"> </w:t>
      </w:r>
      <w:r w:rsidRPr="00C714B3">
        <w:rPr>
          <w:rFonts w:ascii="Arial" w:hAnsi="Arial" w:cs="Arial"/>
          <w:sz w:val="20"/>
          <w:szCs w:val="20"/>
        </w:rPr>
        <w:t xml:space="preserve">in </w:t>
      </w:r>
      <w:proofErr w:type="spellStart"/>
      <w:r w:rsidRPr="00C714B3">
        <w:rPr>
          <w:rFonts w:ascii="Arial" w:hAnsi="Arial" w:cs="Arial"/>
          <w:sz w:val="20"/>
          <w:szCs w:val="20"/>
        </w:rPr>
        <w:t>casu</w:t>
      </w:r>
      <w:proofErr w:type="spellEnd"/>
      <w:r w:rsidRPr="00C714B3">
        <w:rPr>
          <w:rFonts w:ascii="Arial" w:hAnsi="Arial" w:cs="Arial"/>
          <w:sz w:val="20"/>
          <w:szCs w:val="20"/>
        </w:rPr>
        <w:t xml:space="preserve"> </w:t>
      </w:r>
      <w:r w:rsidRPr="009B7A76">
        <w:rPr>
          <w:rFonts w:ascii="Arial" w:hAnsi="Arial" w:cs="Arial"/>
          <w:sz w:val="20"/>
          <w:szCs w:val="20"/>
        </w:rPr>
        <w:t xml:space="preserve">o Convite, e o fato de </w:t>
      </w:r>
      <w:r w:rsidRPr="00C714B3">
        <w:rPr>
          <w:rFonts w:ascii="Arial" w:hAnsi="Arial" w:cs="Arial"/>
          <w:sz w:val="20"/>
          <w:szCs w:val="20"/>
        </w:rPr>
        <w:t xml:space="preserve">não ter sido utilizado o tipo técnica e preço </w:t>
      </w:r>
      <w:r w:rsidRPr="009B7A76">
        <w:rPr>
          <w:rFonts w:ascii="Arial" w:hAnsi="Arial" w:cs="Arial"/>
          <w:sz w:val="20"/>
          <w:szCs w:val="20"/>
        </w:rPr>
        <w:t>para a</w:t>
      </w:r>
      <w:r>
        <w:rPr>
          <w:rFonts w:ascii="Arial" w:hAnsi="Arial" w:cs="Arial"/>
          <w:sz w:val="20"/>
          <w:szCs w:val="20"/>
        </w:rPr>
        <w:t xml:space="preserve"> </w:t>
      </w:r>
      <w:r w:rsidRPr="009B7A76">
        <w:rPr>
          <w:rFonts w:ascii="Arial" w:hAnsi="Arial" w:cs="Arial"/>
          <w:sz w:val="20"/>
          <w:szCs w:val="20"/>
        </w:rPr>
        <w:t>escolha da empresa a ser contratada para realização do certame,</w:t>
      </w:r>
      <w:r w:rsidR="00456041">
        <w:rPr>
          <w:rFonts w:ascii="Arial" w:hAnsi="Arial" w:cs="Arial"/>
          <w:sz w:val="20"/>
          <w:szCs w:val="20"/>
        </w:rPr>
        <w:t xml:space="preserve"> c</w:t>
      </w:r>
      <w:r w:rsidRPr="009B7A76">
        <w:rPr>
          <w:rFonts w:ascii="Arial" w:hAnsi="Arial" w:cs="Arial"/>
          <w:sz w:val="20"/>
          <w:szCs w:val="20"/>
        </w:rPr>
        <w:t>oncord</w:t>
      </w:r>
      <w:r w:rsidR="00AB0175">
        <w:rPr>
          <w:rFonts w:ascii="Arial" w:hAnsi="Arial" w:cs="Arial"/>
          <w:sz w:val="20"/>
          <w:szCs w:val="20"/>
        </w:rPr>
        <w:t xml:space="preserve">a-se </w:t>
      </w:r>
      <w:r w:rsidRPr="009B7A76">
        <w:rPr>
          <w:rFonts w:ascii="Arial" w:hAnsi="Arial" w:cs="Arial"/>
          <w:sz w:val="20"/>
          <w:szCs w:val="20"/>
        </w:rPr>
        <w:t xml:space="preserve">com o </w:t>
      </w:r>
      <w:r w:rsidRPr="00C714B3">
        <w:rPr>
          <w:rFonts w:ascii="Arial" w:hAnsi="Arial" w:cs="Arial"/>
          <w:sz w:val="20"/>
          <w:szCs w:val="20"/>
        </w:rPr>
        <w:t xml:space="preserve">Parquet </w:t>
      </w:r>
      <w:r w:rsidRPr="009B7A76">
        <w:rPr>
          <w:rFonts w:ascii="Arial" w:hAnsi="Arial" w:cs="Arial"/>
          <w:sz w:val="20"/>
          <w:szCs w:val="20"/>
        </w:rPr>
        <w:t>quanto ao fato de que a contratação de</w:t>
      </w:r>
      <w:r>
        <w:rPr>
          <w:rFonts w:ascii="Arial" w:hAnsi="Arial" w:cs="Arial"/>
          <w:sz w:val="20"/>
          <w:szCs w:val="20"/>
        </w:rPr>
        <w:t xml:space="preserve"> </w:t>
      </w:r>
      <w:r w:rsidRPr="009B7A76">
        <w:rPr>
          <w:rFonts w:ascii="Arial" w:hAnsi="Arial" w:cs="Arial"/>
          <w:sz w:val="20"/>
          <w:szCs w:val="20"/>
        </w:rPr>
        <w:t>empresa para realização de concurso público deve estar pautada não só no critério</w:t>
      </w:r>
      <w:r>
        <w:rPr>
          <w:rFonts w:ascii="Arial" w:hAnsi="Arial" w:cs="Arial"/>
          <w:sz w:val="20"/>
          <w:szCs w:val="20"/>
        </w:rPr>
        <w:t xml:space="preserve"> </w:t>
      </w:r>
      <w:r w:rsidRPr="009B7A76">
        <w:rPr>
          <w:rFonts w:ascii="Arial" w:hAnsi="Arial" w:cs="Arial"/>
          <w:sz w:val="20"/>
          <w:szCs w:val="20"/>
        </w:rPr>
        <w:t>de menor preço, mas também observar a qualificação técnica da selecionada,</w:t>
      </w:r>
      <w:r>
        <w:rPr>
          <w:rFonts w:ascii="Arial" w:hAnsi="Arial" w:cs="Arial"/>
          <w:sz w:val="20"/>
          <w:szCs w:val="20"/>
        </w:rPr>
        <w:t xml:space="preserve"> </w:t>
      </w:r>
      <w:r w:rsidRPr="009B7A76">
        <w:rPr>
          <w:rFonts w:ascii="Arial" w:hAnsi="Arial" w:cs="Arial"/>
          <w:sz w:val="20"/>
          <w:szCs w:val="20"/>
        </w:rPr>
        <w:t>aspecto fundamental para assegurar que o concurso melhor atenda às finalidades a</w:t>
      </w:r>
      <w:r>
        <w:rPr>
          <w:rFonts w:ascii="Arial" w:hAnsi="Arial" w:cs="Arial"/>
          <w:sz w:val="20"/>
          <w:szCs w:val="20"/>
        </w:rPr>
        <w:t xml:space="preserve"> </w:t>
      </w:r>
      <w:r w:rsidRPr="009B7A76">
        <w:rPr>
          <w:rFonts w:ascii="Arial" w:hAnsi="Arial" w:cs="Arial"/>
          <w:sz w:val="20"/>
          <w:szCs w:val="20"/>
        </w:rPr>
        <w:t>que se destina.</w:t>
      </w:r>
    </w:p>
    <w:p w:rsidR="009B7A76" w:rsidRPr="009B7A76" w:rsidRDefault="009B7A76" w:rsidP="00F34765">
      <w:pPr>
        <w:autoSpaceDE w:val="0"/>
        <w:autoSpaceDN w:val="0"/>
        <w:adjustRightInd w:val="0"/>
        <w:spacing w:after="0"/>
        <w:jc w:val="both"/>
        <w:rPr>
          <w:rFonts w:ascii="Arial" w:hAnsi="Arial" w:cs="Arial"/>
          <w:sz w:val="20"/>
          <w:szCs w:val="20"/>
        </w:rPr>
      </w:pPr>
    </w:p>
    <w:p w:rsidR="009B7A76" w:rsidRDefault="009B7A76" w:rsidP="00F34765">
      <w:pPr>
        <w:autoSpaceDE w:val="0"/>
        <w:autoSpaceDN w:val="0"/>
        <w:adjustRightInd w:val="0"/>
        <w:spacing w:after="0"/>
        <w:jc w:val="both"/>
        <w:rPr>
          <w:rFonts w:ascii="Arial" w:hAnsi="Arial" w:cs="Arial"/>
          <w:sz w:val="20"/>
          <w:szCs w:val="20"/>
        </w:rPr>
      </w:pPr>
      <w:r w:rsidRPr="009B7A76">
        <w:rPr>
          <w:rFonts w:ascii="Arial" w:hAnsi="Arial" w:cs="Arial"/>
          <w:sz w:val="20"/>
          <w:szCs w:val="20"/>
        </w:rPr>
        <w:lastRenderedPageBreak/>
        <w:t>A análise da qualificação técnica permite verificar, por exemplo, se a</w:t>
      </w:r>
      <w:r>
        <w:rPr>
          <w:rFonts w:ascii="Arial" w:hAnsi="Arial" w:cs="Arial"/>
          <w:sz w:val="20"/>
          <w:szCs w:val="20"/>
        </w:rPr>
        <w:t xml:space="preserve"> </w:t>
      </w:r>
      <w:r w:rsidRPr="009B7A76">
        <w:rPr>
          <w:rFonts w:ascii="Arial" w:hAnsi="Arial" w:cs="Arial"/>
          <w:sz w:val="20"/>
          <w:szCs w:val="20"/>
        </w:rPr>
        <w:t>empresa dispõe de profissionais habilitados para a elaboração e correção das</w:t>
      </w:r>
      <w:r>
        <w:rPr>
          <w:rFonts w:ascii="Arial" w:hAnsi="Arial" w:cs="Arial"/>
          <w:sz w:val="20"/>
          <w:szCs w:val="20"/>
        </w:rPr>
        <w:t xml:space="preserve"> </w:t>
      </w:r>
      <w:r w:rsidRPr="009B7A76">
        <w:rPr>
          <w:rFonts w:ascii="Arial" w:hAnsi="Arial" w:cs="Arial"/>
          <w:sz w:val="20"/>
          <w:szCs w:val="20"/>
        </w:rPr>
        <w:t>provas, se possui recursos de segurança, de estrutura organizacional, de</w:t>
      </w:r>
      <w:r>
        <w:rPr>
          <w:rFonts w:ascii="Arial" w:hAnsi="Arial" w:cs="Arial"/>
          <w:sz w:val="20"/>
          <w:szCs w:val="20"/>
        </w:rPr>
        <w:t xml:space="preserve"> </w:t>
      </w:r>
      <w:r w:rsidRPr="009B7A76">
        <w:rPr>
          <w:rFonts w:ascii="Arial" w:hAnsi="Arial" w:cs="Arial"/>
          <w:sz w:val="20"/>
          <w:szCs w:val="20"/>
        </w:rPr>
        <w:t>armazenamento e de transporte capazes</w:t>
      </w:r>
      <w:r w:rsidR="000E5474">
        <w:rPr>
          <w:rFonts w:ascii="Arial" w:hAnsi="Arial" w:cs="Arial"/>
          <w:sz w:val="20"/>
          <w:szCs w:val="20"/>
        </w:rPr>
        <w:t xml:space="preserve"> de</w:t>
      </w:r>
      <w:r w:rsidRPr="009B7A76">
        <w:rPr>
          <w:rFonts w:ascii="Arial" w:hAnsi="Arial" w:cs="Arial"/>
          <w:sz w:val="20"/>
          <w:szCs w:val="20"/>
        </w:rPr>
        <w:t xml:space="preserve"> garantir o sigilo no concurso. </w:t>
      </w:r>
    </w:p>
    <w:p w:rsidR="009B7A76" w:rsidRDefault="009B7A76" w:rsidP="00F34765">
      <w:pPr>
        <w:autoSpaceDE w:val="0"/>
        <w:autoSpaceDN w:val="0"/>
        <w:adjustRightInd w:val="0"/>
        <w:spacing w:after="0"/>
        <w:jc w:val="both"/>
        <w:rPr>
          <w:rFonts w:ascii="Arial" w:hAnsi="Arial" w:cs="Arial"/>
          <w:sz w:val="20"/>
          <w:szCs w:val="20"/>
        </w:rPr>
      </w:pPr>
    </w:p>
    <w:p w:rsidR="009B7A76" w:rsidRDefault="009B7A76" w:rsidP="00F34765">
      <w:pPr>
        <w:autoSpaceDE w:val="0"/>
        <w:autoSpaceDN w:val="0"/>
        <w:adjustRightInd w:val="0"/>
        <w:spacing w:after="0"/>
        <w:jc w:val="both"/>
        <w:rPr>
          <w:rFonts w:ascii="Arial" w:hAnsi="Arial" w:cs="Arial"/>
          <w:sz w:val="20"/>
          <w:szCs w:val="20"/>
        </w:rPr>
      </w:pPr>
      <w:r w:rsidRPr="009B7A76">
        <w:rPr>
          <w:rFonts w:ascii="Arial" w:hAnsi="Arial" w:cs="Arial"/>
          <w:sz w:val="20"/>
          <w:szCs w:val="20"/>
        </w:rPr>
        <w:t>Tais</w:t>
      </w:r>
      <w:r>
        <w:rPr>
          <w:rFonts w:ascii="Arial" w:hAnsi="Arial" w:cs="Arial"/>
          <w:sz w:val="20"/>
          <w:szCs w:val="20"/>
        </w:rPr>
        <w:t xml:space="preserve"> </w:t>
      </w:r>
      <w:r w:rsidRPr="009B7A76">
        <w:rPr>
          <w:rFonts w:ascii="Arial" w:hAnsi="Arial" w:cs="Arial"/>
          <w:sz w:val="20"/>
          <w:szCs w:val="20"/>
        </w:rPr>
        <w:t>verificações, referentes à operacionalização da realização do concurso em si,</w:t>
      </w:r>
      <w:r>
        <w:rPr>
          <w:rFonts w:ascii="Arial" w:hAnsi="Arial" w:cs="Arial"/>
          <w:sz w:val="20"/>
          <w:szCs w:val="20"/>
        </w:rPr>
        <w:t xml:space="preserve"> </w:t>
      </w:r>
      <w:r w:rsidRPr="009B7A76">
        <w:rPr>
          <w:rFonts w:ascii="Arial" w:hAnsi="Arial" w:cs="Arial"/>
          <w:sz w:val="20"/>
          <w:szCs w:val="20"/>
        </w:rPr>
        <w:t>merecem consideração quando da contratação da empresa, porquanto afetam a</w:t>
      </w:r>
      <w:r>
        <w:rPr>
          <w:rFonts w:ascii="Arial" w:hAnsi="Arial" w:cs="Arial"/>
          <w:sz w:val="20"/>
          <w:szCs w:val="20"/>
        </w:rPr>
        <w:t xml:space="preserve"> </w:t>
      </w:r>
      <w:r w:rsidRPr="009B7A76">
        <w:rPr>
          <w:rFonts w:ascii="Arial" w:hAnsi="Arial" w:cs="Arial"/>
          <w:sz w:val="20"/>
          <w:szCs w:val="20"/>
        </w:rPr>
        <w:t>incumbência desta em atender os preceitos constitucionais e selecionar os</w:t>
      </w:r>
      <w:r>
        <w:rPr>
          <w:rFonts w:ascii="Arial" w:hAnsi="Arial" w:cs="Arial"/>
          <w:sz w:val="20"/>
          <w:szCs w:val="20"/>
        </w:rPr>
        <w:t xml:space="preserve"> </w:t>
      </w:r>
      <w:r w:rsidRPr="009B7A76">
        <w:rPr>
          <w:rFonts w:ascii="Arial" w:hAnsi="Arial" w:cs="Arial"/>
          <w:sz w:val="20"/>
          <w:szCs w:val="20"/>
        </w:rPr>
        <w:t>candidatos mais aptos.</w:t>
      </w:r>
      <w:r>
        <w:rPr>
          <w:rFonts w:ascii="Arial" w:hAnsi="Arial" w:cs="Arial"/>
          <w:sz w:val="20"/>
          <w:szCs w:val="20"/>
        </w:rPr>
        <w:t xml:space="preserve"> </w:t>
      </w:r>
      <w:r w:rsidRPr="009B7A76">
        <w:rPr>
          <w:rFonts w:ascii="Arial" w:hAnsi="Arial" w:cs="Arial"/>
          <w:sz w:val="20"/>
          <w:szCs w:val="20"/>
        </w:rPr>
        <w:t xml:space="preserve">Nestes termos, endosso a sugestão de </w:t>
      </w:r>
      <w:r w:rsidRPr="00C714B3">
        <w:rPr>
          <w:rFonts w:ascii="Arial" w:hAnsi="Arial" w:cs="Arial"/>
          <w:sz w:val="20"/>
          <w:szCs w:val="20"/>
        </w:rPr>
        <w:t xml:space="preserve">recomendação </w:t>
      </w:r>
      <w:r w:rsidRPr="009B7A76">
        <w:rPr>
          <w:rFonts w:ascii="Arial" w:hAnsi="Arial" w:cs="Arial"/>
          <w:sz w:val="20"/>
          <w:szCs w:val="20"/>
        </w:rPr>
        <w:t xml:space="preserve">do </w:t>
      </w:r>
      <w:r w:rsidRPr="00C714B3">
        <w:rPr>
          <w:rFonts w:ascii="Arial" w:hAnsi="Arial" w:cs="Arial"/>
          <w:sz w:val="20"/>
          <w:szCs w:val="20"/>
        </w:rPr>
        <w:t>Parquet</w:t>
      </w:r>
      <w:r w:rsidRPr="009B7A76">
        <w:rPr>
          <w:rFonts w:ascii="Arial" w:hAnsi="Arial" w:cs="Arial"/>
          <w:sz w:val="20"/>
          <w:szCs w:val="20"/>
        </w:rPr>
        <w:t>,</w:t>
      </w:r>
      <w:r>
        <w:rPr>
          <w:rFonts w:ascii="Arial" w:hAnsi="Arial" w:cs="Arial"/>
          <w:sz w:val="20"/>
          <w:szCs w:val="20"/>
        </w:rPr>
        <w:t xml:space="preserve"> </w:t>
      </w:r>
      <w:r w:rsidRPr="009B7A76">
        <w:rPr>
          <w:rFonts w:ascii="Arial" w:hAnsi="Arial" w:cs="Arial"/>
          <w:sz w:val="20"/>
          <w:szCs w:val="20"/>
        </w:rPr>
        <w:t xml:space="preserve">mas, tendo em vista seu conteúdo, o faço na forma de </w:t>
      </w:r>
      <w:r w:rsidRPr="00C714B3">
        <w:rPr>
          <w:rFonts w:ascii="Arial" w:hAnsi="Arial" w:cs="Arial"/>
          <w:sz w:val="20"/>
          <w:szCs w:val="20"/>
        </w:rPr>
        <w:t xml:space="preserve">determinação </w:t>
      </w:r>
      <w:r w:rsidRPr="009B7A76">
        <w:rPr>
          <w:rFonts w:ascii="Arial" w:hAnsi="Arial" w:cs="Arial"/>
          <w:sz w:val="20"/>
          <w:szCs w:val="20"/>
        </w:rPr>
        <w:t xml:space="preserve">para que </w:t>
      </w:r>
      <w:r>
        <w:rPr>
          <w:rFonts w:ascii="Arial" w:hAnsi="Arial" w:cs="Arial"/>
          <w:sz w:val="20"/>
          <w:szCs w:val="20"/>
        </w:rPr>
        <w:t xml:space="preserve">a urbe </w:t>
      </w:r>
      <w:r w:rsidRPr="009B7A76">
        <w:rPr>
          <w:rFonts w:ascii="Arial" w:hAnsi="Arial" w:cs="Arial"/>
          <w:sz w:val="20"/>
          <w:szCs w:val="20"/>
        </w:rPr>
        <w:t>passe a observar o artigo 46 da Lei n.º 8666/93,</w:t>
      </w:r>
      <w:r>
        <w:rPr>
          <w:rFonts w:ascii="Arial" w:hAnsi="Arial" w:cs="Arial"/>
          <w:sz w:val="20"/>
          <w:szCs w:val="20"/>
        </w:rPr>
        <w:t xml:space="preserve"> </w:t>
      </w:r>
      <w:r w:rsidRPr="009B7A76">
        <w:rPr>
          <w:rFonts w:ascii="Arial" w:hAnsi="Arial" w:cs="Arial"/>
          <w:sz w:val="20"/>
          <w:szCs w:val="20"/>
        </w:rPr>
        <w:t xml:space="preserve">adotando licitação do tipo </w:t>
      </w:r>
      <w:r w:rsidRPr="00C714B3">
        <w:rPr>
          <w:rFonts w:ascii="Arial" w:hAnsi="Arial" w:cs="Arial"/>
          <w:sz w:val="20"/>
          <w:szCs w:val="20"/>
        </w:rPr>
        <w:t>“técnica e preço”</w:t>
      </w:r>
      <w:r w:rsidRPr="009B7A76">
        <w:rPr>
          <w:rFonts w:ascii="Arial" w:hAnsi="Arial" w:cs="Arial"/>
          <w:sz w:val="20"/>
          <w:szCs w:val="20"/>
        </w:rPr>
        <w:t xml:space="preserve"> nas futuras seleções de empresas</w:t>
      </w:r>
      <w:r w:rsidR="00D90EB2">
        <w:rPr>
          <w:rFonts w:ascii="Arial" w:hAnsi="Arial" w:cs="Arial"/>
          <w:sz w:val="20"/>
          <w:szCs w:val="20"/>
        </w:rPr>
        <w:t xml:space="preserve"> </w:t>
      </w:r>
      <w:r w:rsidRPr="009B7A76">
        <w:rPr>
          <w:rFonts w:ascii="Arial" w:hAnsi="Arial" w:cs="Arial"/>
          <w:sz w:val="20"/>
          <w:szCs w:val="20"/>
        </w:rPr>
        <w:t>responsáveis pela realização de concursos públicos.</w:t>
      </w:r>
    </w:p>
    <w:p w:rsidR="009B7A76" w:rsidRDefault="009B7A76" w:rsidP="00F34765">
      <w:pPr>
        <w:autoSpaceDE w:val="0"/>
        <w:autoSpaceDN w:val="0"/>
        <w:adjustRightInd w:val="0"/>
        <w:spacing w:after="0"/>
        <w:jc w:val="both"/>
        <w:rPr>
          <w:rFonts w:ascii="Arial" w:hAnsi="Arial" w:cs="Arial"/>
          <w:sz w:val="20"/>
          <w:szCs w:val="20"/>
        </w:rPr>
      </w:pPr>
    </w:p>
    <w:p w:rsidR="00E60EF5" w:rsidRPr="009B7A76" w:rsidRDefault="00E60EF5" w:rsidP="009B7A76">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663174/12 - </w:t>
      </w:r>
      <w:hyperlink r:id="rId12" w:history="1">
        <w:r w:rsidRPr="00FE66EF">
          <w:rPr>
            <w:rStyle w:val="Hyperlink"/>
            <w:rFonts w:ascii="Arial" w:hAnsi="Arial" w:cs="Arial"/>
            <w:sz w:val="20"/>
            <w:szCs w:val="20"/>
          </w:rPr>
          <w:t>Acórdão n° 4844/17 - Segunda Câmara</w:t>
        </w:r>
      </w:hyperlink>
      <w:r>
        <w:rPr>
          <w:rFonts w:ascii="Arial" w:hAnsi="Arial" w:cs="Arial"/>
          <w:sz w:val="20"/>
          <w:szCs w:val="20"/>
        </w:rPr>
        <w:t xml:space="preserve"> </w:t>
      </w:r>
      <w:r w:rsidR="00F96311">
        <w:rPr>
          <w:rFonts w:ascii="Arial" w:hAnsi="Arial" w:cs="Arial"/>
          <w:sz w:val="20"/>
          <w:szCs w:val="20"/>
        </w:rPr>
        <w:t>-</w:t>
      </w:r>
      <w:r>
        <w:rPr>
          <w:rFonts w:ascii="Arial" w:hAnsi="Arial" w:cs="Arial"/>
          <w:sz w:val="20"/>
          <w:szCs w:val="20"/>
        </w:rPr>
        <w:t xml:space="preserve"> </w:t>
      </w:r>
      <w:r w:rsidR="00F96311">
        <w:rPr>
          <w:rFonts w:ascii="Arial" w:hAnsi="Arial" w:cs="Arial"/>
          <w:sz w:val="20"/>
          <w:szCs w:val="20"/>
        </w:rPr>
        <w:t>Rel. Auditor Thiago Barbosa Cordeiro.</w:t>
      </w:r>
    </w:p>
    <w:p w:rsidR="00C714B3" w:rsidRDefault="00C714B3" w:rsidP="00B71476">
      <w:pPr>
        <w:autoSpaceDE w:val="0"/>
        <w:autoSpaceDN w:val="0"/>
        <w:adjustRightInd w:val="0"/>
        <w:spacing w:after="0" w:line="240" w:lineRule="auto"/>
        <w:jc w:val="both"/>
        <w:rPr>
          <w:rFonts w:ascii="Arial" w:hAnsi="Arial" w:cs="Arial"/>
          <w:b/>
          <w:sz w:val="20"/>
          <w:szCs w:val="20"/>
        </w:rPr>
      </w:pPr>
    </w:p>
    <w:p w:rsidR="00F74769" w:rsidRDefault="00C714B3" w:rsidP="00B71476">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6</w:t>
      </w:r>
      <w:r w:rsidR="0005225C">
        <w:rPr>
          <w:rFonts w:ascii="Arial" w:hAnsi="Arial" w:cs="Arial"/>
          <w:b/>
          <w:sz w:val="20"/>
          <w:szCs w:val="20"/>
        </w:rPr>
        <w:t xml:space="preserve">. </w:t>
      </w:r>
      <w:r w:rsidR="00F74769" w:rsidRPr="000972FE">
        <w:rPr>
          <w:rFonts w:ascii="Arial" w:hAnsi="Arial" w:cs="Arial"/>
          <w:b/>
          <w:sz w:val="20"/>
          <w:szCs w:val="20"/>
        </w:rPr>
        <w:t xml:space="preserve">Embargos de Declaração. Omissão inexistente.  </w:t>
      </w:r>
      <w:r w:rsidR="000972FE" w:rsidRPr="000972FE">
        <w:rPr>
          <w:rFonts w:ascii="Arial" w:hAnsi="Arial" w:cs="Arial"/>
          <w:b/>
          <w:sz w:val="20"/>
          <w:szCs w:val="20"/>
        </w:rPr>
        <w:t>Recursos Públicos. Regular Aplicação. Ônus</w:t>
      </w:r>
      <w:r w:rsidR="000972FE">
        <w:rPr>
          <w:rFonts w:ascii="Arial" w:hAnsi="Arial" w:cs="Arial"/>
          <w:b/>
          <w:sz w:val="20"/>
          <w:szCs w:val="20"/>
        </w:rPr>
        <w:t xml:space="preserve">. </w:t>
      </w:r>
      <w:r w:rsidR="000972FE" w:rsidRPr="000972FE">
        <w:rPr>
          <w:rFonts w:ascii="Arial" w:hAnsi="Arial" w:cs="Arial"/>
          <w:b/>
          <w:sz w:val="20"/>
          <w:szCs w:val="20"/>
        </w:rPr>
        <w:t>Entidade Repassadora e T</w:t>
      </w:r>
      <w:r w:rsidR="00F74769" w:rsidRPr="000972FE">
        <w:rPr>
          <w:rFonts w:ascii="Arial" w:hAnsi="Arial" w:cs="Arial"/>
          <w:b/>
          <w:sz w:val="20"/>
          <w:szCs w:val="20"/>
        </w:rPr>
        <w:t xml:space="preserve">omadora. Não provimento. </w:t>
      </w:r>
    </w:p>
    <w:p w:rsidR="00EC6E18" w:rsidRDefault="00EC6E18" w:rsidP="004B7CB7">
      <w:pPr>
        <w:autoSpaceDE w:val="0"/>
        <w:autoSpaceDN w:val="0"/>
        <w:adjustRightInd w:val="0"/>
        <w:spacing w:after="0"/>
        <w:jc w:val="both"/>
        <w:rPr>
          <w:rFonts w:ascii="Arial" w:hAnsi="Arial" w:cs="Arial"/>
          <w:b/>
          <w:sz w:val="20"/>
          <w:szCs w:val="20"/>
        </w:rPr>
      </w:pPr>
    </w:p>
    <w:p w:rsidR="00EC6E18" w:rsidRPr="00C9512F" w:rsidRDefault="00C9512F" w:rsidP="00C9512F">
      <w:pPr>
        <w:autoSpaceDE w:val="0"/>
        <w:autoSpaceDN w:val="0"/>
        <w:adjustRightInd w:val="0"/>
        <w:spacing w:after="0"/>
        <w:jc w:val="both"/>
        <w:rPr>
          <w:rFonts w:ascii="Arial" w:hAnsi="Arial" w:cs="Arial"/>
          <w:sz w:val="20"/>
          <w:szCs w:val="20"/>
        </w:rPr>
      </w:pPr>
      <w:r w:rsidRPr="00C9512F">
        <w:rPr>
          <w:rFonts w:ascii="Arial" w:hAnsi="Arial" w:cs="Arial"/>
          <w:sz w:val="20"/>
          <w:szCs w:val="20"/>
        </w:rPr>
        <w:t>É recorrente a alegação de que caberia ao Tribunal de Contas provar que os recursos públicos repassados foram mal aplicados ou desviados. Contudo, por força do que dispõe o art. 70, par. único, da CF</w:t>
      </w:r>
      <w:r>
        <w:rPr>
          <w:rFonts w:ascii="Arial" w:hAnsi="Arial" w:cs="Arial"/>
          <w:sz w:val="20"/>
          <w:szCs w:val="20"/>
        </w:rPr>
        <w:t>/88</w:t>
      </w:r>
      <w:r w:rsidRPr="00C9512F">
        <w:rPr>
          <w:rFonts w:ascii="Arial" w:hAnsi="Arial" w:cs="Arial"/>
          <w:sz w:val="20"/>
          <w:szCs w:val="20"/>
        </w:rPr>
        <w:t xml:space="preserve">, reprisado no art. 74, par. único, da CE-PR, bem assim o art. 93 do Decreto-Lei nº 200/1967 c/c o art. 66 do Decreto nº 93.872/1986, resta claro que compete à entidade repassadora e tomadora dos recursos comprovar a boa e regular aplicação dos recursos públicos, isto é, o ônus da prova. </w:t>
      </w:r>
    </w:p>
    <w:p w:rsidR="00C9512F" w:rsidRPr="00C9512F" w:rsidRDefault="00C9512F" w:rsidP="00C9512F">
      <w:pPr>
        <w:autoSpaceDE w:val="0"/>
        <w:autoSpaceDN w:val="0"/>
        <w:adjustRightInd w:val="0"/>
        <w:spacing w:after="0"/>
        <w:jc w:val="both"/>
        <w:rPr>
          <w:rFonts w:ascii="Arial" w:hAnsi="Arial" w:cs="Arial"/>
          <w:sz w:val="20"/>
          <w:szCs w:val="20"/>
        </w:rPr>
      </w:pPr>
    </w:p>
    <w:p w:rsidR="00C9512F" w:rsidRPr="00C9512F" w:rsidRDefault="00C9512F" w:rsidP="00C9512F">
      <w:pPr>
        <w:autoSpaceDE w:val="0"/>
        <w:autoSpaceDN w:val="0"/>
        <w:adjustRightInd w:val="0"/>
        <w:spacing w:after="0"/>
        <w:jc w:val="both"/>
        <w:rPr>
          <w:rFonts w:ascii="Arial" w:hAnsi="Arial" w:cs="Arial"/>
          <w:sz w:val="20"/>
          <w:szCs w:val="20"/>
        </w:rPr>
      </w:pPr>
      <w:r w:rsidRPr="00C9512F">
        <w:rPr>
          <w:rFonts w:ascii="Arial" w:hAnsi="Arial" w:cs="Arial"/>
          <w:sz w:val="20"/>
          <w:szCs w:val="20"/>
        </w:rPr>
        <w:t xml:space="preserve">Nesse sentido, citem-se recentes julgados desta Corte de Contas que corroboram a pacífica jurisprudência sobre o tema: </w:t>
      </w:r>
      <w:r w:rsidRPr="00C714B3">
        <w:rPr>
          <w:rFonts w:ascii="Arial" w:hAnsi="Arial" w:cs="Arial"/>
          <w:sz w:val="20"/>
          <w:szCs w:val="20"/>
        </w:rPr>
        <w:t>Acórdão nº 1718/17 - Primeira Câmara</w:t>
      </w:r>
      <w:r w:rsidRPr="00C9512F">
        <w:rPr>
          <w:rFonts w:ascii="Arial" w:hAnsi="Arial" w:cs="Arial"/>
          <w:sz w:val="20"/>
          <w:szCs w:val="20"/>
        </w:rPr>
        <w:t xml:space="preserve">; </w:t>
      </w:r>
      <w:r w:rsidRPr="00C714B3">
        <w:rPr>
          <w:rFonts w:ascii="Arial" w:hAnsi="Arial" w:cs="Arial"/>
          <w:sz w:val="20"/>
          <w:szCs w:val="20"/>
        </w:rPr>
        <w:t>Acórdão nº 2548/17 - Tribunal Pleno</w:t>
      </w:r>
      <w:r w:rsidRPr="00C9512F">
        <w:rPr>
          <w:rFonts w:ascii="Arial" w:hAnsi="Arial" w:cs="Arial"/>
          <w:sz w:val="20"/>
          <w:szCs w:val="20"/>
        </w:rPr>
        <w:t xml:space="preserve">; </w:t>
      </w:r>
      <w:r w:rsidRPr="00C714B3">
        <w:rPr>
          <w:rFonts w:ascii="Arial" w:hAnsi="Arial" w:cs="Arial"/>
          <w:sz w:val="20"/>
          <w:szCs w:val="20"/>
        </w:rPr>
        <w:t>Acórdão nº 729/16 - Tribunal Pleno</w:t>
      </w:r>
      <w:r w:rsidRPr="00C9512F">
        <w:rPr>
          <w:rFonts w:ascii="Arial" w:hAnsi="Arial" w:cs="Arial"/>
          <w:sz w:val="20"/>
          <w:szCs w:val="20"/>
        </w:rPr>
        <w:t xml:space="preserve">; </w:t>
      </w:r>
      <w:r w:rsidRPr="00C714B3">
        <w:rPr>
          <w:rFonts w:ascii="Arial" w:hAnsi="Arial" w:cs="Arial"/>
          <w:sz w:val="20"/>
          <w:szCs w:val="20"/>
        </w:rPr>
        <w:t>Acórdão nº 777/13 - Tribunal Pleno</w:t>
      </w:r>
      <w:r w:rsidRPr="00C9512F">
        <w:rPr>
          <w:rFonts w:ascii="Arial" w:hAnsi="Arial" w:cs="Arial"/>
          <w:sz w:val="20"/>
          <w:szCs w:val="20"/>
        </w:rPr>
        <w:t>, dentre outros.</w:t>
      </w:r>
    </w:p>
    <w:p w:rsidR="00C9512F" w:rsidRPr="00C9512F" w:rsidRDefault="00C9512F" w:rsidP="00C9512F">
      <w:pPr>
        <w:autoSpaceDE w:val="0"/>
        <w:autoSpaceDN w:val="0"/>
        <w:adjustRightInd w:val="0"/>
        <w:spacing w:after="0"/>
        <w:jc w:val="both"/>
        <w:rPr>
          <w:rFonts w:ascii="Arial" w:hAnsi="Arial" w:cs="Arial"/>
          <w:sz w:val="20"/>
          <w:szCs w:val="20"/>
        </w:rPr>
      </w:pPr>
    </w:p>
    <w:p w:rsidR="00F74769" w:rsidRDefault="00C9512F" w:rsidP="00C9512F">
      <w:pPr>
        <w:autoSpaceDE w:val="0"/>
        <w:autoSpaceDN w:val="0"/>
        <w:adjustRightInd w:val="0"/>
        <w:spacing w:after="0"/>
        <w:jc w:val="both"/>
        <w:rPr>
          <w:rFonts w:ascii="Arial" w:hAnsi="Arial" w:cs="Arial"/>
          <w:sz w:val="20"/>
          <w:szCs w:val="20"/>
        </w:rPr>
      </w:pPr>
      <w:r w:rsidRPr="00C9512F">
        <w:rPr>
          <w:rFonts w:ascii="Arial" w:hAnsi="Arial" w:cs="Arial"/>
          <w:sz w:val="20"/>
          <w:szCs w:val="20"/>
        </w:rPr>
        <w:t>Portanto, manifestamente improcedente, não denota</w:t>
      </w:r>
      <w:r>
        <w:rPr>
          <w:rFonts w:ascii="Arial" w:hAnsi="Arial" w:cs="Arial"/>
          <w:sz w:val="20"/>
          <w:szCs w:val="20"/>
        </w:rPr>
        <w:t xml:space="preserve">ndo </w:t>
      </w:r>
      <w:r w:rsidRPr="00C9512F">
        <w:rPr>
          <w:rFonts w:ascii="Arial" w:hAnsi="Arial" w:cs="Arial"/>
          <w:sz w:val="20"/>
          <w:szCs w:val="20"/>
        </w:rPr>
        <w:t>hipótese de omissão prevista no art. 490 do Regimento Interno</w:t>
      </w:r>
      <w:r>
        <w:rPr>
          <w:rFonts w:ascii="Arial" w:hAnsi="Arial" w:cs="Arial"/>
          <w:sz w:val="20"/>
          <w:szCs w:val="20"/>
        </w:rPr>
        <w:t xml:space="preserve">. </w:t>
      </w:r>
    </w:p>
    <w:p w:rsidR="007F1306" w:rsidRDefault="007F1306" w:rsidP="00C9512F">
      <w:pPr>
        <w:autoSpaceDE w:val="0"/>
        <w:autoSpaceDN w:val="0"/>
        <w:adjustRightInd w:val="0"/>
        <w:spacing w:after="0"/>
        <w:jc w:val="both"/>
        <w:rPr>
          <w:rFonts w:ascii="Arial" w:hAnsi="Arial" w:cs="Arial"/>
          <w:sz w:val="20"/>
          <w:szCs w:val="20"/>
        </w:rPr>
      </w:pPr>
    </w:p>
    <w:p w:rsidR="007F1306" w:rsidRDefault="007F1306" w:rsidP="00C9512F">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822874/17 - </w:t>
      </w:r>
      <w:hyperlink r:id="rId13" w:history="1">
        <w:r w:rsidRPr="007F1306">
          <w:rPr>
            <w:rStyle w:val="Hyperlink"/>
            <w:rFonts w:ascii="Arial" w:hAnsi="Arial" w:cs="Arial"/>
            <w:sz w:val="20"/>
            <w:szCs w:val="20"/>
          </w:rPr>
          <w:t>Acórdão n° 4877/17 - Segunda Câmara</w:t>
        </w:r>
      </w:hyperlink>
      <w:r>
        <w:rPr>
          <w:rFonts w:ascii="Arial" w:hAnsi="Arial" w:cs="Arial"/>
          <w:sz w:val="20"/>
          <w:szCs w:val="20"/>
        </w:rPr>
        <w:t xml:space="preserve"> - Rel. Cons. Ivens Zschoerper Linhares</w:t>
      </w:r>
    </w:p>
    <w:p w:rsidR="005F5AC1" w:rsidRDefault="005F5AC1" w:rsidP="00C9512F">
      <w:pPr>
        <w:autoSpaceDE w:val="0"/>
        <w:autoSpaceDN w:val="0"/>
        <w:adjustRightInd w:val="0"/>
        <w:spacing w:after="0"/>
        <w:jc w:val="both"/>
        <w:rPr>
          <w:rFonts w:ascii="Arial" w:hAnsi="Arial" w:cs="Arial"/>
          <w:sz w:val="20"/>
          <w:szCs w:val="20"/>
        </w:rPr>
      </w:pPr>
    </w:p>
    <w:p w:rsidR="00040672" w:rsidRPr="00B71476" w:rsidRDefault="00C714B3" w:rsidP="00B71476">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7</w:t>
      </w:r>
      <w:r w:rsidR="0005225C">
        <w:rPr>
          <w:rFonts w:ascii="Arial" w:hAnsi="Arial" w:cs="Arial"/>
          <w:b/>
          <w:sz w:val="20"/>
          <w:szCs w:val="20"/>
        </w:rPr>
        <w:t xml:space="preserve">. </w:t>
      </w:r>
      <w:r w:rsidR="00040672" w:rsidRPr="00040672">
        <w:rPr>
          <w:rFonts w:ascii="Arial" w:hAnsi="Arial" w:cs="Arial"/>
          <w:b/>
          <w:sz w:val="20"/>
          <w:szCs w:val="20"/>
        </w:rPr>
        <w:t xml:space="preserve">Admissão de pessoal. Concurso Público. Candidato que participou de atos preparatórios do concurso (licitação). Acórdãos 1608/11 e 938/12, emitidos em sede de Consulta. </w:t>
      </w:r>
      <w:r w:rsidR="00040672" w:rsidRPr="00B71476">
        <w:rPr>
          <w:rFonts w:ascii="Arial" w:hAnsi="Arial" w:cs="Arial"/>
          <w:b/>
          <w:sz w:val="20"/>
          <w:szCs w:val="20"/>
        </w:rPr>
        <w:t xml:space="preserve">Negativa de registro da admissão do servidor que praticou atos administrativos ligados ao certame. </w:t>
      </w:r>
    </w:p>
    <w:p w:rsidR="00040672" w:rsidRDefault="00040672" w:rsidP="00F0221C">
      <w:pPr>
        <w:autoSpaceDE w:val="0"/>
        <w:autoSpaceDN w:val="0"/>
        <w:adjustRightInd w:val="0"/>
        <w:spacing w:after="0"/>
        <w:jc w:val="both"/>
        <w:rPr>
          <w:rFonts w:ascii="Arial" w:hAnsi="Arial" w:cs="Arial"/>
          <w:bCs/>
          <w:sz w:val="20"/>
          <w:szCs w:val="20"/>
        </w:rPr>
      </w:pPr>
    </w:p>
    <w:p w:rsidR="00F0221C" w:rsidRPr="00F0221C" w:rsidRDefault="00F0221C" w:rsidP="00F0221C">
      <w:pPr>
        <w:autoSpaceDE w:val="0"/>
        <w:autoSpaceDN w:val="0"/>
        <w:adjustRightInd w:val="0"/>
        <w:spacing w:after="0"/>
        <w:jc w:val="both"/>
        <w:rPr>
          <w:rFonts w:ascii="Arial" w:hAnsi="Arial" w:cs="Arial"/>
          <w:sz w:val="20"/>
          <w:szCs w:val="20"/>
        </w:rPr>
      </w:pPr>
      <w:r w:rsidRPr="00F0221C">
        <w:rPr>
          <w:rFonts w:ascii="Arial" w:hAnsi="Arial" w:cs="Arial"/>
          <w:sz w:val="20"/>
          <w:szCs w:val="20"/>
        </w:rPr>
        <w:lastRenderedPageBreak/>
        <w:t>Cumpre</w:t>
      </w:r>
      <w:r>
        <w:rPr>
          <w:rFonts w:ascii="Arial" w:hAnsi="Arial" w:cs="Arial"/>
          <w:sz w:val="20"/>
          <w:szCs w:val="20"/>
        </w:rPr>
        <w:t xml:space="preserve"> </w:t>
      </w:r>
      <w:r w:rsidRPr="00F0221C">
        <w:rPr>
          <w:rFonts w:ascii="Arial" w:hAnsi="Arial" w:cs="Arial"/>
          <w:sz w:val="20"/>
          <w:szCs w:val="20"/>
        </w:rPr>
        <w:t>ponderar que efetivamente não há qualquer</w:t>
      </w:r>
      <w:r>
        <w:rPr>
          <w:rFonts w:ascii="Arial" w:hAnsi="Arial" w:cs="Arial"/>
          <w:sz w:val="20"/>
          <w:szCs w:val="20"/>
        </w:rPr>
        <w:t xml:space="preserve"> </w:t>
      </w:r>
      <w:r w:rsidRPr="00F0221C">
        <w:rPr>
          <w:rFonts w:ascii="Arial" w:hAnsi="Arial" w:cs="Arial"/>
          <w:sz w:val="20"/>
          <w:szCs w:val="20"/>
        </w:rPr>
        <w:t>impedimento para servidor público efetivo ou que detenha cargo em comissão</w:t>
      </w:r>
      <w:r>
        <w:rPr>
          <w:rFonts w:ascii="Arial" w:hAnsi="Arial" w:cs="Arial"/>
          <w:sz w:val="20"/>
          <w:szCs w:val="20"/>
        </w:rPr>
        <w:t xml:space="preserve"> </w:t>
      </w:r>
      <w:r w:rsidRPr="00F0221C">
        <w:rPr>
          <w:rFonts w:ascii="Arial" w:hAnsi="Arial" w:cs="Arial"/>
          <w:sz w:val="20"/>
          <w:szCs w:val="20"/>
        </w:rPr>
        <w:t xml:space="preserve">participe de concurso público do órgão da administração que integre, </w:t>
      </w:r>
      <w:r w:rsidRPr="00F0221C">
        <w:rPr>
          <w:rFonts w:ascii="Arial" w:hAnsi="Arial" w:cs="Arial"/>
          <w:bCs/>
          <w:sz w:val="20"/>
          <w:szCs w:val="20"/>
        </w:rPr>
        <w:t>desde que não haja atuação deste em qualquer ato administrativo relacionado ao</w:t>
      </w:r>
      <w:r>
        <w:rPr>
          <w:rFonts w:ascii="Arial" w:hAnsi="Arial" w:cs="Arial"/>
          <w:bCs/>
          <w:sz w:val="20"/>
          <w:szCs w:val="20"/>
        </w:rPr>
        <w:t xml:space="preserve"> </w:t>
      </w:r>
      <w:r w:rsidRPr="00F0221C">
        <w:rPr>
          <w:rFonts w:ascii="Arial" w:hAnsi="Arial" w:cs="Arial"/>
          <w:bCs/>
          <w:sz w:val="20"/>
          <w:szCs w:val="20"/>
        </w:rPr>
        <w:t>certame</w:t>
      </w:r>
      <w:r w:rsidRPr="00F0221C">
        <w:rPr>
          <w:rFonts w:ascii="Arial" w:hAnsi="Arial" w:cs="Arial"/>
          <w:sz w:val="20"/>
          <w:szCs w:val="20"/>
        </w:rPr>
        <w:t>.</w:t>
      </w:r>
    </w:p>
    <w:p w:rsidR="00F0221C" w:rsidRPr="00F0221C" w:rsidRDefault="00F0221C" w:rsidP="00F0221C">
      <w:pPr>
        <w:autoSpaceDE w:val="0"/>
        <w:autoSpaceDN w:val="0"/>
        <w:adjustRightInd w:val="0"/>
        <w:spacing w:after="0"/>
        <w:jc w:val="both"/>
        <w:rPr>
          <w:rFonts w:ascii="Arial" w:hAnsi="Arial" w:cs="Arial"/>
          <w:sz w:val="20"/>
          <w:szCs w:val="20"/>
        </w:rPr>
      </w:pPr>
    </w:p>
    <w:p w:rsidR="00D928B2" w:rsidRDefault="00F0221C" w:rsidP="00B56A2E">
      <w:pPr>
        <w:autoSpaceDE w:val="0"/>
        <w:autoSpaceDN w:val="0"/>
        <w:adjustRightInd w:val="0"/>
        <w:spacing w:after="0"/>
        <w:jc w:val="both"/>
        <w:rPr>
          <w:rFonts w:ascii="Arial" w:hAnsi="Arial" w:cs="Arial"/>
          <w:sz w:val="20"/>
          <w:szCs w:val="20"/>
        </w:rPr>
      </w:pPr>
      <w:r w:rsidRPr="00D928B2">
        <w:rPr>
          <w:rFonts w:ascii="Arial" w:hAnsi="Arial" w:cs="Arial"/>
          <w:sz w:val="20"/>
          <w:szCs w:val="20"/>
        </w:rPr>
        <w:t>A realização de concursos públicos para o acesso a cargos públicos, como as exceções constitucionais, nos termos do art. 37, inciso II, da Constituição Federal, é instrumento de efetivação dos princípios da igualdade, da impessoalidade e da moralidade administrativa e, desde o início do seu procedimento, os referidos princípios devem ser resguardados.</w:t>
      </w:r>
      <w:r w:rsidR="00D928B2">
        <w:rPr>
          <w:rFonts w:ascii="Arial" w:hAnsi="Arial" w:cs="Arial"/>
          <w:sz w:val="20"/>
          <w:szCs w:val="20"/>
        </w:rPr>
        <w:t xml:space="preserve"> </w:t>
      </w:r>
      <w:r w:rsidR="00D928B2" w:rsidRPr="00D928B2">
        <w:rPr>
          <w:rFonts w:ascii="Arial" w:hAnsi="Arial" w:cs="Arial"/>
          <w:sz w:val="20"/>
          <w:szCs w:val="20"/>
        </w:rPr>
        <w:t>Não obstante, no caso em concreto foi constatada a efetiva</w:t>
      </w:r>
      <w:r w:rsidR="00D928B2">
        <w:rPr>
          <w:rFonts w:ascii="Arial" w:hAnsi="Arial" w:cs="Arial"/>
          <w:sz w:val="20"/>
          <w:szCs w:val="20"/>
        </w:rPr>
        <w:t xml:space="preserve"> </w:t>
      </w:r>
      <w:r w:rsidR="00D928B2" w:rsidRPr="00D928B2">
        <w:rPr>
          <w:rFonts w:ascii="Arial" w:hAnsi="Arial" w:cs="Arial"/>
          <w:sz w:val="20"/>
          <w:szCs w:val="20"/>
        </w:rPr>
        <w:t>participação do então servidor, ocupante do cargo em comissão de advogado, no processo licitatório de convite, que precedeu a</w:t>
      </w:r>
      <w:r w:rsidR="00D928B2">
        <w:rPr>
          <w:rFonts w:ascii="Arial" w:hAnsi="Arial" w:cs="Arial"/>
          <w:sz w:val="20"/>
          <w:szCs w:val="20"/>
        </w:rPr>
        <w:t xml:space="preserve"> </w:t>
      </w:r>
      <w:r w:rsidR="00D928B2" w:rsidRPr="00D928B2">
        <w:rPr>
          <w:rFonts w:ascii="Arial" w:hAnsi="Arial" w:cs="Arial"/>
          <w:sz w:val="20"/>
          <w:szCs w:val="20"/>
        </w:rPr>
        <w:t>contratação da empresa responsável pela sua execução como acima relacionado, o</w:t>
      </w:r>
      <w:r w:rsidR="00D928B2">
        <w:rPr>
          <w:rFonts w:ascii="Arial" w:hAnsi="Arial" w:cs="Arial"/>
          <w:sz w:val="20"/>
          <w:szCs w:val="20"/>
        </w:rPr>
        <w:t xml:space="preserve"> </w:t>
      </w:r>
      <w:r w:rsidR="00D928B2" w:rsidRPr="00D928B2">
        <w:rPr>
          <w:rFonts w:ascii="Arial" w:hAnsi="Arial" w:cs="Arial"/>
          <w:sz w:val="20"/>
          <w:szCs w:val="20"/>
        </w:rPr>
        <w:t>que gera grave perda da imparcialidade e impessoalidade, bem como ofende os</w:t>
      </w:r>
      <w:r w:rsidR="00B56A2E">
        <w:rPr>
          <w:rFonts w:ascii="Arial" w:hAnsi="Arial" w:cs="Arial"/>
          <w:sz w:val="20"/>
          <w:szCs w:val="20"/>
        </w:rPr>
        <w:t xml:space="preserve"> </w:t>
      </w:r>
      <w:r w:rsidR="00D928B2" w:rsidRPr="00D928B2">
        <w:rPr>
          <w:rFonts w:ascii="Arial" w:hAnsi="Arial" w:cs="Arial"/>
          <w:sz w:val="20"/>
          <w:szCs w:val="20"/>
        </w:rPr>
        <w:t>princípios da igualdade (entre os candidatos) e moralidade.</w:t>
      </w:r>
    </w:p>
    <w:p w:rsidR="00B56A2E" w:rsidRPr="00D928B2" w:rsidRDefault="00B56A2E" w:rsidP="00B56A2E">
      <w:pPr>
        <w:autoSpaceDE w:val="0"/>
        <w:autoSpaceDN w:val="0"/>
        <w:adjustRightInd w:val="0"/>
        <w:spacing w:after="0"/>
        <w:jc w:val="both"/>
        <w:rPr>
          <w:rFonts w:ascii="Arial" w:hAnsi="Arial" w:cs="Arial"/>
          <w:sz w:val="20"/>
          <w:szCs w:val="20"/>
        </w:rPr>
      </w:pPr>
    </w:p>
    <w:p w:rsidR="00D928B2" w:rsidRPr="00D928B2" w:rsidRDefault="00D928B2" w:rsidP="00B56A2E">
      <w:pPr>
        <w:autoSpaceDE w:val="0"/>
        <w:autoSpaceDN w:val="0"/>
        <w:adjustRightInd w:val="0"/>
        <w:spacing w:after="0" w:line="240" w:lineRule="auto"/>
        <w:jc w:val="both"/>
        <w:rPr>
          <w:rFonts w:ascii="Arial" w:hAnsi="Arial" w:cs="Arial"/>
          <w:sz w:val="20"/>
          <w:szCs w:val="20"/>
        </w:rPr>
      </w:pPr>
      <w:r w:rsidRPr="00D928B2">
        <w:rPr>
          <w:rFonts w:ascii="Arial" w:hAnsi="Arial" w:cs="Arial"/>
          <w:sz w:val="20"/>
          <w:szCs w:val="20"/>
        </w:rPr>
        <w:t>É necessário considerar que a participação da assessoria jurídica,</w:t>
      </w:r>
      <w:r w:rsidR="00B56A2E">
        <w:rPr>
          <w:rFonts w:ascii="Arial" w:hAnsi="Arial" w:cs="Arial"/>
          <w:sz w:val="20"/>
          <w:szCs w:val="20"/>
        </w:rPr>
        <w:t xml:space="preserve"> </w:t>
      </w:r>
      <w:r w:rsidRPr="00D928B2">
        <w:rPr>
          <w:rFonts w:ascii="Arial" w:hAnsi="Arial" w:cs="Arial"/>
          <w:sz w:val="20"/>
          <w:szCs w:val="20"/>
        </w:rPr>
        <w:t>em cumprimento ao art. 38, parágrafo único, da Lei n</w:t>
      </w:r>
      <w:r w:rsidR="00C52C9B">
        <w:rPr>
          <w:rFonts w:ascii="Arial" w:hAnsi="Arial" w:cs="Arial"/>
          <w:sz w:val="20"/>
          <w:szCs w:val="20"/>
        </w:rPr>
        <w:t>°</w:t>
      </w:r>
      <w:r w:rsidRPr="00D928B2">
        <w:rPr>
          <w:rFonts w:ascii="Arial" w:hAnsi="Arial" w:cs="Arial"/>
          <w:sz w:val="20"/>
          <w:szCs w:val="20"/>
        </w:rPr>
        <w:t xml:space="preserve"> 8.666/1993, é relevante,</w:t>
      </w:r>
      <w:r w:rsidR="00B56A2E">
        <w:rPr>
          <w:rFonts w:ascii="Arial" w:hAnsi="Arial" w:cs="Arial"/>
          <w:sz w:val="20"/>
          <w:szCs w:val="20"/>
        </w:rPr>
        <w:t xml:space="preserve"> </w:t>
      </w:r>
      <w:r w:rsidRPr="00D928B2">
        <w:rPr>
          <w:rFonts w:ascii="Arial" w:hAnsi="Arial" w:cs="Arial"/>
          <w:sz w:val="20"/>
          <w:szCs w:val="20"/>
        </w:rPr>
        <w:t>envolve a consultoria, o exame e a aprovação das minutas de edital e de contrato e,</w:t>
      </w:r>
      <w:r w:rsidR="00B56A2E">
        <w:rPr>
          <w:rFonts w:ascii="Arial" w:hAnsi="Arial" w:cs="Arial"/>
          <w:sz w:val="20"/>
          <w:szCs w:val="20"/>
        </w:rPr>
        <w:t xml:space="preserve"> </w:t>
      </w:r>
      <w:r w:rsidRPr="00D928B2">
        <w:rPr>
          <w:rFonts w:ascii="Arial" w:hAnsi="Arial" w:cs="Arial"/>
          <w:sz w:val="20"/>
          <w:szCs w:val="20"/>
        </w:rPr>
        <w:t>ao final, o controle de legalidade do procedimento licitatório como um todo.</w:t>
      </w:r>
    </w:p>
    <w:p w:rsidR="00D928B2" w:rsidRDefault="00D928B2" w:rsidP="00D928B2">
      <w:pPr>
        <w:autoSpaceDE w:val="0"/>
        <w:autoSpaceDN w:val="0"/>
        <w:adjustRightInd w:val="0"/>
        <w:spacing w:after="0"/>
        <w:jc w:val="both"/>
        <w:rPr>
          <w:rFonts w:ascii="Arial" w:hAnsi="Arial" w:cs="Arial"/>
          <w:sz w:val="24"/>
          <w:szCs w:val="24"/>
        </w:rPr>
      </w:pPr>
    </w:p>
    <w:p w:rsidR="00D6642A" w:rsidRPr="00B56A2E" w:rsidRDefault="00D928B2" w:rsidP="00D6642A">
      <w:pPr>
        <w:autoSpaceDE w:val="0"/>
        <w:autoSpaceDN w:val="0"/>
        <w:adjustRightInd w:val="0"/>
        <w:spacing w:after="0"/>
        <w:jc w:val="both"/>
        <w:rPr>
          <w:rFonts w:ascii="Arial" w:hAnsi="Arial" w:cs="Arial"/>
          <w:bCs/>
          <w:i/>
          <w:sz w:val="20"/>
          <w:szCs w:val="20"/>
        </w:rPr>
      </w:pPr>
      <w:r w:rsidRPr="00B56A2E">
        <w:rPr>
          <w:rFonts w:ascii="Arial" w:hAnsi="Arial" w:cs="Arial"/>
          <w:sz w:val="20"/>
          <w:szCs w:val="20"/>
        </w:rPr>
        <w:t>Fundamentalmente, sobre a participação em concurso público de</w:t>
      </w:r>
      <w:r w:rsidR="00B56A2E">
        <w:rPr>
          <w:rFonts w:ascii="Arial" w:hAnsi="Arial" w:cs="Arial"/>
          <w:sz w:val="20"/>
          <w:szCs w:val="20"/>
        </w:rPr>
        <w:t xml:space="preserve"> </w:t>
      </w:r>
      <w:r w:rsidRPr="00B56A2E">
        <w:rPr>
          <w:rFonts w:ascii="Arial" w:hAnsi="Arial" w:cs="Arial"/>
          <w:sz w:val="20"/>
          <w:szCs w:val="20"/>
        </w:rPr>
        <w:t>servidor já ocupante de cargo no órgão em que será realizado o certame, esta Corte</w:t>
      </w:r>
      <w:r w:rsidR="00B56A2E">
        <w:rPr>
          <w:rFonts w:ascii="Arial" w:hAnsi="Arial" w:cs="Arial"/>
          <w:sz w:val="20"/>
          <w:szCs w:val="20"/>
        </w:rPr>
        <w:t xml:space="preserve"> já decidiu em sede de C</w:t>
      </w:r>
      <w:r w:rsidRPr="00B56A2E">
        <w:rPr>
          <w:rFonts w:ascii="Arial" w:hAnsi="Arial" w:cs="Arial"/>
          <w:sz w:val="20"/>
          <w:szCs w:val="20"/>
        </w:rPr>
        <w:t>onsultas</w:t>
      </w:r>
      <w:r w:rsidR="00B56A2E">
        <w:rPr>
          <w:rFonts w:ascii="Arial" w:hAnsi="Arial" w:cs="Arial"/>
          <w:sz w:val="20"/>
          <w:szCs w:val="20"/>
        </w:rPr>
        <w:t xml:space="preserve">  </w:t>
      </w:r>
      <w:r w:rsidRPr="00B56A2E">
        <w:rPr>
          <w:rFonts w:ascii="Arial" w:hAnsi="Arial" w:cs="Arial"/>
          <w:sz w:val="20"/>
          <w:szCs w:val="20"/>
        </w:rPr>
        <w:t>formuladas</w:t>
      </w:r>
      <w:r w:rsidR="00B56A2E">
        <w:rPr>
          <w:rFonts w:ascii="Arial" w:hAnsi="Arial" w:cs="Arial"/>
          <w:sz w:val="20"/>
          <w:szCs w:val="20"/>
        </w:rPr>
        <w:t xml:space="preserve"> </w:t>
      </w:r>
      <w:r w:rsidR="00B56A2E" w:rsidRPr="00B56A2E">
        <w:rPr>
          <w:rFonts w:ascii="Arial" w:hAnsi="Arial" w:cs="Arial"/>
          <w:sz w:val="20"/>
          <w:szCs w:val="20"/>
        </w:rPr>
        <w:t>(Acórdãos 1608/11 e 938/12) que:</w:t>
      </w:r>
      <w:r w:rsidR="00B56A2E">
        <w:rPr>
          <w:rFonts w:ascii="Arial" w:hAnsi="Arial" w:cs="Arial"/>
          <w:b/>
          <w:sz w:val="20"/>
          <w:szCs w:val="20"/>
        </w:rPr>
        <w:t xml:space="preserve"> </w:t>
      </w:r>
      <w:r w:rsidR="00B56A2E" w:rsidRPr="00B56A2E">
        <w:rPr>
          <w:rFonts w:ascii="Arial" w:hAnsi="Arial" w:cs="Arial"/>
          <w:i/>
          <w:sz w:val="20"/>
          <w:szCs w:val="20"/>
        </w:rPr>
        <w:t>“</w:t>
      </w:r>
      <w:r w:rsidR="00B56A2E" w:rsidRPr="00B56A2E">
        <w:rPr>
          <w:rFonts w:ascii="Arial" w:hAnsi="Arial" w:cs="Arial"/>
          <w:bCs/>
          <w:i/>
          <w:sz w:val="20"/>
          <w:szCs w:val="20"/>
        </w:rPr>
        <w:t>Não há impedimento para os servidores comissionados participarem de concurso público na administração que integrem, desde que não participem de qualquer ato administrativo do certame, nos termos asseverados no parecer da Diretoria Jurídica, bem como não seja destinado ao preenchimento de vagas no órgão, setor ou departamento em que exerçam direção, chefia ou assessoramento em razão dos princípios constitucionais da impessoalidade e moralidade”</w:t>
      </w:r>
      <w:r w:rsidR="00D6642A">
        <w:rPr>
          <w:rFonts w:ascii="Arial" w:hAnsi="Arial" w:cs="Arial"/>
          <w:bCs/>
          <w:i/>
          <w:sz w:val="20"/>
          <w:szCs w:val="20"/>
        </w:rPr>
        <w:t xml:space="preserve">, </w:t>
      </w:r>
      <w:r w:rsidR="00D6642A">
        <w:rPr>
          <w:rFonts w:ascii="Arial" w:hAnsi="Arial" w:cs="Arial"/>
          <w:bCs/>
          <w:sz w:val="20"/>
          <w:szCs w:val="20"/>
        </w:rPr>
        <w:t xml:space="preserve">e </w:t>
      </w:r>
      <w:r w:rsidR="00D6642A" w:rsidRPr="00D6642A">
        <w:rPr>
          <w:rFonts w:ascii="Arial" w:hAnsi="Arial" w:cs="Arial"/>
          <w:bCs/>
          <w:i/>
          <w:sz w:val="20"/>
          <w:szCs w:val="20"/>
        </w:rPr>
        <w:t>“pela possibilidade de participação de servidor comissionado em concurso público, condicionada ao seu afastamento de todos os atos relacionados ao certame”.</w:t>
      </w:r>
    </w:p>
    <w:p w:rsidR="00B56A2E" w:rsidRDefault="00B56A2E" w:rsidP="00B56A2E">
      <w:pPr>
        <w:autoSpaceDE w:val="0"/>
        <w:autoSpaceDN w:val="0"/>
        <w:adjustRightInd w:val="0"/>
        <w:spacing w:after="0"/>
        <w:jc w:val="both"/>
        <w:rPr>
          <w:rFonts w:ascii="Arial" w:hAnsi="Arial" w:cs="Arial"/>
          <w:bCs/>
          <w:i/>
          <w:sz w:val="20"/>
          <w:szCs w:val="20"/>
        </w:rPr>
      </w:pPr>
    </w:p>
    <w:p w:rsidR="00B56A2E" w:rsidRDefault="00D6642A" w:rsidP="00D6642A">
      <w:pPr>
        <w:autoSpaceDE w:val="0"/>
        <w:autoSpaceDN w:val="0"/>
        <w:adjustRightInd w:val="0"/>
        <w:spacing w:after="0"/>
        <w:jc w:val="both"/>
        <w:rPr>
          <w:rFonts w:ascii="Arial" w:hAnsi="Arial" w:cs="Arial"/>
          <w:bCs/>
          <w:sz w:val="20"/>
          <w:szCs w:val="20"/>
        </w:rPr>
      </w:pPr>
      <w:r w:rsidRPr="00D6642A">
        <w:rPr>
          <w:rFonts w:ascii="Arial" w:hAnsi="Arial" w:cs="Arial"/>
          <w:sz w:val="20"/>
          <w:szCs w:val="20"/>
        </w:rPr>
        <w:t>As referidas consultas foram tomadas por quórum qualificado, nos termos do art. 115 da Lei Complementar n</w:t>
      </w:r>
      <w:r w:rsidR="00C52C9B">
        <w:rPr>
          <w:rFonts w:ascii="Arial" w:hAnsi="Arial" w:cs="Arial"/>
          <w:sz w:val="20"/>
          <w:szCs w:val="20"/>
        </w:rPr>
        <w:t>°</w:t>
      </w:r>
      <w:r w:rsidRPr="00D6642A">
        <w:rPr>
          <w:rFonts w:ascii="Arial" w:hAnsi="Arial" w:cs="Arial"/>
          <w:sz w:val="20"/>
          <w:szCs w:val="20"/>
        </w:rPr>
        <w:t xml:space="preserve"> 113/2005, constituindo prejulgamento de tese e vinculando o exame de feitos sobre o mesmo tema, como dispõe o art. 41 da referida norma. Assim, não há como afastar a negativa de registro de admissão do referido servidor, destacando-se que tal solução foi tomada recentemente por esta Corte por ocasião do julgamento do </w:t>
      </w:r>
      <w:r w:rsidRPr="00D6642A">
        <w:rPr>
          <w:rFonts w:ascii="Arial" w:hAnsi="Arial" w:cs="Arial"/>
          <w:bCs/>
          <w:sz w:val="20"/>
          <w:szCs w:val="20"/>
        </w:rPr>
        <w:t>Acórdão n</w:t>
      </w:r>
      <w:r w:rsidR="00C52C9B">
        <w:rPr>
          <w:rFonts w:ascii="Arial" w:hAnsi="Arial" w:cs="Arial"/>
          <w:bCs/>
          <w:sz w:val="20"/>
          <w:szCs w:val="20"/>
        </w:rPr>
        <w:t>°</w:t>
      </w:r>
      <w:r w:rsidRPr="00D6642A">
        <w:rPr>
          <w:rFonts w:ascii="Arial" w:hAnsi="Arial" w:cs="Arial"/>
          <w:bCs/>
          <w:sz w:val="20"/>
          <w:szCs w:val="20"/>
        </w:rPr>
        <w:t xml:space="preserve"> 1618/16 </w:t>
      </w:r>
      <w:r>
        <w:rPr>
          <w:rFonts w:ascii="Arial" w:hAnsi="Arial" w:cs="Arial"/>
          <w:bCs/>
          <w:sz w:val="20"/>
          <w:szCs w:val="20"/>
        </w:rPr>
        <w:t>-</w:t>
      </w:r>
      <w:r w:rsidRPr="00D6642A">
        <w:rPr>
          <w:rFonts w:ascii="Arial" w:hAnsi="Arial" w:cs="Arial"/>
          <w:bCs/>
          <w:sz w:val="20"/>
          <w:szCs w:val="20"/>
        </w:rPr>
        <w:t xml:space="preserve"> Primeira Câmara. </w:t>
      </w:r>
    </w:p>
    <w:p w:rsidR="00D6642A" w:rsidRDefault="00D6642A" w:rsidP="00D6642A">
      <w:pPr>
        <w:autoSpaceDE w:val="0"/>
        <w:autoSpaceDN w:val="0"/>
        <w:adjustRightInd w:val="0"/>
        <w:spacing w:after="0"/>
        <w:jc w:val="both"/>
        <w:rPr>
          <w:rFonts w:ascii="Arial" w:hAnsi="Arial" w:cs="Arial"/>
          <w:bCs/>
          <w:sz w:val="20"/>
          <w:szCs w:val="20"/>
        </w:rPr>
      </w:pPr>
    </w:p>
    <w:p w:rsidR="00812B3D" w:rsidRDefault="00812B3D" w:rsidP="00D6642A">
      <w:pPr>
        <w:autoSpaceDE w:val="0"/>
        <w:autoSpaceDN w:val="0"/>
        <w:adjustRightInd w:val="0"/>
        <w:spacing w:after="0"/>
        <w:jc w:val="both"/>
        <w:rPr>
          <w:rFonts w:ascii="Arial" w:hAnsi="Arial" w:cs="Arial"/>
          <w:bCs/>
          <w:sz w:val="20"/>
          <w:szCs w:val="20"/>
        </w:rPr>
      </w:pPr>
      <w:r>
        <w:rPr>
          <w:rFonts w:ascii="Arial" w:hAnsi="Arial" w:cs="Arial"/>
          <w:bCs/>
          <w:sz w:val="20"/>
          <w:szCs w:val="20"/>
        </w:rPr>
        <w:t xml:space="preserve">Processo n° 264784/12 - </w:t>
      </w:r>
      <w:hyperlink r:id="rId14" w:history="1">
        <w:r w:rsidRPr="00DA58DF">
          <w:rPr>
            <w:rStyle w:val="Hyperlink"/>
            <w:rFonts w:ascii="Arial" w:hAnsi="Arial" w:cs="Arial"/>
            <w:sz w:val="20"/>
            <w:szCs w:val="20"/>
          </w:rPr>
          <w:t>Acórdão n° 4875/17 - Segunda Câmara</w:t>
        </w:r>
      </w:hyperlink>
      <w:r>
        <w:rPr>
          <w:rFonts w:ascii="Arial" w:hAnsi="Arial" w:cs="Arial"/>
          <w:bCs/>
          <w:sz w:val="20"/>
          <w:szCs w:val="20"/>
        </w:rPr>
        <w:t xml:space="preserve"> - Rel. Cons. Ivens </w:t>
      </w:r>
      <w:proofErr w:type="spellStart"/>
      <w:r>
        <w:rPr>
          <w:rFonts w:ascii="Arial" w:hAnsi="Arial" w:cs="Arial"/>
          <w:bCs/>
          <w:sz w:val="20"/>
          <w:szCs w:val="20"/>
        </w:rPr>
        <w:t>Zshoerper</w:t>
      </w:r>
      <w:proofErr w:type="spellEnd"/>
      <w:r>
        <w:rPr>
          <w:rFonts w:ascii="Arial" w:hAnsi="Arial" w:cs="Arial"/>
          <w:bCs/>
          <w:sz w:val="20"/>
          <w:szCs w:val="20"/>
        </w:rPr>
        <w:t xml:space="preserve"> Linhares.</w:t>
      </w:r>
    </w:p>
    <w:p w:rsidR="00C714B3" w:rsidRDefault="00C714B3" w:rsidP="00D6642A">
      <w:pPr>
        <w:autoSpaceDE w:val="0"/>
        <w:autoSpaceDN w:val="0"/>
        <w:adjustRightInd w:val="0"/>
        <w:spacing w:after="0"/>
        <w:jc w:val="both"/>
        <w:rPr>
          <w:rFonts w:ascii="Arial" w:hAnsi="Arial" w:cs="Arial"/>
          <w:bCs/>
          <w:sz w:val="20"/>
          <w:szCs w:val="20"/>
        </w:rPr>
      </w:pPr>
    </w:p>
    <w:p w:rsidR="00D6642A" w:rsidRPr="00D6642A" w:rsidRDefault="00D6642A" w:rsidP="00D6642A">
      <w:pPr>
        <w:autoSpaceDE w:val="0"/>
        <w:autoSpaceDN w:val="0"/>
        <w:adjustRightInd w:val="0"/>
        <w:spacing w:after="0"/>
        <w:jc w:val="both"/>
        <w:rPr>
          <w:rFonts w:ascii="Arial" w:hAnsi="Arial" w:cs="Arial"/>
          <w:sz w:val="20"/>
          <w:szCs w:val="20"/>
        </w:rPr>
      </w:pP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lastRenderedPageBreak/>
        <w:t>TRIBUNAL PLENO</w:t>
      </w:r>
    </w:p>
    <w:p w:rsidR="00BD4E7A" w:rsidRDefault="00BD4E7A" w:rsidP="00816942">
      <w:pPr>
        <w:autoSpaceDE w:val="0"/>
        <w:autoSpaceDN w:val="0"/>
        <w:adjustRightInd w:val="0"/>
        <w:spacing w:after="0"/>
        <w:jc w:val="both"/>
        <w:rPr>
          <w:rFonts w:ascii="Arial" w:hAnsi="Arial" w:cs="Arial"/>
          <w:b/>
          <w:color w:val="000000"/>
          <w:sz w:val="20"/>
          <w:szCs w:val="20"/>
          <w:shd w:val="clear" w:color="auto" w:fill="FFFFFF"/>
        </w:rPr>
      </w:pPr>
    </w:p>
    <w:p w:rsidR="00F20DFA" w:rsidRPr="00B71476" w:rsidRDefault="00C714B3" w:rsidP="00B71476">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8</w:t>
      </w:r>
      <w:r w:rsidR="0005225C" w:rsidRPr="00B71476">
        <w:rPr>
          <w:rFonts w:ascii="Arial" w:hAnsi="Arial" w:cs="Arial"/>
          <w:b/>
          <w:sz w:val="20"/>
          <w:szCs w:val="20"/>
        </w:rPr>
        <w:t xml:space="preserve">. </w:t>
      </w:r>
      <w:r w:rsidR="00F20DFA" w:rsidRPr="00B71476">
        <w:rPr>
          <w:rFonts w:ascii="Arial" w:hAnsi="Arial" w:cs="Arial"/>
          <w:b/>
          <w:sz w:val="20"/>
          <w:szCs w:val="20"/>
        </w:rPr>
        <w:t>Tomada de Contas Extraordinária. Parecerista. Inexigibilidade de licitação. Ausência de demonstração da singularidade do objeto. Contratação de consultoria jurídica terceirizada indevida. Irregularidade, com restituição de valores ao erário e aplicação de multas.</w:t>
      </w:r>
    </w:p>
    <w:p w:rsidR="00F20DFA" w:rsidRPr="00F20DFA" w:rsidRDefault="00F20DFA" w:rsidP="00816942">
      <w:pPr>
        <w:autoSpaceDE w:val="0"/>
        <w:autoSpaceDN w:val="0"/>
        <w:adjustRightInd w:val="0"/>
        <w:spacing w:after="0"/>
        <w:jc w:val="both"/>
        <w:rPr>
          <w:rFonts w:ascii="Arial" w:hAnsi="Arial" w:cs="Arial"/>
          <w:b/>
          <w:color w:val="000000"/>
          <w:sz w:val="20"/>
          <w:szCs w:val="20"/>
          <w:shd w:val="clear" w:color="auto" w:fill="FFFFFF"/>
        </w:rPr>
      </w:pPr>
    </w:p>
    <w:p w:rsidR="0026510B" w:rsidRPr="00F7717A" w:rsidRDefault="00F7717A" w:rsidP="002949B6">
      <w:pPr>
        <w:autoSpaceDE w:val="0"/>
        <w:autoSpaceDN w:val="0"/>
        <w:adjustRightInd w:val="0"/>
        <w:spacing w:after="0"/>
        <w:jc w:val="both"/>
        <w:rPr>
          <w:rFonts w:ascii="Arial" w:hAnsi="Arial" w:cs="Arial"/>
          <w:color w:val="000000"/>
          <w:sz w:val="20"/>
          <w:szCs w:val="20"/>
          <w:shd w:val="clear" w:color="auto" w:fill="FFFFFF"/>
        </w:rPr>
      </w:pPr>
      <w:r w:rsidRPr="00F7717A">
        <w:rPr>
          <w:rFonts w:ascii="Arial" w:hAnsi="Arial" w:cs="Arial"/>
          <w:sz w:val="20"/>
          <w:szCs w:val="20"/>
        </w:rPr>
        <w:t xml:space="preserve">Conforme bem assentado na doutrina, a regra é que a singularidade se refere ao objeto e não ao prestador do serviço, não se admitindo a tentativa de justificativa inversa, qual seja, pretender justificar a falta de singularidade do objeto pela notoriedade do parecerista. </w:t>
      </w:r>
    </w:p>
    <w:p w:rsidR="00F7717A" w:rsidRPr="00F7717A" w:rsidRDefault="00F7717A" w:rsidP="002949B6">
      <w:pPr>
        <w:autoSpaceDE w:val="0"/>
        <w:autoSpaceDN w:val="0"/>
        <w:adjustRightInd w:val="0"/>
        <w:spacing w:after="0"/>
        <w:jc w:val="both"/>
        <w:rPr>
          <w:rFonts w:ascii="Arial" w:hAnsi="Arial" w:cs="Arial"/>
          <w:color w:val="000000"/>
          <w:sz w:val="20"/>
          <w:szCs w:val="20"/>
          <w:shd w:val="clear" w:color="auto" w:fill="FFFFFF"/>
        </w:rPr>
      </w:pPr>
    </w:p>
    <w:p w:rsidR="00F7717A" w:rsidRPr="00F7717A" w:rsidRDefault="00F7717A" w:rsidP="001765B5">
      <w:pPr>
        <w:autoSpaceDE w:val="0"/>
        <w:autoSpaceDN w:val="0"/>
        <w:adjustRightInd w:val="0"/>
        <w:spacing w:after="0"/>
        <w:jc w:val="both"/>
        <w:rPr>
          <w:rFonts w:ascii="Arial" w:hAnsi="Arial" w:cs="Arial"/>
          <w:sz w:val="20"/>
          <w:szCs w:val="20"/>
        </w:rPr>
      </w:pPr>
      <w:r w:rsidRPr="00F7717A">
        <w:rPr>
          <w:rFonts w:ascii="Arial" w:hAnsi="Arial" w:cs="Arial"/>
          <w:sz w:val="20"/>
          <w:szCs w:val="20"/>
        </w:rPr>
        <w:t>De acordo com a clara redação do art. 25, II da Lei nº 8.666/93,</w:t>
      </w:r>
      <w:r>
        <w:rPr>
          <w:rFonts w:ascii="Arial" w:hAnsi="Arial" w:cs="Arial"/>
          <w:sz w:val="20"/>
          <w:szCs w:val="20"/>
        </w:rPr>
        <w:t xml:space="preserve"> </w:t>
      </w:r>
      <w:r w:rsidRPr="00F7717A">
        <w:rPr>
          <w:rFonts w:ascii="Arial" w:hAnsi="Arial" w:cs="Arial"/>
          <w:sz w:val="20"/>
          <w:szCs w:val="20"/>
        </w:rPr>
        <w:t>exige-se que o objeto contratado seja singular em si mesmo, uma vez que a notória</w:t>
      </w:r>
      <w:r>
        <w:rPr>
          <w:rFonts w:ascii="Arial" w:hAnsi="Arial" w:cs="Arial"/>
          <w:sz w:val="20"/>
          <w:szCs w:val="20"/>
        </w:rPr>
        <w:t xml:space="preserve"> </w:t>
      </w:r>
      <w:r w:rsidRPr="00F7717A">
        <w:rPr>
          <w:rFonts w:ascii="Arial" w:hAnsi="Arial" w:cs="Arial"/>
          <w:sz w:val="20"/>
          <w:szCs w:val="20"/>
        </w:rPr>
        <w:t>especialização do profissional não inviabiliza a competição e nem transforma o</w:t>
      </w:r>
      <w:r>
        <w:rPr>
          <w:rFonts w:ascii="Arial" w:hAnsi="Arial" w:cs="Arial"/>
          <w:sz w:val="20"/>
          <w:szCs w:val="20"/>
        </w:rPr>
        <w:t xml:space="preserve"> </w:t>
      </w:r>
      <w:r w:rsidRPr="00F7717A">
        <w:rPr>
          <w:rFonts w:ascii="Arial" w:hAnsi="Arial" w:cs="Arial"/>
          <w:sz w:val="20"/>
          <w:szCs w:val="20"/>
        </w:rPr>
        <w:t>objeto do serviço em singular.</w:t>
      </w:r>
    </w:p>
    <w:p w:rsidR="00F7717A" w:rsidRPr="00F7717A" w:rsidRDefault="00F7717A" w:rsidP="001765B5">
      <w:pPr>
        <w:autoSpaceDE w:val="0"/>
        <w:autoSpaceDN w:val="0"/>
        <w:adjustRightInd w:val="0"/>
        <w:spacing w:after="0"/>
        <w:jc w:val="both"/>
        <w:rPr>
          <w:rFonts w:ascii="Arial" w:hAnsi="Arial" w:cs="Arial"/>
          <w:sz w:val="20"/>
          <w:szCs w:val="20"/>
        </w:rPr>
      </w:pPr>
    </w:p>
    <w:p w:rsidR="00F7717A" w:rsidRDefault="00F7717A" w:rsidP="001765B5">
      <w:pPr>
        <w:autoSpaceDE w:val="0"/>
        <w:autoSpaceDN w:val="0"/>
        <w:adjustRightInd w:val="0"/>
        <w:spacing w:after="0"/>
        <w:jc w:val="both"/>
        <w:rPr>
          <w:rFonts w:ascii="Arial" w:hAnsi="Arial" w:cs="Arial"/>
          <w:sz w:val="20"/>
          <w:szCs w:val="20"/>
        </w:rPr>
      </w:pPr>
      <w:r w:rsidRPr="00F7717A">
        <w:rPr>
          <w:rFonts w:ascii="Arial" w:hAnsi="Arial" w:cs="Arial"/>
          <w:sz w:val="20"/>
          <w:szCs w:val="20"/>
        </w:rPr>
        <w:t>Desta forma, considerando que a prestação dos serviços de valor</w:t>
      </w:r>
      <w:r>
        <w:rPr>
          <w:rFonts w:ascii="Arial" w:hAnsi="Arial" w:cs="Arial"/>
          <w:sz w:val="20"/>
          <w:szCs w:val="20"/>
        </w:rPr>
        <w:t xml:space="preserve"> </w:t>
      </w:r>
      <w:r w:rsidRPr="00F7717A">
        <w:rPr>
          <w:rFonts w:ascii="Arial" w:hAnsi="Arial" w:cs="Arial"/>
          <w:sz w:val="20"/>
          <w:szCs w:val="20"/>
        </w:rPr>
        <w:t>adicionado se insere no âmbito das atribuições próprias e habituais da empresa e</w:t>
      </w:r>
      <w:r>
        <w:rPr>
          <w:rFonts w:ascii="Arial" w:hAnsi="Arial" w:cs="Arial"/>
          <w:sz w:val="20"/>
          <w:szCs w:val="20"/>
        </w:rPr>
        <w:t xml:space="preserve"> </w:t>
      </w:r>
      <w:r w:rsidRPr="00F7717A">
        <w:rPr>
          <w:rFonts w:ascii="Arial" w:hAnsi="Arial" w:cs="Arial"/>
          <w:sz w:val="20"/>
          <w:szCs w:val="20"/>
        </w:rPr>
        <w:t>tendo em vista os termos excessivamente amplos e genéricos do objeto da</w:t>
      </w:r>
      <w:r>
        <w:rPr>
          <w:rFonts w:ascii="Arial" w:hAnsi="Arial" w:cs="Arial"/>
          <w:sz w:val="20"/>
          <w:szCs w:val="20"/>
        </w:rPr>
        <w:t xml:space="preserve"> </w:t>
      </w:r>
      <w:r w:rsidRPr="00F7717A">
        <w:rPr>
          <w:rFonts w:ascii="Arial" w:hAnsi="Arial" w:cs="Arial"/>
          <w:sz w:val="20"/>
          <w:szCs w:val="20"/>
        </w:rPr>
        <w:t>contratação, entende-se que também restou configurada sua impropriedade, uma</w:t>
      </w:r>
      <w:r>
        <w:rPr>
          <w:rFonts w:ascii="Arial" w:hAnsi="Arial" w:cs="Arial"/>
          <w:sz w:val="20"/>
          <w:szCs w:val="20"/>
        </w:rPr>
        <w:t xml:space="preserve"> </w:t>
      </w:r>
      <w:r w:rsidRPr="00F7717A">
        <w:rPr>
          <w:rFonts w:ascii="Arial" w:hAnsi="Arial" w:cs="Arial"/>
          <w:sz w:val="20"/>
          <w:szCs w:val="20"/>
        </w:rPr>
        <w:t xml:space="preserve">vez que não evidencia, </w:t>
      </w:r>
      <w:r w:rsidRPr="00F7717A">
        <w:rPr>
          <w:rFonts w:ascii="Arial" w:hAnsi="Arial" w:cs="Arial"/>
          <w:i/>
          <w:iCs/>
          <w:sz w:val="20"/>
          <w:szCs w:val="20"/>
        </w:rPr>
        <w:t xml:space="preserve">in </w:t>
      </w:r>
      <w:proofErr w:type="spellStart"/>
      <w:r w:rsidRPr="00F7717A">
        <w:rPr>
          <w:rFonts w:ascii="Arial" w:hAnsi="Arial" w:cs="Arial"/>
          <w:i/>
          <w:iCs/>
          <w:sz w:val="20"/>
          <w:szCs w:val="20"/>
        </w:rPr>
        <w:t>casu</w:t>
      </w:r>
      <w:proofErr w:type="spellEnd"/>
      <w:r w:rsidRPr="00F7717A">
        <w:rPr>
          <w:rFonts w:ascii="Arial" w:hAnsi="Arial" w:cs="Arial"/>
          <w:sz w:val="20"/>
          <w:szCs w:val="20"/>
        </w:rPr>
        <w:t>, a necessária natureza singular do objeto.</w:t>
      </w:r>
    </w:p>
    <w:p w:rsidR="00F7717A" w:rsidRDefault="00F7717A" w:rsidP="001765B5">
      <w:pPr>
        <w:autoSpaceDE w:val="0"/>
        <w:autoSpaceDN w:val="0"/>
        <w:adjustRightInd w:val="0"/>
        <w:spacing w:after="0"/>
        <w:jc w:val="both"/>
        <w:rPr>
          <w:rFonts w:ascii="Arial" w:hAnsi="Arial" w:cs="Arial"/>
          <w:sz w:val="20"/>
          <w:szCs w:val="20"/>
        </w:rPr>
      </w:pPr>
    </w:p>
    <w:p w:rsidR="00F7717A" w:rsidRDefault="000B43DE" w:rsidP="001765B5">
      <w:pPr>
        <w:autoSpaceDE w:val="0"/>
        <w:autoSpaceDN w:val="0"/>
        <w:adjustRightInd w:val="0"/>
        <w:spacing w:after="0"/>
        <w:jc w:val="both"/>
        <w:rPr>
          <w:rFonts w:ascii="Arial" w:hAnsi="Arial" w:cs="Arial"/>
          <w:sz w:val="20"/>
          <w:szCs w:val="20"/>
        </w:rPr>
      </w:pPr>
      <w:r w:rsidRPr="000B43DE">
        <w:rPr>
          <w:rFonts w:ascii="Arial" w:hAnsi="Arial" w:cs="Arial"/>
          <w:sz w:val="20"/>
          <w:szCs w:val="20"/>
        </w:rPr>
        <w:t>Diante disso, para além da irregularidade, conclui-se que a</w:t>
      </w:r>
      <w:r>
        <w:rPr>
          <w:rFonts w:ascii="Arial" w:hAnsi="Arial" w:cs="Arial"/>
          <w:sz w:val="20"/>
          <w:szCs w:val="20"/>
        </w:rPr>
        <w:t xml:space="preserve"> </w:t>
      </w:r>
      <w:r w:rsidRPr="000B43DE">
        <w:rPr>
          <w:rFonts w:ascii="Arial" w:hAnsi="Arial" w:cs="Arial"/>
          <w:sz w:val="20"/>
          <w:szCs w:val="20"/>
        </w:rPr>
        <w:t xml:space="preserve">contratação em questão configurou uma </w:t>
      </w:r>
      <w:r w:rsidRPr="001765B5">
        <w:rPr>
          <w:rFonts w:ascii="Arial" w:hAnsi="Arial" w:cs="Arial"/>
          <w:bCs/>
          <w:sz w:val="20"/>
          <w:szCs w:val="20"/>
        </w:rPr>
        <w:t>despesa desnecessária</w:t>
      </w:r>
      <w:r w:rsidRPr="000B43DE">
        <w:rPr>
          <w:rFonts w:ascii="Arial" w:hAnsi="Arial" w:cs="Arial"/>
          <w:sz w:val="20"/>
          <w:szCs w:val="20"/>
        </w:rPr>
        <w:t>, haja vista que,</w:t>
      </w:r>
      <w:r>
        <w:rPr>
          <w:rFonts w:ascii="Arial" w:hAnsi="Arial" w:cs="Arial"/>
          <w:sz w:val="20"/>
          <w:szCs w:val="20"/>
        </w:rPr>
        <w:t xml:space="preserve"> </w:t>
      </w:r>
      <w:r w:rsidRPr="000B43DE">
        <w:rPr>
          <w:rFonts w:ascii="Arial" w:hAnsi="Arial" w:cs="Arial"/>
          <w:sz w:val="20"/>
          <w:szCs w:val="20"/>
        </w:rPr>
        <w:t>versando a questão sobre serviço próprio da empresa e não envolvendo uma</w:t>
      </w:r>
      <w:r>
        <w:rPr>
          <w:rFonts w:ascii="Arial" w:hAnsi="Arial" w:cs="Arial"/>
          <w:sz w:val="20"/>
          <w:szCs w:val="20"/>
        </w:rPr>
        <w:t xml:space="preserve"> </w:t>
      </w:r>
      <w:r w:rsidRPr="000B43DE">
        <w:rPr>
          <w:rFonts w:ascii="Arial" w:hAnsi="Arial" w:cs="Arial"/>
          <w:sz w:val="20"/>
          <w:szCs w:val="20"/>
        </w:rPr>
        <w:t>demanda complexa, o próprio corpo jurídico da entidade poderia ter se pronunciado e</w:t>
      </w:r>
      <w:r>
        <w:rPr>
          <w:rFonts w:ascii="Arial" w:hAnsi="Arial" w:cs="Arial"/>
          <w:sz w:val="20"/>
          <w:szCs w:val="20"/>
        </w:rPr>
        <w:t xml:space="preserve"> </w:t>
      </w:r>
      <w:r w:rsidRPr="000B43DE">
        <w:rPr>
          <w:rFonts w:ascii="Arial" w:hAnsi="Arial" w:cs="Arial"/>
          <w:sz w:val="20"/>
          <w:szCs w:val="20"/>
        </w:rPr>
        <w:t>esclarecido a questão</w:t>
      </w:r>
      <w:r>
        <w:rPr>
          <w:rFonts w:ascii="Arial" w:hAnsi="Arial" w:cs="Arial"/>
          <w:sz w:val="20"/>
          <w:szCs w:val="20"/>
        </w:rPr>
        <w:t>.</w:t>
      </w:r>
    </w:p>
    <w:p w:rsidR="001765B5" w:rsidRDefault="001765B5" w:rsidP="001765B5">
      <w:pPr>
        <w:autoSpaceDE w:val="0"/>
        <w:autoSpaceDN w:val="0"/>
        <w:adjustRightInd w:val="0"/>
        <w:spacing w:after="0"/>
        <w:jc w:val="both"/>
        <w:rPr>
          <w:rFonts w:ascii="Arial" w:hAnsi="Arial" w:cs="Arial"/>
          <w:sz w:val="20"/>
          <w:szCs w:val="20"/>
        </w:rPr>
      </w:pPr>
    </w:p>
    <w:p w:rsidR="00D1683D" w:rsidRDefault="00D1683D" w:rsidP="001765B5">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39182/17 - </w:t>
      </w:r>
      <w:hyperlink r:id="rId15" w:history="1">
        <w:r w:rsidRPr="00D1683D">
          <w:rPr>
            <w:rStyle w:val="Hyperlink"/>
            <w:rFonts w:ascii="Arial" w:hAnsi="Arial" w:cs="Arial"/>
            <w:sz w:val="20"/>
            <w:szCs w:val="20"/>
          </w:rPr>
          <w:t>Acórdão n° 4914/17 - Tribunal Pleno</w:t>
        </w:r>
      </w:hyperlink>
      <w:r>
        <w:rPr>
          <w:rFonts w:ascii="Arial" w:hAnsi="Arial" w:cs="Arial"/>
          <w:sz w:val="20"/>
          <w:szCs w:val="20"/>
        </w:rPr>
        <w:t xml:space="preserve"> - Rel. Cons. Ivens Zschoerper Linhares.</w:t>
      </w:r>
    </w:p>
    <w:p w:rsidR="00FE465D" w:rsidRDefault="00FE465D" w:rsidP="001765B5">
      <w:pPr>
        <w:autoSpaceDE w:val="0"/>
        <w:autoSpaceDN w:val="0"/>
        <w:adjustRightInd w:val="0"/>
        <w:spacing w:after="0"/>
        <w:jc w:val="both"/>
        <w:rPr>
          <w:rFonts w:ascii="Arial" w:hAnsi="Arial" w:cs="Arial"/>
          <w:sz w:val="20"/>
          <w:szCs w:val="20"/>
        </w:rPr>
      </w:pPr>
    </w:p>
    <w:p w:rsidR="00441956" w:rsidRPr="00602FDE" w:rsidRDefault="00C714B3" w:rsidP="00B71476">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9</w:t>
      </w:r>
      <w:r w:rsidR="0005225C">
        <w:rPr>
          <w:rFonts w:ascii="Arial" w:hAnsi="Arial" w:cs="Arial"/>
          <w:b/>
          <w:sz w:val="20"/>
          <w:szCs w:val="20"/>
        </w:rPr>
        <w:t xml:space="preserve">. </w:t>
      </w:r>
      <w:r w:rsidR="00441956" w:rsidRPr="00602FDE">
        <w:rPr>
          <w:rFonts w:ascii="Arial" w:hAnsi="Arial" w:cs="Arial"/>
          <w:b/>
          <w:sz w:val="20"/>
          <w:szCs w:val="20"/>
        </w:rPr>
        <w:t>Representação da Lei nº 8.666/1993.</w:t>
      </w:r>
      <w:r w:rsidR="00207EE8">
        <w:rPr>
          <w:rFonts w:ascii="Arial" w:hAnsi="Arial" w:cs="Arial"/>
          <w:b/>
          <w:sz w:val="20"/>
          <w:szCs w:val="20"/>
        </w:rPr>
        <w:t xml:space="preserve"> Princípio da isonomia. Caráter competitivo. Preferências incompatíveis. </w:t>
      </w:r>
    </w:p>
    <w:p w:rsidR="00F9154F" w:rsidRDefault="00F9154F" w:rsidP="00441956">
      <w:pPr>
        <w:autoSpaceDE w:val="0"/>
        <w:autoSpaceDN w:val="0"/>
        <w:adjustRightInd w:val="0"/>
        <w:spacing w:after="0"/>
        <w:jc w:val="both"/>
        <w:rPr>
          <w:rFonts w:ascii="Arial" w:hAnsi="Arial" w:cs="Arial"/>
          <w:sz w:val="20"/>
          <w:szCs w:val="20"/>
        </w:rPr>
      </w:pPr>
    </w:p>
    <w:p w:rsidR="00441956" w:rsidRDefault="00441956" w:rsidP="00441956">
      <w:pPr>
        <w:autoSpaceDE w:val="0"/>
        <w:autoSpaceDN w:val="0"/>
        <w:adjustRightInd w:val="0"/>
        <w:spacing w:after="0"/>
        <w:jc w:val="both"/>
        <w:rPr>
          <w:rFonts w:ascii="Arial" w:hAnsi="Arial" w:cs="Arial"/>
          <w:sz w:val="20"/>
          <w:szCs w:val="20"/>
        </w:rPr>
      </w:pPr>
      <w:r w:rsidRPr="0010129D">
        <w:rPr>
          <w:rFonts w:ascii="Arial" w:hAnsi="Arial" w:cs="Arial"/>
          <w:sz w:val="20"/>
          <w:szCs w:val="20"/>
        </w:rPr>
        <w:t xml:space="preserve">A Lei nº 8.666/93, em seu artigo 3º, estabelece que a licitação “destina-se a garantir a observância do princípio constitucional da isonomia”, sendo vedado aos agentes públicos “admitir, prever, incluir ou tolerar, nos atos de convocação, cláusulas ou condições que comprometam, restrinjam ou frustrem o seu caráter competitivo” (artigo 3º, §1º, inciso I). O princípio da isonomia reflete na busca da competitividade do certame e, consequentemente, da proposta mais vantajosa para a Administração, de modo que é vedado ao administrador público inserir no instrumento convocatório disposições que estabeleçam distinções ou preferências incompatíveis com o objeto licitado. A licitação deve representar a melhor escolha para a aquisição do produto almejado, bem como a mais econômica. Nesse cenário de busca da competitividade também se insere o artigo 23, §1º, da Lei de Licitações, que estimula o parcelamento do objeto com vistas a ampliar o universo de possíveis interessados em contratar com o Poder Público. Em especial no caso de compras, dispõe o artigo 15, inciso IV, da Lei n° </w:t>
      </w:r>
      <w:r w:rsidRPr="0010129D">
        <w:rPr>
          <w:rFonts w:ascii="Arial" w:hAnsi="Arial" w:cs="Arial"/>
          <w:sz w:val="20"/>
          <w:szCs w:val="20"/>
        </w:rPr>
        <w:lastRenderedPageBreak/>
        <w:t>8.666/93, que estas deverão “ser subdivididas em tantas parcelas quantas necessárias para aproveitar as peculiaridades do mercado, visando economicidade”.</w:t>
      </w:r>
    </w:p>
    <w:p w:rsidR="00441956" w:rsidRDefault="00441956" w:rsidP="00441956">
      <w:pPr>
        <w:autoSpaceDE w:val="0"/>
        <w:autoSpaceDN w:val="0"/>
        <w:adjustRightInd w:val="0"/>
        <w:spacing w:after="0"/>
        <w:jc w:val="both"/>
        <w:rPr>
          <w:rFonts w:ascii="Arial" w:hAnsi="Arial" w:cs="Arial"/>
          <w:sz w:val="20"/>
          <w:szCs w:val="20"/>
        </w:rPr>
      </w:pPr>
    </w:p>
    <w:p w:rsidR="00441956" w:rsidRDefault="00441956" w:rsidP="00441956">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nº 439302/17. </w:t>
      </w:r>
      <w:hyperlink r:id="rId16" w:history="1">
        <w:r w:rsidRPr="00F72E0C">
          <w:rPr>
            <w:rStyle w:val="Hyperlink"/>
            <w:rFonts w:ascii="Arial" w:hAnsi="Arial" w:cs="Arial"/>
            <w:sz w:val="20"/>
            <w:szCs w:val="20"/>
          </w:rPr>
          <w:t xml:space="preserve">Acórdão 5018/17 </w:t>
        </w:r>
        <w:r w:rsidR="000714F4">
          <w:rPr>
            <w:rStyle w:val="Hyperlink"/>
            <w:rFonts w:ascii="Arial" w:hAnsi="Arial" w:cs="Arial"/>
            <w:sz w:val="20"/>
            <w:szCs w:val="20"/>
          </w:rPr>
          <w:t>-</w:t>
        </w:r>
        <w:r w:rsidRPr="00F72E0C">
          <w:rPr>
            <w:rStyle w:val="Hyperlink"/>
            <w:rFonts w:ascii="Arial" w:hAnsi="Arial" w:cs="Arial"/>
            <w:sz w:val="20"/>
            <w:szCs w:val="20"/>
          </w:rPr>
          <w:t xml:space="preserve"> Tribunal Pleno</w:t>
        </w:r>
      </w:hyperlink>
      <w:r>
        <w:rPr>
          <w:rFonts w:ascii="Arial" w:hAnsi="Arial" w:cs="Arial"/>
          <w:sz w:val="20"/>
          <w:szCs w:val="20"/>
        </w:rPr>
        <w:t xml:space="preserve">. Relator Conselheiro </w:t>
      </w:r>
      <w:r w:rsidRPr="00F72E0C">
        <w:rPr>
          <w:rFonts w:ascii="Arial" w:hAnsi="Arial" w:cs="Arial"/>
          <w:sz w:val="20"/>
          <w:szCs w:val="20"/>
        </w:rPr>
        <w:t xml:space="preserve">Ivan </w:t>
      </w:r>
      <w:proofErr w:type="spellStart"/>
      <w:r w:rsidRPr="00F72E0C">
        <w:rPr>
          <w:rFonts w:ascii="Arial" w:hAnsi="Arial" w:cs="Arial"/>
          <w:sz w:val="20"/>
          <w:szCs w:val="20"/>
        </w:rPr>
        <w:t>Lelis</w:t>
      </w:r>
      <w:proofErr w:type="spellEnd"/>
      <w:r w:rsidRPr="00F72E0C">
        <w:rPr>
          <w:rFonts w:ascii="Arial" w:hAnsi="Arial" w:cs="Arial"/>
          <w:sz w:val="20"/>
          <w:szCs w:val="20"/>
        </w:rPr>
        <w:t xml:space="preserve"> Bonilha.</w:t>
      </w:r>
    </w:p>
    <w:p w:rsidR="00441956" w:rsidRDefault="00441956" w:rsidP="00441956">
      <w:pPr>
        <w:autoSpaceDE w:val="0"/>
        <w:autoSpaceDN w:val="0"/>
        <w:adjustRightInd w:val="0"/>
        <w:spacing w:after="0"/>
        <w:jc w:val="both"/>
        <w:rPr>
          <w:rFonts w:ascii="Arial" w:hAnsi="Arial" w:cs="Arial"/>
          <w:sz w:val="20"/>
          <w:szCs w:val="20"/>
        </w:rPr>
      </w:pPr>
    </w:p>
    <w:p w:rsidR="00441956" w:rsidRPr="00001713" w:rsidRDefault="00C714B3" w:rsidP="00B71476">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10</w:t>
      </w:r>
      <w:r w:rsidR="0005225C">
        <w:rPr>
          <w:rFonts w:ascii="Arial" w:hAnsi="Arial" w:cs="Arial"/>
          <w:b/>
          <w:sz w:val="20"/>
          <w:szCs w:val="20"/>
        </w:rPr>
        <w:t xml:space="preserve">. </w:t>
      </w:r>
      <w:r w:rsidR="00441956" w:rsidRPr="00001713">
        <w:rPr>
          <w:rFonts w:ascii="Arial" w:hAnsi="Arial" w:cs="Arial"/>
          <w:b/>
          <w:sz w:val="20"/>
          <w:szCs w:val="20"/>
        </w:rPr>
        <w:t xml:space="preserve">Representação </w:t>
      </w:r>
      <w:r w:rsidR="00441956">
        <w:rPr>
          <w:rFonts w:ascii="Arial" w:hAnsi="Arial" w:cs="Arial"/>
          <w:b/>
          <w:sz w:val="20"/>
          <w:szCs w:val="20"/>
        </w:rPr>
        <w:t>d</w:t>
      </w:r>
      <w:r w:rsidR="00441956" w:rsidRPr="00001713">
        <w:rPr>
          <w:rFonts w:ascii="Arial" w:hAnsi="Arial" w:cs="Arial"/>
          <w:b/>
          <w:sz w:val="20"/>
          <w:szCs w:val="20"/>
        </w:rPr>
        <w:t xml:space="preserve">a Lei </w:t>
      </w:r>
      <w:r w:rsidR="00441956">
        <w:rPr>
          <w:rFonts w:ascii="Arial" w:hAnsi="Arial" w:cs="Arial"/>
          <w:b/>
          <w:sz w:val="20"/>
          <w:szCs w:val="20"/>
        </w:rPr>
        <w:t>n</w:t>
      </w:r>
      <w:r w:rsidR="00441956" w:rsidRPr="00001713">
        <w:rPr>
          <w:rFonts w:ascii="Arial" w:hAnsi="Arial" w:cs="Arial"/>
          <w:b/>
          <w:sz w:val="20"/>
          <w:szCs w:val="20"/>
        </w:rPr>
        <w:t>º 8.666/1993</w:t>
      </w:r>
      <w:r w:rsidR="00441956">
        <w:rPr>
          <w:rFonts w:ascii="Arial" w:hAnsi="Arial" w:cs="Arial"/>
          <w:b/>
          <w:sz w:val="20"/>
          <w:szCs w:val="20"/>
        </w:rPr>
        <w:t>.</w:t>
      </w:r>
      <w:r w:rsidR="00F9154F">
        <w:rPr>
          <w:rFonts w:ascii="Arial" w:hAnsi="Arial" w:cs="Arial"/>
          <w:b/>
          <w:sz w:val="20"/>
          <w:szCs w:val="20"/>
        </w:rPr>
        <w:t xml:space="preserve"> Princípio da legalidade. Formalidade excessiva. Interesse público. Proporcionalidade e razoabilidade.</w:t>
      </w:r>
    </w:p>
    <w:p w:rsidR="00B71476" w:rsidRDefault="00B71476" w:rsidP="00441956">
      <w:pPr>
        <w:autoSpaceDE w:val="0"/>
        <w:autoSpaceDN w:val="0"/>
        <w:adjustRightInd w:val="0"/>
        <w:spacing w:after="0"/>
        <w:jc w:val="both"/>
        <w:rPr>
          <w:rFonts w:ascii="Arial" w:hAnsi="Arial" w:cs="Arial"/>
          <w:sz w:val="20"/>
          <w:szCs w:val="20"/>
        </w:rPr>
      </w:pPr>
      <w:bookmarkStart w:id="0" w:name="_GoBack"/>
      <w:bookmarkEnd w:id="0"/>
    </w:p>
    <w:p w:rsidR="00441956" w:rsidRDefault="00441956" w:rsidP="00441956">
      <w:pPr>
        <w:autoSpaceDE w:val="0"/>
        <w:autoSpaceDN w:val="0"/>
        <w:adjustRightInd w:val="0"/>
        <w:spacing w:after="0"/>
        <w:jc w:val="both"/>
        <w:rPr>
          <w:rFonts w:ascii="Arial" w:hAnsi="Arial" w:cs="Arial"/>
          <w:sz w:val="20"/>
          <w:szCs w:val="20"/>
        </w:rPr>
      </w:pPr>
      <w:r>
        <w:rPr>
          <w:rFonts w:ascii="Arial" w:hAnsi="Arial" w:cs="Arial"/>
          <w:sz w:val="20"/>
          <w:szCs w:val="20"/>
        </w:rPr>
        <w:t xml:space="preserve">A licitação deve buscar a proposta mais vantajosa para a administração. Na aplicação do princípio da legalidade, deve-se agregar à legalidade estrita </w:t>
      </w:r>
      <w:r w:rsidRPr="0095288D">
        <w:rPr>
          <w:rFonts w:ascii="Arial" w:hAnsi="Arial" w:cs="Arial"/>
          <w:sz w:val="20"/>
          <w:szCs w:val="20"/>
        </w:rPr>
        <w:t>noções de ponderação e juízo de valor por parte do intérprete e do aplicador do direito, para que se atinja a real finalidade de toda e qualquer atividade do Estado, que é o interesse público.</w:t>
      </w:r>
      <w:r>
        <w:rPr>
          <w:rFonts w:ascii="Arial" w:hAnsi="Arial" w:cs="Arial"/>
          <w:sz w:val="20"/>
          <w:szCs w:val="20"/>
        </w:rPr>
        <w:t xml:space="preserve"> A formalidade excessiva na condução do procedimento licitatório a ponto de trazer desvantagem </w:t>
      </w:r>
      <w:r w:rsidR="00651CF1">
        <w:rPr>
          <w:rFonts w:ascii="Arial" w:hAnsi="Arial" w:cs="Arial"/>
          <w:sz w:val="20"/>
          <w:szCs w:val="20"/>
        </w:rPr>
        <w:t>à</w:t>
      </w:r>
      <w:r>
        <w:rPr>
          <w:rFonts w:ascii="Arial" w:hAnsi="Arial" w:cs="Arial"/>
          <w:sz w:val="20"/>
          <w:szCs w:val="20"/>
        </w:rPr>
        <w:t xml:space="preserve"> administração pode afetar os princípios da razoabilidade e da proporcionalidade.</w:t>
      </w:r>
    </w:p>
    <w:p w:rsidR="000714F4" w:rsidRDefault="000714F4" w:rsidP="00441956">
      <w:pPr>
        <w:autoSpaceDE w:val="0"/>
        <w:autoSpaceDN w:val="0"/>
        <w:adjustRightInd w:val="0"/>
        <w:spacing w:after="0"/>
        <w:jc w:val="both"/>
        <w:rPr>
          <w:rFonts w:ascii="Arial" w:hAnsi="Arial" w:cs="Arial"/>
          <w:sz w:val="20"/>
          <w:szCs w:val="20"/>
        </w:rPr>
      </w:pPr>
    </w:p>
    <w:p w:rsidR="00441956" w:rsidRPr="00B71476" w:rsidRDefault="00441956" w:rsidP="00441956">
      <w:pPr>
        <w:autoSpaceDE w:val="0"/>
        <w:autoSpaceDN w:val="0"/>
        <w:adjustRightInd w:val="0"/>
        <w:spacing w:after="0"/>
        <w:jc w:val="both"/>
        <w:rPr>
          <w:rFonts w:ascii="Arial" w:hAnsi="Arial" w:cs="Arial"/>
          <w:sz w:val="20"/>
          <w:szCs w:val="20"/>
        </w:rPr>
      </w:pPr>
      <w:r w:rsidRPr="00B71476">
        <w:rPr>
          <w:rFonts w:ascii="Arial" w:hAnsi="Arial" w:cs="Arial"/>
          <w:sz w:val="20"/>
          <w:szCs w:val="20"/>
        </w:rPr>
        <w:t>Processo nº 783585/17</w:t>
      </w:r>
      <w:r w:rsidR="000714F4">
        <w:rPr>
          <w:rFonts w:ascii="Arial" w:hAnsi="Arial" w:cs="Arial"/>
          <w:sz w:val="20"/>
          <w:szCs w:val="20"/>
        </w:rPr>
        <w:t xml:space="preserve"> - </w:t>
      </w:r>
      <w:hyperlink r:id="rId17" w:history="1">
        <w:r w:rsidRPr="00B71476">
          <w:rPr>
            <w:rStyle w:val="Hyperlink"/>
            <w:rFonts w:ascii="Arial" w:hAnsi="Arial" w:cs="Arial"/>
            <w:sz w:val="20"/>
            <w:szCs w:val="20"/>
          </w:rPr>
          <w:t>Acórdão 5019/17 - Tribunal Pleno</w:t>
        </w:r>
      </w:hyperlink>
      <w:r w:rsidR="000714F4" w:rsidRPr="000714F4">
        <w:rPr>
          <w:rStyle w:val="Hyperlink"/>
          <w:rFonts w:ascii="Arial" w:hAnsi="Arial" w:cs="Arial"/>
          <w:sz w:val="20"/>
          <w:szCs w:val="20"/>
          <w:u w:val="none"/>
        </w:rPr>
        <w:t xml:space="preserve"> - </w:t>
      </w:r>
      <w:r w:rsidRPr="00B71476">
        <w:rPr>
          <w:rFonts w:ascii="Arial" w:hAnsi="Arial" w:cs="Arial"/>
          <w:sz w:val="20"/>
          <w:szCs w:val="20"/>
        </w:rPr>
        <w:t xml:space="preserve">Relator Conselheiro Ivan </w:t>
      </w:r>
      <w:proofErr w:type="spellStart"/>
      <w:r w:rsidRPr="00B71476">
        <w:rPr>
          <w:rFonts w:ascii="Arial" w:hAnsi="Arial" w:cs="Arial"/>
          <w:sz w:val="20"/>
          <w:szCs w:val="20"/>
        </w:rPr>
        <w:t>Lelis</w:t>
      </w:r>
      <w:proofErr w:type="spellEnd"/>
      <w:r w:rsidRPr="00B71476">
        <w:rPr>
          <w:rFonts w:ascii="Arial" w:hAnsi="Arial" w:cs="Arial"/>
          <w:sz w:val="20"/>
          <w:szCs w:val="20"/>
        </w:rPr>
        <w:t xml:space="preserve"> Bonilha.</w:t>
      </w:r>
    </w:p>
    <w:p w:rsidR="00C714B3" w:rsidRDefault="00C714B3" w:rsidP="00B71476">
      <w:pPr>
        <w:autoSpaceDE w:val="0"/>
        <w:autoSpaceDN w:val="0"/>
        <w:adjustRightInd w:val="0"/>
        <w:spacing w:after="0" w:line="240" w:lineRule="auto"/>
        <w:jc w:val="both"/>
        <w:rPr>
          <w:rFonts w:ascii="Arial" w:hAnsi="Arial" w:cs="Arial"/>
          <w:b/>
          <w:sz w:val="20"/>
          <w:szCs w:val="20"/>
        </w:rPr>
      </w:pPr>
    </w:p>
    <w:p w:rsidR="00441956" w:rsidRPr="003A608A" w:rsidRDefault="00C714B3" w:rsidP="00B71476">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11</w:t>
      </w:r>
      <w:r w:rsidR="0005225C" w:rsidRPr="00B71476">
        <w:rPr>
          <w:rFonts w:ascii="Arial" w:hAnsi="Arial" w:cs="Arial"/>
          <w:b/>
          <w:sz w:val="20"/>
          <w:szCs w:val="20"/>
        </w:rPr>
        <w:t xml:space="preserve">. </w:t>
      </w:r>
      <w:r w:rsidR="00441956" w:rsidRPr="00B71476">
        <w:rPr>
          <w:rFonts w:ascii="Arial" w:hAnsi="Arial" w:cs="Arial"/>
          <w:b/>
          <w:sz w:val="20"/>
          <w:szCs w:val="20"/>
        </w:rPr>
        <w:t xml:space="preserve">Prestação de Contas Anual. </w:t>
      </w:r>
      <w:r w:rsidR="004B3D28" w:rsidRPr="00B71476">
        <w:rPr>
          <w:rFonts w:ascii="Arial" w:hAnsi="Arial" w:cs="Arial"/>
          <w:b/>
          <w:sz w:val="20"/>
          <w:szCs w:val="20"/>
        </w:rPr>
        <w:t>Prejulgado nº 6 TCE/PR. Contador. Cargo em comissão. Medidas para admissão.</w:t>
      </w:r>
    </w:p>
    <w:p w:rsidR="00B71476" w:rsidRDefault="00B71476" w:rsidP="00441956">
      <w:pPr>
        <w:autoSpaceDE w:val="0"/>
        <w:autoSpaceDN w:val="0"/>
        <w:adjustRightInd w:val="0"/>
        <w:spacing w:after="0"/>
        <w:jc w:val="both"/>
        <w:rPr>
          <w:rFonts w:ascii="Arial" w:hAnsi="Arial" w:cs="Arial"/>
          <w:sz w:val="20"/>
          <w:szCs w:val="20"/>
        </w:rPr>
      </w:pPr>
    </w:p>
    <w:p w:rsidR="00441956" w:rsidRDefault="00441956" w:rsidP="00441956">
      <w:pPr>
        <w:autoSpaceDE w:val="0"/>
        <w:autoSpaceDN w:val="0"/>
        <w:adjustRightInd w:val="0"/>
        <w:spacing w:after="0"/>
        <w:jc w:val="both"/>
        <w:rPr>
          <w:rFonts w:ascii="Arial" w:hAnsi="Arial" w:cs="Arial"/>
          <w:sz w:val="20"/>
          <w:szCs w:val="20"/>
        </w:rPr>
      </w:pPr>
      <w:r w:rsidRPr="003A608A">
        <w:rPr>
          <w:rFonts w:ascii="Arial" w:hAnsi="Arial" w:cs="Arial"/>
          <w:sz w:val="20"/>
          <w:szCs w:val="20"/>
        </w:rPr>
        <w:t>A prestação de serviços contábeis por servidor ocupante de cargo em comissão afronta o Prejulgado n° 6 do TCE/PR. A efetiva demonstração de medidas com vistas a admissão servidores efetivos em seu quadro, para suprir essa irregularidade, a qual não se concretiza por razões alheias a sua vontade, afasta a má-fé do gestor.</w:t>
      </w:r>
    </w:p>
    <w:p w:rsidR="00B71476" w:rsidRDefault="00B71476" w:rsidP="00441956">
      <w:pPr>
        <w:autoSpaceDE w:val="0"/>
        <w:autoSpaceDN w:val="0"/>
        <w:adjustRightInd w:val="0"/>
        <w:spacing w:after="0"/>
        <w:jc w:val="both"/>
      </w:pPr>
    </w:p>
    <w:p w:rsidR="00441956" w:rsidRPr="00B71476" w:rsidRDefault="00441956" w:rsidP="00441956">
      <w:pPr>
        <w:autoSpaceDE w:val="0"/>
        <w:autoSpaceDN w:val="0"/>
        <w:adjustRightInd w:val="0"/>
        <w:spacing w:after="0"/>
        <w:jc w:val="both"/>
        <w:rPr>
          <w:rFonts w:ascii="Arial" w:hAnsi="Arial" w:cs="Arial"/>
          <w:sz w:val="20"/>
        </w:rPr>
      </w:pPr>
      <w:r w:rsidRPr="00B71476">
        <w:rPr>
          <w:rFonts w:ascii="Arial" w:hAnsi="Arial" w:cs="Arial"/>
          <w:sz w:val="20"/>
        </w:rPr>
        <w:t>Processo nº 295629/17</w:t>
      </w:r>
      <w:r w:rsidR="000714F4">
        <w:rPr>
          <w:rFonts w:ascii="Arial" w:hAnsi="Arial" w:cs="Arial"/>
          <w:sz w:val="20"/>
        </w:rPr>
        <w:t xml:space="preserve"> - </w:t>
      </w:r>
      <w:hyperlink r:id="rId18" w:history="1">
        <w:r w:rsidRPr="00B71476">
          <w:rPr>
            <w:rStyle w:val="Hyperlink"/>
            <w:rFonts w:ascii="Arial" w:hAnsi="Arial" w:cs="Arial"/>
            <w:sz w:val="20"/>
          </w:rPr>
          <w:t xml:space="preserve">Acórdão nº 5035/17 </w:t>
        </w:r>
        <w:r w:rsidR="000714F4">
          <w:rPr>
            <w:rStyle w:val="Hyperlink"/>
            <w:rFonts w:ascii="Arial" w:hAnsi="Arial" w:cs="Arial"/>
            <w:sz w:val="20"/>
          </w:rPr>
          <w:t>-</w:t>
        </w:r>
        <w:r w:rsidRPr="00B71476">
          <w:rPr>
            <w:rStyle w:val="Hyperlink"/>
            <w:rFonts w:ascii="Arial" w:hAnsi="Arial" w:cs="Arial"/>
            <w:sz w:val="20"/>
          </w:rPr>
          <w:t xml:space="preserve"> Tribunal Pleno</w:t>
        </w:r>
      </w:hyperlink>
      <w:r w:rsidR="000714F4" w:rsidRPr="000714F4">
        <w:rPr>
          <w:rStyle w:val="Hyperlink"/>
          <w:rFonts w:ascii="Arial" w:hAnsi="Arial" w:cs="Arial"/>
          <w:sz w:val="20"/>
          <w:u w:val="none"/>
        </w:rPr>
        <w:t xml:space="preserve"> -</w:t>
      </w:r>
      <w:r w:rsidRPr="00B71476">
        <w:rPr>
          <w:rFonts w:ascii="Arial" w:hAnsi="Arial" w:cs="Arial"/>
          <w:sz w:val="20"/>
        </w:rPr>
        <w:t xml:space="preserve"> Relator Conselheiro Ivens Zschoerper Linhares.</w:t>
      </w:r>
    </w:p>
    <w:p w:rsidR="0005225C" w:rsidRDefault="0005225C" w:rsidP="00816942">
      <w:pPr>
        <w:autoSpaceDE w:val="0"/>
        <w:autoSpaceDN w:val="0"/>
        <w:adjustRightInd w:val="0"/>
        <w:spacing w:after="0"/>
        <w:jc w:val="both"/>
        <w:rPr>
          <w:rFonts w:ascii="Arial" w:hAnsi="Arial" w:cs="Arial"/>
          <w:sz w:val="20"/>
          <w:szCs w:val="20"/>
        </w:rPr>
      </w:pP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0B2FD9" w:rsidRDefault="000B2FD9" w:rsidP="000B2FD9">
      <w:pPr>
        <w:spacing w:after="0"/>
        <w:jc w:val="both"/>
        <w:rPr>
          <w:rFonts w:ascii="Arial" w:hAnsi="Arial" w:cs="Arial"/>
          <w:b/>
          <w:color w:val="000000"/>
          <w:sz w:val="20"/>
          <w:szCs w:val="20"/>
        </w:rPr>
      </w:pPr>
    </w:p>
    <w:p w:rsidR="000800D1" w:rsidRPr="00DB558E" w:rsidRDefault="000800D1" w:rsidP="00381F17">
      <w:pPr>
        <w:spacing w:after="0"/>
        <w:jc w:val="both"/>
        <w:rPr>
          <w:rFonts w:ascii="Arial" w:hAnsi="Arial" w:cs="Arial"/>
          <w:b/>
          <w:color w:val="000000"/>
          <w:sz w:val="20"/>
          <w:szCs w:val="20"/>
        </w:rPr>
      </w:pPr>
      <w:r w:rsidRPr="00DB558E">
        <w:rPr>
          <w:rFonts w:ascii="Arial" w:hAnsi="Arial" w:cs="Arial"/>
          <w:b/>
          <w:color w:val="000000"/>
          <w:sz w:val="20"/>
          <w:szCs w:val="20"/>
        </w:rPr>
        <w:t>Tribunal de Contas da União:</w:t>
      </w:r>
    </w:p>
    <w:p w:rsidR="00381F17" w:rsidRDefault="00381F17" w:rsidP="00381F17">
      <w:pPr>
        <w:widowControl w:val="0"/>
        <w:autoSpaceDE w:val="0"/>
        <w:autoSpaceDN w:val="0"/>
        <w:spacing w:after="0"/>
        <w:jc w:val="both"/>
      </w:pPr>
    </w:p>
    <w:p w:rsidR="0059537A" w:rsidRPr="003F314F" w:rsidRDefault="00651CF1" w:rsidP="0059537A">
      <w:pPr>
        <w:widowControl w:val="0"/>
        <w:autoSpaceDE w:val="0"/>
        <w:autoSpaceDN w:val="0"/>
        <w:jc w:val="both"/>
        <w:rPr>
          <w:rFonts w:ascii="Arial" w:hAnsi="Arial" w:cs="Arial"/>
          <w:b/>
          <w:sz w:val="20"/>
          <w:szCs w:val="20"/>
        </w:rPr>
      </w:pPr>
      <w:hyperlink r:id="rId19" w:history="1">
        <w:r w:rsidR="0059537A" w:rsidRPr="00EE0A1F">
          <w:rPr>
            <w:rStyle w:val="Hyperlink"/>
            <w:rFonts w:ascii="Arial" w:hAnsi="Arial" w:cs="Arial"/>
            <w:sz w:val="20"/>
            <w:szCs w:val="20"/>
          </w:rPr>
          <w:t>Acórdão 9873/2017</w:t>
        </w:r>
        <w:r w:rsidR="00EE0A1F">
          <w:rPr>
            <w:rStyle w:val="Hyperlink"/>
            <w:rFonts w:ascii="Arial" w:hAnsi="Arial" w:cs="Arial"/>
            <w:sz w:val="20"/>
            <w:szCs w:val="20"/>
          </w:rPr>
          <w:t xml:space="preserve"> -</w:t>
        </w:r>
        <w:r w:rsidR="0059537A" w:rsidRPr="00EE0A1F">
          <w:rPr>
            <w:rStyle w:val="Hyperlink"/>
            <w:rFonts w:ascii="Arial" w:hAnsi="Arial" w:cs="Arial"/>
            <w:sz w:val="20"/>
            <w:szCs w:val="20"/>
          </w:rPr>
          <w:t xml:space="preserve"> Segunda Câmara</w:t>
        </w:r>
      </w:hyperlink>
      <w:r w:rsidR="0059537A" w:rsidRPr="003F314F">
        <w:rPr>
          <w:rFonts w:ascii="Arial" w:hAnsi="Arial" w:cs="Arial"/>
          <w:b/>
          <w:sz w:val="20"/>
          <w:szCs w:val="20"/>
        </w:rPr>
        <w:t xml:space="preserve"> </w:t>
      </w:r>
      <w:r w:rsidR="0059537A" w:rsidRPr="003F314F">
        <w:rPr>
          <w:rFonts w:ascii="Arial" w:hAnsi="Arial" w:cs="Arial"/>
          <w:sz w:val="20"/>
          <w:szCs w:val="20"/>
        </w:rPr>
        <w:t>(Representação, Relator Ministro-Substituto André de Carvalho)</w:t>
      </w:r>
    </w:p>
    <w:p w:rsidR="0059537A" w:rsidRPr="003F314F" w:rsidRDefault="0059537A" w:rsidP="0059537A">
      <w:pPr>
        <w:jc w:val="both"/>
        <w:rPr>
          <w:rFonts w:ascii="Arial" w:hAnsi="Arial" w:cs="Arial"/>
          <w:b/>
          <w:sz w:val="20"/>
          <w:szCs w:val="20"/>
        </w:rPr>
      </w:pPr>
      <w:r w:rsidRPr="003F314F">
        <w:rPr>
          <w:rFonts w:ascii="Arial" w:hAnsi="Arial" w:cs="Arial"/>
          <w:b/>
          <w:sz w:val="20"/>
          <w:szCs w:val="20"/>
        </w:rPr>
        <w:t>Contrato Administrativo. Formalização do contrato. Cláusula obrigatória. Emergência. Processo. Extinção.</w:t>
      </w:r>
    </w:p>
    <w:p w:rsidR="0059537A" w:rsidRPr="003F314F" w:rsidRDefault="0059537A" w:rsidP="0059537A">
      <w:pPr>
        <w:pStyle w:val="TCU-Epgrafe"/>
        <w:spacing w:after="200" w:line="276" w:lineRule="auto"/>
        <w:ind w:left="0"/>
        <w:rPr>
          <w:rFonts w:ascii="Arial" w:hAnsi="Arial" w:cs="Arial"/>
          <w:sz w:val="20"/>
        </w:rPr>
      </w:pPr>
      <w:r w:rsidRPr="003F314F">
        <w:rPr>
          <w:rFonts w:ascii="Arial" w:hAnsi="Arial" w:cs="Arial"/>
          <w:sz w:val="20"/>
        </w:rPr>
        <w:lastRenderedPageBreak/>
        <w:t>O contrato emergencial deve conter expressa cláusula resolutiva que estabeleça a sua extinção logo após a conclusão do processo licitatório para nova contratação dos correspondentes serviços.</w:t>
      </w:r>
    </w:p>
    <w:p w:rsidR="007F67A7" w:rsidRPr="003F314F" w:rsidRDefault="00651CF1" w:rsidP="007F67A7">
      <w:pPr>
        <w:widowControl w:val="0"/>
        <w:autoSpaceDE w:val="0"/>
        <w:autoSpaceDN w:val="0"/>
        <w:jc w:val="both"/>
        <w:rPr>
          <w:rFonts w:ascii="Arial" w:hAnsi="Arial" w:cs="Arial"/>
          <w:b/>
          <w:sz w:val="20"/>
          <w:szCs w:val="20"/>
        </w:rPr>
      </w:pPr>
      <w:hyperlink r:id="rId20" w:history="1">
        <w:r w:rsidR="007F67A7" w:rsidRPr="00B7623B">
          <w:rPr>
            <w:rStyle w:val="Hyperlink"/>
            <w:rFonts w:ascii="Arial" w:hAnsi="Arial" w:cs="Arial"/>
            <w:sz w:val="20"/>
            <w:szCs w:val="20"/>
          </w:rPr>
          <w:t>Acórdão 2649/2017</w:t>
        </w:r>
        <w:r w:rsidR="00B7623B">
          <w:rPr>
            <w:rStyle w:val="Hyperlink"/>
            <w:rFonts w:ascii="Arial" w:hAnsi="Arial" w:cs="Arial"/>
            <w:sz w:val="20"/>
            <w:szCs w:val="20"/>
          </w:rPr>
          <w:t xml:space="preserve"> -</w:t>
        </w:r>
        <w:r w:rsidR="007F67A7" w:rsidRPr="00B7623B">
          <w:rPr>
            <w:rStyle w:val="Hyperlink"/>
            <w:rFonts w:ascii="Arial" w:hAnsi="Arial" w:cs="Arial"/>
            <w:sz w:val="20"/>
            <w:szCs w:val="20"/>
          </w:rPr>
          <w:t xml:space="preserve"> Plenário</w:t>
        </w:r>
      </w:hyperlink>
      <w:r w:rsidR="007F67A7" w:rsidRPr="003F314F">
        <w:rPr>
          <w:rFonts w:ascii="Arial" w:hAnsi="Arial" w:cs="Arial"/>
          <w:b/>
          <w:sz w:val="20"/>
          <w:szCs w:val="20"/>
        </w:rPr>
        <w:t xml:space="preserve"> </w:t>
      </w:r>
      <w:r w:rsidR="007F67A7" w:rsidRPr="003F314F">
        <w:rPr>
          <w:rFonts w:ascii="Arial" w:hAnsi="Arial" w:cs="Arial"/>
          <w:sz w:val="20"/>
          <w:szCs w:val="20"/>
        </w:rPr>
        <w:t>(Tomada de Contas Especial, Relator Ministro Vital do Rêgo)</w:t>
      </w:r>
    </w:p>
    <w:p w:rsidR="007F67A7" w:rsidRPr="003F314F" w:rsidRDefault="007F67A7" w:rsidP="007F67A7">
      <w:pPr>
        <w:jc w:val="both"/>
        <w:rPr>
          <w:rFonts w:ascii="Arial" w:hAnsi="Arial" w:cs="Arial"/>
          <w:b/>
          <w:sz w:val="20"/>
          <w:szCs w:val="20"/>
        </w:rPr>
      </w:pPr>
      <w:r w:rsidRPr="003F314F">
        <w:rPr>
          <w:rFonts w:ascii="Arial" w:hAnsi="Arial" w:cs="Arial"/>
          <w:b/>
          <w:sz w:val="20"/>
          <w:szCs w:val="20"/>
        </w:rPr>
        <w:t>Licitação. Inexigibilidade de licitação. Artista consagrado. Representação legal. Validade. Comprovação.</w:t>
      </w:r>
    </w:p>
    <w:p w:rsidR="007F67A7" w:rsidRPr="003F314F" w:rsidRDefault="007F67A7" w:rsidP="007F67A7">
      <w:pPr>
        <w:pStyle w:val="TCU-Epgrafe"/>
        <w:spacing w:after="200" w:line="276" w:lineRule="auto"/>
        <w:ind w:left="0"/>
        <w:rPr>
          <w:rFonts w:ascii="Arial" w:hAnsi="Arial" w:cs="Arial"/>
          <w:sz w:val="20"/>
        </w:rPr>
      </w:pPr>
      <w:r w:rsidRPr="003F314F">
        <w:rPr>
          <w:rFonts w:ascii="Arial" w:hAnsi="Arial" w:cs="Arial"/>
          <w:sz w:val="20"/>
        </w:rPr>
        <w:t>Para fins de verificação da representação legal do artista contratado mediante inexigibilidade de licitação, a comprovação da validade e da autenticidade da carta de exclusividade, do contrato de exclusividade ou do instrumento de procuração não registrados em cartório pode se dar, também, a partir de informações complementares obtidas em pesquisas realizadas em bases de dados públicas ou privadas, ou junto aos signatários do convênio, entre outros meios possíveis.</w:t>
      </w:r>
    </w:p>
    <w:p w:rsidR="005E6A47" w:rsidRPr="003F314F" w:rsidRDefault="00651CF1" w:rsidP="005E6A47">
      <w:pPr>
        <w:widowControl w:val="0"/>
        <w:autoSpaceDE w:val="0"/>
        <w:autoSpaceDN w:val="0"/>
        <w:jc w:val="both"/>
        <w:rPr>
          <w:rFonts w:ascii="Arial" w:hAnsi="Arial" w:cs="Arial"/>
          <w:b/>
          <w:sz w:val="20"/>
          <w:szCs w:val="20"/>
        </w:rPr>
      </w:pPr>
      <w:hyperlink r:id="rId21" w:history="1">
        <w:r w:rsidR="005E6A47" w:rsidRPr="003D547D">
          <w:rPr>
            <w:rStyle w:val="Hyperlink"/>
            <w:rFonts w:ascii="Arial" w:hAnsi="Arial" w:cs="Arial"/>
            <w:sz w:val="20"/>
            <w:szCs w:val="20"/>
          </w:rPr>
          <w:t>Acórdão 2672/2017</w:t>
        </w:r>
        <w:r w:rsidR="003D547D">
          <w:rPr>
            <w:rStyle w:val="Hyperlink"/>
            <w:rFonts w:ascii="Arial" w:hAnsi="Arial" w:cs="Arial"/>
            <w:sz w:val="20"/>
            <w:szCs w:val="20"/>
          </w:rPr>
          <w:t xml:space="preserve"> -</w:t>
        </w:r>
        <w:r w:rsidR="005E6A47" w:rsidRPr="003D547D">
          <w:rPr>
            <w:rStyle w:val="Hyperlink"/>
            <w:rFonts w:ascii="Arial" w:hAnsi="Arial" w:cs="Arial"/>
            <w:sz w:val="20"/>
            <w:szCs w:val="20"/>
          </w:rPr>
          <w:t xml:space="preserve"> Plenário</w:t>
        </w:r>
      </w:hyperlink>
      <w:r w:rsidR="005E6A47" w:rsidRPr="003F314F">
        <w:rPr>
          <w:rFonts w:ascii="Arial" w:hAnsi="Arial" w:cs="Arial"/>
          <w:b/>
          <w:sz w:val="20"/>
          <w:szCs w:val="20"/>
        </w:rPr>
        <w:t xml:space="preserve"> </w:t>
      </w:r>
      <w:r w:rsidR="005E6A47" w:rsidRPr="003F314F">
        <w:rPr>
          <w:rFonts w:ascii="Arial" w:hAnsi="Arial" w:cs="Arial"/>
          <w:sz w:val="20"/>
          <w:szCs w:val="20"/>
        </w:rPr>
        <w:t>(Auditoria, Relator Ministro-Substituto Augusto Sherman)</w:t>
      </w:r>
    </w:p>
    <w:p w:rsidR="005E6A47" w:rsidRPr="003F314F" w:rsidRDefault="005E6A47" w:rsidP="005E6A47">
      <w:pPr>
        <w:jc w:val="both"/>
        <w:rPr>
          <w:rFonts w:ascii="Arial" w:hAnsi="Arial" w:cs="Arial"/>
          <w:b/>
          <w:sz w:val="20"/>
          <w:szCs w:val="20"/>
        </w:rPr>
      </w:pPr>
      <w:r w:rsidRPr="003F314F">
        <w:rPr>
          <w:rFonts w:ascii="Arial" w:hAnsi="Arial" w:cs="Arial"/>
          <w:b/>
          <w:sz w:val="20"/>
          <w:szCs w:val="20"/>
        </w:rPr>
        <w:t>Licitação. Licitação internacional. Edital de licitação. Princípio da publicidade. Estrangeiro.</w:t>
      </w:r>
    </w:p>
    <w:p w:rsidR="005E6A47" w:rsidRPr="003F314F" w:rsidRDefault="005E6A47" w:rsidP="005E6A47">
      <w:pPr>
        <w:jc w:val="both"/>
        <w:rPr>
          <w:rFonts w:ascii="Arial" w:hAnsi="Arial" w:cs="Arial"/>
          <w:sz w:val="20"/>
          <w:szCs w:val="20"/>
        </w:rPr>
      </w:pPr>
      <w:r w:rsidRPr="003F314F">
        <w:rPr>
          <w:rFonts w:ascii="Arial" w:hAnsi="Arial" w:cs="Arial"/>
          <w:sz w:val="20"/>
          <w:szCs w:val="20"/>
        </w:rPr>
        <w:t>Em licitações internacionais, exige-se a publicação do edital em idioma estrangeiro e sua divulgação no exterior, uma vez que o atendimento ao princípio da publicidade deve estar em consonância com o âmbito que se pretende dar à licitação e, em consequência, com o conjunto de interessados que se intenta atrair, o qual deve incluir empresas estrangeiras não estabelecidas no país.</w:t>
      </w:r>
    </w:p>
    <w:p w:rsidR="008464F9" w:rsidRPr="003F314F" w:rsidRDefault="00651CF1" w:rsidP="008464F9">
      <w:pPr>
        <w:widowControl w:val="0"/>
        <w:autoSpaceDE w:val="0"/>
        <w:autoSpaceDN w:val="0"/>
        <w:jc w:val="both"/>
        <w:rPr>
          <w:rFonts w:ascii="Arial" w:hAnsi="Arial" w:cs="Arial"/>
          <w:b/>
          <w:sz w:val="20"/>
          <w:szCs w:val="20"/>
        </w:rPr>
      </w:pPr>
      <w:hyperlink r:id="rId22" w:history="1">
        <w:r w:rsidR="008464F9" w:rsidRPr="00227C6E">
          <w:rPr>
            <w:rStyle w:val="Hyperlink"/>
            <w:rFonts w:ascii="Arial" w:hAnsi="Arial" w:cs="Arial"/>
            <w:sz w:val="20"/>
            <w:szCs w:val="20"/>
          </w:rPr>
          <w:t xml:space="preserve">Acórdão 10567/2017 </w:t>
        </w:r>
        <w:r w:rsidR="00227C6E">
          <w:rPr>
            <w:rStyle w:val="Hyperlink"/>
            <w:rFonts w:ascii="Arial" w:hAnsi="Arial" w:cs="Arial"/>
            <w:sz w:val="20"/>
            <w:szCs w:val="20"/>
          </w:rPr>
          <w:t xml:space="preserve">- </w:t>
        </w:r>
        <w:r w:rsidR="008464F9" w:rsidRPr="00227C6E">
          <w:rPr>
            <w:rStyle w:val="Hyperlink"/>
            <w:rFonts w:ascii="Arial" w:hAnsi="Arial" w:cs="Arial"/>
            <w:sz w:val="20"/>
            <w:szCs w:val="20"/>
          </w:rPr>
          <w:t>Primeira Câmara</w:t>
        </w:r>
      </w:hyperlink>
      <w:r w:rsidR="008464F9" w:rsidRPr="003F314F">
        <w:rPr>
          <w:rFonts w:ascii="Arial" w:hAnsi="Arial" w:cs="Arial"/>
          <w:b/>
          <w:sz w:val="20"/>
          <w:szCs w:val="20"/>
        </w:rPr>
        <w:t xml:space="preserve"> </w:t>
      </w:r>
      <w:r w:rsidR="008464F9" w:rsidRPr="003F314F">
        <w:rPr>
          <w:rFonts w:ascii="Arial" w:hAnsi="Arial" w:cs="Arial"/>
          <w:sz w:val="20"/>
          <w:szCs w:val="20"/>
        </w:rPr>
        <w:t>(Tomada de Contas Especial, Relator Ministro Vital do Rêgo)</w:t>
      </w:r>
    </w:p>
    <w:p w:rsidR="008464F9" w:rsidRPr="003F314F" w:rsidRDefault="008464F9" w:rsidP="008464F9">
      <w:pPr>
        <w:jc w:val="both"/>
        <w:rPr>
          <w:rFonts w:ascii="Arial" w:hAnsi="Arial" w:cs="Arial"/>
          <w:b/>
          <w:sz w:val="20"/>
          <w:szCs w:val="20"/>
        </w:rPr>
      </w:pPr>
      <w:r w:rsidRPr="003F314F">
        <w:rPr>
          <w:rFonts w:ascii="Arial" w:hAnsi="Arial" w:cs="Arial"/>
          <w:b/>
          <w:sz w:val="20"/>
          <w:szCs w:val="20"/>
        </w:rPr>
        <w:t>Responsabilidade. Inimputabilidade. Requisito. Decisão judicial. Incapacidade.</w:t>
      </w:r>
    </w:p>
    <w:p w:rsidR="008464F9" w:rsidRPr="003F314F" w:rsidRDefault="008464F9" w:rsidP="008464F9">
      <w:pPr>
        <w:pStyle w:val="TCU-Epgrafe"/>
        <w:spacing w:after="200" w:line="276" w:lineRule="auto"/>
        <w:ind w:left="0"/>
        <w:rPr>
          <w:rFonts w:ascii="Arial" w:eastAsiaTheme="minorHAnsi" w:hAnsi="Arial" w:cs="Arial"/>
          <w:sz w:val="20"/>
          <w:lang w:eastAsia="en-US"/>
        </w:rPr>
      </w:pPr>
      <w:r w:rsidRPr="003F314F">
        <w:rPr>
          <w:rFonts w:ascii="Arial" w:hAnsi="Arial" w:cs="Arial"/>
          <w:sz w:val="20"/>
          <w:lang w:eastAsia="en-US"/>
        </w:rPr>
        <w:t>Para que o responsável seja considerado inimputável perante o TCU, deve ser comprovado que, à época dos fatos tidos por irregulares, ele era incapaz de responder pelos seus atos. O reconhecimento da incapacidade civil do agente, em decorrência de enfermidade que o tenha privado do discernimento necessário para os atos da vida civil, dá-se por meio da interdição judicial.</w:t>
      </w:r>
    </w:p>
    <w:p w:rsidR="008464F9" w:rsidRPr="003F314F" w:rsidRDefault="00651CF1" w:rsidP="008464F9">
      <w:pPr>
        <w:widowControl w:val="0"/>
        <w:autoSpaceDE w:val="0"/>
        <w:autoSpaceDN w:val="0"/>
        <w:jc w:val="both"/>
        <w:rPr>
          <w:rFonts w:ascii="Arial" w:hAnsi="Arial" w:cs="Arial"/>
          <w:b/>
          <w:sz w:val="20"/>
          <w:szCs w:val="20"/>
        </w:rPr>
      </w:pPr>
      <w:hyperlink r:id="rId23" w:history="1">
        <w:r w:rsidR="008464F9" w:rsidRPr="00A90A48">
          <w:rPr>
            <w:rStyle w:val="Hyperlink"/>
            <w:rFonts w:ascii="Arial" w:hAnsi="Arial" w:cs="Arial"/>
            <w:sz w:val="20"/>
            <w:szCs w:val="20"/>
          </w:rPr>
          <w:t>Acórdão 10572/2017</w:t>
        </w:r>
        <w:r w:rsidR="00A90A48">
          <w:rPr>
            <w:rStyle w:val="Hyperlink"/>
            <w:rFonts w:ascii="Arial" w:hAnsi="Arial" w:cs="Arial"/>
            <w:sz w:val="20"/>
            <w:szCs w:val="20"/>
          </w:rPr>
          <w:t xml:space="preserve"> -</w:t>
        </w:r>
        <w:r w:rsidR="008464F9" w:rsidRPr="00A90A48">
          <w:rPr>
            <w:rStyle w:val="Hyperlink"/>
            <w:rFonts w:ascii="Arial" w:hAnsi="Arial" w:cs="Arial"/>
            <w:sz w:val="20"/>
            <w:szCs w:val="20"/>
          </w:rPr>
          <w:t xml:space="preserve"> Primeira Câmara</w:t>
        </w:r>
      </w:hyperlink>
      <w:r w:rsidR="008464F9" w:rsidRPr="003F314F">
        <w:rPr>
          <w:rFonts w:ascii="Arial" w:hAnsi="Arial" w:cs="Arial"/>
          <w:b/>
          <w:sz w:val="20"/>
          <w:szCs w:val="20"/>
        </w:rPr>
        <w:t xml:space="preserve"> </w:t>
      </w:r>
      <w:r w:rsidR="008464F9" w:rsidRPr="003F314F">
        <w:rPr>
          <w:rFonts w:ascii="Arial" w:hAnsi="Arial" w:cs="Arial"/>
          <w:sz w:val="20"/>
          <w:szCs w:val="20"/>
        </w:rPr>
        <w:t xml:space="preserve">(Pedido de Reexame, Relator Ministro Benjamin </w:t>
      </w:r>
      <w:proofErr w:type="spellStart"/>
      <w:r w:rsidR="008464F9" w:rsidRPr="003F314F">
        <w:rPr>
          <w:rFonts w:ascii="Arial" w:hAnsi="Arial" w:cs="Arial"/>
          <w:sz w:val="20"/>
          <w:szCs w:val="20"/>
        </w:rPr>
        <w:t>Zymler</w:t>
      </w:r>
      <w:proofErr w:type="spellEnd"/>
      <w:r w:rsidR="008464F9" w:rsidRPr="003F314F">
        <w:rPr>
          <w:rFonts w:ascii="Arial" w:hAnsi="Arial" w:cs="Arial"/>
          <w:sz w:val="20"/>
          <w:szCs w:val="20"/>
        </w:rPr>
        <w:t>)</w:t>
      </w:r>
    </w:p>
    <w:p w:rsidR="008464F9" w:rsidRPr="003F314F" w:rsidRDefault="008464F9" w:rsidP="008464F9">
      <w:pPr>
        <w:jc w:val="both"/>
        <w:rPr>
          <w:rFonts w:ascii="Arial" w:hAnsi="Arial" w:cs="Arial"/>
          <w:b/>
          <w:sz w:val="20"/>
          <w:szCs w:val="20"/>
        </w:rPr>
      </w:pPr>
      <w:r w:rsidRPr="003F314F">
        <w:rPr>
          <w:rFonts w:ascii="Arial" w:hAnsi="Arial" w:cs="Arial"/>
          <w:b/>
          <w:sz w:val="20"/>
          <w:szCs w:val="20"/>
        </w:rPr>
        <w:t>Licitação. RDC. Orçamento estimativo. Orçamento sigiloso. Desclassificação. Proposta.</w:t>
      </w:r>
    </w:p>
    <w:p w:rsidR="008464F9" w:rsidRPr="003F314F" w:rsidRDefault="008464F9" w:rsidP="008464F9">
      <w:pPr>
        <w:pStyle w:val="TCU-Epgrafe"/>
        <w:spacing w:after="200" w:line="276" w:lineRule="auto"/>
        <w:ind w:left="0"/>
        <w:rPr>
          <w:rFonts w:ascii="Arial" w:hAnsi="Arial" w:cs="Arial"/>
          <w:sz w:val="20"/>
        </w:rPr>
      </w:pPr>
      <w:r w:rsidRPr="003F314F">
        <w:rPr>
          <w:rFonts w:ascii="Arial" w:hAnsi="Arial" w:cs="Arial"/>
          <w:sz w:val="20"/>
        </w:rPr>
        <w:t>No âmbito do RDC, a violação do sigilo do orçamento base da licitação por um dos licitantes motiva a desclassificação da sua proposta, podendo a licitação prosseguir caso não haja indícios de que os demais licitantes tenham tido acesso ao orçamento sigiloso.</w:t>
      </w:r>
    </w:p>
    <w:p w:rsidR="00F94F0F" w:rsidRPr="003F314F" w:rsidRDefault="00651CF1" w:rsidP="00F94F0F">
      <w:pPr>
        <w:widowControl w:val="0"/>
        <w:autoSpaceDE w:val="0"/>
        <w:autoSpaceDN w:val="0"/>
        <w:jc w:val="both"/>
        <w:rPr>
          <w:rFonts w:ascii="Arial" w:hAnsi="Arial" w:cs="Arial"/>
          <w:b/>
          <w:sz w:val="20"/>
          <w:szCs w:val="20"/>
        </w:rPr>
      </w:pPr>
      <w:hyperlink r:id="rId24" w:history="1">
        <w:r w:rsidR="00F94F0F" w:rsidRPr="00184EAB">
          <w:rPr>
            <w:rStyle w:val="Hyperlink"/>
            <w:rFonts w:ascii="Arial" w:hAnsi="Arial" w:cs="Arial"/>
            <w:sz w:val="20"/>
            <w:szCs w:val="20"/>
          </w:rPr>
          <w:t xml:space="preserve">Acórdão 10138/2017 </w:t>
        </w:r>
        <w:r w:rsidR="00184EAB">
          <w:rPr>
            <w:rStyle w:val="Hyperlink"/>
            <w:rFonts w:ascii="Arial" w:hAnsi="Arial" w:cs="Arial"/>
            <w:sz w:val="20"/>
            <w:szCs w:val="20"/>
          </w:rPr>
          <w:t xml:space="preserve">- </w:t>
        </w:r>
        <w:r w:rsidR="00F94F0F" w:rsidRPr="00184EAB">
          <w:rPr>
            <w:rStyle w:val="Hyperlink"/>
            <w:rFonts w:ascii="Arial" w:hAnsi="Arial" w:cs="Arial"/>
            <w:sz w:val="20"/>
            <w:szCs w:val="20"/>
          </w:rPr>
          <w:t>Segunda Câmara</w:t>
        </w:r>
      </w:hyperlink>
      <w:r w:rsidR="00F94F0F" w:rsidRPr="003F314F">
        <w:rPr>
          <w:rFonts w:ascii="Arial" w:hAnsi="Arial" w:cs="Arial"/>
          <w:b/>
          <w:sz w:val="20"/>
          <w:szCs w:val="20"/>
        </w:rPr>
        <w:t xml:space="preserve"> </w:t>
      </w:r>
      <w:r w:rsidR="00F94F0F" w:rsidRPr="003F314F">
        <w:rPr>
          <w:rFonts w:ascii="Arial" w:hAnsi="Arial" w:cs="Arial"/>
          <w:sz w:val="20"/>
          <w:szCs w:val="20"/>
        </w:rPr>
        <w:t>(Representação, Relator Ministra Ana Arraes)</w:t>
      </w:r>
    </w:p>
    <w:p w:rsidR="00F94F0F" w:rsidRPr="003F314F" w:rsidRDefault="00F94F0F" w:rsidP="00F94F0F">
      <w:pPr>
        <w:jc w:val="both"/>
        <w:rPr>
          <w:rFonts w:ascii="Arial" w:hAnsi="Arial" w:cs="Arial"/>
          <w:b/>
          <w:sz w:val="20"/>
          <w:szCs w:val="20"/>
        </w:rPr>
      </w:pPr>
      <w:r w:rsidRPr="003F314F">
        <w:rPr>
          <w:rFonts w:ascii="Arial" w:hAnsi="Arial" w:cs="Arial"/>
          <w:b/>
          <w:sz w:val="20"/>
          <w:szCs w:val="20"/>
        </w:rPr>
        <w:t>Contrato Administrativo. Prorrogação de contrato. Serviços contínuos. Caracterização.</w:t>
      </w:r>
    </w:p>
    <w:p w:rsidR="00F94F0F" w:rsidRPr="003F314F" w:rsidRDefault="00F94F0F" w:rsidP="00F94F0F">
      <w:pPr>
        <w:jc w:val="both"/>
        <w:rPr>
          <w:rFonts w:ascii="Arial" w:hAnsi="Arial" w:cs="Arial"/>
          <w:sz w:val="20"/>
          <w:szCs w:val="20"/>
          <w:shd w:val="clear" w:color="auto" w:fill="FFFFFF"/>
          <w:lang w:eastAsia="pt-BR"/>
        </w:rPr>
      </w:pPr>
      <w:r w:rsidRPr="003F314F">
        <w:rPr>
          <w:rFonts w:ascii="Arial" w:hAnsi="Arial" w:cs="Arial"/>
          <w:sz w:val="20"/>
          <w:szCs w:val="20"/>
          <w:shd w:val="clear" w:color="auto" w:fill="FFFFFF"/>
          <w:lang w:eastAsia="pt-BR"/>
        </w:rPr>
        <w:t xml:space="preserve">O caráter contínuo de um serviço (art. 57, inciso II, da </w:t>
      </w:r>
      <w:hyperlink r:id="rId25" w:tgtFrame="_blank" w:history="1">
        <w:r w:rsidRPr="003F314F">
          <w:rPr>
            <w:rStyle w:val="Hyperlink"/>
            <w:rFonts w:ascii="Arial" w:hAnsi="Arial" w:cs="Arial"/>
            <w:color w:val="0000FF" w:themeColor="hyperlink"/>
            <w:sz w:val="20"/>
            <w:szCs w:val="20"/>
          </w:rPr>
          <w:t>Lei 8.666/1993</w:t>
        </w:r>
      </w:hyperlink>
      <w:r w:rsidRPr="003F314F">
        <w:rPr>
          <w:rFonts w:ascii="Arial" w:hAnsi="Arial" w:cs="Arial"/>
          <w:sz w:val="20"/>
          <w:szCs w:val="20"/>
          <w:shd w:val="clear" w:color="auto" w:fill="FFFFFF"/>
          <w:lang w:eastAsia="pt-BR"/>
        </w:rPr>
        <w:t>) é determinado por sua essencialidade para assegurar a integridade do patrimônio público de forma rotineira e permanente ou para manter o funcionamento das atividades finalísticas do ente administrativo, de modo que sua interrupção possa comprometer a prestação de um serviço público ou o cumprimento da missão institucional.</w:t>
      </w:r>
    </w:p>
    <w:p w:rsidR="00543DF0" w:rsidRDefault="00543DF0" w:rsidP="00543DF0">
      <w:pPr>
        <w:pStyle w:val="Default"/>
        <w:spacing w:after="200" w:line="276" w:lineRule="auto"/>
        <w:jc w:val="both"/>
        <w:rPr>
          <w:b/>
          <w:sz w:val="20"/>
          <w:szCs w:val="20"/>
        </w:rPr>
      </w:pPr>
      <w:r>
        <w:rPr>
          <w:b/>
          <w:sz w:val="20"/>
          <w:szCs w:val="20"/>
        </w:rPr>
        <w:t xml:space="preserve">Acesse também: </w:t>
      </w:r>
    </w:p>
    <w:p w:rsidR="00270E2F" w:rsidRPr="00BC4C07" w:rsidRDefault="00651CF1" w:rsidP="00270E2F">
      <w:pPr>
        <w:pStyle w:val="Default"/>
        <w:spacing w:line="276" w:lineRule="auto"/>
        <w:jc w:val="center"/>
        <w:rPr>
          <w:b/>
          <w:sz w:val="20"/>
          <w:szCs w:val="20"/>
        </w:rPr>
      </w:pPr>
      <w:hyperlink r:id="rId26" w:history="1">
        <w:r w:rsidR="00270E2F" w:rsidRPr="00BC4C07">
          <w:rPr>
            <w:rStyle w:val="Hyperlink"/>
            <w:b/>
            <w:sz w:val="20"/>
            <w:szCs w:val="20"/>
          </w:rPr>
          <w:t>Pesquisas Prontas</w:t>
        </w:r>
      </w:hyperlink>
    </w:p>
    <w:p w:rsidR="00270E2F" w:rsidRDefault="00270E2F" w:rsidP="00270E2F">
      <w:pPr>
        <w:pStyle w:val="Default"/>
        <w:spacing w:line="276" w:lineRule="auto"/>
        <w:jc w:val="center"/>
      </w:pPr>
    </w:p>
    <w:p w:rsidR="00270E2F" w:rsidRDefault="00651CF1" w:rsidP="00270E2F">
      <w:pPr>
        <w:pStyle w:val="Default"/>
        <w:spacing w:line="276" w:lineRule="auto"/>
        <w:jc w:val="center"/>
        <w:rPr>
          <w:rStyle w:val="Hyperlink"/>
          <w:b/>
          <w:sz w:val="20"/>
          <w:szCs w:val="20"/>
        </w:rPr>
      </w:pPr>
      <w:hyperlink r:id="rId27" w:history="1">
        <w:r w:rsidR="00270E2F">
          <w:rPr>
            <w:rStyle w:val="Hyperlink"/>
            <w:b/>
            <w:sz w:val="20"/>
            <w:szCs w:val="20"/>
          </w:rPr>
          <w:t>Repercussão Geral do Supremo Tribunal Federal - STF e os Tribunais de Contas</w:t>
        </w:r>
      </w:hyperlink>
    </w:p>
    <w:p w:rsidR="00270E2F" w:rsidRPr="00DD265A" w:rsidRDefault="00270E2F" w:rsidP="00270E2F">
      <w:pPr>
        <w:pStyle w:val="Default"/>
        <w:spacing w:line="276" w:lineRule="auto"/>
        <w:jc w:val="center"/>
        <w:rPr>
          <w:rStyle w:val="Hyperlink"/>
          <w:b/>
          <w:sz w:val="20"/>
          <w:szCs w:val="20"/>
        </w:rPr>
      </w:pPr>
    </w:p>
    <w:p w:rsidR="002A00E8" w:rsidRPr="00DD265A" w:rsidRDefault="00651CF1" w:rsidP="002A00E8">
      <w:pPr>
        <w:pStyle w:val="Default"/>
        <w:spacing w:line="276" w:lineRule="auto"/>
        <w:jc w:val="center"/>
        <w:rPr>
          <w:rStyle w:val="Hyperlink"/>
          <w:b/>
          <w:sz w:val="20"/>
          <w:szCs w:val="20"/>
        </w:rPr>
      </w:pPr>
      <w:hyperlink r:id="rId28" w:history="1">
        <w:r w:rsidR="002A00E8" w:rsidRPr="00DD265A">
          <w:rPr>
            <w:rStyle w:val="Hyperlink"/>
            <w:b/>
            <w:sz w:val="20"/>
            <w:szCs w:val="20"/>
          </w:rPr>
          <w:t>Revista Digital do Tribunal de Contas do Estado do Paraná - Edição n° 19</w:t>
        </w:r>
      </w:hyperlink>
    </w:p>
    <w:p w:rsidR="00270E2F" w:rsidRDefault="00270E2F" w:rsidP="00270E2F">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DB558E" w:rsidRPr="000714F4" w:rsidRDefault="00DB558E" w:rsidP="00DB558E">
      <w:pPr>
        <w:spacing w:after="0"/>
        <w:jc w:val="center"/>
        <w:rPr>
          <w:rFonts w:ascii="Arial" w:hAnsi="Arial" w:cs="Arial"/>
          <w:b/>
          <w:sz w:val="20"/>
          <w:szCs w:val="20"/>
        </w:rPr>
      </w:pPr>
      <w:r w:rsidRPr="000714F4">
        <w:rPr>
          <w:rStyle w:val="Hyperlink"/>
          <w:rFonts w:ascii="Arial" w:hAnsi="Arial" w:cs="Arial"/>
          <w:i/>
          <w:color w:val="000000" w:themeColor="text1"/>
          <w:sz w:val="20"/>
          <w:szCs w:val="20"/>
          <w:u w:val="none"/>
        </w:rPr>
        <w:t>Elaboração: Escola de Gestão Pública - Jurisprudência</w:t>
      </w:r>
    </w:p>
    <w:p w:rsidR="00DB558E" w:rsidRDefault="00DB558E" w:rsidP="00DB558E">
      <w:pPr>
        <w:widowControl w:val="0"/>
        <w:autoSpaceDE w:val="0"/>
        <w:autoSpaceDN w:val="0"/>
        <w:spacing w:after="0"/>
        <w:jc w:val="both"/>
        <w:rPr>
          <w:rFonts w:ascii="Arial" w:hAnsi="Arial" w:cs="Arial"/>
          <w:b/>
          <w:sz w:val="20"/>
          <w:szCs w:val="20"/>
        </w:rPr>
      </w:pPr>
    </w:p>
    <w:p w:rsidR="00E01524" w:rsidRPr="0022060B" w:rsidRDefault="00E01524" w:rsidP="00DB558E">
      <w:pPr>
        <w:pStyle w:val="TCU-Epgrafe"/>
        <w:spacing w:after="200" w:line="276" w:lineRule="auto"/>
        <w:ind w:left="0"/>
        <w:rPr>
          <w:rFonts w:ascii="Arial" w:hAnsi="Arial" w:cs="Arial"/>
          <w:b/>
          <w:sz w:val="20"/>
        </w:rPr>
      </w:pPr>
    </w:p>
    <w:sectPr w:rsidR="00E01524" w:rsidRPr="0022060B">
      <w:headerReference w:type="default" r:id="rId29"/>
      <w:footerReference w:type="default" r:id="rId3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C714B3">
      <w:rPr>
        <w:noProof/>
        <w:sz w:val="16"/>
        <w:szCs w:val="16"/>
      </w:rPr>
      <w:t>8</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B804EA1"/>
    <w:multiLevelType w:val="hybridMultilevel"/>
    <w:tmpl w:val="E7CE6E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11"/>
  </w:num>
  <w:num w:numId="5">
    <w:abstractNumId w:val="12"/>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68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7EBA"/>
    <w:rsid w:val="00021B0A"/>
    <w:rsid w:val="00025971"/>
    <w:rsid w:val="000262AD"/>
    <w:rsid w:val="00027A03"/>
    <w:rsid w:val="00027FAB"/>
    <w:rsid w:val="000300F4"/>
    <w:rsid w:val="00032A26"/>
    <w:rsid w:val="00033E69"/>
    <w:rsid w:val="00040672"/>
    <w:rsid w:val="00040EBA"/>
    <w:rsid w:val="00042502"/>
    <w:rsid w:val="00042DF3"/>
    <w:rsid w:val="0004304B"/>
    <w:rsid w:val="000433EC"/>
    <w:rsid w:val="000439FD"/>
    <w:rsid w:val="00045700"/>
    <w:rsid w:val="00046191"/>
    <w:rsid w:val="00046E21"/>
    <w:rsid w:val="00047EF1"/>
    <w:rsid w:val="0005225C"/>
    <w:rsid w:val="00052862"/>
    <w:rsid w:val="00053B72"/>
    <w:rsid w:val="00056686"/>
    <w:rsid w:val="00056E6F"/>
    <w:rsid w:val="000572CE"/>
    <w:rsid w:val="000617CF"/>
    <w:rsid w:val="00062737"/>
    <w:rsid w:val="00067E01"/>
    <w:rsid w:val="00070009"/>
    <w:rsid w:val="00070B14"/>
    <w:rsid w:val="000713DD"/>
    <w:rsid w:val="000714F4"/>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2FE"/>
    <w:rsid w:val="0009762F"/>
    <w:rsid w:val="00097B00"/>
    <w:rsid w:val="000A0748"/>
    <w:rsid w:val="000A0E48"/>
    <w:rsid w:val="000A29BE"/>
    <w:rsid w:val="000A3C2D"/>
    <w:rsid w:val="000A47FD"/>
    <w:rsid w:val="000A4EB6"/>
    <w:rsid w:val="000A5F01"/>
    <w:rsid w:val="000A71D1"/>
    <w:rsid w:val="000B11D2"/>
    <w:rsid w:val="000B1E10"/>
    <w:rsid w:val="000B2FD9"/>
    <w:rsid w:val="000B311A"/>
    <w:rsid w:val="000B31B6"/>
    <w:rsid w:val="000B43DE"/>
    <w:rsid w:val="000B47C0"/>
    <w:rsid w:val="000C2948"/>
    <w:rsid w:val="000C3582"/>
    <w:rsid w:val="000C4F73"/>
    <w:rsid w:val="000C5093"/>
    <w:rsid w:val="000C5460"/>
    <w:rsid w:val="000C5EB3"/>
    <w:rsid w:val="000C63BC"/>
    <w:rsid w:val="000C7D67"/>
    <w:rsid w:val="000D2D5B"/>
    <w:rsid w:val="000D357D"/>
    <w:rsid w:val="000D4DE6"/>
    <w:rsid w:val="000D6D01"/>
    <w:rsid w:val="000E300B"/>
    <w:rsid w:val="000E3ACE"/>
    <w:rsid w:val="000E3FC6"/>
    <w:rsid w:val="000E464B"/>
    <w:rsid w:val="000E5474"/>
    <w:rsid w:val="000E5AC8"/>
    <w:rsid w:val="000F04ED"/>
    <w:rsid w:val="000F18DA"/>
    <w:rsid w:val="000F1FFA"/>
    <w:rsid w:val="000F314C"/>
    <w:rsid w:val="000F639D"/>
    <w:rsid w:val="000F7C1B"/>
    <w:rsid w:val="00100B9C"/>
    <w:rsid w:val="00106AA9"/>
    <w:rsid w:val="00110517"/>
    <w:rsid w:val="00110BD6"/>
    <w:rsid w:val="001119DC"/>
    <w:rsid w:val="00111B86"/>
    <w:rsid w:val="00111C26"/>
    <w:rsid w:val="00112B60"/>
    <w:rsid w:val="00113EF1"/>
    <w:rsid w:val="00114B62"/>
    <w:rsid w:val="001159C9"/>
    <w:rsid w:val="00120862"/>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29D8"/>
    <w:rsid w:val="00156185"/>
    <w:rsid w:val="00156F74"/>
    <w:rsid w:val="00157806"/>
    <w:rsid w:val="00157D64"/>
    <w:rsid w:val="0016028F"/>
    <w:rsid w:val="00161AA2"/>
    <w:rsid w:val="0016670D"/>
    <w:rsid w:val="00166A96"/>
    <w:rsid w:val="00170F9D"/>
    <w:rsid w:val="00171401"/>
    <w:rsid w:val="001720EB"/>
    <w:rsid w:val="00172248"/>
    <w:rsid w:val="0017455D"/>
    <w:rsid w:val="001765B5"/>
    <w:rsid w:val="001770AF"/>
    <w:rsid w:val="001800A9"/>
    <w:rsid w:val="001823E7"/>
    <w:rsid w:val="0018272D"/>
    <w:rsid w:val="00184EAB"/>
    <w:rsid w:val="00190B94"/>
    <w:rsid w:val="001930D1"/>
    <w:rsid w:val="001942C5"/>
    <w:rsid w:val="00196437"/>
    <w:rsid w:val="001975AB"/>
    <w:rsid w:val="001A16DE"/>
    <w:rsid w:val="001A5D2D"/>
    <w:rsid w:val="001B096B"/>
    <w:rsid w:val="001B5B65"/>
    <w:rsid w:val="001B5F7A"/>
    <w:rsid w:val="001B6E08"/>
    <w:rsid w:val="001C0F23"/>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F7A25"/>
    <w:rsid w:val="002013D1"/>
    <w:rsid w:val="0020195B"/>
    <w:rsid w:val="00202E6D"/>
    <w:rsid w:val="00202F4B"/>
    <w:rsid w:val="00203401"/>
    <w:rsid w:val="002036C8"/>
    <w:rsid w:val="00207EE8"/>
    <w:rsid w:val="002100EE"/>
    <w:rsid w:val="00211A49"/>
    <w:rsid w:val="00213BD0"/>
    <w:rsid w:val="002147AC"/>
    <w:rsid w:val="00215BFE"/>
    <w:rsid w:val="00215EF3"/>
    <w:rsid w:val="0022060B"/>
    <w:rsid w:val="00221D15"/>
    <w:rsid w:val="00223A59"/>
    <w:rsid w:val="00223F1C"/>
    <w:rsid w:val="002245DE"/>
    <w:rsid w:val="00224904"/>
    <w:rsid w:val="00227C6E"/>
    <w:rsid w:val="00232878"/>
    <w:rsid w:val="0023318C"/>
    <w:rsid w:val="00234AE0"/>
    <w:rsid w:val="00235F82"/>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729F"/>
    <w:rsid w:val="00270E2F"/>
    <w:rsid w:val="00271154"/>
    <w:rsid w:val="00271655"/>
    <w:rsid w:val="002805F1"/>
    <w:rsid w:val="00286EB4"/>
    <w:rsid w:val="002874A2"/>
    <w:rsid w:val="002921E2"/>
    <w:rsid w:val="002949B6"/>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48D1"/>
    <w:rsid w:val="002D5B56"/>
    <w:rsid w:val="002D6612"/>
    <w:rsid w:val="002D7650"/>
    <w:rsid w:val="002E09B1"/>
    <w:rsid w:val="002E0A60"/>
    <w:rsid w:val="002E4277"/>
    <w:rsid w:val="002E5303"/>
    <w:rsid w:val="002E6626"/>
    <w:rsid w:val="002E72FA"/>
    <w:rsid w:val="002E7DFF"/>
    <w:rsid w:val="002F0BE9"/>
    <w:rsid w:val="002F13A0"/>
    <w:rsid w:val="002F1634"/>
    <w:rsid w:val="002F1848"/>
    <w:rsid w:val="002F1D70"/>
    <w:rsid w:val="002F22FA"/>
    <w:rsid w:val="002F73BA"/>
    <w:rsid w:val="003005B3"/>
    <w:rsid w:val="0030165B"/>
    <w:rsid w:val="00302340"/>
    <w:rsid w:val="00303C9C"/>
    <w:rsid w:val="00305A67"/>
    <w:rsid w:val="00306B80"/>
    <w:rsid w:val="00307038"/>
    <w:rsid w:val="00313238"/>
    <w:rsid w:val="003132BE"/>
    <w:rsid w:val="00320577"/>
    <w:rsid w:val="0032266D"/>
    <w:rsid w:val="00323127"/>
    <w:rsid w:val="00325E2F"/>
    <w:rsid w:val="003265DB"/>
    <w:rsid w:val="003269A9"/>
    <w:rsid w:val="00327DF9"/>
    <w:rsid w:val="0033073E"/>
    <w:rsid w:val="00331533"/>
    <w:rsid w:val="0033240F"/>
    <w:rsid w:val="00333875"/>
    <w:rsid w:val="0033604C"/>
    <w:rsid w:val="003407F0"/>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E61"/>
    <w:rsid w:val="00365EFF"/>
    <w:rsid w:val="00365F51"/>
    <w:rsid w:val="00375692"/>
    <w:rsid w:val="00375DB6"/>
    <w:rsid w:val="0038012F"/>
    <w:rsid w:val="00380BAB"/>
    <w:rsid w:val="00381A0E"/>
    <w:rsid w:val="00381F17"/>
    <w:rsid w:val="0038751C"/>
    <w:rsid w:val="0038778B"/>
    <w:rsid w:val="00394451"/>
    <w:rsid w:val="003948C0"/>
    <w:rsid w:val="0039584A"/>
    <w:rsid w:val="0039625A"/>
    <w:rsid w:val="00396E93"/>
    <w:rsid w:val="003A4828"/>
    <w:rsid w:val="003A64CB"/>
    <w:rsid w:val="003A6622"/>
    <w:rsid w:val="003A673F"/>
    <w:rsid w:val="003B145D"/>
    <w:rsid w:val="003B4678"/>
    <w:rsid w:val="003B4F77"/>
    <w:rsid w:val="003B502C"/>
    <w:rsid w:val="003C6B35"/>
    <w:rsid w:val="003C7C21"/>
    <w:rsid w:val="003D547D"/>
    <w:rsid w:val="003D650C"/>
    <w:rsid w:val="003D6713"/>
    <w:rsid w:val="003D6E90"/>
    <w:rsid w:val="003D6FB5"/>
    <w:rsid w:val="003D7C37"/>
    <w:rsid w:val="003E110D"/>
    <w:rsid w:val="003E3529"/>
    <w:rsid w:val="003E3D02"/>
    <w:rsid w:val="003E3E6A"/>
    <w:rsid w:val="003E55BC"/>
    <w:rsid w:val="003E6EAF"/>
    <w:rsid w:val="003F0088"/>
    <w:rsid w:val="003F03C6"/>
    <w:rsid w:val="003F2DDE"/>
    <w:rsid w:val="003F314F"/>
    <w:rsid w:val="003F348D"/>
    <w:rsid w:val="003F4721"/>
    <w:rsid w:val="003F5060"/>
    <w:rsid w:val="003F5829"/>
    <w:rsid w:val="003F63DA"/>
    <w:rsid w:val="003F677C"/>
    <w:rsid w:val="003F7090"/>
    <w:rsid w:val="003F719E"/>
    <w:rsid w:val="00401EE0"/>
    <w:rsid w:val="004043AD"/>
    <w:rsid w:val="00405A6A"/>
    <w:rsid w:val="00406D2C"/>
    <w:rsid w:val="0041120A"/>
    <w:rsid w:val="004117CB"/>
    <w:rsid w:val="00411935"/>
    <w:rsid w:val="0041337A"/>
    <w:rsid w:val="00416A72"/>
    <w:rsid w:val="00420AE1"/>
    <w:rsid w:val="0042728A"/>
    <w:rsid w:val="004276DC"/>
    <w:rsid w:val="0042779B"/>
    <w:rsid w:val="0043291F"/>
    <w:rsid w:val="00434347"/>
    <w:rsid w:val="004371F9"/>
    <w:rsid w:val="0043728E"/>
    <w:rsid w:val="00437541"/>
    <w:rsid w:val="00441956"/>
    <w:rsid w:val="00441D38"/>
    <w:rsid w:val="00441E59"/>
    <w:rsid w:val="004429A2"/>
    <w:rsid w:val="00442CB7"/>
    <w:rsid w:val="00443CA1"/>
    <w:rsid w:val="00444C25"/>
    <w:rsid w:val="0044532C"/>
    <w:rsid w:val="00447BB2"/>
    <w:rsid w:val="00450F22"/>
    <w:rsid w:val="004527ED"/>
    <w:rsid w:val="00455387"/>
    <w:rsid w:val="00455AAB"/>
    <w:rsid w:val="00456041"/>
    <w:rsid w:val="00457317"/>
    <w:rsid w:val="004611E1"/>
    <w:rsid w:val="0046165B"/>
    <w:rsid w:val="00462460"/>
    <w:rsid w:val="004624E9"/>
    <w:rsid w:val="00462A13"/>
    <w:rsid w:val="00462F2A"/>
    <w:rsid w:val="00463986"/>
    <w:rsid w:val="00463AC5"/>
    <w:rsid w:val="00463BA8"/>
    <w:rsid w:val="004641AA"/>
    <w:rsid w:val="00464835"/>
    <w:rsid w:val="004654D3"/>
    <w:rsid w:val="00470218"/>
    <w:rsid w:val="00471B9D"/>
    <w:rsid w:val="0047206A"/>
    <w:rsid w:val="004729D5"/>
    <w:rsid w:val="00474978"/>
    <w:rsid w:val="0047499A"/>
    <w:rsid w:val="00474C78"/>
    <w:rsid w:val="00475AAE"/>
    <w:rsid w:val="00480934"/>
    <w:rsid w:val="0048130C"/>
    <w:rsid w:val="00482FA5"/>
    <w:rsid w:val="00484E6E"/>
    <w:rsid w:val="00485819"/>
    <w:rsid w:val="00487D31"/>
    <w:rsid w:val="00490000"/>
    <w:rsid w:val="00491F60"/>
    <w:rsid w:val="00492026"/>
    <w:rsid w:val="004920C5"/>
    <w:rsid w:val="004927D6"/>
    <w:rsid w:val="00492E16"/>
    <w:rsid w:val="004949D1"/>
    <w:rsid w:val="00494AE3"/>
    <w:rsid w:val="00494C04"/>
    <w:rsid w:val="0049557F"/>
    <w:rsid w:val="004965C3"/>
    <w:rsid w:val="004A0574"/>
    <w:rsid w:val="004A0A41"/>
    <w:rsid w:val="004A22CF"/>
    <w:rsid w:val="004A5804"/>
    <w:rsid w:val="004A794E"/>
    <w:rsid w:val="004B142E"/>
    <w:rsid w:val="004B3D26"/>
    <w:rsid w:val="004B3D28"/>
    <w:rsid w:val="004B44C1"/>
    <w:rsid w:val="004B623F"/>
    <w:rsid w:val="004B6EA7"/>
    <w:rsid w:val="004B7CB7"/>
    <w:rsid w:val="004C11DE"/>
    <w:rsid w:val="004C13DB"/>
    <w:rsid w:val="004D00EF"/>
    <w:rsid w:val="004D1276"/>
    <w:rsid w:val="004D14AD"/>
    <w:rsid w:val="004D376C"/>
    <w:rsid w:val="004D3864"/>
    <w:rsid w:val="004D58CD"/>
    <w:rsid w:val="004D5EEF"/>
    <w:rsid w:val="004D75B0"/>
    <w:rsid w:val="004D7DC5"/>
    <w:rsid w:val="004E109A"/>
    <w:rsid w:val="004E3B94"/>
    <w:rsid w:val="004E6410"/>
    <w:rsid w:val="004E7C93"/>
    <w:rsid w:val="004F3C8F"/>
    <w:rsid w:val="004F61EC"/>
    <w:rsid w:val="00500939"/>
    <w:rsid w:val="00501FC7"/>
    <w:rsid w:val="00502265"/>
    <w:rsid w:val="005025F4"/>
    <w:rsid w:val="00502AAF"/>
    <w:rsid w:val="00503FEF"/>
    <w:rsid w:val="005060B9"/>
    <w:rsid w:val="005067E0"/>
    <w:rsid w:val="00510B62"/>
    <w:rsid w:val="00511F85"/>
    <w:rsid w:val="00516673"/>
    <w:rsid w:val="005166CA"/>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4EE4"/>
    <w:rsid w:val="00546D89"/>
    <w:rsid w:val="00547AFC"/>
    <w:rsid w:val="0055022A"/>
    <w:rsid w:val="005503E5"/>
    <w:rsid w:val="005513B0"/>
    <w:rsid w:val="00556F73"/>
    <w:rsid w:val="005576BE"/>
    <w:rsid w:val="005603B3"/>
    <w:rsid w:val="00561787"/>
    <w:rsid w:val="0056193C"/>
    <w:rsid w:val="00561EF9"/>
    <w:rsid w:val="00563492"/>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10E8"/>
    <w:rsid w:val="00593EFC"/>
    <w:rsid w:val="00594F73"/>
    <w:rsid w:val="0059537A"/>
    <w:rsid w:val="005957D1"/>
    <w:rsid w:val="00597215"/>
    <w:rsid w:val="005A0FD0"/>
    <w:rsid w:val="005A1468"/>
    <w:rsid w:val="005A4536"/>
    <w:rsid w:val="005A5AF2"/>
    <w:rsid w:val="005A742F"/>
    <w:rsid w:val="005A7C78"/>
    <w:rsid w:val="005B4F6C"/>
    <w:rsid w:val="005B7055"/>
    <w:rsid w:val="005C4763"/>
    <w:rsid w:val="005C4DB7"/>
    <w:rsid w:val="005C5DC8"/>
    <w:rsid w:val="005C661E"/>
    <w:rsid w:val="005C7258"/>
    <w:rsid w:val="005D1E9E"/>
    <w:rsid w:val="005D48C8"/>
    <w:rsid w:val="005D58CE"/>
    <w:rsid w:val="005D67D4"/>
    <w:rsid w:val="005D6DB4"/>
    <w:rsid w:val="005E2760"/>
    <w:rsid w:val="005E2D13"/>
    <w:rsid w:val="005E350B"/>
    <w:rsid w:val="005E4648"/>
    <w:rsid w:val="005E6068"/>
    <w:rsid w:val="005E64B3"/>
    <w:rsid w:val="005E6A47"/>
    <w:rsid w:val="005E7B45"/>
    <w:rsid w:val="005F03A4"/>
    <w:rsid w:val="005F0C51"/>
    <w:rsid w:val="005F16DB"/>
    <w:rsid w:val="005F17B2"/>
    <w:rsid w:val="005F2BB5"/>
    <w:rsid w:val="005F3A96"/>
    <w:rsid w:val="005F4DBF"/>
    <w:rsid w:val="005F58C1"/>
    <w:rsid w:val="005F5AC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61F0"/>
    <w:rsid w:val="006372A4"/>
    <w:rsid w:val="006375ED"/>
    <w:rsid w:val="0064029E"/>
    <w:rsid w:val="00640861"/>
    <w:rsid w:val="00640A36"/>
    <w:rsid w:val="00640BDC"/>
    <w:rsid w:val="006448F4"/>
    <w:rsid w:val="00646004"/>
    <w:rsid w:val="00646AD1"/>
    <w:rsid w:val="006473BA"/>
    <w:rsid w:val="00650E4E"/>
    <w:rsid w:val="00651CF1"/>
    <w:rsid w:val="00654D9D"/>
    <w:rsid w:val="00660C02"/>
    <w:rsid w:val="0066104E"/>
    <w:rsid w:val="0066130F"/>
    <w:rsid w:val="006641F4"/>
    <w:rsid w:val="006645D9"/>
    <w:rsid w:val="00665EBC"/>
    <w:rsid w:val="00667637"/>
    <w:rsid w:val="00667BE8"/>
    <w:rsid w:val="0067150D"/>
    <w:rsid w:val="00671EF7"/>
    <w:rsid w:val="00673A29"/>
    <w:rsid w:val="00673AD9"/>
    <w:rsid w:val="00676000"/>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3252"/>
    <w:rsid w:val="006C7A04"/>
    <w:rsid w:val="006D158F"/>
    <w:rsid w:val="006D1B83"/>
    <w:rsid w:val="006D1BE7"/>
    <w:rsid w:val="006D5C98"/>
    <w:rsid w:val="006D6FCC"/>
    <w:rsid w:val="006E0A9F"/>
    <w:rsid w:val="006E12D5"/>
    <w:rsid w:val="006E1611"/>
    <w:rsid w:val="006E26E8"/>
    <w:rsid w:val="006E4493"/>
    <w:rsid w:val="006E76B0"/>
    <w:rsid w:val="006F08D4"/>
    <w:rsid w:val="006F3318"/>
    <w:rsid w:val="006F39CF"/>
    <w:rsid w:val="006F4894"/>
    <w:rsid w:val="006F58F5"/>
    <w:rsid w:val="006F676D"/>
    <w:rsid w:val="00700672"/>
    <w:rsid w:val="00701319"/>
    <w:rsid w:val="00701A9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708B"/>
    <w:rsid w:val="0079779E"/>
    <w:rsid w:val="007A6DC9"/>
    <w:rsid w:val="007A71B5"/>
    <w:rsid w:val="007A797E"/>
    <w:rsid w:val="007B1216"/>
    <w:rsid w:val="007B255F"/>
    <w:rsid w:val="007B55C5"/>
    <w:rsid w:val="007B7E46"/>
    <w:rsid w:val="007C0579"/>
    <w:rsid w:val="007C0E7E"/>
    <w:rsid w:val="007C10CC"/>
    <w:rsid w:val="007C250E"/>
    <w:rsid w:val="007C2CD7"/>
    <w:rsid w:val="007D009C"/>
    <w:rsid w:val="007D2162"/>
    <w:rsid w:val="007D5A53"/>
    <w:rsid w:val="007D62D9"/>
    <w:rsid w:val="007D73C9"/>
    <w:rsid w:val="007E1FB4"/>
    <w:rsid w:val="007E28C1"/>
    <w:rsid w:val="007F037C"/>
    <w:rsid w:val="007F0840"/>
    <w:rsid w:val="007F1306"/>
    <w:rsid w:val="007F2086"/>
    <w:rsid w:val="007F67A7"/>
    <w:rsid w:val="007F6F0A"/>
    <w:rsid w:val="00800773"/>
    <w:rsid w:val="00801004"/>
    <w:rsid w:val="0080111C"/>
    <w:rsid w:val="00801EFD"/>
    <w:rsid w:val="00802097"/>
    <w:rsid w:val="00804A1C"/>
    <w:rsid w:val="008058BC"/>
    <w:rsid w:val="00806D7C"/>
    <w:rsid w:val="00807854"/>
    <w:rsid w:val="00811012"/>
    <w:rsid w:val="00811A90"/>
    <w:rsid w:val="00812B3D"/>
    <w:rsid w:val="00813846"/>
    <w:rsid w:val="00814325"/>
    <w:rsid w:val="00815C4F"/>
    <w:rsid w:val="008161C2"/>
    <w:rsid w:val="00816942"/>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41EAB"/>
    <w:rsid w:val="00844977"/>
    <w:rsid w:val="00844B97"/>
    <w:rsid w:val="00845BB4"/>
    <w:rsid w:val="008464F9"/>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1517"/>
    <w:rsid w:val="008A2307"/>
    <w:rsid w:val="008A2B8F"/>
    <w:rsid w:val="008A2BB7"/>
    <w:rsid w:val="008A4000"/>
    <w:rsid w:val="008A4A65"/>
    <w:rsid w:val="008A5535"/>
    <w:rsid w:val="008A6621"/>
    <w:rsid w:val="008A70A5"/>
    <w:rsid w:val="008B201B"/>
    <w:rsid w:val="008B2D64"/>
    <w:rsid w:val="008B368E"/>
    <w:rsid w:val="008B38A4"/>
    <w:rsid w:val="008B38EE"/>
    <w:rsid w:val="008B4F2F"/>
    <w:rsid w:val="008B55B4"/>
    <w:rsid w:val="008B6A00"/>
    <w:rsid w:val="008C0269"/>
    <w:rsid w:val="008C257C"/>
    <w:rsid w:val="008D0FDE"/>
    <w:rsid w:val="008D1051"/>
    <w:rsid w:val="008D22BE"/>
    <w:rsid w:val="008D3384"/>
    <w:rsid w:val="008D7542"/>
    <w:rsid w:val="008D7F7C"/>
    <w:rsid w:val="008E0835"/>
    <w:rsid w:val="008E16ED"/>
    <w:rsid w:val="008E280E"/>
    <w:rsid w:val="008E2BA7"/>
    <w:rsid w:val="008E5642"/>
    <w:rsid w:val="008E5CC2"/>
    <w:rsid w:val="008F2E20"/>
    <w:rsid w:val="008F741E"/>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3018E"/>
    <w:rsid w:val="0093167C"/>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5BDA"/>
    <w:rsid w:val="0096328F"/>
    <w:rsid w:val="00965F52"/>
    <w:rsid w:val="0096737A"/>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B7A76"/>
    <w:rsid w:val="009C5C75"/>
    <w:rsid w:val="009D1C23"/>
    <w:rsid w:val="009D2A29"/>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5F5"/>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39C7"/>
    <w:rsid w:val="00A3514D"/>
    <w:rsid w:val="00A40F98"/>
    <w:rsid w:val="00A41EF2"/>
    <w:rsid w:val="00A42619"/>
    <w:rsid w:val="00A4267D"/>
    <w:rsid w:val="00A427B2"/>
    <w:rsid w:val="00A43DEB"/>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3279"/>
    <w:rsid w:val="00A83750"/>
    <w:rsid w:val="00A84631"/>
    <w:rsid w:val="00A86498"/>
    <w:rsid w:val="00A86A0A"/>
    <w:rsid w:val="00A9067C"/>
    <w:rsid w:val="00A90A24"/>
    <w:rsid w:val="00A90A48"/>
    <w:rsid w:val="00A90BD3"/>
    <w:rsid w:val="00A91402"/>
    <w:rsid w:val="00A92FBB"/>
    <w:rsid w:val="00A93C1C"/>
    <w:rsid w:val="00A96790"/>
    <w:rsid w:val="00A97543"/>
    <w:rsid w:val="00AA038F"/>
    <w:rsid w:val="00AA0DFE"/>
    <w:rsid w:val="00AA2502"/>
    <w:rsid w:val="00AA262E"/>
    <w:rsid w:val="00AA2AC5"/>
    <w:rsid w:val="00AA3174"/>
    <w:rsid w:val="00AA3A41"/>
    <w:rsid w:val="00AA5AE9"/>
    <w:rsid w:val="00AA6D45"/>
    <w:rsid w:val="00AA7585"/>
    <w:rsid w:val="00AA7DED"/>
    <w:rsid w:val="00AB0175"/>
    <w:rsid w:val="00AB031D"/>
    <w:rsid w:val="00AB08A6"/>
    <w:rsid w:val="00AB18B3"/>
    <w:rsid w:val="00AB1A1E"/>
    <w:rsid w:val="00AB236C"/>
    <w:rsid w:val="00AC06B6"/>
    <w:rsid w:val="00AC7830"/>
    <w:rsid w:val="00AD1557"/>
    <w:rsid w:val="00AD35F3"/>
    <w:rsid w:val="00AD44E9"/>
    <w:rsid w:val="00AD4CAC"/>
    <w:rsid w:val="00AD528F"/>
    <w:rsid w:val="00AD6760"/>
    <w:rsid w:val="00AD6EB3"/>
    <w:rsid w:val="00AD741D"/>
    <w:rsid w:val="00AD751D"/>
    <w:rsid w:val="00AD791C"/>
    <w:rsid w:val="00AE1C60"/>
    <w:rsid w:val="00AE4F42"/>
    <w:rsid w:val="00AE728D"/>
    <w:rsid w:val="00AE7589"/>
    <w:rsid w:val="00AF2833"/>
    <w:rsid w:val="00AF283F"/>
    <w:rsid w:val="00AF3716"/>
    <w:rsid w:val="00AF3C46"/>
    <w:rsid w:val="00AF43E1"/>
    <w:rsid w:val="00AF4D71"/>
    <w:rsid w:val="00AF5921"/>
    <w:rsid w:val="00B0092E"/>
    <w:rsid w:val="00B018B2"/>
    <w:rsid w:val="00B018E8"/>
    <w:rsid w:val="00B02074"/>
    <w:rsid w:val="00B03BF6"/>
    <w:rsid w:val="00B03CDF"/>
    <w:rsid w:val="00B040B7"/>
    <w:rsid w:val="00B04A55"/>
    <w:rsid w:val="00B04D46"/>
    <w:rsid w:val="00B104C5"/>
    <w:rsid w:val="00B10F47"/>
    <w:rsid w:val="00B1385B"/>
    <w:rsid w:val="00B13B1B"/>
    <w:rsid w:val="00B15DBF"/>
    <w:rsid w:val="00B165C9"/>
    <w:rsid w:val="00B17D70"/>
    <w:rsid w:val="00B22AD7"/>
    <w:rsid w:val="00B22D31"/>
    <w:rsid w:val="00B22E46"/>
    <w:rsid w:val="00B27853"/>
    <w:rsid w:val="00B30291"/>
    <w:rsid w:val="00B306F7"/>
    <w:rsid w:val="00B30BB8"/>
    <w:rsid w:val="00B30FE2"/>
    <w:rsid w:val="00B3272E"/>
    <w:rsid w:val="00B32C71"/>
    <w:rsid w:val="00B330C4"/>
    <w:rsid w:val="00B37580"/>
    <w:rsid w:val="00B4137A"/>
    <w:rsid w:val="00B46048"/>
    <w:rsid w:val="00B50B77"/>
    <w:rsid w:val="00B51290"/>
    <w:rsid w:val="00B52215"/>
    <w:rsid w:val="00B530CA"/>
    <w:rsid w:val="00B53AC4"/>
    <w:rsid w:val="00B54527"/>
    <w:rsid w:val="00B56A2E"/>
    <w:rsid w:val="00B57ADA"/>
    <w:rsid w:val="00B61EE9"/>
    <w:rsid w:val="00B6496C"/>
    <w:rsid w:val="00B65962"/>
    <w:rsid w:val="00B66B6C"/>
    <w:rsid w:val="00B7033E"/>
    <w:rsid w:val="00B7071A"/>
    <w:rsid w:val="00B71476"/>
    <w:rsid w:val="00B71858"/>
    <w:rsid w:val="00B71A39"/>
    <w:rsid w:val="00B721DC"/>
    <w:rsid w:val="00B74715"/>
    <w:rsid w:val="00B7623B"/>
    <w:rsid w:val="00B7669D"/>
    <w:rsid w:val="00B766D9"/>
    <w:rsid w:val="00B80A28"/>
    <w:rsid w:val="00B82D73"/>
    <w:rsid w:val="00B84A2C"/>
    <w:rsid w:val="00B871D6"/>
    <w:rsid w:val="00B87A02"/>
    <w:rsid w:val="00B96204"/>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D9D"/>
    <w:rsid w:val="00BC6198"/>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717E"/>
    <w:rsid w:val="00BE7E27"/>
    <w:rsid w:val="00BF183C"/>
    <w:rsid w:val="00BF4C15"/>
    <w:rsid w:val="00C0782F"/>
    <w:rsid w:val="00C11F50"/>
    <w:rsid w:val="00C12603"/>
    <w:rsid w:val="00C12C7C"/>
    <w:rsid w:val="00C131FD"/>
    <w:rsid w:val="00C15322"/>
    <w:rsid w:val="00C16DA8"/>
    <w:rsid w:val="00C17352"/>
    <w:rsid w:val="00C21959"/>
    <w:rsid w:val="00C30A7D"/>
    <w:rsid w:val="00C31169"/>
    <w:rsid w:val="00C3169F"/>
    <w:rsid w:val="00C318F6"/>
    <w:rsid w:val="00C37522"/>
    <w:rsid w:val="00C42EFD"/>
    <w:rsid w:val="00C43D8B"/>
    <w:rsid w:val="00C44042"/>
    <w:rsid w:val="00C46AF0"/>
    <w:rsid w:val="00C52956"/>
    <w:rsid w:val="00C52C9B"/>
    <w:rsid w:val="00C53AE1"/>
    <w:rsid w:val="00C53CAD"/>
    <w:rsid w:val="00C54893"/>
    <w:rsid w:val="00C560A1"/>
    <w:rsid w:val="00C56E9E"/>
    <w:rsid w:val="00C56EB6"/>
    <w:rsid w:val="00C63FC8"/>
    <w:rsid w:val="00C64F57"/>
    <w:rsid w:val="00C65D21"/>
    <w:rsid w:val="00C66E11"/>
    <w:rsid w:val="00C6789D"/>
    <w:rsid w:val="00C714B3"/>
    <w:rsid w:val="00C71A97"/>
    <w:rsid w:val="00C72FFE"/>
    <w:rsid w:val="00C73FFD"/>
    <w:rsid w:val="00C74512"/>
    <w:rsid w:val="00C75071"/>
    <w:rsid w:val="00C84F07"/>
    <w:rsid w:val="00C851A6"/>
    <w:rsid w:val="00C855D4"/>
    <w:rsid w:val="00C87639"/>
    <w:rsid w:val="00C90685"/>
    <w:rsid w:val="00C9099A"/>
    <w:rsid w:val="00C9240A"/>
    <w:rsid w:val="00C93D5B"/>
    <w:rsid w:val="00C9442C"/>
    <w:rsid w:val="00C9512F"/>
    <w:rsid w:val="00C9532C"/>
    <w:rsid w:val="00C95BCF"/>
    <w:rsid w:val="00C95D16"/>
    <w:rsid w:val="00C95DCF"/>
    <w:rsid w:val="00CA184E"/>
    <w:rsid w:val="00CA23C4"/>
    <w:rsid w:val="00CA575F"/>
    <w:rsid w:val="00CA5AEC"/>
    <w:rsid w:val="00CA6114"/>
    <w:rsid w:val="00CA704A"/>
    <w:rsid w:val="00CB0797"/>
    <w:rsid w:val="00CB21FF"/>
    <w:rsid w:val="00CB5CAE"/>
    <w:rsid w:val="00CB644C"/>
    <w:rsid w:val="00CB78ED"/>
    <w:rsid w:val="00CC0004"/>
    <w:rsid w:val="00CC4E55"/>
    <w:rsid w:val="00CC550E"/>
    <w:rsid w:val="00CC5AC6"/>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515D"/>
    <w:rsid w:val="00CF53F5"/>
    <w:rsid w:val="00CF6B3F"/>
    <w:rsid w:val="00D002B4"/>
    <w:rsid w:val="00D03845"/>
    <w:rsid w:val="00D03DCB"/>
    <w:rsid w:val="00D05257"/>
    <w:rsid w:val="00D054DF"/>
    <w:rsid w:val="00D057A5"/>
    <w:rsid w:val="00D05D1F"/>
    <w:rsid w:val="00D144D0"/>
    <w:rsid w:val="00D14FC0"/>
    <w:rsid w:val="00D163A3"/>
    <w:rsid w:val="00D1656D"/>
    <w:rsid w:val="00D167CC"/>
    <w:rsid w:val="00D1683D"/>
    <w:rsid w:val="00D16943"/>
    <w:rsid w:val="00D211AE"/>
    <w:rsid w:val="00D21662"/>
    <w:rsid w:val="00D23DE4"/>
    <w:rsid w:val="00D23F50"/>
    <w:rsid w:val="00D24867"/>
    <w:rsid w:val="00D318E3"/>
    <w:rsid w:val="00D323A7"/>
    <w:rsid w:val="00D32E2C"/>
    <w:rsid w:val="00D34524"/>
    <w:rsid w:val="00D346BF"/>
    <w:rsid w:val="00D34A4B"/>
    <w:rsid w:val="00D35A63"/>
    <w:rsid w:val="00D416EB"/>
    <w:rsid w:val="00D41B20"/>
    <w:rsid w:val="00D44615"/>
    <w:rsid w:val="00D45321"/>
    <w:rsid w:val="00D50324"/>
    <w:rsid w:val="00D55A28"/>
    <w:rsid w:val="00D5605F"/>
    <w:rsid w:val="00D61FBD"/>
    <w:rsid w:val="00D62519"/>
    <w:rsid w:val="00D625AA"/>
    <w:rsid w:val="00D63CBD"/>
    <w:rsid w:val="00D6500C"/>
    <w:rsid w:val="00D66392"/>
    <w:rsid w:val="00D6642A"/>
    <w:rsid w:val="00D66959"/>
    <w:rsid w:val="00D70A39"/>
    <w:rsid w:val="00D71A7E"/>
    <w:rsid w:val="00D7643D"/>
    <w:rsid w:val="00D76DE0"/>
    <w:rsid w:val="00D80DF0"/>
    <w:rsid w:val="00D83ED5"/>
    <w:rsid w:val="00D86043"/>
    <w:rsid w:val="00D870D4"/>
    <w:rsid w:val="00D90EB2"/>
    <w:rsid w:val="00D928B2"/>
    <w:rsid w:val="00D9398E"/>
    <w:rsid w:val="00D9464E"/>
    <w:rsid w:val="00D954E0"/>
    <w:rsid w:val="00D97059"/>
    <w:rsid w:val="00D97A1D"/>
    <w:rsid w:val="00DA0181"/>
    <w:rsid w:val="00DA2411"/>
    <w:rsid w:val="00DA2C81"/>
    <w:rsid w:val="00DA58DF"/>
    <w:rsid w:val="00DA65C4"/>
    <w:rsid w:val="00DA7899"/>
    <w:rsid w:val="00DB0923"/>
    <w:rsid w:val="00DB29CA"/>
    <w:rsid w:val="00DB30C8"/>
    <w:rsid w:val="00DB4839"/>
    <w:rsid w:val="00DB558E"/>
    <w:rsid w:val="00DB5F2B"/>
    <w:rsid w:val="00DB74AF"/>
    <w:rsid w:val="00DC058A"/>
    <w:rsid w:val="00DC1AB8"/>
    <w:rsid w:val="00DC5C19"/>
    <w:rsid w:val="00DC7068"/>
    <w:rsid w:val="00DD0411"/>
    <w:rsid w:val="00DD265A"/>
    <w:rsid w:val="00DD6B9B"/>
    <w:rsid w:val="00DE07A1"/>
    <w:rsid w:val="00DE1474"/>
    <w:rsid w:val="00DE21A2"/>
    <w:rsid w:val="00DE2776"/>
    <w:rsid w:val="00DE3B11"/>
    <w:rsid w:val="00DE7183"/>
    <w:rsid w:val="00DF1DAC"/>
    <w:rsid w:val="00DF2165"/>
    <w:rsid w:val="00DF5A24"/>
    <w:rsid w:val="00DF60E6"/>
    <w:rsid w:val="00DF6105"/>
    <w:rsid w:val="00DF659E"/>
    <w:rsid w:val="00E01524"/>
    <w:rsid w:val="00E05319"/>
    <w:rsid w:val="00E07C16"/>
    <w:rsid w:val="00E1021D"/>
    <w:rsid w:val="00E1428E"/>
    <w:rsid w:val="00E14900"/>
    <w:rsid w:val="00E20E02"/>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5435"/>
    <w:rsid w:val="00E37194"/>
    <w:rsid w:val="00E3788B"/>
    <w:rsid w:val="00E40C6A"/>
    <w:rsid w:val="00E410B7"/>
    <w:rsid w:val="00E43977"/>
    <w:rsid w:val="00E4415D"/>
    <w:rsid w:val="00E44AB8"/>
    <w:rsid w:val="00E47BD8"/>
    <w:rsid w:val="00E50D3F"/>
    <w:rsid w:val="00E520BE"/>
    <w:rsid w:val="00E5484A"/>
    <w:rsid w:val="00E54E17"/>
    <w:rsid w:val="00E56A7A"/>
    <w:rsid w:val="00E60419"/>
    <w:rsid w:val="00E60E01"/>
    <w:rsid w:val="00E60EF5"/>
    <w:rsid w:val="00E617D3"/>
    <w:rsid w:val="00E61E36"/>
    <w:rsid w:val="00E633C1"/>
    <w:rsid w:val="00E667B0"/>
    <w:rsid w:val="00E67390"/>
    <w:rsid w:val="00E711F1"/>
    <w:rsid w:val="00E71365"/>
    <w:rsid w:val="00E74904"/>
    <w:rsid w:val="00E770A4"/>
    <w:rsid w:val="00E8097A"/>
    <w:rsid w:val="00E81192"/>
    <w:rsid w:val="00E83B51"/>
    <w:rsid w:val="00E8626C"/>
    <w:rsid w:val="00E86BDE"/>
    <w:rsid w:val="00E8762F"/>
    <w:rsid w:val="00E90AB8"/>
    <w:rsid w:val="00E919D9"/>
    <w:rsid w:val="00E921C1"/>
    <w:rsid w:val="00E93C8B"/>
    <w:rsid w:val="00E93D8F"/>
    <w:rsid w:val="00E9531E"/>
    <w:rsid w:val="00E95E41"/>
    <w:rsid w:val="00E977CE"/>
    <w:rsid w:val="00E97E05"/>
    <w:rsid w:val="00EA34E2"/>
    <w:rsid w:val="00EA52D1"/>
    <w:rsid w:val="00EA703E"/>
    <w:rsid w:val="00EA791F"/>
    <w:rsid w:val="00EB671F"/>
    <w:rsid w:val="00EB70E7"/>
    <w:rsid w:val="00EB76D6"/>
    <w:rsid w:val="00EC02E8"/>
    <w:rsid w:val="00EC1139"/>
    <w:rsid w:val="00EC3842"/>
    <w:rsid w:val="00EC4299"/>
    <w:rsid w:val="00EC4D4D"/>
    <w:rsid w:val="00EC5D5D"/>
    <w:rsid w:val="00EC6E18"/>
    <w:rsid w:val="00EC7908"/>
    <w:rsid w:val="00EC7C2B"/>
    <w:rsid w:val="00ED1F02"/>
    <w:rsid w:val="00ED213D"/>
    <w:rsid w:val="00EE0A1F"/>
    <w:rsid w:val="00EE15B5"/>
    <w:rsid w:val="00EE2087"/>
    <w:rsid w:val="00EE20A1"/>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221C"/>
    <w:rsid w:val="00F02A0B"/>
    <w:rsid w:val="00F0782D"/>
    <w:rsid w:val="00F10B74"/>
    <w:rsid w:val="00F11EB3"/>
    <w:rsid w:val="00F13F39"/>
    <w:rsid w:val="00F14B9B"/>
    <w:rsid w:val="00F14CCC"/>
    <w:rsid w:val="00F17988"/>
    <w:rsid w:val="00F20C09"/>
    <w:rsid w:val="00F20DFA"/>
    <w:rsid w:val="00F217DF"/>
    <w:rsid w:val="00F21CAE"/>
    <w:rsid w:val="00F22AE0"/>
    <w:rsid w:val="00F2601A"/>
    <w:rsid w:val="00F26701"/>
    <w:rsid w:val="00F310D7"/>
    <w:rsid w:val="00F34765"/>
    <w:rsid w:val="00F368B9"/>
    <w:rsid w:val="00F3739F"/>
    <w:rsid w:val="00F374C1"/>
    <w:rsid w:val="00F37B34"/>
    <w:rsid w:val="00F41C34"/>
    <w:rsid w:val="00F4212F"/>
    <w:rsid w:val="00F447DB"/>
    <w:rsid w:val="00F447FA"/>
    <w:rsid w:val="00F469B9"/>
    <w:rsid w:val="00F46C32"/>
    <w:rsid w:val="00F46ECB"/>
    <w:rsid w:val="00F50F94"/>
    <w:rsid w:val="00F525B5"/>
    <w:rsid w:val="00F53D53"/>
    <w:rsid w:val="00F543B9"/>
    <w:rsid w:val="00F56177"/>
    <w:rsid w:val="00F56187"/>
    <w:rsid w:val="00F575D3"/>
    <w:rsid w:val="00F5786C"/>
    <w:rsid w:val="00F62117"/>
    <w:rsid w:val="00F62365"/>
    <w:rsid w:val="00F630A7"/>
    <w:rsid w:val="00F66225"/>
    <w:rsid w:val="00F662BC"/>
    <w:rsid w:val="00F6708D"/>
    <w:rsid w:val="00F707F0"/>
    <w:rsid w:val="00F71AD5"/>
    <w:rsid w:val="00F729ED"/>
    <w:rsid w:val="00F733B8"/>
    <w:rsid w:val="00F74769"/>
    <w:rsid w:val="00F74F50"/>
    <w:rsid w:val="00F75192"/>
    <w:rsid w:val="00F7717A"/>
    <w:rsid w:val="00F77822"/>
    <w:rsid w:val="00F838B6"/>
    <w:rsid w:val="00F83B0D"/>
    <w:rsid w:val="00F83C31"/>
    <w:rsid w:val="00F85F05"/>
    <w:rsid w:val="00F86AD1"/>
    <w:rsid w:val="00F9154F"/>
    <w:rsid w:val="00F9222A"/>
    <w:rsid w:val="00F922EA"/>
    <w:rsid w:val="00F92927"/>
    <w:rsid w:val="00F94F0F"/>
    <w:rsid w:val="00F96311"/>
    <w:rsid w:val="00F979B3"/>
    <w:rsid w:val="00F97CCD"/>
    <w:rsid w:val="00FA320D"/>
    <w:rsid w:val="00FA362B"/>
    <w:rsid w:val="00FA53E9"/>
    <w:rsid w:val="00FA60EC"/>
    <w:rsid w:val="00FA7B53"/>
    <w:rsid w:val="00FB04E9"/>
    <w:rsid w:val="00FB1179"/>
    <w:rsid w:val="00FB1C6B"/>
    <w:rsid w:val="00FB3361"/>
    <w:rsid w:val="00FB42B4"/>
    <w:rsid w:val="00FB4841"/>
    <w:rsid w:val="00FB6C94"/>
    <w:rsid w:val="00FB7F8B"/>
    <w:rsid w:val="00FC22F5"/>
    <w:rsid w:val="00FC365C"/>
    <w:rsid w:val="00FC3753"/>
    <w:rsid w:val="00FC5170"/>
    <w:rsid w:val="00FC5743"/>
    <w:rsid w:val="00FC6240"/>
    <w:rsid w:val="00FD118C"/>
    <w:rsid w:val="00FD332F"/>
    <w:rsid w:val="00FD7395"/>
    <w:rsid w:val="00FE1CC1"/>
    <w:rsid w:val="00FE385E"/>
    <w:rsid w:val="00FE3CE2"/>
    <w:rsid w:val="00FE465D"/>
    <w:rsid w:val="00FE54AD"/>
    <w:rsid w:val="00FE5633"/>
    <w:rsid w:val="00FE66EF"/>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shapelayout>
  </w:shapeDefaults>
  <w:decimalSymbol w:val=","/>
  <w:listSeparator w:val=";"/>
  <w14:docId w14:val="102F41EA"/>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8/1/pdf/00323167.pdf" TargetMode="External"/><Relationship Id="rId13" Type="http://schemas.openxmlformats.org/officeDocument/2006/relationships/hyperlink" Target="http://www1.tce.pr.gov.br/multimidia/2017/12/pdf/00323007.pdf" TargetMode="External"/><Relationship Id="rId18" Type="http://schemas.openxmlformats.org/officeDocument/2006/relationships/hyperlink" Target="http://www1.tce.pr.gov.br/multimidia/2017/12/pdf/00324144.pdf" TargetMode="External"/><Relationship Id="rId26" Type="http://schemas.openxmlformats.org/officeDocument/2006/relationships/hyperlink" Target="http://www1.tce.pr.gov.br/conteudo/pesquisas-prontas/308475/area/249" TargetMode="External"/><Relationship Id="rId3" Type="http://schemas.openxmlformats.org/officeDocument/2006/relationships/styles" Target="styles.xml"/><Relationship Id="rId21" Type="http://schemas.openxmlformats.org/officeDocument/2006/relationships/hyperlink" Target="https://contas.tcu.gov.br/sagas/SvlVisualizarRelVotoAcRtf?codFiltro=SAGAS-SESSAO-ENCERRADA&amp;seOcultaPagina=S&amp;item0=606248" TargetMode="External"/><Relationship Id="rId7" Type="http://schemas.openxmlformats.org/officeDocument/2006/relationships/endnotes" Target="endnotes.xml"/><Relationship Id="rId12" Type="http://schemas.openxmlformats.org/officeDocument/2006/relationships/hyperlink" Target="http://www1.tce.pr.gov.br/multimidia/2017/12/pdf/00324147.pdf" TargetMode="External"/><Relationship Id="rId17" Type="http://schemas.openxmlformats.org/officeDocument/2006/relationships/hyperlink" Target="http://www1.tce.pr.gov.br/multimidia/2018/1/pdf/00323152.pdf" TargetMode="External"/><Relationship Id="rId25" Type="http://schemas.openxmlformats.org/officeDocument/2006/relationships/hyperlink" Target="https://www.planalto.gov.br/ccivil_03/leis/l8666cons.htm" TargetMode="External"/><Relationship Id="rId2" Type="http://schemas.openxmlformats.org/officeDocument/2006/relationships/numbering" Target="numbering.xml"/><Relationship Id="rId16" Type="http://schemas.openxmlformats.org/officeDocument/2006/relationships/hyperlink" Target="http://www1.tce.pr.gov.br/multimidia/2018/1/pdf/00323151.pdf" TargetMode="External"/><Relationship Id="rId20" Type="http://schemas.openxmlformats.org/officeDocument/2006/relationships/hyperlink" Target="https://contas.tcu.gov.br/sagas/SvlVisualizarRelVotoAcRtf?codFiltro=SAGAS-SESSAO-ENCERRADA&amp;seOcultaPagina=S&amp;item0=60610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7/12/pdf/00323103.pdf" TargetMode="External"/><Relationship Id="rId24" Type="http://schemas.openxmlformats.org/officeDocument/2006/relationships/hyperlink" Target="https://contas.tcu.gov.br/sagas/SvlVisualizarRelVotoAcRtf?codFiltro=SAGAS-SESSAO-ENCERRADA&amp;seOcultaPagina=S&amp;item0=60697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1.tce.pr.gov.br/multimidia/2017/12/pdf/00322973.pdf" TargetMode="External"/><Relationship Id="rId23" Type="http://schemas.openxmlformats.org/officeDocument/2006/relationships/hyperlink" Target="https://contas.tcu.gov.br/sagas/SvlVisualizarRelVotoAcRtf?codFiltro=SAGAS-SESSAO-ENCERRADA&amp;seOcultaPagina=S&amp;item0=597883" TargetMode="External"/><Relationship Id="rId28" Type="http://schemas.openxmlformats.org/officeDocument/2006/relationships/hyperlink" Target="http://www1.tce.pr.gov.br/conteudo/revista-digital-do-tce-pr/234678/area/46" TargetMode="External"/><Relationship Id="rId10" Type="http://schemas.openxmlformats.org/officeDocument/2006/relationships/hyperlink" Target="http://www1.tce.pr.gov.br/multimidia/2017/12/pdf/00323093.pdf" TargetMode="External"/><Relationship Id="rId19" Type="http://schemas.openxmlformats.org/officeDocument/2006/relationships/hyperlink" Target="https://contas.tcu.gov.br/sagas/SvlVisualizarRelVotoAcRtf?codFiltro=SAGAS-SESSAO-ENCERRADA&amp;seOcultaPagina=S&amp;item0=60514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1.tce.pr.gov.br/multimidia/2018/1/pdf/00324268.pdf" TargetMode="External"/><Relationship Id="rId14" Type="http://schemas.openxmlformats.org/officeDocument/2006/relationships/hyperlink" Target="http://www1.tce.pr.gov.br/multimidia/2017/12/pdf/00323005.pdf" TargetMode="External"/><Relationship Id="rId22" Type="http://schemas.openxmlformats.org/officeDocument/2006/relationships/hyperlink" Target="https://contas.tcu.gov.br/sagas/SvlVisualizarRelVotoAcRtf?codFiltro=SAGAS-SESSAO-ENCERRADA&amp;seOcultaPagina=S&amp;item0=607037" TargetMode="External"/><Relationship Id="rId27" Type="http://schemas.openxmlformats.org/officeDocument/2006/relationships/hyperlink" Target="http://www1.tce.pr.gov.br/conteudo/repercussao-geral-no-stf-e-os-tribunais-de-contas/307026/area/249"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63E58-723D-4BAA-975C-0257BCE12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9</Pages>
  <Words>3302</Words>
  <Characters>17832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235</cp:revision>
  <cp:lastPrinted>2017-07-10T20:46:00Z</cp:lastPrinted>
  <dcterms:created xsi:type="dcterms:W3CDTF">2017-07-10T20:45:00Z</dcterms:created>
  <dcterms:modified xsi:type="dcterms:W3CDTF">2018-12-13T12:32:00Z</dcterms:modified>
</cp:coreProperties>
</file>