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2F" w:rsidRPr="00640BDC" w:rsidRDefault="0038012F" w:rsidP="0038012F">
      <w:pPr>
        <w:pStyle w:val="Cabealho"/>
        <w:spacing w:after="100" w:afterAutospacing="1"/>
        <w:jc w:val="center"/>
        <w:rPr>
          <w:rFonts w:ascii="Arial" w:hAnsi="Arial" w:cs="Arial"/>
        </w:rPr>
      </w:pPr>
      <w:r w:rsidRPr="00640BDC">
        <w:rPr>
          <w:rFonts w:ascii="Arial" w:hAnsi="Arial" w:cs="Arial"/>
          <w:b/>
        </w:rPr>
        <w:t>Boletim de Jurisprudência TCE/PR</w:t>
      </w:r>
      <w:r w:rsidRPr="00640BDC">
        <w:rPr>
          <w:rFonts w:ascii="Arial" w:hAnsi="Arial" w:cs="Arial"/>
        </w:rPr>
        <w:t xml:space="preserve"> </w:t>
      </w:r>
    </w:p>
    <w:p w:rsidR="001B5F7A" w:rsidRPr="002147AC" w:rsidRDefault="001B5F7A" w:rsidP="001B5F7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147AC">
        <w:rPr>
          <w:rFonts w:ascii="Arial" w:hAnsi="Arial" w:cs="Arial"/>
          <w:b/>
          <w:sz w:val="20"/>
          <w:szCs w:val="20"/>
        </w:rPr>
        <w:t>Número 0</w:t>
      </w:r>
      <w:r w:rsidR="005759E4">
        <w:rPr>
          <w:rFonts w:ascii="Arial" w:hAnsi="Arial" w:cs="Arial"/>
          <w:b/>
          <w:sz w:val="20"/>
          <w:szCs w:val="20"/>
        </w:rPr>
        <w:t>6</w:t>
      </w:r>
    </w:p>
    <w:p w:rsidR="001B5F7A" w:rsidRPr="002147AC" w:rsidRDefault="001B5F7A" w:rsidP="001B5F7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147AC">
        <w:rPr>
          <w:rFonts w:ascii="Arial" w:hAnsi="Arial" w:cs="Arial"/>
          <w:b/>
          <w:sz w:val="20"/>
          <w:szCs w:val="20"/>
        </w:rPr>
        <w:t xml:space="preserve">Sessões: </w:t>
      </w:r>
      <w:r w:rsidR="005A0FD0">
        <w:rPr>
          <w:rFonts w:ascii="Arial" w:hAnsi="Arial" w:cs="Arial"/>
          <w:b/>
          <w:sz w:val="20"/>
          <w:szCs w:val="20"/>
        </w:rPr>
        <w:t xml:space="preserve">24.01 </w:t>
      </w:r>
      <w:r w:rsidR="000D4DE6" w:rsidRPr="002147AC">
        <w:rPr>
          <w:rFonts w:ascii="Arial" w:hAnsi="Arial" w:cs="Arial"/>
          <w:b/>
          <w:sz w:val="20"/>
          <w:szCs w:val="20"/>
        </w:rPr>
        <w:t>a</w:t>
      </w:r>
      <w:r w:rsidRPr="002147AC">
        <w:rPr>
          <w:rFonts w:ascii="Arial" w:hAnsi="Arial" w:cs="Arial"/>
          <w:b/>
          <w:sz w:val="20"/>
          <w:szCs w:val="20"/>
        </w:rPr>
        <w:t xml:space="preserve"> </w:t>
      </w:r>
      <w:r w:rsidR="00455AAB">
        <w:rPr>
          <w:rFonts w:ascii="Arial" w:hAnsi="Arial" w:cs="Arial"/>
          <w:b/>
          <w:sz w:val="20"/>
          <w:szCs w:val="20"/>
        </w:rPr>
        <w:t>26</w:t>
      </w:r>
      <w:r w:rsidR="005A0FD0">
        <w:rPr>
          <w:rFonts w:ascii="Arial" w:hAnsi="Arial" w:cs="Arial"/>
          <w:b/>
          <w:sz w:val="20"/>
          <w:szCs w:val="20"/>
        </w:rPr>
        <w:t>.0</w:t>
      </w:r>
      <w:r w:rsidR="00455AAB">
        <w:rPr>
          <w:rFonts w:ascii="Arial" w:hAnsi="Arial" w:cs="Arial"/>
          <w:b/>
          <w:sz w:val="20"/>
          <w:szCs w:val="20"/>
        </w:rPr>
        <w:t>1</w:t>
      </w:r>
      <w:r w:rsidRPr="002147AC">
        <w:rPr>
          <w:rFonts w:ascii="Arial" w:hAnsi="Arial" w:cs="Arial"/>
          <w:b/>
          <w:sz w:val="20"/>
          <w:szCs w:val="20"/>
        </w:rPr>
        <w:t xml:space="preserve"> de 201</w:t>
      </w:r>
      <w:r w:rsidR="005A0FD0">
        <w:rPr>
          <w:rFonts w:ascii="Arial" w:hAnsi="Arial" w:cs="Arial"/>
          <w:b/>
          <w:sz w:val="20"/>
          <w:szCs w:val="20"/>
        </w:rPr>
        <w:t>7</w:t>
      </w:r>
    </w:p>
    <w:p w:rsidR="001B5F7A" w:rsidRPr="006375ED" w:rsidRDefault="001B5F7A" w:rsidP="001B5F7A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6375ED">
        <w:rPr>
          <w:rFonts w:ascii="Arial" w:hAnsi="Arial" w:cs="Arial"/>
          <w:sz w:val="18"/>
          <w:szCs w:val="18"/>
        </w:rPr>
        <w:t xml:space="preserve">Este Boletim contém informações sintéticas de decisões proferidas pelos Colegiados do TCE/PR que receberam indicação de relevância sob o prisma jurisprudencial no período acima indicado. </w:t>
      </w:r>
      <w:r w:rsidR="00BC137A" w:rsidRPr="006375ED">
        <w:rPr>
          <w:rFonts w:ascii="Arial" w:hAnsi="Arial" w:cs="Arial"/>
          <w:color w:val="212121"/>
          <w:sz w:val="18"/>
          <w:szCs w:val="18"/>
        </w:rPr>
        <w:t>A seleção das decisões leva em consideração ao menos um dos seguintes fatores: ineditismo da deliberação, discussão no colegiado ou reiteração de entendimento importante</w:t>
      </w:r>
      <w:r w:rsidR="00F3739F" w:rsidRPr="006375ED">
        <w:rPr>
          <w:rFonts w:ascii="Arial" w:hAnsi="Arial" w:cs="Arial"/>
          <w:color w:val="212121"/>
          <w:sz w:val="18"/>
          <w:szCs w:val="18"/>
        </w:rPr>
        <w:t>.</w:t>
      </w:r>
      <w:r w:rsidR="00BC137A" w:rsidRPr="006375ED">
        <w:rPr>
          <w:rFonts w:ascii="Arial" w:hAnsi="Arial" w:cs="Arial"/>
          <w:sz w:val="18"/>
          <w:szCs w:val="18"/>
        </w:rPr>
        <w:t xml:space="preserve"> </w:t>
      </w:r>
      <w:r w:rsidRPr="006375ED">
        <w:rPr>
          <w:rFonts w:ascii="Arial" w:hAnsi="Arial" w:cs="Arial"/>
          <w:sz w:val="18"/>
          <w:szCs w:val="18"/>
        </w:rPr>
        <w:t>O objetivo é facilitar ao interessado o acompanhamento dos acórdãos mais importantes do Tribunal. Para aprofundamento, o leitor pode acessar o inteiro teor das deliberações por meio dos links disponíveis.</w:t>
      </w:r>
      <w:r w:rsidR="00BC137A" w:rsidRPr="006375ED">
        <w:rPr>
          <w:rFonts w:ascii="Arial" w:hAnsi="Arial" w:cs="Arial"/>
          <w:color w:val="212121"/>
          <w:sz w:val="18"/>
          <w:szCs w:val="18"/>
        </w:rPr>
        <w:t xml:space="preserve"> </w:t>
      </w:r>
      <w:r w:rsidRPr="006375ED">
        <w:rPr>
          <w:rFonts w:ascii="Arial" w:hAnsi="Arial" w:cs="Arial"/>
          <w:sz w:val="18"/>
          <w:szCs w:val="18"/>
        </w:rPr>
        <w:t>As informações aqui apresentadas não são repositórios oficiais de jurisprudência.</w:t>
      </w:r>
    </w:p>
    <w:p w:rsidR="001B5F7A" w:rsidRDefault="001B5F7A" w:rsidP="000F639D">
      <w:pPr>
        <w:spacing w:after="120"/>
        <w:jc w:val="both"/>
      </w:pPr>
      <w:r>
        <w:rPr>
          <w:rFonts w:ascii="Times New Roman" w:hAnsi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D0D3C" wp14:editId="0FA18267">
                <wp:simplePos x="0" y="0"/>
                <wp:positionH relativeFrom="margin">
                  <wp:posOffset>520</wp:posOffset>
                </wp:positionH>
                <wp:positionV relativeFrom="paragraph">
                  <wp:posOffset>31222</wp:posOffset>
                </wp:positionV>
                <wp:extent cx="5421085" cy="0"/>
                <wp:effectExtent l="0" t="0" r="27305" b="571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10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05pt,2.45pt" to="426.9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AE4F42" w:rsidRPr="00722924" w:rsidRDefault="00AE4F42" w:rsidP="00AE4F42">
      <w:pPr>
        <w:shd w:val="pct10" w:color="auto" w:fill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221D15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MÁRIO</w:t>
      </w:r>
    </w:p>
    <w:p w:rsidR="000B1E10" w:rsidRPr="009B567A" w:rsidRDefault="00502AAF" w:rsidP="006375ED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9B567A">
        <w:rPr>
          <w:rFonts w:ascii="Arial" w:hAnsi="Arial" w:cs="Arial"/>
          <w:sz w:val="20"/>
          <w:szCs w:val="20"/>
        </w:rPr>
        <w:t>1.</w:t>
      </w:r>
      <w:r w:rsidR="0079708B" w:rsidRPr="009B567A">
        <w:rPr>
          <w:rFonts w:ascii="Arial" w:hAnsi="Arial" w:cs="Arial"/>
          <w:sz w:val="20"/>
          <w:szCs w:val="20"/>
        </w:rPr>
        <w:t xml:space="preserve"> Ato de Inativação.</w:t>
      </w:r>
      <w:r w:rsidR="00556F73" w:rsidRPr="009B567A">
        <w:rPr>
          <w:rFonts w:ascii="Arial" w:hAnsi="Arial" w:cs="Arial"/>
          <w:sz w:val="20"/>
          <w:szCs w:val="20"/>
        </w:rPr>
        <w:t xml:space="preserve"> Legalidade e Registro. Recomendação à entidade previdenciária para elaboração dos laudos médicos, em conformidade com o Anexo III da Instrução Normativa n° 98/2014 do TCE/PR. Assinatura dos documentos por Junta, composta por três médicos. </w:t>
      </w:r>
    </w:p>
    <w:p w:rsidR="006375ED" w:rsidRPr="009B567A" w:rsidRDefault="006375ED" w:rsidP="006375ED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</w:p>
    <w:p w:rsidR="0041337A" w:rsidRPr="009B567A" w:rsidRDefault="00502AAF" w:rsidP="0041337A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9B567A">
        <w:rPr>
          <w:rFonts w:ascii="Arial" w:hAnsi="Arial" w:cs="Arial"/>
          <w:sz w:val="20"/>
          <w:szCs w:val="20"/>
        </w:rPr>
        <w:t>2.</w:t>
      </w:r>
      <w:r w:rsidRPr="009B567A">
        <w:rPr>
          <w:rFonts w:ascii="Arial" w:hAnsi="Arial" w:cs="Arial"/>
          <w:b/>
          <w:sz w:val="20"/>
          <w:szCs w:val="20"/>
        </w:rPr>
        <w:t xml:space="preserve"> </w:t>
      </w:r>
      <w:r w:rsidR="0041337A" w:rsidRPr="009B567A">
        <w:rPr>
          <w:rFonts w:ascii="Arial" w:hAnsi="Arial" w:cs="Arial"/>
          <w:sz w:val="20"/>
          <w:szCs w:val="20"/>
        </w:rPr>
        <w:t>Certidão Liberatória. Recomposição de índice de gastos com educação, demonstrando atendimento ao comando constitucional. D</w:t>
      </w:r>
      <w:r w:rsidR="0041337A" w:rsidRPr="009B567A">
        <w:rPr>
          <w:rFonts w:ascii="Arial" w:hAnsi="Arial" w:cs="Arial"/>
          <w:bCs/>
          <w:sz w:val="20"/>
          <w:szCs w:val="20"/>
        </w:rPr>
        <w:t xml:space="preserve">eferimento </w:t>
      </w:r>
      <w:r w:rsidR="0041337A" w:rsidRPr="009B567A">
        <w:rPr>
          <w:rFonts w:ascii="Arial" w:hAnsi="Arial" w:cs="Arial"/>
          <w:sz w:val="20"/>
          <w:szCs w:val="20"/>
        </w:rPr>
        <w:t>do pedido.</w:t>
      </w:r>
    </w:p>
    <w:p w:rsidR="006375ED" w:rsidRPr="009B567A" w:rsidRDefault="006375ED" w:rsidP="006375ED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C56EB6" w:rsidRPr="009B567A" w:rsidRDefault="00C56EB6" w:rsidP="00C56EB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B567A">
        <w:rPr>
          <w:rFonts w:ascii="Arial" w:hAnsi="Arial" w:cs="Arial"/>
          <w:sz w:val="20"/>
          <w:szCs w:val="20"/>
        </w:rPr>
        <w:t xml:space="preserve">3. </w:t>
      </w:r>
      <w:r w:rsidR="008E5642">
        <w:rPr>
          <w:rFonts w:ascii="Arial" w:hAnsi="Arial" w:cs="Arial"/>
          <w:sz w:val="20"/>
          <w:szCs w:val="20"/>
        </w:rPr>
        <w:t>Recurso de Agravo. Divergência j</w:t>
      </w:r>
      <w:r w:rsidRPr="009B567A">
        <w:rPr>
          <w:rFonts w:ascii="Arial" w:hAnsi="Arial" w:cs="Arial"/>
          <w:sz w:val="20"/>
          <w:szCs w:val="20"/>
        </w:rPr>
        <w:t>urisprudencial. Cabimento de Recurso de Revisão. Ausência de Configuração das Hipóte</w:t>
      </w:r>
      <w:r w:rsidR="0088297B">
        <w:rPr>
          <w:rFonts w:ascii="Arial" w:hAnsi="Arial" w:cs="Arial"/>
          <w:sz w:val="20"/>
          <w:szCs w:val="20"/>
        </w:rPr>
        <w:t>ses de Pedido de Rescisão. Não configuração de novo elemento de p</w:t>
      </w:r>
      <w:r w:rsidRPr="009B567A">
        <w:rPr>
          <w:rFonts w:ascii="Arial" w:hAnsi="Arial" w:cs="Arial"/>
          <w:sz w:val="20"/>
          <w:szCs w:val="20"/>
        </w:rPr>
        <w:t xml:space="preserve">rova. Prejulgado n° 04/2007. </w:t>
      </w:r>
    </w:p>
    <w:p w:rsidR="00A1585F" w:rsidRPr="009B567A" w:rsidRDefault="00502AAF" w:rsidP="00A1585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B567A">
        <w:rPr>
          <w:rFonts w:ascii="Arial" w:hAnsi="Arial" w:cs="Arial"/>
          <w:sz w:val="20"/>
          <w:szCs w:val="20"/>
        </w:rPr>
        <w:t>4.</w:t>
      </w:r>
      <w:r w:rsidR="00F92927" w:rsidRPr="009B567A">
        <w:rPr>
          <w:rFonts w:ascii="Arial" w:hAnsi="Arial" w:cs="Arial"/>
          <w:sz w:val="20"/>
          <w:szCs w:val="20"/>
        </w:rPr>
        <w:t xml:space="preserve"> </w:t>
      </w:r>
      <w:r w:rsidR="00A1585F" w:rsidRPr="009B567A">
        <w:rPr>
          <w:rFonts w:ascii="Arial" w:hAnsi="Arial" w:cs="Arial"/>
          <w:sz w:val="20"/>
          <w:szCs w:val="20"/>
        </w:rPr>
        <w:t xml:space="preserve">Recurso de Revista. Transferência Voluntária. Organização </w:t>
      </w:r>
      <w:r w:rsidR="00092E5D">
        <w:rPr>
          <w:rFonts w:ascii="Arial" w:hAnsi="Arial" w:cs="Arial"/>
          <w:sz w:val="20"/>
          <w:szCs w:val="20"/>
        </w:rPr>
        <w:t>d</w:t>
      </w:r>
      <w:r w:rsidR="00A1585F" w:rsidRPr="009B567A">
        <w:rPr>
          <w:rFonts w:ascii="Arial" w:hAnsi="Arial" w:cs="Arial"/>
          <w:sz w:val="20"/>
          <w:szCs w:val="20"/>
        </w:rPr>
        <w:t>a Sociedade Civil de Interesse Público. Termo de Parceria. Cobrança de t</w:t>
      </w:r>
      <w:r w:rsidR="00A211A3">
        <w:rPr>
          <w:rFonts w:ascii="Arial" w:hAnsi="Arial" w:cs="Arial"/>
          <w:sz w:val="20"/>
          <w:szCs w:val="20"/>
        </w:rPr>
        <w:t xml:space="preserve">axas administrativas. </w:t>
      </w:r>
      <w:r w:rsidR="007C0E7E">
        <w:rPr>
          <w:rFonts w:ascii="Arial" w:hAnsi="Arial" w:cs="Arial"/>
          <w:sz w:val="20"/>
          <w:szCs w:val="20"/>
        </w:rPr>
        <w:t>P</w:t>
      </w:r>
      <w:r w:rsidR="00A211A3">
        <w:rPr>
          <w:rFonts w:ascii="Arial" w:hAnsi="Arial" w:cs="Arial"/>
          <w:sz w:val="20"/>
          <w:szCs w:val="20"/>
        </w:rPr>
        <w:t>ertinência da despesa a</w:t>
      </w:r>
      <w:r w:rsidR="00A1585F" w:rsidRPr="009B567A">
        <w:rPr>
          <w:rFonts w:ascii="Arial" w:hAnsi="Arial" w:cs="Arial"/>
          <w:sz w:val="20"/>
          <w:szCs w:val="20"/>
        </w:rPr>
        <w:t xml:space="preserve">dministrativa com o objeto </w:t>
      </w:r>
      <w:proofErr w:type="gramStart"/>
      <w:r w:rsidR="00A1585F" w:rsidRPr="009B567A">
        <w:rPr>
          <w:rFonts w:ascii="Arial" w:hAnsi="Arial" w:cs="Arial"/>
          <w:sz w:val="20"/>
          <w:szCs w:val="20"/>
        </w:rPr>
        <w:t>específico do Te</w:t>
      </w:r>
      <w:r w:rsidR="0056193C">
        <w:rPr>
          <w:rFonts w:ascii="Arial" w:hAnsi="Arial" w:cs="Arial"/>
          <w:sz w:val="20"/>
          <w:szCs w:val="20"/>
        </w:rPr>
        <w:t>rmo de Convênio</w:t>
      </w:r>
      <w:r w:rsidR="007C0E7E">
        <w:rPr>
          <w:rFonts w:ascii="Arial" w:hAnsi="Arial" w:cs="Arial"/>
          <w:sz w:val="20"/>
          <w:szCs w:val="20"/>
        </w:rPr>
        <w:t xml:space="preserve"> não configurada</w:t>
      </w:r>
      <w:proofErr w:type="gramEnd"/>
      <w:r w:rsidR="0056193C">
        <w:rPr>
          <w:rFonts w:ascii="Arial" w:hAnsi="Arial" w:cs="Arial"/>
          <w:sz w:val="20"/>
          <w:szCs w:val="20"/>
        </w:rPr>
        <w:t>. Necessidade e e</w:t>
      </w:r>
      <w:r w:rsidR="00A1585F" w:rsidRPr="009B567A">
        <w:rPr>
          <w:rFonts w:ascii="Arial" w:hAnsi="Arial" w:cs="Arial"/>
          <w:sz w:val="20"/>
          <w:szCs w:val="20"/>
        </w:rPr>
        <w:t>conomicidade</w:t>
      </w:r>
      <w:r w:rsidR="007C0E7E">
        <w:rPr>
          <w:rFonts w:ascii="Arial" w:hAnsi="Arial" w:cs="Arial"/>
          <w:sz w:val="20"/>
          <w:szCs w:val="20"/>
        </w:rPr>
        <w:t xml:space="preserve"> não comprovadas</w:t>
      </w:r>
      <w:r w:rsidR="00A1585F" w:rsidRPr="009B567A">
        <w:rPr>
          <w:rFonts w:ascii="Arial" w:hAnsi="Arial" w:cs="Arial"/>
          <w:sz w:val="20"/>
          <w:szCs w:val="20"/>
        </w:rPr>
        <w:t xml:space="preserve">. Irregularidade das Contas.   </w:t>
      </w:r>
    </w:p>
    <w:p w:rsidR="00AE4F42" w:rsidRPr="009B567A" w:rsidRDefault="00502AAF" w:rsidP="006375ED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9B567A">
        <w:rPr>
          <w:rFonts w:ascii="Arial" w:hAnsi="Arial" w:cs="Arial"/>
          <w:sz w:val="20"/>
          <w:szCs w:val="20"/>
        </w:rPr>
        <w:t>5.</w:t>
      </w:r>
      <w:r w:rsidR="00A3514D" w:rsidRPr="009B567A">
        <w:rPr>
          <w:rFonts w:ascii="Arial" w:hAnsi="Arial" w:cs="Arial"/>
          <w:b/>
          <w:sz w:val="20"/>
          <w:szCs w:val="20"/>
        </w:rPr>
        <w:t xml:space="preserve"> </w:t>
      </w:r>
      <w:r w:rsidR="00A3514D" w:rsidRPr="009B567A">
        <w:rPr>
          <w:rFonts w:ascii="Arial" w:hAnsi="Arial" w:cs="Arial"/>
          <w:sz w:val="20"/>
          <w:szCs w:val="20"/>
        </w:rPr>
        <w:t>Recurso de Revisão. Lei n° 9.790/99. Cooperação com o poder público. Termo de Parceria não se limitou à execução</w:t>
      </w:r>
      <w:r w:rsidR="0056193C">
        <w:rPr>
          <w:rFonts w:ascii="Arial" w:hAnsi="Arial" w:cs="Arial"/>
          <w:sz w:val="20"/>
          <w:szCs w:val="20"/>
        </w:rPr>
        <w:t xml:space="preserve"> de serviços públicos de forma </w:t>
      </w:r>
      <w:proofErr w:type="gramStart"/>
      <w:r w:rsidR="0056193C">
        <w:rPr>
          <w:rFonts w:ascii="Arial" w:hAnsi="Arial" w:cs="Arial"/>
          <w:sz w:val="20"/>
          <w:szCs w:val="20"/>
        </w:rPr>
        <w:t>c</w:t>
      </w:r>
      <w:r w:rsidR="00A3514D" w:rsidRPr="009B567A">
        <w:rPr>
          <w:rFonts w:ascii="Arial" w:hAnsi="Arial" w:cs="Arial"/>
          <w:sz w:val="20"/>
          <w:szCs w:val="20"/>
        </w:rPr>
        <w:t>omplementar</w:t>
      </w:r>
      <w:proofErr w:type="gramEnd"/>
      <w:r w:rsidR="00A3514D" w:rsidRPr="009B567A">
        <w:rPr>
          <w:rFonts w:ascii="Arial" w:hAnsi="Arial" w:cs="Arial"/>
          <w:sz w:val="20"/>
          <w:szCs w:val="20"/>
        </w:rPr>
        <w:t>. Conhecimento e Não Provimento.</w:t>
      </w:r>
    </w:p>
    <w:p w:rsidR="006375ED" w:rsidRPr="009B567A" w:rsidRDefault="006375ED" w:rsidP="006375E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E520BE" w:rsidRPr="009B567A" w:rsidRDefault="005819D2" w:rsidP="006375E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9B567A">
        <w:rPr>
          <w:rFonts w:ascii="Arial" w:hAnsi="Arial" w:cs="Arial"/>
          <w:sz w:val="20"/>
          <w:szCs w:val="20"/>
        </w:rPr>
        <w:t>6</w:t>
      </w:r>
      <w:r w:rsidR="00E520BE" w:rsidRPr="009B567A">
        <w:rPr>
          <w:rFonts w:ascii="Arial" w:hAnsi="Arial" w:cs="Arial"/>
          <w:sz w:val="20"/>
          <w:szCs w:val="20"/>
        </w:rPr>
        <w:t>.</w:t>
      </w:r>
      <w:r w:rsidR="00CA23C4" w:rsidRPr="009B567A">
        <w:rPr>
          <w:rFonts w:ascii="Arial" w:hAnsi="Arial" w:cs="Arial"/>
          <w:sz w:val="20"/>
          <w:szCs w:val="20"/>
        </w:rPr>
        <w:t xml:space="preserve"> Medida Ca</w:t>
      </w:r>
      <w:r w:rsidR="0056193C">
        <w:rPr>
          <w:rFonts w:ascii="Arial" w:hAnsi="Arial" w:cs="Arial"/>
          <w:sz w:val="20"/>
          <w:szCs w:val="20"/>
        </w:rPr>
        <w:t>utelar Inominada. Abstenção de efetivar pagamentos a V</w:t>
      </w:r>
      <w:r w:rsidR="00CA23C4" w:rsidRPr="009B567A">
        <w:rPr>
          <w:rFonts w:ascii="Arial" w:hAnsi="Arial" w:cs="Arial"/>
          <w:sz w:val="20"/>
          <w:szCs w:val="20"/>
        </w:rPr>
        <w:t>ereadores e/ou President</w:t>
      </w:r>
      <w:r w:rsidR="0056193C">
        <w:rPr>
          <w:rFonts w:ascii="Arial" w:hAnsi="Arial" w:cs="Arial"/>
          <w:sz w:val="20"/>
          <w:szCs w:val="20"/>
        </w:rPr>
        <w:t>es de Câmaras que se encontrem p</w:t>
      </w:r>
      <w:r w:rsidR="00CA23C4" w:rsidRPr="009B567A">
        <w:rPr>
          <w:rFonts w:ascii="Arial" w:hAnsi="Arial" w:cs="Arial"/>
          <w:sz w:val="20"/>
          <w:szCs w:val="20"/>
        </w:rPr>
        <w:t>resos. Deliberação Plenária. Ratificação</w:t>
      </w:r>
      <w:r w:rsidR="00BD2B5E" w:rsidRPr="009B567A">
        <w:rPr>
          <w:rFonts w:ascii="Arial" w:hAnsi="Arial" w:cs="Arial"/>
          <w:sz w:val="20"/>
          <w:szCs w:val="20"/>
        </w:rPr>
        <w:t>.</w:t>
      </w:r>
    </w:p>
    <w:p w:rsidR="006375ED" w:rsidRDefault="006375ED" w:rsidP="006375ED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D41B20" w:rsidRPr="005D58CE" w:rsidRDefault="005819D2" w:rsidP="00D41B20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E520BE">
        <w:rPr>
          <w:rFonts w:ascii="Arial" w:hAnsi="Arial" w:cs="Arial"/>
          <w:sz w:val="20"/>
          <w:szCs w:val="20"/>
        </w:rPr>
        <w:t>.</w:t>
      </w:r>
      <w:r w:rsidR="00D41B20">
        <w:rPr>
          <w:rFonts w:ascii="Arial" w:hAnsi="Arial" w:cs="Arial"/>
          <w:sz w:val="20"/>
          <w:szCs w:val="20"/>
        </w:rPr>
        <w:t xml:space="preserve"> </w:t>
      </w:r>
      <w:r w:rsidR="005D58CE" w:rsidRPr="005D58CE">
        <w:rPr>
          <w:rFonts w:ascii="Arial" w:hAnsi="Arial" w:cs="Arial"/>
          <w:sz w:val="20"/>
          <w:szCs w:val="20"/>
        </w:rPr>
        <w:t xml:space="preserve">Prestação de Contas Anual. Servidores em Desvio de </w:t>
      </w:r>
      <w:r w:rsidR="00A211A3">
        <w:rPr>
          <w:rFonts w:ascii="Arial" w:hAnsi="Arial" w:cs="Arial"/>
          <w:sz w:val="20"/>
          <w:szCs w:val="20"/>
        </w:rPr>
        <w:t>Função. Boa-fé. Contratação de p</w:t>
      </w:r>
      <w:r w:rsidR="005D58CE" w:rsidRPr="005D58CE">
        <w:rPr>
          <w:rFonts w:ascii="Arial" w:hAnsi="Arial" w:cs="Arial"/>
          <w:sz w:val="20"/>
          <w:szCs w:val="20"/>
        </w:rPr>
        <w:t>essoal não depende apenas do Gestor. Regularidade das contas com Ressalva.</w:t>
      </w:r>
    </w:p>
    <w:p w:rsidR="006375ED" w:rsidRDefault="006375ED" w:rsidP="006375E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BD109B" w:rsidRPr="00BD109B" w:rsidRDefault="005819D2" w:rsidP="00BD10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109B">
        <w:rPr>
          <w:rFonts w:ascii="Arial" w:hAnsi="Arial" w:cs="Arial"/>
          <w:sz w:val="20"/>
          <w:szCs w:val="20"/>
        </w:rPr>
        <w:t>8</w:t>
      </w:r>
      <w:r w:rsidR="00E520BE" w:rsidRPr="00BD109B">
        <w:rPr>
          <w:rFonts w:ascii="Arial" w:hAnsi="Arial" w:cs="Arial"/>
          <w:sz w:val="20"/>
          <w:szCs w:val="20"/>
        </w:rPr>
        <w:t>.</w:t>
      </w:r>
      <w:r w:rsidR="00FC5743" w:rsidRPr="00BD109B">
        <w:rPr>
          <w:rFonts w:ascii="Arial" w:hAnsi="Arial" w:cs="Arial"/>
          <w:sz w:val="20"/>
          <w:szCs w:val="20"/>
        </w:rPr>
        <w:t xml:space="preserve"> </w:t>
      </w:r>
      <w:r w:rsidR="009E6D60">
        <w:rPr>
          <w:rFonts w:ascii="Arial" w:hAnsi="Arial" w:cs="Arial"/>
          <w:sz w:val="20"/>
          <w:szCs w:val="20"/>
        </w:rPr>
        <w:t>Recurso de R</w:t>
      </w:r>
      <w:r w:rsidR="00BD109B" w:rsidRPr="00BD109B">
        <w:rPr>
          <w:rFonts w:ascii="Arial" w:hAnsi="Arial" w:cs="Arial"/>
          <w:sz w:val="20"/>
          <w:szCs w:val="20"/>
        </w:rPr>
        <w:t>evista. Prestação de contas de transferência. Termo de cumprimento de objetivos, não assinado pelo fiscal responsável do convênio. Regularização em sede recursal. Uniformização de Jurisprudência nº 08</w:t>
      </w:r>
      <w:r w:rsidR="005650CD">
        <w:rPr>
          <w:rFonts w:ascii="Arial" w:hAnsi="Arial" w:cs="Arial"/>
          <w:sz w:val="20"/>
          <w:szCs w:val="20"/>
        </w:rPr>
        <w:t xml:space="preserve"> do TCE/PR</w:t>
      </w:r>
      <w:r w:rsidR="00BD109B" w:rsidRPr="00BD109B">
        <w:rPr>
          <w:rFonts w:ascii="Arial" w:hAnsi="Arial" w:cs="Arial"/>
          <w:sz w:val="20"/>
          <w:szCs w:val="20"/>
        </w:rPr>
        <w:t xml:space="preserve">. Manutenção da ressalva. Exclusão de multa </w:t>
      </w:r>
      <w:r w:rsidR="00620DEF">
        <w:rPr>
          <w:rFonts w:ascii="Arial" w:hAnsi="Arial" w:cs="Arial"/>
          <w:sz w:val="20"/>
          <w:szCs w:val="20"/>
        </w:rPr>
        <w:t>administrativa. Conhecimento e P</w:t>
      </w:r>
      <w:r w:rsidR="00BD109B" w:rsidRPr="00BD109B">
        <w:rPr>
          <w:rFonts w:ascii="Arial" w:hAnsi="Arial" w:cs="Arial"/>
          <w:sz w:val="20"/>
          <w:szCs w:val="20"/>
        </w:rPr>
        <w:t>rovimento.</w:t>
      </w:r>
    </w:p>
    <w:p w:rsidR="006375ED" w:rsidRDefault="006375ED" w:rsidP="006375ED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F368B9" w:rsidRDefault="00F368B9" w:rsidP="006375ED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F217DF" w:rsidRDefault="00F217DF" w:rsidP="006375ED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6375ED" w:rsidRDefault="006375ED" w:rsidP="006375ED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14B9B" w:rsidRDefault="00F14B9B" w:rsidP="006375ED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712A93" w:rsidRPr="00722924" w:rsidRDefault="00712A93" w:rsidP="00722924">
      <w:pPr>
        <w:shd w:val="pct10" w:color="auto" w:fill="auto"/>
        <w:jc w:val="center"/>
        <w:rPr>
          <w:rFonts w:ascii="Arial" w:hAnsi="Arial" w:cs="Arial"/>
          <w:b/>
        </w:rPr>
      </w:pPr>
      <w:r w:rsidRPr="00722924">
        <w:rPr>
          <w:rFonts w:ascii="Arial" w:hAnsi="Arial" w:cs="Arial"/>
          <w:b/>
        </w:rPr>
        <w:lastRenderedPageBreak/>
        <w:t>PRIMEIRA CÂMARA</w:t>
      </w:r>
    </w:p>
    <w:p w:rsidR="009F78F2" w:rsidRDefault="009F78F2" w:rsidP="009F78F2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9F78F2">
        <w:rPr>
          <w:rFonts w:ascii="Arial" w:hAnsi="Arial" w:cs="Arial"/>
          <w:b/>
          <w:sz w:val="20"/>
          <w:szCs w:val="20"/>
        </w:rPr>
        <w:t xml:space="preserve">1. Ato de Inativação. Legalidade e Registro. Recomendação à entidade previdenciária para elaboração dos laudos médicos, em conformidade com o Anexo III da Instrução Normativa n° 98/2014 do TCE/PR. Assinatura dos documentos por Junta, composta por três médicos. </w:t>
      </w:r>
    </w:p>
    <w:p w:rsidR="00C52956" w:rsidRDefault="00C52956" w:rsidP="00C529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52956" w:rsidRPr="00C52956" w:rsidRDefault="00C52956" w:rsidP="00C529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2956">
        <w:rPr>
          <w:rFonts w:ascii="Arial" w:hAnsi="Arial" w:cs="Arial"/>
          <w:sz w:val="20"/>
          <w:szCs w:val="20"/>
        </w:rPr>
        <w:t xml:space="preserve">Recomenda ao </w:t>
      </w:r>
      <w:r w:rsidR="00B1385B">
        <w:rPr>
          <w:rFonts w:ascii="Arial" w:hAnsi="Arial" w:cs="Arial"/>
          <w:sz w:val="20"/>
          <w:szCs w:val="20"/>
        </w:rPr>
        <w:t>Instituto de P</w:t>
      </w:r>
      <w:r w:rsidRPr="00C52956">
        <w:rPr>
          <w:rFonts w:ascii="Arial" w:hAnsi="Arial" w:cs="Arial"/>
          <w:sz w:val="20"/>
          <w:szCs w:val="20"/>
        </w:rPr>
        <w:t xml:space="preserve">revidência dos </w:t>
      </w:r>
      <w:r w:rsidR="00B1385B">
        <w:rPr>
          <w:rFonts w:ascii="Arial" w:hAnsi="Arial" w:cs="Arial"/>
          <w:sz w:val="20"/>
          <w:szCs w:val="20"/>
        </w:rPr>
        <w:t>Servidores Públicos da L</w:t>
      </w:r>
      <w:r w:rsidRPr="00C52956">
        <w:rPr>
          <w:rFonts w:ascii="Arial" w:hAnsi="Arial" w:cs="Arial"/>
          <w:sz w:val="20"/>
          <w:szCs w:val="20"/>
        </w:rPr>
        <w:t xml:space="preserve">apa que elabore os laudos médicos nos termos do </w:t>
      </w:r>
      <w:r w:rsidR="00B1385B">
        <w:rPr>
          <w:rFonts w:ascii="Arial" w:hAnsi="Arial" w:cs="Arial"/>
          <w:sz w:val="20"/>
          <w:szCs w:val="20"/>
        </w:rPr>
        <w:t>A</w:t>
      </w:r>
      <w:r w:rsidRPr="00C52956">
        <w:rPr>
          <w:rFonts w:ascii="Arial" w:hAnsi="Arial" w:cs="Arial"/>
          <w:sz w:val="20"/>
          <w:szCs w:val="20"/>
        </w:rPr>
        <w:t xml:space="preserve">nexo </w:t>
      </w:r>
      <w:r w:rsidR="00B1385B">
        <w:rPr>
          <w:rFonts w:ascii="Arial" w:hAnsi="Arial" w:cs="Arial"/>
          <w:sz w:val="20"/>
          <w:szCs w:val="20"/>
        </w:rPr>
        <w:t>III da instrução N</w:t>
      </w:r>
      <w:r w:rsidRPr="00C52956">
        <w:rPr>
          <w:rFonts w:ascii="Arial" w:hAnsi="Arial" w:cs="Arial"/>
          <w:sz w:val="20"/>
          <w:szCs w:val="20"/>
        </w:rPr>
        <w:t>ormativa</w:t>
      </w:r>
      <w:r w:rsidR="00B1385B">
        <w:rPr>
          <w:rFonts w:ascii="Arial" w:hAnsi="Arial" w:cs="Arial"/>
          <w:sz w:val="20"/>
          <w:szCs w:val="20"/>
        </w:rPr>
        <w:t xml:space="preserve"> nº</w:t>
      </w:r>
      <w:r w:rsidRPr="00C52956">
        <w:rPr>
          <w:rFonts w:ascii="Arial" w:hAnsi="Arial" w:cs="Arial"/>
          <w:sz w:val="20"/>
          <w:szCs w:val="20"/>
        </w:rPr>
        <w:t xml:space="preserve"> 98/2014 </w:t>
      </w:r>
      <w:r w:rsidR="00B1385B">
        <w:rPr>
          <w:rFonts w:ascii="Arial" w:hAnsi="Arial" w:cs="Arial"/>
          <w:sz w:val="20"/>
          <w:szCs w:val="20"/>
        </w:rPr>
        <w:t>do TCE/PR</w:t>
      </w:r>
      <w:r w:rsidRPr="00C52956">
        <w:rPr>
          <w:rFonts w:ascii="Arial" w:hAnsi="Arial" w:cs="Arial"/>
          <w:sz w:val="20"/>
          <w:szCs w:val="20"/>
        </w:rPr>
        <w:t>, que preconiza a assinatura dos documentos por junta médica, composta por três médicos.</w:t>
      </w:r>
    </w:p>
    <w:p w:rsidR="006375ED" w:rsidRPr="00123D02" w:rsidRDefault="006375ED" w:rsidP="006375E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1628" w:rsidRDefault="00CD1628" w:rsidP="00361F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3D02">
        <w:rPr>
          <w:rFonts w:ascii="Arial" w:hAnsi="Arial" w:cs="Arial"/>
          <w:sz w:val="20"/>
          <w:szCs w:val="20"/>
        </w:rPr>
        <w:t xml:space="preserve">Processo </w:t>
      </w:r>
      <w:r w:rsidR="00487D31" w:rsidRPr="00123D02">
        <w:rPr>
          <w:rFonts w:ascii="Arial" w:hAnsi="Arial" w:cs="Arial"/>
          <w:sz w:val="20"/>
          <w:szCs w:val="20"/>
        </w:rPr>
        <w:t xml:space="preserve">nº </w:t>
      </w:r>
      <w:r w:rsidRPr="00123D02">
        <w:rPr>
          <w:rFonts w:ascii="Arial" w:hAnsi="Arial" w:cs="Arial"/>
          <w:sz w:val="20"/>
          <w:szCs w:val="20"/>
        </w:rPr>
        <w:t>024228-7/11</w:t>
      </w:r>
      <w:r w:rsidR="00B1385B">
        <w:rPr>
          <w:rFonts w:ascii="Arial" w:hAnsi="Arial" w:cs="Arial"/>
          <w:sz w:val="20"/>
          <w:szCs w:val="20"/>
        </w:rPr>
        <w:t xml:space="preserve"> - </w:t>
      </w:r>
      <w:hyperlink r:id="rId9" w:history="1">
        <w:r w:rsidR="00B1385B" w:rsidRPr="000E3FC6">
          <w:rPr>
            <w:rStyle w:val="Hyperlink"/>
            <w:rFonts w:ascii="Arial" w:hAnsi="Arial" w:cs="Arial"/>
            <w:sz w:val="20"/>
            <w:szCs w:val="20"/>
          </w:rPr>
          <w:t>Acórdão n° 2/17 - Primeira Câmara</w:t>
        </w:r>
      </w:hyperlink>
      <w:r w:rsidR="00B1385B">
        <w:rPr>
          <w:rFonts w:ascii="Arial" w:hAnsi="Arial" w:cs="Arial"/>
          <w:sz w:val="20"/>
          <w:szCs w:val="20"/>
        </w:rPr>
        <w:t xml:space="preserve"> - </w:t>
      </w:r>
      <w:r w:rsidRPr="00123D02">
        <w:rPr>
          <w:rFonts w:ascii="Arial" w:hAnsi="Arial" w:cs="Arial"/>
          <w:sz w:val="20"/>
          <w:szCs w:val="20"/>
        </w:rPr>
        <w:t>Rel</w:t>
      </w:r>
      <w:r w:rsidR="00EC3842" w:rsidRPr="00123D02">
        <w:rPr>
          <w:rFonts w:ascii="Arial" w:hAnsi="Arial" w:cs="Arial"/>
          <w:sz w:val="20"/>
          <w:szCs w:val="20"/>
        </w:rPr>
        <w:t>.</w:t>
      </w:r>
      <w:r w:rsidRPr="00123D02">
        <w:rPr>
          <w:rFonts w:ascii="Arial" w:hAnsi="Arial" w:cs="Arial"/>
          <w:sz w:val="20"/>
          <w:szCs w:val="20"/>
        </w:rPr>
        <w:t xml:space="preserve"> </w:t>
      </w:r>
      <w:r w:rsidR="00B1385B">
        <w:rPr>
          <w:rFonts w:ascii="Arial" w:hAnsi="Arial" w:cs="Arial"/>
          <w:sz w:val="20"/>
          <w:szCs w:val="20"/>
        </w:rPr>
        <w:t>Auditor Sérgio Ricar</w:t>
      </w:r>
      <w:r w:rsidR="00B65962">
        <w:rPr>
          <w:rFonts w:ascii="Arial" w:hAnsi="Arial" w:cs="Arial"/>
          <w:sz w:val="20"/>
          <w:szCs w:val="20"/>
        </w:rPr>
        <w:t>do</w:t>
      </w:r>
      <w:r w:rsidR="00B1385B">
        <w:rPr>
          <w:rFonts w:ascii="Arial" w:hAnsi="Arial" w:cs="Arial"/>
          <w:sz w:val="20"/>
          <w:szCs w:val="20"/>
        </w:rPr>
        <w:t xml:space="preserve"> Valadares Fonseca. </w:t>
      </w:r>
    </w:p>
    <w:p w:rsidR="00EC3842" w:rsidRPr="00722924" w:rsidRDefault="00EC3842" w:rsidP="00EC3842">
      <w:pPr>
        <w:shd w:val="pct10" w:color="auto" w:fill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SEGUNDA</w:t>
      </w:r>
      <w:r w:rsidRPr="00722924">
        <w:rPr>
          <w:rFonts w:ascii="Arial" w:hAnsi="Arial" w:cs="Arial"/>
          <w:b/>
        </w:rPr>
        <w:t xml:space="preserve"> CÂMARA</w:t>
      </w:r>
    </w:p>
    <w:p w:rsidR="00A10857" w:rsidRPr="00EA34E2" w:rsidRDefault="00127DF2" w:rsidP="00A1085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A34E2">
        <w:rPr>
          <w:rFonts w:ascii="Arial" w:hAnsi="Arial" w:cs="Arial"/>
          <w:b/>
          <w:sz w:val="20"/>
          <w:szCs w:val="20"/>
        </w:rPr>
        <w:t xml:space="preserve">2. </w:t>
      </w:r>
      <w:r w:rsidR="0041337A" w:rsidRPr="00EA34E2">
        <w:rPr>
          <w:rFonts w:ascii="Arial" w:hAnsi="Arial" w:cs="Arial"/>
          <w:b/>
          <w:sz w:val="20"/>
          <w:szCs w:val="20"/>
        </w:rPr>
        <w:t>Certidão Liberatória. Recomposição de índice de gastos com educação, demonstrando atendimento ao comando constitucional. D</w:t>
      </w:r>
      <w:r w:rsidR="0041337A" w:rsidRPr="00EA34E2">
        <w:rPr>
          <w:rFonts w:ascii="Arial" w:hAnsi="Arial" w:cs="Arial"/>
          <w:b/>
          <w:bCs/>
          <w:sz w:val="20"/>
          <w:szCs w:val="20"/>
        </w:rPr>
        <w:t xml:space="preserve">eferimento </w:t>
      </w:r>
      <w:r w:rsidR="0041337A" w:rsidRPr="00EA34E2">
        <w:rPr>
          <w:rFonts w:ascii="Arial" w:hAnsi="Arial" w:cs="Arial"/>
          <w:b/>
          <w:sz w:val="20"/>
          <w:szCs w:val="20"/>
        </w:rPr>
        <w:t>do pedido</w:t>
      </w:r>
      <w:r w:rsidR="001D684B" w:rsidRPr="00EA34E2">
        <w:rPr>
          <w:rFonts w:ascii="Arial" w:hAnsi="Arial" w:cs="Arial"/>
          <w:b/>
          <w:sz w:val="20"/>
          <w:szCs w:val="20"/>
        </w:rPr>
        <w:t>.</w:t>
      </w:r>
    </w:p>
    <w:p w:rsidR="00A10857" w:rsidRPr="00EA34E2" w:rsidRDefault="00CB0797" w:rsidP="00EA34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34E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EA34E2" w:rsidRPr="00EA34E2">
        <w:rPr>
          <w:rFonts w:ascii="Arial" w:hAnsi="Arial" w:cs="Arial"/>
          <w:sz w:val="20"/>
          <w:szCs w:val="20"/>
        </w:rPr>
        <w:t xml:space="preserve">existência de </w:t>
      </w:r>
      <w:r w:rsidR="00EA34E2" w:rsidRPr="00801004">
        <w:rPr>
          <w:rFonts w:ascii="Arial" w:hAnsi="Arial" w:cs="Arial"/>
          <w:i/>
          <w:sz w:val="20"/>
          <w:szCs w:val="20"/>
        </w:rPr>
        <w:t>superávit</w:t>
      </w:r>
      <w:r w:rsidR="00EA34E2" w:rsidRPr="00EA34E2">
        <w:rPr>
          <w:rFonts w:ascii="Arial" w:hAnsi="Arial" w:cs="Arial"/>
          <w:sz w:val="20"/>
          <w:szCs w:val="20"/>
        </w:rPr>
        <w:t xml:space="preserve"> financeiro nas fontes</w:t>
      </w:r>
      <w:r w:rsidR="00EA34E2">
        <w:rPr>
          <w:rFonts w:ascii="Arial" w:hAnsi="Arial" w:cs="Arial"/>
          <w:sz w:val="20"/>
          <w:szCs w:val="20"/>
        </w:rPr>
        <w:t xml:space="preserve"> </w:t>
      </w:r>
      <w:r w:rsidR="00EA34E2" w:rsidRPr="00EA34E2">
        <w:rPr>
          <w:rFonts w:ascii="Arial" w:hAnsi="Arial" w:cs="Arial"/>
          <w:sz w:val="20"/>
          <w:szCs w:val="20"/>
        </w:rPr>
        <w:t>vinculadas à Educação, por ocasião do encerramento do exercício de 2015, e</w:t>
      </w:r>
      <w:r w:rsidR="00EA34E2">
        <w:rPr>
          <w:rFonts w:ascii="Arial" w:hAnsi="Arial" w:cs="Arial"/>
          <w:sz w:val="20"/>
          <w:szCs w:val="20"/>
        </w:rPr>
        <w:t xml:space="preserve"> </w:t>
      </w:r>
      <w:r w:rsidR="00EA34E2" w:rsidRPr="00EA34E2">
        <w:rPr>
          <w:rFonts w:ascii="Arial" w:hAnsi="Arial" w:cs="Arial"/>
          <w:sz w:val="20"/>
          <w:szCs w:val="20"/>
        </w:rPr>
        <w:t>também que algumas despesas empenhadas no exercício subsequente, tiveram</w:t>
      </w:r>
      <w:r w:rsidR="00EA34E2">
        <w:rPr>
          <w:rFonts w:ascii="Arial" w:hAnsi="Arial" w:cs="Arial"/>
          <w:sz w:val="20"/>
          <w:szCs w:val="20"/>
        </w:rPr>
        <w:t xml:space="preserve"> </w:t>
      </w:r>
      <w:r w:rsidR="00EA34E2" w:rsidRPr="00EA34E2">
        <w:rPr>
          <w:rFonts w:ascii="Arial" w:hAnsi="Arial" w:cs="Arial"/>
          <w:sz w:val="20"/>
          <w:szCs w:val="20"/>
        </w:rPr>
        <w:t>coberturas financeiras com base nesta receita superavitária,</w:t>
      </w:r>
      <w:r w:rsidR="00D71A7E">
        <w:rPr>
          <w:rFonts w:ascii="Arial" w:hAnsi="Arial" w:cs="Arial"/>
          <w:sz w:val="20"/>
          <w:szCs w:val="20"/>
        </w:rPr>
        <w:t xml:space="preserve"> permitiu a </w:t>
      </w:r>
      <w:r w:rsidR="00EA34E2" w:rsidRPr="00EA34E2">
        <w:rPr>
          <w:rFonts w:ascii="Arial" w:hAnsi="Arial" w:cs="Arial"/>
          <w:sz w:val="20"/>
          <w:szCs w:val="20"/>
        </w:rPr>
        <w:t>recompo</w:t>
      </w:r>
      <w:r w:rsidR="00D71A7E">
        <w:rPr>
          <w:rFonts w:ascii="Arial" w:hAnsi="Arial" w:cs="Arial"/>
          <w:sz w:val="20"/>
          <w:szCs w:val="20"/>
        </w:rPr>
        <w:t>sição d</w:t>
      </w:r>
      <w:r w:rsidR="00EA34E2" w:rsidRPr="00EA34E2">
        <w:rPr>
          <w:rFonts w:ascii="Arial" w:hAnsi="Arial" w:cs="Arial"/>
          <w:sz w:val="20"/>
          <w:szCs w:val="20"/>
        </w:rPr>
        <w:t>o índice de</w:t>
      </w:r>
      <w:r w:rsidR="00EA34E2">
        <w:rPr>
          <w:rFonts w:ascii="Arial" w:hAnsi="Arial" w:cs="Arial"/>
          <w:sz w:val="20"/>
          <w:szCs w:val="20"/>
        </w:rPr>
        <w:t xml:space="preserve"> </w:t>
      </w:r>
      <w:r w:rsidR="00EA34E2" w:rsidRPr="00EA34E2">
        <w:rPr>
          <w:rFonts w:ascii="Arial" w:hAnsi="Arial" w:cs="Arial"/>
          <w:sz w:val="20"/>
          <w:szCs w:val="20"/>
        </w:rPr>
        <w:t>gastos com educação para o exercício em questão, demonstrando aplicação do</w:t>
      </w:r>
      <w:r w:rsidR="00EA34E2">
        <w:rPr>
          <w:rFonts w:ascii="Arial" w:hAnsi="Arial" w:cs="Arial"/>
          <w:sz w:val="20"/>
          <w:szCs w:val="20"/>
        </w:rPr>
        <w:t xml:space="preserve"> </w:t>
      </w:r>
      <w:r w:rsidR="00EA34E2" w:rsidRPr="00EA34E2">
        <w:rPr>
          <w:rFonts w:ascii="Arial" w:hAnsi="Arial" w:cs="Arial"/>
          <w:sz w:val="20"/>
          <w:szCs w:val="20"/>
        </w:rPr>
        <w:t>limite constitucional mínimo para a área</w:t>
      </w:r>
      <w:r w:rsidR="00AB031D">
        <w:rPr>
          <w:rFonts w:ascii="Arial" w:hAnsi="Arial" w:cs="Arial"/>
          <w:sz w:val="20"/>
          <w:szCs w:val="20"/>
        </w:rPr>
        <w:t xml:space="preserve">, </w:t>
      </w:r>
      <w:r w:rsidR="00AB031D" w:rsidRPr="00AB031D">
        <w:rPr>
          <w:rFonts w:ascii="Arial" w:hAnsi="Arial" w:cs="Arial"/>
          <w:i/>
          <w:sz w:val="20"/>
          <w:szCs w:val="20"/>
        </w:rPr>
        <w:t xml:space="preserve">in </w:t>
      </w:r>
      <w:proofErr w:type="spellStart"/>
      <w:r w:rsidR="00AB031D" w:rsidRPr="00AB031D">
        <w:rPr>
          <w:rFonts w:ascii="Arial" w:hAnsi="Arial" w:cs="Arial"/>
          <w:i/>
          <w:sz w:val="20"/>
          <w:szCs w:val="20"/>
        </w:rPr>
        <w:t>casu</w:t>
      </w:r>
      <w:proofErr w:type="spellEnd"/>
      <w:r w:rsidR="00AB031D">
        <w:rPr>
          <w:rFonts w:ascii="Arial" w:hAnsi="Arial" w:cs="Arial"/>
          <w:i/>
          <w:sz w:val="20"/>
          <w:szCs w:val="20"/>
        </w:rPr>
        <w:t>,</w:t>
      </w:r>
      <w:r w:rsidR="00AB031D">
        <w:rPr>
          <w:rFonts w:ascii="Arial" w:hAnsi="Arial" w:cs="Arial"/>
          <w:sz w:val="20"/>
          <w:szCs w:val="20"/>
        </w:rPr>
        <w:t xml:space="preserve"> de </w:t>
      </w:r>
      <w:r w:rsidR="00EA34E2" w:rsidRPr="00D71A7E">
        <w:rPr>
          <w:rFonts w:ascii="Arial" w:hAnsi="Arial" w:cs="Arial"/>
          <w:bCs/>
          <w:sz w:val="20"/>
          <w:szCs w:val="20"/>
        </w:rPr>
        <w:t>25,09%</w:t>
      </w:r>
      <w:r w:rsidR="0055022A" w:rsidRPr="00D71A7E">
        <w:rPr>
          <w:rFonts w:ascii="Arial" w:hAnsi="Arial" w:cs="Arial"/>
          <w:sz w:val="20"/>
          <w:szCs w:val="20"/>
        </w:rPr>
        <w:t>.</w:t>
      </w:r>
      <w:r w:rsidR="001930D1" w:rsidRPr="00EA34E2">
        <w:rPr>
          <w:rFonts w:ascii="Arial" w:hAnsi="Arial" w:cs="Arial"/>
          <w:sz w:val="20"/>
          <w:szCs w:val="20"/>
        </w:rPr>
        <w:t xml:space="preserve"> </w:t>
      </w:r>
    </w:p>
    <w:p w:rsidR="006375ED" w:rsidRPr="00123D02" w:rsidRDefault="006375ED" w:rsidP="006375E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90BD3" w:rsidRDefault="00A90BD3" w:rsidP="00A90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3D02">
        <w:rPr>
          <w:rFonts w:ascii="Arial" w:hAnsi="Arial" w:cs="Arial"/>
          <w:sz w:val="20"/>
          <w:szCs w:val="20"/>
        </w:rPr>
        <w:t xml:space="preserve">Processo </w:t>
      </w:r>
      <w:r w:rsidR="00487D31" w:rsidRPr="00123D02">
        <w:rPr>
          <w:rFonts w:ascii="Arial" w:hAnsi="Arial" w:cs="Arial"/>
          <w:sz w:val="20"/>
          <w:szCs w:val="20"/>
        </w:rPr>
        <w:t xml:space="preserve">nº </w:t>
      </w:r>
      <w:r w:rsidR="00D71A7E">
        <w:rPr>
          <w:rFonts w:ascii="Arial" w:hAnsi="Arial" w:cs="Arial"/>
          <w:sz w:val="20"/>
          <w:szCs w:val="20"/>
        </w:rPr>
        <w:t>982312/16</w:t>
      </w:r>
      <w:r w:rsidR="00EC3842" w:rsidRPr="00123D02">
        <w:rPr>
          <w:rFonts w:ascii="Arial" w:hAnsi="Arial" w:cs="Arial"/>
          <w:sz w:val="20"/>
          <w:szCs w:val="20"/>
        </w:rPr>
        <w:t xml:space="preserve"> </w:t>
      </w:r>
      <w:r w:rsidR="00D71A7E">
        <w:rPr>
          <w:rFonts w:ascii="Arial" w:hAnsi="Arial" w:cs="Arial"/>
          <w:sz w:val="20"/>
          <w:szCs w:val="20"/>
        </w:rPr>
        <w:t xml:space="preserve">- </w:t>
      </w:r>
      <w:hyperlink r:id="rId10" w:history="1">
        <w:r w:rsidR="00D71A7E" w:rsidRPr="00295F4B">
          <w:rPr>
            <w:rStyle w:val="Hyperlink"/>
            <w:rFonts w:ascii="Arial" w:hAnsi="Arial" w:cs="Arial"/>
            <w:sz w:val="20"/>
            <w:szCs w:val="20"/>
          </w:rPr>
          <w:t>Acórdão n° 7/17</w:t>
        </w:r>
        <w:r w:rsidR="00295F4B" w:rsidRPr="00295F4B">
          <w:rPr>
            <w:rStyle w:val="Hyperlink"/>
            <w:rFonts w:ascii="Arial" w:hAnsi="Arial" w:cs="Arial"/>
            <w:sz w:val="20"/>
            <w:szCs w:val="20"/>
          </w:rPr>
          <w:t xml:space="preserve"> - Segunda Câmara</w:t>
        </w:r>
      </w:hyperlink>
      <w:r w:rsidR="00D71A7E">
        <w:rPr>
          <w:rFonts w:ascii="Arial" w:hAnsi="Arial" w:cs="Arial"/>
          <w:sz w:val="20"/>
          <w:szCs w:val="20"/>
        </w:rPr>
        <w:t xml:space="preserve"> - </w:t>
      </w:r>
      <w:r w:rsidRPr="00123D02">
        <w:rPr>
          <w:rFonts w:ascii="Arial" w:hAnsi="Arial" w:cs="Arial"/>
          <w:sz w:val="20"/>
          <w:szCs w:val="20"/>
        </w:rPr>
        <w:t>Rel</w:t>
      </w:r>
      <w:r w:rsidR="00EC3842" w:rsidRPr="00123D02">
        <w:rPr>
          <w:rFonts w:ascii="Arial" w:hAnsi="Arial" w:cs="Arial"/>
          <w:sz w:val="20"/>
          <w:szCs w:val="20"/>
        </w:rPr>
        <w:t>.</w:t>
      </w:r>
      <w:r w:rsidRPr="00123D02">
        <w:rPr>
          <w:rFonts w:ascii="Arial" w:hAnsi="Arial" w:cs="Arial"/>
          <w:sz w:val="20"/>
          <w:szCs w:val="20"/>
        </w:rPr>
        <w:t xml:space="preserve"> Conselheiro</w:t>
      </w:r>
      <w:r w:rsidR="00D71A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1A7E">
        <w:rPr>
          <w:rFonts w:ascii="Arial" w:hAnsi="Arial" w:cs="Arial"/>
          <w:sz w:val="20"/>
          <w:szCs w:val="20"/>
        </w:rPr>
        <w:t>Artagão</w:t>
      </w:r>
      <w:proofErr w:type="spellEnd"/>
      <w:r w:rsidR="00D71A7E">
        <w:rPr>
          <w:rFonts w:ascii="Arial" w:hAnsi="Arial" w:cs="Arial"/>
          <w:sz w:val="20"/>
          <w:szCs w:val="20"/>
        </w:rPr>
        <w:t xml:space="preserve"> de Mattos Leão. </w:t>
      </w:r>
    </w:p>
    <w:p w:rsidR="006375ED" w:rsidRPr="00123D02" w:rsidRDefault="006375ED" w:rsidP="00A90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F42" w:rsidRPr="00722924" w:rsidRDefault="00AE4F42" w:rsidP="00AE4F42">
      <w:pPr>
        <w:shd w:val="pct10" w:color="auto" w:fill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TRIBUNAL PLENO</w:t>
      </w:r>
    </w:p>
    <w:p w:rsidR="00406D2C" w:rsidRDefault="00CA6114" w:rsidP="00406D2C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Cs w:val="20"/>
        </w:rPr>
        <w:t>3</w:t>
      </w:r>
      <w:r w:rsidRPr="00123D02">
        <w:rPr>
          <w:rFonts w:ascii="Arial" w:hAnsi="Arial" w:cs="Arial"/>
          <w:b/>
          <w:sz w:val="20"/>
          <w:szCs w:val="20"/>
        </w:rPr>
        <w:t xml:space="preserve">. </w:t>
      </w:r>
      <w:r w:rsidR="00566AE8" w:rsidRPr="00123D02">
        <w:rPr>
          <w:rFonts w:ascii="Arial" w:hAnsi="Arial" w:cs="Arial"/>
          <w:b/>
          <w:sz w:val="20"/>
          <w:szCs w:val="20"/>
        </w:rPr>
        <w:t>Re</w:t>
      </w:r>
      <w:r w:rsidR="008E5642">
        <w:rPr>
          <w:rFonts w:ascii="Arial" w:hAnsi="Arial" w:cs="Arial"/>
          <w:b/>
          <w:sz w:val="20"/>
          <w:szCs w:val="20"/>
        </w:rPr>
        <w:t>curso de Agravo. Divergência j</w:t>
      </w:r>
      <w:r w:rsidR="00E617D3">
        <w:rPr>
          <w:rFonts w:ascii="Arial" w:hAnsi="Arial" w:cs="Arial"/>
          <w:b/>
          <w:sz w:val="20"/>
          <w:szCs w:val="20"/>
        </w:rPr>
        <w:t>urisprudencial</w:t>
      </w:r>
      <w:r w:rsidR="006105E3">
        <w:rPr>
          <w:rFonts w:ascii="Arial" w:hAnsi="Arial" w:cs="Arial"/>
          <w:b/>
          <w:sz w:val="20"/>
          <w:szCs w:val="20"/>
        </w:rPr>
        <w:t xml:space="preserve">. </w:t>
      </w:r>
      <w:r w:rsidR="0032266D">
        <w:rPr>
          <w:rFonts w:ascii="Arial" w:hAnsi="Arial" w:cs="Arial"/>
          <w:b/>
          <w:sz w:val="20"/>
          <w:szCs w:val="20"/>
        </w:rPr>
        <w:t xml:space="preserve">Cabimento </w:t>
      </w:r>
      <w:r w:rsidR="006105E3">
        <w:rPr>
          <w:rFonts w:ascii="Arial" w:hAnsi="Arial" w:cs="Arial"/>
          <w:b/>
          <w:sz w:val="20"/>
          <w:szCs w:val="20"/>
        </w:rPr>
        <w:t>de Recurso de Revisão. Ausência de Configuração</w:t>
      </w:r>
      <w:r w:rsidR="002D5B56">
        <w:rPr>
          <w:rFonts w:ascii="Arial" w:hAnsi="Arial" w:cs="Arial"/>
          <w:b/>
          <w:sz w:val="20"/>
          <w:szCs w:val="20"/>
        </w:rPr>
        <w:t xml:space="preserve"> das Hipóte</w:t>
      </w:r>
      <w:r w:rsidR="0088297B">
        <w:rPr>
          <w:rFonts w:ascii="Arial" w:hAnsi="Arial" w:cs="Arial"/>
          <w:b/>
          <w:sz w:val="20"/>
          <w:szCs w:val="20"/>
        </w:rPr>
        <w:t>ses de Pedido de Rescisão. Não configuração de novo elemento de p</w:t>
      </w:r>
      <w:r w:rsidR="002D5B56">
        <w:rPr>
          <w:rFonts w:ascii="Arial" w:hAnsi="Arial" w:cs="Arial"/>
          <w:b/>
          <w:sz w:val="20"/>
          <w:szCs w:val="20"/>
        </w:rPr>
        <w:t xml:space="preserve">rova. Prejulgado n° 04/2007. </w:t>
      </w:r>
    </w:p>
    <w:p w:rsidR="00C44042" w:rsidRDefault="002E7DFF" w:rsidP="002E7D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7DFF">
        <w:rPr>
          <w:rFonts w:ascii="Arial" w:hAnsi="Arial" w:cs="Arial"/>
          <w:sz w:val="20"/>
          <w:szCs w:val="20"/>
        </w:rPr>
        <w:t>O artigo 494 do Regimento Interno prevê taxativamente as</w:t>
      </w:r>
      <w:r>
        <w:rPr>
          <w:rFonts w:ascii="Arial" w:hAnsi="Arial" w:cs="Arial"/>
          <w:sz w:val="20"/>
          <w:szCs w:val="20"/>
        </w:rPr>
        <w:t xml:space="preserve"> </w:t>
      </w:r>
      <w:r w:rsidRPr="002E7DFF">
        <w:rPr>
          <w:rFonts w:ascii="Arial" w:hAnsi="Arial" w:cs="Arial"/>
          <w:sz w:val="20"/>
          <w:szCs w:val="20"/>
        </w:rPr>
        <w:t>hipóteses de cabimento do Pedido de Rescisão, dentre as quais não se amolda o</w:t>
      </w:r>
      <w:r>
        <w:rPr>
          <w:rFonts w:ascii="Arial" w:hAnsi="Arial" w:cs="Arial"/>
          <w:sz w:val="20"/>
          <w:szCs w:val="20"/>
        </w:rPr>
        <w:t xml:space="preserve"> </w:t>
      </w:r>
      <w:r w:rsidRPr="002E7DFF">
        <w:rPr>
          <w:rFonts w:ascii="Arial" w:hAnsi="Arial" w:cs="Arial"/>
          <w:sz w:val="20"/>
          <w:szCs w:val="20"/>
        </w:rPr>
        <w:t>pedido formulado pelo interessado, que apesar de alegar superveniência de novos</w:t>
      </w:r>
      <w:r>
        <w:rPr>
          <w:rFonts w:ascii="Arial" w:hAnsi="Arial" w:cs="Arial"/>
          <w:sz w:val="20"/>
          <w:szCs w:val="20"/>
        </w:rPr>
        <w:t xml:space="preserve"> </w:t>
      </w:r>
      <w:r w:rsidRPr="002E7DFF">
        <w:rPr>
          <w:rFonts w:ascii="Arial" w:hAnsi="Arial" w:cs="Arial"/>
          <w:sz w:val="20"/>
          <w:szCs w:val="20"/>
        </w:rPr>
        <w:t>elementos de prova, unicamente citou jurisprudência deste Tribunal que entendeu</w:t>
      </w:r>
      <w:r>
        <w:rPr>
          <w:rFonts w:ascii="Arial" w:hAnsi="Arial" w:cs="Arial"/>
          <w:sz w:val="20"/>
          <w:szCs w:val="20"/>
        </w:rPr>
        <w:t xml:space="preserve"> </w:t>
      </w:r>
      <w:r w:rsidRPr="002E7DFF">
        <w:rPr>
          <w:rFonts w:ascii="Arial" w:hAnsi="Arial" w:cs="Arial"/>
          <w:sz w:val="20"/>
          <w:szCs w:val="20"/>
        </w:rPr>
        <w:t>dissonante com o entendimento manifestado em sede de Recurso de Revista.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44042" w:rsidRDefault="00C44042" w:rsidP="002E7D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7DFF" w:rsidRDefault="00C855D4" w:rsidP="002E7D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divergência </w:t>
      </w:r>
      <w:r w:rsidR="002E7DFF" w:rsidRPr="002E7DFF">
        <w:rPr>
          <w:rFonts w:ascii="Arial" w:hAnsi="Arial" w:cs="Arial"/>
          <w:sz w:val="20"/>
          <w:szCs w:val="20"/>
        </w:rPr>
        <w:t>jurisprudencial é requisito para a interposição de Recurso de Revisão e não de</w:t>
      </w:r>
      <w:r w:rsidR="002E7DFF">
        <w:rPr>
          <w:rFonts w:ascii="Arial" w:hAnsi="Arial" w:cs="Arial"/>
          <w:sz w:val="20"/>
          <w:szCs w:val="20"/>
        </w:rPr>
        <w:t xml:space="preserve"> </w:t>
      </w:r>
      <w:r w:rsidR="002E7DFF" w:rsidRPr="002E7DFF">
        <w:rPr>
          <w:rFonts w:ascii="Arial" w:hAnsi="Arial" w:cs="Arial"/>
          <w:sz w:val="20"/>
          <w:szCs w:val="20"/>
        </w:rPr>
        <w:t>Pedido de Rescisão, esclarecendo</w:t>
      </w:r>
      <w:r>
        <w:rPr>
          <w:rFonts w:ascii="Arial" w:hAnsi="Arial" w:cs="Arial"/>
          <w:sz w:val="20"/>
          <w:szCs w:val="20"/>
        </w:rPr>
        <w:t>-se</w:t>
      </w:r>
      <w:r w:rsidR="002E7DFF" w:rsidRPr="002E7DFF">
        <w:rPr>
          <w:rFonts w:ascii="Arial" w:hAnsi="Arial" w:cs="Arial"/>
          <w:sz w:val="20"/>
          <w:szCs w:val="20"/>
        </w:rPr>
        <w:t xml:space="preserve"> que eventual julgamento diverso, proferido por</w:t>
      </w:r>
      <w:r w:rsidR="002E7DFF">
        <w:rPr>
          <w:rFonts w:ascii="Arial" w:hAnsi="Arial" w:cs="Arial"/>
          <w:sz w:val="20"/>
          <w:szCs w:val="20"/>
        </w:rPr>
        <w:t xml:space="preserve"> </w:t>
      </w:r>
      <w:r w:rsidR="002E7DFF" w:rsidRPr="002E7DFF">
        <w:rPr>
          <w:rFonts w:ascii="Arial" w:hAnsi="Arial" w:cs="Arial"/>
          <w:sz w:val="20"/>
          <w:szCs w:val="20"/>
        </w:rPr>
        <w:t>este Tribunal em caso análogo, não configura novo elemento de prova, nos termos</w:t>
      </w:r>
      <w:r w:rsidR="002E7DFF">
        <w:rPr>
          <w:rFonts w:ascii="Arial" w:hAnsi="Arial" w:cs="Arial"/>
          <w:sz w:val="20"/>
          <w:szCs w:val="20"/>
        </w:rPr>
        <w:t xml:space="preserve"> </w:t>
      </w:r>
      <w:r w:rsidR="002E7DFF" w:rsidRPr="002E7DFF">
        <w:rPr>
          <w:rFonts w:ascii="Arial" w:hAnsi="Arial" w:cs="Arial"/>
          <w:sz w:val="20"/>
          <w:szCs w:val="20"/>
        </w:rPr>
        <w:t>do Prejulgado n.º 04/2007.</w:t>
      </w:r>
    </w:p>
    <w:p w:rsidR="00C855D4" w:rsidRDefault="00C855D4" w:rsidP="002E7D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55D4" w:rsidRDefault="00C855D4" w:rsidP="002E7D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Processo n</w:t>
      </w:r>
      <w:r w:rsidR="00FC3753">
        <w:rPr>
          <w:rFonts w:ascii="Arial" w:hAnsi="Arial" w:cs="Arial"/>
          <w:sz w:val="20"/>
          <w:szCs w:val="20"/>
        </w:rPr>
        <w:t xml:space="preserve">° 964985/16 - </w:t>
      </w:r>
      <w:hyperlink r:id="rId11" w:history="1">
        <w:r w:rsidR="00FC3753" w:rsidRPr="00C56EB6">
          <w:rPr>
            <w:rStyle w:val="Hyperlink"/>
            <w:rFonts w:ascii="Arial" w:hAnsi="Arial" w:cs="Arial"/>
            <w:sz w:val="20"/>
            <w:szCs w:val="20"/>
          </w:rPr>
          <w:t>Acórdão n° 23/17 - Tribunal Pleno</w:t>
        </w:r>
      </w:hyperlink>
      <w:r w:rsidR="00FC3753">
        <w:rPr>
          <w:rFonts w:ascii="Arial" w:hAnsi="Arial" w:cs="Arial"/>
          <w:sz w:val="20"/>
          <w:szCs w:val="20"/>
        </w:rPr>
        <w:t xml:space="preserve"> - Rel. Conselheiro Fabio de Souza</w:t>
      </w:r>
      <w:r w:rsidR="00C56EB6">
        <w:rPr>
          <w:rFonts w:ascii="Arial" w:hAnsi="Arial" w:cs="Arial"/>
          <w:sz w:val="20"/>
          <w:szCs w:val="20"/>
        </w:rPr>
        <w:t xml:space="preserve"> Camargo. </w:t>
      </w:r>
      <w:r w:rsidR="00FC3753">
        <w:rPr>
          <w:rFonts w:ascii="Arial" w:hAnsi="Arial" w:cs="Arial"/>
          <w:sz w:val="20"/>
          <w:szCs w:val="20"/>
        </w:rPr>
        <w:t xml:space="preserve"> </w:t>
      </w:r>
    </w:p>
    <w:p w:rsidR="00C855D4" w:rsidRDefault="00C855D4" w:rsidP="002E7D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42636" w:rsidRPr="00441D38" w:rsidRDefault="00441D38" w:rsidP="00F9292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41D38">
        <w:rPr>
          <w:rFonts w:ascii="Arial" w:hAnsi="Arial" w:cs="Arial"/>
          <w:b/>
          <w:sz w:val="20"/>
          <w:szCs w:val="20"/>
        </w:rPr>
        <w:t xml:space="preserve">4. Recurso de Revista. Transferência Voluntária. Organização da Sociedade Civil de Interesse Público. Termo de Parceria. Cobrança de taxas administrativas. Pertinência da despesa administrativa com o objeto </w:t>
      </w:r>
      <w:proofErr w:type="gramStart"/>
      <w:r w:rsidRPr="00441D38">
        <w:rPr>
          <w:rFonts w:ascii="Arial" w:hAnsi="Arial" w:cs="Arial"/>
          <w:b/>
          <w:sz w:val="20"/>
          <w:szCs w:val="20"/>
        </w:rPr>
        <w:t>específico do Termo de Convênio não configurada</w:t>
      </w:r>
      <w:proofErr w:type="gramEnd"/>
      <w:r w:rsidRPr="00441D38">
        <w:rPr>
          <w:rFonts w:ascii="Arial" w:hAnsi="Arial" w:cs="Arial"/>
          <w:b/>
          <w:sz w:val="20"/>
          <w:szCs w:val="20"/>
        </w:rPr>
        <w:t>. Necessidade e economicidade não comprovadas. Irregularidade das Contas</w:t>
      </w:r>
      <w:r w:rsidR="0077181C" w:rsidRPr="00441D38">
        <w:rPr>
          <w:rFonts w:ascii="Arial" w:hAnsi="Arial" w:cs="Arial"/>
          <w:b/>
          <w:sz w:val="20"/>
          <w:szCs w:val="20"/>
        </w:rPr>
        <w:t xml:space="preserve">. </w:t>
      </w:r>
      <w:r w:rsidR="00542636" w:rsidRPr="00441D38">
        <w:rPr>
          <w:rFonts w:ascii="Arial" w:hAnsi="Arial" w:cs="Arial"/>
          <w:b/>
          <w:sz w:val="20"/>
          <w:szCs w:val="20"/>
        </w:rPr>
        <w:t xml:space="preserve"> </w:t>
      </w:r>
      <w:r w:rsidR="00F92927" w:rsidRPr="00441D38">
        <w:rPr>
          <w:rFonts w:ascii="Arial" w:hAnsi="Arial" w:cs="Arial"/>
          <w:b/>
          <w:sz w:val="20"/>
          <w:szCs w:val="20"/>
        </w:rPr>
        <w:t xml:space="preserve"> </w:t>
      </w:r>
    </w:p>
    <w:p w:rsidR="00C44042" w:rsidRDefault="00AA3174" w:rsidP="00190B94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8B55B4">
        <w:rPr>
          <w:rFonts w:ascii="Arial" w:hAnsi="Arial" w:cs="Arial"/>
          <w:sz w:val="20"/>
          <w:szCs w:val="20"/>
        </w:rPr>
        <w:lastRenderedPageBreak/>
        <w:t xml:space="preserve">O Tribunal, </w:t>
      </w:r>
      <w:r w:rsidR="008B55B4">
        <w:rPr>
          <w:rFonts w:ascii="Arial" w:hAnsi="Arial" w:cs="Arial"/>
          <w:sz w:val="20"/>
          <w:szCs w:val="20"/>
        </w:rPr>
        <w:t>reiteradamente j</w:t>
      </w:r>
      <w:r w:rsidR="008B55B4" w:rsidRPr="008B55B4">
        <w:rPr>
          <w:rFonts w:ascii="Arial" w:hAnsi="Arial" w:cs="Arial"/>
          <w:sz w:val="20"/>
          <w:szCs w:val="20"/>
        </w:rPr>
        <w:t>á se manifestou quanto à impossibilidade de cobrança de eventuais taxas de administração que não evidenciem o efetivo custeio de despesas da entidade para execução do termo de parceria específico</w:t>
      </w:r>
      <w:r w:rsidR="001472C1">
        <w:rPr>
          <w:rFonts w:ascii="Arial" w:hAnsi="Arial" w:cs="Arial"/>
          <w:sz w:val="20"/>
          <w:szCs w:val="20"/>
        </w:rPr>
        <w:t>. Nesse sentido ver o Acórdão n° 2461/12 da Segunda Câmara</w:t>
      </w:r>
      <w:r w:rsidR="00854B16">
        <w:rPr>
          <w:rFonts w:ascii="Arial" w:hAnsi="Arial" w:cs="Arial"/>
          <w:sz w:val="20"/>
          <w:szCs w:val="20"/>
        </w:rPr>
        <w:t>: “</w:t>
      </w:r>
      <w:r w:rsidR="00854B16" w:rsidRPr="00834578">
        <w:rPr>
          <w:rFonts w:ascii="Arial" w:hAnsi="Arial" w:cs="Arial"/>
          <w:i/>
          <w:sz w:val="20"/>
          <w:szCs w:val="20"/>
        </w:rPr>
        <w:t>No caso de uma parceria com OSCIP, a lei veda, expressamente, a percepção de lucro e, justamente, para que faça cumprir essa vedação, é exigido o detalhamento específico de todas as despesas que serão remuneradas, não se admitindo, em nenhuma hipótese, a concessão de benefício aos sócios, dirigentes ou pessoas físicas ou jurídicas ligadas, que não estejam claramente previstos e quantificados no termo de parceria, com essa destinação específica”.</w:t>
      </w:r>
      <w:r w:rsidR="00017EBA">
        <w:rPr>
          <w:rFonts w:ascii="Arial" w:hAnsi="Arial" w:cs="Arial"/>
          <w:i/>
          <w:sz w:val="20"/>
          <w:szCs w:val="20"/>
        </w:rPr>
        <w:t xml:space="preserve"> </w:t>
      </w:r>
    </w:p>
    <w:p w:rsidR="00190B94" w:rsidRPr="00766834" w:rsidRDefault="00834578" w:rsidP="00190B9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34578">
        <w:rPr>
          <w:rFonts w:ascii="Arial" w:hAnsi="Arial" w:cs="Arial"/>
          <w:sz w:val="20"/>
          <w:szCs w:val="20"/>
        </w:rPr>
        <w:t>Dessa forma, deve ficar assentado que é</w:t>
      </w:r>
      <w:r w:rsidR="00017EBA">
        <w:rPr>
          <w:rFonts w:ascii="Arial" w:hAnsi="Arial" w:cs="Arial"/>
          <w:sz w:val="20"/>
          <w:szCs w:val="20"/>
        </w:rPr>
        <w:t xml:space="preserve"> </w:t>
      </w:r>
      <w:r w:rsidRPr="00834578">
        <w:rPr>
          <w:rFonts w:ascii="Arial" w:hAnsi="Arial" w:cs="Arial"/>
          <w:sz w:val="20"/>
          <w:szCs w:val="20"/>
        </w:rPr>
        <w:t>expressamente vedada a estipulação de qualquer percentual ou</w:t>
      </w:r>
      <w:r w:rsidR="00017EBA">
        <w:rPr>
          <w:rFonts w:ascii="Arial" w:hAnsi="Arial" w:cs="Arial"/>
          <w:sz w:val="20"/>
          <w:szCs w:val="20"/>
        </w:rPr>
        <w:t xml:space="preserve"> </w:t>
      </w:r>
      <w:r w:rsidRPr="00834578">
        <w:rPr>
          <w:rFonts w:ascii="Arial" w:hAnsi="Arial" w:cs="Arial"/>
          <w:sz w:val="20"/>
          <w:szCs w:val="20"/>
        </w:rPr>
        <w:t>índice incidente sobre o valor do repasse ou de qualquer outra</w:t>
      </w:r>
      <w:r w:rsidR="00017EBA">
        <w:rPr>
          <w:rFonts w:ascii="Arial" w:hAnsi="Arial" w:cs="Arial"/>
          <w:sz w:val="20"/>
          <w:szCs w:val="20"/>
        </w:rPr>
        <w:t xml:space="preserve"> </w:t>
      </w:r>
      <w:r w:rsidRPr="00834578">
        <w:rPr>
          <w:rFonts w:ascii="Arial" w:hAnsi="Arial" w:cs="Arial"/>
          <w:sz w:val="20"/>
          <w:szCs w:val="20"/>
        </w:rPr>
        <w:t>receita, para efeito de previsão de despesas administrativas,</w:t>
      </w:r>
      <w:r w:rsidR="00017EBA">
        <w:rPr>
          <w:rFonts w:ascii="Arial" w:hAnsi="Arial" w:cs="Arial"/>
          <w:sz w:val="20"/>
          <w:szCs w:val="20"/>
        </w:rPr>
        <w:t xml:space="preserve"> </w:t>
      </w:r>
      <w:r w:rsidRPr="00834578">
        <w:rPr>
          <w:rFonts w:ascii="Arial" w:hAnsi="Arial" w:cs="Arial"/>
          <w:sz w:val="20"/>
          <w:szCs w:val="20"/>
        </w:rPr>
        <w:t>devendo a fixação dessas se dar em valor nominal expresso</w:t>
      </w:r>
      <w:r w:rsidR="00017EBA">
        <w:rPr>
          <w:rFonts w:ascii="Arial" w:hAnsi="Arial" w:cs="Arial"/>
          <w:sz w:val="20"/>
          <w:szCs w:val="20"/>
        </w:rPr>
        <w:t>.</w:t>
      </w:r>
      <w:r w:rsidR="00190B94">
        <w:rPr>
          <w:rFonts w:ascii="Arial" w:hAnsi="Arial" w:cs="Arial"/>
          <w:sz w:val="20"/>
          <w:szCs w:val="20"/>
        </w:rPr>
        <w:t xml:space="preserve"> </w:t>
      </w:r>
      <w:r w:rsidR="00190B94" w:rsidRPr="00190B94">
        <w:rPr>
          <w:rFonts w:ascii="Arial" w:hAnsi="Arial" w:cs="Arial"/>
          <w:sz w:val="20"/>
          <w:szCs w:val="20"/>
        </w:rPr>
        <w:t>Uma vez que não foram apresentados documentos que efetivamente comprovem as despesas realizadas a título de "despesas com projeto” ou “taxas administrativas”, deve permanecer a irregularidade das contas, nos termos propostos pela Unidade Técnica e corroborados pelo Ministério Público de Contas.</w:t>
      </w:r>
    </w:p>
    <w:p w:rsidR="00487D31" w:rsidRPr="00123D02" w:rsidRDefault="00487D31" w:rsidP="00487D3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3D02">
        <w:rPr>
          <w:rFonts w:ascii="Arial" w:hAnsi="Arial" w:cs="Arial"/>
          <w:sz w:val="20"/>
          <w:szCs w:val="20"/>
        </w:rPr>
        <w:t xml:space="preserve">Processo n° </w:t>
      </w:r>
      <w:r w:rsidR="00190B94">
        <w:rPr>
          <w:rFonts w:ascii="Arial" w:hAnsi="Arial" w:cs="Arial"/>
          <w:sz w:val="20"/>
          <w:szCs w:val="20"/>
        </w:rPr>
        <w:t>444957/16</w:t>
      </w:r>
      <w:r w:rsidRPr="00123D02">
        <w:rPr>
          <w:sz w:val="20"/>
          <w:szCs w:val="20"/>
        </w:rPr>
        <w:t xml:space="preserve"> </w:t>
      </w:r>
      <w:r w:rsidR="00190B94">
        <w:rPr>
          <w:sz w:val="20"/>
          <w:szCs w:val="20"/>
        </w:rPr>
        <w:t>-</w:t>
      </w:r>
      <w:r w:rsidRPr="00123D02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C43D8B">
          <w:rPr>
            <w:rStyle w:val="Hyperlink"/>
            <w:rFonts w:ascii="Arial" w:hAnsi="Arial" w:cs="Arial"/>
            <w:sz w:val="20"/>
            <w:szCs w:val="20"/>
          </w:rPr>
          <w:t>Acórdão</w:t>
        </w:r>
        <w:r w:rsidR="00766834" w:rsidRPr="00C43D8B">
          <w:rPr>
            <w:rStyle w:val="Hyperlink"/>
            <w:rFonts w:ascii="Arial" w:hAnsi="Arial" w:cs="Arial"/>
            <w:sz w:val="20"/>
            <w:szCs w:val="20"/>
          </w:rPr>
          <w:t xml:space="preserve"> n° </w:t>
        </w:r>
        <w:r w:rsidR="00190B94" w:rsidRPr="00C43D8B">
          <w:rPr>
            <w:rStyle w:val="Hyperlink"/>
            <w:rFonts w:ascii="Arial" w:hAnsi="Arial" w:cs="Arial"/>
            <w:sz w:val="20"/>
            <w:szCs w:val="20"/>
          </w:rPr>
          <w:t>26/17</w:t>
        </w:r>
        <w:r w:rsidRPr="00C43D8B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7D009C" w:rsidRPr="00C43D8B">
          <w:rPr>
            <w:rStyle w:val="Hyperlink"/>
            <w:rFonts w:ascii="Arial" w:hAnsi="Arial" w:cs="Arial"/>
            <w:sz w:val="20"/>
            <w:szCs w:val="20"/>
          </w:rPr>
          <w:t>-</w:t>
        </w:r>
        <w:r w:rsidRPr="00C43D8B">
          <w:rPr>
            <w:rStyle w:val="Hyperlink"/>
            <w:rFonts w:ascii="Arial" w:hAnsi="Arial" w:cs="Arial"/>
            <w:sz w:val="20"/>
            <w:szCs w:val="20"/>
          </w:rPr>
          <w:t xml:space="preserve"> Tribunal Pleno</w:t>
        </w:r>
      </w:hyperlink>
      <w:r w:rsidRPr="00123D02">
        <w:rPr>
          <w:rFonts w:ascii="Arial" w:hAnsi="Arial" w:cs="Arial"/>
          <w:sz w:val="20"/>
          <w:szCs w:val="20"/>
        </w:rPr>
        <w:t xml:space="preserve"> </w:t>
      </w:r>
      <w:r w:rsidR="00190B94">
        <w:rPr>
          <w:rFonts w:ascii="Arial" w:hAnsi="Arial" w:cs="Arial"/>
          <w:sz w:val="20"/>
          <w:szCs w:val="20"/>
        </w:rPr>
        <w:t>-</w:t>
      </w:r>
      <w:r w:rsidRPr="00123D02">
        <w:rPr>
          <w:rFonts w:ascii="Arial" w:hAnsi="Arial" w:cs="Arial"/>
          <w:sz w:val="20"/>
          <w:szCs w:val="20"/>
        </w:rPr>
        <w:t xml:space="preserve"> Rel</w:t>
      </w:r>
      <w:r w:rsidR="007D009C" w:rsidRPr="00123D02">
        <w:rPr>
          <w:rFonts w:ascii="Arial" w:hAnsi="Arial" w:cs="Arial"/>
          <w:sz w:val="20"/>
          <w:szCs w:val="20"/>
        </w:rPr>
        <w:t>.</w:t>
      </w:r>
      <w:r w:rsidRPr="00123D02">
        <w:rPr>
          <w:rFonts w:ascii="Arial" w:hAnsi="Arial" w:cs="Arial"/>
          <w:sz w:val="20"/>
          <w:szCs w:val="20"/>
        </w:rPr>
        <w:t xml:space="preserve"> </w:t>
      </w:r>
      <w:r w:rsidR="006C7A04">
        <w:rPr>
          <w:rFonts w:ascii="Arial" w:hAnsi="Arial" w:cs="Arial"/>
          <w:sz w:val="20"/>
          <w:szCs w:val="20"/>
        </w:rPr>
        <w:t xml:space="preserve">Conselheiro </w:t>
      </w:r>
      <w:r w:rsidR="00190B94">
        <w:rPr>
          <w:rFonts w:ascii="Arial" w:hAnsi="Arial" w:cs="Arial"/>
          <w:sz w:val="20"/>
          <w:szCs w:val="20"/>
        </w:rPr>
        <w:t xml:space="preserve">Ivens Zschoerper Linhares. </w:t>
      </w:r>
    </w:p>
    <w:p w:rsidR="00D97059" w:rsidRDefault="00D97059" w:rsidP="00F46C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09E8" w:rsidRPr="00070B14" w:rsidRDefault="006D6FCC" w:rsidP="00F46C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70B14">
        <w:rPr>
          <w:rFonts w:ascii="Arial" w:hAnsi="Arial" w:cs="Arial"/>
          <w:b/>
          <w:sz w:val="20"/>
          <w:szCs w:val="20"/>
        </w:rPr>
        <w:t xml:space="preserve">5. Recurso de Revisão. </w:t>
      </w:r>
      <w:r w:rsidR="00894CA0" w:rsidRPr="00070B14">
        <w:rPr>
          <w:rFonts w:ascii="Arial" w:hAnsi="Arial" w:cs="Arial"/>
          <w:b/>
          <w:sz w:val="20"/>
          <w:szCs w:val="20"/>
        </w:rPr>
        <w:t xml:space="preserve">Lei n° 9.790/99. </w:t>
      </w:r>
      <w:r w:rsidRPr="00070B14">
        <w:rPr>
          <w:rFonts w:ascii="Arial" w:hAnsi="Arial" w:cs="Arial"/>
          <w:b/>
          <w:sz w:val="20"/>
          <w:szCs w:val="20"/>
        </w:rPr>
        <w:t>Cooperação com o poder público</w:t>
      </w:r>
      <w:r w:rsidR="00894CA0" w:rsidRPr="00070B14">
        <w:rPr>
          <w:rFonts w:ascii="Arial" w:hAnsi="Arial" w:cs="Arial"/>
          <w:b/>
          <w:sz w:val="20"/>
          <w:szCs w:val="20"/>
        </w:rPr>
        <w:t xml:space="preserve">. </w:t>
      </w:r>
      <w:r w:rsidR="00845BB4" w:rsidRPr="00070B14">
        <w:rPr>
          <w:rFonts w:ascii="Arial" w:hAnsi="Arial" w:cs="Arial"/>
          <w:b/>
          <w:sz w:val="20"/>
          <w:szCs w:val="20"/>
        </w:rPr>
        <w:t>Termo de Parceria não se limitou à execução</w:t>
      </w:r>
      <w:r w:rsidR="006331E3">
        <w:rPr>
          <w:rFonts w:ascii="Arial" w:hAnsi="Arial" w:cs="Arial"/>
          <w:b/>
          <w:sz w:val="20"/>
          <w:szCs w:val="20"/>
        </w:rPr>
        <w:t xml:space="preserve"> de serviços públicos de forma </w:t>
      </w:r>
      <w:proofErr w:type="gramStart"/>
      <w:r w:rsidR="006331E3">
        <w:rPr>
          <w:rFonts w:ascii="Arial" w:hAnsi="Arial" w:cs="Arial"/>
          <w:b/>
          <w:sz w:val="20"/>
          <w:szCs w:val="20"/>
        </w:rPr>
        <w:t>c</w:t>
      </w:r>
      <w:r w:rsidR="00845BB4" w:rsidRPr="00070B14">
        <w:rPr>
          <w:rFonts w:ascii="Arial" w:hAnsi="Arial" w:cs="Arial"/>
          <w:b/>
          <w:sz w:val="20"/>
          <w:szCs w:val="20"/>
        </w:rPr>
        <w:t>omplementar</w:t>
      </w:r>
      <w:proofErr w:type="gramEnd"/>
      <w:r w:rsidR="00845BB4" w:rsidRPr="00070B14">
        <w:rPr>
          <w:rFonts w:ascii="Arial" w:hAnsi="Arial" w:cs="Arial"/>
          <w:b/>
          <w:sz w:val="20"/>
          <w:szCs w:val="20"/>
        </w:rPr>
        <w:t>.</w:t>
      </w:r>
      <w:r w:rsidR="00A309E8" w:rsidRPr="00070B14">
        <w:rPr>
          <w:rFonts w:ascii="Arial" w:hAnsi="Arial" w:cs="Arial"/>
          <w:b/>
          <w:sz w:val="20"/>
          <w:szCs w:val="20"/>
        </w:rPr>
        <w:t xml:space="preserve"> Conhecimento e Não Provimento. </w:t>
      </w:r>
    </w:p>
    <w:p w:rsidR="00A309E8" w:rsidRDefault="00A309E8" w:rsidP="00F46C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09E8" w:rsidRPr="006C7A04" w:rsidRDefault="00A309E8" w:rsidP="00A309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A04">
        <w:rPr>
          <w:rFonts w:ascii="Arial" w:hAnsi="Arial" w:cs="Arial"/>
          <w:sz w:val="20"/>
          <w:szCs w:val="20"/>
        </w:rPr>
        <w:t xml:space="preserve">No que diz respeito à alegação de infringência da Lei nº 9.790/99, segundo o qual as entidades qualificadas como </w:t>
      </w:r>
      <w:proofErr w:type="spellStart"/>
      <w:r w:rsidRPr="006C7A04">
        <w:rPr>
          <w:rFonts w:ascii="Arial" w:hAnsi="Arial" w:cs="Arial"/>
          <w:sz w:val="20"/>
          <w:szCs w:val="20"/>
        </w:rPr>
        <w:t>OSCIP</w:t>
      </w:r>
      <w:r w:rsidR="006331E3">
        <w:rPr>
          <w:rFonts w:ascii="Arial" w:hAnsi="Arial" w:cs="Arial"/>
          <w:sz w:val="20"/>
          <w:szCs w:val="20"/>
        </w:rPr>
        <w:t>s</w:t>
      </w:r>
      <w:proofErr w:type="spellEnd"/>
      <w:r w:rsidRPr="006C7A04">
        <w:rPr>
          <w:rFonts w:ascii="Arial" w:hAnsi="Arial" w:cs="Arial"/>
          <w:sz w:val="20"/>
          <w:szCs w:val="20"/>
        </w:rPr>
        <w:t xml:space="preserve"> poderão firmar vínculo de cooperação com o poder público, consoante destacado pelo Acórdão recorrido, não se mostra possível vislumbrar que houve uma </w:t>
      </w:r>
      <w:r w:rsidRPr="006C7A04">
        <w:rPr>
          <w:rFonts w:ascii="Arial" w:hAnsi="Arial" w:cs="Arial"/>
          <w:bCs/>
          <w:sz w:val="20"/>
          <w:szCs w:val="20"/>
        </w:rPr>
        <w:t>comunhão de esforços entre o Município e a entidade</w:t>
      </w:r>
      <w:r w:rsidRPr="006C7A04">
        <w:rPr>
          <w:rFonts w:ascii="Arial" w:hAnsi="Arial" w:cs="Arial"/>
          <w:sz w:val="20"/>
          <w:szCs w:val="20"/>
        </w:rPr>
        <w:t xml:space="preserve">, na medida em que o Termo de Parceria não se limitou à execução de serviços públicos de forma </w:t>
      </w:r>
      <w:proofErr w:type="gramStart"/>
      <w:r w:rsidRPr="006C7A04">
        <w:rPr>
          <w:rFonts w:ascii="Arial" w:hAnsi="Arial" w:cs="Arial"/>
          <w:sz w:val="20"/>
          <w:szCs w:val="20"/>
        </w:rPr>
        <w:t>complementar</w:t>
      </w:r>
      <w:proofErr w:type="gramEnd"/>
      <w:r w:rsidRPr="006C7A04">
        <w:rPr>
          <w:rFonts w:ascii="Arial" w:hAnsi="Arial" w:cs="Arial"/>
          <w:sz w:val="20"/>
          <w:szCs w:val="20"/>
        </w:rPr>
        <w:t>. Diversamente, houve uma transferência da prestação dos serviços públicos à entidade privada, que passou a atuar como mera fornecedora de mão de obra.</w:t>
      </w:r>
    </w:p>
    <w:p w:rsidR="00A309E8" w:rsidRPr="006C7A04" w:rsidRDefault="00A309E8" w:rsidP="00F46C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789D" w:rsidRDefault="006C7A04" w:rsidP="00F46C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Processo n° 283449/16 - </w:t>
      </w:r>
      <w:hyperlink r:id="rId13" w:history="1">
        <w:r w:rsidRPr="00C6789D">
          <w:rPr>
            <w:rStyle w:val="Hyperlink"/>
            <w:rFonts w:ascii="Arial" w:hAnsi="Arial" w:cs="Arial"/>
            <w:sz w:val="20"/>
            <w:szCs w:val="20"/>
          </w:rPr>
          <w:t>Acórdão n° 22/17 - Tribunal Pleno</w:t>
        </w:r>
      </w:hyperlink>
      <w:r>
        <w:rPr>
          <w:rFonts w:ascii="Arial" w:hAnsi="Arial" w:cs="Arial"/>
          <w:sz w:val="20"/>
          <w:szCs w:val="20"/>
        </w:rPr>
        <w:t xml:space="preserve"> - Rel. Conselheiro </w:t>
      </w:r>
      <w:r w:rsidR="00C6789D">
        <w:rPr>
          <w:rFonts w:ascii="Arial" w:hAnsi="Arial" w:cs="Arial"/>
          <w:sz w:val="20"/>
          <w:szCs w:val="20"/>
        </w:rPr>
        <w:t xml:space="preserve">Fabio de Souza Camargo. </w:t>
      </w:r>
    </w:p>
    <w:p w:rsidR="00501FC7" w:rsidRDefault="00501FC7" w:rsidP="00F46C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0AB8" w:rsidRDefault="00501FC7" w:rsidP="00501F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070B14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Medida Cautelar Inominada. </w:t>
      </w:r>
      <w:r w:rsidR="006331E3">
        <w:rPr>
          <w:rFonts w:ascii="Arial" w:hAnsi="Arial" w:cs="Arial"/>
          <w:b/>
          <w:sz w:val="20"/>
          <w:szCs w:val="20"/>
        </w:rPr>
        <w:t>Abstenção de efetivar p</w:t>
      </w:r>
      <w:r w:rsidR="00D70A39">
        <w:rPr>
          <w:rFonts w:ascii="Arial" w:hAnsi="Arial" w:cs="Arial"/>
          <w:b/>
          <w:sz w:val="20"/>
          <w:szCs w:val="20"/>
        </w:rPr>
        <w:t>agamentos a Vereadores e/ou President</w:t>
      </w:r>
      <w:r w:rsidR="006331E3">
        <w:rPr>
          <w:rFonts w:ascii="Arial" w:hAnsi="Arial" w:cs="Arial"/>
          <w:b/>
          <w:sz w:val="20"/>
          <w:szCs w:val="20"/>
        </w:rPr>
        <w:t>es de Câmaras que se encontrem p</w:t>
      </w:r>
      <w:r w:rsidR="00D70A39">
        <w:rPr>
          <w:rFonts w:ascii="Arial" w:hAnsi="Arial" w:cs="Arial"/>
          <w:b/>
          <w:sz w:val="20"/>
          <w:szCs w:val="20"/>
        </w:rPr>
        <w:t>resos.</w:t>
      </w:r>
      <w:r w:rsidR="00E90AB8">
        <w:rPr>
          <w:rFonts w:ascii="Arial" w:hAnsi="Arial" w:cs="Arial"/>
          <w:b/>
          <w:sz w:val="20"/>
          <w:szCs w:val="20"/>
        </w:rPr>
        <w:t xml:space="preserve"> Deliberação Plenária. Ratificação.</w:t>
      </w:r>
    </w:p>
    <w:p w:rsidR="00E90AB8" w:rsidRDefault="00E90AB8" w:rsidP="00501F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85728" w:rsidRDefault="002F0BE9" w:rsidP="00985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CF6B3F">
        <w:rPr>
          <w:rFonts w:ascii="Arial" w:hAnsi="Arial" w:cs="Arial"/>
          <w:sz w:val="20"/>
          <w:szCs w:val="20"/>
        </w:rPr>
        <w:t>No âmbito desta Corte de Contas, há Consulta da Câmara Municipal de Palmas n</w:t>
      </w:r>
      <w:r w:rsidR="00B57ADA">
        <w:rPr>
          <w:rFonts w:ascii="Arial" w:hAnsi="Arial" w:cs="Arial"/>
          <w:sz w:val="20"/>
          <w:szCs w:val="20"/>
        </w:rPr>
        <w:t>a</w:t>
      </w:r>
      <w:r w:rsidRPr="00CF6B3F">
        <w:rPr>
          <w:rFonts w:ascii="Arial" w:hAnsi="Arial" w:cs="Arial"/>
          <w:sz w:val="20"/>
          <w:szCs w:val="20"/>
        </w:rPr>
        <w:t xml:space="preserve"> qual foi exarado o Acórdão n° 2376/12 </w:t>
      </w:r>
      <w:r w:rsidR="00CF6B3F" w:rsidRPr="00CF6B3F">
        <w:rPr>
          <w:rFonts w:ascii="Arial" w:hAnsi="Arial" w:cs="Arial"/>
          <w:sz w:val="20"/>
          <w:szCs w:val="20"/>
        </w:rPr>
        <w:t>-</w:t>
      </w:r>
      <w:r w:rsidRPr="00CF6B3F">
        <w:rPr>
          <w:rFonts w:ascii="Arial" w:hAnsi="Arial" w:cs="Arial"/>
          <w:sz w:val="20"/>
          <w:szCs w:val="20"/>
        </w:rPr>
        <w:t xml:space="preserve"> Tribunal Pleno que pacificou o seguinte</w:t>
      </w:r>
      <w:r w:rsidR="00CF6B3F" w:rsidRPr="00CF6B3F">
        <w:rPr>
          <w:rFonts w:ascii="Arial" w:hAnsi="Arial" w:cs="Arial"/>
          <w:sz w:val="20"/>
          <w:szCs w:val="20"/>
        </w:rPr>
        <w:t xml:space="preserve"> entendimento sobre o tema: </w:t>
      </w:r>
      <w:r w:rsidR="00CF6B3F" w:rsidRPr="00CF6B3F">
        <w:rPr>
          <w:rFonts w:ascii="Arial" w:hAnsi="Arial" w:cs="Arial"/>
          <w:i/>
          <w:iCs/>
          <w:sz w:val="20"/>
          <w:szCs w:val="20"/>
        </w:rPr>
        <w:t>“A impossibilidade de vereador desempenhar</w:t>
      </w:r>
      <w:r w:rsidR="00CF6B3F">
        <w:rPr>
          <w:rFonts w:ascii="Arial" w:hAnsi="Arial" w:cs="Arial"/>
          <w:i/>
          <w:iCs/>
          <w:sz w:val="20"/>
          <w:szCs w:val="20"/>
        </w:rPr>
        <w:t xml:space="preserve"> </w:t>
      </w:r>
      <w:r w:rsidR="00CF6B3F" w:rsidRPr="00CF6B3F">
        <w:rPr>
          <w:rFonts w:ascii="Arial" w:hAnsi="Arial" w:cs="Arial"/>
          <w:i/>
          <w:iCs/>
          <w:sz w:val="20"/>
          <w:szCs w:val="20"/>
        </w:rPr>
        <w:t>suas funções por força de decisão judicial que determinou a sua</w:t>
      </w:r>
      <w:r w:rsidR="00CF6B3F">
        <w:rPr>
          <w:rFonts w:ascii="Arial" w:hAnsi="Arial" w:cs="Arial"/>
          <w:i/>
          <w:iCs/>
          <w:sz w:val="20"/>
          <w:szCs w:val="20"/>
        </w:rPr>
        <w:t xml:space="preserve"> </w:t>
      </w:r>
      <w:r w:rsidR="00CF6B3F" w:rsidRPr="00CF6B3F">
        <w:rPr>
          <w:rFonts w:ascii="Arial" w:hAnsi="Arial" w:cs="Arial"/>
          <w:i/>
          <w:iCs/>
          <w:sz w:val="20"/>
          <w:szCs w:val="20"/>
        </w:rPr>
        <w:t>prisão, caracteriza impedimento temporário para o exercício do</w:t>
      </w:r>
      <w:r w:rsidR="00CF6B3F">
        <w:rPr>
          <w:rFonts w:ascii="Arial" w:hAnsi="Arial" w:cs="Arial"/>
          <w:i/>
          <w:iCs/>
          <w:sz w:val="20"/>
          <w:szCs w:val="20"/>
        </w:rPr>
        <w:t xml:space="preserve"> </w:t>
      </w:r>
      <w:r w:rsidR="00CF6B3F" w:rsidRPr="00CF6B3F">
        <w:rPr>
          <w:rFonts w:ascii="Arial" w:hAnsi="Arial" w:cs="Arial"/>
          <w:i/>
          <w:iCs/>
          <w:sz w:val="20"/>
          <w:szCs w:val="20"/>
        </w:rPr>
        <w:t>mandato, impondo a suspensão do pagamento de seu subsídio</w:t>
      </w:r>
      <w:r w:rsidR="00CF6B3F">
        <w:rPr>
          <w:rFonts w:ascii="Arial" w:hAnsi="Arial" w:cs="Arial"/>
          <w:i/>
          <w:iCs/>
          <w:sz w:val="20"/>
          <w:szCs w:val="20"/>
        </w:rPr>
        <w:t xml:space="preserve"> </w:t>
      </w:r>
      <w:r w:rsidR="00CF6B3F" w:rsidRPr="00CF6B3F">
        <w:rPr>
          <w:rFonts w:ascii="Arial" w:hAnsi="Arial" w:cs="Arial"/>
          <w:i/>
          <w:iCs/>
          <w:sz w:val="20"/>
          <w:szCs w:val="20"/>
        </w:rPr>
        <w:t>mensal por deliberação da Câmara Municipal, nos termos</w:t>
      </w:r>
      <w:r w:rsidR="00CF6B3F">
        <w:rPr>
          <w:rFonts w:ascii="Arial" w:hAnsi="Arial" w:cs="Arial"/>
          <w:i/>
          <w:iCs/>
          <w:sz w:val="20"/>
          <w:szCs w:val="20"/>
        </w:rPr>
        <w:t xml:space="preserve"> </w:t>
      </w:r>
      <w:r w:rsidR="00CF6B3F" w:rsidRPr="00CF6B3F">
        <w:rPr>
          <w:rFonts w:ascii="Arial" w:hAnsi="Arial" w:cs="Arial"/>
          <w:i/>
          <w:iCs/>
          <w:sz w:val="20"/>
          <w:szCs w:val="20"/>
        </w:rPr>
        <w:t>regimentais e da Lei Orgânica do Município, assegurado o exercício</w:t>
      </w:r>
      <w:r w:rsidR="00CF6B3F">
        <w:rPr>
          <w:rFonts w:ascii="Arial" w:hAnsi="Arial" w:cs="Arial"/>
          <w:i/>
          <w:iCs/>
          <w:sz w:val="20"/>
          <w:szCs w:val="20"/>
        </w:rPr>
        <w:t xml:space="preserve"> </w:t>
      </w:r>
      <w:r w:rsidR="00CF6B3F" w:rsidRPr="00CF6B3F">
        <w:rPr>
          <w:rFonts w:ascii="Arial" w:hAnsi="Arial" w:cs="Arial"/>
          <w:i/>
          <w:iCs/>
          <w:sz w:val="20"/>
          <w:szCs w:val="20"/>
        </w:rPr>
        <w:t>do direito de defesa.”</w:t>
      </w:r>
    </w:p>
    <w:p w:rsidR="00747EAE" w:rsidRDefault="00747EAE" w:rsidP="00985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CF6B3F" w:rsidRDefault="0087076A" w:rsidP="00985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Desta feita, o Pleno do TCE/PR determinou </w:t>
      </w:r>
      <w:r w:rsidR="00985728" w:rsidRPr="00985728">
        <w:rPr>
          <w:rFonts w:ascii="Arial" w:hAnsi="Arial" w:cs="Arial"/>
          <w:sz w:val="20"/>
          <w:szCs w:val="20"/>
        </w:rPr>
        <w:t xml:space="preserve">que a COFIM </w:t>
      </w:r>
      <w:proofErr w:type="gramStart"/>
      <w:r w:rsidR="00985728" w:rsidRPr="00985728">
        <w:rPr>
          <w:rFonts w:ascii="Arial" w:hAnsi="Arial" w:cs="Arial"/>
          <w:sz w:val="20"/>
          <w:szCs w:val="20"/>
        </w:rPr>
        <w:t>verifique</w:t>
      </w:r>
      <w:proofErr w:type="gramEnd"/>
      <w:r w:rsidR="00985728" w:rsidRPr="00985728">
        <w:rPr>
          <w:rFonts w:ascii="Arial" w:hAnsi="Arial" w:cs="Arial"/>
          <w:sz w:val="20"/>
          <w:szCs w:val="20"/>
        </w:rPr>
        <w:t>, no âmbito de suas</w:t>
      </w:r>
      <w:r w:rsidR="00985728">
        <w:rPr>
          <w:rFonts w:ascii="Arial" w:hAnsi="Arial" w:cs="Arial"/>
          <w:sz w:val="20"/>
          <w:szCs w:val="20"/>
        </w:rPr>
        <w:t xml:space="preserve"> </w:t>
      </w:r>
      <w:r w:rsidR="00985728" w:rsidRPr="00985728">
        <w:rPr>
          <w:rFonts w:ascii="Arial" w:hAnsi="Arial" w:cs="Arial"/>
          <w:sz w:val="20"/>
          <w:szCs w:val="20"/>
        </w:rPr>
        <w:t>atribuições, conforme o art. 158, inciso XVII do Regimento Interno, a ocorrência de</w:t>
      </w:r>
      <w:r w:rsidR="00985728">
        <w:rPr>
          <w:rFonts w:ascii="Arial" w:hAnsi="Arial" w:cs="Arial"/>
          <w:sz w:val="20"/>
          <w:szCs w:val="20"/>
        </w:rPr>
        <w:t xml:space="preserve"> </w:t>
      </w:r>
      <w:r w:rsidR="00985728" w:rsidRPr="00985728">
        <w:rPr>
          <w:rFonts w:ascii="Arial" w:hAnsi="Arial" w:cs="Arial"/>
          <w:sz w:val="20"/>
          <w:szCs w:val="20"/>
        </w:rPr>
        <w:t>eventual descumprimento da presente medida cautelar, e produza relatório</w:t>
      </w:r>
      <w:r w:rsidR="00985728">
        <w:rPr>
          <w:rFonts w:ascii="Arial" w:hAnsi="Arial" w:cs="Arial"/>
          <w:sz w:val="20"/>
          <w:szCs w:val="20"/>
        </w:rPr>
        <w:t xml:space="preserve"> </w:t>
      </w:r>
      <w:r w:rsidR="00985728" w:rsidRPr="00985728">
        <w:rPr>
          <w:rFonts w:ascii="Arial" w:hAnsi="Arial" w:cs="Arial"/>
          <w:sz w:val="20"/>
          <w:szCs w:val="20"/>
        </w:rPr>
        <w:t>pormenorizado, nominando os ordenadores das despesas ilegais, inclusive com o</w:t>
      </w:r>
      <w:r w:rsidR="00985728">
        <w:rPr>
          <w:rFonts w:ascii="Arial" w:hAnsi="Arial" w:cs="Arial"/>
          <w:sz w:val="20"/>
          <w:szCs w:val="20"/>
        </w:rPr>
        <w:t xml:space="preserve"> </w:t>
      </w:r>
      <w:r w:rsidR="00985728" w:rsidRPr="00985728">
        <w:rPr>
          <w:rFonts w:ascii="Arial" w:hAnsi="Arial" w:cs="Arial"/>
          <w:i/>
          <w:iCs/>
          <w:sz w:val="20"/>
          <w:szCs w:val="20"/>
        </w:rPr>
        <w:t xml:space="preserve">“quantum </w:t>
      </w:r>
      <w:proofErr w:type="spellStart"/>
      <w:r w:rsidR="00985728" w:rsidRPr="00985728">
        <w:rPr>
          <w:rFonts w:ascii="Arial" w:hAnsi="Arial" w:cs="Arial"/>
          <w:i/>
          <w:iCs/>
          <w:sz w:val="20"/>
          <w:szCs w:val="20"/>
        </w:rPr>
        <w:t>debeatur</w:t>
      </w:r>
      <w:proofErr w:type="spellEnd"/>
      <w:r w:rsidR="00985728" w:rsidRPr="00985728">
        <w:rPr>
          <w:rFonts w:ascii="Arial" w:hAnsi="Arial" w:cs="Arial"/>
          <w:i/>
          <w:iCs/>
          <w:sz w:val="20"/>
          <w:szCs w:val="20"/>
        </w:rPr>
        <w:t xml:space="preserve">” </w:t>
      </w:r>
      <w:r w:rsidR="00985728" w:rsidRPr="00985728">
        <w:rPr>
          <w:rFonts w:ascii="Arial" w:hAnsi="Arial" w:cs="Arial"/>
          <w:sz w:val="20"/>
          <w:szCs w:val="20"/>
        </w:rPr>
        <w:t>a ser restituído aos cofres municipais, com imputação da multa</w:t>
      </w:r>
      <w:r w:rsidR="00985728">
        <w:rPr>
          <w:rFonts w:ascii="Arial" w:hAnsi="Arial" w:cs="Arial"/>
          <w:sz w:val="20"/>
          <w:szCs w:val="20"/>
        </w:rPr>
        <w:t xml:space="preserve"> </w:t>
      </w:r>
      <w:r w:rsidR="00985728" w:rsidRPr="00985728">
        <w:rPr>
          <w:rFonts w:ascii="Arial" w:hAnsi="Arial" w:cs="Arial"/>
          <w:sz w:val="20"/>
          <w:szCs w:val="20"/>
        </w:rPr>
        <w:t xml:space="preserve">do art. 87, III, “f”, no valor de 30 (trinta) vezes a </w:t>
      </w:r>
      <w:r w:rsidR="00985728" w:rsidRPr="00985728">
        <w:rPr>
          <w:rFonts w:ascii="Arial" w:hAnsi="Arial" w:cs="Arial"/>
          <w:sz w:val="20"/>
          <w:szCs w:val="20"/>
        </w:rPr>
        <w:lastRenderedPageBreak/>
        <w:t>Unidade Padrão Fiscal do Estado do</w:t>
      </w:r>
      <w:r w:rsidR="00985728">
        <w:rPr>
          <w:rFonts w:ascii="Arial" w:hAnsi="Arial" w:cs="Arial"/>
          <w:sz w:val="20"/>
          <w:szCs w:val="20"/>
        </w:rPr>
        <w:t xml:space="preserve"> </w:t>
      </w:r>
      <w:r w:rsidR="00985728" w:rsidRPr="00985728">
        <w:rPr>
          <w:rFonts w:ascii="Arial" w:hAnsi="Arial" w:cs="Arial"/>
          <w:sz w:val="20"/>
          <w:szCs w:val="20"/>
        </w:rPr>
        <w:t xml:space="preserve">Paraná </w:t>
      </w:r>
      <w:r w:rsidR="00985728">
        <w:rPr>
          <w:rFonts w:ascii="Arial" w:hAnsi="Arial" w:cs="Arial"/>
          <w:sz w:val="20"/>
          <w:szCs w:val="20"/>
        </w:rPr>
        <w:t>-</w:t>
      </w:r>
      <w:r w:rsidR="00985728" w:rsidRPr="00985728">
        <w:rPr>
          <w:rFonts w:ascii="Arial" w:hAnsi="Arial" w:cs="Arial"/>
          <w:sz w:val="20"/>
          <w:szCs w:val="20"/>
        </w:rPr>
        <w:t xml:space="preserve"> UPFPR, na presente data no valor de R$2.849,10 (dois mil, oitocentos e</w:t>
      </w:r>
      <w:r w:rsidR="00985728">
        <w:rPr>
          <w:rFonts w:ascii="Arial" w:hAnsi="Arial" w:cs="Arial"/>
          <w:sz w:val="20"/>
          <w:szCs w:val="20"/>
        </w:rPr>
        <w:t xml:space="preserve"> </w:t>
      </w:r>
      <w:r w:rsidR="00985728" w:rsidRPr="00985728">
        <w:rPr>
          <w:rFonts w:ascii="Arial" w:hAnsi="Arial" w:cs="Arial"/>
          <w:sz w:val="20"/>
          <w:szCs w:val="20"/>
        </w:rPr>
        <w:t>quarenta e nove reais e dez centavos), para cada ato administrativo de pagamento</w:t>
      </w:r>
      <w:r w:rsidR="00985728">
        <w:rPr>
          <w:rFonts w:ascii="Arial" w:hAnsi="Arial" w:cs="Arial"/>
          <w:sz w:val="20"/>
          <w:szCs w:val="20"/>
        </w:rPr>
        <w:t xml:space="preserve"> </w:t>
      </w:r>
      <w:r w:rsidR="00985728" w:rsidRPr="00985728">
        <w:rPr>
          <w:rFonts w:ascii="Arial" w:hAnsi="Arial" w:cs="Arial"/>
          <w:sz w:val="20"/>
          <w:szCs w:val="20"/>
        </w:rPr>
        <w:t>específico para vereador, inquinado de ilegalidade</w:t>
      </w:r>
      <w:r w:rsidR="00985728">
        <w:rPr>
          <w:rFonts w:ascii="Arial" w:hAnsi="Arial" w:cs="Arial"/>
          <w:sz w:val="20"/>
          <w:szCs w:val="20"/>
        </w:rPr>
        <w:t>.</w:t>
      </w:r>
    </w:p>
    <w:p w:rsidR="00985728" w:rsidRDefault="00985728" w:rsidP="00985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3716" w:rsidRDefault="00985728" w:rsidP="00985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Processo n° 42396/17 </w:t>
      </w:r>
      <w:r w:rsidR="00750DE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Pr="00BD2B5E">
          <w:rPr>
            <w:rStyle w:val="Hyperlink"/>
            <w:rFonts w:ascii="Arial" w:hAnsi="Arial" w:cs="Arial"/>
            <w:sz w:val="20"/>
            <w:szCs w:val="20"/>
          </w:rPr>
          <w:t>Acórdão</w:t>
        </w:r>
        <w:r w:rsidR="00750DEB" w:rsidRPr="00BD2B5E">
          <w:rPr>
            <w:rStyle w:val="Hyperlink"/>
            <w:rFonts w:ascii="Arial" w:hAnsi="Arial" w:cs="Arial"/>
            <w:sz w:val="20"/>
            <w:szCs w:val="20"/>
          </w:rPr>
          <w:t xml:space="preserve"> n° 10/17 - Tribunal Pleno</w:t>
        </w:r>
      </w:hyperlink>
      <w:r w:rsidR="00750DEB">
        <w:rPr>
          <w:rFonts w:ascii="Arial" w:hAnsi="Arial" w:cs="Arial"/>
          <w:sz w:val="20"/>
          <w:szCs w:val="20"/>
        </w:rPr>
        <w:t xml:space="preserve"> - Rel. Conselheiro José Durval Mattos do Amaral.</w:t>
      </w:r>
    </w:p>
    <w:p w:rsidR="00AF3716" w:rsidRDefault="00AF3716" w:rsidP="00985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3716" w:rsidRDefault="00CA575F" w:rsidP="00AF37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AF3716" w:rsidRPr="00070B14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Prestação de Contas Anual. Servidores em Desvio de Função. Boa-fé</w:t>
      </w:r>
      <w:r w:rsidR="00620DEF">
        <w:rPr>
          <w:rFonts w:ascii="Arial" w:hAnsi="Arial" w:cs="Arial"/>
          <w:b/>
          <w:sz w:val="20"/>
          <w:szCs w:val="20"/>
        </w:rPr>
        <w:t>. Contratação de p</w:t>
      </w:r>
      <w:r w:rsidR="00FB04E9">
        <w:rPr>
          <w:rFonts w:ascii="Arial" w:hAnsi="Arial" w:cs="Arial"/>
          <w:b/>
          <w:sz w:val="20"/>
          <w:szCs w:val="20"/>
        </w:rPr>
        <w:t xml:space="preserve">essoal não depende apenas do Gestor. </w:t>
      </w:r>
      <w:r w:rsidR="00517B69">
        <w:rPr>
          <w:rFonts w:ascii="Arial" w:hAnsi="Arial" w:cs="Arial"/>
          <w:b/>
          <w:sz w:val="20"/>
          <w:szCs w:val="20"/>
        </w:rPr>
        <w:t>Regularidade das contas com R</w:t>
      </w:r>
      <w:r w:rsidR="00FB04E9">
        <w:rPr>
          <w:rFonts w:ascii="Arial" w:hAnsi="Arial" w:cs="Arial"/>
          <w:b/>
          <w:sz w:val="20"/>
          <w:szCs w:val="20"/>
        </w:rPr>
        <w:t xml:space="preserve">essalva. </w:t>
      </w:r>
    </w:p>
    <w:p w:rsidR="00985728" w:rsidRPr="00985728" w:rsidRDefault="00985728" w:rsidP="00985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D6FCC" w:rsidRPr="00932A3A" w:rsidRDefault="000A71D1" w:rsidP="00932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relação </w:t>
      </w:r>
      <w:r w:rsidR="005D58CE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situação dos </w:t>
      </w:r>
      <w:r w:rsidR="00932A3A" w:rsidRPr="00932A3A">
        <w:rPr>
          <w:rFonts w:ascii="Arial" w:hAnsi="Arial" w:cs="Arial"/>
          <w:sz w:val="20"/>
          <w:szCs w:val="20"/>
        </w:rPr>
        <w:t>funcionários em desvio de função, considerando que a entidade apresentou proposta para realização de concurso público, o que demonstra boa-fé para regularizar a situação e que a contratação de pessoal não depende apenas do gestor, o item pode ser convertido em ressalva.</w:t>
      </w:r>
    </w:p>
    <w:p w:rsidR="00AA0DFE" w:rsidRDefault="00AA0DFE" w:rsidP="00932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A71D1" w:rsidRDefault="000A71D1" w:rsidP="00932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50F">
        <w:rPr>
          <w:rFonts w:ascii="Arial" w:hAnsi="Arial" w:cs="Arial"/>
          <w:sz w:val="20"/>
          <w:szCs w:val="20"/>
        </w:rPr>
        <w:t>Processo n°</w:t>
      </w:r>
      <w:r w:rsidR="00447BB2" w:rsidRPr="0068250F">
        <w:rPr>
          <w:rFonts w:ascii="Arial" w:hAnsi="Arial" w:cs="Arial"/>
          <w:sz w:val="20"/>
          <w:szCs w:val="20"/>
        </w:rPr>
        <w:t xml:space="preserve"> 234096/15 - </w:t>
      </w:r>
      <w:hyperlink r:id="rId15" w:history="1">
        <w:r w:rsidR="00447BB2" w:rsidRPr="0046165B">
          <w:rPr>
            <w:rStyle w:val="Hyperlink"/>
            <w:rFonts w:ascii="Arial" w:hAnsi="Arial" w:cs="Arial"/>
            <w:sz w:val="20"/>
            <w:szCs w:val="20"/>
          </w:rPr>
          <w:t>Acórdão n° 24/17 - Tribunal Pleno</w:t>
        </w:r>
      </w:hyperlink>
      <w:r w:rsidR="00447BB2" w:rsidRPr="0068250F">
        <w:rPr>
          <w:rFonts w:ascii="Arial" w:hAnsi="Arial" w:cs="Arial"/>
          <w:sz w:val="20"/>
          <w:szCs w:val="20"/>
        </w:rPr>
        <w:t xml:space="preserve"> - Rel. Conselheiro Fabio de Souza Camargo.</w:t>
      </w:r>
    </w:p>
    <w:p w:rsidR="00BD109B" w:rsidRDefault="00BD109B" w:rsidP="00932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109B" w:rsidRDefault="00BD109B" w:rsidP="00BD10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Pr="00070B14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D109B">
        <w:rPr>
          <w:rFonts w:ascii="Arial" w:hAnsi="Arial" w:cs="Arial"/>
          <w:b/>
          <w:sz w:val="20"/>
          <w:szCs w:val="20"/>
        </w:rPr>
        <w:t>Recurso de revista. Prestação de contas de transferência. Termo de cumprimento de objetivos, não assinado pelo fiscal responsável do convênio. Regularização em sede recursal. Uniformização de Jurisprudência nº 08</w:t>
      </w:r>
      <w:r w:rsidR="00AD791C">
        <w:rPr>
          <w:rFonts w:ascii="Arial" w:hAnsi="Arial" w:cs="Arial"/>
          <w:b/>
          <w:sz w:val="20"/>
          <w:szCs w:val="20"/>
        </w:rPr>
        <w:t xml:space="preserve"> do TCE/PR</w:t>
      </w:r>
      <w:r w:rsidRPr="00BD109B">
        <w:rPr>
          <w:rFonts w:ascii="Arial" w:hAnsi="Arial" w:cs="Arial"/>
          <w:b/>
          <w:sz w:val="20"/>
          <w:szCs w:val="20"/>
        </w:rPr>
        <w:t xml:space="preserve">. Manutenção da ressalva. Exclusão de multa </w:t>
      </w:r>
      <w:r w:rsidR="00620DEF">
        <w:rPr>
          <w:rFonts w:ascii="Arial" w:hAnsi="Arial" w:cs="Arial"/>
          <w:b/>
          <w:sz w:val="20"/>
          <w:szCs w:val="20"/>
        </w:rPr>
        <w:t>administrativa. Conhecimento e P</w:t>
      </w:r>
      <w:r w:rsidRPr="00BD109B">
        <w:rPr>
          <w:rFonts w:ascii="Arial" w:hAnsi="Arial" w:cs="Arial"/>
          <w:b/>
          <w:sz w:val="20"/>
          <w:szCs w:val="20"/>
        </w:rPr>
        <w:t>rovimento.</w:t>
      </w:r>
    </w:p>
    <w:p w:rsidR="00BD109B" w:rsidRDefault="00BD109B" w:rsidP="00BD10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617CF" w:rsidRDefault="00056686" w:rsidP="000617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6686">
        <w:rPr>
          <w:rFonts w:ascii="Arial" w:hAnsi="Arial" w:cs="Arial"/>
          <w:sz w:val="20"/>
          <w:szCs w:val="20"/>
        </w:rPr>
        <w:t>A decisão recorrida aplicou multa administrativa à recorrente em</w:t>
      </w:r>
      <w:r>
        <w:rPr>
          <w:rFonts w:ascii="Arial" w:hAnsi="Arial" w:cs="Arial"/>
          <w:sz w:val="20"/>
          <w:szCs w:val="20"/>
        </w:rPr>
        <w:t xml:space="preserve"> </w:t>
      </w:r>
      <w:r w:rsidRPr="00056686">
        <w:rPr>
          <w:rFonts w:ascii="Arial" w:hAnsi="Arial" w:cs="Arial"/>
          <w:sz w:val="20"/>
          <w:szCs w:val="20"/>
        </w:rPr>
        <w:t>razão da ausência de sua assinatura, na qualidade de fiscal do convênio, no termo</w:t>
      </w:r>
      <w:r>
        <w:rPr>
          <w:rFonts w:ascii="Arial" w:hAnsi="Arial" w:cs="Arial"/>
          <w:sz w:val="20"/>
          <w:szCs w:val="20"/>
        </w:rPr>
        <w:t xml:space="preserve"> </w:t>
      </w:r>
      <w:r w:rsidRPr="00056686">
        <w:rPr>
          <w:rFonts w:ascii="Arial" w:hAnsi="Arial" w:cs="Arial"/>
          <w:sz w:val="20"/>
          <w:szCs w:val="20"/>
        </w:rPr>
        <w:t>de cumprimento de objetivos.</w:t>
      </w:r>
      <w:r>
        <w:rPr>
          <w:rFonts w:ascii="Arial" w:hAnsi="Arial" w:cs="Arial"/>
          <w:sz w:val="20"/>
          <w:szCs w:val="20"/>
        </w:rPr>
        <w:t xml:space="preserve"> </w:t>
      </w:r>
      <w:r w:rsidRPr="00056686">
        <w:rPr>
          <w:rFonts w:ascii="Arial" w:hAnsi="Arial" w:cs="Arial"/>
          <w:sz w:val="20"/>
          <w:szCs w:val="20"/>
        </w:rPr>
        <w:t>A recorrente, em manifestação constante na peça processual nº 027,</w:t>
      </w:r>
      <w:r>
        <w:rPr>
          <w:rFonts w:ascii="Arial" w:hAnsi="Arial" w:cs="Arial"/>
          <w:sz w:val="20"/>
          <w:szCs w:val="20"/>
        </w:rPr>
        <w:t xml:space="preserve"> </w:t>
      </w:r>
      <w:r w:rsidRPr="00056686">
        <w:rPr>
          <w:rFonts w:ascii="Arial" w:hAnsi="Arial" w:cs="Arial"/>
          <w:sz w:val="20"/>
          <w:szCs w:val="20"/>
        </w:rPr>
        <w:t>alegou a juntada, em sede recursal, do termo de cumprimento de objetivos,</w:t>
      </w:r>
      <w:r>
        <w:rPr>
          <w:rFonts w:ascii="Arial" w:hAnsi="Arial" w:cs="Arial"/>
          <w:sz w:val="20"/>
          <w:szCs w:val="20"/>
        </w:rPr>
        <w:t xml:space="preserve"> </w:t>
      </w:r>
      <w:r w:rsidRPr="00056686">
        <w:rPr>
          <w:rFonts w:ascii="Arial" w:hAnsi="Arial" w:cs="Arial"/>
          <w:sz w:val="20"/>
          <w:szCs w:val="20"/>
        </w:rPr>
        <w:t xml:space="preserve">devidamente assinado, e requereu a exclusão da multa </w:t>
      </w:r>
      <w:r w:rsidRPr="000617CF">
        <w:rPr>
          <w:rFonts w:ascii="Arial" w:hAnsi="Arial" w:cs="Arial"/>
          <w:sz w:val="20"/>
          <w:szCs w:val="20"/>
        </w:rPr>
        <w:t>aplicada</w:t>
      </w:r>
      <w:r w:rsidR="000617CF" w:rsidRPr="000617CF">
        <w:rPr>
          <w:rFonts w:ascii="Arial" w:hAnsi="Arial" w:cs="Arial"/>
          <w:sz w:val="20"/>
          <w:szCs w:val="20"/>
        </w:rPr>
        <w:t xml:space="preserve">. </w:t>
      </w:r>
      <w:r w:rsidR="008E2BA7">
        <w:rPr>
          <w:rFonts w:ascii="Arial" w:hAnsi="Arial" w:cs="Arial"/>
          <w:sz w:val="20"/>
          <w:szCs w:val="20"/>
        </w:rPr>
        <w:t>Assim, n</w:t>
      </w:r>
      <w:r w:rsidR="000617CF" w:rsidRPr="000617CF">
        <w:rPr>
          <w:rFonts w:ascii="Arial" w:hAnsi="Arial" w:cs="Arial"/>
          <w:sz w:val="20"/>
          <w:szCs w:val="20"/>
        </w:rPr>
        <w:t xml:space="preserve">o mérito, </w:t>
      </w:r>
      <w:r w:rsidR="008E2BA7">
        <w:rPr>
          <w:rFonts w:ascii="Arial" w:hAnsi="Arial" w:cs="Arial"/>
          <w:sz w:val="20"/>
          <w:szCs w:val="20"/>
        </w:rPr>
        <w:t xml:space="preserve">o relator </w:t>
      </w:r>
      <w:r w:rsidR="000617CF" w:rsidRPr="000617CF">
        <w:rPr>
          <w:rFonts w:ascii="Arial" w:hAnsi="Arial" w:cs="Arial"/>
          <w:sz w:val="20"/>
          <w:szCs w:val="20"/>
        </w:rPr>
        <w:t>acompanho</w:t>
      </w:r>
      <w:r w:rsidR="00196437">
        <w:rPr>
          <w:rFonts w:ascii="Arial" w:hAnsi="Arial" w:cs="Arial"/>
          <w:sz w:val="20"/>
          <w:szCs w:val="20"/>
        </w:rPr>
        <w:t xml:space="preserve">u </w:t>
      </w:r>
      <w:r w:rsidR="000617CF" w:rsidRPr="000617CF">
        <w:rPr>
          <w:rFonts w:ascii="Arial" w:hAnsi="Arial" w:cs="Arial"/>
          <w:sz w:val="20"/>
          <w:szCs w:val="20"/>
        </w:rPr>
        <w:t>os opinativos uniformes, e tendo em conta a aplicação da Uniformização de Jurisprudência nº 008</w:t>
      </w:r>
      <w:r w:rsidR="00935444">
        <w:rPr>
          <w:rFonts w:ascii="Arial" w:hAnsi="Arial" w:cs="Arial"/>
          <w:sz w:val="20"/>
          <w:szCs w:val="20"/>
        </w:rPr>
        <w:t xml:space="preserve"> do TCE/PR</w:t>
      </w:r>
      <w:r w:rsidR="000617CF" w:rsidRPr="000617CF">
        <w:rPr>
          <w:rFonts w:ascii="Arial" w:hAnsi="Arial" w:cs="Arial"/>
          <w:sz w:val="20"/>
          <w:szCs w:val="20"/>
        </w:rPr>
        <w:t xml:space="preserve"> (Acórdão nº 1386/08 - Pleno), entend</w:t>
      </w:r>
      <w:r w:rsidR="008E2BA7">
        <w:rPr>
          <w:rFonts w:ascii="Arial" w:hAnsi="Arial" w:cs="Arial"/>
          <w:sz w:val="20"/>
          <w:szCs w:val="20"/>
        </w:rPr>
        <w:t xml:space="preserve">eu </w:t>
      </w:r>
      <w:r w:rsidR="000617CF" w:rsidRPr="000617CF">
        <w:rPr>
          <w:rFonts w:ascii="Arial" w:hAnsi="Arial" w:cs="Arial"/>
          <w:sz w:val="20"/>
          <w:szCs w:val="20"/>
        </w:rPr>
        <w:t>que deve ser mantida a ressalva quanto ao item objeto do recurso, não sendo razoável a manutenção da multa administrativa, diante da regularização documental.</w:t>
      </w:r>
    </w:p>
    <w:p w:rsidR="00196437" w:rsidRDefault="00196437" w:rsidP="000617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6437" w:rsidRPr="000617CF" w:rsidRDefault="00196437" w:rsidP="000617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Processo n° 44</w:t>
      </w:r>
      <w:r w:rsidR="007557BC">
        <w:rPr>
          <w:rFonts w:ascii="Arial" w:hAnsi="Arial" w:cs="Arial"/>
          <w:sz w:val="20"/>
          <w:szCs w:val="20"/>
        </w:rPr>
        <w:t xml:space="preserve">5961/16 </w:t>
      </w:r>
      <w:r w:rsidR="003F7090">
        <w:rPr>
          <w:rFonts w:ascii="Arial" w:hAnsi="Arial" w:cs="Arial"/>
          <w:sz w:val="20"/>
          <w:szCs w:val="20"/>
        </w:rPr>
        <w:t>-</w:t>
      </w:r>
      <w:r w:rsidR="007557BC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="007557BC" w:rsidRPr="008E280E">
          <w:rPr>
            <w:rStyle w:val="Hyperlink"/>
            <w:rFonts w:ascii="Arial" w:hAnsi="Arial" w:cs="Arial"/>
            <w:sz w:val="20"/>
            <w:szCs w:val="20"/>
          </w:rPr>
          <w:t xml:space="preserve">Acórdão n° 29/17 </w:t>
        </w:r>
        <w:r w:rsidR="003F7090" w:rsidRPr="008E280E">
          <w:rPr>
            <w:rStyle w:val="Hyperlink"/>
            <w:rFonts w:ascii="Arial" w:hAnsi="Arial" w:cs="Arial"/>
            <w:sz w:val="20"/>
            <w:szCs w:val="20"/>
          </w:rPr>
          <w:t>-</w:t>
        </w:r>
        <w:r w:rsidR="007557BC" w:rsidRPr="008E280E">
          <w:rPr>
            <w:rStyle w:val="Hyperlink"/>
            <w:rFonts w:ascii="Arial" w:hAnsi="Arial" w:cs="Arial"/>
            <w:sz w:val="20"/>
            <w:szCs w:val="20"/>
          </w:rPr>
          <w:t xml:space="preserve"> Tribunal Pleno</w:t>
        </w:r>
      </w:hyperlink>
      <w:r w:rsidR="007557BC">
        <w:rPr>
          <w:rFonts w:ascii="Arial" w:hAnsi="Arial" w:cs="Arial"/>
          <w:sz w:val="20"/>
          <w:szCs w:val="20"/>
        </w:rPr>
        <w:t xml:space="preserve"> </w:t>
      </w:r>
      <w:r w:rsidR="003F7090">
        <w:rPr>
          <w:rFonts w:ascii="Arial" w:hAnsi="Arial" w:cs="Arial"/>
          <w:sz w:val="20"/>
          <w:szCs w:val="20"/>
        </w:rPr>
        <w:t>-</w:t>
      </w:r>
      <w:r w:rsidR="007557BC">
        <w:rPr>
          <w:rFonts w:ascii="Arial" w:hAnsi="Arial" w:cs="Arial"/>
          <w:sz w:val="20"/>
          <w:szCs w:val="20"/>
        </w:rPr>
        <w:t xml:space="preserve"> Rel. Auditor Cláudio Augusto Canha.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056686" w:rsidRDefault="00056686" w:rsidP="00BD10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762F" w:rsidRPr="00AA3A41" w:rsidRDefault="00E8762F" w:rsidP="00F46C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3A41">
        <w:rPr>
          <w:rFonts w:ascii="Arial" w:hAnsi="Arial" w:cs="Arial"/>
          <w:sz w:val="20"/>
          <w:szCs w:val="20"/>
        </w:rPr>
        <w:t xml:space="preserve">Observações: </w:t>
      </w:r>
    </w:p>
    <w:p w:rsidR="005C4DB7" w:rsidRDefault="00E4415D" w:rsidP="00E8762F">
      <w:pPr>
        <w:rPr>
          <w:rFonts w:ascii="Arial" w:hAnsi="Arial" w:cs="Arial"/>
          <w:b/>
          <w:color w:val="000000"/>
          <w:sz w:val="20"/>
          <w:szCs w:val="20"/>
        </w:rPr>
      </w:pPr>
      <w:r w:rsidRPr="005C4DB7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D64EE6" wp14:editId="599D7F15">
                <wp:simplePos x="0" y="0"/>
                <wp:positionH relativeFrom="margin">
                  <wp:posOffset>-6350</wp:posOffset>
                </wp:positionH>
                <wp:positionV relativeFrom="paragraph">
                  <wp:posOffset>69850</wp:posOffset>
                </wp:positionV>
                <wp:extent cx="5420995" cy="0"/>
                <wp:effectExtent l="0" t="0" r="27305" b="57150"/>
                <wp:wrapNone/>
                <wp:docPr id="58" name="Conector re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5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pt,5.5pt" to="426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26477F" w:rsidRPr="00AD528F" w:rsidRDefault="0026477F" w:rsidP="00E8762F">
      <w:pPr>
        <w:rPr>
          <w:rFonts w:ascii="Arial" w:hAnsi="Arial" w:cs="Arial"/>
          <w:color w:val="000000"/>
          <w:sz w:val="20"/>
          <w:szCs w:val="20"/>
        </w:rPr>
      </w:pPr>
      <w:r w:rsidRPr="00AD528F">
        <w:rPr>
          <w:rFonts w:ascii="Arial" w:hAnsi="Arial" w:cs="Arial"/>
          <w:color w:val="000000"/>
          <w:sz w:val="20"/>
          <w:szCs w:val="20"/>
        </w:rPr>
        <w:t>Ju</w:t>
      </w:r>
      <w:r w:rsidR="00AD528F" w:rsidRPr="00AD528F">
        <w:rPr>
          <w:rFonts w:ascii="Arial" w:hAnsi="Arial" w:cs="Arial"/>
          <w:color w:val="000000"/>
          <w:sz w:val="20"/>
          <w:szCs w:val="20"/>
        </w:rPr>
        <w:t xml:space="preserve">risprudência Selecionada: </w:t>
      </w:r>
    </w:p>
    <w:p w:rsidR="008633B6" w:rsidRDefault="008633B6" w:rsidP="00E8762F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Tribunal de Contas da União:</w:t>
      </w:r>
    </w:p>
    <w:p w:rsidR="004B142E" w:rsidRDefault="00FB7F8B" w:rsidP="00E30DE6">
      <w:pPr>
        <w:pStyle w:val="Default"/>
        <w:jc w:val="both"/>
        <w:rPr>
          <w:sz w:val="20"/>
          <w:szCs w:val="20"/>
        </w:rPr>
      </w:pPr>
      <w:hyperlink r:id="rId17" w:history="1">
        <w:r w:rsidR="00E30DE6" w:rsidRPr="00F374C1">
          <w:rPr>
            <w:rStyle w:val="Hyperlink"/>
            <w:b/>
            <w:bCs/>
            <w:sz w:val="20"/>
            <w:szCs w:val="20"/>
          </w:rPr>
          <w:t>Acórdão</w:t>
        </w:r>
        <w:r w:rsidR="00AA7585">
          <w:rPr>
            <w:rStyle w:val="Hyperlink"/>
            <w:b/>
            <w:bCs/>
            <w:sz w:val="20"/>
            <w:szCs w:val="20"/>
          </w:rPr>
          <w:t xml:space="preserve"> n°</w:t>
        </w:r>
        <w:r w:rsidR="00E30DE6" w:rsidRPr="00F374C1">
          <w:rPr>
            <w:rStyle w:val="Hyperlink"/>
            <w:b/>
            <w:bCs/>
            <w:sz w:val="20"/>
            <w:szCs w:val="20"/>
          </w:rPr>
          <w:t xml:space="preserve"> 7434/2016 Primeira Câmara</w:t>
        </w:r>
      </w:hyperlink>
      <w:r w:rsidR="00E30DE6" w:rsidRPr="00E30DE6">
        <w:rPr>
          <w:b/>
          <w:bCs/>
          <w:sz w:val="20"/>
          <w:szCs w:val="20"/>
        </w:rPr>
        <w:t xml:space="preserve"> </w:t>
      </w:r>
      <w:r w:rsidR="00E30DE6" w:rsidRPr="00E30DE6">
        <w:rPr>
          <w:sz w:val="20"/>
          <w:szCs w:val="20"/>
        </w:rPr>
        <w:t>(Embargos de Declaração, Relator Ministro Bruno Dantas</w:t>
      </w:r>
      <w:proofErr w:type="gramStart"/>
      <w:r w:rsidR="00E30DE6" w:rsidRPr="00E30DE6">
        <w:rPr>
          <w:sz w:val="20"/>
          <w:szCs w:val="20"/>
        </w:rPr>
        <w:t>)</w:t>
      </w:r>
      <w:proofErr w:type="gramEnd"/>
      <w:r w:rsidR="00E30DE6">
        <w:rPr>
          <w:sz w:val="20"/>
          <w:szCs w:val="20"/>
        </w:rPr>
        <w:t xml:space="preserve"> </w:t>
      </w:r>
    </w:p>
    <w:p w:rsidR="004B142E" w:rsidRDefault="004B142E" w:rsidP="00E30DE6">
      <w:pPr>
        <w:pStyle w:val="Default"/>
        <w:jc w:val="both"/>
        <w:rPr>
          <w:sz w:val="20"/>
          <w:szCs w:val="20"/>
        </w:rPr>
      </w:pPr>
    </w:p>
    <w:p w:rsidR="00E30DE6" w:rsidRPr="00667637" w:rsidRDefault="00E30DE6" w:rsidP="00E30DE6">
      <w:pPr>
        <w:pStyle w:val="Default"/>
        <w:jc w:val="both"/>
        <w:rPr>
          <w:b/>
          <w:sz w:val="20"/>
          <w:szCs w:val="20"/>
        </w:rPr>
      </w:pPr>
      <w:r w:rsidRPr="00667637">
        <w:rPr>
          <w:b/>
          <w:sz w:val="20"/>
          <w:szCs w:val="20"/>
        </w:rPr>
        <w:t>Direito Processual. Processo de controle externo. Legislação. Código de Processo Civil. Demandas repetitivas.</w:t>
      </w:r>
    </w:p>
    <w:p w:rsidR="00E30DE6" w:rsidRPr="00E30DE6" w:rsidRDefault="00E30DE6" w:rsidP="00E30DE6">
      <w:pPr>
        <w:pStyle w:val="Default"/>
        <w:jc w:val="both"/>
        <w:rPr>
          <w:sz w:val="20"/>
          <w:szCs w:val="20"/>
        </w:rPr>
      </w:pPr>
      <w:r w:rsidRPr="00E30DE6">
        <w:rPr>
          <w:sz w:val="20"/>
          <w:szCs w:val="20"/>
        </w:rPr>
        <w:t xml:space="preserve"> </w:t>
      </w:r>
    </w:p>
    <w:p w:rsidR="008633B6" w:rsidRDefault="00E30DE6" w:rsidP="00E30DE6">
      <w:pPr>
        <w:jc w:val="both"/>
        <w:rPr>
          <w:rFonts w:ascii="Arial" w:hAnsi="Arial" w:cs="Arial"/>
          <w:sz w:val="20"/>
          <w:szCs w:val="20"/>
        </w:rPr>
      </w:pPr>
      <w:r w:rsidRPr="00E30DE6">
        <w:rPr>
          <w:rFonts w:ascii="Arial" w:hAnsi="Arial" w:cs="Arial"/>
          <w:sz w:val="20"/>
          <w:szCs w:val="20"/>
        </w:rPr>
        <w:t xml:space="preserve">A sistemática de demandas repetitivas, introduzida pelo novo Código de Processo Civil (Lei 13.105/2015), não se aplica aos processos de controle externo, de natureza administrativa, que tramitam no TCU. Esses são regidos por regramento próprio (Lei 8.443/1992 e Regimento Interno do TCU), estando sujeitos à aplicação subsidiária do CPC apenas para suprir lacunas </w:t>
      </w:r>
      <w:r w:rsidRPr="00E30DE6">
        <w:rPr>
          <w:rFonts w:ascii="Arial" w:hAnsi="Arial" w:cs="Arial"/>
          <w:sz w:val="20"/>
          <w:szCs w:val="20"/>
        </w:rPr>
        <w:lastRenderedPageBreak/>
        <w:t>da legislação específica, conforme expressa disposição do art. 15 do referido código e do art. 298 do Regimento Interno do TCU.</w:t>
      </w:r>
    </w:p>
    <w:p w:rsidR="003D7C37" w:rsidRPr="003D7C37" w:rsidRDefault="003D7C37" w:rsidP="00E30DE6">
      <w:pPr>
        <w:jc w:val="both"/>
        <w:rPr>
          <w:rFonts w:ascii="Arial" w:hAnsi="Arial" w:cs="Arial"/>
          <w:b/>
          <w:sz w:val="20"/>
          <w:szCs w:val="20"/>
        </w:rPr>
      </w:pPr>
      <w:r w:rsidRPr="003D7C37">
        <w:rPr>
          <w:rFonts w:ascii="Arial" w:hAnsi="Arial" w:cs="Arial"/>
          <w:b/>
          <w:sz w:val="20"/>
          <w:szCs w:val="20"/>
        </w:rPr>
        <w:t>Supremo Tribunal Federal:</w:t>
      </w:r>
    </w:p>
    <w:p w:rsidR="003D7C37" w:rsidRPr="00815C4F" w:rsidRDefault="00FB7F8B" w:rsidP="003D7C37">
      <w:pPr>
        <w:jc w:val="both"/>
        <w:rPr>
          <w:rFonts w:ascii="Arial" w:hAnsi="Arial" w:cs="Arial"/>
          <w:b/>
          <w:sz w:val="20"/>
          <w:szCs w:val="20"/>
        </w:rPr>
      </w:pPr>
      <w:hyperlink r:id="rId18" w:history="1">
        <w:r w:rsidR="003D7C37" w:rsidRPr="00815C4F">
          <w:rPr>
            <w:rStyle w:val="Hyperlink"/>
            <w:rFonts w:ascii="Arial" w:hAnsi="Arial" w:cs="Arial"/>
            <w:b/>
            <w:sz w:val="20"/>
            <w:szCs w:val="20"/>
          </w:rPr>
          <w:t>Recurso Extraordinário (RE)</w:t>
        </w:r>
        <w:r w:rsidR="00AA7585">
          <w:rPr>
            <w:rStyle w:val="Hyperlink"/>
            <w:rFonts w:ascii="Arial" w:hAnsi="Arial" w:cs="Arial"/>
            <w:b/>
            <w:sz w:val="20"/>
            <w:szCs w:val="20"/>
          </w:rPr>
          <w:t xml:space="preserve"> nº</w:t>
        </w:r>
        <w:r w:rsidR="003D7C37" w:rsidRPr="00815C4F">
          <w:rPr>
            <w:rStyle w:val="Hyperlink"/>
            <w:rFonts w:ascii="Arial" w:hAnsi="Arial" w:cs="Arial"/>
            <w:b/>
            <w:sz w:val="20"/>
            <w:szCs w:val="20"/>
          </w:rPr>
          <w:t xml:space="preserve"> 650898/RS</w:t>
        </w:r>
      </w:hyperlink>
    </w:p>
    <w:p w:rsidR="00C9442C" w:rsidRPr="00C9442C" w:rsidRDefault="00C9442C" w:rsidP="00C9442C">
      <w:pPr>
        <w:jc w:val="both"/>
        <w:rPr>
          <w:rFonts w:ascii="Arial" w:hAnsi="Arial" w:cs="Arial"/>
          <w:b/>
          <w:sz w:val="20"/>
          <w:szCs w:val="20"/>
        </w:rPr>
      </w:pPr>
      <w:r w:rsidRPr="00C9442C">
        <w:rPr>
          <w:rFonts w:ascii="Arial" w:hAnsi="Arial" w:cs="Arial"/>
          <w:b/>
          <w:sz w:val="20"/>
          <w:szCs w:val="20"/>
        </w:rPr>
        <w:t xml:space="preserve">STF. Plenário. Rel. originário Min. Marco Aurélio, Rel. para acórdão Min. Roberto Barroso, julgado em 01/02/2017 (repercussão geral). </w:t>
      </w:r>
    </w:p>
    <w:p w:rsidR="003D7C37" w:rsidRDefault="00815C4F" w:rsidP="00E30D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art. 39, § 4º, da Constituição Federal </w:t>
      </w:r>
      <w:r w:rsidR="00F62365">
        <w:rPr>
          <w:rFonts w:ascii="Arial" w:hAnsi="Arial" w:cs="Arial"/>
          <w:sz w:val="20"/>
          <w:szCs w:val="20"/>
        </w:rPr>
        <w:t>não é incompatível com o pagamento de terço de férias e décimo terceiro salário.</w:t>
      </w:r>
    </w:p>
    <w:p w:rsidR="00C31169" w:rsidRPr="009F7401" w:rsidRDefault="00FB7F8B" w:rsidP="00E30DE6">
      <w:pPr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hyperlink r:id="rId19" w:history="1">
        <w:r w:rsidR="00307038" w:rsidRPr="00841EAB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>Recurso Extraordinário (RE)</w:t>
        </w:r>
        <w:r w:rsidR="00AA7585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 xml:space="preserve"> n°</w:t>
        </w:r>
        <w:r w:rsidR="00307038" w:rsidRPr="00841EAB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 xml:space="preserve"> 786540/</w:t>
        </w:r>
        <w:r w:rsidR="00B22D31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>DF</w:t>
        </w:r>
      </w:hyperlink>
    </w:p>
    <w:p w:rsidR="004C11DE" w:rsidRPr="004C11DE" w:rsidRDefault="005025F4" w:rsidP="00E30DE6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STF. Plenário. </w:t>
      </w:r>
      <w:r w:rsidR="00B22D3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Rel. Min. Dias </w:t>
      </w:r>
      <w:proofErr w:type="spellStart"/>
      <w:r w:rsidR="00B22D3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Toffoli</w:t>
      </w:r>
      <w:proofErr w:type="spellEnd"/>
      <w:r w:rsidR="00B22D3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, julgado em 15</w:t>
      </w:r>
      <w:r w:rsidR="00033E6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/</w:t>
      </w:r>
      <w:r w:rsidR="00B22D3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12</w:t>
      </w:r>
      <w:r w:rsidR="00033E6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/</w:t>
      </w:r>
      <w:r w:rsidR="00B22D3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20</w:t>
      </w:r>
      <w:r w:rsidR="00FB7F8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1</w:t>
      </w:r>
      <w:r w:rsidR="00B22D3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6. </w:t>
      </w:r>
      <w:r w:rsidR="009F7401" w:rsidRPr="004C11D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Os servidores ocupantes de cargo exclusivamente em comissão não se submetem à regra da aposentadoria compulsória prevista no art. 40, § 1º, II, da CF/88. </w:t>
      </w:r>
    </w:p>
    <w:p w:rsidR="00C31169" w:rsidRPr="007D2162" w:rsidRDefault="009F7401" w:rsidP="00E30DE6">
      <w:pPr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31169">
        <w:rPr>
          <w:rFonts w:ascii="Arial" w:eastAsia="Times New Roman" w:hAnsi="Arial" w:cs="Arial"/>
          <w:bCs/>
          <w:sz w:val="20"/>
          <w:szCs w:val="20"/>
          <w:lang w:eastAsia="pt-BR"/>
        </w:rPr>
        <w:t>Este dispositivo atinge apenas os ocupantes de cargo de provimento efetivo. Por conta disso, não existe qualquer idade limite para fins de nomeação a cargo em co</w:t>
      </w:r>
      <w:bookmarkStart w:id="0" w:name="_GoBack"/>
      <w:bookmarkEnd w:id="0"/>
      <w:r w:rsidRPr="00C31169">
        <w:rPr>
          <w:rFonts w:ascii="Arial" w:eastAsia="Times New Roman" w:hAnsi="Arial" w:cs="Arial"/>
          <w:bCs/>
          <w:sz w:val="20"/>
          <w:szCs w:val="20"/>
          <w:lang w:eastAsia="pt-BR"/>
        </w:rPr>
        <w:t>missão</w:t>
      </w:r>
      <w:r w:rsidR="007D2162" w:rsidRPr="007D2162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</w:p>
    <w:p w:rsidR="002874A2" w:rsidRDefault="0060126D" w:rsidP="007D62D9">
      <w:pPr>
        <w:rPr>
          <w:rStyle w:val="Hyperlink"/>
          <w:rFonts w:ascii="Arial" w:hAnsi="Arial" w:cs="Arial"/>
          <w:i/>
          <w:color w:val="000000" w:themeColor="text1"/>
          <w:sz w:val="18"/>
          <w:szCs w:val="18"/>
          <w:u w:val="none"/>
        </w:rPr>
      </w:pPr>
      <w:r w:rsidRPr="005C4DB7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B6ACDF" wp14:editId="78129A8F">
                <wp:simplePos x="0" y="0"/>
                <wp:positionH relativeFrom="margin">
                  <wp:posOffset>-10160</wp:posOffset>
                </wp:positionH>
                <wp:positionV relativeFrom="paragraph">
                  <wp:posOffset>97625</wp:posOffset>
                </wp:positionV>
                <wp:extent cx="5420995" cy="0"/>
                <wp:effectExtent l="0" t="0" r="27305" b="57150"/>
                <wp:wrapNone/>
                <wp:docPr id="59" name="Conector re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5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8pt,7.7pt" to="426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E30DE6" w:rsidRPr="00F41C34" w:rsidRDefault="00E30DE6" w:rsidP="00E30DE6">
      <w:pPr>
        <w:spacing w:before="60" w:after="60"/>
        <w:jc w:val="center"/>
        <w:rPr>
          <w:rStyle w:val="Hyperlink"/>
          <w:rFonts w:ascii="Arial" w:hAnsi="Arial" w:cs="Arial"/>
          <w:i/>
          <w:color w:val="000000" w:themeColor="text1"/>
          <w:sz w:val="18"/>
          <w:szCs w:val="18"/>
          <w:u w:val="none"/>
        </w:rPr>
      </w:pPr>
      <w:r w:rsidRPr="00F41C34">
        <w:rPr>
          <w:rStyle w:val="Hyperlink"/>
          <w:rFonts w:ascii="Arial" w:hAnsi="Arial" w:cs="Arial"/>
          <w:i/>
          <w:color w:val="000000" w:themeColor="text1"/>
          <w:sz w:val="18"/>
          <w:szCs w:val="18"/>
          <w:u w:val="none"/>
        </w:rPr>
        <w:t>Elaboração: Escola de Gestão Pública - Jurisprudência</w:t>
      </w:r>
    </w:p>
    <w:p w:rsidR="00E8762F" w:rsidRDefault="00E8762F" w:rsidP="00646004">
      <w:pPr>
        <w:jc w:val="center"/>
        <w:rPr>
          <w:b/>
          <w:color w:val="212121"/>
        </w:rPr>
      </w:pPr>
    </w:p>
    <w:p w:rsidR="00E8762F" w:rsidRDefault="00E8762F" w:rsidP="00646004">
      <w:pPr>
        <w:jc w:val="center"/>
        <w:rPr>
          <w:b/>
          <w:color w:val="212121"/>
        </w:rPr>
      </w:pPr>
    </w:p>
    <w:p w:rsidR="00AE4F42" w:rsidRDefault="00AE4F42" w:rsidP="00646004">
      <w:pPr>
        <w:jc w:val="center"/>
        <w:rPr>
          <w:b/>
          <w:color w:val="212121"/>
        </w:rPr>
      </w:pPr>
    </w:p>
    <w:sectPr w:rsidR="00AE4F42">
      <w:headerReference w:type="default" r:id="rId20"/>
      <w:foot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7A9" w:rsidRDefault="009907A9" w:rsidP="00350CC2">
      <w:pPr>
        <w:spacing w:after="0" w:line="240" w:lineRule="auto"/>
      </w:pPr>
      <w:r>
        <w:separator/>
      </w:r>
    </w:p>
  </w:endnote>
  <w:endnote w:type="continuationSeparator" w:id="0">
    <w:p w:rsidR="009907A9" w:rsidRDefault="009907A9" w:rsidP="0035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5DE" w:rsidRDefault="002245DE" w:rsidP="002245DE">
    <w:pPr>
      <w:pStyle w:val="Rodap"/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 wp14:anchorId="59336967" wp14:editId="245F8B55">
          <wp:extent cx="463138" cy="231569"/>
          <wp:effectExtent l="0" t="0" r="0" b="0"/>
          <wp:docPr id="54" name="Imagem 54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73" cy="23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5F7A" w:rsidRPr="00722924" w:rsidRDefault="001B5F7A" w:rsidP="002245DE">
    <w:pPr>
      <w:pStyle w:val="Rodap"/>
      <w:jc w:val="center"/>
      <w:rPr>
        <w:sz w:val="16"/>
        <w:szCs w:val="16"/>
      </w:rPr>
    </w:pPr>
    <w:r w:rsidRPr="00722924">
      <w:rPr>
        <w:sz w:val="16"/>
        <w:szCs w:val="16"/>
      </w:rPr>
      <w:fldChar w:fldCharType="begin"/>
    </w:r>
    <w:r w:rsidRPr="00722924">
      <w:rPr>
        <w:sz w:val="16"/>
        <w:szCs w:val="16"/>
      </w:rPr>
      <w:instrText xml:space="preserve"> PAGE   \* MERGEFORMAT </w:instrText>
    </w:r>
    <w:r w:rsidRPr="00722924">
      <w:rPr>
        <w:sz w:val="16"/>
        <w:szCs w:val="16"/>
      </w:rPr>
      <w:fldChar w:fldCharType="separate"/>
    </w:r>
    <w:r w:rsidR="00FB7F8B">
      <w:rPr>
        <w:noProof/>
        <w:sz w:val="16"/>
        <w:szCs w:val="16"/>
      </w:rPr>
      <w:t>5</w:t>
    </w:r>
    <w:r w:rsidRPr="0072292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7A9" w:rsidRDefault="009907A9" w:rsidP="00350CC2">
      <w:pPr>
        <w:spacing w:after="0" w:line="240" w:lineRule="auto"/>
      </w:pPr>
      <w:r>
        <w:separator/>
      </w:r>
    </w:p>
  </w:footnote>
  <w:footnote w:type="continuationSeparator" w:id="0">
    <w:p w:rsidR="009907A9" w:rsidRDefault="009907A9" w:rsidP="0035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FD7" w:rsidRDefault="006A5FD7" w:rsidP="00F14CCC">
    <w:pPr>
      <w:pStyle w:val="Cabealho"/>
      <w:spacing w:after="100" w:afterAutospacing="1"/>
      <w:jc w:val="center"/>
      <w:rPr>
        <w:b/>
      </w:rPr>
    </w:pPr>
  </w:p>
  <w:p w:rsidR="006A5FD7" w:rsidRDefault="006A5FD7" w:rsidP="00F14CCC">
    <w:pPr>
      <w:pStyle w:val="Cabealho"/>
      <w:spacing w:after="100" w:afterAutospacing="1"/>
      <w:jc w:val="center"/>
      <w:rPr>
        <w:b/>
      </w:rPr>
    </w:pPr>
    <w:r>
      <w:rPr>
        <w:noProof/>
        <w:lang w:eastAsia="pt-BR"/>
      </w:rPr>
      <w:drawing>
        <wp:inline distT="0" distB="0" distL="0" distR="0" wp14:anchorId="577658B6" wp14:editId="723631CE">
          <wp:extent cx="4073236" cy="872837"/>
          <wp:effectExtent l="0" t="0" r="3810" b="3810"/>
          <wp:docPr id="52" name="Imagem 52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1668" cy="872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534A"/>
    <w:multiLevelType w:val="hybridMultilevel"/>
    <w:tmpl w:val="D0FE16CE"/>
    <w:lvl w:ilvl="0" w:tplc="A5067D7E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25CCB"/>
    <w:multiLevelType w:val="hybridMultilevel"/>
    <w:tmpl w:val="A93874EE"/>
    <w:lvl w:ilvl="0" w:tplc="1F00A050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05F1F"/>
    <w:multiLevelType w:val="hybridMultilevel"/>
    <w:tmpl w:val="C5AE435C"/>
    <w:lvl w:ilvl="0" w:tplc="E84E8CE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63276"/>
    <w:multiLevelType w:val="hybridMultilevel"/>
    <w:tmpl w:val="94D07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92D40"/>
    <w:multiLevelType w:val="hybridMultilevel"/>
    <w:tmpl w:val="E6D0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91"/>
    <w:rsid w:val="0000505F"/>
    <w:rsid w:val="000078B5"/>
    <w:rsid w:val="00007F7A"/>
    <w:rsid w:val="00007FD0"/>
    <w:rsid w:val="00010F88"/>
    <w:rsid w:val="00012CBB"/>
    <w:rsid w:val="00013840"/>
    <w:rsid w:val="00017EBA"/>
    <w:rsid w:val="00033E69"/>
    <w:rsid w:val="00046191"/>
    <w:rsid w:val="00047EF1"/>
    <w:rsid w:val="00052862"/>
    <w:rsid w:val="00056686"/>
    <w:rsid w:val="000617CF"/>
    <w:rsid w:val="00062737"/>
    <w:rsid w:val="00070009"/>
    <w:rsid w:val="00070B14"/>
    <w:rsid w:val="00074287"/>
    <w:rsid w:val="00074FAB"/>
    <w:rsid w:val="000759E5"/>
    <w:rsid w:val="000926D4"/>
    <w:rsid w:val="00092E5D"/>
    <w:rsid w:val="0009482D"/>
    <w:rsid w:val="000A29BE"/>
    <w:rsid w:val="000A4EB6"/>
    <w:rsid w:val="000A5F01"/>
    <w:rsid w:val="000A71D1"/>
    <w:rsid w:val="000B1E10"/>
    <w:rsid w:val="000B31B6"/>
    <w:rsid w:val="000C5093"/>
    <w:rsid w:val="000C63BC"/>
    <w:rsid w:val="000D4DE6"/>
    <w:rsid w:val="000E3FC6"/>
    <w:rsid w:val="000E5AC8"/>
    <w:rsid w:val="000F04ED"/>
    <w:rsid w:val="000F639D"/>
    <w:rsid w:val="00100B9C"/>
    <w:rsid w:val="00110BD6"/>
    <w:rsid w:val="00120862"/>
    <w:rsid w:val="00123D02"/>
    <w:rsid w:val="00126447"/>
    <w:rsid w:val="00127DF2"/>
    <w:rsid w:val="001342E3"/>
    <w:rsid w:val="00135D5F"/>
    <w:rsid w:val="001472C1"/>
    <w:rsid w:val="00157806"/>
    <w:rsid w:val="001720EB"/>
    <w:rsid w:val="0018272D"/>
    <w:rsid w:val="00190B94"/>
    <w:rsid w:val="001930D1"/>
    <w:rsid w:val="00196437"/>
    <w:rsid w:val="001B5F7A"/>
    <w:rsid w:val="001D51BD"/>
    <w:rsid w:val="001D684B"/>
    <w:rsid w:val="001E6CAA"/>
    <w:rsid w:val="002013D1"/>
    <w:rsid w:val="002036C8"/>
    <w:rsid w:val="002100EE"/>
    <w:rsid w:val="002147AC"/>
    <w:rsid w:val="00221D15"/>
    <w:rsid w:val="00223A59"/>
    <w:rsid w:val="002245DE"/>
    <w:rsid w:val="0023318C"/>
    <w:rsid w:val="00234AE0"/>
    <w:rsid w:val="00235F82"/>
    <w:rsid w:val="00237C21"/>
    <w:rsid w:val="00256CEA"/>
    <w:rsid w:val="00260758"/>
    <w:rsid w:val="00260D58"/>
    <w:rsid w:val="0026477F"/>
    <w:rsid w:val="00271154"/>
    <w:rsid w:val="002874A2"/>
    <w:rsid w:val="002921E2"/>
    <w:rsid w:val="00295F4B"/>
    <w:rsid w:val="002A00AC"/>
    <w:rsid w:val="002A1D5F"/>
    <w:rsid w:val="002B070A"/>
    <w:rsid w:val="002C56C9"/>
    <w:rsid w:val="002D5B56"/>
    <w:rsid w:val="002D6612"/>
    <w:rsid w:val="002E4277"/>
    <w:rsid w:val="002E72FA"/>
    <w:rsid w:val="002E7DFF"/>
    <w:rsid w:val="002F0BE9"/>
    <w:rsid w:val="002F13A0"/>
    <w:rsid w:val="002F1634"/>
    <w:rsid w:val="002F22FA"/>
    <w:rsid w:val="00307038"/>
    <w:rsid w:val="00320577"/>
    <w:rsid w:val="0032266D"/>
    <w:rsid w:val="00331533"/>
    <w:rsid w:val="00343C28"/>
    <w:rsid w:val="00344A41"/>
    <w:rsid w:val="0034575E"/>
    <w:rsid w:val="00350CC2"/>
    <w:rsid w:val="00353FEB"/>
    <w:rsid w:val="00356FB0"/>
    <w:rsid w:val="00361F1D"/>
    <w:rsid w:val="00365E61"/>
    <w:rsid w:val="0038012F"/>
    <w:rsid w:val="003D7C37"/>
    <w:rsid w:val="003E55BC"/>
    <w:rsid w:val="003F03C6"/>
    <w:rsid w:val="003F677C"/>
    <w:rsid w:val="003F7090"/>
    <w:rsid w:val="00406D2C"/>
    <w:rsid w:val="0041337A"/>
    <w:rsid w:val="00420AE1"/>
    <w:rsid w:val="0042728A"/>
    <w:rsid w:val="004276DC"/>
    <w:rsid w:val="0043291F"/>
    <w:rsid w:val="00437541"/>
    <w:rsid w:val="00441D38"/>
    <w:rsid w:val="00447BB2"/>
    <w:rsid w:val="00455AAB"/>
    <w:rsid w:val="0046165B"/>
    <w:rsid w:val="00462A13"/>
    <w:rsid w:val="00470218"/>
    <w:rsid w:val="00482FA5"/>
    <w:rsid w:val="00487D31"/>
    <w:rsid w:val="004920C5"/>
    <w:rsid w:val="004927D6"/>
    <w:rsid w:val="004965C3"/>
    <w:rsid w:val="004A5804"/>
    <w:rsid w:val="004A794E"/>
    <w:rsid w:val="004B142E"/>
    <w:rsid w:val="004B623F"/>
    <w:rsid w:val="004C11DE"/>
    <w:rsid w:val="004E6410"/>
    <w:rsid w:val="00501FC7"/>
    <w:rsid w:val="005025F4"/>
    <w:rsid w:val="00502AAF"/>
    <w:rsid w:val="00511F85"/>
    <w:rsid w:val="00517B69"/>
    <w:rsid w:val="00520368"/>
    <w:rsid w:val="00530F1E"/>
    <w:rsid w:val="00532F0D"/>
    <w:rsid w:val="00533C06"/>
    <w:rsid w:val="0053401E"/>
    <w:rsid w:val="00542636"/>
    <w:rsid w:val="00544AB5"/>
    <w:rsid w:val="00547AFC"/>
    <w:rsid w:val="0055022A"/>
    <w:rsid w:val="00556F73"/>
    <w:rsid w:val="00561787"/>
    <w:rsid w:val="0056193C"/>
    <w:rsid w:val="005650CD"/>
    <w:rsid w:val="00566AE8"/>
    <w:rsid w:val="005706D5"/>
    <w:rsid w:val="005759E4"/>
    <w:rsid w:val="005819D2"/>
    <w:rsid w:val="00584BC6"/>
    <w:rsid w:val="0058559D"/>
    <w:rsid w:val="00585A3B"/>
    <w:rsid w:val="005957D1"/>
    <w:rsid w:val="005A0FD0"/>
    <w:rsid w:val="005B7055"/>
    <w:rsid w:val="005C4DB7"/>
    <w:rsid w:val="005C5DC8"/>
    <w:rsid w:val="005D48C8"/>
    <w:rsid w:val="005D58CE"/>
    <w:rsid w:val="005E2760"/>
    <w:rsid w:val="005F16DB"/>
    <w:rsid w:val="005F2BB5"/>
    <w:rsid w:val="005F4DBF"/>
    <w:rsid w:val="0060126D"/>
    <w:rsid w:val="006105E3"/>
    <w:rsid w:val="0061491F"/>
    <w:rsid w:val="00620DEF"/>
    <w:rsid w:val="00626DD6"/>
    <w:rsid w:val="006331E3"/>
    <w:rsid w:val="00633C62"/>
    <w:rsid w:val="006361F0"/>
    <w:rsid w:val="006375ED"/>
    <w:rsid w:val="00640861"/>
    <w:rsid w:val="00640BDC"/>
    <w:rsid w:val="00646004"/>
    <w:rsid w:val="0066130F"/>
    <w:rsid w:val="00667637"/>
    <w:rsid w:val="0068250F"/>
    <w:rsid w:val="006A27D6"/>
    <w:rsid w:val="006A5FD7"/>
    <w:rsid w:val="006B143E"/>
    <w:rsid w:val="006B5E72"/>
    <w:rsid w:val="006C7A04"/>
    <w:rsid w:val="006D1BE7"/>
    <w:rsid w:val="006D6FCC"/>
    <w:rsid w:val="006E26E8"/>
    <w:rsid w:val="006F4894"/>
    <w:rsid w:val="00712A93"/>
    <w:rsid w:val="00714CF1"/>
    <w:rsid w:val="00715CEB"/>
    <w:rsid w:val="00722924"/>
    <w:rsid w:val="00723F1A"/>
    <w:rsid w:val="007319AD"/>
    <w:rsid w:val="00740240"/>
    <w:rsid w:val="00742BC9"/>
    <w:rsid w:val="00745634"/>
    <w:rsid w:val="00747EAE"/>
    <w:rsid w:val="00750DEB"/>
    <w:rsid w:val="007557BC"/>
    <w:rsid w:val="00762976"/>
    <w:rsid w:val="00766834"/>
    <w:rsid w:val="0077082D"/>
    <w:rsid w:val="0077181C"/>
    <w:rsid w:val="0079708B"/>
    <w:rsid w:val="0079779E"/>
    <w:rsid w:val="007C0E7E"/>
    <w:rsid w:val="007D009C"/>
    <w:rsid w:val="007D2162"/>
    <w:rsid w:val="007D62D9"/>
    <w:rsid w:val="007D73C9"/>
    <w:rsid w:val="00801004"/>
    <w:rsid w:val="008058BC"/>
    <w:rsid w:val="00807854"/>
    <w:rsid w:val="00811A90"/>
    <w:rsid w:val="00815C4F"/>
    <w:rsid w:val="0082026A"/>
    <w:rsid w:val="00826075"/>
    <w:rsid w:val="008267CA"/>
    <w:rsid w:val="00826A19"/>
    <w:rsid w:val="00831915"/>
    <w:rsid w:val="0083305B"/>
    <w:rsid w:val="00834578"/>
    <w:rsid w:val="00841EAB"/>
    <w:rsid w:val="00845BB4"/>
    <w:rsid w:val="00847BF3"/>
    <w:rsid w:val="00853D0B"/>
    <w:rsid w:val="00854B16"/>
    <w:rsid w:val="00854BCA"/>
    <w:rsid w:val="008633B6"/>
    <w:rsid w:val="00866481"/>
    <w:rsid w:val="0087076A"/>
    <w:rsid w:val="008731E4"/>
    <w:rsid w:val="008745D6"/>
    <w:rsid w:val="00874DCA"/>
    <w:rsid w:val="00875D64"/>
    <w:rsid w:val="0088277A"/>
    <w:rsid w:val="0088297B"/>
    <w:rsid w:val="00894CA0"/>
    <w:rsid w:val="00895461"/>
    <w:rsid w:val="00897C5E"/>
    <w:rsid w:val="008A2BB7"/>
    <w:rsid w:val="008B55B4"/>
    <w:rsid w:val="008B6A00"/>
    <w:rsid w:val="008C0269"/>
    <w:rsid w:val="008C257C"/>
    <w:rsid w:val="008D0FDE"/>
    <w:rsid w:val="008D7F7C"/>
    <w:rsid w:val="008E16ED"/>
    <w:rsid w:val="008E280E"/>
    <w:rsid w:val="008E2BA7"/>
    <w:rsid w:val="008E5642"/>
    <w:rsid w:val="008E5CC2"/>
    <w:rsid w:val="008F2E20"/>
    <w:rsid w:val="00912D60"/>
    <w:rsid w:val="00923B20"/>
    <w:rsid w:val="00932A3A"/>
    <w:rsid w:val="00935444"/>
    <w:rsid w:val="009518D9"/>
    <w:rsid w:val="0095236F"/>
    <w:rsid w:val="00953350"/>
    <w:rsid w:val="0097392A"/>
    <w:rsid w:val="0098512F"/>
    <w:rsid w:val="00985728"/>
    <w:rsid w:val="009857DD"/>
    <w:rsid w:val="009859AB"/>
    <w:rsid w:val="009907A9"/>
    <w:rsid w:val="00993DE4"/>
    <w:rsid w:val="00993F38"/>
    <w:rsid w:val="009A62FC"/>
    <w:rsid w:val="009B396E"/>
    <w:rsid w:val="009B567A"/>
    <w:rsid w:val="009C5C75"/>
    <w:rsid w:val="009D2A29"/>
    <w:rsid w:val="009E4DF2"/>
    <w:rsid w:val="009E6D60"/>
    <w:rsid w:val="009F3962"/>
    <w:rsid w:val="009F7401"/>
    <w:rsid w:val="009F78F2"/>
    <w:rsid w:val="00A10857"/>
    <w:rsid w:val="00A1269B"/>
    <w:rsid w:val="00A130F9"/>
    <w:rsid w:val="00A1585F"/>
    <w:rsid w:val="00A16398"/>
    <w:rsid w:val="00A211A3"/>
    <w:rsid w:val="00A27485"/>
    <w:rsid w:val="00A30038"/>
    <w:rsid w:val="00A309E8"/>
    <w:rsid w:val="00A3514D"/>
    <w:rsid w:val="00A40F98"/>
    <w:rsid w:val="00A42619"/>
    <w:rsid w:val="00A4267D"/>
    <w:rsid w:val="00A63E79"/>
    <w:rsid w:val="00A672B2"/>
    <w:rsid w:val="00A74C51"/>
    <w:rsid w:val="00A80C19"/>
    <w:rsid w:val="00A90A24"/>
    <w:rsid w:val="00A90BD3"/>
    <w:rsid w:val="00AA0DFE"/>
    <w:rsid w:val="00AA262E"/>
    <w:rsid w:val="00AA3174"/>
    <w:rsid w:val="00AA3A41"/>
    <w:rsid w:val="00AA6D45"/>
    <w:rsid w:val="00AA7585"/>
    <w:rsid w:val="00AB031D"/>
    <w:rsid w:val="00AD528F"/>
    <w:rsid w:val="00AD741D"/>
    <w:rsid w:val="00AD791C"/>
    <w:rsid w:val="00AE4F42"/>
    <w:rsid w:val="00AE728D"/>
    <w:rsid w:val="00AF3716"/>
    <w:rsid w:val="00AF4D71"/>
    <w:rsid w:val="00B04D46"/>
    <w:rsid w:val="00B1385B"/>
    <w:rsid w:val="00B22D31"/>
    <w:rsid w:val="00B30FE2"/>
    <w:rsid w:val="00B37580"/>
    <w:rsid w:val="00B52215"/>
    <w:rsid w:val="00B530CA"/>
    <w:rsid w:val="00B54527"/>
    <w:rsid w:val="00B57ADA"/>
    <w:rsid w:val="00B6496C"/>
    <w:rsid w:val="00B65962"/>
    <w:rsid w:val="00B82D73"/>
    <w:rsid w:val="00B84A2C"/>
    <w:rsid w:val="00BB3512"/>
    <w:rsid w:val="00BC137A"/>
    <w:rsid w:val="00BC7BCB"/>
    <w:rsid w:val="00BD109B"/>
    <w:rsid w:val="00BD2B5E"/>
    <w:rsid w:val="00BE7E27"/>
    <w:rsid w:val="00C131FD"/>
    <w:rsid w:val="00C31169"/>
    <w:rsid w:val="00C37522"/>
    <w:rsid w:val="00C43D8B"/>
    <w:rsid w:val="00C44042"/>
    <w:rsid w:val="00C46AF0"/>
    <w:rsid w:val="00C52956"/>
    <w:rsid w:val="00C53AE1"/>
    <w:rsid w:val="00C56EB6"/>
    <w:rsid w:val="00C6789D"/>
    <w:rsid w:val="00C84F07"/>
    <w:rsid w:val="00C855D4"/>
    <w:rsid w:val="00C9442C"/>
    <w:rsid w:val="00C95D16"/>
    <w:rsid w:val="00CA23C4"/>
    <w:rsid w:val="00CA575F"/>
    <w:rsid w:val="00CA6114"/>
    <w:rsid w:val="00CB0797"/>
    <w:rsid w:val="00CB644C"/>
    <w:rsid w:val="00CC5AC6"/>
    <w:rsid w:val="00CD1628"/>
    <w:rsid w:val="00CD1D27"/>
    <w:rsid w:val="00CD3AE7"/>
    <w:rsid w:val="00CD79FA"/>
    <w:rsid w:val="00CF6B3F"/>
    <w:rsid w:val="00D03DCB"/>
    <w:rsid w:val="00D16943"/>
    <w:rsid w:val="00D211AE"/>
    <w:rsid w:val="00D318E3"/>
    <w:rsid w:val="00D41B20"/>
    <w:rsid w:val="00D44615"/>
    <w:rsid w:val="00D45321"/>
    <w:rsid w:val="00D62519"/>
    <w:rsid w:val="00D625AA"/>
    <w:rsid w:val="00D63CBD"/>
    <w:rsid w:val="00D66959"/>
    <w:rsid w:val="00D70A39"/>
    <w:rsid w:val="00D71A7E"/>
    <w:rsid w:val="00D870D4"/>
    <w:rsid w:val="00D9398E"/>
    <w:rsid w:val="00D97059"/>
    <w:rsid w:val="00DB29CA"/>
    <w:rsid w:val="00DB5F2B"/>
    <w:rsid w:val="00DC5C19"/>
    <w:rsid w:val="00DC7068"/>
    <w:rsid w:val="00DF1DAC"/>
    <w:rsid w:val="00E1428E"/>
    <w:rsid w:val="00E14900"/>
    <w:rsid w:val="00E218D3"/>
    <w:rsid w:val="00E30DE6"/>
    <w:rsid w:val="00E31944"/>
    <w:rsid w:val="00E37194"/>
    <w:rsid w:val="00E4415D"/>
    <w:rsid w:val="00E44AB8"/>
    <w:rsid w:val="00E520BE"/>
    <w:rsid w:val="00E54E17"/>
    <w:rsid w:val="00E56A7A"/>
    <w:rsid w:val="00E617D3"/>
    <w:rsid w:val="00E71365"/>
    <w:rsid w:val="00E83B51"/>
    <w:rsid w:val="00E8762F"/>
    <w:rsid w:val="00E90AB8"/>
    <w:rsid w:val="00EA34E2"/>
    <w:rsid w:val="00EA52D1"/>
    <w:rsid w:val="00EB76D6"/>
    <w:rsid w:val="00EC02E8"/>
    <w:rsid w:val="00EC3842"/>
    <w:rsid w:val="00EC5D5D"/>
    <w:rsid w:val="00EC7C2B"/>
    <w:rsid w:val="00ED1F02"/>
    <w:rsid w:val="00EE20A1"/>
    <w:rsid w:val="00EF6E2C"/>
    <w:rsid w:val="00F0782D"/>
    <w:rsid w:val="00F14B9B"/>
    <w:rsid w:val="00F14CCC"/>
    <w:rsid w:val="00F20C09"/>
    <w:rsid w:val="00F217DF"/>
    <w:rsid w:val="00F21CAE"/>
    <w:rsid w:val="00F368B9"/>
    <w:rsid w:val="00F3739F"/>
    <w:rsid w:val="00F374C1"/>
    <w:rsid w:val="00F37B34"/>
    <w:rsid w:val="00F41C34"/>
    <w:rsid w:val="00F469B9"/>
    <w:rsid w:val="00F46C32"/>
    <w:rsid w:val="00F525B5"/>
    <w:rsid w:val="00F62365"/>
    <w:rsid w:val="00F74F50"/>
    <w:rsid w:val="00F83B0D"/>
    <w:rsid w:val="00F922EA"/>
    <w:rsid w:val="00F92927"/>
    <w:rsid w:val="00F979B3"/>
    <w:rsid w:val="00F97CCD"/>
    <w:rsid w:val="00FA320D"/>
    <w:rsid w:val="00FA53E9"/>
    <w:rsid w:val="00FB04E9"/>
    <w:rsid w:val="00FB1179"/>
    <w:rsid w:val="00FB1C6B"/>
    <w:rsid w:val="00FB4841"/>
    <w:rsid w:val="00FB6C94"/>
    <w:rsid w:val="00FB7F8B"/>
    <w:rsid w:val="00FC3753"/>
    <w:rsid w:val="00FC5743"/>
    <w:rsid w:val="00FD332F"/>
    <w:rsid w:val="00FE1CC1"/>
    <w:rsid w:val="00FF248B"/>
    <w:rsid w:val="00FF3E6F"/>
    <w:rsid w:val="00FF7425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191"/>
    <w:rPr>
      <w:rFonts w:ascii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135D5F"/>
    <w:pPr>
      <w:widowControl w:val="0"/>
      <w:spacing w:after="0" w:line="240" w:lineRule="auto"/>
      <w:ind w:left="100" w:right="3120"/>
      <w:outlineLvl w:val="0"/>
    </w:pPr>
    <w:rPr>
      <w:rFonts w:eastAsia="Calibri" w:cs="Calibri"/>
      <w:b/>
      <w:bCs/>
      <w:sz w:val="40"/>
      <w:szCs w:val="40"/>
      <w:lang w:val="en-US"/>
    </w:rPr>
  </w:style>
  <w:style w:type="paragraph" w:styleId="Ttulo2">
    <w:name w:val="heading 2"/>
    <w:basedOn w:val="Normal"/>
    <w:link w:val="Ttulo2Char"/>
    <w:uiPriority w:val="1"/>
    <w:qFormat/>
    <w:rsid w:val="00135D5F"/>
    <w:pPr>
      <w:widowControl w:val="0"/>
      <w:spacing w:before="1" w:after="0" w:line="240" w:lineRule="auto"/>
      <w:ind w:left="1824" w:right="322"/>
      <w:outlineLvl w:val="1"/>
    </w:pPr>
    <w:rPr>
      <w:rFonts w:eastAsia="Calibri" w:cs="Calibri"/>
      <w:b/>
      <w:bCs/>
      <w:sz w:val="32"/>
      <w:szCs w:val="3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619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350CC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50C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50CC2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426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512"/>
    <w:pPr>
      <w:ind w:left="720"/>
      <w:contextualSpacing/>
    </w:pPr>
  </w:style>
  <w:style w:type="paragraph" w:styleId="Sumrio2">
    <w:name w:val="toc 2"/>
    <w:basedOn w:val="Normal"/>
    <w:uiPriority w:val="1"/>
    <w:qFormat/>
    <w:rsid w:val="00F469B9"/>
    <w:pPr>
      <w:widowControl w:val="0"/>
      <w:spacing w:before="113" w:after="0" w:line="240" w:lineRule="auto"/>
      <w:ind w:left="100"/>
    </w:pPr>
    <w:rPr>
      <w:rFonts w:ascii="Arial Narrow" w:eastAsia="Arial Narrow" w:hAnsi="Arial Narrow" w:cs="Arial Narrow"/>
      <w:sz w:val="18"/>
      <w:szCs w:val="18"/>
      <w:lang w:val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35D5F"/>
    <w:pPr>
      <w:spacing w:after="100"/>
    </w:pPr>
  </w:style>
  <w:style w:type="paragraph" w:styleId="Corpodetexto">
    <w:name w:val="Body Text"/>
    <w:basedOn w:val="Normal"/>
    <w:link w:val="CorpodetextoChar"/>
    <w:uiPriority w:val="1"/>
    <w:qFormat/>
    <w:rsid w:val="00135D5F"/>
    <w:pPr>
      <w:widowControl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5D5F"/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135D5F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135D5F"/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RodapChar">
    <w:name w:val="Rodapé Char"/>
    <w:basedOn w:val="Fontepargpadro"/>
    <w:link w:val="Rodap"/>
    <w:rsid w:val="001B5F7A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E3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EA52D1"/>
  </w:style>
  <w:style w:type="paragraph" w:customStyle="1" w:styleId="body10">
    <w:name w:val="body10"/>
    <w:link w:val="body10Char"/>
    <w:rsid w:val="00B22D31"/>
    <w:pPr>
      <w:autoSpaceDE w:val="0"/>
      <w:autoSpaceDN w:val="0"/>
      <w:adjustRightInd w:val="0"/>
      <w:spacing w:after="0" w:line="220" w:lineRule="atLeast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10Char">
    <w:name w:val="body10 Char"/>
    <w:basedOn w:val="Fontepargpadro"/>
    <w:link w:val="body10"/>
    <w:locked/>
    <w:rsid w:val="00B22D3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191"/>
    <w:rPr>
      <w:rFonts w:ascii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135D5F"/>
    <w:pPr>
      <w:widowControl w:val="0"/>
      <w:spacing w:after="0" w:line="240" w:lineRule="auto"/>
      <w:ind w:left="100" w:right="3120"/>
      <w:outlineLvl w:val="0"/>
    </w:pPr>
    <w:rPr>
      <w:rFonts w:eastAsia="Calibri" w:cs="Calibri"/>
      <w:b/>
      <w:bCs/>
      <w:sz w:val="40"/>
      <w:szCs w:val="40"/>
      <w:lang w:val="en-US"/>
    </w:rPr>
  </w:style>
  <w:style w:type="paragraph" w:styleId="Ttulo2">
    <w:name w:val="heading 2"/>
    <w:basedOn w:val="Normal"/>
    <w:link w:val="Ttulo2Char"/>
    <w:uiPriority w:val="1"/>
    <w:qFormat/>
    <w:rsid w:val="00135D5F"/>
    <w:pPr>
      <w:widowControl w:val="0"/>
      <w:spacing w:before="1" w:after="0" w:line="240" w:lineRule="auto"/>
      <w:ind w:left="1824" w:right="322"/>
      <w:outlineLvl w:val="1"/>
    </w:pPr>
    <w:rPr>
      <w:rFonts w:eastAsia="Calibri" w:cs="Calibri"/>
      <w:b/>
      <w:bCs/>
      <w:sz w:val="32"/>
      <w:szCs w:val="3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619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350CC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50C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50CC2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426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512"/>
    <w:pPr>
      <w:ind w:left="720"/>
      <w:contextualSpacing/>
    </w:pPr>
  </w:style>
  <w:style w:type="paragraph" w:styleId="Sumrio2">
    <w:name w:val="toc 2"/>
    <w:basedOn w:val="Normal"/>
    <w:uiPriority w:val="1"/>
    <w:qFormat/>
    <w:rsid w:val="00F469B9"/>
    <w:pPr>
      <w:widowControl w:val="0"/>
      <w:spacing w:before="113" w:after="0" w:line="240" w:lineRule="auto"/>
      <w:ind w:left="100"/>
    </w:pPr>
    <w:rPr>
      <w:rFonts w:ascii="Arial Narrow" w:eastAsia="Arial Narrow" w:hAnsi="Arial Narrow" w:cs="Arial Narrow"/>
      <w:sz w:val="18"/>
      <w:szCs w:val="18"/>
      <w:lang w:val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35D5F"/>
    <w:pPr>
      <w:spacing w:after="100"/>
    </w:pPr>
  </w:style>
  <w:style w:type="paragraph" w:styleId="Corpodetexto">
    <w:name w:val="Body Text"/>
    <w:basedOn w:val="Normal"/>
    <w:link w:val="CorpodetextoChar"/>
    <w:uiPriority w:val="1"/>
    <w:qFormat/>
    <w:rsid w:val="00135D5F"/>
    <w:pPr>
      <w:widowControl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5D5F"/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135D5F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135D5F"/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RodapChar">
    <w:name w:val="Rodapé Char"/>
    <w:basedOn w:val="Fontepargpadro"/>
    <w:link w:val="Rodap"/>
    <w:rsid w:val="001B5F7A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E3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EA52D1"/>
  </w:style>
  <w:style w:type="paragraph" w:customStyle="1" w:styleId="body10">
    <w:name w:val="body10"/>
    <w:link w:val="body10Char"/>
    <w:rsid w:val="00B22D31"/>
    <w:pPr>
      <w:autoSpaceDE w:val="0"/>
      <w:autoSpaceDN w:val="0"/>
      <w:adjustRightInd w:val="0"/>
      <w:spacing w:after="0" w:line="220" w:lineRule="atLeast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10Char">
    <w:name w:val="body10 Char"/>
    <w:basedOn w:val="Fontepargpadro"/>
    <w:link w:val="body10"/>
    <w:locked/>
    <w:rsid w:val="00B22D3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9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1.tce.pr.gov.br/multimidia/2017/2/pdf/00309964.pdf" TargetMode="External"/><Relationship Id="rId18" Type="http://schemas.openxmlformats.org/officeDocument/2006/relationships/hyperlink" Target="http://www.stf.jus.br/portal/processo/verProcessoAndamento.asp?numero=650898&amp;classe=RE&amp;origem=AP&amp;recurso=0&amp;tipoJulgamento=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1.tce.pr.gov.br/multimidia/2017/2/pdf/00309968.pdf" TargetMode="External"/><Relationship Id="rId17" Type="http://schemas.openxmlformats.org/officeDocument/2006/relationships/hyperlink" Target="https://contas.tcu.gov.br/sagas/SvlVisualizarRelVotoAcRtf?codFiltro=SAGAS-SESSAO-ENCERRADA&amp;seOcultaPagina=S&amp;item0=5751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multimidia/2017/2/pdf/00309971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1.tce.pr.gov.br/multimidia/2017/2/pdf/00309965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1.tce.pr.gov.br/multimidia/2017/2/pdf/00309966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1.tce.pr.gov.br/multimidia/2017/1/pdf/00309722.pdf" TargetMode="External"/><Relationship Id="rId19" Type="http://schemas.openxmlformats.org/officeDocument/2006/relationships/hyperlink" Target="http://www.stf.jus.br/portal/processo/verProcessoAndamento.asp?numero=786540&amp;classe=RE&amp;origem=AP&amp;recurso=0&amp;tipoJulgamento=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1.tce.pr.gov.br/multimidia/2017/2/pdf/00309884.pdf" TargetMode="External"/><Relationship Id="rId14" Type="http://schemas.openxmlformats.org/officeDocument/2006/relationships/hyperlink" Target="http://www1.tce.pr.gov.br/multimidia/2017/2/pdf/00309750.pd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9CEE6-0BDB-4329-A300-11F6A524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5</Pages>
  <Words>2083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Guilherme Hansen Faraj</dc:creator>
  <cp:lastModifiedBy>Tiago Moraes Ribeiro</cp:lastModifiedBy>
  <cp:revision>155</cp:revision>
  <cp:lastPrinted>2017-02-06T13:19:00Z</cp:lastPrinted>
  <dcterms:created xsi:type="dcterms:W3CDTF">2017-01-30T19:05:00Z</dcterms:created>
  <dcterms:modified xsi:type="dcterms:W3CDTF">2017-02-16T19:18:00Z</dcterms:modified>
</cp:coreProperties>
</file>