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012F" w:rsidRPr="0022060B" w:rsidRDefault="0038012F" w:rsidP="00816942">
      <w:pPr>
        <w:pStyle w:val="Cabealho"/>
        <w:spacing w:line="276" w:lineRule="auto"/>
        <w:jc w:val="center"/>
        <w:rPr>
          <w:rFonts w:ascii="Arial" w:hAnsi="Arial" w:cs="Arial"/>
          <w:sz w:val="20"/>
          <w:szCs w:val="20"/>
        </w:rPr>
      </w:pPr>
      <w:r w:rsidRPr="0022060B">
        <w:rPr>
          <w:rFonts w:ascii="Arial" w:hAnsi="Arial" w:cs="Arial"/>
          <w:b/>
          <w:sz w:val="20"/>
          <w:szCs w:val="20"/>
        </w:rPr>
        <w:t>Boletim de Jurisprudência TCE/PR</w:t>
      </w:r>
      <w:r w:rsidRPr="0022060B">
        <w:rPr>
          <w:rFonts w:ascii="Arial" w:hAnsi="Arial" w:cs="Arial"/>
          <w:sz w:val="20"/>
          <w:szCs w:val="20"/>
        </w:rPr>
        <w:t xml:space="preserve"> </w:t>
      </w:r>
    </w:p>
    <w:p w:rsidR="00814325" w:rsidRDefault="00814325" w:rsidP="00816942">
      <w:pPr>
        <w:spacing w:after="0"/>
        <w:jc w:val="center"/>
        <w:rPr>
          <w:rFonts w:ascii="Arial" w:hAnsi="Arial" w:cs="Arial"/>
          <w:b/>
          <w:sz w:val="20"/>
          <w:szCs w:val="20"/>
        </w:rPr>
      </w:pPr>
    </w:p>
    <w:p w:rsidR="001B5F7A" w:rsidRDefault="001B5F7A" w:rsidP="00816942">
      <w:pPr>
        <w:spacing w:after="0"/>
        <w:jc w:val="center"/>
        <w:rPr>
          <w:rFonts w:ascii="Arial" w:hAnsi="Arial" w:cs="Arial"/>
          <w:b/>
          <w:sz w:val="20"/>
          <w:szCs w:val="20"/>
        </w:rPr>
      </w:pPr>
      <w:r w:rsidRPr="0022060B">
        <w:rPr>
          <w:rFonts w:ascii="Arial" w:hAnsi="Arial" w:cs="Arial"/>
          <w:b/>
          <w:sz w:val="20"/>
          <w:szCs w:val="20"/>
        </w:rPr>
        <w:t xml:space="preserve">Número </w:t>
      </w:r>
      <w:r w:rsidR="00C571E2">
        <w:rPr>
          <w:rFonts w:ascii="Arial" w:hAnsi="Arial" w:cs="Arial"/>
          <w:b/>
          <w:sz w:val="20"/>
          <w:szCs w:val="20"/>
        </w:rPr>
        <w:t>3</w:t>
      </w:r>
      <w:r w:rsidR="00927DF1">
        <w:rPr>
          <w:rFonts w:ascii="Arial" w:hAnsi="Arial" w:cs="Arial"/>
          <w:b/>
          <w:sz w:val="20"/>
          <w:szCs w:val="20"/>
        </w:rPr>
        <w:t>5</w:t>
      </w:r>
    </w:p>
    <w:p w:rsidR="006F08D4" w:rsidRPr="0022060B" w:rsidRDefault="006F08D4" w:rsidP="00816942">
      <w:pPr>
        <w:spacing w:after="0"/>
        <w:jc w:val="center"/>
        <w:rPr>
          <w:rFonts w:ascii="Arial" w:hAnsi="Arial" w:cs="Arial"/>
          <w:b/>
          <w:sz w:val="20"/>
          <w:szCs w:val="20"/>
        </w:rPr>
      </w:pPr>
    </w:p>
    <w:p w:rsidR="001B5F7A" w:rsidRPr="0090061C" w:rsidRDefault="001B5F7A" w:rsidP="00816942">
      <w:pPr>
        <w:spacing w:after="0"/>
        <w:jc w:val="center"/>
        <w:rPr>
          <w:rFonts w:ascii="Arial" w:hAnsi="Arial" w:cs="Arial"/>
          <w:b/>
          <w:sz w:val="20"/>
          <w:szCs w:val="20"/>
        </w:rPr>
      </w:pPr>
      <w:r w:rsidRPr="000756E4">
        <w:rPr>
          <w:rFonts w:ascii="Arial" w:hAnsi="Arial" w:cs="Arial"/>
          <w:b/>
          <w:sz w:val="20"/>
          <w:szCs w:val="20"/>
        </w:rPr>
        <w:t xml:space="preserve">Sessões: </w:t>
      </w:r>
      <w:r w:rsidR="000756E4" w:rsidRPr="000756E4">
        <w:rPr>
          <w:rFonts w:ascii="Arial" w:hAnsi="Arial" w:cs="Arial"/>
          <w:b/>
          <w:sz w:val="20"/>
          <w:szCs w:val="20"/>
        </w:rPr>
        <w:t>24</w:t>
      </w:r>
      <w:r w:rsidR="00814325" w:rsidRPr="000756E4">
        <w:rPr>
          <w:rFonts w:ascii="Arial" w:hAnsi="Arial" w:cs="Arial"/>
          <w:b/>
          <w:sz w:val="20"/>
          <w:szCs w:val="20"/>
        </w:rPr>
        <w:t>.</w:t>
      </w:r>
      <w:r w:rsidR="00015FB0" w:rsidRPr="000756E4">
        <w:rPr>
          <w:rFonts w:ascii="Arial" w:hAnsi="Arial" w:cs="Arial"/>
          <w:b/>
          <w:sz w:val="20"/>
          <w:szCs w:val="20"/>
        </w:rPr>
        <w:t>0</w:t>
      </w:r>
      <w:r w:rsidR="0090061C" w:rsidRPr="000756E4">
        <w:rPr>
          <w:rFonts w:ascii="Arial" w:hAnsi="Arial" w:cs="Arial"/>
          <w:b/>
          <w:sz w:val="20"/>
          <w:szCs w:val="20"/>
        </w:rPr>
        <w:t>4</w:t>
      </w:r>
      <w:r w:rsidR="005A0FD0" w:rsidRPr="000756E4">
        <w:rPr>
          <w:rFonts w:ascii="Arial" w:hAnsi="Arial" w:cs="Arial"/>
          <w:b/>
          <w:sz w:val="20"/>
          <w:szCs w:val="20"/>
        </w:rPr>
        <w:t xml:space="preserve"> </w:t>
      </w:r>
      <w:r w:rsidR="000D4DE6" w:rsidRPr="000756E4">
        <w:rPr>
          <w:rFonts w:ascii="Arial" w:hAnsi="Arial" w:cs="Arial"/>
          <w:b/>
          <w:sz w:val="20"/>
          <w:szCs w:val="20"/>
        </w:rPr>
        <w:t>a</w:t>
      </w:r>
      <w:r w:rsidRPr="000756E4">
        <w:rPr>
          <w:rFonts w:ascii="Arial" w:hAnsi="Arial" w:cs="Arial"/>
          <w:b/>
          <w:sz w:val="20"/>
          <w:szCs w:val="20"/>
        </w:rPr>
        <w:t xml:space="preserve"> </w:t>
      </w:r>
      <w:r w:rsidR="000756E4" w:rsidRPr="000756E4">
        <w:rPr>
          <w:rFonts w:ascii="Arial" w:hAnsi="Arial" w:cs="Arial"/>
          <w:b/>
          <w:sz w:val="20"/>
          <w:szCs w:val="20"/>
        </w:rPr>
        <w:t>03</w:t>
      </w:r>
      <w:r w:rsidR="005A0FD0" w:rsidRPr="000756E4">
        <w:rPr>
          <w:rFonts w:ascii="Arial" w:hAnsi="Arial" w:cs="Arial"/>
          <w:b/>
          <w:sz w:val="20"/>
          <w:szCs w:val="20"/>
        </w:rPr>
        <w:t>.</w:t>
      </w:r>
      <w:r w:rsidR="00015FB0" w:rsidRPr="000756E4">
        <w:rPr>
          <w:rFonts w:ascii="Arial" w:hAnsi="Arial" w:cs="Arial"/>
          <w:b/>
          <w:sz w:val="20"/>
          <w:szCs w:val="20"/>
        </w:rPr>
        <w:t>0</w:t>
      </w:r>
      <w:r w:rsidR="000756E4" w:rsidRPr="000756E4">
        <w:rPr>
          <w:rFonts w:ascii="Arial" w:hAnsi="Arial" w:cs="Arial"/>
          <w:b/>
          <w:sz w:val="20"/>
          <w:szCs w:val="20"/>
        </w:rPr>
        <w:t>5</w:t>
      </w:r>
      <w:r w:rsidRPr="000756E4">
        <w:rPr>
          <w:rFonts w:ascii="Arial" w:hAnsi="Arial" w:cs="Arial"/>
          <w:b/>
          <w:sz w:val="20"/>
          <w:szCs w:val="20"/>
        </w:rPr>
        <w:t xml:space="preserve"> de 201</w:t>
      </w:r>
      <w:r w:rsidR="00015FB0" w:rsidRPr="000756E4">
        <w:rPr>
          <w:rFonts w:ascii="Arial" w:hAnsi="Arial" w:cs="Arial"/>
          <w:b/>
          <w:sz w:val="20"/>
          <w:szCs w:val="20"/>
        </w:rPr>
        <w:t>8</w:t>
      </w:r>
    </w:p>
    <w:p w:rsidR="007436B5" w:rsidRDefault="007436B5" w:rsidP="00816942">
      <w:pPr>
        <w:spacing w:after="0"/>
        <w:jc w:val="both"/>
        <w:rPr>
          <w:rFonts w:ascii="Arial" w:hAnsi="Arial" w:cs="Arial"/>
          <w:sz w:val="20"/>
          <w:szCs w:val="20"/>
        </w:rPr>
      </w:pPr>
    </w:p>
    <w:p w:rsidR="00FE7B14" w:rsidRPr="0022060B" w:rsidRDefault="00FE7B14" w:rsidP="00816942">
      <w:pPr>
        <w:spacing w:after="0"/>
        <w:jc w:val="both"/>
        <w:rPr>
          <w:rFonts w:ascii="Arial" w:hAnsi="Arial" w:cs="Arial"/>
          <w:sz w:val="20"/>
          <w:szCs w:val="20"/>
        </w:rPr>
      </w:pPr>
      <w:r w:rsidRPr="0022060B">
        <w:rPr>
          <w:rFonts w:ascii="Arial" w:hAnsi="Arial" w:cs="Arial"/>
          <w:sz w:val="20"/>
          <w:szCs w:val="20"/>
        </w:rPr>
        <w:t xml:space="preserve">Este Boletim contém informações sintéticas de decisões proferidas pelos Colegiados do TCE/PR que receberam indicação de relevância sob o prisma jurisprudencial no período acima indicado. </w:t>
      </w:r>
      <w:r w:rsidRPr="0022060B">
        <w:rPr>
          <w:rFonts w:ascii="Arial" w:hAnsi="Arial" w:cs="Arial"/>
          <w:color w:val="212121"/>
          <w:sz w:val="20"/>
          <w:szCs w:val="20"/>
        </w:rPr>
        <w:t>A seleção das decisões leva em consideração ao menos um dos seguintes fatores: ineditismo da deliberação, discussão no colegiado ou reiteração de entendimento importante.</w:t>
      </w:r>
      <w:r w:rsidRPr="0022060B">
        <w:rPr>
          <w:rFonts w:ascii="Arial" w:hAnsi="Arial" w:cs="Arial"/>
          <w:sz w:val="20"/>
          <w:szCs w:val="20"/>
        </w:rPr>
        <w:t xml:space="preserve"> O objetivo é facilitar ao interessado o acompanhamento dos acórdãos mais importantes do Tribunal. Para aprofundamento, o leitor pode acessar o inteiro teor das deliberações por meio dos links disponíveis.</w:t>
      </w:r>
      <w:r w:rsidRPr="0022060B">
        <w:rPr>
          <w:rFonts w:ascii="Arial" w:hAnsi="Arial" w:cs="Arial"/>
          <w:color w:val="212121"/>
          <w:sz w:val="20"/>
          <w:szCs w:val="20"/>
        </w:rPr>
        <w:t xml:space="preserve"> </w:t>
      </w:r>
      <w:r w:rsidRPr="0022060B">
        <w:rPr>
          <w:rFonts w:ascii="Arial" w:hAnsi="Arial" w:cs="Arial"/>
          <w:sz w:val="20"/>
          <w:szCs w:val="20"/>
        </w:rPr>
        <w:t xml:space="preserve">As informações aqui apresentadas não são </w:t>
      </w:r>
      <w:proofErr w:type="gramStart"/>
      <w:r w:rsidRPr="0022060B">
        <w:rPr>
          <w:rFonts w:ascii="Arial" w:hAnsi="Arial" w:cs="Arial"/>
          <w:sz w:val="20"/>
          <w:szCs w:val="20"/>
        </w:rPr>
        <w:t>repositórios</w:t>
      </w:r>
      <w:proofErr w:type="gramEnd"/>
      <w:r w:rsidRPr="0022060B">
        <w:rPr>
          <w:rFonts w:ascii="Arial" w:hAnsi="Arial" w:cs="Arial"/>
          <w:sz w:val="20"/>
          <w:szCs w:val="20"/>
        </w:rPr>
        <w:t xml:space="preserve"> oficiais de jurisprudência.</w:t>
      </w:r>
    </w:p>
    <w:p w:rsidR="00FE7B14" w:rsidRPr="0022060B" w:rsidRDefault="00FE7B14" w:rsidP="00816942">
      <w:pPr>
        <w:spacing w:after="0"/>
        <w:jc w:val="both"/>
        <w:rPr>
          <w:rFonts w:ascii="Arial" w:hAnsi="Arial" w:cs="Arial"/>
          <w:sz w:val="20"/>
          <w:szCs w:val="20"/>
        </w:rPr>
      </w:pPr>
    </w:p>
    <w:p w:rsidR="00FE7B14" w:rsidRPr="0022060B" w:rsidRDefault="00FE7B14" w:rsidP="00816942">
      <w:pPr>
        <w:spacing w:after="0"/>
        <w:jc w:val="both"/>
        <w:rPr>
          <w:rFonts w:ascii="Arial" w:hAnsi="Arial" w:cs="Arial"/>
          <w:sz w:val="20"/>
          <w:szCs w:val="20"/>
        </w:rPr>
      </w:pPr>
      <w:r w:rsidRPr="0022060B">
        <w:rPr>
          <w:rFonts w:ascii="Arial" w:hAnsi="Arial" w:cs="Arial"/>
          <w:noProof/>
          <w:sz w:val="20"/>
          <w:szCs w:val="20"/>
          <w:lang w:eastAsia="pt-BR"/>
        </w:rPr>
        <mc:AlternateContent>
          <mc:Choice Requires="wps">
            <w:drawing>
              <wp:anchor distT="0" distB="0" distL="114300" distR="114300" simplePos="0" relativeHeight="251660800" behindDoc="0" locked="0" layoutInCell="1" allowOverlap="1" wp14:anchorId="6B69DEB3" wp14:editId="579163A6">
                <wp:simplePos x="0" y="0"/>
                <wp:positionH relativeFrom="margin">
                  <wp:posOffset>-635</wp:posOffset>
                </wp:positionH>
                <wp:positionV relativeFrom="paragraph">
                  <wp:posOffset>29845</wp:posOffset>
                </wp:positionV>
                <wp:extent cx="5397500" cy="0"/>
                <wp:effectExtent l="0" t="0" r="12700" b="57150"/>
                <wp:wrapNone/>
                <wp:docPr id="1"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7500"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23C5B981" id="Conector reto 1" o:spid="_x0000_s1026" style="position:absolute;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5pt,2.35pt" to="424.9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" strokecolor="black [3200]" strokeweight="2pt">
                <v:shadow on="t" color="black" opacity="24903f" origin=",.5" offset="0,.55556mm"/>
                <w10:wrap anchorx="margin"/>
              </v:line>
            </w:pict>
          </mc:Fallback>
        </mc:AlternateContent>
      </w:r>
    </w:p>
    <w:p w:rsidR="00AE4F42" w:rsidRPr="0022060B" w:rsidRDefault="00AE4F42" w:rsidP="00816942">
      <w:pPr>
        <w:shd w:val="pct10" w:color="auto" w:fill="auto"/>
        <w:spacing w:after="0"/>
        <w:jc w:val="center"/>
        <w:rPr>
          <w:rFonts w:ascii="Arial" w:hAnsi="Arial" w:cs="Arial"/>
          <w:b/>
          <w:sz w:val="20"/>
          <w:szCs w:val="20"/>
        </w:rPr>
      </w:pPr>
      <w:r w:rsidRPr="0022060B">
        <w:rPr>
          <w:rFonts w:ascii="Arial" w:hAnsi="Arial" w:cs="Arial"/>
          <w:b/>
          <w:sz w:val="20"/>
          <w:szCs w:val="20"/>
        </w:rPr>
        <w:t>S</w:t>
      </w:r>
      <w:r w:rsidR="00221D15" w:rsidRPr="0022060B">
        <w:rPr>
          <w:rFonts w:ascii="Arial" w:hAnsi="Arial" w:cs="Arial"/>
          <w:b/>
          <w:sz w:val="20"/>
          <w:szCs w:val="20"/>
        </w:rPr>
        <w:t>U</w:t>
      </w:r>
      <w:r w:rsidRPr="0022060B">
        <w:rPr>
          <w:rFonts w:ascii="Arial" w:hAnsi="Arial" w:cs="Arial"/>
          <w:b/>
          <w:sz w:val="20"/>
          <w:szCs w:val="20"/>
        </w:rPr>
        <w:t>MÁRIO</w:t>
      </w:r>
    </w:p>
    <w:p w:rsidR="004429A2" w:rsidRDefault="004429A2" w:rsidP="00816942">
      <w:pPr>
        <w:spacing w:after="0"/>
        <w:jc w:val="both"/>
        <w:rPr>
          <w:rStyle w:val="Hyperlink"/>
          <w:rFonts w:ascii="Arial" w:hAnsi="Arial" w:cs="Arial"/>
          <w:b/>
          <w:color w:val="000000" w:themeColor="text1"/>
          <w:sz w:val="20"/>
          <w:szCs w:val="20"/>
          <w:u w:val="none"/>
        </w:rPr>
      </w:pPr>
    </w:p>
    <w:p w:rsidR="001D4782" w:rsidRPr="001D4782" w:rsidRDefault="00FA31E0" w:rsidP="001D4782">
      <w:pPr>
        <w:pStyle w:val="NormalWeb"/>
        <w:spacing w:before="0" w:beforeAutospacing="0" w:after="0" w:afterAutospacing="0" w:line="276" w:lineRule="auto"/>
        <w:jc w:val="both"/>
        <w:rPr>
          <w:rStyle w:val="Forte"/>
          <w:rFonts w:ascii="Arial" w:hAnsi="Arial" w:cs="Arial"/>
          <w:b w:val="0"/>
          <w:color w:val="000000"/>
          <w:sz w:val="20"/>
          <w:szCs w:val="20"/>
        </w:rPr>
      </w:pPr>
      <w:r>
        <w:rPr>
          <w:rStyle w:val="Forte"/>
          <w:rFonts w:ascii="Arial" w:hAnsi="Arial" w:cs="Arial"/>
          <w:b w:val="0"/>
          <w:color w:val="000000"/>
          <w:sz w:val="20"/>
          <w:szCs w:val="20"/>
        </w:rPr>
        <w:t xml:space="preserve">1. </w:t>
      </w:r>
      <w:r w:rsidR="001D4782" w:rsidRPr="001D4782">
        <w:rPr>
          <w:rStyle w:val="Forte"/>
          <w:rFonts w:ascii="Arial" w:hAnsi="Arial" w:cs="Arial"/>
          <w:b w:val="0"/>
          <w:color w:val="000000"/>
          <w:sz w:val="20"/>
          <w:szCs w:val="20"/>
        </w:rPr>
        <w:t>Prestação de Contas Anual. Atrasos na entrega dos dados do SIM-AM. Teoria da continuidade delitiva na administração. Regularidade das contas. Ressalva. Multa.</w:t>
      </w:r>
    </w:p>
    <w:p w:rsidR="001D4782" w:rsidRDefault="001D4782" w:rsidP="00816942">
      <w:pPr>
        <w:spacing w:after="0"/>
        <w:jc w:val="both"/>
        <w:rPr>
          <w:rStyle w:val="Hyperlink"/>
          <w:rFonts w:ascii="Arial" w:hAnsi="Arial" w:cs="Arial"/>
          <w:b/>
          <w:color w:val="000000" w:themeColor="text1"/>
          <w:sz w:val="20"/>
          <w:szCs w:val="20"/>
          <w:u w:val="none"/>
        </w:rPr>
      </w:pPr>
    </w:p>
    <w:p w:rsidR="003B316A" w:rsidRPr="003B316A" w:rsidRDefault="00FA31E0" w:rsidP="003B316A">
      <w:pPr>
        <w:pStyle w:val="NormalWeb"/>
        <w:spacing w:before="0" w:beforeAutospacing="0" w:after="0" w:afterAutospacing="0" w:line="276" w:lineRule="auto"/>
        <w:jc w:val="both"/>
        <w:rPr>
          <w:rStyle w:val="Forte"/>
          <w:rFonts w:ascii="Arial" w:hAnsi="Arial" w:cs="Arial"/>
          <w:b w:val="0"/>
          <w:color w:val="000000"/>
          <w:sz w:val="20"/>
          <w:szCs w:val="20"/>
        </w:rPr>
      </w:pPr>
      <w:r>
        <w:rPr>
          <w:rStyle w:val="Forte"/>
          <w:rFonts w:ascii="Arial" w:hAnsi="Arial" w:cs="Arial"/>
          <w:b w:val="0"/>
          <w:color w:val="000000"/>
          <w:sz w:val="20"/>
          <w:szCs w:val="20"/>
        </w:rPr>
        <w:t xml:space="preserve">2. </w:t>
      </w:r>
      <w:r w:rsidR="003B316A" w:rsidRPr="003B316A">
        <w:rPr>
          <w:rStyle w:val="Forte"/>
          <w:rFonts w:ascii="Arial" w:hAnsi="Arial" w:cs="Arial"/>
          <w:b w:val="0"/>
          <w:color w:val="000000"/>
          <w:sz w:val="20"/>
          <w:szCs w:val="20"/>
        </w:rPr>
        <w:t>Prestação de Conas Anual. Atraso na entrega dos dados do SIM-AM. Fundo de Aposentadoria e Pensões de Servidores Públicos. Ausência de encaminhamento do Certificado de Regularidade Previdenciária emitido pelo Ministério da Previdência Social. Regularidade. Ressalvas. Multa.</w:t>
      </w:r>
    </w:p>
    <w:p w:rsidR="003B316A" w:rsidRDefault="003B316A" w:rsidP="00816942">
      <w:pPr>
        <w:spacing w:after="0"/>
        <w:jc w:val="both"/>
        <w:rPr>
          <w:rStyle w:val="Hyperlink"/>
          <w:rFonts w:ascii="Arial" w:hAnsi="Arial" w:cs="Arial"/>
          <w:b/>
          <w:color w:val="000000" w:themeColor="text1"/>
          <w:sz w:val="20"/>
          <w:szCs w:val="20"/>
          <w:u w:val="none"/>
        </w:rPr>
      </w:pPr>
    </w:p>
    <w:p w:rsidR="00515361" w:rsidRPr="00515361" w:rsidRDefault="00FA31E0" w:rsidP="00515361">
      <w:pPr>
        <w:spacing w:after="0"/>
        <w:jc w:val="both"/>
        <w:rPr>
          <w:rFonts w:ascii="Arial" w:eastAsia="Times New Roman" w:hAnsi="Arial" w:cs="Arial"/>
          <w:sz w:val="20"/>
          <w:szCs w:val="20"/>
          <w:shd w:val="clear" w:color="auto" w:fill="FFFFFF"/>
          <w:lang w:eastAsia="pt-BR"/>
        </w:rPr>
      </w:pPr>
      <w:r>
        <w:rPr>
          <w:rFonts w:ascii="Arial" w:eastAsia="Times New Roman" w:hAnsi="Arial" w:cs="Arial"/>
          <w:sz w:val="20"/>
          <w:szCs w:val="20"/>
          <w:shd w:val="clear" w:color="auto" w:fill="FFFFFF"/>
          <w:lang w:eastAsia="pt-BR"/>
        </w:rPr>
        <w:t xml:space="preserve">3. </w:t>
      </w:r>
      <w:r w:rsidR="00515361" w:rsidRPr="00515361">
        <w:rPr>
          <w:rFonts w:ascii="Arial" w:eastAsia="Times New Roman" w:hAnsi="Arial" w:cs="Arial"/>
          <w:sz w:val="20"/>
          <w:szCs w:val="20"/>
          <w:shd w:val="clear" w:color="auto" w:fill="FFFFFF"/>
          <w:lang w:eastAsia="pt-BR"/>
        </w:rPr>
        <w:t>Prestação de Contas Anual. Contabilidade. Orçamento. Crédito Suplementar. Comprovação. Superávit. Crédito Adicional.</w:t>
      </w:r>
    </w:p>
    <w:p w:rsidR="00515361" w:rsidRDefault="00515361" w:rsidP="00816942">
      <w:pPr>
        <w:spacing w:after="0"/>
        <w:jc w:val="both"/>
        <w:rPr>
          <w:rStyle w:val="Hyperlink"/>
          <w:rFonts w:ascii="Arial" w:hAnsi="Arial" w:cs="Arial"/>
          <w:b/>
          <w:color w:val="000000" w:themeColor="text1"/>
          <w:sz w:val="20"/>
          <w:szCs w:val="20"/>
          <w:u w:val="none"/>
        </w:rPr>
      </w:pPr>
    </w:p>
    <w:p w:rsidR="00515361" w:rsidRPr="00515361" w:rsidRDefault="00FA31E0" w:rsidP="00515361">
      <w:pPr>
        <w:spacing w:after="0"/>
        <w:jc w:val="both"/>
        <w:rPr>
          <w:rFonts w:ascii="Arial" w:eastAsia="Times New Roman" w:hAnsi="Arial" w:cs="Arial"/>
          <w:sz w:val="20"/>
          <w:szCs w:val="20"/>
          <w:shd w:val="clear" w:color="auto" w:fill="FFFFFF"/>
          <w:lang w:eastAsia="pt-BR"/>
        </w:rPr>
      </w:pPr>
      <w:r>
        <w:rPr>
          <w:rFonts w:ascii="Arial" w:eastAsia="Times New Roman" w:hAnsi="Arial" w:cs="Arial"/>
          <w:sz w:val="20"/>
          <w:szCs w:val="20"/>
          <w:shd w:val="clear" w:color="auto" w:fill="FFFFFF"/>
          <w:lang w:eastAsia="pt-BR"/>
        </w:rPr>
        <w:t xml:space="preserve">4. </w:t>
      </w:r>
      <w:r w:rsidR="00515361" w:rsidRPr="00515361">
        <w:rPr>
          <w:rFonts w:ascii="Arial" w:eastAsia="Times New Roman" w:hAnsi="Arial" w:cs="Arial"/>
          <w:sz w:val="20"/>
          <w:szCs w:val="20"/>
          <w:shd w:val="clear" w:color="auto" w:fill="FFFFFF"/>
          <w:lang w:eastAsia="pt-BR"/>
        </w:rPr>
        <w:t>Ato de Inativação. Ausência de instrução do respectivo processo de admissão. Desídia da administração. Segurança jurídica. Boa-fé.</w:t>
      </w:r>
    </w:p>
    <w:p w:rsidR="00515361" w:rsidRDefault="00515361" w:rsidP="00816942">
      <w:pPr>
        <w:spacing w:after="0"/>
        <w:jc w:val="both"/>
        <w:rPr>
          <w:rStyle w:val="Hyperlink"/>
          <w:rFonts w:ascii="Arial" w:hAnsi="Arial" w:cs="Arial"/>
          <w:b/>
          <w:color w:val="000000" w:themeColor="text1"/>
          <w:sz w:val="20"/>
          <w:szCs w:val="20"/>
          <w:u w:val="none"/>
        </w:rPr>
      </w:pPr>
    </w:p>
    <w:p w:rsidR="006F7BB1" w:rsidRPr="006F7BB1" w:rsidRDefault="00FA31E0" w:rsidP="006F7BB1">
      <w:pPr>
        <w:pStyle w:val="NormalWeb"/>
        <w:spacing w:before="0" w:beforeAutospacing="0" w:after="0" w:afterAutospacing="0" w:line="276" w:lineRule="auto"/>
        <w:jc w:val="both"/>
        <w:rPr>
          <w:rStyle w:val="Forte"/>
          <w:rFonts w:ascii="Arial" w:hAnsi="Arial" w:cs="Arial"/>
          <w:b w:val="0"/>
          <w:color w:val="000000"/>
          <w:sz w:val="20"/>
          <w:szCs w:val="20"/>
        </w:rPr>
      </w:pPr>
      <w:r>
        <w:rPr>
          <w:rStyle w:val="Forte"/>
          <w:rFonts w:ascii="Arial" w:hAnsi="Arial" w:cs="Arial"/>
          <w:b w:val="0"/>
          <w:color w:val="000000"/>
          <w:sz w:val="20"/>
          <w:szCs w:val="20"/>
        </w:rPr>
        <w:t xml:space="preserve">5. </w:t>
      </w:r>
      <w:r w:rsidR="006F7BB1" w:rsidRPr="006F7BB1">
        <w:rPr>
          <w:rStyle w:val="Forte"/>
          <w:rFonts w:ascii="Arial" w:hAnsi="Arial" w:cs="Arial"/>
          <w:b w:val="0"/>
          <w:color w:val="000000"/>
          <w:sz w:val="20"/>
          <w:szCs w:val="20"/>
        </w:rPr>
        <w:t>Súmula nº 12. Proposta de Revisão. Uniformização de Jurisprudência nº 23. Proposta de Revisão aprovada pelo Colegiado.</w:t>
      </w:r>
    </w:p>
    <w:p w:rsidR="006E12D5" w:rsidRDefault="006E12D5" w:rsidP="00816942">
      <w:pPr>
        <w:spacing w:after="0"/>
        <w:jc w:val="both"/>
        <w:rPr>
          <w:rStyle w:val="Hyperlink"/>
          <w:rFonts w:ascii="Arial" w:hAnsi="Arial" w:cs="Arial"/>
          <w:b/>
          <w:color w:val="000000" w:themeColor="text1"/>
          <w:sz w:val="20"/>
          <w:szCs w:val="20"/>
          <w:u w:val="none"/>
        </w:rPr>
      </w:pPr>
    </w:p>
    <w:p w:rsidR="006F7BB1" w:rsidRPr="006F7BB1" w:rsidRDefault="00FA31E0" w:rsidP="006F7BB1">
      <w:pPr>
        <w:pStyle w:val="NormalWeb"/>
        <w:spacing w:before="0" w:beforeAutospacing="0" w:after="0" w:afterAutospacing="0" w:line="276" w:lineRule="auto"/>
        <w:jc w:val="both"/>
        <w:rPr>
          <w:rStyle w:val="Forte"/>
          <w:rFonts w:ascii="Arial" w:hAnsi="Arial" w:cs="Arial"/>
          <w:b w:val="0"/>
          <w:color w:val="000000"/>
          <w:sz w:val="20"/>
          <w:szCs w:val="20"/>
        </w:rPr>
      </w:pPr>
      <w:r>
        <w:rPr>
          <w:rStyle w:val="Forte"/>
          <w:rFonts w:ascii="Arial" w:hAnsi="Arial" w:cs="Arial"/>
          <w:b w:val="0"/>
          <w:color w:val="000000"/>
          <w:sz w:val="20"/>
          <w:szCs w:val="20"/>
        </w:rPr>
        <w:t xml:space="preserve">6. </w:t>
      </w:r>
      <w:r w:rsidR="006F7BB1" w:rsidRPr="006F7BB1">
        <w:rPr>
          <w:rStyle w:val="Forte"/>
          <w:rFonts w:ascii="Arial" w:hAnsi="Arial" w:cs="Arial"/>
          <w:b w:val="0"/>
          <w:color w:val="000000"/>
          <w:sz w:val="20"/>
          <w:szCs w:val="20"/>
        </w:rPr>
        <w:t>Consulta. Poder Legislativo. Programas de politização. Premiações e benefícios. Possibilidade. Requisitos.</w:t>
      </w:r>
    </w:p>
    <w:p w:rsidR="006F7BB1" w:rsidRDefault="006F7BB1" w:rsidP="00816942">
      <w:pPr>
        <w:spacing w:after="0"/>
        <w:jc w:val="both"/>
        <w:rPr>
          <w:rStyle w:val="Hyperlink"/>
          <w:rFonts w:ascii="Arial" w:hAnsi="Arial" w:cs="Arial"/>
          <w:b/>
          <w:color w:val="000000" w:themeColor="text1"/>
          <w:sz w:val="20"/>
          <w:szCs w:val="20"/>
          <w:u w:val="none"/>
        </w:rPr>
      </w:pPr>
    </w:p>
    <w:p w:rsidR="006F7BB1" w:rsidRDefault="00FA31E0" w:rsidP="00816942">
      <w:pPr>
        <w:spacing w:after="0"/>
        <w:jc w:val="both"/>
        <w:rPr>
          <w:rStyle w:val="Forte"/>
          <w:rFonts w:ascii="Arial" w:hAnsi="Arial" w:cs="Arial"/>
          <w:b w:val="0"/>
          <w:color w:val="000000"/>
          <w:sz w:val="20"/>
          <w:szCs w:val="20"/>
        </w:rPr>
      </w:pPr>
      <w:r>
        <w:rPr>
          <w:rStyle w:val="Forte"/>
          <w:rFonts w:ascii="Arial" w:hAnsi="Arial" w:cs="Arial"/>
          <w:b w:val="0"/>
          <w:color w:val="000000"/>
          <w:sz w:val="20"/>
          <w:szCs w:val="20"/>
        </w:rPr>
        <w:t xml:space="preserve">7. </w:t>
      </w:r>
      <w:r w:rsidR="006F7BB1" w:rsidRPr="006F7BB1">
        <w:rPr>
          <w:rStyle w:val="Forte"/>
          <w:rFonts w:ascii="Arial" w:hAnsi="Arial" w:cs="Arial"/>
          <w:b w:val="0"/>
          <w:color w:val="000000"/>
          <w:sz w:val="20"/>
          <w:szCs w:val="20"/>
        </w:rPr>
        <w:t>Consulta. Limite de gasto com pessoal extrapolado. Existência de dobra da jornada de trabalho de profissionais da educação. Vantagem </w:t>
      </w:r>
      <w:proofErr w:type="gramStart"/>
      <w:r w:rsidR="006F7BB1" w:rsidRPr="00FA31E0">
        <w:rPr>
          <w:rStyle w:val="nfase"/>
          <w:rFonts w:ascii="Arial" w:hAnsi="Arial" w:cs="Arial"/>
          <w:bCs/>
          <w:color w:val="000000"/>
          <w:sz w:val="20"/>
          <w:szCs w:val="20"/>
        </w:rPr>
        <w:t>pro</w:t>
      </w:r>
      <w:proofErr w:type="gramEnd"/>
      <w:r w:rsidR="006F7BB1" w:rsidRPr="00FA31E0">
        <w:rPr>
          <w:rStyle w:val="nfase"/>
          <w:rFonts w:ascii="Arial" w:hAnsi="Arial" w:cs="Arial"/>
          <w:bCs/>
          <w:color w:val="000000"/>
          <w:sz w:val="20"/>
          <w:szCs w:val="20"/>
        </w:rPr>
        <w:t xml:space="preserve"> labore </w:t>
      </w:r>
      <w:proofErr w:type="spellStart"/>
      <w:r w:rsidR="006F7BB1" w:rsidRPr="00FA31E0">
        <w:rPr>
          <w:rStyle w:val="nfase"/>
          <w:rFonts w:ascii="Arial" w:hAnsi="Arial" w:cs="Arial"/>
          <w:bCs/>
          <w:color w:val="000000"/>
          <w:sz w:val="20"/>
          <w:szCs w:val="20"/>
        </w:rPr>
        <w:t>faciendo</w:t>
      </w:r>
      <w:proofErr w:type="spellEnd"/>
      <w:r w:rsidR="006F7BB1" w:rsidRPr="00FA31E0">
        <w:rPr>
          <w:rStyle w:val="nfase"/>
          <w:rFonts w:ascii="Arial" w:hAnsi="Arial" w:cs="Arial"/>
          <w:bCs/>
          <w:color w:val="000000"/>
          <w:sz w:val="20"/>
          <w:szCs w:val="20"/>
        </w:rPr>
        <w:t> </w:t>
      </w:r>
      <w:r w:rsidR="006F7BB1" w:rsidRPr="00FA31E0">
        <w:rPr>
          <w:rStyle w:val="Forte"/>
          <w:rFonts w:ascii="Arial" w:hAnsi="Arial" w:cs="Arial"/>
          <w:b w:val="0"/>
          <w:color w:val="000000"/>
          <w:sz w:val="20"/>
          <w:szCs w:val="20"/>
        </w:rPr>
        <w:t>ou</w:t>
      </w:r>
      <w:r w:rsidR="006F7BB1" w:rsidRPr="00FA31E0">
        <w:rPr>
          <w:rStyle w:val="Forte"/>
          <w:rFonts w:ascii="Arial" w:hAnsi="Arial" w:cs="Arial"/>
          <w:color w:val="000000"/>
          <w:sz w:val="20"/>
          <w:szCs w:val="20"/>
        </w:rPr>
        <w:t> </w:t>
      </w:r>
      <w:proofErr w:type="spellStart"/>
      <w:r w:rsidR="006F7BB1" w:rsidRPr="00FA31E0">
        <w:rPr>
          <w:rStyle w:val="nfase"/>
          <w:rFonts w:ascii="Arial" w:hAnsi="Arial" w:cs="Arial"/>
          <w:bCs/>
          <w:color w:val="000000"/>
          <w:sz w:val="20"/>
          <w:szCs w:val="20"/>
        </w:rPr>
        <w:t>propter</w:t>
      </w:r>
      <w:proofErr w:type="spellEnd"/>
      <w:r w:rsidR="006F7BB1" w:rsidRPr="00FA31E0">
        <w:rPr>
          <w:rStyle w:val="nfase"/>
          <w:rFonts w:ascii="Arial" w:hAnsi="Arial" w:cs="Arial"/>
          <w:bCs/>
          <w:color w:val="000000"/>
          <w:sz w:val="20"/>
          <w:szCs w:val="20"/>
        </w:rPr>
        <w:t xml:space="preserve"> laborem</w:t>
      </w:r>
      <w:r w:rsidR="006F7BB1" w:rsidRPr="006F7BB1">
        <w:rPr>
          <w:rStyle w:val="nfase"/>
          <w:rFonts w:ascii="Arial" w:hAnsi="Arial" w:cs="Arial"/>
          <w:b/>
          <w:bCs/>
          <w:color w:val="000000"/>
          <w:sz w:val="20"/>
          <w:szCs w:val="20"/>
        </w:rPr>
        <w:t>. </w:t>
      </w:r>
      <w:r w:rsidR="006F7BB1" w:rsidRPr="006F7BB1">
        <w:rPr>
          <w:rStyle w:val="Forte"/>
          <w:rFonts w:ascii="Arial" w:hAnsi="Arial" w:cs="Arial"/>
          <w:b w:val="0"/>
          <w:color w:val="000000"/>
          <w:sz w:val="20"/>
          <w:szCs w:val="20"/>
        </w:rPr>
        <w:t xml:space="preserve">Situação perpetuada no tempo. Inconstitucionalidade. Possibilidade legal de reposição de pessoal nas áreas da saúde, educação e segurança, ainda que o limite de gasto com pessoal esteja </w:t>
      </w:r>
      <w:r w:rsidR="006F7BB1" w:rsidRPr="006F7BB1">
        <w:rPr>
          <w:rStyle w:val="Forte"/>
          <w:rFonts w:ascii="Arial" w:hAnsi="Arial" w:cs="Arial"/>
          <w:b w:val="0"/>
          <w:color w:val="000000"/>
          <w:sz w:val="20"/>
          <w:szCs w:val="20"/>
        </w:rPr>
        <w:lastRenderedPageBreak/>
        <w:t>extrapolado. Poder discricionário. Critérios para substituições devem ser objetivos e deve haver reposição de todos os servidores que se encontram na mesma situação. Precedentes.</w:t>
      </w:r>
    </w:p>
    <w:p w:rsidR="006F7BB1" w:rsidRDefault="006F7BB1" w:rsidP="00816942">
      <w:pPr>
        <w:spacing w:after="0"/>
        <w:jc w:val="both"/>
        <w:rPr>
          <w:rStyle w:val="Forte"/>
          <w:rFonts w:ascii="Arial" w:hAnsi="Arial" w:cs="Arial"/>
          <w:b w:val="0"/>
          <w:color w:val="000000"/>
          <w:sz w:val="20"/>
          <w:szCs w:val="20"/>
        </w:rPr>
      </w:pPr>
    </w:p>
    <w:p w:rsidR="006F7BB1" w:rsidRDefault="0038599F" w:rsidP="006F7BB1">
      <w:pPr>
        <w:pStyle w:val="NormalWeb"/>
        <w:spacing w:before="0" w:beforeAutospacing="0" w:after="0" w:afterAutospacing="0" w:line="276" w:lineRule="auto"/>
        <w:jc w:val="both"/>
        <w:rPr>
          <w:rStyle w:val="Forte"/>
          <w:rFonts w:ascii="Arial" w:hAnsi="Arial" w:cs="Arial"/>
          <w:b w:val="0"/>
          <w:color w:val="000000"/>
          <w:sz w:val="20"/>
          <w:szCs w:val="20"/>
        </w:rPr>
      </w:pPr>
      <w:r>
        <w:rPr>
          <w:rStyle w:val="Forte"/>
          <w:rFonts w:ascii="Arial" w:hAnsi="Arial" w:cs="Arial"/>
          <w:b w:val="0"/>
          <w:color w:val="000000"/>
          <w:sz w:val="20"/>
          <w:szCs w:val="20"/>
        </w:rPr>
        <w:t xml:space="preserve">8. </w:t>
      </w:r>
      <w:r w:rsidR="006F7BB1" w:rsidRPr="006F7BB1">
        <w:rPr>
          <w:rStyle w:val="Forte"/>
          <w:rFonts w:ascii="Arial" w:hAnsi="Arial" w:cs="Arial"/>
          <w:b w:val="0"/>
          <w:color w:val="000000"/>
          <w:sz w:val="20"/>
          <w:szCs w:val="20"/>
        </w:rPr>
        <w:t>Recurso de Revisão. Transferência Voluntária. Terceirização indevida. Parceria para concessão de mão de obra. Burla do concurso público. Arguições de dissídio jurisprudencial e negativa de vigência à lei não configuradas. Não provimento.</w:t>
      </w:r>
    </w:p>
    <w:p w:rsidR="006F7BB1" w:rsidRDefault="006F7BB1" w:rsidP="006F7BB1">
      <w:pPr>
        <w:pStyle w:val="NormalWeb"/>
        <w:spacing w:before="0" w:beforeAutospacing="0" w:after="0" w:afterAutospacing="0" w:line="276" w:lineRule="auto"/>
        <w:jc w:val="both"/>
        <w:rPr>
          <w:rStyle w:val="Forte"/>
          <w:rFonts w:ascii="Arial" w:hAnsi="Arial" w:cs="Arial"/>
          <w:b w:val="0"/>
          <w:color w:val="000000"/>
          <w:sz w:val="20"/>
          <w:szCs w:val="20"/>
        </w:rPr>
      </w:pPr>
    </w:p>
    <w:p w:rsidR="006F7BB1" w:rsidRPr="006F7BB1" w:rsidRDefault="0038599F" w:rsidP="006F7BB1">
      <w:pPr>
        <w:pStyle w:val="NormalWeb"/>
        <w:spacing w:before="0" w:beforeAutospacing="0" w:after="0" w:afterAutospacing="0" w:line="276" w:lineRule="auto"/>
        <w:jc w:val="both"/>
        <w:rPr>
          <w:rStyle w:val="nfase"/>
          <w:rFonts w:ascii="Arial" w:hAnsi="Arial" w:cs="Arial"/>
          <w:b/>
          <w:i w:val="0"/>
          <w:iCs w:val="0"/>
          <w:color w:val="000000"/>
          <w:sz w:val="20"/>
          <w:szCs w:val="20"/>
        </w:rPr>
      </w:pPr>
      <w:r>
        <w:rPr>
          <w:rStyle w:val="Forte"/>
          <w:rFonts w:ascii="Arial" w:hAnsi="Arial" w:cs="Arial"/>
          <w:b w:val="0"/>
          <w:color w:val="000000"/>
          <w:sz w:val="20"/>
          <w:szCs w:val="20"/>
        </w:rPr>
        <w:t xml:space="preserve">9. </w:t>
      </w:r>
      <w:r w:rsidR="006F7BB1" w:rsidRPr="006F7BB1">
        <w:rPr>
          <w:rStyle w:val="Forte"/>
          <w:rFonts w:ascii="Arial" w:hAnsi="Arial" w:cs="Arial"/>
          <w:b w:val="0"/>
          <w:color w:val="000000"/>
          <w:sz w:val="20"/>
          <w:szCs w:val="20"/>
        </w:rPr>
        <w:t>Representação. Irregularidades nas contratações de servidores ocupantes de cargo em comissão para o desempenho de funções próprias de servidores de carreira. Procedência com determinação ao Município</w:t>
      </w:r>
      <w:r w:rsidR="006F7BB1" w:rsidRPr="006F7BB1">
        <w:rPr>
          <w:rStyle w:val="nfase"/>
          <w:rFonts w:ascii="Arial" w:hAnsi="Arial" w:cs="Arial"/>
          <w:b/>
          <w:bCs/>
          <w:color w:val="000000"/>
          <w:sz w:val="20"/>
          <w:szCs w:val="20"/>
        </w:rPr>
        <w:t>.</w:t>
      </w:r>
    </w:p>
    <w:p w:rsidR="00034E04" w:rsidRPr="00034E04" w:rsidRDefault="006F7BB1" w:rsidP="00034E04">
      <w:pPr>
        <w:pStyle w:val="NormalWeb"/>
        <w:spacing w:before="0" w:beforeAutospacing="0" w:after="0" w:afterAutospacing="0" w:line="276" w:lineRule="auto"/>
        <w:jc w:val="both"/>
        <w:rPr>
          <w:rFonts w:ascii="Arial" w:hAnsi="Arial" w:cs="Arial"/>
          <w:b/>
          <w:color w:val="000000"/>
          <w:sz w:val="20"/>
          <w:szCs w:val="20"/>
        </w:rPr>
      </w:pPr>
      <w:r w:rsidRPr="007C170F">
        <w:rPr>
          <w:rStyle w:val="Forte"/>
          <w:rFonts w:ascii="Arial" w:hAnsi="Arial" w:cs="Arial"/>
          <w:color w:val="000000"/>
          <w:sz w:val="20"/>
          <w:szCs w:val="20"/>
        </w:rPr>
        <w:t> </w:t>
      </w:r>
      <w:r w:rsidRPr="007C170F">
        <w:rPr>
          <w:rFonts w:ascii="Arial" w:hAnsi="Arial" w:cs="Arial"/>
          <w:color w:val="000000"/>
          <w:sz w:val="20"/>
          <w:szCs w:val="20"/>
        </w:rPr>
        <w:br/>
      </w:r>
      <w:r w:rsidR="00034E04" w:rsidRPr="00034E04">
        <w:rPr>
          <w:rStyle w:val="Forte"/>
          <w:rFonts w:ascii="Arial" w:hAnsi="Arial" w:cs="Arial"/>
          <w:b w:val="0"/>
          <w:color w:val="000000"/>
          <w:sz w:val="20"/>
          <w:szCs w:val="20"/>
        </w:rPr>
        <w:t>10. Recurso de Agravo. Secretaria de Estado da Saúde. Prestação de serviços técnicos especializados para implementar e executar o preparo, fornecimento e distribuição de refeições transportadas, com entregas diárias de almoço e jantar, para atendimento de hospital. Falta de planilha de formação de preço e composição de custos. Restrição a disponibilização de documentos essenciais, com violação ao princípio da publicidade. Apresentação de novos esclarecimentos e documentos pelos representados. Perigo de dano inverso, com riscos de prejuízos irreparáveis e graves à Administração.</w:t>
      </w:r>
    </w:p>
    <w:p w:rsidR="006F7BB1" w:rsidRPr="006F7BB1" w:rsidRDefault="006F7BB1" w:rsidP="006F7BB1">
      <w:pPr>
        <w:pStyle w:val="NormalWeb"/>
        <w:spacing w:before="0" w:beforeAutospacing="0" w:after="0" w:afterAutospacing="0" w:line="276" w:lineRule="auto"/>
        <w:jc w:val="both"/>
        <w:rPr>
          <w:rStyle w:val="Forte"/>
          <w:rFonts w:ascii="Arial" w:hAnsi="Arial" w:cs="Arial"/>
          <w:b w:val="0"/>
          <w:color w:val="000000"/>
          <w:sz w:val="20"/>
          <w:szCs w:val="20"/>
        </w:rPr>
      </w:pPr>
    </w:p>
    <w:p w:rsidR="006923EB" w:rsidRPr="006923EB" w:rsidRDefault="006923EB" w:rsidP="006923EB">
      <w:pPr>
        <w:pStyle w:val="NormalWeb"/>
        <w:spacing w:before="0" w:beforeAutospacing="0" w:after="0" w:afterAutospacing="0" w:line="276" w:lineRule="auto"/>
        <w:jc w:val="both"/>
        <w:rPr>
          <w:rFonts w:ascii="Arial" w:hAnsi="Arial" w:cs="Arial"/>
          <w:b/>
          <w:color w:val="000000"/>
          <w:sz w:val="20"/>
          <w:szCs w:val="20"/>
        </w:rPr>
      </w:pPr>
      <w:r w:rsidRPr="006923EB">
        <w:rPr>
          <w:rStyle w:val="Forte"/>
          <w:rFonts w:ascii="Arial" w:hAnsi="Arial" w:cs="Arial"/>
          <w:b w:val="0"/>
          <w:color w:val="000000"/>
          <w:sz w:val="20"/>
          <w:szCs w:val="20"/>
        </w:rPr>
        <w:t>11. Prestação de Contas Estadual. Regularidade, com ressalvas. Distorções nas demonstrações contábeis, represamento das progressões e promoções aos servidores, exercício de funções técnicas por servidores ocupantes de cargos em comissão, deficiências de controles de bens patrimoniais permanentes, deficiências de controle interno. Imposição de recomendações.</w:t>
      </w:r>
    </w:p>
    <w:p w:rsidR="006F7BB1" w:rsidRDefault="006F7BB1" w:rsidP="00816942">
      <w:pPr>
        <w:spacing w:after="0"/>
        <w:jc w:val="both"/>
        <w:rPr>
          <w:rStyle w:val="Hyperlink"/>
          <w:rFonts w:ascii="Arial" w:hAnsi="Arial" w:cs="Arial"/>
          <w:color w:val="000000" w:themeColor="text1"/>
          <w:sz w:val="20"/>
          <w:szCs w:val="20"/>
          <w:u w:val="none"/>
        </w:rPr>
      </w:pPr>
    </w:p>
    <w:p w:rsidR="00D47508" w:rsidRPr="00D47508" w:rsidRDefault="00D47508" w:rsidP="00D47508">
      <w:pPr>
        <w:spacing w:after="0"/>
        <w:jc w:val="both"/>
        <w:rPr>
          <w:rStyle w:val="Hyperlink"/>
          <w:rFonts w:ascii="Arial" w:hAnsi="Arial" w:cs="Arial"/>
          <w:color w:val="000000" w:themeColor="text1"/>
          <w:sz w:val="20"/>
          <w:szCs w:val="20"/>
          <w:u w:val="none"/>
        </w:rPr>
      </w:pPr>
      <w:r w:rsidRPr="00D47508">
        <w:rPr>
          <w:rStyle w:val="Hyperlink"/>
          <w:rFonts w:ascii="Arial" w:hAnsi="Arial" w:cs="Arial"/>
          <w:color w:val="000000" w:themeColor="text1"/>
          <w:sz w:val="20"/>
          <w:szCs w:val="20"/>
          <w:u w:val="none"/>
        </w:rPr>
        <w:t xml:space="preserve">12. Embargos de Declaração. Aplicação de multa administrativa a gestores por atraso no cumprimento de obrigações da Companhia. Descrição Suficiente. Ausência de omissão, obscuridade ou contradição na decisão embargada.  Rejeição.  </w:t>
      </w:r>
    </w:p>
    <w:p w:rsidR="00D47508" w:rsidRDefault="00D47508" w:rsidP="00816942">
      <w:pPr>
        <w:spacing w:after="0"/>
        <w:jc w:val="both"/>
        <w:rPr>
          <w:rStyle w:val="Hyperlink"/>
          <w:rFonts w:ascii="Arial" w:hAnsi="Arial" w:cs="Arial"/>
          <w:color w:val="000000" w:themeColor="text1"/>
          <w:sz w:val="20"/>
          <w:szCs w:val="20"/>
          <w:u w:val="none"/>
        </w:rPr>
      </w:pPr>
    </w:p>
    <w:p w:rsidR="00777A40" w:rsidRPr="00777A40" w:rsidRDefault="00777A40" w:rsidP="00777A40">
      <w:pPr>
        <w:spacing w:after="0"/>
        <w:jc w:val="both"/>
        <w:rPr>
          <w:rStyle w:val="Hyperlink"/>
          <w:rFonts w:ascii="Arial" w:hAnsi="Arial" w:cs="Arial"/>
          <w:color w:val="000000" w:themeColor="text1"/>
          <w:sz w:val="20"/>
          <w:szCs w:val="20"/>
          <w:u w:val="none"/>
        </w:rPr>
      </w:pPr>
      <w:r w:rsidRPr="00777A40">
        <w:rPr>
          <w:rStyle w:val="Hyperlink"/>
          <w:rFonts w:ascii="Arial" w:hAnsi="Arial" w:cs="Arial"/>
          <w:color w:val="000000" w:themeColor="text1"/>
          <w:sz w:val="20"/>
          <w:szCs w:val="20"/>
          <w:u w:val="none"/>
        </w:rPr>
        <w:t xml:space="preserve">13. Recurso de Revisão.  Terceirização de serviços considerada irregular em sede de Recurso de Revista. Decisão deste TCE que converge com decisão do STF. Ausência de divergência jurisprudencial. Não provimento.  </w:t>
      </w:r>
    </w:p>
    <w:p w:rsidR="00777A40" w:rsidRDefault="00777A40" w:rsidP="00816942">
      <w:pPr>
        <w:spacing w:after="0"/>
        <w:jc w:val="both"/>
        <w:rPr>
          <w:rStyle w:val="Hyperlink"/>
          <w:rFonts w:ascii="Arial" w:hAnsi="Arial" w:cs="Arial"/>
          <w:color w:val="000000" w:themeColor="text1"/>
          <w:sz w:val="20"/>
          <w:szCs w:val="20"/>
          <w:u w:val="none"/>
        </w:rPr>
      </w:pPr>
    </w:p>
    <w:p w:rsidR="00C122F8" w:rsidRPr="00C122F8" w:rsidRDefault="00C122F8" w:rsidP="00C122F8">
      <w:pPr>
        <w:spacing w:after="0"/>
        <w:jc w:val="both"/>
        <w:rPr>
          <w:rStyle w:val="Hyperlink"/>
          <w:rFonts w:ascii="Arial" w:hAnsi="Arial" w:cs="Arial"/>
          <w:color w:val="000000" w:themeColor="text1"/>
          <w:sz w:val="20"/>
          <w:szCs w:val="20"/>
          <w:u w:val="none"/>
        </w:rPr>
      </w:pPr>
      <w:r w:rsidRPr="00C122F8">
        <w:rPr>
          <w:rStyle w:val="Hyperlink"/>
          <w:rFonts w:ascii="Arial" w:hAnsi="Arial" w:cs="Arial"/>
          <w:color w:val="000000" w:themeColor="text1"/>
          <w:sz w:val="20"/>
          <w:szCs w:val="20"/>
          <w:u w:val="none"/>
        </w:rPr>
        <w:t xml:space="preserve">14. Recurso de Revista. Multa administrativa imposta ao representante legal de consórcio intermunicipal por atraso na remessa de documentação a este TCE. Presunção de lesividade à ordem legal configurada. Manutenção da decisão. </w:t>
      </w:r>
    </w:p>
    <w:p w:rsidR="004429A2" w:rsidRPr="0022060B" w:rsidRDefault="004429A2" w:rsidP="00816942">
      <w:pPr>
        <w:spacing w:after="0"/>
        <w:jc w:val="both"/>
        <w:rPr>
          <w:rStyle w:val="Hyperlink"/>
          <w:rFonts w:ascii="Arial" w:hAnsi="Arial" w:cs="Arial"/>
          <w:b/>
          <w:color w:val="000000" w:themeColor="text1"/>
          <w:sz w:val="20"/>
          <w:szCs w:val="20"/>
          <w:u w:val="none"/>
        </w:rPr>
      </w:pPr>
    </w:p>
    <w:p w:rsidR="00712A93" w:rsidRPr="0022060B" w:rsidRDefault="00712A93" w:rsidP="00816942">
      <w:pPr>
        <w:shd w:val="pct10" w:color="auto" w:fill="auto"/>
        <w:spacing w:after="0"/>
        <w:jc w:val="center"/>
        <w:rPr>
          <w:rFonts w:ascii="Arial" w:hAnsi="Arial" w:cs="Arial"/>
          <w:b/>
          <w:sz w:val="20"/>
          <w:szCs w:val="20"/>
        </w:rPr>
      </w:pPr>
      <w:r w:rsidRPr="0022060B">
        <w:rPr>
          <w:rFonts w:ascii="Arial" w:hAnsi="Arial" w:cs="Arial"/>
          <w:b/>
          <w:sz w:val="20"/>
          <w:szCs w:val="20"/>
        </w:rPr>
        <w:t>PRIMEIRA CÂMARA</w:t>
      </w:r>
    </w:p>
    <w:p w:rsidR="005F7E35" w:rsidRDefault="005F7E35" w:rsidP="00816942">
      <w:pPr>
        <w:autoSpaceDE w:val="0"/>
        <w:autoSpaceDN w:val="0"/>
        <w:adjustRightInd w:val="0"/>
        <w:spacing w:after="0"/>
        <w:jc w:val="both"/>
        <w:rPr>
          <w:rFonts w:ascii="Arial" w:hAnsi="Arial" w:cs="Arial"/>
          <w:sz w:val="20"/>
          <w:szCs w:val="20"/>
        </w:rPr>
      </w:pPr>
    </w:p>
    <w:p w:rsidR="00D91008" w:rsidRPr="00D91008" w:rsidRDefault="006F7BB1" w:rsidP="00D91008">
      <w:pPr>
        <w:pStyle w:val="NormalWeb"/>
        <w:spacing w:before="0" w:beforeAutospacing="0" w:after="0" w:afterAutospacing="0" w:line="276" w:lineRule="auto"/>
        <w:jc w:val="both"/>
        <w:rPr>
          <w:rStyle w:val="Forte"/>
          <w:rFonts w:ascii="Arial" w:hAnsi="Arial" w:cs="Arial"/>
          <w:color w:val="000000"/>
          <w:sz w:val="20"/>
          <w:szCs w:val="20"/>
        </w:rPr>
      </w:pPr>
      <w:r>
        <w:rPr>
          <w:rStyle w:val="Forte"/>
          <w:rFonts w:ascii="Arial" w:hAnsi="Arial" w:cs="Arial"/>
          <w:color w:val="000000"/>
          <w:sz w:val="20"/>
          <w:szCs w:val="20"/>
        </w:rPr>
        <w:t xml:space="preserve">1. </w:t>
      </w:r>
      <w:r w:rsidR="009875CB" w:rsidRPr="00D91008">
        <w:rPr>
          <w:rStyle w:val="Forte"/>
          <w:rFonts w:ascii="Arial" w:hAnsi="Arial" w:cs="Arial"/>
          <w:color w:val="000000"/>
          <w:sz w:val="20"/>
          <w:szCs w:val="20"/>
        </w:rPr>
        <w:t>Prestação de Contas Anual. Atrasos na entrega dos dados do SIM-AM. Teoria da continuidade delitiva na administração. Regularidade das contas. Ressalva. Multa.</w:t>
      </w:r>
    </w:p>
    <w:p w:rsidR="00D91008" w:rsidRDefault="009875CB" w:rsidP="00D91008">
      <w:pPr>
        <w:pStyle w:val="NormalWeb"/>
        <w:spacing w:before="0" w:beforeAutospacing="0" w:after="0" w:afterAutospacing="0" w:line="276" w:lineRule="auto"/>
        <w:jc w:val="both"/>
        <w:rPr>
          <w:rFonts w:ascii="Arial" w:hAnsi="Arial" w:cs="Arial"/>
          <w:color w:val="000000"/>
          <w:sz w:val="20"/>
          <w:szCs w:val="20"/>
        </w:rPr>
      </w:pPr>
      <w:r w:rsidRPr="00D91008">
        <w:rPr>
          <w:rStyle w:val="Forte"/>
          <w:rFonts w:ascii="Arial" w:hAnsi="Arial" w:cs="Arial"/>
          <w:color w:val="000000"/>
          <w:sz w:val="20"/>
          <w:szCs w:val="20"/>
        </w:rPr>
        <w:t> </w:t>
      </w:r>
      <w:r w:rsidRPr="00D91008">
        <w:rPr>
          <w:rFonts w:ascii="Arial" w:hAnsi="Arial" w:cs="Arial"/>
          <w:color w:val="000000"/>
          <w:sz w:val="20"/>
          <w:szCs w:val="20"/>
        </w:rPr>
        <w:br/>
        <w:t xml:space="preserve">No contraditório, foi informado que o atraso no envio dos dados do SIM-AM, se deu em face do </w:t>
      </w:r>
      <w:r w:rsidRPr="00D91008">
        <w:rPr>
          <w:rFonts w:ascii="Arial" w:hAnsi="Arial" w:cs="Arial"/>
          <w:color w:val="000000"/>
          <w:sz w:val="20"/>
          <w:szCs w:val="20"/>
        </w:rPr>
        <w:lastRenderedPageBreak/>
        <w:t>acúmulo de trabalho desempenhado pela única profissional de contabilidade, aduzindo, ainda, que o fato não reflete o desinteresse ou falta de comprometimento.</w:t>
      </w:r>
    </w:p>
    <w:p w:rsidR="00D91008" w:rsidRDefault="009875CB" w:rsidP="00D91008">
      <w:pPr>
        <w:pStyle w:val="NormalWeb"/>
        <w:spacing w:before="0" w:beforeAutospacing="0" w:after="0" w:afterAutospacing="0" w:line="276" w:lineRule="auto"/>
        <w:jc w:val="both"/>
        <w:rPr>
          <w:rFonts w:ascii="Arial" w:hAnsi="Arial" w:cs="Arial"/>
          <w:color w:val="000000"/>
          <w:sz w:val="20"/>
          <w:szCs w:val="20"/>
        </w:rPr>
      </w:pPr>
      <w:r w:rsidRPr="00D91008">
        <w:rPr>
          <w:rFonts w:ascii="Arial" w:hAnsi="Arial" w:cs="Arial"/>
          <w:color w:val="000000"/>
          <w:sz w:val="20"/>
          <w:szCs w:val="20"/>
        </w:rPr>
        <w:br/>
        <w:t>Cabe destacar que não podem ser opostos a este Tribunal eventuais deficiências na administração da entidade, mormente quando os atrasos não se restringiram a um único período isoladamente, como se pode verificar da tabela transcrita da instrução processual. </w:t>
      </w:r>
    </w:p>
    <w:p w:rsidR="009875CB" w:rsidRPr="00D91008" w:rsidRDefault="009875CB" w:rsidP="00D91008">
      <w:pPr>
        <w:pStyle w:val="NormalWeb"/>
        <w:spacing w:before="0" w:beforeAutospacing="0" w:after="0" w:afterAutospacing="0" w:line="276" w:lineRule="auto"/>
        <w:jc w:val="both"/>
        <w:rPr>
          <w:rFonts w:ascii="Arial" w:hAnsi="Arial" w:cs="Arial"/>
          <w:color w:val="000000"/>
          <w:sz w:val="20"/>
          <w:szCs w:val="20"/>
        </w:rPr>
      </w:pPr>
      <w:r w:rsidRPr="00D91008">
        <w:rPr>
          <w:rFonts w:ascii="Arial" w:hAnsi="Arial" w:cs="Arial"/>
          <w:color w:val="000000"/>
          <w:sz w:val="20"/>
          <w:szCs w:val="20"/>
        </w:rPr>
        <w:br/>
        <w:t>Todavia, a par disso, tem-se afastado a multa quando os atrasos são iguais ou inferiores a 30 (trinta) dias, pois nestes casos, com base no princípio da razoabilidade, o atraso não se mostra suficiente para prejudicar a atividade de fiscalização deste Tribunal, podendo ser tolerado.</w:t>
      </w:r>
      <w:r w:rsidR="00D91008">
        <w:rPr>
          <w:rFonts w:ascii="Arial" w:hAnsi="Arial" w:cs="Arial"/>
          <w:color w:val="000000"/>
          <w:sz w:val="20"/>
          <w:szCs w:val="20"/>
        </w:rPr>
        <w:t xml:space="preserve"> </w:t>
      </w:r>
      <w:r w:rsidRPr="00D91008">
        <w:rPr>
          <w:rFonts w:ascii="Arial" w:hAnsi="Arial" w:cs="Arial"/>
          <w:color w:val="000000"/>
          <w:sz w:val="20"/>
          <w:szCs w:val="20"/>
        </w:rPr>
        <w:t>No caso dos autos, observa-se que alguns atrasos ultrapassaram tal limite e, também com base nos princípios da razoabilidade e da proporcionalidade, adota-se a teoria de continuidade delitiva na Administração para aplicar apenas uma multa em face de diversos atrasos.</w:t>
      </w:r>
    </w:p>
    <w:p w:rsidR="009875CB" w:rsidRPr="00D91008" w:rsidRDefault="009875CB" w:rsidP="00D91008">
      <w:pPr>
        <w:pStyle w:val="NormalWeb"/>
        <w:spacing w:before="0" w:beforeAutospacing="0" w:after="0" w:afterAutospacing="0" w:line="276" w:lineRule="auto"/>
        <w:jc w:val="both"/>
        <w:rPr>
          <w:rFonts w:ascii="Arial" w:hAnsi="Arial" w:cs="Arial"/>
          <w:color w:val="000000"/>
          <w:sz w:val="20"/>
          <w:szCs w:val="20"/>
        </w:rPr>
      </w:pPr>
      <w:r w:rsidRPr="00D91008">
        <w:rPr>
          <w:rFonts w:ascii="Arial" w:hAnsi="Arial" w:cs="Arial"/>
          <w:color w:val="000000"/>
          <w:sz w:val="20"/>
          <w:szCs w:val="20"/>
        </w:rPr>
        <w:t> </w:t>
      </w:r>
    </w:p>
    <w:p w:rsidR="009875CB" w:rsidRPr="00D91008" w:rsidRDefault="009875CB" w:rsidP="00D91008">
      <w:pPr>
        <w:pStyle w:val="NormalWeb"/>
        <w:spacing w:before="0" w:beforeAutospacing="0" w:after="0" w:afterAutospacing="0" w:line="276" w:lineRule="auto"/>
        <w:jc w:val="both"/>
        <w:rPr>
          <w:rFonts w:ascii="Arial" w:hAnsi="Arial" w:cs="Arial"/>
          <w:color w:val="000000"/>
          <w:sz w:val="20"/>
          <w:szCs w:val="20"/>
        </w:rPr>
      </w:pPr>
      <w:r w:rsidRPr="00D91008">
        <w:rPr>
          <w:rFonts w:ascii="Arial" w:hAnsi="Arial" w:cs="Arial"/>
          <w:color w:val="000000"/>
          <w:sz w:val="20"/>
          <w:szCs w:val="20"/>
        </w:rPr>
        <w:t>Processo nº 257638/17 - </w:t>
      </w:r>
      <w:hyperlink r:id="rId8" w:tgtFrame="_blank" w:history="1">
        <w:r w:rsidRPr="00D91008">
          <w:rPr>
            <w:rStyle w:val="Hyperlink"/>
            <w:rFonts w:ascii="Arial" w:hAnsi="Arial" w:cs="Arial"/>
            <w:sz w:val="20"/>
            <w:szCs w:val="20"/>
          </w:rPr>
          <w:t xml:space="preserve">Acórdão nº 968/18 </w:t>
        </w:r>
        <w:r w:rsidR="00D91008">
          <w:rPr>
            <w:rStyle w:val="Hyperlink"/>
            <w:rFonts w:ascii="Arial" w:hAnsi="Arial" w:cs="Arial"/>
            <w:sz w:val="20"/>
            <w:szCs w:val="20"/>
          </w:rPr>
          <w:t>-</w:t>
        </w:r>
        <w:r w:rsidRPr="00D91008">
          <w:rPr>
            <w:rStyle w:val="Hyperlink"/>
            <w:rFonts w:ascii="Arial" w:hAnsi="Arial" w:cs="Arial"/>
            <w:sz w:val="20"/>
            <w:szCs w:val="20"/>
          </w:rPr>
          <w:t xml:space="preserve"> Primeira Câmara</w:t>
        </w:r>
      </w:hyperlink>
      <w:r w:rsidRPr="00D91008">
        <w:rPr>
          <w:rFonts w:ascii="Arial" w:hAnsi="Arial" w:cs="Arial"/>
          <w:color w:val="000000"/>
          <w:sz w:val="20"/>
          <w:szCs w:val="20"/>
        </w:rPr>
        <w:t> - Relator Conselheiro Fabio de Souza Camargo.</w:t>
      </w:r>
    </w:p>
    <w:p w:rsidR="009875CB" w:rsidRPr="00D91008" w:rsidRDefault="009875CB" w:rsidP="00D91008">
      <w:pPr>
        <w:pStyle w:val="NormalWeb"/>
        <w:spacing w:before="0" w:beforeAutospacing="0" w:after="0" w:afterAutospacing="0" w:line="276" w:lineRule="auto"/>
        <w:jc w:val="both"/>
        <w:rPr>
          <w:rFonts w:ascii="Arial" w:hAnsi="Arial" w:cs="Arial"/>
          <w:color w:val="000000"/>
          <w:sz w:val="20"/>
          <w:szCs w:val="20"/>
        </w:rPr>
      </w:pPr>
      <w:r w:rsidRPr="00D91008">
        <w:rPr>
          <w:rFonts w:ascii="Arial" w:hAnsi="Arial" w:cs="Arial"/>
          <w:color w:val="000000"/>
          <w:sz w:val="20"/>
          <w:szCs w:val="20"/>
        </w:rPr>
        <w:t> </w:t>
      </w:r>
    </w:p>
    <w:p w:rsidR="009875CB" w:rsidRDefault="006F7BB1" w:rsidP="00D91008">
      <w:pPr>
        <w:pStyle w:val="NormalWeb"/>
        <w:spacing w:before="0" w:beforeAutospacing="0" w:after="0" w:afterAutospacing="0" w:line="276" w:lineRule="auto"/>
        <w:jc w:val="both"/>
        <w:rPr>
          <w:rStyle w:val="Forte"/>
          <w:rFonts w:ascii="Arial" w:hAnsi="Arial" w:cs="Arial"/>
          <w:color w:val="000000"/>
          <w:sz w:val="20"/>
          <w:szCs w:val="20"/>
        </w:rPr>
      </w:pPr>
      <w:r>
        <w:rPr>
          <w:rStyle w:val="Forte"/>
          <w:rFonts w:ascii="Arial" w:hAnsi="Arial" w:cs="Arial"/>
          <w:color w:val="000000"/>
          <w:sz w:val="20"/>
          <w:szCs w:val="20"/>
        </w:rPr>
        <w:t xml:space="preserve">2. </w:t>
      </w:r>
      <w:r w:rsidR="009875CB" w:rsidRPr="00D91008">
        <w:rPr>
          <w:rStyle w:val="Forte"/>
          <w:rFonts w:ascii="Arial" w:hAnsi="Arial" w:cs="Arial"/>
          <w:color w:val="000000"/>
          <w:sz w:val="20"/>
          <w:szCs w:val="20"/>
        </w:rPr>
        <w:t>Prestação de Conas Anual. Ausência de encaminhamento do Certificado de Regularidade Previdenciária emitido pelo Ministério da Previdência Social. Regularidade. Ressalvas. Multa.</w:t>
      </w:r>
    </w:p>
    <w:p w:rsidR="00D91008" w:rsidRPr="00D91008" w:rsidRDefault="00D91008" w:rsidP="00D91008">
      <w:pPr>
        <w:pStyle w:val="NormalWeb"/>
        <w:spacing w:before="0" w:beforeAutospacing="0" w:after="0" w:afterAutospacing="0" w:line="276" w:lineRule="auto"/>
        <w:jc w:val="both"/>
        <w:rPr>
          <w:rFonts w:ascii="Arial" w:hAnsi="Arial" w:cs="Arial"/>
          <w:color w:val="000000"/>
          <w:sz w:val="20"/>
          <w:szCs w:val="20"/>
        </w:rPr>
      </w:pPr>
    </w:p>
    <w:p w:rsidR="00D91008" w:rsidRDefault="009875CB" w:rsidP="00D91008">
      <w:pPr>
        <w:pStyle w:val="NormalWeb"/>
        <w:spacing w:before="0" w:beforeAutospacing="0" w:after="0" w:afterAutospacing="0" w:line="276" w:lineRule="auto"/>
        <w:jc w:val="both"/>
        <w:rPr>
          <w:rFonts w:ascii="Arial" w:hAnsi="Arial" w:cs="Arial"/>
          <w:color w:val="000000"/>
          <w:sz w:val="20"/>
          <w:szCs w:val="20"/>
        </w:rPr>
      </w:pPr>
      <w:r w:rsidRPr="00D91008">
        <w:rPr>
          <w:rFonts w:ascii="Arial" w:hAnsi="Arial" w:cs="Arial"/>
          <w:color w:val="000000"/>
          <w:sz w:val="20"/>
          <w:szCs w:val="20"/>
        </w:rPr>
        <w:t>Quanto a ausência de encaminhamento do Certificado de Regularidade Previdenciária emitido pelo Ministério da Previdência Social, conforme apurado pela Unidade Técnica, os interessados encaminharam o referido documento emitido em 04/08/2017.</w:t>
      </w:r>
    </w:p>
    <w:p w:rsidR="009875CB" w:rsidRPr="00D91008" w:rsidRDefault="009875CB" w:rsidP="00D91008">
      <w:pPr>
        <w:pStyle w:val="NormalWeb"/>
        <w:spacing w:before="0" w:beforeAutospacing="0" w:after="0" w:afterAutospacing="0" w:line="276" w:lineRule="auto"/>
        <w:jc w:val="both"/>
        <w:rPr>
          <w:rFonts w:ascii="Arial" w:hAnsi="Arial" w:cs="Arial"/>
          <w:color w:val="000000"/>
          <w:sz w:val="20"/>
          <w:szCs w:val="20"/>
        </w:rPr>
      </w:pPr>
      <w:r w:rsidRPr="00D91008">
        <w:rPr>
          <w:rFonts w:ascii="Arial" w:hAnsi="Arial" w:cs="Arial"/>
          <w:color w:val="000000"/>
          <w:sz w:val="20"/>
          <w:szCs w:val="20"/>
        </w:rPr>
        <w:br/>
        <w:t>Tendo-se em vista que a regularização ocorreu no período subsequente à análise da prestação de contas, manteve-se a ressalva proposta pela Unidade Técnica, com o consequente afastamento da multa.</w:t>
      </w:r>
    </w:p>
    <w:p w:rsidR="009875CB" w:rsidRPr="00D91008" w:rsidRDefault="009875CB" w:rsidP="00D91008">
      <w:pPr>
        <w:pStyle w:val="NormalWeb"/>
        <w:spacing w:before="0" w:beforeAutospacing="0" w:after="0" w:afterAutospacing="0" w:line="276" w:lineRule="auto"/>
        <w:jc w:val="both"/>
        <w:rPr>
          <w:rFonts w:ascii="Arial" w:hAnsi="Arial" w:cs="Arial"/>
          <w:color w:val="000000"/>
          <w:sz w:val="20"/>
          <w:szCs w:val="20"/>
        </w:rPr>
      </w:pPr>
      <w:r w:rsidRPr="00D91008">
        <w:rPr>
          <w:rFonts w:ascii="Arial" w:hAnsi="Arial" w:cs="Arial"/>
          <w:color w:val="000000"/>
          <w:sz w:val="20"/>
          <w:szCs w:val="20"/>
        </w:rPr>
        <w:t> </w:t>
      </w:r>
    </w:p>
    <w:p w:rsidR="009875CB" w:rsidRPr="00D91008" w:rsidRDefault="009875CB" w:rsidP="00D91008">
      <w:pPr>
        <w:pStyle w:val="NormalWeb"/>
        <w:spacing w:before="0" w:beforeAutospacing="0" w:after="0" w:afterAutospacing="0" w:line="276" w:lineRule="auto"/>
        <w:jc w:val="both"/>
        <w:rPr>
          <w:rFonts w:ascii="Arial" w:hAnsi="Arial" w:cs="Arial"/>
          <w:color w:val="000000"/>
          <w:sz w:val="20"/>
          <w:szCs w:val="20"/>
        </w:rPr>
      </w:pPr>
      <w:r w:rsidRPr="00D91008">
        <w:rPr>
          <w:rFonts w:ascii="Arial" w:hAnsi="Arial" w:cs="Arial"/>
          <w:color w:val="000000"/>
          <w:sz w:val="20"/>
          <w:szCs w:val="20"/>
        </w:rPr>
        <w:t>Processo nº 234964/17 - </w:t>
      </w:r>
      <w:hyperlink r:id="rId9" w:tgtFrame="_blank" w:history="1">
        <w:r w:rsidRPr="00D91008">
          <w:rPr>
            <w:rStyle w:val="Hyperlink"/>
            <w:rFonts w:ascii="Arial" w:hAnsi="Arial" w:cs="Arial"/>
            <w:sz w:val="20"/>
            <w:szCs w:val="20"/>
          </w:rPr>
          <w:t xml:space="preserve">Acórdão nº 967/18 </w:t>
        </w:r>
        <w:r w:rsidR="00D91008">
          <w:rPr>
            <w:rStyle w:val="Hyperlink"/>
            <w:rFonts w:ascii="Arial" w:hAnsi="Arial" w:cs="Arial"/>
            <w:sz w:val="20"/>
            <w:szCs w:val="20"/>
          </w:rPr>
          <w:t>-</w:t>
        </w:r>
        <w:r w:rsidRPr="00D91008">
          <w:rPr>
            <w:rStyle w:val="Hyperlink"/>
            <w:rFonts w:ascii="Arial" w:hAnsi="Arial" w:cs="Arial"/>
            <w:sz w:val="20"/>
            <w:szCs w:val="20"/>
          </w:rPr>
          <w:t xml:space="preserve"> Primeira Câmara</w:t>
        </w:r>
      </w:hyperlink>
      <w:r w:rsidRPr="00D91008">
        <w:rPr>
          <w:rFonts w:ascii="Arial" w:hAnsi="Arial" w:cs="Arial"/>
          <w:color w:val="000000"/>
          <w:sz w:val="20"/>
          <w:szCs w:val="20"/>
        </w:rPr>
        <w:t> - Relator Conselheiro Fabio de Souza Camargo.</w:t>
      </w:r>
    </w:p>
    <w:p w:rsidR="004429A2" w:rsidRPr="0022060B" w:rsidRDefault="004429A2" w:rsidP="00D91008">
      <w:pPr>
        <w:autoSpaceDE w:val="0"/>
        <w:autoSpaceDN w:val="0"/>
        <w:adjustRightInd w:val="0"/>
        <w:spacing w:after="0"/>
        <w:jc w:val="both"/>
        <w:rPr>
          <w:rFonts w:ascii="Arial" w:hAnsi="Arial" w:cs="Arial"/>
          <w:sz w:val="20"/>
          <w:szCs w:val="20"/>
        </w:rPr>
      </w:pPr>
    </w:p>
    <w:p w:rsidR="00EC3842" w:rsidRPr="0022060B" w:rsidRDefault="00EC3842" w:rsidP="00816942">
      <w:pPr>
        <w:shd w:val="pct10" w:color="auto" w:fill="auto"/>
        <w:spacing w:after="0"/>
        <w:jc w:val="center"/>
        <w:rPr>
          <w:rFonts w:ascii="Arial" w:hAnsi="Arial" w:cs="Arial"/>
          <w:b/>
          <w:sz w:val="20"/>
          <w:szCs w:val="20"/>
        </w:rPr>
      </w:pPr>
      <w:r w:rsidRPr="0022060B">
        <w:rPr>
          <w:rFonts w:ascii="Arial" w:hAnsi="Arial" w:cs="Arial"/>
          <w:b/>
          <w:sz w:val="20"/>
          <w:szCs w:val="20"/>
        </w:rPr>
        <w:t>SEGUNDA CÂMARA</w:t>
      </w:r>
    </w:p>
    <w:p w:rsidR="00785DB0" w:rsidRDefault="00785DB0" w:rsidP="00816942">
      <w:pPr>
        <w:autoSpaceDE w:val="0"/>
        <w:autoSpaceDN w:val="0"/>
        <w:adjustRightInd w:val="0"/>
        <w:spacing w:after="0"/>
        <w:rPr>
          <w:rFonts w:ascii="Arial" w:hAnsi="Arial" w:cs="Arial"/>
          <w:sz w:val="20"/>
          <w:szCs w:val="20"/>
        </w:rPr>
      </w:pPr>
    </w:p>
    <w:p w:rsidR="009875CB" w:rsidRDefault="006F7BB1" w:rsidP="009875CB">
      <w:pPr>
        <w:spacing w:after="0"/>
        <w:jc w:val="both"/>
        <w:rPr>
          <w:rFonts w:ascii="Arial" w:eastAsia="Times New Roman" w:hAnsi="Arial" w:cs="Arial"/>
          <w:b/>
          <w:sz w:val="20"/>
          <w:szCs w:val="20"/>
          <w:shd w:val="clear" w:color="auto" w:fill="FFFFFF"/>
          <w:lang w:eastAsia="pt-BR"/>
        </w:rPr>
      </w:pPr>
      <w:r>
        <w:rPr>
          <w:rFonts w:ascii="Arial" w:eastAsia="Times New Roman" w:hAnsi="Arial" w:cs="Arial"/>
          <w:b/>
          <w:sz w:val="20"/>
          <w:szCs w:val="20"/>
          <w:shd w:val="clear" w:color="auto" w:fill="FFFFFF"/>
          <w:lang w:eastAsia="pt-BR"/>
        </w:rPr>
        <w:t xml:space="preserve">3. </w:t>
      </w:r>
      <w:r w:rsidR="009875CB" w:rsidRPr="007C170F">
        <w:rPr>
          <w:rFonts w:ascii="Arial" w:eastAsia="Times New Roman" w:hAnsi="Arial" w:cs="Arial"/>
          <w:b/>
          <w:sz w:val="20"/>
          <w:szCs w:val="20"/>
          <w:shd w:val="clear" w:color="auto" w:fill="FFFFFF"/>
          <w:lang w:eastAsia="pt-BR"/>
        </w:rPr>
        <w:t>Prestação de Contas Anual. Contabilidade. Orçamento. Crédito Suplementar. Comprovação. Superávit. Crédito Adicional.</w:t>
      </w:r>
    </w:p>
    <w:p w:rsidR="009875CB" w:rsidRPr="007C170F" w:rsidRDefault="009875CB" w:rsidP="009875CB">
      <w:pPr>
        <w:spacing w:after="0"/>
        <w:jc w:val="both"/>
        <w:rPr>
          <w:rFonts w:ascii="Arial" w:eastAsia="Times New Roman" w:hAnsi="Arial" w:cs="Arial"/>
          <w:b/>
          <w:sz w:val="20"/>
          <w:szCs w:val="20"/>
          <w:shd w:val="clear" w:color="auto" w:fill="FFFFFF"/>
          <w:lang w:eastAsia="pt-BR"/>
        </w:rPr>
      </w:pPr>
    </w:p>
    <w:p w:rsidR="009875CB" w:rsidRDefault="009875CB" w:rsidP="009875CB">
      <w:pPr>
        <w:spacing w:after="0"/>
        <w:jc w:val="both"/>
        <w:rPr>
          <w:rFonts w:ascii="Arial" w:eastAsia="Times New Roman" w:hAnsi="Arial" w:cs="Arial"/>
          <w:sz w:val="20"/>
          <w:szCs w:val="20"/>
          <w:shd w:val="clear" w:color="auto" w:fill="FFFFFF"/>
          <w:lang w:eastAsia="pt-BR"/>
        </w:rPr>
      </w:pPr>
      <w:r w:rsidRPr="007C170F">
        <w:rPr>
          <w:rFonts w:ascii="Arial" w:eastAsia="Times New Roman" w:hAnsi="Arial" w:cs="Arial"/>
          <w:sz w:val="20"/>
          <w:szCs w:val="20"/>
          <w:shd w:val="clear" w:color="auto" w:fill="FFFFFF"/>
          <w:lang w:eastAsia="pt-BR"/>
        </w:rPr>
        <w:t xml:space="preserve">Na abertura, pela entidade, de créditos adicionais suplementares apontando como recurso disponível superávit financeiro de determinada quantia superior, porém, ao superávit financeiro do exercício anterior passível de ser utilizado como recurso para a abertura de crédito adicional, indicado pela entidade, a indicação de recursos não disponíveis contraria ao que dispõe o artigo 167, inciso II, da Constituição Federal. </w:t>
      </w:r>
    </w:p>
    <w:p w:rsidR="009875CB" w:rsidRPr="007C170F" w:rsidRDefault="009875CB" w:rsidP="009875CB">
      <w:pPr>
        <w:spacing w:after="0"/>
        <w:jc w:val="both"/>
        <w:rPr>
          <w:rFonts w:ascii="Arial" w:eastAsia="Times New Roman" w:hAnsi="Arial" w:cs="Arial"/>
          <w:sz w:val="20"/>
          <w:szCs w:val="20"/>
          <w:shd w:val="clear" w:color="auto" w:fill="FFFFFF"/>
          <w:lang w:eastAsia="pt-BR"/>
        </w:rPr>
      </w:pPr>
    </w:p>
    <w:p w:rsidR="009875CB" w:rsidRPr="007C170F" w:rsidRDefault="009875CB" w:rsidP="009875CB">
      <w:pPr>
        <w:spacing w:after="0"/>
        <w:jc w:val="both"/>
        <w:rPr>
          <w:rFonts w:ascii="Arial" w:eastAsia="Times New Roman" w:hAnsi="Arial" w:cs="Arial"/>
          <w:sz w:val="20"/>
          <w:szCs w:val="20"/>
          <w:shd w:val="clear" w:color="auto" w:fill="FFFFFF"/>
          <w:lang w:eastAsia="pt-BR"/>
        </w:rPr>
      </w:pPr>
      <w:r w:rsidRPr="007C170F">
        <w:rPr>
          <w:rFonts w:ascii="Arial" w:eastAsia="Times New Roman" w:hAnsi="Arial" w:cs="Arial"/>
          <w:sz w:val="20"/>
          <w:szCs w:val="20"/>
          <w:shd w:val="clear" w:color="auto" w:fill="FFFFFF"/>
          <w:lang w:eastAsia="pt-BR"/>
        </w:rPr>
        <w:t>Processo nº 280154/11</w:t>
      </w:r>
      <w:r w:rsidR="00A454B8">
        <w:rPr>
          <w:rFonts w:ascii="Arial" w:eastAsia="Times New Roman" w:hAnsi="Arial" w:cs="Arial"/>
          <w:sz w:val="20"/>
          <w:szCs w:val="20"/>
          <w:shd w:val="clear" w:color="auto" w:fill="FFFFFF"/>
          <w:lang w:eastAsia="pt-BR"/>
        </w:rPr>
        <w:t xml:space="preserve"> - </w:t>
      </w:r>
      <w:hyperlink r:id="rId10" w:history="1">
        <w:r w:rsidRPr="007C170F">
          <w:rPr>
            <w:rStyle w:val="Hyperlink"/>
            <w:rFonts w:ascii="Arial" w:eastAsia="Times New Roman" w:hAnsi="Arial" w:cs="Arial"/>
            <w:sz w:val="20"/>
            <w:szCs w:val="20"/>
            <w:shd w:val="clear" w:color="auto" w:fill="FFFFFF"/>
            <w:lang w:eastAsia="pt-BR"/>
          </w:rPr>
          <w:t xml:space="preserve">Acórdão 998/18 </w:t>
        </w:r>
        <w:r>
          <w:rPr>
            <w:rStyle w:val="Hyperlink"/>
            <w:rFonts w:ascii="Arial" w:eastAsia="Times New Roman" w:hAnsi="Arial" w:cs="Arial"/>
            <w:sz w:val="20"/>
            <w:szCs w:val="20"/>
            <w:shd w:val="clear" w:color="auto" w:fill="FFFFFF"/>
            <w:lang w:eastAsia="pt-BR"/>
          </w:rPr>
          <w:t>-</w:t>
        </w:r>
        <w:r w:rsidRPr="007C170F">
          <w:rPr>
            <w:rStyle w:val="Hyperlink"/>
            <w:rFonts w:ascii="Arial" w:eastAsia="Times New Roman" w:hAnsi="Arial" w:cs="Arial"/>
            <w:sz w:val="20"/>
            <w:szCs w:val="20"/>
            <w:shd w:val="clear" w:color="auto" w:fill="FFFFFF"/>
            <w:lang w:eastAsia="pt-BR"/>
          </w:rPr>
          <w:t xml:space="preserve"> Segunda Câmara</w:t>
        </w:r>
      </w:hyperlink>
      <w:r w:rsidR="00A454B8" w:rsidRPr="00A454B8">
        <w:rPr>
          <w:rStyle w:val="Hyperlink"/>
          <w:rFonts w:ascii="Arial" w:eastAsia="Times New Roman" w:hAnsi="Arial" w:cs="Arial"/>
          <w:color w:val="auto"/>
          <w:sz w:val="20"/>
          <w:szCs w:val="20"/>
          <w:u w:val="none"/>
          <w:shd w:val="clear" w:color="auto" w:fill="FFFFFF"/>
          <w:lang w:eastAsia="pt-BR"/>
        </w:rPr>
        <w:t xml:space="preserve"> - </w:t>
      </w:r>
      <w:r w:rsidRPr="007C170F">
        <w:rPr>
          <w:rFonts w:ascii="Arial" w:eastAsia="Times New Roman" w:hAnsi="Arial" w:cs="Arial"/>
          <w:sz w:val="20"/>
          <w:szCs w:val="20"/>
          <w:shd w:val="clear" w:color="auto" w:fill="FFFFFF"/>
          <w:lang w:eastAsia="pt-BR"/>
        </w:rPr>
        <w:t xml:space="preserve">Relator Conselheiro Ivan </w:t>
      </w:r>
      <w:proofErr w:type="spellStart"/>
      <w:r w:rsidRPr="007C170F">
        <w:rPr>
          <w:rFonts w:ascii="Arial" w:eastAsia="Times New Roman" w:hAnsi="Arial" w:cs="Arial"/>
          <w:sz w:val="20"/>
          <w:szCs w:val="20"/>
          <w:shd w:val="clear" w:color="auto" w:fill="FFFFFF"/>
          <w:lang w:eastAsia="pt-BR"/>
        </w:rPr>
        <w:t>Lelis</w:t>
      </w:r>
      <w:proofErr w:type="spellEnd"/>
      <w:r w:rsidRPr="007C170F">
        <w:rPr>
          <w:rFonts w:ascii="Arial" w:eastAsia="Times New Roman" w:hAnsi="Arial" w:cs="Arial"/>
          <w:sz w:val="20"/>
          <w:szCs w:val="20"/>
          <w:shd w:val="clear" w:color="auto" w:fill="FFFFFF"/>
          <w:lang w:eastAsia="pt-BR"/>
        </w:rPr>
        <w:t xml:space="preserve"> Bonilha.</w:t>
      </w:r>
    </w:p>
    <w:p w:rsidR="009875CB" w:rsidRPr="007C170F" w:rsidRDefault="009875CB" w:rsidP="009875CB">
      <w:pPr>
        <w:autoSpaceDE w:val="0"/>
        <w:autoSpaceDN w:val="0"/>
        <w:adjustRightInd w:val="0"/>
        <w:spacing w:after="0"/>
        <w:jc w:val="both"/>
        <w:rPr>
          <w:rFonts w:ascii="Arial" w:hAnsi="Arial" w:cs="Arial"/>
          <w:sz w:val="20"/>
          <w:szCs w:val="20"/>
        </w:rPr>
      </w:pPr>
    </w:p>
    <w:p w:rsidR="009875CB" w:rsidRDefault="006F7BB1" w:rsidP="009875CB">
      <w:pPr>
        <w:spacing w:after="0"/>
        <w:jc w:val="both"/>
        <w:rPr>
          <w:rFonts w:ascii="Arial" w:eastAsia="Times New Roman" w:hAnsi="Arial" w:cs="Arial"/>
          <w:b/>
          <w:sz w:val="20"/>
          <w:szCs w:val="20"/>
          <w:shd w:val="clear" w:color="auto" w:fill="FFFFFF"/>
          <w:lang w:eastAsia="pt-BR"/>
        </w:rPr>
      </w:pPr>
      <w:r>
        <w:rPr>
          <w:rFonts w:ascii="Arial" w:eastAsia="Times New Roman" w:hAnsi="Arial" w:cs="Arial"/>
          <w:b/>
          <w:sz w:val="20"/>
          <w:szCs w:val="20"/>
          <w:shd w:val="clear" w:color="auto" w:fill="FFFFFF"/>
          <w:lang w:eastAsia="pt-BR"/>
        </w:rPr>
        <w:t xml:space="preserve">4. </w:t>
      </w:r>
      <w:r w:rsidR="009875CB" w:rsidRPr="007C170F">
        <w:rPr>
          <w:rFonts w:ascii="Arial" w:eastAsia="Times New Roman" w:hAnsi="Arial" w:cs="Arial"/>
          <w:b/>
          <w:sz w:val="20"/>
          <w:szCs w:val="20"/>
          <w:shd w:val="clear" w:color="auto" w:fill="FFFFFF"/>
          <w:lang w:eastAsia="pt-BR"/>
        </w:rPr>
        <w:t>Ato de Inativação. Ausência de instrução do respectivo processo de admissão. Desídia da administração. Segurança jurídica. Boa</w:t>
      </w:r>
      <w:r w:rsidR="009875CB">
        <w:rPr>
          <w:rFonts w:ascii="Arial" w:eastAsia="Times New Roman" w:hAnsi="Arial" w:cs="Arial"/>
          <w:b/>
          <w:sz w:val="20"/>
          <w:szCs w:val="20"/>
          <w:shd w:val="clear" w:color="auto" w:fill="FFFFFF"/>
          <w:lang w:eastAsia="pt-BR"/>
        </w:rPr>
        <w:t>-</w:t>
      </w:r>
      <w:r w:rsidR="009875CB" w:rsidRPr="007C170F">
        <w:rPr>
          <w:rFonts w:ascii="Arial" w:eastAsia="Times New Roman" w:hAnsi="Arial" w:cs="Arial"/>
          <w:b/>
          <w:sz w:val="20"/>
          <w:szCs w:val="20"/>
          <w:shd w:val="clear" w:color="auto" w:fill="FFFFFF"/>
          <w:lang w:eastAsia="pt-BR"/>
        </w:rPr>
        <w:t>fé.</w:t>
      </w:r>
    </w:p>
    <w:p w:rsidR="009875CB" w:rsidRPr="007C170F" w:rsidRDefault="009875CB" w:rsidP="009875CB">
      <w:pPr>
        <w:spacing w:after="0"/>
        <w:jc w:val="both"/>
        <w:rPr>
          <w:rFonts w:ascii="Arial" w:eastAsia="Times New Roman" w:hAnsi="Arial" w:cs="Arial"/>
          <w:b/>
          <w:sz w:val="20"/>
          <w:szCs w:val="20"/>
          <w:shd w:val="clear" w:color="auto" w:fill="FFFFFF"/>
          <w:lang w:eastAsia="pt-BR"/>
        </w:rPr>
      </w:pPr>
    </w:p>
    <w:p w:rsidR="009875CB" w:rsidRDefault="009875CB" w:rsidP="009875CB">
      <w:pPr>
        <w:spacing w:after="0"/>
        <w:jc w:val="both"/>
        <w:rPr>
          <w:rFonts w:ascii="Arial" w:eastAsia="Times New Roman" w:hAnsi="Arial" w:cs="Arial"/>
          <w:sz w:val="20"/>
          <w:szCs w:val="20"/>
          <w:shd w:val="clear" w:color="auto" w:fill="FFFFFF"/>
          <w:lang w:eastAsia="pt-BR"/>
        </w:rPr>
      </w:pPr>
      <w:r w:rsidRPr="007C170F">
        <w:rPr>
          <w:rFonts w:ascii="Arial" w:eastAsia="Times New Roman" w:hAnsi="Arial" w:cs="Arial"/>
          <w:sz w:val="20"/>
          <w:szCs w:val="20"/>
          <w:shd w:val="clear" w:color="auto" w:fill="FFFFFF"/>
          <w:lang w:eastAsia="pt-BR"/>
        </w:rPr>
        <w:t>Servidor e terceiros que não podem responder pela desídia da Administração. “</w:t>
      </w:r>
      <w:r w:rsidRPr="007C170F">
        <w:rPr>
          <w:rFonts w:ascii="Arial" w:eastAsia="Times New Roman" w:hAnsi="Arial" w:cs="Arial"/>
          <w:i/>
          <w:sz w:val="20"/>
          <w:szCs w:val="20"/>
          <w:shd w:val="clear" w:color="auto" w:fill="FFFFFF"/>
          <w:lang w:eastAsia="pt-BR"/>
        </w:rPr>
        <w:t xml:space="preserve">A ausência de encaminhamento ao Tribunal de Contas de processo de admissão de pessoal não significa que o mesmo seja inexistente. Essa situação enseja a apuração de responsabilidades para eventual </w:t>
      </w:r>
      <w:proofErr w:type="spellStart"/>
      <w:r w:rsidRPr="007C170F">
        <w:rPr>
          <w:rFonts w:ascii="Arial" w:eastAsia="Times New Roman" w:hAnsi="Arial" w:cs="Arial"/>
          <w:i/>
          <w:sz w:val="20"/>
          <w:szCs w:val="20"/>
          <w:shd w:val="clear" w:color="auto" w:fill="FFFFFF"/>
          <w:lang w:eastAsia="pt-BR"/>
        </w:rPr>
        <w:t>apenamento</w:t>
      </w:r>
      <w:proofErr w:type="spellEnd"/>
      <w:r w:rsidRPr="007C170F">
        <w:rPr>
          <w:rFonts w:ascii="Arial" w:eastAsia="Times New Roman" w:hAnsi="Arial" w:cs="Arial"/>
          <w:i/>
          <w:sz w:val="20"/>
          <w:szCs w:val="20"/>
          <w:shd w:val="clear" w:color="auto" w:fill="FFFFFF"/>
          <w:lang w:eastAsia="pt-BR"/>
        </w:rPr>
        <w:t xml:space="preserve"> do gestor responsável, mas não implica em sanção a servidores que, até prova em contrário, ingressaram de forma regular no serviço público. Para análise de atos de aposentadoria, é essencial que se possa aferir a regularidade das admissões dos respectivos servidores. Desta forma, deverá a Administração deferir os pedidos de aposentadoria que, de acordo com seus sistemas de controle, estiverem regularmente fundamentados e procurar, o mais breve possível, reconstituir os documentos referentes à admissão dos aposentados</w:t>
      </w:r>
      <w:r w:rsidRPr="007C170F">
        <w:rPr>
          <w:rFonts w:ascii="Arial" w:eastAsia="Times New Roman" w:hAnsi="Arial" w:cs="Arial"/>
          <w:sz w:val="20"/>
          <w:szCs w:val="20"/>
          <w:shd w:val="clear" w:color="auto" w:fill="FFFFFF"/>
          <w:lang w:eastAsia="pt-BR"/>
        </w:rPr>
        <w:t xml:space="preserve">” (Acórdão </w:t>
      </w:r>
      <w:r w:rsidR="00D91008">
        <w:rPr>
          <w:rFonts w:ascii="Arial" w:eastAsia="Times New Roman" w:hAnsi="Arial" w:cs="Arial"/>
          <w:sz w:val="20"/>
          <w:szCs w:val="20"/>
          <w:shd w:val="clear" w:color="auto" w:fill="FFFFFF"/>
          <w:lang w:eastAsia="pt-BR"/>
        </w:rPr>
        <w:t xml:space="preserve">n° </w:t>
      </w:r>
      <w:r w:rsidRPr="007C170F">
        <w:rPr>
          <w:rFonts w:ascii="Arial" w:eastAsia="Times New Roman" w:hAnsi="Arial" w:cs="Arial"/>
          <w:sz w:val="20"/>
          <w:szCs w:val="20"/>
          <w:shd w:val="clear" w:color="auto" w:fill="FFFFFF"/>
          <w:lang w:eastAsia="pt-BR"/>
        </w:rPr>
        <w:t>698/06</w:t>
      </w:r>
      <w:r w:rsidR="00D91008">
        <w:rPr>
          <w:rFonts w:ascii="Arial" w:eastAsia="Times New Roman" w:hAnsi="Arial" w:cs="Arial"/>
          <w:sz w:val="20"/>
          <w:szCs w:val="20"/>
          <w:shd w:val="clear" w:color="auto" w:fill="FFFFFF"/>
          <w:lang w:eastAsia="pt-BR"/>
        </w:rPr>
        <w:t xml:space="preserve"> </w:t>
      </w:r>
      <w:r w:rsidRPr="007C170F">
        <w:rPr>
          <w:rFonts w:ascii="Arial" w:eastAsia="Times New Roman" w:hAnsi="Arial" w:cs="Arial"/>
          <w:sz w:val="20"/>
          <w:szCs w:val="20"/>
          <w:shd w:val="clear" w:color="auto" w:fill="FFFFFF"/>
          <w:lang w:eastAsia="pt-BR"/>
        </w:rPr>
        <w:t>-T</w:t>
      </w:r>
      <w:r w:rsidR="00D91008">
        <w:rPr>
          <w:rFonts w:ascii="Arial" w:eastAsia="Times New Roman" w:hAnsi="Arial" w:cs="Arial"/>
          <w:sz w:val="20"/>
          <w:szCs w:val="20"/>
          <w:shd w:val="clear" w:color="auto" w:fill="FFFFFF"/>
          <w:lang w:eastAsia="pt-BR"/>
        </w:rPr>
        <w:t xml:space="preserve">ribunal Pleno - </w:t>
      </w:r>
      <w:r w:rsidRPr="007C170F">
        <w:rPr>
          <w:rFonts w:ascii="Arial" w:eastAsia="Times New Roman" w:hAnsi="Arial" w:cs="Arial"/>
          <w:sz w:val="20"/>
          <w:szCs w:val="20"/>
          <w:shd w:val="clear" w:color="auto" w:fill="FFFFFF"/>
          <w:lang w:eastAsia="pt-BR"/>
        </w:rPr>
        <w:t>Rel. Cons. Fernando Augusto Mello Guimarães).</w:t>
      </w:r>
    </w:p>
    <w:p w:rsidR="009875CB" w:rsidRPr="007C170F" w:rsidRDefault="009875CB" w:rsidP="009875CB">
      <w:pPr>
        <w:spacing w:after="0"/>
        <w:jc w:val="both"/>
        <w:rPr>
          <w:rFonts w:ascii="Arial" w:eastAsia="Times New Roman" w:hAnsi="Arial" w:cs="Arial"/>
          <w:sz w:val="20"/>
          <w:szCs w:val="20"/>
          <w:shd w:val="clear" w:color="auto" w:fill="FFFFFF"/>
          <w:lang w:eastAsia="pt-BR"/>
        </w:rPr>
      </w:pPr>
    </w:p>
    <w:p w:rsidR="009875CB" w:rsidRPr="007C170F" w:rsidRDefault="009875CB" w:rsidP="009875CB">
      <w:pPr>
        <w:spacing w:after="0"/>
        <w:jc w:val="both"/>
        <w:rPr>
          <w:rFonts w:ascii="Arial" w:eastAsia="Times New Roman" w:hAnsi="Arial" w:cs="Arial"/>
          <w:sz w:val="20"/>
          <w:szCs w:val="20"/>
          <w:shd w:val="clear" w:color="auto" w:fill="FFFFFF"/>
          <w:lang w:eastAsia="pt-BR"/>
        </w:rPr>
      </w:pPr>
      <w:r>
        <w:rPr>
          <w:rFonts w:ascii="Arial" w:eastAsia="Times New Roman" w:hAnsi="Arial" w:cs="Arial"/>
          <w:sz w:val="20"/>
          <w:szCs w:val="20"/>
          <w:shd w:val="clear" w:color="auto" w:fill="FFFFFF"/>
          <w:lang w:eastAsia="pt-BR"/>
        </w:rPr>
        <w:t xml:space="preserve">Processo nº 235083/12 - </w:t>
      </w:r>
      <w:hyperlink r:id="rId11" w:history="1">
        <w:r w:rsidR="007164E3" w:rsidRPr="007C170F">
          <w:rPr>
            <w:rStyle w:val="Hyperlink"/>
            <w:rFonts w:ascii="Arial" w:eastAsia="Times New Roman" w:hAnsi="Arial" w:cs="Arial"/>
            <w:sz w:val="20"/>
            <w:szCs w:val="20"/>
            <w:shd w:val="clear" w:color="auto" w:fill="FFFFFF"/>
            <w:lang w:eastAsia="pt-BR"/>
          </w:rPr>
          <w:t xml:space="preserve">Acórdão 1022/18 </w:t>
        </w:r>
        <w:r w:rsidR="00D91008">
          <w:rPr>
            <w:rStyle w:val="Hyperlink"/>
            <w:rFonts w:ascii="Arial" w:eastAsia="Times New Roman" w:hAnsi="Arial" w:cs="Arial"/>
            <w:sz w:val="20"/>
            <w:szCs w:val="20"/>
            <w:shd w:val="clear" w:color="auto" w:fill="FFFFFF"/>
            <w:lang w:eastAsia="pt-BR"/>
          </w:rPr>
          <w:t>-</w:t>
        </w:r>
        <w:r w:rsidR="007164E3" w:rsidRPr="007C170F">
          <w:rPr>
            <w:rStyle w:val="Hyperlink"/>
            <w:rFonts w:ascii="Arial" w:eastAsia="Times New Roman" w:hAnsi="Arial" w:cs="Arial"/>
            <w:sz w:val="20"/>
            <w:szCs w:val="20"/>
            <w:shd w:val="clear" w:color="auto" w:fill="FFFFFF"/>
            <w:lang w:eastAsia="pt-BR"/>
          </w:rPr>
          <w:t xml:space="preserve"> Segunda Câmara</w:t>
        </w:r>
      </w:hyperlink>
      <w:r w:rsidR="007164E3">
        <w:rPr>
          <w:rStyle w:val="Hyperlink"/>
          <w:rFonts w:ascii="Arial" w:eastAsia="Times New Roman" w:hAnsi="Arial" w:cs="Arial"/>
          <w:sz w:val="20"/>
          <w:szCs w:val="20"/>
          <w:shd w:val="clear" w:color="auto" w:fill="FFFFFF"/>
          <w:lang w:eastAsia="pt-BR"/>
        </w:rPr>
        <w:t xml:space="preserve"> </w:t>
      </w:r>
      <w:r>
        <w:rPr>
          <w:rFonts w:ascii="Arial" w:eastAsia="Times New Roman" w:hAnsi="Arial" w:cs="Arial"/>
          <w:sz w:val="20"/>
          <w:szCs w:val="20"/>
          <w:shd w:val="clear" w:color="auto" w:fill="FFFFFF"/>
          <w:lang w:eastAsia="pt-BR"/>
        </w:rPr>
        <w:t xml:space="preserve">- </w:t>
      </w:r>
      <w:r w:rsidRPr="007C170F">
        <w:rPr>
          <w:rFonts w:ascii="Arial" w:eastAsia="Times New Roman" w:hAnsi="Arial" w:cs="Arial"/>
          <w:sz w:val="20"/>
          <w:szCs w:val="20"/>
          <w:shd w:val="clear" w:color="auto" w:fill="FFFFFF"/>
          <w:lang w:eastAsia="pt-BR"/>
        </w:rPr>
        <w:t xml:space="preserve"> Relator Conselheiro </w:t>
      </w:r>
      <w:proofErr w:type="spellStart"/>
      <w:r w:rsidRPr="007C170F">
        <w:rPr>
          <w:rFonts w:ascii="Arial" w:eastAsia="Times New Roman" w:hAnsi="Arial" w:cs="Arial"/>
          <w:sz w:val="20"/>
          <w:szCs w:val="20"/>
          <w:shd w:val="clear" w:color="auto" w:fill="FFFFFF"/>
          <w:lang w:eastAsia="pt-BR"/>
        </w:rPr>
        <w:t>Artagão</w:t>
      </w:r>
      <w:proofErr w:type="spellEnd"/>
      <w:r w:rsidRPr="007C170F">
        <w:rPr>
          <w:rFonts w:ascii="Arial" w:eastAsia="Times New Roman" w:hAnsi="Arial" w:cs="Arial"/>
          <w:sz w:val="20"/>
          <w:szCs w:val="20"/>
          <w:shd w:val="clear" w:color="auto" w:fill="FFFFFF"/>
          <w:lang w:eastAsia="pt-BR"/>
        </w:rPr>
        <w:t xml:space="preserve"> de Mattos Leão.</w:t>
      </w:r>
    </w:p>
    <w:p w:rsidR="009875CB" w:rsidRDefault="009875CB" w:rsidP="006D158F">
      <w:pPr>
        <w:autoSpaceDE w:val="0"/>
        <w:autoSpaceDN w:val="0"/>
        <w:adjustRightInd w:val="0"/>
        <w:spacing w:after="0"/>
        <w:jc w:val="both"/>
        <w:rPr>
          <w:rFonts w:ascii="Arial" w:hAnsi="Arial" w:cs="Arial"/>
          <w:sz w:val="20"/>
          <w:szCs w:val="20"/>
        </w:rPr>
      </w:pPr>
    </w:p>
    <w:p w:rsidR="00AE4F42" w:rsidRPr="0022060B" w:rsidRDefault="00AE4F42" w:rsidP="00816942">
      <w:pPr>
        <w:shd w:val="pct10" w:color="auto" w:fill="auto"/>
        <w:spacing w:after="0"/>
        <w:jc w:val="center"/>
        <w:rPr>
          <w:rFonts w:ascii="Arial" w:hAnsi="Arial" w:cs="Arial"/>
          <w:b/>
          <w:sz w:val="20"/>
          <w:szCs w:val="20"/>
        </w:rPr>
      </w:pPr>
      <w:r w:rsidRPr="0022060B">
        <w:rPr>
          <w:rFonts w:ascii="Arial" w:hAnsi="Arial" w:cs="Arial"/>
          <w:b/>
          <w:sz w:val="20"/>
          <w:szCs w:val="20"/>
        </w:rPr>
        <w:t>TRIBUNAL PLENO</w:t>
      </w:r>
    </w:p>
    <w:p w:rsidR="00BD4E7A" w:rsidRDefault="00BD4E7A" w:rsidP="00816942">
      <w:pPr>
        <w:autoSpaceDE w:val="0"/>
        <w:autoSpaceDN w:val="0"/>
        <w:adjustRightInd w:val="0"/>
        <w:spacing w:after="0"/>
        <w:jc w:val="both"/>
        <w:rPr>
          <w:rFonts w:ascii="Arial" w:hAnsi="Arial" w:cs="Arial"/>
          <w:b/>
          <w:color w:val="000000"/>
          <w:sz w:val="20"/>
          <w:szCs w:val="20"/>
          <w:shd w:val="clear" w:color="auto" w:fill="FFFFFF"/>
        </w:rPr>
      </w:pPr>
    </w:p>
    <w:p w:rsidR="001E47AF" w:rsidRDefault="006F7BB1" w:rsidP="004B7176">
      <w:pPr>
        <w:pStyle w:val="NormalWeb"/>
        <w:spacing w:before="0" w:beforeAutospacing="0" w:after="0" w:afterAutospacing="0" w:line="276" w:lineRule="auto"/>
        <w:jc w:val="both"/>
        <w:rPr>
          <w:rStyle w:val="Forte"/>
          <w:rFonts w:ascii="Arial" w:hAnsi="Arial" w:cs="Arial"/>
          <w:color w:val="000000"/>
          <w:sz w:val="20"/>
          <w:szCs w:val="20"/>
        </w:rPr>
      </w:pPr>
      <w:r>
        <w:rPr>
          <w:rStyle w:val="Forte"/>
          <w:rFonts w:ascii="Arial" w:hAnsi="Arial" w:cs="Arial"/>
          <w:color w:val="000000"/>
          <w:sz w:val="20"/>
          <w:szCs w:val="20"/>
        </w:rPr>
        <w:t xml:space="preserve">5. </w:t>
      </w:r>
      <w:r w:rsidR="004B7176" w:rsidRPr="007C170F">
        <w:rPr>
          <w:rStyle w:val="Forte"/>
          <w:rFonts w:ascii="Arial" w:hAnsi="Arial" w:cs="Arial"/>
          <w:color w:val="000000"/>
          <w:sz w:val="20"/>
          <w:szCs w:val="20"/>
        </w:rPr>
        <w:t xml:space="preserve">Súmula nº 12. Proposta de Revisão. Uniformização de Jurisprudência nº 23. Proposta de </w:t>
      </w:r>
      <w:r w:rsidR="001E47AF">
        <w:rPr>
          <w:rStyle w:val="Forte"/>
          <w:rFonts w:ascii="Arial" w:hAnsi="Arial" w:cs="Arial"/>
          <w:color w:val="000000"/>
          <w:sz w:val="20"/>
          <w:szCs w:val="20"/>
        </w:rPr>
        <w:t>Revisão aprovada pelo Colegiado.</w:t>
      </w:r>
    </w:p>
    <w:p w:rsidR="004B7176" w:rsidRPr="007C170F" w:rsidRDefault="004B7176" w:rsidP="004B7176">
      <w:pPr>
        <w:pStyle w:val="NormalWeb"/>
        <w:spacing w:before="0" w:beforeAutospacing="0" w:after="0" w:afterAutospacing="0" w:line="276" w:lineRule="auto"/>
        <w:jc w:val="both"/>
        <w:rPr>
          <w:rFonts w:ascii="Arial" w:hAnsi="Arial" w:cs="Arial"/>
          <w:color w:val="000000"/>
          <w:sz w:val="20"/>
          <w:szCs w:val="20"/>
        </w:rPr>
      </w:pPr>
      <w:r w:rsidRPr="007C170F">
        <w:rPr>
          <w:rFonts w:ascii="Arial" w:hAnsi="Arial" w:cs="Arial"/>
          <w:color w:val="000000"/>
          <w:sz w:val="20"/>
          <w:szCs w:val="20"/>
        </w:rPr>
        <w:t> </w:t>
      </w:r>
    </w:p>
    <w:p w:rsidR="004B7176" w:rsidRPr="007C170F" w:rsidRDefault="004B7176" w:rsidP="004B7176">
      <w:pPr>
        <w:spacing w:after="0"/>
        <w:jc w:val="both"/>
        <w:rPr>
          <w:rFonts w:ascii="Arial" w:eastAsia="Times New Roman" w:hAnsi="Arial" w:cs="Arial"/>
          <w:sz w:val="20"/>
          <w:szCs w:val="20"/>
          <w:shd w:val="clear" w:color="auto" w:fill="FFFFFF"/>
          <w:lang w:eastAsia="pt-BR"/>
        </w:rPr>
      </w:pPr>
      <w:r w:rsidRPr="007C170F">
        <w:rPr>
          <w:rFonts w:ascii="Arial" w:eastAsia="Times New Roman" w:hAnsi="Arial" w:cs="Arial"/>
          <w:sz w:val="20"/>
          <w:szCs w:val="20"/>
          <w:shd w:val="clear" w:color="auto" w:fill="FFFFFF"/>
          <w:lang w:eastAsia="pt-BR"/>
        </w:rPr>
        <w:t>Aprovar a revisão do Enunciado da Súmula 12 deste Tribunal de Contas, para que nele conste anotação do seguinte teor: “</w:t>
      </w:r>
      <w:r w:rsidRPr="000E4DF5">
        <w:rPr>
          <w:rFonts w:ascii="Arial" w:eastAsia="Times New Roman" w:hAnsi="Arial" w:cs="Arial"/>
          <w:i/>
          <w:sz w:val="20"/>
          <w:szCs w:val="20"/>
          <w:shd w:val="clear" w:color="auto" w:fill="FFFFFF"/>
          <w:lang w:eastAsia="pt-BR"/>
        </w:rPr>
        <w:t>Superada ante a superveniência da Uniformização de Jurisprudência nº 23 do TCE - PR - Acórdão nº 2842/16 - Tribunal Pleno, a qual tem por causa a Tese firmada em Repercussão Geral de nº 524 do Supremo Tribunal Federal, proveniente do julgamento do Recurso Extraordinário nº 656860/MT”.</w:t>
      </w:r>
    </w:p>
    <w:p w:rsidR="004B7176" w:rsidRPr="007C170F" w:rsidRDefault="004B7176" w:rsidP="004B7176">
      <w:pPr>
        <w:pStyle w:val="NormalWeb"/>
        <w:spacing w:before="0" w:beforeAutospacing="0" w:after="0" w:afterAutospacing="0" w:line="276" w:lineRule="auto"/>
        <w:jc w:val="both"/>
        <w:rPr>
          <w:rFonts w:ascii="Arial" w:hAnsi="Arial" w:cs="Arial"/>
          <w:color w:val="000000"/>
          <w:sz w:val="20"/>
          <w:szCs w:val="20"/>
        </w:rPr>
      </w:pPr>
      <w:r w:rsidRPr="007C170F">
        <w:rPr>
          <w:rFonts w:ascii="Arial" w:hAnsi="Arial" w:cs="Arial"/>
          <w:color w:val="000000"/>
          <w:sz w:val="20"/>
          <w:szCs w:val="20"/>
        </w:rPr>
        <w:t> </w:t>
      </w:r>
    </w:p>
    <w:p w:rsidR="004B7176" w:rsidRPr="007C170F" w:rsidRDefault="004B7176" w:rsidP="004B7176">
      <w:pPr>
        <w:pStyle w:val="NormalWeb"/>
        <w:spacing w:before="0" w:beforeAutospacing="0" w:after="0" w:afterAutospacing="0" w:line="276" w:lineRule="auto"/>
        <w:jc w:val="both"/>
        <w:rPr>
          <w:rFonts w:ascii="Arial" w:hAnsi="Arial" w:cs="Arial"/>
          <w:color w:val="000000"/>
          <w:sz w:val="20"/>
          <w:szCs w:val="20"/>
        </w:rPr>
      </w:pPr>
      <w:r w:rsidRPr="007C170F">
        <w:rPr>
          <w:rFonts w:ascii="Arial" w:hAnsi="Arial" w:cs="Arial"/>
          <w:color w:val="000000"/>
          <w:sz w:val="20"/>
          <w:szCs w:val="20"/>
        </w:rPr>
        <w:t xml:space="preserve">Processo nº 408814/17 </w:t>
      </w:r>
      <w:r>
        <w:rPr>
          <w:rFonts w:ascii="Arial" w:hAnsi="Arial" w:cs="Arial"/>
          <w:color w:val="000000"/>
          <w:sz w:val="20"/>
          <w:szCs w:val="20"/>
        </w:rPr>
        <w:t>-</w:t>
      </w:r>
      <w:r w:rsidRPr="007C170F">
        <w:rPr>
          <w:rFonts w:ascii="Arial" w:hAnsi="Arial" w:cs="Arial"/>
          <w:color w:val="000000"/>
          <w:sz w:val="20"/>
          <w:szCs w:val="20"/>
        </w:rPr>
        <w:t> </w:t>
      </w:r>
      <w:hyperlink r:id="rId12" w:tgtFrame="_blank" w:history="1">
        <w:r w:rsidRPr="007C170F">
          <w:rPr>
            <w:rStyle w:val="Hyperlink"/>
            <w:rFonts w:ascii="Arial" w:hAnsi="Arial" w:cs="Arial"/>
            <w:sz w:val="20"/>
            <w:szCs w:val="20"/>
          </w:rPr>
          <w:t xml:space="preserve">Acórdão nº 1050/18 </w:t>
        </w:r>
        <w:r>
          <w:rPr>
            <w:rStyle w:val="Hyperlink"/>
            <w:rFonts w:ascii="Arial" w:hAnsi="Arial" w:cs="Arial"/>
            <w:sz w:val="20"/>
            <w:szCs w:val="20"/>
          </w:rPr>
          <w:t>-</w:t>
        </w:r>
        <w:r w:rsidRPr="007C170F">
          <w:rPr>
            <w:rStyle w:val="Hyperlink"/>
            <w:rFonts w:ascii="Arial" w:hAnsi="Arial" w:cs="Arial"/>
            <w:sz w:val="20"/>
            <w:szCs w:val="20"/>
          </w:rPr>
          <w:t xml:space="preserve"> Tribunal Pleno</w:t>
        </w:r>
      </w:hyperlink>
      <w:r w:rsidRPr="007C170F">
        <w:rPr>
          <w:rFonts w:ascii="Arial" w:hAnsi="Arial" w:cs="Arial"/>
          <w:color w:val="000000"/>
          <w:sz w:val="20"/>
          <w:szCs w:val="20"/>
        </w:rPr>
        <w:t> </w:t>
      </w:r>
      <w:r>
        <w:rPr>
          <w:rFonts w:ascii="Arial" w:hAnsi="Arial" w:cs="Arial"/>
          <w:color w:val="000000"/>
          <w:sz w:val="20"/>
          <w:szCs w:val="20"/>
        </w:rPr>
        <w:t>-</w:t>
      </w:r>
      <w:r w:rsidRPr="007C170F">
        <w:rPr>
          <w:rFonts w:ascii="Arial" w:hAnsi="Arial" w:cs="Arial"/>
          <w:color w:val="000000"/>
          <w:sz w:val="20"/>
          <w:szCs w:val="20"/>
        </w:rPr>
        <w:t xml:space="preserve"> Relator Conselheiro Fernando Augusto Mello Guimarães.</w:t>
      </w:r>
    </w:p>
    <w:p w:rsidR="004B7176" w:rsidRPr="007C170F" w:rsidRDefault="004B7176" w:rsidP="004B7176">
      <w:pPr>
        <w:pStyle w:val="NormalWeb"/>
        <w:spacing w:before="0" w:beforeAutospacing="0" w:after="0" w:afterAutospacing="0" w:line="276" w:lineRule="auto"/>
        <w:jc w:val="both"/>
        <w:rPr>
          <w:rFonts w:ascii="Arial" w:hAnsi="Arial" w:cs="Arial"/>
          <w:color w:val="000000"/>
          <w:sz w:val="20"/>
          <w:szCs w:val="20"/>
        </w:rPr>
      </w:pPr>
      <w:r w:rsidRPr="007C170F">
        <w:rPr>
          <w:rFonts w:ascii="Arial" w:hAnsi="Arial" w:cs="Arial"/>
          <w:color w:val="000000"/>
          <w:sz w:val="20"/>
          <w:szCs w:val="20"/>
        </w:rPr>
        <w:t> </w:t>
      </w:r>
    </w:p>
    <w:p w:rsidR="004B7176" w:rsidRDefault="006F7BB1" w:rsidP="004B7176">
      <w:pPr>
        <w:pStyle w:val="NormalWeb"/>
        <w:spacing w:before="0" w:beforeAutospacing="0" w:after="0" w:afterAutospacing="0" w:line="276" w:lineRule="auto"/>
        <w:jc w:val="both"/>
        <w:rPr>
          <w:rStyle w:val="Forte"/>
          <w:rFonts w:ascii="Arial" w:hAnsi="Arial" w:cs="Arial"/>
          <w:color w:val="000000"/>
          <w:sz w:val="20"/>
          <w:szCs w:val="20"/>
        </w:rPr>
      </w:pPr>
      <w:r>
        <w:rPr>
          <w:rStyle w:val="Forte"/>
          <w:rFonts w:ascii="Arial" w:hAnsi="Arial" w:cs="Arial"/>
          <w:color w:val="000000"/>
          <w:sz w:val="20"/>
          <w:szCs w:val="20"/>
        </w:rPr>
        <w:t xml:space="preserve">6. </w:t>
      </w:r>
      <w:r w:rsidR="004B7176" w:rsidRPr="007C170F">
        <w:rPr>
          <w:rStyle w:val="Forte"/>
          <w:rFonts w:ascii="Arial" w:hAnsi="Arial" w:cs="Arial"/>
          <w:color w:val="000000"/>
          <w:sz w:val="20"/>
          <w:szCs w:val="20"/>
        </w:rPr>
        <w:t>Consulta. Poder Legislativo. Programas de politização. Premiações e benefícios. Possibilidade. Requisitos.</w:t>
      </w:r>
    </w:p>
    <w:p w:rsidR="004B7176" w:rsidRPr="007C170F" w:rsidRDefault="004B7176" w:rsidP="004B7176">
      <w:pPr>
        <w:pStyle w:val="NormalWeb"/>
        <w:spacing w:before="0" w:beforeAutospacing="0" w:after="0" w:afterAutospacing="0" w:line="276" w:lineRule="auto"/>
        <w:jc w:val="both"/>
        <w:rPr>
          <w:rFonts w:ascii="Arial" w:hAnsi="Arial" w:cs="Arial"/>
          <w:color w:val="000000"/>
          <w:sz w:val="20"/>
          <w:szCs w:val="20"/>
        </w:rPr>
      </w:pPr>
    </w:p>
    <w:p w:rsidR="004B7176" w:rsidRDefault="004B7176" w:rsidP="004B7176">
      <w:pPr>
        <w:pStyle w:val="NormalWeb"/>
        <w:spacing w:before="0" w:beforeAutospacing="0" w:after="0" w:afterAutospacing="0" w:line="276" w:lineRule="auto"/>
        <w:jc w:val="both"/>
        <w:rPr>
          <w:rFonts w:ascii="Arial" w:hAnsi="Arial" w:cs="Arial"/>
          <w:color w:val="000000"/>
          <w:sz w:val="20"/>
          <w:szCs w:val="20"/>
        </w:rPr>
      </w:pPr>
      <w:r w:rsidRPr="007C170F">
        <w:rPr>
          <w:rFonts w:ascii="Arial" w:hAnsi="Arial" w:cs="Arial"/>
          <w:color w:val="000000"/>
          <w:sz w:val="20"/>
          <w:szCs w:val="20"/>
        </w:rPr>
        <w:t>Limitam-se os questionamentos do Consulente à possibilidade do Poder Legislativo em conceder benefício/premiações a participantes de programas de politização, que promovam a participação política da sociedade e a educação à cidadania, programas estes inerentes à função essencial do referido Poder.</w:t>
      </w:r>
      <w:r>
        <w:rPr>
          <w:rFonts w:ascii="Arial" w:hAnsi="Arial" w:cs="Arial"/>
          <w:color w:val="000000"/>
          <w:sz w:val="20"/>
          <w:szCs w:val="20"/>
        </w:rPr>
        <w:t xml:space="preserve"> </w:t>
      </w:r>
      <w:r w:rsidRPr="007C170F">
        <w:rPr>
          <w:rFonts w:ascii="Arial" w:hAnsi="Arial" w:cs="Arial"/>
          <w:color w:val="000000"/>
          <w:sz w:val="20"/>
          <w:szCs w:val="20"/>
        </w:rPr>
        <w:t>Resposta</w:t>
      </w:r>
      <w:r>
        <w:rPr>
          <w:rFonts w:ascii="Arial" w:hAnsi="Arial" w:cs="Arial"/>
          <w:color w:val="000000"/>
          <w:sz w:val="20"/>
          <w:szCs w:val="20"/>
        </w:rPr>
        <w:t xml:space="preserve"> </w:t>
      </w:r>
      <w:r w:rsidRPr="007C170F">
        <w:rPr>
          <w:rFonts w:ascii="Arial" w:hAnsi="Arial" w:cs="Arial"/>
          <w:color w:val="000000"/>
          <w:sz w:val="20"/>
          <w:szCs w:val="20"/>
        </w:rPr>
        <w:t xml:space="preserve">dos questionamentos, no sentido de que o Poder Legislativo pode </w:t>
      </w:r>
      <w:r w:rsidRPr="007C170F">
        <w:rPr>
          <w:rFonts w:ascii="Arial" w:hAnsi="Arial" w:cs="Arial"/>
          <w:color w:val="000000"/>
          <w:sz w:val="20"/>
          <w:szCs w:val="20"/>
        </w:rPr>
        <w:lastRenderedPageBreak/>
        <w:t>conceder benefício/premiações a participantes de programas de politização, que promovam a participação política da sociedade e a educação para a cidadania, criados pelo referido Poder e que sejam inerentes à sua função essencial, desde que observado o seguinte:</w:t>
      </w:r>
    </w:p>
    <w:p w:rsidR="004B7176" w:rsidRDefault="004B7176" w:rsidP="004B7176">
      <w:pPr>
        <w:pStyle w:val="NormalWeb"/>
        <w:spacing w:before="0" w:beforeAutospacing="0" w:after="0" w:afterAutospacing="0" w:line="276" w:lineRule="auto"/>
        <w:jc w:val="both"/>
        <w:rPr>
          <w:rFonts w:ascii="Arial" w:hAnsi="Arial" w:cs="Arial"/>
          <w:color w:val="000000"/>
          <w:sz w:val="20"/>
          <w:szCs w:val="20"/>
        </w:rPr>
      </w:pPr>
      <w:r w:rsidRPr="007C170F">
        <w:rPr>
          <w:rFonts w:ascii="Arial" w:hAnsi="Arial" w:cs="Arial"/>
          <w:color w:val="000000"/>
          <w:sz w:val="20"/>
          <w:szCs w:val="20"/>
        </w:rPr>
        <w:br/>
      </w:r>
      <w:r w:rsidRPr="00001F13">
        <w:rPr>
          <w:rStyle w:val="Forte"/>
          <w:rFonts w:ascii="Arial" w:hAnsi="Arial" w:cs="Arial"/>
          <w:b w:val="0"/>
          <w:color w:val="000000"/>
          <w:sz w:val="20"/>
          <w:szCs w:val="20"/>
        </w:rPr>
        <w:t>a)</w:t>
      </w:r>
      <w:r w:rsidRPr="007C170F">
        <w:rPr>
          <w:rStyle w:val="Forte"/>
          <w:rFonts w:ascii="Arial" w:hAnsi="Arial" w:cs="Arial"/>
          <w:color w:val="000000"/>
          <w:sz w:val="20"/>
          <w:szCs w:val="20"/>
        </w:rPr>
        <w:t> </w:t>
      </w:r>
      <w:r w:rsidRPr="007C170F">
        <w:rPr>
          <w:rFonts w:ascii="Arial" w:hAnsi="Arial" w:cs="Arial"/>
          <w:color w:val="000000"/>
          <w:sz w:val="20"/>
          <w:szCs w:val="20"/>
        </w:rPr>
        <w:t>A necessidade de previsão do projeto em lei específica que discipline de maneira objetiva seu regulamento, inclusive eventual premiação e indenização de custos dos participantes;</w:t>
      </w:r>
    </w:p>
    <w:p w:rsidR="004B7176" w:rsidRDefault="004B7176" w:rsidP="004B7176">
      <w:pPr>
        <w:pStyle w:val="NormalWeb"/>
        <w:spacing w:before="0" w:beforeAutospacing="0" w:after="0" w:afterAutospacing="0" w:line="276" w:lineRule="auto"/>
        <w:jc w:val="both"/>
        <w:rPr>
          <w:rFonts w:ascii="Arial" w:hAnsi="Arial" w:cs="Arial"/>
          <w:color w:val="000000"/>
          <w:sz w:val="20"/>
          <w:szCs w:val="20"/>
        </w:rPr>
      </w:pPr>
      <w:r w:rsidRPr="007C170F">
        <w:rPr>
          <w:rFonts w:ascii="Arial" w:hAnsi="Arial" w:cs="Arial"/>
          <w:color w:val="000000"/>
          <w:sz w:val="20"/>
          <w:szCs w:val="20"/>
        </w:rPr>
        <w:br/>
      </w:r>
      <w:r w:rsidRPr="00001F13">
        <w:rPr>
          <w:rStyle w:val="Forte"/>
          <w:rFonts w:ascii="Arial" w:hAnsi="Arial" w:cs="Arial"/>
          <w:b w:val="0"/>
          <w:color w:val="000000"/>
          <w:sz w:val="20"/>
          <w:szCs w:val="20"/>
        </w:rPr>
        <w:t>b)</w:t>
      </w:r>
      <w:r w:rsidRPr="007C170F">
        <w:rPr>
          <w:rStyle w:val="Forte"/>
          <w:rFonts w:ascii="Arial" w:hAnsi="Arial" w:cs="Arial"/>
          <w:color w:val="000000"/>
          <w:sz w:val="20"/>
          <w:szCs w:val="20"/>
        </w:rPr>
        <w:t> </w:t>
      </w:r>
      <w:r w:rsidRPr="007C170F">
        <w:rPr>
          <w:rFonts w:ascii="Arial" w:hAnsi="Arial" w:cs="Arial"/>
          <w:color w:val="000000"/>
          <w:sz w:val="20"/>
          <w:szCs w:val="20"/>
        </w:rPr>
        <w:t>Possibilidade de estabelecimento de premiação em decorrência de concurso (nos moldes do art. 22, IV, da Lei nº 8.666/93) ou de indenização dos custos dos participantes, em montante compatível as atividades e duração do projeto;</w:t>
      </w:r>
    </w:p>
    <w:p w:rsidR="004B7176" w:rsidRDefault="004B7176" w:rsidP="004B7176">
      <w:pPr>
        <w:pStyle w:val="NormalWeb"/>
        <w:spacing w:before="0" w:beforeAutospacing="0" w:after="0" w:afterAutospacing="0" w:line="276" w:lineRule="auto"/>
        <w:jc w:val="both"/>
        <w:rPr>
          <w:rFonts w:ascii="Arial" w:hAnsi="Arial" w:cs="Arial"/>
          <w:color w:val="000000"/>
          <w:sz w:val="20"/>
          <w:szCs w:val="20"/>
        </w:rPr>
      </w:pPr>
      <w:r w:rsidRPr="007C170F">
        <w:rPr>
          <w:rFonts w:ascii="Arial" w:hAnsi="Arial" w:cs="Arial"/>
          <w:color w:val="000000"/>
          <w:sz w:val="20"/>
          <w:szCs w:val="20"/>
        </w:rPr>
        <w:br/>
      </w:r>
      <w:r w:rsidRPr="00001F13">
        <w:rPr>
          <w:rStyle w:val="Forte"/>
          <w:rFonts w:ascii="Arial" w:hAnsi="Arial" w:cs="Arial"/>
          <w:b w:val="0"/>
          <w:color w:val="000000"/>
          <w:sz w:val="20"/>
          <w:szCs w:val="20"/>
        </w:rPr>
        <w:t>c)</w:t>
      </w:r>
      <w:r w:rsidRPr="007C170F">
        <w:rPr>
          <w:rStyle w:val="Forte"/>
          <w:rFonts w:ascii="Arial" w:hAnsi="Arial" w:cs="Arial"/>
          <w:color w:val="000000"/>
          <w:sz w:val="20"/>
          <w:szCs w:val="20"/>
        </w:rPr>
        <w:t> </w:t>
      </w:r>
      <w:r w:rsidRPr="007C170F">
        <w:rPr>
          <w:rFonts w:ascii="Arial" w:hAnsi="Arial" w:cs="Arial"/>
          <w:color w:val="000000"/>
          <w:sz w:val="20"/>
          <w:szCs w:val="20"/>
        </w:rPr>
        <w:t>Previsão em dotação orçamentária específica e existência de disponibilidade financeira, em caso de premiação e/ou indenização de custos dos participantes;</w:t>
      </w:r>
    </w:p>
    <w:p w:rsidR="00DE3A19" w:rsidRDefault="00DE3A19" w:rsidP="004B7176">
      <w:pPr>
        <w:pStyle w:val="NormalWeb"/>
        <w:spacing w:before="0" w:beforeAutospacing="0" w:after="0" w:afterAutospacing="0" w:line="276" w:lineRule="auto"/>
        <w:jc w:val="both"/>
        <w:rPr>
          <w:rFonts w:ascii="Arial" w:hAnsi="Arial" w:cs="Arial"/>
          <w:color w:val="000000"/>
          <w:sz w:val="20"/>
          <w:szCs w:val="20"/>
        </w:rPr>
      </w:pPr>
    </w:p>
    <w:p w:rsidR="004B7176" w:rsidRDefault="004B7176" w:rsidP="004B7176">
      <w:pPr>
        <w:pStyle w:val="NormalWeb"/>
        <w:spacing w:before="0" w:beforeAutospacing="0" w:after="0" w:afterAutospacing="0" w:line="276" w:lineRule="auto"/>
        <w:jc w:val="both"/>
        <w:rPr>
          <w:rFonts w:ascii="Arial" w:hAnsi="Arial" w:cs="Arial"/>
          <w:color w:val="000000"/>
          <w:sz w:val="20"/>
          <w:szCs w:val="20"/>
        </w:rPr>
      </w:pPr>
      <w:r w:rsidRPr="00001F13">
        <w:rPr>
          <w:rStyle w:val="Forte"/>
          <w:rFonts w:ascii="Arial" w:hAnsi="Arial" w:cs="Arial"/>
          <w:b w:val="0"/>
          <w:color w:val="000000"/>
          <w:sz w:val="20"/>
          <w:szCs w:val="20"/>
        </w:rPr>
        <w:t>d)</w:t>
      </w:r>
      <w:r w:rsidRPr="007C170F">
        <w:rPr>
          <w:rStyle w:val="Forte"/>
          <w:rFonts w:ascii="Arial" w:hAnsi="Arial" w:cs="Arial"/>
          <w:color w:val="000000"/>
          <w:sz w:val="20"/>
          <w:szCs w:val="20"/>
        </w:rPr>
        <w:t> </w:t>
      </w:r>
      <w:r w:rsidRPr="007C170F">
        <w:rPr>
          <w:rFonts w:ascii="Arial" w:hAnsi="Arial" w:cs="Arial"/>
          <w:color w:val="000000"/>
          <w:sz w:val="20"/>
          <w:szCs w:val="20"/>
        </w:rPr>
        <w:t>Observância dos princípios da legalidade, eficiência, publicidade, motivação, razoabilidade, proporcionalidade e moralidade na estipulação de premiações ou na hipótese de indenização dos custos dos participantes;</w:t>
      </w:r>
    </w:p>
    <w:p w:rsidR="004B7176" w:rsidRDefault="004B7176" w:rsidP="004B7176">
      <w:pPr>
        <w:pStyle w:val="NormalWeb"/>
        <w:spacing w:before="0" w:beforeAutospacing="0" w:after="0" w:afterAutospacing="0" w:line="276" w:lineRule="auto"/>
        <w:jc w:val="both"/>
        <w:rPr>
          <w:rFonts w:ascii="Arial" w:hAnsi="Arial" w:cs="Arial"/>
          <w:color w:val="000000"/>
          <w:sz w:val="20"/>
          <w:szCs w:val="20"/>
        </w:rPr>
      </w:pPr>
      <w:r w:rsidRPr="007C170F">
        <w:rPr>
          <w:rFonts w:ascii="Arial" w:hAnsi="Arial" w:cs="Arial"/>
          <w:color w:val="000000"/>
          <w:sz w:val="20"/>
          <w:szCs w:val="20"/>
        </w:rPr>
        <w:br/>
      </w:r>
      <w:r w:rsidRPr="00001F13">
        <w:rPr>
          <w:rStyle w:val="Forte"/>
          <w:rFonts w:ascii="Arial" w:hAnsi="Arial" w:cs="Arial"/>
          <w:b w:val="0"/>
          <w:color w:val="000000"/>
          <w:sz w:val="20"/>
          <w:szCs w:val="20"/>
        </w:rPr>
        <w:t>e)</w:t>
      </w:r>
      <w:r w:rsidRPr="007C170F">
        <w:rPr>
          <w:rStyle w:val="Forte"/>
          <w:rFonts w:ascii="Arial" w:hAnsi="Arial" w:cs="Arial"/>
          <w:color w:val="000000"/>
          <w:sz w:val="20"/>
          <w:szCs w:val="20"/>
        </w:rPr>
        <w:t> </w:t>
      </w:r>
      <w:r w:rsidRPr="007C170F">
        <w:rPr>
          <w:rFonts w:ascii="Arial" w:hAnsi="Arial" w:cs="Arial"/>
          <w:color w:val="000000"/>
          <w:sz w:val="20"/>
          <w:szCs w:val="20"/>
        </w:rPr>
        <w:t>O projeto deve ter caráter institucional, vedada qualquer forma de promoção pessoal dos agentes públicos ou dos partidos políticos;</w:t>
      </w:r>
    </w:p>
    <w:p w:rsidR="004B7176" w:rsidRDefault="004B7176" w:rsidP="004B7176">
      <w:pPr>
        <w:pStyle w:val="NormalWeb"/>
        <w:spacing w:before="0" w:beforeAutospacing="0" w:after="0" w:afterAutospacing="0" w:line="276" w:lineRule="auto"/>
        <w:jc w:val="both"/>
        <w:rPr>
          <w:rStyle w:val="Forte"/>
          <w:rFonts w:ascii="Arial" w:hAnsi="Arial" w:cs="Arial"/>
          <w:color w:val="000000"/>
          <w:sz w:val="20"/>
          <w:szCs w:val="20"/>
        </w:rPr>
      </w:pPr>
      <w:r w:rsidRPr="007C170F">
        <w:rPr>
          <w:rFonts w:ascii="Arial" w:hAnsi="Arial" w:cs="Arial"/>
          <w:color w:val="000000"/>
          <w:sz w:val="20"/>
          <w:szCs w:val="20"/>
        </w:rPr>
        <w:br/>
      </w:r>
      <w:r w:rsidRPr="00001F13">
        <w:rPr>
          <w:rStyle w:val="Forte"/>
          <w:rFonts w:ascii="Arial" w:hAnsi="Arial" w:cs="Arial"/>
          <w:b w:val="0"/>
          <w:color w:val="000000"/>
          <w:sz w:val="20"/>
          <w:szCs w:val="20"/>
        </w:rPr>
        <w:t>f)</w:t>
      </w:r>
      <w:r w:rsidRPr="007C170F">
        <w:rPr>
          <w:rStyle w:val="Forte"/>
          <w:rFonts w:ascii="Arial" w:hAnsi="Arial" w:cs="Arial"/>
          <w:color w:val="000000"/>
          <w:sz w:val="20"/>
          <w:szCs w:val="20"/>
        </w:rPr>
        <w:t> </w:t>
      </w:r>
      <w:r w:rsidRPr="007C170F">
        <w:rPr>
          <w:rFonts w:ascii="Arial" w:hAnsi="Arial" w:cs="Arial"/>
          <w:color w:val="000000"/>
          <w:sz w:val="20"/>
          <w:szCs w:val="20"/>
        </w:rPr>
        <w:t>Vedação ao pagamento de contrapartida aos participantes, sob pena de caracterização de contratação ilícita de serviços (em afronta à regra geral de licitação) ou de admissão irregular de servidores públicos (afronta à regra geral do concurso público).</w:t>
      </w:r>
      <w:r w:rsidRPr="007C170F">
        <w:rPr>
          <w:rStyle w:val="Forte"/>
          <w:rFonts w:ascii="Arial" w:hAnsi="Arial" w:cs="Arial"/>
          <w:color w:val="000000"/>
          <w:sz w:val="20"/>
          <w:szCs w:val="20"/>
        </w:rPr>
        <w:t> </w:t>
      </w:r>
    </w:p>
    <w:p w:rsidR="004B7176" w:rsidRPr="007C170F" w:rsidRDefault="004B7176" w:rsidP="004B7176">
      <w:pPr>
        <w:pStyle w:val="NormalWeb"/>
        <w:spacing w:before="0" w:beforeAutospacing="0" w:after="0" w:afterAutospacing="0" w:line="276" w:lineRule="auto"/>
        <w:jc w:val="both"/>
        <w:rPr>
          <w:rFonts w:ascii="Arial" w:hAnsi="Arial" w:cs="Arial"/>
          <w:color w:val="000000"/>
          <w:sz w:val="20"/>
          <w:szCs w:val="20"/>
        </w:rPr>
      </w:pPr>
      <w:r w:rsidRPr="007C170F">
        <w:rPr>
          <w:rStyle w:val="Forte"/>
          <w:rFonts w:ascii="Arial" w:hAnsi="Arial" w:cs="Arial"/>
          <w:color w:val="000000"/>
          <w:sz w:val="20"/>
          <w:szCs w:val="20"/>
        </w:rPr>
        <w:t> </w:t>
      </w:r>
      <w:r w:rsidRPr="007C170F">
        <w:rPr>
          <w:rFonts w:ascii="Arial" w:hAnsi="Arial" w:cs="Arial"/>
          <w:color w:val="000000"/>
          <w:sz w:val="20"/>
          <w:szCs w:val="20"/>
        </w:rPr>
        <w:br/>
        <w:t xml:space="preserve">Processo nº 603451/16 </w:t>
      </w:r>
      <w:r>
        <w:rPr>
          <w:rFonts w:ascii="Arial" w:hAnsi="Arial" w:cs="Arial"/>
          <w:color w:val="000000"/>
          <w:sz w:val="20"/>
          <w:szCs w:val="20"/>
        </w:rPr>
        <w:t>-</w:t>
      </w:r>
      <w:r w:rsidRPr="007C170F">
        <w:rPr>
          <w:rFonts w:ascii="Arial" w:hAnsi="Arial" w:cs="Arial"/>
          <w:color w:val="000000"/>
          <w:sz w:val="20"/>
          <w:szCs w:val="20"/>
        </w:rPr>
        <w:t> </w:t>
      </w:r>
      <w:hyperlink r:id="rId13" w:tgtFrame="_blank" w:history="1">
        <w:r w:rsidRPr="007C170F">
          <w:rPr>
            <w:rStyle w:val="Hyperlink"/>
            <w:rFonts w:ascii="Arial" w:hAnsi="Arial" w:cs="Arial"/>
            <w:sz w:val="20"/>
            <w:szCs w:val="20"/>
          </w:rPr>
          <w:t xml:space="preserve">Acórdão nº 1046/18 </w:t>
        </w:r>
        <w:r>
          <w:rPr>
            <w:rStyle w:val="Hyperlink"/>
            <w:rFonts w:ascii="Arial" w:hAnsi="Arial" w:cs="Arial"/>
            <w:sz w:val="20"/>
            <w:szCs w:val="20"/>
          </w:rPr>
          <w:t>-</w:t>
        </w:r>
        <w:r w:rsidRPr="007C170F">
          <w:rPr>
            <w:rStyle w:val="Hyperlink"/>
            <w:rFonts w:ascii="Arial" w:hAnsi="Arial" w:cs="Arial"/>
            <w:sz w:val="20"/>
            <w:szCs w:val="20"/>
          </w:rPr>
          <w:t xml:space="preserve"> Tribunal Pleno</w:t>
        </w:r>
      </w:hyperlink>
      <w:r w:rsidRPr="007C170F">
        <w:rPr>
          <w:rFonts w:ascii="Arial" w:hAnsi="Arial" w:cs="Arial"/>
          <w:color w:val="000000"/>
          <w:sz w:val="20"/>
          <w:szCs w:val="20"/>
        </w:rPr>
        <w:t> </w:t>
      </w:r>
      <w:r>
        <w:rPr>
          <w:rFonts w:ascii="Arial" w:hAnsi="Arial" w:cs="Arial"/>
          <w:color w:val="000000"/>
          <w:sz w:val="20"/>
          <w:szCs w:val="20"/>
        </w:rPr>
        <w:t>-</w:t>
      </w:r>
      <w:r w:rsidRPr="007C170F">
        <w:rPr>
          <w:rFonts w:ascii="Arial" w:hAnsi="Arial" w:cs="Arial"/>
          <w:color w:val="000000"/>
          <w:sz w:val="20"/>
          <w:szCs w:val="20"/>
        </w:rPr>
        <w:t xml:space="preserve"> Relator Conselheiro </w:t>
      </w:r>
      <w:proofErr w:type="spellStart"/>
      <w:r w:rsidRPr="007C170F">
        <w:rPr>
          <w:rFonts w:ascii="Arial" w:hAnsi="Arial" w:cs="Arial"/>
          <w:color w:val="000000"/>
          <w:sz w:val="20"/>
          <w:szCs w:val="20"/>
        </w:rPr>
        <w:t>Artagão</w:t>
      </w:r>
      <w:proofErr w:type="spellEnd"/>
      <w:r w:rsidRPr="007C170F">
        <w:rPr>
          <w:rFonts w:ascii="Arial" w:hAnsi="Arial" w:cs="Arial"/>
          <w:color w:val="000000"/>
          <w:sz w:val="20"/>
          <w:szCs w:val="20"/>
        </w:rPr>
        <w:t xml:space="preserve"> de Mattos Leão.</w:t>
      </w:r>
    </w:p>
    <w:p w:rsidR="004B7176" w:rsidRDefault="004B7176" w:rsidP="004B7176">
      <w:pPr>
        <w:pStyle w:val="NormalWeb"/>
        <w:spacing w:before="0" w:beforeAutospacing="0" w:after="0" w:afterAutospacing="0" w:line="276" w:lineRule="auto"/>
        <w:jc w:val="both"/>
        <w:rPr>
          <w:rFonts w:ascii="Arial" w:hAnsi="Arial" w:cs="Arial"/>
          <w:color w:val="000000"/>
          <w:sz w:val="20"/>
          <w:szCs w:val="20"/>
        </w:rPr>
      </w:pPr>
      <w:r w:rsidRPr="007C170F">
        <w:rPr>
          <w:rFonts w:ascii="Arial" w:hAnsi="Arial" w:cs="Arial"/>
          <w:color w:val="000000"/>
          <w:sz w:val="20"/>
          <w:szCs w:val="20"/>
        </w:rPr>
        <w:t> </w:t>
      </w:r>
      <w:r w:rsidRPr="007C170F">
        <w:rPr>
          <w:rFonts w:ascii="Arial" w:hAnsi="Arial" w:cs="Arial"/>
          <w:color w:val="000000"/>
          <w:sz w:val="20"/>
          <w:szCs w:val="20"/>
        </w:rPr>
        <w:br/>
      </w:r>
      <w:r w:rsidR="006F7BB1">
        <w:rPr>
          <w:rStyle w:val="Forte"/>
          <w:rFonts w:ascii="Arial" w:hAnsi="Arial" w:cs="Arial"/>
          <w:color w:val="000000"/>
          <w:sz w:val="20"/>
          <w:szCs w:val="20"/>
        </w:rPr>
        <w:t xml:space="preserve">7. </w:t>
      </w:r>
      <w:r w:rsidRPr="007C170F">
        <w:rPr>
          <w:rStyle w:val="Forte"/>
          <w:rFonts w:ascii="Arial" w:hAnsi="Arial" w:cs="Arial"/>
          <w:color w:val="000000"/>
          <w:sz w:val="20"/>
          <w:szCs w:val="20"/>
        </w:rPr>
        <w:t>Consulta.</w:t>
      </w:r>
      <w:r w:rsidR="007E1E55">
        <w:rPr>
          <w:rStyle w:val="Forte"/>
          <w:rFonts w:ascii="Arial" w:hAnsi="Arial" w:cs="Arial"/>
          <w:color w:val="000000"/>
          <w:sz w:val="20"/>
          <w:szCs w:val="20"/>
        </w:rPr>
        <w:t xml:space="preserve"> </w:t>
      </w:r>
      <w:r w:rsidRPr="007C170F">
        <w:rPr>
          <w:rStyle w:val="Forte"/>
          <w:rFonts w:ascii="Arial" w:hAnsi="Arial" w:cs="Arial"/>
          <w:color w:val="000000"/>
          <w:sz w:val="20"/>
          <w:szCs w:val="20"/>
        </w:rPr>
        <w:t>Limite de gasto com pessoal extrapolado. Existência de dobra da jornada de trabalho de profissionais da educação. Vantagem </w:t>
      </w:r>
      <w:proofErr w:type="gramStart"/>
      <w:r w:rsidRPr="007C170F">
        <w:rPr>
          <w:rStyle w:val="nfase"/>
          <w:rFonts w:ascii="Arial" w:hAnsi="Arial" w:cs="Arial"/>
          <w:b/>
          <w:bCs/>
          <w:color w:val="000000"/>
          <w:sz w:val="20"/>
          <w:szCs w:val="20"/>
        </w:rPr>
        <w:t>pro</w:t>
      </w:r>
      <w:proofErr w:type="gramEnd"/>
      <w:r w:rsidRPr="007C170F">
        <w:rPr>
          <w:rStyle w:val="nfase"/>
          <w:rFonts w:ascii="Arial" w:hAnsi="Arial" w:cs="Arial"/>
          <w:b/>
          <w:bCs/>
          <w:color w:val="000000"/>
          <w:sz w:val="20"/>
          <w:szCs w:val="20"/>
        </w:rPr>
        <w:t xml:space="preserve"> labore </w:t>
      </w:r>
      <w:proofErr w:type="spellStart"/>
      <w:r w:rsidRPr="007C170F">
        <w:rPr>
          <w:rStyle w:val="nfase"/>
          <w:rFonts w:ascii="Arial" w:hAnsi="Arial" w:cs="Arial"/>
          <w:b/>
          <w:bCs/>
          <w:color w:val="000000"/>
          <w:sz w:val="20"/>
          <w:szCs w:val="20"/>
        </w:rPr>
        <w:t>faciendo</w:t>
      </w:r>
      <w:proofErr w:type="spellEnd"/>
      <w:r w:rsidRPr="007C170F">
        <w:rPr>
          <w:rStyle w:val="nfase"/>
          <w:rFonts w:ascii="Arial" w:hAnsi="Arial" w:cs="Arial"/>
          <w:b/>
          <w:bCs/>
          <w:color w:val="000000"/>
          <w:sz w:val="20"/>
          <w:szCs w:val="20"/>
        </w:rPr>
        <w:t> </w:t>
      </w:r>
      <w:r w:rsidRPr="007C170F">
        <w:rPr>
          <w:rStyle w:val="Forte"/>
          <w:rFonts w:ascii="Arial" w:hAnsi="Arial" w:cs="Arial"/>
          <w:color w:val="000000"/>
          <w:sz w:val="20"/>
          <w:szCs w:val="20"/>
        </w:rPr>
        <w:t>ou </w:t>
      </w:r>
      <w:proofErr w:type="spellStart"/>
      <w:r w:rsidRPr="007C170F">
        <w:rPr>
          <w:rStyle w:val="nfase"/>
          <w:rFonts w:ascii="Arial" w:hAnsi="Arial" w:cs="Arial"/>
          <w:b/>
          <w:bCs/>
          <w:color w:val="000000"/>
          <w:sz w:val="20"/>
          <w:szCs w:val="20"/>
        </w:rPr>
        <w:t>propter</w:t>
      </w:r>
      <w:proofErr w:type="spellEnd"/>
      <w:r w:rsidRPr="007C170F">
        <w:rPr>
          <w:rStyle w:val="nfase"/>
          <w:rFonts w:ascii="Arial" w:hAnsi="Arial" w:cs="Arial"/>
          <w:b/>
          <w:bCs/>
          <w:color w:val="000000"/>
          <w:sz w:val="20"/>
          <w:szCs w:val="20"/>
        </w:rPr>
        <w:t xml:space="preserve"> laborem. </w:t>
      </w:r>
      <w:r w:rsidRPr="007C170F">
        <w:rPr>
          <w:rStyle w:val="Forte"/>
          <w:rFonts w:ascii="Arial" w:hAnsi="Arial" w:cs="Arial"/>
          <w:color w:val="000000"/>
          <w:sz w:val="20"/>
          <w:szCs w:val="20"/>
        </w:rPr>
        <w:t>Situação perpetuada no tempo. Inconstitucionalidade. Possibilidade legal de reposição de pessoal nas áreas da saúde, educação e segurança, ainda que o limite de gasto com pessoal esteja extrapolado. Poder discricionário. Critérios para substituições devem ser objetivos e deve haver reposição de todos os servidores que se encontram na mesma situação. Precedentes</w:t>
      </w:r>
      <w:r w:rsidR="007E1E55">
        <w:rPr>
          <w:rStyle w:val="Forte"/>
          <w:rFonts w:ascii="Arial" w:hAnsi="Arial" w:cs="Arial"/>
          <w:color w:val="000000"/>
          <w:sz w:val="20"/>
          <w:szCs w:val="20"/>
        </w:rPr>
        <w:t>.</w:t>
      </w:r>
    </w:p>
    <w:p w:rsidR="00001F13" w:rsidRDefault="00001F13" w:rsidP="004B7176">
      <w:pPr>
        <w:pStyle w:val="NormalWeb"/>
        <w:spacing w:before="0" w:beforeAutospacing="0" w:after="0" w:afterAutospacing="0" w:line="276" w:lineRule="auto"/>
        <w:jc w:val="both"/>
        <w:rPr>
          <w:rFonts w:ascii="Arial" w:hAnsi="Arial" w:cs="Arial"/>
          <w:color w:val="000000"/>
          <w:sz w:val="20"/>
          <w:szCs w:val="20"/>
        </w:rPr>
      </w:pPr>
    </w:p>
    <w:p w:rsidR="004B7176" w:rsidRDefault="004B7176" w:rsidP="004B7176">
      <w:pPr>
        <w:pStyle w:val="NormalWeb"/>
        <w:spacing w:before="0" w:beforeAutospacing="0" w:after="0" w:afterAutospacing="0" w:line="276" w:lineRule="auto"/>
        <w:jc w:val="both"/>
        <w:rPr>
          <w:rFonts w:ascii="Arial" w:hAnsi="Arial" w:cs="Arial"/>
          <w:color w:val="000000"/>
          <w:sz w:val="20"/>
          <w:szCs w:val="20"/>
        </w:rPr>
      </w:pPr>
      <w:r w:rsidRPr="00001F13">
        <w:rPr>
          <w:rStyle w:val="Forte"/>
          <w:rFonts w:ascii="Arial" w:hAnsi="Arial" w:cs="Arial"/>
          <w:b w:val="0"/>
          <w:color w:val="000000"/>
          <w:sz w:val="20"/>
          <w:szCs w:val="20"/>
        </w:rPr>
        <w:t>a)</w:t>
      </w:r>
      <w:r w:rsidRPr="007C170F">
        <w:rPr>
          <w:rFonts w:ascii="Arial" w:hAnsi="Arial" w:cs="Arial"/>
          <w:color w:val="000000"/>
          <w:sz w:val="20"/>
          <w:szCs w:val="20"/>
        </w:rPr>
        <w:t> Com esteio em outras decisões desta Casa de Contas, responde-se que sim, é legal a substituição de professores aprovados em concurso público em substituição à “dobra de jornada” de professores efetivos, ainda que o índice de despesa com pessoal esteja extrapolado, situação reforçada pela comprovação de que tal conduta implicará na redução das despesas com pessoal.</w:t>
      </w:r>
    </w:p>
    <w:p w:rsidR="004B7176" w:rsidRPr="007C170F" w:rsidRDefault="004B7176" w:rsidP="004B7176">
      <w:pPr>
        <w:pStyle w:val="NormalWeb"/>
        <w:spacing w:before="0" w:beforeAutospacing="0" w:after="0" w:afterAutospacing="0" w:line="276" w:lineRule="auto"/>
        <w:jc w:val="both"/>
        <w:rPr>
          <w:rFonts w:ascii="Arial" w:hAnsi="Arial" w:cs="Arial"/>
          <w:color w:val="000000"/>
          <w:sz w:val="20"/>
          <w:szCs w:val="20"/>
        </w:rPr>
      </w:pPr>
      <w:r w:rsidRPr="007C170F">
        <w:rPr>
          <w:rFonts w:ascii="Arial" w:hAnsi="Arial" w:cs="Arial"/>
          <w:color w:val="000000"/>
          <w:sz w:val="20"/>
          <w:szCs w:val="20"/>
        </w:rPr>
        <w:br/>
      </w:r>
      <w:r w:rsidRPr="00001F13">
        <w:rPr>
          <w:rStyle w:val="Forte"/>
          <w:rFonts w:ascii="Arial" w:hAnsi="Arial" w:cs="Arial"/>
          <w:b w:val="0"/>
          <w:color w:val="000000"/>
          <w:sz w:val="20"/>
          <w:szCs w:val="20"/>
        </w:rPr>
        <w:t>b)</w:t>
      </w:r>
      <w:r w:rsidRPr="007C170F">
        <w:rPr>
          <w:rFonts w:ascii="Arial" w:hAnsi="Arial" w:cs="Arial"/>
          <w:color w:val="000000"/>
          <w:sz w:val="20"/>
          <w:szCs w:val="20"/>
        </w:rPr>
        <w:t xml:space="preserve"> Sabedores de que a reposição decorrente de aposentadoria ou falecimento de servidores das </w:t>
      </w:r>
      <w:r w:rsidRPr="007C170F">
        <w:rPr>
          <w:rFonts w:ascii="Arial" w:hAnsi="Arial" w:cs="Arial"/>
          <w:color w:val="000000"/>
          <w:sz w:val="20"/>
          <w:szCs w:val="20"/>
        </w:rPr>
        <w:lastRenderedPageBreak/>
        <w:t>áreas de educação, saúde e segurança é absolutamente viável, ainda que os índices de pessoal estejam extrapolados; cientes de que as vantagens relacionadas à ampliação da jornada de trabalho para fins de substituição são vantagens </w:t>
      </w:r>
      <w:r w:rsidRPr="007C170F">
        <w:rPr>
          <w:rStyle w:val="nfase"/>
          <w:rFonts w:ascii="Arial" w:hAnsi="Arial" w:cs="Arial"/>
          <w:color w:val="000000"/>
          <w:sz w:val="20"/>
          <w:szCs w:val="20"/>
        </w:rPr>
        <w:t xml:space="preserve">pro labore </w:t>
      </w:r>
      <w:proofErr w:type="spellStart"/>
      <w:r w:rsidRPr="007C170F">
        <w:rPr>
          <w:rStyle w:val="nfase"/>
          <w:rFonts w:ascii="Arial" w:hAnsi="Arial" w:cs="Arial"/>
          <w:color w:val="000000"/>
          <w:sz w:val="20"/>
          <w:szCs w:val="20"/>
        </w:rPr>
        <w:t>faciendo</w:t>
      </w:r>
      <w:proofErr w:type="spellEnd"/>
      <w:r w:rsidRPr="007C170F">
        <w:rPr>
          <w:rStyle w:val="nfase"/>
          <w:rFonts w:ascii="Arial" w:hAnsi="Arial" w:cs="Arial"/>
          <w:color w:val="000000"/>
          <w:sz w:val="20"/>
          <w:szCs w:val="20"/>
        </w:rPr>
        <w:t> </w:t>
      </w:r>
      <w:r w:rsidRPr="007C170F">
        <w:rPr>
          <w:rFonts w:ascii="Arial" w:hAnsi="Arial" w:cs="Arial"/>
          <w:color w:val="000000"/>
          <w:sz w:val="20"/>
          <w:szCs w:val="20"/>
        </w:rPr>
        <w:t>ou </w:t>
      </w:r>
      <w:proofErr w:type="spellStart"/>
      <w:r w:rsidRPr="007C170F">
        <w:rPr>
          <w:rStyle w:val="nfase"/>
          <w:rFonts w:ascii="Arial" w:hAnsi="Arial" w:cs="Arial"/>
          <w:color w:val="000000"/>
          <w:sz w:val="20"/>
          <w:szCs w:val="20"/>
        </w:rPr>
        <w:t>propter</w:t>
      </w:r>
      <w:proofErr w:type="spellEnd"/>
      <w:r w:rsidRPr="007C170F">
        <w:rPr>
          <w:rStyle w:val="nfase"/>
          <w:rFonts w:ascii="Arial" w:hAnsi="Arial" w:cs="Arial"/>
          <w:color w:val="000000"/>
          <w:sz w:val="20"/>
          <w:szCs w:val="20"/>
        </w:rPr>
        <w:t xml:space="preserve"> laborem</w:t>
      </w:r>
      <w:r w:rsidRPr="007C170F">
        <w:rPr>
          <w:rFonts w:ascii="Arial" w:hAnsi="Arial" w:cs="Arial"/>
          <w:color w:val="000000"/>
          <w:sz w:val="20"/>
          <w:szCs w:val="20"/>
        </w:rPr>
        <w:t>, prestadas em condições extraordinárias e de forma transitória e, mormente em razão da busca pela regularização de uma situação inconstitucional que se perpetuou no tempo e que auxiliará na redução dos gastos com pessoal antes de serem tomadas as medidas mais drásticas dispostas no texto da Constituição Federal, entende-se que os critérios escolhidos pela municipalidade encontram respaldo no poder discricionário do administrador público </w:t>
      </w:r>
      <w:r w:rsidRPr="004B7176">
        <w:rPr>
          <w:rStyle w:val="Forte"/>
          <w:rFonts w:ascii="Arial" w:hAnsi="Arial" w:cs="Arial"/>
          <w:b w:val="0"/>
          <w:color w:val="000000"/>
          <w:sz w:val="20"/>
          <w:szCs w:val="20"/>
        </w:rPr>
        <w:t>desde que</w:t>
      </w:r>
      <w:r w:rsidRPr="007C170F">
        <w:rPr>
          <w:rStyle w:val="Forte"/>
          <w:rFonts w:ascii="Arial" w:hAnsi="Arial" w:cs="Arial"/>
          <w:color w:val="000000"/>
          <w:sz w:val="20"/>
          <w:szCs w:val="20"/>
        </w:rPr>
        <w:t>: </w:t>
      </w:r>
      <w:r w:rsidRPr="007C170F">
        <w:rPr>
          <w:rFonts w:ascii="Arial" w:hAnsi="Arial" w:cs="Arial"/>
          <w:color w:val="000000"/>
          <w:sz w:val="20"/>
          <w:szCs w:val="20"/>
        </w:rPr>
        <w:t>1) sejam estabelecidos </w:t>
      </w:r>
      <w:r w:rsidRPr="004B7176">
        <w:rPr>
          <w:rStyle w:val="Forte"/>
          <w:rFonts w:ascii="Arial" w:hAnsi="Arial" w:cs="Arial"/>
          <w:b w:val="0"/>
          <w:color w:val="000000"/>
          <w:sz w:val="20"/>
          <w:szCs w:val="20"/>
        </w:rPr>
        <w:t>critérios objetivos</w:t>
      </w:r>
      <w:r w:rsidRPr="007C170F">
        <w:rPr>
          <w:rStyle w:val="Forte"/>
          <w:rFonts w:ascii="Arial" w:hAnsi="Arial" w:cs="Arial"/>
          <w:color w:val="000000"/>
          <w:sz w:val="20"/>
          <w:szCs w:val="20"/>
        </w:rPr>
        <w:t> </w:t>
      </w:r>
      <w:r w:rsidRPr="007C170F">
        <w:rPr>
          <w:rFonts w:ascii="Arial" w:hAnsi="Arial" w:cs="Arial"/>
          <w:color w:val="000000"/>
          <w:sz w:val="20"/>
          <w:szCs w:val="20"/>
        </w:rPr>
        <w:t>para tal permutação, sob pena de afrontar o princípio da isonomia, e; 2) promova a </w:t>
      </w:r>
      <w:r w:rsidRPr="004B7176">
        <w:rPr>
          <w:rStyle w:val="Forte"/>
          <w:rFonts w:ascii="Arial" w:hAnsi="Arial" w:cs="Arial"/>
          <w:b w:val="0"/>
          <w:color w:val="000000"/>
          <w:sz w:val="20"/>
          <w:szCs w:val="20"/>
        </w:rPr>
        <w:t>substituição de todos</w:t>
      </w:r>
      <w:r w:rsidRPr="007C170F">
        <w:rPr>
          <w:rStyle w:val="Forte"/>
          <w:rFonts w:ascii="Arial" w:hAnsi="Arial" w:cs="Arial"/>
          <w:color w:val="000000"/>
          <w:sz w:val="20"/>
          <w:szCs w:val="20"/>
        </w:rPr>
        <w:t> </w:t>
      </w:r>
      <w:r w:rsidRPr="007C170F">
        <w:rPr>
          <w:rFonts w:ascii="Arial" w:hAnsi="Arial" w:cs="Arial"/>
          <w:color w:val="000000"/>
          <w:sz w:val="20"/>
          <w:szCs w:val="20"/>
        </w:rPr>
        <w:t>os servidores que estiverem nas mesmas condições.</w:t>
      </w:r>
    </w:p>
    <w:p w:rsidR="004B7176" w:rsidRPr="007C170F" w:rsidRDefault="004B7176" w:rsidP="004B7176">
      <w:pPr>
        <w:pStyle w:val="NormalWeb"/>
        <w:spacing w:before="0" w:beforeAutospacing="0" w:after="0" w:afterAutospacing="0" w:line="276" w:lineRule="auto"/>
        <w:jc w:val="both"/>
        <w:rPr>
          <w:rFonts w:ascii="Arial" w:hAnsi="Arial" w:cs="Arial"/>
          <w:color w:val="000000"/>
          <w:sz w:val="20"/>
          <w:szCs w:val="20"/>
        </w:rPr>
      </w:pPr>
      <w:r w:rsidRPr="007C170F">
        <w:rPr>
          <w:rFonts w:ascii="Arial" w:hAnsi="Arial" w:cs="Arial"/>
          <w:color w:val="000000"/>
          <w:sz w:val="20"/>
          <w:szCs w:val="20"/>
        </w:rPr>
        <w:t> </w:t>
      </w:r>
    </w:p>
    <w:p w:rsidR="004B7176" w:rsidRDefault="004B7176" w:rsidP="004B7176">
      <w:pPr>
        <w:pStyle w:val="NormalWeb"/>
        <w:spacing w:before="0" w:beforeAutospacing="0" w:after="0" w:afterAutospacing="0" w:line="276" w:lineRule="auto"/>
        <w:jc w:val="both"/>
        <w:rPr>
          <w:rFonts w:ascii="Arial" w:hAnsi="Arial" w:cs="Arial"/>
          <w:color w:val="000000"/>
          <w:sz w:val="20"/>
          <w:szCs w:val="20"/>
        </w:rPr>
      </w:pPr>
      <w:r w:rsidRPr="007C170F">
        <w:rPr>
          <w:rFonts w:ascii="Arial" w:hAnsi="Arial" w:cs="Arial"/>
          <w:color w:val="000000"/>
          <w:sz w:val="20"/>
          <w:szCs w:val="20"/>
        </w:rPr>
        <w:t xml:space="preserve">Processo nº 798116/17 </w:t>
      </w:r>
      <w:r>
        <w:rPr>
          <w:rFonts w:ascii="Arial" w:hAnsi="Arial" w:cs="Arial"/>
          <w:color w:val="000000"/>
          <w:sz w:val="20"/>
          <w:szCs w:val="20"/>
        </w:rPr>
        <w:t>-</w:t>
      </w:r>
      <w:r w:rsidRPr="007C170F">
        <w:rPr>
          <w:rFonts w:ascii="Arial" w:hAnsi="Arial" w:cs="Arial"/>
          <w:color w:val="000000"/>
          <w:sz w:val="20"/>
          <w:szCs w:val="20"/>
        </w:rPr>
        <w:t> </w:t>
      </w:r>
      <w:hyperlink r:id="rId14" w:tgtFrame="_blank" w:history="1">
        <w:r w:rsidRPr="007C170F">
          <w:rPr>
            <w:rStyle w:val="Hyperlink"/>
            <w:rFonts w:ascii="Arial" w:hAnsi="Arial" w:cs="Arial"/>
            <w:sz w:val="20"/>
            <w:szCs w:val="20"/>
          </w:rPr>
          <w:t>Acórdão nº 1049/18 - Segunda Câmara</w:t>
        </w:r>
      </w:hyperlink>
      <w:r w:rsidRPr="007C170F">
        <w:rPr>
          <w:rFonts w:ascii="Arial" w:hAnsi="Arial" w:cs="Arial"/>
          <w:color w:val="000000"/>
          <w:sz w:val="20"/>
          <w:szCs w:val="20"/>
        </w:rPr>
        <w:t> </w:t>
      </w:r>
      <w:r>
        <w:rPr>
          <w:rFonts w:ascii="Arial" w:hAnsi="Arial" w:cs="Arial"/>
          <w:color w:val="000000"/>
          <w:sz w:val="20"/>
          <w:szCs w:val="20"/>
        </w:rPr>
        <w:t>-</w:t>
      </w:r>
      <w:r w:rsidRPr="007C170F">
        <w:rPr>
          <w:rFonts w:ascii="Arial" w:hAnsi="Arial" w:cs="Arial"/>
          <w:color w:val="000000"/>
          <w:sz w:val="20"/>
          <w:szCs w:val="20"/>
        </w:rPr>
        <w:t xml:space="preserve"> Relator Conselheiro Fernando Augusto Mello Guimarães. </w:t>
      </w:r>
    </w:p>
    <w:p w:rsidR="00CD013E" w:rsidRDefault="00CD013E" w:rsidP="004B7176">
      <w:pPr>
        <w:pStyle w:val="NormalWeb"/>
        <w:spacing w:before="0" w:beforeAutospacing="0" w:after="0" w:afterAutospacing="0" w:line="276" w:lineRule="auto"/>
        <w:jc w:val="both"/>
        <w:rPr>
          <w:rFonts w:ascii="Arial" w:hAnsi="Arial" w:cs="Arial"/>
          <w:color w:val="000000"/>
          <w:sz w:val="20"/>
          <w:szCs w:val="20"/>
        </w:rPr>
      </w:pPr>
    </w:p>
    <w:p w:rsidR="004B7176" w:rsidRDefault="006F7BB1" w:rsidP="004B7176">
      <w:pPr>
        <w:pStyle w:val="NormalWeb"/>
        <w:spacing w:before="0" w:beforeAutospacing="0" w:after="0" w:afterAutospacing="0" w:line="276" w:lineRule="auto"/>
        <w:jc w:val="both"/>
        <w:rPr>
          <w:rStyle w:val="Forte"/>
          <w:rFonts w:ascii="Arial" w:hAnsi="Arial" w:cs="Arial"/>
          <w:color w:val="000000"/>
          <w:sz w:val="20"/>
          <w:szCs w:val="20"/>
        </w:rPr>
      </w:pPr>
      <w:r>
        <w:rPr>
          <w:rStyle w:val="Forte"/>
          <w:rFonts w:ascii="Arial" w:hAnsi="Arial" w:cs="Arial"/>
          <w:color w:val="000000"/>
          <w:sz w:val="20"/>
          <w:szCs w:val="20"/>
        </w:rPr>
        <w:t xml:space="preserve">8. </w:t>
      </w:r>
      <w:r w:rsidR="004B7176" w:rsidRPr="007C170F">
        <w:rPr>
          <w:rStyle w:val="Forte"/>
          <w:rFonts w:ascii="Arial" w:hAnsi="Arial" w:cs="Arial"/>
          <w:color w:val="000000"/>
          <w:sz w:val="20"/>
          <w:szCs w:val="20"/>
        </w:rPr>
        <w:t>Recurso de Revisão. Transferência Voluntária. Terceirização indevida. Parceria para concessão de mão de obra. Burla do concurso público. Arguições de dissídio jurisprudencial e negativa de vigência à lei não configuradas. Não provimento.</w:t>
      </w:r>
    </w:p>
    <w:p w:rsidR="004B7176" w:rsidRPr="007C170F" w:rsidRDefault="004B7176" w:rsidP="004B7176">
      <w:pPr>
        <w:pStyle w:val="NormalWeb"/>
        <w:spacing w:before="0" w:beforeAutospacing="0" w:after="0" w:afterAutospacing="0" w:line="276" w:lineRule="auto"/>
        <w:jc w:val="both"/>
        <w:rPr>
          <w:rFonts w:ascii="Arial" w:hAnsi="Arial" w:cs="Arial"/>
          <w:color w:val="000000"/>
          <w:sz w:val="20"/>
          <w:szCs w:val="20"/>
        </w:rPr>
      </w:pPr>
    </w:p>
    <w:p w:rsidR="004B7176" w:rsidRDefault="004B7176" w:rsidP="004B7176">
      <w:pPr>
        <w:pStyle w:val="NormalWeb"/>
        <w:spacing w:before="0" w:beforeAutospacing="0" w:after="0" w:afterAutospacing="0" w:line="276" w:lineRule="auto"/>
        <w:jc w:val="both"/>
        <w:rPr>
          <w:rFonts w:ascii="Arial" w:hAnsi="Arial" w:cs="Arial"/>
          <w:color w:val="000000"/>
          <w:sz w:val="20"/>
          <w:szCs w:val="20"/>
        </w:rPr>
      </w:pPr>
      <w:r w:rsidRPr="007C170F">
        <w:rPr>
          <w:rFonts w:ascii="Arial" w:hAnsi="Arial" w:cs="Arial"/>
          <w:color w:val="000000"/>
          <w:sz w:val="20"/>
          <w:szCs w:val="20"/>
        </w:rPr>
        <w:t>Efetivamente não restou demonstrada a </w:t>
      </w:r>
      <w:r w:rsidRPr="007C170F">
        <w:rPr>
          <w:rStyle w:val="nfase"/>
          <w:rFonts w:ascii="Arial" w:hAnsi="Arial" w:cs="Arial"/>
          <w:color w:val="000000"/>
          <w:sz w:val="20"/>
          <w:szCs w:val="20"/>
        </w:rPr>
        <w:t>“divergência expressa da decisão recorrida com outra de Tribunal Superior” </w:t>
      </w:r>
      <w:r w:rsidRPr="007C170F">
        <w:rPr>
          <w:rFonts w:ascii="Arial" w:hAnsi="Arial" w:cs="Arial"/>
          <w:color w:val="000000"/>
          <w:sz w:val="20"/>
          <w:szCs w:val="20"/>
        </w:rPr>
        <w:t>de forma a ensejar a reforma do Acórdão vergastado, haja vista que a decisão paradigma acostada tratou de </w:t>
      </w:r>
      <w:r w:rsidRPr="004B7176">
        <w:rPr>
          <w:rStyle w:val="Forte"/>
          <w:rFonts w:ascii="Arial" w:hAnsi="Arial" w:cs="Arial"/>
          <w:b w:val="0"/>
          <w:color w:val="000000"/>
          <w:sz w:val="20"/>
          <w:szCs w:val="20"/>
        </w:rPr>
        <w:t>atividade de fomento</w:t>
      </w:r>
      <w:r w:rsidRPr="007C170F">
        <w:rPr>
          <w:rStyle w:val="Forte"/>
          <w:rFonts w:ascii="Arial" w:hAnsi="Arial" w:cs="Arial"/>
          <w:color w:val="000000"/>
          <w:sz w:val="20"/>
          <w:szCs w:val="20"/>
        </w:rPr>
        <w:t> </w:t>
      </w:r>
      <w:r w:rsidRPr="007C170F">
        <w:rPr>
          <w:rFonts w:ascii="Arial" w:hAnsi="Arial" w:cs="Arial"/>
          <w:color w:val="000000"/>
          <w:sz w:val="20"/>
          <w:szCs w:val="20"/>
        </w:rPr>
        <w:t>do Estado, em que a entidade privada sem fins lucrativos atua como parceira e de forma complementar ao poder público, e não como instrumento de substituição de mão-de obra. Da análise do referido julgado, depreende-se que a parceria nele abordada tinha por finalidade complementar as atividades que interessam ao poder público, situação na qual a entidade parceira possui adequada estrutura de pessoal, instalações e materiais suficientes à realização do serviço a permitir a terceirização, ou seja, trata da terceirização licita.</w:t>
      </w:r>
    </w:p>
    <w:p w:rsidR="004B7176" w:rsidRDefault="004B7176" w:rsidP="004B7176">
      <w:pPr>
        <w:pStyle w:val="NormalWeb"/>
        <w:spacing w:before="0" w:beforeAutospacing="0" w:after="0" w:afterAutospacing="0" w:line="276" w:lineRule="auto"/>
        <w:jc w:val="both"/>
        <w:rPr>
          <w:rFonts w:ascii="Arial" w:hAnsi="Arial" w:cs="Arial"/>
          <w:color w:val="000000"/>
          <w:sz w:val="20"/>
          <w:szCs w:val="20"/>
        </w:rPr>
      </w:pPr>
      <w:r w:rsidRPr="007C170F">
        <w:rPr>
          <w:rFonts w:ascii="Arial" w:hAnsi="Arial" w:cs="Arial"/>
          <w:color w:val="000000"/>
          <w:sz w:val="20"/>
          <w:szCs w:val="20"/>
        </w:rPr>
        <w:br/>
        <w:t>Já na situação versada no Acórdão nº 2.409/17-T</w:t>
      </w:r>
      <w:r>
        <w:rPr>
          <w:rFonts w:ascii="Arial" w:hAnsi="Arial" w:cs="Arial"/>
          <w:color w:val="000000"/>
          <w:sz w:val="20"/>
          <w:szCs w:val="20"/>
        </w:rPr>
        <w:t>ribunal Pleno</w:t>
      </w:r>
      <w:r w:rsidRPr="007C170F">
        <w:rPr>
          <w:rFonts w:ascii="Arial" w:hAnsi="Arial" w:cs="Arial"/>
          <w:color w:val="000000"/>
          <w:sz w:val="20"/>
          <w:szCs w:val="20"/>
        </w:rPr>
        <w:t>, houve a transferência da prestação dos serviços públicos de saúde à entidade privada, que passou a atuar como mera fornecedora de mão-de-obra, em flagrante ofensa ao que dispõe o art. 37, II da Constituição Federal, na medida em que se afastou do dever da contratação de pessoal mediante prévio concurso público.</w:t>
      </w:r>
    </w:p>
    <w:p w:rsidR="004B7176" w:rsidRPr="004B7176" w:rsidRDefault="004B7176" w:rsidP="004B7176">
      <w:pPr>
        <w:pStyle w:val="NormalWeb"/>
        <w:spacing w:before="0" w:beforeAutospacing="0" w:after="0" w:afterAutospacing="0" w:line="276" w:lineRule="auto"/>
        <w:jc w:val="both"/>
        <w:rPr>
          <w:rFonts w:ascii="Arial" w:hAnsi="Arial" w:cs="Arial"/>
          <w:i/>
          <w:color w:val="000000"/>
          <w:sz w:val="20"/>
          <w:szCs w:val="20"/>
        </w:rPr>
      </w:pPr>
      <w:r w:rsidRPr="007C170F">
        <w:rPr>
          <w:rFonts w:ascii="Arial" w:hAnsi="Arial" w:cs="Arial"/>
          <w:color w:val="000000"/>
          <w:sz w:val="20"/>
          <w:szCs w:val="20"/>
        </w:rPr>
        <w:br/>
        <w:t xml:space="preserve">Nesse sentido, acertado o entendimento consignado no acórdão recorrido: </w:t>
      </w:r>
      <w:r w:rsidRPr="004B7176">
        <w:rPr>
          <w:rFonts w:ascii="Arial" w:hAnsi="Arial" w:cs="Arial"/>
          <w:i/>
          <w:color w:val="000000"/>
          <w:sz w:val="20"/>
          <w:szCs w:val="20"/>
        </w:rPr>
        <w:t xml:space="preserve">“Ao utilizar a OSCIP como fornecedora de mão-de-obra para atividades fins, o interessado ofendeu o disposto no art. 37, II, da Constituição, na medida em que se afastou do dever da contratação de pessoal mediante concurso público, além de descumprir as disposições contidas nos </w:t>
      </w:r>
      <w:proofErr w:type="spellStart"/>
      <w:r w:rsidRPr="004B7176">
        <w:rPr>
          <w:rFonts w:ascii="Arial" w:hAnsi="Arial" w:cs="Arial"/>
          <w:i/>
          <w:color w:val="000000"/>
          <w:sz w:val="20"/>
          <w:szCs w:val="20"/>
        </w:rPr>
        <w:t>arts</w:t>
      </w:r>
      <w:proofErr w:type="spellEnd"/>
      <w:r w:rsidRPr="004B7176">
        <w:rPr>
          <w:rFonts w:ascii="Arial" w:hAnsi="Arial" w:cs="Arial"/>
          <w:i/>
          <w:color w:val="000000"/>
          <w:sz w:val="20"/>
          <w:szCs w:val="20"/>
        </w:rPr>
        <w:t xml:space="preserve">. 18 e 19 da Lei Complementar nº. 101/2000 que impõe limites para as despesas com pessoal e encargos nas três esferas de </w:t>
      </w:r>
      <w:proofErr w:type="gramStart"/>
      <w:r w:rsidRPr="004B7176">
        <w:rPr>
          <w:rFonts w:ascii="Arial" w:hAnsi="Arial" w:cs="Arial"/>
          <w:i/>
          <w:color w:val="000000"/>
          <w:sz w:val="20"/>
          <w:szCs w:val="20"/>
        </w:rPr>
        <w:t>governo.”</w:t>
      </w:r>
      <w:proofErr w:type="gramEnd"/>
    </w:p>
    <w:p w:rsidR="004B7176" w:rsidRPr="007C170F" w:rsidRDefault="004B7176" w:rsidP="004B7176">
      <w:pPr>
        <w:pStyle w:val="NormalWeb"/>
        <w:spacing w:before="0" w:beforeAutospacing="0" w:after="0" w:afterAutospacing="0" w:line="276" w:lineRule="auto"/>
        <w:jc w:val="both"/>
        <w:rPr>
          <w:rFonts w:ascii="Arial" w:hAnsi="Arial" w:cs="Arial"/>
          <w:color w:val="000000"/>
          <w:sz w:val="20"/>
          <w:szCs w:val="20"/>
        </w:rPr>
      </w:pPr>
      <w:r w:rsidRPr="007C170F">
        <w:rPr>
          <w:rFonts w:ascii="Arial" w:hAnsi="Arial" w:cs="Arial"/>
          <w:color w:val="000000"/>
          <w:sz w:val="20"/>
          <w:szCs w:val="20"/>
        </w:rPr>
        <w:lastRenderedPageBreak/>
        <w:t>Da mesma forma, não restou configurada no Acórdão nº 2.409/17-STP, a negativa de vigência à lei nº 9.790/99, que prevê a possibilidade da execução direta dos serviços de saúde por meio de OSCIP, haja vista que a situação dos autos, reforça-se mais uma vez, </w:t>
      </w:r>
      <w:r w:rsidRPr="004B7176">
        <w:rPr>
          <w:rStyle w:val="Forte"/>
          <w:rFonts w:ascii="Arial" w:hAnsi="Arial" w:cs="Arial"/>
          <w:b w:val="0"/>
          <w:color w:val="000000"/>
          <w:sz w:val="20"/>
          <w:szCs w:val="20"/>
        </w:rPr>
        <w:t>desborda das situações previstas legalmente</w:t>
      </w:r>
      <w:r w:rsidRPr="007C170F">
        <w:rPr>
          <w:rFonts w:ascii="Arial" w:hAnsi="Arial" w:cs="Arial"/>
          <w:color w:val="000000"/>
          <w:sz w:val="20"/>
          <w:szCs w:val="20"/>
        </w:rPr>
        <w:t>, ou seja, trata de utilização da entidade parceria como mera pessoa interposta destinada única e exclusivamente ao fornecimento de mão de obra, em contrariedade à regra constitucional do concurso público e do procedimento licitatório.</w:t>
      </w:r>
    </w:p>
    <w:p w:rsidR="004B7176" w:rsidRPr="007C170F" w:rsidRDefault="004B7176" w:rsidP="004B7176">
      <w:pPr>
        <w:pStyle w:val="NormalWeb"/>
        <w:spacing w:before="0" w:beforeAutospacing="0" w:after="0" w:afterAutospacing="0" w:line="276" w:lineRule="auto"/>
        <w:jc w:val="both"/>
        <w:rPr>
          <w:rFonts w:ascii="Arial" w:hAnsi="Arial" w:cs="Arial"/>
          <w:color w:val="000000"/>
          <w:sz w:val="20"/>
          <w:szCs w:val="20"/>
        </w:rPr>
      </w:pPr>
      <w:r w:rsidRPr="007C170F">
        <w:rPr>
          <w:rFonts w:ascii="Arial" w:hAnsi="Arial" w:cs="Arial"/>
          <w:color w:val="000000"/>
          <w:sz w:val="20"/>
          <w:szCs w:val="20"/>
        </w:rPr>
        <w:t> </w:t>
      </w:r>
    </w:p>
    <w:p w:rsidR="004B7176" w:rsidRPr="007C170F" w:rsidRDefault="004B7176" w:rsidP="004B7176">
      <w:pPr>
        <w:pStyle w:val="NormalWeb"/>
        <w:spacing w:before="0" w:beforeAutospacing="0" w:after="0" w:afterAutospacing="0" w:line="276" w:lineRule="auto"/>
        <w:jc w:val="both"/>
        <w:rPr>
          <w:rFonts w:ascii="Arial" w:hAnsi="Arial" w:cs="Arial"/>
          <w:color w:val="000000"/>
          <w:sz w:val="20"/>
          <w:szCs w:val="20"/>
        </w:rPr>
      </w:pPr>
      <w:r w:rsidRPr="007C170F">
        <w:rPr>
          <w:rFonts w:ascii="Arial" w:hAnsi="Arial" w:cs="Arial"/>
          <w:color w:val="000000"/>
          <w:sz w:val="20"/>
          <w:szCs w:val="20"/>
        </w:rPr>
        <w:t xml:space="preserve">Processo nº 687543/17 </w:t>
      </w:r>
      <w:r>
        <w:rPr>
          <w:rFonts w:ascii="Arial" w:hAnsi="Arial" w:cs="Arial"/>
          <w:color w:val="000000"/>
          <w:sz w:val="20"/>
          <w:szCs w:val="20"/>
        </w:rPr>
        <w:t>-</w:t>
      </w:r>
      <w:r w:rsidRPr="007C170F">
        <w:rPr>
          <w:rFonts w:ascii="Arial" w:hAnsi="Arial" w:cs="Arial"/>
          <w:color w:val="000000"/>
          <w:sz w:val="20"/>
          <w:szCs w:val="20"/>
        </w:rPr>
        <w:t> </w:t>
      </w:r>
      <w:hyperlink r:id="rId15" w:tgtFrame="_blank" w:history="1">
        <w:r w:rsidRPr="007C170F">
          <w:rPr>
            <w:rStyle w:val="Hyperlink"/>
            <w:rFonts w:ascii="Arial" w:hAnsi="Arial" w:cs="Arial"/>
            <w:sz w:val="20"/>
            <w:szCs w:val="20"/>
          </w:rPr>
          <w:t xml:space="preserve">Acórdão nº 1043/18 </w:t>
        </w:r>
        <w:r>
          <w:rPr>
            <w:rStyle w:val="Hyperlink"/>
            <w:rFonts w:ascii="Arial" w:hAnsi="Arial" w:cs="Arial"/>
            <w:sz w:val="20"/>
            <w:szCs w:val="20"/>
          </w:rPr>
          <w:t>-</w:t>
        </w:r>
        <w:r w:rsidRPr="007C170F">
          <w:rPr>
            <w:rStyle w:val="Hyperlink"/>
            <w:rFonts w:ascii="Arial" w:hAnsi="Arial" w:cs="Arial"/>
            <w:sz w:val="20"/>
            <w:szCs w:val="20"/>
          </w:rPr>
          <w:t xml:space="preserve"> Tribunal Pleno</w:t>
        </w:r>
      </w:hyperlink>
      <w:r w:rsidRPr="007C170F">
        <w:rPr>
          <w:rFonts w:ascii="Arial" w:hAnsi="Arial" w:cs="Arial"/>
          <w:color w:val="000000"/>
          <w:sz w:val="20"/>
          <w:szCs w:val="20"/>
        </w:rPr>
        <w:t> </w:t>
      </w:r>
      <w:r>
        <w:rPr>
          <w:rFonts w:ascii="Arial" w:hAnsi="Arial" w:cs="Arial"/>
          <w:color w:val="000000"/>
          <w:sz w:val="20"/>
          <w:szCs w:val="20"/>
        </w:rPr>
        <w:t>-</w:t>
      </w:r>
      <w:r w:rsidRPr="007C170F">
        <w:rPr>
          <w:rFonts w:ascii="Arial" w:hAnsi="Arial" w:cs="Arial"/>
          <w:color w:val="000000"/>
          <w:sz w:val="20"/>
          <w:szCs w:val="20"/>
        </w:rPr>
        <w:t xml:space="preserve"> Relator Conselheiro </w:t>
      </w:r>
      <w:proofErr w:type="spellStart"/>
      <w:r w:rsidRPr="007C170F">
        <w:rPr>
          <w:rFonts w:ascii="Arial" w:hAnsi="Arial" w:cs="Arial"/>
          <w:color w:val="000000"/>
          <w:sz w:val="20"/>
          <w:szCs w:val="20"/>
        </w:rPr>
        <w:t>Artagão</w:t>
      </w:r>
      <w:proofErr w:type="spellEnd"/>
      <w:r w:rsidRPr="007C170F">
        <w:rPr>
          <w:rFonts w:ascii="Arial" w:hAnsi="Arial" w:cs="Arial"/>
          <w:color w:val="000000"/>
          <w:sz w:val="20"/>
          <w:szCs w:val="20"/>
        </w:rPr>
        <w:t xml:space="preserve"> de Mattos Leão.</w:t>
      </w:r>
    </w:p>
    <w:p w:rsidR="008546AA" w:rsidRDefault="008546AA" w:rsidP="004B7176">
      <w:pPr>
        <w:pStyle w:val="NormalWeb"/>
        <w:spacing w:before="0" w:beforeAutospacing="0" w:after="0" w:afterAutospacing="0" w:line="276" w:lineRule="auto"/>
        <w:jc w:val="both"/>
        <w:rPr>
          <w:rStyle w:val="Forte"/>
          <w:rFonts w:ascii="Arial" w:hAnsi="Arial" w:cs="Arial"/>
          <w:color w:val="000000"/>
          <w:sz w:val="20"/>
          <w:szCs w:val="20"/>
        </w:rPr>
      </w:pPr>
    </w:p>
    <w:p w:rsidR="00F14507" w:rsidRPr="008546AA" w:rsidRDefault="006F7BB1" w:rsidP="004B7176">
      <w:pPr>
        <w:pStyle w:val="NormalWeb"/>
        <w:spacing w:before="0" w:beforeAutospacing="0" w:after="0" w:afterAutospacing="0" w:line="276" w:lineRule="auto"/>
        <w:jc w:val="both"/>
        <w:rPr>
          <w:rStyle w:val="nfase"/>
          <w:rFonts w:ascii="Arial" w:hAnsi="Arial" w:cs="Arial"/>
          <w:i w:val="0"/>
          <w:iCs w:val="0"/>
          <w:color w:val="000000"/>
          <w:sz w:val="20"/>
          <w:szCs w:val="20"/>
        </w:rPr>
      </w:pPr>
      <w:r>
        <w:rPr>
          <w:rStyle w:val="Forte"/>
          <w:rFonts w:ascii="Arial" w:hAnsi="Arial" w:cs="Arial"/>
          <w:color w:val="000000"/>
          <w:sz w:val="20"/>
          <w:szCs w:val="20"/>
        </w:rPr>
        <w:t xml:space="preserve">9. </w:t>
      </w:r>
      <w:r w:rsidR="004B7176" w:rsidRPr="007C170F">
        <w:rPr>
          <w:rStyle w:val="Forte"/>
          <w:rFonts w:ascii="Arial" w:hAnsi="Arial" w:cs="Arial"/>
          <w:color w:val="000000"/>
          <w:sz w:val="20"/>
          <w:szCs w:val="20"/>
        </w:rPr>
        <w:t>Representação</w:t>
      </w:r>
      <w:r w:rsidR="008546AA">
        <w:rPr>
          <w:rStyle w:val="Forte"/>
          <w:rFonts w:ascii="Arial" w:hAnsi="Arial" w:cs="Arial"/>
          <w:color w:val="000000"/>
          <w:sz w:val="20"/>
          <w:szCs w:val="20"/>
        </w:rPr>
        <w:t xml:space="preserve">. </w:t>
      </w:r>
      <w:r w:rsidR="004B7176" w:rsidRPr="007C170F">
        <w:rPr>
          <w:rStyle w:val="Forte"/>
          <w:rFonts w:ascii="Arial" w:hAnsi="Arial" w:cs="Arial"/>
          <w:color w:val="000000"/>
          <w:sz w:val="20"/>
          <w:szCs w:val="20"/>
        </w:rPr>
        <w:t xml:space="preserve">Irregularidades nas contratações de servidores ocupantes de cargo em comissão para o desempenho de funções próprias de servidores de carreira. </w:t>
      </w:r>
      <w:r w:rsidR="00CD013E">
        <w:rPr>
          <w:rStyle w:val="Forte"/>
          <w:rFonts w:ascii="Arial" w:hAnsi="Arial" w:cs="Arial"/>
          <w:color w:val="000000"/>
          <w:sz w:val="20"/>
          <w:szCs w:val="20"/>
        </w:rPr>
        <w:t>P</w:t>
      </w:r>
      <w:r w:rsidR="004B7176" w:rsidRPr="007C170F">
        <w:rPr>
          <w:rStyle w:val="Forte"/>
          <w:rFonts w:ascii="Arial" w:hAnsi="Arial" w:cs="Arial"/>
          <w:color w:val="000000"/>
          <w:sz w:val="20"/>
          <w:szCs w:val="20"/>
        </w:rPr>
        <w:t>rocedência com determinação ao Município</w:t>
      </w:r>
      <w:r w:rsidR="004B7176" w:rsidRPr="007C170F">
        <w:rPr>
          <w:rStyle w:val="nfase"/>
          <w:rFonts w:ascii="Arial" w:hAnsi="Arial" w:cs="Arial"/>
          <w:b/>
          <w:bCs/>
          <w:color w:val="000000"/>
          <w:sz w:val="20"/>
          <w:szCs w:val="20"/>
        </w:rPr>
        <w:t>.</w:t>
      </w:r>
    </w:p>
    <w:p w:rsidR="00F14507" w:rsidRDefault="004B7176" w:rsidP="004B7176">
      <w:pPr>
        <w:pStyle w:val="NormalWeb"/>
        <w:spacing w:before="0" w:beforeAutospacing="0" w:after="0" w:afterAutospacing="0" w:line="276" w:lineRule="auto"/>
        <w:jc w:val="both"/>
        <w:rPr>
          <w:rFonts w:ascii="Arial" w:hAnsi="Arial" w:cs="Arial"/>
          <w:color w:val="000000"/>
          <w:sz w:val="20"/>
          <w:szCs w:val="20"/>
        </w:rPr>
      </w:pPr>
      <w:r w:rsidRPr="007C170F">
        <w:rPr>
          <w:rStyle w:val="Forte"/>
          <w:rFonts w:ascii="Arial" w:hAnsi="Arial" w:cs="Arial"/>
          <w:color w:val="000000"/>
          <w:sz w:val="20"/>
          <w:szCs w:val="20"/>
        </w:rPr>
        <w:t> </w:t>
      </w:r>
      <w:r w:rsidRPr="007C170F">
        <w:rPr>
          <w:rFonts w:ascii="Arial" w:hAnsi="Arial" w:cs="Arial"/>
          <w:color w:val="000000"/>
          <w:sz w:val="20"/>
          <w:szCs w:val="20"/>
        </w:rPr>
        <w:br/>
        <w:t>Houve representação efetuada pelo Ministério Público de Contas no ano de 2006, onde foram anexados os documentos comprobatórios, em desfavor do Executivo e Legislativo do Município, noticiando irregularidades na contratação de servidores ocupantes de cargo em comissão para o desempenho de funções próprias de servidores de carreira.</w:t>
      </w:r>
    </w:p>
    <w:p w:rsidR="00F14507" w:rsidRDefault="004B7176" w:rsidP="004B7176">
      <w:pPr>
        <w:pStyle w:val="NormalWeb"/>
        <w:spacing w:before="0" w:beforeAutospacing="0" w:after="0" w:afterAutospacing="0" w:line="276" w:lineRule="auto"/>
        <w:jc w:val="both"/>
        <w:rPr>
          <w:rFonts w:ascii="Arial" w:hAnsi="Arial" w:cs="Arial"/>
          <w:color w:val="000000"/>
          <w:sz w:val="20"/>
          <w:szCs w:val="20"/>
        </w:rPr>
      </w:pPr>
      <w:r w:rsidRPr="007C170F">
        <w:rPr>
          <w:rFonts w:ascii="Arial" w:hAnsi="Arial" w:cs="Arial"/>
          <w:color w:val="000000"/>
          <w:sz w:val="20"/>
          <w:szCs w:val="20"/>
        </w:rPr>
        <w:br/>
        <w:t>Ao longo da tramitação processual, verificou-se ilegalidade e exagero no provimento de cargos temporários, inclusive cargos comissionados, quando deveriam ter sido providos por servidores efetivos, dada a sua natureza técnica.</w:t>
      </w:r>
    </w:p>
    <w:p w:rsidR="00F14507" w:rsidRDefault="004B7176" w:rsidP="004B7176">
      <w:pPr>
        <w:pStyle w:val="NormalWeb"/>
        <w:spacing w:before="0" w:beforeAutospacing="0" w:after="0" w:afterAutospacing="0" w:line="276" w:lineRule="auto"/>
        <w:jc w:val="both"/>
        <w:rPr>
          <w:rFonts w:ascii="Arial" w:hAnsi="Arial" w:cs="Arial"/>
          <w:color w:val="000000"/>
          <w:sz w:val="20"/>
          <w:szCs w:val="20"/>
        </w:rPr>
      </w:pPr>
      <w:r w:rsidRPr="007C170F">
        <w:rPr>
          <w:rFonts w:ascii="Arial" w:hAnsi="Arial" w:cs="Arial"/>
          <w:color w:val="000000"/>
          <w:sz w:val="20"/>
          <w:szCs w:val="20"/>
        </w:rPr>
        <w:br/>
        <w:t>Em consonância com a jurisprudência do Supremo Tribunal Federal, tendo em vista a desobediência do Art. 37 da Constituição Federal, decidiu-se pela expedição de </w:t>
      </w:r>
      <w:r w:rsidRPr="00F14507">
        <w:rPr>
          <w:rStyle w:val="Forte"/>
          <w:rFonts w:ascii="Arial" w:hAnsi="Arial" w:cs="Arial"/>
          <w:b w:val="0"/>
          <w:color w:val="000000"/>
          <w:sz w:val="20"/>
          <w:szCs w:val="20"/>
        </w:rPr>
        <w:t>determinação</w:t>
      </w:r>
      <w:r w:rsidRPr="007C170F">
        <w:rPr>
          <w:rStyle w:val="Forte"/>
          <w:rFonts w:ascii="Arial" w:hAnsi="Arial" w:cs="Arial"/>
          <w:color w:val="000000"/>
          <w:sz w:val="20"/>
          <w:szCs w:val="20"/>
        </w:rPr>
        <w:t> </w:t>
      </w:r>
      <w:r w:rsidRPr="007C170F">
        <w:rPr>
          <w:rFonts w:ascii="Arial" w:hAnsi="Arial" w:cs="Arial"/>
          <w:color w:val="000000"/>
          <w:sz w:val="20"/>
          <w:szCs w:val="20"/>
        </w:rPr>
        <w:t>ao Município para que adote as seguintes providências:</w:t>
      </w:r>
    </w:p>
    <w:p w:rsidR="00F14507" w:rsidRDefault="00A77FBF" w:rsidP="004B7176">
      <w:pPr>
        <w:pStyle w:val="NormalWeb"/>
        <w:spacing w:before="0" w:beforeAutospacing="0" w:after="0" w:afterAutospacing="0" w:line="276" w:lineRule="auto"/>
        <w:jc w:val="both"/>
        <w:rPr>
          <w:rFonts w:ascii="Arial" w:hAnsi="Arial" w:cs="Arial"/>
          <w:color w:val="000000"/>
          <w:sz w:val="20"/>
          <w:szCs w:val="20"/>
        </w:rPr>
      </w:pPr>
      <w:r>
        <w:rPr>
          <w:rFonts w:ascii="Arial" w:hAnsi="Arial" w:cs="Arial"/>
          <w:color w:val="000000"/>
          <w:sz w:val="20"/>
          <w:szCs w:val="20"/>
        </w:rPr>
        <w:br/>
        <w:t>a)</w:t>
      </w:r>
      <w:r w:rsidR="00753DD9">
        <w:rPr>
          <w:rFonts w:ascii="Arial" w:hAnsi="Arial" w:cs="Arial"/>
          <w:color w:val="000000"/>
          <w:sz w:val="20"/>
          <w:szCs w:val="20"/>
        </w:rPr>
        <w:t xml:space="preserve"> e</w:t>
      </w:r>
      <w:r>
        <w:rPr>
          <w:rFonts w:ascii="Arial" w:hAnsi="Arial" w:cs="Arial"/>
          <w:color w:val="000000"/>
          <w:sz w:val="20"/>
          <w:szCs w:val="20"/>
        </w:rPr>
        <w:t>dição de ato n</w:t>
      </w:r>
      <w:r w:rsidR="004B7176" w:rsidRPr="007C170F">
        <w:rPr>
          <w:rFonts w:ascii="Arial" w:hAnsi="Arial" w:cs="Arial"/>
          <w:color w:val="000000"/>
          <w:sz w:val="20"/>
          <w:szCs w:val="20"/>
        </w:rPr>
        <w:t>ormativo, descrevendo as atribuições e qualificação profissional exigida para todos os cargos de provimento em comissão, atribuições estas que devem estar em consonância com o previsto no art. 37, V, da Constituição Federal, observando-se as orientações do Prejulgado 25 deste TCE/PR;</w:t>
      </w:r>
    </w:p>
    <w:p w:rsidR="00F14507" w:rsidRDefault="00753DD9" w:rsidP="004B7176">
      <w:pPr>
        <w:pStyle w:val="NormalWeb"/>
        <w:spacing w:before="0" w:beforeAutospacing="0" w:after="0" w:afterAutospacing="0" w:line="276" w:lineRule="auto"/>
        <w:jc w:val="both"/>
        <w:rPr>
          <w:rFonts w:ascii="Arial" w:hAnsi="Arial" w:cs="Arial"/>
          <w:color w:val="000000"/>
          <w:sz w:val="20"/>
          <w:szCs w:val="20"/>
        </w:rPr>
      </w:pPr>
      <w:r>
        <w:rPr>
          <w:rFonts w:ascii="Arial" w:hAnsi="Arial" w:cs="Arial"/>
          <w:color w:val="000000"/>
          <w:sz w:val="20"/>
          <w:szCs w:val="20"/>
        </w:rPr>
        <w:br/>
        <w:t>b) c</w:t>
      </w:r>
      <w:r w:rsidR="004B7176" w:rsidRPr="007C170F">
        <w:rPr>
          <w:rFonts w:ascii="Arial" w:hAnsi="Arial" w:cs="Arial"/>
          <w:color w:val="000000"/>
          <w:sz w:val="20"/>
          <w:szCs w:val="20"/>
        </w:rPr>
        <w:t>omprovação da efetiva existência de servidores efetivos subordinados a cada cargo de chefia e subchefia existente;</w:t>
      </w:r>
    </w:p>
    <w:p w:rsidR="00F14507" w:rsidRDefault="00753DD9" w:rsidP="004B7176">
      <w:pPr>
        <w:pStyle w:val="NormalWeb"/>
        <w:spacing w:before="0" w:beforeAutospacing="0" w:after="0" w:afterAutospacing="0" w:line="276" w:lineRule="auto"/>
        <w:jc w:val="both"/>
        <w:rPr>
          <w:rFonts w:ascii="Arial" w:hAnsi="Arial" w:cs="Arial"/>
          <w:color w:val="000000"/>
          <w:sz w:val="20"/>
          <w:szCs w:val="20"/>
        </w:rPr>
      </w:pPr>
      <w:r>
        <w:rPr>
          <w:rFonts w:ascii="Arial" w:hAnsi="Arial" w:cs="Arial"/>
          <w:color w:val="000000"/>
          <w:sz w:val="20"/>
          <w:szCs w:val="20"/>
        </w:rPr>
        <w:br/>
        <w:t>c) d</w:t>
      </w:r>
      <w:r w:rsidR="004B7176" w:rsidRPr="007C170F">
        <w:rPr>
          <w:rFonts w:ascii="Arial" w:hAnsi="Arial" w:cs="Arial"/>
          <w:color w:val="000000"/>
          <w:sz w:val="20"/>
          <w:szCs w:val="20"/>
        </w:rPr>
        <w:t>emonstre a extinção de todos os cargos em comissão de nível médio apontados como irregulares;</w:t>
      </w:r>
    </w:p>
    <w:p w:rsidR="004B7176" w:rsidRPr="007C170F" w:rsidRDefault="00753DD9" w:rsidP="004B7176">
      <w:pPr>
        <w:pStyle w:val="NormalWeb"/>
        <w:spacing w:before="0" w:beforeAutospacing="0" w:after="0" w:afterAutospacing="0" w:line="276" w:lineRule="auto"/>
        <w:jc w:val="both"/>
        <w:rPr>
          <w:rFonts w:ascii="Arial" w:hAnsi="Arial" w:cs="Arial"/>
          <w:color w:val="000000"/>
          <w:sz w:val="20"/>
          <w:szCs w:val="20"/>
        </w:rPr>
      </w:pPr>
      <w:r>
        <w:rPr>
          <w:rFonts w:ascii="Arial" w:hAnsi="Arial" w:cs="Arial"/>
          <w:color w:val="000000"/>
          <w:sz w:val="20"/>
          <w:szCs w:val="20"/>
        </w:rPr>
        <w:br/>
        <w:t>d) e</w:t>
      </w:r>
      <w:r w:rsidR="004B7176" w:rsidRPr="007C170F">
        <w:rPr>
          <w:rFonts w:ascii="Arial" w:hAnsi="Arial" w:cs="Arial"/>
          <w:color w:val="000000"/>
          <w:sz w:val="20"/>
          <w:szCs w:val="20"/>
        </w:rPr>
        <w:t>sclareça a divergência do quadro de cargos em comissão cadastrado no SIAP, em relação a Lei Municipal, uma vez que a informação no sistema aponta a existência de vários cargos em comissão com denominações específicas que não estão previstas na referida lei.</w:t>
      </w:r>
    </w:p>
    <w:p w:rsidR="004B7176" w:rsidRPr="007C170F" w:rsidRDefault="004B7176" w:rsidP="004B7176">
      <w:pPr>
        <w:pStyle w:val="NormalWeb"/>
        <w:spacing w:before="0" w:beforeAutospacing="0" w:after="0" w:afterAutospacing="0" w:line="276" w:lineRule="auto"/>
        <w:jc w:val="both"/>
        <w:rPr>
          <w:rFonts w:ascii="Arial" w:hAnsi="Arial" w:cs="Arial"/>
          <w:color w:val="000000"/>
          <w:sz w:val="20"/>
          <w:szCs w:val="20"/>
        </w:rPr>
      </w:pPr>
      <w:r w:rsidRPr="007C170F">
        <w:rPr>
          <w:rFonts w:ascii="Arial" w:hAnsi="Arial" w:cs="Arial"/>
          <w:color w:val="000000"/>
          <w:sz w:val="20"/>
          <w:szCs w:val="20"/>
        </w:rPr>
        <w:t> </w:t>
      </w:r>
    </w:p>
    <w:p w:rsidR="004B7176" w:rsidRPr="007C170F" w:rsidRDefault="004B7176" w:rsidP="004B7176">
      <w:pPr>
        <w:pStyle w:val="NormalWeb"/>
        <w:spacing w:before="0" w:beforeAutospacing="0" w:after="0" w:afterAutospacing="0" w:line="276" w:lineRule="auto"/>
        <w:jc w:val="both"/>
        <w:rPr>
          <w:rFonts w:ascii="Arial" w:hAnsi="Arial" w:cs="Arial"/>
          <w:color w:val="000000"/>
          <w:sz w:val="20"/>
          <w:szCs w:val="20"/>
        </w:rPr>
      </w:pPr>
      <w:r w:rsidRPr="007C170F">
        <w:rPr>
          <w:rFonts w:ascii="Arial" w:hAnsi="Arial" w:cs="Arial"/>
          <w:color w:val="000000"/>
          <w:sz w:val="20"/>
          <w:szCs w:val="20"/>
        </w:rPr>
        <w:lastRenderedPageBreak/>
        <w:t xml:space="preserve">Processo nº 249368/06 </w:t>
      </w:r>
      <w:r w:rsidR="008546AA">
        <w:rPr>
          <w:rFonts w:ascii="Arial" w:hAnsi="Arial" w:cs="Arial"/>
          <w:color w:val="000000"/>
          <w:sz w:val="20"/>
          <w:szCs w:val="20"/>
        </w:rPr>
        <w:t>-</w:t>
      </w:r>
      <w:r w:rsidRPr="007C170F">
        <w:rPr>
          <w:rFonts w:ascii="Arial" w:hAnsi="Arial" w:cs="Arial"/>
          <w:color w:val="000000"/>
          <w:sz w:val="20"/>
          <w:szCs w:val="20"/>
        </w:rPr>
        <w:t> </w:t>
      </w:r>
      <w:hyperlink r:id="rId16" w:tgtFrame="_blank" w:history="1">
        <w:r w:rsidRPr="007C170F">
          <w:rPr>
            <w:rStyle w:val="Hyperlink"/>
            <w:rFonts w:ascii="Arial" w:hAnsi="Arial" w:cs="Arial"/>
            <w:sz w:val="20"/>
            <w:szCs w:val="20"/>
          </w:rPr>
          <w:t xml:space="preserve">Acórdão nº 1039/18 </w:t>
        </w:r>
        <w:r w:rsidR="008546AA">
          <w:rPr>
            <w:rStyle w:val="Hyperlink"/>
            <w:rFonts w:ascii="Arial" w:hAnsi="Arial" w:cs="Arial"/>
            <w:sz w:val="20"/>
            <w:szCs w:val="20"/>
          </w:rPr>
          <w:t>-</w:t>
        </w:r>
        <w:r w:rsidRPr="007C170F">
          <w:rPr>
            <w:rStyle w:val="Hyperlink"/>
            <w:rFonts w:ascii="Arial" w:hAnsi="Arial" w:cs="Arial"/>
            <w:sz w:val="20"/>
            <w:szCs w:val="20"/>
          </w:rPr>
          <w:t xml:space="preserve"> Tribunal Pleno</w:t>
        </w:r>
      </w:hyperlink>
      <w:r w:rsidRPr="007C170F">
        <w:rPr>
          <w:rFonts w:ascii="Arial" w:hAnsi="Arial" w:cs="Arial"/>
          <w:color w:val="000000"/>
          <w:sz w:val="20"/>
          <w:szCs w:val="20"/>
        </w:rPr>
        <w:t> </w:t>
      </w:r>
      <w:r w:rsidR="008546AA">
        <w:rPr>
          <w:rFonts w:ascii="Arial" w:hAnsi="Arial" w:cs="Arial"/>
          <w:color w:val="000000"/>
          <w:sz w:val="20"/>
          <w:szCs w:val="20"/>
        </w:rPr>
        <w:t>-</w:t>
      </w:r>
      <w:r w:rsidRPr="007C170F">
        <w:rPr>
          <w:rFonts w:ascii="Arial" w:hAnsi="Arial" w:cs="Arial"/>
          <w:color w:val="000000"/>
          <w:sz w:val="20"/>
          <w:szCs w:val="20"/>
        </w:rPr>
        <w:t xml:space="preserve"> Relator Conselheiro Nestor Baptista.</w:t>
      </w:r>
    </w:p>
    <w:p w:rsidR="004B7176" w:rsidRPr="007C170F" w:rsidRDefault="004B7176" w:rsidP="004B7176">
      <w:pPr>
        <w:pStyle w:val="NormalWeb"/>
        <w:spacing w:before="0" w:beforeAutospacing="0" w:after="0" w:afterAutospacing="0" w:line="276" w:lineRule="auto"/>
        <w:jc w:val="both"/>
        <w:rPr>
          <w:rFonts w:ascii="Arial" w:hAnsi="Arial" w:cs="Arial"/>
          <w:color w:val="000000"/>
          <w:sz w:val="20"/>
          <w:szCs w:val="20"/>
        </w:rPr>
      </w:pPr>
      <w:r w:rsidRPr="007C170F">
        <w:rPr>
          <w:rFonts w:ascii="Arial" w:hAnsi="Arial" w:cs="Arial"/>
          <w:color w:val="000000"/>
          <w:sz w:val="20"/>
          <w:szCs w:val="20"/>
        </w:rPr>
        <w:t> </w:t>
      </w:r>
      <w:r w:rsidRPr="007C170F">
        <w:rPr>
          <w:rFonts w:ascii="Arial" w:hAnsi="Arial" w:cs="Arial"/>
          <w:color w:val="000000"/>
          <w:sz w:val="20"/>
          <w:szCs w:val="20"/>
        </w:rPr>
        <w:br/>
      </w:r>
      <w:r w:rsidR="006F7BB1">
        <w:rPr>
          <w:rStyle w:val="Forte"/>
          <w:rFonts w:ascii="Arial" w:hAnsi="Arial" w:cs="Arial"/>
          <w:color w:val="000000"/>
          <w:sz w:val="20"/>
          <w:szCs w:val="20"/>
        </w:rPr>
        <w:t xml:space="preserve">10. </w:t>
      </w:r>
      <w:r w:rsidRPr="007C170F">
        <w:rPr>
          <w:rStyle w:val="Forte"/>
          <w:rFonts w:ascii="Arial" w:hAnsi="Arial" w:cs="Arial"/>
          <w:color w:val="000000"/>
          <w:sz w:val="20"/>
          <w:szCs w:val="20"/>
        </w:rPr>
        <w:t>Recurso de Agravo. Secretaria de Estado da Saúde. Prestação de serviços técnicos especializados para implementar e executar o preparo, fornecimento e distribuição de refeições transportadas, com entregas diárias de almoço e jantar, para atendimento de hospital. Falta de planilha de formação de preço e composição de custos. Restrição a disponibilização de documentos essenciais, com violação ao princípio da publicidade. Apresentação de novos esclarecimentos e documentos pelos representados. Perigo de dano inverso, com riscos de prejuízos irreparáveis e graves à Administração.</w:t>
      </w:r>
    </w:p>
    <w:p w:rsidR="004B7176" w:rsidRPr="007C170F" w:rsidRDefault="004B7176" w:rsidP="004B7176">
      <w:pPr>
        <w:pStyle w:val="NormalWeb"/>
        <w:spacing w:before="0" w:beforeAutospacing="0" w:after="0" w:afterAutospacing="0" w:line="276" w:lineRule="auto"/>
        <w:jc w:val="both"/>
        <w:rPr>
          <w:rFonts w:ascii="Arial" w:hAnsi="Arial" w:cs="Arial"/>
          <w:color w:val="000000"/>
          <w:sz w:val="20"/>
          <w:szCs w:val="20"/>
        </w:rPr>
      </w:pPr>
      <w:r w:rsidRPr="007C170F">
        <w:rPr>
          <w:rFonts w:ascii="Arial" w:hAnsi="Arial" w:cs="Arial"/>
          <w:color w:val="000000"/>
          <w:sz w:val="20"/>
          <w:szCs w:val="20"/>
        </w:rPr>
        <w:t> </w:t>
      </w:r>
    </w:p>
    <w:p w:rsidR="008546AA" w:rsidRDefault="004B7176" w:rsidP="004B7176">
      <w:pPr>
        <w:pStyle w:val="NormalWeb"/>
        <w:spacing w:before="0" w:beforeAutospacing="0" w:after="0" w:afterAutospacing="0" w:line="276" w:lineRule="auto"/>
        <w:jc w:val="both"/>
        <w:rPr>
          <w:rFonts w:ascii="Arial" w:hAnsi="Arial" w:cs="Arial"/>
          <w:color w:val="000000"/>
          <w:sz w:val="20"/>
          <w:szCs w:val="20"/>
        </w:rPr>
      </w:pPr>
      <w:r w:rsidRPr="007C170F">
        <w:rPr>
          <w:rFonts w:ascii="Arial" w:hAnsi="Arial" w:cs="Arial"/>
          <w:color w:val="000000"/>
          <w:sz w:val="20"/>
          <w:szCs w:val="20"/>
        </w:rPr>
        <w:t>Conforme apontou a Secretaria de Estado da Saúde, nas licitações na modalidade pregão, o </w:t>
      </w:r>
      <w:r w:rsidRPr="007C170F">
        <w:rPr>
          <w:rStyle w:val="nfase"/>
          <w:rFonts w:ascii="Arial" w:hAnsi="Arial" w:cs="Arial"/>
          <w:color w:val="000000"/>
          <w:sz w:val="20"/>
          <w:szCs w:val="20"/>
        </w:rPr>
        <w:t>orçamento estimado em planilhas de quantitativos e preços unitários não constitui um dos elementos obrigatórios do edital</w:t>
      </w:r>
      <w:r w:rsidRPr="007C170F">
        <w:rPr>
          <w:rFonts w:ascii="Arial" w:hAnsi="Arial" w:cs="Arial"/>
          <w:color w:val="000000"/>
          <w:sz w:val="20"/>
          <w:szCs w:val="20"/>
        </w:rPr>
        <w:t>, haja vista que a Lei nº 8.666, de 1993, incide apenas subsidiariamente sobre a espécie licitatória. Com efeito, a Lei nº. 10.520, de 2002, diferentemente da Lei Federal de Licitações, dispensou a presença do orçamento estimado do edital de pregão, alocando-o apenas como peça indispensável ao procedimento preparatório</w:t>
      </w:r>
      <w:r w:rsidRPr="007C170F">
        <w:rPr>
          <w:rStyle w:val="Forte"/>
          <w:rFonts w:ascii="Arial" w:hAnsi="Arial" w:cs="Arial"/>
          <w:color w:val="000000"/>
          <w:sz w:val="20"/>
          <w:szCs w:val="20"/>
        </w:rPr>
        <w:t> </w:t>
      </w:r>
      <w:r w:rsidRPr="007C170F">
        <w:rPr>
          <w:rFonts w:ascii="Arial" w:hAnsi="Arial" w:cs="Arial"/>
          <w:color w:val="000000"/>
          <w:sz w:val="20"/>
          <w:szCs w:val="20"/>
        </w:rPr>
        <w:t>do pregão.</w:t>
      </w:r>
    </w:p>
    <w:p w:rsidR="008546AA" w:rsidRDefault="004B7176" w:rsidP="004B7176">
      <w:pPr>
        <w:pStyle w:val="NormalWeb"/>
        <w:spacing w:before="0" w:beforeAutospacing="0" w:after="0" w:afterAutospacing="0" w:line="276" w:lineRule="auto"/>
        <w:jc w:val="both"/>
        <w:rPr>
          <w:rFonts w:ascii="Arial" w:hAnsi="Arial" w:cs="Arial"/>
          <w:color w:val="000000"/>
          <w:sz w:val="20"/>
          <w:szCs w:val="20"/>
        </w:rPr>
      </w:pPr>
      <w:r w:rsidRPr="007C170F">
        <w:rPr>
          <w:rFonts w:ascii="Arial" w:hAnsi="Arial" w:cs="Arial"/>
          <w:color w:val="000000"/>
          <w:sz w:val="20"/>
          <w:szCs w:val="20"/>
        </w:rPr>
        <w:br/>
        <w:t>Observa-se assim, que a defesa apresentou entendimento doutrinário e jurisprudencial diversos, no sentido de permitir a ausência do orçamento estimado como parte do edital de licitação do pregão eletrônico, de modo que, ante o quadro apresentado, afigura-se imprescindível atentar-se para os princípios da razoabilidade e da proporcionalidade, procedendo-se à ponderação de valores envolvidos, afastando-se o item como causa motivadora de suspensão do certame.</w:t>
      </w:r>
      <w:r w:rsidRPr="007C170F">
        <w:rPr>
          <w:rFonts w:ascii="Arial" w:hAnsi="Arial" w:cs="Arial"/>
          <w:color w:val="000000"/>
          <w:sz w:val="20"/>
          <w:szCs w:val="20"/>
        </w:rPr>
        <w:br/>
        <w:t>Verifica-se, no tocante a divergência no quantitativo de refeições constante do Termo de Referência e das Especificações Técnicas, que no primeiro os almoços e jantares estão somados, ao passo que nas especificações técnicas estão separados</w:t>
      </w:r>
      <w:r w:rsidRPr="007C170F">
        <w:rPr>
          <w:rStyle w:val="Forte"/>
          <w:rFonts w:ascii="Arial" w:hAnsi="Arial" w:cs="Arial"/>
          <w:color w:val="000000"/>
          <w:sz w:val="20"/>
          <w:szCs w:val="20"/>
        </w:rPr>
        <w:t>, </w:t>
      </w:r>
      <w:r w:rsidRPr="007C170F">
        <w:rPr>
          <w:rFonts w:ascii="Arial" w:hAnsi="Arial" w:cs="Arial"/>
          <w:color w:val="000000"/>
          <w:sz w:val="20"/>
          <w:szCs w:val="20"/>
        </w:rPr>
        <w:t xml:space="preserve">de modo que afastada a existência de dissensão sobre o tema, o item deixa de ser considerado causa de suspensão do certame. </w:t>
      </w:r>
    </w:p>
    <w:p w:rsidR="008546AA" w:rsidRDefault="008546AA" w:rsidP="004B7176">
      <w:pPr>
        <w:pStyle w:val="NormalWeb"/>
        <w:spacing w:before="0" w:beforeAutospacing="0" w:after="0" w:afterAutospacing="0" w:line="276" w:lineRule="auto"/>
        <w:jc w:val="both"/>
        <w:rPr>
          <w:rFonts w:ascii="Arial" w:hAnsi="Arial" w:cs="Arial"/>
          <w:color w:val="000000"/>
          <w:sz w:val="20"/>
          <w:szCs w:val="20"/>
        </w:rPr>
      </w:pPr>
    </w:p>
    <w:p w:rsidR="008546AA" w:rsidRDefault="004B7176" w:rsidP="004B7176">
      <w:pPr>
        <w:pStyle w:val="NormalWeb"/>
        <w:spacing w:before="0" w:beforeAutospacing="0" w:after="0" w:afterAutospacing="0" w:line="276" w:lineRule="auto"/>
        <w:jc w:val="both"/>
        <w:rPr>
          <w:rFonts w:ascii="Arial" w:hAnsi="Arial" w:cs="Arial"/>
          <w:color w:val="000000"/>
          <w:sz w:val="20"/>
          <w:szCs w:val="20"/>
        </w:rPr>
      </w:pPr>
      <w:r w:rsidRPr="007C170F">
        <w:rPr>
          <w:rFonts w:ascii="Arial" w:hAnsi="Arial" w:cs="Arial"/>
          <w:color w:val="000000"/>
          <w:sz w:val="20"/>
          <w:szCs w:val="20"/>
        </w:rPr>
        <w:t>Assim, considerando-se a urgência da licitação para execução do preparo, fornecimento e distribuição de refeições para pacientes e funcionários/empregados do hospital, cujos contratos anteriores já se encontram extintos ou a termo de suas vigências, bem como o risco de inevitável </w:t>
      </w:r>
      <w:r w:rsidR="008546AA">
        <w:rPr>
          <w:rFonts w:ascii="Arial" w:hAnsi="Arial" w:cs="Arial"/>
          <w:color w:val="000000"/>
          <w:sz w:val="20"/>
          <w:szCs w:val="20"/>
        </w:rPr>
        <w:t xml:space="preserve">- </w:t>
      </w:r>
      <w:r w:rsidRPr="007C170F">
        <w:rPr>
          <w:rStyle w:val="nfase"/>
          <w:rFonts w:ascii="Arial" w:hAnsi="Arial" w:cs="Arial"/>
          <w:color w:val="000000"/>
          <w:sz w:val="20"/>
          <w:szCs w:val="20"/>
        </w:rPr>
        <w:t>prejuízo na manutenção dos serviços hospitalares com a suspensão de internamentos</w:t>
      </w:r>
      <w:r w:rsidRPr="007C170F">
        <w:rPr>
          <w:rFonts w:ascii="Arial" w:hAnsi="Arial" w:cs="Arial"/>
          <w:color w:val="000000"/>
          <w:sz w:val="20"/>
          <w:szCs w:val="20"/>
        </w:rPr>
        <w:t>”, depreende-se pertinente a imediata revogação da liminar concedida por esta Corte.</w:t>
      </w:r>
    </w:p>
    <w:p w:rsidR="004B7176" w:rsidRPr="007C170F" w:rsidRDefault="004B7176" w:rsidP="004B7176">
      <w:pPr>
        <w:pStyle w:val="NormalWeb"/>
        <w:spacing w:before="0" w:beforeAutospacing="0" w:after="0" w:afterAutospacing="0" w:line="276" w:lineRule="auto"/>
        <w:jc w:val="both"/>
        <w:rPr>
          <w:rFonts w:ascii="Arial" w:hAnsi="Arial" w:cs="Arial"/>
          <w:color w:val="000000"/>
          <w:sz w:val="20"/>
          <w:szCs w:val="20"/>
        </w:rPr>
      </w:pPr>
      <w:r w:rsidRPr="007C170F">
        <w:rPr>
          <w:rFonts w:ascii="Arial" w:hAnsi="Arial" w:cs="Arial"/>
          <w:color w:val="000000"/>
          <w:sz w:val="20"/>
          <w:szCs w:val="20"/>
        </w:rPr>
        <w:br/>
        <w:t xml:space="preserve">Pela </w:t>
      </w:r>
      <w:r w:rsidR="008546AA" w:rsidRPr="007C170F">
        <w:rPr>
          <w:rFonts w:ascii="Arial" w:hAnsi="Arial" w:cs="Arial"/>
          <w:color w:val="000000"/>
          <w:sz w:val="20"/>
          <w:szCs w:val="20"/>
        </w:rPr>
        <w:t>procedência</w:t>
      </w:r>
      <w:r w:rsidRPr="007C170F">
        <w:rPr>
          <w:rFonts w:ascii="Arial" w:hAnsi="Arial" w:cs="Arial"/>
          <w:color w:val="000000"/>
          <w:sz w:val="20"/>
          <w:szCs w:val="20"/>
        </w:rPr>
        <w:t xml:space="preserve"> do Recurso de Agravo, </w:t>
      </w:r>
      <w:r w:rsidR="008546AA" w:rsidRPr="007C170F">
        <w:rPr>
          <w:rFonts w:ascii="Arial" w:hAnsi="Arial" w:cs="Arial"/>
          <w:color w:val="000000"/>
          <w:sz w:val="20"/>
          <w:szCs w:val="20"/>
        </w:rPr>
        <w:t xml:space="preserve">revogando-se </w:t>
      </w:r>
      <w:r w:rsidRPr="007C170F">
        <w:rPr>
          <w:rFonts w:ascii="Arial" w:hAnsi="Arial" w:cs="Arial"/>
          <w:color w:val="000000"/>
          <w:sz w:val="20"/>
          <w:szCs w:val="20"/>
        </w:rPr>
        <w:t>a medida cautelar suspensiva do Pregão Eletrônico, a fim de permitir o prosseguimento da licitação do ponto em que foi suspensa. Diante da relevante fundamentação e uma vez constatado o risco iminente de lesão grave e de difícil reparação, concede-se efeitos imediatos à presente decisão.</w:t>
      </w:r>
    </w:p>
    <w:p w:rsidR="004B7176" w:rsidRPr="007C170F" w:rsidRDefault="004B7176" w:rsidP="004B7176">
      <w:pPr>
        <w:pStyle w:val="NormalWeb"/>
        <w:spacing w:before="0" w:beforeAutospacing="0" w:after="0" w:afterAutospacing="0" w:line="276" w:lineRule="auto"/>
        <w:jc w:val="both"/>
        <w:rPr>
          <w:rFonts w:ascii="Arial" w:hAnsi="Arial" w:cs="Arial"/>
          <w:color w:val="000000"/>
          <w:sz w:val="20"/>
          <w:szCs w:val="20"/>
        </w:rPr>
      </w:pPr>
      <w:r w:rsidRPr="007C170F">
        <w:rPr>
          <w:rFonts w:ascii="Arial" w:hAnsi="Arial" w:cs="Arial"/>
          <w:color w:val="000000"/>
          <w:sz w:val="20"/>
          <w:szCs w:val="20"/>
        </w:rPr>
        <w:t> </w:t>
      </w:r>
    </w:p>
    <w:p w:rsidR="008546AA" w:rsidRDefault="004B7176" w:rsidP="004B7176">
      <w:pPr>
        <w:pStyle w:val="NormalWeb"/>
        <w:spacing w:before="0" w:beforeAutospacing="0" w:after="0" w:afterAutospacing="0" w:line="276" w:lineRule="auto"/>
        <w:jc w:val="both"/>
        <w:rPr>
          <w:rFonts w:ascii="Arial" w:hAnsi="Arial" w:cs="Arial"/>
          <w:color w:val="000000"/>
          <w:sz w:val="20"/>
          <w:szCs w:val="20"/>
        </w:rPr>
      </w:pPr>
      <w:r w:rsidRPr="007C170F">
        <w:rPr>
          <w:rFonts w:ascii="Arial" w:hAnsi="Arial" w:cs="Arial"/>
          <w:color w:val="000000"/>
          <w:sz w:val="20"/>
          <w:szCs w:val="20"/>
        </w:rPr>
        <w:lastRenderedPageBreak/>
        <w:t xml:space="preserve">Processo nº 167764/18 </w:t>
      </w:r>
      <w:r w:rsidR="008546AA">
        <w:rPr>
          <w:rFonts w:ascii="Arial" w:hAnsi="Arial" w:cs="Arial"/>
          <w:color w:val="000000"/>
          <w:sz w:val="20"/>
          <w:szCs w:val="20"/>
        </w:rPr>
        <w:t>-</w:t>
      </w:r>
      <w:r w:rsidRPr="007C170F">
        <w:rPr>
          <w:rFonts w:ascii="Arial" w:hAnsi="Arial" w:cs="Arial"/>
          <w:color w:val="000000"/>
          <w:sz w:val="20"/>
          <w:szCs w:val="20"/>
        </w:rPr>
        <w:t> </w:t>
      </w:r>
      <w:hyperlink r:id="rId17" w:tgtFrame="_blank" w:history="1">
        <w:r w:rsidRPr="007C170F">
          <w:rPr>
            <w:rStyle w:val="Hyperlink"/>
            <w:rFonts w:ascii="Arial" w:hAnsi="Arial" w:cs="Arial"/>
            <w:sz w:val="20"/>
            <w:szCs w:val="20"/>
          </w:rPr>
          <w:t xml:space="preserve">Acórdão nº 1044/18 </w:t>
        </w:r>
        <w:r w:rsidR="008546AA">
          <w:rPr>
            <w:rStyle w:val="Hyperlink"/>
            <w:rFonts w:ascii="Arial" w:hAnsi="Arial" w:cs="Arial"/>
            <w:sz w:val="20"/>
            <w:szCs w:val="20"/>
          </w:rPr>
          <w:t>-</w:t>
        </w:r>
        <w:r w:rsidRPr="007C170F">
          <w:rPr>
            <w:rStyle w:val="Hyperlink"/>
            <w:rFonts w:ascii="Arial" w:hAnsi="Arial" w:cs="Arial"/>
            <w:sz w:val="20"/>
            <w:szCs w:val="20"/>
          </w:rPr>
          <w:t xml:space="preserve"> Tribunal Pleno</w:t>
        </w:r>
      </w:hyperlink>
      <w:r w:rsidRPr="007C170F">
        <w:rPr>
          <w:rFonts w:ascii="Arial" w:hAnsi="Arial" w:cs="Arial"/>
          <w:color w:val="000000"/>
          <w:sz w:val="20"/>
          <w:szCs w:val="20"/>
        </w:rPr>
        <w:t> </w:t>
      </w:r>
      <w:r w:rsidR="008546AA">
        <w:rPr>
          <w:rFonts w:ascii="Arial" w:hAnsi="Arial" w:cs="Arial"/>
          <w:color w:val="000000"/>
          <w:sz w:val="20"/>
          <w:szCs w:val="20"/>
        </w:rPr>
        <w:t>-</w:t>
      </w:r>
      <w:r w:rsidRPr="007C170F">
        <w:rPr>
          <w:rFonts w:ascii="Arial" w:hAnsi="Arial" w:cs="Arial"/>
          <w:color w:val="000000"/>
          <w:sz w:val="20"/>
          <w:szCs w:val="20"/>
        </w:rPr>
        <w:t xml:space="preserve"> Relator Conselheiro </w:t>
      </w:r>
      <w:proofErr w:type="spellStart"/>
      <w:r w:rsidRPr="007C170F">
        <w:rPr>
          <w:rFonts w:ascii="Arial" w:hAnsi="Arial" w:cs="Arial"/>
          <w:color w:val="000000"/>
          <w:sz w:val="20"/>
          <w:szCs w:val="20"/>
        </w:rPr>
        <w:t>Artagão</w:t>
      </w:r>
      <w:proofErr w:type="spellEnd"/>
      <w:r w:rsidRPr="007C170F">
        <w:rPr>
          <w:rFonts w:ascii="Arial" w:hAnsi="Arial" w:cs="Arial"/>
          <w:color w:val="000000"/>
          <w:sz w:val="20"/>
          <w:szCs w:val="20"/>
        </w:rPr>
        <w:t xml:space="preserve"> de Mattos Leão.</w:t>
      </w:r>
    </w:p>
    <w:p w:rsidR="004B7176" w:rsidRPr="007C170F" w:rsidRDefault="004B7176" w:rsidP="004B7176">
      <w:pPr>
        <w:pStyle w:val="NormalWeb"/>
        <w:spacing w:before="0" w:beforeAutospacing="0" w:after="0" w:afterAutospacing="0" w:line="276" w:lineRule="auto"/>
        <w:jc w:val="both"/>
        <w:rPr>
          <w:rFonts w:ascii="Arial" w:hAnsi="Arial" w:cs="Arial"/>
          <w:color w:val="000000"/>
          <w:sz w:val="20"/>
          <w:szCs w:val="20"/>
        </w:rPr>
      </w:pPr>
      <w:r w:rsidRPr="007C170F">
        <w:rPr>
          <w:rStyle w:val="Forte"/>
          <w:rFonts w:ascii="Arial" w:hAnsi="Arial" w:cs="Arial"/>
          <w:color w:val="000000"/>
          <w:sz w:val="20"/>
          <w:szCs w:val="20"/>
        </w:rPr>
        <w:t> </w:t>
      </w:r>
    </w:p>
    <w:p w:rsidR="004B7176" w:rsidRPr="007C170F" w:rsidRDefault="006F7BB1" w:rsidP="004B7176">
      <w:pPr>
        <w:pStyle w:val="NormalWeb"/>
        <w:spacing w:before="0" w:beforeAutospacing="0" w:after="0" w:afterAutospacing="0" w:line="276" w:lineRule="auto"/>
        <w:jc w:val="both"/>
        <w:rPr>
          <w:rFonts w:ascii="Arial" w:hAnsi="Arial" w:cs="Arial"/>
          <w:color w:val="000000"/>
          <w:sz w:val="20"/>
          <w:szCs w:val="20"/>
        </w:rPr>
      </w:pPr>
      <w:r>
        <w:rPr>
          <w:rStyle w:val="Forte"/>
          <w:rFonts w:ascii="Arial" w:hAnsi="Arial" w:cs="Arial"/>
          <w:color w:val="000000"/>
          <w:sz w:val="20"/>
          <w:szCs w:val="20"/>
        </w:rPr>
        <w:t xml:space="preserve">11. </w:t>
      </w:r>
      <w:r w:rsidR="004B7176" w:rsidRPr="007C170F">
        <w:rPr>
          <w:rStyle w:val="Forte"/>
          <w:rFonts w:ascii="Arial" w:hAnsi="Arial" w:cs="Arial"/>
          <w:color w:val="000000"/>
          <w:sz w:val="20"/>
          <w:szCs w:val="20"/>
        </w:rPr>
        <w:t>Prestação de Contas Estadual. Regularidade, com ressalvas. Distorções nas demonstrações contábeis, represamento das progressões e promoções aos servidores, exercício de funções técnicas por servidores ocupantes de cargos em comissão, deficiências de controles de bens patrimoniais permanentes, deficiências de controle interno. Imposição de recomendações.</w:t>
      </w:r>
    </w:p>
    <w:p w:rsidR="004B7176" w:rsidRPr="007C170F" w:rsidRDefault="004B7176" w:rsidP="004B7176">
      <w:pPr>
        <w:pStyle w:val="NormalWeb"/>
        <w:spacing w:before="0" w:beforeAutospacing="0" w:after="0" w:afterAutospacing="0" w:line="276" w:lineRule="auto"/>
        <w:jc w:val="both"/>
        <w:rPr>
          <w:rFonts w:ascii="Arial" w:hAnsi="Arial" w:cs="Arial"/>
          <w:color w:val="000000"/>
          <w:sz w:val="20"/>
          <w:szCs w:val="20"/>
        </w:rPr>
      </w:pPr>
      <w:r w:rsidRPr="007C170F">
        <w:rPr>
          <w:rFonts w:ascii="Arial" w:hAnsi="Arial" w:cs="Arial"/>
          <w:color w:val="000000"/>
          <w:sz w:val="20"/>
          <w:szCs w:val="20"/>
        </w:rPr>
        <w:t> </w:t>
      </w:r>
    </w:p>
    <w:p w:rsidR="008546AA" w:rsidRDefault="004B7176" w:rsidP="004B7176">
      <w:pPr>
        <w:pStyle w:val="NormalWeb"/>
        <w:spacing w:before="0" w:beforeAutospacing="0" w:after="0" w:afterAutospacing="0" w:line="276" w:lineRule="auto"/>
        <w:jc w:val="both"/>
        <w:rPr>
          <w:rFonts w:ascii="Arial" w:hAnsi="Arial" w:cs="Arial"/>
          <w:color w:val="000000"/>
          <w:sz w:val="20"/>
          <w:szCs w:val="20"/>
        </w:rPr>
      </w:pPr>
      <w:r w:rsidRPr="007C170F">
        <w:rPr>
          <w:rFonts w:ascii="Arial" w:hAnsi="Arial" w:cs="Arial"/>
          <w:color w:val="000000"/>
          <w:sz w:val="20"/>
          <w:szCs w:val="20"/>
        </w:rPr>
        <w:t>Julgamento pela regularidade da prestação de contas, com ressalvas,</w:t>
      </w:r>
      <w:r w:rsidR="008546AA">
        <w:rPr>
          <w:rFonts w:ascii="Arial" w:hAnsi="Arial" w:cs="Arial"/>
          <w:color w:val="000000"/>
          <w:sz w:val="20"/>
          <w:szCs w:val="20"/>
        </w:rPr>
        <w:t xml:space="preserve"> e as seguintes recomendações:</w:t>
      </w:r>
    </w:p>
    <w:p w:rsidR="008546AA" w:rsidRDefault="008546AA" w:rsidP="004B7176">
      <w:pPr>
        <w:pStyle w:val="NormalWeb"/>
        <w:spacing w:before="0" w:beforeAutospacing="0" w:after="0" w:afterAutospacing="0" w:line="276" w:lineRule="auto"/>
        <w:jc w:val="both"/>
        <w:rPr>
          <w:rFonts w:ascii="Arial" w:hAnsi="Arial" w:cs="Arial"/>
          <w:color w:val="000000"/>
          <w:sz w:val="20"/>
          <w:szCs w:val="20"/>
        </w:rPr>
      </w:pPr>
      <w:r>
        <w:rPr>
          <w:rFonts w:ascii="Arial" w:hAnsi="Arial" w:cs="Arial"/>
          <w:color w:val="000000"/>
          <w:sz w:val="20"/>
          <w:szCs w:val="20"/>
        </w:rPr>
        <w:br/>
        <w:t>a</w:t>
      </w:r>
      <w:r w:rsidR="004B7176" w:rsidRPr="007C170F">
        <w:rPr>
          <w:rFonts w:ascii="Arial" w:hAnsi="Arial" w:cs="Arial"/>
          <w:color w:val="000000"/>
          <w:sz w:val="20"/>
          <w:szCs w:val="20"/>
        </w:rPr>
        <w:t>) implemente uma rotina de conciliação dos diversos relatórios produzidos pelas diferentes unidades da secretaria, providenciando o devido registro contábil dos fatos de forma tempestiva, evitando-se prejuízos nas interpretaçõe</w:t>
      </w:r>
      <w:r>
        <w:rPr>
          <w:rFonts w:ascii="Arial" w:hAnsi="Arial" w:cs="Arial"/>
          <w:color w:val="000000"/>
          <w:sz w:val="20"/>
          <w:szCs w:val="20"/>
        </w:rPr>
        <w:t>s das demonstrações contábeis;</w:t>
      </w:r>
    </w:p>
    <w:p w:rsidR="008546AA" w:rsidRDefault="008546AA" w:rsidP="004B7176">
      <w:pPr>
        <w:pStyle w:val="NormalWeb"/>
        <w:spacing w:before="0" w:beforeAutospacing="0" w:after="0" w:afterAutospacing="0" w:line="276" w:lineRule="auto"/>
        <w:jc w:val="both"/>
        <w:rPr>
          <w:rFonts w:ascii="Arial" w:hAnsi="Arial" w:cs="Arial"/>
          <w:color w:val="000000"/>
          <w:sz w:val="20"/>
          <w:szCs w:val="20"/>
        </w:rPr>
      </w:pPr>
      <w:r>
        <w:rPr>
          <w:rFonts w:ascii="Arial" w:hAnsi="Arial" w:cs="Arial"/>
          <w:color w:val="000000"/>
          <w:sz w:val="20"/>
          <w:szCs w:val="20"/>
        </w:rPr>
        <w:br/>
        <w:t>b</w:t>
      </w:r>
      <w:r w:rsidR="004B7176" w:rsidRPr="007C170F">
        <w:rPr>
          <w:rFonts w:ascii="Arial" w:hAnsi="Arial" w:cs="Arial"/>
          <w:color w:val="000000"/>
          <w:sz w:val="20"/>
          <w:szCs w:val="20"/>
        </w:rPr>
        <w:t>) estabeleça mecanismo de controle, por meio de cronograma de evolução de valores de progressões e promoções, bem como desenvolva, no seu papel de coordenadora geral de recursos humanos do Estado, em conjunto com os demais atores do processo, uma política estratégica de recursos humanos, com o intuito de dirigir, avaliar, controlar e mitigar o constante crescimento dos passivos contingentes originados dos gastos com pessoal, buscando evitar possíveis riscos fiscais que possam afetar as contas públicas do Paraná, e que seja encaminhado à SEFA, no período de confecção da LDO, o total financeiro estimado de passivos com estes gastos para o próximo exercício, possibilitando àquela Secretaria o registro destes dados no anexo da respectiva Lei;</w:t>
      </w:r>
    </w:p>
    <w:p w:rsidR="008546AA" w:rsidRDefault="008546AA" w:rsidP="004B7176">
      <w:pPr>
        <w:pStyle w:val="NormalWeb"/>
        <w:spacing w:before="0" w:beforeAutospacing="0" w:after="0" w:afterAutospacing="0" w:line="276" w:lineRule="auto"/>
        <w:jc w:val="both"/>
        <w:rPr>
          <w:rFonts w:ascii="Arial" w:hAnsi="Arial" w:cs="Arial"/>
          <w:color w:val="000000"/>
          <w:sz w:val="20"/>
          <w:szCs w:val="20"/>
        </w:rPr>
      </w:pPr>
      <w:r>
        <w:rPr>
          <w:rFonts w:ascii="Arial" w:hAnsi="Arial" w:cs="Arial"/>
          <w:color w:val="000000"/>
          <w:sz w:val="20"/>
          <w:szCs w:val="20"/>
        </w:rPr>
        <w:br/>
        <w:t>c</w:t>
      </w:r>
      <w:r w:rsidR="004B7176" w:rsidRPr="007C170F">
        <w:rPr>
          <w:rFonts w:ascii="Arial" w:hAnsi="Arial" w:cs="Arial"/>
          <w:color w:val="000000"/>
          <w:sz w:val="20"/>
          <w:szCs w:val="20"/>
        </w:rPr>
        <w:t>) proceda à revisão e correção das atividades realizadas</w:t>
      </w:r>
      <w:r w:rsidR="005D0FF5">
        <w:rPr>
          <w:rFonts w:ascii="Arial" w:hAnsi="Arial" w:cs="Arial"/>
          <w:color w:val="000000"/>
          <w:sz w:val="20"/>
          <w:szCs w:val="20"/>
        </w:rPr>
        <w:t xml:space="preserve"> pelos servidores ocupantes de cargos em c</w:t>
      </w:r>
      <w:r w:rsidR="004B7176" w:rsidRPr="007C170F">
        <w:rPr>
          <w:rFonts w:ascii="Arial" w:hAnsi="Arial" w:cs="Arial"/>
          <w:color w:val="000000"/>
          <w:sz w:val="20"/>
          <w:szCs w:val="20"/>
        </w:rPr>
        <w:t>omissão, de forma a identificar e eliminar as atividades técnicas e de apoio por eles desempenhadas, reservando a estes cargos somente às atividades de chefia, direção e assessoramento;</w:t>
      </w:r>
    </w:p>
    <w:p w:rsidR="00476574" w:rsidRDefault="008546AA" w:rsidP="004B7176">
      <w:pPr>
        <w:pStyle w:val="NormalWeb"/>
        <w:spacing w:before="0" w:beforeAutospacing="0" w:after="0" w:afterAutospacing="0" w:line="276" w:lineRule="auto"/>
        <w:jc w:val="both"/>
        <w:rPr>
          <w:rFonts w:ascii="Arial" w:hAnsi="Arial" w:cs="Arial"/>
          <w:color w:val="000000"/>
          <w:sz w:val="20"/>
          <w:szCs w:val="20"/>
        </w:rPr>
      </w:pPr>
      <w:r>
        <w:rPr>
          <w:rFonts w:ascii="Arial" w:hAnsi="Arial" w:cs="Arial"/>
          <w:color w:val="000000"/>
          <w:sz w:val="20"/>
          <w:szCs w:val="20"/>
        </w:rPr>
        <w:br/>
        <w:t>d</w:t>
      </w:r>
      <w:r w:rsidR="004B7176" w:rsidRPr="007C170F">
        <w:rPr>
          <w:rFonts w:ascii="Arial" w:hAnsi="Arial" w:cs="Arial"/>
          <w:color w:val="000000"/>
          <w:sz w:val="20"/>
          <w:szCs w:val="20"/>
        </w:rPr>
        <w:t xml:space="preserve">) dê continuidade </w:t>
      </w:r>
      <w:r w:rsidR="005D0FF5">
        <w:rPr>
          <w:rFonts w:ascii="Arial" w:hAnsi="Arial" w:cs="Arial"/>
          <w:color w:val="000000"/>
          <w:sz w:val="20"/>
          <w:szCs w:val="20"/>
        </w:rPr>
        <w:t>ao plano de trabalho relação à c</w:t>
      </w:r>
      <w:r w:rsidR="004B7176" w:rsidRPr="007C170F">
        <w:rPr>
          <w:rFonts w:ascii="Arial" w:hAnsi="Arial" w:cs="Arial"/>
          <w:color w:val="000000"/>
          <w:sz w:val="20"/>
          <w:szCs w:val="20"/>
        </w:rPr>
        <w:t xml:space="preserve">omissão instituída por meio da Resolução Conjunta </w:t>
      </w:r>
      <w:proofErr w:type="gramStart"/>
      <w:r w:rsidR="004B7176" w:rsidRPr="007C170F">
        <w:rPr>
          <w:rFonts w:ascii="Arial" w:hAnsi="Arial" w:cs="Arial"/>
          <w:color w:val="000000"/>
          <w:sz w:val="20"/>
          <w:szCs w:val="20"/>
        </w:rPr>
        <w:t>n.º</w:t>
      </w:r>
      <w:proofErr w:type="gramEnd"/>
      <w:r w:rsidR="004B7176" w:rsidRPr="007C170F">
        <w:rPr>
          <w:rFonts w:ascii="Arial" w:hAnsi="Arial" w:cs="Arial"/>
          <w:color w:val="000000"/>
          <w:sz w:val="20"/>
          <w:szCs w:val="20"/>
        </w:rPr>
        <w:t xml:space="preserve"> 1/2016, objetivando o cumprimento dos prazos fixados, cabend</w:t>
      </w:r>
      <w:r w:rsidR="005D0FF5">
        <w:rPr>
          <w:rFonts w:ascii="Arial" w:hAnsi="Arial" w:cs="Arial"/>
          <w:color w:val="000000"/>
          <w:sz w:val="20"/>
          <w:szCs w:val="20"/>
        </w:rPr>
        <w:t>o o monitoramento pela área de controle i</w:t>
      </w:r>
      <w:r w:rsidR="004B7176" w:rsidRPr="007C170F">
        <w:rPr>
          <w:rFonts w:ascii="Arial" w:hAnsi="Arial" w:cs="Arial"/>
          <w:color w:val="000000"/>
          <w:sz w:val="20"/>
          <w:szCs w:val="20"/>
        </w:rPr>
        <w:t>nterno;</w:t>
      </w:r>
    </w:p>
    <w:p w:rsidR="005D0FF5" w:rsidRDefault="005D0FF5" w:rsidP="004B7176">
      <w:pPr>
        <w:pStyle w:val="NormalWeb"/>
        <w:spacing w:before="0" w:beforeAutospacing="0" w:after="0" w:afterAutospacing="0" w:line="276" w:lineRule="auto"/>
        <w:jc w:val="both"/>
        <w:rPr>
          <w:rFonts w:ascii="Arial" w:hAnsi="Arial" w:cs="Arial"/>
          <w:color w:val="000000"/>
          <w:sz w:val="20"/>
          <w:szCs w:val="20"/>
        </w:rPr>
      </w:pPr>
    </w:p>
    <w:p w:rsidR="004B7176" w:rsidRPr="007C170F" w:rsidRDefault="00476574" w:rsidP="004B7176">
      <w:pPr>
        <w:pStyle w:val="NormalWeb"/>
        <w:spacing w:before="0" w:beforeAutospacing="0" w:after="0" w:afterAutospacing="0" w:line="276" w:lineRule="auto"/>
        <w:jc w:val="both"/>
        <w:rPr>
          <w:rFonts w:ascii="Arial" w:hAnsi="Arial" w:cs="Arial"/>
          <w:color w:val="000000"/>
          <w:sz w:val="20"/>
          <w:szCs w:val="20"/>
        </w:rPr>
      </w:pPr>
      <w:r>
        <w:rPr>
          <w:rFonts w:ascii="Arial" w:hAnsi="Arial" w:cs="Arial"/>
          <w:color w:val="000000"/>
          <w:sz w:val="20"/>
          <w:szCs w:val="20"/>
        </w:rPr>
        <w:t>e</w:t>
      </w:r>
      <w:r w:rsidR="004B7176" w:rsidRPr="007C170F">
        <w:rPr>
          <w:rFonts w:ascii="Arial" w:hAnsi="Arial" w:cs="Arial"/>
          <w:color w:val="000000"/>
          <w:sz w:val="20"/>
          <w:szCs w:val="20"/>
        </w:rPr>
        <w:t xml:space="preserve">) em relação à deficiência </w:t>
      </w:r>
      <w:r w:rsidR="005D0FF5">
        <w:rPr>
          <w:rFonts w:ascii="Arial" w:hAnsi="Arial" w:cs="Arial"/>
          <w:color w:val="000000"/>
          <w:sz w:val="20"/>
          <w:szCs w:val="20"/>
        </w:rPr>
        <w:t xml:space="preserve">do controle interno: </w:t>
      </w:r>
      <w:r w:rsidR="005D0FF5" w:rsidRPr="009A3AE9">
        <w:rPr>
          <w:rFonts w:ascii="Arial" w:hAnsi="Arial" w:cs="Arial"/>
          <w:i/>
          <w:color w:val="000000"/>
          <w:sz w:val="20"/>
          <w:szCs w:val="20"/>
        </w:rPr>
        <w:t>a.</w:t>
      </w:r>
      <w:r w:rsidR="005D0FF5">
        <w:rPr>
          <w:rFonts w:ascii="Arial" w:hAnsi="Arial" w:cs="Arial"/>
          <w:color w:val="000000"/>
          <w:sz w:val="20"/>
          <w:szCs w:val="20"/>
        </w:rPr>
        <w:t xml:space="preserve"> </w:t>
      </w:r>
      <w:r w:rsidR="004B7176" w:rsidRPr="007C170F">
        <w:rPr>
          <w:rFonts w:ascii="Arial" w:hAnsi="Arial" w:cs="Arial"/>
          <w:color w:val="000000"/>
          <w:sz w:val="20"/>
          <w:szCs w:val="20"/>
        </w:rPr>
        <w:t xml:space="preserve">adote um plano de trabalho estruturado, definindo as ações a serem executadas pela área de controle interno, segregada por departamento e objeto priorizando os achados de auditoria apontados, não limitando sua atuação apenas no preenchimento do questionário oriundo da CGE; </w:t>
      </w:r>
      <w:r w:rsidR="004B7176" w:rsidRPr="009A3AE9">
        <w:rPr>
          <w:rFonts w:ascii="Arial" w:hAnsi="Arial" w:cs="Arial"/>
          <w:i/>
          <w:color w:val="000000"/>
          <w:sz w:val="20"/>
          <w:szCs w:val="20"/>
        </w:rPr>
        <w:t>b.</w:t>
      </w:r>
      <w:r w:rsidR="004B7176" w:rsidRPr="007C170F">
        <w:rPr>
          <w:rFonts w:ascii="Arial" w:hAnsi="Arial" w:cs="Arial"/>
          <w:color w:val="000000"/>
          <w:sz w:val="20"/>
          <w:szCs w:val="20"/>
        </w:rPr>
        <w:t xml:space="preserve"> dote a área de controle interno, com recursos humanos suficientes e com atribuições e autonomia para atuar no âmbito estratégico dos processos, direcionando os rumos do controle no Órgão nas áreas mais sensíveis, e atuando efetivamente na melhoria da eficiência operacional da Instituição.</w:t>
      </w:r>
    </w:p>
    <w:p w:rsidR="004B7176" w:rsidRDefault="004B7176" w:rsidP="00476574">
      <w:pPr>
        <w:pStyle w:val="NormalWeb"/>
        <w:spacing w:before="0" w:beforeAutospacing="0" w:after="0" w:afterAutospacing="0" w:line="276" w:lineRule="auto"/>
        <w:jc w:val="both"/>
        <w:rPr>
          <w:rFonts w:ascii="Arial" w:hAnsi="Arial" w:cs="Arial"/>
          <w:color w:val="000000"/>
          <w:sz w:val="20"/>
          <w:szCs w:val="20"/>
        </w:rPr>
      </w:pPr>
      <w:r w:rsidRPr="007C170F">
        <w:rPr>
          <w:rFonts w:ascii="Arial" w:hAnsi="Arial" w:cs="Arial"/>
          <w:color w:val="000000"/>
          <w:sz w:val="20"/>
          <w:szCs w:val="20"/>
        </w:rPr>
        <w:lastRenderedPageBreak/>
        <w:t xml:space="preserve">Processo nº 234972/17 </w:t>
      </w:r>
      <w:r w:rsidR="00476574">
        <w:rPr>
          <w:rFonts w:ascii="Arial" w:hAnsi="Arial" w:cs="Arial"/>
          <w:color w:val="000000"/>
          <w:sz w:val="20"/>
          <w:szCs w:val="20"/>
        </w:rPr>
        <w:t>-</w:t>
      </w:r>
      <w:r w:rsidRPr="007C170F">
        <w:rPr>
          <w:rFonts w:ascii="Arial" w:hAnsi="Arial" w:cs="Arial"/>
          <w:color w:val="000000"/>
          <w:sz w:val="20"/>
          <w:szCs w:val="20"/>
        </w:rPr>
        <w:t> </w:t>
      </w:r>
      <w:hyperlink r:id="rId18" w:tgtFrame="_blank" w:history="1">
        <w:r w:rsidRPr="007C170F">
          <w:rPr>
            <w:rStyle w:val="Hyperlink"/>
            <w:rFonts w:ascii="Arial" w:hAnsi="Arial" w:cs="Arial"/>
            <w:sz w:val="20"/>
            <w:szCs w:val="20"/>
          </w:rPr>
          <w:t xml:space="preserve">Acórdão nº 1048/18 </w:t>
        </w:r>
        <w:r w:rsidR="00476574">
          <w:rPr>
            <w:rStyle w:val="Hyperlink"/>
            <w:rFonts w:ascii="Arial" w:hAnsi="Arial" w:cs="Arial"/>
            <w:sz w:val="20"/>
            <w:szCs w:val="20"/>
          </w:rPr>
          <w:t>-</w:t>
        </w:r>
        <w:r w:rsidRPr="007C170F">
          <w:rPr>
            <w:rStyle w:val="Hyperlink"/>
            <w:rFonts w:ascii="Arial" w:hAnsi="Arial" w:cs="Arial"/>
            <w:sz w:val="20"/>
            <w:szCs w:val="20"/>
          </w:rPr>
          <w:t xml:space="preserve"> Tribunal Pleno</w:t>
        </w:r>
      </w:hyperlink>
      <w:r w:rsidRPr="007C170F">
        <w:rPr>
          <w:rFonts w:ascii="Arial" w:hAnsi="Arial" w:cs="Arial"/>
          <w:color w:val="000000"/>
          <w:sz w:val="20"/>
          <w:szCs w:val="20"/>
        </w:rPr>
        <w:t> </w:t>
      </w:r>
      <w:r w:rsidR="00476574">
        <w:rPr>
          <w:rFonts w:ascii="Arial" w:hAnsi="Arial" w:cs="Arial"/>
          <w:color w:val="000000"/>
          <w:sz w:val="20"/>
          <w:szCs w:val="20"/>
        </w:rPr>
        <w:t>-</w:t>
      </w:r>
      <w:r w:rsidRPr="007C170F">
        <w:rPr>
          <w:rFonts w:ascii="Arial" w:hAnsi="Arial" w:cs="Arial"/>
          <w:color w:val="000000"/>
          <w:sz w:val="20"/>
          <w:szCs w:val="20"/>
        </w:rPr>
        <w:t xml:space="preserve"> Relator Conselheiro </w:t>
      </w:r>
      <w:proofErr w:type="spellStart"/>
      <w:r w:rsidRPr="007C170F">
        <w:rPr>
          <w:rFonts w:ascii="Arial" w:hAnsi="Arial" w:cs="Arial"/>
          <w:color w:val="000000"/>
          <w:sz w:val="20"/>
          <w:szCs w:val="20"/>
        </w:rPr>
        <w:t>Artagão</w:t>
      </w:r>
      <w:proofErr w:type="spellEnd"/>
      <w:r w:rsidRPr="007C170F">
        <w:rPr>
          <w:rFonts w:ascii="Arial" w:hAnsi="Arial" w:cs="Arial"/>
          <w:color w:val="000000"/>
          <w:sz w:val="20"/>
          <w:szCs w:val="20"/>
        </w:rPr>
        <w:t xml:space="preserve"> de Mattos Leão.</w:t>
      </w:r>
    </w:p>
    <w:p w:rsidR="0079583C" w:rsidRDefault="0079583C" w:rsidP="00476574">
      <w:pPr>
        <w:pStyle w:val="NormalWeb"/>
        <w:spacing w:before="0" w:beforeAutospacing="0" w:after="0" w:afterAutospacing="0" w:line="276" w:lineRule="auto"/>
        <w:jc w:val="both"/>
        <w:rPr>
          <w:rFonts w:ascii="Arial" w:hAnsi="Arial" w:cs="Arial"/>
          <w:color w:val="000000"/>
          <w:sz w:val="20"/>
          <w:szCs w:val="20"/>
        </w:rPr>
      </w:pPr>
    </w:p>
    <w:p w:rsidR="0079583C" w:rsidRPr="00E231ED" w:rsidRDefault="006F7BB1" w:rsidP="0079583C">
      <w:pPr>
        <w:spacing w:after="0"/>
        <w:jc w:val="both"/>
        <w:rPr>
          <w:rStyle w:val="Hyperlink"/>
          <w:rFonts w:ascii="Arial" w:hAnsi="Arial" w:cs="Arial"/>
          <w:b/>
          <w:color w:val="000000" w:themeColor="text1"/>
          <w:sz w:val="20"/>
          <w:szCs w:val="20"/>
          <w:u w:val="none"/>
        </w:rPr>
      </w:pPr>
      <w:r>
        <w:rPr>
          <w:rStyle w:val="Hyperlink"/>
          <w:rFonts w:ascii="Arial" w:hAnsi="Arial" w:cs="Arial"/>
          <w:b/>
          <w:color w:val="000000" w:themeColor="text1"/>
          <w:sz w:val="20"/>
          <w:szCs w:val="20"/>
          <w:u w:val="none"/>
        </w:rPr>
        <w:t xml:space="preserve">12. </w:t>
      </w:r>
      <w:r w:rsidR="0079583C" w:rsidRPr="00E231ED">
        <w:rPr>
          <w:rStyle w:val="Hyperlink"/>
          <w:rFonts w:ascii="Arial" w:hAnsi="Arial" w:cs="Arial"/>
          <w:b/>
          <w:color w:val="000000" w:themeColor="text1"/>
          <w:sz w:val="20"/>
          <w:szCs w:val="20"/>
          <w:u w:val="none"/>
        </w:rPr>
        <w:t xml:space="preserve">Embargos de Declaração. Aplicação de multa administrativa a gestores por atraso no cumprimento de obrigações da Companhia. </w:t>
      </w:r>
      <w:r w:rsidR="009A3AE9">
        <w:rPr>
          <w:rStyle w:val="Hyperlink"/>
          <w:rFonts w:ascii="Arial" w:hAnsi="Arial" w:cs="Arial"/>
          <w:b/>
          <w:color w:val="000000" w:themeColor="text1"/>
          <w:sz w:val="20"/>
          <w:szCs w:val="20"/>
          <w:u w:val="none"/>
        </w:rPr>
        <w:t xml:space="preserve">Descrição Suficiente. </w:t>
      </w:r>
      <w:r w:rsidR="0079583C" w:rsidRPr="00E231ED">
        <w:rPr>
          <w:rStyle w:val="Hyperlink"/>
          <w:rFonts w:ascii="Arial" w:hAnsi="Arial" w:cs="Arial"/>
          <w:b/>
          <w:color w:val="000000" w:themeColor="text1"/>
          <w:sz w:val="20"/>
          <w:szCs w:val="20"/>
          <w:u w:val="none"/>
        </w:rPr>
        <w:t>Ausência de omissão, obscuridade ou contradição na decisão embargada.  Rejeição</w:t>
      </w:r>
      <w:r w:rsidR="00412BBD">
        <w:rPr>
          <w:rStyle w:val="Hyperlink"/>
          <w:rFonts w:ascii="Arial" w:hAnsi="Arial" w:cs="Arial"/>
          <w:b/>
          <w:color w:val="000000" w:themeColor="text1"/>
          <w:sz w:val="20"/>
          <w:szCs w:val="20"/>
          <w:u w:val="none"/>
        </w:rPr>
        <w:t xml:space="preserve">. </w:t>
      </w:r>
      <w:r w:rsidR="0079583C" w:rsidRPr="00E231ED">
        <w:rPr>
          <w:rStyle w:val="Hyperlink"/>
          <w:rFonts w:ascii="Arial" w:hAnsi="Arial" w:cs="Arial"/>
          <w:b/>
          <w:color w:val="000000" w:themeColor="text1"/>
          <w:sz w:val="20"/>
          <w:szCs w:val="20"/>
          <w:u w:val="none"/>
        </w:rPr>
        <w:t xml:space="preserve"> </w:t>
      </w:r>
    </w:p>
    <w:p w:rsidR="0079583C" w:rsidRDefault="0079583C" w:rsidP="0079583C">
      <w:pPr>
        <w:spacing w:after="0"/>
        <w:jc w:val="both"/>
        <w:rPr>
          <w:rStyle w:val="Hyperlink"/>
          <w:rFonts w:ascii="Arial" w:hAnsi="Arial" w:cs="Arial"/>
          <w:color w:val="000000" w:themeColor="text1"/>
          <w:sz w:val="20"/>
          <w:szCs w:val="20"/>
          <w:u w:val="none"/>
        </w:rPr>
      </w:pPr>
    </w:p>
    <w:p w:rsidR="0079583C" w:rsidRDefault="0079583C" w:rsidP="0079583C">
      <w:pPr>
        <w:spacing w:after="0"/>
        <w:jc w:val="both"/>
        <w:rPr>
          <w:rStyle w:val="Hyperlink"/>
          <w:rFonts w:ascii="Arial" w:hAnsi="Arial" w:cs="Arial"/>
          <w:color w:val="000000" w:themeColor="text1"/>
          <w:sz w:val="20"/>
          <w:szCs w:val="20"/>
          <w:u w:val="none"/>
        </w:rPr>
      </w:pPr>
      <w:r>
        <w:rPr>
          <w:rStyle w:val="Hyperlink"/>
          <w:rFonts w:ascii="Arial" w:hAnsi="Arial" w:cs="Arial"/>
          <w:color w:val="000000" w:themeColor="text1"/>
          <w:sz w:val="20"/>
          <w:szCs w:val="20"/>
          <w:u w:val="none"/>
        </w:rPr>
        <w:t>Em contas julgadas irregulares, por atraso no cumprimento de obrigações fiscais, previdenciárias e com fornecedores, Companhia tem seus gestores multados, em razão da autorização de despesas sem observância dos preceitos constitucionais.</w:t>
      </w:r>
    </w:p>
    <w:p w:rsidR="0079583C" w:rsidRDefault="0079583C" w:rsidP="0079583C">
      <w:pPr>
        <w:spacing w:after="0"/>
        <w:jc w:val="both"/>
        <w:rPr>
          <w:rStyle w:val="Hyperlink"/>
          <w:rFonts w:ascii="Arial" w:hAnsi="Arial" w:cs="Arial"/>
          <w:color w:val="000000" w:themeColor="text1"/>
          <w:sz w:val="20"/>
          <w:szCs w:val="20"/>
          <w:u w:val="none"/>
        </w:rPr>
      </w:pPr>
      <w:r>
        <w:rPr>
          <w:rStyle w:val="Hyperlink"/>
          <w:rFonts w:ascii="Arial" w:hAnsi="Arial" w:cs="Arial"/>
          <w:color w:val="000000" w:themeColor="text1"/>
          <w:sz w:val="20"/>
          <w:szCs w:val="20"/>
          <w:u w:val="none"/>
        </w:rPr>
        <w:t xml:space="preserve"> </w:t>
      </w:r>
    </w:p>
    <w:p w:rsidR="0079583C" w:rsidRDefault="0079583C" w:rsidP="0079583C">
      <w:pPr>
        <w:spacing w:after="0"/>
        <w:jc w:val="both"/>
        <w:rPr>
          <w:rStyle w:val="Hyperlink"/>
          <w:rFonts w:ascii="Arial" w:hAnsi="Arial" w:cs="Arial"/>
          <w:color w:val="000000" w:themeColor="text1"/>
          <w:sz w:val="20"/>
          <w:szCs w:val="20"/>
          <w:u w:val="none"/>
        </w:rPr>
      </w:pPr>
      <w:r>
        <w:rPr>
          <w:rStyle w:val="Hyperlink"/>
          <w:rFonts w:ascii="Arial" w:hAnsi="Arial" w:cs="Arial"/>
          <w:color w:val="000000" w:themeColor="text1"/>
          <w:sz w:val="20"/>
          <w:szCs w:val="20"/>
          <w:u w:val="none"/>
        </w:rPr>
        <w:t xml:space="preserve">Os Embargos foram opostos, afirmando que a decisão incorreu em omissão quanto à análise da conduta dos gestores, que teriam agido sem dolo, culpa, má-fé e sem a prática de enriquecimento ilícito. </w:t>
      </w:r>
    </w:p>
    <w:p w:rsidR="00412BBD" w:rsidRDefault="00412BBD" w:rsidP="0079583C">
      <w:pPr>
        <w:spacing w:after="0"/>
        <w:jc w:val="both"/>
        <w:rPr>
          <w:rStyle w:val="Hyperlink"/>
          <w:rFonts w:ascii="Arial" w:hAnsi="Arial" w:cs="Arial"/>
          <w:color w:val="000000" w:themeColor="text1"/>
          <w:sz w:val="20"/>
          <w:szCs w:val="20"/>
          <w:u w:val="none"/>
        </w:rPr>
      </w:pPr>
    </w:p>
    <w:p w:rsidR="0079583C" w:rsidRDefault="0079583C" w:rsidP="0079583C">
      <w:pPr>
        <w:spacing w:after="0"/>
        <w:jc w:val="both"/>
        <w:rPr>
          <w:rStyle w:val="Hyperlink"/>
          <w:rFonts w:ascii="Arial" w:hAnsi="Arial" w:cs="Arial"/>
          <w:color w:val="000000" w:themeColor="text1"/>
          <w:sz w:val="20"/>
          <w:szCs w:val="20"/>
          <w:u w:val="none"/>
        </w:rPr>
      </w:pPr>
      <w:r>
        <w:rPr>
          <w:rStyle w:val="Hyperlink"/>
          <w:rFonts w:ascii="Arial" w:hAnsi="Arial" w:cs="Arial"/>
          <w:color w:val="000000" w:themeColor="text1"/>
          <w:sz w:val="20"/>
          <w:szCs w:val="20"/>
          <w:u w:val="none"/>
        </w:rPr>
        <w:t xml:space="preserve">A decisão embargada considerou suficiente para a responsabilização a atuação omissiva dos gestores diante do quadro deficitário da Companhia. </w:t>
      </w:r>
    </w:p>
    <w:p w:rsidR="0079583C" w:rsidRDefault="0079583C" w:rsidP="0079583C">
      <w:pPr>
        <w:spacing w:after="0"/>
        <w:jc w:val="both"/>
        <w:rPr>
          <w:rStyle w:val="Hyperlink"/>
          <w:rFonts w:ascii="Arial" w:hAnsi="Arial" w:cs="Arial"/>
          <w:color w:val="000000" w:themeColor="text1"/>
          <w:sz w:val="20"/>
          <w:szCs w:val="20"/>
          <w:u w:val="none"/>
        </w:rPr>
      </w:pPr>
    </w:p>
    <w:p w:rsidR="0079583C" w:rsidRDefault="0079583C" w:rsidP="0079583C">
      <w:pPr>
        <w:spacing w:after="0"/>
        <w:jc w:val="both"/>
        <w:rPr>
          <w:rStyle w:val="Hyperlink"/>
          <w:rFonts w:ascii="Arial" w:hAnsi="Arial" w:cs="Arial"/>
          <w:color w:val="000000" w:themeColor="text1"/>
          <w:sz w:val="20"/>
          <w:szCs w:val="20"/>
          <w:u w:val="none"/>
        </w:rPr>
      </w:pPr>
      <w:r>
        <w:rPr>
          <w:rStyle w:val="Hyperlink"/>
          <w:rFonts w:ascii="Arial" w:hAnsi="Arial" w:cs="Arial"/>
          <w:color w:val="000000" w:themeColor="text1"/>
          <w:sz w:val="20"/>
          <w:szCs w:val="20"/>
          <w:u w:val="none"/>
        </w:rPr>
        <w:t xml:space="preserve">Também o dever, não configurado, de atuação de forma diligente e cuidadora no exercício das funções, conforme previsto na Lei das Sociedades Anônimas, afasta a alegação da ocorrência de contradição e obscuridade da decisão. </w:t>
      </w:r>
    </w:p>
    <w:p w:rsidR="0079583C" w:rsidRDefault="0079583C" w:rsidP="0079583C">
      <w:pPr>
        <w:spacing w:after="0"/>
        <w:jc w:val="both"/>
        <w:rPr>
          <w:rStyle w:val="Hyperlink"/>
          <w:rFonts w:ascii="Arial" w:hAnsi="Arial" w:cs="Arial"/>
          <w:color w:val="000000" w:themeColor="text1"/>
          <w:sz w:val="20"/>
          <w:szCs w:val="20"/>
          <w:u w:val="none"/>
        </w:rPr>
      </w:pPr>
    </w:p>
    <w:p w:rsidR="0079583C" w:rsidRDefault="0079583C" w:rsidP="0079583C">
      <w:pPr>
        <w:spacing w:after="0"/>
        <w:jc w:val="both"/>
        <w:rPr>
          <w:rStyle w:val="Hyperlink"/>
          <w:rFonts w:ascii="Arial" w:hAnsi="Arial" w:cs="Arial"/>
          <w:color w:val="000000" w:themeColor="text1"/>
          <w:sz w:val="20"/>
          <w:szCs w:val="20"/>
          <w:u w:val="none"/>
        </w:rPr>
      </w:pPr>
      <w:r>
        <w:rPr>
          <w:rStyle w:val="Hyperlink"/>
          <w:rFonts w:ascii="Arial" w:hAnsi="Arial" w:cs="Arial"/>
          <w:color w:val="000000" w:themeColor="text1"/>
          <w:sz w:val="20"/>
          <w:szCs w:val="20"/>
          <w:u w:val="none"/>
        </w:rPr>
        <w:t xml:space="preserve">O Relator também ponderou que </w:t>
      </w:r>
      <w:r w:rsidRPr="001101CF">
        <w:rPr>
          <w:rStyle w:val="Hyperlink"/>
          <w:rFonts w:ascii="Arial" w:hAnsi="Arial" w:cs="Arial"/>
          <w:i/>
          <w:color w:val="000000" w:themeColor="text1"/>
          <w:sz w:val="20"/>
          <w:szCs w:val="20"/>
          <w:u w:val="none"/>
        </w:rPr>
        <w:t>“conforme decidiu o Superior Tribunal de Justiça, o julgador não está obrigado a responder todas as questões suscitadas pelas partes quando já tenha encontrado motivo suficiente para proferir decisão”</w:t>
      </w:r>
      <w:r>
        <w:rPr>
          <w:rStyle w:val="Hyperlink"/>
          <w:rFonts w:ascii="Arial" w:hAnsi="Arial" w:cs="Arial"/>
          <w:color w:val="000000" w:themeColor="text1"/>
          <w:sz w:val="20"/>
          <w:szCs w:val="20"/>
          <w:u w:val="none"/>
        </w:rPr>
        <w:t xml:space="preserve">. </w:t>
      </w:r>
      <w:r>
        <w:rPr>
          <w:rStyle w:val="Hyperlink"/>
          <w:rFonts w:ascii="Arial" w:hAnsi="Arial" w:cs="Arial"/>
          <w:color w:val="000000" w:themeColor="text1"/>
          <w:sz w:val="20"/>
          <w:szCs w:val="20"/>
          <w:u w:val="none"/>
        </w:rPr>
        <w:t xml:space="preserve"> </w:t>
      </w:r>
      <w:r>
        <w:rPr>
          <w:rStyle w:val="Hyperlink"/>
          <w:rFonts w:ascii="Arial" w:hAnsi="Arial" w:cs="Arial"/>
          <w:color w:val="000000" w:themeColor="text1"/>
          <w:sz w:val="20"/>
          <w:szCs w:val="20"/>
          <w:u w:val="none"/>
        </w:rPr>
        <w:t xml:space="preserve">Com isso, os Embargos foram desprovidos e mantida a decisão recorrida. </w:t>
      </w:r>
    </w:p>
    <w:p w:rsidR="0079583C" w:rsidRDefault="0079583C" w:rsidP="0079583C">
      <w:pPr>
        <w:spacing w:after="0"/>
        <w:jc w:val="both"/>
        <w:rPr>
          <w:rStyle w:val="Hyperlink"/>
          <w:rFonts w:ascii="Arial" w:hAnsi="Arial" w:cs="Arial"/>
          <w:color w:val="000000" w:themeColor="text1"/>
          <w:sz w:val="20"/>
          <w:szCs w:val="20"/>
          <w:u w:val="none"/>
        </w:rPr>
      </w:pPr>
    </w:p>
    <w:p w:rsidR="0079583C" w:rsidRDefault="0079583C" w:rsidP="0079583C">
      <w:pPr>
        <w:spacing w:after="0"/>
        <w:jc w:val="both"/>
        <w:rPr>
          <w:rStyle w:val="Hyperlink"/>
          <w:rFonts w:ascii="Arial" w:hAnsi="Arial" w:cs="Arial"/>
          <w:color w:val="000000" w:themeColor="text1"/>
          <w:sz w:val="20"/>
          <w:szCs w:val="20"/>
          <w:u w:val="none"/>
        </w:rPr>
      </w:pPr>
      <w:r>
        <w:rPr>
          <w:rStyle w:val="Hyperlink"/>
          <w:rFonts w:ascii="Arial" w:hAnsi="Arial" w:cs="Arial"/>
          <w:color w:val="000000" w:themeColor="text1"/>
          <w:sz w:val="20"/>
          <w:szCs w:val="20"/>
          <w:u w:val="none"/>
        </w:rPr>
        <w:t xml:space="preserve">Processo nº 31828/18 </w:t>
      </w:r>
      <w:r>
        <w:rPr>
          <w:rStyle w:val="Hyperlink"/>
          <w:rFonts w:ascii="Arial" w:hAnsi="Arial" w:cs="Arial"/>
          <w:color w:val="000000" w:themeColor="text1"/>
          <w:sz w:val="20"/>
          <w:szCs w:val="20"/>
          <w:u w:val="none"/>
        </w:rPr>
        <w:t>-</w:t>
      </w:r>
      <w:r>
        <w:rPr>
          <w:rStyle w:val="Hyperlink"/>
          <w:rFonts w:ascii="Arial" w:hAnsi="Arial" w:cs="Arial"/>
          <w:color w:val="000000" w:themeColor="text1"/>
          <w:sz w:val="20"/>
          <w:szCs w:val="20"/>
          <w:u w:val="none"/>
        </w:rPr>
        <w:t xml:space="preserve"> </w:t>
      </w:r>
      <w:hyperlink r:id="rId19" w:history="1">
        <w:r w:rsidRPr="00E231ED">
          <w:rPr>
            <w:rStyle w:val="Hyperlink"/>
            <w:rFonts w:ascii="Arial" w:hAnsi="Arial" w:cs="Arial"/>
            <w:sz w:val="20"/>
            <w:szCs w:val="20"/>
          </w:rPr>
          <w:t>Acórdão nº 1010/18</w:t>
        </w:r>
        <w:r w:rsidR="006D20B7">
          <w:rPr>
            <w:rStyle w:val="Hyperlink"/>
            <w:rFonts w:ascii="Arial" w:hAnsi="Arial" w:cs="Arial"/>
            <w:sz w:val="20"/>
            <w:szCs w:val="20"/>
          </w:rPr>
          <w:t xml:space="preserve"> </w:t>
        </w:r>
        <w:r w:rsidRPr="00E231ED">
          <w:rPr>
            <w:rStyle w:val="Hyperlink"/>
            <w:rFonts w:ascii="Arial" w:hAnsi="Arial" w:cs="Arial"/>
            <w:sz w:val="20"/>
            <w:szCs w:val="20"/>
          </w:rPr>
          <w:t>-</w:t>
        </w:r>
        <w:r w:rsidR="006D20B7">
          <w:rPr>
            <w:rStyle w:val="Hyperlink"/>
            <w:rFonts w:ascii="Arial" w:hAnsi="Arial" w:cs="Arial"/>
            <w:sz w:val="20"/>
            <w:szCs w:val="20"/>
          </w:rPr>
          <w:t xml:space="preserve"> </w:t>
        </w:r>
        <w:r w:rsidRPr="00E231ED">
          <w:rPr>
            <w:rStyle w:val="Hyperlink"/>
            <w:rFonts w:ascii="Arial" w:hAnsi="Arial" w:cs="Arial"/>
            <w:sz w:val="20"/>
            <w:szCs w:val="20"/>
          </w:rPr>
          <w:t>T</w:t>
        </w:r>
        <w:r>
          <w:rPr>
            <w:rStyle w:val="Hyperlink"/>
            <w:rFonts w:ascii="Arial" w:hAnsi="Arial" w:cs="Arial"/>
            <w:sz w:val="20"/>
            <w:szCs w:val="20"/>
          </w:rPr>
          <w:t>ribunal Pleno</w:t>
        </w:r>
      </w:hyperlink>
      <w:r>
        <w:rPr>
          <w:rStyle w:val="Hyperlink"/>
          <w:rFonts w:ascii="Arial" w:hAnsi="Arial" w:cs="Arial"/>
          <w:color w:val="000000" w:themeColor="text1"/>
          <w:sz w:val="20"/>
          <w:szCs w:val="20"/>
          <w:u w:val="none"/>
        </w:rPr>
        <w:t xml:space="preserve"> </w:t>
      </w:r>
      <w:r>
        <w:rPr>
          <w:rStyle w:val="Hyperlink"/>
          <w:rFonts w:ascii="Arial" w:hAnsi="Arial" w:cs="Arial"/>
          <w:color w:val="000000" w:themeColor="text1"/>
          <w:sz w:val="20"/>
          <w:szCs w:val="20"/>
          <w:u w:val="none"/>
        </w:rPr>
        <w:t>-</w:t>
      </w:r>
      <w:r>
        <w:rPr>
          <w:rStyle w:val="Hyperlink"/>
          <w:rFonts w:ascii="Arial" w:hAnsi="Arial" w:cs="Arial"/>
          <w:color w:val="000000" w:themeColor="text1"/>
          <w:sz w:val="20"/>
          <w:szCs w:val="20"/>
          <w:u w:val="none"/>
        </w:rPr>
        <w:t xml:space="preserve"> Relator Conselheiro </w:t>
      </w:r>
      <w:proofErr w:type="spellStart"/>
      <w:r>
        <w:rPr>
          <w:rStyle w:val="Hyperlink"/>
          <w:rFonts w:ascii="Arial" w:hAnsi="Arial" w:cs="Arial"/>
          <w:color w:val="000000" w:themeColor="text1"/>
          <w:sz w:val="20"/>
          <w:szCs w:val="20"/>
          <w:u w:val="none"/>
        </w:rPr>
        <w:t>Artagão</w:t>
      </w:r>
      <w:proofErr w:type="spellEnd"/>
      <w:r>
        <w:rPr>
          <w:rStyle w:val="Hyperlink"/>
          <w:rFonts w:ascii="Arial" w:hAnsi="Arial" w:cs="Arial"/>
          <w:color w:val="000000" w:themeColor="text1"/>
          <w:sz w:val="20"/>
          <w:szCs w:val="20"/>
          <w:u w:val="none"/>
        </w:rPr>
        <w:t xml:space="preserve"> de Mattos Leão. </w:t>
      </w:r>
    </w:p>
    <w:p w:rsidR="0079583C" w:rsidRDefault="0079583C" w:rsidP="0079583C">
      <w:pPr>
        <w:spacing w:after="0"/>
        <w:jc w:val="both"/>
        <w:rPr>
          <w:rStyle w:val="Hyperlink"/>
          <w:rFonts w:ascii="Arial" w:hAnsi="Arial" w:cs="Arial"/>
          <w:color w:val="000000" w:themeColor="text1"/>
          <w:sz w:val="20"/>
          <w:szCs w:val="20"/>
          <w:u w:val="none"/>
        </w:rPr>
      </w:pPr>
    </w:p>
    <w:p w:rsidR="0079583C" w:rsidRPr="000465DA" w:rsidRDefault="006F7BB1" w:rsidP="0079583C">
      <w:pPr>
        <w:spacing w:after="0"/>
        <w:jc w:val="both"/>
        <w:rPr>
          <w:rStyle w:val="Hyperlink"/>
          <w:rFonts w:ascii="Arial" w:hAnsi="Arial" w:cs="Arial"/>
          <w:b/>
          <w:color w:val="000000" w:themeColor="text1"/>
          <w:sz w:val="20"/>
          <w:szCs w:val="20"/>
          <w:u w:val="none"/>
        </w:rPr>
      </w:pPr>
      <w:r>
        <w:rPr>
          <w:rStyle w:val="Hyperlink"/>
          <w:rFonts w:ascii="Arial" w:hAnsi="Arial" w:cs="Arial"/>
          <w:b/>
          <w:color w:val="000000" w:themeColor="text1"/>
          <w:sz w:val="20"/>
          <w:szCs w:val="20"/>
          <w:u w:val="none"/>
        </w:rPr>
        <w:t xml:space="preserve">13. </w:t>
      </w:r>
      <w:r w:rsidR="0079583C" w:rsidRPr="000465DA">
        <w:rPr>
          <w:rStyle w:val="Hyperlink"/>
          <w:rFonts w:ascii="Arial" w:hAnsi="Arial" w:cs="Arial"/>
          <w:b/>
          <w:color w:val="000000" w:themeColor="text1"/>
          <w:sz w:val="20"/>
          <w:szCs w:val="20"/>
          <w:u w:val="none"/>
        </w:rPr>
        <w:t xml:space="preserve">Recurso de Revisão.  Terceirização de serviços considerada irregular em sede de Recurso de Revista. Decisão deste TCE que converge com decisão do STF. Ausência de divergência jurisprudencial. </w:t>
      </w:r>
      <w:r w:rsidR="00412BBD">
        <w:rPr>
          <w:rStyle w:val="Hyperlink"/>
          <w:rFonts w:ascii="Arial" w:hAnsi="Arial" w:cs="Arial"/>
          <w:b/>
          <w:color w:val="000000" w:themeColor="text1"/>
          <w:sz w:val="20"/>
          <w:szCs w:val="20"/>
          <w:u w:val="none"/>
        </w:rPr>
        <w:t xml:space="preserve">Não </w:t>
      </w:r>
      <w:r w:rsidR="0079583C" w:rsidRPr="000465DA">
        <w:rPr>
          <w:rStyle w:val="Hyperlink"/>
          <w:rFonts w:ascii="Arial" w:hAnsi="Arial" w:cs="Arial"/>
          <w:b/>
          <w:color w:val="000000" w:themeColor="text1"/>
          <w:sz w:val="20"/>
          <w:szCs w:val="20"/>
          <w:u w:val="none"/>
        </w:rPr>
        <w:t>provimento</w:t>
      </w:r>
      <w:r w:rsidR="00412BBD">
        <w:rPr>
          <w:rStyle w:val="Hyperlink"/>
          <w:rFonts w:ascii="Arial" w:hAnsi="Arial" w:cs="Arial"/>
          <w:b/>
          <w:color w:val="000000" w:themeColor="text1"/>
          <w:sz w:val="20"/>
          <w:szCs w:val="20"/>
          <w:u w:val="none"/>
        </w:rPr>
        <w:t xml:space="preserve">. </w:t>
      </w:r>
      <w:r w:rsidR="0079583C" w:rsidRPr="000465DA">
        <w:rPr>
          <w:rStyle w:val="Hyperlink"/>
          <w:rFonts w:ascii="Arial" w:hAnsi="Arial" w:cs="Arial"/>
          <w:b/>
          <w:color w:val="000000" w:themeColor="text1"/>
          <w:sz w:val="20"/>
          <w:szCs w:val="20"/>
          <w:u w:val="none"/>
        </w:rPr>
        <w:t xml:space="preserve"> </w:t>
      </w:r>
    </w:p>
    <w:p w:rsidR="0079583C" w:rsidRPr="000465DA" w:rsidRDefault="0079583C" w:rsidP="0079583C">
      <w:pPr>
        <w:spacing w:after="0"/>
        <w:jc w:val="both"/>
        <w:rPr>
          <w:rStyle w:val="Hyperlink"/>
          <w:rFonts w:ascii="Arial" w:hAnsi="Arial" w:cs="Arial"/>
          <w:b/>
          <w:color w:val="000000" w:themeColor="text1"/>
          <w:sz w:val="20"/>
          <w:szCs w:val="20"/>
          <w:u w:val="none"/>
        </w:rPr>
      </w:pPr>
    </w:p>
    <w:p w:rsidR="001101CF" w:rsidRDefault="0079583C" w:rsidP="0079583C">
      <w:pPr>
        <w:spacing w:after="0"/>
        <w:jc w:val="both"/>
        <w:rPr>
          <w:rStyle w:val="Hyperlink"/>
          <w:rFonts w:ascii="Arial" w:hAnsi="Arial" w:cs="Arial"/>
          <w:color w:val="000000" w:themeColor="text1"/>
          <w:sz w:val="20"/>
          <w:szCs w:val="20"/>
          <w:u w:val="none"/>
        </w:rPr>
      </w:pPr>
      <w:r>
        <w:rPr>
          <w:rStyle w:val="Hyperlink"/>
          <w:rFonts w:ascii="Arial" w:hAnsi="Arial" w:cs="Arial"/>
          <w:color w:val="000000" w:themeColor="text1"/>
          <w:sz w:val="20"/>
          <w:szCs w:val="20"/>
          <w:u w:val="none"/>
        </w:rPr>
        <w:t xml:space="preserve">Decisão em Tomada de Contas Extraordinária, posteriormente confirmada em Recurso de Revista, considerou irregular o repasse de valores por município à entidade privada sem fins lucrativos, determinando o ressarcimento do montante aos cofres públicos. O gestor condenado apresentou então Recurso de Revisão, sob o argumento de que a decisão condenatória seria divergente do entendimento do STF. </w:t>
      </w:r>
    </w:p>
    <w:p w:rsidR="0079583C" w:rsidRDefault="0079583C" w:rsidP="0079583C">
      <w:pPr>
        <w:spacing w:after="0"/>
        <w:jc w:val="both"/>
        <w:rPr>
          <w:rStyle w:val="Hyperlink"/>
          <w:rFonts w:ascii="Arial" w:hAnsi="Arial" w:cs="Arial"/>
          <w:color w:val="000000" w:themeColor="text1"/>
          <w:sz w:val="20"/>
          <w:szCs w:val="20"/>
          <w:u w:val="none"/>
        </w:rPr>
      </w:pPr>
      <w:r>
        <w:rPr>
          <w:rStyle w:val="Hyperlink"/>
          <w:rFonts w:ascii="Arial" w:hAnsi="Arial" w:cs="Arial"/>
          <w:color w:val="000000" w:themeColor="text1"/>
          <w:sz w:val="20"/>
          <w:szCs w:val="20"/>
          <w:u w:val="none"/>
        </w:rPr>
        <w:t xml:space="preserve"> </w:t>
      </w:r>
    </w:p>
    <w:p w:rsidR="0079583C" w:rsidRDefault="0079583C" w:rsidP="0079583C">
      <w:pPr>
        <w:spacing w:after="0"/>
        <w:jc w:val="both"/>
        <w:rPr>
          <w:rStyle w:val="Hyperlink"/>
          <w:rFonts w:ascii="Arial" w:hAnsi="Arial" w:cs="Arial"/>
          <w:color w:val="000000" w:themeColor="text1"/>
          <w:sz w:val="20"/>
          <w:szCs w:val="20"/>
          <w:u w:val="none"/>
        </w:rPr>
      </w:pPr>
      <w:r>
        <w:rPr>
          <w:rStyle w:val="Hyperlink"/>
          <w:rFonts w:ascii="Arial" w:hAnsi="Arial" w:cs="Arial"/>
          <w:color w:val="000000" w:themeColor="text1"/>
          <w:sz w:val="20"/>
          <w:szCs w:val="20"/>
          <w:u w:val="none"/>
        </w:rPr>
        <w:t xml:space="preserve">Segundo ele, na Ação Direta de Inconstitucionalidade nº 1923, o Supremo Tribunal Federal concluiu que é possível o Estado instituir formas de fomento à iniciativa privada para a prestação </w:t>
      </w:r>
      <w:r>
        <w:rPr>
          <w:rStyle w:val="Hyperlink"/>
          <w:rFonts w:ascii="Arial" w:hAnsi="Arial" w:cs="Arial"/>
          <w:color w:val="000000" w:themeColor="text1"/>
          <w:sz w:val="20"/>
          <w:szCs w:val="20"/>
          <w:u w:val="none"/>
        </w:rPr>
        <w:lastRenderedPageBreak/>
        <w:t xml:space="preserve">de serviços não exclusivos, cabendo aos agentes eleitos a definição de qual modelo de intervenção, direta ou indireta, seria mais eficaz ao atingimento das metas coletivas. </w:t>
      </w:r>
    </w:p>
    <w:p w:rsidR="001101CF" w:rsidRDefault="001101CF" w:rsidP="0079583C">
      <w:pPr>
        <w:spacing w:after="0"/>
        <w:jc w:val="both"/>
        <w:rPr>
          <w:rStyle w:val="Hyperlink"/>
          <w:rFonts w:ascii="Arial" w:hAnsi="Arial" w:cs="Arial"/>
          <w:color w:val="000000" w:themeColor="text1"/>
          <w:sz w:val="20"/>
          <w:szCs w:val="20"/>
          <w:u w:val="none"/>
        </w:rPr>
      </w:pPr>
    </w:p>
    <w:p w:rsidR="0079583C" w:rsidRDefault="0079583C" w:rsidP="0079583C">
      <w:pPr>
        <w:spacing w:after="0"/>
        <w:jc w:val="both"/>
        <w:rPr>
          <w:rStyle w:val="Hyperlink"/>
          <w:rFonts w:ascii="Arial" w:hAnsi="Arial" w:cs="Arial"/>
          <w:color w:val="000000" w:themeColor="text1"/>
          <w:sz w:val="20"/>
          <w:szCs w:val="20"/>
          <w:u w:val="none"/>
        </w:rPr>
      </w:pPr>
      <w:r>
        <w:rPr>
          <w:rStyle w:val="Hyperlink"/>
          <w:rFonts w:ascii="Arial" w:hAnsi="Arial" w:cs="Arial"/>
          <w:color w:val="000000" w:themeColor="text1"/>
          <w:sz w:val="20"/>
          <w:szCs w:val="20"/>
          <w:u w:val="none"/>
        </w:rPr>
        <w:t>A Unidade Técnica pontuou, contudo, que o julgado do STF permite a terceirização lícita, aquela em que a entidade privada atua como parceira e de forma complementar ao poder público, diversamente do presente caso, em que a OSCIP assumiu papel de empresa intermediária de mão de obra.</w:t>
      </w:r>
    </w:p>
    <w:p w:rsidR="001101CF" w:rsidRDefault="001101CF" w:rsidP="0079583C">
      <w:pPr>
        <w:spacing w:after="0"/>
        <w:jc w:val="both"/>
        <w:rPr>
          <w:rStyle w:val="Hyperlink"/>
          <w:rFonts w:ascii="Arial" w:hAnsi="Arial" w:cs="Arial"/>
          <w:color w:val="000000" w:themeColor="text1"/>
          <w:sz w:val="20"/>
          <w:szCs w:val="20"/>
          <w:u w:val="none"/>
        </w:rPr>
      </w:pPr>
    </w:p>
    <w:p w:rsidR="0079583C" w:rsidRDefault="0079583C" w:rsidP="0079583C">
      <w:pPr>
        <w:spacing w:after="0"/>
        <w:jc w:val="both"/>
        <w:rPr>
          <w:rStyle w:val="Hyperlink"/>
          <w:rFonts w:ascii="Arial" w:hAnsi="Arial" w:cs="Arial"/>
          <w:color w:val="000000" w:themeColor="text1"/>
          <w:sz w:val="20"/>
          <w:szCs w:val="20"/>
          <w:u w:val="none"/>
        </w:rPr>
      </w:pPr>
      <w:r>
        <w:rPr>
          <w:rStyle w:val="Hyperlink"/>
          <w:rFonts w:ascii="Arial" w:hAnsi="Arial" w:cs="Arial"/>
          <w:color w:val="000000" w:themeColor="text1"/>
          <w:sz w:val="20"/>
          <w:szCs w:val="20"/>
          <w:u w:val="none"/>
        </w:rPr>
        <w:t xml:space="preserve">Nesta toada, o Relator corrobora o opinativo. Afirma que inexiste a divergência jurisprudencial apontada, considerando que esta Corte de Contas converge seu entendimento com o exarado pelo STF, pela possibilidade da terceirização lícita dos serviços públicos em que a parceria firmada tem por finalidade complementar atividades que interessam ao poder público. Diz ele: </w:t>
      </w:r>
      <w:r w:rsidRPr="002F156C">
        <w:rPr>
          <w:rStyle w:val="Hyperlink"/>
          <w:rFonts w:ascii="Arial" w:hAnsi="Arial" w:cs="Arial"/>
          <w:i/>
          <w:color w:val="000000" w:themeColor="text1"/>
          <w:sz w:val="20"/>
          <w:szCs w:val="20"/>
          <w:u w:val="none"/>
        </w:rPr>
        <w:t xml:space="preserve">“ A ilicitude, neste caso, refere-se à formalização de termo de parceria tão somente como forma de burla à regra do concurso público, para contratação de mão de obra irregular”. </w:t>
      </w:r>
      <w:r>
        <w:rPr>
          <w:rStyle w:val="Hyperlink"/>
          <w:rFonts w:ascii="Arial" w:hAnsi="Arial" w:cs="Arial"/>
          <w:color w:val="000000" w:themeColor="text1"/>
          <w:sz w:val="20"/>
          <w:szCs w:val="20"/>
          <w:u w:val="none"/>
        </w:rPr>
        <w:t xml:space="preserve">O julgado foi pelo não provimento do Recurso de Revisão, mantendo integralmente a decisão recorrida. </w:t>
      </w:r>
    </w:p>
    <w:p w:rsidR="0079583C" w:rsidRDefault="0079583C" w:rsidP="0079583C">
      <w:pPr>
        <w:spacing w:after="0"/>
        <w:jc w:val="both"/>
        <w:rPr>
          <w:rStyle w:val="Hyperlink"/>
          <w:rFonts w:ascii="Arial" w:hAnsi="Arial" w:cs="Arial"/>
          <w:color w:val="000000" w:themeColor="text1"/>
          <w:sz w:val="20"/>
          <w:szCs w:val="20"/>
          <w:u w:val="none"/>
        </w:rPr>
      </w:pPr>
    </w:p>
    <w:p w:rsidR="0079583C" w:rsidRDefault="0079583C" w:rsidP="0079583C">
      <w:pPr>
        <w:spacing w:after="0"/>
        <w:jc w:val="both"/>
        <w:rPr>
          <w:rStyle w:val="Hyperlink"/>
          <w:rFonts w:ascii="Arial" w:hAnsi="Arial" w:cs="Arial"/>
          <w:color w:val="000000" w:themeColor="text1"/>
          <w:sz w:val="20"/>
          <w:szCs w:val="20"/>
          <w:u w:val="none"/>
        </w:rPr>
      </w:pPr>
      <w:r>
        <w:rPr>
          <w:rStyle w:val="Hyperlink"/>
          <w:rFonts w:ascii="Arial" w:hAnsi="Arial" w:cs="Arial"/>
          <w:color w:val="000000" w:themeColor="text1"/>
          <w:sz w:val="20"/>
          <w:szCs w:val="20"/>
          <w:u w:val="none"/>
        </w:rPr>
        <w:t xml:space="preserve">Processo nº 636728/17 </w:t>
      </w:r>
      <w:r w:rsidR="001101CF">
        <w:rPr>
          <w:rStyle w:val="Hyperlink"/>
          <w:rFonts w:ascii="Arial" w:hAnsi="Arial" w:cs="Arial"/>
          <w:color w:val="000000" w:themeColor="text1"/>
          <w:sz w:val="20"/>
          <w:szCs w:val="20"/>
          <w:u w:val="none"/>
        </w:rPr>
        <w:t>-</w:t>
      </w:r>
      <w:r>
        <w:rPr>
          <w:rStyle w:val="Hyperlink"/>
          <w:rFonts w:ascii="Arial" w:hAnsi="Arial" w:cs="Arial"/>
          <w:color w:val="000000" w:themeColor="text1"/>
          <w:sz w:val="20"/>
          <w:szCs w:val="20"/>
          <w:u w:val="none"/>
        </w:rPr>
        <w:t xml:space="preserve"> </w:t>
      </w:r>
      <w:hyperlink r:id="rId20" w:history="1">
        <w:r w:rsidRPr="000465DA">
          <w:rPr>
            <w:rStyle w:val="Hyperlink"/>
            <w:rFonts w:ascii="Arial" w:hAnsi="Arial" w:cs="Arial"/>
            <w:sz w:val="20"/>
            <w:szCs w:val="20"/>
          </w:rPr>
          <w:t>Acórdão nº 1009/18</w:t>
        </w:r>
        <w:r w:rsidR="001101CF">
          <w:rPr>
            <w:rStyle w:val="Hyperlink"/>
            <w:rFonts w:ascii="Arial" w:hAnsi="Arial" w:cs="Arial"/>
            <w:sz w:val="20"/>
            <w:szCs w:val="20"/>
          </w:rPr>
          <w:t xml:space="preserve"> </w:t>
        </w:r>
        <w:r w:rsidRPr="000465DA">
          <w:rPr>
            <w:rStyle w:val="Hyperlink"/>
            <w:rFonts w:ascii="Arial" w:hAnsi="Arial" w:cs="Arial"/>
            <w:sz w:val="20"/>
            <w:szCs w:val="20"/>
          </w:rPr>
          <w:t>-Tribunal Pleno</w:t>
        </w:r>
      </w:hyperlink>
      <w:r>
        <w:rPr>
          <w:rStyle w:val="Hyperlink"/>
          <w:rFonts w:ascii="Arial" w:hAnsi="Arial" w:cs="Arial"/>
          <w:color w:val="000000" w:themeColor="text1"/>
          <w:sz w:val="20"/>
          <w:szCs w:val="20"/>
          <w:u w:val="none"/>
        </w:rPr>
        <w:t xml:space="preserve"> </w:t>
      </w:r>
      <w:r w:rsidR="001101CF">
        <w:rPr>
          <w:rStyle w:val="Hyperlink"/>
          <w:rFonts w:ascii="Arial" w:hAnsi="Arial" w:cs="Arial"/>
          <w:color w:val="000000" w:themeColor="text1"/>
          <w:sz w:val="20"/>
          <w:szCs w:val="20"/>
          <w:u w:val="none"/>
        </w:rPr>
        <w:t>-</w:t>
      </w:r>
      <w:r>
        <w:rPr>
          <w:rStyle w:val="Hyperlink"/>
          <w:rFonts w:ascii="Arial" w:hAnsi="Arial" w:cs="Arial"/>
          <w:color w:val="000000" w:themeColor="text1"/>
          <w:sz w:val="20"/>
          <w:szCs w:val="20"/>
          <w:u w:val="none"/>
        </w:rPr>
        <w:t xml:space="preserve"> Relator Conselheiro </w:t>
      </w:r>
      <w:proofErr w:type="spellStart"/>
      <w:r>
        <w:rPr>
          <w:rStyle w:val="Hyperlink"/>
          <w:rFonts w:ascii="Arial" w:hAnsi="Arial" w:cs="Arial"/>
          <w:color w:val="000000" w:themeColor="text1"/>
          <w:sz w:val="20"/>
          <w:szCs w:val="20"/>
          <w:u w:val="none"/>
        </w:rPr>
        <w:t>Artagão</w:t>
      </w:r>
      <w:proofErr w:type="spellEnd"/>
      <w:r>
        <w:rPr>
          <w:rStyle w:val="Hyperlink"/>
          <w:rFonts w:ascii="Arial" w:hAnsi="Arial" w:cs="Arial"/>
          <w:color w:val="000000" w:themeColor="text1"/>
          <w:sz w:val="20"/>
          <w:szCs w:val="20"/>
          <w:u w:val="none"/>
        </w:rPr>
        <w:t xml:space="preserve"> de Mattos Leão. </w:t>
      </w:r>
    </w:p>
    <w:p w:rsidR="0079583C" w:rsidRDefault="0079583C" w:rsidP="0079583C">
      <w:pPr>
        <w:spacing w:after="0"/>
        <w:jc w:val="both"/>
        <w:rPr>
          <w:rStyle w:val="Hyperlink"/>
          <w:rFonts w:ascii="Arial" w:hAnsi="Arial" w:cs="Arial"/>
          <w:b/>
          <w:color w:val="000000" w:themeColor="text1"/>
          <w:sz w:val="20"/>
          <w:szCs w:val="20"/>
          <w:u w:val="none"/>
        </w:rPr>
      </w:pPr>
    </w:p>
    <w:p w:rsidR="0079583C" w:rsidRDefault="006F7BB1" w:rsidP="0079583C">
      <w:pPr>
        <w:spacing w:after="0"/>
        <w:jc w:val="both"/>
        <w:rPr>
          <w:rStyle w:val="Hyperlink"/>
          <w:rFonts w:ascii="Arial" w:hAnsi="Arial" w:cs="Arial"/>
          <w:b/>
          <w:color w:val="000000" w:themeColor="text1"/>
          <w:sz w:val="20"/>
          <w:szCs w:val="20"/>
          <w:u w:val="none"/>
        </w:rPr>
      </w:pPr>
      <w:r>
        <w:rPr>
          <w:rStyle w:val="Hyperlink"/>
          <w:rFonts w:ascii="Arial" w:hAnsi="Arial" w:cs="Arial"/>
          <w:b/>
          <w:color w:val="000000" w:themeColor="text1"/>
          <w:sz w:val="20"/>
          <w:szCs w:val="20"/>
          <w:u w:val="none"/>
        </w:rPr>
        <w:t xml:space="preserve">14. </w:t>
      </w:r>
      <w:r w:rsidR="0079583C" w:rsidRPr="000465DA">
        <w:rPr>
          <w:rStyle w:val="Hyperlink"/>
          <w:rFonts w:ascii="Arial" w:hAnsi="Arial" w:cs="Arial"/>
          <w:b/>
          <w:color w:val="000000" w:themeColor="text1"/>
          <w:sz w:val="20"/>
          <w:szCs w:val="20"/>
          <w:u w:val="none"/>
        </w:rPr>
        <w:t>Recurso de Revista. Multa administrativa imposta ao representante legal de consórcio intermunicipal por atraso na remessa de documentação a este TCE. Presunção de lesividade à ordem legal configurada.</w:t>
      </w:r>
      <w:r w:rsidR="00BC6B5E">
        <w:rPr>
          <w:rStyle w:val="Hyperlink"/>
          <w:rFonts w:ascii="Arial" w:hAnsi="Arial" w:cs="Arial"/>
          <w:b/>
          <w:color w:val="000000" w:themeColor="text1"/>
          <w:sz w:val="20"/>
          <w:szCs w:val="20"/>
          <w:u w:val="none"/>
        </w:rPr>
        <w:t xml:space="preserve"> M</w:t>
      </w:r>
      <w:r w:rsidR="0079583C" w:rsidRPr="000465DA">
        <w:rPr>
          <w:rStyle w:val="Hyperlink"/>
          <w:rFonts w:ascii="Arial" w:hAnsi="Arial" w:cs="Arial"/>
          <w:b/>
          <w:color w:val="000000" w:themeColor="text1"/>
          <w:sz w:val="20"/>
          <w:szCs w:val="20"/>
          <w:u w:val="none"/>
        </w:rPr>
        <w:t>anutenção da decisão</w:t>
      </w:r>
      <w:r w:rsidR="00BC6B5E">
        <w:rPr>
          <w:rStyle w:val="Hyperlink"/>
          <w:rFonts w:ascii="Arial" w:hAnsi="Arial" w:cs="Arial"/>
          <w:b/>
          <w:color w:val="000000" w:themeColor="text1"/>
          <w:sz w:val="20"/>
          <w:szCs w:val="20"/>
          <w:u w:val="none"/>
        </w:rPr>
        <w:t>.</w:t>
      </w:r>
      <w:r w:rsidR="0079583C" w:rsidRPr="000465DA">
        <w:rPr>
          <w:rStyle w:val="Hyperlink"/>
          <w:rFonts w:ascii="Arial" w:hAnsi="Arial" w:cs="Arial"/>
          <w:b/>
          <w:color w:val="000000" w:themeColor="text1"/>
          <w:sz w:val="20"/>
          <w:szCs w:val="20"/>
          <w:u w:val="none"/>
        </w:rPr>
        <w:t xml:space="preserve"> </w:t>
      </w:r>
    </w:p>
    <w:p w:rsidR="00BC6B5E" w:rsidRPr="000465DA" w:rsidRDefault="00BC6B5E" w:rsidP="0079583C">
      <w:pPr>
        <w:spacing w:after="0"/>
        <w:jc w:val="both"/>
        <w:rPr>
          <w:rStyle w:val="Hyperlink"/>
          <w:rFonts w:ascii="Arial" w:hAnsi="Arial" w:cs="Arial"/>
          <w:b/>
          <w:color w:val="000000" w:themeColor="text1"/>
          <w:sz w:val="20"/>
          <w:szCs w:val="20"/>
          <w:u w:val="none"/>
        </w:rPr>
      </w:pPr>
    </w:p>
    <w:p w:rsidR="0079583C" w:rsidRDefault="0079583C" w:rsidP="0079583C">
      <w:pPr>
        <w:spacing w:after="0"/>
        <w:jc w:val="both"/>
        <w:rPr>
          <w:rStyle w:val="Hyperlink"/>
          <w:rFonts w:ascii="Arial" w:hAnsi="Arial" w:cs="Arial"/>
          <w:color w:val="000000" w:themeColor="text1"/>
          <w:sz w:val="20"/>
          <w:szCs w:val="20"/>
          <w:u w:val="none"/>
        </w:rPr>
      </w:pPr>
      <w:r>
        <w:rPr>
          <w:rStyle w:val="Hyperlink"/>
          <w:rFonts w:ascii="Arial" w:hAnsi="Arial" w:cs="Arial"/>
          <w:color w:val="000000" w:themeColor="text1"/>
          <w:sz w:val="20"/>
          <w:szCs w:val="20"/>
          <w:u w:val="none"/>
        </w:rPr>
        <w:t xml:space="preserve">O Recorrente, presidente de consórcio intermunicipal insurgiu-se contra a aplicação contra si, de multa administrativa pelo atraso de 33 dias na remessa ao Tribunal de Contas da prestação de contas anual da entidade. Em sua visão, a responsabilidade caberia ao contador e aos membros do conselho fiscal do consórcio. </w:t>
      </w:r>
    </w:p>
    <w:p w:rsidR="001D4782" w:rsidRDefault="001D4782" w:rsidP="0079583C">
      <w:pPr>
        <w:spacing w:after="0"/>
        <w:jc w:val="both"/>
        <w:rPr>
          <w:rStyle w:val="Hyperlink"/>
          <w:rFonts w:ascii="Arial" w:hAnsi="Arial" w:cs="Arial"/>
          <w:color w:val="000000" w:themeColor="text1"/>
          <w:sz w:val="20"/>
          <w:szCs w:val="20"/>
          <w:u w:val="none"/>
        </w:rPr>
      </w:pPr>
    </w:p>
    <w:p w:rsidR="0079583C" w:rsidRDefault="0079583C" w:rsidP="0079583C">
      <w:pPr>
        <w:spacing w:after="0"/>
        <w:jc w:val="both"/>
        <w:rPr>
          <w:rStyle w:val="Hyperlink"/>
          <w:rFonts w:ascii="Arial" w:hAnsi="Arial" w:cs="Arial"/>
          <w:color w:val="000000" w:themeColor="text1"/>
          <w:sz w:val="20"/>
          <w:szCs w:val="20"/>
          <w:u w:val="none"/>
        </w:rPr>
      </w:pPr>
      <w:r>
        <w:rPr>
          <w:rStyle w:val="Hyperlink"/>
          <w:rFonts w:ascii="Arial" w:hAnsi="Arial" w:cs="Arial"/>
          <w:color w:val="000000" w:themeColor="text1"/>
          <w:sz w:val="20"/>
          <w:szCs w:val="20"/>
          <w:u w:val="none"/>
        </w:rPr>
        <w:t>A decisão deixa claro que embora não haja subordinação entre os entes consorciados, os consórcios públicos têm personalidade jurídica própria. Sendo assim, o presidente da entidade em dado período, é o representante legal do consórcio, sendo sua a responsabilidade pela correta e tempestiva prestação de contas, conforme disciplinado no art. 12, c/</w:t>
      </w:r>
      <w:proofErr w:type="gramStart"/>
      <w:r>
        <w:rPr>
          <w:rStyle w:val="Hyperlink"/>
          <w:rFonts w:ascii="Arial" w:hAnsi="Arial" w:cs="Arial"/>
          <w:color w:val="000000" w:themeColor="text1"/>
          <w:sz w:val="20"/>
          <w:szCs w:val="20"/>
          <w:u w:val="none"/>
        </w:rPr>
        <w:t>c</w:t>
      </w:r>
      <w:proofErr w:type="gramEnd"/>
      <w:r>
        <w:rPr>
          <w:rStyle w:val="Hyperlink"/>
          <w:rFonts w:ascii="Arial" w:hAnsi="Arial" w:cs="Arial"/>
          <w:color w:val="000000" w:themeColor="text1"/>
          <w:sz w:val="20"/>
          <w:szCs w:val="20"/>
          <w:u w:val="none"/>
        </w:rPr>
        <w:t xml:space="preserve"> art. 3º, da LC nº 113/2005. </w:t>
      </w:r>
    </w:p>
    <w:p w:rsidR="0079583C" w:rsidRDefault="0079583C" w:rsidP="0079583C">
      <w:pPr>
        <w:spacing w:after="0"/>
        <w:jc w:val="both"/>
        <w:rPr>
          <w:rStyle w:val="Hyperlink"/>
          <w:rFonts w:ascii="Arial" w:hAnsi="Arial" w:cs="Arial"/>
          <w:color w:val="000000" w:themeColor="text1"/>
          <w:sz w:val="20"/>
          <w:szCs w:val="20"/>
          <w:u w:val="none"/>
        </w:rPr>
      </w:pPr>
    </w:p>
    <w:p w:rsidR="0079583C" w:rsidRDefault="0079583C" w:rsidP="0079583C">
      <w:pPr>
        <w:spacing w:after="0"/>
        <w:jc w:val="both"/>
        <w:rPr>
          <w:rStyle w:val="Hyperlink"/>
          <w:rFonts w:ascii="Arial" w:hAnsi="Arial" w:cs="Arial"/>
          <w:color w:val="000000" w:themeColor="text1"/>
          <w:sz w:val="20"/>
          <w:szCs w:val="20"/>
          <w:u w:val="none"/>
        </w:rPr>
      </w:pPr>
      <w:r>
        <w:rPr>
          <w:rStyle w:val="Hyperlink"/>
          <w:rFonts w:ascii="Arial" w:hAnsi="Arial" w:cs="Arial"/>
          <w:color w:val="000000" w:themeColor="text1"/>
          <w:sz w:val="20"/>
          <w:szCs w:val="20"/>
          <w:u w:val="none"/>
        </w:rPr>
        <w:t>Processo nº 863640/16 -</w:t>
      </w:r>
      <w:hyperlink r:id="rId21" w:history="1">
        <w:r w:rsidRPr="001D4782">
          <w:rPr>
            <w:rStyle w:val="Hyperlink"/>
            <w:rFonts w:ascii="Arial" w:hAnsi="Arial" w:cs="Arial"/>
            <w:b/>
            <w:sz w:val="20"/>
            <w:szCs w:val="20"/>
            <w:u w:val="none"/>
          </w:rPr>
          <w:t xml:space="preserve"> </w:t>
        </w:r>
        <w:r w:rsidRPr="000465DA">
          <w:rPr>
            <w:rStyle w:val="Hyperlink"/>
            <w:rFonts w:ascii="Arial" w:hAnsi="Arial" w:cs="Arial"/>
            <w:sz w:val="20"/>
            <w:szCs w:val="20"/>
          </w:rPr>
          <w:t>Acórdão nº 1013/18</w:t>
        </w:r>
        <w:r w:rsidR="001D4782">
          <w:rPr>
            <w:rStyle w:val="Hyperlink"/>
            <w:rFonts w:ascii="Arial" w:hAnsi="Arial" w:cs="Arial"/>
            <w:sz w:val="20"/>
            <w:szCs w:val="20"/>
          </w:rPr>
          <w:t xml:space="preserve"> </w:t>
        </w:r>
        <w:r w:rsidRPr="000465DA">
          <w:rPr>
            <w:rStyle w:val="Hyperlink"/>
            <w:rFonts w:ascii="Arial" w:hAnsi="Arial" w:cs="Arial"/>
            <w:sz w:val="20"/>
            <w:szCs w:val="20"/>
          </w:rPr>
          <w:t>-Tribunal Pleno</w:t>
        </w:r>
      </w:hyperlink>
      <w:r>
        <w:rPr>
          <w:rStyle w:val="Hyperlink"/>
          <w:rFonts w:ascii="Arial" w:hAnsi="Arial" w:cs="Arial"/>
          <w:color w:val="000000" w:themeColor="text1"/>
          <w:sz w:val="20"/>
          <w:szCs w:val="20"/>
          <w:u w:val="none"/>
        </w:rPr>
        <w:t xml:space="preserve"> - Relator Conselheiro Fernando Augusto Mello Guimarães. </w:t>
      </w:r>
    </w:p>
    <w:p w:rsidR="0079583C" w:rsidRPr="007C170F" w:rsidRDefault="0079583C" w:rsidP="00476574">
      <w:pPr>
        <w:pStyle w:val="NormalWeb"/>
        <w:spacing w:before="0" w:beforeAutospacing="0" w:after="0" w:afterAutospacing="0" w:line="276" w:lineRule="auto"/>
        <w:jc w:val="both"/>
        <w:rPr>
          <w:rFonts w:ascii="Arial" w:hAnsi="Arial" w:cs="Arial"/>
          <w:color w:val="000000"/>
          <w:sz w:val="20"/>
          <w:szCs w:val="20"/>
        </w:rPr>
      </w:pPr>
    </w:p>
    <w:p w:rsidR="00E8762F" w:rsidRPr="0022060B" w:rsidRDefault="00E8762F" w:rsidP="00816942">
      <w:pPr>
        <w:autoSpaceDE w:val="0"/>
        <w:autoSpaceDN w:val="0"/>
        <w:adjustRightInd w:val="0"/>
        <w:spacing w:after="0"/>
        <w:jc w:val="both"/>
        <w:rPr>
          <w:rFonts w:ascii="Arial" w:hAnsi="Arial" w:cs="Arial"/>
          <w:sz w:val="20"/>
          <w:szCs w:val="20"/>
        </w:rPr>
      </w:pPr>
      <w:r w:rsidRPr="0022060B">
        <w:rPr>
          <w:rFonts w:ascii="Arial" w:hAnsi="Arial" w:cs="Arial"/>
          <w:sz w:val="20"/>
          <w:szCs w:val="20"/>
        </w:rPr>
        <w:t xml:space="preserve">Observações: </w:t>
      </w:r>
    </w:p>
    <w:p w:rsidR="005C4DB7" w:rsidRPr="0022060B" w:rsidRDefault="00E4415D" w:rsidP="00816942">
      <w:pPr>
        <w:spacing w:after="0"/>
        <w:rPr>
          <w:rFonts w:ascii="Arial" w:hAnsi="Arial" w:cs="Arial"/>
          <w:b/>
          <w:color w:val="000000"/>
          <w:sz w:val="20"/>
          <w:szCs w:val="20"/>
        </w:rPr>
      </w:pPr>
      <w:r w:rsidRPr="0022060B">
        <w:rPr>
          <w:rFonts w:ascii="Arial" w:hAnsi="Arial" w:cs="Arial"/>
          <w:noProof/>
          <w:sz w:val="20"/>
          <w:szCs w:val="20"/>
          <w:lang w:eastAsia="pt-BR"/>
        </w:rPr>
        <mc:AlternateContent>
          <mc:Choice Requires="wps">
            <w:drawing>
              <wp:anchor distT="0" distB="0" distL="114300" distR="114300" simplePos="0" relativeHeight="251654656" behindDoc="0" locked="0" layoutInCell="1" allowOverlap="1" wp14:anchorId="15D64EE6" wp14:editId="599D7F15">
                <wp:simplePos x="0" y="0"/>
                <wp:positionH relativeFrom="margin">
                  <wp:posOffset>-6985</wp:posOffset>
                </wp:positionH>
                <wp:positionV relativeFrom="paragraph">
                  <wp:posOffset>73660</wp:posOffset>
                </wp:positionV>
                <wp:extent cx="5499100" cy="0"/>
                <wp:effectExtent l="0" t="0" r="25400" b="57150"/>
                <wp:wrapNone/>
                <wp:docPr id="58" name="Conector reto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99100"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5B577E9F" id="Conector reto 58" o:spid="_x0000_s1026" style="position:absolute;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5pt,5.8pt" to="432.4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" strokecolor="black [3200]" strokeweight="2pt">
                <v:shadow on="t" color="black" opacity="24903f" origin=",.5" offset="0,.55556mm"/>
                <w10:wrap anchorx="margin"/>
              </v:line>
            </w:pict>
          </mc:Fallback>
        </mc:AlternateContent>
      </w:r>
    </w:p>
    <w:p w:rsidR="0026477F" w:rsidRPr="0022060B" w:rsidRDefault="0026477F" w:rsidP="00816942">
      <w:pPr>
        <w:spacing w:after="0"/>
        <w:rPr>
          <w:rFonts w:ascii="Arial" w:hAnsi="Arial" w:cs="Arial"/>
          <w:color w:val="000000"/>
          <w:sz w:val="20"/>
          <w:szCs w:val="20"/>
        </w:rPr>
      </w:pPr>
      <w:r w:rsidRPr="0022060B">
        <w:rPr>
          <w:rFonts w:ascii="Arial" w:hAnsi="Arial" w:cs="Arial"/>
          <w:color w:val="000000"/>
          <w:sz w:val="20"/>
          <w:szCs w:val="20"/>
        </w:rPr>
        <w:t>Ju</w:t>
      </w:r>
      <w:r w:rsidR="00AD528F" w:rsidRPr="0022060B">
        <w:rPr>
          <w:rFonts w:ascii="Arial" w:hAnsi="Arial" w:cs="Arial"/>
          <w:color w:val="000000"/>
          <w:sz w:val="20"/>
          <w:szCs w:val="20"/>
        </w:rPr>
        <w:t xml:space="preserve">risprudência Selecionada: </w:t>
      </w:r>
    </w:p>
    <w:p w:rsidR="000800D1" w:rsidRPr="0022060B" w:rsidRDefault="000800D1" w:rsidP="00816942">
      <w:pPr>
        <w:spacing w:after="0"/>
        <w:jc w:val="both"/>
        <w:rPr>
          <w:rFonts w:ascii="Arial" w:hAnsi="Arial" w:cs="Arial"/>
          <w:b/>
          <w:color w:val="000000"/>
          <w:sz w:val="20"/>
          <w:szCs w:val="20"/>
        </w:rPr>
      </w:pPr>
      <w:r w:rsidRPr="0022060B">
        <w:rPr>
          <w:rFonts w:ascii="Arial" w:hAnsi="Arial" w:cs="Arial"/>
          <w:b/>
          <w:color w:val="000000"/>
          <w:sz w:val="20"/>
          <w:szCs w:val="20"/>
        </w:rPr>
        <w:t>Superior Tribunal de Justiça:</w:t>
      </w:r>
    </w:p>
    <w:p w:rsidR="00CC4E55" w:rsidRDefault="00CC4E55" w:rsidP="006E12D5">
      <w:pPr>
        <w:spacing w:after="0"/>
        <w:jc w:val="both"/>
        <w:rPr>
          <w:rFonts w:ascii="Arial" w:hAnsi="Arial" w:cs="Arial"/>
          <w:b/>
          <w:color w:val="000000"/>
          <w:sz w:val="20"/>
          <w:szCs w:val="20"/>
        </w:rPr>
      </w:pPr>
    </w:p>
    <w:p w:rsidR="00B75161" w:rsidRDefault="00B75161" w:rsidP="00B75161">
      <w:pPr>
        <w:spacing w:after="0"/>
        <w:rPr>
          <w:rFonts w:ascii="Arial" w:eastAsia="Times New Roman" w:hAnsi="Arial" w:cs="Arial"/>
          <w:b/>
          <w:bCs/>
          <w:sz w:val="20"/>
          <w:szCs w:val="20"/>
          <w:shd w:val="clear" w:color="auto" w:fill="FFFFFF"/>
          <w:lang w:eastAsia="pt-BR"/>
        </w:rPr>
      </w:pPr>
      <w:r w:rsidRPr="00B75161">
        <w:rPr>
          <w:rFonts w:ascii="Arial" w:eastAsia="Times New Roman" w:hAnsi="Arial" w:cs="Arial"/>
          <w:b/>
          <w:bCs/>
          <w:sz w:val="20"/>
          <w:szCs w:val="20"/>
          <w:shd w:val="clear" w:color="auto" w:fill="FFFFFF"/>
          <w:lang w:eastAsia="pt-BR"/>
        </w:rPr>
        <w:lastRenderedPageBreak/>
        <w:t>SÚMULA N. 611</w:t>
      </w:r>
    </w:p>
    <w:p w:rsidR="00B75161" w:rsidRPr="00B75161" w:rsidRDefault="00B75161" w:rsidP="00B75161">
      <w:pPr>
        <w:spacing w:after="0"/>
        <w:rPr>
          <w:rFonts w:ascii="Arial" w:eastAsia="Times New Roman" w:hAnsi="Arial" w:cs="Arial"/>
          <w:sz w:val="20"/>
          <w:szCs w:val="20"/>
          <w:shd w:val="clear" w:color="auto" w:fill="FFFFFF"/>
          <w:lang w:eastAsia="pt-BR"/>
        </w:rPr>
      </w:pPr>
    </w:p>
    <w:p w:rsidR="00B75161" w:rsidRPr="00B75161" w:rsidRDefault="00B75161" w:rsidP="00B75161">
      <w:pPr>
        <w:spacing w:after="0"/>
        <w:jc w:val="both"/>
        <w:rPr>
          <w:rFonts w:ascii="Arial" w:eastAsia="Times New Roman" w:hAnsi="Arial" w:cs="Arial"/>
          <w:sz w:val="20"/>
          <w:szCs w:val="20"/>
          <w:lang w:eastAsia="pt-BR"/>
        </w:rPr>
      </w:pPr>
      <w:r w:rsidRPr="00B75161">
        <w:rPr>
          <w:rFonts w:ascii="Arial" w:eastAsia="Times New Roman" w:hAnsi="Arial" w:cs="Arial"/>
          <w:sz w:val="20"/>
          <w:szCs w:val="20"/>
          <w:shd w:val="clear" w:color="auto" w:fill="FFFFFF"/>
          <w:lang w:eastAsia="pt-BR"/>
        </w:rPr>
        <w:t>Desde que devidamente motivada e com amparo em investigação ou sindicância, é permitida a instauração de processo administrativo disciplinar com base em denúncia anônima, em face do poder-dever de autotutela imposto à Administração. </w:t>
      </w:r>
      <w:r w:rsidRPr="00B75161">
        <w:rPr>
          <w:rFonts w:ascii="Arial" w:eastAsia="Times New Roman" w:hAnsi="Arial" w:cs="Arial"/>
          <w:b/>
          <w:bCs/>
          <w:sz w:val="20"/>
          <w:szCs w:val="20"/>
          <w:shd w:val="clear" w:color="auto" w:fill="FFFFFF"/>
          <w:lang w:eastAsia="pt-BR"/>
        </w:rPr>
        <w:t xml:space="preserve">Primeira Seção, aprovada em 09/05/2018, </w:t>
      </w:r>
      <w:proofErr w:type="spellStart"/>
      <w:r w:rsidRPr="00B75161">
        <w:rPr>
          <w:rFonts w:ascii="Arial" w:eastAsia="Times New Roman" w:hAnsi="Arial" w:cs="Arial"/>
          <w:b/>
          <w:bCs/>
          <w:sz w:val="20"/>
          <w:szCs w:val="20"/>
          <w:shd w:val="clear" w:color="auto" w:fill="FFFFFF"/>
          <w:lang w:eastAsia="pt-BR"/>
        </w:rPr>
        <w:t>DJe</w:t>
      </w:r>
      <w:proofErr w:type="spellEnd"/>
      <w:r w:rsidRPr="00B75161">
        <w:rPr>
          <w:rFonts w:ascii="Arial" w:eastAsia="Times New Roman" w:hAnsi="Arial" w:cs="Arial"/>
          <w:b/>
          <w:bCs/>
          <w:sz w:val="20"/>
          <w:szCs w:val="20"/>
          <w:shd w:val="clear" w:color="auto" w:fill="FFFFFF"/>
          <w:lang w:eastAsia="pt-BR"/>
        </w:rPr>
        <w:t xml:space="preserve"> 14/05/2018.</w:t>
      </w:r>
    </w:p>
    <w:p w:rsidR="001E5B6A" w:rsidRDefault="001E5B6A" w:rsidP="00B75161">
      <w:pPr>
        <w:spacing w:after="0"/>
        <w:rPr>
          <w:rFonts w:ascii="Arial" w:eastAsia="Times New Roman" w:hAnsi="Arial" w:cs="Arial"/>
          <w:b/>
          <w:bCs/>
          <w:sz w:val="20"/>
          <w:szCs w:val="20"/>
          <w:shd w:val="clear" w:color="auto" w:fill="FFFFFF"/>
          <w:lang w:eastAsia="pt-BR"/>
        </w:rPr>
      </w:pPr>
    </w:p>
    <w:p w:rsidR="00B75161" w:rsidRDefault="00B75161" w:rsidP="00B75161">
      <w:pPr>
        <w:spacing w:after="0"/>
        <w:rPr>
          <w:rFonts w:ascii="Arial" w:eastAsia="Times New Roman" w:hAnsi="Arial" w:cs="Arial"/>
          <w:b/>
          <w:bCs/>
          <w:sz w:val="20"/>
          <w:szCs w:val="20"/>
          <w:shd w:val="clear" w:color="auto" w:fill="FFFFFF"/>
          <w:lang w:eastAsia="pt-BR"/>
        </w:rPr>
      </w:pPr>
      <w:r w:rsidRPr="00B75161">
        <w:rPr>
          <w:rFonts w:ascii="Arial" w:eastAsia="Times New Roman" w:hAnsi="Arial" w:cs="Arial"/>
          <w:b/>
          <w:bCs/>
          <w:sz w:val="20"/>
          <w:szCs w:val="20"/>
          <w:shd w:val="clear" w:color="auto" w:fill="FFFFFF"/>
          <w:lang w:eastAsia="pt-BR"/>
        </w:rPr>
        <w:t>SÚMULA N. 615</w:t>
      </w:r>
    </w:p>
    <w:p w:rsidR="00B75161" w:rsidRPr="00B75161" w:rsidRDefault="00B75161" w:rsidP="00B75161">
      <w:pPr>
        <w:spacing w:after="0"/>
        <w:rPr>
          <w:rFonts w:ascii="Arial" w:eastAsia="Times New Roman" w:hAnsi="Arial" w:cs="Arial"/>
          <w:sz w:val="20"/>
          <w:szCs w:val="20"/>
          <w:shd w:val="clear" w:color="auto" w:fill="FFFFFF"/>
          <w:lang w:eastAsia="pt-BR"/>
        </w:rPr>
      </w:pPr>
    </w:p>
    <w:p w:rsidR="00B75161" w:rsidRDefault="00B75161" w:rsidP="00B75161">
      <w:pPr>
        <w:spacing w:after="0"/>
        <w:jc w:val="both"/>
        <w:rPr>
          <w:rFonts w:ascii="Arial" w:eastAsia="Times New Roman" w:hAnsi="Arial" w:cs="Arial"/>
          <w:b/>
          <w:bCs/>
          <w:sz w:val="20"/>
          <w:szCs w:val="20"/>
          <w:shd w:val="clear" w:color="auto" w:fill="FFFFFF"/>
          <w:lang w:eastAsia="pt-BR"/>
        </w:rPr>
      </w:pPr>
      <w:r w:rsidRPr="00B75161">
        <w:rPr>
          <w:rFonts w:ascii="Arial" w:eastAsia="Times New Roman" w:hAnsi="Arial" w:cs="Arial"/>
          <w:sz w:val="20"/>
          <w:szCs w:val="20"/>
          <w:shd w:val="clear" w:color="auto" w:fill="FFFFFF"/>
          <w:lang w:eastAsia="pt-BR"/>
        </w:rPr>
        <w:t>Não pode ocorrer ou permanecer a inscrição do município em cadastros restritivos fundada em irregularidades na gestão anterior quando, na gestão sucessora, são tomadas as providências cabíveis à reparação dos danos eventualmente cometidos.</w:t>
      </w:r>
      <w:r>
        <w:rPr>
          <w:rFonts w:ascii="Arial" w:eastAsia="Times New Roman" w:hAnsi="Arial" w:cs="Arial"/>
          <w:sz w:val="20"/>
          <w:szCs w:val="20"/>
          <w:shd w:val="clear" w:color="auto" w:fill="FFFFFF"/>
          <w:lang w:eastAsia="pt-BR"/>
        </w:rPr>
        <w:t xml:space="preserve"> </w:t>
      </w:r>
      <w:r w:rsidRPr="00B75161">
        <w:rPr>
          <w:rFonts w:ascii="Arial" w:eastAsia="Times New Roman" w:hAnsi="Arial" w:cs="Arial"/>
          <w:b/>
          <w:bCs/>
          <w:sz w:val="20"/>
          <w:szCs w:val="20"/>
          <w:shd w:val="clear" w:color="auto" w:fill="FFFFFF"/>
          <w:lang w:eastAsia="pt-BR"/>
        </w:rPr>
        <w:t xml:space="preserve">Primeira Seção, aprovada em 09/05/2018, </w:t>
      </w:r>
      <w:proofErr w:type="spellStart"/>
      <w:r w:rsidRPr="00B75161">
        <w:rPr>
          <w:rFonts w:ascii="Arial" w:eastAsia="Times New Roman" w:hAnsi="Arial" w:cs="Arial"/>
          <w:b/>
          <w:bCs/>
          <w:sz w:val="20"/>
          <w:szCs w:val="20"/>
          <w:shd w:val="clear" w:color="auto" w:fill="FFFFFF"/>
          <w:lang w:eastAsia="pt-BR"/>
        </w:rPr>
        <w:t>DJe</w:t>
      </w:r>
      <w:proofErr w:type="spellEnd"/>
      <w:r w:rsidRPr="00B75161">
        <w:rPr>
          <w:rFonts w:ascii="Arial" w:eastAsia="Times New Roman" w:hAnsi="Arial" w:cs="Arial"/>
          <w:b/>
          <w:bCs/>
          <w:sz w:val="20"/>
          <w:szCs w:val="20"/>
          <w:shd w:val="clear" w:color="auto" w:fill="FFFFFF"/>
          <w:lang w:eastAsia="pt-BR"/>
        </w:rPr>
        <w:t xml:space="preserve"> 14/05/2018.</w:t>
      </w:r>
    </w:p>
    <w:p w:rsidR="0087700B" w:rsidRDefault="0087700B" w:rsidP="00B75161">
      <w:pPr>
        <w:spacing w:after="0"/>
        <w:jc w:val="both"/>
        <w:rPr>
          <w:rFonts w:ascii="Arial" w:eastAsia="Times New Roman" w:hAnsi="Arial" w:cs="Arial"/>
          <w:b/>
          <w:bCs/>
          <w:sz w:val="20"/>
          <w:szCs w:val="20"/>
          <w:shd w:val="clear" w:color="auto" w:fill="FFFFFF"/>
          <w:lang w:eastAsia="pt-BR"/>
        </w:rPr>
      </w:pPr>
    </w:p>
    <w:p w:rsidR="0087700B" w:rsidRDefault="0087700B" w:rsidP="00B75161">
      <w:pPr>
        <w:spacing w:after="0"/>
        <w:jc w:val="both"/>
        <w:rPr>
          <w:rFonts w:ascii="Arial" w:hAnsi="Arial" w:cs="Arial"/>
          <w:b/>
          <w:sz w:val="20"/>
          <w:szCs w:val="20"/>
          <w:shd w:val="clear" w:color="auto" w:fill="FFFFFF"/>
        </w:rPr>
      </w:pPr>
      <w:r w:rsidRPr="0087700B">
        <w:rPr>
          <w:rFonts w:ascii="Arial" w:hAnsi="Arial" w:cs="Arial"/>
          <w:b/>
          <w:sz w:val="20"/>
          <w:szCs w:val="20"/>
          <w:shd w:val="clear" w:color="auto" w:fill="FFFFFF"/>
        </w:rPr>
        <w:t xml:space="preserve">Tempo de serviço. Servidor público. Contagem recíproca. Trabalho rurícola prestado em período anterior à vigência da Lei n. 8.213/1991. Direito à expedição de certidão. Cômputo do tempo. Exigência de recolhimento das contribuições previdenciárias. Indenização na forma prevista pelo art. 96, IV, da Lei n. 8.213/1991. </w:t>
      </w:r>
    </w:p>
    <w:p w:rsidR="0087700B" w:rsidRDefault="0087700B" w:rsidP="00B75161">
      <w:pPr>
        <w:spacing w:after="0"/>
        <w:jc w:val="both"/>
        <w:rPr>
          <w:rFonts w:ascii="Arial" w:hAnsi="Arial" w:cs="Arial"/>
          <w:b/>
          <w:sz w:val="20"/>
          <w:szCs w:val="20"/>
          <w:shd w:val="clear" w:color="auto" w:fill="FFFFFF"/>
        </w:rPr>
      </w:pPr>
    </w:p>
    <w:p w:rsidR="00560E81" w:rsidRPr="00560E81" w:rsidRDefault="001E5B6A" w:rsidP="00560E81">
      <w:pPr>
        <w:spacing w:after="0" w:line="240" w:lineRule="auto"/>
        <w:jc w:val="both"/>
        <w:rPr>
          <w:rFonts w:ascii="Arial" w:eastAsia="Times New Roman" w:hAnsi="Arial" w:cs="Arial"/>
          <w:b/>
          <w:sz w:val="20"/>
          <w:szCs w:val="20"/>
          <w:lang w:eastAsia="pt-BR"/>
        </w:rPr>
      </w:pPr>
      <w:hyperlink r:id="rId22" w:history="1">
        <w:proofErr w:type="spellStart"/>
        <w:r w:rsidR="00560E81" w:rsidRPr="00560E81">
          <w:rPr>
            <w:rStyle w:val="Hyperlink"/>
            <w:rFonts w:ascii="Arial" w:eastAsia="Times New Roman" w:hAnsi="Arial" w:cs="Arial"/>
            <w:b/>
            <w:sz w:val="20"/>
            <w:szCs w:val="20"/>
            <w:lang w:eastAsia="pt-BR"/>
          </w:rPr>
          <w:t>REsp</w:t>
        </w:r>
        <w:proofErr w:type="spellEnd"/>
        <w:r w:rsidR="00560E81" w:rsidRPr="00560E81">
          <w:rPr>
            <w:rStyle w:val="Hyperlink"/>
            <w:rFonts w:ascii="Arial" w:eastAsia="Times New Roman" w:hAnsi="Arial" w:cs="Arial"/>
            <w:b/>
            <w:sz w:val="20"/>
            <w:szCs w:val="20"/>
            <w:lang w:eastAsia="pt-BR"/>
          </w:rPr>
          <w:t xml:space="preserve"> 1.682.678-SP</w:t>
        </w:r>
      </w:hyperlink>
      <w:r w:rsidR="00560E81" w:rsidRPr="00560E81">
        <w:rPr>
          <w:rFonts w:ascii="Arial" w:eastAsia="Times New Roman" w:hAnsi="Arial" w:cs="Arial"/>
          <w:b/>
          <w:sz w:val="20"/>
          <w:szCs w:val="20"/>
          <w:lang w:eastAsia="pt-BR"/>
        </w:rPr>
        <w:t xml:space="preserve">, Rel. Min. </w:t>
      </w:r>
      <w:proofErr w:type="spellStart"/>
      <w:r w:rsidR="00560E81" w:rsidRPr="00560E81">
        <w:rPr>
          <w:rFonts w:ascii="Arial" w:eastAsia="Times New Roman" w:hAnsi="Arial" w:cs="Arial"/>
          <w:b/>
          <w:sz w:val="20"/>
          <w:szCs w:val="20"/>
          <w:lang w:eastAsia="pt-BR"/>
        </w:rPr>
        <w:t>Og</w:t>
      </w:r>
      <w:proofErr w:type="spellEnd"/>
      <w:r w:rsidR="00560E81" w:rsidRPr="00560E81">
        <w:rPr>
          <w:rFonts w:ascii="Arial" w:eastAsia="Times New Roman" w:hAnsi="Arial" w:cs="Arial"/>
          <w:b/>
          <w:sz w:val="20"/>
          <w:szCs w:val="20"/>
          <w:lang w:eastAsia="pt-BR"/>
        </w:rPr>
        <w:t xml:space="preserve"> Fernandes, Primeira Seção, por unanimidade, julgado em 25/04/2018, </w:t>
      </w:r>
      <w:proofErr w:type="spellStart"/>
      <w:r w:rsidR="00560E81" w:rsidRPr="00560E81">
        <w:rPr>
          <w:rFonts w:ascii="Arial" w:eastAsia="Times New Roman" w:hAnsi="Arial" w:cs="Arial"/>
          <w:b/>
          <w:sz w:val="20"/>
          <w:szCs w:val="20"/>
          <w:lang w:eastAsia="pt-BR"/>
        </w:rPr>
        <w:t>DJe</w:t>
      </w:r>
      <w:proofErr w:type="spellEnd"/>
      <w:r w:rsidR="00560E81" w:rsidRPr="00560E81">
        <w:rPr>
          <w:rFonts w:ascii="Arial" w:eastAsia="Times New Roman" w:hAnsi="Arial" w:cs="Arial"/>
          <w:b/>
          <w:sz w:val="20"/>
          <w:szCs w:val="20"/>
          <w:lang w:eastAsia="pt-BR"/>
        </w:rPr>
        <w:t xml:space="preserve"> 30/04/2018 (Tema 609)</w:t>
      </w:r>
      <w:r w:rsidR="000A1515">
        <w:rPr>
          <w:rFonts w:ascii="Arial" w:eastAsia="Times New Roman" w:hAnsi="Arial" w:cs="Arial"/>
          <w:b/>
          <w:sz w:val="20"/>
          <w:szCs w:val="20"/>
          <w:lang w:eastAsia="pt-BR"/>
        </w:rPr>
        <w:t>.</w:t>
      </w:r>
    </w:p>
    <w:p w:rsidR="00560E81" w:rsidRDefault="00560E81" w:rsidP="00B75161">
      <w:pPr>
        <w:spacing w:after="0"/>
        <w:jc w:val="both"/>
        <w:rPr>
          <w:rFonts w:ascii="Arial" w:hAnsi="Arial" w:cs="Arial"/>
          <w:b/>
          <w:sz w:val="20"/>
          <w:szCs w:val="20"/>
          <w:shd w:val="clear" w:color="auto" w:fill="FFFFFF"/>
        </w:rPr>
      </w:pPr>
    </w:p>
    <w:p w:rsidR="0087700B" w:rsidRDefault="0087700B" w:rsidP="00B75161">
      <w:pPr>
        <w:spacing w:after="0"/>
        <w:jc w:val="both"/>
        <w:rPr>
          <w:rFonts w:ascii="Arial" w:hAnsi="Arial" w:cs="Arial"/>
          <w:sz w:val="20"/>
          <w:szCs w:val="20"/>
          <w:shd w:val="clear" w:color="auto" w:fill="FFFFFF"/>
        </w:rPr>
      </w:pPr>
      <w:r w:rsidRPr="0087700B">
        <w:rPr>
          <w:rFonts w:ascii="Arial" w:hAnsi="Arial" w:cs="Arial"/>
          <w:sz w:val="20"/>
          <w:szCs w:val="20"/>
          <w:shd w:val="clear" w:color="auto" w:fill="FFFFFF"/>
        </w:rPr>
        <w:t>O segurado que tenha provado o desempenho de serviço rurícola em período anterior à vigência da Lei n. 8.213/1991, embora faça jus à expedição de certidão nesse sentido para mera averbação nos seus assentamentos, somente tem direito ao cômputo do aludido tempo rural, no respectivo órgão público empregador, para contagem recíproca no regime estatutário se, com a certidão de tempo de serviço rural, acostar o comprovante de pagamento das respectivas contribuições previdenciárias, na forma da indenização calculada conforme o dispositivo do art. 96, IV, da Lei n. 8.213/1991.</w:t>
      </w:r>
    </w:p>
    <w:p w:rsidR="00560E81" w:rsidRPr="00B75161" w:rsidRDefault="00560E81" w:rsidP="00B75161">
      <w:pPr>
        <w:spacing w:after="0"/>
        <w:jc w:val="both"/>
        <w:rPr>
          <w:rFonts w:ascii="Arial" w:eastAsia="Times New Roman" w:hAnsi="Arial" w:cs="Arial"/>
          <w:b/>
          <w:sz w:val="20"/>
          <w:szCs w:val="20"/>
          <w:lang w:eastAsia="pt-BR"/>
        </w:rPr>
      </w:pPr>
    </w:p>
    <w:p w:rsidR="00B75161" w:rsidRPr="00FB20DF" w:rsidRDefault="00C641EF" w:rsidP="005A5923">
      <w:pPr>
        <w:spacing w:after="0"/>
        <w:jc w:val="both"/>
        <w:rPr>
          <w:rFonts w:ascii="Arial" w:hAnsi="Arial" w:cs="Arial"/>
          <w:b/>
          <w:bCs/>
          <w:sz w:val="20"/>
          <w:szCs w:val="20"/>
          <w:shd w:val="clear" w:color="auto" w:fill="FFFFFF"/>
        </w:rPr>
      </w:pPr>
      <w:r w:rsidRPr="00FB20DF">
        <w:rPr>
          <w:rFonts w:ascii="Arial" w:hAnsi="Arial" w:cs="Arial"/>
          <w:b/>
          <w:sz w:val="20"/>
          <w:szCs w:val="20"/>
          <w:shd w:val="clear" w:color="auto" w:fill="FFFFFF"/>
        </w:rPr>
        <w:t>Adicional de Insalubridade. Reconhecimento pela Administração. Retroação dos efeitos do laudo pericial. Impossibilidade.</w:t>
      </w:r>
    </w:p>
    <w:p w:rsidR="00C641EF" w:rsidRDefault="00C641EF" w:rsidP="005A5923">
      <w:pPr>
        <w:spacing w:after="0"/>
        <w:jc w:val="both"/>
        <w:rPr>
          <w:rFonts w:ascii="Arial" w:hAnsi="Arial" w:cs="Arial"/>
          <w:b/>
          <w:bCs/>
          <w:sz w:val="20"/>
          <w:szCs w:val="20"/>
          <w:shd w:val="clear" w:color="auto" w:fill="FFFFFF"/>
        </w:rPr>
      </w:pPr>
    </w:p>
    <w:p w:rsidR="00FB20DF" w:rsidRPr="00FB20DF" w:rsidRDefault="001E5B6A" w:rsidP="005A5923">
      <w:pPr>
        <w:spacing w:after="0"/>
        <w:jc w:val="both"/>
        <w:rPr>
          <w:rFonts w:ascii="Arial" w:hAnsi="Arial" w:cs="Arial"/>
          <w:b/>
          <w:bCs/>
          <w:sz w:val="20"/>
          <w:szCs w:val="20"/>
          <w:shd w:val="clear" w:color="auto" w:fill="FFFFFF"/>
        </w:rPr>
      </w:pPr>
      <w:hyperlink r:id="rId23" w:history="1">
        <w:r w:rsidR="00FB20DF" w:rsidRPr="00FB20DF">
          <w:rPr>
            <w:rStyle w:val="Hyperlink"/>
            <w:rFonts w:ascii="Arial" w:hAnsi="Arial" w:cs="Arial"/>
            <w:b/>
            <w:sz w:val="20"/>
            <w:szCs w:val="20"/>
            <w:shd w:val="clear" w:color="auto" w:fill="FFFFFF"/>
          </w:rPr>
          <w:t>PUIL 413-RS</w:t>
        </w:r>
      </w:hyperlink>
      <w:r w:rsidR="00FB20DF" w:rsidRPr="00FB20DF">
        <w:rPr>
          <w:rFonts w:ascii="Arial" w:hAnsi="Arial" w:cs="Arial"/>
          <w:b/>
          <w:sz w:val="20"/>
          <w:szCs w:val="20"/>
          <w:shd w:val="clear" w:color="auto" w:fill="FFFFFF"/>
        </w:rPr>
        <w:t xml:space="preserve">, Rel. Min. Benedito Gonçalves, por unanimidade, julgado em 11/04/2018, </w:t>
      </w:r>
      <w:proofErr w:type="spellStart"/>
      <w:r w:rsidR="00FB20DF" w:rsidRPr="00FB20DF">
        <w:rPr>
          <w:rFonts w:ascii="Arial" w:hAnsi="Arial" w:cs="Arial"/>
          <w:b/>
          <w:sz w:val="20"/>
          <w:szCs w:val="20"/>
          <w:shd w:val="clear" w:color="auto" w:fill="FFFFFF"/>
        </w:rPr>
        <w:t>DJe</w:t>
      </w:r>
      <w:proofErr w:type="spellEnd"/>
      <w:r w:rsidR="00FB20DF" w:rsidRPr="00FB20DF">
        <w:rPr>
          <w:rFonts w:ascii="Arial" w:hAnsi="Arial" w:cs="Arial"/>
          <w:b/>
          <w:sz w:val="20"/>
          <w:szCs w:val="20"/>
          <w:shd w:val="clear" w:color="auto" w:fill="FFFFFF"/>
        </w:rPr>
        <w:t xml:space="preserve"> 18/04/2018</w:t>
      </w:r>
      <w:r w:rsidR="000A1515">
        <w:rPr>
          <w:rFonts w:ascii="Arial" w:hAnsi="Arial" w:cs="Arial"/>
          <w:b/>
          <w:sz w:val="20"/>
          <w:szCs w:val="20"/>
          <w:shd w:val="clear" w:color="auto" w:fill="FFFFFF"/>
        </w:rPr>
        <w:t>.</w:t>
      </w:r>
    </w:p>
    <w:p w:rsidR="00FB20DF" w:rsidRPr="00FB20DF" w:rsidRDefault="00FB20DF" w:rsidP="005A5923">
      <w:pPr>
        <w:spacing w:after="0"/>
        <w:jc w:val="both"/>
        <w:rPr>
          <w:rFonts w:ascii="Arial" w:hAnsi="Arial" w:cs="Arial"/>
          <w:b/>
          <w:bCs/>
          <w:sz w:val="20"/>
          <w:szCs w:val="20"/>
          <w:shd w:val="clear" w:color="auto" w:fill="FFFFFF"/>
        </w:rPr>
      </w:pPr>
    </w:p>
    <w:p w:rsidR="00C641EF" w:rsidRDefault="00770640" w:rsidP="005A5923">
      <w:pPr>
        <w:spacing w:after="0"/>
        <w:jc w:val="both"/>
        <w:rPr>
          <w:rFonts w:ascii="Arial" w:hAnsi="Arial" w:cs="Arial"/>
          <w:sz w:val="20"/>
          <w:szCs w:val="20"/>
          <w:shd w:val="clear" w:color="auto" w:fill="FFFFFF"/>
        </w:rPr>
      </w:pPr>
      <w:r w:rsidRPr="000A1515">
        <w:rPr>
          <w:rFonts w:ascii="Arial" w:hAnsi="Arial" w:cs="Arial"/>
          <w:sz w:val="20"/>
          <w:szCs w:val="20"/>
          <w:shd w:val="clear" w:color="auto" w:fill="FFFFFF"/>
        </w:rPr>
        <w:t>O termo inicial do adicional de insalubridade a que faz </w:t>
      </w:r>
      <w:r w:rsidRPr="000A1515">
        <w:rPr>
          <w:rStyle w:val="nfase"/>
          <w:rFonts w:ascii="Arial" w:hAnsi="Arial" w:cs="Arial"/>
          <w:sz w:val="20"/>
          <w:szCs w:val="20"/>
          <w:shd w:val="clear" w:color="auto" w:fill="FFFFFF"/>
        </w:rPr>
        <w:t>jus </w:t>
      </w:r>
      <w:r w:rsidRPr="000A1515">
        <w:rPr>
          <w:rFonts w:ascii="Arial" w:hAnsi="Arial" w:cs="Arial"/>
          <w:sz w:val="20"/>
          <w:szCs w:val="20"/>
          <w:shd w:val="clear" w:color="auto" w:fill="FFFFFF"/>
        </w:rPr>
        <w:t>o servidor público é a data do laudo pericial.</w:t>
      </w:r>
    </w:p>
    <w:p w:rsidR="000A1515" w:rsidRDefault="000A1515" w:rsidP="005A5923">
      <w:pPr>
        <w:spacing w:after="0"/>
        <w:jc w:val="both"/>
        <w:rPr>
          <w:rFonts w:ascii="Arial" w:hAnsi="Arial" w:cs="Arial"/>
          <w:sz w:val="20"/>
          <w:szCs w:val="20"/>
          <w:shd w:val="clear" w:color="auto" w:fill="FFFFFF"/>
        </w:rPr>
      </w:pPr>
    </w:p>
    <w:p w:rsidR="000A1515" w:rsidRDefault="001E5B6A" w:rsidP="005A5923">
      <w:pPr>
        <w:spacing w:after="0"/>
        <w:jc w:val="both"/>
        <w:rPr>
          <w:rFonts w:ascii="Arial" w:hAnsi="Arial" w:cs="Arial"/>
          <w:b/>
          <w:sz w:val="20"/>
          <w:szCs w:val="20"/>
          <w:shd w:val="clear" w:color="auto" w:fill="FFFFFF"/>
        </w:rPr>
      </w:pPr>
      <w:hyperlink r:id="rId24" w:history="1">
        <w:r w:rsidR="000A1515" w:rsidRPr="00E10A34">
          <w:rPr>
            <w:rStyle w:val="Hyperlink"/>
            <w:rFonts w:ascii="Arial" w:hAnsi="Arial" w:cs="Arial"/>
            <w:b/>
            <w:sz w:val="20"/>
            <w:szCs w:val="20"/>
            <w:shd w:val="clear" w:color="auto" w:fill="FFFFFF"/>
          </w:rPr>
          <w:t>RMS 33.744-DF</w:t>
        </w:r>
      </w:hyperlink>
      <w:r w:rsidR="000A1515" w:rsidRPr="000A1515">
        <w:rPr>
          <w:rFonts w:ascii="Arial" w:hAnsi="Arial" w:cs="Arial"/>
          <w:b/>
          <w:sz w:val="20"/>
          <w:szCs w:val="20"/>
          <w:shd w:val="clear" w:color="auto" w:fill="FFFFFF"/>
        </w:rPr>
        <w:t xml:space="preserve">, Rel. Min. Benedito Gonçalves, por unanimidade, julgado em 05/04/2018, </w:t>
      </w:r>
      <w:proofErr w:type="spellStart"/>
      <w:r w:rsidR="000A1515" w:rsidRPr="000A1515">
        <w:rPr>
          <w:rFonts w:ascii="Arial" w:hAnsi="Arial" w:cs="Arial"/>
          <w:b/>
          <w:sz w:val="20"/>
          <w:szCs w:val="20"/>
          <w:shd w:val="clear" w:color="auto" w:fill="FFFFFF"/>
        </w:rPr>
        <w:t>DJe</w:t>
      </w:r>
      <w:proofErr w:type="spellEnd"/>
      <w:r w:rsidR="000A1515" w:rsidRPr="000A1515">
        <w:rPr>
          <w:rFonts w:ascii="Arial" w:hAnsi="Arial" w:cs="Arial"/>
          <w:b/>
          <w:sz w:val="20"/>
          <w:szCs w:val="20"/>
          <w:shd w:val="clear" w:color="auto" w:fill="FFFFFF"/>
        </w:rPr>
        <w:t xml:space="preserve"> 19/04/2018</w:t>
      </w:r>
      <w:r w:rsidR="000A1515">
        <w:rPr>
          <w:rFonts w:ascii="Arial" w:hAnsi="Arial" w:cs="Arial"/>
          <w:b/>
          <w:sz w:val="20"/>
          <w:szCs w:val="20"/>
          <w:shd w:val="clear" w:color="auto" w:fill="FFFFFF"/>
        </w:rPr>
        <w:t>.</w:t>
      </w:r>
    </w:p>
    <w:p w:rsidR="000A1515" w:rsidRDefault="000A1515" w:rsidP="005A5923">
      <w:pPr>
        <w:spacing w:after="0"/>
        <w:jc w:val="both"/>
        <w:rPr>
          <w:rFonts w:ascii="Arial" w:hAnsi="Arial" w:cs="Arial"/>
          <w:b/>
          <w:sz w:val="20"/>
          <w:szCs w:val="20"/>
          <w:shd w:val="clear" w:color="auto" w:fill="FFFFFF"/>
        </w:rPr>
      </w:pPr>
      <w:r w:rsidRPr="000A1515">
        <w:rPr>
          <w:rFonts w:ascii="Arial" w:hAnsi="Arial" w:cs="Arial"/>
          <w:b/>
          <w:sz w:val="20"/>
          <w:szCs w:val="20"/>
          <w:shd w:val="clear" w:color="auto" w:fill="FFFFFF"/>
        </w:rPr>
        <w:lastRenderedPageBreak/>
        <w:t>Ministério Público. Mandado de Segurança. Membro aposentado. Subsídio. VPNI. Limitação ao teto constitucional. Ausência de direito líquido e certo. Juízo de retratação.</w:t>
      </w:r>
    </w:p>
    <w:p w:rsidR="00F309B2" w:rsidRDefault="00F309B2" w:rsidP="005A5923">
      <w:pPr>
        <w:spacing w:after="0"/>
        <w:jc w:val="both"/>
        <w:rPr>
          <w:rFonts w:ascii="Verdana" w:hAnsi="Verdana"/>
          <w:color w:val="575756"/>
          <w:sz w:val="20"/>
          <w:szCs w:val="20"/>
          <w:shd w:val="clear" w:color="auto" w:fill="FFFFFF"/>
        </w:rPr>
      </w:pPr>
    </w:p>
    <w:p w:rsidR="00F309B2" w:rsidRDefault="00F309B2" w:rsidP="005A5923">
      <w:pPr>
        <w:spacing w:after="0"/>
        <w:jc w:val="both"/>
        <w:rPr>
          <w:rFonts w:ascii="Arial" w:hAnsi="Arial" w:cs="Arial"/>
          <w:sz w:val="20"/>
          <w:szCs w:val="20"/>
          <w:shd w:val="clear" w:color="auto" w:fill="FFFFFF"/>
        </w:rPr>
      </w:pPr>
      <w:r w:rsidRPr="00E10A34">
        <w:rPr>
          <w:rFonts w:ascii="Arial" w:hAnsi="Arial" w:cs="Arial"/>
          <w:sz w:val="20"/>
          <w:szCs w:val="20"/>
          <w:shd w:val="clear" w:color="auto" w:fill="FFFFFF"/>
        </w:rPr>
        <w:t>Em adequação ao entendimento do Supremo Tribunal Federal, o direito à percepção de VPNI não impede a sua eventual absorção pelo subsídio e, do mesmo modo, não inviabiliza a aplicação do teto constitucional, que inclui a vantagem de caráter pessoal no cômputo da remuneração do servidor para observância do teto.</w:t>
      </w:r>
    </w:p>
    <w:p w:rsidR="00516501" w:rsidRPr="00516501" w:rsidRDefault="001E5B6A" w:rsidP="005A5923">
      <w:pPr>
        <w:spacing w:after="0"/>
        <w:jc w:val="both"/>
        <w:rPr>
          <w:rFonts w:ascii="Arial" w:hAnsi="Arial" w:cs="Arial"/>
          <w:b/>
          <w:sz w:val="20"/>
          <w:szCs w:val="20"/>
          <w:shd w:val="clear" w:color="auto" w:fill="FFFFFF"/>
        </w:rPr>
      </w:pPr>
      <w:hyperlink r:id="rId25" w:history="1">
        <w:proofErr w:type="spellStart"/>
        <w:r w:rsidR="00516501" w:rsidRPr="00AE5095">
          <w:rPr>
            <w:rStyle w:val="Hyperlink"/>
            <w:rFonts w:ascii="Arial" w:hAnsi="Arial" w:cs="Arial"/>
            <w:b/>
            <w:sz w:val="20"/>
            <w:szCs w:val="20"/>
            <w:shd w:val="clear" w:color="auto" w:fill="FFFFFF"/>
          </w:rPr>
          <w:t>REsp</w:t>
        </w:r>
        <w:proofErr w:type="spellEnd"/>
        <w:r w:rsidR="00516501" w:rsidRPr="00AE5095">
          <w:rPr>
            <w:rStyle w:val="Hyperlink"/>
            <w:rFonts w:ascii="Arial" w:hAnsi="Arial" w:cs="Arial"/>
            <w:b/>
            <w:sz w:val="20"/>
            <w:szCs w:val="20"/>
            <w:shd w:val="clear" w:color="auto" w:fill="FFFFFF"/>
          </w:rPr>
          <w:t xml:space="preserve"> 1.687.381-DF</w:t>
        </w:r>
      </w:hyperlink>
      <w:r w:rsidR="00516501" w:rsidRPr="00516501">
        <w:rPr>
          <w:rFonts w:ascii="Arial" w:hAnsi="Arial" w:cs="Arial"/>
          <w:b/>
          <w:sz w:val="20"/>
          <w:szCs w:val="20"/>
          <w:shd w:val="clear" w:color="auto" w:fill="FFFFFF"/>
        </w:rPr>
        <w:t xml:space="preserve">, Rel. Min. Francisco Falcão, por unanimidade, julgado em 17/04/2018, </w:t>
      </w:r>
      <w:proofErr w:type="spellStart"/>
      <w:r w:rsidR="00516501" w:rsidRPr="00516501">
        <w:rPr>
          <w:rFonts w:ascii="Arial" w:hAnsi="Arial" w:cs="Arial"/>
          <w:b/>
          <w:sz w:val="20"/>
          <w:szCs w:val="20"/>
          <w:shd w:val="clear" w:color="auto" w:fill="FFFFFF"/>
        </w:rPr>
        <w:t>DJe</w:t>
      </w:r>
      <w:proofErr w:type="spellEnd"/>
      <w:r w:rsidR="00516501" w:rsidRPr="00516501">
        <w:rPr>
          <w:rFonts w:ascii="Arial" w:hAnsi="Arial" w:cs="Arial"/>
          <w:b/>
          <w:sz w:val="20"/>
          <w:szCs w:val="20"/>
          <w:shd w:val="clear" w:color="auto" w:fill="FFFFFF"/>
        </w:rPr>
        <w:t xml:space="preserve"> 23/04/2018.</w:t>
      </w:r>
    </w:p>
    <w:p w:rsidR="00516501" w:rsidRDefault="00516501" w:rsidP="005A5923">
      <w:pPr>
        <w:spacing w:after="0"/>
        <w:jc w:val="both"/>
        <w:rPr>
          <w:rFonts w:ascii="Arial" w:hAnsi="Arial" w:cs="Arial"/>
          <w:b/>
          <w:sz w:val="20"/>
          <w:szCs w:val="20"/>
          <w:shd w:val="clear" w:color="auto" w:fill="FFFFFF"/>
        </w:rPr>
      </w:pPr>
    </w:p>
    <w:p w:rsidR="001C1DDF" w:rsidRDefault="001C1DDF" w:rsidP="005A5923">
      <w:pPr>
        <w:spacing w:after="0"/>
        <w:jc w:val="both"/>
        <w:rPr>
          <w:rFonts w:ascii="Arial" w:hAnsi="Arial" w:cs="Arial"/>
          <w:b/>
          <w:sz w:val="20"/>
          <w:szCs w:val="20"/>
          <w:shd w:val="clear" w:color="auto" w:fill="FFFFFF"/>
        </w:rPr>
      </w:pPr>
      <w:r w:rsidRPr="001C1DDF">
        <w:rPr>
          <w:rFonts w:ascii="Arial" w:hAnsi="Arial" w:cs="Arial"/>
          <w:b/>
          <w:sz w:val="20"/>
          <w:szCs w:val="20"/>
          <w:shd w:val="clear" w:color="auto" w:fill="FFFFFF"/>
        </w:rPr>
        <w:t>Programa Minha Casa Minha Vida. Caráter social. Legislação própria. Rigorismo da lei de Licitações afastado. Princípios da administração pública preservados.</w:t>
      </w:r>
    </w:p>
    <w:p w:rsidR="00516501" w:rsidRDefault="00516501" w:rsidP="005A5923">
      <w:pPr>
        <w:spacing w:after="0"/>
        <w:jc w:val="both"/>
        <w:rPr>
          <w:rFonts w:ascii="Arial" w:hAnsi="Arial" w:cs="Arial"/>
          <w:b/>
          <w:sz w:val="20"/>
          <w:szCs w:val="20"/>
          <w:shd w:val="clear" w:color="auto" w:fill="FFFFFF"/>
        </w:rPr>
      </w:pPr>
    </w:p>
    <w:p w:rsidR="00516501" w:rsidRPr="000E2DD7" w:rsidRDefault="000E2DD7" w:rsidP="005A5923">
      <w:pPr>
        <w:spacing w:after="0"/>
        <w:jc w:val="both"/>
        <w:rPr>
          <w:rFonts w:ascii="Arial" w:hAnsi="Arial" w:cs="Arial"/>
          <w:b/>
          <w:sz w:val="20"/>
          <w:szCs w:val="20"/>
          <w:shd w:val="clear" w:color="auto" w:fill="FFFFFF"/>
        </w:rPr>
      </w:pPr>
      <w:r w:rsidRPr="000E2DD7">
        <w:rPr>
          <w:rFonts w:ascii="Arial" w:hAnsi="Arial" w:cs="Arial"/>
          <w:sz w:val="20"/>
          <w:szCs w:val="20"/>
          <w:shd w:val="clear" w:color="auto" w:fill="FFFFFF"/>
        </w:rPr>
        <w:t>As regras gerais previstas na Lei n. 8.666/1993 podem ser flexibilizadas no Programa Minha Casa Minha Vida, por força do art. 4º, parágrafo único, da Lei n. 10.188/2001, desde que se observem os princípios gerais da administração pública.</w:t>
      </w:r>
    </w:p>
    <w:p w:rsidR="00C641EF" w:rsidRDefault="00C641EF" w:rsidP="005A5923">
      <w:pPr>
        <w:spacing w:after="0"/>
        <w:jc w:val="both"/>
        <w:rPr>
          <w:rFonts w:ascii="Arial" w:hAnsi="Arial" w:cs="Arial"/>
          <w:b/>
          <w:bCs/>
          <w:sz w:val="20"/>
          <w:szCs w:val="20"/>
          <w:shd w:val="clear" w:color="auto" w:fill="FFFFFF"/>
        </w:rPr>
      </w:pPr>
    </w:p>
    <w:p w:rsidR="000800D1" w:rsidRDefault="000800D1" w:rsidP="006E12D5">
      <w:pPr>
        <w:spacing w:after="0"/>
        <w:jc w:val="both"/>
        <w:rPr>
          <w:rFonts w:ascii="Arial" w:hAnsi="Arial" w:cs="Arial"/>
          <w:b/>
          <w:color w:val="000000"/>
          <w:sz w:val="20"/>
          <w:szCs w:val="20"/>
        </w:rPr>
      </w:pPr>
      <w:r w:rsidRPr="00DB558E">
        <w:rPr>
          <w:rFonts w:ascii="Arial" w:hAnsi="Arial" w:cs="Arial"/>
          <w:b/>
          <w:color w:val="000000"/>
          <w:sz w:val="20"/>
          <w:szCs w:val="20"/>
        </w:rPr>
        <w:t>Tribunal de Contas da União:</w:t>
      </w:r>
    </w:p>
    <w:p w:rsidR="00FE599B" w:rsidRDefault="00FE599B" w:rsidP="006E12D5">
      <w:pPr>
        <w:spacing w:after="0"/>
        <w:jc w:val="both"/>
        <w:rPr>
          <w:rFonts w:ascii="Arial" w:hAnsi="Arial" w:cs="Arial"/>
          <w:b/>
          <w:color w:val="000000"/>
          <w:sz w:val="20"/>
          <w:szCs w:val="20"/>
        </w:rPr>
      </w:pPr>
    </w:p>
    <w:p w:rsidR="00FE599B" w:rsidRPr="00936756" w:rsidRDefault="001E5B6A" w:rsidP="00FE599B">
      <w:pPr>
        <w:widowControl w:val="0"/>
        <w:autoSpaceDE w:val="0"/>
        <w:autoSpaceDN w:val="0"/>
        <w:jc w:val="both"/>
        <w:rPr>
          <w:rFonts w:ascii="Arial" w:hAnsi="Arial" w:cs="Arial"/>
          <w:b/>
          <w:sz w:val="20"/>
          <w:szCs w:val="20"/>
        </w:rPr>
      </w:pPr>
      <w:hyperlink r:id="rId26" w:history="1">
        <w:r w:rsidR="00FE599B" w:rsidRPr="00936756">
          <w:rPr>
            <w:rStyle w:val="Hyperlink"/>
            <w:rFonts w:ascii="Arial" w:hAnsi="Arial" w:cs="Arial"/>
            <w:b/>
            <w:sz w:val="20"/>
            <w:szCs w:val="20"/>
          </w:rPr>
          <w:t>Acórdão 671/2018</w:t>
        </w:r>
        <w:r w:rsidR="00936756" w:rsidRPr="00936756">
          <w:rPr>
            <w:rStyle w:val="Hyperlink"/>
            <w:rFonts w:ascii="Arial" w:hAnsi="Arial" w:cs="Arial"/>
            <w:b/>
            <w:sz w:val="20"/>
            <w:szCs w:val="20"/>
          </w:rPr>
          <w:t xml:space="preserve"> - </w:t>
        </w:r>
        <w:r w:rsidR="00FE599B" w:rsidRPr="00936756">
          <w:rPr>
            <w:rStyle w:val="Hyperlink"/>
            <w:rFonts w:ascii="Arial" w:hAnsi="Arial" w:cs="Arial"/>
            <w:b/>
            <w:sz w:val="20"/>
            <w:szCs w:val="20"/>
          </w:rPr>
          <w:t>Plenário</w:t>
        </w:r>
      </w:hyperlink>
      <w:r w:rsidR="00FE599B" w:rsidRPr="00936756">
        <w:rPr>
          <w:rFonts w:ascii="Arial" w:hAnsi="Arial" w:cs="Arial"/>
          <w:b/>
          <w:sz w:val="20"/>
          <w:szCs w:val="20"/>
        </w:rPr>
        <w:t xml:space="preserve"> (Pedido de Reexame, Relator Ministro Aroldo Cedraz)</w:t>
      </w:r>
    </w:p>
    <w:p w:rsidR="00FE599B" w:rsidRPr="00936756" w:rsidRDefault="00FE599B" w:rsidP="00FE599B">
      <w:pPr>
        <w:jc w:val="both"/>
        <w:rPr>
          <w:rFonts w:ascii="Arial" w:hAnsi="Arial" w:cs="Arial"/>
          <w:b/>
          <w:sz w:val="20"/>
          <w:szCs w:val="20"/>
        </w:rPr>
      </w:pPr>
      <w:proofErr w:type="gramStart"/>
      <w:r w:rsidRPr="00936756">
        <w:rPr>
          <w:rFonts w:ascii="Arial" w:hAnsi="Arial" w:cs="Arial"/>
          <w:b/>
          <w:sz w:val="20"/>
          <w:szCs w:val="20"/>
        </w:rPr>
        <w:t>Direito Processual</w:t>
      </w:r>
      <w:proofErr w:type="gramEnd"/>
      <w:r w:rsidRPr="00936756">
        <w:rPr>
          <w:rFonts w:ascii="Arial" w:hAnsi="Arial" w:cs="Arial"/>
          <w:b/>
          <w:sz w:val="20"/>
          <w:szCs w:val="20"/>
        </w:rPr>
        <w:t>. Princípio da ampla defesa. Memorial. Relator. Poder discricionário.</w:t>
      </w:r>
    </w:p>
    <w:p w:rsidR="00FE599B" w:rsidRPr="00180945" w:rsidRDefault="00FE599B" w:rsidP="00FE599B">
      <w:pPr>
        <w:pStyle w:val="TCU-Epgrafe"/>
        <w:spacing w:after="200" w:line="276" w:lineRule="auto"/>
        <w:ind w:left="0"/>
        <w:rPr>
          <w:rFonts w:ascii="Arial" w:hAnsi="Arial" w:cs="Arial"/>
          <w:sz w:val="20"/>
        </w:rPr>
      </w:pPr>
      <w:r w:rsidRPr="00180945">
        <w:rPr>
          <w:rFonts w:ascii="Arial" w:hAnsi="Arial" w:cs="Arial"/>
          <w:sz w:val="20"/>
        </w:rPr>
        <w:t>Memorial (art. 160, § 3º, do Regimento Interno do TCU) apresentado pela parte não integra formalmente o processo e, por isso, não se constitui em informação necessária e imprescindível para a formação do juízo de mérito do relator, não havendo qualquer obrigação no sentido de que seja expressa e formalmente examinado no voto proferido.</w:t>
      </w:r>
    </w:p>
    <w:p w:rsidR="00FE599B" w:rsidRPr="00976D52" w:rsidRDefault="001E5B6A" w:rsidP="00FE599B">
      <w:pPr>
        <w:widowControl w:val="0"/>
        <w:autoSpaceDE w:val="0"/>
        <w:autoSpaceDN w:val="0"/>
        <w:jc w:val="both"/>
        <w:rPr>
          <w:rFonts w:ascii="Arial" w:hAnsi="Arial" w:cs="Arial"/>
          <w:b/>
          <w:sz w:val="20"/>
          <w:szCs w:val="20"/>
        </w:rPr>
      </w:pPr>
      <w:hyperlink r:id="rId27" w:history="1">
        <w:r w:rsidR="00FE599B" w:rsidRPr="00976D52">
          <w:rPr>
            <w:rStyle w:val="Hyperlink"/>
            <w:rFonts w:ascii="Arial" w:hAnsi="Arial" w:cs="Arial"/>
            <w:b/>
            <w:sz w:val="20"/>
            <w:szCs w:val="20"/>
          </w:rPr>
          <w:t>Acórdão 671/2018</w:t>
        </w:r>
        <w:r w:rsidR="00976D52" w:rsidRPr="00976D52">
          <w:rPr>
            <w:rStyle w:val="Hyperlink"/>
            <w:rFonts w:ascii="Arial" w:hAnsi="Arial" w:cs="Arial"/>
            <w:b/>
            <w:sz w:val="20"/>
            <w:szCs w:val="20"/>
          </w:rPr>
          <w:t xml:space="preserve"> -</w:t>
        </w:r>
        <w:r w:rsidR="00FE599B" w:rsidRPr="00976D52">
          <w:rPr>
            <w:rStyle w:val="Hyperlink"/>
            <w:rFonts w:ascii="Arial" w:hAnsi="Arial" w:cs="Arial"/>
            <w:b/>
            <w:sz w:val="20"/>
            <w:szCs w:val="20"/>
          </w:rPr>
          <w:t xml:space="preserve"> Plenário</w:t>
        </w:r>
      </w:hyperlink>
      <w:r w:rsidR="00FE599B" w:rsidRPr="00976D52">
        <w:rPr>
          <w:rFonts w:ascii="Arial" w:hAnsi="Arial" w:cs="Arial"/>
          <w:b/>
          <w:sz w:val="20"/>
          <w:szCs w:val="20"/>
        </w:rPr>
        <w:t xml:space="preserve"> (Pedido de Reexame, Relator Ministro Aroldo Cedraz)</w:t>
      </w:r>
    </w:p>
    <w:p w:rsidR="00FE599B" w:rsidRPr="00306121" w:rsidRDefault="00FE599B" w:rsidP="00FE599B">
      <w:pPr>
        <w:jc w:val="both"/>
        <w:rPr>
          <w:rFonts w:ascii="Arial" w:hAnsi="Arial" w:cs="Arial"/>
          <w:b/>
          <w:sz w:val="20"/>
          <w:szCs w:val="20"/>
        </w:rPr>
      </w:pPr>
      <w:r w:rsidRPr="00306121">
        <w:rPr>
          <w:rFonts w:ascii="Arial" w:hAnsi="Arial" w:cs="Arial"/>
          <w:b/>
          <w:sz w:val="20"/>
          <w:szCs w:val="20"/>
        </w:rPr>
        <w:t>Contrato Administrativo. Equilíbrio econômico-financeiro. Encargos sociais. Desoneração. Revisão contratual.</w:t>
      </w:r>
    </w:p>
    <w:p w:rsidR="00FE599B" w:rsidRPr="00180945" w:rsidRDefault="00FE599B" w:rsidP="00FE599B">
      <w:pPr>
        <w:pStyle w:val="TCU-Epgrafe"/>
        <w:spacing w:after="200" w:line="276" w:lineRule="auto"/>
        <w:ind w:left="0"/>
        <w:rPr>
          <w:rFonts w:ascii="Arial" w:hAnsi="Arial" w:cs="Arial"/>
          <w:sz w:val="20"/>
        </w:rPr>
      </w:pPr>
      <w:r w:rsidRPr="00180945">
        <w:rPr>
          <w:rFonts w:ascii="Arial" w:hAnsi="Arial" w:cs="Arial"/>
          <w:sz w:val="20"/>
        </w:rPr>
        <w:t xml:space="preserve">Os órgãos e as entidades da Administração Pública Federal devem adotar as medidas necessárias à revisão dos contratos de prestação de serviços ainda vigentes, firmados com empresas beneficiadas pela desoneração da folha de pagamento propiciada pelo art. 7º da </w:t>
      </w:r>
      <w:hyperlink r:id="rId28" w:history="1">
        <w:r w:rsidRPr="00180945">
          <w:rPr>
            <w:rStyle w:val="Hyperlink"/>
            <w:rFonts w:ascii="Arial" w:hAnsi="Arial" w:cs="Arial"/>
            <w:color w:val="0000FF" w:themeColor="hyperlink"/>
            <w:sz w:val="20"/>
          </w:rPr>
          <w:t>Lei 12.546/2011</w:t>
        </w:r>
      </w:hyperlink>
      <w:r w:rsidRPr="00180945">
        <w:rPr>
          <w:rStyle w:val="Hyperlink"/>
          <w:rFonts w:ascii="Arial" w:hAnsi="Arial" w:cs="Arial"/>
          <w:sz w:val="20"/>
        </w:rPr>
        <w:t xml:space="preserve"> </w:t>
      </w:r>
      <w:r w:rsidRPr="00180945">
        <w:rPr>
          <w:rFonts w:ascii="Arial" w:hAnsi="Arial" w:cs="Arial"/>
          <w:sz w:val="20"/>
        </w:rPr>
        <w:t xml:space="preserve">e pelo art. 2º do </w:t>
      </w:r>
      <w:hyperlink r:id="rId29" w:history="1">
        <w:r w:rsidRPr="00180945">
          <w:rPr>
            <w:rStyle w:val="Hyperlink"/>
            <w:rFonts w:ascii="Arial" w:hAnsi="Arial" w:cs="Arial"/>
            <w:color w:val="0000FF" w:themeColor="hyperlink"/>
            <w:sz w:val="20"/>
          </w:rPr>
          <w:t>Decreto 7.828/2012</w:t>
        </w:r>
      </w:hyperlink>
      <w:r w:rsidRPr="00180945">
        <w:rPr>
          <w:rFonts w:ascii="Arial" w:hAnsi="Arial" w:cs="Arial"/>
          <w:sz w:val="20"/>
        </w:rPr>
        <w:t>, atentando para os efeitos retroativos às datas de início da desoneração mencionadas na legislação, bem como à obtenção, na via administrativa, do ressarcimento dos valores pagos a maior em relação aos contratos de prestação de serviços já encerrados, celebrados com empresas beneficiadas pela aludida desoneração.</w:t>
      </w:r>
    </w:p>
    <w:p w:rsidR="00615D5F" w:rsidRPr="00173048" w:rsidRDefault="001E5B6A" w:rsidP="00615D5F">
      <w:pPr>
        <w:widowControl w:val="0"/>
        <w:autoSpaceDE w:val="0"/>
        <w:autoSpaceDN w:val="0"/>
        <w:jc w:val="both"/>
        <w:rPr>
          <w:rFonts w:ascii="Arial" w:hAnsi="Arial" w:cs="Arial"/>
          <w:b/>
          <w:sz w:val="20"/>
          <w:szCs w:val="20"/>
        </w:rPr>
      </w:pPr>
      <w:hyperlink r:id="rId30" w:history="1">
        <w:r w:rsidR="00615D5F" w:rsidRPr="00173048">
          <w:rPr>
            <w:rStyle w:val="Hyperlink"/>
            <w:rFonts w:ascii="Arial" w:hAnsi="Arial" w:cs="Arial"/>
            <w:b/>
            <w:sz w:val="20"/>
            <w:szCs w:val="20"/>
          </w:rPr>
          <w:t>Acórdão 2233/2018</w:t>
        </w:r>
        <w:r w:rsidR="00643BB1" w:rsidRPr="00173048">
          <w:rPr>
            <w:rStyle w:val="Hyperlink"/>
            <w:rFonts w:ascii="Arial" w:hAnsi="Arial" w:cs="Arial"/>
            <w:b/>
            <w:sz w:val="20"/>
            <w:szCs w:val="20"/>
          </w:rPr>
          <w:t xml:space="preserve"> - </w:t>
        </w:r>
        <w:r w:rsidR="00615D5F" w:rsidRPr="00173048">
          <w:rPr>
            <w:rStyle w:val="Hyperlink"/>
            <w:rFonts w:ascii="Arial" w:hAnsi="Arial" w:cs="Arial"/>
            <w:b/>
            <w:sz w:val="20"/>
            <w:szCs w:val="20"/>
          </w:rPr>
          <w:t>Primeira Câmara</w:t>
        </w:r>
      </w:hyperlink>
      <w:r w:rsidR="00615D5F" w:rsidRPr="00173048">
        <w:rPr>
          <w:rFonts w:ascii="Arial" w:hAnsi="Arial" w:cs="Arial"/>
          <w:b/>
          <w:sz w:val="20"/>
          <w:szCs w:val="20"/>
        </w:rPr>
        <w:t xml:space="preserve"> (Prestação de Contas, Relator Ministro-Substituto </w:t>
      </w:r>
      <w:proofErr w:type="spellStart"/>
      <w:r w:rsidR="00615D5F" w:rsidRPr="00173048">
        <w:rPr>
          <w:rFonts w:ascii="Arial" w:hAnsi="Arial" w:cs="Arial"/>
          <w:b/>
          <w:sz w:val="20"/>
          <w:szCs w:val="20"/>
        </w:rPr>
        <w:lastRenderedPageBreak/>
        <w:t>Weder</w:t>
      </w:r>
      <w:proofErr w:type="spellEnd"/>
      <w:r w:rsidR="00615D5F" w:rsidRPr="00173048">
        <w:rPr>
          <w:rFonts w:ascii="Arial" w:hAnsi="Arial" w:cs="Arial"/>
          <w:b/>
          <w:sz w:val="20"/>
          <w:szCs w:val="20"/>
        </w:rPr>
        <w:t xml:space="preserve"> de Oliveira)</w:t>
      </w:r>
    </w:p>
    <w:p w:rsidR="00615D5F" w:rsidRPr="00306121" w:rsidRDefault="00615D5F" w:rsidP="00615D5F">
      <w:pPr>
        <w:jc w:val="both"/>
        <w:rPr>
          <w:rFonts w:ascii="Arial" w:hAnsi="Arial" w:cs="Arial"/>
          <w:b/>
          <w:sz w:val="20"/>
          <w:szCs w:val="20"/>
        </w:rPr>
      </w:pPr>
      <w:r w:rsidRPr="00306121">
        <w:rPr>
          <w:rFonts w:ascii="Arial" w:hAnsi="Arial" w:cs="Arial"/>
          <w:b/>
          <w:sz w:val="20"/>
          <w:szCs w:val="20"/>
        </w:rPr>
        <w:t>Contrato Administrativo. Taxa de administração. Vedação. Fundação de apoio. Pagamento. Base de cálculo.</w:t>
      </w:r>
    </w:p>
    <w:p w:rsidR="00615D5F" w:rsidRPr="00180945" w:rsidRDefault="00615D5F" w:rsidP="00615D5F">
      <w:pPr>
        <w:pStyle w:val="Default"/>
        <w:spacing w:after="200" w:line="276" w:lineRule="auto"/>
        <w:jc w:val="both"/>
        <w:rPr>
          <w:sz w:val="20"/>
          <w:szCs w:val="20"/>
        </w:rPr>
      </w:pPr>
      <w:r w:rsidRPr="00180945">
        <w:rPr>
          <w:color w:val="292B2C"/>
          <w:sz w:val="20"/>
          <w:szCs w:val="20"/>
          <w:shd w:val="clear" w:color="auto" w:fill="FFFFFF"/>
        </w:rPr>
        <w:t xml:space="preserve">É irregular, nos contratos de prestação de serviço com fundações de apoio, </w:t>
      </w:r>
      <w:r w:rsidRPr="00180945">
        <w:rPr>
          <w:sz w:val="20"/>
          <w:szCs w:val="20"/>
        </w:rPr>
        <w:t>o estabelecimento de remuneração com base em taxa de administração, comissão, participação ou outra espécie de recompensa variável, que não traduza preço certo fundamentado nos custos operacionais dos serviços prestados.</w:t>
      </w:r>
    </w:p>
    <w:p w:rsidR="00615D5F" w:rsidRPr="00173048" w:rsidRDefault="001E5B6A" w:rsidP="00615D5F">
      <w:pPr>
        <w:widowControl w:val="0"/>
        <w:autoSpaceDE w:val="0"/>
        <w:autoSpaceDN w:val="0"/>
        <w:jc w:val="both"/>
        <w:rPr>
          <w:rFonts w:ascii="Arial" w:hAnsi="Arial" w:cs="Arial"/>
          <w:b/>
          <w:sz w:val="20"/>
          <w:szCs w:val="20"/>
        </w:rPr>
      </w:pPr>
      <w:hyperlink r:id="rId31" w:history="1">
        <w:r w:rsidR="00615D5F" w:rsidRPr="00173048">
          <w:rPr>
            <w:rStyle w:val="Hyperlink"/>
            <w:rFonts w:ascii="Arial" w:hAnsi="Arial" w:cs="Arial"/>
            <w:b/>
            <w:sz w:val="20"/>
            <w:szCs w:val="20"/>
          </w:rPr>
          <w:t>Acórdão 2234/2018</w:t>
        </w:r>
        <w:r w:rsidR="00173048" w:rsidRPr="00173048">
          <w:rPr>
            <w:rStyle w:val="Hyperlink"/>
            <w:rFonts w:ascii="Arial" w:hAnsi="Arial" w:cs="Arial"/>
            <w:b/>
            <w:sz w:val="20"/>
            <w:szCs w:val="20"/>
          </w:rPr>
          <w:t xml:space="preserve"> - </w:t>
        </w:r>
        <w:r w:rsidR="00615D5F" w:rsidRPr="00173048">
          <w:rPr>
            <w:rStyle w:val="Hyperlink"/>
            <w:rFonts w:ascii="Arial" w:hAnsi="Arial" w:cs="Arial"/>
            <w:b/>
            <w:sz w:val="20"/>
            <w:szCs w:val="20"/>
          </w:rPr>
          <w:t>Primeira Câmara</w:t>
        </w:r>
      </w:hyperlink>
      <w:r w:rsidR="00615D5F" w:rsidRPr="00173048">
        <w:rPr>
          <w:rFonts w:ascii="Arial" w:hAnsi="Arial" w:cs="Arial"/>
          <w:b/>
          <w:sz w:val="20"/>
          <w:szCs w:val="20"/>
        </w:rPr>
        <w:t xml:space="preserve"> (Tomada de Contas Especial, Relator Ministro-Substituto </w:t>
      </w:r>
      <w:proofErr w:type="spellStart"/>
      <w:r w:rsidR="00615D5F" w:rsidRPr="00173048">
        <w:rPr>
          <w:rFonts w:ascii="Arial" w:hAnsi="Arial" w:cs="Arial"/>
          <w:b/>
          <w:sz w:val="20"/>
          <w:szCs w:val="20"/>
        </w:rPr>
        <w:t>Weder</w:t>
      </w:r>
      <w:proofErr w:type="spellEnd"/>
      <w:r w:rsidR="00615D5F" w:rsidRPr="00173048">
        <w:rPr>
          <w:rFonts w:ascii="Arial" w:hAnsi="Arial" w:cs="Arial"/>
          <w:b/>
          <w:sz w:val="20"/>
          <w:szCs w:val="20"/>
        </w:rPr>
        <w:t xml:space="preserve"> de Oliveira)</w:t>
      </w:r>
    </w:p>
    <w:p w:rsidR="00615D5F" w:rsidRPr="00306121" w:rsidRDefault="00615D5F" w:rsidP="00615D5F">
      <w:pPr>
        <w:jc w:val="both"/>
        <w:rPr>
          <w:rFonts w:ascii="Arial" w:hAnsi="Arial" w:cs="Arial"/>
          <w:b/>
          <w:sz w:val="20"/>
          <w:szCs w:val="20"/>
        </w:rPr>
      </w:pPr>
      <w:r w:rsidRPr="00306121">
        <w:rPr>
          <w:rFonts w:ascii="Arial" w:hAnsi="Arial" w:cs="Arial"/>
          <w:b/>
          <w:sz w:val="20"/>
          <w:szCs w:val="20"/>
        </w:rPr>
        <w:t>Convênio. Transferência de recursos. Intempestividade. Nexo de causalidade. Avaliação.</w:t>
      </w:r>
    </w:p>
    <w:p w:rsidR="00E14500" w:rsidRPr="00180945" w:rsidRDefault="00615D5F" w:rsidP="00E14500">
      <w:pPr>
        <w:jc w:val="both"/>
        <w:rPr>
          <w:rFonts w:ascii="Arial" w:hAnsi="Arial" w:cs="Arial"/>
          <w:sz w:val="20"/>
          <w:szCs w:val="20"/>
        </w:rPr>
      </w:pPr>
      <w:r w:rsidRPr="00180945">
        <w:rPr>
          <w:rFonts w:ascii="Arial" w:hAnsi="Arial" w:cs="Arial"/>
          <w:sz w:val="20"/>
          <w:szCs w:val="20"/>
        </w:rPr>
        <w:t xml:space="preserve">A análise do nexo de causalidade na execução de convênios segue a premissa de que os recursos são repassados antes da realização das despesas. Entretanto, havendo atraso no repasse por culpa </w:t>
      </w:r>
      <w:proofErr w:type="gramStart"/>
      <w:r w:rsidRPr="00180945">
        <w:rPr>
          <w:rFonts w:ascii="Arial" w:hAnsi="Arial" w:cs="Arial"/>
          <w:sz w:val="20"/>
          <w:szCs w:val="20"/>
        </w:rPr>
        <w:t>do concedente</w:t>
      </w:r>
      <w:proofErr w:type="gramEnd"/>
      <w:r w:rsidRPr="00180945">
        <w:rPr>
          <w:rFonts w:ascii="Arial" w:hAnsi="Arial" w:cs="Arial"/>
          <w:sz w:val="20"/>
          <w:szCs w:val="20"/>
        </w:rPr>
        <w:t>, é justificável, em observância à prevalência do interesse público, a utilização dos recursos transferidos para reposição do pagamento das despesas previamente incorridas pelo convenente para cumprir obri</w:t>
      </w:r>
      <w:r w:rsidR="00E14500" w:rsidRPr="00180945">
        <w:rPr>
          <w:rFonts w:ascii="Arial" w:hAnsi="Arial" w:cs="Arial"/>
          <w:sz w:val="20"/>
          <w:szCs w:val="20"/>
        </w:rPr>
        <w:t>gações contratuais decorrentes da execução do objeto.</w:t>
      </w:r>
    </w:p>
    <w:p w:rsidR="00743FC5" w:rsidRPr="00AE141C" w:rsidRDefault="001E5B6A" w:rsidP="00F327DA">
      <w:pPr>
        <w:widowControl w:val="0"/>
        <w:autoSpaceDE w:val="0"/>
        <w:autoSpaceDN w:val="0"/>
        <w:jc w:val="both"/>
        <w:rPr>
          <w:rFonts w:ascii="Arial" w:hAnsi="Arial" w:cs="Arial"/>
          <w:b/>
          <w:sz w:val="20"/>
          <w:szCs w:val="20"/>
        </w:rPr>
      </w:pPr>
      <w:hyperlink r:id="rId32" w:history="1">
        <w:r w:rsidR="00743FC5" w:rsidRPr="00AE141C">
          <w:rPr>
            <w:rStyle w:val="Hyperlink"/>
            <w:rFonts w:ascii="Arial" w:hAnsi="Arial" w:cs="Arial"/>
            <w:b/>
            <w:sz w:val="20"/>
            <w:szCs w:val="20"/>
          </w:rPr>
          <w:t>Acórdão 1875/2018</w:t>
        </w:r>
        <w:r w:rsidR="00AE141C" w:rsidRPr="00AE141C">
          <w:rPr>
            <w:rStyle w:val="Hyperlink"/>
            <w:rFonts w:ascii="Arial" w:hAnsi="Arial" w:cs="Arial"/>
            <w:b/>
            <w:sz w:val="20"/>
            <w:szCs w:val="20"/>
          </w:rPr>
          <w:t xml:space="preserve"> - </w:t>
        </w:r>
        <w:r w:rsidR="00743FC5" w:rsidRPr="00AE141C">
          <w:rPr>
            <w:rStyle w:val="Hyperlink"/>
            <w:rFonts w:ascii="Arial" w:hAnsi="Arial" w:cs="Arial"/>
            <w:b/>
            <w:sz w:val="20"/>
            <w:szCs w:val="20"/>
          </w:rPr>
          <w:t>Segunda Câmara</w:t>
        </w:r>
      </w:hyperlink>
      <w:r w:rsidR="00743FC5" w:rsidRPr="00AE141C">
        <w:rPr>
          <w:rFonts w:ascii="Arial" w:hAnsi="Arial" w:cs="Arial"/>
          <w:b/>
          <w:sz w:val="20"/>
          <w:szCs w:val="20"/>
        </w:rPr>
        <w:t xml:space="preserve"> (Embargos de Declaração, Relator Ministro-Substituto André de Carvalho)</w:t>
      </w:r>
    </w:p>
    <w:p w:rsidR="00743FC5" w:rsidRPr="00AE141C" w:rsidRDefault="00743FC5" w:rsidP="00F327DA">
      <w:pPr>
        <w:jc w:val="both"/>
        <w:rPr>
          <w:rFonts w:ascii="Arial" w:hAnsi="Arial" w:cs="Arial"/>
          <w:b/>
          <w:sz w:val="20"/>
          <w:szCs w:val="20"/>
        </w:rPr>
      </w:pPr>
      <w:r w:rsidRPr="00AE141C">
        <w:rPr>
          <w:rFonts w:ascii="Arial" w:hAnsi="Arial" w:cs="Arial"/>
          <w:b/>
          <w:sz w:val="20"/>
          <w:szCs w:val="20"/>
        </w:rPr>
        <w:t>Pessoal. Tempo de serviço. Trabalho rural. Averbação de tempo de serviço. Contribuição previdenciária. Comprovação. Marco temporal.</w:t>
      </w:r>
    </w:p>
    <w:p w:rsidR="00743FC5" w:rsidRDefault="00743FC5" w:rsidP="00F327DA">
      <w:pPr>
        <w:pStyle w:val="TCU-Epgrafe"/>
        <w:spacing w:after="200" w:line="276" w:lineRule="auto"/>
        <w:ind w:left="0"/>
        <w:rPr>
          <w:rFonts w:ascii="Arial" w:hAnsi="Arial" w:cs="Arial"/>
          <w:sz w:val="20"/>
        </w:rPr>
      </w:pPr>
      <w:r w:rsidRPr="00180945">
        <w:rPr>
          <w:rFonts w:ascii="Arial" w:hAnsi="Arial" w:cs="Arial"/>
          <w:sz w:val="20"/>
        </w:rPr>
        <w:t xml:space="preserve">A comprovação do recolhimento das contribuições previdenciárias para averbação de tempo de atividade rural para fins de aposentadoria no serviço público é exigível desde a promulgação da </w:t>
      </w:r>
      <w:hyperlink r:id="rId33" w:history="1">
        <w:r w:rsidRPr="00180945">
          <w:rPr>
            <w:rStyle w:val="Hyperlink"/>
            <w:rFonts w:ascii="Arial" w:hAnsi="Arial" w:cs="Arial"/>
            <w:color w:val="0000FF" w:themeColor="hyperlink"/>
            <w:sz w:val="20"/>
          </w:rPr>
          <w:t>Constituição Federal</w:t>
        </w:r>
      </w:hyperlink>
      <w:r w:rsidRPr="00180945">
        <w:rPr>
          <w:rFonts w:ascii="Arial" w:hAnsi="Arial" w:cs="Arial"/>
          <w:sz w:val="20"/>
        </w:rPr>
        <w:t xml:space="preserve"> (art. 202, § 2º, na redação original, e art. 201, § 9º, na redação atual), e não a partir da edição da </w:t>
      </w:r>
      <w:hyperlink r:id="rId34" w:history="1">
        <w:r w:rsidRPr="00180945">
          <w:rPr>
            <w:rStyle w:val="Hyperlink"/>
            <w:rFonts w:ascii="Arial" w:hAnsi="Arial" w:cs="Arial"/>
            <w:sz w:val="20"/>
          </w:rPr>
          <w:t>MP 1.523/1996</w:t>
        </w:r>
      </w:hyperlink>
      <w:r w:rsidRPr="00180945">
        <w:rPr>
          <w:rFonts w:ascii="Arial" w:hAnsi="Arial" w:cs="Arial"/>
          <w:sz w:val="20"/>
        </w:rPr>
        <w:t>.</w:t>
      </w:r>
    </w:p>
    <w:p w:rsidR="00EB66CE" w:rsidRPr="0039356F" w:rsidRDefault="001E5B6A" w:rsidP="00EB66CE">
      <w:pPr>
        <w:widowControl w:val="0"/>
        <w:autoSpaceDE w:val="0"/>
        <w:autoSpaceDN w:val="0"/>
        <w:spacing w:after="0"/>
        <w:jc w:val="both"/>
        <w:rPr>
          <w:rFonts w:ascii="Arial" w:hAnsi="Arial" w:cs="Arial"/>
          <w:b/>
          <w:sz w:val="20"/>
          <w:szCs w:val="20"/>
        </w:rPr>
      </w:pPr>
      <w:hyperlink r:id="rId35" w:history="1">
        <w:r w:rsidR="00EB66CE" w:rsidRPr="0039356F">
          <w:rPr>
            <w:rStyle w:val="Hyperlink"/>
            <w:rFonts w:ascii="Arial" w:hAnsi="Arial"/>
            <w:b/>
            <w:sz w:val="20"/>
            <w:szCs w:val="20"/>
          </w:rPr>
          <w:t>Acórdão 828/2018 Plenário</w:t>
        </w:r>
      </w:hyperlink>
      <w:r w:rsidR="00EB66CE" w:rsidRPr="0039356F">
        <w:rPr>
          <w:rFonts w:ascii="Arial" w:hAnsi="Arial"/>
          <w:b/>
          <w:sz w:val="20"/>
          <w:szCs w:val="20"/>
        </w:rPr>
        <w:t xml:space="preserve"> (Representação, Relator Ministro-Substituto André de Carvalho)</w:t>
      </w:r>
    </w:p>
    <w:p w:rsidR="002E0B01" w:rsidRPr="0039356F" w:rsidRDefault="002E0B01" w:rsidP="00EB66CE">
      <w:pPr>
        <w:spacing w:after="0"/>
        <w:jc w:val="both"/>
        <w:rPr>
          <w:rFonts w:ascii="Arial" w:hAnsi="Arial"/>
          <w:b/>
          <w:sz w:val="20"/>
          <w:szCs w:val="20"/>
        </w:rPr>
      </w:pPr>
    </w:p>
    <w:p w:rsidR="00EB66CE" w:rsidRPr="0039356F" w:rsidRDefault="00EB66CE" w:rsidP="00EB66CE">
      <w:pPr>
        <w:spacing w:after="0"/>
        <w:jc w:val="both"/>
        <w:rPr>
          <w:rFonts w:ascii="Arial" w:hAnsi="Arial"/>
          <w:b/>
          <w:sz w:val="20"/>
          <w:szCs w:val="20"/>
        </w:rPr>
      </w:pPr>
      <w:proofErr w:type="gramStart"/>
      <w:r w:rsidRPr="0039356F">
        <w:rPr>
          <w:rFonts w:ascii="Arial" w:hAnsi="Arial"/>
          <w:b/>
          <w:sz w:val="20"/>
          <w:szCs w:val="20"/>
        </w:rPr>
        <w:t>Direito Processual</w:t>
      </w:r>
      <w:proofErr w:type="gramEnd"/>
      <w:r w:rsidRPr="0039356F">
        <w:rPr>
          <w:rFonts w:ascii="Arial" w:hAnsi="Arial"/>
          <w:b/>
          <w:sz w:val="20"/>
          <w:szCs w:val="20"/>
        </w:rPr>
        <w:t>. Representação. Perda de objeto. Licitação. Anulação. Mérito.</w:t>
      </w:r>
    </w:p>
    <w:p w:rsidR="00EB66CE" w:rsidRPr="00EB66CE" w:rsidRDefault="00EB66CE" w:rsidP="00EB66CE">
      <w:pPr>
        <w:spacing w:after="0"/>
        <w:jc w:val="both"/>
        <w:rPr>
          <w:rFonts w:ascii="Arial" w:hAnsi="Arial" w:cs="Arial"/>
          <w:sz w:val="20"/>
          <w:szCs w:val="20"/>
        </w:rPr>
      </w:pPr>
    </w:p>
    <w:p w:rsidR="00EB66CE" w:rsidRDefault="00EB66CE" w:rsidP="00EB66CE">
      <w:pPr>
        <w:pStyle w:val="TCU-Epgrafe"/>
        <w:spacing w:line="276" w:lineRule="auto"/>
        <w:ind w:left="0"/>
        <w:rPr>
          <w:rFonts w:ascii="Arial" w:hAnsi="Arial"/>
          <w:sz w:val="20"/>
        </w:rPr>
      </w:pPr>
      <w:r w:rsidRPr="00EB66CE">
        <w:rPr>
          <w:rFonts w:ascii="Arial" w:hAnsi="Arial"/>
          <w:sz w:val="20"/>
        </w:rPr>
        <w:t>A anulação da licitação não conduz, necessariamente, à perda de objeto da representação, podendo o exame de mérito se fazer cogente com vistas a orientar pedagogicamente o órgão licitante, de modo a evitar a repetição das ocorrências examinadas, e a responsabilizar o gestor pelos atos irregulares praticados.</w:t>
      </w:r>
    </w:p>
    <w:p w:rsidR="00395BC8" w:rsidRDefault="00395BC8" w:rsidP="00EB66CE">
      <w:pPr>
        <w:pStyle w:val="TCU-Epgrafe"/>
        <w:spacing w:line="276" w:lineRule="auto"/>
        <w:ind w:left="0"/>
        <w:rPr>
          <w:rFonts w:ascii="Arial" w:hAnsi="Arial"/>
          <w:sz w:val="20"/>
        </w:rPr>
      </w:pPr>
    </w:p>
    <w:p w:rsidR="00395BC8" w:rsidRPr="00470C31" w:rsidRDefault="001E5B6A" w:rsidP="00395BC8">
      <w:pPr>
        <w:widowControl w:val="0"/>
        <w:autoSpaceDE w:val="0"/>
        <w:autoSpaceDN w:val="0"/>
        <w:spacing w:after="0"/>
        <w:jc w:val="both"/>
        <w:rPr>
          <w:rFonts w:ascii="Arial" w:hAnsi="Arial" w:cs="Arial"/>
          <w:b/>
          <w:sz w:val="20"/>
          <w:szCs w:val="20"/>
        </w:rPr>
      </w:pPr>
      <w:hyperlink r:id="rId36" w:history="1">
        <w:r w:rsidR="00395BC8" w:rsidRPr="00470C31">
          <w:rPr>
            <w:rStyle w:val="Hyperlink"/>
            <w:rFonts w:ascii="Arial" w:hAnsi="Arial"/>
            <w:b/>
            <w:sz w:val="20"/>
            <w:szCs w:val="20"/>
          </w:rPr>
          <w:t>Acórdão 830/2018</w:t>
        </w:r>
        <w:r w:rsidR="00470C31" w:rsidRPr="00470C31">
          <w:rPr>
            <w:rStyle w:val="Hyperlink"/>
            <w:rFonts w:ascii="Arial" w:hAnsi="Arial"/>
            <w:b/>
            <w:sz w:val="20"/>
            <w:szCs w:val="20"/>
          </w:rPr>
          <w:t xml:space="preserve"> - </w:t>
        </w:r>
        <w:r w:rsidR="00395BC8" w:rsidRPr="00470C31">
          <w:rPr>
            <w:rStyle w:val="Hyperlink"/>
            <w:rFonts w:ascii="Arial" w:hAnsi="Arial"/>
            <w:b/>
            <w:sz w:val="20"/>
            <w:szCs w:val="20"/>
          </w:rPr>
          <w:t>Plenário</w:t>
        </w:r>
      </w:hyperlink>
      <w:r w:rsidR="00395BC8" w:rsidRPr="00470C31">
        <w:rPr>
          <w:rFonts w:ascii="Arial" w:hAnsi="Arial"/>
          <w:b/>
          <w:sz w:val="20"/>
          <w:szCs w:val="20"/>
        </w:rPr>
        <w:t xml:space="preserve"> (Representação, Relator Ministro-Substituto André de </w:t>
      </w:r>
      <w:r w:rsidR="00395BC8" w:rsidRPr="00470C31">
        <w:rPr>
          <w:rFonts w:ascii="Arial" w:hAnsi="Arial"/>
          <w:b/>
          <w:sz w:val="20"/>
          <w:szCs w:val="20"/>
        </w:rPr>
        <w:lastRenderedPageBreak/>
        <w:t>Carvalho)</w:t>
      </w:r>
    </w:p>
    <w:p w:rsidR="002E0B01" w:rsidRDefault="002E0B01" w:rsidP="00395BC8">
      <w:pPr>
        <w:spacing w:after="0"/>
        <w:jc w:val="both"/>
        <w:rPr>
          <w:rFonts w:ascii="Arial" w:hAnsi="Arial"/>
          <w:sz w:val="20"/>
          <w:szCs w:val="20"/>
        </w:rPr>
      </w:pPr>
    </w:p>
    <w:p w:rsidR="00395BC8" w:rsidRDefault="00395BC8" w:rsidP="00395BC8">
      <w:pPr>
        <w:spacing w:after="0"/>
        <w:jc w:val="both"/>
        <w:rPr>
          <w:rFonts w:ascii="Arial" w:hAnsi="Arial"/>
          <w:b/>
          <w:sz w:val="20"/>
          <w:szCs w:val="20"/>
        </w:rPr>
      </w:pPr>
      <w:r w:rsidRPr="00470C31">
        <w:rPr>
          <w:rFonts w:ascii="Arial" w:hAnsi="Arial"/>
          <w:b/>
          <w:sz w:val="20"/>
          <w:szCs w:val="20"/>
        </w:rPr>
        <w:t>Licitação. Julgamento. Erro material. Proposta de preço. Desclassificação. Diligência. Preço global.</w:t>
      </w:r>
    </w:p>
    <w:p w:rsidR="00470C31" w:rsidRPr="00470C31" w:rsidRDefault="00470C31" w:rsidP="00395BC8">
      <w:pPr>
        <w:spacing w:after="0"/>
        <w:jc w:val="both"/>
        <w:rPr>
          <w:rFonts w:ascii="Arial" w:hAnsi="Arial" w:cs="Arial"/>
          <w:b/>
          <w:sz w:val="20"/>
          <w:szCs w:val="20"/>
        </w:rPr>
      </w:pPr>
    </w:p>
    <w:p w:rsidR="00395BC8" w:rsidRPr="00395BC8" w:rsidRDefault="00395BC8" w:rsidP="00395BC8">
      <w:pPr>
        <w:pStyle w:val="TCU-Epgrafe"/>
        <w:spacing w:line="276" w:lineRule="auto"/>
        <w:ind w:left="0"/>
        <w:rPr>
          <w:sz w:val="20"/>
        </w:rPr>
      </w:pPr>
      <w:r w:rsidRPr="00395BC8">
        <w:rPr>
          <w:rFonts w:ascii="Arial" w:hAnsi="Arial"/>
          <w:sz w:val="20"/>
        </w:rPr>
        <w:t>A mera existência de erro material ou de omissão na planilha de custos e de preços de licitante não enseja, necessariamente, a desclassificação antecipada da sua proposta, devendo a Administração promover diligência junto ao interessado para a correção das falhas, sem permitir, contudo, a alteração do valor global originalmente proposto.</w:t>
      </w:r>
    </w:p>
    <w:p w:rsidR="00395BC8" w:rsidRPr="00EB66CE" w:rsidRDefault="00395BC8" w:rsidP="00EB66CE">
      <w:pPr>
        <w:pStyle w:val="TCU-Epgrafe"/>
        <w:spacing w:line="276" w:lineRule="auto"/>
        <w:ind w:left="0"/>
        <w:rPr>
          <w:sz w:val="20"/>
        </w:rPr>
      </w:pPr>
    </w:p>
    <w:p w:rsidR="000C6345" w:rsidRPr="00470C31" w:rsidRDefault="001E5B6A" w:rsidP="0026721A">
      <w:pPr>
        <w:widowControl w:val="0"/>
        <w:autoSpaceDE w:val="0"/>
        <w:autoSpaceDN w:val="0"/>
        <w:spacing w:after="0"/>
        <w:jc w:val="both"/>
        <w:rPr>
          <w:rFonts w:ascii="Arial" w:hAnsi="Arial" w:cs="Arial"/>
          <w:b/>
          <w:sz w:val="20"/>
          <w:szCs w:val="20"/>
        </w:rPr>
      </w:pPr>
      <w:hyperlink r:id="rId37" w:history="1">
        <w:r w:rsidR="000C6345" w:rsidRPr="00470C31">
          <w:rPr>
            <w:rStyle w:val="Hyperlink"/>
            <w:rFonts w:ascii="Arial" w:hAnsi="Arial" w:cs="Arial"/>
            <w:b/>
            <w:sz w:val="20"/>
            <w:szCs w:val="20"/>
          </w:rPr>
          <w:t>Acórdão 830/2018</w:t>
        </w:r>
        <w:r w:rsidR="00470C31" w:rsidRPr="00470C31">
          <w:rPr>
            <w:rStyle w:val="Hyperlink"/>
            <w:rFonts w:ascii="Arial" w:hAnsi="Arial" w:cs="Arial"/>
            <w:b/>
            <w:sz w:val="20"/>
            <w:szCs w:val="20"/>
          </w:rPr>
          <w:t xml:space="preserve"> - </w:t>
        </w:r>
        <w:r w:rsidR="000C6345" w:rsidRPr="00470C31">
          <w:rPr>
            <w:rStyle w:val="Hyperlink"/>
            <w:rFonts w:ascii="Arial" w:hAnsi="Arial" w:cs="Arial"/>
            <w:b/>
            <w:sz w:val="20"/>
            <w:szCs w:val="20"/>
          </w:rPr>
          <w:t>Plenário</w:t>
        </w:r>
      </w:hyperlink>
      <w:r w:rsidR="000C6345" w:rsidRPr="00470C31">
        <w:rPr>
          <w:rFonts w:ascii="Arial" w:hAnsi="Arial" w:cs="Arial"/>
          <w:b/>
          <w:sz w:val="20"/>
          <w:szCs w:val="20"/>
        </w:rPr>
        <w:t xml:space="preserve"> (Representação, Relator Ministro-Substituto André de Carvalho)</w:t>
      </w:r>
    </w:p>
    <w:p w:rsidR="0026721A" w:rsidRPr="00470C31" w:rsidRDefault="0026721A" w:rsidP="0026721A">
      <w:pPr>
        <w:spacing w:after="0"/>
        <w:jc w:val="both"/>
        <w:rPr>
          <w:rFonts w:ascii="Arial" w:hAnsi="Arial" w:cs="Arial"/>
          <w:b/>
          <w:sz w:val="20"/>
          <w:szCs w:val="20"/>
        </w:rPr>
      </w:pPr>
    </w:p>
    <w:p w:rsidR="000C6345" w:rsidRPr="00470C31" w:rsidRDefault="000C6345" w:rsidP="0026721A">
      <w:pPr>
        <w:spacing w:after="0"/>
        <w:jc w:val="both"/>
        <w:rPr>
          <w:rFonts w:ascii="Arial" w:hAnsi="Arial" w:cs="Arial"/>
          <w:b/>
          <w:sz w:val="20"/>
          <w:szCs w:val="20"/>
        </w:rPr>
      </w:pPr>
      <w:r w:rsidRPr="00470C31">
        <w:rPr>
          <w:rFonts w:ascii="Arial" w:hAnsi="Arial" w:cs="Arial"/>
          <w:b/>
          <w:sz w:val="20"/>
          <w:szCs w:val="20"/>
        </w:rPr>
        <w:t>Licitação. RDC. Intenção de recurso. Preclusão. Ato ilegal. Revisão.</w:t>
      </w:r>
    </w:p>
    <w:p w:rsidR="0026721A" w:rsidRPr="000C6345" w:rsidRDefault="0026721A" w:rsidP="0026721A">
      <w:pPr>
        <w:spacing w:after="0"/>
        <w:jc w:val="both"/>
        <w:rPr>
          <w:rFonts w:ascii="Arial" w:hAnsi="Arial" w:cs="Arial"/>
          <w:sz w:val="20"/>
          <w:szCs w:val="20"/>
        </w:rPr>
      </w:pPr>
    </w:p>
    <w:p w:rsidR="000C6345" w:rsidRPr="000C6345" w:rsidRDefault="000C6345" w:rsidP="0026721A">
      <w:pPr>
        <w:pStyle w:val="TCU-Epgrafe"/>
        <w:spacing w:line="276" w:lineRule="auto"/>
        <w:ind w:left="0"/>
        <w:rPr>
          <w:rFonts w:ascii="Arial" w:hAnsi="Arial" w:cs="Arial"/>
          <w:sz w:val="20"/>
        </w:rPr>
      </w:pPr>
      <w:r w:rsidRPr="000C6345">
        <w:rPr>
          <w:rFonts w:ascii="Arial" w:hAnsi="Arial" w:cs="Arial"/>
          <w:sz w:val="20"/>
        </w:rPr>
        <w:t xml:space="preserve">A preclusão do direito de recurso de licitante, por motivo de não apresentação da intenção recursal no prazo devido (art. 45, § 1º, da </w:t>
      </w:r>
      <w:hyperlink r:id="rId38" w:history="1">
        <w:r w:rsidRPr="000C6345">
          <w:rPr>
            <w:rStyle w:val="Hyperlink"/>
            <w:rFonts w:ascii="Arial" w:hAnsi="Arial" w:cs="Arial"/>
            <w:color w:val="0000FF" w:themeColor="hyperlink"/>
            <w:sz w:val="20"/>
          </w:rPr>
          <w:t>Lei 12.462/2011</w:t>
        </w:r>
      </w:hyperlink>
      <w:r w:rsidRPr="000C6345">
        <w:rPr>
          <w:rStyle w:val="Hyperlink"/>
          <w:rFonts w:ascii="Arial" w:hAnsi="Arial" w:cs="Arial"/>
          <w:sz w:val="20"/>
        </w:rPr>
        <w:t>)</w:t>
      </w:r>
      <w:r w:rsidRPr="000C6345">
        <w:rPr>
          <w:rFonts w:ascii="Arial" w:hAnsi="Arial" w:cs="Arial"/>
          <w:sz w:val="20"/>
        </w:rPr>
        <w:t xml:space="preserve">, não impede a Administração de exercer o poder-dever de rever os seus atos ilegais, nos termos do art. 63, § 2º, da </w:t>
      </w:r>
      <w:hyperlink r:id="rId39" w:history="1">
        <w:r w:rsidRPr="000C6345">
          <w:rPr>
            <w:rStyle w:val="Hyperlink"/>
            <w:rFonts w:ascii="Arial" w:hAnsi="Arial" w:cs="Arial"/>
            <w:color w:val="0000FF" w:themeColor="hyperlink"/>
            <w:sz w:val="20"/>
          </w:rPr>
          <w:t>Lei 9.784/1999</w:t>
        </w:r>
      </w:hyperlink>
      <w:r w:rsidRPr="000C6345">
        <w:rPr>
          <w:rFonts w:ascii="Arial" w:hAnsi="Arial" w:cs="Arial"/>
          <w:sz w:val="20"/>
        </w:rPr>
        <w:t xml:space="preserve"> e da Súmula STF 473.</w:t>
      </w:r>
    </w:p>
    <w:p w:rsidR="00EB66CE" w:rsidRPr="00180945" w:rsidRDefault="00EB66CE" w:rsidP="00F327DA">
      <w:pPr>
        <w:pStyle w:val="TCU-Epgrafe"/>
        <w:spacing w:after="200" w:line="276" w:lineRule="auto"/>
        <w:ind w:left="0"/>
        <w:rPr>
          <w:rFonts w:ascii="Arial" w:hAnsi="Arial" w:cs="Arial"/>
          <w:sz w:val="20"/>
        </w:rPr>
      </w:pPr>
    </w:p>
    <w:p w:rsidR="00543DF0" w:rsidRDefault="00543DF0" w:rsidP="00543DF0">
      <w:pPr>
        <w:pStyle w:val="Default"/>
        <w:spacing w:after="200" w:line="276" w:lineRule="auto"/>
        <w:jc w:val="both"/>
        <w:rPr>
          <w:b/>
          <w:sz w:val="20"/>
          <w:szCs w:val="20"/>
        </w:rPr>
      </w:pPr>
      <w:r>
        <w:rPr>
          <w:b/>
          <w:sz w:val="20"/>
          <w:szCs w:val="20"/>
        </w:rPr>
        <w:t xml:space="preserve">Acesse também: </w:t>
      </w:r>
    </w:p>
    <w:p w:rsidR="00270E2F" w:rsidRPr="00BC4C07" w:rsidRDefault="001E5B6A" w:rsidP="00270E2F">
      <w:pPr>
        <w:pStyle w:val="Default"/>
        <w:spacing w:line="276" w:lineRule="auto"/>
        <w:jc w:val="center"/>
        <w:rPr>
          <w:b/>
          <w:sz w:val="20"/>
          <w:szCs w:val="20"/>
        </w:rPr>
      </w:pPr>
      <w:hyperlink r:id="rId40" w:history="1">
        <w:r w:rsidR="00270E2F" w:rsidRPr="00BC4C07">
          <w:rPr>
            <w:rStyle w:val="Hyperlink"/>
            <w:b/>
            <w:sz w:val="20"/>
            <w:szCs w:val="20"/>
          </w:rPr>
          <w:t>Pesquisas Prontas</w:t>
        </w:r>
      </w:hyperlink>
    </w:p>
    <w:p w:rsidR="00270E2F" w:rsidRDefault="00270E2F" w:rsidP="00270E2F">
      <w:pPr>
        <w:pStyle w:val="Default"/>
        <w:spacing w:line="276" w:lineRule="auto"/>
        <w:jc w:val="center"/>
      </w:pPr>
    </w:p>
    <w:p w:rsidR="00270E2F" w:rsidRDefault="001E5B6A" w:rsidP="00270E2F">
      <w:pPr>
        <w:pStyle w:val="Default"/>
        <w:spacing w:line="276" w:lineRule="auto"/>
        <w:jc w:val="center"/>
        <w:rPr>
          <w:rStyle w:val="Hyperlink"/>
          <w:b/>
          <w:sz w:val="20"/>
          <w:szCs w:val="20"/>
        </w:rPr>
      </w:pPr>
      <w:hyperlink r:id="rId41" w:history="1">
        <w:r w:rsidR="00270E2F">
          <w:rPr>
            <w:rStyle w:val="Hyperlink"/>
            <w:b/>
            <w:sz w:val="20"/>
            <w:szCs w:val="20"/>
          </w:rPr>
          <w:t>Repercussão Geral do Supremo Tribunal Federal - STF e os Tribunais de Contas</w:t>
        </w:r>
      </w:hyperlink>
    </w:p>
    <w:p w:rsidR="00270E2F" w:rsidRPr="00DD265A" w:rsidRDefault="00270E2F" w:rsidP="00270E2F">
      <w:pPr>
        <w:pStyle w:val="Default"/>
        <w:spacing w:line="276" w:lineRule="auto"/>
        <w:jc w:val="center"/>
        <w:rPr>
          <w:rStyle w:val="Hyperlink"/>
          <w:b/>
          <w:sz w:val="20"/>
          <w:szCs w:val="20"/>
        </w:rPr>
      </w:pPr>
    </w:p>
    <w:p w:rsidR="002D3BD3" w:rsidRDefault="001E5B6A" w:rsidP="002D3BD3">
      <w:pPr>
        <w:pStyle w:val="Default"/>
        <w:spacing w:line="276" w:lineRule="auto"/>
        <w:jc w:val="center"/>
        <w:rPr>
          <w:rStyle w:val="Hyperlink"/>
          <w:b/>
          <w:sz w:val="20"/>
          <w:szCs w:val="20"/>
        </w:rPr>
      </w:pPr>
      <w:hyperlink r:id="rId42" w:history="1">
        <w:r w:rsidR="002D3BD3">
          <w:rPr>
            <w:rStyle w:val="Hyperlink"/>
            <w:b/>
            <w:sz w:val="20"/>
            <w:szCs w:val="20"/>
          </w:rPr>
          <w:t>Revista Digital do Tribunal de Contas do Estado do Paraná - Edição n° 20</w:t>
        </w:r>
      </w:hyperlink>
    </w:p>
    <w:p w:rsidR="00270E2F" w:rsidRDefault="00270E2F" w:rsidP="00270E2F">
      <w:pPr>
        <w:pStyle w:val="TCU-Epgrafe"/>
        <w:spacing w:line="276" w:lineRule="auto"/>
        <w:ind w:left="0"/>
        <w:rPr>
          <w:sz w:val="22"/>
          <w:szCs w:val="22"/>
        </w:rPr>
      </w:pPr>
      <w:r w:rsidRPr="0022060B">
        <w:rPr>
          <w:rFonts w:ascii="Arial" w:hAnsi="Arial" w:cs="Arial"/>
          <w:noProof/>
          <w:sz w:val="20"/>
        </w:rPr>
        <mc:AlternateContent>
          <mc:Choice Requires="wps">
            <w:drawing>
              <wp:anchor distT="0" distB="0" distL="114300" distR="114300" simplePos="0" relativeHeight="251664896" behindDoc="0" locked="0" layoutInCell="1" allowOverlap="1" wp14:anchorId="63484C90" wp14:editId="67AE2BB8">
                <wp:simplePos x="0" y="0"/>
                <wp:positionH relativeFrom="margin">
                  <wp:posOffset>-18205</wp:posOffset>
                </wp:positionH>
                <wp:positionV relativeFrom="paragraph">
                  <wp:posOffset>117229</wp:posOffset>
                </wp:positionV>
                <wp:extent cx="5518150" cy="0"/>
                <wp:effectExtent l="0" t="0" r="25400" b="57150"/>
                <wp:wrapNone/>
                <wp:docPr id="59" name="Conector reto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6FBC0740" id="Conector reto 59" o:spid="_x0000_s1026" style="position:absolute;z-index:251664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45pt,9.25pt" to="433.0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" strokecolor="black [3200]" strokeweight="2pt">
                <v:shadow on="t" color="black" opacity="24903f" origin=",.5" offset="0,.55556mm"/>
                <w10:wrap anchorx="margin"/>
              </v:line>
            </w:pict>
          </mc:Fallback>
        </mc:AlternateContent>
      </w:r>
    </w:p>
    <w:p w:rsidR="00984E8B" w:rsidRDefault="00984E8B" w:rsidP="00DB558E">
      <w:pPr>
        <w:spacing w:after="0"/>
        <w:jc w:val="center"/>
        <w:rPr>
          <w:rStyle w:val="Hyperlink"/>
          <w:rFonts w:ascii="Arial" w:hAnsi="Arial" w:cs="Arial"/>
          <w:i/>
          <w:color w:val="000000" w:themeColor="text1"/>
          <w:sz w:val="20"/>
          <w:szCs w:val="20"/>
          <w:u w:val="none"/>
        </w:rPr>
      </w:pPr>
    </w:p>
    <w:p w:rsidR="00DB558E" w:rsidRDefault="00DB558E" w:rsidP="00DB558E">
      <w:pPr>
        <w:spacing w:after="0"/>
        <w:jc w:val="center"/>
        <w:rPr>
          <w:rFonts w:ascii="Arial" w:hAnsi="Arial" w:cs="Arial"/>
          <w:b/>
          <w:sz w:val="20"/>
          <w:szCs w:val="20"/>
        </w:rPr>
      </w:pPr>
      <w:r>
        <w:rPr>
          <w:rStyle w:val="Hyperlink"/>
          <w:rFonts w:ascii="Arial" w:hAnsi="Arial" w:cs="Arial"/>
          <w:i/>
          <w:color w:val="000000" w:themeColor="text1"/>
          <w:sz w:val="20"/>
          <w:szCs w:val="20"/>
          <w:u w:val="none"/>
        </w:rPr>
        <w:t>Elaboração: Escola de Gestão Pública - Jurisprudência</w:t>
      </w:r>
    </w:p>
    <w:p w:rsidR="00DB558E" w:rsidRDefault="00DB558E" w:rsidP="00DB558E">
      <w:pPr>
        <w:widowControl w:val="0"/>
        <w:autoSpaceDE w:val="0"/>
        <w:autoSpaceDN w:val="0"/>
        <w:spacing w:after="0"/>
        <w:jc w:val="both"/>
        <w:rPr>
          <w:rFonts w:ascii="Arial" w:hAnsi="Arial" w:cs="Arial"/>
          <w:b/>
          <w:sz w:val="20"/>
          <w:szCs w:val="20"/>
        </w:rPr>
      </w:pPr>
    </w:p>
    <w:p w:rsidR="00E01524" w:rsidRPr="0022060B" w:rsidRDefault="00E01524" w:rsidP="00DB558E">
      <w:pPr>
        <w:pStyle w:val="TCU-Epgrafe"/>
        <w:spacing w:after="200" w:line="276" w:lineRule="auto"/>
        <w:ind w:left="0"/>
        <w:rPr>
          <w:rFonts w:ascii="Arial" w:hAnsi="Arial" w:cs="Arial"/>
          <w:b/>
          <w:sz w:val="20"/>
        </w:rPr>
      </w:pPr>
      <w:bookmarkStart w:id="0" w:name="_GoBack"/>
      <w:bookmarkEnd w:id="0"/>
    </w:p>
    <w:sectPr w:rsidR="00E01524" w:rsidRPr="0022060B">
      <w:headerReference w:type="default" r:id="rId43"/>
      <w:footerReference w:type="default" r:id="rId4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907A9" w:rsidRDefault="009907A9" w:rsidP="00350CC2">
      <w:pPr>
        <w:spacing w:after="0" w:line="240" w:lineRule="auto"/>
      </w:pPr>
      <w:r>
        <w:separator/>
      </w:r>
    </w:p>
  </w:endnote>
  <w:endnote w:type="continuationSeparator" w:id="0">
    <w:p w:rsidR="009907A9" w:rsidRDefault="009907A9" w:rsidP="00350C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Bol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45DE" w:rsidRDefault="002245DE" w:rsidP="002245DE">
    <w:pPr>
      <w:pStyle w:val="Rodap"/>
      <w:jc w:val="center"/>
      <w:rPr>
        <w:sz w:val="16"/>
        <w:szCs w:val="16"/>
      </w:rPr>
    </w:pPr>
    <w:r>
      <w:rPr>
        <w:noProof/>
        <w:lang w:eastAsia="pt-BR"/>
      </w:rPr>
      <w:drawing>
        <wp:inline distT="0" distB="0" distL="0" distR="0" wp14:anchorId="4DD8E97D" wp14:editId="15823BC0">
          <wp:extent cx="463138" cy="231569"/>
          <wp:effectExtent l="0" t="0" r="0" b="0"/>
          <wp:docPr id="54" name="Imagem 54" descr="Resultado de imagem para EGP T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sultado de imagem para EGP T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7873" cy="233936"/>
                  </a:xfrm>
                  <a:prstGeom prst="rect">
                    <a:avLst/>
                  </a:prstGeom>
                  <a:noFill/>
                  <a:ln>
                    <a:noFill/>
                  </a:ln>
                </pic:spPr>
              </pic:pic>
            </a:graphicData>
          </a:graphic>
        </wp:inline>
      </w:drawing>
    </w:r>
  </w:p>
  <w:p w:rsidR="001B5F7A" w:rsidRPr="00722924" w:rsidRDefault="001B5F7A" w:rsidP="002245DE">
    <w:pPr>
      <w:pStyle w:val="Rodap"/>
      <w:jc w:val="center"/>
      <w:rPr>
        <w:sz w:val="16"/>
        <w:szCs w:val="16"/>
      </w:rPr>
    </w:pPr>
    <w:r w:rsidRPr="00722924">
      <w:rPr>
        <w:sz w:val="16"/>
        <w:szCs w:val="16"/>
      </w:rPr>
      <w:fldChar w:fldCharType="begin"/>
    </w:r>
    <w:r w:rsidRPr="00722924">
      <w:rPr>
        <w:sz w:val="16"/>
        <w:szCs w:val="16"/>
      </w:rPr>
      <w:instrText xml:space="preserve"> PAGE   \* MERGEFORMAT </w:instrText>
    </w:r>
    <w:r w:rsidRPr="00722924">
      <w:rPr>
        <w:sz w:val="16"/>
        <w:szCs w:val="16"/>
      </w:rPr>
      <w:fldChar w:fldCharType="separate"/>
    </w:r>
    <w:r w:rsidR="001E5B6A">
      <w:rPr>
        <w:noProof/>
        <w:sz w:val="16"/>
        <w:szCs w:val="16"/>
      </w:rPr>
      <w:t>6</w:t>
    </w:r>
    <w:r w:rsidRPr="00722924">
      <w:rPr>
        <w:sz w:val="16"/>
        <w:szCs w:val="16"/>
      </w:rPr>
      <w:fldChar w:fldCharType="end"/>
    </w:r>
  </w:p>
  <w:p w:rsidR="00375DB6" w:rsidRDefault="00375DB6"/>
  <w:p w:rsidR="00375DB6" w:rsidRDefault="00375DB6"/>
  <w:p w:rsidR="00375DB6" w:rsidRDefault="00375DB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907A9" w:rsidRDefault="009907A9" w:rsidP="00350CC2">
      <w:pPr>
        <w:spacing w:after="0" w:line="240" w:lineRule="auto"/>
      </w:pPr>
      <w:r>
        <w:separator/>
      </w:r>
    </w:p>
  </w:footnote>
  <w:footnote w:type="continuationSeparator" w:id="0">
    <w:p w:rsidR="009907A9" w:rsidRDefault="009907A9" w:rsidP="00350C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5FD7" w:rsidRDefault="006A5FD7" w:rsidP="00F14CCC">
    <w:pPr>
      <w:pStyle w:val="Cabealho"/>
      <w:spacing w:after="100" w:afterAutospacing="1"/>
      <w:jc w:val="center"/>
      <w:rPr>
        <w:b/>
      </w:rPr>
    </w:pPr>
  </w:p>
  <w:p w:rsidR="006A5FD7" w:rsidRDefault="006A5FD7" w:rsidP="00F14CCC">
    <w:pPr>
      <w:pStyle w:val="Cabealho"/>
      <w:spacing w:after="100" w:afterAutospacing="1"/>
      <w:jc w:val="center"/>
      <w:rPr>
        <w:b/>
      </w:rPr>
    </w:pPr>
    <w:r>
      <w:rPr>
        <w:noProof/>
        <w:lang w:eastAsia="pt-BR"/>
      </w:rPr>
      <w:drawing>
        <wp:inline distT="0" distB="0" distL="0" distR="0" wp14:anchorId="460CA892" wp14:editId="6EABBF5B">
          <wp:extent cx="4073236" cy="872837"/>
          <wp:effectExtent l="0" t="0" r="3810" b="3810"/>
          <wp:docPr id="52" name="Imagem 52" descr="Resultado de imagem para EGP T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sultado de imagem para EGP T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71668" cy="87250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92FBC"/>
    <w:multiLevelType w:val="hybridMultilevel"/>
    <w:tmpl w:val="6226A14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8183EF0"/>
    <w:multiLevelType w:val="hybridMultilevel"/>
    <w:tmpl w:val="55A4E90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B9619C6"/>
    <w:multiLevelType w:val="hybridMultilevel"/>
    <w:tmpl w:val="559A503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C4907DD"/>
    <w:multiLevelType w:val="hybridMultilevel"/>
    <w:tmpl w:val="91B69C02"/>
    <w:lvl w:ilvl="0" w:tplc="0416000F">
      <w:start w:val="4"/>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3C6534A"/>
    <w:multiLevelType w:val="hybridMultilevel"/>
    <w:tmpl w:val="D0FE16CE"/>
    <w:lvl w:ilvl="0" w:tplc="A5067D7E">
      <w:start w:val="9"/>
      <w:numFmt w:val="bullet"/>
      <w:lvlText w:val=""/>
      <w:lvlJc w:val="left"/>
      <w:pPr>
        <w:ind w:left="720" w:hanging="360"/>
      </w:pPr>
      <w:rPr>
        <w:rFonts w:ascii="Wingdings" w:eastAsiaTheme="minorHAnsi" w:hAnsi="Wingdings"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25AC7506"/>
    <w:multiLevelType w:val="hybridMultilevel"/>
    <w:tmpl w:val="B356798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38525CCB"/>
    <w:multiLevelType w:val="hybridMultilevel"/>
    <w:tmpl w:val="A93874EE"/>
    <w:lvl w:ilvl="0" w:tplc="1F00A050">
      <w:start w:val="9"/>
      <w:numFmt w:val="bullet"/>
      <w:lvlText w:val=""/>
      <w:lvlJc w:val="left"/>
      <w:pPr>
        <w:ind w:left="720" w:hanging="360"/>
      </w:pPr>
      <w:rPr>
        <w:rFonts w:ascii="Wingdings" w:eastAsiaTheme="minorHAnsi" w:hAnsi="Wingdings" w:cs="Arial,Bold"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3E0E5643"/>
    <w:multiLevelType w:val="hybridMultilevel"/>
    <w:tmpl w:val="D2D0204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6AF598B"/>
    <w:multiLevelType w:val="hybridMultilevel"/>
    <w:tmpl w:val="A6DA7BB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6F805F1F"/>
    <w:multiLevelType w:val="hybridMultilevel"/>
    <w:tmpl w:val="C5AE435C"/>
    <w:lvl w:ilvl="0" w:tplc="E84E8CEC">
      <w:start w:val="2"/>
      <w:numFmt w:val="bullet"/>
      <w:lvlText w:val=""/>
      <w:lvlJc w:val="left"/>
      <w:pPr>
        <w:ind w:left="720" w:hanging="360"/>
      </w:pPr>
      <w:rPr>
        <w:rFonts w:ascii="Wingdings" w:eastAsiaTheme="minorHAnsi" w:hAnsi="Wingdings" w:cs="Arial,Bold"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71063276"/>
    <w:multiLevelType w:val="hybridMultilevel"/>
    <w:tmpl w:val="94D078F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7CF92D40"/>
    <w:multiLevelType w:val="hybridMultilevel"/>
    <w:tmpl w:val="E6D03EC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4"/>
  </w:num>
  <w:num w:numId="2">
    <w:abstractNumId w:val="6"/>
  </w:num>
  <w:num w:numId="3">
    <w:abstractNumId w:val="9"/>
  </w:num>
  <w:num w:numId="4">
    <w:abstractNumId w:val="10"/>
  </w:num>
  <w:num w:numId="5">
    <w:abstractNumId w:val="11"/>
  </w:num>
  <w:num w:numId="6">
    <w:abstractNumId w:val="8"/>
  </w:num>
  <w:num w:numId="7">
    <w:abstractNumId w:val="0"/>
  </w:num>
  <w:num w:numId="8">
    <w:abstractNumId w:val="1"/>
  </w:num>
  <w:num w:numId="9">
    <w:abstractNumId w:val="5"/>
  </w:num>
  <w:num w:numId="10">
    <w:abstractNumId w:val="2"/>
  </w:num>
  <w:num w:numId="11">
    <w:abstractNumId w:val="3"/>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08"/>
  <w:hyphenationZone w:val="425"/>
  <w:characterSpacingControl w:val="doNotCompress"/>
  <w:hdrShapeDefaults>
    <o:shapedefaults v:ext="edit" spidmax="288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191"/>
    <w:rsid w:val="00001F0E"/>
    <w:rsid w:val="00001F13"/>
    <w:rsid w:val="00003C03"/>
    <w:rsid w:val="0000505F"/>
    <w:rsid w:val="000078B5"/>
    <w:rsid w:val="00007F7A"/>
    <w:rsid w:val="00007FD0"/>
    <w:rsid w:val="00010B69"/>
    <w:rsid w:val="00010F88"/>
    <w:rsid w:val="0001200F"/>
    <w:rsid w:val="000126A0"/>
    <w:rsid w:val="00012CBB"/>
    <w:rsid w:val="00013691"/>
    <w:rsid w:val="00013840"/>
    <w:rsid w:val="00015FB0"/>
    <w:rsid w:val="00017EBA"/>
    <w:rsid w:val="00021B0A"/>
    <w:rsid w:val="00025971"/>
    <w:rsid w:val="000262AD"/>
    <w:rsid w:val="00027A03"/>
    <w:rsid w:val="00027FAB"/>
    <w:rsid w:val="000300F4"/>
    <w:rsid w:val="00032A26"/>
    <w:rsid w:val="00033422"/>
    <w:rsid w:val="00033E69"/>
    <w:rsid w:val="00034E04"/>
    <w:rsid w:val="00040EBA"/>
    <w:rsid w:val="00042502"/>
    <w:rsid w:val="00042DF3"/>
    <w:rsid w:val="000433EC"/>
    <w:rsid w:val="000439FD"/>
    <w:rsid w:val="00045700"/>
    <w:rsid w:val="00046191"/>
    <w:rsid w:val="00046E21"/>
    <w:rsid w:val="00047EF1"/>
    <w:rsid w:val="00052862"/>
    <w:rsid w:val="00053B72"/>
    <w:rsid w:val="00056686"/>
    <w:rsid w:val="00056E6F"/>
    <w:rsid w:val="000572CE"/>
    <w:rsid w:val="000617CF"/>
    <w:rsid w:val="00062737"/>
    <w:rsid w:val="00067E01"/>
    <w:rsid w:val="00070009"/>
    <w:rsid w:val="00070B14"/>
    <w:rsid w:val="000713DD"/>
    <w:rsid w:val="00071DE3"/>
    <w:rsid w:val="0007200C"/>
    <w:rsid w:val="00073F9F"/>
    <w:rsid w:val="00074287"/>
    <w:rsid w:val="000747BF"/>
    <w:rsid w:val="00074FAB"/>
    <w:rsid w:val="000756E4"/>
    <w:rsid w:val="000759E5"/>
    <w:rsid w:val="00076184"/>
    <w:rsid w:val="000800D1"/>
    <w:rsid w:val="00081051"/>
    <w:rsid w:val="0009260D"/>
    <w:rsid w:val="000926D4"/>
    <w:rsid w:val="00092E5D"/>
    <w:rsid w:val="0009482D"/>
    <w:rsid w:val="0009711C"/>
    <w:rsid w:val="0009762F"/>
    <w:rsid w:val="00097B00"/>
    <w:rsid w:val="000A0748"/>
    <w:rsid w:val="000A0E48"/>
    <w:rsid w:val="000A1515"/>
    <w:rsid w:val="000A29BE"/>
    <w:rsid w:val="000A3C2D"/>
    <w:rsid w:val="000A3E63"/>
    <w:rsid w:val="000A47FD"/>
    <w:rsid w:val="000A4EB6"/>
    <w:rsid w:val="000A5F01"/>
    <w:rsid w:val="000A71D1"/>
    <w:rsid w:val="000B04A0"/>
    <w:rsid w:val="000B11D2"/>
    <w:rsid w:val="000B1E10"/>
    <w:rsid w:val="000B2FD9"/>
    <w:rsid w:val="000B311A"/>
    <w:rsid w:val="000B31B6"/>
    <w:rsid w:val="000B47C0"/>
    <w:rsid w:val="000C2948"/>
    <w:rsid w:val="000C3582"/>
    <w:rsid w:val="000C4F73"/>
    <w:rsid w:val="000C5093"/>
    <w:rsid w:val="000C5460"/>
    <w:rsid w:val="000C5EB3"/>
    <w:rsid w:val="000C6345"/>
    <w:rsid w:val="000C63BC"/>
    <w:rsid w:val="000C7D67"/>
    <w:rsid w:val="000D2D5B"/>
    <w:rsid w:val="000D357D"/>
    <w:rsid w:val="000D4DE6"/>
    <w:rsid w:val="000D6D01"/>
    <w:rsid w:val="000E2DD7"/>
    <w:rsid w:val="000E300B"/>
    <w:rsid w:val="000E3ACE"/>
    <w:rsid w:val="000E3FC6"/>
    <w:rsid w:val="000E464B"/>
    <w:rsid w:val="000E4DF5"/>
    <w:rsid w:val="000E5AC8"/>
    <w:rsid w:val="000F04ED"/>
    <w:rsid w:val="000F18DA"/>
    <w:rsid w:val="000F1FFA"/>
    <w:rsid w:val="000F314C"/>
    <w:rsid w:val="000F639D"/>
    <w:rsid w:val="000F7C1B"/>
    <w:rsid w:val="00100B9C"/>
    <w:rsid w:val="00106AA9"/>
    <w:rsid w:val="001101CF"/>
    <w:rsid w:val="00110517"/>
    <w:rsid w:val="00110BD6"/>
    <w:rsid w:val="001119DC"/>
    <w:rsid w:val="00111B86"/>
    <w:rsid w:val="00111C26"/>
    <w:rsid w:val="00112B60"/>
    <w:rsid w:val="00113EF1"/>
    <w:rsid w:val="00114B62"/>
    <w:rsid w:val="001159C9"/>
    <w:rsid w:val="00120862"/>
    <w:rsid w:val="0012211A"/>
    <w:rsid w:val="00122E13"/>
    <w:rsid w:val="00123D02"/>
    <w:rsid w:val="0012498C"/>
    <w:rsid w:val="00124A0F"/>
    <w:rsid w:val="00126447"/>
    <w:rsid w:val="00127DF2"/>
    <w:rsid w:val="00130717"/>
    <w:rsid w:val="0013298B"/>
    <w:rsid w:val="0013396B"/>
    <w:rsid w:val="001342E3"/>
    <w:rsid w:val="0013514C"/>
    <w:rsid w:val="0013583F"/>
    <w:rsid w:val="00135D5F"/>
    <w:rsid w:val="001411E6"/>
    <w:rsid w:val="001415BA"/>
    <w:rsid w:val="00142D10"/>
    <w:rsid w:val="00144712"/>
    <w:rsid w:val="001472C1"/>
    <w:rsid w:val="00150844"/>
    <w:rsid w:val="001529D8"/>
    <w:rsid w:val="001558CC"/>
    <w:rsid w:val="00156185"/>
    <w:rsid w:val="00156F74"/>
    <w:rsid w:val="00157806"/>
    <w:rsid w:val="00157D64"/>
    <w:rsid w:val="0016028F"/>
    <w:rsid w:val="00161AA2"/>
    <w:rsid w:val="0016670D"/>
    <w:rsid w:val="00166A96"/>
    <w:rsid w:val="00170F9D"/>
    <w:rsid w:val="00171401"/>
    <w:rsid w:val="001720EB"/>
    <w:rsid w:val="00172248"/>
    <w:rsid w:val="00173048"/>
    <w:rsid w:val="0017455D"/>
    <w:rsid w:val="001770AF"/>
    <w:rsid w:val="001800A9"/>
    <w:rsid w:val="00180945"/>
    <w:rsid w:val="001823E7"/>
    <w:rsid w:val="0018272D"/>
    <w:rsid w:val="00190B94"/>
    <w:rsid w:val="00192ABD"/>
    <w:rsid w:val="001930D1"/>
    <w:rsid w:val="001942C5"/>
    <w:rsid w:val="00196437"/>
    <w:rsid w:val="001975AB"/>
    <w:rsid w:val="001A16DE"/>
    <w:rsid w:val="001A2491"/>
    <w:rsid w:val="001A5D2D"/>
    <w:rsid w:val="001B096B"/>
    <w:rsid w:val="001B5B65"/>
    <w:rsid w:val="001B5F7A"/>
    <w:rsid w:val="001B6E08"/>
    <w:rsid w:val="001C0F23"/>
    <w:rsid w:val="001C1DDF"/>
    <w:rsid w:val="001C46A8"/>
    <w:rsid w:val="001C74B7"/>
    <w:rsid w:val="001D0693"/>
    <w:rsid w:val="001D0DD1"/>
    <w:rsid w:val="001D4782"/>
    <w:rsid w:val="001D4D9A"/>
    <w:rsid w:val="001D51BD"/>
    <w:rsid w:val="001D6665"/>
    <w:rsid w:val="001D684B"/>
    <w:rsid w:val="001D6ADC"/>
    <w:rsid w:val="001D7E4B"/>
    <w:rsid w:val="001E1817"/>
    <w:rsid w:val="001E2E5A"/>
    <w:rsid w:val="001E47AF"/>
    <w:rsid w:val="001E5B6A"/>
    <w:rsid w:val="001E5F2E"/>
    <w:rsid w:val="001E6CAA"/>
    <w:rsid w:val="001E73FF"/>
    <w:rsid w:val="001E75A7"/>
    <w:rsid w:val="001F7A25"/>
    <w:rsid w:val="002013D1"/>
    <w:rsid w:val="0020195B"/>
    <w:rsid w:val="00202E6D"/>
    <w:rsid w:val="00202F4B"/>
    <w:rsid w:val="002036C8"/>
    <w:rsid w:val="002100EE"/>
    <w:rsid w:val="00211A49"/>
    <w:rsid w:val="00213BD0"/>
    <w:rsid w:val="002147AC"/>
    <w:rsid w:val="00215BFE"/>
    <w:rsid w:val="00215EF3"/>
    <w:rsid w:val="0022060B"/>
    <w:rsid w:val="00220BB1"/>
    <w:rsid w:val="00221D15"/>
    <w:rsid w:val="00223A59"/>
    <w:rsid w:val="00223F1C"/>
    <w:rsid w:val="002245DE"/>
    <w:rsid w:val="00224904"/>
    <w:rsid w:val="00232878"/>
    <w:rsid w:val="0023318C"/>
    <w:rsid w:val="00234AE0"/>
    <w:rsid w:val="00235F82"/>
    <w:rsid w:val="00237C21"/>
    <w:rsid w:val="0024200E"/>
    <w:rsid w:val="002426C3"/>
    <w:rsid w:val="002450AA"/>
    <w:rsid w:val="002456AD"/>
    <w:rsid w:val="00245F7B"/>
    <w:rsid w:val="002478B9"/>
    <w:rsid w:val="00251273"/>
    <w:rsid w:val="00252A2A"/>
    <w:rsid w:val="00252AA5"/>
    <w:rsid w:val="00253ADA"/>
    <w:rsid w:val="00255360"/>
    <w:rsid w:val="00256A12"/>
    <w:rsid w:val="00256CEA"/>
    <w:rsid w:val="002571B4"/>
    <w:rsid w:val="00260758"/>
    <w:rsid w:val="00260D58"/>
    <w:rsid w:val="0026477F"/>
    <w:rsid w:val="00264F10"/>
    <w:rsid w:val="0026510B"/>
    <w:rsid w:val="002659BA"/>
    <w:rsid w:val="0026721A"/>
    <w:rsid w:val="0026729F"/>
    <w:rsid w:val="00270E2F"/>
    <w:rsid w:val="00271154"/>
    <w:rsid w:val="00271655"/>
    <w:rsid w:val="002805F1"/>
    <w:rsid w:val="00286EB4"/>
    <w:rsid w:val="002874A2"/>
    <w:rsid w:val="002921E2"/>
    <w:rsid w:val="0029566D"/>
    <w:rsid w:val="00295F4B"/>
    <w:rsid w:val="00296938"/>
    <w:rsid w:val="002A00AC"/>
    <w:rsid w:val="002A00E8"/>
    <w:rsid w:val="002A0792"/>
    <w:rsid w:val="002A1D5F"/>
    <w:rsid w:val="002A2E6C"/>
    <w:rsid w:val="002B070A"/>
    <w:rsid w:val="002B0F20"/>
    <w:rsid w:val="002B14B7"/>
    <w:rsid w:val="002B297F"/>
    <w:rsid w:val="002B38A8"/>
    <w:rsid w:val="002B5E9F"/>
    <w:rsid w:val="002B6BA0"/>
    <w:rsid w:val="002C05FF"/>
    <w:rsid w:val="002C19EA"/>
    <w:rsid w:val="002C3EA5"/>
    <w:rsid w:val="002C480F"/>
    <w:rsid w:val="002C56C9"/>
    <w:rsid w:val="002C7487"/>
    <w:rsid w:val="002D1923"/>
    <w:rsid w:val="002D3BD3"/>
    <w:rsid w:val="002D48D1"/>
    <w:rsid w:val="002D5B56"/>
    <w:rsid w:val="002D6612"/>
    <w:rsid w:val="002D7650"/>
    <w:rsid w:val="002E09B1"/>
    <w:rsid w:val="002E0A60"/>
    <w:rsid w:val="002E0B01"/>
    <w:rsid w:val="002E4277"/>
    <w:rsid w:val="002E5303"/>
    <w:rsid w:val="002E550E"/>
    <w:rsid w:val="002E6626"/>
    <w:rsid w:val="002E72FA"/>
    <w:rsid w:val="002E7DFF"/>
    <w:rsid w:val="002F0BE9"/>
    <w:rsid w:val="002F13A0"/>
    <w:rsid w:val="002F156C"/>
    <w:rsid w:val="002F1634"/>
    <w:rsid w:val="002F1848"/>
    <w:rsid w:val="002F1D70"/>
    <w:rsid w:val="002F22FA"/>
    <w:rsid w:val="002F73BA"/>
    <w:rsid w:val="003005B3"/>
    <w:rsid w:val="0030165B"/>
    <w:rsid w:val="00302340"/>
    <w:rsid w:val="00303C9C"/>
    <w:rsid w:val="00305A67"/>
    <w:rsid w:val="00306121"/>
    <w:rsid w:val="00306B80"/>
    <w:rsid w:val="00307038"/>
    <w:rsid w:val="00313238"/>
    <w:rsid w:val="003132BE"/>
    <w:rsid w:val="00320577"/>
    <w:rsid w:val="0032266D"/>
    <w:rsid w:val="00325E2F"/>
    <w:rsid w:val="003265DB"/>
    <w:rsid w:val="003269A9"/>
    <w:rsid w:val="00327DF9"/>
    <w:rsid w:val="0033073E"/>
    <w:rsid w:val="00331533"/>
    <w:rsid w:val="0033240F"/>
    <w:rsid w:val="00333875"/>
    <w:rsid w:val="0033604C"/>
    <w:rsid w:val="003407F0"/>
    <w:rsid w:val="00343C28"/>
    <w:rsid w:val="00344A3D"/>
    <w:rsid w:val="00344A41"/>
    <w:rsid w:val="0034575E"/>
    <w:rsid w:val="00345C65"/>
    <w:rsid w:val="00350CC2"/>
    <w:rsid w:val="00351206"/>
    <w:rsid w:val="0035203F"/>
    <w:rsid w:val="003528A1"/>
    <w:rsid w:val="00352A72"/>
    <w:rsid w:val="0035371B"/>
    <w:rsid w:val="00353FEB"/>
    <w:rsid w:val="00356987"/>
    <w:rsid w:val="00356FB0"/>
    <w:rsid w:val="00361DA5"/>
    <w:rsid w:val="00361F1D"/>
    <w:rsid w:val="00364392"/>
    <w:rsid w:val="00365E61"/>
    <w:rsid w:val="00365EFF"/>
    <w:rsid w:val="00365F51"/>
    <w:rsid w:val="00373E05"/>
    <w:rsid w:val="00375692"/>
    <w:rsid w:val="00375DB6"/>
    <w:rsid w:val="0038012F"/>
    <w:rsid w:val="00380BAB"/>
    <w:rsid w:val="00381A0E"/>
    <w:rsid w:val="0038599F"/>
    <w:rsid w:val="0038751C"/>
    <w:rsid w:val="0038778B"/>
    <w:rsid w:val="0039356F"/>
    <w:rsid w:val="00394451"/>
    <w:rsid w:val="0039584A"/>
    <w:rsid w:val="00395BC8"/>
    <w:rsid w:val="0039625A"/>
    <w:rsid w:val="00396E93"/>
    <w:rsid w:val="003A4828"/>
    <w:rsid w:val="003A64CB"/>
    <w:rsid w:val="003A6622"/>
    <w:rsid w:val="003A673F"/>
    <w:rsid w:val="003B145D"/>
    <w:rsid w:val="003B316A"/>
    <w:rsid w:val="003B4678"/>
    <w:rsid w:val="003B4F77"/>
    <w:rsid w:val="003B502C"/>
    <w:rsid w:val="003C4547"/>
    <w:rsid w:val="003C6B35"/>
    <w:rsid w:val="003C7C21"/>
    <w:rsid w:val="003D0632"/>
    <w:rsid w:val="003D650C"/>
    <w:rsid w:val="003D6713"/>
    <w:rsid w:val="003D6E90"/>
    <w:rsid w:val="003D7C37"/>
    <w:rsid w:val="003E110D"/>
    <w:rsid w:val="003E3529"/>
    <w:rsid w:val="003E3D02"/>
    <w:rsid w:val="003E3E6A"/>
    <w:rsid w:val="003E55BC"/>
    <w:rsid w:val="003E6EAF"/>
    <w:rsid w:val="003F0088"/>
    <w:rsid w:val="003F03C6"/>
    <w:rsid w:val="003F2DDE"/>
    <w:rsid w:val="003F314F"/>
    <w:rsid w:val="003F4721"/>
    <w:rsid w:val="003F5060"/>
    <w:rsid w:val="003F5829"/>
    <w:rsid w:val="003F63DA"/>
    <w:rsid w:val="003F677C"/>
    <w:rsid w:val="003F7090"/>
    <w:rsid w:val="00401EE0"/>
    <w:rsid w:val="004043AD"/>
    <w:rsid w:val="00405A6A"/>
    <w:rsid w:val="00406D2C"/>
    <w:rsid w:val="0041120A"/>
    <w:rsid w:val="00411935"/>
    <w:rsid w:val="00412BBD"/>
    <w:rsid w:val="0041337A"/>
    <w:rsid w:val="00416A72"/>
    <w:rsid w:val="00420AE1"/>
    <w:rsid w:val="0042728A"/>
    <w:rsid w:val="004276DC"/>
    <w:rsid w:val="0042779B"/>
    <w:rsid w:val="0043291F"/>
    <w:rsid w:val="00434347"/>
    <w:rsid w:val="00435331"/>
    <w:rsid w:val="004371F9"/>
    <w:rsid w:val="0043728E"/>
    <w:rsid w:val="00437541"/>
    <w:rsid w:val="00441164"/>
    <w:rsid w:val="00441D38"/>
    <w:rsid w:val="00441E59"/>
    <w:rsid w:val="004429A2"/>
    <w:rsid w:val="00442CB7"/>
    <w:rsid w:val="00443CA1"/>
    <w:rsid w:val="00444C25"/>
    <w:rsid w:val="0044532C"/>
    <w:rsid w:val="00447BB2"/>
    <w:rsid w:val="004527ED"/>
    <w:rsid w:val="00455387"/>
    <w:rsid w:val="00455AAB"/>
    <w:rsid w:val="00457317"/>
    <w:rsid w:val="004611E1"/>
    <w:rsid w:val="0046165B"/>
    <w:rsid w:val="00462460"/>
    <w:rsid w:val="004624E9"/>
    <w:rsid w:val="00462A13"/>
    <w:rsid w:val="00462F2A"/>
    <w:rsid w:val="00463986"/>
    <w:rsid w:val="00463AC5"/>
    <w:rsid w:val="00463BA8"/>
    <w:rsid w:val="004641AA"/>
    <w:rsid w:val="00464835"/>
    <w:rsid w:val="004654D3"/>
    <w:rsid w:val="00470218"/>
    <w:rsid w:val="00470C31"/>
    <w:rsid w:val="00471B9D"/>
    <w:rsid w:val="0047206A"/>
    <w:rsid w:val="00474978"/>
    <w:rsid w:val="0047499A"/>
    <w:rsid w:val="00474C78"/>
    <w:rsid w:val="00475AAE"/>
    <w:rsid w:val="00476574"/>
    <w:rsid w:val="00480934"/>
    <w:rsid w:val="0048130C"/>
    <w:rsid w:val="00482FA5"/>
    <w:rsid w:val="00483C55"/>
    <w:rsid w:val="00484E6E"/>
    <w:rsid w:val="00485819"/>
    <w:rsid w:val="00487D31"/>
    <w:rsid w:val="00490000"/>
    <w:rsid w:val="00490B5C"/>
    <w:rsid w:val="00491F60"/>
    <w:rsid w:val="00492026"/>
    <w:rsid w:val="004920C5"/>
    <w:rsid w:val="004927D6"/>
    <w:rsid w:val="00492E16"/>
    <w:rsid w:val="004949D1"/>
    <w:rsid w:val="00494AE3"/>
    <w:rsid w:val="00494C04"/>
    <w:rsid w:val="0049557F"/>
    <w:rsid w:val="004965C3"/>
    <w:rsid w:val="00497639"/>
    <w:rsid w:val="004A0574"/>
    <w:rsid w:val="004A0A41"/>
    <w:rsid w:val="004A22CF"/>
    <w:rsid w:val="004A5804"/>
    <w:rsid w:val="004A794E"/>
    <w:rsid w:val="004B142E"/>
    <w:rsid w:val="004B3D26"/>
    <w:rsid w:val="004B44C1"/>
    <w:rsid w:val="004B623F"/>
    <w:rsid w:val="004B6EA7"/>
    <w:rsid w:val="004B7176"/>
    <w:rsid w:val="004C11DE"/>
    <w:rsid w:val="004C13DB"/>
    <w:rsid w:val="004D00EF"/>
    <w:rsid w:val="004D14AD"/>
    <w:rsid w:val="004D376C"/>
    <w:rsid w:val="004D3864"/>
    <w:rsid w:val="004D58CD"/>
    <w:rsid w:val="004D5EEF"/>
    <w:rsid w:val="004D75B0"/>
    <w:rsid w:val="004D7DC5"/>
    <w:rsid w:val="004E109A"/>
    <w:rsid w:val="004E3B94"/>
    <w:rsid w:val="004E61BE"/>
    <w:rsid w:val="004E6410"/>
    <w:rsid w:val="004E7C93"/>
    <w:rsid w:val="004F3C8F"/>
    <w:rsid w:val="00500939"/>
    <w:rsid w:val="00501FC7"/>
    <w:rsid w:val="005025F4"/>
    <w:rsid w:val="00502AAF"/>
    <w:rsid w:val="005067E0"/>
    <w:rsid w:val="00510B62"/>
    <w:rsid w:val="00511F85"/>
    <w:rsid w:val="00515361"/>
    <w:rsid w:val="00516501"/>
    <w:rsid w:val="00516673"/>
    <w:rsid w:val="00517B69"/>
    <w:rsid w:val="00520368"/>
    <w:rsid w:val="005224BE"/>
    <w:rsid w:val="00523227"/>
    <w:rsid w:val="00523246"/>
    <w:rsid w:val="005237FD"/>
    <w:rsid w:val="005246B4"/>
    <w:rsid w:val="00525F8B"/>
    <w:rsid w:val="0052651B"/>
    <w:rsid w:val="00530F1E"/>
    <w:rsid w:val="00532F0D"/>
    <w:rsid w:val="00533C06"/>
    <w:rsid w:val="00533E30"/>
    <w:rsid w:val="0053401E"/>
    <w:rsid w:val="00535AAB"/>
    <w:rsid w:val="00540B8E"/>
    <w:rsid w:val="00542636"/>
    <w:rsid w:val="00543DF0"/>
    <w:rsid w:val="00544AB5"/>
    <w:rsid w:val="0054545F"/>
    <w:rsid w:val="00546D89"/>
    <w:rsid w:val="00547AFC"/>
    <w:rsid w:val="00547B1C"/>
    <w:rsid w:val="0055022A"/>
    <w:rsid w:val="005503E5"/>
    <w:rsid w:val="005513B0"/>
    <w:rsid w:val="00556F73"/>
    <w:rsid w:val="005576BE"/>
    <w:rsid w:val="005603B3"/>
    <w:rsid w:val="00560E81"/>
    <w:rsid w:val="00561787"/>
    <w:rsid w:val="0056193C"/>
    <w:rsid w:val="00561EF9"/>
    <w:rsid w:val="005650CD"/>
    <w:rsid w:val="00566AE8"/>
    <w:rsid w:val="005670EC"/>
    <w:rsid w:val="00567328"/>
    <w:rsid w:val="005706D5"/>
    <w:rsid w:val="005728BC"/>
    <w:rsid w:val="00573F1D"/>
    <w:rsid w:val="00574151"/>
    <w:rsid w:val="0057421A"/>
    <w:rsid w:val="005759E4"/>
    <w:rsid w:val="00575AE8"/>
    <w:rsid w:val="00575E1D"/>
    <w:rsid w:val="00576089"/>
    <w:rsid w:val="005819D2"/>
    <w:rsid w:val="00582374"/>
    <w:rsid w:val="00582CD1"/>
    <w:rsid w:val="00582DF8"/>
    <w:rsid w:val="00583800"/>
    <w:rsid w:val="00584BC6"/>
    <w:rsid w:val="0058559D"/>
    <w:rsid w:val="005856F2"/>
    <w:rsid w:val="00585A3B"/>
    <w:rsid w:val="00586D7A"/>
    <w:rsid w:val="00590FA0"/>
    <w:rsid w:val="00593EFC"/>
    <w:rsid w:val="00594F73"/>
    <w:rsid w:val="0059537A"/>
    <w:rsid w:val="005957D1"/>
    <w:rsid w:val="00597215"/>
    <w:rsid w:val="005A0FD0"/>
    <w:rsid w:val="005A1468"/>
    <w:rsid w:val="005A3EEB"/>
    <w:rsid w:val="005A4536"/>
    <w:rsid w:val="005A5923"/>
    <w:rsid w:val="005A5AF2"/>
    <w:rsid w:val="005A742F"/>
    <w:rsid w:val="005A7C78"/>
    <w:rsid w:val="005B0873"/>
    <w:rsid w:val="005B4F6C"/>
    <w:rsid w:val="005B7055"/>
    <w:rsid w:val="005C4763"/>
    <w:rsid w:val="005C4DB7"/>
    <w:rsid w:val="005C5DC8"/>
    <w:rsid w:val="005C661E"/>
    <w:rsid w:val="005C7258"/>
    <w:rsid w:val="005D0FF5"/>
    <w:rsid w:val="005D1E9E"/>
    <w:rsid w:val="005D48C8"/>
    <w:rsid w:val="005D58CE"/>
    <w:rsid w:val="005D6DB4"/>
    <w:rsid w:val="005E2760"/>
    <w:rsid w:val="005E2D13"/>
    <w:rsid w:val="005E350B"/>
    <w:rsid w:val="005E4648"/>
    <w:rsid w:val="005E6068"/>
    <w:rsid w:val="005E64B3"/>
    <w:rsid w:val="005E6A47"/>
    <w:rsid w:val="005F03A4"/>
    <w:rsid w:val="005F0C51"/>
    <w:rsid w:val="005F16DB"/>
    <w:rsid w:val="005F17B2"/>
    <w:rsid w:val="005F2BB5"/>
    <w:rsid w:val="005F3A96"/>
    <w:rsid w:val="005F4DBF"/>
    <w:rsid w:val="005F58C1"/>
    <w:rsid w:val="005F66CC"/>
    <w:rsid w:val="005F7DEC"/>
    <w:rsid w:val="005F7E35"/>
    <w:rsid w:val="00600AA5"/>
    <w:rsid w:val="0060126D"/>
    <w:rsid w:val="0060146A"/>
    <w:rsid w:val="00601974"/>
    <w:rsid w:val="00601CE8"/>
    <w:rsid w:val="00602DA5"/>
    <w:rsid w:val="006045AF"/>
    <w:rsid w:val="00606B1E"/>
    <w:rsid w:val="006105E3"/>
    <w:rsid w:val="006115E2"/>
    <w:rsid w:val="00613D08"/>
    <w:rsid w:val="0061491F"/>
    <w:rsid w:val="00615D5F"/>
    <w:rsid w:val="00615FC7"/>
    <w:rsid w:val="00620DEF"/>
    <w:rsid w:val="0062204C"/>
    <w:rsid w:val="00623188"/>
    <w:rsid w:val="00626DD6"/>
    <w:rsid w:val="0062719D"/>
    <w:rsid w:val="00627FDF"/>
    <w:rsid w:val="00630296"/>
    <w:rsid w:val="00630896"/>
    <w:rsid w:val="006331E3"/>
    <w:rsid w:val="00633776"/>
    <w:rsid w:val="00633C62"/>
    <w:rsid w:val="006361F0"/>
    <w:rsid w:val="006372A4"/>
    <w:rsid w:val="006375ED"/>
    <w:rsid w:val="0064029E"/>
    <w:rsid w:val="00640861"/>
    <w:rsid w:val="00640A36"/>
    <w:rsid w:val="00640BDC"/>
    <w:rsid w:val="0064171C"/>
    <w:rsid w:val="00643BB1"/>
    <w:rsid w:val="00646004"/>
    <w:rsid w:val="00646AD1"/>
    <w:rsid w:val="006473BA"/>
    <w:rsid w:val="00650E4E"/>
    <w:rsid w:val="00654D9D"/>
    <w:rsid w:val="00660C02"/>
    <w:rsid w:val="0066104E"/>
    <w:rsid w:val="0066130F"/>
    <w:rsid w:val="006641F4"/>
    <w:rsid w:val="006645D9"/>
    <w:rsid w:val="00665EBC"/>
    <w:rsid w:val="00666098"/>
    <w:rsid w:val="00667637"/>
    <w:rsid w:val="00667BE8"/>
    <w:rsid w:val="0067150D"/>
    <w:rsid w:val="00673A29"/>
    <w:rsid w:val="00673AD9"/>
    <w:rsid w:val="006766F4"/>
    <w:rsid w:val="006777B6"/>
    <w:rsid w:val="00681341"/>
    <w:rsid w:val="00681787"/>
    <w:rsid w:val="0068250F"/>
    <w:rsid w:val="00685904"/>
    <w:rsid w:val="00685FFE"/>
    <w:rsid w:val="00686729"/>
    <w:rsid w:val="00686CAC"/>
    <w:rsid w:val="00686D5A"/>
    <w:rsid w:val="00687871"/>
    <w:rsid w:val="006923EB"/>
    <w:rsid w:val="00693247"/>
    <w:rsid w:val="0069336E"/>
    <w:rsid w:val="00694174"/>
    <w:rsid w:val="00697D60"/>
    <w:rsid w:val="006A27BC"/>
    <w:rsid w:val="006A27D6"/>
    <w:rsid w:val="006A3A42"/>
    <w:rsid w:val="006A41B4"/>
    <w:rsid w:val="006A5FD7"/>
    <w:rsid w:val="006A62B0"/>
    <w:rsid w:val="006B143E"/>
    <w:rsid w:val="006B30E3"/>
    <w:rsid w:val="006B5E72"/>
    <w:rsid w:val="006B6205"/>
    <w:rsid w:val="006C058F"/>
    <w:rsid w:val="006C3252"/>
    <w:rsid w:val="006C7A04"/>
    <w:rsid w:val="006D158F"/>
    <w:rsid w:val="006D1B83"/>
    <w:rsid w:val="006D1BE7"/>
    <w:rsid w:val="006D20B7"/>
    <w:rsid w:val="006D5C98"/>
    <w:rsid w:val="006D6FCC"/>
    <w:rsid w:val="006E0A9F"/>
    <w:rsid w:val="006E12D5"/>
    <w:rsid w:val="006E26E8"/>
    <w:rsid w:val="006E4493"/>
    <w:rsid w:val="006E76B0"/>
    <w:rsid w:val="006F08D4"/>
    <w:rsid w:val="006F3318"/>
    <w:rsid w:val="006F39CF"/>
    <w:rsid w:val="006F4894"/>
    <w:rsid w:val="006F58F5"/>
    <w:rsid w:val="006F676D"/>
    <w:rsid w:val="006F7BB1"/>
    <w:rsid w:val="00700672"/>
    <w:rsid w:val="00701319"/>
    <w:rsid w:val="00701A95"/>
    <w:rsid w:val="00702F7C"/>
    <w:rsid w:val="00706127"/>
    <w:rsid w:val="007077CD"/>
    <w:rsid w:val="00712A93"/>
    <w:rsid w:val="00714CF1"/>
    <w:rsid w:val="00715CEB"/>
    <w:rsid w:val="007164E3"/>
    <w:rsid w:val="007175D1"/>
    <w:rsid w:val="00717A58"/>
    <w:rsid w:val="00722924"/>
    <w:rsid w:val="00723D30"/>
    <w:rsid w:val="00723F1A"/>
    <w:rsid w:val="00726974"/>
    <w:rsid w:val="007306BB"/>
    <w:rsid w:val="007319AD"/>
    <w:rsid w:val="00732257"/>
    <w:rsid w:val="00740240"/>
    <w:rsid w:val="0074037C"/>
    <w:rsid w:val="00742895"/>
    <w:rsid w:val="00742B72"/>
    <w:rsid w:val="00742BC9"/>
    <w:rsid w:val="00743251"/>
    <w:rsid w:val="007436B5"/>
    <w:rsid w:val="00743D5F"/>
    <w:rsid w:val="00743FC5"/>
    <w:rsid w:val="00744DC0"/>
    <w:rsid w:val="00745634"/>
    <w:rsid w:val="007469FC"/>
    <w:rsid w:val="00746A92"/>
    <w:rsid w:val="00747EAE"/>
    <w:rsid w:val="00750DEB"/>
    <w:rsid w:val="007515C1"/>
    <w:rsid w:val="007528B2"/>
    <w:rsid w:val="00753BFA"/>
    <w:rsid w:val="00753DD9"/>
    <w:rsid w:val="00754C7E"/>
    <w:rsid w:val="007557BC"/>
    <w:rsid w:val="007608F0"/>
    <w:rsid w:val="00762976"/>
    <w:rsid w:val="00766752"/>
    <w:rsid w:val="00766834"/>
    <w:rsid w:val="00766EC7"/>
    <w:rsid w:val="00770640"/>
    <w:rsid w:val="0077082D"/>
    <w:rsid w:val="0077181C"/>
    <w:rsid w:val="00771AF0"/>
    <w:rsid w:val="0077499E"/>
    <w:rsid w:val="0077508F"/>
    <w:rsid w:val="007752E2"/>
    <w:rsid w:val="00777A40"/>
    <w:rsid w:val="00781F5F"/>
    <w:rsid w:val="00783479"/>
    <w:rsid w:val="00783696"/>
    <w:rsid w:val="00783D3E"/>
    <w:rsid w:val="00784B5D"/>
    <w:rsid w:val="00785DB0"/>
    <w:rsid w:val="00791384"/>
    <w:rsid w:val="00791D74"/>
    <w:rsid w:val="00791E5B"/>
    <w:rsid w:val="007931D7"/>
    <w:rsid w:val="007949B4"/>
    <w:rsid w:val="00794A37"/>
    <w:rsid w:val="0079583C"/>
    <w:rsid w:val="0079708B"/>
    <w:rsid w:val="0079779E"/>
    <w:rsid w:val="007A6DC9"/>
    <w:rsid w:val="007A71B5"/>
    <w:rsid w:val="007A797E"/>
    <w:rsid w:val="007A7ECB"/>
    <w:rsid w:val="007B1216"/>
    <w:rsid w:val="007B255F"/>
    <w:rsid w:val="007B55C5"/>
    <w:rsid w:val="007C0579"/>
    <w:rsid w:val="007C0E7E"/>
    <w:rsid w:val="007C10CC"/>
    <w:rsid w:val="007C250E"/>
    <w:rsid w:val="007C2CD7"/>
    <w:rsid w:val="007D009C"/>
    <w:rsid w:val="007D2162"/>
    <w:rsid w:val="007D22A4"/>
    <w:rsid w:val="007D5A53"/>
    <w:rsid w:val="007D62D9"/>
    <w:rsid w:val="007D73C9"/>
    <w:rsid w:val="007E1E55"/>
    <w:rsid w:val="007E1FB4"/>
    <w:rsid w:val="007E28C1"/>
    <w:rsid w:val="007F0840"/>
    <w:rsid w:val="007F2086"/>
    <w:rsid w:val="007F67A7"/>
    <w:rsid w:val="007F6F0A"/>
    <w:rsid w:val="00800773"/>
    <w:rsid w:val="00801004"/>
    <w:rsid w:val="0080111C"/>
    <w:rsid w:val="00801EFD"/>
    <w:rsid w:val="008058BC"/>
    <w:rsid w:val="00806D7C"/>
    <w:rsid w:val="00807854"/>
    <w:rsid w:val="00811012"/>
    <w:rsid w:val="00811A90"/>
    <w:rsid w:val="00813846"/>
    <w:rsid w:val="00814325"/>
    <w:rsid w:val="00815C4F"/>
    <w:rsid w:val="008161C2"/>
    <w:rsid w:val="00816942"/>
    <w:rsid w:val="0081738B"/>
    <w:rsid w:val="0082026A"/>
    <w:rsid w:val="008219BA"/>
    <w:rsid w:val="00824136"/>
    <w:rsid w:val="00826075"/>
    <w:rsid w:val="008267CA"/>
    <w:rsid w:val="00826A19"/>
    <w:rsid w:val="008312D4"/>
    <w:rsid w:val="008317C8"/>
    <w:rsid w:val="00831915"/>
    <w:rsid w:val="0083305B"/>
    <w:rsid w:val="00834578"/>
    <w:rsid w:val="0083648B"/>
    <w:rsid w:val="00836500"/>
    <w:rsid w:val="00841EAB"/>
    <w:rsid w:val="00844977"/>
    <w:rsid w:val="00844B97"/>
    <w:rsid w:val="00845BB4"/>
    <w:rsid w:val="008464F9"/>
    <w:rsid w:val="00847302"/>
    <w:rsid w:val="00847BF3"/>
    <w:rsid w:val="00852A15"/>
    <w:rsid w:val="00853D0B"/>
    <w:rsid w:val="008546AA"/>
    <w:rsid w:val="00854B16"/>
    <w:rsid w:val="00854BCA"/>
    <w:rsid w:val="00855A43"/>
    <w:rsid w:val="008561BF"/>
    <w:rsid w:val="00861E25"/>
    <w:rsid w:val="008633B6"/>
    <w:rsid w:val="00866481"/>
    <w:rsid w:val="0087076A"/>
    <w:rsid w:val="00870853"/>
    <w:rsid w:val="00871BBD"/>
    <w:rsid w:val="008731E4"/>
    <w:rsid w:val="008745D6"/>
    <w:rsid w:val="00874DCA"/>
    <w:rsid w:val="00875D64"/>
    <w:rsid w:val="00875E32"/>
    <w:rsid w:val="0087668E"/>
    <w:rsid w:val="0087700B"/>
    <w:rsid w:val="008800F4"/>
    <w:rsid w:val="0088277A"/>
    <w:rsid w:val="0088297B"/>
    <w:rsid w:val="00885D7C"/>
    <w:rsid w:val="0088762D"/>
    <w:rsid w:val="00890235"/>
    <w:rsid w:val="00890A70"/>
    <w:rsid w:val="00890DDC"/>
    <w:rsid w:val="00890F9C"/>
    <w:rsid w:val="008928B6"/>
    <w:rsid w:val="00894CA0"/>
    <w:rsid w:val="00895461"/>
    <w:rsid w:val="008957B1"/>
    <w:rsid w:val="00896190"/>
    <w:rsid w:val="00897C5E"/>
    <w:rsid w:val="008A1517"/>
    <w:rsid w:val="008A2307"/>
    <w:rsid w:val="008A2B8F"/>
    <w:rsid w:val="008A2BB7"/>
    <w:rsid w:val="008A4000"/>
    <w:rsid w:val="008A4A65"/>
    <w:rsid w:val="008A6621"/>
    <w:rsid w:val="008A70A5"/>
    <w:rsid w:val="008B201B"/>
    <w:rsid w:val="008B2D64"/>
    <w:rsid w:val="008B368E"/>
    <w:rsid w:val="008B38A4"/>
    <w:rsid w:val="008B38EE"/>
    <w:rsid w:val="008B4F2F"/>
    <w:rsid w:val="008B55B4"/>
    <w:rsid w:val="008B6A00"/>
    <w:rsid w:val="008C0269"/>
    <w:rsid w:val="008C076F"/>
    <w:rsid w:val="008C257C"/>
    <w:rsid w:val="008D0FDE"/>
    <w:rsid w:val="008D1051"/>
    <w:rsid w:val="008D22BE"/>
    <w:rsid w:val="008D7542"/>
    <w:rsid w:val="008D7F7C"/>
    <w:rsid w:val="008E0835"/>
    <w:rsid w:val="008E16ED"/>
    <w:rsid w:val="008E280E"/>
    <w:rsid w:val="008E2BA7"/>
    <w:rsid w:val="008E5642"/>
    <w:rsid w:val="008E5CC2"/>
    <w:rsid w:val="008F2E20"/>
    <w:rsid w:val="0090061C"/>
    <w:rsid w:val="00900BC5"/>
    <w:rsid w:val="00901036"/>
    <w:rsid w:val="00904136"/>
    <w:rsid w:val="00904309"/>
    <w:rsid w:val="0090479F"/>
    <w:rsid w:val="00904BFC"/>
    <w:rsid w:val="00906692"/>
    <w:rsid w:val="00906853"/>
    <w:rsid w:val="00906CF8"/>
    <w:rsid w:val="009073CB"/>
    <w:rsid w:val="0090752A"/>
    <w:rsid w:val="00910805"/>
    <w:rsid w:val="00911A42"/>
    <w:rsid w:val="00912D60"/>
    <w:rsid w:val="009140A2"/>
    <w:rsid w:val="009141D0"/>
    <w:rsid w:val="00920480"/>
    <w:rsid w:val="00920D01"/>
    <w:rsid w:val="00923B20"/>
    <w:rsid w:val="009263DF"/>
    <w:rsid w:val="00927338"/>
    <w:rsid w:val="00927DF1"/>
    <w:rsid w:val="0093018E"/>
    <w:rsid w:val="0093167C"/>
    <w:rsid w:val="00932A3A"/>
    <w:rsid w:val="00934143"/>
    <w:rsid w:val="00934679"/>
    <w:rsid w:val="00935444"/>
    <w:rsid w:val="00936756"/>
    <w:rsid w:val="009378F0"/>
    <w:rsid w:val="00942696"/>
    <w:rsid w:val="00942EB6"/>
    <w:rsid w:val="0094307C"/>
    <w:rsid w:val="00944802"/>
    <w:rsid w:val="009470DD"/>
    <w:rsid w:val="009518D9"/>
    <w:rsid w:val="0095236F"/>
    <w:rsid w:val="00952404"/>
    <w:rsid w:val="00953350"/>
    <w:rsid w:val="00955BDA"/>
    <w:rsid w:val="0096328F"/>
    <w:rsid w:val="00965F52"/>
    <w:rsid w:val="0096737A"/>
    <w:rsid w:val="0097392A"/>
    <w:rsid w:val="009749C0"/>
    <w:rsid w:val="00976D52"/>
    <w:rsid w:val="00977C0A"/>
    <w:rsid w:val="00982FF8"/>
    <w:rsid w:val="00984E8B"/>
    <w:rsid w:val="0098512F"/>
    <w:rsid w:val="0098550A"/>
    <w:rsid w:val="00985728"/>
    <w:rsid w:val="009857DD"/>
    <w:rsid w:val="009859AB"/>
    <w:rsid w:val="009875CB"/>
    <w:rsid w:val="00987A4E"/>
    <w:rsid w:val="009907A9"/>
    <w:rsid w:val="00993DE4"/>
    <w:rsid w:val="00993F38"/>
    <w:rsid w:val="00994A4B"/>
    <w:rsid w:val="00996D25"/>
    <w:rsid w:val="009A043C"/>
    <w:rsid w:val="009A12ED"/>
    <w:rsid w:val="009A201F"/>
    <w:rsid w:val="009A3AE9"/>
    <w:rsid w:val="009A62FC"/>
    <w:rsid w:val="009A6989"/>
    <w:rsid w:val="009A72EB"/>
    <w:rsid w:val="009B105E"/>
    <w:rsid w:val="009B2B4E"/>
    <w:rsid w:val="009B396E"/>
    <w:rsid w:val="009B39A2"/>
    <w:rsid w:val="009B3B97"/>
    <w:rsid w:val="009B49F3"/>
    <w:rsid w:val="009B4E5D"/>
    <w:rsid w:val="009B567A"/>
    <w:rsid w:val="009B5761"/>
    <w:rsid w:val="009C29C5"/>
    <w:rsid w:val="009C5C75"/>
    <w:rsid w:val="009D1C23"/>
    <w:rsid w:val="009D2A29"/>
    <w:rsid w:val="009D59DE"/>
    <w:rsid w:val="009E1362"/>
    <w:rsid w:val="009E1848"/>
    <w:rsid w:val="009E1BC1"/>
    <w:rsid w:val="009E1F6B"/>
    <w:rsid w:val="009E3E77"/>
    <w:rsid w:val="009E4DF2"/>
    <w:rsid w:val="009E6D60"/>
    <w:rsid w:val="009F1918"/>
    <w:rsid w:val="009F2D0A"/>
    <w:rsid w:val="009F3962"/>
    <w:rsid w:val="009F6ED7"/>
    <w:rsid w:val="009F7401"/>
    <w:rsid w:val="009F78F2"/>
    <w:rsid w:val="00A01C9B"/>
    <w:rsid w:val="00A065F5"/>
    <w:rsid w:val="00A10857"/>
    <w:rsid w:val="00A1221A"/>
    <w:rsid w:val="00A1269B"/>
    <w:rsid w:val="00A130F9"/>
    <w:rsid w:val="00A1585F"/>
    <w:rsid w:val="00A16000"/>
    <w:rsid w:val="00A16398"/>
    <w:rsid w:val="00A20EBA"/>
    <w:rsid w:val="00A20F2F"/>
    <w:rsid w:val="00A211A3"/>
    <w:rsid w:val="00A22CE3"/>
    <w:rsid w:val="00A2357E"/>
    <w:rsid w:val="00A24629"/>
    <w:rsid w:val="00A25A27"/>
    <w:rsid w:val="00A2743C"/>
    <w:rsid w:val="00A27485"/>
    <w:rsid w:val="00A30038"/>
    <w:rsid w:val="00A309E8"/>
    <w:rsid w:val="00A3439F"/>
    <w:rsid w:val="00A3514D"/>
    <w:rsid w:val="00A40F98"/>
    <w:rsid w:val="00A41EF2"/>
    <w:rsid w:val="00A42619"/>
    <w:rsid w:val="00A4267D"/>
    <w:rsid w:val="00A427B2"/>
    <w:rsid w:val="00A43DEB"/>
    <w:rsid w:val="00A44DDA"/>
    <w:rsid w:val="00A454B8"/>
    <w:rsid w:val="00A47D62"/>
    <w:rsid w:val="00A53CDD"/>
    <w:rsid w:val="00A53EE6"/>
    <w:rsid w:val="00A5538A"/>
    <w:rsid w:val="00A564AE"/>
    <w:rsid w:val="00A57A4A"/>
    <w:rsid w:val="00A57C0E"/>
    <w:rsid w:val="00A614EB"/>
    <w:rsid w:val="00A62886"/>
    <w:rsid w:val="00A63E79"/>
    <w:rsid w:val="00A6719E"/>
    <w:rsid w:val="00A672B2"/>
    <w:rsid w:val="00A74C51"/>
    <w:rsid w:val="00A77682"/>
    <w:rsid w:val="00A77FBF"/>
    <w:rsid w:val="00A80C19"/>
    <w:rsid w:val="00A83279"/>
    <w:rsid w:val="00A83750"/>
    <w:rsid w:val="00A84631"/>
    <w:rsid w:val="00A86498"/>
    <w:rsid w:val="00A86A0A"/>
    <w:rsid w:val="00A9067C"/>
    <w:rsid w:val="00A90A24"/>
    <w:rsid w:val="00A90BD3"/>
    <w:rsid w:val="00A91402"/>
    <w:rsid w:val="00A92FBB"/>
    <w:rsid w:val="00A93C1C"/>
    <w:rsid w:val="00A96790"/>
    <w:rsid w:val="00A97543"/>
    <w:rsid w:val="00AA0DFE"/>
    <w:rsid w:val="00AA2502"/>
    <w:rsid w:val="00AA262E"/>
    <w:rsid w:val="00AA2AC5"/>
    <w:rsid w:val="00AA3174"/>
    <w:rsid w:val="00AA3A41"/>
    <w:rsid w:val="00AA5AE9"/>
    <w:rsid w:val="00AA6D45"/>
    <w:rsid w:val="00AA7585"/>
    <w:rsid w:val="00AA7DED"/>
    <w:rsid w:val="00AB031D"/>
    <w:rsid w:val="00AB08A6"/>
    <w:rsid w:val="00AB18B3"/>
    <w:rsid w:val="00AB1A1E"/>
    <w:rsid w:val="00AB236C"/>
    <w:rsid w:val="00AC06B6"/>
    <w:rsid w:val="00AC7830"/>
    <w:rsid w:val="00AD1557"/>
    <w:rsid w:val="00AD35F3"/>
    <w:rsid w:val="00AD44E9"/>
    <w:rsid w:val="00AD4CAC"/>
    <w:rsid w:val="00AD528F"/>
    <w:rsid w:val="00AD6760"/>
    <w:rsid w:val="00AD6EB3"/>
    <w:rsid w:val="00AD741D"/>
    <w:rsid w:val="00AD751D"/>
    <w:rsid w:val="00AD791C"/>
    <w:rsid w:val="00AE141C"/>
    <w:rsid w:val="00AE1C60"/>
    <w:rsid w:val="00AE4F42"/>
    <w:rsid w:val="00AE5095"/>
    <w:rsid w:val="00AE728D"/>
    <w:rsid w:val="00AE7589"/>
    <w:rsid w:val="00AF2833"/>
    <w:rsid w:val="00AF3716"/>
    <w:rsid w:val="00AF3C46"/>
    <w:rsid w:val="00AF43E1"/>
    <w:rsid w:val="00AF4D71"/>
    <w:rsid w:val="00AF5921"/>
    <w:rsid w:val="00B0092E"/>
    <w:rsid w:val="00B018B2"/>
    <w:rsid w:val="00B018E8"/>
    <w:rsid w:val="00B03BF6"/>
    <w:rsid w:val="00B03CDF"/>
    <w:rsid w:val="00B040B7"/>
    <w:rsid w:val="00B04A55"/>
    <w:rsid w:val="00B04D46"/>
    <w:rsid w:val="00B104C5"/>
    <w:rsid w:val="00B10F47"/>
    <w:rsid w:val="00B1385B"/>
    <w:rsid w:val="00B13B1B"/>
    <w:rsid w:val="00B15DBF"/>
    <w:rsid w:val="00B165C9"/>
    <w:rsid w:val="00B17D70"/>
    <w:rsid w:val="00B22AD7"/>
    <w:rsid w:val="00B22D31"/>
    <w:rsid w:val="00B22E46"/>
    <w:rsid w:val="00B27853"/>
    <w:rsid w:val="00B30291"/>
    <w:rsid w:val="00B306F7"/>
    <w:rsid w:val="00B30BB8"/>
    <w:rsid w:val="00B30FE2"/>
    <w:rsid w:val="00B3272E"/>
    <w:rsid w:val="00B32C71"/>
    <w:rsid w:val="00B330C4"/>
    <w:rsid w:val="00B37580"/>
    <w:rsid w:val="00B4137A"/>
    <w:rsid w:val="00B50B77"/>
    <w:rsid w:val="00B51290"/>
    <w:rsid w:val="00B52215"/>
    <w:rsid w:val="00B530CA"/>
    <w:rsid w:val="00B53AC4"/>
    <w:rsid w:val="00B54527"/>
    <w:rsid w:val="00B57ADA"/>
    <w:rsid w:val="00B61EE9"/>
    <w:rsid w:val="00B6496C"/>
    <w:rsid w:val="00B65962"/>
    <w:rsid w:val="00B66B6C"/>
    <w:rsid w:val="00B7033E"/>
    <w:rsid w:val="00B7071A"/>
    <w:rsid w:val="00B71858"/>
    <w:rsid w:val="00B71A39"/>
    <w:rsid w:val="00B721DC"/>
    <w:rsid w:val="00B74715"/>
    <w:rsid w:val="00B75161"/>
    <w:rsid w:val="00B7669D"/>
    <w:rsid w:val="00B766D9"/>
    <w:rsid w:val="00B80A28"/>
    <w:rsid w:val="00B82D73"/>
    <w:rsid w:val="00B84A2C"/>
    <w:rsid w:val="00B871D6"/>
    <w:rsid w:val="00B87A02"/>
    <w:rsid w:val="00B96204"/>
    <w:rsid w:val="00BA0DCC"/>
    <w:rsid w:val="00BA12A2"/>
    <w:rsid w:val="00BA16EF"/>
    <w:rsid w:val="00BA18D0"/>
    <w:rsid w:val="00BA242E"/>
    <w:rsid w:val="00BA2ABF"/>
    <w:rsid w:val="00BA3317"/>
    <w:rsid w:val="00BA5A9D"/>
    <w:rsid w:val="00BA6363"/>
    <w:rsid w:val="00BB2D9C"/>
    <w:rsid w:val="00BB3512"/>
    <w:rsid w:val="00BB37E8"/>
    <w:rsid w:val="00BB5D1E"/>
    <w:rsid w:val="00BB62CC"/>
    <w:rsid w:val="00BB7ED6"/>
    <w:rsid w:val="00BC137A"/>
    <w:rsid w:val="00BC4347"/>
    <w:rsid w:val="00BC45E0"/>
    <w:rsid w:val="00BC54B5"/>
    <w:rsid w:val="00BC5D9D"/>
    <w:rsid w:val="00BC60E1"/>
    <w:rsid w:val="00BC6803"/>
    <w:rsid w:val="00BC6B5E"/>
    <w:rsid w:val="00BC7BCB"/>
    <w:rsid w:val="00BD109B"/>
    <w:rsid w:val="00BD1101"/>
    <w:rsid w:val="00BD2944"/>
    <w:rsid w:val="00BD2B5E"/>
    <w:rsid w:val="00BD3AFF"/>
    <w:rsid w:val="00BD42F9"/>
    <w:rsid w:val="00BD4E7A"/>
    <w:rsid w:val="00BD531B"/>
    <w:rsid w:val="00BE00E5"/>
    <w:rsid w:val="00BE2E5A"/>
    <w:rsid w:val="00BE3A10"/>
    <w:rsid w:val="00BE4A21"/>
    <w:rsid w:val="00BE5859"/>
    <w:rsid w:val="00BE717E"/>
    <w:rsid w:val="00BE7E27"/>
    <w:rsid w:val="00BF183C"/>
    <w:rsid w:val="00BF43C4"/>
    <w:rsid w:val="00BF4C15"/>
    <w:rsid w:val="00C049CF"/>
    <w:rsid w:val="00C0782F"/>
    <w:rsid w:val="00C07F90"/>
    <w:rsid w:val="00C11F50"/>
    <w:rsid w:val="00C122F8"/>
    <w:rsid w:val="00C12603"/>
    <w:rsid w:val="00C12C7C"/>
    <w:rsid w:val="00C131FD"/>
    <w:rsid w:val="00C15322"/>
    <w:rsid w:val="00C16DA8"/>
    <w:rsid w:val="00C17352"/>
    <w:rsid w:val="00C21959"/>
    <w:rsid w:val="00C30A7D"/>
    <w:rsid w:val="00C31169"/>
    <w:rsid w:val="00C3169F"/>
    <w:rsid w:val="00C318F6"/>
    <w:rsid w:val="00C33854"/>
    <w:rsid w:val="00C37522"/>
    <w:rsid w:val="00C42EFD"/>
    <w:rsid w:val="00C43D8B"/>
    <w:rsid w:val="00C44042"/>
    <w:rsid w:val="00C44198"/>
    <w:rsid w:val="00C46AF0"/>
    <w:rsid w:val="00C52956"/>
    <w:rsid w:val="00C53AE1"/>
    <w:rsid w:val="00C53CAD"/>
    <w:rsid w:val="00C54893"/>
    <w:rsid w:val="00C560A1"/>
    <w:rsid w:val="00C56E9E"/>
    <w:rsid w:val="00C56EB6"/>
    <w:rsid w:val="00C571E2"/>
    <w:rsid w:val="00C63FC8"/>
    <w:rsid w:val="00C641EF"/>
    <w:rsid w:val="00C64F57"/>
    <w:rsid w:val="00C65D21"/>
    <w:rsid w:val="00C66E11"/>
    <w:rsid w:val="00C6789D"/>
    <w:rsid w:val="00C71A97"/>
    <w:rsid w:val="00C72FFE"/>
    <w:rsid w:val="00C73FFD"/>
    <w:rsid w:val="00C74512"/>
    <w:rsid w:val="00C75071"/>
    <w:rsid w:val="00C84F07"/>
    <w:rsid w:val="00C851A6"/>
    <w:rsid w:val="00C855D4"/>
    <w:rsid w:val="00C87639"/>
    <w:rsid w:val="00C90685"/>
    <w:rsid w:val="00C9099A"/>
    <w:rsid w:val="00C9240A"/>
    <w:rsid w:val="00C93D5B"/>
    <w:rsid w:val="00C9442C"/>
    <w:rsid w:val="00C9532C"/>
    <w:rsid w:val="00C95BCF"/>
    <w:rsid w:val="00C95D16"/>
    <w:rsid w:val="00C95DCF"/>
    <w:rsid w:val="00CA184E"/>
    <w:rsid w:val="00CA23C4"/>
    <w:rsid w:val="00CA575F"/>
    <w:rsid w:val="00CA5AEC"/>
    <w:rsid w:val="00CA6114"/>
    <w:rsid w:val="00CA704A"/>
    <w:rsid w:val="00CB0797"/>
    <w:rsid w:val="00CB21FF"/>
    <w:rsid w:val="00CB5CAE"/>
    <w:rsid w:val="00CB644C"/>
    <w:rsid w:val="00CB78ED"/>
    <w:rsid w:val="00CC0004"/>
    <w:rsid w:val="00CC4E55"/>
    <w:rsid w:val="00CC550E"/>
    <w:rsid w:val="00CC5AC6"/>
    <w:rsid w:val="00CD013E"/>
    <w:rsid w:val="00CD0DCE"/>
    <w:rsid w:val="00CD1628"/>
    <w:rsid w:val="00CD1D27"/>
    <w:rsid w:val="00CD27B7"/>
    <w:rsid w:val="00CD3807"/>
    <w:rsid w:val="00CD3AE7"/>
    <w:rsid w:val="00CD3C10"/>
    <w:rsid w:val="00CD5194"/>
    <w:rsid w:val="00CD5981"/>
    <w:rsid w:val="00CD79FA"/>
    <w:rsid w:val="00CE10E6"/>
    <w:rsid w:val="00CE59A8"/>
    <w:rsid w:val="00CE657B"/>
    <w:rsid w:val="00CF0873"/>
    <w:rsid w:val="00CF237E"/>
    <w:rsid w:val="00CF3FB0"/>
    <w:rsid w:val="00CF515D"/>
    <w:rsid w:val="00CF53F5"/>
    <w:rsid w:val="00CF6B3F"/>
    <w:rsid w:val="00D002B4"/>
    <w:rsid w:val="00D0379A"/>
    <w:rsid w:val="00D03845"/>
    <w:rsid w:val="00D03DCB"/>
    <w:rsid w:val="00D05257"/>
    <w:rsid w:val="00D054DF"/>
    <w:rsid w:val="00D057A5"/>
    <w:rsid w:val="00D05D1F"/>
    <w:rsid w:val="00D144D0"/>
    <w:rsid w:val="00D14FC0"/>
    <w:rsid w:val="00D163A3"/>
    <w:rsid w:val="00D1656D"/>
    <w:rsid w:val="00D167CC"/>
    <w:rsid w:val="00D16943"/>
    <w:rsid w:val="00D211AE"/>
    <w:rsid w:val="00D21662"/>
    <w:rsid w:val="00D23DE4"/>
    <w:rsid w:val="00D23F50"/>
    <w:rsid w:val="00D24867"/>
    <w:rsid w:val="00D318E3"/>
    <w:rsid w:val="00D323A7"/>
    <w:rsid w:val="00D346BF"/>
    <w:rsid w:val="00D34A4B"/>
    <w:rsid w:val="00D416EB"/>
    <w:rsid w:val="00D41B20"/>
    <w:rsid w:val="00D44615"/>
    <w:rsid w:val="00D45321"/>
    <w:rsid w:val="00D47508"/>
    <w:rsid w:val="00D50324"/>
    <w:rsid w:val="00D55A28"/>
    <w:rsid w:val="00D5605F"/>
    <w:rsid w:val="00D61FBD"/>
    <w:rsid w:val="00D62519"/>
    <w:rsid w:val="00D625AA"/>
    <w:rsid w:val="00D63CBD"/>
    <w:rsid w:val="00D6500C"/>
    <w:rsid w:val="00D652E9"/>
    <w:rsid w:val="00D66392"/>
    <w:rsid w:val="00D66959"/>
    <w:rsid w:val="00D70A39"/>
    <w:rsid w:val="00D71A7E"/>
    <w:rsid w:val="00D7643D"/>
    <w:rsid w:val="00D76DE0"/>
    <w:rsid w:val="00D80DF0"/>
    <w:rsid w:val="00D83ED5"/>
    <w:rsid w:val="00D86043"/>
    <w:rsid w:val="00D870D4"/>
    <w:rsid w:val="00D91008"/>
    <w:rsid w:val="00D9398E"/>
    <w:rsid w:val="00D9464E"/>
    <w:rsid w:val="00D954E0"/>
    <w:rsid w:val="00D97059"/>
    <w:rsid w:val="00D97A1D"/>
    <w:rsid w:val="00DA0181"/>
    <w:rsid w:val="00DA2411"/>
    <w:rsid w:val="00DA2C81"/>
    <w:rsid w:val="00DA65C4"/>
    <w:rsid w:val="00DA7899"/>
    <w:rsid w:val="00DB0923"/>
    <w:rsid w:val="00DB29CA"/>
    <w:rsid w:val="00DB30C8"/>
    <w:rsid w:val="00DB558E"/>
    <w:rsid w:val="00DB5F2B"/>
    <w:rsid w:val="00DB74AF"/>
    <w:rsid w:val="00DC1AB8"/>
    <w:rsid w:val="00DC5C19"/>
    <w:rsid w:val="00DC7068"/>
    <w:rsid w:val="00DD0411"/>
    <w:rsid w:val="00DD265A"/>
    <w:rsid w:val="00DD6B9B"/>
    <w:rsid w:val="00DE07A1"/>
    <w:rsid w:val="00DE21A2"/>
    <w:rsid w:val="00DE2776"/>
    <w:rsid w:val="00DE3A19"/>
    <w:rsid w:val="00DE3B11"/>
    <w:rsid w:val="00DE7183"/>
    <w:rsid w:val="00DF1DAC"/>
    <w:rsid w:val="00DF2165"/>
    <w:rsid w:val="00DF5A24"/>
    <w:rsid w:val="00DF60E6"/>
    <w:rsid w:val="00DF6105"/>
    <w:rsid w:val="00DF659E"/>
    <w:rsid w:val="00E01524"/>
    <w:rsid w:val="00E07C16"/>
    <w:rsid w:val="00E1021D"/>
    <w:rsid w:val="00E10A34"/>
    <w:rsid w:val="00E1428E"/>
    <w:rsid w:val="00E14500"/>
    <w:rsid w:val="00E14900"/>
    <w:rsid w:val="00E15903"/>
    <w:rsid w:val="00E218D3"/>
    <w:rsid w:val="00E22321"/>
    <w:rsid w:val="00E229ED"/>
    <w:rsid w:val="00E23091"/>
    <w:rsid w:val="00E23E21"/>
    <w:rsid w:val="00E245A0"/>
    <w:rsid w:val="00E25964"/>
    <w:rsid w:val="00E25E9F"/>
    <w:rsid w:val="00E27565"/>
    <w:rsid w:val="00E30DE6"/>
    <w:rsid w:val="00E31944"/>
    <w:rsid w:val="00E32395"/>
    <w:rsid w:val="00E32E0D"/>
    <w:rsid w:val="00E332E3"/>
    <w:rsid w:val="00E35435"/>
    <w:rsid w:val="00E37194"/>
    <w:rsid w:val="00E3788B"/>
    <w:rsid w:val="00E40C6A"/>
    <w:rsid w:val="00E410B7"/>
    <w:rsid w:val="00E43977"/>
    <w:rsid w:val="00E4415D"/>
    <w:rsid w:val="00E44AB8"/>
    <w:rsid w:val="00E47BD8"/>
    <w:rsid w:val="00E50D3F"/>
    <w:rsid w:val="00E520BE"/>
    <w:rsid w:val="00E5484A"/>
    <w:rsid w:val="00E54E17"/>
    <w:rsid w:val="00E56A7A"/>
    <w:rsid w:val="00E60419"/>
    <w:rsid w:val="00E60E01"/>
    <w:rsid w:val="00E617D3"/>
    <w:rsid w:val="00E61E36"/>
    <w:rsid w:val="00E633C1"/>
    <w:rsid w:val="00E667B0"/>
    <w:rsid w:val="00E67390"/>
    <w:rsid w:val="00E71365"/>
    <w:rsid w:val="00E74904"/>
    <w:rsid w:val="00E770A4"/>
    <w:rsid w:val="00E8097A"/>
    <w:rsid w:val="00E81192"/>
    <w:rsid w:val="00E83B51"/>
    <w:rsid w:val="00E8626C"/>
    <w:rsid w:val="00E8663B"/>
    <w:rsid w:val="00E86BDE"/>
    <w:rsid w:val="00E8762F"/>
    <w:rsid w:val="00E90AB8"/>
    <w:rsid w:val="00E919D9"/>
    <w:rsid w:val="00E921C1"/>
    <w:rsid w:val="00E93C8B"/>
    <w:rsid w:val="00E93D8F"/>
    <w:rsid w:val="00E9531E"/>
    <w:rsid w:val="00E95E41"/>
    <w:rsid w:val="00E95E4C"/>
    <w:rsid w:val="00E977CE"/>
    <w:rsid w:val="00E97E05"/>
    <w:rsid w:val="00EA34E2"/>
    <w:rsid w:val="00EA52D1"/>
    <w:rsid w:val="00EA703E"/>
    <w:rsid w:val="00EA791F"/>
    <w:rsid w:val="00EA7950"/>
    <w:rsid w:val="00EB139C"/>
    <w:rsid w:val="00EB66CE"/>
    <w:rsid w:val="00EB671F"/>
    <w:rsid w:val="00EB70E7"/>
    <w:rsid w:val="00EB76D6"/>
    <w:rsid w:val="00EC02E8"/>
    <w:rsid w:val="00EC1139"/>
    <w:rsid w:val="00EC3842"/>
    <w:rsid w:val="00EC4299"/>
    <w:rsid w:val="00EC4D4D"/>
    <w:rsid w:val="00EC5D5D"/>
    <w:rsid w:val="00EC7908"/>
    <w:rsid w:val="00EC7C2B"/>
    <w:rsid w:val="00ED1F02"/>
    <w:rsid w:val="00ED213D"/>
    <w:rsid w:val="00EE15B5"/>
    <w:rsid w:val="00EE2087"/>
    <w:rsid w:val="00EE20A1"/>
    <w:rsid w:val="00EE74AF"/>
    <w:rsid w:val="00EF1F0E"/>
    <w:rsid w:val="00EF29F6"/>
    <w:rsid w:val="00EF4FBF"/>
    <w:rsid w:val="00EF518E"/>
    <w:rsid w:val="00EF5DF0"/>
    <w:rsid w:val="00EF69AE"/>
    <w:rsid w:val="00EF6E2C"/>
    <w:rsid w:val="00EF7106"/>
    <w:rsid w:val="00F001A6"/>
    <w:rsid w:val="00F00253"/>
    <w:rsid w:val="00F0070A"/>
    <w:rsid w:val="00F01660"/>
    <w:rsid w:val="00F01C16"/>
    <w:rsid w:val="00F0782D"/>
    <w:rsid w:val="00F10B74"/>
    <w:rsid w:val="00F11EB3"/>
    <w:rsid w:val="00F13F39"/>
    <w:rsid w:val="00F14507"/>
    <w:rsid w:val="00F14B9B"/>
    <w:rsid w:val="00F14CCC"/>
    <w:rsid w:val="00F17988"/>
    <w:rsid w:val="00F20C09"/>
    <w:rsid w:val="00F217DF"/>
    <w:rsid w:val="00F21CAE"/>
    <w:rsid w:val="00F22AE0"/>
    <w:rsid w:val="00F2601A"/>
    <w:rsid w:val="00F26518"/>
    <w:rsid w:val="00F26701"/>
    <w:rsid w:val="00F309B2"/>
    <w:rsid w:val="00F310D7"/>
    <w:rsid w:val="00F368B9"/>
    <w:rsid w:val="00F3739F"/>
    <w:rsid w:val="00F374C1"/>
    <w:rsid w:val="00F37B34"/>
    <w:rsid w:val="00F41C34"/>
    <w:rsid w:val="00F4212F"/>
    <w:rsid w:val="00F42D8B"/>
    <w:rsid w:val="00F447DB"/>
    <w:rsid w:val="00F447FA"/>
    <w:rsid w:val="00F469B9"/>
    <w:rsid w:val="00F46C32"/>
    <w:rsid w:val="00F46ECB"/>
    <w:rsid w:val="00F50F94"/>
    <w:rsid w:val="00F525B5"/>
    <w:rsid w:val="00F53D53"/>
    <w:rsid w:val="00F543B9"/>
    <w:rsid w:val="00F56177"/>
    <w:rsid w:val="00F56187"/>
    <w:rsid w:val="00F575D3"/>
    <w:rsid w:val="00F5786C"/>
    <w:rsid w:val="00F62117"/>
    <w:rsid w:val="00F62365"/>
    <w:rsid w:val="00F630A7"/>
    <w:rsid w:val="00F66225"/>
    <w:rsid w:val="00F662BC"/>
    <w:rsid w:val="00F6708D"/>
    <w:rsid w:val="00F707F0"/>
    <w:rsid w:val="00F71AD5"/>
    <w:rsid w:val="00F729ED"/>
    <w:rsid w:val="00F733B8"/>
    <w:rsid w:val="00F74F50"/>
    <w:rsid w:val="00F75192"/>
    <w:rsid w:val="00F77822"/>
    <w:rsid w:val="00F838B6"/>
    <w:rsid w:val="00F83B0D"/>
    <w:rsid w:val="00F83C31"/>
    <w:rsid w:val="00F85F05"/>
    <w:rsid w:val="00F86AD1"/>
    <w:rsid w:val="00F9222A"/>
    <w:rsid w:val="00F922EA"/>
    <w:rsid w:val="00F92927"/>
    <w:rsid w:val="00F949E0"/>
    <w:rsid w:val="00F94F0F"/>
    <w:rsid w:val="00F979B3"/>
    <w:rsid w:val="00F97CCD"/>
    <w:rsid w:val="00FA31E0"/>
    <w:rsid w:val="00FA320D"/>
    <w:rsid w:val="00FA362B"/>
    <w:rsid w:val="00FA53E9"/>
    <w:rsid w:val="00FA60EC"/>
    <w:rsid w:val="00FB04E9"/>
    <w:rsid w:val="00FB1179"/>
    <w:rsid w:val="00FB1C6B"/>
    <w:rsid w:val="00FB20DF"/>
    <w:rsid w:val="00FB3361"/>
    <w:rsid w:val="00FB42B4"/>
    <w:rsid w:val="00FB4841"/>
    <w:rsid w:val="00FB6C94"/>
    <w:rsid w:val="00FB7F8B"/>
    <w:rsid w:val="00FC22F5"/>
    <w:rsid w:val="00FC3753"/>
    <w:rsid w:val="00FC5170"/>
    <w:rsid w:val="00FC5743"/>
    <w:rsid w:val="00FC6240"/>
    <w:rsid w:val="00FD118C"/>
    <w:rsid w:val="00FD332F"/>
    <w:rsid w:val="00FD7395"/>
    <w:rsid w:val="00FE1CC1"/>
    <w:rsid w:val="00FE385E"/>
    <w:rsid w:val="00FE3CE2"/>
    <w:rsid w:val="00FE54AD"/>
    <w:rsid w:val="00FE5633"/>
    <w:rsid w:val="00FE599B"/>
    <w:rsid w:val="00FE6F7A"/>
    <w:rsid w:val="00FE7B14"/>
    <w:rsid w:val="00FF02D5"/>
    <w:rsid w:val="00FF0846"/>
    <w:rsid w:val="00FF248B"/>
    <w:rsid w:val="00FF3E6F"/>
    <w:rsid w:val="00FF5A63"/>
    <w:rsid w:val="00FF6DB4"/>
    <w:rsid w:val="00FF7425"/>
    <w:rsid w:val="00FF7B8E"/>
    <w:rsid w:val="00FF7E8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88769"/>
    <o:shapelayout v:ext="edit">
      <o:idmap v:ext="edit" data="1"/>
    </o:shapelayout>
  </w:shapeDefaults>
  <w:decimalSymbol w:val=","/>
  <w:listSeparator w:val=";"/>
  <w14:docId w14:val="0F472CAB"/>
  <w15:docId w15:val="{5193834D-BBD9-4ECD-983D-092FEF9EB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6191"/>
    <w:rPr>
      <w:rFonts w:ascii="Calibri" w:hAnsi="Calibri" w:cs="Times New Roman"/>
    </w:rPr>
  </w:style>
  <w:style w:type="paragraph" w:styleId="Ttulo1">
    <w:name w:val="heading 1"/>
    <w:basedOn w:val="Normal"/>
    <w:link w:val="Ttulo1Char"/>
    <w:uiPriority w:val="1"/>
    <w:qFormat/>
    <w:rsid w:val="00135D5F"/>
    <w:pPr>
      <w:widowControl w:val="0"/>
      <w:spacing w:after="0" w:line="240" w:lineRule="auto"/>
      <w:ind w:left="100" w:right="3120"/>
      <w:outlineLvl w:val="0"/>
    </w:pPr>
    <w:rPr>
      <w:rFonts w:eastAsia="Calibri" w:cs="Calibri"/>
      <w:b/>
      <w:bCs/>
      <w:sz w:val="40"/>
      <w:szCs w:val="40"/>
      <w:lang w:val="en-US"/>
    </w:rPr>
  </w:style>
  <w:style w:type="paragraph" w:styleId="Ttulo2">
    <w:name w:val="heading 2"/>
    <w:basedOn w:val="Normal"/>
    <w:link w:val="Ttulo2Char"/>
    <w:uiPriority w:val="1"/>
    <w:qFormat/>
    <w:rsid w:val="00135D5F"/>
    <w:pPr>
      <w:widowControl w:val="0"/>
      <w:spacing w:before="1" w:after="0" w:line="240" w:lineRule="auto"/>
      <w:ind w:left="1824" w:right="322"/>
      <w:outlineLvl w:val="1"/>
    </w:pPr>
    <w:rPr>
      <w:rFonts w:eastAsia="Calibri" w:cs="Calibri"/>
      <w:b/>
      <w:bCs/>
      <w:sz w:val="32"/>
      <w:szCs w:val="32"/>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046191"/>
    <w:rPr>
      <w:color w:val="0000FF"/>
      <w:u w:val="single"/>
    </w:rPr>
  </w:style>
  <w:style w:type="paragraph" w:styleId="Textodenotaderodap">
    <w:name w:val="footnote text"/>
    <w:basedOn w:val="Normal"/>
    <w:link w:val="TextodenotaderodapChar"/>
    <w:rsid w:val="00350CC2"/>
    <w:pPr>
      <w:autoSpaceDE w:val="0"/>
      <w:autoSpaceDN w:val="0"/>
      <w:spacing w:after="0" w:line="240" w:lineRule="auto"/>
    </w:pPr>
    <w:rPr>
      <w:rFonts w:ascii="Times New Roman" w:eastAsia="Times New Roman" w:hAnsi="Times New Roman"/>
      <w:sz w:val="20"/>
      <w:szCs w:val="20"/>
      <w:lang w:eastAsia="pt-BR"/>
    </w:rPr>
  </w:style>
  <w:style w:type="character" w:customStyle="1" w:styleId="TextodenotaderodapChar">
    <w:name w:val="Texto de nota de rodapé Char"/>
    <w:basedOn w:val="Fontepargpadro"/>
    <w:link w:val="Textodenotaderodap"/>
    <w:rsid w:val="00350CC2"/>
    <w:rPr>
      <w:rFonts w:ascii="Times New Roman" w:eastAsia="Times New Roman" w:hAnsi="Times New Roman" w:cs="Times New Roman"/>
      <w:sz w:val="20"/>
      <w:szCs w:val="20"/>
      <w:lang w:eastAsia="pt-BR"/>
    </w:rPr>
  </w:style>
  <w:style w:type="character" w:styleId="Refdenotaderodap">
    <w:name w:val="footnote reference"/>
    <w:rsid w:val="00350CC2"/>
    <w:rPr>
      <w:vertAlign w:val="superscript"/>
    </w:rPr>
  </w:style>
  <w:style w:type="character" w:styleId="HiperlinkVisitado">
    <w:name w:val="FollowedHyperlink"/>
    <w:basedOn w:val="Fontepargpadro"/>
    <w:uiPriority w:val="99"/>
    <w:semiHidden/>
    <w:unhideWhenUsed/>
    <w:rsid w:val="00A42619"/>
    <w:rPr>
      <w:color w:val="800080" w:themeColor="followedHyperlink"/>
      <w:u w:val="single"/>
    </w:rPr>
  </w:style>
  <w:style w:type="paragraph" w:styleId="Textodebalo">
    <w:name w:val="Balloon Text"/>
    <w:basedOn w:val="Normal"/>
    <w:link w:val="TextodebaloChar"/>
    <w:uiPriority w:val="99"/>
    <w:semiHidden/>
    <w:unhideWhenUsed/>
    <w:rsid w:val="00847BF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47BF3"/>
    <w:rPr>
      <w:rFonts w:ascii="Tahoma" w:hAnsi="Tahoma" w:cs="Tahoma"/>
      <w:sz w:val="16"/>
      <w:szCs w:val="16"/>
    </w:rPr>
  </w:style>
  <w:style w:type="paragraph" w:styleId="PargrafodaLista">
    <w:name w:val="List Paragraph"/>
    <w:basedOn w:val="Normal"/>
    <w:uiPriority w:val="34"/>
    <w:qFormat/>
    <w:rsid w:val="00BB3512"/>
    <w:pPr>
      <w:ind w:left="720"/>
      <w:contextualSpacing/>
    </w:pPr>
  </w:style>
  <w:style w:type="paragraph" w:styleId="Sumrio2">
    <w:name w:val="toc 2"/>
    <w:basedOn w:val="Normal"/>
    <w:uiPriority w:val="1"/>
    <w:qFormat/>
    <w:rsid w:val="00F469B9"/>
    <w:pPr>
      <w:widowControl w:val="0"/>
      <w:spacing w:before="113" w:after="0" w:line="240" w:lineRule="auto"/>
      <w:ind w:left="100"/>
    </w:pPr>
    <w:rPr>
      <w:rFonts w:ascii="Arial Narrow" w:eastAsia="Arial Narrow" w:hAnsi="Arial Narrow" w:cs="Arial Narrow"/>
      <w:sz w:val="18"/>
      <w:szCs w:val="18"/>
      <w:lang w:val="en-US"/>
    </w:rPr>
  </w:style>
  <w:style w:type="paragraph" w:styleId="Sumrio1">
    <w:name w:val="toc 1"/>
    <w:basedOn w:val="Normal"/>
    <w:next w:val="Normal"/>
    <w:autoRedefine/>
    <w:uiPriority w:val="39"/>
    <w:semiHidden/>
    <w:unhideWhenUsed/>
    <w:rsid w:val="00135D5F"/>
    <w:pPr>
      <w:spacing w:after="100"/>
    </w:pPr>
  </w:style>
  <w:style w:type="paragraph" w:styleId="Corpodetexto">
    <w:name w:val="Body Text"/>
    <w:basedOn w:val="Normal"/>
    <w:link w:val="CorpodetextoChar"/>
    <w:uiPriority w:val="1"/>
    <w:qFormat/>
    <w:rsid w:val="00135D5F"/>
    <w:pPr>
      <w:widowControl w:val="0"/>
      <w:spacing w:after="0" w:line="240" w:lineRule="auto"/>
    </w:pPr>
    <w:rPr>
      <w:rFonts w:ascii="Arial Narrow" w:eastAsia="Arial Narrow" w:hAnsi="Arial Narrow" w:cs="Arial Narrow"/>
      <w:sz w:val="26"/>
      <w:szCs w:val="26"/>
      <w:lang w:val="en-US"/>
    </w:rPr>
  </w:style>
  <w:style w:type="character" w:customStyle="1" w:styleId="CorpodetextoChar">
    <w:name w:val="Corpo de texto Char"/>
    <w:basedOn w:val="Fontepargpadro"/>
    <w:link w:val="Corpodetexto"/>
    <w:uiPriority w:val="1"/>
    <w:rsid w:val="00135D5F"/>
    <w:rPr>
      <w:rFonts w:ascii="Arial Narrow" w:eastAsia="Arial Narrow" w:hAnsi="Arial Narrow" w:cs="Arial Narrow"/>
      <w:sz w:val="26"/>
      <w:szCs w:val="26"/>
      <w:lang w:val="en-US"/>
    </w:rPr>
  </w:style>
  <w:style w:type="character" w:customStyle="1" w:styleId="Ttulo1Char">
    <w:name w:val="Título 1 Char"/>
    <w:basedOn w:val="Fontepargpadro"/>
    <w:link w:val="Ttulo1"/>
    <w:uiPriority w:val="1"/>
    <w:rsid w:val="00135D5F"/>
    <w:rPr>
      <w:rFonts w:ascii="Calibri" w:eastAsia="Calibri" w:hAnsi="Calibri" w:cs="Calibri"/>
      <w:b/>
      <w:bCs/>
      <w:sz w:val="40"/>
      <w:szCs w:val="40"/>
      <w:lang w:val="en-US"/>
    </w:rPr>
  </w:style>
  <w:style w:type="character" w:customStyle="1" w:styleId="Ttulo2Char">
    <w:name w:val="Título 2 Char"/>
    <w:basedOn w:val="Fontepargpadro"/>
    <w:link w:val="Ttulo2"/>
    <w:uiPriority w:val="1"/>
    <w:rsid w:val="00135D5F"/>
    <w:rPr>
      <w:rFonts w:ascii="Calibri" w:eastAsia="Calibri" w:hAnsi="Calibri" w:cs="Calibri"/>
      <w:b/>
      <w:bCs/>
      <w:sz w:val="32"/>
      <w:szCs w:val="32"/>
      <w:lang w:val="en-US"/>
    </w:rPr>
  </w:style>
  <w:style w:type="paragraph" w:styleId="Cabealho">
    <w:name w:val="header"/>
    <w:basedOn w:val="Normal"/>
    <w:link w:val="CabealhoChar"/>
    <w:uiPriority w:val="99"/>
    <w:unhideWhenUsed/>
    <w:rsid w:val="001B5F7A"/>
    <w:pPr>
      <w:tabs>
        <w:tab w:val="center" w:pos="4252"/>
        <w:tab w:val="right" w:pos="8504"/>
      </w:tabs>
      <w:spacing w:after="0" w:line="240" w:lineRule="auto"/>
    </w:pPr>
    <w:rPr>
      <w:rFonts w:ascii="Times New Roman" w:eastAsia="Times New Roman" w:hAnsi="Times New Roman"/>
      <w:sz w:val="24"/>
    </w:rPr>
  </w:style>
  <w:style w:type="character" w:customStyle="1" w:styleId="CabealhoChar">
    <w:name w:val="Cabeçalho Char"/>
    <w:basedOn w:val="Fontepargpadro"/>
    <w:link w:val="Cabealho"/>
    <w:uiPriority w:val="99"/>
    <w:rsid w:val="001B5F7A"/>
    <w:rPr>
      <w:rFonts w:ascii="Times New Roman" w:eastAsia="Times New Roman" w:hAnsi="Times New Roman" w:cs="Times New Roman"/>
      <w:sz w:val="24"/>
    </w:rPr>
  </w:style>
  <w:style w:type="paragraph" w:styleId="Rodap">
    <w:name w:val="footer"/>
    <w:basedOn w:val="Normal"/>
    <w:link w:val="RodapChar"/>
    <w:uiPriority w:val="99"/>
    <w:unhideWhenUsed/>
    <w:rsid w:val="001B5F7A"/>
    <w:pPr>
      <w:tabs>
        <w:tab w:val="center" w:pos="4252"/>
        <w:tab w:val="right" w:pos="8504"/>
      </w:tabs>
      <w:spacing w:after="0" w:line="240" w:lineRule="auto"/>
    </w:pPr>
    <w:rPr>
      <w:rFonts w:ascii="Times New Roman" w:eastAsia="Times New Roman" w:hAnsi="Times New Roman"/>
      <w:sz w:val="24"/>
    </w:rPr>
  </w:style>
  <w:style w:type="character" w:customStyle="1" w:styleId="RodapChar">
    <w:name w:val="Rodapé Char"/>
    <w:basedOn w:val="Fontepargpadro"/>
    <w:link w:val="Rodap"/>
    <w:uiPriority w:val="99"/>
    <w:rsid w:val="001B5F7A"/>
    <w:rPr>
      <w:rFonts w:ascii="Times New Roman" w:eastAsia="Times New Roman" w:hAnsi="Times New Roman" w:cs="Times New Roman"/>
      <w:sz w:val="24"/>
    </w:rPr>
  </w:style>
  <w:style w:type="paragraph" w:customStyle="1" w:styleId="Default">
    <w:name w:val="Default"/>
    <w:rsid w:val="00E30DE6"/>
    <w:pPr>
      <w:autoSpaceDE w:val="0"/>
      <w:autoSpaceDN w:val="0"/>
      <w:adjustRightInd w:val="0"/>
      <w:spacing w:after="0" w:line="240" w:lineRule="auto"/>
    </w:pPr>
    <w:rPr>
      <w:rFonts w:ascii="Arial" w:hAnsi="Arial" w:cs="Arial"/>
      <w:color w:val="000000"/>
      <w:sz w:val="24"/>
      <w:szCs w:val="24"/>
    </w:rPr>
  </w:style>
  <w:style w:type="character" w:customStyle="1" w:styleId="apple-converted-space">
    <w:name w:val="apple-converted-space"/>
    <w:basedOn w:val="Fontepargpadro"/>
    <w:rsid w:val="00EA52D1"/>
  </w:style>
  <w:style w:type="paragraph" w:customStyle="1" w:styleId="body10">
    <w:name w:val="body10"/>
    <w:link w:val="body10Char"/>
    <w:rsid w:val="00B22D31"/>
    <w:pPr>
      <w:autoSpaceDE w:val="0"/>
      <w:autoSpaceDN w:val="0"/>
      <w:adjustRightInd w:val="0"/>
      <w:spacing w:after="0" w:line="220" w:lineRule="atLeast"/>
      <w:ind w:firstLine="454"/>
      <w:jc w:val="both"/>
    </w:pPr>
    <w:rPr>
      <w:rFonts w:ascii="Times New Roman" w:eastAsia="Times New Roman" w:hAnsi="Times New Roman" w:cs="Times New Roman"/>
      <w:sz w:val="20"/>
      <w:szCs w:val="20"/>
      <w:lang w:eastAsia="pt-BR"/>
    </w:rPr>
  </w:style>
  <w:style w:type="character" w:customStyle="1" w:styleId="body10Char">
    <w:name w:val="body10 Char"/>
    <w:basedOn w:val="Fontepargpadro"/>
    <w:link w:val="body10"/>
    <w:locked/>
    <w:rsid w:val="00B22D31"/>
    <w:rPr>
      <w:rFonts w:ascii="Times New Roman" w:eastAsia="Times New Roman" w:hAnsi="Times New Roman" w:cs="Times New Roman"/>
      <w:sz w:val="20"/>
      <w:szCs w:val="20"/>
      <w:lang w:eastAsia="pt-BR"/>
    </w:rPr>
  </w:style>
  <w:style w:type="paragraph" w:customStyle="1" w:styleId="TCU-Epgrafe">
    <w:name w:val="TCU - Epígrafe"/>
    <w:basedOn w:val="Normal"/>
    <w:rsid w:val="0077499E"/>
    <w:pPr>
      <w:spacing w:after="0" w:line="240" w:lineRule="auto"/>
      <w:ind w:left="2835"/>
      <w:jc w:val="both"/>
    </w:pPr>
    <w:rPr>
      <w:rFonts w:ascii="Times New Roman" w:eastAsia="Times New Roman" w:hAnsi="Times New Roman"/>
      <w:sz w:val="24"/>
      <w:szCs w:val="20"/>
      <w:lang w:eastAsia="pt-BR"/>
    </w:rPr>
  </w:style>
  <w:style w:type="paragraph" w:styleId="NormalWeb">
    <w:name w:val="Normal (Web)"/>
    <w:basedOn w:val="Normal"/>
    <w:uiPriority w:val="99"/>
    <w:semiHidden/>
    <w:unhideWhenUsed/>
    <w:rsid w:val="00D23DE4"/>
    <w:pPr>
      <w:spacing w:before="100" w:beforeAutospacing="1" w:after="100" w:afterAutospacing="1" w:line="240" w:lineRule="auto"/>
    </w:pPr>
    <w:rPr>
      <w:rFonts w:ascii="Times New Roman" w:eastAsia="Times New Roman" w:hAnsi="Times New Roman"/>
      <w:sz w:val="24"/>
      <w:szCs w:val="24"/>
      <w:lang w:eastAsia="pt-BR"/>
    </w:rPr>
  </w:style>
  <w:style w:type="character" w:styleId="Forte">
    <w:name w:val="Strong"/>
    <w:basedOn w:val="Fontepargpadro"/>
    <w:uiPriority w:val="22"/>
    <w:qFormat/>
    <w:rsid w:val="00701319"/>
    <w:rPr>
      <w:b/>
      <w:bCs/>
    </w:rPr>
  </w:style>
  <w:style w:type="character" w:styleId="nfase">
    <w:name w:val="Emphasis"/>
    <w:basedOn w:val="Fontepargpadro"/>
    <w:uiPriority w:val="20"/>
    <w:qFormat/>
    <w:rsid w:val="00A065F5"/>
    <w:rPr>
      <w:i/>
      <w:iCs/>
    </w:rPr>
  </w:style>
  <w:style w:type="character" w:styleId="Meno">
    <w:name w:val="Mention"/>
    <w:basedOn w:val="Fontepargpadro"/>
    <w:uiPriority w:val="99"/>
    <w:semiHidden/>
    <w:unhideWhenUsed/>
    <w:rsid w:val="009B2B4E"/>
    <w:rPr>
      <w:color w:val="2B579A"/>
      <w:shd w:val="clear" w:color="auto" w:fill="E6E6E6"/>
    </w:rPr>
  </w:style>
  <w:style w:type="paragraph" w:customStyle="1" w:styleId="tcu-epgrafe0">
    <w:name w:val="tcu-epgrafe"/>
    <w:basedOn w:val="Normal"/>
    <w:rsid w:val="002A2E6C"/>
    <w:pPr>
      <w:spacing w:before="100" w:beforeAutospacing="1" w:after="100" w:afterAutospacing="1" w:line="240" w:lineRule="auto"/>
    </w:pPr>
    <w:rPr>
      <w:rFonts w:ascii="Times New Roman" w:eastAsia="Times New Roman" w:hAnsi="Times New Roman"/>
      <w:sz w:val="24"/>
      <w:szCs w:val="24"/>
      <w:lang w:eastAsia="pt-BR"/>
    </w:rPr>
  </w:style>
  <w:style w:type="character" w:styleId="MenoPendente">
    <w:name w:val="Unresolved Mention"/>
    <w:basedOn w:val="Fontepargpadro"/>
    <w:uiPriority w:val="99"/>
    <w:semiHidden/>
    <w:unhideWhenUsed/>
    <w:rsid w:val="00D163A3"/>
    <w:rPr>
      <w:color w:val="808080"/>
      <w:shd w:val="clear" w:color="auto" w:fill="E6E6E6"/>
    </w:rPr>
  </w:style>
  <w:style w:type="character" w:styleId="Refdecomentrio">
    <w:name w:val="annotation reference"/>
    <w:basedOn w:val="Fontepargpadro"/>
    <w:uiPriority w:val="99"/>
    <w:semiHidden/>
    <w:unhideWhenUsed/>
    <w:rsid w:val="00852A15"/>
    <w:rPr>
      <w:sz w:val="16"/>
      <w:szCs w:val="16"/>
    </w:rPr>
  </w:style>
  <w:style w:type="paragraph" w:styleId="Textodecomentrio">
    <w:name w:val="annotation text"/>
    <w:basedOn w:val="Normal"/>
    <w:link w:val="TextodecomentrioChar"/>
    <w:uiPriority w:val="99"/>
    <w:semiHidden/>
    <w:unhideWhenUsed/>
    <w:rsid w:val="00852A15"/>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852A15"/>
    <w:rPr>
      <w:rFonts w:ascii="Calibri" w:hAnsi="Calibri"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852A15"/>
    <w:rPr>
      <w:b/>
      <w:bCs/>
    </w:rPr>
  </w:style>
  <w:style w:type="character" w:customStyle="1" w:styleId="AssuntodocomentrioChar">
    <w:name w:val="Assunto do comentário Char"/>
    <w:basedOn w:val="TextodecomentrioChar"/>
    <w:link w:val="Assuntodocomentrio"/>
    <w:uiPriority w:val="99"/>
    <w:semiHidden/>
    <w:rsid w:val="00852A15"/>
    <w:rPr>
      <w:rFonts w:ascii="Calibri" w:hAnsi="Calibri" w:cs="Times New Roman"/>
      <w:b/>
      <w:bCs/>
      <w:sz w:val="20"/>
      <w:szCs w:val="20"/>
    </w:rPr>
  </w:style>
  <w:style w:type="paragraph" w:styleId="Pr-formataoHTML">
    <w:name w:val="HTML Preformatted"/>
    <w:basedOn w:val="Normal"/>
    <w:link w:val="Pr-formataoHTMLChar"/>
    <w:uiPriority w:val="99"/>
    <w:semiHidden/>
    <w:unhideWhenUsed/>
    <w:rsid w:val="005A5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5A5923"/>
    <w:rPr>
      <w:rFonts w:ascii="Courier New" w:eastAsia="Times New Roman" w:hAnsi="Courier New" w:cs="Courier New"/>
      <w:sz w:val="20"/>
      <w:szCs w:val="20"/>
      <w:lang w:eastAsia="pt-BR"/>
    </w:rPr>
  </w:style>
  <w:style w:type="character" w:customStyle="1" w:styleId="clsinformativotextotitulo">
    <w:name w:val="clsinformativotextotitulo"/>
    <w:basedOn w:val="Fontepargpadro"/>
    <w:rsid w:val="00B75161"/>
  </w:style>
  <w:style w:type="character" w:customStyle="1" w:styleId="clsinformativotexto">
    <w:name w:val="clsinformativotexto"/>
    <w:basedOn w:val="Fontepargpadro"/>
    <w:rsid w:val="00B751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582443">
      <w:bodyDiv w:val="1"/>
      <w:marLeft w:val="0"/>
      <w:marRight w:val="0"/>
      <w:marTop w:val="0"/>
      <w:marBottom w:val="0"/>
      <w:divBdr>
        <w:top w:val="none" w:sz="0" w:space="0" w:color="auto"/>
        <w:left w:val="none" w:sz="0" w:space="0" w:color="auto"/>
        <w:bottom w:val="none" w:sz="0" w:space="0" w:color="auto"/>
        <w:right w:val="none" w:sz="0" w:space="0" w:color="auto"/>
      </w:divBdr>
    </w:div>
    <w:div w:id="211314032">
      <w:bodyDiv w:val="1"/>
      <w:marLeft w:val="0"/>
      <w:marRight w:val="0"/>
      <w:marTop w:val="0"/>
      <w:marBottom w:val="0"/>
      <w:divBdr>
        <w:top w:val="none" w:sz="0" w:space="0" w:color="auto"/>
        <w:left w:val="none" w:sz="0" w:space="0" w:color="auto"/>
        <w:bottom w:val="none" w:sz="0" w:space="0" w:color="auto"/>
        <w:right w:val="none" w:sz="0" w:space="0" w:color="auto"/>
      </w:divBdr>
    </w:div>
    <w:div w:id="230239161">
      <w:bodyDiv w:val="1"/>
      <w:marLeft w:val="0"/>
      <w:marRight w:val="0"/>
      <w:marTop w:val="0"/>
      <w:marBottom w:val="0"/>
      <w:divBdr>
        <w:top w:val="none" w:sz="0" w:space="0" w:color="auto"/>
        <w:left w:val="none" w:sz="0" w:space="0" w:color="auto"/>
        <w:bottom w:val="none" w:sz="0" w:space="0" w:color="auto"/>
        <w:right w:val="none" w:sz="0" w:space="0" w:color="auto"/>
      </w:divBdr>
    </w:div>
    <w:div w:id="271330060">
      <w:bodyDiv w:val="1"/>
      <w:marLeft w:val="0"/>
      <w:marRight w:val="0"/>
      <w:marTop w:val="0"/>
      <w:marBottom w:val="0"/>
      <w:divBdr>
        <w:top w:val="none" w:sz="0" w:space="0" w:color="auto"/>
        <w:left w:val="none" w:sz="0" w:space="0" w:color="auto"/>
        <w:bottom w:val="none" w:sz="0" w:space="0" w:color="auto"/>
        <w:right w:val="none" w:sz="0" w:space="0" w:color="auto"/>
      </w:divBdr>
    </w:div>
    <w:div w:id="297609802">
      <w:bodyDiv w:val="1"/>
      <w:marLeft w:val="0"/>
      <w:marRight w:val="0"/>
      <w:marTop w:val="0"/>
      <w:marBottom w:val="0"/>
      <w:divBdr>
        <w:top w:val="none" w:sz="0" w:space="0" w:color="auto"/>
        <w:left w:val="none" w:sz="0" w:space="0" w:color="auto"/>
        <w:bottom w:val="none" w:sz="0" w:space="0" w:color="auto"/>
        <w:right w:val="none" w:sz="0" w:space="0" w:color="auto"/>
      </w:divBdr>
    </w:div>
    <w:div w:id="339309814">
      <w:bodyDiv w:val="1"/>
      <w:marLeft w:val="0"/>
      <w:marRight w:val="0"/>
      <w:marTop w:val="0"/>
      <w:marBottom w:val="0"/>
      <w:divBdr>
        <w:top w:val="none" w:sz="0" w:space="0" w:color="auto"/>
        <w:left w:val="none" w:sz="0" w:space="0" w:color="auto"/>
        <w:bottom w:val="none" w:sz="0" w:space="0" w:color="auto"/>
        <w:right w:val="none" w:sz="0" w:space="0" w:color="auto"/>
      </w:divBdr>
      <w:divsChild>
        <w:div w:id="1424687108">
          <w:marLeft w:val="0"/>
          <w:marRight w:val="0"/>
          <w:marTop w:val="0"/>
          <w:marBottom w:val="0"/>
          <w:divBdr>
            <w:top w:val="none" w:sz="0" w:space="0" w:color="auto"/>
            <w:left w:val="none" w:sz="0" w:space="0" w:color="auto"/>
            <w:bottom w:val="none" w:sz="0" w:space="0" w:color="auto"/>
            <w:right w:val="none" w:sz="0" w:space="0" w:color="auto"/>
          </w:divBdr>
          <w:divsChild>
            <w:div w:id="1921672074">
              <w:marLeft w:val="0"/>
              <w:marRight w:val="0"/>
              <w:marTop w:val="0"/>
              <w:marBottom w:val="0"/>
              <w:divBdr>
                <w:top w:val="none" w:sz="0" w:space="0" w:color="auto"/>
                <w:left w:val="none" w:sz="0" w:space="0" w:color="auto"/>
                <w:bottom w:val="none" w:sz="0" w:space="0" w:color="auto"/>
                <w:right w:val="none" w:sz="0" w:space="0" w:color="auto"/>
              </w:divBdr>
              <w:divsChild>
                <w:div w:id="198839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788277">
      <w:bodyDiv w:val="1"/>
      <w:marLeft w:val="0"/>
      <w:marRight w:val="0"/>
      <w:marTop w:val="0"/>
      <w:marBottom w:val="0"/>
      <w:divBdr>
        <w:top w:val="none" w:sz="0" w:space="0" w:color="auto"/>
        <w:left w:val="none" w:sz="0" w:space="0" w:color="auto"/>
        <w:bottom w:val="none" w:sz="0" w:space="0" w:color="auto"/>
        <w:right w:val="none" w:sz="0" w:space="0" w:color="auto"/>
      </w:divBdr>
    </w:div>
    <w:div w:id="359551915">
      <w:bodyDiv w:val="1"/>
      <w:marLeft w:val="0"/>
      <w:marRight w:val="0"/>
      <w:marTop w:val="0"/>
      <w:marBottom w:val="0"/>
      <w:divBdr>
        <w:top w:val="none" w:sz="0" w:space="0" w:color="auto"/>
        <w:left w:val="none" w:sz="0" w:space="0" w:color="auto"/>
        <w:bottom w:val="none" w:sz="0" w:space="0" w:color="auto"/>
        <w:right w:val="none" w:sz="0" w:space="0" w:color="auto"/>
      </w:divBdr>
    </w:div>
    <w:div w:id="392898318">
      <w:bodyDiv w:val="1"/>
      <w:marLeft w:val="0"/>
      <w:marRight w:val="0"/>
      <w:marTop w:val="0"/>
      <w:marBottom w:val="0"/>
      <w:divBdr>
        <w:top w:val="none" w:sz="0" w:space="0" w:color="auto"/>
        <w:left w:val="none" w:sz="0" w:space="0" w:color="auto"/>
        <w:bottom w:val="none" w:sz="0" w:space="0" w:color="auto"/>
        <w:right w:val="none" w:sz="0" w:space="0" w:color="auto"/>
      </w:divBdr>
    </w:div>
    <w:div w:id="438572582">
      <w:bodyDiv w:val="1"/>
      <w:marLeft w:val="0"/>
      <w:marRight w:val="0"/>
      <w:marTop w:val="0"/>
      <w:marBottom w:val="0"/>
      <w:divBdr>
        <w:top w:val="none" w:sz="0" w:space="0" w:color="auto"/>
        <w:left w:val="none" w:sz="0" w:space="0" w:color="auto"/>
        <w:bottom w:val="none" w:sz="0" w:space="0" w:color="auto"/>
        <w:right w:val="none" w:sz="0" w:space="0" w:color="auto"/>
      </w:divBdr>
    </w:div>
    <w:div w:id="583414225">
      <w:bodyDiv w:val="1"/>
      <w:marLeft w:val="0"/>
      <w:marRight w:val="0"/>
      <w:marTop w:val="0"/>
      <w:marBottom w:val="0"/>
      <w:divBdr>
        <w:top w:val="none" w:sz="0" w:space="0" w:color="auto"/>
        <w:left w:val="none" w:sz="0" w:space="0" w:color="auto"/>
        <w:bottom w:val="none" w:sz="0" w:space="0" w:color="auto"/>
        <w:right w:val="none" w:sz="0" w:space="0" w:color="auto"/>
      </w:divBdr>
    </w:div>
    <w:div w:id="588658964">
      <w:bodyDiv w:val="1"/>
      <w:marLeft w:val="0"/>
      <w:marRight w:val="0"/>
      <w:marTop w:val="0"/>
      <w:marBottom w:val="0"/>
      <w:divBdr>
        <w:top w:val="none" w:sz="0" w:space="0" w:color="auto"/>
        <w:left w:val="none" w:sz="0" w:space="0" w:color="auto"/>
        <w:bottom w:val="none" w:sz="0" w:space="0" w:color="auto"/>
        <w:right w:val="none" w:sz="0" w:space="0" w:color="auto"/>
      </w:divBdr>
    </w:div>
    <w:div w:id="737092109">
      <w:bodyDiv w:val="1"/>
      <w:marLeft w:val="0"/>
      <w:marRight w:val="0"/>
      <w:marTop w:val="0"/>
      <w:marBottom w:val="0"/>
      <w:divBdr>
        <w:top w:val="none" w:sz="0" w:space="0" w:color="auto"/>
        <w:left w:val="none" w:sz="0" w:space="0" w:color="auto"/>
        <w:bottom w:val="none" w:sz="0" w:space="0" w:color="auto"/>
        <w:right w:val="none" w:sz="0" w:space="0" w:color="auto"/>
      </w:divBdr>
    </w:div>
    <w:div w:id="771164771">
      <w:bodyDiv w:val="1"/>
      <w:marLeft w:val="0"/>
      <w:marRight w:val="0"/>
      <w:marTop w:val="0"/>
      <w:marBottom w:val="0"/>
      <w:divBdr>
        <w:top w:val="none" w:sz="0" w:space="0" w:color="auto"/>
        <w:left w:val="none" w:sz="0" w:space="0" w:color="auto"/>
        <w:bottom w:val="none" w:sz="0" w:space="0" w:color="auto"/>
        <w:right w:val="none" w:sz="0" w:space="0" w:color="auto"/>
      </w:divBdr>
    </w:div>
    <w:div w:id="791554580">
      <w:bodyDiv w:val="1"/>
      <w:marLeft w:val="0"/>
      <w:marRight w:val="0"/>
      <w:marTop w:val="0"/>
      <w:marBottom w:val="0"/>
      <w:divBdr>
        <w:top w:val="none" w:sz="0" w:space="0" w:color="auto"/>
        <w:left w:val="none" w:sz="0" w:space="0" w:color="auto"/>
        <w:bottom w:val="none" w:sz="0" w:space="0" w:color="auto"/>
        <w:right w:val="none" w:sz="0" w:space="0" w:color="auto"/>
      </w:divBdr>
    </w:div>
    <w:div w:id="813527395">
      <w:bodyDiv w:val="1"/>
      <w:marLeft w:val="0"/>
      <w:marRight w:val="0"/>
      <w:marTop w:val="0"/>
      <w:marBottom w:val="0"/>
      <w:divBdr>
        <w:top w:val="none" w:sz="0" w:space="0" w:color="auto"/>
        <w:left w:val="none" w:sz="0" w:space="0" w:color="auto"/>
        <w:bottom w:val="none" w:sz="0" w:space="0" w:color="auto"/>
        <w:right w:val="none" w:sz="0" w:space="0" w:color="auto"/>
      </w:divBdr>
    </w:div>
    <w:div w:id="949626099">
      <w:bodyDiv w:val="1"/>
      <w:marLeft w:val="0"/>
      <w:marRight w:val="0"/>
      <w:marTop w:val="0"/>
      <w:marBottom w:val="0"/>
      <w:divBdr>
        <w:top w:val="none" w:sz="0" w:space="0" w:color="auto"/>
        <w:left w:val="none" w:sz="0" w:space="0" w:color="auto"/>
        <w:bottom w:val="none" w:sz="0" w:space="0" w:color="auto"/>
        <w:right w:val="none" w:sz="0" w:space="0" w:color="auto"/>
      </w:divBdr>
    </w:div>
    <w:div w:id="973363808">
      <w:bodyDiv w:val="1"/>
      <w:marLeft w:val="0"/>
      <w:marRight w:val="0"/>
      <w:marTop w:val="0"/>
      <w:marBottom w:val="0"/>
      <w:divBdr>
        <w:top w:val="none" w:sz="0" w:space="0" w:color="auto"/>
        <w:left w:val="none" w:sz="0" w:space="0" w:color="auto"/>
        <w:bottom w:val="none" w:sz="0" w:space="0" w:color="auto"/>
        <w:right w:val="none" w:sz="0" w:space="0" w:color="auto"/>
      </w:divBdr>
    </w:div>
    <w:div w:id="1158182535">
      <w:bodyDiv w:val="1"/>
      <w:marLeft w:val="0"/>
      <w:marRight w:val="0"/>
      <w:marTop w:val="0"/>
      <w:marBottom w:val="0"/>
      <w:divBdr>
        <w:top w:val="none" w:sz="0" w:space="0" w:color="auto"/>
        <w:left w:val="none" w:sz="0" w:space="0" w:color="auto"/>
        <w:bottom w:val="none" w:sz="0" w:space="0" w:color="auto"/>
        <w:right w:val="none" w:sz="0" w:space="0" w:color="auto"/>
      </w:divBdr>
    </w:div>
    <w:div w:id="1168907457">
      <w:bodyDiv w:val="1"/>
      <w:marLeft w:val="0"/>
      <w:marRight w:val="0"/>
      <w:marTop w:val="0"/>
      <w:marBottom w:val="0"/>
      <w:divBdr>
        <w:top w:val="none" w:sz="0" w:space="0" w:color="auto"/>
        <w:left w:val="none" w:sz="0" w:space="0" w:color="auto"/>
        <w:bottom w:val="none" w:sz="0" w:space="0" w:color="auto"/>
        <w:right w:val="none" w:sz="0" w:space="0" w:color="auto"/>
      </w:divBdr>
    </w:div>
    <w:div w:id="1185287374">
      <w:bodyDiv w:val="1"/>
      <w:marLeft w:val="0"/>
      <w:marRight w:val="0"/>
      <w:marTop w:val="0"/>
      <w:marBottom w:val="0"/>
      <w:divBdr>
        <w:top w:val="none" w:sz="0" w:space="0" w:color="auto"/>
        <w:left w:val="none" w:sz="0" w:space="0" w:color="auto"/>
        <w:bottom w:val="none" w:sz="0" w:space="0" w:color="auto"/>
        <w:right w:val="none" w:sz="0" w:space="0" w:color="auto"/>
      </w:divBdr>
    </w:div>
    <w:div w:id="1247767025">
      <w:bodyDiv w:val="1"/>
      <w:marLeft w:val="0"/>
      <w:marRight w:val="0"/>
      <w:marTop w:val="0"/>
      <w:marBottom w:val="0"/>
      <w:divBdr>
        <w:top w:val="none" w:sz="0" w:space="0" w:color="auto"/>
        <w:left w:val="none" w:sz="0" w:space="0" w:color="auto"/>
        <w:bottom w:val="none" w:sz="0" w:space="0" w:color="auto"/>
        <w:right w:val="none" w:sz="0" w:space="0" w:color="auto"/>
      </w:divBdr>
    </w:div>
    <w:div w:id="1310479764">
      <w:bodyDiv w:val="1"/>
      <w:marLeft w:val="0"/>
      <w:marRight w:val="0"/>
      <w:marTop w:val="0"/>
      <w:marBottom w:val="0"/>
      <w:divBdr>
        <w:top w:val="none" w:sz="0" w:space="0" w:color="auto"/>
        <w:left w:val="none" w:sz="0" w:space="0" w:color="auto"/>
        <w:bottom w:val="none" w:sz="0" w:space="0" w:color="auto"/>
        <w:right w:val="none" w:sz="0" w:space="0" w:color="auto"/>
      </w:divBdr>
      <w:divsChild>
        <w:div w:id="693699459">
          <w:marLeft w:val="0"/>
          <w:marRight w:val="0"/>
          <w:marTop w:val="100"/>
          <w:marBottom w:val="100"/>
          <w:divBdr>
            <w:top w:val="none" w:sz="0" w:space="0" w:color="auto"/>
            <w:left w:val="none" w:sz="0" w:space="0" w:color="auto"/>
            <w:bottom w:val="none" w:sz="0" w:space="0" w:color="auto"/>
            <w:right w:val="none" w:sz="0" w:space="0" w:color="auto"/>
          </w:divBdr>
          <w:divsChild>
            <w:div w:id="99110248">
              <w:marLeft w:val="0"/>
              <w:marRight w:val="0"/>
              <w:marTop w:val="0"/>
              <w:marBottom w:val="0"/>
              <w:divBdr>
                <w:top w:val="none" w:sz="0" w:space="0" w:color="auto"/>
                <w:left w:val="none" w:sz="0" w:space="0" w:color="auto"/>
                <w:bottom w:val="none" w:sz="0" w:space="0" w:color="auto"/>
                <w:right w:val="none" w:sz="0" w:space="0" w:color="auto"/>
              </w:divBdr>
              <w:divsChild>
                <w:div w:id="955722295">
                  <w:marLeft w:val="0"/>
                  <w:marRight w:val="0"/>
                  <w:marTop w:val="0"/>
                  <w:marBottom w:val="0"/>
                  <w:divBdr>
                    <w:top w:val="none" w:sz="0" w:space="0" w:color="auto"/>
                    <w:left w:val="none" w:sz="0" w:space="0" w:color="auto"/>
                    <w:bottom w:val="none" w:sz="0" w:space="0" w:color="auto"/>
                    <w:right w:val="none" w:sz="0" w:space="0" w:color="auto"/>
                  </w:divBdr>
                  <w:divsChild>
                    <w:div w:id="96674289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12979230">
      <w:bodyDiv w:val="1"/>
      <w:marLeft w:val="0"/>
      <w:marRight w:val="0"/>
      <w:marTop w:val="0"/>
      <w:marBottom w:val="0"/>
      <w:divBdr>
        <w:top w:val="none" w:sz="0" w:space="0" w:color="auto"/>
        <w:left w:val="none" w:sz="0" w:space="0" w:color="auto"/>
        <w:bottom w:val="none" w:sz="0" w:space="0" w:color="auto"/>
        <w:right w:val="none" w:sz="0" w:space="0" w:color="auto"/>
      </w:divBdr>
    </w:div>
    <w:div w:id="1361199672">
      <w:bodyDiv w:val="1"/>
      <w:marLeft w:val="0"/>
      <w:marRight w:val="0"/>
      <w:marTop w:val="0"/>
      <w:marBottom w:val="0"/>
      <w:divBdr>
        <w:top w:val="none" w:sz="0" w:space="0" w:color="auto"/>
        <w:left w:val="none" w:sz="0" w:space="0" w:color="auto"/>
        <w:bottom w:val="none" w:sz="0" w:space="0" w:color="auto"/>
        <w:right w:val="none" w:sz="0" w:space="0" w:color="auto"/>
      </w:divBdr>
    </w:div>
    <w:div w:id="1495950094">
      <w:bodyDiv w:val="1"/>
      <w:marLeft w:val="0"/>
      <w:marRight w:val="0"/>
      <w:marTop w:val="0"/>
      <w:marBottom w:val="0"/>
      <w:divBdr>
        <w:top w:val="none" w:sz="0" w:space="0" w:color="auto"/>
        <w:left w:val="none" w:sz="0" w:space="0" w:color="auto"/>
        <w:bottom w:val="none" w:sz="0" w:space="0" w:color="auto"/>
        <w:right w:val="none" w:sz="0" w:space="0" w:color="auto"/>
      </w:divBdr>
    </w:div>
    <w:div w:id="1500001224">
      <w:bodyDiv w:val="1"/>
      <w:marLeft w:val="0"/>
      <w:marRight w:val="0"/>
      <w:marTop w:val="0"/>
      <w:marBottom w:val="0"/>
      <w:divBdr>
        <w:top w:val="none" w:sz="0" w:space="0" w:color="auto"/>
        <w:left w:val="none" w:sz="0" w:space="0" w:color="auto"/>
        <w:bottom w:val="none" w:sz="0" w:space="0" w:color="auto"/>
        <w:right w:val="none" w:sz="0" w:space="0" w:color="auto"/>
      </w:divBdr>
    </w:div>
    <w:div w:id="1634171639">
      <w:bodyDiv w:val="1"/>
      <w:marLeft w:val="0"/>
      <w:marRight w:val="0"/>
      <w:marTop w:val="0"/>
      <w:marBottom w:val="0"/>
      <w:divBdr>
        <w:top w:val="none" w:sz="0" w:space="0" w:color="auto"/>
        <w:left w:val="none" w:sz="0" w:space="0" w:color="auto"/>
        <w:bottom w:val="none" w:sz="0" w:space="0" w:color="auto"/>
        <w:right w:val="none" w:sz="0" w:space="0" w:color="auto"/>
      </w:divBdr>
    </w:div>
    <w:div w:id="1756513654">
      <w:bodyDiv w:val="1"/>
      <w:marLeft w:val="0"/>
      <w:marRight w:val="0"/>
      <w:marTop w:val="0"/>
      <w:marBottom w:val="0"/>
      <w:divBdr>
        <w:top w:val="none" w:sz="0" w:space="0" w:color="auto"/>
        <w:left w:val="none" w:sz="0" w:space="0" w:color="auto"/>
        <w:bottom w:val="none" w:sz="0" w:space="0" w:color="auto"/>
        <w:right w:val="none" w:sz="0" w:space="0" w:color="auto"/>
      </w:divBdr>
    </w:div>
    <w:div w:id="1812553483">
      <w:bodyDiv w:val="1"/>
      <w:marLeft w:val="0"/>
      <w:marRight w:val="0"/>
      <w:marTop w:val="0"/>
      <w:marBottom w:val="0"/>
      <w:divBdr>
        <w:top w:val="none" w:sz="0" w:space="0" w:color="auto"/>
        <w:left w:val="none" w:sz="0" w:space="0" w:color="auto"/>
        <w:bottom w:val="none" w:sz="0" w:space="0" w:color="auto"/>
        <w:right w:val="none" w:sz="0" w:space="0" w:color="auto"/>
      </w:divBdr>
    </w:div>
    <w:div w:id="1835872860">
      <w:bodyDiv w:val="1"/>
      <w:marLeft w:val="0"/>
      <w:marRight w:val="0"/>
      <w:marTop w:val="0"/>
      <w:marBottom w:val="0"/>
      <w:divBdr>
        <w:top w:val="none" w:sz="0" w:space="0" w:color="auto"/>
        <w:left w:val="none" w:sz="0" w:space="0" w:color="auto"/>
        <w:bottom w:val="none" w:sz="0" w:space="0" w:color="auto"/>
        <w:right w:val="none" w:sz="0" w:space="0" w:color="auto"/>
      </w:divBdr>
    </w:div>
    <w:div w:id="1944729021">
      <w:bodyDiv w:val="1"/>
      <w:marLeft w:val="0"/>
      <w:marRight w:val="0"/>
      <w:marTop w:val="0"/>
      <w:marBottom w:val="0"/>
      <w:divBdr>
        <w:top w:val="none" w:sz="0" w:space="0" w:color="auto"/>
        <w:left w:val="none" w:sz="0" w:space="0" w:color="auto"/>
        <w:bottom w:val="none" w:sz="0" w:space="0" w:color="auto"/>
        <w:right w:val="none" w:sz="0" w:space="0" w:color="auto"/>
      </w:divBdr>
    </w:div>
    <w:div w:id="1984390545">
      <w:bodyDiv w:val="1"/>
      <w:marLeft w:val="0"/>
      <w:marRight w:val="0"/>
      <w:marTop w:val="0"/>
      <w:marBottom w:val="0"/>
      <w:divBdr>
        <w:top w:val="none" w:sz="0" w:space="0" w:color="auto"/>
        <w:left w:val="none" w:sz="0" w:space="0" w:color="auto"/>
        <w:bottom w:val="none" w:sz="0" w:space="0" w:color="auto"/>
        <w:right w:val="none" w:sz="0" w:space="0" w:color="auto"/>
      </w:divBdr>
    </w:div>
    <w:div w:id="2024285907">
      <w:bodyDiv w:val="1"/>
      <w:marLeft w:val="0"/>
      <w:marRight w:val="0"/>
      <w:marTop w:val="0"/>
      <w:marBottom w:val="0"/>
      <w:divBdr>
        <w:top w:val="none" w:sz="0" w:space="0" w:color="auto"/>
        <w:left w:val="none" w:sz="0" w:space="0" w:color="auto"/>
        <w:bottom w:val="none" w:sz="0" w:space="0" w:color="auto"/>
        <w:right w:val="none" w:sz="0" w:space="0" w:color="auto"/>
      </w:divBdr>
    </w:div>
    <w:div w:id="2090081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tce.pr.gov.br/multimidia/2018/4/pdf/00326696.pdf" TargetMode="External"/><Relationship Id="rId13" Type="http://schemas.openxmlformats.org/officeDocument/2006/relationships/hyperlink" Target="http://www1.tce.pr.gov.br/multimidia/2018/5/pdf/00327993.pdf" TargetMode="External"/><Relationship Id="rId18" Type="http://schemas.openxmlformats.org/officeDocument/2006/relationships/hyperlink" Target="http://www1.tce.pr.gov.br/multimidia/2018/5/pdf/00327994.pdf" TargetMode="External"/><Relationship Id="rId26" Type="http://schemas.openxmlformats.org/officeDocument/2006/relationships/hyperlink" Target="https://contas.tcu.gov.br/sagas/SvlVisualizarRelVotoAcRtf?codFiltro=SAGAS-SESSAO-ENCERRADA&amp;seOcultaPagina=S&amp;item0=603466" TargetMode="External"/><Relationship Id="rId39" Type="http://schemas.openxmlformats.org/officeDocument/2006/relationships/hyperlink" Target="http://www.planalto.gov.br/ccivil_03/leis/l9784.htm" TargetMode="External"/><Relationship Id="rId3" Type="http://schemas.openxmlformats.org/officeDocument/2006/relationships/styles" Target="styles.xml"/><Relationship Id="rId21" Type="http://schemas.openxmlformats.org/officeDocument/2006/relationships/hyperlink" Target="http://www1.tce.pr.gov.br/multimidia/2018/5/pdf/00327775.pdf" TargetMode="External"/><Relationship Id="rId34" Type="http://schemas.openxmlformats.org/officeDocument/2006/relationships/hyperlink" Target="http://www.planalto.gov.br/ccivil_03/mpv/1996-2000/1523.htm" TargetMode="External"/><Relationship Id="rId42" Type="http://schemas.openxmlformats.org/officeDocument/2006/relationships/hyperlink" Target="http://www1.tce.pr.gov.br/multimidia/2018/4/pdf/00326184.pdf" TargetMode="External"/><Relationship Id="rId7" Type="http://schemas.openxmlformats.org/officeDocument/2006/relationships/endnotes" Target="endnotes.xml"/><Relationship Id="rId12" Type="http://schemas.openxmlformats.org/officeDocument/2006/relationships/hyperlink" Target="http://www1.tce.pr.gov.br/multimidia/2018/5/pdf/00327956.pdf" TargetMode="External"/><Relationship Id="rId17" Type="http://schemas.openxmlformats.org/officeDocument/2006/relationships/hyperlink" Target="http://www1.tce.pr.gov.br/multimidia/2018/5/pdf/00327991.pdf" TargetMode="External"/><Relationship Id="rId25" Type="http://schemas.openxmlformats.org/officeDocument/2006/relationships/hyperlink" Target="https://ww2.stj.jus.br/processo/revista/documento/mediado/?componente=ATC&amp;sequencial=81602560&amp;num_registro=201701817656&amp;data=20180423&amp;tipo=51&amp;formato=PDF" TargetMode="External"/><Relationship Id="rId33" Type="http://schemas.openxmlformats.org/officeDocument/2006/relationships/hyperlink" Target="http://www.planalto.gov.br/ccivil_03/constituicao/constituicao.htm" TargetMode="External"/><Relationship Id="rId38" Type="http://schemas.openxmlformats.org/officeDocument/2006/relationships/hyperlink" Target="http://www.planalto.gov.br/ccivil_03/_ato2011-2014/2011/lei/l12462.htm"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1.tce.pr.gov.br/multimidia/2018/5/pdf/00328018.pdf" TargetMode="External"/><Relationship Id="rId20" Type="http://schemas.openxmlformats.org/officeDocument/2006/relationships/hyperlink" Target="http://www1.tce.pr.gov.br/multimidia/2018/5/pdf/00327867.pdf" TargetMode="External"/><Relationship Id="rId29" Type="http://schemas.openxmlformats.org/officeDocument/2006/relationships/hyperlink" Target="http://www.planalto.gov.br/ccivil_03/_Ato2011-2014/2012/Decreto/D7828.htm" TargetMode="External"/><Relationship Id="rId41" Type="http://schemas.openxmlformats.org/officeDocument/2006/relationships/hyperlink" Target="http://www1.tce.pr.gov.br/conteudo/repercussao-geral-no-stf-e-os-tribunais-de-contas/307026/area/24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1.tce.pr.gov.br/multimidia/2018/5/pdf/00327862.pdf" TargetMode="External"/><Relationship Id="rId24" Type="http://schemas.openxmlformats.org/officeDocument/2006/relationships/hyperlink" Target="https://ww2.stj.jus.br/processo/revista/documento/mediado/?componente=ATC&amp;sequencial=81361111&amp;num_registro=201100259025&amp;data=20180419&amp;tipo=91&amp;formato=PDF" TargetMode="External"/><Relationship Id="rId32" Type="http://schemas.openxmlformats.org/officeDocument/2006/relationships/hyperlink" Target="https://contas.tcu.gov.br/sagas/SvlVisualizarRelVotoAcRtf?codFiltro=SAGAS-SESSAO-ENCERRADA&amp;seOcultaPagina=S&amp;item0=615302" TargetMode="External"/><Relationship Id="rId37" Type="http://schemas.openxmlformats.org/officeDocument/2006/relationships/hyperlink" Target="https://contas.tcu.gov.br/sagas/SvlVisualizarRelVotoAcRtf?codFiltro=SAGAS-SESSAO-ENCERRADA&amp;seOcultaPagina=S&amp;item0=619379" TargetMode="External"/><Relationship Id="rId40" Type="http://schemas.openxmlformats.org/officeDocument/2006/relationships/hyperlink" Target="http://www1.tce.pr.gov.br/conteudo/pesquisas-prontas/308475/area/249"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1.tce.pr.gov.br/multimidia/2018/5/pdf/00327990.pdf" TargetMode="External"/><Relationship Id="rId23" Type="http://schemas.openxmlformats.org/officeDocument/2006/relationships/hyperlink" Target="https://ww2.stj.jus.br/processo/revista/documento/mediado/?componente=ATC&amp;sequencial=81235131&amp;num_registro=201702470122&amp;data=20180418&amp;tipo=91&amp;formato=PDF" TargetMode="External"/><Relationship Id="rId28" Type="http://schemas.openxmlformats.org/officeDocument/2006/relationships/hyperlink" Target="http://www.planalto.gov.br/ccivil_03/_ato2011-2014/2011/lei/l12546.htm" TargetMode="External"/><Relationship Id="rId36" Type="http://schemas.openxmlformats.org/officeDocument/2006/relationships/hyperlink" Target="https://contas.tcu.gov.br/sagas/SvlVisualizarRelVotoAcRtf?codFiltro=SAGAS-SESSAO-ENCERRADA&amp;seOcultaPagina=S&amp;item0=619379" TargetMode="External"/><Relationship Id="rId10" Type="http://schemas.openxmlformats.org/officeDocument/2006/relationships/hyperlink" Target="http://www1.tce.pr.gov.br/multimidia/2018/5/pdf/00327896.pdf" TargetMode="External"/><Relationship Id="rId19" Type="http://schemas.openxmlformats.org/officeDocument/2006/relationships/hyperlink" Target="http://www1.tce.pr.gov.br/multimidia/2018/5/pdf/00327868.pdf" TargetMode="External"/><Relationship Id="rId31" Type="http://schemas.openxmlformats.org/officeDocument/2006/relationships/hyperlink" Target="https://contas.tcu.gov.br/sagas/SvlVisualizarRelVotoAcRtf?codFiltro=SAGAS-SESSAO-ENCERRADA&amp;seOcultaPagina=S&amp;item0=594307"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1.tce.pr.gov.br/multimidia/2018/5/pdf/00328002.pdf" TargetMode="External"/><Relationship Id="rId14" Type="http://schemas.openxmlformats.org/officeDocument/2006/relationships/hyperlink" Target="http://www1.tce.pr.gov.br/multimidia/2018/5/pdf/00327955.pdf" TargetMode="External"/><Relationship Id="rId22" Type="http://schemas.openxmlformats.org/officeDocument/2006/relationships/hyperlink" Target="https://ww2.stj.jus.br/processo/revista/documento/mediado/?componente=ATC&amp;sequencial=76647841&amp;num_registro=201701655644&amp;data=20171107&amp;tipo=51&amp;formato=PDF" TargetMode="External"/><Relationship Id="rId27" Type="http://schemas.openxmlformats.org/officeDocument/2006/relationships/hyperlink" Target="https://contas.tcu.gov.br/sagas/SvlVisualizarRelVotoAcRtf?codFiltro=SAGAS-SESSAO-ENCERRADA&amp;seOcultaPagina=S&amp;item0=603466" TargetMode="External"/><Relationship Id="rId30" Type="http://schemas.openxmlformats.org/officeDocument/2006/relationships/hyperlink" Target="https://contas.tcu.gov.br/sagas/SvlVisualizarRelVotoAcRtf?codFiltro=SAGAS-SESSAO-ENCERRADA&amp;seOcultaPagina=S&amp;item0=594307" TargetMode="External"/><Relationship Id="rId35" Type="http://schemas.openxmlformats.org/officeDocument/2006/relationships/hyperlink" Target="https://contas.tcu.gov.br/sagas/SvlVisualizarRelVotoAcRtf?codFiltro=SAGAS-SESSAO-ENCERRADA&amp;seOcultaPagina=S&amp;item0=618753" TargetMode="External"/><Relationship Id="rId43"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818824-6B96-494D-89B5-409334EE2A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328</TotalTime>
  <Pages>15</Pages>
  <Words>6105</Words>
  <Characters>32967</Characters>
  <Application>Microsoft Office Word</Application>
  <DocSecurity>0</DocSecurity>
  <Lines>274</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Hansen Faraj</dc:creator>
  <cp:lastModifiedBy>Tiago Moraes Ribeiro</cp:lastModifiedBy>
  <cp:revision>275</cp:revision>
  <cp:lastPrinted>2017-07-10T20:46:00Z</cp:lastPrinted>
  <dcterms:created xsi:type="dcterms:W3CDTF">2017-07-10T20:45:00Z</dcterms:created>
  <dcterms:modified xsi:type="dcterms:W3CDTF">2018-06-08T18:38:00Z</dcterms:modified>
</cp:coreProperties>
</file>