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EB4CDC">
        <w:rPr>
          <w:rFonts w:ascii="Arial" w:hAnsi="Arial" w:cs="Arial"/>
          <w:b/>
          <w:sz w:val="20"/>
          <w:szCs w:val="20"/>
        </w:rPr>
        <w:t>6</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43355F">
        <w:rPr>
          <w:rFonts w:ascii="Arial" w:hAnsi="Arial" w:cs="Arial"/>
          <w:b/>
          <w:sz w:val="20"/>
          <w:szCs w:val="20"/>
        </w:rPr>
        <w:t xml:space="preserve">Sessões: </w:t>
      </w:r>
      <w:r w:rsidR="0043355F" w:rsidRPr="0043355F">
        <w:rPr>
          <w:rFonts w:ascii="Arial" w:hAnsi="Arial" w:cs="Arial"/>
          <w:b/>
          <w:sz w:val="20"/>
          <w:szCs w:val="20"/>
        </w:rPr>
        <w:t>17</w:t>
      </w:r>
      <w:r w:rsidR="00814325" w:rsidRPr="0043355F">
        <w:rPr>
          <w:rFonts w:ascii="Arial" w:hAnsi="Arial" w:cs="Arial"/>
          <w:b/>
          <w:sz w:val="20"/>
          <w:szCs w:val="20"/>
        </w:rPr>
        <w:t>.</w:t>
      </w:r>
      <w:r w:rsidR="00015FB0" w:rsidRPr="0043355F">
        <w:rPr>
          <w:rFonts w:ascii="Arial" w:hAnsi="Arial" w:cs="Arial"/>
          <w:b/>
          <w:sz w:val="20"/>
          <w:szCs w:val="20"/>
        </w:rPr>
        <w:t>0</w:t>
      </w:r>
      <w:r w:rsidR="0043355F" w:rsidRPr="0043355F">
        <w:rPr>
          <w:rFonts w:ascii="Arial" w:hAnsi="Arial" w:cs="Arial"/>
          <w:b/>
          <w:sz w:val="20"/>
          <w:szCs w:val="20"/>
        </w:rPr>
        <w:t>9</w:t>
      </w:r>
      <w:r w:rsidR="005A0FD0" w:rsidRPr="0043355F">
        <w:rPr>
          <w:rFonts w:ascii="Arial" w:hAnsi="Arial" w:cs="Arial"/>
          <w:b/>
          <w:sz w:val="20"/>
          <w:szCs w:val="20"/>
        </w:rPr>
        <w:t xml:space="preserve"> </w:t>
      </w:r>
      <w:r w:rsidR="000D4DE6" w:rsidRPr="0043355F">
        <w:rPr>
          <w:rFonts w:ascii="Arial" w:hAnsi="Arial" w:cs="Arial"/>
          <w:b/>
          <w:sz w:val="20"/>
          <w:szCs w:val="20"/>
        </w:rPr>
        <w:t>a</w:t>
      </w:r>
      <w:r w:rsidRPr="0043355F">
        <w:rPr>
          <w:rFonts w:ascii="Arial" w:hAnsi="Arial" w:cs="Arial"/>
          <w:b/>
          <w:sz w:val="20"/>
          <w:szCs w:val="20"/>
        </w:rPr>
        <w:t xml:space="preserve"> </w:t>
      </w:r>
      <w:r w:rsidR="0043355F" w:rsidRPr="0043355F">
        <w:rPr>
          <w:rFonts w:ascii="Arial" w:hAnsi="Arial" w:cs="Arial"/>
          <w:b/>
          <w:sz w:val="20"/>
          <w:szCs w:val="20"/>
        </w:rPr>
        <w:t>26</w:t>
      </w:r>
      <w:r w:rsidR="005A0FD0" w:rsidRPr="0043355F">
        <w:rPr>
          <w:rFonts w:ascii="Arial" w:hAnsi="Arial" w:cs="Arial"/>
          <w:b/>
          <w:sz w:val="20"/>
          <w:szCs w:val="20"/>
        </w:rPr>
        <w:t>.</w:t>
      </w:r>
      <w:r w:rsidR="00015FB0" w:rsidRPr="0043355F">
        <w:rPr>
          <w:rFonts w:ascii="Arial" w:hAnsi="Arial" w:cs="Arial"/>
          <w:b/>
          <w:sz w:val="20"/>
          <w:szCs w:val="20"/>
        </w:rPr>
        <w:t>0</w:t>
      </w:r>
      <w:r w:rsidR="0043355F" w:rsidRPr="0043355F">
        <w:rPr>
          <w:rFonts w:ascii="Arial" w:hAnsi="Arial" w:cs="Arial"/>
          <w:b/>
          <w:sz w:val="20"/>
          <w:szCs w:val="20"/>
        </w:rPr>
        <w:t>9</w:t>
      </w:r>
      <w:r w:rsidRPr="0043355F">
        <w:rPr>
          <w:rFonts w:ascii="Arial" w:hAnsi="Arial" w:cs="Arial"/>
          <w:b/>
          <w:sz w:val="20"/>
          <w:szCs w:val="20"/>
        </w:rPr>
        <w:t xml:space="preserve"> de 201</w:t>
      </w:r>
      <w:r w:rsidR="00015FB0" w:rsidRPr="0043355F">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137838" w:rsidRDefault="00137838" w:rsidP="00137838">
      <w:pPr>
        <w:autoSpaceDE w:val="0"/>
        <w:autoSpaceDN w:val="0"/>
        <w:adjustRightInd w:val="0"/>
        <w:spacing w:after="0"/>
        <w:jc w:val="both"/>
        <w:rPr>
          <w:rFonts w:ascii="Arial" w:hAnsi="Arial" w:cs="Arial"/>
          <w:sz w:val="20"/>
          <w:szCs w:val="20"/>
        </w:rPr>
      </w:pPr>
    </w:p>
    <w:p w:rsidR="00912657" w:rsidRPr="00912657" w:rsidRDefault="00995091" w:rsidP="00137838">
      <w:pPr>
        <w:autoSpaceDE w:val="0"/>
        <w:autoSpaceDN w:val="0"/>
        <w:adjustRightInd w:val="0"/>
        <w:spacing w:after="0"/>
        <w:jc w:val="both"/>
        <w:rPr>
          <w:rFonts w:ascii="Arial" w:hAnsi="Arial" w:cs="Arial"/>
          <w:sz w:val="20"/>
          <w:szCs w:val="20"/>
        </w:rPr>
      </w:pPr>
      <w:r>
        <w:rPr>
          <w:rFonts w:ascii="Arial" w:hAnsi="Arial" w:cs="Arial"/>
          <w:sz w:val="20"/>
          <w:szCs w:val="20"/>
        </w:rPr>
        <w:t>1</w:t>
      </w:r>
      <w:r w:rsidR="00912657" w:rsidRPr="00912657">
        <w:rPr>
          <w:rFonts w:ascii="Arial" w:hAnsi="Arial" w:cs="Arial"/>
          <w:sz w:val="20"/>
          <w:szCs w:val="20"/>
        </w:rPr>
        <w:t>. Admissão de Pessoal. Concurso Público. Impropriedade formal. Licitação. Modalidade de julgamento inadequada. Lapso temporal. Recomendação para utilização do critério melhor técnica ou técnica e preço.</w:t>
      </w:r>
    </w:p>
    <w:p w:rsidR="00912657" w:rsidRDefault="00912657" w:rsidP="00137838">
      <w:pPr>
        <w:autoSpaceDE w:val="0"/>
        <w:autoSpaceDN w:val="0"/>
        <w:adjustRightInd w:val="0"/>
        <w:spacing w:after="0"/>
        <w:jc w:val="both"/>
        <w:rPr>
          <w:rFonts w:ascii="Arial" w:hAnsi="Arial" w:cs="Arial"/>
          <w:sz w:val="20"/>
          <w:szCs w:val="20"/>
        </w:rPr>
      </w:pPr>
    </w:p>
    <w:p w:rsidR="00912657" w:rsidRPr="00912657" w:rsidRDefault="00995091" w:rsidP="00137838">
      <w:pPr>
        <w:autoSpaceDE w:val="0"/>
        <w:autoSpaceDN w:val="0"/>
        <w:adjustRightInd w:val="0"/>
        <w:spacing w:after="0"/>
        <w:jc w:val="both"/>
        <w:rPr>
          <w:rFonts w:ascii="Arial" w:hAnsi="Arial" w:cs="Arial"/>
          <w:sz w:val="20"/>
          <w:szCs w:val="20"/>
        </w:rPr>
      </w:pPr>
      <w:r>
        <w:rPr>
          <w:rFonts w:ascii="Arial" w:hAnsi="Arial" w:cs="Arial"/>
          <w:sz w:val="20"/>
          <w:szCs w:val="20"/>
        </w:rPr>
        <w:t>2</w:t>
      </w:r>
      <w:r w:rsidR="00912657" w:rsidRPr="00912657">
        <w:rPr>
          <w:rFonts w:ascii="Arial" w:hAnsi="Arial" w:cs="Arial"/>
          <w:sz w:val="20"/>
          <w:szCs w:val="20"/>
        </w:rPr>
        <w:t>. Pedido de certidão liberatória. Descumprimento da Agenda de Obrigações. Inobservância de dispositivos de TAG. Pendências em expedientes que se encontram em fase de execução. Indeferimento.</w:t>
      </w:r>
    </w:p>
    <w:p w:rsidR="00912657" w:rsidRDefault="00912657" w:rsidP="00137838">
      <w:pPr>
        <w:autoSpaceDE w:val="0"/>
        <w:autoSpaceDN w:val="0"/>
        <w:adjustRightInd w:val="0"/>
        <w:spacing w:after="0"/>
        <w:jc w:val="both"/>
        <w:rPr>
          <w:rFonts w:ascii="Arial" w:hAnsi="Arial" w:cs="Arial"/>
          <w:sz w:val="20"/>
          <w:szCs w:val="20"/>
        </w:rPr>
      </w:pPr>
    </w:p>
    <w:p w:rsidR="00912657" w:rsidRPr="00912657" w:rsidRDefault="000B4A4D" w:rsidP="00137838">
      <w:pPr>
        <w:autoSpaceDE w:val="0"/>
        <w:autoSpaceDN w:val="0"/>
        <w:adjustRightInd w:val="0"/>
        <w:spacing w:after="0"/>
        <w:jc w:val="both"/>
        <w:rPr>
          <w:rFonts w:ascii="Arial" w:hAnsi="Arial" w:cs="Arial"/>
          <w:sz w:val="20"/>
          <w:szCs w:val="20"/>
        </w:rPr>
      </w:pPr>
      <w:r>
        <w:rPr>
          <w:rFonts w:ascii="Arial" w:hAnsi="Arial" w:cs="Arial"/>
          <w:sz w:val="20"/>
          <w:szCs w:val="20"/>
        </w:rPr>
        <w:t>3</w:t>
      </w:r>
      <w:r w:rsidR="00912657" w:rsidRPr="00912657">
        <w:rPr>
          <w:rFonts w:ascii="Arial" w:hAnsi="Arial" w:cs="Arial"/>
          <w:sz w:val="20"/>
          <w:szCs w:val="20"/>
        </w:rPr>
        <w:t xml:space="preserve">. Prestação de Contas Anual. Indícios de descumprimento do princípio de segregação de funções. Contas regulares com ressalva e recomendação. </w:t>
      </w:r>
    </w:p>
    <w:p w:rsidR="00912657" w:rsidRDefault="00912657" w:rsidP="00137838">
      <w:pPr>
        <w:autoSpaceDE w:val="0"/>
        <w:autoSpaceDN w:val="0"/>
        <w:adjustRightInd w:val="0"/>
        <w:spacing w:after="0"/>
        <w:jc w:val="both"/>
        <w:rPr>
          <w:rFonts w:ascii="Arial" w:hAnsi="Arial" w:cs="Arial"/>
          <w:sz w:val="20"/>
          <w:szCs w:val="20"/>
        </w:rPr>
      </w:pPr>
    </w:p>
    <w:p w:rsidR="00912657" w:rsidRPr="00912657" w:rsidRDefault="000B4A4D" w:rsidP="00137838">
      <w:pPr>
        <w:autoSpaceDE w:val="0"/>
        <w:autoSpaceDN w:val="0"/>
        <w:adjustRightInd w:val="0"/>
        <w:spacing w:after="0"/>
        <w:jc w:val="both"/>
        <w:rPr>
          <w:rFonts w:ascii="Arial" w:hAnsi="Arial" w:cs="Arial"/>
          <w:sz w:val="20"/>
          <w:szCs w:val="20"/>
        </w:rPr>
      </w:pPr>
      <w:r>
        <w:rPr>
          <w:rFonts w:ascii="Arial" w:hAnsi="Arial" w:cs="Arial"/>
          <w:sz w:val="20"/>
          <w:szCs w:val="20"/>
        </w:rPr>
        <w:t>4</w:t>
      </w:r>
      <w:r w:rsidR="00912657" w:rsidRPr="00912657">
        <w:rPr>
          <w:rFonts w:ascii="Arial" w:hAnsi="Arial" w:cs="Arial"/>
          <w:sz w:val="20"/>
          <w:szCs w:val="20"/>
        </w:rPr>
        <w:t xml:space="preserve">. Transferência Voluntária Municipal. Não realização de prévias pesquisas de preços. Ausência de dano e cumprimento dos objetivos. Pela regularidade das contas com ressalva e recomendações.  </w:t>
      </w:r>
    </w:p>
    <w:p w:rsidR="00137838" w:rsidRDefault="00137838" w:rsidP="00137838">
      <w:pPr>
        <w:autoSpaceDE w:val="0"/>
        <w:autoSpaceDN w:val="0"/>
        <w:adjustRightInd w:val="0"/>
        <w:spacing w:after="0"/>
        <w:jc w:val="both"/>
        <w:rPr>
          <w:rFonts w:ascii="Arial" w:hAnsi="Arial" w:cs="Arial"/>
          <w:sz w:val="20"/>
          <w:szCs w:val="20"/>
        </w:rPr>
      </w:pPr>
    </w:p>
    <w:p w:rsidR="00912657" w:rsidRPr="00912657" w:rsidRDefault="000B4A4D" w:rsidP="00137838">
      <w:pPr>
        <w:autoSpaceDE w:val="0"/>
        <w:autoSpaceDN w:val="0"/>
        <w:adjustRightInd w:val="0"/>
        <w:spacing w:after="0"/>
        <w:jc w:val="both"/>
        <w:rPr>
          <w:rFonts w:ascii="Arial" w:hAnsi="Arial" w:cs="Arial"/>
          <w:sz w:val="20"/>
          <w:szCs w:val="20"/>
        </w:rPr>
      </w:pPr>
      <w:r>
        <w:rPr>
          <w:rFonts w:ascii="Arial" w:hAnsi="Arial" w:cs="Arial"/>
          <w:sz w:val="20"/>
          <w:szCs w:val="20"/>
        </w:rPr>
        <w:t>5</w:t>
      </w:r>
      <w:r w:rsidR="00912657" w:rsidRPr="00912657">
        <w:rPr>
          <w:rFonts w:ascii="Arial" w:hAnsi="Arial" w:cs="Arial"/>
          <w:sz w:val="20"/>
          <w:szCs w:val="20"/>
        </w:rPr>
        <w:t>. Pensão por morte. Ausência de documentos comprobatórios. Certidão de casamento atualizada e ato de concessão da pensão. Juntada intempestiva. Negativa de registro. Multa.</w:t>
      </w:r>
    </w:p>
    <w:p w:rsidR="00912657" w:rsidRDefault="00912657" w:rsidP="00137838">
      <w:pPr>
        <w:autoSpaceDE w:val="0"/>
        <w:autoSpaceDN w:val="0"/>
        <w:adjustRightInd w:val="0"/>
        <w:spacing w:after="0"/>
        <w:jc w:val="both"/>
        <w:rPr>
          <w:rFonts w:ascii="Arial" w:hAnsi="Arial" w:cs="Arial"/>
          <w:color w:val="000000"/>
          <w:sz w:val="20"/>
          <w:szCs w:val="20"/>
          <w:shd w:val="clear" w:color="auto" w:fill="FFFFFF"/>
        </w:rPr>
      </w:pPr>
    </w:p>
    <w:p w:rsidR="00912657" w:rsidRPr="00912657" w:rsidRDefault="000B4A4D" w:rsidP="00137838">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6</w:t>
      </w:r>
      <w:r w:rsidR="00912657" w:rsidRPr="00912657">
        <w:rPr>
          <w:rFonts w:ascii="Arial" w:hAnsi="Arial" w:cs="Arial"/>
          <w:color w:val="000000"/>
          <w:sz w:val="20"/>
          <w:szCs w:val="20"/>
          <w:shd w:val="clear" w:color="auto" w:fill="FFFFFF"/>
        </w:rPr>
        <w:t>. Consulta. Licitação. Pregão. Eletrônico e presencial. Discricionariedade. Complexidade do objeto. Concorrência.</w:t>
      </w:r>
    </w:p>
    <w:p w:rsidR="00912657" w:rsidRDefault="00912657" w:rsidP="00137838">
      <w:pPr>
        <w:autoSpaceDE w:val="0"/>
        <w:autoSpaceDN w:val="0"/>
        <w:adjustRightInd w:val="0"/>
        <w:spacing w:after="0"/>
        <w:jc w:val="both"/>
        <w:rPr>
          <w:rFonts w:ascii="Arial" w:hAnsi="Arial" w:cs="Arial"/>
          <w:color w:val="000000"/>
          <w:sz w:val="20"/>
          <w:szCs w:val="20"/>
          <w:shd w:val="clear" w:color="auto" w:fill="FFFFFF"/>
        </w:rPr>
      </w:pPr>
    </w:p>
    <w:p w:rsidR="00912657" w:rsidRPr="00912657" w:rsidRDefault="000B4A4D" w:rsidP="00137838">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sidR="00912657" w:rsidRPr="00912657">
        <w:rPr>
          <w:rFonts w:ascii="Arial" w:hAnsi="Arial" w:cs="Arial"/>
          <w:color w:val="000000"/>
          <w:sz w:val="20"/>
          <w:szCs w:val="20"/>
          <w:shd w:val="clear" w:color="auto" w:fill="FFFFFF"/>
        </w:rPr>
        <w:t>. Consulta. Contratos Administrativos. Agência de publicidade. Proprietário. Vereador. Vedação. Sanções.</w:t>
      </w:r>
    </w:p>
    <w:p w:rsidR="00912657" w:rsidRDefault="00912657" w:rsidP="00137838">
      <w:pPr>
        <w:tabs>
          <w:tab w:val="left" w:pos="1578"/>
        </w:tabs>
        <w:autoSpaceDE w:val="0"/>
        <w:autoSpaceDN w:val="0"/>
        <w:adjustRightInd w:val="0"/>
        <w:spacing w:after="0"/>
        <w:jc w:val="both"/>
        <w:rPr>
          <w:rFonts w:ascii="Arial" w:hAnsi="Arial" w:cs="Arial"/>
          <w:color w:val="000000"/>
          <w:sz w:val="20"/>
          <w:szCs w:val="20"/>
          <w:shd w:val="clear" w:color="auto" w:fill="FFFFFF"/>
        </w:rPr>
      </w:pPr>
    </w:p>
    <w:p w:rsidR="00912657" w:rsidRPr="00912657" w:rsidRDefault="000B4A4D" w:rsidP="00137838">
      <w:pPr>
        <w:tabs>
          <w:tab w:val="left" w:pos="1578"/>
        </w:tabs>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8</w:t>
      </w:r>
      <w:r w:rsidR="00912657" w:rsidRPr="00912657">
        <w:rPr>
          <w:rFonts w:ascii="Arial" w:hAnsi="Arial" w:cs="Arial"/>
          <w:color w:val="000000"/>
          <w:sz w:val="20"/>
          <w:szCs w:val="20"/>
          <w:shd w:val="clear" w:color="auto" w:fill="FFFFFF"/>
        </w:rPr>
        <w:t>. Consulta. Licitação. Contratação direta. Medicamentos. Credenciamento de farmácias e drogarias. Inviabilidade de Competição. Justificativa de preço.</w:t>
      </w:r>
    </w:p>
    <w:p w:rsidR="00912657" w:rsidRDefault="00912657" w:rsidP="00137838">
      <w:pPr>
        <w:autoSpaceDE w:val="0"/>
        <w:autoSpaceDN w:val="0"/>
        <w:adjustRightInd w:val="0"/>
        <w:spacing w:after="0"/>
        <w:jc w:val="both"/>
        <w:rPr>
          <w:rFonts w:ascii="Arial" w:hAnsi="Arial" w:cs="Arial"/>
          <w:sz w:val="20"/>
          <w:szCs w:val="20"/>
        </w:rPr>
      </w:pPr>
    </w:p>
    <w:p w:rsidR="00912657" w:rsidRPr="00912657" w:rsidRDefault="000B4A4D" w:rsidP="00137838">
      <w:pPr>
        <w:autoSpaceDE w:val="0"/>
        <w:autoSpaceDN w:val="0"/>
        <w:adjustRightInd w:val="0"/>
        <w:spacing w:after="0"/>
        <w:jc w:val="both"/>
        <w:rPr>
          <w:rFonts w:ascii="Arial" w:hAnsi="Arial" w:cs="Arial"/>
          <w:sz w:val="20"/>
          <w:szCs w:val="20"/>
        </w:rPr>
      </w:pPr>
      <w:r>
        <w:rPr>
          <w:rFonts w:ascii="Arial" w:hAnsi="Arial" w:cs="Arial"/>
          <w:sz w:val="20"/>
          <w:szCs w:val="20"/>
        </w:rPr>
        <w:t>9</w:t>
      </w:r>
      <w:r w:rsidR="00912657" w:rsidRPr="00912657">
        <w:rPr>
          <w:rFonts w:ascii="Arial" w:hAnsi="Arial" w:cs="Arial"/>
          <w:sz w:val="20"/>
          <w:szCs w:val="20"/>
        </w:rPr>
        <w:t xml:space="preserve">. Denúncia. Criação de Banco de Horas mediante Despacho. Ausência de previsão legal. Iminente vigência do decreto. </w:t>
      </w:r>
      <w:r w:rsidR="00912657" w:rsidRPr="00912657">
        <w:rPr>
          <w:rFonts w:ascii="Arial" w:hAnsi="Arial" w:cs="Arial"/>
          <w:i/>
          <w:sz w:val="20"/>
          <w:szCs w:val="20"/>
        </w:rPr>
        <w:t xml:space="preserve">Periculum in mora e </w:t>
      </w:r>
      <w:proofErr w:type="spellStart"/>
      <w:r w:rsidR="00912657" w:rsidRPr="00912657">
        <w:rPr>
          <w:rFonts w:ascii="Arial" w:hAnsi="Arial" w:cs="Arial"/>
          <w:i/>
          <w:sz w:val="20"/>
          <w:szCs w:val="20"/>
        </w:rPr>
        <w:t>Fummus</w:t>
      </w:r>
      <w:proofErr w:type="spellEnd"/>
      <w:r w:rsidR="00912657" w:rsidRPr="00912657">
        <w:rPr>
          <w:rFonts w:ascii="Arial" w:hAnsi="Arial" w:cs="Arial"/>
          <w:i/>
          <w:sz w:val="20"/>
          <w:szCs w:val="20"/>
        </w:rPr>
        <w:t xml:space="preserve"> Boni Iuris</w:t>
      </w:r>
      <w:r w:rsidR="00912657" w:rsidRPr="00912657">
        <w:rPr>
          <w:rFonts w:ascii="Arial" w:hAnsi="Arial" w:cs="Arial"/>
          <w:sz w:val="20"/>
          <w:szCs w:val="20"/>
        </w:rPr>
        <w:t>. Concessão de medida cautelar. Homologação da referida decisão pelo Plenário da Corte.</w:t>
      </w:r>
    </w:p>
    <w:p w:rsidR="004429A2" w:rsidRPr="00912657" w:rsidRDefault="004429A2" w:rsidP="00137838">
      <w:pPr>
        <w:spacing w:after="0"/>
        <w:jc w:val="both"/>
        <w:rPr>
          <w:rStyle w:val="Hyperlink"/>
          <w:rFonts w:ascii="Arial" w:hAnsi="Arial" w:cs="Arial"/>
          <w:color w:val="000000" w:themeColor="text1"/>
          <w:sz w:val="20"/>
          <w:szCs w:val="20"/>
          <w:u w:val="none"/>
        </w:rPr>
      </w:pPr>
    </w:p>
    <w:p w:rsidR="00712A93" w:rsidRPr="0022060B" w:rsidRDefault="00712A93" w:rsidP="00137838">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137838">
      <w:pPr>
        <w:autoSpaceDE w:val="0"/>
        <w:autoSpaceDN w:val="0"/>
        <w:adjustRightInd w:val="0"/>
        <w:spacing w:after="0"/>
        <w:jc w:val="both"/>
        <w:rPr>
          <w:rFonts w:ascii="Arial" w:hAnsi="Arial" w:cs="Arial"/>
          <w:sz w:val="20"/>
          <w:szCs w:val="20"/>
        </w:rPr>
      </w:pPr>
    </w:p>
    <w:p w:rsidR="00912657" w:rsidRDefault="00995091" w:rsidP="00137838">
      <w:pPr>
        <w:autoSpaceDE w:val="0"/>
        <w:autoSpaceDN w:val="0"/>
        <w:adjustRightInd w:val="0"/>
        <w:spacing w:after="0"/>
        <w:jc w:val="both"/>
        <w:rPr>
          <w:rFonts w:ascii="Arial" w:hAnsi="Arial" w:cs="Arial"/>
          <w:b/>
          <w:sz w:val="20"/>
          <w:szCs w:val="20"/>
        </w:rPr>
      </w:pPr>
      <w:r>
        <w:rPr>
          <w:rFonts w:ascii="Arial" w:hAnsi="Arial" w:cs="Arial"/>
          <w:b/>
          <w:sz w:val="20"/>
          <w:szCs w:val="20"/>
        </w:rPr>
        <w:t>1</w:t>
      </w:r>
      <w:r w:rsidR="00912657" w:rsidRPr="003A6BCC">
        <w:rPr>
          <w:rFonts w:ascii="Arial" w:hAnsi="Arial" w:cs="Arial"/>
          <w:b/>
          <w:sz w:val="20"/>
          <w:szCs w:val="20"/>
        </w:rPr>
        <w:t xml:space="preserve">. </w:t>
      </w:r>
      <w:r w:rsidR="00912657">
        <w:rPr>
          <w:rFonts w:ascii="Arial" w:hAnsi="Arial" w:cs="Arial"/>
          <w:b/>
          <w:sz w:val="20"/>
          <w:szCs w:val="20"/>
        </w:rPr>
        <w:t>Admissão de Pessoal. Concurso Público. Impropriedade formal. Licitação. Modalidade de julgamento inadequada. Lapso temporal. Recomendação para utilização do critério melhor técnica ou técnica e preço.</w:t>
      </w:r>
    </w:p>
    <w:p w:rsidR="00912657" w:rsidRDefault="00912657" w:rsidP="00137838">
      <w:pPr>
        <w:autoSpaceDE w:val="0"/>
        <w:autoSpaceDN w:val="0"/>
        <w:adjustRightInd w:val="0"/>
        <w:spacing w:after="0"/>
        <w:jc w:val="both"/>
        <w:rPr>
          <w:rFonts w:ascii="Arial" w:hAnsi="Arial" w:cs="Arial"/>
          <w:b/>
          <w:sz w:val="20"/>
          <w:szCs w:val="20"/>
        </w:rPr>
      </w:pPr>
    </w:p>
    <w:p w:rsidR="00912657" w:rsidRPr="00C33729" w:rsidRDefault="00912657" w:rsidP="00137838">
      <w:pPr>
        <w:autoSpaceDE w:val="0"/>
        <w:autoSpaceDN w:val="0"/>
        <w:adjustRightInd w:val="0"/>
        <w:spacing w:after="0"/>
        <w:jc w:val="both"/>
        <w:rPr>
          <w:rFonts w:ascii="Arial" w:hAnsi="Arial" w:cs="Arial"/>
          <w:sz w:val="20"/>
          <w:szCs w:val="20"/>
        </w:rPr>
      </w:pPr>
      <w:r w:rsidRPr="00C33729">
        <w:rPr>
          <w:rFonts w:ascii="Arial" w:hAnsi="Arial" w:cs="Arial"/>
          <w:sz w:val="20"/>
          <w:szCs w:val="20"/>
        </w:rPr>
        <w:t>A nova metodologia de análise dos atos admissionais, garante a verificação concomitante dos procedimentos realizados pelos Municípios, de forma que impropriedades dessa natureza são verificadas antes mesmo da concretização do certame, razão pela qual, em atenção à celeridade, e considerando ainda, o lapso de quase 10 anos desde a realização do concurso, manifestou-se pelo registro das admissões com recomendação ao Município para que observe o entendimento pacificado deste Tribunal de que as contratações de empresas para a realização de concurso público demandam a utilização do critério melhor técnica ou técnica e preço.</w:t>
      </w:r>
    </w:p>
    <w:p w:rsidR="00912657" w:rsidRPr="003A6BCC" w:rsidRDefault="00912657" w:rsidP="00137838">
      <w:pPr>
        <w:autoSpaceDE w:val="0"/>
        <w:autoSpaceDN w:val="0"/>
        <w:adjustRightInd w:val="0"/>
        <w:spacing w:after="0"/>
        <w:jc w:val="both"/>
        <w:rPr>
          <w:rFonts w:ascii="Arial" w:hAnsi="Arial" w:cs="Arial"/>
          <w:sz w:val="20"/>
          <w:szCs w:val="20"/>
        </w:rPr>
      </w:pPr>
    </w:p>
    <w:p w:rsidR="00912657" w:rsidRPr="003A6BCC" w:rsidRDefault="00912657" w:rsidP="00137838">
      <w:pPr>
        <w:autoSpaceDE w:val="0"/>
        <w:autoSpaceDN w:val="0"/>
        <w:adjustRightInd w:val="0"/>
        <w:spacing w:after="0"/>
        <w:jc w:val="both"/>
        <w:rPr>
          <w:rFonts w:ascii="Arial" w:hAnsi="Arial" w:cs="Arial"/>
          <w:sz w:val="20"/>
          <w:szCs w:val="20"/>
        </w:rPr>
      </w:pPr>
      <w:r w:rsidRPr="003A6BCC">
        <w:rPr>
          <w:rFonts w:ascii="Arial" w:hAnsi="Arial" w:cs="Arial"/>
          <w:sz w:val="20"/>
          <w:szCs w:val="20"/>
        </w:rPr>
        <w:t xml:space="preserve">Processo nº </w:t>
      </w:r>
      <w:r>
        <w:rPr>
          <w:rFonts w:ascii="Arial" w:hAnsi="Arial" w:cs="Arial"/>
          <w:sz w:val="20"/>
          <w:szCs w:val="20"/>
        </w:rPr>
        <w:t>535485/09</w:t>
      </w:r>
      <w:r w:rsidRPr="003A6BCC">
        <w:rPr>
          <w:rFonts w:ascii="Arial" w:hAnsi="Arial" w:cs="Arial"/>
          <w:sz w:val="20"/>
          <w:szCs w:val="20"/>
        </w:rPr>
        <w:t xml:space="preserve"> - </w:t>
      </w:r>
      <w:hyperlink r:id="rId8" w:history="1">
        <w:r w:rsidRPr="00457F1B">
          <w:rPr>
            <w:rStyle w:val="Hyperlink"/>
            <w:rFonts w:ascii="Arial" w:hAnsi="Arial" w:cs="Arial"/>
            <w:sz w:val="20"/>
            <w:szCs w:val="20"/>
          </w:rPr>
          <w:t xml:space="preserve">Acórdão nº 2529/18 </w:t>
        </w:r>
        <w:r w:rsidR="00995091">
          <w:rPr>
            <w:rStyle w:val="Hyperlink"/>
            <w:rFonts w:ascii="Arial" w:hAnsi="Arial" w:cs="Arial"/>
            <w:sz w:val="20"/>
            <w:szCs w:val="20"/>
          </w:rPr>
          <w:t>-</w:t>
        </w:r>
        <w:r w:rsidRPr="00457F1B">
          <w:rPr>
            <w:rStyle w:val="Hyperlink"/>
            <w:rFonts w:ascii="Arial" w:hAnsi="Arial" w:cs="Arial"/>
            <w:sz w:val="20"/>
            <w:szCs w:val="20"/>
          </w:rPr>
          <w:t xml:space="preserve"> Primeira Câmara</w:t>
        </w:r>
      </w:hyperlink>
      <w:r w:rsidRPr="003A6BCC">
        <w:rPr>
          <w:rFonts w:ascii="Arial" w:hAnsi="Arial" w:cs="Arial"/>
          <w:sz w:val="20"/>
          <w:szCs w:val="20"/>
        </w:rPr>
        <w:t xml:space="preserve"> - Relator Conselheiro </w:t>
      </w:r>
      <w:r>
        <w:rPr>
          <w:rFonts w:ascii="Arial" w:hAnsi="Arial" w:cs="Arial"/>
          <w:sz w:val="20"/>
          <w:szCs w:val="20"/>
        </w:rPr>
        <w:t>Fabio de Souza Camargo.</w:t>
      </w:r>
    </w:p>
    <w:p w:rsidR="004429A2" w:rsidRPr="0022060B" w:rsidRDefault="004429A2" w:rsidP="00137838">
      <w:pPr>
        <w:autoSpaceDE w:val="0"/>
        <w:autoSpaceDN w:val="0"/>
        <w:adjustRightInd w:val="0"/>
        <w:spacing w:after="0"/>
        <w:jc w:val="both"/>
        <w:rPr>
          <w:rFonts w:ascii="Arial" w:hAnsi="Arial" w:cs="Arial"/>
          <w:sz w:val="20"/>
          <w:szCs w:val="20"/>
        </w:rPr>
      </w:pPr>
    </w:p>
    <w:p w:rsidR="00EC3842" w:rsidRPr="0022060B" w:rsidRDefault="00EC3842" w:rsidP="00137838">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137838">
      <w:pPr>
        <w:autoSpaceDE w:val="0"/>
        <w:autoSpaceDN w:val="0"/>
        <w:adjustRightInd w:val="0"/>
        <w:spacing w:after="0"/>
        <w:rPr>
          <w:rFonts w:ascii="Arial" w:hAnsi="Arial" w:cs="Arial"/>
          <w:sz w:val="20"/>
          <w:szCs w:val="20"/>
        </w:rPr>
      </w:pPr>
    </w:p>
    <w:p w:rsidR="00912657" w:rsidRPr="00F77EE9" w:rsidRDefault="00995091" w:rsidP="00137838">
      <w:pPr>
        <w:autoSpaceDE w:val="0"/>
        <w:autoSpaceDN w:val="0"/>
        <w:adjustRightInd w:val="0"/>
        <w:spacing w:after="0"/>
        <w:jc w:val="both"/>
        <w:rPr>
          <w:rFonts w:ascii="Arial" w:hAnsi="Arial" w:cs="Arial"/>
          <w:sz w:val="20"/>
          <w:szCs w:val="20"/>
        </w:rPr>
      </w:pPr>
      <w:r>
        <w:rPr>
          <w:rFonts w:ascii="Arial" w:hAnsi="Arial" w:cs="Arial"/>
          <w:b/>
          <w:sz w:val="20"/>
          <w:szCs w:val="20"/>
        </w:rPr>
        <w:t>2</w:t>
      </w:r>
      <w:r w:rsidR="00912657" w:rsidRPr="00F77EE9">
        <w:rPr>
          <w:rFonts w:ascii="Arial" w:hAnsi="Arial" w:cs="Arial"/>
          <w:b/>
          <w:sz w:val="20"/>
          <w:szCs w:val="20"/>
        </w:rPr>
        <w:t xml:space="preserve">. </w:t>
      </w:r>
      <w:r w:rsidR="00912657" w:rsidRPr="00642098">
        <w:rPr>
          <w:rFonts w:ascii="Arial" w:hAnsi="Arial" w:cs="Arial"/>
          <w:b/>
          <w:sz w:val="20"/>
          <w:szCs w:val="20"/>
        </w:rPr>
        <w:t>Pedido de certidão liberatória. Descumprimento da Agenda de Obrigações. Inobservância de dispositivos de TAG. Pendências em expedientes que se encontram em fase de execução. Indeferimento</w:t>
      </w:r>
      <w:r w:rsidR="00912657" w:rsidRPr="00F77EE9">
        <w:rPr>
          <w:rFonts w:ascii="Arial" w:hAnsi="Arial" w:cs="Arial"/>
          <w:b/>
          <w:sz w:val="20"/>
          <w:szCs w:val="20"/>
        </w:rPr>
        <w:t>.</w:t>
      </w:r>
    </w:p>
    <w:p w:rsidR="00912657" w:rsidRPr="00F77EE9" w:rsidRDefault="00912657" w:rsidP="00137838">
      <w:pPr>
        <w:autoSpaceDE w:val="0"/>
        <w:autoSpaceDN w:val="0"/>
        <w:adjustRightInd w:val="0"/>
        <w:spacing w:after="0"/>
        <w:jc w:val="both"/>
        <w:rPr>
          <w:rFonts w:ascii="Arial" w:hAnsi="Arial" w:cs="Arial"/>
          <w:b/>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0E6A08">
        <w:rPr>
          <w:rFonts w:ascii="Arial" w:hAnsi="Arial" w:cs="Arial"/>
          <w:sz w:val="20"/>
          <w:szCs w:val="20"/>
        </w:rPr>
        <w:t xml:space="preserve">Estando o TAG plenamente em vigor e sem apresentação de justificativas quanto à sua inobservância, configurado está, de fato, o impedimento para emissão da certidão. </w:t>
      </w:r>
    </w:p>
    <w:p w:rsidR="00912657" w:rsidRDefault="00912657"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0E6A08">
        <w:rPr>
          <w:rFonts w:ascii="Arial" w:hAnsi="Arial" w:cs="Arial"/>
          <w:sz w:val="20"/>
          <w:szCs w:val="20"/>
        </w:rPr>
        <w:t xml:space="preserve">Somado a isso, ainda há registros de pendências em diversos expedientes que se encontram em fase de execução, devidamente atestados pela </w:t>
      </w:r>
      <w:r w:rsidR="00995091">
        <w:rPr>
          <w:rFonts w:ascii="Arial" w:hAnsi="Arial" w:cs="Arial"/>
          <w:sz w:val="20"/>
          <w:szCs w:val="20"/>
        </w:rPr>
        <w:t>unidade técnica</w:t>
      </w:r>
      <w:r w:rsidRPr="000E6A08">
        <w:rPr>
          <w:rFonts w:ascii="Arial" w:hAnsi="Arial" w:cs="Arial"/>
          <w:sz w:val="20"/>
          <w:szCs w:val="20"/>
        </w:rPr>
        <w:t>, o que, de acordo com o artigo 954 da LC 113/2005, obsta a emissão da certidão pretendida. Diante desse contexto, considerando ainda o que dispõem os artigos 289 e 290 do Regimento Interno, o pedido não comporta acolhimento.</w:t>
      </w:r>
    </w:p>
    <w:p w:rsidR="00912657" w:rsidRPr="00F77EE9" w:rsidRDefault="00912657" w:rsidP="00137838">
      <w:pPr>
        <w:autoSpaceDE w:val="0"/>
        <w:autoSpaceDN w:val="0"/>
        <w:adjustRightInd w:val="0"/>
        <w:spacing w:after="0"/>
        <w:jc w:val="both"/>
        <w:rPr>
          <w:rFonts w:ascii="Arial" w:hAnsi="Arial" w:cs="Arial"/>
          <w:sz w:val="20"/>
          <w:szCs w:val="20"/>
        </w:rPr>
      </w:pPr>
    </w:p>
    <w:p w:rsidR="00912657" w:rsidRPr="00F77EE9" w:rsidRDefault="00912657" w:rsidP="0013783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486886/18</w:t>
      </w:r>
      <w:r w:rsidRPr="00F77EE9">
        <w:rPr>
          <w:rFonts w:ascii="Arial" w:hAnsi="Arial" w:cs="Arial"/>
          <w:sz w:val="20"/>
          <w:szCs w:val="20"/>
        </w:rPr>
        <w:t xml:space="preserve"> - </w:t>
      </w:r>
      <w:hyperlink r:id="rId9" w:history="1">
        <w:r w:rsidRPr="00EB6E67">
          <w:rPr>
            <w:rStyle w:val="Hyperlink"/>
            <w:rFonts w:ascii="Arial" w:hAnsi="Arial" w:cs="Arial"/>
            <w:sz w:val="20"/>
            <w:szCs w:val="20"/>
          </w:rPr>
          <w:t xml:space="preserve">Acórdão nº </w:t>
        </w:r>
        <w:r>
          <w:rPr>
            <w:rStyle w:val="Hyperlink"/>
            <w:rFonts w:ascii="Arial" w:hAnsi="Arial" w:cs="Arial"/>
            <w:sz w:val="20"/>
            <w:szCs w:val="20"/>
          </w:rPr>
          <w:t>2690</w:t>
        </w:r>
        <w:r w:rsidRPr="00EB6E67">
          <w:rPr>
            <w:rStyle w:val="Hyperlink"/>
            <w:rFonts w:ascii="Arial" w:hAnsi="Arial" w:cs="Arial"/>
            <w:sz w:val="20"/>
            <w:szCs w:val="20"/>
          </w:rPr>
          <w:t xml:space="preserve">/18 </w:t>
        </w:r>
        <w:r w:rsidR="00BC0B82">
          <w:rPr>
            <w:rStyle w:val="Hyperlink"/>
            <w:rFonts w:ascii="Arial" w:hAnsi="Arial" w:cs="Arial"/>
            <w:sz w:val="20"/>
            <w:szCs w:val="20"/>
          </w:rPr>
          <w:t>-</w:t>
        </w:r>
        <w:r w:rsidRPr="00EB6E67">
          <w:rPr>
            <w:rStyle w:val="Hyperlink"/>
            <w:rFonts w:ascii="Arial" w:hAnsi="Arial" w:cs="Arial"/>
            <w:sz w:val="20"/>
            <w:szCs w:val="20"/>
          </w:rPr>
          <w:t xml:space="preserve"> Segunda Câmara</w:t>
        </w:r>
      </w:hyperlink>
      <w:r w:rsidRPr="00F77EE9">
        <w:rPr>
          <w:rFonts w:ascii="Arial" w:hAnsi="Arial" w:cs="Arial"/>
          <w:sz w:val="20"/>
          <w:szCs w:val="20"/>
        </w:rPr>
        <w:t xml:space="preserve"> - Relator </w:t>
      </w:r>
      <w:bookmarkStart w:id="0" w:name="_Hlk520374869"/>
      <w:r w:rsidRPr="00F77EE9">
        <w:rPr>
          <w:rFonts w:ascii="Arial" w:hAnsi="Arial" w:cs="Arial"/>
          <w:sz w:val="20"/>
          <w:szCs w:val="20"/>
        </w:rPr>
        <w:t xml:space="preserve">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F77EE9">
        <w:rPr>
          <w:rFonts w:ascii="Arial" w:hAnsi="Arial" w:cs="Arial"/>
          <w:sz w:val="20"/>
          <w:szCs w:val="20"/>
        </w:rPr>
        <w:t>.</w:t>
      </w:r>
      <w:bookmarkEnd w:id="0"/>
    </w:p>
    <w:p w:rsidR="00912657" w:rsidRDefault="00912657" w:rsidP="00137838">
      <w:pPr>
        <w:autoSpaceDE w:val="0"/>
        <w:autoSpaceDN w:val="0"/>
        <w:adjustRightInd w:val="0"/>
        <w:spacing w:after="0"/>
        <w:jc w:val="both"/>
        <w:rPr>
          <w:rFonts w:ascii="Arial" w:hAnsi="Arial" w:cs="Arial"/>
          <w:b/>
          <w:sz w:val="20"/>
          <w:szCs w:val="20"/>
        </w:rPr>
      </w:pPr>
    </w:p>
    <w:p w:rsidR="00912657" w:rsidRPr="00F77EE9" w:rsidRDefault="00A90308" w:rsidP="00137838">
      <w:pPr>
        <w:autoSpaceDE w:val="0"/>
        <w:autoSpaceDN w:val="0"/>
        <w:adjustRightInd w:val="0"/>
        <w:spacing w:after="0"/>
        <w:jc w:val="both"/>
        <w:rPr>
          <w:rFonts w:ascii="Arial" w:hAnsi="Arial" w:cs="Arial"/>
          <w:sz w:val="20"/>
          <w:szCs w:val="20"/>
        </w:rPr>
      </w:pPr>
      <w:r>
        <w:rPr>
          <w:rFonts w:ascii="Arial" w:hAnsi="Arial" w:cs="Arial"/>
          <w:b/>
          <w:sz w:val="20"/>
          <w:szCs w:val="20"/>
        </w:rPr>
        <w:lastRenderedPageBreak/>
        <w:t>3</w:t>
      </w:r>
      <w:r w:rsidR="00912657">
        <w:rPr>
          <w:rFonts w:ascii="Arial" w:hAnsi="Arial" w:cs="Arial"/>
          <w:b/>
          <w:sz w:val="20"/>
          <w:szCs w:val="20"/>
        </w:rPr>
        <w:t xml:space="preserve">. </w:t>
      </w:r>
      <w:r w:rsidR="00912657" w:rsidRPr="00E20861">
        <w:rPr>
          <w:rFonts w:ascii="Arial" w:hAnsi="Arial" w:cs="Arial"/>
          <w:b/>
          <w:sz w:val="20"/>
          <w:szCs w:val="20"/>
        </w:rPr>
        <w:t xml:space="preserve">Prestação de Contas Anual. </w:t>
      </w:r>
      <w:r w:rsidR="00912657">
        <w:rPr>
          <w:rFonts w:ascii="Arial" w:hAnsi="Arial" w:cs="Arial"/>
          <w:b/>
          <w:sz w:val="20"/>
          <w:szCs w:val="20"/>
        </w:rPr>
        <w:t>Indí</w:t>
      </w:r>
      <w:r w:rsidR="00912657" w:rsidRPr="00E20861">
        <w:rPr>
          <w:rFonts w:ascii="Arial" w:hAnsi="Arial" w:cs="Arial"/>
          <w:b/>
          <w:sz w:val="20"/>
          <w:szCs w:val="20"/>
        </w:rPr>
        <w:t xml:space="preserve">cios de descumprimento do princípio de segregação de funções. Contas regulares com ressalva e recomendação. </w:t>
      </w:r>
    </w:p>
    <w:p w:rsidR="00912657" w:rsidRPr="00F77EE9" w:rsidRDefault="00912657" w:rsidP="00137838">
      <w:pPr>
        <w:autoSpaceDE w:val="0"/>
        <w:autoSpaceDN w:val="0"/>
        <w:adjustRightInd w:val="0"/>
        <w:spacing w:after="0"/>
        <w:jc w:val="both"/>
        <w:rPr>
          <w:rFonts w:ascii="Arial" w:hAnsi="Arial" w:cs="Arial"/>
          <w:b/>
          <w:sz w:val="20"/>
          <w:szCs w:val="20"/>
        </w:rPr>
      </w:pPr>
    </w:p>
    <w:p w:rsidR="00912657"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t>H</w:t>
      </w:r>
      <w:r w:rsidRPr="005A543F">
        <w:rPr>
          <w:rFonts w:ascii="Arial" w:hAnsi="Arial" w:cs="Arial"/>
          <w:sz w:val="20"/>
          <w:szCs w:val="20"/>
        </w:rPr>
        <w:t xml:space="preserve">á indícios de desrespeito ao princípio de segregação de funções. Tal princípio estabelece que a Administração deve repartir funções entre os agentes públicos, cuidando para que não exerçam atividades incompatíveis uma com as outras. Consiste na separação de funções de autorização, aprovação, execução, controle e contabilização das operações, evitando o acúmulo de funções por parte de um mesmo servidor.   Na prática, não se deve permitir que um único servidor execute as principais fases dos processos de execução de despesas. </w:t>
      </w:r>
    </w:p>
    <w:p w:rsidR="00912657" w:rsidRDefault="00912657" w:rsidP="00137838">
      <w:pPr>
        <w:autoSpaceDE w:val="0"/>
        <w:autoSpaceDN w:val="0"/>
        <w:adjustRightInd w:val="0"/>
        <w:spacing w:after="0"/>
        <w:jc w:val="both"/>
        <w:rPr>
          <w:rFonts w:ascii="Arial" w:hAnsi="Arial" w:cs="Arial"/>
          <w:sz w:val="20"/>
          <w:szCs w:val="20"/>
        </w:rPr>
      </w:pPr>
    </w:p>
    <w:p w:rsidR="00912657" w:rsidRPr="00F77EE9"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t>R</w:t>
      </w:r>
      <w:r w:rsidRPr="005A543F">
        <w:rPr>
          <w:rFonts w:ascii="Arial" w:hAnsi="Arial" w:cs="Arial"/>
          <w:sz w:val="20"/>
          <w:szCs w:val="20"/>
        </w:rPr>
        <w:t xml:space="preserve">ecomendação à entidade </w:t>
      </w:r>
      <w:r>
        <w:rPr>
          <w:rFonts w:ascii="Arial" w:hAnsi="Arial" w:cs="Arial"/>
          <w:sz w:val="20"/>
          <w:szCs w:val="20"/>
        </w:rPr>
        <w:t xml:space="preserve">para </w:t>
      </w:r>
      <w:r w:rsidRPr="005A543F">
        <w:rPr>
          <w:rFonts w:ascii="Arial" w:hAnsi="Arial" w:cs="Arial"/>
          <w:sz w:val="20"/>
          <w:szCs w:val="20"/>
        </w:rPr>
        <w:t xml:space="preserve">que tome providências no sentido </w:t>
      </w:r>
      <w:r>
        <w:rPr>
          <w:rFonts w:ascii="Arial" w:hAnsi="Arial" w:cs="Arial"/>
          <w:sz w:val="20"/>
          <w:szCs w:val="20"/>
        </w:rPr>
        <w:t xml:space="preserve">de </w:t>
      </w:r>
      <w:r w:rsidRPr="005A543F">
        <w:rPr>
          <w:rFonts w:ascii="Arial" w:hAnsi="Arial" w:cs="Arial"/>
          <w:sz w:val="20"/>
          <w:szCs w:val="20"/>
        </w:rPr>
        <w:t>não desrespeitar o princípio da segregação de funções.</w:t>
      </w:r>
    </w:p>
    <w:p w:rsidR="00912657" w:rsidRDefault="00912657" w:rsidP="00137838">
      <w:pPr>
        <w:autoSpaceDE w:val="0"/>
        <w:autoSpaceDN w:val="0"/>
        <w:adjustRightInd w:val="0"/>
        <w:spacing w:after="0"/>
        <w:jc w:val="both"/>
        <w:rPr>
          <w:rFonts w:ascii="Arial" w:hAnsi="Arial" w:cs="Arial"/>
          <w:sz w:val="20"/>
          <w:szCs w:val="20"/>
        </w:rPr>
      </w:pPr>
    </w:p>
    <w:p w:rsidR="00912657" w:rsidRPr="00F77EE9" w:rsidRDefault="00912657" w:rsidP="0013783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244684/17</w:t>
      </w:r>
      <w:r w:rsidRPr="00F77EE9">
        <w:rPr>
          <w:rFonts w:ascii="Arial" w:hAnsi="Arial" w:cs="Arial"/>
          <w:sz w:val="20"/>
          <w:szCs w:val="20"/>
        </w:rPr>
        <w:t xml:space="preserve"> - </w:t>
      </w:r>
      <w:hyperlink r:id="rId10" w:history="1">
        <w:r w:rsidRPr="00D716EF">
          <w:rPr>
            <w:rStyle w:val="Hyperlink"/>
            <w:rFonts w:ascii="Arial" w:hAnsi="Arial" w:cs="Arial"/>
            <w:sz w:val="20"/>
            <w:szCs w:val="20"/>
          </w:rPr>
          <w:t xml:space="preserve">Acórdão nº 2696/18 </w:t>
        </w:r>
        <w:r w:rsidR="000B4A4D">
          <w:rPr>
            <w:rStyle w:val="Hyperlink"/>
            <w:rFonts w:ascii="Arial" w:hAnsi="Arial" w:cs="Arial"/>
            <w:sz w:val="20"/>
            <w:szCs w:val="20"/>
          </w:rPr>
          <w:t>-</w:t>
        </w:r>
        <w:r w:rsidRPr="00D716EF">
          <w:rPr>
            <w:rStyle w:val="Hyperlink"/>
            <w:rFonts w:ascii="Arial" w:hAnsi="Arial" w:cs="Arial"/>
            <w:sz w:val="20"/>
            <w:szCs w:val="20"/>
          </w:rPr>
          <w:t xml:space="preserve"> Segunda Câmara</w:t>
        </w:r>
      </w:hyperlink>
      <w:r w:rsidRPr="00F77EE9">
        <w:rPr>
          <w:rFonts w:ascii="Arial" w:hAnsi="Arial" w:cs="Arial"/>
          <w:sz w:val="20"/>
          <w:szCs w:val="20"/>
        </w:rPr>
        <w:t xml:space="preserve"> -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F77EE9">
        <w:rPr>
          <w:rFonts w:ascii="Arial" w:hAnsi="Arial" w:cs="Arial"/>
          <w:sz w:val="20"/>
          <w:szCs w:val="20"/>
        </w:rPr>
        <w:t>.</w:t>
      </w:r>
    </w:p>
    <w:p w:rsidR="00912657" w:rsidRDefault="00912657" w:rsidP="00137838">
      <w:pPr>
        <w:autoSpaceDE w:val="0"/>
        <w:autoSpaceDN w:val="0"/>
        <w:adjustRightInd w:val="0"/>
        <w:spacing w:after="0"/>
        <w:jc w:val="both"/>
        <w:rPr>
          <w:rFonts w:ascii="Arial" w:hAnsi="Arial" w:cs="Arial"/>
          <w:b/>
          <w:sz w:val="20"/>
          <w:szCs w:val="20"/>
        </w:rPr>
      </w:pPr>
    </w:p>
    <w:p w:rsidR="00912657" w:rsidRDefault="00A90308" w:rsidP="00137838">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912657">
        <w:rPr>
          <w:rFonts w:ascii="Arial" w:hAnsi="Arial" w:cs="Arial"/>
          <w:b/>
          <w:sz w:val="20"/>
          <w:szCs w:val="20"/>
        </w:rPr>
        <w:t xml:space="preserve">. </w:t>
      </w:r>
      <w:r w:rsidR="00912657" w:rsidRPr="005A543F">
        <w:rPr>
          <w:rFonts w:ascii="Arial" w:hAnsi="Arial" w:cs="Arial"/>
          <w:b/>
          <w:sz w:val="20"/>
          <w:szCs w:val="20"/>
        </w:rPr>
        <w:t xml:space="preserve">Transferência Voluntária Municipal. </w:t>
      </w:r>
      <w:r w:rsidR="00912657">
        <w:rPr>
          <w:rFonts w:ascii="Arial" w:hAnsi="Arial" w:cs="Arial"/>
          <w:b/>
          <w:sz w:val="20"/>
          <w:szCs w:val="20"/>
        </w:rPr>
        <w:t xml:space="preserve">Não realização de prévias </w:t>
      </w:r>
      <w:r w:rsidR="00912657" w:rsidRPr="005A543F">
        <w:rPr>
          <w:rFonts w:ascii="Arial" w:hAnsi="Arial" w:cs="Arial"/>
          <w:b/>
          <w:sz w:val="20"/>
          <w:szCs w:val="20"/>
        </w:rPr>
        <w:t>pesquisas de preços.</w:t>
      </w:r>
      <w:r w:rsidR="00912657">
        <w:rPr>
          <w:rFonts w:ascii="Arial" w:hAnsi="Arial" w:cs="Arial"/>
          <w:b/>
          <w:sz w:val="20"/>
          <w:szCs w:val="20"/>
        </w:rPr>
        <w:t xml:space="preserve"> Ausência de dano e cumprimento dos objetivos.</w:t>
      </w:r>
      <w:r w:rsidR="00912657" w:rsidRPr="005A543F">
        <w:rPr>
          <w:rFonts w:ascii="Arial" w:hAnsi="Arial" w:cs="Arial"/>
          <w:b/>
          <w:sz w:val="20"/>
          <w:szCs w:val="20"/>
        </w:rPr>
        <w:t xml:space="preserve"> Pela regularidade das contas com ressalva e recomendações. </w:t>
      </w:r>
      <w:r w:rsidR="00912657" w:rsidRPr="00F77EE9">
        <w:rPr>
          <w:rFonts w:ascii="Arial" w:hAnsi="Arial" w:cs="Arial"/>
          <w:b/>
          <w:sz w:val="20"/>
          <w:szCs w:val="20"/>
        </w:rPr>
        <w:t xml:space="preserve"> </w:t>
      </w:r>
    </w:p>
    <w:p w:rsidR="00912657" w:rsidRPr="00F77EE9" w:rsidRDefault="00912657" w:rsidP="00137838">
      <w:pPr>
        <w:autoSpaceDE w:val="0"/>
        <w:autoSpaceDN w:val="0"/>
        <w:adjustRightInd w:val="0"/>
        <w:spacing w:after="0"/>
        <w:jc w:val="both"/>
        <w:rPr>
          <w:rFonts w:ascii="Arial" w:hAnsi="Arial" w:cs="Arial"/>
          <w:b/>
          <w:sz w:val="20"/>
          <w:szCs w:val="20"/>
        </w:rPr>
      </w:pPr>
    </w:p>
    <w:p w:rsidR="00A90308" w:rsidRDefault="00912657" w:rsidP="00137838">
      <w:pPr>
        <w:autoSpaceDE w:val="0"/>
        <w:autoSpaceDN w:val="0"/>
        <w:adjustRightInd w:val="0"/>
        <w:spacing w:after="0"/>
        <w:jc w:val="both"/>
        <w:rPr>
          <w:rFonts w:ascii="Arial" w:hAnsi="Arial" w:cs="Arial"/>
          <w:sz w:val="20"/>
          <w:szCs w:val="20"/>
        </w:rPr>
      </w:pPr>
      <w:r w:rsidRPr="0086031C">
        <w:rPr>
          <w:rFonts w:ascii="Arial" w:hAnsi="Arial" w:cs="Arial"/>
          <w:sz w:val="20"/>
          <w:szCs w:val="20"/>
        </w:rPr>
        <w:t xml:space="preserve">No que se refere à ausência de prévias pesquisas de preços junto a, no mínimo, 03 (três) fornecedores do ramo do bem ou do serviço a ser adquirido, ao analisar as justificativas apresentadas, a </w:t>
      </w:r>
      <w:r w:rsidR="00A90308">
        <w:rPr>
          <w:rFonts w:ascii="Arial" w:hAnsi="Arial" w:cs="Arial"/>
          <w:sz w:val="20"/>
          <w:szCs w:val="20"/>
        </w:rPr>
        <w:t>unidade t</w:t>
      </w:r>
      <w:r>
        <w:rPr>
          <w:rFonts w:ascii="Arial" w:hAnsi="Arial" w:cs="Arial"/>
          <w:sz w:val="20"/>
          <w:szCs w:val="20"/>
        </w:rPr>
        <w:t>écnica</w:t>
      </w:r>
      <w:r w:rsidRPr="0086031C">
        <w:rPr>
          <w:rFonts w:ascii="Arial" w:hAnsi="Arial" w:cs="Arial"/>
          <w:sz w:val="20"/>
          <w:szCs w:val="20"/>
        </w:rPr>
        <w:t xml:space="preserve"> constatou que em razão da ausência apontada, não foi possível atestar a regularidade das despesas executadas do referido convênio, em atendimento ao exigido no art. 18, §1º, da Resolução nº 28/2011 do  Tribunal, de forma a comprovar o atendimento ao princípio da economicidade. </w:t>
      </w:r>
    </w:p>
    <w:p w:rsidR="00A90308" w:rsidRDefault="00A9030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86031C">
        <w:rPr>
          <w:rFonts w:ascii="Arial" w:hAnsi="Arial" w:cs="Arial"/>
          <w:sz w:val="20"/>
          <w:szCs w:val="20"/>
        </w:rPr>
        <w:t xml:space="preserve">Contudo, considera que, nas informações existentes nos autos, não restaram evidenciados prejuízos à execução do objeto e/ou indícios de </w:t>
      </w:r>
      <w:proofErr w:type="spellStart"/>
      <w:r w:rsidRPr="0086031C">
        <w:rPr>
          <w:rFonts w:ascii="Arial" w:hAnsi="Arial" w:cs="Arial"/>
          <w:sz w:val="20"/>
          <w:szCs w:val="20"/>
        </w:rPr>
        <w:t>dano</w:t>
      </w:r>
      <w:proofErr w:type="spellEnd"/>
      <w:r w:rsidRPr="0086031C">
        <w:rPr>
          <w:rFonts w:ascii="Arial" w:hAnsi="Arial" w:cs="Arial"/>
          <w:sz w:val="20"/>
          <w:szCs w:val="20"/>
        </w:rPr>
        <w:t xml:space="preserve"> ao erário, e que existem elementos que permitem inferir que os objetivos da parceria foram atingidos. Assim entende</w:t>
      </w:r>
      <w:r w:rsidR="00A90308">
        <w:rPr>
          <w:rFonts w:ascii="Arial" w:hAnsi="Arial" w:cs="Arial"/>
          <w:sz w:val="20"/>
          <w:szCs w:val="20"/>
        </w:rPr>
        <w:t>-se</w:t>
      </w:r>
      <w:r w:rsidRPr="0086031C">
        <w:rPr>
          <w:rFonts w:ascii="Arial" w:hAnsi="Arial" w:cs="Arial"/>
          <w:sz w:val="20"/>
          <w:szCs w:val="20"/>
        </w:rPr>
        <w:t xml:space="preserve"> cabível a ressalva do item, com o afastamento das sanções previstas na primeira instrução processual, sem prejuízo da expedição de recomendação.</w:t>
      </w:r>
    </w:p>
    <w:p w:rsidR="00912657" w:rsidRPr="00F77EE9" w:rsidRDefault="00912657" w:rsidP="00137838">
      <w:pPr>
        <w:autoSpaceDE w:val="0"/>
        <w:autoSpaceDN w:val="0"/>
        <w:adjustRightInd w:val="0"/>
        <w:spacing w:after="0"/>
        <w:jc w:val="both"/>
        <w:rPr>
          <w:rFonts w:ascii="Arial" w:hAnsi="Arial" w:cs="Arial"/>
          <w:sz w:val="20"/>
          <w:szCs w:val="20"/>
        </w:rPr>
      </w:pPr>
    </w:p>
    <w:p w:rsidR="00912657" w:rsidRPr="00F77EE9" w:rsidRDefault="00912657" w:rsidP="0013783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977095/14</w:t>
      </w:r>
      <w:r w:rsidRPr="00F77EE9">
        <w:rPr>
          <w:rFonts w:ascii="Arial" w:hAnsi="Arial" w:cs="Arial"/>
          <w:sz w:val="20"/>
          <w:szCs w:val="20"/>
        </w:rPr>
        <w:t xml:space="preserve"> - </w:t>
      </w:r>
      <w:hyperlink r:id="rId11" w:history="1">
        <w:r w:rsidRPr="00B60D02">
          <w:rPr>
            <w:rStyle w:val="Hyperlink"/>
            <w:rFonts w:ascii="Arial" w:hAnsi="Arial" w:cs="Arial"/>
            <w:sz w:val="20"/>
            <w:szCs w:val="20"/>
          </w:rPr>
          <w:t xml:space="preserve">Acórdão nº 2701 </w:t>
        </w:r>
        <w:r w:rsidR="00A90308">
          <w:rPr>
            <w:rStyle w:val="Hyperlink"/>
            <w:rFonts w:ascii="Arial" w:hAnsi="Arial" w:cs="Arial"/>
            <w:sz w:val="20"/>
            <w:szCs w:val="20"/>
          </w:rPr>
          <w:t>-</w:t>
        </w:r>
        <w:r w:rsidRPr="00B60D02">
          <w:rPr>
            <w:rStyle w:val="Hyperlink"/>
            <w:rFonts w:ascii="Arial" w:hAnsi="Arial" w:cs="Arial"/>
            <w:sz w:val="20"/>
            <w:szCs w:val="20"/>
          </w:rPr>
          <w:t xml:space="preserve"> Segunda Câmara</w:t>
        </w:r>
      </w:hyperlink>
      <w:r w:rsidRPr="00F77EE9">
        <w:rPr>
          <w:rFonts w:ascii="Arial" w:hAnsi="Arial" w:cs="Arial"/>
          <w:sz w:val="20"/>
          <w:szCs w:val="20"/>
        </w:rPr>
        <w:t xml:space="preserve"> - Relator Conselheiro </w:t>
      </w:r>
      <w:r>
        <w:rPr>
          <w:rFonts w:ascii="Arial" w:hAnsi="Arial" w:cs="Arial"/>
          <w:sz w:val="20"/>
          <w:szCs w:val="20"/>
        </w:rPr>
        <w:t>Ivens Zschoerper Linhares</w:t>
      </w:r>
      <w:r w:rsidRPr="00F77EE9">
        <w:rPr>
          <w:rFonts w:ascii="Arial" w:hAnsi="Arial" w:cs="Arial"/>
          <w:sz w:val="20"/>
          <w:szCs w:val="20"/>
        </w:rPr>
        <w:t>.</w:t>
      </w:r>
    </w:p>
    <w:p w:rsidR="00912657" w:rsidRDefault="00912657" w:rsidP="00137838">
      <w:pPr>
        <w:autoSpaceDE w:val="0"/>
        <w:autoSpaceDN w:val="0"/>
        <w:adjustRightInd w:val="0"/>
        <w:spacing w:after="0"/>
        <w:rPr>
          <w:rFonts w:ascii="Arial" w:hAnsi="Arial" w:cs="Arial"/>
          <w:sz w:val="20"/>
          <w:szCs w:val="20"/>
        </w:rPr>
      </w:pPr>
    </w:p>
    <w:p w:rsidR="00912657" w:rsidRDefault="00A90308" w:rsidP="00137838">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912657" w:rsidRPr="00F77EE9">
        <w:rPr>
          <w:rFonts w:ascii="Arial" w:hAnsi="Arial" w:cs="Arial"/>
          <w:b/>
          <w:sz w:val="20"/>
          <w:szCs w:val="20"/>
        </w:rPr>
        <w:t xml:space="preserve">. </w:t>
      </w:r>
      <w:r w:rsidR="00912657">
        <w:rPr>
          <w:rFonts w:ascii="Arial" w:hAnsi="Arial" w:cs="Arial"/>
          <w:b/>
          <w:sz w:val="20"/>
          <w:szCs w:val="20"/>
        </w:rPr>
        <w:t>Pensão por morte. Ausência de documentos comprobatórios. Certidão de casamento atualizada e ato de concessão da pensão. Juntada intempestiva. Negativa de registro. Multa.</w:t>
      </w:r>
    </w:p>
    <w:p w:rsidR="00912657" w:rsidRPr="00F77EE9" w:rsidRDefault="00912657" w:rsidP="00137838">
      <w:pPr>
        <w:autoSpaceDE w:val="0"/>
        <w:autoSpaceDN w:val="0"/>
        <w:adjustRightInd w:val="0"/>
        <w:spacing w:after="0"/>
        <w:jc w:val="both"/>
        <w:rPr>
          <w:rFonts w:ascii="Arial" w:hAnsi="Arial" w:cs="Arial"/>
          <w:b/>
          <w:sz w:val="20"/>
          <w:szCs w:val="20"/>
        </w:rPr>
      </w:pPr>
    </w:p>
    <w:p w:rsidR="00912657"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lastRenderedPageBreak/>
        <w:t>T</w:t>
      </w:r>
      <w:r w:rsidRPr="00466CD4">
        <w:rPr>
          <w:rFonts w:ascii="Arial" w:hAnsi="Arial" w:cs="Arial"/>
          <w:sz w:val="20"/>
          <w:szCs w:val="20"/>
        </w:rPr>
        <w:t>rata-se a controvérsia sobre a ausência de documentos exigidos pela Instrução Normativa nº 69/12 dessa Corte, o que impediria a correta análise da pensão em apreço, dentre elas, certidão de casamento atualizada e ato de concessão da pensão, devidamente publicado</w:t>
      </w:r>
      <w:r>
        <w:rPr>
          <w:rFonts w:ascii="Arial" w:hAnsi="Arial" w:cs="Arial"/>
          <w:sz w:val="20"/>
          <w:szCs w:val="20"/>
        </w:rPr>
        <w:t>.</w:t>
      </w:r>
    </w:p>
    <w:p w:rsidR="00053172" w:rsidRDefault="00053172"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466CD4">
        <w:rPr>
          <w:rFonts w:ascii="Arial" w:hAnsi="Arial" w:cs="Arial"/>
          <w:sz w:val="20"/>
          <w:szCs w:val="20"/>
        </w:rPr>
        <w:t>Apesar da Autarquia Municipal de Previdência ter incluído nos autos os cálculos do benefício previdenciário e o respectivo parecer jurídico, não foi encaminhada, tempestivamente, parte da documentação indispensável à</w:t>
      </w:r>
      <w:r>
        <w:rPr>
          <w:rFonts w:ascii="Arial" w:hAnsi="Arial" w:cs="Arial"/>
          <w:sz w:val="20"/>
          <w:szCs w:val="20"/>
        </w:rPr>
        <w:t xml:space="preserve"> </w:t>
      </w:r>
      <w:r w:rsidRPr="00466CD4">
        <w:rPr>
          <w:rFonts w:ascii="Arial" w:hAnsi="Arial" w:cs="Arial"/>
          <w:sz w:val="20"/>
          <w:szCs w:val="20"/>
        </w:rPr>
        <w:t>efetivação do registro do ato</w:t>
      </w:r>
      <w:r>
        <w:rPr>
          <w:rFonts w:ascii="Arial" w:hAnsi="Arial" w:cs="Arial"/>
          <w:sz w:val="20"/>
          <w:szCs w:val="20"/>
        </w:rPr>
        <w:t>.</w:t>
      </w:r>
    </w:p>
    <w:p w:rsidR="00137838" w:rsidRDefault="00137838" w:rsidP="00137838">
      <w:pPr>
        <w:autoSpaceDE w:val="0"/>
        <w:autoSpaceDN w:val="0"/>
        <w:adjustRightInd w:val="0"/>
        <w:spacing w:after="0"/>
        <w:jc w:val="both"/>
        <w:rPr>
          <w:rFonts w:ascii="Arial" w:hAnsi="Arial" w:cs="Arial"/>
          <w:sz w:val="20"/>
          <w:szCs w:val="20"/>
        </w:rPr>
      </w:pPr>
    </w:p>
    <w:p w:rsidR="00912657" w:rsidRPr="00466CD4"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t>A</w:t>
      </w:r>
      <w:r w:rsidRPr="00466CD4">
        <w:rPr>
          <w:rFonts w:ascii="Arial" w:hAnsi="Arial" w:cs="Arial"/>
          <w:sz w:val="20"/>
          <w:szCs w:val="20"/>
        </w:rPr>
        <w:t xml:space="preserve"> Entidade foi notificada por diversas vezes para que apresentasse os documentos faltantes, e não o fez de forma tempestiva. Tão somente quando o processo foi incluído em Pauta, foi emitido e assinado o respectivo ato, com efeitos retroativos, sendo acostado aos autos no dia imediatamente subsequente. Tal procedimento somente confirma a negligência e inércia da Autarquia diante das inúmeras diligências não atendidas, desde o ano de 2014</w:t>
      </w:r>
      <w:r>
        <w:rPr>
          <w:rFonts w:ascii="Arial" w:hAnsi="Arial" w:cs="Arial"/>
          <w:sz w:val="20"/>
          <w:szCs w:val="20"/>
        </w:rPr>
        <w:t xml:space="preserve">, </w:t>
      </w:r>
      <w:r w:rsidRPr="00466CD4">
        <w:rPr>
          <w:rFonts w:ascii="Arial" w:hAnsi="Arial" w:cs="Arial"/>
          <w:sz w:val="20"/>
          <w:szCs w:val="20"/>
        </w:rPr>
        <w:t xml:space="preserve">sendo emitido novo Decreto na tentativa de sanar a impropriedade apontada, quando os autos já estavam devidamente instruídos.  </w:t>
      </w:r>
    </w:p>
    <w:p w:rsidR="00137838" w:rsidRDefault="0013783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466CD4">
        <w:rPr>
          <w:rFonts w:ascii="Arial" w:hAnsi="Arial" w:cs="Arial"/>
          <w:sz w:val="20"/>
          <w:szCs w:val="20"/>
        </w:rPr>
        <w:t>Diante da solução, aparentemente acessível, encontrada pela Autarquia, juntamente com o Município, questiona-se a ausência de justificativa para que tal medida não tenha sido tomada anteriormente, considerando o expressivo lapso temporal, entre o apontamento da impropriedade por esta Corte e seu deslinde.</w:t>
      </w:r>
      <w:r w:rsidR="00053172">
        <w:rPr>
          <w:rFonts w:ascii="Arial" w:hAnsi="Arial" w:cs="Arial"/>
          <w:sz w:val="20"/>
          <w:szCs w:val="20"/>
        </w:rPr>
        <w:t xml:space="preserve"> Impõem-se a negativa de registro da </w:t>
      </w:r>
      <w:r w:rsidRPr="00466CD4">
        <w:rPr>
          <w:rFonts w:ascii="Arial" w:hAnsi="Arial" w:cs="Arial"/>
          <w:sz w:val="20"/>
          <w:szCs w:val="20"/>
        </w:rPr>
        <w:t>concessão de pensão</w:t>
      </w:r>
      <w:r>
        <w:rPr>
          <w:rFonts w:ascii="Arial" w:hAnsi="Arial" w:cs="Arial"/>
          <w:sz w:val="20"/>
          <w:szCs w:val="20"/>
        </w:rPr>
        <w:t xml:space="preserve">, </w:t>
      </w:r>
      <w:r w:rsidRPr="00466CD4">
        <w:rPr>
          <w:rFonts w:ascii="Arial" w:hAnsi="Arial" w:cs="Arial"/>
          <w:sz w:val="20"/>
          <w:szCs w:val="20"/>
        </w:rPr>
        <w:t>face a ausência de documentação indispen</w:t>
      </w:r>
      <w:r>
        <w:rPr>
          <w:rFonts w:ascii="Arial" w:hAnsi="Arial" w:cs="Arial"/>
          <w:sz w:val="20"/>
          <w:szCs w:val="20"/>
        </w:rPr>
        <w:t xml:space="preserve">sável à efetivação do registro, </w:t>
      </w:r>
      <w:r w:rsidRPr="00466CD4">
        <w:rPr>
          <w:rFonts w:ascii="Arial" w:hAnsi="Arial" w:cs="Arial"/>
          <w:sz w:val="20"/>
          <w:szCs w:val="20"/>
        </w:rPr>
        <w:t>aplicação d</w:t>
      </w:r>
      <w:r w:rsidR="00053172">
        <w:rPr>
          <w:rFonts w:ascii="Arial" w:hAnsi="Arial" w:cs="Arial"/>
          <w:sz w:val="20"/>
          <w:szCs w:val="20"/>
        </w:rPr>
        <w:t xml:space="preserve">e multa </w:t>
      </w:r>
      <w:r w:rsidRPr="00466CD4">
        <w:rPr>
          <w:rFonts w:ascii="Arial" w:hAnsi="Arial" w:cs="Arial"/>
          <w:sz w:val="20"/>
          <w:szCs w:val="20"/>
        </w:rPr>
        <w:t xml:space="preserve">ao </w:t>
      </w:r>
      <w:r>
        <w:rPr>
          <w:rFonts w:ascii="Arial" w:hAnsi="Arial" w:cs="Arial"/>
          <w:sz w:val="20"/>
          <w:szCs w:val="20"/>
        </w:rPr>
        <w:t>gestor,</w:t>
      </w:r>
      <w:r w:rsidRPr="00466CD4">
        <w:rPr>
          <w:rFonts w:ascii="Arial" w:hAnsi="Arial" w:cs="Arial"/>
          <w:sz w:val="20"/>
          <w:szCs w:val="20"/>
        </w:rPr>
        <w:t xml:space="preserve"> Prefeito do Município</w:t>
      </w:r>
      <w:r w:rsidR="00053172">
        <w:rPr>
          <w:rFonts w:ascii="Arial" w:hAnsi="Arial" w:cs="Arial"/>
          <w:sz w:val="20"/>
          <w:szCs w:val="20"/>
        </w:rPr>
        <w:t xml:space="preserve">. </w:t>
      </w:r>
    </w:p>
    <w:p w:rsidR="00053172" w:rsidRPr="00F77EE9" w:rsidRDefault="00053172" w:rsidP="00137838">
      <w:pPr>
        <w:autoSpaceDE w:val="0"/>
        <w:autoSpaceDN w:val="0"/>
        <w:adjustRightInd w:val="0"/>
        <w:spacing w:after="0"/>
        <w:jc w:val="both"/>
        <w:rPr>
          <w:rFonts w:ascii="Arial" w:hAnsi="Arial" w:cs="Arial"/>
          <w:sz w:val="20"/>
          <w:szCs w:val="20"/>
        </w:rPr>
      </w:pPr>
    </w:p>
    <w:p w:rsidR="00912657" w:rsidRPr="00F77EE9" w:rsidRDefault="00912657" w:rsidP="00137838">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80654/14</w:t>
      </w:r>
      <w:r w:rsidRPr="00F77EE9">
        <w:rPr>
          <w:rFonts w:ascii="Arial" w:hAnsi="Arial" w:cs="Arial"/>
          <w:sz w:val="20"/>
          <w:szCs w:val="20"/>
        </w:rPr>
        <w:t xml:space="preserve"> - </w:t>
      </w:r>
      <w:hyperlink r:id="rId12" w:history="1">
        <w:r w:rsidRPr="00423C77">
          <w:rPr>
            <w:rStyle w:val="Hyperlink"/>
            <w:rFonts w:ascii="Arial" w:hAnsi="Arial" w:cs="Arial"/>
            <w:sz w:val="20"/>
            <w:szCs w:val="20"/>
          </w:rPr>
          <w:t xml:space="preserve">Acórdão nº 2680 </w:t>
        </w:r>
        <w:r w:rsidR="00053172">
          <w:rPr>
            <w:rStyle w:val="Hyperlink"/>
            <w:rFonts w:ascii="Arial" w:hAnsi="Arial" w:cs="Arial"/>
            <w:sz w:val="20"/>
            <w:szCs w:val="20"/>
          </w:rPr>
          <w:t>-</w:t>
        </w:r>
        <w:r w:rsidRPr="00423C77">
          <w:rPr>
            <w:rStyle w:val="Hyperlink"/>
            <w:rFonts w:ascii="Arial" w:hAnsi="Arial" w:cs="Arial"/>
            <w:sz w:val="20"/>
            <w:szCs w:val="20"/>
          </w:rPr>
          <w:t xml:space="preserve"> Segunda Câmara</w:t>
        </w:r>
      </w:hyperlink>
      <w:r w:rsidRPr="00F77EE9">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F77EE9">
        <w:rPr>
          <w:rFonts w:ascii="Arial" w:hAnsi="Arial" w:cs="Arial"/>
          <w:sz w:val="20"/>
          <w:szCs w:val="20"/>
        </w:rPr>
        <w:t>.</w:t>
      </w:r>
    </w:p>
    <w:p w:rsidR="00137838" w:rsidRPr="008F5808" w:rsidRDefault="00137838" w:rsidP="00137838">
      <w:pPr>
        <w:autoSpaceDE w:val="0"/>
        <w:autoSpaceDN w:val="0"/>
        <w:adjustRightInd w:val="0"/>
        <w:spacing w:after="0"/>
        <w:jc w:val="both"/>
        <w:rPr>
          <w:rFonts w:ascii="Arial" w:hAnsi="Arial" w:cs="Arial"/>
          <w:sz w:val="20"/>
          <w:szCs w:val="20"/>
        </w:rPr>
      </w:pPr>
    </w:p>
    <w:p w:rsidR="00AE4F42" w:rsidRPr="0022060B" w:rsidRDefault="00AE4F42" w:rsidP="00137838">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912657" w:rsidRDefault="00912657" w:rsidP="00137838">
      <w:pPr>
        <w:autoSpaceDE w:val="0"/>
        <w:autoSpaceDN w:val="0"/>
        <w:adjustRightInd w:val="0"/>
        <w:spacing w:after="0"/>
        <w:jc w:val="both"/>
        <w:rPr>
          <w:rFonts w:ascii="Arial" w:hAnsi="Arial" w:cs="Arial"/>
          <w:b/>
          <w:color w:val="000000"/>
          <w:sz w:val="20"/>
          <w:szCs w:val="20"/>
          <w:shd w:val="clear" w:color="auto" w:fill="FFFFFF"/>
        </w:rPr>
      </w:pPr>
    </w:p>
    <w:p w:rsidR="00912657" w:rsidRDefault="00053172" w:rsidP="00137838">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6</w:t>
      </w:r>
      <w:r w:rsidR="00912657">
        <w:rPr>
          <w:rFonts w:ascii="Arial" w:hAnsi="Arial" w:cs="Arial"/>
          <w:b/>
          <w:color w:val="000000"/>
          <w:sz w:val="20"/>
          <w:szCs w:val="20"/>
          <w:shd w:val="clear" w:color="auto" w:fill="FFFFFF"/>
        </w:rPr>
        <w:t xml:space="preserve">. </w:t>
      </w:r>
      <w:r w:rsidR="00912657" w:rsidRPr="00F52F85">
        <w:rPr>
          <w:rFonts w:ascii="Arial" w:hAnsi="Arial" w:cs="Arial"/>
          <w:b/>
          <w:color w:val="000000"/>
          <w:sz w:val="20"/>
          <w:szCs w:val="20"/>
          <w:shd w:val="clear" w:color="auto" w:fill="FFFFFF"/>
        </w:rPr>
        <w:t>Consulta. Licitação. Pregão. Eletrônico e presencial. Discricionariedade. Complexidade do objeto. Concorrência.</w:t>
      </w:r>
    </w:p>
    <w:p w:rsidR="00137838" w:rsidRDefault="00137838" w:rsidP="00137838">
      <w:pPr>
        <w:autoSpaceDE w:val="0"/>
        <w:autoSpaceDN w:val="0"/>
        <w:adjustRightInd w:val="0"/>
        <w:spacing w:after="0"/>
        <w:jc w:val="both"/>
        <w:rPr>
          <w:rFonts w:ascii="Arial" w:hAnsi="Arial" w:cs="Arial"/>
          <w:sz w:val="20"/>
          <w:szCs w:val="20"/>
        </w:rPr>
      </w:pPr>
    </w:p>
    <w:p w:rsidR="00912657" w:rsidRPr="002228A4" w:rsidRDefault="00912657" w:rsidP="00137838">
      <w:pPr>
        <w:autoSpaceDE w:val="0"/>
        <w:autoSpaceDN w:val="0"/>
        <w:adjustRightInd w:val="0"/>
        <w:spacing w:after="0"/>
        <w:jc w:val="both"/>
        <w:rPr>
          <w:rFonts w:ascii="Arial" w:hAnsi="Arial" w:cs="Arial"/>
          <w:sz w:val="20"/>
          <w:szCs w:val="20"/>
        </w:rPr>
      </w:pPr>
      <w:r w:rsidRPr="002228A4">
        <w:rPr>
          <w:rFonts w:ascii="Arial" w:hAnsi="Arial" w:cs="Arial"/>
          <w:sz w:val="20"/>
          <w:szCs w:val="20"/>
        </w:rPr>
        <w:t xml:space="preserve">Observada a legislação municipal, que deve previamente regulamentar a matéria, deve o gestor observar que, por regra, o pregão, na sua forma eletrônica, consiste na modalidade que se mostra mais adequada para a aquisição de bens e serviços comuns, podendo, contudo, conforme o caso em concreto, ser preterido a forma presencial, desde que devidamente justificado, a amparar a maior vantagem à Administração e observância aos demais princípios inerentes às licitações, nos exatos termos dos </w:t>
      </w:r>
      <w:proofErr w:type="spellStart"/>
      <w:r w:rsidRPr="002228A4">
        <w:rPr>
          <w:rFonts w:ascii="Arial" w:hAnsi="Arial" w:cs="Arial"/>
          <w:sz w:val="20"/>
          <w:szCs w:val="20"/>
        </w:rPr>
        <w:t>arts</w:t>
      </w:r>
      <w:proofErr w:type="spellEnd"/>
      <w:r w:rsidRPr="002228A4">
        <w:rPr>
          <w:rFonts w:ascii="Arial" w:hAnsi="Arial" w:cs="Arial"/>
          <w:sz w:val="20"/>
          <w:szCs w:val="20"/>
        </w:rPr>
        <w:t>. 3º, I, da Lei n.º 10.520/2002 e 50 da Lei n.º 9.784/99.</w:t>
      </w:r>
    </w:p>
    <w:p w:rsidR="00137838" w:rsidRDefault="00137838" w:rsidP="00137838">
      <w:pPr>
        <w:autoSpaceDE w:val="0"/>
        <w:autoSpaceDN w:val="0"/>
        <w:adjustRightInd w:val="0"/>
        <w:spacing w:after="0"/>
        <w:jc w:val="both"/>
        <w:rPr>
          <w:rFonts w:ascii="Arial" w:hAnsi="Arial" w:cs="Arial"/>
          <w:sz w:val="20"/>
          <w:szCs w:val="20"/>
        </w:rPr>
      </w:pPr>
    </w:p>
    <w:p w:rsidR="00137838" w:rsidRDefault="00912657" w:rsidP="00137838">
      <w:pPr>
        <w:autoSpaceDE w:val="0"/>
        <w:autoSpaceDN w:val="0"/>
        <w:adjustRightInd w:val="0"/>
        <w:spacing w:after="0"/>
        <w:jc w:val="both"/>
        <w:rPr>
          <w:rFonts w:ascii="Arial" w:hAnsi="Arial" w:cs="Arial"/>
          <w:sz w:val="20"/>
          <w:szCs w:val="20"/>
        </w:rPr>
      </w:pPr>
      <w:r w:rsidRPr="002228A4">
        <w:rPr>
          <w:rFonts w:ascii="Arial" w:hAnsi="Arial" w:cs="Arial"/>
          <w:sz w:val="20"/>
          <w:szCs w:val="20"/>
        </w:rPr>
        <w:t xml:space="preserve">A opção pelo pregão presencial em detrimento do eletrônico sempre deverá ser amparada por justificativa, nos termos dos </w:t>
      </w:r>
      <w:proofErr w:type="spellStart"/>
      <w:r w:rsidRPr="002228A4">
        <w:rPr>
          <w:rFonts w:ascii="Arial" w:hAnsi="Arial" w:cs="Arial"/>
          <w:sz w:val="20"/>
          <w:szCs w:val="20"/>
        </w:rPr>
        <w:t>arts</w:t>
      </w:r>
      <w:proofErr w:type="spellEnd"/>
      <w:r w:rsidRPr="002228A4">
        <w:rPr>
          <w:rFonts w:ascii="Arial" w:hAnsi="Arial" w:cs="Arial"/>
          <w:sz w:val="20"/>
          <w:szCs w:val="20"/>
        </w:rPr>
        <w:t>. 3º, I, da Lei n.º 10.520/2002 e 50 da Lei n.º 9.784/99.</w:t>
      </w:r>
      <w:r w:rsidR="00137838">
        <w:rPr>
          <w:rFonts w:ascii="Arial" w:hAnsi="Arial" w:cs="Arial"/>
          <w:sz w:val="20"/>
          <w:szCs w:val="20"/>
        </w:rPr>
        <w:t xml:space="preserve"> </w:t>
      </w:r>
    </w:p>
    <w:p w:rsidR="00137838" w:rsidRDefault="00137838" w:rsidP="00137838">
      <w:pPr>
        <w:autoSpaceDE w:val="0"/>
        <w:autoSpaceDN w:val="0"/>
        <w:adjustRightInd w:val="0"/>
        <w:spacing w:after="0"/>
        <w:jc w:val="both"/>
        <w:rPr>
          <w:rFonts w:ascii="Arial" w:hAnsi="Arial" w:cs="Arial"/>
          <w:sz w:val="20"/>
          <w:szCs w:val="20"/>
        </w:rPr>
      </w:pPr>
    </w:p>
    <w:p w:rsidR="00912657" w:rsidRPr="002228A4" w:rsidRDefault="00912657" w:rsidP="00137838">
      <w:pPr>
        <w:autoSpaceDE w:val="0"/>
        <w:autoSpaceDN w:val="0"/>
        <w:adjustRightInd w:val="0"/>
        <w:spacing w:after="0"/>
        <w:jc w:val="both"/>
        <w:rPr>
          <w:rFonts w:ascii="Arial" w:hAnsi="Arial" w:cs="Arial"/>
          <w:sz w:val="20"/>
          <w:szCs w:val="20"/>
        </w:rPr>
      </w:pPr>
      <w:r w:rsidRPr="002228A4">
        <w:rPr>
          <w:rFonts w:ascii="Arial" w:hAnsi="Arial" w:cs="Arial"/>
          <w:sz w:val="20"/>
          <w:szCs w:val="20"/>
        </w:rPr>
        <w:lastRenderedPageBreak/>
        <w:t>O gestor possui certa margem de discricionariedade, para que, diante da complexidade do objeto licitado (bem ou serviço comum) e observados os dispositivos legais correlatos, evidenciada a inviabilidade do uso da modalidade pregão, venha a se valer da concorrência, momento em que, igualmente, deverá justificar adequadamente.</w:t>
      </w:r>
    </w:p>
    <w:p w:rsidR="00137838" w:rsidRDefault="0013783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sz w:val="20"/>
          <w:szCs w:val="20"/>
        </w:rPr>
        <w:t xml:space="preserve">Processo n° 800781/17 - </w:t>
      </w:r>
      <w:hyperlink r:id="rId13" w:history="1">
        <w:r w:rsidRPr="006F0E12">
          <w:rPr>
            <w:rStyle w:val="Hyperlink"/>
            <w:rFonts w:ascii="Arial" w:hAnsi="Arial" w:cs="Arial"/>
            <w:sz w:val="20"/>
            <w:szCs w:val="20"/>
          </w:rPr>
          <w:t>Acórdão 2605/18 - Tribunal Pleno</w:t>
        </w:r>
      </w:hyperlink>
      <w:r>
        <w:rPr>
          <w:rFonts w:ascii="Arial" w:hAnsi="Arial" w:cs="Arial"/>
          <w:sz w:val="20"/>
          <w:szCs w:val="20"/>
        </w:rPr>
        <w:t xml:space="preserve"> - Rel. Conselheiro </w:t>
      </w:r>
      <w:proofErr w:type="spellStart"/>
      <w:r w:rsidRPr="00F52F85">
        <w:rPr>
          <w:rFonts w:ascii="Arial" w:hAnsi="Arial" w:cs="Arial"/>
          <w:sz w:val="20"/>
          <w:szCs w:val="20"/>
        </w:rPr>
        <w:t>Artagão</w:t>
      </w:r>
      <w:proofErr w:type="spellEnd"/>
      <w:r w:rsidRPr="00F52F85">
        <w:rPr>
          <w:rFonts w:ascii="Arial" w:hAnsi="Arial" w:cs="Arial"/>
          <w:sz w:val="20"/>
          <w:szCs w:val="20"/>
        </w:rPr>
        <w:t xml:space="preserve"> de Mattos Leão</w:t>
      </w:r>
      <w:r>
        <w:rPr>
          <w:rFonts w:ascii="Arial" w:hAnsi="Arial" w:cs="Arial"/>
          <w:sz w:val="20"/>
          <w:szCs w:val="20"/>
        </w:rPr>
        <w:t>.</w:t>
      </w:r>
    </w:p>
    <w:p w:rsidR="00912657" w:rsidRDefault="00912657" w:rsidP="00137838">
      <w:pPr>
        <w:autoSpaceDE w:val="0"/>
        <w:autoSpaceDN w:val="0"/>
        <w:adjustRightInd w:val="0"/>
        <w:spacing w:after="0"/>
        <w:jc w:val="both"/>
        <w:rPr>
          <w:rFonts w:ascii="Arial" w:hAnsi="Arial" w:cs="Arial"/>
          <w:b/>
          <w:color w:val="000000"/>
          <w:sz w:val="20"/>
          <w:szCs w:val="20"/>
          <w:shd w:val="clear" w:color="auto" w:fill="FFFFFF"/>
        </w:rPr>
      </w:pPr>
    </w:p>
    <w:p w:rsidR="00912657" w:rsidRDefault="00053172" w:rsidP="00137838">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7</w:t>
      </w:r>
      <w:r w:rsidR="00912657">
        <w:rPr>
          <w:rFonts w:ascii="Arial" w:hAnsi="Arial" w:cs="Arial"/>
          <w:b/>
          <w:color w:val="000000"/>
          <w:sz w:val="20"/>
          <w:szCs w:val="20"/>
          <w:shd w:val="clear" w:color="auto" w:fill="FFFFFF"/>
        </w:rPr>
        <w:t>. Consulta. Contratos Administrativos. Agência de publicidade. Proprietário. Vereador. Vedação. Sanções.</w:t>
      </w:r>
    </w:p>
    <w:p w:rsidR="00137838" w:rsidRDefault="00137838" w:rsidP="00137838">
      <w:pPr>
        <w:autoSpaceDE w:val="0"/>
        <w:autoSpaceDN w:val="0"/>
        <w:adjustRightInd w:val="0"/>
        <w:spacing w:after="0"/>
        <w:jc w:val="both"/>
        <w:rPr>
          <w:rFonts w:ascii="Arial" w:hAnsi="Arial" w:cs="Arial"/>
          <w:sz w:val="20"/>
          <w:szCs w:val="20"/>
        </w:rPr>
      </w:pPr>
    </w:p>
    <w:p w:rsidR="00912657" w:rsidRPr="00327311" w:rsidRDefault="00912657" w:rsidP="00137838">
      <w:pPr>
        <w:autoSpaceDE w:val="0"/>
        <w:autoSpaceDN w:val="0"/>
        <w:adjustRightInd w:val="0"/>
        <w:spacing w:after="0"/>
        <w:jc w:val="both"/>
        <w:rPr>
          <w:rFonts w:ascii="Arial" w:hAnsi="Arial" w:cs="Arial"/>
          <w:sz w:val="20"/>
          <w:szCs w:val="20"/>
        </w:rPr>
      </w:pPr>
      <w:r w:rsidRPr="00327311">
        <w:rPr>
          <w:rFonts w:ascii="Arial" w:hAnsi="Arial" w:cs="Arial"/>
          <w:sz w:val="20"/>
          <w:szCs w:val="20"/>
        </w:rPr>
        <w:t>Em Consulta formulada a esta Corte de Contas foram levantados os seguintes questionamentos:</w:t>
      </w:r>
    </w:p>
    <w:p w:rsidR="00137838" w:rsidRDefault="00137838" w:rsidP="00137838">
      <w:pPr>
        <w:autoSpaceDE w:val="0"/>
        <w:autoSpaceDN w:val="0"/>
        <w:adjustRightInd w:val="0"/>
        <w:spacing w:after="0"/>
        <w:jc w:val="both"/>
        <w:rPr>
          <w:rFonts w:ascii="Arial" w:hAnsi="Arial" w:cs="Arial"/>
          <w:sz w:val="20"/>
          <w:szCs w:val="20"/>
        </w:rPr>
      </w:pPr>
    </w:p>
    <w:p w:rsidR="00912657" w:rsidRPr="000F55B0" w:rsidRDefault="00912657" w:rsidP="00137838">
      <w:pPr>
        <w:autoSpaceDE w:val="0"/>
        <w:autoSpaceDN w:val="0"/>
        <w:adjustRightInd w:val="0"/>
        <w:spacing w:after="0"/>
        <w:jc w:val="both"/>
        <w:rPr>
          <w:rFonts w:ascii="Arial" w:hAnsi="Arial" w:cs="Arial"/>
          <w:sz w:val="20"/>
          <w:szCs w:val="20"/>
        </w:rPr>
      </w:pPr>
      <w:r w:rsidRPr="000F55B0">
        <w:rPr>
          <w:rFonts w:ascii="Arial" w:hAnsi="Arial" w:cs="Arial"/>
          <w:sz w:val="20"/>
          <w:szCs w:val="20"/>
        </w:rPr>
        <w:t xml:space="preserve">Uma Prefeitura ou Câmara Municipal, que possui contrato com agência especializada de publicidade, por meio de devido processo licitatório, poderá veicular inserções de publicidade institucional em veículo de comunicação social que mantém vereador em seu quadro funcional, exercendo função remunerada? Quais seriam as sanções impostas, na hipótese de pagamento em razão da efetiva inserção da referida publicidade, ao ordenador de despesa, ao vereador, à agência de publicidade e ao veículo de comunicação? </w:t>
      </w:r>
    </w:p>
    <w:p w:rsidR="00137838" w:rsidRDefault="0013783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t>Este Tribunal de Contas proferiu as seguintes respostas, respectivamente, em julgado com força normativa:</w:t>
      </w:r>
    </w:p>
    <w:p w:rsidR="00137838" w:rsidRDefault="00137838" w:rsidP="00137838">
      <w:pPr>
        <w:autoSpaceDE w:val="0"/>
        <w:autoSpaceDN w:val="0"/>
        <w:adjustRightInd w:val="0"/>
        <w:spacing w:after="0"/>
        <w:jc w:val="both"/>
        <w:rPr>
          <w:rFonts w:ascii="Arial" w:hAnsi="Arial" w:cs="Arial"/>
          <w:sz w:val="20"/>
          <w:szCs w:val="20"/>
        </w:rPr>
      </w:pPr>
    </w:p>
    <w:p w:rsidR="00912657" w:rsidRPr="000F55B0" w:rsidRDefault="00912657" w:rsidP="00137838">
      <w:pPr>
        <w:autoSpaceDE w:val="0"/>
        <w:autoSpaceDN w:val="0"/>
        <w:adjustRightInd w:val="0"/>
        <w:spacing w:after="0"/>
        <w:jc w:val="both"/>
        <w:rPr>
          <w:rFonts w:ascii="Arial" w:hAnsi="Arial" w:cs="Arial"/>
          <w:sz w:val="20"/>
          <w:szCs w:val="20"/>
        </w:rPr>
      </w:pPr>
      <w:r w:rsidRPr="000F55B0">
        <w:rPr>
          <w:rFonts w:ascii="Arial" w:hAnsi="Arial" w:cs="Arial"/>
          <w:sz w:val="20"/>
          <w:szCs w:val="20"/>
        </w:rPr>
        <w:t>A manutenção de contratação de veículo de comunicação, em que vereador seja proprietário, controlador ou diretor, ou nela exerça função remunerada seja diretamente pela administração pública ou por agência de publicidade a seu serviço, configura violação aos princípios da isonomia, impessoalidade, moralidade e inobservância às vedações previstas no art. 54, II, “a”, da Constituição Federal e no art. 58, II, “a”, da Constituição do Estado do Paraná.</w:t>
      </w:r>
    </w:p>
    <w:p w:rsidR="00137838" w:rsidRDefault="00137838" w:rsidP="00137838">
      <w:pPr>
        <w:autoSpaceDE w:val="0"/>
        <w:autoSpaceDN w:val="0"/>
        <w:adjustRightInd w:val="0"/>
        <w:spacing w:after="0"/>
        <w:jc w:val="both"/>
        <w:rPr>
          <w:rFonts w:ascii="Arial" w:hAnsi="Arial" w:cs="Arial"/>
          <w:sz w:val="20"/>
          <w:szCs w:val="20"/>
        </w:rPr>
      </w:pPr>
    </w:p>
    <w:p w:rsidR="00912657" w:rsidRPr="000F55B0" w:rsidRDefault="00912657" w:rsidP="00137838">
      <w:pPr>
        <w:autoSpaceDE w:val="0"/>
        <w:autoSpaceDN w:val="0"/>
        <w:adjustRightInd w:val="0"/>
        <w:spacing w:after="0"/>
        <w:jc w:val="both"/>
        <w:rPr>
          <w:rFonts w:ascii="Arial" w:hAnsi="Arial" w:cs="Arial"/>
          <w:sz w:val="20"/>
          <w:szCs w:val="20"/>
        </w:rPr>
      </w:pPr>
      <w:r w:rsidRPr="000F55B0">
        <w:rPr>
          <w:rFonts w:ascii="Arial" w:hAnsi="Arial" w:cs="Arial"/>
          <w:sz w:val="20"/>
          <w:szCs w:val="20"/>
        </w:rPr>
        <w:t>A aplicação de sanção depende da análise do caso concreto e dos elementos subjetivos atinentes às condutas individuais de cada agente que tenha concorrido ou dado causa ao resultado. Entretanto, a violação das normas expostas na resposta anterior poderá ensejar a aplicação de sanções descritas em norma local ou outro diploma legal ou constitucional</w:t>
      </w:r>
      <w:r>
        <w:rPr>
          <w:rFonts w:ascii="Arial" w:hAnsi="Arial" w:cs="Arial"/>
          <w:sz w:val="20"/>
          <w:szCs w:val="20"/>
        </w:rPr>
        <w:t>.</w:t>
      </w:r>
    </w:p>
    <w:p w:rsidR="00137838" w:rsidRDefault="0013783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sz w:val="20"/>
          <w:szCs w:val="20"/>
        </w:rPr>
        <w:t xml:space="preserve">Processo n° 379580/17 - </w:t>
      </w:r>
      <w:hyperlink r:id="rId14" w:history="1">
        <w:r w:rsidRPr="0097144A">
          <w:rPr>
            <w:rStyle w:val="Hyperlink"/>
            <w:rFonts w:ascii="Arial" w:hAnsi="Arial" w:cs="Arial"/>
            <w:sz w:val="20"/>
            <w:szCs w:val="20"/>
          </w:rPr>
          <w:t>Acórdão 2596/18 - Tribunal Pleno</w:t>
        </w:r>
      </w:hyperlink>
      <w:r>
        <w:rPr>
          <w:rFonts w:ascii="Arial" w:hAnsi="Arial" w:cs="Arial"/>
          <w:sz w:val="20"/>
          <w:szCs w:val="20"/>
        </w:rPr>
        <w:t xml:space="preserve"> - Rel. Conselheiro Nestor Baptista.</w:t>
      </w:r>
    </w:p>
    <w:p w:rsidR="00912657" w:rsidRDefault="00912657" w:rsidP="00137838">
      <w:pPr>
        <w:tabs>
          <w:tab w:val="left" w:pos="1578"/>
        </w:tabs>
        <w:autoSpaceDE w:val="0"/>
        <w:autoSpaceDN w:val="0"/>
        <w:adjustRightInd w:val="0"/>
        <w:spacing w:after="0"/>
        <w:jc w:val="both"/>
        <w:rPr>
          <w:rFonts w:ascii="Arial" w:hAnsi="Arial" w:cs="Arial"/>
          <w:b/>
          <w:color w:val="000000"/>
          <w:sz w:val="20"/>
          <w:szCs w:val="20"/>
          <w:shd w:val="clear" w:color="auto" w:fill="FFFFFF"/>
        </w:rPr>
      </w:pPr>
    </w:p>
    <w:p w:rsidR="00912657" w:rsidRDefault="00053172" w:rsidP="00137838">
      <w:pPr>
        <w:tabs>
          <w:tab w:val="left" w:pos="1578"/>
        </w:tabs>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8</w:t>
      </w:r>
      <w:r w:rsidR="00912657">
        <w:rPr>
          <w:rFonts w:ascii="Arial" w:hAnsi="Arial" w:cs="Arial"/>
          <w:b/>
          <w:color w:val="000000"/>
          <w:sz w:val="20"/>
          <w:szCs w:val="20"/>
          <w:shd w:val="clear" w:color="auto" w:fill="FFFFFF"/>
        </w:rPr>
        <w:t>. Consulta. Licitação. Contratação direta. Medicamentos. Credenciamento de farmácias e drogarias. Inviabilidade de Competição. Justificativa de preço.</w:t>
      </w:r>
    </w:p>
    <w:p w:rsidR="00137838" w:rsidRDefault="00137838" w:rsidP="00137838">
      <w:pPr>
        <w:autoSpaceDE w:val="0"/>
        <w:autoSpaceDN w:val="0"/>
        <w:adjustRightInd w:val="0"/>
        <w:spacing w:after="0"/>
        <w:jc w:val="both"/>
        <w:rPr>
          <w:rFonts w:ascii="Arial" w:hAnsi="Arial" w:cs="Arial"/>
          <w:sz w:val="20"/>
          <w:szCs w:val="20"/>
        </w:rPr>
      </w:pPr>
    </w:p>
    <w:p w:rsidR="00912657" w:rsidRDefault="00912657" w:rsidP="00137838">
      <w:pPr>
        <w:autoSpaceDE w:val="0"/>
        <w:autoSpaceDN w:val="0"/>
        <w:adjustRightInd w:val="0"/>
        <w:spacing w:after="0"/>
        <w:jc w:val="both"/>
        <w:rPr>
          <w:rFonts w:ascii="Arial" w:hAnsi="Arial" w:cs="Arial"/>
          <w:sz w:val="20"/>
          <w:szCs w:val="20"/>
        </w:rPr>
      </w:pPr>
      <w:r w:rsidRPr="00515840">
        <w:rPr>
          <w:rFonts w:ascii="Arial" w:hAnsi="Arial" w:cs="Arial"/>
          <w:sz w:val="20"/>
          <w:szCs w:val="20"/>
        </w:rPr>
        <w:t xml:space="preserve">Não é viável a realização de processo de inexigibilidade de licitação, por meio de credenciamento de farmácias, para fornecimento de medicamentos à população, que não são distribuídos diretamente na farmácia básica municipal, diante da não verificação dos requisitos da </w:t>
      </w:r>
      <w:r w:rsidRPr="00515840">
        <w:rPr>
          <w:rFonts w:ascii="Arial" w:hAnsi="Arial" w:cs="Arial"/>
          <w:sz w:val="20"/>
          <w:szCs w:val="20"/>
        </w:rPr>
        <w:lastRenderedPageBreak/>
        <w:t xml:space="preserve">inviabilidade de competição e da ausência de </w:t>
      </w:r>
      <w:proofErr w:type="spellStart"/>
      <w:r w:rsidRPr="00515840">
        <w:rPr>
          <w:rFonts w:ascii="Arial" w:hAnsi="Arial" w:cs="Arial"/>
          <w:sz w:val="20"/>
          <w:szCs w:val="20"/>
        </w:rPr>
        <w:t>excludência</w:t>
      </w:r>
      <w:proofErr w:type="spellEnd"/>
      <w:r w:rsidRPr="00515840">
        <w:rPr>
          <w:rFonts w:ascii="Arial" w:hAnsi="Arial" w:cs="Arial"/>
          <w:sz w:val="20"/>
          <w:szCs w:val="20"/>
        </w:rPr>
        <w:t xml:space="preserve"> de interesses entr</w:t>
      </w:r>
      <w:r>
        <w:rPr>
          <w:rFonts w:ascii="Arial" w:hAnsi="Arial" w:cs="Arial"/>
          <w:sz w:val="20"/>
          <w:szCs w:val="20"/>
        </w:rPr>
        <w:t xml:space="preserve">e os possíveis contratantes. </w:t>
      </w:r>
    </w:p>
    <w:p w:rsidR="00137838" w:rsidRDefault="00137838" w:rsidP="00137838">
      <w:pPr>
        <w:autoSpaceDE w:val="0"/>
        <w:autoSpaceDN w:val="0"/>
        <w:adjustRightInd w:val="0"/>
        <w:spacing w:after="0"/>
        <w:jc w:val="both"/>
        <w:rPr>
          <w:rFonts w:ascii="Arial" w:hAnsi="Arial" w:cs="Arial"/>
          <w:sz w:val="20"/>
          <w:szCs w:val="20"/>
        </w:rPr>
      </w:pPr>
    </w:p>
    <w:p w:rsidR="00912657" w:rsidRPr="00515840" w:rsidRDefault="00912657" w:rsidP="00137838">
      <w:pPr>
        <w:autoSpaceDE w:val="0"/>
        <w:autoSpaceDN w:val="0"/>
        <w:adjustRightInd w:val="0"/>
        <w:spacing w:after="0"/>
        <w:jc w:val="both"/>
        <w:rPr>
          <w:rFonts w:ascii="Arial" w:hAnsi="Arial" w:cs="Arial"/>
          <w:sz w:val="20"/>
          <w:szCs w:val="20"/>
        </w:rPr>
      </w:pPr>
      <w:r w:rsidRPr="00515840">
        <w:rPr>
          <w:rFonts w:ascii="Arial" w:hAnsi="Arial" w:cs="Arial"/>
          <w:sz w:val="20"/>
          <w:szCs w:val="20"/>
        </w:rPr>
        <w:t>Recomenda-se a utilização do Sistema de Registro de Preços pela modalidade Pregão, para a aquisição de medicamentos que não estão disponíveis na farmácia básica e que não podem ser mantidos em estoque, uma vez que, mediante uma única licitação, admite o registro de preços de diversos itens, para aquisição futura e entrega parcelada, valorizando a melhor contratação para a Administração</w:t>
      </w:r>
      <w:r>
        <w:rPr>
          <w:rFonts w:ascii="Arial" w:hAnsi="Arial" w:cs="Arial"/>
          <w:sz w:val="20"/>
          <w:szCs w:val="20"/>
        </w:rPr>
        <w:t>.</w:t>
      </w:r>
    </w:p>
    <w:p w:rsidR="00137838" w:rsidRDefault="00137838" w:rsidP="00137838">
      <w:pPr>
        <w:autoSpaceDE w:val="0"/>
        <w:autoSpaceDN w:val="0"/>
        <w:adjustRightInd w:val="0"/>
        <w:spacing w:after="0"/>
        <w:jc w:val="both"/>
        <w:rPr>
          <w:rFonts w:ascii="Arial" w:hAnsi="Arial" w:cs="Arial"/>
          <w:sz w:val="20"/>
          <w:szCs w:val="20"/>
        </w:rPr>
      </w:pPr>
    </w:p>
    <w:p w:rsidR="00912657" w:rsidRPr="008F5808" w:rsidRDefault="00912657" w:rsidP="0013783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467594/17 - </w:t>
      </w:r>
      <w:hyperlink r:id="rId15" w:history="1">
        <w:r w:rsidRPr="00041938">
          <w:rPr>
            <w:rStyle w:val="Hyperlink"/>
            <w:rFonts w:ascii="Arial" w:hAnsi="Arial" w:cs="Arial"/>
            <w:sz w:val="20"/>
            <w:szCs w:val="20"/>
          </w:rPr>
          <w:t xml:space="preserve">Acórdão n° 2630/18 </w:t>
        </w:r>
        <w:r w:rsidR="00053172">
          <w:rPr>
            <w:rStyle w:val="Hyperlink"/>
            <w:rFonts w:ascii="Arial" w:hAnsi="Arial" w:cs="Arial"/>
            <w:sz w:val="20"/>
            <w:szCs w:val="20"/>
          </w:rPr>
          <w:t>-</w:t>
        </w:r>
        <w:r w:rsidRPr="00041938">
          <w:rPr>
            <w:rStyle w:val="Hyperlink"/>
            <w:rFonts w:ascii="Arial" w:hAnsi="Arial" w:cs="Arial"/>
            <w:sz w:val="20"/>
            <w:szCs w:val="20"/>
          </w:rPr>
          <w:t xml:space="preserve"> Tribunal Pleno</w:t>
        </w:r>
      </w:hyperlink>
      <w:r>
        <w:rPr>
          <w:rFonts w:ascii="Arial" w:hAnsi="Arial" w:cs="Arial"/>
          <w:sz w:val="20"/>
          <w:szCs w:val="20"/>
        </w:rPr>
        <w:t xml:space="preserve"> - Rel. Cons. Ivens Zschoerper Linhares.</w:t>
      </w:r>
    </w:p>
    <w:p w:rsidR="00912657" w:rsidRDefault="00912657" w:rsidP="00137838">
      <w:pPr>
        <w:autoSpaceDE w:val="0"/>
        <w:autoSpaceDN w:val="0"/>
        <w:adjustRightInd w:val="0"/>
        <w:spacing w:after="0"/>
        <w:jc w:val="both"/>
        <w:rPr>
          <w:rFonts w:ascii="Arial" w:hAnsi="Arial" w:cs="Arial"/>
          <w:b/>
          <w:sz w:val="20"/>
          <w:szCs w:val="20"/>
        </w:rPr>
      </w:pPr>
    </w:p>
    <w:p w:rsidR="007B5A09" w:rsidRDefault="00053172" w:rsidP="00137838">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912657">
        <w:rPr>
          <w:rFonts w:ascii="Arial" w:hAnsi="Arial" w:cs="Arial"/>
          <w:b/>
          <w:sz w:val="20"/>
          <w:szCs w:val="20"/>
        </w:rPr>
        <w:t xml:space="preserve">. </w:t>
      </w:r>
      <w:r w:rsidR="007B5A09" w:rsidRPr="007B5A09">
        <w:rPr>
          <w:rFonts w:ascii="Arial" w:hAnsi="Arial" w:cs="Arial"/>
          <w:b/>
          <w:sz w:val="20"/>
          <w:szCs w:val="20"/>
        </w:rPr>
        <w:t xml:space="preserve">Denúncia. Criação de Banco de Horas mediante Despacho. Ausência de previsão legal. Iminente vigência do decreto. </w:t>
      </w:r>
      <w:r w:rsidR="007B5A09" w:rsidRPr="007B5A09">
        <w:rPr>
          <w:rFonts w:ascii="Arial" w:hAnsi="Arial" w:cs="Arial"/>
          <w:b/>
          <w:i/>
          <w:sz w:val="20"/>
          <w:szCs w:val="20"/>
        </w:rPr>
        <w:t xml:space="preserve">Periculum in mora e </w:t>
      </w:r>
      <w:proofErr w:type="spellStart"/>
      <w:r w:rsidR="007B5A09" w:rsidRPr="007B5A09">
        <w:rPr>
          <w:rFonts w:ascii="Arial" w:hAnsi="Arial" w:cs="Arial"/>
          <w:b/>
          <w:i/>
          <w:sz w:val="20"/>
          <w:szCs w:val="20"/>
        </w:rPr>
        <w:t>Fummus</w:t>
      </w:r>
      <w:proofErr w:type="spellEnd"/>
      <w:r w:rsidR="007B5A09" w:rsidRPr="007B5A09">
        <w:rPr>
          <w:rFonts w:ascii="Arial" w:hAnsi="Arial" w:cs="Arial"/>
          <w:b/>
          <w:i/>
          <w:sz w:val="20"/>
          <w:szCs w:val="20"/>
        </w:rPr>
        <w:t xml:space="preserve"> Boni Iuris</w:t>
      </w:r>
      <w:r w:rsidR="007B5A09" w:rsidRPr="007B5A09">
        <w:rPr>
          <w:rFonts w:ascii="Arial" w:hAnsi="Arial" w:cs="Arial"/>
          <w:b/>
          <w:sz w:val="20"/>
          <w:szCs w:val="20"/>
        </w:rPr>
        <w:t>. Concessão de medida cautelar. Homologação da referida decisão pelo Plenário da Corte.</w:t>
      </w:r>
    </w:p>
    <w:p w:rsidR="007B5A09" w:rsidRDefault="007B5A09" w:rsidP="00137838">
      <w:pPr>
        <w:autoSpaceDE w:val="0"/>
        <w:autoSpaceDN w:val="0"/>
        <w:adjustRightInd w:val="0"/>
        <w:spacing w:after="0"/>
        <w:jc w:val="both"/>
        <w:rPr>
          <w:rFonts w:ascii="Arial" w:hAnsi="Arial" w:cs="Arial"/>
          <w:b/>
          <w:sz w:val="20"/>
          <w:szCs w:val="20"/>
        </w:rPr>
      </w:pPr>
    </w:p>
    <w:p w:rsidR="0026510B" w:rsidRPr="00A07FA7" w:rsidRDefault="00211F9A" w:rsidP="00137838">
      <w:pPr>
        <w:autoSpaceDE w:val="0"/>
        <w:autoSpaceDN w:val="0"/>
        <w:adjustRightInd w:val="0"/>
        <w:spacing w:after="0"/>
        <w:jc w:val="both"/>
        <w:rPr>
          <w:rFonts w:ascii="Arial" w:hAnsi="Arial" w:cs="Arial"/>
          <w:sz w:val="20"/>
          <w:szCs w:val="20"/>
        </w:rPr>
      </w:pPr>
      <w:r w:rsidRPr="00A07FA7">
        <w:rPr>
          <w:rFonts w:ascii="Arial" w:hAnsi="Arial" w:cs="Arial"/>
          <w:sz w:val="20"/>
          <w:szCs w:val="20"/>
        </w:rPr>
        <w:t>H</w:t>
      </w:r>
      <w:r w:rsidR="007B5A09" w:rsidRPr="00A07FA7">
        <w:rPr>
          <w:rFonts w:ascii="Arial" w:hAnsi="Arial" w:cs="Arial"/>
          <w:sz w:val="20"/>
          <w:szCs w:val="20"/>
        </w:rPr>
        <w:t>á</w:t>
      </w:r>
      <w:r w:rsidRPr="00A07FA7">
        <w:rPr>
          <w:rFonts w:ascii="Arial" w:hAnsi="Arial" w:cs="Arial"/>
          <w:sz w:val="20"/>
          <w:szCs w:val="20"/>
        </w:rPr>
        <w:t xml:space="preserve"> </w:t>
      </w:r>
      <w:r w:rsidR="007B5A09" w:rsidRPr="00A07FA7">
        <w:rPr>
          <w:rFonts w:ascii="Arial" w:hAnsi="Arial" w:cs="Arial"/>
          <w:sz w:val="20"/>
          <w:szCs w:val="20"/>
        </w:rPr>
        <w:t xml:space="preserve">indícios de que </w:t>
      </w:r>
      <w:r w:rsidR="002C3811" w:rsidRPr="00A07FA7">
        <w:rPr>
          <w:rFonts w:ascii="Arial" w:hAnsi="Arial" w:cs="Arial"/>
          <w:sz w:val="20"/>
          <w:szCs w:val="20"/>
        </w:rPr>
        <w:t>a urbe</w:t>
      </w:r>
      <w:r w:rsidR="007B5A09" w:rsidRPr="00A07FA7">
        <w:rPr>
          <w:rFonts w:ascii="Arial" w:hAnsi="Arial" w:cs="Arial"/>
          <w:sz w:val="20"/>
          <w:szCs w:val="20"/>
        </w:rPr>
        <w:t>, sem fundamento legal, criou banco de horas no âmbito do Executivo Municipal, em afronta ao princípio da legalidade. Embora a municipalidade tenha alegado que o fez mediante o Decreto nº 929/2018, o qual supostamente regulamentaria a Lei Complementar Municipal nº 239/1998 (Estatuto do Servidor de Maringá</w:t>
      </w:r>
      <w:r w:rsidR="00A07FA7" w:rsidRPr="00A07FA7">
        <w:rPr>
          <w:rFonts w:ascii="Arial" w:hAnsi="Arial" w:cs="Arial"/>
          <w:sz w:val="20"/>
          <w:szCs w:val="20"/>
        </w:rPr>
        <w:t xml:space="preserve"> - Art. 32</w:t>
      </w:r>
      <w:r w:rsidR="007B5A09" w:rsidRPr="00A07FA7">
        <w:rPr>
          <w:rFonts w:ascii="Arial" w:hAnsi="Arial" w:cs="Arial"/>
          <w:sz w:val="20"/>
          <w:szCs w:val="20"/>
        </w:rPr>
        <w:t>)</w:t>
      </w:r>
      <w:r w:rsidR="00A07FA7" w:rsidRPr="00A07FA7">
        <w:rPr>
          <w:rFonts w:ascii="Arial" w:hAnsi="Arial" w:cs="Arial"/>
          <w:sz w:val="20"/>
          <w:szCs w:val="20"/>
        </w:rPr>
        <w:t xml:space="preserve">. Em juízo </w:t>
      </w:r>
      <w:r w:rsidR="007B5A09" w:rsidRPr="00A07FA7">
        <w:rPr>
          <w:rFonts w:ascii="Arial" w:hAnsi="Arial" w:cs="Arial"/>
          <w:sz w:val="20"/>
          <w:szCs w:val="20"/>
        </w:rPr>
        <w:t xml:space="preserve">de cognição sumária, </w:t>
      </w:r>
      <w:r w:rsidR="00A07FA7" w:rsidRPr="00A07FA7">
        <w:rPr>
          <w:rFonts w:ascii="Arial" w:hAnsi="Arial" w:cs="Arial"/>
          <w:sz w:val="20"/>
          <w:szCs w:val="20"/>
        </w:rPr>
        <w:t xml:space="preserve">nota-se </w:t>
      </w:r>
      <w:r w:rsidR="007B5A09" w:rsidRPr="00A07FA7">
        <w:rPr>
          <w:rFonts w:ascii="Arial" w:hAnsi="Arial" w:cs="Arial"/>
          <w:sz w:val="20"/>
          <w:szCs w:val="20"/>
        </w:rPr>
        <w:t>que o conteúdo da referida lei não alberga a criação de um sistema de compensação por banco de horas</w:t>
      </w:r>
      <w:r w:rsidR="00A07FA7" w:rsidRPr="00A07FA7">
        <w:rPr>
          <w:rFonts w:ascii="Arial" w:hAnsi="Arial" w:cs="Arial"/>
          <w:sz w:val="20"/>
          <w:szCs w:val="20"/>
        </w:rPr>
        <w:t>.</w:t>
      </w:r>
    </w:p>
    <w:p w:rsidR="00A07FA7" w:rsidRPr="00A07FA7" w:rsidRDefault="00A07FA7" w:rsidP="00137838">
      <w:pPr>
        <w:autoSpaceDE w:val="0"/>
        <w:autoSpaceDN w:val="0"/>
        <w:adjustRightInd w:val="0"/>
        <w:spacing w:after="0"/>
        <w:jc w:val="both"/>
        <w:rPr>
          <w:rFonts w:ascii="Arial" w:hAnsi="Arial" w:cs="Arial"/>
          <w:sz w:val="20"/>
          <w:szCs w:val="20"/>
        </w:rPr>
      </w:pPr>
    </w:p>
    <w:p w:rsidR="00A07FA7" w:rsidRPr="00A07FA7" w:rsidRDefault="00A07FA7" w:rsidP="00137838">
      <w:pPr>
        <w:autoSpaceDE w:val="0"/>
        <w:autoSpaceDN w:val="0"/>
        <w:adjustRightInd w:val="0"/>
        <w:spacing w:after="0"/>
        <w:jc w:val="both"/>
        <w:rPr>
          <w:rFonts w:ascii="Arial" w:hAnsi="Arial" w:cs="Arial"/>
          <w:sz w:val="20"/>
          <w:szCs w:val="20"/>
        </w:rPr>
      </w:pPr>
      <w:r w:rsidRPr="00A07FA7">
        <w:rPr>
          <w:rFonts w:ascii="Arial" w:hAnsi="Arial" w:cs="Arial"/>
          <w:sz w:val="20"/>
          <w:szCs w:val="20"/>
        </w:rPr>
        <w:t>Depreende-se do conteúdo legislativo supracitado que a municipalidade autorizou, desde a edição da lei, a instituição de jornada de trabalho diferenciada, o que ao meu ver representaria uma possibilidade de flexibilização de horários de trabalho, revezamentos e escalas diferenciadas no âmbito do município, em conformidade com o serviço público prestado.</w:t>
      </w:r>
    </w:p>
    <w:p w:rsidR="00211F9A" w:rsidRPr="00A07FA7" w:rsidRDefault="00211F9A" w:rsidP="00137838">
      <w:pPr>
        <w:autoSpaceDE w:val="0"/>
        <w:autoSpaceDN w:val="0"/>
        <w:adjustRightInd w:val="0"/>
        <w:spacing w:after="0"/>
        <w:jc w:val="both"/>
        <w:rPr>
          <w:rFonts w:ascii="Arial" w:hAnsi="Arial" w:cs="Arial"/>
          <w:sz w:val="20"/>
          <w:szCs w:val="20"/>
        </w:rPr>
      </w:pPr>
    </w:p>
    <w:p w:rsidR="00A07FA7" w:rsidRDefault="00A07FA7" w:rsidP="00137838">
      <w:pPr>
        <w:autoSpaceDE w:val="0"/>
        <w:autoSpaceDN w:val="0"/>
        <w:adjustRightInd w:val="0"/>
        <w:spacing w:after="0"/>
        <w:jc w:val="both"/>
        <w:rPr>
          <w:rFonts w:ascii="Arial" w:hAnsi="Arial" w:cs="Arial"/>
          <w:sz w:val="20"/>
          <w:szCs w:val="20"/>
        </w:rPr>
      </w:pPr>
      <w:r w:rsidRPr="00A07FA7">
        <w:rPr>
          <w:rFonts w:ascii="Arial" w:hAnsi="Arial" w:cs="Arial"/>
          <w:sz w:val="20"/>
          <w:szCs w:val="20"/>
        </w:rPr>
        <w:t xml:space="preserve">A criação do banco de horas, por outro lado, parece extrapolar esta noção “jornada de trabalho diferenciada”, podendo, inclusive, causar futuros reflexos pecuniários para o ente público denunciado. </w:t>
      </w:r>
      <w:r>
        <w:rPr>
          <w:rFonts w:ascii="Arial" w:hAnsi="Arial" w:cs="Arial"/>
          <w:sz w:val="20"/>
          <w:szCs w:val="20"/>
        </w:rPr>
        <w:t xml:space="preserve">Nota-se que o </w:t>
      </w:r>
      <w:r w:rsidRPr="00A07FA7">
        <w:rPr>
          <w:rFonts w:ascii="Arial" w:hAnsi="Arial" w:cs="Arial"/>
          <w:sz w:val="20"/>
          <w:szCs w:val="20"/>
        </w:rPr>
        <w:t>tema “banco de horas” não é tratado em nenhuma ocasião ou hipótese pela lei municipal, motivo pelo qual reput</w:t>
      </w:r>
      <w:r>
        <w:rPr>
          <w:rFonts w:ascii="Arial" w:hAnsi="Arial" w:cs="Arial"/>
          <w:sz w:val="20"/>
          <w:szCs w:val="20"/>
        </w:rPr>
        <w:t xml:space="preserve">a-se </w:t>
      </w:r>
      <w:r w:rsidRPr="00A07FA7">
        <w:rPr>
          <w:rFonts w:ascii="Arial" w:hAnsi="Arial" w:cs="Arial"/>
          <w:sz w:val="20"/>
          <w:szCs w:val="20"/>
        </w:rPr>
        <w:t xml:space="preserve">necessário o recebimento do feito para apurar se a instituição do sistema compensatório de banco de horas, mediante Decreto, violou o princípio da legalidade. </w:t>
      </w:r>
    </w:p>
    <w:p w:rsidR="00A07FA7" w:rsidRDefault="00A07FA7" w:rsidP="00137838">
      <w:pPr>
        <w:autoSpaceDE w:val="0"/>
        <w:autoSpaceDN w:val="0"/>
        <w:adjustRightInd w:val="0"/>
        <w:spacing w:after="0"/>
        <w:jc w:val="both"/>
        <w:rPr>
          <w:rFonts w:ascii="Arial" w:hAnsi="Arial" w:cs="Arial"/>
          <w:sz w:val="20"/>
          <w:szCs w:val="20"/>
        </w:rPr>
      </w:pPr>
    </w:p>
    <w:p w:rsidR="00A07FA7" w:rsidRDefault="00A07FA7" w:rsidP="00137838">
      <w:pPr>
        <w:autoSpaceDE w:val="0"/>
        <w:autoSpaceDN w:val="0"/>
        <w:adjustRightInd w:val="0"/>
        <w:spacing w:after="0"/>
        <w:jc w:val="both"/>
        <w:rPr>
          <w:rFonts w:ascii="Arial" w:hAnsi="Arial" w:cs="Arial"/>
          <w:sz w:val="20"/>
          <w:szCs w:val="20"/>
        </w:rPr>
      </w:pPr>
      <w:proofErr w:type="gramStart"/>
      <w:r w:rsidRPr="00A07FA7">
        <w:rPr>
          <w:rFonts w:ascii="Arial" w:hAnsi="Arial" w:cs="Arial"/>
          <w:sz w:val="20"/>
          <w:szCs w:val="20"/>
        </w:rPr>
        <w:t>O</w:t>
      </w:r>
      <w:r>
        <w:rPr>
          <w:rFonts w:ascii="Arial" w:hAnsi="Arial" w:cs="Arial"/>
          <w:sz w:val="20"/>
          <w:szCs w:val="20"/>
        </w:rPr>
        <w:t xml:space="preserve"> </w:t>
      </w:r>
      <w:r w:rsidRPr="00A07FA7">
        <w:rPr>
          <w:rFonts w:ascii="Arial" w:hAnsi="Arial" w:cs="Arial"/>
          <w:sz w:val="20"/>
          <w:szCs w:val="20"/>
        </w:rPr>
        <w:t>denunciante pugn</w:t>
      </w:r>
      <w:r>
        <w:rPr>
          <w:rFonts w:ascii="Arial" w:hAnsi="Arial" w:cs="Arial"/>
          <w:sz w:val="20"/>
          <w:szCs w:val="20"/>
        </w:rPr>
        <w:t>a</w:t>
      </w:r>
      <w:proofErr w:type="gramEnd"/>
      <w:r>
        <w:rPr>
          <w:rFonts w:ascii="Arial" w:hAnsi="Arial" w:cs="Arial"/>
          <w:sz w:val="20"/>
          <w:szCs w:val="20"/>
        </w:rPr>
        <w:t xml:space="preserve">, ainda </w:t>
      </w:r>
      <w:r w:rsidRPr="00A07FA7">
        <w:rPr>
          <w:rFonts w:ascii="Arial" w:hAnsi="Arial" w:cs="Arial"/>
          <w:sz w:val="20"/>
          <w:szCs w:val="20"/>
        </w:rPr>
        <w:t>pela suspensão cautelar dos efeitos do Decreto Municipal nº 929/18, o qual entrará em vigor em 1º de outubro de 2018</w:t>
      </w:r>
      <w:r>
        <w:rPr>
          <w:rFonts w:ascii="Arial" w:hAnsi="Arial" w:cs="Arial"/>
          <w:sz w:val="20"/>
          <w:szCs w:val="20"/>
        </w:rPr>
        <w:t xml:space="preserve">. </w:t>
      </w:r>
      <w:r w:rsidRPr="00A07FA7">
        <w:rPr>
          <w:rFonts w:ascii="Arial" w:hAnsi="Arial" w:cs="Arial"/>
          <w:sz w:val="20"/>
          <w:szCs w:val="20"/>
        </w:rPr>
        <w:t xml:space="preserve"> </w:t>
      </w:r>
      <w:r>
        <w:rPr>
          <w:rFonts w:ascii="Arial" w:hAnsi="Arial" w:cs="Arial"/>
          <w:sz w:val="20"/>
          <w:szCs w:val="20"/>
        </w:rPr>
        <w:t xml:space="preserve">Verifica-se </w:t>
      </w:r>
      <w:r w:rsidRPr="00A07FA7">
        <w:rPr>
          <w:rFonts w:ascii="Arial" w:hAnsi="Arial" w:cs="Arial"/>
          <w:sz w:val="20"/>
          <w:szCs w:val="20"/>
        </w:rPr>
        <w:t xml:space="preserve">o preenchimento dos requisitos autorizadores da concessão da medida cautelar pleiteada. </w:t>
      </w:r>
    </w:p>
    <w:p w:rsidR="00A07FA7" w:rsidRDefault="00A07FA7" w:rsidP="00137838">
      <w:pPr>
        <w:autoSpaceDE w:val="0"/>
        <w:autoSpaceDN w:val="0"/>
        <w:adjustRightInd w:val="0"/>
        <w:spacing w:after="0"/>
        <w:jc w:val="both"/>
        <w:rPr>
          <w:rFonts w:ascii="Arial" w:hAnsi="Arial" w:cs="Arial"/>
          <w:sz w:val="20"/>
          <w:szCs w:val="20"/>
        </w:rPr>
      </w:pPr>
    </w:p>
    <w:p w:rsidR="00A07FA7" w:rsidRDefault="00A07FA7" w:rsidP="00137838">
      <w:pPr>
        <w:autoSpaceDE w:val="0"/>
        <w:autoSpaceDN w:val="0"/>
        <w:adjustRightInd w:val="0"/>
        <w:spacing w:after="0"/>
        <w:jc w:val="both"/>
        <w:rPr>
          <w:rFonts w:ascii="Arial" w:hAnsi="Arial" w:cs="Arial"/>
          <w:sz w:val="20"/>
          <w:szCs w:val="20"/>
        </w:rPr>
      </w:pPr>
      <w:r w:rsidRPr="00A07FA7">
        <w:rPr>
          <w:rFonts w:ascii="Arial" w:hAnsi="Arial" w:cs="Arial"/>
          <w:sz w:val="20"/>
          <w:szCs w:val="20"/>
        </w:rPr>
        <w:t xml:space="preserve">O </w:t>
      </w:r>
      <w:proofErr w:type="spellStart"/>
      <w:r w:rsidRPr="00A07FA7">
        <w:rPr>
          <w:rFonts w:ascii="Arial" w:hAnsi="Arial" w:cs="Arial"/>
          <w:i/>
          <w:sz w:val="20"/>
          <w:szCs w:val="20"/>
        </w:rPr>
        <w:t>fummus</w:t>
      </w:r>
      <w:proofErr w:type="spellEnd"/>
      <w:r w:rsidRPr="00A07FA7">
        <w:rPr>
          <w:rFonts w:ascii="Arial" w:hAnsi="Arial" w:cs="Arial"/>
          <w:i/>
          <w:sz w:val="20"/>
          <w:szCs w:val="20"/>
        </w:rPr>
        <w:t xml:space="preserve"> boni iuris</w:t>
      </w:r>
      <w:r w:rsidRPr="00A07FA7">
        <w:rPr>
          <w:rFonts w:ascii="Arial" w:hAnsi="Arial" w:cs="Arial"/>
          <w:sz w:val="20"/>
          <w:szCs w:val="20"/>
        </w:rPr>
        <w:t xml:space="preserve"> resta demonstrado na plausibilidade das alegações apresentadas pela parte denunciante, as quais foram integralmente recebidas</w:t>
      </w:r>
      <w:r>
        <w:rPr>
          <w:rFonts w:ascii="Arial" w:hAnsi="Arial" w:cs="Arial"/>
          <w:sz w:val="20"/>
          <w:szCs w:val="20"/>
        </w:rPr>
        <w:t xml:space="preserve">. </w:t>
      </w:r>
      <w:r w:rsidRPr="00A07FA7">
        <w:rPr>
          <w:rFonts w:ascii="Arial" w:hAnsi="Arial" w:cs="Arial"/>
          <w:sz w:val="20"/>
          <w:szCs w:val="20"/>
        </w:rPr>
        <w:t xml:space="preserve">Além disso, cumpre observar que no presente caso há grandes indícios de violação ao princípio constitucional da legalidade, o qual </w:t>
      </w:r>
      <w:r w:rsidRPr="00A07FA7">
        <w:rPr>
          <w:rFonts w:ascii="Arial" w:hAnsi="Arial" w:cs="Arial"/>
          <w:sz w:val="20"/>
          <w:szCs w:val="20"/>
        </w:rPr>
        <w:lastRenderedPageBreak/>
        <w:t xml:space="preserve">exige que a Administração se sujeite às normas legais, mormente quando os atos administrativos envolverem, ainda que possivelmente, mobilização de recursos públicos. </w:t>
      </w:r>
    </w:p>
    <w:p w:rsidR="00A07FA7" w:rsidRDefault="00A07FA7" w:rsidP="00137838">
      <w:pPr>
        <w:autoSpaceDE w:val="0"/>
        <w:autoSpaceDN w:val="0"/>
        <w:adjustRightInd w:val="0"/>
        <w:spacing w:after="0"/>
        <w:jc w:val="both"/>
        <w:rPr>
          <w:rFonts w:ascii="Arial" w:hAnsi="Arial" w:cs="Arial"/>
          <w:sz w:val="20"/>
          <w:szCs w:val="20"/>
        </w:rPr>
      </w:pPr>
    </w:p>
    <w:p w:rsidR="00F52526" w:rsidRDefault="00A07FA7" w:rsidP="00137838">
      <w:pPr>
        <w:autoSpaceDE w:val="0"/>
        <w:autoSpaceDN w:val="0"/>
        <w:adjustRightInd w:val="0"/>
        <w:spacing w:after="0"/>
        <w:jc w:val="both"/>
        <w:rPr>
          <w:rFonts w:ascii="Arial" w:hAnsi="Arial" w:cs="Arial"/>
          <w:sz w:val="20"/>
          <w:szCs w:val="20"/>
        </w:rPr>
      </w:pPr>
      <w:r w:rsidRPr="00A07FA7">
        <w:rPr>
          <w:rFonts w:ascii="Arial" w:hAnsi="Arial" w:cs="Arial"/>
          <w:sz w:val="20"/>
          <w:szCs w:val="20"/>
        </w:rPr>
        <w:t xml:space="preserve">O </w:t>
      </w:r>
      <w:r w:rsidRPr="00A07FA7">
        <w:rPr>
          <w:rFonts w:ascii="Arial" w:hAnsi="Arial" w:cs="Arial"/>
          <w:i/>
          <w:sz w:val="20"/>
          <w:szCs w:val="20"/>
        </w:rPr>
        <w:t>periculum in mora</w:t>
      </w:r>
      <w:r w:rsidRPr="00A07FA7">
        <w:rPr>
          <w:rFonts w:ascii="Arial" w:hAnsi="Arial" w:cs="Arial"/>
          <w:sz w:val="20"/>
          <w:szCs w:val="20"/>
        </w:rPr>
        <w:t>, por sua vez, também está caracterizado, já que o iminente início da vigência do Decreto, previsto para data de 1º de outubro do corrente ano, pode vir a trazer prejuízos ao ente público. Como destacou a</w:t>
      </w:r>
      <w:r w:rsidR="00F52526">
        <w:rPr>
          <w:rFonts w:ascii="Arial" w:hAnsi="Arial" w:cs="Arial"/>
          <w:sz w:val="20"/>
          <w:szCs w:val="20"/>
        </w:rPr>
        <w:t xml:space="preserve"> Unidade Técnica </w:t>
      </w:r>
      <w:r w:rsidRPr="00A07FA7">
        <w:rPr>
          <w:rFonts w:ascii="Arial" w:hAnsi="Arial" w:cs="Arial"/>
          <w:sz w:val="20"/>
          <w:szCs w:val="20"/>
        </w:rPr>
        <w:t xml:space="preserve">em cotejo com jurisprudência do Tribunal de Justiça de São Paulo, </w:t>
      </w:r>
      <w:r w:rsidRPr="00F52526">
        <w:rPr>
          <w:rFonts w:ascii="Arial" w:hAnsi="Arial" w:cs="Arial"/>
          <w:i/>
          <w:sz w:val="20"/>
          <w:szCs w:val="20"/>
        </w:rPr>
        <w:t>“destaca-se que eventual futuro reconhecimento judicial ao recebimento de horas extras poderia gerar um passivo para as futuras administrações”.</w:t>
      </w:r>
      <w:r w:rsidRPr="00A07FA7">
        <w:rPr>
          <w:rFonts w:ascii="Arial" w:hAnsi="Arial" w:cs="Arial"/>
          <w:sz w:val="20"/>
          <w:szCs w:val="20"/>
        </w:rPr>
        <w:t xml:space="preserve"> </w:t>
      </w:r>
    </w:p>
    <w:p w:rsidR="00C75A6E" w:rsidRDefault="00C75A6E" w:rsidP="00137838">
      <w:pPr>
        <w:autoSpaceDE w:val="0"/>
        <w:autoSpaceDN w:val="0"/>
        <w:adjustRightInd w:val="0"/>
        <w:spacing w:after="0"/>
        <w:jc w:val="both"/>
        <w:rPr>
          <w:rFonts w:ascii="Arial" w:hAnsi="Arial" w:cs="Arial"/>
          <w:sz w:val="20"/>
          <w:szCs w:val="20"/>
        </w:rPr>
      </w:pPr>
    </w:p>
    <w:p w:rsidR="00A07FA7" w:rsidRDefault="00F52526" w:rsidP="00137838">
      <w:pPr>
        <w:autoSpaceDE w:val="0"/>
        <w:autoSpaceDN w:val="0"/>
        <w:adjustRightInd w:val="0"/>
        <w:spacing w:after="0"/>
        <w:jc w:val="both"/>
        <w:rPr>
          <w:rFonts w:ascii="Arial" w:hAnsi="Arial" w:cs="Arial"/>
          <w:sz w:val="20"/>
          <w:szCs w:val="20"/>
        </w:rPr>
      </w:pPr>
      <w:r>
        <w:rPr>
          <w:rFonts w:ascii="Arial" w:hAnsi="Arial" w:cs="Arial"/>
          <w:sz w:val="20"/>
          <w:szCs w:val="20"/>
        </w:rPr>
        <w:t xml:space="preserve">Diante do exposto, </w:t>
      </w:r>
      <w:r w:rsidR="00A07FA7" w:rsidRPr="00A07FA7">
        <w:rPr>
          <w:rFonts w:ascii="Arial" w:hAnsi="Arial" w:cs="Arial"/>
          <w:sz w:val="20"/>
          <w:szCs w:val="20"/>
        </w:rPr>
        <w:t>def</w:t>
      </w:r>
      <w:r>
        <w:rPr>
          <w:rFonts w:ascii="Arial" w:hAnsi="Arial" w:cs="Arial"/>
          <w:sz w:val="20"/>
          <w:szCs w:val="20"/>
        </w:rPr>
        <w:t>e</w:t>
      </w:r>
      <w:r w:rsidR="00A07FA7" w:rsidRPr="00A07FA7">
        <w:rPr>
          <w:rFonts w:ascii="Arial" w:hAnsi="Arial" w:cs="Arial"/>
          <w:sz w:val="20"/>
          <w:szCs w:val="20"/>
        </w:rPr>
        <w:t>r</w:t>
      </w:r>
      <w:r>
        <w:rPr>
          <w:rFonts w:ascii="Arial" w:hAnsi="Arial" w:cs="Arial"/>
          <w:sz w:val="20"/>
          <w:szCs w:val="20"/>
        </w:rPr>
        <w:t xml:space="preserve">e-se </w:t>
      </w:r>
      <w:r w:rsidR="00A07FA7" w:rsidRPr="00A07FA7">
        <w:rPr>
          <w:rFonts w:ascii="Arial" w:hAnsi="Arial" w:cs="Arial"/>
          <w:sz w:val="20"/>
          <w:szCs w:val="20"/>
        </w:rPr>
        <w:t>o pleito de medida cautelar formulado pelo denunciante, com a finalidade única de suspender os efeitos dos artigos 23 a 29 do Decreto Municipal nº 929/2018 até ulterior julgamento de mérito</w:t>
      </w:r>
      <w:r>
        <w:rPr>
          <w:rFonts w:ascii="Arial" w:hAnsi="Arial" w:cs="Arial"/>
          <w:sz w:val="20"/>
          <w:szCs w:val="20"/>
        </w:rPr>
        <w:t>.</w:t>
      </w:r>
    </w:p>
    <w:p w:rsidR="00F52526" w:rsidRDefault="00F52526" w:rsidP="00137838">
      <w:pPr>
        <w:autoSpaceDE w:val="0"/>
        <w:autoSpaceDN w:val="0"/>
        <w:adjustRightInd w:val="0"/>
        <w:spacing w:after="0"/>
        <w:jc w:val="both"/>
        <w:rPr>
          <w:rFonts w:ascii="Arial" w:hAnsi="Arial" w:cs="Arial"/>
          <w:sz w:val="20"/>
          <w:szCs w:val="20"/>
        </w:rPr>
      </w:pPr>
    </w:p>
    <w:p w:rsidR="00F52526" w:rsidRPr="00A07FA7" w:rsidRDefault="00F52526" w:rsidP="0013783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515649/18 - </w:t>
      </w:r>
      <w:hyperlink r:id="rId16" w:history="1">
        <w:r w:rsidRPr="00F52526">
          <w:rPr>
            <w:rStyle w:val="Hyperlink"/>
            <w:rFonts w:ascii="Arial" w:hAnsi="Arial" w:cs="Arial"/>
            <w:sz w:val="20"/>
            <w:szCs w:val="20"/>
          </w:rPr>
          <w:t>Acórdão 2711/18 - Tribunal Pleno</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211F9A" w:rsidRPr="00211F9A" w:rsidRDefault="00211F9A" w:rsidP="00816942">
      <w:pPr>
        <w:autoSpaceDE w:val="0"/>
        <w:autoSpaceDN w:val="0"/>
        <w:adjustRightInd w:val="0"/>
        <w:spacing w:after="0"/>
        <w:jc w:val="both"/>
        <w:rPr>
          <w:rFonts w:ascii="Arial" w:hAnsi="Arial" w:cs="Arial"/>
          <w:color w:val="000000"/>
          <w:sz w:val="20"/>
          <w:szCs w:val="20"/>
          <w:shd w:val="clear" w:color="auto" w:fill="FFFFFF"/>
        </w:rPr>
      </w:pPr>
      <w:bookmarkStart w:id="1" w:name="_GoBack"/>
      <w:bookmarkEnd w:id="1"/>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1E3AEA" w:rsidRDefault="001E3AEA" w:rsidP="001E3AEA">
      <w:pPr>
        <w:spacing w:after="0" w:line="240" w:lineRule="auto"/>
        <w:rPr>
          <w:rFonts w:ascii="Arial" w:eastAsia="Times New Roman" w:hAnsi="Arial" w:cs="Arial"/>
          <w:b/>
          <w:bCs/>
          <w:sz w:val="20"/>
          <w:szCs w:val="20"/>
          <w:shd w:val="clear" w:color="auto" w:fill="FFFFFF"/>
          <w:lang w:eastAsia="pt-BR"/>
        </w:rPr>
      </w:pPr>
    </w:p>
    <w:p w:rsidR="001E3AEA" w:rsidRDefault="001E3AEA" w:rsidP="001E3AEA">
      <w:pPr>
        <w:spacing w:after="0" w:line="240" w:lineRule="auto"/>
        <w:jc w:val="both"/>
        <w:rPr>
          <w:rFonts w:ascii="Arial" w:eastAsia="Times New Roman" w:hAnsi="Arial" w:cs="Arial"/>
          <w:b/>
          <w:bCs/>
          <w:sz w:val="20"/>
          <w:szCs w:val="20"/>
          <w:shd w:val="clear" w:color="auto" w:fill="FFFFFF"/>
          <w:lang w:eastAsia="pt-BR"/>
        </w:rPr>
      </w:pPr>
      <w:r w:rsidRPr="001E3AEA">
        <w:rPr>
          <w:rFonts w:ascii="Arial" w:eastAsia="Times New Roman" w:hAnsi="Arial" w:cs="Arial"/>
          <w:b/>
          <w:bCs/>
          <w:sz w:val="20"/>
          <w:szCs w:val="20"/>
          <w:shd w:val="clear" w:color="auto" w:fill="FFFFFF"/>
          <w:lang w:eastAsia="pt-BR"/>
        </w:rPr>
        <w:t>S</w:t>
      </w:r>
      <w:r>
        <w:rPr>
          <w:rFonts w:ascii="Arial" w:eastAsia="Times New Roman" w:hAnsi="Arial" w:cs="Arial"/>
          <w:b/>
          <w:bCs/>
          <w:sz w:val="20"/>
          <w:szCs w:val="20"/>
          <w:shd w:val="clear" w:color="auto" w:fill="FFFFFF"/>
          <w:lang w:eastAsia="pt-BR"/>
        </w:rPr>
        <w:t xml:space="preserve">úmula n° 619: </w:t>
      </w:r>
    </w:p>
    <w:p w:rsidR="001E3AEA" w:rsidRDefault="001E3AEA" w:rsidP="001E3AEA">
      <w:pPr>
        <w:spacing w:after="0" w:line="240" w:lineRule="auto"/>
        <w:jc w:val="both"/>
        <w:rPr>
          <w:rFonts w:ascii="Arial" w:eastAsia="Times New Roman" w:hAnsi="Arial" w:cs="Arial"/>
          <w:b/>
          <w:bCs/>
          <w:sz w:val="20"/>
          <w:szCs w:val="20"/>
          <w:shd w:val="clear" w:color="auto" w:fill="FFFFFF"/>
          <w:lang w:eastAsia="pt-BR"/>
        </w:rPr>
      </w:pPr>
    </w:p>
    <w:p w:rsidR="001E3AEA" w:rsidRPr="001E3AEA" w:rsidRDefault="001E3AEA" w:rsidP="001E3AEA">
      <w:pPr>
        <w:spacing w:after="0" w:line="240" w:lineRule="auto"/>
        <w:jc w:val="both"/>
        <w:rPr>
          <w:rFonts w:ascii="Arial" w:eastAsia="Times New Roman" w:hAnsi="Arial" w:cs="Arial"/>
          <w:b/>
          <w:sz w:val="20"/>
          <w:szCs w:val="20"/>
          <w:lang w:eastAsia="pt-BR"/>
        </w:rPr>
      </w:pPr>
      <w:r w:rsidRPr="001E3AEA">
        <w:rPr>
          <w:rFonts w:ascii="Arial" w:eastAsia="Times New Roman" w:hAnsi="Arial" w:cs="Arial"/>
          <w:sz w:val="20"/>
          <w:szCs w:val="20"/>
          <w:shd w:val="clear" w:color="auto" w:fill="FFFFFF"/>
          <w:lang w:eastAsia="pt-BR"/>
        </w:rPr>
        <w:t>A ocupação indevida de bem público configura mera detenção, de natureza precária, insuscetível de retenção ou indenização por acessões e benfeitorias.</w:t>
      </w:r>
      <w:r w:rsidRPr="001E3AEA">
        <w:rPr>
          <w:rFonts w:ascii="Arial" w:eastAsia="Times New Roman" w:hAnsi="Arial" w:cs="Arial"/>
          <w:b/>
          <w:sz w:val="20"/>
          <w:szCs w:val="20"/>
          <w:shd w:val="clear" w:color="auto" w:fill="FFFFFF"/>
          <w:lang w:eastAsia="pt-BR"/>
        </w:rPr>
        <w:t> </w:t>
      </w:r>
      <w:r w:rsidRPr="001E3AEA">
        <w:rPr>
          <w:rFonts w:ascii="Arial" w:eastAsia="Times New Roman" w:hAnsi="Arial" w:cs="Arial"/>
          <w:b/>
          <w:bCs/>
          <w:sz w:val="20"/>
          <w:szCs w:val="20"/>
          <w:shd w:val="clear" w:color="auto" w:fill="FFFFFF"/>
          <w:lang w:eastAsia="pt-BR"/>
        </w:rPr>
        <w:t xml:space="preserve">Corte Especial, julgado em 24/10/2018, </w:t>
      </w:r>
      <w:proofErr w:type="spellStart"/>
      <w:r w:rsidRPr="001E3AEA">
        <w:rPr>
          <w:rFonts w:ascii="Arial" w:eastAsia="Times New Roman" w:hAnsi="Arial" w:cs="Arial"/>
          <w:b/>
          <w:bCs/>
          <w:sz w:val="20"/>
          <w:szCs w:val="20"/>
          <w:shd w:val="clear" w:color="auto" w:fill="FFFFFF"/>
          <w:lang w:eastAsia="pt-BR"/>
        </w:rPr>
        <w:t>DJe</w:t>
      </w:r>
      <w:proofErr w:type="spellEnd"/>
      <w:r w:rsidRPr="001E3AEA">
        <w:rPr>
          <w:rFonts w:ascii="Arial" w:eastAsia="Times New Roman" w:hAnsi="Arial" w:cs="Arial"/>
          <w:b/>
          <w:bCs/>
          <w:sz w:val="20"/>
          <w:szCs w:val="20"/>
          <w:shd w:val="clear" w:color="auto" w:fill="FFFFFF"/>
          <w:lang w:eastAsia="pt-BR"/>
        </w:rPr>
        <w:t xml:space="preserve"> 30/10/2018.</w:t>
      </w:r>
    </w:p>
    <w:p w:rsidR="00CC4E55" w:rsidRDefault="00CC4E55" w:rsidP="006E12D5">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AD25B7" w:rsidRDefault="00AD25B7" w:rsidP="006E12D5">
      <w:pPr>
        <w:spacing w:after="0"/>
        <w:jc w:val="both"/>
        <w:rPr>
          <w:rFonts w:ascii="Arial" w:hAnsi="Arial" w:cs="Arial"/>
          <w:b/>
          <w:color w:val="000000"/>
          <w:sz w:val="20"/>
          <w:szCs w:val="20"/>
        </w:rPr>
      </w:pPr>
    </w:p>
    <w:p w:rsidR="00AD25B7" w:rsidRPr="00AD25B7" w:rsidRDefault="00BC0B82" w:rsidP="00AD25B7">
      <w:pPr>
        <w:widowControl w:val="0"/>
        <w:autoSpaceDE w:val="0"/>
        <w:autoSpaceDN w:val="0"/>
        <w:jc w:val="both"/>
        <w:rPr>
          <w:rFonts w:ascii="Arial" w:hAnsi="Arial" w:cs="Arial"/>
          <w:b/>
          <w:sz w:val="20"/>
          <w:szCs w:val="20"/>
        </w:rPr>
      </w:pPr>
      <w:hyperlink r:id="rId17" w:history="1">
        <w:r w:rsidR="00AD25B7" w:rsidRPr="00D95B74">
          <w:rPr>
            <w:rStyle w:val="Hyperlink"/>
            <w:rFonts w:ascii="Arial" w:hAnsi="Arial" w:cs="Arial"/>
            <w:b/>
            <w:sz w:val="20"/>
            <w:szCs w:val="20"/>
          </w:rPr>
          <w:t>Acórdão 1867/2018</w:t>
        </w:r>
        <w:r w:rsidR="00D95B74">
          <w:rPr>
            <w:rStyle w:val="Hyperlink"/>
            <w:rFonts w:ascii="Arial" w:hAnsi="Arial" w:cs="Arial"/>
            <w:b/>
            <w:sz w:val="20"/>
            <w:szCs w:val="20"/>
          </w:rPr>
          <w:t xml:space="preserve"> - </w:t>
        </w:r>
        <w:r w:rsidR="00AD25B7" w:rsidRPr="00D95B74">
          <w:rPr>
            <w:rStyle w:val="Hyperlink"/>
            <w:rFonts w:ascii="Arial" w:hAnsi="Arial" w:cs="Arial"/>
            <w:b/>
            <w:sz w:val="20"/>
            <w:szCs w:val="20"/>
          </w:rPr>
          <w:t>Plenário</w:t>
        </w:r>
      </w:hyperlink>
      <w:r w:rsidR="00AD25B7" w:rsidRPr="00AD25B7">
        <w:rPr>
          <w:rFonts w:ascii="Arial" w:hAnsi="Arial" w:cs="Arial"/>
          <w:b/>
          <w:sz w:val="20"/>
          <w:szCs w:val="20"/>
        </w:rPr>
        <w:t xml:space="preserve"> </w:t>
      </w:r>
      <w:r w:rsidR="00AD25B7" w:rsidRPr="00AD25B7">
        <w:rPr>
          <w:rFonts w:ascii="Arial" w:hAnsi="Arial" w:cs="Arial"/>
          <w:sz w:val="20"/>
          <w:szCs w:val="20"/>
        </w:rPr>
        <w:t>(Representação, Relator Ministro Bruno Dantas)</w:t>
      </w:r>
    </w:p>
    <w:p w:rsidR="00AD25B7" w:rsidRPr="008E0053" w:rsidRDefault="00AD25B7" w:rsidP="00AD25B7">
      <w:pPr>
        <w:jc w:val="both"/>
        <w:rPr>
          <w:rFonts w:ascii="Arial" w:hAnsi="Arial" w:cs="Arial"/>
          <w:b/>
          <w:sz w:val="20"/>
          <w:szCs w:val="20"/>
        </w:rPr>
      </w:pPr>
      <w:r w:rsidRPr="008E0053">
        <w:rPr>
          <w:rFonts w:ascii="Arial" w:hAnsi="Arial" w:cs="Arial"/>
          <w:b/>
          <w:sz w:val="20"/>
          <w:szCs w:val="20"/>
        </w:rPr>
        <w:t>Convênio. Acordo de cooperação. Requisito. Processo seletivo. Pré-qualificação. Laboratório. Indústria farmacêutica.</w:t>
      </w:r>
    </w:p>
    <w:p w:rsidR="00AD25B7" w:rsidRDefault="00AD25B7" w:rsidP="00AD25B7">
      <w:pPr>
        <w:pStyle w:val="TCU-Epgrafe"/>
        <w:spacing w:after="200" w:line="276" w:lineRule="auto"/>
        <w:ind w:left="0"/>
        <w:rPr>
          <w:rFonts w:ascii="Arial" w:hAnsi="Arial" w:cs="Arial"/>
          <w:sz w:val="20"/>
        </w:rPr>
      </w:pPr>
      <w:r w:rsidRPr="00AD25B7">
        <w:rPr>
          <w:rFonts w:ascii="Arial" w:hAnsi="Arial" w:cs="Arial"/>
          <w:sz w:val="20"/>
        </w:rPr>
        <w:t>A escolha de parceiros privados da indústria farmacêutica para celebração de acordo de cooperação técnico-científica com laboratórios públicos deve ser precedida de processo seletivo ou de pré-qualificação, salvo quando sua realização for justificadamente inviável.</w:t>
      </w:r>
    </w:p>
    <w:p w:rsidR="00AD25B7" w:rsidRPr="00AD25B7" w:rsidRDefault="00BC0B82" w:rsidP="00AD25B7">
      <w:pPr>
        <w:widowControl w:val="0"/>
        <w:autoSpaceDE w:val="0"/>
        <w:autoSpaceDN w:val="0"/>
        <w:jc w:val="both"/>
        <w:rPr>
          <w:rFonts w:ascii="Arial" w:hAnsi="Arial" w:cs="Arial"/>
          <w:b/>
          <w:sz w:val="20"/>
          <w:szCs w:val="20"/>
        </w:rPr>
      </w:pPr>
      <w:hyperlink r:id="rId18" w:history="1">
        <w:r w:rsidR="00AD25B7" w:rsidRPr="00BB231B">
          <w:rPr>
            <w:rStyle w:val="Hyperlink"/>
            <w:rFonts w:ascii="Arial" w:hAnsi="Arial" w:cs="Arial"/>
            <w:b/>
            <w:sz w:val="20"/>
            <w:szCs w:val="20"/>
          </w:rPr>
          <w:t>Acórdão 1872/2018</w:t>
        </w:r>
        <w:r w:rsidR="00BB231B">
          <w:rPr>
            <w:rStyle w:val="Hyperlink"/>
            <w:rFonts w:ascii="Arial" w:hAnsi="Arial" w:cs="Arial"/>
            <w:b/>
            <w:sz w:val="20"/>
            <w:szCs w:val="20"/>
          </w:rPr>
          <w:t xml:space="preserve"> - </w:t>
        </w:r>
        <w:r w:rsidR="00AD25B7" w:rsidRPr="00BB231B">
          <w:rPr>
            <w:rStyle w:val="Hyperlink"/>
            <w:rFonts w:ascii="Arial" w:hAnsi="Arial" w:cs="Arial"/>
            <w:b/>
            <w:sz w:val="20"/>
            <w:szCs w:val="20"/>
          </w:rPr>
          <w:t>Plenário</w:t>
        </w:r>
      </w:hyperlink>
      <w:r w:rsidR="00AD25B7" w:rsidRPr="00AD25B7">
        <w:rPr>
          <w:rFonts w:ascii="Arial" w:hAnsi="Arial" w:cs="Arial"/>
          <w:b/>
          <w:sz w:val="20"/>
          <w:szCs w:val="20"/>
        </w:rPr>
        <w:t xml:space="preserve"> </w:t>
      </w:r>
      <w:r w:rsidR="00AD25B7" w:rsidRPr="00AD25B7">
        <w:rPr>
          <w:rFonts w:ascii="Arial" w:hAnsi="Arial" w:cs="Arial"/>
          <w:sz w:val="20"/>
          <w:szCs w:val="20"/>
        </w:rPr>
        <w:t>(Acompanhamento, Relator Ministro Vital do Rêgo)</w:t>
      </w:r>
    </w:p>
    <w:p w:rsidR="00AD25B7" w:rsidRPr="008E0053" w:rsidRDefault="00AD25B7" w:rsidP="00AD25B7">
      <w:pPr>
        <w:jc w:val="both"/>
        <w:rPr>
          <w:rFonts w:ascii="Arial" w:hAnsi="Arial" w:cs="Arial"/>
          <w:b/>
          <w:sz w:val="20"/>
          <w:szCs w:val="20"/>
        </w:rPr>
      </w:pPr>
      <w:r w:rsidRPr="008E0053">
        <w:rPr>
          <w:rFonts w:ascii="Arial" w:hAnsi="Arial" w:cs="Arial"/>
          <w:b/>
          <w:sz w:val="20"/>
          <w:szCs w:val="20"/>
        </w:rPr>
        <w:t>Licitação. Pregão. Negociação. Adjudicação. Lote (Licitação). Preço unitário. Preço global.</w:t>
      </w:r>
    </w:p>
    <w:p w:rsidR="00AD25B7" w:rsidRPr="00AD25B7" w:rsidRDefault="00AD25B7" w:rsidP="00AD25B7">
      <w:pPr>
        <w:pStyle w:val="TCU-Epgrafe"/>
        <w:spacing w:after="200" w:line="276" w:lineRule="auto"/>
        <w:ind w:left="0"/>
        <w:rPr>
          <w:rFonts w:ascii="Arial" w:hAnsi="Arial" w:cs="Arial"/>
          <w:sz w:val="20"/>
        </w:rPr>
      </w:pPr>
      <w:r w:rsidRPr="00AD25B7">
        <w:rPr>
          <w:rFonts w:ascii="Arial" w:hAnsi="Arial" w:cs="Arial"/>
          <w:sz w:val="20"/>
        </w:rPr>
        <w:t xml:space="preserve">Na fase de negociação posterior à disputa de lances em pregão sob a modelagem de adjudicação por preço global de grupo de itens, é irregular a aceitação pelo pregoeiro de item </w:t>
      </w:r>
      <w:r w:rsidRPr="00AD25B7">
        <w:rPr>
          <w:rFonts w:ascii="Arial" w:hAnsi="Arial" w:cs="Arial"/>
          <w:sz w:val="20"/>
        </w:rPr>
        <w:lastRenderedPageBreak/>
        <w:t xml:space="preserve">com preço unitário superior àquele definido na etapa de lances, ainda que o valor total do respectivo grupo tenha sido reduzido. A negociação de itens de grupo só é admissível se resultar em redução ou manutenção dos preços desses itens (art. 4º, inciso XVII, da </w:t>
      </w:r>
      <w:hyperlink r:id="rId19" w:history="1">
        <w:r w:rsidRPr="00AD25B7">
          <w:rPr>
            <w:rStyle w:val="Hyperlink"/>
            <w:rFonts w:ascii="Arial" w:hAnsi="Arial" w:cs="Arial"/>
            <w:color w:val="0000FF" w:themeColor="hyperlink"/>
            <w:sz w:val="20"/>
          </w:rPr>
          <w:t>Lei 10.520/2002</w:t>
        </w:r>
      </w:hyperlink>
      <w:r w:rsidRPr="00AD25B7">
        <w:rPr>
          <w:rFonts w:ascii="Arial" w:hAnsi="Arial" w:cs="Arial"/>
          <w:sz w:val="20"/>
        </w:rPr>
        <w:t>).</w:t>
      </w:r>
    </w:p>
    <w:p w:rsidR="00AD25B7" w:rsidRPr="00AD25B7" w:rsidRDefault="00BC0B82" w:rsidP="00AD25B7">
      <w:pPr>
        <w:widowControl w:val="0"/>
        <w:autoSpaceDE w:val="0"/>
        <w:autoSpaceDN w:val="0"/>
        <w:jc w:val="both"/>
        <w:rPr>
          <w:rFonts w:ascii="Arial" w:hAnsi="Arial" w:cs="Arial"/>
          <w:b/>
          <w:sz w:val="20"/>
          <w:szCs w:val="20"/>
        </w:rPr>
      </w:pPr>
      <w:hyperlink r:id="rId20" w:history="1">
        <w:r w:rsidR="00AD25B7" w:rsidRPr="009C672C">
          <w:rPr>
            <w:rStyle w:val="Hyperlink"/>
            <w:rFonts w:ascii="Arial" w:hAnsi="Arial"/>
            <w:b/>
            <w:sz w:val="20"/>
            <w:szCs w:val="20"/>
          </w:rPr>
          <w:t xml:space="preserve">Acórdão 1910/2018 </w:t>
        </w:r>
        <w:r w:rsidR="009C672C">
          <w:rPr>
            <w:rStyle w:val="Hyperlink"/>
            <w:rFonts w:ascii="Arial" w:hAnsi="Arial"/>
            <w:b/>
            <w:sz w:val="20"/>
            <w:szCs w:val="20"/>
          </w:rPr>
          <w:t xml:space="preserve">- </w:t>
        </w:r>
        <w:r w:rsidR="00AD25B7" w:rsidRPr="009C672C">
          <w:rPr>
            <w:rStyle w:val="Hyperlink"/>
            <w:rFonts w:ascii="Arial" w:hAnsi="Arial"/>
            <w:b/>
            <w:sz w:val="20"/>
            <w:szCs w:val="20"/>
          </w:rPr>
          <w:t>Plenário</w:t>
        </w:r>
      </w:hyperlink>
      <w:r w:rsidR="00AD25B7" w:rsidRPr="00AD25B7">
        <w:rPr>
          <w:rFonts w:ascii="Arial" w:hAnsi="Arial"/>
          <w:b/>
          <w:sz w:val="20"/>
          <w:szCs w:val="20"/>
        </w:rPr>
        <w:t xml:space="preserve"> </w:t>
      </w:r>
      <w:r w:rsidR="00AD25B7" w:rsidRPr="00AD25B7">
        <w:rPr>
          <w:rFonts w:ascii="Arial" w:hAnsi="Arial"/>
          <w:sz w:val="20"/>
          <w:szCs w:val="20"/>
        </w:rPr>
        <w:t xml:space="preserve">(Denúncia, Relator Ministro-Substituto </w:t>
      </w:r>
      <w:proofErr w:type="spellStart"/>
      <w:r w:rsidR="00AD25B7" w:rsidRPr="00AD25B7">
        <w:rPr>
          <w:rFonts w:ascii="Arial" w:hAnsi="Arial"/>
          <w:sz w:val="20"/>
          <w:szCs w:val="20"/>
        </w:rPr>
        <w:t>Weder</w:t>
      </w:r>
      <w:proofErr w:type="spellEnd"/>
      <w:r w:rsidR="00AD25B7" w:rsidRPr="00AD25B7">
        <w:rPr>
          <w:rFonts w:ascii="Arial" w:hAnsi="Arial"/>
          <w:sz w:val="20"/>
          <w:szCs w:val="20"/>
        </w:rPr>
        <w:t xml:space="preserve"> de Oliveira)</w:t>
      </w:r>
    </w:p>
    <w:p w:rsidR="00AD25B7" w:rsidRPr="008E0053" w:rsidRDefault="00AD25B7" w:rsidP="00AD25B7">
      <w:pPr>
        <w:jc w:val="both"/>
        <w:rPr>
          <w:rFonts w:ascii="Arial" w:hAnsi="Arial" w:cs="Arial"/>
          <w:b/>
          <w:sz w:val="20"/>
          <w:szCs w:val="20"/>
        </w:rPr>
      </w:pPr>
      <w:r w:rsidRPr="008E0053">
        <w:rPr>
          <w:rFonts w:ascii="Arial" w:hAnsi="Arial"/>
          <w:b/>
          <w:sz w:val="20"/>
          <w:szCs w:val="20"/>
        </w:rPr>
        <w:t>Licitação. RDC. Contratação integrada. Metodologia.</w:t>
      </w:r>
    </w:p>
    <w:p w:rsidR="00AD25B7" w:rsidRDefault="00AD25B7" w:rsidP="00AD25B7">
      <w:pPr>
        <w:pStyle w:val="Default"/>
        <w:spacing w:after="200" w:line="276" w:lineRule="auto"/>
        <w:jc w:val="both"/>
        <w:rPr>
          <w:sz w:val="20"/>
          <w:szCs w:val="20"/>
        </w:rPr>
      </w:pPr>
      <w:r w:rsidRPr="00AD25B7">
        <w:rPr>
          <w:sz w:val="20"/>
          <w:szCs w:val="20"/>
        </w:rPr>
        <w:t xml:space="preserve">É lícita a realização de licitação, pelo regime de contratação integrada do RDC, para execução de obras e serviços de engenharia com solução construtiva previamente definida, passível de ser executada com metodologias distintas (art. 9⁰, inciso II, da </w:t>
      </w:r>
      <w:hyperlink r:id="rId21" w:history="1">
        <w:r w:rsidRPr="00AD25B7">
          <w:rPr>
            <w:rStyle w:val="Hyperlink"/>
            <w:color w:val="0000FF" w:themeColor="hyperlink"/>
            <w:sz w:val="20"/>
            <w:szCs w:val="20"/>
          </w:rPr>
          <w:t>Lei 12.462/2011</w:t>
        </w:r>
      </w:hyperlink>
      <w:r w:rsidRPr="00AD25B7">
        <w:rPr>
          <w:sz w:val="20"/>
          <w:szCs w:val="20"/>
        </w:rPr>
        <w:t>).</w:t>
      </w:r>
    </w:p>
    <w:p w:rsidR="00AB7706" w:rsidRPr="00AB7706" w:rsidRDefault="00BC0B82" w:rsidP="00AB7706">
      <w:pPr>
        <w:widowControl w:val="0"/>
        <w:autoSpaceDE w:val="0"/>
        <w:autoSpaceDN w:val="0"/>
        <w:jc w:val="both"/>
        <w:rPr>
          <w:rFonts w:ascii="Arial" w:hAnsi="Arial" w:cs="Arial"/>
          <w:b/>
          <w:sz w:val="20"/>
          <w:szCs w:val="20"/>
        </w:rPr>
      </w:pPr>
      <w:hyperlink r:id="rId22" w:history="1">
        <w:r w:rsidR="00AB7706" w:rsidRPr="008E0053">
          <w:rPr>
            <w:rStyle w:val="Hyperlink"/>
            <w:rFonts w:ascii="Arial" w:hAnsi="Arial"/>
            <w:b/>
            <w:sz w:val="20"/>
            <w:szCs w:val="20"/>
          </w:rPr>
          <w:t xml:space="preserve">Acórdão 1953/2018 </w:t>
        </w:r>
        <w:r w:rsidR="008E0053">
          <w:rPr>
            <w:rStyle w:val="Hyperlink"/>
            <w:rFonts w:ascii="Arial" w:hAnsi="Arial"/>
            <w:b/>
            <w:sz w:val="20"/>
            <w:szCs w:val="20"/>
          </w:rPr>
          <w:t xml:space="preserve">- </w:t>
        </w:r>
        <w:r w:rsidR="00AB7706" w:rsidRPr="008E0053">
          <w:rPr>
            <w:rStyle w:val="Hyperlink"/>
            <w:rFonts w:ascii="Arial" w:hAnsi="Arial"/>
            <w:b/>
            <w:sz w:val="20"/>
            <w:szCs w:val="20"/>
          </w:rPr>
          <w:t>Plenário</w:t>
        </w:r>
      </w:hyperlink>
      <w:r w:rsidR="00AB7706" w:rsidRPr="00AB7706">
        <w:rPr>
          <w:rFonts w:ascii="Arial" w:hAnsi="Arial"/>
          <w:b/>
          <w:sz w:val="20"/>
          <w:szCs w:val="20"/>
        </w:rPr>
        <w:t xml:space="preserve"> </w:t>
      </w:r>
      <w:r w:rsidR="00AB7706" w:rsidRPr="00AB7706">
        <w:rPr>
          <w:rFonts w:ascii="Arial" w:hAnsi="Arial"/>
          <w:sz w:val="20"/>
          <w:szCs w:val="20"/>
        </w:rPr>
        <w:t xml:space="preserve">(Representação, Relator Ministro Benjamin </w:t>
      </w:r>
      <w:proofErr w:type="spellStart"/>
      <w:r w:rsidR="00AB7706" w:rsidRPr="00AB7706">
        <w:rPr>
          <w:rFonts w:ascii="Arial" w:hAnsi="Arial"/>
          <w:sz w:val="20"/>
          <w:szCs w:val="20"/>
        </w:rPr>
        <w:t>Zymler</w:t>
      </w:r>
      <w:proofErr w:type="spellEnd"/>
      <w:r w:rsidR="00AB7706" w:rsidRPr="00AB7706">
        <w:rPr>
          <w:rFonts w:ascii="Arial" w:hAnsi="Arial"/>
          <w:sz w:val="20"/>
          <w:szCs w:val="20"/>
        </w:rPr>
        <w:t>)</w:t>
      </w:r>
    </w:p>
    <w:p w:rsidR="00AB7706" w:rsidRPr="008E0053" w:rsidRDefault="00AB7706" w:rsidP="00AB7706">
      <w:pPr>
        <w:jc w:val="both"/>
        <w:rPr>
          <w:rFonts w:ascii="Arial" w:hAnsi="Arial" w:cs="Arial"/>
          <w:b/>
          <w:sz w:val="20"/>
          <w:szCs w:val="20"/>
        </w:rPr>
      </w:pPr>
      <w:r w:rsidRPr="008E0053">
        <w:rPr>
          <w:rFonts w:ascii="Arial" w:hAnsi="Arial"/>
          <w:b/>
          <w:sz w:val="20"/>
          <w:szCs w:val="20"/>
        </w:rPr>
        <w:t>Contrato Administrativo. Formalização do contrato. Conteúdo. Cláusula abusiva. Administração Pública. Parte processual.</w:t>
      </w:r>
    </w:p>
    <w:p w:rsidR="00AB7706" w:rsidRDefault="00AB7706" w:rsidP="00AB7706">
      <w:pPr>
        <w:pStyle w:val="TCU-Epgrafe"/>
        <w:spacing w:after="200" w:line="276" w:lineRule="auto"/>
        <w:ind w:left="0"/>
        <w:rPr>
          <w:rFonts w:ascii="Arial" w:hAnsi="Arial"/>
          <w:sz w:val="20"/>
        </w:rPr>
      </w:pPr>
      <w:r w:rsidRPr="00AB7706">
        <w:rPr>
          <w:rFonts w:ascii="Arial" w:hAnsi="Arial"/>
          <w:sz w:val="20"/>
        </w:rPr>
        <w:t xml:space="preserve">Nos contratos celebrados entre entidades pertencentes à Administração Pública, são inaplicáveis as cláusulas exorbitantes, previstas nos </w:t>
      </w:r>
      <w:proofErr w:type="spellStart"/>
      <w:r w:rsidRPr="00AB7706">
        <w:rPr>
          <w:rFonts w:ascii="Arial" w:hAnsi="Arial"/>
          <w:sz w:val="20"/>
        </w:rPr>
        <w:t>arts</w:t>
      </w:r>
      <w:proofErr w:type="spellEnd"/>
      <w:r w:rsidRPr="00AB7706">
        <w:rPr>
          <w:rFonts w:ascii="Arial" w:hAnsi="Arial"/>
          <w:sz w:val="20"/>
        </w:rPr>
        <w:t xml:space="preserve">. 58 e 59 da </w:t>
      </w:r>
      <w:hyperlink r:id="rId23" w:history="1">
        <w:r w:rsidRPr="00AB7706">
          <w:rPr>
            <w:rStyle w:val="Hyperlink"/>
            <w:rFonts w:ascii="Arial" w:hAnsi="Arial"/>
            <w:color w:val="0000FF" w:themeColor="hyperlink"/>
            <w:sz w:val="20"/>
          </w:rPr>
          <w:t>Lei 8.666/1993</w:t>
        </w:r>
      </w:hyperlink>
      <w:r w:rsidRPr="00AB7706">
        <w:rPr>
          <w:rStyle w:val="Hyperlink"/>
          <w:rFonts w:ascii="Arial" w:hAnsi="Arial"/>
          <w:color w:val="auto"/>
          <w:sz w:val="20"/>
          <w:u w:val="none"/>
        </w:rPr>
        <w:t>, porquanto se trata de</w:t>
      </w:r>
      <w:r w:rsidRPr="00AB7706">
        <w:rPr>
          <w:rStyle w:val="Hyperlink"/>
          <w:rFonts w:ascii="Arial" w:hAnsi="Arial"/>
          <w:color w:val="auto"/>
          <w:sz w:val="20"/>
        </w:rPr>
        <w:t xml:space="preserve"> </w:t>
      </w:r>
      <w:r w:rsidRPr="00AB7706">
        <w:rPr>
          <w:rFonts w:ascii="Arial" w:hAnsi="Arial"/>
          <w:sz w:val="20"/>
        </w:rPr>
        <w:t>avenças acordadas por entidades detentoras de prerrogativas de Poder Público, onde há situação de igualdade entre as partes. Assim, qualquer alteração em contratos da espécie somente pode ocorrer por acordo das partes, não havendo espaço, ainda, para anulação ou rescisão pela via administrativa.</w:t>
      </w:r>
    </w:p>
    <w:p w:rsidR="00ED68D1" w:rsidRDefault="00BC0B82" w:rsidP="00ED68D1">
      <w:pPr>
        <w:widowControl w:val="0"/>
        <w:autoSpaceDE w:val="0"/>
        <w:autoSpaceDN w:val="0"/>
        <w:jc w:val="both"/>
        <w:rPr>
          <w:rFonts w:ascii="Arial" w:hAnsi="Arial" w:cs="Arial"/>
          <w:b/>
          <w:sz w:val="20"/>
          <w:szCs w:val="20"/>
        </w:rPr>
      </w:pPr>
      <w:hyperlink r:id="rId24" w:history="1">
        <w:r w:rsidR="00ED68D1">
          <w:rPr>
            <w:rStyle w:val="Hyperlink"/>
            <w:rFonts w:ascii="Arial" w:hAnsi="Arial" w:cs="Arial"/>
            <w:b/>
            <w:sz w:val="20"/>
            <w:szCs w:val="20"/>
          </w:rPr>
          <w:t>Acórdão 1867/2018 - Plenário</w:t>
        </w:r>
      </w:hyperlink>
      <w:r w:rsidR="00ED68D1">
        <w:rPr>
          <w:rFonts w:ascii="Arial" w:hAnsi="Arial" w:cs="Arial"/>
          <w:b/>
          <w:sz w:val="20"/>
          <w:szCs w:val="20"/>
        </w:rPr>
        <w:t xml:space="preserve"> </w:t>
      </w:r>
      <w:r w:rsidR="00ED68D1">
        <w:rPr>
          <w:rFonts w:ascii="Arial" w:hAnsi="Arial" w:cs="Arial"/>
          <w:sz w:val="20"/>
          <w:szCs w:val="20"/>
        </w:rPr>
        <w:t>(Representação, Relator Ministro Bruno Dantas)</w:t>
      </w:r>
    </w:p>
    <w:p w:rsidR="00ED68D1" w:rsidRDefault="00ED68D1" w:rsidP="00ED68D1">
      <w:pPr>
        <w:jc w:val="both"/>
        <w:rPr>
          <w:rFonts w:ascii="Arial" w:hAnsi="Arial" w:cs="Arial"/>
          <w:b/>
          <w:sz w:val="20"/>
          <w:szCs w:val="20"/>
        </w:rPr>
      </w:pPr>
      <w:r>
        <w:rPr>
          <w:rFonts w:ascii="Arial" w:hAnsi="Arial" w:cs="Arial"/>
          <w:b/>
          <w:sz w:val="20"/>
          <w:szCs w:val="20"/>
        </w:rPr>
        <w:t>Convênio. Acordo de cooperação. Requisito. Processo seletivo. Pré-qualificação. Laboratório. Indústria farmacêutica.</w:t>
      </w:r>
    </w:p>
    <w:p w:rsidR="00ED68D1" w:rsidRDefault="00ED68D1" w:rsidP="00ED68D1">
      <w:pPr>
        <w:pStyle w:val="TCU-Epgrafe"/>
        <w:spacing w:after="200" w:line="276" w:lineRule="auto"/>
        <w:ind w:left="0"/>
        <w:rPr>
          <w:rFonts w:ascii="Arial" w:hAnsi="Arial" w:cs="Arial"/>
          <w:sz w:val="20"/>
        </w:rPr>
      </w:pPr>
      <w:r>
        <w:rPr>
          <w:rFonts w:ascii="Arial" w:hAnsi="Arial" w:cs="Arial"/>
          <w:sz w:val="20"/>
        </w:rPr>
        <w:t>A escolha de parceiros privados da indústria farmacêutica para celebração de acordo de cooperação técnico-científica com laboratórios públicos deve ser precedida de processo seletivo ou de pré-qualificação, salvo quando sua realização for justificadamente inviável.</w:t>
      </w:r>
    </w:p>
    <w:p w:rsidR="00ED68D1" w:rsidRDefault="00BC0B82" w:rsidP="00ED68D1">
      <w:pPr>
        <w:widowControl w:val="0"/>
        <w:autoSpaceDE w:val="0"/>
        <w:autoSpaceDN w:val="0"/>
        <w:jc w:val="both"/>
        <w:rPr>
          <w:rFonts w:ascii="Arial" w:hAnsi="Arial" w:cs="Arial"/>
          <w:b/>
          <w:sz w:val="20"/>
          <w:szCs w:val="20"/>
        </w:rPr>
      </w:pPr>
      <w:hyperlink r:id="rId25" w:history="1">
        <w:r w:rsidR="00ED68D1">
          <w:rPr>
            <w:rStyle w:val="Hyperlink"/>
            <w:rFonts w:ascii="Arial" w:hAnsi="Arial" w:cs="Arial"/>
            <w:b/>
            <w:sz w:val="20"/>
            <w:szCs w:val="20"/>
          </w:rPr>
          <w:t>Acórdão 1872/2018 - Plenário</w:t>
        </w:r>
      </w:hyperlink>
      <w:r w:rsidR="00ED68D1">
        <w:rPr>
          <w:rFonts w:ascii="Arial" w:hAnsi="Arial" w:cs="Arial"/>
          <w:b/>
          <w:sz w:val="20"/>
          <w:szCs w:val="20"/>
        </w:rPr>
        <w:t xml:space="preserve"> </w:t>
      </w:r>
      <w:r w:rsidR="00ED68D1">
        <w:rPr>
          <w:rFonts w:ascii="Arial" w:hAnsi="Arial" w:cs="Arial"/>
          <w:sz w:val="20"/>
          <w:szCs w:val="20"/>
        </w:rPr>
        <w:t>(Acompanhamento, Relator Ministro Vital do Rêgo)</w:t>
      </w:r>
    </w:p>
    <w:p w:rsidR="00ED68D1" w:rsidRDefault="00ED68D1" w:rsidP="00ED68D1">
      <w:pPr>
        <w:jc w:val="both"/>
        <w:rPr>
          <w:rFonts w:ascii="Arial" w:hAnsi="Arial" w:cs="Arial"/>
          <w:b/>
          <w:sz w:val="20"/>
          <w:szCs w:val="20"/>
        </w:rPr>
      </w:pPr>
      <w:r>
        <w:rPr>
          <w:rFonts w:ascii="Arial" w:hAnsi="Arial" w:cs="Arial"/>
          <w:b/>
          <w:sz w:val="20"/>
          <w:szCs w:val="20"/>
        </w:rPr>
        <w:t>Licitação. Pregão. Negociação. Adjudicação. Lote (Licitação). Preço unitário. Preço global.</w:t>
      </w:r>
    </w:p>
    <w:p w:rsidR="00ED68D1" w:rsidRDefault="00ED68D1" w:rsidP="00ED68D1">
      <w:pPr>
        <w:pStyle w:val="TCU-Epgrafe"/>
        <w:spacing w:after="200" w:line="276" w:lineRule="auto"/>
        <w:ind w:left="0"/>
        <w:rPr>
          <w:rFonts w:ascii="Arial" w:hAnsi="Arial" w:cs="Arial"/>
          <w:sz w:val="20"/>
        </w:rPr>
      </w:pPr>
      <w:r>
        <w:rPr>
          <w:rFonts w:ascii="Arial" w:hAnsi="Arial" w:cs="Arial"/>
          <w:sz w:val="20"/>
        </w:rPr>
        <w:t xml:space="preserve">Na fase de negociação posterior à disputa de lances em pregão sob a modelagem de adjudicação por preço global de grupo de itens, é irregular a aceitação pelo pregoeiro de item com preço unitário superior àquele definido na etapa de lances, ainda que o valor total do respectivo grupo tenha sido reduzido. A negociação de itens de grupo só é admissível se resultar em redução ou manutenção dos preços desses itens (art. 4º, inciso XVII, da </w:t>
      </w:r>
      <w:hyperlink r:id="rId26" w:history="1">
        <w:r>
          <w:rPr>
            <w:rStyle w:val="Hyperlink"/>
            <w:rFonts w:ascii="Arial" w:hAnsi="Arial" w:cs="Arial"/>
            <w:color w:val="0000FF" w:themeColor="hyperlink"/>
            <w:sz w:val="20"/>
          </w:rPr>
          <w:t>Lei 10.520/2002</w:t>
        </w:r>
      </w:hyperlink>
      <w:r>
        <w:rPr>
          <w:rFonts w:ascii="Arial" w:hAnsi="Arial" w:cs="Arial"/>
          <w:sz w:val="20"/>
        </w:rPr>
        <w:t>).</w:t>
      </w:r>
    </w:p>
    <w:p w:rsidR="00614569" w:rsidRDefault="00BC0B82" w:rsidP="00614569">
      <w:pPr>
        <w:widowControl w:val="0"/>
        <w:autoSpaceDE w:val="0"/>
        <w:autoSpaceDN w:val="0"/>
        <w:jc w:val="both"/>
        <w:rPr>
          <w:rFonts w:ascii="Arial" w:hAnsi="Arial" w:cs="Arial"/>
          <w:b/>
          <w:sz w:val="20"/>
          <w:szCs w:val="20"/>
        </w:rPr>
      </w:pPr>
      <w:hyperlink r:id="rId27" w:history="1">
        <w:r w:rsidR="00614569" w:rsidRPr="00683B3A">
          <w:rPr>
            <w:rStyle w:val="Hyperlink"/>
            <w:rFonts w:ascii="Arial" w:hAnsi="Arial"/>
            <w:b/>
            <w:sz w:val="20"/>
            <w:szCs w:val="20"/>
          </w:rPr>
          <w:t xml:space="preserve">Acórdão 2307/2018 </w:t>
        </w:r>
        <w:r w:rsidR="00683B3A">
          <w:rPr>
            <w:rStyle w:val="Hyperlink"/>
            <w:rFonts w:ascii="Arial" w:hAnsi="Arial"/>
            <w:b/>
            <w:sz w:val="20"/>
            <w:szCs w:val="20"/>
          </w:rPr>
          <w:t xml:space="preserve">- </w:t>
        </w:r>
        <w:r w:rsidR="00614569" w:rsidRPr="00683B3A">
          <w:rPr>
            <w:rStyle w:val="Hyperlink"/>
            <w:rFonts w:ascii="Arial" w:hAnsi="Arial"/>
            <w:b/>
            <w:sz w:val="20"/>
            <w:szCs w:val="20"/>
          </w:rPr>
          <w:t>Plenário</w:t>
        </w:r>
      </w:hyperlink>
      <w:r w:rsidR="00614569">
        <w:rPr>
          <w:rFonts w:ascii="Arial" w:hAnsi="Arial"/>
          <w:b/>
          <w:sz w:val="20"/>
          <w:szCs w:val="20"/>
        </w:rPr>
        <w:t xml:space="preserve"> </w:t>
      </w:r>
      <w:r w:rsidR="00614569">
        <w:rPr>
          <w:rFonts w:ascii="Arial" w:hAnsi="Arial"/>
          <w:sz w:val="20"/>
          <w:szCs w:val="20"/>
        </w:rPr>
        <w:t>(Embargos de Declaração, Relator Ministra Ana Arraes)</w:t>
      </w:r>
    </w:p>
    <w:p w:rsidR="00614569" w:rsidRPr="00614569" w:rsidRDefault="00614569" w:rsidP="00614569">
      <w:pPr>
        <w:jc w:val="both"/>
        <w:rPr>
          <w:rFonts w:ascii="Arial" w:hAnsi="Arial" w:cs="Arial"/>
          <w:b/>
          <w:sz w:val="20"/>
          <w:szCs w:val="20"/>
        </w:rPr>
      </w:pPr>
      <w:r w:rsidRPr="00614569">
        <w:rPr>
          <w:rFonts w:ascii="Arial" w:hAnsi="Arial"/>
          <w:b/>
          <w:sz w:val="20"/>
          <w:szCs w:val="20"/>
        </w:rPr>
        <w:lastRenderedPageBreak/>
        <w:t>Direito Processual. Julgamento. Fundamentação. Princípio do livre convencimento motivado. Parecer técnico. Instrução de processo.</w:t>
      </w:r>
    </w:p>
    <w:p w:rsidR="00614569" w:rsidRDefault="00614569" w:rsidP="00614569">
      <w:pPr>
        <w:jc w:val="both"/>
        <w:rPr>
          <w:rFonts w:ascii="Arial" w:hAnsi="Arial"/>
          <w:sz w:val="20"/>
          <w:szCs w:val="20"/>
        </w:rPr>
      </w:pPr>
      <w:r>
        <w:rPr>
          <w:rFonts w:ascii="Arial" w:hAnsi="Arial"/>
          <w:sz w:val="20"/>
          <w:szCs w:val="20"/>
        </w:rPr>
        <w:t>O relator, que preside a instrução do processo, pode acolher qualquer uma das manifestações técnicas contidas no processo, ou até ser contrário a todas, para formação do seu livre convencimento e busca da verdade material.</w:t>
      </w:r>
    </w:p>
    <w:p w:rsidR="00614569" w:rsidRDefault="00BC0B82" w:rsidP="00614569">
      <w:pPr>
        <w:widowControl w:val="0"/>
        <w:autoSpaceDE w:val="0"/>
        <w:autoSpaceDN w:val="0"/>
        <w:jc w:val="both"/>
        <w:rPr>
          <w:rFonts w:ascii="Arial" w:hAnsi="Arial" w:cs="Arial"/>
          <w:b/>
          <w:sz w:val="20"/>
          <w:szCs w:val="20"/>
        </w:rPr>
      </w:pPr>
      <w:hyperlink r:id="rId28" w:history="1">
        <w:r w:rsidR="00614569" w:rsidRPr="00683B3A">
          <w:rPr>
            <w:rStyle w:val="Hyperlink"/>
            <w:rFonts w:ascii="Arial" w:hAnsi="Arial" w:cs="Arial"/>
            <w:b/>
            <w:sz w:val="20"/>
            <w:szCs w:val="20"/>
          </w:rPr>
          <w:t xml:space="preserve">Acórdão 11867/2018 </w:t>
        </w:r>
        <w:r w:rsidR="00683B3A">
          <w:rPr>
            <w:rStyle w:val="Hyperlink"/>
            <w:rFonts w:ascii="Arial" w:hAnsi="Arial" w:cs="Arial"/>
            <w:b/>
            <w:sz w:val="20"/>
            <w:szCs w:val="20"/>
          </w:rPr>
          <w:t xml:space="preserve">- </w:t>
        </w:r>
        <w:r w:rsidR="00614569" w:rsidRPr="00683B3A">
          <w:rPr>
            <w:rStyle w:val="Hyperlink"/>
            <w:rFonts w:ascii="Arial" w:hAnsi="Arial" w:cs="Arial"/>
            <w:b/>
            <w:sz w:val="20"/>
            <w:szCs w:val="20"/>
          </w:rPr>
          <w:t>Primeira Câmara</w:t>
        </w:r>
      </w:hyperlink>
      <w:r w:rsidR="00614569">
        <w:rPr>
          <w:rFonts w:ascii="Arial" w:hAnsi="Arial" w:cs="Arial"/>
          <w:b/>
          <w:sz w:val="20"/>
          <w:szCs w:val="20"/>
        </w:rPr>
        <w:t xml:space="preserve"> </w:t>
      </w:r>
      <w:r w:rsidR="00614569">
        <w:rPr>
          <w:rFonts w:ascii="Arial" w:hAnsi="Arial" w:cs="Arial"/>
          <w:sz w:val="20"/>
          <w:szCs w:val="20"/>
        </w:rPr>
        <w:t xml:space="preserve">(Recurso de Reconsideração, Relator Ministro Benjamin </w:t>
      </w:r>
      <w:proofErr w:type="spellStart"/>
      <w:r w:rsidR="00614569">
        <w:rPr>
          <w:rFonts w:ascii="Arial" w:hAnsi="Arial" w:cs="Arial"/>
          <w:sz w:val="20"/>
          <w:szCs w:val="20"/>
        </w:rPr>
        <w:t>Zymler</w:t>
      </w:r>
      <w:proofErr w:type="spellEnd"/>
      <w:r w:rsidR="00614569">
        <w:rPr>
          <w:rFonts w:ascii="Arial" w:hAnsi="Arial" w:cs="Arial"/>
          <w:sz w:val="20"/>
          <w:szCs w:val="20"/>
        </w:rPr>
        <w:t>)</w:t>
      </w:r>
    </w:p>
    <w:p w:rsidR="00614569" w:rsidRPr="00614569" w:rsidRDefault="00614569" w:rsidP="00614569">
      <w:pPr>
        <w:jc w:val="both"/>
        <w:rPr>
          <w:rFonts w:ascii="Arial" w:hAnsi="Arial" w:cs="Arial"/>
          <w:b/>
          <w:sz w:val="20"/>
          <w:szCs w:val="20"/>
        </w:rPr>
      </w:pPr>
      <w:r w:rsidRPr="00614569">
        <w:rPr>
          <w:rFonts w:ascii="Arial" w:hAnsi="Arial" w:cs="Arial"/>
          <w:b/>
          <w:sz w:val="20"/>
          <w:szCs w:val="20"/>
        </w:rPr>
        <w:t>Responsabilidade. Convênio. Débito. Artista consagrado. Pagamento. Cachê. Nexo de causalidade.</w:t>
      </w:r>
    </w:p>
    <w:p w:rsidR="00614569" w:rsidRDefault="00614569" w:rsidP="00614569">
      <w:pPr>
        <w:pStyle w:val="TCU-Epgrafe"/>
        <w:spacing w:after="200" w:line="276" w:lineRule="auto"/>
        <w:ind w:left="0"/>
        <w:rPr>
          <w:rFonts w:ascii="Arial" w:hAnsi="Arial" w:cs="Arial"/>
          <w:sz w:val="20"/>
        </w:rPr>
      </w:pPr>
      <w:r>
        <w:rPr>
          <w:rFonts w:ascii="Arial" w:hAnsi="Arial" w:cs="Arial"/>
          <w:sz w:val="20"/>
        </w:rPr>
        <w:t>Na contratação de profissional do setor artístico com recursos de convênio, a ausência de recibo ou documento congênere que comprove o efetivo recebimento do cachê pelo artista ou por seu representante exclusivo implica a imputação de débito ao responsável com o consequente julgamento pela irregularidade das contas, uma vez que impede o estabelecimento do nexo causal entre os recursos transferidos e os serviços artísticos prestados.</w:t>
      </w:r>
    </w:p>
    <w:p w:rsidR="00614569" w:rsidRDefault="00BC0B82" w:rsidP="00614569">
      <w:pPr>
        <w:widowControl w:val="0"/>
        <w:autoSpaceDE w:val="0"/>
        <w:autoSpaceDN w:val="0"/>
        <w:jc w:val="both"/>
        <w:rPr>
          <w:rFonts w:ascii="Arial" w:hAnsi="Arial" w:cs="Arial"/>
          <w:b/>
          <w:sz w:val="20"/>
          <w:szCs w:val="20"/>
        </w:rPr>
      </w:pPr>
      <w:hyperlink r:id="rId29" w:history="1">
        <w:r w:rsidR="00614569" w:rsidRPr="00E1658B">
          <w:rPr>
            <w:rStyle w:val="Hyperlink"/>
            <w:rFonts w:ascii="Arial" w:hAnsi="Arial" w:cs="Arial"/>
            <w:b/>
            <w:sz w:val="20"/>
            <w:szCs w:val="20"/>
          </w:rPr>
          <w:t xml:space="preserve">Acórdão 11857/2018 </w:t>
        </w:r>
        <w:r w:rsidR="00E1658B">
          <w:rPr>
            <w:rStyle w:val="Hyperlink"/>
            <w:rFonts w:ascii="Arial" w:hAnsi="Arial" w:cs="Arial"/>
            <w:b/>
            <w:sz w:val="20"/>
            <w:szCs w:val="20"/>
          </w:rPr>
          <w:t xml:space="preserve">- </w:t>
        </w:r>
        <w:r w:rsidR="00614569" w:rsidRPr="00E1658B">
          <w:rPr>
            <w:rStyle w:val="Hyperlink"/>
            <w:rFonts w:ascii="Arial" w:hAnsi="Arial" w:cs="Arial"/>
            <w:b/>
            <w:sz w:val="20"/>
            <w:szCs w:val="20"/>
          </w:rPr>
          <w:t>Primeira Câmara</w:t>
        </w:r>
      </w:hyperlink>
      <w:r w:rsidR="00614569">
        <w:rPr>
          <w:rFonts w:ascii="Arial" w:hAnsi="Arial" w:cs="Arial"/>
          <w:b/>
          <w:sz w:val="20"/>
          <w:szCs w:val="20"/>
        </w:rPr>
        <w:t xml:space="preserve"> </w:t>
      </w:r>
      <w:r w:rsidR="00614569">
        <w:rPr>
          <w:rFonts w:ascii="Arial" w:hAnsi="Arial" w:cs="Arial"/>
          <w:sz w:val="20"/>
          <w:szCs w:val="20"/>
        </w:rPr>
        <w:t>(Pedido de Reexame, Relator Ministro Bruno Dantas)</w:t>
      </w:r>
    </w:p>
    <w:p w:rsidR="00614569" w:rsidRPr="00614569" w:rsidRDefault="00614569" w:rsidP="00614569">
      <w:pPr>
        <w:jc w:val="both"/>
        <w:rPr>
          <w:rFonts w:ascii="Arial" w:hAnsi="Arial" w:cs="Arial"/>
          <w:b/>
          <w:sz w:val="20"/>
          <w:szCs w:val="20"/>
        </w:rPr>
      </w:pPr>
      <w:r w:rsidRPr="00614569">
        <w:rPr>
          <w:rFonts w:ascii="Arial" w:hAnsi="Arial" w:cs="Arial"/>
          <w:b/>
          <w:sz w:val="20"/>
          <w:szCs w:val="20"/>
        </w:rPr>
        <w:t>Pessoal. Acumulação de cargo público. Proventos. Aposentadoria. Ato sujeito a registro.</w:t>
      </w:r>
    </w:p>
    <w:p w:rsidR="00614569" w:rsidRDefault="00614569" w:rsidP="00614569">
      <w:pPr>
        <w:jc w:val="both"/>
        <w:rPr>
          <w:rFonts w:ascii="Arial" w:hAnsi="Arial" w:cs="Arial"/>
          <w:sz w:val="20"/>
          <w:szCs w:val="20"/>
        </w:rPr>
      </w:pPr>
      <w:r>
        <w:rPr>
          <w:rFonts w:ascii="Arial" w:hAnsi="Arial" w:cs="Arial"/>
          <w:sz w:val="20"/>
          <w:szCs w:val="20"/>
        </w:rPr>
        <w:t xml:space="preserve">É legal a concessão de segunda aposentadoria estatutária a servidor que, já estando aposentado em outro cargo público, reingressou no serviço público em cargo não acumulável antes da vigência da </w:t>
      </w:r>
      <w:hyperlink r:id="rId30" w:history="1">
        <w:r>
          <w:rPr>
            <w:rStyle w:val="Hyperlink"/>
            <w:rFonts w:ascii="Arial" w:hAnsi="Arial" w:cs="Arial"/>
            <w:color w:val="0000FF" w:themeColor="hyperlink"/>
            <w:sz w:val="20"/>
            <w:szCs w:val="20"/>
          </w:rPr>
          <w:t>EC 20/1998</w:t>
        </w:r>
      </w:hyperlink>
      <w:r>
        <w:rPr>
          <w:rFonts w:ascii="Arial" w:hAnsi="Arial" w:cs="Arial"/>
          <w:sz w:val="20"/>
          <w:szCs w:val="20"/>
        </w:rPr>
        <w:t xml:space="preserve">. No entanto, um dos atos de inativação não pode produzir efeitos financeiros, devendo o beneficiário optar pela percepção de um dos proventos, ante a vedação contida no art. 40, § 6º, da </w:t>
      </w:r>
      <w:hyperlink r:id="rId31" w:history="1">
        <w:r>
          <w:rPr>
            <w:rStyle w:val="Hyperlink"/>
            <w:rFonts w:ascii="Arial" w:hAnsi="Arial" w:cs="Arial"/>
            <w:color w:val="0000FF" w:themeColor="hyperlink"/>
            <w:sz w:val="20"/>
            <w:szCs w:val="20"/>
          </w:rPr>
          <w:t>Constituição Federal</w:t>
        </w:r>
      </w:hyperlink>
      <w:r>
        <w:rPr>
          <w:rFonts w:ascii="Arial" w:hAnsi="Arial" w:cs="Arial"/>
          <w:sz w:val="20"/>
          <w:szCs w:val="20"/>
        </w:rPr>
        <w:t xml:space="preserve"> c/c o art. 11 da </w:t>
      </w:r>
      <w:hyperlink r:id="rId32" w:history="1">
        <w:r>
          <w:rPr>
            <w:rStyle w:val="Hyperlink"/>
            <w:rFonts w:ascii="Arial" w:hAnsi="Arial" w:cs="Arial"/>
            <w:color w:val="0000FF" w:themeColor="hyperlink"/>
            <w:sz w:val="20"/>
            <w:szCs w:val="20"/>
          </w:rPr>
          <w:t>EC 20/1998</w:t>
        </w:r>
      </w:hyperlink>
      <w:r>
        <w:rPr>
          <w:rFonts w:ascii="Arial" w:hAnsi="Arial" w:cs="Arial"/>
          <w:sz w:val="20"/>
          <w:szCs w:val="20"/>
        </w:rPr>
        <w:t>.</w:t>
      </w:r>
    </w:p>
    <w:p w:rsidR="00411524" w:rsidRPr="009B0044" w:rsidRDefault="00411524" w:rsidP="00411524">
      <w:pPr>
        <w:pStyle w:val="TCU-Epgrafe"/>
        <w:spacing w:after="200" w:line="276" w:lineRule="auto"/>
        <w:ind w:left="0"/>
        <w:jc w:val="center"/>
        <w:rPr>
          <w:rFonts w:ascii="Arial" w:hAnsi="Arial"/>
          <w:b/>
          <w:sz w:val="20"/>
        </w:rPr>
      </w:pPr>
      <w:r w:rsidRPr="009B0044">
        <w:rPr>
          <w:rFonts w:ascii="Arial" w:hAnsi="Arial" w:cs="Arial"/>
          <w:b/>
          <w:sz w:val="20"/>
        </w:rPr>
        <w:t>Destaque</w:t>
      </w:r>
    </w:p>
    <w:p w:rsidR="00411524" w:rsidRPr="0022060B" w:rsidRDefault="00411524" w:rsidP="00411524">
      <w:pPr>
        <w:autoSpaceDE w:val="0"/>
        <w:autoSpaceDN w:val="0"/>
        <w:adjustRightInd w:val="0"/>
        <w:spacing w:after="0"/>
        <w:jc w:val="center"/>
        <w:rPr>
          <w:rFonts w:ascii="Arial" w:hAnsi="Arial" w:cs="Arial"/>
          <w:sz w:val="20"/>
          <w:szCs w:val="20"/>
        </w:rPr>
      </w:pPr>
      <w:r>
        <w:rPr>
          <w:rFonts w:ascii="Arial" w:hAnsi="Arial" w:cs="Arial"/>
          <w:sz w:val="20"/>
          <w:szCs w:val="20"/>
        </w:rPr>
        <w:t xml:space="preserve">Voto - Vista - Tribunal de Contas do Municípios do Estado da Bahia - TCM-BA </w:t>
      </w:r>
    </w:p>
    <w:p w:rsidR="00411524" w:rsidRPr="0022060B" w:rsidRDefault="00411524" w:rsidP="00411524">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6944" behindDoc="0" locked="0" layoutInCell="1" allowOverlap="1" wp14:anchorId="5FAB313F" wp14:editId="458D1FBE">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F6D5E5" id="Conector reto 2"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rsidR="00411524" w:rsidRPr="007213C1" w:rsidRDefault="00411524" w:rsidP="00411524">
      <w:pPr>
        <w:pStyle w:val="TCU-Epgrafe"/>
        <w:spacing w:after="200" w:line="276" w:lineRule="auto"/>
        <w:ind w:left="0"/>
        <w:jc w:val="center"/>
        <w:rPr>
          <w:rFonts w:ascii="Arial" w:hAnsi="Arial" w:cs="Arial"/>
          <w:b/>
          <w:color w:val="292B2C"/>
          <w:sz w:val="20"/>
          <w:shd w:val="clear" w:color="auto" w:fill="FFFFFF"/>
        </w:rPr>
      </w:pPr>
      <w:r>
        <w:rPr>
          <w:rFonts w:ascii="Arial" w:hAnsi="Arial" w:cs="Arial"/>
          <w:b/>
          <w:color w:val="292B2C"/>
          <w:sz w:val="20"/>
          <w:shd w:val="clear" w:color="auto" w:fill="FFFFFF"/>
        </w:rPr>
        <w:t xml:space="preserve">Processo </w:t>
      </w:r>
      <w:r w:rsidRPr="007213C1">
        <w:rPr>
          <w:rFonts w:ascii="Arial" w:hAnsi="Arial" w:cs="Arial"/>
          <w:b/>
          <w:color w:val="292B2C"/>
          <w:sz w:val="20"/>
          <w:shd w:val="clear" w:color="auto" w:fill="FFFFFF"/>
        </w:rPr>
        <w:t xml:space="preserve">n. </w:t>
      </w:r>
      <w:r>
        <w:rPr>
          <w:rFonts w:ascii="Arial" w:hAnsi="Arial" w:cs="Arial"/>
          <w:b/>
          <w:color w:val="292B2C"/>
          <w:sz w:val="20"/>
          <w:shd w:val="clear" w:color="auto" w:fill="FFFFFF"/>
        </w:rPr>
        <w:t>14.569-13</w:t>
      </w:r>
    </w:p>
    <w:p w:rsidR="00411524" w:rsidRDefault="00411524" w:rsidP="00411524">
      <w:pPr>
        <w:pStyle w:val="TCU-Epgrafe"/>
        <w:ind w:left="0"/>
        <w:rPr>
          <w:rFonts w:ascii="Arial" w:hAnsi="Arial" w:cs="Arial"/>
          <w:sz w:val="20"/>
          <w:shd w:val="clear" w:color="auto" w:fill="FFFFFF"/>
        </w:rPr>
      </w:pPr>
      <w:r w:rsidRPr="00411524">
        <w:rPr>
          <w:rFonts w:ascii="Arial" w:hAnsi="Arial" w:cs="Arial"/>
          <w:sz w:val="20"/>
          <w:shd w:val="clear" w:color="auto" w:fill="FFFFFF"/>
        </w:rPr>
        <w:t>Resultado</w:t>
      </w:r>
      <w:r>
        <w:rPr>
          <w:rFonts w:ascii="Arial" w:hAnsi="Arial" w:cs="Arial"/>
          <w:sz w:val="20"/>
          <w:shd w:val="clear" w:color="auto" w:fill="FFFFFF"/>
        </w:rPr>
        <w:t xml:space="preserve"> </w:t>
      </w:r>
      <w:r w:rsidRPr="00411524">
        <w:rPr>
          <w:rFonts w:ascii="Arial" w:hAnsi="Arial" w:cs="Arial"/>
          <w:sz w:val="20"/>
          <w:shd w:val="clear" w:color="auto" w:fill="FFFFFF"/>
        </w:rPr>
        <w:t>de pesquisa sobre o tratamento dado pelas Cortes de Contas relativo a recursos transferidos pela União no cálculo das despesas com pessoal no âmbito municipal, bem como sobre a possibilidade da aplicação de sanção na hipótese de eventual infração praticada pelos gestores</w:t>
      </w:r>
      <w:r>
        <w:rPr>
          <w:rFonts w:ascii="Arial" w:hAnsi="Arial" w:cs="Arial"/>
          <w:sz w:val="20"/>
          <w:shd w:val="clear" w:color="auto" w:fill="FFFFFF"/>
        </w:rPr>
        <w:t>.</w:t>
      </w:r>
    </w:p>
    <w:p w:rsidR="00411524" w:rsidRPr="007213C1" w:rsidRDefault="00411524" w:rsidP="00411524">
      <w:pPr>
        <w:pStyle w:val="TCU-Epgrafe"/>
        <w:ind w:left="0"/>
        <w:rPr>
          <w:rFonts w:ascii="Arial" w:hAnsi="Arial" w:cs="Arial"/>
          <w:color w:val="292B2C"/>
          <w:sz w:val="20"/>
          <w:shd w:val="clear" w:color="auto" w:fill="FFFFFF"/>
        </w:rPr>
      </w:pPr>
    </w:p>
    <w:p w:rsidR="00411524" w:rsidRDefault="00411524" w:rsidP="00411524">
      <w:pPr>
        <w:pStyle w:val="TCU-Epgrafe"/>
        <w:spacing w:after="200" w:line="276" w:lineRule="auto"/>
        <w:ind w:left="0"/>
        <w:jc w:val="center"/>
        <w:rPr>
          <w:rFonts w:ascii="Arial" w:hAnsi="Arial" w:cs="Arial"/>
          <w:b/>
          <w:sz w:val="20"/>
        </w:rPr>
      </w:pPr>
      <w:r w:rsidRPr="005A7AA5">
        <w:rPr>
          <w:rFonts w:ascii="Arial" w:hAnsi="Arial" w:cs="Arial"/>
          <w:b/>
          <w:sz w:val="20"/>
        </w:rPr>
        <w:t>Requerimento Externo do Tribunal de</w:t>
      </w:r>
      <w:r>
        <w:rPr>
          <w:rFonts w:ascii="Arial" w:hAnsi="Arial" w:cs="Arial"/>
          <w:b/>
          <w:sz w:val="20"/>
        </w:rPr>
        <w:t xml:space="preserve"> Justiça do Estado do Paraná </w:t>
      </w:r>
      <w:r w:rsidRPr="005A7AA5">
        <w:rPr>
          <w:rFonts w:ascii="Arial" w:hAnsi="Arial" w:cs="Arial"/>
          <w:b/>
          <w:sz w:val="20"/>
        </w:rPr>
        <w:t>no TCE/PR</w:t>
      </w:r>
      <w:r>
        <w:rPr>
          <w:rFonts w:ascii="Arial" w:hAnsi="Arial" w:cs="Arial"/>
          <w:b/>
          <w:sz w:val="20"/>
        </w:rPr>
        <w:t xml:space="preserve"> </w:t>
      </w:r>
    </w:p>
    <w:p w:rsidR="00411524" w:rsidRPr="005A7AA5" w:rsidRDefault="00411524" w:rsidP="00411524">
      <w:pPr>
        <w:pStyle w:val="TCU-Epgrafe"/>
        <w:spacing w:after="200" w:line="276" w:lineRule="auto"/>
        <w:ind w:left="0"/>
        <w:jc w:val="center"/>
        <w:rPr>
          <w:rFonts w:ascii="Arial" w:hAnsi="Arial" w:cs="Arial"/>
          <w:b/>
          <w:sz w:val="20"/>
        </w:rPr>
      </w:pPr>
      <w:r>
        <w:rPr>
          <w:rFonts w:ascii="Arial" w:hAnsi="Arial" w:cs="Arial"/>
          <w:b/>
          <w:sz w:val="20"/>
        </w:rPr>
        <w:t>Processo</w:t>
      </w:r>
      <w:r w:rsidRPr="005A7AA5">
        <w:rPr>
          <w:rFonts w:ascii="Arial" w:hAnsi="Arial" w:cs="Arial"/>
          <w:b/>
          <w:sz w:val="20"/>
        </w:rPr>
        <w:t xml:space="preserve"> n° </w:t>
      </w:r>
      <w:r>
        <w:rPr>
          <w:rFonts w:ascii="Arial" w:hAnsi="Arial" w:cs="Arial"/>
          <w:b/>
          <w:sz w:val="20"/>
        </w:rPr>
        <w:t>749054</w:t>
      </w:r>
      <w:r w:rsidRPr="005A7AA5">
        <w:rPr>
          <w:rFonts w:ascii="Arial" w:hAnsi="Arial" w:cs="Arial"/>
          <w:b/>
          <w:sz w:val="20"/>
        </w:rPr>
        <w:t xml:space="preserve">/18 </w:t>
      </w:r>
    </w:p>
    <w:p w:rsidR="00411524" w:rsidRPr="005A7AA5" w:rsidRDefault="00411524" w:rsidP="00411524">
      <w:pPr>
        <w:pStyle w:val="TCU-Epgrafe"/>
        <w:spacing w:after="200" w:line="276" w:lineRule="auto"/>
        <w:ind w:left="0"/>
        <w:jc w:val="center"/>
        <w:rPr>
          <w:rFonts w:ascii="Arial" w:hAnsi="Arial" w:cs="Arial"/>
          <w:b/>
          <w:sz w:val="20"/>
        </w:rPr>
      </w:pPr>
      <w:r w:rsidRPr="005A7AA5">
        <w:rPr>
          <w:rFonts w:ascii="Arial" w:hAnsi="Arial" w:cs="Arial"/>
          <w:b/>
          <w:sz w:val="20"/>
        </w:rPr>
        <w:t xml:space="preserve">Informação n° </w:t>
      </w:r>
      <w:r w:rsidR="0039518C">
        <w:rPr>
          <w:rFonts w:ascii="Arial" w:hAnsi="Arial" w:cs="Arial"/>
          <w:b/>
          <w:sz w:val="20"/>
        </w:rPr>
        <w:t>146</w:t>
      </w:r>
      <w:r w:rsidRPr="005A7AA5">
        <w:rPr>
          <w:rFonts w:ascii="Arial" w:hAnsi="Arial" w:cs="Arial"/>
          <w:b/>
          <w:sz w:val="20"/>
        </w:rPr>
        <w:t>/18 - SJB</w:t>
      </w:r>
    </w:p>
    <w:p w:rsidR="00543DF0" w:rsidRDefault="00543DF0" w:rsidP="00543DF0">
      <w:pPr>
        <w:pStyle w:val="Default"/>
        <w:spacing w:after="200" w:line="276" w:lineRule="auto"/>
        <w:jc w:val="both"/>
        <w:rPr>
          <w:b/>
          <w:sz w:val="20"/>
          <w:szCs w:val="20"/>
        </w:rPr>
      </w:pPr>
      <w:r>
        <w:rPr>
          <w:b/>
          <w:sz w:val="20"/>
          <w:szCs w:val="20"/>
        </w:rPr>
        <w:lastRenderedPageBreak/>
        <w:t xml:space="preserve">Acesse também: </w:t>
      </w:r>
    </w:p>
    <w:p w:rsidR="00270E2F" w:rsidRDefault="00BC0B82" w:rsidP="00270E2F">
      <w:pPr>
        <w:pStyle w:val="Default"/>
        <w:spacing w:line="276" w:lineRule="auto"/>
        <w:jc w:val="center"/>
        <w:rPr>
          <w:rStyle w:val="Hyperlink"/>
          <w:b/>
          <w:sz w:val="20"/>
          <w:szCs w:val="20"/>
        </w:rPr>
      </w:pPr>
      <w:hyperlink r:id="rId33" w:history="1">
        <w:r w:rsidR="00270E2F" w:rsidRPr="00BC4C07">
          <w:rPr>
            <w:rStyle w:val="Hyperlink"/>
            <w:b/>
            <w:sz w:val="20"/>
            <w:szCs w:val="20"/>
          </w:rPr>
          <w:t>Pesquisas Prontas</w:t>
        </w:r>
      </w:hyperlink>
    </w:p>
    <w:p w:rsidR="00B7076B" w:rsidRDefault="00B7076B" w:rsidP="00270E2F">
      <w:pPr>
        <w:pStyle w:val="Default"/>
        <w:spacing w:line="276" w:lineRule="auto"/>
        <w:jc w:val="center"/>
        <w:rPr>
          <w:rStyle w:val="Hyperlink"/>
          <w:b/>
          <w:sz w:val="20"/>
          <w:szCs w:val="20"/>
        </w:rPr>
      </w:pPr>
    </w:p>
    <w:p w:rsidR="00B7076B" w:rsidRDefault="00BC0B82" w:rsidP="00270E2F">
      <w:pPr>
        <w:pStyle w:val="Default"/>
        <w:spacing w:line="276" w:lineRule="auto"/>
        <w:jc w:val="center"/>
        <w:rPr>
          <w:rStyle w:val="Hyperlink"/>
          <w:b/>
          <w:sz w:val="20"/>
          <w:szCs w:val="20"/>
        </w:rPr>
      </w:pPr>
      <w:hyperlink r:id="rId34"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270E2F">
      <w:pPr>
        <w:pStyle w:val="Default"/>
        <w:spacing w:line="276" w:lineRule="auto"/>
        <w:jc w:val="center"/>
        <w:rPr>
          <w:rStyle w:val="Hyperlink"/>
          <w:b/>
          <w:sz w:val="20"/>
          <w:szCs w:val="20"/>
        </w:rPr>
      </w:pPr>
    </w:p>
    <w:p w:rsidR="00B7076B" w:rsidRPr="00BC4C07" w:rsidRDefault="00BC0B82" w:rsidP="00270E2F">
      <w:pPr>
        <w:pStyle w:val="Default"/>
        <w:spacing w:line="276" w:lineRule="auto"/>
        <w:jc w:val="center"/>
        <w:rPr>
          <w:b/>
          <w:sz w:val="20"/>
          <w:szCs w:val="20"/>
        </w:rPr>
      </w:pPr>
      <w:hyperlink r:id="rId35" w:history="1">
        <w:proofErr w:type="spellStart"/>
        <w:r w:rsidR="00B7076B" w:rsidRPr="00B7076B">
          <w:rPr>
            <w:rStyle w:val="Hyperlink"/>
            <w:b/>
            <w:sz w:val="20"/>
            <w:szCs w:val="20"/>
          </w:rPr>
          <w:t>Interjuris</w:t>
        </w:r>
        <w:proofErr w:type="spellEnd"/>
      </w:hyperlink>
    </w:p>
    <w:p w:rsidR="00270E2F" w:rsidRDefault="00270E2F" w:rsidP="00270E2F">
      <w:pPr>
        <w:pStyle w:val="Default"/>
        <w:spacing w:line="276" w:lineRule="auto"/>
        <w:jc w:val="center"/>
      </w:pPr>
    </w:p>
    <w:p w:rsidR="00270E2F" w:rsidRDefault="00BC0B82" w:rsidP="00270E2F">
      <w:pPr>
        <w:pStyle w:val="Default"/>
        <w:spacing w:line="276" w:lineRule="auto"/>
        <w:jc w:val="center"/>
        <w:rPr>
          <w:rStyle w:val="Hyperlink"/>
          <w:b/>
          <w:sz w:val="20"/>
          <w:szCs w:val="20"/>
        </w:rPr>
      </w:pPr>
      <w:hyperlink r:id="rId36" w:history="1">
        <w:r w:rsidR="00270E2F">
          <w:rPr>
            <w:rStyle w:val="Hyperlink"/>
            <w:b/>
            <w:sz w:val="20"/>
            <w:szCs w:val="20"/>
          </w:rPr>
          <w:t>Repercussão Geral do Supremo Tribunal Federal - STF e os Tribunais de Contas</w:t>
        </w:r>
      </w:hyperlink>
    </w:p>
    <w:p w:rsidR="00270E2F" w:rsidRDefault="00270E2F" w:rsidP="00270E2F">
      <w:pPr>
        <w:pStyle w:val="Default"/>
        <w:spacing w:line="276" w:lineRule="auto"/>
        <w:jc w:val="center"/>
        <w:rPr>
          <w:rStyle w:val="Hyperlink"/>
          <w:b/>
          <w:sz w:val="20"/>
          <w:szCs w:val="20"/>
        </w:rPr>
      </w:pPr>
    </w:p>
    <w:p w:rsidR="00B7076B" w:rsidRPr="00DD265A" w:rsidRDefault="00BC0B82" w:rsidP="00270E2F">
      <w:pPr>
        <w:pStyle w:val="Default"/>
        <w:spacing w:line="276" w:lineRule="auto"/>
        <w:jc w:val="center"/>
        <w:rPr>
          <w:rStyle w:val="Hyperlink"/>
          <w:b/>
          <w:sz w:val="20"/>
          <w:szCs w:val="20"/>
        </w:rPr>
      </w:pPr>
      <w:hyperlink r:id="rId37" w:history="1">
        <w:r w:rsidR="00B7076B" w:rsidRPr="00B7076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F44BD1" w:rsidRDefault="00F44BD1" w:rsidP="00F44BD1">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44BD1" w:rsidRDefault="00F44BD1" w:rsidP="00F44BD1">
      <w:pPr>
        <w:spacing w:after="0"/>
        <w:jc w:val="center"/>
        <w:rPr>
          <w:b/>
        </w:rPr>
      </w:pPr>
      <w:r>
        <w:rPr>
          <w:rStyle w:val="nfase"/>
          <w:rFonts w:ascii="Tahoma" w:hAnsi="Tahoma" w:cs="Tahoma"/>
          <w:sz w:val="20"/>
          <w:szCs w:val="20"/>
        </w:rPr>
        <w:t>E-mail: jurisprudencia@tce.pr.gov.br</w:t>
      </w:r>
    </w:p>
    <w:p w:rsidR="00F44BD1" w:rsidRDefault="00F44BD1" w:rsidP="00F44BD1">
      <w:pPr>
        <w:widowControl w:val="0"/>
        <w:autoSpaceDE w:val="0"/>
        <w:autoSpaceDN w:val="0"/>
        <w:spacing w:after="0"/>
        <w:jc w:val="both"/>
        <w:rPr>
          <w:rFonts w:ascii="Arial" w:hAnsi="Arial" w:cs="Arial"/>
          <w:b/>
          <w:sz w:val="20"/>
          <w:szCs w:val="20"/>
        </w:rPr>
      </w:pP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8"/>
      <w:footerReference w:type="defaul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17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A00"/>
    <w:rsid w:val="000A3C2D"/>
    <w:rsid w:val="000A3E63"/>
    <w:rsid w:val="000A47FD"/>
    <w:rsid w:val="000A4EB6"/>
    <w:rsid w:val="000A5F01"/>
    <w:rsid w:val="000A71D1"/>
    <w:rsid w:val="000B04A0"/>
    <w:rsid w:val="000B11D2"/>
    <w:rsid w:val="000B1E10"/>
    <w:rsid w:val="000B2FD9"/>
    <w:rsid w:val="000B311A"/>
    <w:rsid w:val="000B31B6"/>
    <w:rsid w:val="000B47C0"/>
    <w:rsid w:val="000B4A4D"/>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37838"/>
    <w:rsid w:val="001411E6"/>
    <w:rsid w:val="001415BA"/>
    <w:rsid w:val="00142D10"/>
    <w:rsid w:val="00144712"/>
    <w:rsid w:val="001472C1"/>
    <w:rsid w:val="00150844"/>
    <w:rsid w:val="00151AD7"/>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3AEA"/>
    <w:rsid w:val="001E5F2E"/>
    <w:rsid w:val="001E6CAA"/>
    <w:rsid w:val="001E73FF"/>
    <w:rsid w:val="001E75A7"/>
    <w:rsid w:val="001F3176"/>
    <w:rsid w:val="001F7A25"/>
    <w:rsid w:val="002013D1"/>
    <w:rsid w:val="0020195B"/>
    <w:rsid w:val="00202E6D"/>
    <w:rsid w:val="00202F4B"/>
    <w:rsid w:val="002036C8"/>
    <w:rsid w:val="002100EE"/>
    <w:rsid w:val="00211A49"/>
    <w:rsid w:val="00211F9A"/>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36DB"/>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811"/>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18C"/>
    <w:rsid w:val="0039584A"/>
    <w:rsid w:val="00395F8B"/>
    <w:rsid w:val="0039625A"/>
    <w:rsid w:val="00396E93"/>
    <w:rsid w:val="003A4828"/>
    <w:rsid w:val="003A64CB"/>
    <w:rsid w:val="003A6622"/>
    <w:rsid w:val="003A673F"/>
    <w:rsid w:val="003B145D"/>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524"/>
    <w:rsid w:val="00411935"/>
    <w:rsid w:val="0041337A"/>
    <w:rsid w:val="00416A72"/>
    <w:rsid w:val="00420AE1"/>
    <w:rsid w:val="0042728A"/>
    <w:rsid w:val="004276DC"/>
    <w:rsid w:val="0042779B"/>
    <w:rsid w:val="004324A7"/>
    <w:rsid w:val="0043291F"/>
    <w:rsid w:val="0043355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6B59"/>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2EAF"/>
    <w:rsid w:val="00613D08"/>
    <w:rsid w:val="00614569"/>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3B3A"/>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5A09"/>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053"/>
    <w:rsid w:val="008E0835"/>
    <w:rsid w:val="008E16ED"/>
    <w:rsid w:val="008E280E"/>
    <w:rsid w:val="008E2BA7"/>
    <w:rsid w:val="008E5642"/>
    <w:rsid w:val="008E5CC2"/>
    <w:rsid w:val="008F2E20"/>
    <w:rsid w:val="008F5808"/>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657"/>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5091"/>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426"/>
    <w:rsid w:val="009C5C75"/>
    <w:rsid w:val="009C672C"/>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07FA7"/>
    <w:rsid w:val="00A10857"/>
    <w:rsid w:val="00A1221A"/>
    <w:rsid w:val="00A1269B"/>
    <w:rsid w:val="00A129B4"/>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308"/>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7706"/>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31B"/>
    <w:rsid w:val="00BB2D9C"/>
    <w:rsid w:val="00BB3512"/>
    <w:rsid w:val="00BB5D1E"/>
    <w:rsid w:val="00BB62CC"/>
    <w:rsid w:val="00BB7ED6"/>
    <w:rsid w:val="00BC0B82"/>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5A6E"/>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7F75"/>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5B74"/>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1658B"/>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D4D"/>
    <w:rsid w:val="00EC5D5D"/>
    <w:rsid w:val="00EC7908"/>
    <w:rsid w:val="00EC7C2B"/>
    <w:rsid w:val="00ED1F02"/>
    <w:rsid w:val="00ED213D"/>
    <w:rsid w:val="00ED68D1"/>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31D6"/>
    <w:rsid w:val="00F368B9"/>
    <w:rsid w:val="00F3739F"/>
    <w:rsid w:val="00F374C1"/>
    <w:rsid w:val="00F37B34"/>
    <w:rsid w:val="00F37C53"/>
    <w:rsid w:val="00F41C34"/>
    <w:rsid w:val="00F4212F"/>
    <w:rsid w:val="00F447DB"/>
    <w:rsid w:val="00F447FA"/>
    <w:rsid w:val="00F44BD1"/>
    <w:rsid w:val="00F469B9"/>
    <w:rsid w:val="00F46C32"/>
    <w:rsid w:val="00F46ECB"/>
    <w:rsid w:val="00F50F94"/>
    <w:rsid w:val="00F52526"/>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3A6202C6"/>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character" w:customStyle="1" w:styleId="clsinformativotextotitulo">
    <w:name w:val="clsinformativotextotitulo"/>
    <w:basedOn w:val="Fontepargpadro"/>
    <w:rsid w:val="001E3AEA"/>
  </w:style>
  <w:style w:type="character" w:customStyle="1" w:styleId="clsinformativotexto">
    <w:name w:val="clsinformativotexto"/>
    <w:basedOn w:val="Fontepargpadro"/>
    <w:rsid w:val="001E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89175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062677988">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16223004">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9/pdf/00331361.pdf" TargetMode="External"/><Relationship Id="rId13" Type="http://schemas.openxmlformats.org/officeDocument/2006/relationships/hyperlink" Target="http://www1.tce.pr.gov.br/multimidia/2018/9/pdf/00331400.pdf" TargetMode="External"/><Relationship Id="rId18" Type="http://schemas.openxmlformats.org/officeDocument/2006/relationships/hyperlink" Target="https://contas.tcu.gov.br/sagas/SvlVisualizarRelVotoAcRtf?codFiltro=SAGAS-SESSAO-ENCERRADA&amp;seOcultaPagina=S&amp;item0=623126" TargetMode="External"/><Relationship Id="rId26" Type="http://schemas.openxmlformats.org/officeDocument/2006/relationships/hyperlink" Target="http://www.planalto.gov.br/CCIVIL_03/Leis/2002/L10520.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1-2014/2011/Lei/L12462.htm" TargetMode="External"/><Relationship Id="rId34" Type="http://schemas.openxmlformats.org/officeDocument/2006/relationships/hyperlink" Target="http://www1.tce.pr.gov.br/conteudo/teses-ambientais/316603/area/249" TargetMode="External"/><Relationship Id="rId7" Type="http://schemas.openxmlformats.org/officeDocument/2006/relationships/endnotes" Target="endnotes.xml"/><Relationship Id="rId12" Type="http://schemas.openxmlformats.org/officeDocument/2006/relationships/hyperlink" Target="http://www1.tce.pr.gov.br/multimidia/2018/10/pdf/00331874.pdf" TargetMode="External"/><Relationship Id="rId17" Type="http://schemas.openxmlformats.org/officeDocument/2006/relationships/hyperlink" Target="https://contas.tcu.gov.br/sagas/SvlVisualizarRelVotoAcRtf?codFiltro=SAGAS-SESSAO-ENCERRADA&amp;seOcultaPagina=S&amp;item0=631176" TargetMode="External"/><Relationship Id="rId25" Type="http://schemas.openxmlformats.org/officeDocument/2006/relationships/hyperlink" Target="https://contas.tcu.gov.br/sagas/SvlVisualizarRelVotoAcRtf?codFiltro=SAGAS-SESSAO-ENCERRADA&amp;seOcultaPagina=S&amp;item0=623126" TargetMode="External"/><Relationship Id="rId33" Type="http://schemas.openxmlformats.org/officeDocument/2006/relationships/hyperlink" Target="http://www1.tce.pr.gov.br/conteudo/pesquisas-prontas/308475/area/24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8/10/pdf/00331627.pdf" TargetMode="External"/><Relationship Id="rId20" Type="http://schemas.openxmlformats.org/officeDocument/2006/relationships/hyperlink" Target="https://contas.tcu.gov.br/sagas/SvlVisualizarRelVotoAcRtf?codFiltro=SAGAS-SESSAO-ENCERRADA&amp;seOcultaPagina=S&amp;item0=609847" TargetMode="External"/><Relationship Id="rId29" Type="http://schemas.openxmlformats.org/officeDocument/2006/relationships/hyperlink" Target="https://contas.tcu.gov.br/sagas/SvlVisualizarRelVotoAcRtf?codFiltro=SAGAS-SESSAO-ENCERRADA&amp;seOcultaPagina=S&amp;item0=6360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10/pdf/00331723.pdf" TargetMode="External"/><Relationship Id="rId24" Type="http://schemas.openxmlformats.org/officeDocument/2006/relationships/hyperlink" Target="https://contas.tcu.gov.br/sagas/SvlVisualizarRelVotoAcRtf?codFiltro=SAGAS-SESSAO-ENCERRADA&amp;seOcultaPagina=S&amp;item0=631176" TargetMode="External"/><Relationship Id="rId32" Type="http://schemas.openxmlformats.org/officeDocument/2006/relationships/hyperlink" Target="http://www.planalto.gov.br/ccivil_03/constituicao/Emendas/Emc/emc20.htm" TargetMode="External"/><Relationship Id="rId37" Type="http://schemas.openxmlformats.org/officeDocument/2006/relationships/hyperlink" Target="http://www1.tce.pr.gov.br/conteudo/sumulas-selecionadas/316602/area/24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8/9/pdf/00331401.pdf"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s://contas.tcu.gov.br/sagas/SvlVisualizarRelVotoAcRtf?codFiltro=SAGAS-SESSAO-ENCERRADA&amp;seOcultaPagina=S&amp;item0=642182" TargetMode="External"/><Relationship Id="rId36"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www1.tce.pr.gov.br/multimidia/2018/10/pdf/00331718.pdf" TargetMode="External"/><Relationship Id="rId19" Type="http://schemas.openxmlformats.org/officeDocument/2006/relationships/hyperlink" Target="http://www.planalto.gov.br/CCIVIL_03/Leis/2002/L10520.htm" TargetMode="External"/><Relationship Id="rId31" Type="http://schemas.openxmlformats.org/officeDocument/2006/relationships/hyperlink" Target="http://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1.tce.pr.gov.br/multimidia/2018/10/pdf/00331712.pdf" TargetMode="External"/><Relationship Id="rId14" Type="http://schemas.openxmlformats.org/officeDocument/2006/relationships/hyperlink" Target="http://www1.tce.pr.gov.br/multimidia/2018/10/pdf/00331660.pdf" TargetMode="External"/><Relationship Id="rId22" Type="http://schemas.openxmlformats.org/officeDocument/2006/relationships/hyperlink" Target="https://contas.tcu.gov.br/sagas/SvlVisualizarRelVotoAcRtf?codFiltro=SAGAS-SESSAO-ENCERRADA&amp;seOcultaPagina=S&amp;item0=620023" TargetMode="External"/><Relationship Id="rId27" Type="http://schemas.openxmlformats.org/officeDocument/2006/relationships/hyperlink" Target="https://contas.tcu.gov.br/sagas/SvlVisualizarRelVotoAcRtf?codFiltro=SAGAS-SESSAO-ENCERRADA&amp;seOcultaPagina=S&amp;item0=596657" TargetMode="External"/><Relationship Id="rId30" Type="http://schemas.openxmlformats.org/officeDocument/2006/relationships/hyperlink" Target="http://www.planalto.gov.br/ccivil_03/constituicao/Emendas/Emc/emc20.htm" TargetMode="External"/><Relationship Id="rId35"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7DA5-8BED-41DD-BB3F-BF63EF86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3775</Words>
  <Characters>20388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287</cp:revision>
  <cp:lastPrinted>2017-07-10T20:46:00Z</cp:lastPrinted>
  <dcterms:created xsi:type="dcterms:W3CDTF">2017-07-10T20:45:00Z</dcterms:created>
  <dcterms:modified xsi:type="dcterms:W3CDTF">2018-11-23T15:13:00Z</dcterms:modified>
</cp:coreProperties>
</file>