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571E2">
        <w:rPr>
          <w:rFonts w:ascii="Arial" w:hAnsi="Arial" w:cs="Arial"/>
          <w:b/>
          <w:sz w:val="20"/>
          <w:szCs w:val="20"/>
        </w:rPr>
        <w:t>3</w:t>
      </w:r>
      <w:r w:rsidR="0080061B">
        <w:rPr>
          <w:rFonts w:ascii="Arial" w:hAnsi="Arial" w:cs="Arial"/>
          <w:b/>
          <w:sz w:val="20"/>
          <w:szCs w:val="20"/>
        </w:rPr>
        <w:t>9</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B74EF8">
        <w:rPr>
          <w:rFonts w:ascii="Arial" w:hAnsi="Arial" w:cs="Arial"/>
          <w:b/>
          <w:sz w:val="20"/>
          <w:szCs w:val="20"/>
        </w:rPr>
        <w:t xml:space="preserve">Sessões: </w:t>
      </w:r>
      <w:r w:rsidR="00B74EF8" w:rsidRPr="00B74EF8">
        <w:rPr>
          <w:rFonts w:ascii="Arial" w:hAnsi="Arial" w:cs="Arial"/>
          <w:b/>
          <w:sz w:val="20"/>
          <w:szCs w:val="20"/>
        </w:rPr>
        <w:t>12</w:t>
      </w:r>
      <w:r w:rsidR="00814325" w:rsidRPr="00B74EF8">
        <w:rPr>
          <w:rFonts w:ascii="Arial" w:hAnsi="Arial" w:cs="Arial"/>
          <w:b/>
          <w:sz w:val="20"/>
          <w:szCs w:val="20"/>
        </w:rPr>
        <w:t>.</w:t>
      </w:r>
      <w:r w:rsidR="00015FB0" w:rsidRPr="00B74EF8">
        <w:rPr>
          <w:rFonts w:ascii="Arial" w:hAnsi="Arial" w:cs="Arial"/>
          <w:b/>
          <w:sz w:val="20"/>
          <w:szCs w:val="20"/>
        </w:rPr>
        <w:t>0</w:t>
      </w:r>
      <w:r w:rsidR="00B74EF8" w:rsidRPr="00B74EF8">
        <w:rPr>
          <w:rFonts w:ascii="Arial" w:hAnsi="Arial" w:cs="Arial"/>
          <w:b/>
          <w:sz w:val="20"/>
          <w:szCs w:val="20"/>
        </w:rPr>
        <w:t>6</w:t>
      </w:r>
      <w:r w:rsidR="005A0FD0" w:rsidRPr="00B74EF8">
        <w:rPr>
          <w:rFonts w:ascii="Arial" w:hAnsi="Arial" w:cs="Arial"/>
          <w:b/>
          <w:sz w:val="20"/>
          <w:szCs w:val="20"/>
        </w:rPr>
        <w:t xml:space="preserve"> </w:t>
      </w:r>
      <w:r w:rsidR="000D4DE6" w:rsidRPr="00B74EF8">
        <w:rPr>
          <w:rFonts w:ascii="Arial" w:hAnsi="Arial" w:cs="Arial"/>
          <w:b/>
          <w:sz w:val="20"/>
          <w:szCs w:val="20"/>
        </w:rPr>
        <w:t>a</w:t>
      </w:r>
      <w:r w:rsidRPr="00B74EF8">
        <w:rPr>
          <w:rFonts w:ascii="Arial" w:hAnsi="Arial" w:cs="Arial"/>
          <w:b/>
          <w:sz w:val="20"/>
          <w:szCs w:val="20"/>
        </w:rPr>
        <w:t xml:space="preserve"> </w:t>
      </w:r>
      <w:r w:rsidR="00B74EF8" w:rsidRPr="00B74EF8">
        <w:rPr>
          <w:rFonts w:ascii="Arial" w:hAnsi="Arial" w:cs="Arial"/>
          <w:b/>
          <w:sz w:val="20"/>
          <w:szCs w:val="20"/>
        </w:rPr>
        <w:t>21</w:t>
      </w:r>
      <w:r w:rsidR="005A0FD0" w:rsidRPr="00B74EF8">
        <w:rPr>
          <w:rFonts w:ascii="Arial" w:hAnsi="Arial" w:cs="Arial"/>
          <w:b/>
          <w:sz w:val="20"/>
          <w:szCs w:val="20"/>
        </w:rPr>
        <w:t>.</w:t>
      </w:r>
      <w:r w:rsidR="00015FB0" w:rsidRPr="00B74EF8">
        <w:rPr>
          <w:rFonts w:ascii="Arial" w:hAnsi="Arial" w:cs="Arial"/>
          <w:b/>
          <w:sz w:val="20"/>
          <w:szCs w:val="20"/>
        </w:rPr>
        <w:t>0</w:t>
      </w:r>
      <w:r w:rsidR="00B74EF8" w:rsidRPr="00B74EF8">
        <w:rPr>
          <w:rFonts w:ascii="Arial" w:hAnsi="Arial" w:cs="Arial"/>
          <w:b/>
          <w:sz w:val="20"/>
          <w:szCs w:val="20"/>
        </w:rPr>
        <w:t>6</w:t>
      </w:r>
      <w:r w:rsidRPr="00B74EF8">
        <w:rPr>
          <w:rFonts w:ascii="Arial" w:hAnsi="Arial" w:cs="Arial"/>
          <w:b/>
          <w:sz w:val="20"/>
          <w:szCs w:val="20"/>
        </w:rPr>
        <w:t xml:space="preserve"> de 201</w:t>
      </w:r>
      <w:r w:rsidR="00015FB0" w:rsidRPr="00B74EF8">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E41475" w:rsidRPr="00E41475" w:rsidRDefault="00E41475" w:rsidP="00E41475">
      <w:pPr>
        <w:pStyle w:val="NormalWeb"/>
        <w:spacing w:before="0" w:beforeAutospacing="0" w:after="0" w:afterAutospacing="0" w:line="276" w:lineRule="auto"/>
        <w:jc w:val="both"/>
        <w:rPr>
          <w:rStyle w:val="Forte"/>
          <w:rFonts w:ascii="Arial" w:hAnsi="Arial" w:cs="Arial"/>
          <w:b w:val="0"/>
          <w:color w:val="000000"/>
          <w:sz w:val="20"/>
          <w:szCs w:val="20"/>
        </w:rPr>
      </w:pPr>
      <w:r>
        <w:rPr>
          <w:rStyle w:val="Forte"/>
          <w:rFonts w:ascii="Arial" w:hAnsi="Arial" w:cs="Arial"/>
          <w:b w:val="0"/>
          <w:color w:val="000000"/>
          <w:sz w:val="20"/>
          <w:szCs w:val="20"/>
        </w:rPr>
        <w:t xml:space="preserve">1. </w:t>
      </w:r>
      <w:r w:rsidRPr="00E41475">
        <w:rPr>
          <w:rStyle w:val="Forte"/>
          <w:rFonts w:ascii="Arial" w:hAnsi="Arial" w:cs="Arial"/>
          <w:b w:val="0"/>
          <w:color w:val="000000"/>
          <w:sz w:val="20"/>
          <w:szCs w:val="20"/>
        </w:rPr>
        <w:t>Prestação de Contas Anual. Exercício de 2012. Subsídios. Inflação. Recomposição monetária apenas ao poder legislativo. Evolução de entendimento sobre a matéria. Existência de decisão favorável à época, conforme Acórdão n° 698/2008 do Tribunal Pleno. Posição mais recente do Tribunal Pleno pela possibilidade da recomposição monetária. Acórdão n° 5537/15. Recomposição assegurada pelo art. 37, inciso X, da Constituição Federal. Existência de quadro próprio de pessoal. Edição de lei específica autorizadora da recomposição. IPCA. Legalidade do índice adotado conforme previsão do ato fixador dos subsídios. Regularidade.</w:t>
      </w:r>
    </w:p>
    <w:p w:rsidR="00E41475" w:rsidRDefault="00E41475" w:rsidP="00816942">
      <w:pPr>
        <w:spacing w:after="0"/>
        <w:jc w:val="both"/>
        <w:rPr>
          <w:rStyle w:val="Hyperlink"/>
          <w:rFonts w:ascii="Arial" w:hAnsi="Arial" w:cs="Arial"/>
          <w:b/>
          <w:color w:val="000000" w:themeColor="text1"/>
          <w:sz w:val="20"/>
          <w:szCs w:val="20"/>
          <w:u w:val="none"/>
        </w:rPr>
      </w:pPr>
    </w:p>
    <w:p w:rsidR="00F9025C" w:rsidRPr="00F9025C" w:rsidRDefault="00F9025C" w:rsidP="00F9025C">
      <w:pPr>
        <w:autoSpaceDE w:val="0"/>
        <w:autoSpaceDN w:val="0"/>
        <w:adjustRightInd w:val="0"/>
        <w:spacing w:after="0"/>
        <w:jc w:val="both"/>
        <w:rPr>
          <w:rFonts w:ascii="Arial" w:hAnsi="Arial" w:cs="Arial"/>
          <w:sz w:val="20"/>
          <w:szCs w:val="20"/>
        </w:rPr>
      </w:pPr>
      <w:r w:rsidRPr="00F9025C">
        <w:rPr>
          <w:rFonts w:ascii="Arial" w:hAnsi="Arial" w:cs="Arial"/>
          <w:sz w:val="20"/>
          <w:szCs w:val="20"/>
        </w:rPr>
        <w:t>2. Processo de Servidor do Tribunal. Abono de permanência. Jurisprudência consagrada. Termo inicial. Condições legais para a aposentação.</w:t>
      </w:r>
    </w:p>
    <w:p w:rsidR="00F9025C" w:rsidRDefault="00F9025C" w:rsidP="00816942">
      <w:pPr>
        <w:spacing w:after="0"/>
        <w:jc w:val="both"/>
        <w:rPr>
          <w:rStyle w:val="Hyperlink"/>
          <w:rFonts w:ascii="Arial" w:hAnsi="Arial" w:cs="Arial"/>
          <w:b/>
          <w:color w:val="000000" w:themeColor="text1"/>
          <w:sz w:val="20"/>
          <w:szCs w:val="20"/>
          <w:u w:val="none"/>
        </w:rPr>
      </w:pPr>
    </w:p>
    <w:p w:rsidR="00F9025C" w:rsidRPr="00F9025C" w:rsidRDefault="00F9025C" w:rsidP="00F9025C">
      <w:pPr>
        <w:autoSpaceDE w:val="0"/>
        <w:autoSpaceDN w:val="0"/>
        <w:adjustRightInd w:val="0"/>
        <w:spacing w:after="0"/>
        <w:jc w:val="both"/>
        <w:rPr>
          <w:rFonts w:ascii="Arial" w:hAnsi="Arial" w:cs="Arial"/>
          <w:sz w:val="20"/>
          <w:szCs w:val="20"/>
        </w:rPr>
      </w:pPr>
      <w:r w:rsidRPr="00F9025C">
        <w:rPr>
          <w:rFonts w:ascii="Arial" w:hAnsi="Arial" w:cs="Arial"/>
          <w:sz w:val="20"/>
          <w:szCs w:val="20"/>
        </w:rPr>
        <w:t>3. Admissão temporária de pessoal municipal. Cargo vago para o qual se exige concurso público. Cargo de médico. Demanda necessária. Ponderação. Registro. Recomendação.</w:t>
      </w:r>
    </w:p>
    <w:p w:rsidR="00F9025C" w:rsidRDefault="00F9025C" w:rsidP="00816942">
      <w:pPr>
        <w:spacing w:after="0"/>
        <w:jc w:val="both"/>
        <w:rPr>
          <w:rStyle w:val="Hyperlink"/>
          <w:rFonts w:ascii="Arial" w:hAnsi="Arial" w:cs="Arial"/>
          <w:b/>
          <w:color w:val="000000" w:themeColor="text1"/>
          <w:sz w:val="20"/>
          <w:szCs w:val="20"/>
          <w:u w:val="none"/>
        </w:rPr>
      </w:pPr>
    </w:p>
    <w:p w:rsidR="00FB53EC" w:rsidRPr="00FB53EC" w:rsidRDefault="00FB53EC" w:rsidP="00FB53EC">
      <w:pPr>
        <w:autoSpaceDE w:val="0"/>
        <w:autoSpaceDN w:val="0"/>
        <w:adjustRightInd w:val="0"/>
        <w:spacing w:after="0"/>
        <w:jc w:val="both"/>
        <w:rPr>
          <w:rFonts w:ascii="Arial" w:hAnsi="Arial" w:cs="Arial"/>
          <w:sz w:val="20"/>
          <w:szCs w:val="20"/>
        </w:rPr>
      </w:pPr>
      <w:r w:rsidRPr="00FB53EC">
        <w:rPr>
          <w:rFonts w:ascii="Arial" w:hAnsi="Arial" w:cs="Arial"/>
          <w:sz w:val="20"/>
          <w:szCs w:val="20"/>
        </w:rPr>
        <w:t xml:space="preserve">4. Prestação de contas de transferência. Extrapolação de valores previstos no plano de trabalho. Ausência de pesquisa de preço. Ausência de aplicação financeira. Divergência entre o saldo e o registrado no SIT. Ausência de indícios de </w:t>
      </w:r>
      <w:proofErr w:type="spellStart"/>
      <w:r w:rsidRPr="00FB53EC">
        <w:rPr>
          <w:rFonts w:ascii="Arial" w:hAnsi="Arial" w:cs="Arial"/>
          <w:sz w:val="20"/>
          <w:szCs w:val="20"/>
        </w:rPr>
        <w:t>dano</w:t>
      </w:r>
      <w:proofErr w:type="spellEnd"/>
      <w:r w:rsidRPr="00FB53EC">
        <w:rPr>
          <w:rFonts w:ascii="Arial" w:hAnsi="Arial" w:cs="Arial"/>
          <w:sz w:val="20"/>
          <w:szCs w:val="20"/>
        </w:rPr>
        <w:t xml:space="preserve"> ao erário e à execução do objeto conveniado. Regularidade com ressalva e recomendação.</w:t>
      </w:r>
    </w:p>
    <w:p w:rsidR="00FB53EC" w:rsidRDefault="00FB53EC" w:rsidP="00816942">
      <w:pPr>
        <w:spacing w:after="0"/>
        <w:jc w:val="both"/>
        <w:rPr>
          <w:rStyle w:val="Hyperlink"/>
          <w:rFonts w:ascii="Arial" w:hAnsi="Arial" w:cs="Arial"/>
          <w:b/>
          <w:color w:val="000000" w:themeColor="text1"/>
          <w:sz w:val="20"/>
          <w:szCs w:val="20"/>
          <w:u w:val="none"/>
        </w:rPr>
      </w:pPr>
    </w:p>
    <w:p w:rsidR="00864091" w:rsidRPr="00864091" w:rsidRDefault="00864091" w:rsidP="00864091">
      <w:pPr>
        <w:autoSpaceDE w:val="0"/>
        <w:autoSpaceDN w:val="0"/>
        <w:adjustRightInd w:val="0"/>
        <w:spacing w:after="0"/>
        <w:jc w:val="both"/>
        <w:rPr>
          <w:rFonts w:ascii="Arial" w:hAnsi="Arial" w:cs="Arial"/>
          <w:sz w:val="20"/>
          <w:szCs w:val="20"/>
        </w:rPr>
      </w:pPr>
      <w:r w:rsidRPr="00864091">
        <w:rPr>
          <w:rFonts w:ascii="Arial" w:hAnsi="Arial" w:cs="Arial"/>
          <w:sz w:val="20"/>
          <w:szCs w:val="20"/>
        </w:rPr>
        <w:t>5. Prestação de contas de transferência voluntária. Aplicação da Resolução 60/17. Princípios da eficiência, da economia processual e da racionalização administrativa</w:t>
      </w:r>
      <w:r w:rsidR="005B5A67">
        <w:rPr>
          <w:rFonts w:ascii="Arial" w:hAnsi="Arial" w:cs="Arial"/>
          <w:sz w:val="20"/>
          <w:szCs w:val="20"/>
        </w:rPr>
        <w:t>.</w:t>
      </w:r>
      <w:r w:rsidRPr="00864091">
        <w:rPr>
          <w:rFonts w:ascii="Arial" w:hAnsi="Arial" w:cs="Arial"/>
          <w:sz w:val="20"/>
          <w:szCs w:val="20"/>
        </w:rPr>
        <w:t xml:space="preserve"> Encerramento do processo.</w:t>
      </w:r>
    </w:p>
    <w:p w:rsidR="00E41475" w:rsidRDefault="00E41475" w:rsidP="00816942">
      <w:pPr>
        <w:spacing w:after="0"/>
        <w:jc w:val="both"/>
        <w:rPr>
          <w:rStyle w:val="Hyperlink"/>
          <w:rFonts w:ascii="Arial" w:hAnsi="Arial" w:cs="Arial"/>
          <w:b/>
          <w:color w:val="000000" w:themeColor="text1"/>
          <w:sz w:val="20"/>
          <w:szCs w:val="20"/>
          <w:u w:val="none"/>
        </w:rPr>
      </w:pPr>
    </w:p>
    <w:p w:rsidR="00864091" w:rsidRPr="00864091" w:rsidRDefault="00864091" w:rsidP="00864091">
      <w:pPr>
        <w:pStyle w:val="TCU-Epgrafe"/>
        <w:spacing w:line="276" w:lineRule="auto"/>
        <w:ind w:left="0"/>
        <w:rPr>
          <w:rFonts w:ascii="Arial" w:hAnsi="Arial" w:cs="Arial"/>
          <w:sz w:val="20"/>
        </w:rPr>
      </w:pPr>
      <w:r w:rsidRPr="00864091">
        <w:rPr>
          <w:rFonts w:ascii="Arial" w:hAnsi="Arial" w:cs="Arial"/>
          <w:sz w:val="20"/>
        </w:rPr>
        <w:lastRenderedPageBreak/>
        <w:t>6. Tomada de Contas Extraordinária. Contratação de serviços. Ausência de prestação de serviços. Fraude. Desconsideração da personalidade jurídica. Aplicação nos Tribunais de Contas.</w:t>
      </w:r>
    </w:p>
    <w:p w:rsidR="00E41475" w:rsidRDefault="00E41475" w:rsidP="00816942">
      <w:pPr>
        <w:spacing w:after="0"/>
        <w:jc w:val="both"/>
        <w:rPr>
          <w:rStyle w:val="Hyperlink"/>
          <w:rFonts w:ascii="Arial" w:hAnsi="Arial" w:cs="Arial"/>
          <w:b/>
          <w:color w:val="000000" w:themeColor="text1"/>
          <w:sz w:val="20"/>
          <w:szCs w:val="20"/>
          <w:u w:val="none"/>
        </w:rPr>
      </w:pPr>
    </w:p>
    <w:p w:rsidR="005C03FC" w:rsidRPr="00323FAE" w:rsidRDefault="005C03FC" w:rsidP="005C03FC">
      <w:pPr>
        <w:autoSpaceDE w:val="0"/>
        <w:autoSpaceDN w:val="0"/>
        <w:adjustRightInd w:val="0"/>
        <w:spacing w:after="0"/>
        <w:jc w:val="both"/>
        <w:rPr>
          <w:rFonts w:ascii="Arial" w:hAnsi="Arial" w:cs="Arial"/>
          <w:sz w:val="20"/>
          <w:szCs w:val="20"/>
        </w:rPr>
      </w:pPr>
      <w:r w:rsidRPr="00323FAE">
        <w:rPr>
          <w:rFonts w:ascii="Arial" w:hAnsi="Arial" w:cs="Arial"/>
          <w:sz w:val="20"/>
          <w:szCs w:val="20"/>
        </w:rPr>
        <w:t>7. Prestação de Contas Municipal. Balanço Patrimonial. Divergência com os dados enviados pelo SIM/AM. Regularidade com ressalva.</w:t>
      </w:r>
    </w:p>
    <w:p w:rsidR="005C03FC" w:rsidRDefault="005C03FC" w:rsidP="00816942">
      <w:pPr>
        <w:spacing w:after="0"/>
        <w:jc w:val="both"/>
        <w:rPr>
          <w:rStyle w:val="Hyperlink"/>
          <w:rFonts w:ascii="Arial" w:hAnsi="Arial" w:cs="Arial"/>
          <w:b/>
          <w:color w:val="000000" w:themeColor="text1"/>
          <w:sz w:val="20"/>
          <w:szCs w:val="20"/>
          <w:u w:val="none"/>
        </w:rPr>
      </w:pPr>
    </w:p>
    <w:p w:rsidR="00323FAE" w:rsidRPr="00323FAE" w:rsidRDefault="00323FAE" w:rsidP="00323FAE">
      <w:pPr>
        <w:autoSpaceDE w:val="0"/>
        <w:autoSpaceDN w:val="0"/>
        <w:adjustRightInd w:val="0"/>
        <w:spacing w:after="0"/>
        <w:jc w:val="both"/>
        <w:rPr>
          <w:rFonts w:ascii="Arial" w:hAnsi="Arial" w:cs="Arial"/>
          <w:sz w:val="20"/>
          <w:szCs w:val="20"/>
        </w:rPr>
      </w:pPr>
      <w:r w:rsidRPr="00323FAE">
        <w:rPr>
          <w:rFonts w:ascii="Arial" w:hAnsi="Arial" w:cs="Arial"/>
          <w:sz w:val="20"/>
          <w:szCs w:val="20"/>
        </w:rPr>
        <w:t>8. Prestação de contas de transferência voluntária. Despesas realizadas sem a comprovação do regular processo de compra. Impropriedade formal. Regularidade. Ressalva.</w:t>
      </w:r>
    </w:p>
    <w:p w:rsidR="006E12D5" w:rsidRDefault="006E12D5" w:rsidP="00816942">
      <w:pPr>
        <w:spacing w:after="0"/>
        <w:jc w:val="both"/>
        <w:rPr>
          <w:rStyle w:val="Hyperlink"/>
          <w:rFonts w:ascii="Arial" w:hAnsi="Arial" w:cs="Arial"/>
          <w:b/>
          <w:color w:val="000000" w:themeColor="text1"/>
          <w:sz w:val="20"/>
          <w:szCs w:val="20"/>
          <w:u w:val="none"/>
        </w:rPr>
      </w:pPr>
    </w:p>
    <w:p w:rsidR="00323FAE" w:rsidRDefault="00323FAE" w:rsidP="00323FAE">
      <w:pPr>
        <w:pStyle w:val="TCU-Epgrafe"/>
        <w:spacing w:line="276" w:lineRule="auto"/>
        <w:ind w:left="0"/>
        <w:rPr>
          <w:rFonts w:ascii="Arial" w:hAnsi="Arial" w:cs="Arial"/>
          <w:sz w:val="20"/>
        </w:rPr>
      </w:pPr>
      <w:r w:rsidRPr="00323FAE">
        <w:rPr>
          <w:rFonts w:ascii="Arial" w:hAnsi="Arial" w:cs="Arial"/>
          <w:sz w:val="20"/>
        </w:rPr>
        <w:t xml:space="preserve">9. Representação da Lei nº 8.666/1993. Exigências de Edital. Limitação de número de atestados. </w:t>
      </w:r>
      <w:r w:rsidR="005B5A67">
        <w:rPr>
          <w:rFonts w:ascii="Arial" w:hAnsi="Arial" w:cs="Arial"/>
          <w:sz w:val="20"/>
        </w:rPr>
        <w:t>Comprovação de regularidade no c</w:t>
      </w:r>
      <w:r w:rsidRPr="00323FAE">
        <w:rPr>
          <w:rFonts w:ascii="Arial" w:hAnsi="Arial" w:cs="Arial"/>
          <w:sz w:val="20"/>
        </w:rPr>
        <w:t>onselho de classe.</w:t>
      </w:r>
    </w:p>
    <w:p w:rsidR="00DE6A98" w:rsidRPr="00323FAE" w:rsidRDefault="00DE6A98" w:rsidP="00323FAE">
      <w:pPr>
        <w:pStyle w:val="TCU-Epgrafe"/>
        <w:spacing w:line="276" w:lineRule="auto"/>
        <w:ind w:left="0"/>
        <w:rPr>
          <w:rFonts w:ascii="Arial" w:hAnsi="Arial" w:cs="Arial"/>
          <w:sz w:val="20"/>
        </w:rPr>
      </w:pPr>
    </w:p>
    <w:p w:rsidR="00DE6A98" w:rsidRPr="00DE6A98" w:rsidRDefault="00DE6A98" w:rsidP="00DE6A98">
      <w:pPr>
        <w:autoSpaceDE w:val="0"/>
        <w:autoSpaceDN w:val="0"/>
        <w:adjustRightInd w:val="0"/>
        <w:spacing w:after="0"/>
        <w:jc w:val="both"/>
        <w:rPr>
          <w:rFonts w:ascii="Arial" w:hAnsi="Arial" w:cs="Arial"/>
          <w:sz w:val="20"/>
          <w:szCs w:val="20"/>
        </w:rPr>
      </w:pPr>
      <w:r w:rsidRPr="00DE6A98">
        <w:rPr>
          <w:rFonts w:ascii="Arial" w:hAnsi="Arial" w:cs="Arial"/>
          <w:sz w:val="20"/>
          <w:szCs w:val="20"/>
        </w:rPr>
        <w:t>10. Representação da Lei nº 8.666/1993. Exigências de Edital. Certidões. Dispositivos genéricos.</w:t>
      </w:r>
    </w:p>
    <w:p w:rsidR="00323FAE" w:rsidRDefault="00323FAE" w:rsidP="00816942">
      <w:pPr>
        <w:spacing w:after="0"/>
        <w:jc w:val="both"/>
        <w:rPr>
          <w:rStyle w:val="Hyperlink"/>
          <w:rFonts w:ascii="Arial" w:hAnsi="Arial" w:cs="Arial"/>
          <w:b/>
          <w:color w:val="000000" w:themeColor="text1"/>
          <w:sz w:val="20"/>
          <w:szCs w:val="20"/>
          <w:u w:val="none"/>
        </w:rPr>
      </w:pPr>
    </w:p>
    <w:p w:rsidR="00DE6A98" w:rsidRPr="00DE6A98" w:rsidRDefault="00DE6A98" w:rsidP="00DE6A98">
      <w:pPr>
        <w:autoSpaceDE w:val="0"/>
        <w:autoSpaceDN w:val="0"/>
        <w:adjustRightInd w:val="0"/>
        <w:spacing w:after="0"/>
        <w:jc w:val="both"/>
        <w:rPr>
          <w:rFonts w:ascii="Arial" w:hAnsi="Arial" w:cs="Arial"/>
          <w:sz w:val="20"/>
          <w:szCs w:val="20"/>
        </w:rPr>
      </w:pPr>
      <w:r w:rsidRPr="00DE6A98">
        <w:rPr>
          <w:rFonts w:ascii="Arial" w:hAnsi="Arial" w:cs="Arial"/>
          <w:sz w:val="20"/>
          <w:szCs w:val="20"/>
        </w:rPr>
        <w:t xml:space="preserve">11. Recurso de Revista. Contagem de tempo no RPPS. Tempo do regime celetista anterior à alteração do regime municipal. </w:t>
      </w:r>
    </w:p>
    <w:p w:rsidR="00DE6A98" w:rsidRDefault="00DE6A98" w:rsidP="00816942">
      <w:pPr>
        <w:spacing w:after="0"/>
        <w:jc w:val="both"/>
        <w:rPr>
          <w:rStyle w:val="Hyperlink"/>
          <w:rFonts w:ascii="Arial" w:hAnsi="Arial" w:cs="Arial"/>
          <w:b/>
          <w:color w:val="000000" w:themeColor="text1"/>
          <w:sz w:val="20"/>
          <w:szCs w:val="20"/>
          <w:u w:val="none"/>
        </w:rPr>
      </w:pPr>
    </w:p>
    <w:p w:rsidR="00DE6A98" w:rsidRPr="00DE6A98" w:rsidRDefault="00DE6A98" w:rsidP="00DE6A98">
      <w:pPr>
        <w:pStyle w:val="NormalWeb"/>
        <w:shd w:val="clear" w:color="auto" w:fill="FFFFFF"/>
        <w:spacing w:before="0" w:beforeAutospacing="0" w:after="0" w:afterAutospacing="0" w:line="276" w:lineRule="auto"/>
        <w:jc w:val="both"/>
        <w:rPr>
          <w:rFonts w:ascii="Arial" w:hAnsi="Arial" w:cs="Arial"/>
          <w:bCs/>
          <w:color w:val="222222"/>
          <w:sz w:val="20"/>
          <w:szCs w:val="20"/>
        </w:rPr>
      </w:pPr>
      <w:r w:rsidRPr="00DE6A98">
        <w:rPr>
          <w:rFonts w:ascii="Arial" w:hAnsi="Arial" w:cs="Arial"/>
          <w:bCs/>
          <w:color w:val="222222"/>
          <w:sz w:val="20"/>
          <w:szCs w:val="20"/>
        </w:rPr>
        <w:t>12. Pedido de Rescisão. Ausência do nome do procurador devidamente constituído pela parte nas publicações. Nulidade do acórdão rescindendo. Conhecimento e procedência.</w:t>
      </w:r>
    </w:p>
    <w:p w:rsidR="00DE6A98" w:rsidRPr="002E5910" w:rsidRDefault="00DE6A98" w:rsidP="00DE6A98">
      <w:pPr>
        <w:pStyle w:val="TCU-Epgrafe"/>
        <w:spacing w:line="276" w:lineRule="auto"/>
        <w:ind w:left="0"/>
        <w:rPr>
          <w:rFonts w:ascii="Arial" w:hAnsi="Arial" w:cs="Arial"/>
          <w:sz w:val="20"/>
        </w:rPr>
      </w:pPr>
    </w:p>
    <w:p w:rsidR="00DE6A98" w:rsidRPr="00DE6A98" w:rsidRDefault="00DE6A98" w:rsidP="00DE6A98">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DE6A98">
        <w:rPr>
          <w:rFonts w:ascii="Arial" w:hAnsi="Arial" w:cs="Arial"/>
          <w:color w:val="222222"/>
          <w:sz w:val="20"/>
          <w:szCs w:val="20"/>
        </w:rPr>
        <w:t xml:space="preserve">13. </w:t>
      </w:r>
      <w:r w:rsidRPr="00DE6A98">
        <w:rPr>
          <w:rFonts w:ascii="Arial" w:hAnsi="Arial" w:cs="Arial"/>
          <w:bCs/>
          <w:color w:val="222222"/>
          <w:sz w:val="20"/>
          <w:szCs w:val="20"/>
        </w:rPr>
        <w:t>Recursos de Revista. Prestação de contas. Transferência voluntária. Pagamento de despesas de equipe administrativa com recursos de convênios realizados com município. Utilização de recursos com medicamentos não comprovada. Desprovimento das Revistas.</w:t>
      </w:r>
    </w:p>
    <w:p w:rsidR="00DE6A98" w:rsidRDefault="00DE6A98" w:rsidP="00816942">
      <w:pPr>
        <w:spacing w:after="0"/>
        <w:jc w:val="both"/>
        <w:rPr>
          <w:rStyle w:val="Hyperlink"/>
          <w:rFonts w:ascii="Arial" w:hAnsi="Arial" w:cs="Arial"/>
          <w:color w:val="000000" w:themeColor="text1"/>
          <w:sz w:val="20"/>
          <w:szCs w:val="20"/>
          <w:u w:val="none"/>
        </w:rPr>
      </w:pPr>
    </w:p>
    <w:p w:rsidR="006C28A6" w:rsidRPr="006C28A6" w:rsidRDefault="006C28A6" w:rsidP="006C28A6">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6C28A6">
        <w:rPr>
          <w:rFonts w:ascii="Arial" w:hAnsi="Arial" w:cs="Arial"/>
          <w:bCs/>
          <w:color w:val="222222"/>
          <w:sz w:val="20"/>
          <w:szCs w:val="20"/>
        </w:rPr>
        <w:t>14. Consulta. Estabilidade provisória de servidora efetiva gestante ao cargo em comissão ou à função de confiança. Precedentes do STF. Possibilidade.</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FB3CAA" w:rsidRDefault="00E41475" w:rsidP="00FB3CAA">
      <w:pPr>
        <w:pStyle w:val="NormalWeb"/>
        <w:spacing w:before="0" w:beforeAutospacing="0" w:after="0" w:afterAutospacing="0" w:line="276" w:lineRule="auto"/>
        <w:jc w:val="both"/>
        <w:rPr>
          <w:rStyle w:val="Forte"/>
          <w:rFonts w:ascii="Arial" w:hAnsi="Arial" w:cs="Arial"/>
          <w:color w:val="000000"/>
          <w:sz w:val="20"/>
          <w:szCs w:val="20"/>
        </w:rPr>
      </w:pPr>
      <w:r>
        <w:rPr>
          <w:rStyle w:val="Forte"/>
          <w:rFonts w:ascii="Arial" w:hAnsi="Arial" w:cs="Arial"/>
          <w:color w:val="000000"/>
          <w:sz w:val="20"/>
          <w:szCs w:val="20"/>
        </w:rPr>
        <w:t xml:space="preserve">1. </w:t>
      </w:r>
      <w:r w:rsidR="00FB3CAA" w:rsidRPr="00FB3CAA">
        <w:rPr>
          <w:rStyle w:val="Forte"/>
          <w:rFonts w:ascii="Arial" w:hAnsi="Arial" w:cs="Arial"/>
          <w:color w:val="000000"/>
          <w:sz w:val="20"/>
          <w:szCs w:val="20"/>
        </w:rPr>
        <w:t xml:space="preserve">Prestação de Contas Anual. Exercício de 2012. Subsídios. Inflação. Recomposição monetária apenas ao poder legislativo. Evolução de entendimento sobre a matéria. Existência de decisão favorável à </w:t>
      </w:r>
      <w:r w:rsidR="00FB3CAA">
        <w:rPr>
          <w:rStyle w:val="Forte"/>
          <w:rFonts w:ascii="Arial" w:hAnsi="Arial" w:cs="Arial"/>
          <w:color w:val="000000"/>
          <w:sz w:val="20"/>
          <w:szCs w:val="20"/>
        </w:rPr>
        <w:t>época, conforme Acórdão n°</w:t>
      </w:r>
      <w:r w:rsidR="00FB3CAA" w:rsidRPr="00FB3CAA">
        <w:rPr>
          <w:rStyle w:val="Forte"/>
          <w:rFonts w:ascii="Arial" w:hAnsi="Arial" w:cs="Arial"/>
          <w:color w:val="000000"/>
          <w:sz w:val="20"/>
          <w:szCs w:val="20"/>
        </w:rPr>
        <w:t xml:space="preserve"> 698/2008 do Tribunal Pleno. Posição mais recente do Tribunal Pleno pela possibilidade da recomposição monetária. Acórdão n° 5537/15. Recomposição assegurada pelo art. 37, inciso X, da Constituição Federal. Existência de quadro próprio de pessoal. Edição de lei específica autorizadora da recomposição. IPCA. Legalidade do índice adotado conforme previsão do ato fixador dos subsídios. Regularidade.</w:t>
      </w:r>
    </w:p>
    <w:p w:rsidR="00FB3CAA" w:rsidRDefault="00FB3CAA" w:rsidP="00FB3CAA">
      <w:pPr>
        <w:pStyle w:val="NormalWeb"/>
        <w:spacing w:before="0" w:beforeAutospacing="0" w:after="0" w:afterAutospacing="0" w:line="276" w:lineRule="auto"/>
        <w:jc w:val="both"/>
        <w:rPr>
          <w:rFonts w:ascii="Arial" w:hAnsi="Arial" w:cs="Arial"/>
          <w:color w:val="000000"/>
          <w:sz w:val="20"/>
          <w:szCs w:val="20"/>
        </w:rPr>
      </w:pPr>
      <w:r w:rsidRPr="00FB3CAA">
        <w:rPr>
          <w:rStyle w:val="Forte"/>
          <w:rFonts w:ascii="Arial" w:hAnsi="Arial" w:cs="Arial"/>
          <w:color w:val="000000"/>
          <w:sz w:val="20"/>
          <w:szCs w:val="20"/>
        </w:rPr>
        <w:t> </w:t>
      </w:r>
      <w:r w:rsidRPr="00FB3CAA">
        <w:rPr>
          <w:rFonts w:ascii="Arial" w:hAnsi="Arial" w:cs="Arial"/>
          <w:color w:val="000000"/>
          <w:sz w:val="20"/>
          <w:szCs w:val="20"/>
        </w:rPr>
        <w:br/>
        <w:t xml:space="preserve">O principal argumento apresentado pela </w:t>
      </w:r>
      <w:r w:rsidRPr="00FB3CAA">
        <w:rPr>
          <w:rStyle w:val="Forte"/>
          <w:rFonts w:ascii="Arial" w:hAnsi="Arial" w:cs="Arial"/>
          <w:b w:val="0"/>
          <w:color w:val="000000"/>
          <w:sz w:val="20"/>
          <w:szCs w:val="20"/>
        </w:rPr>
        <w:t>Unidade Técnica</w:t>
      </w:r>
      <w:r w:rsidRPr="00FB3CAA">
        <w:rPr>
          <w:rFonts w:ascii="Arial" w:hAnsi="Arial" w:cs="Arial"/>
          <w:color w:val="000000"/>
          <w:sz w:val="20"/>
          <w:szCs w:val="20"/>
        </w:rPr>
        <w:t xml:space="preserve"> para a impugnação dos valores seria o entendimento consolidado por este Tribunal por meio do </w:t>
      </w:r>
      <w:r w:rsidRPr="00FB3CAA">
        <w:rPr>
          <w:rStyle w:val="Forte"/>
          <w:rFonts w:ascii="Arial" w:hAnsi="Arial" w:cs="Arial"/>
          <w:b w:val="0"/>
          <w:color w:val="000000"/>
          <w:sz w:val="20"/>
          <w:szCs w:val="20"/>
        </w:rPr>
        <w:t>Acórdão n° 4246/12</w:t>
      </w:r>
      <w:r>
        <w:rPr>
          <w:rStyle w:val="Forte"/>
          <w:rFonts w:ascii="Arial" w:hAnsi="Arial" w:cs="Arial"/>
          <w:b w:val="0"/>
          <w:color w:val="000000"/>
          <w:sz w:val="20"/>
          <w:szCs w:val="20"/>
        </w:rPr>
        <w:t xml:space="preserve"> - </w:t>
      </w:r>
      <w:r w:rsidRPr="00FB3CAA">
        <w:rPr>
          <w:rFonts w:ascii="Arial" w:hAnsi="Arial" w:cs="Arial"/>
          <w:color w:val="000000"/>
          <w:sz w:val="20"/>
          <w:szCs w:val="20"/>
        </w:rPr>
        <w:t xml:space="preserve">Tribunal Pleno, que decidiu pela impossibilidade de o Poder Legislativo aprovar a revisão geral anual da </w:t>
      </w:r>
      <w:r w:rsidRPr="00FB3CAA">
        <w:rPr>
          <w:rFonts w:ascii="Arial" w:hAnsi="Arial" w:cs="Arial"/>
          <w:color w:val="000000"/>
          <w:sz w:val="20"/>
          <w:szCs w:val="20"/>
        </w:rPr>
        <w:lastRenderedPageBreak/>
        <w:t xml:space="preserve">remuneração dos seus servidores independentemente da votação da revisão geral anual da remuneração dos servidores do Poder Executivo e pela obrigatoriedade de que a revisão geral anual de ambos os Poderes seja concomitante e nos mesmos índices, </w:t>
      </w:r>
      <w:r w:rsidRPr="00FB3CAA">
        <w:rPr>
          <w:rStyle w:val="Forte"/>
          <w:rFonts w:ascii="Arial" w:hAnsi="Arial" w:cs="Arial"/>
          <w:b w:val="0"/>
          <w:color w:val="000000"/>
          <w:sz w:val="20"/>
          <w:szCs w:val="20"/>
        </w:rPr>
        <w:t>e os responsáveis</w:t>
      </w:r>
      <w:r w:rsidRPr="00FB3CAA">
        <w:rPr>
          <w:rFonts w:ascii="Arial" w:hAnsi="Arial" w:cs="Arial"/>
          <w:color w:val="000000"/>
          <w:sz w:val="20"/>
          <w:szCs w:val="20"/>
        </w:rPr>
        <w:t xml:space="preserve"> apontam a decisão contida no </w:t>
      </w:r>
      <w:r w:rsidRPr="00FB3CAA">
        <w:rPr>
          <w:rStyle w:val="Forte"/>
          <w:rFonts w:ascii="Arial" w:hAnsi="Arial" w:cs="Arial"/>
          <w:b w:val="0"/>
          <w:color w:val="000000"/>
          <w:sz w:val="20"/>
          <w:szCs w:val="20"/>
        </w:rPr>
        <w:t>Acórdão nº 698/08</w:t>
      </w:r>
      <w:r>
        <w:rPr>
          <w:rStyle w:val="Forte"/>
          <w:rFonts w:ascii="Arial" w:hAnsi="Arial" w:cs="Arial"/>
          <w:b w:val="0"/>
          <w:color w:val="000000"/>
          <w:sz w:val="20"/>
          <w:szCs w:val="20"/>
        </w:rPr>
        <w:t xml:space="preserve"> - </w:t>
      </w:r>
      <w:r w:rsidRPr="00FB3CAA">
        <w:rPr>
          <w:rFonts w:ascii="Arial" w:hAnsi="Arial" w:cs="Arial"/>
          <w:color w:val="000000"/>
          <w:sz w:val="20"/>
          <w:szCs w:val="20"/>
        </w:rPr>
        <w:t xml:space="preserve">Tribunal Pleno em processo de Consulta, que foi no sentido da possibilidade de concessão da recomposição monetária apenas ao Poder Legislativo. </w:t>
      </w:r>
    </w:p>
    <w:p w:rsidR="00FB3CAA" w:rsidRPr="00FB3CAA" w:rsidRDefault="00FB3CAA" w:rsidP="00FB3CAA">
      <w:pPr>
        <w:pStyle w:val="NormalWeb"/>
        <w:spacing w:before="0" w:beforeAutospacing="0" w:after="0" w:afterAutospacing="0" w:line="276" w:lineRule="auto"/>
        <w:jc w:val="both"/>
        <w:rPr>
          <w:rFonts w:ascii="Arial" w:hAnsi="Arial" w:cs="Arial"/>
          <w:color w:val="000000"/>
          <w:sz w:val="20"/>
          <w:szCs w:val="20"/>
        </w:rPr>
      </w:pPr>
    </w:p>
    <w:p w:rsidR="00FB3CAA" w:rsidRPr="00FB3CAA" w:rsidRDefault="00FB3CAA" w:rsidP="00FB3CAA">
      <w:pPr>
        <w:pStyle w:val="NormalWeb"/>
        <w:spacing w:before="0" w:beforeAutospacing="0" w:after="0" w:afterAutospacing="0" w:line="276" w:lineRule="auto"/>
        <w:jc w:val="both"/>
        <w:rPr>
          <w:rFonts w:ascii="Arial" w:hAnsi="Arial" w:cs="Arial"/>
          <w:color w:val="000000"/>
          <w:sz w:val="20"/>
          <w:szCs w:val="20"/>
        </w:rPr>
      </w:pPr>
      <w:r w:rsidRPr="00FB3CAA">
        <w:rPr>
          <w:rFonts w:ascii="Arial" w:hAnsi="Arial" w:cs="Arial"/>
          <w:color w:val="000000"/>
          <w:sz w:val="20"/>
          <w:szCs w:val="20"/>
        </w:rPr>
        <w:t>Todavia, referida decisão contrariou o entendimento consolidado nos autos de Consulta por meio do Acórdão n° 237/2008</w:t>
      </w:r>
      <w:r>
        <w:rPr>
          <w:rFonts w:ascii="Arial" w:hAnsi="Arial" w:cs="Arial"/>
          <w:color w:val="000000"/>
          <w:sz w:val="20"/>
          <w:szCs w:val="20"/>
        </w:rPr>
        <w:t xml:space="preserve"> - </w:t>
      </w:r>
      <w:r w:rsidRPr="00FB3CAA">
        <w:rPr>
          <w:rFonts w:ascii="Arial" w:hAnsi="Arial" w:cs="Arial"/>
          <w:color w:val="000000"/>
          <w:sz w:val="20"/>
          <w:szCs w:val="20"/>
        </w:rPr>
        <w:t>Tribunal Pleno e, com vistas a restabelecer a uniformidade de entendimento, houve sua revisão pelo Acórdão n° 4246/12</w:t>
      </w:r>
      <w:r>
        <w:rPr>
          <w:rFonts w:ascii="Arial" w:hAnsi="Arial" w:cs="Arial"/>
          <w:color w:val="000000"/>
          <w:sz w:val="20"/>
          <w:szCs w:val="20"/>
        </w:rPr>
        <w:t xml:space="preserve"> - </w:t>
      </w:r>
      <w:r w:rsidRPr="00FB3CAA">
        <w:rPr>
          <w:rFonts w:ascii="Arial" w:hAnsi="Arial" w:cs="Arial"/>
          <w:color w:val="000000"/>
          <w:sz w:val="20"/>
          <w:szCs w:val="20"/>
        </w:rPr>
        <w:t>Tribunal Pleno, invocado pela Unidade Técnica, como impedimento à concessão da recomposição.</w:t>
      </w:r>
    </w:p>
    <w:p w:rsidR="00FB3CAA" w:rsidRPr="00FB3CAA" w:rsidRDefault="00FB3CAA" w:rsidP="00FB3CAA">
      <w:pPr>
        <w:pStyle w:val="NormalWeb"/>
        <w:spacing w:before="0" w:beforeAutospacing="0" w:after="0" w:afterAutospacing="0" w:line="276" w:lineRule="auto"/>
        <w:jc w:val="both"/>
        <w:rPr>
          <w:rFonts w:ascii="Arial" w:hAnsi="Arial" w:cs="Arial"/>
          <w:color w:val="000000"/>
          <w:sz w:val="20"/>
          <w:szCs w:val="20"/>
        </w:rPr>
      </w:pPr>
      <w:r w:rsidRPr="00FB3CAA">
        <w:rPr>
          <w:rFonts w:ascii="Arial" w:hAnsi="Arial" w:cs="Arial"/>
          <w:color w:val="000000"/>
          <w:sz w:val="20"/>
          <w:szCs w:val="20"/>
        </w:rPr>
        <w:t> </w:t>
      </w:r>
    </w:p>
    <w:p w:rsidR="00FB3CAA" w:rsidRPr="00FB3CAA" w:rsidRDefault="00FB3CAA" w:rsidP="00FB3CAA">
      <w:pPr>
        <w:pStyle w:val="NormalWeb"/>
        <w:spacing w:before="0" w:beforeAutospacing="0" w:after="0" w:afterAutospacing="0" w:line="276" w:lineRule="auto"/>
        <w:jc w:val="both"/>
        <w:rPr>
          <w:rFonts w:ascii="Arial" w:hAnsi="Arial" w:cs="Arial"/>
          <w:color w:val="000000"/>
          <w:sz w:val="20"/>
          <w:szCs w:val="20"/>
        </w:rPr>
      </w:pPr>
      <w:r w:rsidRPr="00FB3CAA">
        <w:rPr>
          <w:rFonts w:ascii="Arial" w:hAnsi="Arial" w:cs="Arial"/>
          <w:color w:val="000000"/>
          <w:sz w:val="20"/>
          <w:szCs w:val="20"/>
        </w:rPr>
        <w:t xml:space="preserve">Por meio do </w:t>
      </w:r>
      <w:r w:rsidRPr="00FB3CAA">
        <w:rPr>
          <w:rStyle w:val="Forte"/>
          <w:rFonts w:ascii="Arial" w:hAnsi="Arial" w:cs="Arial"/>
          <w:b w:val="0"/>
          <w:color w:val="000000"/>
          <w:sz w:val="20"/>
          <w:szCs w:val="20"/>
        </w:rPr>
        <w:t>Acórdão n° 5537/15</w:t>
      </w:r>
      <w:r w:rsidRPr="00FB3CAA">
        <w:rPr>
          <w:rFonts w:ascii="Arial" w:hAnsi="Arial" w:cs="Arial"/>
          <w:color w:val="000000"/>
          <w:sz w:val="20"/>
          <w:szCs w:val="20"/>
        </w:rPr>
        <w:t xml:space="preserve"> </w:t>
      </w:r>
      <w:r>
        <w:rPr>
          <w:rFonts w:ascii="Arial" w:hAnsi="Arial" w:cs="Arial"/>
          <w:color w:val="000000"/>
          <w:sz w:val="20"/>
          <w:szCs w:val="20"/>
        </w:rPr>
        <w:t xml:space="preserve">- </w:t>
      </w:r>
      <w:r w:rsidRPr="00FB3CAA">
        <w:rPr>
          <w:rFonts w:ascii="Arial" w:hAnsi="Arial" w:cs="Arial"/>
          <w:color w:val="000000"/>
          <w:sz w:val="20"/>
          <w:szCs w:val="20"/>
        </w:rPr>
        <w:t>Tribunal Pleno, decidiu-se, em sede de Consulta, pela</w:t>
      </w:r>
      <w:r w:rsidRPr="00FB3CAA">
        <w:rPr>
          <w:rFonts w:ascii="Arial" w:hAnsi="Arial" w:cs="Arial"/>
          <w:b/>
          <w:color w:val="000000"/>
          <w:sz w:val="20"/>
          <w:szCs w:val="20"/>
        </w:rPr>
        <w:t xml:space="preserve"> </w:t>
      </w:r>
      <w:r w:rsidRPr="00FB3CAA">
        <w:rPr>
          <w:rStyle w:val="Forte"/>
          <w:rFonts w:ascii="Arial" w:hAnsi="Arial" w:cs="Arial"/>
          <w:b w:val="0"/>
          <w:color w:val="000000"/>
          <w:sz w:val="20"/>
          <w:szCs w:val="20"/>
        </w:rPr>
        <w:t>possibilidade de concessão de recomposição inflacionária apenas pelo Poder Legislativo, em face de omissão do Poder Executiv</w:t>
      </w:r>
      <w:r w:rsidRPr="00FB3CAA">
        <w:rPr>
          <w:rFonts w:ascii="Arial" w:hAnsi="Arial" w:cs="Arial"/>
          <w:color w:val="000000"/>
          <w:sz w:val="20"/>
          <w:szCs w:val="20"/>
        </w:rPr>
        <w:t>o. Em que pese a complexidade processual na consolidação do entendimento deste Tribunal, é fato que havia, até 15/02/2013, ou seja, no decorrer do exercício de 2012, ora em análise, decisão favorável aos vereadores, uma vez que essa é a data de publicação do Acórdão n° 4246/12</w:t>
      </w:r>
      <w:r>
        <w:rPr>
          <w:rFonts w:ascii="Arial" w:hAnsi="Arial" w:cs="Arial"/>
          <w:color w:val="000000"/>
          <w:sz w:val="20"/>
          <w:szCs w:val="20"/>
        </w:rPr>
        <w:t xml:space="preserve"> - </w:t>
      </w:r>
      <w:r w:rsidRPr="00FB3CAA">
        <w:rPr>
          <w:rFonts w:ascii="Arial" w:hAnsi="Arial" w:cs="Arial"/>
          <w:color w:val="000000"/>
          <w:sz w:val="20"/>
          <w:szCs w:val="20"/>
        </w:rPr>
        <w:t>Tribunal Pleno, que retomou o entendimento pela impossibilidade de recomposição inflacionária apenas pelo Poder Legislativo.</w:t>
      </w:r>
    </w:p>
    <w:p w:rsidR="00FB3CAA" w:rsidRPr="00FB3CAA" w:rsidRDefault="00FB3CAA" w:rsidP="00FB3CAA">
      <w:pPr>
        <w:pStyle w:val="NormalWeb"/>
        <w:spacing w:before="0" w:beforeAutospacing="0" w:after="0" w:afterAutospacing="0" w:line="276" w:lineRule="auto"/>
        <w:jc w:val="both"/>
        <w:rPr>
          <w:rFonts w:ascii="Arial" w:hAnsi="Arial" w:cs="Arial"/>
          <w:color w:val="000000"/>
          <w:sz w:val="20"/>
          <w:szCs w:val="20"/>
        </w:rPr>
      </w:pPr>
      <w:r w:rsidRPr="00FB3CAA">
        <w:rPr>
          <w:rFonts w:ascii="Arial" w:hAnsi="Arial" w:cs="Arial"/>
          <w:color w:val="000000"/>
          <w:sz w:val="20"/>
          <w:szCs w:val="20"/>
        </w:rPr>
        <w:t> </w:t>
      </w:r>
    </w:p>
    <w:p w:rsidR="00DB584D" w:rsidRDefault="00FB3CAA" w:rsidP="00FB3CAA">
      <w:pPr>
        <w:pStyle w:val="NormalWeb"/>
        <w:spacing w:before="0" w:beforeAutospacing="0" w:after="0" w:afterAutospacing="0" w:line="276" w:lineRule="auto"/>
        <w:jc w:val="both"/>
        <w:rPr>
          <w:rFonts w:ascii="Arial" w:hAnsi="Arial" w:cs="Arial"/>
          <w:color w:val="000000"/>
          <w:sz w:val="20"/>
          <w:szCs w:val="20"/>
        </w:rPr>
      </w:pPr>
      <w:r w:rsidRPr="00FB3CAA">
        <w:rPr>
          <w:rFonts w:ascii="Arial" w:hAnsi="Arial" w:cs="Arial"/>
          <w:color w:val="000000"/>
          <w:sz w:val="20"/>
          <w:szCs w:val="20"/>
        </w:rPr>
        <w:t xml:space="preserve">O direito subjetivo constitucionalmente estabelecido à recomposição monetária, conforme art. 37, inciso X, da Constituição da República, sobrepõe-se à condição estabelecida em Resolução da Câmara Municipal. </w:t>
      </w:r>
    </w:p>
    <w:p w:rsidR="00DB584D" w:rsidRDefault="00DB584D" w:rsidP="00FB3CAA">
      <w:pPr>
        <w:pStyle w:val="NormalWeb"/>
        <w:spacing w:before="0" w:beforeAutospacing="0" w:after="0" w:afterAutospacing="0" w:line="276" w:lineRule="auto"/>
        <w:jc w:val="both"/>
        <w:rPr>
          <w:rFonts w:ascii="Arial" w:hAnsi="Arial" w:cs="Arial"/>
          <w:color w:val="000000"/>
          <w:sz w:val="20"/>
          <w:szCs w:val="20"/>
        </w:rPr>
      </w:pPr>
    </w:p>
    <w:p w:rsidR="00FB3CAA" w:rsidRDefault="00FB3CAA" w:rsidP="00FB3CAA">
      <w:pPr>
        <w:pStyle w:val="NormalWeb"/>
        <w:spacing w:before="0" w:beforeAutospacing="0" w:after="0" w:afterAutospacing="0" w:line="276" w:lineRule="auto"/>
        <w:jc w:val="both"/>
        <w:rPr>
          <w:rFonts w:ascii="Arial" w:hAnsi="Arial" w:cs="Arial"/>
          <w:color w:val="000000"/>
          <w:sz w:val="20"/>
          <w:szCs w:val="20"/>
        </w:rPr>
      </w:pPr>
      <w:r w:rsidRPr="00FB3CAA">
        <w:rPr>
          <w:rFonts w:ascii="Arial" w:hAnsi="Arial" w:cs="Arial"/>
          <w:color w:val="000000"/>
          <w:sz w:val="20"/>
          <w:szCs w:val="20"/>
        </w:rPr>
        <w:t>Deve prevalecer o entendimento já consolidado pelo Tribunal Pleno por meio do citado Acórdão n° 5537/15, uma vez que ressalta a ausência de óbice constitucional, e a recomposição pode ser admitida, conforme jurisprudência deste Tribunal. Há quadro próprio de pessoal da Câmara Municipal. Houve a edição lei específica, no caso a Lei Municipal n° 2/2012. Os servidores da Câmara Municipal foram beneficiados pelo mesmo índice por meio de Decreto Legislativo. O índice adotado pelos atos legislativos é o IPCA, o mesmo índice adotado por meio da Resolução n° 22/2008, que fixou os subsídios dos Vereadores. Pela regularidade do item.</w:t>
      </w:r>
    </w:p>
    <w:p w:rsidR="00DB584D" w:rsidRPr="00FB3CAA" w:rsidRDefault="00DB584D" w:rsidP="00FB3CAA">
      <w:pPr>
        <w:pStyle w:val="NormalWeb"/>
        <w:spacing w:before="0" w:beforeAutospacing="0" w:after="0" w:afterAutospacing="0" w:line="276" w:lineRule="auto"/>
        <w:jc w:val="both"/>
        <w:rPr>
          <w:rFonts w:ascii="Arial" w:hAnsi="Arial" w:cs="Arial"/>
          <w:color w:val="000000"/>
          <w:sz w:val="20"/>
          <w:szCs w:val="20"/>
        </w:rPr>
      </w:pPr>
    </w:p>
    <w:p w:rsidR="00FB3CAA" w:rsidRPr="00FB3CAA" w:rsidRDefault="00FB3CAA" w:rsidP="00FB3CAA">
      <w:pPr>
        <w:pStyle w:val="NormalWeb"/>
        <w:spacing w:before="0" w:beforeAutospacing="0" w:after="0" w:afterAutospacing="0" w:line="276" w:lineRule="auto"/>
        <w:jc w:val="both"/>
        <w:rPr>
          <w:rFonts w:ascii="Arial" w:hAnsi="Arial" w:cs="Arial"/>
          <w:color w:val="000000"/>
          <w:sz w:val="20"/>
          <w:szCs w:val="20"/>
        </w:rPr>
      </w:pPr>
      <w:r w:rsidRPr="00FB3CAA">
        <w:rPr>
          <w:rFonts w:ascii="Arial" w:hAnsi="Arial" w:cs="Arial"/>
          <w:color w:val="000000"/>
          <w:sz w:val="20"/>
          <w:szCs w:val="20"/>
        </w:rPr>
        <w:t xml:space="preserve">Processo nº 182560/13 - </w:t>
      </w:r>
      <w:hyperlink r:id="rId8" w:history="1">
        <w:r w:rsidRPr="00FB3CAA">
          <w:rPr>
            <w:rStyle w:val="Hyperlink"/>
            <w:rFonts w:ascii="Arial" w:hAnsi="Arial" w:cs="Arial"/>
            <w:sz w:val="20"/>
            <w:szCs w:val="20"/>
          </w:rPr>
          <w:t>Acórdão nº 1537/18 - Segunda Câmara</w:t>
        </w:r>
      </w:hyperlink>
      <w:r w:rsidRPr="00FB3CAA">
        <w:rPr>
          <w:rFonts w:ascii="Arial" w:hAnsi="Arial" w:cs="Arial"/>
          <w:color w:val="000000"/>
          <w:sz w:val="20"/>
          <w:szCs w:val="20"/>
        </w:rPr>
        <w:t xml:space="preserve"> - Relator Conselheiro Ivens Zschoerper Linhares.</w:t>
      </w:r>
    </w:p>
    <w:p w:rsidR="00FB3CAA" w:rsidRPr="00FB3CAA" w:rsidRDefault="00FB3CAA" w:rsidP="00A77957">
      <w:pPr>
        <w:autoSpaceDE w:val="0"/>
        <w:autoSpaceDN w:val="0"/>
        <w:adjustRightInd w:val="0"/>
        <w:spacing w:after="0"/>
        <w:jc w:val="both"/>
        <w:rPr>
          <w:rFonts w:ascii="Arial" w:hAnsi="Arial" w:cs="Arial"/>
          <w:b/>
          <w:sz w:val="20"/>
          <w:szCs w:val="20"/>
        </w:rPr>
      </w:pPr>
    </w:p>
    <w:p w:rsidR="00A77957" w:rsidRPr="00F77EE9" w:rsidRDefault="00E41475" w:rsidP="00A77957">
      <w:pPr>
        <w:autoSpaceDE w:val="0"/>
        <w:autoSpaceDN w:val="0"/>
        <w:adjustRightInd w:val="0"/>
        <w:spacing w:after="0"/>
        <w:jc w:val="both"/>
        <w:rPr>
          <w:rFonts w:ascii="Arial" w:hAnsi="Arial" w:cs="Arial"/>
          <w:sz w:val="20"/>
          <w:szCs w:val="20"/>
        </w:rPr>
      </w:pPr>
      <w:r>
        <w:rPr>
          <w:rFonts w:ascii="Arial" w:hAnsi="Arial" w:cs="Arial"/>
          <w:b/>
          <w:sz w:val="20"/>
          <w:szCs w:val="20"/>
        </w:rPr>
        <w:t xml:space="preserve">2. </w:t>
      </w:r>
      <w:r w:rsidR="00A77957">
        <w:rPr>
          <w:rFonts w:ascii="Arial" w:hAnsi="Arial" w:cs="Arial"/>
          <w:b/>
          <w:sz w:val="20"/>
          <w:szCs w:val="20"/>
        </w:rPr>
        <w:t xml:space="preserve">Processo de Servidor do Tribunal. </w:t>
      </w:r>
      <w:r w:rsidR="00A77957" w:rsidRPr="00F77EE9">
        <w:rPr>
          <w:rFonts w:ascii="Arial" w:hAnsi="Arial" w:cs="Arial"/>
          <w:b/>
          <w:sz w:val="20"/>
          <w:szCs w:val="20"/>
        </w:rPr>
        <w:t>Abono de permanência. Jurisprudência consagrada.</w:t>
      </w:r>
      <w:r w:rsidR="00A77957">
        <w:rPr>
          <w:rFonts w:ascii="Arial" w:hAnsi="Arial" w:cs="Arial"/>
          <w:b/>
          <w:sz w:val="20"/>
          <w:szCs w:val="20"/>
        </w:rPr>
        <w:t xml:space="preserve"> </w:t>
      </w:r>
      <w:r w:rsidR="00A77957" w:rsidRPr="00F77EE9">
        <w:rPr>
          <w:rFonts w:ascii="Arial" w:hAnsi="Arial" w:cs="Arial"/>
          <w:b/>
          <w:sz w:val="20"/>
          <w:szCs w:val="20"/>
        </w:rPr>
        <w:t xml:space="preserve">Termo inicial. </w:t>
      </w:r>
      <w:r w:rsidR="00A77957">
        <w:rPr>
          <w:rFonts w:ascii="Arial" w:hAnsi="Arial" w:cs="Arial"/>
          <w:b/>
          <w:sz w:val="20"/>
          <w:szCs w:val="20"/>
        </w:rPr>
        <w:t>Condições legais para a aposentação.</w:t>
      </w:r>
    </w:p>
    <w:p w:rsidR="00A77957" w:rsidRPr="00F77EE9" w:rsidRDefault="00A77957" w:rsidP="00A77957">
      <w:pPr>
        <w:autoSpaceDE w:val="0"/>
        <w:autoSpaceDN w:val="0"/>
        <w:adjustRightInd w:val="0"/>
        <w:spacing w:after="0"/>
        <w:jc w:val="both"/>
        <w:rPr>
          <w:rFonts w:ascii="Arial" w:hAnsi="Arial" w:cs="Arial"/>
          <w:b/>
          <w:sz w:val="20"/>
          <w:szCs w:val="20"/>
        </w:rPr>
      </w:pPr>
    </w:p>
    <w:p w:rsidR="000D2434" w:rsidRDefault="00A77957" w:rsidP="00A77957">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Conforme se extrai da informação apresentada pela Unidade Técnica, o servidor preencheu os requisitos para inativação em 23.04.2018, fazendo, portanto, jus ao deferimento do abono de permanência, nos termos dos opinativos das Unidades Instrutivas. </w:t>
      </w:r>
    </w:p>
    <w:p w:rsidR="000D2434" w:rsidRDefault="000D2434" w:rsidP="00A77957">
      <w:pPr>
        <w:autoSpaceDE w:val="0"/>
        <w:autoSpaceDN w:val="0"/>
        <w:adjustRightInd w:val="0"/>
        <w:spacing w:after="0"/>
        <w:jc w:val="both"/>
        <w:rPr>
          <w:rFonts w:ascii="Arial" w:hAnsi="Arial" w:cs="Arial"/>
          <w:sz w:val="20"/>
          <w:szCs w:val="20"/>
        </w:rPr>
      </w:pPr>
    </w:p>
    <w:p w:rsidR="00A77957" w:rsidRPr="00F77EE9" w:rsidRDefault="00A77957" w:rsidP="00A77957">
      <w:pPr>
        <w:autoSpaceDE w:val="0"/>
        <w:autoSpaceDN w:val="0"/>
        <w:adjustRightInd w:val="0"/>
        <w:spacing w:after="0"/>
        <w:jc w:val="both"/>
        <w:rPr>
          <w:rFonts w:ascii="Arial" w:hAnsi="Arial" w:cs="Arial"/>
          <w:sz w:val="20"/>
          <w:szCs w:val="20"/>
        </w:rPr>
      </w:pPr>
      <w:r w:rsidRPr="00F77EE9">
        <w:rPr>
          <w:rFonts w:ascii="Arial" w:hAnsi="Arial" w:cs="Arial"/>
          <w:sz w:val="20"/>
          <w:szCs w:val="20"/>
        </w:rPr>
        <w:lastRenderedPageBreak/>
        <w:t xml:space="preserve">Ressalvando entendimento </w:t>
      </w:r>
      <w:r w:rsidR="000D2434">
        <w:rPr>
          <w:rFonts w:ascii="Arial" w:hAnsi="Arial" w:cs="Arial"/>
          <w:sz w:val="20"/>
          <w:szCs w:val="20"/>
        </w:rPr>
        <w:t>do relator</w:t>
      </w:r>
      <w:r w:rsidRPr="00F77EE9">
        <w:rPr>
          <w:rFonts w:ascii="Arial" w:hAnsi="Arial" w:cs="Arial"/>
          <w:sz w:val="20"/>
          <w:szCs w:val="20"/>
        </w:rPr>
        <w:t xml:space="preserve">, inúmeras vezes vencido junto aos órgãos deliberativos desta Casa, no sentido de que o direito deve ser deferido a partir da data em que efetuado o respectivo pedido, acompanha-se a jurisprudência consagrada, </w:t>
      </w:r>
      <w:r>
        <w:rPr>
          <w:rFonts w:ascii="Arial" w:hAnsi="Arial" w:cs="Arial"/>
          <w:sz w:val="20"/>
          <w:szCs w:val="20"/>
        </w:rPr>
        <w:t xml:space="preserve">no sentido de que </w:t>
      </w:r>
      <w:r w:rsidRPr="00F77EE9">
        <w:rPr>
          <w:rFonts w:ascii="Arial" w:hAnsi="Arial" w:cs="Arial"/>
          <w:sz w:val="20"/>
          <w:szCs w:val="20"/>
        </w:rPr>
        <w:t>o abono é devido desde o momento em que atendidas as condições legais para a aposentação.</w:t>
      </w:r>
    </w:p>
    <w:p w:rsidR="00A77957" w:rsidRPr="00F77EE9" w:rsidRDefault="00A77957" w:rsidP="00A77957">
      <w:pPr>
        <w:autoSpaceDE w:val="0"/>
        <w:autoSpaceDN w:val="0"/>
        <w:adjustRightInd w:val="0"/>
        <w:spacing w:after="0"/>
        <w:jc w:val="both"/>
        <w:rPr>
          <w:rFonts w:ascii="Arial" w:hAnsi="Arial" w:cs="Arial"/>
          <w:sz w:val="20"/>
          <w:szCs w:val="20"/>
        </w:rPr>
      </w:pPr>
    </w:p>
    <w:p w:rsidR="00A77957" w:rsidRPr="00F77EE9" w:rsidRDefault="00A77957" w:rsidP="00A77957">
      <w:pPr>
        <w:autoSpaceDE w:val="0"/>
        <w:autoSpaceDN w:val="0"/>
        <w:adjustRightInd w:val="0"/>
        <w:spacing w:after="0"/>
        <w:jc w:val="both"/>
        <w:rPr>
          <w:rFonts w:ascii="Arial" w:hAnsi="Arial" w:cs="Arial"/>
          <w:sz w:val="20"/>
          <w:szCs w:val="20"/>
        </w:rPr>
      </w:pPr>
      <w:r w:rsidRPr="00F77EE9">
        <w:rPr>
          <w:rFonts w:ascii="Arial" w:hAnsi="Arial" w:cs="Arial"/>
          <w:sz w:val="20"/>
          <w:szCs w:val="20"/>
        </w:rPr>
        <w:t xml:space="preserve">Processo nº </w:t>
      </w:r>
      <w:r>
        <w:rPr>
          <w:rFonts w:ascii="Arial" w:hAnsi="Arial" w:cs="Arial"/>
          <w:sz w:val="20"/>
          <w:szCs w:val="20"/>
        </w:rPr>
        <w:t>279040/18</w:t>
      </w:r>
      <w:r w:rsidRPr="00F77EE9">
        <w:rPr>
          <w:rFonts w:ascii="Arial" w:hAnsi="Arial" w:cs="Arial"/>
          <w:sz w:val="20"/>
          <w:szCs w:val="20"/>
        </w:rPr>
        <w:t xml:space="preserve"> - </w:t>
      </w:r>
      <w:hyperlink r:id="rId9" w:history="1">
        <w:r w:rsidRPr="00F77EE9">
          <w:rPr>
            <w:rStyle w:val="Hyperlink"/>
            <w:rFonts w:ascii="Arial" w:hAnsi="Arial" w:cs="Arial"/>
            <w:sz w:val="20"/>
            <w:szCs w:val="20"/>
          </w:rPr>
          <w:t xml:space="preserve">Acórdão nº 1604/18 </w:t>
        </w:r>
        <w:r>
          <w:rPr>
            <w:rStyle w:val="Hyperlink"/>
            <w:rFonts w:ascii="Arial" w:hAnsi="Arial" w:cs="Arial"/>
            <w:sz w:val="20"/>
            <w:szCs w:val="20"/>
          </w:rPr>
          <w:t>-</w:t>
        </w:r>
        <w:r w:rsidRPr="00F77EE9">
          <w:rPr>
            <w:rStyle w:val="Hyperlink"/>
            <w:rFonts w:ascii="Arial" w:hAnsi="Arial" w:cs="Arial"/>
            <w:sz w:val="20"/>
            <w:szCs w:val="20"/>
          </w:rPr>
          <w:t xml:space="preserve"> Primeira Câmara</w:t>
        </w:r>
      </w:hyperlink>
      <w:r w:rsidRPr="00F77EE9">
        <w:rPr>
          <w:rFonts w:ascii="Arial" w:hAnsi="Arial" w:cs="Arial"/>
          <w:sz w:val="20"/>
          <w:szCs w:val="20"/>
        </w:rPr>
        <w:t xml:space="preserve"> - Relator </w:t>
      </w:r>
      <w:bookmarkStart w:id="0" w:name="_Hlk520374869"/>
      <w:r w:rsidRPr="00F77EE9">
        <w:rPr>
          <w:rFonts w:ascii="Arial" w:hAnsi="Arial" w:cs="Arial"/>
          <w:sz w:val="20"/>
          <w:szCs w:val="20"/>
        </w:rPr>
        <w:t xml:space="preserve">Conselheiro </w:t>
      </w:r>
      <w:r>
        <w:rPr>
          <w:rFonts w:ascii="Arial" w:hAnsi="Arial" w:cs="Arial"/>
          <w:sz w:val="20"/>
          <w:szCs w:val="20"/>
        </w:rPr>
        <w:t>Fernando Augusto Mello Guimarães</w:t>
      </w:r>
      <w:r w:rsidRPr="00F77EE9">
        <w:rPr>
          <w:rFonts w:ascii="Arial" w:hAnsi="Arial" w:cs="Arial"/>
          <w:sz w:val="20"/>
          <w:szCs w:val="20"/>
        </w:rPr>
        <w:t>.</w:t>
      </w:r>
      <w:bookmarkEnd w:id="0"/>
    </w:p>
    <w:p w:rsidR="00A77957" w:rsidRDefault="00A77957" w:rsidP="00A77957">
      <w:pPr>
        <w:autoSpaceDE w:val="0"/>
        <w:autoSpaceDN w:val="0"/>
        <w:adjustRightInd w:val="0"/>
        <w:spacing w:after="0" w:line="240" w:lineRule="auto"/>
        <w:rPr>
          <w:rFonts w:ascii="Arial" w:hAnsi="Arial" w:cs="Arial"/>
          <w:sz w:val="20"/>
          <w:szCs w:val="20"/>
        </w:rPr>
      </w:pPr>
    </w:p>
    <w:p w:rsidR="00A77957" w:rsidRPr="00E532A0" w:rsidRDefault="00E41475" w:rsidP="000E3CEA">
      <w:pPr>
        <w:autoSpaceDE w:val="0"/>
        <w:autoSpaceDN w:val="0"/>
        <w:adjustRightInd w:val="0"/>
        <w:spacing w:after="0"/>
        <w:jc w:val="both"/>
        <w:rPr>
          <w:rFonts w:ascii="Arial" w:hAnsi="Arial" w:cs="Arial"/>
          <w:b/>
          <w:sz w:val="20"/>
          <w:szCs w:val="20"/>
        </w:rPr>
      </w:pPr>
      <w:r>
        <w:rPr>
          <w:rFonts w:ascii="Arial" w:hAnsi="Arial" w:cs="Arial"/>
          <w:b/>
          <w:sz w:val="20"/>
          <w:szCs w:val="20"/>
        </w:rPr>
        <w:t xml:space="preserve">3. </w:t>
      </w:r>
      <w:r w:rsidR="00A77957" w:rsidRPr="00E532A0">
        <w:rPr>
          <w:rFonts w:ascii="Arial" w:hAnsi="Arial" w:cs="Arial"/>
          <w:b/>
          <w:sz w:val="20"/>
          <w:szCs w:val="20"/>
        </w:rPr>
        <w:t>Admissão temporária de pessoal municipal. Cargo</w:t>
      </w:r>
      <w:r w:rsidR="00A77957">
        <w:rPr>
          <w:rFonts w:ascii="Arial" w:hAnsi="Arial" w:cs="Arial"/>
          <w:b/>
          <w:sz w:val="20"/>
          <w:szCs w:val="20"/>
        </w:rPr>
        <w:t xml:space="preserve"> vago</w:t>
      </w:r>
      <w:r w:rsidR="00A77957" w:rsidRPr="00E532A0">
        <w:rPr>
          <w:rFonts w:ascii="Arial" w:hAnsi="Arial" w:cs="Arial"/>
          <w:b/>
          <w:sz w:val="20"/>
          <w:szCs w:val="20"/>
        </w:rPr>
        <w:t xml:space="preserve"> para o qual se exige concurso público. </w:t>
      </w:r>
      <w:r w:rsidR="00A77957">
        <w:rPr>
          <w:rFonts w:ascii="Arial" w:hAnsi="Arial" w:cs="Arial"/>
          <w:b/>
          <w:sz w:val="20"/>
          <w:szCs w:val="20"/>
        </w:rPr>
        <w:t xml:space="preserve">Cargo de médico. Demanda necessária. </w:t>
      </w:r>
      <w:r w:rsidR="000E3CEA">
        <w:rPr>
          <w:rFonts w:ascii="Arial" w:hAnsi="Arial" w:cs="Arial"/>
          <w:b/>
          <w:sz w:val="20"/>
          <w:szCs w:val="20"/>
        </w:rPr>
        <w:t xml:space="preserve">Ponderação. </w:t>
      </w:r>
      <w:r w:rsidR="00A77957" w:rsidRPr="00E532A0">
        <w:rPr>
          <w:rFonts w:ascii="Arial" w:hAnsi="Arial" w:cs="Arial"/>
          <w:b/>
          <w:sz w:val="20"/>
          <w:szCs w:val="20"/>
        </w:rPr>
        <w:t>Registro. Recomendação.</w:t>
      </w:r>
    </w:p>
    <w:p w:rsidR="00A77957" w:rsidRPr="00E532A0" w:rsidRDefault="00A77957" w:rsidP="000E3CEA">
      <w:pPr>
        <w:autoSpaceDE w:val="0"/>
        <w:autoSpaceDN w:val="0"/>
        <w:adjustRightInd w:val="0"/>
        <w:spacing w:after="0"/>
        <w:jc w:val="both"/>
        <w:rPr>
          <w:rFonts w:ascii="Arial" w:hAnsi="Arial" w:cs="Arial"/>
          <w:b/>
          <w:sz w:val="20"/>
          <w:szCs w:val="20"/>
        </w:rPr>
      </w:pPr>
    </w:p>
    <w:p w:rsidR="00A77957" w:rsidRDefault="00A77957" w:rsidP="000E3CEA">
      <w:pPr>
        <w:autoSpaceDE w:val="0"/>
        <w:autoSpaceDN w:val="0"/>
        <w:adjustRightInd w:val="0"/>
        <w:spacing w:after="0"/>
        <w:jc w:val="both"/>
        <w:rPr>
          <w:rFonts w:ascii="Arial" w:hAnsi="Arial" w:cs="Arial"/>
          <w:sz w:val="20"/>
          <w:szCs w:val="20"/>
        </w:rPr>
      </w:pPr>
      <w:r w:rsidRPr="00E532A0">
        <w:rPr>
          <w:rFonts w:ascii="Arial" w:hAnsi="Arial" w:cs="Arial"/>
          <w:sz w:val="20"/>
          <w:szCs w:val="20"/>
        </w:rPr>
        <w:t>Ainda que as impropriedades apontadas pelo Ministério Público de Contas tenham real fundamento, uma vez que não houve prova escrita a fim de selecionar os candidatos que estivessem em melhores condições para assumir as funções temporárias, sopesa-se, no caso concreto, que o gestor municipal cumpriu os mandamentos legais.</w:t>
      </w:r>
    </w:p>
    <w:p w:rsidR="00D702AC" w:rsidRPr="00E532A0" w:rsidRDefault="00D702AC" w:rsidP="000E3CEA">
      <w:pPr>
        <w:autoSpaceDE w:val="0"/>
        <w:autoSpaceDN w:val="0"/>
        <w:adjustRightInd w:val="0"/>
        <w:spacing w:after="0"/>
        <w:jc w:val="both"/>
        <w:rPr>
          <w:rFonts w:ascii="Arial" w:hAnsi="Arial" w:cs="Arial"/>
          <w:sz w:val="20"/>
          <w:szCs w:val="20"/>
        </w:rPr>
      </w:pPr>
    </w:p>
    <w:p w:rsidR="00A77957" w:rsidRDefault="00A77957" w:rsidP="000E3CEA">
      <w:pPr>
        <w:autoSpaceDE w:val="0"/>
        <w:autoSpaceDN w:val="0"/>
        <w:adjustRightInd w:val="0"/>
        <w:spacing w:after="0"/>
        <w:jc w:val="both"/>
        <w:rPr>
          <w:rFonts w:ascii="Arial" w:hAnsi="Arial" w:cs="Arial"/>
          <w:sz w:val="20"/>
          <w:szCs w:val="20"/>
        </w:rPr>
      </w:pPr>
      <w:r w:rsidRPr="00E532A0">
        <w:rPr>
          <w:rFonts w:ascii="Arial" w:hAnsi="Arial" w:cs="Arial"/>
          <w:sz w:val="20"/>
          <w:szCs w:val="20"/>
        </w:rPr>
        <w:t>Do exposto, diversamente do que entendeu o Ministério Público de Contas, a seleção foi feita com base nos títulos apresentados e os candidatos foram classificados após análise dos currículos, em consonância com o que determina a Lei Municipal. Assim, considerando o caso em análise em relação à lei, verifica-se que, embora não tenha havido prova escrita, os ditames legais foram atendidos, já que as características regulamentares do processo seletivo simplificado foram descritas no Edital.</w:t>
      </w:r>
    </w:p>
    <w:p w:rsidR="000E3CEA" w:rsidRPr="00E532A0" w:rsidRDefault="000E3CEA" w:rsidP="000E3CEA">
      <w:pPr>
        <w:autoSpaceDE w:val="0"/>
        <w:autoSpaceDN w:val="0"/>
        <w:adjustRightInd w:val="0"/>
        <w:spacing w:after="0"/>
        <w:jc w:val="both"/>
        <w:rPr>
          <w:rFonts w:ascii="Arial" w:hAnsi="Arial" w:cs="Arial"/>
          <w:sz w:val="20"/>
          <w:szCs w:val="20"/>
        </w:rPr>
      </w:pPr>
    </w:p>
    <w:p w:rsidR="00A77957" w:rsidRDefault="00A77957" w:rsidP="000E3CEA">
      <w:pPr>
        <w:autoSpaceDE w:val="0"/>
        <w:autoSpaceDN w:val="0"/>
        <w:adjustRightInd w:val="0"/>
        <w:spacing w:after="0"/>
        <w:jc w:val="both"/>
        <w:rPr>
          <w:rFonts w:ascii="Arial" w:hAnsi="Arial" w:cs="Arial"/>
          <w:sz w:val="20"/>
          <w:szCs w:val="20"/>
        </w:rPr>
      </w:pPr>
      <w:r w:rsidRPr="00E532A0">
        <w:rPr>
          <w:rFonts w:ascii="Arial" w:hAnsi="Arial" w:cs="Arial"/>
          <w:sz w:val="20"/>
          <w:szCs w:val="20"/>
        </w:rPr>
        <w:t>É verdade que o provimento deve ser feito por concurso público conforme preceitua a Constituição Federal. Entretanto, não nos cabe substituir o administrador público e estabelecer qual a demanda necessária, em especial quando estamos a tratar de questões relacionadas à área da saúde.</w:t>
      </w:r>
      <w:r>
        <w:rPr>
          <w:rFonts w:ascii="Arial" w:hAnsi="Arial" w:cs="Arial"/>
          <w:sz w:val="20"/>
          <w:szCs w:val="20"/>
        </w:rPr>
        <w:t xml:space="preserve"> </w:t>
      </w:r>
    </w:p>
    <w:p w:rsidR="000E3CEA" w:rsidRDefault="000E3CEA" w:rsidP="000E3CEA">
      <w:pPr>
        <w:autoSpaceDE w:val="0"/>
        <w:autoSpaceDN w:val="0"/>
        <w:adjustRightInd w:val="0"/>
        <w:spacing w:after="0"/>
        <w:jc w:val="both"/>
        <w:rPr>
          <w:rFonts w:ascii="Arial" w:hAnsi="Arial" w:cs="Arial"/>
          <w:sz w:val="20"/>
          <w:szCs w:val="20"/>
        </w:rPr>
      </w:pPr>
    </w:p>
    <w:p w:rsidR="00A77957" w:rsidRPr="00E532A0" w:rsidRDefault="00A77957" w:rsidP="000E3CEA">
      <w:pPr>
        <w:autoSpaceDE w:val="0"/>
        <w:autoSpaceDN w:val="0"/>
        <w:adjustRightInd w:val="0"/>
        <w:spacing w:after="0"/>
        <w:jc w:val="both"/>
        <w:rPr>
          <w:rFonts w:ascii="Arial" w:hAnsi="Arial" w:cs="Arial"/>
          <w:sz w:val="20"/>
          <w:szCs w:val="20"/>
        </w:rPr>
      </w:pPr>
      <w:r>
        <w:rPr>
          <w:rFonts w:ascii="Arial" w:hAnsi="Arial" w:cs="Arial"/>
          <w:sz w:val="20"/>
          <w:szCs w:val="20"/>
        </w:rPr>
        <w:t>P</w:t>
      </w:r>
      <w:r w:rsidRPr="00E532A0">
        <w:rPr>
          <w:rFonts w:ascii="Arial" w:hAnsi="Arial" w:cs="Arial"/>
          <w:sz w:val="20"/>
          <w:szCs w:val="20"/>
        </w:rPr>
        <w:t>ortanto, havendo cargo vago e estando o Município necessitado de médicos não se configura como irregular tal fato a ponto de negar registro para admissões temporárias que, inclusive, já se encerraram.</w:t>
      </w:r>
    </w:p>
    <w:p w:rsidR="00A77957" w:rsidRPr="00E532A0" w:rsidRDefault="00A77957" w:rsidP="000E3CEA">
      <w:pPr>
        <w:autoSpaceDE w:val="0"/>
        <w:autoSpaceDN w:val="0"/>
        <w:adjustRightInd w:val="0"/>
        <w:spacing w:after="0"/>
        <w:jc w:val="both"/>
        <w:rPr>
          <w:rFonts w:ascii="Arial" w:hAnsi="Arial" w:cs="Arial"/>
          <w:sz w:val="20"/>
          <w:szCs w:val="20"/>
        </w:rPr>
      </w:pPr>
    </w:p>
    <w:p w:rsidR="00A77957" w:rsidRPr="00E532A0" w:rsidRDefault="00A77957" w:rsidP="000E3CEA">
      <w:pPr>
        <w:autoSpaceDE w:val="0"/>
        <w:autoSpaceDN w:val="0"/>
        <w:adjustRightInd w:val="0"/>
        <w:spacing w:after="0"/>
        <w:jc w:val="both"/>
        <w:rPr>
          <w:rFonts w:ascii="Arial" w:hAnsi="Arial" w:cs="Arial"/>
          <w:sz w:val="20"/>
          <w:szCs w:val="20"/>
        </w:rPr>
      </w:pPr>
      <w:r w:rsidRPr="00E532A0">
        <w:rPr>
          <w:rFonts w:ascii="Arial" w:hAnsi="Arial" w:cs="Arial"/>
          <w:sz w:val="20"/>
          <w:szCs w:val="20"/>
        </w:rPr>
        <w:t xml:space="preserve">Processo nº 661656/16 - </w:t>
      </w:r>
      <w:hyperlink r:id="rId10" w:history="1">
        <w:r w:rsidRPr="00E532A0">
          <w:rPr>
            <w:rStyle w:val="Hyperlink"/>
            <w:rFonts w:ascii="Arial" w:hAnsi="Arial" w:cs="Arial"/>
            <w:sz w:val="20"/>
            <w:szCs w:val="20"/>
          </w:rPr>
          <w:t xml:space="preserve">Acórdão nº 1602/18 </w:t>
        </w:r>
        <w:r w:rsidR="000E3CEA">
          <w:rPr>
            <w:rStyle w:val="Hyperlink"/>
            <w:rFonts w:ascii="Arial" w:hAnsi="Arial" w:cs="Arial"/>
            <w:sz w:val="20"/>
            <w:szCs w:val="20"/>
          </w:rPr>
          <w:t>-</w:t>
        </w:r>
        <w:r w:rsidRPr="00E532A0">
          <w:rPr>
            <w:rStyle w:val="Hyperlink"/>
            <w:rFonts w:ascii="Arial" w:hAnsi="Arial" w:cs="Arial"/>
            <w:sz w:val="20"/>
            <w:szCs w:val="20"/>
          </w:rPr>
          <w:t xml:space="preserve"> Primeira Câmara</w:t>
        </w:r>
      </w:hyperlink>
      <w:r w:rsidRPr="00E532A0">
        <w:rPr>
          <w:rFonts w:ascii="Arial" w:hAnsi="Arial" w:cs="Arial"/>
          <w:sz w:val="20"/>
          <w:szCs w:val="20"/>
        </w:rPr>
        <w:t xml:space="preserve"> - Relator Conselheiro Fernando Augusto Mello Guimarães.</w:t>
      </w:r>
    </w:p>
    <w:p w:rsidR="00A77957" w:rsidRDefault="00A77957" w:rsidP="000E3CEA">
      <w:pPr>
        <w:autoSpaceDE w:val="0"/>
        <w:autoSpaceDN w:val="0"/>
        <w:adjustRightInd w:val="0"/>
        <w:spacing w:after="0"/>
        <w:jc w:val="both"/>
        <w:rPr>
          <w:rFonts w:ascii="Arial" w:hAnsi="Arial" w:cs="Arial"/>
          <w:sz w:val="20"/>
          <w:szCs w:val="20"/>
        </w:rPr>
      </w:pPr>
    </w:p>
    <w:p w:rsidR="00A77957" w:rsidRPr="00E30507" w:rsidRDefault="00E41475" w:rsidP="000E3CEA">
      <w:pPr>
        <w:autoSpaceDE w:val="0"/>
        <w:autoSpaceDN w:val="0"/>
        <w:adjustRightInd w:val="0"/>
        <w:spacing w:after="0"/>
        <w:jc w:val="both"/>
        <w:rPr>
          <w:rFonts w:ascii="Arial" w:hAnsi="Arial" w:cs="Arial"/>
          <w:sz w:val="20"/>
          <w:szCs w:val="20"/>
        </w:rPr>
      </w:pPr>
      <w:r>
        <w:rPr>
          <w:rFonts w:ascii="Arial" w:hAnsi="Arial" w:cs="Arial"/>
          <w:b/>
          <w:sz w:val="20"/>
          <w:szCs w:val="20"/>
        </w:rPr>
        <w:t xml:space="preserve">4. </w:t>
      </w:r>
      <w:r w:rsidR="00A77957" w:rsidRPr="00E30507">
        <w:rPr>
          <w:rFonts w:ascii="Arial" w:hAnsi="Arial" w:cs="Arial"/>
          <w:b/>
          <w:sz w:val="20"/>
          <w:szCs w:val="20"/>
        </w:rPr>
        <w:t>Prestação de contas de transferência. Extrapolação de valores previstos no plano de trabalho. Ausência de pesquisa de preço. Ausência de aplicação financeira. Divergência entre o saldo e o registrado no SIT.</w:t>
      </w:r>
      <w:r w:rsidR="00A77957">
        <w:rPr>
          <w:rFonts w:ascii="Arial" w:hAnsi="Arial" w:cs="Arial"/>
          <w:b/>
          <w:sz w:val="20"/>
          <w:szCs w:val="20"/>
        </w:rPr>
        <w:t xml:space="preserve"> Ausência de </w:t>
      </w:r>
      <w:r w:rsidR="00A77957" w:rsidRPr="00E30507">
        <w:rPr>
          <w:rFonts w:ascii="Arial" w:hAnsi="Arial" w:cs="Arial"/>
          <w:b/>
          <w:sz w:val="20"/>
          <w:szCs w:val="20"/>
        </w:rPr>
        <w:t>indício</w:t>
      </w:r>
      <w:r w:rsidR="00A77957">
        <w:rPr>
          <w:rFonts w:ascii="Arial" w:hAnsi="Arial" w:cs="Arial"/>
          <w:b/>
          <w:sz w:val="20"/>
          <w:szCs w:val="20"/>
        </w:rPr>
        <w:t>s</w:t>
      </w:r>
      <w:r w:rsidR="00A77957" w:rsidRPr="00E30507">
        <w:rPr>
          <w:rFonts w:ascii="Arial" w:hAnsi="Arial" w:cs="Arial"/>
          <w:b/>
          <w:sz w:val="20"/>
          <w:szCs w:val="20"/>
        </w:rPr>
        <w:t xml:space="preserve"> de </w:t>
      </w:r>
      <w:proofErr w:type="spellStart"/>
      <w:r w:rsidR="00A77957" w:rsidRPr="00E30507">
        <w:rPr>
          <w:rFonts w:ascii="Arial" w:hAnsi="Arial" w:cs="Arial"/>
          <w:b/>
          <w:sz w:val="20"/>
          <w:szCs w:val="20"/>
        </w:rPr>
        <w:t>dano</w:t>
      </w:r>
      <w:proofErr w:type="spellEnd"/>
      <w:r w:rsidR="00A77957" w:rsidRPr="00E30507">
        <w:rPr>
          <w:rFonts w:ascii="Arial" w:hAnsi="Arial" w:cs="Arial"/>
          <w:b/>
          <w:sz w:val="20"/>
          <w:szCs w:val="20"/>
        </w:rPr>
        <w:t xml:space="preserve"> ao erário e à execução do objeto conveniado. Regularidade com ressalva e recomendação.</w:t>
      </w:r>
    </w:p>
    <w:p w:rsidR="00A77957" w:rsidRPr="00E30507" w:rsidRDefault="00A77957" w:rsidP="000E3CEA">
      <w:pPr>
        <w:autoSpaceDE w:val="0"/>
        <w:autoSpaceDN w:val="0"/>
        <w:adjustRightInd w:val="0"/>
        <w:spacing w:after="0"/>
        <w:jc w:val="both"/>
        <w:rPr>
          <w:rFonts w:ascii="Arial" w:hAnsi="Arial" w:cs="Arial"/>
          <w:sz w:val="20"/>
          <w:szCs w:val="20"/>
        </w:rPr>
      </w:pPr>
    </w:p>
    <w:p w:rsidR="00A77957" w:rsidRPr="00E30507" w:rsidRDefault="00A77957" w:rsidP="000E3CEA">
      <w:pPr>
        <w:autoSpaceDE w:val="0"/>
        <w:autoSpaceDN w:val="0"/>
        <w:adjustRightInd w:val="0"/>
        <w:spacing w:after="0"/>
        <w:jc w:val="both"/>
        <w:rPr>
          <w:rFonts w:ascii="Arial" w:hAnsi="Arial" w:cs="Arial"/>
          <w:sz w:val="20"/>
          <w:szCs w:val="20"/>
        </w:rPr>
      </w:pPr>
      <w:r w:rsidRPr="00E30507">
        <w:rPr>
          <w:rFonts w:ascii="Arial" w:hAnsi="Arial" w:cs="Arial"/>
          <w:sz w:val="20"/>
          <w:szCs w:val="20"/>
        </w:rPr>
        <w:t xml:space="preserve">As impropriedades detectadas, repasses e despesas acima do plano acordado no Plano de Trabalho, ausência de pesquisa de preço para aquisição de combustível, ausência de aplicação </w:t>
      </w:r>
      <w:r w:rsidRPr="00E30507">
        <w:rPr>
          <w:rFonts w:ascii="Arial" w:hAnsi="Arial" w:cs="Arial"/>
          <w:sz w:val="20"/>
          <w:szCs w:val="20"/>
        </w:rPr>
        <w:lastRenderedPageBreak/>
        <w:t>financeira e divergência entre o saldo de 2011 e o registrado no SIT, não comprometeram o atingimento dos objetivos pretendidos com o repasse, conforme certifica o órgão repassador dos recursos, razão pela qual julgou-se regular com ressalva a prestação de contas de transferência voluntária, relativa a repasses efetuados e determinou-se a expedição de recomendação aos Jurisdicionados para que observem o disposto na Resolução nº 28/2011, na Instrução Normativa nº 61/2011 e demais normas legais, para adoção de providências visando implementar medidas para que as faltas observadas não venham a se repetir em futuras prestações de contas</w:t>
      </w:r>
    </w:p>
    <w:p w:rsidR="00A77957" w:rsidRPr="00E30507" w:rsidRDefault="00A77957" w:rsidP="000E3CEA">
      <w:pPr>
        <w:autoSpaceDE w:val="0"/>
        <w:autoSpaceDN w:val="0"/>
        <w:adjustRightInd w:val="0"/>
        <w:spacing w:after="0"/>
        <w:rPr>
          <w:rFonts w:ascii="Arial" w:hAnsi="Arial" w:cs="Arial"/>
          <w:sz w:val="20"/>
          <w:szCs w:val="20"/>
        </w:rPr>
      </w:pPr>
    </w:p>
    <w:p w:rsidR="00A77957" w:rsidRPr="00E30507" w:rsidRDefault="00A77957" w:rsidP="000E3CEA">
      <w:pPr>
        <w:autoSpaceDE w:val="0"/>
        <w:autoSpaceDN w:val="0"/>
        <w:adjustRightInd w:val="0"/>
        <w:spacing w:after="0"/>
        <w:jc w:val="both"/>
        <w:rPr>
          <w:rFonts w:ascii="Arial" w:hAnsi="Arial" w:cs="Arial"/>
          <w:sz w:val="20"/>
          <w:szCs w:val="20"/>
        </w:rPr>
      </w:pPr>
      <w:r w:rsidRPr="00E30507">
        <w:rPr>
          <w:rFonts w:ascii="Arial" w:hAnsi="Arial" w:cs="Arial"/>
          <w:sz w:val="20"/>
          <w:szCs w:val="20"/>
        </w:rPr>
        <w:t xml:space="preserve">Processo nº 240857/12 - </w:t>
      </w:r>
      <w:hyperlink r:id="rId11" w:history="1">
        <w:r w:rsidRPr="00E30507">
          <w:rPr>
            <w:rStyle w:val="Hyperlink"/>
            <w:rFonts w:ascii="Arial" w:hAnsi="Arial" w:cs="Arial"/>
            <w:sz w:val="20"/>
            <w:szCs w:val="20"/>
          </w:rPr>
          <w:t xml:space="preserve">Acórdão nº 1594/18 </w:t>
        </w:r>
        <w:r w:rsidR="00AE02FA">
          <w:rPr>
            <w:rStyle w:val="Hyperlink"/>
            <w:rFonts w:ascii="Arial" w:hAnsi="Arial" w:cs="Arial"/>
            <w:sz w:val="20"/>
            <w:szCs w:val="20"/>
          </w:rPr>
          <w:t>-</w:t>
        </w:r>
        <w:r w:rsidRPr="00E30507">
          <w:rPr>
            <w:rStyle w:val="Hyperlink"/>
            <w:rFonts w:ascii="Arial" w:hAnsi="Arial" w:cs="Arial"/>
            <w:sz w:val="20"/>
            <w:szCs w:val="20"/>
          </w:rPr>
          <w:t xml:space="preserve"> Primeira Câmara</w:t>
        </w:r>
      </w:hyperlink>
      <w:r w:rsidRPr="00E30507">
        <w:rPr>
          <w:rFonts w:ascii="Arial" w:hAnsi="Arial" w:cs="Arial"/>
          <w:sz w:val="20"/>
          <w:szCs w:val="20"/>
        </w:rPr>
        <w:t xml:space="preserve"> - Relator Conselheiro Fernando Augusto Mello Guimarães.</w:t>
      </w:r>
    </w:p>
    <w:p w:rsidR="00A77957" w:rsidRDefault="00A77957" w:rsidP="000E3CEA">
      <w:pPr>
        <w:autoSpaceDE w:val="0"/>
        <w:autoSpaceDN w:val="0"/>
        <w:adjustRightInd w:val="0"/>
        <w:spacing w:after="0"/>
        <w:rPr>
          <w:rFonts w:ascii="Arial" w:hAnsi="Arial" w:cs="Arial"/>
          <w:sz w:val="20"/>
          <w:szCs w:val="20"/>
        </w:rPr>
      </w:pPr>
    </w:p>
    <w:p w:rsidR="00A77957" w:rsidRPr="00E30507" w:rsidRDefault="00E41475" w:rsidP="000E3CEA">
      <w:pPr>
        <w:autoSpaceDE w:val="0"/>
        <w:autoSpaceDN w:val="0"/>
        <w:adjustRightInd w:val="0"/>
        <w:spacing w:after="0"/>
        <w:jc w:val="both"/>
        <w:rPr>
          <w:rFonts w:ascii="Arial" w:hAnsi="Arial" w:cs="Arial"/>
          <w:sz w:val="20"/>
          <w:szCs w:val="20"/>
        </w:rPr>
      </w:pPr>
      <w:r>
        <w:rPr>
          <w:rFonts w:ascii="Arial" w:hAnsi="Arial" w:cs="Arial"/>
          <w:b/>
          <w:sz w:val="20"/>
          <w:szCs w:val="20"/>
        </w:rPr>
        <w:t xml:space="preserve">5. </w:t>
      </w:r>
      <w:r w:rsidR="00A77957" w:rsidRPr="00B57499">
        <w:rPr>
          <w:rFonts w:ascii="Arial" w:hAnsi="Arial" w:cs="Arial"/>
          <w:b/>
          <w:sz w:val="20"/>
          <w:szCs w:val="20"/>
        </w:rPr>
        <w:t>Prestação de contas de transferência voluntária. Aplicação da Resolução 60/17. Princípios da eficiência, da economia processual e da racionalização administrativa</w:t>
      </w:r>
      <w:r w:rsidR="005B5A67">
        <w:rPr>
          <w:rFonts w:ascii="Arial" w:hAnsi="Arial" w:cs="Arial"/>
          <w:b/>
          <w:sz w:val="20"/>
          <w:szCs w:val="20"/>
        </w:rPr>
        <w:t>.</w:t>
      </w:r>
      <w:r w:rsidR="00A77957" w:rsidRPr="00B57499">
        <w:rPr>
          <w:rFonts w:ascii="Arial" w:hAnsi="Arial" w:cs="Arial"/>
          <w:b/>
          <w:sz w:val="20"/>
          <w:szCs w:val="20"/>
        </w:rPr>
        <w:t xml:space="preserve"> Encerramento do processo.</w:t>
      </w:r>
    </w:p>
    <w:p w:rsidR="00A77957" w:rsidRPr="00E30507" w:rsidRDefault="00A77957" w:rsidP="000E3CEA">
      <w:pPr>
        <w:autoSpaceDE w:val="0"/>
        <w:autoSpaceDN w:val="0"/>
        <w:adjustRightInd w:val="0"/>
        <w:spacing w:after="0"/>
        <w:jc w:val="both"/>
        <w:rPr>
          <w:rFonts w:ascii="Arial" w:hAnsi="Arial" w:cs="Arial"/>
          <w:sz w:val="20"/>
          <w:szCs w:val="20"/>
        </w:rPr>
      </w:pPr>
    </w:p>
    <w:p w:rsidR="000D59AA" w:rsidRDefault="00A77957" w:rsidP="000E3CEA">
      <w:pPr>
        <w:autoSpaceDE w:val="0"/>
        <w:autoSpaceDN w:val="0"/>
        <w:adjustRightInd w:val="0"/>
        <w:spacing w:after="0"/>
        <w:jc w:val="both"/>
        <w:rPr>
          <w:rFonts w:ascii="Arial" w:hAnsi="Arial" w:cs="Arial"/>
          <w:sz w:val="20"/>
          <w:szCs w:val="20"/>
        </w:rPr>
      </w:pPr>
      <w:r w:rsidRPr="00B16837">
        <w:rPr>
          <w:rFonts w:ascii="Arial" w:hAnsi="Arial" w:cs="Arial"/>
          <w:sz w:val="20"/>
          <w:szCs w:val="20"/>
        </w:rPr>
        <w:t>A Resolução 60/17 está em acordo com os princípios da eficiência, da economia processual e da racionalização administrativa, portanto, não havendo nenhuma incongruência com a Constituição.</w:t>
      </w:r>
      <w:r>
        <w:rPr>
          <w:rFonts w:ascii="Arial" w:hAnsi="Arial" w:cs="Arial"/>
          <w:sz w:val="20"/>
          <w:szCs w:val="20"/>
        </w:rPr>
        <w:t xml:space="preserve"> </w:t>
      </w:r>
    </w:p>
    <w:p w:rsidR="000D59AA" w:rsidRDefault="000D59AA" w:rsidP="000E3CEA">
      <w:pPr>
        <w:autoSpaceDE w:val="0"/>
        <w:autoSpaceDN w:val="0"/>
        <w:adjustRightInd w:val="0"/>
        <w:spacing w:after="0"/>
        <w:jc w:val="both"/>
        <w:rPr>
          <w:rFonts w:ascii="Arial" w:hAnsi="Arial" w:cs="Arial"/>
          <w:sz w:val="20"/>
          <w:szCs w:val="20"/>
        </w:rPr>
      </w:pPr>
    </w:p>
    <w:p w:rsidR="00A77957" w:rsidRDefault="00A77957" w:rsidP="000E3CEA">
      <w:pPr>
        <w:autoSpaceDE w:val="0"/>
        <w:autoSpaceDN w:val="0"/>
        <w:adjustRightInd w:val="0"/>
        <w:spacing w:after="0"/>
        <w:jc w:val="both"/>
        <w:rPr>
          <w:rFonts w:ascii="Arial" w:hAnsi="Arial" w:cs="Arial"/>
          <w:sz w:val="20"/>
          <w:szCs w:val="20"/>
        </w:rPr>
      </w:pPr>
      <w:r w:rsidRPr="00B16837">
        <w:rPr>
          <w:rFonts w:ascii="Arial" w:hAnsi="Arial" w:cs="Arial"/>
          <w:sz w:val="20"/>
          <w:szCs w:val="20"/>
        </w:rPr>
        <w:t>Cumpre destacar, outrossim, que o referido diploma normativo interno foi aprovado após ser ouvido o Ministério Público de Contas, que apresentou manifestação favorável à regulamentação, de modo a priorizar as atividades de fiscalização voltadas à gestão dos recursos públicos, inclusive com a possibilidade de ampliação do universo de jurisdicionados a serem inspecionados, empregando-se a mesma força de trabalho atualmente disponível, passe a realizar não somente o controle de legalidade, mas também da efetividade e da economicidade da implementação de políticas públicas.</w:t>
      </w:r>
    </w:p>
    <w:p w:rsidR="000D59AA" w:rsidRDefault="000D59AA" w:rsidP="000E3CEA">
      <w:pPr>
        <w:autoSpaceDE w:val="0"/>
        <w:autoSpaceDN w:val="0"/>
        <w:adjustRightInd w:val="0"/>
        <w:spacing w:after="0"/>
        <w:jc w:val="both"/>
        <w:rPr>
          <w:rFonts w:ascii="Arial" w:hAnsi="Arial" w:cs="Arial"/>
          <w:sz w:val="20"/>
          <w:szCs w:val="20"/>
        </w:rPr>
      </w:pPr>
    </w:p>
    <w:p w:rsidR="00864091" w:rsidRPr="00B16837" w:rsidRDefault="00864091" w:rsidP="000E3CEA">
      <w:pPr>
        <w:autoSpaceDE w:val="0"/>
        <w:autoSpaceDN w:val="0"/>
        <w:adjustRightInd w:val="0"/>
        <w:spacing w:after="0"/>
        <w:jc w:val="both"/>
        <w:rPr>
          <w:rFonts w:ascii="Arial" w:hAnsi="Arial" w:cs="Arial"/>
          <w:sz w:val="20"/>
          <w:szCs w:val="20"/>
        </w:rPr>
      </w:pPr>
    </w:p>
    <w:p w:rsidR="00A77957" w:rsidRPr="00B16837" w:rsidRDefault="00A77957" w:rsidP="000E3CEA">
      <w:pPr>
        <w:autoSpaceDE w:val="0"/>
        <w:autoSpaceDN w:val="0"/>
        <w:adjustRightInd w:val="0"/>
        <w:spacing w:after="0"/>
        <w:jc w:val="both"/>
        <w:rPr>
          <w:rFonts w:ascii="Arial" w:hAnsi="Arial" w:cs="Arial"/>
          <w:sz w:val="20"/>
          <w:szCs w:val="20"/>
        </w:rPr>
      </w:pPr>
      <w:r w:rsidRPr="00B16837">
        <w:rPr>
          <w:rFonts w:ascii="Arial" w:hAnsi="Arial" w:cs="Arial"/>
          <w:sz w:val="20"/>
          <w:szCs w:val="20"/>
        </w:rPr>
        <w:t>O Tribunal tem a prerrogativa, mediante ato normativo próprio, estabelecer limites mínimos de valor para fins de instauração de processos ou procedimentos em geral, estando amparado pelo art. 322-A do Regimento Interno, que dispõe que a matéria será regulamentada por Resolução.</w:t>
      </w:r>
    </w:p>
    <w:p w:rsidR="00A77957" w:rsidRPr="00B16837" w:rsidRDefault="00A77957" w:rsidP="000E3CEA">
      <w:pPr>
        <w:autoSpaceDE w:val="0"/>
        <w:autoSpaceDN w:val="0"/>
        <w:adjustRightInd w:val="0"/>
        <w:spacing w:after="0"/>
        <w:jc w:val="both"/>
        <w:rPr>
          <w:rFonts w:ascii="Arial" w:hAnsi="Arial" w:cs="Arial"/>
          <w:sz w:val="20"/>
          <w:szCs w:val="20"/>
        </w:rPr>
      </w:pPr>
      <w:r w:rsidRPr="00B16837">
        <w:rPr>
          <w:rFonts w:ascii="Arial" w:hAnsi="Arial" w:cs="Arial"/>
          <w:sz w:val="20"/>
          <w:szCs w:val="20"/>
        </w:rPr>
        <w:t>Nos autos n</w:t>
      </w:r>
      <w:r w:rsidRPr="000D59AA">
        <w:rPr>
          <w:rFonts w:ascii="Arial" w:hAnsi="Arial" w:cs="Arial"/>
          <w:sz w:val="20"/>
          <w:szCs w:val="20"/>
        </w:rPr>
        <w:t xml:space="preserve">° </w:t>
      </w:r>
      <w:r w:rsidRPr="000D59AA">
        <w:rPr>
          <w:rFonts w:ascii="Arial" w:hAnsi="Arial" w:cs="Arial"/>
          <w:bCs/>
          <w:sz w:val="20"/>
          <w:szCs w:val="20"/>
        </w:rPr>
        <w:t xml:space="preserve">146.983/14 </w:t>
      </w:r>
      <w:r w:rsidRPr="000D59AA">
        <w:rPr>
          <w:rFonts w:ascii="Arial" w:hAnsi="Arial" w:cs="Arial"/>
          <w:sz w:val="20"/>
          <w:szCs w:val="20"/>
        </w:rPr>
        <w:t xml:space="preserve">e n° </w:t>
      </w:r>
      <w:r w:rsidRPr="000D59AA">
        <w:rPr>
          <w:rFonts w:ascii="Arial" w:hAnsi="Arial" w:cs="Arial"/>
          <w:bCs/>
          <w:sz w:val="20"/>
          <w:szCs w:val="20"/>
        </w:rPr>
        <w:t>776.835/13</w:t>
      </w:r>
      <w:r w:rsidRPr="00B16837">
        <w:rPr>
          <w:rFonts w:ascii="Arial" w:hAnsi="Arial" w:cs="Arial"/>
          <w:sz w:val="20"/>
          <w:szCs w:val="20"/>
        </w:rPr>
        <w:t>, análogos a este, o Ministério Público de Contas manifestou pelo encerramento dos respectivos processos, acompanhando o opinativo da Unidade Técnica, nos termos da Resolução 60/17</w:t>
      </w:r>
      <w:r>
        <w:rPr>
          <w:rFonts w:ascii="Arial" w:hAnsi="Arial" w:cs="Arial"/>
          <w:sz w:val="20"/>
          <w:szCs w:val="20"/>
        </w:rPr>
        <w:t xml:space="preserve">. </w:t>
      </w:r>
      <w:r w:rsidR="000D59AA">
        <w:rPr>
          <w:rFonts w:ascii="Arial" w:hAnsi="Arial" w:cs="Arial"/>
          <w:sz w:val="20"/>
          <w:szCs w:val="20"/>
        </w:rPr>
        <w:t>E</w:t>
      </w:r>
      <w:r w:rsidRPr="00B16837">
        <w:rPr>
          <w:rFonts w:ascii="Arial" w:hAnsi="Arial" w:cs="Arial"/>
          <w:sz w:val="20"/>
          <w:szCs w:val="20"/>
        </w:rPr>
        <w:t>xtinção do processo, sem julgamento do mérito, com o seu consequente encerramento, nos termos do art. 398, § 3°, do Regimento Interno</w:t>
      </w:r>
    </w:p>
    <w:p w:rsidR="00A77957" w:rsidRPr="00B16837" w:rsidRDefault="00A77957" w:rsidP="000E3CEA">
      <w:pPr>
        <w:autoSpaceDE w:val="0"/>
        <w:autoSpaceDN w:val="0"/>
        <w:adjustRightInd w:val="0"/>
        <w:spacing w:after="0"/>
        <w:rPr>
          <w:rFonts w:ascii="Arial" w:hAnsi="Arial" w:cs="Arial"/>
          <w:sz w:val="20"/>
          <w:szCs w:val="20"/>
        </w:rPr>
      </w:pPr>
    </w:p>
    <w:p w:rsidR="00A77957" w:rsidRPr="00B16837" w:rsidRDefault="00A77957" w:rsidP="000E3CEA">
      <w:pPr>
        <w:autoSpaceDE w:val="0"/>
        <w:autoSpaceDN w:val="0"/>
        <w:adjustRightInd w:val="0"/>
        <w:spacing w:after="0"/>
        <w:jc w:val="both"/>
        <w:rPr>
          <w:rFonts w:ascii="Arial" w:hAnsi="Arial" w:cs="Arial"/>
          <w:sz w:val="20"/>
          <w:szCs w:val="20"/>
        </w:rPr>
      </w:pPr>
      <w:r w:rsidRPr="00B16837">
        <w:rPr>
          <w:rFonts w:ascii="Arial" w:hAnsi="Arial" w:cs="Arial"/>
          <w:sz w:val="20"/>
          <w:szCs w:val="20"/>
        </w:rPr>
        <w:t xml:space="preserve">Processo nº 365863/14 - </w:t>
      </w:r>
      <w:hyperlink r:id="rId12" w:history="1">
        <w:r w:rsidRPr="00B6467C">
          <w:rPr>
            <w:rStyle w:val="Hyperlink"/>
            <w:rFonts w:ascii="Arial" w:hAnsi="Arial" w:cs="Arial"/>
            <w:sz w:val="20"/>
            <w:szCs w:val="20"/>
          </w:rPr>
          <w:t xml:space="preserve">Acórdão nº 1615/18 </w:t>
        </w:r>
        <w:r w:rsidR="000D59AA">
          <w:rPr>
            <w:rStyle w:val="Hyperlink"/>
            <w:rFonts w:ascii="Arial" w:hAnsi="Arial" w:cs="Arial"/>
            <w:sz w:val="20"/>
            <w:szCs w:val="20"/>
          </w:rPr>
          <w:t>-</w:t>
        </w:r>
        <w:r w:rsidRPr="00B6467C">
          <w:rPr>
            <w:rStyle w:val="Hyperlink"/>
            <w:rFonts w:ascii="Arial" w:hAnsi="Arial" w:cs="Arial"/>
            <w:sz w:val="20"/>
            <w:szCs w:val="20"/>
          </w:rPr>
          <w:t xml:space="preserve"> Primeira Câmara</w:t>
        </w:r>
      </w:hyperlink>
      <w:r w:rsidRPr="00B16837">
        <w:rPr>
          <w:rFonts w:ascii="Arial" w:hAnsi="Arial" w:cs="Arial"/>
          <w:sz w:val="20"/>
          <w:szCs w:val="20"/>
        </w:rPr>
        <w:t xml:space="preserve"> - Relator Conselheiro Fabio de Souza Camargo.</w:t>
      </w:r>
    </w:p>
    <w:p w:rsidR="00A77957" w:rsidRDefault="00A77957" w:rsidP="000E3CEA">
      <w:pPr>
        <w:autoSpaceDE w:val="0"/>
        <w:autoSpaceDN w:val="0"/>
        <w:adjustRightInd w:val="0"/>
        <w:spacing w:after="0"/>
        <w:rPr>
          <w:rFonts w:ascii="Arial" w:hAnsi="Arial" w:cs="Arial"/>
          <w:sz w:val="20"/>
          <w:szCs w:val="20"/>
        </w:rPr>
      </w:pPr>
    </w:p>
    <w:p w:rsidR="00C613B0" w:rsidRDefault="00E41475" w:rsidP="00C613B0">
      <w:pPr>
        <w:pStyle w:val="TCU-Epgrafe"/>
        <w:spacing w:line="276" w:lineRule="auto"/>
        <w:ind w:left="0"/>
        <w:rPr>
          <w:rFonts w:ascii="Arial" w:hAnsi="Arial" w:cs="Arial"/>
          <w:b/>
          <w:sz w:val="20"/>
        </w:rPr>
      </w:pPr>
      <w:r>
        <w:rPr>
          <w:rFonts w:ascii="Arial" w:hAnsi="Arial" w:cs="Arial"/>
          <w:b/>
          <w:sz w:val="20"/>
        </w:rPr>
        <w:t xml:space="preserve">6. </w:t>
      </w:r>
      <w:r w:rsidR="00C613B0" w:rsidRPr="006164D1">
        <w:rPr>
          <w:rFonts w:ascii="Arial" w:hAnsi="Arial" w:cs="Arial"/>
          <w:b/>
          <w:sz w:val="20"/>
        </w:rPr>
        <w:t>Tomada de Contas Extraordinária. Contratação de serviços. Ausência de prestação de serviços. Fraude. Desconsideração da personalidade jurídica. Aplicação nos Tribunais de Contas.</w:t>
      </w:r>
    </w:p>
    <w:p w:rsidR="00C613B0" w:rsidRDefault="00C613B0" w:rsidP="00C613B0">
      <w:pPr>
        <w:pStyle w:val="TCU-Epgrafe"/>
        <w:spacing w:line="276" w:lineRule="auto"/>
        <w:ind w:left="0"/>
        <w:rPr>
          <w:rFonts w:ascii="Arial" w:hAnsi="Arial" w:cs="Arial"/>
          <w:sz w:val="20"/>
        </w:rPr>
      </w:pPr>
      <w:r w:rsidRPr="006164D1">
        <w:rPr>
          <w:rFonts w:ascii="Arial" w:hAnsi="Arial" w:cs="Arial"/>
          <w:sz w:val="20"/>
        </w:rPr>
        <w:lastRenderedPageBreak/>
        <w:t>O instituto da desconsideração da personalidade jurídica, consagrado inclusive no novo Código de Processo Civil (Capítulo IV - artigos 133 a 137), mostra-se necessário para os casos em que a pessoa natural se utiliza, de forma indevida, da pessoa jurídica para blindar suas práticas.</w:t>
      </w:r>
    </w:p>
    <w:p w:rsidR="00C613B0" w:rsidRPr="006164D1" w:rsidRDefault="00C613B0" w:rsidP="00C613B0">
      <w:pPr>
        <w:pStyle w:val="TCU-Epgrafe"/>
        <w:spacing w:line="276" w:lineRule="auto"/>
        <w:ind w:left="0"/>
        <w:rPr>
          <w:rFonts w:ascii="Arial" w:hAnsi="Arial" w:cs="Arial"/>
          <w:sz w:val="20"/>
        </w:rPr>
      </w:pPr>
    </w:p>
    <w:p w:rsidR="00C613B0" w:rsidRDefault="00C613B0" w:rsidP="00C613B0">
      <w:pPr>
        <w:pStyle w:val="TCU-Epgrafe"/>
        <w:spacing w:line="276" w:lineRule="auto"/>
        <w:ind w:left="0"/>
        <w:rPr>
          <w:rFonts w:ascii="Arial" w:hAnsi="Arial" w:cs="Arial"/>
          <w:sz w:val="20"/>
        </w:rPr>
      </w:pPr>
      <w:r w:rsidRPr="006164D1">
        <w:rPr>
          <w:rFonts w:ascii="Arial" w:hAnsi="Arial" w:cs="Arial"/>
          <w:sz w:val="20"/>
        </w:rPr>
        <w:t>A referida teoria vem sendo aplicada neste Tribunal de Contas e, vastamente, pelo Tribunal de Contas da União.</w:t>
      </w:r>
    </w:p>
    <w:p w:rsidR="00C613B0" w:rsidRDefault="00C613B0" w:rsidP="00C613B0">
      <w:pPr>
        <w:pStyle w:val="TCU-Epgrafe"/>
        <w:spacing w:line="276" w:lineRule="auto"/>
        <w:ind w:left="0"/>
        <w:rPr>
          <w:rFonts w:ascii="Arial" w:hAnsi="Arial" w:cs="Arial"/>
          <w:sz w:val="20"/>
        </w:rPr>
      </w:pPr>
    </w:p>
    <w:p w:rsidR="00C613B0" w:rsidRDefault="00C613B0" w:rsidP="00C613B0">
      <w:pPr>
        <w:pStyle w:val="TCU-Epgrafe"/>
        <w:spacing w:line="276" w:lineRule="auto"/>
        <w:ind w:left="0"/>
        <w:rPr>
          <w:rFonts w:ascii="Arial" w:hAnsi="Arial" w:cs="Arial"/>
          <w:sz w:val="20"/>
        </w:rPr>
      </w:pPr>
      <w:r>
        <w:rPr>
          <w:rFonts w:ascii="Arial" w:hAnsi="Arial" w:cs="Arial"/>
          <w:sz w:val="20"/>
        </w:rPr>
        <w:t xml:space="preserve">Processo n° 564159/09 - </w:t>
      </w:r>
      <w:hyperlink r:id="rId13" w:history="1">
        <w:r w:rsidRPr="006164D1">
          <w:rPr>
            <w:rStyle w:val="Hyperlink"/>
            <w:rFonts w:ascii="Arial" w:hAnsi="Arial" w:cs="Arial"/>
            <w:sz w:val="20"/>
          </w:rPr>
          <w:t xml:space="preserve">Acórdão 1511/18 </w:t>
        </w:r>
        <w:r>
          <w:rPr>
            <w:rStyle w:val="Hyperlink"/>
            <w:rFonts w:ascii="Arial" w:hAnsi="Arial" w:cs="Arial"/>
            <w:sz w:val="20"/>
          </w:rPr>
          <w:t>-</w:t>
        </w:r>
        <w:r w:rsidRPr="006164D1">
          <w:rPr>
            <w:rStyle w:val="Hyperlink"/>
            <w:rFonts w:ascii="Arial" w:hAnsi="Arial" w:cs="Arial"/>
            <w:sz w:val="20"/>
          </w:rPr>
          <w:t xml:space="preserve"> Primeira Câmara</w:t>
        </w:r>
      </w:hyperlink>
      <w:r>
        <w:rPr>
          <w:rFonts w:ascii="Arial" w:hAnsi="Arial" w:cs="Arial"/>
          <w:sz w:val="20"/>
        </w:rPr>
        <w:t xml:space="preserve"> - Relator Conselheiro Fábio de Souza Camargo.</w:t>
      </w:r>
    </w:p>
    <w:p w:rsidR="00C613B0" w:rsidRDefault="00C613B0" w:rsidP="00A77957">
      <w:pPr>
        <w:autoSpaceDE w:val="0"/>
        <w:autoSpaceDN w:val="0"/>
        <w:adjustRightInd w:val="0"/>
        <w:spacing w:after="0" w:line="240" w:lineRule="auto"/>
        <w:jc w:val="both"/>
        <w:rPr>
          <w:rFonts w:ascii="Arial" w:hAnsi="Arial" w:cs="Arial"/>
          <w:b/>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BF6EF7" w:rsidRDefault="00BF6EF7" w:rsidP="00116515">
      <w:pPr>
        <w:autoSpaceDE w:val="0"/>
        <w:autoSpaceDN w:val="0"/>
        <w:adjustRightInd w:val="0"/>
        <w:spacing w:after="0"/>
        <w:jc w:val="both"/>
        <w:rPr>
          <w:rFonts w:ascii="Arial" w:hAnsi="Arial" w:cs="Arial"/>
          <w:b/>
          <w:sz w:val="20"/>
          <w:szCs w:val="20"/>
        </w:rPr>
      </w:pPr>
    </w:p>
    <w:p w:rsidR="00116515" w:rsidRPr="00116515" w:rsidRDefault="00E41475" w:rsidP="00116515">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116515" w:rsidRPr="00116515">
        <w:rPr>
          <w:rFonts w:ascii="Arial" w:hAnsi="Arial" w:cs="Arial"/>
          <w:b/>
          <w:sz w:val="20"/>
          <w:szCs w:val="20"/>
        </w:rPr>
        <w:t>Prestação de Contas Municipal. Balanço Patrimonial. Divergência com os dados enviados pelo SIM/AM</w:t>
      </w:r>
      <w:r w:rsidR="00116515">
        <w:rPr>
          <w:rFonts w:ascii="Arial" w:hAnsi="Arial" w:cs="Arial"/>
          <w:b/>
          <w:sz w:val="20"/>
          <w:szCs w:val="20"/>
        </w:rPr>
        <w:t xml:space="preserve">. </w:t>
      </w:r>
      <w:r w:rsidR="00116515" w:rsidRPr="00116515">
        <w:rPr>
          <w:rFonts w:ascii="Arial" w:hAnsi="Arial" w:cs="Arial"/>
          <w:b/>
          <w:sz w:val="20"/>
          <w:szCs w:val="20"/>
        </w:rPr>
        <w:t>Regularidade com ressalva.</w:t>
      </w:r>
    </w:p>
    <w:p w:rsidR="00116515" w:rsidRPr="00116515" w:rsidRDefault="00116515" w:rsidP="00116515">
      <w:pPr>
        <w:autoSpaceDE w:val="0"/>
        <w:autoSpaceDN w:val="0"/>
        <w:adjustRightInd w:val="0"/>
        <w:spacing w:after="0"/>
        <w:jc w:val="both"/>
        <w:rPr>
          <w:rFonts w:ascii="Arial" w:hAnsi="Arial" w:cs="Arial"/>
          <w:b/>
          <w:sz w:val="20"/>
          <w:szCs w:val="20"/>
        </w:rPr>
      </w:pPr>
    </w:p>
    <w:p w:rsidR="000D2434" w:rsidRDefault="00116515" w:rsidP="00116515">
      <w:pPr>
        <w:autoSpaceDE w:val="0"/>
        <w:autoSpaceDN w:val="0"/>
        <w:adjustRightInd w:val="0"/>
        <w:spacing w:after="0"/>
        <w:jc w:val="both"/>
        <w:rPr>
          <w:rFonts w:ascii="Arial" w:hAnsi="Arial" w:cs="Arial"/>
          <w:sz w:val="20"/>
          <w:szCs w:val="20"/>
        </w:rPr>
      </w:pPr>
      <w:r w:rsidRPr="00116515">
        <w:rPr>
          <w:rFonts w:ascii="Arial" w:hAnsi="Arial" w:cs="Arial"/>
          <w:sz w:val="20"/>
          <w:szCs w:val="20"/>
        </w:rPr>
        <w:t xml:space="preserve">Quanto às </w:t>
      </w:r>
      <w:r w:rsidRPr="00116515">
        <w:rPr>
          <w:rFonts w:ascii="Arial" w:hAnsi="Arial" w:cs="Arial"/>
          <w:bCs/>
          <w:iCs/>
          <w:sz w:val="20"/>
          <w:szCs w:val="20"/>
        </w:rPr>
        <w:t>divergências de saldos em quaisquer das classes ou grupos do Balanço Patrimonial emitido pelo Sistema de Contabilidade da Entidade</w:t>
      </w:r>
      <w:r w:rsidRPr="00116515">
        <w:rPr>
          <w:rFonts w:ascii="Arial" w:hAnsi="Arial" w:cs="Arial"/>
          <w:sz w:val="20"/>
          <w:szCs w:val="20"/>
        </w:rPr>
        <w:t xml:space="preserve">, acompanha-se a Unidade Técnica e d. Ministério Público junto ao Tribunal de Contas, considerando que a única divergência do balanço encaminhado no exame inicial, era a ausência do valor do superávit/déficit financeiro do exercício anterior, o que foi devidamente corrigido. </w:t>
      </w:r>
    </w:p>
    <w:p w:rsidR="000D2434" w:rsidRDefault="000D2434" w:rsidP="00116515">
      <w:pPr>
        <w:autoSpaceDE w:val="0"/>
        <w:autoSpaceDN w:val="0"/>
        <w:adjustRightInd w:val="0"/>
        <w:spacing w:after="0"/>
        <w:jc w:val="both"/>
        <w:rPr>
          <w:rFonts w:ascii="Arial" w:hAnsi="Arial" w:cs="Arial"/>
          <w:sz w:val="20"/>
          <w:szCs w:val="20"/>
        </w:rPr>
      </w:pPr>
    </w:p>
    <w:p w:rsidR="00116515" w:rsidRPr="00116515" w:rsidRDefault="00116515" w:rsidP="00116515">
      <w:pPr>
        <w:autoSpaceDE w:val="0"/>
        <w:autoSpaceDN w:val="0"/>
        <w:adjustRightInd w:val="0"/>
        <w:spacing w:after="0"/>
        <w:jc w:val="both"/>
        <w:rPr>
          <w:rFonts w:ascii="Arial" w:hAnsi="Arial" w:cs="Arial"/>
          <w:sz w:val="20"/>
          <w:szCs w:val="20"/>
        </w:rPr>
      </w:pPr>
      <w:r w:rsidRPr="00116515">
        <w:rPr>
          <w:rFonts w:ascii="Arial" w:hAnsi="Arial" w:cs="Arial"/>
          <w:sz w:val="20"/>
          <w:szCs w:val="20"/>
        </w:rPr>
        <w:t>Da análise do balanço patrimonial, a Unidade Técnica verificou que o demonstrativo apresenta a estrutura definida no Manual de Contabilidade Aplicada ao Setor Público, e não há inconsistências com os dados do SIM-AM. Entretanto, o balanço está assinado apenas pelos gestores, não constando a assinatura do contador, nem mesmo sua republicação com a respectiva correção. Desta forma, tal apontamento não trouxe prejuízos à análise das contas por esta Corte</w:t>
      </w:r>
      <w:r>
        <w:rPr>
          <w:rFonts w:ascii="Arial" w:hAnsi="Arial" w:cs="Arial"/>
          <w:sz w:val="20"/>
          <w:szCs w:val="20"/>
        </w:rPr>
        <w:t xml:space="preserve"> ressalva </w:t>
      </w:r>
      <w:r w:rsidRPr="00116515">
        <w:rPr>
          <w:rFonts w:ascii="Arial" w:hAnsi="Arial" w:cs="Arial"/>
          <w:sz w:val="20"/>
          <w:szCs w:val="20"/>
        </w:rPr>
        <w:t>o item analisado.</w:t>
      </w:r>
    </w:p>
    <w:p w:rsidR="00116515" w:rsidRPr="00116515" w:rsidRDefault="00116515" w:rsidP="00116515">
      <w:pPr>
        <w:autoSpaceDE w:val="0"/>
        <w:autoSpaceDN w:val="0"/>
        <w:adjustRightInd w:val="0"/>
        <w:spacing w:after="0"/>
        <w:jc w:val="both"/>
        <w:rPr>
          <w:rFonts w:ascii="Arial" w:hAnsi="Arial" w:cs="Arial"/>
          <w:sz w:val="20"/>
          <w:szCs w:val="20"/>
        </w:rPr>
      </w:pPr>
    </w:p>
    <w:p w:rsidR="00116515" w:rsidRDefault="00116515" w:rsidP="00116515">
      <w:pPr>
        <w:autoSpaceDE w:val="0"/>
        <w:autoSpaceDN w:val="0"/>
        <w:adjustRightInd w:val="0"/>
        <w:spacing w:after="0"/>
        <w:jc w:val="both"/>
        <w:rPr>
          <w:rFonts w:ascii="Arial" w:hAnsi="Arial" w:cs="Arial"/>
          <w:sz w:val="20"/>
          <w:szCs w:val="20"/>
        </w:rPr>
      </w:pPr>
      <w:r w:rsidRPr="00116515">
        <w:rPr>
          <w:rFonts w:ascii="Arial" w:hAnsi="Arial" w:cs="Arial"/>
          <w:sz w:val="20"/>
          <w:szCs w:val="20"/>
        </w:rPr>
        <w:t xml:space="preserve">Processo nº 234018/17 - </w:t>
      </w:r>
      <w:hyperlink r:id="rId14" w:history="1">
        <w:r w:rsidRPr="00116515">
          <w:rPr>
            <w:rStyle w:val="Hyperlink"/>
            <w:rFonts w:ascii="Arial" w:hAnsi="Arial" w:cs="Arial"/>
            <w:sz w:val="20"/>
            <w:szCs w:val="20"/>
          </w:rPr>
          <w:t xml:space="preserve">Acórdão nº 1529/18 </w:t>
        </w:r>
        <w:r>
          <w:rPr>
            <w:rStyle w:val="Hyperlink"/>
            <w:rFonts w:ascii="Arial" w:hAnsi="Arial" w:cs="Arial"/>
            <w:sz w:val="20"/>
            <w:szCs w:val="20"/>
          </w:rPr>
          <w:t>-</w:t>
        </w:r>
        <w:r w:rsidRPr="00116515">
          <w:rPr>
            <w:rStyle w:val="Hyperlink"/>
            <w:rFonts w:ascii="Arial" w:hAnsi="Arial" w:cs="Arial"/>
            <w:sz w:val="20"/>
            <w:szCs w:val="20"/>
          </w:rPr>
          <w:t xml:space="preserve"> Segunda Câmara</w:t>
        </w:r>
      </w:hyperlink>
      <w:r w:rsidRPr="00116515">
        <w:rPr>
          <w:rFonts w:ascii="Arial" w:hAnsi="Arial" w:cs="Arial"/>
          <w:sz w:val="20"/>
          <w:szCs w:val="20"/>
        </w:rPr>
        <w:t xml:space="preserve"> - Relator Conselheiro </w:t>
      </w:r>
      <w:proofErr w:type="spellStart"/>
      <w:r w:rsidRPr="00116515">
        <w:rPr>
          <w:rFonts w:ascii="Arial" w:hAnsi="Arial" w:cs="Arial"/>
          <w:sz w:val="20"/>
          <w:szCs w:val="20"/>
        </w:rPr>
        <w:t>Artagão</w:t>
      </w:r>
      <w:proofErr w:type="spellEnd"/>
      <w:r w:rsidRPr="00116515">
        <w:rPr>
          <w:rFonts w:ascii="Arial" w:hAnsi="Arial" w:cs="Arial"/>
          <w:sz w:val="20"/>
          <w:szCs w:val="20"/>
        </w:rPr>
        <w:t xml:space="preserve"> de Mattos Leão.</w:t>
      </w:r>
    </w:p>
    <w:p w:rsidR="0053350E" w:rsidRDefault="0053350E" w:rsidP="00116515">
      <w:pPr>
        <w:autoSpaceDE w:val="0"/>
        <w:autoSpaceDN w:val="0"/>
        <w:adjustRightInd w:val="0"/>
        <w:spacing w:after="0"/>
        <w:jc w:val="both"/>
        <w:rPr>
          <w:rFonts w:ascii="Arial" w:hAnsi="Arial" w:cs="Arial"/>
          <w:sz w:val="20"/>
          <w:szCs w:val="20"/>
        </w:rPr>
      </w:pPr>
    </w:p>
    <w:p w:rsidR="0053350E" w:rsidRPr="003A6BCC" w:rsidRDefault="00E41475" w:rsidP="0053350E">
      <w:pPr>
        <w:autoSpaceDE w:val="0"/>
        <w:autoSpaceDN w:val="0"/>
        <w:adjustRightInd w:val="0"/>
        <w:spacing w:after="0"/>
        <w:jc w:val="both"/>
        <w:rPr>
          <w:rFonts w:ascii="Arial" w:hAnsi="Arial" w:cs="Arial"/>
          <w:sz w:val="20"/>
          <w:szCs w:val="20"/>
        </w:rPr>
      </w:pPr>
      <w:r>
        <w:rPr>
          <w:rFonts w:ascii="Arial" w:hAnsi="Arial" w:cs="Arial"/>
          <w:b/>
          <w:sz w:val="20"/>
          <w:szCs w:val="20"/>
        </w:rPr>
        <w:t xml:space="preserve">8. </w:t>
      </w:r>
      <w:r w:rsidR="0053350E" w:rsidRPr="003A6BCC">
        <w:rPr>
          <w:rFonts w:ascii="Arial" w:hAnsi="Arial" w:cs="Arial"/>
          <w:b/>
          <w:sz w:val="20"/>
          <w:szCs w:val="20"/>
        </w:rPr>
        <w:t xml:space="preserve">Prestação de contas de transferência voluntária. Despesas realizadas sem a comprovação do regular processo de compra. </w:t>
      </w:r>
      <w:r w:rsidR="0053350E">
        <w:rPr>
          <w:rFonts w:ascii="Arial" w:hAnsi="Arial" w:cs="Arial"/>
          <w:b/>
          <w:sz w:val="20"/>
          <w:szCs w:val="20"/>
        </w:rPr>
        <w:t xml:space="preserve">Impropriedade formal. </w:t>
      </w:r>
      <w:r w:rsidR="0053350E" w:rsidRPr="003A6BCC">
        <w:rPr>
          <w:rFonts w:ascii="Arial" w:hAnsi="Arial" w:cs="Arial"/>
          <w:b/>
          <w:sz w:val="20"/>
          <w:szCs w:val="20"/>
        </w:rPr>
        <w:t>Regularidade. Ressalva.</w:t>
      </w:r>
    </w:p>
    <w:p w:rsidR="0053350E" w:rsidRPr="003A6BCC" w:rsidRDefault="0053350E" w:rsidP="0053350E">
      <w:pPr>
        <w:autoSpaceDE w:val="0"/>
        <w:autoSpaceDN w:val="0"/>
        <w:adjustRightInd w:val="0"/>
        <w:spacing w:after="0"/>
        <w:jc w:val="both"/>
        <w:rPr>
          <w:rFonts w:ascii="Arial" w:hAnsi="Arial" w:cs="Arial"/>
          <w:b/>
          <w:sz w:val="20"/>
          <w:szCs w:val="20"/>
        </w:rPr>
      </w:pPr>
    </w:p>
    <w:p w:rsidR="000D2434" w:rsidRDefault="0053350E" w:rsidP="0053350E">
      <w:pPr>
        <w:autoSpaceDE w:val="0"/>
        <w:autoSpaceDN w:val="0"/>
        <w:adjustRightInd w:val="0"/>
        <w:spacing w:after="0"/>
        <w:jc w:val="both"/>
        <w:rPr>
          <w:rFonts w:ascii="Arial" w:hAnsi="Arial" w:cs="Arial"/>
          <w:sz w:val="20"/>
          <w:szCs w:val="20"/>
        </w:rPr>
      </w:pPr>
      <w:r>
        <w:rPr>
          <w:rFonts w:ascii="Arial" w:hAnsi="Arial" w:cs="Arial"/>
          <w:sz w:val="20"/>
          <w:szCs w:val="20"/>
        </w:rPr>
        <w:t>A</w:t>
      </w:r>
      <w:r w:rsidRPr="003A6BCC">
        <w:rPr>
          <w:rFonts w:ascii="Arial" w:hAnsi="Arial" w:cs="Arial"/>
          <w:sz w:val="20"/>
          <w:szCs w:val="20"/>
        </w:rPr>
        <w:t>nte a falta de justificativas e documentação, não é possível atestar que as despesas realizadas</w:t>
      </w:r>
      <w:r>
        <w:rPr>
          <w:rFonts w:ascii="Arial" w:hAnsi="Arial" w:cs="Arial"/>
          <w:sz w:val="20"/>
          <w:szCs w:val="20"/>
        </w:rPr>
        <w:t xml:space="preserve"> sem o regular processo de compra</w:t>
      </w:r>
      <w:r w:rsidRPr="003A6BCC">
        <w:rPr>
          <w:rFonts w:ascii="Arial" w:hAnsi="Arial" w:cs="Arial"/>
          <w:sz w:val="20"/>
          <w:szCs w:val="20"/>
        </w:rPr>
        <w:t xml:space="preserve"> eram essenciais para a conclusão das atividades objetivadas pela Tomadora na transferência pactuada. </w:t>
      </w:r>
    </w:p>
    <w:p w:rsidR="000D2434" w:rsidRDefault="000D2434" w:rsidP="0053350E">
      <w:pPr>
        <w:autoSpaceDE w:val="0"/>
        <w:autoSpaceDN w:val="0"/>
        <w:adjustRightInd w:val="0"/>
        <w:spacing w:after="0"/>
        <w:jc w:val="both"/>
        <w:rPr>
          <w:rFonts w:ascii="Arial" w:hAnsi="Arial" w:cs="Arial"/>
          <w:sz w:val="20"/>
          <w:szCs w:val="20"/>
        </w:rPr>
      </w:pPr>
    </w:p>
    <w:p w:rsidR="0053350E" w:rsidRPr="003A6BCC" w:rsidRDefault="0053350E" w:rsidP="0053350E">
      <w:pPr>
        <w:autoSpaceDE w:val="0"/>
        <w:autoSpaceDN w:val="0"/>
        <w:adjustRightInd w:val="0"/>
        <w:spacing w:after="0"/>
        <w:jc w:val="both"/>
        <w:rPr>
          <w:rFonts w:ascii="Arial" w:hAnsi="Arial" w:cs="Arial"/>
          <w:sz w:val="20"/>
          <w:szCs w:val="20"/>
        </w:rPr>
      </w:pPr>
      <w:r w:rsidRPr="003A6BCC">
        <w:rPr>
          <w:rFonts w:ascii="Arial" w:hAnsi="Arial" w:cs="Arial"/>
          <w:sz w:val="20"/>
          <w:szCs w:val="20"/>
        </w:rPr>
        <w:t xml:space="preserve">Contudo, o volume financeiro das despesas executadas está consistente com o total dos repasses e em sintonia com o Plano de Aplicação. Assim, em que pesem os equívocos constatados que culminaram com as ofensas às normas estabelecidas por este Tribunal e pela </w:t>
      </w:r>
      <w:r w:rsidRPr="003A6BCC">
        <w:rPr>
          <w:rFonts w:ascii="Arial" w:hAnsi="Arial" w:cs="Arial"/>
          <w:sz w:val="20"/>
          <w:szCs w:val="20"/>
        </w:rPr>
        <w:lastRenderedPageBreak/>
        <w:t>Constituição Federal, vislumbrou-se que a impropriedade em questão pode ser objeto de ressalva dado o seu caráter meramente formal frente à conclusão das metas estipuladas no convênio.</w:t>
      </w:r>
    </w:p>
    <w:p w:rsidR="0053350E" w:rsidRPr="003A6BCC" w:rsidRDefault="0053350E" w:rsidP="0053350E">
      <w:pPr>
        <w:autoSpaceDE w:val="0"/>
        <w:autoSpaceDN w:val="0"/>
        <w:adjustRightInd w:val="0"/>
        <w:spacing w:after="0"/>
        <w:jc w:val="both"/>
        <w:rPr>
          <w:rFonts w:ascii="Arial" w:hAnsi="Arial" w:cs="Arial"/>
          <w:sz w:val="20"/>
          <w:szCs w:val="20"/>
        </w:rPr>
      </w:pPr>
    </w:p>
    <w:p w:rsidR="0053350E" w:rsidRPr="003A6BCC" w:rsidRDefault="0053350E" w:rsidP="0053350E">
      <w:pPr>
        <w:autoSpaceDE w:val="0"/>
        <w:autoSpaceDN w:val="0"/>
        <w:adjustRightInd w:val="0"/>
        <w:spacing w:after="0"/>
        <w:jc w:val="both"/>
        <w:rPr>
          <w:rFonts w:ascii="Arial" w:hAnsi="Arial" w:cs="Arial"/>
          <w:sz w:val="20"/>
          <w:szCs w:val="20"/>
        </w:rPr>
      </w:pPr>
      <w:r w:rsidRPr="003A6BCC">
        <w:rPr>
          <w:rFonts w:ascii="Arial" w:hAnsi="Arial" w:cs="Arial"/>
          <w:sz w:val="20"/>
          <w:szCs w:val="20"/>
        </w:rPr>
        <w:t xml:space="preserve">Processo nº </w:t>
      </w:r>
      <w:r>
        <w:rPr>
          <w:rFonts w:ascii="Arial" w:hAnsi="Arial" w:cs="Arial"/>
          <w:sz w:val="20"/>
          <w:szCs w:val="20"/>
        </w:rPr>
        <w:t>373790/13</w:t>
      </w:r>
      <w:r w:rsidRPr="003A6BCC">
        <w:rPr>
          <w:rFonts w:ascii="Arial" w:hAnsi="Arial" w:cs="Arial"/>
          <w:sz w:val="20"/>
          <w:szCs w:val="20"/>
        </w:rPr>
        <w:t xml:space="preserve"> - </w:t>
      </w:r>
      <w:hyperlink r:id="rId15" w:history="1">
        <w:r w:rsidRPr="008559EC">
          <w:rPr>
            <w:rStyle w:val="Hyperlink"/>
            <w:rFonts w:ascii="Arial" w:hAnsi="Arial" w:cs="Arial"/>
            <w:sz w:val="20"/>
            <w:szCs w:val="20"/>
          </w:rPr>
          <w:t xml:space="preserve">Acórdão nº 1524/18 </w:t>
        </w:r>
        <w:r>
          <w:rPr>
            <w:rStyle w:val="Hyperlink"/>
            <w:rFonts w:ascii="Arial" w:hAnsi="Arial" w:cs="Arial"/>
            <w:sz w:val="20"/>
            <w:szCs w:val="20"/>
          </w:rPr>
          <w:t>-</w:t>
        </w:r>
        <w:r w:rsidRPr="008559EC">
          <w:rPr>
            <w:rStyle w:val="Hyperlink"/>
            <w:rFonts w:ascii="Arial" w:hAnsi="Arial" w:cs="Arial"/>
            <w:sz w:val="20"/>
            <w:szCs w:val="20"/>
          </w:rPr>
          <w:t xml:space="preserve"> Segunda Câmara</w:t>
        </w:r>
      </w:hyperlink>
      <w:r w:rsidRPr="003A6BCC">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p>
    <w:p w:rsidR="006D158F" w:rsidRDefault="006D158F" w:rsidP="006D158F">
      <w:pPr>
        <w:autoSpaceDE w:val="0"/>
        <w:autoSpaceDN w:val="0"/>
        <w:adjustRightInd w:val="0"/>
        <w:spacing w:after="0"/>
        <w:jc w:val="both"/>
        <w:rPr>
          <w:rFonts w:ascii="Arial" w:hAnsi="Arial" w:cs="Arial"/>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377691" w:rsidRPr="006C28A6" w:rsidRDefault="00E41475" w:rsidP="00377691">
      <w:pPr>
        <w:pStyle w:val="TCU-Epgrafe"/>
        <w:spacing w:line="276" w:lineRule="auto"/>
        <w:ind w:left="0"/>
        <w:rPr>
          <w:rFonts w:ascii="Arial" w:hAnsi="Arial" w:cs="Arial"/>
          <w:b/>
          <w:sz w:val="20"/>
        </w:rPr>
      </w:pPr>
      <w:r w:rsidRPr="006C28A6">
        <w:rPr>
          <w:rFonts w:ascii="Arial" w:hAnsi="Arial" w:cs="Arial"/>
          <w:b/>
          <w:sz w:val="20"/>
        </w:rPr>
        <w:t xml:space="preserve">9. </w:t>
      </w:r>
      <w:r w:rsidR="00377691" w:rsidRPr="006C28A6">
        <w:rPr>
          <w:rFonts w:ascii="Arial" w:hAnsi="Arial" w:cs="Arial"/>
          <w:b/>
          <w:sz w:val="20"/>
        </w:rPr>
        <w:t xml:space="preserve">Representação da Lei nº 8.666/1993. Exigências de Edital. Limitação de número de atestados. </w:t>
      </w:r>
      <w:r w:rsidR="005B5A67">
        <w:rPr>
          <w:rFonts w:ascii="Arial" w:hAnsi="Arial" w:cs="Arial"/>
          <w:b/>
          <w:sz w:val="20"/>
        </w:rPr>
        <w:t>Comprovação de regularidade no c</w:t>
      </w:r>
      <w:r w:rsidR="00377691" w:rsidRPr="006C28A6">
        <w:rPr>
          <w:rFonts w:ascii="Arial" w:hAnsi="Arial" w:cs="Arial"/>
          <w:b/>
          <w:sz w:val="20"/>
        </w:rPr>
        <w:t>onselho de classe.</w:t>
      </w:r>
    </w:p>
    <w:p w:rsidR="0057067D" w:rsidRPr="006C28A6" w:rsidRDefault="0057067D" w:rsidP="00377691">
      <w:pPr>
        <w:pStyle w:val="TCU-Epgrafe"/>
        <w:spacing w:line="276" w:lineRule="auto"/>
        <w:ind w:left="0"/>
        <w:rPr>
          <w:rFonts w:ascii="Arial" w:hAnsi="Arial" w:cs="Arial"/>
          <w:b/>
          <w:sz w:val="20"/>
        </w:rPr>
      </w:pPr>
    </w:p>
    <w:p w:rsidR="00377691" w:rsidRPr="006C28A6" w:rsidRDefault="00377691" w:rsidP="00377691">
      <w:pPr>
        <w:pStyle w:val="TCU-Epgrafe"/>
        <w:spacing w:line="276" w:lineRule="auto"/>
        <w:ind w:left="0"/>
        <w:rPr>
          <w:rFonts w:ascii="Arial" w:hAnsi="Arial" w:cs="Arial"/>
          <w:sz w:val="20"/>
        </w:rPr>
      </w:pPr>
      <w:r w:rsidRPr="006C28A6">
        <w:rPr>
          <w:rFonts w:ascii="Arial" w:hAnsi="Arial" w:cs="Arial"/>
          <w:sz w:val="20"/>
        </w:rPr>
        <w:t>A limitação do número de atestados é vedada em regra e somente se justifica quando há razões de natureza técnica de caráter excepcional devidamente justificada. Busca-se, com isso, que referidas exigências estejam devidamente fundamentadas, de maneira que reste demonstrado inequivocamente sua imprescindibilidade, razoabilidade e pertinência em relação ao objeto licitado.</w:t>
      </w:r>
    </w:p>
    <w:p w:rsidR="0056487A" w:rsidRPr="006C28A6" w:rsidRDefault="0056487A" w:rsidP="00377691">
      <w:pPr>
        <w:pStyle w:val="TCU-Epgrafe"/>
        <w:spacing w:line="276" w:lineRule="auto"/>
        <w:ind w:left="0"/>
        <w:rPr>
          <w:rFonts w:ascii="Arial" w:hAnsi="Arial" w:cs="Arial"/>
          <w:sz w:val="20"/>
        </w:rPr>
      </w:pPr>
    </w:p>
    <w:p w:rsidR="0056487A" w:rsidRPr="006C28A6" w:rsidRDefault="00377691" w:rsidP="00377691">
      <w:pPr>
        <w:pStyle w:val="TCU-Epgrafe"/>
        <w:spacing w:line="276" w:lineRule="auto"/>
        <w:ind w:left="0"/>
        <w:rPr>
          <w:rFonts w:ascii="Arial" w:hAnsi="Arial" w:cs="Arial"/>
          <w:sz w:val="20"/>
        </w:rPr>
      </w:pPr>
      <w:r w:rsidRPr="006C28A6">
        <w:rPr>
          <w:rFonts w:ascii="Arial" w:hAnsi="Arial" w:cs="Arial"/>
          <w:sz w:val="20"/>
        </w:rPr>
        <w:t>A condição de regularidade é pertinente à relação entre a entidade de classe e a empresa, sendo que a primeira possui meios legais para buscar o adimplemento de seus créditos, não cabendo o impedimento do exercício da atividade pelo profissional por en</w:t>
      </w:r>
      <w:bookmarkStart w:id="1" w:name="_GoBack"/>
      <w:bookmarkEnd w:id="1"/>
      <w:r w:rsidRPr="006C28A6">
        <w:rPr>
          <w:rFonts w:ascii="Arial" w:hAnsi="Arial" w:cs="Arial"/>
          <w:sz w:val="20"/>
        </w:rPr>
        <w:t xml:space="preserve">te licitante. Entender o contrário seria violar o princípio constitucional do livre exercício de trabalho, ofício ou profissão. </w:t>
      </w:r>
    </w:p>
    <w:p w:rsidR="0056487A" w:rsidRPr="006C28A6" w:rsidRDefault="0056487A" w:rsidP="00377691">
      <w:pPr>
        <w:pStyle w:val="TCU-Epgrafe"/>
        <w:spacing w:line="276" w:lineRule="auto"/>
        <w:ind w:left="0"/>
        <w:rPr>
          <w:rFonts w:ascii="Arial" w:hAnsi="Arial" w:cs="Arial"/>
          <w:sz w:val="20"/>
        </w:rPr>
      </w:pPr>
    </w:p>
    <w:p w:rsidR="00377691" w:rsidRPr="006C28A6" w:rsidRDefault="00377691" w:rsidP="00377691">
      <w:pPr>
        <w:pStyle w:val="TCU-Epgrafe"/>
        <w:spacing w:line="276" w:lineRule="auto"/>
        <w:ind w:left="0"/>
        <w:rPr>
          <w:rFonts w:ascii="Arial" w:hAnsi="Arial" w:cs="Arial"/>
          <w:sz w:val="20"/>
        </w:rPr>
      </w:pPr>
      <w:r w:rsidRPr="006C28A6">
        <w:rPr>
          <w:rFonts w:ascii="Arial" w:hAnsi="Arial" w:cs="Arial"/>
          <w:sz w:val="20"/>
        </w:rPr>
        <w:t>A regularidade perante a entidade não é elemento qualificatório a justificar a eliminação de licitante, já que não possui relação com a sua capacidade de execução do objeto pleiteado pela Administração.</w:t>
      </w:r>
    </w:p>
    <w:p w:rsidR="0056487A" w:rsidRPr="00377691" w:rsidRDefault="0056487A" w:rsidP="00377691">
      <w:pPr>
        <w:pStyle w:val="TCU-Epgrafe"/>
        <w:spacing w:line="276" w:lineRule="auto"/>
        <w:ind w:left="0"/>
        <w:rPr>
          <w:rFonts w:ascii="Arial" w:hAnsi="Arial" w:cs="Arial"/>
          <w:sz w:val="20"/>
        </w:rPr>
      </w:pPr>
    </w:p>
    <w:p w:rsidR="00377691" w:rsidRPr="00377691" w:rsidRDefault="00377691" w:rsidP="00377691">
      <w:pPr>
        <w:pStyle w:val="TCU-Epgrafe"/>
        <w:spacing w:line="276" w:lineRule="auto"/>
        <w:ind w:left="0"/>
        <w:rPr>
          <w:rFonts w:ascii="Arial" w:hAnsi="Arial" w:cs="Arial"/>
          <w:sz w:val="20"/>
        </w:rPr>
      </w:pPr>
      <w:r w:rsidRPr="00377691">
        <w:rPr>
          <w:rFonts w:ascii="Arial" w:hAnsi="Arial" w:cs="Arial"/>
          <w:sz w:val="20"/>
        </w:rPr>
        <w:t>Processo n° 358195/18</w:t>
      </w:r>
      <w:r w:rsidR="0056487A">
        <w:rPr>
          <w:rFonts w:ascii="Arial" w:hAnsi="Arial" w:cs="Arial"/>
          <w:sz w:val="20"/>
        </w:rPr>
        <w:t xml:space="preserve"> - </w:t>
      </w:r>
      <w:hyperlink r:id="rId16" w:history="1">
        <w:r w:rsidRPr="00377691">
          <w:rPr>
            <w:rStyle w:val="Hyperlink"/>
            <w:rFonts w:ascii="Arial" w:hAnsi="Arial" w:cs="Arial"/>
            <w:sz w:val="20"/>
          </w:rPr>
          <w:t xml:space="preserve">Acórdão 1658/18 </w:t>
        </w:r>
        <w:r w:rsidR="0056487A">
          <w:rPr>
            <w:rStyle w:val="Hyperlink"/>
            <w:rFonts w:ascii="Arial" w:hAnsi="Arial" w:cs="Arial"/>
            <w:sz w:val="20"/>
          </w:rPr>
          <w:t>-</w:t>
        </w:r>
        <w:r w:rsidRPr="00377691">
          <w:rPr>
            <w:rStyle w:val="Hyperlink"/>
            <w:rFonts w:ascii="Arial" w:hAnsi="Arial" w:cs="Arial"/>
            <w:sz w:val="20"/>
          </w:rPr>
          <w:t xml:space="preserve"> Tribunal Pleno</w:t>
        </w:r>
      </w:hyperlink>
      <w:r w:rsidR="0056487A">
        <w:rPr>
          <w:rFonts w:ascii="Arial" w:hAnsi="Arial" w:cs="Arial"/>
          <w:sz w:val="20"/>
        </w:rPr>
        <w:t xml:space="preserve"> - </w:t>
      </w:r>
      <w:r w:rsidRPr="00377691">
        <w:rPr>
          <w:rFonts w:ascii="Arial" w:hAnsi="Arial" w:cs="Arial"/>
          <w:sz w:val="20"/>
        </w:rPr>
        <w:t>Relator Cons</w:t>
      </w:r>
      <w:r w:rsidR="0056487A">
        <w:rPr>
          <w:rFonts w:ascii="Arial" w:hAnsi="Arial" w:cs="Arial"/>
          <w:sz w:val="20"/>
        </w:rPr>
        <w:t xml:space="preserve">elheiro </w:t>
      </w:r>
      <w:r w:rsidRPr="00377691">
        <w:rPr>
          <w:rFonts w:ascii="Arial" w:hAnsi="Arial" w:cs="Arial"/>
          <w:sz w:val="20"/>
        </w:rPr>
        <w:t>Nestor Baptista.</w:t>
      </w:r>
    </w:p>
    <w:p w:rsidR="00377691" w:rsidRPr="006C28A6" w:rsidRDefault="00377691" w:rsidP="00377691">
      <w:pPr>
        <w:autoSpaceDE w:val="0"/>
        <w:autoSpaceDN w:val="0"/>
        <w:adjustRightInd w:val="0"/>
        <w:spacing w:after="0"/>
        <w:jc w:val="both"/>
        <w:rPr>
          <w:rFonts w:ascii="Arial" w:hAnsi="Arial" w:cs="Arial"/>
          <w:b/>
          <w:sz w:val="20"/>
          <w:szCs w:val="20"/>
          <w:shd w:val="clear" w:color="auto" w:fill="FFFFFF"/>
        </w:rPr>
      </w:pPr>
    </w:p>
    <w:p w:rsidR="00377691" w:rsidRPr="006C28A6" w:rsidRDefault="00E41475" w:rsidP="00377691">
      <w:pPr>
        <w:autoSpaceDE w:val="0"/>
        <w:autoSpaceDN w:val="0"/>
        <w:adjustRightInd w:val="0"/>
        <w:spacing w:after="0"/>
        <w:jc w:val="both"/>
        <w:rPr>
          <w:rFonts w:ascii="Arial" w:hAnsi="Arial" w:cs="Arial"/>
          <w:b/>
          <w:sz w:val="20"/>
          <w:szCs w:val="20"/>
        </w:rPr>
      </w:pPr>
      <w:r w:rsidRPr="006C28A6">
        <w:rPr>
          <w:rFonts w:ascii="Arial" w:hAnsi="Arial" w:cs="Arial"/>
          <w:b/>
          <w:sz w:val="20"/>
          <w:szCs w:val="20"/>
        </w:rPr>
        <w:t xml:space="preserve">10. </w:t>
      </w:r>
      <w:r w:rsidR="00377691" w:rsidRPr="006C28A6">
        <w:rPr>
          <w:rFonts w:ascii="Arial" w:hAnsi="Arial" w:cs="Arial"/>
          <w:b/>
          <w:sz w:val="20"/>
          <w:szCs w:val="20"/>
        </w:rPr>
        <w:t>Representação da Lei nº 8.666/1993. Exigências de Edital. Certidões. Dispositivos genéricos.</w:t>
      </w:r>
    </w:p>
    <w:p w:rsidR="0056487A" w:rsidRPr="006C28A6" w:rsidRDefault="0056487A" w:rsidP="00377691">
      <w:pPr>
        <w:autoSpaceDE w:val="0"/>
        <w:autoSpaceDN w:val="0"/>
        <w:adjustRightInd w:val="0"/>
        <w:spacing w:after="0"/>
        <w:jc w:val="both"/>
        <w:rPr>
          <w:rFonts w:ascii="Arial" w:hAnsi="Arial" w:cs="Arial"/>
          <w:b/>
          <w:sz w:val="20"/>
          <w:szCs w:val="20"/>
          <w:shd w:val="clear" w:color="auto" w:fill="FFFFFF"/>
        </w:rPr>
      </w:pPr>
    </w:p>
    <w:p w:rsidR="00377691" w:rsidRPr="006C28A6" w:rsidRDefault="00377691" w:rsidP="00377691">
      <w:pPr>
        <w:pStyle w:val="TCU-Epgrafe"/>
        <w:spacing w:line="276" w:lineRule="auto"/>
        <w:ind w:left="0"/>
        <w:rPr>
          <w:rFonts w:ascii="Arial" w:hAnsi="Arial" w:cs="Arial"/>
          <w:sz w:val="20"/>
        </w:rPr>
      </w:pPr>
      <w:r w:rsidRPr="006C28A6">
        <w:rPr>
          <w:rFonts w:ascii="Arial" w:hAnsi="Arial" w:cs="Arial"/>
          <w:sz w:val="20"/>
        </w:rPr>
        <w:t xml:space="preserve">O artigo 30 da Lei 8.666/93 é taxativo quanto aos documentos exigíveis para qualificação-técnica dos licitantes. Pelo teor do dispositivo, o edital de licitação deve ser preciso, indicar as parcelas de maior relevância de maneira definida. Assim, não cabe a inclusão de termos genéricos, de exigência a serem atribuídas futuramente pela comissão de licitação. </w:t>
      </w:r>
    </w:p>
    <w:p w:rsidR="0056487A" w:rsidRPr="006C28A6" w:rsidRDefault="0056487A" w:rsidP="00377691">
      <w:pPr>
        <w:pStyle w:val="TCU-Epgrafe"/>
        <w:spacing w:line="276" w:lineRule="auto"/>
        <w:ind w:left="0"/>
        <w:rPr>
          <w:rFonts w:ascii="Arial" w:hAnsi="Arial" w:cs="Arial"/>
          <w:sz w:val="20"/>
        </w:rPr>
      </w:pPr>
    </w:p>
    <w:p w:rsidR="00377691" w:rsidRPr="006C28A6" w:rsidRDefault="00377691" w:rsidP="00377691">
      <w:pPr>
        <w:pStyle w:val="TCU-Epgrafe"/>
        <w:spacing w:line="276" w:lineRule="auto"/>
        <w:ind w:left="0"/>
        <w:rPr>
          <w:rFonts w:ascii="Arial" w:hAnsi="Arial" w:cs="Arial"/>
          <w:sz w:val="20"/>
        </w:rPr>
      </w:pPr>
      <w:r w:rsidRPr="006C28A6">
        <w:rPr>
          <w:rFonts w:ascii="Arial" w:hAnsi="Arial" w:cs="Arial"/>
          <w:sz w:val="20"/>
        </w:rPr>
        <w:t xml:space="preserve">A previsão genérica de exigência </w:t>
      </w:r>
      <w:r w:rsidRPr="006C28A6">
        <w:rPr>
          <w:rFonts w:ascii="Arial" w:hAnsi="Arial" w:cs="Arial"/>
          <w:i/>
          <w:sz w:val="20"/>
        </w:rPr>
        <w:t>de “demais certidões a serem determinadas pelo departamento de licitação”</w:t>
      </w:r>
      <w:r w:rsidRPr="006C28A6">
        <w:rPr>
          <w:rFonts w:ascii="Arial" w:hAnsi="Arial" w:cs="Arial"/>
          <w:sz w:val="20"/>
        </w:rPr>
        <w:t xml:space="preserve"> é irregular.</w:t>
      </w:r>
    </w:p>
    <w:p w:rsidR="0056487A" w:rsidRPr="00377691" w:rsidRDefault="0056487A" w:rsidP="00377691">
      <w:pPr>
        <w:pStyle w:val="TCU-Epgrafe"/>
        <w:spacing w:line="276" w:lineRule="auto"/>
        <w:ind w:left="0"/>
        <w:rPr>
          <w:rFonts w:ascii="Arial" w:hAnsi="Arial" w:cs="Arial"/>
          <w:sz w:val="20"/>
        </w:rPr>
      </w:pPr>
    </w:p>
    <w:p w:rsidR="00377691" w:rsidRPr="00377691" w:rsidRDefault="00377691" w:rsidP="00377691">
      <w:pPr>
        <w:pStyle w:val="TCU-Epgrafe"/>
        <w:spacing w:line="276" w:lineRule="auto"/>
        <w:ind w:left="0"/>
        <w:rPr>
          <w:rFonts w:ascii="Arial" w:hAnsi="Arial" w:cs="Arial"/>
          <w:sz w:val="20"/>
        </w:rPr>
      </w:pPr>
      <w:r w:rsidRPr="00377691">
        <w:rPr>
          <w:rFonts w:ascii="Arial" w:hAnsi="Arial" w:cs="Arial"/>
          <w:sz w:val="20"/>
        </w:rPr>
        <w:t>Processo n° 423492/15</w:t>
      </w:r>
      <w:r w:rsidR="0056487A">
        <w:rPr>
          <w:rFonts w:ascii="Arial" w:hAnsi="Arial" w:cs="Arial"/>
          <w:sz w:val="20"/>
        </w:rPr>
        <w:t xml:space="preserve"> - </w:t>
      </w:r>
      <w:hyperlink r:id="rId17" w:history="1">
        <w:r w:rsidRPr="00377691">
          <w:rPr>
            <w:rStyle w:val="Hyperlink"/>
            <w:rFonts w:ascii="Arial" w:hAnsi="Arial" w:cs="Arial"/>
            <w:sz w:val="20"/>
          </w:rPr>
          <w:t xml:space="preserve">Acórdão 1657/18 </w:t>
        </w:r>
        <w:r w:rsidR="0056487A">
          <w:rPr>
            <w:rStyle w:val="Hyperlink"/>
            <w:rFonts w:ascii="Arial" w:hAnsi="Arial" w:cs="Arial"/>
            <w:sz w:val="20"/>
          </w:rPr>
          <w:t>-</w:t>
        </w:r>
        <w:r w:rsidRPr="00377691">
          <w:rPr>
            <w:rStyle w:val="Hyperlink"/>
            <w:rFonts w:ascii="Arial" w:hAnsi="Arial" w:cs="Arial"/>
            <w:sz w:val="20"/>
          </w:rPr>
          <w:t xml:space="preserve"> Tribunal Pleno</w:t>
        </w:r>
      </w:hyperlink>
      <w:r w:rsidR="0056487A">
        <w:rPr>
          <w:rFonts w:ascii="Arial" w:hAnsi="Arial" w:cs="Arial"/>
          <w:sz w:val="20"/>
        </w:rPr>
        <w:t xml:space="preserve"> - </w:t>
      </w:r>
      <w:r w:rsidRPr="00377691">
        <w:rPr>
          <w:rFonts w:ascii="Arial" w:hAnsi="Arial" w:cs="Arial"/>
          <w:sz w:val="20"/>
        </w:rPr>
        <w:t>Relator Cons</w:t>
      </w:r>
      <w:r w:rsidR="0056487A">
        <w:rPr>
          <w:rFonts w:ascii="Arial" w:hAnsi="Arial" w:cs="Arial"/>
          <w:sz w:val="20"/>
        </w:rPr>
        <w:t xml:space="preserve">elheiro </w:t>
      </w:r>
      <w:r w:rsidRPr="00377691">
        <w:rPr>
          <w:rFonts w:ascii="Arial" w:hAnsi="Arial" w:cs="Arial"/>
          <w:sz w:val="20"/>
        </w:rPr>
        <w:t>Nestor Baptista.</w:t>
      </w:r>
    </w:p>
    <w:p w:rsidR="00377691" w:rsidRPr="006C28A6" w:rsidRDefault="00377691" w:rsidP="00377691">
      <w:pPr>
        <w:autoSpaceDE w:val="0"/>
        <w:autoSpaceDN w:val="0"/>
        <w:adjustRightInd w:val="0"/>
        <w:spacing w:after="0"/>
        <w:jc w:val="both"/>
        <w:rPr>
          <w:rFonts w:ascii="Arial" w:hAnsi="Arial" w:cs="Arial"/>
          <w:sz w:val="20"/>
          <w:szCs w:val="20"/>
        </w:rPr>
      </w:pPr>
    </w:p>
    <w:p w:rsidR="00377691" w:rsidRPr="006C28A6" w:rsidRDefault="00E41475" w:rsidP="00377691">
      <w:pPr>
        <w:autoSpaceDE w:val="0"/>
        <w:autoSpaceDN w:val="0"/>
        <w:adjustRightInd w:val="0"/>
        <w:spacing w:after="0"/>
        <w:jc w:val="both"/>
        <w:rPr>
          <w:rFonts w:ascii="Arial" w:hAnsi="Arial" w:cs="Arial"/>
          <w:b/>
          <w:sz w:val="20"/>
          <w:szCs w:val="20"/>
        </w:rPr>
      </w:pPr>
      <w:r w:rsidRPr="006C28A6">
        <w:rPr>
          <w:rFonts w:ascii="Arial" w:hAnsi="Arial" w:cs="Arial"/>
          <w:b/>
          <w:sz w:val="20"/>
          <w:szCs w:val="20"/>
        </w:rPr>
        <w:lastRenderedPageBreak/>
        <w:t xml:space="preserve">11. </w:t>
      </w:r>
      <w:r w:rsidR="00377691" w:rsidRPr="006C28A6">
        <w:rPr>
          <w:rFonts w:ascii="Arial" w:hAnsi="Arial" w:cs="Arial"/>
          <w:b/>
          <w:sz w:val="20"/>
          <w:szCs w:val="20"/>
        </w:rPr>
        <w:t xml:space="preserve">Recurso de Revista. Contagem de tempo no RPPS. Tempo do regime celetista anterior à alteração do regime municipal. </w:t>
      </w:r>
    </w:p>
    <w:p w:rsidR="00C613B0" w:rsidRPr="006C28A6" w:rsidRDefault="00C613B0" w:rsidP="00377691">
      <w:pPr>
        <w:autoSpaceDE w:val="0"/>
        <w:autoSpaceDN w:val="0"/>
        <w:adjustRightInd w:val="0"/>
        <w:spacing w:after="0"/>
        <w:jc w:val="both"/>
        <w:rPr>
          <w:rFonts w:ascii="Arial" w:hAnsi="Arial" w:cs="Arial"/>
          <w:b/>
          <w:sz w:val="20"/>
          <w:szCs w:val="20"/>
        </w:rPr>
      </w:pPr>
    </w:p>
    <w:p w:rsidR="00377691" w:rsidRPr="006C28A6" w:rsidRDefault="00377691" w:rsidP="00377691">
      <w:pPr>
        <w:autoSpaceDE w:val="0"/>
        <w:autoSpaceDN w:val="0"/>
        <w:adjustRightInd w:val="0"/>
        <w:spacing w:after="0"/>
        <w:jc w:val="both"/>
        <w:rPr>
          <w:rFonts w:ascii="Arial" w:hAnsi="Arial" w:cs="Arial"/>
          <w:sz w:val="20"/>
          <w:szCs w:val="20"/>
        </w:rPr>
      </w:pPr>
      <w:r w:rsidRPr="006C28A6">
        <w:rPr>
          <w:rFonts w:ascii="Arial" w:hAnsi="Arial" w:cs="Arial"/>
          <w:sz w:val="20"/>
          <w:szCs w:val="20"/>
        </w:rPr>
        <w:t>Estando o servidor incluído no RPPS municipal e sendo estável, ressalvadas as exclusões legais expressas, todos os demais direitos desse regime lhe devem ser estendidos, sob pena de violação do princípio da isonomia. Sob esse prisma, não é possível diferenciar o caso o servidor de origem celetista de outra de origem estatutária, ambas de período anterior à Constituição vigente, para afastar direito a licença-prêmio e exigir tempo maior de contribuição da primeira.</w:t>
      </w:r>
    </w:p>
    <w:p w:rsidR="00C613B0" w:rsidRPr="00377691" w:rsidRDefault="00C613B0" w:rsidP="00377691">
      <w:pPr>
        <w:autoSpaceDE w:val="0"/>
        <w:autoSpaceDN w:val="0"/>
        <w:adjustRightInd w:val="0"/>
        <w:spacing w:after="0"/>
        <w:jc w:val="both"/>
        <w:rPr>
          <w:rFonts w:ascii="Arial" w:hAnsi="Arial" w:cs="Arial"/>
          <w:b/>
          <w:color w:val="000000"/>
          <w:sz w:val="20"/>
          <w:szCs w:val="20"/>
          <w:shd w:val="clear" w:color="auto" w:fill="FFFFFF"/>
        </w:rPr>
      </w:pPr>
    </w:p>
    <w:p w:rsidR="00377691" w:rsidRDefault="00377691" w:rsidP="00377691">
      <w:pPr>
        <w:pStyle w:val="TCU-Epgrafe"/>
        <w:spacing w:line="276" w:lineRule="auto"/>
        <w:ind w:left="0"/>
        <w:rPr>
          <w:rFonts w:ascii="Arial" w:hAnsi="Arial" w:cs="Arial"/>
          <w:sz w:val="20"/>
        </w:rPr>
      </w:pPr>
      <w:r w:rsidRPr="006C28A6">
        <w:rPr>
          <w:rFonts w:ascii="Arial" w:hAnsi="Arial" w:cs="Arial"/>
          <w:sz w:val="20"/>
        </w:rPr>
        <w:t>Processo n° 741696/17</w:t>
      </w:r>
      <w:r w:rsidR="00C613B0" w:rsidRPr="006C28A6">
        <w:rPr>
          <w:rFonts w:ascii="Arial" w:hAnsi="Arial" w:cs="Arial"/>
          <w:sz w:val="20"/>
        </w:rPr>
        <w:t xml:space="preserve"> - </w:t>
      </w:r>
      <w:hyperlink r:id="rId18" w:history="1">
        <w:r w:rsidRPr="00377691">
          <w:rPr>
            <w:rStyle w:val="Hyperlink"/>
            <w:rFonts w:ascii="Arial" w:hAnsi="Arial" w:cs="Arial"/>
            <w:sz w:val="20"/>
          </w:rPr>
          <w:t xml:space="preserve">Acórdão 1656/18 </w:t>
        </w:r>
        <w:r w:rsidR="00C613B0">
          <w:rPr>
            <w:rStyle w:val="Hyperlink"/>
            <w:rFonts w:ascii="Arial" w:hAnsi="Arial" w:cs="Arial"/>
            <w:sz w:val="20"/>
          </w:rPr>
          <w:t>-</w:t>
        </w:r>
        <w:r w:rsidRPr="00377691">
          <w:rPr>
            <w:rStyle w:val="Hyperlink"/>
            <w:rFonts w:ascii="Arial" w:hAnsi="Arial" w:cs="Arial"/>
            <w:sz w:val="20"/>
          </w:rPr>
          <w:t xml:space="preserve"> Tribunal Pleno</w:t>
        </w:r>
      </w:hyperlink>
      <w:r w:rsidR="00C613B0">
        <w:rPr>
          <w:rFonts w:ascii="Arial" w:hAnsi="Arial" w:cs="Arial"/>
          <w:sz w:val="20"/>
        </w:rPr>
        <w:t xml:space="preserve"> </w:t>
      </w:r>
      <w:r w:rsidR="00C613B0" w:rsidRPr="006C28A6">
        <w:rPr>
          <w:rFonts w:ascii="Arial" w:hAnsi="Arial" w:cs="Arial"/>
          <w:sz w:val="20"/>
        </w:rPr>
        <w:t xml:space="preserve">- </w:t>
      </w:r>
      <w:r w:rsidRPr="006C28A6">
        <w:rPr>
          <w:rFonts w:ascii="Arial" w:hAnsi="Arial" w:cs="Arial"/>
          <w:sz w:val="20"/>
        </w:rPr>
        <w:t>Relator Cons</w:t>
      </w:r>
      <w:r w:rsidR="00C613B0" w:rsidRPr="006C28A6">
        <w:rPr>
          <w:rFonts w:ascii="Arial" w:hAnsi="Arial" w:cs="Arial"/>
          <w:sz w:val="20"/>
        </w:rPr>
        <w:t xml:space="preserve">elheiro </w:t>
      </w:r>
      <w:r w:rsidRPr="006C28A6">
        <w:rPr>
          <w:rFonts w:ascii="Arial" w:hAnsi="Arial" w:cs="Arial"/>
          <w:sz w:val="20"/>
        </w:rPr>
        <w:t>Nestor Baptista.</w:t>
      </w:r>
    </w:p>
    <w:p w:rsidR="002E5910" w:rsidRDefault="002E5910" w:rsidP="00377691">
      <w:pPr>
        <w:pStyle w:val="TCU-Epgrafe"/>
        <w:spacing w:line="276" w:lineRule="auto"/>
        <w:ind w:left="0"/>
        <w:rPr>
          <w:rFonts w:ascii="Arial" w:hAnsi="Arial" w:cs="Arial"/>
          <w:sz w:val="20"/>
        </w:rPr>
      </w:pPr>
    </w:p>
    <w:p w:rsidR="002E5910" w:rsidRPr="006C28A6" w:rsidRDefault="00E41475" w:rsidP="002E5910">
      <w:pPr>
        <w:pStyle w:val="NormalWeb"/>
        <w:shd w:val="clear" w:color="auto" w:fill="FFFFFF"/>
        <w:spacing w:before="0" w:beforeAutospacing="0" w:after="0" w:afterAutospacing="0" w:line="276" w:lineRule="auto"/>
        <w:jc w:val="both"/>
        <w:rPr>
          <w:rFonts w:ascii="Arial" w:hAnsi="Arial" w:cs="Arial"/>
          <w:b/>
          <w:bCs/>
          <w:sz w:val="20"/>
          <w:szCs w:val="20"/>
        </w:rPr>
      </w:pPr>
      <w:r w:rsidRPr="006C28A6">
        <w:rPr>
          <w:rFonts w:ascii="Arial" w:hAnsi="Arial" w:cs="Arial"/>
          <w:b/>
          <w:bCs/>
          <w:sz w:val="20"/>
          <w:szCs w:val="20"/>
        </w:rPr>
        <w:t xml:space="preserve">12. </w:t>
      </w:r>
      <w:r w:rsidR="002E5910" w:rsidRPr="006C28A6">
        <w:rPr>
          <w:rFonts w:ascii="Arial" w:hAnsi="Arial" w:cs="Arial"/>
          <w:b/>
          <w:bCs/>
          <w:sz w:val="20"/>
          <w:szCs w:val="20"/>
        </w:rPr>
        <w:t>Pedido de Rescisão. Ausência do nome do procurador devidamente constituído pela parte nas publicações. Nulidade do acórdão rescindendo. Conhecimento e procedência.</w:t>
      </w:r>
    </w:p>
    <w:p w:rsidR="002E5910" w:rsidRPr="006C28A6" w:rsidRDefault="002E5910" w:rsidP="002E5910">
      <w:pPr>
        <w:pStyle w:val="NormalWeb"/>
        <w:shd w:val="clear" w:color="auto" w:fill="FFFFFF"/>
        <w:spacing w:before="0" w:beforeAutospacing="0" w:after="0" w:afterAutospacing="0" w:line="276" w:lineRule="auto"/>
        <w:jc w:val="both"/>
        <w:rPr>
          <w:rFonts w:ascii="Helvetica" w:hAnsi="Helvetica" w:cs="Helvetica"/>
          <w:sz w:val="20"/>
          <w:szCs w:val="20"/>
        </w:rPr>
      </w:pPr>
    </w:p>
    <w:p w:rsidR="002E5910" w:rsidRPr="006C28A6" w:rsidRDefault="002E5910" w:rsidP="002E5910">
      <w:pPr>
        <w:pStyle w:val="NormalWeb"/>
        <w:shd w:val="clear" w:color="auto" w:fill="FFFFFF"/>
        <w:spacing w:before="0" w:beforeAutospacing="0" w:after="0" w:afterAutospacing="0" w:line="276" w:lineRule="auto"/>
        <w:jc w:val="both"/>
        <w:rPr>
          <w:rFonts w:ascii="Arial" w:hAnsi="Arial" w:cs="Arial"/>
          <w:sz w:val="20"/>
          <w:szCs w:val="20"/>
        </w:rPr>
      </w:pPr>
      <w:r w:rsidRPr="006C28A6">
        <w:rPr>
          <w:rFonts w:ascii="Arial" w:hAnsi="Arial" w:cs="Arial"/>
          <w:sz w:val="20"/>
          <w:szCs w:val="20"/>
        </w:rPr>
        <w:t>O julgado reconheceu a nulidade do acórdão rescindendo, em razão da falta de intimação do procurador de Interessado, após a juntada de procuração nos autos, especialmente no que se refere à inclusão do processo em pauta de julgamento e quanto ao acórdão proferido.</w:t>
      </w:r>
    </w:p>
    <w:p w:rsidR="002E5910" w:rsidRPr="006C28A6" w:rsidRDefault="002E5910" w:rsidP="002E5910">
      <w:pPr>
        <w:pStyle w:val="NormalWeb"/>
        <w:shd w:val="clear" w:color="auto" w:fill="FFFFFF"/>
        <w:spacing w:before="0" w:beforeAutospacing="0" w:after="0" w:afterAutospacing="0" w:line="276" w:lineRule="auto"/>
        <w:jc w:val="both"/>
        <w:rPr>
          <w:rFonts w:ascii="Helvetica" w:hAnsi="Helvetica" w:cs="Helvetica"/>
          <w:sz w:val="20"/>
          <w:szCs w:val="20"/>
        </w:rPr>
      </w:pPr>
    </w:p>
    <w:p w:rsidR="002E5910" w:rsidRPr="006C28A6" w:rsidRDefault="002E5910" w:rsidP="002E5910">
      <w:pPr>
        <w:pStyle w:val="NormalWeb"/>
        <w:shd w:val="clear" w:color="auto" w:fill="FFFFFF"/>
        <w:spacing w:before="0" w:beforeAutospacing="0" w:after="0" w:afterAutospacing="0" w:line="276" w:lineRule="auto"/>
        <w:jc w:val="both"/>
        <w:rPr>
          <w:rFonts w:ascii="Arial" w:hAnsi="Arial" w:cs="Arial"/>
          <w:sz w:val="20"/>
          <w:szCs w:val="20"/>
        </w:rPr>
      </w:pPr>
      <w:r w:rsidRPr="006C28A6">
        <w:rPr>
          <w:rFonts w:ascii="Arial" w:hAnsi="Arial" w:cs="Arial"/>
          <w:sz w:val="20"/>
          <w:szCs w:val="20"/>
        </w:rPr>
        <w:t xml:space="preserve">Os </w:t>
      </w:r>
      <w:proofErr w:type="spellStart"/>
      <w:r w:rsidRPr="006C28A6">
        <w:rPr>
          <w:rFonts w:ascii="Arial" w:hAnsi="Arial" w:cs="Arial"/>
          <w:sz w:val="20"/>
          <w:szCs w:val="20"/>
        </w:rPr>
        <w:t>arts</w:t>
      </w:r>
      <w:proofErr w:type="spellEnd"/>
      <w:r w:rsidRPr="006C28A6">
        <w:rPr>
          <w:rFonts w:ascii="Arial" w:hAnsi="Arial" w:cs="Arial"/>
          <w:sz w:val="20"/>
          <w:szCs w:val="20"/>
        </w:rPr>
        <w:t>. 381, IV e § 4º, e 383, II e § 4º do Regimento Interno, são claros ao dispor que as intimações processuais devem ser realizadas por meio eletrônico ou via publicação no Diário Eletrônico do Tribunal de Contas, delas devendo constar, dentre outras informações, os nomes dos procuradores das partes.</w:t>
      </w:r>
    </w:p>
    <w:p w:rsidR="002E5910" w:rsidRPr="006C28A6" w:rsidRDefault="002E5910" w:rsidP="002E5910">
      <w:pPr>
        <w:pStyle w:val="NormalWeb"/>
        <w:shd w:val="clear" w:color="auto" w:fill="FFFFFF"/>
        <w:spacing w:before="0" w:beforeAutospacing="0" w:after="0" w:afterAutospacing="0" w:line="276" w:lineRule="auto"/>
        <w:jc w:val="both"/>
        <w:rPr>
          <w:rFonts w:ascii="Helvetica" w:hAnsi="Helvetica" w:cs="Helvetica"/>
          <w:sz w:val="20"/>
          <w:szCs w:val="20"/>
        </w:rPr>
      </w:pPr>
    </w:p>
    <w:p w:rsidR="002E5910" w:rsidRPr="006C28A6" w:rsidRDefault="002E5910" w:rsidP="002E5910">
      <w:pPr>
        <w:pStyle w:val="NormalWeb"/>
        <w:shd w:val="clear" w:color="auto" w:fill="FFFFFF"/>
        <w:spacing w:before="0" w:beforeAutospacing="0" w:after="0" w:afterAutospacing="0" w:line="276" w:lineRule="auto"/>
        <w:jc w:val="both"/>
        <w:rPr>
          <w:rFonts w:ascii="Arial" w:hAnsi="Arial" w:cs="Arial"/>
          <w:sz w:val="20"/>
          <w:szCs w:val="20"/>
        </w:rPr>
      </w:pPr>
      <w:r w:rsidRPr="006C28A6">
        <w:rPr>
          <w:rFonts w:ascii="Arial" w:hAnsi="Arial" w:cs="Arial"/>
          <w:sz w:val="20"/>
          <w:szCs w:val="20"/>
        </w:rPr>
        <w:t>Nos termos do voto do relator, a ausência prejudicou o adequado exercício do contraditório e da ampla defesa, impedindo que o procurador pudesse apresentar memoriais ou produzir defesa oral durante sessão de julgamento, em evidente ofensa ao devido processo legal.</w:t>
      </w:r>
    </w:p>
    <w:p w:rsidR="002E5910" w:rsidRPr="006C28A6" w:rsidRDefault="002E5910" w:rsidP="002E5910">
      <w:pPr>
        <w:pStyle w:val="NormalWeb"/>
        <w:shd w:val="clear" w:color="auto" w:fill="FFFFFF"/>
        <w:spacing w:before="0" w:beforeAutospacing="0" w:after="0" w:afterAutospacing="0" w:line="276" w:lineRule="auto"/>
        <w:jc w:val="both"/>
        <w:rPr>
          <w:rFonts w:ascii="Helvetica" w:hAnsi="Helvetica" w:cs="Helvetica"/>
          <w:sz w:val="20"/>
          <w:szCs w:val="20"/>
        </w:rPr>
      </w:pPr>
    </w:p>
    <w:p w:rsidR="002E5910" w:rsidRPr="006C28A6" w:rsidRDefault="002E5910" w:rsidP="002E5910">
      <w:pPr>
        <w:pStyle w:val="NormalWeb"/>
        <w:shd w:val="clear" w:color="auto" w:fill="FFFFFF"/>
        <w:spacing w:before="0" w:beforeAutospacing="0" w:after="0" w:afterAutospacing="0" w:line="276" w:lineRule="auto"/>
        <w:jc w:val="both"/>
        <w:rPr>
          <w:rFonts w:ascii="Helvetica" w:hAnsi="Helvetica" w:cs="Helvetica"/>
          <w:sz w:val="20"/>
          <w:szCs w:val="20"/>
        </w:rPr>
      </w:pPr>
      <w:r w:rsidRPr="006C28A6">
        <w:rPr>
          <w:rFonts w:ascii="Arial" w:hAnsi="Arial" w:cs="Arial"/>
          <w:sz w:val="20"/>
          <w:szCs w:val="20"/>
        </w:rPr>
        <w:t>Por unanimidade, declarou-se a nulidade da decisão de Tomada de Contas Extraordinária que havia julgado irregulares contas de gestor municipal.</w:t>
      </w:r>
    </w:p>
    <w:p w:rsidR="002E5910" w:rsidRPr="006C28A6" w:rsidRDefault="002E5910" w:rsidP="002E5910">
      <w:pPr>
        <w:pStyle w:val="NormalWeb"/>
        <w:shd w:val="clear" w:color="auto" w:fill="FFFFFF"/>
        <w:spacing w:before="0" w:beforeAutospacing="0" w:after="0" w:afterAutospacing="0" w:line="276" w:lineRule="auto"/>
        <w:jc w:val="both"/>
        <w:rPr>
          <w:rFonts w:ascii="Helvetica" w:hAnsi="Helvetica" w:cs="Helvetica"/>
          <w:sz w:val="20"/>
          <w:szCs w:val="20"/>
        </w:rPr>
      </w:pPr>
      <w:r w:rsidRPr="006C28A6">
        <w:rPr>
          <w:rFonts w:ascii="Arial" w:hAnsi="Arial" w:cs="Arial"/>
          <w:sz w:val="20"/>
          <w:szCs w:val="20"/>
        </w:rPr>
        <w:t> </w:t>
      </w:r>
    </w:p>
    <w:p w:rsidR="002E5910" w:rsidRPr="006C28A6" w:rsidRDefault="002E5910" w:rsidP="002E5910">
      <w:pPr>
        <w:pStyle w:val="NormalWeb"/>
        <w:shd w:val="clear" w:color="auto" w:fill="FFFFFF"/>
        <w:spacing w:before="0" w:beforeAutospacing="0" w:after="0" w:afterAutospacing="0" w:line="276" w:lineRule="auto"/>
        <w:jc w:val="both"/>
        <w:rPr>
          <w:rFonts w:ascii="Helvetica" w:hAnsi="Helvetica" w:cs="Helvetica"/>
          <w:sz w:val="20"/>
          <w:szCs w:val="20"/>
        </w:rPr>
      </w:pPr>
      <w:r w:rsidRPr="006C28A6">
        <w:rPr>
          <w:rFonts w:ascii="Arial" w:hAnsi="Arial" w:cs="Arial"/>
          <w:sz w:val="20"/>
          <w:szCs w:val="20"/>
        </w:rPr>
        <w:t>Processo nº 272157/18 - </w:t>
      </w:r>
      <w:hyperlink r:id="rId19" w:tgtFrame="_blank" w:history="1">
        <w:r w:rsidRPr="002E5910">
          <w:rPr>
            <w:rStyle w:val="Hyperlink"/>
            <w:rFonts w:ascii="Arial" w:hAnsi="Arial" w:cs="Arial"/>
            <w:color w:val="1155CC"/>
            <w:sz w:val="20"/>
            <w:szCs w:val="20"/>
          </w:rPr>
          <w:t>Acórdão nº 1589/18</w:t>
        </w:r>
        <w:r w:rsidR="0013684C">
          <w:rPr>
            <w:rStyle w:val="Hyperlink"/>
            <w:rFonts w:ascii="Arial" w:hAnsi="Arial" w:cs="Arial"/>
            <w:color w:val="1155CC"/>
            <w:sz w:val="20"/>
            <w:szCs w:val="20"/>
          </w:rPr>
          <w:t xml:space="preserve"> </w:t>
        </w:r>
        <w:r w:rsidRPr="002E5910">
          <w:rPr>
            <w:rStyle w:val="Hyperlink"/>
            <w:rFonts w:ascii="Arial" w:hAnsi="Arial" w:cs="Arial"/>
            <w:color w:val="1155CC"/>
            <w:sz w:val="20"/>
            <w:szCs w:val="20"/>
          </w:rPr>
          <w:t>-</w:t>
        </w:r>
        <w:r w:rsidR="0013684C">
          <w:rPr>
            <w:rStyle w:val="Hyperlink"/>
            <w:rFonts w:ascii="Arial" w:hAnsi="Arial" w:cs="Arial"/>
            <w:color w:val="1155CC"/>
            <w:sz w:val="20"/>
            <w:szCs w:val="20"/>
          </w:rPr>
          <w:t xml:space="preserve"> </w:t>
        </w:r>
        <w:r w:rsidRPr="002E5910">
          <w:rPr>
            <w:rStyle w:val="Hyperlink"/>
            <w:rFonts w:ascii="Arial" w:hAnsi="Arial" w:cs="Arial"/>
            <w:color w:val="1155CC"/>
            <w:sz w:val="20"/>
            <w:szCs w:val="20"/>
          </w:rPr>
          <w:t>T</w:t>
        </w:r>
        <w:r>
          <w:rPr>
            <w:rStyle w:val="Hyperlink"/>
            <w:rFonts w:ascii="Arial" w:hAnsi="Arial" w:cs="Arial"/>
            <w:color w:val="1155CC"/>
            <w:sz w:val="20"/>
            <w:szCs w:val="20"/>
          </w:rPr>
          <w:t>ribunal Pleno</w:t>
        </w:r>
        <w:r w:rsidRPr="002E5910">
          <w:rPr>
            <w:rStyle w:val="Hyperlink"/>
            <w:rFonts w:ascii="Arial" w:hAnsi="Arial" w:cs="Arial"/>
            <w:color w:val="1155CC"/>
            <w:sz w:val="20"/>
            <w:szCs w:val="20"/>
            <w:u w:val="none"/>
          </w:rPr>
          <w:t xml:space="preserve"> - </w:t>
        </w:r>
      </w:hyperlink>
      <w:r w:rsidRPr="006C28A6">
        <w:rPr>
          <w:rFonts w:ascii="Arial" w:hAnsi="Arial" w:cs="Arial"/>
          <w:sz w:val="20"/>
          <w:szCs w:val="20"/>
        </w:rPr>
        <w:t>Relator Auditor Tiago Alvarez Pedroso. </w:t>
      </w:r>
    </w:p>
    <w:p w:rsidR="002E5910" w:rsidRPr="002E5910" w:rsidRDefault="002E5910" w:rsidP="002E5910">
      <w:pPr>
        <w:pStyle w:val="TCU-Epgrafe"/>
        <w:spacing w:line="276" w:lineRule="auto"/>
        <w:ind w:left="0"/>
        <w:rPr>
          <w:rFonts w:ascii="Arial" w:hAnsi="Arial" w:cs="Arial"/>
          <w:sz w:val="20"/>
        </w:rPr>
      </w:pPr>
    </w:p>
    <w:p w:rsidR="002E5910" w:rsidRPr="002E5910" w:rsidRDefault="00E41475"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E41475">
        <w:rPr>
          <w:rFonts w:ascii="Arial" w:hAnsi="Arial" w:cs="Arial"/>
          <w:b/>
          <w:color w:val="222222"/>
          <w:sz w:val="20"/>
          <w:szCs w:val="20"/>
        </w:rPr>
        <w:t>13.</w:t>
      </w:r>
      <w:r>
        <w:rPr>
          <w:rFonts w:ascii="Arial" w:hAnsi="Arial" w:cs="Arial"/>
          <w:color w:val="222222"/>
          <w:sz w:val="20"/>
          <w:szCs w:val="20"/>
        </w:rPr>
        <w:t xml:space="preserve"> </w:t>
      </w:r>
      <w:r w:rsidR="002E5910" w:rsidRPr="002E5910">
        <w:rPr>
          <w:rFonts w:ascii="Arial" w:hAnsi="Arial" w:cs="Arial"/>
          <w:b/>
          <w:bCs/>
          <w:color w:val="222222"/>
          <w:sz w:val="20"/>
          <w:szCs w:val="20"/>
        </w:rPr>
        <w:t>Recursos de Revista. Prestação de contas. Transferência voluntária. Pagamento de despesas de equipe administrativa com recursos de convênios realizados com município. Utilização de recursos com medicamentos não comprovada. Desprovimento das Revistas.</w:t>
      </w:r>
    </w:p>
    <w:p w:rsidR="002E5910" w:rsidRPr="002E5910" w:rsidRDefault="002E5910"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2E5910">
        <w:rPr>
          <w:rFonts w:ascii="Arial" w:hAnsi="Arial" w:cs="Arial"/>
          <w:color w:val="222222"/>
          <w:sz w:val="20"/>
          <w:szCs w:val="20"/>
        </w:rPr>
        <w:t> </w:t>
      </w:r>
    </w:p>
    <w:p w:rsidR="002E5910" w:rsidRDefault="002E5910" w:rsidP="002E5910">
      <w:pPr>
        <w:pStyle w:val="NormalWeb"/>
        <w:shd w:val="clear" w:color="auto" w:fill="FFFFFF"/>
        <w:spacing w:before="0" w:beforeAutospacing="0" w:after="0" w:afterAutospacing="0" w:line="276" w:lineRule="auto"/>
        <w:jc w:val="both"/>
        <w:rPr>
          <w:rFonts w:ascii="Arial" w:hAnsi="Arial" w:cs="Arial"/>
          <w:color w:val="222222"/>
          <w:sz w:val="20"/>
          <w:szCs w:val="20"/>
        </w:rPr>
      </w:pPr>
      <w:r w:rsidRPr="002E5910">
        <w:rPr>
          <w:rFonts w:ascii="Arial" w:hAnsi="Arial" w:cs="Arial"/>
          <w:color w:val="222222"/>
          <w:sz w:val="20"/>
          <w:szCs w:val="20"/>
        </w:rPr>
        <w:t>Em inspeção </w:t>
      </w:r>
      <w:r w:rsidRPr="002E5910">
        <w:rPr>
          <w:rFonts w:ascii="Arial" w:hAnsi="Arial" w:cs="Arial"/>
          <w:i/>
          <w:iCs/>
          <w:color w:val="222222"/>
          <w:sz w:val="20"/>
          <w:szCs w:val="20"/>
        </w:rPr>
        <w:t xml:space="preserve">in </w:t>
      </w:r>
      <w:proofErr w:type="gramStart"/>
      <w:r w:rsidRPr="002E5910">
        <w:rPr>
          <w:rFonts w:ascii="Arial" w:hAnsi="Arial" w:cs="Arial"/>
          <w:i/>
          <w:iCs/>
          <w:color w:val="222222"/>
          <w:sz w:val="20"/>
          <w:szCs w:val="20"/>
        </w:rPr>
        <w:t>loco</w:t>
      </w:r>
      <w:r w:rsidRPr="002E5910">
        <w:rPr>
          <w:rFonts w:ascii="Arial" w:hAnsi="Arial" w:cs="Arial"/>
          <w:color w:val="222222"/>
          <w:sz w:val="20"/>
          <w:szCs w:val="20"/>
        </w:rPr>
        <w:t>,  restou</w:t>
      </w:r>
      <w:proofErr w:type="gramEnd"/>
      <w:r w:rsidRPr="002E5910">
        <w:rPr>
          <w:rFonts w:ascii="Arial" w:hAnsi="Arial" w:cs="Arial"/>
          <w:color w:val="222222"/>
          <w:sz w:val="20"/>
          <w:szCs w:val="20"/>
        </w:rPr>
        <w:t xml:space="preserve"> evidenciado  que pessoal da entidade destinado a realizar atividades do convênio, realizava tarefas alheias a tais atividades, promovendo confusão patrimonial  entre os recursos do convênio que seriam destinados à manutenção do pessoal necessário e às atividades da entidade beneficiária dos recursos, o que é inadmissível no ordenamento jurídico brasileiro.</w:t>
      </w:r>
    </w:p>
    <w:p w:rsidR="0083684B" w:rsidRPr="002E5910" w:rsidRDefault="0083684B"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p>
    <w:p w:rsidR="0083684B" w:rsidRDefault="002E5910" w:rsidP="002E5910">
      <w:pPr>
        <w:pStyle w:val="NormalWeb"/>
        <w:shd w:val="clear" w:color="auto" w:fill="FFFFFF"/>
        <w:spacing w:before="0" w:beforeAutospacing="0" w:after="0" w:afterAutospacing="0" w:line="276" w:lineRule="auto"/>
        <w:jc w:val="both"/>
        <w:rPr>
          <w:rFonts w:ascii="Arial" w:hAnsi="Arial" w:cs="Arial"/>
          <w:color w:val="222222"/>
          <w:sz w:val="20"/>
          <w:szCs w:val="20"/>
        </w:rPr>
      </w:pPr>
      <w:r w:rsidRPr="002E5910">
        <w:rPr>
          <w:rFonts w:ascii="Arial" w:hAnsi="Arial" w:cs="Arial"/>
          <w:color w:val="222222"/>
          <w:sz w:val="20"/>
          <w:szCs w:val="20"/>
        </w:rPr>
        <w:t>Ainda, os medicamentos adquiridos para as atividades do convênio pactuado não tiveram qualquer rastreamento da efetiva utilização e condições.</w:t>
      </w:r>
      <w:r w:rsidR="0083684B">
        <w:rPr>
          <w:rFonts w:ascii="Arial" w:hAnsi="Arial" w:cs="Arial"/>
          <w:color w:val="222222"/>
          <w:sz w:val="20"/>
          <w:szCs w:val="20"/>
        </w:rPr>
        <w:t xml:space="preserve"> </w:t>
      </w:r>
    </w:p>
    <w:p w:rsidR="0083684B" w:rsidRDefault="0083684B" w:rsidP="002E5910">
      <w:pPr>
        <w:pStyle w:val="NormalWeb"/>
        <w:shd w:val="clear" w:color="auto" w:fill="FFFFFF"/>
        <w:spacing w:before="0" w:beforeAutospacing="0" w:after="0" w:afterAutospacing="0" w:line="276" w:lineRule="auto"/>
        <w:jc w:val="both"/>
        <w:rPr>
          <w:rFonts w:ascii="Arial" w:hAnsi="Arial" w:cs="Arial"/>
          <w:color w:val="222222"/>
          <w:sz w:val="20"/>
          <w:szCs w:val="20"/>
        </w:rPr>
      </w:pPr>
    </w:p>
    <w:p w:rsidR="002E5910" w:rsidRPr="002E5910" w:rsidRDefault="002E5910"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83684B">
        <w:rPr>
          <w:rFonts w:ascii="Arial" w:hAnsi="Arial" w:cs="Arial"/>
          <w:i/>
          <w:color w:val="222222"/>
          <w:sz w:val="20"/>
          <w:szCs w:val="20"/>
        </w:rPr>
        <w:t>“Deve ser lembrado que é obrigação da entidade, incluindo o gestor, realizar a correta prestação de contas dos recursos recebidos, o que certamente inclui a utilização dos medicamentos adquiridos em meio ao convênio”</w:t>
      </w:r>
      <w:r w:rsidRPr="002E5910">
        <w:rPr>
          <w:rFonts w:ascii="Arial" w:hAnsi="Arial" w:cs="Arial"/>
          <w:color w:val="222222"/>
          <w:sz w:val="20"/>
          <w:szCs w:val="20"/>
        </w:rPr>
        <w:t>, salientou o Relator em seu voto, unanimemente acolhido pelo Colegiado, que decidiu pelo não provimento dos recursos.</w:t>
      </w:r>
    </w:p>
    <w:p w:rsidR="002E5910" w:rsidRPr="002E5910" w:rsidRDefault="002E5910"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2E5910">
        <w:rPr>
          <w:rFonts w:ascii="Arial" w:hAnsi="Arial" w:cs="Arial"/>
          <w:color w:val="222222"/>
          <w:sz w:val="20"/>
          <w:szCs w:val="20"/>
        </w:rPr>
        <w:t> </w:t>
      </w:r>
    </w:p>
    <w:p w:rsidR="002E5910" w:rsidRPr="002E5910" w:rsidRDefault="002E5910"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2E5910">
        <w:rPr>
          <w:rFonts w:ascii="Arial" w:hAnsi="Arial" w:cs="Arial"/>
          <w:color w:val="222222"/>
          <w:sz w:val="20"/>
          <w:szCs w:val="20"/>
        </w:rPr>
        <w:t xml:space="preserve">Processo nº 44624/15 </w:t>
      </w:r>
      <w:r w:rsidR="0083684B">
        <w:rPr>
          <w:rFonts w:ascii="Arial" w:hAnsi="Arial" w:cs="Arial"/>
          <w:color w:val="222222"/>
          <w:sz w:val="20"/>
          <w:szCs w:val="20"/>
        </w:rPr>
        <w:t>-</w:t>
      </w:r>
      <w:r w:rsidRPr="002E5910">
        <w:rPr>
          <w:rFonts w:ascii="Arial" w:hAnsi="Arial" w:cs="Arial"/>
          <w:color w:val="222222"/>
          <w:sz w:val="20"/>
          <w:szCs w:val="20"/>
        </w:rPr>
        <w:t> </w:t>
      </w:r>
      <w:hyperlink r:id="rId20" w:tgtFrame="_blank" w:history="1">
        <w:r w:rsidRPr="002E5910">
          <w:rPr>
            <w:rStyle w:val="Hyperlink"/>
            <w:rFonts w:ascii="Arial" w:hAnsi="Arial" w:cs="Arial"/>
            <w:color w:val="1155CC"/>
            <w:sz w:val="20"/>
            <w:szCs w:val="20"/>
          </w:rPr>
          <w:t>Acórdão nº 1544/18</w:t>
        </w:r>
        <w:r w:rsidR="00487C0B">
          <w:rPr>
            <w:rStyle w:val="Hyperlink"/>
            <w:rFonts w:ascii="Arial" w:hAnsi="Arial" w:cs="Arial"/>
            <w:color w:val="1155CC"/>
            <w:sz w:val="20"/>
            <w:szCs w:val="20"/>
          </w:rPr>
          <w:t xml:space="preserve"> </w:t>
        </w:r>
        <w:r w:rsidRPr="002E5910">
          <w:rPr>
            <w:rStyle w:val="Hyperlink"/>
            <w:rFonts w:ascii="Arial" w:hAnsi="Arial" w:cs="Arial"/>
            <w:color w:val="1155CC"/>
            <w:sz w:val="20"/>
            <w:szCs w:val="20"/>
          </w:rPr>
          <w:t>-</w:t>
        </w:r>
        <w:r w:rsidR="0083684B">
          <w:rPr>
            <w:rStyle w:val="Hyperlink"/>
            <w:rFonts w:ascii="Arial" w:hAnsi="Arial" w:cs="Arial"/>
            <w:color w:val="1155CC"/>
            <w:sz w:val="20"/>
            <w:szCs w:val="20"/>
          </w:rPr>
          <w:t xml:space="preserve"> </w:t>
        </w:r>
        <w:r w:rsidRPr="002E5910">
          <w:rPr>
            <w:rStyle w:val="Hyperlink"/>
            <w:rFonts w:ascii="Arial" w:hAnsi="Arial" w:cs="Arial"/>
            <w:color w:val="1155CC"/>
            <w:sz w:val="20"/>
            <w:szCs w:val="20"/>
          </w:rPr>
          <w:t>T</w:t>
        </w:r>
        <w:r w:rsidR="0083684B">
          <w:rPr>
            <w:rStyle w:val="Hyperlink"/>
            <w:rFonts w:ascii="Arial" w:hAnsi="Arial" w:cs="Arial"/>
            <w:color w:val="1155CC"/>
            <w:sz w:val="20"/>
            <w:szCs w:val="20"/>
          </w:rPr>
          <w:t>ribunal Pleno</w:t>
        </w:r>
        <w:r w:rsidR="0083684B" w:rsidRPr="0083684B">
          <w:rPr>
            <w:rStyle w:val="Hyperlink"/>
            <w:rFonts w:ascii="Arial" w:hAnsi="Arial" w:cs="Arial"/>
            <w:color w:val="1155CC"/>
            <w:sz w:val="20"/>
            <w:szCs w:val="20"/>
            <w:u w:val="none"/>
          </w:rPr>
          <w:t xml:space="preserve"> -</w:t>
        </w:r>
      </w:hyperlink>
      <w:r w:rsidRPr="002E5910">
        <w:rPr>
          <w:rFonts w:ascii="Arial" w:hAnsi="Arial" w:cs="Arial"/>
          <w:color w:val="222222"/>
          <w:sz w:val="20"/>
          <w:szCs w:val="20"/>
        </w:rPr>
        <w:t xml:space="preserve"> Relator Conselheiro Nestor Baptista.</w:t>
      </w:r>
    </w:p>
    <w:p w:rsidR="002E5910" w:rsidRPr="002E5910" w:rsidRDefault="002E5910" w:rsidP="002E5910">
      <w:pPr>
        <w:pStyle w:val="TCU-Epgrafe"/>
        <w:spacing w:line="276" w:lineRule="auto"/>
        <w:ind w:left="0"/>
        <w:rPr>
          <w:rFonts w:ascii="Arial" w:hAnsi="Arial" w:cs="Arial"/>
          <w:sz w:val="20"/>
        </w:rPr>
      </w:pPr>
    </w:p>
    <w:p w:rsidR="002E5910" w:rsidRPr="002E5910" w:rsidRDefault="00E41475"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Pr>
          <w:rFonts w:ascii="Arial" w:hAnsi="Arial" w:cs="Arial"/>
          <w:b/>
          <w:bCs/>
          <w:color w:val="222222"/>
          <w:sz w:val="20"/>
          <w:szCs w:val="20"/>
        </w:rPr>
        <w:t xml:space="preserve">14. </w:t>
      </w:r>
      <w:r w:rsidR="002E5910" w:rsidRPr="002E5910">
        <w:rPr>
          <w:rFonts w:ascii="Arial" w:hAnsi="Arial" w:cs="Arial"/>
          <w:b/>
          <w:bCs/>
          <w:color w:val="222222"/>
          <w:sz w:val="20"/>
          <w:szCs w:val="20"/>
        </w:rPr>
        <w:t>Consulta. Estabilidade provisória de servidora efetiva gestante ao cargo em comissão ou à função de confiança. Precedentes do STF. Possibilidade.</w:t>
      </w:r>
    </w:p>
    <w:p w:rsidR="002E5910" w:rsidRPr="002E5910" w:rsidRDefault="002E5910"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2E5910">
        <w:rPr>
          <w:rFonts w:ascii="Arial" w:hAnsi="Arial" w:cs="Arial"/>
          <w:color w:val="222222"/>
          <w:sz w:val="20"/>
          <w:szCs w:val="20"/>
        </w:rPr>
        <w:t> </w:t>
      </w:r>
    </w:p>
    <w:p w:rsidR="002E5910" w:rsidRPr="006C28A6" w:rsidRDefault="002E5910" w:rsidP="002E5910">
      <w:pPr>
        <w:pStyle w:val="NormalWeb"/>
        <w:shd w:val="clear" w:color="auto" w:fill="FFFFFF"/>
        <w:spacing w:before="0" w:beforeAutospacing="0" w:after="0" w:afterAutospacing="0" w:line="276" w:lineRule="auto"/>
        <w:jc w:val="both"/>
        <w:rPr>
          <w:rFonts w:ascii="Arial" w:hAnsi="Arial" w:cs="Arial"/>
          <w:sz w:val="20"/>
          <w:szCs w:val="20"/>
        </w:rPr>
      </w:pPr>
      <w:r w:rsidRPr="006C28A6">
        <w:rPr>
          <w:rFonts w:ascii="Arial" w:hAnsi="Arial" w:cs="Arial"/>
          <w:sz w:val="20"/>
          <w:szCs w:val="20"/>
        </w:rPr>
        <w:t>Apresentou-se questionamento sobre direito de servidora efetiva e gestante à estabilidade provisória relativamente a cargo em comissão ou função de confiança para a qual tenha sido designada.</w:t>
      </w:r>
    </w:p>
    <w:p w:rsidR="007F7ECA" w:rsidRPr="006C28A6" w:rsidRDefault="007F7ECA" w:rsidP="002E5910">
      <w:pPr>
        <w:pStyle w:val="NormalWeb"/>
        <w:shd w:val="clear" w:color="auto" w:fill="FFFFFF"/>
        <w:spacing w:before="0" w:beforeAutospacing="0" w:after="0" w:afterAutospacing="0" w:line="276" w:lineRule="auto"/>
        <w:jc w:val="both"/>
        <w:rPr>
          <w:rFonts w:ascii="Helvetica" w:hAnsi="Helvetica" w:cs="Helvetica"/>
          <w:sz w:val="20"/>
          <w:szCs w:val="20"/>
        </w:rPr>
      </w:pPr>
    </w:p>
    <w:p w:rsidR="002E5910" w:rsidRPr="006C28A6" w:rsidRDefault="002E5910" w:rsidP="002E5910">
      <w:pPr>
        <w:pStyle w:val="NormalWeb"/>
        <w:shd w:val="clear" w:color="auto" w:fill="FFFFFF"/>
        <w:spacing w:before="0" w:beforeAutospacing="0" w:after="0" w:afterAutospacing="0" w:line="276" w:lineRule="auto"/>
        <w:jc w:val="both"/>
        <w:rPr>
          <w:rFonts w:ascii="Arial" w:hAnsi="Arial" w:cs="Arial"/>
          <w:sz w:val="20"/>
          <w:szCs w:val="20"/>
        </w:rPr>
      </w:pPr>
      <w:r w:rsidRPr="006C28A6">
        <w:rPr>
          <w:rFonts w:ascii="Arial" w:hAnsi="Arial" w:cs="Arial"/>
          <w:sz w:val="20"/>
          <w:szCs w:val="20"/>
        </w:rPr>
        <w:t>A estabilidade provisória prevista no art. 10, II, “b”, do Ato das Disposições Constitucionais Transitórias às servidoras exclusivamente comissionadas e contratadas por tempo determinado já foi reconhecida em diversos julgados e teve repercussão geral reconhecida pela Suprema Corte no RE com Agravo nº 674.103.</w:t>
      </w:r>
    </w:p>
    <w:p w:rsidR="007F7ECA" w:rsidRPr="006C28A6" w:rsidRDefault="007F7ECA" w:rsidP="002E5910">
      <w:pPr>
        <w:pStyle w:val="NormalWeb"/>
        <w:shd w:val="clear" w:color="auto" w:fill="FFFFFF"/>
        <w:spacing w:before="0" w:beforeAutospacing="0" w:after="0" w:afterAutospacing="0" w:line="276" w:lineRule="auto"/>
        <w:jc w:val="both"/>
        <w:rPr>
          <w:rFonts w:ascii="Helvetica" w:hAnsi="Helvetica" w:cs="Helvetica"/>
          <w:sz w:val="20"/>
          <w:szCs w:val="20"/>
        </w:rPr>
      </w:pPr>
    </w:p>
    <w:p w:rsidR="002E5910" w:rsidRPr="006C28A6" w:rsidRDefault="002E5910" w:rsidP="002E5910">
      <w:pPr>
        <w:pStyle w:val="NormalWeb"/>
        <w:shd w:val="clear" w:color="auto" w:fill="FFFFFF"/>
        <w:spacing w:before="0" w:beforeAutospacing="0" w:after="0" w:afterAutospacing="0" w:line="276" w:lineRule="auto"/>
        <w:jc w:val="both"/>
        <w:rPr>
          <w:rFonts w:ascii="Arial" w:hAnsi="Arial" w:cs="Arial"/>
          <w:sz w:val="20"/>
          <w:szCs w:val="20"/>
        </w:rPr>
      </w:pPr>
      <w:r w:rsidRPr="006C28A6">
        <w:rPr>
          <w:rFonts w:ascii="Arial" w:hAnsi="Arial" w:cs="Arial"/>
          <w:sz w:val="20"/>
          <w:szCs w:val="20"/>
        </w:rPr>
        <w:t>Nos termos deste precedente, a servidora efetiva faz jus à estabilidade provisória no cargo em comissão ou na função de confiança.</w:t>
      </w:r>
    </w:p>
    <w:p w:rsidR="007F7ECA" w:rsidRPr="006C28A6" w:rsidRDefault="007F7ECA" w:rsidP="002E5910">
      <w:pPr>
        <w:pStyle w:val="NormalWeb"/>
        <w:shd w:val="clear" w:color="auto" w:fill="FFFFFF"/>
        <w:spacing w:before="0" w:beforeAutospacing="0" w:after="0" w:afterAutospacing="0" w:line="276" w:lineRule="auto"/>
        <w:jc w:val="both"/>
        <w:rPr>
          <w:rFonts w:ascii="Helvetica" w:hAnsi="Helvetica" w:cs="Helvetica"/>
          <w:sz w:val="20"/>
          <w:szCs w:val="20"/>
        </w:rPr>
      </w:pPr>
    </w:p>
    <w:p w:rsidR="002E5910" w:rsidRPr="006C28A6" w:rsidRDefault="002E5910" w:rsidP="002E5910">
      <w:pPr>
        <w:pStyle w:val="NormalWeb"/>
        <w:shd w:val="clear" w:color="auto" w:fill="FFFFFF"/>
        <w:spacing w:before="0" w:beforeAutospacing="0" w:after="0" w:afterAutospacing="0" w:line="276" w:lineRule="auto"/>
        <w:jc w:val="both"/>
        <w:rPr>
          <w:rFonts w:ascii="Arial" w:hAnsi="Arial" w:cs="Arial"/>
          <w:sz w:val="20"/>
          <w:szCs w:val="20"/>
        </w:rPr>
      </w:pPr>
      <w:r w:rsidRPr="006C28A6">
        <w:rPr>
          <w:rFonts w:ascii="Arial" w:hAnsi="Arial" w:cs="Arial"/>
          <w:sz w:val="20"/>
          <w:szCs w:val="20"/>
        </w:rPr>
        <w:t xml:space="preserve">E, ademais, embora o cargo efetivo já assegure a permanência do vínculo com a administração pública, considera-se que a proteção à maternidade abrange a manutenção do trabalho e da remuneração recebida por servidora, nos termos dos </w:t>
      </w:r>
      <w:proofErr w:type="spellStart"/>
      <w:r w:rsidRPr="006C28A6">
        <w:rPr>
          <w:rFonts w:ascii="Arial" w:hAnsi="Arial" w:cs="Arial"/>
          <w:sz w:val="20"/>
          <w:szCs w:val="20"/>
        </w:rPr>
        <w:t>arts</w:t>
      </w:r>
      <w:proofErr w:type="spellEnd"/>
      <w:r w:rsidRPr="006C28A6">
        <w:rPr>
          <w:rFonts w:ascii="Arial" w:hAnsi="Arial" w:cs="Arial"/>
          <w:sz w:val="20"/>
          <w:szCs w:val="20"/>
        </w:rPr>
        <w:t>. 7º, XVI e 39, § 3º, da Constituição da República.</w:t>
      </w:r>
    </w:p>
    <w:p w:rsidR="007F7ECA" w:rsidRPr="006C28A6" w:rsidRDefault="007F7ECA" w:rsidP="002E5910">
      <w:pPr>
        <w:pStyle w:val="NormalWeb"/>
        <w:shd w:val="clear" w:color="auto" w:fill="FFFFFF"/>
        <w:spacing w:before="0" w:beforeAutospacing="0" w:after="0" w:afterAutospacing="0" w:line="276" w:lineRule="auto"/>
        <w:jc w:val="both"/>
        <w:rPr>
          <w:rFonts w:ascii="Helvetica" w:hAnsi="Helvetica" w:cs="Helvetica"/>
          <w:sz w:val="20"/>
          <w:szCs w:val="20"/>
        </w:rPr>
      </w:pPr>
    </w:p>
    <w:p w:rsidR="002E5910" w:rsidRPr="006C28A6" w:rsidRDefault="002E5910" w:rsidP="002E5910">
      <w:pPr>
        <w:pStyle w:val="NormalWeb"/>
        <w:shd w:val="clear" w:color="auto" w:fill="FFFFFF"/>
        <w:spacing w:before="0" w:beforeAutospacing="0" w:after="0" w:afterAutospacing="0" w:line="276" w:lineRule="auto"/>
        <w:jc w:val="both"/>
        <w:rPr>
          <w:rFonts w:ascii="Helvetica" w:hAnsi="Helvetica" w:cs="Helvetica"/>
          <w:sz w:val="20"/>
          <w:szCs w:val="20"/>
        </w:rPr>
      </w:pPr>
      <w:r w:rsidRPr="006C28A6">
        <w:rPr>
          <w:rFonts w:ascii="Arial" w:hAnsi="Arial" w:cs="Arial"/>
          <w:sz w:val="20"/>
          <w:szCs w:val="20"/>
        </w:rPr>
        <w:t>Em conclusão, vedado, durante o período de gestação ou de licença maternidade, o afastamento arbitrário ou sem justa causa.</w:t>
      </w:r>
    </w:p>
    <w:p w:rsidR="002E5910" w:rsidRPr="002E5910" w:rsidRDefault="002E5910"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2E5910">
        <w:rPr>
          <w:rFonts w:ascii="Arial" w:hAnsi="Arial" w:cs="Arial"/>
          <w:color w:val="222222"/>
          <w:sz w:val="20"/>
          <w:szCs w:val="20"/>
        </w:rPr>
        <w:t> </w:t>
      </w:r>
    </w:p>
    <w:p w:rsidR="002E5910" w:rsidRPr="002E5910" w:rsidRDefault="002E5910" w:rsidP="002E5910">
      <w:pPr>
        <w:pStyle w:val="NormalWeb"/>
        <w:shd w:val="clear" w:color="auto" w:fill="FFFFFF"/>
        <w:spacing w:before="0" w:beforeAutospacing="0" w:after="0" w:afterAutospacing="0" w:line="276" w:lineRule="auto"/>
        <w:jc w:val="both"/>
        <w:rPr>
          <w:rFonts w:ascii="Helvetica" w:hAnsi="Helvetica" w:cs="Helvetica"/>
          <w:color w:val="222222"/>
          <w:sz w:val="20"/>
          <w:szCs w:val="20"/>
        </w:rPr>
      </w:pPr>
      <w:r w:rsidRPr="002E5910">
        <w:rPr>
          <w:rFonts w:ascii="Arial" w:hAnsi="Arial" w:cs="Arial"/>
          <w:color w:val="222222"/>
          <w:sz w:val="20"/>
          <w:szCs w:val="20"/>
        </w:rPr>
        <w:t xml:space="preserve">Processo nº 605407/17 </w:t>
      </w:r>
      <w:r w:rsidR="007F7ECA">
        <w:rPr>
          <w:rFonts w:ascii="Arial" w:hAnsi="Arial" w:cs="Arial"/>
          <w:color w:val="222222"/>
          <w:sz w:val="20"/>
          <w:szCs w:val="20"/>
        </w:rPr>
        <w:t>-</w:t>
      </w:r>
      <w:r w:rsidRPr="002E5910">
        <w:rPr>
          <w:rFonts w:ascii="Arial" w:hAnsi="Arial" w:cs="Arial"/>
          <w:color w:val="222222"/>
          <w:sz w:val="20"/>
          <w:szCs w:val="20"/>
        </w:rPr>
        <w:t> </w:t>
      </w:r>
      <w:hyperlink r:id="rId21" w:history="1">
        <w:r w:rsidRPr="007F7ECA">
          <w:rPr>
            <w:rStyle w:val="Hyperlink"/>
            <w:rFonts w:ascii="Arial" w:hAnsi="Arial" w:cs="Arial"/>
            <w:sz w:val="20"/>
            <w:szCs w:val="20"/>
          </w:rPr>
          <w:t>Acórdão nº 1562/18</w:t>
        </w:r>
        <w:r w:rsidR="007F7ECA" w:rsidRPr="007F7ECA">
          <w:rPr>
            <w:rStyle w:val="Hyperlink"/>
            <w:rFonts w:ascii="Arial" w:hAnsi="Arial" w:cs="Arial"/>
            <w:sz w:val="20"/>
            <w:szCs w:val="20"/>
          </w:rPr>
          <w:t xml:space="preserve"> </w:t>
        </w:r>
        <w:r w:rsidRPr="007F7ECA">
          <w:rPr>
            <w:rStyle w:val="Hyperlink"/>
            <w:rFonts w:ascii="Arial" w:hAnsi="Arial" w:cs="Arial"/>
            <w:sz w:val="20"/>
            <w:szCs w:val="20"/>
          </w:rPr>
          <w:t>-T</w:t>
        </w:r>
        <w:r w:rsidR="007F7ECA" w:rsidRPr="007F7ECA">
          <w:rPr>
            <w:rStyle w:val="Hyperlink"/>
            <w:rFonts w:ascii="Arial" w:hAnsi="Arial" w:cs="Arial"/>
            <w:sz w:val="20"/>
            <w:szCs w:val="20"/>
          </w:rPr>
          <w:t xml:space="preserve">ribunal </w:t>
        </w:r>
        <w:r w:rsidRPr="007F7ECA">
          <w:rPr>
            <w:rStyle w:val="Hyperlink"/>
            <w:rFonts w:ascii="Arial" w:hAnsi="Arial" w:cs="Arial"/>
            <w:sz w:val="20"/>
            <w:szCs w:val="20"/>
          </w:rPr>
          <w:t>P</w:t>
        </w:r>
        <w:r w:rsidR="007F7ECA" w:rsidRPr="007F7ECA">
          <w:rPr>
            <w:rStyle w:val="Hyperlink"/>
            <w:rFonts w:ascii="Arial" w:hAnsi="Arial" w:cs="Arial"/>
            <w:sz w:val="20"/>
            <w:szCs w:val="20"/>
          </w:rPr>
          <w:t>leno</w:t>
        </w:r>
      </w:hyperlink>
      <w:r w:rsidRPr="002E5910">
        <w:rPr>
          <w:rFonts w:ascii="Arial" w:hAnsi="Arial" w:cs="Arial"/>
          <w:color w:val="222222"/>
          <w:sz w:val="20"/>
          <w:szCs w:val="20"/>
        </w:rPr>
        <w:t> </w:t>
      </w:r>
      <w:r w:rsidR="007F7ECA">
        <w:rPr>
          <w:rFonts w:ascii="Arial" w:hAnsi="Arial" w:cs="Arial"/>
          <w:color w:val="222222"/>
          <w:sz w:val="20"/>
          <w:szCs w:val="20"/>
        </w:rPr>
        <w:t>-</w:t>
      </w:r>
      <w:r w:rsidRPr="002E5910">
        <w:rPr>
          <w:rFonts w:ascii="Arial" w:hAnsi="Arial" w:cs="Arial"/>
          <w:color w:val="222222"/>
          <w:sz w:val="20"/>
          <w:szCs w:val="20"/>
        </w:rPr>
        <w:t xml:space="preserve"> Relator Conselheiro Ivan </w:t>
      </w:r>
      <w:proofErr w:type="spellStart"/>
      <w:r w:rsidRPr="002E5910">
        <w:rPr>
          <w:rFonts w:ascii="Arial" w:hAnsi="Arial" w:cs="Arial"/>
          <w:color w:val="222222"/>
          <w:sz w:val="20"/>
          <w:szCs w:val="20"/>
        </w:rPr>
        <w:t>Lelis</w:t>
      </w:r>
      <w:proofErr w:type="spellEnd"/>
      <w:r w:rsidRPr="002E5910">
        <w:rPr>
          <w:rFonts w:ascii="Arial" w:hAnsi="Arial" w:cs="Arial"/>
          <w:color w:val="222222"/>
          <w:sz w:val="20"/>
          <w:szCs w:val="20"/>
        </w:rPr>
        <w:t xml:space="preserve"> Bonilha.  </w:t>
      </w: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D2434" w:rsidRDefault="000D2434" w:rsidP="006E12D5">
      <w:pPr>
        <w:spacing w:after="0"/>
        <w:jc w:val="both"/>
        <w:rPr>
          <w:rFonts w:ascii="Arial" w:hAnsi="Arial" w:cs="Arial"/>
          <w:b/>
          <w:color w:val="000000"/>
          <w:sz w:val="20"/>
          <w:szCs w:val="20"/>
        </w:rPr>
      </w:pPr>
    </w:p>
    <w:p w:rsidR="000800D1" w:rsidRPr="00DB558E"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BF6EF7" w:rsidRDefault="00BF6EF7" w:rsidP="000F5AE7">
      <w:pPr>
        <w:widowControl w:val="0"/>
        <w:autoSpaceDE w:val="0"/>
        <w:autoSpaceDN w:val="0"/>
        <w:jc w:val="both"/>
      </w:pPr>
    </w:p>
    <w:p w:rsidR="000F5AE7" w:rsidRPr="000F5AE7" w:rsidRDefault="005B5A67" w:rsidP="000F5AE7">
      <w:pPr>
        <w:widowControl w:val="0"/>
        <w:autoSpaceDE w:val="0"/>
        <w:autoSpaceDN w:val="0"/>
        <w:jc w:val="both"/>
        <w:rPr>
          <w:rFonts w:ascii="Arial" w:hAnsi="Arial" w:cs="Arial"/>
          <w:b/>
          <w:sz w:val="20"/>
          <w:szCs w:val="20"/>
        </w:rPr>
      </w:pPr>
      <w:hyperlink r:id="rId22" w:history="1">
        <w:r w:rsidR="000F5AE7" w:rsidRPr="00F971D3">
          <w:rPr>
            <w:rStyle w:val="Hyperlink"/>
            <w:rFonts w:ascii="Arial" w:hAnsi="Arial" w:cs="Arial"/>
            <w:b/>
            <w:sz w:val="20"/>
            <w:szCs w:val="20"/>
          </w:rPr>
          <w:t>Acórdão 1095/2018</w:t>
        </w:r>
        <w:r w:rsidR="00F971D3" w:rsidRPr="00F971D3">
          <w:rPr>
            <w:rStyle w:val="Hyperlink"/>
            <w:rFonts w:ascii="Arial" w:hAnsi="Arial" w:cs="Arial"/>
            <w:b/>
            <w:sz w:val="20"/>
            <w:szCs w:val="20"/>
          </w:rPr>
          <w:t xml:space="preserve"> - </w:t>
        </w:r>
        <w:r w:rsidR="000F5AE7" w:rsidRPr="00F971D3">
          <w:rPr>
            <w:rStyle w:val="Hyperlink"/>
            <w:rFonts w:ascii="Arial" w:hAnsi="Arial" w:cs="Arial"/>
            <w:b/>
            <w:sz w:val="20"/>
            <w:szCs w:val="20"/>
          </w:rPr>
          <w:t>Plenário</w:t>
        </w:r>
      </w:hyperlink>
      <w:r w:rsidR="000F5AE7" w:rsidRPr="000F5AE7">
        <w:rPr>
          <w:rFonts w:ascii="Arial" w:hAnsi="Arial" w:cs="Arial"/>
          <w:b/>
          <w:sz w:val="20"/>
          <w:szCs w:val="20"/>
        </w:rPr>
        <w:t xml:space="preserve"> </w:t>
      </w:r>
      <w:r w:rsidR="000F5AE7" w:rsidRPr="000F5AE7">
        <w:rPr>
          <w:rFonts w:ascii="Arial" w:hAnsi="Arial" w:cs="Arial"/>
          <w:sz w:val="20"/>
          <w:szCs w:val="20"/>
        </w:rPr>
        <w:t xml:space="preserve">(Representação, Relator Ministro Augusto </w:t>
      </w:r>
      <w:proofErr w:type="spellStart"/>
      <w:r w:rsidR="000F5AE7" w:rsidRPr="000F5AE7">
        <w:rPr>
          <w:rFonts w:ascii="Arial" w:hAnsi="Arial" w:cs="Arial"/>
          <w:sz w:val="20"/>
          <w:szCs w:val="20"/>
        </w:rPr>
        <w:t>Nardes</w:t>
      </w:r>
      <w:proofErr w:type="spellEnd"/>
      <w:r w:rsidR="000F5AE7" w:rsidRPr="000F5AE7">
        <w:rPr>
          <w:rFonts w:ascii="Arial" w:hAnsi="Arial" w:cs="Arial"/>
          <w:sz w:val="20"/>
          <w:szCs w:val="20"/>
        </w:rPr>
        <w:t>)</w:t>
      </w:r>
    </w:p>
    <w:p w:rsidR="000F5AE7" w:rsidRPr="00F971D3" w:rsidRDefault="000F5AE7" w:rsidP="000F5AE7">
      <w:pPr>
        <w:jc w:val="both"/>
        <w:rPr>
          <w:rFonts w:ascii="Arial" w:hAnsi="Arial" w:cs="Arial"/>
          <w:b/>
          <w:sz w:val="20"/>
          <w:szCs w:val="20"/>
        </w:rPr>
      </w:pPr>
      <w:r w:rsidRPr="00F971D3">
        <w:rPr>
          <w:rFonts w:ascii="Arial" w:hAnsi="Arial" w:cs="Arial"/>
          <w:b/>
          <w:sz w:val="20"/>
          <w:szCs w:val="20"/>
        </w:rPr>
        <w:t>Licitação. Qualificação técnica. Atestado de capacidade técnica. Limite. Quantidade. Soma.</w:t>
      </w:r>
    </w:p>
    <w:p w:rsidR="000F5AE7" w:rsidRPr="000F5AE7" w:rsidRDefault="000F5AE7" w:rsidP="000F5AE7">
      <w:pPr>
        <w:pStyle w:val="TCU-Epgrafe"/>
        <w:spacing w:after="200" w:line="276" w:lineRule="auto"/>
        <w:ind w:left="0"/>
        <w:rPr>
          <w:rFonts w:ascii="Arial" w:hAnsi="Arial" w:cs="Arial"/>
          <w:sz w:val="20"/>
        </w:rPr>
      </w:pPr>
      <w:r w:rsidRPr="000F5AE7">
        <w:rPr>
          <w:rFonts w:ascii="Arial" w:hAnsi="Arial" w:cs="Arial"/>
          <w:sz w:val="20"/>
        </w:rPr>
        <w:t>É vedada a imposição de limites ou de quantidade certa de atestados ou certidões para fins de comprovação da qualificação técnica. Contudo, caso a natureza e a complexidade técnica da obra ou do serviço mostrem indispensáveis tais restrições, deve a Administração demonstrar a pertinência e a necessidade de estabelecer limites ao somatório de atestados ou mesmo não o permitir no exame da qualificação técnica do licitante.</w:t>
      </w:r>
    </w:p>
    <w:p w:rsidR="00844E05" w:rsidRPr="00395F8B" w:rsidRDefault="005B5A67" w:rsidP="00844E05">
      <w:pPr>
        <w:widowControl w:val="0"/>
        <w:autoSpaceDE w:val="0"/>
        <w:autoSpaceDN w:val="0"/>
        <w:jc w:val="both"/>
        <w:rPr>
          <w:rFonts w:ascii="Arial" w:hAnsi="Arial" w:cs="Arial"/>
          <w:b/>
          <w:sz w:val="20"/>
          <w:szCs w:val="20"/>
        </w:rPr>
      </w:pPr>
      <w:hyperlink r:id="rId23" w:history="1">
        <w:r w:rsidR="00844E05" w:rsidRPr="00ED1C96">
          <w:rPr>
            <w:rStyle w:val="Hyperlink"/>
            <w:rFonts w:ascii="Arial" w:hAnsi="Arial"/>
            <w:b/>
            <w:sz w:val="20"/>
            <w:szCs w:val="20"/>
          </w:rPr>
          <w:t xml:space="preserve">Acórdão 1109/2018 </w:t>
        </w:r>
        <w:r w:rsidR="00ED1C96" w:rsidRPr="00ED1C96">
          <w:rPr>
            <w:rStyle w:val="Hyperlink"/>
            <w:rFonts w:ascii="Arial" w:hAnsi="Arial"/>
            <w:b/>
            <w:sz w:val="20"/>
            <w:szCs w:val="20"/>
          </w:rPr>
          <w:t xml:space="preserve">- </w:t>
        </w:r>
        <w:r w:rsidR="00844E05" w:rsidRPr="00ED1C96">
          <w:rPr>
            <w:rStyle w:val="Hyperlink"/>
            <w:rFonts w:ascii="Arial" w:hAnsi="Arial"/>
            <w:b/>
            <w:sz w:val="20"/>
            <w:szCs w:val="20"/>
          </w:rPr>
          <w:t>Plenário</w:t>
        </w:r>
      </w:hyperlink>
      <w:r w:rsidR="00844E05" w:rsidRPr="00395F8B">
        <w:rPr>
          <w:rFonts w:ascii="Arial" w:hAnsi="Arial"/>
          <w:b/>
          <w:sz w:val="20"/>
          <w:szCs w:val="20"/>
        </w:rPr>
        <w:t xml:space="preserve"> </w:t>
      </w:r>
      <w:r w:rsidR="00844E05" w:rsidRPr="00395F8B">
        <w:rPr>
          <w:rFonts w:ascii="Arial" w:hAnsi="Arial"/>
          <w:sz w:val="20"/>
          <w:szCs w:val="20"/>
        </w:rPr>
        <w:t>(Tomada de Contas Especial, Relator Ministra Ana Arraes)</w:t>
      </w:r>
    </w:p>
    <w:p w:rsidR="00844E05" w:rsidRPr="00F971D3" w:rsidRDefault="00844E05" w:rsidP="00844E05">
      <w:pPr>
        <w:jc w:val="both"/>
        <w:rPr>
          <w:rFonts w:ascii="Arial" w:hAnsi="Arial" w:cs="Arial"/>
          <w:b/>
          <w:sz w:val="20"/>
          <w:szCs w:val="20"/>
        </w:rPr>
      </w:pPr>
      <w:r w:rsidRPr="00F971D3">
        <w:rPr>
          <w:rFonts w:ascii="Arial" w:hAnsi="Arial"/>
          <w:b/>
          <w:sz w:val="20"/>
          <w:szCs w:val="20"/>
        </w:rPr>
        <w:t>Contrato Administrativo. Obras e serviços de engenharia. Rodovia. Conservação. Manutenção. Simultaneidade.</w:t>
      </w:r>
    </w:p>
    <w:p w:rsidR="00844E05" w:rsidRDefault="00844E05" w:rsidP="00844E05">
      <w:pPr>
        <w:pStyle w:val="Default"/>
        <w:spacing w:after="200" w:line="276" w:lineRule="auto"/>
        <w:jc w:val="both"/>
        <w:rPr>
          <w:sz w:val="20"/>
          <w:szCs w:val="20"/>
        </w:rPr>
      </w:pPr>
      <w:r w:rsidRPr="00395F8B">
        <w:rPr>
          <w:sz w:val="20"/>
          <w:szCs w:val="20"/>
        </w:rPr>
        <w:t>A execução concomitante de contratos para conservação e para restauração rodoviária não configura, por si só, irregularidade, uma vez que há diferença técnica significativa entre as duas classes de intervenção em rodovias. Contudo, é necessária a adoção de medidas efetivas de fiscalização e aferição da execução dos contratos de modo a evitar a superposição de serviços de conservação e de restauração em um mesmo período e para um mesmo trecho.</w:t>
      </w:r>
    </w:p>
    <w:p w:rsidR="00310492" w:rsidRPr="00310492" w:rsidRDefault="005B5A67" w:rsidP="00310492">
      <w:pPr>
        <w:widowControl w:val="0"/>
        <w:autoSpaceDE w:val="0"/>
        <w:autoSpaceDN w:val="0"/>
        <w:jc w:val="both"/>
        <w:rPr>
          <w:rFonts w:ascii="Arial" w:hAnsi="Arial" w:cs="Arial"/>
          <w:b/>
          <w:sz w:val="20"/>
          <w:szCs w:val="20"/>
        </w:rPr>
      </w:pPr>
      <w:hyperlink r:id="rId24" w:history="1">
        <w:r w:rsidR="00310492" w:rsidRPr="00A60595">
          <w:rPr>
            <w:rStyle w:val="Hyperlink"/>
            <w:rFonts w:ascii="Arial" w:hAnsi="Arial" w:cs="Arial"/>
            <w:b/>
            <w:sz w:val="20"/>
            <w:szCs w:val="20"/>
          </w:rPr>
          <w:t xml:space="preserve">Acórdão 1113/2018 </w:t>
        </w:r>
        <w:r w:rsidR="00A60595" w:rsidRPr="00A60595">
          <w:rPr>
            <w:rStyle w:val="Hyperlink"/>
            <w:rFonts w:ascii="Arial" w:hAnsi="Arial" w:cs="Arial"/>
            <w:b/>
            <w:sz w:val="20"/>
            <w:szCs w:val="20"/>
          </w:rPr>
          <w:t xml:space="preserve">- </w:t>
        </w:r>
        <w:r w:rsidR="00310492" w:rsidRPr="00A60595">
          <w:rPr>
            <w:rStyle w:val="Hyperlink"/>
            <w:rFonts w:ascii="Arial" w:hAnsi="Arial" w:cs="Arial"/>
            <w:b/>
            <w:sz w:val="20"/>
            <w:szCs w:val="20"/>
          </w:rPr>
          <w:t>Plenário</w:t>
        </w:r>
      </w:hyperlink>
      <w:r w:rsidR="00310492" w:rsidRPr="00310492">
        <w:rPr>
          <w:rFonts w:ascii="Arial" w:hAnsi="Arial" w:cs="Arial"/>
          <w:b/>
          <w:sz w:val="20"/>
          <w:szCs w:val="20"/>
        </w:rPr>
        <w:t xml:space="preserve"> </w:t>
      </w:r>
      <w:r w:rsidR="00310492" w:rsidRPr="00310492">
        <w:rPr>
          <w:rFonts w:ascii="Arial" w:hAnsi="Arial" w:cs="Arial"/>
          <w:sz w:val="20"/>
          <w:szCs w:val="20"/>
        </w:rPr>
        <w:t>(Representação, Relator Ministro Bruno Dantas)</w:t>
      </w:r>
    </w:p>
    <w:p w:rsidR="00310492" w:rsidRPr="00F971D3" w:rsidRDefault="00310492" w:rsidP="00310492">
      <w:pPr>
        <w:jc w:val="both"/>
        <w:rPr>
          <w:rFonts w:ascii="Arial" w:hAnsi="Arial" w:cs="Arial"/>
          <w:b/>
          <w:sz w:val="20"/>
          <w:szCs w:val="20"/>
        </w:rPr>
      </w:pPr>
      <w:r w:rsidRPr="00F971D3">
        <w:rPr>
          <w:rFonts w:ascii="Arial" w:hAnsi="Arial" w:cs="Arial"/>
          <w:b/>
          <w:sz w:val="20"/>
          <w:szCs w:val="20"/>
        </w:rPr>
        <w:t>Licitação. Proposta. Pequena empresa. Proposta de preço. Tributo. Simples nacional. Cessão de mão de obra.</w:t>
      </w:r>
    </w:p>
    <w:p w:rsidR="00310492" w:rsidRPr="00310492" w:rsidRDefault="00310492" w:rsidP="00310492">
      <w:pPr>
        <w:pStyle w:val="TCU-Epgrafe"/>
        <w:spacing w:after="200" w:line="276" w:lineRule="auto"/>
        <w:ind w:left="0"/>
        <w:rPr>
          <w:rFonts w:ascii="Arial" w:hAnsi="Arial" w:cs="Arial"/>
          <w:sz w:val="20"/>
        </w:rPr>
      </w:pPr>
      <w:r w:rsidRPr="00310492">
        <w:rPr>
          <w:rFonts w:ascii="Arial" w:hAnsi="Arial" w:cs="Arial"/>
          <w:sz w:val="20"/>
        </w:rPr>
        <w:t xml:space="preserve">A condição de optante pelo Simples Nacional não constitui óbice à participação de empresa em licitação para a prestação de serviços de limpeza, conservação e higienização, desde que comprovada a não utilização dos benefícios tributários desse regime diferenciado na proposta de preços (art. 17, inciso XII, da </w:t>
      </w:r>
      <w:hyperlink r:id="rId25" w:history="1">
        <w:r w:rsidRPr="00310492">
          <w:rPr>
            <w:rStyle w:val="Hyperlink"/>
            <w:rFonts w:ascii="Arial" w:hAnsi="Arial" w:cs="Arial"/>
            <w:color w:val="0000FF" w:themeColor="hyperlink"/>
            <w:sz w:val="20"/>
          </w:rPr>
          <w:t>LC 123/2006</w:t>
        </w:r>
      </w:hyperlink>
      <w:r w:rsidRPr="00310492">
        <w:rPr>
          <w:rFonts w:ascii="Arial" w:hAnsi="Arial" w:cs="Arial"/>
          <w:sz w:val="20"/>
        </w:rPr>
        <w:t>). Caso declarada vencedora, a empresa deverá solicitar a exclusão do referido regime, nos termos do art. 31, inciso II, da mesma lei complementar.</w:t>
      </w:r>
    </w:p>
    <w:p w:rsidR="006C275F" w:rsidRPr="006C275F" w:rsidRDefault="005B5A67" w:rsidP="006C275F">
      <w:pPr>
        <w:widowControl w:val="0"/>
        <w:autoSpaceDE w:val="0"/>
        <w:autoSpaceDN w:val="0"/>
        <w:jc w:val="both"/>
        <w:rPr>
          <w:rFonts w:ascii="Arial" w:hAnsi="Arial" w:cs="Arial"/>
          <w:b/>
          <w:sz w:val="20"/>
          <w:szCs w:val="20"/>
        </w:rPr>
      </w:pPr>
      <w:hyperlink r:id="rId26" w:history="1">
        <w:r w:rsidR="006C275F" w:rsidRPr="002A663E">
          <w:rPr>
            <w:rStyle w:val="Hyperlink"/>
            <w:rFonts w:ascii="Arial" w:hAnsi="Arial" w:cs="Arial"/>
            <w:b/>
            <w:sz w:val="20"/>
            <w:szCs w:val="20"/>
          </w:rPr>
          <w:t xml:space="preserve">Acórdão 3757/2018 </w:t>
        </w:r>
        <w:r w:rsidR="006E375F" w:rsidRPr="002A663E">
          <w:rPr>
            <w:rStyle w:val="Hyperlink"/>
            <w:rFonts w:ascii="Arial" w:hAnsi="Arial" w:cs="Arial"/>
            <w:b/>
            <w:sz w:val="20"/>
            <w:szCs w:val="20"/>
          </w:rPr>
          <w:t xml:space="preserve">- </w:t>
        </w:r>
        <w:r w:rsidR="006C275F" w:rsidRPr="002A663E">
          <w:rPr>
            <w:rStyle w:val="Hyperlink"/>
            <w:rFonts w:ascii="Arial" w:hAnsi="Arial" w:cs="Arial"/>
            <w:b/>
            <w:sz w:val="20"/>
            <w:szCs w:val="20"/>
          </w:rPr>
          <w:t>Segunda Câmara</w:t>
        </w:r>
      </w:hyperlink>
      <w:r w:rsidR="006C275F" w:rsidRPr="006C275F">
        <w:rPr>
          <w:rFonts w:ascii="Arial" w:hAnsi="Arial" w:cs="Arial"/>
          <w:b/>
          <w:sz w:val="20"/>
          <w:szCs w:val="20"/>
        </w:rPr>
        <w:t xml:space="preserve"> </w:t>
      </w:r>
      <w:r w:rsidR="006C275F" w:rsidRPr="006C275F">
        <w:rPr>
          <w:rFonts w:ascii="Arial" w:hAnsi="Arial" w:cs="Arial"/>
          <w:sz w:val="20"/>
          <w:szCs w:val="20"/>
        </w:rPr>
        <w:t>(Recurso de Reconsideração, Relator Ministra Ana Arraes)</w:t>
      </w:r>
    </w:p>
    <w:p w:rsidR="006C275F" w:rsidRPr="00F971D3" w:rsidRDefault="006C275F" w:rsidP="006C275F">
      <w:pPr>
        <w:jc w:val="both"/>
        <w:rPr>
          <w:rFonts w:ascii="Arial" w:hAnsi="Arial" w:cs="Arial"/>
          <w:b/>
          <w:sz w:val="20"/>
          <w:szCs w:val="20"/>
        </w:rPr>
      </w:pPr>
      <w:r w:rsidRPr="00F971D3">
        <w:rPr>
          <w:rFonts w:ascii="Arial" w:hAnsi="Arial" w:cs="Arial"/>
          <w:b/>
          <w:sz w:val="20"/>
          <w:szCs w:val="20"/>
        </w:rPr>
        <w:t>Responsabilidade. Débito. Benefício previdenciário. Carteira de Trabalho e Previdência Social. INSS. Presunção relativa.</w:t>
      </w:r>
    </w:p>
    <w:p w:rsidR="006C275F" w:rsidRDefault="006C275F" w:rsidP="006C275F">
      <w:pPr>
        <w:pStyle w:val="TCU-Epgrafe"/>
        <w:spacing w:after="200" w:line="276" w:lineRule="auto"/>
        <w:ind w:left="0"/>
        <w:rPr>
          <w:rFonts w:ascii="Arial" w:hAnsi="Arial" w:cs="Arial"/>
          <w:sz w:val="20"/>
        </w:rPr>
      </w:pPr>
      <w:r w:rsidRPr="006C275F">
        <w:rPr>
          <w:rFonts w:ascii="Arial" w:hAnsi="Arial" w:cs="Arial"/>
          <w:sz w:val="20"/>
        </w:rPr>
        <w:t xml:space="preserve">Sob pena de responsabilização pelos prejuízos causados por concessão irregular de aposentadoria, cabe aos agentes do órgão previdenciário adotar as cautelas necessárias em </w:t>
      </w:r>
      <w:r w:rsidRPr="006C275F">
        <w:rPr>
          <w:rFonts w:ascii="Arial" w:hAnsi="Arial" w:cs="Arial"/>
          <w:sz w:val="20"/>
        </w:rPr>
        <w:lastRenderedPageBreak/>
        <w:t>caso de anotações suspeitas na CTPS, entre elas a de provocar os setores competentes para averiguações complementares, considerando as circunstâncias do caso concreto, uma vez que a presunção de veracidade das anotações é apenas relativa (Súmula STF 225 e Súmula TST 12).</w:t>
      </w:r>
    </w:p>
    <w:p w:rsidR="009D417F" w:rsidRPr="009D417F" w:rsidRDefault="005B5A67" w:rsidP="009D417F">
      <w:pPr>
        <w:widowControl w:val="0"/>
        <w:autoSpaceDE w:val="0"/>
        <w:autoSpaceDN w:val="0"/>
        <w:jc w:val="both"/>
        <w:rPr>
          <w:rFonts w:ascii="Arial" w:hAnsi="Arial" w:cs="Arial"/>
          <w:b/>
          <w:sz w:val="20"/>
          <w:szCs w:val="20"/>
        </w:rPr>
      </w:pPr>
      <w:hyperlink r:id="rId27" w:history="1">
        <w:r w:rsidR="009D417F" w:rsidRPr="00CE34DE">
          <w:rPr>
            <w:rStyle w:val="Hyperlink"/>
            <w:rFonts w:ascii="Arial" w:hAnsi="Arial" w:cs="Arial"/>
            <w:b/>
            <w:sz w:val="20"/>
            <w:szCs w:val="20"/>
          </w:rPr>
          <w:t xml:space="preserve">Acórdão 3769/2018 </w:t>
        </w:r>
        <w:r w:rsidR="00CE34DE" w:rsidRPr="00CE34DE">
          <w:rPr>
            <w:rStyle w:val="Hyperlink"/>
            <w:rFonts w:ascii="Arial" w:hAnsi="Arial" w:cs="Arial"/>
            <w:b/>
            <w:sz w:val="20"/>
            <w:szCs w:val="20"/>
          </w:rPr>
          <w:t xml:space="preserve">- </w:t>
        </w:r>
        <w:r w:rsidR="009D417F" w:rsidRPr="00CE34DE">
          <w:rPr>
            <w:rStyle w:val="Hyperlink"/>
            <w:rFonts w:ascii="Arial" w:hAnsi="Arial" w:cs="Arial"/>
            <w:b/>
            <w:sz w:val="20"/>
            <w:szCs w:val="20"/>
          </w:rPr>
          <w:t>Segunda Câmara</w:t>
        </w:r>
      </w:hyperlink>
      <w:r w:rsidR="009D417F" w:rsidRPr="009D417F">
        <w:rPr>
          <w:rFonts w:ascii="Arial" w:hAnsi="Arial" w:cs="Arial"/>
          <w:b/>
          <w:sz w:val="20"/>
          <w:szCs w:val="20"/>
        </w:rPr>
        <w:t xml:space="preserve"> </w:t>
      </w:r>
      <w:r w:rsidR="009D417F" w:rsidRPr="009D417F">
        <w:rPr>
          <w:rFonts w:ascii="Arial" w:hAnsi="Arial" w:cs="Arial"/>
          <w:sz w:val="20"/>
          <w:szCs w:val="20"/>
        </w:rPr>
        <w:t xml:space="preserve">(Tomada de Contas Especial, Relator Ministro-Substituto Marcos </w:t>
      </w:r>
      <w:proofErr w:type="spellStart"/>
      <w:r w:rsidR="009D417F" w:rsidRPr="009D417F">
        <w:rPr>
          <w:rFonts w:ascii="Arial" w:hAnsi="Arial" w:cs="Arial"/>
          <w:sz w:val="20"/>
          <w:szCs w:val="20"/>
        </w:rPr>
        <w:t>Bemquerer</w:t>
      </w:r>
      <w:proofErr w:type="spellEnd"/>
      <w:r w:rsidR="009D417F" w:rsidRPr="009D417F">
        <w:rPr>
          <w:rFonts w:ascii="Arial" w:hAnsi="Arial" w:cs="Arial"/>
          <w:sz w:val="20"/>
          <w:szCs w:val="20"/>
        </w:rPr>
        <w:t>)</w:t>
      </w:r>
    </w:p>
    <w:p w:rsidR="009D417F" w:rsidRPr="00F971D3" w:rsidRDefault="009D417F" w:rsidP="009D417F">
      <w:pPr>
        <w:jc w:val="both"/>
        <w:rPr>
          <w:rFonts w:ascii="Arial" w:hAnsi="Arial" w:cs="Arial"/>
          <w:b/>
          <w:sz w:val="20"/>
          <w:szCs w:val="20"/>
        </w:rPr>
      </w:pPr>
      <w:r w:rsidRPr="00F971D3">
        <w:rPr>
          <w:rFonts w:ascii="Arial" w:hAnsi="Arial" w:cs="Arial"/>
          <w:b/>
          <w:sz w:val="20"/>
          <w:szCs w:val="20"/>
        </w:rPr>
        <w:t>Responsabilidade. Agente político. Conduta omissiva. Supervisão. Ato de gestão.</w:t>
      </w:r>
    </w:p>
    <w:p w:rsidR="009D417F" w:rsidRPr="009D417F" w:rsidRDefault="009D417F" w:rsidP="009D417F">
      <w:pPr>
        <w:pStyle w:val="TCU-Epgrafe"/>
        <w:spacing w:after="200" w:line="276" w:lineRule="auto"/>
        <w:ind w:left="0"/>
        <w:rPr>
          <w:rFonts w:ascii="Arial" w:hAnsi="Arial" w:cs="Arial"/>
          <w:sz w:val="20"/>
        </w:rPr>
      </w:pPr>
      <w:r w:rsidRPr="009D417F">
        <w:rPr>
          <w:rFonts w:ascii="Arial" w:hAnsi="Arial" w:cs="Arial"/>
          <w:sz w:val="20"/>
        </w:rPr>
        <w:t>Agentes políticos somente podem ser responsabilizados quando praticarem atos administrativos de gestão ou, se não praticarem, quando as irregularidades tenham caráter de tal amplitude e relevância que, no mínimo, fique caracterizada grave omissão no desempenho de suas atribuições de supervisão hierárquica.</w:t>
      </w:r>
    </w:p>
    <w:p w:rsidR="009D417F" w:rsidRPr="009D417F" w:rsidRDefault="005B5A67" w:rsidP="009D417F">
      <w:pPr>
        <w:widowControl w:val="0"/>
        <w:autoSpaceDE w:val="0"/>
        <w:autoSpaceDN w:val="0"/>
        <w:jc w:val="both"/>
        <w:rPr>
          <w:rFonts w:ascii="Arial" w:hAnsi="Arial" w:cs="Arial"/>
          <w:b/>
          <w:sz w:val="20"/>
          <w:szCs w:val="20"/>
        </w:rPr>
      </w:pPr>
      <w:hyperlink r:id="rId28" w:history="1">
        <w:r w:rsidR="009D417F" w:rsidRPr="007C006D">
          <w:rPr>
            <w:rStyle w:val="Hyperlink"/>
            <w:rFonts w:ascii="Arial" w:hAnsi="Arial" w:cs="Arial"/>
            <w:b/>
            <w:sz w:val="20"/>
            <w:szCs w:val="20"/>
          </w:rPr>
          <w:t>Acórdão 3774/2018</w:t>
        </w:r>
        <w:r w:rsidR="007C006D" w:rsidRPr="007C006D">
          <w:rPr>
            <w:rStyle w:val="Hyperlink"/>
            <w:rFonts w:ascii="Arial" w:hAnsi="Arial" w:cs="Arial"/>
            <w:b/>
            <w:sz w:val="20"/>
            <w:szCs w:val="20"/>
          </w:rPr>
          <w:t xml:space="preserve"> - </w:t>
        </w:r>
        <w:r w:rsidR="009D417F" w:rsidRPr="007C006D">
          <w:rPr>
            <w:rStyle w:val="Hyperlink"/>
            <w:rFonts w:ascii="Arial" w:hAnsi="Arial" w:cs="Arial"/>
            <w:b/>
            <w:sz w:val="20"/>
            <w:szCs w:val="20"/>
          </w:rPr>
          <w:t>Segunda Câmara</w:t>
        </w:r>
      </w:hyperlink>
      <w:r w:rsidR="009D417F" w:rsidRPr="009D417F">
        <w:rPr>
          <w:rFonts w:ascii="Arial" w:hAnsi="Arial" w:cs="Arial"/>
          <w:b/>
          <w:sz w:val="20"/>
          <w:szCs w:val="20"/>
        </w:rPr>
        <w:t xml:space="preserve"> </w:t>
      </w:r>
      <w:r w:rsidR="009D417F" w:rsidRPr="009D417F">
        <w:rPr>
          <w:rFonts w:ascii="Arial" w:hAnsi="Arial" w:cs="Arial"/>
          <w:sz w:val="20"/>
          <w:szCs w:val="20"/>
        </w:rPr>
        <w:t xml:space="preserve">(Tomada de Contas Especial, Relator Ministro José </w:t>
      </w:r>
      <w:proofErr w:type="spellStart"/>
      <w:r w:rsidR="009D417F" w:rsidRPr="009D417F">
        <w:rPr>
          <w:rFonts w:ascii="Arial" w:hAnsi="Arial" w:cs="Arial"/>
          <w:sz w:val="20"/>
          <w:szCs w:val="20"/>
        </w:rPr>
        <w:t>Múcio</w:t>
      </w:r>
      <w:proofErr w:type="spellEnd"/>
      <w:r w:rsidR="009D417F" w:rsidRPr="009D417F">
        <w:rPr>
          <w:rFonts w:ascii="Arial" w:hAnsi="Arial" w:cs="Arial"/>
          <w:sz w:val="20"/>
          <w:szCs w:val="20"/>
        </w:rPr>
        <w:t xml:space="preserve"> Monteiro)</w:t>
      </w:r>
    </w:p>
    <w:p w:rsidR="009D417F" w:rsidRPr="00F971D3" w:rsidRDefault="009D417F" w:rsidP="009D417F">
      <w:pPr>
        <w:jc w:val="both"/>
        <w:rPr>
          <w:rFonts w:ascii="Arial" w:hAnsi="Arial" w:cs="Arial"/>
          <w:b/>
          <w:sz w:val="20"/>
          <w:szCs w:val="20"/>
        </w:rPr>
      </w:pPr>
      <w:r w:rsidRPr="00F971D3">
        <w:rPr>
          <w:rFonts w:ascii="Arial" w:hAnsi="Arial" w:cs="Arial"/>
          <w:b/>
          <w:sz w:val="20"/>
          <w:szCs w:val="20"/>
        </w:rPr>
        <w:t>Responsabilidade. Multa. Prescrição. Citação. Nulidade. Interrupção. Despacho de expediente.</w:t>
      </w:r>
    </w:p>
    <w:p w:rsidR="009D417F" w:rsidRDefault="009D417F" w:rsidP="009D417F">
      <w:pPr>
        <w:pStyle w:val="Default"/>
        <w:spacing w:after="200" w:line="276" w:lineRule="auto"/>
        <w:jc w:val="both"/>
        <w:rPr>
          <w:sz w:val="20"/>
          <w:szCs w:val="20"/>
        </w:rPr>
      </w:pPr>
      <w:r w:rsidRPr="009D417F">
        <w:rPr>
          <w:sz w:val="20"/>
          <w:szCs w:val="20"/>
        </w:rPr>
        <w:t>A nulidade da citação não implica a nulidade do despacho que ordenou sua realização, permanecendo válida, portanto, a causa de interrupção da prescrição.</w:t>
      </w:r>
    </w:p>
    <w:p w:rsidR="008756B2" w:rsidRPr="008756B2" w:rsidRDefault="005B5A67" w:rsidP="005A11BC">
      <w:pPr>
        <w:widowControl w:val="0"/>
        <w:autoSpaceDE w:val="0"/>
        <w:autoSpaceDN w:val="0"/>
        <w:jc w:val="both"/>
        <w:rPr>
          <w:rFonts w:ascii="Arial" w:hAnsi="Arial" w:cs="Arial"/>
          <w:b/>
          <w:sz w:val="20"/>
          <w:szCs w:val="20"/>
        </w:rPr>
      </w:pPr>
      <w:hyperlink r:id="rId29" w:history="1">
        <w:r w:rsidR="008756B2" w:rsidRPr="00804B85">
          <w:rPr>
            <w:rStyle w:val="Hyperlink"/>
            <w:rFonts w:ascii="Arial" w:hAnsi="Arial"/>
            <w:b/>
            <w:sz w:val="20"/>
            <w:szCs w:val="20"/>
          </w:rPr>
          <w:t>Acórdão 4349/2018</w:t>
        </w:r>
        <w:r w:rsidR="00804B85" w:rsidRPr="00804B85">
          <w:rPr>
            <w:rStyle w:val="Hyperlink"/>
            <w:rFonts w:ascii="Arial" w:hAnsi="Arial"/>
            <w:b/>
            <w:sz w:val="20"/>
            <w:szCs w:val="20"/>
          </w:rPr>
          <w:t xml:space="preserve"> - </w:t>
        </w:r>
        <w:r w:rsidR="008756B2" w:rsidRPr="00804B85">
          <w:rPr>
            <w:rStyle w:val="Hyperlink"/>
            <w:rFonts w:ascii="Arial" w:hAnsi="Arial"/>
            <w:b/>
            <w:sz w:val="20"/>
            <w:szCs w:val="20"/>
          </w:rPr>
          <w:t>Segunda Câmara</w:t>
        </w:r>
      </w:hyperlink>
      <w:r w:rsidR="008756B2" w:rsidRPr="008756B2">
        <w:rPr>
          <w:rFonts w:ascii="Arial" w:hAnsi="Arial"/>
          <w:b/>
          <w:sz w:val="20"/>
          <w:szCs w:val="20"/>
        </w:rPr>
        <w:t xml:space="preserve"> </w:t>
      </w:r>
      <w:r w:rsidR="008756B2" w:rsidRPr="008756B2">
        <w:rPr>
          <w:rFonts w:ascii="Arial" w:hAnsi="Arial"/>
          <w:sz w:val="20"/>
          <w:szCs w:val="20"/>
        </w:rPr>
        <w:t xml:space="preserve">(Representação, Relator Ministro-Substituto Marcos </w:t>
      </w:r>
      <w:proofErr w:type="spellStart"/>
      <w:r w:rsidR="008756B2" w:rsidRPr="008756B2">
        <w:rPr>
          <w:rFonts w:ascii="Arial" w:hAnsi="Arial"/>
          <w:sz w:val="20"/>
          <w:szCs w:val="20"/>
        </w:rPr>
        <w:t>Bemquerer</w:t>
      </w:r>
      <w:proofErr w:type="spellEnd"/>
      <w:r w:rsidR="008756B2" w:rsidRPr="008756B2">
        <w:rPr>
          <w:rFonts w:ascii="Arial" w:hAnsi="Arial"/>
          <w:sz w:val="20"/>
          <w:szCs w:val="20"/>
        </w:rPr>
        <w:t>)</w:t>
      </w:r>
    </w:p>
    <w:p w:rsidR="008756B2" w:rsidRPr="00F971D3" w:rsidRDefault="008756B2" w:rsidP="005A11BC">
      <w:pPr>
        <w:jc w:val="both"/>
        <w:rPr>
          <w:rFonts w:ascii="Arial" w:hAnsi="Arial" w:cs="Arial"/>
          <w:b/>
          <w:sz w:val="20"/>
          <w:szCs w:val="20"/>
        </w:rPr>
      </w:pPr>
      <w:r w:rsidRPr="00F971D3">
        <w:rPr>
          <w:rFonts w:ascii="Arial" w:hAnsi="Arial"/>
          <w:b/>
          <w:sz w:val="20"/>
          <w:szCs w:val="20"/>
        </w:rPr>
        <w:t>Contrato Administrativo. Superfaturamento. Subcontratação. Quantificação.</w:t>
      </w:r>
    </w:p>
    <w:p w:rsidR="008756B2" w:rsidRPr="008756B2" w:rsidRDefault="008756B2" w:rsidP="005A11BC">
      <w:pPr>
        <w:pStyle w:val="TCU-Epgrafe"/>
        <w:spacing w:after="200" w:line="276" w:lineRule="auto"/>
        <w:ind w:left="0"/>
        <w:rPr>
          <w:sz w:val="20"/>
        </w:rPr>
      </w:pPr>
      <w:r w:rsidRPr="008756B2">
        <w:rPr>
          <w:rFonts w:ascii="Arial" w:hAnsi="Arial"/>
          <w:sz w:val="20"/>
        </w:rPr>
        <w:t>Na subcontratação total do objeto, em que a empresa contratada atua como mera intermediária entre a Administração e a empresa efetivamente executora (subcontratada), o superfaturamento, quando houver, deve ser quantificado em função dos preços de mercado e não, simplesmente, pela diferença entre os pagamentos recebidos pela empresa contratada e os valores por ela pagos à subcontratada.</w:t>
      </w:r>
    </w:p>
    <w:p w:rsidR="00423889" w:rsidRPr="00423889" w:rsidRDefault="005B5A67" w:rsidP="005A11BC">
      <w:pPr>
        <w:widowControl w:val="0"/>
        <w:autoSpaceDE w:val="0"/>
        <w:autoSpaceDN w:val="0"/>
        <w:jc w:val="both"/>
        <w:rPr>
          <w:rFonts w:ascii="Arial" w:hAnsi="Arial" w:cs="Arial"/>
          <w:b/>
          <w:sz w:val="20"/>
          <w:szCs w:val="20"/>
        </w:rPr>
      </w:pPr>
      <w:hyperlink r:id="rId30" w:history="1">
        <w:r w:rsidR="00423889" w:rsidRPr="00911B83">
          <w:rPr>
            <w:rStyle w:val="Hyperlink"/>
            <w:rFonts w:ascii="Arial" w:hAnsi="Arial"/>
            <w:b/>
            <w:sz w:val="20"/>
            <w:szCs w:val="20"/>
          </w:rPr>
          <w:t xml:space="preserve">Acórdão 3222/2018 </w:t>
        </w:r>
        <w:r w:rsidR="00911B83" w:rsidRPr="00911B83">
          <w:rPr>
            <w:rStyle w:val="Hyperlink"/>
            <w:rFonts w:ascii="Arial" w:hAnsi="Arial"/>
            <w:b/>
            <w:sz w:val="20"/>
            <w:szCs w:val="20"/>
          </w:rPr>
          <w:t xml:space="preserve">- </w:t>
        </w:r>
        <w:r w:rsidR="00423889" w:rsidRPr="00911B83">
          <w:rPr>
            <w:rStyle w:val="Hyperlink"/>
            <w:rFonts w:ascii="Arial" w:hAnsi="Arial"/>
            <w:b/>
            <w:sz w:val="20"/>
            <w:szCs w:val="20"/>
          </w:rPr>
          <w:t>Segunda Câmara</w:t>
        </w:r>
      </w:hyperlink>
      <w:r w:rsidR="00423889" w:rsidRPr="00423889">
        <w:rPr>
          <w:rFonts w:ascii="Arial" w:hAnsi="Arial"/>
          <w:b/>
          <w:sz w:val="20"/>
          <w:szCs w:val="20"/>
        </w:rPr>
        <w:t xml:space="preserve"> </w:t>
      </w:r>
      <w:r w:rsidR="00423889" w:rsidRPr="00423889">
        <w:rPr>
          <w:rFonts w:ascii="Arial" w:hAnsi="Arial"/>
          <w:sz w:val="20"/>
          <w:szCs w:val="20"/>
        </w:rPr>
        <w:t xml:space="preserve">(Pensão Civil, Relator Ministro José </w:t>
      </w:r>
      <w:proofErr w:type="spellStart"/>
      <w:r w:rsidR="00423889" w:rsidRPr="00423889">
        <w:rPr>
          <w:rFonts w:ascii="Arial" w:hAnsi="Arial"/>
          <w:sz w:val="20"/>
          <w:szCs w:val="20"/>
        </w:rPr>
        <w:t>Múcio</w:t>
      </w:r>
      <w:proofErr w:type="spellEnd"/>
      <w:r w:rsidR="00423889" w:rsidRPr="00423889">
        <w:rPr>
          <w:rFonts w:ascii="Arial" w:hAnsi="Arial"/>
          <w:sz w:val="20"/>
          <w:szCs w:val="20"/>
        </w:rPr>
        <w:t xml:space="preserve"> Monteiro)</w:t>
      </w:r>
    </w:p>
    <w:p w:rsidR="00423889" w:rsidRPr="00F971D3" w:rsidRDefault="00423889" w:rsidP="005A11BC">
      <w:pPr>
        <w:jc w:val="both"/>
        <w:rPr>
          <w:rFonts w:ascii="Arial" w:hAnsi="Arial" w:cs="Arial"/>
          <w:b/>
          <w:sz w:val="20"/>
          <w:szCs w:val="20"/>
        </w:rPr>
      </w:pPr>
      <w:r w:rsidRPr="00F971D3">
        <w:rPr>
          <w:rFonts w:ascii="Arial" w:hAnsi="Arial"/>
          <w:b/>
          <w:sz w:val="20"/>
          <w:szCs w:val="20"/>
        </w:rPr>
        <w:t>Ressarcimento administrativo. Dispensa. Decisão judicial. Descumprimento. Súmula. Inaplicabilidade.</w:t>
      </w:r>
    </w:p>
    <w:p w:rsidR="00423889" w:rsidRPr="00423889" w:rsidRDefault="00423889" w:rsidP="005A11BC">
      <w:pPr>
        <w:pStyle w:val="TCU-Epgrafe"/>
        <w:spacing w:after="200" w:line="276" w:lineRule="auto"/>
        <w:ind w:left="0"/>
        <w:rPr>
          <w:sz w:val="20"/>
        </w:rPr>
      </w:pPr>
      <w:r w:rsidRPr="00423889">
        <w:rPr>
          <w:rFonts w:ascii="Arial" w:hAnsi="Arial"/>
          <w:sz w:val="20"/>
        </w:rPr>
        <w:t>A possibilidade de dispensa da reposição ao erário de valores indevidos recebidos de boa-fé, prevista na Súmula TCU 106, não se aplica aos casos em que o pagamento da parcela impugnada ocorreu em desacordo com a decisão judicial que pretensamente o amparou.</w:t>
      </w:r>
    </w:p>
    <w:p w:rsidR="005A11BC" w:rsidRPr="005A11BC" w:rsidRDefault="005B5A67" w:rsidP="005A11BC">
      <w:pPr>
        <w:widowControl w:val="0"/>
        <w:autoSpaceDE w:val="0"/>
        <w:autoSpaceDN w:val="0"/>
        <w:jc w:val="both"/>
        <w:rPr>
          <w:rFonts w:ascii="Arial" w:hAnsi="Arial" w:cs="Arial"/>
          <w:b/>
          <w:sz w:val="20"/>
          <w:szCs w:val="20"/>
        </w:rPr>
      </w:pPr>
      <w:hyperlink r:id="rId31" w:history="1">
        <w:r w:rsidR="005A11BC" w:rsidRPr="0016291C">
          <w:rPr>
            <w:rStyle w:val="Hyperlink"/>
            <w:rFonts w:ascii="Arial" w:hAnsi="Arial"/>
            <w:b/>
            <w:sz w:val="20"/>
            <w:szCs w:val="20"/>
          </w:rPr>
          <w:t xml:space="preserve">Acórdão 4568/2018 </w:t>
        </w:r>
        <w:r w:rsidR="0016291C" w:rsidRPr="0016291C">
          <w:rPr>
            <w:rStyle w:val="Hyperlink"/>
            <w:rFonts w:ascii="Arial" w:hAnsi="Arial"/>
            <w:b/>
            <w:sz w:val="20"/>
            <w:szCs w:val="20"/>
          </w:rPr>
          <w:t xml:space="preserve">- </w:t>
        </w:r>
        <w:r w:rsidR="005A11BC" w:rsidRPr="0016291C">
          <w:rPr>
            <w:rStyle w:val="Hyperlink"/>
            <w:rFonts w:ascii="Arial" w:hAnsi="Arial"/>
            <w:b/>
            <w:sz w:val="20"/>
            <w:szCs w:val="20"/>
          </w:rPr>
          <w:t>Primeira Câmara</w:t>
        </w:r>
      </w:hyperlink>
      <w:r w:rsidR="005A11BC" w:rsidRPr="005A11BC">
        <w:rPr>
          <w:rFonts w:ascii="Arial" w:hAnsi="Arial"/>
          <w:b/>
          <w:sz w:val="20"/>
          <w:szCs w:val="20"/>
        </w:rPr>
        <w:t xml:space="preserve"> </w:t>
      </w:r>
      <w:r w:rsidR="005A11BC" w:rsidRPr="005A11BC">
        <w:rPr>
          <w:rFonts w:ascii="Arial" w:hAnsi="Arial"/>
          <w:sz w:val="20"/>
          <w:szCs w:val="20"/>
        </w:rPr>
        <w:t xml:space="preserve">(Pedido de Reexame, Relator Ministro Walton Alencar </w:t>
      </w:r>
      <w:r w:rsidR="005A11BC" w:rsidRPr="005A11BC">
        <w:rPr>
          <w:rFonts w:ascii="Arial" w:hAnsi="Arial"/>
          <w:sz w:val="20"/>
          <w:szCs w:val="20"/>
        </w:rPr>
        <w:lastRenderedPageBreak/>
        <w:t>Rodrigues)</w:t>
      </w:r>
    </w:p>
    <w:p w:rsidR="005A11BC" w:rsidRPr="00F971D3" w:rsidRDefault="005A11BC" w:rsidP="005A11BC">
      <w:pPr>
        <w:jc w:val="both"/>
        <w:rPr>
          <w:rFonts w:ascii="Arial" w:hAnsi="Arial" w:cs="Arial"/>
          <w:b/>
          <w:sz w:val="20"/>
          <w:szCs w:val="20"/>
        </w:rPr>
      </w:pPr>
      <w:r w:rsidRPr="00F971D3">
        <w:rPr>
          <w:rFonts w:ascii="Arial" w:hAnsi="Arial"/>
          <w:b/>
          <w:sz w:val="20"/>
          <w:szCs w:val="20"/>
        </w:rPr>
        <w:t>Ressarcimento administrativo. Decisão judicial. Liminar. Revogação.</w:t>
      </w:r>
    </w:p>
    <w:p w:rsidR="005A11BC" w:rsidRPr="005A11BC" w:rsidRDefault="005A11BC" w:rsidP="005A11BC">
      <w:pPr>
        <w:pStyle w:val="TCU-Epgrafe"/>
        <w:spacing w:after="200" w:line="276" w:lineRule="auto"/>
        <w:ind w:left="0"/>
        <w:rPr>
          <w:sz w:val="20"/>
        </w:rPr>
      </w:pPr>
      <w:r w:rsidRPr="005A11BC">
        <w:rPr>
          <w:rFonts w:ascii="Arial" w:hAnsi="Arial"/>
          <w:sz w:val="20"/>
        </w:rPr>
        <w:t>Desconstituída decisão judicial proferida em caráter liminar, que assegurava o pagamento de determinada vantagem a servidor, e não havendo determinação em contrário na deliberação definitiva, cabe à Administração promover a restituição dos valores pagos em cumprimento à decisão revogada.</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E81556" w:rsidRDefault="005B5A67" w:rsidP="00E81556">
      <w:pPr>
        <w:pStyle w:val="Default"/>
        <w:spacing w:line="276" w:lineRule="auto"/>
        <w:jc w:val="center"/>
        <w:rPr>
          <w:rStyle w:val="Hyperlink"/>
        </w:rPr>
      </w:pPr>
      <w:hyperlink r:id="rId32" w:history="1">
        <w:r w:rsidR="00E81556">
          <w:rPr>
            <w:rStyle w:val="Hyperlink"/>
            <w:b/>
            <w:sz w:val="20"/>
            <w:szCs w:val="20"/>
          </w:rPr>
          <w:t>Pesquisas Prontas</w:t>
        </w:r>
      </w:hyperlink>
    </w:p>
    <w:p w:rsidR="00E81556" w:rsidRDefault="00E81556" w:rsidP="00E81556">
      <w:pPr>
        <w:pStyle w:val="Default"/>
        <w:spacing w:line="276" w:lineRule="auto"/>
        <w:jc w:val="center"/>
        <w:rPr>
          <w:rStyle w:val="Hyperlink"/>
          <w:b/>
          <w:sz w:val="20"/>
          <w:szCs w:val="20"/>
        </w:rPr>
      </w:pPr>
    </w:p>
    <w:p w:rsidR="00E81556" w:rsidRDefault="005B5A67" w:rsidP="00E81556">
      <w:pPr>
        <w:pStyle w:val="Default"/>
        <w:spacing w:line="276" w:lineRule="auto"/>
        <w:jc w:val="center"/>
        <w:rPr>
          <w:rStyle w:val="Hyperlink"/>
          <w:b/>
          <w:sz w:val="20"/>
          <w:szCs w:val="20"/>
        </w:rPr>
      </w:pPr>
      <w:hyperlink r:id="rId33" w:history="1">
        <w:r w:rsidR="00E81556">
          <w:rPr>
            <w:rStyle w:val="Hyperlink"/>
            <w:b/>
            <w:sz w:val="20"/>
            <w:szCs w:val="20"/>
          </w:rPr>
          <w:t>Teses Ambientais</w:t>
        </w:r>
      </w:hyperlink>
      <w:r w:rsidR="00E81556">
        <w:rPr>
          <w:rStyle w:val="Hyperlink"/>
          <w:b/>
          <w:sz w:val="20"/>
          <w:szCs w:val="20"/>
        </w:rPr>
        <w:t xml:space="preserve"> </w:t>
      </w:r>
    </w:p>
    <w:p w:rsidR="00E81556" w:rsidRDefault="00E81556" w:rsidP="00E81556">
      <w:pPr>
        <w:pStyle w:val="Default"/>
        <w:spacing w:line="276" w:lineRule="auto"/>
        <w:jc w:val="center"/>
        <w:rPr>
          <w:rStyle w:val="Hyperlink"/>
          <w:b/>
          <w:sz w:val="20"/>
          <w:szCs w:val="20"/>
        </w:rPr>
      </w:pPr>
    </w:p>
    <w:p w:rsidR="00E81556" w:rsidRDefault="005B5A67" w:rsidP="00E81556">
      <w:pPr>
        <w:pStyle w:val="Default"/>
        <w:spacing w:line="276" w:lineRule="auto"/>
        <w:jc w:val="center"/>
      </w:pPr>
      <w:hyperlink r:id="rId34" w:history="1">
        <w:proofErr w:type="spellStart"/>
        <w:r w:rsidR="00E81556">
          <w:rPr>
            <w:rStyle w:val="Hyperlink"/>
            <w:b/>
            <w:sz w:val="20"/>
            <w:szCs w:val="20"/>
          </w:rPr>
          <w:t>Interjuris</w:t>
        </w:r>
        <w:proofErr w:type="spellEnd"/>
      </w:hyperlink>
    </w:p>
    <w:p w:rsidR="00E81556" w:rsidRDefault="00E81556" w:rsidP="00E81556">
      <w:pPr>
        <w:pStyle w:val="Default"/>
        <w:spacing w:line="276" w:lineRule="auto"/>
        <w:jc w:val="center"/>
      </w:pPr>
    </w:p>
    <w:p w:rsidR="00E81556" w:rsidRDefault="005B5A67" w:rsidP="00E81556">
      <w:pPr>
        <w:pStyle w:val="Default"/>
        <w:spacing w:line="276" w:lineRule="auto"/>
        <w:jc w:val="center"/>
        <w:rPr>
          <w:rStyle w:val="Hyperlink"/>
          <w:b/>
          <w:sz w:val="20"/>
          <w:szCs w:val="20"/>
        </w:rPr>
      </w:pPr>
      <w:hyperlink r:id="rId35" w:history="1">
        <w:r w:rsidR="00E81556">
          <w:rPr>
            <w:rStyle w:val="Hyperlink"/>
            <w:b/>
            <w:sz w:val="20"/>
            <w:szCs w:val="20"/>
          </w:rPr>
          <w:t>Repercussão Geral do Supremo Tribunal Federal - STF e os Tribunais de Contas</w:t>
        </w:r>
      </w:hyperlink>
    </w:p>
    <w:p w:rsidR="00E81556" w:rsidRDefault="00E81556" w:rsidP="00E81556">
      <w:pPr>
        <w:pStyle w:val="Default"/>
        <w:spacing w:line="276" w:lineRule="auto"/>
        <w:jc w:val="center"/>
        <w:rPr>
          <w:rStyle w:val="Hyperlink"/>
          <w:b/>
          <w:sz w:val="20"/>
          <w:szCs w:val="20"/>
        </w:rPr>
      </w:pPr>
    </w:p>
    <w:p w:rsidR="00E81556" w:rsidRDefault="005B5A67" w:rsidP="00E81556">
      <w:pPr>
        <w:pStyle w:val="Default"/>
        <w:spacing w:line="276" w:lineRule="auto"/>
        <w:jc w:val="center"/>
        <w:rPr>
          <w:rStyle w:val="Hyperlink"/>
          <w:b/>
          <w:sz w:val="20"/>
          <w:szCs w:val="20"/>
        </w:rPr>
      </w:pPr>
      <w:hyperlink r:id="rId36" w:history="1">
        <w:r w:rsidR="00E81556">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7"/>
      <w:footerReference w:type="default" r:id="rId3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6291C">
      <w:rPr>
        <w:noProof/>
        <w:sz w:val="16"/>
        <w:szCs w:val="16"/>
      </w:rPr>
      <w:t>4</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DB4"/>
    <w:rsid w:val="000C4F73"/>
    <w:rsid w:val="000C5093"/>
    <w:rsid w:val="000C5460"/>
    <w:rsid w:val="000C5EB3"/>
    <w:rsid w:val="000C63BC"/>
    <w:rsid w:val="000C7D67"/>
    <w:rsid w:val="000D2434"/>
    <w:rsid w:val="000D2D5B"/>
    <w:rsid w:val="000D357D"/>
    <w:rsid w:val="000D4DE6"/>
    <w:rsid w:val="000D59AA"/>
    <w:rsid w:val="000D6D01"/>
    <w:rsid w:val="000E300B"/>
    <w:rsid w:val="000E3ACE"/>
    <w:rsid w:val="000E3CEA"/>
    <w:rsid w:val="000E3FC6"/>
    <w:rsid w:val="000E464B"/>
    <w:rsid w:val="000E5AC8"/>
    <w:rsid w:val="000F04ED"/>
    <w:rsid w:val="000F18DA"/>
    <w:rsid w:val="000F1FFA"/>
    <w:rsid w:val="000F314C"/>
    <w:rsid w:val="000F5AE7"/>
    <w:rsid w:val="000F639D"/>
    <w:rsid w:val="000F7C1B"/>
    <w:rsid w:val="00100B9C"/>
    <w:rsid w:val="00106AA9"/>
    <w:rsid w:val="00110517"/>
    <w:rsid w:val="00110BD6"/>
    <w:rsid w:val="001119DC"/>
    <w:rsid w:val="00111B86"/>
    <w:rsid w:val="00111C26"/>
    <w:rsid w:val="00112B60"/>
    <w:rsid w:val="00113EF1"/>
    <w:rsid w:val="00114B62"/>
    <w:rsid w:val="001159C9"/>
    <w:rsid w:val="00116515"/>
    <w:rsid w:val="00120862"/>
    <w:rsid w:val="0012211A"/>
    <w:rsid w:val="00122E13"/>
    <w:rsid w:val="00123D02"/>
    <w:rsid w:val="0012498C"/>
    <w:rsid w:val="00124A0F"/>
    <w:rsid w:val="00125F60"/>
    <w:rsid w:val="00126447"/>
    <w:rsid w:val="00127DF2"/>
    <w:rsid w:val="00130717"/>
    <w:rsid w:val="0013298B"/>
    <w:rsid w:val="0013396B"/>
    <w:rsid w:val="001342E3"/>
    <w:rsid w:val="0013514C"/>
    <w:rsid w:val="0013583F"/>
    <w:rsid w:val="00135D5F"/>
    <w:rsid w:val="0013684C"/>
    <w:rsid w:val="001411E6"/>
    <w:rsid w:val="001415BA"/>
    <w:rsid w:val="00142D10"/>
    <w:rsid w:val="00144712"/>
    <w:rsid w:val="001472C1"/>
    <w:rsid w:val="00150844"/>
    <w:rsid w:val="001529D8"/>
    <w:rsid w:val="00156185"/>
    <w:rsid w:val="00156F74"/>
    <w:rsid w:val="00157806"/>
    <w:rsid w:val="00157D64"/>
    <w:rsid w:val="0016028F"/>
    <w:rsid w:val="00161AA2"/>
    <w:rsid w:val="0016291C"/>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76578"/>
    <w:rsid w:val="002805F1"/>
    <w:rsid w:val="00286EB4"/>
    <w:rsid w:val="002874A2"/>
    <w:rsid w:val="002921E2"/>
    <w:rsid w:val="0029566D"/>
    <w:rsid w:val="00295F4B"/>
    <w:rsid w:val="002A00AC"/>
    <w:rsid w:val="002A00E8"/>
    <w:rsid w:val="002A0792"/>
    <w:rsid w:val="002A1D5F"/>
    <w:rsid w:val="002A2E6C"/>
    <w:rsid w:val="002A663E"/>
    <w:rsid w:val="002B070A"/>
    <w:rsid w:val="002B0F20"/>
    <w:rsid w:val="002B14B7"/>
    <w:rsid w:val="002B297F"/>
    <w:rsid w:val="002B38A8"/>
    <w:rsid w:val="002B5E9F"/>
    <w:rsid w:val="002B6BA0"/>
    <w:rsid w:val="002C05FF"/>
    <w:rsid w:val="002C19EA"/>
    <w:rsid w:val="002C3EA5"/>
    <w:rsid w:val="002C480F"/>
    <w:rsid w:val="002C56C9"/>
    <w:rsid w:val="002C7487"/>
    <w:rsid w:val="002C7586"/>
    <w:rsid w:val="002D1923"/>
    <w:rsid w:val="002D3BD3"/>
    <w:rsid w:val="002D48D1"/>
    <w:rsid w:val="002D5B56"/>
    <w:rsid w:val="002D6612"/>
    <w:rsid w:val="002D7650"/>
    <w:rsid w:val="002E09B1"/>
    <w:rsid w:val="002E0A60"/>
    <w:rsid w:val="002E4277"/>
    <w:rsid w:val="002E4E72"/>
    <w:rsid w:val="002E5303"/>
    <w:rsid w:val="002E5910"/>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5A67"/>
    <w:rsid w:val="00306B80"/>
    <w:rsid w:val="00307038"/>
    <w:rsid w:val="00310492"/>
    <w:rsid w:val="00313238"/>
    <w:rsid w:val="003132BE"/>
    <w:rsid w:val="00320577"/>
    <w:rsid w:val="0032266D"/>
    <w:rsid w:val="00323FAE"/>
    <w:rsid w:val="00325E2F"/>
    <w:rsid w:val="003265DB"/>
    <w:rsid w:val="003269A9"/>
    <w:rsid w:val="00327DF9"/>
    <w:rsid w:val="0033073E"/>
    <w:rsid w:val="00331533"/>
    <w:rsid w:val="0033240F"/>
    <w:rsid w:val="00333875"/>
    <w:rsid w:val="0033604C"/>
    <w:rsid w:val="003407F0"/>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E05"/>
    <w:rsid w:val="00375692"/>
    <w:rsid w:val="00375DB6"/>
    <w:rsid w:val="00377691"/>
    <w:rsid w:val="0038012F"/>
    <w:rsid w:val="00380BAB"/>
    <w:rsid w:val="00381A0E"/>
    <w:rsid w:val="0038751C"/>
    <w:rsid w:val="0038778B"/>
    <w:rsid w:val="00394451"/>
    <w:rsid w:val="0039584A"/>
    <w:rsid w:val="00395F8B"/>
    <w:rsid w:val="0039625A"/>
    <w:rsid w:val="00396E93"/>
    <w:rsid w:val="003A46F7"/>
    <w:rsid w:val="003A4828"/>
    <w:rsid w:val="003A64CB"/>
    <w:rsid w:val="003A6622"/>
    <w:rsid w:val="003A673F"/>
    <w:rsid w:val="003B145D"/>
    <w:rsid w:val="003B4678"/>
    <w:rsid w:val="003B4F77"/>
    <w:rsid w:val="003B502C"/>
    <w:rsid w:val="003C4723"/>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125B"/>
    <w:rsid w:val="003F2DDE"/>
    <w:rsid w:val="003F314F"/>
    <w:rsid w:val="003F4721"/>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3889"/>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C0B"/>
    <w:rsid w:val="00487D31"/>
    <w:rsid w:val="00490000"/>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C38EA"/>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50E"/>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3B3"/>
    <w:rsid w:val="00561787"/>
    <w:rsid w:val="0056193C"/>
    <w:rsid w:val="00561EF9"/>
    <w:rsid w:val="0056487A"/>
    <w:rsid w:val="005650CD"/>
    <w:rsid w:val="00566AE8"/>
    <w:rsid w:val="005670EC"/>
    <w:rsid w:val="00567328"/>
    <w:rsid w:val="0057067D"/>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1BC"/>
    <w:rsid w:val="005A1468"/>
    <w:rsid w:val="005A4536"/>
    <w:rsid w:val="005A5AF2"/>
    <w:rsid w:val="005A742F"/>
    <w:rsid w:val="005A7C78"/>
    <w:rsid w:val="005B0873"/>
    <w:rsid w:val="005B4F6C"/>
    <w:rsid w:val="005B5A67"/>
    <w:rsid w:val="005B7055"/>
    <w:rsid w:val="005C03FC"/>
    <w:rsid w:val="005C4763"/>
    <w:rsid w:val="005C4DB7"/>
    <w:rsid w:val="005C5DC8"/>
    <w:rsid w:val="005C661E"/>
    <w:rsid w:val="005C7258"/>
    <w:rsid w:val="005D1E9E"/>
    <w:rsid w:val="005D4029"/>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42BD"/>
    <w:rsid w:val="00685904"/>
    <w:rsid w:val="00685FFE"/>
    <w:rsid w:val="00686729"/>
    <w:rsid w:val="00686CAC"/>
    <w:rsid w:val="00686D5A"/>
    <w:rsid w:val="00687871"/>
    <w:rsid w:val="00693247"/>
    <w:rsid w:val="0069336E"/>
    <w:rsid w:val="00694174"/>
    <w:rsid w:val="00697D60"/>
    <w:rsid w:val="006A085E"/>
    <w:rsid w:val="006A27BC"/>
    <w:rsid w:val="006A27D6"/>
    <w:rsid w:val="006A3A42"/>
    <w:rsid w:val="006A41B4"/>
    <w:rsid w:val="006A5FD7"/>
    <w:rsid w:val="006A62B0"/>
    <w:rsid w:val="006B143E"/>
    <w:rsid w:val="006B30E3"/>
    <w:rsid w:val="006B5E72"/>
    <w:rsid w:val="006B6205"/>
    <w:rsid w:val="006C058F"/>
    <w:rsid w:val="006C275F"/>
    <w:rsid w:val="006C28A6"/>
    <w:rsid w:val="006C3252"/>
    <w:rsid w:val="006C7A04"/>
    <w:rsid w:val="006D158F"/>
    <w:rsid w:val="006D1B83"/>
    <w:rsid w:val="006D1BE7"/>
    <w:rsid w:val="006D5C98"/>
    <w:rsid w:val="006D6FCC"/>
    <w:rsid w:val="006E0A9F"/>
    <w:rsid w:val="006E12D5"/>
    <w:rsid w:val="006E26E8"/>
    <w:rsid w:val="006E375F"/>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7CD"/>
    <w:rsid w:val="00712A93"/>
    <w:rsid w:val="00714CF1"/>
    <w:rsid w:val="00715CEB"/>
    <w:rsid w:val="00717A58"/>
    <w:rsid w:val="00722924"/>
    <w:rsid w:val="00723D30"/>
    <w:rsid w:val="00723F1A"/>
    <w:rsid w:val="00726974"/>
    <w:rsid w:val="007306BB"/>
    <w:rsid w:val="007319AD"/>
    <w:rsid w:val="00732257"/>
    <w:rsid w:val="007400EB"/>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06D"/>
    <w:rsid w:val="007C0579"/>
    <w:rsid w:val="007C0E7E"/>
    <w:rsid w:val="007C10CC"/>
    <w:rsid w:val="007C1DB7"/>
    <w:rsid w:val="007C250E"/>
    <w:rsid w:val="007C2CD7"/>
    <w:rsid w:val="007D009C"/>
    <w:rsid w:val="007D2162"/>
    <w:rsid w:val="007D5A53"/>
    <w:rsid w:val="007D62D9"/>
    <w:rsid w:val="007D73C9"/>
    <w:rsid w:val="007E1FB4"/>
    <w:rsid w:val="007E28C1"/>
    <w:rsid w:val="007F0840"/>
    <w:rsid w:val="007F2086"/>
    <w:rsid w:val="007F67A7"/>
    <w:rsid w:val="007F6F0A"/>
    <w:rsid w:val="007F7ECA"/>
    <w:rsid w:val="0080061B"/>
    <w:rsid w:val="00800773"/>
    <w:rsid w:val="00801004"/>
    <w:rsid w:val="0080111C"/>
    <w:rsid w:val="00801EFD"/>
    <w:rsid w:val="00804B85"/>
    <w:rsid w:val="008058BC"/>
    <w:rsid w:val="00806D7C"/>
    <w:rsid w:val="00807854"/>
    <w:rsid w:val="00810899"/>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3684B"/>
    <w:rsid w:val="00841EAB"/>
    <w:rsid w:val="00844977"/>
    <w:rsid w:val="00844B97"/>
    <w:rsid w:val="00844E05"/>
    <w:rsid w:val="00845BB4"/>
    <w:rsid w:val="008464F9"/>
    <w:rsid w:val="00847302"/>
    <w:rsid w:val="00847BF3"/>
    <w:rsid w:val="00852A15"/>
    <w:rsid w:val="00853D0B"/>
    <w:rsid w:val="00854B16"/>
    <w:rsid w:val="00854BCA"/>
    <w:rsid w:val="00855A43"/>
    <w:rsid w:val="008561BF"/>
    <w:rsid w:val="00861E25"/>
    <w:rsid w:val="008633B6"/>
    <w:rsid w:val="00864091"/>
    <w:rsid w:val="00866481"/>
    <w:rsid w:val="0087076A"/>
    <w:rsid w:val="00870853"/>
    <w:rsid w:val="008731E4"/>
    <w:rsid w:val="008745D6"/>
    <w:rsid w:val="00874DCA"/>
    <w:rsid w:val="008756B2"/>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534"/>
    <w:rsid w:val="0090479F"/>
    <w:rsid w:val="00904BFC"/>
    <w:rsid w:val="00906692"/>
    <w:rsid w:val="00906853"/>
    <w:rsid w:val="00906CF8"/>
    <w:rsid w:val="009073CB"/>
    <w:rsid w:val="0090752A"/>
    <w:rsid w:val="00910805"/>
    <w:rsid w:val="00911A42"/>
    <w:rsid w:val="00911B26"/>
    <w:rsid w:val="00911B83"/>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6B79"/>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5C75"/>
    <w:rsid w:val="009D1C23"/>
    <w:rsid w:val="009D2A29"/>
    <w:rsid w:val="009D417F"/>
    <w:rsid w:val="009D59DE"/>
    <w:rsid w:val="009E1362"/>
    <w:rsid w:val="009E1848"/>
    <w:rsid w:val="009E1BC1"/>
    <w:rsid w:val="009E1F6B"/>
    <w:rsid w:val="009E3E77"/>
    <w:rsid w:val="009E4DF2"/>
    <w:rsid w:val="009E6D60"/>
    <w:rsid w:val="009F0FBF"/>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172B2"/>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7D62"/>
    <w:rsid w:val="00A53CDD"/>
    <w:rsid w:val="00A53EE6"/>
    <w:rsid w:val="00A5538A"/>
    <w:rsid w:val="00A564AE"/>
    <w:rsid w:val="00A57A4A"/>
    <w:rsid w:val="00A57C0E"/>
    <w:rsid w:val="00A60595"/>
    <w:rsid w:val="00A614EB"/>
    <w:rsid w:val="00A62886"/>
    <w:rsid w:val="00A63E79"/>
    <w:rsid w:val="00A6719E"/>
    <w:rsid w:val="00A672B2"/>
    <w:rsid w:val="00A74C51"/>
    <w:rsid w:val="00A77682"/>
    <w:rsid w:val="00A77957"/>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7830"/>
    <w:rsid w:val="00AD1557"/>
    <w:rsid w:val="00AD35F3"/>
    <w:rsid w:val="00AD44E9"/>
    <w:rsid w:val="00AD4CAC"/>
    <w:rsid w:val="00AD528F"/>
    <w:rsid w:val="00AD6760"/>
    <w:rsid w:val="00AD6EB3"/>
    <w:rsid w:val="00AD741D"/>
    <w:rsid w:val="00AD751D"/>
    <w:rsid w:val="00AD791C"/>
    <w:rsid w:val="00AE02FA"/>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6F6C"/>
    <w:rsid w:val="00B17D70"/>
    <w:rsid w:val="00B22AD7"/>
    <w:rsid w:val="00B22D31"/>
    <w:rsid w:val="00B22E46"/>
    <w:rsid w:val="00B27853"/>
    <w:rsid w:val="00B27CDB"/>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4EF8"/>
    <w:rsid w:val="00B7669D"/>
    <w:rsid w:val="00B766D9"/>
    <w:rsid w:val="00B80A28"/>
    <w:rsid w:val="00B82D73"/>
    <w:rsid w:val="00B84A2C"/>
    <w:rsid w:val="00B871D6"/>
    <w:rsid w:val="00B87A02"/>
    <w:rsid w:val="00B96204"/>
    <w:rsid w:val="00B97827"/>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4C15"/>
    <w:rsid w:val="00BF6EF7"/>
    <w:rsid w:val="00C044CF"/>
    <w:rsid w:val="00C0782F"/>
    <w:rsid w:val="00C11F50"/>
    <w:rsid w:val="00C12603"/>
    <w:rsid w:val="00C12C7C"/>
    <w:rsid w:val="00C131FD"/>
    <w:rsid w:val="00C15322"/>
    <w:rsid w:val="00C16DA8"/>
    <w:rsid w:val="00C17352"/>
    <w:rsid w:val="00C21959"/>
    <w:rsid w:val="00C30A7D"/>
    <w:rsid w:val="00C31169"/>
    <w:rsid w:val="00C3169F"/>
    <w:rsid w:val="00C318F6"/>
    <w:rsid w:val="00C325D1"/>
    <w:rsid w:val="00C37522"/>
    <w:rsid w:val="00C42EFD"/>
    <w:rsid w:val="00C43D8B"/>
    <w:rsid w:val="00C44042"/>
    <w:rsid w:val="00C46AF0"/>
    <w:rsid w:val="00C52956"/>
    <w:rsid w:val="00C53AE1"/>
    <w:rsid w:val="00C53CAD"/>
    <w:rsid w:val="00C54893"/>
    <w:rsid w:val="00C560A1"/>
    <w:rsid w:val="00C56E9E"/>
    <w:rsid w:val="00C56EB6"/>
    <w:rsid w:val="00C571E2"/>
    <w:rsid w:val="00C613B0"/>
    <w:rsid w:val="00C63FC8"/>
    <w:rsid w:val="00C64F57"/>
    <w:rsid w:val="00C65D21"/>
    <w:rsid w:val="00C66E11"/>
    <w:rsid w:val="00C6789D"/>
    <w:rsid w:val="00C71A97"/>
    <w:rsid w:val="00C72FFE"/>
    <w:rsid w:val="00C73FFD"/>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1F7"/>
    <w:rsid w:val="00CB0797"/>
    <w:rsid w:val="00CB21FF"/>
    <w:rsid w:val="00CB5CAE"/>
    <w:rsid w:val="00CB644C"/>
    <w:rsid w:val="00CB78ED"/>
    <w:rsid w:val="00CC0004"/>
    <w:rsid w:val="00CC4E55"/>
    <w:rsid w:val="00CC550E"/>
    <w:rsid w:val="00CC5AC6"/>
    <w:rsid w:val="00CC60C1"/>
    <w:rsid w:val="00CD0DCE"/>
    <w:rsid w:val="00CD1628"/>
    <w:rsid w:val="00CD1D27"/>
    <w:rsid w:val="00CD27B7"/>
    <w:rsid w:val="00CD3807"/>
    <w:rsid w:val="00CD3AE7"/>
    <w:rsid w:val="00CD3C10"/>
    <w:rsid w:val="00CD5194"/>
    <w:rsid w:val="00CD5981"/>
    <w:rsid w:val="00CD6B3D"/>
    <w:rsid w:val="00CD79FA"/>
    <w:rsid w:val="00CE10E6"/>
    <w:rsid w:val="00CE34DE"/>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3DE4"/>
    <w:rsid w:val="00D23F50"/>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2AC"/>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84D"/>
    <w:rsid w:val="00DB5F2B"/>
    <w:rsid w:val="00DB74AF"/>
    <w:rsid w:val="00DC1AB8"/>
    <w:rsid w:val="00DC5C19"/>
    <w:rsid w:val="00DC7068"/>
    <w:rsid w:val="00DD0411"/>
    <w:rsid w:val="00DD265A"/>
    <w:rsid w:val="00DD6B9B"/>
    <w:rsid w:val="00DE07A1"/>
    <w:rsid w:val="00DE21A2"/>
    <w:rsid w:val="00DE2776"/>
    <w:rsid w:val="00DE3455"/>
    <w:rsid w:val="00DE3B11"/>
    <w:rsid w:val="00DE6A98"/>
    <w:rsid w:val="00DE7183"/>
    <w:rsid w:val="00DF1DAC"/>
    <w:rsid w:val="00DF2165"/>
    <w:rsid w:val="00DF4094"/>
    <w:rsid w:val="00DF5A24"/>
    <w:rsid w:val="00DF60E6"/>
    <w:rsid w:val="00DF6105"/>
    <w:rsid w:val="00DF659E"/>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435"/>
    <w:rsid w:val="00E37194"/>
    <w:rsid w:val="00E3788B"/>
    <w:rsid w:val="00E40C6A"/>
    <w:rsid w:val="00E410B7"/>
    <w:rsid w:val="00E41475"/>
    <w:rsid w:val="00E42B4D"/>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67B0"/>
    <w:rsid w:val="00E67390"/>
    <w:rsid w:val="00E71365"/>
    <w:rsid w:val="00E74904"/>
    <w:rsid w:val="00E770A4"/>
    <w:rsid w:val="00E8097A"/>
    <w:rsid w:val="00E81192"/>
    <w:rsid w:val="00E81556"/>
    <w:rsid w:val="00E83B51"/>
    <w:rsid w:val="00E8626C"/>
    <w:rsid w:val="00E8663B"/>
    <w:rsid w:val="00E86BDE"/>
    <w:rsid w:val="00E8762F"/>
    <w:rsid w:val="00E90171"/>
    <w:rsid w:val="00E90AB8"/>
    <w:rsid w:val="00E919D9"/>
    <w:rsid w:val="00E921C1"/>
    <w:rsid w:val="00E93C8B"/>
    <w:rsid w:val="00E93D8F"/>
    <w:rsid w:val="00E9531E"/>
    <w:rsid w:val="00E95E41"/>
    <w:rsid w:val="00E95E4C"/>
    <w:rsid w:val="00E977CE"/>
    <w:rsid w:val="00E97E05"/>
    <w:rsid w:val="00EA0456"/>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1C96"/>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601A"/>
    <w:rsid w:val="00F26701"/>
    <w:rsid w:val="00F310D7"/>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5F7D"/>
    <w:rsid w:val="00F77822"/>
    <w:rsid w:val="00F838B6"/>
    <w:rsid w:val="00F83B0D"/>
    <w:rsid w:val="00F83C31"/>
    <w:rsid w:val="00F84CCC"/>
    <w:rsid w:val="00F85F05"/>
    <w:rsid w:val="00F86AD1"/>
    <w:rsid w:val="00F9025C"/>
    <w:rsid w:val="00F9222A"/>
    <w:rsid w:val="00F922EA"/>
    <w:rsid w:val="00F92927"/>
    <w:rsid w:val="00F949E0"/>
    <w:rsid w:val="00F94F0F"/>
    <w:rsid w:val="00F971D3"/>
    <w:rsid w:val="00F979B3"/>
    <w:rsid w:val="00F97CCD"/>
    <w:rsid w:val="00FA320D"/>
    <w:rsid w:val="00FA362B"/>
    <w:rsid w:val="00FA53E9"/>
    <w:rsid w:val="00FA60EC"/>
    <w:rsid w:val="00FB04E9"/>
    <w:rsid w:val="00FB1179"/>
    <w:rsid w:val="00FB1C6B"/>
    <w:rsid w:val="00FB3361"/>
    <w:rsid w:val="00FB3CAA"/>
    <w:rsid w:val="00FB42B4"/>
    <w:rsid w:val="00FB4841"/>
    <w:rsid w:val="00FB53EC"/>
    <w:rsid w:val="00FB6C94"/>
    <w:rsid w:val="00FB7F8B"/>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60BB6D98"/>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5330702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01610572">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061558441">
      <w:bodyDiv w:val="1"/>
      <w:marLeft w:val="0"/>
      <w:marRight w:val="0"/>
      <w:marTop w:val="0"/>
      <w:marBottom w:val="0"/>
      <w:divBdr>
        <w:top w:val="none" w:sz="0" w:space="0" w:color="auto"/>
        <w:left w:val="none" w:sz="0" w:space="0" w:color="auto"/>
        <w:bottom w:val="none" w:sz="0" w:space="0" w:color="auto"/>
        <w:right w:val="none" w:sz="0" w:space="0" w:color="auto"/>
      </w:divBdr>
    </w:div>
    <w:div w:id="112442291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22768054">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6/pdf/00328957.pdf" TargetMode="External"/><Relationship Id="rId13" Type="http://schemas.openxmlformats.org/officeDocument/2006/relationships/hyperlink" Target="http://www1.tce.pr.gov.br/multimidia/2018/6/pdf/00328819.pdf" TargetMode="External"/><Relationship Id="rId18" Type="http://schemas.openxmlformats.org/officeDocument/2006/relationships/hyperlink" Target="http://www1.tce.pr.gov.br/multimidia/2018/7/pdf/00329117.pdf" TargetMode="External"/><Relationship Id="rId26" Type="http://schemas.openxmlformats.org/officeDocument/2006/relationships/hyperlink" Target="https://contas.tcu.gov.br/sagas/SvlVisualizarRelVotoAcRtf?codFiltro=SAGAS-SESSAO-ENCERRADA&amp;seOcultaPagina=S&amp;item0=62087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multimidia/2018/7/pdf/00329181.pdf" TargetMode="External"/><Relationship Id="rId34"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www1.tce.pr.gov.br/multimidia/2018/6/pdf/00329030.pdf" TargetMode="External"/><Relationship Id="rId17" Type="http://schemas.openxmlformats.org/officeDocument/2006/relationships/hyperlink" Target="http://www1.tce.pr.gov.br/multimidia/2018/7/pdf/00329792.pdf" TargetMode="External"/><Relationship Id="rId25" Type="http://schemas.openxmlformats.org/officeDocument/2006/relationships/hyperlink" Target="http://www.planalto.gov.br/ccivil_03/Leis/lcp/lcp123.htm" TargetMode="External"/><Relationship Id="rId33" Type="http://schemas.openxmlformats.org/officeDocument/2006/relationships/hyperlink" Target="http://www1.tce.pr.gov.br/conteudo/teses-ambientais/316603/area/24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tce.pr.gov.br/multimidia/2018/7/pdf/00329793.pdf" TargetMode="External"/><Relationship Id="rId20" Type="http://schemas.openxmlformats.org/officeDocument/2006/relationships/hyperlink" Target="http://www1.tce.pr.gov.br/multimidia/2018/6/pdf/00328933.pdf" TargetMode="External"/><Relationship Id="rId29" Type="http://schemas.openxmlformats.org/officeDocument/2006/relationships/hyperlink" Target="https://contas.tcu.gov.br/sagas/SvlVisualizarRelVotoAcRtf?codFiltro=SAGAS-SESSAO-ENCERRADA&amp;seOcultaPagina=S&amp;item0=6158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7/pdf/00329122.pdf" TargetMode="External"/><Relationship Id="rId24" Type="http://schemas.openxmlformats.org/officeDocument/2006/relationships/hyperlink" Target="https://contas.tcu.gov.br/sagas/SvlVisualizarRelVotoAcRtf?codFiltro=SAGAS-SESSAO-ENCERRADA&amp;seOcultaPagina=S&amp;item0=623545" TargetMode="External"/><Relationship Id="rId32" Type="http://schemas.openxmlformats.org/officeDocument/2006/relationships/hyperlink" Target="http://www1.tce.pr.gov.br/conteudo/pesquisas-prontas/308475/area/24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8/6/pdf/00328946.pdf" TargetMode="External"/><Relationship Id="rId23" Type="http://schemas.openxmlformats.org/officeDocument/2006/relationships/hyperlink" Target="https://contas.tcu.gov.br/sagas/SvlVisualizarRelVotoAcRtf?codFiltro=SAGAS-SESSAO-ENCERRADA&amp;seOcultaPagina=S&amp;item0=623578" TargetMode="External"/><Relationship Id="rId28" Type="http://schemas.openxmlformats.org/officeDocument/2006/relationships/hyperlink" Target="https://contas.tcu.gov.br/sagas/SvlVisualizarRelVotoAcRtf?codFiltro=SAGAS-SESSAO-ENCERRADA&amp;seOcultaPagina=S&amp;item0=623591" TargetMode="External"/><Relationship Id="rId36" Type="http://schemas.openxmlformats.org/officeDocument/2006/relationships/hyperlink" Target="http://www1.tce.pr.gov.br/conteudo/sumulas-selecionadas/316602/area/249" TargetMode="External"/><Relationship Id="rId10" Type="http://schemas.openxmlformats.org/officeDocument/2006/relationships/hyperlink" Target="http://www1.tce.pr.gov.br/multimidia/2018/7/pdf/00329130.pdf" TargetMode="External"/><Relationship Id="rId19" Type="http://schemas.openxmlformats.org/officeDocument/2006/relationships/hyperlink" Target="http://www1.tce.pr.gov.br/multimidia/2018/6/pdf/00328817.pdf" TargetMode="External"/><Relationship Id="rId31" Type="http://schemas.openxmlformats.org/officeDocument/2006/relationships/hyperlink" Target="https://contas.tcu.gov.br/sagas/SvlVisualizarRelVotoAcRtf?codFiltro=SAGAS-SESSAO-ENCERRADA&amp;seOcultaPagina=S&amp;item0=614729" TargetMode="External"/><Relationship Id="rId4" Type="http://schemas.openxmlformats.org/officeDocument/2006/relationships/settings" Target="settings.xml"/><Relationship Id="rId9" Type="http://schemas.openxmlformats.org/officeDocument/2006/relationships/hyperlink" Target="http://www1.tce.pr.gov.br/multimidia/2018/7/pdf/00329132.pdf" TargetMode="External"/><Relationship Id="rId14" Type="http://schemas.openxmlformats.org/officeDocument/2006/relationships/hyperlink" Target="http://www1.tce.pr.gov.br/multimidia/2018/6/pdf/00328950.pdf" TargetMode="External"/><Relationship Id="rId22" Type="http://schemas.openxmlformats.org/officeDocument/2006/relationships/hyperlink" Target="https://contas.tcu.gov.br/sagas/SvlVisualizarRelVotoAcRtf?codFiltro=SAGAS-SESSAO-ENCERRADA&amp;seOcultaPagina=S&amp;item0=623612" TargetMode="External"/><Relationship Id="rId27" Type="http://schemas.openxmlformats.org/officeDocument/2006/relationships/hyperlink" Target="https://contas.tcu.gov.br/sagas/SvlVisualizarRelVotoAcRtf?codFiltro=SAGAS-SESSAO-ENCERRADA&amp;seOcultaPagina=S&amp;item0=622838" TargetMode="External"/><Relationship Id="rId30" Type="http://schemas.openxmlformats.org/officeDocument/2006/relationships/hyperlink" Target="https://contas.tcu.gov.br/sagas/SvlVisualizarRelVotoAcRtf?codFiltro=SAGAS-SESSAO-ENCERRADA&amp;seOcultaPagina=S&amp;item0=622223" TargetMode="External"/><Relationship Id="rId35" Type="http://schemas.openxmlformats.org/officeDocument/2006/relationships/hyperlink" Target="http://www1.tce.pr.gov.br/conteudo/repercussao-geral-no-stf-e-os-tribunais-de-contas/307026/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611D9-B267-4D16-8CAB-3E346146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12</Pages>
  <Words>4614</Words>
  <Characters>24920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268</cp:revision>
  <cp:lastPrinted>2018-08-06T15:28:00Z</cp:lastPrinted>
  <dcterms:created xsi:type="dcterms:W3CDTF">2017-07-10T20:45:00Z</dcterms:created>
  <dcterms:modified xsi:type="dcterms:W3CDTF">2018-08-06T15:28:00Z</dcterms:modified>
</cp:coreProperties>
</file>