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12F" w:rsidRPr="0022060B" w:rsidRDefault="0038012F" w:rsidP="00816942">
      <w:pPr>
        <w:pStyle w:val="Cabealho"/>
        <w:spacing w:line="276" w:lineRule="auto"/>
        <w:jc w:val="center"/>
        <w:rPr>
          <w:rFonts w:ascii="Arial" w:hAnsi="Arial" w:cs="Arial"/>
          <w:sz w:val="20"/>
          <w:szCs w:val="20"/>
        </w:rPr>
      </w:pPr>
      <w:r w:rsidRPr="0022060B">
        <w:rPr>
          <w:rFonts w:ascii="Arial" w:hAnsi="Arial" w:cs="Arial"/>
          <w:b/>
          <w:sz w:val="20"/>
          <w:szCs w:val="20"/>
        </w:rPr>
        <w:t>Boletim de Jurisprudência TCE/PR</w:t>
      </w:r>
      <w:r w:rsidRPr="0022060B">
        <w:rPr>
          <w:rFonts w:ascii="Arial" w:hAnsi="Arial" w:cs="Arial"/>
          <w:sz w:val="20"/>
          <w:szCs w:val="20"/>
        </w:rPr>
        <w:t xml:space="preserve"> </w:t>
      </w:r>
    </w:p>
    <w:p w:rsidR="00814325" w:rsidRDefault="00814325" w:rsidP="00816942">
      <w:pPr>
        <w:spacing w:after="0"/>
        <w:jc w:val="center"/>
        <w:rPr>
          <w:rFonts w:ascii="Arial" w:hAnsi="Arial" w:cs="Arial"/>
          <w:b/>
          <w:sz w:val="20"/>
          <w:szCs w:val="20"/>
        </w:rPr>
      </w:pPr>
    </w:p>
    <w:p w:rsidR="001B5F7A" w:rsidRDefault="001B5F7A" w:rsidP="00816942">
      <w:pPr>
        <w:spacing w:after="0"/>
        <w:jc w:val="center"/>
        <w:rPr>
          <w:rFonts w:ascii="Arial" w:hAnsi="Arial" w:cs="Arial"/>
          <w:b/>
          <w:sz w:val="20"/>
          <w:szCs w:val="20"/>
        </w:rPr>
      </w:pPr>
      <w:r w:rsidRPr="0022060B">
        <w:rPr>
          <w:rFonts w:ascii="Arial" w:hAnsi="Arial" w:cs="Arial"/>
          <w:b/>
          <w:sz w:val="20"/>
          <w:szCs w:val="20"/>
        </w:rPr>
        <w:t xml:space="preserve">Número </w:t>
      </w:r>
      <w:r w:rsidR="00407537">
        <w:rPr>
          <w:rFonts w:ascii="Arial" w:hAnsi="Arial" w:cs="Arial"/>
          <w:b/>
          <w:sz w:val="20"/>
          <w:szCs w:val="20"/>
        </w:rPr>
        <w:t>30</w:t>
      </w:r>
    </w:p>
    <w:p w:rsidR="006F08D4" w:rsidRPr="0022060B" w:rsidRDefault="006F08D4" w:rsidP="00816942">
      <w:pPr>
        <w:spacing w:after="0"/>
        <w:jc w:val="center"/>
        <w:rPr>
          <w:rFonts w:ascii="Arial" w:hAnsi="Arial" w:cs="Arial"/>
          <w:b/>
          <w:sz w:val="20"/>
          <w:szCs w:val="20"/>
        </w:rPr>
      </w:pPr>
    </w:p>
    <w:p w:rsidR="001B5F7A" w:rsidRPr="0022060B" w:rsidRDefault="001B5F7A" w:rsidP="00816942">
      <w:pPr>
        <w:spacing w:after="0"/>
        <w:jc w:val="center"/>
        <w:rPr>
          <w:rFonts w:ascii="Arial" w:hAnsi="Arial" w:cs="Arial"/>
          <w:b/>
          <w:sz w:val="20"/>
          <w:szCs w:val="20"/>
        </w:rPr>
      </w:pPr>
      <w:r w:rsidRPr="00AC3304">
        <w:rPr>
          <w:rFonts w:ascii="Arial" w:hAnsi="Arial" w:cs="Arial"/>
          <w:b/>
          <w:sz w:val="20"/>
          <w:szCs w:val="20"/>
        </w:rPr>
        <w:t xml:space="preserve">Sessões: </w:t>
      </w:r>
      <w:r w:rsidR="00BD1101" w:rsidRPr="00AC3304">
        <w:rPr>
          <w:rFonts w:ascii="Arial" w:hAnsi="Arial" w:cs="Arial"/>
          <w:b/>
          <w:sz w:val="20"/>
          <w:szCs w:val="20"/>
        </w:rPr>
        <w:t>0</w:t>
      </w:r>
      <w:r w:rsidR="00AC3304">
        <w:rPr>
          <w:rFonts w:ascii="Arial" w:hAnsi="Arial" w:cs="Arial"/>
          <w:b/>
          <w:sz w:val="20"/>
          <w:szCs w:val="20"/>
        </w:rPr>
        <w:t>6</w:t>
      </w:r>
      <w:r w:rsidR="00814325" w:rsidRPr="00AC3304">
        <w:rPr>
          <w:rFonts w:ascii="Arial" w:hAnsi="Arial" w:cs="Arial"/>
          <w:b/>
          <w:sz w:val="20"/>
          <w:szCs w:val="20"/>
        </w:rPr>
        <w:t>.</w:t>
      </w:r>
      <w:r w:rsidR="00AC3304">
        <w:rPr>
          <w:rFonts w:ascii="Arial" w:hAnsi="Arial" w:cs="Arial"/>
          <w:b/>
          <w:sz w:val="20"/>
          <w:szCs w:val="20"/>
        </w:rPr>
        <w:t>0</w:t>
      </w:r>
      <w:r w:rsidR="00BD1101" w:rsidRPr="00AC3304">
        <w:rPr>
          <w:rFonts w:ascii="Arial" w:hAnsi="Arial" w:cs="Arial"/>
          <w:b/>
          <w:sz w:val="20"/>
          <w:szCs w:val="20"/>
        </w:rPr>
        <w:t>2</w:t>
      </w:r>
      <w:r w:rsidR="005A0FD0" w:rsidRPr="00AC3304">
        <w:rPr>
          <w:rFonts w:ascii="Arial" w:hAnsi="Arial" w:cs="Arial"/>
          <w:b/>
          <w:sz w:val="20"/>
          <w:szCs w:val="20"/>
        </w:rPr>
        <w:t xml:space="preserve"> </w:t>
      </w:r>
      <w:r w:rsidR="000D4DE6" w:rsidRPr="00AC3304">
        <w:rPr>
          <w:rFonts w:ascii="Arial" w:hAnsi="Arial" w:cs="Arial"/>
          <w:b/>
          <w:sz w:val="20"/>
          <w:szCs w:val="20"/>
        </w:rPr>
        <w:t>a</w:t>
      </w:r>
      <w:r w:rsidRPr="00AC3304">
        <w:rPr>
          <w:rFonts w:ascii="Arial" w:hAnsi="Arial" w:cs="Arial"/>
          <w:b/>
          <w:sz w:val="20"/>
          <w:szCs w:val="20"/>
        </w:rPr>
        <w:t xml:space="preserve"> </w:t>
      </w:r>
      <w:r w:rsidR="00AC3304">
        <w:rPr>
          <w:rFonts w:ascii="Arial" w:hAnsi="Arial" w:cs="Arial"/>
          <w:b/>
          <w:sz w:val="20"/>
          <w:szCs w:val="20"/>
        </w:rPr>
        <w:t>22</w:t>
      </w:r>
      <w:r w:rsidR="005A0FD0" w:rsidRPr="00AC3304">
        <w:rPr>
          <w:rFonts w:ascii="Arial" w:hAnsi="Arial" w:cs="Arial"/>
          <w:b/>
          <w:sz w:val="20"/>
          <w:szCs w:val="20"/>
        </w:rPr>
        <w:t>.</w:t>
      </w:r>
      <w:r w:rsidR="00AC3304">
        <w:rPr>
          <w:rFonts w:ascii="Arial" w:hAnsi="Arial" w:cs="Arial"/>
          <w:b/>
          <w:sz w:val="20"/>
          <w:szCs w:val="20"/>
        </w:rPr>
        <w:t>0</w:t>
      </w:r>
      <w:r w:rsidR="00BD1101" w:rsidRPr="00AC3304">
        <w:rPr>
          <w:rFonts w:ascii="Arial" w:hAnsi="Arial" w:cs="Arial"/>
          <w:b/>
          <w:sz w:val="20"/>
          <w:szCs w:val="20"/>
        </w:rPr>
        <w:t>2</w:t>
      </w:r>
      <w:r w:rsidRPr="00AC3304">
        <w:rPr>
          <w:rFonts w:ascii="Arial" w:hAnsi="Arial" w:cs="Arial"/>
          <w:b/>
          <w:sz w:val="20"/>
          <w:szCs w:val="20"/>
        </w:rPr>
        <w:t xml:space="preserve"> de 201</w:t>
      </w:r>
      <w:r w:rsidR="00AC3304">
        <w:rPr>
          <w:rFonts w:ascii="Arial" w:hAnsi="Arial" w:cs="Arial"/>
          <w:b/>
          <w:sz w:val="20"/>
          <w:szCs w:val="20"/>
        </w:rPr>
        <w:t>8</w:t>
      </w:r>
    </w:p>
    <w:p w:rsidR="007436B5" w:rsidRDefault="007436B5" w:rsidP="00816942">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r w:rsidRPr="0022060B">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22060B">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22060B">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22060B">
        <w:rPr>
          <w:rFonts w:ascii="Arial" w:hAnsi="Arial" w:cs="Arial"/>
          <w:color w:val="212121"/>
          <w:sz w:val="20"/>
          <w:szCs w:val="20"/>
        </w:rPr>
        <w:t xml:space="preserve"> </w:t>
      </w:r>
      <w:r w:rsidRPr="0022060B">
        <w:rPr>
          <w:rFonts w:ascii="Arial" w:hAnsi="Arial" w:cs="Arial"/>
          <w:sz w:val="20"/>
          <w:szCs w:val="20"/>
        </w:rPr>
        <w:t>As informações aqui apresentadas não são repositórios oficiais de jurisprudência.</w:t>
      </w:r>
    </w:p>
    <w:p w:rsidR="00FE7B14" w:rsidRPr="0022060B" w:rsidRDefault="00FE7B14" w:rsidP="00816942">
      <w:pPr>
        <w:spacing w:after="0"/>
        <w:jc w:val="both"/>
        <w:rPr>
          <w:rFonts w:ascii="Arial" w:hAnsi="Arial" w:cs="Arial"/>
          <w:sz w:val="20"/>
          <w:szCs w:val="20"/>
        </w:rPr>
      </w:pPr>
    </w:p>
    <w:p w:rsidR="00FE7B14" w:rsidRPr="0022060B" w:rsidRDefault="00FE7B14" w:rsidP="00816942">
      <w:pPr>
        <w:spacing w:after="0"/>
        <w:jc w:val="both"/>
        <w:rPr>
          <w:rFonts w:ascii="Arial" w:hAnsi="Arial" w:cs="Arial"/>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60800" behindDoc="0" locked="0" layoutInCell="1" allowOverlap="1" wp14:anchorId="6B69DEB3" wp14:editId="579163A6">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C5B981" id="Conector reto 1"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rsidR="00AE4F42" w:rsidRPr="0022060B" w:rsidRDefault="00AE4F42" w:rsidP="005A132B">
      <w:pPr>
        <w:shd w:val="pct10" w:color="auto" w:fill="auto"/>
        <w:jc w:val="center"/>
        <w:rPr>
          <w:rFonts w:ascii="Arial" w:hAnsi="Arial" w:cs="Arial"/>
          <w:b/>
          <w:sz w:val="20"/>
          <w:szCs w:val="20"/>
        </w:rPr>
      </w:pPr>
      <w:r w:rsidRPr="0022060B">
        <w:rPr>
          <w:rFonts w:ascii="Arial" w:hAnsi="Arial" w:cs="Arial"/>
          <w:b/>
          <w:sz w:val="20"/>
          <w:szCs w:val="20"/>
        </w:rPr>
        <w:t>S</w:t>
      </w:r>
      <w:r w:rsidR="00221D15" w:rsidRPr="0022060B">
        <w:rPr>
          <w:rFonts w:ascii="Arial" w:hAnsi="Arial" w:cs="Arial"/>
          <w:b/>
          <w:sz w:val="20"/>
          <w:szCs w:val="20"/>
        </w:rPr>
        <w:t>U</w:t>
      </w:r>
      <w:r w:rsidRPr="0022060B">
        <w:rPr>
          <w:rFonts w:ascii="Arial" w:hAnsi="Arial" w:cs="Arial"/>
          <w:b/>
          <w:sz w:val="20"/>
          <w:szCs w:val="20"/>
        </w:rPr>
        <w:t>MÁRIO</w:t>
      </w:r>
    </w:p>
    <w:p w:rsidR="0003057F" w:rsidRPr="005D09DC" w:rsidRDefault="0003057F" w:rsidP="005A132B">
      <w:pPr>
        <w:pStyle w:val="PargrafodaLista"/>
        <w:tabs>
          <w:tab w:val="left" w:pos="284"/>
        </w:tabs>
        <w:spacing w:after="0"/>
        <w:ind w:left="0"/>
        <w:contextualSpacing w:val="0"/>
        <w:jc w:val="both"/>
        <w:rPr>
          <w:rFonts w:ascii="Arial" w:hAnsi="Arial" w:cs="Arial"/>
          <w:sz w:val="20"/>
          <w:szCs w:val="20"/>
        </w:rPr>
      </w:pPr>
      <w:r w:rsidRPr="005D09DC">
        <w:rPr>
          <w:rFonts w:ascii="Arial" w:hAnsi="Arial" w:cs="Arial"/>
          <w:sz w:val="20"/>
          <w:szCs w:val="20"/>
        </w:rPr>
        <w:t>1. Embargos de Declaração. Administração Pública. Concurso Público. Cadastro de Reserva. Ausência de vagas. Proibição.</w:t>
      </w:r>
    </w:p>
    <w:p w:rsidR="005A132B" w:rsidRDefault="005A132B" w:rsidP="005A132B">
      <w:pPr>
        <w:pStyle w:val="PargrafodaLista"/>
        <w:tabs>
          <w:tab w:val="left" w:pos="284"/>
        </w:tabs>
        <w:spacing w:after="0"/>
        <w:ind w:left="0"/>
        <w:contextualSpacing w:val="0"/>
        <w:jc w:val="both"/>
        <w:rPr>
          <w:rFonts w:ascii="Arial" w:hAnsi="Arial" w:cs="Arial"/>
          <w:sz w:val="20"/>
          <w:szCs w:val="20"/>
        </w:rPr>
      </w:pPr>
    </w:p>
    <w:p w:rsidR="0003057F" w:rsidRPr="005D09DC" w:rsidRDefault="0003057F" w:rsidP="005A132B">
      <w:pPr>
        <w:pStyle w:val="PargrafodaLista"/>
        <w:tabs>
          <w:tab w:val="left" w:pos="284"/>
        </w:tabs>
        <w:spacing w:after="0"/>
        <w:ind w:left="0"/>
        <w:contextualSpacing w:val="0"/>
        <w:jc w:val="both"/>
        <w:rPr>
          <w:rFonts w:ascii="Arial" w:hAnsi="Arial" w:cs="Arial"/>
          <w:sz w:val="20"/>
          <w:szCs w:val="20"/>
        </w:rPr>
      </w:pPr>
      <w:r w:rsidRPr="005D09DC">
        <w:rPr>
          <w:rFonts w:ascii="Arial" w:hAnsi="Arial" w:cs="Arial"/>
          <w:sz w:val="20"/>
          <w:szCs w:val="20"/>
        </w:rPr>
        <w:t xml:space="preserve">2. Prestação de Contas Anual.  Apontamentos de irregularidades pelo Controle Interno, entre elas, a contratação de assessoria contábil. Regularidade das contas com ressalvas e recomendação. </w:t>
      </w:r>
    </w:p>
    <w:p w:rsidR="0003057F" w:rsidRPr="005D09DC" w:rsidRDefault="0003057F" w:rsidP="005A132B">
      <w:pPr>
        <w:pStyle w:val="PargrafodaLista"/>
        <w:tabs>
          <w:tab w:val="left" w:pos="284"/>
        </w:tabs>
        <w:spacing w:after="0"/>
        <w:ind w:left="0"/>
        <w:contextualSpacing w:val="0"/>
        <w:jc w:val="both"/>
        <w:rPr>
          <w:rFonts w:ascii="Arial" w:hAnsi="Arial" w:cs="Arial"/>
          <w:sz w:val="20"/>
          <w:szCs w:val="20"/>
        </w:rPr>
      </w:pPr>
    </w:p>
    <w:p w:rsidR="0003057F" w:rsidRPr="005D09DC" w:rsidRDefault="0003057F" w:rsidP="005A132B">
      <w:pPr>
        <w:pStyle w:val="PargrafodaLista"/>
        <w:tabs>
          <w:tab w:val="left" w:pos="284"/>
        </w:tabs>
        <w:spacing w:after="0"/>
        <w:ind w:left="0"/>
        <w:contextualSpacing w:val="0"/>
        <w:jc w:val="both"/>
        <w:rPr>
          <w:rFonts w:ascii="Arial" w:hAnsi="Arial" w:cs="Arial"/>
          <w:sz w:val="20"/>
          <w:szCs w:val="20"/>
        </w:rPr>
      </w:pPr>
      <w:r w:rsidRPr="005D09DC">
        <w:rPr>
          <w:rFonts w:ascii="Arial" w:hAnsi="Arial" w:cs="Arial"/>
          <w:sz w:val="20"/>
          <w:szCs w:val="20"/>
        </w:rPr>
        <w:t>3. Prestação de Contas Anual. Escopo da composição das Contas. Complementação de Instrução. Desnecessidade. Exercício do Poder de Auto-Regulamentação. Não Indicação específica de algum fato irregular concreto.</w:t>
      </w:r>
    </w:p>
    <w:p w:rsidR="0003057F" w:rsidRPr="005D09DC" w:rsidRDefault="0003057F" w:rsidP="005A132B">
      <w:pPr>
        <w:pStyle w:val="PargrafodaLista"/>
        <w:tabs>
          <w:tab w:val="left" w:pos="284"/>
        </w:tabs>
        <w:spacing w:after="0"/>
        <w:ind w:left="0"/>
        <w:contextualSpacing w:val="0"/>
        <w:jc w:val="both"/>
        <w:rPr>
          <w:rFonts w:ascii="Arial" w:hAnsi="Arial" w:cs="Arial"/>
          <w:sz w:val="20"/>
          <w:szCs w:val="20"/>
        </w:rPr>
      </w:pPr>
    </w:p>
    <w:p w:rsidR="0003057F" w:rsidRPr="005D09DC" w:rsidRDefault="0003057F" w:rsidP="005A132B">
      <w:pPr>
        <w:pStyle w:val="PargrafodaLista"/>
        <w:tabs>
          <w:tab w:val="left" w:pos="284"/>
        </w:tabs>
        <w:spacing w:after="0"/>
        <w:ind w:left="0"/>
        <w:contextualSpacing w:val="0"/>
        <w:jc w:val="both"/>
        <w:rPr>
          <w:rFonts w:ascii="Arial" w:hAnsi="Arial" w:cs="Arial"/>
          <w:sz w:val="20"/>
          <w:szCs w:val="20"/>
        </w:rPr>
      </w:pPr>
      <w:r w:rsidRPr="005D09DC">
        <w:rPr>
          <w:rFonts w:ascii="Arial" w:hAnsi="Arial" w:cs="Arial"/>
          <w:sz w:val="20"/>
          <w:szCs w:val="20"/>
        </w:rPr>
        <w:t>4. Certidão Liberatória. Prazo Processual. Cumprimento de determinação. Data de Publicação no Diário eletrônico. Data da intimação.</w:t>
      </w:r>
    </w:p>
    <w:p w:rsidR="0003057F" w:rsidRPr="005D09DC" w:rsidRDefault="0003057F" w:rsidP="005A132B">
      <w:pPr>
        <w:pStyle w:val="PargrafodaLista"/>
        <w:tabs>
          <w:tab w:val="left" w:pos="284"/>
        </w:tabs>
        <w:spacing w:after="0"/>
        <w:ind w:left="0"/>
        <w:contextualSpacing w:val="0"/>
        <w:jc w:val="both"/>
        <w:rPr>
          <w:rFonts w:ascii="Arial" w:hAnsi="Arial" w:cs="Arial"/>
          <w:sz w:val="20"/>
          <w:szCs w:val="20"/>
        </w:rPr>
      </w:pPr>
    </w:p>
    <w:p w:rsidR="0003057F" w:rsidRPr="005D09DC" w:rsidRDefault="0003057F" w:rsidP="005A132B">
      <w:pPr>
        <w:pStyle w:val="PargrafodaLista"/>
        <w:tabs>
          <w:tab w:val="left" w:pos="284"/>
        </w:tabs>
        <w:spacing w:after="0"/>
        <w:ind w:left="0"/>
        <w:contextualSpacing w:val="0"/>
        <w:jc w:val="both"/>
        <w:rPr>
          <w:rFonts w:ascii="Arial" w:hAnsi="Arial" w:cs="Arial"/>
          <w:sz w:val="20"/>
          <w:szCs w:val="20"/>
        </w:rPr>
      </w:pPr>
      <w:r w:rsidRPr="005D09DC">
        <w:rPr>
          <w:rFonts w:ascii="Arial" w:hAnsi="Arial" w:cs="Arial"/>
          <w:sz w:val="20"/>
          <w:szCs w:val="20"/>
        </w:rPr>
        <w:t>5. Representação da Lei nº 8.666/93. Cautelar. Suspensão do certame ou do contrato. Não habilitação. Melhor oferta. Empresa do grupo empresarial apenada no Estado de Santa Catarina. Extensão da pena. Não imputação em empresa paranaense do grupo empresarial. Concessão de liminar. Suspensão até decisão definitiva.</w:t>
      </w:r>
    </w:p>
    <w:p w:rsidR="0003057F" w:rsidRPr="005D09DC" w:rsidRDefault="0003057F" w:rsidP="005A132B">
      <w:pPr>
        <w:pStyle w:val="PargrafodaLista"/>
        <w:tabs>
          <w:tab w:val="left" w:pos="284"/>
        </w:tabs>
        <w:spacing w:after="0"/>
        <w:ind w:left="0"/>
        <w:contextualSpacing w:val="0"/>
        <w:jc w:val="both"/>
        <w:rPr>
          <w:rFonts w:ascii="Arial" w:hAnsi="Arial" w:cs="Arial"/>
          <w:sz w:val="20"/>
          <w:szCs w:val="20"/>
        </w:rPr>
      </w:pPr>
    </w:p>
    <w:p w:rsidR="0003057F" w:rsidRPr="005D09DC" w:rsidRDefault="0003057F" w:rsidP="005A132B">
      <w:pPr>
        <w:pStyle w:val="PargrafodaLista"/>
        <w:tabs>
          <w:tab w:val="left" w:pos="284"/>
        </w:tabs>
        <w:spacing w:after="0"/>
        <w:ind w:left="0"/>
        <w:contextualSpacing w:val="0"/>
        <w:jc w:val="both"/>
        <w:rPr>
          <w:rFonts w:ascii="Arial" w:hAnsi="Arial" w:cs="Arial"/>
          <w:sz w:val="20"/>
          <w:szCs w:val="20"/>
        </w:rPr>
      </w:pPr>
      <w:r w:rsidRPr="005D09DC">
        <w:rPr>
          <w:rFonts w:ascii="Arial" w:hAnsi="Arial" w:cs="Arial"/>
          <w:sz w:val="20"/>
          <w:szCs w:val="20"/>
        </w:rPr>
        <w:t>6. Representação da Lei n°8.666/93. Ofensa ao princípio da isonomia ao beneficiar determinados trabalhadores. Pela procedência. Recomendação. Multa.</w:t>
      </w:r>
    </w:p>
    <w:p w:rsidR="0003057F" w:rsidRPr="005D09DC" w:rsidRDefault="0003057F" w:rsidP="005A132B">
      <w:pPr>
        <w:pStyle w:val="PargrafodaLista"/>
        <w:tabs>
          <w:tab w:val="left" w:pos="284"/>
        </w:tabs>
        <w:spacing w:after="0"/>
        <w:ind w:left="0"/>
        <w:contextualSpacing w:val="0"/>
        <w:jc w:val="both"/>
        <w:rPr>
          <w:rFonts w:ascii="Arial" w:hAnsi="Arial" w:cs="Arial"/>
          <w:sz w:val="20"/>
          <w:szCs w:val="20"/>
        </w:rPr>
      </w:pPr>
    </w:p>
    <w:p w:rsidR="0003057F" w:rsidRPr="005D09DC" w:rsidRDefault="0003057F" w:rsidP="005A132B">
      <w:pPr>
        <w:pStyle w:val="PargrafodaLista"/>
        <w:tabs>
          <w:tab w:val="left" w:pos="284"/>
        </w:tabs>
        <w:spacing w:after="0"/>
        <w:ind w:left="0"/>
        <w:contextualSpacing w:val="0"/>
        <w:jc w:val="both"/>
        <w:rPr>
          <w:rFonts w:ascii="Arial" w:hAnsi="Arial" w:cs="Arial"/>
          <w:sz w:val="20"/>
          <w:szCs w:val="20"/>
        </w:rPr>
      </w:pPr>
      <w:r w:rsidRPr="005D09DC">
        <w:rPr>
          <w:rFonts w:ascii="Arial" w:hAnsi="Arial" w:cs="Arial"/>
          <w:sz w:val="20"/>
          <w:szCs w:val="20"/>
        </w:rPr>
        <w:t>7. Recurso de Revista. Atraso nos envios das informações dos dados do SIM-AM. Teoria da continuidade delitiva. Provimento parcial. Aplicação de uma multa do art. 87, III, “b” da Lei Complementar n° 113/2005.</w:t>
      </w:r>
    </w:p>
    <w:p w:rsidR="0003057F" w:rsidRPr="005D09DC" w:rsidRDefault="0003057F" w:rsidP="005A132B">
      <w:pPr>
        <w:pStyle w:val="PargrafodaLista"/>
        <w:tabs>
          <w:tab w:val="left" w:pos="284"/>
        </w:tabs>
        <w:spacing w:after="0"/>
        <w:ind w:left="0"/>
        <w:contextualSpacing w:val="0"/>
        <w:jc w:val="both"/>
        <w:rPr>
          <w:rFonts w:ascii="Arial" w:hAnsi="Arial" w:cs="Arial"/>
          <w:sz w:val="20"/>
          <w:szCs w:val="20"/>
        </w:rPr>
      </w:pPr>
      <w:r w:rsidRPr="005D09DC">
        <w:rPr>
          <w:rFonts w:ascii="Arial" w:hAnsi="Arial" w:cs="Arial"/>
          <w:sz w:val="20"/>
          <w:szCs w:val="20"/>
        </w:rPr>
        <w:lastRenderedPageBreak/>
        <w:t>8. Comunicação de Irregularidade. Parecer técnico conclusivo. Licenciamento ambiental. Atividade técnica. Servidor efetivo e legalmente habilitado. Decisão Administrativa em procedimento de licenciamento ambiental. Segregação das funções. Ratificação de Cautelar.</w:t>
      </w:r>
    </w:p>
    <w:p w:rsidR="0003057F" w:rsidRPr="005A132B" w:rsidRDefault="0003057F" w:rsidP="005A132B">
      <w:pPr>
        <w:pStyle w:val="PargrafodaLista"/>
        <w:tabs>
          <w:tab w:val="left" w:pos="284"/>
        </w:tabs>
        <w:spacing w:after="0"/>
        <w:ind w:left="0"/>
        <w:contextualSpacing w:val="0"/>
        <w:jc w:val="both"/>
        <w:rPr>
          <w:rFonts w:ascii="Arial" w:hAnsi="Arial" w:cs="Arial"/>
          <w:sz w:val="20"/>
          <w:szCs w:val="20"/>
        </w:rPr>
      </w:pPr>
    </w:p>
    <w:p w:rsidR="0003057F" w:rsidRPr="005A132B" w:rsidRDefault="0003057F" w:rsidP="005A132B">
      <w:pPr>
        <w:pStyle w:val="PargrafodaLista"/>
        <w:tabs>
          <w:tab w:val="left" w:pos="284"/>
        </w:tabs>
        <w:spacing w:after="0"/>
        <w:ind w:left="0"/>
        <w:contextualSpacing w:val="0"/>
        <w:jc w:val="both"/>
        <w:rPr>
          <w:rFonts w:ascii="Arial" w:hAnsi="Arial" w:cs="Arial"/>
          <w:sz w:val="20"/>
          <w:szCs w:val="20"/>
        </w:rPr>
      </w:pPr>
      <w:r w:rsidRPr="005A132B">
        <w:rPr>
          <w:rFonts w:ascii="Arial" w:hAnsi="Arial" w:cs="Arial"/>
          <w:sz w:val="20"/>
          <w:szCs w:val="20"/>
        </w:rPr>
        <w:t xml:space="preserve">9. Recurso de Revista. Prestação de Contas Anual. Realização de despesas sem prévio empenho em violação ao art. 60 da Lei nº 4320/64. Ressalva. Provimento. </w:t>
      </w:r>
    </w:p>
    <w:p w:rsidR="0003057F" w:rsidRPr="005A132B" w:rsidRDefault="0003057F" w:rsidP="005A132B">
      <w:pPr>
        <w:pStyle w:val="PargrafodaLista"/>
        <w:tabs>
          <w:tab w:val="left" w:pos="284"/>
        </w:tabs>
        <w:spacing w:after="0"/>
        <w:ind w:left="0"/>
        <w:contextualSpacing w:val="0"/>
        <w:jc w:val="both"/>
        <w:rPr>
          <w:rFonts w:ascii="Arial" w:hAnsi="Arial" w:cs="Arial"/>
          <w:sz w:val="20"/>
          <w:szCs w:val="20"/>
        </w:rPr>
      </w:pPr>
    </w:p>
    <w:p w:rsidR="0003057F" w:rsidRPr="005A132B" w:rsidRDefault="0003057F" w:rsidP="005A132B">
      <w:pPr>
        <w:pStyle w:val="PargrafodaLista"/>
        <w:tabs>
          <w:tab w:val="left" w:pos="284"/>
        </w:tabs>
        <w:spacing w:after="0"/>
        <w:ind w:left="0"/>
        <w:contextualSpacing w:val="0"/>
        <w:jc w:val="both"/>
        <w:rPr>
          <w:rFonts w:ascii="Arial" w:hAnsi="Arial" w:cs="Arial"/>
          <w:sz w:val="20"/>
          <w:szCs w:val="20"/>
        </w:rPr>
      </w:pPr>
      <w:r w:rsidRPr="005A132B">
        <w:rPr>
          <w:rFonts w:ascii="Arial" w:hAnsi="Arial" w:cs="Arial"/>
          <w:sz w:val="20"/>
          <w:szCs w:val="20"/>
        </w:rPr>
        <w:t xml:space="preserve">10. Representação da Lei nº 8666/93. Pregão para aquisição de maquinário pesado. Cláusulas </w:t>
      </w:r>
      <w:proofErr w:type="spellStart"/>
      <w:r w:rsidRPr="005A132B">
        <w:rPr>
          <w:rFonts w:ascii="Arial" w:hAnsi="Arial" w:cs="Arial"/>
          <w:sz w:val="20"/>
          <w:szCs w:val="20"/>
        </w:rPr>
        <w:t>editalícias</w:t>
      </w:r>
      <w:proofErr w:type="spellEnd"/>
      <w:r w:rsidRPr="005A132B">
        <w:rPr>
          <w:rFonts w:ascii="Arial" w:hAnsi="Arial" w:cs="Arial"/>
          <w:sz w:val="20"/>
          <w:szCs w:val="20"/>
        </w:rPr>
        <w:t xml:space="preserve"> restritivas/</w:t>
      </w:r>
      <w:proofErr w:type="spellStart"/>
      <w:r w:rsidRPr="005A132B">
        <w:rPr>
          <w:rFonts w:ascii="Arial" w:hAnsi="Arial" w:cs="Arial"/>
          <w:sz w:val="20"/>
          <w:szCs w:val="20"/>
        </w:rPr>
        <w:t>anticompetitivas</w:t>
      </w:r>
      <w:proofErr w:type="spellEnd"/>
      <w:r w:rsidRPr="005A132B">
        <w:rPr>
          <w:rFonts w:ascii="Arial" w:hAnsi="Arial" w:cs="Arial"/>
          <w:sz w:val="20"/>
          <w:szCs w:val="20"/>
        </w:rPr>
        <w:t xml:space="preserve">. Procedência, recomendação e aplicação de multa. </w:t>
      </w:r>
    </w:p>
    <w:p w:rsidR="0003057F" w:rsidRPr="005A132B" w:rsidRDefault="0003057F" w:rsidP="005A132B">
      <w:pPr>
        <w:pStyle w:val="PargrafodaLista"/>
        <w:tabs>
          <w:tab w:val="left" w:pos="284"/>
        </w:tabs>
        <w:spacing w:after="0"/>
        <w:ind w:left="0"/>
        <w:contextualSpacing w:val="0"/>
        <w:jc w:val="both"/>
        <w:rPr>
          <w:rFonts w:ascii="Arial" w:hAnsi="Arial" w:cs="Arial"/>
          <w:sz w:val="20"/>
          <w:szCs w:val="20"/>
        </w:rPr>
      </w:pPr>
    </w:p>
    <w:p w:rsidR="0003057F" w:rsidRPr="005A132B" w:rsidRDefault="0003057F" w:rsidP="005A132B">
      <w:pPr>
        <w:pStyle w:val="PargrafodaLista"/>
        <w:tabs>
          <w:tab w:val="left" w:pos="284"/>
        </w:tabs>
        <w:spacing w:after="0"/>
        <w:ind w:left="0"/>
        <w:contextualSpacing w:val="0"/>
        <w:jc w:val="both"/>
        <w:rPr>
          <w:rFonts w:ascii="Arial" w:hAnsi="Arial" w:cs="Arial"/>
          <w:sz w:val="20"/>
          <w:szCs w:val="20"/>
        </w:rPr>
      </w:pPr>
      <w:r w:rsidRPr="005A132B">
        <w:rPr>
          <w:rFonts w:ascii="Arial" w:hAnsi="Arial" w:cs="Arial"/>
          <w:sz w:val="20"/>
          <w:szCs w:val="20"/>
        </w:rPr>
        <w:t xml:space="preserve">11. Pedido de Rescisão. Certeza e liquidez constantes da decisão vergastada. Atos de liquidação nos exatos termos legais. Inexistência de violação de dispositivo legal por acórdão desta Corte. Manutenção integral de decisão.  </w:t>
      </w:r>
    </w:p>
    <w:p w:rsidR="004429A2" w:rsidRPr="0022060B" w:rsidRDefault="004429A2" w:rsidP="00816942">
      <w:pPr>
        <w:spacing w:after="0"/>
        <w:jc w:val="both"/>
        <w:rPr>
          <w:rStyle w:val="Hyperlink"/>
          <w:rFonts w:ascii="Arial" w:hAnsi="Arial" w:cs="Arial"/>
          <w:b/>
          <w:color w:val="000000" w:themeColor="text1"/>
          <w:sz w:val="20"/>
          <w:szCs w:val="20"/>
          <w:u w:val="none"/>
        </w:rPr>
      </w:pPr>
    </w:p>
    <w:p w:rsidR="00712A93" w:rsidRPr="0022060B" w:rsidRDefault="00712A93" w:rsidP="007D15DB">
      <w:pPr>
        <w:shd w:val="pct10" w:color="auto" w:fill="auto"/>
        <w:jc w:val="center"/>
        <w:rPr>
          <w:rFonts w:ascii="Arial" w:hAnsi="Arial" w:cs="Arial"/>
          <w:b/>
          <w:sz w:val="20"/>
          <w:szCs w:val="20"/>
        </w:rPr>
      </w:pPr>
      <w:r w:rsidRPr="0022060B">
        <w:rPr>
          <w:rFonts w:ascii="Arial" w:hAnsi="Arial" w:cs="Arial"/>
          <w:b/>
          <w:sz w:val="20"/>
          <w:szCs w:val="20"/>
        </w:rPr>
        <w:t>PRIMEIRA CÂMARA</w:t>
      </w:r>
    </w:p>
    <w:p w:rsidR="0003057F" w:rsidRPr="0003057F" w:rsidRDefault="0003057F" w:rsidP="007D15DB">
      <w:pPr>
        <w:autoSpaceDE w:val="0"/>
        <w:autoSpaceDN w:val="0"/>
        <w:adjustRightInd w:val="0"/>
        <w:spacing w:after="0"/>
        <w:jc w:val="both"/>
        <w:rPr>
          <w:rFonts w:ascii="Arial" w:hAnsi="Arial" w:cs="Arial"/>
          <w:b/>
          <w:sz w:val="20"/>
          <w:szCs w:val="20"/>
        </w:rPr>
      </w:pPr>
      <w:r w:rsidRPr="0003057F">
        <w:rPr>
          <w:rFonts w:ascii="Arial" w:hAnsi="Arial" w:cs="Arial"/>
          <w:b/>
          <w:sz w:val="20"/>
          <w:szCs w:val="20"/>
        </w:rPr>
        <w:t>1.</w:t>
      </w:r>
      <w:r>
        <w:rPr>
          <w:rFonts w:ascii="Arial" w:hAnsi="Arial" w:cs="Arial"/>
          <w:b/>
          <w:sz w:val="20"/>
          <w:szCs w:val="20"/>
        </w:rPr>
        <w:t xml:space="preserve"> </w:t>
      </w:r>
      <w:r w:rsidRPr="0003057F">
        <w:rPr>
          <w:rFonts w:ascii="Arial" w:hAnsi="Arial" w:cs="Arial"/>
          <w:b/>
          <w:sz w:val="20"/>
          <w:szCs w:val="20"/>
        </w:rPr>
        <w:t>Embargos de Declaração. Administração Pública. Concurso Público. Cadastro de Reserva. Ausência de vagas. Proibição.</w:t>
      </w:r>
    </w:p>
    <w:p w:rsidR="007D15DB" w:rsidRDefault="007D15DB" w:rsidP="007D15DB">
      <w:pPr>
        <w:autoSpaceDE w:val="0"/>
        <w:autoSpaceDN w:val="0"/>
        <w:adjustRightInd w:val="0"/>
        <w:spacing w:after="0"/>
        <w:jc w:val="both"/>
        <w:rPr>
          <w:rFonts w:ascii="Arial" w:hAnsi="Arial" w:cs="Arial"/>
          <w:sz w:val="20"/>
          <w:szCs w:val="20"/>
        </w:rPr>
      </w:pPr>
    </w:p>
    <w:p w:rsidR="0003057F" w:rsidRDefault="0003057F" w:rsidP="007D15DB">
      <w:pPr>
        <w:autoSpaceDE w:val="0"/>
        <w:autoSpaceDN w:val="0"/>
        <w:adjustRightInd w:val="0"/>
        <w:spacing w:after="0"/>
        <w:jc w:val="both"/>
        <w:rPr>
          <w:rFonts w:ascii="Arial" w:hAnsi="Arial" w:cs="Arial"/>
          <w:sz w:val="20"/>
          <w:szCs w:val="20"/>
        </w:rPr>
      </w:pPr>
      <w:r>
        <w:rPr>
          <w:rFonts w:ascii="Arial" w:hAnsi="Arial" w:cs="Arial"/>
          <w:sz w:val="20"/>
          <w:szCs w:val="20"/>
        </w:rPr>
        <w:t xml:space="preserve">No âmbito Administração Pública do Estado do Paraná é </w:t>
      </w:r>
      <w:r w:rsidRPr="00FF09B0">
        <w:rPr>
          <w:rFonts w:ascii="Arial" w:hAnsi="Arial" w:cs="Arial"/>
          <w:sz w:val="20"/>
          <w:szCs w:val="20"/>
        </w:rPr>
        <w:t>realização de concurso público voltado exclusivamente para formação do cadastro de reserva. Tal proibição é prevista no do artigo 2°, inciso I, da Lei Estadual n° 18.627/2015. Devendo, portanto, as entidades estaduais abster-se de incluir cargo para o qual não haja vaga disponível no momento da elaboração do edital do certame.</w:t>
      </w:r>
    </w:p>
    <w:p w:rsidR="007D15DB" w:rsidRDefault="007D15DB" w:rsidP="007D15DB">
      <w:pPr>
        <w:autoSpaceDE w:val="0"/>
        <w:autoSpaceDN w:val="0"/>
        <w:adjustRightInd w:val="0"/>
        <w:spacing w:after="0"/>
        <w:jc w:val="both"/>
        <w:rPr>
          <w:rFonts w:ascii="Arial" w:hAnsi="Arial" w:cs="Arial"/>
          <w:sz w:val="20"/>
          <w:szCs w:val="20"/>
        </w:rPr>
      </w:pPr>
    </w:p>
    <w:p w:rsidR="0003057F" w:rsidRPr="00FF09B0" w:rsidRDefault="0003057F" w:rsidP="007D15DB">
      <w:pPr>
        <w:autoSpaceDE w:val="0"/>
        <w:autoSpaceDN w:val="0"/>
        <w:adjustRightInd w:val="0"/>
        <w:spacing w:after="0"/>
        <w:jc w:val="both"/>
        <w:rPr>
          <w:rFonts w:ascii="Arial" w:hAnsi="Arial" w:cs="Arial"/>
          <w:sz w:val="20"/>
          <w:szCs w:val="20"/>
        </w:rPr>
      </w:pPr>
      <w:r w:rsidRPr="00FF09B0">
        <w:rPr>
          <w:rFonts w:ascii="Arial" w:hAnsi="Arial" w:cs="Arial"/>
          <w:sz w:val="20"/>
          <w:szCs w:val="20"/>
        </w:rPr>
        <w:t xml:space="preserve">Processo nº 239966/17. </w:t>
      </w:r>
      <w:hyperlink r:id="rId8" w:history="1">
        <w:r w:rsidRPr="00FF09B0">
          <w:rPr>
            <w:rStyle w:val="Hyperlink"/>
            <w:rFonts w:ascii="Arial" w:hAnsi="Arial" w:cs="Arial"/>
            <w:sz w:val="20"/>
            <w:szCs w:val="20"/>
          </w:rPr>
          <w:t xml:space="preserve">Acórdão 193/18 </w:t>
        </w:r>
        <w:r w:rsidR="00D677AD">
          <w:rPr>
            <w:rStyle w:val="Hyperlink"/>
            <w:rFonts w:ascii="Arial" w:hAnsi="Arial" w:cs="Arial"/>
            <w:sz w:val="20"/>
            <w:szCs w:val="20"/>
          </w:rPr>
          <w:t>-</w:t>
        </w:r>
        <w:r w:rsidRPr="00FF09B0">
          <w:rPr>
            <w:rStyle w:val="Hyperlink"/>
            <w:rFonts w:ascii="Arial" w:hAnsi="Arial" w:cs="Arial"/>
            <w:sz w:val="20"/>
            <w:szCs w:val="20"/>
          </w:rPr>
          <w:t xml:space="preserve"> Primeira Câmara</w:t>
        </w:r>
      </w:hyperlink>
      <w:r w:rsidR="007D3051">
        <w:rPr>
          <w:rFonts w:ascii="Arial" w:hAnsi="Arial" w:cs="Arial"/>
          <w:sz w:val="20"/>
          <w:szCs w:val="20"/>
        </w:rPr>
        <w:t xml:space="preserve"> - </w:t>
      </w:r>
      <w:r w:rsidRPr="00FF09B0">
        <w:rPr>
          <w:rFonts w:ascii="Arial" w:hAnsi="Arial" w:cs="Arial"/>
          <w:sz w:val="20"/>
          <w:szCs w:val="20"/>
        </w:rPr>
        <w:t>Relator Auditor Sérgio Ricardo Valadares Fonseca</w:t>
      </w:r>
    </w:p>
    <w:p w:rsidR="0003057F" w:rsidRDefault="0003057F" w:rsidP="007D15DB">
      <w:pPr>
        <w:spacing w:after="0"/>
        <w:jc w:val="both"/>
        <w:rPr>
          <w:rFonts w:ascii="Arial" w:hAnsi="Arial" w:cs="Arial"/>
          <w:b/>
          <w:sz w:val="20"/>
          <w:szCs w:val="20"/>
        </w:rPr>
      </w:pPr>
    </w:p>
    <w:p w:rsidR="0003057F" w:rsidRPr="0017505E" w:rsidRDefault="0003057F" w:rsidP="007D15DB">
      <w:pPr>
        <w:spacing w:after="0"/>
        <w:jc w:val="both"/>
        <w:rPr>
          <w:rFonts w:ascii="Arial" w:hAnsi="Arial" w:cs="Arial"/>
          <w:b/>
          <w:sz w:val="20"/>
          <w:szCs w:val="20"/>
        </w:rPr>
      </w:pPr>
      <w:r>
        <w:rPr>
          <w:rFonts w:ascii="Arial" w:hAnsi="Arial" w:cs="Arial"/>
          <w:b/>
          <w:sz w:val="20"/>
          <w:szCs w:val="20"/>
        </w:rPr>
        <w:t xml:space="preserve">2. </w:t>
      </w:r>
      <w:r w:rsidRPr="0017505E">
        <w:rPr>
          <w:rFonts w:ascii="Arial" w:hAnsi="Arial" w:cs="Arial"/>
          <w:b/>
          <w:sz w:val="20"/>
          <w:szCs w:val="20"/>
        </w:rPr>
        <w:t xml:space="preserve">Prestação de Contas Anual.  Apontamentos de irregularidades pelo Controle Interno, entre elas, a contratação de assessoria contábil. Regularidade das contas com ressalvas e recomendação. </w:t>
      </w:r>
    </w:p>
    <w:p w:rsidR="007D15DB" w:rsidRDefault="007D15DB" w:rsidP="007D15DB">
      <w:pPr>
        <w:spacing w:after="0"/>
        <w:jc w:val="both"/>
        <w:rPr>
          <w:rFonts w:ascii="Arial" w:hAnsi="Arial" w:cs="Arial"/>
          <w:sz w:val="20"/>
          <w:szCs w:val="20"/>
        </w:rPr>
      </w:pPr>
    </w:p>
    <w:p w:rsidR="0003057F" w:rsidRDefault="0003057F" w:rsidP="007D15DB">
      <w:pPr>
        <w:spacing w:after="0"/>
        <w:jc w:val="both"/>
        <w:rPr>
          <w:rFonts w:ascii="Arial" w:hAnsi="Arial" w:cs="Arial"/>
          <w:sz w:val="20"/>
          <w:szCs w:val="20"/>
        </w:rPr>
      </w:pPr>
      <w:r>
        <w:rPr>
          <w:rFonts w:ascii="Arial" w:hAnsi="Arial" w:cs="Arial"/>
          <w:sz w:val="20"/>
          <w:szCs w:val="20"/>
        </w:rPr>
        <w:t xml:space="preserve">A entidade, uma Companhia responsável pelo desenvolvimento municipal, efetuou contratação de assessoria contábil, a princípio, ofensiva ao Prejulgado 06 deste Tribunal de Contas. </w:t>
      </w:r>
    </w:p>
    <w:p w:rsidR="007D15DB" w:rsidRDefault="007D15DB" w:rsidP="007D15DB">
      <w:pPr>
        <w:spacing w:after="0"/>
        <w:jc w:val="both"/>
        <w:rPr>
          <w:rFonts w:ascii="Arial" w:hAnsi="Arial" w:cs="Arial"/>
          <w:sz w:val="20"/>
          <w:szCs w:val="20"/>
        </w:rPr>
      </w:pPr>
    </w:p>
    <w:p w:rsidR="0003057F" w:rsidRDefault="0003057F" w:rsidP="007D15DB">
      <w:pPr>
        <w:spacing w:after="0"/>
        <w:jc w:val="both"/>
        <w:rPr>
          <w:rFonts w:ascii="Arial" w:hAnsi="Arial" w:cs="Arial"/>
          <w:sz w:val="20"/>
          <w:szCs w:val="20"/>
        </w:rPr>
      </w:pPr>
      <w:r>
        <w:rPr>
          <w:rFonts w:ascii="Arial" w:hAnsi="Arial" w:cs="Arial"/>
          <w:sz w:val="20"/>
          <w:szCs w:val="20"/>
        </w:rPr>
        <w:t xml:space="preserve">Na decisão, considerou-se que se trata de uma Companhia que busca reduzir suas despesas operacionais, possui atividades reduzidas e que é incerta a sua continuidade, não sendo razoável a aplicação pura do Prejulgado nº 06 deste Tribunal de Contas, quanto à exigência de realização de concurso público para contratação de contadores.  </w:t>
      </w:r>
    </w:p>
    <w:p w:rsidR="007D15DB" w:rsidRDefault="007D15DB" w:rsidP="007D15DB">
      <w:pPr>
        <w:spacing w:after="0"/>
        <w:jc w:val="both"/>
        <w:rPr>
          <w:rFonts w:ascii="Arial" w:hAnsi="Arial" w:cs="Arial"/>
          <w:sz w:val="20"/>
          <w:szCs w:val="20"/>
        </w:rPr>
      </w:pPr>
    </w:p>
    <w:p w:rsidR="0003057F" w:rsidRDefault="0003057F" w:rsidP="007D15DB">
      <w:pPr>
        <w:spacing w:after="0"/>
        <w:jc w:val="both"/>
        <w:rPr>
          <w:rFonts w:ascii="Arial" w:hAnsi="Arial" w:cs="Arial"/>
          <w:sz w:val="20"/>
          <w:szCs w:val="20"/>
        </w:rPr>
      </w:pPr>
      <w:r>
        <w:rPr>
          <w:rFonts w:ascii="Arial" w:hAnsi="Arial" w:cs="Arial"/>
          <w:sz w:val="20"/>
          <w:szCs w:val="20"/>
        </w:rPr>
        <w:t>Aludiu-se, à precedente desta Corte, o Acórdão nº 2944/17-</w:t>
      </w:r>
      <w:r w:rsidR="00D677AD">
        <w:rPr>
          <w:rFonts w:ascii="Arial" w:hAnsi="Arial" w:cs="Arial"/>
          <w:sz w:val="20"/>
          <w:szCs w:val="20"/>
        </w:rPr>
        <w:t xml:space="preserve"> Primeira </w:t>
      </w:r>
      <w:r>
        <w:rPr>
          <w:rFonts w:ascii="Arial" w:hAnsi="Arial" w:cs="Arial"/>
          <w:sz w:val="20"/>
          <w:szCs w:val="20"/>
        </w:rPr>
        <w:t xml:space="preserve">Câmara (processo nº 39350-6/14), que defendeu a não aplicação pura do </w:t>
      </w:r>
      <w:proofErr w:type="gramStart"/>
      <w:r>
        <w:rPr>
          <w:rFonts w:ascii="Arial" w:hAnsi="Arial" w:cs="Arial"/>
          <w:sz w:val="20"/>
          <w:szCs w:val="20"/>
        </w:rPr>
        <w:t>aludido Prejulgado</w:t>
      </w:r>
      <w:proofErr w:type="gramEnd"/>
      <w:r>
        <w:rPr>
          <w:rFonts w:ascii="Arial" w:hAnsi="Arial" w:cs="Arial"/>
          <w:sz w:val="20"/>
          <w:szCs w:val="20"/>
        </w:rPr>
        <w:t xml:space="preserve">. </w:t>
      </w:r>
    </w:p>
    <w:p w:rsidR="0003057F" w:rsidRDefault="0003057F" w:rsidP="007D15DB">
      <w:pPr>
        <w:spacing w:after="0"/>
        <w:jc w:val="both"/>
        <w:rPr>
          <w:rFonts w:ascii="Arial" w:hAnsi="Arial" w:cs="Arial"/>
          <w:sz w:val="20"/>
          <w:szCs w:val="20"/>
        </w:rPr>
      </w:pPr>
      <w:r>
        <w:rPr>
          <w:rFonts w:ascii="Arial" w:hAnsi="Arial" w:cs="Arial"/>
          <w:sz w:val="20"/>
          <w:szCs w:val="20"/>
        </w:rPr>
        <w:lastRenderedPageBreak/>
        <w:t xml:space="preserve">As contas julgadas foram julgadas regulares com ressalva. </w:t>
      </w:r>
    </w:p>
    <w:p w:rsidR="00F25617" w:rsidRDefault="00F25617" w:rsidP="007D15DB">
      <w:pPr>
        <w:spacing w:after="0"/>
        <w:jc w:val="both"/>
        <w:rPr>
          <w:rFonts w:ascii="Arial" w:hAnsi="Arial" w:cs="Arial"/>
          <w:sz w:val="20"/>
          <w:szCs w:val="20"/>
        </w:rPr>
      </w:pPr>
    </w:p>
    <w:p w:rsidR="0003057F" w:rsidRDefault="0003057F" w:rsidP="007D15DB">
      <w:pPr>
        <w:spacing w:after="0"/>
        <w:jc w:val="both"/>
        <w:rPr>
          <w:rFonts w:ascii="Arial" w:hAnsi="Arial" w:cs="Arial"/>
          <w:sz w:val="20"/>
          <w:szCs w:val="20"/>
        </w:rPr>
      </w:pPr>
      <w:r>
        <w:rPr>
          <w:rFonts w:ascii="Arial" w:hAnsi="Arial" w:cs="Arial"/>
          <w:sz w:val="20"/>
          <w:szCs w:val="20"/>
        </w:rPr>
        <w:t xml:space="preserve">Processo nº 270989/12 </w:t>
      </w:r>
      <w:r w:rsidR="00D677AD">
        <w:rPr>
          <w:rFonts w:ascii="Arial" w:hAnsi="Arial" w:cs="Arial"/>
          <w:sz w:val="20"/>
          <w:szCs w:val="20"/>
        </w:rPr>
        <w:t xml:space="preserve">- </w:t>
      </w:r>
      <w:hyperlink r:id="rId9" w:history="1">
        <w:r w:rsidRPr="00F35162">
          <w:rPr>
            <w:rStyle w:val="Hyperlink"/>
            <w:rFonts w:ascii="Arial" w:hAnsi="Arial" w:cs="Arial"/>
            <w:sz w:val="20"/>
            <w:szCs w:val="20"/>
          </w:rPr>
          <w:t>Acórdão nº 277/18</w:t>
        </w:r>
        <w:r w:rsidR="00950315">
          <w:rPr>
            <w:rStyle w:val="Hyperlink"/>
            <w:rFonts w:ascii="Arial" w:hAnsi="Arial" w:cs="Arial"/>
            <w:sz w:val="20"/>
            <w:szCs w:val="20"/>
          </w:rPr>
          <w:t xml:space="preserve"> </w:t>
        </w:r>
        <w:r w:rsidRPr="00F35162">
          <w:rPr>
            <w:rStyle w:val="Hyperlink"/>
            <w:rFonts w:ascii="Arial" w:hAnsi="Arial" w:cs="Arial"/>
            <w:sz w:val="20"/>
            <w:szCs w:val="20"/>
          </w:rPr>
          <w:t>-</w:t>
        </w:r>
        <w:r w:rsidR="00950315">
          <w:rPr>
            <w:rStyle w:val="Hyperlink"/>
            <w:rFonts w:ascii="Arial" w:hAnsi="Arial" w:cs="Arial"/>
            <w:sz w:val="20"/>
            <w:szCs w:val="20"/>
          </w:rPr>
          <w:t xml:space="preserve"> Primeira</w:t>
        </w:r>
        <w:r w:rsidRPr="00F35162">
          <w:rPr>
            <w:rStyle w:val="Hyperlink"/>
            <w:rFonts w:ascii="Arial" w:hAnsi="Arial" w:cs="Arial"/>
            <w:sz w:val="20"/>
            <w:szCs w:val="20"/>
          </w:rPr>
          <w:t xml:space="preserve"> Câmara</w:t>
        </w:r>
      </w:hyperlink>
      <w:r w:rsidR="00D677AD">
        <w:rPr>
          <w:rStyle w:val="Hyperlink"/>
          <w:rFonts w:ascii="Arial" w:hAnsi="Arial" w:cs="Arial"/>
          <w:sz w:val="20"/>
          <w:szCs w:val="20"/>
        </w:rPr>
        <w:t xml:space="preserve"> </w:t>
      </w:r>
      <w:r w:rsidR="00D677AD" w:rsidRPr="007D3051">
        <w:rPr>
          <w:rStyle w:val="Hyperlink"/>
          <w:rFonts w:ascii="Arial" w:hAnsi="Arial" w:cs="Arial"/>
          <w:sz w:val="20"/>
          <w:szCs w:val="20"/>
          <w:u w:val="none"/>
        </w:rPr>
        <w:t>-</w:t>
      </w:r>
      <w:r>
        <w:rPr>
          <w:rFonts w:ascii="Arial" w:hAnsi="Arial" w:cs="Arial"/>
          <w:sz w:val="20"/>
          <w:szCs w:val="20"/>
        </w:rPr>
        <w:t xml:space="preserve"> Relator Conselheiro Fernando Augusto Mello Guimarães. </w:t>
      </w:r>
    </w:p>
    <w:p w:rsidR="004429A2" w:rsidRPr="0022060B" w:rsidRDefault="004429A2" w:rsidP="00816942">
      <w:pPr>
        <w:autoSpaceDE w:val="0"/>
        <w:autoSpaceDN w:val="0"/>
        <w:adjustRightInd w:val="0"/>
        <w:spacing w:after="0"/>
        <w:jc w:val="both"/>
        <w:rPr>
          <w:rFonts w:ascii="Arial" w:hAnsi="Arial" w:cs="Arial"/>
          <w:sz w:val="20"/>
          <w:szCs w:val="20"/>
        </w:rPr>
      </w:pPr>
    </w:p>
    <w:p w:rsidR="00EC3842" w:rsidRPr="0022060B" w:rsidRDefault="00EC3842" w:rsidP="007D15DB">
      <w:pPr>
        <w:shd w:val="pct10" w:color="auto" w:fill="auto"/>
        <w:jc w:val="center"/>
        <w:rPr>
          <w:rFonts w:ascii="Arial" w:hAnsi="Arial" w:cs="Arial"/>
          <w:b/>
          <w:sz w:val="20"/>
          <w:szCs w:val="20"/>
        </w:rPr>
      </w:pPr>
      <w:r w:rsidRPr="0022060B">
        <w:rPr>
          <w:rFonts w:ascii="Arial" w:hAnsi="Arial" w:cs="Arial"/>
          <w:b/>
          <w:sz w:val="20"/>
          <w:szCs w:val="20"/>
        </w:rPr>
        <w:t>SEGUNDA CÂMARA</w:t>
      </w:r>
    </w:p>
    <w:p w:rsidR="00BF5F41" w:rsidRPr="0003057F" w:rsidRDefault="0003057F" w:rsidP="007D15DB">
      <w:pPr>
        <w:autoSpaceDE w:val="0"/>
        <w:autoSpaceDN w:val="0"/>
        <w:adjustRightInd w:val="0"/>
        <w:spacing w:after="0"/>
        <w:jc w:val="both"/>
        <w:rPr>
          <w:rFonts w:ascii="Arial" w:hAnsi="Arial" w:cs="Arial"/>
          <w:b/>
          <w:sz w:val="20"/>
          <w:szCs w:val="20"/>
        </w:rPr>
      </w:pPr>
      <w:r>
        <w:rPr>
          <w:rFonts w:ascii="Arial" w:hAnsi="Arial" w:cs="Arial"/>
          <w:b/>
          <w:sz w:val="20"/>
          <w:szCs w:val="20"/>
        </w:rPr>
        <w:t>3</w:t>
      </w:r>
      <w:r w:rsidRPr="0003057F">
        <w:rPr>
          <w:rFonts w:ascii="Arial" w:hAnsi="Arial" w:cs="Arial"/>
          <w:b/>
          <w:sz w:val="20"/>
          <w:szCs w:val="20"/>
        </w:rPr>
        <w:t>.</w:t>
      </w:r>
      <w:r>
        <w:rPr>
          <w:rFonts w:ascii="Arial" w:hAnsi="Arial" w:cs="Arial"/>
          <w:b/>
          <w:sz w:val="20"/>
          <w:szCs w:val="20"/>
        </w:rPr>
        <w:t xml:space="preserve"> </w:t>
      </w:r>
      <w:r w:rsidR="00BF5F41" w:rsidRPr="0003057F">
        <w:rPr>
          <w:rFonts w:ascii="Arial" w:hAnsi="Arial" w:cs="Arial"/>
          <w:b/>
          <w:sz w:val="20"/>
          <w:szCs w:val="20"/>
        </w:rPr>
        <w:t>Prestação de Contas Anual.</w:t>
      </w:r>
      <w:r w:rsidR="007E51C9" w:rsidRPr="0003057F">
        <w:rPr>
          <w:rFonts w:ascii="Arial" w:hAnsi="Arial" w:cs="Arial"/>
          <w:b/>
          <w:sz w:val="20"/>
          <w:szCs w:val="20"/>
        </w:rPr>
        <w:t xml:space="preserve"> </w:t>
      </w:r>
      <w:r w:rsidR="007A7C35" w:rsidRPr="0003057F">
        <w:rPr>
          <w:rFonts w:ascii="Arial" w:hAnsi="Arial" w:cs="Arial"/>
          <w:b/>
          <w:sz w:val="20"/>
          <w:szCs w:val="20"/>
        </w:rPr>
        <w:t>Escopo da c</w:t>
      </w:r>
      <w:r w:rsidR="007E51C9" w:rsidRPr="0003057F">
        <w:rPr>
          <w:rFonts w:ascii="Arial" w:hAnsi="Arial" w:cs="Arial"/>
          <w:b/>
          <w:sz w:val="20"/>
          <w:szCs w:val="20"/>
        </w:rPr>
        <w:t>omposição das Contas. Complementação d</w:t>
      </w:r>
      <w:r w:rsidR="007A7C35" w:rsidRPr="0003057F">
        <w:rPr>
          <w:rFonts w:ascii="Arial" w:hAnsi="Arial" w:cs="Arial"/>
          <w:b/>
          <w:sz w:val="20"/>
          <w:szCs w:val="20"/>
        </w:rPr>
        <w:t>e</w:t>
      </w:r>
      <w:r w:rsidR="007E51C9" w:rsidRPr="0003057F">
        <w:rPr>
          <w:rFonts w:ascii="Arial" w:hAnsi="Arial" w:cs="Arial"/>
          <w:b/>
          <w:sz w:val="20"/>
          <w:szCs w:val="20"/>
        </w:rPr>
        <w:t xml:space="preserve"> Instrução. Desnecessidade. Exercício do Poder de Auto-Regulamentação. Não Indicação específica de algum fato irregular concreto.</w:t>
      </w:r>
    </w:p>
    <w:p w:rsidR="007E51C9" w:rsidRDefault="007E51C9" w:rsidP="007D15DB">
      <w:pPr>
        <w:autoSpaceDE w:val="0"/>
        <w:autoSpaceDN w:val="0"/>
        <w:adjustRightInd w:val="0"/>
        <w:spacing w:after="0"/>
        <w:jc w:val="both"/>
        <w:rPr>
          <w:rFonts w:ascii="Arial" w:hAnsi="Arial" w:cs="Arial"/>
          <w:b/>
          <w:sz w:val="20"/>
          <w:szCs w:val="20"/>
        </w:rPr>
      </w:pPr>
    </w:p>
    <w:p w:rsidR="007A7C35" w:rsidRDefault="007A7C35" w:rsidP="007D15DB">
      <w:pPr>
        <w:autoSpaceDE w:val="0"/>
        <w:autoSpaceDN w:val="0"/>
        <w:adjustRightInd w:val="0"/>
        <w:spacing w:after="0"/>
        <w:jc w:val="both"/>
        <w:rPr>
          <w:rFonts w:ascii="Arial" w:hAnsi="Arial" w:cs="Arial"/>
          <w:sz w:val="20"/>
          <w:szCs w:val="20"/>
        </w:rPr>
      </w:pPr>
      <w:r w:rsidRPr="007A7C35">
        <w:rPr>
          <w:rFonts w:ascii="Arial" w:hAnsi="Arial" w:cs="Arial"/>
          <w:sz w:val="20"/>
          <w:szCs w:val="20"/>
        </w:rPr>
        <w:t>Em</w:t>
      </w:r>
      <w:r>
        <w:rPr>
          <w:rFonts w:ascii="Arial" w:hAnsi="Arial" w:cs="Arial"/>
          <w:sz w:val="20"/>
          <w:szCs w:val="20"/>
        </w:rPr>
        <w:t xml:space="preserve"> </w:t>
      </w:r>
      <w:r w:rsidRPr="007A7C35">
        <w:rPr>
          <w:rFonts w:ascii="Arial" w:hAnsi="Arial" w:cs="Arial"/>
          <w:sz w:val="20"/>
          <w:szCs w:val="20"/>
        </w:rPr>
        <w:t>relação aos pleitos apresentados</w:t>
      </w:r>
      <w:r>
        <w:rPr>
          <w:rFonts w:ascii="Arial" w:hAnsi="Arial" w:cs="Arial"/>
          <w:sz w:val="20"/>
          <w:szCs w:val="20"/>
        </w:rPr>
        <w:t xml:space="preserve"> </w:t>
      </w:r>
      <w:r w:rsidRPr="007A7C35">
        <w:rPr>
          <w:rFonts w:ascii="Arial" w:hAnsi="Arial" w:cs="Arial"/>
          <w:sz w:val="20"/>
          <w:szCs w:val="20"/>
        </w:rPr>
        <w:t>pelo Ministério Público de Contas de complementação da instrução, o presente</w:t>
      </w:r>
      <w:r>
        <w:rPr>
          <w:rFonts w:ascii="Arial" w:hAnsi="Arial" w:cs="Arial"/>
          <w:sz w:val="20"/>
          <w:szCs w:val="20"/>
        </w:rPr>
        <w:t xml:space="preserve"> </w:t>
      </w:r>
      <w:r w:rsidRPr="007A7C35">
        <w:rPr>
          <w:rFonts w:ascii="Arial" w:hAnsi="Arial" w:cs="Arial"/>
          <w:sz w:val="20"/>
          <w:szCs w:val="20"/>
        </w:rPr>
        <w:t>processo de prestação de contas municipais encontra-se devidamente instruído</w:t>
      </w:r>
      <w:r>
        <w:rPr>
          <w:rFonts w:ascii="Arial" w:hAnsi="Arial" w:cs="Arial"/>
          <w:sz w:val="20"/>
          <w:szCs w:val="20"/>
        </w:rPr>
        <w:t xml:space="preserve"> </w:t>
      </w:r>
      <w:r w:rsidRPr="007A7C35">
        <w:rPr>
          <w:rFonts w:ascii="Arial" w:hAnsi="Arial" w:cs="Arial"/>
          <w:sz w:val="20"/>
          <w:szCs w:val="20"/>
        </w:rPr>
        <w:t>dentro da fiel observância aos dispositivos legais, regimentais e normativos que</w:t>
      </w:r>
      <w:r>
        <w:rPr>
          <w:rFonts w:ascii="Arial" w:hAnsi="Arial" w:cs="Arial"/>
          <w:sz w:val="20"/>
          <w:szCs w:val="20"/>
        </w:rPr>
        <w:t xml:space="preserve"> </w:t>
      </w:r>
      <w:r w:rsidRPr="007A7C35">
        <w:rPr>
          <w:rFonts w:ascii="Arial" w:hAnsi="Arial" w:cs="Arial"/>
          <w:sz w:val="20"/>
          <w:szCs w:val="20"/>
        </w:rPr>
        <w:t>disciplinam a forma de composição e análise das prestações de contas.</w:t>
      </w:r>
    </w:p>
    <w:p w:rsidR="007A7C35" w:rsidRPr="007A7C35" w:rsidRDefault="007A7C35" w:rsidP="007D15DB">
      <w:pPr>
        <w:autoSpaceDE w:val="0"/>
        <w:autoSpaceDN w:val="0"/>
        <w:adjustRightInd w:val="0"/>
        <w:spacing w:after="0"/>
        <w:jc w:val="both"/>
        <w:rPr>
          <w:rFonts w:ascii="Arial" w:hAnsi="Arial" w:cs="Arial"/>
          <w:sz w:val="20"/>
          <w:szCs w:val="20"/>
        </w:rPr>
      </w:pPr>
    </w:p>
    <w:p w:rsidR="007A7C35" w:rsidRDefault="007A7C35" w:rsidP="007D15DB">
      <w:pPr>
        <w:autoSpaceDE w:val="0"/>
        <w:autoSpaceDN w:val="0"/>
        <w:adjustRightInd w:val="0"/>
        <w:spacing w:after="0"/>
        <w:jc w:val="both"/>
        <w:rPr>
          <w:rFonts w:ascii="Arial" w:hAnsi="Arial" w:cs="Arial"/>
          <w:sz w:val="20"/>
          <w:szCs w:val="20"/>
        </w:rPr>
      </w:pPr>
      <w:r w:rsidRPr="007A7C35">
        <w:rPr>
          <w:rFonts w:ascii="Arial" w:hAnsi="Arial" w:cs="Arial"/>
          <w:sz w:val="20"/>
          <w:szCs w:val="20"/>
        </w:rPr>
        <w:t>A propósito, é oportuno destacar que, em face da disposição</w:t>
      </w:r>
      <w:r>
        <w:rPr>
          <w:rFonts w:ascii="Arial" w:hAnsi="Arial" w:cs="Arial"/>
          <w:sz w:val="20"/>
          <w:szCs w:val="20"/>
        </w:rPr>
        <w:t xml:space="preserve"> </w:t>
      </w:r>
      <w:r w:rsidRPr="007A7C35">
        <w:rPr>
          <w:rFonts w:ascii="Arial" w:hAnsi="Arial" w:cs="Arial"/>
          <w:sz w:val="20"/>
          <w:szCs w:val="20"/>
        </w:rPr>
        <w:t>expressa do art. 226, §2º, do Regimento Interno, decorrente do exercício do poder</w:t>
      </w:r>
      <w:r>
        <w:rPr>
          <w:rFonts w:ascii="Arial" w:hAnsi="Arial" w:cs="Arial"/>
          <w:sz w:val="20"/>
          <w:szCs w:val="20"/>
        </w:rPr>
        <w:t xml:space="preserve"> </w:t>
      </w:r>
      <w:r w:rsidRPr="007A7C35">
        <w:rPr>
          <w:rFonts w:ascii="Arial" w:hAnsi="Arial" w:cs="Arial"/>
          <w:sz w:val="20"/>
          <w:szCs w:val="20"/>
        </w:rPr>
        <w:t>de auto-regulamentação desta Corte, previsto no art. 2º, I, de sua Lei Orgânica, “</w:t>
      </w:r>
      <w:r w:rsidRPr="007A7C35">
        <w:rPr>
          <w:rFonts w:ascii="Arial" w:hAnsi="Arial" w:cs="Arial"/>
          <w:i/>
          <w:iCs/>
          <w:sz w:val="20"/>
          <w:szCs w:val="20"/>
        </w:rPr>
        <w:t>O</w:t>
      </w:r>
      <w:r>
        <w:rPr>
          <w:rFonts w:ascii="Arial" w:hAnsi="Arial" w:cs="Arial"/>
          <w:i/>
          <w:iCs/>
          <w:sz w:val="20"/>
          <w:szCs w:val="20"/>
        </w:rPr>
        <w:t xml:space="preserve"> </w:t>
      </w:r>
      <w:r w:rsidRPr="007A7C35">
        <w:rPr>
          <w:rFonts w:ascii="Arial" w:hAnsi="Arial" w:cs="Arial"/>
          <w:i/>
          <w:iCs/>
          <w:sz w:val="20"/>
          <w:szCs w:val="20"/>
        </w:rPr>
        <w:t>escopo de análise das prestações de contas anuais de gestão e a forma e</w:t>
      </w:r>
      <w:r>
        <w:rPr>
          <w:rFonts w:ascii="Arial" w:hAnsi="Arial" w:cs="Arial"/>
          <w:i/>
          <w:iCs/>
          <w:sz w:val="20"/>
          <w:szCs w:val="20"/>
        </w:rPr>
        <w:t xml:space="preserve"> </w:t>
      </w:r>
      <w:r w:rsidRPr="007A7C35">
        <w:rPr>
          <w:rFonts w:ascii="Arial" w:hAnsi="Arial" w:cs="Arial"/>
          <w:i/>
          <w:iCs/>
          <w:sz w:val="20"/>
          <w:szCs w:val="20"/>
        </w:rPr>
        <w:t xml:space="preserve">composição da Prestação de Contas Municipal </w:t>
      </w:r>
      <w:r>
        <w:rPr>
          <w:rFonts w:ascii="Arial" w:hAnsi="Arial" w:cs="Arial"/>
          <w:i/>
          <w:iCs/>
          <w:sz w:val="20"/>
          <w:szCs w:val="20"/>
        </w:rPr>
        <w:t>-</w:t>
      </w:r>
      <w:r w:rsidRPr="007A7C35">
        <w:rPr>
          <w:rFonts w:ascii="Arial" w:hAnsi="Arial" w:cs="Arial"/>
          <w:i/>
          <w:iCs/>
          <w:sz w:val="20"/>
          <w:szCs w:val="20"/>
        </w:rPr>
        <w:t xml:space="preserve"> PCA, serão disciplinadas por</w:t>
      </w:r>
      <w:r>
        <w:rPr>
          <w:rFonts w:ascii="Arial" w:hAnsi="Arial" w:cs="Arial"/>
          <w:i/>
          <w:iCs/>
          <w:sz w:val="20"/>
          <w:szCs w:val="20"/>
        </w:rPr>
        <w:t xml:space="preserve"> </w:t>
      </w:r>
      <w:r w:rsidRPr="007A7C35">
        <w:rPr>
          <w:rFonts w:ascii="Arial" w:hAnsi="Arial" w:cs="Arial"/>
          <w:i/>
          <w:iCs/>
          <w:sz w:val="20"/>
          <w:szCs w:val="20"/>
        </w:rPr>
        <w:t>Instrução Normativa</w:t>
      </w:r>
      <w:r w:rsidRPr="007A7C35">
        <w:rPr>
          <w:rFonts w:ascii="Arial" w:hAnsi="Arial" w:cs="Arial"/>
          <w:sz w:val="20"/>
          <w:szCs w:val="20"/>
        </w:rPr>
        <w:t>”.</w:t>
      </w:r>
    </w:p>
    <w:p w:rsidR="007A7C35" w:rsidRPr="007A7C35" w:rsidRDefault="007A7C35" w:rsidP="007D15DB">
      <w:pPr>
        <w:autoSpaceDE w:val="0"/>
        <w:autoSpaceDN w:val="0"/>
        <w:adjustRightInd w:val="0"/>
        <w:spacing w:after="0"/>
        <w:jc w:val="both"/>
        <w:rPr>
          <w:rFonts w:ascii="Arial" w:hAnsi="Arial" w:cs="Arial"/>
          <w:sz w:val="20"/>
          <w:szCs w:val="20"/>
        </w:rPr>
      </w:pPr>
    </w:p>
    <w:p w:rsidR="007A7C35" w:rsidRDefault="007A7C35" w:rsidP="007D15DB">
      <w:pPr>
        <w:autoSpaceDE w:val="0"/>
        <w:autoSpaceDN w:val="0"/>
        <w:adjustRightInd w:val="0"/>
        <w:spacing w:after="0"/>
        <w:jc w:val="both"/>
        <w:rPr>
          <w:rFonts w:ascii="Arial" w:hAnsi="Arial" w:cs="Arial"/>
          <w:sz w:val="20"/>
          <w:szCs w:val="20"/>
        </w:rPr>
      </w:pPr>
      <w:r w:rsidRPr="007A7C35">
        <w:rPr>
          <w:rFonts w:ascii="Arial" w:hAnsi="Arial" w:cs="Arial"/>
          <w:sz w:val="20"/>
          <w:szCs w:val="20"/>
        </w:rPr>
        <w:t>No caso do exercício de 2012, a Instrução Normativa n</w:t>
      </w:r>
      <w:r>
        <w:rPr>
          <w:rFonts w:ascii="Arial" w:hAnsi="Arial" w:cs="Arial"/>
          <w:sz w:val="20"/>
          <w:szCs w:val="20"/>
        </w:rPr>
        <w:t>°</w:t>
      </w:r>
      <w:r w:rsidRPr="007A7C35">
        <w:rPr>
          <w:rFonts w:ascii="Arial" w:hAnsi="Arial" w:cs="Arial"/>
          <w:sz w:val="20"/>
          <w:szCs w:val="20"/>
        </w:rPr>
        <w:t xml:space="preserve"> 90/2013</w:t>
      </w:r>
      <w:r>
        <w:rPr>
          <w:rFonts w:ascii="Arial" w:hAnsi="Arial" w:cs="Arial"/>
          <w:sz w:val="20"/>
          <w:szCs w:val="20"/>
        </w:rPr>
        <w:t xml:space="preserve"> </w:t>
      </w:r>
      <w:r w:rsidRPr="007A7C35">
        <w:rPr>
          <w:rFonts w:ascii="Arial" w:hAnsi="Arial" w:cs="Arial"/>
          <w:sz w:val="20"/>
          <w:szCs w:val="20"/>
        </w:rPr>
        <w:t>fixou o escopo de análise da prestação de contas municipais e a Instrução</w:t>
      </w:r>
      <w:r>
        <w:rPr>
          <w:rFonts w:ascii="Arial" w:hAnsi="Arial" w:cs="Arial"/>
          <w:sz w:val="20"/>
          <w:szCs w:val="20"/>
        </w:rPr>
        <w:t xml:space="preserve"> </w:t>
      </w:r>
      <w:r w:rsidRPr="007A7C35">
        <w:rPr>
          <w:rFonts w:ascii="Arial" w:hAnsi="Arial" w:cs="Arial"/>
          <w:sz w:val="20"/>
          <w:szCs w:val="20"/>
        </w:rPr>
        <w:t>Normativa n</w:t>
      </w:r>
      <w:r>
        <w:rPr>
          <w:rFonts w:ascii="Arial" w:hAnsi="Arial" w:cs="Arial"/>
          <w:sz w:val="20"/>
          <w:szCs w:val="20"/>
        </w:rPr>
        <w:t>°</w:t>
      </w:r>
      <w:r w:rsidRPr="007A7C35">
        <w:rPr>
          <w:rFonts w:ascii="Arial" w:hAnsi="Arial" w:cs="Arial"/>
          <w:sz w:val="20"/>
          <w:szCs w:val="20"/>
        </w:rPr>
        <w:t xml:space="preserve"> 85/2012 disciplinou a forma e a composição das referidas prestações</w:t>
      </w:r>
      <w:r>
        <w:rPr>
          <w:rFonts w:ascii="Arial" w:hAnsi="Arial" w:cs="Arial"/>
          <w:sz w:val="20"/>
          <w:szCs w:val="20"/>
        </w:rPr>
        <w:t xml:space="preserve"> </w:t>
      </w:r>
      <w:r w:rsidRPr="007A7C35">
        <w:rPr>
          <w:rFonts w:ascii="Arial" w:hAnsi="Arial" w:cs="Arial"/>
          <w:sz w:val="20"/>
          <w:szCs w:val="20"/>
        </w:rPr>
        <w:t>de contas, o que foi observado nos presentes autos.</w:t>
      </w:r>
    </w:p>
    <w:p w:rsidR="007A7C35" w:rsidRPr="007A7C35" w:rsidRDefault="007A7C35" w:rsidP="007D15DB">
      <w:pPr>
        <w:autoSpaceDE w:val="0"/>
        <w:autoSpaceDN w:val="0"/>
        <w:adjustRightInd w:val="0"/>
        <w:spacing w:after="0"/>
        <w:jc w:val="both"/>
        <w:rPr>
          <w:rFonts w:ascii="Arial" w:hAnsi="Arial" w:cs="Arial"/>
          <w:sz w:val="20"/>
          <w:szCs w:val="20"/>
        </w:rPr>
      </w:pPr>
    </w:p>
    <w:p w:rsidR="007A7C35" w:rsidRDefault="007A7C35" w:rsidP="007D15DB">
      <w:pPr>
        <w:autoSpaceDE w:val="0"/>
        <w:autoSpaceDN w:val="0"/>
        <w:adjustRightInd w:val="0"/>
        <w:spacing w:after="0"/>
        <w:jc w:val="both"/>
        <w:rPr>
          <w:rFonts w:ascii="Arial" w:hAnsi="Arial" w:cs="Arial"/>
          <w:sz w:val="20"/>
          <w:szCs w:val="20"/>
        </w:rPr>
      </w:pPr>
      <w:r w:rsidRPr="007A7C35">
        <w:rPr>
          <w:rFonts w:ascii="Arial" w:hAnsi="Arial" w:cs="Arial"/>
          <w:sz w:val="20"/>
          <w:szCs w:val="20"/>
        </w:rPr>
        <w:t xml:space="preserve">Assim, conforme </w:t>
      </w:r>
      <w:proofErr w:type="gramStart"/>
      <w:r w:rsidRPr="007A7C35">
        <w:rPr>
          <w:rFonts w:ascii="Arial" w:hAnsi="Arial" w:cs="Arial"/>
          <w:sz w:val="20"/>
          <w:szCs w:val="20"/>
        </w:rPr>
        <w:t xml:space="preserve">razões apresentadas pela </w:t>
      </w:r>
      <w:r w:rsidR="00191162">
        <w:rPr>
          <w:rFonts w:ascii="Arial" w:hAnsi="Arial" w:cs="Arial"/>
          <w:sz w:val="20"/>
          <w:szCs w:val="20"/>
        </w:rPr>
        <w:t>unidade técnica</w:t>
      </w:r>
      <w:r>
        <w:rPr>
          <w:rFonts w:ascii="Arial" w:hAnsi="Arial" w:cs="Arial"/>
          <w:sz w:val="20"/>
          <w:szCs w:val="20"/>
        </w:rPr>
        <w:t>, em sua i</w:t>
      </w:r>
      <w:r w:rsidRPr="007A7C35">
        <w:rPr>
          <w:rFonts w:ascii="Arial" w:hAnsi="Arial" w:cs="Arial"/>
          <w:sz w:val="20"/>
          <w:szCs w:val="20"/>
        </w:rPr>
        <w:t>nstrução</w:t>
      </w:r>
      <w:r>
        <w:rPr>
          <w:rFonts w:ascii="Arial" w:hAnsi="Arial" w:cs="Arial"/>
          <w:sz w:val="20"/>
          <w:szCs w:val="20"/>
        </w:rPr>
        <w:t xml:space="preserve"> processual</w:t>
      </w:r>
      <w:r w:rsidRPr="007A7C35">
        <w:rPr>
          <w:rFonts w:ascii="Arial" w:hAnsi="Arial" w:cs="Arial"/>
          <w:sz w:val="20"/>
          <w:szCs w:val="20"/>
        </w:rPr>
        <w:t>, deve</w:t>
      </w:r>
      <w:proofErr w:type="gramEnd"/>
      <w:r w:rsidRPr="007A7C35">
        <w:rPr>
          <w:rFonts w:ascii="Arial" w:hAnsi="Arial" w:cs="Arial"/>
          <w:sz w:val="20"/>
          <w:szCs w:val="20"/>
        </w:rPr>
        <w:t xml:space="preserve"> prevalecer o</w:t>
      </w:r>
      <w:r>
        <w:rPr>
          <w:rFonts w:ascii="Arial" w:hAnsi="Arial" w:cs="Arial"/>
          <w:sz w:val="20"/>
          <w:szCs w:val="20"/>
        </w:rPr>
        <w:t xml:space="preserve"> </w:t>
      </w:r>
      <w:r w:rsidRPr="007A7C35">
        <w:rPr>
          <w:rFonts w:ascii="Arial" w:hAnsi="Arial" w:cs="Arial"/>
          <w:sz w:val="20"/>
          <w:szCs w:val="20"/>
        </w:rPr>
        <w:t>escopo de análise da prestação de contas, conforme mencionadas Instruções</w:t>
      </w:r>
      <w:r>
        <w:rPr>
          <w:rFonts w:ascii="Arial" w:hAnsi="Arial" w:cs="Arial"/>
          <w:sz w:val="20"/>
          <w:szCs w:val="20"/>
        </w:rPr>
        <w:t xml:space="preserve"> </w:t>
      </w:r>
      <w:r w:rsidRPr="007A7C35">
        <w:rPr>
          <w:rFonts w:ascii="Arial" w:hAnsi="Arial" w:cs="Arial"/>
          <w:sz w:val="20"/>
          <w:szCs w:val="20"/>
        </w:rPr>
        <w:t>Normativas.</w:t>
      </w:r>
    </w:p>
    <w:p w:rsidR="007A7C35" w:rsidRPr="007A7C35" w:rsidRDefault="007A7C35" w:rsidP="007D15DB">
      <w:pPr>
        <w:autoSpaceDE w:val="0"/>
        <w:autoSpaceDN w:val="0"/>
        <w:adjustRightInd w:val="0"/>
        <w:spacing w:after="0"/>
        <w:jc w:val="both"/>
        <w:rPr>
          <w:rFonts w:ascii="Arial" w:hAnsi="Arial" w:cs="Arial"/>
          <w:sz w:val="20"/>
          <w:szCs w:val="20"/>
        </w:rPr>
      </w:pPr>
    </w:p>
    <w:p w:rsidR="007A7C35" w:rsidRPr="007A7C35" w:rsidRDefault="007A7C35" w:rsidP="007D15DB">
      <w:pPr>
        <w:autoSpaceDE w:val="0"/>
        <w:autoSpaceDN w:val="0"/>
        <w:adjustRightInd w:val="0"/>
        <w:spacing w:after="0"/>
        <w:jc w:val="both"/>
        <w:rPr>
          <w:rFonts w:ascii="Arial" w:hAnsi="Arial" w:cs="Arial"/>
          <w:sz w:val="20"/>
          <w:szCs w:val="20"/>
        </w:rPr>
      </w:pPr>
      <w:r w:rsidRPr="007A7C35">
        <w:rPr>
          <w:rFonts w:ascii="Arial" w:hAnsi="Arial" w:cs="Arial"/>
          <w:sz w:val="20"/>
          <w:szCs w:val="20"/>
        </w:rPr>
        <w:t>Importante acrescentar que, inobstante a relevância dos tópicos</w:t>
      </w:r>
      <w:r w:rsidR="00191162">
        <w:rPr>
          <w:rFonts w:ascii="Arial" w:hAnsi="Arial" w:cs="Arial"/>
          <w:sz w:val="20"/>
          <w:szCs w:val="20"/>
        </w:rPr>
        <w:t xml:space="preserve"> </w:t>
      </w:r>
      <w:r w:rsidRPr="007A7C35">
        <w:rPr>
          <w:rFonts w:ascii="Arial" w:hAnsi="Arial" w:cs="Arial"/>
          <w:sz w:val="20"/>
          <w:szCs w:val="20"/>
        </w:rPr>
        <w:t>apresentados pel</w:t>
      </w:r>
      <w:r w:rsidR="00191162">
        <w:rPr>
          <w:rFonts w:ascii="Arial" w:hAnsi="Arial" w:cs="Arial"/>
          <w:sz w:val="20"/>
          <w:szCs w:val="20"/>
        </w:rPr>
        <w:t xml:space="preserve">o representante do </w:t>
      </w:r>
      <w:r w:rsidR="00191162" w:rsidRPr="00191162">
        <w:rPr>
          <w:rFonts w:ascii="Arial" w:hAnsi="Arial" w:cs="Arial"/>
          <w:i/>
          <w:sz w:val="20"/>
          <w:szCs w:val="20"/>
        </w:rPr>
        <w:t>Parquet</w:t>
      </w:r>
      <w:r w:rsidR="00191162">
        <w:rPr>
          <w:rFonts w:ascii="Arial" w:hAnsi="Arial" w:cs="Arial"/>
          <w:sz w:val="20"/>
          <w:szCs w:val="20"/>
        </w:rPr>
        <w:t xml:space="preserve"> de Contas</w:t>
      </w:r>
      <w:r w:rsidRPr="007A7C35">
        <w:rPr>
          <w:rFonts w:ascii="Arial" w:hAnsi="Arial" w:cs="Arial"/>
          <w:sz w:val="20"/>
          <w:szCs w:val="20"/>
        </w:rPr>
        <w:t>, em sua</w:t>
      </w:r>
      <w:r w:rsidR="00191162">
        <w:rPr>
          <w:rFonts w:ascii="Arial" w:hAnsi="Arial" w:cs="Arial"/>
          <w:sz w:val="20"/>
          <w:szCs w:val="20"/>
        </w:rPr>
        <w:t xml:space="preserve"> </w:t>
      </w:r>
      <w:r w:rsidRPr="007A7C35">
        <w:rPr>
          <w:rFonts w:ascii="Arial" w:hAnsi="Arial" w:cs="Arial"/>
          <w:sz w:val="20"/>
          <w:szCs w:val="20"/>
        </w:rPr>
        <w:t>manifestação, não houve a indicação específica de algum fato</w:t>
      </w:r>
      <w:r w:rsidR="00191162">
        <w:rPr>
          <w:rFonts w:ascii="Arial" w:hAnsi="Arial" w:cs="Arial"/>
          <w:sz w:val="20"/>
          <w:szCs w:val="20"/>
        </w:rPr>
        <w:t xml:space="preserve"> </w:t>
      </w:r>
      <w:r w:rsidRPr="007A7C35">
        <w:rPr>
          <w:rFonts w:ascii="Arial" w:hAnsi="Arial" w:cs="Arial"/>
          <w:sz w:val="20"/>
          <w:szCs w:val="20"/>
        </w:rPr>
        <w:t>irregular concreto, ao qual esses mesmos questionamentos poderiam estar</w:t>
      </w:r>
      <w:r w:rsidR="00191162">
        <w:rPr>
          <w:rFonts w:ascii="Arial" w:hAnsi="Arial" w:cs="Arial"/>
          <w:sz w:val="20"/>
          <w:szCs w:val="20"/>
        </w:rPr>
        <w:t xml:space="preserve"> </w:t>
      </w:r>
      <w:r w:rsidRPr="007A7C35">
        <w:rPr>
          <w:rFonts w:ascii="Arial" w:hAnsi="Arial" w:cs="Arial"/>
          <w:sz w:val="20"/>
          <w:szCs w:val="20"/>
        </w:rPr>
        <w:t>associados e que autorizasse a ampliação do escopo da instrução, ainda que não</w:t>
      </w:r>
      <w:r w:rsidR="00191162">
        <w:rPr>
          <w:rFonts w:ascii="Arial" w:hAnsi="Arial" w:cs="Arial"/>
          <w:sz w:val="20"/>
          <w:szCs w:val="20"/>
        </w:rPr>
        <w:t xml:space="preserve"> </w:t>
      </w:r>
      <w:r w:rsidRPr="007A7C35">
        <w:rPr>
          <w:rFonts w:ascii="Arial" w:hAnsi="Arial" w:cs="Arial"/>
          <w:sz w:val="20"/>
          <w:szCs w:val="20"/>
        </w:rPr>
        <w:t>abrangido na referida Instrução Normativa.</w:t>
      </w:r>
      <w:r w:rsidR="00191162">
        <w:rPr>
          <w:rFonts w:ascii="Arial" w:hAnsi="Arial" w:cs="Arial"/>
          <w:sz w:val="20"/>
          <w:szCs w:val="20"/>
        </w:rPr>
        <w:t xml:space="preserve"> </w:t>
      </w:r>
      <w:r w:rsidRPr="007A7C35">
        <w:rPr>
          <w:rFonts w:ascii="Arial" w:hAnsi="Arial" w:cs="Arial"/>
          <w:sz w:val="20"/>
          <w:szCs w:val="20"/>
        </w:rPr>
        <w:t>Dessa forma, por terem sido apresentados de forma genérica, não</w:t>
      </w:r>
    </w:p>
    <w:p w:rsidR="006D158F" w:rsidRDefault="007A7C35" w:rsidP="007D15DB">
      <w:pPr>
        <w:autoSpaceDE w:val="0"/>
        <w:autoSpaceDN w:val="0"/>
        <w:adjustRightInd w:val="0"/>
        <w:spacing w:after="0"/>
        <w:jc w:val="both"/>
        <w:rPr>
          <w:rFonts w:ascii="Arial" w:hAnsi="Arial" w:cs="Arial"/>
          <w:sz w:val="20"/>
          <w:szCs w:val="20"/>
        </w:rPr>
      </w:pPr>
      <w:r w:rsidRPr="007A7C35">
        <w:rPr>
          <w:rFonts w:ascii="Arial" w:hAnsi="Arial" w:cs="Arial"/>
          <w:sz w:val="20"/>
          <w:szCs w:val="20"/>
        </w:rPr>
        <w:t>há como conhecer dos questionamentos suscitados.</w:t>
      </w:r>
      <w:r w:rsidR="00191162">
        <w:rPr>
          <w:rFonts w:ascii="Arial" w:hAnsi="Arial" w:cs="Arial"/>
          <w:sz w:val="20"/>
          <w:szCs w:val="20"/>
        </w:rPr>
        <w:t xml:space="preserve"> </w:t>
      </w:r>
    </w:p>
    <w:p w:rsidR="00191162" w:rsidRDefault="00191162" w:rsidP="007D15DB">
      <w:pPr>
        <w:autoSpaceDE w:val="0"/>
        <w:autoSpaceDN w:val="0"/>
        <w:adjustRightInd w:val="0"/>
        <w:spacing w:after="0"/>
        <w:jc w:val="both"/>
        <w:rPr>
          <w:rFonts w:ascii="Arial" w:hAnsi="Arial" w:cs="Arial"/>
          <w:sz w:val="20"/>
          <w:szCs w:val="20"/>
        </w:rPr>
      </w:pPr>
    </w:p>
    <w:p w:rsidR="00191162" w:rsidRDefault="00610F00" w:rsidP="007D15DB">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257943/13 - </w:t>
      </w:r>
      <w:hyperlink r:id="rId10" w:history="1">
        <w:r w:rsidRPr="00C96F73">
          <w:rPr>
            <w:rStyle w:val="Hyperlink"/>
            <w:rFonts w:ascii="Arial" w:hAnsi="Arial" w:cs="Arial"/>
            <w:sz w:val="20"/>
            <w:szCs w:val="20"/>
          </w:rPr>
          <w:t xml:space="preserve">Acórdão n° 207/18 </w:t>
        </w:r>
        <w:r w:rsidR="00243D58" w:rsidRPr="00C96F73">
          <w:rPr>
            <w:rStyle w:val="Hyperlink"/>
            <w:rFonts w:ascii="Arial" w:hAnsi="Arial" w:cs="Arial"/>
            <w:sz w:val="20"/>
            <w:szCs w:val="20"/>
          </w:rPr>
          <w:t>-</w:t>
        </w:r>
        <w:r w:rsidRPr="00C96F73">
          <w:rPr>
            <w:rStyle w:val="Hyperlink"/>
            <w:rFonts w:ascii="Arial" w:hAnsi="Arial" w:cs="Arial"/>
            <w:sz w:val="20"/>
            <w:szCs w:val="20"/>
          </w:rPr>
          <w:t xml:space="preserve"> </w:t>
        </w:r>
        <w:r w:rsidR="007E5301" w:rsidRPr="00C96F73">
          <w:rPr>
            <w:rStyle w:val="Hyperlink"/>
            <w:rFonts w:ascii="Arial" w:hAnsi="Arial" w:cs="Arial"/>
            <w:sz w:val="20"/>
            <w:szCs w:val="20"/>
          </w:rPr>
          <w:t>Segunda Câmara</w:t>
        </w:r>
      </w:hyperlink>
      <w:r>
        <w:rPr>
          <w:rFonts w:ascii="Arial" w:hAnsi="Arial" w:cs="Arial"/>
          <w:sz w:val="20"/>
          <w:szCs w:val="20"/>
        </w:rPr>
        <w:t xml:space="preserve"> </w:t>
      </w:r>
      <w:r w:rsidR="00243D58">
        <w:rPr>
          <w:rFonts w:ascii="Arial" w:hAnsi="Arial" w:cs="Arial"/>
          <w:sz w:val="20"/>
          <w:szCs w:val="20"/>
        </w:rPr>
        <w:t>-</w:t>
      </w:r>
      <w:r>
        <w:rPr>
          <w:rFonts w:ascii="Arial" w:hAnsi="Arial" w:cs="Arial"/>
          <w:sz w:val="20"/>
          <w:szCs w:val="20"/>
        </w:rPr>
        <w:t xml:space="preserve"> </w:t>
      </w:r>
      <w:r w:rsidR="007E5301">
        <w:rPr>
          <w:rFonts w:ascii="Arial" w:hAnsi="Arial" w:cs="Arial"/>
          <w:sz w:val="20"/>
          <w:szCs w:val="20"/>
        </w:rPr>
        <w:t>Rel. Cons. Ivens Zschoerper Linhares.</w:t>
      </w:r>
    </w:p>
    <w:p w:rsidR="0003057F" w:rsidRDefault="0003057F" w:rsidP="007D15DB">
      <w:pPr>
        <w:autoSpaceDE w:val="0"/>
        <w:autoSpaceDN w:val="0"/>
        <w:adjustRightInd w:val="0"/>
        <w:spacing w:after="0"/>
        <w:jc w:val="both"/>
        <w:rPr>
          <w:rFonts w:ascii="Arial" w:hAnsi="Arial" w:cs="Arial"/>
          <w:sz w:val="20"/>
          <w:szCs w:val="20"/>
        </w:rPr>
      </w:pPr>
    </w:p>
    <w:p w:rsidR="0003057F" w:rsidRDefault="0003057F" w:rsidP="007D15DB">
      <w:pPr>
        <w:autoSpaceDE w:val="0"/>
        <w:autoSpaceDN w:val="0"/>
        <w:adjustRightInd w:val="0"/>
        <w:spacing w:after="0"/>
        <w:jc w:val="both"/>
        <w:rPr>
          <w:rFonts w:ascii="Arial" w:hAnsi="Arial" w:cs="Arial"/>
          <w:sz w:val="20"/>
          <w:szCs w:val="20"/>
        </w:rPr>
      </w:pPr>
    </w:p>
    <w:p w:rsidR="0003057F" w:rsidRPr="00082271" w:rsidRDefault="0003057F" w:rsidP="007D15DB">
      <w:pPr>
        <w:autoSpaceDE w:val="0"/>
        <w:autoSpaceDN w:val="0"/>
        <w:adjustRightInd w:val="0"/>
        <w:spacing w:after="0"/>
        <w:jc w:val="both"/>
        <w:rPr>
          <w:rFonts w:ascii="Arial" w:hAnsi="Arial" w:cs="Arial"/>
          <w:b/>
          <w:sz w:val="20"/>
          <w:szCs w:val="20"/>
        </w:rPr>
      </w:pPr>
      <w:r>
        <w:rPr>
          <w:rFonts w:ascii="Arial" w:hAnsi="Arial" w:cs="Arial"/>
          <w:b/>
          <w:sz w:val="20"/>
          <w:szCs w:val="20"/>
        </w:rPr>
        <w:lastRenderedPageBreak/>
        <w:t xml:space="preserve">4. </w:t>
      </w:r>
      <w:r w:rsidRPr="00082271">
        <w:rPr>
          <w:rFonts w:ascii="Arial" w:hAnsi="Arial" w:cs="Arial"/>
          <w:b/>
          <w:sz w:val="20"/>
          <w:szCs w:val="20"/>
        </w:rPr>
        <w:t>Certidão Liberatória. Prazo Processual. Cumprimento de determinação. Data de Publicação no Diário eletrônico. Data da intimação.</w:t>
      </w:r>
    </w:p>
    <w:p w:rsidR="007D15DB" w:rsidRDefault="007D15DB" w:rsidP="007D15DB">
      <w:pPr>
        <w:autoSpaceDE w:val="0"/>
        <w:autoSpaceDN w:val="0"/>
        <w:adjustRightInd w:val="0"/>
        <w:spacing w:after="0"/>
        <w:jc w:val="both"/>
        <w:rPr>
          <w:rFonts w:ascii="Arial" w:hAnsi="Arial" w:cs="Arial"/>
          <w:sz w:val="20"/>
          <w:szCs w:val="20"/>
        </w:rPr>
      </w:pPr>
    </w:p>
    <w:p w:rsidR="0003057F" w:rsidRDefault="0003057F" w:rsidP="007D15DB">
      <w:pPr>
        <w:autoSpaceDE w:val="0"/>
        <w:autoSpaceDN w:val="0"/>
        <w:adjustRightInd w:val="0"/>
        <w:spacing w:after="0"/>
        <w:jc w:val="both"/>
        <w:rPr>
          <w:rFonts w:ascii="Arial" w:hAnsi="Arial" w:cs="Arial"/>
          <w:sz w:val="20"/>
          <w:szCs w:val="20"/>
        </w:rPr>
      </w:pPr>
      <w:r w:rsidRPr="007A5C35">
        <w:rPr>
          <w:rFonts w:ascii="Arial" w:hAnsi="Arial" w:cs="Arial"/>
          <w:sz w:val="20"/>
          <w:szCs w:val="20"/>
        </w:rPr>
        <w:t>Deve-se admitir, a despeito de qualquer juízo de valor, que a inexistência de prazo para o cumprimento de uma obrigação permite ao responsável por tal postergar seu cumprimento indefinidamente, tratando o assunto como algo não prioritário. Nestes termos, natural que o Município tivesse formado a expectativa de que poderia cumprir a determinação no momento que lhe fosse mais oportuno, de modo que é razoável que o prazo comece a contar a partir do momento em que o ente foi intimado de que havia sim um prazo para o atendimento da determinação, até para que não haja violação do princípio da confiança. É razoável que o prazo para o cumprimento e despacho que determina demonstração de requisitos para obtenção de Certidão Liberatória seja contado a partir da sua efetiva definição, que se deu com a publicação no Diário deste Tribunal do despacho do relator, e não a partir do Acórdão, no qual não foi consignado o termo.</w:t>
      </w:r>
    </w:p>
    <w:p w:rsidR="007D15DB" w:rsidRDefault="007D15DB" w:rsidP="007D15DB">
      <w:pPr>
        <w:autoSpaceDE w:val="0"/>
        <w:autoSpaceDN w:val="0"/>
        <w:adjustRightInd w:val="0"/>
        <w:spacing w:after="0"/>
        <w:jc w:val="both"/>
        <w:rPr>
          <w:rFonts w:ascii="Arial" w:hAnsi="Arial" w:cs="Arial"/>
          <w:sz w:val="20"/>
          <w:szCs w:val="20"/>
        </w:rPr>
      </w:pPr>
    </w:p>
    <w:p w:rsidR="0003057F" w:rsidRDefault="0003057F" w:rsidP="007D15DB">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nº 73946/18. </w:t>
      </w:r>
      <w:hyperlink r:id="rId11" w:history="1">
        <w:r w:rsidRPr="006B20A1">
          <w:rPr>
            <w:rStyle w:val="Hyperlink"/>
            <w:rFonts w:ascii="Arial" w:hAnsi="Arial" w:cs="Arial"/>
            <w:sz w:val="20"/>
            <w:szCs w:val="20"/>
          </w:rPr>
          <w:t xml:space="preserve">Acórdão 303/18 </w:t>
        </w:r>
        <w:r w:rsidR="007D3051">
          <w:rPr>
            <w:rStyle w:val="Hyperlink"/>
            <w:rFonts w:ascii="Arial" w:hAnsi="Arial" w:cs="Arial"/>
            <w:sz w:val="20"/>
            <w:szCs w:val="20"/>
          </w:rPr>
          <w:t>-</w:t>
        </w:r>
        <w:r w:rsidRPr="006B20A1">
          <w:rPr>
            <w:rStyle w:val="Hyperlink"/>
            <w:rFonts w:ascii="Arial" w:hAnsi="Arial" w:cs="Arial"/>
            <w:sz w:val="20"/>
            <w:szCs w:val="20"/>
          </w:rPr>
          <w:t xml:space="preserve"> Segunda Câmara</w:t>
        </w:r>
      </w:hyperlink>
      <w:r w:rsidR="00D677AD" w:rsidRPr="00D677AD">
        <w:rPr>
          <w:rStyle w:val="Hyperlink"/>
          <w:rFonts w:ascii="Arial" w:hAnsi="Arial" w:cs="Arial"/>
          <w:sz w:val="20"/>
          <w:szCs w:val="20"/>
          <w:u w:val="none"/>
        </w:rPr>
        <w:t xml:space="preserve"> -</w:t>
      </w:r>
      <w:r w:rsidR="00D677AD">
        <w:rPr>
          <w:rFonts w:ascii="Arial" w:hAnsi="Arial" w:cs="Arial"/>
          <w:sz w:val="20"/>
          <w:szCs w:val="20"/>
        </w:rPr>
        <w:t xml:space="preserve"> </w:t>
      </w:r>
      <w:r>
        <w:rPr>
          <w:rFonts w:ascii="Arial" w:hAnsi="Arial" w:cs="Arial"/>
          <w:sz w:val="20"/>
          <w:szCs w:val="20"/>
        </w:rPr>
        <w:t xml:space="preserve">Relator Auditor </w:t>
      </w:r>
      <w:r w:rsidRPr="007A5C35">
        <w:rPr>
          <w:rFonts w:ascii="Arial" w:hAnsi="Arial" w:cs="Arial"/>
          <w:sz w:val="20"/>
          <w:szCs w:val="20"/>
        </w:rPr>
        <w:t>Thiago Barbosa Cordeiro.</w:t>
      </w:r>
    </w:p>
    <w:p w:rsidR="00A77146" w:rsidRDefault="00A77146" w:rsidP="006D158F">
      <w:pPr>
        <w:autoSpaceDE w:val="0"/>
        <w:autoSpaceDN w:val="0"/>
        <w:adjustRightInd w:val="0"/>
        <w:spacing w:after="0"/>
        <w:jc w:val="both"/>
        <w:rPr>
          <w:rFonts w:ascii="Arial" w:hAnsi="Arial" w:cs="Arial"/>
          <w:sz w:val="20"/>
          <w:szCs w:val="20"/>
        </w:rPr>
      </w:pPr>
    </w:p>
    <w:p w:rsidR="00AE4F42" w:rsidRPr="0022060B" w:rsidRDefault="00AE4F42" w:rsidP="007D15DB">
      <w:pPr>
        <w:shd w:val="pct10" w:color="auto" w:fill="auto"/>
        <w:jc w:val="center"/>
        <w:rPr>
          <w:rFonts w:ascii="Arial" w:hAnsi="Arial" w:cs="Arial"/>
          <w:b/>
          <w:sz w:val="20"/>
          <w:szCs w:val="20"/>
        </w:rPr>
      </w:pPr>
      <w:r w:rsidRPr="0022060B">
        <w:rPr>
          <w:rFonts w:ascii="Arial" w:hAnsi="Arial" w:cs="Arial"/>
          <w:b/>
          <w:sz w:val="20"/>
          <w:szCs w:val="20"/>
        </w:rPr>
        <w:t>TRIBUNAL PLENO</w:t>
      </w:r>
    </w:p>
    <w:p w:rsidR="00CB0509" w:rsidRPr="00FC1BF7" w:rsidRDefault="0003057F" w:rsidP="007D15DB">
      <w:pPr>
        <w:autoSpaceDE w:val="0"/>
        <w:autoSpaceDN w:val="0"/>
        <w:adjustRightInd w:val="0"/>
        <w:spacing w:after="0"/>
        <w:jc w:val="both"/>
        <w:rPr>
          <w:rFonts w:ascii="Arial" w:hAnsi="Arial" w:cs="Arial"/>
          <w:b/>
          <w:sz w:val="20"/>
          <w:szCs w:val="20"/>
        </w:rPr>
      </w:pPr>
      <w:r>
        <w:rPr>
          <w:rFonts w:ascii="Arial" w:hAnsi="Arial" w:cs="Arial"/>
          <w:b/>
          <w:sz w:val="20"/>
          <w:szCs w:val="20"/>
        </w:rPr>
        <w:t xml:space="preserve">5. </w:t>
      </w:r>
      <w:r w:rsidR="00CB0509" w:rsidRPr="00FC1BF7">
        <w:rPr>
          <w:rFonts w:ascii="Arial" w:hAnsi="Arial" w:cs="Arial"/>
          <w:b/>
          <w:sz w:val="20"/>
          <w:szCs w:val="20"/>
        </w:rPr>
        <w:t>Representação da Lei nº 8.666/93. Cautelar. Suspensão do certame ou do contrato. Não habilitação. Melhor oferta. Empresa do grupo empresarial apenada no Estado de Santa Catarina. Extensão da pena. Não imputação em empresa paranaense do grupo empresarial. Concessão de liminar. Suspensão até decisão definitiva.</w:t>
      </w:r>
    </w:p>
    <w:p w:rsidR="00CB0509" w:rsidRDefault="00CB0509" w:rsidP="007D15DB">
      <w:pPr>
        <w:autoSpaceDE w:val="0"/>
        <w:autoSpaceDN w:val="0"/>
        <w:adjustRightInd w:val="0"/>
        <w:spacing w:after="0"/>
        <w:jc w:val="both"/>
        <w:rPr>
          <w:rFonts w:ascii="Arial" w:hAnsi="Arial" w:cs="Arial"/>
          <w:sz w:val="20"/>
          <w:szCs w:val="20"/>
        </w:rPr>
      </w:pPr>
    </w:p>
    <w:p w:rsidR="00CB0509" w:rsidRDefault="00FC1BF7" w:rsidP="007D15DB">
      <w:pPr>
        <w:autoSpaceDE w:val="0"/>
        <w:autoSpaceDN w:val="0"/>
        <w:adjustRightInd w:val="0"/>
        <w:spacing w:after="0"/>
        <w:jc w:val="both"/>
        <w:rPr>
          <w:rFonts w:ascii="Arial" w:hAnsi="Arial" w:cs="Arial"/>
          <w:sz w:val="20"/>
          <w:szCs w:val="20"/>
        </w:rPr>
      </w:pPr>
      <w:r w:rsidRPr="00FC1BF7">
        <w:rPr>
          <w:rFonts w:ascii="Arial" w:hAnsi="Arial" w:cs="Arial"/>
          <w:sz w:val="20"/>
          <w:szCs w:val="20"/>
        </w:rPr>
        <w:t>Destaca-se que não havia no site deste Tribunal de Contas impedimento da empresa</w:t>
      </w:r>
      <w:r>
        <w:rPr>
          <w:rFonts w:ascii="Arial" w:hAnsi="Arial" w:cs="Arial"/>
          <w:sz w:val="20"/>
          <w:szCs w:val="20"/>
        </w:rPr>
        <w:t xml:space="preserve"> </w:t>
      </w:r>
      <w:r w:rsidRPr="00FC1BF7">
        <w:rPr>
          <w:rFonts w:ascii="Arial" w:hAnsi="Arial" w:cs="Arial"/>
          <w:sz w:val="20"/>
          <w:szCs w:val="20"/>
        </w:rPr>
        <w:t>representante participar de licitação.</w:t>
      </w:r>
      <w:r>
        <w:rPr>
          <w:rFonts w:ascii="Arial" w:hAnsi="Arial" w:cs="Arial"/>
          <w:sz w:val="20"/>
          <w:szCs w:val="20"/>
        </w:rPr>
        <w:t xml:space="preserve"> </w:t>
      </w:r>
      <w:r w:rsidRPr="00FC1BF7">
        <w:rPr>
          <w:rFonts w:ascii="Arial" w:hAnsi="Arial" w:cs="Arial"/>
          <w:sz w:val="20"/>
          <w:szCs w:val="20"/>
        </w:rPr>
        <w:t>Logo, não havia fundamento para a não habilitação da empresa</w:t>
      </w:r>
      <w:r>
        <w:rPr>
          <w:rFonts w:ascii="Arial" w:hAnsi="Arial" w:cs="Arial"/>
          <w:sz w:val="20"/>
          <w:szCs w:val="20"/>
        </w:rPr>
        <w:t xml:space="preserve"> </w:t>
      </w:r>
      <w:r w:rsidRPr="00FC1BF7">
        <w:rPr>
          <w:rFonts w:ascii="Arial" w:hAnsi="Arial" w:cs="Arial"/>
          <w:sz w:val="20"/>
          <w:szCs w:val="20"/>
        </w:rPr>
        <w:t>representante, que não se encontrava penalizada de participar de licitações.</w:t>
      </w:r>
    </w:p>
    <w:p w:rsidR="00FC1BF7" w:rsidRDefault="00FC1BF7" w:rsidP="007D15DB">
      <w:pPr>
        <w:autoSpaceDE w:val="0"/>
        <w:autoSpaceDN w:val="0"/>
        <w:adjustRightInd w:val="0"/>
        <w:spacing w:after="0"/>
        <w:jc w:val="both"/>
        <w:rPr>
          <w:rFonts w:ascii="Arial" w:hAnsi="Arial" w:cs="Arial"/>
          <w:sz w:val="20"/>
          <w:szCs w:val="20"/>
        </w:rPr>
      </w:pPr>
    </w:p>
    <w:p w:rsidR="00FC1BF7" w:rsidRDefault="00FC1BF7" w:rsidP="007D15DB">
      <w:pPr>
        <w:autoSpaceDE w:val="0"/>
        <w:autoSpaceDN w:val="0"/>
        <w:adjustRightInd w:val="0"/>
        <w:spacing w:after="0"/>
        <w:jc w:val="both"/>
        <w:rPr>
          <w:rFonts w:ascii="Arial" w:hAnsi="Arial" w:cs="Arial"/>
          <w:sz w:val="20"/>
          <w:szCs w:val="20"/>
        </w:rPr>
      </w:pPr>
      <w:r w:rsidRPr="00FC1BF7">
        <w:rPr>
          <w:rFonts w:ascii="Arial" w:hAnsi="Arial" w:cs="Arial"/>
          <w:sz w:val="20"/>
          <w:szCs w:val="20"/>
        </w:rPr>
        <w:t>O fato é ainda mais relevante diante de que a penalidade foi</w:t>
      </w:r>
      <w:r>
        <w:rPr>
          <w:rFonts w:ascii="Arial" w:hAnsi="Arial" w:cs="Arial"/>
          <w:sz w:val="20"/>
          <w:szCs w:val="20"/>
        </w:rPr>
        <w:t xml:space="preserve"> </w:t>
      </w:r>
      <w:r w:rsidRPr="00FC1BF7">
        <w:rPr>
          <w:rFonts w:ascii="Arial" w:hAnsi="Arial" w:cs="Arial"/>
          <w:sz w:val="20"/>
          <w:szCs w:val="20"/>
        </w:rPr>
        <w:t>aplicada à empresa do grupo empresarial, mas não à representante. Além disso, o</w:t>
      </w:r>
      <w:r>
        <w:rPr>
          <w:rFonts w:ascii="Arial" w:hAnsi="Arial" w:cs="Arial"/>
          <w:sz w:val="20"/>
          <w:szCs w:val="20"/>
        </w:rPr>
        <w:t xml:space="preserve"> </w:t>
      </w:r>
      <w:r w:rsidRPr="00FC1BF7">
        <w:rPr>
          <w:rFonts w:ascii="Arial" w:hAnsi="Arial" w:cs="Arial"/>
          <w:sz w:val="20"/>
          <w:szCs w:val="20"/>
        </w:rPr>
        <w:t>âmbito de abrangência da penalidade, embora discutível, em regra não atinge entes</w:t>
      </w:r>
      <w:r>
        <w:rPr>
          <w:rFonts w:ascii="Arial" w:hAnsi="Arial" w:cs="Arial"/>
          <w:sz w:val="20"/>
          <w:szCs w:val="20"/>
        </w:rPr>
        <w:t xml:space="preserve"> </w:t>
      </w:r>
      <w:r w:rsidRPr="00FC1BF7">
        <w:rPr>
          <w:rFonts w:ascii="Arial" w:hAnsi="Arial" w:cs="Arial"/>
          <w:sz w:val="20"/>
          <w:szCs w:val="20"/>
        </w:rPr>
        <w:t>distintos dos que aplicaram a penalidade, embora este fato seja devidamente levado</w:t>
      </w:r>
      <w:r>
        <w:rPr>
          <w:rFonts w:ascii="Arial" w:hAnsi="Arial" w:cs="Arial"/>
          <w:sz w:val="20"/>
          <w:szCs w:val="20"/>
        </w:rPr>
        <w:t xml:space="preserve"> </w:t>
      </w:r>
      <w:r w:rsidRPr="00FC1BF7">
        <w:rPr>
          <w:rFonts w:ascii="Arial" w:hAnsi="Arial" w:cs="Arial"/>
          <w:sz w:val="20"/>
          <w:szCs w:val="20"/>
        </w:rPr>
        <w:t>a julgamento no momento da análise do mérito desta representação.</w:t>
      </w:r>
      <w:r>
        <w:rPr>
          <w:rFonts w:ascii="Arial" w:hAnsi="Arial" w:cs="Arial"/>
          <w:sz w:val="20"/>
          <w:szCs w:val="20"/>
        </w:rPr>
        <w:t xml:space="preserve"> </w:t>
      </w:r>
      <w:r w:rsidRPr="00FC1BF7">
        <w:rPr>
          <w:rFonts w:ascii="Arial" w:hAnsi="Arial" w:cs="Arial"/>
          <w:sz w:val="20"/>
          <w:szCs w:val="20"/>
        </w:rPr>
        <w:t>Vale apontar que o Tribunal de Contas do Estado de Santa Catarina,</w:t>
      </w:r>
      <w:r>
        <w:rPr>
          <w:rFonts w:ascii="Arial" w:hAnsi="Arial" w:cs="Arial"/>
          <w:sz w:val="20"/>
          <w:szCs w:val="20"/>
        </w:rPr>
        <w:t xml:space="preserve"> </w:t>
      </w:r>
      <w:r w:rsidRPr="00FC1BF7">
        <w:rPr>
          <w:rFonts w:ascii="Arial" w:hAnsi="Arial" w:cs="Arial"/>
          <w:sz w:val="20"/>
          <w:szCs w:val="20"/>
        </w:rPr>
        <w:t>nos autos do Processo de Representação nº 680720/2017, entendeu que a</w:t>
      </w:r>
      <w:r>
        <w:rPr>
          <w:rFonts w:ascii="Arial" w:hAnsi="Arial" w:cs="Arial"/>
          <w:sz w:val="20"/>
          <w:szCs w:val="20"/>
        </w:rPr>
        <w:t xml:space="preserve"> </w:t>
      </w:r>
      <w:r w:rsidRPr="00FC1BF7">
        <w:rPr>
          <w:rFonts w:ascii="Arial" w:hAnsi="Arial" w:cs="Arial"/>
          <w:sz w:val="20"/>
          <w:szCs w:val="20"/>
        </w:rPr>
        <w:t>abrangência da pena aplicada pelo CISNORDESTE/SC se restringe ao ente</w:t>
      </w:r>
      <w:r>
        <w:rPr>
          <w:rFonts w:ascii="Arial" w:hAnsi="Arial" w:cs="Arial"/>
          <w:sz w:val="20"/>
          <w:szCs w:val="20"/>
        </w:rPr>
        <w:t xml:space="preserve"> </w:t>
      </w:r>
      <w:r w:rsidRPr="00FC1BF7">
        <w:rPr>
          <w:rFonts w:ascii="Arial" w:hAnsi="Arial" w:cs="Arial"/>
          <w:sz w:val="20"/>
          <w:szCs w:val="20"/>
        </w:rPr>
        <w:t>federado sancionador, porquanto baseada no art. 7º da Lei nº 10.520/02.</w:t>
      </w:r>
    </w:p>
    <w:p w:rsidR="00FC1BF7" w:rsidRPr="00FC1BF7" w:rsidRDefault="00FC1BF7" w:rsidP="007D15DB">
      <w:pPr>
        <w:autoSpaceDE w:val="0"/>
        <w:autoSpaceDN w:val="0"/>
        <w:adjustRightInd w:val="0"/>
        <w:spacing w:after="0"/>
        <w:jc w:val="both"/>
        <w:rPr>
          <w:rFonts w:ascii="Arial" w:hAnsi="Arial" w:cs="Arial"/>
          <w:sz w:val="20"/>
          <w:szCs w:val="20"/>
        </w:rPr>
      </w:pPr>
    </w:p>
    <w:p w:rsidR="00FC1BF7" w:rsidRPr="00FC1BF7" w:rsidRDefault="00FC1BF7" w:rsidP="007D15DB">
      <w:pPr>
        <w:autoSpaceDE w:val="0"/>
        <w:autoSpaceDN w:val="0"/>
        <w:adjustRightInd w:val="0"/>
        <w:spacing w:after="0"/>
        <w:jc w:val="both"/>
        <w:rPr>
          <w:rFonts w:ascii="Arial" w:hAnsi="Arial" w:cs="Arial"/>
          <w:sz w:val="20"/>
          <w:szCs w:val="20"/>
        </w:rPr>
      </w:pPr>
      <w:r w:rsidRPr="00FC1BF7">
        <w:rPr>
          <w:rFonts w:ascii="Arial" w:hAnsi="Arial" w:cs="Arial"/>
          <w:sz w:val="20"/>
          <w:szCs w:val="20"/>
        </w:rPr>
        <w:t>Assim, presente a fumaça do bom direito, pois o entendimento</w:t>
      </w:r>
      <w:r>
        <w:rPr>
          <w:rFonts w:ascii="Arial" w:hAnsi="Arial" w:cs="Arial"/>
          <w:sz w:val="20"/>
          <w:szCs w:val="20"/>
        </w:rPr>
        <w:t xml:space="preserve"> </w:t>
      </w:r>
      <w:r w:rsidRPr="00FC1BF7">
        <w:rPr>
          <w:rFonts w:ascii="Arial" w:hAnsi="Arial" w:cs="Arial"/>
          <w:sz w:val="20"/>
          <w:szCs w:val="20"/>
        </w:rPr>
        <w:t>prevalente é de que a</w:t>
      </w:r>
      <w:r>
        <w:rPr>
          <w:rFonts w:ascii="Arial" w:hAnsi="Arial" w:cs="Arial"/>
          <w:sz w:val="20"/>
          <w:szCs w:val="20"/>
        </w:rPr>
        <w:t xml:space="preserve"> </w:t>
      </w:r>
      <w:r w:rsidRPr="00FC1BF7">
        <w:rPr>
          <w:rFonts w:ascii="Arial" w:hAnsi="Arial" w:cs="Arial"/>
          <w:sz w:val="20"/>
          <w:szCs w:val="20"/>
        </w:rPr>
        <w:t>abrangência da pena prevista no art. 7º da Lei n° 10.520/02 se</w:t>
      </w:r>
      <w:r>
        <w:rPr>
          <w:rFonts w:ascii="Arial" w:hAnsi="Arial" w:cs="Arial"/>
          <w:sz w:val="20"/>
          <w:szCs w:val="20"/>
        </w:rPr>
        <w:t xml:space="preserve"> </w:t>
      </w:r>
      <w:r w:rsidRPr="00FC1BF7">
        <w:rPr>
          <w:rFonts w:ascii="Arial" w:hAnsi="Arial" w:cs="Arial"/>
          <w:sz w:val="20"/>
          <w:szCs w:val="20"/>
        </w:rPr>
        <w:t>restringe aos entes sancionadores e, noutro vértice, o perigo na demora pelo fato de</w:t>
      </w:r>
      <w:r>
        <w:rPr>
          <w:rFonts w:ascii="Arial" w:hAnsi="Arial" w:cs="Arial"/>
          <w:sz w:val="20"/>
          <w:szCs w:val="20"/>
        </w:rPr>
        <w:t xml:space="preserve"> </w:t>
      </w:r>
      <w:r w:rsidRPr="00FC1BF7">
        <w:rPr>
          <w:rFonts w:ascii="Arial" w:hAnsi="Arial" w:cs="Arial"/>
          <w:sz w:val="20"/>
          <w:szCs w:val="20"/>
        </w:rPr>
        <w:t>que a Administração Pública está em vias de contratar com empresa que apresentou</w:t>
      </w:r>
      <w:r>
        <w:rPr>
          <w:rFonts w:ascii="Arial" w:hAnsi="Arial" w:cs="Arial"/>
          <w:sz w:val="20"/>
          <w:szCs w:val="20"/>
        </w:rPr>
        <w:t xml:space="preserve"> </w:t>
      </w:r>
      <w:r w:rsidRPr="00FC1BF7">
        <w:rPr>
          <w:rFonts w:ascii="Arial" w:hAnsi="Arial" w:cs="Arial"/>
          <w:sz w:val="20"/>
          <w:szCs w:val="20"/>
        </w:rPr>
        <w:t>proposta com valores superiores ao da representante.</w:t>
      </w:r>
    </w:p>
    <w:p w:rsidR="00FC1BF7" w:rsidRDefault="00FC1BF7" w:rsidP="007D15DB">
      <w:pPr>
        <w:autoSpaceDE w:val="0"/>
        <w:autoSpaceDN w:val="0"/>
        <w:adjustRightInd w:val="0"/>
        <w:spacing w:after="0"/>
        <w:jc w:val="both"/>
        <w:rPr>
          <w:rFonts w:ascii="Arial" w:hAnsi="Arial" w:cs="Arial"/>
          <w:sz w:val="20"/>
          <w:szCs w:val="20"/>
        </w:rPr>
      </w:pPr>
      <w:r w:rsidRPr="00FC1BF7">
        <w:rPr>
          <w:rFonts w:ascii="Arial" w:hAnsi="Arial" w:cs="Arial"/>
          <w:sz w:val="20"/>
          <w:szCs w:val="20"/>
        </w:rPr>
        <w:lastRenderedPageBreak/>
        <w:t>Diante de todo o apanhado, vislumbr</w:t>
      </w:r>
      <w:r>
        <w:rPr>
          <w:rFonts w:ascii="Arial" w:hAnsi="Arial" w:cs="Arial"/>
          <w:sz w:val="20"/>
          <w:szCs w:val="20"/>
        </w:rPr>
        <w:t xml:space="preserve">a-se </w:t>
      </w:r>
      <w:r w:rsidRPr="00FC1BF7">
        <w:rPr>
          <w:rFonts w:ascii="Arial" w:hAnsi="Arial" w:cs="Arial"/>
          <w:sz w:val="20"/>
          <w:szCs w:val="20"/>
        </w:rPr>
        <w:t xml:space="preserve">que </w:t>
      </w:r>
      <w:r>
        <w:rPr>
          <w:rFonts w:ascii="Arial" w:hAnsi="Arial" w:cs="Arial"/>
          <w:sz w:val="20"/>
          <w:szCs w:val="20"/>
        </w:rPr>
        <w:t xml:space="preserve">a entidade </w:t>
      </w:r>
      <w:r w:rsidRPr="00FC1BF7">
        <w:rPr>
          <w:rFonts w:ascii="Arial" w:hAnsi="Arial" w:cs="Arial"/>
          <w:sz w:val="20"/>
          <w:szCs w:val="20"/>
        </w:rPr>
        <w:t>deve suspender o certame em espeque, no estado em que se encontrar, em</w:t>
      </w:r>
      <w:r>
        <w:rPr>
          <w:rFonts w:ascii="Arial" w:hAnsi="Arial" w:cs="Arial"/>
          <w:sz w:val="20"/>
          <w:szCs w:val="20"/>
        </w:rPr>
        <w:t xml:space="preserve"> </w:t>
      </w:r>
      <w:r w:rsidRPr="00FC1BF7">
        <w:rPr>
          <w:rFonts w:ascii="Arial" w:hAnsi="Arial" w:cs="Arial"/>
          <w:sz w:val="20"/>
          <w:szCs w:val="20"/>
        </w:rPr>
        <w:t xml:space="preserve">relação aos itens e lotes dos quais a empresa </w:t>
      </w:r>
      <w:r>
        <w:rPr>
          <w:rFonts w:ascii="Arial" w:hAnsi="Arial" w:cs="Arial"/>
          <w:sz w:val="20"/>
          <w:szCs w:val="20"/>
        </w:rPr>
        <w:t>em tela t</w:t>
      </w:r>
      <w:r w:rsidRPr="00FC1BF7">
        <w:rPr>
          <w:rFonts w:ascii="Arial" w:hAnsi="Arial" w:cs="Arial"/>
          <w:sz w:val="20"/>
          <w:szCs w:val="20"/>
        </w:rPr>
        <w:t>enha inicialmente se sagrado vencedora.</w:t>
      </w:r>
    </w:p>
    <w:p w:rsidR="00FC1BF7" w:rsidRDefault="00FC1BF7" w:rsidP="007D15DB">
      <w:pPr>
        <w:autoSpaceDE w:val="0"/>
        <w:autoSpaceDN w:val="0"/>
        <w:adjustRightInd w:val="0"/>
        <w:spacing w:after="0"/>
        <w:jc w:val="both"/>
        <w:rPr>
          <w:rFonts w:ascii="Arial" w:hAnsi="Arial" w:cs="Arial"/>
          <w:sz w:val="20"/>
          <w:szCs w:val="20"/>
        </w:rPr>
      </w:pPr>
    </w:p>
    <w:p w:rsidR="00F57471" w:rsidRDefault="00F57471" w:rsidP="007D15DB">
      <w:pPr>
        <w:autoSpaceDE w:val="0"/>
        <w:autoSpaceDN w:val="0"/>
        <w:adjustRightInd w:val="0"/>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Processo n°</w:t>
      </w:r>
      <w:r w:rsidR="003F116C">
        <w:rPr>
          <w:rFonts w:ascii="Arial" w:hAnsi="Arial" w:cs="Arial"/>
          <w:color w:val="000000"/>
          <w:sz w:val="20"/>
          <w:szCs w:val="20"/>
          <w:shd w:val="clear" w:color="auto" w:fill="FFFFFF"/>
        </w:rPr>
        <w:t xml:space="preserve"> 73105/18 - </w:t>
      </w:r>
      <w:hyperlink r:id="rId12" w:history="1">
        <w:r w:rsidR="003F116C" w:rsidRPr="00BE5E59">
          <w:rPr>
            <w:rStyle w:val="Hyperlink"/>
            <w:rFonts w:ascii="Arial" w:hAnsi="Arial" w:cs="Arial"/>
            <w:sz w:val="20"/>
            <w:szCs w:val="20"/>
            <w:shd w:val="clear" w:color="auto" w:fill="FFFFFF"/>
          </w:rPr>
          <w:t xml:space="preserve">Acórdão n° 320/18 - Tribunal </w:t>
        </w:r>
        <w:r w:rsidR="002A09E4" w:rsidRPr="00BE5E59">
          <w:rPr>
            <w:rStyle w:val="Hyperlink"/>
            <w:rFonts w:ascii="Arial" w:hAnsi="Arial" w:cs="Arial"/>
            <w:sz w:val="20"/>
            <w:szCs w:val="20"/>
            <w:shd w:val="clear" w:color="auto" w:fill="FFFFFF"/>
          </w:rPr>
          <w:t>Pleno</w:t>
        </w:r>
      </w:hyperlink>
      <w:r w:rsidR="002A09E4">
        <w:rPr>
          <w:rFonts w:ascii="Arial" w:hAnsi="Arial" w:cs="Arial"/>
          <w:color w:val="000000"/>
          <w:sz w:val="20"/>
          <w:szCs w:val="20"/>
          <w:shd w:val="clear" w:color="auto" w:fill="FFFFFF"/>
        </w:rPr>
        <w:t xml:space="preserve"> - Rel. Cons. Fábio de Souza Camargo.</w:t>
      </w:r>
    </w:p>
    <w:p w:rsidR="003F116C" w:rsidRDefault="003F116C" w:rsidP="007D15DB">
      <w:pPr>
        <w:autoSpaceDE w:val="0"/>
        <w:autoSpaceDN w:val="0"/>
        <w:adjustRightInd w:val="0"/>
        <w:spacing w:after="0"/>
        <w:jc w:val="both"/>
        <w:rPr>
          <w:rFonts w:ascii="Arial" w:hAnsi="Arial" w:cs="Arial"/>
          <w:sz w:val="20"/>
          <w:szCs w:val="20"/>
        </w:rPr>
      </w:pPr>
    </w:p>
    <w:p w:rsidR="00ED6462" w:rsidRPr="008835AD" w:rsidRDefault="0003057F" w:rsidP="007D15DB">
      <w:pPr>
        <w:autoSpaceDE w:val="0"/>
        <w:autoSpaceDN w:val="0"/>
        <w:adjustRightInd w:val="0"/>
        <w:spacing w:after="0"/>
        <w:jc w:val="both"/>
        <w:rPr>
          <w:rFonts w:ascii="Arial" w:hAnsi="Arial" w:cs="Arial"/>
          <w:b/>
          <w:sz w:val="20"/>
          <w:szCs w:val="20"/>
        </w:rPr>
      </w:pPr>
      <w:r>
        <w:rPr>
          <w:rFonts w:ascii="Arial" w:hAnsi="Arial" w:cs="Arial"/>
          <w:b/>
          <w:sz w:val="20"/>
          <w:szCs w:val="20"/>
        </w:rPr>
        <w:t xml:space="preserve">6. </w:t>
      </w:r>
      <w:r w:rsidR="00ED6462" w:rsidRPr="008835AD">
        <w:rPr>
          <w:rFonts w:ascii="Arial" w:hAnsi="Arial" w:cs="Arial"/>
          <w:b/>
          <w:sz w:val="20"/>
          <w:szCs w:val="20"/>
        </w:rPr>
        <w:t>Representação da Lei n°8.666/93. Ofensa ao princípio da isonomia ao beneficiar determinados trabalhadores. Pela procedência. Recomendação. Multa.</w:t>
      </w:r>
    </w:p>
    <w:p w:rsidR="00ED6462" w:rsidRDefault="00ED6462" w:rsidP="007D15DB">
      <w:pPr>
        <w:autoSpaceDE w:val="0"/>
        <w:autoSpaceDN w:val="0"/>
        <w:adjustRightInd w:val="0"/>
        <w:spacing w:after="0"/>
        <w:jc w:val="both"/>
        <w:rPr>
          <w:rFonts w:ascii="Arial" w:hAnsi="Arial" w:cs="Arial"/>
          <w:sz w:val="20"/>
          <w:szCs w:val="20"/>
        </w:rPr>
      </w:pPr>
    </w:p>
    <w:p w:rsidR="009A4839" w:rsidRDefault="009A4839" w:rsidP="007D15DB">
      <w:pPr>
        <w:autoSpaceDE w:val="0"/>
        <w:autoSpaceDN w:val="0"/>
        <w:adjustRightInd w:val="0"/>
        <w:spacing w:after="0"/>
        <w:jc w:val="both"/>
        <w:rPr>
          <w:rFonts w:ascii="Arial" w:hAnsi="Arial" w:cs="Arial"/>
          <w:sz w:val="20"/>
          <w:szCs w:val="20"/>
        </w:rPr>
      </w:pPr>
      <w:r w:rsidRPr="009A4839">
        <w:rPr>
          <w:rFonts w:ascii="Arial" w:hAnsi="Arial" w:cs="Arial"/>
          <w:sz w:val="20"/>
          <w:szCs w:val="20"/>
        </w:rPr>
        <w:t>Conforme</w:t>
      </w:r>
      <w:r>
        <w:rPr>
          <w:rFonts w:ascii="Arial" w:hAnsi="Arial" w:cs="Arial"/>
          <w:sz w:val="20"/>
          <w:szCs w:val="20"/>
        </w:rPr>
        <w:t xml:space="preserve"> </w:t>
      </w:r>
      <w:r w:rsidRPr="009A4839">
        <w:rPr>
          <w:rFonts w:ascii="Arial" w:hAnsi="Arial" w:cs="Arial"/>
          <w:sz w:val="20"/>
          <w:szCs w:val="20"/>
        </w:rPr>
        <w:t>se extrai dos autos, o serviço licitado se destina</w:t>
      </w:r>
      <w:r>
        <w:rPr>
          <w:rFonts w:ascii="Arial" w:hAnsi="Arial" w:cs="Arial"/>
          <w:sz w:val="20"/>
          <w:szCs w:val="20"/>
        </w:rPr>
        <w:t xml:space="preserve"> </w:t>
      </w:r>
      <w:r w:rsidRPr="009A4839">
        <w:rPr>
          <w:rFonts w:ascii="Arial" w:hAnsi="Arial" w:cs="Arial"/>
          <w:sz w:val="20"/>
          <w:szCs w:val="20"/>
        </w:rPr>
        <w:t>exclusivamente ao transporte de trabalhadores e de universitários entre a sede do</w:t>
      </w:r>
      <w:r>
        <w:rPr>
          <w:rFonts w:ascii="Arial" w:hAnsi="Arial" w:cs="Arial"/>
          <w:sz w:val="20"/>
          <w:szCs w:val="20"/>
        </w:rPr>
        <w:t xml:space="preserve"> </w:t>
      </w:r>
      <w:r w:rsidRPr="009A4839">
        <w:rPr>
          <w:rFonts w:ascii="Arial" w:hAnsi="Arial" w:cs="Arial"/>
          <w:sz w:val="20"/>
          <w:szCs w:val="20"/>
        </w:rPr>
        <w:t>Município e as empresas e faculdades, configurando a prestação dos mencionados</w:t>
      </w:r>
      <w:r>
        <w:rPr>
          <w:rFonts w:ascii="Arial" w:hAnsi="Arial" w:cs="Arial"/>
          <w:sz w:val="20"/>
          <w:szCs w:val="20"/>
        </w:rPr>
        <w:t xml:space="preserve"> </w:t>
      </w:r>
      <w:r w:rsidRPr="009A4839">
        <w:rPr>
          <w:rFonts w:ascii="Arial" w:hAnsi="Arial" w:cs="Arial"/>
          <w:bCs/>
          <w:sz w:val="20"/>
          <w:szCs w:val="20"/>
        </w:rPr>
        <w:t>serviços especiais de transporte</w:t>
      </w:r>
      <w:r w:rsidRPr="009A4839">
        <w:rPr>
          <w:rFonts w:ascii="Arial" w:hAnsi="Arial" w:cs="Arial"/>
          <w:sz w:val="20"/>
          <w:szCs w:val="20"/>
        </w:rPr>
        <w:t>, executados mediante autorização do DER/PR,</w:t>
      </w:r>
      <w:r>
        <w:rPr>
          <w:rFonts w:ascii="Arial" w:hAnsi="Arial" w:cs="Arial"/>
          <w:sz w:val="20"/>
          <w:szCs w:val="20"/>
        </w:rPr>
        <w:t xml:space="preserve"> </w:t>
      </w:r>
      <w:r w:rsidRPr="009A4839">
        <w:rPr>
          <w:rFonts w:ascii="Arial" w:hAnsi="Arial" w:cs="Arial"/>
          <w:sz w:val="20"/>
          <w:szCs w:val="20"/>
        </w:rPr>
        <w:t>conforme expressa previsão do art. 77, § 2º do Decreto Estadual.</w:t>
      </w:r>
    </w:p>
    <w:p w:rsidR="009A4839" w:rsidRDefault="009A4839" w:rsidP="007D15DB">
      <w:pPr>
        <w:autoSpaceDE w:val="0"/>
        <w:autoSpaceDN w:val="0"/>
        <w:adjustRightInd w:val="0"/>
        <w:spacing w:after="0"/>
        <w:jc w:val="both"/>
        <w:rPr>
          <w:rFonts w:ascii="Arial" w:hAnsi="Arial" w:cs="Arial"/>
          <w:sz w:val="20"/>
          <w:szCs w:val="20"/>
        </w:rPr>
      </w:pPr>
    </w:p>
    <w:p w:rsidR="009A4839" w:rsidRDefault="009A4839" w:rsidP="007D15DB">
      <w:pPr>
        <w:autoSpaceDE w:val="0"/>
        <w:autoSpaceDN w:val="0"/>
        <w:adjustRightInd w:val="0"/>
        <w:spacing w:after="0"/>
        <w:jc w:val="both"/>
        <w:rPr>
          <w:rFonts w:ascii="Arial" w:hAnsi="Arial" w:cs="Arial"/>
          <w:sz w:val="20"/>
          <w:szCs w:val="20"/>
        </w:rPr>
      </w:pPr>
      <w:r w:rsidRPr="009A4839">
        <w:rPr>
          <w:rFonts w:ascii="Arial" w:hAnsi="Arial" w:cs="Arial"/>
          <w:sz w:val="20"/>
          <w:szCs w:val="20"/>
        </w:rPr>
        <w:t>Logo, não vislumbro a apontada usurpação de competência estadual,</w:t>
      </w:r>
      <w:r>
        <w:rPr>
          <w:rFonts w:ascii="Arial" w:hAnsi="Arial" w:cs="Arial"/>
          <w:sz w:val="20"/>
          <w:szCs w:val="20"/>
        </w:rPr>
        <w:t xml:space="preserve"> </w:t>
      </w:r>
      <w:r w:rsidRPr="009A4839">
        <w:rPr>
          <w:rFonts w:ascii="Arial" w:hAnsi="Arial" w:cs="Arial"/>
          <w:sz w:val="20"/>
          <w:szCs w:val="20"/>
        </w:rPr>
        <w:t>eis que o serviço objeto do Pregão Presencial nº 4/2016, em verdade, pretende a</w:t>
      </w:r>
      <w:r>
        <w:rPr>
          <w:rFonts w:ascii="Arial" w:hAnsi="Arial" w:cs="Arial"/>
          <w:sz w:val="20"/>
          <w:szCs w:val="20"/>
        </w:rPr>
        <w:t xml:space="preserve"> </w:t>
      </w:r>
      <w:r w:rsidRPr="009A4839">
        <w:rPr>
          <w:rFonts w:ascii="Arial" w:hAnsi="Arial" w:cs="Arial"/>
          <w:sz w:val="20"/>
          <w:szCs w:val="20"/>
        </w:rPr>
        <w:t>contratação de empresa autorizada para a prestação de serviços especiais de</w:t>
      </w:r>
      <w:r>
        <w:rPr>
          <w:rFonts w:ascii="Arial" w:hAnsi="Arial" w:cs="Arial"/>
          <w:sz w:val="20"/>
          <w:szCs w:val="20"/>
        </w:rPr>
        <w:t xml:space="preserve"> </w:t>
      </w:r>
      <w:r w:rsidRPr="009A4839">
        <w:rPr>
          <w:rFonts w:ascii="Arial" w:hAnsi="Arial" w:cs="Arial"/>
          <w:sz w:val="20"/>
          <w:szCs w:val="20"/>
        </w:rPr>
        <w:t>transporte intermunicipal na modalidade de transporte de trabalhadores e de</w:t>
      </w:r>
      <w:r>
        <w:rPr>
          <w:rFonts w:ascii="Arial" w:hAnsi="Arial" w:cs="Arial"/>
          <w:sz w:val="20"/>
          <w:szCs w:val="20"/>
        </w:rPr>
        <w:t xml:space="preserve"> </w:t>
      </w:r>
      <w:r w:rsidRPr="009A4839">
        <w:rPr>
          <w:rFonts w:ascii="Arial" w:hAnsi="Arial" w:cs="Arial"/>
          <w:sz w:val="20"/>
          <w:szCs w:val="20"/>
        </w:rPr>
        <w:t>escolares, constituindo uma das modalidades de fretamento e não uma concessão.</w:t>
      </w:r>
    </w:p>
    <w:p w:rsidR="009A4839" w:rsidRPr="009A4839" w:rsidRDefault="009A4839" w:rsidP="007D15DB">
      <w:pPr>
        <w:autoSpaceDE w:val="0"/>
        <w:autoSpaceDN w:val="0"/>
        <w:adjustRightInd w:val="0"/>
        <w:spacing w:after="0"/>
        <w:jc w:val="both"/>
        <w:rPr>
          <w:rFonts w:ascii="Arial" w:hAnsi="Arial" w:cs="Arial"/>
          <w:sz w:val="20"/>
          <w:szCs w:val="20"/>
        </w:rPr>
      </w:pPr>
    </w:p>
    <w:p w:rsidR="009A4839" w:rsidRDefault="009A4839" w:rsidP="007D15DB">
      <w:pPr>
        <w:autoSpaceDE w:val="0"/>
        <w:autoSpaceDN w:val="0"/>
        <w:adjustRightInd w:val="0"/>
        <w:spacing w:after="0"/>
        <w:jc w:val="both"/>
        <w:rPr>
          <w:rFonts w:ascii="Arial" w:hAnsi="Arial" w:cs="Arial"/>
          <w:sz w:val="20"/>
          <w:szCs w:val="20"/>
        </w:rPr>
      </w:pPr>
      <w:r w:rsidRPr="009A4839">
        <w:rPr>
          <w:rFonts w:ascii="Arial" w:hAnsi="Arial" w:cs="Arial"/>
          <w:sz w:val="20"/>
          <w:szCs w:val="20"/>
        </w:rPr>
        <w:t xml:space="preserve">Entretanto, </w:t>
      </w:r>
      <w:r w:rsidR="00EB537F">
        <w:rPr>
          <w:rFonts w:ascii="Arial" w:hAnsi="Arial" w:cs="Arial"/>
          <w:sz w:val="20"/>
          <w:szCs w:val="20"/>
        </w:rPr>
        <w:t>considera-se</w:t>
      </w:r>
      <w:r w:rsidRPr="009A4839">
        <w:rPr>
          <w:rFonts w:ascii="Arial" w:hAnsi="Arial" w:cs="Arial"/>
          <w:sz w:val="20"/>
          <w:szCs w:val="20"/>
        </w:rPr>
        <w:t xml:space="preserve"> que o benefício que o Município pretende</w:t>
      </w:r>
      <w:r w:rsidR="00EB537F">
        <w:rPr>
          <w:rFonts w:ascii="Arial" w:hAnsi="Arial" w:cs="Arial"/>
          <w:sz w:val="20"/>
          <w:szCs w:val="20"/>
        </w:rPr>
        <w:t xml:space="preserve"> </w:t>
      </w:r>
      <w:r w:rsidRPr="009A4839">
        <w:rPr>
          <w:rFonts w:ascii="Arial" w:hAnsi="Arial" w:cs="Arial"/>
          <w:sz w:val="20"/>
          <w:szCs w:val="20"/>
        </w:rPr>
        <w:t>fornecer ofende sim os princípios constitucionais da igualdade e da impessoalidade,</w:t>
      </w:r>
      <w:r w:rsidR="00EB537F">
        <w:rPr>
          <w:rFonts w:ascii="Arial" w:hAnsi="Arial" w:cs="Arial"/>
          <w:sz w:val="20"/>
          <w:szCs w:val="20"/>
        </w:rPr>
        <w:t xml:space="preserve"> </w:t>
      </w:r>
      <w:r w:rsidRPr="009A4839">
        <w:rPr>
          <w:rFonts w:ascii="Arial" w:hAnsi="Arial" w:cs="Arial"/>
          <w:sz w:val="20"/>
          <w:szCs w:val="20"/>
        </w:rPr>
        <w:t>uma vez que somente será fornecido àqueles de trabalham nas empresas e</w:t>
      </w:r>
      <w:r w:rsidR="00EB537F">
        <w:rPr>
          <w:rFonts w:ascii="Arial" w:hAnsi="Arial" w:cs="Arial"/>
          <w:sz w:val="20"/>
          <w:szCs w:val="20"/>
        </w:rPr>
        <w:t xml:space="preserve"> </w:t>
      </w:r>
      <w:r w:rsidRPr="009A4839">
        <w:rPr>
          <w:rFonts w:ascii="Arial" w:hAnsi="Arial" w:cs="Arial"/>
          <w:sz w:val="20"/>
          <w:szCs w:val="20"/>
        </w:rPr>
        <w:t>estudam nas faculdades mencionadas pelo Edital, não a todos os estudantes e</w:t>
      </w:r>
      <w:r w:rsidR="00EB537F">
        <w:rPr>
          <w:rFonts w:ascii="Arial" w:hAnsi="Arial" w:cs="Arial"/>
          <w:sz w:val="20"/>
          <w:szCs w:val="20"/>
        </w:rPr>
        <w:t xml:space="preserve"> </w:t>
      </w:r>
      <w:r w:rsidRPr="009A4839">
        <w:rPr>
          <w:rFonts w:ascii="Arial" w:hAnsi="Arial" w:cs="Arial"/>
          <w:sz w:val="20"/>
          <w:szCs w:val="20"/>
        </w:rPr>
        <w:t>trabalhadores do Município, carecendo, desta forma, das características de</w:t>
      </w:r>
      <w:r w:rsidR="00EB537F">
        <w:rPr>
          <w:rFonts w:ascii="Arial" w:hAnsi="Arial" w:cs="Arial"/>
          <w:sz w:val="20"/>
          <w:szCs w:val="20"/>
        </w:rPr>
        <w:t xml:space="preserve"> </w:t>
      </w:r>
      <w:r w:rsidRPr="009A4839">
        <w:rPr>
          <w:rFonts w:ascii="Arial" w:hAnsi="Arial" w:cs="Arial"/>
          <w:sz w:val="20"/>
          <w:szCs w:val="20"/>
        </w:rPr>
        <w:t>impessoalidade e abstração inerentes à concessão de benefícios públicos.</w:t>
      </w:r>
    </w:p>
    <w:p w:rsidR="00EB537F" w:rsidRPr="009A4839" w:rsidRDefault="00EB537F" w:rsidP="007D15DB">
      <w:pPr>
        <w:autoSpaceDE w:val="0"/>
        <w:autoSpaceDN w:val="0"/>
        <w:adjustRightInd w:val="0"/>
        <w:spacing w:after="0"/>
        <w:jc w:val="both"/>
        <w:rPr>
          <w:rFonts w:ascii="Arial" w:hAnsi="Arial" w:cs="Arial"/>
          <w:sz w:val="20"/>
          <w:szCs w:val="20"/>
        </w:rPr>
      </w:pPr>
    </w:p>
    <w:p w:rsidR="009A4839" w:rsidRDefault="009A4839" w:rsidP="007D15DB">
      <w:pPr>
        <w:autoSpaceDE w:val="0"/>
        <w:autoSpaceDN w:val="0"/>
        <w:adjustRightInd w:val="0"/>
        <w:spacing w:after="0"/>
        <w:jc w:val="both"/>
        <w:rPr>
          <w:rFonts w:ascii="Arial" w:hAnsi="Arial" w:cs="Arial"/>
          <w:sz w:val="20"/>
          <w:szCs w:val="20"/>
        </w:rPr>
      </w:pPr>
      <w:r w:rsidRPr="009A4839">
        <w:rPr>
          <w:rFonts w:ascii="Arial" w:hAnsi="Arial" w:cs="Arial"/>
          <w:sz w:val="20"/>
          <w:szCs w:val="20"/>
        </w:rPr>
        <w:t>Além disso, o Município poderá responder civilmente em caso de</w:t>
      </w:r>
      <w:r w:rsidR="00EB537F">
        <w:rPr>
          <w:rFonts w:ascii="Arial" w:hAnsi="Arial" w:cs="Arial"/>
          <w:sz w:val="20"/>
          <w:szCs w:val="20"/>
        </w:rPr>
        <w:t xml:space="preserve"> </w:t>
      </w:r>
      <w:r w:rsidRPr="009A4839">
        <w:rPr>
          <w:rFonts w:ascii="Arial" w:hAnsi="Arial" w:cs="Arial"/>
          <w:sz w:val="20"/>
          <w:szCs w:val="20"/>
        </w:rPr>
        <w:t>acidente na execução do serviço por ele contratado e disponibilizado àquele grupo</w:t>
      </w:r>
      <w:r w:rsidR="00EB537F">
        <w:rPr>
          <w:rFonts w:ascii="Arial" w:hAnsi="Arial" w:cs="Arial"/>
          <w:sz w:val="20"/>
          <w:szCs w:val="20"/>
        </w:rPr>
        <w:t xml:space="preserve"> </w:t>
      </w:r>
      <w:r w:rsidRPr="009A4839">
        <w:rPr>
          <w:rFonts w:ascii="Arial" w:hAnsi="Arial" w:cs="Arial"/>
          <w:sz w:val="20"/>
          <w:szCs w:val="20"/>
        </w:rPr>
        <w:t>específico de interessados, impondo-se um risco ao erário municipal.</w:t>
      </w:r>
    </w:p>
    <w:p w:rsidR="00EB537F" w:rsidRPr="009A4839" w:rsidRDefault="00EB537F" w:rsidP="007D15DB">
      <w:pPr>
        <w:autoSpaceDE w:val="0"/>
        <w:autoSpaceDN w:val="0"/>
        <w:adjustRightInd w:val="0"/>
        <w:spacing w:after="0"/>
        <w:jc w:val="both"/>
        <w:rPr>
          <w:rFonts w:ascii="Arial" w:hAnsi="Arial" w:cs="Arial"/>
          <w:sz w:val="20"/>
          <w:szCs w:val="20"/>
        </w:rPr>
      </w:pPr>
    </w:p>
    <w:p w:rsidR="00EB537F" w:rsidRDefault="00EB537F" w:rsidP="007D15DB">
      <w:pPr>
        <w:autoSpaceDE w:val="0"/>
        <w:autoSpaceDN w:val="0"/>
        <w:adjustRightInd w:val="0"/>
        <w:spacing w:after="0"/>
        <w:jc w:val="both"/>
        <w:rPr>
          <w:rFonts w:ascii="Arial" w:hAnsi="Arial" w:cs="Arial"/>
          <w:color w:val="000000"/>
          <w:sz w:val="20"/>
          <w:szCs w:val="20"/>
        </w:rPr>
      </w:pPr>
      <w:r w:rsidRPr="00EB537F">
        <w:rPr>
          <w:rFonts w:ascii="Arial" w:hAnsi="Arial" w:cs="Arial"/>
          <w:color w:val="000000"/>
          <w:sz w:val="20"/>
          <w:szCs w:val="20"/>
        </w:rPr>
        <w:t>Quanto ao transporte de universitários, acrescento que o Município não</w:t>
      </w:r>
      <w:r>
        <w:rPr>
          <w:rFonts w:ascii="Arial" w:hAnsi="Arial" w:cs="Arial"/>
          <w:color w:val="000000"/>
          <w:sz w:val="20"/>
          <w:szCs w:val="20"/>
        </w:rPr>
        <w:t xml:space="preserve"> </w:t>
      </w:r>
      <w:r w:rsidRPr="00EB537F">
        <w:rPr>
          <w:rFonts w:ascii="Arial" w:hAnsi="Arial" w:cs="Arial"/>
          <w:color w:val="000000"/>
          <w:sz w:val="20"/>
          <w:szCs w:val="20"/>
        </w:rPr>
        <w:t>comprovou que atende com qualidade, eficiência e segurança o transporte escolar,</w:t>
      </w:r>
      <w:r>
        <w:rPr>
          <w:rFonts w:ascii="Arial" w:hAnsi="Arial" w:cs="Arial"/>
          <w:color w:val="000000"/>
          <w:sz w:val="20"/>
          <w:szCs w:val="20"/>
        </w:rPr>
        <w:t xml:space="preserve"> </w:t>
      </w:r>
      <w:r w:rsidRPr="00EB537F">
        <w:rPr>
          <w:rFonts w:ascii="Arial" w:hAnsi="Arial" w:cs="Arial"/>
          <w:color w:val="000000"/>
          <w:sz w:val="20"/>
          <w:szCs w:val="20"/>
        </w:rPr>
        <w:t>razão pela qual também neste ponto há ofensa à norma constitucional do art. 211, §</w:t>
      </w:r>
      <w:r>
        <w:rPr>
          <w:rFonts w:ascii="Arial" w:hAnsi="Arial" w:cs="Arial"/>
          <w:color w:val="000000"/>
          <w:sz w:val="20"/>
          <w:szCs w:val="20"/>
        </w:rPr>
        <w:t xml:space="preserve"> </w:t>
      </w:r>
      <w:r w:rsidRPr="00EB537F">
        <w:rPr>
          <w:rFonts w:ascii="Arial" w:hAnsi="Arial" w:cs="Arial"/>
          <w:color w:val="000000"/>
          <w:sz w:val="20"/>
          <w:szCs w:val="20"/>
        </w:rPr>
        <w:t>2º, segundo o qual os municípios atuarão prioritariamente no ensino fundamental e</w:t>
      </w:r>
      <w:r>
        <w:rPr>
          <w:rFonts w:ascii="Arial" w:hAnsi="Arial" w:cs="Arial"/>
          <w:color w:val="000000"/>
          <w:sz w:val="20"/>
          <w:szCs w:val="20"/>
        </w:rPr>
        <w:t xml:space="preserve"> </w:t>
      </w:r>
      <w:r w:rsidRPr="00EB537F">
        <w:rPr>
          <w:rFonts w:ascii="Arial" w:hAnsi="Arial" w:cs="Arial"/>
          <w:color w:val="000000"/>
          <w:sz w:val="20"/>
          <w:szCs w:val="20"/>
        </w:rPr>
        <w:t>na educação infantil.</w:t>
      </w:r>
      <w:r>
        <w:rPr>
          <w:rFonts w:ascii="Arial" w:hAnsi="Arial" w:cs="Arial"/>
          <w:color w:val="000000"/>
          <w:sz w:val="20"/>
          <w:szCs w:val="20"/>
        </w:rPr>
        <w:t xml:space="preserve"> </w:t>
      </w:r>
    </w:p>
    <w:p w:rsidR="00F76A71" w:rsidRPr="00EB537F" w:rsidRDefault="00F76A71" w:rsidP="007D15DB">
      <w:pPr>
        <w:autoSpaceDE w:val="0"/>
        <w:autoSpaceDN w:val="0"/>
        <w:adjustRightInd w:val="0"/>
        <w:spacing w:after="0"/>
        <w:jc w:val="both"/>
        <w:rPr>
          <w:rFonts w:ascii="Arial" w:hAnsi="Arial" w:cs="Arial"/>
          <w:color w:val="000000"/>
          <w:sz w:val="20"/>
          <w:szCs w:val="20"/>
        </w:rPr>
      </w:pPr>
    </w:p>
    <w:p w:rsidR="009A4839" w:rsidRDefault="00EB537F" w:rsidP="007D15DB">
      <w:pPr>
        <w:autoSpaceDE w:val="0"/>
        <w:autoSpaceDN w:val="0"/>
        <w:adjustRightInd w:val="0"/>
        <w:spacing w:after="0"/>
        <w:jc w:val="both"/>
        <w:rPr>
          <w:rFonts w:ascii="Arial" w:hAnsi="Arial" w:cs="Arial"/>
          <w:color w:val="000000"/>
          <w:sz w:val="20"/>
          <w:szCs w:val="20"/>
        </w:rPr>
      </w:pPr>
      <w:r w:rsidRPr="00EB537F">
        <w:rPr>
          <w:rFonts w:ascii="Arial" w:hAnsi="Arial" w:cs="Arial"/>
          <w:color w:val="000000"/>
          <w:sz w:val="20"/>
          <w:szCs w:val="20"/>
        </w:rPr>
        <w:t xml:space="preserve">Assim, considerando a violação das normas constitucionais, </w:t>
      </w:r>
      <w:r>
        <w:rPr>
          <w:rFonts w:ascii="Arial" w:hAnsi="Arial" w:cs="Arial"/>
          <w:color w:val="000000"/>
          <w:sz w:val="20"/>
          <w:szCs w:val="20"/>
        </w:rPr>
        <w:t xml:space="preserve">ao </w:t>
      </w:r>
      <w:r w:rsidRPr="00EB537F">
        <w:rPr>
          <w:rFonts w:ascii="Arial" w:hAnsi="Arial" w:cs="Arial"/>
          <w:color w:val="000000"/>
          <w:sz w:val="20"/>
          <w:szCs w:val="20"/>
        </w:rPr>
        <w:t>gestor à época dos fatos, a multa do art. 87, IV, “g”</w:t>
      </w:r>
      <w:r>
        <w:rPr>
          <w:rFonts w:ascii="Arial" w:hAnsi="Arial" w:cs="Arial"/>
          <w:color w:val="000000"/>
          <w:sz w:val="20"/>
          <w:szCs w:val="20"/>
        </w:rPr>
        <w:t xml:space="preserve"> </w:t>
      </w:r>
      <w:r w:rsidRPr="00EB537F">
        <w:rPr>
          <w:rFonts w:ascii="Arial" w:hAnsi="Arial" w:cs="Arial"/>
          <w:color w:val="000000"/>
          <w:sz w:val="20"/>
          <w:szCs w:val="20"/>
        </w:rPr>
        <w:t>da Lei Complementar nº 113/2005.</w:t>
      </w:r>
    </w:p>
    <w:p w:rsidR="00F76A71" w:rsidRDefault="00F76A71" w:rsidP="007D15DB">
      <w:pPr>
        <w:autoSpaceDE w:val="0"/>
        <w:autoSpaceDN w:val="0"/>
        <w:adjustRightInd w:val="0"/>
        <w:spacing w:after="0"/>
        <w:jc w:val="both"/>
        <w:rPr>
          <w:rFonts w:ascii="Arial" w:hAnsi="Arial" w:cs="Arial"/>
          <w:color w:val="000000"/>
          <w:sz w:val="20"/>
          <w:szCs w:val="20"/>
        </w:rPr>
      </w:pPr>
    </w:p>
    <w:p w:rsidR="00F76A71" w:rsidRDefault="00F76A71" w:rsidP="007D15DB">
      <w:pPr>
        <w:autoSpaceDE w:val="0"/>
        <w:autoSpaceDN w:val="0"/>
        <w:adjustRightInd w:val="0"/>
        <w:spacing w:after="0"/>
        <w:jc w:val="both"/>
        <w:rPr>
          <w:rFonts w:ascii="Arial" w:hAnsi="Arial" w:cs="Arial"/>
          <w:color w:val="000000"/>
          <w:sz w:val="20"/>
          <w:szCs w:val="20"/>
        </w:rPr>
      </w:pPr>
      <w:r>
        <w:rPr>
          <w:rFonts w:ascii="Arial" w:hAnsi="Arial" w:cs="Arial"/>
          <w:color w:val="000000"/>
          <w:sz w:val="20"/>
          <w:szCs w:val="20"/>
        </w:rPr>
        <w:t>Processo n°</w:t>
      </w:r>
      <w:r w:rsidR="00443D26">
        <w:rPr>
          <w:rFonts w:ascii="Arial" w:hAnsi="Arial" w:cs="Arial"/>
          <w:color w:val="000000"/>
          <w:sz w:val="20"/>
          <w:szCs w:val="20"/>
        </w:rPr>
        <w:t xml:space="preserve"> 48900/16 - </w:t>
      </w:r>
      <w:hyperlink r:id="rId13" w:history="1">
        <w:r w:rsidR="00443D26" w:rsidRPr="00057C37">
          <w:rPr>
            <w:rStyle w:val="Hyperlink"/>
            <w:rFonts w:ascii="Arial" w:hAnsi="Arial" w:cs="Arial"/>
            <w:sz w:val="20"/>
            <w:szCs w:val="20"/>
          </w:rPr>
          <w:t>Acórdão n° 319/18 - Tribunal Pleno</w:t>
        </w:r>
      </w:hyperlink>
      <w:r w:rsidR="00443D26">
        <w:rPr>
          <w:rFonts w:ascii="Arial" w:hAnsi="Arial" w:cs="Arial"/>
          <w:color w:val="000000"/>
          <w:sz w:val="20"/>
          <w:szCs w:val="20"/>
        </w:rPr>
        <w:t xml:space="preserve"> - Rel. Cons. Fabio de Souza Camargo.  </w:t>
      </w:r>
    </w:p>
    <w:p w:rsidR="0003057F" w:rsidRDefault="0003057F" w:rsidP="007D15DB">
      <w:pPr>
        <w:autoSpaceDE w:val="0"/>
        <w:autoSpaceDN w:val="0"/>
        <w:adjustRightInd w:val="0"/>
        <w:spacing w:after="0"/>
        <w:jc w:val="both"/>
        <w:rPr>
          <w:rFonts w:ascii="Arial" w:hAnsi="Arial" w:cs="Arial"/>
          <w:b/>
          <w:sz w:val="20"/>
          <w:szCs w:val="20"/>
        </w:rPr>
      </w:pPr>
    </w:p>
    <w:p w:rsidR="00910BFB" w:rsidRDefault="0003057F" w:rsidP="007D15DB">
      <w:pPr>
        <w:autoSpaceDE w:val="0"/>
        <w:autoSpaceDN w:val="0"/>
        <w:adjustRightInd w:val="0"/>
        <w:spacing w:after="0"/>
        <w:jc w:val="both"/>
        <w:rPr>
          <w:rFonts w:ascii="Arial" w:hAnsi="Arial" w:cs="Arial"/>
          <w:b/>
          <w:sz w:val="20"/>
          <w:szCs w:val="20"/>
        </w:rPr>
      </w:pPr>
      <w:r>
        <w:rPr>
          <w:rFonts w:ascii="Arial" w:hAnsi="Arial" w:cs="Arial"/>
          <w:b/>
          <w:sz w:val="20"/>
          <w:szCs w:val="20"/>
        </w:rPr>
        <w:t xml:space="preserve">7. </w:t>
      </w:r>
      <w:r w:rsidR="00910BFB" w:rsidRPr="007156A5">
        <w:rPr>
          <w:rFonts w:ascii="Arial" w:hAnsi="Arial" w:cs="Arial"/>
          <w:b/>
          <w:sz w:val="20"/>
          <w:szCs w:val="20"/>
        </w:rPr>
        <w:t xml:space="preserve">Recurso de Revista. Atraso nos envios das informações dos dados do SIM-AM. Teoria da continuidade delitiva. Provimento parcial. Aplicação de uma multa do art. 87, III, </w:t>
      </w:r>
      <w:r w:rsidR="00B91763">
        <w:rPr>
          <w:rFonts w:ascii="Arial" w:hAnsi="Arial" w:cs="Arial"/>
          <w:b/>
          <w:sz w:val="20"/>
          <w:szCs w:val="20"/>
        </w:rPr>
        <w:t>“</w:t>
      </w:r>
      <w:r w:rsidR="00910BFB" w:rsidRPr="007156A5">
        <w:rPr>
          <w:rFonts w:ascii="Arial" w:hAnsi="Arial" w:cs="Arial"/>
          <w:b/>
          <w:sz w:val="20"/>
          <w:szCs w:val="20"/>
        </w:rPr>
        <w:t>b</w:t>
      </w:r>
      <w:r w:rsidR="00B91763">
        <w:rPr>
          <w:rFonts w:ascii="Arial" w:hAnsi="Arial" w:cs="Arial"/>
          <w:b/>
          <w:sz w:val="20"/>
          <w:szCs w:val="20"/>
        </w:rPr>
        <w:t>”</w:t>
      </w:r>
      <w:r w:rsidR="00910BFB" w:rsidRPr="007156A5">
        <w:rPr>
          <w:rFonts w:ascii="Arial" w:hAnsi="Arial" w:cs="Arial"/>
          <w:b/>
          <w:sz w:val="20"/>
          <w:szCs w:val="20"/>
        </w:rPr>
        <w:t xml:space="preserve"> da Lei Complementar n° 113/2005.</w:t>
      </w:r>
    </w:p>
    <w:p w:rsidR="007156A5" w:rsidRDefault="007156A5" w:rsidP="007D15DB">
      <w:pPr>
        <w:autoSpaceDE w:val="0"/>
        <w:autoSpaceDN w:val="0"/>
        <w:adjustRightInd w:val="0"/>
        <w:spacing w:after="0"/>
        <w:jc w:val="both"/>
        <w:rPr>
          <w:rFonts w:ascii="Arial" w:hAnsi="Arial" w:cs="Arial"/>
          <w:b/>
          <w:sz w:val="20"/>
          <w:szCs w:val="20"/>
        </w:rPr>
      </w:pPr>
    </w:p>
    <w:p w:rsidR="00304404" w:rsidRPr="00987A6E" w:rsidRDefault="0011035F" w:rsidP="007D15DB">
      <w:pPr>
        <w:autoSpaceDE w:val="0"/>
        <w:autoSpaceDN w:val="0"/>
        <w:adjustRightInd w:val="0"/>
        <w:spacing w:after="0"/>
        <w:jc w:val="both"/>
        <w:rPr>
          <w:rFonts w:ascii="Arial" w:hAnsi="Arial" w:cs="Arial"/>
          <w:sz w:val="20"/>
          <w:szCs w:val="20"/>
        </w:rPr>
      </w:pPr>
      <w:r w:rsidRPr="00987A6E">
        <w:rPr>
          <w:rFonts w:ascii="Arial" w:hAnsi="Arial" w:cs="Arial"/>
          <w:sz w:val="20"/>
          <w:szCs w:val="20"/>
        </w:rPr>
        <w:t xml:space="preserve">Durante as deliberações do Pleno, </w:t>
      </w:r>
      <w:r w:rsidR="00304404" w:rsidRPr="00987A6E">
        <w:rPr>
          <w:rFonts w:ascii="Arial" w:hAnsi="Arial" w:cs="Arial"/>
          <w:sz w:val="20"/>
          <w:szCs w:val="20"/>
        </w:rPr>
        <w:t>propôs</w:t>
      </w:r>
      <w:r w:rsidRPr="00987A6E">
        <w:rPr>
          <w:rFonts w:ascii="Arial" w:hAnsi="Arial" w:cs="Arial"/>
          <w:sz w:val="20"/>
          <w:szCs w:val="20"/>
        </w:rPr>
        <w:t xml:space="preserve">-se </w:t>
      </w:r>
      <w:r w:rsidR="00304404" w:rsidRPr="00987A6E">
        <w:rPr>
          <w:rFonts w:ascii="Arial" w:hAnsi="Arial" w:cs="Arial"/>
          <w:sz w:val="20"/>
          <w:szCs w:val="20"/>
        </w:rPr>
        <w:t>a aplicação da teoria da continuidade delitiva para</w:t>
      </w:r>
    </w:p>
    <w:p w:rsidR="0011035F" w:rsidRPr="00987A6E" w:rsidRDefault="00304404" w:rsidP="007D15DB">
      <w:pPr>
        <w:autoSpaceDE w:val="0"/>
        <w:autoSpaceDN w:val="0"/>
        <w:adjustRightInd w:val="0"/>
        <w:spacing w:after="0"/>
        <w:jc w:val="both"/>
        <w:rPr>
          <w:rFonts w:ascii="Arial" w:hAnsi="Arial" w:cs="Arial"/>
          <w:sz w:val="20"/>
          <w:szCs w:val="20"/>
        </w:rPr>
      </w:pPr>
      <w:r w:rsidRPr="00987A6E">
        <w:rPr>
          <w:rFonts w:ascii="Arial" w:hAnsi="Arial" w:cs="Arial"/>
          <w:sz w:val="20"/>
          <w:szCs w:val="20"/>
        </w:rPr>
        <w:t>que fosse aplicada apenas uma multa em face dos atrasos na entrega dos dados do</w:t>
      </w:r>
      <w:r w:rsidR="0011035F" w:rsidRPr="00987A6E">
        <w:rPr>
          <w:rFonts w:ascii="Arial" w:hAnsi="Arial" w:cs="Arial"/>
          <w:sz w:val="20"/>
          <w:szCs w:val="20"/>
        </w:rPr>
        <w:t xml:space="preserve"> </w:t>
      </w:r>
      <w:r w:rsidRPr="00987A6E">
        <w:rPr>
          <w:rFonts w:ascii="Arial" w:hAnsi="Arial" w:cs="Arial"/>
          <w:sz w:val="20"/>
          <w:szCs w:val="20"/>
        </w:rPr>
        <w:t xml:space="preserve">SIM </w:t>
      </w:r>
      <w:r w:rsidR="0011035F" w:rsidRPr="00987A6E">
        <w:rPr>
          <w:rFonts w:ascii="Arial" w:hAnsi="Arial" w:cs="Arial"/>
          <w:sz w:val="20"/>
          <w:szCs w:val="20"/>
        </w:rPr>
        <w:t>-</w:t>
      </w:r>
      <w:r w:rsidRPr="00987A6E">
        <w:rPr>
          <w:rFonts w:ascii="Arial" w:hAnsi="Arial" w:cs="Arial"/>
          <w:sz w:val="20"/>
          <w:szCs w:val="20"/>
        </w:rPr>
        <w:t xml:space="preserve"> AM</w:t>
      </w:r>
      <w:r w:rsidR="0011035F" w:rsidRPr="00987A6E">
        <w:rPr>
          <w:rFonts w:ascii="Arial" w:hAnsi="Arial" w:cs="Arial"/>
          <w:sz w:val="20"/>
          <w:szCs w:val="20"/>
        </w:rPr>
        <w:t xml:space="preserve">. </w:t>
      </w:r>
    </w:p>
    <w:p w:rsidR="00222414" w:rsidRPr="00987A6E" w:rsidRDefault="00222414" w:rsidP="007D15DB">
      <w:pPr>
        <w:autoSpaceDE w:val="0"/>
        <w:autoSpaceDN w:val="0"/>
        <w:adjustRightInd w:val="0"/>
        <w:spacing w:after="0"/>
        <w:jc w:val="both"/>
        <w:rPr>
          <w:rFonts w:ascii="Arial" w:hAnsi="Arial" w:cs="Arial"/>
          <w:sz w:val="20"/>
          <w:szCs w:val="20"/>
        </w:rPr>
      </w:pPr>
    </w:p>
    <w:p w:rsidR="0011035F" w:rsidRPr="00987A6E" w:rsidRDefault="00304404" w:rsidP="007D15DB">
      <w:pPr>
        <w:autoSpaceDE w:val="0"/>
        <w:autoSpaceDN w:val="0"/>
        <w:adjustRightInd w:val="0"/>
        <w:spacing w:after="0"/>
        <w:jc w:val="both"/>
        <w:rPr>
          <w:rFonts w:ascii="Arial" w:hAnsi="Arial" w:cs="Arial"/>
          <w:sz w:val="20"/>
          <w:szCs w:val="20"/>
        </w:rPr>
      </w:pPr>
      <w:r w:rsidRPr="00987A6E">
        <w:rPr>
          <w:rFonts w:ascii="Arial" w:hAnsi="Arial" w:cs="Arial"/>
          <w:sz w:val="20"/>
          <w:szCs w:val="20"/>
        </w:rPr>
        <w:t>Assim, com fundamento na teoria da continuidade delitiva aos</w:t>
      </w:r>
      <w:r w:rsidR="0011035F" w:rsidRPr="00987A6E">
        <w:rPr>
          <w:rFonts w:ascii="Arial" w:hAnsi="Arial" w:cs="Arial"/>
          <w:sz w:val="20"/>
          <w:szCs w:val="20"/>
        </w:rPr>
        <w:t xml:space="preserve"> </w:t>
      </w:r>
      <w:r w:rsidRPr="00987A6E">
        <w:rPr>
          <w:rFonts w:ascii="Arial" w:hAnsi="Arial" w:cs="Arial"/>
          <w:sz w:val="20"/>
          <w:szCs w:val="20"/>
        </w:rPr>
        <w:t>processos administrativos, conforme precedentes deste Tribunal de Contas, tendo</w:t>
      </w:r>
      <w:r w:rsidR="0011035F" w:rsidRPr="00987A6E">
        <w:rPr>
          <w:rFonts w:ascii="Arial" w:hAnsi="Arial" w:cs="Arial"/>
          <w:sz w:val="20"/>
          <w:szCs w:val="20"/>
        </w:rPr>
        <w:t xml:space="preserve"> </w:t>
      </w:r>
      <w:r w:rsidRPr="00987A6E">
        <w:rPr>
          <w:rFonts w:ascii="Arial" w:hAnsi="Arial" w:cs="Arial"/>
          <w:sz w:val="20"/>
          <w:szCs w:val="20"/>
        </w:rPr>
        <w:t>como exemplo o Acórdão n</w:t>
      </w:r>
      <w:r w:rsidR="00D82527" w:rsidRPr="00987A6E">
        <w:rPr>
          <w:rFonts w:ascii="Arial" w:hAnsi="Arial" w:cs="Arial"/>
          <w:sz w:val="20"/>
          <w:szCs w:val="20"/>
        </w:rPr>
        <w:t>°</w:t>
      </w:r>
      <w:r w:rsidRPr="00987A6E">
        <w:rPr>
          <w:rFonts w:ascii="Arial" w:hAnsi="Arial" w:cs="Arial"/>
          <w:sz w:val="20"/>
          <w:szCs w:val="20"/>
        </w:rPr>
        <w:t xml:space="preserve"> 4.242/14 </w:t>
      </w:r>
      <w:r w:rsidR="0011035F" w:rsidRPr="00987A6E">
        <w:rPr>
          <w:rFonts w:ascii="Arial" w:hAnsi="Arial" w:cs="Arial"/>
          <w:sz w:val="20"/>
          <w:szCs w:val="20"/>
        </w:rPr>
        <w:t>-</w:t>
      </w:r>
      <w:r w:rsidRPr="00987A6E">
        <w:rPr>
          <w:rFonts w:ascii="Arial" w:hAnsi="Arial" w:cs="Arial"/>
          <w:sz w:val="20"/>
          <w:szCs w:val="20"/>
        </w:rPr>
        <w:t xml:space="preserve"> Pleno, segundo o qual “</w:t>
      </w:r>
      <w:r w:rsidRPr="00987A6E">
        <w:rPr>
          <w:rFonts w:ascii="Arial" w:hAnsi="Arial" w:cs="Arial"/>
          <w:i/>
          <w:iCs/>
          <w:sz w:val="20"/>
          <w:szCs w:val="20"/>
        </w:rPr>
        <w:t>a teoria da</w:t>
      </w:r>
      <w:r w:rsidR="0011035F" w:rsidRPr="00987A6E">
        <w:rPr>
          <w:rFonts w:ascii="Arial" w:hAnsi="Arial" w:cs="Arial"/>
          <w:i/>
          <w:iCs/>
          <w:sz w:val="20"/>
          <w:szCs w:val="20"/>
        </w:rPr>
        <w:t xml:space="preserve"> </w:t>
      </w:r>
      <w:r w:rsidRPr="00987A6E">
        <w:rPr>
          <w:rFonts w:ascii="Arial" w:hAnsi="Arial" w:cs="Arial"/>
          <w:i/>
          <w:iCs/>
          <w:sz w:val="20"/>
          <w:szCs w:val="20"/>
        </w:rPr>
        <w:t>continuidade delitiva deve ser aplicada aos casos em que diversas infrações administrativas</w:t>
      </w:r>
      <w:r w:rsidR="0011035F" w:rsidRPr="00987A6E">
        <w:rPr>
          <w:rFonts w:ascii="Arial" w:hAnsi="Arial" w:cs="Arial"/>
          <w:i/>
          <w:iCs/>
          <w:sz w:val="20"/>
          <w:szCs w:val="20"/>
        </w:rPr>
        <w:t xml:space="preserve"> </w:t>
      </w:r>
      <w:r w:rsidRPr="00987A6E">
        <w:rPr>
          <w:rFonts w:ascii="Arial" w:hAnsi="Arial" w:cs="Arial"/>
          <w:i/>
          <w:iCs/>
          <w:sz w:val="20"/>
          <w:szCs w:val="20"/>
        </w:rPr>
        <w:t>da mesma espécie são apuradas em um mesmo processo</w:t>
      </w:r>
      <w:r w:rsidR="0011035F" w:rsidRPr="00987A6E">
        <w:rPr>
          <w:rFonts w:ascii="Arial" w:hAnsi="Arial" w:cs="Arial"/>
          <w:i/>
          <w:iCs/>
          <w:sz w:val="20"/>
          <w:szCs w:val="20"/>
        </w:rPr>
        <w:t xml:space="preserve">” </w:t>
      </w:r>
      <w:r w:rsidR="0011035F" w:rsidRPr="00987A6E">
        <w:rPr>
          <w:rFonts w:ascii="Arial" w:hAnsi="Arial" w:cs="Arial"/>
          <w:iCs/>
          <w:sz w:val="20"/>
          <w:szCs w:val="20"/>
        </w:rPr>
        <w:t xml:space="preserve">deliberou-se pelo provimento parcial do recurso para aplicar apenas </w:t>
      </w:r>
      <w:r w:rsidR="0011035F" w:rsidRPr="00987A6E">
        <w:rPr>
          <w:rFonts w:ascii="Arial" w:hAnsi="Arial" w:cs="Arial"/>
          <w:sz w:val="20"/>
          <w:szCs w:val="20"/>
        </w:rPr>
        <w:t xml:space="preserve">uma multa do art. 87, III, </w:t>
      </w:r>
      <w:r w:rsidR="00D82527" w:rsidRPr="00987A6E">
        <w:rPr>
          <w:rFonts w:ascii="Arial" w:hAnsi="Arial" w:cs="Arial"/>
          <w:sz w:val="20"/>
          <w:szCs w:val="20"/>
        </w:rPr>
        <w:t>“</w:t>
      </w:r>
      <w:r w:rsidR="0011035F" w:rsidRPr="00987A6E">
        <w:rPr>
          <w:rFonts w:ascii="Arial" w:hAnsi="Arial" w:cs="Arial"/>
          <w:sz w:val="20"/>
          <w:szCs w:val="20"/>
        </w:rPr>
        <w:t>b</w:t>
      </w:r>
      <w:r w:rsidR="00D82527" w:rsidRPr="00987A6E">
        <w:rPr>
          <w:rFonts w:ascii="Arial" w:hAnsi="Arial" w:cs="Arial"/>
          <w:sz w:val="20"/>
          <w:szCs w:val="20"/>
        </w:rPr>
        <w:t>”</w:t>
      </w:r>
      <w:r w:rsidR="0011035F" w:rsidRPr="00987A6E">
        <w:rPr>
          <w:rFonts w:ascii="Arial" w:hAnsi="Arial" w:cs="Arial"/>
          <w:sz w:val="20"/>
          <w:szCs w:val="20"/>
        </w:rPr>
        <w:t xml:space="preserve"> da Lei</w:t>
      </w:r>
      <w:r w:rsidR="00D82527" w:rsidRPr="00987A6E">
        <w:rPr>
          <w:rFonts w:ascii="Arial" w:hAnsi="Arial" w:cs="Arial"/>
          <w:sz w:val="20"/>
          <w:szCs w:val="20"/>
        </w:rPr>
        <w:t xml:space="preserve"> </w:t>
      </w:r>
      <w:r w:rsidR="0011035F" w:rsidRPr="00987A6E">
        <w:rPr>
          <w:rFonts w:ascii="Arial" w:hAnsi="Arial" w:cs="Arial"/>
          <w:sz w:val="20"/>
          <w:szCs w:val="20"/>
        </w:rPr>
        <w:t xml:space="preserve">Complementar n.º 113/2005 ao </w:t>
      </w:r>
      <w:r w:rsidR="00D82527" w:rsidRPr="00987A6E">
        <w:rPr>
          <w:rFonts w:ascii="Arial" w:hAnsi="Arial" w:cs="Arial"/>
          <w:sz w:val="20"/>
          <w:szCs w:val="20"/>
        </w:rPr>
        <w:t>gestor responsável</w:t>
      </w:r>
      <w:r w:rsidR="0011035F" w:rsidRPr="00987A6E">
        <w:rPr>
          <w:rFonts w:ascii="Arial" w:hAnsi="Arial" w:cs="Arial"/>
          <w:sz w:val="20"/>
          <w:szCs w:val="20"/>
        </w:rPr>
        <w:t>, mantendo o juízo</w:t>
      </w:r>
      <w:r w:rsidR="00D82527" w:rsidRPr="00987A6E">
        <w:rPr>
          <w:rFonts w:ascii="Arial" w:hAnsi="Arial" w:cs="Arial"/>
          <w:sz w:val="20"/>
          <w:szCs w:val="20"/>
        </w:rPr>
        <w:t xml:space="preserve"> </w:t>
      </w:r>
      <w:r w:rsidR="0011035F" w:rsidRPr="00987A6E">
        <w:rPr>
          <w:rFonts w:ascii="Arial" w:hAnsi="Arial" w:cs="Arial"/>
          <w:sz w:val="20"/>
          <w:szCs w:val="20"/>
        </w:rPr>
        <w:t>de regularidade com ressalva de suas contas.</w:t>
      </w:r>
    </w:p>
    <w:p w:rsidR="00922959" w:rsidRDefault="00922959" w:rsidP="007D15DB">
      <w:pPr>
        <w:autoSpaceDE w:val="0"/>
        <w:autoSpaceDN w:val="0"/>
        <w:adjustRightInd w:val="0"/>
        <w:spacing w:after="0"/>
        <w:jc w:val="both"/>
        <w:rPr>
          <w:rFonts w:ascii="Arial" w:hAnsi="Arial" w:cs="Arial"/>
          <w:sz w:val="20"/>
          <w:szCs w:val="20"/>
        </w:rPr>
      </w:pPr>
    </w:p>
    <w:p w:rsidR="007D3ABB" w:rsidRDefault="007D3ABB" w:rsidP="007D15DB">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908143/15 - </w:t>
      </w:r>
      <w:hyperlink r:id="rId14" w:history="1">
        <w:r w:rsidRPr="0088298A">
          <w:rPr>
            <w:rStyle w:val="Hyperlink"/>
            <w:rFonts w:ascii="Arial" w:hAnsi="Arial" w:cs="Arial"/>
            <w:sz w:val="20"/>
            <w:szCs w:val="20"/>
          </w:rPr>
          <w:t>Acórdão n° 316/18 - Tribunal Pleno</w:t>
        </w:r>
      </w:hyperlink>
      <w:r>
        <w:rPr>
          <w:rFonts w:ascii="Arial" w:hAnsi="Arial" w:cs="Arial"/>
          <w:sz w:val="20"/>
          <w:szCs w:val="20"/>
        </w:rPr>
        <w:t xml:space="preserve"> - Rel. Cons. Fabio de Souza Camargo.</w:t>
      </w:r>
    </w:p>
    <w:p w:rsidR="00922959" w:rsidRPr="007E5649" w:rsidRDefault="00922959" w:rsidP="007D15DB">
      <w:pPr>
        <w:autoSpaceDE w:val="0"/>
        <w:autoSpaceDN w:val="0"/>
        <w:adjustRightInd w:val="0"/>
        <w:spacing w:after="0"/>
        <w:jc w:val="both"/>
        <w:rPr>
          <w:rFonts w:ascii="Arial" w:hAnsi="Arial" w:cs="Arial"/>
          <w:sz w:val="20"/>
          <w:szCs w:val="20"/>
        </w:rPr>
      </w:pPr>
    </w:p>
    <w:p w:rsidR="007E5649" w:rsidRDefault="0003057F" w:rsidP="007D15DB">
      <w:pPr>
        <w:autoSpaceDE w:val="0"/>
        <w:autoSpaceDN w:val="0"/>
        <w:adjustRightInd w:val="0"/>
        <w:spacing w:after="0"/>
        <w:jc w:val="both"/>
        <w:rPr>
          <w:rFonts w:ascii="Arial" w:hAnsi="Arial" w:cs="Arial"/>
          <w:b/>
          <w:iCs/>
          <w:sz w:val="20"/>
          <w:szCs w:val="20"/>
        </w:rPr>
      </w:pPr>
      <w:r>
        <w:rPr>
          <w:rFonts w:ascii="Arial" w:hAnsi="Arial" w:cs="Arial"/>
          <w:b/>
          <w:iCs/>
          <w:sz w:val="20"/>
          <w:szCs w:val="20"/>
        </w:rPr>
        <w:t xml:space="preserve">8. </w:t>
      </w:r>
      <w:r w:rsidR="007E5649" w:rsidRPr="007E5649">
        <w:rPr>
          <w:rFonts w:ascii="Arial" w:hAnsi="Arial" w:cs="Arial"/>
          <w:b/>
          <w:iCs/>
          <w:sz w:val="20"/>
          <w:szCs w:val="20"/>
        </w:rPr>
        <w:t>Comunicação de I</w:t>
      </w:r>
      <w:r w:rsidR="007E5649">
        <w:rPr>
          <w:rFonts w:ascii="Arial" w:hAnsi="Arial" w:cs="Arial"/>
          <w:b/>
          <w:iCs/>
          <w:sz w:val="20"/>
          <w:szCs w:val="20"/>
        </w:rPr>
        <w:t>rregularidade. Parecer técnico c</w:t>
      </w:r>
      <w:r w:rsidR="007E5649" w:rsidRPr="007E5649">
        <w:rPr>
          <w:rFonts w:ascii="Arial" w:hAnsi="Arial" w:cs="Arial"/>
          <w:b/>
          <w:iCs/>
          <w:sz w:val="20"/>
          <w:szCs w:val="20"/>
        </w:rPr>
        <w:t>onclusivo</w:t>
      </w:r>
      <w:r w:rsidR="007E5649">
        <w:rPr>
          <w:rFonts w:ascii="Arial" w:hAnsi="Arial" w:cs="Arial"/>
          <w:b/>
          <w:iCs/>
          <w:sz w:val="20"/>
          <w:szCs w:val="20"/>
        </w:rPr>
        <w:t>. L</w:t>
      </w:r>
      <w:r w:rsidR="007E5649" w:rsidRPr="007E5649">
        <w:rPr>
          <w:rFonts w:ascii="Arial" w:hAnsi="Arial" w:cs="Arial"/>
          <w:b/>
          <w:iCs/>
          <w:sz w:val="20"/>
          <w:szCs w:val="20"/>
        </w:rPr>
        <w:t>icenciamento ambiental. Atividade técnica</w:t>
      </w:r>
      <w:r w:rsidR="007E5649">
        <w:rPr>
          <w:rFonts w:ascii="Arial" w:hAnsi="Arial" w:cs="Arial"/>
          <w:b/>
          <w:iCs/>
          <w:sz w:val="20"/>
          <w:szCs w:val="20"/>
        </w:rPr>
        <w:t>. S</w:t>
      </w:r>
      <w:r w:rsidR="007E5649" w:rsidRPr="007E5649">
        <w:rPr>
          <w:rFonts w:ascii="Arial" w:hAnsi="Arial" w:cs="Arial"/>
          <w:b/>
          <w:iCs/>
          <w:sz w:val="20"/>
          <w:szCs w:val="20"/>
        </w:rPr>
        <w:t>ervidor efetivo e legalmente habilitado. Decisão Administrativa em procedimento de licenciamento ambiental.</w:t>
      </w:r>
      <w:r w:rsidR="007E5649">
        <w:rPr>
          <w:rFonts w:ascii="Arial" w:hAnsi="Arial" w:cs="Arial"/>
          <w:b/>
          <w:iCs/>
          <w:sz w:val="20"/>
          <w:szCs w:val="20"/>
        </w:rPr>
        <w:t xml:space="preserve"> </w:t>
      </w:r>
      <w:r w:rsidR="00F84DA9">
        <w:rPr>
          <w:rFonts w:ascii="Arial" w:hAnsi="Arial" w:cs="Arial"/>
          <w:b/>
          <w:iCs/>
          <w:sz w:val="20"/>
          <w:szCs w:val="20"/>
        </w:rPr>
        <w:t>S</w:t>
      </w:r>
      <w:r w:rsidR="007E5649" w:rsidRPr="007E5649">
        <w:rPr>
          <w:rFonts w:ascii="Arial" w:hAnsi="Arial" w:cs="Arial"/>
          <w:b/>
          <w:iCs/>
          <w:sz w:val="20"/>
          <w:szCs w:val="20"/>
        </w:rPr>
        <w:t>egregação das funções</w:t>
      </w:r>
      <w:r w:rsidR="00F84DA9">
        <w:rPr>
          <w:rFonts w:ascii="Arial" w:hAnsi="Arial" w:cs="Arial"/>
          <w:b/>
          <w:iCs/>
          <w:sz w:val="20"/>
          <w:szCs w:val="20"/>
        </w:rPr>
        <w:t xml:space="preserve">. </w:t>
      </w:r>
      <w:r w:rsidR="007E5649" w:rsidRPr="007E5649">
        <w:rPr>
          <w:rFonts w:ascii="Arial" w:hAnsi="Arial" w:cs="Arial"/>
          <w:b/>
          <w:iCs/>
          <w:sz w:val="20"/>
          <w:szCs w:val="20"/>
        </w:rPr>
        <w:t>Ratificação</w:t>
      </w:r>
      <w:r w:rsidR="007E5649">
        <w:rPr>
          <w:rFonts w:ascii="Arial" w:hAnsi="Arial" w:cs="Arial"/>
          <w:b/>
          <w:iCs/>
          <w:sz w:val="20"/>
          <w:szCs w:val="20"/>
        </w:rPr>
        <w:t xml:space="preserve"> </w:t>
      </w:r>
      <w:r w:rsidR="007E5649" w:rsidRPr="007E5649">
        <w:rPr>
          <w:rFonts w:ascii="Arial" w:hAnsi="Arial" w:cs="Arial"/>
          <w:b/>
          <w:iCs/>
          <w:sz w:val="20"/>
          <w:szCs w:val="20"/>
        </w:rPr>
        <w:t xml:space="preserve">de </w:t>
      </w:r>
      <w:r w:rsidR="007E5649">
        <w:rPr>
          <w:rFonts w:ascii="Arial" w:hAnsi="Arial" w:cs="Arial"/>
          <w:b/>
          <w:iCs/>
          <w:sz w:val="20"/>
          <w:szCs w:val="20"/>
        </w:rPr>
        <w:t>C</w:t>
      </w:r>
      <w:r w:rsidR="007E5649" w:rsidRPr="007E5649">
        <w:rPr>
          <w:rFonts w:ascii="Arial" w:hAnsi="Arial" w:cs="Arial"/>
          <w:b/>
          <w:iCs/>
          <w:sz w:val="20"/>
          <w:szCs w:val="20"/>
        </w:rPr>
        <w:t>autelar</w:t>
      </w:r>
      <w:r w:rsidR="007E5649">
        <w:rPr>
          <w:rFonts w:ascii="Arial" w:hAnsi="Arial" w:cs="Arial"/>
          <w:b/>
          <w:iCs/>
          <w:sz w:val="20"/>
          <w:szCs w:val="20"/>
        </w:rPr>
        <w:t>.</w:t>
      </w:r>
    </w:p>
    <w:p w:rsidR="007E5649" w:rsidRDefault="007E5649" w:rsidP="007D15DB">
      <w:pPr>
        <w:autoSpaceDE w:val="0"/>
        <w:autoSpaceDN w:val="0"/>
        <w:adjustRightInd w:val="0"/>
        <w:spacing w:after="0"/>
        <w:jc w:val="both"/>
        <w:rPr>
          <w:rFonts w:ascii="Arial" w:hAnsi="Arial" w:cs="Arial"/>
          <w:b/>
          <w:iCs/>
          <w:sz w:val="20"/>
          <w:szCs w:val="20"/>
        </w:rPr>
      </w:pPr>
    </w:p>
    <w:p w:rsidR="007E5649" w:rsidRPr="00936E83" w:rsidRDefault="00FA7AB5" w:rsidP="007D15DB">
      <w:pPr>
        <w:autoSpaceDE w:val="0"/>
        <w:autoSpaceDN w:val="0"/>
        <w:adjustRightInd w:val="0"/>
        <w:spacing w:after="0"/>
        <w:jc w:val="both"/>
        <w:rPr>
          <w:rFonts w:ascii="Arial" w:hAnsi="Arial" w:cs="Arial"/>
          <w:sz w:val="20"/>
          <w:szCs w:val="20"/>
        </w:rPr>
      </w:pPr>
      <w:r w:rsidRPr="00936E83">
        <w:rPr>
          <w:rFonts w:ascii="Arial" w:hAnsi="Arial" w:cs="Arial"/>
          <w:sz w:val="20"/>
          <w:szCs w:val="20"/>
        </w:rPr>
        <w:t xml:space="preserve">Especificamente no caso da Chefe do Escritório Regional </w:t>
      </w:r>
      <w:r w:rsidR="00BD351B">
        <w:rPr>
          <w:rFonts w:ascii="Arial" w:hAnsi="Arial" w:cs="Arial"/>
          <w:sz w:val="20"/>
          <w:szCs w:val="20"/>
        </w:rPr>
        <w:t>analisado</w:t>
      </w:r>
      <w:r w:rsidRPr="00936E83">
        <w:rPr>
          <w:rFonts w:ascii="Arial" w:hAnsi="Arial" w:cs="Arial"/>
          <w:sz w:val="20"/>
          <w:szCs w:val="20"/>
        </w:rPr>
        <w:t>, a Inspetoria de Controle</w:t>
      </w:r>
      <w:r w:rsidR="004C1E94">
        <w:rPr>
          <w:rFonts w:ascii="Arial" w:hAnsi="Arial" w:cs="Arial"/>
          <w:sz w:val="20"/>
          <w:szCs w:val="20"/>
        </w:rPr>
        <w:t xml:space="preserve"> </w:t>
      </w:r>
      <w:r w:rsidRPr="00936E83">
        <w:rPr>
          <w:rFonts w:ascii="Arial" w:hAnsi="Arial" w:cs="Arial"/>
          <w:sz w:val="20"/>
          <w:szCs w:val="20"/>
        </w:rPr>
        <w:t>Externo</w:t>
      </w:r>
      <w:r w:rsidR="00784D7B">
        <w:rPr>
          <w:rFonts w:ascii="Arial" w:hAnsi="Arial" w:cs="Arial"/>
          <w:sz w:val="20"/>
          <w:szCs w:val="20"/>
        </w:rPr>
        <w:t xml:space="preserve"> competente </w:t>
      </w:r>
      <w:r w:rsidRPr="00936E83">
        <w:rPr>
          <w:rFonts w:ascii="Arial" w:hAnsi="Arial" w:cs="Arial"/>
          <w:sz w:val="20"/>
          <w:szCs w:val="20"/>
        </w:rPr>
        <w:t>informou que não identificou registo profissional em órgão de classe</w:t>
      </w:r>
      <w:r w:rsidR="004C1E94">
        <w:rPr>
          <w:rFonts w:ascii="Arial" w:hAnsi="Arial" w:cs="Arial"/>
          <w:sz w:val="20"/>
          <w:szCs w:val="20"/>
        </w:rPr>
        <w:t xml:space="preserve"> </w:t>
      </w:r>
      <w:r w:rsidRPr="00936E83">
        <w:rPr>
          <w:rFonts w:ascii="Arial" w:hAnsi="Arial" w:cs="Arial"/>
          <w:sz w:val="20"/>
          <w:szCs w:val="20"/>
        </w:rPr>
        <w:t>competente que a habilitasse para emitir pareceres conclusivos relacionados a</w:t>
      </w:r>
      <w:r w:rsidR="004C1E94">
        <w:rPr>
          <w:rFonts w:ascii="Arial" w:hAnsi="Arial" w:cs="Arial"/>
          <w:sz w:val="20"/>
          <w:szCs w:val="20"/>
        </w:rPr>
        <w:t xml:space="preserve"> </w:t>
      </w:r>
      <w:r w:rsidRPr="00936E83">
        <w:rPr>
          <w:rFonts w:ascii="Arial" w:hAnsi="Arial" w:cs="Arial"/>
          <w:sz w:val="20"/>
          <w:szCs w:val="20"/>
        </w:rPr>
        <w:t>procedimentos de licenciamento ambiental, e que consta no sítio eletrônico do</w:t>
      </w:r>
      <w:r w:rsidR="004C1E94">
        <w:rPr>
          <w:rFonts w:ascii="Arial" w:hAnsi="Arial" w:cs="Arial"/>
          <w:sz w:val="20"/>
          <w:szCs w:val="20"/>
        </w:rPr>
        <w:t xml:space="preserve"> </w:t>
      </w:r>
      <w:r w:rsidRPr="00936E83">
        <w:rPr>
          <w:rFonts w:ascii="Arial" w:hAnsi="Arial" w:cs="Arial"/>
          <w:sz w:val="20"/>
          <w:szCs w:val="20"/>
        </w:rPr>
        <w:t>Tribunal Superior Eleitoral que, quando se candidatou a vereadora, declarou possuir</w:t>
      </w:r>
      <w:r w:rsidR="004C1E94">
        <w:rPr>
          <w:rFonts w:ascii="Arial" w:hAnsi="Arial" w:cs="Arial"/>
          <w:sz w:val="20"/>
          <w:szCs w:val="20"/>
        </w:rPr>
        <w:t xml:space="preserve"> </w:t>
      </w:r>
      <w:r w:rsidRPr="00936E83">
        <w:rPr>
          <w:rFonts w:ascii="Arial" w:hAnsi="Arial" w:cs="Arial"/>
          <w:sz w:val="20"/>
          <w:szCs w:val="20"/>
        </w:rPr>
        <w:t>apenas o ensino médio completo.</w:t>
      </w:r>
    </w:p>
    <w:p w:rsidR="00FA7AB5" w:rsidRPr="00936E83" w:rsidRDefault="00FA7AB5" w:rsidP="007D15DB">
      <w:pPr>
        <w:autoSpaceDE w:val="0"/>
        <w:autoSpaceDN w:val="0"/>
        <w:adjustRightInd w:val="0"/>
        <w:spacing w:after="0"/>
        <w:jc w:val="both"/>
        <w:rPr>
          <w:rFonts w:ascii="Arial" w:hAnsi="Arial" w:cs="Arial"/>
          <w:sz w:val="20"/>
          <w:szCs w:val="20"/>
        </w:rPr>
      </w:pPr>
    </w:p>
    <w:p w:rsidR="00FA7AB5" w:rsidRPr="00936E83" w:rsidRDefault="00FA7AB5" w:rsidP="007D15DB">
      <w:pPr>
        <w:autoSpaceDE w:val="0"/>
        <w:autoSpaceDN w:val="0"/>
        <w:adjustRightInd w:val="0"/>
        <w:spacing w:after="0"/>
        <w:jc w:val="both"/>
        <w:rPr>
          <w:rFonts w:ascii="Arial" w:hAnsi="Arial" w:cs="Arial"/>
          <w:sz w:val="20"/>
          <w:szCs w:val="20"/>
        </w:rPr>
      </w:pPr>
      <w:r w:rsidRPr="00936E83">
        <w:rPr>
          <w:rFonts w:ascii="Arial" w:hAnsi="Arial" w:cs="Arial"/>
          <w:sz w:val="20"/>
          <w:szCs w:val="20"/>
        </w:rPr>
        <w:t>Não obstante a existência de 04 servidores efetivos habilitados para</w:t>
      </w:r>
      <w:r w:rsidR="004C1E94">
        <w:rPr>
          <w:rFonts w:ascii="Arial" w:hAnsi="Arial" w:cs="Arial"/>
          <w:sz w:val="20"/>
          <w:szCs w:val="20"/>
        </w:rPr>
        <w:t xml:space="preserve"> </w:t>
      </w:r>
      <w:r w:rsidRPr="00936E83">
        <w:rPr>
          <w:rFonts w:ascii="Arial" w:hAnsi="Arial" w:cs="Arial"/>
          <w:sz w:val="20"/>
          <w:szCs w:val="20"/>
        </w:rPr>
        <w:t>a tarefa (responsáveis por 87% dos pareceres emitidos), a servidora comissionada</w:t>
      </w:r>
      <w:r w:rsidR="004C1E94">
        <w:rPr>
          <w:rFonts w:ascii="Arial" w:hAnsi="Arial" w:cs="Arial"/>
          <w:sz w:val="20"/>
          <w:szCs w:val="20"/>
        </w:rPr>
        <w:t xml:space="preserve"> </w:t>
      </w:r>
      <w:r w:rsidRPr="00936E83">
        <w:rPr>
          <w:rFonts w:ascii="Arial" w:hAnsi="Arial" w:cs="Arial"/>
          <w:sz w:val="20"/>
          <w:szCs w:val="20"/>
        </w:rPr>
        <w:t>teria emitido 26 pareceres conclusivos sobre pedidos de licença ambiental entre</w:t>
      </w:r>
      <w:r w:rsidR="004C1E94">
        <w:rPr>
          <w:rFonts w:ascii="Arial" w:hAnsi="Arial" w:cs="Arial"/>
          <w:sz w:val="20"/>
          <w:szCs w:val="20"/>
        </w:rPr>
        <w:t xml:space="preserve"> </w:t>
      </w:r>
      <w:r w:rsidRPr="00936E83">
        <w:rPr>
          <w:rFonts w:ascii="Arial" w:hAnsi="Arial" w:cs="Arial"/>
          <w:sz w:val="20"/>
          <w:szCs w:val="20"/>
        </w:rPr>
        <w:t>01/01 e 22/11/2017 (todos favoráveis, equivalentes a investimentos em valor total</w:t>
      </w:r>
      <w:r w:rsidR="004C1E94">
        <w:rPr>
          <w:rFonts w:ascii="Arial" w:hAnsi="Arial" w:cs="Arial"/>
          <w:sz w:val="20"/>
          <w:szCs w:val="20"/>
        </w:rPr>
        <w:t xml:space="preserve"> </w:t>
      </w:r>
      <w:r w:rsidRPr="00936E83">
        <w:rPr>
          <w:rFonts w:ascii="Arial" w:hAnsi="Arial" w:cs="Arial"/>
          <w:sz w:val="20"/>
          <w:szCs w:val="20"/>
        </w:rPr>
        <w:t>superior a R$ 50 milhões), tendo executado, em vários deles, todas as etapas do</w:t>
      </w:r>
      <w:r w:rsidR="004C1E94">
        <w:rPr>
          <w:rFonts w:ascii="Arial" w:hAnsi="Arial" w:cs="Arial"/>
          <w:sz w:val="20"/>
          <w:szCs w:val="20"/>
        </w:rPr>
        <w:t xml:space="preserve"> </w:t>
      </w:r>
      <w:r w:rsidRPr="00936E83">
        <w:rPr>
          <w:rFonts w:ascii="Arial" w:hAnsi="Arial" w:cs="Arial"/>
          <w:sz w:val="20"/>
          <w:szCs w:val="20"/>
        </w:rPr>
        <w:t xml:space="preserve">processo sem a participação de nenhum servidor técnico efetivo do </w:t>
      </w:r>
      <w:r w:rsidR="004C1E94">
        <w:rPr>
          <w:rFonts w:ascii="Arial" w:hAnsi="Arial" w:cs="Arial"/>
          <w:sz w:val="20"/>
          <w:szCs w:val="20"/>
        </w:rPr>
        <w:t>órgão licenciador estadual</w:t>
      </w:r>
      <w:r w:rsidRPr="00936E83">
        <w:rPr>
          <w:rFonts w:ascii="Arial" w:hAnsi="Arial" w:cs="Arial"/>
          <w:sz w:val="20"/>
          <w:szCs w:val="20"/>
        </w:rPr>
        <w:t>, sendo 24</w:t>
      </w:r>
      <w:r w:rsidR="004C1E94">
        <w:rPr>
          <w:rFonts w:ascii="Arial" w:hAnsi="Arial" w:cs="Arial"/>
          <w:sz w:val="20"/>
          <w:szCs w:val="20"/>
        </w:rPr>
        <w:t xml:space="preserve"> </w:t>
      </w:r>
      <w:r w:rsidRPr="00936E83">
        <w:rPr>
          <w:rFonts w:ascii="Arial" w:hAnsi="Arial" w:cs="Arial"/>
          <w:sz w:val="20"/>
          <w:szCs w:val="20"/>
        </w:rPr>
        <w:t>deles no mesmo dia, dos quais um em apenas 19 minutos (conforme registros do</w:t>
      </w:r>
      <w:r w:rsidR="004C1E94">
        <w:rPr>
          <w:rFonts w:ascii="Arial" w:hAnsi="Arial" w:cs="Arial"/>
          <w:sz w:val="20"/>
          <w:szCs w:val="20"/>
        </w:rPr>
        <w:t xml:space="preserve"> </w:t>
      </w:r>
      <w:r w:rsidRPr="00936E83">
        <w:rPr>
          <w:rFonts w:ascii="Arial" w:hAnsi="Arial" w:cs="Arial"/>
          <w:sz w:val="20"/>
          <w:szCs w:val="20"/>
        </w:rPr>
        <w:t>Sistema de Gestão Ambiental), a despeito da quantidade de documentos a serem</w:t>
      </w:r>
      <w:r w:rsidR="004C1E94">
        <w:rPr>
          <w:rFonts w:ascii="Arial" w:hAnsi="Arial" w:cs="Arial"/>
          <w:sz w:val="20"/>
          <w:szCs w:val="20"/>
        </w:rPr>
        <w:t xml:space="preserve"> </w:t>
      </w:r>
      <w:r w:rsidRPr="00936E83">
        <w:rPr>
          <w:rFonts w:ascii="Arial" w:hAnsi="Arial" w:cs="Arial"/>
          <w:sz w:val="20"/>
          <w:szCs w:val="20"/>
        </w:rPr>
        <w:t>analisados e da necessidade de diligencias ao local do loteamento.</w:t>
      </w:r>
    </w:p>
    <w:p w:rsidR="00FA7AB5" w:rsidRPr="00936E83" w:rsidRDefault="00FA7AB5" w:rsidP="007D15DB">
      <w:pPr>
        <w:autoSpaceDE w:val="0"/>
        <w:autoSpaceDN w:val="0"/>
        <w:adjustRightInd w:val="0"/>
        <w:spacing w:after="0"/>
        <w:jc w:val="both"/>
        <w:rPr>
          <w:rFonts w:ascii="Arial" w:hAnsi="Arial" w:cs="Arial"/>
          <w:sz w:val="20"/>
          <w:szCs w:val="20"/>
        </w:rPr>
      </w:pPr>
    </w:p>
    <w:p w:rsidR="00FA7AB5" w:rsidRPr="00936E83" w:rsidRDefault="00FA7AB5" w:rsidP="007D15DB">
      <w:pPr>
        <w:autoSpaceDE w:val="0"/>
        <w:autoSpaceDN w:val="0"/>
        <w:adjustRightInd w:val="0"/>
        <w:spacing w:after="0"/>
        <w:jc w:val="both"/>
        <w:rPr>
          <w:rFonts w:ascii="Arial" w:hAnsi="Arial" w:cs="Arial"/>
          <w:b/>
          <w:sz w:val="20"/>
          <w:szCs w:val="20"/>
        </w:rPr>
      </w:pPr>
      <w:r w:rsidRPr="00936E83">
        <w:rPr>
          <w:rFonts w:ascii="Arial" w:hAnsi="Arial" w:cs="Arial"/>
          <w:color w:val="000000"/>
          <w:sz w:val="20"/>
          <w:szCs w:val="20"/>
        </w:rPr>
        <w:t>Destacou, ainda, que, em caso de insuficiência de servidores</w:t>
      </w:r>
      <w:r w:rsidR="004C1E94">
        <w:rPr>
          <w:rFonts w:ascii="Arial" w:hAnsi="Arial" w:cs="Arial"/>
          <w:color w:val="000000"/>
          <w:sz w:val="20"/>
          <w:szCs w:val="20"/>
        </w:rPr>
        <w:t xml:space="preserve"> </w:t>
      </w:r>
      <w:r w:rsidRPr="00936E83">
        <w:rPr>
          <w:rFonts w:ascii="Arial" w:hAnsi="Arial" w:cs="Arial"/>
          <w:color w:val="000000"/>
          <w:sz w:val="20"/>
          <w:szCs w:val="20"/>
        </w:rPr>
        <w:t>habilitados para emitir parecer conclusivo em regional, o procedimento previsto pela</w:t>
      </w:r>
      <w:r w:rsidR="004C1E94">
        <w:rPr>
          <w:rFonts w:ascii="Arial" w:hAnsi="Arial" w:cs="Arial"/>
          <w:color w:val="000000"/>
          <w:sz w:val="20"/>
          <w:szCs w:val="20"/>
        </w:rPr>
        <w:t xml:space="preserve"> </w:t>
      </w:r>
      <w:r w:rsidRPr="00936E83">
        <w:rPr>
          <w:rFonts w:ascii="Arial" w:hAnsi="Arial" w:cs="Arial"/>
          <w:color w:val="000000"/>
          <w:sz w:val="20"/>
          <w:szCs w:val="20"/>
        </w:rPr>
        <w:t>Portaria IAP nº 157/1998 é a obtenção de apoio junto a técnicos de outros</w:t>
      </w:r>
      <w:r w:rsidR="004C1E94">
        <w:rPr>
          <w:rFonts w:ascii="Arial" w:hAnsi="Arial" w:cs="Arial"/>
          <w:color w:val="000000"/>
          <w:sz w:val="20"/>
          <w:szCs w:val="20"/>
        </w:rPr>
        <w:t xml:space="preserve"> </w:t>
      </w:r>
      <w:r w:rsidRPr="00936E83">
        <w:rPr>
          <w:rFonts w:ascii="Arial" w:hAnsi="Arial" w:cs="Arial"/>
          <w:color w:val="000000"/>
          <w:sz w:val="20"/>
          <w:szCs w:val="20"/>
        </w:rPr>
        <w:t>Escritórios Regionais.</w:t>
      </w:r>
    </w:p>
    <w:p w:rsidR="007E5649" w:rsidRPr="00936E83" w:rsidRDefault="007E5649" w:rsidP="007D15DB">
      <w:pPr>
        <w:autoSpaceDE w:val="0"/>
        <w:autoSpaceDN w:val="0"/>
        <w:adjustRightInd w:val="0"/>
        <w:spacing w:after="0"/>
        <w:jc w:val="both"/>
        <w:rPr>
          <w:rFonts w:ascii="Arial" w:hAnsi="Arial" w:cs="Arial"/>
          <w:sz w:val="20"/>
          <w:szCs w:val="20"/>
        </w:rPr>
      </w:pPr>
    </w:p>
    <w:p w:rsidR="00936E83" w:rsidRPr="004C1E94" w:rsidRDefault="00936E83" w:rsidP="007D15DB">
      <w:pPr>
        <w:autoSpaceDE w:val="0"/>
        <w:autoSpaceDN w:val="0"/>
        <w:adjustRightInd w:val="0"/>
        <w:spacing w:after="0"/>
        <w:jc w:val="both"/>
        <w:rPr>
          <w:rFonts w:ascii="Arial" w:hAnsi="Arial" w:cs="Arial"/>
          <w:sz w:val="20"/>
          <w:szCs w:val="20"/>
        </w:rPr>
      </w:pPr>
      <w:r w:rsidRPr="00936E83">
        <w:rPr>
          <w:rFonts w:ascii="Arial" w:hAnsi="Arial" w:cs="Arial"/>
          <w:sz w:val="20"/>
          <w:szCs w:val="20"/>
        </w:rPr>
        <w:t>Diante da verossimilhança dos fatos, documentos e argumentos</w:t>
      </w:r>
      <w:r w:rsidR="004C1E94">
        <w:rPr>
          <w:rFonts w:ascii="Arial" w:hAnsi="Arial" w:cs="Arial"/>
          <w:sz w:val="20"/>
          <w:szCs w:val="20"/>
        </w:rPr>
        <w:t xml:space="preserve"> </w:t>
      </w:r>
      <w:r w:rsidRPr="00936E83">
        <w:rPr>
          <w:rFonts w:ascii="Arial" w:hAnsi="Arial" w:cs="Arial"/>
          <w:sz w:val="20"/>
          <w:szCs w:val="20"/>
        </w:rPr>
        <w:t>apresentados pela Inspetoria de Controle Externo</w:t>
      </w:r>
      <w:r w:rsidR="00784D7B">
        <w:rPr>
          <w:rFonts w:ascii="Arial" w:hAnsi="Arial" w:cs="Arial"/>
          <w:sz w:val="20"/>
          <w:szCs w:val="20"/>
        </w:rPr>
        <w:t xml:space="preserve"> competente</w:t>
      </w:r>
      <w:r w:rsidRPr="00936E83">
        <w:rPr>
          <w:rFonts w:ascii="Arial" w:hAnsi="Arial" w:cs="Arial"/>
          <w:sz w:val="20"/>
          <w:szCs w:val="20"/>
        </w:rPr>
        <w:t xml:space="preserve">, </w:t>
      </w:r>
      <w:r w:rsidRPr="004C1E94">
        <w:rPr>
          <w:rFonts w:ascii="Arial" w:hAnsi="Arial" w:cs="Arial"/>
          <w:bCs/>
          <w:sz w:val="20"/>
          <w:szCs w:val="20"/>
        </w:rPr>
        <w:t>merece acolhimento o</w:t>
      </w:r>
      <w:r w:rsidR="004C1E94" w:rsidRPr="004C1E94">
        <w:rPr>
          <w:rFonts w:ascii="Arial" w:hAnsi="Arial" w:cs="Arial"/>
          <w:bCs/>
          <w:sz w:val="20"/>
          <w:szCs w:val="20"/>
        </w:rPr>
        <w:t xml:space="preserve"> </w:t>
      </w:r>
      <w:r w:rsidRPr="004C1E94">
        <w:rPr>
          <w:rFonts w:ascii="Arial" w:hAnsi="Arial" w:cs="Arial"/>
          <w:bCs/>
          <w:sz w:val="20"/>
          <w:szCs w:val="20"/>
        </w:rPr>
        <w:t>pedido de expedição de medida cautelar em face do</w:t>
      </w:r>
      <w:r w:rsidR="004C1E94">
        <w:rPr>
          <w:rFonts w:ascii="Arial" w:hAnsi="Arial" w:cs="Arial"/>
          <w:bCs/>
          <w:sz w:val="20"/>
          <w:szCs w:val="20"/>
        </w:rPr>
        <w:t xml:space="preserve"> órgão ambiental do Estado d</w:t>
      </w:r>
      <w:r w:rsidRPr="004C1E94">
        <w:rPr>
          <w:rFonts w:ascii="Arial" w:hAnsi="Arial" w:cs="Arial"/>
          <w:bCs/>
          <w:sz w:val="20"/>
          <w:szCs w:val="20"/>
        </w:rPr>
        <w:t>o</w:t>
      </w:r>
      <w:r w:rsidR="004C1E94" w:rsidRPr="004C1E94">
        <w:rPr>
          <w:rFonts w:ascii="Arial" w:hAnsi="Arial" w:cs="Arial"/>
          <w:bCs/>
          <w:sz w:val="20"/>
          <w:szCs w:val="20"/>
        </w:rPr>
        <w:t xml:space="preserve"> </w:t>
      </w:r>
      <w:r w:rsidRPr="004C1E94">
        <w:rPr>
          <w:rFonts w:ascii="Arial" w:hAnsi="Arial" w:cs="Arial"/>
          <w:bCs/>
          <w:sz w:val="20"/>
          <w:szCs w:val="20"/>
        </w:rPr>
        <w:t>Paraná, para o fim de determinar a cessação imediata da emissão de Parecer</w:t>
      </w:r>
      <w:r w:rsidR="004C1E94" w:rsidRPr="004C1E94">
        <w:rPr>
          <w:rFonts w:ascii="Arial" w:hAnsi="Arial" w:cs="Arial"/>
          <w:bCs/>
          <w:sz w:val="20"/>
          <w:szCs w:val="20"/>
        </w:rPr>
        <w:t xml:space="preserve"> </w:t>
      </w:r>
      <w:r w:rsidRPr="004C1E94">
        <w:rPr>
          <w:rFonts w:ascii="Arial" w:hAnsi="Arial" w:cs="Arial"/>
          <w:bCs/>
          <w:sz w:val="20"/>
          <w:szCs w:val="20"/>
        </w:rPr>
        <w:t>Técnico Conclusivo de licenciamento ambiental por servidor sem habilitação</w:t>
      </w:r>
      <w:r w:rsidR="004C1E94" w:rsidRPr="004C1E94">
        <w:rPr>
          <w:rFonts w:ascii="Arial" w:hAnsi="Arial" w:cs="Arial"/>
          <w:bCs/>
          <w:sz w:val="20"/>
          <w:szCs w:val="20"/>
        </w:rPr>
        <w:t xml:space="preserve"> </w:t>
      </w:r>
      <w:r w:rsidRPr="004C1E94">
        <w:rPr>
          <w:rFonts w:ascii="Arial" w:hAnsi="Arial" w:cs="Arial"/>
          <w:bCs/>
          <w:sz w:val="20"/>
          <w:szCs w:val="20"/>
        </w:rPr>
        <w:t>legal, bem como a cessação imediata da emissão de Decisão Administrativa</w:t>
      </w:r>
      <w:r w:rsidR="004C1E94">
        <w:rPr>
          <w:rFonts w:ascii="Arial" w:hAnsi="Arial" w:cs="Arial"/>
          <w:bCs/>
          <w:sz w:val="20"/>
          <w:szCs w:val="20"/>
        </w:rPr>
        <w:t xml:space="preserve"> </w:t>
      </w:r>
      <w:r w:rsidRPr="004C1E94">
        <w:rPr>
          <w:rFonts w:ascii="Arial" w:hAnsi="Arial" w:cs="Arial"/>
          <w:bCs/>
          <w:sz w:val="20"/>
          <w:szCs w:val="20"/>
        </w:rPr>
        <w:t>por servidor que tiver emitido Parecer Técnico Conclusivo no mesmo processo</w:t>
      </w:r>
      <w:r w:rsidR="004C1E94" w:rsidRPr="004C1E94">
        <w:rPr>
          <w:rFonts w:ascii="Arial" w:hAnsi="Arial" w:cs="Arial"/>
          <w:bCs/>
          <w:sz w:val="20"/>
          <w:szCs w:val="20"/>
        </w:rPr>
        <w:t xml:space="preserve"> </w:t>
      </w:r>
      <w:r w:rsidRPr="004C1E94">
        <w:rPr>
          <w:rFonts w:ascii="Arial" w:hAnsi="Arial" w:cs="Arial"/>
          <w:bCs/>
          <w:sz w:val="20"/>
          <w:szCs w:val="20"/>
        </w:rPr>
        <w:t>de licenciamento ambiental</w:t>
      </w:r>
      <w:r w:rsidRPr="004C1E94">
        <w:rPr>
          <w:rFonts w:ascii="Arial" w:hAnsi="Arial" w:cs="Arial"/>
          <w:sz w:val="20"/>
          <w:szCs w:val="20"/>
        </w:rPr>
        <w:t xml:space="preserve">, com fulcro nos </w:t>
      </w:r>
      <w:proofErr w:type="spellStart"/>
      <w:r w:rsidRPr="004C1E94">
        <w:rPr>
          <w:rFonts w:ascii="Arial" w:hAnsi="Arial" w:cs="Arial"/>
          <w:sz w:val="20"/>
          <w:szCs w:val="20"/>
        </w:rPr>
        <w:t>arts</w:t>
      </w:r>
      <w:proofErr w:type="spellEnd"/>
      <w:r w:rsidRPr="004C1E94">
        <w:rPr>
          <w:rFonts w:ascii="Arial" w:hAnsi="Arial" w:cs="Arial"/>
          <w:sz w:val="20"/>
          <w:szCs w:val="20"/>
        </w:rPr>
        <w:t>. 282, § 1º, 400, § 1º-A, e 403, II e</w:t>
      </w:r>
      <w:r w:rsidR="004C1E94" w:rsidRPr="004C1E94">
        <w:rPr>
          <w:rFonts w:ascii="Arial" w:hAnsi="Arial" w:cs="Arial"/>
          <w:sz w:val="20"/>
          <w:szCs w:val="20"/>
        </w:rPr>
        <w:t xml:space="preserve"> </w:t>
      </w:r>
      <w:r w:rsidRPr="004C1E94">
        <w:rPr>
          <w:rFonts w:ascii="Arial" w:hAnsi="Arial" w:cs="Arial"/>
          <w:sz w:val="20"/>
          <w:szCs w:val="20"/>
        </w:rPr>
        <w:t>III, do Regimento Interno, sob pena de responsabilização solidária do atual gestor,</w:t>
      </w:r>
      <w:r w:rsidR="004C1E94" w:rsidRPr="004C1E94">
        <w:rPr>
          <w:rFonts w:ascii="Arial" w:hAnsi="Arial" w:cs="Arial"/>
          <w:sz w:val="20"/>
          <w:szCs w:val="20"/>
        </w:rPr>
        <w:t xml:space="preserve"> </w:t>
      </w:r>
      <w:r w:rsidRPr="004C1E94">
        <w:rPr>
          <w:rFonts w:ascii="Arial" w:hAnsi="Arial" w:cs="Arial"/>
          <w:sz w:val="20"/>
          <w:szCs w:val="20"/>
        </w:rPr>
        <w:t xml:space="preserve">nos termos dos </w:t>
      </w:r>
      <w:proofErr w:type="spellStart"/>
      <w:r w:rsidRPr="004C1E94">
        <w:rPr>
          <w:rFonts w:ascii="Arial" w:hAnsi="Arial" w:cs="Arial"/>
          <w:sz w:val="20"/>
          <w:szCs w:val="20"/>
        </w:rPr>
        <w:t>arts</w:t>
      </w:r>
      <w:proofErr w:type="spellEnd"/>
      <w:r w:rsidRPr="004C1E94">
        <w:rPr>
          <w:rFonts w:ascii="Arial" w:hAnsi="Arial" w:cs="Arial"/>
          <w:sz w:val="20"/>
          <w:szCs w:val="20"/>
        </w:rPr>
        <w:t>. 400, § 3º, e 401, V, do mesmo Regimento.</w:t>
      </w:r>
    </w:p>
    <w:p w:rsidR="00936E83" w:rsidRPr="00936E83" w:rsidRDefault="00936E83" w:rsidP="007D15DB">
      <w:pPr>
        <w:autoSpaceDE w:val="0"/>
        <w:autoSpaceDN w:val="0"/>
        <w:adjustRightInd w:val="0"/>
        <w:spacing w:after="0"/>
        <w:jc w:val="both"/>
        <w:rPr>
          <w:rFonts w:ascii="Arial" w:hAnsi="Arial" w:cs="Arial"/>
          <w:sz w:val="20"/>
          <w:szCs w:val="20"/>
        </w:rPr>
      </w:pPr>
    </w:p>
    <w:p w:rsidR="00936E83" w:rsidRPr="00936E83" w:rsidRDefault="00936E83" w:rsidP="007D15DB">
      <w:pPr>
        <w:autoSpaceDE w:val="0"/>
        <w:autoSpaceDN w:val="0"/>
        <w:adjustRightInd w:val="0"/>
        <w:spacing w:after="0"/>
        <w:jc w:val="both"/>
        <w:rPr>
          <w:rFonts w:ascii="Arial" w:hAnsi="Arial" w:cs="Arial"/>
          <w:sz w:val="20"/>
          <w:szCs w:val="20"/>
        </w:rPr>
      </w:pPr>
      <w:r w:rsidRPr="00936E83">
        <w:rPr>
          <w:rFonts w:ascii="Arial" w:hAnsi="Arial" w:cs="Arial"/>
          <w:sz w:val="20"/>
          <w:szCs w:val="20"/>
        </w:rPr>
        <w:t>Por sua vez, o perigo da demora decorre da possibilidade de</w:t>
      </w:r>
      <w:r w:rsidR="004C1E94">
        <w:rPr>
          <w:rFonts w:ascii="Arial" w:hAnsi="Arial" w:cs="Arial"/>
          <w:sz w:val="20"/>
          <w:szCs w:val="20"/>
        </w:rPr>
        <w:t xml:space="preserve"> </w:t>
      </w:r>
      <w:r w:rsidRPr="00936E83">
        <w:rPr>
          <w:rFonts w:ascii="Arial" w:hAnsi="Arial" w:cs="Arial"/>
          <w:sz w:val="20"/>
          <w:szCs w:val="20"/>
        </w:rPr>
        <w:t>emissão de atos administrativos passíveis de anulação, viciados pela incompetência</w:t>
      </w:r>
      <w:r w:rsidR="004C1E94">
        <w:rPr>
          <w:rFonts w:ascii="Arial" w:hAnsi="Arial" w:cs="Arial"/>
          <w:sz w:val="20"/>
          <w:szCs w:val="20"/>
        </w:rPr>
        <w:t xml:space="preserve"> </w:t>
      </w:r>
      <w:r w:rsidRPr="00936E83">
        <w:rPr>
          <w:rFonts w:ascii="Arial" w:hAnsi="Arial" w:cs="Arial"/>
          <w:sz w:val="20"/>
          <w:szCs w:val="20"/>
        </w:rPr>
        <w:t>do emitente e/ou pela violação ao princípio da segregação de funções</w:t>
      </w:r>
      <w:r w:rsidR="004C1E94">
        <w:rPr>
          <w:rFonts w:ascii="Arial" w:hAnsi="Arial" w:cs="Arial"/>
          <w:sz w:val="20"/>
          <w:szCs w:val="20"/>
        </w:rPr>
        <w:t xml:space="preserve"> </w:t>
      </w:r>
      <w:r w:rsidRPr="00936E83">
        <w:rPr>
          <w:rFonts w:ascii="Arial" w:hAnsi="Arial" w:cs="Arial"/>
          <w:sz w:val="20"/>
          <w:szCs w:val="20"/>
        </w:rPr>
        <w:t>administrativas, assim como da possibilidade de que sejam produzidos danos</w:t>
      </w:r>
      <w:r w:rsidR="004C1E94">
        <w:rPr>
          <w:rFonts w:ascii="Arial" w:hAnsi="Arial" w:cs="Arial"/>
          <w:sz w:val="20"/>
          <w:szCs w:val="20"/>
        </w:rPr>
        <w:t xml:space="preserve"> </w:t>
      </w:r>
      <w:r w:rsidRPr="00936E83">
        <w:rPr>
          <w:rFonts w:ascii="Arial" w:hAnsi="Arial" w:cs="Arial"/>
          <w:sz w:val="20"/>
          <w:szCs w:val="20"/>
        </w:rPr>
        <w:t>ambientais em decorrência da concessão de licenciamentos irregulares, além do</w:t>
      </w:r>
      <w:r w:rsidR="004C1E94">
        <w:rPr>
          <w:rFonts w:ascii="Arial" w:hAnsi="Arial" w:cs="Arial"/>
          <w:sz w:val="20"/>
          <w:szCs w:val="20"/>
        </w:rPr>
        <w:t xml:space="preserve"> </w:t>
      </w:r>
      <w:r w:rsidRPr="00936E83">
        <w:rPr>
          <w:rFonts w:ascii="Arial" w:hAnsi="Arial" w:cs="Arial"/>
          <w:sz w:val="20"/>
          <w:szCs w:val="20"/>
        </w:rPr>
        <w:t>aumento do risco de fraudes.</w:t>
      </w:r>
    </w:p>
    <w:p w:rsidR="00936E83" w:rsidRPr="00936E83" w:rsidRDefault="00936E83" w:rsidP="007D15DB">
      <w:pPr>
        <w:autoSpaceDE w:val="0"/>
        <w:autoSpaceDN w:val="0"/>
        <w:adjustRightInd w:val="0"/>
        <w:spacing w:after="0"/>
        <w:jc w:val="both"/>
        <w:rPr>
          <w:rFonts w:ascii="Arial" w:hAnsi="Arial" w:cs="Arial"/>
          <w:sz w:val="20"/>
          <w:szCs w:val="20"/>
        </w:rPr>
      </w:pPr>
    </w:p>
    <w:p w:rsidR="004C1E94" w:rsidRDefault="00936E83" w:rsidP="007D15DB">
      <w:pPr>
        <w:autoSpaceDE w:val="0"/>
        <w:autoSpaceDN w:val="0"/>
        <w:adjustRightInd w:val="0"/>
        <w:spacing w:after="0"/>
        <w:jc w:val="both"/>
        <w:rPr>
          <w:rFonts w:ascii="Arial" w:hAnsi="Arial" w:cs="Arial"/>
          <w:sz w:val="20"/>
          <w:szCs w:val="20"/>
        </w:rPr>
      </w:pPr>
      <w:r w:rsidRPr="00936E83">
        <w:rPr>
          <w:rFonts w:ascii="Arial" w:hAnsi="Arial" w:cs="Arial"/>
          <w:sz w:val="20"/>
          <w:szCs w:val="20"/>
        </w:rPr>
        <w:t>Vale mencionar que o processo de licenciamento ambiental, nos</w:t>
      </w:r>
      <w:r w:rsidR="004C1E94">
        <w:rPr>
          <w:rFonts w:ascii="Arial" w:hAnsi="Arial" w:cs="Arial"/>
          <w:sz w:val="20"/>
          <w:szCs w:val="20"/>
        </w:rPr>
        <w:t xml:space="preserve"> </w:t>
      </w:r>
      <w:r w:rsidRPr="00936E83">
        <w:rPr>
          <w:rFonts w:ascii="Arial" w:hAnsi="Arial" w:cs="Arial"/>
          <w:sz w:val="20"/>
          <w:szCs w:val="20"/>
        </w:rPr>
        <w:t xml:space="preserve">termos da Resolução nº 237/1997 do Conselho Nacional do Meio Ambiente </w:t>
      </w:r>
      <w:r w:rsidR="002D6896">
        <w:rPr>
          <w:rFonts w:ascii="Arial" w:hAnsi="Arial" w:cs="Arial"/>
          <w:sz w:val="20"/>
          <w:szCs w:val="20"/>
        </w:rPr>
        <w:t>-</w:t>
      </w:r>
      <w:r w:rsidR="004C1E94">
        <w:rPr>
          <w:rFonts w:ascii="Arial" w:hAnsi="Arial" w:cs="Arial"/>
          <w:sz w:val="20"/>
          <w:szCs w:val="20"/>
        </w:rPr>
        <w:t xml:space="preserve"> </w:t>
      </w:r>
      <w:r w:rsidRPr="00936E83">
        <w:rPr>
          <w:rFonts w:ascii="Arial" w:hAnsi="Arial" w:cs="Arial"/>
          <w:sz w:val="20"/>
          <w:szCs w:val="20"/>
        </w:rPr>
        <w:t>CONAMA (art. 1º, II) e da Resolução nº 65/2008 do Conselho Estadual do Meio</w:t>
      </w:r>
      <w:r w:rsidR="004C1E94">
        <w:rPr>
          <w:rFonts w:ascii="Arial" w:hAnsi="Arial" w:cs="Arial"/>
          <w:sz w:val="20"/>
          <w:szCs w:val="20"/>
        </w:rPr>
        <w:t xml:space="preserve"> </w:t>
      </w:r>
      <w:r w:rsidRPr="00936E83">
        <w:rPr>
          <w:rFonts w:ascii="Arial" w:hAnsi="Arial" w:cs="Arial"/>
          <w:sz w:val="20"/>
          <w:szCs w:val="20"/>
        </w:rPr>
        <w:t xml:space="preserve">Ambiente </w:t>
      </w:r>
      <w:r w:rsidR="002D6896">
        <w:rPr>
          <w:rFonts w:ascii="Arial" w:hAnsi="Arial" w:cs="Arial"/>
          <w:sz w:val="20"/>
          <w:szCs w:val="20"/>
        </w:rPr>
        <w:t>-</w:t>
      </w:r>
      <w:r w:rsidRPr="00936E83">
        <w:rPr>
          <w:rFonts w:ascii="Arial" w:hAnsi="Arial" w:cs="Arial"/>
          <w:sz w:val="20"/>
          <w:szCs w:val="20"/>
        </w:rPr>
        <w:t xml:space="preserve"> CEMA (art. 1º, VI e VIII), tem por objetivo verificar as condições legais e</w:t>
      </w:r>
      <w:r w:rsidR="004C1E94">
        <w:rPr>
          <w:rFonts w:ascii="Arial" w:hAnsi="Arial" w:cs="Arial"/>
          <w:sz w:val="20"/>
          <w:szCs w:val="20"/>
        </w:rPr>
        <w:t xml:space="preserve"> </w:t>
      </w:r>
      <w:r w:rsidRPr="00936E83">
        <w:rPr>
          <w:rFonts w:ascii="Arial" w:hAnsi="Arial" w:cs="Arial"/>
          <w:sz w:val="20"/>
          <w:szCs w:val="20"/>
        </w:rPr>
        <w:t>técnicas para empreendimentos e atividades que de qualquer forma possam utilizar</w:t>
      </w:r>
      <w:r w:rsidR="004C1E94">
        <w:rPr>
          <w:rFonts w:ascii="Arial" w:hAnsi="Arial" w:cs="Arial"/>
          <w:sz w:val="20"/>
          <w:szCs w:val="20"/>
        </w:rPr>
        <w:t xml:space="preserve"> </w:t>
      </w:r>
      <w:r w:rsidRPr="00936E83">
        <w:rPr>
          <w:rFonts w:ascii="Arial" w:hAnsi="Arial" w:cs="Arial"/>
          <w:sz w:val="20"/>
          <w:szCs w:val="20"/>
        </w:rPr>
        <w:t>recursos ambientais, poluir, degradar ou modificar o meio ambiente. Assim, a</w:t>
      </w:r>
      <w:r w:rsidR="004C1E94">
        <w:rPr>
          <w:rFonts w:ascii="Arial" w:hAnsi="Arial" w:cs="Arial"/>
          <w:sz w:val="20"/>
          <w:szCs w:val="20"/>
        </w:rPr>
        <w:t xml:space="preserve"> </w:t>
      </w:r>
      <w:r w:rsidRPr="00936E83">
        <w:rPr>
          <w:rFonts w:ascii="Arial" w:hAnsi="Arial" w:cs="Arial"/>
          <w:sz w:val="20"/>
          <w:szCs w:val="20"/>
        </w:rPr>
        <w:t>inadequação dessa atividade efetivamente produz o risco de que seja permitida a</w:t>
      </w:r>
      <w:r w:rsidR="004C1E94">
        <w:rPr>
          <w:rFonts w:ascii="Arial" w:hAnsi="Arial" w:cs="Arial"/>
          <w:sz w:val="20"/>
          <w:szCs w:val="20"/>
        </w:rPr>
        <w:t xml:space="preserve"> </w:t>
      </w:r>
      <w:r w:rsidRPr="00936E83">
        <w:rPr>
          <w:rFonts w:ascii="Arial" w:hAnsi="Arial" w:cs="Arial"/>
          <w:sz w:val="20"/>
          <w:szCs w:val="20"/>
        </w:rPr>
        <w:t>prática de atos que gerem ilícito ou dano ambiental.</w:t>
      </w:r>
      <w:r w:rsidR="004C1E94">
        <w:rPr>
          <w:rFonts w:ascii="Arial" w:hAnsi="Arial" w:cs="Arial"/>
          <w:sz w:val="20"/>
          <w:szCs w:val="20"/>
        </w:rPr>
        <w:t xml:space="preserve"> </w:t>
      </w:r>
    </w:p>
    <w:p w:rsidR="002D6896" w:rsidRDefault="002D6896" w:rsidP="007D15DB">
      <w:pPr>
        <w:autoSpaceDE w:val="0"/>
        <w:autoSpaceDN w:val="0"/>
        <w:adjustRightInd w:val="0"/>
        <w:spacing w:after="0"/>
        <w:jc w:val="both"/>
        <w:rPr>
          <w:rFonts w:ascii="Arial" w:hAnsi="Arial" w:cs="Arial"/>
          <w:sz w:val="20"/>
          <w:szCs w:val="20"/>
        </w:rPr>
      </w:pPr>
    </w:p>
    <w:p w:rsidR="00936E83" w:rsidRDefault="00936E83" w:rsidP="007D15DB">
      <w:pPr>
        <w:autoSpaceDE w:val="0"/>
        <w:autoSpaceDN w:val="0"/>
        <w:adjustRightInd w:val="0"/>
        <w:spacing w:after="0"/>
        <w:jc w:val="both"/>
        <w:rPr>
          <w:rFonts w:ascii="Arial" w:hAnsi="Arial" w:cs="Arial"/>
          <w:sz w:val="20"/>
          <w:szCs w:val="20"/>
        </w:rPr>
      </w:pPr>
      <w:r w:rsidRPr="00936E83">
        <w:rPr>
          <w:rFonts w:ascii="Arial" w:hAnsi="Arial" w:cs="Arial"/>
          <w:sz w:val="20"/>
          <w:szCs w:val="20"/>
        </w:rPr>
        <w:t>Outrossim, cumpre explicitar que a cautelar ora ratificada não se</w:t>
      </w:r>
      <w:r w:rsidR="004C1E94">
        <w:rPr>
          <w:rFonts w:ascii="Arial" w:hAnsi="Arial" w:cs="Arial"/>
          <w:sz w:val="20"/>
          <w:szCs w:val="20"/>
        </w:rPr>
        <w:t xml:space="preserve"> </w:t>
      </w:r>
      <w:r w:rsidRPr="00936E83">
        <w:rPr>
          <w:rFonts w:ascii="Arial" w:hAnsi="Arial" w:cs="Arial"/>
          <w:sz w:val="20"/>
          <w:szCs w:val="20"/>
        </w:rPr>
        <w:t>limita aos dois Escritórios Regionais em que a inspetoria constatou as</w:t>
      </w:r>
      <w:r w:rsidR="004C1E94">
        <w:rPr>
          <w:rFonts w:ascii="Arial" w:hAnsi="Arial" w:cs="Arial"/>
          <w:sz w:val="20"/>
          <w:szCs w:val="20"/>
        </w:rPr>
        <w:t xml:space="preserve"> </w:t>
      </w:r>
      <w:r w:rsidRPr="00936E83">
        <w:rPr>
          <w:rFonts w:ascii="Arial" w:hAnsi="Arial" w:cs="Arial"/>
          <w:sz w:val="20"/>
          <w:szCs w:val="20"/>
        </w:rPr>
        <w:t>irregularidades, mas a todos os processos de licenciamento ambiental em trâmite</w:t>
      </w:r>
      <w:r w:rsidR="004C1E94">
        <w:rPr>
          <w:rFonts w:ascii="Arial" w:hAnsi="Arial" w:cs="Arial"/>
          <w:sz w:val="20"/>
          <w:szCs w:val="20"/>
        </w:rPr>
        <w:t xml:space="preserve"> </w:t>
      </w:r>
      <w:r w:rsidRPr="00936E83">
        <w:rPr>
          <w:rFonts w:ascii="Arial" w:hAnsi="Arial" w:cs="Arial"/>
          <w:sz w:val="20"/>
          <w:szCs w:val="20"/>
        </w:rPr>
        <w:t>no órgão.</w:t>
      </w:r>
      <w:r w:rsidR="002D6896">
        <w:rPr>
          <w:rFonts w:ascii="Arial" w:hAnsi="Arial" w:cs="Arial"/>
          <w:sz w:val="20"/>
          <w:szCs w:val="20"/>
        </w:rPr>
        <w:t xml:space="preserve"> </w:t>
      </w:r>
      <w:r w:rsidRPr="00936E83">
        <w:rPr>
          <w:rFonts w:ascii="Arial" w:hAnsi="Arial" w:cs="Arial"/>
          <w:sz w:val="20"/>
          <w:szCs w:val="20"/>
        </w:rPr>
        <w:t>Dessa forma, diante da verossimilhança do direito alegado e do</w:t>
      </w:r>
      <w:r w:rsidR="004C1E94">
        <w:rPr>
          <w:rFonts w:ascii="Arial" w:hAnsi="Arial" w:cs="Arial"/>
          <w:sz w:val="20"/>
          <w:szCs w:val="20"/>
        </w:rPr>
        <w:t xml:space="preserve"> </w:t>
      </w:r>
      <w:r w:rsidRPr="00936E83">
        <w:rPr>
          <w:rFonts w:ascii="Arial" w:hAnsi="Arial" w:cs="Arial"/>
          <w:sz w:val="20"/>
          <w:szCs w:val="20"/>
        </w:rPr>
        <w:t xml:space="preserve">perigo da demora, encontram-se presentes os pressupostos de que tratam os </w:t>
      </w:r>
      <w:proofErr w:type="spellStart"/>
      <w:r w:rsidRPr="00936E83">
        <w:rPr>
          <w:rFonts w:ascii="Arial" w:hAnsi="Arial" w:cs="Arial"/>
          <w:sz w:val="20"/>
          <w:szCs w:val="20"/>
        </w:rPr>
        <w:t>arts</w:t>
      </w:r>
      <w:proofErr w:type="spellEnd"/>
      <w:r w:rsidRPr="00936E83">
        <w:rPr>
          <w:rFonts w:ascii="Arial" w:hAnsi="Arial" w:cs="Arial"/>
          <w:sz w:val="20"/>
          <w:szCs w:val="20"/>
        </w:rPr>
        <w:t>.</w:t>
      </w:r>
      <w:r w:rsidR="004C1E94">
        <w:rPr>
          <w:rFonts w:ascii="Arial" w:hAnsi="Arial" w:cs="Arial"/>
          <w:sz w:val="20"/>
          <w:szCs w:val="20"/>
        </w:rPr>
        <w:t xml:space="preserve"> </w:t>
      </w:r>
      <w:r w:rsidRPr="00936E83">
        <w:rPr>
          <w:rFonts w:ascii="Arial" w:hAnsi="Arial" w:cs="Arial"/>
          <w:sz w:val="20"/>
          <w:szCs w:val="20"/>
        </w:rPr>
        <w:t>53 da Lei Orgânica deste Tribunal e 300, §2º, do Código de Processo Civil.</w:t>
      </w:r>
    </w:p>
    <w:p w:rsidR="00876934" w:rsidRDefault="00876934" w:rsidP="007D15DB">
      <w:pPr>
        <w:autoSpaceDE w:val="0"/>
        <w:autoSpaceDN w:val="0"/>
        <w:adjustRightInd w:val="0"/>
        <w:spacing w:after="0"/>
        <w:jc w:val="both"/>
        <w:rPr>
          <w:rFonts w:ascii="Arial" w:hAnsi="Arial" w:cs="Arial"/>
          <w:sz w:val="20"/>
          <w:szCs w:val="20"/>
        </w:rPr>
      </w:pPr>
    </w:p>
    <w:p w:rsidR="00876934" w:rsidRDefault="00876934" w:rsidP="007D15DB">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891442/17 - </w:t>
      </w:r>
      <w:hyperlink r:id="rId15" w:history="1">
        <w:r w:rsidRPr="00665560">
          <w:rPr>
            <w:rStyle w:val="Hyperlink"/>
            <w:rFonts w:ascii="Arial" w:hAnsi="Arial" w:cs="Arial"/>
            <w:sz w:val="20"/>
            <w:szCs w:val="20"/>
          </w:rPr>
          <w:t>Acórdão n° 321/18 - Tribunal Pleno</w:t>
        </w:r>
      </w:hyperlink>
      <w:r w:rsidR="00353EF6">
        <w:rPr>
          <w:rFonts w:ascii="Arial" w:hAnsi="Arial" w:cs="Arial"/>
          <w:sz w:val="20"/>
          <w:szCs w:val="20"/>
        </w:rPr>
        <w:t xml:space="preserve"> - Rel. Cons. Ivens Zschoerper Linhares.</w:t>
      </w:r>
      <w:r>
        <w:rPr>
          <w:rFonts w:ascii="Arial" w:hAnsi="Arial" w:cs="Arial"/>
          <w:sz w:val="20"/>
          <w:szCs w:val="20"/>
        </w:rPr>
        <w:t xml:space="preserve"> </w:t>
      </w:r>
    </w:p>
    <w:p w:rsidR="00936E83" w:rsidRDefault="00936E83" w:rsidP="007D15DB">
      <w:pPr>
        <w:autoSpaceDE w:val="0"/>
        <w:autoSpaceDN w:val="0"/>
        <w:adjustRightInd w:val="0"/>
        <w:spacing w:after="0"/>
        <w:jc w:val="both"/>
        <w:rPr>
          <w:rFonts w:ascii="Arial" w:hAnsi="Arial" w:cs="Arial"/>
          <w:sz w:val="20"/>
          <w:szCs w:val="20"/>
        </w:rPr>
      </w:pPr>
    </w:p>
    <w:p w:rsidR="0003057F" w:rsidRPr="00F91D72" w:rsidRDefault="0003057F" w:rsidP="007D15DB">
      <w:pPr>
        <w:spacing w:after="0"/>
        <w:jc w:val="both"/>
        <w:rPr>
          <w:rStyle w:val="Hyperlink"/>
          <w:rFonts w:ascii="Arial" w:hAnsi="Arial" w:cs="Arial"/>
          <w:b/>
          <w:color w:val="000000" w:themeColor="text1"/>
          <w:sz w:val="20"/>
          <w:szCs w:val="20"/>
          <w:u w:val="none"/>
        </w:rPr>
      </w:pPr>
      <w:r>
        <w:rPr>
          <w:rStyle w:val="Hyperlink"/>
          <w:rFonts w:ascii="Arial" w:hAnsi="Arial" w:cs="Arial"/>
          <w:b/>
          <w:color w:val="000000" w:themeColor="text1"/>
          <w:sz w:val="20"/>
          <w:szCs w:val="20"/>
          <w:u w:val="none"/>
        </w:rPr>
        <w:t xml:space="preserve">9. </w:t>
      </w:r>
      <w:r w:rsidRPr="00F91D72">
        <w:rPr>
          <w:rStyle w:val="Hyperlink"/>
          <w:rFonts w:ascii="Arial" w:hAnsi="Arial" w:cs="Arial"/>
          <w:b/>
          <w:color w:val="000000" w:themeColor="text1"/>
          <w:sz w:val="20"/>
          <w:szCs w:val="20"/>
          <w:u w:val="none"/>
        </w:rPr>
        <w:t xml:space="preserve">Recurso de Revista. Prestação de Contas Anual. Realização de despesas sem prévio empenho em violação ao art. 60 da Lei nº 4320/64. Ressalva. Provimento. </w:t>
      </w:r>
    </w:p>
    <w:p w:rsidR="0003057F" w:rsidRDefault="0003057F" w:rsidP="007D15DB">
      <w:pPr>
        <w:spacing w:after="0"/>
        <w:jc w:val="both"/>
        <w:rPr>
          <w:rStyle w:val="Hyperlink"/>
          <w:rFonts w:ascii="Arial" w:hAnsi="Arial" w:cs="Arial"/>
          <w:color w:val="000000" w:themeColor="text1"/>
          <w:sz w:val="20"/>
          <w:szCs w:val="20"/>
          <w:u w:val="none"/>
        </w:rPr>
      </w:pPr>
    </w:p>
    <w:p w:rsidR="0003057F" w:rsidRDefault="0003057F" w:rsidP="007D15DB">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Entre as irregularidades constatadas em Relatório de Inspeção, as quais redundaram no julgado pela irregularidade das contas, verificou-se a ocorrência de empenhos após o fato gerador do gasto público, em violação ao art. 60 da Lei nº 4320/64. </w:t>
      </w:r>
    </w:p>
    <w:p w:rsidR="0003057F" w:rsidRDefault="0003057F" w:rsidP="007D15DB">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lastRenderedPageBreak/>
        <w:t xml:space="preserve"> Unidade Técnica e Ministério Público de Contas opinaram pelo não provimento do recurso, pois mesmo que a prática administrativa brasileira mostre que o empenho </w:t>
      </w:r>
      <w:proofErr w:type="gramStart"/>
      <w:r>
        <w:rPr>
          <w:rStyle w:val="Hyperlink"/>
          <w:rFonts w:ascii="Arial" w:hAnsi="Arial" w:cs="Arial"/>
          <w:color w:val="000000" w:themeColor="text1"/>
          <w:sz w:val="20"/>
          <w:szCs w:val="20"/>
          <w:u w:val="none"/>
        </w:rPr>
        <w:t xml:space="preserve">ocorra  </w:t>
      </w:r>
      <w:proofErr w:type="spellStart"/>
      <w:r>
        <w:rPr>
          <w:rStyle w:val="Hyperlink"/>
          <w:rFonts w:ascii="Arial" w:hAnsi="Arial" w:cs="Arial"/>
          <w:i/>
          <w:color w:val="000000" w:themeColor="text1"/>
          <w:sz w:val="20"/>
          <w:szCs w:val="20"/>
          <w:u w:val="none"/>
        </w:rPr>
        <w:t>ex</w:t>
      </w:r>
      <w:proofErr w:type="spellEnd"/>
      <w:proofErr w:type="gramEnd"/>
      <w:r>
        <w:rPr>
          <w:rStyle w:val="Hyperlink"/>
          <w:rFonts w:ascii="Arial" w:hAnsi="Arial" w:cs="Arial"/>
          <w:i/>
          <w:color w:val="000000" w:themeColor="text1"/>
          <w:sz w:val="20"/>
          <w:szCs w:val="20"/>
          <w:u w:val="none"/>
        </w:rPr>
        <w:t xml:space="preserve"> post, </w:t>
      </w:r>
      <w:r>
        <w:rPr>
          <w:rStyle w:val="Hyperlink"/>
          <w:rFonts w:ascii="Arial" w:hAnsi="Arial" w:cs="Arial"/>
          <w:color w:val="000000" w:themeColor="text1"/>
          <w:sz w:val="20"/>
          <w:szCs w:val="20"/>
          <w:u w:val="none"/>
        </w:rPr>
        <w:t xml:space="preserve"> este procedimento configura afronta direta ao art. 60 da Lei nº 4320/64. </w:t>
      </w:r>
    </w:p>
    <w:p w:rsidR="0003057F" w:rsidRDefault="0003057F" w:rsidP="007D15DB">
      <w:pPr>
        <w:spacing w:after="0"/>
        <w:jc w:val="both"/>
        <w:rPr>
          <w:rStyle w:val="Hyperlink"/>
          <w:rFonts w:ascii="Arial" w:hAnsi="Arial" w:cs="Arial"/>
          <w:color w:val="000000" w:themeColor="text1"/>
          <w:sz w:val="20"/>
          <w:szCs w:val="20"/>
          <w:u w:val="none"/>
        </w:rPr>
      </w:pPr>
    </w:p>
    <w:p w:rsidR="0003057F" w:rsidRDefault="0003057F" w:rsidP="007D15DB">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O Relator, contudo, em proposta de voto acolhida unanimemente, ressaltou que a jurisprudência desta Corte de Contas considera a situação passível de ressalva, quando ausente qualquer indicação de dano ou de irregularidade na efetiva constituição da despesa. Citou, neste sentido, o Acórdão nº 3108/16-2ª Câmara, em que foi Relator o Conselheiro Nestor Baptista. </w:t>
      </w:r>
    </w:p>
    <w:p w:rsidR="0003057F" w:rsidRDefault="0003057F" w:rsidP="007D15DB">
      <w:pPr>
        <w:spacing w:after="0"/>
        <w:jc w:val="both"/>
        <w:rPr>
          <w:rStyle w:val="Hyperlink"/>
          <w:rFonts w:ascii="Arial" w:hAnsi="Arial" w:cs="Arial"/>
          <w:color w:val="000000" w:themeColor="text1"/>
          <w:sz w:val="20"/>
          <w:szCs w:val="20"/>
          <w:u w:val="none"/>
        </w:rPr>
      </w:pPr>
    </w:p>
    <w:p w:rsidR="0003057F" w:rsidRDefault="0003057F" w:rsidP="007D15DB">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O recurso foi provido para julgar-se regular com ressalva a realização de despesas sem prévio empenho. </w:t>
      </w:r>
    </w:p>
    <w:p w:rsidR="0003057F" w:rsidRDefault="0003057F" w:rsidP="007D15DB">
      <w:pPr>
        <w:spacing w:after="0"/>
        <w:jc w:val="both"/>
        <w:rPr>
          <w:rStyle w:val="Hyperlink"/>
          <w:rFonts w:ascii="Arial" w:hAnsi="Arial" w:cs="Arial"/>
          <w:color w:val="000000" w:themeColor="text1"/>
          <w:sz w:val="20"/>
          <w:szCs w:val="20"/>
          <w:u w:val="none"/>
        </w:rPr>
      </w:pPr>
    </w:p>
    <w:p w:rsidR="0003057F" w:rsidRPr="00E479C5" w:rsidRDefault="0003057F" w:rsidP="007D15DB">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Processo nº 533902/17 </w:t>
      </w:r>
      <w:r w:rsidR="00D677AD">
        <w:rPr>
          <w:rStyle w:val="Hyperlink"/>
          <w:rFonts w:ascii="Arial" w:hAnsi="Arial" w:cs="Arial"/>
          <w:color w:val="000000" w:themeColor="text1"/>
          <w:sz w:val="20"/>
          <w:szCs w:val="20"/>
          <w:u w:val="none"/>
        </w:rPr>
        <w:t>-</w:t>
      </w:r>
      <w:r>
        <w:rPr>
          <w:rStyle w:val="Hyperlink"/>
          <w:rFonts w:ascii="Arial" w:hAnsi="Arial" w:cs="Arial"/>
          <w:color w:val="000000" w:themeColor="text1"/>
          <w:sz w:val="20"/>
          <w:szCs w:val="20"/>
          <w:u w:val="none"/>
        </w:rPr>
        <w:t xml:space="preserve"> </w:t>
      </w:r>
      <w:hyperlink r:id="rId16" w:history="1">
        <w:r w:rsidRPr="00F35162">
          <w:rPr>
            <w:rStyle w:val="Hyperlink"/>
            <w:rFonts w:ascii="Arial" w:hAnsi="Arial" w:cs="Arial"/>
            <w:sz w:val="20"/>
            <w:szCs w:val="20"/>
          </w:rPr>
          <w:t>Acórdão nº 237/18</w:t>
        </w:r>
        <w:r w:rsidR="00950315">
          <w:rPr>
            <w:rStyle w:val="Hyperlink"/>
            <w:rFonts w:ascii="Arial" w:hAnsi="Arial" w:cs="Arial"/>
            <w:sz w:val="20"/>
            <w:szCs w:val="20"/>
          </w:rPr>
          <w:t xml:space="preserve"> </w:t>
        </w:r>
        <w:r w:rsidRPr="00F35162">
          <w:rPr>
            <w:rStyle w:val="Hyperlink"/>
            <w:rFonts w:ascii="Arial" w:hAnsi="Arial" w:cs="Arial"/>
            <w:sz w:val="20"/>
            <w:szCs w:val="20"/>
          </w:rPr>
          <w:t>-</w:t>
        </w:r>
        <w:r w:rsidR="00FB393D">
          <w:rPr>
            <w:rStyle w:val="Hyperlink"/>
            <w:rFonts w:ascii="Arial" w:hAnsi="Arial" w:cs="Arial"/>
            <w:sz w:val="20"/>
            <w:szCs w:val="20"/>
          </w:rPr>
          <w:t xml:space="preserve"> </w:t>
        </w:r>
      </w:hyperlink>
      <w:r w:rsidR="00D677AD">
        <w:rPr>
          <w:rStyle w:val="Hyperlink"/>
          <w:rFonts w:ascii="Arial" w:hAnsi="Arial" w:cs="Arial"/>
          <w:sz w:val="20"/>
          <w:szCs w:val="20"/>
        </w:rPr>
        <w:t>Tribunal Pleno</w:t>
      </w:r>
      <w:r w:rsidR="00D677AD" w:rsidRPr="00D677AD">
        <w:rPr>
          <w:rStyle w:val="Hyperlink"/>
          <w:rFonts w:ascii="Arial" w:hAnsi="Arial" w:cs="Arial"/>
          <w:sz w:val="20"/>
          <w:szCs w:val="20"/>
          <w:u w:val="none"/>
        </w:rPr>
        <w:t xml:space="preserve"> -</w:t>
      </w:r>
      <w:r w:rsidR="00D677AD">
        <w:rPr>
          <w:rStyle w:val="Hyperlink"/>
          <w:rFonts w:ascii="Arial" w:hAnsi="Arial" w:cs="Arial"/>
          <w:sz w:val="20"/>
          <w:szCs w:val="20"/>
          <w:u w:val="none"/>
        </w:rPr>
        <w:t xml:space="preserve"> </w:t>
      </w:r>
      <w:r>
        <w:rPr>
          <w:rStyle w:val="Hyperlink"/>
          <w:rFonts w:ascii="Arial" w:hAnsi="Arial" w:cs="Arial"/>
          <w:color w:val="000000" w:themeColor="text1"/>
          <w:sz w:val="20"/>
          <w:szCs w:val="20"/>
          <w:u w:val="none"/>
        </w:rPr>
        <w:t xml:space="preserve">Relator Conselheiro Ivens Zschoerper Linhares. </w:t>
      </w:r>
    </w:p>
    <w:p w:rsidR="0003057F" w:rsidRDefault="0003057F" w:rsidP="007D15DB">
      <w:pPr>
        <w:spacing w:after="0"/>
        <w:jc w:val="both"/>
        <w:rPr>
          <w:rStyle w:val="Hyperlink"/>
          <w:rFonts w:ascii="Arial" w:hAnsi="Arial" w:cs="Arial"/>
          <w:color w:val="000000" w:themeColor="text1"/>
          <w:sz w:val="20"/>
          <w:szCs w:val="20"/>
          <w:u w:val="none"/>
        </w:rPr>
      </w:pPr>
    </w:p>
    <w:p w:rsidR="0003057F" w:rsidRPr="007F7F1E" w:rsidRDefault="0003057F" w:rsidP="007D15DB">
      <w:pPr>
        <w:spacing w:after="0"/>
        <w:jc w:val="both"/>
        <w:rPr>
          <w:rStyle w:val="Hyperlink"/>
          <w:rFonts w:ascii="Arial" w:hAnsi="Arial" w:cs="Arial"/>
          <w:b/>
          <w:color w:val="000000" w:themeColor="text1"/>
          <w:sz w:val="20"/>
          <w:szCs w:val="20"/>
          <w:u w:val="none"/>
        </w:rPr>
      </w:pPr>
      <w:r>
        <w:rPr>
          <w:rStyle w:val="Hyperlink"/>
          <w:rFonts w:ascii="Arial" w:hAnsi="Arial" w:cs="Arial"/>
          <w:b/>
          <w:color w:val="000000" w:themeColor="text1"/>
          <w:sz w:val="20"/>
          <w:szCs w:val="20"/>
          <w:u w:val="none"/>
        </w:rPr>
        <w:t xml:space="preserve">10. </w:t>
      </w:r>
      <w:r w:rsidRPr="007F7F1E">
        <w:rPr>
          <w:rStyle w:val="Hyperlink"/>
          <w:rFonts w:ascii="Arial" w:hAnsi="Arial" w:cs="Arial"/>
          <w:b/>
          <w:color w:val="000000" w:themeColor="text1"/>
          <w:sz w:val="20"/>
          <w:szCs w:val="20"/>
          <w:u w:val="none"/>
        </w:rPr>
        <w:t xml:space="preserve">Representação da Lei nº 8666/93. Pregão para aquisição de maquinário pesado. Cláusulas </w:t>
      </w:r>
      <w:proofErr w:type="spellStart"/>
      <w:r w:rsidRPr="007F7F1E">
        <w:rPr>
          <w:rStyle w:val="Hyperlink"/>
          <w:rFonts w:ascii="Arial" w:hAnsi="Arial" w:cs="Arial"/>
          <w:b/>
          <w:color w:val="000000" w:themeColor="text1"/>
          <w:sz w:val="20"/>
          <w:szCs w:val="20"/>
          <w:u w:val="none"/>
        </w:rPr>
        <w:t>editalícias</w:t>
      </w:r>
      <w:proofErr w:type="spellEnd"/>
      <w:r w:rsidRPr="007F7F1E">
        <w:rPr>
          <w:rStyle w:val="Hyperlink"/>
          <w:rFonts w:ascii="Arial" w:hAnsi="Arial" w:cs="Arial"/>
          <w:b/>
          <w:color w:val="000000" w:themeColor="text1"/>
          <w:sz w:val="20"/>
          <w:szCs w:val="20"/>
          <w:u w:val="none"/>
        </w:rPr>
        <w:t xml:space="preserve"> restritivas/</w:t>
      </w:r>
      <w:proofErr w:type="spellStart"/>
      <w:r w:rsidRPr="007F7F1E">
        <w:rPr>
          <w:rStyle w:val="Hyperlink"/>
          <w:rFonts w:ascii="Arial" w:hAnsi="Arial" w:cs="Arial"/>
          <w:b/>
          <w:color w:val="000000" w:themeColor="text1"/>
          <w:sz w:val="20"/>
          <w:szCs w:val="20"/>
          <w:u w:val="none"/>
        </w:rPr>
        <w:t>anticompetitivas</w:t>
      </w:r>
      <w:proofErr w:type="spellEnd"/>
      <w:r w:rsidRPr="007F7F1E">
        <w:rPr>
          <w:rStyle w:val="Hyperlink"/>
          <w:rFonts w:ascii="Arial" w:hAnsi="Arial" w:cs="Arial"/>
          <w:b/>
          <w:color w:val="000000" w:themeColor="text1"/>
          <w:sz w:val="20"/>
          <w:szCs w:val="20"/>
          <w:u w:val="none"/>
        </w:rPr>
        <w:t xml:space="preserve">. Procedência, recomendação e aplicação de multa. </w:t>
      </w:r>
    </w:p>
    <w:p w:rsidR="007D15DB" w:rsidRDefault="007D15DB" w:rsidP="007D15DB">
      <w:pPr>
        <w:spacing w:after="0"/>
        <w:jc w:val="both"/>
        <w:rPr>
          <w:rStyle w:val="Hyperlink"/>
          <w:rFonts w:ascii="Arial" w:hAnsi="Arial" w:cs="Arial"/>
          <w:color w:val="000000" w:themeColor="text1"/>
          <w:sz w:val="20"/>
          <w:szCs w:val="20"/>
          <w:u w:val="none"/>
        </w:rPr>
      </w:pPr>
    </w:p>
    <w:p w:rsidR="0003057F" w:rsidRDefault="0003057F" w:rsidP="007D15DB">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Pregão presencial, tipo menor preço, para registro de preços para aquisição de máquinas pesadas </w:t>
      </w:r>
      <w:bookmarkStart w:id="0" w:name="_GoBack"/>
      <w:bookmarkEnd w:id="0"/>
      <w:r>
        <w:rPr>
          <w:rStyle w:val="Hyperlink"/>
          <w:rFonts w:ascii="Arial" w:hAnsi="Arial" w:cs="Arial"/>
          <w:color w:val="000000" w:themeColor="text1"/>
          <w:sz w:val="20"/>
          <w:szCs w:val="20"/>
          <w:u w:val="none"/>
        </w:rPr>
        <w:t xml:space="preserve">tiveram em seu instrumento convocatório, cláusulas restritivas e </w:t>
      </w:r>
      <w:proofErr w:type="spellStart"/>
      <w:r>
        <w:rPr>
          <w:rStyle w:val="Hyperlink"/>
          <w:rFonts w:ascii="Arial" w:hAnsi="Arial" w:cs="Arial"/>
          <w:color w:val="000000" w:themeColor="text1"/>
          <w:sz w:val="20"/>
          <w:szCs w:val="20"/>
          <w:u w:val="none"/>
        </w:rPr>
        <w:t>anticompetitivas</w:t>
      </w:r>
      <w:proofErr w:type="spellEnd"/>
      <w:r>
        <w:rPr>
          <w:rStyle w:val="Hyperlink"/>
          <w:rFonts w:ascii="Arial" w:hAnsi="Arial" w:cs="Arial"/>
          <w:color w:val="000000" w:themeColor="text1"/>
          <w:sz w:val="20"/>
          <w:szCs w:val="20"/>
          <w:u w:val="none"/>
        </w:rPr>
        <w:t xml:space="preserve">. </w:t>
      </w:r>
    </w:p>
    <w:p w:rsidR="0003057F" w:rsidRDefault="0003057F" w:rsidP="007D15DB">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Exigência de código FINAME, cilindragem mínima e assistência técnica num raio máximo de 200 km do município, foram as três exigências irregulares. </w:t>
      </w:r>
    </w:p>
    <w:p w:rsidR="0003057F" w:rsidRDefault="0003057F" w:rsidP="007D15DB">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O código FINAME, enfraquece a competitividade por limitar o objeto do contrato a produtos de fabricação nacional. Não sendo sinônimo de potência, mesmo modelos com baixa cilindragem poderiam dar conta da exigência do serviço. A assistência técnica, com especificação da chamada “cláusula de raio”, </w:t>
      </w:r>
      <w:r>
        <w:rPr>
          <w:rStyle w:val="Hyperlink"/>
          <w:rFonts w:ascii="Arial" w:hAnsi="Arial" w:cs="Arial"/>
          <w:i/>
          <w:color w:val="000000" w:themeColor="text1"/>
          <w:sz w:val="20"/>
          <w:szCs w:val="20"/>
          <w:u w:val="none"/>
        </w:rPr>
        <w:t xml:space="preserve">in </w:t>
      </w:r>
      <w:proofErr w:type="spellStart"/>
      <w:r>
        <w:rPr>
          <w:rStyle w:val="Hyperlink"/>
          <w:rFonts w:ascii="Arial" w:hAnsi="Arial" w:cs="Arial"/>
          <w:i/>
          <w:color w:val="000000" w:themeColor="text1"/>
          <w:sz w:val="20"/>
          <w:szCs w:val="20"/>
          <w:u w:val="none"/>
        </w:rPr>
        <w:t>casu</w:t>
      </w:r>
      <w:proofErr w:type="spellEnd"/>
      <w:r>
        <w:rPr>
          <w:rStyle w:val="Hyperlink"/>
          <w:rFonts w:ascii="Arial" w:hAnsi="Arial" w:cs="Arial"/>
          <w:i/>
          <w:color w:val="000000" w:themeColor="text1"/>
          <w:sz w:val="20"/>
          <w:szCs w:val="20"/>
          <w:u w:val="none"/>
        </w:rPr>
        <w:t>,</w:t>
      </w:r>
      <w:r>
        <w:rPr>
          <w:rStyle w:val="Hyperlink"/>
          <w:rFonts w:ascii="Arial" w:hAnsi="Arial" w:cs="Arial"/>
          <w:color w:val="000000" w:themeColor="text1"/>
          <w:sz w:val="20"/>
          <w:szCs w:val="20"/>
          <w:u w:val="none"/>
        </w:rPr>
        <w:t xml:space="preserve"> até 200 km do município, não tem suporte legal.  </w:t>
      </w:r>
    </w:p>
    <w:p w:rsidR="0003057F" w:rsidRDefault="0003057F" w:rsidP="007D15DB">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A Representação foi julgada procedente e declarado nulo o procedimento licitatório. </w:t>
      </w:r>
    </w:p>
    <w:p w:rsidR="007D15DB" w:rsidRDefault="007D15DB" w:rsidP="007D15DB">
      <w:pPr>
        <w:spacing w:after="0"/>
        <w:jc w:val="both"/>
        <w:rPr>
          <w:rStyle w:val="Hyperlink"/>
          <w:rFonts w:ascii="Arial" w:hAnsi="Arial" w:cs="Arial"/>
          <w:color w:val="000000" w:themeColor="text1"/>
          <w:sz w:val="20"/>
          <w:szCs w:val="20"/>
          <w:u w:val="none"/>
        </w:rPr>
      </w:pPr>
    </w:p>
    <w:p w:rsidR="0003057F" w:rsidRDefault="0003057F" w:rsidP="007D15DB">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Processo nº 252093/13 </w:t>
      </w:r>
      <w:r w:rsidR="00D677AD">
        <w:rPr>
          <w:rStyle w:val="Hyperlink"/>
          <w:rFonts w:ascii="Arial" w:hAnsi="Arial" w:cs="Arial"/>
          <w:color w:val="000000" w:themeColor="text1"/>
          <w:sz w:val="20"/>
          <w:szCs w:val="20"/>
          <w:u w:val="none"/>
        </w:rPr>
        <w:t>-</w:t>
      </w:r>
      <w:r>
        <w:rPr>
          <w:rStyle w:val="Hyperlink"/>
          <w:rFonts w:ascii="Arial" w:hAnsi="Arial" w:cs="Arial"/>
          <w:color w:val="000000" w:themeColor="text1"/>
          <w:sz w:val="20"/>
          <w:szCs w:val="20"/>
          <w:u w:val="none"/>
        </w:rPr>
        <w:t xml:space="preserve"> </w:t>
      </w:r>
      <w:hyperlink r:id="rId17" w:history="1">
        <w:r w:rsidR="00FB393D">
          <w:rPr>
            <w:rStyle w:val="Hyperlink"/>
            <w:rFonts w:ascii="Arial" w:hAnsi="Arial" w:cs="Arial"/>
            <w:sz w:val="20"/>
            <w:szCs w:val="20"/>
          </w:rPr>
          <w:t>Acórdão nº 228/18</w:t>
        </w:r>
        <w:r w:rsidR="00950315">
          <w:rPr>
            <w:rStyle w:val="Hyperlink"/>
            <w:rFonts w:ascii="Arial" w:hAnsi="Arial" w:cs="Arial"/>
            <w:sz w:val="20"/>
            <w:szCs w:val="20"/>
          </w:rPr>
          <w:t xml:space="preserve"> </w:t>
        </w:r>
        <w:r w:rsidR="00FB393D">
          <w:rPr>
            <w:rStyle w:val="Hyperlink"/>
            <w:rFonts w:ascii="Arial" w:hAnsi="Arial" w:cs="Arial"/>
            <w:sz w:val="20"/>
            <w:szCs w:val="20"/>
          </w:rPr>
          <w:t>- Tribunal Pleno</w:t>
        </w:r>
      </w:hyperlink>
      <w:r w:rsidR="00D677AD" w:rsidRPr="00D677AD">
        <w:rPr>
          <w:rStyle w:val="Hyperlink"/>
          <w:rFonts w:ascii="Arial" w:hAnsi="Arial" w:cs="Arial"/>
          <w:sz w:val="20"/>
          <w:szCs w:val="20"/>
          <w:u w:val="none"/>
        </w:rPr>
        <w:t xml:space="preserve"> -</w:t>
      </w:r>
      <w:r w:rsidR="00D677AD">
        <w:rPr>
          <w:rStyle w:val="Hyperlink"/>
          <w:rFonts w:ascii="Arial" w:hAnsi="Arial" w:cs="Arial"/>
          <w:sz w:val="20"/>
          <w:szCs w:val="20"/>
          <w:u w:val="none"/>
        </w:rPr>
        <w:t xml:space="preserve"> </w:t>
      </w:r>
      <w:r>
        <w:rPr>
          <w:rStyle w:val="Hyperlink"/>
          <w:rFonts w:ascii="Arial" w:hAnsi="Arial" w:cs="Arial"/>
          <w:color w:val="000000" w:themeColor="text1"/>
          <w:sz w:val="20"/>
          <w:szCs w:val="20"/>
          <w:u w:val="none"/>
        </w:rPr>
        <w:t xml:space="preserve">Relator Conselheiro Nestor Baptista. </w:t>
      </w:r>
    </w:p>
    <w:p w:rsidR="0003057F" w:rsidRDefault="0003057F" w:rsidP="007D15DB">
      <w:pPr>
        <w:spacing w:after="0"/>
        <w:jc w:val="both"/>
        <w:rPr>
          <w:rStyle w:val="Hyperlink"/>
          <w:rFonts w:ascii="Arial" w:hAnsi="Arial" w:cs="Arial"/>
          <w:color w:val="000000" w:themeColor="text1"/>
          <w:sz w:val="20"/>
          <w:szCs w:val="20"/>
          <w:u w:val="none"/>
        </w:rPr>
      </w:pPr>
    </w:p>
    <w:p w:rsidR="0003057F" w:rsidRPr="00FD6116" w:rsidRDefault="0003057F" w:rsidP="007D15DB">
      <w:pPr>
        <w:spacing w:after="0"/>
        <w:jc w:val="both"/>
        <w:rPr>
          <w:rStyle w:val="Hyperlink"/>
          <w:rFonts w:ascii="Arial" w:hAnsi="Arial" w:cs="Arial"/>
          <w:b/>
          <w:color w:val="000000" w:themeColor="text1"/>
          <w:sz w:val="20"/>
          <w:szCs w:val="20"/>
          <w:u w:val="none"/>
        </w:rPr>
      </w:pPr>
      <w:r>
        <w:rPr>
          <w:rStyle w:val="Hyperlink"/>
          <w:rFonts w:ascii="Arial" w:hAnsi="Arial" w:cs="Arial"/>
          <w:b/>
          <w:color w:val="000000" w:themeColor="text1"/>
          <w:sz w:val="20"/>
          <w:szCs w:val="20"/>
          <w:u w:val="none"/>
        </w:rPr>
        <w:t xml:space="preserve">11. </w:t>
      </w:r>
      <w:r w:rsidRPr="00FD6116">
        <w:rPr>
          <w:rStyle w:val="Hyperlink"/>
          <w:rFonts w:ascii="Arial" w:hAnsi="Arial" w:cs="Arial"/>
          <w:b/>
          <w:color w:val="000000" w:themeColor="text1"/>
          <w:sz w:val="20"/>
          <w:szCs w:val="20"/>
          <w:u w:val="none"/>
        </w:rPr>
        <w:t xml:space="preserve">Pedido de Rescisão. Certeza e liquidez constantes da decisão vergastada. Atos de liquidação nos exatos termos legais. Inexistência de violação de dispositivo legal por acórdão desta Corte. Manutenção integral de decisão.  </w:t>
      </w:r>
    </w:p>
    <w:p w:rsidR="0003057F" w:rsidRDefault="0003057F" w:rsidP="007D15DB">
      <w:pPr>
        <w:spacing w:after="0"/>
        <w:jc w:val="both"/>
        <w:rPr>
          <w:rStyle w:val="Hyperlink"/>
          <w:rFonts w:ascii="Arial" w:hAnsi="Arial" w:cs="Arial"/>
          <w:color w:val="000000" w:themeColor="text1"/>
          <w:sz w:val="20"/>
          <w:szCs w:val="20"/>
          <w:u w:val="none"/>
        </w:rPr>
      </w:pPr>
    </w:p>
    <w:p w:rsidR="0003057F" w:rsidRDefault="0003057F" w:rsidP="007D15DB">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O Pedido de Rescisão foi fundamentado na alegação de que o acórdão vergastado, ao não indicar os valores a serem ressarcidos ao erário, violou literal disposição de lei, estando configurada a subsunção ao art. 77, V da LC nº 113/2005 e ao artigo 494, V, do Regimento Interno. </w:t>
      </w:r>
    </w:p>
    <w:p w:rsidR="007D15DB" w:rsidRDefault="007D15DB" w:rsidP="007D15DB">
      <w:pPr>
        <w:spacing w:after="0"/>
        <w:jc w:val="both"/>
        <w:rPr>
          <w:rStyle w:val="Hyperlink"/>
          <w:rFonts w:ascii="Arial" w:hAnsi="Arial" w:cs="Arial"/>
          <w:color w:val="000000" w:themeColor="text1"/>
          <w:sz w:val="20"/>
          <w:szCs w:val="20"/>
          <w:u w:val="none"/>
        </w:rPr>
      </w:pPr>
    </w:p>
    <w:p w:rsidR="0003057F" w:rsidRDefault="0003057F" w:rsidP="007D15DB">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lastRenderedPageBreak/>
        <w:t xml:space="preserve">As contas em questão, foram julgadas irregulares ante a falta de comprovação de retenção do imposto de renda de oito vereadores. </w:t>
      </w:r>
    </w:p>
    <w:p w:rsidR="00D677AD" w:rsidRDefault="00D677AD" w:rsidP="007D15DB">
      <w:pPr>
        <w:spacing w:after="0"/>
        <w:jc w:val="both"/>
        <w:rPr>
          <w:rStyle w:val="Hyperlink"/>
          <w:rFonts w:ascii="Arial" w:hAnsi="Arial" w:cs="Arial"/>
          <w:color w:val="000000" w:themeColor="text1"/>
          <w:sz w:val="20"/>
          <w:szCs w:val="20"/>
          <w:u w:val="none"/>
        </w:rPr>
      </w:pPr>
    </w:p>
    <w:p w:rsidR="0003057F" w:rsidRDefault="0003057F" w:rsidP="007D15DB">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Contudo, a definição do </w:t>
      </w:r>
      <w:r>
        <w:rPr>
          <w:rStyle w:val="Hyperlink"/>
          <w:rFonts w:ascii="Arial" w:hAnsi="Arial" w:cs="Arial"/>
          <w:i/>
          <w:color w:val="000000" w:themeColor="text1"/>
          <w:sz w:val="20"/>
          <w:szCs w:val="20"/>
          <w:u w:val="none"/>
        </w:rPr>
        <w:t xml:space="preserve">quantum </w:t>
      </w:r>
      <w:proofErr w:type="spellStart"/>
      <w:r>
        <w:rPr>
          <w:rStyle w:val="Hyperlink"/>
          <w:rFonts w:ascii="Arial" w:hAnsi="Arial" w:cs="Arial"/>
          <w:i/>
          <w:color w:val="000000" w:themeColor="text1"/>
          <w:sz w:val="20"/>
          <w:szCs w:val="20"/>
          <w:u w:val="none"/>
        </w:rPr>
        <w:t>debeatur</w:t>
      </w:r>
      <w:proofErr w:type="spellEnd"/>
      <w:r>
        <w:rPr>
          <w:rStyle w:val="Hyperlink"/>
          <w:rFonts w:ascii="Arial" w:hAnsi="Arial" w:cs="Arial"/>
          <w:color w:val="000000" w:themeColor="text1"/>
          <w:sz w:val="20"/>
          <w:szCs w:val="20"/>
          <w:u w:val="none"/>
        </w:rPr>
        <w:t xml:space="preserve"> consiste em decisão interlocutória de caráter complementar e com função integrativa, simplesmente agregando à </w:t>
      </w:r>
      <w:r w:rsidR="00FB393D">
        <w:rPr>
          <w:rStyle w:val="Hyperlink"/>
          <w:rFonts w:ascii="Arial" w:hAnsi="Arial" w:cs="Arial"/>
          <w:color w:val="000000" w:themeColor="text1"/>
          <w:sz w:val="20"/>
          <w:szCs w:val="20"/>
          <w:u w:val="none"/>
        </w:rPr>
        <w:t>decisão</w:t>
      </w:r>
      <w:r>
        <w:rPr>
          <w:rStyle w:val="Hyperlink"/>
          <w:rFonts w:ascii="Arial" w:hAnsi="Arial" w:cs="Arial"/>
          <w:color w:val="000000" w:themeColor="text1"/>
          <w:sz w:val="20"/>
          <w:szCs w:val="20"/>
          <w:u w:val="none"/>
        </w:rPr>
        <w:t xml:space="preserve">, o montante a ser pago em razão do débito já reconhecido. </w:t>
      </w:r>
    </w:p>
    <w:p w:rsidR="007D15DB" w:rsidRDefault="007D15DB" w:rsidP="007D15DB">
      <w:pPr>
        <w:spacing w:after="0"/>
        <w:jc w:val="both"/>
        <w:rPr>
          <w:rStyle w:val="Hyperlink"/>
          <w:rFonts w:ascii="Arial" w:hAnsi="Arial" w:cs="Arial"/>
          <w:color w:val="000000" w:themeColor="text1"/>
          <w:sz w:val="20"/>
          <w:szCs w:val="20"/>
          <w:u w:val="none"/>
        </w:rPr>
      </w:pPr>
    </w:p>
    <w:p w:rsidR="0003057F" w:rsidRDefault="0003057F" w:rsidP="007D15DB">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“Nesse contexto, da análise das peças processuais, concluo que o ato emanado por esta Corte, dotado de todas as características exigíveis não está maculado por vícios, não existindo, portanto, elementos ou razões de fato ou de direito suficientes para o provimento do pleito rescisório, devendo ser mantido o julgamento pela irregularidade das contas e o ressarcimento dos valores”, concluiu o Relator do julgado em seu voto. </w:t>
      </w:r>
    </w:p>
    <w:p w:rsidR="007D15DB" w:rsidRDefault="007D15DB" w:rsidP="007D15DB">
      <w:pPr>
        <w:spacing w:after="0"/>
        <w:jc w:val="both"/>
        <w:rPr>
          <w:rStyle w:val="Hyperlink"/>
          <w:rFonts w:ascii="Arial" w:hAnsi="Arial" w:cs="Arial"/>
          <w:color w:val="000000" w:themeColor="text1"/>
          <w:sz w:val="20"/>
          <w:szCs w:val="20"/>
          <w:u w:val="none"/>
        </w:rPr>
      </w:pPr>
    </w:p>
    <w:p w:rsidR="0003057F" w:rsidRPr="007C0C17" w:rsidRDefault="0003057F" w:rsidP="007D15DB">
      <w:pPr>
        <w:spacing w:after="0"/>
        <w:jc w:val="both"/>
        <w:rPr>
          <w:rStyle w:val="Hyperlink"/>
          <w:rFonts w:ascii="Arial" w:hAnsi="Arial" w:cs="Arial"/>
          <w:color w:val="000000" w:themeColor="text1"/>
          <w:sz w:val="20"/>
          <w:szCs w:val="20"/>
          <w:u w:val="none"/>
        </w:rPr>
      </w:pPr>
      <w:r>
        <w:rPr>
          <w:rStyle w:val="Hyperlink"/>
          <w:rFonts w:ascii="Arial" w:hAnsi="Arial" w:cs="Arial"/>
          <w:color w:val="000000" w:themeColor="text1"/>
          <w:sz w:val="20"/>
          <w:szCs w:val="20"/>
          <w:u w:val="none"/>
        </w:rPr>
        <w:t xml:space="preserve">Processo nº 533643/17 </w:t>
      </w:r>
      <w:r w:rsidR="00D677AD">
        <w:rPr>
          <w:rStyle w:val="Hyperlink"/>
          <w:rFonts w:ascii="Arial" w:hAnsi="Arial" w:cs="Arial"/>
          <w:color w:val="000000" w:themeColor="text1"/>
          <w:sz w:val="20"/>
          <w:szCs w:val="20"/>
          <w:u w:val="none"/>
        </w:rPr>
        <w:t>-</w:t>
      </w:r>
      <w:r>
        <w:rPr>
          <w:rStyle w:val="Hyperlink"/>
          <w:rFonts w:ascii="Arial" w:hAnsi="Arial" w:cs="Arial"/>
          <w:color w:val="000000" w:themeColor="text1"/>
          <w:sz w:val="20"/>
          <w:szCs w:val="20"/>
          <w:u w:val="none"/>
        </w:rPr>
        <w:t xml:space="preserve"> </w:t>
      </w:r>
      <w:hyperlink r:id="rId18" w:history="1">
        <w:r w:rsidRPr="00642CBB">
          <w:rPr>
            <w:rStyle w:val="Hyperlink"/>
            <w:rFonts w:ascii="Arial" w:hAnsi="Arial" w:cs="Arial"/>
            <w:sz w:val="20"/>
            <w:szCs w:val="20"/>
          </w:rPr>
          <w:t>Acórdão nº 231/18</w:t>
        </w:r>
        <w:r w:rsidR="00950315">
          <w:rPr>
            <w:rStyle w:val="Hyperlink"/>
            <w:rFonts w:ascii="Arial" w:hAnsi="Arial" w:cs="Arial"/>
            <w:sz w:val="20"/>
            <w:szCs w:val="20"/>
          </w:rPr>
          <w:t xml:space="preserve"> </w:t>
        </w:r>
        <w:r w:rsidRPr="00642CBB">
          <w:rPr>
            <w:rStyle w:val="Hyperlink"/>
            <w:rFonts w:ascii="Arial" w:hAnsi="Arial" w:cs="Arial"/>
            <w:sz w:val="20"/>
            <w:szCs w:val="20"/>
          </w:rPr>
          <w:t>-</w:t>
        </w:r>
        <w:r w:rsidR="00950315">
          <w:rPr>
            <w:rStyle w:val="Hyperlink"/>
            <w:rFonts w:ascii="Arial" w:hAnsi="Arial" w:cs="Arial"/>
            <w:sz w:val="20"/>
            <w:szCs w:val="20"/>
          </w:rPr>
          <w:t xml:space="preserve"> </w:t>
        </w:r>
        <w:r w:rsidRPr="00642CBB">
          <w:rPr>
            <w:rStyle w:val="Hyperlink"/>
            <w:rFonts w:ascii="Arial" w:hAnsi="Arial" w:cs="Arial"/>
            <w:sz w:val="20"/>
            <w:szCs w:val="20"/>
          </w:rPr>
          <w:t>Tribunal Pleno</w:t>
        </w:r>
      </w:hyperlink>
      <w:r w:rsidR="00D677AD">
        <w:rPr>
          <w:rStyle w:val="Hyperlink"/>
          <w:rFonts w:ascii="Arial" w:hAnsi="Arial" w:cs="Arial"/>
          <w:color w:val="000000" w:themeColor="text1"/>
          <w:sz w:val="20"/>
          <w:szCs w:val="20"/>
          <w:u w:val="none"/>
        </w:rPr>
        <w:t xml:space="preserve"> - </w:t>
      </w:r>
      <w:r>
        <w:rPr>
          <w:rStyle w:val="Hyperlink"/>
          <w:rFonts w:ascii="Arial" w:hAnsi="Arial" w:cs="Arial"/>
          <w:color w:val="000000" w:themeColor="text1"/>
          <w:sz w:val="20"/>
          <w:szCs w:val="20"/>
          <w:u w:val="none"/>
        </w:rPr>
        <w:t xml:space="preserve">Relator Conselheiro Ivan </w:t>
      </w:r>
      <w:proofErr w:type="spellStart"/>
      <w:r>
        <w:rPr>
          <w:rStyle w:val="Hyperlink"/>
          <w:rFonts w:ascii="Arial" w:hAnsi="Arial" w:cs="Arial"/>
          <w:color w:val="000000" w:themeColor="text1"/>
          <w:sz w:val="20"/>
          <w:szCs w:val="20"/>
          <w:u w:val="none"/>
        </w:rPr>
        <w:t>Lelis</w:t>
      </w:r>
      <w:proofErr w:type="spellEnd"/>
      <w:r>
        <w:rPr>
          <w:rStyle w:val="Hyperlink"/>
          <w:rFonts w:ascii="Arial" w:hAnsi="Arial" w:cs="Arial"/>
          <w:color w:val="000000" w:themeColor="text1"/>
          <w:sz w:val="20"/>
          <w:szCs w:val="20"/>
          <w:u w:val="none"/>
        </w:rPr>
        <w:t xml:space="preserve"> Bonilha. </w:t>
      </w:r>
    </w:p>
    <w:p w:rsidR="0003057F" w:rsidRDefault="0003057F" w:rsidP="00936E83">
      <w:pPr>
        <w:autoSpaceDE w:val="0"/>
        <w:autoSpaceDN w:val="0"/>
        <w:adjustRightInd w:val="0"/>
        <w:spacing w:after="0"/>
        <w:jc w:val="both"/>
        <w:rPr>
          <w:rFonts w:ascii="Arial" w:hAnsi="Arial" w:cs="Arial"/>
          <w:sz w:val="20"/>
          <w:szCs w:val="20"/>
        </w:rPr>
      </w:pPr>
    </w:p>
    <w:p w:rsidR="0003057F" w:rsidRPr="00936E83" w:rsidRDefault="0003057F" w:rsidP="00936E83">
      <w:pPr>
        <w:autoSpaceDE w:val="0"/>
        <w:autoSpaceDN w:val="0"/>
        <w:adjustRightInd w:val="0"/>
        <w:spacing w:after="0"/>
        <w:jc w:val="both"/>
        <w:rPr>
          <w:rFonts w:ascii="Arial" w:hAnsi="Arial" w:cs="Arial"/>
          <w:sz w:val="20"/>
          <w:szCs w:val="20"/>
        </w:rPr>
      </w:pPr>
    </w:p>
    <w:p w:rsidR="00E8762F" w:rsidRPr="0022060B" w:rsidRDefault="00E8762F" w:rsidP="00936E83">
      <w:pPr>
        <w:autoSpaceDE w:val="0"/>
        <w:autoSpaceDN w:val="0"/>
        <w:adjustRightInd w:val="0"/>
        <w:spacing w:after="0"/>
        <w:jc w:val="both"/>
        <w:rPr>
          <w:rFonts w:ascii="Arial" w:hAnsi="Arial" w:cs="Arial"/>
          <w:sz w:val="20"/>
          <w:szCs w:val="20"/>
        </w:rPr>
      </w:pPr>
      <w:r w:rsidRPr="0022060B">
        <w:rPr>
          <w:rFonts w:ascii="Arial" w:hAnsi="Arial" w:cs="Arial"/>
          <w:sz w:val="20"/>
          <w:szCs w:val="20"/>
        </w:rPr>
        <w:t xml:space="preserve">Observações: </w:t>
      </w:r>
    </w:p>
    <w:p w:rsidR="005C4DB7" w:rsidRPr="0022060B" w:rsidRDefault="00E4415D" w:rsidP="00816942">
      <w:pPr>
        <w:spacing w:after="0"/>
        <w:rPr>
          <w:rFonts w:ascii="Arial" w:hAnsi="Arial" w:cs="Arial"/>
          <w:b/>
          <w:color w:val="000000"/>
          <w:sz w:val="20"/>
          <w:szCs w:val="20"/>
        </w:rPr>
      </w:pPr>
      <w:r w:rsidRPr="0022060B">
        <w:rPr>
          <w:rFonts w:ascii="Arial" w:hAnsi="Arial" w:cs="Arial"/>
          <w:noProof/>
          <w:sz w:val="20"/>
          <w:szCs w:val="20"/>
          <w:lang w:eastAsia="pt-BR"/>
        </w:rPr>
        <mc:AlternateContent>
          <mc:Choice Requires="wps">
            <w:drawing>
              <wp:anchor distT="0" distB="0" distL="114300" distR="114300" simplePos="0" relativeHeight="251654656" behindDoc="0" locked="0" layoutInCell="1" allowOverlap="1" wp14:anchorId="15D64EE6" wp14:editId="599D7F15">
                <wp:simplePos x="0" y="0"/>
                <wp:positionH relativeFrom="margin">
                  <wp:posOffset>-6985</wp:posOffset>
                </wp:positionH>
                <wp:positionV relativeFrom="paragraph">
                  <wp:posOffset>73660</wp:posOffset>
                </wp:positionV>
                <wp:extent cx="5499100" cy="0"/>
                <wp:effectExtent l="0" t="0" r="25400" b="57150"/>
                <wp:wrapNone/>
                <wp:docPr id="58" name="Conector reto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B577E9F" id="Conector reto 58"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" strokecolor="black [3200]" strokeweight="2pt">
                <v:shadow on="t" color="black" opacity="24903f" origin=",.5" offset="0,.55556mm"/>
                <w10:wrap anchorx="margin"/>
              </v:line>
            </w:pict>
          </mc:Fallback>
        </mc:AlternateContent>
      </w:r>
    </w:p>
    <w:p w:rsidR="0026477F" w:rsidRPr="0022060B" w:rsidRDefault="0026477F" w:rsidP="00816942">
      <w:pPr>
        <w:spacing w:after="0"/>
        <w:rPr>
          <w:rFonts w:ascii="Arial" w:hAnsi="Arial" w:cs="Arial"/>
          <w:color w:val="000000"/>
          <w:sz w:val="20"/>
          <w:szCs w:val="20"/>
        </w:rPr>
      </w:pPr>
      <w:r w:rsidRPr="0022060B">
        <w:rPr>
          <w:rFonts w:ascii="Arial" w:hAnsi="Arial" w:cs="Arial"/>
          <w:color w:val="000000"/>
          <w:sz w:val="20"/>
          <w:szCs w:val="20"/>
        </w:rPr>
        <w:t>Ju</w:t>
      </w:r>
      <w:r w:rsidR="00AD528F" w:rsidRPr="0022060B">
        <w:rPr>
          <w:rFonts w:ascii="Arial" w:hAnsi="Arial" w:cs="Arial"/>
          <w:color w:val="000000"/>
          <w:sz w:val="20"/>
          <w:szCs w:val="20"/>
        </w:rPr>
        <w:t xml:space="preserve">risprudência Selecionada: </w:t>
      </w:r>
    </w:p>
    <w:p w:rsidR="000B2FD9" w:rsidRDefault="000B2FD9" w:rsidP="000B2FD9">
      <w:pPr>
        <w:spacing w:after="0"/>
        <w:jc w:val="both"/>
        <w:rPr>
          <w:rFonts w:ascii="Arial" w:hAnsi="Arial" w:cs="Arial"/>
          <w:b/>
          <w:color w:val="000000"/>
          <w:sz w:val="20"/>
          <w:szCs w:val="20"/>
        </w:rPr>
      </w:pPr>
    </w:p>
    <w:p w:rsidR="000800D1" w:rsidRPr="0022060B" w:rsidRDefault="000800D1" w:rsidP="00816942">
      <w:pPr>
        <w:spacing w:after="0"/>
        <w:jc w:val="both"/>
        <w:rPr>
          <w:rFonts w:ascii="Arial" w:hAnsi="Arial" w:cs="Arial"/>
          <w:b/>
          <w:color w:val="000000"/>
          <w:sz w:val="20"/>
          <w:szCs w:val="20"/>
        </w:rPr>
      </w:pPr>
      <w:r w:rsidRPr="0022060B">
        <w:rPr>
          <w:rFonts w:ascii="Arial" w:hAnsi="Arial" w:cs="Arial"/>
          <w:b/>
          <w:color w:val="000000"/>
          <w:sz w:val="20"/>
          <w:szCs w:val="20"/>
        </w:rPr>
        <w:t>Superior Tribunal de Justiça:</w:t>
      </w:r>
    </w:p>
    <w:p w:rsidR="00543DF0" w:rsidRDefault="00543DF0" w:rsidP="006E12D5">
      <w:pPr>
        <w:spacing w:after="0"/>
        <w:jc w:val="both"/>
        <w:rPr>
          <w:rFonts w:ascii="Arial" w:hAnsi="Arial" w:cs="Arial"/>
          <w:b/>
          <w:color w:val="000000"/>
          <w:sz w:val="20"/>
          <w:szCs w:val="20"/>
        </w:rPr>
      </w:pPr>
    </w:p>
    <w:p w:rsidR="00C47B58" w:rsidRPr="00C47B58" w:rsidRDefault="003F5096" w:rsidP="006E12D5">
      <w:pPr>
        <w:spacing w:after="0"/>
        <w:jc w:val="both"/>
        <w:rPr>
          <w:rFonts w:ascii="Arial" w:hAnsi="Arial" w:cs="Arial"/>
          <w:b/>
          <w:sz w:val="20"/>
          <w:szCs w:val="20"/>
        </w:rPr>
      </w:pPr>
      <w:hyperlink r:id="rId19" w:history="1">
        <w:r w:rsidR="00C47B58" w:rsidRPr="00D20393">
          <w:rPr>
            <w:rStyle w:val="Hyperlink"/>
            <w:rFonts w:ascii="Arial" w:hAnsi="Arial" w:cs="Arial"/>
            <w:b/>
            <w:sz w:val="20"/>
            <w:szCs w:val="20"/>
            <w:shd w:val="clear" w:color="auto" w:fill="FFFFFF"/>
          </w:rPr>
          <w:t>RMS 45.817-RJ</w:t>
        </w:r>
      </w:hyperlink>
      <w:r w:rsidR="00C47B58" w:rsidRPr="00C47B58">
        <w:rPr>
          <w:rFonts w:ascii="Arial" w:hAnsi="Arial" w:cs="Arial"/>
          <w:b/>
          <w:sz w:val="20"/>
          <w:szCs w:val="20"/>
          <w:shd w:val="clear" w:color="auto" w:fill="FFFFFF"/>
        </w:rPr>
        <w:t xml:space="preserve">, Rel. Min. Humberto Martins, Rel. </w:t>
      </w:r>
      <w:proofErr w:type="spellStart"/>
      <w:r w:rsidR="00C47B58" w:rsidRPr="00C47B58">
        <w:rPr>
          <w:rFonts w:ascii="Arial" w:hAnsi="Arial" w:cs="Arial"/>
          <w:b/>
          <w:sz w:val="20"/>
          <w:szCs w:val="20"/>
          <w:shd w:val="clear" w:color="auto" w:fill="FFFFFF"/>
        </w:rPr>
        <w:t>Acd</w:t>
      </w:r>
      <w:proofErr w:type="spellEnd"/>
      <w:r w:rsidR="00C47B58" w:rsidRPr="00C47B58">
        <w:rPr>
          <w:rFonts w:ascii="Arial" w:hAnsi="Arial" w:cs="Arial"/>
          <w:b/>
          <w:sz w:val="20"/>
          <w:szCs w:val="20"/>
          <w:shd w:val="clear" w:color="auto" w:fill="FFFFFF"/>
        </w:rPr>
        <w:t xml:space="preserve">. Min. </w:t>
      </w:r>
      <w:proofErr w:type="spellStart"/>
      <w:r w:rsidR="00C47B58" w:rsidRPr="00C47B58">
        <w:rPr>
          <w:rFonts w:ascii="Arial" w:hAnsi="Arial" w:cs="Arial"/>
          <w:b/>
          <w:sz w:val="20"/>
          <w:szCs w:val="20"/>
          <w:shd w:val="clear" w:color="auto" w:fill="FFFFFF"/>
        </w:rPr>
        <w:t>Og</w:t>
      </w:r>
      <w:proofErr w:type="spellEnd"/>
      <w:r w:rsidR="00C47B58" w:rsidRPr="00C47B58">
        <w:rPr>
          <w:rFonts w:ascii="Arial" w:hAnsi="Arial" w:cs="Arial"/>
          <w:b/>
          <w:sz w:val="20"/>
          <w:szCs w:val="20"/>
          <w:shd w:val="clear" w:color="auto" w:fill="FFFFFF"/>
        </w:rPr>
        <w:t xml:space="preserve"> Fernandes, por maioria, julgado em 26/09/2017, </w:t>
      </w:r>
      <w:proofErr w:type="spellStart"/>
      <w:r w:rsidR="00C47B58" w:rsidRPr="00C47B58">
        <w:rPr>
          <w:rFonts w:ascii="Arial" w:hAnsi="Arial" w:cs="Arial"/>
          <w:b/>
          <w:sz w:val="20"/>
          <w:szCs w:val="20"/>
          <w:shd w:val="clear" w:color="auto" w:fill="FFFFFF"/>
        </w:rPr>
        <w:t>DJe</w:t>
      </w:r>
      <w:proofErr w:type="spellEnd"/>
      <w:r w:rsidR="00C47B58" w:rsidRPr="00C47B58">
        <w:rPr>
          <w:rFonts w:ascii="Arial" w:hAnsi="Arial" w:cs="Arial"/>
          <w:b/>
          <w:sz w:val="20"/>
          <w:szCs w:val="20"/>
          <w:shd w:val="clear" w:color="auto" w:fill="FFFFFF"/>
        </w:rPr>
        <w:t xml:space="preserve"> 05/02/2018</w:t>
      </w:r>
      <w:r w:rsidR="00D20393">
        <w:rPr>
          <w:rFonts w:ascii="Arial" w:hAnsi="Arial" w:cs="Arial"/>
          <w:b/>
          <w:sz w:val="20"/>
          <w:szCs w:val="20"/>
          <w:shd w:val="clear" w:color="auto" w:fill="FFFFFF"/>
        </w:rPr>
        <w:t>.</w:t>
      </w:r>
    </w:p>
    <w:p w:rsidR="00F21672" w:rsidRDefault="00F21672" w:rsidP="006E12D5">
      <w:pPr>
        <w:spacing w:after="0"/>
        <w:jc w:val="both"/>
        <w:rPr>
          <w:rFonts w:ascii="Arial" w:hAnsi="Arial" w:cs="Arial"/>
          <w:b/>
          <w:color w:val="000000"/>
          <w:sz w:val="20"/>
          <w:szCs w:val="20"/>
        </w:rPr>
      </w:pPr>
    </w:p>
    <w:p w:rsidR="00C47B58" w:rsidRDefault="00C47B58" w:rsidP="006E12D5">
      <w:pPr>
        <w:spacing w:after="0"/>
        <w:jc w:val="both"/>
        <w:rPr>
          <w:rFonts w:ascii="Arial" w:hAnsi="Arial" w:cs="Arial"/>
          <w:b/>
          <w:sz w:val="20"/>
          <w:szCs w:val="20"/>
          <w:shd w:val="clear" w:color="auto" w:fill="FFFFFF"/>
        </w:rPr>
      </w:pPr>
      <w:r w:rsidRPr="00C47B58">
        <w:rPr>
          <w:rFonts w:ascii="Arial" w:hAnsi="Arial" w:cs="Arial"/>
          <w:b/>
          <w:sz w:val="20"/>
          <w:szCs w:val="20"/>
          <w:shd w:val="clear" w:color="auto" w:fill="FFFFFF"/>
        </w:rPr>
        <w:t>Pensão por morte. Acordo efetivado em juízo. Divisão entre companheira do </w:t>
      </w:r>
      <w:r w:rsidRPr="00C47B58">
        <w:rPr>
          <w:rStyle w:val="nfase"/>
          <w:rFonts w:ascii="Arial" w:hAnsi="Arial" w:cs="Arial"/>
          <w:b/>
          <w:sz w:val="20"/>
          <w:szCs w:val="20"/>
          <w:shd w:val="clear" w:color="auto" w:fill="FFFFFF"/>
        </w:rPr>
        <w:t>de cujus</w:t>
      </w:r>
      <w:r w:rsidRPr="00C47B58">
        <w:rPr>
          <w:rFonts w:ascii="Arial" w:hAnsi="Arial" w:cs="Arial"/>
          <w:b/>
          <w:sz w:val="20"/>
          <w:szCs w:val="20"/>
          <w:shd w:val="clear" w:color="auto" w:fill="FFFFFF"/>
        </w:rPr>
        <w:t> e a genitora deste. Efeitos perante terceiros. Alteração da ordem legal de pensionamento. Impossibilidade.</w:t>
      </w:r>
    </w:p>
    <w:p w:rsidR="00C47B58" w:rsidRDefault="00C47B58" w:rsidP="006E12D5">
      <w:pPr>
        <w:spacing w:after="0"/>
        <w:jc w:val="both"/>
        <w:rPr>
          <w:rFonts w:ascii="Arial" w:hAnsi="Arial" w:cs="Arial"/>
          <w:b/>
          <w:sz w:val="20"/>
          <w:szCs w:val="20"/>
          <w:shd w:val="clear" w:color="auto" w:fill="FFFFFF"/>
        </w:rPr>
      </w:pPr>
    </w:p>
    <w:p w:rsidR="00C47B58" w:rsidRPr="00C47B58" w:rsidRDefault="00C47B58" w:rsidP="006E12D5">
      <w:pPr>
        <w:spacing w:after="0"/>
        <w:jc w:val="both"/>
        <w:rPr>
          <w:rFonts w:ascii="Arial" w:hAnsi="Arial" w:cs="Arial"/>
          <w:b/>
          <w:sz w:val="20"/>
          <w:szCs w:val="20"/>
          <w:shd w:val="clear" w:color="auto" w:fill="FFFFFF"/>
        </w:rPr>
      </w:pPr>
      <w:r w:rsidRPr="00C47B58">
        <w:rPr>
          <w:rFonts w:ascii="Arial" w:hAnsi="Arial" w:cs="Arial"/>
          <w:sz w:val="20"/>
          <w:szCs w:val="20"/>
          <w:shd w:val="clear" w:color="auto" w:fill="FFFFFF"/>
        </w:rPr>
        <w:t>O acordo de partilha de pensão por morte, homologado judicialmente, não altera a ordem legal do pensionamento, podendo, todavia, impor ao órgão de previdência a obrigação de depositar parcela do benefício em favor do acordante que não figura como beneficiário perante a autarquia previdenciária.</w:t>
      </w:r>
    </w:p>
    <w:p w:rsidR="00C47B58" w:rsidRDefault="00C47B58" w:rsidP="006E12D5">
      <w:pPr>
        <w:spacing w:after="0"/>
        <w:jc w:val="both"/>
        <w:rPr>
          <w:rFonts w:ascii="Arial" w:hAnsi="Arial" w:cs="Arial"/>
          <w:b/>
          <w:color w:val="000000"/>
          <w:sz w:val="20"/>
          <w:szCs w:val="20"/>
        </w:rPr>
      </w:pPr>
    </w:p>
    <w:p w:rsidR="000800D1" w:rsidRDefault="000800D1" w:rsidP="006E12D5">
      <w:pPr>
        <w:spacing w:after="0"/>
        <w:jc w:val="both"/>
        <w:rPr>
          <w:rFonts w:ascii="Arial" w:hAnsi="Arial" w:cs="Arial"/>
          <w:b/>
          <w:color w:val="000000"/>
          <w:sz w:val="20"/>
          <w:szCs w:val="20"/>
        </w:rPr>
      </w:pPr>
      <w:r w:rsidRPr="00DB558E">
        <w:rPr>
          <w:rFonts w:ascii="Arial" w:hAnsi="Arial" w:cs="Arial"/>
          <w:b/>
          <w:color w:val="000000"/>
          <w:sz w:val="20"/>
          <w:szCs w:val="20"/>
        </w:rPr>
        <w:t>Tribunal de Contas da União:</w:t>
      </w:r>
    </w:p>
    <w:p w:rsidR="005F43F3" w:rsidRDefault="005F43F3" w:rsidP="006E12D5">
      <w:pPr>
        <w:spacing w:after="0"/>
        <w:jc w:val="both"/>
        <w:rPr>
          <w:rFonts w:ascii="Arial" w:hAnsi="Arial" w:cs="Arial"/>
          <w:b/>
          <w:color w:val="000000"/>
          <w:sz w:val="20"/>
          <w:szCs w:val="20"/>
        </w:rPr>
      </w:pPr>
    </w:p>
    <w:p w:rsidR="005F43F3" w:rsidRPr="005F43F3" w:rsidRDefault="003F5096" w:rsidP="009755E5">
      <w:pPr>
        <w:widowControl w:val="0"/>
        <w:autoSpaceDE w:val="0"/>
        <w:autoSpaceDN w:val="0"/>
        <w:spacing w:after="0"/>
        <w:jc w:val="both"/>
        <w:rPr>
          <w:rFonts w:ascii="Arial" w:hAnsi="Arial" w:cs="Arial"/>
          <w:b/>
          <w:sz w:val="20"/>
          <w:szCs w:val="20"/>
        </w:rPr>
      </w:pPr>
      <w:hyperlink r:id="rId20" w:history="1">
        <w:r w:rsidR="005F43F3" w:rsidRPr="0072609A">
          <w:rPr>
            <w:rStyle w:val="Hyperlink"/>
            <w:rFonts w:ascii="Arial" w:hAnsi="Arial" w:cs="Arial"/>
            <w:b/>
            <w:sz w:val="20"/>
            <w:szCs w:val="20"/>
          </w:rPr>
          <w:t>Acórdão 47/2018</w:t>
        </w:r>
        <w:r w:rsidR="00A13B6C" w:rsidRPr="0072609A">
          <w:rPr>
            <w:rStyle w:val="Hyperlink"/>
            <w:rFonts w:ascii="Arial" w:hAnsi="Arial" w:cs="Arial"/>
            <w:b/>
            <w:sz w:val="20"/>
            <w:szCs w:val="20"/>
          </w:rPr>
          <w:t xml:space="preserve"> - </w:t>
        </w:r>
        <w:r w:rsidR="005F43F3" w:rsidRPr="0072609A">
          <w:rPr>
            <w:rStyle w:val="Hyperlink"/>
            <w:rFonts w:ascii="Arial" w:hAnsi="Arial" w:cs="Arial"/>
            <w:b/>
            <w:sz w:val="20"/>
            <w:szCs w:val="20"/>
          </w:rPr>
          <w:t>Plenário</w:t>
        </w:r>
      </w:hyperlink>
      <w:r w:rsidR="005F43F3" w:rsidRPr="005F43F3">
        <w:rPr>
          <w:rFonts w:ascii="Arial" w:hAnsi="Arial" w:cs="Arial"/>
          <w:b/>
          <w:sz w:val="20"/>
          <w:szCs w:val="20"/>
        </w:rPr>
        <w:t xml:space="preserve"> </w:t>
      </w:r>
      <w:r w:rsidR="005F43F3" w:rsidRPr="005F43F3">
        <w:rPr>
          <w:rFonts w:ascii="Arial" w:hAnsi="Arial" w:cs="Arial"/>
          <w:sz w:val="20"/>
          <w:szCs w:val="20"/>
        </w:rPr>
        <w:t xml:space="preserve">(Aposentadoria, Relator Ministro José </w:t>
      </w:r>
      <w:proofErr w:type="spellStart"/>
      <w:r w:rsidR="005F43F3" w:rsidRPr="005F43F3">
        <w:rPr>
          <w:rFonts w:ascii="Arial" w:hAnsi="Arial" w:cs="Arial"/>
          <w:sz w:val="20"/>
          <w:szCs w:val="20"/>
        </w:rPr>
        <w:t>Múcio</w:t>
      </w:r>
      <w:proofErr w:type="spellEnd"/>
      <w:r w:rsidR="005F43F3" w:rsidRPr="005F43F3">
        <w:rPr>
          <w:rFonts w:ascii="Arial" w:hAnsi="Arial" w:cs="Arial"/>
          <w:sz w:val="20"/>
          <w:szCs w:val="20"/>
        </w:rPr>
        <w:t xml:space="preserve"> Monteiro)</w:t>
      </w:r>
    </w:p>
    <w:p w:rsidR="00865D2B" w:rsidRDefault="00865D2B" w:rsidP="009755E5">
      <w:pPr>
        <w:spacing w:after="0"/>
        <w:jc w:val="both"/>
        <w:rPr>
          <w:rFonts w:ascii="Arial" w:hAnsi="Arial" w:cs="Arial"/>
          <w:b/>
          <w:sz w:val="20"/>
          <w:szCs w:val="20"/>
        </w:rPr>
      </w:pPr>
    </w:p>
    <w:p w:rsidR="005F43F3" w:rsidRDefault="005F43F3" w:rsidP="009755E5">
      <w:pPr>
        <w:spacing w:after="0"/>
        <w:jc w:val="both"/>
        <w:rPr>
          <w:rFonts w:ascii="Arial" w:hAnsi="Arial" w:cs="Arial"/>
          <w:b/>
          <w:sz w:val="20"/>
          <w:szCs w:val="20"/>
        </w:rPr>
      </w:pPr>
      <w:r w:rsidRPr="004A2D7A">
        <w:rPr>
          <w:rFonts w:ascii="Arial" w:hAnsi="Arial" w:cs="Arial"/>
          <w:b/>
          <w:sz w:val="20"/>
          <w:szCs w:val="20"/>
        </w:rPr>
        <w:t>Pessoal. Aposentadoria. Proventos. Base de cálculo. Contribuição previdenciária. Pensão. Vedação.</w:t>
      </w:r>
    </w:p>
    <w:p w:rsidR="009755E5" w:rsidRPr="004A2D7A" w:rsidRDefault="009755E5" w:rsidP="009755E5">
      <w:pPr>
        <w:spacing w:after="0"/>
        <w:jc w:val="both"/>
        <w:rPr>
          <w:rFonts w:ascii="Arial" w:hAnsi="Arial" w:cs="Arial"/>
          <w:b/>
          <w:sz w:val="20"/>
          <w:szCs w:val="20"/>
        </w:rPr>
      </w:pPr>
    </w:p>
    <w:p w:rsidR="005F43F3" w:rsidRDefault="005F43F3" w:rsidP="009755E5">
      <w:pPr>
        <w:pStyle w:val="TCU-Epgrafe"/>
        <w:spacing w:line="276" w:lineRule="auto"/>
        <w:ind w:left="0"/>
        <w:rPr>
          <w:rFonts w:ascii="Arial" w:hAnsi="Arial" w:cs="Arial"/>
          <w:sz w:val="20"/>
        </w:rPr>
      </w:pPr>
      <w:r w:rsidRPr="005F43F3">
        <w:rPr>
          <w:rFonts w:ascii="Arial" w:hAnsi="Arial" w:cs="Arial"/>
          <w:sz w:val="20"/>
        </w:rPr>
        <w:lastRenderedPageBreak/>
        <w:t>No regime contributivo previdenciário constitucional é vedado ao servidor público carrear para os proventos da aposentadoria ou para a pensão por ele instituída parcela da remuneração sobre a qual não incidiu desconto previdenciário.</w:t>
      </w:r>
    </w:p>
    <w:p w:rsidR="009755E5" w:rsidRPr="005F43F3" w:rsidRDefault="009755E5" w:rsidP="009755E5">
      <w:pPr>
        <w:pStyle w:val="TCU-Epgrafe"/>
        <w:spacing w:line="276" w:lineRule="auto"/>
        <w:ind w:left="0"/>
        <w:rPr>
          <w:rFonts w:ascii="Arial" w:hAnsi="Arial" w:cs="Arial"/>
          <w:sz w:val="20"/>
        </w:rPr>
      </w:pPr>
    </w:p>
    <w:p w:rsidR="005F43F3" w:rsidRDefault="003F5096" w:rsidP="009755E5">
      <w:pPr>
        <w:widowControl w:val="0"/>
        <w:autoSpaceDE w:val="0"/>
        <w:autoSpaceDN w:val="0"/>
        <w:spacing w:after="0"/>
        <w:jc w:val="both"/>
        <w:rPr>
          <w:rFonts w:ascii="Arial" w:hAnsi="Arial"/>
          <w:sz w:val="20"/>
          <w:szCs w:val="20"/>
        </w:rPr>
      </w:pPr>
      <w:hyperlink r:id="rId21" w:history="1">
        <w:r w:rsidR="005F43F3" w:rsidRPr="0072609A">
          <w:rPr>
            <w:rStyle w:val="Hyperlink"/>
            <w:rFonts w:ascii="Arial" w:hAnsi="Arial"/>
            <w:b/>
            <w:sz w:val="20"/>
            <w:szCs w:val="20"/>
          </w:rPr>
          <w:t>Acórdão 36/2018</w:t>
        </w:r>
        <w:r w:rsidR="0072609A" w:rsidRPr="0072609A">
          <w:rPr>
            <w:rStyle w:val="Hyperlink"/>
            <w:rFonts w:ascii="Arial" w:hAnsi="Arial"/>
            <w:b/>
            <w:sz w:val="20"/>
            <w:szCs w:val="20"/>
          </w:rPr>
          <w:t xml:space="preserve"> -</w:t>
        </w:r>
        <w:r w:rsidR="005F43F3" w:rsidRPr="0072609A">
          <w:rPr>
            <w:rStyle w:val="Hyperlink"/>
            <w:rFonts w:ascii="Arial" w:hAnsi="Arial"/>
            <w:b/>
            <w:sz w:val="20"/>
            <w:szCs w:val="20"/>
          </w:rPr>
          <w:t xml:space="preserve"> Plenário</w:t>
        </w:r>
      </w:hyperlink>
      <w:r w:rsidR="005F43F3" w:rsidRPr="005F43F3">
        <w:rPr>
          <w:rFonts w:ascii="Arial" w:hAnsi="Arial"/>
          <w:b/>
          <w:sz w:val="20"/>
          <w:szCs w:val="20"/>
        </w:rPr>
        <w:t xml:space="preserve"> </w:t>
      </w:r>
      <w:r w:rsidR="005F43F3" w:rsidRPr="005F43F3">
        <w:rPr>
          <w:rFonts w:ascii="Arial" w:hAnsi="Arial"/>
          <w:sz w:val="20"/>
          <w:szCs w:val="20"/>
        </w:rPr>
        <w:t>(Auditoria, Relator Ministro Aroldo Cedraz)</w:t>
      </w:r>
    </w:p>
    <w:p w:rsidR="009755E5" w:rsidRPr="005F43F3" w:rsidRDefault="009755E5" w:rsidP="009755E5">
      <w:pPr>
        <w:widowControl w:val="0"/>
        <w:autoSpaceDE w:val="0"/>
        <w:autoSpaceDN w:val="0"/>
        <w:spacing w:after="0"/>
        <w:jc w:val="both"/>
        <w:rPr>
          <w:rFonts w:ascii="Arial" w:hAnsi="Arial" w:cs="Arial"/>
          <w:b/>
          <w:sz w:val="20"/>
          <w:szCs w:val="20"/>
        </w:rPr>
      </w:pPr>
    </w:p>
    <w:p w:rsidR="005F43F3" w:rsidRDefault="005F43F3" w:rsidP="009755E5">
      <w:pPr>
        <w:spacing w:after="0"/>
        <w:jc w:val="both"/>
        <w:rPr>
          <w:rFonts w:ascii="Arial" w:hAnsi="Arial"/>
          <w:b/>
          <w:sz w:val="20"/>
          <w:szCs w:val="20"/>
        </w:rPr>
      </w:pPr>
      <w:r w:rsidRPr="0072609A">
        <w:rPr>
          <w:rFonts w:ascii="Arial" w:hAnsi="Arial"/>
          <w:b/>
          <w:sz w:val="20"/>
          <w:szCs w:val="20"/>
        </w:rPr>
        <w:t>Direito Processual. Embargos de declaração. Abrangência. Divergência. Voto.</w:t>
      </w:r>
    </w:p>
    <w:p w:rsidR="009755E5" w:rsidRPr="0072609A" w:rsidRDefault="009755E5" w:rsidP="009755E5">
      <w:pPr>
        <w:spacing w:after="0"/>
        <w:jc w:val="both"/>
        <w:rPr>
          <w:rFonts w:ascii="Arial" w:hAnsi="Arial" w:cs="Arial"/>
          <w:b/>
          <w:sz w:val="20"/>
          <w:szCs w:val="20"/>
        </w:rPr>
      </w:pPr>
    </w:p>
    <w:p w:rsidR="005F43F3" w:rsidRDefault="005F43F3" w:rsidP="009755E5">
      <w:pPr>
        <w:pStyle w:val="TCU-Epgrafe"/>
        <w:spacing w:line="276" w:lineRule="auto"/>
        <w:ind w:left="0"/>
        <w:rPr>
          <w:rFonts w:ascii="Arial" w:hAnsi="Arial"/>
          <w:sz w:val="20"/>
        </w:rPr>
      </w:pPr>
      <w:r w:rsidRPr="005F43F3">
        <w:rPr>
          <w:rFonts w:ascii="Arial" w:hAnsi="Arial"/>
          <w:sz w:val="20"/>
        </w:rPr>
        <w:t>A existência de votos divergentes proferidos por ocasião da apreciação do processo no colegiado competente não caracteriza a existência de contradição passível de ser atacada por embargos declaratórios.</w:t>
      </w:r>
    </w:p>
    <w:p w:rsidR="009755E5" w:rsidRDefault="009755E5" w:rsidP="009755E5">
      <w:pPr>
        <w:pStyle w:val="TCU-Epgrafe"/>
        <w:spacing w:line="276" w:lineRule="auto"/>
        <w:ind w:left="0"/>
        <w:rPr>
          <w:rFonts w:ascii="Arial" w:hAnsi="Arial"/>
          <w:sz w:val="20"/>
        </w:rPr>
      </w:pPr>
    </w:p>
    <w:p w:rsidR="00F21672" w:rsidRDefault="003F5096" w:rsidP="009755E5">
      <w:pPr>
        <w:widowControl w:val="0"/>
        <w:autoSpaceDE w:val="0"/>
        <w:autoSpaceDN w:val="0"/>
        <w:spacing w:after="0"/>
        <w:jc w:val="both"/>
        <w:rPr>
          <w:rFonts w:ascii="Arial" w:hAnsi="Arial"/>
          <w:sz w:val="20"/>
          <w:szCs w:val="20"/>
        </w:rPr>
      </w:pPr>
      <w:hyperlink r:id="rId22" w:history="1">
        <w:r w:rsidR="00F21672" w:rsidRPr="00571B80">
          <w:rPr>
            <w:rStyle w:val="Hyperlink"/>
            <w:rFonts w:ascii="Arial" w:hAnsi="Arial"/>
            <w:b/>
            <w:sz w:val="20"/>
            <w:szCs w:val="20"/>
          </w:rPr>
          <w:t xml:space="preserve">Acórdão 120/2018 </w:t>
        </w:r>
        <w:r w:rsidR="00571B80">
          <w:rPr>
            <w:rStyle w:val="Hyperlink"/>
            <w:rFonts w:ascii="Arial" w:hAnsi="Arial"/>
            <w:b/>
            <w:sz w:val="20"/>
            <w:szCs w:val="20"/>
          </w:rPr>
          <w:t xml:space="preserve">- </w:t>
        </w:r>
        <w:r w:rsidR="00F21672" w:rsidRPr="00571B80">
          <w:rPr>
            <w:rStyle w:val="Hyperlink"/>
            <w:rFonts w:ascii="Arial" w:hAnsi="Arial"/>
            <w:b/>
            <w:sz w:val="20"/>
            <w:szCs w:val="20"/>
          </w:rPr>
          <w:t>Plenário</w:t>
        </w:r>
      </w:hyperlink>
      <w:r w:rsidR="00F21672" w:rsidRPr="00F21672">
        <w:rPr>
          <w:rFonts w:ascii="Arial" w:hAnsi="Arial"/>
          <w:b/>
          <w:sz w:val="20"/>
          <w:szCs w:val="20"/>
        </w:rPr>
        <w:t xml:space="preserve"> </w:t>
      </w:r>
      <w:r w:rsidR="00F21672" w:rsidRPr="00F21672">
        <w:rPr>
          <w:rFonts w:ascii="Arial" w:hAnsi="Arial"/>
          <w:sz w:val="20"/>
          <w:szCs w:val="20"/>
        </w:rPr>
        <w:t>(Representação, Relator Ministro Bruno Dantas)</w:t>
      </w:r>
    </w:p>
    <w:p w:rsidR="009755E5" w:rsidRPr="00F21672" w:rsidRDefault="009755E5" w:rsidP="009755E5">
      <w:pPr>
        <w:widowControl w:val="0"/>
        <w:autoSpaceDE w:val="0"/>
        <w:autoSpaceDN w:val="0"/>
        <w:spacing w:after="0"/>
        <w:jc w:val="both"/>
        <w:rPr>
          <w:rFonts w:ascii="Arial" w:hAnsi="Arial" w:cs="Arial"/>
          <w:b/>
          <w:sz w:val="20"/>
          <w:szCs w:val="20"/>
        </w:rPr>
      </w:pPr>
    </w:p>
    <w:p w:rsidR="00F21672" w:rsidRDefault="00F21672" w:rsidP="009755E5">
      <w:pPr>
        <w:spacing w:after="0"/>
        <w:jc w:val="both"/>
        <w:rPr>
          <w:rFonts w:ascii="Arial" w:hAnsi="Arial"/>
          <w:b/>
          <w:sz w:val="20"/>
          <w:szCs w:val="20"/>
        </w:rPr>
      </w:pPr>
      <w:r w:rsidRPr="00571B80">
        <w:rPr>
          <w:rFonts w:ascii="Arial" w:hAnsi="Arial"/>
          <w:b/>
          <w:sz w:val="20"/>
          <w:szCs w:val="20"/>
        </w:rPr>
        <w:t>Licitação. Serviços contínuos. Serviço de manutenção e reparos. Veículo. Justificativa. Intermediação.</w:t>
      </w:r>
    </w:p>
    <w:p w:rsidR="009755E5" w:rsidRPr="00571B80" w:rsidRDefault="009755E5" w:rsidP="009755E5">
      <w:pPr>
        <w:spacing w:after="0"/>
        <w:jc w:val="both"/>
        <w:rPr>
          <w:rFonts w:ascii="Arial" w:hAnsi="Arial" w:cs="Arial"/>
          <w:b/>
          <w:sz w:val="20"/>
          <w:szCs w:val="20"/>
        </w:rPr>
      </w:pPr>
    </w:p>
    <w:p w:rsidR="00F21672" w:rsidRDefault="00F21672" w:rsidP="009755E5">
      <w:pPr>
        <w:pStyle w:val="TCU-Epgrafe"/>
        <w:spacing w:line="276" w:lineRule="auto"/>
        <w:ind w:left="0"/>
        <w:rPr>
          <w:rFonts w:ascii="Arial" w:hAnsi="Arial"/>
          <w:sz w:val="20"/>
        </w:rPr>
      </w:pPr>
      <w:r w:rsidRPr="00F21672">
        <w:rPr>
          <w:rFonts w:ascii="Arial" w:hAnsi="Arial"/>
          <w:sz w:val="20"/>
        </w:rPr>
        <w:t>A adoção do modelo de quarteirização do serviço de manutenção da frota, por se encontrar no âmbito de discricionariedade do gestor, exige justificativa específica, elaborada com base em estudos técnicos, os quais demonstrem aspectos como a adequação, a eficiência e a economicidade de utilização do modelo, tudo devidamente registrado no documento de planejamento da contratação.</w:t>
      </w:r>
      <w:r>
        <w:rPr>
          <w:rFonts w:ascii="Arial" w:hAnsi="Arial"/>
          <w:sz w:val="20"/>
        </w:rPr>
        <w:t xml:space="preserve"> </w:t>
      </w:r>
    </w:p>
    <w:p w:rsidR="009755E5" w:rsidRDefault="009755E5" w:rsidP="009755E5">
      <w:pPr>
        <w:pStyle w:val="TCU-Epgrafe"/>
        <w:spacing w:line="276" w:lineRule="auto"/>
        <w:ind w:left="0"/>
        <w:rPr>
          <w:rFonts w:ascii="Arial" w:hAnsi="Arial"/>
          <w:sz w:val="20"/>
        </w:rPr>
      </w:pPr>
    </w:p>
    <w:p w:rsidR="00F21672" w:rsidRDefault="003F5096" w:rsidP="009755E5">
      <w:pPr>
        <w:pStyle w:val="TCU-Epgrafe"/>
        <w:spacing w:line="276" w:lineRule="auto"/>
        <w:ind w:left="0"/>
        <w:rPr>
          <w:rFonts w:ascii="Arial" w:hAnsi="Arial" w:cs="Arial"/>
          <w:sz w:val="20"/>
        </w:rPr>
      </w:pPr>
      <w:hyperlink r:id="rId23" w:history="1">
        <w:r w:rsidR="00F21672" w:rsidRPr="00F35F05">
          <w:rPr>
            <w:rStyle w:val="Hyperlink"/>
            <w:rFonts w:ascii="Arial" w:hAnsi="Arial" w:cs="Arial"/>
            <w:b/>
            <w:sz w:val="20"/>
          </w:rPr>
          <w:t>Acórdão 289/2018</w:t>
        </w:r>
        <w:r w:rsidR="00F35F05" w:rsidRPr="00F35F05">
          <w:rPr>
            <w:rStyle w:val="Hyperlink"/>
            <w:rFonts w:ascii="Arial" w:hAnsi="Arial" w:cs="Arial"/>
            <w:b/>
            <w:sz w:val="20"/>
          </w:rPr>
          <w:t xml:space="preserve"> -</w:t>
        </w:r>
        <w:r w:rsidR="00F21672" w:rsidRPr="00F35F05">
          <w:rPr>
            <w:rStyle w:val="Hyperlink"/>
            <w:rFonts w:ascii="Arial" w:hAnsi="Arial" w:cs="Arial"/>
            <w:b/>
            <w:sz w:val="20"/>
          </w:rPr>
          <w:t xml:space="preserve"> Primeira Câmara</w:t>
        </w:r>
      </w:hyperlink>
      <w:r w:rsidR="00F21672" w:rsidRPr="00612695">
        <w:rPr>
          <w:rFonts w:ascii="Arial" w:hAnsi="Arial" w:cs="Arial"/>
          <w:b/>
          <w:sz w:val="20"/>
        </w:rPr>
        <w:t xml:space="preserve"> </w:t>
      </w:r>
      <w:r w:rsidR="00F21672" w:rsidRPr="00612695">
        <w:rPr>
          <w:rFonts w:ascii="Arial" w:hAnsi="Arial" w:cs="Arial"/>
          <w:sz w:val="20"/>
        </w:rPr>
        <w:t xml:space="preserve">(Prestação de Contas, Relator Ministro-Substituto </w:t>
      </w:r>
      <w:proofErr w:type="spellStart"/>
      <w:r w:rsidR="00F21672" w:rsidRPr="00612695">
        <w:rPr>
          <w:rFonts w:ascii="Arial" w:hAnsi="Arial" w:cs="Arial"/>
          <w:sz w:val="20"/>
        </w:rPr>
        <w:t>Weder</w:t>
      </w:r>
      <w:proofErr w:type="spellEnd"/>
      <w:r w:rsidR="00F21672" w:rsidRPr="00612695">
        <w:rPr>
          <w:rFonts w:ascii="Arial" w:hAnsi="Arial" w:cs="Arial"/>
          <w:sz w:val="20"/>
        </w:rPr>
        <w:t xml:space="preserve"> de Oliveira)</w:t>
      </w:r>
    </w:p>
    <w:p w:rsidR="009755E5" w:rsidRPr="00612695" w:rsidRDefault="009755E5" w:rsidP="009755E5">
      <w:pPr>
        <w:pStyle w:val="TCU-Epgrafe"/>
        <w:spacing w:line="276" w:lineRule="auto"/>
        <w:ind w:left="0"/>
        <w:rPr>
          <w:rFonts w:ascii="Arial" w:hAnsi="Arial" w:cs="Arial"/>
          <w:b/>
          <w:sz w:val="20"/>
        </w:rPr>
      </w:pPr>
    </w:p>
    <w:p w:rsidR="00F21672" w:rsidRDefault="00F21672" w:rsidP="009755E5">
      <w:pPr>
        <w:spacing w:after="0"/>
        <w:jc w:val="both"/>
        <w:rPr>
          <w:rFonts w:ascii="Arial" w:hAnsi="Arial" w:cs="Arial"/>
          <w:b/>
          <w:sz w:val="20"/>
          <w:szCs w:val="20"/>
        </w:rPr>
      </w:pPr>
      <w:r w:rsidRPr="00F35F05">
        <w:rPr>
          <w:rFonts w:ascii="Arial" w:hAnsi="Arial" w:cs="Arial"/>
          <w:b/>
          <w:sz w:val="20"/>
          <w:szCs w:val="20"/>
        </w:rPr>
        <w:t>Gestão Administrativa. Controle interno (Administração Pública). Estrutura organizacional. Auditoria interna.</w:t>
      </w:r>
    </w:p>
    <w:p w:rsidR="009755E5" w:rsidRPr="00F35F05" w:rsidRDefault="009755E5" w:rsidP="009755E5">
      <w:pPr>
        <w:spacing w:after="0"/>
        <w:jc w:val="both"/>
        <w:rPr>
          <w:rFonts w:ascii="Arial" w:hAnsi="Arial" w:cs="Arial"/>
          <w:b/>
          <w:sz w:val="20"/>
          <w:szCs w:val="20"/>
        </w:rPr>
      </w:pPr>
    </w:p>
    <w:p w:rsidR="00574E1F" w:rsidRDefault="00F21672" w:rsidP="009755E5">
      <w:pPr>
        <w:pStyle w:val="TCU-Epgrafe"/>
        <w:spacing w:line="276" w:lineRule="auto"/>
        <w:ind w:left="0"/>
        <w:rPr>
          <w:rFonts w:ascii="Arial" w:hAnsi="Arial" w:cs="Arial"/>
          <w:sz w:val="20"/>
        </w:rPr>
      </w:pPr>
      <w:r w:rsidRPr="00612695">
        <w:rPr>
          <w:rFonts w:ascii="Arial" w:hAnsi="Arial" w:cs="Arial"/>
          <w:sz w:val="20"/>
        </w:rPr>
        <w:t xml:space="preserve">A unidade de auditoria interna deve estar vinculada à instância à qual cabem as deliberações finais em matéria administrativa, em observância às normas de auditoria interna e às boas práticas de governança nacionais e internacionais. </w:t>
      </w:r>
    </w:p>
    <w:p w:rsidR="009755E5" w:rsidRPr="00612695" w:rsidRDefault="009755E5" w:rsidP="009755E5">
      <w:pPr>
        <w:pStyle w:val="TCU-Epgrafe"/>
        <w:spacing w:line="276" w:lineRule="auto"/>
        <w:ind w:left="0"/>
        <w:rPr>
          <w:rFonts w:ascii="Arial" w:hAnsi="Arial" w:cs="Arial"/>
          <w:sz w:val="20"/>
        </w:rPr>
      </w:pPr>
    </w:p>
    <w:p w:rsidR="00F21672" w:rsidRDefault="003F5096" w:rsidP="009755E5">
      <w:pPr>
        <w:widowControl w:val="0"/>
        <w:autoSpaceDE w:val="0"/>
        <w:autoSpaceDN w:val="0"/>
        <w:spacing w:after="0"/>
        <w:jc w:val="both"/>
        <w:rPr>
          <w:rFonts w:ascii="Arial" w:hAnsi="Arial" w:cs="Arial"/>
          <w:sz w:val="20"/>
          <w:szCs w:val="20"/>
        </w:rPr>
      </w:pPr>
      <w:hyperlink r:id="rId24" w:history="1">
        <w:r w:rsidR="00F21672" w:rsidRPr="00E35708">
          <w:rPr>
            <w:rStyle w:val="Hyperlink"/>
            <w:rFonts w:ascii="Arial" w:hAnsi="Arial" w:cs="Arial"/>
            <w:b/>
            <w:sz w:val="20"/>
            <w:szCs w:val="20"/>
          </w:rPr>
          <w:t>Acórdão 120/2018</w:t>
        </w:r>
        <w:r w:rsidR="00E35708" w:rsidRPr="00E35708">
          <w:rPr>
            <w:rStyle w:val="Hyperlink"/>
            <w:rFonts w:ascii="Arial" w:hAnsi="Arial" w:cs="Arial"/>
            <w:b/>
            <w:sz w:val="20"/>
            <w:szCs w:val="20"/>
          </w:rPr>
          <w:t xml:space="preserve"> - </w:t>
        </w:r>
        <w:r w:rsidR="00F21672" w:rsidRPr="00E35708">
          <w:rPr>
            <w:rStyle w:val="Hyperlink"/>
            <w:rFonts w:ascii="Arial" w:hAnsi="Arial" w:cs="Arial"/>
            <w:b/>
            <w:sz w:val="20"/>
            <w:szCs w:val="20"/>
          </w:rPr>
          <w:t>Plenário</w:t>
        </w:r>
      </w:hyperlink>
      <w:r w:rsidR="00F21672" w:rsidRPr="00612695">
        <w:rPr>
          <w:rFonts w:ascii="Arial" w:hAnsi="Arial" w:cs="Arial"/>
          <w:b/>
          <w:sz w:val="20"/>
          <w:szCs w:val="20"/>
        </w:rPr>
        <w:t xml:space="preserve"> </w:t>
      </w:r>
      <w:r w:rsidR="00F21672" w:rsidRPr="00612695">
        <w:rPr>
          <w:rFonts w:ascii="Arial" w:hAnsi="Arial" w:cs="Arial"/>
          <w:sz w:val="20"/>
          <w:szCs w:val="20"/>
        </w:rPr>
        <w:t>(Representação, Relator Ministro Bruno Dantas)</w:t>
      </w:r>
    </w:p>
    <w:p w:rsidR="009755E5" w:rsidRPr="00612695" w:rsidRDefault="009755E5" w:rsidP="009755E5">
      <w:pPr>
        <w:widowControl w:val="0"/>
        <w:autoSpaceDE w:val="0"/>
        <w:autoSpaceDN w:val="0"/>
        <w:spacing w:after="0"/>
        <w:jc w:val="both"/>
        <w:rPr>
          <w:rFonts w:ascii="Arial" w:hAnsi="Arial" w:cs="Arial"/>
          <w:b/>
          <w:sz w:val="20"/>
          <w:szCs w:val="20"/>
        </w:rPr>
      </w:pPr>
    </w:p>
    <w:p w:rsidR="00F21672" w:rsidRPr="00D25529" w:rsidRDefault="00F21672" w:rsidP="009755E5">
      <w:pPr>
        <w:spacing w:after="0"/>
        <w:jc w:val="both"/>
        <w:rPr>
          <w:rFonts w:ascii="Arial" w:hAnsi="Arial" w:cs="Arial"/>
          <w:b/>
          <w:sz w:val="20"/>
          <w:szCs w:val="20"/>
        </w:rPr>
      </w:pPr>
      <w:r w:rsidRPr="00D25529">
        <w:rPr>
          <w:rFonts w:ascii="Arial" w:hAnsi="Arial" w:cs="Arial"/>
          <w:b/>
          <w:sz w:val="20"/>
          <w:szCs w:val="20"/>
        </w:rPr>
        <w:t>Contrato Administrativo. Prorrogação de contrato. Serviços contínuos. Preço de mercado.</w:t>
      </w:r>
    </w:p>
    <w:p w:rsidR="00F21672" w:rsidRDefault="00F21672" w:rsidP="009755E5">
      <w:pPr>
        <w:spacing w:after="0"/>
        <w:jc w:val="both"/>
        <w:rPr>
          <w:rFonts w:ascii="Arial" w:hAnsi="Arial" w:cs="Arial"/>
          <w:sz w:val="20"/>
          <w:szCs w:val="20"/>
        </w:rPr>
      </w:pPr>
      <w:r w:rsidRPr="00612695">
        <w:rPr>
          <w:rFonts w:ascii="Arial" w:hAnsi="Arial" w:cs="Arial"/>
          <w:sz w:val="20"/>
          <w:szCs w:val="20"/>
        </w:rPr>
        <w:t xml:space="preserve">A definição do preço de referência constitui etapa fundamental da prorrogação, uma vez que a manutenção de condições vantajosas para a Administração é requisito para prorrogação de contratos de prestação de serviços contínuos (art. 57, inciso II, da </w:t>
      </w:r>
      <w:hyperlink r:id="rId25" w:history="1">
        <w:hyperlink r:id="rId26" w:tgtFrame="_blank" w:history="1">
          <w:r w:rsidRPr="00612695">
            <w:rPr>
              <w:rStyle w:val="Hyperlink"/>
              <w:rFonts w:ascii="Arial" w:hAnsi="Arial" w:cs="Arial"/>
              <w:sz w:val="20"/>
              <w:szCs w:val="20"/>
            </w:rPr>
            <w:t>Lei 8.666/1993</w:t>
          </w:r>
        </w:hyperlink>
      </w:hyperlink>
      <w:r w:rsidRPr="00612695">
        <w:rPr>
          <w:rFonts w:ascii="Arial" w:hAnsi="Arial" w:cs="Arial"/>
          <w:sz w:val="20"/>
          <w:szCs w:val="20"/>
        </w:rPr>
        <w:t xml:space="preserve"> e art. 31, </w:t>
      </w:r>
      <w:r w:rsidRPr="00612695">
        <w:rPr>
          <w:rFonts w:ascii="Arial" w:hAnsi="Arial" w:cs="Arial"/>
          <w:i/>
          <w:sz w:val="20"/>
          <w:szCs w:val="20"/>
        </w:rPr>
        <w:t>caput</w:t>
      </w:r>
      <w:r w:rsidRPr="00612695">
        <w:rPr>
          <w:rFonts w:ascii="Arial" w:hAnsi="Arial" w:cs="Arial"/>
          <w:sz w:val="20"/>
          <w:szCs w:val="20"/>
        </w:rPr>
        <w:t xml:space="preserve">, da </w:t>
      </w:r>
      <w:hyperlink r:id="rId27" w:history="1">
        <w:r w:rsidRPr="00612695">
          <w:rPr>
            <w:rStyle w:val="Hyperlink"/>
            <w:rFonts w:ascii="Arial" w:hAnsi="Arial" w:cs="Arial"/>
            <w:color w:val="0000FF" w:themeColor="hyperlink"/>
            <w:sz w:val="20"/>
            <w:szCs w:val="20"/>
          </w:rPr>
          <w:t>Lei 13.303/2016</w:t>
        </w:r>
      </w:hyperlink>
      <w:r w:rsidRPr="00612695">
        <w:rPr>
          <w:rStyle w:val="Hyperlink"/>
          <w:rFonts w:ascii="Arial" w:hAnsi="Arial" w:cs="Arial"/>
          <w:color w:val="auto"/>
          <w:sz w:val="20"/>
          <w:szCs w:val="20"/>
        </w:rPr>
        <w:t>)</w:t>
      </w:r>
      <w:r w:rsidRPr="00612695">
        <w:rPr>
          <w:rFonts w:ascii="Arial" w:hAnsi="Arial" w:cs="Arial"/>
          <w:sz w:val="20"/>
          <w:szCs w:val="20"/>
        </w:rPr>
        <w:t>.</w:t>
      </w:r>
    </w:p>
    <w:p w:rsidR="009755E5" w:rsidRPr="00612695" w:rsidRDefault="009755E5" w:rsidP="009755E5">
      <w:pPr>
        <w:spacing w:after="0"/>
        <w:jc w:val="both"/>
        <w:rPr>
          <w:rFonts w:ascii="Arial" w:hAnsi="Arial" w:cs="Arial"/>
          <w:sz w:val="20"/>
          <w:szCs w:val="20"/>
        </w:rPr>
      </w:pPr>
    </w:p>
    <w:p w:rsidR="00612695" w:rsidRDefault="003F5096" w:rsidP="009755E5">
      <w:pPr>
        <w:widowControl w:val="0"/>
        <w:autoSpaceDE w:val="0"/>
        <w:autoSpaceDN w:val="0"/>
        <w:spacing w:after="0"/>
        <w:jc w:val="both"/>
        <w:rPr>
          <w:rFonts w:ascii="Arial" w:hAnsi="Arial" w:cs="Arial"/>
          <w:sz w:val="20"/>
          <w:szCs w:val="20"/>
        </w:rPr>
      </w:pPr>
      <w:hyperlink r:id="rId28" w:history="1">
        <w:r w:rsidR="00612695" w:rsidRPr="00AA1F19">
          <w:rPr>
            <w:rStyle w:val="Hyperlink"/>
            <w:rFonts w:ascii="Arial" w:hAnsi="Arial" w:cs="Arial"/>
            <w:b/>
            <w:sz w:val="20"/>
            <w:szCs w:val="20"/>
          </w:rPr>
          <w:t xml:space="preserve">Acórdão 170/2018 </w:t>
        </w:r>
        <w:r w:rsidR="00582098" w:rsidRPr="00AA1F19">
          <w:rPr>
            <w:rStyle w:val="Hyperlink"/>
            <w:rFonts w:ascii="Arial" w:hAnsi="Arial" w:cs="Arial"/>
            <w:b/>
            <w:sz w:val="20"/>
            <w:szCs w:val="20"/>
          </w:rPr>
          <w:t xml:space="preserve">- </w:t>
        </w:r>
        <w:r w:rsidR="00612695" w:rsidRPr="00AA1F19">
          <w:rPr>
            <w:rStyle w:val="Hyperlink"/>
            <w:rFonts w:ascii="Arial" w:hAnsi="Arial" w:cs="Arial"/>
            <w:b/>
            <w:sz w:val="20"/>
            <w:szCs w:val="20"/>
          </w:rPr>
          <w:t>Plenário</w:t>
        </w:r>
      </w:hyperlink>
      <w:r w:rsidR="00612695" w:rsidRPr="00612695">
        <w:rPr>
          <w:rFonts w:ascii="Arial" w:hAnsi="Arial" w:cs="Arial"/>
          <w:b/>
          <w:sz w:val="20"/>
          <w:szCs w:val="20"/>
        </w:rPr>
        <w:t xml:space="preserve"> </w:t>
      </w:r>
      <w:r w:rsidR="00612695" w:rsidRPr="00612695">
        <w:rPr>
          <w:rFonts w:ascii="Arial" w:hAnsi="Arial" w:cs="Arial"/>
          <w:sz w:val="20"/>
          <w:szCs w:val="20"/>
        </w:rPr>
        <w:t xml:space="preserve">(Auditoria, Relator Ministro Benjamin </w:t>
      </w:r>
      <w:proofErr w:type="spellStart"/>
      <w:r w:rsidR="00612695" w:rsidRPr="00612695">
        <w:rPr>
          <w:rFonts w:ascii="Arial" w:hAnsi="Arial" w:cs="Arial"/>
          <w:sz w:val="20"/>
          <w:szCs w:val="20"/>
        </w:rPr>
        <w:t>Zymler</w:t>
      </w:r>
      <w:proofErr w:type="spellEnd"/>
      <w:r w:rsidR="00612695" w:rsidRPr="00612695">
        <w:rPr>
          <w:rFonts w:ascii="Arial" w:hAnsi="Arial" w:cs="Arial"/>
          <w:sz w:val="20"/>
          <w:szCs w:val="20"/>
        </w:rPr>
        <w:t>)</w:t>
      </w:r>
    </w:p>
    <w:p w:rsidR="009755E5" w:rsidRPr="00612695" w:rsidRDefault="009755E5" w:rsidP="009755E5">
      <w:pPr>
        <w:widowControl w:val="0"/>
        <w:autoSpaceDE w:val="0"/>
        <w:autoSpaceDN w:val="0"/>
        <w:spacing w:after="0"/>
        <w:jc w:val="both"/>
        <w:rPr>
          <w:rFonts w:ascii="Arial" w:hAnsi="Arial" w:cs="Arial"/>
          <w:b/>
          <w:sz w:val="20"/>
          <w:szCs w:val="20"/>
        </w:rPr>
      </w:pPr>
    </w:p>
    <w:p w:rsidR="00612695" w:rsidRDefault="00612695" w:rsidP="009755E5">
      <w:pPr>
        <w:spacing w:after="0"/>
        <w:jc w:val="both"/>
        <w:rPr>
          <w:rFonts w:ascii="Arial" w:hAnsi="Arial" w:cs="Arial"/>
          <w:b/>
          <w:sz w:val="20"/>
          <w:szCs w:val="20"/>
        </w:rPr>
      </w:pPr>
      <w:r w:rsidRPr="00D25529">
        <w:rPr>
          <w:rFonts w:ascii="Arial" w:hAnsi="Arial" w:cs="Arial"/>
          <w:b/>
          <w:sz w:val="20"/>
          <w:szCs w:val="20"/>
        </w:rPr>
        <w:t>Licitação. Habilitação de licitante. Vistoria. Declaração. Substituição. Justificativa.</w:t>
      </w:r>
    </w:p>
    <w:p w:rsidR="009755E5" w:rsidRPr="00D25529" w:rsidRDefault="009755E5" w:rsidP="009755E5">
      <w:pPr>
        <w:spacing w:after="0"/>
        <w:jc w:val="both"/>
        <w:rPr>
          <w:rFonts w:ascii="Arial" w:hAnsi="Arial" w:cs="Arial"/>
          <w:b/>
          <w:sz w:val="20"/>
          <w:szCs w:val="20"/>
        </w:rPr>
      </w:pPr>
    </w:p>
    <w:p w:rsidR="000E11A6" w:rsidRDefault="00612695" w:rsidP="009755E5">
      <w:pPr>
        <w:pStyle w:val="TCU-Epgrafe"/>
        <w:spacing w:line="276" w:lineRule="auto"/>
        <w:ind w:left="0"/>
        <w:rPr>
          <w:rFonts w:ascii="Arial" w:hAnsi="Arial" w:cs="Arial"/>
          <w:sz w:val="20"/>
        </w:rPr>
      </w:pPr>
      <w:r w:rsidRPr="00612695">
        <w:rPr>
          <w:rFonts w:ascii="Arial" w:hAnsi="Arial" w:cs="Arial"/>
          <w:sz w:val="20"/>
        </w:rPr>
        <w:t>A vistoria ao local das obras somente deve ser exigida quando imprescindível para a perfeita compreensão do objeto e com a necessária justificativa da Administração nos autos do processo licitatório, podendo ser substituída pela apresentação de declaração de preposto da licitante de que possui pleno conhecimento do objeto. A visita deve ser compreendida como direito subjetivo da empresa licitante, não como obrigação imposta pela Administração.</w:t>
      </w:r>
      <w:r w:rsidR="000E11A6">
        <w:rPr>
          <w:rFonts w:ascii="Arial" w:hAnsi="Arial" w:cs="Arial"/>
          <w:sz w:val="20"/>
        </w:rPr>
        <w:t xml:space="preserve"> </w:t>
      </w:r>
    </w:p>
    <w:p w:rsidR="009755E5" w:rsidRDefault="009755E5" w:rsidP="009755E5">
      <w:pPr>
        <w:pStyle w:val="TCU-Epgrafe"/>
        <w:spacing w:line="276" w:lineRule="auto"/>
        <w:ind w:left="0"/>
        <w:rPr>
          <w:rFonts w:ascii="Arial" w:hAnsi="Arial" w:cs="Arial"/>
          <w:sz w:val="20"/>
        </w:rPr>
      </w:pPr>
    </w:p>
    <w:p w:rsidR="000E11A6" w:rsidRDefault="003F5096" w:rsidP="009755E5">
      <w:pPr>
        <w:pStyle w:val="TCU-Epgrafe"/>
        <w:spacing w:line="276" w:lineRule="auto"/>
        <w:ind w:left="0"/>
        <w:rPr>
          <w:rFonts w:ascii="Arial" w:hAnsi="Arial"/>
          <w:sz w:val="20"/>
        </w:rPr>
      </w:pPr>
      <w:hyperlink r:id="rId29" w:history="1">
        <w:r w:rsidR="000E11A6" w:rsidRPr="00347C94">
          <w:rPr>
            <w:rStyle w:val="Hyperlink"/>
            <w:rFonts w:ascii="Arial" w:hAnsi="Arial"/>
            <w:b/>
            <w:sz w:val="20"/>
          </w:rPr>
          <w:t>Acórdão 177/2018</w:t>
        </w:r>
        <w:r w:rsidR="00347C94" w:rsidRPr="00347C94">
          <w:rPr>
            <w:rStyle w:val="Hyperlink"/>
            <w:rFonts w:ascii="Arial" w:hAnsi="Arial"/>
            <w:b/>
            <w:sz w:val="20"/>
          </w:rPr>
          <w:t xml:space="preserve"> -</w:t>
        </w:r>
        <w:r w:rsidR="000E11A6" w:rsidRPr="00347C94">
          <w:rPr>
            <w:rStyle w:val="Hyperlink"/>
            <w:rFonts w:ascii="Arial" w:hAnsi="Arial"/>
            <w:b/>
            <w:sz w:val="20"/>
          </w:rPr>
          <w:t xml:space="preserve"> Plenário</w:t>
        </w:r>
      </w:hyperlink>
      <w:r w:rsidR="000E11A6" w:rsidRPr="000E11A6">
        <w:rPr>
          <w:rFonts w:ascii="Arial" w:hAnsi="Arial"/>
          <w:b/>
          <w:sz w:val="20"/>
        </w:rPr>
        <w:t xml:space="preserve"> </w:t>
      </w:r>
      <w:r w:rsidR="000E11A6" w:rsidRPr="000E11A6">
        <w:rPr>
          <w:rFonts w:ascii="Arial" w:hAnsi="Arial"/>
          <w:sz w:val="20"/>
        </w:rPr>
        <w:t>(Pedido de Reexame, Relator Ministro Aroldo Cedraz)</w:t>
      </w:r>
    </w:p>
    <w:p w:rsidR="009755E5" w:rsidRPr="000E11A6" w:rsidRDefault="009755E5" w:rsidP="009755E5">
      <w:pPr>
        <w:pStyle w:val="TCU-Epgrafe"/>
        <w:spacing w:line="276" w:lineRule="auto"/>
        <w:ind w:left="0"/>
        <w:rPr>
          <w:rFonts w:ascii="Arial" w:hAnsi="Arial" w:cs="Arial"/>
          <w:b/>
          <w:sz w:val="20"/>
        </w:rPr>
      </w:pPr>
    </w:p>
    <w:p w:rsidR="000E11A6" w:rsidRDefault="000E11A6" w:rsidP="009755E5">
      <w:pPr>
        <w:spacing w:after="0"/>
        <w:jc w:val="both"/>
        <w:rPr>
          <w:rFonts w:ascii="Arial" w:hAnsi="Arial"/>
          <w:b/>
          <w:sz w:val="20"/>
          <w:szCs w:val="20"/>
        </w:rPr>
      </w:pPr>
      <w:r w:rsidRPr="00D25529">
        <w:rPr>
          <w:rFonts w:ascii="Arial" w:hAnsi="Arial"/>
          <w:b/>
          <w:sz w:val="20"/>
          <w:szCs w:val="20"/>
        </w:rPr>
        <w:t>Responsabilidade. Determinação. Descumprimento. Natureza jurídica.</w:t>
      </w:r>
    </w:p>
    <w:p w:rsidR="009755E5" w:rsidRPr="00D25529" w:rsidRDefault="009755E5" w:rsidP="009755E5">
      <w:pPr>
        <w:spacing w:after="0"/>
        <w:jc w:val="both"/>
        <w:rPr>
          <w:rFonts w:ascii="Arial" w:hAnsi="Arial" w:cs="Arial"/>
          <w:b/>
          <w:sz w:val="20"/>
          <w:szCs w:val="20"/>
        </w:rPr>
      </w:pPr>
    </w:p>
    <w:p w:rsidR="000E11A6" w:rsidRPr="000E11A6" w:rsidRDefault="000E11A6" w:rsidP="009755E5">
      <w:pPr>
        <w:pStyle w:val="TCU-Epgrafe"/>
        <w:spacing w:line="276" w:lineRule="auto"/>
        <w:ind w:left="0"/>
        <w:rPr>
          <w:sz w:val="20"/>
        </w:rPr>
      </w:pPr>
      <w:r w:rsidRPr="000E11A6">
        <w:rPr>
          <w:rFonts w:ascii="Arial" w:hAnsi="Arial"/>
          <w:sz w:val="20"/>
        </w:rPr>
        <w:t>Ao assumir o cargo, compete ao gestor público inteirar-se das determinações expedidas pelo TCU afetas à sua área de atuação, arcando com a responsabilidade no caso de descumprimento, uma vez que as determinações do Tribunal não têm caráter pessoal (</w:t>
      </w:r>
      <w:proofErr w:type="spellStart"/>
      <w:r w:rsidRPr="000E11A6">
        <w:rPr>
          <w:rFonts w:ascii="Arial" w:hAnsi="Arial"/>
          <w:i/>
          <w:sz w:val="20"/>
        </w:rPr>
        <w:t>intuitu</w:t>
      </w:r>
      <w:proofErr w:type="spellEnd"/>
      <w:r w:rsidRPr="000E11A6">
        <w:rPr>
          <w:rFonts w:ascii="Arial" w:hAnsi="Arial"/>
          <w:i/>
          <w:sz w:val="20"/>
        </w:rPr>
        <w:t xml:space="preserve"> personae</w:t>
      </w:r>
      <w:r w:rsidRPr="000E11A6">
        <w:rPr>
          <w:rFonts w:ascii="Arial" w:hAnsi="Arial"/>
          <w:sz w:val="20"/>
        </w:rPr>
        <w:t>).</w:t>
      </w:r>
    </w:p>
    <w:p w:rsidR="00D20393" w:rsidRDefault="00D20393" w:rsidP="00543DF0">
      <w:pPr>
        <w:pStyle w:val="Default"/>
        <w:spacing w:after="200" w:line="276" w:lineRule="auto"/>
        <w:jc w:val="both"/>
        <w:rPr>
          <w:b/>
          <w:sz w:val="20"/>
          <w:szCs w:val="20"/>
        </w:rPr>
      </w:pPr>
    </w:p>
    <w:p w:rsidR="00543DF0" w:rsidRDefault="00543DF0" w:rsidP="00543DF0">
      <w:pPr>
        <w:pStyle w:val="Default"/>
        <w:spacing w:after="200" w:line="276" w:lineRule="auto"/>
        <w:jc w:val="both"/>
        <w:rPr>
          <w:b/>
          <w:sz w:val="20"/>
          <w:szCs w:val="20"/>
        </w:rPr>
      </w:pPr>
      <w:r>
        <w:rPr>
          <w:b/>
          <w:sz w:val="20"/>
          <w:szCs w:val="20"/>
        </w:rPr>
        <w:t xml:space="preserve">Acesse também: </w:t>
      </w:r>
    </w:p>
    <w:p w:rsidR="00270E2F" w:rsidRPr="00BC4C07" w:rsidRDefault="003F5096" w:rsidP="00270E2F">
      <w:pPr>
        <w:pStyle w:val="Default"/>
        <w:spacing w:line="276" w:lineRule="auto"/>
        <w:jc w:val="center"/>
        <w:rPr>
          <w:b/>
          <w:sz w:val="20"/>
          <w:szCs w:val="20"/>
        </w:rPr>
      </w:pPr>
      <w:hyperlink r:id="rId30" w:history="1">
        <w:r w:rsidR="00270E2F" w:rsidRPr="00BC4C07">
          <w:rPr>
            <w:rStyle w:val="Hyperlink"/>
            <w:b/>
            <w:sz w:val="20"/>
            <w:szCs w:val="20"/>
          </w:rPr>
          <w:t>Pesquisas Prontas</w:t>
        </w:r>
      </w:hyperlink>
    </w:p>
    <w:p w:rsidR="00270E2F" w:rsidRDefault="00270E2F" w:rsidP="00270E2F">
      <w:pPr>
        <w:pStyle w:val="Default"/>
        <w:spacing w:line="276" w:lineRule="auto"/>
        <w:jc w:val="center"/>
      </w:pPr>
    </w:p>
    <w:p w:rsidR="00270E2F" w:rsidRDefault="003F5096" w:rsidP="00270E2F">
      <w:pPr>
        <w:pStyle w:val="Default"/>
        <w:spacing w:line="276" w:lineRule="auto"/>
        <w:jc w:val="center"/>
        <w:rPr>
          <w:rStyle w:val="Hyperlink"/>
          <w:b/>
          <w:sz w:val="20"/>
          <w:szCs w:val="20"/>
        </w:rPr>
      </w:pPr>
      <w:hyperlink r:id="rId31" w:history="1">
        <w:r w:rsidR="00270E2F">
          <w:rPr>
            <w:rStyle w:val="Hyperlink"/>
            <w:b/>
            <w:sz w:val="20"/>
            <w:szCs w:val="20"/>
          </w:rPr>
          <w:t>Repercussão Geral do Supremo Tribunal Federal - STF e os Tribunais de Contas</w:t>
        </w:r>
      </w:hyperlink>
    </w:p>
    <w:p w:rsidR="00270E2F" w:rsidRPr="00DD265A" w:rsidRDefault="00270E2F" w:rsidP="00270E2F">
      <w:pPr>
        <w:pStyle w:val="Default"/>
        <w:spacing w:line="276" w:lineRule="auto"/>
        <w:jc w:val="center"/>
        <w:rPr>
          <w:rStyle w:val="Hyperlink"/>
          <w:b/>
          <w:sz w:val="20"/>
          <w:szCs w:val="20"/>
        </w:rPr>
      </w:pPr>
    </w:p>
    <w:p w:rsidR="002A00E8" w:rsidRPr="00DD265A" w:rsidRDefault="003F5096" w:rsidP="002A00E8">
      <w:pPr>
        <w:pStyle w:val="Default"/>
        <w:spacing w:line="276" w:lineRule="auto"/>
        <w:jc w:val="center"/>
        <w:rPr>
          <w:rStyle w:val="Hyperlink"/>
          <w:b/>
          <w:sz w:val="20"/>
          <w:szCs w:val="20"/>
        </w:rPr>
      </w:pPr>
      <w:hyperlink r:id="rId32" w:history="1">
        <w:r w:rsidR="002A00E8" w:rsidRPr="00DD265A">
          <w:rPr>
            <w:rStyle w:val="Hyperlink"/>
            <w:b/>
            <w:sz w:val="20"/>
            <w:szCs w:val="20"/>
          </w:rPr>
          <w:t>Revista Digital do Tribunal de Contas do Estado do Paraná - Edição n° 19</w:t>
        </w:r>
      </w:hyperlink>
    </w:p>
    <w:p w:rsidR="00270E2F" w:rsidRDefault="00270E2F" w:rsidP="00270E2F">
      <w:pPr>
        <w:pStyle w:val="TCU-Epgrafe"/>
        <w:spacing w:line="276" w:lineRule="auto"/>
        <w:ind w:left="0"/>
        <w:rPr>
          <w:sz w:val="22"/>
          <w:szCs w:val="22"/>
        </w:rPr>
      </w:pPr>
      <w:r w:rsidRPr="0022060B">
        <w:rPr>
          <w:rFonts w:ascii="Arial" w:hAnsi="Arial" w:cs="Arial"/>
          <w:noProof/>
          <w:sz w:val="20"/>
        </w:rPr>
        <mc:AlternateContent>
          <mc:Choice Requires="wps">
            <w:drawing>
              <wp:anchor distT="0" distB="0" distL="114300" distR="114300" simplePos="0" relativeHeight="251664896" behindDoc="0" locked="0" layoutInCell="1" allowOverlap="1" wp14:anchorId="63484C90" wp14:editId="67AE2BB8">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FBC0740" id="Conector reto 59"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rsidR="00DB558E" w:rsidRDefault="00DB558E" w:rsidP="00DB558E">
      <w:pPr>
        <w:spacing w:after="0"/>
        <w:jc w:val="center"/>
        <w:rPr>
          <w:rFonts w:ascii="Arial" w:hAnsi="Arial" w:cs="Arial"/>
          <w:b/>
          <w:sz w:val="20"/>
          <w:szCs w:val="20"/>
        </w:rPr>
      </w:pPr>
      <w:r>
        <w:rPr>
          <w:rStyle w:val="Hyperlink"/>
          <w:rFonts w:ascii="Arial" w:hAnsi="Arial" w:cs="Arial"/>
          <w:i/>
          <w:color w:val="000000" w:themeColor="text1"/>
          <w:sz w:val="20"/>
          <w:szCs w:val="20"/>
          <w:u w:val="none"/>
        </w:rPr>
        <w:t>Elaboração: Escola de Gestão Pública - Jurisprudência</w:t>
      </w:r>
    </w:p>
    <w:p w:rsidR="00DB558E" w:rsidRDefault="00DB558E" w:rsidP="00DB558E">
      <w:pPr>
        <w:widowControl w:val="0"/>
        <w:autoSpaceDE w:val="0"/>
        <w:autoSpaceDN w:val="0"/>
        <w:spacing w:after="0"/>
        <w:jc w:val="both"/>
        <w:rPr>
          <w:rFonts w:ascii="Arial" w:hAnsi="Arial" w:cs="Arial"/>
          <w:b/>
          <w:sz w:val="20"/>
          <w:szCs w:val="20"/>
        </w:rPr>
      </w:pPr>
    </w:p>
    <w:p w:rsidR="00E01524" w:rsidRPr="0022060B" w:rsidRDefault="00E01524" w:rsidP="00DB558E">
      <w:pPr>
        <w:pStyle w:val="TCU-Epgrafe"/>
        <w:spacing w:after="200" w:line="276" w:lineRule="auto"/>
        <w:ind w:left="0"/>
        <w:rPr>
          <w:rFonts w:ascii="Arial" w:hAnsi="Arial" w:cs="Arial"/>
          <w:b/>
          <w:sz w:val="20"/>
        </w:rPr>
      </w:pPr>
    </w:p>
    <w:sectPr w:rsidR="00E01524" w:rsidRPr="0022060B">
      <w:headerReference w:type="default" r:id="rId33"/>
      <w:footerReference w:type="default" r:id="rId3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7A9" w:rsidRDefault="009907A9" w:rsidP="00350CC2">
      <w:pPr>
        <w:spacing w:after="0" w:line="240" w:lineRule="auto"/>
      </w:pPr>
      <w:r>
        <w:separator/>
      </w:r>
    </w:p>
  </w:endnote>
  <w:endnote w:type="continuationSeparator" w:id="0">
    <w:p w:rsidR="009907A9" w:rsidRDefault="009907A9"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5DE" w:rsidRDefault="002245DE" w:rsidP="002245DE">
    <w:pPr>
      <w:pStyle w:val="Rodap"/>
      <w:jc w:val="center"/>
      <w:rPr>
        <w:sz w:val="16"/>
        <w:szCs w:val="16"/>
      </w:rPr>
    </w:pPr>
    <w:r>
      <w:rPr>
        <w:noProof/>
        <w:lang w:eastAsia="pt-BR"/>
      </w:rPr>
      <w:drawing>
        <wp:inline distT="0" distB="0" distL="0" distR="0" wp14:anchorId="4DD8E97D" wp14:editId="15823BC0">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7D3051">
      <w:rPr>
        <w:noProof/>
        <w:sz w:val="16"/>
        <w:szCs w:val="16"/>
      </w:rPr>
      <w:t>11</w:t>
    </w:r>
    <w:r w:rsidRPr="00722924">
      <w:rPr>
        <w:sz w:val="16"/>
        <w:szCs w:val="16"/>
      </w:rPr>
      <w:fldChar w:fldCharType="end"/>
    </w:r>
  </w:p>
  <w:p w:rsidR="00375DB6" w:rsidRDefault="00375DB6"/>
  <w:p w:rsidR="00375DB6" w:rsidRDefault="00375DB6"/>
  <w:p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7A9" w:rsidRDefault="009907A9" w:rsidP="00350CC2">
      <w:pPr>
        <w:spacing w:after="0" w:line="240" w:lineRule="auto"/>
      </w:pPr>
      <w:r>
        <w:separator/>
      </w:r>
    </w:p>
  </w:footnote>
  <w:footnote w:type="continuationSeparator" w:id="0">
    <w:p w:rsidR="009907A9" w:rsidRDefault="009907A9"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FD7" w:rsidRDefault="006A5FD7" w:rsidP="00F14CCC">
    <w:pPr>
      <w:pStyle w:val="Cabealho"/>
      <w:spacing w:after="100" w:afterAutospacing="1"/>
      <w:jc w:val="center"/>
      <w:rPr>
        <w:b/>
      </w:rPr>
    </w:pPr>
  </w:p>
  <w:p w:rsidR="006A5FD7" w:rsidRDefault="006A5FD7" w:rsidP="00F14CCC">
    <w:pPr>
      <w:pStyle w:val="Cabealho"/>
      <w:spacing w:after="100" w:afterAutospacing="1"/>
      <w:jc w:val="center"/>
      <w:rPr>
        <w:b/>
      </w:rPr>
    </w:pPr>
    <w:r>
      <w:rPr>
        <w:noProof/>
        <w:lang w:eastAsia="pt-BR"/>
      </w:rPr>
      <w:drawing>
        <wp:inline distT="0" distB="0" distL="0" distR="0" wp14:anchorId="460CA892" wp14:editId="6EABBF5B">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10D202F"/>
    <w:multiLevelType w:val="hybridMultilevel"/>
    <w:tmpl w:val="E9E4819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EAA1EFF"/>
    <w:multiLevelType w:val="hybridMultilevel"/>
    <w:tmpl w:val="F1D061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7"/>
  </w:num>
  <w:num w:numId="3">
    <w:abstractNumId w:val="10"/>
  </w:num>
  <w:num w:numId="4">
    <w:abstractNumId w:val="11"/>
  </w:num>
  <w:num w:numId="5">
    <w:abstractNumId w:val="12"/>
  </w:num>
  <w:num w:numId="6">
    <w:abstractNumId w:val="9"/>
  </w:num>
  <w:num w:numId="7">
    <w:abstractNumId w:val="0"/>
  </w:num>
  <w:num w:numId="8">
    <w:abstractNumId w:val="1"/>
  </w:num>
  <w:num w:numId="9">
    <w:abstractNumId w:val="6"/>
  </w:num>
  <w:num w:numId="10">
    <w:abstractNumId w:val="2"/>
  </w:num>
  <w:num w:numId="11">
    <w:abstractNumId w:val="3"/>
  </w:num>
  <w:num w:numId="12">
    <w:abstractNumId w:val="8"/>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282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505F"/>
    <w:rsid w:val="000078B5"/>
    <w:rsid w:val="00007F7A"/>
    <w:rsid w:val="00007FD0"/>
    <w:rsid w:val="00010B69"/>
    <w:rsid w:val="00010F88"/>
    <w:rsid w:val="0001200F"/>
    <w:rsid w:val="000126A0"/>
    <w:rsid w:val="00012CBB"/>
    <w:rsid w:val="00013691"/>
    <w:rsid w:val="00013840"/>
    <w:rsid w:val="00017EBA"/>
    <w:rsid w:val="00021B0A"/>
    <w:rsid w:val="00025971"/>
    <w:rsid w:val="000262AD"/>
    <w:rsid w:val="00027A03"/>
    <w:rsid w:val="00027FAB"/>
    <w:rsid w:val="000300F4"/>
    <w:rsid w:val="0003057F"/>
    <w:rsid w:val="00032A26"/>
    <w:rsid w:val="00033422"/>
    <w:rsid w:val="00033E69"/>
    <w:rsid w:val="00040EBA"/>
    <w:rsid w:val="00042502"/>
    <w:rsid w:val="00042DF3"/>
    <w:rsid w:val="000433EC"/>
    <w:rsid w:val="000439FD"/>
    <w:rsid w:val="00045700"/>
    <w:rsid w:val="00046191"/>
    <w:rsid w:val="00046E21"/>
    <w:rsid w:val="00047EF1"/>
    <w:rsid w:val="00052862"/>
    <w:rsid w:val="00053B72"/>
    <w:rsid w:val="00056686"/>
    <w:rsid w:val="00056E6F"/>
    <w:rsid w:val="000572CE"/>
    <w:rsid w:val="00057C37"/>
    <w:rsid w:val="000617CF"/>
    <w:rsid w:val="00062737"/>
    <w:rsid w:val="00067E01"/>
    <w:rsid w:val="00070009"/>
    <w:rsid w:val="00070B14"/>
    <w:rsid w:val="000713DD"/>
    <w:rsid w:val="00071DE3"/>
    <w:rsid w:val="0007200C"/>
    <w:rsid w:val="00073F9F"/>
    <w:rsid w:val="00074287"/>
    <w:rsid w:val="000747BF"/>
    <w:rsid w:val="00074FAB"/>
    <w:rsid w:val="000759E5"/>
    <w:rsid w:val="00076184"/>
    <w:rsid w:val="000800D1"/>
    <w:rsid w:val="00081051"/>
    <w:rsid w:val="0009260D"/>
    <w:rsid w:val="000926D4"/>
    <w:rsid w:val="00092E5D"/>
    <w:rsid w:val="0009482D"/>
    <w:rsid w:val="00095E34"/>
    <w:rsid w:val="0009711C"/>
    <w:rsid w:val="0009762F"/>
    <w:rsid w:val="00097B00"/>
    <w:rsid w:val="000A0748"/>
    <w:rsid w:val="000A0E48"/>
    <w:rsid w:val="000A29BE"/>
    <w:rsid w:val="000A3C2D"/>
    <w:rsid w:val="000A47FD"/>
    <w:rsid w:val="000A4EB6"/>
    <w:rsid w:val="000A5F01"/>
    <w:rsid w:val="000A71D1"/>
    <w:rsid w:val="000B11D2"/>
    <w:rsid w:val="000B1E10"/>
    <w:rsid w:val="000B2FD9"/>
    <w:rsid w:val="000B311A"/>
    <w:rsid w:val="000B31B6"/>
    <w:rsid w:val="000B47C0"/>
    <w:rsid w:val="000C2948"/>
    <w:rsid w:val="000C3582"/>
    <w:rsid w:val="000C4F73"/>
    <w:rsid w:val="000C5093"/>
    <w:rsid w:val="000C5460"/>
    <w:rsid w:val="000C5EB3"/>
    <w:rsid w:val="000C63BC"/>
    <w:rsid w:val="000C7D67"/>
    <w:rsid w:val="000D2D5B"/>
    <w:rsid w:val="000D357D"/>
    <w:rsid w:val="000D3F78"/>
    <w:rsid w:val="000D4DE6"/>
    <w:rsid w:val="000D6D01"/>
    <w:rsid w:val="000E11A6"/>
    <w:rsid w:val="000E300B"/>
    <w:rsid w:val="000E3ACE"/>
    <w:rsid w:val="000E3FC6"/>
    <w:rsid w:val="000E464B"/>
    <w:rsid w:val="000E5AC8"/>
    <w:rsid w:val="000F04ED"/>
    <w:rsid w:val="000F18DA"/>
    <w:rsid w:val="000F1FFA"/>
    <w:rsid w:val="000F314C"/>
    <w:rsid w:val="000F639D"/>
    <w:rsid w:val="000F7C1B"/>
    <w:rsid w:val="00100B9C"/>
    <w:rsid w:val="00106AA9"/>
    <w:rsid w:val="0011035F"/>
    <w:rsid w:val="00110517"/>
    <w:rsid w:val="00110BD6"/>
    <w:rsid w:val="001119DC"/>
    <w:rsid w:val="00111B86"/>
    <w:rsid w:val="00111C26"/>
    <w:rsid w:val="00112B60"/>
    <w:rsid w:val="00113EF1"/>
    <w:rsid w:val="00114B62"/>
    <w:rsid w:val="001159C9"/>
    <w:rsid w:val="00120862"/>
    <w:rsid w:val="0012211A"/>
    <w:rsid w:val="00122E13"/>
    <w:rsid w:val="00123709"/>
    <w:rsid w:val="00123D02"/>
    <w:rsid w:val="0012498C"/>
    <w:rsid w:val="00124A0F"/>
    <w:rsid w:val="00126447"/>
    <w:rsid w:val="00127DF2"/>
    <w:rsid w:val="00130717"/>
    <w:rsid w:val="0013298B"/>
    <w:rsid w:val="0013396B"/>
    <w:rsid w:val="001342E3"/>
    <w:rsid w:val="0013514C"/>
    <w:rsid w:val="0013583F"/>
    <w:rsid w:val="00135D5F"/>
    <w:rsid w:val="001411E6"/>
    <w:rsid w:val="001415BA"/>
    <w:rsid w:val="00142D10"/>
    <w:rsid w:val="00144712"/>
    <w:rsid w:val="001472C1"/>
    <w:rsid w:val="00150844"/>
    <w:rsid w:val="00151264"/>
    <w:rsid w:val="001529D8"/>
    <w:rsid w:val="00156185"/>
    <w:rsid w:val="00156F74"/>
    <w:rsid w:val="00157806"/>
    <w:rsid w:val="00157D64"/>
    <w:rsid w:val="0016028F"/>
    <w:rsid w:val="00161AA2"/>
    <w:rsid w:val="0016670D"/>
    <w:rsid w:val="00166A96"/>
    <w:rsid w:val="00170F9D"/>
    <w:rsid w:val="00171401"/>
    <w:rsid w:val="001720EB"/>
    <w:rsid w:val="00172248"/>
    <w:rsid w:val="0017455D"/>
    <w:rsid w:val="001770AF"/>
    <w:rsid w:val="001800A9"/>
    <w:rsid w:val="001823E7"/>
    <w:rsid w:val="0018272D"/>
    <w:rsid w:val="00190B94"/>
    <w:rsid w:val="00191162"/>
    <w:rsid w:val="001930D1"/>
    <w:rsid w:val="001942C5"/>
    <w:rsid w:val="00196437"/>
    <w:rsid w:val="001975AB"/>
    <w:rsid w:val="001A16DE"/>
    <w:rsid w:val="001A5D2D"/>
    <w:rsid w:val="001B096B"/>
    <w:rsid w:val="001B5B65"/>
    <w:rsid w:val="001B5F7A"/>
    <w:rsid w:val="001B6E08"/>
    <w:rsid w:val="001C0F23"/>
    <w:rsid w:val="001C46A8"/>
    <w:rsid w:val="001D0693"/>
    <w:rsid w:val="001D0DD1"/>
    <w:rsid w:val="001D4D9A"/>
    <w:rsid w:val="001D51BD"/>
    <w:rsid w:val="001D6665"/>
    <w:rsid w:val="001D684B"/>
    <w:rsid w:val="001D6ADC"/>
    <w:rsid w:val="001D7E4B"/>
    <w:rsid w:val="001E1817"/>
    <w:rsid w:val="001E2E5A"/>
    <w:rsid w:val="001E5F2E"/>
    <w:rsid w:val="001E6CAA"/>
    <w:rsid w:val="001E73FF"/>
    <w:rsid w:val="001F7A25"/>
    <w:rsid w:val="002013D1"/>
    <w:rsid w:val="0020195B"/>
    <w:rsid w:val="00202E6D"/>
    <w:rsid w:val="00202F4B"/>
    <w:rsid w:val="002036C8"/>
    <w:rsid w:val="002100EE"/>
    <w:rsid w:val="00211A49"/>
    <w:rsid w:val="00213BD0"/>
    <w:rsid w:val="002147AC"/>
    <w:rsid w:val="00215BFE"/>
    <w:rsid w:val="00215EF3"/>
    <w:rsid w:val="0022060B"/>
    <w:rsid w:val="00221D15"/>
    <w:rsid w:val="00222414"/>
    <w:rsid w:val="00223A59"/>
    <w:rsid w:val="00223F1C"/>
    <w:rsid w:val="002245DE"/>
    <w:rsid w:val="00224904"/>
    <w:rsid w:val="00232878"/>
    <w:rsid w:val="0023318C"/>
    <w:rsid w:val="00234AE0"/>
    <w:rsid w:val="00235F82"/>
    <w:rsid w:val="00237C21"/>
    <w:rsid w:val="0024200E"/>
    <w:rsid w:val="002426C3"/>
    <w:rsid w:val="00243D58"/>
    <w:rsid w:val="002450AA"/>
    <w:rsid w:val="002456AD"/>
    <w:rsid w:val="00245F7B"/>
    <w:rsid w:val="002478B9"/>
    <w:rsid w:val="00251273"/>
    <w:rsid w:val="00252A2A"/>
    <w:rsid w:val="00252AA5"/>
    <w:rsid w:val="00253ADA"/>
    <w:rsid w:val="00255360"/>
    <w:rsid w:val="00256A12"/>
    <w:rsid w:val="00256CEA"/>
    <w:rsid w:val="002571B4"/>
    <w:rsid w:val="00260758"/>
    <w:rsid w:val="00260D58"/>
    <w:rsid w:val="0026477F"/>
    <w:rsid w:val="00264F10"/>
    <w:rsid w:val="0026510B"/>
    <w:rsid w:val="002659BA"/>
    <w:rsid w:val="0026729F"/>
    <w:rsid w:val="00270E2F"/>
    <w:rsid w:val="00271154"/>
    <w:rsid w:val="00271655"/>
    <w:rsid w:val="002805F1"/>
    <w:rsid w:val="00280931"/>
    <w:rsid w:val="0028144E"/>
    <w:rsid w:val="00286EB4"/>
    <w:rsid w:val="002874A2"/>
    <w:rsid w:val="002921E2"/>
    <w:rsid w:val="0029566D"/>
    <w:rsid w:val="00295F4B"/>
    <w:rsid w:val="002A00AC"/>
    <w:rsid w:val="002A00E8"/>
    <w:rsid w:val="002A0792"/>
    <w:rsid w:val="002A09E4"/>
    <w:rsid w:val="002A1D5F"/>
    <w:rsid w:val="002A2E6C"/>
    <w:rsid w:val="002B070A"/>
    <w:rsid w:val="002B0F20"/>
    <w:rsid w:val="002B14B7"/>
    <w:rsid w:val="002B297F"/>
    <w:rsid w:val="002B38A8"/>
    <w:rsid w:val="002B5E9F"/>
    <w:rsid w:val="002B6BA0"/>
    <w:rsid w:val="002C05FF"/>
    <w:rsid w:val="002C19EA"/>
    <w:rsid w:val="002C3EA5"/>
    <w:rsid w:val="002C480F"/>
    <w:rsid w:val="002C56C9"/>
    <w:rsid w:val="002C7487"/>
    <w:rsid w:val="002D1923"/>
    <w:rsid w:val="002D48D1"/>
    <w:rsid w:val="002D5B56"/>
    <w:rsid w:val="002D6612"/>
    <w:rsid w:val="002D6896"/>
    <w:rsid w:val="002D7650"/>
    <w:rsid w:val="002E09B1"/>
    <w:rsid w:val="002E0A60"/>
    <w:rsid w:val="002E4277"/>
    <w:rsid w:val="002E5303"/>
    <w:rsid w:val="002E6626"/>
    <w:rsid w:val="002E72FA"/>
    <w:rsid w:val="002E7DFF"/>
    <w:rsid w:val="002F0BE9"/>
    <w:rsid w:val="002F13A0"/>
    <w:rsid w:val="002F1634"/>
    <w:rsid w:val="002F1848"/>
    <w:rsid w:val="002F1D70"/>
    <w:rsid w:val="002F22FA"/>
    <w:rsid w:val="002F73BA"/>
    <w:rsid w:val="003005B3"/>
    <w:rsid w:val="0030165B"/>
    <w:rsid w:val="00302340"/>
    <w:rsid w:val="00303C9C"/>
    <w:rsid w:val="00304404"/>
    <w:rsid w:val="00305A67"/>
    <w:rsid w:val="00306B80"/>
    <w:rsid w:val="00307038"/>
    <w:rsid w:val="00313238"/>
    <w:rsid w:val="003132BE"/>
    <w:rsid w:val="00320577"/>
    <w:rsid w:val="0032266D"/>
    <w:rsid w:val="00325E2F"/>
    <w:rsid w:val="003265DB"/>
    <w:rsid w:val="003269A9"/>
    <w:rsid w:val="00327DF9"/>
    <w:rsid w:val="0033073E"/>
    <w:rsid w:val="00331533"/>
    <w:rsid w:val="0033240F"/>
    <w:rsid w:val="00333875"/>
    <w:rsid w:val="0033604C"/>
    <w:rsid w:val="00337951"/>
    <w:rsid w:val="003407F0"/>
    <w:rsid w:val="00343C28"/>
    <w:rsid w:val="00344A3D"/>
    <w:rsid w:val="00344A41"/>
    <w:rsid w:val="0034575E"/>
    <w:rsid w:val="00345C65"/>
    <w:rsid w:val="00347C94"/>
    <w:rsid w:val="00350CC2"/>
    <w:rsid w:val="00351206"/>
    <w:rsid w:val="0035203F"/>
    <w:rsid w:val="003528A1"/>
    <w:rsid w:val="00352A72"/>
    <w:rsid w:val="0035371B"/>
    <w:rsid w:val="00353EF6"/>
    <w:rsid w:val="00353FEB"/>
    <w:rsid w:val="00356987"/>
    <w:rsid w:val="00356FB0"/>
    <w:rsid w:val="00361DA5"/>
    <w:rsid w:val="00361F1D"/>
    <w:rsid w:val="00364392"/>
    <w:rsid w:val="00365E61"/>
    <w:rsid w:val="00365EFF"/>
    <w:rsid w:val="00365F51"/>
    <w:rsid w:val="00375692"/>
    <w:rsid w:val="00375DB6"/>
    <w:rsid w:val="0038012F"/>
    <w:rsid w:val="00380BAB"/>
    <w:rsid w:val="00381A0E"/>
    <w:rsid w:val="0038751C"/>
    <w:rsid w:val="0038778B"/>
    <w:rsid w:val="00394451"/>
    <w:rsid w:val="0039584A"/>
    <w:rsid w:val="0039625A"/>
    <w:rsid w:val="00396E93"/>
    <w:rsid w:val="003A4828"/>
    <w:rsid w:val="003A64CB"/>
    <w:rsid w:val="003A6622"/>
    <w:rsid w:val="003A673F"/>
    <w:rsid w:val="003B145D"/>
    <w:rsid w:val="003B4678"/>
    <w:rsid w:val="003B4F77"/>
    <w:rsid w:val="003B502C"/>
    <w:rsid w:val="003C6B35"/>
    <w:rsid w:val="003C7C21"/>
    <w:rsid w:val="003D1C4D"/>
    <w:rsid w:val="003D650C"/>
    <w:rsid w:val="003D6713"/>
    <w:rsid w:val="003D6E90"/>
    <w:rsid w:val="003D7C37"/>
    <w:rsid w:val="003E110D"/>
    <w:rsid w:val="003E3529"/>
    <w:rsid w:val="003E3D02"/>
    <w:rsid w:val="003E3E6A"/>
    <w:rsid w:val="003E55BC"/>
    <w:rsid w:val="003E6EAF"/>
    <w:rsid w:val="003F0088"/>
    <w:rsid w:val="003F03C6"/>
    <w:rsid w:val="003F116C"/>
    <w:rsid w:val="003F2DDE"/>
    <w:rsid w:val="003F314F"/>
    <w:rsid w:val="003F4721"/>
    <w:rsid w:val="003F5060"/>
    <w:rsid w:val="003F5096"/>
    <w:rsid w:val="003F5829"/>
    <w:rsid w:val="003F63DA"/>
    <w:rsid w:val="003F677C"/>
    <w:rsid w:val="003F7090"/>
    <w:rsid w:val="00401EE0"/>
    <w:rsid w:val="004043AD"/>
    <w:rsid w:val="00405A6A"/>
    <w:rsid w:val="00406D2C"/>
    <w:rsid w:val="00407537"/>
    <w:rsid w:val="0041120A"/>
    <w:rsid w:val="00411935"/>
    <w:rsid w:val="0041337A"/>
    <w:rsid w:val="00416A72"/>
    <w:rsid w:val="00420AE1"/>
    <w:rsid w:val="0042728A"/>
    <w:rsid w:val="004276DC"/>
    <w:rsid w:val="0042779B"/>
    <w:rsid w:val="0043291F"/>
    <w:rsid w:val="00434347"/>
    <w:rsid w:val="004371F9"/>
    <w:rsid w:val="0043728E"/>
    <w:rsid w:val="00437541"/>
    <w:rsid w:val="00441D38"/>
    <w:rsid w:val="00441E59"/>
    <w:rsid w:val="004429A2"/>
    <w:rsid w:val="00442CB7"/>
    <w:rsid w:val="00443CA1"/>
    <w:rsid w:val="00443D26"/>
    <w:rsid w:val="00444C25"/>
    <w:rsid w:val="0044532C"/>
    <w:rsid w:val="00447BB2"/>
    <w:rsid w:val="004527ED"/>
    <w:rsid w:val="00455387"/>
    <w:rsid w:val="00455AAB"/>
    <w:rsid w:val="00457317"/>
    <w:rsid w:val="004611E1"/>
    <w:rsid w:val="0046165B"/>
    <w:rsid w:val="00462460"/>
    <w:rsid w:val="004624E9"/>
    <w:rsid w:val="00462A13"/>
    <w:rsid w:val="00462F2A"/>
    <w:rsid w:val="00463986"/>
    <w:rsid w:val="00463AC5"/>
    <w:rsid w:val="00463BA8"/>
    <w:rsid w:val="004641AA"/>
    <w:rsid w:val="00464835"/>
    <w:rsid w:val="004654D3"/>
    <w:rsid w:val="00470218"/>
    <w:rsid w:val="0047186A"/>
    <w:rsid w:val="00471B9D"/>
    <w:rsid w:val="0047206A"/>
    <w:rsid w:val="00474978"/>
    <w:rsid w:val="0047499A"/>
    <w:rsid w:val="00474C78"/>
    <w:rsid w:val="00475AAE"/>
    <w:rsid w:val="00480934"/>
    <w:rsid w:val="0048130C"/>
    <w:rsid w:val="00482FA5"/>
    <w:rsid w:val="00484E6E"/>
    <w:rsid w:val="00485819"/>
    <w:rsid w:val="00487D31"/>
    <w:rsid w:val="00490000"/>
    <w:rsid w:val="00491EDE"/>
    <w:rsid w:val="00491F60"/>
    <w:rsid w:val="00492026"/>
    <w:rsid w:val="004920C5"/>
    <w:rsid w:val="004927D6"/>
    <w:rsid w:val="00492E16"/>
    <w:rsid w:val="004949D1"/>
    <w:rsid w:val="00494AE3"/>
    <w:rsid w:val="00494C04"/>
    <w:rsid w:val="0049557F"/>
    <w:rsid w:val="004965C3"/>
    <w:rsid w:val="00497639"/>
    <w:rsid w:val="004A0574"/>
    <w:rsid w:val="004A0A41"/>
    <w:rsid w:val="004A22CF"/>
    <w:rsid w:val="004A2D7A"/>
    <w:rsid w:val="004A5804"/>
    <w:rsid w:val="004A794E"/>
    <w:rsid w:val="004B142E"/>
    <w:rsid w:val="004B3D26"/>
    <w:rsid w:val="004B44C1"/>
    <w:rsid w:val="004B623F"/>
    <w:rsid w:val="004B6EA7"/>
    <w:rsid w:val="004C11DE"/>
    <w:rsid w:val="004C13DB"/>
    <w:rsid w:val="004C1E94"/>
    <w:rsid w:val="004D00EF"/>
    <w:rsid w:val="004D14AD"/>
    <w:rsid w:val="004D376C"/>
    <w:rsid w:val="004D3864"/>
    <w:rsid w:val="004D58CD"/>
    <w:rsid w:val="004D5EEF"/>
    <w:rsid w:val="004D75B0"/>
    <w:rsid w:val="004D7DC5"/>
    <w:rsid w:val="004E109A"/>
    <w:rsid w:val="004E3B94"/>
    <w:rsid w:val="004E6410"/>
    <w:rsid w:val="004E7C93"/>
    <w:rsid w:val="004F3C8F"/>
    <w:rsid w:val="00500939"/>
    <w:rsid w:val="00501FC7"/>
    <w:rsid w:val="005025F4"/>
    <w:rsid w:val="00502AAF"/>
    <w:rsid w:val="005067E0"/>
    <w:rsid w:val="00510B62"/>
    <w:rsid w:val="00511F85"/>
    <w:rsid w:val="005140C7"/>
    <w:rsid w:val="00516673"/>
    <w:rsid w:val="00517B69"/>
    <w:rsid w:val="00520368"/>
    <w:rsid w:val="00523227"/>
    <w:rsid w:val="00523246"/>
    <w:rsid w:val="005237FD"/>
    <w:rsid w:val="005246B4"/>
    <w:rsid w:val="00525F8B"/>
    <w:rsid w:val="0052651B"/>
    <w:rsid w:val="00530F1E"/>
    <w:rsid w:val="00532F0D"/>
    <w:rsid w:val="00533C06"/>
    <w:rsid w:val="00533E30"/>
    <w:rsid w:val="0053401E"/>
    <w:rsid w:val="00535AAB"/>
    <w:rsid w:val="00540220"/>
    <w:rsid w:val="00540B8E"/>
    <w:rsid w:val="00542636"/>
    <w:rsid w:val="00543DF0"/>
    <w:rsid w:val="00544AB5"/>
    <w:rsid w:val="00546D89"/>
    <w:rsid w:val="00547AFC"/>
    <w:rsid w:val="0055022A"/>
    <w:rsid w:val="005503E5"/>
    <w:rsid w:val="005513B0"/>
    <w:rsid w:val="00556F73"/>
    <w:rsid w:val="005576BE"/>
    <w:rsid w:val="005603B3"/>
    <w:rsid w:val="00561787"/>
    <w:rsid w:val="0056193C"/>
    <w:rsid w:val="00561EF9"/>
    <w:rsid w:val="005650CD"/>
    <w:rsid w:val="00566AE8"/>
    <w:rsid w:val="005670EC"/>
    <w:rsid w:val="00567328"/>
    <w:rsid w:val="005706D5"/>
    <w:rsid w:val="00571B80"/>
    <w:rsid w:val="005728BC"/>
    <w:rsid w:val="00573F1D"/>
    <w:rsid w:val="0057421A"/>
    <w:rsid w:val="00574E1F"/>
    <w:rsid w:val="005759E4"/>
    <w:rsid w:val="00575AE8"/>
    <w:rsid w:val="00575E1D"/>
    <w:rsid w:val="00576089"/>
    <w:rsid w:val="005819D2"/>
    <w:rsid w:val="00582098"/>
    <w:rsid w:val="00582374"/>
    <w:rsid w:val="00582DF8"/>
    <w:rsid w:val="00583800"/>
    <w:rsid w:val="00584BC6"/>
    <w:rsid w:val="0058559D"/>
    <w:rsid w:val="005856F2"/>
    <w:rsid w:val="00585A3B"/>
    <w:rsid w:val="00586D7A"/>
    <w:rsid w:val="00590FA0"/>
    <w:rsid w:val="00593EFC"/>
    <w:rsid w:val="00594F73"/>
    <w:rsid w:val="0059537A"/>
    <w:rsid w:val="005957D1"/>
    <w:rsid w:val="00597215"/>
    <w:rsid w:val="005A0FD0"/>
    <w:rsid w:val="005A132B"/>
    <w:rsid w:val="005A1468"/>
    <w:rsid w:val="005A4536"/>
    <w:rsid w:val="005A5AF2"/>
    <w:rsid w:val="005A742F"/>
    <w:rsid w:val="005A7C78"/>
    <w:rsid w:val="005B4F6C"/>
    <w:rsid w:val="005B7055"/>
    <w:rsid w:val="005C4763"/>
    <w:rsid w:val="005C4DB7"/>
    <w:rsid w:val="005C5DC8"/>
    <w:rsid w:val="005C661E"/>
    <w:rsid w:val="005C7258"/>
    <w:rsid w:val="005D09DC"/>
    <w:rsid w:val="005D1E9E"/>
    <w:rsid w:val="005D48C8"/>
    <w:rsid w:val="005D58CE"/>
    <w:rsid w:val="005D6DB4"/>
    <w:rsid w:val="005E2760"/>
    <w:rsid w:val="005E2D13"/>
    <w:rsid w:val="005E350B"/>
    <w:rsid w:val="005E4648"/>
    <w:rsid w:val="005E6068"/>
    <w:rsid w:val="005E64B3"/>
    <w:rsid w:val="005E6A47"/>
    <w:rsid w:val="005F03A4"/>
    <w:rsid w:val="005F0C51"/>
    <w:rsid w:val="005F16DB"/>
    <w:rsid w:val="005F17B2"/>
    <w:rsid w:val="005F2BB5"/>
    <w:rsid w:val="005F3A96"/>
    <w:rsid w:val="005F43F3"/>
    <w:rsid w:val="005F4DBF"/>
    <w:rsid w:val="005F58C1"/>
    <w:rsid w:val="005F66CC"/>
    <w:rsid w:val="005F68E8"/>
    <w:rsid w:val="005F7DEC"/>
    <w:rsid w:val="005F7E35"/>
    <w:rsid w:val="00600AA5"/>
    <w:rsid w:val="0060126D"/>
    <w:rsid w:val="0060146A"/>
    <w:rsid w:val="00601974"/>
    <w:rsid w:val="00601CE8"/>
    <w:rsid w:val="00602DA5"/>
    <w:rsid w:val="006045AF"/>
    <w:rsid w:val="00606B1E"/>
    <w:rsid w:val="006105E3"/>
    <w:rsid w:val="00610F00"/>
    <w:rsid w:val="006115E2"/>
    <w:rsid w:val="00612695"/>
    <w:rsid w:val="00613D08"/>
    <w:rsid w:val="0061491F"/>
    <w:rsid w:val="00615FC7"/>
    <w:rsid w:val="00620DEF"/>
    <w:rsid w:val="0062204C"/>
    <w:rsid w:val="00623188"/>
    <w:rsid w:val="00626DD6"/>
    <w:rsid w:val="0062719D"/>
    <w:rsid w:val="00627FDF"/>
    <w:rsid w:val="00630296"/>
    <w:rsid w:val="006331E3"/>
    <w:rsid w:val="00633776"/>
    <w:rsid w:val="00633C62"/>
    <w:rsid w:val="006361F0"/>
    <w:rsid w:val="006372A4"/>
    <w:rsid w:val="006375ED"/>
    <w:rsid w:val="0064029E"/>
    <w:rsid w:val="00640861"/>
    <w:rsid w:val="00640A36"/>
    <w:rsid w:val="00640BDC"/>
    <w:rsid w:val="00646004"/>
    <w:rsid w:val="00646AD1"/>
    <w:rsid w:val="006473BA"/>
    <w:rsid w:val="00650E4E"/>
    <w:rsid w:val="00654D9D"/>
    <w:rsid w:val="00660C02"/>
    <w:rsid w:val="0066104E"/>
    <w:rsid w:val="0066130F"/>
    <w:rsid w:val="006641F4"/>
    <w:rsid w:val="006645D9"/>
    <w:rsid w:val="00665560"/>
    <w:rsid w:val="00665EBC"/>
    <w:rsid w:val="00667637"/>
    <w:rsid w:val="00667BE8"/>
    <w:rsid w:val="0067150D"/>
    <w:rsid w:val="00673A29"/>
    <w:rsid w:val="00673AD9"/>
    <w:rsid w:val="006766F4"/>
    <w:rsid w:val="006777B6"/>
    <w:rsid w:val="00681341"/>
    <w:rsid w:val="00681787"/>
    <w:rsid w:val="0068250F"/>
    <w:rsid w:val="00685904"/>
    <w:rsid w:val="00685FFE"/>
    <w:rsid w:val="00686729"/>
    <w:rsid w:val="00686CAC"/>
    <w:rsid w:val="00686D5A"/>
    <w:rsid w:val="00687871"/>
    <w:rsid w:val="00693247"/>
    <w:rsid w:val="0069336E"/>
    <w:rsid w:val="00694174"/>
    <w:rsid w:val="00697D60"/>
    <w:rsid w:val="006A27BC"/>
    <w:rsid w:val="006A27D6"/>
    <w:rsid w:val="006A3A42"/>
    <w:rsid w:val="006A41B4"/>
    <w:rsid w:val="006A5FD7"/>
    <w:rsid w:val="006A62B0"/>
    <w:rsid w:val="006B143E"/>
    <w:rsid w:val="006B30E3"/>
    <w:rsid w:val="006B5E72"/>
    <w:rsid w:val="006B6205"/>
    <w:rsid w:val="006C058F"/>
    <w:rsid w:val="006C3252"/>
    <w:rsid w:val="006C4EE6"/>
    <w:rsid w:val="006C7A04"/>
    <w:rsid w:val="006D158F"/>
    <w:rsid w:val="006D1B83"/>
    <w:rsid w:val="006D1BE7"/>
    <w:rsid w:val="006D5C98"/>
    <w:rsid w:val="006D6FCC"/>
    <w:rsid w:val="006E0A9F"/>
    <w:rsid w:val="006E12D5"/>
    <w:rsid w:val="006E26E8"/>
    <w:rsid w:val="006E4493"/>
    <w:rsid w:val="006E76B0"/>
    <w:rsid w:val="006F08D4"/>
    <w:rsid w:val="006F3318"/>
    <w:rsid w:val="006F39CF"/>
    <w:rsid w:val="006F4894"/>
    <w:rsid w:val="006F58F5"/>
    <w:rsid w:val="006F676D"/>
    <w:rsid w:val="00700672"/>
    <w:rsid w:val="00701319"/>
    <w:rsid w:val="00701A95"/>
    <w:rsid w:val="00702F7C"/>
    <w:rsid w:val="00706127"/>
    <w:rsid w:val="007077CD"/>
    <w:rsid w:val="00712A93"/>
    <w:rsid w:val="00714CF1"/>
    <w:rsid w:val="007156A5"/>
    <w:rsid w:val="00715CEB"/>
    <w:rsid w:val="00717A58"/>
    <w:rsid w:val="00722924"/>
    <w:rsid w:val="00723D30"/>
    <w:rsid w:val="00723F1A"/>
    <w:rsid w:val="0072609A"/>
    <w:rsid w:val="00726974"/>
    <w:rsid w:val="007306BB"/>
    <w:rsid w:val="007319AD"/>
    <w:rsid w:val="00732257"/>
    <w:rsid w:val="00740240"/>
    <w:rsid w:val="0074037C"/>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3BFA"/>
    <w:rsid w:val="00754C7E"/>
    <w:rsid w:val="007557BC"/>
    <w:rsid w:val="007608F0"/>
    <w:rsid w:val="00762976"/>
    <w:rsid w:val="00766752"/>
    <w:rsid w:val="00766834"/>
    <w:rsid w:val="00766EC7"/>
    <w:rsid w:val="0077082D"/>
    <w:rsid w:val="0077181C"/>
    <w:rsid w:val="00771AF0"/>
    <w:rsid w:val="0077499E"/>
    <w:rsid w:val="0077508F"/>
    <w:rsid w:val="007752E2"/>
    <w:rsid w:val="00781F5F"/>
    <w:rsid w:val="00783479"/>
    <w:rsid w:val="00783696"/>
    <w:rsid w:val="00783D3E"/>
    <w:rsid w:val="00784B5D"/>
    <w:rsid w:val="00784D7B"/>
    <w:rsid w:val="00785DB0"/>
    <w:rsid w:val="00791384"/>
    <w:rsid w:val="00791D74"/>
    <w:rsid w:val="00791E5B"/>
    <w:rsid w:val="007931D7"/>
    <w:rsid w:val="007949B4"/>
    <w:rsid w:val="0079708B"/>
    <w:rsid w:val="0079779E"/>
    <w:rsid w:val="007A5B22"/>
    <w:rsid w:val="007A6DC9"/>
    <w:rsid w:val="007A71B5"/>
    <w:rsid w:val="007A797E"/>
    <w:rsid w:val="007A7C35"/>
    <w:rsid w:val="007B1216"/>
    <w:rsid w:val="007B255F"/>
    <w:rsid w:val="007B55C5"/>
    <w:rsid w:val="007C0579"/>
    <w:rsid w:val="007C0E7E"/>
    <w:rsid w:val="007C10CC"/>
    <w:rsid w:val="007C250E"/>
    <w:rsid w:val="007C2CD7"/>
    <w:rsid w:val="007D009C"/>
    <w:rsid w:val="007D15DB"/>
    <w:rsid w:val="007D2162"/>
    <w:rsid w:val="007D3051"/>
    <w:rsid w:val="007D3ABB"/>
    <w:rsid w:val="007D5A53"/>
    <w:rsid w:val="007D62D9"/>
    <w:rsid w:val="007D73C9"/>
    <w:rsid w:val="007E1FB4"/>
    <w:rsid w:val="007E2269"/>
    <w:rsid w:val="007E28C1"/>
    <w:rsid w:val="007E51C9"/>
    <w:rsid w:val="007E5301"/>
    <w:rsid w:val="007E5649"/>
    <w:rsid w:val="007F0840"/>
    <w:rsid w:val="007F2086"/>
    <w:rsid w:val="007F67A7"/>
    <w:rsid w:val="007F6F0A"/>
    <w:rsid w:val="00800773"/>
    <w:rsid w:val="00801004"/>
    <w:rsid w:val="0080111C"/>
    <w:rsid w:val="00801EFD"/>
    <w:rsid w:val="008058BC"/>
    <w:rsid w:val="00806D7C"/>
    <w:rsid w:val="00807854"/>
    <w:rsid w:val="00811012"/>
    <w:rsid w:val="00811A90"/>
    <w:rsid w:val="00813846"/>
    <w:rsid w:val="00814325"/>
    <w:rsid w:val="00815C4F"/>
    <w:rsid w:val="008161C2"/>
    <w:rsid w:val="00816942"/>
    <w:rsid w:val="00817006"/>
    <w:rsid w:val="0081738B"/>
    <w:rsid w:val="0082026A"/>
    <w:rsid w:val="008219BA"/>
    <w:rsid w:val="00824136"/>
    <w:rsid w:val="00826075"/>
    <w:rsid w:val="008267CA"/>
    <w:rsid w:val="00826A19"/>
    <w:rsid w:val="008312D4"/>
    <w:rsid w:val="008317C8"/>
    <w:rsid w:val="00831915"/>
    <w:rsid w:val="0083305B"/>
    <w:rsid w:val="00834578"/>
    <w:rsid w:val="0083648B"/>
    <w:rsid w:val="00836500"/>
    <w:rsid w:val="00841EAB"/>
    <w:rsid w:val="00844977"/>
    <w:rsid w:val="00844B97"/>
    <w:rsid w:val="00845BB4"/>
    <w:rsid w:val="008464F9"/>
    <w:rsid w:val="00847302"/>
    <w:rsid w:val="00847BF3"/>
    <w:rsid w:val="00852A15"/>
    <w:rsid w:val="00853D0B"/>
    <w:rsid w:val="00854B16"/>
    <w:rsid w:val="00854BCA"/>
    <w:rsid w:val="00855A43"/>
    <w:rsid w:val="008561BF"/>
    <w:rsid w:val="00861E25"/>
    <w:rsid w:val="008633B6"/>
    <w:rsid w:val="00865D2B"/>
    <w:rsid w:val="00866481"/>
    <w:rsid w:val="0087076A"/>
    <w:rsid w:val="00870853"/>
    <w:rsid w:val="008731E4"/>
    <w:rsid w:val="008745D6"/>
    <w:rsid w:val="00874DCA"/>
    <w:rsid w:val="00875D64"/>
    <w:rsid w:val="00875E32"/>
    <w:rsid w:val="0087668E"/>
    <w:rsid w:val="00876934"/>
    <w:rsid w:val="00877309"/>
    <w:rsid w:val="008800F4"/>
    <w:rsid w:val="0088277A"/>
    <w:rsid w:val="0088297B"/>
    <w:rsid w:val="0088298A"/>
    <w:rsid w:val="008835AD"/>
    <w:rsid w:val="00885D7C"/>
    <w:rsid w:val="0088762D"/>
    <w:rsid w:val="00890235"/>
    <w:rsid w:val="00890A70"/>
    <w:rsid w:val="00890DDC"/>
    <w:rsid w:val="00890F9C"/>
    <w:rsid w:val="008928B6"/>
    <w:rsid w:val="00894CA0"/>
    <w:rsid w:val="00895461"/>
    <w:rsid w:val="008957B1"/>
    <w:rsid w:val="00896190"/>
    <w:rsid w:val="00897C5E"/>
    <w:rsid w:val="008A1517"/>
    <w:rsid w:val="008A2307"/>
    <w:rsid w:val="008A2B8F"/>
    <w:rsid w:val="008A2BB7"/>
    <w:rsid w:val="008A4000"/>
    <w:rsid w:val="008A4A65"/>
    <w:rsid w:val="008A6621"/>
    <w:rsid w:val="008A70A5"/>
    <w:rsid w:val="008B201B"/>
    <w:rsid w:val="008B2D64"/>
    <w:rsid w:val="008B368E"/>
    <w:rsid w:val="008B38A4"/>
    <w:rsid w:val="008B38EE"/>
    <w:rsid w:val="008B4F2F"/>
    <w:rsid w:val="008B55B4"/>
    <w:rsid w:val="008B6A00"/>
    <w:rsid w:val="008C0269"/>
    <w:rsid w:val="008C257C"/>
    <w:rsid w:val="008D0FDE"/>
    <w:rsid w:val="008D1051"/>
    <w:rsid w:val="008D22BE"/>
    <w:rsid w:val="008D7542"/>
    <w:rsid w:val="008D7F7C"/>
    <w:rsid w:val="008E0835"/>
    <w:rsid w:val="008E16ED"/>
    <w:rsid w:val="008E280E"/>
    <w:rsid w:val="008E2BA7"/>
    <w:rsid w:val="008E5642"/>
    <w:rsid w:val="008E5CC2"/>
    <w:rsid w:val="008F2E20"/>
    <w:rsid w:val="00900BC5"/>
    <w:rsid w:val="00901036"/>
    <w:rsid w:val="00904136"/>
    <w:rsid w:val="00904309"/>
    <w:rsid w:val="0090479F"/>
    <w:rsid w:val="00904BFC"/>
    <w:rsid w:val="00905B7D"/>
    <w:rsid w:val="00906692"/>
    <w:rsid w:val="00906853"/>
    <w:rsid w:val="00906CF8"/>
    <w:rsid w:val="009073CB"/>
    <w:rsid w:val="0090752A"/>
    <w:rsid w:val="00910805"/>
    <w:rsid w:val="00910BFB"/>
    <w:rsid w:val="00911A42"/>
    <w:rsid w:val="00912D60"/>
    <w:rsid w:val="009140A2"/>
    <w:rsid w:val="009141D0"/>
    <w:rsid w:val="00920480"/>
    <w:rsid w:val="00920D01"/>
    <w:rsid w:val="00922959"/>
    <w:rsid w:val="00923B20"/>
    <w:rsid w:val="009263DF"/>
    <w:rsid w:val="00927338"/>
    <w:rsid w:val="0093018E"/>
    <w:rsid w:val="0093167C"/>
    <w:rsid w:val="00932A3A"/>
    <w:rsid w:val="00934143"/>
    <w:rsid w:val="00934679"/>
    <w:rsid w:val="00935444"/>
    <w:rsid w:val="00936E83"/>
    <w:rsid w:val="009378F0"/>
    <w:rsid w:val="00942696"/>
    <w:rsid w:val="00942EB6"/>
    <w:rsid w:val="0094307C"/>
    <w:rsid w:val="00944802"/>
    <w:rsid w:val="00946711"/>
    <w:rsid w:val="009470DD"/>
    <w:rsid w:val="00950315"/>
    <w:rsid w:val="009518D9"/>
    <w:rsid w:val="0095236F"/>
    <w:rsid w:val="00952404"/>
    <w:rsid w:val="00953350"/>
    <w:rsid w:val="00955BDA"/>
    <w:rsid w:val="0096328F"/>
    <w:rsid w:val="00965F52"/>
    <w:rsid w:val="0096737A"/>
    <w:rsid w:val="0097392A"/>
    <w:rsid w:val="009749C0"/>
    <w:rsid w:val="009755E5"/>
    <w:rsid w:val="00977C0A"/>
    <w:rsid w:val="00982FF8"/>
    <w:rsid w:val="00984E8B"/>
    <w:rsid w:val="0098512F"/>
    <w:rsid w:val="0098550A"/>
    <w:rsid w:val="00985728"/>
    <w:rsid w:val="009857DD"/>
    <w:rsid w:val="009859AB"/>
    <w:rsid w:val="00987A4E"/>
    <w:rsid w:val="00987A6E"/>
    <w:rsid w:val="009907A9"/>
    <w:rsid w:val="00993DE4"/>
    <w:rsid w:val="00993F38"/>
    <w:rsid w:val="00994A4B"/>
    <w:rsid w:val="00996D25"/>
    <w:rsid w:val="009A043C"/>
    <w:rsid w:val="009A12ED"/>
    <w:rsid w:val="009A201F"/>
    <w:rsid w:val="009A4839"/>
    <w:rsid w:val="009A62FC"/>
    <w:rsid w:val="009A6989"/>
    <w:rsid w:val="009A72EB"/>
    <w:rsid w:val="009B105E"/>
    <w:rsid w:val="009B2B4E"/>
    <w:rsid w:val="009B396E"/>
    <w:rsid w:val="009B39A2"/>
    <w:rsid w:val="009B3B97"/>
    <w:rsid w:val="009B49F3"/>
    <w:rsid w:val="009B4E5D"/>
    <w:rsid w:val="009B567A"/>
    <w:rsid w:val="009C29C5"/>
    <w:rsid w:val="009C5C75"/>
    <w:rsid w:val="009D1C23"/>
    <w:rsid w:val="009D2A29"/>
    <w:rsid w:val="009D2EF8"/>
    <w:rsid w:val="009D59DE"/>
    <w:rsid w:val="009E1362"/>
    <w:rsid w:val="009E1848"/>
    <w:rsid w:val="009E1BC1"/>
    <w:rsid w:val="009E1F6B"/>
    <w:rsid w:val="009E3E77"/>
    <w:rsid w:val="009E4DF2"/>
    <w:rsid w:val="009E6D60"/>
    <w:rsid w:val="009F1918"/>
    <w:rsid w:val="009F2D0A"/>
    <w:rsid w:val="009F3962"/>
    <w:rsid w:val="009F6ED7"/>
    <w:rsid w:val="009F7401"/>
    <w:rsid w:val="009F78F2"/>
    <w:rsid w:val="00A00B97"/>
    <w:rsid w:val="00A01C9B"/>
    <w:rsid w:val="00A065F5"/>
    <w:rsid w:val="00A10857"/>
    <w:rsid w:val="00A1221A"/>
    <w:rsid w:val="00A1269B"/>
    <w:rsid w:val="00A130F9"/>
    <w:rsid w:val="00A13B6C"/>
    <w:rsid w:val="00A1585F"/>
    <w:rsid w:val="00A16000"/>
    <w:rsid w:val="00A16398"/>
    <w:rsid w:val="00A20EBA"/>
    <w:rsid w:val="00A20F2F"/>
    <w:rsid w:val="00A211A3"/>
    <w:rsid w:val="00A2357E"/>
    <w:rsid w:val="00A24629"/>
    <w:rsid w:val="00A25A27"/>
    <w:rsid w:val="00A27485"/>
    <w:rsid w:val="00A30038"/>
    <w:rsid w:val="00A309E8"/>
    <w:rsid w:val="00A3514D"/>
    <w:rsid w:val="00A40F98"/>
    <w:rsid w:val="00A41EF2"/>
    <w:rsid w:val="00A42619"/>
    <w:rsid w:val="00A4267D"/>
    <w:rsid w:val="00A427B2"/>
    <w:rsid w:val="00A43A69"/>
    <w:rsid w:val="00A43DEB"/>
    <w:rsid w:val="00A47D62"/>
    <w:rsid w:val="00A53CDD"/>
    <w:rsid w:val="00A53EE6"/>
    <w:rsid w:val="00A5538A"/>
    <w:rsid w:val="00A564AE"/>
    <w:rsid w:val="00A57A4A"/>
    <w:rsid w:val="00A57C0E"/>
    <w:rsid w:val="00A614EB"/>
    <w:rsid w:val="00A62886"/>
    <w:rsid w:val="00A63E79"/>
    <w:rsid w:val="00A6719E"/>
    <w:rsid w:val="00A672B2"/>
    <w:rsid w:val="00A74C51"/>
    <w:rsid w:val="00A77146"/>
    <w:rsid w:val="00A77682"/>
    <w:rsid w:val="00A80C19"/>
    <w:rsid w:val="00A83279"/>
    <w:rsid w:val="00A83750"/>
    <w:rsid w:val="00A84631"/>
    <w:rsid w:val="00A84EBE"/>
    <w:rsid w:val="00A86498"/>
    <w:rsid w:val="00A86A0A"/>
    <w:rsid w:val="00A9067C"/>
    <w:rsid w:val="00A90A24"/>
    <w:rsid w:val="00A90BD3"/>
    <w:rsid w:val="00A91402"/>
    <w:rsid w:val="00A92FBB"/>
    <w:rsid w:val="00A93C1C"/>
    <w:rsid w:val="00A96790"/>
    <w:rsid w:val="00A97543"/>
    <w:rsid w:val="00AA0DFE"/>
    <w:rsid w:val="00AA1F19"/>
    <w:rsid w:val="00AA2502"/>
    <w:rsid w:val="00AA262E"/>
    <w:rsid w:val="00AA2AC5"/>
    <w:rsid w:val="00AA3174"/>
    <w:rsid w:val="00AA3A41"/>
    <w:rsid w:val="00AA5AE9"/>
    <w:rsid w:val="00AA6D45"/>
    <w:rsid w:val="00AA7585"/>
    <w:rsid w:val="00AA7DED"/>
    <w:rsid w:val="00AB031D"/>
    <w:rsid w:val="00AB08A6"/>
    <w:rsid w:val="00AB18B3"/>
    <w:rsid w:val="00AB1A1E"/>
    <w:rsid w:val="00AB236C"/>
    <w:rsid w:val="00AC06B6"/>
    <w:rsid w:val="00AC3304"/>
    <w:rsid w:val="00AC7830"/>
    <w:rsid w:val="00AD1557"/>
    <w:rsid w:val="00AD35F3"/>
    <w:rsid w:val="00AD44E9"/>
    <w:rsid w:val="00AD4CAC"/>
    <w:rsid w:val="00AD528F"/>
    <w:rsid w:val="00AD6760"/>
    <w:rsid w:val="00AD6EB3"/>
    <w:rsid w:val="00AD741D"/>
    <w:rsid w:val="00AD751D"/>
    <w:rsid w:val="00AD791C"/>
    <w:rsid w:val="00AE1C60"/>
    <w:rsid w:val="00AE4F42"/>
    <w:rsid w:val="00AE728D"/>
    <w:rsid w:val="00AE7589"/>
    <w:rsid w:val="00AF2833"/>
    <w:rsid w:val="00AF3716"/>
    <w:rsid w:val="00AF3C46"/>
    <w:rsid w:val="00AF43E1"/>
    <w:rsid w:val="00AF4D71"/>
    <w:rsid w:val="00AF5921"/>
    <w:rsid w:val="00B0092E"/>
    <w:rsid w:val="00B018B2"/>
    <w:rsid w:val="00B018E8"/>
    <w:rsid w:val="00B03BF6"/>
    <w:rsid w:val="00B03CDF"/>
    <w:rsid w:val="00B040B7"/>
    <w:rsid w:val="00B04A55"/>
    <w:rsid w:val="00B04D46"/>
    <w:rsid w:val="00B104C5"/>
    <w:rsid w:val="00B10F47"/>
    <w:rsid w:val="00B1385B"/>
    <w:rsid w:val="00B13B1B"/>
    <w:rsid w:val="00B15DBF"/>
    <w:rsid w:val="00B165C9"/>
    <w:rsid w:val="00B17D70"/>
    <w:rsid w:val="00B22AD7"/>
    <w:rsid w:val="00B22D31"/>
    <w:rsid w:val="00B22E46"/>
    <w:rsid w:val="00B23184"/>
    <w:rsid w:val="00B27853"/>
    <w:rsid w:val="00B30291"/>
    <w:rsid w:val="00B306F7"/>
    <w:rsid w:val="00B30BB8"/>
    <w:rsid w:val="00B30FE2"/>
    <w:rsid w:val="00B3272E"/>
    <w:rsid w:val="00B32C71"/>
    <w:rsid w:val="00B330C4"/>
    <w:rsid w:val="00B37580"/>
    <w:rsid w:val="00B4137A"/>
    <w:rsid w:val="00B457F8"/>
    <w:rsid w:val="00B50B77"/>
    <w:rsid w:val="00B51290"/>
    <w:rsid w:val="00B52215"/>
    <w:rsid w:val="00B530CA"/>
    <w:rsid w:val="00B53AC4"/>
    <w:rsid w:val="00B54527"/>
    <w:rsid w:val="00B57ADA"/>
    <w:rsid w:val="00B61EE9"/>
    <w:rsid w:val="00B6496C"/>
    <w:rsid w:val="00B65962"/>
    <w:rsid w:val="00B66B6C"/>
    <w:rsid w:val="00B7033E"/>
    <w:rsid w:val="00B7071A"/>
    <w:rsid w:val="00B71858"/>
    <w:rsid w:val="00B71A39"/>
    <w:rsid w:val="00B721DC"/>
    <w:rsid w:val="00B74715"/>
    <w:rsid w:val="00B7669D"/>
    <w:rsid w:val="00B766D9"/>
    <w:rsid w:val="00B80A28"/>
    <w:rsid w:val="00B82D73"/>
    <w:rsid w:val="00B84A2C"/>
    <w:rsid w:val="00B871D6"/>
    <w:rsid w:val="00B87A02"/>
    <w:rsid w:val="00B91763"/>
    <w:rsid w:val="00B96204"/>
    <w:rsid w:val="00BA0DCC"/>
    <w:rsid w:val="00BA12A2"/>
    <w:rsid w:val="00BA16EF"/>
    <w:rsid w:val="00BA18D0"/>
    <w:rsid w:val="00BA242E"/>
    <w:rsid w:val="00BA2ABF"/>
    <w:rsid w:val="00BA3317"/>
    <w:rsid w:val="00BA5A9D"/>
    <w:rsid w:val="00BA6363"/>
    <w:rsid w:val="00BB2D9C"/>
    <w:rsid w:val="00BB3512"/>
    <w:rsid w:val="00BB5D1E"/>
    <w:rsid w:val="00BB62CC"/>
    <w:rsid w:val="00BB7ED6"/>
    <w:rsid w:val="00BC137A"/>
    <w:rsid w:val="00BC4347"/>
    <w:rsid w:val="00BC45E0"/>
    <w:rsid w:val="00BC54B5"/>
    <w:rsid w:val="00BC5D9D"/>
    <w:rsid w:val="00BC6803"/>
    <w:rsid w:val="00BC7BCB"/>
    <w:rsid w:val="00BD109B"/>
    <w:rsid w:val="00BD1101"/>
    <w:rsid w:val="00BD2944"/>
    <w:rsid w:val="00BD2B5E"/>
    <w:rsid w:val="00BD351B"/>
    <w:rsid w:val="00BD3AFF"/>
    <w:rsid w:val="00BD4E7A"/>
    <w:rsid w:val="00BD531B"/>
    <w:rsid w:val="00BE00E5"/>
    <w:rsid w:val="00BE2E5A"/>
    <w:rsid w:val="00BE3A10"/>
    <w:rsid w:val="00BE4A21"/>
    <w:rsid w:val="00BE5859"/>
    <w:rsid w:val="00BE5E59"/>
    <w:rsid w:val="00BE717E"/>
    <w:rsid w:val="00BE7E27"/>
    <w:rsid w:val="00BF183C"/>
    <w:rsid w:val="00BF35FF"/>
    <w:rsid w:val="00BF4C15"/>
    <w:rsid w:val="00BF5F41"/>
    <w:rsid w:val="00C04AFC"/>
    <w:rsid w:val="00C0782F"/>
    <w:rsid w:val="00C11F50"/>
    <w:rsid w:val="00C12603"/>
    <w:rsid w:val="00C12C7C"/>
    <w:rsid w:val="00C131FD"/>
    <w:rsid w:val="00C15322"/>
    <w:rsid w:val="00C16DA8"/>
    <w:rsid w:val="00C17352"/>
    <w:rsid w:val="00C21959"/>
    <w:rsid w:val="00C30A7D"/>
    <w:rsid w:val="00C31169"/>
    <w:rsid w:val="00C3169F"/>
    <w:rsid w:val="00C318F6"/>
    <w:rsid w:val="00C37522"/>
    <w:rsid w:val="00C42EFD"/>
    <w:rsid w:val="00C43D8B"/>
    <w:rsid w:val="00C44042"/>
    <w:rsid w:val="00C46AF0"/>
    <w:rsid w:val="00C47B58"/>
    <w:rsid w:val="00C52956"/>
    <w:rsid w:val="00C53AE1"/>
    <w:rsid w:val="00C53CAD"/>
    <w:rsid w:val="00C54893"/>
    <w:rsid w:val="00C560A1"/>
    <w:rsid w:val="00C56E9E"/>
    <w:rsid w:val="00C56EB6"/>
    <w:rsid w:val="00C614A1"/>
    <w:rsid w:val="00C63FC8"/>
    <w:rsid w:val="00C64F57"/>
    <w:rsid w:val="00C65D21"/>
    <w:rsid w:val="00C66E11"/>
    <w:rsid w:val="00C6789D"/>
    <w:rsid w:val="00C71A97"/>
    <w:rsid w:val="00C72FFE"/>
    <w:rsid w:val="00C73FFD"/>
    <w:rsid w:val="00C74512"/>
    <w:rsid w:val="00C75071"/>
    <w:rsid w:val="00C84448"/>
    <w:rsid w:val="00C84F07"/>
    <w:rsid w:val="00C851A6"/>
    <w:rsid w:val="00C855D4"/>
    <w:rsid w:val="00C87639"/>
    <w:rsid w:val="00C90685"/>
    <w:rsid w:val="00C9099A"/>
    <w:rsid w:val="00C91DCB"/>
    <w:rsid w:val="00C9240A"/>
    <w:rsid w:val="00C93D5B"/>
    <w:rsid w:val="00C9442C"/>
    <w:rsid w:val="00C9532C"/>
    <w:rsid w:val="00C95BCF"/>
    <w:rsid w:val="00C95D16"/>
    <w:rsid w:val="00C95DCF"/>
    <w:rsid w:val="00C96F73"/>
    <w:rsid w:val="00CA184E"/>
    <w:rsid w:val="00CA23C4"/>
    <w:rsid w:val="00CA575F"/>
    <w:rsid w:val="00CA5AEC"/>
    <w:rsid w:val="00CA6114"/>
    <w:rsid w:val="00CA704A"/>
    <w:rsid w:val="00CB0509"/>
    <w:rsid w:val="00CB0797"/>
    <w:rsid w:val="00CB21FF"/>
    <w:rsid w:val="00CB5CAE"/>
    <w:rsid w:val="00CB644C"/>
    <w:rsid w:val="00CB78ED"/>
    <w:rsid w:val="00CC0004"/>
    <w:rsid w:val="00CC076B"/>
    <w:rsid w:val="00CC4E55"/>
    <w:rsid w:val="00CC550E"/>
    <w:rsid w:val="00CC5AC6"/>
    <w:rsid w:val="00CD0DCE"/>
    <w:rsid w:val="00CD1628"/>
    <w:rsid w:val="00CD1D27"/>
    <w:rsid w:val="00CD27B7"/>
    <w:rsid w:val="00CD3807"/>
    <w:rsid w:val="00CD3AE7"/>
    <w:rsid w:val="00CD3C10"/>
    <w:rsid w:val="00CD5194"/>
    <w:rsid w:val="00CD5981"/>
    <w:rsid w:val="00CD79FA"/>
    <w:rsid w:val="00CE10E6"/>
    <w:rsid w:val="00CE59A8"/>
    <w:rsid w:val="00CE657B"/>
    <w:rsid w:val="00CF0873"/>
    <w:rsid w:val="00CF237E"/>
    <w:rsid w:val="00CF515D"/>
    <w:rsid w:val="00CF53F5"/>
    <w:rsid w:val="00CF6B3F"/>
    <w:rsid w:val="00D002B4"/>
    <w:rsid w:val="00D03845"/>
    <w:rsid w:val="00D03DCB"/>
    <w:rsid w:val="00D05257"/>
    <w:rsid w:val="00D054DF"/>
    <w:rsid w:val="00D057A5"/>
    <w:rsid w:val="00D05D1F"/>
    <w:rsid w:val="00D144D0"/>
    <w:rsid w:val="00D14FC0"/>
    <w:rsid w:val="00D163A3"/>
    <w:rsid w:val="00D1656D"/>
    <w:rsid w:val="00D167CC"/>
    <w:rsid w:val="00D16943"/>
    <w:rsid w:val="00D20393"/>
    <w:rsid w:val="00D211AE"/>
    <w:rsid w:val="00D21662"/>
    <w:rsid w:val="00D23DE4"/>
    <w:rsid w:val="00D23F50"/>
    <w:rsid w:val="00D24867"/>
    <w:rsid w:val="00D25529"/>
    <w:rsid w:val="00D318E3"/>
    <w:rsid w:val="00D323A7"/>
    <w:rsid w:val="00D346BF"/>
    <w:rsid w:val="00D34A4B"/>
    <w:rsid w:val="00D416EB"/>
    <w:rsid w:val="00D41B20"/>
    <w:rsid w:val="00D44615"/>
    <w:rsid w:val="00D45321"/>
    <w:rsid w:val="00D50324"/>
    <w:rsid w:val="00D55A28"/>
    <w:rsid w:val="00D5605F"/>
    <w:rsid w:val="00D61FBD"/>
    <w:rsid w:val="00D62519"/>
    <w:rsid w:val="00D625AA"/>
    <w:rsid w:val="00D63CBD"/>
    <w:rsid w:val="00D6500C"/>
    <w:rsid w:val="00D66392"/>
    <w:rsid w:val="00D66959"/>
    <w:rsid w:val="00D677AD"/>
    <w:rsid w:val="00D70A39"/>
    <w:rsid w:val="00D71A7E"/>
    <w:rsid w:val="00D7643D"/>
    <w:rsid w:val="00D76DE0"/>
    <w:rsid w:val="00D80DF0"/>
    <w:rsid w:val="00D82527"/>
    <w:rsid w:val="00D83ED5"/>
    <w:rsid w:val="00D8553D"/>
    <w:rsid w:val="00D86043"/>
    <w:rsid w:val="00D870D4"/>
    <w:rsid w:val="00D9398E"/>
    <w:rsid w:val="00D9464E"/>
    <w:rsid w:val="00D954E0"/>
    <w:rsid w:val="00D97059"/>
    <w:rsid w:val="00D97A1D"/>
    <w:rsid w:val="00DA0181"/>
    <w:rsid w:val="00DA2411"/>
    <w:rsid w:val="00DA2C81"/>
    <w:rsid w:val="00DA65C4"/>
    <w:rsid w:val="00DA7899"/>
    <w:rsid w:val="00DB0923"/>
    <w:rsid w:val="00DB29CA"/>
    <w:rsid w:val="00DB30C8"/>
    <w:rsid w:val="00DB558E"/>
    <w:rsid w:val="00DB5B93"/>
    <w:rsid w:val="00DB5F2B"/>
    <w:rsid w:val="00DB74AF"/>
    <w:rsid w:val="00DC1AB8"/>
    <w:rsid w:val="00DC5C19"/>
    <w:rsid w:val="00DC7068"/>
    <w:rsid w:val="00DD0411"/>
    <w:rsid w:val="00DD265A"/>
    <w:rsid w:val="00DD30E3"/>
    <w:rsid w:val="00DD6B9B"/>
    <w:rsid w:val="00DE07A1"/>
    <w:rsid w:val="00DE21A2"/>
    <w:rsid w:val="00DE2776"/>
    <w:rsid w:val="00DE3B11"/>
    <w:rsid w:val="00DE7183"/>
    <w:rsid w:val="00DF1DAC"/>
    <w:rsid w:val="00DF2165"/>
    <w:rsid w:val="00DF5A24"/>
    <w:rsid w:val="00DF60E6"/>
    <w:rsid w:val="00DF6105"/>
    <w:rsid w:val="00DF659E"/>
    <w:rsid w:val="00E01524"/>
    <w:rsid w:val="00E07C16"/>
    <w:rsid w:val="00E1021D"/>
    <w:rsid w:val="00E1428E"/>
    <w:rsid w:val="00E14900"/>
    <w:rsid w:val="00E218D3"/>
    <w:rsid w:val="00E22321"/>
    <w:rsid w:val="00E229ED"/>
    <w:rsid w:val="00E23091"/>
    <w:rsid w:val="00E23E21"/>
    <w:rsid w:val="00E245A0"/>
    <w:rsid w:val="00E25964"/>
    <w:rsid w:val="00E25E9F"/>
    <w:rsid w:val="00E27565"/>
    <w:rsid w:val="00E30DE6"/>
    <w:rsid w:val="00E31944"/>
    <w:rsid w:val="00E32395"/>
    <w:rsid w:val="00E32E0D"/>
    <w:rsid w:val="00E332E3"/>
    <w:rsid w:val="00E35435"/>
    <w:rsid w:val="00E35708"/>
    <w:rsid w:val="00E37194"/>
    <w:rsid w:val="00E3788B"/>
    <w:rsid w:val="00E40C6A"/>
    <w:rsid w:val="00E410B7"/>
    <w:rsid w:val="00E43977"/>
    <w:rsid w:val="00E4415D"/>
    <w:rsid w:val="00E44AB8"/>
    <w:rsid w:val="00E45065"/>
    <w:rsid w:val="00E47BD8"/>
    <w:rsid w:val="00E50D3F"/>
    <w:rsid w:val="00E520BE"/>
    <w:rsid w:val="00E5484A"/>
    <w:rsid w:val="00E54E17"/>
    <w:rsid w:val="00E56A7A"/>
    <w:rsid w:val="00E60419"/>
    <w:rsid w:val="00E60E01"/>
    <w:rsid w:val="00E617D3"/>
    <w:rsid w:val="00E61E36"/>
    <w:rsid w:val="00E633C1"/>
    <w:rsid w:val="00E667B0"/>
    <w:rsid w:val="00E67390"/>
    <w:rsid w:val="00E71365"/>
    <w:rsid w:val="00E74904"/>
    <w:rsid w:val="00E770A4"/>
    <w:rsid w:val="00E8097A"/>
    <w:rsid w:val="00E81192"/>
    <w:rsid w:val="00E83B51"/>
    <w:rsid w:val="00E8626C"/>
    <w:rsid w:val="00E8663B"/>
    <w:rsid w:val="00E86BDE"/>
    <w:rsid w:val="00E8762F"/>
    <w:rsid w:val="00E90AB8"/>
    <w:rsid w:val="00E919D9"/>
    <w:rsid w:val="00E921C1"/>
    <w:rsid w:val="00E93C8B"/>
    <w:rsid w:val="00E93D8F"/>
    <w:rsid w:val="00E9531E"/>
    <w:rsid w:val="00E95E41"/>
    <w:rsid w:val="00E95E4C"/>
    <w:rsid w:val="00E977CE"/>
    <w:rsid w:val="00E97E05"/>
    <w:rsid w:val="00EA34E2"/>
    <w:rsid w:val="00EA52D1"/>
    <w:rsid w:val="00EA703E"/>
    <w:rsid w:val="00EA791F"/>
    <w:rsid w:val="00EB537F"/>
    <w:rsid w:val="00EB671F"/>
    <w:rsid w:val="00EB70E7"/>
    <w:rsid w:val="00EB76D6"/>
    <w:rsid w:val="00EC02E8"/>
    <w:rsid w:val="00EC1139"/>
    <w:rsid w:val="00EC2FCA"/>
    <w:rsid w:val="00EC3842"/>
    <w:rsid w:val="00EC4299"/>
    <w:rsid w:val="00EC4D4D"/>
    <w:rsid w:val="00EC5D5D"/>
    <w:rsid w:val="00EC7908"/>
    <w:rsid w:val="00EC7C2B"/>
    <w:rsid w:val="00ED1F02"/>
    <w:rsid w:val="00ED213D"/>
    <w:rsid w:val="00ED6462"/>
    <w:rsid w:val="00EE15B5"/>
    <w:rsid w:val="00EE1A82"/>
    <w:rsid w:val="00EE2087"/>
    <w:rsid w:val="00EE20A1"/>
    <w:rsid w:val="00EE74AF"/>
    <w:rsid w:val="00EF1F0E"/>
    <w:rsid w:val="00EF29F6"/>
    <w:rsid w:val="00EF4FBF"/>
    <w:rsid w:val="00EF518E"/>
    <w:rsid w:val="00EF5DF0"/>
    <w:rsid w:val="00EF69AE"/>
    <w:rsid w:val="00EF6E2C"/>
    <w:rsid w:val="00EF7106"/>
    <w:rsid w:val="00F001A6"/>
    <w:rsid w:val="00F00253"/>
    <w:rsid w:val="00F0070A"/>
    <w:rsid w:val="00F01660"/>
    <w:rsid w:val="00F01C16"/>
    <w:rsid w:val="00F0782D"/>
    <w:rsid w:val="00F10B74"/>
    <w:rsid w:val="00F11EB3"/>
    <w:rsid w:val="00F13F39"/>
    <w:rsid w:val="00F14B9B"/>
    <w:rsid w:val="00F14CCC"/>
    <w:rsid w:val="00F17988"/>
    <w:rsid w:val="00F20C09"/>
    <w:rsid w:val="00F21672"/>
    <w:rsid w:val="00F217DF"/>
    <w:rsid w:val="00F21CAE"/>
    <w:rsid w:val="00F22AE0"/>
    <w:rsid w:val="00F25617"/>
    <w:rsid w:val="00F2601A"/>
    <w:rsid w:val="00F26701"/>
    <w:rsid w:val="00F310D7"/>
    <w:rsid w:val="00F35F05"/>
    <w:rsid w:val="00F368B9"/>
    <w:rsid w:val="00F3739F"/>
    <w:rsid w:val="00F374C1"/>
    <w:rsid w:val="00F37B34"/>
    <w:rsid w:val="00F41C34"/>
    <w:rsid w:val="00F4212F"/>
    <w:rsid w:val="00F447DB"/>
    <w:rsid w:val="00F447FA"/>
    <w:rsid w:val="00F469B9"/>
    <w:rsid w:val="00F46C32"/>
    <w:rsid w:val="00F46ECB"/>
    <w:rsid w:val="00F50F94"/>
    <w:rsid w:val="00F525B5"/>
    <w:rsid w:val="00F53D53"/>
    <w:rsid w:val="00F543B9"/>
    <w:rsid w:val="00F56177"/>
    <w:rsid w:val="00F56187"/>
    <w:rsid w:val="00F57471"/>
    <w:rsid w:val="00F575D3"/>
    <w:rsid w:val="00F5786C"/>
    <w:rsid w:val="00F62117"/>
    <w:rsid w:val="00F62365"/>
    <w:rsid w:val="00F630A7"/>
    <w:rsid w:val="00F66225"/>
    <w:rsid w:val="00F662BC"/>
    <w:rsid w:val="00F6708D"/>
    <w:rsid w:val="00F707F0"/>
    <w:rsid w:val="00F71AD5"/>
    <w:rsid w:val="00F729ED"/>
    <w:rsid w:val="00F733B8"/>
    <w:rsid w:val="00F74F50"/>
    <w:rsid w:val="00F75192"/>
    <w:rsid w:val="00F76A71"/>
    <w:rsid w:val="00F77822"/>
    <w:rsid w:val="00F838B6"/>
    <w:rsid w:val="00F83B0D"/>
    <w:rsid w:val="00F83C31"/>
    <w:rsid w:val="00F84DA9"/>
    <w:rsid w:val="00F85F05"/>
    <w:rsid w:val="00F86AD1"/>
    <w:rsid w:val="00F9222A"/>
    <w:rsid w:val="00F922EA"/>
    <w:rsid w:val="00F92927"/>
    <w:rsid w:val="00F949E0"/>
    <w:rsid w:val="00F94F0F"/>
    <w:rsid w:val="00F979B3"/>
    <w:rsid w:val="00F97CCD"/>
    <w:rsid w:val="00FA320D"/>
    <w:rsid w:val="00FA362B"/>
    <w:rsid w:val="00FA53E9"/>
    <w:rsid w:val="00FA60EC"/>
    <w:rsid w:val="00FA7AB5"/>
    <w:rsid w:val="00FB04E9"/>
    <w:rsid w:val="00FB1179"/>
    <w:rsid w:val="00FB19C5"/>
    <w:rsid w:val="00FB1C6B"/>
    <w:rsid w:val="00FB3361"/>
    <w:rsid w:val="00FB393D"/>
    <w:rsid w:val="00FB42B4"/>
    <w:rsid w:val="00FB4841"/>
    <w:rsid w:val="00FB6C94"/>
    <w:rsid w:val="00FB7F8B"/>
    <w:rsid w:val="00FC1BF7"/>
    <w:rsid w:val="00FC22F5"/>
    <w:rsid w:val="00FC3753"/>
    <w:rsid w:val="00FC5170"/>
    <w:rsid w:val="00FC5743"/>
    <w:rsid w:val="00FC6240"/>
    <w:rsid w:val="00FD118C"/>
    <w:rsid w:val="00FD2BDE"/>
    <w:rsid w:val="00FD332F"/>
    <w:rsid w:val="00FD6C6E"/>
    <w:rsid w:val="00FD7395"/>
    <w:rsid w:val="00FE1CC1"/>
    <w:rsid w:val="00FE385E"/>
    <w:rsid w:val="00FE3CE2"/>
    <w:rsid w:val="00FE54AD"/>
    <w:rsid w:val="00FE5633"/>
    <w:rsid w:val="00FE6F7A"/>
    <w:rsid w:val="00FE7B14"/>
    <w:rsid w:val="00FF02D5"/>
    <w:rsid w:val="00FF0846"/>
    <w:rsid w:val="00FF248B"/>
    <w:rsid w:val="00FF3E6F"/>
    <w:rsid w:val="00FF5A63"/>
    <w:rsid w:val="00FF6DB4"/>
    <w:rsid w:val="00FF7425"/>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2625"/>
    <o:shapelayout v:ext="edit">
      <o:idmap v:ext="edit" data="1"/>
    </o:shapelayout>
  </w:shapeDefaults>
  <w:decimalSymbol w:val=","/>
  <w:listSeparator w:val=";"/>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styleId="Meno">
    <w:name w:val="Mention"/>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multimidia/2018/3/pdf/00325367.pdf" TargetMode="External"/><Relationship Id="rId13" Type="http://schemas.openxmlformats.org/officeDocument/2006/relationships/hyperlink" Target="http://www1.tce.pr.gov.br/multimidia/2018/2/pdf/00325035.pdf" TargetMode="External"/><Relationship Id="rId18" Type="http://schemas.openxmlformats.org/officeDocument/2006/relationships/hyperlink" Target="http://www1.tce.pr.gov.br/multimidia/2018/2/pdf/00324899.pdf" TargetMode="External"/><Relationship Id="rId26" Type="http://schemas.openxmlformats.org/officeDocument/2006/relationships/hyperlink" Target="https://www.planalto.gov.br/ccivil_03/leis/l8666cons.htm" TargetMode="External"/><Relationship Id="rId3" Type="http://schemas.openxmlformats.org/officeDocument/2006/relationships/styles" Target="styles.xml"/><Relationship Id="rId21" Type="http://schemas.openxmlformats.org/officeDocument/2006/relationships/hyperlink" Target="https://contas.tcu.gov.br/sagas/SvlVisualizarRelVotoAcRtf?codFiltro=SAGAS-SESSAO-ENCERRADA&amp;seOcultaPagina=S&amp;item0=609232"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1.tce.pr.gov.br/multimidia/2018/2/pdf/00325036.pdf" TargetMode="External"/><Relationship Id="rId17" Type="http://schemas.openxmlformats.org/officeDocument/2006/relationships/hyperlink" Target="http://www1.tce.pr.gov.br/multimidia/2018/2/pdf/00324930.pdf" TargetMode="External"/><Relationship Id="rId25" Type="http://schemas.openxmlformats.org/officeDocument/2006/relationships/hyperlink" Target="https://www.planalto.gov.br/ccivil_03/leis/l8666cons.htm"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1.tce.pr.gov.br/multimidia/2018/2/pdf/00324901.pdf" TargetMode="External"/><Relationship Id="rId20" Type="http://schemas.openxmlformats.org/officeDocument/2006/relationships/hyperlink" Target="https://contas.tcu.gov.br/sagas/SvlVisualizarRelVotoAcRtf?codFiltro=SAGAS-SESSAO-ENCERRADA&amp;seOcultaPagina=S&amp;item0=609768" TargetMode="External"/><Relationship Id="rId29" Type="http://schemas.openxmlformats.org/officeDocument/2006/relationships/hyperlink" Target="https://contas.tcu.gov.br/sagas/SvlVisualizarRelVotoAcRtf?codFiltro=SAGAS-SESSAO-ENCERRADA&amp;seOcultaPagina=S&amp;item0=61085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multimidia/2018/2/pdf/00325053.pdf" TargetMode="External"/><Relationship Id="rId24" Type="http://schemas.openxmlformats.org/officeDocument/2006/relationships/hyperlink" Target="https://contas.tcu.gov.br/sagas/SvlVisualizarRelVotoAcRtf?codFiltro=SAGAS-SESSAO-ENCERRADA&amp;seOcultaPagina=S&amp;item0=610314" TargetMode="External"/><Relationship Id="rId32" Type="http://schemas.openxmlformats.org/officeDocument/2006/relationships/hyperlink" Target="http://www1.tce.pr.gov.br/conteudo/revista-digital-do-tce-pr/234678/area/46" TargetMode="External"/><Relationship Id="rId5" Type="http://schemas.openxmlformats.org/officeDocument/2006/relationships/webSettings" Target="webSettings.xml"/><Relationship Id="rId15" Type="http://schemas.openxmlformats.org/officeDocument/2006/relationships/hyperlink" Target="http://www1.tce.pr.gov.br/multimidia/2018/2/pdf/00325037.pdf" TargetMode="External"/><Relationship Id="rId23" Type="http://schemas.openxmlformats.org/officeDocument/2006/relationships/hyperlink" Target="https://contas.tcu.gov.br/sagas/SvlVisualizarRelVotoAcRtf?codFiltro=SAGAS-SESSAO-ENCERRADA&amp;seOcultaPagina=S&amp;item0=609785" TargetMode="External"/><Relationship Id="rId28" Type="http://schemas.openxmlformats.org/officeDocument/2006/relationships/hyperlink" Target="https://contas.tcu.gov.br/sagas/SvlVisualizarRelVotoAcRtf?codFiltro=SAGAS-SESSAO-ENCERRADA&amp;seOcultaPagina=S&amp;item0=609557" TargetMode="External"/><Relationship Id="rId36" Type="http://schemas.openxmlformats.org/officeDocument/2006/relationships/theme" Target="theme/theme1.xml"/><Relationship Id="rId10" Type="http://schemas.openxmlformats.org/officeDocument/2006/relationships/hyperlink" Target="http://www1.tce.pr.gov.br/multimidia/2018/2/pdf/00324810.pdf" TargetMode="External"/><Relationship Id="rId19" Type="http://schemas.openxmlformats.org/officeDocument/2006/relationships/hyperlink" Target="https://ww2.stj.jus.br/processo/revista/documento/mediado/?componente=ATC&amp;sequencial=61370224&amp;num_registro=201401437945&amp;data=20180205&amp;tipo=91&amp;formato=PDF" TargetMode="External"/><Relationship Id="rId31" Type="http://schemas.openxmlformats.org/officeDocument/2006/relationships/hyperlink" Target="http://www1.tce.pr.gov.br/conteudo/repercussao-geral-no-stf-e-os-tribunais-de-contas/307026/area/249" TargetMode="External"/><Relationship Id="rId4" Type="http://schemas.openxmlformats.org/officeDocument/2006/relationships/settings" Target="settings.xml"/><Relationship Id="rId9" Type="http://schemas.openxmlformats.org/officeDocument/2006/relationships/hyperlink" Target="http://www1.tce.pr.gov.br/multimidia/2018/3/pdf/00325154.pdf" TargetMode="External"/><Relationship Id="rId14" Type="http://schemas.openxmlformats.org/officeDocument/2006/relationships/hyperlink" Target="http://www1.tce.pr.gov.br/multimidia/2018/2/pdf/00325032.pdf" TargetMode="External"/><Relationship Id="rId22" Type="http://schemas.openxmlformats.org/officeDocument/2006/relationships/hyperlink" Target="https://contas.tcu.gov.br/sagas/SvlVisualizarRelVotoAcRtf?codFiltro=SAGAS-SESSAO-ENCERRADA&amp;seOcultaPagina=S&amp;item0=610314" TargetMode="External"/><Relationship Id="rId27" Type="http://schemas.openxmlformats.org/officeDocument/2006/relationships/hyperlink" Target="http://www.planalto.gov.br/ccivil_03/_ato2015-2018/2016/lei/l13303.htm" TargetMode="External"/><Relationship Id="rId30" Type="http://schemas.openxmlformats.org/officeDocument/2006/relationships/hyperlink" Target="http://www1.tce.pr.gov.br/conteudo/pesquisas-prontas/308475/area/249"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5636C-E3BF-453D-8A0C-2420F0DBF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11</Pages>
  <Words>4264</Words>
  <Characters>23027</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Tiago Moraes Ribeiro</cp:lastModifiedBy>
  <cp:revision>271</cp:revision>
  <cp:lastPrinted>2017-07-10T20:46:00Z</cp:lastPrinted>
  <dcterms:created xsi:type="dcterms:W3CDTF">2017-07-10T20:45:00Z</dcterms:created>
  <dcterms:modified xsi:type="dcterms:W3CDTF">2018-12-13T12:59:00Z</dcterms:modified>
</cp:coreProperties>
</file>