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D812B4">
        <w:rPr>
          <w:rFonts w:ascii="Arial" w:hAnsi="Arial" w:cs="Arial"/>
          <w:b/>
          <w:sz w:val="20"/>
          <w:szCs w:val="20"/>
        </w:rPr>
        <w:t>8</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3D0445">
        <w:rPr>
          <w:rFonts w:ascii="Arial" w:hAnsi="Arial" w:cs="Arial"/>
          <w:b/>
          <w:sz w:val="20"/>
          <w:szCs w:val="20"/>
        </w:rPr>
        <w:t xml:space="preserve">Sessões: </w:t>
      </w:r>
      <w:r w:rsidR="003D0445" w:rsidRPr="003D0445">
        <w:rPr>
          <w:rFonts w:ascii="Arial" w:hAnsi="Arial" w:cs="Arial"/>
          <w:b/>
          <w:sz w:val="20"/>
          <w:szCs w:val="20"/>
        </w:rPr>
        <w:t>15</w:t>
      </w:r>
      <w:r w:rsidR="00814325" w:rsidRPr="003D0445">
        <w:rPr>
          <w:rFonts w:ascii="Arial" w:hAnsi="Arial" w:cs="Arial"/>
          <w:b/>
          <w:sz w:val="20"/>
          <w:szCs w:val="20"/>
        </w:rPr>
        <w:t>.</w:t>
      </w:r>
      <w:r w:rsidR="003D0445" w:rsidRPr="003D0445">
        <w:rPr>
          <w:rFonts w:ascii="Arial" w:hAnsi="Arial" w:cs="Arial"/>
          <w:b/>
          <w:sz w:val="20"/>
          <w:szCs w:val="20"/>
        </w:rPr>
        <w:t>10</w:t>
      </w:r>
      <w:r w:rsidR="005A0FD0" w:rsidRPr="003D0445">
        <w:rPr>
          <w:rFonts w:ascii="Arial" w:hAnsi="Arial" w:cs="Arial"/>
          <w:b/>
          <w:sz w:val="20"/>
          <w:szCs w:val="20"/>
        </w:rPr>
        <w:t xml:space="preserve"> </w:t>
      </w:r>
      <w:r w:rsidR="000D4DE6" w:rsidRPr="003D0445">
        <w:rPr>
          <w:rFonts w:ascii="Arial" w:hAnsi="Arial" w:cs="Arial"/>
          <w:b/>
          <w:sz w:val="20"/>
          <w:szCs w:val="20"/>
        </w:rPr>
        <w:t>a</w:t>
      </w:r>
      <w:r w:rsidRPr="003D0445">
        <w:rPr>
          <w:rFonts w:ascii="Arial" w:hAnsi="Arial" w:cs="Arial"/>
          <w:b/>
          <w:sz w:val="20"/>
          <w:szCs w:val="20"/>
        </w:rPr>
        <w:t xml:space="preserve"> </w:t>
      </w:r>
      <w:r w:rsidR="003D0445" w:rsidRPr="003D0445">
        <w:rPr>
          <w:rFonts w:ascii="Arial" w:hAnsi="Arial" w:cs="Arial"/>
          <w:b/>
          <w:sz w:val="20"/>
          <w:szCs w:val="20"/>
        </w:rPr>
        <w:t>31</w:t>
      </w:r>
      <w:r w:rsidR="005A0FD0" w:rsidRPr="003D0445">
        <w:rPr>
          <w:rFonts w:ascii="Arial" w:hAnsi="Arial" w:cs="Arial"/>
          <w:b/>
          <w:sz w:val="20"/>
          <w:szCs w:val="20"/>
        </w:rPr>
        <w:t>.</w:t>
      </w:r>
      <w:r w:rsidR="003D0445" w:rsidRPr="003D0445">
        <w:rPr>
          <w:rFonts w:ascii="Arial" w:hAnsi="Arial" w:cs="Arial"/>
          <w:b/>
          <w:sz w:val="20"/>
          <w:szCs w:val="20"/>
        </w:rPr>
        <w:t>10</w:t>
      </w:r>
      <w:r w:rsidRPr="003D0445">
        <w:rPr>
          <w:rFonts w:ascii="Arial" w:hAnsi="Arial" w:cs="Arial"/>
          <w:b/>
          <w:sz w:val="20"/>
          <w:szCs w:val="20"/>
        </w:rPr>
        <w:t xml:space="preserve"> de 201</w:t>
      </w:r>
      <w:r w:rsidR="00015FB0" w:rsidRPr="003D0445">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Pr="00F36694" w:rsidRDefault="004429A2" w:rsidP="00F36694">
      <w:pPr>
        <w:spacing w:after="0"/>
        <w:jc w:val="both"/>
        <w:rPr>
          <w:rStyle w:val="Hyperlink"/>
          <w:rFonts w:ascii="Arial" w:hAnsi="Arial" w:cs="Arial"/>
          <w:b/>
          <w:color w:val="000000" w:themeColor="text1"/>
          <w:sz w:val="20"/>
          <w:szCs w:val="20"/>
          <w:u w:val="none"/>
        </w:rPr>
      </w:pPr>
    </w:p>
    <w:p w:rsidR="000719D5" w:rsidRPr="00F36694" w:rsidRDefault="000719D5" w:rsidP="00B5006A">
      <w:pPr>
        <w:autoSpaceDE w:val="0"/>
        <w:autoSpaceDN w:val="0"/>
        <w:adjustRightInd w:val="0"/>
        <w:spacing w:after="0"/>
        <w:jc w:val="both"/>
        <w:rPr>
          <w:rFonts w:ascii="Arial" w:hAnsi="Arial" w:cs="Arial"/>
          <w:sz w:val="20"/>
          <w:szCs w:val="20"/>
        </w:rPr>
      </w:pPr>
      <w:r w:rsidRPr="00F36694">
        <w:rPr>
          <w:rFonts w:ascii="Arial" w:hAnsi="Arial" w:cs="Arial"/>
          <w:sz w:val="20"/>
          <w:szCs w:val="20"/>
        </w:rPr>
        <w:t>1. Prestação de contas de Prefeito. Ausência de lista de presença de audiência pública - Ausência de indícios de que o ato não tenha sido realizado - Recomendação.</w:t>
      </w:r>
    </w:p>
    <w:p w:rsidR="000719D5" w:rsidRPr="00F36694" w:rsidRDefault="000719D5" w:rsidP="00B5006A">
      <w:pPr>
        <w:spacing w:after="0"/>
        <w:jc w:val="both"/>
        <w:rPr>
          <w:rStyle w:val="Hyperlink"/>
          <w:rFonts w:ascii="Arial" w:hAnsi="Arial" w:cs="Arial"/>
          <w:b/>
          <w:color w:val="000000" w:themeColor="text1"/>
          <w:sz w:val="20"/>
          <w:szCs w:val="20"/>
          <w:u w:val="none"/>
        </w:rPr>
      </w:pPr>
    </w:p>
    <w:p w:rsidR="000719D5" w:rsidRPr="00F36694" w:rsidRDefault="000719D5" w:rsidP="00B5006A">
      <w:pPr>
        <w:autoSpaceDE w:val="0"/>
        <w:autoSpaceDN w:val="0"/>
        <w:adjustRightInd w:val="0"/>
        <w:spacing w:after="0"/>
        <w:jc w:val="both"/>
        <w:rPr>
          <w:rFonts w:ascii="Arial" w:hAnsi="Arial" w:cs="Arial"/>
          <w:sz w:val="20"/>
          <w:szCs w:val="20"/>
        </w:rPr>
      </w:pPr>
      <w:r w:rsidRPr="00F36694">
        <w:rPr>
          <w:rFonts w:ascii="Arial" w:hAnsi="Arial" w:cs="Arial"/>
          <w:sz w:val="20"/>
          <w:szCs w:val="20"/>
        </w:rPr>
        <w:t>2. Pensão. Atraso no encaminhamento do feito. Afastamento da multa. Jurisprudência desta Corte. Legalidade e registro.</w:t>
      </w:r>
    </w:p>
    <w:p w:rsidR="006E12D5" w:rsidRPr="00F36694" w:rsidRDefault="006E12D5" w:rsidP="00B5006A">
      <w:pPr>
        <w:spacing w:after="0"/>
        <w:jc w:val="both"/>
        <w:rPr>
          <w:rStyle w:val="Hyperlink"/>
          <w:rFonts w:ascii="Arial" w:hAnsi="Arial" w:cs="Arial"/>
          <w:b/>
          <w:color w:val="000000" w:themeColor="text1"/>
          <w:sz w:val="20"/>
          <w:szCs w:val="20"/>
          <w:u w:val="none"/>
        </w:rPr>
      </w:pPr>
    </w:p>
    <w:p w:rsidR="000719D5" w:rsidRPr="00F36694" w:rsidRDefault="000719D5" w:rsidP="00B5006A">
      <w:pPr>
        <w:autoSpaceDE w:val="0"/>
        <w:autoSpaceDN w:val="0"/>
        <w:adjustRightInd w:val="0"/>
        <w:spacing w:after="0"/>
        <w:jc w:val="both"/>
        <w:rPr>
          <w:rFonts w:ascii="Arial" w:hAnsi="Arial" w:cs="Arial"/>
          <w:sz w:val="20"/>
          <w:szCs w:val="20"/>
        </w:rPr>
      </w:pPr>
      <w:r w:rsidRPr="00F36694">
        <w:rPr>
          <w:rFonts w:ascii="Arial" w:hAnsi="Arial" w:cs="Arial"/>
          <w:sz w:val="20"/>
          <w:szCs w:val="20"/>
        </w:rPr>
        <w:t xml:space="preserve">3. Prestação de Contas. Consórcio Público Intermunicipal de Saúde. Julgamento pela Irregularidade das contas em razão da Ausência de publicação dos Relatórios de Gestão Fiscal - RGF.  </w:t>
      </w:r>
    </w:p>
    <w:p w:rsidR="000719D5" w:rsidRPr="00F36694" w:rsidRDefault="000719D5" w:rsidP="00B5006A">
      <w:pPr>
        <w:spacing w:after="0"/>
        <w:jc w:val="both"/>
        <w:rPr>
          <w:rStyle w:val="Hyperlink"/>
          <w:rFonts w:ascii="Arial" w:hAnsi="Arial" w:cs="Arial"/>
          <w:b/>
          <w:color w:val="000000" w:themeColor="text1"/>
          <w:sz w:val="20"/>
          <w:szCs w:val="20"/>
          <w:u w:val="none"/>
        </w:rPr>
      </w:pPr>
    </w:p>
    <w:p w:rsidR="00F36694" w:rsidRPr="00F36694" w:rsidRDefault="00F36694" w:rsidP="00B5006A">
      <w:pPr>
        <w:autoSpaceDE w:val="0"/>
        <w:autoSpaceDN w:val="0"/>
        <w:adjustRightInd w:val="0"/>
        <w:spacing w:after="0"/>
        <w:jc w:val="both"/>
        <w:rPr>
          <w:rFonts w:ascii="Arial" w:hAnsi="Arial" w:cs="Arial"/>
          <w:sz w:val="20"/>
          <w:szCs w:val="20"/>
        </w:rPr>
      </w:pPr>
      <w:r w:rsidRPr="00F36694">
        <w:rPr>
          <w:rFonts w:ascii="Arial" w:hAnsi="Arial" w:cs="Arial"/>
          <w:sz w:val="20"/>
          <w:szCs w:val="20"/>
        </w:rPr>
        <w:t xml:space="preserve">4. Relatório de Auditoria convertido em Tomada de Contas Extraordinária. PAF 2013. Terceirização indevida. Participação de </w:t>
      </w:r>
      <w:proofErr w:type="spellStart"/>
      <w:r w:rsidRPr="00F36694">
        <w:rPr>
          <w:rFonts w:ascii="Arial" w:hAnsi="Arial" w:cs="Arial"/>
          <w:sz w:val="20"/>
          <w:szCs w:val="20"/>
        </w:rPr>
        <w:t>OSCIPs</w:t>
      </w:r>
      <w:proofErr w:type="spellEnd"/>
      <w:r w:rsidRPr="00F36694">
        <w:rPr>
          <w:rFonts w:ascii="Arial" w:hAnsi="Arial" w:cs="Arial"/>
          <w:sz w:val="20"/>
          <w:szCs w:val="20"/>
        </w:rPr>
        <w:t xml:space="preserve"> em procedimentos licitatórios: incompatibilidade. Vínculo de cooperação e não contratual. Termo de Parceria: imprescindibilidade. Prestação de contas: obrigatoriedade. Procedência. Irregularidade. Restituição dos recursos. Multas. Ressalva.</w:t>
      </w:r>
    </w:p>
    <w:p w:rsidR="00F36694" w:rsidRDefault="00F36694" w:rsidP="00B5006A">
      <w:pPr>
        <w:spacing w:after="0"/>
        <w:jc w:val="both"/>
        <w:rPr>
          <w:rStyle w:val="Hyperlink"/>
          <w:rFonts w:ascii="Arial" w:hAnsi="Arial" w:cs="Arial"/>
          <w:b/>
          <w:color w:val="000000" w:themeColor="text1"/>
          <w:sz w:val="20"/>
          <w:szCs w:val="20"/>
          <w:u w:val="none"/>
        </w:rPr>
      </w:pPr>
    </w:p>
    <w:p w:rsidR="00B5006A" w:rsidRPr="00B5006A" w:rsidRDefault="00B5006A" w:rsidP="00B5006A">
      <w:pPr>
        <w:autoSpaceDE w:val="0"/>
        <w:autoSpaceDN w:val="0"/>
        <w:adjustRightInd w:val="0"/>
        <w:spacing w:after="0"/>
        <w:jc w:val="both"/>
        <w:rPr>
          <w:rFonts w:ascii="Arial" w:hAnsi="Arial" w:cs="Arial"/>
          <w:sz w:val="20"/>
          <w:szCs w:val="20"/>
        </w:rPr>
      </w:pPr>
      <w:r w:rsidRPr="00B5006A">
        <w:rPr>
          <w:rFonts w:ascii="Arial" w:hAnsi="Arial" w:cs="Arial"/>
          <w:sz w:val="20"/>
          <w:szCs w:val="20"/>
        </w:rPr>
        <w:t xml:space="preserve">5. Revisão de pensão. Incorporação de verba de representação. Direito à integralidade e à paridade. Lei Estadual nº 18.135/2014, que, em seu art. 38, §5º consolidou os percentuais de verba de representação concedidos por meio de resoluções. Atos de revisão anteriores. Ausência de indícios de </w:t>
      </w:r>
      <w:proofErr w:type="spellStart"/>
      <w:r w:rsidRPr="00B5006A">
        <w:rPr>
          <w:rFonts w:ascii="Arial" w:hAnsi="Arial" w:cs="Arial"/>
          <w:sz w:val="20"/>
          <w:szCs w:val="20"/>
        </w:rPr>
        <w:t>dano</w:t>
      </w:r>
      <w:proofErr w:type="spellEnd"/>
      <w:r w:rsidRPr="00B5006A">
        <w:rPr>
          <w:rFonts w:ascii="Arial" w:hAnsi="Arial" w:cs="Arial"/>
          <w:sz w:val="20"/>
          <w:szCs w:val="20"/>
        </w:rPr>
        <w:t xml:space="preserve"> ao erário. Interpretação segundo art. 24 da Lei nº 13.655/18. Legalidade e registro. Recomendação.</w:t>
      </w:r>
    </w:p>
    <w:p w:rsidR="00B5006A" w:rsidRDefault="00B5006A" w:rsidP="00B5006A">
      <w:pPr>
        <w:spacing w:after="0"/>
        <w:jc w:val="both"/>
        <w:rPr>
          <w:rStyle w:val="Hyperlink"/>
          <w:rFonts w:ascii="Arial" w:hAnsi="Arial" w:cs="Arial"/>
          <w:b/>
          <w:color w:val="000000" w:themeColor="text1"/>
          <w:sz w:val="20"/>
          <w:szCs w:val="20"/>
          <w:u w:val="none"/>
        </w:rPr>
      </w:pPr>
    </w:p>
    <w:p w:rsidR="00B5006A" w:rsidRPr="00B5006A" w:rsidRDefault="00B5006A" w:rsidP="00B5006A">
      <w:pPr>
        <w:autoSpaceDE w:val="0"/>
        <w:autoSpaceDN w:val="0"/>
        <w:adjustRightInd w:val="0"/>
        <w:spacing w:after="0"/>
        <w:jc w:val="both"/>
        <w:rPr>
          <w:rFonts w:ascii="Arial" w:hAnsi="Arial" w:cs="Arial"/>
          <w:sz w:val="20"/>
          <w:szCs w:val="20"/>
        </w:rPr>
      </w:pPr>
      <w:r w:rsidRPr="00B5006A">
        <w:rPr>
          <w:rFonts w:ascii="Arial" w:hAnsi="Arial" w:cs="Arial"/>
          <w:sz w:val="20"/>
          <w:szCs w:val="20"/>
        </w:rPr>
        <w:t>6. Aposentadoria voluntária. Art. 3º da EC 47/2006. Interrupção do vínculo. Intervalo de 06 (seis) dias entre a exoneração e a posse em novo cargo. Boa-fé. Registro e recomendação.</w:t>
      </w:r>
    </w:p>
    <w:p w:rsidR="00B5006A" w:rsidRDefault="00B5006A" w:rsidP="00B5006A">
      <w:pPr>
        <w:spacing w:after="0"/>
        <w:jc w:val="both"/>
        <w:rPr>
          <w:rStyle w:val="Hyperlink"/>
          <w:rFonts w:ascii="Arial" w:hAnsi="Arial" w:cs="Arial"/>
          <w:color w:val="000000" w:themeColor="text1"/>
          <w:sz w:val="20"/>
          <w:szCs w:val="20"/>
          <w:u w:val="none"/>
        </w:rPr>
      </w:pPr>
    </w:p>
    <w:p w:rsidR="00B5006A" w:rsidRPr="00B5006A" w:rsidRDefault="00B5006A" w:rsidP="00B5006A">
      <w:pPr>
        <w:autoSpaceDE w:val="0"/>
        <w:autoSpaceDN w:val="0"/>
        <w:adjustRightInd w:val="0"/>
        <w:spacing w:after="0"/>
        <w:jc w:val="both"/>
        <w:rPr>
          <w:rFonts w:ascii="Arial" w:hAnsi="Arial" w:cs="Arial"/>
          <w:sz w:val="20"/>
          <w:szCs w:val="20"/>
        </w:rPr>
      </w:pPr>
      <w:r w:rsidRPr="00B5006A">
        <w:rPr>
          <w:rFonts w:ascii="Arial" w:hAnsi="Arial" w:cs="Arial"/>
          <w:sz w:val="20"/>
          <w:szCs w:val="20"/>
        </w:rPr>
        <w:lastRenderedPageBreak/>
        <w:t>7. Representação da Lei nº 8.666/93. Violação ao Prejulgado nº 22 desta Corte. Exigência de amostra de todos os licitantes. Concessão da cautelar pleiteada. Imediata suspensão do Pregão. Homologação da Cautelar.</w:t>
      </w:r>
    </w:p>
    <w:p w:rsidR="00B5006A" w:rsidRDefault="00B5006A" w:rsidP="00B5006A">
      <w:pPr>
        <w:spacing w:after="0"/>
        <w:jc w:val="both"/>
        <w:rPr>
          <w:rStyle w:val="Hyperlink"/>
          <w:rFonts w:ascii="Arial" w:hAnsi="Arial" w:cs="Arial"/>
          <w:color w:val="000000" w:themeColor="text1"/>
          <w:sz w:val="20"/>
          <w:szCs w:val="20"/>
          <w:u w:val="none"/>
        </w:rPr>
      </w:pPr>
    </w:p>
    <w:p w:rsidR="00B5006A" w:rsidRPr="00B5006A" w:rsidRDefault="00B5006A" w:rsidP="00B5006A">
      <w:pPr>
        <w:autoSpaceDE w:val="0"/>
        <w:autoSpaceDN w:val="0"/>
        <w:adjustRightInd w:val="0"/>
        <w:spacing w:after="0"/>
        <w:jc w:val="both"/>
        <w:rPr>
          <w:rFonts w:ascii="Arial" w:hAnsi="Arial" w:cs="Arial"/>
          <w:sz w:val="20"/>
          <w:szCs w:val="20"/>
        </w:rPr>
      </w:pPr>
      <w:r w:rsidRPr="00B5006A">
        <w:rPr>
          <w:rFonts w:ascii="Arial" w:hAnsi="Arial" w:cs="Arial"/>
          <w:sz w:val="20"/>
          <w:szCs w:val="20"/>
        </w:rPr>
        <w:t>8. Recurso de Revista. Contrato administrativo. Serviço de publicidade. Ausência de prestação de serviços. Dano aos cofres públicos. Existência. Desconsideração da personalidade jurídica. Desvio de finalidade.</w:t>
      </w:r>
    </w:p>
    <w:p w:rsidR="00B5006A" w:rsidRDefault="00B5006A" w:rsidP="00B5006A">
      <w:pPr>
        <w:spacing w:after="0"/>
        <w:jc w:val="both"/>
        <w:rPr>
          <w:rStyle w:val="Hyperlink"/>
          <w:rFonts w:ascii="Arial" w:hAnsi="Arial" w:cs="Arial"/>
          <w:color w:val="000000" w:themeColor="text1"/>
          <w:sz w:val="20"/>
          <w:szCs w:val="20"/>
          <w:u w:val="none"/>
        </w:rPr>
      </w:pPr>
    </w:p>
    <w:p w:rsidR="00B5006A" w:rsidRPr="00B5006A" w:rsidRDefault="00B5006A" w:rsidP="00B5006A">
      <w:pPr>
        <w:autoSpaceDE w:val="0"/>
        <w:autoSpaceDN w:val="0"/>
        <w:adjustRightInd w:val="0"/>
        <w:spacing w:after="0"/>
        <w:jc w:val="both"/>
        <w:rPr>
          <w:rFonts w:ascii="Arial" w:hAnsi="Arial" w:cs="Arial"/>
          <w:sz w:val="20"/>
          <w:szCs w:val="20"/>
        </w:rPr>
      </w:pPr>
      <w:r w:rsidRPr="00B5006A">
        <w:rPr>
          <w:rFonts w:ascii="Arial" w:hAnsi="Arial" w:cs="Arial"/>
          <w:sz w:val="20"/>
          <w:szCs w:val="20"/>
        </w:rPr>
        <w:t>9. Recurso de Revista. Reajuste dos subsídios vinculado aos subsídios dos deputados estaduais. Lei editada durante a vigência da EC19/98. Controvérsia a época do recebimento. Boa-fé. Devolução de valores. Impossibilidade.</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4966F4" w:rsidRPr="00F77EE9" w:rsidRDefault="000719D5" w:rsidP="004966F4">
      <w:pPr>
        <w:autoSpaceDE w:val="0"/>
        <w:autoSpaceDN w:val="0"/>
        <w:adjustRightInd w:val="0"/>
        <w:spacing w:after="0"/>
        <w:jc w:val="both"/>
        <w:rPr>
          <w:rFonts w:ascii="Arial" w:hAnsi="Arial" w:cs="Arial"/>
          <w:sz w:val="20"/>
          <w:szCs w:val="20"/>
        </w:rPr>
      </w:pPr>
      <w:r>
        <w:rPr>
          <w:rFonts w:ascii="Arial" w:hAnsi="Arial" w:cs="Arial"/>
          <w:b/>
          <w:sz w:val="20"/>
          <w:szCs w:val="20"/>
        </w:rPr>
        <w:t xml:space="preserve">1. </w:t>
      </w:r>
      <w:r w:rsidR="004966F4" w:rsidRPr="008B0755">
        <w:rPr>
          <w:rFonts w:ascii="Arial" w:hAnsi="Arial" w:cs="Arial"/>
          <w:b/>
          <w:sz w:val="20"/>
          <w:szCs w:val="20"/>
        </w:rPr>
        <w:t xml:space="preserve">Prestação de contas de Prefeito. Ausência de lista de presença de audiência pública </w:t>
      </w:r>
      <w:r w:rsidR="004966F4">
        <w:rPr>
          <w:rFonts w:ascii="Arial" w:hAnsi="Arial" w:cs="Arial"/>
          <w:b/>
          <w:sz w:val="20"/>
          <w:szCs w:val="20"/>
        </w:rPr>
        <w:t>-</w:t>
      </w:r>
      <w:r w:rsidR="004966F4" w:rsidRPr="008B0755">
        <w:rPr>
          <w:rFonts w:ascii="Arial" w:hAnsi="Arial" w:cs="Arial"/>
          <w:b/>
          <w:sz w:val="20"/>
          <w:szCs w:val="20"/>
        </w:rPr>
        <w:t xml:space="preserve"> Ausência de indícios de que o ato não tenha sido realizado </w:t>
      </w:r>
      <w:r w:rsidR="004966F4">
        <w:rPr>
          <w:rFonts w:ascii="Arial" w:hAnsi="Arial" w:cs="Arial"/>
          <w:b/>
          <w:sz w:val="20"/>
          <w:szCs w:val="20"/>
        </w:rPr>
        <w:t>-</w:t>
      </w:r>
      <w:r w:rsidR="004966F4" w:rsidRPr="008B0755">
        <w:rPr>
          <w:rFonts w:ascii="Arial" w:hAnsi="Arial" w:cs="Arial"/>
          <w:b/>
          <w:sz w:val="20"/>
          <w:szCs w:val="20"/>
        </w:rPr>
        <w:t xml:space="preserve"> Recomendação</w:t>
      </w:r>
      <w:r w:rsidR="004966F4">
        <w:rPr>
          <w:rFonts w:ascii="Arial" w:hAnsi="Arial" w:cs="Arial"/>
          <w:b/>
          <w:sz w:val="20"/>
          <w:szCs w:val="20"/>
        </w:rPr>
        <w:t>.</w:t>
      </w:r>
    </w:p>
    <w:p w:rsidR="004966F4" w:rsidRPr="00F77EE9" w:rsidRDefault="004966F4" w:rsidP="004966F4">
      <w:pPr>
        <w:autoSpaceDE w:val="0"/>
        <w:autoSpaceDN w:val="0"/>
        <w:adjustRightInd w:val="0"/>
        <w:spacing w:after="0"/>
        <w:jc w:val="both"/>
        <w:rPr>
          <w:rFonts w:ascii="Arial" w:hAnsi="Arial" w:cs="Arial"/>
          <w:b/>
          <w:sz w:val="20"/>
          <w:szCs w:val="20"/>
        </w:rPr>
      </w:pPr>
    </w:p>
    <w:p w:rsidR="004966F4" w:rsidRDefault="004966F4" w:rsidP="004966F4">
      <w:pPr>
        <w:autoSpaceDE w:val="0"/>
        <w:autoSpaceDN w:val="0"/>
        <w:adjustRightInd w:val="0"/>
        <w:spacing w:after="0"/>
        <w:jc w:val="both"/>
        <w:rPr>
          <w:rFonts w:ascii="Arial" w:hAnsi="Arial" w:cs="Arial"/>
          <w:sz w:val="20"/>
          <w:szCs w:val="20"/>
        </w:rPr>
      </w:pPr>
      <w:r>
        <w:rPr>
          <w:rFonts w:ascii="Arial" w:hAnsi="Arial" w:cs="Arial"/>
          <w:sz w:val="20"/>
          <w:szCs w:val="20"/>
        </w:rPr>
        <w:t xml:space="preserve">Impropriedade apontada pela Unidade Técnica de não </w:t>
      </w:r>
      <w:r w:rsidRPr="008B0755">
        <w:rPr>
          <w:rFonts w:ascii="Arial" w:hAnsi="Arial" w:cs="Arial"/>
          <w:sz w:val="20"/>
          <w:szCs w:val="20"/>
        </w:rPr>
        <w:t>comprova</w:t>
      </w:r>
      <w:r>
        <w:rPr>
          <w:rFonts w:ascii="Arial" w:hAnsi="Arial" w:cs="Arial"/>
          <w:sz w:val="20"/>
          <w:szCs w:val="20"/>
        </w:rPr>
        <w:t>ção d</w:t>
      </w:r>
      <w:r w:rsidRPr="008B0755">
        <w:rPr>
          <w:rFonts w:ascii="Arial" w:hAnsi="Arial" w:cs="Arial"/>
          <w:sz w:val="20"/>
          <w:szCs w:val="20"/>
        </w:rPr>
        <w:t xml:space="preserve">a realização das audiências públicas de avaliação do cumprimento das metas fiscais da Lei de Diretrizes Orçamentárias referentes ao primeiro e ao segundo quadrimestres, uma vez que as respectivas atas estão desacompanhadas da lista de presença dos participantes. </w:t>
      </w:r>
    </w:p>
    <w:p w:rsidR="004966F4" w:rsidRDefault="004966F4" w:rsidP="004966F4">
      <w:pPr>
        <w:autoSpaceDE w:val="0"/>
        <w:autoSpaceDN w:val="0"/>
        <w:adjustRightInd w:val="0"/>
        <w:spacing w:after="0"/>
        <w:jc w:val="both"/>
        <w:rPr>
          <w:rFonts w:ascii="Arial" w:hAnsi="Arial" w:cs="Arial"/>
          <w:sz w:val="20"/>
          <w:szCs w:val="20"/>
        </w:rPr>
      </w:pPr>
    </w:p>
    <w:p w:rsidR="004966F4" w:rsidRDefault="004966F4" w:rsidP="004966F4">
      <w:pPr>
        <w:autoSpaceDE w:val="0"/>
        <w:autoSpaceDN w:val="0"/>
        <w:adjustRightInd w:val="0"/>
        <w:spacing w:after="0"/>
        <w:jc w:val="both"/>
        <w:rPr>
          <w:rFonts w:ascii="Arial" w:hAnsi="Arial" w:cs="Arial"/>
          <w:sz w:val="20"/>
          <w:szCs w:val="20"/>
        </w:rPr>
      </w:pPr>
      <w:r w:rsidRPr="008B0755">
        <w:rPr>
          <w:rFonts w:ascii="Arial" w:hAnsi="Arial" w:cs="Arial"/>
          <w:sz w:val="20"/>
          <w:szCs w:val="20"/>
        </w:rPr>
        <w:t xml:space="preserve">Considerando que </w:t>
      </w:r>
      <w:r>
        <w:rPr>
          <w:rFonts w:ascii="Arial" w:hAnsi="Arial" w:cs="Arial"/>
          <w:sz w:val="20"/>
          <w:szCs w:val="20"/>
        </w:rPr>
        <w:t xml:space="preserve">foi </w:t>
      </w:r>
      <w:r w:rsidRPr="008B0755">
        <w:rPr>
          <w:rFonts w:ascii="Arial" w:hAnsi="Arial" w:cs="Arial"/>
          <w:sz w:val="20"/>
          <w:szCs w:val="20"/>
        </w:rPr>
        <w:t xml:space="preserve">acostada a lista dos presentes na audiência pública para avaliação das metas fiscais relativa ao segundo quadrimestre, o único problema remanescente diz respeito à ausência da lista de presença relativa à audiência do primeiro quadrimestre. </w:t>
      </w:r>
    </w:p>
    <w:p w:rsidR="004966F4" w:rsidRDefault="004966F4" w:rsidP="004966F4">
      <w:pPr>
        <w:autoSpaceDE w:val="0"/>
        <w:autoSpaceDN w:val="0"/>
        <w:adjustRightInd w:val="0"/>
        <w:spacing w:after="0"/>
        <w:jc w:val="both"/>
        <w:rPr>
          <w:rFonts w:ascii="Arial" w:hAnsi="Arial" w:cs="Arial"/>
          <w:sz w:val="20"/>
          <w:szCs w:val="20"/>
        </w:rPr>
      </w:pPr>
    </w:p>
    <w:p w:rsidR="004966F4" w:rsidRPr="00F77EE9" w:rsidRDefault="00101084" w:rsidP="004966F4">
      <w:pPr>
        <w:autoSpaceDE w:val="0"/>
        <w:autoSpaceDN w:val="0"/>
        <w:adjustRightInd w:val="0"/>
        <w:spacing w:after="0"/>
        <w:jc w:val="both"/>
        <w:rPr>
          <w:rFonts w:ascii="Arial" w:hAnsi="Arial" w:cs="Arial"/>
          <w:sz w:val="20"/>
          <w:szCs w:val="20"/>
        </w:rPr>
      </w:pPr>
      <w:r>
        <w:rPr>
          <w:rFonts w:ascii="Arial" w:hAnsi="Arial" w:cs="Arial"/>
          <w:sz w:val="20"/>
          <w:szCs w:val="20"/>
        </w:rPr>
        <w:t xml:space="preserve">Divergindo do </w:t>
      </w:r>
      <w:r w:rsidR="004966F4" w:rsidRPr="008B0755">
        <w:rPr>
          <w:rFonts w:ascii="Arial" w:hAnsi="Arial" w:cs="Arial"/>
          <w:sz w:val="20"/>
          <w:szCs w:val="20"/>
        </w:rPr>
        <w:t xml:space="preserve">posicionamento defendido pelos órgãos instrutivos, parece que se trata de questão muito modesta para ensejar a reprovação das contas de todo um exercício. Ademais, deve-se sopesar que não existe qualquer indício de que a audiência não tenha sido realizada, observando-se a regular emissão de ata subscrita pelos membros da Comissão Municipal de Finanças e Orçamento, de modo que a impropriedade acaba de revestir de caráter eminentemente formal. Desta feita, a simples expedição de recomendação para melhoramento dos respectivos procedimentos </w:t>
      </w:r>
      <w:r w:rsidR="004966F4">
        <w:rPr>
          <w:rFonts w:ascii="Arial" w:hAnsi="Arial" w:cs="Arial"/>
          <w:sz w:val="20"/>
          <w:szCs w:val="20"/>
        </w:rPr>
        <w:t>é</w:t>
      </w:r>
      <w:r w:rsidR="004966F4" w:rsidRPr="008B0755">
        <w:rPr>
          <w:rFonts w:ascii="Arial" w:hAnsi="Arial" w:cs="Arial"/>
          <w:sz w:val="20"/>
          <w:szCs w:val="20"/>
        </w:rPr>
        <w:t xml:space="preserve"> medida suficiente em razão da materialidade da falta.</w:t>
      </w:r>
      <w:r w:rsidR="004966F4">
        <w:rPr>
          <w:rFonts w:ascii="Arial" w:hAnsi="Arial" w:cs="Arial"/>
          <w:sz w:val="20"/>
          <w:szCs w:val="20"/>
        </w:rPr>
        <w:t xml:space="preserve"> I</w:t>
      </w:r>
      <w:r w:rsidR="004966F4" w:rsidRPr="008B0755">
        <w:rPr>
          <w:rFonts w:ascii="Arial" w:hAnsi="Arial" w:cs="Arial"/>
          <w:sz w:val="20"/>
          <w:szCs w:val="20"/>
        </w:rPr>
        <w:t>tem que enseja a expedição de recomendação.</w:t>
      </w:r>
    </w:p>
    <w:p w:rsidR="004966F4" w:rsidRPr="00F77EE9" w:rsidRDefault="004966F4" w:rsidP="004966F4">
      <w:pPr>
        <w:autoSpaceDE w:val="0"/>
        <w:autoSpaceDN w:val="0"/>
        <w:adjustRightInd w:val="0"/>
        <w:spacing w:after="0"/>
        <w:jc w:val="both"/>
        <w:rPr>
          <w:rFonts w:ascii="Arial" w:hAnsi="Arial" w:cs="Arial"/>
          <w:sz w:val="20"/>
          <w:szCs w:val="20"/>
        </w:rPr>
      </w:pPr>
    </w:p>
    <w:p w:rsidR="004966F4" w:rsidRPr="00F77EE9" w:rsidRDefault="004966F4" w:rsidP="004966F4">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217010/18</w:t>
      </w:r>
      <w:r w:rsidRPr="00F77EE9">
        <w:rPr>
          <w:rFonts w:ascii="Arial" w:hAnsi="Arial" w:cs="Arial"/>
          <w:sz w:val="20"/>
          <w:szCs w:val="20"/>
        </w:rPr>
        <w:t xml:space="preserve"> - </w:t>
      </w:r>
      <w:hyperlink r:id="rId8" w:history="1">
        <w:r w:rsidRPr="007D6DF2">
          <w:rPr>
            <w:rStyle w:val="Hyperlink"/>
            <w:rFonts w:ascii="Arial" w:hAnsi="Arial" w:cs="Arial"/>
            <w:sz w:val="20"/>
            <w:szCs w:val="20"/>
          </w:rPr>
          <w:t xml:space="preserve">Acórdão nº 335/18 </w:t>
        </w:r>
        <w:r w:rsidR="00101084">
          <w:rPr>
            <w:rStyle w:val="Hyperlink"/>
            <w:rFonts w:ascii="Arial" w:hAnsi="Arial" w:cs="Arial"/>
            <w:sz w:val="20"/>
            <w:szCs w:val="20"/>
          </w:rPr>
          <w:t>-</w:t>
        </w:r>
        <w:r w:rsidRPr="007D6DF2">
          <w:rPr>
            <w:rStyle w:val="Hyperlink"/>
            <w:rFonts w:ascii="Arial" w:hAnsi="Arial" w:cs="Arial"/>
            <w:sz w:val="20"/>
            <w:szCs w:val="20"/>
          </w:rPr>
          <w:t xml:space="preserve"> Primeira Câmara</w:t>
        </w:r>
      </w:hyperlink>
      <w:r w:rsidRPr="00F77EE9">
        <w:rPr>
          <w:rFonts w:ascii="Arial" w:hAnsi="Arial" w:cs="Arial"/>
          <w:sz w:val="20"/>
          <w:szCs w:val="20"/>
        </w:rPr>
        <w:t xml:space="preserve"> </w:t>
      </w:r>
      <w:r w:rsidR="00101084">
        <w:rPr>
          <w:rFonts w:ascii="Arial" w:hAnsi="Arial" w:cs="Arial"/>
          <w:sz w:val="20"/>
          <w:szCs w:val="20"/>
        </w:rPr>
        <w:t>-</w:t>
      </w:r>
      <w:r w:rsidRPr="00F77EE9">
        <w:rPr>
          <w:rFonts w:ascii="Arial" w:hAnsi="Arial" w:cs="Arial"/>
          <w:sz w:val="20"/>
          <w:szCs w:val="20"/>
        </w:rPr>
        <w:t xml:space="preserve"> Rel</w:t>
      </w:r>
      <w:r w:rsidR="00101084">
        <w:rPr>
          <w:rFonts w:ascii="Arial" w:hAnsi="Arial" w:cs="Arial"/>
          <w:sz w:val="20"/>
          <w:szCs w:val="20"/>
        </w:rPr>
        <w:t>.</w:t>
      </w:r>
      <w:r w:rsidRPr="00F77EE9">
        <w:rPr>
          <w:rFonts w:ascii="Arial" w:hAnsi="Arial" w:cs="Arial"/>
          <w:sz w:val="20"/>
          <w:szCs w:val="20"/>
        </w:rPr>
        <w:t xml:space="preserve"> </w:t>
      </w:r>
      <w:bookmarkStart w:id="0" w:name="_Hlk520374869"/>
      <w:r w:rsidRPr="00F77EE9">
        <w:rPr>
          <w:rFonts w:ascii="Arial" w:hAnsi="Arial" w:cs="Arial"/>
          <w:sz w:val="20"/>
          <w:szCs w:val="20"/>
        </w:rPr>
        <w:t xml:space="preserve">Conselheiro </w:t>
      </w:r>
      <w:r>
        <w:rPr>
          <w:rFonts w:ascii="Arial" w:hAnsi="Arial" w:cs="Arial"/>
          <w:sz w:val="20"/>
          <w:szCs w:val="20"/>
        </w:rPr>
        <w:t>Fernando Augusto Mello Guimarães</w:t>
      </w:r>
      <w:r w:rsidRPr="00F77EE9">
        <w:rPr>
          <w:rFonts w:ascii="Arial" w:hAnsi="Arial" w:cs="Arial"/>
          <w:sz w:val="20"/>
          <w:szCs w:val="20"/>
        </w:rPr>
        <w:t>.</w:t>
      </w:r>
      <w:bookmarkEnd w:id="0"/>
    </w:p>
    <w:p w:rsidR="004966F4" w:rsidRDefault="004966F4" w:rsidP="004966F4">
      <w:pPr>
        <w:autoSpaceDE w:val="0"/>
        <w:autoSpaceDN w:val="0"/>
        <w:adjustRightInd w:val="0"/>
        <w:spacing w:after="0"/>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9C54B9" w:rsidRDefault="009C54B9" w:rsidP="009C54B9">
      <w:pPr>
        <w:autoSpaceDE w:val="0"/>
        <w:autoSpaceDN w:val="0"/>
        <w:adjustRightInd w:val="0"/>
        <w:spacing w:after="0" w:line="240" w:lineRule="auto"/>
        <w:jc w:val="both"/>
        <w:rPr>
          <w:rFonts w:ascii="Arial" w:hAnsi="Arial" w:cs="Arial"/>
          <w:b/>
          <w:sz w:val="20"/>
          <w:szCs w:val="20"/>
        </w:rPr>
      </w:pPr>
    </w:p>
    <w:p w:rsidR="009C54B9" w:rsidRDefault="000719D5" w:rsidP="009C54B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9C54B9" w:rsidRPr="00E24FBC">
        <w:rPr>
          <w:rFonts w:ascii="Arial" w:hAnsi="Arial" w:cs="Arial"/>
          <w:b/>
          <w:sz w:val="20"/>
          <w:szCs w:val="20"/>
        </w:rPr>
        <w:t>Pensão. Atraso no encaminhamento do feito. Afastamento da multa. Jurisprudência desta Corte.</w:t>
      </w:r>
      <w:r w:rsidR="009C54B9">
        <w:rPr>
          <w:rFonts w:ascii="Arial" w:hAnsi="Arial" w:cs="Arial"/>
          <w:b/>
          <w:sz w:val="20"/>
          <w:szCs w:val="20"/>
        </w:rPr>
        <w:t xml:space="preserve"> </w:t>
      </w:r>
      <w:r w:rsidR="009C54B9" w:rsidRPr="00E24FBC">
        <w:rPr>
          <w:rFonts w:ascii="Arial" w:hAnsi="Arial" w:cs="Arial"/>
          <w:b/>
          <w:sz w:val="20"/>
          <w:szCs w:val="20"/>
        </w:rPr>
        <w:t>Legalidade e registro</w:t>
      </w:r>
      <w:r w:rsidR="009C54B9">
        <w:rPr>
          <w:rFonts w:ascii="Arial" w:hAnsi="Arial" w:cs="Arial"/>
          <w:b/>
          <w:sz w:val="20"/>
          <w:szCs w:val="20"/>
        </w:rPr>
        <w:t>.</w:t>
      </w:r>
    </w:p>
    <w:p w:rsidR="009C54B9" w:rsidRDefault="009C54B9" w:rsidP="009C54B9">
      <w:pPr>
        <w:autoSpaceDE w:val="0"/>
        <w:autoSpaceDN w:val="0"/>
        <w:adjustRightInd w:val="0"/>
        <w:spacing w:after="0"/>
        <w:jc w:val="both"/>
        <w:rPr>
          <w:rFonts w:ascii="Arial" w:hAnsi="Arial" w:cs="Arial"/>
          <w:b/>
          <w:sz w:val="20"/>
          <w:szCs w:val="20"/>
        </w:rPr>
      </w:pPr>
    </w:p>
    <w:p w:rsidR="009C54B9" w:rsidRDefault="009C54B9" w:rsidP="009C54B9">
      <w:pPr>
        <w:autoSpaceDE w:val="0"/>
        <w:autoSpaceDN w:val="0"/>
        <w:adjustRightInd w:val="0"/>
        <w:spacing w:after="0"/>
        <w:jc w:val="both"/>
        <w:rPr>
          <w:rFonts w:ascii="Arial" w:hAnsi="Arial" w:cs="Arial"/>
          <w:sz w:val="20"/>
          <w:szCs w:val="20"/>
        </w:rPr>
      </w:pPr>
      <w:r>
        <w:rPr>
          <w:rFonts w:ascii="Arial" w:hAnsi="Arial" w:cs="Arial"/>
          <w:sz w:val="20"/>
          <w:szCs w:val="20"/>
        </w:rPr>
        <w:t xml:space="preserve">Deixou-se de </w:t>
      </w:r>
      <w:r w:rsidRPr="00E24FBC">
        <w:rPr>
          <w:rFonts w:ascii="Arial" w:hAnsi="Arial" w:cs="Arial"/>
          <w:sz w:val="20"/>
          <w:szCs w:val="20"/>
        </w:rPr>
        <w:t xml:space="preserve">endossar a sugestão do </w:t>
      </w:r>
      <w:r w:rsidRPr="009C54B9">
        <w:rPr>
          <w:rFonts w:ascii="Arial" w:hAnsi="Arial" w:cs="Arial"/>
          <w:i/>
          <w:sz w:val="20"/>
          <w:szCs w:val="20"/>
        </w:rPr>
        <w:t>Parquet</w:t>
      </w:r>
      <w:r w:rsidRPr="00E24FBC">
        <w:rPr>
          <w:rFonts w:ascii="Arial" w:hAnsi="Arial" w:cs="Arial"/>
          <w:sz w:val="20"/>
          <w:szCs w:val="20"/>
        </w:rPr>
        <w:t xml:space="preserve"> para que seja aplicada multa ao gestor, em razão do atraso de 115 dias no encaminhamento do feito, tendo em conta o entendimento adotado por esta Corte em situações semelhantes, dentre</w:t>
      </w:r>
      <w:r>
        <w:rPr>
          <w:rFonts w:ascii="Arial" w:hAnsi="Arial" w:cs="Arial"/>
          <w:sz w:val="20"/>
          <w:szCs w:val="20"/>
        </w:rPr>
        <w:t xml:space="preserve"> </w:t>
      </w:r>
      <w:r w:rsidRPr="00E24FBC">
        <w:rPr>
          <w:rFonts w:ascii="Arial" w:hAnsi="Arial" w:cs="Arial"/>
          <w:sz w:val="20"/>
          <w:szCs w:val="20"/>
        </w:rPr>
        <w:t>as quais destac</w:t>
      </w:r>
      <w:r>
        <w:rPr>
          <w:rFonts w:ascii="Arial" w:hAnsi="Arial" w:cs="Arial"/>
          <w:sz w:val="20"/>
          <w:szCs w:val="20"/>
        </w:rPr>
        <w:t>a-se</w:t>
      </w:r>
      <w:r w:rsidRPr="00E24FBC">
        <w:rPr>
          <w:rFonts w:ascii="Arial" w:hAnsi="Arial" w:cs="Arial"/>
          <w:sz w:val="20"/>
          <w:szCs w:val="20"/>
        </w:rPr>
        <w:t xml:space="preserve"> os Acórdãos n.º 3565/17-Segunda Câmara, n.º 835/17</w:t>
      </w:r>
      <w:r>
        <w:rPr>
          <w:rFonts w:ascii="Arial" w:hAnsi="Arial" w:cs="Arial"/>
          <w:sz w:val="20"/>
          <w:szCs w:val="20"/>
        </w:rPr>
        <w:t xml:space="preserve"> </w:t>
      </w:r>
      <w:r w:rsidRPr="00E24FBC">
        <w:rPr>
          <w:rFonts w:ascii="Arial" w:hAnsi="Arial" w:cs="Arial"/>
          <w:sz w:val="20"/>
          <w:szCs w:val="20"/>
        </w:rPr>
        <w:t>-</w:t>
      </w:r>
      <w:r>
        <w:rPr>
          <w:rFonts w:ascii="Arial" w:hAnsi="Arial" w:cs="Arial"/>
          <w:sz w:val="20"/>
          <w:szCs w:val="20"/>
        </w:rPr>
        <w:t xml:space="preserve"> </w:t>
      </w:r>
      <w:r w:rsidRPr="00E24FBC">
        <w:rPr>
          <w:rFonts w:ascii="Arial" w:hAnsi="Arial" w:cs="Arial"/>
          <w:sz w:val="20"/>
          <w:szCs w:val="20"/>
        </w:rPr>
        <w:t>Segunda Câmara, n.º 6042/16</w:t>
      </w:r>
      <w:r>
        <w:rPr>
          <w:rFonts w:ascii="Arial" w:hAnsi="Arial" w:cs="Arial"/>
          <w:sz w:val="20"/>
          <w:szCs w:val="20"/>
        </w:rPr>
        <w:t xml:space="preserve"> </w:t>
      </w:r>
      <w:r w:rsidRPr="00E24FBC">
        <w:rPr>
          <w:rFonts w:ascii="Arial" w:hAnsi="Arial" w:cs="Arial"/>
          <w:sz w:val="20"/>
          <w:szCs w:val="20"/>
        </w:rPr>
        <w:t>-</w:t>
      </w:r>
      <w:r>
        <w:rPr>
          <w:rFonts w:ascii="Arial" w:hAnsi="Arial" w:cs="Arial"/>
          <w:sz w:val="20"/>
          <w:szCs w:val="20"/>
        </w:rPr>
        <w:t xml:space="preserve"> </w:t>
      </w:r>
      <w:r w:rsidRPr="00E24FBC">
        <w:rPr>
          <w:rFonts w:ascii="Arial" w:hAnsi="Arial" w:cs="Arial"/>
          <w:sz w:val="20"/>
          <w:szCs w:val="20"/>
        </w:rPr>
        <w:t>Primeira Câmara, e n.º 251/17-Primeira Câmara,</w:t>
      </w:r>
      <w:r>
        <w:rPr>
          <w:rFonts w:ascii="Arial" w:hAnsi="Arial" w:cs="Arial"/>
          <w:sz w:val="20"/>
          <w:szCs w:val="20"/>
        </w:rPr>
        <w:t xml:space="preserve"> propondo, </w:t>
      </w:r>
      <w:r w:rsidRPr="00E24FBC">
        <w:rPr>
          <w:rFonts w:ascii="Arial" w:hAnsi="Arial" w:cs="Arial"/>
          <w:sz w:val="20"/>
          <w:szCs w:val="20"/>
        </w:rPr>
        <w:t>conforme dispõe o artigo 1º, IV da Lei Complementar Estadual n.º 113/2005, aprecie como legal e determine o registro do Ato de Benefício Previdenciário</w:t>
      </w:r>
      <w:r>
        <w:rPr>
          <w:rFonts w:ascii="Arial" w:hAnsi="Arial" w:cs="Arial"/>
          <w:sz w:val="20"/>
          <w:szCs w:val="20"/>
        </w:rPr>
        <w:t>.</w:t>
      </w:r>
    </w:p>
    <w:p w:rsidR="009C54B9" w:rsidRDefault="009C54B9" w:rsidP="009C54B9">
      <w:pPr>
        <w:autoSpaceDE w:val="0"/>
        <w:autoSpaceDN w:val="0"/>
        <w:adjustRightInd w:val="0"/>
        <w:spacing w:after="0"/>
        <w:jc w:val="both"/>
        <w:rPr>
          <w:rFonts w:ascii="Arial" w:hAnsi="Arial" w:cs="Arial"/>
          <w:sz w:val="20"/>
          <w:szCs w:val="20"/>
        </w:rPr>
      </w:pPr>
    </w:p>
    <w:p w:rsidR="009C54B9" w:rsidRPr="00086EDF" w:rsidRDefault="009C54B9" w:rsidP="009C54B9">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967364</w:t>
      </w:r>
      <w:r w:rsidRPr="008E4CAA">
        <w:rPr>
          <w:rFonts w:ascii="Arial" w:hAnsi="Arial" w:cs="Arial"/>
          <w:sz w:val="20"/>
          <w:szCs w:val="20"/>
        </w:rPr>
        <w:t>/1</w:t>
      </w:r>
      <w:r>
        <w:rPr>
          <w:rFonts w:ascii="Arial" w:hAnsi="Arial" w:cs="Arial"/>
          <w:sz w:val="20"/>
          <w:szCs w:val="20"/>
        </w:rPr>
        <w:t>6</w:t>
      </w:r>
      <w:r w:rsidRPr="008E4CAA">
        <w:rPr>
          <w:rFonts w:ascii="Arial" w:hAnsi="Arial" w:cs="Arial"/>
          <w:sz w:val="20"/>
          <w:szCs w:val="20"/>
        </w:rPr>
        <w:t xml:space="preserve"> </w:t>
      </w:r>
      <w:hyperlink r:id="rId9" w:history="1">
        <w:r w:rsidRPr="00695F95">
          <w:rPr>
            <w:rStyle w:val="Hyperlink"/>
            <w:rFonts w:ascii="Arial" w:hAnsi="Arial" w:cs="Arial"/>
            <w:sz w:val="20"/>
            <w:szCs w:val="20"/>
            <w:u w:val="none"/>
          </w:rPr>
          <w:t>-</w:t>
        </w:r>
        <w:r w:rsidRPr="00071503">
          <w:rPr>
            <w:rStyle w:val="Hyperlink"/>
            <w:rFonts w:ascii="Arial" w:hAnsi="Arial" w:cs="Arial"/>
            <w:sz w:val="20"/>
            <w:szCs w:val="20"/>
          </w:rPr>
          <w:t xml:space="preserve"> Acórdão nº 3016/18 </w:t>
        </w:r>
        <w:r>
          <w:rPr>
            <w:rStyle w:val="Hyperlink"/>
            <w:rFonts w:ascii="Arial" w:hAnsi="Arial" w:cs="Arial"/>
            <w:sz w:val="20"/>
            <w:szCs w:val="20"/>
          </w:rPr>
          <w:t>-</w:t>
        </w:r>
        <w:r w:rsidRPr="00071503">
          <w:rPr>
            <w:rStyle w:val="Hyperlink"/>
            <w:rFonts w:ascii="Arial" w:hAnsi="Arial" w:cs="Arial"/>
            <w:sz w:val="20"/>
            <w:szCs w:val="20"/>
          </w:rPr>
          <w:t xml:space="preserve"> Segunda Câmara</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 Auditor Thiago Barbosa Cordeiro.</w:t>
      </w:r>
    </w:p>
    <w:p w:rsidR="009C54B9" w:rsidRPr="00086EDF" w:rsidRDefault="009C54B9" w:rsidP="009C54B9">
      <w:pPr>
        <w:autoSpaceDE w:val="0"/>
        <w:autoSpaceDN w:val="0"/>
        <w:adjustRightInd w:val="0"/>
        <w:spacing w:after="0"/>
        <w:rPr>
          <w:rFonts w:ascii="Arial" w:hAnsi="Arial" w:cs="Arial"/>
          <w:sz w:val="20"/>
          <w:szCs w:val="20"/>
        </w:rPr>
      </w:pPr>
    </w:p>
    <w:p w:rsidR="009C54B9" w:rsidRDefault="000719D5" w:rsidP="009C54B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9C54B9" w:rsidRPr="00DA2D76">
        <w:rPr>
          <w:rFonts w:ascii="Arial" w:hAnsi="Arial" w:cs="Arial"/>
          <w:b/>
          <w:sz w:val="20"/>
          <w:szCs w:val="20"/>
        </w:rPr>
        <w:t>Prestação de Contas</w:t>
      </w:r>
      <w:r w:rsidR="009C54B9">
        <w:rPr>
          <w:rFonts w:ascii="Arial" w:hAnsi="Arial" w:cs="Arial"/>
          <w:b/>
          <w:sz w:val="20"/>
          <w:szCs w:val="20"/>
        </w:rPr>
        <w:t>. Consórcio Público Intermunicipal de Saúde. Julgamento pela Irregularidade d</w:t>
      </w:r>
      <w:r w:rsidR="009C54B9" w:rsidRPr="00DA2D76">
        <w:rPr>
          <w:rFonts w:ascii="Arial" w:hAnsi="Arial" w:cs="Arial"/>
          <w:b/>
          <w:sz w:val="20"/>
          <w:szCs w:val="20"/>
        </w:rPr>
        <w:t xml:space="preserve">as contas em razão da Ausência de publicação dos Relatórios de Gestão Fiscal </w:t>
      </w:r>
      <w:r w:rsidR="009C54B9">
        <w:rPr>
          <w:rFonts w:ascii="Arial" w:hAnsi="Arial" w:cs="Arial"/>
          <w:b/>
          <w:sz w:val="20"/>
          <w:szCs w:val="20"/>
        </w:rPr>
        <w:t>-</w:t>
      </w:r>
      <w:r w:rsidR="009C54B9" w:rsidRPr="00DA2D76">
        <w:rPr>
          <w:rFonts w:ascii="Arial" w:hAnsi="Arial" w:cs="Arial"/>
          <w:b/>
          <w:sz w:val="20"/>
          <w:szCs w:val="20"/>
        </w:rPr>
        <w:t xml:space="preserve"> RGF</w:t>
      </w:r>
      <w:r w:rsidR="009C54B9">
        <w:rPr>
          <w:rFonts w:ascii="Arial" w:hAnsi="Arial" w:cs="Arial"/>
          <w:b/>
          <w:sz w:val="20"/>
          <w:szCs w:val="20"/>
        </w:rPr>
        <w:t xml:space="preserve">. </w:t>
      </w:r>
      <w:r w:rsidR="009C54B9" w:rsidRPr="00DA2D76">
        <w:rPr>
          <w:rFonts w:ascii="Arial" w:hAnsi="Arial" w:cs="Arial"/>
          <w:b/>
          <w:sz w:val="20"/>
          <w:szCs w:val="20"/>
        </w:rPr>
        <w:t xml:space="preserve"> </w:t>
      </w:r>
    </w:p>
    <w:p w:rsidR="009C54B9" w:rsidRPr="00E46C47" w:rsidRDefault="009C54B9" w:rsidP="009C54B9">
      <w:pPr>
        <w:autoSpaceDE w:val="0"/>
        <w:autoSpaceDN w:val="0"/>
        <w:adjustRightInd w:val="0"/>
        <w:spacing w:after="0"/>
        <w:jc w:val="both"/>
        <w:rPr>
          <w:rFonts w:ascii="Arial" w:hAnsi="Arial" w:cs="Arial"/>
          <w:b/>
          <w:sz w:val="20"/>
          <w:szCs w:val="20"/>
        </w:rPr>
      </w:pPr>
    </w:p>
    <w:p w:rsidR="009C54B9" w:rsidRDefault="009C54B9" w:rsidP="009C54B9">
      <w:pPr>
        <w:autoSpaceDE w:val="0"/>
        <w:autoSpaceDN w:val="0"/>
        <w:adjustRightInd w:val="0"/>
        <w:spacing w:after="0"/>
        <w:jc w:val="both"/>
        <w:rPr>
          <w:rFonts w:ascii="Arial" w:hAnsi="Arial" w:cs="Arial"/>
          <w:sz w:val="20"/>
          <w:szCs w:val="20"/>
        </w:rPr>
      </w:pPr>
      <w:r w:rsidRPr="00DA2D76">
        <w:rPr>
          <w:rFonts w:ascii="Arial" w:hAnsi="Arial" w:cs="Arial"/>
          <w:sz w:val="20"/>
          <w:szCs w:val="20"/>
        </w:rPr>
        <w:t xml:space="preserve">Conforme elencado na Instrução Normativa que cuidou da Prestação de Contas do Exercício de 2016, cabia ao Consórcio em exame a publicação do Relatório de Gestão Fiscal conforme o modelo estabelecido no Manual dos Demonstrativos Fiscais </w:t>
      </w:r>
      <w:r w:rsidR="00DD3AA8">
        <w:rPr>
          <w:rFonts w:ascii="Arial" w:hAnsi="Arial" w:cs="Arial"/>
          <w:sz w:val="20"/>
          <w:szCs w:val="20"/>
        </w:rPr>
        <w:t>-</w:t>
      </w:r>
      <w:r w:rsidRPr="00DA2D76">
        <w:rPr>
          <w:rFonts w:ascii="Arial" w:hAnsi="Arial" w:cs="Arial"/>
          <w:sz w:val="20"/>
          <w:szCs w:val="20"/>
        </w:rPr>
        <w:t xml:space="preserve"> MDF </w:t>
      </w:r>
      <w:r w:rsidR="00DD3AA8">
        <w:rPr>
          <w:rFonts w:ascii="Arial" w:hAnsi="Arial" w:cs="Arial"/>
          <w:sz w:val="20"/>
          <w:szCs w:val="20"/>
        </w:rPr>
        <w:t>-</w:t>
      </w:r>
      <w:r w:rsidRPr="00DA2D76">
        <w:rPr>
          <w:rFonts w:ascii="Arial" w:hAnsi="Arial" w:cs="Arial"/>
          <w:sz w:val="20"/>
          <w:szCs w:val="20"/>
        </w:rPr>
        <w:t xml:space="preserve"> 6ª Edição, condição não atendida nos documentos apresentados em sede de contraditório, pois, o Responsável trouxe demonstrativos cujas configurações atendiam apenas aos Entes da Federação (Municípios) e não especificamente aos Consórcios.  </w:t>
      </w:r>
    </w:p>
    <w:p w:rsidR="009C54B9" w:rsidRPr="00DA2D76" w:rsidRDefault="009C54B9" w:rsidP="009C54B9">
      <w:pPr>
        <w:autoSpaceDE w:val="0"/>
        <w:autoSpaceDN w:val="0"/>
        <w:adjustRightInd w:val="0"/>
        <w:spacing w:after="0"/>
        <w:jc w:val="both"/>
        <w:rPr>
          <w:rFonts w:ascii="Arial" w:hAnsi="Arial" w:cs="Arial"/>
          <w:sz w:val="20"/>
          <w:szCs w:val="20"/>
        </w:rPr>
      </w:pPr>
    </w:p>
    <w:p w:rsidR="009C54B9" w:rsidRDefault="009C54B9" w:rsidP="009C54B9">
      <w:pPr>
        <w:autoSpaceDE w:val="0"/>
        <w:autoSpaceDN w:val="0"/>
        <w:adjustRightInd w:val="0"/>
        <w:spacing w:after="0"/>
        <w:jc w:val="both"/>
        <w:rPr>
          <w:rFonts w:ascii="Arial" w:hAnsi="Arial" w:cs="Arial"/>
          <w:sz w:val="20"/>
          <w:szCs w:val="20"/>
        </w:rPr>
      </w:pPr>
      <w:r>
        <w:rPr>
          <w:rFonts w:ascii="Arial" w:hAnsi="Arial" w:cs="Arial"/>
          <w:sz w:val="20"/>
          <w:szCs w:val="20"/>
        </w:rPr>
        <w:t>No</w:t>
      </w:r>
      <w:r w:rsidRPr="00DA2D76">
        <w:rPr>
          <w:rFonts w:ascii="Arial" w:hAnsi="Arial" w:cs="Arial"/>
          <w:sz w:val="20"/>
          <w:szCs w:val="20"/>
        </w:rPr>
        <w:t xml:space="preserve"> modelo destinado aos Consórcios devem constar as informações das despesas com pessoal de cada Ente Consorciado e, ainda, no Demonstrativo da Disponibilidade de Caixa e Restos a Pagar deveriam constar os recursos transferidos de contrato de rateio entre vinculados e não vinculados, dentre outras especificidades, restando prejudicada, dessa forma, o Princípio da Transparência buscado pelo mencionado diploma legal. </w:t>
      </w:r>
      <w:r>
        <w:rPr>
          <w:rFonts w:ascii="Arial" w:hAnsi="Arial" w:cs="Arial"/>
          <w:sz w:val="20"/>
          <w:szCs w:val="20"/>
        </w:rPr>
        <w:t xml:space="preserve">Julgamento </w:t>
      </w:r>
      <w:r w:rsidRPr="00DA2D76">
        <w:rPr>
          <w:rFonts w:ascii="Arial" w:hAnsi="Arial" w:cs="Arial"/>
          <w:sz w:val="20"/>
          <w:szCs w:val="20"/>
        </w:rPr>
        <w:t xml:space="preserve">pela </w:t>
      </w:r>
      <w:r>
        <w:rPr>
          <w:rFonts w:ascii="Arial" w:hAnsi="Arial" w:cs="Arial"/>
          <w:sz w:val="20"/>
          <w:szCs w:val="20"/>
        </w:rPr>
        <w:t>irregularidade</w:t>
      </w:r>
      <w:r w:rsidRPr="00DA2D76">
        <w:rPr>
          <w:rFonts w:ascii="Arial" w:hAnsi="Arial" w:cs="Arial"/>
          <w:sz w:val="20"/>
          <w:szCs w:val="20"/>
        </w:rPr>
        <w:t xml:space="preserve"> neste ponto, com aplicação de </w:t>
      </w:r>
      <w:r>
        <w:rPr>
          <w:rFonts w:ascii="Arial" w:hAnsi="Arial" w:cs="Arial"/>
          <w:sz w:val="20"/>
          <w:szCs w:val="20"/>
        </w:rPr>
        <w:t>multa</w:t>
      </w:r>
      <w:r w:rsidRPr="00DA2D76">
        <w:rPr>
          <w:rFonts w:ascii="Arial" w:hAnsi="Arial" w:cs="Arial"/>
          <w:sz w:val="20"/>
          <w:szCs w:val="20"/>
        </w:rPr>
        <w:t xml:space="preserve">. </w:t>
      </w:r>
    </w:p>
    <w:p w:rsidR="009C54B9" w:rsidRPr="00E46C47" w:rsidRDefault="009C54B9" w:rsidP="009C54B9">
      <w:pPr>
        <w:autoSpaceDE w:val="0"/>
        <w:autoSpaceDN w:val="0"/>
        <w:adjustRightInd w:val="0"/>
        <w:spacing w:after="0"/>
        <w:jc w:val="both"/>
        <w:rPr>
          <w:rFonts w:ascii="Arial" w:hAnsi="Arial" w:cs="Arial"/>
          <w:sz w:val="20"/>
          <w:szCs w:val="20"/>
        </w:rPr>
      </w:pPr>
    </w:p>
    <w:p w:rsidR="009C54B9" w:rsidRPr="00E46C47" w:rsidRDefault="009C54B9" w:rsidP="009C54B9">
      <w:pPr>
        <w:autoSpaceDE w:val="0"/>
        <w:autoSpaceDN w:val="0"/>
        <w:adjustRightInd w:val="0"/>
        <w:spacing w:after="0"/>
        <w:jc w:val="both"/>
        <w:rPr>
          <w:rFonts w:ascii="Arial" w:hAnsi="Arial" w:cs="Arial"/>
          <w:sz w:val="20"/>
          <w:szCs w:val="20"/>
        </w:rPr>
      </w:pPr>
      <w:r w:rsidRPr="00E46C47">
        <w:rPr>
          <w:rFonts w:ascii="Arial" w:hAnsi="Arial" w:cs="Arial"/>
          <w:sz w:val="20"/>
          <w:szCs w:val="20"/>
        </w:rPr>
        <w:t xml:space="preserve">Processo nº </w:t>
      </w:r>
      <w:r>
        <w:rPr>
          <w:rFonts w:ascii="Arial" w:hAnsi="Arial" w:cs="Arial"/>
          <w:sz w:val="20"/>
          <w:szCs w:val="20"/>
        </w:rPr>
        <w:t>307325</w:t>
      </w:r>
      <w:r w:rsidRPr="00E46C47">
        <w:rPr>
          <w:rFonts w:ascii="Arial" w:hAnsi="Arial" w:cs="Arial"/>
          <w:sz w:val="20"/>
          <w:szCs w:val="20"/>
        </w:rPr>
        <w:t xml:space="preserve">/17 - </w:t>
      </w:r>
      <w:hyperlink r:id="rId10" w:history="1">
        <w:r w:rsidRPr="004B686B">
          <w:rPr>
            <w:rStyle w:val="Hyperlink"/>
            <w:rFonts w:ascii="Arial" w:hAnsi="Arial" w:cs="Arial"/>
            <w:sz w:val="20"/>
            <w:szCs w:val="20"/>
          </w:rPr>
          <w:t xml:space="preserve">Acórdão nº 2990/18 </w:t>
        </w:r>
        <w:r w:rsidR="00DD3AA8">
          <w:rPr>
            <w:rStyle w:val="Hyperlink"/>
            <w:rFonts w:ascii="Arial" w:hAnsi="Arial" w:cs="Arial"/>
            <w:sz w:val="20"/>
            <w:szCs w:val="20"/>
          </w:rPr>
          <w:t>-</w:t>
        </w:r>
        <w:r w:rsidRPr="004B686B">
          <w:rPr>
            <w:rStyle w:val="Hyperlink"/>
            <w:rFonts w:ascii="Arial" w:hAnsi="Arial" w:cs="Arial"/>
            <w:sz w:val="20"/>
            <w:szCs w:val="20"/>
          </w:rPr>
          <w:t xml:space="preserve"> Segunda Câmara</w:t>
        </w:r>
      </w:hyperlink>
      <w:r w:rsidRPr="00E46C47">
        <w:rPr>
          <w:rFonts w:ascii="Arial" w:hAnsi="Arial" w:cs="Arial"/>
          <w:sz w:val="20"/>
          <w:szCs w:val="20"/>
        </w:rPr>
        <w:t xml:space="preserve"> </w:t>
      </w:r>
      <w:r w:rsidR="00DD3AA8">
        <w:rPr>
          <w:rFonts w:ascii="Arial" w:hAnsi="Arial" w:cs="Arial"/>
          <w:sz w:val="20"/>
          <w:szCs w:val="20"/>
        </w:rPr>
        <w:t>-</w:t>
      </w:r>
      <w:r w:rsidRPr="00E46C47">
        <w:rPr>
          <w:rFonts w:ascii="Arial" w:hAnsi="Arial" w:cs="Arial"/>
          <w:sz w:val="20"/>
          <w:szCs w:val="20"/>
        </w:rPr>
        <w:t xml:space="preserve"> Rel</w:t>
      </w:r>
      <w:r w:rsidR="00DD3AA8">
        <w:rPr>
          <w:rFonts w:ascii="Arial" w:hAnsi="Arial" w:cs="Arial"/>
          <w:sz w:val="20"/>
          <w:szCs w:val="20"/>
        </w:rPr>
        <w:t xml:space="preserve">. </w:t>
      </w:r>
      <w:r w:rsidRPr="00E46C47">
        <w:rPr>
          <w:rFonts w:ascii="Arial" w:hAnsi="Arial" w:cs="Arial"/>
          <w:sz w:val="20"/>
          <w:szCs w:val="20"/>
        </w:rPr>
        <w:t xml:space="preserve">Conselheiro </w:t>
      </w:r>
      <w:proofErr w:type="spellStart"/>
      <w:r w:rsidRPr="00E46C47">
        <w:rPr>
          <w:rFonts w:ascii="Arial" w:hAnsi="Arial" w:cs="Arial"/>
          <w:sz w:val="20"/>
          <w:szCs w:val="20"/>
        </w:rPr>
        <w:t>Artagão</w:t>
      </w:r>
      <w:proofErr w:type="spellEnd"/>
      <w:r w:rsidRPr="00E46C47">
        <w:rPr>
          <w:rFonts w:ascii="Arial" w:hAnsi="Arial" w:cs="Arial"/>
          <w:sz w:val="20"/>
          <w:szCs w:val="20"/>
        </w:rPr>
        <w:t xml:space="preserve"> de Mattos Leão</w:t>
      </w:r>
      <w:r>
        <w:rPr>
          <w:rFonts w:ascii="Arial" w:hAnsi="Arial" w:cs="Arial"/>
          <w:sz w:val="20"/>
          <w:szCs w:val="20"/>
        </w:rPr>
        <w:t>.</w:t>
      </w:r>
    </w:p>
    <w:p w:rsidR="009C54B9" w:rsidRDefault="009C54B9" w:rsidP="009C54B9">
      <w:pPr>
        <w:autoSpaceDE w:val="0"/>
        <w:autoSpaceDN w:val="0"/>
        <w:adjustRightInd w:val="0"/>
        <w:spacing w:after="0"/>
        <w:jc w:val="both"/>
        <w:rPr>
          <w:rFonts w:ascii="Arial" w:hAnsi="Arial" w:cs="Arial"/>
          <w:b/>
          <w:sz w:val="20"/>
          <w:szCs w:val="20"/>
        </w:rPr>
      </w:pPr>
    </w:p>
    <w:p w:rsidR="009C54B9" w:rsidRPr="003A6BCC" w:rsidRDefault="000719D5" w:rsidP="009C54B9">
      <w:pPr>
        <w:autoSpaceDE w:val="0"/>
        <w:autoSpaceDN w:val="0"/>
        <w:adjustRightInd w:val="0"/>
        <w:spacing w:after="0"/>
        <w:jc w:val="both"/>
        <w:rPr>
          <w:rFonts w:ascii="Arial" w:hAnsi="Arial" w:cs="Arial"/>
          <w:sz w:val="20"/>
          <w:szCs w:val="20"/>
        </w:rPr>
      </w:pPr>
      <w:r>
        <w:rPr>
          <w:rFonts w:ascii="Arial" w:hAnsi="Arial" w:cs="Arial"/>
          <w:b/>
          <w:sz w:val="20"/>
          <w:szCs w:val="20"/>
        </w:rPr>
        <w:t xml:space="preserve">4. </w:t>
      </w:r>
      <w:r w:rsidR="009C54B9" w:rsidRPr="007B1374">
        <w:rPr>
          <w:rFonts w:ascii="Arial" w:hAnsi="Arial" w:cs="Arial"/>
          <w:b/>
          <w:sz w:val="20"/>
          <w:szCs w:val="20"/>
        </w:rPr>
        <w:t xml:space="preserve">Relatório de Auditoria convertido em Tomada de Contas Extraordinária. PAF 2013. Terceirização indevida. Participação de </w:t>
      </w:r>
      <w:proofErr w:type="spellStart"/>
      <w:r w:rsidR="009C54B9" w:rsidRPr="007B1374">
        <w:rPr>
          <w:rFonts w:ascii="Arial" w:hAnsi="Arial" w:cs="Arial"/>
          <w:b/>
          <w:sz w:val="20"/>
          <w:szCs w:val="20"/>
        </w:rPr>
        <w:t>OSCIPs</w:t>
      </w:r>
      <w:proofErr w:type="spellEnd"/>
      <w:r w:rsidR="009C54B9" w:rsidRPr="007B1374">
        <w:rPr>
          <w:rFonts w:ascii="Arial" w:hAnsi="Arial" w:cs="Arial"/>
          <w:b/>
          <w:sz w:val="20"/>
          <w:szCs w:val="20"/>
        </w:rPr>
        <w:t xml:space="preserve"> em procedimentos licitatórios: incompatibilidade. Vínculo de cooperação</w:t>
      </w:r>
      <w:r w:rsidR="009C54B9">
        <w:rPr>
          <w:rFonts w:ascii="Arial" w:hAnsi="Arial" w:cs="Arial"/>
          <w:b/>
          <w:sz w:val="20"/>
          <w:szCs w:val="20"/>
        </w:rPr>
        <w:t xml:space="preserve"> e</w:t>
      </w:r>
      <w:r w:rsidR="009C54B9" w:rsidRPr="007B1374">
        <w:rPr>
          <w:rFonts w:ascii="Arial" w:hAnsi="Arial" w:cs="Arial"/>
          <w:b/>
          <w:sz w:val="20"/>
          <w:szCs w:val="20"/>
        </w:rPr>
        <w:t xml:space="preserve"> não contratual. Termo de Parceria: imprescindibilidade. Prestação de contas: obrigatoriedade. Procedência. Irregularidade. Restituição dos recursos. Multas. </w:t>
      </w:r>
      <w:r w:rsidR="009C54B9" w:rsidRPr="003A6BCC">
        <w:rPr>
          <w:rFonts w:ascii="Arial" w:hAnsi="Arial" w:cs="Arial"/>
          <w:b/>
          <w:sz w:val="20"/>
          <w:szCs w:val="20"/>
        </w:rPr>
        <w:t>Ressalva.</w:t>
      </w:r>
    </w:p>
    <w:p w:rsidR="009C54B9" w:rsidRPr="003A6BCC" w:rsidRDefault="009C54B9" w:rsidP="009C54B9">
      <w:pPr>
        <w:autoSpaceDE w:val="0"/>
        <w:autoSpaceDN w:val="0"/>
        <w:adjustRightInd w:val="0"/>
        <w:spacing w:after="0"/>
        <w:jc w:val="both"/>
        <w:rPr>
          <w:rFonts w:ascii="Arial" w:hAnsi="Arial" w:cs="Arial"/>
          <w:b/>
          <w:sz w:val="20"/>
          <w:szCs w:val="20"/>
        </w:rPr>
      </w:pPr>
    </w:p>
    <w:p w:rsidR="009C54B9" w:rsidRPr="008455D9" w:rsidRDefault="009C54B9" w:rsidP="009C54B9">
      <w:pPr>
        <w:autoSpaceDE w:val="0"/>
        <w:autoSpaceDN w:val="0"/>
        <w:adjustRightInd w:val="0"/>
        <w:spacing w:after="0"/>
        <w:jc w:val="both"/>
        <w:rPr>
          <w:rFonts w:ascii="Arial" w:hAnsi="Arial" w:cs="Arial"/>
          <w:sz w:val="20"/>
          <w:szCs w:val="20"/>
        </w:rPr>
      </w:pPr>
      <w:r>
        <w:rPr>
          <w:rFonts w:ascii="Arial" w:hAnsi="Arial" w:cs="Arial"/>
          <w:sz w:val="20"/>
          <w:szCs w:val="20"/>
        </w:rPr>
        <w:t>N</w:t>
      </w:r>
      <w:r w:rsidRPr="008455D9">
        <w:rPr>
          <w:rFonts w:ascii="Arial" w:hAnsi="Arial" w:cs="Arial"/>
          <w:sz w:val="20"/>
          <w:szCs w:val="20"/>
        </w:rPr>
        <w:t xml:space="preserve">ão cabe à administração optar entre o Termo de Parceria e o Contrato. O vínculo com uma OSCIP deve ser formalizado mediante Termo de Parceria. Ademais, a teor do parágrafo único do art. 70 da CF e da letra </w:t>
      </w:r>
      <w:r w:rsidR="009035D4">
        <w:rPr>
          <w:rFonts w:ascii="Arial" w:hAnsi="Arial" w:cs="Arial"/>
          <w:sz w:val="20"/>
          <w:szCs w:val="20"/>
        </w:rPr>
        <w:t>“</w:t>
      </w:r>
      <w:r w:rsidRPr="008455D9">
        <w:rPr>
          <w:rFonts w:ascii="Arial" w:hAnsi="Arial" w:cs="Arial"/>
          <w:sz w:val="20"/>
          <w:szCs w:val="20"/>
        </w:rPr>
        <w:t>d</w:t>
      </w:r>
      <w:r w:rsidR="009035D4">
        <w:rPr>
          <w:rFonts w:ascii="Arial" w:hAnsi="Arial" w:cs="Arial"/>
          <w:sz w:val="20"/>
          <w:szCs w:val="20"/>
        </w:rPr>
        <w:t>”</w:t>
      </w:r>
      <w:r w:rsidRPr="008455D9">
        <w:rPr>
          <w:rFonts w:ascii="Arial" w:hAnsi="Arial" w:cs="Arial"/>
          <w:sz w:val="20"/>
          <w:szCs w:val="20"/>
        </w:rPr>
        <w:t xml:space="preserve"> do inc. VII do art. 4º da Lei</w:t>
      </w:r>
      <w:r w:rsidR="009035D4">
        <w:rPr>
          <w:rFonts w:ascii="Arial" w:hAnsi="Arial" w:cs="Arial"/>
          <w:sz w:val="20"/>
          <w:szCs w:val="20"/>
        </w:rPr>
        <w:t xml:space="preserve"> n° </w:t>
      </w:r>
      <w:r w:rsidRPr="008455D9">
        <w:rPr>
          <w:rFonts w:ascii="Arial" w:hAnsi="Arial" w:cs="Arial"/>
          <w:sz w:val="20"/>
          <w:szCs w:val="20"/>
        </w:rPr>
        <w:t xml:space="preserve">9790/99, todos os recursos e bens </w:t>
      </w:r>
      <w:r w:rsidRPr="008455D9">
        <w:rPr>
          <w:rFonts w:ascii="Arial" w:hAnsi="Arial" w:cs="Arial"/>
          <w:sz w:val="20"/>
          <w:szCs w:val="20"/>
        </w:rPr>
        <w:lastRenderedPageBreak/>
        <w:t xml:space="preserve">de origem pública recebidos pelas </w:t>
      </w:r>
      <w:proofErr w:type="spellStart"/>
      <w:r w:rsidRPr="008455D9">
        <w:rPr>
          <w:rFonts w:ascii="Arial" w:hAnsi="Arial" w:cs="Arial"/>
          <w:sz w:val="20"/>
          <w:szCs w:val="20"/>
        </w:rPr>
        <w:t>OSCIPs</w:t>
      </w:r>
      <w:proofErr w:type="spellEnd"/>
      <w:r w:rsidRPr="008455D9">
        <w:rPr>
          <w:rFonts w:ascii="Arial" w:hAnsi="Arial" w:cs="Arial"/>
          <w:sz w:val="20"/>
          <w:szCs w:val="20"/>
        </w:rPr>
        <w:t xml:space="preserve"> deverão ser objeto de prestação de contas, que não ocorreu. </w:t>
      </w:r>
    </w:p>
    <w:p w:rsidR="009C54B9" w:rsidRDefault="009C54B9" w:rsidP="009C54B9">
      <w:pPr>
        <w:autoSpaceDE w:val="0"/>
        <w:autoSpaceDN w:val="0"/>
        <w:adjustRightInd w:val="0"/>
        <w:spacing w:after="0"/>
        <w:jc w:val="both"/>
        <w:rPr>
          <w:rFonts w:ascii="Arial" w:hAnsi="Arial" w:cs="Arial"/>
          <w:sz w:val="20"/>
          <w:szCs w:val="20"/>
        </w:rPr>
      </w:pPr>
    </w:p>
    <w:p w:rsidR="009C54B9" w:rsidRDefault="009C54B9" w:rsidP="009C54B9">
      <w:pPr>
        <w:autoSpaceDE w:val="0"/>
        <w:autoSpaceDN w:val="0"/>
        <w:adjustRightInd w:val="0"/>
        <w:spacing w:after="0"/>
        <w:jc w:val="both"/>
        <w:rPr>
          <w:rFonts w:ascii="Arial" w:hAnsi="Arial" w:cs="Arial"/>
          <w:sz w:val="20"/>
          <w:szCs w:val="20"/>
        </w:rPr>
      </w:pPr>
      <w:r w:rsidRPr="008455D9">
        <w:rPr>
          <w:rFonts w:ascii="Arial" w:hAnsi="Arial" w:cs="Arial"/>
          <w:sz w:val="20"/>
          <w:szCs w:val="20"/>
        </w:rPr>
        <w:t xml:space="preserve">Nesse contexto, a mera alegação de que </w:t>
      </w:r>
      <w:r w:rsidRPr="005C0797">
        <w:rPr>
          <w:rFonts w:ascii="Arial" w:hAnsi="Arial" w:cs="Arial"/>
          <w:i/>
          <w:sz w:val="20"/>
          <w:szCs w:val="20"/>
        </w:rPr>
        <w:t>“os serviços contratados foram prestados”</w:t>
      </w:r>
      <w:r w:rsidRPr="008455D9">
        <w:rPr>
          <w:rFonts w:ascii="Arial" w:hAnsi="Arial" w:cs="Arial"/>
          <w:sz w:val="20"/>
          <w:szCs w:val="20"/>
        </w:rPr>
        <w:t xml:space="preserve"> é insuficiente para demonstrar a regular aplicação dos recursos repassados. Consequentemente, a não prestação das contas impõe a devolução dos recursos.</w:t>
      </w:r>
      <w:r>
        <w:rPr>
          <w:rFonts w:ascii="Arial" w:hAnsi="Arial" w:cs="Arial"/>
          <w:sz w:val="20"/>
          <w:szCs w:val="20"/>
        </w:rPr>
        <w:t xml:space="preserve"> </w:t>
      </w:r>
    </w:p>
    <w:p w:rsidR="009C54B9" w:rsidRDefault="009C54B9" w:rsidP="009C54B9">
      <w:pPr>
        <w:autoSpaceDE w:val="0"/>
        <w:autoSpaceDN w:val="0"/>
        <w:adjustRightInd w:val="0"/>
        <w:spacing w:after="0"/>
        <w:jc w:val="both"/>
        <w:rPr>
          <w:rFonts w:ascii="Arial" w:hAnsi="Arial" w:cs="Arial"/>
          <w:sz w:val="20"/>
          <w:szCs w:val="20"/>
        </w:rPr>
      </w:pPr>
    </w:p>
    <w:p w:rsidR="009C54B9" w:rsidRDefault="009C54B9" w:rsidP="009C54B9">
      <w:pPr>
        <w:autoSpaceDE w:val="0"/>
        <w:autoSpaceDN w:val="0"/>
        <w:adjustRightInd w:val="0"/>
        <w:spacing w:after="0"/>
        <w:jc w:val="both"/>
        <w:rPr>
          <w:rFonts w:ascii="Arial" w:hAnsi="Arial" w:cs="Arial"/>
          <w:sz w:val="20"/>
          <w:szCs w:val="20"/>
        </w:rPr>
      </w:pPr>
      <w:r w:rsidRPr="008455D9">
        <w:rPr>
          <w:rFonts w:ascii="Arial" w:hAnsi="Arial" w:cs="Arial"/>
          <w:sz w:val="20"/>
          <w:szCs w:val="20"/>
        </w:rPr>
        <w:t>Conforme já mencionado, o vício está na não formalização do vínculo mediante Termo de Parceria, bem assim na ausência da respectiva prestação de contas.</w:t>
      </w:r>
    </w:p>
    <w:p w:rsidR="009C54B9" w:rsidRDefault="009C54B9" w:rsidP="009C54B9">
      <w:pPr>
        <w:autoSpaceDE w:val="0"/>
        <w:autoSpaceDN w:val="0"/>
        <w:adjustRightInd w:val="0"/>
        <w:spacing w:after="0"/>
        <w:jc w:val="both"/>
        <w:rPr>
          <w:rFonts w:ascii="Arial" w:hAnsi="Arial" w:cs="Arial"/>
          <w:sz w:val="20"/>
          <w:szCs w:val="20"/>
        </w:rPr>
      </w:pPr>
    </w:p>
    <w:p w:rsidR="009C54B9" w:rsidRDefault="009C54B9" w:rsidP="009C54B9">
      <w:pPr>
        <w:autoSpaceDE w:val="0"/>
        <w:autoSpaceDN w:val="0"/>
        <w:adjustRightInd w:val="0"/>
        <w:spacing w:after="0"/>
        <w:jc w:val="both"/>
        <w:rPr>
          <w:rFonts w:ascii="Arial" w:hAnsi="Arial" w:cs="Arial"/>
          <w:sz w:val="20"/>
          <w:szCs w:val="20"/>
        </w:rPr>
      </w:pPr>
      <w:r>
        <w:rPr>
          <w:rFonts w:ascii="Arial" w:hAnsi="Arial" w:cs="Arial"/>
          <w:sz w:val="20"/>
          <w:szCs w:val="20"/>
        </w:rPr>
        <w:t xml:space="preserve">A </w:t>
      </w:r>
      <w:r w:rsidRPr="008455D9">
        <w:rPr>
          <w:rFonts w:ascii="Arial" w:hAnsi="Arial" w:cs="Arial"/>
          <w:sz w:val="20"/>
          <w:szCs w:val="20"/>
        </w:rPr>
        <w:t>responsabilização toma por base a inobservância do instrumento legal adequado à formalização do vínculo e, consequentemente, a não demonstração, via prestação de contas, da regular aplicação dos recursos.</w:t>
      </w:r>
    </w:p>
    <w:p w:rsidR="009C54B9" w:rsidRPr="003A6BCC" w:rsidRDefault="009C54B9" w:rsidP="009C54B9">
      <w:pPr>
        <w:autoSpaceDE w:val="0"/>
        <w:autoSpaceDN w:val="0"/>
        <w:adjustRightInd w:val="0"/>
        <w:spacing w:after="0"/>
        <w:jc w:val="both"/>
        <w:rPr>
          <w:rFonts w:ascii="Arial" w:hAnsi="Arial" w:cs="Arial"/>
          <w:sz w:val="20"/>
          <w:szCs w:val="20"/>
        </w:rPr>
      </w:pPr>
    </w:p>
    <w:p w:rsidR="009C54B9" w:rsidRDefault="009C54B9" w:rsidP="009C54B9">
      <w:pPr>
        <w:autoSpaceDE w:val="0"/>
        <w:autoSpaceDN w:val="0"/>
        <w:adjustRightInd w:val="0"/>
        <w:spacing w:after="0"/>
        <w:jc w:val="both"/>
        <w:rPr>
          <w:rFonts w:ascii="Arial" w:hAnsi="Arial" w:cs="Arial"/>
          <w:sz w:val="20"/>
          <w:szCs w:val="20"/>
        </w:rPr>
      </w:pPr>
      <w:r w:rsidRPr="003A6BCC">
        <w:rPr>
          <w:rFonts w:ascii="Arial" w:hAnsi="Arial" w:cs="Arial"/>
          <w:sz w:val="20"/>
          <w:szCs w:val="20"/>
        </w:rPr>
        <w:t xml:space="preserve">Processo nº </w:t>
      </w:r>
      <w:r>
        <w:rPr>
          <w:rFonts w:ascii="Arial" w:hAnsi="Arial" w:cs="Arial"/>
          <w:sz w:val="20"/>
          <w:szCs w:val="20"/>
        </w:rPr>
        <w:t>276308/13</w:t>
      </w:r>
      <w:r w:rsidRPr="003A6BCC">
        <w:rPr>
          <w:rFonts w:ascii="Arial" w:hAnsi="Arial" w:cs="Arial"/>
          <w:sz w:val="20"/>
          <w:szCs w:val="20"/>
        </w:rPr>
        <w:t xml:space="preserve"> - </w:t>
      </w:r>
      <w:hyperlink r:id="rId11" w:history="1">
        <w:r w:rsidRPr="004B686B">
          <w:rPr>
            <w:rStyle w:val="Hyperlink"/>
            <w:rFonts w:ascii="Arial" w:hAnsi="Arial" w:cs="Arial"/>
            <w:sz w:val="20"/>
            <w:szCs w:val="20"/>
          </w:rPr>
          <w:t xml:space="preserve">Acórdão nº 2997/18 </w:t>
        </w:r>
        <w:r>
          <w:rPr>
            <w:rStyle w:val="Hyperlink"/>
            <w:rFonts w:ascii="Arial" w:hAnsi="Arial" w:cs="Arial"/>
            <w:sz w:val="20"/>
            <w:szCs w:val="20"/>
          </w:rPr>
          <w:t>-</w:t>
        </w:r>
        <w:r w:rsidRPr="004B686B">
          <w:rPr>
            <w:rStyle w:val="Hyperlink"/>
            <w:rFonts w:ascii="Arial" w:hAnsi="Arial" w:cs="Arial"/>
            <w:sz w:val="20"/>
            <w:szCs w:val="20"/>
          </w:rPr>
          <w:t xml:space="preserve"> Segunda Câmara</w:t>
        </w:r>
      </w:hyperlink>
      <w:r w:rsidRPr="003A6BCC">
        <w:rPr>
          <w:rFonts w:ascii="Arial" w:hAnsi="Arial" w:cs="Arial"/>
          <w:sz w:val="20"/>
          <w:szCs w:val="20"/>
        </w:rPr>
        <w:t xml:space="preserve"> </w:t>
      </w:r>
      <w:r w:rsidR="009035D4">
        <w:rPr>
          <w:rFonts w:ascii="Arial" w:hAnsi="Arial" w:cs="Arial"/>
          <w:sz w:val="20"/>
          <w:szCs w:val="20"/>
        </w:rPr>
        <w:t>-</w:t>
      </w:r>
      <w:r w:rsidRPr="003A6BCC">
        <w:rPr>
          <w:rFonts w:ascii="Arial" w:hAnsi="Arial" w:cs="Arial"/>
          <w:sz w:val="20"/>
          <w:szCs w:val="20"/>
        </w:rPr>
        <w:t xml:space="preserve"> Rel</w:t>
      </w:r>
      <w:r w:rsidR="009035D4">
        <w:rPr>
          <w:rFonts w:ascii="Arial" w:hAnsi="Arial" w:cs="Arial"/>
          <w:sz w:val="20"/>
          <w:szCs w:val="20"/>
        </w:rPr>
        <w:t>.</w:t>
      </w:r>
      <w:r w:rsidRPr="003A6BCC">
        <w:rPr>
          <w:rFonts w:ascii="Arial" w:hAnsi="Arial" w:cs="Arial"/>
          <w:sz w:val="20"/>
          <w:szCs w:val="20"/>
        </w:rPr>
        <w:t xml:space="preserve">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p>
    <w:p w:rsidR="008F4062" w:rsidRDefault="008F4062" w:rsidP="009C54B9">
      <w:pPr>
        <w:autoSpaceDE w:val="0"/>
        <w:autoSpaceDN w:val="0"/>
        <w:adjustRightInd w:val="0"/>
        <w:spacing w:after="0"/>
        <w:jc w:val="both"/>
        <w:rPr>
          <w:rFonts w:ascii="Arial" w:hAnsi="Arial" w:cs="Arial"/>
          <w:sz w:val="20"/>
          <w:szCs w:val="20"/>
        </w:rPr>
      </w:pPr>
    </w:p>
    <w:p w:rsidR="008F4062" w:rsidRPr="008F4062" w:rsidRDefault="000719D5" w:rsidP="009C54B9">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8F4062" w:rsidRPr="008F4062">
        <w:rPr>
          <w:rFonts w:ascii="Arial" w:hAnsi="Arial" w:cs="Arial"/>
          <w:b/>
          <w:sz w:val="20"/>
          <w:szCs w:val="20"/>
        </w:rPr>
        <w:t xml:space="preserve">Revisão de pensão. Incorporação de verba de representação. Direito à integralidade e à paridade. Lei Estadual nº 18.135/2014, que, em seu art. 38, §5º consolidou os percentuais de verba de representação concedidos por meio de resoluções. Atos de revisão anteriores. Ausência de indícios de </w:t>
      </w:r>
      <w:proofErr w:type="spellStart"/>
      <w:r w:rsidR="008F4062" w:rsidRPr="008F4062">
        <w:rPr>
          <w:rFonts w:ascii="Arial" w:hAnsi="Arial" w:cs="Arial"/>
          <w:b/>
          <w:sz w:val="20"/>
          <w:szCs w:val="20"/>
        </w:rPr>
        <w:t>dano</w:t>
      </w:r>
      <w:proofErr w:type="spellEnd"/>
      <w:r w:rsidR="008F4062" w:rsidRPr="008F4062">
        <w:rPr>
          <w:rFonts w:ascii="Arial" w:hAnsi="Arial" w:cs="Arial"/>
          <w:b/>
          <w:sz w:val="20"/>
          <w:szCs w:val="20"/>
        </w:rPr>
        <w:t xml:space="preserve"> ao erário. Interpretação segundo art. 24 da Lei nº 13.655/18. Legalidade e registro. Recomendação.</w:t>
      </w:r>
    </w:p>
    <w:p w:rsidR="008F4062" w:rsidRPr="008F4062" w:rsidRDefault="008F4062" w:rsidP="009C54B9">
      <w:pPr>
        <w:autoSpaceDE w:val="0"/>
        <w:autoSpaceDN w:val="0"/>
        <w:adjustRightInd w:val="0"/>
        <w:spacing w:after="0"/>
        <w:jc w:val="both"/>
        <w:rPr>
          <w:rFonts w:ascii="Arial" w:hAnsi="Arial" w:cs="Arial"/>
          <w:sz w:val="20"/>
          <w:szCs w:val="20"/>
        </w:rPr>
      </w:pPr>
    </w:p>
    <w:p w:rsidR="008F4062" w:rsidRDefault="008F4062" w:rsidP="009C54B9">
      <w:pPr>
        <w:autoSpaceDE w:val="0"/>
        <w:autoSpaceDN w:val="0"/>
        <w:adjustRightInd w:val="0"/>
        <w:spacing w:after="0"/>
        <w:jc w:val="both"/>
        <w:rPr>
          <w:rFonts w:ascii="Arial" w:hAnsi="Arial" w:cs="Arial"/>
          <w:sz w:val="20"/>
          <w:szCs w:val="20"/>
        </w:rPr>
      </w:pPr>
      <w:r w:rsidRPr="008F4062">
        <w:rPr>
          <w:rFonts w:ascii="Arial" w:hAnsi="Arial" w:cs="Arial"/>
          <w:sz w:val="20"/>
          <w:szCs w:val="20"/>
        </w:rPr>
        <w:t>É</w:t>
      </w:r>
      <w:r>
        <w:rPr>
          <w:rFonts w:ascii="Arial" w:hAnsi="Arial" w:cs="Arial"/>
          <w:sz w:val="20"/>
          <w:szCs w:val="20"/>
        </w:rPr>
        <w:t xml:space="preserve"> </w:t>
      </w:r>
      <w:r w:rsidRPr="008F4062">
        <w:rPr>
          <w:rFonts w:ascii="Arial" w:hAnsi="Arial" w:cs="Arial"/>
          <w:sz w:val="20"/>
          <w:szCs w:val="20"/>
        </w:rPr>
        <w:t>relevante levar em consideração o contexto em que os atos normativos eram editados na Assembleia Legislativa do Estado, ao tempo dos fatos ora analisados, haja vista que, do ponto de vista formal, carecem da efetiva iniciativa legislativa, e, mesmo do ponto de vista material, nem sempre guardam a devida coerência com o regime jurídico aplicável aos servidores, devendo a interpretação levar em conta, além os princípios acima referidos, a dificuldade do gestor que assume a autoria dos atos subsequentes corrigir essa falhas, sem dar causa a um desarrazoado prejuízo aos seus beneficiários. Nesse sentido, o disposto no art. 24 da Lei nº13.655, de 2018, que acrescentou novos dispositivos à Lei de Introdução às normas do Direito Brasileiro.</w:t>
      </w:r>
    </w:p>
    <w:p w:rsidR="008F4062" w:rsidRPr="008F4062" w:rsidRDefault="008F4062" w:rsidP="009C54B9">
      <w:pPr>
        <w:autoSpaceDE w:val="0"/>
        <w:autoSpaceDN w:val="0"/>
        <w:adjustRightInd w:val="0"/>
        <w:spacing w:after="0"/>
        <w:jc w:val="both"/>
        <w:rPr>
          <w:rFonts w:ascii="Arial" w:hAnsi="Arial" w:cs="Arial"/>
          <w:sz w:val="20"/>
          <w:szCs w:val="20"/>
        </w:rPr>
      </w:pPr>
    </w:p>
    <w:p w:rsidR="008F4062" w:rsidRDefault="008F4062" w:rsidP="009C54B9">
      <w:pPr>
        <w:autoSpaceDE w:val="0"/>
        <w:autoSpaceDN w:val="0"/>
        <w:adjustRightInd w:val="0"/>
        <w:spacing w:after="0"/>
        <w:jc w:val="both"/>
        <w:rPr>
          <w:rFonts w:ascii="Arial" w:hAnsi="Arial" w:cs="Arial"/>
          <w:sz w:val="20"/>
          <w:szCs w:val="20"/>
        </w:rPr>
      </w:pPr>
      <w:r w:rsidRPr="008F4062">
        <w:rPr>
          <w:rFonts w:ascii="Arial" w:hAnsi="Arial" w:cs="Arial"/>
          <w:sz w:val="20"/>
          <w:szCs w:val="20"/>
        </w:rPr>
        <w:t xml:space="preserve">Diante do exposto, considerando o direito à paridade e à integralidade resguardada ao benefício de pensão, acrescido ao fato de que a </w:t>
      </w:r>
      <w:r w:rsidRPr="008F4062">
        <w:rPr>
          <w:rFonts w:ascii="Arial" w:hAnsi="Arial" w:cs="Arial"/>
          <w:i/>
          <w:sz w:val="20"/>
          <w:szCs w:val="20"/>
        </w:rPr>
        <w:t>“verba de representação”</w:t>
      </w:r>
      <w:r w:rsidRPr="008F4062">
        <w:rPr>
          <w:rFonts w:ascii="Arial" w:hAnsi="Arial" w:cs="Arial"/>
          <w:sz w:val="20"/>
          <w:szCs w:val="20"/>
        </w:rPr>
        <w:t>, concedida incialmente por meio da Resolução nº 27/89, restou consolidada por meio da Lei Estadual nº 18.135/14, bem como a Assembleia Legislativa emitiu certidão de que a verba de representação seria devida ao servidor se estivesse em atividade, deve ser concedido o registro do presente ato de revisão de pensão.</w:t>
      </w:r>
    </w:p>
    <w:p w:rsidR="008F4062" w:rsidRDefault="008F4062" w:rsidP="009C54B9">
      <w:pPr>
        <w:autoSpaceDE w:val="0"/>
        <w:autoSpaceDN w:val="0"/>
        <w:adjustRightInd w:val="0"/>
        <w:spacing w:after="0"/>
        <w:jc w:val="both"/>
        <w:rPr>
          <w:rFonts w:ascii="Arial" w:hAnsi="Arial" w:cs="Arial"/>
          <w:sz w:val="20"/>
          <w:szCs w:val="20"/>
        </w:rPr>
      </w:pPr>
    </w:p>
    <w:p w:rsidR="006A09B9" w:rsidRDefault="006A09B9" w:rsidP="009C54B9">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534844/17 - </w:t>
      </w:r>
      <w:hyperlink r:id="rId12" w:history="1">
        <w:r w:rsidRPr="006A09B9">
          <w:rPr>
            <w:rStyle w:val="Hyperlink"/>
            <w:rFonts w:ascii="Arial" w:hAnsi="Arial" w:cs="Arial"/>
            <w:sz w:val="20"/>
            <w:szCs w:val="20"/>
          </w:rPr>
          <w:t xml:space="preserve">Acórdão n° 3090/18 </w:t>
        </w:r>
        <w:r w:rsidR="00713D45">
          <w:rPr>
            <w:rStyle w:val="Hyperlink"/>
            <w:rFonts w:ascii="Arial" w:hAnsi="Arial" w:cs="Arial"/>
            <w:sz w:val="20"/>
            <w:szCs w:val="20"/>
          </w:rPr>
          <w:t>-</w:t>
        </w:r>
        <w:r w:rsidRPr="006A09B9">
          <w:rPr>
            <w:rStyle w:val="Hyperlink"/>
            <w:rFonts w:ascii="Arial" w:hAnsi="Arial" w:cs="Arial"/>
            <w:sz w:val="20"/>
            <w:szCs w:val="20"/>
          </w:rPr>
          <w:t xml:space="preserve"> </w:t>
        </w:r>
        <w:r w:rsidR="00713D45">
          <w:rPr>
            <w:rStyle w:val="Hyperlink"/>
            <w:rFonts w:ascii="Arial" w:hAnsi="Arial" w:cs="Arial"/>
            <w:sz w:val="20"/>
            <w:szCs w:val="20"/>
          </w:rPr>
          <w:t xml:space="preserve">Segunda Câmara </w:t>
        </w:r>
      </w:hyperlink>
      <w:r>
        <w:rPr>
          <w:rFonts w:ascii="Arial" w:hAnsi="Arial" w:cs="Arial"/>
          <w:sz w:val="20"/>
          <w:szCs w:val="20"/>
        </w:rPr>
        <w:t xml:space="preserve">- Rel. Conselheiro Ivens Zschoerper Linhares. </w:t>
      </w:r>
    </w:p>
    <w:p w:rsidR="00EE3122" w:rsidRDefault="00EE3122" w:rsidP="009C54B9">
      <w:pPr>
        <w:autoSpaceDE w:val="0"/>
        <w:autoSpaceDN w:val="0"/>
        <w:adjustRightInd w:val="0"/>
        <w:spacing w:after="0"/>
        <w:jc w:val="both"/>
        <w:rPr>
          <w:rFonts w:ascii="Arial" w:hAnsi="Arial" w:cs="Arial"/>
          <w:sz w:val="20"/>
          <w:szCs w:val="20"/>
        </w:rPr>
      </w:pPr>
    </w:p>
    <w:p w:rsidR="00453355" w:rsidRPr="00453355" w:rsidRDefault="000719D5" w:rsidP="009C54B9">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6. </w:t>
      </w:r>
      <w:r w:rsidR="00453355" w:rsidRPr="00453355">
        <w:rPr>
          <w:rFonts w:ascii="Arial" w:hAnsi="Arial" w:cs="Arial"/>
          <w:b/>
          <w:sz w:val="20"/>
          <w:szCs w:val="20"/>
        </w:rPr>
        <w:t>Aposentadoria voluntária. Art. 3º da EC 47/2006. Interrupção do vínculo. Intervalo de 06 (seis) dias entre a exoneração e a posse em novo cargo. Boa-fé. Registro e recomendação.</w:t>
      </w:r>
    </w:p>
    <w:p w:rsidR="00453355" w:rsidRPr="00453355" w:rsidRDefault="00453355" w:rsidP="009C54B9">
      <w:pPr>
        <w:autoSpaceDE w:val="0"/>
        <w:autoSpaceDN w:val="0"/>
        <w:adjustRightInd w:val="0"/>
        <w:spacing w:after="0"/>
        <w:jc w:val="both"/>
        <w:rPr>
          <w:rFonts w:ascii="Arial" w:hAnsi="Arial" w:cs="Arial"/>
          <w:b/>
          <w:sz w:val="20"/>
          <w:szCs w:val="20"/>
        </w:rPr>
      </w:pPr>
    </w:p>
    <w:p w:rsidR="00E90A29" w:rsidRDefault="00453355" w:rsidP="009C54B9">
      <w:pPr>
        <w:autoSpaceDE w:val="0"/>
        <w:autoSpaceDN w:val="0"/>
        <w:adjustRightInd w:val="0"/>
        <w:spacing w:after="0"/>
        <w:jc w:val="both"/>
        <w:rPr>
          <w:rFonts w:ascii="Arial" w:hAnsi="Arial" w:cs="Arial"/>
          <w:sz w:val="20"/>
          <w:szCs w:val="20"/>
        </w:rPr>
      </w:pPr>
      <w:r w:rsidRPr="00453355">
        <w:rPr>
          <w:rFonts w:ascii="Arial" w:hAnsi="Arial" w:cs="Arial"/>
          <w:sz w:val="20"/>
          <w:szCs w:val="20"/>
        </w:rPr>
        <w:t>O</w:t>
      </w:r>
      <w:r>
        <w:rPr>
          <w:rFonts w:ascii="Arial" w:hAnsi="Arial" w:cs="Arial"/>
          <w:sz w:val="20"/>
          <w:szCs w:val="20"/>
        </w:rPr>
        <w:t xml:space="preserve"> </w:t>
      </w:r>
      <w:r w:rsidR="00EE3122" w:rsidRPr="00453355">
        <w:rPr>
          <w:rFonts w:ascii="Arial" w:hAnsi="Arial" w:cs="Arial"/>
          <w:sz w:val="20"/>
          <w:szCs w:val="20"/>
        </w:rPr>
        <w:t xml:space="preserve">intervalo de 6 (seis) dias ocorreu em razão da necessidade de realizar os exames admissionais e da obrigatoriedade de entregar a declaração de não acúmulo de cargos. Importante anotar que, além de ocasionar a interrupção do vínculo previdenciário, a conduta de pedir exoneração de um cargo antes de tomar posse em outro poderá causar prejuízo irreparável caso o servidor venha a ser considerado inapto nos exames admissionais. </w:t>
      </w:r>
    </w:p>
    <w:p w:rsidR="00E90A29" w:rsidRDefault="00E90A29" w:rsidP="009C54B9">
      <w:pPr>
        <w:autoSpaceDE w:val="0"/>
        <w:autoSpaceDN w:val="0"/>
        <w:adjustRightInd w:val="0"/>
        <w:spacing w:after="0"/>
        <w:jc w:val="both"/>
        <w:rPr>
          <w:rFonts w:ascii="Arial" w:hAnsi="Arial" w:cs="Arial"/>
          <w:sz w:val="20"/>
          <w:szCs w:val="20"/>
        </w:rPr>
      </w:pPr>
    </w:p>
    <w:p w:rsidR="00EE3122" w:rsidRDefault="00EE3122" w:rsidP="009C54B9">
      <w:pPr>
        <w:autoSpaceDE w:val="0"/>
        <w:autoSpaceDN w:val="0"/>
        <w:adjustRightInd w:val="0"/>
        <w:spacing w:after="0"/>
        <w:jc w:val="both"/>
        <w:rPr>
          <w:rFonts w:ascii="Arial" w:hAnsi="Arial" w:cs="Arial"/>
          <w:sz w:val="20"/>
          <w:szCs w:val="20"/>
        </w:rPr>
      </w:pPr>
      <w:r w:rsidRPr="00453355">
        <w:rPr>
          <w:rFonts w:ascii="Arial" w:hAnsi="Arial" w:cs="Arial"/>
          <w:sz w:val="20"/>
          <w:szCs w:val="20"/>
        </w:rPr>
        <w:t>Considerando que, no presente caso, a servidora teria sido orientada pela própria administração municipal a pedir exoneração do cargo anterior antes da posse no novo cargo, já no momento da convocação, entendo que ela não deverá ser penalizada com a negativa de registro da aposentadoria, devendo prevalecer a boa-fé.</w:t>
      </w:r>
    </w:p>
    <w:p w:rsidR="00E90A29" w:rsidRDefault="00E90A29" w:rsidP="009C54B9">
      <w:pPr>
        <w:autoSpaceDE w:val="0"/>
        <w:autoSpaceDN w:val="0"/>
        <w:adjustRightInd w:val="0"/>
        <w:spacing w:after="0"/>
        <w:jc w:val="both"/>
        <w:rPr>
          <w:rFonts w:ascii="Arial" w:hAnsi="Arial" w:cs="Arial"/>
          <w:sz w:val="20"/>
          <w:szCs w:val="20"/>
        </w:rPr>
      </w:pPr>
    </w:p>
    <w:p w:rsidR="00E90A29" w:rsidRPr="00453355" w:rsidRDefault="00E90A29" w:rsidP="009C54B9">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432960/17 - </w:t>
      </w:r>
      <w:hyperlink r:id="rId13" w:history="1">
        <w:r w:rsidRPr="00E90A29">
          <w:rPr>
            <w:rStyle w:val="Hyperlink"/>
            <w:rFonts w:ascii="Arial" w:hAnsi="Arial" w:cs="Arial"/>
            <w:sz w:val="20"/>
            <w:szCs w:val="20"/>
          </w:rPr>
          <w:t>Acórdão n° 3072/18 - Segunda Câmara</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8F4062" w:rsidRPr="008F4062" w:rsidRDefault="008F4062" w:rsidP="009C54B9">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DA0A1A" w:rsidRDefault="000719D5" w:rsidP="00DA0A1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DA0A1A" w:rsidRPr="009C5A23">
        <w:rPr>
          <w:rFonts w:ascii="Arial" w:hAnsi="Arial" w:cs="Arial"/>
          <w:b/>
          <w:sz w:val="20"/>
          <w:szCs w:val="20"/>
        </w:rPr>
        <w:t xml:space="preserve">Representação da Lei nº 8.666/93. </w:t>
      </w:r>
      <w:r w:rsidR="00DA0A1A">
        <w:rPr>
          <w:rFonts w:ascii="Arial" w:hAnsi="Arial" w:cs="Arial"/>
          <w:b/>
          <w:sz w:val="20"/>
          <w:szCs w:val="20"/>
        </w:rPr>
        <w:t>Violação ao Prejulgado nº 22 desta Corte. Exigência de amostra de todos os licitantes. C</w:t>
      </w:r>
      <w:r w:rsidR="00DA0A1A" w:rsidRPr="009C5A23">
        <w:rPr>
          <w:rFonts w:ascii="Arial" w:hAnsi="Arial" w:cs="Arial"/>
          <w:b/>
          <w:sz w:val="20"/>
          <w:szCs w:val="20"/>
        </w:rPr>
        <w:t>oncessão da cautelar pleiteada</w:t>
      </w:r>
      <w:r w:rsidR="00DA0A1A">
        <w:rPr>
          <w:rFonts w:ascii="Arial" w:hAnsi="Arial" w:cs="Arial"/>
          <w:b/>
          <w:sz w:val="20"/>
          <w:szCs w:val="20"/>
        </w:rPr>
        <w:t>. I</w:t>
      </w:r>
      <w:r w:rsidR="00DA0A1A" w:rsidRPr="009C5A23">
        <w:rPr>
          <w:rFonts w:ascii="Arial" w:hAnsi="Arial" w:cs="Arial"/>
          <w:b/>
          <w:sz w:val="20"/>
          <w:szCs w:val="20"/>
        </w:rPr>
        <w:t>mediata suspensão do Pregão</w:t>
      </w:r>
      <w:r w:rsidR="00DA0A1A">
        <w:rPr>
          <w:rFonts w:ascii="Arial" w:hAnsi="Arial" w:cs="Arial"/>
          <w:b/>
          <w:sz w:val="20"/>
          <w:szCs w:val="20"/>
        </w:rPr>
        <w:t>. Homologação da Cautelar.</w:t>
      </w:r>
    </w:p>
    <w:p w:rsidR="00DA0A1A" w:rsidRPr="00F77EE9" w:rsidRDefault="00DA0A1A" w:rsidP="00DA0A1A">
      <w:pPr>
        <w:autoSpaceDE w:val="0"/>
        <w:autoSpaceDN w:val="0"/>
        <w:adjustRightInd w:val="0"/>
        <w:spacing w:after="0"/>
        <w:jc w:val="both"/>
        <w:rPr>
          <w:rFonts w:ascii="Arial" w:hAnsi="Arial" w:cs="Arial"/>
          <w:b/>
          <w:sz w:val="20"/>
          <w:szCs w:val="20"/>
        </w:rPr>
      </w:pPr>
    </w:p>
    <w:p w:rsidR="004B498D" w:rsidRDefault="00DA0A1A" w:rsidP="00DA0A1A">
      <w:pPr>
        <w:autoSpaceDE w:val="0"/>
        <w:autoSpaceDN w:val="0"/>
        <w:adjustRightInd w:val="0"/>
        <w:spacing w:after="0"/>
        <w:jc w:val="both"/>
        <w:rPr>
          <w:rFonts w:ascii="Arial" w:hAnsi="Arial" w:cs="Arial"/>
          <w:sz w:val="20"/>
          <w:szCs w:val="20"/>
        </w:rPr>
      </w:pPr>
      <w:r>
        <w:rPr>
          <w:rFonts w:ascii="Arial" w:hAnsi="Arial" w:cs="Arial"/>
          <w:sz w:val="20"/>
          <w:szCs w:val="20"/>
        </w:rPr>
        <w:t>E</w:t>
      </w:r>
      <w:r w:rsidRPr="00F0604B">
        <w:rPr>
          <w:rFonts w:ascii="Arial" w:hAnsi="Arial" w:cs="Arial"/>
          <w:sz w:val="20"/>
          <w:szCs w:val="20"/>
        </w:rPr>
        <w:t>vidente violação ao Prejulgado nº 22 desta Corte. As exigências estabelecidas pela Administração Pública devem se limitar à especificação e adequação do objeto, devendo abster-se de formular especificações que, por excessivas ou desnecessárias, limitem ou frustrem o caráter competitivo da licitação, inteligência do art. 3º, inciso II, da Lei nº 10.520/021, sendo lícitas apenas</w:t>
      </w:r>
      <w:r>
        <w:rPr>
          <w:rFonts w:ascii="Arial" w:hAnsi="Arial" w:cs="Arial"/>
          <w:sz w:val="20"/>
          <w:szCs w:val="20"/>
        </w:rPr>
        <w:t xml:space="preserve"> </w:t>
      </w:r>
      <w:r w:rsidRPr="00F0604B">
        <w:rPr>
          <w:rFonts w:ascii="Arial" w:hAnsi="Arial" w:cs="Arial"/>
          <w:sz w:val="20"/>
          <w:szCs w:val="20"/>
        </w:rPr>
        <w:t xml:space="preserve">aquelas que sejam indispensáveis à garantia do cumprimento das obrigações e tecnicamente justificáveis. </w:t>
      </w:r>
    </w:p>
    <w:p w:rsidR="004B498D" w:rsidRDefault="004B498D" w:rsidP="00DA0A1A">
      <w:pPr>
        <w:autoSpaceDE w:val="0"/>
        <w:autoSpaceDN w:val="0"/>
        <w:adjustRightInd w:val="0"/>
        <w:spacing w:after="0"/>
        <w:jc w:val="both"/>
        <w:rPr>
          <w:rFonts w:ascii="Arial" w:hAnsi="Arial" w:cs="Arial"/>
          <w:sz w:val="20"/>
          <w:szCs w:val="20"/>
        </w:rPr>
      </w:pPr>
    </w:p>
    <w:p w:rsidR="00DA0A1A" w:rsidRDefault="00DA0A1A" w:rsidP="00DA0A1A">
      <w:pPr>
        <w:autoSpaceDE w:val="0"/>
        <w:autoSpaceDN w:val="0"/>
        <w:adjustRightInd w:val="0"/>
        <w:spacing w:after="0"/>
        <w:jc w:val="both"/>
        <w:rPr>
          <w:rFonts w:ascii="Arial" w:hAnsi="Arial" w:cs="Arial"/>
          <w:sz w:val="20"/>
          <w:szCs w:val="20"/>
        </w:rPr>
      </w:pPr>
      <w:r w:rsidRPr="00F0604B">
        <w:rPr>
          <w:rFonts w:ascii="Arial" w:hAnsi="Arial" w:cs="Arial"/>
          <w:sz w:val="20"/>
          <w:szCs w:val="20"/>
        </w:rPr>
        <w:t xml:space="preserve">Nesse contexto, a possibilidade de exigência de amostras de todos os licitantes se revela desnecessária, já que as amostras são analisadas pela ordem de classificação, o que enseja a grande probabilidade de vários licitantes se quer terem suas amostras analisadas. </w:t>
      </w:r>
    </w:p>
    <w:p w:rsidR="00DA0A1A" w:rsidRDefault="00DA0A1A" w:rsidP="00DA0A1A">
      <w:pPr>
        <w:autoSpaceDE w:val="0"/>
        <w:autoSpaceDN w:val="0"/>
        <w:adjustRightInd w:val="0"/>
        <w:spacing w:after="0"/>
        <w:jc w:val="both"/>
        <w:rPr>
          <w:rFonts w:ascii="Arial" w:hAnsi="Arial" w:cs="Arial"/>
          <w:sz w:val="20"/>
          <w:szCs w:val="20"/>
        </w:rPr>
      </w:pPr>
    </w:p>
    <w:p w:rsidR="00DA0A1A" w:rsidRDefault="00DA0A1A" w:rsidP="00DA0A1A">
      <w:pPr>
        <w:autoSpaceDE w:val="0"/>
        <w:autoSpaceDN w:val="0"/>
        <w:adjustRightInd w:val="0"/>
        <w:spacing w:after="0"/>
        <w:jc w:val="both"/>
        <w:rPr>
          <w:rFonts w:ascii="Arial" w:hAnsi="Arial" w:cs="Arial"/>
          <w:sz w:val="20"/>
          <w:szCs w:val="20"/>
        </w:rPr>
      </w:pPr>
      <w:r w:rsidRPr="00F0604B">
        <w:rPr>
          <w:rFonts w:ascii="Arial" w:hAnsi="Arial" w:cs="Arial"/>
          <w:sz w:val="20"/>
          <w:szCs w:val="20"/>
        </w:rPr>
        <w:t>Além disso, se revela desproporcional, pois encarece a contratação, no sentido de que aumenta os custos para participação, pela confecção de amostras que podem sequer ser apresentadas à Administração. Por outro lado, não é possível justificar tal exigência sobre o prisma da celeridade, já que a possibilidade de amostras serem desaprovadas deve ser considerada na fase de planejamento e levada em conta no cronograma do certame.</w:t>
      </w:r>
      <w:r>
        <w:rPr>
          <w:rFonts w:ascii="Arial" w:hAnsi="Arial" w:cs="Arial"/>
          <w:sz w:val="20"/>
          <w:szCs w:val="20"/>
        </w:rPr>
        <w:t xml:space="preserve"> Determinações. </w:t>
      </w:r>
      <w:r w:rsidRPr="00C0292A">
        <w:rPr>
          <w:rFonts w:ascii="Arial" w:hAnsi="Arial" w:cs="Arial"/>
          <w:i/>
          <w:sz w:val="20"/>
          <w:szCs w:val="20"/>
        </w:rPr>
        <w:t xml:space="preserve">Inaudita altera </w:t>
      </w:r>
      <w:proofErr w:type="spellStart"/>
      <w:r w:rsidRPr="00C0292A">
        <w:rPr>
          <w:rFonts w:ascii="Arial" w:hAnsi="Arial" w:cs="Arial"/>
          <w:i/>
          <w:sz w:val="20"/>
          <w:szCs w:val="20"/>
        </w:rPr>
        <w:t>pars</w:t>
      </w:r>
      <w:proofErr w:type="spellEnd"/>
      <w:r w:rsidRPr="00F0604B">
        <w:rPr>
          <w:rFonts w:ascii="Arial" w:hAnsi="Arial" w:cs="Arial"/>
          <w:sz w:val="20"/>
          <w:szCs w:val="20"/>
        </w:rPr>
        <w:t>, em sede cautelar</w:t>
      </w:r>
      <w:r>
        <w:rPr>
          <w:rFonts w:ascii="Arial" w:hAnsi="Arial" w:cs="Arial"/>
          <w:sz w:val="20"/>
          <w:szCs w:val="20"/>
        </w:rPr>
        <w:t xml:space="preserve"> d</w:t>
      </w:r>
      <w:r w:rsidRPr="00F0604B">
        <w:rPr>
          <w:rFonts w:ascii="Arial" w:hAnsi="Arial" w:cs="Arial"/>
          <w:sz w:val="20"/>
          <w:szCs w:val="20"/>
        </w:rPr>
        <w:t>a suspensão imediata d</w:t>
      </w:r>
      <w:r>
        <w:rPr>
          <w:rFonts w:ascii="Arial" w:hAnsi="Arial" w:cs="Arial"/>
          <w:sz w:val="20"/>
          <w:szCs w:val="20"/>
        </w:rPr>
        <w:t>o</w:t>
      </w:r>
      <w:r w:rsidRPr="00F0604B">
        <w:rPr>
          <w:rFonts w:ascii="Arial" w:hAnsi="Arial" w:cs="Arial"/>
          <w:sz w:val="20"/>
          <w:szCs w:val="20"/>
        </w:rPr>
        <w:t xml:space="preserve"> procedimento licitatório</w:t>
      </w:r>
      <w:r>
        <w:rPr>
          <w:rFonts w:ascii="Arial" w:hAnsi="Arial" w:cs="Arial"/>
          <w:sz w:val="20"/>
          <w:szCs w:val="20"/>
        </w:rPr>
        <w:t xml:space="preserve">. </w:t>
      </w:r>
    </w:p>
    <w:p w:rsidR="00DA0A1A" w:rsidRPr="00F77EE9" w:rsidRDefault="00DA0A1A" w:rsidP="00DA0A1A">
      <w:pPr>
        <w:autoSpaceDE w:val="0"/>
        <w:autoSpaceDN w:val="0"/>
        <w:adjustRightInd w:val="0"/>
        <w:spacing w:after="0"/>
        <w:jc w:val="both"/>
        <w:rPr>
          <w:rFonts w:ascii="Arial" w:hAnsi="Arial" w:cs="Arial"/>
          <w:sz w:val="20"/>
          <w:szCs w:val="20"/>
        </w:rPr>
      </w:pPr>
    </w:p>
    <w:p w:rsidR="00DA0A1A" w:rsidRPr="00F77EE9" w:rsidRDefault="00DA0A1A" w:rsidP="00DA0A1A">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703127/18</w:t>
      </w:r>
      <w:r w:rsidRPr="00F77EE9">
        <w:rPr>
          <w:rFonts w:ascii="Arial" w:hAnsi="Arial" w:cs="Arial"/>
          <w:sz w:val="20"/>
          <w:szCs w:val="20"/>
        </w:rPr>
        <w:t xml:space="preserve"> - </w:t>
      </w:r>
      <w:hyperlink r:id="rId14" w:history="1">
        <w:r w:rsidRPr="009C5A23">
          <w:rPr>
            <w:rStyle w:val="Hyperlink"/>
            <w:rFonts w:ascii="Arial" w:hAnsi="Arial" w:cs="Arial"/>
            <w:sz w:val="20"/>
            <w:szCs w:val="20"/>
          </w:rPr>
          <w:t xml:space="preserve">Acórdão nº 3227/18 </w:t>
        </w:r>
        <w:r>
          <w:rPr>
            <w:rStyle w:val="Hyperlink"/>
            <w:rFonts w:ascii="Arial" w:hAnsi="Arial" w:cs="Arial"/>
            <w:sz w:val="20"/>
            <w:szCs w:val="20"/>
          </w:rPr>
          <w:t>-</w:t>
        </w:r>
        <w:r w:rsidRPr="009C5A23">
          <w:rPr>
            <w:rStyle w:val="Hyperlink"/>
            <w:rFonts w:ascii="Arial" w:hAnsi="Arial" w:cs="Arial"/>
            <w:sz w:val="20"/>
            <w:szCs w:val="20"/>
          </w:rPr>
          <w:t xml:space="preserve"> Tribunal Pleno</w:t>
        </w:r>
      </w:hyperlink>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Rel</w:t>
      </w:r>
      <w:r>
        <w:rPr>
          <w:rFonts w:ascii="Arial" w:hAnsi="Arial" w:cs="Arial"/>
          <w:sz w:val="20"/>
          <w:szCs w:val="20"/>
        </w:rPr>
        <w:t>.</w:t>
      </w:r>
      <w:r w:rsidRPr="00F77EE9">
        <w:rPr>
          <w:rFonts w:ascii="Arial" w:hAnsi="Arial" w:cs="Arial"/>
          <w:sz w:val="20"/>
          <w:szCs w:val="20"/>
        </w:rPr>
        <w:t xml:space="preserve"> Conselheiro </w:t>
      </w:r>
      <w:r>
        <w:rPr>
          <w:rFonts w:ascii="Arial" w:hAnsi="Arial" w:cs="Arial"/>
          <w:sz w:val="20"/>
          <w:szCs w:val="20"/>
        </w:rPr>
        <w:t>Nestor Baptista</w:t>
      </w:r>
      <w:r w:rsidRPr="00F77EE9">
        <w:rPr>
          <w:rFonts w:ascii="Arial" w:hAnsi="Arial" w:cs="Arial"/>
          <w:sz w:val="20"/>
          <w:szCs w:val="20"/>
        </w:rPr>
        <w:t>.</w:t>
      </w:r>
    </w:p>
    <w:p w:rsidR="00E10667" w:rsidRDefault="000719D5" w:rsidP="00E10667">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8. </w:t>
      </w:r>
      <w:r w:rsidR="00E10667" w:rsidRPr="002561E7">
        <w:rPr>
          <w:rFonts w:ascii="Arial" w:hAnsi="Arial" w:cs="Arial"/>
          <w:b/>
          <w:sz w:val="20"/>
          <w:szCs w:val="20"/>
        </w:rPr>
        <w:t>Recurso de Revista. Contrato administrativo. Serviço de publicidade. Ausência de prestação</w:t>
      </w:r>
      <w:r w:rsidR="00E10667">
        <w:rPr>
          <w:rFonts w:ascii="Arial" w:hAnsi="Arial" w:cs="Arial"/>
          <w:b/>
          <w:sz w:val="20"/>
          <w:szCs w:val="20"/>
        </w:rPr>
        <w:t xml:space="preserve"> de serviços</w:t>
      </w:r>
      <w:r w:rsidR="00E10667" w:rsidRPr="002561E7">
        <w:rPr>
          <w:rFonts w:ascii="Arial" w:hAnsi="Arial" w:cs="Arial"/>
          <w:b/>
          <w:sz w:val="20"/>
          <w:szCs w:val="20"/>
        </w:rPr>
        <w:t>. Dano aos cofres públicos. Existência. Desconsideração da personalidade jurídica. Desvio de finalidade.</w:t>
      </w:r>
    </w:p>
    <w:p w:rsidR="00E10667" w:rsidRPr="002561E7" w:rsidRDefault="00E10667" w:rsidP="00E10667">
      <w:pPr>
        <w:autoSpaceDE w:val="0"/>
        <w:autoSpaceDN w:val="0"/>
        <w:adjustRightInd w:val="0"/>
        <w:spacing w:after="0"/>
        <w:jc w:val="both"/>
        <w:rPr>
          <w:rFonts w:ascii="Arial" w:hAnsi="Arial" w:cs="Arial"/>
          <w:b/>
          <w:sz w:val="20"/>
          <w:szCs w:val="20"/>
        </w:rPr>
      </w:pPr>
    </w:p>
    <w:p w:rsidR="00E10667" w:rsidRDefault="00E10667" w:rsidP="00E10667">
      <w:pPr>
        <w:autoSpaceDE w:val="0"/>
        <w:autoSpaceDN w:val="0"/>
        <w:adjustRightInd w:val="0"/>
        <w:spacing w:after="0"/>
        <w:jc w:val="both"/>
        <w:rPr>
          <w:rFonts w:ascii="Arial" w:hAnsi="Arial" w:cs="Arial"/>
          <w:sz w:val="20"/>
          <w:szCs w:val="20"/>
        </w:rPr>
      </w:pPr>
      <w:r>
        <w:rPr>
          <w:rFonts w:ascii="Arial" w:hAnsi="Arial" w:cs="Arial"/>
          <w:sz w:val="20"/>
          <w:szCs w:val="20"/>
        </w:rPr>
        <w:t>Quando verificado</w:t>
      </w:r>
      <w:r w:rsidRPr="002561E7">
        <w:rPr>
          <w:rFonts w:ascii="Arial" w:hAnsi="Arial" w:cs="Arial"/>
          <w:sz w:val="20"/>
          <w:szCs w:val="20"/>
        </w:rPr>
        <w:t xml:space="preserve"> o dano ao erário, o conluio entre os contratantes e o desvio de finalidade, </w:t>
      </w:r>
      <w:r>
        <w:rPr>
          <w:rFonts w:ascii="Arial" w:hAnsi="Arial" w:cs="Arial"/>
          <w:sz w:val="20"/>
          <w:szCs w:val="20"/>
        </w:rPr>
        <w:t>é aplicável</w:t>
      </w:r>
      <w:r w:rsidRPr="002561E7">
        <w:rPr>
          <w:rFonts w:ascii="Arial" w:hAnsi="Arial" w:cs="Arial"/>
          <w:sz w:val="20"/>
          <w:szCs w:val="20"/>
        </w:rPr>
        <w:t xml:space="preserve"> a desconsideração da personalidade jurídica, nos termos do</w:t>
      </w:r>
      <w:r>
        <w:rPr>
          <w:rFonts w:ascii="Arial" w:hAnsi="Arial" w:cs="Arial"/>
          <w:sz w:val="20"/>
          <w:szCs w:val="20"/>
        </w:rPr>
        <w:t xml:space="preserve"> artigo 50 do Código</w:t>
      </w:r>
      <w:r w:rsidRPr="002561E7">
        <w:rPr>
          <w:rFonts w:ascii="Arial" w:hAnsi="Arial" w:cs="Arial"/>
          <w:sz w:val="20"/>
          <w:szCs w:val="20"/>
        </w:rPr>
        <w:t xml:space="preserve"> Civil e Uniformização de jurisprudência nº 3 do TCE/PR.</w:t>
      </w:r>
    </w:p>
    <w:p w:rsidR="00E10667" w:rsidRDefault="00E10667" w:rsidP="00E10667">
      <w:pPr>
        <w:autoSpaceDE w:val="0"/>
        <w:autoSpaceDN w:val="0"/>
        <w:adjustRightInd w:val="0"/>
        <w:spacing w:after="0"/>
        <w:jc w:val="both"/>
        <w:rPr>
          <w:rFonts w:ascii="Arial" w:hAnsi="Arial" w:cs="Arial"/>
          <w:sz w:val="20"/>
          <w:szCs w:val="20"/>
        </w:rPr>
      </w:pPr>
    </w:p>
    <w:p w:rsidR="00E10667" w:rsidRPr="00E46C47" w:rsidRDefault="00E10667" w:rsidP="00E10667">
      <w:pPr>
        <w:autoSpaceDE w:val="0"/>
        <w:autoSpaceDN w:val="0"/>
        <w:adjustRightInd w:val="0"/>
        <w:spacing w:after="0"/>
        <w:jc w:val="both"/>
        <w:rPr>
          <w:rFonts w:ascii="Arial" w:hAnsi="Arial" w:cs="Arial"/>
          <w:sz w:val="20"/>
          <w:szCs w:val="20"/>
        </w:rPr>
      </w:pPr>
      <w:r w:rsidRPr="00E46C47">
        <w:rPr>
          <w:rFonts w:ascii="Arial" w:hAnsi="Arial" w:cs="Arial"/>
          <w:sz w:val="20"/>
          <w:szCs w:val="20"/>
        </w:rPr>
        <w:t xml:space="preserve">Processo nº </w:t>
      </w:r>
      <w:r>
        <w:rPr>
          <w:rFonts w:ascii="Arial" w:hAnsi="Arial" w:cs="Arial"/>
          <w:sz w:val="20"/>
          <w:szCs w:val="20"/>
        </w:rPr>
        <w:t>374681</w:t>
      </w:r>
      <w:r w:rsidRPr="00E46C47">
        <w:rPr>
          <w:rFonts w:ascii="Arial" w:hAnsi="Arial" w:cs="Arial"/>
          <w:sz w:val="20"/>
          <w:szCs w:val="20"/>
        </w:rPr>
        <w:t>/1</w:t>
      </w:r>
      <w:r>
        <w:rPr>
          <w:rFonts w:ascii="Arial" w:hAnsi="Arial" w:cs="Arial"/>
          <w:sz w:val="20"/>
          <w:szCs w:val="20"/>
        </w:rPr>
        <w:t>6</w:t>
      </w:r>
      <w:r w:rsidRPr="00E46C47">
        <w:rPr>
          <w:rFonts w:ascii="Arial" w:hAnsi="Arial" w:cs="Arial"/>
          <w:sz w:val="20"/>
          <w:szCs w:val="20"/>
        </w:rPr>
        <w:t xml:space="preserve"> - </w:t>
      </w:r>
      <w:hyperlink r:id="rId15" w:history="1">
        <w:r w:rsidRPr="00016AE3">
          <w:rPr>
            <w:rStyle w:val="Hyperlink"/>
            <w:rFonts w:ascii="Arial" w:hAnsi="Arial" w:cs="Arial"/>
            <w:sz w:val="20"/>
            <w:szCs w:val="20"/>
          </w:rPr>
          <w:t xml:space="preserve">Acórdão nº 3116/18 </w:t>
        </w:r>
        <w:r>
          <w:rPr>
            <w:rStyle w:val="Hyperlink"/>
            <w:rFonts w:ascii="Arial" w:hAnsi="Arial" w:cs="Arial"/>
            <w:sz w:val="20"/>
            <w:szCs w:val="20"/>
          </w:rPr>
          <w:t>-</w:t>
        </w:r>
        <w:r w:rsidRPr="00016AE3">
          <w:rPr>
            <w:rStyle w:val="Hyperlink"/>
            <w:rFonts w:ascii="Arial" w:hAnsi="Arial" w:cs="Arial"/>
            <w:sz w:val="20"/>
            <w:szCs w:val="20"/>
          </w:rPr>
          <w:t xml:space="preserve"> Tribunal Pleno</w:t>
        </w:r>
      </w:hyperlink>
      <w:r w:rsidRPr="00E46C47">
        <w:rPr>
          <w:rFonts w:ascii="Arial" w:hAnsi="Arial" w:cs="Arial"/>
          <w:sz w:val="20"/>
          <w:szCs w:val="20"/>
        </w:rPr>
        <w:t xml:space="preserve"> </w:t>
      </w:r>
      <w:r>
        <w:rPr>
          <w:rFonts w:ascii="Arial" w:hAnsi="Arial" w:cs="Arial"/>
          <w:sz w:val="20"/>
          <w:szCs w:val="20"/>
        </w:rPr>
        <w:t>-</w:t>
      </w:r>
      <w:r w:rsidRPr="00E46C47">
        <w:rPr>
          <w:rFonts w:ascii="Arial" w:hAnsi="Arial" w:cs="Arial"/>
          <w:sz w:val="20"/>
          <w:szCs w:val="20"/>
        </w:rPr>
        <w:t xml:space="preserve"> Rel</w:t>
      </w:r>
      <w:r>
        <w:rPr>
          <w:rFonts w:ascii="Arial" w:hAnsi="Arial" w:cs="Arial"/>
          <w:sz w:val="20"/>
          <w:szCs w:val="20"/>
        </w:rPr>
        <w:t xml:space="preserve">. </w:t>
      </w:r>
      <w:r w:rsidRPr="00E46C47">
        <w:rPr>
          <w:rFonts w:ascii="Arial" w:hAnsi="Arial" w:cs="Arial"/>
          <w:sz w:val="20"/>
          <w:szCs w:val="20"/>
        </w:rPr>
        <w:t xml:space="preserve">Conselheiro </w:t>
      </w:r>
      <w:proofErr w:type="spellStart"/>
      <w:r w:rsidRPr="00E46C47">
        <w:rPr>
          <w:rFonts w:ascii="Arial" w:hAnsi="Arial" w:cs="Arial"/>
          <w:sz w:val="20"/>
          <w:szCs w:val="20"/>
        </w:rPr>
        <w:t>Artagão</w:t>
      </w:r>
      <w:proofErr w:type="spellEnd"/>
      <w:r w:rsidRPr="00E46C47">
        <w:rPr>
          <w:rFonts w:ascii="Arial" w:hAnsi="Arial" w:cs="Arial"/>
          <w:sz w:val="20"/>
          <w:szCs w:val="20"/>
        </w:rPr>
        <w:t xml:space="preserve"> de Mattos Leão</w:t>
      </w:r>
      <w:r>
        <w:rPr>
          <w:rFonts w:ascii="Arial" w:hAnsi="Arial" w:cs="Arial"/>
          <w:sz w:val="20"/>
          <w:szCs w:val="20"/>
        </w:rPr>
        <w:t>.</w:t>
      </w:r>
    </w:p>
    <w:p w:rsidR="00E10667" w:rsidRPr="002561E7" w:rsidRDefault="00E10667" w:rsidP="00E10667">
      <w:pPr>
        <w:autoSpaceDE w:val="0"/>
        <w:autoSpaceDN w:val="0"/>
        <w:adjustRightInd w:val="0"/>
        <w:spacing w:after="0"/>
        <w:jc w:val="both"/>
        <w:rPr>
          <w:rFonts w:ascii="Arial" w:hAnsi="Arial" w:cs="Arial"/>
          <w:sz w:val="20"/>
          <w:szCs w:val="20"/>
        </w:rPr>
      </w:pPr>
    </w:p>
    <w:p w:rsidR="00E10667" w:rsidRDefault="000719D5" w:rsidP="00E1066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E10667" w:rsidRPr="00C134EB">
        <w:rPr>
          <w:rFonts w:ascii="Arial" w:hAnsi="Arial" w:cs="Arial"/>
          <w:b/>
          <w:sz w:val="20"/>
          <w:szCs w:val="20"/>
        </w:rPr>
        <w:t>Recurso de Revista. Reajuste dos subsídios vinculado aos subsídios dos deputados estaduais. Lei editada durante a vigência da EC19/98.</w:t>
      </w:r>
      <w:r w:rsidR="00E10667">
        <w:rPr>
          <w:rFonts w:ascii="Arial" w:hAnsi="Arial" w:cs="Arial"/>
          <w:b/>
          <w:sz w:val="20"/>
          <w:szCs w:val="20"/>
        </w:rPr>
        <w:t xml:space="preserve"> Controvérsia a época do recebimento. Boa-fé. Devolução de valores. Impossibilidade.</w:t>
      </w:r>
    </w:p>
    <w:p w:rsidR="00E10667" w:rsidRPr="00C134EB" w:rsidRDefault="00E10667" w:rsidP="00E10667">
      <w:pPr>
        <w:autoSpaceDE w:val="0"/>
        <w:autoSpaceDN w:val="0"/>
        <w:adjustRightInd w:val="0"/>
        <w:spacing w:after="0"/>
        <w:jc w:val="both"/>
        <w:rPr>
          <w:rFonts w:ascii="Arial" w:hAnsi="Arial" w:cs="Arial"/>
          <w:b/>
          <w:sz w:val="20"/>
          <w:szCs w:val="20"/>
        </w:rPr>
      </w:pPr>
    </w:p>
    <w:p w:rsidR="00E10667" w:rsidRDefault="00E10667" w:rsidP="00E10667">
      <w:pPr>
        <w:autoSpaceDE w:val="0"/>
        <w:autoSpaceDN w:val="0"/>
        <w:adjustRightInd w:val="0"/>
        <w:spacing w:after="0"/>
        <w:jc w:val="both"/>
        <w:rPr>
          <w:rFonts w:ascii="Arial" w:hAnsi="Arial" w:cs="Arial"/>
          <w:sz w:val="20"/>
          <w:szCs w:val="20"/>
        </w:rPr>
      </w:pPr>
      <w:r w:rsidRPr="00020EA4">
        <w:rPr>
          <w:rFonts w:ascii="Arial" w:hAnsi="Arial" w:cs="Arial"/>
          <w:sz w:val="20"/>
          <w:szCs w:val="20"/>
        </w:rPr>
        <w:t>Em relação a ato emitido em 20 de fevereiro de 2003, concedendo reajuste de vereadores de forma automática, em virtude de vinculação aos subsídios dos deputados estaduais, estabelecido em Lei Municipal, é possível afastar a determinação de devolução de valores.</w:t>
      </w:r>
    </w:p>
    <w:p w:rsidR="00E10667" w:rsidRDefault="00E10667" w:rsidP="00E10667">
      <w:pPr>
        <w:autoSpaceDE w:val="0"/>
        <w:autoSpaceDN w:val="0"/>
        <w:adjustRightInd w:val="0"/>
        <w:spacing w:after="0"/>
        <w:jc w:val="both"/>
        <w:rPr>
          <w:rFonts w:ascii="Arial" w:hAnsi="Arial" w:cs="Arial"/>
          <w:sz w:val="20"/>
          <w:szCs w:val="20"/>
        </w:rPr>
      </w:pPr>
    </w:p>
    <w:p w:rsidR="00E10667" w:rsidRDefault="00E10667" w:rsidP="00E10667">
      <w:pPr>
        <w:autoSpaceDE w:val="0"/>
        <w:autoSpaceDN w:val="0"/>
        <w:adjustRightInd w:val="0"/>
        <w:spacing w:after="0"/>
        <w:jc w:val="both"/>
        <w:rPr>
          <w:rFonts w:ascii="Arial" w:hAnsi="Arial" w:cs="Arial"/>
          <w:sz w:val="20"/>
          <w:szCs w:val="20"/>
        </w:rPr>
      </w:pPr>
      <w:r>
        <w:rPr>
          <w:rFonts w:ascii="Arial" w:hAnsi="Arial" w:cs="Arial"/>
          <w:sz w:val="20"/>
          <w:szCs w:val="20"/>
        </w:rPr>
        <w:t>Sabe-se</w:t>
      </w:r>
      <w:r w:rsidRPr="00020EA4">
        <w:rPr>
          <w:rFonts w:ascii="Arial" w:hAnsi="Arial" w:cs="Arial"/>
          <w:sz w:val="20"/>
          <w:szCs w:val="20"/>
        </w:rPr>
        <w:t xml:space="preserve"> </w:t>
      </w:r>
      <w:r>
        <w:rPr>
          <w:rFonts w:ascii="Arial" w:hAnsi="Arial" w:cs="Arial"/>
          <w:sz w:val="20"/>
          <w:szCs w:val="20"/>
        </w:rPr>
        <w:t xml:space="preserve">que, </w:t>
      </w:r>
      <w:r w:rsidRPr="00020EA4">
        <w:rPr>
          <w:rFonts w:ascii="Arial" w:hAnsi="Arial" w:cs="Arial"/>
          <w:sz w:val="20"/>
          <w:szCs w:val="20"/>
        </w:rPr>
        <w:t>no período em questão, não havia consenso também sobre a aplicação da vedação de vinculação remuneratória prevista no art. 37, XIII, da Constituição da República aos agentes políticos.</w:t>
      </w:r>
    </w:p>
    <w:p w:rsidR="00E10667" w:rsidRPr="00020EA4" w:rsidRDefault="00E10667" w:rsidP="00E10667">
      <w:pPr>
        <w:autoSpaceDE w:val="0"/>
        <w:autoSpaceDN w:val="0"/>
        <w:adjustRightInd w:val="0"/>
        <w:spacing w:after="0"/>
        <w:jc w:val="both"/>
        <w:rPr>
          <w:rFonts w:ascii="Arial" w:hAnsi="Arial" w:cs="Arial"/>
          <w:sz w:val="20"/>
          <w:szCs w:val="20"/>
        </w:rPr>
      </w:pPr>
    </w:p>
    <w:p w:rsidR="00E10667" w:rsidRDefault="00E10667" w:rsidP="00E10667">
      <w:pPr>
        <w:autoSpaceDE w:val="0"/>
        <w:autoSpaceDN w:val="0"/>
        <w:adjustRightInd w:val="0"/>
        <w:spacing w:after="0"/>
        <w:jc w:val="both"/>
        <w:rPr>
          <w:rFonts w:ascii="Arial" w:hAnsi="Arial" w:cs="Arial"/>
          <w:sz w:val="20"/>
          <w:szCs w:val="20"/>
        </w:rPr>
      </w:pPr>
      <w:r w:rsidRPr="00020EA4">
        <w:rPr>
          <w:rFonts w:ascii="Arial" w:hAnsi="Arial" w:cs="Arial"/>
          <w:sz w:val="20"/>
          <w:szCs w:val="20"/>
        </w:rPr>
        <w:t>Como havia dúvidas, à época, a respeito da constitucionalidade da vinculação automática de subsídios, sendo o ato que concedeu o reajuste estava acobertado pela legislação vigente à época, a qual não se afigurava como manifestamente inconstitucional, não seria razoável exigir dos vereadores que se recusassem a aplicar o reajuste previsto em lei.</w:t>
      </w:r>
    </w:p>
    <w:p w:rsidR="00E10667" w:rsidRPr="00020EA4" w:rsidRDefault="00E10667" w:rsidP="00E10667">
      <w:pPr>
        <w:autoSpaceDE w:val="0"/>
        <w:autoSpaceDN w:val="0"/>
        <w:adjustRightInd w:val="0"/>
        <w:spacing w:after="0"/>
        <w:jc w:val="both"/>
        <w:rPr>
          <w:rFonts w:ascii="Arial" w:hAnsi="Arial" w:cs="Arial"/>
          <w:sz w:val="20"/>
          <w:szCs w:val="20"/>
        </w:rPr>
      </w:pPr>
    </w:p>
    <w:p w:rsidR="00E10667" w:rsidRPr="00453355" w:rsidRDefault="00E10667" w:rsidP="00E10667">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286905/17 - </w:t>
      </w:r>
      <w:hyperlink r:id="rId16" w:history="1">
        <w:r w:rsidRPr="00F07370">
          <w:rPr>
            <w:rStyle w:val="Hyperlink"/>
            <w:rFonts w:ascii="Arial" w:hAnsi="Arial" w:cs="Arial"/>
            <w:sz w:val="20"/>
            <w:szCs w:val="20"/>
          </w:rPr>
          <w:t xml:space="preserve">Acórdão n° 3134/18 </w:t>
        </w:r>
        <w:r>
          <w:rPr>
            <w:rStyle w:val="Hyperlink"/>
            <w:rFonts w:ascii="Arial" w:hAnsi="Arial" w:cs="Arial"/>
            <w:sz w:val="20"/>
            <w:szCs w:val="20"/>
          </w:rPr>
          <w:t>-</w:t>
        </w:r>
        <w:r w:rsidRPr="00F07370">
          <w:rPr>
            <w:rStyle w:val="Hyperlink"/>
            <w:rFonts w:ascii="Arial" w:hAnsi="Arial" w:cs="Arial"/>
            <w:sz w:val="20"/>
            <w:szCs w:val="20"/>
          </w:rPr>
          <w:t xml:space="preserve"> Tribunal Pleno</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E10667" w:rsidRDefault="00E10667" w:rsidP="00DA0A1A">
      <w:pPr>
        <w:autoSpaceDE w:val="0"/>
        <w:autoSpaceDN w:val="0"/>
        <w:adjustRightInd w:val="0"/>
        <w:spacing w:after="0"/>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B779BE" w:rsidRDefault="00B779BE" w:rsidP="00B779BE">
      <w:pPr>
        <w:spacing w:after="0"/>
        <w:jc w:val="both"/>
        <w:rPr>
          <w:rFonts w:ascii="Arial" w:hAnsi="Arial" w:cs="Arial"/>
          <w:bCs/>
          <w:sz w:val="20"/>
          <w:szCs w:val="20"/>
          <w:shd w:val="clear" w:color="auto" w:fill="FFFFFF"/>
        </w:rPr>
      </w:pPr>
    </w:p>
    <w:p w:rsidR="00B779BE" w:rsidRPr="00B779BE" w:rsidRDefault="00B779BE" w:rsidP="00B779BE">
      <w:pPr>
        <w:spacing w:after="0"/>
        <w:jc w:val="both"/>
        <w:rPr>
          <w:rFonts w:ascii="Arial" w:hAnsi="Arial" w:cs="Arial"/>
          <w:sz w:val="20"/>
          <w:szCs w:val="20"/>
        </w:rPr>
      </w:pPr>
      <w:r w:rsidRPr="00B779BE">
        <w:rPr>
          <w:rFonts w:ascii="Arial" w:hAnsi="Arial" w:cs="Arial"/>
          <w:b/>
          <w:bCs/>
          <w:sz w:val="20"/>
          <w:szCs w:val="20"/>
          <w:shd w:val="clear" w:color="auto" w:fill="FFFFFF"/>
        </w:rPr>
        <w:t xml:space="preserve">Concurso público e remarcação de teste de aptidão física </w:t>
      </w:r>
      <w:r>
        <w:rPr>
          <w:rFonts w:ascii="Arial" w:hAnsi="Arial" w:cs="Arial"/>
          <w:b/>
          <w:bCs/>
          <w:sz w:val="20"/>
          <w:szCs w:val="20"/>
          <w:shd w:val="clear" w:color="auto" w:fill="FFFFFF"/>
        </w:rPr>
        <w:t xml:space="preserve">- </w:t>
      </w:r>
      <w:hyperlink r:id="rId17" w:history="1">
        <w:r w:rsidRPr="000B64CC">
          <w:rPr>
            <w:rStyle w:val="Hyperlink"/>
            <w:rFonts w:ascii="Arial" w:hAnsi="Arial" w:cs="Arial"/>
            <w:bCs/>
            <w:sz w:val="20"/>
            <w:szCs w:val="20"/>
            <w:shd w:val="clear" w:color="auto" w:fill="FFFFFF"/>
          </w:rPr>
          <w:t>RE 1058333/PR</w:t>
        </w:r>
      </w:hyperlink>
      <w:r w:rsidRPr="00B779BE">
        <w:rPr>
          <w:rFonts w:ascii="Arial" w:hAnsi="Arial" w:cs="Arial"/>
          <w:bCs/>
          <w:sz w:val="20"/>
          <w:szCs w:val="20"/>
          <w:shd w:val="clear" w:color="auto" w:fill="FFFFFF"/>
        </w:rPr>
        <w:t xml:space="preserve">, rel. Min. Luiz </w:t>
      </w:r>
      <w:proofErr w:type="spellStart"/>
      <w:r w:rsidRPr="00B779BE">
        <w:rPr>
          <w:rFonts w:ascii="Arial" w:hAnsi="Arial" w:cs="Arial"/>
          <w:bCs/>
          <w:sz w:val="20"/>
          <w:szCs w:val="20"/>
          <w:shd w:val="clear" w:color="auto" w:fill="FFFFFF"/>
        </w:rPr>
        <w:t>Fux</w:t>
      </w:r>
      <w:proofErr w:type="spellEnd"/>
      <w:r w:rsidRPr="00B779BE">
        <w:rPr>
          <w:rFonts w:ascii="Arial" w:hAnsi="Arial" w:cs="Arial"/>
          <w:bCs/>
          <w:sz w:val="20"/>
          <w:szCs w:val="20"/>
          <w:shd w:val="clear" w:color="auto" w:fill="FFFFFF"/>
        </w:rPr>
        <w:t>, julgamento em 23.11.2018. (RE-1058333)</w:t>
      </w:r>
    </w:p>
    <w:p w:rsidR="00601974" w:rsidRDefault="00601974" w:rsidP="00816942">
      <w:pPr>
        <w:spacing w:after="0"/>
        <w:rPr>
          <w:rFonts w:ascii="Arial" w:hAnsi="Arial" w:cs="Arial"/>
          <w:b/>
          <w:color w:val="000000"/>
          <w:sz w:val="20"/>
          <w:szCs w:val="20"/>
        </w:rPr>
      </w:pPr>
    </w:p>
    <w:p w:rsidR="00B779BE" w:rsidRDefault="00B779BE" w:rsidP="00B779BE">
      <w:pPr>
        <w:spacing w:after="0"/>
        <w:jc w:val="both"/>
        <w:rPr>
          <w:rFonts w:ascii="Arial" w:hAnsi="Arial" w:cs="Arial"/>
          <w:sz w:val="20"/>
          <w:szCs w:val="20"/>
          <w:shd w:val="clear" w:color="auto" w:fill="FFFFFF"/>
        </w:rPr>
      </w:pPr>
      <w:r w:rsidRPr="00B779BE">
        <w:rPr>
          <w:rFonts w:ascii="Arial" w:hAnsi="Arial" w:cs="Arial"/>
          <w:sz w:val="20"/>
          <w:szCs w:val="20"/>
          <w:shd w:val="clear" w:color="auto" w:fill="FFFFFF"/>
        </w:rPr>
        <w:t>É constitucional a remarcação do teste de aptidão física de candidata que esteja grávida à época de sua realização, independentemente da previsão expressa em edital do concurso público.</w:t>
      </w:r>
      <w:r w:rsidRPr="00B779BE">
        <w:rPr>
          <w:rFonts w:ascii="Arial" w:hAnsi="Arial" w:cs="Arial"/>
          <w:sz w:val="20"/>
          <w:szCs w:val="20"/>
        </w:rPr>
        <w:br/>
      </w:r>
      <w:r w:rsidRPr="00B779BE">
        <w:rPr>
          <w:rFonts w:ascii="Arial" w:hAnsi="Arial" w:cs="Arial"/>
          <w:sz w:val="20"/>
          <w:szCs w:val="20"/>
          <w:shd w:val="clear" w:color="auto" w:fill="FFFFFF"/>
        </w:rPr>
        <w:lastRenderedPageBreak/>
        <w:t>Com base nessa orientação, o Plenário, por maioria, ao apreciar o Tema </w:t>
      </w:r>
      <w:r>
        <w:rPr>
          <w:rFonts w:ascii="Arial" w:hAnsi="Arial" w:cs="Arial"/>
          <w:sz w:val="20"/>
          <w:szCs w:val="20"/>
          <w:shd w:val="clear" w:color="auto" w:fill="FFFFFF"/>
        </w:rPr>
        <w:t>973</w:t>
      </w:r>
      <w:r w:rsidRPr="00B779BE">
        <w:rPr>
          <w:rFonts w:ascii="Arial" w:hAnsi="Arial" w:cs="Arial"/>
          <w:sz w:val="20"/>
          <w:szCs w:val="20"/>
          <w:shd w:val="clear" w:color="auto" w:fill="FFFFFF"/>
        </w:rPr>
        <w:t xml:space="preserve"> da repercussão geral, negou provimento </w:t>
      </w:r>
      <w:proofErr w:type="spellStart"/>
      <w:r w:rsidRPr="00B779BE">
        <w:rPr>
          <w:rFonts w:ascii="Arial" w:hAnsi="Arial" w:cs="Arial"/>
          <w:sz w:val="20"/>
          <w:szCs w:val="20"/>
          <w:shd w:val="clear" w:color="auto" w:fill="FFFFFF"/>
        </w:rPr>
        <w:t>a</w:t>
      </w:r>
      <w:proofErr w:type="spellEnd"/>
      <w:r w:rsidRPr="00B779BE">
        <w:rPr>
          <w:rFonts w:ascii="Arial" w:hAnsi="Arial" w:cs="Arial"/>
          <w:sz w:val="20"/>
          <w:szCs w:val="20"/>
          <w:shd w:val="clear" w:color="auto" w:fill="FFFFFF"/>
        </w:rPr>
        <w:t xml:space="preserve"> recurso extraordinário em que discutida a possibilidade de remarcação de data de aplicação de teste de aptidão física a candidata gestante à época de sua realização.</w:t>
      </w:r>
      <w:r w:rsidRPr="00B779BE">
        <w:rPr>
          <w:rFonts w:ascii="Arial" w:hAnsi="Arial" w:cs="Arial"/>
          <w:sz w:val="20"/>
          <w:szCs w:val="20"/>
        </w:rPr>
        <w:br/>
      </w:r>
      <w:r w:rsidRPr="00B779BE">
        <w:rPr>
          <w:rFonts w:ascii="Arial" w:hAnsi="Arial" w:cs="Arial"/>
          <w:sz w:val="20"/>
          <w:szCs w:val="20"/>
        </w:rPr>
        <w:br/>
      </w:r>
      <w:r w:rsidRPr="00B779BE">
        <w:rPr>
          <w:rFonts w:ascii="Arial" w:hAnsi="Arial" w:cs="Arial"/>
          <w:sz w:val="20"/>
          <w:szCs w:val="20"/>
          <w:shd w:val="clear" w:color="auto" w:fill="FFFFFF"/>
        </w:rPr>
        <w:t>A Corte entendeu que o interesse de que a grávida leve a gestação a termo com êxito exorbita os limites individuais da genitora, a alcançar outros indivíduos e a própria coletividade. Enquanto a saúde pessoal do candidato em concurso público configura motivo exclusivamente individual e particular, a maternidade e a família constituem direitos fundamentais do homem social e do homem solidário. Por ter o Poder Constituinte estabelecido expressamente a proteção à maternidade, à família e ao planejamento familiar, a condição de gestante goza de proteção constitucional reforçada. Em razão desse amparo constitucional específico, a gravidez não pode causar prejuízo às candidatas, sob pena de ofender os princípios da isonomia e da razoabilidade.</w:t>
      </w:r>
      <w:r w:rsidRPr="00B779BE">
        <w:rPr>
          <w:rFonts w:ascii="Arial" w:hAnsi="Arial" w:cs="Arial"/>
          <w:sz w:val="20"/>
          <w:szCs w:val="20"/>
        </w:rPr>
        <w:br/>
      </w:r>
      <w:r w:rsidRPr="00B779BE">
        <w:rPr>
          <w:rFonts w:ascii="Arial" w:hAnsi="Arial" w:cs="Arial"/>
          <w:sz w:val="20"/>
          <w:szCs w:val="20"/>
        </w:rPr>
        <w:br/>
      </w:r>
      <w:r w:rsidRPr="00B779BE">
        <w:rPr>
          <w:rFonts w:ascii="Arial" w:hAnsi="Arial" w:cs="Arial"/>
          <w:sz w:val="20"/>
          <w:szCs w:val="20"/>
          <w:shd w:val="clear" w:color="auto" w:fill="FFFFFF"/>
        </w:rPr>
        <w:t>Além disso, o direito ao planejamento familiar é livre decisão do casal. A liberdade decisória tutelada pelo planejamento familiar vincula-se estreitamente à privacidade e à intimidade do projeto de vida individual e parental dos envolvidos. Tendo em vista a prolongada duração dos concursos públicos e sua tendente escassez, muitas vezes inexiste planejamento familiar capaz de conciliar os interesses em jogo. Por tais razões, as escolhas tomadas muitas vezes impõem às mulheres o sacrifício de sua carreira, traduzindo-se em direta perpetuação da desigualdade de gênero.</w:t>
      </w:r>
    </w:p>
    <w:p w:rsidR="00B779BE" w:rsidRDefault="00B779BE" w:rsidP="00B779BE">
      <w:pPr>
        <w:spacing w:after="0"/>
        <w:jc w:val="both"/>
        <w:rPr>
          <w:rFonts w:ascii="Arial" w:hAnsi="Arial" w:cs="Arial"/>
          <w:sz w:val="20"/>
          <w:szCs w:val="20"/>
          <w:shd w:val="clear" w:color="auto" w:fill="FFFFFF"/>
        </w:rPr>
      </w:pPr>
      <w:r w:rsidRPr="00B779BE">
        <w:rPr>
          <w:rFonts w:ascii="Arial" w:hAnsi="Arial" w:cs="Arial"/>
          <w:sz w:val="20"/>
          <w:szCs w:val="20"/>
        </w:rPr>
        <w:br/>
      </w:r>
      <w:r w:rsidRPr="00B779BE">
        <w:rPr>
          <w:rFonts w:ascii="Arial" w:hAnsi="Arial" w:cs="Arial"/>
          <w:sz w:val="20"/>
          <w:szCs w:val="20"/>
          <w:shd w:val="clear" w:color="auto" w:fill="FFFFFF"/>
        </w:rPr>
        <w:t>De todo modo, o direito de concorrer em condições de igualdade ao ingresso no serviço público, além de previsto em todas as Constituições brasileiras, foi reconhecido pelo Pacto de São José da Costa Rica e pela Declaração Universal dos Direitos Humanos.</w:t>
      </w:r>
    </w:p>
    <w:p w:rsidR="00B779BE" w:rsidRPr="00B779BE" w:rsidRDefault="00B779BE" w:rsidP="00B779BE">
      <w:pPr>
        <w:spacing w:after="0"/>
        <w:jc w:val="both"/>
        <w:rPr>
          <w:rFonts w:ascii="Arial" w:hAnsi="Arial" w:cs="Arial"/>
          <w:b/>
          <w:sz w:val="20"/>
          <w:szCs w:val="20"/>
        </w:rPr>
      </w:pPr>
      <w:r w:rsidRPr="00B779BE">
        <w:rPr>
          <w:rFonts w:ascii="Arial" w:hAnsi="Arial" w:cs="Arial"/>
          <w:sz w:val="20"/>
          <w:szCs w:val="20"/>
        </w:rPr>
        <w:br/>
      </w:r>
      <w:r w:rsidRPr="00B779BE">
        <w:rPr>
          <w:rFonts w:ascii="Arial" w:hAnsi="Arial" w:cs="Arial"/>
          <w:sz w:val="20"/>
          <w:szCs w:val="20"/>
          <w:shd w:val="clear" w:color="auto" w:fill="FFFFFF"/>
        </w:rPr>
        <w:t>Ademais, os princípios em jogo devem ser analisados à luz da moderna concepção de administração pública gestora. Ao realizar o certame seletivo, o administrador público deve organizar suas ações e decisões de modo a otimizar a gestão pública, entendida esta como o exercício responsável do arbítrio administrativo na forma de decisões, ações e resultado esperado. O gestor, assim, precisa saber avaliar por qual razão o concurso é necessário e quais são os resultados esperados, impondo-se a necessidade de planejamento do processo de contratação.</w:t>
      </w:r>
      <w:r w:rsidRPr="00B779BE">
        <w:rPr>
          <w:rFonts w:ascii="Arial" w:hAnsi="Arial" w:cs="Arial"/>
          <w:sz w:val="20"/>
          <w:szCs w:val="20"/>
        </w:rPr>
        <w:br/>
      </w:r>
      <w:r w:rsidRPr="00B779BE">
        <w:rPr>
          <w:rFonts w:ascii="Arial" w:hAnsi="Arial" w:cs="Arial"/>
          <w:sz w:val="20"/>
          <w:szCs w:val="20"/>
        </w:rPr>
        <w:br/>
      </w:r>
      <w:r w:rsidRPr="00B779BE">
        <w:rPr>
          <w:rFonts w:ascii="Arial" w:hAnsi="Arial" w:cs="Arial"/>
          <w:sz w:val="20"/>
          <w:szCs w:val="20"/>
          <w:shd w:val="clear" w:color="auto" w:fill="FFFFFF"/>
        </w:rPr>
        <w:t>No caso em comento, a melhor alternativa para o resguardo dos interesses envolvidos corresponde à continuidade do concurso público, com a realização de teste físico em data posterior, reservado o número de vagas necessário. Se, após o teste de aptidão física remarcado, a candidata lograr aprovação e classificação, deve ser empossada. Caso contrário, será empossado o candidato ou candidata remanescente na lista de classificação em posição imediatamente subsequente.</w:t>
      </w:r>
    </w:p>
    <w:p w:rsidR="00543DF0" w:rsidRDefault="00543DF0" w:rsidP="00B779BE">
      <w:pPr>
        <w:spacing w:after="0"/>
        <w:jc w:val="both"/>
        <w:rPr>
          <w:rFonts w:ascii="Arial" w:hAnsi="Arial" w:cs="Arial"/>
          <w:b/>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A06E3B" w:rsidRDefault="00A06E3B" w:rsidP="00AD25B7">
      <w:pPr>
        <w:widowControl w:val="0"/>
        <w:autoSpaceDE w:val="0"/>
        <w:autoSpaceDN w:val="0"/>
        <w:jc w:val="both"/>
      </w:pPr>
    </w:p>
    <w:p w:rsidR="00AD25B7" w:rsidRPr="00AD25B7" w:rsidRDefault="00F5015D" w:rsidP="00AD25B7">
      <w:pPr>
        <w:widowControl w:val="0"/>
        <w:autoSpaceDE w:val="0"/>
        <w:autoSpaceDN w:val="0"/>
        <w:jc w:val="both"/>
        <w:rPr>
          <w:rFonts w:ascii="Arial" w:hAnsi="Arial" w:cs="Arial"/>
          <w:b/>
          <w:sz w:val="20"/>
          <w:szCs w:val="20"/>
        </w:rPr>
      </w:pPr>
      <w:hyperlink r:id="rId18" w:history="1">
        <w:r w:rsidR="00AD25B7" w:rsidRPr="00EF356D">
          <w:rPr>
            <w:rStyle w:val="Hyperlink"/>
            <w:rFonts w:ascii="Arial" w:hAnsi="Arial" w:cs="Arial"/>
            <w:b/>
            <w:sz w:val="20"/>
            <w:szCs w:val="20"/>
          </w:rPr>
          <w:t xml:space="preserve">Acórdão 1867/2018 </w:t>
        </w:r>
        <w:r w:rsidR="00EF356D">
          <w:rPr>
            <w:rStyle w:val="Hyperlink"/>
            <w:rFonts w:ascii="Arial" w:hAnsi="Arial" w:cs="Arial"/>
            <w:b/>
            <w:sz w:val="20"/>
            <w:szCs w:val="20"/>
          </w:rPr>
          <w:t xml:space="preserve">- </w:t>
        </w:r>
        <w:r w:rsidR="00AD25B7" w:rsidRPr="00EF356D">
          <w:rPr>
            <w:rStyle w:val="Hyperlink"/>
            <w:rFonts w:ascii="Arial" w:hAnsi="Arial" w:cs="Arial"/>
            <w:b/>
            <w:sz w:val="20"/>
            <w:szCs w:val="20"/>
          </w:rPr>
          <w:t>Plenário</w:t>
        </w:r>
      </w:hyperlink>
      <w:r w:rsidR="00AD25B7" w:rsidRPr="00AD25B7">
        <w:rPr>
          <w:rFonts w:ascii="Arial" w:hAnsi="Arial" w:cs="Arial"/>
          <w:b/>
          <w:sz w:val="20"/>
          <w:szCs w:val="20"/>
        </w:rPr>
        <w:t xml:space="preserve"> </w:t>
      </w:r>
      <w:r w:rsidR="00AD25B7" w:rsidRPr="00AD25B7">
        <w:rPr>
          <w:rFonts w:ascii="Arial" w:hAnsi="Arial" w:cs="Arial"/>
          <w:sz w:val="20"/>
          <w:szCs w:val="20"/>
        </w:rPr>
        <w:t>(Representação, Relator Ministro Bruno Dantas)</w:t>
      </w:r>
    </w:p>
    <w:p w:rsidR="00AD25B7" w:rsidRPr="008D1DCB" w:rsidRDefault="00AD25B7" w:rsidP="00AD25B7">
      <w:pPr>
        <w:jc w:val="both"/>
        <w:rPr>
          <w:rFonts w:ascii="Arial" w:hAnsi="Arial" w:cs="Arial"/>
          <w:b/>
          <w:sz w:val="20"/>
          <w:szCs w:val="20"/>
        </w:rPr>
      </w:pPr>
      <w:r w:rsidRPr="008D1DCB">
        <w:rPr>
          <w:rFonts w:ascii="Arial" w:hAnsi="Arial" w:cs="Arial"/>
          <w:b/>
          <w:sz w:val="20"/>
          <w:szCs w:val="20"/>
        </w:rPr>
        <w:t>Convênio. Acordo de cooperação. Requisito. Processo seletivo. Pré-qualificação. Laboratório. Indústria farmacêutica.</w:t>
      </w:r>
    </w:p>
    <w:p w:rsidR="00AD25B7" w:rsidRDefault="00AD25B7" w:rsidP="00AD25B7">
      <w:pPr>
        <w:pStyle w:val="TCU-Epgrafe"/>
        <w:spacing w:after="200" w:line="276" w:lineRule="auto"/>
        <w:ind w:left="0"/>
        <w:rPr>
          <w:rFonts w:ascii="Arial" w:hAnsi="Arial" w:cs="Arial"/>
          <w:sz w:val="20"/>
        </w:rPr>
      </w:pPr>
      <w:r w:rsidRPr="00AD25B7">
        <w:rPr>
          <w:rFonts w:ascii="Arial" w:hAnsi="Arial" w:cs="Arial"/>
          <w:sz w:val="20"/>
        </w:rPr>
        <w:t>A escolha de parceiros privados da indústria farmacêutica para celebração de acordo de cooperação técnico-científica com laboratórios públicos deve ser precedida de processo seletivo ou de pré-qualificação, salvo quando sua realização for justificadamente inviável.</w:t>
      </w:r>
    </w:p>
    <w:p w:rsidR="00AD25B7" w:rsidRPr="00AD25B7" w:rsidRDefault="00F5015D" w:rsidP="00AD25B7">
      <w:pPr>
        <w:widowControl w:val="0"/>
        <w:autoSpaceDE w:val="0"/>
        <w:autoSpaceDN w:val="0"/>
        <w:jc w:val="both"/>
        <w:rPr>
          <w:rFonts w:ascii="Arial" w:hAnsi="Arial" w:cs="Arial"/>
          <w:b/>
          <w:sz w:val="20"/>
          <w:szCs w:val="20"/>
        </w:rPr>
      </w:pPr>
      <w:hyperlink r:id="rId19" w:history="1">
        <w:r w:rsidR="00AD25B7" w:rsidRPr="000337AE">
          <w:rPr>
            <w:rStyle w:val="Hyperlink"/>
            <w:rFonts w:ascii="Arial" w:hAnsi="Arial" w:cs="Arial"/>
            <w:b/>
            <w:sz w:val="20"/>
            <w:szCs w:val="20"/>
          </w:rPr>
          <w:t>Acórdão 1872/2018 Plenário</w:t>
        </w:r>
      </w:hyperlink>
      <w:r w:rsidR="00AD25B7" w:rsidRPr="00AD25B7">
        <w:rPr>
          <w:rFonts w:ascii="Arial" w:hAnsi="Arial" w:cs="Arial"/>
          <w:b/>
          <w:sz w:val="20"/>
          <w:szCs w:val="20"/>
        </w:rPr>
        <w:t xml:space="preserve"> </w:t>
      </w:r>
      <w:r w:rsidR="00AD25B7" w:rsidRPr="00AD25B7">
        <w:rPr>
          <w:rFonts w:ascii="Arial" w:hAnsi="Arial" w:cs="Arial"/>
          <w:sz w:val="20"/>
          <w:szCs w:val="20"/>
        </w:rPr>
        <w:t>(Acompanhamento, Relator Ministro Vital do Rêgo)</w:t>
      </w:r>
    </w:p>
    <w:p w:rsidR="00AD25B7" w:rsidRPr="008D1DCB" w:rsidRDefault="00AD25B7" w:rsidP="00AD25B7">
      <w:pPr>
        <w:jc w:val="both"/>
        <w:rPr>
          <w:rFonts w:ascii="Arial" w:hAnsi="Arial" w:cs="Arial"/>
          <w:b/>
          <w:sz w:val="20"/>
          <w:szCs w:val="20"/>
        </w:rPr>
      </w:pPr>
      <w:r w:rsidRPr="008D1DCB">
        <w:rPr>
          <w:rFonts w:ascii="Arial" w:hAnsi="Arial" w:cs="Arial"/>
          <w:b/>
          <w:sz w:val="20"/>
          <w:szCs w:val="20"/>
        </w:rPr>
        <w:t>Licitação. Pregão. Negociação. Adjudicação. Lote (Licitação). Preço unitário. Preço global.</w:t>
      </w:r>
    </w:p>
    <w:p w:rsidR="00AD25B7" w:rsidRPr="00AD25B7" w:rsidRDefault="00AD25B7" w:rsidP="00AD25B7">
      <w:pPr>
        <w:pStyle w:val="TCU-Epgrafe"/>
        <w:spacing w:after="200" w:line="276" w:lineRule="auto"/>
        <w:ind w:left="0"/>
        <w:rPr>
          <w:rFonts w:ascii="Arial" w:hAnsi="Arial" w:cs="Arial"/>
          <w:sz w:val="20"/>
        </w:rPr>
      </w:pPr>
      <w:r w:rsidRPr="00AD25B7">
        <w:rPr>
          <w:rFonts w:ascii="Arial" w:hAnsi="Arial" w:cs="Arial"/>
          <w:sz w:val="20"/>
        </w:rPr>
        <w:t xml:space="preserve">Na fase de negociação posterior à disputa de lances em pregão sob a modelagem de adjudicação por preço global de grupo de itens, é irregular a aceitação pelo pregoeiro de item com preço unitário superior àquele definido na etapa de lances, ainda que o valor total do respectivo grupo tenha sido reduzido. A negociação de itens de grupo só é admissível se resultar em redução ou manutenção dos preços desses itens (art. 4º, inciso XVII, da </w:t>
      </w:r>
      <w:hyperlink r:id="rId20" w:history="1">
        <w:r w:rsidRPr="00AD25B7">
          <w:rPr>
            <w:rStyle w:val="Hyperlink"/>
            <w:rFonts w:ascii="Arial" w:hAnsi="Arial" w:cs="Arial"/>
            <w:color w:val="0000FF" w:themeColor="hyperlink"/>
            <w:sz w:val="20"/>
          </w:rPr>
          <w:t>Lei 10.520/2002</w:t>
        </w:r>
      </w:hyperlink>
      <w:r w:rsidRPr="00AD25B7">
        <w:rPr>
          <w:rFonts w:ascii="Arial" w:hAnsi="Arial" w:cs="Arial"/>
          <w:sz w:val="20"/>
        </w:rPr>
        <w:t>).</w:t>
      </w:r>
    </w:p>
    <w:p w:rsidR="00AD25B7" w:rsidRPr="00AD25B7" w:rsidRDefault="00F5015D" w:rsidP="00AD25B7">
      <w:pPr>
        <w:widowControl w:val="0"/>
        <w:autoSpaceDE w:val="0"/>
        <w:autoSpaceDN w:val="0"/>
        <w:jc w:val="both"/>
        <w:rPr>
          <w:rFonts w:ascii="Arial" w:hAnsi="Arial" w:cs="Arial"/>
          <w:b/>
          <w:sz w:val="20"/>
          <w:szCs w:val="20"/>
        </w:rPr>
      </w:pPr>
      <w:hyperlink r:id="rId21" w:history="1">
        <w:r w:rsidR="00AD25B7" w:rsidRPr="00920069">
          <w:rPr>
            <w:rStyle w:val="Hyperlink"/>
            <w:rFonts w:ascii="Arial" w:hAnsi="Arial"/>
            <w:b/>
            <w:sz w:val="20"/>
            <w:szCs w:val="20"/>
          </w:rPr>
          <w:t>Acórdão 1910/2018 Plenário</w:t>
        </w:r>
      </w:hyperlink>
      <w:r w:rsidR="00AD25B7" w:rsidRPr="00AD25B7">
        <w:rPr>
          <w:rFonts w:ascii="Arial" w:hAnsi="Arial"/>
          <w:b/>
          <w:sz w:val="20"/>
          <w:szCs w:val="20"/>
        </w:rPr>
        <w:t xml:space="preserve"> </w:t>
      </w:r>
      <w:r w:rsidR="00AD25B7" w:rsidRPr="00AD25B7">
        <w:rPr>
          <w:rFonts w:ascii="Arial" w:hAnsi="Arial"/>
          <w:sz w:val="20"/>
          <w:szCs w:val="20"/>
        </w:rPr>
        <w:t xml:space="preserve">(Denúncia, Relator Ministro-Substituto </w:t>
      </w:r>
      <w:proofErr w:type="spellStart"/>
      <w:r w:rsidR="00AD25B7" w:rsidRPr="00AD25B7">
        <w:rPr>
          <w:rFonts w:ascii="Arial" w:hAnsi="Arial"/>
          <w:sz w:val="20"/>
          <w:szCs w:val="20"/>
        </w:rPr>
        <w:t>Weder</w:t>
      </w:r>
      <w:proofErr w:type="spellEnd"/>
      <w:r w:rsidR="00AD25B7" w:rsidRPr="00AD25B7">
        <w:rPr>
          <w:rFonts w:ascii="Arial" w:hAnsi="Arial"/>
          <w:sz w:val="20"/>
          <w:szCs w:val="20"/>
        </w:rPr>
        <w:t xml:space="preserve"> de Oliveira)</w:t>
      </w:r>
    </w:p>
    <w:p w:rsidR="00AD25B7" w:rsidRPr="008D1DCB" w:rsidRDefault="00AD25B7" w:rsidP="00AD25B7">
      <w:pPr>
        <w:jc w:val="both"/>
        <w:rPr>
          <w:rFonts w:ascii="Arial" w:hAnsi="Arial" w:cs="Arial"/>
          <w:b/>
          <w:sz w:val="20"/>
          <w:szCs w:val="20"/>
        </w:rPr>
      </w:pPr>
      <w:r w:rsidRPr="008D1DCB">
        <w:rPr>
          <w:rFonts w:ascii="Arial" w:hAnsi="Arial"/>
          <w:b/>
          <w:sz w:val="20"/>
          <w:szCs w:val="20"/>
        </w:rPr>
        <w:t>Licitação. RDC. Contratação integrada. Metodologia.</w:t>
      </w:r>
    </w:p>
    <w:p w:rsidR="00AD25B7" w:rsidRDefault="00AD25B7" w:rsidP="00AD25B7">
      <w:pPr>
        <w:pStyle w:val="Default"/>
        <w:spacing w:after="200" w:line="276" w:lineRule="auto"/>
        <w:jc w:val="both"/>
        <w:rPr>
          <w:sz w:val="20"/>
          <w:szCs w:val="20"/>
        </w:rPr>
      </w:pPr>
      <w:r w:rsidRPr="00AD25B7">
        <w:rPr>
          <w:sz w:val="20"/>
          <w:szCs w:val="20"/>
        </w:rPr>
        <w:t xml:space="preserve">É lícita a realização de licitação, pelo regime de contratação integrada do RDC, para execução de obras e serviços de engenharia com solução construtiva previamente definida, passível de ser executada com metodologias distintas (art. 9⁰, inciso II, da </w:t>
      </w:r>
      <w:hyperlink r:id="rId22" w:history="1">
        <w:r w:rsidRPr="00AD25B7">
          <w:rPr>
            <w:rStyle w:val="Hyperlink"/>
            <w:color w:val="0000FF" w:themeColor="hyperlink"/>
            <w:sz w:val="20"/>
            <w:szCs w:val="20"/>
          </w:rPr>
          <w:t>Lei 12.462/2011</w:t>
        </w:r>
      </w:hyperlink>
      <w:r w:rsidRPr="00AD25B7">
        <w:rPr>
          <w:sz w:val="20"/>
          <w:szCs w:val="20"/>
        </w:rPr>
        <w:t>).</w:t>
      </w:r>
    </w:p>
    <w:p w:rsidR="009E4D45" w:rsidRDefault="00F5015D" w:rsidP="009E4D45">
      <w:pPr>
        <w:widowControl w:val="0"/>
        <w:autoSpaceDE w:val="0"/>
        <w:autoSpaceDN w:val="0"/>
        <w:jc w:val="both"/>
        <w:rPr>
          <w:rFonts w:ascii="Arial" w:hAnsi="Arial" w:cs="Arial"/>
          <w:b/>
          <w:sz w:val="20"/>
          <w:szCs w:val="20"/>
        </w:rPr>
      </w:pPr>
      <w:hyperlink r:id="rId23" w:history="1">
        <w:r w:rsidR="009E4D45" w:rsidRPr="00C964A0">
          <w:rPr>
            <w:rStyle w:val="Hyperlink"/>
            <w:rFonts w:ascii="Arial" w:hAnsi="Arial"/>
            <w:b/>
            <w:sz w:val="20"/>
            <w:szCs w:val="20"/>
          </w:rPr>
          <w:t xml:space="preserve">Acórdão 11552/2018 </w:t>
        </w:r>
        <w:r w:rsidR="00C964A0">
          <w:rPr>
            <w:rStyle w:val="Hyperlink"/>
            <w:rFonts w:ascii="Arial" w:hAnsi="Arial"/>
            <w:b/>
            <w:sz w:val="20"/>
            <w:szCs w:val="20"/>
          </w:rPr>
          <w:t xml:space="preserve">- </w:t>
        </w:r>
        <w:r w:rsidR="009E4D45" w:rsidRPr="00C964A0">
          <w:rPr>
            <w:rStyle w:val="Hyperlink"/>
            <w:rFonts w:ascii="Arial" w:hAnsi="Arial"/>
            <w:b/>
            <w:sz w:val="20"/>
            <w:szCs w:val="20"/>
          </w:rPr>
          <w:t>Primeira Câmara</w:t>
        </w:r>
      </w:hyperlink>
      <w:r w:rsidR="009E4D45">
        <w:rPr>
          <w:rFonts w:ascii="Arial" w:hAnsi="Arial"/>
          <w:b/>
          <w:sz w:val="20"/>
          <w:szCs w:val="20"/>
        </w:rPr>
        <w:t xml:space="preserve"> </w:t>
      </w:r>
      <w:r w:rsidR="009E4D45">
        <w:rPr>
          <w:rFonts w:ascii="Arial" w:hAnsi="Arial"/>
          <w:sz w:val="20"/>
          <w:szCs w:val="20"/>
        </w:rPr>
        <w:t>(Tomada de Contas Especial, Relator Ministro Bruno Dantas)</w:t>
      </w:r>
    </w:p>
    <w:p w:rsidR="009E4D45" w:rsidRPr="008D1DCB" w:rsidRDefault="009E4D45" w:rsidP="009E4D45">
      <w:pPr>
        <w:jc w:val="both"/>
        <w:rPr>
          <w:rFonts w:ascii="Arial" w:hAnsi="Arial" w:cs="Arial"/>
          <w:b/>
          <w:sz w:val="20"/>
          <w:szCs w:val="20"/>
        </w:rPr>
      </w:pPr>
      <w:r w:rsidRPr="008D1DCB">
        <w:rPr>
          <w:rFonts w:ascii="Arial" w:hAnsi="Arial"/>
          <w:b/>
          <w:sz w:val="20"/>
          <w:szCs w:val="20"/>
        </w:rPr>
        <w:t>Convênio. Execu</w:t>
      </w:r>
      <w:bookmarkStart w:id="1" w:name="_GoBack"/>
      <w:bookmarkEnd w:id="1"/>
      <w:r w:rsidRPr="008D1DCB">
        <w:rPr>
          <w:rFonts w:ascii="Arial" w:hAnsi="Arial"/>
          <w:b/>
          <w:sz w:val="20"/>
          <w:szCs w:val="20"/>
        </w:rPr>
        <w:t>ção financeira. Receita. Prestação de contas. Evento.</w:t>
      </w:r>
    </w:p>
    <w:p w:rsidR="009E4D45" w:rsidRDefault="009E4D45" w:rsidP="009E4D45">
      <w:pPr>
        <w:pStyle w:val="TCU-Epgrafe"/>
        <w:spacing w:after="200" w:line="276" w:lineRule="auto"/>
        <w:ind w:left="0"/>
        <w:rPr>
          <w:sz w:val="20"/>
        </w:rPr>
      </w:pPr>
      <w:r>
        <w:rPr>
          <w:rFonts w:ascii="Arial" w:hAnsi="Arial"/>
          <w:sz w:val="20"/>
        </w:rPr>
        <w:t>Os valores arrecadados com a cobrança de ingressos em shows e eventos ou com a venda de bens e serviços produzidos ou fornecidos em razão de projetos beneficiados com recursos de convênios devem ser revertidos para a consecução do objeto conveniado ou recolhidos ao erário e, adicionalmente, integrar a prestação de contas do ajuste.</w:t>
      </w:r>
    </w:p>
    <w:p w:rsidR="009E4D45" w:rsidRDefault="00F5015D" w:rsidP="009E4D45">
      <w:pPr>
        <w:widowControl w:val="0"/>
        <w:autoSpaceDE w:val="0"/>
        <w:autoSpaceDN w:val="0"/>
        <w:jc w:val="both"/>
        <w:rPr>
          <w:rFonts w:ascii="Arial" w:hAnsi="Arial" w:cs="Arial"/>
          <w:b/>
          <w:sz w:val="20"/>
          <w:szCs w:val="20"/>
        </w:rPr>
      </w:pPr>
      <w:hyperlink r:id="rId24" w:history="1">
        <w:r w:rsidR="009E4D45" w:rsidRPr="0050096D">
          <w:rPr>
            <w:rStyle w:val="Hyperlink"/>
            <w:rFonts w:ascii="Arial" w:hAnsi="Arial"/>
            <w:b/>
            <w:sz w:val="20"/>
            <w:szCs w:val="20"/>
          </w:rPr>
          <w:t xml:space="preserve">Acórdão 11562/2018 </w:t>
        </w:r>
        <w:r w:rsidR="0050096D">
          <w:rPr>
            <w:rStyle w:val="Hyperlink"/>
            <w:rFonts w:ascii="Arial" w:hAnsi="Arial"/>
            <w:b/>
            <w:sz w:val="20"/>
            <w:szCs w:val="20"/>
          </w:rPr>
          <w:t xml:space="preserve">- </w:t>
        </w:r>
        <w:r w:rsidR="009E4D45" w:rsidRPr="0050096D">
          <w:rPr>
            <w:rStyle w:val="Hyperlink"/>
            <w:rFonts w:ascii="Arial" w:hAnsi="Arial"/>
            <w:b/>
            <w:sz w:val="20"/>
            <w:szCs w:val="20"/>
          </w:rPr>
          <w:t>Primeira Câmara</w:t>
        </w:r>
      </w:hyperlink>
      <w:r w:rsidR="009E4D45">
        <w:rPr>
          <w:rFonts w:ascii="Arial" w:hAnsi="Arial"/>
          <w:b/>
          <w:sz w:val="20"/>
          <w:szCs w:val="20"/>
        </w:rPr>
        <w:t xml:space="preserve"> </w:t>
      </w:r>
      <w:r w:rsidR="009E4D45">
        <w:rPr>
          <w:rFonts w:ascii="Arial" w:hAnsi="Arial"/>
          <w:sz w:val="20"/>
          <w:szCs w:val="20"/>
        </w:rPr>
        <w:t>(Recurso de Reconsideração, Relator Ministro Bruno Dantas)</w:t>
      </w:r>
    </w:p>
    <w:p w:rsidR="009E4D45" w:rsidRPr="008D1DCB" w:rsidRDefault="009E4D45" w:rsidP="009E4D45">
      <w:pPr>
        <w:jc w:val="both"/>
        <w:rPr>
          <w:rFonts w:ascii="Arial" w:hAnsi="Arial" w:cs="Arial"/>
          <w:b/>
          <w:sz w:val="20"/>
          <w:szCs w:val="20"/>
        </w:rPr>
      </w:pPr>
      <w:r w:rsidRPr="008D1DCB">
        <w:rPr>
          <w:rFonts w:ascii="Arial" w:hAnsi="Arial"/>
          <w:b/>
          <w:sz w:val="20"/>
          <w:szCs w:val="20"/>
        </w:rPr>
        <w:t>Direito Processual. Julgamento de contas. Contas ordinárias. Contas regulares com ressalva. Impropriedade. Regularização.</w:t>
      </w:r>
    </w:p>
    <w:p w:rsidR="009E4D45" w:rsidRDefault="009E4D45" w:rsidP="009E4D45">
      <w:pPr>
        <w:jc w:val="both"/>
        <w:rPr>
          <w:rFonts w:ascii="Arial" w:hAnsi="Arial"/>
          <w:sz w:val="20"/>
          <w:szCs w:val="20"/>
        </w:rPr>
      </w:pPr>
      <w:r>
        <w:rPr>
          <w:rFonts w:ascii="Arial" w:hAnsi="Arial"/>
          <w:sz w:val="20"/>
          <w:szCs w:val="20"/>
        </w:rPr>
        <w:t xml:space="preserve">A adoção de medidas corretivas e de aprimoramento administrativo, assim como o ulterior cumprimento das normas, embora favoreçam os responsáveis relativamente à gestão do </w:t>
      </w:r>
      <w:r>
        <w:rPr>
          <w:rFonts w:ascii="Arial" w:hAnsi="Arial"/>
          <w:sz w:val="20"/>
          <w:szCs w:val="20"/>
        </w:rPr>
        <w:lastRenderedPageBreak/>
        <w:t>exercício em que as providências tenham sido efetivamente adotadas, não afastam as falhas detectadas, tampouco isentam os responsáveis pelas ressalvas nas respectivas contas.</w:t>
      </w:r>
    </w:p>
    <w:p w:rsidR="009E4D45" w:rsidRDefault="00F5015D" w:rsidP="009E4D45">
      <w:pPr>
        <w:widowControl w:val="0"/>
        <w:autoSpaceDE w:val="0"/>
        <w:autoSpaceDN w:val="0"/>
        <w:jc w:val="both"/>
        <w:rPr>
          <w:rFonts w:ascii="Arial" w:hAnsi="Arial" w:cs="Arial"/>
          <w:b/>
          <w:sz w:val="20"/>
          <w:szCs w:val="20"/>
        </w:rPr>
      </w:pPr>
      <w:hyperlink r:id="rId25" w:history="1">
        <w:r w:rsidR="009E4D45" w:rsidRPr="00EB6B76">
          <w:rPr>
            <w:rStyle w:val="Hyperlink"/>
            <w:rFonts w:ascii="Arial" w:hAnsi="Arial" w:cs="Arial"/>
            <w:b/>
            <w:sz w:val="20"/>
            <w:szCs w:val="20"/>
          </w:rPr>
          <w:t xml:space="preserve">Acórdão 2301/2018 </w:t>
        </w:r>
        <w:r w:rsidR="00EB6B76">
          <w:rPr>
            <w:rStyle w:val="Hyperlink"/>
            <w:rFonts w:ascii="Arial" w:hAnsi="Arial" w:cs="Arial"/>
            <w:b/>
            <w:sz w:val="20"/>
            <w:szCs w:val="20"/>
          </w:rPr>
          <w:t xml:space="preserve">- </w:t>
        </w:r>
        <w:r w:rsidR="009E4D45" w:rsidRPr="00EB6B76">
          <w:rPr>
            <w:rStyle w:val="Hyperlink"/>
            <w:rFonts w:ascii="Arial" w:hAnsi="Arial" w:cs="Arial"/>
            <w:b/>
            <w:sz w:val="20"/>
            <w:szCs w:val="20"/>
          </w:rPr>
          <w:t>Plenário</w:t>
        </w:r>
      </w:hyperlink>
      <w:r w:rsidR="009E4D45">
        <w:rPr>
          <w:rFonts w:ascii="Arial" w:hAnsi="Arial" w:cs="Arial"/>
          <w:b/>
          <w:sz w:val="20"/>
          <w:szCs w:val="20"/>
        </w:rPr>
        <w:t xml:space="preserve"> </w:t>
      </w:r>
      <w:r w:rsidR="009E4D45">
        <w:rPr>
          <w:rFonts w:ascii="Arial" w:hAnsi="Arial" w:cs="Arial"/>
          <w:sz w:val="20"/>
          <w:szCs w:val="20"/>
        </w:rPr>
        <w:t xml:space="preserve">(Representação, Relator Ministro José </w:t>
      </w:r>
      <w:proofErr w:type="spellStart"/>
      <w:r w:rsidR="009E4D45">
        <w:rPr>
          <w:rFonts w:ascii="Arial" w:hAnsi="Arial" w:cs="Arial"/>
          <w:sz w:val="20"/>
          <w:szCs w:val="20"/>
        </w:rPr>
        <w:t>Múcio</w:t>
      </w:r>
      <w:proofErr w:type="spellEnd"/>
      <w:r w:rsidR="009E4D45">
        <w:rPr>
          <w:rFonts w:ascii="Arial" w:hAnsi="Arial" w:cs="Arial"/>
          <w:sz w:val="20"/>
          <w:szCs w:val="20"/>
        </w:rPr>
        <w:t xml:space="preserve"> Monteiro)</w:t>
      </w:r>
    </w:p>
    <w:p w:rsidR="009E4D45" w:rsidRPr="008D1DCB" w:rsidRDefault="009E4D45" w:rsidP="009E4D45">
      <w:pPr>
        <w:jc w:val="both"/>
        <w:rPr>
          <w:rFonts w:ascii="Arial" w:hAnsi="Arial" w:cs="Arial"/>
          <w:b/>
          <w:sz w:val="20"/>
          <w:szCs w:val="20"/>
        </w:rPr>
      </w:pPr>
      <w:r w:rsidRPr="008D1DCB">
        <w:rPr>
          <w:rFonts w:ascii="Arial" w:hAnsi="Arial" w:cs="Arial"/>
          <w:b/>
          <w:sz w:val="20"/>
          <w:szCs w:val="20"/>
        </w:rPr>
        <w:t>Licitação. Qualificação técnica. Exigência. Credenciamento. Fabricante. Justificativa. Bens e serviços de informática.</w:t>
      </w:r>
    </w:p>
    <w:p w:rsidR="009E4D45" w:rsidRDefault="009E4D45" w:rsidP="009E4D45">
      <w:pPr>
        <w:pStyle w:val="TCU-Epgrafe"/>
        <w:spacing w:after="200" w:line="276" w:lineRule="auto"/>
        <w:ind w:left="0"/>
        <w:rPr>
          <w:rFonts w:ascii="Arial" w:hAnsi="Arial" w:cs="Arial"/>
          <w:sz w:val="20"/>
        </w:rPr>
      </w:pPr>
      <w:r>
        <w:rPr>
          <w:rFonts w:ascii="Arial" w:hAnsi="Arial" w:cs="Arial"/>
          <w:sz w:val="20"/>
        </w:rPr>
        <w:t xml:space="preserve">Nas licitações para contratação de serviços de TI, é irregular a exigência de declaração de credenciamento de fabricantes de </w:t>
      </w:r>
      <w:r>
        <w:rPr>
          <w:rFonts w:ascii="Arial" w:hAnsi="Arial" w:cs="Arial"/>
          <w:i/>
          <w:sz w:val="20"/>
        </w:rPr>
        <w:t>hardware</w:t>
      </w:r>
      <w:r>
        <w:rPr>
          <w:rFonts w:ascii="Arial" w:hAnsi="Arial" w:cs="Arial"/>
          <w:sz w:val="20"/>
        </w:rPr>
        <w:t xml:space="preserve"> e </w:t>
      </w:r>
      <w:r>
        <w:rPr>
          <w:rFonts w:ascii="Arial" w:hAnsi="Arial" w:cs="Arial"/>
          <w:i/>
          <w:sz w:val="20"/>
        </w:rPr>
        <w:t>software</w:t>
      </w:r>
      <w:r>
        <w:rPr>
          <w:rFonts w:ascii="Arial" w:hAnsi="Arial" w:cs="Arial"/>
          <w:sz w:val="20"/>
        </w:rPr>
        <w:t xml:space="preserve"> como requisito de habilitação técnica sem expressa justificativa no processo licitatório e sem prévio exame do impacto dessa exigência na competitividade do certame.</w:t>
      </w:r>
    </w:p>
    <w:p w:rsidR="009E4D45" w:rsidRDefault="00F5015D" w:rsidP="009E4D45">
      <w:pPr>
        <w:widowControl w:val="0"/>
        <w:autoSpaceDE w:val="0"/>
        <w:autoSpaceDN w:val="0"/>
        <w:jc w:val="both"/>
        <w:rPr>
          <w:rFonts w:ascii="Arial" w:hAnsi="Arial" w:cs="Arial"/>
          <w:b/>
          <w:sz w:val="20"/>
          <w:szCs w:val="20"/>
        </w:rPr>
      </w:pPr>
      <w:hyperlink r:id="rId26" w:history="1">
        <w:r w:rsidR="009E4D45" w:rsidRPr="00E96C1B">
          <w:rPr>
            <w:rStyle w:val="Hyperlink"/>
            <w:rFonts w:ascii="Arial" w:hAnsi="Arial"/>
            <w:b/>
            <w:sz w:val="20"/>
            <w:szCs w:val="20"/>
          </w:rPr>
          <w:t xml:space="preserve">Acórdão 2307/2018 </w:t>
        </w:r>
        <w:r w:rsidR="00E96C1B">
          <w:rPr>
            <w:rStyle w:val="Hyperlink"/>
            <w:rFonts w:ascii="Arial" w:hAnsi="Arial"/>
            <w:b/>
            <w:sz w:val="20"/>
            <w:szCs w:val="20"/>
          </w:rPr>
          <w:t xml:space="preserve">- </w:t>
        </w:r>
        <w:r w:rsidR="009E4D45" w:rsidRPr="00E96C1B">
          <w:rPr>
            <w:rStyle w:val="Hyperlink"/>
            <w:rFonts w:ascii="Arial" w:hAnsi="Arial"/>
            <w:b/>
            <w:sz w:val="20"/>
            <w:szCs w:val="20"/>
          </w:rPr>
          <w:t>Plenário</w:t>
        </w:r>
      </w:hyperlink>
      <w:r w:rsidR="009E4D45">
        <w:rPr>
          <w:rFonts w:ascii="Arial" w:hAnsi="Arial"/>
          <w:b/>
          <w:sz w:val="20"/>
          <w:szCs w:val="20"/>
        </w:rPr>
        <w:t xml:space="preserve"> </w:t>
      </w:r>
      <w:r w:rsidR="009E4D45">
        <w:rPr>
          <w:rFonts w:ascii="Arial" w:hAnsi="Arial"/>
          <w:sz w:val="20"/>
          <w:szCs w:val="20"/>
        </w:rPr>
        <w:t>(Embargos de Declaração, Relator Ministra Ana Arraes)</w:t>
      </w:r>
    </w:p>
    <w:p w:rsidR="009E4D45" w:rsidRPr="008D1DCB" w:rsidRDefault="009E4D45" w:rsidP="009E4D45">
      <w:pPr>
        <w:jc w:val="both"/>
        <w:rPr>
          <w:rFonts w:ascii="Arial" w:hAnsi="Arial" w:cs="Arial"/>
          <w:b/>
          <w:sz w:val="20"/>
          <w:szCs w:val="20"/>
        </w:rPr>
      </w:pPr>
      <w:r w:rsidRPr="008D1DCB">
        <w:rPr>
          <w:rFonts w:ascii="Arial" w:hAnsi="Arial"/>
          <w:b/>
          <w:sz w:val="20"/>
          <w:szCs w:val="20"/>
        </w:rPr>
        <w:t>Direito Processual. Prova (Direito). Prova ilícita. Processo judicial. Processo de controle externo.</w:t>
      </w:r>
    </w:p>
    <w:p w:rsidR="009E4D45" w:rsidRDefault="009E4D45" w:rsidP="009E4D45">
      <w:pPr>
        <w:pStyle w:val="TCU-Epgrafe"/>
        <w:spacing w:after="200" w:line="276" w:lineRule="auto"/>
        <w:ind w:left="0"/>
        <w:rPr>
          <w:rFonts w:ascii="Arial" w:hAnsi="Arial"/>
          <w:b/>
          <w:sz w:val="20"/>
        </w:rPr>
      </w:pPr>
      <w:r>
        <w:rPr>
          <w:rFonts w:ascii="Arial" w:hAnsi="Arial"/>
          <w:sz w:val="20"/>
        </w:rPr>
        <w:t>As provas declaradas ilícitas pelo Poder Judiciário não contaminam o processo de controle externo quando este está amparado em outras provas obtidas por fontes autônomas e que não guardam relação de dependência nem decorrem das provas originariamente ilícitas.</w:t>
      </w:r>
      <w:r>
        <w:rPr>
          <w:rFonts w:ascii="Arial" w:hAnsi="Arial"/>
          <w:b/>
          <w:sz w:val="20"/>
        </w:rPr>
        <w:t xml:space="preserve"> </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Default="00F5015D" w:rsidP="00270E2F">
      <w:pPr>
        <w:pStyle w:val="Default"/>
        <w:spacing w:line="276" w:lineRule="auto"/>
        <w:jc w:val="center"/>
        <w:rPr>
          <w:rStyle w:val="Hyperlink"/>
          <w:b/>
          <w:sz w:val="20"/>
          <w:szCs w:val="20"/>
        </w:rPr>
      </w:pPr>
      <w:hyperlink r:id="rId27" w:history="1">
        <w:r w:rsidR="00270E2F" w:rsidRPr="00BC4C07">
          <w:rPr>
            <w:rStyle w:val="Hyperlink"/>
            <w:b/>
            <w:sz w:val="20"/>
            <w:szCs w:val="20"/>
          </w:rPr>
          <w:t>Pesquisas Prontas</w:t>
        </w:r>
      </w:hyperlink>
    </w:p>
    <w:p w:rsidR="00B7076B" w:rsidRDefault="00B7076B" w:rsidP="00270E2F">
      <w:pPr>
        <w:pStyle w:val="Default"/>
        <w:spacing w:line="276" w:lineRule="auto"/>
        <w:jc w:val="center"/>
        <w:rPr>
          <w:rStyle w:val="Hyperlink"/>
          <w:b/>
          <w:sz w:val="20"/>
          <w:szCs w:val="20"/>
        </w:rPr>
      </w:pPr>
    </w:p>
    <w:p w:rsidR="00B7076B" w:rsidRDefault="00F5015D" w:rsidP="00270E2F">
      <w:pPr>
        <w:pStyle w:val="Default"/>
        <w:spacing w:line="276" w:lineRule="auto"/>
        <w:jc w:val="center"/>
        <w:rPr>
          <w:rStyle w:val="Hyperlink"/>
          <w:b/>
          <w:sz w:val="20"/>
          <w:szCs w:val="20"/>
        </w:rPr>
      </w:pPr>
      <w:hyperlink r:id="rId28"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270E2F">
      <w:pPr>
        <w:pStyle w:val="Default"/>
        <w:spacing w:line="276" w:lineRule="auto"/>
        <w:jc w:val="center"/>
        <w:rPr>
          <w:rStyle w:val="Hyperlink"/>
          <w:b/>
          <w:sz w:val="20"/>
          <w:szCs w:val="20"/>
        </w:rPr>
      </w:pPr>
    </w:p>
    <w:p w:rsidR="00B7076B" w:rsidRPr="00BC4C07" w:rsidRDefault="00F5015D" w:rsidP="00270E2F">
      <w:pPr>
        <w:pStyle w:val="Default"/>
        <w:spacing w:line="276" w:lineRule="auto"/>
        <w:jc w:val="center"/>
        <w:rPr>
          <w:b/>
          <w:sz w:val="20"/>
          <w:szCs w:val="20"/>
        </w:rPr>
      </w:pPr>
      <w:hyperlink r:id="rId29" w:history="1">
        <w:proofErr w:type="spellStart"/>
        <w:r w:rsidR="00B7076B" w:rsidRPr="00B7076B">
          <w:rPr>
            <w:rStyle w:val="Hyperlink"/>
            <w:b/>
            <w:sz w:val="20"/>
            <w:szCs w:val="20"/>
          </w:rPr>
          <w:t>Interjuris</w:t>
        </w:r>
        <w:proofErr w:type="spellEnd"/>
      </w:hyperlink>
    </w:p>
    <w:p w:rsidR="00270E2F" w:rsidRDefault="00270E2F" w:rsidP="00270E2F">
      <w:pPr>
        <w:pStyle w:val="Default"/>
        <w:spacing w:line="276" w:lineRule="auto"/>
        <w:jc w:val="center"/>
      </w:pPr>
    </w:p>
    <w:p w:rsidR="00270E2F" w:rsidRDefault="00F5015D" w:rsidP="00270E2F">
      <w:pPr>
        <w:pStyle w:val="Default"/>
        <w:spacing w:line="276" w:lineRule="auto"/>
        <w:jc w:val="center"/>
        <w:rPr>
          <w:rStyle w:val="Hyperlink"/>
          <w:b/>
          <w:sz w:val="20"/>
          <w:szCs w:val="20"/>
        </w:rPr>
      </w:pPr>
      <w:hyperlink r:id="rId30" w:history="1">
        <w:r w:rsidR="00270E2F">
          <w:rPr>
            <w:rStyle w:val="Hyperlink"/>
            <w:b/>
            <w:sz w:val="20"/>
            <w:szCs w:val="20"/>
          </w:rPr>
          <w:t>Repercussão Geral do Supremo Tribunal Federal - STF e os Tribunais de Contas</w:t>
        </w:r>
      </w:hyperlink>
    </w:p>
    <w:p w:rsidR="00270E2F" w:rsidRDefault="00270E2F" w:rsidP="00270E2F">
      <w:pPr>
        <w:pStyle w:val="Default"/>
        <w:spacing w:line="276" w:lineRule="auto"/>
        <w:jc w:val="center"/>
        <w:rPr>
          <w:rStyle w:val="Hyperlink"/>
          <w:b/>
          <w:sz w:val="20"/>
          <w:szCs w:val="20"/>
        </w:rPr>
      </w:pPr>
    </w:p>
    <w:p w:rsidR="00B7076B" w:rsidRPr="00DD265A" w:rsidRDefault="00F5015D" w:rsidP="00270E2F">
      <w:pPr>
        <w:pStyle w:val="Default"/>
        <w:spacing w:line="276" w:lineRule="auto"/>
        <w:jc w:val="center"/>
        <w:rPr>
          <w:rStyle w:val="Hyperlink"/>
          <w:b/>
          <w:sz w:val="20"/>
          <w:szCs w:val="20"/>
        </w:rPr>
      </w:pPr>
      <w:hyperlink r:id="rId31" w:history="1">
        <w:r w:rsidR="00B7076B" w:rsidRPr="00B7076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F44BD1" w:rsidRDefault="00F44BD1" w:rsidP="00F44BD1">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44BD1" w:rsidRDefault="00F44BD1" w:rsidP="00F44BD1">
      <w:pPr>
        <w:spacing w:after="0"/>
        <w:jc w:val="center"/>
        <w:rPr>
          <w:b/>
        </w:rPr>
      </w:pPr>
      <w:r>
        <w:rPr>
          <w:rStyle w:val="nfase"/>
          <w:rFonts w:ascii="Tahoma" w:hAnsi="Tahoma" w:cs="Tahoma"/>
          <w:sz w:val="20"/>
          <w:szCs w:val="20"/>
        </w:rPr>
        <w:t>E-mail: jurisprudencia@tce.pr.gov.br</w:t>
      </w:r>
    </w:p>
    <w:p w:rsidR="00F44BD1" w:rsidRDefault="00F44BD1" w:rsidP="00F44BD1">
      <w:pPr>
        <w:widowControl w:val="0"/>
        <w:autoSpaceDE w:val="0"/>
        <w:autoSpaceDN w:val="0"/>
        <w:spacing w:after="0"/>
        <w:jc w:val="both"/>
        <w:rPr>
          <w:rFonts w:ascii="Arial" w:hAnsi="Arial" w:cs="Arial"/>
          <w:b/>
          <w:sz w:val="20"/>
          <w:szCs w:val="20"/>
        </w:rPr>
      </w:pP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7AE"/>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9D5"/>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64CC"/>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1084"/>
    <w:rsid w:val="00106AA9"/>
    <w:rsid w:val="00110517"/>
    <w:rsid w:val="00110BD6"/>
    <w:rsid w:val="001119DC"/>
    <w:rsid w:val="00111B86"/>
    <w:rsid w:val="00111C26"/>
    <w:rsid w:val="00112B60"/>
    <w:rsid w:val="00113EF1"/>
    <w:rsid w:val="00114B62"/>
    <w:rsid w:val="001159C9"/>
    <w:rsid w:val="00120862"/>
    <w:rsid w:val="0012150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AD7"/>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4C66"/>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13B76"/>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4678"/>
    <w:rsid w:val="003B4F77"/>
    <w:rsid w:val="003B502C"/>
    <w:rsid w:val="003C48DF"/>
    <w:rsid w:val="003C6B35"/>
    <w:rsid w:val="003C7C21"/>
    <w:rsid w:val="003D0445"/>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3355"/>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66F4"/>
    <w:rsid w:val="00497639"/>
    <w:rsid w:val="004A0574"/>
    <w:rsid w:val="004A0A41"/>
    <w:rsid w:val="004A22CF"/>
    <w:rsid w:val="004A5804"/>
    <w:rsid w:val="004A794E"/>
    <w:rsid w:val="004B142E"/>
    <w:rsid w:val="004B3D26"/>
    <w:rsid w:val="004B44C1"/>
    <w:rsid w:val="004B498D"/>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096D"/>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0797"/>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F95"/>
    <w:rsid w:val="00697D60"/>
    <w:rsid w:val="006A09B9"/>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3D45"/>
    <w:rsid w:val="00714CF1"/>
    <w:rsid w:val="00715CEB"/>
    <w:rsid w:val="00717A58"/>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6577"/>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2A12"/>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9B8"/>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1DCB"/>
    <w:rsid w:val="008D22BE"/>
    <w:rsid w:val="008D7542"/>
    <w:rsid w:val="008D7F7C"/>
    <w:rsid w:val="008E0835"/>
    <w:rsid w:val="008E16ED"/>
    <w:rsid w:val="008E280E"/>
    <w:rsid w:val="008E2BA7"/>
    <w:rsid w:val="008E5642"/>
    <w:rsid w:val="008E5CC2"/>
    <w:rsid w:val="008F2E20"/>
    <w:rsid w:val="008F4062"/>
    <w:rsid w:val="0090061C"/>
    <w:rsid w:val="00900BC5"/>
    <w:rsid w:val="00901036"/>
    <w:rsid w:val="009035D4"/>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069"/>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426"/>
    <w:rsid w:val="009C54B9"/>
    <w:rsid w:val="009C5C75"/>
    <w:rsid w:val="009D1C23"/>
    <w:rsid w:val="009D2A29"/>
    <w:rsid w:val="009D417F"/>
    <w:rsid w:val="009D59DE"/>
    <w:rsid w:val="009E1362"/>
    <w:rsid w:val="009E1848"/>
    <w:rsid w:val="009E1BC1"/>
    <w:rsid w:val="009E1F6B"/>
    <w:rsid w:val="009E3E77"/>
    <w:rsid w:val="009E4D45"/>
    <w:rsid w:val="009E4DF2"/>
    <w:rsid w:val="009E6D60"/>
    <w:rsid w:val="009F1918"/>
    <w:rsid w:val="009F2D0A"/>
    <w:rsid w:val="009F3962"/>
    <w:rsid w:val="009F6ED7"/>
    <w:rsid w:val="009F7401"/>
    <w:rsid w:val="009F78F2"/>
    <w:rsid w:val="00A01C9B"/>
    <w:rsid w:val="00A065F5"/>
    <w:rsid w:val="00A06E3B"/>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06A"/>
    <w:rsid w:val="00B50B77"/>
    <w:rsid w:val="00B51290"/>
    <w:rsid w:val="00B52215"/>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779BE"/>
    <w:rsid w:val="00B80A28"/>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964A0"/>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349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12B4"/>
    <w:rsid w:val="00D83ED5"/>
    <w:rsid w:val="00D86043"/>
    <w:rsid w:val="00D870D4"/>
    <w:rsid w:val="00D9398E"/>
    <w:rsid w:val="00D9464E"/>
    <w:rsid w:val="00D954E0"/>
    <w:rsid w:val="00D97059"/>
    <w:rsid w:val="00D97A1D"/>
    <w:rsid w:val="00DA0181"/>
    <w:rsid w:val="00DA0A1A"/>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3AA8"/>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066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29"/>
    <w:rsid w:val="00E90AB8"/>
    <w:rsid w:val="00E919D9"/>
    <w:rsid w:val="00E921C1"/>
    <w:rsid w:val="00E93C8B"/>
    <w:rsid w:val="00E93D8F"/>
    <w:rsid w:val="00E9531E"/>
    <w:rsid w:val="00E95E41"/>
    <w:rsid w:val="00E95E4C"/>
    <w:rsid w:val="00E96C1B"/>
    <w:rsid w:val="00E977CE"/>
    <w:rsid w:val="00E97E05"/>
    <w:rsid w:val="00EA34E2"/>
    <w:rsid w:val="00EA52D1"/>
    <w:rsid w:val="00EA703E"/>
    <w:rsid w:val="00EA791F"/>
    <w:rsid w:val="00EB4CDC"/>
    <w:rsid w:val="00EB671F"/>
    <w:rsid w:val="00EB6B76"/>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3122"/>
    <w:rsid w:val="00EE6670"/>
    <w:rsid w:val="00EE74AF"/>
    <w:rsid w:val="00EF1F0E"/>
    <w:rsid w:val="00EF29F6"/>
    <w:rsid w:val="00EF356D"/>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31D6"/>
    <w:rsid w:val="00F36694"/>
    <w:rsid w:val="00F368B9"/>
    <w:rsid w:val="00F3739F"/>
    <w:rsid w:val="00F374C1"/>
    <w:rsid w:val="00F37B34"/>
    <w:rsid w:val="00F37C53"/>
    <w:rsid w:val="00F41C34"/>
    <w:rsid w:val="00F4212F"/>
    <w:rsid w:val="00F447DB"/>
    <w:rsid w:val="00F447FA"/>
    <w:rsid w:val="00F44BD1"/>
    <w:rsid w:val="00F469B9"/>
    <w:rsid w:val="00F46C32"/>
    <w:rsid w:val="00F46ECB"/>
    <w:rsid w:val="00F5015D"/>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92"/>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2117996">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11/pdf/00332627.pdf" TargetMode="External"/><Relationship Id="rId13" Type="http://schemas.openxmlformats.org/officeDocument/2006/relationships/hyperlink" Target="http://www1.tce.pr.gov.br/multimidia/2018/11/pdf/00332535.pdf" TargetMode="External"/><Relationship Id="rId18" Type="http://schemas.openxmlformats.org/officeDocument/2006/relationships/hyperlink" Target="https://contas.tcu.gov.br/sagas/SvlVisualizarRelVotoAcRtf?codFiltro=SAGAS-SESSAO-ENCERRADA&amp;seOcultaPagina=S&amp;item0=631176" TargetMode="External"/><Relationship Id="rId26" Type="http://schemas.openxmlformats.org/officeDocument/2006/relationships/hyperlink" Target="https://contas.tcu.gov.br/sagas/SvlVisualizarRelVotoAcRtf?codFiltro=SAGAS-SESSAO-ENCERRADA&amp;seOcultaPagina=S&amp;item0=596657"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98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8/11/pdf/00332549.pdf" TargetMode="External"/><Relationship Id="rId17" Type="http://schemas.openxmlformats.org/officeDocument/2006/relationships/hyperlink" Target="http://portal.stf.jus.br/processos/detalhe.asp?incidente=5220068" TargetMode="External"/><Relationship Id="rId25" Type="http://schemas.openxmlformats.org/officeDocument/2006/relationships/hyperlink" Target="https://contas.tcu.gov.br/sagas/SvlVisualizarRelVotoAcRtf?codFiltro=SAGAS-SESSAO-ENCERRADA&amp;seOcultaPagina=S&amp;item0=64253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8/10/pdf/00332383.pdf" TargetMode="External"/><Relationship Id="rId20" Type="http://schemas.openxmlformats.org/officeDocument/2006/relationships/hyperlink" Target="http://www.planalto.gov.br/CCIVIL_03/Leis/2002/L10520.htm"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10/pdf/00332232.pdf" TargetMode="External"/><Relationship Id="rId24" Type="http://schemas.openxmlformats.org/officeDocument/2006/relationships/hyperlink" Target="https://contas.tcu.gov.br/sagas/SvlVisualizarRelVotoAcRtf?codFiltro=SAGAS-SESSAO-ENCERRADA&amp;seOcultaPagina=S&amp;item0=64006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8/11/pdf/00332523.pdf" TargetMode="External"/><Relationship Id="rId23" Type="http://schemas.openxmlformats.org/officeDocument/2006/relationships/hyperlink" Target="https://contas.tcu.gov.br/sagas/SvlVisualizarRelVotoAcRtf?codFiltro=SAGAS-SESSAO-ENCERRADA&amp;seOcultaPagina=S&amp;item0=639924" TargetMode="External"/><Relationship Id="rId28" Type="http://schemas.openxmlformats.org/officeDocument/2006/relationships/hyperlink" Target="http://www1.tce.pr.gov.br/conteudo/teses-ambientais/316603/area/249" TargetMode="External"/><Relationship Id="rId10" Type="http://schemas.openxmlformats.org/officeDocument/2006/relationships/hyperlink" Target="http://www1.tce.pr.gov.br/multimidia/2018/10/pdf/00332328.pdf" TargetMode="External"/><Relationship Id="rId19" Type="http://schemas.openxmlformats.org/officeDocument/2006/relationships/hyperlink" Target="https://contas.tcu.gov.br/sagas/SvlVisualizarRelVotoAcRtf?codFiltro=SAGAS-SESSAO-ENCERRADA&amp;seOcultaPagina=S&amp;item0=623126" TargetMode="External"/><Relationship Id="rId31"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www1.tce.pr.gov.br/multimidia/2018/10/pdf/00332398.pdf" TargetMode="External"/><Relationship Id="rId14" Type="http://schemas.openxmlformats.org/officeDocument/2006/relationships/hyperlink" Target="http://www1.tce.pr.gov.br/multimidia/2018/11/pdf/00332644.pdf" TargetMode="External"/><Relationship Id="rId22" Type="http://schemas.openxmlformats.org/officeDocument/2006/relationships/hyperlink" Target="http://www.planalto.gov.br/ccivil_03/_Ato2011-2014/2011/Lei/L12462.htm"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B2ED-2F8F-4A1A-A237-F8051A01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3653</Words>
  <Characters>19728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301</cp:revision>
  <cp:lastPrinted>2017-07-10T20:46:00Z</cp:lastPrinted>
  <dcterms:created xsi:type="dcterms:W3CDTF">2017-07-10T20:45:00Z</dcterms:created>
  <dcterms:modified xsi:type="dcterms:W3CDTF">2018-12-06T14:06:00Z</dcterms:modified>
</cp:coreProperties>
</file>