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5C61E0">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5C61E0">
      <w:pPr>
        <w:spacing w:after="0"/>
        <w:jc w:val="center"/>
        <w:rPr>
          <w:rFonts w:ascii="Arial" w:hAnsi="Arial" w:cs="Arial"/>
          <w:b/>
          <w:sz w:val="20"/>
          <w:szCs w:val="20"/>
        </w:rPr>
      </w:pPr>
    </w:p>
    <w:p w:rsidR="001B5F7A" w:rsidRDefault="001B5F7A" w:rsidP="005C61E0">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C64B9C">
        <w:rPr>
          <w:rFonts w:ascii="Arial" w:hAnsi="Arial" w:cs="Arial"/>
          <w:b/>
          <w:sz w:val="20"/>
          <w:szCs w:val="20"/>
        </w:rPr>
        <w:t>4</w:t>
      </w:r>
    </w:p>
    <w:p w:rsidR="006F08D4" w:rsidRPr="0022060B" w:rsidRDefault="006F08D4" w:rsidP="005C61E0">
      <w:pPr>
        <w:spacing w:after="0"/>
        <w:jc w:val="center"/>
        <w:rPr>
          <w:rFonts w:ascii="Arial" w:hAnsi="Arial" w:cs="Arial"/>
          <w:b/>
          <w:sz w:val="20"/>
          <w:szCs w:val="20"/>
        </w:rPr>
      </w:pPr>
    </w:p>
    <w:p w:rsidR="001B5F7A" w:rsidRPr="0022060B" w:rsidRDefault="001B5F7A" w:rsidP="005C61E0">
      <w:pPr>
        <w:spacing w:after="0"/>
        <w:jc w:val="center"/>
        <w:rPr>
          <w:rFonts w:ascii="Arial" w:hAnsi="Arial" w:cs="Arial"/>
          <w:b/>
          <w:sz w:val="20"/>
          <w:szCs w:val="20"/>
        </w:rPr>
      </w:pPr>
      <w:r w:rsidRPr="0022060B">
        <w:rPr>
          <w:rFonts w:ascii="Arial" w:hAnsi="Arial" w:cs="Arial"/>
          <w:b/>
          <w:sz w:val="20"/>
          <w:szCs w:val="20"/>
        </w:rPr>
        <w:t xml:space="preserve">Sessões: </w:t>
      </w:r>
      <w:r w:rsidR="00C64B9C">
        <w:rPr>
          <w:rFonts w:ascii="Arial" w:hAnsi="Arial" w:cs="Arial"/>
          <w:b/>
          <w:sz w:val="20"/>
          <w:szCs w:val="20"/>
        </w:rPr>
        <w:t>05.09</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BE161B">
        <w:rPr>
          <w:rFonts w:ascii="Arial" w:hAnsi="Arial" w:cs="Arial"/>
          <w:b/>
          <w:sz w:val="20"/>
          <w:szCs w:val="20"/>
        </w:rPr>
        <w:t>28</w:t>
      </w:r>
      <w:r w:rsidR="005A0FD0" w:rsidRPr="0022060B">
        <w:rPr>
          <w:rFonts w:ascii="Arial" w:hAnsi="Arial" w:cs="Arial"/>
          <w:b/>
          <w:sz w:val="20"/>
          <w:szCs w:val="20"/>
        </w:rPr>
        <w:t>.0</w:t>
      </w:r>
      <w:r w:rsidR="00C64B9C">
        <w:rPr>
          <w:rFonts w:ascii="Arial" w:hAnsi="Arial" w:cs="Arial"/>
          <w:b/>
          <w:sz w:val="20"/>
          <w:szCs w:val="20"/>
        </w:rPr>
        <w:t>9</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5C61E0">
      <w:pPr>
        <w:spacing w:after="0"/>
        <w:jc w:val="both"/>
        <w:rPr>
          <w:rFonts w:ascii="Arial" w:hAnsi="Arial" w:cs="Arial"/>
          <w:sz w:val="20"/>
          <w:szCs w:val="20"/>
        </w:rPr>
      </w:pPr>
    </w:p>
    <w:p w:rsidR="00FE7B14" w:rsidRPr="0022060B" w:rsidRDefault="00FE7B14" w:rsidP="005C61E0">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5C61E0">
      <w:pPr>
        <w:spacing w:after="0"/>
        <w:jc w:val="both"/>
        <w:rPr>
          <w:rFonts w:ascii="Arial" w:hAnsi="Arial" w:cs="Arial"/>
          <w:sz w:val="20"/>
          <w:szCs w:val="20"/>
        </w:rPr>
      </w:pPr>
    </w:p>
    <w:p w:rsidR="00FE7B14" w:rsidRPr="0022060B" w:rsidRDefault="00FE7B14" w:rsidP="005C61E0">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5C61E0">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5C61E0">
      <w:pPr>
        <w:spacing w:after="0"/>
        <w:jc w:val="both"/>
        <w:rPr>
          <w:rStyle w:val="Hyperlink"/>
          <w:rFonts w:ascii="Arial" w:hAnsi="Arial" w:cs="Arial"/>
          <w:b/>
          <w:color w:val="000000" w:themeColor="text1"/>
          <w:sz w:val="20"/>
          <w:szCs w:val="20"/>
          <w:u w:val="none"/>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1. Prestação de Contas Anual. Inconsistência no registro do passivo atuarial em relação ao laudo respectivo ao exercício de 2013. Situação irregular quanto às aplicações financeiras de acordo com Resolução do CMN e demonstrativo das aplicações e investimentos dos recursos - DAIR. Irregularidade das contas com aplicação de multa.</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 xml:space="preserve">2. Tomada de Contas Extraordinária. Administração Pública. Pagamento de diárias. Atividade partidária. Ausência de interesse público. Interesse do partido político. </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 xml:space="preserve">3. Ato de inativação. Aposentadoria. Cálculo do benefício. Atribuição do órgão previdenciário. Verbas transitórias. Cômputo em separado. </w:t>
      </w:r>
    </w:p>
    <w:p w:rsidR="00A46447" w:rsidRPr="00F65AA6" w:rsidRDefault="00A46447" w:rsidP="005C61E0">
      <w:pPr>
        <w:spacing w:after="0"/>
        <w:jc w:val="both"/>
        <w:rPr>
          <w:rFonts w:ascii="Arial" w:hAnsi="Arial" w:cs="Arial"/>
          <w:sz w:val="20"/>
          <w:szCs w:val="20"/>
        </w:rPr>
      </w:pPr>
    </w:p>
    <w:p w:rsidR="00A46447" w:rsidRPr="00F65AA6" w:rsidRDefault="00A46447" w:rsidP="005C61E0">
      <w:pPr>
        <w:spacing w:after="0"/>
        <w:jc w:val="both"/>
        <w:rPr>
          <w:rFonts w:ascii="Arial" w:hAnsi="Arial" w:cs="Arial"/>
          <w:sz w:val="20"/>
          <w:szCs w:val="20"/>
        </w:rPr>
      </w:pPr>
      <w:r w:rsidRPr="00F65AA6">
        <w:rPr>
          <w:rFonts w:ascii="Arial" w:hAnsi="Arial" w:cs="Arial"/>
          <w:sz w:val="20"/>
          <w:szCs w:val="20"/>
        </w:rPr>
        <w:t>4. Prestação de contas de transferência. Convênio celebrado para aquisição de materiais de consumo. Apontamentos não sanados</w:t>
      </w:r>
      <w:r w:rsidR="003E0EC2">
        <w:rPr>
          <w:rFonts w:ascii="Arial" w:hAnsi="Arial" w:cs="Arial"/>
          <w:sz w:val="20"/>
          <w:szCs w:val="20"/>
        </w:rPr>
        <w:t>,</w:t>
      </w:r>
      <w:bookmarkStart w:id="0" w:name="_GoBack"/>
      <w:bookmarkEnd w:id="0"/>
      <w:r w:rsidRPr="00F65AA6">
        <w:rPr>
          <w:rFonts w:ascii="Arial" w:hAnsi="Arial" w:cs="Arial"/>
          <w:sz w:val="20"/>
          <w:szCs w:val="20"/>
        </w:rPr>
        <w:t xml:space="preserve"> mas que não trouxeram prejuízo à execução do convênio. Pela regularidade com recomendações. </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5. Embargos de Declaração. Prestação de Serviços. Devolução de valores recebidos. Ausência de má-fé. Enriquecimento ilícito do Estado.</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6. Prestação de Contas Municipal. Poder Legislativo. Remuneração. Subsídio. Recebimento a maior. Ressarcimento ao erário.</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 xml:space="preserve">7. Prestação de Contas do Prefeito Municipal. Exercício de 2014. Contas bancárias com saldos a descoberto. </w:t>
      </w:r>
      <w:proofErr w:type="gramStart"/>
      <w:r w:rsidRPr="00F65AA6">
        <w:rPr>
          <w:rFonts w:ascii="Arial" w:hAnsi="Arial" w:cs="Arial"/>
          <w:sz w:val="20"/>
          <w:szCs w:val="20"/>
        </w:rPr>
        <w:t>Parecer Prévio</w:t>
      </w:r>
      <w:proofErr w:type="gramEnd"/>
      <w:r w:rsidRPr="00F65AA6">
        <w:rPr>
          <w:rFonts w:ascii="Arial" w:hAnsi="Arial" w:cs="Arial"/>
          <w:sz w:val="20"/>
          <w:szCs w:val="20"/>
        </w:rPr>
        <w:t xml:space="preserve"> pela irregularidade das contas, com aplicação de multa.</w:t>
      </w:r>
    </w:p>
    <w:p w:rsidR="006B5D75" w:rsidRPr="00F65AA6" w:rsidRDefault="006B5D75" w:rsidP="005C61E0">
      <w:pPr>
        <w:autoSpaceDE w:val="0"/>
        <w:autoSpaceDN w:val="0"/>
        <w:adjustRightInd w:val="0"/>
        <w:spacing w:after="0"/>
        <w:jc w:val="both"/>
        <w:rPr>
          <w:rFonts w:ascii="Arial" w:hAnsi="Arial" w:cs="Arial"/>
          <w:sz w:val="20"/>
          <w:szCs w:val="20"/>
        </w:rPr>
      </w:pPr>
    </w:p>
    <w:p w:rsidR="00A46447" w:rsidRPr="00F65AA6" w:rsidRDefault="00A46447" w:rsidP="005C61E0">
      <w:pPr>
        <w:spacing w:after="0"/>
        <w:jc w:val="both"/>
        <w:rPr>
          <w:rFonts w:ascii="Arial" w:hAnsi="Arial" w:cs="Arial"/>
          <w:sz w:val="20"/>
          <w:szCs w:val="20"/>
        </w:rPr>
      </w:pPr>
      <w:r w:rsidRPr="00F65AA6">
        <w:rPr>
          <w:rFonts w:ascii="Arial" w:hAnsi="Arial" w:cs="Arial"/>
          <w:sz w:val="20"/>
          <w:szCs w:val="20"/>
        </w:rPr>
        <w:lastRenderedPageBreak/>
        <w:t xml:space="preserve">8. Prestação de contas. Câmara Municipal. Ausência de encaminhamento de Relatório do Controle Interno. Irregularidade. Aplicação de multa. </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9. Recurso de Revista. Responsabilização do pregoeiro. Pareceres da Procuradoria do Município. Culpa concorrente. Pela procedência parcial do Recurso. Diminuição do número de multas administrativas aplicadas.</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10. Pedido de Rescisão. Nulidade da intimação dos procuradores do interessado acerca da inclusão dos Embargos de Declaração em pauta para julgamento e do respectivo resultado. Pelo acolhimento.</w:t>
      </w:r>
    </w:p>
    <w:p w:rsidR="00A46447" w:rsidRPr="00F65AA6" w:rsidRDefault="00A46447" w:rsidP="005C61E0">
      <w:pPr>
        <w:autoSpaceDE w:val="0"/>
        <w:autoSpaceDN w:val="0"/>
        <w:adjustRightInd w:val="0"/>
        <w:spacing w:after="0"/>
        <w:jc w:val="both"/>
        <w:rPr>
          <w:rFonts w:ascii="Arial" w:hAnsi="Arial" w:cs="Arial"/>
          <w:sz w:val="20"/>
          <w:szCs w:val="20"/>
        </w:rPr>
      </w:pPr>
    </w:p>
    <w:p w:rsidR="00A46447" w:rsidRPr="00F65AA6" w:rsidRDefault="00A46447" w:rsidP="005C61E0">
      <w:pPr>
        <w:autoSpaceDE w:val="0"/>
        <w:autoSpaceDN w:val="0"/>
        <w:adjustRightInd w:val="0"/>
        <w:spacing w:after="0"/>
        <w:jc w:val="both"/>
        <w:rPr>
          <w:rFonts w:ascii="Arial" w:hAnsi="Arial" w:cs="Arial"/>
          <w:sz w:val="20"/>
          <w:szCs w:val="20"/>
        </w:rPr>
      </w:pPr>
      <w:r w:rsidRPr="00F65AA6">
        <w:rPr>
          <w:rFonts w:ascii="Arial" w:hAnsi="Arial" w:cs="Arial"/>
          <w:sz w:val="20"/>
          <w:szCs w:val="20"/>
        </w:rPr>
        <w:t>11. Representação da Lei nº 8.666/93. Contratação com empresas que um dos sócios era servidor da entidade licitante e outro tinha vínculo conjugal com servidor que atuou diretamente na licitação. Violação ao art. 9º da Lei nº 8.666/93, aos princípios da impessoalidade, isonomia e moralidade, e ao Acórdão nº 2715/10-STP e Prejulgado nº 09. Pela procedência com aplicação de multas.</w:t>
      </w:r>
    </w:p>
    <w:p w:rsidR="00A46447" w:rsidRPr="00F65AA6" w:rsidRDefault="00A46447" w:rsidP="005C61E0">
      <w:pPr>
        <w:pStyle w:val="TCU-Epgrafe"/>
        <w:spacing w:line="276" w:lineRule="auto"/>
        <w:ind w:left="0"/>
        <w:rPr>
          <w:rFonts w:ascii="Arial" w:hAnsi="Arial" w:cs="Arial"/>
          <w:sz w:val="20"/>
        </w:rPr>
      </w:pPr>
    </w:p>
    <w:p w:rsidR="00A46447" w:rsidRPr="00F65AA6" w:rsidRDefault="00A46447" w:rsidP="005C61E0">
      <w:pPr>
        <w:pStyle w:val="TCU-Epgrafe"/>
        <w:spacing w:line="276" w:lineRule="auto"/>
        <w:ind w:left="0"/>
        <w:rPr>
          <w:rFonts w:ascii="Arial" w:hAnsi="Arial" w:cs="Arial"/>
          <w:sz w:val="20"/>
        </w:rPr>
      </w:pPr>
      <w:r w:rsidRPr="00F65AA6">
        <w:rPr>
          <w:rFonts w:ascii="Arial" w:hAnsi="Arial" w:cs="Arial"/>
          <w:sz w:val="20"/>
        </w:rPr>
        <w:t xml:space="preserve">12. Representação da Lei 8.666/93. Concorrência Pública. Serviços de coleta e transporte de resíduos e limpeza. Duração do contrato. Serviços de prestação continuada. </w:t>
      </w:r>
    </w:p>
    <w:p w:rsidR="00416B18" w:rsidRDefault="00416B18" w:rsidP="005C61E0">
      <w:pPr>
        <w:pStyle w:val="TCU-Epgrafe"/>
        <w:spacing w:line="276" w:lineRule="auto"/>
        <w:ind w:left="0"/>
        <w:rPr>
          <w:rFonts w:ascii="Arial" w:hAnsi="Arial" w:cs="Arial"/>
          <w:sz w:val="20"/>
        </w:rPr>
      </w:pPr>
    </w:p>
    <w:p w:rsidR="00A46447" w:rsidRPr="00F65AA6" w:rsidRDefault="00A46447" w:rsidP="005C61E0">
      <w:pPr>
        <w:pStyle w:val="TCU-Epgrafe"/>
        <w:spacing w:line="276" w:lineRule="auto"/>
        <w:ind w:left="0"/>
        <w:rPr>
          <w:rFonts w:ascii="Arial" w:hAnsi="Arial" w:cs="Arial"/>
          <w:sz w:val="20"/>
        </w:rPr>
      </w:pPr>
      <w:r w:rsidRPr="00F65AA6">
        <w:rPr>
          <w:rFonts w:ascii="Arial" w:hAnsi="Arial" w:cs="Arial"/>
          <w:sz w:val="20"/>
        </w:rPr>
        <w:t xml:space="preserve">13. Recurso de Agravo. Licitação. Superfaturamento. Competência do Tribunal de Contas. Análise de economicidade.  </w:t>
      </w:r>
    </w:p>
    <w:p w:rsidR="006E12D5" w:rsidRDefault="006E12D5" w:rsidP="005C61E0">
      <w:pPr>
        <w:spacing w:after="0"/>
        <w:jc w:val="both"/>
        <w:rPr>
          <w:rStyle w:val="Hyperlink"/>
          <w:rFonts w:ascii="Arial" w:hAnsi="Arial" w:cs="Arial"/>
          <w:b/>
          <w:color w:val="000000" w:themeColor="text1"/>
          <w:sz w:val="20"/>
          <w:szCs w:val="20"/>
          <w:u w:val="none"/>
        </w:rPr>
      </w:pPr>
    </w:p>
    <w:p w:rsidR="00712A93" w:rsidRPr="0022060B" w:rsidRDefault="00712A93" w:rsidP="005C61E0">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5C61E0">
      <w:pPr>
        <w:autoSpaceDE w:val="0"/>
        <w:autoSpaceDN w:val="0"/>
        <w:adjustRightInd w:val="0"/>
        <w:spacing w:after="0"/>
        <w:jc w:val="both"/>
        <w:rPr>
          <w:rFonts w:ascii="Arial" w:hAnsi="Arial" w:cs="Arial"/>
          <w:sz w:val="20"/>
          <w:szCs w:val="20"/>
        </w:rPr>
      </w:pPr>
    </w:p>
    <w:p w:rsidR="00EE3298" w:rsidRPr="00A46447" w:rsidRDefault="00A46447" w:rsidP="005C61E0">
      <w:pPr>
        <w:autoSpaceDE w:val="0"/>
        <w:autoSpaceDN w:val="0"/>
        <w:adjustRightInd w:val="0"/>
        <w:spacing w:after="0"/>
        <w:jc w:val="both"/>
        <w:rPr>
          <w:rFonts w:ascii="Arial" w:hAnsi="Arial" w:cs="Arial"/>
          <w:b/>
          <w:sz w:val="20"/>
          <w:szCs w:val="20"/>
        </w:rPr>
      </w:pPr>
      <w:r w:rsidRPr="00A46447">
        <w:rPr>
          <w:rFonts w:ascii="Arial" w:hAnsi="Arial" w:cs="Arial"/>
          <w:b/>
          <w:sz w:val="20"/>
          <w:szCs w:val="20"/>
        </w:rPr>
        <w:t>1.</w:t>
      </w:r>
      <w:r>
        <w:rPr>
          <w:rFonts w:ascii="Arial" w:hAnsi="Arial" w:cs="Arial"/>
          <w:b/>
          <w:sz w:val="20"/>
          <w:szCs w:val="20"/>
        </w:rPr>
        <w:t xml:space="preserve"> </w:t>
      </w:r>
      <w:r w:rsidR="00EE3298" w:rsidRPr="00A46447">
        <w:rPr>
          <w:rFonts w:ascii="Arial" w:hAnsi="Arial" w:cs="Arial"/>
          <w:b/>
          <w:sz w:val="20"/>
          <w:szCs w:val="20"/>
        </w:rPr>
        <w:t>Prestação de Contas Anual. Inconsistência no registro do passivo atuarial em relação ao laudo respectivo ao exercício de 2013. Situação irregular quanto às aplicações financeiras de acordo com Resolução do CMN e demonstrativo das aplicações e investimentos dos recursos - DAIR. Irregularidade das contas com aplicação de multa.</w:t>
      </w:r>
    </w:p>
    <w:p w:rsidR="00EE3298" w:rsidRDefault="00EE3298" w:rsidP="005C61E0">
      <w:pPr>
        <w:autoSpaceDE w:val="0"/>
        <w:autoSpaceDN w:val="0"/>
        <w:adjustRightInd w:val="0"/>
        <w:spacing w:after="0"/>
        <w:jc w:val="both"/>
        <w:rPr>
          <w:rFonts w:ascii="Arial" w:hAnsi="Arial" w:cs="Arial"/>
          <w:sz w:val="20"/>
          <w:szCs w:val="20"/>
        </w:rPr>
      </w:pPr>
    </w:p>
    <w:p w:rsidR="00A909CD" w:rsidRDefault="0050386D" w:rsidP="005C61E0">
      <w:pPr>
        <w:autoSpaceDE w:val="0"/>
        <w:autoSpaceDN w:val="0"/>
        <w:adjustRightInd w:val="0"/>
        <w:spacing w:after="0"/>
        <w:jc w:val="both"/>
        <w:rPr>
          <w:rFonts w:ascii="Arial" w:hAnsi="Arial" w:cs="Arial"/>
          <w:sz w:val="20"/>
          <w:szCs w:val="20"/>
        </w:rPr>
      </w:pPr>
      <w:r w:rsidRPr="0050386D">
        <w:rPr>
          <w:rFonts w:ascii="Arial" w:hAnsi="Arial" w:cs="Arial"/>
          <w:sz w:val="20"/>
          <w:szCs w:val="20"/>
        </w:rPr>
        <w:t>A</w:t>
      </w:r>
      <w:r>
        <w:rPr>
          <w:rFonts w:ascii="Arial" w:hAnsi="Arial" w:cs="Arial"/>
          <w:sz w:val="20"/>
          <w:szCs w:val="20"/>
        </w:rPr>
        <w:t xml:space="preserve"> </w:t>
      </w:r>
      <w:r w:rsidRPr="0050386D">
        <w:rPr>
          <w:rFonts w:ascii="Arial" w:hAnsi="Arial" w:cs="Arial"/>
          <w:sz w:val="20"/>
          <w:szCs w:val="20"/>
        </w:rPr>
        <w:t>falta do correto registro contábil do passivo</w:t>
      </w:r>
      <w:r>
        <w:rPr>
          <w:rFonts w:ascii="Arial" w:hAnsi="Arial" w:cs="Arial"/>
          <w:sz w:val="20"/>
          <w:szCs w:val="20"/>
        </w:rPr>
        <w:t xml:space="preserve"> </w:t>
      </w:r>
      <w:r w:rsidRPr="0050386D">
        <w:rPr>
          <w:rFonts w:ascii="Arial" w:hAnsi="Arial" w:cs="Arial"/>
          <w:sz w:val="20"/>
          <w:szCs w:val="20"/>
        </w:rPr>
        <w:t xml:space="preserve">atuarial viola diretamente os </w:t>
      </w:r>
      <w:proofErr w:type="spellStart"/>
      <w:r w:rsidRPr="0050386D">
        <w:rPr>
          <w:rFonts w:ascii="Arial" w:hAnsi="Arial" w:cs="Arial"/>
          <w:sz w:val="20"/>
          <w:szCs w:val="20"/>
        </w:rPr>
        <w:t>arts</w:t>
      </w:r>
      <w:proofErr w:type="spellEnd"/>
      <w:r w:rsidRPr="0050386D">
        <w:rPr>
          <w:rFonts w:ascii="Arial" w:hAnsi="Arial" w:cs="Arial"/>
          <w:sz w:val="20"/>
          <w:szCs w:val="20"/>
        </w:rPr>
        <w:t xml:space="preserve">. 101-102 da lei </w:t>
      </w:r>
      <w:proofErr w:type="gramStart"/>
      <w:r w:rsidRPr="0050386D">
        <w:rPr>
          <w:rFonts w:ascii="Arial" w:hAnsi="Arial" w:cs="Arial"/>
          <w:sz w:val="20"/>
          <w:szCs w:val="20"/>
        </w:rPr>
        <w:t>n.º</w:t>
      </w:r>
      <w:proofErr w:type="gramEnd"/>
      <w:r w:rsidRPr="0050386D">
        <w:rPr>
          <w:rFonts w:ascii="Arial" w:hAnsi="Arial" w:cs="Arial"/>
          <w:sz w:val="20"/>
          <w:szCs w:val="20"/>
        </w:rPr>
        <w:t xml:space="preserve"> 4.320/64, pois inviabiliza o</w:t>
      </w:r>
      <w:r w:rsidR="00A909CD">
        <w:rPr>
          <w:rFonts w:ascii="Arial" w:hAnsi="Arial" w:cs="Arial"/>
          <w:sz w:val="20"/>
          <w:szCs w:val="20"/>
        </w:rPr>
        <w:t xml:space="preserve"> </w:t>
      </w:r>
      <w:r w:rsidRPr="0050386D">
        <w:rPr>
          <w:rFonts w:ascii="Arial" w:hAnsi="Arial" w:cs="Arial"/>
          <w:sz w:val="20"/>
          <w:szCs w:val="20"/>
        </w:rPr>
        <w:t>correto cumprimento das obrigações de aportes financeiros aos fundos de</w:t>
      </w:r>
      <w:r w:rsidR="00A909CD">
        <w:rPr>
          <w:rFonts w:ascii="Arial" w:hAnsi="Arial" w:cs="Arial"/>
          <w:sz w:val="20"/>
          <w:szCs w:val="20"/>
        </w:rPr>
        <w:t xml:space="preserve"> </w:t>
      </w:r>
      <w:r w:rsidRPr="0050386D">
        <w:rPr>
          <w:rFonts w:ascii="Arial" w:hAnsi="Arial" w:cs="Arial"/>
          <w:sz w:val="20"/>
          <w:szCs w:val="20"/>
        </w:rPr>
        <w:t>previdência.</w:t>
      </w:r>
      <w:r w:rsidR="00A909CD">
        <w:rPr>
          <w:rFonts w:ascii="Arial" w:hAnsi="Arial" w:cs="Arial"/>
          <w:sz w:val="20"/>
          <w:szCs w:val="20"/>
        </w:rPr>
        <w:t xml:space="preserve"> </w:t>
      </w:r>
      <w:r w:rsidRPr="0050386D">
        <w:rPr>
          <w:rFonts w:ascii="Arial" w:hAnsi="Arial" w:cs="Arial"/>
          <w:sz w:val="20"/>
          <w:szCs w:val="20"/>
        </w:rPr>
        <w:t>Além disso, o art. 17, § 3º, da Portaria nº 403/08-MPS é claro em</w:t>
      </w:r>
      <w:r w:rsidR="00A909CD">
        <w:rPr>
          <w:rFonts w:ascii="Arial" w:hAnsi="Arial" w:cs="Arial"/>
          <w:sz w:val="20"/>
          <w:szCs w:val="20"/>
        </w:rPr>
        <w:t xml:space="preserve"> </w:t>
      </w:r>
      <w:r w:rsidRPr="0050386D">
        <w:rPr>
          <w:rFonts w:ascii="Arial" w:hAnsi="Arial" w:cs="Arial"/>
          <w:sz w:val="20"/>
          <w:szCs w:val="20"/>
        </w:rPr>
        <w:t xml:space="preserve">estabelecer que as </w:t>
      </w:r>
      <w:r w:rsidRPr="00A909CD">
        <w:rPr>
          <w:rFonts w:ascii="Arial" w:hAnsi="Arial" w:cs="Arial"/>
          <w:i/>
          <w:sz w:val="20"/>
          <w:szCs w:val="20"/>
        </w:rPr>
        <w:t>“reservas matemáticas previdenciárias serão registradas no</w:t>
      </w:r>
      <w:r w:rsidR="00A909CD" w:rsidRPr="00A909CD">
        <w:rPr>
          <w:rFonts w:ascii="Arial" w:hAnsi="Arial" w:cs="Arial"/>
          <w:i/>
          <w:sz w:val="20"/>
          <w:szCs w:val="20"/>
        </w:rPr>
        <w:t xml:space="preserve"> </w:t>
      </w:r>
      <w:r w:rsidRPr="00A909CD">
        <w:rPr>
          <w:rFonts w:ascii="Arial" w:hAnsi="Arial" w:cs="Arial"/>
          <w:i/>
          <w:sz w:val="20"/>
          <w:szCs w:val="20"/>
        </w:rPr>
        <w:t>Passivo Exigível a Longo Prazo, no grupo de contas denominado Provisões</w:t>
      </w:r>
      <w:r w:rsidR="00A909CD" w:rsidRPr="00A909CD">
        <w:rPr>
          <w:rFonts w:ascii="Arial" w:hAnsi="Arial" w:cs="Arial"/>
          <w:i/>
          <w:sz w:val="20"/>
          <w:szCs w:val="20"/>
        </w:rPr>
        <w:t xml:space="preserve"> </w:t>
      </w:r>
      <w:r w:rsidRPr="00A909CD">
        <w:rPr>
          <w:rFonts w:ascii="Arial" w:hAnsi="Arial" w:cs="Arial"/>
          <w:i/>
          <w:sz w:val="20"/>
          <w:szCs w:val="20"/>
        </w:rPr>
        <w:t>Matemáticas Previdenciárias, observado o detalhamento estabelecido no Plano de</w:t>
      </w:r>
      <w:r w:rsidR="00A909CD" w:rsidRPr="00A909CD">
        <w:rPr>
          <w:rFonts w:ascii="Arial" w:hAnsi="Arial" w:cs="Arial"/>
          <w:i/>
          <w:sz w:val="20"/>
          <w:szCs w:val="20"/>
        </w:rPr>
        <w:t xml:space="preserve"> </w:t>
      </w:r>
      <w:r w:rsidRPr="00A909CD">
        <w:rPr>
          <w:rFonts w:ascii="Arial" w:hAnsi="Arial" w:cs="Arial"/>
          <w:i/>
          <w:sz w:val="20"/>
          <w:szCs w:val="20"/>
        </w:rPr>
        <w:t>Contas aplicável aos RPPS”.</w:t>
      </w:r>
      <w:r w:rsidRPr="0050386D">
        <w:rPr>
          <w:rFonts w:ascii="Arial" w:hAnsi="Arial" w:cs="Arial"/>
          <w:sz w:val="20"/>
          <w:szCs w:val="20"/>
        </w:rPr>
        <w:t xml:space="preserve"> </w:t>
      </w:r>
    </w:p>
    <w:p w:rsidR="006B5D75" w:rsidRDefault="006B5D75" w:rsidP="005C61E0">
      <w:pPr>
        <w:autoSpaceDE w:val="0"/>
        <w:autoSpaceDN w:val="0"/>
        <w:adjustRightInd w:val="0"/>
        <w:spacing w:after="0"/>
        <w:jc w:val="both"/>
        <w:rPr>
          <w:rFonts w:ascii="Arial" w:hAnsi="Arial" w:cs="Arial"/>
          <w:sz w:val="20"/>
          <w:szCs w:val="20"/>
        </w:rPr>
      </w:pPr>
    </w:p>
    <w:p w:rsidR="0050386D" w:rsidRPr="0050386D" w:rsidRDefault="0050386D" w:rsidP="005C61E0">
      <w:pPr>
        <w:autoSpaceDE w:val="0"/>
        <w:autoSpaceDN w:val="0"/>
        <w:adjustRightInd w:val="0"/>
        <w:spacing w:after="0"/>
        <w:jc w:val="both"/>
        <w:rPr>
          <w:rFonts w:ascii="Arial" w:hAnsi="Arial" w:cs="Arial"/>
          <w:sz w:val="20"/>
          <w:szCs w:val="20"/>
        </w:rPr>
      </w:pPr>
      <w:r w:rsidRPr="0050386D">
        <w:rPr>
          <w:rFonts w:ascii="Arial" w:hAnsi="Arial" w:cs="Arial"/>
          <w:sz w:val="20"/>
          <w:szCs w:val="20"/>
        </w:rPr>
        <w:t>Assim, a entidade infringiu o dever de registrar</w:t>
      </w:r>
      <w:r w:rsidR="00A909CD">
        <w:rPr>
          <w:rFonts w:ascii="Arial" w:hAnsi="Arial" w:cs="Arial"/>
          <w:sz w:val="20"/>
          <w:szCs w:val="20"/>
        </w:rPr>
        <w:t xml:space="preserve"> </w:t>
      </w:r>
      <w:r w:rsidRPr="0050386D">
        <w:rPr>
          <w:rFonts w:ascii="Arial" w:hAnsi="Arial" w:cs="Arial"/>
          <w:sz w:val="20"/>
          <w:szCs w:val="20"/>
        </w:rPr>
        <w:t>corretamente o passivo atuarial das reservas matemáticas previdenciárias. A entidade, neste caso, descumpriu a obrigação de demonstrar</w:t>
      </w:r>
      <w:r w:rsidR="00A909CD">
        <w:rPr>
          <w:rFonts w:ascii="Arial" w:hAnsi="Arial" w:cs="Arial"/>
          <w:sz w:val="20"/>
          <w:szCs w:val="20"/>
        </w:rPr>
        <w:t xml:space="preserve"> </w:t>
      </w:r>
      <w:r w:rsidRPr="0050386D">
        <w:rPr>
          <w:rFonts w:ascii="Arial" w:hAnsi="Arial" w:cs="Arial"/>
          <w:sz w:val="20"/>
          <w:szCs w:val="20"/>
        </w:rPr>
        <w:t>contabilmente a situação do passivo atuarial perante o RPPS na contabilidade do</w:t>
      </w:r>
      <w:r w:rsidR="00A909CD">
        <w:rPr>
          <w:rFonts w:ascii="Arial" w:hAnsi="Arial" w:cs="Arial"/>
          <w:sz w:val="20"/>
          <w:szCs w:val="20"/>
        </w:rPr>
        <w:t xml:space="preserve"> </w:t>
      </w:r>
      <w:r w:rsidRPr="0050386D">
        <w:rPr>
          <w:rFonts w:ascii="Arial" w:hAnsi="Arial" w:cs="Arial"/>
          <w:sz w:val="20"/>
          <w:szCs w:val="20"/>
        </w:rPr>
        <w:t>Município. Isso impede a transparência necessária à verificação das contas públicas</w:t>
      </w:r>
      <w:r w:rsidR="00A909CD">
        <w:rPr>
          <w:rFonts w:ascii="Arial" w:hAnsi="Arial" w:cs="Arial"/>
          <w:sz w:val="20"/>
          <w:szCs w:val="20"/>
        </w:rPr>
        <w:t xml:space="preserve"> </w:t>
      </w:r>
      <w:r w:rsidRPr="0050386D">
        <w:rPr>
          <w:rFonts w:ascii="Arial" w:hAnsi="Arial" w:cs="Arial"/>
          <w:sz w:val="20"/>
          <w:szCs w:val="20"/>
        </w:rPr>
        <w:t>e até a tomada de ações concretas da entidade para resolver a situação dos aportes</w:t>
      </w:r>
      <w:r w:rsidR="00A909CD">
        <w:rPr>
          <w:rFonts w:ascii="Arial" w:hAnsi="Arial" w:cs="Arial"/>
          <w:sz w:val="20"/>
          <w:szCs w:val="20"/>
        </w:rPr>
        <w:t xml:space="preserve"> </w:t>
      </w:r>
      <w:r w:rsidRPr="0050386D">
        <w:rPr>
          <w:rFonts w:ascii="Arial" w:hAnsi="Arial" w:cs="Arial"/>
          <w:sz w:val="20"/>
          <w:szCs w:val="20"/>
        </w:rPr>
        <w:t xml:space="preserve">previdenciários, o que representa </w:t>
      </w:r>
      <w:r w:rsidRPr="0050386D">
        <w:rPr>
          <w:rFonts w:ascii="Arial" w:hAnsi="Arial" w:cs="Arial"/>
          <w:sz w:val="20"/>
          <w:szCs w:val="20"/>
        </w:rPr>
        <w:lastRenderedPageBreak/>
        <w:t>obrigação legal distinta e inviabilizada pela</w:t>
      </w:r>
      <w:r w:rsidR="00A909CD">
        <w:rPr>
          <w:rFonts w:ascii="Arial" w:hAnsi="Arial" w:cs="Arial"/>
          <w:sz w:val="20"/>
          <w:szCs w:val="20"/>
        </w:rPr>
        <w:t xml:space="preserve"> </w:t>
      </w:r>
      <w:r w:rsidRPr="0050386D">
        <w:rPr>
          <w:rFonts w:ascii="Arial" w:hAnsi="Arial" w:cs="Arial"/>
          <w:sz w:val="20"/>
          <w:szCs w:val="20"/>
        </w:rPr>
        <w:t xml:space="preserve">deficiência nas informações contábeis, especialmente as previstas nos </w:t>
      </w:r>
      <w:proofErr w:type="spellStart"/>
      <w:r w:rsidRPr="0050386D">
        <w:rPr>
          <w:rFonts w:ascii="Arial" w:hAnsi="Arial" w:cs="Arial"/>
          <w:sz w:val="20"/>
          <w:szCs w:val="20"/>
        </w:rPr>
        <w:t>arts</w:t>
      </w:r>
      <w:proofErr w:type="spellEnd"/>
      <w:r w:rsidRPr="0050386D">
        <w:rPr>
          <w:rFonts w:ascii="Arial" w:hAnsi="Arial" w:cs="Arial"/>
          <w:sz w:val="20"/>
          <w:szCs w:val="20"/>
        </w:rPr>
        <w:t>. 6º e 7º</w:t>
      </w:r>
      <w:r w:rsidR="00A909CD">
        <w:rPr>
          <w:rFonts w:ascii="Arial" w:hAnsi="Arial" w:cs="Arial"/>
          <w:sz w:val="20"/>
          <w:szCs w:val="20"/>
        </w:rPr>
        <w:t xml:space="preserve"> </w:t>
      </w:r>
      <w:r w:rsidRPr="0050386D">
        <w:rPr>
          <w:rFonts w:ascii="Arial" w:hAnsi="Arial" w:cs="Arial"/>
          <w:sz w:val="20"/>
          <w:szCs w:val="20"/>
        </w:rPr>
        <w:t>da Lei nº 9.717/98.</w:t>
      </w:r>
    </w:p>
    <w:p w:rsidR="00EE3298" w:rsidRDefault="00EE3298" w:rsidP="005C61E0">
      <w:pPr>
        <w:autoSpaceDE w:val="0"/>
        <w:autoSpaceDN w:val="0"/>
        <w:adjustRightInd w:val="0"/>
        <w:spacing w:after="0"/>
        <w:jc w:val="both"/>
        <w:rPr>
          <w:rFonts w:ascii="Arial" w:hAnsi="Arial" w:cs="Arial"/>
          <w:sz w:val="20"/>
          <w:szCs w:val="20"/>
        </w:rPr>
      </w:pPr>
    </w:p>
    <w:p w:rsidR="00F83266" w:rsidRDefault="00F83266" w:rsidP="005C61E0">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269082/14 </w:t>
      </w:r>
      <w:r w:rsidR="00D04CD2">
        <w:rPr>
          <w:rFonts w:ascii="Arial" w:hAnsi="Arial" w:cs="Arial"/>
          <w:sz w:val="20"/>
          <w:szCs w:val="20"/>
        </w:rPr>
        <w:t>-</w:t>
      </w:r>
      <w:r>
        <w:rPr>
          <w:rFonts w:ascii="Arial" w:hAnsi="Arial" w:cs="Arial"/>
          <w:sz w:val="20"/>
          <w:szCs w:val="20"/>
        </w:rPr>
        <w:t xml:space="preserve"> </w:t>
      </w:r>
      <w:hyperlink r:id="rId8" w:history="1">
        <w:r w:rsidRPr="003D7932">
          <w:rPr>
            <w:rStyle w:val="Hyperlink"/>
            <w:rFonts w:ascii="Arial" w:hAnsi="Arial" w:cs="Arial"/>
            <w:sz w:val="20"/>
            <w:szCs w:val="20"/>
          </w:rPr>
          <w:t xml:space="preserve">Acórdão n° 3918/17 </w:t>
        </w:r>
        <w:r w:rsidR="00D04CD2" w:rsidRPr="003D7932">
          <w:rPr>
            <w:rStyle w:val="Hyperlink"/>
            <w:rFonts w:ascii="Arial" w:hAnsi="Arial" w:cs="Arial"/>
            <w:sz w:val="20"/>
            <w:szCs w:val="20"/>
          </w:rPr>
          <w:t>-</w:t>
        </w:r>
        <w:r w:rsidRPr="003D7932">
          <w:rPr>
            <w:rStyle w:val="Hyperlink"/>
            <w:rFonts w:ascii="Arial" w:hAnsi="Arial" w:cs="Arial"/>
            <w:sz w:val="20"/>
            <w:szCs w:val="20"/>
          </w:rPr>
          <w:t xml:space="preserve"> Primeira Câmara</w:t>
        </w:r>
      </w:hyperlink>
      <w:r>
        <w:rPr>
          <w:rFonts w:ascii="Arial" w:hAnsi="Arial" w:cs="Arial"/>
          <w:sz w:val="20"/>
          <w:szCs w:val="20"/>
        </w:rPr>
        <w:t xml:space="preserve"> </w:t>
      </w:r>
      <w:r w:rsidR="00D04CD2">
        <w:rPr>
          <w:rFonts w:ascii="Arial" w:hAnsi="Arial" w:cs="Arial"/>
          <w:sz w:val="20"/>
          <w:szCs w:val="20"/>
        </w:rPr>
        <w:t>-</w:t>
      </w:r>
      <w:r>
        <w:rPr>
          <w:rFonts w:ascii="Arial" w:hAnsi="Arial" w:cs="Arial"/>
          <w:sz w:val="20"/>
          <w:szCs w:val="20"/>
        </w:rPr>
        <w:t xml:space="preserve"> Conselheiro Rel. Nestor Baptista. </w:t>
      </w:r>
    </w:p>
    <w:p w:rsidR="007A1290" w:rsidRDefault="007A1290" w:rsidP="005C61E0">
      <w:pPr>
        <w:autoSpaceDE w:val="0"/>
        <w:autoSpaceDN w:val="0"/>
        <w:adjustRightInd w:val="0"/>
        <w:spacing w:after="0"/>
        <w:jc w:val="both"/>
        <w:rPr>
          <w:rFonts w:ascii="Arial" w:hAnsi="Arial" w:cs="Arial"/>
          <w:sz w:val="20"/>
          <w:szCs w:val="20"/>
        </w:rPr>
      </w:pPr>
    </w:p>
    <w:p w:rsidR="007A1290" w:rsidRPr="00542AA8"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7A1290" w:rsidRPr="00542AA8">
        <w:rPr>
          <w:rFonts w:ascii="Arial" w:hAnsi="Arial" w:cs="Arial"/>
          <w:b/>
          <w:sz w:val="20"/>
          <w:szCs w:val="20"/>
        </w:rPr>
        <w:t>Tomada de Contas Extraordinária. Administração Pública. Pagamento de diárias. Atividade partidária. Ausência de interesse público. Interesse do partido</w:t>
      </w:r>
      <w:r w:rsidR="007A1290">
        <w:rPr>
          <w:rFonts w:ascii="Arial" w:hAnsi="Arial" w:cs="Arial"/>
          <w:b/>
          <w:sz w:val="20"/>
          <w:szCs w:val="20"/>
        </w:rPr>
        <w:t xml:space="preserve"> político</w:t>
      </w:r>
      <w:r w:rsidR="007A1290" w:rsidRPr="00542AA8">
        <w:rPr>
          <w:rFonts w:ascii="Arial" w:hAnsi="Arial" w:cs="Arial"/>
          <w:b/>
          <w:sz w:val="20"/>
          <w:szCs w:val="20"/>
        </w:rPr>
        <w:t xml:space="preserve">. </w:t>
      </w:r>
    </w:p>
    <w:p w:rsidR="005C61E0" w:rsidRDefault="005C61E0" w:rsidP="005C61E0">
      <w:pPr>
        <w:autoSpaceDE w:val="0"/>
        <w:autoSpaceDN w:val="0"/>
        <w:adjustRightInd w:val="0"/>
        <w:spacing w:after="0"/>
        <w:jc w:val="both"/>
        <w:rPr>
          <w:rFonts w:ascii="Arial" w:hAnsi="Arial" w:cs="Arial"/>
          <w:sz w:val="20"/>
          <w:szCs w:val="20"/>
        </w:rPr>
      </w:pPr>
    </w:p>
    <w:p w:rsidR="007A1290" w:rsidRDefault="007A1290" w:rsidP="005C61E0">
      <w:pPr>
        <w:autoSpaceDE w:val="0"/>
        <w:autoSpaceDN w:val="0"/>
        <w:adjustRightInd w:val="0"/>
        <w:spacing w:after="0"/>
        <w:jc w:val="both"/>
        <w:rPr>
          <w:rFonts w:ascii="Arial" w:hAnsi="Arial" w:cs="Arial"/>
          <w:sz w:val="20"/>
          <w:szCs w:val="20"/>
        </w:rPr>
      </w:pPr>
      <w:r>
        <w:rPr>
          <w:rFonts w:ascii="Arial" w:hAnsi="Arial" w:cs="Arial"/>
          <w:sz w:val="20"/>
          <w:szCs w:val="20"/>
        </w:rPr>
        <w:t xml:space="preserve">Não é devido pagamento de diárias para custeio de participação em atividades partidárias. A participação na atividade do partido não reflete o interesse público, mas de grupo de pessoas com finalidades partidárias, não devendo, portando, ser custeada pelo ente a que pertence o gestor. </w:t>
      </w:r>
    </w:p>
    <w:p w:rsidR="005C61E0" w:rsidRDefault="005C61E0" w:rsidP="005C61E0">
      <w:pPr>
        <w:autoSpaceDE w:val="0"/>
        <w:autoSpaceDN w:val="0"/>
        <w:adjustRightInd w:val="0"/>
        <w:spacing w:after="0"/>
        <w:jc w:val="both"/>
        <w:rPr>
          <w:rFonts w:ascii="Arial" w:hAnsi="Arial" w:cs="Arial"/>
          <w:sz w:val="20"/>
          <w:szCs w:val="20"/>
        </w:rPr>
      </w:pPr>
    </w:p>
    <w:p w:rsidR="007A1290" w:rsidRDefault="007A1290" w:rsidP="005C61E0">
      <w:pPr>
        <w:autoSpaceDE w:val="0"/>
        <w:autoSpaceDN w:val="0"/>
        <w:adjustRightInd w:val="0"/>
        <w:spacing w:after="0"/>
        <w:jc w:val="both"/>
        <w:rPr>
          <w:rFonts w:ascii="Arial" w:hAnsi="Arial" w:cs="Arial"/>
          <w:sz w:val="20"/>
          <w:szCs w:val="20"/>
        </w:rPr>
      </w:pPr>
      <w:r>
        <w:rPr>
          <w:rFonts w:ascii="Arial" w:hAnsi="Arial" w:cs="Arial"/>
          <w:sz w:val="20"/>
          <w:szCs w:val="20"/>
        </w:rPr>
        <w:t>Processo nº 48331/13</w:t>
      </w:r>
      <w:r w:rsidR="006B5D75">
        <w:rPr>
          <w:rFonts w:ascii="Arial" w:hAnsi="Arial" w:cs="Arial"/>
          <w:sz w:val="20"/>
          <w:szCs w:val="20"/>
        </w:rPr>
        <w:t xml:space="preserve"> -</w:t>
      </w:r>
      <w:r>
        <w:rPr>
          <w:rFonts w:ascii="Arial" w:hAnsi="Arial" w:cs="Arial"/>
          <w:sz w:val="20"/>
          <w:szCs w:val="20"/>
        </w:rPr>
        <w:t xml:space="preserve"> </w:t>
      </w:r>
      <w:hyperlink r:id="rId9" w:history="1">
        <w:r w:rsidRPr="00542AA8">
          <w:rPr>
            <w:rStyle w:val="Hyperlink"/>
            <w:rFonts w:ascii="Arial" w:hAnsi="Arial" w:cs="Arial"/>
            <w:sz w:val="20"/>
            <w:szCs w:val="20"/>
          </w:rPr>
          <w:t xml:space="preserve">Acórdão 4053/2017 </w:t>
        </w:r>
        <w:r w:rsidR="006B5D75">
          <w:rPr>
            <w:rStyle w:val="Hyperlink"/>
            <w:rFonts w:ascii="Arial" w:hAnsi="Arial" w:cs="Arial"/>
            <w:sz w:val="20"/>
            <w:szCs w:val="20"/>
          </w:rPr>
          <w:t>-</w:t>
        </w:r>
        <w:r w:rsidRPr="00542AA8">
          <w:rPr>
            <w:rStyle w:val="Hyperlink"/>
            <w:rFonts w:ascii="Arial" w:hAnsi="Arial" w:cs="Arial"/>
            <w:sz w:val="20"/>
            <w:szCs w:val="20"/>
          </w:rPr>
          <w:t xml:space="preserve"> Primeira Câmara</w:t>
        </w:r>
      </w:hyperlink>
      <w:r>
        <w:rPr>
          <w:rFonts w:ascii="Arial" w:hAnsi="Arial" w:cs="Arial"/>
          <w:sz w:val="20"/>
          <w:szCs w:val="20"/>
        </w:rPr>
        <w:t xml:space="preserve">. Relator Conselheiro </w:t>
      </w:r>
      <w:r w:rsidRPr="00542AA8">
        <w:rPr>
          <w:rFonts w:ascii="Arial" w:hAnsi="Arial" w:cs="Arial"/>
          <w:sz w:val="20"/>
          <w:szCs w:val="20"/>
        </w:rPr>
        <w:t>Fernando Augusto Mello Guimarães</w:t>
      </w:r>
      <w:r>
        <w:rPr>
          <w:rFonts w:ascii="Arial" w:hAnsi="Arial" w:cs="Arial"/>
          <w:sz w:val="20"/>
          <w:szCs w:val="20"/>
        </w:rPr>
        <w:t xml:space="preserve">. </w:t>
      </w:r>
    </w:p>
    <w:p w:rsidR="007A1290" w:rsidRDefault="007A1290" w:rsidP="005C61E0">
      <w:pPr>
        <w:autoSpaceDE w:val="0"/>
        <w:autoSpaceDN w:val="0"/>
        <w:adjustRightInd w:val="0"/>
        <w:spacing w:after="0"/>
        <w:jc w:val="both"/>
        <w:rPr>
          <w:rFonts w:ascii="Arial" w:hAnsi="Arial" w:cs="Arial"/>
          <w:sz w:val="20"/>
          <w:szCs w:val="20"/>
        </w:rPr>
      </w:pPr>
    </w:p>
    <w:p w:rsidR="007A1290" w:rsidRPr="00B143F4"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7A1290" w:rsidRPr="00B143F4">
        <w:rPr>
          <w:rFonts w:ascii="Arial" w:hAnsi="Arial" w:cs="Arial"/>
          <w:b/>
          <w:sz w:val="20"/>
          <w:szCs w:val="20"/>
        </w:rPr>
        <w:t xml:space="preserve">Ato de inativação. Aposentadoria. Cálculo do benefício. Atribuição do órgão previdenciário. Verbas transitórias. Cômputo em separado. </w:t>
      </w:r>
    </w:p>
    <w:p w:rsidR="005C61E0" w:rsidRDefault="005C61E0" w:rsidP="005C61E0">
      <w:pPr>
        <w:autoSpaceDE w:val="0"/>
        <w:autoSpaceDN w:val="0"/>
        <w:adjustRightInd w:val="0"/>
        <w:spacing w:after="0"/>
        <w:jc w:val="both"/>
        <w:rPr>
          <w:rFonts w:ascii="Arial" w:hAnsi="Arial" w:cs="Arial"/>
          <w:sz w:val="20"/>
          <w:szCs w:val="20"/>
        </w:rPr>
      </w:pPr>
    </w:p>
    <w:p w:rsidR="007A1290" w:rsidRPr="00EC05CD" w:rsidRDefault="007A1290" w:rsidP="005C61E0">
      <w:pPr>
        <w:autoSpaceDE w:val="0"/>
        <w:autoSpaceDN w:val="0"/>
        <w:adjustRightInd w:val="0"/>
        <w:spacing w:after="0"/>
        <w:jc w:val="both"/>
        <w:rPr>
          <w:rFonts w:ascii="Arial" w:hAnsi="Arial" w:cs="Arial"/>
          <w:sz w:val="20"/>
          <w:szCs w:val="20"/>
        </w:rPr>
      </w:pPr>
      <w:r w:rsidRPr="00EC05CD">
        <w:rPr>
          <w:rFonts w:ascii="Arial" w:hAnsi="Arial" w:cs="Arial"/>
          <w:sz w:val="20"/>
          <w:szCs w:val="20"/>
        </w:rPr>
        <w:t>É condição de regularidade dos atos de inativação que o órgão previdenciário aprove os cálculos do benefício e a fundamentação legal considerada. Não é possível a inclusão, no cálculo dos proventos, de verbas transitórias recebidas em período em que a servidora se encontrava vinculada ao RGPS e não contribuía ao IPMC. É necessário o cômputo em separado das verbas transitórias incluídas no cálculo.</w:t>
      </w:r>
    </w:p>
    <w:p w:rsidR="005C61E0" w:rsidRDefault="005C61E0" w:rsidP="005C61E0">
      <w:pPr>
        <w:autoSpaceDE w:val="0"/>
        <w:autoSpaceDN w:val="0"/>
        <w:adjustRightInd w:val="0"/>
        <w:spacing w:after="0"/>
        <w:jc w:val="both"/>
        <w:rPr>
          <w:rFonts w:ascii="Arial" w:hAnsi="Arial" w:cs="Arial"/>
          <w:sz w:val="20"/>
          <w:szCs w:val="20"/>
        </w:rPr>
      </w:pPr>
    </w:p>
    <w:p w:rsidR="007A1290" w:rsidRDefault="007A1290" w:rsidP="005C61E0">
      <w:pPr>
        <w:autoSpaceDE w:val="0"/>
        <w:autoSpaceDN w:val="0"/>
        <w:adjustRightInd w:val="0"/>
        <w:spacing w:after="0"/>
        <w:jc w:val="both"/>
        <w:rPr>
          <w:rFonts w:ascii="Arial" w:hAnsi="Arial" w:cs="Arial"/>
          <w:sz w:val="20"/>
          <w:szCs w:val="20"/>
        </w:rPr>
      </w:pPr>
      <w:r>
        <w:rPr>
          <w:rFonts w:ascii="Arial" w:hAnsi="Arial" w:cs="Arial"/>
          <w:sz w:val="20"/>
          <w:szCs w:val="20"/>
        </w:rPr>
        <w:t>Processo n° 361713/15</w:t>
      </w:r>
      <w:r w:rsidR="006B5D75">
        <w:rPr>
          <w:rFonts w:ascii="Arial" w:hAnsi="Arial" w:cs="Arial"/>
          <w:sz w:val="20"/>
          <w:szCs w:val="20"/>
        </w:rPr>
        <w:t xml:space="preserve"> -</w:t>
      </w:r>
      <w:r>
        <w:rPr>
          <w:rFonts w:ascii="Arial" w:hAnsi="Arial" w:cs="Arial"/>
          <w:sz w:val="20"/>
          <w:szCs w:val="20"/>
        </w:rPr>
        <w:t xml:space="preserve"> </w:t>
      </w:r>
      <w:hyperlink r:id="rId10" w:history="1">
        <w:r w:rsidRPr="00661667">
          <w:rPr>
            <w:rStyle w:val="Hyperlink"/>
            <w:rFonts w:ascii="Arial" w:hAnsi="Arial" w:cs="Arial"/>
            <w:sz w:val="20"/>
            <w:szCs w:val="20"/>
          </w:rPr>
          <w:t xml:space="preserve">Acórdão nº 4055/17 </w:t>
        </w:r>
        <w:r w:rsidR="006B5D75">
          <w:rPr>
            <w:rStyle w:val="Hyperlink"/>
            <w:rFonts w:ascii="Arial" w:hAnsi="Arial" w:cs="Arial"/>
            <w:sz w:val="20"/>
            <w:szCs w:val="20"/>
          </w:rPr>
          <w:t>-</w:t>
        </w:r>
        <w:r w:rsidRPr="00661667">
          <w:rPr>
            <w:rStyle w:val="Hyperlink"/>
            <w:rFonts w:ascii="Arial" w:hAnsi="Arial" w:cs="Arial"/>
            <w:sz w:val="20"/>
            <w:szCs w:val="20"/>
          </w:rPr>
          <w:t xml:space="preserve"> Primeira Câmara</w:t>
        </w:r>
      </w:hyperlink>
      <w:r>
        <w:rPr>
          <w:rFonts w:ascii="Arial" w:hAnsi="Arial" w:cs="Arial"/>
          <w:sz w:val="20"/>
          <w:szCs w:val="20"/>
        </w:rPr>
        <w:t xml:space="preserve">. Relator Conselheiro </w:t>
      </w:r>
      <w:r w:rsidRPr="00542AA8">
        <w:rPr>
          <w:rFonts w:ascii="Arial" w:hAnsi="Arial" w:cs="Arial"/>
          <w:sz w:val="20"/>
          <w:szCs w:val="20"/>
        </w:rPr>
        <w:t>Fernando Augusto Mello Guimarães</w:t>
      </w:r>
      <w:r>
        <w:rPr>
          <w:rFonts w:ascii="Arial" w:hAnsi="Arial" w:cs="Arial"/>
          <w:sz w:val="20"/>
          <w:szCs w:val="20"/>
        </w:rPr>
        <w:t>.</w:t>
      </w:r>
    </w:p>
    <w:p w:rsidR="007A1290" w:rsidRDefault="007A1290" w:rsidP="005C61E0">
      <w:pPr>
        <w:autoSpaceDE w:val="0"/>
        <w:autoSpaceDN w:val="0"/>
        <w:adjustRightInd w:val="0"/>
        <w:spacing w:after="0"/>
        <w:jc w:val="both"/>
        <w:rPr>
          <w:rFonts w:ascii="Arial" w:hAnsi="Arial" w:cs="Arial"/>
          <w:sz w:val="20"/>
          <w:szCs w:val="20"/>
        </w:rPr>
      </w:pPr>
    </w:p>
    <w:p w:rsidR="00A46447" w:rsidRDefault="00A46447" w:rsidP="005C61E0">
      <w:pPr>
        <w:spacing w:after="0"/>
        <w:jc w:val="both"/>
        <w:rPr>
          <w:rFonts w:ascii="Arial" w:hAnsi="Arial" w:cs="Arial"/>
          <w:b/>
          <w:sz w:val="20"/>
          <w:szCs w:val="20"/>
        </w:rPr>
      </w:pPr>
      <w:r>
        <w:rPr>
          <w:rFonts w:ascii="Arial" w:hAnsi="Arial" w:cs="Arial"/>
          <w:b/>
          <w:sz w:val="20"/>
          <w:szCs w:val="20"/>
        </w:rPr>
        <w:t>4. Prestação de contas de transferência. Convênio celebrado para aquisição de materiais de consumo. Apontamentos não sanados</w:t>
      </w:r>
      <w:r w:rsidR="003E0EC2">
        <w:rPr>
          <w:rFonts w:ascii="Arial" w:hAnsi="Arial" w:cs="Arial"/>
          <w:b/>
          <w:sz w:val="20"/>
          <w:szCs w:val="20"/>
        </w:rPr>
        <w:t>,</w:t>
      </w:r>
      <w:r>
        <w:rPr>
          <w:rFonts w:ascii="Arial" w:hAnsi="Arial" w:cs="Arial"/>
          <w:b/>
          <w:sz w:val="20"/>
          <w:szCs w:val="20"/>
        </w:rPr>
        <w:t xml:space="preserve"> mas que não trouxeram prejuízo à execução do convênio. Pela regularidade com recomendações. </w:t>
      </w:r>
    </w:p>
    <w:p w:rsidR="005C61E0" w:rsidRDefault="005C61E0" w:rsidP="005C61E0">
      <w:pPr>
        <w:spacing w:after="0"/>
        <w:jc w:val="both"/>
        <w:rPr>
          <w:rFonts w:ascii="Arial" w:hAnsi="Arial" w:cs="Arial"/>
          <w:sz w:val="20"/>
          <w:szCs w:val="20"/>
        </w:rPr>
      </w:pPr>
    </w:p>
    <w:p w:rsidR="00A46447" w:rsidRDefault="00A46447" w:rsidP="005C61E0">
      <w:pPr>
        <w:spacing w:after="0"/>
        <w:jc w:val="both"/>
        <w:rPr>
          <w:rFonts w:ascii="Arial" w:hAnsi="Arial" w:cs="Arial"/>
          <w:sz w:val="20"/>
          <w:szCs w:val="20"/>
        </w:rPr>
      </w:pPr>
      <w:r>
        <w:rPr>
          <w:rFonts w:ascii="Arial" w:hAnsi="Arial" w:cs="Arial"/>
          <w:sz w:val="20"/>
          <w:szCs w:val="20"/>
        </w:rPr>
        <w:t xml:space="preserve">Celebrado convênio para aquisição de materiais de consumo corrente e de capital para realização de atividades da associação convenente, alguns apontamentos efetuados pela Unidade Técnica deste Tribunal, em sede de prestação de contas de transferência, não foram sanados. Consistem eles em: atraso </w:t>
      </w:r>
      <w:proofErr w:type="gramStart"/>
      <w:r>
        <w:rPr>
          <w:rFonts w:ascii="Arial" w:hAnsi="Arial" w:cs="Arial"/>
          <w:sz w:val="20"/>
          <w:szCs w:val="20"/>
        </w:rPr>
        <w:t>do concedente</w:t>
      </w:r>
      <w:proofErr w:type="gramEnd"/>
      <w:r>
        <w:rPr>
          <w:rFonts w:ascii="Arial" w:hAnsi="Arial" w:cs="Arial"/>
          <w:sz w:val="20"/>
          <w:szCs w:val="20"/>
        </w:rPr>
        <w:t xml:space="preserve"> no envio de informações bimestrais ao SIT e ausência de certidões na formalização da transferência (CND trabalhista, certificado de regularidade do FGTS, débitos tributários, dívida ativa estadual, CND tributário e Dívida Ativa da União). </w:t>
      </w:r>
    </w:p>
    <w:p w:rsidR="006B5D75" w:rsidRDefault="006B5D75" w:rsidP="005C61E0">
      <w:pPr>
        <w:spacing w:after="0"/>
        <w:jc w:val="both"/>
        <w:rPr>
          <w:rFonts w:ascii="Arial" w:hAnsi="Arial" w:cs="Arial"/>
          <w:sz w:val="20"/>
          <w:szCs w:val="20"/>
        </w:rPr>
      </w:pPr>
    </w:p>
    <w:p w:rsidR="00A46447" w:rsidRDefault="00A46447" w:rsidP="005C61E0">
      <w:pPr>
        <w:spacing w:after="0"/>
        <w:jc w:val="both"/>
        <w:rPr>
          <w:rFonts w:ascii="Arial" w:hAnsi="Arial" w:cs="Arial"/>
          <w:sz w:val="20"/>
          <w:szCs w:val="20"/>
        </w:rPr>
      </w:pPr>
      <w:r>
        <w:rPr>
          <w:rFonts w:ascii="Arial" w:hAnsi="Arial" w:cs="Arial"/>
          <w:sz w:val="20"/>
          <w:szCs w:val="20"/>
        </w:rPr>
        <w:lastRenderedPageBreak/>
        <w:t xml:space="preserve">Ausência de </w:t>
      </w:r>
      <w:proofErr w:type="spellStart"/>
      <w:r>
        <w:rPr>
          <w:rFonts w:ascii="Arial" w:hAnsi="Arial" w:cs="Arial"/>
          <w:sz w:val="20"/>
          <w:szCs w:val="20"/>
        </w:rPr>
        <w:t>dano</w:t>
      </w:r>
      <w:proofErr w:type="spellEnd"/>
      <w:r>
        <w:rPr>
          <w:rFonts w:ascii="Arial" w:hAnsi="Arial" w:cs="Arial"/>
          <w:sz w:val="20"/>
          <w:szCs w:val="20"/>
        </w:rPr>
        <w:t xml:space="preserve"> ao Erário e de dano na execução do objeto conveniado, assim como a possibilidade do exame do mérito da prestação de contas, permitiu o julgamento pela regularidade das contas sem aplicação de penalidades ao gestor, mas com recomendação à entidade para readequação dos procedimentos utilizados às exigências da Resolução nº 28/2011 e pela Instrução Normativa nº 61/2011, a fim de que sejam evitadas futuras penalizações. </w:t>
      </w:r>
    </w:p>
    <w:p w:rsidR="00A46447" w:rsidRDefault="00A46447" w:rsidP="005C61E0">
      <w:pPr>
        <w:spacing w:after="0"/>
        <w:jc w:val="both"/>
        <w:rPr>
          <w:rFonts w:ascii="Arial" w:hAnsi="Arial" w:cs="Arial"/>
          <w:sz w:val="20"/>
          <w:szCs w:val="20"/>
        </w:rPr>
      </w:pPr>
    </w:p>
    <w:p w:rsidR="00A46447" w:rsidRDefault="006B5D75" w:rsidP="005C61E0">
      <w:pPr>
        <w:spacing w:after="0"/>
        <w:jc w:val="both"/>
        <w:rPr>
          <w:rFonts w:ascii="Arial" w:hAnsi="Arial" w:cs="Arial"/>
          <w:sz w:val="20"/>
          <w:szCs w:val="20"/>
        </w:rPr>
      </w:pPr>
      <w:r>
        <w:rPr>
          <w:rFonts w:ascii="Arial" w:hAnsi="Arial" w:cs="Arial"/>
          <w:sz w:val="20"/>
          <w:szCs w:val="20"/>
        </w:rPr>
        <w:t>Processo nº 78871/15 -</w:t>
      </w:r>
      <w:r w:rsidR="00A46447">
        <w:rPr>
          <w:rFonts w:ascii="Arial" w:hAnsi="Arial" w:cs="Arial"/>
          <w:sz w:val="20"/>
          <w:szCs w:val="20"/>
        </w:rPr>
        <w:t xml:space="preserve"> </w:t>
      </w:r>
      <w:hyperlink r:id="rId11" w:history="1">
        <w:r w:rsidR="00A46447" w:rsidRPr="004006CA">
          <w:rPr>
            <w:rStyle w:val="Hyperlink"/>
            <w:rFonts w:ascii="Arial" w:hAnsi="Arial" w:cs="Arial"/>
            <w:sz w:val="20"/>
            <w:szCs w:val="20"/>
          </w:rPr>
          <w:t>Acórdão nº 4158/17</w:t>
        </w:r>
        <w:r>
          <w:rPr>
            <w:rStyle w:val="Hyperlink"/>
            <w:rFonts w:ascii="Arial" w:hAnsi="Arial" w:cs="Arial"/>
            <w:sz w:val="20"/>
            <w:szCs w:val="20"/>
          </w:rPr>
          <w:t xml:space="preserve"> </w:t>
        </w:r>
        <w:r w:rsidR="00A46447" w:rsidRPr="004006CA">
          <w:rPr>
            <w:rStyle w:val="Hyperlink"/>
            <w:rFonts w:ascii="Arial" w:hAnsi="Arial" w:cs="Arial"/>
            <w:sz w:val="20"/>
            <w:szCs w:val="20"/>
          </w:rPr>
          <w:t>-</w:t>
        </w:r>
        <w:r>
          <w:rPr>
            <w:rStyle w:val="Hyperlink"/>
            <w:rFonts w:ascii="Arial" w:hAnsi="Arial" w:cs="Arial"/>
            <w:sz w:val="20"/>
            <w:szCs w:val="20"/>
          </w:rPr>
          <w:t xml:space="preserve"> Primeira </w:t>
        </w:r>
        <w:r w:rsidR="00A46447" w:rsidRPr="004006CA">
          <w:rPr>
            <w:rStyle w:val="Hyperlink"/>
            <w:rFonts w:ascii="Arial" w:hAnsi="Arial" w:cs="Arial"/>
            <w:sz w:val="20"/>
            <w:szCs w:val="20"/>
          </w:rPr>
          <w:t>Câmara</w:t>
        </w:r>
      </w:hyperlink>
      <w:r>
        <w:rPr>
          <w:rFonts w:ascii="Arial" w:hAnsi="Arial" w:cs="Arial"/>
          <w:sz w:val="20"/>
          <w:szCs w:val="20"/>
        </w:rPr>
        <w:t xml:space="preserve"> -</w:t>
      </w:r>
      <w:r w:rsidR="00A46447">
        <w:rPr>
          <w:rFonts w:ascii="Arial" w:hAnsi="Arial" w:cs="Arial"/>
          <w:sz w:val="20"/>
          <w:szCs w:val="20"/>
        </w:rPr>
        <w:t xml:space="preserve"> Rel. Conselheiro Nestor Baptista.</w:t>
      </w:r>
    </w:p>
    <w:p w:rsidR="007A1290" w:rsidRDefault="007A1290" w:rsidP="005C61E0">
      <w:pPr>
        <w:autoSpaceDE w:val="0"/>
        <w:autoSpaceDN w:val="0"/>
        <w:adjustRightInd w:val="0"/>
        <w:spacing w:after="0"/>
        <w:jc w:val="both"/>
        <w:rPr>
          <w:rFonts w:ascii="Arial" w:hAnsi="Arial" w:cs="Arial"/>
          <w:sz w:val="20"/>
          <w:szCs w:val="20"/>
        </w:rPr>
      </w:pPr>
    </w:p>
    <w:p w:rsidR="00EC3842" w:rsidRPr="0022060B" w:rsidRDefault="00EC3842" w:rsidP="005C61E0">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5C61E0">
      <w:pPr>
        <w:autoSpaceDE w:val="0"/>
        <w:autoSpaceDN w:val="0"/>
        <w:adjustRightInd w:val="0"/>
        <w:spacing w:after="0"/>
        <w:rPr>
          <w:rFonts w:ascii="Arial" w:hAnsi="Arial" w:cs="Arial"/>
          <w:sz w:val="20"/>
          <w:szCs w:val="20"/>
        </w:rPr>
      </w:pPr>
    </w:p>
    <w:p w:rsidR="00326980" w:rsidRPr="00326980"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326980" w:rsidRPr="00326980">
        <w:rPr>
          <w:rFonts w:ascii="Arial" w:hAnsi="Arial" w:cs="Arial"/>
          <w:b/>
          <w:sz w:val="20"/>
          <w:szCs w:val="20"/>
        </w:rPr>
        <w:t>Embargos de Declaração. Prestação de Serviços. Devolução de valores recebidos. Ausência de má-fé. Enriquecimento ilícito do Estado.</w:t>
      </w:r>
    </w:p>
    <w:p w:rsidR="00326980" w:rsidRPr="00326980" w:rsidRDefault="00326980" w:rsidP="005C61E0">
      <w:pPr>
        <w:autoSpaceDE w:val="0"/>
        <w:autoSpaceDN w:val="0"/>
        <w:adjustRightInd w:val="0"/>
        <w:spacing w:after="0"/>
        <w:jc w:val="both"/>
        <w:rPr>
          <w:rFonts w:ascii="Arial" w:hAnsi="Arial" w:cs="Arial"/>
          <w:sz w:val="20"/>
          <w:szCs w:val="20"/>
        </w:rPr>
      </w:pPr>
    </w:p>
    <w:p w:rsidR="00326980" w:rsidRPr="00326980" w:rsidRDefault="00326980" w:rsidP="005C61E0">
      <w:pPr>
        <w:autoSpaceDE w:val="0"/>
        <w:autoSpaceDN w:val="0"/>
        <w:adjustRightInd w:val="0"/>
        <w:spacing w:after="0"/>
        <w:jc w:val="both"/>
        <w:rPr>
          <w:rFonts w:ascii="Arial" w:hAnsi="Arial" w:cs="Arial"/>
          <w:sz w:val="20"/>
          <w:szCs w:val="20"/>
        </w:rPr>
      </w:pPr>
      <w:r w:rsidRPr="00326980">
        <w:rPr>
          <w:rFonts w:ascii="Arial" w:hAnsi="Arial" w:cs="Arial"/>
          <w:sz w:val="20"/>
          <w:szCs w:val="20"/>
        </w:rPr>
        <w:t>É indevida a determinação de devolução dos valores dispendidos nos casos em que houve a efetiva prestação dos serviços, quando não demonstrada à má-fé da contratada, sob pena de enriquecimento ilícito do Estado.</w:t>
      </w:r>
    </w:p>
    <w:p w:rsidR="00326980" w:rsidRPr="00326980" w:rsidRDefault="00326980" w:rsidP="005C61E0">
      <w:pPr>
        <w:autoSpaceDE w:val="0"/>
        <w:autoSpaceDN w:val="0"/>
        <w:adjustRightInd w:val="0"/>
        <w:spacing w:after="0"/>
        <w:jc w:val="both"/>
        <w:rPr>
          <w:rFonts w:ascii="Arial" w:hAnsi="Arial" w:cs="Arial"/>
          <w:sz w:val="20"/>
          <w:szCs w:val="20"/>
        </w:rPr>
      </w:pPr>
    </w:p>
    <w:p w:rsidR="00326980" w:rsidRPr="00326980" w:rsidRDefault="00326980" w:rsidP="005C61E0">
      <w:pPr>
        <w:autoSpaceDE w:val="0"/>
        <w:autoSpaceDN w:val="0"/>
        <w:adjustRightInd w:val="0"/>
        <w:spacing w:after="0"/>
        <w:jc w:val="both"/>
        <w:rPr>
          <w:rFonts w:ascii="Arial" w:hAnsi="Arial" w:cs="Arial"/>
          <w:sz w:val="20"/>
          <w:szCs w:val="20"/>
        </w:rPr>
      </w:pPr>
      <w:r w:rsidRPr="00326980">
        <w:rPr>
          <w:rFonts w:ascii="Arial" w:hAnsi="Arial" w:cs="Arial"/>
          <w:sz w:val="20"/>
          <w:szCs w:val="20"/>
        </w:rPr>
        <w:t>Processo nº 191688/17</w:t>
      </w:r>
      <w:r>
        <w:rPr>
          <w:rFonts w:ascii="Arial" w:hAnsi="Arial" w:cs="Arial"/>
          <w:sz w:val="20"/>
          <w:szCs w:val="20"/>
        </w:rPr>
        <w:t xml:space="preserve"> - </w:t>
      </w:r>
      <w:hyperlink r:id="rId12" w:history="1">
        <w:r w:rsidRPr="00326980">
          <w:rPr>
            <w:rStyle w:val="Hyperlink"/>
            <w:rFonts w:ascii="Arial" w:hAnsi="Arial" w:cs="Arial"/>
            <w:sz w:val="20"/>
            <w:szCs w:val="20"/>
          </w:rPr>
          <w:t>Acórdão nº 3992/17 - Segunda Câmara</w:t>
        </w:r>
      </w:hyperlink>
      <w:r w:rsidRPr="00326980">
        <w:rPr>
          <w:rFonts w:ascii="Arial" w:hAnsi="Arial" w:cs="Arial"/>
          <w:sz w:val="20"/>
          <w:szCs w:val="20"/>
        </w:rPr>
        <w:t xml:space="preserve">. Relator Conselheiro </w:t>
      </w:r>
      <w:proofErr w:type="spellStart"/>
      <w:r w:rsidRPr="00326980">
        <w:rPr>
          <w:rFonts w:ascii="Arial" w:hAnsi="Arial" w:cs="Arial"/>
          <w:sz w:val="20"/>
          <w:szCs w:val="20"/>
        </w:rPr>
        <w:t>Artagão</w:t>
      </w:r>
      <w:proofErr w:type="spellEnd"/>
      <w:r w:rsidRPr="00326980">
        <w:rPr>
          <w:rFonts w:ascii="Arial" w:hAnsi="Arial" w:cs="Arial"/>
          <w:sz w:val="20"/>
          <w:szCs w:val="20"/>
        </w:rPr>
        <w:t xml:space="preserve"> de Mattos Leão.</w:t>
      </w:r>
    </w:p>
    <w:p w:rsidR="00326980" w:rsidRPr="00326980" w:rsidRDefault="00326980" w:rsidP="005C61E0">
      <w:pPr>
        <w:autoSpaceDE w:val="0"/>
        <w:autoSpaceDN w:val="0"/>
        <w:adjustRightInd w:val="0"/>
        <w:spacing w:after="0"/>
        <w:jc w:val="both"/>
        <w:rPr>
          <w:rFonts w:ascii="Arial" w:hAnsi="Arial" w:cs="Arial"/>
          <w:sz w:val="20"/>
          <w:szCs w:val="20"/>
        </w:rPr>
      </w:pPr>
    </w:p>
    <w:p w:rsidR="00326980" w:rsidRPr="00326980"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326980" w:rsidRPr="00326980">
        <w:rPr>
          <w:rFonts w:ascii="Arial" w:hAnsi="Arial" w:cs="Arial"/>
          <w:b/>
          <w:sz w:val="20"/>
          <w:szCs w:val="20"/>
        </w:rPr>
        <w:t>Prestação de Contas Municipal. Poder Legislativo. Remuneração. Subsídio. Recebimento a maior. Ressarcimento ao erário.</w:t>
      </w:r>
    </w:p>
    <w:p w:rsidR="00326980" w:rsidRPr="00326980" w:rsidRDefault="00326980" w:rsidP="005C61E0">
      <w:pPr>
        <w:autoSpaceDE w:val="0"/>
        <w:autoSpaceDN w:val="0"/>
        <w:adjustRightInd w:val="0"/>
        <w:spacing w:after="0"/>
        <w:jc w:val="both"/>
        <w:rPr>
          <w:rFonts w:ascii="Arial" w:hAnsi="Arial" w:cs="Arial"/>
          <w:sz w:val="20"/>
          <w:szCs w:val="20"/>
        </w:rPr>
      </w:pPr>
    </w:p>
    <w:p w:rsidR="00326980" w:rsidRPr="00326980" w:rsidRDefault="00326980" w:rsidP="005C61E0">
      <w:pPr>
        <w:autoSpaceDE w:val="0"/>
        <w:autoSpaceDN w:val="0"/>
        <w:adjustRightInd w:val="0"/>
        <w:spacing w:after="0"/>
        <w:jc w:val="both"/>
        <w:rPr>
          <w:rFonts w:ascii="Arial" w:hAnsi="Arial" w:cs="Arial"/>
          <w:sz w:val="20"/>
          <w:szCs w:val="20"/>
        </w:rPr>
      </w:pPr>
      <w:r w:rsidRPr="00326980">
        <w:rPr>
          <w:rFonts w:ascii="Arial" w:hAnsi="Arial" w:cs="Arial"/>
          <w:sz w:val="20"/>
          <w:szCs w:val="20"/>
        </w:rPr>
        <w:t>O recebimento de subsídio a maior, por parte dos vereadores gera responsabilidade pelo ressarcimento de cada agente que recebeu os valores indevidos. É devido o ressarcimento dos valores pagos indevidamente, atualizados até o momento do recolhimento aos cofres públicos, com responsabilização individualizada para cada agente político.</w:t>
      </w:r>
    </w:p>
    <w:p w:rsidR="00326980" w:rsidRPr="00326980" w:rsidRDefault="00326980" w:rsidP="005C61E0">
      <w:pPr>
        <w:autoSpaceDE w:val="0"/>
        <w:autoSpaceDN w:val="0"/>
        <w:adjustRightInd w:val="0"/>
        <w:spacing w:after="0"/>
        <w:jc w:val="both"/>
        <w:rPr>
          <w:rFonts w:ascii="Arial" w:hAnsi="Arial" w:cs="Arial"/>
          <w:sz w:val="20"/>
          <w:szCs w:val="20"/>
        </w:rPr>
      </w:pPr>
    </w:p>
    <w:p w:rsidR="00326980" w:rsidRDefault="00326980" w:rsidP="005C61E0">
      <w:pPr>
        <w:autoSpaceDE w:val="0"/>
        <w:autoSpaceDN w:val="0"/>
        <w:adjustRightInd w:val="0"/>
        <w:spacing w:after="0"/>
        <w:jc w:val="both"/>
        <w:rPr>
          <w:rFonts w:ascii="Arial" w:hAnsi="Arial" w:cs="Arial"/>
          <w:sz w:val="20"/>
          <w:szCs w:val="20"/>
        </w:rPr>
      </w:pPr>
      <w:r w:rsidRPr="00326980">
        <w:rPr>
          <w:rFonts w:ascii="Arial" w:hAnsi="Arial" w:cs="Arial"/>
          <w:sz w:val="20"/>
          <w:szCs w:val="20"/>
        </w:rPr>
        <w:t>Processo nº 111334/04</w:t>
      </w:r>
      <w:r>
        <w:rPr>
          <w:rFonts w:ascii="Arial" w:hAnsi="Arial" w:cs="Arial"/>
          <w:sz w:val="20"/>
          <w:szCs w:val="20"/>
        </w:rPr>
        <w:t xml:space="preserve"> - </w:t>
      </w:r>
      <w:hyperlink r:id="rId13" w:history="1">
        <w:r w:rsidRPr="00326980">
          <w:rPr>
            <w:rStyle w:val="Hyperlink"/>
            <w:rFonts w:ascii="Arial" w:hAnsi="Arial" w:cs="Arial"/>
            <w:sz w:val="20"/>
            <w:szCs w:val="20"/>
          </w:rPr>
          <w:t>Acórdão nº 3929/17 - Segunda Câmara</w:t>
        </w:r>
      </w:hyperlink>
      <w:r w:rsidRPr="00326980">
        <w:rPr>
          <w:rFonts w:ascii="Arial" w:hAnsi="Arial" w:cs="Arial"/>
          <w:sz w:val="20"/>
          <w:szCs w:val="20"/>
        </w:rPr>
        <w:t xml:space="preserve">. Relator Conselheiro </w:t>
      </w:r>
      <w:proofErr w:type="spellStart"/>
      <w:r w:rsidRPr="00326980">
        <w:rPr>
          <w:rFonts w:ascii="Arial" w:hAnsi="Arial" w:cs="Arial"/>
          <w:sz w:val="20"/>
          <w:szCs w:val="20"/>
        </w:rPr>
        <w:t>Artagão</w:t>
      </w:r>
      <w:proofErr w:type="spellEnd"/>
      <w:r w:rsidRPr="00326980">
        <w:rPr>
          <w:rFonts w:ascii="Arial" w:hAnsi="Arial" w:cs="Arial"/>
          <w:sz w:val="20"/>
          <w:szCs w:val="20"/>
        </w:rPr>
        <w:t xml:space="preserve"> de Mattos Leão.</w:t>
      </w:r>
    </w:p>
    <w:p w:rsidR="009F2F7E" w:rsidRDefault="009F2F7E" w:rsidP="005C61E0">
      <w:pPr>
        <w:autoSpaceDE w:val="0"/>
        <w:autoSpaceDN w:val="0"/>
        <w:adjustRightInd w:val="0"/>
        <w:spacing w:after="0"/>
        <w:jc w:val="both"/>
        <w:rPr>
          <w:rFonts w:ascii="Arial" w:hAnsi="Arial" w:cs="Arial"/>
          <w:sz w:val="20"/>
          <w:szCs w:val="20"/>
        </w:rPr>
      </w:pPr>
    </w:p>
    <w:p w:rsidR="009F2F7E"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9F2F7E" w:rsidRPr="009F2F7E">
        <w:rPr>
          <w:rFonts w:ascii="Arial" w:hAnsi="Arial" w:cs="Arial"/>
          <w:b/>
          <w:sz w:val="20"/>
          <w:szCs w:val="20"/>
        </w:rPr>
        <w:t xml:space="preserve">Prestação de Contas do Prefeito Municipal. Exercício de 2014. Contas bancárias com saldos a descoberto. </w:t>
      </w:r>
      <w:proofErr w:type="gramStart"/>
      <w:r w:rsidR="009F2F7E" w:rsidRPr="009F2F7E">
        <w:rPr>
          <w:rFonts w:ascii="Arial" w:hAnsi="Arial" w:cs="Arial"/>
          <w:b/>
          <w:sz w:val="20"/>
          <w:szCs w:val="20"/>
        </w:rPr>
        <w:t>Parecer Prévio</w:t>
      </w:r>
      <w:proofErr w:type="gramEnd"/>
      <w:r w:rsidR="009F2F7E" w:rsidRPr="009F2F7E">
        <w:rPr>
          <w:rFonts w:ascii="Arial" w:hAnsi="Arial" w:cs="Arial"/>
          <w:b/>
          <w:sz w:val="20"/>
          <w:szCs w:val="20"/>
        </w:rPr>
        <w:t xml:space="preserve"> pela irregularidade das contas, com aplicação de multa.</w:t>
      </w:r>
    </w:p>
    <w:p w:rsidR="009F2F7E" w:rsidRPr="009F2F7E" w:rsidRDefault="009F2F7E" w:rsidP="005C61E0">
      <w:pPr>
        <w:autoSpaceDE w:val="0"/>
        <w:autoSpaceDN w:val="0"/>
        <w:adjustRightInd w:val="0"/>
        <w:spacing w:after="0"/>
        <w:jc w:val="both"/>
        <w:rPr>
          <w:rFonts w:ascii="Arial" w:hAnsi="Arial" w:cs="Arial"/>
          <w:b/>
          <w:sz w:val="20"/>
          <w:szCs w:val="20"/>
        </w:rPr>
      </w:pPr>
    </w:p>
    <w:p w:rsidR="009F2F7E" w:rsidRDefault="009F2F7E" w:rsidP="005C61E0">
      <w:pPr>
        <w:autoSpaceDE w:val="0"/>
        <w:autoSpaceDN w:val="0"/>
        <w:adjustRightInd w:val="0"/>
        <w:spacing w:after="0"/>
        <w:jc w:val="both"/>
        <w:rPr>
          <w:rFonts w:ascii="Arial" w:hAnsi="Arial" w:cs="Arial"/>
          <w:sz w:val="20"/>
          <w:szCs w:val="20"/>
        </w:rPr>
      </w:pPr>
      <w:r w:rsidRPr="009F2F7E">
        <w:rPr>
          <w:rFonts w:ascii="Arial" w:hAnsi="Arial" w:cs="Arial"/>
          <w:sz w:val="20"/>
          <w:szCs w:val="20"/>
        </w:rPr>
        <w:t xml:space="preserve">Observa-se que não restou superada a existência de contas bancárias com saldos a descoberto, o que impõe a recomendação pela irregularidade das contas. </w:t>
      </w:r>
    </w:p>
    <w:p w:rsidR="006B5D75" w:rsidRDefault="006B5D75" w:rsidP="005C61E0">
      <w:pPr>
        <w:autoSpaceDE w:val="0"/>
        <w:autoSpaceDN w:val="0"/>
        <w:adjustRightInd w:val="0"/>
        <w:spacing w:after="0"/>
        <w:jc w:val="both"/>
        <w:rPr>
          <w:rFonts w:ascii="Arial" w:hAnsi="Arial" w:cs="Arial"/>
          <w:sz w:val="20"/>
          <w:szCs w:val="20"/>
        </w:rPr>
      </w:pPr>
    </w:p>
    <w:p w:rsidR="009F2F7E" w:rsidRDefault="009F2F7E" w:rsidP="005C61E0">
      <w:pPr>
        <w:autoSpaceDE w:val="0"/>
        <w:autoSpaceDN w:val="0"/>
        <w:adjustRightInd w:val="0"/>
        <w:spacing w:after="0"/>
        <w:jc w:val="both"/>
        <w:rPr>
          <w:rFonts w:ascii="Arial" w:hAnsi="Arial" w:cs="Arial"/>
          <w:sz w:val="20"/>
          <w:szCs w:val="20"/>
        </w:rPr>
      </w:pPr>
      <w:r w:rsidRPr="009F2F7E">
        <w:rPr>
          <w:rFonts w:ascii="Arial" w:hAnsi="Arial" w:cs="Arial"/>
          <w:sz w:val="20"/>
          <w:szCs w:val="20"/>
        </w:rPr>
        <w:t>Com efeito, as justificativas e os documentos apresentados não foram capazes de sanar os déficits bancários existentes, no montante total de R$ 49.775,27 (quarenta e nove mil, setecentos e setenta e cinco reais e vinte e sete centavos)</w:t>
      </w:r>
      <w:r>
        <w:rPr>
          <w:rFonts w:ascii="Arial" w:hAnsi="Arial" w:cs="Arial"/>
          <w:sz w:val="20"/>
          <w:szCs w:val="20"/>
        </w:rPr>
        <w:t>.</w:t>
      </w:r>
      <w:r w:rsidRPr="009F2F7E">
        <w:rPr>
          <w:rFonts w:ascii="Arial" w:hAnsi="Arial" w:cs="Arial"/>
          <w:sz w:val="20"/>
          <w:szCs w:val="20"/>
        </w:rPr>
        <w:t xml:space="preserve"> </w:t>
      </w:r>
    </w:p>
    <w:p w:rsidR="009F2F7E" w:rsidRDefault="009F2F7E" w:rsidP="005C61E0">
      <w:pPr>
        <w:autoSpaceDE w:val="0"/>
        <w:autoSpaceDN w:val="0"/>
        <w:adjustRightInd w:val="0"/>
        <w:spacing w:after="0"/>
        <w:jc w:val="both"/>
        <w:rPr>
          <w:rFonts w:ascii="Arial" w:hAnsi="Arial" w:cs="Arial"/>
          <w:i/>
          <w:sz w:val="20"/>
          <w:szCs w:val="20"/>
        </w:rPr>
      </w:pPr>
      <w:r w:rsidRPr="009F2F7E">
        <w:rPr>
          <w:rFonts w:ascii="Arial" w:hAnsi="Arial" w:cs="Arial"/>
          <w:sz w:val="20"/>
          <w:szCs w:val="20"/>
        </w:rPr>
        <w:lastRenderedPageBreak/>
        <w:t xml:space="preserve">Muito embora o Município tenha alegado que a situação foi sanada no mês de janeiro de 2015, a documentação trazida na defesa é insuficiente para demonstrar as movimentações de regularização. Consoante análise realizada pela unidade técnica, </w:t>
      </w:r>
      <w:r w:rsidRPr="009F2F7E">
        <w:rPr>
          <w:rFonts w:ascii="Arial" w:hAnsi="Arial" w:cs="Arial"/>
          <w:i/>
          <w:sz w:val="20"/>
          <w:szCs w:val="20"/>
        </w:rPr>
        <w:t xml:space="preserve">“não constou do processo a comprovação dos ajustes efetuados para reverter a situação, ou seja, demonstrativo descritivo dos lançamentos que conciliam o saldo da conta, com indicação da natureza, valor, credor, data da regularização, além do nome do agente público responsável; cópia dos documentos que dão suporte a cada lançamento de regularização (contábil e da instituição financeira) em conformidade com a conciliação enviada no SIM AM”. </w:t>
      </w:r>
    </w:p>
    <w:p w:rsidR="005C61E0" w:rsidRDefault="005C61E0" w:rsidP="005C61E0">
      <w:pPr>
        <w:autoSpaceDE w:val="0"/>
        <w:autoSpaceDN w:val="0"/>
        <w:adjustRightInd w:val="0"/>
        <w:spacing w:after="0"/>
        <w:jc w:val="both"/>
        <w:rPr>
          <w:rFonts w:ascii="Arial" w:hAnsi="Arial" w:cs="Arial"/>
          <w:sz w:val="20"/>
          <w:szCs w:val="20"/>
        </w:rPr>
      </w:pPr>
    </w:p>
    <w:p w:rsidR="009F2F7E" w:rsidRDefault="009F2F7E" w:rsidP="005C61E0">
      <w:pPr>
        <w:autoSpaceDE w:val="0"/>
        <w:autoSpaceDN w:val="0"/>
        <w:adjustRightInd w:val="0"/>
        <w:spacing w:after="0"/>
        <w:jc w:val="both"/>
        <w:rPr>
          <w:rFonts w:ascii="Arial" w:hAnsi="Arial" w:cs="Arial"/>
          <w:sz w:val="20"/>
          <w:szCs w:val="20"/>
        </w:rPr>
      </w:pPr>
      <w:r w:rsidRPr="009F2F7E">
        <w:rPr>
          <w:rFonts w:ascii="Arial" w:hAnsi="Arial" w:cs="Arial"/>
          <w:sz w:val="20"/>
          <w:szCs w:val="20"/>
        </w:rPr>
        <w:t>A conduta revela a fragilidade nos controles financeiro e contábil do Município, acarretando a irregularidade das contas por infringência aos artigos 89 e 105, § 1º, da Lei Federal nº 4.320/196410 e ao art. 1º, inciso V, do Decreto-Lei nº 201/196711.</w:t>
      </w:r>
    </w:p>
    <w:p w:rsidR="009F2F7E" w:rsidRDefault="009F2F7E" w:rsidP="005C61E0">
      <w:pPr>
        <w:autoSpaceDE w:val="0"/>
        <w:autoSpaceDN w:val="0"/>
        <w:adjustRightInd w:val="0"/>
        <w:spacing w:after="0"/>
        <w:jc w:val="both"/>
        <w:rPr>
          <w:rFonts w:ascii="Arial" w:hAnsi="Arial" w:cs="Arial"/>
          <w:sz w:val="20"/>
          <w:szCs w:val="20"/>
        </w:rPr>
      </w:pPr>
    </w:p>
    <w:p w:rsidR="00150A98" w:rsidRDefault="00150A98" w:rsidP="005C61E0">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238059/17 </w:t>
      </w:r>
      <w:r w:rsidR="006B5D75">
        <w:rPr>
          <w:rFonts w:ascii="Arial" w:hAnsi="Arial" w:cs="Arial"/>
          <w:sz w:val="20"/>
          <w:szCs w:val="20"/>
        </w:rPr>
        <w:t>-</w:t>
      </w:r>
      <w:r>
        <w:rPr>
          <w:rFonts w:ascii="Arial" w:hAnsi="Arial" w:cs="Arial"/>
          <w:sz w:val="20"/>
          <w:szCs w:val="20"/>
        </w:rPr>
        <w:t xml:space="preserve"> </w:t>
      </w:r>
      <w:hyperlink r:id="rId14" w:history="1">
        <w:r w:rsidRPr="001A29AC">
          <w:rPr>
            <w:rStyle w:val="Hyperlink"/>
            <w:rFonts w:ascii="Arial" w:hAnsi="Arial" w:cs="Arial"/>
            <w:sz w:val="20"/>
            <w:szCs w:val="20"/>
          </w:rPr>
          <w:t>Acórdão</w:t>
        </w:r>
        <w:r w:rsidR="0069147C">
          <w:rPr>
            <w:rStyle w:val="Hyperlink"/>
            <w:rFonts w:ascii="Arial" w:hAnsi="Arial" w:cs="Arial"/>
            <w:sz w:val="20"/>
            <w:szCs w:val="20"/>
          </w:rPr>
          <w:t xml:space="preserve"> de Parecer Prévio</w:t>
        </w:r>
        <w:r w:rsidRPr="001A29AC">
          <w:rPr>
            <w:rStyle w:val="Hyperlink"/>
            <w:rFonts w:ascii="Arial" w:hAnsi="Arial" w:cs="Arial"/>
            <w:sz w:val="20"/>
            <w:szCs w:val="20"/>
          </w:rPr>
          <w:t xml:space="preserve"> n° 476/17 - Segunda Câmara</w:t>
        </w:r>
      </w:hyperlink>
      <w:r>
        <w:rPr>
          <w:rFonts w:ascii="Arial" w:hAnsi="Arial" w:cs="Arial"/>
          <w:sz w:val="20"/>
          <w:szCs w:val="20"/>
        </w:rPr>
        <w:t xml:space="preserve"> -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A46447" w:rsidRDefault="00A46447" w:rsidP="005C61E0">
      <w:pPr>
        <w:autoSpaceDE w:val="0"/>
        <w:autoSpaceDN w:val="0"/>
        <w:adjustRightInd w:val="0"/>
        <w:spacing w:after="0"/>
        <w:jc w:val="both"/>
        <w:rPr>
          <w:rFonts w:ascii="Arial" w:hAnsi="Arial" w:cs="Arial"/>
          <w:sz w:val="20"/>
          <w:szCs w:val="20"/>
        </w:rPr>
      </w:pPr>
    </w:p>
    <w:p w:rsidR="00A46447" w:rsidRDefault="00A46447" w:rsidP="005C61E0">
      <w:pPr>
        <w:spacing w:after="0"/>
        <w:jc w:val="both"/>
        <w:rPr>
          <w:rFonts w:ascii="Arial" w:hAnsi="Arial" w:cs="Arial"/>
          <w:b/>
          <w:sz w:val="20"/>
          <w:szCs w:val="20"/>
        </w:rPr>
      </w:pPr>
      <w:r>
        <w:rPr>
          <w:rFonts w:ascii="Arial" w:hAnsi="Arial" w:cs="Arial"/>
          <w:b/>
          <w:sz w:val="20"/>
          <w:szCs w:val="20"/>
        </w:rPr>
        <w:t xml:space="preserve">8. Prestação de contas. Câmara Municipal. Ausência de encaminhamento de Relatório do Controle Interno. Irregularidade. Aplicação de multa. </w:t>
      </w:r>
    </w:p>
    <w:p w:rsidR="005C61E0" w:rsidRDefault="005C61E0" w:rsidP="005C61E0">
      <w:pPr>
        <w:spacing w:after="0"/>
        <w:jc w:val="both"/>
        <w:rPr>
          <w:rFonts w:ascii="Arial" w:hAnsi="Arial" w:cs="Arial"/>
          <w:sz w:val="20"/>
          <w:szCs w:val="20"/>
        </w:rPr>
      </w:pPr>
    </w:p>
    <w:p w:rsidR="00A46447" w:rsidRDefault="00A46447" w:rsidP="005C61E0">
      <w:pPr>
        <w:spacing w:after="0"/>
        <w:jc w:val="both"/>
        <w:rPr>
          <w:rFonts w:ascii="Arial" w:hAnsi="Arial" w:cs="Arial"/>
          <w:sz w:val="20"/>
          <w:szCs w:val="20"/>
        </w:rPr>
      </w:pPr>
      <w:r>
        <w:rPr>
          <w:rFonts w:ascii="Arial" w:hAnsi="Arial" w:cs="Arial"/>
          <w:sz w:val="20"/>
          <w:szCs w:val="20"/>
        </w:rPr>
        <w:t xml:space="preserve">Ao apontar-se, no curso do processo de prestação de contas, a ausência do Relatório do Controle Interno, o gestor encaminhou a este Tribunal, relatório emitido por servidor que não constava no cadastro da entidade, como Controlador Interno para o exercício financeiro em análise, mas sim, como responsável pela Tesouraria. Além do que, verificou-se no sistema SIM-AP-Folha de Pagamento que este mesmo servidor é detentor de cargo comissionado. </w:t>
      </w:r>
    </w:p>
    <w:p w:rsidR="005C61E0" w:rsidRDefault="005C61E0" w:rsidP="005C61E0">
      <w:pPr>
        <w:spacing w:after="0"/>
        <w:jc w:val="both"/>
        <w:rPr>
          <w:rFonts w:ascii="Arial" w:hAnsi="Arial" w:cs="Arial"/>
          <w:sz w:val="20"/>
          <w:szCs w:val="20"/>
        </w:rPr>
      </w:pPr>
    </w:p>
    <w:p w:rsidR="00A46447" w:rsidRDefault="00A46447" w:rsidP="005C61E0">
      <w:pPr>
        <w:spacing w:after="0"/>
        <w:jc w:val="both"/>
        <w:rPr>
          <w:rFonts w:ascii="Arial" w:hAnsi="Arial" w:cs="Arial"/>
          <w:sz w:val="20"/>
          <w:szCs w:val="20"/>
        </w:rPr>
      </w:pPr>
      <w:r>
        <w:rPr>
          <w:rFonts w:ascii="Arial" w:hAnsi="Arial" w:cs="Arial"/>
          <w:sz w:val="20"/>
          <w:szCs w:val="20"/>
        </w:rPr>
        <w:t>O cadastro atualizado de responsáveis da entidade é requisito para a análise das contas. Para o relator do processo, “</w:t>
      </w:r>
      <w:r w:rsidRPr="00341BCA">
        <w:rPr>
          <w:rFonts w:ascii="Arial" w:hAnsi="Arial" w:cs="Arial"/>
          <w:i/>
          <w:sz w:val="20"/>
          <w:szCs w:val="20"/>
        </w:rPr>
        <w:t xml:space="preserve">restou caracterizada a inobservância das normas pertinentes ao funcionamento do Sistema de Controle Interno, notadamente aos requisitos exigidos na Instrução Normativa nº 114/2016 e nos </w:t>
      </w:r>
      <w:proofErr w:type="spellStart"/>
      <w:r w:rsidRPr="00341BCA">
        <w:rPr>
          <w:rFonts w:ascii="Arial" w:hAnsi="Arial" w:cs="Arial"/>
          <w:i/>
          <w:sz w:val="20"/>
          <w:szCs w:val="20"/>
        </w:rPr>
        <w:t>arts</w:t>
      </w:r>
      <w:proofErr w:type="spellEnd"/>
      <w:r w:rsidRPr="00341BCA">
        <w:rPr>
          <w:rFonts w:ascii="Arial" w:hAnsi="Arial" w:cs="Arial"/>
          <w:i/>
          <w:sz w:val="20"/>
          <w:szCs w:val="20"/>
        </w:rPr>
        <w:t>. 31, 70 e 74 da Constituição Federal</w:t>
      </w:r>
      <w:r>
        <w:rPr>
          <w:rFonts w:ascii="Arial" w:hAnsi="Arial" w:cs="Arial"/>
          <w:sz w:val="20"/>
          <w:szCs w:val="20"/>
        </w:rPr>
        <w:t>”.</w:t>
      </w:r>
    </w:p>
    <w:p w:rsidR="005C61E0" w:rsidRDefault="005C61E0" w:rsidP="005C61E0">
      <w:pPr>
        <w:spacing w:after="0"/>
        <w:jc w:val="both"/>
        <w:rPr>
          <w:rFonts w:ascii="Arial" w:hAnsi="Arial" w:cs="Arial"/>
          <w:sz w:val="20"/>
          <w:szCs w:val="20"/>
        </w:rPr>
      </w:pPr>
    </w:p>
    <w:p w:rsidR="00A46447" w:rsidRDefault="00A46447" w:rsidP="005C61E0">
      <w:pPr>
        <w:spacing w:after="0"/>
        <w:jc w:val="both"/>
        <w:rPr>
          <w:rFonts w:ascii="Arial" w:hAnsi="Arial" w:cs="Arial"/>
          <w:sz w:val="20"/>
          <w:szCs w:val="20"/>
        </w:rPr>
      </w:pPr>
      <w:r>
        <w:rPr>
          <w:rFonts w:ascii="Arial" w:hAnsi="Arial" w:cs="Arial"/>
          <w:sz w:val="20"/>
          <w:szCs w:val="20"/>
        </w:rPr>
        <w:t xml:space="preserve">Com isso, as contas da Câmara Municipal foram julgadas irregulares com aplicação da multa prevista no art. 87, IV, “g” da LCE nº 113/05, ao gestor, em decorrência de encaminhamento do Relatório de Controle Interno.  </w:t>
      </w:r>
    </w:p>
    <w:p w:rsidR="005C61E0" w:rsidRDefault="005C61E0" w:rsidP="005C61E0">
      <w:pPr>
        <w:spacing w:after="0"/>
        <w:jc w:val="both"/>
        <w:rPr>
          <w:rFonts w:ascii="Arial" w:hAnsi="Arial" w:cs="Arial"/>
          <w:sz w:val="20"/>
          <w:szCs w:val="20"/>
        </w:rPr>
      </w:pPr>
    </w:p>
    <w:p w:rsidR="00A46447" w:rsidRDefault="00A46447" w:rsidP="005C61E0">
      <w:pPr>
        <w:spacing w:after="0"/>
        <w:jc w:val="both"/>
        <w:rPr>
          <w:rFonts w:ascii="Arial" w:hAnsi="Arial" w:cs="Arial"/>
          <w:sz w:val="20"/>
          <w:szCs w:val="20"/>
        </w:rPr>
      </w:pPr>
      <w:r>
        <w:rPr>
          <w:rFonts w:ascii="Arial" w:hAnsi="Arial" w:cs="Arial"/>
          <w:sz w:val="20"/>
          <w:szCs w:val="20"/>
        </w:rPr>
        <w:t xml:space="preserve">Processo nº 262115/16 </w:t>
      </w:r>
      <w:r w:rsidR="006B5D75">
        <w:rPr>
          <w:rFonts w:ascii="Arial" w:hAnsi="Arial" w:cs="Arial"/>
          <w:sz w:val="20"/>
          <w:szCs w:val="20"/>
        </w:rPr>
        <w:t>-</w:t>
      </w:r>
      <w:r>
        <w:rPr>
          <w:rFonts w:ascii="Arial" w:hAnsi="Arial" w:cs="Arial"/>
          <w:sz w:val="20"/>
          <w:szCs w:val="20"/>
        </w:rPr>
        <w:t xml:space="preserve"> </w:t>
      </w:r>
      <w:hyperlink r:id="rId15" w:history="1">
        <w:r w:rsidRPr="00533EFE">
          <w:rPr>
            <w:rStyle w:val="Hyperlink"/>
            <w:rFonts w:ascii="Arial" w:hAnsi="Arial" w:cs="Arial"/>
            <w:sz w:val="20"/>
            <w:szCs w:val="20"/>
          </w:rPr>
          <w:t>Acórdão nº 4178/17</w:t>
        </w:r>
        <w:r w:rsidR="006B5D75">
          <w:rPr>
            <w:rStyle w:val="Hyperlink"/>
            <w:rFonts w:ascii="Arial" w:hAnsi="Arial" w:cs="Arial"/>
            <w:sz w:val="20"/>
            <w:szCs w:val="20"/>
          </w:rPr>
          <w:t xml:space="preserve"> </w:t>
        </w:r>
        <w:r w:rsidRPr="00533EFE">
          <w:rPr>
            <w:rStyle w:val="Hyperlink"/>
            <w:rFonts w:ascii="Arial" w:hAnsi="Arial" w:cs="Arial"/>
            <w:sz w:val="20"/>
            <w:szCs w:val="20"/>
          </w:rPr>
          <w:t>-</w:t>
        </w:r>
        <w:r w:rsidR="006B5D75">
          <w:rPr>
            <w:rStyle w:val="Hyperlink"/>
            <w:rFonts w:ascii="Arial" w:hAnsi="Arial" w:cs="Arial"/>
            <w:sz w:val="20"/>
            <w:szCs w:val="20"/>
          </w:rPr>
          <w:t xml:space="preserve"> Segunda </w:t>
        </w:r>
        <w:r w:rsidRPr="00533EFE">
          <w:rPr>
            <w:rStyle w:val="Hyperlink"/>
            <w:rFonts w:ascii="Arial" w:hAnsi="Arial" w:cs="Arial"/>
            <w:sz w:val="20"/>
            <w:szCs w:val="20"/>
          </w:rPr>
          <w:t>Câmara</w:t>
        </w:r>
      </w:hyperlink>
      <w:r>
        <w:rPr>
          <w:rFonts w:ascii="Arial" w:hAnsi="Arial" w:cs="Arial"/>
          <w:sz w:val="20"/>
          <w:szCs w:val="20"/>
        </w:rPr>
        <w:t xml:space="preserve"> </w:t>
      </w:r>
      <w:r w:rsidR="006B5D75">
        <w:rPr>
          <w:rFonts w:ascii="Arial" w:hAnsi="Arial" w:cs="Arial"/>
          <w:sz w:val="20"/>
          <w:szCs w:val="20"/>
        </w:rPr>
        <w:t>-</w:t>
      </w:r>
      <w:r>
        <w:rPr>
          <w:rFonts w:ascii="Arial" w:hAnsi="Arial" w:cs="Arial"/>
          <w:sz w:val="20"/>
          <w:szCs w:val="20"/>
        </w:rPr>
        <w:t xml:space="preserve"> Rel.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6B5D75" w:rsidRDefault="006B5D75" w:rsidP="005C61E0">
      <w:pPr>
        <w:spacing w:after="0"/>
        <w:jc w:val="both"/>
        <w:rPr>
          <w:rFonts w:ascii="Arial" w:hAnsi="Arial" w:cs="Arial"/>
          <w:sz w:val="20"/>
          <w:szCs w:val="20"/>
        </w:rPr>
      </w:pPr>
    </w:p>
    <w:p w:rsidR="00AE4F42" w:rsidRPr="0022060B" w:rsidRDefault="00AE4F42" w:rsidP="005C61E0">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5C61E0">
      <w:pPr>
        <w:autoSpaceDE w:val="0"/>
        <w:autoSpaceDN w:val="0"/>
        <w:adjustRightInd w:val="0"/>
        <w:spacing w:after="0"/>
        <w:jc w:val="both"/>
        <w:rPr>
          <w:rFonts w:ascii="Arial" w:hAnsi="Arial" w:cs="Arial"/>
          <w:b/>
          <w:color w:val="000000"/>
          <w:sz w:val="20"/>
          <w:szCs w:val="20"/>
          <w:shd w:val="clear" w:color="auto" w:fill="FFFFFF"/>
        </w:rPr>
      </w:pPr>
    </w:p>
    <w:p w:rsidR="00B3307B"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B3307B" w:rsidRPr="00B3307B">
        <w:rPr>
          <w:rFonts w:ascii="Arial" w:hAnsi="Arial" w:cs="Arial"/>
          <w:b/>
          <w:sz w:val="20"/>
          <w:szCs w:val="20"/>
        </w:rPr>
        <w:t>Recurso de Revista. Responsabilização do pregoeiro. Pareceres da Procuradoria do Município. Culpa concorrente. Pela procedência parcial do Recurso. Diminuição do número de multas administrativas aplicadas.</w:t>
      </w:r>
    </w:p>
    <w:p w:rsidR="006B5D75" w:rsidRDefault="00076469" w:rsidP="005C61E0">
      <w:pPr>
        <w:autoSpaceDE w:val="0"/>
        <w:autoSpaceDN w:val="0"/>
        <w:adjustRightInd w:val="0"/>
        <w:spacing w:after="0"/>
        <w:jc w:val="both"/>
        <w:rPr>
          <w:rFonts w:ascii="Arial" w:hAnsi="Arial" w:cs="Arial"/>
          <w:sz w:val="20"/>
          <w:szCs w:val="20"/>
        </w:rPr>
      </w:pPr>
      <w:r w:rsidRPr="00076469">
        <w:rPr>
          <w:rFonts w:ascii="Arial" w:hAnsi="Arial" w:cs="Arial"/>
          <w:sz w:val="20"/>
          <w:szCs w:val="20"/>
        </w:rPr>
        <w:lastRenderedPageBreak/>
        <w:t xml:space="preserve">Considerando que a responsabilização do pregoeiro ocorre quando da identificação de nexo de causalidade entre seus atos e as irregularidades identificadas, no presente caso identifica-se no máximo a existência de culpa concorrente, já que com relação a grande parte dos atos tidos como irregulares, tão somente a servidora ratificou as informações que lhe foram repassadas por meio dos pareceres jurídicos (ressalte-se o fato de que não houve comprovação de má-fé relativamente à sua conduta). </w:t>
      </w:r>
    </w:p>
    <w:p w:rsidR="006B5D75" w:rsidRDefault="006B5D75" w:rsidP="005C61E0">
      <w:pPr>
        <w:autoSpaceDE w:val="0"/>
        <w:autoSpaceDN w:val="0"/>
        <w:adjustRightInd w:val="0"/>
        <w:spacing w:after="0"/>
        <w:jc w:val="both"/>
        <w:rPr>
          <w:rFonts w:ascii="Arial" w:hAnsi="Arial" w:cs="Arial"/>
          <w:sz w:val="20"/>
          <w:szCs w:val="20"/>
        </w:rPr>
      </w:pPr>
    </w:p>
    <w:p w:rsidR="00076469" w:rsidRPr="00076469" w:rsidRDefault="00076469" w:rsidP="005C61E0">
      <w:pPr>
        <w:autoSpaceDE w:val="0"/>
        <w:autoSpaceDN w:val="0"/>
        <w:adjustRightInd w:val="0"/>
        <w:spacing w:after="0"/>
        <w:jc w:val="both"/>
        <w:rPr>
          <w:rFonts w:ascii="Arial" w:hAnsi="Arial" w:cs="Arial"/>
          <w:b/>
          <w:color w:val="000000"/>
          <w:sz w:val="20"/>
          <w:szCs w:val="20"/>
          <w:shd w:val="clear" w:color="auto" w:fill="FFFFFF"/>
        </w:rPr>
      </w:pPr>
      <w:r w:rsidRPr="00076469">
        <w:rPr>
          <w:rFonts w:ascii="Arial" w:hAnsi="Arial" w:cs="Arial"/>
          <w:sz w:val="20"/>
          <w:szCs w:val="20"/>
        </w:rPr>
        <w:t>Isso posto, como medida garantidora da aplicação do direito de forma justa e eficaz, entendo pela possibilidade da diminuição das penalidades aplicadas à recorrente, devendo a esta ser imputada por apenas uma vez a multa prevista no art. 87, III, “d” da LCE nº 113/05, já que a única conduta identificada como inerente às atividades do pregoeiro diz respeito à “adoção de critério subjetivo para avaliar sobre a permanência do licitante no certame”.</w:t>
      </w:r>
    </w:p>
    <w:p w:rsidR="00B3307B" w:rsidRDefault="00B3307B" w:rsidP="005C61E0">
      <w:pPr>
        <w:autoSpaceDE w:val="0"/>
        <w:autoSpaceDN w:val="0"/>
        <w:adjustRightInd w:val="0"/>
        <w:spacing w:after="0"/>
        <w:jc w:val="both"/>
        <w:rPr>
          <w:rFonts w:ascii="Arial" w:hAnsi="Arial" w:cs="Arial"/>
          <w:b/>
          <w:color w:val="000000"/>
          <w:sz w:val="20"/>
          <w:szCs w:val="20"/>
          <w:shd w:val="clear" w:color="auto" w:fill="FFFFFF"/>
        </w:rPr>
      </w:pPr>
    </w:p>
    <w:p w:rsidR="00076469" w:rsidRPr="00076469" w:rsidRDefault="00076469" w:rsidP="005C61E0">
      <w:pPr>
        <w:autoSpaceDE w:val="0"/>
        <w:autoSpaceDN w:val="0"/>
        <w:adjustRightInd w:val="0"/>
        <w:spacing w:after="0"/>
        <w:jc w:val="both"/>
        <w:rPr>
          <w:rFonts w:ascii="Arial" w:hAnsi="Arial" w:cs="Arial"/>
          <w:color w:val="000000"/>
          <w:sz w:val="20"/>
          <w:szCs w:val="20"/>
          <w:shd w:val="clear" w:color="auto" w:fill="FFFFFF"/>
        </w:rPr>
      </w:pPr>
      <w:r w:rsidRPr="00076469">
        <w:rPr>
          <w:rFonts w:ascii="Arial" w:hAnsi="Arial" w:cs="Arial"/>
          <w:color w:val="000000"/>
          <w:sz w:val="20"/>
          <w:szCs w:val="20"/>
          <w:shd w:val="clear" w:color="auto" w:fill="FFFFFF"/>
        </w:rPr>
        <w:t>Processo n°</w:t>
      </w:r>
      <w:r>
        <w:rPr>
          <w:rFonts w:ascii="Arial" w:hAnsi="Arial" w:cs="Arial"/>
          <w:color w:val="000000"/>
          <w:sz w:val="20"/>
          <w:szCs w:val="20"/>
          <w:shd w:val="clear" w:color="auto" w:fill="FFFFFF"/>
        </w:rPr>
        <w:t xml:space="preserve"> 109841/17 - </w:t>
      </w:r>
      <w:hyperlink r:id="rId16" w:history="1">
        <w:r w:rsidRPr="00076469">
          <w:rPr>
            <w:rStyle w:val="Hyperlink"/>
            <w:rFonts w:ascii="Arial" w:hAnsi="Arial" w:cs="Arial"/>
            <w:sz w:val="20"/>
            <w:szCs w:val="20"/>
            <w:shd w:val="clear" w:color="auto" w:fill="FFFFFF"/>
          </w:rPr>
          <w:t>Acórdão n° 4031/17 - Tribunal Pleno</w:t>
        </w:r>
      </w:hyperlink>
      <w:r>
        <w:rPr>
          <w:rFonts w:ascii="Arial" w:hAnsi="Arial" w:cs="Arial"/>
          <w:color w:val="000000"/>
          <w:sz w:val="20"/>
          <w:szCs w:val="20"/>
          <w:shd w:val="clear" w:color="auto" w:fill="FFFFFF"/>
        </w:rPr>
        <w:t xml:space="preserve"> -  Relator Cons. </w:t>
      </w:r>
      <w:proofErr w:type="spellStart"/>
      <w:r>
        <w:rPr>
          <w:rFonts w:ascii="Arial" w:hAnsi="Arial" w:cs="Arial"/>
          <w:color w:val="000000"/>
          <w:sz w:val="20"/>
          <w:szCs w:val="20"/>
          <w:shd w:val="clear" w:color="auto" w:fill="FFFFFF"/>
        </w:rPr>
        <w:t>Artagão</w:t>
      </w:r>
      <w:proofErr w:type="spellEnd"/>
      <w:r>
        <w:rPr>
          <w:rFonts w:ascii="Arial" w:hAnsi="Arial" w:cs="Arial"/>
          <w:color w:val="000000"/>
          <w:sz w:val="20"/>
          <w:szCs w:val="20"/>
          <w:shd w:val="clear" w:color="auto" w:fill="FFFFFF"/>
        </w:rPr>
        <w:t xml:space="preserve"> de Mattos Leão. </w:t>
      </w:r>
    </w:p>
    <w:p w:rsidR="00076469" w:rsidRDefault="00076469" w:rsidP="005C61E0">
      <w:pPr>
        <w:autoSpaceDE w:val="0"/>
        <w:autoSpaceDN w:val="0"/>
        <w:adjustRightInd w:val="0"/>
        <w:spacing w:after="0"/>
        <w:jc w:val="both"/>
        <w:rPr>
          <w:rFonts w:ascii="Arial" w:hAnsi="Arial" w:cs="Arial"/>
          <w:b/>
          <w:color w:val="000000"/>
          <w:sz w:val="20"/>
          <w:szCs w:val="20"/>
          <w:shd w:val="clear" w:color="auto" w:fill="FFFFFF"/>
        </w:rPr>
      </w:pPr>
    </w:p>
    <w:p w:rsidR="00FE7FAD"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FE7FAD" w:rsidRPr="00FE7FAD">
        <w:rPr>
          <w:rFonts w:ascii="Arial" w:hAnsi="Arial" w:cs="Arial"/>
          <w:b/>
          <w:sz w:val="20"/>
          <w:szCs w:val="20"/>
        </w:rPr>
        <w:t>Pedido de Rescisão. Nulidade da intimação dos procuradores do interessado acerca da inclusão dos Embargos de Declaração em pauta para julgamento e do respectivo resultado. Pelo acolhimento.</w:t>
      </w:r>
    </w:p>
    <w:p w:rsidR="003F1A0A" w:rsidRDefault="003F1A0A" w:rsidP="005C61E0">
      <w:pPr>
        <w:autoSpaceDE w:val="0"/>
        <w:autoSpaceDN w:val="0"/>
        <w:adjustRightInd w:val="0"/>
        <w:spacing w:after="0"/>
        <w:jc w:val="both"/>
        <w:rPr>
          <w:rFonts w:ascii="Arial" w:hAnsi="Arial" w:cs="Arial"/>
          <w:b/>
          <w:sz w:val="20"/>
          <w:szCs w:val="20"/>
        </w:rPr>
      </w:pPr>
    </w:p>
    <w:p w:rsidR="003F1A0A" w:rsidRPr="003F1A0A" w:rsidRDefault="003F1A0A" w:rsidP="005C61E0">
      <w:pPr>
        <w:autoSpaceDE w:val="0"/>
        <w:autoSpaceDN w:val="0"/>
        <w:adjustRightInd w:val="0"/>
        <w:spacing w:after="0"/>
        <w:jc w:val="both"/>
        <w:rPr>
          <w:rFonts w:ascii="Arial" w:hAnsi="Arial" w:cs="Arial"/>
          <w:sz w:val="20"/>
          <w:szCs w:val="20"/>
        </w:rPr>
      </w:pPr>
      <w:r w:rsidRPr="003F1A0A">
        <w:rPr>
          <w:rFonts w:ascii="Arial" w:hAnsi="Arial" w:cs="Arial"/>
          <w:sz w:val="20"/>
          <w:szCs w:val="20"/>
        </w:rPr>
        <w:t xml:space="preserve">Depreende-se, da consulta aos autos de Embargos de Declaração nº 808738/16, que, em que pese o Relator, por meio do Despacho nº 2141/16, com que recebeu os Embargos de Declaração, tivesse determinado a inclusão na autuação dos procuradores indicados na procuração de peça nº 66 daqueles autos, seus nomes não constaram da pauta de julgamento, nem do Acórdão nº 6161/16 </w:t>
      </w:r>
      <w:r>
        <w:rPr>
          <w:rFonts w:ascii="Arial" w:hAnsi="Arial" w:cs="Arial"/>
          <w:sz w:val="20"/>
          <w:szCs w:val="20"/>
        </w:rPr>
        <w:t>-</w:t>
      </w:r>
      <w:r w:rsidRPr="003F1A0A">
        <w:rPr>
          <w:rFonts w:ascii="Arial" w:hAnsi="Arial" w:cs="Arial"/>
          <w:sz w:val="20"/>
          <w:szCs w:val="20"/>
        </w:rPr>
        <w:t xml:space="preserve"> Tribunal Pleno, ora rescindendo, como se pode constatar através da consulta aos Diários Eletrônicos nº 1.473, 1.490 e 1.506, disponibilizados, respectivamente, em 31/10/2016, 28/11/2016 e 20/12/2016.</w:t>
      </w:r>
    </w:p>
    <w:p w:rsidR="005C61E0" w:rsidRDefault="005C61E0" w:rsidP="005C61E0">
      <w:pPr>
        <w:autoSpaceDE w:val="0"/>
        <w:autoSpaceDN w:val="0"/>
        <w:adjustRightInd w:val="0"/>
        <w:spacing w:after="0"/>
        <w:jc w:val="both"/>
        <w:rPr>
          <w:rFonts w:ascii="Arial" w:hAnsi="Arial" w:cs="Arial"/>
          <w:sz w:val="20"/>
          <w:szCs w:val="20"/>
        </w:rPr>
      </w:pPr>
    </w:p>
    <w:p w:rsidR="003F1A0A" w:rsidRDefault="003F1A0A" w:rsidP="005C61E0">
      <w:pPr>
        <w:autoSpaceDE w:val="0"/>
        <w:autoSpaceDN w:val="0"/>
        <w:adjustRightInd w:val="0"/>
        <w:spacing w:after="0"/>
        <w:jc w:val="both"/>
        <w:rPr>
          <w:rFonts w:ascii="Arial" w:hAnsi="Arial" w:cs="Arial"/>
          <w:sz w:val="20"/>
          <w:szCs w:val="20"/>
        </w:rPr>
      </w:pPr>
      <w:r w:rsidRPr="003F1A0A">
        <w:rPr>
          <w:rFonts w:ascii="Arial" w:hAnsi="Arial" w:cs="Arial"/>
          <w:sz w:val="20"/>
          <w:szCs w:val="20"/>
        </w:rPr>
        <w:t xml:space="preserve">Por essa razão, tem-se que a falta da intimação válida dos procuradores do interessado, ao inviabilizar eventual entrega de memoriais e, posteriormente, a oportunidade de interposição de recurso em face da decisão rescindenda, impediu o adequado exercício do contraditório e da ampla defesa, em ofensa ao devido processo legal. Assim, com fulcro no art. 494, V, do Regimento Interno desta Corte de Contas, a declaração </w:t>
      </w:r>
      <w:proofErr w:type="spellStart"/>
      <w:r w:rsidRPr="003F1A0A">
        <w:rPr>
          <w:rFonts w:ascii="Arial" w:hAnsi="Arial" w:cs="Arial"/>
          <w:sz w:val="20"/>
          <w:szCs w:val="20"/>
        </w:rPr>
        <w:t>da</w:t>
      </w:r>
      <w:proofErr w:type="spellEnd"/>
      <w:r w:rsidRPr="003F1A0A">
        <w:rPr>
          <w:rFonts w:ascii="Arial" w:hAnsi="Arial" w:cs="Arial"/>
          <w:sz w:val="20"/>
          <w:szCs w:val="20"/>
        </w:rPr>
        <w:t xml:space="preserve"> nulidade dos atos subsequentes ao Despacho nº 2141/16 </w:t>
      </w:r>
      <w:r>
        <w:rPr>
          <w:rFonts w:ascii="Arial" w:hAnsi="Arial" w:cs="Arial"/>
          <w:sz w:val="20"/>
          <w:szCs w:val="20"/>
        </w:rPr>
        <w:t>-</w:t>
      </w:r>
      <w:r w:rsidRPr="003F1A0A">
        <w:rPr>
          <w:rFonts w:ascii="Arial" w:hAnsi="Arial" w:cs="Arial"/>
          <w:sz w:val="20"/>
          <w:szCs w:val="20"/>
        </w:rPr>
        <w:t xml:space="preserve"> GCAML, dentre os quais se inclui o Acórdão nº 6161/16, do Tribunal Pleno, é medida que se impõe.</w:t>
      </w:r>
    </w:p>
    <w:p w:rsidR="005C61E0" w:rsidRDefault="005C61E0" w:rsidP="005C61E0">
      <w:pPr>
        <w:autoSpaceDE w:val="0"/>
        <w:autoSpaceDN w:val="0"/>
        <w:adjustRightInd w:val="0"/>
        <w:spacing w:after="0"/>
        <w:jc w:val="both"/>
        <w:rPr>
          <w:rFonts w:ascii="Arial" w:hAnsi="Arial" w:cs="Arial"/>
          <w:sz w:val="20"/>
          <w:szCs w:val="20"/>
        </w:rPr>
      </w:pPr>
    </w:p>
    <w:p w:rsidR="003F1A0A" w:rsidRPr="003F1A0A" w:rsidRDefault="003F1A0A" w:rsidP="005C61E0">
      <w:pPr>
        <w:autoSpaceDE w:val="0"/>
        <w:autoSpaceDN w:val="0"/>
        <w:adjustRightInd w:val="0"/>
        <w:spacing w:after="0"/>
        <w:jc w:val="both"/>
        <w:rPr>
          <w:rFonts w:ascii="Arial" w:hAnsi="Arial" w:cs="Arial"/>
          <w:b/>
          <w:sz w:val="20"/>
          <w:szCs w:val="20"/>
        </w:rPr>
      </w:pPr>
      <w:r w:rsidRPr="003F1A0A">
        <w:rPr>
          <w:rFonts w:ascii="Arial" w:hAnsi="Arial" w:cs="Arial"/>
          <w:sz w:val="20"/>
          <w:szCs w:val="20"/>
        </w:rPr>
        <w:t xml:space="preserve">Assim, com fulcro no art. 494, V, do Regimento Interno desta Corte de Contas, a declaração </w:t>
      </w:r>
      <w:proofErr w:type="spellStart"/>
      <w:r w:rsidRPr="003F1A0A">
        <w:rPr>
          <w:rFonts w:ascii="Arial" w:hAnsi="Arial" w:cs="Arial"/>
          <w:sz w:val="20"/>
          <w:szCs w:val="20"/>
        </w:rPr>
        <w:t>da</w:t>
      </w:r>
      <w:proofErr w:type="spellEnd"/>
      <w:r w:rsidRPr="003F1A0A">
        <w:rPr>
          <w:rFonts w:ascii="Arial" w:hAnsi="Arial" w:cs="Arial"/>
          <w:sz w:val="20"/>
          <w:szCs w:val="20"/>
        </w:rPr>
        <w:t xml:space="preserve"> nulidade dos atos subsequentes ao Despacho nº 2141/16 </w:t>
      </w:r>
      <w:r>
        <w:rPr>
          <w:rFonts w:ascii="Arial" w:hAnsi="Arial" w:cs="Arial"/>
          <w:sz w:val="20"/>
          <w:szCs w:val="20"/>
        </w:rPr>
        <w:t>-</w:t>
      </w:r>
      <w:r w:rsidRPr="003F1A0A">
        <w:rPr>
          <w:rFonts w:ascii="Arial" w:hAnsi="Arial" w:cs="Arial"/>
          <w:sz w:val="20"/>
          <w:szCs w:val="20"/>
        </w:rPr>
        <w:t xml:space="preserve"> GCAML, dentre os quais se inclui o Acórdão nº 6161/16, do Tribunal Pleno, é medida que se impõe.</w:t>
      </w:r>
    </w:p>
    <w:p w:rsidR="00FE7FAD" w:rsidRDefault="00FE7FAD" w:rsidP="005C61E0">
      <w:pPr>
        <w:autoSpaceDE w:val="0"/>
        <w:autoSpaceDN w:val="0"/>
        <w:adjustRightInd w:val="0"/>
        <w:spacing w:after="0"/>
        <w:jc w:val="both"/>
        <w:rPr>
          <w:rFonts w:ascii="Arial" w:hAnsi="Arial" w:cs="Arial"/>
          <w:b/>
          <w:color w:val="000000"/>
          <w:sz w:val="20"/>
          <w:szCs w:val="20"/>
          <w:shd w:val="clear" w:color="auto" w:fill="FFFFFF"/>
        </w:rPr>
      </w:pPr>
    </w:p>
    <w:p w:rsidR="003F1A0A" w:rsidRDefault="003F1A0A" w:rsidP="005C61E0">
      <w:pPr>
        <w:autoSpaceDE w:val="0"/>
        <w:autoSpaceDN w:val="0"/>
        <w:adjustRightInd w:val="0"/>
        <w:spacing w:after="0"/>
        <w:jc w:val="both"/>
        <w:rPr>
          <w:rFonts w:ascii="Arial" w:hAnsi="Arial" w:cs="Arial"/>
          <w:sz w:val="20"/>
          <w:szCs w:val="20"/>
        </w:rPr>
      </w:pPr>
      <w:r w:rsidRPr="003F1A0A">
        <w:rPr>
          <w:rFonts w:ascii="Arial" w:hAnsi="Arial" w:cs="Arial"/>
          <w:color w:val="000000"/>
          <w:sz w:val="20"/>
          <w:szCs w:val="20"/>
          <w:shd w:val="clear" w:color="auto" w:fill="FFFFFF"/>
        </w:rPr>
        <w:t>Processo n</w:t>
      </w:r>
      <w:r w:rsidRPr="003F1A0A">
        <w:rPr>
          <w:rFonts w:ascii="Arial" w:hAnsi="Arial" w:cs="Arial"/>
          <w:sz w:val="20"/>
          <w:szCs w:val="20"/>
        </w:rPr>
        <w:t xml:space="preserve">° 530873/17 </w:t>
      </w:r>
      <w:r>
        <w:rPr>
          <w:rFonts w:ascii="Arial" w:hAnsi="Arial" w:cs="Arial"/>
          <w:sz w:val="20"/>
          <w:szCs w:val="20"/>
        </w:rPr>
        <w:t xml:space="preserve">- </w:t>
      </w:r>
      <w:hyperlink r:id="rId17" w:history="1">
        <w:r w:rsidRPr="003418A6">
          <w:rPr>
            <w:rStyle w:val="Hyperlink"/>
            <w:rFonts w:ascii="Arial" w:hAnsi="Arial" w:cs="Arial"/>
            <w:sz w:val="20"/>
            <w:szCs w:val="20"/>
          </w:rPr>
          <w:t>Acórdão n° 4042/17 - Tribunal Pleno</w:t>
        </w:r>
      </w:hyperlink>
      <w:r>
        <w:rPr>
          <w:rFonts w:ascii="Arial" w:hAnsi="Arial" w:cs="Arial"/>
          <w:sz w:val="20"/>
          <w:szCs w:val="20"/>
        </w:rPr>
        <w:t xml:space="preserve"> - Rel. Cons. Ivens Zschoerper Linhares.</w:t>
      </w:r>
    </w:p>
    <w:p w:rsidR="00094612" w:rsidRDefault="00094612" w:rsidP="005C61E0">
      <w:pPr>
        <w:autoSpaceDE w:val="0"/>
        <w:autoSpaceDN w:val="0"/>
        <w:adjustRightInd w:val="0"/>
        <w:spacing w:after="0"/>
        <w:jc w:val="both"/>
        <w:rPr>
          <w:rFonts w:ascii="Arial" w:hAnsi="Arial" w:cs="Arial"/>
          <w:sz w:val="20"/>
          <w:szCs w:val="20"/>
        </w:rPr>
      </w:pPr>
    </w:p>
    <w:p w:rsidR="00094612" w:rsidRDefault="00A46447" w:rsidP="005C61E0">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11. </w:t>
      </w:r>
      <w:r w:rsidR="00094612" w:rsidRPr="00094612">
        <w:rPr>
          <w:rFonts w:ascii="Arial" w:hAnsi="Arial" w:cs="Arial"/>
          <w:b/>
          <w:sz w:val="20"/>
          <w:szCs w:val="20"/>
        </w:rPr>
        <w:t>Representação da Lei nº 8.666/93. Contratação com empresas que um dos sócios era servidor da entidade licitante e outro tinha vínculo conjugal com servidor que atuou diretamente na licitação. Violação ao art. 9º da Lei nº 8.666/93, aos princípios da impessoalidade, isonomia e moralidade, e ao Acórdão nº 2715/10-STP e Prejulgado nº 09. Pela procedência com aplicação de multas.</w:t>
      </w:r>
    </w:p>
    <w:p w:rsidR="00094612" w:rsidRDefault="00094612" w:rsidP="005C61E0">
      <w:pPr>
        <w:autoSpaceDE w:val="0"/>
        <w:autoSpaceDN w:val="0"/>
        <w:adjustRightInd w:val="0"/>
        <w:spacing w:after="0"/>
        <w:jc w:val="both"/>
        <w:rPr>
          <w:rFonts w:ascii="Arial" w:hAnsi="Arial" w:cs="Arial"/>
          <w:b/>
          <w:sz w:val="20"/>
          <w:szCs w:val="20"/>
        </w:rPr>
      </w:pPr>
    </w:p>
    <w:p w:rsidR="008679D6" w:rsidRDefault="008679D6" w:rsidP="005C61E0">
      <w:pPr>
        <w:autoSpaceDE w:val="0"/>
        <w:autoSpaceDN w:val="0"/>
        <w:adjustRightInd w:val="0"/>
        <w:spacing w:after="0"/>
        <w:jc w:val="both"/>
        <w:rPr>
          <w:rFonts w:ascii="Arial" w:hAnsi="Arial" w:cs="Arial"/>
          <w:sz w:val="20"/>
          <w:szCs w:val="20"/>
        </w:rPr>
      </w:pPr>
      <w:r w:rsidRPr="008679D6">
        <w:rPr>
          <w:rFonts w:ascii="Arial" w:hAnsi="Arial" w:cs="Arial"/>
          <w:sz w:val="20"/>
          <w:szCs w:val="20"/>
        </w:rPr>
        <w:t xml:space="preserve">Inequívoco, portanto, a ocorrência de irregularidade, uma vez que a empresa contratante possuía em seu quadro societário uma servidora da entidade contratante, em clara ofensa ao art. 9º, III, da Lei nº 8.666/93, cuja caracterização é objetiva e dispensa a averiguação do poder diretivo da servidora na empresa ou de interferência na licitação. </w:t>
      </w:r>
    </w:p>
    <w:p w:rsidR="005C61E0" w:rsidRDefault="005C61E0" w:rsidP="005C61E0">
      <w:pPr>
        <w:autoSpaceDE w:val="0"/>
        <w:autoSpaceDN w:val="0"/>
        <w:adjustRightInd w:val="0"/>
        <w:spacing w:after="0"/>
        <w:jc w:val="both"/>
        <w:rPr>
          <w:rFonts w:ascii="Arial" w:hAnsi="Arial" w:cs="Arial"/>
          <w:sz w:val="20"/>
          <w:szCs w:val="20"/>
        </w:rPr>
      </w:pPr>
    </w:p>
    <w:p w:rsidR="008E30C8" w:rsidRPr="008679D6" w:rsidRDefault="008679D6" w:rsidP="005C61E0">
      <w:pPr>
        <w:autoSpaceDE w:val="0"/>
        <w:autoSpaceDN w:val="0"/>
        <w:adjustRightInd w:val="0"/>
        <w:spacing w:after="0"/>
        <w:jc w:val="both"/>
        <w:rPr>
          <w:rFonts w:ascii="Arial" w:hAnsi="Arial" w:cs="Arial"/>
          <w:b/>
          <w:sz w:val="20"/>
          <w:szCs w:val="20"/>
        </w:rPr>
      </w:pPr>
      <w:r w:rsidRPr="008679D6">
        <w:rPr>
          <w:rFonts w:ascii="Arial" w:hAnsi="Arial" w:cs="Arial"/>
          <w:sz w:val="20"/>
          <w:szCs w:val="20"/>
        </w:rPr>
        <w:t xml:space="preserve">Nesse sentido, cite-se a esclarecedora Decisão nº 133/1997 do Plenário TCU, no qual se rejeitou o argumento de que não haveria impedimento de servidor que não dispusesse de condições para interferir sobre o destino da licitação, consolidando o entendimento de que </w:t>
      </w:r>
      <w:r w:rsidRPr="008679D6">
        <w:rPr>
          <w:rFonts w:ascii="Arial" w:hAnsi="Arial" w:cs="Arial"/>
          <w:i/>
          <w:sz w:val="20"/>
          <w:szCs w:val="20"/>
        </w:rPr>
        <w:t>“não passa pela avaliação de saber se servidores (...) detinham ou não informações privilegiadas (...) basta que o interessado seja servidor ou dirigente do órgão ou entidade contratante para que esteja impedido de participar, direta ou indiretamente, de licitação por ela realizada”.</w:t>
      </w:r>
    </w:p>
    <w:p w:rsidR="005C61E0" w:rsidRDefault="005C61E0" w:rsidP="005C61E0">
      <w:pPr>
        <w:autoSpaceDE w:val="0"/>
        <w:autoSpaceDN w:val="0"/>
        <w:adjustRightInd w:val="0"/>
        <w:spacing w:after="0"/>
        <w:jc w:val="both"/>
        <w:rPr>
          <w:rFonts w:ascii="Arial" w:hAnsi="Arial" w:cs="Arial"/>
          <w:sz w:val="20"/>
          <w:szCs w:val="20"/>
        </w:rPr>
      </w:pPr>
    </w:p>
    <w:p w:rsidR="007C7FF9" w:rsidRDefault="007C7FF9" w:rsidP="005C61E0">
      <w:pPr>
        <w:autoSpaceDE w:val="0"/>
        <w:autoSpaceDN w:val="0"/>
        <w:adjustRightInd w:val="0"/>
        <w:spacing w:after="0"/>
        <w:jc w:val="both"/>
        <w:rPr>
          <w:rFonts w:ascii="Arial" w:hAnsi="Arial" w:cs="Arial"/>
          <w:sz w:val="20"/>
          <w:szCs w:val="20"/>
        </w:rPr>
      </w:pPr>
      <w:r w:rsidRPr="007C7FF9">
        <w:rPr>
          <w:rFonts w:ascii="Arial" w:hAnsi="Arial" w:cs="Arial"/>
          <w:sz w:val="20"/>
          <w:szCs w:val="20"/>
        </w:rPr>
        <w:t>Esta questão já foi resolvida pelo Acórdão n° 2745/10 do Tribunal Pleno (consulta com força normativa), no qual este Tribunal de Contas do Estado do Paraná consolidou o entendimento pela impossibilidade de participação na licitação e de contratação de empresa na qual consta como sócio parente em linha reta ou colateral de servidor em cargo efetivo ou em comissão na entidade licitante.</w:t>
      </w:r>
    </w:p>
    <w:p w:rsidR="005C61E0" w:rsidRDefault="005C61E0" w:rsidP="005C61E0">
      <w:pPr>
        <w:autoSpaceDE w:val="0"/>
        <w:autoSpaceDN w:val="0"/>
        <w:adjustRightInd w:val="0"/>
        <w:spacing w:after="0"/>
        <w:jc w:val="both"/>
        <w:rPr>
          <w:rFonts w:ascii="Arial" w:hAnsi="Arial" w:cs="Arial"/>
          <w:sz w:val="20"/>
          <w:szCs w:val="20"/>
        </w:rPr>
      </w:pPr>
    </w:p>
    <w:p w:rsidR="007C7FF9" w:rsidRPr="007C7FF9" w:rsidRDefault="007C7FF9" w:rsidP="005C61E0">
      <w:pPr>
        <w:autoSpaceDE w:val="0"/>
        <w:autoSpaceDN w:val="0"/>
        <w:adjustRightInd w:val="0"/>
        <w:spacing w:after="0"/>
        <w:jc w:val="both"/>
        <w:rPr>
          <w:rFonts w:ascii="Arial" w:hAnsi="Arial" w:cs="Arial"/>
          <w:b/>
          <w:color w:val="000000"/>
          <w:sz w:val="20"/>
          <w:szCs w:val="20"/>
          <w:shd w:val="clear" w:color="auto" w:fill="FFFFFF"/>
        </w:rPr>
      </w:pPr>
      <w:r w:rsidRPr="007C7FF9">
        <w:rPr>
          <w:rFonts w:ascii="Arial" w:hAnsi="Arial" w:cs="Arial"/>
          <w:sz w:val="20"/>
          <w:szCs w:val="20"/>
        </w:rPr>
        <w:t>A vedação referida está amparada nos princípios da moralidade, da impessoalidade e da isonomia, aplicáveis à Administração Pública e insculpidos nos art. 37, caput, e 5° da Constituição Federal. Além disso, baseia-se na interpretação da Súmula Vinculante n° 13 do Supremo Tribunal Federal, que também foi objeto de análise por este Tribunal de Contas, cujas regras restaram consolidadas no Prejulgado n° 09.</w:t>
      </w:r>
    </w:p>
    <w:p w:rsidR="00581FB7" w:rsidRDefault="00581FB7" w:rsidP="005C61E0">
      <w:pPr>
        <w:autoSpaceDE w:val="0"/>
        <w:autoSpaceDN w:val="0"/>
        <w:adjustRightInd w:val="0"/>
        <w:spacing w:after="0"/>
        <w:jc w:val="both"/>
        <w:rPr>
          <w:rFonts w:ascii="Arial" w:hAnsi="Arial" w:cs="Arial"/>
          <w:b/>
          <w:color w:val="000000"/>
          <w:sz w:val="20"/>
          <w:szCs w:val="20"/>
          <w:shd w:val="clear" w:color="auto" w:fill="FFFFFF"/>
        </w:rPr>
      </w:pPr>
    </w:p>
    <w:p w:rsidR="00581FB7" w:rsidRPr="00581FB7" w:rsidRDefault="00581FB7" w:rsidP="005C61E0">
      <w:pPr>
        <w:autoSpaceDE w:val="0"/>
        <w:autoSpaceDN w:val="0"/>
        <w:adjustRightInd w:val="0"/>
        <w:spacing w:after="0"/>
        <w:jc w:val="both"/>
        <w:rPr>
          <w:rFonts w:ascii="Arial" w:hAnsi="Arial" w:cs="Arial"/>
          <w:color w:val="000000"/>
          <w:sz w:val="20"/>
          <w:szCs w:val="20"/>
          <w:shd w:val="clear" w:color="auto" w:fill="FFFFFF"/>
        </w:rPr>
      </w:pPr>
      <w:r w:rsidRPr="00581FB7">
        <w:rPr>
          <w:rFonts w:ascii="Arial" w:hAnsi="Arial" w:cs="Arial"/>
          <w:color w:val="000000"/>
          <w:sz w:val="20"/>
          <w:szCs w:val="20"/>
          <w:shd w:val="clear" w:color="auto" w:fill="FFFFFF"/>
        </w:rPr>
        <w:t>Processo n°</w:t>
      </w:r>
      <w:r w:rsidR="00EC0933">
        <w:rPr>
          <w:rFonts w:ascii="Arial" w:hAnsi="Arial" w:cs="Arial"/>
          <w:color w:val="000000"/>
          <w:sz w:val="20"/>
          <w:szCs w:val="20"/>
          <w:shd w:val="clear" w:color="auto" w:fill="FFFFFF"/>
        </w:rPr>
        <w:t xml:space="preserve"> 4</w:t>
      </w:r>
      <w:r w:rsidR="006E76DD">
        <w:rPr>
          <w:rFonts w:ascii="Arial" w:hAnsi="Arial" w:cs="Arial"/>
          <w:color w:val="000000"/>
          <w:sz w:val="20"/>
          <w:szCs w:val="20"/>
          <w:shd w:val="clear" w:color="auto" w:fill="FFFFFF"/>
        </w:rPr>
        <w:t xml:space="preserve">98141/11 - </w:t>
      </w:r>
      <w:hyperlink r:id="rId18" w:history="1">
        <w:r w:rsidR="006E76DD" w:rsidRPr="008C0B57">
          <w:rPr>
            <w:rStyle w:val="Hyperlink"/>
            <w:rFonts w:ascii="Arial" w:hAnsi="Arial" w:cs="Arial"/>
            <w:sz w:val="20"/>
            <w:szCs w:val="20"/>
            <w:shd w:val="clear" w:color="auto" w:fill="FFFFFF"/>
          </w:rPr>
          <w:t>Acórdão n° 4150/17 - Tribunal Pleno</w:t>
        </w:r>
      </w:hyperlink>
      <w:r w:rsidR="006E76DD">
        <w:rPr>
          <w:rFonts w:ascii="Arial" w:hAnsi="Arial" w:cs="Arial"/>
          <w:color w:val="000000"/>
          <w:sz w:val="20"/>
          <w:szCs w:val="20"/>
          <w:shd w:val="clear" w:color="auto" w:fill="FFFFFF"/>
        </w:rPr>
        <w:t xml:space="preserve"> -  Rel. Cons. Ivens Zschoerper Linhares.</w:t>
      </w:r>
    </w:p>
    <w:p w:rsidR="007A1290" w:rsidRDefault="007A1290" w:rsidP="005C61E0">
      <w:pPr>
        <w:autoSpaceDE w:val="0"/>
        <w:autoSpaceDN w:val="0"/>
        <w:adjustRightInd w:val="0"/>
        <w:spacing w:after="0"/>
        <w:jc w:val="both"/>
        <w:rPr>
          <w:rFonts w:ascii="Arial" w:hAnsi="Arial" w:cs="Arial"/>
          <w:sz w:val="20"/>
          <w:szCs w:val="20"/>
        </w:rPr>
      </w:pPr>
    </w:p>
    <w:p w:rsidR="007A1290" w:rsidRDefault="00A46447" w:rsidP="005C61E0">
      <w:pPr>
        <w:pStyle w:val="TCU-Epgrafe"/>
        <w:spacing w:line="276" w:lineRule="auto"/>
        <w:ind w:left="0"/>
        <w:rPr>
          <w:rFonts w:ascii="Arial" w:hAnsi="Arial" w:cs="Arial"/>
          <w:b/>
          <w:sz w:val="20"/>
        </w:rPr>
      </w:pPr>
      <w:r>
        <w:rPr>
          <w:rFonts w:ascii="Arial" w:hAnsi="Arial" w:cs="Arial"/>
          <w:b/>
          <w:sz w:val="20"/>
        </w:rPr>
        <w:t xml:space="preserve">12. </w:t>
      </w:r>
      <w:r w:rsidR="007A1290" w:rsidRPr="00884FBF">
        <w:rPr>
          <w:rFonts w:ascii="Arial" w:hAnsi="Arial" w:cs="Arial"/>
          <w:b/>
          <w:sz w:val="20"/>
        </w:rPr>
        <w:t xml:space="preserve">Representação da Lei 8.666/93. Concorrência Pública. Serviços de coleta e transporte de resíduos e limpeza. Duração do contrato. Serviços de prestação continuada. </w:t>
      </w:r>
    </w:p>
    <w:p w:rsidR="00523027" w:rsidRPr="00884FBF" w:rsidRDefault="00523027" w:rsidP="005C61E0">
      <w:pPr>
        <w:pStyle w:val="TCU-Epgrafe"/>
        <w:spacing w:line="276" w:lineRule="auto"/>
        <w:ind w:left="0"/>
        <w:rPr>
          <w:rFonts w:ascii="Arial" w:hAnsi="Arial" w:cs="Arial"/>
          <w:b/>
          <w:sz w:val="20"/>
        </w:rPr>
      </w:pPr>
    </w:p>
    <w:p w:rsidR="007A1290" w:rsidRDefault="007A1290" w:rsidP="005C61E0">
      <w:pPr>
        <w:pStyle w:val="TCU-Epgrafe"/>
        <w:spacing w:line="276" w:lineRule="auto"/>
        <w:ind w:left="0"/>
        <w:rPr>
          <w:rFonts w:ascii="Arial" w:hAnsi="Arial" w:cs="Arial"/>
          <w:sz w:val="20"/>
        </w:rPr>
      </w:pPr>
      <w:r w:rsidRPr="00BA6234">
        <w:rPr>
          <w:rFonts w:ascii="Arial" w:hAnsi="Arial" w:cs="Arial"/>
          <w:sz w:val="20"/>
        </w:rPr>
        <w:t xml:space="preserve">O artigo 57, da Lei 8.666/93 estabelece que a duração dos contratos regidos por essa Lei ficará adstrita à vigência dos respectivos créditos orçamentários, excetuando-se a prestação de serviços a serem executados de forma continuada, afirmando que estes poderão ter sua duração prorrogada por iguais e sucessivos períodos com vistas à obtenção de preços e condições mais vantajosas para a administração. Serviços de coleta e transporte de resíduos sólidos e limpeza </w:t>
      </w:r>
      <w:r w:rsidRPr="00BA6234">
        <w:rPr>
          <w:rFonts w:ascii="Arial" w:hAnsi="Arial" w:cs="Arial"/>
          <w:sz w:val="20"/>
        </w:rPr>
        <w:lastRenderedPageBreak/>
        <w:t>têm natureza de execução continuada, porém, a exceção prevista pelo inciso II, do artigo 57, da Lei 8.666/93, não possibilita</w:t>
      </w:r>
      <w:r>
        <w:rPr>
          <w:rFonts w:ascii="Arial" w:hAnsi="Arial" w:cs="Arial"/>
          <w:sz w:val="20"/>
        </w:rPr>
        <w:t>m</w:t>
      </w:r>
      <w:r w:rsidRPr="00BA6234">
        <w:rPr>
          <w:rFonts w:ascii="Arial" w:hAnsi="Arial" w:cs="Arial"/>
          <w:sz w:val="20"/>
        </w:rPr>
        <w:t xml:space="preserve"> que os contratos firmados sob sua égide e com essa natureza, tenham vigência maior que aquela estabelecida pelo caput do mesmo dispositivo.</w:t>
      </w:r>
    </w:p>
    <w:p w:rsidR="006B5D75" w:rsidRDefault="006B5D75" w:rsidP="005C61E0">
      <w:pPr>
        <w:pStyle w:val="TCU-Epgrafe"/>
        <w:spacing w:line="276" w:lineRule="auto"/>
        <w:ind w:left="0"/>
        <w:rPr>
          <w:rFonts w:ascii="Arial" w:hAnsi="Arial" w:cs="Arial"/>
          <w:sz w:val="20"/>
        </w:rPr>
      </w:pPr>
    </w:p>
    <w:p w:rsidR="007A1290" w:rsidRDefault="007A1290" w:rsidP="005C61E0">
      <w:pPr>
        <w:pStyle w:val="TCU-Epgrafe"/>
        <w:spacing w:line="276" w:lineRule="auto"/>
        <w:ind w:left="0"/>
        <w:rPr>
          <w:rFonts w:ascii="Arial" w:hAnsi="Arial" w:cs="Arial"/>
          <w:sz w:val="20"/>
        </w:rPr>
      </w:pPr>
      <w:r>
        <w:rPr>
          <w:rFonts w:ascii="Arial" w:hAnsi="Arial" w:cs="Arial"/>
          <w:sz w:val="20"/>
        </w:rPr>
        <w:t>Processo nº 675944/17</w:t>
      </w:r>
      <w:r w:rsidR="006B5D75">
        <w:rPr>
          <w:rFonts w:ascii="Arial" w:hAnsi="Arial" w:cs="Arial"/>
          <w:sz w:val="20"/>
        </w:rPr>
        <w:t xml:space="preserve"> - </w:t>
      </w:r>
      <w:hyperlink r:id="rId19" w:history="1">
        <w:r w:rsidRPr="00F85ED6">
          <w:rPr>
            <w:rStyle w:val="Hyperlink"/>
            <w:rFonts w:ascii="Arial" w:hAnsi="Arial" w:cs="Arial"/>
            <w:sz w:val="20"/>
          </w:rPr>
          <w:t xml:space="preserve">Acórdão nº 4214/2014 </w:t>
        </w:r>
        <w:r w:rsidR="006B5D75">
          <w:rPr>
            <w:rStyle w:val="Hyperlink"/>
            <w:rFonts w:ascii="Arial" w:hAnsi="Arial" w:cs="Arial"/>
            <w:sz w:val="20"/>
          </w:rPr>
          <w:t>-</w:t>
        </w:r>
        <w:r w:rsidRPr="00F85ED6">
          <w:rPr>
            <w:rStyle w:val="Hyperlink"/>
            <w:rFonts w:ascii="Arial" w:hAnsi="Arial" w:cs="Arial"/>
            <w:sz w:val="20"/>
          </w:rPr>
          <w:t xml:space="preserve"> Tribunal Pleno</w:t>
        </w:r>
      </w:hyperlink>
      <w:r>
        <w:rPr>
          <w:rFonts w:ascii="Arial" w:hAnsi="Arial" w:cs="Arial"/>
          <w:sz w:val="20"/>
        </w:rPr>
        <w:t xml:space="preserve">. Relator Conselheiro </w:t>
      </w:r>
      <w:proofErr w:type="spellStart"/>
      <w:r>
        <w:rPr>
          <w:rFonts w:ascii="Arial" w:hAnsi="Arial" w:cs="Arial"/>
          <w:sz w:val="20"/>
        </w:rPr>
        <w:t>Artagão</w:t>
      </w:r>
      <w:proofErr w:type="spellEnd"/>
      <w:r>
        <w:rPr>
          <w:rFonts w:ascii="Arial" w:hAnsi="Arial" w:cs="Arial"/>
          <w:sz w:val="20"/>
        </w:rPr>
        <w:t xml:space="preserve"> de Mattos Leão. </w:t>
      </w:r>
    </w:p>
    <w:p w:rsidR="005C61E0" w:rsidRDefault="005C61E0" w:rsidP="005C61E0">
      <w:pPr>
        <w:pStyle w:val="TCU-Epgrafe"/>
        <w:spacing w:line="276" w:lineRule="auto"/>
        <w:ind w:left="0"/>
        <w:rPr>
          <w:rFonts w:ascii="Arial" w:hAnsi="Arial" w:cs="Arial"/>
          <w:b/>
          <w:sz w:val="20"/>
        </w:rPr>
      </w:pPr>
    </w:p>
    <w:p w:rsidR="007A1290" w:rsidRPr="001714B2" w:rsidRDefault="00A46447" w:rsidP="005C61E0">
      <w:pPr>
        <w:pStyle w:val="TCU-Epgrafe"/>
        <w:spacing w:line="276" w:lineRule="auto"/>
        <w:ind w:left="0"/>
        <w:rPr>
          <w:rFonts w:ascii="Arial" w:hAnsi="Arial" w:cs="Arial"/>
          <w:b/>
          <w:sz w:val="20"/>
        </w:rPr>
      </w:pPr>
      <w:r>
        <w:rPr>
          <w:rFonts w:ascii="Arial" w:hAnsi="Arial" w:cs="Arial"/>
          <w:b/>
          <w:sz w:val="20"/>
        </w:rPr>
        <w:t xml:space="preserve">13. </w:t>
      </w:r>
      <w:r w:rsidR="007A1290" w:rsidRPr="001714B2">
        <w:rPr>
          <w:rFonts w:ascii="Arial" w:hAnsi="Arial" w:cs="Arial"/>
          <w:b/>
          <w:sz w:val="20"/>
        </w:rPr>
        <w:t xml:space="preserve">Recurso de Agravo. Licitação. Superfaturamento. Competência do Tribunal de Contas. Análise de economicidade.  </w:t>
      </w:r>
    </w:p>
    <w:p w:rsidR="005C61E0" w:rsidRDefault="005C61E0" w:rsidP="005C61E0">
      <w:pPr>
        <w:pStyle w:val="TCU-Epgrafe"/>
        <w:spacing w:line="276" w:lineRule="auto"/>
        <w:ind w:left="0"/>
        <w:rPr>
          <w:rFonts w:ascii="Arial" w:hAnsi="Arial" w:cs="Arial"/>
          <w:sz w:val="20"/>
        </w:rPr>
      </w:pPr>
    </w:p>
    <w:p w:rsidR="007A1290" w:rsidRDefault="007A1290" w:rsidP="005C61E0">
      <w:pPr>
        <w:pStyle w:val="TCU-Epgrafe"/>
        <w:spacing w:line="276" w:lineRule="auto"/>
        <w:ind w:left="0"/>
        <w:rPr>
          <w:rFonts w:ascii="Arial" w:hAnsi="Arial" w:cs="Arial"/>
          <w:sz w:val="20"/>
        </w:rPr>
      </w:pPr>
      <w:r w:rsidRPr="00B15ED4">
        <w:rPr>
          <w:rFonts w:ascii="Arial" w:hAnsi="Arial" w:cs="Arial"/>
          <w:sz w:val="20"/>
        </w:rPr>
        <w:t>A competência dos Tribunais de Contas alcança não só a análise da mera legalidade formal, mas também da consonância dos atos administrativos com os princípios constitucionais da moralidade administrativa, da eficiência, da legitimidade e especialmente, da economicidade.</w:t>
      </w:r>
    </w:p>
    <w:p w:rsidR="006B5D75" w:rsidRPr="00BA6234" w:rsidRDefault="006B5D75" w:rsidP="005C61E0">
      <w:pPr>
        <w:pStyle w:val="TCU-Epgrafe"/>
        <w:spacing w:line="276" w:lineRule="auto"/>
        <w:ind w:left="0"/>
        <w:rPr>
          <w:rFonts w:ascii="Arial" w:hAnsi="Arial" w:cs="Arial"/>
          <w:sz w:val="20"/>
        </w:rPr>
      </w:pPr>
    </w:p>
    <w:p w:rsidR="007A1290" w:rsidRDefault="007A1290" w:rsidP="005C61E0">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sz w:val="20"/>
        </w:rPr>
        <w:t>Processo nº 636990/17</w:t>
      </w:r>
      <w:r w:rsidR="006B5D75">
        <w:rPr>
          <w:rFonts w:ascii="Arial" w:hAnsi="Arial" w:cs="Arial"/>
          <w:sz w:val="20"/>
        </w:rPr>
        <w:t xml:space="preserve"> -</w:t>
      </w:r>
      <w:hyperlink r:id="rId20" w:history="1">
        <w:r w:rsidR="006B5D75">
          <w:rPr>
            <w:rStyle w:val="Hyperlink"/>
            <w:rFonts w:ascii="Arial" w:hAnsi="Arial" w:cs="Arial"/>
            <w:sz w:val="20"/>
          </w:rPr>
          <w:t xml:space="preserve"> </w:t>
        </w:r>
        <w:r w:rsidRPr="004A6EE7">
          <w:rPr>
            <w:rStyle w:val="Hyperlink"/>
            <w:rFonts w:ascii="Arial" w:hAnsi="Arial" w:cs="Arial"/>
            <w:sz w:val="20"/>
          </w:rPr>
          <w:t xml:space="preserve">Acórdão nº 4212/2017 </w:t>
        </w:r>
        <w:r w:rsidR="006B5D75">
          <w:rPr>
            <w:rStyle w:val="Hyperlink"/>
            <w:rFonts w:ascii="Arial" w:hAnsi="Arial" w:cs="Arial"/>
            <w:sz w:val="20"/>
          </w:rPr>
          <w:t>-</w:t>
        </w:r>
        <w:r w:rsidRPr="004A6EE7">
          <w:rPr>
            <w:rStyle w:val="Hyperlink"/>
            <w:rFonts w:ascii="Arial" w:hAnsi="Arial" w:cs="Arial"/>
            <w:sz w:val="20"/>
          </w:rPr>
          <w:t xml:space="preserve"> Tribunal Pleno</w:t>
        </w:r>
      </w:hyperlink>
      <w:r>
        <w:rPr>
          <w:rFonts w:ascii="Arial" w:hAnsi="Arial" w:cs="Arial"/>
          <w:sz w:val="20"/>
        </w:rPr>
        <w:t xml:space="preserve">. Relator </w:t>
      </w:r>
      <w:r w:rsidRPr="004A6EE7">
        <w:rPr>
          <w:rFonts w:ascii="Arial" w:hAnsi="Arial" w:cs="Arial"/>
          <w:sz w:val="20"/>
        </w:rPr>
        <w:t xml:space="preserve">Conselheiro </w:t>
      </w:r>
      <w:proofErr w:type="spellStart"/>
      <w:r w:rsidRPr="004A6EE7">
        <w:rPr>
          <w:rFonts w:ascii="Arial" w:hAnsi="Arial" w:cs="Arial"/>
          <w:sz w:val="20"/>
        </w:rPr>
        <w:t>Artagão</w:t>
      </w:r>
      <w:proofErr w:type="spellEnd"/>
      <w:r w:rsidRPr="004A6EE7">
        <w:rPr>
          <w:rFonts w:ascii="Arial" w:hAnsi="Arial" w:cs="Arial"/>
          <w:sz w:val="20"/>
        </w:rPr>
        <w:t xml:space="preserve"> </w:t>
      </w:r>
      <w:r>
        <w:rPr>
          <w:rFonts w:ascii="Arial" w:hAnsi="Arial" w:cs="Arial"/>
          <w:sz w:val="20"/>
        </w:rPr>
        <w:t>d</w:t>
      </w:r>
      <w:r w:rsidRPr="004A6EE7">
        <w:rPr>
          <w:rFonts w:ascii="Arial" w:hAnsi="Arial" w:cs="Arial"/>
          <w:sz w:val="20"/>
        </w:rPr>
        <w:t>e Mattos Leão</w:t>
      </w:r>
      <w:r>
        <w:rPr>
          <w:rFonts w:ascii="Arial" w:hAnsi="Arial" w:cs="Arial"/>
          <w:sz w:val="20"/>
        </w:rPr>
        <w:t>.</w:t>
      </w:r>
    </w:p>
    <w:p w:rsidR="007A1290" w:rsidRDefault="007A1290" w:rsidP="005C61E0">
      <w:pPr>
        <w:autoSpaceDE w:val="0"/>
        <w:autoSpaceDN w:val="0"/>
        <w:adjustRightInd w:val="0"/>
        <w:spacing w:after="0"/>
        <w:jc w:val="both"/>
        <w:rPr>
          <w:rFonts w:ascii="Arial" w:hAnsi="Arial" w:cs="Arial"/>
          <w:sz w:val="20"/>
          <w:szCs w:val="20"/>
        </w:rPr>
      </w:pPr>
    </w:p>
    <w:p w:rsidR="00E8762F" w:rsidRPr="0022060B" w:rsidRDefault="00E8762F" w:rsidP="005C61E0">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5C61E0">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5C61E0">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5C61E0">
      <w:pPr>
        <w:spacing w:after="0"/>
        <w:rPr>
          <w:rFonts w:ascii="Arial" w:hAnsi="Arial" w:cs="Arial"/>
          <w:b/>
          <w:color w:val="000000"/>
          <w:sz w:val="20"/>
          <w:szCs w:val="20"/>
        </w:rPr>
      </w:pPr>
    </w:p>
    <w:p w:rsidR="005603B3" w:rsidRPr="0022060B" w:rsidRDefault="005603B3" w:rsidP="005C61E0">
      <w:pPr>
        <w:spacing w:after="0"/>
        <w:jc w:val="both"/>
        <w:rPr>
          <w:rFonts w:ascii="Arial" w:hAnsi="Arial" w:cs="Arial"/>
          <w:b/>
          <w:color w:val="000000"/>
          <w:sz w:val="20"/>
          <w:szCs w:val="20"/>
        </w:rPr>
      </w:pPr>
      <w:r w:rsidRPr="0022060B">
        <w:rPr>
          <w:rFonts w:ascii="Arial" w:hAnsi="Arial" w:cs="Arial"/>
          <w:b/>
          <w:color w:val="000000"/>
          <w:sz w:val="20"/>
          <w:szCs w:val="20"/>
        </w:rPr>
        <w:t>Supremo Tribunal Federal:</w:t>
      </w:r>
    </w:p>
    <w:p w:rsidR="006E12D5" w:rsidRDefault="006E12D5" w:rsidP="005C61E0">
      <w:pPr>
        <w:spacing w:after="0"/>
        <w:jc w:val="both"/>
        <w:rPr>
          <w:rFonts w:ascii="Arial" w:hAnsi="Arial" w:cs="Arial"/>
          <w:b/>
          <w:color w:val="000000"/>
          <w:sz w:val="20"/>
          <w:szCs w:val="20"/>
        </w:rPr>
      </w:pPr>
    </w:p>
    <w:p w:rsidR="0020040D" w:rsidRDefault="003E0EC2" w:rsidP="005C61E0">
      <w:pPr>
        <w:spacing w:after="0"/>
        <w:jc w:val="both"/>
        <w:rPr>
          <w:rFonts w:ascii="Arial" w:hAnsi="Arial" w:cs="Arial"/>
          <w:b/>
          <w:sz w:val="20"/>
          <w:szCs w:val="20"/>
          <w:shd w:val="clear" w:color="auto" w:fill="FFFFFF"/>
        </w:rPr>
      </w:pPr>
      <w:hyperlink r:id="rId21" w:history="1">
        <w:r w:rsidR="000F1552" w:rsidRPr="000F1552">
          <w:rPr>
            <w:rStyle w:val="Hyperlink"/>
            <w:rFonts w:ascii="Arial" w:hAnsi="Arial" w:cs="Arial"/>
            <w:b/>
            <w:sz w:val="20"/>
            <w:szCs w:val="20"/>
            <w:shd w:val="clear" w:color="auto" w:fill="FFFFFF"/>
          </w:rPr>
          <w:t>ADI 5763/CE</w:t>
        </w:r>
      </w:hyperlink>
      <w:r w:rsidR="000F1552" w:rsidRPr="000F1552">
        <w:rPr>
          <w:rFonts w:ascii="Arial" w:hAnsi="Arial" w:cs="Arial"/>
          <w:sz w:val="20"/>
          <w:szCs w:val="20"/>
          <w:shd w:val="clear" w:color="auto" w:fill="FFFFFF"/>
        </w:rPr>
        <w:t>, rel. Min. Marco Aurélio, julgamento em 26.10.2017. (ADI-5763).</w:t>
      </w:r>
      <w:r w:rsidR="000F1552">
        <w:rPr>
          <w:rFonts w:ascii="Arial" w:hAnsi="Arial" w:cs="Arial"/>
          <w:bCs/>
          <w:sz w:val="20"/>
          <w:szCs w:val="20"/>
          <w:shd w:val="clear" w:color="auto" w:fill="FFFFFF"/>
        </w:rPr>
        <w:t xml:space="preserve"> </w:t>
      </w:r>
      <w:r w:rsidR="000F1552" w:rsidRPr="000F1552">
        <w:rPr>
          <w:rFonts w:ascii="Arial" w:hAnsi="Arial" w:cs="Arial"/>
          <w:b/>
          <w:sz w:val="20"/>
          <w:szCs w:val="20"/>
          <w:shd w:val="clear" w:color="auto" w:fill="FFFFFF"/>
        </w:rPr>
        <w:t>A Constituição Federal não proíbe a extinção de Tribunais de Contas dos Municípios.</w:t>
      </w:r>
    </w:p>
    <w:p w:rsidR="000F1552" w:rsidRPr="000F1552" w:rsidRDefault="000F1552" w:rsidP="005C61E0">
      <w:pPr>
        <w:spacing w:after="0"/>
        <w:jc w:val="both"/>
        <w:rPr>
          <w:rFonts w:ascii="Arial" w:hAnsi="Arial" w:cs="Arial"/>
          <w:b/>
          <w:bCs/>
          <w:sz w:val="20"/>
          <w:szCs w:val="20"/>
          <w:shd w:val="clear" w:color="auto" w:fill="FFFFFF"/>
        </w:rPr>
      </w:pPr>
    </w:p>
    <w:p w:rsidR="00EE207C" w:rsidRDefault="000F1552" w:rsidP="005C61E0">
      <w:pPr>
        <w:spacing w:after="0"/>
        <w:jc w:val="both"/>
        <w:rPr>
          <w:rFonts w:ascii="Arial" w:hAnsi="Arial" w:cs="Arial"/>
          <w:sz w:val="20"/>
          <w:szCs w:val="20"/>
          <w:shd w:val="clear" w:color="auto" w:fill="FFFFFF"/>
        </w:rPr>
      </w:pPr>
      <w:r w:rsidRPr="00EE207C">
        <w:rPr>
          <w:rFonts w:ascii="Arial" w:hAnsi="Arial" w:cs="Arial"/>
          <w:sz w:val="20"/>
          <w:szCs w:val="20"/>
          <w:shd w:val="clear" w:color="auto" w:fill="FFFFFF"/>
        </w:rPr>
        <w:t>O legislador constituinte permitiu a experimentação institucional dos entes federados, desde que não fossem criados conselhos ou tribunais municipais, devendo ser observado o modelo federal, com ao menos um órgão de controle externo.</w:t>
      </w:r>
    </w:p>
    <w:p w:rsidR="00EE207C" w:rsidRDefault="000F1552" w:rsidP="005C61E0">
      <w:pPr>
        <w:spacing w:after="0"/>
        <w:jc w:val="both"/>
        <w:rPr>
          <w:rFonts w:ascii="Arial" w:hAnsi="Arial" w:cs="Arial"/>
          <w:sz w:val="20"/>
          <w:szCs w:val="20"/>
          <w:shd w:val="clear" w:color="auto" w:fill="FFFFFF"/>
        </w:rPr>
      </w:pPr>
      <w:r w:rsidRPr="00EE207C">
        <w:rPr>
          <w:rFonts w:ascii="Arial" w:hAnsi="Arial" w:cs="Arial"/>
          <w:sz w:val="20"/>
          <w:szCs w:val="20"/>
        </w:rPr>
        <w:br/>
      </w:r>
      <w:r w:rsidRPr="00EE207C">
        <w:rPr>
          <w:rFonts w:ascii="Arial" w:hAnsi="Arial" w:cs="Arial"/>
          <w:sz w:val="20"/>
          <w:szCs w:val="20"/>
          <w:shd w:val="clear" w:color="auto" w:fill="FFFFFF"/>
        </w:rPr>
        <w:t>É possível, portanto, a extinção de tribunal de contas responsável pela fiscalização dos Municípios por meio da promulgação de Emenda à constituição estadual, pois a Constituição Federal não proibiu a supressão desses órgãos.</w:t>
      </w:r>
    </w:p>
    <w:p w:rsidR="000F1552" w:rsidRPr="00EE207C" w:rsidRDefault="000F1552" w:rsidP="005C61E0">
      <w:pPr>
        <w:spacing w:after="0"/>
        <w:jc w:val="both"/>
        <w:rPr>
          <w:rFonts w:ascii="Arial" w:hAnsi="Arial" w:cs="Arial"/>
          <w:sz w:val="20"/>
          <w:szCs w:val="20"/>
          <w:shd w:val="clear" w:color="auto" w:fill="FFFFFF"/>
        </w:rPr>
      </w:pPr>
      <w:r w:rsidRPr="00EE207C">
        <w:rPr>
          <w:rFonts w:ascii="Arial" w:hAnsi="Arial" w:cs="Arial"/>
          <w:sz w:val="20"/>
          <w:szCs w:val="20"/>
        </w:rPr>
        <w:br/>
      </w:r>
      <w:r w:rsidRPr="00EE207C">
        <w:rPr>
          <w:rFonts w:ascii="Arial" w:hAnsi="Arial" w:cs="Arial"/>
          <w:sz w:val="20"/>
          <w:szCs w:val="20"/>
          <w:shd w:val="clear" w:color="auto" w:fill="FFFFFF"/>
        </w:rPr>
        <w:t>Não se faz necessária a participação dos Municípios no processo, sobretudo quando considerado que a estrutura de controle externo é integralmente arcada pelo Estado.</w:t>
      </w:r>
    </w:p>
    <w:p w:rsidR="000F1552" w:rsidRPr="00EE207C" w:rsidRDefault="000F1552" w:rsidP="005C61E0">
      <w:pPr>
        <w:spacing w:after="0"/>
        <w:jc w:val="both"/>
        <w:rPr>
          <w:rFonts w:ascii="Arial" w:hAnsi="Arial" w:cs="Arial"/>
          <w:sz w:val="20"/>
          <w:szCs w:val="20"/>
          <w:shd w:val="clear" w:color="auto" w:fill="FFFFFF"/>
        </w:rPr>
      </w:pPr>
    </w:p>
    <w:p w:rsidR="00EE207C" w:rsidRDefault="00EE207C" w:rsidP="005C61E0">
      <w:pPr>
        <w:spacing w:after="0"/>
        <w:jc w:val="both"/>
        <w:rPr>
          <w:rFonts w:ascii="Arial" w:hAnsi="Arial" w:cs="Arial"/>
          <w:sz w:val="20"/>
          <w:szCs w:val="20"/>
          <w:shd w:val="clear" w:color="auto" w:fill="FFFFFF"/>
        </w:rPr>
      </w:pPr>
      <w:r w:rsidRPr="00EE207C">
        <w:rPr>
          <w:rFonts w:ascii="Arial" w:hAnsi="Arial" w:cs="Arial"/>
          <w:sz w:val="20"/>
          <w:szCs w:val="20"/>
          <w:shd w:val="clear" w:color="auto" w:fill="FFFFFF"/>
        </w:rPr>
        <w:t>O poder constituinte originário viabilizou aos tribunais de contas disporem sobre a própria organização e funcionamento, e o fez com o propósito de assegurar-lhes a autonomia necessária para exercer atividade fundamental à integridade do erário.</w:t>
      </w:r>
    </w:p>
    <w:p w:rsidR="000F1552" w:rsidRPr="00EE207C" w:rsidRDefault="00EE207C" w:rsidP="005C61E0">
      <w:pPr>
        <w:spacing w:after="0"/>
        <w:jc w:val="both"/>
        <w:rPr>
          <w:rFonts w:ascii="Arial" w:hAnsi="Arial" w:cs="Arial"/>
          <w:sz w:val="20"/>
          <w:szCs w:val="20"/>
        </w:rPr>
      </w:pPr>
      <w:r w:rsidRPr="00EE207C">
        <w:rPr>
          <w:rFonts w:ascii="Arial" w:hAnsi="Arial" w:cs="Arial"/>
          <w:sz w:val="20"/>
          <w:szCs w:val="20"/>
        </w:rPr>
        <w:br/>
      </w:r>
      <w:r w:rsidRPr="00EE207C">
        <w:rPr>
          <w:rFonts w:ascii="Arial" w:hAnsi="Arial" w:cs="Arial"/>
          <w:sz w:val="20"/>
          <w:szCs w:val="20"/>
          <w:shd w:val="clear" w:color="auto" w:fill="FFFFFF"/>
        </w:rPr>
        <w:t xml:space="preserve">Essa norma protetiva não impede a extinção do Tribunal de Contas dos Municípios mediante </w:t>
      </w:r>
      <w:r w:rsidRPr="00EE207C">
        <w:rPr>
          <w:rFonts w:ascii="Arial" w:hAnsi="Arial" w:cs="Arial"/>
          <w:sz w:val="20"/>
          <w:szCs w:val="20"/>
          <w:shd w:val="clear" w:color="auto" w:fill="FFFFFF"/>
        </w:rPr>
        <w:lastRenderedPageBreak/>
        <w:t xml:space="preserve">emenda cujo processo de elaboração tenha sido deflagrado por deputados estaduais. O rito de </w:t>
      </w:r>
      <w:proofErr w:type="spellStart"/>
      <w:r w:rsidRPr="00EE207C">
        <w:rPr>
          <w:rFonts w:ascii="Arial" w:hAnsi="Arial" w:cs="Arial"/>
          <w:sz w:val="20"/>
          <w:szCs w:val="20"/>
          <w:shd w:val="clear" w:color="auto" w:fill="FFFFFF"/>
        </w:rPr>
        <w:t>emendamento</w:t>
      </w:r>
      <w:proofErr w:type="spellEnd"/>
      <w:r w:rsidRPr="00EE207C">
        <w:rPr>
          <w:rFonts w:ascii="Arial" w:hAnsi="Arial" w:cs="Arial"/>
          <w:sz w:val="20"/>
          <w:szCs w:val="20"/>
          <w:shd w:val="clear" w:color="auto" w:fill="FFFFFF"/>
        </w:rPr>
        <w:t xml:space="preserve"> constitucional observa regras próprias no tocante à iniciativa. Ante a densidade representativa envolvida no procedimento de reconfiguração da ordem constitucional, a regra para apresentação de emenda é mais rigorosa, atingindo as entidades políticas que efetivamente traduzam a vontade popular manifestada por meio do sufrágio.</w:t>
      </w:r>
    </w:p>
    <w:p w:rsidR="000F1552" w:rsidRDefault="000F1552" w:rsidP="005C61E0">
      <w:pPr>
        <w:spacing w:after="0"/>
        <w:jc w:val="both"/>
        <w:rPr>
          <w:rFonts w:ascii="Arial" w:hAnsi="Arial" w:cs="Arial"/>
          <w:color w:val="000000"/>
          <w:sz w:val="20"/>
          <w:szCs w:val="20"/>
        </w:rPr>
      </w:pPr>
    </w:p>
    <w:p w:rsidR="000800D1" w:rsidRPr="0022060B" w:rsidRDefault="000800D1" w:rsidP="005C61E0">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5C61E0">
      <w:pPr>
        <w:spacing w:after="0"/>
        <w:jc w:val="both"/>
        <w:rPr>
          <w:rFonts w:ascii="Arial" w:hAnsi="Arial" w:cs="Arial"/>
          <w:b/>
          <w:color w:val="000000"/>
          <w:sz w:val="20"/>
          <w:szCs w:val="20"/>
        </w:rPr>
      </w:pPr>
    </w:p>
    <w:p w:rsidR="0020040D" w:rsidRDefault="003E0EC2" w:rsidP="005C61E0">
      <w:pPr>
        <w:spacing w:after="0"/>
        <w:jc w:val="both"/>
        <w:rPr>
          <w:rFonts w:ascii="Arial" w:hAnsi="Arial" w:cs="Arial"/>
          <w:sz w:val="20"/>
          <w:szCs w:val="20"/>
          <w:shd w:val="clear" w:color="auto" w:fill="FFFFFF"/>
        </w:rPr>
      </w:pPr>
      <w:hyperlink r:id="rId22" w:history="1">
        <w:r w:rsidR="0020040D" w:rsidRPr="0020040D">
          <w:rPr>
            <w:rStyle w:val="Hyperlink"/>
            <w:rFonts w:ascii="Arial" w:hAnsi="Arial" w:cs="Arial"/>
            <w:b/>
            <w:sz w:val="20"/>
            <w:szCs w:val="20"/>
            <w:shd w:val="clear" w:color="auto" w:fill="FFFFFF"/>
          </w:rPr>
          <w:t>MS 21.669-DF</w:t>
        </w:r>
      </w:hyperlink>
      <w:r w:rsidR="0020040D" w:rsidRPr="0020040D">
        <w:rPr>
          <w:rFonts w:ascii="Arial" w:hAnsi="Arial" w:cs="Arial"/>
          <w:b/>
          <w:sz w:val="20"/>
          <w:szCs w:val="20"/>
          <w:shd w:val="clear" w:color="auto" w:fill="FFFFFF"/>
        </w:rPr>
        <w:t xml:space="preserve">, </w:t>
      </w:r>
      <w:r w:rsidR="0020040D" w:rsidRPr="0020040D">
        <w:rPr>
          <w:rFonts w:ascii="Arial" w:hAnsi="Arial" w:cs="Arial"/>
          <w:sz w:val="20"/>
          <w:szCs w:val="20"/>
          <w:shd w:val="clear" w:color="auto" w:fill="FFFFFF"/>
        </w:rPr>
        <w:t xml:space="preserve">Rel. Min. Gurgel de Faria, por unanimidade, julgado em 23/08/2017, </w:t>
      </w:r>
      <w:proofErr w:type="spellStart"/>
      <w:r w:rsidR="0020040D" w:rsidRPr="0020040D">
        <w:rPr>
          <w:rFonts w:ascii="Arial" w:hAnsi="Arial" w:cs="Arial"/>
          <w:sz w:val="20"/>
          <w:szCs w:val="20"/>
          <w:shd w:val="clear" w:color="auto" w:fill="FFFFFF"/>
        </w:rPr>
        <w:t>DJe</w:t>
      </w:r>
      <w:proofErr w:type="spellEnd"/>
      <w:r w:rsidR="0020040D" w:rsidRPr="0020040D">
        <w:rPr>
          <w:rFonts w:ascii="Arial" w:hAnsi="Arial" w:cs="Arial"/>
          <w:sz w:val="20"/>
          <w:szCs w:val="20"/>
          <w:shd w:val="clear" w:color="auto" w:fill="FFFFFF"/>
        </w:rPr>
        <w:t xml:space="preserve"> 09/10/2017.</w:t>
      </w:r>
    </w:p>
    <w:p w:rsidR="0020040D" w:rsidRPr="0020040D" w:rsidRDefault="0020040D" w:rsidP="005C61E0">
      <w:pPr>
        <w:spacing w:after="0"/>
        <w:jc w:val="both"/>
        <w:rPr>
          <w:rFonts w:ascii="Arial" w:hAnsi="Arial" w:cs="Arial"/>
          <w:sz w:val="20"/>
          <w:szCs w:val="20"/>
          <w:shd w:val="clear" w:color="auto" w:fill="FFFFFF"/>
        </w:rPr>
      </w:pPr>
    </w:p>
    <w:p w:rsidR="00A20F2F" w:rsidRPr="0020040D" w:rsidRDefault="0020040D" w:rsidP="005C61E0">
      <w:pPr>
        <w:spacing w:after="0"/>
        <w:jc w:val="both"/>
        <w:rPr>
          <w:rFonts w:ascii="Arial" w:hAnsi="Arial" w:cs="Arial"/>
          <w:b/>
          <w:sz w:val="20"/>
          <w:szCs w:val="20"/>
        </w:rPr>
      </w:pPr>
      <w:r w:rsidRPr="0020040D">
        <w:rPr>
          <w:rFonts w:ascii="Arial" w:hAnsi="Arial" w:cs="Arial"/>
          <w:b/>
          <w:sz w:val="20"/>
          <w:szCs w:val="20"/>
          <w:shd w:val="clear" w:color="auto" w:fill="FFFFFF"/>
        </w:rPr>
        <w:t>Servidor público. Diretor-Presidente de fundação de natureza privada. Processo administrativo disciplinar. Atos ilícitos. Recursos públicos. Princípios basilares da administração pública. Lei n. 8.112/1990. Aplicabilidade.</w:t>
      </w:r>
    </w:p>
    <w:p w:rsidR="00A20F2F" w:rsidRDefault="00A20F2F" w:rsidP="005C61E0">
      <w:pPr>
        <w:spacing w:after="0"/>
        <w:jc w:val="both"/>
        <w:rPr>
          <w:rFonts w:ascii="Arial" w:hAnsi="Arial" w:cs="Arial"/>
          <w:b/>
          <w:color w:val="000000"/>
          <w:sz w:val="20"/>
          <w:szCs w:val="20"/>
        </w:rPr>
      </w:pPr>
    </w:p>
    <w:p w:rsidR="0020040D" w:rsidRDefault="0020040D" w:rsidP="005C61E0">
      <w:pPr>
        <w:spacing w:after="0"/>
        <w:jc w:val="both"/>
        <w:rPr>
          <w:rFonts w:ascii="Arial" w:hAnsi="Arial" w:cs="Arial"/>
          <w:sz w:val="20"/>
          <w:szCs w:val="20"/>
          <w:shd w:val="clear" w:color="auto" w:fill="FFFFFF"/>
        </w:rPr>
      </w:pPr>
      <w:r w:rsidRPr="0020040D">
        <w:rPr>
          <w:rFonts w:ascii="Arial" w:hAnsi="Arial" w:cs="Arial"/>
          <w:sz w:val="20"/>
          <w:szCs w:val="20"/>
          <w:shd w:val="clear" w:color="auto" w:fill="FFFFFF"/>
        </w:rPr>
        <w:t>É legal a instauração de procedimento disciplinar, julgamento e sanção, nos moldes da Lei n. 8.112/1990 em face de servidor público que pratica atos ilícitos na gestão de fundação privada de apoio à instituição federal de ensino superior.</w:t>
      </w:r>
    </w:p>
    <w:p w:rsidR="00EA07BD" w:rsidRDefault="00EA07BD" w:rsidP="005C61E0">
      <w:pPr>
        <w:spacing w:after="0"/>
        <w:jc w:val="both"/>
        <w:rPr>
          <w:rFonts w:ascii="Arial" w:hAnsi="Arial" w:cs="Arial"/>
          <w:sz w:val="20"/>
          <w:szCs w:val="20"/>
          <w:shd w:val="clear" w:color="auto" w:fill="FFFFFF"/>
        </w:rPr>
      </w:pPr>
    </w:p>
    <w:p w:rsidR="007D50B9" w:rsidRDefault="003E0EC2" w:rsidP="005C61E0">
      <w:pPr>
        <w:spacing w:after="0"/>
        <w:jc w:val="both"/>
        <w:rPr>
          <w:rFonts w:ascii="Arial" w:hAnsi="Arial" w:cs="Arial"/>
          <w:sz w:val="20"/>
          <w:szCs w:val="20"/>
          <w:shd w:val="clear" w:color="auto" w:fill="FFFFFF"/>
        </w:rPr>
      </w:pPr>
      <w:hyperlink r:id="rId23" w:history="1">
        <w:proofErr w:type="spellStart"/>
        <w:r w:rsidR="007D50B9" w:rsidRPr="0031249D">
          <w:rPr>
            <w:rStyle w:val="Hyperlink"/>
            <w:rFonts w:ascii="Arial" w:hAnsi="Arial" w:cs="Arial"/>
            <w:b/>
            <w:sz w:val="20"/>
            <w:szCs w:val="20"/>
            <w:shd w:val="clear" w:color="auto" w:fill="FFFFFF"/>
          </w:rPr>
          <w:t>REsp</w:t>
        </w:r>
        <w:proofErr w:type="spellEnd"/>
        <w:r w:rsidR="007D50B9" w:rsidRPr="0031249D">
          <w:rPr>
            <w:rStyle w:val="Hyperlink"/>
            <w:rFonts w:ascii="Arial" w:hAnsi="Arial" w:cs="Arial"/>
            <w:b/>
            <w:sz w:val="20"/>
            <w:szCs w:val="20"/>
            <w:shd w:val="clear" w:color="auto" w:fill="FFFFFF"/>
          </w:rPr>
          <w:t xml:space="preserve"> 1.309.158-RJ</w:t>
        </w:r>
      </w:hyperlink>
      <w:r w:rsidR="007D50B9" w:rsidRPr="0031249D">
        <w:rPr>
          <w:rFonts w:ascii="Arial" w:hAnsi="Arial" w:cs="Arial"/>
          <w:sz w:val="20"/>
          <w:szCs w:val="20"/>
          <w:shd w:val="clear" w:color="auto" w:fill="FFFFFF"/>
        </w:rPr>
        <w:t xml:space="preserve">, Rel. Min. </w:t>
      </w:r>
      <w:proofErr w:type="spellStart"/>
      <w:r w:rsidR="007D50B9" w:rsidRPr="0031249D">
        <w:rPr>
          <w:rFonts w:ascii="Arial" w:hAnsi="Arial" w:cs="Arial"/>
          <w:sz w:val="20"/>
          <w:szCs w:val="20"/>
          <w:shd w:val="clear" w:color="auto" w:fill="FFFFFF"/>
        </w:rPr>
        <w:t>Luis</w:t>
      </w:r>
      <w:proofErr w:type="spellEnd"/>
      <w:r w:rsidR="007D50B9" w:rsidRPr="0031249D">
        <w:rPr>
          <w:rFonts w:ascii="Arial" w:hAnsi="Arial" w:cs="Arial"/>
          <w:sz w:val="20"/>
          <w:szCs w:val="20"/>
          <w:shd w:val="clear" w:color="auto" w:fill="FFFFFF"/>
        </w:rPr>
        <w:t xml:space="preserve"> Felipe Salomão, por unanimidade, julgado em 26/09/2017, </w:t>
      </w:r>
      <w:proofErr w:type="spellStart"/>
      <w:r w:rsidR="007D50B9" w:rsidRPr="0031249D">
        <w:rPr>
          <w:rFonts w:ascii="Arial" w:hAnsi="Arial" w:cs="Arial"/>
          <w:sz w:val="20"/>
          <w:szCs w:val="20"/>
          <w:shd w:val="clear" w:color="auto" w:fill="FFFFFF"/>
        </w:rPr>
        <w:t>DJe</w:t>
      </w:r>
      <w:proofErr w:type="spellEnd"/>
      <w:r w:rsidR="007D50B9" w:rsidRPr="0031249D">
        <w:rPr>
          <w:rFonts w:ascii="Arial" w:hAnsi="Arial" w:cs="Arial"/>
          <w:sz w:val="20"/>
          <w:szCs w:val="20"/>
          <w:shd w:val="clear" w:color="auto" w:fill="FFFFFF"/>
        </w:rPr>
        <w:t xml:space="preserve"> 20/10/2017</w:t>
      </w:r>
      <w:r w:rsidR="0031249D">
        <w:rPr>
          <w:rFonts w:ascii="Arial" w:hAnsi="Arial" w:cs="Arial"/>
          <w:sz w:val="20"/>
          <w:szCs w:val="20"/>
          <w:shd w:val="clear" w:color="auto" w:fill="FFFFFF"/>
        </w:rPr>
        <w:t>.</w:t>
      </w:r>
    </w:p>
    <w:p w:rsidR="0031249D" w:rsidRPr="0031249D" w:rsidRDefault="0031249D" w:rsidP="005C61E0">
      <w:pPr>
        <w:spacing w:after="0"/>
        <w:jc w:val="both"/>
        <w:rPr>
          <w:rFonts w:ascii="Arial" w:hAnsi="Arial" w:cs="Arial"/>
          <w:sz w:val="20"/>
          <w:szCs w:val="20"/>
          <w:shd w:val="clear" w:color="auto" w:fill="FFFFFF"/>
        </w:rPr>
      </w:pPr>
    </w:p>
    <w:p w:rsidR="00EA07BD" w:rsidRDefault="00EA07BD" w:rsidP="005C61E0">
      <w:pPr>
        <w:spacing w:after="0"/>
        <w:jc w:val="both"/>
        <w:rPr>
          <w:rFonts w:ascii="Arial" w:hAnsi="Arial" w:cs="Arial"/>
          <w:b/>
          <w:sz w:val="20"/>
          <w:szCs w:val="20"/>
          <w:shd w:val="clear" w:color="auto" w:fill="FFFFFF"/>
        </w:rPr>
      </w:pPr>
      <w:r w:rsidRPr="007D50B9">
        <w:rPr>
          <w:rFonts w:ascii="Arial" w:hAnsi="Arial" w:cs="Arial"/>
          <w:b/>
          <w:sz w:val="20"/>
          <w:szCs w:val="20"/>
          <w:shd w:val="clear" w:color="auto" w:fill="FFFFFF"/>
        </w:rPr>
        <w:t>Ação indenizatória. Locação de área para estação de telefonia celular. Compartilhamento de infraestrutura. Sublocação não caracterizada. Direito de uso. Servidão administrativa instituída pela lei em benefício das prestadoras de serviços de telecomunicações de interesse coletivo. Inviabilidade de indenização.</w:t>
      </w:r>
    </w:p>
    <w:p w:rsidR="007D50B9" w:rsidRDefault="007D50B9" w:rsidP="005C61E0">
      <w:pPr>
        <w:spacing w:after="0"/>
        <w:jc w:val="both"/>
        <w:rPr>
          <w:rFonts w:ascii="Arial" w:hAnsi="Arial" w:cs="Arial"/>
          <w:b/>
          <w:sz w:val="20"/>
          <w:szCs w:val="20"/>
          <w:shd w:val="clear" w:color="auto" w:fill="FFFFFF"/>
        </w:rPr>
      </w:pPr>
    </w:p>
    <w:p w:rsidR="007D50B9" w:rsidRPr="007D50B9" w:rsidRDefault="007D50B9" w:rsidP="005C61E0">
      <w:pPr>
        <w:spacing w:after="0"/>
        <w:jc w:val="both"/>
        <w:rPr>
          <w:rFonts w:ascii="Arial" w:hAnsi="Arial" w:cs="Arial"/>
          <w:sz w:val="20"/>
          <w:szCs w:val="20"/>
        </w:rPr>
      </w:pPr>
      <w:r w:rsidRPr="007D50B9">
        <w:rPr>
          <w:rFonts w:ascii="Arial" w:hAnsi="Arial" w:cs="Arial"/>
          <w:sz w:val="20"/>
          <w:szCs w:val="20"/>
          <w:shd w:val="clear" w:color="auto" w:fill="FFFFFF"/>
        </w:rPr>
        <w:t>O compartilhamento de infraestrutura de estação rádio base de telefonia celular por prestadoras de serviços de telecomunicações de interesse coletivo caracteriza servidão administrativa, não ensejando direito à indenização ao locador da área utilizada para instalação dos equipamentos.</w:t>
      </w:r>
    </w:p>
    <w:p w:rsidR="00A20F2F" w:rsidRDefault="00A20F2F" w:rsidP="005C61E0">
      <w:pPr>
        <w:spacing w:after="0"/>
        <w:jc w:val="both"/>
        <w:rPr>
          <w:rFonts w:ascii="Arial" w:hAnsi="Arial" w:cs="Arial"/>
          <w:b/>
          <w:color w:val="000000"/>
          <w:sz w:val="20"/>
          <w:szCs w:val="20"/>
        </w:rPr>
      </w:pPr>
    </w:p>
    <w:p w:rsidR="000800D1" w:rsidRPr="0005517F" w:rsidRDefault="000800D1" w:rsidP="005C61E0">
      <w:pPr>
        <w:spacing w:after="0"/>
        <w:jc w:val="both"/>
        <w:rPr>
          <w:rFonts w:ascii="Arial" w:hAnsi="Arial" w:cs="Arial"/>
          <w:b/>
          <w:color w:val="000000"/>
          <w:sz w:val="20"/>
          <w:szCs w:val="20"/>
        </w:rPr>
      </w:pPr>
      <w:r w:rsidRPr="0005517F">
        <w:rPr>
          <w:rFonts w:ascii="Arial" w:hAnsi="Arial" w:cs="Arial"/>
          <w:b/>
          <w:color w:val="000000"/>
          <w:sz w:val="20"/>
          <w:szCs w:val="20"/>
        </w:rPr>
        <w:t>Tribunal de Contas da União:</w:t>
      </w:r>
    </w:p>
    <w:p w:rsidR="00ED0E51" w:rsidRPr="0005517F" w:rsidRDefault="00ED0E51" w:rsidP="005C61E0">
      <w:pPr>
        <w:spacing w:after="0"/>
        <w:jc w:val="both"/>
        <w:rPr>
          <w:rFonts w:ascii="Arial" w:hAnsi="Arial" w:cs="Arial"/>
          <w:b/>
          <w:color w:val="000000"/>
          <w:sz w:val="20"/>
          <w:szCs w:val="20"/>
        </w:rPr>
      </w:pPr>
    </w:p>
    <w:p w:rsidR="00ED0E51" w:rsidRPr="0005517F" w:rsidRDefault="003E0EC2" w:rsidP="005C61E0">
      <w:pPr>
        <w:widowControl w:val="0"/>
        <w:autoSpaceDE w:val="0"/>
        <w:autoSpaceDN w:val="0"/>
        <w:spacing w:after="0"/>
        <w:jc w:val="both"/>
        <w:rPr>
          <w:rFonts w:ascii="Arial" w:hAnsi="Arial" w:cs="Arial"/>
          <w:b/>
          <w:sz w:val="20"/>
          <w:szCs w:val="20"/>
        </w:rPr>
      </w:pPr>
      <w:hyperlink r:id="rId24" w:history="1">
        <w:r w:rsidR="00ED0E51" w:rsidRPr="0005517F">
          <w:rPr>
            <w:rStyle w:val="Hyperlink"/>
            <w:rFonts w:ascii="Arial" w:hAnsi="Arial"/>
            <w:b/>
            <w:sz w:val="20"/>
            <w:szCs w:val="20"/>
          </w:rPr>
          <w:t>Acórdão 1955/2017</w:t>
        </w:r>
        <w:r w:rsidR="00D51420" w:rsidRPr="0005517F">
          <w:rPr>
            <w:rStyle w:val="Hyperlink"/>
            <w:rFonts w:ascii="Arial" w:hAnsi="Arial"/>
            <w:b/>
            <w:sz w:val="20"/>
            <w:szCs w:val="20"/>
          </w:rPr>
          <w:t xml:space="preserve"> - </w:t>
        </w:r>
        <w:r w:rsidR="00ED0E51" w:rsidRPr="0005517F">
          <w:rPr>
            <w:rStyle w:val="Hyperlink"/>
            <w:rFonts w:ascii="Arial" w:hAnsi="Arial"/>
            <w:b/>
            <w:sz w:val="20"/>
            <w:szCs w:val="20"/>
          </w:rPr>
          <w:t>Plenário</w:t>
        </w:r>
      </w:hyperlink>
      <w:r w:rsidR="00ED0E51" w:rsidRPr="0005517F">
        <w:rPr>
          <w:rFonts w:ascii="Arial" w:hAnsi="Arial"/>
          <w:b/>
          <w:sz w:val="20"/>
          <w:szCs w:val="20"/>
        </w:rPr>
        <w:t xml:space="preserve"> </w:t>
      </w:r>
      <w:r w:rsidR="00ED0E51" w:rsidRPr="0005517F">
        <w:rPr>
          <w:rFonts w:ascii="Arial" w:hAnsi="Arial"/>
          <w:sz w:val="20"/>
          <w:szCs w:val="20"/>
        </w:rPr>
        <w:t>(Pedido de Reexame, Relator Ministro Bruno Dantas)</w:t>
      </w:r>
    </w:p>
    <w:p w:rsidR="006B5D75" w:rsidRDefault="006B5D75" w:rsidP="005C61E0">
      <w:pPr>
        <w:spacing w:after="0"/>
        <w:jc w:val="both"/>
        <w:rPr>
          <w:rFonts w:ascii="Arial" w:hAnsi="Arial"/>
          <w:b/>
          <w:sz w:val="20"/>
          <w:szCs w:val="20"/>
        </w:rPr>
      </w:pPr>
    </w:p>
    <w:p w:rsidR="00ED0E51" w:rsidRPr="0005517F" w:rsidRDefault="00ED0E51" w:rsidP="005C61E0">
      <w:pPr>
        <w:spacing w:after="0"/>
        <w:jc w:val="both"/>
        <w:rPr>
          <w:rFonts w:ascii="Arial" w:hAnsi="Arial" w:cs="Arial"/>
          <w:b/>
          <w:sz w:val="20"/>
          <w:szCs w:val="20"/>
        </w:rPr>
      </w:pPr>
      <w:proofErr w:type="gramStart"/>
      <w:r w:rsidRPr="0005517F">
        <w:rPr>
          <w:rFonts w:ascii="Arial" w:hAnsi="Arial"/>
          <w:b/>
          <w:sz w:val="20"/>
          <w:szCs w:val="20"/>
        </w:rPr>
        <w:t>Direito Processual</w:t>
      </w:r>
      <w:proofErr w:type="gramEnd"/>
      <w:r w:rsidRPr="0005517F">
        <w:rPr>
          <w:rFonts w:ascii="Arial" w:hAnsi="Arial"/>
          <w:b/>
          <w:sz w:val="20"/>
          <w:szCs w:val="20"/>
        </w:rPr>
        <w:t>. Parte processual. Denunciante. Requisito.</w:t>
      </w:r>
    </w:p>
    <w:p w:rsidR="006B5D75" w:rsidRDefault="006B5D75" w:rsidP="005C61E0">
      <w:pPr>
        <w:pStyle w:val="TCU-Epgrafe"/>
        <w:spacing w:line="276" w:lineRule="auto"/>
        <w:ind w:left="0"/>
        <w:rPr>
          <w:rFonts w:ascii="Arial" w:hAnsi="Arial"/>
          <w:sz w:val="20"/>
        </w:rPr>
      </w:pPr>
    </w:p>
    <w:p w:rsidR="00ED0E51" w:rsidRPr="0005517F" w:rsidRDefault="00ED0E51" w:rsidP="005C61E0">
      <w:pPr>
        <w:pStyle w:val="TCU-Epgrafe"/>
        <w:spacing w:line="276" w:lineRule="auto"/>
        <w:ind w:left="0"/>
        <w:rPr>
          <w:sz w:val="20"/>
        </w:rPr>
      </w:pPr>
      <w:r w:rsidRPr="0005517F">
        <w:rPr>
          <w:rFonts w:ascii="Arial" w:hAnsi="Arial"/>
          <w:sz w:val="20"/>
        </w:rPr>
        <w:t xml:space="preserve">O denunciante não é considerado, automaticamente, parte processual, devendo, para obter essa condição, demonstrar de forma clara e objetiva razão legítima para intervir nos autos. </w:t>
      </w:r>
    </w:p>
    <w:p w:rsidR="005C61E0" w:rsidRDefault="005C61E0" w:rsidP="005C61E0">
      <w:pPr>
        <w:widowControl w:val="0"/>
        <w:autoSpaceDE w:val="0"/>
        <w:autoSpaceDN w:val="0"/>
        <w:spacing w:after="0"/>
        <w:jc w:val="both"/>
      </w:pPr>
    </w:p>
    <w:p w:rsidR="00ED0E51" w:rsidRPr="0005517F" w:rsidRDefault="003E0EC2" w:rsidP="005C61E0">
      <w:pPr>
        <w:widowControl w:val="0"/>
        <w:autoSpaceDE w:val="0"/>
        <w:autoSpaceDN w:val="0"/>
        <w:spacing w:after="0"/>
        <w:jc w:val="both"/>
        <w:rPr>
          <w:rFonts w:ascii="Arial" w:hAnsi="Arial" w:cs="Arial"/>
          <w:b/>
          <w:sz w:val="20"/>
          <w:szCs w:val="20"/>
        </w:rPr>
      </w:pPr>
      <w:hyperlink r:id="rId25" w:history="1">
        <w:r w:rsidR="00ED0E51" w:rsidRPr="0005517F">
          <w:rPr>
            <w:rStyle w:val="Hyperlink"/>
            <w:rFonts w:ascii="Arial" w:hAnsi="Arial"/>
            <w:b/>
            <w:sz w:val="20"/>
            <w:szCs w:val="20"/>
          </w:rPr>
          <w:t>Acórdão 1958/2017</w:t>
        </w:r>
        <w:r w:rsidR="00A15FE4" w:rsidRPr="0005517F">
          <w:rPr>
            <w:rStyle w:val="Hyperlink"/>
            <w:rFonts w:ascii="Arial" w:hAnsi="Arial"/>
            <w:b/>
            <w:sz w:val="20"/>
            <w:szCs w:val="20"/>
          </w:rPr>
          <w:t xml:space="preserve"> -</w:t>
        </w:r>
        <w:r w:rsidR="00ED0E51" w:rsidRPr="0005517F">
          <w:rPr>
            <w:rStyle w:val="Hyperlink"/>
            <w:rFonts w:ascii="Arial" w:hAnsi="Arial"/>
            <w:b/>
            <w:sz w:val="20"/>
            <w:szCs w:val="20"/>
          </w:rPr>
          <w:t xml:space="preserve"> Plenário</w:t>
        </w:r>
      </w:hyperlink>
      <w:r w:rsidR="00ED0E51" w:rsidRPr="0005517F">
        <w:rPr>
          <w:rFonts w:ascii="Arial" w:hAnsi="Arial"/>
          <w:b/>
          <w:sz w:val="20"/>
          <w:szCs w:val="20"/>
          <w:u w:val="single"/>
        </w:rPr>
        <w:t xml:space="preserve"> </w:t>
      </w:r>
      <w:r w:rsidR="00ED0E51" w:rsidRPr="0005517F">
        <w:rPr>
          <w:rFonts w:ascii="Arial" w:hAnsi="Arial"/>
          <w:sz w:val="20"/>
          <w:szCs w:val="20"/>
        </w:rPr>
        <w:t xml:space="preserve">(Agravo, Relator Ministro Benjamin </w:t>
      </w:r>
      <w:proofErr w:type="spellStart"/>
      <w:r w:rsidR="00ED0E51" w:rsidRPr="0005517F">
        <w:rPr>
          <w:rFonts w:ascii="Arial" w:hAnsi="Arial"/>
          <w:sz w:val="20"/>
          <w:szCs w:val="20"/>
        </w:rPr>
        <w:t>Zymler</w:t>
      </w:r>
      <w:proofErr w:type="spellEnd"/>
      <w:r w:rsidR="00ED0E51" w:rsidRPr="0005517F">
        <w:rPr>
          <w:rFonts w:ascii="Arial" w:hAnsi="Arial"/>
          <w:sz w:val="20"/>
          <w:szCs w:val="20"/>
        </w:rPr>
        <w:t>)</w:t>
      </w:r>
    </w:p>
    <w:p w:rsidR="006B5D75" w:rsidRDefault="006B5D75" w:rsidP="005C61E0">
      <w:pPr>
        <w:spacing w:after="0"/>
        <w:jc w:val="both"/>
        <w:rPr>
          <w:rFonts w:ascii="Arial" w:hAnsi="Arial"/>
          <w:b/>
          <w:sz w:val="20"/>
          <w:szCs w:val="20"/>
        </w:rPr>
      </w:pPr>
    </w:p>
    <w:p w:rsidR="00ED0E51" w:rsidRPr="0005517F" w:rsidRDefault="00ED0E51" w:rsidP="005C61E0">
      <w:pPr>
        <w:spacing w:after="0"/>
        <w:jc w:val="both"/>
        <w:rPr>
          <w:rFonts w:ascii="Arial" w:hAnsi="Arial" w:cs="Arial"/>
          <w:b/>
          <w:sz w:val="20"/>
          <w:szCs w:val="20"/>
        </w:rPr>
      </w:pPr>
      <w:proofErr w:type="gramStart"/>
      <w:r w:rsidRPr="0005517F">
        <w:rPr>
          <w:rFonts w:ascii="Arial" w:hAnsi="Arial"/>
          <w:b/>
          <w:sz w:val="20"/>
          <w:szCs w:val="20"/>
        </w:rPr>
        <w:lastRenderedPageBreak/>
        <w:t>Direito Processual</w:t>
      </w:r>
      <w:proofErr w:type="gramEnd"/>
      <w:r w:rsidRPr="0005517F">
        <w:rPr>
          <w:rFonts w:ascii="Arial" w:hAnsi="Arial"/>
          <w:b/>
          <w:sz w:val="20"/>
          <w:szCs w:val="20"/>
        </w:rPr>
        <w:t>. Acesso à informação. Advogado. Processo de controle externo. Cópia de documento. Requerimento.</w:t>
      </w:r>
    </w:p>
    <w:p w:rsidR="006B5D75" w:rsidRDefault="006B5D75" w:rsidP="005C61E0">
      <w:pPr>
        <w:pStyle w:val="TCU-Epgrafe"/>
        <w:spacing w:line="276" w:lineRule="auto"/>
        <w:ind w:left="0"/>
        <w:rPr>
          <w:rFonts w:ascii="Arial" w:hAnsi="Arial"/>
          <w:sz w:val="20"/>
        </w:rPr>
      </w:pPr>
    </w:p>
    <w:p w:rsidR="00ED0E51" w:rsidRPr="0005517F" w:rsidRDefault="00ED0E51" w:rsidP="005C61E0">
      <w:pPr>
        <w:pStyle w:val="TCU-Epgrafe"/>
        <w:spacing w:line="276" w:lineRule="auto"/>
        <w:ind w:left="0"/>
        <w:rPr>
          <w:sz w:val="20"/>
        </w:rPr>
      </w:pPr>
      <w:r w:rsidRPr="0005517F">
        <w:rPr>
          <w:rFonts w:ascii="Arial" w:hAnsi="Arial"/>
          <w:sz w:val="20"/>
        </w:rPr>
        <w:t xml:space="preserve">Quando não sigiloso o processo, as solicitações de cópias formuladas por advogado não constituído pela parte, mas devidamente inscrito na OAB, prescindem de pedido formal de ingresso nos autos, uma vez que exigência nesse sentido não tem previsão expressa na </w:t>
      </w:r>
      <w:hyperlink r:id="rId26" w:history="1">
        <w:r w:rsidRPr="0005517F">
          <w:rPr>
            <w:rStyle w:val="Hyperlink"/>
            <w:rFonts w:ascii="Arial" w:hAnsi="Arial"/>
            <w:color w:val="0000FF" w:themeColor="hyperlink"/>
            <w:sz w:val="20"/>
          </w:rPr>
          <w:t>Lei 8.906/1994</w:t>
        </w:r>
      </w:hyperlink>
      <w:r w:rsidRPr="0005517F">
        <w:rPr>
          <w:rFonts w:ascii="Arial" w:hAnsi="Arial"/>
          <w:sz w:val="20"/>
        </w:rPr>
        <w:t>.</w:t>
      </w:r>
    </w:p>
    <w:p w:rsidR="005C61E0" w:rsidRDefault="005C61E0" w:rsidP="005C61E0">
      <w:pPr>
        <w:widowControl w:val="0"/>
        <w:autoSpaceDE w:val="0"/>
        <w:autoSpaceDN w:val="0"/>
        <w:spacing w:after="0"/>
        <w:jc w:val="both"/>
      </w:pPr>
    </w:p>
    <w:p w:rsidR="00ED0E51" w:rsidRPr="0005517F" w:rsidRDefault="003E0EC2" w:rsidP="005C61E0">
      <w:pPr>
        <w:widowControl w:val="0"/>
        <w:autoSpaceDE w:val="0"/>
        <w:autoSpaceDN w:val="0"/>
        <w:spacing w:after="0"/>
        <w:jc w:val="both"/>
        <w:rPr>
          <w:rFonts w:ascii="Arial" w:hAnsi="Arial" w:cs="Arial"/>
          <w:b/>
          <w:sz w:val="20"/>
          <w:szCs w:val="20"/>
        </w:rPr>
      </w:pPr>
      <w:hyperlink r:id="rId27" w:history="1">
        <w:r w:rsidR="00ED0E51" w:rsidRPr="0005517F">
          <w:rPr>
            <w:rStyle w:val="Hyperlink"/>
            <w:rFonts w:ascii="Arial" w:hAnsi="Arial"/>
            <w:b/>
            <w:sz w:val="20"/>
            <w:szCs w:val="20"/>
          </w:rPr>
          <w:t>Acórdão 1959/2017</w:t>
        </w:r>
        <w:r w:rsidR="007226D1" w:rsidRPr="0005517F">
          <w:rPr>
            <w:rStyle w:val="Hyperlink"/>
            <w:rFonts w:ascii="Arial" w:hAnsi="Arial"/>
            <w:b/>
            <w:sz w:val="20"/>
            <w:szCs w:val="20"/>
          </w:rPr>
          <w:t xml:space="preserve"> -</w:t>
        </w:r>
        <w:r w:rsidR="00ED0E51" w:rsidRPr="0005517F">
          <w:rPr>
            <w:rStyle w:val="Hyperlink"/>
            <w:rFonts w:ascii="Arial" w:hAnsi="Arial"/>
            <w:b/>
            <w:sz w:val="20"/>
            <w:szCs w:val="20"/>
          </w:rPr>
          <w:t xml:space="preserve"> Plenário</w:t>
        </w:r>
      </w:hyperlink>
      <w:r w:rsidR="00ED0E51" w:rsidRPr="0005517F">
        <w:rPr>
          <w:rFonts w:ascii="Arial" w:hAnsi="Arial"/>
          <w:b/>
          <w:sz w:val="20"/>
          <w:szCs w:val="20"/>
        </w:rPr>
        <w:t xml:space="preserve"> </w:t>
      </w:r>
      <w:r w:rsidR="00ED0E51" w:rsidRPr="0005517F">
        <w:rPr>
          <w:rFonts w:ascii="Arial" w:hAnsi="Arial"/>
          <w:sz w:val="20"/>
          <w:szCs w:val="20"/>
        </w:rPr>
        <w:t xml:space="preserve">(Embargos de Declaração, Relator Ministro Benjamin </w:t>
      </w:r>
      <w:proofErr w:type="spellStart"/>
      <w:r w:rsidR="00ED0E51" w:rsidRPr="0005517F">
        <w:rPr>
          <w:rFonts w:ascii="Arial" w:hAnsi="Arial"/>
          <w:sz w:val="20"/>
          <w:szCs w:val="20"/>
        </w:rPr>
        <w:t>Zymler</w:t>
      </w:r>
      <w:proofErr w:type="spellEnd"/>
      <w:r w:rsidR="00ED0E51" w:rsidRPr="0005517F">
        <w:rPr>
          <w:rFonts w:ascii="Arial" w:hAnsi="Arial"/>
          <w:sz w:val="20"/>
          <w:szCs w:val="20"/>
        </w:rPr>
        <w:t>)</w:t>
      </w:r>
    </w:p>
    <w:p w:rsidR="006B5D75" w:rsidRDefault="006B5D75" w:rsidP="005C61E0">
      <w:pPr>
        <w:spacing w:after="0"/>
        <w:jc w:val="both"/>
        <w:rPr>
          <w:rFonts w:ascii="Arial" w:hAnsi="Arial"/>
          <w:b/>
          <w:sz w:val="20"/>
          <w:szCs w:val="20"/>
        </w:rPr>
      </w:pPr>
    </w:p>
    <w:p w:rsidR="00ED0E51" w:rsidRPr="0005517F" w:rsidRDefault="00ED0E51" w:rsidP="005C61E0">
      <w:pPr>
        <w:spacing w:after="0"/>
        <w:jc w:val="both"/>
        <w:rPr>
          <w:rFonts w:ascii="Arial" w:hAnsi="Arial" w:cs="Arial"/>
          <w:b/>
          <w:sz w:val="20"/>
          <w:szCs w:val="20"/>
        </w:rPr>
      </w:pPr>
      <w:r w:rsidRPr="0005517F">
        <w:rPr>
          <w:rFonts w:ascii="Arial" w:hAnsi="Arial"/>
          <w:b/>
          <w:sz w:val="20"/>
          <w:szCs w:val="20"/>
        </w:rPr>
        <w:t xml:space="preserve">Licitação. Proposta. Preço. Preço de mercado. Obrigatoriedade. Superfaturamento. Débito. Solidariedade. Orçamento estimativo. </w:t>
      </w:r>
      <w:proofErr w:type="spellStart"/>
      <w:r w:rsidRPr="0005517F">
        <w:rPr>
          <w:rFonts w:ascii="Arial" w:hAnsi="Arial"/>
          <w:b/>
          <w:sz w:val="20"/>
          <w:szCs w:val="20"/>
        </w:rPr>
        <w:t>Sobrepreço</w:t>
      </w:r>
      <w:proofErr w:type="spellEnd"/>
      <w:r w:rsidRPr="0005517F">
        <w:rPr>
          <w:rFonts w:ascii="Arial" w:hAnsi="Arial"/>
          <w:b/>
          <w:sz w:val="20"/>
          <w:szCs w:val="20"/>
        </w:rPr>
        <w:t>.</w:t>
      </w:r>
    </w:p>
    <w:p w:rsidR="006B5D75" w:rsidRDefault="006B5D75" w:rsidP="005C61E0">
      <w:pPr>
        <w:pStyle w:val="TCU-Epgrafe"/>
        <w:spacing w:line="276" w:lineRule="auto"/>
        <w:ind w:left="0"/>
        <w:rPr>
          <w:rFonts w:ascii="Arial" w:hAnsi="Arial"/>
          <w:sz w:val="20"/>
        </w:rPr>
      </w:pPr>
    </w:p>
    <w:p w:rsidR="00ED0E51" w:rsidRPr="0005517F" w:rsidRDefault="00ED0E51" w:rsidP="005C61E0">
      <w:pPr>
        <w:pStyle w:val="TCU-Epgrafe"/>
        <w:spacing w:line="276" w:lineRule="auto"/>
        <w:ind w:left="0"/>
        <w:rPr>
          <w:sz w:val="20"/>
        </w:rPr>
      </w:pPr>
      <w:r w:rsidRPr="0005517F">
        <w:rPr>
          <w:rFonts w:ascii="Arial" w:hAnsi="Arial"/>
          <w:sz w:val="20"/>
        </w:rPr>
        <w:t>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w:t>
      </w:r>
    </w:p>
    <w:p w:rsidR="005C61E0" w:rsidRDefault="005C61E0" w:rsidP="005C61E0">
      <w:pPr>
        <w:widowControl w:val="0"/>
        <w:autoSpaceDE w:val="0"/>
        <w:autoSpaceDN w:val="0"/>
        <w:spacing w:after="0"/>
        <w:jc w:val="both"/>
      </w:pPr>
    </w:p>
    <w:p w:rsidR="00824ADC" w:rsidRPr="0005517F" w:rsidRDefault="003E0EC2" w:rsidP="005C61E0">
      <w:pPr>
        <w:widowControl w:val="0"/>
        <w:autoSpaceDE w:val="0"/>
        <w:autoSpaceDN w:val="0"/>
        <w:spacing w:after="0"/>
        <w:jc w:val="both"/>
        <w:rPr>
          <w:rFonts w:ascii="Arial" w:hAnsi="Arial" w:cs="Arial"/>
          <w:b/>
          <w:sz w:val="20"/>
          <w:szCs w:val="20"/>
        </w:rPr>
      </w:pPr>
      <w:hyperlink r:id="rId28" w:history="1">
        <w:r w:rsidR="00824ADC" w:rsidRPr="0005517F">
          <w:rPr>
            <w:rStyle w:val="Hyperlink"/>
            <w:rFonts w:ascii="Arial" w:hAnsi="Arial"/>
            <w:b/>
            <w:sz w:val="20"/>
            <w:szCs w:val="20"/>
          </w:rPr>
          <w:t>Acórdão 8524/2017</w:t>
        </w:r>
        <w:r w:rsidR="00340249" w:rsidRPr="0005517F">
          <w:rPr>
            <w:rStyle w:val="Hyperlink"/>
            <w:rFonts w:ascii="Arial" w:hAnsi="Arial"/>
            <w:b/>
            <w:sz w:val="20"/>
            <w:szCs w:val="20"/>
          </w:rPr>
          <w:t xml:space="preserve"> - </w:t>
        </w:r>
        <w:r w:rsidR="00824ADC" w:rsidRPr="0005517F">
          <w:rPr>
            <w:rStyle w:val="Hyperlink"/>
            <w:rFonts w:ascii="Arial" w:hAnsi="Arial"/>
            <w:b/>
            <w:sz w:val="20"/>
            <w:szCs w:val="20"/>
          </w:rPr>
          <w:t>Primeira Câmara</w:t>
        </w:r>
      </w:hyperlink>
      <w:r w:rsidR="00824ADC" w:rsidRPr="0005517F">
        <w:rPr>
          <w:rFonts w:ascii="Arial" w:hAnsi="Arial"/>
          <w:b/>
          <w:sz w:val="20"/>
          <w:szCs w:val="20"/>
        </w:rPr>
        <w:t xml:space="preserve"> </w:t>
      </w:r>
      <w:r w:rsidR="00824ADC" w:rsidRPr="0005517F">
        <w:rPr>
          <w:rFonts w:ascii="Arial" w:hAnsi="Arial"/>
          <w:sz w:val="20"/>
          <w:szCs w:val="20"/>
        </w:rPr>
        <w:t>(Aposentadoria, Relator Ministro Bruno Dantas)</w:t>
      </w:r>
    </w:p>
    <w:p w:rsidR="006B5D75" w:rsidRDefault="006B5D75" w:rsidP="005C61E0">
      <w:pPr>
        <w:spacing w:after="0"/>
        <w:jc w:val="both"/>
        <w:rPr>
          <w:rFonts w:ascii="Arial" w:hAnsi="Arial"/>
          <w:b/>
          <w:sz w:val="20"/>
          <w:szCs w:val="20"/>
        </w:rPr>
      </w:pPr>
    </w:p>
    <w:p w:rsidR="00824ADC" w:rsidRPr="0005517F" w:rsidRDefault="00824ADC" w:rsidP="005C61E0">
      <w:pPr>
        <w:spacing w:after="0"/>
        <w:jc w:val="both"/>
        <w:rPr>
          <w:rFonts w:ascii="Arial" w:hAnsi="Arial" w:cs="Arial"/>
          <w:b/>
          <w:sz w:val="20"/>
          <w:szCs w:val="20"/>
        </w:rPr>
      </w:pPr>
      <w:r w:rsidRPr="0005517F">
        <w:rPr>
          <w:rFonts w:ascii="Arial" w:hAnsi="Arial"/>
          <w:b/>
          <w:sz w:val="20"/>
          <w:szCs w:val="20"/>
        </w:rPr>
        <w:t>Pessoal. Aposentadoria. Proventos. Irredutibilidade. Verba ilegal. Exclusão.</w:t>
      </w:r>
    </w:p>
    <w:p w:rsidR="006B5D75" w:rsidRDefault="006B5D75" w:rsidP="005C61E0">
      <w:pPr>
        <w:spacing w:after="0"/>
        <w:jc w:val="both"/>
        <w:rPr>
          <w:rFonts w:ascii="Arial" w:hAnsi="Arial"/>
          <w:sz w:val="20"/>
          <w:szCs w:val="20"/>
          <w:shd w:val="clear" w:color="auto" w:fill="FFFFFF"/>
          <w:lang w:eastAsia="pt-BR"/>
        </w:rPr>
      </w:pPr>
    </w:p>
    <w:p w:rsidR="00824ADC" w:rsidRPr="0005517F" w:rsidRDefault="00824ADC" w:rsidP="005C61E0">
      <w:pPr>
        <w:spacing w:after="0"/>
        <w:jc w:val="both"/>
        <w:rPr>
          <w:sz w:val="20"/>
          <w:szCs w:val="20"/>
          <w:shd w:val="clear" w:color="auto" w:fill="FFFFFF"/>
          <w:lang w:eastAsia="pt-BR"/>
        </w:rPr>
      </w:pPr>
      <w:r w:rsidRPr="0005517F">
        <w:rPr>
          <w:rFonts w:ascii="Arial" w:hAnsi="Arial"/>
          <w:sz w:val="20"/>
          <w:szCs w:val="20"/>
          <w:shd w:val="clear" w:color="auto" w:fill="FFFFFF"/>
          <w:lang w:eastAsia="pt-BR"/>
        </w:rPr>
        <w:t>A redução de proventos de aposentadoria, com a exclusão de parcela concedida em desacordo com a lei, não ofende o princípio da irredutibilidade de vencimentos.</w:t>
      </w:r>
    </w:p>
    <w:p w:rsidR="005C61E0" w:rsidRDefault="005C61E0" w:rsidP="005C61E0">
      <w:pPr>
        <w:widowControl w:val="0"/>
        <w:autoSpaceDE w:val="0"/>
        <w:autoSpaceDN w:val="0"/>
        <w:spacing w:after="0"/>
        <w:jc w:val="both"/>
      </w:pPr>
    </w:p>
    <w:p w:rsidR="00824ADC" w:rsidRPr="0005517F" w:rsidRDefault="003E0EC2" w:rsidP="005C61E0">
      <w:pPr>
        <w:widowControl w:val="0"/>
        <w:autoSpaceDE w:val="0"/>
        <w:autoSpaceDN w:val="0"/>
        <w:spacing w:after="0"/>
        <w:jc w:val="both"/>
        <w:rPr>
          <w:rFonts w:ascii="Arial" w:hAnsi="Arial" w:cs="Arial"/>
          <w:b/>
          <w:sz w:val="20"/>
          <w:szCs w:val="20"/>
        </w:rPr>
      </w:pPr>
      <w:hyperlink r:id="rId29" w:history="1">
        <w:r w:rsidR="00824ADC" w:rsidRPr="0005517F">
          <w:rPr>
            <w:rStyle w:val="Hyperlink"/>
            <w:rFonts w:ascii="Arial" w:hAnsi="Arial"/>
            <w:b/>
            <w:sz w:val="20"/>
            <w:szCs w:val="20"/>
          </w:rPr>
          <w:t xml:space="preserve">Acórdão 8330/2017 </w:t>
        </w:r>
        <w:r w:rsidR="00702049" w:rsidRPr="0005517F">
          <w:rPr>
            <w:rStyle w:val="Hyperlink"/>
            <w:rFonts w:ascii="Arial" w:hAnsi="Arial"/>
            <w:b/>
            <w:sz w:val="20"/>
            <w:szCs w:val="20"/>
          </w:rPr>
          <w:t xml:space="preserve">- </w:t>
        </w:r>
        <w:r w:rsidR="00824ADC" w:rsidRPr="0005517F">
          <w:rPr>
            <w:rStyle w:val="Hyperlink"/>
            <w:rFonts w:ascii="Arial" w:hAnsi="Arial"/>
            <w:b/>
            <w:sz w:val="20"/>
            <w:szCs w:val="20"/>
          </w:rPr>
          <w:t>Segunda Câmara</w:t>
        </w:r>
      </w:hyperlink>
      <w:r w:rsidR="00824ADC" w:rsidRPr="0005517F">
        <w:rPr>
          <w:rFonts w:ascii="Arial" w:hAnsi="Arial"/>
          <w:b/>
          <w:sz w:val="20"/>
          <w:szCs w:val="20"/>
        </w:rPr>
        <w:t xml:space="preserve"> </w:t>
      </w:r>
      <w:r w:rsidR="00824ADC" w:rsidRPr="0005517F">
        <w:rPr>
          <w:rFonts w:ascii="Arial" w:hAnsi="Arial"/>
          <w:sz w:val="20"/>
          <w:szCs w:val="20"/>
        </w:rPr>
        <w:t xml:space="preserve">(Representação, Relator Ministro Augusto </w:t>
      </w:r>
      <w:proofErr w:type="spellStart"/>
      <w:r w:rsidR="00824ADC" w:rsidRPr="0005517F">
        <w:rPr>
          <w:rFonts w:ascii="Arial" w:hAnsi="Arial"/>
          <w:sz w:val="20"/>
          <w:szCs w:val="20"/>
        </w:rPr>
        <w:t>Nardes</w:t>
      </w:r>
      <w:proofErr w:type="spellEnd"/>
      <w:r w:rsidR="00824ADC" w:rsidRPr="0005517F">
        <w:rPr>
          <w:rFonts w:ascii="Arial" w:hAnsi="Arial"/>
          <w:sz w:val="20"/>
          <w:szCs w:val="20"/>
        </w:rPr>
        <w:t>)</w:t>
      </w:r>
    </w:p>
    <w:p w:rsidR="006B5D75" w:rsidRDefault="006B5D75" w:rsidP="005C61E0">
      <w:pPr>
        <w:spacing w:after="0"/>
        <w:jc w:val="both"/>
        <w:rPr>
          <w:rFonts w:ascii="Arial" w:hAnsi="Arial"/>
          <w:b/>
          <w:sz w:val="20"/>
          <w:szCs w:val="20"/>
        </w:rPr>
      </w:pPr>
    </w:p>
    <w:p w:rsidR="00824ADC" w:rsidRPr="0005517F" w:rsidRDefault="00824ADC" w:rsidP="005C61E0">
      <w:pPr>
        <w:spacing w:after="0"/>
        <w:jc w:val="both"/>
        <w:rPr>
          <w:rFonts w:ascii="Arial" w:hAnsi="Arial" w:cs="Arial"/>
          <w:b/>
          <w:sz w:val="20"/>
          <w:szCs w:val="20"/>
        </w:rPr>
      </w:pPr>
      <w:r w:rsidRPr="0005517F">
        <w:rPr>
          <w:rFonts w:ascii="Arial" w:hAnsi="Arial"/>
          <w:b/>
          <w:sz w:val="20"/>
          <w:szCs w:val="20"/>
        </w:rPr>
        <w:t>Licitação. Direito de preferência. Pequena empresa. Microempresa. Qualificação econômico-financeira. Regularidade fiscal.</w:t>
      </w:r>
    </w:p>
    <w:p w:rsidR="006B5D75" w:rsidRDefault="006B5D75" w:rsidP="005C61E0">
      <w:pPr>
        <w:pStyle w:val="TCU-Epgrafe"/>
        <w:spacing w:line="276" w:lineRule="auto"/>
        <w:ind w:left="0"/>
        <w:rPr>
          <w:rFonts w:ascii="Arial" w:hAnsi="Arial"/>
          <w:sz w:val="20"/>
        </w:rPr>
      </w:pPr>
    </w:p>
    <w:p w:rsidR="00824ADC" w:rsidRPr="0005517F" w:rsidRDefault="00824ADC" w:rsidP="005C61E0">
      <w:pPr>
        <w:pStyle w:val="TCU-Epgrafe"/>
        <w:spacing w:line="276" w:lineRule="auto"/>
        <w:ind w:left="0"/>
        <w:rPr>
          <w:sz w:val="20"/>
        </w:rPr>
      </w:pPr>
      <w:r w:rsidRPr="0005517F">
        <w:rPr>
          <w:rFonts w:ascii="Arial" w:hAnsi="Arial"/>
          <w:sz w:val="20"/>
        </w:rPr>
        <w:t>O tratamento favorecido às microempresas e empresas de pequeno porte para comprovação de regularidade fiscal, previsto na Lei Complementar 123/2006, não se estende à qualificação econômico-financeira.</w:t>
      </w:r>
    </w:p>
    <w:p w:rsidR="005C61E0" w:rsidRDefault="005C61E0" w:rsidP="005C61E0">
      <w:pPr>
        <w:widowControl w:val="0"/>
        <w:autoSpaceDE w:val="0"/>
        <w:autoSpaceDN w:val="0"/>
        <w:spacing w:after="0"/>
        <w:jc w:val="both"/>
      </w:pPr>
    </w:p>
    <w:p w:rsidR="0088672B" w:rsidRPr="0005517F" w:rsidRDefault="003E0EC2" w:rsidP="005C61E0">
      <w:pPr>
        <w:widowControl w:val="0"/>
        <w:autoSpaceDE w:val="0"/>
        <w:autoSpaceDN w:val="0"/>
        <w:spacing w:after="0"/>
        <w:jc w:val="both"/>
        <w:rPr>
          <w:rFonts w:ascii="Arial" w:hAnsi="Arial" w:cs="Arial"/>
          <w:b/>
          <w:sz w:val="20"/>
          <w:szCs w:val="20"/>
        </w:rPr>
      </w:pPr>
      <w:hyperlink r:id="rId30" w:history="1">
        <w:r w:rsidR="0088672B" w:rsidRPr="0005517F">
          <w:rPr>
            <w:rStyle w:val="Hyperlink"/>
            <w:rFonts w:ascii="Arial" w:hAnsi="Arial"/>
            <w:b/>
            <w:sz w:val="20"/>
            <w:szCs w:val="20"/>
          </w:rPr>
          <w:t>Acórdão 2136/2017</w:t>
        </w:r>
        <w:r w:rsidR="00EE1739" w:rsidRPr="0005517F">
          <w:rPr>
            <w:rStyle w:val="Hyperlink"/>
            <w:rFonts w:ascii="Arial" w:hAnsi="Arial"/>
            <w:b/>
            <w:sz w:val="20"/>
            <w:szCs w:val="20"/>
          </w:rPr>
          <w:t xml:space="preserve"> -</w:t>
        </w:r>
        <w:r w:rsidR="0088672B" w:rsidRPr="0005517F">
          <w:rPr>
            <w:rStyle w:val="Hyperlink"/>
            <w:rFonts w:ascii="Arial" w:hAnsi="Arial"/>
            <w:b/>
            <w:sz w:val="20"/>
            <w:szCs w:val="20"/>
          </w:rPr>
          <w:t xml:space="preserve"> Plenário</w:t>
        </w:r>
      </w:hyperlink>
      <w:r w:rsidR="0088672B" w:rsidRPr="0005517F">
        <w:rPr>
          <w:rFonts w:ascii="Arial" w:hAnsi="Arial"/>
          <w:b/>
          <w:sz w:val="20"/>
          <w:szCs w:val="20"/>
        </w:rPr>
        <w:t xml:space="preserve"> </w:t>
      </w:r>
      <w:r w:rsidR="0088672B" w:rsidRPr="0005517F">
        <w:rPr>
          <w:rFonts w:ascii="Arial" w:hAnsi="Arial"/>
          <w:sz w:val="20"/>
          <w:szCs w:val="20"/>
        </w:rPr>
        <w:t>(Auditoria, Relator Ministro Aroldo Cedraz)</w:t>
      </w:r>
    </w:p>
    <w:p w:rsidR="006B5D75" w:rsidRDefault="006B5D75" w:rsidP="005C61E0">
      <w:pPr>
        <w:spacing w:after="0"/>
        <w:jc w:val="both"/>
        <w:rPr>
          <w:rFonts w:ascii="Arial" w:hAnsi="Arial"/>
          <w:b/>
          <w:sz w:val="20"/>
          <w:szCs w:val="20"/>
        </w:rPr>
      </w:pPr>
    </w:p>
    <w:p w:rsidR="0088672B" w:rsidRPr="0005517F" w:rsidRDefault="0088672B" w:rsidP="005C61E0">
      <w:pPr>
        <w:spacing w:after="0"/>
        <w:jc w:val="both"/>
        <w:rPr>
          <w:rFonts w:ascii="Arial" w:hAnsi="Arial" w:cs="Arial"/>
          <w:b/>
          <w:sz w:val="20"/>
          <w:szCs w:val="20"/>
        </w:rPr>
      </w:pPr>
      <w:r w:rsidRPr="0005517F">
        <w:rPr>
          <w:rFonts w:ascii="Arial" w:hAnsi="Arial"/>
          <w:b/>
          <w:sz w:val="20"/>
          <w:szCs w:val="20"/>
        </w:rPr>
        <w:t>Contrato Administrativo. RDC. Contratação integrada. Orçamento. Detalhamento. Projeto básico. Projeto executivo.</w:t>
      </w:r>
    </w:p>
    <w:p w:rsidR="006B5D75" w:rsidRDefault="006B5D75" w:rsidP="005C61E0">
      <w:pPr>
        <w:pStyle w:val="TCU-Epgrafe"/>
        <w:spacing w:line="276" w:lineRule="auto"/>
        <w:ind w:left="0"/>
        <w:rPr>
          <w:rFonts w:ascii="Arial" w:hAnsi="Arial"/>
          <w:sz w:val="20"/>
        </w:rPr>
      </w:pPr>
    </w:p>
    <w:p w:rsidR="0088672B" w:rsidRDefault="0088672B" w:rsidP="005C61E0">
      <w:pPr>
        <w:pStyle w:val="TCU-Epgrafe"/>
        <w:spacing w:line="276" w:lineRule="auto"/>
        <w:ind w:left="0"/>
        <w:rPr>
          <w:rFonts w:ascii="Arial" w:hAnsi="Arial"/>
          <w:sz w:val="20"/>
        </w:rPr>
      </w:pPr>
      <w:r w:rsidRPr="0005517F">
        <w:rPr>
          <w:rFonts w:ascii="Arial" w:hAnsi="Arial"/>
          <w:sz w:val="20"/>
        </w:rPr>
        <w:t xml:space="preserve">A Administração deve exigir das empresas contratadas no regime de contratação integrada, por ocasião da entrega dos projetos básico e executivo, a apresentação de orçamento detalhado </w:t>
      </w:r>
      <w:r w:rsidRPr="0005517F">
        <w:rPr>
          <w:rFonts w:ascii="Arial" w:hAnsi="Arial"/>
          <w:sz w:val="20"/>
        </w:rPr>
        <w:lastRenderedPageBreak/>
        <w:t xml:space="preserve">contendo descrições, unidades de medida, quantitativos e preços unitários de todos os serviços da obra, acompanhado das respectivas composições de custo unitário, bem como do detalhamento dos encargos sociais e da taxa de BDI, nos termos do art. 2º, parágrafo único, da </w:t>
      </w:r>
      <w:hyperlink r:id="rId31" w:tgtFrame="_blank" w:history="1">
        <w:r w:rsidRPr="0005517F">
          <w:rPr>
            <w:rStyle w:val="Hyperlink"/>
            <w:rFonts w:ascii="Arial" w:hAnsi="Arial"/>
            <w:color w:val="0000FF" w:themeColor="hyperlink"/>
            <w:sz w:val="20"/>
            <w:shd w:val="clear" w:color="auto" w:fill="FFFFFF"/>
          </w:rPr>
          <w:t>Lei 12.462/2011</w:t>
        </w:r>
      </w:hyperlink>
      <w:r w:rsidRPr="0005517F">
        <w:rPr>
          <w:rFonts w:ascii="Arial" w:hAnsi="Arial"/>
          <w:sz w:val="20"/>
        </w:rPr>
        <w:t>, aplicável a todos os regimes de execução contratual do RDC, e da Súmula TCU 258.</w:t>
      </w:r>
    </w:p>
    <w:p w:rsidR="005C61E0" w:rsidRDefault="005C61E0" w:rsidP="005C61E0">
      <w:pPr>
        <w:pStyle w:val="Default"/>
        <w:spacing w:line="276" w:lineRule="auto"/>
        <w:jc w:val="both"/>
        <w:rPr>
          <w:b/>
          <w:sz w:val="20"/>
          <w:szCs w:val="20"/>
        </w:rPr>
      </w:pPr>
    </w:p>
    <w:p w:rsidR="00F729ED" w:rsidRDefault="00F729ED" w:rsidP="005C61E0">
      <w:pPr>
        <w:pStyle w:val="Default"/>
        <w:spacing w:line="276" w:lineRule="auto"/>
        <w:jc w:val="both"/>
        <w:rPr>
          <w:b/>
          <w:sz w:val="20"/>
          <w:szCs w:val="20"/>
        </w:rPr>
      </w:pPr>
      <w:r>
        <w:rPr>
          <w:b/>
          <w:sz w:val="20"/>
          <w:szCs w:val="20"/>
        </w:rPr>
        <w:t xml:space="preserve">Acesse também: </w:t>
      </w:r>
    </w:p>
    <w:p w:rsidR="00BC4C07" w:rsidRPr="00BC4C07" w:rsidRDefault="003E0EC2" w:rsidP="005C61E0">
      <w:pPr>
        <w:pStyle w:val="Default"/>
        <w:spacing w:line="276" w:lineRule="auto"/>
        <w:jc w:val="center"/>
        <w:rPr>
          <w:b/>
          <w:sz w:val="20"/>
          <w:szCs w:val="20"/>
        </w:rPr>
      </w:pPr>
      <w:hyperlink r:id="rId32" w:history="1">
        <w:r w:rsidR="00BC4C07" w:rsidRPr="00BC4C07">
          <w:rPr>
            <w:rStyle w:val="Hyperlink"/>
            <w:b/>
            <w:sz w:val="20"/>
            <w:szCs w:val="20"/>
          </w:rPr>
          <w:t>Pesquisas Prontas</w:t>
        </w:r>
      </w:hyperlink>
    </w:p>
    <w:p w:rsidR="00BC4C07" w:rsidRDefault="00BC4C07" w:rsidP="005C61E0">
      <w:pPr>
        <w:pStyle w:val="Default"/>
        <w:spacing w:line="276" w:lineRule="auto"/>
        <w:jc w:val="center"/>
      </w:pPr>
    </w:p>
    <w:p w:rsidR="00CF77D1" w:rsidRDefault="003E0EC2" w:rsidP="005C61E0">
      <w:pPr>
        <w:pStyle w:val="Default"/>
        <w:spacing w:line="276" w:lineRule="auto"/>
        <w:jc w:val="center"/>
        <w:rPr>
          <w:rStyle w:val="Hyperlink"/>
          <w:b/>
          <w:sz w:val="20"/>
          <w:szCs w:val="20"/>
        </w:rPr>
      </w:pPr>
      <w:hyperlink r:id="rId33" w:history="1">
        <w:r w:rsidR="00CF77D1">
          <w:rPr>
            <w:rStyle w:val="Hyperlink"/>
            <w:b/>
            <w:sz w:val="20"/>
            <w:szCs w:val="20"/>
          </w:rPr>
          <w:t>Repercussão Geral do Supremo Tribunal Federal - STF e os Tribunais de Contas</w:t>
        </w:r>
      </w:hyperlink>
    </w:p>
    <w:p w:rsidR="00BC4C07" w:rsidRDefault="00BC4C07" w:rsidP="005C61E0">
      <w:pPr>
        <w:pStyle w:val="Default"/>
        <w:spacing w:line="276" w:lineRule="auto"/>
        <w:jc w:val="center"/>
        <w:rPr>
          <w:rStyle w:val="Hyperlink"/>
          <w:b/>
          <w:sz w:val="20"/>
          <w:szCs w:val="20"/>
        </w:rPr>
      </w:pPr>
    </w:p>
    <w:p w:rsidR="00BC4C07" w:rsidRPr="00002CBF" w:rsidRDefault="003E0EC2" w:rsidP="005C61E0">
      <w:pPr>
        <w:pStyle w:val="Default"/>
        <w:spacing w:line="276" w:lineRule="auto"/>
        <w:jc w:val="center"/>
        <w:rPr>
          <w:rStyle w:val="Hyperlink"/>
          <w:b/>
          <w:sz w:val="20"/>
          <w:szCs w:val="20"/>
        </w:rPr>
      </w:pPr>
      <w:hyperlink r:id="rId34" w:history="1">
        <w:r w:rsidR="00BC4C07" w:rsidRPr="00002CBF">
          <w:rPr>
            <w:rStyle w:val="Hyperlink"/>
            <w:b/>
            <w:sz w:val="20"/>
            <w:szCs w:val="20"/>
          </w:rPr>
          <w:t>Revista Digital do Tribunal de Contas do Estado do Paraná - Edição n° 1</w:t>
        </w:r>
        <w:r w:rsidR="00002CBF" w:rsidRPr="00002CBF">
          <w:rPr>
            <w:rStyle w:val="Hyperlink"/>
            <w:b/>
            <w:sz w:val="20"/>
            <w:szCs w:val="20"/>
          </w:rPr>
          <w:t>8</w:t>
        </w:r>
      </w:hyperlink>
    </w:p>
    <w:p w:rsidR="004B6EA7" w:rsidRDefault="004B6EA7" w:rsidP="005C61E0">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5C61E0">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5C61E0">
      <w:pPr>
        <w:widowControl w:val="0"/>
        <w:autoSpaceDE w:val="0"/>
        <w:autoSpaceDN w:val="0"/>
        <w:spacing w:after="0"/>
        <w:jc w:val="both"/>
        <w:rPr>
          <w:rFonts w:ascii="Arial" w:hAnsi="Arial" w:cs="Arial"/>
          <w:b/>
          <w:sz w:val="20"/>
          <w:szCs w:val="20"/>
        </w:rPr>
      </w:pPr>
    </w:p>
    <w:sectPr w:rsidR="00E01524" w:rsidRPr="0022060B">
      <w:headerReference w:type="default" r:id="rId35"/>
      <w:footerReference w:type="default" r:id="rId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3E0EC2">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070C35"/>
    <w:multiLevelType w:val="hybridMultilevel"/>
    <w:tmpl w:val="46FEE2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D5F6957"/>
    <w:multiLevelType w:val="hybridMultilevel"/>
    <w:tmpl w:val="08088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2"/>
  </w:num>
  <w:num w:numId="5">
    <w:abstractNumId w:val="13"/>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2CBF"/>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3E69"/>
    <w:rsid w:val="00040EBA"/>
    <w:rsid w:val="00042502"/>
    <w:rsid w:val="00042645"/>
    <w:rsid w:val="00042DF3"/>
    <w:rsid w:val="000433EC"/>
    <w:rsid w:val="000439FD"/>
    <w:rsid w:val="00045700"/>
    <w:rsid w:val="00046191"/>
    <w:rsid w:val="00046E21"/>
    <w:rsid w:val="00047EF1"/>
    <w:rsid w:val="00052862"/>
    <w:rsid w:val="00053B72"/>
    <w:rsid w:val="0005517F"/>
    <w:rsid w:val="00056686"/>
    <w:rsid w:val="00056E6F"/>
    <w:rsid w:val="000572CE"/>
    <w:rsid w:val="000617CF"/>
    <w:rsid w:val="00062737"/>
    <w:rsid w:val="000640B0"/>
    <w:rsid w:val="00067E01"/>
    <w:rsid w:val="00070009"/>
    <w:rsid w:val="00070B14"/>
    <w:rsid w:val="000713DD"/>
    <w:rsid w:val="00071DE3"/>
    <w:rsid w:val="0007200C"/>
    <w:rsid w:val="00073F9F"/>
    <w:rsid w:val="00074287"/>
    <w:rsid w:val="000747BF"/>
    <w:rsid w:val="00074FAB"/>
    <w:rsid w:val="000759E5"/>
    <w:rsid w:val="00076184"/>
    <w:rsid w:val="00076469"/>
    <w:rsid w:val="000800D1"/>
    <w:rsid w:val="00081818"/>
    <w:rsid w:val="0009260D"/>
    <w:rsid w:val="000926D4"/>
    <w:rsid w:val="00092E5D"/>
    <w:rsid w:val="00094612"/>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552"/>
    <w:rsid w:val="000F18DA"/>
    <w:rsid w:val="000F1FFA"/>
    <w:rsid w:val="000F314C"/>
    <w:rsid w:val="000F639D"/>
    <w:rsid w:val="000F7C1B"/>
    <w:rsid w:val="00100B9C"/>
    <w:rsid w:val="00106AA9"/>
    <w:rsid w:val="00106B38"/>
    <w:rsid w:val="00110517"/>
    <w:rsid w:val="00110BD6"/>
    <w:rsid w:val="00111B86"/>
    <w:rsid w:val="00111C26"/>
    <w:rsid w:val="00112B60"/>
    <w:rsid w:val="00113EF1"/>
    <w:rsid w:val="00114B62"/>
    <w:rsid w:val="001159C9"/>
    <w:rsid w:val="00120862"/>
    <w:rsid w:val="0012211A"/>
    <w:rsid w:val="00122E13"/>
    <w:rsid w:val="00123D02"/>
    <w:rsid w:val="00124A0F"/>
    <w:rsid w:val="00126447"/>
    <w:rsid w:val="00127DF2"/>
    <w:rsid w:val="00130717"/>
    <w:rsid w:val="0013298B"/>
    <w:rsid w:val="001342E3"/>
    <w:rsid w:val="0013514C"/>
    <w:rsid w:val="0013583F"/>
    <w:rsid w:val="00135D5F"/>
    <w:rsid w:val="001411E6"/>
    <w:rsid w:val="001415BA"/>
    <w:rsid w:val="00142D10"/>
    <w:rsid w:val="00144712"/>
    <w:rsid w:val="001472C1"/>
    <w:rsid w:val="00150844"/>
    <w:rsid w:val="00150A98"/>
    <w:rsid w:val="001529D8"/>
    <w:rsid w:val="00156185"/>
    <w:rsid w:val="00156F74"/>
    <w:rsid w:val="00157806"/>
    <w:rsid w:val="00157D64"/>
    <w:rsid w:val="0016028F"/>
    <w:rsid w:val="00161AA2"/>
    <w:rsid w:val="0016670D"/>
    <w:rsid w:val="00166A96"/>
    <w:rsid w:val="00170F9D"/>
    <w:rsid w:val="00171401"/>
    <w:rsid w:val="001720EB"/>
    <w:rsid w:val="0017455D"/>
    <w:rsid w:val="001770AF"/>
    <w:rsid w:val="001800A9"/>
    <w:rsid w:val="00180EF3"/>
    <w:rsid w:val="001823E7"/>
    <w:rsid w:val="0018272D"/>
    <w:rsid w:val="00190B94"/>
    <w:rsid w:val="001930D1"/>
    <w:rsid w:val="001942C5"/>
    <w:rsid w:val="00196437"/>
    <w:rsid w:val="001975AB"/>
    <w:rsid w:val="001A16DE"/>
    <w:rsid w:val="001A29AC"/>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784"/>
    <w:rsid w:val="001F7A25"/>
    <w:rsid w:val="0020040D"/>
    <w:rsid w:val="002013D1"/>
    <w:rsid w:val="0020195B"/>
    <w:rsid w:val="00202E6D"/>
    <w:rsid w:val="00202F4B"/>
    <w:rsid w:val="002036C8"/>
    <w:rsid w:val="00207787"/>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1B4"/>
    <w:rsid w:val="00260758"/>
    <w:rsid w:val="00260D58"/>
    <w:rsid w:val="0026477F"/>
    <w:rsid w:val="00264F10"/>
    <w:rsid w:val="002659BA"/>
    <w:rsid w:val="0026729F"/>
    <w:rsid w:val="00271154"/>
    <w:rsid w:val="00271655"/>
    <w:rsid w:val="002805F1"/>
    <w:rsid w:val="00286EB4"/>
    <w:rsid w:val="002874A2"/>
    <w:rsid w:val="002921E2"/>
    <w:rsid w:val="0029566D"/>
    <w:rsid w:val="00295F4B"/>
    <w:rsid w:val="002A00AC"/>
    <w:rsid w:val="002A0792"/>
    <w:rsid w:val="002A1D5F"/>
    <w:rsid w:val="002A2E6C"/>
    <w:rsid w:val="002B070A"/>
    <w:rsid w:val="002B0F20"/>
    <w:rsid w:val="002B14B7"/>
    <w:rsid w:val="002B297F"/>
    <w:rsid w:val="002B38A8"/>
    <w:rsid w:val="002B6BA0"/>
    <w:rsid w:val="002C05FF"/>
    <w:rsid w:val="002C19EA"/>
    <w:rsid w:val="002C480F"/>
    <w:rsid w:val="002C56C9"/>
    <w:rsid w:val="002C7487"/>
    <w:rsid w:val="002D1923"/>
    <w:rsid w:val="002D48D1"/>
    <w:rsid w:val="002D5B56"/>
    <w:rsid w:val="002D6612"/>
    <w:rsid w:val="002D7650"/>
    <w:rsid w:val="002E0A60"/>
    <w:rsid w:val="002E4277"/>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249D"/>
    <w:rsid w:val="00313238"/>
    <w:rsid w:val="003132BE"/>
    <w:rsid w:val="00320577"/>
    <w:rsid w:val="0032266D"/>
    <w:rsid w:val="00322E60"/>
    <w:rsid w:val="00325E2F"/>
    <w:rsid w:val="00326980"/>
    <w:rsid w:val="003269A9"/>
    <w:rsid w:val="00327DF9"/>
    <w:rsid w:val="00331533"/>
    <w:rsid w:val="00333875"/>
    <w:rsid w:val="0033604C"/>
    <w:rsid w:val="00340249"/>
    <w:rsid w:val="003407F0"/>
    <w:rsid w:val="003418A6"/>
    <w:rsid w:val="00343C28"/>
    <w:rsid w:val="00344A3D"/>
    <w:rsid w:val="00344A41"/>
    <w:rsid w:val="0034575E"/>
    <w:rsid w:val="00345C65"/>
    <w:rsid w:val="00350CC2"/>
    <w:rsid w:val="00350D84"/>
    <w:rsid w:val="00351206"/>
    <w:rsid w:val="0035203F"/>
    <w:rsid w:val="00352A72"/>
    <w:rsid w:val="0035371B"/>
    <w:rsid w:val="00353FEB"/>
    <w:rsid w:val="00356987"/>
    <w:rsid w:val="00356FB0"/>
    <w:rsid w:val="00361DA5"/>
    <w:rsid w:val="00361F1D"/>
    <w:rsid w:val="00364392"/>
    <w:rsid w:val="00365E61"/>
    <w:rsid w:val="00365EFF"/>
    <w:rsid w:val="00365F51"/>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502C"/>
    <w:rsid w:val="003C6B35"/>
    <w:rsid w:val="003C7C21"/>
    <w:rsid w:val="003D650C"/>
    <w:rsid w:val="003D6713"/>
    <w:rsid w:val="003D6E90"/>
    <w:rsid w:val="003D7932"/>
    <w:rsid w:val="003D7C37"/>
    <w:rsid w:val="003E0EC2"/>
    <w:rsid w:val="003E110D"/>
    <w:rsid w:val="003E3188"/>
    <w:rsid w:val="003E3529"/>
    <w:rsid w:val="003E3D02"/>
    <w:rsid w:val="003E3E6A"/>
    <w:rsid w:val="003E55BC"/>
    <w:rsid w:val="003E6EAF"/>
    <w:rsid w:val="003F0088"/>
    <w:rsid w:val="003F03C6"/>
    <w:rsid w:val="003F1A0A"/>
    <w:rsid w:val="003F2DDE"/>
    <w:rsid w:val="003F4721"/>
    <w:rsid w:val="003F5060"/>
    <w:rsid w:val="003F5829"/>
    <w:rsid w:val="003F677C"/>
    <w:rsid w:val="003F7090"/>
    <w:rsid w:val="00400D9D"/>
    <w:rsid w:val="00401EE0"/>
    <w:rsid w:val="004043AD"/>
    <w:rsid w:val="00405A6A"/>
    <w:rsid w:val="00406D2C"/>
    <w:rsid w:val="0041120A"/>
    <w:rsid w:val="0041337A"/>
    <w:rsid w:val="00416A72"/>
    <w:rsid w:val="00416B18"/>
    <w:rsid w:val="00420AE1"/>
    <w:rsid w:val="00423E27"/>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26D8"/>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4F4824"/>
    <w:rsid w:val="00500939"/>
    <w:rsid w:val="00501FC7"/>
    <w:rsid w:val="005025F4"/>
    <w:rsid w:val="00502AAF"/>
    <w:rsid w:val="0050386D"/>
    <w:rsid w:val="005067E0"/>
    <w:rsid w:val="00510B62"/>
    <w:rsid w:val="00511F85"/>
    <w:rsid w:val="00516673"/>
    <w:rsid w:val="0051698B"/>
    <w:rsid w:val="00517B69"/>
    <w:rsid w:val="00520368"/>
    <w:rsid w:val="00523027"/>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3D15"/>
    <w:rsid w:val="005650CD"/>
    <w:rsid w:val="00566AE8"/>
    <w:rsid w:val="005670EC"/>
    <w:rsid w:val="00567328"/>
    <w:rsid w:val="00570680"/>
    <w:rsid w:val="005706D5"/>
    <w:rsid w:val="005728BC"/>
    <w:rsid w:val="00573F1D"/>
    <w:rsid w:val="0057421A"/>
    <w:rsid w:val="005759E4"/>
    <w:rsid w:val="00575AE8"/>
    <w:rsid w:val="00575E1D"/>
    <w:rsid w:val="00576089"/>
    <w:rsid w:val="005819D2"/>
    <w:rsid w:val="00581FB7"/>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1E0"/>
    <w:rsid w:val="005C661E"/>
    <w:rsid w:val="005D1E9E"/>
    <w:rsid w:val="005D48C8"/>
    <w:rsid w:val="005D58CE"/>
    <w:rsid w:val="005D62B0"/>
    <w:rsid w:val="005D6DB4"/>
    <w:rsid w:val="005E2760"/>
    <w:rsid w:val="005E2D13"/>
    <w:rsid w:val="005E350B"/>
    <w:rsid w:val="005E4648"/>
    <w:rsid w:val="005E606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3E46"/>
    <w:rsid w:val="0061491F"/>
    <w:rsid w:val="00615FC7"/>
    <w:rsid w:val="00620DEF"/>
    <w:rsid w:val="0062204C"/>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1092"/>
    <w:rsid w:val="0069147C"/>
    <w:rsid w:val="00693247"/>
    <w:rsid w:val="0069336E"/>
    <w:rsid w:val="00694174"/>
    <w:rsid w:val="006A27BC"/>
    <w:rsid w:val="006A27D6"/>
    <w:rsid w:val="006A3A42"/>
    <w:rsid w:val="006A41B4"/>
    <w:rsid w:val="006A5FD7"/>
    <w:rsid w:val="006B143E"/>
    <w:rsid w:val="006B30E3"/>
    <w:rsid w:val="006B5D75"/>
    <w:rsid w:val="006B5E72"/>
    <w:rsid w:val="006B6205"/>
    <w:rsid w:val="006C058F"/>
    <w:rsid w:val="006C3252"/>
    <w:rsid w:val="006C7A04"/>
    <w:rsid w:val="006D1B83"/>
    <w:rsid w:val="006D1BE7"/>
    <w:rsid w:val="006D5C98"/>
    <w:rsid w:val="006D6FCC"/>
    <w:rsid w:val="006E0A9F"/>
    <w:rsid w:val="006E12D5"/>
    <w:rsid w:val="006E26E8"/>
    <w:rsid w:val="006E76B0"/>
    <w:rsid w:val="006E76DD"/>
    <w:rsid w:val="006F08D4"/>
    <w:rsid w:val="006F3318"/>
    <w:rsid w:val="006F39CF"/>
    <w:rsid w:val="006F4894"/>
    <w:rsid w:val="006F58F5"/>
    <w:rsid w:val="006F676D"/>
    <w:rsid w:val="00700672"/>
    <w:rsid w:val="00701319"/>
    <w:rsid w:val="00701A95"/>
    <w:rsid w:val="00702049"/>
    <w:rsid w:val="00702F7C"/>
    <w:rsid w:val="00706127"/>
    <w:rsid w:val="007077CD"/>
    <w:rsid w:val="00712A93"/>
    <w:rsid w:val="00714CF1"/>
    <w:rsid w:val="00715CEB"/>
    <w:rsid w:val="00717A58"/>
    <w:rsid w:val="007226D1"/>
    <w:rsid w:val="00722924"/>
    <w:rsid w:val="00723D30"/>
    <w:rsid w:val="00723F1A"/>
    <w:rsid w:val="00726974"/>
    <w:rsid w:val="00727F29"/>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1290"/>
    <w:rsid w:val="007A6DC9"/>
    <w:rsid w:val="007A71B5"/>
    <w:rsid w:val="007A797E"/>
    <w:rsid w:val="007B255F"/>
    <w:rsid w:val="007C0E7E"/>
    <w:rsid w:val="007C10CC"/>
    <w:rsid w:val="007C250E"/>
    <w:rsid w:val="007C2CD7"/>
    <w:rsid w:val="007C7FF9"/>
    <w:rsid w:val="007D009C"/>
    <w:rsid w:val="007D2162"/>
    <w:rsid w:val="007D50B9"/>
    <w:rsid w:val="007D5A53"/>
    <w:rsid w:val="007D62D9"/>
    <w:rsid w:val="007D73C9"/>
    <w:rsid w:val="007E1FB4"/>
    <w:rsid w:val="007E28C1"/>
    <w:rsid w:val="007F0840"/>
    <w:rsid w:val="007F2086"/>
    <w:rsid w:val="00800773"/>
    <w:rsid w:val="00801004"/>
    <w:rsid w:val="0080111C"/>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4ADC"/>
    <w:rsid w:val="00826075"/>
    <w:rsid w:val="008267CA"/>
    <w:rsid w:val="00826A19"/>
    <w:rsid w:val="008278DE"/>
    <w:rsid w:val="008312D4"/>
    <w:rsid w:val="008317C8"/>
    <w:rsid w:val="00831915"/>
    <w:rsid w:val="0083305B"/>
    <w:rsid w:val="00834578"/>
    <w:rsid w:val="0083648B"/>
    <w:rsid w:val="00836500"/>
    <w:rsid w:val="00841EAB"/>
    <w:rsid w:val="00844977"/>
    <w:rsid w:val="00844B97"/>
    <w:rsid w:val="00845BB4"/>
    <w:rsid w:val="00847BF3"/>
    <w:rsid w:val="00853D0B"/>
    <w:rsid w:val="00854B16"/>
    <w:rsid w:val="00854BCA"/>
    <w:rsid w:val="00855A43"/>
    <w:rsid w:val="008561BF"/>
    <w:rsid w:val="008633B6"/>
    <w:rsid w:val="00866481"/>
    <w:rsid w:val="008679D6"/>
    <w:rsid w:val="0087076A"/>
    <w:rsid w:val="00870853"/>
    <w:rsid w:val="008731E4"/>
    <w:rsid w:val="008745D6"/>
    <w:rsid w:val="00874DCA"/>
    <w:rsid w:val="00875D64"/>
    <w:rsid w:val="00875E32"/>
    <w:rsid w:val="0087668E"/>
    <w:rsid w:val="008800F4"/>
    <w:rsid w:val="0088277A"/>
    <w:rsid w:val="0088297B"/>
    <w:rsid w:val="008848D1"/>
    <w:rsid w:val="00885D7C"/>
    <w:rsid w:val="0088672B"/>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70A5"/>
    <w:rsid w:val="008B201B"/>
    <w:rsid w:val="008B2D64"/>
    <w:rsid w:val="008B368E"/>
    <w:rsid w:val="008B38A4"/>
    <w:rsid w:val="008B38EE"/>
    <w:rsid w:val="008B4F2F"/>
    <w:rsid w:val="008B55B4"/>
    <w:rsid w:val="008B6A00"/>
    <w:rsid w:val="008C0269"/>
    <w:rsid w:val="008C0B57"/>
    <w:rsid w:val="008C257C"/>
    <w:rsid w:val="008D0FDE"/>
    <w:rsid w:val="008D1051"/>
    <w:rsid w:val="008D22BE"/>
    <w:rsid w:val="008D7542"/>
    <w:rsid w:val="008D7F7C"/>
    <w:rsid w:val="008E0835"/>
    <w:rsid w:val="008E16ED"/>
    <w:rsid w:val="008E280E"/>
    <w:rsid w:val="008E2BA7"/>
    <w:rsid w:val="008E30C8"/>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4E3"/>
    <w:rsid w:val="009518D9"/>
    <w:rsid w:val="0095236F"/>
    <w:rsid w:val="00952404"/>
    <w:rsid w:val="00953350"/>
    <w:rsid w:val="00955BDA"/>
    <w:rsid w:val="00965F52"/>
    <w:rsid w:val="0096737A"/>
    <w:rsid w:val="0097392A"/>
    <w:rsid w:val="009749C0"/>
    <w:rsid w:val="00977C0A"/>
    <w:rsid w:val="00982FF8"/>
    <w:rsid w:val="0098512F"/>
    <w:rsid w:val="0098550A"/>
    <w:rsid w:val="00985728"/>
    <w:rsid w:val="009857DD"/>
    <w:rsid w:val="009859AB"/>
    <w:rsid w:val="009873B4"/>
    <w:rsid w:val="00987A4E"/>
    <w:rsid w:val="009907A9"/>
    <w:rsid w:val="00993DE4"/>
    <w:rsid w:val="00993F38"/>
    <w:rsid w:val="00994A4B"/>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E1362"/>
    <w:rsid w:val="009E1848"/>
    <w:rsid w:val="009E1BC1"/>
    <w:rsid w:val="009E1F6B"/>
    <w:rsid w:val="009E3E77"/>
    <w:rsid w:val="009E4DF2"/>
    <w:rsid w:val="009E6D60"/>
    <w:rsid w:val="009F2F7E"/>
    <w:rsid w:val="009F3962"/>
    <w:rsid w:val="009F6ED7"/>
    <w:rsid w:val="009F7401"/>
    <w:rsid w:val="009F78F2"/>
    <w:rsid w:val="00A01C9B"/>
    <w:rsid w:val="00A065F5"/>
    <w:rsid w:val="00A10857"/>
    <w:rsid w:val="00A1221A"/>
    <w:rsid w:val="00A1269B"/>
    <w:rsid w:val="00A130F9"/>
    <w:rsid w:val="00A1585F"/>
    <w:rsid w:val="00A15FE4"/>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644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9CD"/>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2B23"/>
    <w:rsid w:val="00AC7830"/>
    <w:rsid w:val="00AD1557"/>
    <w:rsid w:val="00AD35F3"/>
    <w:rsid w:val="00AD4CAC"/>
    <w:rsid w:val="00AD528F"/>
    <w:rsid w:val="00AD6760"/>
    <w:rsid w:val="00AD6EB3"/>
    <w:rsid w:val="00AD741D"/>
    <w:rsid w:val="00AD751D"/>
    <w:rsid w:val="00AD791C"/>
    <w:rsid w:val="00AE1C60"/>
    <w:rsid w:val="00AE33F1"/>
    <w:rsid w:val="00AE4F42"/>
    <w:rsid w:val="00AE728D"/>
    <w:rsid w:val="00AE7589"/>
    <w:rsid w:val="00AF2833"/>
    <w:rsid w:val="00AF3716"/>
    <w:rsid w:val="00AF3C46"/>
    <w:rsid w:val="00AF43E1"/>
    <w:rsid w:val="00AF4D71"/>
    <w:rsid w:val="00AF5921"/>
    <w:rsid w:val="00B0092E"/>
    <w:rsid w:val="00B00E75"/>
    <w:rsid w:val="00B018B2"/>
    <w:rsid w:val="00B018E8"/>
    <w:rsid w:val="00B03BF6"/>
    <w:rsid w:val="00B040B7"/>
    <w:rsid w:val="00B04A55"/>
    <w:rsid w:val="00B04D46"/>
    <w:rsid w:val="00B104C5"/>
    <w:rsid w:val="00B10F47"/>
    <w:rsid w:val="00B1385B"/>
    <w:rsid w:val="00B13B1B"/>
    <w:rsid w:val="00B15DBF"/>
    <w:rsid w:val="00B17D70"/>
    <w:rsid w:val="00B22AD7"/>
    <w:rsid w:val="00B22D31"/>
    <w:rsid w:val="00B22E46"/>
    <w:rsid w:val="00B27853"/>
    <w:rsid w:val="00B306F7"/>
    <w:rsid w:val="00B30BB8"/>
    <w:rsid w:val="00B30FE2"/>
    <w:rsid w:val="00B3272E"/>
    <w:rsid w:val="00B32C71"/>
    <w:rsid w:val="00B3307B"/>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21DC"/>
    <w:rsid w:val="00B74715"/>
    <w:rsid w:val="00B7669D"/>
    <w:rsid w:val="00B766D9"/>
    <w:rsid w:val="00B80A28"/>
    <w:rsid w:val="00B82D73"/>
    <w:rsid w:val="00B84A2C"/>
    <w:rsid w:val="00B871D6"/>
    <w:rsid w:val="00B87A02"/>
    <w:rsid w:val="00BA0DCC"/>
    <w:rsid w:val="00BA12A2"/>
    <w:rsid w:val="00BA16EF"/>
    <w:rsid w:val="00BA18D0"/>
    <w:rsid w:val="00BA242E"/>
    <w:rsid w:val="00BA3317"/>
    <w:rsid w:val="00BA5A9D"/>
    <w:rsid w:val="00BA6363"/>
    <w:rsid w:val="00BB2D9C"/>
    <w:rsid w:val="00BB3512"/>
    <w:rsid w:val="00BB5D1E"/>
    <w:rsid w:val="00BB7ED6"/>
    <w:rsid w:val="00BC137A"/>
    <w:rsid w:val="00BC4347"/>
    <w:rsid w:val="00BC45E0"/>
    <w:rsid w:val="00BC4C07"/>
    <w:rsid w:val="00BC54B5"/>
    <w:rsid w:val="00BC5D9D"/>
    <w:rsid w:val="00BC6803"/>
    <w:rsid w:val="00BC7BCB"/>
    <w:rsid w:val="00BD109B"/>
    <w:rsid w:val="00BD2944"/>
    <w:rsid w:val="00BD2B5E"/>
    <w:rsid w:val="00BD3AFF"/>
    <w:rsid w:val="00BD4E7A"/>
    <w:rsid w:val="00BD531B"/>
    <w:rsid w:val="00BE00E5"/>
    <w:rsid w:val="00BE161B"/>
    <w:rsid w:val="00BE2E5A"/>
    <w:rsid w:val="00BE3A10"/>
    <w:rsid w:val="00BE4A21"/>
    <w:rsid w:val="00BE5859"/>
    <w:rsid w:val="00BE717E"/>
    <w:rsid w:val="00BE7E27"/>
    <w:rsid w:val="00BF183C"/>
    <w:rsid w:val="00BF4C15"/>
    <w:rsid w:val="00C0782F"/>
    <w:rsid w:val="00C11F50"/>
    <w:rsid w:val="00C12603"/>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0D3A"/>
    <w:rsid w:val="00C63FC8"/>
    <w:rsid w:val="00C64B9C"/>
    <w:rsid w:val="00C64F57"/>
    <w:rsid w:val="00C65D21"/>
    <w:rsid w:val="00C66E11"/>
    <w:rsid w:val="00C6789D"/>
    <w:rsid w:val="00C71A97"/>
    <w:rsid w:val="00C73FFD"/>
    <w:rsid w:val="00C74512"/>
    <w:rsid w:val="00C846D9"/>
    <w:rsid w:val="00C84F07"/>
    <w:rsid w:val="00C851A6"/>
    <w:rsid w:val="00C855D4"/>
    <w:rsid w:val="00C87639"/>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644C"/>
    <w:rsid w:val="00CB78ED"/>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CF77D1"/>
    <w:rsid w:val="00D002B4"/>
    <w:rsid w:val="00D03845"/>
    <w:rsid w:val="00D03DCB"/>
    <w:rsid w:val="00D04CD2"/>
    <w:rsid w:val="00D05257"/>
    <w:rsid w:val="00D054DF"/>
    <w:rsid w:val="00D057A5"/>
    <w:rsid w:val="00D05D1F"/>
    <w:rsid w:val="00D144D0"/>
    <w:rsid w:val="00D14FC0"/>
    <w:rsid w:val="00D1656D"/>
    <w:rsid w:val="00D167CC"/>
    <w:rsid w:val="00D16943"/>
    <w:rsid w:val="00D211AE"/>
    <w:rsid w:val="00D21662"/>
    <w:rsid w:val="00D23DE4"/>
    <w:rsid w:val="00D23F50"/>
    <w:rsid w:val="00D24867"/>
    <w:rsid w:val="00D318E3"/>
    <w:rsid w:val="00D323A7"/>
    <w:rsid w:val="00D346BF"/>
    <w:rsid w:val="00D416EB"/>
    <w:rsid w:val="00D41B20"/>
    <w:rsid w:val="00D44615"/>
    <w:rsid w:val="00D45321"/>
    <w:rsid w:val="00D50324"/>
    <w:rsid w:val="00D51420"/>
    <w:rsid w:val="00D55A28"/>
    <w:rsid w:val="00D5605F"/>
    <w:rsid w:val="00D61FBD"/>
    <w:rsid w:val="00D62519"/>
    <w:rsid w:val="00D625AA"/>
    <w:rsid w:val="00D63CBD"/>
    <w:rsid w:val="00D6500C"/>
    <w:rsid w:val="00D659AE"/>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F2B"/>
    <w:rsid w:val="00DB74AF"/>
    <w:rsid w:val="00DC1AB8"/>
    <w:rsid w:val="00DC5C19"/>
    <w:rsid w:val="00DC7068"/>
    <w:rsid w:val="00DD6B9B"/>
    <w:rsid w:val="00DE07A1"/>
    <w:rsid w:val="00DE21A2"/>
    <w:rsid w:val="00DE2776"/>
    <w:rsid w:val="00DE3B11"/>
    <w:rsid w:val="00DE4F00"/>
    <w:rsid w:val="00DE7183"/>
    <w:rsid w:val="00DF1DAC"/>
    <w:rsid w:val="00DF2165"/>
    <w:rsid w:val="00DF5A24"/>
    <w:rsid w:val="00DF60E6"/>
    <w:rsid w:val="00DF6105"/>
    <w:rsid w:val="00DF659E"/>
    <w:rsid w:val="00E01524"/>
    <w:rsid w:val="00E06435"/>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07BD"/>
    <w:rsid w:val="00EA34E2"/>
    <w:rsid w:val="00EA52D1"/>
    <w:rsid w:val="00EA703E"/>
    <w:rsid w:val="00EA791F"/>
    <w:rsid w:val="00EB671F"/>
    <w:rsid w:val="00EB70E7"/>
    <w:rsid w:val="00EB76D6"/>
    <w:rsid w:val="00EC02E8"/>
    <w:rsid w:val="00EC0933"/>
    <w:rsid w:val="00EC1139"/>
    <w:rsid w:val="00EC3842"/>
    <w:rsid w:val="00EC4299"/>
    <w:rsid w:val="00EC4D4D"/>
    <w:rsid w:val="00EC5D5D"/>
    <w:rsid w:val="00EC7908"/>
    <w:rsid w:val="00EC7C2B"/>
    <w:rsid w:val="00ED0E51"/>
    <w:rsid w:val="00ED1F02"/>
    <w:rsid w:val="00ED213D"/>
    <w:rsid w:val="00EE15B5"/>
    <w:rsid w:val="00EE1739"/>
    <w:rsid w:val="00EE207C"/>
    <w:rsid w:val="00EE2087"/>
    <w:rsid w:val="00EE20A1"/>
    <w:rsid w:val="00EE3298"/>
    <w:rsid w:val="00EE7304"/>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4403"/>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54CD"/>
    <w:rsid w:val="00F469B9"/>
    <w:rsid w:val="00F46C32"/>
    <w:rsid w:val="00F46ECB"/>
    <w:rsid w:val="00F50F94"/>
    <w:rsid w:val="00F525B5"/>
    <w:rsid w:val="00F53D53"/>
    <w:rsid w:val="00F543B9"/>
    <w:rsid w:val="00F56177"/>
    <w:rsid w:val="00F575D3"/>
    <w:rsid w:val="00F5786C"/>
    <w:rsid w:val="00F62117"/>
    <w:rsid w:val="00F62365"/>
    <w:rsid w:val="00F630A7"/>
    <w:rsid w:val="00F65AA6"/>
    <w:rsid w:val="00F66225"/>
    <w:rsid w:val="00F662BC"/>
    <w:rsid w:val="00F6708D"/>
    <w:rsid w:val="00F6728E"/>
    <w:rsid w:val="00F707F0"/>
    <w:rsid w:val="00F71AD5"/>
    <w:rsid w:val="00F729ED"/>
    <w:rsid w:val="00F733B8"/>
    <w:rsid w:val="00F74F50"/>
    <w:rsid w:val="00F75192"/>
    <w:rsid w:val="00F77822"/>
    <w:rsid w:val="00F779A4"/>
    <w:rsid w:val="00F83266"/>
    <w:rsid w:val="00F838B6"/>
    <w:rsid w:val="00F83B0D"/>
    <w:rsid w:val="00F83C31"/>
    <w:rsid w:val="00F84D50"/>
    <w:rsid w:val="00F85F05"/>
    <w:rsid w:val="00F86AD1"/>
    <w:rsid w:val="00F9222A"/>
    <w:rsid w:val="00F922EA"/>
    <w:rsid w:val="00F92927"/>
    <w:rsid w:val="00F979B3"/>
    <w:rsid w:val="00F97CCD"/>
    <w:rsid w:val="00FA320D"/>
    <w:rsid w:val="00FA362B"/>
    <w:rsid w:val="00FA53E9"/>
    <w:rsid w:val="00FA60EC"/>
    <w:rsid w:val="00FA64E2"/>
    <w:rsid w:val="00FB04E9"/>
    <w:rsid w:val="00FB1179"/>
    <w:rsid w:val="00FB1C6B"/>
    <w:rsid w:val="00FB3361"/>
    <w:rsid w:val="00FB42B4"/>
    <w:rsid w:val="00FB4841"/>
    <w:rsid w:val="00FB6C94"/>
    <w:rsid w:val="00FB7F8B"/>
    <w:rsid w:val="00FC3753"/>
    <w:rsid w:val="00FC5743"/>
    <w:rsid w:val="00FC6240"/>
    <w:rsid w:val="00FC796C"/>
    <w:rsid w:val="00FD118C"/>
    <w:rsid w:val="00FD332F"/>
    <w:rsid w:val="00FE1CC1"/>
    <w:rsid w:val="00FE385E"/>
    <w:rsid w:val="00FE3CE2"/>
    <w:rsid w:val="00FE54AD"/>
    <w:rsid w:val="00FE5633"/>
    <w:rsid w:val="00FE6F7A"/>
    <w:rsid w:val="00FE7B14"/>
    <w:rsid w:val="00FE7FAD"/>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5C31CCA"/>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514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033533573">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47487178">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9/pdf/00320625.pdf" TargetMode="External"/><Relationship Id="rId13" Type="http://schemas.openxmlformats.org/officeDocument/2006/relationships/hyperlink" Target="http://www1.tce.pr.gov.br/multimidia/2017/9/pdf/00320676.pdf" TargetMode="External"/><Relationship Id="rId18" Type="http://schemas.openxmlformats.org/officeDocument/2006/relationships/hyperlink" Target="http://www1.tce.pr.gov.br/multimidia/2017/9/pdf/00321025.pdf" TargetMode="External"/><Relationship Id="rId26" Type="http://schemas.openxmlformats.org/officeDocument/2006/relationships/hyperlink" Target="http://www.planalto.gov.br/ccivil_03/LEIS/L8906.htm" TargetMode="External"/><Relationship Id="rId3" Type="http://schemas.openxmlformats.org/officeDocument/2006/relationships/styles" Target="styles.xml"/><Relationship Id="rId21" Type="http://schemas.openxmlformats.org/officeDocument/2006/relationships/hyperlink" Target="http://www.stf.jus.br/portal/processo/verProcessoAndamento.asp?numero=5763&amp;classe=ADI&amp;origem=AP&amp;recurso=0&amp;tipoJulgamento=M" TargetMode="External"/><Relationship Id="rId34" Type="http://schemas.openxmlformats.org/officeDocument/2006/relationships/hyperlink" Target="http://www1.tce.pr.gov.br/conteudo/revista-digital-do-tce-pr/234678/area/46" TargetMode="External"/><Relationship Id="rId7" Type="http://schemas.openxmlformats.org/officeDocument/2006/relationships/endnotes" Target="endnotes.xml"/><Relationship Id="rId12" Type="http://schemas.openxmlformats.org/officeDocument/2006/relationships/hyperlink" Target="http://www1.tce.pr.gov.br/multimidia/2017/9/pdf/00321040.pdf" TargetMode="External"/><Relationship Id="rId17" Type="http://schemas.openxmlformats.org/officeDocument/2006/relationships/hyperlink" Target="http://www1.tce.pr.gov.br/multimidia/2017/9/pdf/00320674.pdf" TargetMode="External"/><Relationship Id="rId25" Type="http://schemas.openxmlformats.org/officeDocument/2006/relationships/hyperlink" Target="https://contas.tcu.gov.br/sagas/SvlVisualizarRelVotoAcRtf?codFiltro=SAGAS-SESSAO-ENCERRADA&amp;seOcultaPagina=S&amp;item0=601131" TargetMode="External"/><Relationship Id="rId33" Type="http://schemas.openxmlformats.org/officeDocument/2006/relationships/hyperlink" Target="http://www1.tce.pr.gov.br/conteudo/repercussao-geral-no-stf-e-os-tribunais-de-contas/307026/area/24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7/9/pdf/00320816.pdf" TargetMode="External"/><Relationship Id="rId20" Type="http://schemas.openxmlformats.org/officeDocument/2006/relationships/hyperlink" Target="http://www1.tce.pr.gov.br/multimidia/2017/10/pdf/00321424.pdf" TargetMode="External"/><Relationship Id="rId29" Type="http://schemas.openxmlformats.org/officeDocument/2006/relationships/hyperlink" Target="https://contas.tcu.gov.br/sagas/SvlVisualizarRelVotoAcRtf?codFiltro=SAGAS-SESSAO-ENCERRADA&amp;seOcultaPagina=S&amp;item0=5985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10/pdf/00321429.pdf" TargetMode="External"/><Relationship Id="rId24" Type="http://schemas.openxmlformats.org/officeDocument/2006/relationships/hyperlink" Target="https://contas.tcu.gov.br/sagas/SvlVisualizarRelVotoAcRtf?codFiltro=SAGAS-SESSAO-ENCERRADA&amp;seOcultaPagina=S&amp;item0=600655" TargetMode="External"/><Relationship Id="rId32" Type="http://schemas.openxmlformats.org/officeDocument/2006/relationships/hyperlink" Target="http://www1.tce.pr.gov.br/conteudo/pesquisas-prontas/308475/area/24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7/10/pdf/00321278.pdf" TargetMode="External"/><Relationship Id="rId23" Type="http://schemas.openxmlformats.org/officeDocument/2006/relationships/hyperlink" Target="https://ww2.stj.jus.br/processo/revista/documento/mediado/?componente=ATC&amp;sequencial=76649784&amp;num_registro=201200071708&amp;data=20171020&amp;tipo=91&amp;formato=PDF" TargetMode="External"/><Relationship Id="rId28" Type="http://schemas.openxmlformats.org/officeDocument/2006/relationships/hyperlink" Target="https://contas.tcu.gov.br/sagas/SvlVisualizarRelVotoAcRtf?codFiltro=SAGAS-SESSAO-ENCERRADA&amp;seOcultaPagina=S&amp;item0=595198" TargetMode="External"/><Relationship Id="rId36" Type="http://schemas.openxmlformats.org/officeDocument/2006/relationships/footer" Target="footer1.xml"/><Relationship Id="rId10" Type="http://schemas.openxmlformats.org/officeDocument/2006/relationships/hyperlink" Target="http://www1.tce.pr.gov.br/multimidia/2017/9/pdf/00320799.pdf" TargetMode="External"/><Relationship Id="rId19" Type="http://schemas.openxmlformats.org/officeDocument/2006/relationships/hyperlink" Target="http://www1.tce.pr.gov.br/multimidia/2017/10/pdf/00321689.pdf" TargetMode="External"/><Relationship Id="rId31" Type="http://schemas.openxmlformats.org/officeDocument/2006/relationships/hyperlink" Target="https://www.planalto.gov.br/ccivil_03/_ato2011-2014/2011/lei/l12462.htm" TargetMode="External"/><Relationship Id="rId4" Type="http://schemas.openxmlformats.org/officeDocument/2006/relationships/settings" Target="settings.xml"/><Relationship Id="rId9" Type="http://schemas.openxmlformats.org/officeDocument/2006/relationships/hyperlink" Target="http://www1.tce.pr.gov.br/multimidia/2017/9/pdf/00320797.pdf" TargetMode="External"/><Relationship Id="rId14" Type="http://schemas.openxmlformats.org/officeDocument/2006/relationships/hyperlink" Target="http://www1.tce.pr.gov.br/multimidia/2017/10/pdf/00321246.pdf" TargetMode="External"/><Relationship Id="rId22" Type="http://schemas.openxmlformats.org/officeDocument/2006/relationships/hyperlink" Target="https://ww2.stj.jus.br/processo/revista/documento/mediado/?componente=ATC&amp;sequencial=72312987&amp;num_registro=201500608044&amp;data=20171009&amp;tipo=51&amp;formato=PDF" TargetMode="External"/><Relationship Id="rId27" Type="http://schemas.openxmlformats.org/officeDocument/2006/relationships/hyperlink" Target="https://contas.tcu.gov.br/sagas/SvlVisualizarRelVotoAcRtf?codFiltro=SAGAS-SESSAO-ENCERRADA&amp;seOcultaPagina=S&amp;item0=600793" TargetMode="External"/><Relationship Id="rId30" Type="http://schemas.openxmlformats.org/officeDocument/2006/relationships/hyperlink" Target="https://contas.tcu.gov.br/sagas/SvlVisualizarRelVotoAcRtf?codFiltro=SAGAS-SESSAO-ENCERRADA&amp;seOcultaPagina=S&amp;item0=595210"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1933F-A1A8-4852-9BD2-63B6CE46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4175</Words>
  <Characters>22546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143</cp:revision>
  <cp:lastPrinted>2017-07-10T20:46:00Z</cp:lastPrinted>
  <dcterms:created xsi:type="dcterms:W3CDTF">2017-07-10T20:45:00Z</dcterms:created>
  <dcterms:modified xsi:type="dcterms:W3CDTF">2018-04-24T22:11:00Z</dcterms:modified>
</cp:coreProperties>
</file>