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123E62" w14:textId="77777777" w:rsidR="007C18E7" w:rsidRPr="00195B9E" w:rsidRDefault="007C18E7" w:rsidP="00195B9E">
      <w:pPr>
        <w:pStyle w:val="Cabealho"/>
        <w:spacing w:line="276" w:lineRule="auto"/>
        <w:jc w:val="center"/>
        <w:rPr>
          <w:rFonts w:ascii="Arial" w:hAnsi="Arial" w:cs="Arial"/>
          <w:sz w:val="20"/>
          <w:szCs w:val="20"/>
        </w:rPr>
      </w:pPr>
      <w:r w:rsidRPr="00195B9E">
        <w:rPr>
          <w:rFonts w:ascii="Arial" w:hAnsi="Arial" w:cs="Arial"/>
          <w:b/>
          <w:sz w:val="20"/>
          <w:szCs w:val="20"/>
        </w:rPr>
        <w:t>Boletim de Jurisprudência TCE/PR</w:t>
      </w:r>
      <w:r w:rsidRPr="00195B9E">
        <w:rPr>
          <w:rFonts w:ascii="Arial" w:hAnsi="Arial" w:cs="Arial"/>
          <w:sz w:val="20"/>
          <w:szCs w:val="20"/>
        </w:rPr>
        <w:t xml:space="preserve"> </w:t>
      </w:r>
    </w:p>
    <w:p w14:paraId="4EF0156F" w14:textId="77777777" w:rsidR="007C18E7" w:rsidRPr="00195B9E" w:rsidRDefault="007C18E7" w:rsidP="00195B9E">
      <w:pPr>
        <w:spacing w:after="0"/>
        <w:jc w:val="center"/>
        <w:rPr>
          <w:rFonts w:ascii="Arial" w:hAnsi="Arial" w:cs="Arial"/>
          <w:b/>
          <w:sz w:val="20"/>
          <w:szCs w:val="20"/>
        </w:rPr>
      </w:pPr>
    </w:p>
    <w:p w14:paraId="6B732960" w14:textId="0EF5A4AF" w:rsidR="007C18E7" w:rsidRPr="00195B9E" w:rsidRDefault="007C18E7" w:rsidP="00195B9E">
      <w:pPr>
        <w:spacing w:after="0"/>
        <w:jc w:val="center"/>
        <w:rPr>
          <w:rFonts w:ascii="Arial" w:hAnsi="Arial" w:cs="Arial"/>
          <w:b/>
          <w:sz w:val="20"/>
          <w:szCs w:val="20"/>
        </w:rPr>
      </w:pPr>
      <w:r w:rsidRPr="00195B9E">
        <w:rPr>
          <w:rFonts w:ascii="Arial" w:hAnsi="Arial" w:cs="Arial"/>
          <w:b/>
          <w:sz w:val="20"/>
          <w:szCs w:val="20"/>
        </w:rPr>
        <w:t xml:space="preserve">Número </w:t>
      </w:r>
      <w:r w:rsidR="00121994" w:rsidRPr="00195B9E">
        <w:rPr>
          <w:rFonts w:ascii="Arial" w:hAnsi="Arial" w:cs="Arial"/>
          <w:b/>
          <w:sz w:val="20"/>
          <w:szCs w:val="20"/>
        </w:rPr>
        <w:t>7</w:t>
      </w:r>
      <w:r w:rsidR="00F22A39" w:rsidRPr="00195B9E">
        <w:rPr>
          <w:rFonts w:ascii="Arial" w:hAnsi="Arial" w:cs="Arial"/>
          <w:b/>
          <w:sz w:val="20"/>
          <w:szCs w:val="20"/>
        </w:rPr>
        <w:t>7</w:t>
      </w:r>
    </w:p>
    <w:p w14:paraId="3C0730DA" w14:textId="77777777" w:rsidR="007C18E7" w:rsidRPr="00195B9E" w:rsidRDefault="007C18E7" w:rsidP="00195B9E">
      <w:pPr>
        <w:spacing w:after="0"/>
        <w:jc w:val="center"/>
        <w:rPr>
          <w:rFonts w:ascii="Arial" w:hAnsi="Arial" w:cs="Arial"/>
          <w:b/>
          <w:sz w:val="20"/>
          <w:szCs w:val="20"/>
          <w:highlight w:val="yellow"/>
        </w:rPr>
      </w:pPr>
    </w:p>
    <w:p w14:paraId="7AE9E11A" w14:textId="6175C975" w:rsidR="007C18E7" w:rsidRPr="00195B9E" w:rsidRDefault="007C18E7" w:rsidP="00195B9E">
      <w:pPr>
        <w:spacing w:after="0"/>
        <w:jc w:val="center"/>
        <w:rPr>
          <w:rFonts w:ascii="Arial" w:hAnsi="Arial" w:cs="Arial"/>
          <w:b/>
          <w:strike/>
          <w:sz w:val="20"/>
          <w:szCs w:val="20"/>
        </w:rPr>
      </w:pPr>
      <w:r w:rsidRPr="00195B9E">
        <w:rPr>
          <w:rFonts w:ascii="Arial" w:hAnsi="Arial" w:cs="Arial"/>
          <w:b/>
          <w:sz w:val="20"/>
          <w:szCs w:val="20"/>
        </w:rPr>
        <w:t xml:space="preserve">Sessões: </w:t>
      </w:r>
      <w:r w:rsidR="002618E8" w:rsidRPr="00195B9E">
        <w:rPr>
          <w:rFonts w:ascii="Arial" w:hAnsi="Arial" w:cs="Arial"/>
          <w:b/>
          <w:sz w:val="20"/>
          <w:szCs w:val="20"/>
        </w:rPr>
        <w:t>17</w:t>
      </w:r>
      <w:r w:rsidRPr="00195B9E">
        <w:rPr>
          <w:rFonts w:ascii="Arial" w:hAnsi="Arial" w:cs="Arial"/>
          <w:b/>
          <w:sz w:val="20"/>
          <w:szCs w:val="20"/>
        </w:rPr>
        <w:t>.</w:t>
      </w:r>
      <w:r w:rsidR="006B3A64" w:rsidRPr="00195B9E">
        <w:rPr>
          <w:rFonts w:ascii="Arial" w:hAnsi="Arial" w:cs="Arial"/>
          <w:b/>
          <w:sz w:val="20"/>
          <w:szCs w:val="20"/>
        </w:rPr>
        <w:t>0</w:t>
      </w:r>
      <w:r w:rsidR="002618E8" w:rsidRPr="00195B9E">
        <w:rPr>
          <w:rFonts w:ascii="Arial" w:hAnsi="Arial" w:cs="Arial"/>
          <w:b/>
          <w:sz w:val="20"/>
          <w:szCs w:val="20"/>
        </w:rPr>
        <w:t>3</w:t>
      </w:r>
      <w:r w:rsidR="00D36D68" w:rsidRPr="00195B9E">
        <w:rPr>
          <w:rFonts w:ascii="Arial" w:hAnsi="Arial" w:cs="Arial"/>
          <w:b/>
          <w:sz w:val="20"/>
          <w:szCs w:val="20"/>
        </w:rPr>
        <w:t>.20</w:t>
      </w:r>
      <w:r w:rsidR="006B3A64" w:rsidRPr="00195B9E">
        <w:rPr>
          <w:rFonts w:ascii="Arial" w:hAnsi="Arial" w:cs="Arial"/>
          <w:b/>
          <w:sz w:val="20"/>
          <w:szCs w:val="20"/>
        </w:rPr>
        <w:t>20</w:t>
      </w:r>
      <w:r w:rsidRPr="00195B9E">
        <w:rPr>
          <w:rFonts w:ascii="Arial" w:hAnsi="Arial" w:cs="Arial"/>
          <w:b/>
          <w:sz w:val="20"/>
          <w:szCs w:val="20"/>
        </w:rPr>
        <w:t xml:space="preserve"> a</w:t>
      </w:r>
      <w:r w:rsidR="00E94A7F" w:rsidRPr="00195B9E">
        <w:rPr>
          <w:rFonts w:ascii="Arial" w:hAnsi="Arial" w:cs="Arial"/>
          <w:b/>
          <w:sz w:val="20"/>
          <w:szCs w:val="20"/>
        </w:rPr>
        <w:t xml:space="preserve"> 1</w:t>
      </w:r>
      <w:r w:rsidR="002618E8" w:rsidRPr="00195B9E">
        <w:rPr>
          <w:rFonts w:ascii="Arial" w:hAnsi="Arial" w:cs="Arial"/>
          <w:b/>
          <w:sz w:val="20"/>
          <w:szCs w:val="20"/>
        </w:rPr>
        <w:t>9</w:t>
      </w:r>
      <w:r w:rsidRPr="00195B9E">
        <w:rPr>
          <w:rFonts w:ascii="Arial" w:hAnsi="Arial" w:cs="Arial"/>
          <w:b/>
          <w:sz w:val="20"/>
          <w:szCs w:val="20"/>
        </w:rPr>
        <w:t>.</w:t>
      </w:r>
      <w:r w:rsidR="00D36D68" w:rsidRPr="00195B9E">
        <w:rPr>
          <w:rFonts w:ascii="Arial" w:hAnsi="Arial" w:cs="Arial"/>
          <w:b/>
          <w:sz w:val="20"/>
          <w:szCs w:val="20"/>
        </w:rPr>
        <w:t>0</w:t>
      </w:r>
      <w:r w:rsidR="00E94A7F" w:rsidRPr="00195B9E">
        <w:rPr>
          <w:rFonts w:ascii="Arial" w:hAnsi="Arial" w:cs="Arial"/>
          <w:b/>
          <w:sz w:val="20"/>
          <w:szCs w:val="20"/>
        </w:rPr>
        <w:t>3</w:t>
      </w:r>
      <w:r w:rsidR="00D36D68" w:rsidRPr="00195B9E">
        <w:rPr>
          <w:rFonts w:ascii="Arial" w:hAnsi="Arial" w:cs="Arial"/>
          <w:b/>
          <w:sz w:val="20"/>
          <w:szCs w:val="20"/>
        </w:rPr>
        <w:t>.</w:t>
      </w:r>
      <w:r w:rsidRPr="00195B9E">
        <w:rPr>
          <w:rFonts w:ascii="Arial" w:hAnsi="Arial" w:cs="Arial"/>
          <w:b/>
          <w:sz w:val="20"/>
          <w:szCs w:val="20"/>
        </w:rPr>
        <w:t>20</w:t>
      </w:r>
      <w:r w:rsidR="00D36D68" w:rsidRPr="00195B9E">
        <w:rPr>
          <w:rFonts w:ascii="Arial" w:hAnsi="Arial" w:cs="Arial"/>
          <w:b/>
          <w:sz w:val="20"/>
          <w:szCs w:val="20"/>
        </w:rPr>
        <w:t>20</w:t>
      </w:r>
    </w:p>
    <w:p w14:paraId="796D8E57" w14:textId="77777777" w:rsidR="007C18E7" w:rsidRPr="00195B9E" w:rsidRDefault="007C18E7" w:rsidP="00195B9E">
      <w:pPr>
        <w:spacing w:after="0"/>
        <w:jc w:val="both"/>
        <w:rPr>
          <w:rFonts w:ascii="Arial" w:hAnsi="Arial" w:cs="Arial"/>
          <w:sz w:val="20"/>
          <w:szCs w:val="20"/>
        </w:rPr>
      </w:pPr>
    </w:p>
    <w:p w14:paraId="7AFA8F05" w14:textId="77777777" w:rsidR="007C18E7" w:rsidRPr="00195B9E" w:rsidRDefault="007C18E7" w:rsidP="00195B9E">
      <w:pPr>
        <w:spacing w:after="0"/>
        <w:jc w:val="both"/>
        <w:rPr>
          <w:rFonts w:ascii="Arial" w:hAnsi="Arial" w:cs="Arial"/>
          <w:sz w:val="20"/>
          <w:szCs w:val="20"/>
        </w:rPr>
      </w:pPr>
      <w:r w:rsidRPr="00195B9E">
        <w:rPr>
          <w:rFonts w:ascii="Arial" w:hAnsi="Arial" w:cs="Arial"/>
          <w:sz w:val="20"/>
          <w:szCs w:val="20"/>
        </w:rPr>
        <w:t xml:space="preserve">Este Boletim contém informações sintéticas de decisões proferidas pelos Colegiados do TCE/PR que receberam indicação de relevância sob o prisma jurisprudencial no período acima indicado. </w:t>
      </w:r>
      <w:r w:rsidRPr="00195B9E">
        <w:rPr>
          <w:rFonts w:ascii="Arial" w:hAnsi="Arial" w:cs="Arial"/>
          <w:color w:val="212121"/>
          <w:sz w:val="20"/>
          <w:szCs w:val="20"/>
        </w:rPr>
        <w:t>A seleção das decisões leva em consideração ao menos um dos seguintes fatores: ineditismo da deliberação, discussão no colegiado ou reiteração de entendimento importante.</w:t>
      </w:r>
      <w:r w:rsidRPr="00195B9E">
        <w:rPr>
          <w:rFonts w:ascii="Arial" w:hAnsi="Arial" w:cs="Arial"/>
          <w:sz w:val="20"/>
          <w:szCs w:val="20"/>
        </w:rPr>
        <w:t xml:space="preserve"> O objetivo é facilitar ao interessado o acompanhamento dos acórdãos mais importantes do Tribunal. Para aprofundamento, o leitor pode acessar o inteiro teor das deliberações por meio dos links disponíveis.</w:t>
      </w:r>
      <w:r w:rsidRPr="00195B9E">
        <w:rPr>
          <w:rFonts w:ascii="Arial" w:hAnsi="Arial" w:cs="Arial"/>
          <w:color w:val="212121"/>
          <w:sz w:val="20"/>
          <w:szCs w:val="20"/>
        </w:rPr>
        <w:t xml:space="preserve"> </w:t>
      </w:r>
      <w:r w:rsidRPr="00195B9E">
        <w:rPr>
          <w:rFonts w:ascii="Arial" w:hAnsi="Arial" w:cs="Arial"/>
          <w:sz w:val="20"/>
          <w:szCs w:val="20"/>
        </w:rPr>
        <w:t>As informações aqui apresentadas não são repositórios oficiais de jurisprudência.</w:t>
      </w:r>
    </w:p>
    <w:p w14:paraId="794DB6E9" w14:textId="77777777" w:rsidR="007C18E7" w:rsidRPr="00195B9E" w:rsidRDefault="007C18E7" w:rsidP="00195B9E">
      <w:pPr>
        <w:spacing w:after="0"/>
        <w:jc w:val="both"/>
        <w:rPr>
          <w:rFonts w:ascii="Arial" w:hAnsi="Arial" w:cs="Arial"/>
          <w:sz w:val="20"/>
          <w:szCs w:val="20"/>
        </w:rPr>
      </w:pPr>
    </w:p>
    <w:p w14:paraId="356F11D7" w14:textId="77777777" w:rsidR="007C18E7" w:rsidRPr="00195B9E" w:rsidRDefault="007C18E7" w:rsidP="00195B9E">
      <w:pPr>
        <w:spacing w:after="0"/>
        <w:jc w:val="both"/>
        <w:rPr>
          <w:rFonts w:ascii="Arial" w:hAnsi="Arial" w:cs="Arial"/>
          <w:sz w:val="20"/>
          <w:szCs w:val="20"/>
        </w:rPr>
      </w:pPr>
      <w:r w:rsidRPr="00195B9E">
        <w:rPr>
          <w:rFonts w:ascii="Arial" w:hAnsi="Arial" w:cs="Arial"/>
          <w:noProof/>
          <w:sz w:val="20"/>
          <w:szCs w:val="20"/>
          <w:lang w:eastAsia="pt-BR"/>
        </w:rPr>
        <mc:AlternateContent>
          <mc:Choice Requires="wps">
            <w:drawing>
              <wp:anchor distT="0" distB="0" distL="114300" distR="114300" simplePos="0" relativeHeight="251659264" behindDoc="0" locked="0" layoutInCell="1" allowOverlap="1" wp14:anchorId="53ADEF6D" wp14:editId="52C6FCE4">
                <wp:simplePos x="0" y="0"/>
                <wp:positionH relativeFrom="margin">
                  <wp:posOffset>-635</wp:posOffset>
                </wp:positionH>
                <wp:positionV relativeFrom="paragraph">
                  <wp:posOffset>29845</wp:posOffset>
                </wp:positionV>
                <wp:extent cx="5397500" cy="0"/>
                <wp:effectExtent l="0" t="0" r="12700" b="571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line w14:anchorId="7BC15954"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" strokecolor="black [3200]" strokeweight="2pt">
                <v:shadow on="t" color="black" opacity="24903f" origin=",.5" offset="0,.55556mm"/>
                <w10:wrap anchorx="margin"/>
              </v:line>
            </w:pict>
          </mc:Fallback>
        </mc:AlternateContent>
      </w:r>
    </w:p>
    <w:p w14:paraId="010C2F10" w14:textId="77777777" w:rsidR="007C18E7" w:rsidRPr="00195B9E" w:rsidRDefault="007C18E7" w:rsidP="00195B9E">
      <w:pPr>
        <w:shd w:val="pct10" w:color="auto" w:fill="auto"/>
        <w:spacing w:after="0"/>
        <w:jc w:val="center"/>
        <w:rPr>
          <w:rFonts w:ascii="Arial" w:hAnsi="Arial" w:cs="Arial"/>
          <w:b/>
          <w:sz w:val="20"/>
          <w:szCs w:val="20"/>
        </w:rPr>
      </w:pPr>
      <w:r w:rsidRPr="00195B9E">
        <w:rPr>
          <w:rFonts w:ascii="Arial" w:hAnsi="Arial" w:cs="Arial"/>
          <w:b/>
          <w:sz w:val="20"/>
          <w:szCs w:val="20"/>
        </w:rPr>
        <w:t>SUMÁRIO</w:t>
      </w:r>
    </w:p>
    <w:p w14:paraId="032DDEBB" w14:textId="34F3DA75" w:rsidR="0065458A" w:rsidRDefault="0065458A" w:rsidP="00195B9E">
      <w:pPr>
        <w:autoSpaceDE w:val="0"/>
        <w:autoSpaceDN w:val="0"/>
        <w:adjustRightInd w:val="0"/>
        <w:spacing w:after="0"/>
        <w:jc w:val="both"/>
        <w:rPr>
          <w:rFonts w:ascii="Arial" w:hAnsi="Arial" w:cs="Arial"/>
          <w:sz w:val="20"/>
          <w:szCs w:val="20"/>
        </w:rPr>
      </w:pPr>
    </w:p>
    <w:p w14:paraId="396E01C3" w14:textId="77777777" w:rsidR="00195B9E" w:rsidRPr="00195B9E" w:rsidRDefault="00195B9E" w:rsidP="00195B9E">
      <w:pPr>
        <w:autoSpaceDE w:val="0"/>
        <w:autoSpaceDN w:val="0"/>
        <w:adjustRightInd w:val="0"/>
        <w:spacing w:after="0"/>
        <w:jc w:val="both"/>
        <w:rPr>
          <w:rFonts w:ascii="Arial" w:hAnsi="Arial" w:cs="Arial"/>
          <w:sz w:val="20"/>
          <w:szCs w:val="20"/>
        </w:rPr>
      </w:pPr>
      <w:r w:rsidRPr="00195B9E">
        <w:rPr>
          <w:rFonts w:ascii="Arial" w:hAnsi="Arial" w:cs="Arial"/>
          <w:sz w:val="20"/>
          <w:szCs w:val="20"/>
        </w:rPr>
        <w:t>1. Tomada de Contas Extraordinária. Irregularidade na contratação de empresas para a realização de atividades típicas de servidores públicos. Terceirização irregular de serviços contábeis e jurídicos. Ofensa ao Prejulgado n.º 6 desta Corte de Contas e à regra geral do concurso público. Procedência. Aplicação de multas.</w:t>
      </w:r>
    </w:p>
    <w:p w14:paraId="551D3DB4" w14:textId="77777777" w:rsidR="00195B9E" w:rsidRPr="00195B9E" w:rsidRDefault="00195B9E" w:rsidP="00195B9E">
      <w:pPr>
        <w:autoSpaceDE w:val="0"/>
        <w:autoSpaceDN w:val="0"/>
        <w:adjustRightInd w:val="0"/>
        <w:spacing w:after="0"/>
        <w:jc w:val="both"/>
        <w:rPr>
          <w:rFonts w:ascii="Arial" w:hAnsi="Arial" w:cs="Arial"/>
          <w:sz w:val="20"/>
          <w:szCs w:val="20"/>
        </w:rPr>
      </w:pPr>
    </w:p>
    <w:p w14:paraId="4C4666B0" w14:textId="5AE9C451" w:rsidR="00195B9E" w:rsidRPr="00195B9E" w:rsidRDefault="00195B9E" w:rsidP="00195B9E">
      <w:pPr>
        <w:autoSpaceDE w:val="0"/>
        <w:autoSpaceDN w:val="0"/>
        <w:adjustRightInd w:val="0"/>
        <w:spacing w:after="0"/>
        <w:jc w:val="both"/>
        <w:rPr>
          <w:rFonts w:ascii="Arial" w:hAnsi="Arial" w:cs="Arial"/>
          <w:sz w:val="20"/>
          <w:szCs w:val="20"/>
        </w:rPr>
      </w:pPr>
      <w:r w:rsidRPr="00195B9E">
        <w:rPr>
          <w:rFonts w:ascii="Arial" w:hAnsi="Arial" w:cs="Arial"/>
          <w:sz w:val="20"/>
          <w:szCs w:val="20"/>
        </w:rPr>
        <w:t>2. Admissão de pessoal. Falhas formais no processo de publicação do ato de nomeação, posse e exercício. Legalidade e registro, com a expedição de recomendação.</w:t>
      </w:r>
    </w:p>
    <w:p w14:paraId="4E84191D" w14:textId="77777777" w:rsidR="00195B9E" w:rsidRPr="00195B9E" w:rsidRDefault="00195B9E" w:rsidP="00195B9E">
      <w:pPr>
        <w:autoSpaceDE w:val="0"/>
        <w:autoSpaceDN w:val="0"/>
        <w:adjustRightInd w:val="0"/>
        <w:spacing w:after="0"/>
        <w:jc w:val="both"/>
        <w:rPr>
          <w:rFonts w:ascii="Arial" w:hAnsi="Arial" w:cs="Arial"/>
          <w:sz w:val="20"/>
          <w:szCs w:val="20"/>
        </w:rPr>
      </w:pPr>
    </w:p>
    <w:p w14:paraId="43DE4767" w14:textId="430BC2BF" w:rsidR="00195B9E" w:rsidRPr="00195B9E" w:rsidRDefault="00195B9E" w:rsidP="00195B9E">
      <w:pPr>
        <w:autoSpaceDE w:val="0"/>
        <w:autoSpaceDN w:val="0"/>
        <w:adjustRightInd w:val="0"/>
        <w:spacing w:after="0"/>
        <w:jc w:val="both"/>
        <w:rPr>
          <w:rFonts w:ascii="Arial" w:hAnsi="Arial" w:cs="Arial"/>
          <w:sz w:val="20"/>
          <w:szCs w:val="20"/>
        </w:rPr>
      </w:pPr>
      <w:r w:rsidRPr="00195B9E">
        <w:rPr>
          <w:rFonts w:ascii="Arial" w:hAnsi="Arial" w:cs="Arial"/>
          <w:sz w:val="20"/>
          <w:szCs w:val="20"/>
        </w:rPr>
        <w:t>3</w:t>
      </w:r>
      <w:r w:rsidRPr="00195B9E">
        <w:rPr>
          <w:rFonts w:ascii="Arial" w:hAnsi="Arial" w:cs="Arial"/>
          <w:sz w:val="20"/>
          <w:szCs w:val="20"/>
        </w:rPr>
        <w:t>. Prestação de contas de transferência voluntária. Irregularidades. Pagamento de despesas a título de custo operacional. Pagamento de retenções de impostos e contribuições e outros serviços de terceiros pessoa jurídica. Restituição ao erário. Responsabilidade solidária. Desconsideração da personalidade jurídica. Irregularidade das contas.</w:t>
      </w:r>
    </w:p>
    <w:p w14:paraId="52C78A77" w14:textId="77777777" w:rsidR="00195B9E" w:rsidRPr="00195B9E" w:rsidRDefault="00195B9E" w:rsidP="00195B9E">
      <w:pPr>
        <w:autoSpaceDE w:val="0"/>
        <w:autoSpaceDN w:val="0"/>
        <w:adjustRightInd w:val="0"/>
        <w:spacing w:after="0"/>
        <w:jc w:val="both"/>
        <w:rPr>
          <w:rFonts w:ascii="Arial" w:hAnsi="Arial" w:cs="Arial"/>
          <w:sz w:val="20"/>
          <w:szCs w:val="20"/>
        </w:rPr>
      </w:pPr>
    </w:p>
    <w:p w14:paraId="41660F9D" w14:textId="3CC45397" w:rsidR="00195B9E" w:rsidRPr="00195B9E" w:rsidRDefault="00195B9E" w:rsidP="00195B9E">
      <w:pPr>
        <w:autoSpaceDE w:val="0"/>
        <w:autoSpaceDN w:val="0"/>
        <w:adjustRightInd w:val="0"/>
        <w:spacing w:after="0"/>
        <w:jc w:val="both"/>
        <w:rPr>
          <w:rFonts w:ascii="Arial" w:hAnsi="Arial" w:cs="Arial"/>
          <w:sz w:val="20"/>
          <w:szCs w:val="20"/>
        </w:rPr>
      </w:pPr>
      <w:r w:rsidRPr="00195B9E">
        <w:rPr>
          <w:rFonts w:ascii="Arial" w:hAnsi="Arial" w:cs="Arial"/>
          <w:sz w:val="20"/>
          <w:szCs w:val="20"/>
        </w:rPr>
        <w:t>4. Admissão de Pessoal. Alimentação de dados no SIAP. Legalidade e registro com recomendação.</w:t>
      </w:r>
    </w:p>
    <w:p w14:paraId="4B7CB187" w14:textId="77777777" w:rsidR="00195B9E" w:rsidRPr="00195B9E" w:rsidRDefault="00195B9E" w:rsidP="00195B9E">
      <w:pPr>
        <w:autoSpaceDE w:val="0"/>
        <w:autoSpaceDN w:val="0"/>
        <w:adjustRightInd w:val="0"/>
        <w:spacing w:after="0"/>
        <w:jc w:val="both"/>
        <w:rPr>
          <w:rFonts w:ascii="Arial" w:hAnsi="Arial" w:cs="Arial"/>
          <w:sz w:val="20"/>
          <w:szCs w:val="20"/>
        </w:rPr>
      </w:pPr>
    </w:p>
    <w:p w14:paraId="0371C1AC" w14:textId="4C17E36D" w:rsidR="00195B9E" w:rsidRPr="00195B9E" w:rsidRDefault="00195B9E" w:rsidP="00195B9E">
      <w:pPr>
        <w:autoSpaceDE w:val="0"/>
        <w:autoSpaceDN w:val="0"/>
        <w:adjustRightInd w:val="0"/>
        <w:spacing w:after="0"/>
        <w:jc w:val="both"/>
        <w:rPr>
          <w:rFonts w:ascii="Arial" w:hAnsi="Arial" w:cs="Arial"/>
          <w:sz w:val="20"/>
          <w:szCs w:val="20"/>
        </w:rPr>
      </w:pPr>
      <w:r w:rsidRPr="00195B9E">
        <w:rPr>
          <w:rFonts w:ascii="Arial" w:hAnsi="Arial" w:cs="Arial"/>
          <w:sz w:val="20"/>
          <w:szCs w:val="20"/>
        </w:rPr>
        <w:t>5. Prestação de Contas de Transferência Voluntária. Despesas com servidores vinculados. Acúmulo ilegal de cargos públicos. Manifestações uniformes. Irregularidade. Imputação de multa.</w:t>
      </w:r>
    </w:p>
    <w:p w14:paraId="3FD922A1" w14:textId="77777777" w:rsidR="00195B9E" w:rsidRPr="00195B9E" w:rsidRDefault="00195B9E" w:rsidP="00195B9E">
      <w:pPr>
        <w:autoSpaceDE w:val="0"/>
        <w:autoSpaceDN w:val="0"/>
        <w:adjustRightInd w:val="0"/>
        <w:spacing w:after="0"/>
        <w:jc w:val="both"/>
        <w:rPr>
          <w:rFonts w:ascii="Arial" w:hAnsi="Arial" w:cs="Arial"/>
          <w:sz w:val="20"/>
          <w:szCs w:val="20"/>
        </w:rPr>
      </w:pPr>
    </w:p>
    <w:p w14:paraId="3E1F8979" w14:textId="09B35539" w:rsidR="00195B9E" w:rsidRPr="00195B9E" w:rsidRDefault="00195B9E" w:rsidP="00195B9E">
      <w:pPr>
        <w:autoSpaceDE w:val="0"/>
        <w:autoSpaceDN w:val="0"/>
        <w:adjustRightInd w:val="0"/>
        <w:spacing w:after="0"/>
        <w:jc w:val="both"/>
        <w:rPr>
          <w:rFonts w:ascii="Arial" w:hAnsi="Arial" w:cs="Arial"/>
          <w:sz w:val="20"/>
          <w:szCs w:val="20"/>
        </w:rPr>
      </w:pPr>
      <w:r w:rsidRPr="00195B9E">
        <w:rPr>
          <w:rFonts w:ascii="Arial" w:hAnsi="Arial" w:cs="Arial"/>
          <w:sz w:val="20"/>
          <w:szCs w:val="20"/>
        </w:rPr>
        <w:t>6. Embargos de Declaração. Alegação de omissão quanto a aplicação da multa prevista no art. 5º, §1º, da Lei Federal n.º 10.028/2000. Decisão em consonância à jurisprudência desta Corte. Procedência dos Embargos para fins de suprir a omissão.</w:t>
      </w:r>
    </w:p>
    <w:p w14:paraId="0A109698" w14:textId="77777777" w:rsidR="00195B9E" w:rsidRPr="00195B9E" w:rsidRDefault="00195B9E" w:rsidP="00195B9E">
      <w:pPr>
        <w:autoSpaceDE w:val="0"/>
        <w:autoSpaceDN w:val="0"/>
        <w:adjustRightInd w:val="0"/>
        <w:spacing w:after="0"/>
        <w:jc w:val="both"/>
        <w:rPr>
          <w:rFonts w:ascii="Arial" w:hAnsi="Arial" w:cs="Arial"/>
          <w:sz w:val="20"/>
          <w:szCs w:val="20"/>
        </w:rPr>
      </w:pPr>
    </w:p>
    <w:p w14:paraId="40EE2951" w14:textId="77777777" w:rsidR="006F7FA8" w:rsidRPr="00195B9E" w:rsidRDefault="006F7FA8" w:rsidP="00195B9E">
      <w:pPr>
        <w:autoSpaceDE w:val="0"/>
        <w:autoSpaceDN w:val="0"/>
        <w:adjustRightInd w:val="0"/>
        <w:spacing w:after="0"/>
        <w:jc w:val="both"/>
        <w:rPr>
          <w:rFonts w:ascii="Arial" w:hAnsi="Arial" w:cs="Arial"/>
          <w:sz w:val="20"/>
          <w:szCs w:val="20"/>
        </w:rPr>
      </w:pPr>
    </w:p>
    <w:p w14:paraId="6E44D0DA" w14:textId="6247C2DC" w:rsidR="0050422A" w:rsidRPr="00195B9E" w:rsidRDefault="0050422A" w:rsidP="00195B9E">
      <w:pPr>
        <w:shd w:val="pct10" w:color="auto" w:fill="auto"/>
        <w:spacing w:after="0"/>
        <w:jc w:val="center"/>
        <w:rPr>
          <w:rFonts w:ascii="Arial" w:hAnsi="Arial" w:cs="Arial"/>
          <w:b/>
          <w:sz w:val="20"/>
          <w:szCs w:val="20"/>
        </w:rPr>
      </w:pPr>
      <w:r w:rsidRPr="00195B9E">
        <w:rPr>
          <w:rFonts w:ascii="Arial" w:hAnsi="Arial" w:cs="Arial"/>
          <w:b/>
          <w:sz w:val="20"/>
          <w:szCs w:val="20"/>
        </w:rPr>
        <w:t xml:space="preserve">PRIMEIRA CÂMARA </w:t>
      </w:r>
    </w:p>
    <w:p w14:paraId="07DBAFB8" w14:textId="77777777" w:rsidR="00195B9E" w:rsidRPr="00195B9E" w:rsidRDefault="00195B9E" w:rsidP="00195B9E">
      <w:pPr>
        <w:autoSpaceDE w:val="0"/>
        <w:autoSpaceDN w:val="0"/>
        <w:adjustRightInd w:val="0"/>
        <w:spacing w:after="0"/>
        <w:jc w:val="both"/>
        <w:rPr>
          <w:rFonts w:ascii="Arial" w:hAnsi="Arial" w:cs="Arial"/>
          <w:b/>
          <w:bCs/>
          <w:sz w:val="20"/>
          <w:szCs w:val="20"/>
        </w:rPr>
      </w:pPr>
    </w:p>
    <w:p w14:paraId="3B95F49F" w14:textId="71C75A2F" w:rsidR="00EA1655" w:rsidRPr="00195B9E" w:rsidRDefault="00195B9E" w:rsidP="00195B9E">
      <w:pPr>
        <w:autoSpaceDE w:val="0"/>
        <w:autoSpaceDN w:val="0"/>
        <w:adjustRightInd w:val="0"/>
        <w:spacing w:after="0"/>
        <w:jc w:val="both"/>
        <w:rPr>
          <w:rFonts w:ascii="Arial" w:hAnsi="Arial" w:cs="Arial"/>
          <w:b/>
          <w:bCs/>
          <w:sz w:val="20"/>
          <w:szCs w:val="20"/>
        </w:rPr>
      </w:pPr>
      <w:r w:rsidRPr="00195B9E">
        <w:rPr>
          <w:rFonts w:ascii="Arial" w:hAnsi="Arial" w:cs="Arial"/>
          <w:b/>
          <w:bCs/>
          <w:sz w:val="20"/>
          <w:szCs w:val="20"/>
        </w:rPr>
        <w:t xml:space="preserve">1. </w:t>
      </w:r>
      <w:r w:rsidR="002618E8" w:rsidRPr="00195B9E">
        <w:rPr>
          <w:rFonts w:ascii="Arial" w:hAnsi="Arial" w:cs="Arial"/>
          <w:b/>
          <w:bCs/>
          <w:sz w:val="20"/>
          <w:szCs w:val="20"/>
        </w:rPr>
        <w:t>Tomada de Contas Extraordinária. Irregularidade na contratação de empresas para a realização de atividades típicas de servidores públicos. Terceirização irregular de serviços contábeis e jurídicos. Ofensa ao Prejulgado n.º 6 desta Corte de Contas e à regra geral do concurso público. Procedência. Aplicação de multas.</w:t>
      </w:r>
    </w:p>
    <w:p w14:paraId="0955CA31" w14:textId="77777777" w:rsidR="002618E8" w:rsidRPr="00195B9E" w:rsidRDefault="002618E8" w:rsidP="00195B9E">
      <w:pPr>
        <w:autoSpaceDE w:val="0"/>
        <w:autoSpaceDN w:val="0"/>
        <w:adjustRightInd w:val="0"/>
        <w:spacing w:after="0"/>
        <w:jc w:val="both"/>
        <w:rPr>
          <w:rFonts w:ascii="Arial" w:hAnsi="Arial" w:cs="Arial"/>
          <w:sz w:val="20"/>
          <w:szCs w:val="20"/>
        </w:rPr>
      </w:pPr>
    </w:p>
    <w:p w14:paraId="3F26B898" w14:textId="55D28C1B" w:rsidR="002618E8" w:rsidRPr="00195B9E" w:rsidRDefault="002618E8" w:rsidP="00195B9E">
      <w:pPr>
        <w:autoSpaceDE w:val="0"/>
        <w:autoSpaceDN w:val="0"/>
        <w:adjustRightInd w:val="0"/>
        <w:spacing w:after="0"/>
        <w:jc w:val="both"/>
        <w:rPr>
          <w:rFonts w:ascii="Arial" w:hAnsi="Arial" w:cs="Arial"/>
          <w:sz w:val="20"/>
          <w:szCs w:val="20"/>
        </w:rPr>
      </w:pPr>
      <w:r w:rsidRPr="00195B9E">
        <w:rPr>
          <w:rFonts w:ascii="Arial" w:hAnsi="Arial" w:cs="Arial"/>
          <w:sz w:val="20"/>
          <w:szCs w:val="20"/>
        </w:rPr>
        <w:t xml:space="preserve">O </w:t>
      </w:r>
      <w:r w:rsidRPr="00195B9E">
        <w:rPr>
          <w:rFonts w:ascii="Arial" w:hAnsi="Arial" w:cs="Arial"/>
          <w:sz w:val="20"/>
          <w:szCs w:val="20"/>
        </w:rPr>
        <w:t>entendimento dessa Corte de Contas quanto às contratações de empresas de consultorias contábeis e jurídicas por seus jurisdicionados é no sentido de que “(...) são possíveis para questões que exijam notória especialização, em que reste demonstrada a singularidade do objeto ou ainda, que se trate de demanda de alta complexidade, casos em que poderá haver contratação direta, mediante um procedimento simplificado e desde que seja para objeto específico e que tenha prazo determinado compatível com o objeto, não podendo ser aceitas para as finalidades de acompanhamento da gestão” (Prejulgado n.º 6). No entanto, é de fácil observação que os serviços relacionados anteriormente se trata de atividades rotineiras da Administração Pública municipal, que deveriam, portanto, ser realizadas por servidores efetivos da entidade, nos termos do artigo 37, II, da Constituição Federal.</w:t>
      </w:r>
    </w:p>
    <w:p w14:paraId="4E564DBF" w14:textId="77777777" w:rsidR="002618E8" w:rsidRPr="00195B9E" w:rsidRDefault="002618E8" w:rsidP="00195B9E">
      <w:pPr>
        <w:autoSpaceDE w:val="0"/>
        <w:autoSpaceDN w:val="0"/>
        <w:adjustRightInd w:val="0"/>
        <w:spacing w:after="0"/>
        <w:jc w:val="both"/>
        <w:rPr>
          <w:rFonts w:ascii="Arial" w:hAnsi="Arial" w:cs="Arial"/>
          <w:sz w:val="20"/>
          <w:szCs w:val="20"/>
        </w:rPr>
      </w:pPr>
    </w:p>
    <w:p w14:paraId="439DF3BF" w14:textId="3B3A803C" w:rsidR="002618E8" w:rsidRPr="00195B9E" w:rsidRDefault="002618E8" w:rsidP="00195B9E">
      <w:pPr>
        <w:autoSpaceDE w:val="0"/>
        <w:autoSpaceDN w:val="0"/>
        <w:adjustRightInd w:val="0"/>
        <w:spacing w:after="0"/>
        <w:jc w:val="both"/>
        <w:rPr>
          <w:rFonts w:ascii="Arial" w:hAnsi="Arial" w:cs="Arial"/>
          <w:sz w:val="20"/>
          <w:szCs w:val="20"/>
        </w:rPr>
      </w:pPr>
      <w:r w:rsidRPr="00195B9E">
        <w:rPr>
          <w:rFonts w:ascii="Arial" w:hAnsi="Arial" w:cs="Arial"/>
          <w:sz w:val="20"/>
          <w:szCs w:val="20"/>
        </w:rPr>
        <w:t xml:space="preserve">Embora se argumente em defesa que a entidade não possuía servidores efetivos para a prestação dos serviços, verifica-se, conforme bem destacou a unidade técnica, que não há nos autos qualquer documento que comprove a tentativa, tanto da Presidente da </w:t>
      </w:r>
      <w:r w:rsidRPr="00195B9E">
        <w:rPr>
          <w:rFonts w:ascii="Arial" w:hAnsi="Arial" w:cs="Arial"/>
          <w:sz w:val="20"/>
          <w:szCs w:val="20"/>
        </w:rPr>
        <w:t>entidade</w:t>
      </w:r>
      <w:r w:rsidRPr="00195B9E">
        <w:rPr>
          <w:rFonts w:ascii="Arial" w:hAnsi="Arial" w:cs="Arial"/>
          <w:sz w:val="20"/>
          <w:szCs w:val="20"/>
        </w:rPr>
        <w:t>, quanto do Prefeito à época, em regularizar a situação por meio do devido concurso público. Assim, a alegação genérica de insuficiência, qualitativa e/ou quantitativa, de servidores não justifica a irregularidade apontada, já que os gestores devem adotar as medidas necessárias para garantir a devida estrutura das entidades.</w:t>
      </w:r>
    </w:p>
    <w:p w14:paraId="4BA11949" w14:textId="77777777" w:rsidR="002618E8" w:rsidRPr="00195B9E" w:rsidRDefault="002618E8" w:rsidP="00195B9E">
      <w:pPr>
        <w:autoSpaceDE w:val="0"/>
        <w:autoSpaceDN w:val="0"/>
        <w:adjustRightInd w:val="0"/>
        <w:spacing w:after="0"/>
        <w:jc w:val="both"/>
        <w:rPr>
          <w:rFonts w:ascii="Arial" w:hAnsi="Arial" w:cs="Arial"/>
          <w:sz w:val="20"/>
          <w:szCs w:val="20"/>
        </w:rPr>
      </w:pPr>
    </w:p>
    <w:p w14:paraId="5CE8ED22" w14:textId="761EFEEF" w:rsidR="002618E8" w:rsidRPr="00195B9E" w:rsidRDefault="002618E8" w:rsidP="00195B9E">
      <w:pPr>
        <w:autoSpaceDE w:val="0"/>
        <w:autoSpaceDN w:val="0"/>
        <w:adjustRightInd w:val="0"/>
        <w:spacing w:after="0"/>
        <w:jc w:val="both"/>
        <w:rPr>
          <w:rFonts w:ascii="Arial" w:hAnsi="Arial" w:cs="Arial"/>
          <w:b/>
          <w:bCs/>
          <w:sz w:val="20"/>
          <w:szCs w:val="20"/>
        </w:rPr>
      </w:pPr>
      <w:r w:rsidRPr="00195B9E">
        <w:rPr>
          <w:rFonts w:ascii="Arial" w:hAnsi="Arial" w:cs="Arial"/>
          <w:sz w:val="20"/>
          <w:szCs w:val="20"/>
        </w:rPr>
        <w:t xml:space="preserve">Processo nº 797320/12. </w:t>
      </w:r>
      <w:hyperlink r:id="rId8" w:history="1">
        <w:r w:rsidRPr="00195B9E">
          <w:rPr>
            <w:rStyle w:val="Hyperlink"/>
            <w:rFonts w:ascii="Arial" w:hAnsi="Arial" w:cs="Arial"/>
            <w:sz w:val="20"/>
            <w:szCs w:val="20"/>
          </w:rPr>
          <w:t>Acórdão 366/20 – Primeira Câmara</w:t>
        </w:r>
      </w:hyperlink>
      <w:r w:rsidRPr="00195B9E">
        <w:rPr>
          <w:rFonts w:ascii="Arial" w:hAnsi="Arial" w:cs="Arial"/>
          <w:sz w:val="20"/>
          <w:szCs w:val="20"/>
        </w:rPr>
        <w:t>. Relator Conselheiro Jose Durval Mattos do Amaral.</w:t>
      </w:r>
    </w:p>
    <w:p w14:paraId="6DD3BB7F" w14:textId="0FF1AC21" w:rsidR="002618E8" w:rsidRPr="00195B9E" w:rsidRDefault="002618E8" w:rsidP="00195B9E">
      <w:pPr>
        <w:autoSpaceDE w:val="0"/>
        <w:autoSpaceDN w:val="0"/>
        <w:adjustRightInd w:val="0"/>
        <w:spacing w:after="0"/>
        <w:jc w:val="both"/>
        <w:rPr>
          <w:rFonts w:ascii="Arial" w:hAnsi="Arial" w:cs="Arial"/>
          <w:b/>
          <w:bCs/>
          <w:sz w:val="20"/>
          <w:szCs w:val="20"/>
        </w:rPr>
      </w:pPr>
    </w:p>
    <w:p w14:paraId="51295894" w14:textId="1A499583" w:rsidR="00195B9E" w:rsidRPr="00195B9E" w:rsidRDefault="00195B9E" w:rsidP="00195B9E">
      <w:pPr>
        <w:shd w:val="pct10" w:color="auto" w:fill="auto"/>
        <w:spacing w:after="0"/>
        <w:jc w:val="center"/>
        <w:rPr>
          <w:rFonts w:ascii="Arial" w:hAnsi="Arial" w:cs="Arial"/>
          <w:b/>
          <w:sz w:val="20"/>
          <w:szCs w:val="20"/>
        </w:rPr>
      </w:pPr>
      <w:r w:rsidRPr="00195B9E">
        <w:rPr>
          <w:rFonts w:ascii="Arial" w:hAnsi="Arial" w:cs="Arial"/>
          <w:b/>
          <w:sz w:val="20"/>
          <w:szCs w:val="20"/>
        </w:rPr>
        <w:t xml:space="preserve">SEGUNDA </w:t>
      </w:r>
      <w:r w:rsidRPr="00195B9E">
        <w:rPr>
          <w:rFonts w:ascii="Arial" w:hAnsi="Arial" w:cs="Arial"/>
          <w:b/>
          <w:sz w:val="20"/>
          <w:szCs w:val="20"/>
        </w:rPr>
        <w:t xml:space="preserve">CÂMARA </w:t>
      </w:r>
    </w:p>
    <w:p w14:paraId="0A037C17" w14:textId="77777777" w:rsidR="002618E8" w:rsidRPr="00195B9E" w:rsidRDefault="002618E8" w:rsidP="00195B9E">
      <w:pPr>
        <w:autoSpaceDE w:val="0"/>
        <w:autoSpaceDN w:val="0"/>
        <w:adjustRightInd w:val="0"/>
        <w:spacing w:after="0"/>
        <w:jc w:val="both"/>
        <w:rPr>
          <w:rFonts w:ascii="Arial" w:hAnsi="Arial" w:cs="Arial"/>
          <w:b/>
          <w:bCs/>
          <w:sz w:val="20"/>
          <w:szCs w:val="20"/>
        </w:rPr>
      </w:pPr>
    </w:p>
    <w:p w14:paraId="5EE9DD96" w14:textId="5CFB4B42" w:rsidR="00195B9E" w:rsidRPr="00195B9E" w:rsidRDefault="00195B9E" w:rsidP="00195B9E">
      <w:pPr>
        <w:autoSpaceDE w:val="0"/>
        <w:autoSpaceDN w:val="0"/>
        <w:adjustRightInd w:val="0"/>
        <w:spacing w:after="0"/>
        <w:jc w:val="both"/>
        <w:rPr>
          <w:rFonts w:ascii="Arial" w:hAnsi="Arial" w:cs="Arial"/>
          <w:b/>
          <w:sz w:val="20"/>
          <w:szCs w:val="20"/>
        </w:rPr>
      </w:pPr>
      <w:r w:rsidRPr="00195B9E">
        <w:rPr>
          <w:rFonts w:ascii="Arial" w:hAnsi="Arial" w:cs="Arial"/>
          <w:b/>
          <w:sz w:val="20"/>
          <w:szCs w:val="20"/>
        </w:rPr>
        <w:t>2</w:t>
      </w:r>
      <w:r w:rsidRPr="00195B9E">
        <w:rPr>
          <w:rFonts w:ascii="Arial" w:hAnsi="Arial" w:cs="Arial"/>
          <w:b/>
          <w:sz w:val="20"/>
          <w:szCs w:val="20"/>
        </w:rPr>
        <w:t>. Admissão de pessoal. Falhas formais no processo de publicação do ato de nomeação, posse e exercício. Legalidade e registro, com a expedição de recomendação.</w:t>
      </w:r>
    </w:p>
    <w:p w14:paraId="4CE6B9CE" w14:textId="77777777" w:rsidR="00195B9E" w:rsidRPr="00195B9E" w:rsidRDefault="00195B9E" w:rsidP="00195B9E">
      <w:pPr>
        <w:autoSpaceDE w:val="0"/>
        <w:autoSpaceDN w:val="0"/>
        <w:adjustRightInd w:val="0"/>
        <w:spacing w:after="0"/>
        <w:jc w:val="both"/>
        <w:rPr>
          <w:rFonts w:ascii="Arial" w:hAnsi="Arial" w:cs="Arial"/>
          <w:b/>
          <w:bCs/>
          <w:sz w:val="20"/>
          <w:szCs w:val="20"/>
        </w:rPr>
      </w:pPr>
    </w:p>
    <w:p w14:paraId="4A72E668" w14:textId="77777777" w:rsidR="00195B9E" w:rsidRPr="00195B9E" w:rsidRDefault="00195B9E" w:rsidP="00195B9E">
      <w:pPr>
        <w:autoSpaceDE w:val="0"/>
        <w:autoSpaceDN w:val="0"/>
        <w:adjustRightInd w:val="0"/>
        <w:spacing w:after="0"/>
        <w:jc w:val="both"/>
        <w:rPr>
          <w:rFonts w:ascii="Arial" w:hAnsi="Arial" w:cs="Arial"/>
          <w:sz w:val="20"/>
          <w:szCs w:val="20"/>
        </w:rPr>
      </w:pPr>
      <w:r w:rsidRPr="00195B9E">
        <w:rPr>
          <w:rFonts w:ascii="Arial" w:hAnsi="Arial" w:cs="Arial"/>
          <w:sz w:val="20"/>
          <w:szCs w:val="20"/>
        </w:rPr>
        <w:t>Conforme acima relatado, nos termos dos pareceres uniformes da Unidade Técnica e do Ministério Público de Contas, as presentes admissões de pessoal merecem registro, uma vez que a Coordenadoria de Acompanhamento de Atos de Gestão atestou: (i) a regularidade da documentação colacionada aos autos, nos termos do Instrução Normativa n.º 142/2018; (</w:t>
      </w:r>
      <w:proofErr w:type="spellStart"/>
      <w:r w:rsidRPr="00195B9E">
        <w:rPr>
          <w:rFonts w:ascii="Arial" w:hAnsi="Arial" w:cs="Arial"/>
          <w:sz w:val="20"/>
          <w:szCs w:val="20"/>
        </w:rPr>
        <w:t>ii</w:t>
      </w:r>
      <w:proofErr w:type="spellEnd"/>
      <w:r w:rsidRPr="00195B9E">
        <w:rPr>
          <w:rFonts w:ascii="Arial" w:hAnsi="Arial" w:cs="Arial"/>
          <w:sz w:val="20"/>
          <w:szCs w:val="20"/>
        </w:rPr>
        <w:t>) o cumprimento dos limites e prazos de vedação da Lei Complementar nº 101/00; (</w:t>
      </w:r>
      <w:proofErr w:type="spellStart"/>
      <w:r w:rsidRPr="00195B9E">
        <w:rPr>
          <w:rFonts w:ascii="Arial" w:hAnsi="Arial" w:cs="Arial"/>
          <w:sz w:val="20"/>
          <w:szCs w:val="20"/>
        </w:rPr>
        <w:t>iii</w:t>
      </w:r>
      <w:proofErr w:type="spellEnd"/>
      <w:r w:rsidRPr="00195B9E">
        <w:rPr>
          <w:rFonts w:ascii="Arial" w:hAnsi="Arial" w:cs="Arial"/>
          <w:sz w:val="20"/>
          <w:szCs w:val="20"/>
        </w:rPr>
        <w:t xml:space="preserve">) a convocação dos candidatos respeitou o prazo de validade do edital e os servidores foram convocados conforme a ordem de classificação. </w:t>
      </w:r>
    </w:p>
    <w:p w14:paraId="34FE0411" w14:textId="77777777" w:rsidR="00195B9E" w:rsidRPr="00195B9E" w:rsidRDefault="00195B9E" w:rsidP="00195B9E">
      <w:pPr>
        <w:autoSpaceDE w:val="0"/>
        <w:autoSpaceDN w:val="0"/>
        <w:adjustRightInd w:val="0"/>
        <w:spacing w:after="0"/>
        <w:jc w:val="both"/>
        <w:rPr>
          <w:rFonts w:ascii="Arial" w:hAnsi="Arial" w:cs="Arial"/>
          <w:sz w:val="20"/>
          <w:szCs w:val="20"/>
        </w:rPr>
      </w:pPr>
    </w:p>
    <w:p w14:paraId="0FEEC351" w14:textId="77777777" w:rsidR="00195B9E" w:rsidRPr="00195B9E" w:rsidRDefault="00195B9E" w:rsidP="00195B9E">
      <w:pPr>
        <w:autoSpaceDE w:val="0"/>
        <w:autoSpaceDN w:val="0"/>
        <w:adjustRightInd w:val="0"/>
        <w:spacing w:after="0"/>
        <w:jc w:val="both"/>
        <w:rPr>
          <w:rFonts w:ascii="Arial" w:hAnsi="Arial" w:cs="Arial"/>
          <w:sz w:val="20"/>
          <w:szCs w:val="20"/>
        </w:rPr>
      </w:pPr>
      <w:r w:rsidRPr="00195B9E">
        <w:rPr>
          <w:rFonts w:ascii="Arial" w:hAnsi="Arial" w:cs="Arial"/>
          <w:sz w:val="20"/>
          <w:szCs w:val="20"/>
        </w:rPr>
        <w:lastRenderedPageBreak/>
        <w:t>Em relação à impropriedade constatada na Fase 04, relativa à não observância da ordem cronológica lógica da admissão de servidora, tendo-se em conta a ausência de qualquer prejuízo à ordem de classificação e tratando-se de impropriedade formal, em que pese o opinativo do Ministério Público de Contas, considerando que o conteúdo da sugestão proposta possui efetivo caráter de recomendação, nos termos do inciso I, §2º e §4º do art. 2441 do Regimento Interno, acompanho o parecer da Coordenadoria de Acompanhamento de Atos de Gestão pela expedição de recomendação à Municipalidade para que, nos próximos concursos públicos e testes seletivos que venha a realizar, observe à ordem correta para investidura dos candidatos, procedendo inicialmente a nomeação dos candidatos com a publicação do decreto ou portaria em diário oficial, para que apenas após a nomeação, seja procedida a posse do servidor e a entrada em exercício nas funções.</w:t>
      </w:r>
    </w:p>
    <w:p w14:paraId="55C7A44F" w14:textId="77777777" w:rsidR="00195B9E" w:rsidRPr="00195B9E" w:rsidRDefault="00195B9E" w:rsidP="00195B9E">
      <w:pPr>
        <w:autoSpaceDE w:val="0"/>
        <w:autoSpaceDN w:val="0"/>
        <w:adjustRightInd w:val="0"/>
        <w:spacing w:after="0"/>
        <w:jc w:val="both"/>
        <w:rPr>
          <w:rFonts w:ascii="Arial" w:hAnsi="Arial" w:cs="Arial"/>
          <w:sz w:val="20"/>
          <w:szCs w:val="20"/>
        </w:rPr>
      </w:pPr>
    </w:p>
    <w:p w14:paraId="66F75924" w14:textId="77777777" w:rsidR="00195B9E" w:rsidRPr="00195B9E" w:rsidRDefault="00195B9E" w:rsidP="00195B9E">
      <w:pPr>
        <w:autoSpaceDE w:val="0"/>
        <w:autoSpaceDN w:val="0"/>
        <w:adjustRightInd w:val="0"/>
        <w:spacing w:after="0"/>
        <w:jc w:val="both"/>
        <w:rPr>
          <w:rFonts w:ascii="Arial" w:hAnsi="Arial" w:cs="Arial"/>
          <w:sz w:val="20"/>
          <w:szCs w:val="20"/>
        </w:rPr>
      </w:pPr>
      <w:r w:rsidRPr="00195B9E">
        <w:rPr>
          <w:rFonts w:ascii="Arial" w:hAnsi="Arial" w:cs="Arial"/>
          <w:sz w:val="20"/>
          <w:szCs w:val="20"/>
        </w:rPr>
        <w:t>Processo nº 70181/18 –</w:t>
      </w:r>
      <w:hyperlink r:id="rId9" w:history="1">
        <w:r w:rsidRPr="00195B9E">
          <w:rPr>
            <w:rStyle w:val="Hyperlink"/>
            <w:rFonts w:ascii="Arial" w:hAnsi="Arial" w:cs="Arial"/>
            <w:sz w:val="20"/>
            <w:szCs w:val="20"/>
          </w:rPr>
          <w:t xml:space="preserve"> Acórdão nº 663/20 – Segunda Câmara -</w:t>
        </w:r>
      </w:hyperlink>
      <w:r w:rsidRPr="00195B9E">
        <w:rPr>
          <w:rFonts w:ascii="Arial" w:hAnsi="Arial" w:cs="Arial"/>
          <w:sz w:val="20"/>
          <w:szCs w:val="20"/>
        </w:rPr>
        <w:t xml:space="preserve"> Relator Conselheiro Ivens </w:t>
      </w:r>
      <w:proofErr w:type="spellStart"/>
      <w:r w:rsidRPr="00195B9E">
        <w:rPr>
          <w:rFonts w:ascii="Arial" w:hAnsi="Arial" w:cs="Arial"/>
          <w:sz w:val="20"/>
          <w:szCs w:val="20"/>
        </w:rPr>
        <w:t>Zschoerper</w:t>
      </w:r>
      <w:proofErr w:type="spellEnd"/>
      <w:r w:rsidRPr="00195B9E">
        <w:rPr>
          <w:rFonts w:ascii="Arial" w:hAnsi="Arial" w:cs="Arial"/>
          <w:sz w:val="20"/>
          <w:szCs w:val="20"/>
        </w:rPr>
        <w:t xml:space="preserve"> Linhares.</w:t>
      </w:r>
    </w:p>
    <w:p w14:paraId="062CFF29" w14:textId="77777777" w:rsidR="00195B9E" w:rsidRPr="00195B9E" w:rsidRDefault="00195B9E" w:rsidP="00195B9E">
      <w:pPr>
        <w:autoSpaceDE w:val="0"/>
        <w:autoSpaceDN w:val="0"/>
        <w:adjustRightInd w:val="0"/>
        <w:spacing w:after="0"/>
        <w:jc w:val="both"/>
        <w:rPr>
          <w:rFonts w:ascii="Arial" w:hAnsi="Arial" w:cs="Arial"/>
          <w:b/>
          <w:sz w:val="20"/>
          <w:szCs w:val="20"/>
        </w:rPr>
      </w:pPr>
    </w:p>
    <w:p w14:paraId="07458A0F" w14:textId="3269600B" w:rsidR="00195B9E" w:rsidRPr="00195B9E" w:rsidRDefault="00195B9E" w:rsidP="00195B9E">
      <w:pPr>
        <w:autoSpaceDE w:val="0"/>
        <w:autoSpaceDN w:val="0"/>
        <w:adjustRightInd w:val="0"/>
        <w:spacing w:after="0"/>
        <w:jc w:val="both"/>
        <w:rPr>
          <w:rFonts w:ascii="Arial" w:hAnsi="Arial" w:cs="Arial"/>
          <w:b/>
          <w:sz w:val="20"/>
          <w:szCs w:val="20"/>
        </w:rPr>
      </w:pPr>
      <w:r>
        <w:rPr>
          <w:rFonts w:ascii="Arial" w:hAnsi="Arial" w:cs="Arial"/>
          <w:b/>
          <w:sz w:val="20"/>
          <w:szCs w:val="20"/>
        </w:rPr>
        <w:t>3</w:t>
      </w:r>
      <w:r w:rsidRPr="00195B9E">
        <w:rPr>
          <w:rFonts w:ascii="Arial" w:hAnsi="Arial" w:cs="Arial"/>
          <w:b/>
          <w:sz w:val="20"/>
          <w:szCs w:val="20"/>
        </w:rPr>
        <w:t>. Prestação de contas de transferência voluntária. Irregularidades. Pagamento de despesas a título de custo operacional. Pagamento de retenções de impostos e contribuições e outros serviços de terceiros pessoa jurídica. Restituição ao erário. Responsabilidade solidária. Desconsideração da personalidade jurídica. Irregularidade das contas.</w:t>
      </w:r>
    </w:p>
    <w:p w14:paraId="11CE23D7" w14:textId="77777777" w:rsidR="00195B9E" w:rsidRPr="00195B9E" w:rsidRDefault="00195B9E" w:rsidP="00195B9E">
      <w:pPr>
        <w:autoSpaceDE w:val="0"/>
        <w:autoSpaceDN w:val="0"/>
        <w:adjustRightInd w:val="0"/>
        <w:spacing w:after="0"/>
        <w:jc w:val="both"/>
        <w:rPr>
          <w:rFonts w:ascii="Arial" w:hAnsi="Arial" w:cs="Arial"/>
          <w:b/>
          <w:sz w:val="20"/>
          <w:szCs w:val="20"/>
        </w:rPr>
      </w:pPr>
    </w:p>
    <w:p w14:paraId="2C41A009" w14:textId="77777777" w:rsidR="00195B9E" w:rsidRPr="00195B9E" w:rsidRDefault="00195B9E" w:rsidP="00195B9E">
      <w:pPr>
        <w:autoSpaceDE w:val="0"/>
        <w:autoSpaceDN w:val="0"/>
        <w:adjustRightInd w:val="0"/>
        <w:spacing w:after="0"/>
        <w:jc w:val="both"/>
        <w:rPr>
          <w:rFonts w:ascii="Arial" w:hAnsi="Arial" w:cs="Arial"/>
          <w:sz w:val="20"/>
          <w:szCs w:val="20"/>
        </w:rPr>
      </w:pPr>
      <w:r w:rsidRPr="00195B9E">
        <w:rPr>
          <w:rFonts w:ascii="Arial" w:hAnsi="Arial" w:cs="Arial"/>
          <w:sz w:val="20"/>
          <w:szCs w:val="20"/>
        </w:rPr>
        <w:t>Realização de despesas a título de “custos operacionais” e “recuperação de ISSQN”, sem comprovação: conclui-se que as despesas executadas pela OSCIP, a título de “custo operacional” e de “recuperação de ISS retido indevidamente”, não foram adequadamente comprovadas quanto aos aspectos de legalidade, legitimidade, economicidade e eficácia, violando ao disposto na Lei 9.790/99 (art. 1º, , §1º, art. 4º, II, art. 10, § 2º, IV), no Decreto 3.100/99 (art. 12, II), bem como na Instrução Normativa nº 61/2011 (art. 11, II e IV), motivo pelo qual permanece a irregularidade do item e a determinação de devolução dos valores não comprovados, de modo solidário a todos os responsáveis.</w:t>
      </w:r>
    </w:p>
    <w:p w14:paraId="6CA54432" w14:textId="77777777" w:rsidR="00195B9E" w:rsidRPr="00195B9E" w:rsidRDefault="00195B9E" w:rsidP="00195B9E">
      <w:pPr>
        <w:autoSpaceDE w:val="0"/>
        <w:autoSpaceDN w:val="0"/>
        <w:adjustRightInd w:val="0"/>
        <w:spacing w:after="0"/>
        <w:jc w:val="both"/>
        <w:rPr>
          <w:rFonts w:ascii="Arial" w:hAnsi="Arial" w:cs="Arial"/>
          <w:sz w:val="20"/>
          <w:szCs w:val="20"/>
        </w:rPr>
      </w:pPr>
    </w:p>
    <w:p w14:paraId="1B362495" w14:textId="77777777" w:rsidR="00195B9E" w:rsidRPr="00195B9E" w:rsidRDefault="00195B9E" w:rsidP="00195B9E">
      <w:pPr>
        <w:autoSpaceDE w:val="0"/>
        <w:autoSpaceDN w:val="0"/>
        <w:adjustRightInd w:val="0"/>
        <w:spacing w:after="0"/>
        <w:jc w:val="both"/>
        <w:rPr>
          <w:rFonts w:ascii="Arial" w:hAnsi="Arial" w:cs="Arial"/>
          <w:sz w:val="20"/>
          <w:szCs w:val="20"/>
        </w:rPr>
      </w:pPr>
      <w:r w:rsidRPr="00195B9E">
        <w:rPr>
          <w:rFonts w:ascii="Arial" w:hAnsi="Arial" w:cs="Arial"/>
          <w:sz w:val="20"/>
          <w:szCs w:val="20"/>
        </w:rPr>
        <w:t xml:space="preserve">Da determinação de restituição de valores e da responsabilidade solidária: a ausência de demonstração da destinação dada aos recursos transferidos e de comprovação da regularidade da respectiva aplicação (numa verdadeira inversão legal do ônus da prova operada pela própria Constituição Federal, em seu art. 70, parágrafo único) enseja, nos processos de prestação de contas, além de infração à norma legal (Lei nº 9.790/99, Decreto nº 3.100/99, Instrução Normativa nº 61/2011 e Resolução nº 28/2011 TCE/PR), a presunção da ocorrência de lesão ao erário e desvio de finalidade e, consequentemente, a determinação da restituição dos valores não comprovados, uma vez que ao beneficiário dos recursos compete a comprovação cabal de que o recurso foi aplicado no objeto a que se destinava. </w:t>
      </w:r>
    </w:p>
    <w:p w14:paraId="072629B2" w14:textId="77777777" w:rsidR="00195B9E" w:rsidRPr="00195B9E" w:rsidRDefault="00195B9E" w:rsidP="00195B9E">
      <w:pPr>
        <w:autoSpaceDE w:val="0"/>
        <w:autoSpaceDN w:val="0"/>
        <w:adjustRightInd w:val="0"/>
        <w:spacing w:after="0"/>
        <w:jc w:val="both"/>
        <w:rPr>
          <w:rFonts w:ascii="Arial" w:hAnsi="Arial" w:cs="Arial"/>
          <w:sz w:val="20"/>
          <w:szCs w:val="20"/>
        </w:rPr>
      </w:pPr>
    </w:p>
    <w:p w14:paraId="5E1A42AA" w14:textId="77777777" w:rsidR="00195B9E" w:rsidRPr="00195B9E" w:rsidRDefault="00195B9E" w:rsidP="00195B9E">
      <w:pPr>
        <w:autoSpaceDE w:val="0"/>
        <w:autoSpaceDN w:val="0"/>
        <w:adjustRightInd w:val="0"/>
        <w:spacing w:after="0"/>
        <w:jc w:val="both"/>
        <w:rPr>
          <w:rFonts w:ascii="Arial" w:hAnsi="Arial" w:cs="Arial"/>
          <w:sz w:val="20"/>
          <w:szCs w:val="20"/>
        </w:rPr>
      </w:pPr>
      <w:r w:rsidRPr="00195B9E">
        <w:rPr>
          <w:rFonts w:ascii="Arial" w:hAnsi="Arial" w:cs="Arial"/>
          <w:sz w:val="20"/>
          <w:szCs w:val="20"/>
        </w:rPr>
        <w:t xml:space="preserve">Ademais, em casos como o analisado, em que se observa a utilização abusiva e ilegal de entidade privada por parte de seu gestor visando ao aproveitamento indevido de recursos </w:t>
      </w:r>
      <w:r w:rsidRPr="00195B9E">
        <w:rPr>
          <w:rFonts w:ascii="Arial" w:hAnsi="Arial" w:cs="Arial"/>
          <w:sz w:val="20"/>
          <w:szCs w:val="20"/>
        </w:rPr>
        <w:lastRenderedPageBreak/>
        <w:t xml:space="preserve">públicos, sem a correlata comprovação das despesas, impõe-se a desconsideração da personalidade jurídica do Instituto </w:t>
      </w:r>
      <w:proofErr w:type="spellStart"/>
      <w:r w:rsidRPr="00195B9E">
        <w:rPr>
          <w:rFonts w:ascii="Arial" w:hAnsi="Arial" w:cs="Arial"/>
          <w:sz w:val="20"/>
          <w:szCs w:val="20"/>
        </w:rPr>
        <w:t>Confiancce</w:t>
      </w:r>
      <w:proofErr w:type="spellEnd"/>
      <w:r w:rsidRPr="00195B9E">
        <w:rPr>
          <w:rFonts w:ascii="Arial" w:hAnsi="Arial" w:cs="Arial"/>
          <w:sz w:val="20"/>
          <w:szCs w:val="20"/>
        </w:rPr>
        <w:t xml:space="preserve"> em relação à Sra. Presidente da OSCIP, nos termos do art. 5012 do Código Civil e da Uniformização de Jurisprudência nº 03 desta Corte de Contas (Acórdão nº 1412/2006 – Pleno, de relatoria do Conselheiro Fernando Augusto Mello Guimarães). Na oportunidade do julgamento da referida uniformização, fixou-se entendimento de que, em regra, a responsabilidade, nos entes públicos, é do seu gestor, sendo a responsabilidade institucional de caráter excepcional. Por outro lado, quando se tratar de entidades privadas, inverte-se o tratamento, sendo a regra geral a responsabilidade institucional, e a exceção a responsabilidade solidária de seu gestor ou dirigente, com a aplicação da teoria da desconsideração da pessoa jurídica.</w:t>
      </w:r>
    </w:p>
    <w:p w14:paraId="307C6C05" w14:textId="77777777" w:rsidR="00195B9E" w:rsidRPr="00195B9E" w:rsidRDefault="00195B9E" w:rsidP="00195B9E">
      <w:pPr>
        <w:autoSpaceDE w:val="0"/>
        <w:autoSpaceDN w:val="0"/>
        <w:adjustRightInd w:val="0"/>
        <w:spacing w:after="0"/>
        <w:jc w:val="both"/>
        <w:rPr>
          <w:rFonts w:ascii="Arial" w:hAnsi="Arial" w:cs="Arial"/>
          <w:sz w:val="20"/>
          <w:szCs w:val="20"/>
        </w:rPr>
      </w:pPr>
    </w:p>
    <w:p w14:paraId="3048C3C0" w14:textId="77777777" w:rsidR="00195B9E" w:rsidRPr="00195B9E" w:rsidRDefault="00195B9E" w:rsidP="00195B9E">
      <w:pPr>
        <w:autoSpaceDE w:val="0"/>
        <w:autoSpaceDN w:val="0"/>
        <w:adjustRightInd w:val="0"/>
        <w:spacing w:after="0"/>
        <w:jc w:val="both"/>
        <w:rPr>
          <w:rFonts w:ascii="Arial" w:hAnsi="Arial" w:cs="Arial"/>
          <w:b/>
          <w:bCs/>
          <w:sz w:val="20"/>
          <w:szCs w:val="20"/>
        </w:rPr>
      </w:pPr>
      <w:r w:rsidRPr="00195B9E">
        <w:rPr>
          <w:rFonts w:ascii="Arial" w:hAnsi="Arial" w:cs="Arial"/>
          <w:sz w:val="20"/>
          <w:szCs w:val="20"/>
        </w:rPr>
        <w:t xml:space="preserve">Destaque-se que este Tribunal já decidiu, em outras oportunidades, pela desconsideração da personalidade jurídica, e consequente responsabilidade solidária entre a entidade beneficiada e seus dirigentes para a restituição de recursos, destacando-se os Acórdãos nº 2461/12 – Segunda Câmara e nº 4184/14 – Primeira Câmara, de minha relatoria, Acórdãos nº 2793/14, nº 2962/14, e nº 2794/14, todos da Segunda Câmara, de relatoria do Conselheiro Nestor Baptista, e Acórdão nº 2723/14 – Primeira Câmara, de relatoria do Conselheiro Ivan </w:t>
      </w:r>
      <w:proofErr w:type="spellStart"/>
      <w:r w:rsidRPr="00195B9E">
        <w:rPr>
          <w:rFonts w:ascii="Arial" w:hAnsi="Arial" w:cs="Arial"/>
          <w:sz w:val="20"/>
          <w:szCs w:val="20"/>
        </w:rPr>
        <w:t>Lelis</w:t>
      </w:r>
      <w:proofErr w:type="spellEnd"/>
      <w:r w:rsidRPr="00195B9E">
        <w:rPr>
          <w:rFonts w:ascii="Arial" w:hAnsi="Arial" w:cs="Arial"/>
          <w:sz w:val="20"/>
          <w:szCs w:val="20"/>
        </w:rPr>
        <w:t xml:space="preserve"> Bonilha. Por conseguinte, importa pontuar que a solidariedade da responsabilidade entre o repassador e o tomador de recursos em razão da ausência parcial ou total de prestação de contas está prevista no art. 233 do Regimento Interno desta Corte.</w:t>
      </w:r>
    </w:p>
    <w:p w14:paraId="728A5E9C" w14:textId="77777777" w:rsidR="00195B9E" w:rsidRPr="00195B9E" w:rsidRDefault="00195B9E" w:rsidP="00195B9E">
      <w:pPr>
        <w:autoSpaceDE w:val="0"/>
        <w:autoSpaceDN w:val="0"/>
        <w:adjustRightInd w:val="0"/>
        <w:spacing w:after="0"/>
        <w:jc w:val="both"/>
        <w:rPr>
          <w:rFonts w:ascii="Arial" w:hAnsi="Arial" w:cs="Arial"/>
          <w:b/>
          <w:bCs/>
          <w:sz w:val="20"/>
          <w:szCs w:val="20"/>
        </w:rPr>
      </w:pPr>
    </w:p>
    <w:p w14:paraId="415C79E9" w14:textId="77777777" w:rsidR="00195B9E" w:rsidRPr="00195B9E" w:rsidRDefault="00195B9E" w:rsidP="00195B9E">
      <w:pPr>
        <w:autoSpaceDE w:val="0"/>
        <w:autoSpaceDN w:val="0"/>
        <w:adjustRightInd w:val="0"/>
        <w:spacing w:after="0"/>
        <w:jc w:val="both"/>
        <w:rPr>
          <w:rFonts w:ascii="Arial" w:hAnsi="Arial" w:cs="Arial"/>
          <w:sz w:val="20"/>
          <w:szCs w:val="20"/>
        </w:rPr>
      </w:pPr>
      <w:r w:rsidRPr="00195B9E">
        <w:rPr>
          <w:rFonts w:ascii="Arial" w:hAnsi="Arial" w:cs="Arial"/>
          <w:sz w:val="20"/>
          <w:szCs w:val="20"/>
        </w:rPr>
        <w:t>Processo nº 862096/12 –</w:t>
      </w:r>
      <w:hyperlink r:id="rId10" w:history="1">
        <w:r w:rsidRPr="00195B9E">
          <w:rPr>
            <w:rStyle w:val="Hyperlink"/>
            <w:rFonts w:ascii="Arial" w:hAnsi="Arial" w:cs="Arial"/>
            <w:sz w:val="20"/>
            <w:szCs w:val="20"/>
          </w:rPr>
          <w:t xml:space="preserve"> Acórdão nº 660/20 – Segunda Câmara -</w:t>
        </w:r>
      </w:hyperlink>
      <w:r w:rsidRPr="00195B9E">
        <w:rPr>
          <w:rFonts w:ascii="Arial" w:hAnsi="Arial" w:cs="Arial"/>
          <w:sz w:val="20"/>
          <w:szCs w:val="20"/>
        </w:rPr>
        <w:t xml:space="preserve"> Relator Conselheiro Ivens </w:t>
      </w:r>
      <w:proofErr w:type="spellStart"/>
      <w:r w:rsidRPr="00195B9E">
        <w:rPr>
          <w:rFonts w:ascii="Arial" w:hAnsi="Arial" w:cs="Arial"/>
          <w:sz w:val="20"/>
          <w:szCs w:val="20"/>
        </w:rPr>
        <w:t>Zschoerper</w:t>
      </w:r>
      <w:proofErr w:type="spellEnd"/>
      <w:r w:rsidRPr="00195B9E">
        <w:rPr>
          <w:rFonts w:ascii="Arial" w:hAnsi="Arial" w:cs="Arial"/>
          <w:sz w:val="20"/>
          <w:szCs w:val="20"/>
        </w:rPr>
        <w:t xml:space="preserve"> Linhares.</w:t>
      </w:r>
    </w:p>
    <w:p w14:paraId="729E0367" w14:textId="77777777" w:rsidR="00195B9E" w:rsidRPr="00195B9E" w:rsidRDefault="00195B9E" w:rsidP="00195B9E">
      <w:pPr>
        <w:autoSpaceDE w:val="0"/>
        <w:autoSpaceDN w:val="0"/>
        <w:adjustRightInd w:val="0"/>
        <w:spacing w:after="0"/>
        <w:jc w:val="both"/>
        <w:rPr>
          <w:rFonts w:ascii="Arial" w:hAnsi="Arial" w:cs="Arial"/>
          <w:sz w:val="20"/>
          <w:szCs w:val="20"/>
        </w:rPr>
      </w:pPr>
    </w:p>
    <w:p w14:paraId="32F57EAE" w14:textId="720D011A" w:rsidR="00195B9E" w:rsidRPr="00195B9E" w:rsidRDefault="00195B9E" w:rsidP="00195B9E">
      <w:pPr>
        <w:autoSpaceDE w:val="0"/>
        <w:autoSpaceDN w:val="0"/>
        <w:adjustRightInd w:val="0"/>
        <w:spacing w:after="0"/>
        <w:jc w:val="both"/>
        <w:rPr>
          <w:rFonts w:ascii="Arial" w:hAnsi="Arial" w:cs="Arial"/>
          <w:sz w:val="20"/>
          <w:szCs w:val="20"/>
        </w:rPr>
      </w:pPr>
      <w:r w:rsidRPr="00195B9E">
        <w:rPr>
          <w:rFonts w:ascii="Arial" w:hAnsi="Arial" w:cs="Arial"/>
          <w:b/>
          <w:sz w:val="20"/>
          <w:szCs w:val="20"/>
        </w:rPr>
        <w:t>4</w:t>
      </w:r>
      <w:r w:rsidRPr="00195B9E">
        <w:rPr>
          <w:rFonts w:ascii="Arial" w:hAnsi="Arial" w:cs="Arial"/>
          <w:b/>
          <w:sz w:val="20"/>
          <w:szCs w:val="20"/>
        </w:rPr>
        <w:t>. Admissão de Pessoal. Alimentação de dados no SIAP. Legalidade e registro com recomendação.</w:t>
      </w:r>
    </w:p>
    <w:p w14:paraId="0F09A138" w14:textId="77777777" w:rsidR="00195B9E" w:rsidRPr="00195B9E" w:rsidRDefault="00195B9E" w:rsidP="00195B9E">
      <w:pPr>
        <w:autoSpaceDE w:val="0"/>
        <w:autoSpaceDN w:val="0"/>
        <w:adjustRightInd w:val="0"/>
        <w:spacing w:after="0"/>
        <w:jc w:val="both"/>
        <w:rPr>
          <w:rFonts w:ascii="Arial" w:hAnsi="Arial" w:cs="Arial"/>
          <w:sz w:val="20"/>
          <w:szCs w:val="20"/>
        </w:rPr>
      </w:pPr>
    </w:p>
    <w:p w14:paraId="7F7AAA2C" w14:textId="77777777" w:rsidR="00195B9E" w:rsidRPr="00195B9E" w:rsidRDefault="00195B9E" w:rsidP="00195B9E">
      <w:pPr>
        <w:autoSpaceDE w:val="0"/>
        <w:autoSpaceDN w:val="0"/>
        <w:adjustRightInd w:val="0"/>
        <w:spacing w:after="0"/>
        <w:jc w:val="both"/>
        <w:rPr>
          <w:rFonts w:ascii="Arial" w:hAnsi="Arial" w:cs="Arial"/>
          <w:b/>
          <w:sz w:val="20"/>
          <w:szCs w:val="20"/>
        </w:rPr>
      </w:pPr>
      <w:r w:rsidRPr="00195B9E">
        <w:rPr>
          <w:rFonts w:ascii="Arial" w:hAnsi="Arial" w:cs="Arial"/>
          <w:sz w:val="20"/>
          <w:szCs w:val="20"/>
        </w:rPr>
        <w:t>Tanto a área técnica quanto o Ministério Público, após diligência à origem, convergiram no sentido de que a documentação apresentada é suficiente para atestar a legalidade, com o consequente registro dos atos de admissão. Diante disso, acolho as manifestações da unidade técnica como razão de decidir. Nestes termos, já decidiu por unanimidade a Segunda Câmara desta Corte no Acórdão 1669/191, que assim registrou o relator: Acolho a sugestão da Coordenadoria de Fiscalização de Atos de Pessoal, acompanhada pelo Ministério Público de Contas, de expedição de recomendações à origem e não propriamente ressalvas, por se tratarem de medidas tendentes a evitar falhas e deficiências em futuros certames, conforme §1º do art. 244, do Regimento Interno. Diante do precedente citado, bem como o teor do art. 244, §1º, do Regimento Interno, registro a recomendação para evitar que a impropriedade venha a se repetir em novas admissões. Ante o exposto, VOTO pela legalidade com a concessão de registro das admissões constantes destes autos, com recomendação de que se atente à correção dos dados alimentados no sistema SIAP – Módulo Quadro de Cargos e sua correlata utilização no Módulo Admissão de Pessoal, nos termos do Manual do SIAP – Admissão de Pessoal.</w:t>
      </w:r>
    </w:p>
    <w:p w14:paraId="1FDF491B" w14:textId="77777777" w:rsidR="00195B9E" w:rsidRPr="00195B9E" w:rsidRDefault="00195B9E" w:rsidP="00195B9E">
      <w:pPr>
        <w:autoSpaceDE w:val="0"/>
        <w:autoSpaceDN w:val="0"/>
        <w:adjustRightInd w:val="0"/>
        <w:spacing w:after="0"/>
        <w:jc w:val="both"/>
        <w:rPr>
          <w:rFonts w:ascii="Arial" w:hAnsi="Arial" w:cs="Arial"/>
          <w:sz w:val="20"/>
          <w:szCs w:val="20"/>
        </w:rPr>
      </w:pPr>
    </w:p>
    <w:p w14:paraId="540452AB" w14:textId="77777777" w:rsidR="00195B9E" w:rsidRPr="00195B9E" w:rsidRDefault="00195B9E" w:rsidP="00195B9E">
      <w:pPr>
        <w:autoSpaceDE w:val="0"/>
        <w:autoSpaceDN w:val="0"/>
        <w:adjustRightInd w:val="0"/>
        <w:spacing w:after="0"/>
        <w:jc w:val="both"/>
        <w:rPr>
          <w:rFonts w:ascii="Arial" w:hAnsi="Arial" w:cs="Arial"/>
          <w:sz w:val="20"/>
          <w:szCs w:val="20"/>
        </w:rPr>
      </w:pPr>
      <w:r w:rsidRPr="00195B9E">
        <w:rPr>
          <w:rFonts w:ascii="Arial" w:hAnsi="Arial" w:cs="Arial"/>
          <w:sz w:val="20"/>
          <w:szCs w:val="20"/>
        </w:rPr>
        <w:lastRenderedPageBreak/>
        <w:t>Processo nº 544983/18 –</w:t>
      </w:r>
      <w:hyperlink r:id="rId11" w:history="1">
        <w:r w:rsidRPr="00195B9E">
          <w:rPr>
            <w:rStyle w:val="Hyperlink"/>
            <w:rFonts w:ascii="Arial" w:hAnsi="Arial" w:cs="Arial"/>
            <w:sz w:val="20"/>
            <w:szCs w:val="20"/>
          </w:rPr>
          <w:t xml:space="preserve"> Acórdão nº 657/20 – Segunda Câmara -</w:t>
        </w:r>
      </w:hyperlink>
      <w:r w:rsidRPr="00195B9E">
        <w:rPr>
          <w:rFonts w:ascii="Arial" w:hAnsi="Arial" w:cs="Arial"/>
          <w:sz w:val="20"/>
          <w:szCs w:val="20"/>
        </w:rPr>
        <w:t xml:space="preserve"> Relator Conselheiro Ivan </w:t>
      </w:r>
      <w:proofErr w:type="spellStart"/>
      <w:r w:rsidRPr="00195B9E">
        <w:rPr>
          <w:rFonts w:ascii="Arial" w:hAnsi="Arial" w:cs="Arial"/>
          <w:sz w:val="20"/>
          <w:szCs w:val="20"/>
        </w:rPr>
        <w:t>Lelis</w:t>
      </w:r>
      <w:proofErr w:type="spellEnd"/>
      <w:r w:rsidRPr="00195B9E">
        <w:rPr>
          <w:rFonts w:ascii="Arial" w:hAnsi="Arial" w:cs="Arial"/>
          <w:sz w:val="20"/>
          <w:szCs w:val="20"/>
        </w:rPr>
        <w:t xml:space="preserve"> Bonilha.</w:t>
      </w:r>
    </w:p>
    <w:p w14:paraId="44E45D5C" w14:textId="77777777" w:rsidR="00195B9E" w:rsidRPr="00195B9E" w:rsidRDefault="00195B9E" w:rsidP="00195B9E">
      <w:pPr>
        <w:autoSpaceDE w:val="0"/>
        <w:autoSpaceDN w:val="0"/>
        <w:adjustRightInd w:val="0"/>
        <w:spacing w:after="0"/>
        <w:jc w:val="both"/>
        <w:rPr>
          <w:rFonts w:ascii="Arial" w:hAnsi="Arial" w:cs="Arial"/>
          <w:sz w:val="20"/>
          <w:szCs w:val="20"/>
        </w:rPr>
      </w:pPr>
    </w:p>
    <w:p w14:paraId="07DE7A34" w14:textId="71B82059" w:rsidR="00195B9E" w:rsidRPr="00195B9E" w:rsidRDefault="00195B9E" w:rsidP="00195B9E">
      <w:pPr>
        <w:autoSpaceDE w:val="0"/>
        <w:autoSpaceDN w:val="0"/>
        <w:adjustRightInd w:val="0"/>
        <w:spacing w:after="0"/>
        <w:jc w:val="both"/>
        <w:rPr>
          <w:rFonts w:ascii="Arial" w:hAnsi="Arial" w:cs="Arial"/>
          <w:sz w:val="20"/>
          <w:szCs w:val="20"/>
        </w:rPr>
      </w:pPr>
      <w:r w:rsidRPr="00195B9E">
        <w:rPr>
          <w:rFonts w:ascii="Arial" w:hAnsi="Arial" w:cs="Arial"/>
          <w:b/>
          <w:sz w:val="20"/>
          <w:szCs w:val="20"/>
        </w:rPr>
        <w:t>5</w:t>
      </w:r>
      <w:r w:rsidRPr="00195B9E">
        <w:rPr>
          <w:rFonts w:ascii="Arial" w:hAnsi="Arial" w:cs="Arial"/>
          <w:b/>
          <w:sz w:val="20"/>
          <w:szCs w:val="20"/>
        </w:rPr>
        <w:t>. Prestação de Contas de Transferência Voluntária. Despesas com servidores vinculados. Acúmulo ilegal de cargos públicos. Manifestações uniformes. Irregularidade. Imputação de multa.</w:t>
      </w:r>
    </w:p>
    <w:p w14:paraId="7D02BFF4" w14:textId="77777777" w:rsidR="00195B9E" w:rsidRPr="00195B9E" w:rsidRDefault="00195B9E" w:rsidP="00195B9E">
      <w:pPr>
        <w:autoSpaceDE w:val="0"/>
        <w:autoSpaceDN w:val="0"/>
        <w:adjustRightInd w:val="0"/>
        <w:spacing w:after="0"/>
        <w:jc w:val="both"/>
        <w:rPr>
          <w:rFonts w:ascii="Arial" w:hAnsi="Arial" w:cs="Arial"/>
          <w:sz w:val="20"/>
          <w:szCs w:val="20"/>
        </w:rPr>
      </w:pPr>
    </w:p>
    <w:p w14:paraId="6D8AF424" w14:textId="77777777" w:rsidR="00195B9E" w:rsidRPr="00195B9E" w:rsidRDefault="00195B9E" w:rsidP="00195B9E">
      <w:pPr>
        <w:autoSpaceDE w:val="0"/>
        <w:autoSpaceDN w:val="0"/>
        <w:adjustRightInd w:val="0"/>
        <w:spacing w:after="0"/>
        <w:jc w:val="both"/>
        <w:rPr>
          <w:rFonts w:ascii="Arial" w:hAnsi="Arial" w:cs="Arial"/>
          <w:sz w:val="20"/>
          <w:szCs w:val="20"/>
        </w:rPr>
      </w:pPr>
      <w:r w:rsidRPr="00195B9E">
        <w:rPr>
          <w:rFonts w:ascii="Arial" w:hAnsi="Arial" w:cs="Arial"/>
          <w:sz w:val="20"/>
          <w:szCs w:val="20"/>
        </w:rPr>
        <w:t xml:space="preserve">Constataram-se ilegalidades quanto aos pagamentos com recursos oriundos de transferência voluntária para agentes integrantes do quadro de pessoal da Administração Pública e quanto às cargas horárias efetivamente laboradas. Em sede de contraditório, informou, em síntese, que as servidoras trabalhavam vinte horas semanais, como professoras, junto àquela entidade; que não agiram de má-fé e foram mantidas em suas funções devido aos seus bons serviços prestados, à sua qualificação e especialização e, também, em razão da escassez de profissionais capacitados para o ensino de alunos especiais. </w:t>
      </w:r>
    </w:p>
    <w:p w14:paraId="06C4F6B4" w14:textId="77777777" w:rsidR="00195B9E" w:rsidRPr="00195B9E" w:rsidRDefault="00195B9E" w:rsidP="00195B9E">
      <w:pPr>
        <w:autoSpaceDE w:val="0"/>
        <w:autoSpaceDN w:val="0"/>
        <w:adjustRightInd w:val="0"/>
        <w:spacing w:after="0"/>
        <w:jc w:val="both"/>
        <w:rPr>
          <w:rFonts w:ascii="Arial" w:hAnsi="Arial" w:cs="Arial"/>
          <w:sz w:val="20"/>
          <w:szCs w:val="20"/>
        </w:rPr>
      </w:pPr>
    </w:p>
    <w:p w14:paraId="4D3900FA" w14:textId="77777777" w:rsidR="00195B9E" w:rsidRPr="00195B9E" w:rsidRDefault="00195B9E" w:rsidP="00195B9E">
      <w:pPr>
        <w:autoSpaceDE w:val="0"/>
        <w:autoSpaceDN w:val="0"/>
        <w:adjustRightInd w:val="0"/>
        <w:spacing w:after="0"/>
        <w:jc w:val="both"/>
        <w:rPr>
          <w:rFonts w:ascii="Arial" w:hAnsi="Arial" w:cs="Arial"/>
          <w:sz w:val="20"/>
          <w:szCs w:val="20"/>
        </w:rPr>
      </w:pPr>
      <w:r w:rsidRPr="00195B9E">
        <w:rPr>
          <w:rFonts w:ascii="Arial" w:hAnsi="Arial" w:cs="Arial"/>
          <w:sz w:val="20"/>
          <w:szCs w:val="20"/>
        </w:rPr>
        <w:t xml:space="preserve">Considero que tais argumentações não possuem o condão de afastar a impropriedade, na medida em que a ocorrência do acúmulo é notória, situação que é expressamente vedada pelo ordenamento jurídico. Não se ignora que os pequenos Municípios possuem dificuldades para encontrar profissionais capacitados; porém, a busca do atingimento do interesse público dever estar sempre alicerçado nos mandamentos constitucionais e legais. A regra é a </w:t>
      </w:r>
      <w:proofErr w:type="spellStart"/>
      <w:r w:rsidRPr="00195B9E">
        <w:rPr>
          <w:rFonts w:ascii="Arial" w:hAnsi="Arial" w:cs="Arial"/>
          <w:sz w:val="20"/>
          <w:szCs w:val="20"/>
        </w:rPr>
        <w:t>inacumulabilidade</w:t>
      </w:r>
      <w:proofErr w:type="spellEnd"/>
      <w:r w:rsidRPr="00195B9E">
        <w:rPr>
          <w:rFonts w:ascii="Arial" w:hAnsi="Arial" w:cs="Arial"/>
          <w:sz w:val="20"/>
          <w:szCs w:val="20"/>
        </w:rPr>
        <w:t xml:space="preserve">; assim, restrita deve ser a interpretação quanto às suas exceções. No presente caso, são irrelevantes as alegações quanto à existência de compatibilidade de horários, haja vista que, com relação às duas agentes, constatou-se acumulação tríplice de cargos. Da situação fática demonstrada, extrai-se que houve, portanto, a violação ao artigo 9º da Resolução nº 28/2011, bem como ao artigo 37, inciso XVI, da Constituição Federal e ao artigo 37, § 10, da Carta Magna. Destaco que, como as agentes desempenhavam uma função pública junto à APAE, considera-se estendida a cumulação de cargos, nos termos do que dispõe a Constituição Federal, em seu artigo 37, inciso XVII. </w:t>
      </w:r>
    </w:p>
    <w:p w14:paraId="1EE74965" w14:textId="77777777" w:rsidR="00195B9E" w:rsidRPr="00195B9E" w:rsidRDefault="00195B9E" w:rsidP="00195B9E">
      <w:pPr>
        <w:autoSpaceDE w:val="0"/>
        <w:autoSpaceDN w:val="0"/>
        <w:adjustRightInd w:val="0"/>
        <w:spacing w:after="0"/>
        <w:jc w:val="both"/>
        <w:rPr>
          <w:rFonts w:ascii="Arial" w:hAnsi="Arial" w:cs="Arial"/>
          <w:sz w:val="20"/>
          <w:szCs w:val="20"/>
        </w:rPr>
      </w:pPr>
    </w:p>
    <w:p w14:paraId="29F7619D" w14:textId="77777777" w:rsidR="00195B9E" w:rsidRPr="00195B9E" w:rsidRDefault="00195B9E" w:rsidP="00195B9E">
      <w:pPr>
        <w:autoSpaceDE w:val="0"/>
        <w:autoSpaceDN w:val="0"/>
        <w:adjustRightInd w:val="0"/>
        <w:spacing w:after="0"/>
        <w:jc w:val="both"/>
        <w:rPr>
          <w:rFonts w:ascii="Arial" w:hAnsi="Arial" w:cs="Arial"/>
          <w:sz w:val="20"/>
          <w:szCs w:val="20"/>
        </w:rPr>
      </w:pPr>
      <w:r w:rsidRPr="00195B9E">
        <w:rPr>
          <w:rFonts w:ascii="Arial" w:hAnsi="Arial" w:cs="Arial"/>
          <w:sz w:val="20"/>
          <w:szCs w:val="20"/>
        </w:rPr>
        <w:t>Com a existência de três vínculos funcionais remunerados pelos cofres públicos, o descompasso com o regramento constitucional é insuperável. O Supremo Tribunal Federal já se posicionou acerca da impossibilidade de acumulação tríplice de cargos públicos. Diante de tal cenário, concluo, em consonância com as manifestações uniformes, pela permanência da irregularidade para o tópico, com a consequente imputação da multa prevista no artigo 87, inciso IV, “g”</w:t>
      </w:r>
      <w:proofErr w:type="gramStart"/>
      <w:r w:rsidRPr="00195B9E">
        <w:rPr>
          <w:rFonts w:ascii="Arial" w:hAnsi="Arial" w:cs="Arial"/>
          <w:sz w:val="20"/>
          <w:szCs w:val="20"/>
        </w:rPr>
        <w:t>1 ,</w:t>
      </w:r>
      <w:proofErr w:type="gramEnd"/>
      <w:r w:rsidRPr="00195B9E">
        <w:rPr>
          <w:rFonts w:ascii="Arial" w:hAnsi="Arial" w:cs="Arial"/>
          <w:sz w:val="20"/>
          <w:szCs w:val="20"/>
        </w:rPr>
        <w:t xml:space="preserve"> da Lei Complementar Estadual nº 113/2005. Por outro viés, os elementos probatórios constantes dos autos não são suficientes para que se conclua que houve má-fé por parte dos envolvidos; as verbas tinham respaldo legal e não há documentos que levem à comprovação de que as funções não foram exercidas junto à APAE. Nesse sentido, entendo que deve ser determinada a restituição de valores apenas naquelas circunstâncias em que se demonstra cabalmente que os agentes foram remunerados sem a contraprestação de trabalho. E, como tal situação não ficou evidenciada, no caso em apreço pode-se apenas eventualmente questionar se a qualidade e eficiência no serviço público foram atingidas, o que, por si só, não é o bastante para a </w:t>
      </w:r>
      <w:r w:rsidRPr="00195B9E">
        <w:rPr>
          <w:rFonts w:ascii="Arial" w:hAnsi="Arial" w:cs="Arial"/>
          <w:sz w:val="20"/>
          <w:szCs w:val="20"/>
        </w:rPr>
        <w:lastRenderedPageBreak/>
        <w:t>condenação ao ressarcimento. Ante o exposto, com fundamento no artigo 16, inciso III, “b”, da Lei Complementar Estadual nº 113/2005, VOTO pela irregularidade da presente Prestação de Contas de Transferência, em razão das despesas efetuadas com servidores vinculados.</w:t>
      </w:r>
    </w:p>
    <w:p w14:paraId="1268872D" w14:textId="77777777" w:rsidR="00195B9E" w:rsidRPr="00195B9E" w:rsidRDefault="00195B9E" w:rsidP="00195B9E">
      <w:pPr>
        <w:autoSpaceDE w:val="0"/>
        <w:autoSpaceDN w:val="0"/>
        <w:adjustRightInd w:val="0"/>
        <w:spacing w:after="0"/>
        <w:jc w:val="both"/>
        <w:rPr>
          <w:rFonts w:ascii="Arial" w:hAnsi="Arial" w:cs="Arial"/>
          <w:sz w:val="20"/>
          <w:szCs w:val="20"/>
        </w:rPr>
      </w:pPr>
    </w:p>
    <w:p w14:paraId="4F16733B" w14:textId="77777777" w:rsidR="00195B9E" w:rsidRPr="00195B9E" w:rsidRDefault="00195B9E" w:rsidP="00195B9E">
      <w:pPr>
        <w:autoSpaceDE w:val="0"/>
        <w:autoSpaceDN w:val="0"/>
        <w:adjustRightInd w:val="0"/>
        <w:spacing w:after="0"/>
        <w:jc w:val="both"/>
        <w:rPr>
          <w:rFonts w:ascii="Arial" w:hAnsi="Arial" w:cs="Arial"/>
          <w:sz w:val="20"/>
          <w:szCs w:val="20"/>
        </w:rPr>
      </w:pPr>
      <w:r w:rsidRPr="00195B9E">
        <w:rPr>
          <w:rFonts w:ascii="Arial" w:hAnsi="Arial" w:cs="Arial"/>
          <w:sz w:val="20"/>
          <w:szCs w:val="20"/>
        </w:rPr>
        <w:t>Processo nº 136725/17 –</w:t>
      </w:r>
      <w:hyperlink r:id="rId12" w:history="1">
        <w:r w:rsidRPr="00195B9E">
          <w:rPr>
            <w:rStyle w:val="Hyperlink"/>
            <w:rFonts w:ascii="Arial" w:hAnsi="Arial" w:cs="Arial"/>
            <w:sz w:val="20"/>
            <w:szCs w:val="20"/>
          </w:rPr>
          <w:t xml:space="preserve"> Acórdão nº 654/20 – Segunda Câmara -</w:t>
        </w:r>
      </w:hyperlink>
      <w:r w:rsidRPr="00195B9E">
        <w:rPr>
          <w:rFonts w:ascii="Arial" w:hAnsi="Arial" w:cs="Arial"/>
          <w:sz w:val="20"/>
          <w:szCs w:val="20"/>
        </w:rPr>
        <w:t xml:space="preserve"> Relator Conselheiro Ivan </w:t>
      </w:r>
      <w:proofErr w:type="spellStart"/>
      <w:r w:rsidRPr="00195B9E">
        <w:rPr>
          <w:rFonts w:ascii="Arial" w:hAnsi="Arial" w:cs="Arial"/>
          <w:sz w:val="20"/>
          <w:szCs w:val="20"/>
        </w:rPr>
        <w:t>Lelis</w:t>
      </w:r>
      <w:proofErr w:type="spellEnd"/>
      <w:r w:rsidRPr="00195B9E">
        <w:rPr>
          <w:rFonts w:ascii="Arial" w:hAnsi="Arial" w:cs="Arial"/>
          <w:sz w:val="20"/>
          <w:szCs w:val="20"/>
        </w:rPr>
        <w:t xml:space="preserve"> Bonilha.</w:t>
      </w:r>
    </w:p>
    <w:p w14:paraId="2B4F8CE1" w14:textId="77777777" w:rsidR="00195B9E" w:rsidRPr="00195B9E" w:rsidRDefault="00195B9E" w:rsidP="00195B9E">
      <w:pPr>
        <w:autoSpaceDE w:val="0"/>
        <w:autoSpaceDN w:val="0"/>
        <w:adjustRightInd w:val="0"/>
        <w:spacing w:after="0"/>
        <w:jc w:val="both"/>
        <w:rPr>
          <w:rFonts w:ascii="Arial" w:hAnsi="Arial" w:cs="Arial"/>
          <w:sz w:val="20"/>
          <w:szCs w:val="20"/>
        </w:rPr>
      </w:pPr>
    </w:p>
    <w:p w14:paraId="25DC638A" w14:textId="7DF72576" w:rsidR="00195B9E" w:rsidRPr="00195B9E" w:rsidRDefault="00195B9E" w:rsidP="00195B9E">
      <w:pPr>
        <w:autoSpaceDE w:val="0"/>
        <w:autoSpaceDN w:val="0"/>
        <w:adjustRightInd w:val="0"/>
        <w:spacing w:after="0"/>
        <w:jc w:val="both"/>
        <w:rPr>
          <w:rFonts w:ascii="Arial" w:hAnsi="Arial" w:cs="Arial"/>
          <w:b/>
          <w:sz w:val="20"/>
          <w:szCs w:val="20"/>
        </w:rPr>
      </w:pPr>
      <w:r w:rsidRPr="00195B9E">
        <w:rPr>
          <w:rFonts w:ascii="Arial" w:hAnsi="Arial" w:cs="Arial"/>
          <w:b/>
          <w:sz w:val="20"/>
          <w:szCs w:val="20"/>
        </w:rPr>
        <w:t>6</w:t>
      </w:r>
      <w:r w:rsidRPr="00195B9E">
        <w:rPr>
          <w:rFonts w:ascii="Arial" w:hAnsi="Arial" w:cs="Arial"/>
          <w:b/>
          <w:sz w:val="20"/>
          <w:szCs w:val="20"/>
        </w:rPr>
        <w:t>. Embargos de Declaração. Alegação de omissão quanto a aplicação da multa prevista no art. 5º, §1º, da Lei Federal n.º 10.028/2000. Decisão em consonância à jurisprudência desta Corte. Procedência dos Embargos para fins de suprir a omissão.</w:t>
      </w:r>
    </w:p>
    <w:p w14:paraId="12E369C5" w14:textId="77777777" w:rsidR="00195B9E" w:rsidRPr="00195B9E" w:rsidRDefault="00195B9E" w:rsidP="00195B9E">
      <w:pPr>
        <w:autoSpaceDE w:val="0"/>
        <w:autoSpaceDN w:val="0"/>
        <w:adjustRightInd w:val="0"/>
        <w:spacing w:after="0"/>
        <w:jc w:val="both"/>
        <w:rPr>
          <w:rFonts w:ascii="Arial" w:hAnsi="Arial" w:cs="Arial"/>
          <w:b/>
          <w:sz w:val="20"/>
          <w:szCs w:val="20"/>
        </w:rPr>
      </w:pPr>
    </w:p>
    <w:p w14:paraId="395D6CBB" w14:textId="77777777" w:rsidR="00195B9E" w:rsidRPr="00195B9E" w:rsidRDefault="00195B9E" w:rsidP="00195B9E">
      <w:pPr>
        <w:autoSpaceDE w:val="0"/>
        <w:autoSpaceDN w:val="0"/>
        <w:adjustRightInd w:val="0"/>
        <w:spacing w:after="0"/>
        <w:jc w:val="both"/>
        <w:rPr>
          <w:rFonts w:ascii="Arial" w:hAnsi="Arial" w:cs="Arial"/>
          <w:sz w:val="20"/>
          <w:szCs w:val="20"/>
        </w:rPr>
      </w:pPr>
      <w:r w:rsidRPr="00195B9E">
        <w:rPr>
          <w:rFonts w:ascii="Arial" w:hAnsi="Arial" w:cs="Arial"/>
          <w:sz w:val="20"/>
          <w:szCs w:val="20"/>
        </w:rPr>
        <w:t>Da análise do feito, compreende-se assistir razão ao órgão Ministerial no tocante à ocorrência de omissão no Acórdão embargado quanto à aplicação da multa prevista no art. artigo 5º, §1º, da Lei Federal n.º 10.028/2000. No entanto, a referida sanção a muito vem tendo a sua aplicação afastada no âmbito deste Tribunal, que a considerou, por diversas vezes, desproporcional, por implicar no pagamento de trinta por cento dos vencimentos anuais do agente que lhe der causa, atribuindo-se a responsabilidade pessoal. Nesse sentido, citam-se os Acórdãos nº 364/16 - S1C, Acórdão nº 116/18-Segunda Câmara, Acórdão de Parecer Prévio 193/16 - S1C, dentre outros. Assim sendo, em atendimento aos princípios da razoabilidade e proporcionalidade, bem como da uniformidade das decisões colegiadas, decido pelo PROVIMENTO dos presentes Embargos de Declaração para afastar a omissão no Acórdão recorrido no tocante à não aplicação da multa prevista no artigo 5º, §1º, da Lei Federal n.º 10.028/2000, eis que contrária à jurisprudência deste Tribunal.</w:t>
      </w:r>
    </w:p>
    <w:p w14:paraId="50210452" w14:textId="77777777" w:rsidR="00195B9E" w:rsidRPr="00195B9E" w:rsidRDefault="00195B9E" w:rsidP="00195B9E">
      <w:pPr>
        <w:autoSpaceDE w:val="0"/>
        <w:autoSpaceDN w:val="0"/>
        <w:adjustRightInd w:val="0"/>
        <w:spacing w:after="0"/>
        <w:jc w:val="both"/>
        <w:rPr>
          <w:rFonts w:ascii="Arial" w:hAnsi="Arial" w:cs="Arial"/>
          <w:b/>
          <w:sz w:val="20"/>
          <w:szCs w:val="20"/>
        </w:rPr>
      </w:pPr>
    </w:p>
    <w:p w14:paraId="1DAF9515" w14:textId="77777777" w:rsidR="00195B9E" w:rsidRPr="00195B9E" w:rsidRDefault="00195B9E" w:rsidP="00195B9E">
      <w:pPr>
        <w:autoSpaceDE w:val="0"/>
        <w:autoSpaceDN w:val="0"/>
        <w:adjustRightInd w:val="0"/>
        <w:spacing w:after="0"/>
        <w:jc w:val="both"/>
        <w:rPr>
          <w:rFonts w:ascii="Arial" w:hAnsi="Arial" w:cs="Arial"/>
          <w:sz w:val="20"/>
          <w:szCs w:val="20"/>
        </w:rPr>
      </w:pPr>
      <w:r w:rsidRPr="00195B9E">
        <w:rPr>
          <w:rFonts w:ascii="Arial" w:hAnsi="Arial" w:cs="Arial"/>
          <w:sz w:val="20"/>
          <w:szCs w:val="20"/>
        </w:rPr>
        <w:t>Processo nº 46733/20 –</w:t>
      </w:r>
      <w:hyperlink r:id="rId13" w:history="1">
        <w:r w:rsidRPr="00195B9E">
          <w:rPr>
            <w:rStyle w:val="Hyperlink"/>
            <w:rFonts w:ascii="Arial" w:hAnsi="Arial" w:cs="Arial"/>
            <w:sz w:val="20"/>
            <w:szCs w:val="20"/>
          </w:rPr>
          <w:t xml:space="preserve"> Acórdão nº 650/20 – Segunda Câmara -</w:t>
        </w:r>
      </w:hyperlink>
      <w:r w:rsidRPr="00195B9E">
        <w:rPr>
          <w:rFonts w:ascii="Arial" w:hAnsi="Arial" w:cs="Arial"/>
          <w:sz w:val="20"/>
          <w:szCs w:val="20"/>
        </w:rPr>
        <w:t xml:space="preserve"> Relator Conselheiro </w:t>
      </w:r>
      <w:proofErr w:type="spellStart"/>
      <w:r w:rsidRPr="00195B9E">
        <w:rPr>
          <w:rFonts w:ascii="Arial" w:hAnsi="Arial" w:cs="Arial"/>
          <w:sz w:val="20"/>
          <w:szCs w:val="20"/>
        </w:rPr>
        <w:t>Artagão</w:t>
      </w:r>
      <w:proofErr w:type="spellEnd"/>
      <w:r w:rsidRPr="00195B9E">
        <w:rPr>
          <w:rFonts w:ascii="Arial" w:hAnsi="Arial" w:cs="Arial"/>
          <w:sz w:val="20"/>
          <w:szCs w:val="20"/>
        </w:rPr>
        <w:t xml:space="preserve"> de Mattos Leão.</w:t>
      </w:r>
    </w:p>
    <w:p w14:paraId="67F82AA5" w14:textId="77777777" w:rsidR="005806DC" w:rsidRPr="00195B9E" w:rsidRDefault="005806DC" w:rsidP="00195B9E">
      <w:pPr>
        <w:autoSpaceDE w:val="0"/>
        <w:autoSpaceDN w:val="0"/>
        <w:adjustRightInd w:val="0"/>
        <w:spacing w:after="0"/>
        <w:jc w:val="both"/>
        <w:rPr>
          <w:rFonts w:ascii="Arial" w:hAnsi="Arial" w:cs="Arial"/>
          <w:sz w:val="20"/>
          <w:szCs w:val="20"/>
        </w:rPr>
      </w:pPr>
    </w:p>
    <w:p w14:paraId="4A70CAD0" w14:textId="2E4D5665" w:rsidR="007C18E7" w:rsidRPr="00195B9E" w:rsidRDefault="007C18E7" w:rsidP="00195B9E">
      <w:pPr>
        <w:autoSpaceDE w:val="0"/>
        <w:autoSpaceDN w:val="0"/>
        <w:adjustRightInd w:val="0"/>
        <w:spacing w:after="0"/>
        <w:jc w:val="both"/>
        <w:rPr>
          <w:rFonts w:ascii="Arial" w:hAnsi="Arial" w:cs="Arial"/>
          <w:sz w:val="20"/>
          <w:szCs w:val="20"/>
        </w:rPr>
      </w:pPr>
      <w:r w:rsidRPr="00195B9E">
        <w:rPr>
          <w:rFonts w:ascii="Arial" w:hAnsi="Arial" w:cs="Arial"/>
          <w:sz w:val="20"/>
          <w:szCs w:val="20"/>
        </w:rPr>
        <w:t xml:space="preserve">Observações: </w:t>
      </w:r>
    </w:p>
    <w:p w14:paraId="6421775C" w14:textId="77777777" w:rsidR="007C18E7" w:rsidRPr="00195B9E" w:rsidRDefault="007C18E7" w:rsidP="00195B9E">
      <w:pPr>
        <w:spacing w:after="0"/>
        <w:rPr>
          <w:rFonts w:ascii="Arial" w:hAnsi="Arial" w:cs="Arial"/>
          <w:b/>
          <w:color w:val="000000"/>
          <w:sz w:val="20"/>
          <w:szCs w:val="20"/>
        </w:rPr>
      </w:pPr>
      <w:r w:rsidRPr="00195B9E">
        <w:rPr>
          <w:rFonts w:ascii="Arial" w:hAnsi="Arial" w:cs="Arial"/>
          <w:noProof/>
          <w:sz w:val="20"/>
          <w:szCs w:val="20"/>
          <w:lang w:eastAsia="pt-BR"/>
        </w:rPr>
        <mc:AlternateContent>
          <mc:Choice Requires="wps">
            <w:drawing>
              <wp:anchor distT="0" distB="0" distL="114300" distR="114300" simplePos="0" relativeHeight="251660288" behindDoc="0" locked="0" layoutInCell="1" allowOverlap="1" wp14:anchorId="36E09DEE" wp14:editId="62178AE7">
                <wp:simplePos x="0" y="0"/>
                <wp:positionH relativeFrom="margin">
                  <wp:posOffset>-6985</wp:posOffset>
                </wp:positionH>
                <wp:positionV relativeFrom="paragraph">
                  <wp:posOffset>73660</wp:posOffset>
                </wp:positionV>
                <wp:extent cx="5499100" cy="0"/>
                <wp:effectExtent l="0" t="0" r="25400" b="57150"/>
                <wp:wrapNone/>
                <wp:docPr id="2" name="Conector re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91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line w14:anchorId="7251BCC3" id="Conector reto 2"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5.8pt" to="432.4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" strokecolor="black [3200]" strokeweight="2pt">
                <v:shadow on="t" color="black" opacity="24903f" origin=",.5" offset="0,.55556mm"/>
                <w10:wrap anchorx="margin"/>
              </v:line>
            </w:pict>
          </mc:Fallback>
        </mc:AlternateContent>
      </w:r>
    </w:p>
    <w:p w14:paraId="5D396A7C" w14:textId="4B66B555" w:rsidR="006C063B" w:rsidRPr="00195B9E" w:rsidRDefault="00FA641B" w:rsidP="00195B9E">
      <w:pPr>
        <w:autoSpaceDE w:val="0"/>
        <w:autoSpaceDN w:val="0"/>
        <w:adjustRightInd w:val="0"/>
        <w:spacing w:after="0"/>
        <w:jc w:val="both"/>
        <w:rPr>
          <w:rFonts w:ascii="Arial" w:hAnsi="Arial" w:cs="Arial"/>
          <w:sz w:val="20"/>
          <w:szCs w:val="20"/>
        </w:rPr>
      </w:pPr>
      <w:r w:rsidRPr="00195B9E">
        <w:rPr>
          <w:rFonts w:ascii="Arial" w:hAnsi="Arial" w:cs="Arial"/>
          <w:sz w:val="20"/>
          <w:szCs w:val="20"/>
        </w:rPr>
        <w:t>Jurisprudência selecionada:</w:t>
      </w:r>
    </w:p>
    <w:p w14:paraId="37570D58" w14:textId="77777777" w:rsidR="00EA1655" w:rsidRPr="00195B9E" w:rsidRDefault="00EA1655" w:rsidP="00195B9E">
      <w:pPr>
        <w:autoSpaceDE w:val="0"/>
        <w:autoSpaceDN w:val="0"/>
        <w:adjustRightInd w:val="0"/>
        <w:spacing w:after="0"/>
        <w:jc w:val="both"/>
        <w:rPr>
          <w:rFonts w:ascii="Arial" w:hAnsi="Arial" w:cs="Arial"/>
          <w:b/>
          <w:bCs/>
          <w:sz w:val="20"/>
          <w:szCs w:val="20"/>
        </w:rPr>
      </w:pPr>
    </w:p>
    <w:p w14:paraId="7E18197D" w14:textId="478AEA9B" w:rsidR="00073CD1" w:rsidRPr="00195B9E" w:rsidRDefault="00073CD1" w:rsidP="00195B9E">
      <w:pPr>
        <w:autoSpaceDE w:val="0"/>
        <w:autoSpaceDN w:val="0"/>
        <w:adjustRightInd w:val="0"/>
        <w:spacing w:after="0"/>
        <w:jc w:val="both"/>
        <w:rPr>
          <w:rFonts w:ascii="Arial" w:hAnsi="Arial" w:cs="Arial"/>
          <w:b/>
          <w:bCs/>
          <w:sz w:val="20"/>
          <w:szCs w:val="20"/>
        </w:rPr>
      </w:pPr>
      <w:r w:rsidRPr="00195B9E">
        <w:rPr>
          <w:rFonts w:ascii="Arial" w:hAnsi="Arial" w:cs="Arial"/>
          <w:b/>
          <w:bCs/>
          <w:sz w:val="20"/>
          <w:szCs w:val="20"/>
        </w:rPr>
        <w:t>Supremo Tribunal Federal</w:t>
      </w:r>
    </w:p>
    <w:p w14:paraId="7D96D4CE" w14:textId="3688E07F" w:rsidR="00073CD1" w:rsidRPr="00195B9E" w:rsidRDefault="00073CD1" w:rsidP="00195B9E">
      <w:pPr>
        <w:autoSpaceDE w:val="0"/>
        <w:autoSpaceDN w:val="0"/>
        <w:adjustRightInd w:val="0"/>
        <w:spacing w:after="0"/>
        <w:jc w:val="both"/>
        <w:rPr>
          <w:rFonts w:ascii="Arial" w:hAnsi="Arial" w:cs="Arial"/>
          <w:sz w:val="20"/>
          <w:szCs w:val="20"/>
        </w:rPr>
      </w:pPr>
      <w:r w:rsidRPr="00195B9E">
        <w:rPr>
          <w:rFonts w:ascii="Arial" w:hAnsi="Arial" w:cs="Arial"/>
          <w:sz w:val="20"/>
          <w:szCs w:val="20"/>
        </w:rPr>
        <w:t>Teses com Repercussão Geral</w:t>
      </w:r>
    </w:p>
    <w:p w14:paraId="39567581" w14:textId="77777777" w:rsidR="005806DC" w:rsidRPr="00195B9E" w:rsidRDefault="005806DC" w:rsidP="00195B9E">
      <w:pPr>
        <w:autoSpaceDE w:val="0"/>
        <w:autoSpaceDN w:val="0"/>
        <w:adjustRightInd w:val="0"/>
        <w:spacing w:after="0"/>
        <w:jc w:val="both"/>
        <w:rPr>
          <w:rFonts w:ascii="Arial" w:hAnsi="Arial" w:cs="Arial"/>
          <w:sz w:val="20"/>
          <w:szCs w:val="20"/>
        </w:rPr>
      </w:pPr>
    </w:p>
    <w:p w14:paraId="1E6EE18B" w14:textId="2F50B5C2" w:rsidR="00073CD1" w:rsidRPr="00195B9E" w:rsidRDefault="00443BCC" w:rsidP="00195B9E">
      <w:pPr>
        <w:autoSpaceDE w:val="0"/>
        <w:autoSpaceDN w:val="0"/>
        <w:adjustRightInd w:val="0"/>
        <w:spacing w:after="0"/>
        <w:jc w:val="both"/>
        <w:rPr>
          <w:rFonts w:ascii="Arial" w:hAnsi="Arial" w:cs="Arial"/>
          <w:sz w:val="20"/>
          <w:szCs w:val="20"/>
        </w:rPr>
      </w:pPr>
      <w:r w:rsidRPr="00195B9E">
        <w:rPr>
          <w:rFonts w:ascii="Arial" w:hAnsi="Arial" w:cs="Arial"/>
          <w:sz w:val="20"/>
          <w:szCs w:val="20"/>
        </w:rPr>
        <w:t xml:space="preserve">- </w:t>
      </w:r>
      <w:r w:rsidR="00073CD1" w:rsidRPr="00195B9E">
        <w:rPr>
          <w:rFonts w:ascii="Arial" w:hAnsi="Arial" w:cs="Arial"/>
          <w:sz w:val="20"/>
          <w:szCs w:val="20"/>
        </w:rPr>
        <w:t xml:space="preserve">Tema </w:t>
      </w:r>
      <w:r w:rsidR="00C66B65" w:rsidRPr="00195B9E">
        <w:rPr>
          <w:rFonts w:ascii="Arial" w:hAnsi="Arial" w:cs="Arial"/>
          <w:sz w:val="20"/>
          <w:szCs w:val="20"/>
        </w:rPr>
        <w:t>546</w:t>
      </w:r>
    </w:p>
    <w:p w14:paraId="46599D95" w14:textId="610C6191" w:rsidR="00C66B65" w:rsidRPr="00195B9E" w:rsidRDefault="00C66B65" w:rsidP="00195B9E">
      <w:pPr>
        <w:autoSpaceDE w:val="0"/>
        <w:autoSpaceDN w:val="0"/>
        <w:adjustRightInd w:val="0"/>
        <w:spacing w:after="0"/>
        <w:jc w:val="both"/>
        <w:rPr>
          <w:rFonts w:ascii="Arial" w:hAnsi="Arial" w:cs="Arial"/>
          <w:sz w:val="20"/>
          <w:szCs w:val="20"/>
        </w:rPr>
      </w:pPr>
      <w:r w:rsidRPr="00195B9E">
        <w:rPr>
          <w:rFonts w:ascii="Arial" w:hAnsi="Arial" w:cs="Arial"/>
          <w:sz w:val="20"/>
          <w:szCs w:val="20"/>
        </w:rPr>
        <w:t>Surge constitucional previsão normativa local voltada a coibir fraude considerado o serviço público de transporte coletivo e inconstitucional condicionar a liberação de veículo apreendido ao pagamento de multas, preços públicos e demais encargos decorrentes de infração.</w:t>
      </w:r>
    </w:p>
    <w:p w14:paraId="2F3BD80E" w14:textId="77777777" w:rsidR="00A36010" w:rsidRPr="00195B9E" w:rsidRDefault="00A36010" w:rsidP="00195B9E">
      <w:pPr>
        <w:autoSpaceDE w:val="0"/>
        <w:autoSpaceDN w:val="0"/>
        <w:adjustRightInd w:val="0"/>
        <w:spacing w:after="0"/>
        <w:jc w:val="both"/>
        <w:rPr>
          <w:rFonts w:ascii="Arial" w:hAnsi="Arial" w:cs="Arial"/>
          <w:sz w:val="20"/>
          <w:szCs w:val="20"/>
        </w:rPr>
      </w:pPr>
    </w:p>
    <w:p w14:paraId="6A7CD7A9" w14:textId="77777777" w:rsidR="001D1424" w:rsidRPr="00195B9E" w:rsidRDefault="001D1424" w:rsidP="00195B9E">
      <w:pPr>
        <w:pStyle w:val="Default"/>
        <w:spacing w:line="276" w:lineRule="auto"/>
        <w:jc w:val="both"/>
        <w:rPr>
          <w:b/>
          <w:sz w:val="20"/>
          <w:szCs w:val="20"/>
        </w:rPr>
      </w:pPr>
      <w:r w:rsidRPr="00195B9E">
        <w:rPr>
          <w:b/>
          <w:sz w:val="20"/>
          <w:szCs w:val="20"/>
        </w:rPr>
        <w:t xml:space="preserve">Acesse também: </w:t>
      </w:r>
    </w:p>
    <w:p w14:paraId="7A9289B7" w14:textId="77777777" w:rsidR="006C063B" w:rsidRPr="00195B9E" w:rsidRDefault="006C063B" w:rsidP="00195B9E">
      <w:pPr>
        <w:pStyle w:val="Default"/>
        <w:spacing w:line="276" w:lineRule="auto"/>
        <w:jc w:val="both"/>
        <w:rPr>
          <w:b/>
          <w:sz w:val="20"/>
          <w:szCs w:val="20"/>
        </w:rPr>
      </w:pPr>
    </w:p>
    <w:p w14:paraId="5D2329DF" w14:textId="77777777" w:rsidR="007C18E7" w:rsidRPr="00195B9E" w:rsidRDefault="00195B9E" w:rsidP="00195B9E">
      <w:pPr>
        <w:pStyle w:val="Default"/>
        <w:spacing w:line="276" w:lineRule="auto"/>
        <w:jc w:val="center"/>
        <w:rPr>
          <w:rStyle w:val="Hyperlink"/>
          <w:b/>
          <w:sz w:val="20"/>
          <w:szCs w:val="20"/>
        </w:rPr>
      </w:pPr>
      <w:hyperlink r:id="rId14" w:history="1">
        <w:r w:rsidR="007C18E7" w:rsidRPr="00195B9E">
          <w:rPr>
            <w:rStyle w:val="Hyperlink"/>
            <w:b/>
            <w:sz w:val="20"/>
            <w:szCs w:val="20"/>
          </w:rPr>
          <w:t>Pesquisas Prontas</w:t>
        </w:r>
      </w:hyperlink>
    </w:p>
    <w:p w14:paraId="290A3B29" w14:textId="77777777" w:rsidR="007C18E7" w:rsidRPr="00195B9E" w:rsidRDefault="007C18E7" w:rsidP="00195B9E">
      <w:pPr>
        <w:autoSpaceDE w:val="0"/>
        <w:autoSpaceDN w:val="0"/>
        <w:adjustRightInd w:val="0"/>
        <w:spacing w:after="0"/>
        <w:jc w:val="both"/>
        <w:rPr>
          <w:rFonts w:ascii="Arial" w:hAnsi="Arial" w:cs="Arial"/>
          <w:sz w:val="20"/>
          <w:szCs w:val="20"/>
        </w:rPr>
      </w:pPr>
      <w:bookmarkStart w:id="0" w:name="_GoBack"/>
      <w:bookmarkEnd w:id="0"/>
    </w:p>
    <w:p w14:paraId="088C63FF" w14:textId="77777777" w:rsidR="007C18E7" w:rsidRPr="00195B9E" w:rsidRDefault="00195B9E" w:rsidP="00195B9E">
      <w:pPr>
        <w:pStyle w:val="Default"/>
        <w:spacing w:line="276" w:lineRule="auto"/>
        <w:jc w:val="center"/>
        <w:rPr>
          <w:rStyle w:val="Hyperlink"/>
          <w:b/>
          <w:sz w:val="20"/>
          <w:szCs w:val="20"/>
        </w:rPr>
      </w:pPr>
      <w:hyperlink r:id="rId15" w:history="1">
        <w:r w:rsidR="007C18E7" w:rsidRPr="00195B9E">
          <w:rPr>
            <w:rStyle w:val="Hyperlink"/>
            <w:b/>
            <w:sz w:val="20"/>
            <w:szCs w:val="20"/>
          </w:rPr>
          <w:t>Teses Ambientais</w:t>
        </w:r>
      </w:hyperlink>
      <w:r w:rsidR="007C18E7" w:rsidRPr="00195B9E">
        <w:rPr>
          <w:rStyle w:val="Hyperlink"/>
          <w:b/>
          <w:sz w:val="20"/>
          <w:szCs w:val="20"/>
        </w:rPr>
        <w:t xml:space="preserve"> </w:t>
      </w:r>
    </w:p>
    <w:p w14:paraId="0CE4E7C9" w14:textId="77777777" w:rsidR="007C18E7" w:rsidRPr="00195B9E" w:rsidRDefault="007C18E7" w:rsidP="00195B9E">
      <w:pPr>
        <w:pStyle w:val="Default"/>
        <w:spacing w:line="276" w:lineRule="auto"/>
        <w:jc w:val="center"/>
        <w:rPr>
          <w:rStyle w:val="Hyperlink"/>
          <w:b/>
          <w:sz w:val="20"/>
          <w:szCs w:val="20"/>
        </w:rPr>
      </w:pPr>
    </w:p>
    <w:p w14:paraId="449CBBB2" w14:textId="77777777" w:rsidR="007C18E7" w:rsidRPr="00195B9E" w:rsidRDefault="00195B9E" w:rsidP="00195B9E">
      <w:pPr>
        <w:pStyle w:val="Default"/>
        <w:spacing w:line="276" w:lineRule="auto"/>
        <w:jc w:val="center"/>
        <w:rPr>
          <w:b/>
          <w:sz w:val="20"/>
          <w:szCs w:val="20"/>
        </w:rPr>
      </w:pPr>
      <w:hyperlink r:id="rId16" w:history="1">
        <w:proofErr w:type="spellStart"/>
        <w:r w:rsidR="007C18E7" w:rsidRPr="00195B9E">
          <w:rPr>
            <w:rStyle w:val="Hyperlink"/>
            <w:b/>
            <w:sz w:val="20"/>
            <w:szCs w:val="20"/>
          </w:rPr>
          <w:t>Interjuris</w:t>
        </w:r>
        <w:proofErr w:type="spellEnd"/>
      </w:hyperlink>
    </w:p>
    <w:p w14:paraId="4BD985E9" w14:textId="77777777" w:rsidR="007C18E7" w:rsidRPr="00195B9E" w:rsidRDefault="007C18E7" w:rsidP="00195B9E">
      <w:pPr>
        <w:pStyle w:val="Default"/>
        <w:spacing w:line="276" w:lineRule="auto"/>
        <w:jc w:val="center"/>
        <w:rPr>
          <w:sz w:val="20"/>
          <w:szCs w:val="20"/>
        </w:rPr>
      </w:pPr>
    </w:p>
    <w:p w14:paraId="72F32B36" w14:textId="77777777" w:rsidR="007C18E7" w:rsidRPr="00195B9E" w:rsidRDefault="00195B9E" w:rsidP="00195B9E">
      <w:pPr>
        <w:pStyle w:val="Default"/>
        <w:spacing w:line="276" w:lineRule="auto"/>
        <w:jc w:val="center"/>
        <w:rPr>
          <w:rStyle w:val="Hyperlink"/>
          <w:b/>
          <w:sz w:val="20"/>
          <w:szCs w:val="20"/>
        </w:rPr>
      </w:pPr>
      <w:hyperlink r:id="rId17" w:history="1">
        <w:r w:rsidR="007C18E7" w:rsidRPr="00195B9E">
          <w:rPr>
            <w:rStyle w:val="Hyperlink"/>
            <w:b/>
            <w:sz w:val="20"/>
            <w:szCs w:val="20"/>
          </w:rPr>
          <w:t>Repercussão Geral do Supremo Tribunal Federal - STF e os Tribunais de Contas</w:t>
        </w:r>
      </w:hyperlink>
    </w:p>
    <w:p w14:paraId="75CDA236" w14:textId="77777777" w:rsidR="007C18E7" w:rsidRPr="00195B9E" w:rsidRDefault="007C18E7" w:rsidP="00195B9E">
      <w:pPr>
        <w:pStyle w:val="Default"/>
        <w:spacing w:line="276" w:lineRule="auto"/>
        <w:jc w:val="center"/>
        <w:rPr>
          <w:rStyle w:val="Hyperlink"/>
          <w:b/>
          <w:sz w:val="20"/>
          <w:szCs w:val="20"/>
        </w:rPr>
      </w:pPr>
    </w:p>
    <w:p w14:paraId="6CD4EB86" w14:textId="77777777" w:rsidR="007C18E7" w:rsidRPr="00195B9E" w:rsidRDefault="00195B9E" w:rsidP="00195B9E">
      <w:pPr>
        <w:pStyle w:val="Default"/>
        <w:spacing w:line="276" w:lineRule="auto"/>
        <w:jc w:val="center"/>
        <w:rPr>
          <w:rStyle w:val="Hyperlink"/>
          <w:b/>
          <w:sz w:val="20"/>
          <w:szCs w:val="20"/>
        </w:rPr>
      </w:pPr>
      <w:hyperlink r:id="rId18" w:history="1">
        <w:r w:rsidR="007C18E7" w:rsidRPr="00195B9E">
          <w:rPr>
            <w:rStyle w:val="Hyperlink"/>
            <w:b/>
            <w:sz w:val="20"/>
            <w:szCs w:val="20"/>
          </w:rPr>
          <w:t>Súmulas Selecionadas</w:t>
        </w:r>
      </w:hyperlink>
    </w:p>
    <w:p w14:paraId="3F5C61E6" w14:textId="77777777" w:rsidR="007C18E7" w:rsidRPr="00195B9E" w:rsidRDefault="007C18E7" w:rsidP="00195B9E">
      <w:pPr>
        <w:pStyle w:val="TCU-Epgrafe"/>
        <w:spacing w:line="276" w:lineRule="auto"/>
        <w:ind w:left="0"/>
        <w:rPr>
          <w:rFonts w:ascii="Arial" w:hAnsi="Arial" w:cs="Arial"/>
          <w:sz w:val="20"/>
        </w:rPr>
      </w:pPr>
      <w:r w:rsidRPr="00195B9E">
        <w:rPr>
          <w:rFonts w:ascii="Arial" w:hAnsi="Arial" w:cs="Arial"/>
          <w:noProof/>
          <w:sz w:val="20"/>
        </w:rPr>
        <mc:AlternateContent>
          <mc:Choice Requires="wps">
            <w:drawing>
              <wp:anchor distT="0" distB="0" distL="114300" distR="114300" simplePos="0" relativeHeight="251661312" behindDoc="0" locked="0" layoutInCell="1" allowOverlap="1" wp14:anchorId="3C3898C9" wp14:editId="624A1AD4">
                <wp:simplePos x="0" y="0"/>
                <wp:positionH relativeFrom="margin">
                  <wp:posOffset>-18205</wp:posOffset>
                </wp:positionH>
                <wp:positionV relativeFrom="paragraph">
                  <wp:posOffset>117229</wp:posOffset>
                </wp:positionV>
                <wp:extent cx="5518150" cy="0"/>
                <wp:effectExtent l="0" t="0" r="25400" b="57150"/>
                <wp:wrapNone/>
                <wp:docPr id="59" name="Conector re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line w14:anchorId="521BECA9" id="Conector reto 59"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5pt,9.25pt" to="433.0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" strokecolor="black [3200]" strokeweight="2pt">
                <v:shadow on="t" color="black" opacity="24903f" origin=",.5" offset="0,.55556mm"/>
                <w10:wrap anchorx="margin"/>
              </v:line>
            </w:pict>
          </mc:Fallback>
        </mc:AlternateContent>
      </w:r>
    </w:p>
    <w:p w14:paraId="562495E3" w14:textId="77777777" w:rsidR="007C18E7" w:rsidRPr="00195B9E" w:rsidRDefault="007C18E7" w:rsidP="00195B9E">
      <w:pPr>
        <w:spacing w:after="0"/>
        <w:jc w:val="center"/>
        <w:rPr>
          <w:rStyle w:val="Hyperlink"/>
          <w:rFonts w:ascii="Arial" w:hAnsi="Arial" w:cs="Arial"/>
          <w:i/>
          <w:color w:val="000000" w:themeColor="text1"/>
          <w:sz w:val="20"/>
          <w:szCs w:val="20"/>
          <w:u w:val="none"/>
        </w:rPr>
      </w:pPr>
    </w:p>
    <w:p w14:paraId="5496FD6E" w14:textId="77777777" w:rsidR="007C18E7" w:rsidRPr="00195B9E" w:rsidRDefault="007C18E7" w:rsidP="00195B9E">
      <w:pPr>
        <w:spacing w:after="0"/>
        <w:jc w:val="center"/>
        <w:rPr>
          <w:rStyle w:val="Hyperlink"/>
          <w:rFonts w:ascii="Arial" w:hAnsi="Arial" w:cs="Arial"/>
          <w:i/>
          <w:color w:val="auto"/>
          <w:sz w:val="20"/>
          <w:szCs w:val="20"/>
          <w:u w:val="none"/>
        </w:rPr>
      </w:pPr>
      <w:r w:rsidRPr="00195B9E">
        <w:rPr>
          <w:rStyle w:val="Hyperlink"/>
          <w:rFonts w:ascii="Arial" w:hAnsi="Arial" w:cs="Arial"/>
          <w:i/>
          <w:color w:val="auto"/>
          <w:sz w:val="20"/>
          <w:szCs w:val="20"/>
          <w:u w:val="none"/>
        </w:rPr>
        <w:t>Elaboração: Escola de Gestão Pública - Jurisprudência</w:t>
      </w:r>
    </w:p>
    <w:p w14:paraId="376B530E" w14:textId="1223EDEF" w:rsidR="007C18E7" w:rsidRPr="00195B9E" w:rsidRDefault="007C18E7" w:rsidP="00195B9E">
      <w:pPr>
        <w:spacing w:after="0"/>
        <w:jc w:val="center"/>
        <w:rPr>
          <w:rFonts w:ascii="Arial" w:hAnsi="Arial" w:cs="Arial"/>
          <w:color w:val="000000"/>
          <w:sz w:val="20"/>
          <w:szCs w:val="20"/>
        </w:rPr>
      </w:pPr>
      <w:r w:rsidRPr="00195B9E">
        <w:rPr>
          <w:rStyle w:val="nfase"/>
          <w:rFonts w:ascii="Arial" w:hAnsi="Arial" w:cs="Arial"/>
          <w:sz w:val="20"/>
          <w:szCs w:val="20"/>
        </w:rPr>
        <w:t>E-mail: jurisprudencia@tce.pr.gov.br</w:t>
      </w:r>
    </w:p>
    <w:p w14:paraId="2B5E173B" w14:textId="77777777" w:rsidR="00E01524" w:rsidRPr="00195B9E" w:rsidRDefault="00E01524" w:rsidP="00195B9E">
      <w:pPr>
        <w:spacing w:after="0"/>
        <w:rPr>
          <w:rFonts w:ascii="Arial" w:hAnsi="Arial" w:cs="Arial"/>
          <w:sz w:val="20"/>
          <w:szCs w:val="20"/>
        </w:rPr>
      </w:pPr>
    </w:p>
    <w:sectPr w:rsidR="00E01524" w:rsidRPr="00195B9E">
      <w:headerReference w:type="default" r:id="rId19"/>
      <w:footerReference w:type="default" r:id="rId2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2CFD71" w14:textId="77777777" w:rsidR="005D1E5B" w:rsidRDefault="005D1E5B" w:rsidP="00350CC2">
      <w:pPr>
        <w:spacing w:after="0" w:line="240" w:lineRule="auto"/>
      </w:pPr>
      <w:r>
        <w:separator/>
      </w:r>
    </w:p>
  </w:endnote>
  <w:endnote w:type="continuationSeparator" w:id="0">
    <w:p w14:paraId="3E49EA43" w14:textId="77777777" w:rsidR="005D1E5B" w:rsidRDefault="005D1E5B" w:rsidP="00350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BAA781" w14:textId="77777777" w:rsidR="002245DE" w:rsidRDefault="002245DE" w:rsidP="002245DE">
    <w:pPr>
      <w:pStyle w:val="Rodap"/>
      <w:jc w:val="center"/>
      <w:rPr>
        <w:sz w:val="16"/>
        <w:szCs w:val="16"/>
      </w:rPr>
    </w:pPr>
    <w:r>
      <w:rPr>
        <w:noProof/>
        <w:lang w:eastAsia="pt-BR"/>
      </w:rPr>
      <w:drawing>
        <wp:inline distT="0" distB="0" distL="0" distR="0" wp14:anchorId="015F5A8D" wp14:editId="42218AE5">
          <wp:extent cx="463138" cy="231569"/>
          <wp:effectExtent l="0" t="0" r="0" b="0"/>
          <wp:docPr id="54"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873" cy="233936"/>
                  </a:xfrm>
                  <a:prstGeom prst="rect">
                    <a:avLst/>
                  </a:prstGeom>
                  <a:noFill/>
                  <a:ln>
                    <a:noFill/>
                  </a:ln>
                </pic:spPr>
              </pic:pic>
            </a:graphicData>
          </a:graphic>
        </wp:inline>
      </w:drawing>
    </w:r>
  </w:p>
  <w:p w14:paraId="45B8E35E" w14:textId="77777777" w:rsidR="001B5F7A" w:rsidRPr="00722924" w:rsidRDefault="001B5F7A" w:rsidP="002245DE">
    <w:pPr>
      <w:pStyle w:val="Rodap"/>
      <w:jc w:val="center"/>
      <w:rPr>
        <w:sz w:val="16"/>
        <w:szCs w:val="16"/>
      </w:rPr>
    </w:pPr>
    <w:r w:rsidRPr="00722924">
      <w:rPr>
        <w:sz w:val="16"/>
        <w:szCs w:val="16"/>
      </w:rPr>
      <w:fldChar w:fldCharType="begin"/>
    </w:r>
    <w:r w:rsidRPr="00722924">
      <w:rPr>
        <w:sz w:val="16"/>
        <w:szCs w:val="16"/>
      </w:rPr>
      <w:instrText xml:space="preserve"> PAGE   \* MERGEFORMAT </w:instrText>
    </w:r>
    <w:r w:rsidRPr="00722924">
      <w:rPr>
        <w:sz w:val="16"/>
        <w:szCs w:val="16"/>
      </w:rPr>
      <w:fldChar w:fldCharType="separate"/>
    </w:r>
    <w:r w:rsidR="00151A70">
      <w:rPr>
        <w:noProof/>
        <w:sz w:val="16"/>
        <w:szCs w:val="16"/>
      </w:rPr>
      <w:t>9</w:t>
    </w:r>
    <w:r w:rsidRPr="00722924">
      <w:rPr>
        <w:sz w:val="16"/>
        <w:szCs w:val="16"/>
      </w:rPr>
      <w:fldChar w:fldCharType="end"/>
    </w:r>
  </w:p>
  <w:p w14:paraId="60F76F61" w14:textId="77777777" w:rsidR="00375DB6" w:rsidRDefault="00375DB6"/>
  <w:p w14:paraId="0F78BB1A" w14:textId="77777777" w:rsidR="00375DB6" w:rsidRDefault="00375DB6"/>
  <w:p w14:paraId="25AE8646" w14:textId="77777777" w:rsidR="00375DB6" w:rsidRDefault="00375D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52EE3F" w14:textId="77777777" w:rsidR="005D1E5B" w:rsidRDefault="005D1E5B" w:rsidP="00350CC2">
      <w:pPr>
        <w:spacing w:after="0" w:line="240" w:lineRule="auto"/>
      </w:pPr>
      <w:r>
        <w:separator/>
      </w:r>
    </w:p>
  </w:footnote>
  <w:footnote w:type="continuationSeparator" w:id="0">
    <w:p w14:paraId="56BCBDF9" w14:textId="77777777" w:rsidR="005D1E5B" w:rsidRDefault="005D1E5B" w:rsidP="00350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61FC54" w14:textId="77777777" w:rsidR="006A5FD7" w:rsidRDefault="006A5FD7" w:rsidP="00F14CCC">
    <w:pPr>
      <w:pStyle w:val="Cabealho"/>
      <w:spacing w:after="100" w:afterAutospacing="1"/>
      <w:jc w:val="center"/>
      <w:rPr>
        <w:b/>
      </w:rPr>
    </w:pPr>
  </w:p>
  <w:p w14:paraId="5B19F144" w14:textId="77777777" w:rsidR="006A5FD7" w:rsidRDefault="006A5FD7" w:rsidP="00F14CCC">
    <w:pPr>
      <w:pStyle w:val="Cabealho"/>
      <w:spacing w:after="100" w:afterAutospacing="1"/>
      <w:jc w:val="center"/>
      <w:rPr>
        <w:b/>
      </w:rPr>
    </w:pPr>
    <w:r>
      <w:rPr>
        <w:noProof/>
        <w:lang w:eastAsia="pt-BR"/>
      </w:rPr>
      <w:drawing>
        <wp:inline distT="0" distB="0" distL="0" distR="0" wp14:anchorId="3BBB5EC0" wp14:editId="1E2EB841">
          <wp:extent cx="4073236" cy="872837"/>
          <wp:effectExtent l="0" t="0" r="3810" b="3810"/>
          <wp:docPr id="52"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1668" cy="8725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92FBC"/>
    <w:multiLevelType w:val="hybridMultilevel"/>
    <w:tmpl w:val="6226A1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8183EF0"/>
    <w:multiLevelType w:val="hybridMultilevel"/>
    <w:tmpl w:val="55A4E9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9619C6"/>
    <w:multiLevelType w:val="hybridMultilevel"/>
    <w:tmpl w:val="559A50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C4907DD"/>
    <w:multiLevelType w:val="hybridMultilevel"/>
    <w:tmpl w:val="91B69C02"/>
    <w:lvl w:ilvl="0" w:tplc="0416000F">
      <w:start w:val="4"/>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2575A7D"/>
    <w:multiLevelType w:val="hybridMultilevel"/>
    <w:tmpl w:val="CC14B61C"/>
    <w:lvl w:ilvl="0" w:tplc="D2DE4440">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3C6534A"/>
    <w:multiLevelType w:val="hybridMultilevel"/>
    <w:tmpl w:val="D0FE16CE"/>
    <w:lvl w:ilvl="0" w:tplc="A5067D7E">
      <w:start w:val="9"/>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25AC7506"/>
    <w:multiLevelType w:val="hybridMultilevel"/>
    <w:tmpl w:val="B35679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8525CCB"/>
    <w:multiLevelType w:val="hybridMultilevel"/>
    <w:tmpl w:val="A93874EE"/>
    <w:lvl w:ilvl="0" w:tplc="1F00A050">
      <w:start w:val="9"/>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E0E5643"/>
    <w:multiLevelType w:val="hybridMultilevel"/>
    <w:tmpl w:val="D2D020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46AF598B"/>
    <w:multiLevelType w:val="hybridMultilevel"/>
    <w:tmpl w:val="A6DA7B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49F206C5"/>
    <w:multiLevelType w:val="hybridMultilevel"/>
    <w:tmpl w:val="0DA4B564"/>
    <w:lvl w:ilvl="0" w:tplc="A0426D64">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5069053B"/>
    <w:multiLevelType w:val="hybridMultilevel"/>
    <w:tmpl w:val="BBB6DE1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529C6464"/>
    <w:multiLevelType w:val="hybridMultilevel"/>
    <w:tmpl w:val="2B38872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5A4C4E55"/>
    <w:multiLevelType w:val="hybridMultilevel"/>
    <w:tmpl w:val="BC385FE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623E2E4F"/>
    <w:multiLevelType w:val="hybridMultilevel"/>
    <w:tmpl w:val="36D4EB5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62D852F5"/>
    <w:multiLevelType w:val="hybridMultilevel"/>
    <w:tmpl w:val="1E9809D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6F805F1F"/>
    <w:multiLevelType w:val="hybridMultilevel"/>
    <w:tmpl w:val="C5AE435C"/>
    <w:lvl w:ilvl="0" w:tplc="E84E8CEC">
      <w:start w:val="2"/>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71063276"/>
    <w:multiLevelType w:val="hybridMultilevel"/>
    <w:tmpl w:val="94D07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72590739"/>
    <w:multiLevelType w:val="hybridMultilevel"/>
    <w:tmpl w:val="29FC2F4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79062798"/>
    <w:multiLevelType w:val="hybridMultilevel"/>
    <w:tmpl w:val="A26E095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7CF92D40"/>
    <w:multiLevelType w:val="hybridMultilevel"/>
    <w:tmpl w:val="E6D0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5"/>
  </w:num>
  <w:num w:numId="2">
    <w:abstractNumId w:val="7"/>
  </w:num>
  <w:num w:numId="3">
    <w:abstractNumId w:val="16"/>
  </w:num>
  <w:num w:numId="4">
    <w:abstractNumId w:val="17"/>
  </w:num>
  <w:num w:numId="5">
    <w:abstractNumId w:val="20"/>
  </w:num>
  <w:num w:numId="6">
    <w:abstractNumId w:val="9"/>
  </w:num>
  <w:num w:numId="7">
    <w:abstractNumId w:val="0"/>
  </w:num>
  <w:num w:numId="8">
    <w:abstractNumId w:val="1"/>
  </w:num>
  <w:num w:numId="9">
    <w:abstractNumId w:val="6"/>
  </w:num>
  <w:num w:numId="10">
    <w:abstractNumId w:val="2"/>
  </w:num>
  <w:num w:numId="11">
    <w:abstractNumId w:val="3"/>
  </w:num>
  <w:num w:numId="12">
    <w:abstractNumId w:val="8"/>
  </w:num>
  <w:num w:numId="13">
    <w:abstractNumId w:val="18"/>
  </w:num>
  <w:num w:numId="14">
    <w:abstractNumId w:val="13"/>
  </w:num>
  <w:num w:numId="15">
    <w:abstractNumId w:val="19"/>
  </w:num>
  <w:num w:numId="16">
    <w:abstractNumId w:val="15"/>
  </w:num>
  <w:num w:numId="17">
    <w:abstractNumId w:val="4"/>
  </w:num>
  <w:num w:numId="18">
    <w:abstractNumId w:val="10"/>
  </w:num>
  <w:num w:numId="19">
    <w:abstractNumId w:val="11"/>
  </w:num>
  <w:num w:numId="20">
    <w:abstractNumId w:val="12"/>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191"/>
    <w:rsid w:val="00001F0E"/>
    <w:rsid w:val="00003C03"/>
    <w:rsid w:val="0000505F"/>
    <w:rsid w:val="000078B5"/>
    <w:rsid w:val="00007F7A"/>
    <w:rsid w:val="00007FD0"/>
    <w:rsid w:val="00010B69"/>
    <w:rsid w:val="00010F88"/>
    <w:rsid w:val="000112A3"/>
    <w:rsid w:val="00011BFC"/>
    <w:rsid w:val="0001200F"/>
    <w:rsid w:val="000126A0"/>
    <w:rsid w:val="00012CBB"/>
    <w:rsid w:val="00013691"/>
    <w:rsid w:val="00013840"/>
    <w:rsid w:val="00015FB0"/>
    <w:rsid w:val="0001675E"/>
    <w:rsid w:val="00017EBA"/>
    <w:rsid w:val="00021B0A"/>
    <w:rsid w:val="00025971"/>
    <w:rsid w:val="000262AD"/>
    <w:rsid w:val="00027A03"/>
    <w:rsid w:val="00027FAB"/>
    <w:rsid w:val="000300F4"/>
    <w:rsid w:val="00032A26"/>
    <w:rsid w:val="00033422"/>
    <w:rsid w:val="00033D45"/>
    <w:rsid w:val="00033E69"/>
    <w:rsid w:val="0003502C"/>
    <w:rsid w:val="00040EBA"/>
    <w:rsid w:val="00042502"/>
    <w:rsid w:val="00042DF3"/>
    <w:rsid w:val="000433EC"/>
    <w:rsid w:val="000439FD"/>
    <w:rsid w:val="00045700"/>
    <w:rsid w:val="00046191"/>
    <w:rsid w:val="00046E21"/>
    <w:rsid w:val="00047EF1"/>
    <w:rsid w:val="00052862"/>
    <w:rsid w:val="00052DE8"/>
    <w:rsid w:val="00053B72"/>
    <w:rsid w:val="00056028"/>
    <w:rsid w:val="00056686"/>
    <w:rsid w:val="00056E6F"/>
    <w:rsid w:val="000572CE"/>
    <w:rsid w:val="000617CF"/>
    <w:rsid w:val="00062737"/>
    <w:rsid w:val="00067E01"/>
    <w:rsid w:val="00070009"/>
    <w:rsid w:val="0007004D"/>
    <w:rsid w:val="00070B14"/>
    <w:rsid w:val="000713DD"/>
    <w:rsid w:val="00071DE3"/>
    <w:rsid w:val="0007200C"/>
    <w:rsid w:val="00073CD1"/>
    <w:rsid w:val="00073F9F"/>
    <w:rsid w:val="00074287"/>
    <w:rsid w:val="000747BF"/>
    <w:rsid w:val="00074FAB"/>
    <w:rsid w:val="000753DC"/>
    <w:rsid w:val="000759E5"/>
    <w:rsid w:val="00076184"/>
    <w:rsid w:val="000800D1"/>
    <w:rsid w:val="00081051"/>
    <w:rsid w:val="00081B5D"/>
    <w:rsid w:val="00082716"/>
    <w:rsid w:val="0008272B"/>
    <w:rsid w:val="000919D8"/>
    <w:rsid w:val="0009260D"/>
    <w:rsid w:val="000926D4"/>
    <w:rsid w:val="0009287E"/>
    <w:rsid w:val="00092E5D"/>
    <w:rsid w:val="0009482D"/>
    <w:rsid w:val="0009711C"/>
    <w:rsid w:val="0009762F"/>
    <w:rsid w:val="00097B00"/>
    <w:rsid w:val="000A0748"/>
    <w:rsid w:val="000A0E48"/>
    <w:rsid w:val="000A29BE"/>
    <w:rsid w:val="000A3C2D"/>
    <w:rsid w:val="000A3E63"/>
    <w:rsid w:val="000A47FD"/>
    <w:rsid w:val="000A4EB6"/>
    <w:rsid w:val="000A5F01"/>
    <w:rsid w:val="000A6610"/>
    <w:rsid w:val="000A71D1"/>
    <w:rsid w:val="000B04A0"/>
    <w:rsid w:val="000B11D2"/>
    <w:rsid w:val="000B1E10"/>
    <w:rsid w:val="000B2FD9"/>
    <w:rsid w:val="000B311A"/>
    <w:rsid w:val="000B31B6"/>
    <w:rsid w:val="000B47C0"/>
    <w:rsid w:val="000B78DD"/>
    <w:rsid w:val="000C0C8E"/>
    <w:rsid w:val="000C2948"/>
    <w:rsid w:val="000C3582"/>
    <w:rsid w:val="000C4F73"/>
    <w:rsid w:val="000C5093"/>
    <w:rsid w:val="000C5460"/>
    <w:rsid w:val="000C5EB3"/>
    <w:rsid w:val="000C63BC"/>
    <w:rsid w:val="000C7A38"/>
    <w:rsid w:val="000C7D67"/>
    <w:rsid w:val="000D2D5B"/>
    <w:rsid w:val="000D357D"/>
    <w:rsid w:val="000D4DE6"/>
    <w:rsid w:val="000D6D01"/>
    <w:rsid w:val="000E300B"/>
    <w:rsid w:val="000E3ACE"/>
    <w:rsid w:val="000E3FC6"/>
    <w:rsid w:val="000E464B"/>
    <w:rsid w:val="000E52A3"/>
    <w:rsid w:val="000E5AC8"/>
    <w:rsid w:val="000F042A"/>
    <w:rsid w:val="000F04ED"/>
    <w:rsid w:val="000F18DA"/>
    <w:rsid w:val="000F1FFA"/>
    <w:rsid w:val="000F314C"/>
    <w:rsid w:val="000F5AE7"/>
    <w:rsid w:val="000F639D"/>
    <w:rsid w:val="000F7356"/>
    <w:rsid w:val="000F7C1B"/>
    <w:rsid w:val="00100B9C"/>
    <w:rsid w:val="00100DB1"/>
    <w:rsid w:val="00106AA9"/>
    <w:rsid w:val="00110517"/>
    <w:rsid w:val="00110BD6"/>
    <w:rsid w:val="001119DC"/>
    <w:rsid w:val="00111B86"/>
    <w:rsid w:val="00111C26"/>
    <w:rsid w:val="00112B60"/>
    <w:rsid w:val="00113BBC"/>
    <w:rsid w:val="00113EF1"/>
    <w:rsid w:val="00114B62"/>
    <w:rsid w:val="001159C9"/>
    <w:rsid w:val="00117CA9"/>
    <w:rsid w:val="00120862"/>
    <w:rsid w:val="00121994"/>
    <w:rsid w:val="0012211A"/>
    <w:rsid w:val="00122E13"/>
    <w:rsid w:val="00123D02"/>
    <w:rsid w:val="0012498C"/>
    <w:rsid w:val="00124A0F"/>
    <w:rsid w:val="00124CD0"/>
    <w:rsid w:val="00126447"/>
    <w:rsid w:val="00127DF2"/>
    <w:rsid w:val="00130717"/>
    <w:rsid w:val="00130EC7"/>
    <w:rsid w:val="0013298B"/>
    <w:rsid w:val="0013396B"/>
    <w:rsid w:val="001342E3"/>
    <w:rsid w:val="00134733"/>
    <w:rsid w:val="0013514C"/>
    <w:rsid w:val="0013583F"/>
    <w:rsid w:val="00135D5F"/>
    <w:rsid w:val="001411E6"/>
    <w:rsid w:val="001415BA"/>
    <w:rsid w:val="00142D10"/>
    <w:rsid w:val="001435E8"/>
    <w:rsid w:val="00144712"/>
    <w:rsid w:val="001472C1"/>
    <w:rsid w:val="00150844"/>
    <w:rsid w:val="00150ADC"/>
    <w:rsid w:val="00151A70"/>
    <w:rsid w:val="00151AD7"/>
    <w:rsid w:val="001529D8"/>
    <w:rsid w:val="00154C6F"/>
    <w:rsid w:val="00156185"/>
    <w:rsid w:val="00156F74"/>
    <w:rsid w:val="00157806"/>
    <w:rsid w:val="00157D64"/>
    <w:rsid w:val="0016028F"/>
    <w:rsid w:val="00160D8D"/>
    <w:rsid w:val="00161AA2"/>
    <w:rsid w:val="00164520"/>
    <w:rsid w:val="0016670D"/>
    <w:rsid w:val="00166A96"/>
    <w:rsid w:val="00170F9D"/>
    <w:rsid w:val="00171228"/>
    <w:rsid w:val="00171401"/>
    <w:rsid w:val="001720EB"/>
    <w:rsid w:val="00172248"/>
    <w:rsid w:val="0017455D"/>
    <w:rsid w:val="00175303"/>
    <w:rsid w:val="001770AF"/>
    <w:rsid w:val="001800A9"/>
    <w:rsid w:val="001823E7"/>
    <w:rsid w:val="0018272D"/>
    <w:rsid w:val="0018319A"/>
    <w:rsid w:val="001863AE"/>
    <w:rsid w:val="00187BD5"/>
    <w:rsid w:val="001901A8"/>
    <w:rsid w:val="00190B94"/>
    <w:rsid w:val="00192EE2"/>
    <w:rsid w:val="001930D1"/>
    <w:rsid w:val="001942C5"/>
    <w:rsid w:val="00195B9E"/>
    <w:rsid w:val="00196437"/>
    <w:rsid w:val="001975AB"/>
    <w:rsid w:val="001A0FCC"/>
    <w:rsid w:val="001A16DE"/>
    <w:rsid w:val="001A1A83"/>
    <w:rsid w:val="001A5D2D"/>
    <w:rsid w:val="001A7DB7"/>
    <w:rsid w:val="001B096B"/>
    <w:rsid w:val="001B0C72"/>
    <w:rsid w:val="001B5B65"/>
    <w:rsid w:val="001B5F7A"/>
    <w:rsid w:val="001B609A"/>
    <w:rsid w:val="001B6E08"/>
    <w:rsid w:val="001C0F23"/>
    <w:rsid w:val="001C1CCC"/>
    <w:rsid w:val="001C46A8"/>
    <w:rsid w:val="001D0693"/>
    <w:rsid w:val="001D0DD1"/>
    <w:rsid w:val="001D1424"/>
    <w:rsid w:val="001D4D9A"/>
    <w:rsid w:val="001D51BD"/>
    <w:rsid w:val="001D6665"/>
    <w:rsid w:val="001D684B"/>
    <w:rsid w:val="001D6ADC"/>
    <w:rsid w:val="001D7E4B"/>
    <w:rsid w:val="001E1817"/>
    <w:rsid w:val="001E2E5A"/>
    <w:rsid w:val="001E5F2E"/>
    <w:rsid w:val="001E6CAA"/>
    <w:rsid w:val="001E73FF"/>
    <w:rsid w:val="001E75A7"/>
    <w:rsid w:val="001F3D9A"/>
    <w:rsid w:val="001F7A25"/>
    <w:rsid w:val="002013D1"/>
    <w:rsid w:val="0020195B"/>
    <w:rsid w:val="00202E6D"/>
    <w:rsid w:val="00202F4B"/>
    <w:rsid w:val="002036C8"/>
    <w:rsid w:val="0020476A"/>
    <w:rsid w:val="00204BFC"/>
    <w:rsid w:val="002100EE"/>
    <w:rsid w:val="00210B48"/>
    <w:rsid w:val="00211A49"/>
    <w:rsid w:val="00213BD0"/>
    <w:rsid w:val="002147AC"/>
    <w:rsid w:val="0021544D"/>
    <w:rsid w:val="00215BFE"/>
    <w:rsid w:val="00215EF3"/>
    <w:rsid w:val="0022060B"/>
    <w:rsid w:val="00220BB1"/>
    <w:rsid w:val="00221D15"/>
    <w:rsid w:val="00223A59"/>
    <w:rsid w:val="00223F1C"/>
    <w:rsid w:val="002245DE"/>
    <w:rsid w:val="00224904"/>
    <w:rsid w:val="00232878"/>
    <w:rsid w:val="0023318C"/>
    <w:rsid w:val="00234AE0"/>
    <w:rsid w:val="0023557F"/>
    <w:rsid w:val="00235F82"/>
    <w:rsid w:val="00237C21"/>
    <w:rsid w:val="0024200E"/>
    <w:rsid w:val="002426C3"/>
    <w:rsid w:val="002450AA"/>
    <w:rsid w:val="002456AD"/>
    <w:rsid w:val="00245F7B"/>
    <w:rsid w:val="002478B9"/>
    <w:rsid w:val="00251273"/>
    <w:rsid w:val="002514DC"/>
    <w:rsid w:val="00252A2A"/>
    <w:rsid w:val="00252AA5"/>
    <w:rsid w:val="0025355C"/>
    <w:rsid w:val="00253ADA"/>
    <w:rsid w:val="00255360"/>
    <w:rsid w:val="00256A12"/>
    <w:rsid w:val="00256CEA"/>
    <w:rsid w:val="002571B4"/>
    <w:rsid w:val="00260758"/>
    <w:rsid w:val="00260D58"/>
    <w:rsid w:val="002618E8"/>
    <w:rsid w:val="0026477F"/>
    <w:rsid w:val="00264F10"/>
    <w:rsid w:val="0026510B"/>
    <w:rsid w:val="002659BA"/>
    <w:rsid w:val="00265A92"/>
    <w:rsid w:val="0026729F"/>
    <w:rsid w:val="00270E2F"/>
    <w:rsid w:val="00271154"/>
    <w:rsid w:val="00271655"/>
    <w:rsid w:val="00275451"/>
    <w:rsid w:val="002805F1"/>
    <w:rsid w:val="00282B14"/>
    <w:rsid w:val="00282CC7"/>
    <w:rsid w:val="0028334C"/>
    <w:rsid w:val="002869C1"/>
    <w:rsid w:val="00286EB4"/>
    <w:rsid w:val="002874A2"/>
    <w:rsid w:val="002921E2"/>
    <w:rsid w:val="002944E5"/>
    <w:rsid w:val="00294B6C"/>
    <w:rsid w:val="0029566D"/>
    <w:rsid w:val="00295F4B"/>
    <w:rsid w:val="002A00AC"/>
    <w:rsid w:val="002A00E8"/>
    <w:rsid w:val="002A0792"/>
    <w:rsid w:val="002A1D5F"/>
    <w:rsid w:val="002A2E6C"/>
    <w:rsid w:val="002B070A"/>
    <w:rsid w:val="002B098E"/>
    <w:rsid w:val="002B0F20"/>
    <w:rsid w:val="002B14B7"/>
    <w:rsid w:val="002B297F"/>
    <w:rsid w:val="002B38A8"/>
    <w:rsid w:val="002B5E9F"/>
    <w:rsid w:val="002B6BA0"/>
    <w:rsid w:val="002B7769"/>
    <w:rsid w:val="002C05FF"/>
    <w:rsid w:val="002C19EA"/>
    <w:rsid w:val="002C3EA5"/>
    <w:rsid w:val="002C480F"/>
    <w:rsid w:val="002C56C9"/>
    <w:rsid w:val="002C7487"/>
    <w:rsid w:val="002D1923"/>
    <w:rsid w:val="002D3BD3"/>
    <w:rsid w:val="002D48D1"/>
    <w:rsid w:val="002D5B56"/>
    <w:rsid w:val="002D6612"/>
    <w:rsid w:val="002D7650"/>
    <w:rsid w:val="002E09B1"/>
    <w:rsid w:val="002E0A60"/>
    <w:rsid w:val="002E4277"/>
    <w:rsid w:val="002E5303"/>
    <w:rsid w:val="002E6626"/>
    <w:rsid w:val="002E72FA"/>
    <w:rsid w:val="002E7DFF"/>
    <w:rsid w:val="002F0BE9"/>
    <w:rsid w:val="002F0E59"/>
    <w:rsid w:val="002F13A0"/>
    <w:rsid w:val="002F1634"/>
    <w:rsid w:val="002F1848"/>
    <w:rsid w:val="002F1D70"/>
    <w:rsid w:val="002F22FA"/>
    <w:rsid w:val="002F4C2F"/>
    <w:rsid w:val="002F73BA"/>
    <w:rsid w:val="003005B3"/>
    <w:rsid w:val="0030165B"/>
    <w:rsid w:val="00302340"/>
    <w:rsid w:val="00303C9C"/>
    <w:rsid w:val="003045B0"/>
    <w:rsid w:val="00305A67"/>
    <w:rsid w:val="00306B80"/>
    <w:rsid w:val="00307038"/>
    <w:rsid w:val="00310492"/>
    <w:rsid w:val="00313238"/>
    <w:rsid w:val="003132BE"/>
    <w:rsid w:val="00320502"/>
    <w:rsid w:val="00320577"/>
    <w:rsid w:val="0032266D"/>
    <w:rsid w:val="00325E2F"/>
    <w:rsid w:val="003265DB"/>
    <w:rsid w:val="003269A9"/>
    <w:rsid w:val="00327DF9"/>
    <w:rsid w:val="0033073E"/>
    <w:rsid w:val="00331533"/>
    <w:rsid w:val="003319D0"/>
    <w:rsid w:val="0033240F"/>
    <w:rsid w:val="00333875"/>
    <w:rsid w:val="00334948"/>
    <w:rsid w:val="0033604C"/>
    <w:rsid w:val="003407F0"/>
    <w:rsid w:val="00340EB2"/>
    <w:rsid w:val="00343C28"/>
    <w:rsid w:val="00344A3D"/>
    <w:rsid w:val="00344A41"/>
    <w:rsid w:val="0034575E"/>
    <w:rsid w:val="00345C65"/>
    <w:rsid w:val="00350CC2"/>
    <w:rsid w:val="00351206"/>
    <w:rsid w:val="0035203F"/>
    <w:rsid w:val="0035212E"/>
    <w:rsid w:val="003528A1"/>
    <w:rsid w:val="00352A72"/>
    <w:rsid w:val="0035371B"/>
    <w:rsid w:val="0035371E"/>
    <w:rsid w:val="00353FEB"/>
    <w:rsid w:val="00356987"/>
    <w:rsid w:val="00356FB0"/>
    <w:rsid w:val="00361DA5"/>
    <w:rsid w:val="00361F1D"/>
    <w:rsid w:val="00363A74"/>
    <w:rsid w:val="00364392"/>
    <w:rsid w:val="003652D5"/>
    <w:rsid w:val="00365E61"/>
    <w:rsid w:val="00365EFF"/>
    <w:rsid w:val="00365F51"/>
    <w:rsid w:val="0036625D"/>
    <w:rsid w:val="00373E05"/>
    <w:rsid w:val="00375692"/>
    <w:rsid w:val="00375DB6"/>
    <w:rsid w:val="0038012F"/>
    <w:rsid w:val="00380BAB"/>
    <w:rsid w:val="00381A0E"/>
    <w:rsid w:val="00385D41"/>
    <w:rsid w:val="0038751C"/>
    <w:rsid w:val="0038778B"/>
    <w:rsid w:val="00394451"/>
    <w:rsid w:val="0039584A"/>
    <w:rsid w:val="00395F8B"/>
    <w:rsid w:val="0039625A"/>
    <w:rsid w:val="00396E93"/>
    <w:rsid w:val="003A4828"/>
    <w:rsid w:val="003A64CB"/>
    <w:rsid w:val="003A6622"/>
    <w:rsid w:val="003A673F"/>
    <w:rsid w:val="003B0980"/>
    <w:rsid w:val="003B145D"/>
    <w:rsid w:val="003B2612"/>
    <w:rsid w:val="003B4678"/>
    <w:rsid w:val="003B4F77"/>
    <w:rsid w:val="003B502C"/>
    <w:rsid w:val="003C218A"/>
    <w:rsid w:val="003C48DF"/>
    <w:rsid w:val="003C4D7D"/>
    <w:rsid w:val="003C6B35"/>
    <w:rsid w:val="003C7C21"/>
    <w:rsid w:val="003D0632"/>
    <w:rsid w:val="003D0E4F"/>
    <w:rsid w:val="003D650C"/>
    <w:rsid w:val="003D6713"/>
    <w:rsid w:val="003D6E90"/>
    <w:rsid w:val="003D7C37"/>
    <w:rsid w:val="003E110D"/>
    <w:rsid w:val="003E3529"/>
    <w:rsid w:val="003E3D02"/>
    <w:rsid w:val="003E3E6A"/>
    <w:rsid w:val="003E44CC"/>
    <w:rsid w:val="003E55BC"/>
    <w:rsid w:val="003E6EAF"/>
    <w:rsid w:val="003F0088"/>
    <w:rsid w:val="003F03C6"/>
    <w:rsid w:val="003F1ACF"/>
    <w:rsid w:val="003F2DDE"/>
    <w:rsid w:val="003F314F"/>
    <w:rsid w:val="003F4721"/>
    <w:rsid w:val="003F4BFB"/>
    <w:rsid w:val="003F5060"/>
    <w:rsid w:val="003F5829"/>
    <w:rsid w:val="003F5DEE"/>
    <w:rsid w:val="003F63DA"/>
    <w:rsid w:val="003F6598"/>
    <w:rsid w:val="003F677C"/>
    <w:rsid w:val="003F7090"/>
    <w:rsid w:val="00401EE0"/>
    <w:rsid w:val="004043AD"/>
    <w:rsid w:val="0040583E"/>
    <w:rsid w:val="00405A6A"/>
    <w:rsid w:val="00406D2C"/>
    <w:rsid w:val="00406D7E"/>
    <w:rsid w:val="0041120A"/>
    <w:rsid w:val="00411935"/>
    <w:rsid w:val="0041337A"/>
    <w:rsid w:val="00415D4A"/>
    <w:rsid w:val="004162F9"/>
    <w:rsid w:val="00416A72"/>
    <w:rsid w:val="00420AE1"/>
    <w:rsid w:val="00421BE3"/>
    <w:rsid w:val="0042361D"/>
    <w:rsid w:val="0042728A"/>
    <w:rsid w:val="004276DC"/>
    <w:rsid w:val="0042779B"/>
    <w:rsid w:val="004324A7"/>
    <w:rsid w:val="0043291F"/>
    <w:rsid w:val="00434347"/>
    <w:rsid w:val="004371F9"/>
    <w:rsid w:val="0043728E"/>
    <w:rsid w:val="00437541"/>
    <w:rsid w:val="00441D38"/>
    <w:rsid w:val="00441E59"/>
    <w:rsid w:val="004429A2"/>
    <w:rsid w:val="00442CB7"/>
    <w:rsid w:val="00443BCC"/>
    <w:rsid w:val="00443CA1"/>
    <w:rsid w:val="00444C25"/>
    <w:rsid w:val="0044532C"/>
    <w:rsid w:val="00447BB2"/>
    <w:rsid w:val="004527ED"/>
    <w:rsid w:val="00455387"/>
    <w:rsid w:val="00455AAB"/>
    <w:rsid w:val="00457317"/>
    <w:rsid w:val="004611E1"/>
    <w:rsid w:val="0046165B"/>
    <w:rsid w:val="00462460"/>
    <w:rsid w:val="004624E9"/>
    <w:rsid w:val="00462A13"/>
    <w:rsid w:val="00462BE4"/>
    <w:rsid w:val="00462F2A"/>
    <w:rsid w:val="00463986"/>
    <w:rsid w:val="00463AC5"/>
    <w:rsid w:val="00463BA8"/>
    <w:rsid w:val="004641AA"/>
    <w:rsid w:val="00464835"/>
    <w:rsid w:val="004654D3"/>
    <w:rsid w:val="00470218"/>
    <w:rsid w:val="004710C3"/>
    <w:rsid w:val="00471B9D"/>
    <w:rsid w:val="0047206A"/>
    <w:rsid w:val="00474978"/>
    <w:rsid w:val="0047499A"/>
    <w:rsid w:val="00474C78"/>
    <w:rsid w:val="00475AAE"/>
    <w:rsid w:val="00480934"/>
    <w:rsid w:val="0048130C"/>
    <w:rsid w:val="00482FA5"/>
    <w:rsid w:val="00484E6E"/>
    <w:rsid w:val="00485819"/>
    <w:rsid w:val="00487D31"/>
    <w:rsid w:val="00490000"/>
    <w:rsid w:val="00491A7B"/>
    <w:rsid w:val="00491F60"/>
    <w:rsid w:val="00492026"/>
    <w:rsid w:val="004920C5"/>
    <w:rsid w:val="0049263C"/>
    <w:rsid w:val="004927D6"/>
    <w:rsid w:val="00492E16"/>
    <w:rsid w:val="004949D1"/>
    <w:rsid w:val="00494AE3"/>
    <w:rsid w:val="00494C04"/>
    <w:rsid w:val="0049557F"/>
    <w:rsid w:val="004965C3"/>
    <w:rsid w:val="00497639"/>
    <w:rsid w:val="004A0574"/>
    <w:rsid w:val="004A0A41"/>
    <w:rsid w:val="004A22CF"/>
    <w:rsid w:val="004A55FE"/>
    <w:rsid w:val="004A5804"/>
    <w:rsid w:val="004A794E"/>
    <w:rsid w:val="004B0DC1"/>
    <w:rsid w:val="004B142E"/>
    <w:rsid w:val="004B3D26"/>
    <w:rsid w:val="004B44C1"/>
    <w:rsid w:val="004B623F"/>
    <w:rsid w:val="004B6EA7"/>
    <w:rsid w:val="004C11DE"/>
    <w:rsid w:val="004C13DB"/>
    <w:rsid w:val="004C3F40"/>
    <w:rsid w:val="004C5B6F"/>
    <w:rsid w:val="004D00EF"/>
    <w:rsid w:val="004D10CC"/>
    <w:rsid w:val="004D14AD"/>
    <w:rsid w:val="004D2E74"/>
    <w:rsid w:val="004D376C"/>
    <w:rsid w:val="004D3864"/>
    <w:rsid w:val="004D58CD"/>
    <w:rsid w:val="004D5EEF"/>
    <w:rsid w:val="004D75B0"/>
    <w:rsid w:val="004D7DC5"/>
    <w:rsid w:val="004E0EC5"/>
    <w:rsid w:val="004E109A"/>
    <w:rsid w:val="004E3B94"/>
    <w:rsid w:val="004E6410"/>
    <w:rsid w:val="004E7C93"/>
    <w:rsid w:val="004F0D4D"/>
    <w:rsid w:val="004F3C8F"/>
    <w:rsid w:val="00500939"/>
    <w:rsid w:val="00501FC7"/>
    <w:rsid w:val="005025F4"/>
    <w:rsid w:val="00502AAF"/>
    <w:rsid w:val="0050422A"/>
    <w:rsid w:val="005067E0"/>
    <w:rsid w:val="00510B62"/>
    <w:rsid w:val="00511F85"/>
    <w:rsid w:val="00516673"/>
    <w:rsid w:val="00516CE6"/>
    <w:rsid w:val="00517B69"/>
    <w:rsid w:val="00520368"/>
    <w:rsid w:val="00523227"/>
    <w:rsid w:val="00523246"/>
    <w:rsid w:val="005237FD"/>
    <w:rsid w:val="005246B4"/>
    <w:rsid w:val="00525F8B"/>
    <w:rsid w:val="0052651B"/>
    <w:rsid w:val="00530F1E"/>
    <w:rsid w:val="00531764"/>
    <w:rsid w:val="00532F0D"/>
    <w:rsid w:val="00533C06"/>
    <w:rsid w:val="00533E30"/>
    <w:rsid w:val="0053401E"/>
    <w:rsid w:val="00535AAB"/>
    <w:rsid w:val="0053649B"/>
    <w:rsid w:val="00540B8E"/>
    <w:rsid w:val="00542636"/>
    <w:rsid w:val="00543DF0"/>
    <w:rsid w:val="00544AB5"/>
    <w:rsid w:val="0054545F"/>
    <w:rsid w:val="00546D89"/>
    <w:rsid w:val="00547AFC"/>
    <w:rsid w:val="0055022A"/>
    <w:rsid w:val="005503E5"/>
    <w:rsid w:val="005513B0"/>
    <w:rsid w:val="00551B25"/>
    <w:rsid w:val="00553B5B"/>
    <w:rsid w:val="00556F73"/>
    <w:rsid w:val="005576B5"/>
    <w:rsid w:val="005576BE"/>
    <w:rsid w:val="00557AD3"/>
    <w:rsid w:val="00560217"/>
    <w:rsid w:val="005603B3"/>
    <w:rsid w:val="00561787"/>
    <w:rsid w:val="0056193C"/>
    <w:rsid w:val="00561EF9"/>
    <w:rsid w:val="0056381E"/>
    <w:rsid w:val="005649D9"/>
    <w:rsid w:val="005650CD"/>
    <w:rsid w:val="00566AE8"/>
    <w:rsid w:val="005670EC"/>
    <w:rsid w:val="00567328"/>
    <w:rsid w:val="005706D5"/>
    <w:rsid w:val="005728BC"/>
    <w:rsid w:val="00573F1D"/>
    <w:rsid w:val="0057421A"/>
    <w:rsid w:val="005759E4"/>
    <w:rsid w:val="00575AE8"/>
    <w:rsid w:val="00575E1D"/>
    <w:rsid w:val="00576089"/>
    <w:rsid w:val="005803FA"/>
    <w:rsid w:val="005806DC"/>
    <w:rsid w:val="005819D2"/>
    <w:rsid w:val="00582374"/>
    <w:rsid w:val="00582DF8"/>
    <w:rsid w:val="00583800"/>
    <w:rsid w:val="00583C6A"/>
    <w:rsid w:val="00584BC6"/>
    <w:rsid w:val="0058559D"/>
    <w:rsid w:val="005856F2"/>
    <w:rsid w:val="00585A3B"/>
    <w:rsid w:val="00586D7A"/>
    <w:rsid w:val="00590FA0"/>
    <w:rsid w:val="00593EFC"/>
    <w:rsid w:val="00594F73"/>
    <w:rsid w:val="0059537A"/>
    <w:rsid w:val="005957D1"/>
    <w:rsid w:val="00597215"/>
    <w:rsid w:val="005A0FD0"/>
    <w:rsid w:val="005A1468"/>
    <w:rsid w:val="005A4536"/>
    <w:rsid w:val="005A5AF2"/>
    <w:rsid w:val="005A5D21"/>
    <w:rsid w:val="005A742F"/>
    <w:rsid w:val="005A7C78"/>
    <w:rsid w:val="005B0193"/>
    <w:rsid w:val="005B0873"/>
    <w:rsid w:val="005B4F6C"/>
    <w:rsid w:val="005B7055"/>
    <w:rsid w:val="005C0460"/>
    <w:rsid w:val="005C4763"/>
    <w:rsid w:val="005C4DB7"/>
    <w:rsid w:val="005C5DC8"/>
    <w:rsid w:val="005C632C"/>
    <w:rsid w:val="005C661E"/>
    <w:rsid w:val="005C7258"/>
    <w:rsid w:val="005D05C6"/>
    <w:rsid w:val="005D1E5B"/>
    <w:rsid w:val="005D1E9E"/>
    <w:rsid w:val="005D23BC"/>
    <w:rsid w:val="005D48C8"/>
    <w:rsid w:val="005D58CE"/>
    <w:rsid w:val="005D6DB4"/>
    <w:rsid w:val="005E2760"/>
    <w:rsid w:val="005E2D13"/>
    <w:rsid w:val="005E350B"/>
    <w:rsid w:val="005E4648"/>
    <w:rsid w:val="005E47DE"/>
    <w:rsid w:val="005E6068"/>
    <w:rsid w:val="005E64B3"/>
    <w:rsid w:val="005E6A47"/>
    <w:rsid w:val="005F03A4"/>
    <w:rsid w:val="005F0C51"/>
    <w:rsid w:val="005F16DB"/>
    <w:rsid w:val="005F17B2"/>
    <w:rsid w:val="005F2BB5"/>
    <w:rsid w:val="005F3A96"/>
    <w:rsid w:val="005F4DBF"/>
    <w:rsid w:val="005F58C1"/>
    <w:rsid w:val="005F65B1"/>
    <w:rsid w:val="005F66CC"/>
    <w:rsid w:val="005F75E5"/>
    <w:rsid w:val="005F7DEC"/>
    <w:rsid w:val="005F7E35"/>
    <w:rsid w:val="00600AA5"/>
    <w:rsid w:val="0060126D"/>
    <w:rsid w:val="0060146A"/>
    <w:rsid w:val="00601974"/>
    <w:rsid w:val="00601CE8"/>
    <w:rsid w:val="00602DA5"/>
    <w:rsid w:val="006045AF"/>
    <w:rsid w:val="00606B1E"/>
    <w:rsid w:val="006105E3"/>
    <w:rsid w:val="00610B98"/>
    <w:rsid w:val="006115E2"/>
    <w:rsid w:val="00613D08"/>
    <w:rsid w:val="0061491F"/>
    <w:rsid w:val="00615FC7"/>
    <w:rsid w:val="00620DEF"/>
    <w:rsid w:val="00621203"/>
    <w:rsid w:val="0062204C"/>
    <w:rsid w:val="00623188"/>
    <w:rsid w:val="00623ECD"/>
    <w:rsid w:val="00626DD6"/>
    <w:rsid w:val="0062719D"/>
    <w:rsid w:val="00627316"/>
    <w:rsid w:val="00627847"/>
    <w:rsid w:val="00627FDF"/>
    <w:rsid w:val="00630296"/>
    <w:rsid w:val="006331E3"/>
    <w:rsid w:val="006336AD"/>
    <w:rsid w:val="00633776"/>
    <w:rsid w:val="00633C62"/>
    <w:rsid w:val="00633D2D"/>
    <w:rsid w:val="00634FF9"/>
    <w:rsid w:val="006361F0"/>
    <w:rsid w:val="006372A4"/>
    <w:rsid w:val="006375ED"/>
    <w:rsid w:val="006378AB"/>
    <w:rsid w:val="0064029E"/>
    <w:rsid w:val="00640861"/>
    <w:rsid w:val="00640A36"/>
    <w:rsid w:val="00640BDC"/>
    <w:rsid w:val="0064171C"/>
    <w:rsid w:val="00644986"/>
    <w:rsid w:val="00646004"/>
    <w:rsid w:val="00646AD1"/>
    <w:rsid w:val="006473BA"/>
    <w:rsid w:val="00650E4E"/>
    <w:rsid w:val="0065458A"/>
    <w:rsid w:val="00654D9D"/>
    <w:rsid w:val="006572FA"/>
    <w:rsid w:val="0065764C"/>
    <w:rsid w:val="00657DDD"/>
    <w:rsid w:val="00660C02"/>
    <w:rsid w:val="0066104E"/>
    <w:rsid w:val="0066130F"/>
    <w:rsid w:val="0066131A"/>
    <w:rsid w:val="00662CE0"/>
    <w:rsid w:val="0066398B"/>
    <w:rsid w:val="006641F4"/>
    <w:rsid w:val="006645D9"/>
    <w:rsid w:val="006650FB"/>
    <w:rsid w:val="006657BF"/>
    <w:rsid w:val="00665EBC"/>
    <w:rsid w:val="00667637"/>
    <w:rsid w:val="00667BE8"/>
    <w:rsid w:val="00670727"/>
    <w:rsid w:val="0067150D"/>
    <w:rsid w:val="00673A29"/>
    <w:rsid w:val="00673AD9"/>
    <w:rsid w:val="006766F4"/>
    <w:rsid w:val="006777B6"/>
    <w:rsid w:val="00681341"/>
    <w:rsid w:val="00681787"/>
    <w:rsid w:val="0068250F"/>
    <w:rsid w:val="00685904"/>
    <w:rsid w:val="00685FFE"/>
    <w:rsid w:val="00686729"/>
    <w:rsid w:val="00686CAC"/>
    <w:rsid w:val="00686D5A"/>
    <w:rsid w:val="00687871"/>
    <w:rsid w:val="00693247"/>
    <w:rsid w:val="0069336E"/>
    <w:rsid w:val="00694174"/>
    <w:rsid w:val="00697D60"/>
    <w:rsid w:val="006A0628"/>
    <w:rsid w:val="006A27BC"/>
    <w:rsid w:val="006A27D6"/>
    <w:rsid w:val="006A3A42"/>
    <w:rsid w:val="006A41B4"/>
    <w:rsid w:val="006A5FD7"/>
    <w:rsid w:val="006A62B0"/>
    <w:rsid w:val="006B143E"/>
    <w:rsid w:val="006B30E3"/>
    <w:rsid w:val="006B3A64"/>
    <w:rsid w:val="006B5E72"/>
    <w:rsid w:val="006B6205"/>
    <w:rsid w:val="006B7CCB"/>
    <w:rsid w:val="006C058F"/>
    <w:rsid w:val="006C063B"/>
    <w:rsid w:val="006C275F"/>
    <w:rsid w:val="006C3252"/>
    <w:rsid w:val="006C7A04"/>
    <w:rsid w:val="006D158F"/>
    <w:rsid w:val="006D1B83"/>
    <w:rsid w:val="006D1BE7"/>
    <w:rsid w:val="006D5C98"/>
    <w:rsid w:val="006D6FCC"/>
    <w:rsid w:val="006E0A9F"/>
    <w:rsid w:val="006E12D5"/>
    <w:rsid w:val="006E26E8"/>
    <w:rsid w:val="006E36B0"/>
    <w:rsid w:val="006E4493"/>
    <w:rsid w:val="006E76B0"/>
    <w:rsid w:val="006E76F6"/>
    <w:rsid w:val="006F08D4"/>
    <w:rsid w:val="006F3318"/>
    <w:rsid w:val="006F39CF"/>
    <w:rsid w:val="006F4894"/>
    <w:rsid w:val="006F58F5"/>
    <w:rsid w:val="006F676D"/>
    <w:rsid w:val="006F7FA8"/>
    <w:rsid w:val="00700672"/>
    <w:rsid w:val="00701319"/>
    <w:rsid w:val="00701A95"/>
    <w:rsid w:val="007027E5"/>
    <w:rsid w:val="00702F7C"/>
    <w:rsid w:val="007041E6"/>
    <w:rsid w:val="00706127"/>
    <w:rsid w:val="007077CD"/>
    <w:rsid w:val="00712A93"/>
    <w:rsid w:val="00714CF1"/>
    <w:rsid w:val="00715CEB"/>
    <w:rsid w:val="00717A58"/>
    <w:rsid w:val="0072181E"/>
    <w:rsid w:val="00722924"/>
    <w:rsid w:val="00723D30"/>
    <w:rsid w:val="00723F1A"/>
    <w:rsid w:val="00723F6B"/>
    <w:rsid w:val="00724C5B"/>
    <w:rsid w:val="00726974"/>
    <w:rsid w:val="007270DB"/>
    <w:rsid w:val="007306BB"/>
    <w:rsid w:val="007319AD"/>
    <w:rsid w:val="00731AB4"/>
    <w:rsid w:val="00732257"/>
    <w:rsid w:val="00732C4F"/>
    <w:rsid w:val="00734DDB"/>
    <w:rsid w:val="00735083"/>
    <w:rsid w:val="00736462"/>
    <w:rsid w:val="007400EB"/>
    <w:rsid w:val="00740240"/>
    <w:rsid w:val="0074037C"/>
    <w:rsid w:val="00740658"/>
    <w:rsid w:val="00740BA6"/>
    <w:rsid w:val="00740FC9"/>
    <w:rsid w:val="00742895"/>
    <w:rsid w:val="00742B72"/>
    <w:rsid w:val="00742BC9"/>
    <w:rsid w:val="00743251"/>
    <w:rsid w:val="007436B5"/>
    <w:rsid w:val="00743D5F"/>
    <w:rsid w:val="00744DC0"/>
    <w:rsid w:val="00745634"/>
    <w:rsid w:val="007469FC"/>
    <w:rsid w:val="00746A92"/>
    <w:rsid w:val="00747EAE"/>
    <w:rsid w:val="00750DEB"/>
    <w:rsid w:val="007515C1"/>
    <w:rsid w:val="007528B2"/>
    <w:rsid w:val="00753BFA"/>
    <w:rsid w:val="00754C7E"/>
    <w:rsid w:val="007557BC"/>
    <w:rsid w:val="007608F0"/>
    <w:rsid w:val="00762976"/>
    <w:rsid w:val="00766752"/>
    <w:rsid w:val="00766834"/>
    <w:rsid w:val="00766EC7"/>
    <w:rsid w:val="0077082D"/>
    <w:rsid w:val="0077181C"/>
    <w:rsid w:val="00771AF0"/>
    <w:rsid w:val="0077499E"/>
    <w:rsid w:val="0077508F"/>
    <w:rsid w:val="007752E2"/>
    <w:rsid w:val="00780646"/>
    <w:rsid w:val="00781A2C"/>
    <w:rsid w:val="00781F5F"/>
    <w:rsid w:val="00782B3A"/>
    <w:rsid w:val="00782C9C"/>
    <w:rsid w:val="00783479"/>
    <w:rsid w:val="00783696"/>
    <w:rsid w:val="00783D3E"/>
    <w:rsid w:val="00784B5D"/>
    <w:rsid w:val="00785DB0"/>
    <w:rsid w:val="00787A03"/>
    <w:rsid w:val="00791384"/>
    <w:rsid w:val="00791D74"/>
    <w:rsid w:val="00791E5B"/>
    <w:rsid w:val="007931D7"/>
    <w:rsid w:val="007949B4"/>
    <w:rsid w:val="0079708B"/>
    <w:rsid w:val="0079779E"/>
    <w:rsid w:val="007A6DC9"/>
    <w:rsid w:val="007A71B5"/>
    <w:rsid w:val="007A797E"/>
    <w:rsid w:val="007B1216"/>
    <w:rsid w:val="007B255F"/>
    <w:rsid w:val="007B55C5"/>
    <w:rsid w:val="007B6BAA"/>
    <w:rsid w:val="007C0579"/>
    <w:rsid w:val="007C0E7E"/>
    <w:rsid w:val="007C10CC"/>
    <w:rsid w:val="007C18E7"/>
    <w:rsid w:val="007C250E"/>
    <w:rsid w:val="007C2CD7"/>
    <w:rsid w:val="007C3EBC"/>
    <w:rsid w:val="007C3ECB"/>
    <w:rsid w:val="007D009C"/>
    <w:rsid w:val="007D0643"/>
    <w:rsid w:val="007D2162"/>
    <w:rsid w:val="007D5A53"/>
    <w:rsid w:val="007D62D9"/>
    <w:rsid w:val="007D73C9"/>
    <w:rsid w:val="007E1FB4"/>
    <w:rsid w:val="007E28C1"/>
    <w:rsid w:val="007F0840"/>
    <w:rsid w:val="007F2086"/>
    <w:rsid w:val="007F67A7"/>
    <w:rsid w:val="007F6F0A"/>
    <w:rsid w:val="007F7362"/>
    <w:rsid w:val="0080061B"/>
    <w:rsid w:val="00800773"/>
    <w:rsid w:val="00801004"/>
    <w:rsid w:val="0080111C"/>
    <w:rsid w:val="00801EFD"/>
    <w:rsid w:val="00804B80"/>
    <w:rsid w:val="008058BC"/>
    <w:rsid w:val="0080614B"/>
    <w:rsid w:val="00806D7C"/>
    <w:rsid w:val="00807854"/>
    <w:rsid w:val="00811012"/>
    <w:rsid w:val="00811A90"/>
    <w:rsid w:val="00813846"/>
    <w:rsid w:val="00814325"/>
    <w:rsid w:val="00815C4F"/>
    <w:rsid w:val="008161C2"/>
    <w:rsid w:val="00816942"/>
    <w:rsid w:val="0081738B"/>
    <w:rsid w:val="0082026A"/>
    <w:rsid w:val="008219BA"/>
    <w:rsid w:val="00821F92"/>
    <w:rsid w:val="00824136"/>
    <w:rsid w:val="00826075"/>
    <w:rsid w:val="00826373"/>
    <w:rsid w:val="008267CA"/>
    <w:rsid w:val="00826A19"/>
    <w:rsid w:val="00830AA9"/>
    <w:rsid w:val="008312D4"/>
    <w:rsid w:val="008317C8"/>
    <w:rsid w:val="00831915"/>
    <w:rsid w:val="0083305B"/>
    <w:rsid w:val="00834578"/>
    <w:rsid w:val="0083648B"/>
    <w:rsid w:val="00836500"/>
    <w:rsid w:val="008367C0"/>
    <w:rsid w:val="008413CD"/>
    <w:rsid w:val="00841EAB"/>
    <w:rsid w:val="00844977"/>
    <w:rsid w:val="00844B97"/>
    <w:rsid w:val="00844E05"/>
    <w:rsid w:val="00845BB4"/>
    <w:rsid w:val="008464F9"/>
    <w:rsid w:val="00847003"/>
    <w:rsid w:val="008470D5"/>
    <w:rsid w:val="00847302"/>
    <w:rsid w:val="00847BF3"/>
    <w:rsid w:val="00852A15"/>
    <w:rsid w:val="00853D0B"/>
    <w:rsid w:val="00854B16"/>
    <w:rsid w:val="00854BCA"/>
    <w:rsid w:val="00855A43"/>
    <w:rsid w:val="008561BF"/>
    <w:rsid w:val="00861E25"/>
    <w:rsid w:val="008633B6"/>
    <w:rsid w:val="00866481"/>
    <w:rsid w:val="0087076A"/>
    <w:rsid w:val="00870853"/>
    <w:rsid w:val="008731E4"/>
    <w:rsid w:val="008745D6"/>
    <w:rsid w:val="0087463D"/>
    <w:rsid w:val="00874DCA"/>
    <w:rsid w:val="00875D64"/>
    <w:rsid w:val="00875E32"/>
    <w:rsid w:val="0087668E"/>
    <w:rsid w:val="008800F4"/>
    <w:rsid w:val="0088277A"/>
    <w:rsid w:val="0088297B"/>
    <w:rsid w:val="00885D7C"/>
    <w:rsid w:val="0088762D"/>
    <w:rsid w:val="00890235"/>
    <w:rsid w:val="00890A70"/>
    <w:rsid w:val="00890DDC"/>
    <w:rsid w:val="00890F9C"/>
    <w:rsid w:val="008916E6"/>
    <w:rsid w:val="0089198B"/>
    <w:rsid w:val="008928B6"/>
    <w:rsid w:val="00894CA0"/>
    <w:rsid w:val="00895461"/>
    <w:rsid w:val="008957B1"/>
    <w:rsid w:val="00896190"/>
    <w:rsid w:val="00897C5E"/>
    <w:rsid w:val="008A0656"/>
    <w:rsid w:val="008A1517"/>
    <w:rsid w:val="008A2307"/>
    <w:rsid w:val="008A29B9"/>
    <w:rsid w:val="008A2B8F"/>
    <w:rsid w:val="008A2BB7"/>
    <w:rsid w:val="008A2BC9"/>
    <w:rsid w:val="008A4000"/>
    <w:rsid w:val="008A4A65"/>
    <w:rsid w:val="008A6621"/>
    <w:rsid w:val="008A70A5"/>
    <w:rsid w:val="008B201B"/>
    <w:rsid w:val="008B2ADB"/>
    <w:rsid w:val="008B2B1C"/>
    <w:rsid w:val="008B2D64"/>
    <w:rsid w:val="008B368E"/>
    <w:rsid w:val="008B38A4"/>
    <w:rsid w:val="008B38EE"/>
    <w:rsid w:val="008B4F2F"/>
    <w:rsid w:val="008B55B4"/>
    <w:rsid w:val="008B6A00"/>
    <w:rsid w:val="008C0269"/>
    <w:rsid w:val="008C076F"/>
    <w:rsid w:val="008C257C"/>
    <w:rsid w:val="008C5756"/>
    <w:rsid w:val="008C72F2"/>
    <w:rsid w:val="008D0FDE"/>
    <w:rsid w:val="008D1051"/>
    <w:rsid w:val="008D22BE"/>
    <w:rsid w:val="008D6417"/>
    <w:rsid w:val="008D7542"/>
    <w:rsid w:val="008D7F7C"/>
    <w:rsid w:val="008E0835"/>
    <w:rsid w:val="008E16ED"/>
    <w:rsid w:val="008E280E"/>
    <w:rsid w:val="008E2BA7"/>
    <w:rsid w:val="008E3435"/>
    <w:rsid w:val="008E5642"/>
    <w:rsid w:val="008E5CC2"/>
    <w:rsid w:val="008F2E20"/>
    <w:rsid w:val="008F627B"/>
    <w:rsid w:val="0090061C"/>
    <w:rsid w:val="00900BC5"/>
    <w:rsid w:val="00900D9B"/>
    <w:rsid w:val="00901036"/>
    <w:rsid w:val="009011A0"/>
    <w:rsid w:val="00903037"/>
    <w:rsid w:val="009040F9"/>
    <w:rsid w:val="00904136"/>
    <w:rsid w:val="00904309"/>
    <w:rsid w:val="0090479F"/>
    <w:rsid w:val="00904BFC"/>
    <w:rsid w:val="009052D8"/>
    <w:rsid w:val="009064FA"/>
    <w:rsid w:val="00906692"/>
    <w:rsid w:val="00906853"/>
    <w:rsid w:val="00906CF8"/>
    <w:rsid w:val="009073CB"/>
    <w:rsid w:val="0090752A"/>
    <w:rsid w:val="00910805"/>
    <w:rsid w:val="00911A42"/>
    <w:rsid w:val="00912D60"/>
    <w:rsid w:val="009140A2"/>
    <w:rsid w:val="009141D0"/>
    <w:rsid w:val="0091646E"/>
    <w:rsid w:val="00920480"/>
    <w:rsid w:val="00920D01"/>
    <w:rsid w:val="00923B20"/>
    <w:rsid w:val="009263DF"/>
    <w:rsid w:val="00927338"/>
    <w:rsid w:val="0093018E"/>
    <w:rsid w:val="00931206"/>
    <w:rsid w:val="0093167C"/>
    <w:rsid w:val="009328B6"/>
    <w:rsid w:val="00932A3A"/>
    <w:rsid w:val="00933B64"/>
    <w:rsid w:val="00933DBA"/>
    <w:rsid w:val="00934143"/>
    <w:rsid w:val="00934679"/>
    <w:rsid w:val="00935444"/>
    <w:rsid w:val="009378F0"/>
    <w:rsid w:val="00942696"/>
    <w:rsid w:val="00942EB6"/>
    <w:rsid w:val="0094307C"/>
    <w:rsid w:val="00944802"/>
    <w:rsid w:val="009470DD"/>
    <w:rsid w:val="009518D9"/>
    <w:rsid w:val="0095236F"/>
    <w:rsid w:val="00952404"/>
    <w:rsid w:val="00953350"/>
    <w:rsid w:val="009537DB"/>
    <w:rsid w:val="00953AFB"/>
    <w:rsid w:val="00955BDA"/>
    <w:rsid w:val="00960EF4"/>
    <w:rsid w:val="0096328F"/>
    <w:rsid w:val="00965F52"/>
    <w:rsid w:val="0096737A"/>
    <w:rsid w:val="0097392A"/>
    <w:rsid w:val="00973970"/>
    <w:rsid w:val="00973D15"/>
    <w:rsid w:val="009749C0"/>
    <w:rsid w:val="00974E8B"/>
    <w:rsid w:val="009766BD"/>
    <w:rsid w:val="00977C0A"/>
    <w:rsid w:val="00977E1A"/>
    <w:rsid w:val="00982FF8"/>
    <w:rsid w:val="00984E8B"/>
    <w:rsid w:val="0098512F"/>
    <w:rsid w:val="0098550A"/>
    <w:rsid w:val="00985728"/>
    <w:rsid w:val="009857DD"/>
    <w:rsid w:val="009859AB"/>
    <w:rsid w:val="00987A4E"/>
    <w:rsid w:val="009902BD"/>
    <w:rsid w:val="009907A9"/>
    <w:rsid w:val="00993DE4"/>
    <w:rsid w:val="00993F38"/>
    <w:rsid w:val="00994A4B"/>
    <w:rsid w:val="0099606C"/>
    <w:rsid w:val="00996D25"/>
    <w:rsid w:val="009A043C"/>
    <w:rsid w:val="009A12ED"/>
    <w:rsid w:val="009A201F"/>
    <w:rsid w:val="009A62FC"/>
    <w:rsid w:val="009A6989"/>
    <w:rsid w:val="009A72EB"/>
    <w:rsid w:val="009A7493"/>
    <w:rsid w:val="009B105E"/>
    <w:rsid w:val="009B1133"/>
    <w:rsid w:val="009B2B4E"/>
    <w:rsid w:val="009B396E"/>
    <w:rsid w:val="009B39A2"/>
    <w:rsid w:val="009B3B97"/>
    <w:rsid w:val="009B49F3"/>
    <w:rsid w:val="009B4E5D"/>
    <w:rsid w:val="009B567A"/>
    <w:rsid w:val="009C0C12"/>
    <w:rsid w:val="009C29C5"/>
    <w:rsid w:val="009C4680"/>
    <w:rsid w:val="009C5426"/>
    <w:rsid w:val="009C5C75"/>
    <w:rsid w:val="009D1C23"/>
    <w:rsid w:val="009D2A29"/>
    <w:rsid w:val="009D417F"/>
    <w:rsid w:val="009D53AF"/>
    <w:rsid w:val="009D59DE"/>
    <w:rsid w:val="009D6885"/>
    <w:rsid w:val="009D7A03"/>
    <w:rsid w:val="009E1362"/>
    <w:rsid w:val="009E1848"/>
    <w:rsid w:val="009E1BC1"/>
    <w:rsid w:val="009E1F6B"/>
    <w:rsid w:val="009E3E77"/>
    <w:rsid w:val="009E4DF2"/>
    <w:rsid w:val="009E6273"/>
    <w:rsid w:val="009E6D60"/>
    <w:rsid w:val="009F08A6"/>
    <w:rsid w:val="009F1918"/>
    <w:rsid w:val="009F2D0A"/>
    <w:rsid w:val="009F3962"/>
    <w:rsid w:val="009F6ED7"/>
    <w:rsid w:val="009F707B"/>
    <w:rsid w:val="009F7401"/>
    <w:rsid w:val="009F78F2"/>
    <w:rsid w:val="00A01C9B"/>
    <w:rsid w:val="00A065F5"/>
    <w:rsid w:val="00A10430"/>
    <w:rsid w:val="00A10857"/>
    <w:rsid w:val="00A1221A"/>
    <w:rsid w:val="00A1269B"/>
    <w:rsid w:val="00A130F9"/>
    <w:rsid w:val="00A1585F"/>
    <w:rsid w:val="00A16000"/>
    <w:rsid w:val="00A16398"/>
    <w:rsid w:val="00A20EBA"/>
    <w:rsid w:val="00A20F2F"/>
    <w:rsid w:val="00A211A3"/>
    <w:rsid w:val="00A2357E"/>
    <w:rsid w:val="00A23A31"/>
    <w:rsid w:val="00A23D1B"/>
    <w:rsid w:val="00A24629"/>
    <w:rsid w:val="00A25A27"/>
    <w:rsid w:val="00A27485"/>
    <w:rsid w:val="00A30038"/>
    <w:rsid w:val="00A309E8"/>
    <w:rsid w:val="00A3514D"/>
    <w:rsid w:val="00A36010"/>
    <w:rsid w:val="00A4051D"/>
    <w:rsid w:val="00A40F98"/>
    <w:rsid w:val="00A41EF2"/>
    <w:rsid w:val="00A42619"/>
    <w:rsid w:val="00A4267D"/>
    <w:rsid w:val="00A427B2"/>
    <w:rsid w:val="00A43DEB"/>
    <w:rsid w:val="00A44DDA"/>
    <w:rsid w:val="00A46277"/>
    <w:rsid w:val="00A47D62"/>
    <w:rsid w:val="00A53CDD"/>
    <w:rsid w:val="00A53EE6"/>
    <w:rsid w:val="00A5538A"/>
    <w:rsid w:val="00A564AE"/>
    <w:rsid w:val="00A57A4A"/>
    <w:rsid w:val="00A57C0E"/>
    <w:rsid w:val="00A614EB"/>
    <w:rsid w:val="00A62886"/>
    <w:rsid w:val="00A63E79"/>
    <w:rsid w:val="00A6719E"/>
    <w:rsid w:val="00A672B2"/>
    <w:rsid w:val="00A74C51"/>
    <w:rsid w:val="00A77682"/>
    <w:rsid w:val="00A80C19"/>
    <w:rsid w:val="00A8195A"/>
    <w:rsid w:val="00A83279"/>
    <w:rsid w:val="00A83750"/>
    <w:rsid w:val="00A84631"/>
    <w:rsid w:val="00A86498"/>
    <w:rsid w:val="00A86A0A"/>
    <w:rsid w:val="00A9067C"/>
    <w:rsid w:val="00A90A24"/>
    <w:rsid w:val="00A90BD3"/>
    <w:rsid w:val="00A91402"/>
    <w:rsid w:val="00A92FBB"/>
    <w:rsid w:val="00A93C1C"/>
    <w:rsid w:val="00A96790"/>
    <w:rsid w:val="00A96CE2"/>
    <w:rsid w:val="00A97543"/>
    <w:rsid w:val="00AA0DFE"/>
    <w:rsid w:val="00AA1EB9"/>
    <w:rsid w:val="00AA2502"/>
    <w:rsid w:val="00AA262E"/>
    <w:rsid w:val="00AA2AC5"/>
    <w:rsid w:val="00AA3174"/>
    <w:rsid w:val="00AA3A41"/>
    <w:rsid w:val="00AA5AE9"/>
    <w:rsid w:val="00AA6D45"/>
    <w:rsid w:val="00AA7585"/>
    <w:rsid w:val="00AA7DED"/>
    <w:rsid w:val="00AB031D"/>
    <w:rsid w:val="00AB08A6"/>
    <w:rsid w:val="00AB18B3"/>
    <w:rsid w:val="00AB1A1E"/>
    <w:rsid w:val="00AB1D9D"/>
    <w:rsid w:val="00AB236C"/>
    <w:rsid w:val="00AB6CEF"/>
    <w:rsid w:val="00AC0054"/>
    <w:rsid w:val="00AC06B6"/>
    <w:rsid w:val="00AC2B37"/>
    <w:rsid w:val="00AC44B5"/>
    <w:rsid w:val="00AC4C6A"/>
    <w:rsid w:val="00AC7830"/>
    <w:rsid w:val="00AD1557"/>
    <w:rsid w:val="00AD25B7"/>
    <w:rsid w:val="00AD35F3"/>
    <w:rsid w:val="00AD44E9"/>
    <w:rsid w:val="00AD4CAC"/>
    <w:rsid w:val="00AD528F"/>
    <w:rsid w:val="00AD6760"/>
    <w:rsid w:val="00AD6EB3"/>
    <w:rsid w:val="00AD741D"/>
    <w:rsid w:val="00AD751D"/>
    <w:rsid w:val="00AD791C"/>
    <w:rsid w:val="00AE1C60"/>
    <w:rsid w:val="00AE2464"/>
    <w:rsid w:val="00AE2652"/>
    <w:rsid w:val="00AE4F42"/>
    <w:rsid w:val="00AE728D"/>
    <w:rsid w:val="00AE7589"/>
    <w:rsid w:val="00AF08CB"/>
    <w:rsid w:val="00AF2833"/>
    <w:rsid w:val="00AF3716"/>
    <w:rsid w:val="00AF3C46"/>
    <w:rsid w:val="00AF43E1"/>
    <w:rsid w:val="00AF4D71"/>
    <w:rsid w:val="00AF5921"/>
    <w:rsid w:val="00B0092E"/>
    <w:rsid w:val="00B018B2"/>
    <w:rsid w:val="00B018E8"/>
    <w:rsid w:val="00B02CA0"/>
    <w:rsid w:val="00B03BF6"/>
    <w:rsid w:val="00B03CDF"/>
    <w:rsid w:val="00B040B7"/>
    <w:rsid w:val="00B04A55"/>
    <w:rsid w:val="00B04D46"/>
    <w:rsid w:val="00B0732B"/>
    <w:rsid w:val="00B104C5"/>
    <w:rsid w:val="00B10F47"/>
    <w:rsid w:val="00B1385B"/>
    <w:rsid w:val="00B13B1B"/>
    <w:rsid w:val="00B159A9"/>
    <w:rsid w:val="00B15DBF"/>
    <w:rsid w:val="00B165C9"/>
    <w:rsid w:val="00B16F6C"/>
    <w:rsid w:val="00B17D70"/>
    <w:rsid w:val="00B22AD7"/>
    <w:rsid w:val="00B22D31"/>
    <w:rsid w:val="00B22E46"/>
    <w:rsid w:val="00B23DDC"/>
    <w:rsid w:val="00B23EF3"/>
    <w:rsid w:val="00B2425E"/>
    <w:rsid w:val="00B268CE"/>
    <w:rsid w:val="00B27853"/>
    <w:rsid w:val="00B30291"/>
    <w:rsid w:val="00B306F7"/>
    <w:rsid w:val="00B30BB8"/>
    <w:rsid w:val="00B30FE2"/>
    <w:rsid w:val="00B3272E"/>
    <w:rsid w:val="00B32C71"/>
    <w:rsid w:val="00B330C4"/>
    <w:rsid w:val="00B3324D"/>
    <w:rsid w:val="00B37580"/>
    <w:rsid w:val="00B4137A"/>
    <w:rsid w:val="00B50529"/>
    <w:rsid w:val="00B50B77"/>
    <w:rsid w:val="00B51290"/>
    <w:rsid w:val="00B514F8"/>
    <w:rsid w:val="00B52215"/>
    <w:rsid w:val="00B52C03"/>
    <w:rsid w:val="00B530CA"/>
    <w:rsid w:val="00B53AC4"/>
    <w:rsid w:val="00B54527"/>
    <w:rsid w:val="00B569F8"/>
    <w:rsid w:val="00B57ADA"/>
    <w:rsid w:val="00B57E7E"/>
    <w:rsid w:val="00B61EE9"/>
    <w:rsid w:val="00B6496C"/>
    <w:rsid w:val="00B65962"/>
    <w:rsid w:val="00B66B6C"/>
    <w:rsid w:val="00B7033E"/>
    <w:rsid w:val="00B7071A"/>
    <w:rsid w:val="00B7076B"/>
    <w:rsid w:val="00B71858"/>
    <w:rsid w:val="00B71A39"/>
    <w:rsid w:val="00B721DC"/>
    <w:rsid w:val="00B72BC5"/>
    <w:rsid w:val="00B74715"/>
    <w:rsid w:val="00B7484C"/>
    <w:rsid w:val="00B7669D"/>
    <w:rsid w:val="00B766D9"/>
    <w:rsid w:val="00B80A28"/>
    <w:rsid w:val="00B82B41"/>
    <w:rsid w:val="00B82D73"/>
    <w:rsid w:val="00B84A2C"/>
    <w:rsid w:val="00B871D6"/>
    <w:rsid w:val="00B87A02"/>
    <w:rsid w:val="00B9299C"/>
    <w:rsid w:val="00B93557"/>
    <w:rsid w:val="00B93C23"/>
    <w:rsid w:val="00B96204"/>
    <w:rsid w:val="00B97B4D"/>
    <w:rsid w:val="00BA0233"/>
    <w:rsid w:val="00BA0DCC"/>
    <w:rsid w:val="00BA12A2"/>
    <w:rsid w:val="00BA16EF"/>
    <w:rsid w:val="00BA18D0"/>
    <w:rsid w:val="00BA1CB6"/>
    <w:rsid w:val="00BA242E"/>
    <w:rsid w:val="00BA2ABF"/>
    <w:rsid w:val="00BA3317"/>
    <w:rsid w:val="00BA4A5A"/>
    <w:rsid w:val="00BA5A9D"/>
    <w:rsid w:val="00BA6363"/>
    <w:rsid w:val="00BB2D9C"/>
    <w:rsid w:val="00BB3512"/>
    <w:rsid w:val="00BB3C4D"/>
    <w:rsid w:val="00BB5AA4"/>
    <w:rsid w:val="00BB5D1E"/>
    <w:rsid w:val="00BB62CC"/>
    <w:rsid w:val="00BB7ED6"/>
    <w:rsid w:val="00BC137A"/>
    <w:rsid w:val="00BC4347"/>
    <w:rsid w:val="00BC45E0"/>
    <w:rsid w:val="00BC54B5"/>
    <w:rsid w:val="00BC5D9D"/>
    <w:rsid w:val="00BC60E1"/>
    <w:rsid w:val="00BC6803"/>
    <w:rsid w:val="00BC7BCB"/>
    <w:rsid w:val="00BD109B"/>
    <w:rsid w:val="00BD1101"/>
    <w:rsid w:val="00BD14CF"/>
    <w:rsid w:val="00BD2944"/>
    <w:rsid w:val="00BD2B5E"/>
    <w:rsid w:val="00BD3AFF"/>
    <w:rsid w:val="00BD4E7A"/>
    <w:rsid w:val="00BD531B"/>
    <w:rsid w:val="00BE00E5"/>
    <w:rsid w:val="00BE2E5A"/>
    <w:rsid w:val="00BE3A10"/>
    <w:rsid w:val="00BE4A21"/>
    <w:rsid w:val="00BE4C30"/>
    <w:rsid w:val="00BE5859"/>
    <w:rsid w:val="00BE5DB1"/>
    <w:rsid w:val="00BE717E"/>
    <w:rsid w:val="00BE7E27"/>
    <w:rsid w:val="00BE7ED0"/>
    <w:rsid w:val="00BF183C"/>
    <w:rsid w:val="00BF2333"/>
    <w:rsid w:val="00BF4C15"/>
    <w:rsid w:val="00BF7FDC"/>
    <w:rsid w:val="00C002B2"/>
    <w:rsid w:val="00C01EFC"/>
    <w:rsid w:val="00C044CF"/>
    <w:rsid w:val="00C0782F"/>
    <w:rsid w:val="00C11F50"/>
    <w:rsid w:val="00C12603"/>
    <w:rsid w:val="00C12C7C"/>
    <w:rsid w:val="00C131FD"/>
    <w:rsid w:val="00C14106"/>
    <w:rsid w:val="00C15322"/>
    <w:rsid w:val="00C16DA8"/>
    <w:rsid w:val="00C17352"/>
    <w:rsid w:val="00C21959"/>
    <w:rsid w:val="00C30A7D"/>
    <w:rsid w:val="00C31169"/>
    <w:rsid w:val="00C3169F"/>
    <w:rsid w:val="00C318F6"/>
    <w:rsid w:val="00C31BD9"/>
    <w:rsid w:val="00C37522"/>
    <w:rsid w:val="00C42EFD"/>
    <w:rsid w:val="00C43D8B"/>
    <w:rsid w:val="00C44042"/>
    <w:rsid w:val="00C46AF0"/>
    <w:rsid w:val="00C47A8E"/>
    <w:rsid w:val="00C52956"/>
    <w:rsid w:val="00C53AE1"/>
    <w:rsid w:val="00C53CAD"/>
    <w:rsid w:val="00C543C3"/>
    <w:rsid w:val="00C54893"/>
    <w:rsid w:val="00C560A1"/>
    <w:rsid w:val="00C56E9E"/>
    <w:rsid w:val="00C56EB6"/>
    <w:rsid w:val="00C571E2"/>
    <w:rsid w:val="00C63FC8"/>
    <w:rsid w:val="00C64F57"/>
    <w:rsid w:val="00C65D21"/>
    <w:rsid w:val="00C66B65"/>
    <w:rsid w:val="00C66E11"/>
    <w:rsid w:val="00C6789D"/>
    <w:rsid w:val="00C71A97"/>
    <w:rsid w:val="00C72FFE"/>
    <w:rsid w:val="00C73FFD"/>
    <w:rsid w:val="00C7439B"/>
    <w:rsid w:val="00C74512"/>
    <w:rsid w:val="00C75071"/>
    <w:rsid w:val="00C770F1"/>
    <w:rsid w:val="00C77EB0"/>
    <w:rsid w:val="00C831A3"/>
    <w:rsid w:val="00C84F07"/>
    <w:rsid w:val="00C851A6"/>
    <w:rsid w:val="00C855D4"/>
    <w:rsid w:val="00C87639"/>
    <w:rsid w:val="00C90685"/>
    <w:rsid w:val="00C9099A"/>
    <w:rsid w:val="00C9240A"/>
    <w:rsid w:val="00C93D5B"/>
    <w:rsid w:val="00C9442C"/>
    <w:rsid w:val="00C9532C"/>
    <w:rsid w:val="00C95494"/>
    <w:rsid w:val="00C95BCF"/>
    <w:rsid w:val="00C95D16"/>
    <w:rsid w:val="00C95DCF"/>
    <w:rsid w:val="00C96BE7"/>
    <w:rsid w:val="00C976DB"/>
    <w:rsid w:val="00C97B9D"/>
    <w:rsid w:val="00CA184E"/>
    <w:rsid w:val="00CA23C4"/>
    <w:rsid w:val="00CA575F"/>
    <w:rsid w:val="00CA5AEC"/>
    <w:rsid w:val="00CA6114"/>
    <w:rsid w:val="00CA704A"/>
    <w:rsid w:val="00CB0797"/>
    <w:rsid w:val="00CB21FF"/>
    <w:rsid w:val="00CB2527"/>
    <w:rsid w:val="00CB2BAF"/>
    <w:rsid w:val="00CB5CAE"/>
    <w:rsid w:val="00CB644C"/>
    <w:rsid w:val="00CB6CAA"/>
    <w:rsid w:val="00CB78ED"/>
    <w:rsid w:val="00CC0004"/>
    <w:rsid w:val="00CC19A0"/>
    <w:rsid w:val="00CC1BA2"/>
    <w:rsid w:val="00CC4E55"/>
    <w:rsid w:val="00CC550E"/>
    <w:rsid w:val="00CC5AC6"/>
    <w:rsid w:val="00CC7465"/>
    <w:rsid w:val="00CD0DCE"/>
    <w:rsid w:val="00CD1628"/>
    <w:rsid w:val="00CD1D27"/>
    <w:rsid w:val="00CD27B7"/>
    <w:rsid w:val="00CD2867"/>
    <w:rsid w:val="00CD3807"/>
    <w:rsid w:val="00CD3AE7"/>
    <w:rsid w:val="00CD3C10"/>
    <w:rsid w:val="00CD4210"/>
    <w:rsid w:val="00CD5194"/>
    <w:rsid w:val="00CD5981"/>
    <w:rsid w:val="00CD6292"/>
    <w:rsid w:val="00CD79FA"/>
    <w:rsid w:val="00CE10E6"/>
    <w:rsid w:val="00CE59A8"/>
    <w:rsid w:val="00CE657B"/>
    <w:rsid w:val="00CF0873"/>
    <w:rsid w:val="00CF237E"/>
    <w:rsid w:val="00CF2AB6"/>
    <w:rsid w:val="00CF3FB0"/>
    <w:rsid w:val="00CF515D"/>
    <w:rsid w:val="00CF53F5"/>
    <w:rsid w:val="00CF6B3F"/>
    <w:rsid w:val="00D002B4"/>
    <w:rsid w:val="00D03845"/>
    <w:rsid w:val="00D03DCB"/>
    <w:rsid w:val="00D05257"/>
    <w:rsid w:val="00D054DF"/>
    <w:rsid w:val="00D057A5"/>
    <w:rsid w:val="00D05D1F"/>
    <w:rsid w:val="00D06531"/>
    <w:rsid w:val="00D0799B"/>
    <w:rsid w:val="00D144D0"/>
    <w:rsid w:val="00D14FC0"/>
    <w:rsid w:val="00D163A3"/>
    <w:rsid w:val="00D1656D"/>
    <w:rsid w:val="00D167CC"/>
    <w:rsid w:val="00D16943"/>
    <w:rsid w:val="00D211AE"/>
    <w:rsid w:val="00D21662"/>
    <w:rsid w:val="00D22416"/>
    <w:rsid w:val="00D23DE4"/>
    <w:rsid w:val="00D23F50"/>
    <w:rsid w:val="00D24447"/>
    <w:rsid w:val="00D24867"/>
    <w:rsid w:val="00D26F02"/>
    <w:rsid w:val="00D318E3"/>
    <w:rsid w:val="00D323A7"/>
    <w:rsid w:val="00D346BF"/>
    <w:rsid w:val="00D34A4B"/>
    <w:rsid w:val="00D36D68"/>
    <w:rsid w:val="00D416EB"/>
    <w:rsid w:val="00D41B20"/>
    <w:rsid w:val="00D44615"/>
    <w:rsid w:val="00D45321"/>
    <w:rsid w:val="00D50324"/>
    <w:rsid w:val="00D54C30"/>
    <w:rsid w:val="00D557E2"/>
    <w:rsid w:val="00D55A28"/>
    <w:rsid w:val="00D55DE5"/>
    <w:rsid w:val="00D5605F"/>
    <w:rsid w:val="00D61FBD"/>
    <w:rsid w:val="00D62519"/>
    <w:rsid w:val="00D625AA"/>
    <w:rsid w:val="00D63CBD"/>
    <w:rsid w:val="00D6500C"/>
    <w:rsid w:val="00D66392"/>
    <w:rsid w:val="00D66959"/>
    <w:rsid w:val="00D70A39"/>
    <w:rsid w:val="00D71A7E"/>
    <w:rsid w:val="00D7643D"/>
    <w:rsid w:val="00D76DE0"/>
    <w:rsid w:val="00D80DF0"/>
    <w:rsid w:val="00D83ED5"/>
    <w:rsid w:val="00D844FC"/>
    <w:rsid w:val="00D86043"/>
    <w:rsid w:val="00D870D4"/>
    <w:rsid w:val="00D92ACC"/>
    <w:rsid w:val="00D9398E"/>
    <w:rsid w:val="00D9464E"/>
    <w:rsid w:val="00D954E0"/>
    <w:rsid w:val="00D97059"/>
    <w:rsid w:val="00D97A1D"/>
    <w:rsid w:val="00DA0181"/>
    <w:rsid w:val="00DA1F24"/>
    <w:rsid w:val="00DA2411"/>
    <w:rsid w:val="00DA2C81"/>
    <w:rsid w:val="00DA65C4"/>
    <w:rsid w:val="00DA7899"/>
    <w:rsid w:val="00DB0923"/>
    <w:rsid w:val="00DB29CA"/>
    <w:rsid w:val="00DB30C8"/>
    <w:rsid w:val="00DB558E"/>
    <w:rsid w:val="00DB5F2B"/>
    <w:rsid w:val="00DB74AF"/>
    <w:rsid w:val="00DC1AB8"/>
    <w:rsid w:val="00DC5C19"/>
    <w:rsid w:val="00DC7068"/>
    <w:rsid w:val="00DD0411"/>
    <w:rsid w:val="00DD265A"/>
    <w:rsid w:val="00DD523C"/>
    <w:rsid w:val="00DD6B9B"/>
    <w:rsid w:val="00DE07A1"/>
    <w:rsid w:val="00DE21A2"/>
    <w:rsid w:val="00DE2776"/>
    <w:rsid w:val="00DE3B11"/>
    <w:rsid w:val="00DE4540"/>
    <w:rsid w:val="00DE5EE7"/>
    <w:rsid w:val="00DE7183"/>
    <w:rsid w:val="00DF1DAC"/>
    <w:rsid w:val="00DF2165"/>
    <w:rsid w:val="00DF5A24"/>
    <w:rsid w:val="00DF60E6"/>
    <w:rsid w:val="00DF6105"/>
    <w:rsid w:val="00DF659E"/>
    <w:rsid w:val="00DF65F7"/>
    <w:rsid w:val="00DF7D50"/>
    <w:rsid w:val="00E011BA"/>
    <w:rsid w:val="00E01524"/>
    <w:rsid w:val="00E0320F"/>
    <w:rsid w:val="00E07C16"/>
    <w:rsid w:val="00E1021D"/>
    <w:rsid w:val="00E129F7"/>
    <w:rsid w:val="00E1428E"/>
    <w:rsid w:val="00E14900"/>
    <w:rsid w:val="00E15903"/>
    <w:rsid w:val="00E218D3"/>
    <w:rsid w:val="00E22321"/>
    <w:rsid w:val="00E229ED"/>
    <w:rsid w:val="00E23091"/>
    <w:rsid w:val="00E23E21"/>
    <w:rsid w:val="00E245A0"/>
    <w:rsid w:val="00E25964"/>
    <w:rsid w:val="00E25E9F"/>
    <w:rsid w:val="00E27565"/>
    <w:rsid w:val="00E30DE6"/>
    <w:rsid w:val="00E31944"/>
    <w:rsid w:val="00E32395"/>
    <w:rsid w:val="00E32A52"/>
    <w:rsid w:val="00E32E0D"/>
    <w:rsid w:val="00E332E3"/>
    <w:rsid w:val="00E33FD9"/>
    <w:rsid w:val="00E34DBA"/>
    <w:rsid w:val="00E3534F"/>
    <w:rsid w:val="00E35435"/>
    <w:rsid w:val="00E37194"/>
    <w:rsid w:val="00E3788B"/>
    <w:rsid w:val="00E40C6A"/>
    <w:rsid w:val="00E410B7"/>
    <w:rsid w:val="00E431EE"/>
    <w:rsid w:val="00E43977"/>
    <w:rsid w:val="00E4415D"/>
    <w:rsid w:val="00E44AB8"/>
    <w:rsid w:val="00E47BD8"/>
    <w:rsid w:val="00E50D3F"/>
    <w:rsid w:val="00E520BE"/>
    <w:rsid w:val="00E526B1"/>
    <w:rsid w:val="00E53413"/>
    <w:rsid w:val="00E5484A"/>
    <w:rsid w:val="00E54E17"/>
    <w:rsid w:val="00E563F6"/>
    <w:rsid w:val="00E56A7A"/>
    <w:rsid w:val="00E60419"/>
    <w:rsid w:val="00E60E01"/>
    <w:rsid w:val="00E613F0"/>
    <w:rsid w:val="00E617D3"/>
    <w:rsid w:val="00E61E36"/>
    <w:rsid w:val="00E633C1"/>
    <w:rsid w:val="00E65532"/>
    <w:rsid w:val="00E667B0"/>
    <w:rsid w:val="00E66EA0"/>
    <w:rsid w:val="00E67390"/>
    <w:rsid w:val="00E71365"/>
    <w:rsid w:val="00E74904"/>
    <w:rsid w:val="00E75CFA"/>
    <w:rsid w:val="00E770A4"/>
    <w:rsid w:val="00E805B3"/>
    <w:rsid w:val="00E8097A"/>
    <w:rsid w:val="00E81192"/>
    <w:rsid w:val="00E83B51"/>
    <w:rsid w:val="00E8626C"/>
    <w:rsid w:val="00E8663B"/>
    <w:rsid w:val="00E86BDE"/>
    <w:rsid w:val="00E8762F"/>
    <w:rsid w:val="00E90171"/>
    <w:rsid w:val="00E90AB8"/>
    <w:rsid w:val="00E919D9"/>
    <w:rsid w:val="00E92003"/>
    <w:rsid w:val="00E921C1"/>
    <w:rsid w:val="00E9280F"/>
    <w:rsid w:val="00E9394D"/>
    <w:rsid w:val="00E93C8B"/>
    <w:rsid w:val="00E93D8F"/>
    <w:rsid w:val="00E94A7F"/>
    <w:rsid w:val="00E9531E"/>
    <w:rsid w:val="00E95E41"/>
    <w:rsid w:val="00E95E4C"/>
    <w:rsid w:val="00E96B1B"/>
    <w:rsid w:val="00E977CE"/>
    <w:rsid w:val="00E97E05"/>
    <w:rsid w:val="00EA1655"/>
    <w:rsid w:val="00EA34E2"/>
    <w:rsid w:val="00EA52D1"/>
    <w:rsid w:val="00EA703E"/>
    <w:rsid w:val="00EA791F"/>
    <w:rsid w:val="00EB13F2"/>
    <w:rsid w:val="00EB2670"/>
    <w:rsid w:val="00EB4CDC"/>
    <w:rsid w:val="00EB671F"/>
    <w:rsid w:val="00EB70E7"/>
    <w:rsid w:val="00EB76D6"/>
    <w:rsid w:val="00EC02E8"/>
    <w:rsid w:val="00EC1139"/>
    <w:rsid w:val="00EC3842"/>
    <w:rsid w:val="00EC4299"/>
    <w:rsid w:val="00EC49D6"/>
    <w:rsid w:val="00EC4D4D"/>
    <w:rsid w:val="00EC592E"/>
    <w:rsid w:val="00EC5D5D"/>
    <w:rsid w:val="00EC7908"/>
    <w:rsid w:val="00EC79AC"/>
    <w:rsid w:val="00EC7C2B"/>
    <w:rsid w:val="00ED1F02"/>
    <w:rsid w:val="00ED213D"/>
    <w:rsid w:val="00EE15B5"/>
    <w:rsid w:val="00EE2087"/>
    <w:rsid w:val="00EE20A1"/>
    <w:rsid w:val="00EE6670"/>
    <w:rsid w:val="00EE74AF"/>
    <w:rsid w:val="00EF1F0E"/>
    <w:rsid w:val="00EF29F6"/>
    <w:rsid w:val="00EF4623"/>
    <w:rsid w:val="00EF4FBF"/>
    <w:rsid w:val="00EF518E"/>
    <w:rsid w:val="00EF5DF0"/>
    <w:rsid w:val="00EF69AE"/>
    <w:rsid w:val="00EF6E2C"/>
    <w:rsid w:val="00EF7106"/>
    <w:rsid w:val="00F001A6"/>
    <w:rsid w:val="00F00253"/>
    <w:rsid w:val="00F0070A"/>
    <w:rsid w:val="00F01660"/>
    <w:rsid w:val="00F01C16"/>
    <w:rsid w:val="00F03099"/>
    <w:rsid w:val="00F0782D"/>
    <w:rsid w:val="00F10B74"/>
    <w:rsid w:val="00F11EB3"/>
    <w:rsid w:val="00F13F39"/>
    <w:rsid w:val="00F14B9B"/>
    <w:rsid w:val="00F14CCC"/>
    <w:rsid w:val="00F17988"/>
    <w:rsid w:val="00F20C09"/>
    <w:rsid w:val="00F217DF"/>
    <w:rsid w:val="00F21CAE"/>
    <w:rsid w:val="00F226E4"/>
    <w:rsid w:val="00F22A39"/>
    <w:rsid w:val="00F22AE0"/>
    <w:rsid w:val="00F23DDE"/>
    <w:rsid w:val="00F2601A"/>
    <w:rsid w:val="00F26701"/>
    <w:rsid w:val="00F30155"/>
    <w:rsid w:val="00F310D7"/>
    <w:rsid w:val="00F331D6"/>
    <w:rsid w:val="00F368B9"/>
    <w:rsid w:val="00F3739F"/>
    <w:rsid w:val="00F374C1"/>
    <w:rsid w:val="00F37B34"/>
    <w:rsid w:val="00F37C53"/>
    <w:rsid w:val="00F41C34"/>
    <w:rsid w:val="00F4212F"/>
    <w:rsid w:val="00F43D9F"/>
    <w:rsid w:val="00F447DB"/>
    <w:rsid w:val="00F447FA"/>
    <w:rsid w:val="00F44BD1"/>
    <w:rsid w:val="00F4656F"/>
    <w:rsid w:val="00F469B9"/>
    <w:rsid w:val="00F46BF9"/>
    <w:rsid w:val="00F46C32"/>
    <w:rsid w:val="00F46ECB"/>
    <w:rsid w:val="00F50F94"/>
    <w:rsid w:val="00F525B5"/>
    <w:rsid w:val="00F53D53"/>
    <w:rsid w:val="00F543B9"/>
    <w:rsid w:val="00F54602"/>
    <w:rsid w:val="00F56177"/>
    <w:rsid w:val="00F56187"/>
    <w:rsid w:val="00F575D3"/>
    <w:rsid w:val="00F5786C"/>
    <w:rsid w:val="00F61E94"/>
    <w:rsid w:val="00F62117"/>
    <w:rsid w:val="00F62365"/>
    <w:rsid w:val="00F630A7"/>
    <w:rsid w:val="00F6520C"/>
    <w:rsid w:val="00F66225"/>
    <w:rsid w:val="00F662BC"/>
    <w:rsid w:val="00F6708D"/>
    <w:rsid w:val="00F6729F"/>
    <w:rsid w:val="00F707F0"/>
    <w:rsid w:val="00F71AD5"/>
    <w:rsid w:val="00F729ED"/>
    <w:rsid w:val="00F733B8"/>
    <w:rsid w:val="00F74F50"/>
    <w:rsid w:val="00F75192"/>
    <w:rsid w:val="00F76D36"/>
    <w:rsid w:val="00F77822"/>
    <w:rsid w:val="00F838B6"/>
    <w:rsid w:val="00F83B0D"/>
    <w:rsid w:val="00F83C31"/>
    <w:rsid w:val="00F85F05"/>
    <w:rsid w:val="00F86AD1"/>
    <w:rsid w:val="00F90D96"/>
    <w:rsid w:val="00F9222A"/>
    <w:rsid w:val="00F922EA"/>
    <w:rsid w:val="00F92927"/>
    <w:rsid w:val="00F949E0"/>
    <w:rsid w:val="00F94F0F"/>
    <w:rsid w:val="00F9627D"/>
    <w:rsid w:val="00F979B3"/>
    <w:rsid w:val="00F97CCD"/>
    <w:rsid w:val="00FA320D"/>
    <w:rsid w:val="00FA362B"/>
    <w:rsid w:val="00FA444C"/>
    <w:rsid w:val="00FA53E9"/>
    <w:rsid w:val="00FA60EC"/>
    <w:rsid w:val="00FA641B"/>
    <w:rsid w:val="00FA6CB4"/>
    <w:rsid w:val="00FB04E9"/>
    <w:rsid w:val="00FB1179"/>
    <w:rsid w:val="00FB1C6B"/>
    <w:rsid w:val="00FB2B27"/>
    <w:rsid w:val="00FB3361"/>
    <w:rsid w:val="00FB42B4"/>
    <w:rsid w:val="00FB4841"/>
    <w:rsid w:val="00FB6C94"/>
    <w:rsid w:val="00FB7304"/>
    <w:rsid w:val="00FB7F8B"/>
    <w:rsid w:val="00FC0FC4"/>
    <w:rsid w:val="00FC22F5"/>
    <w:rsid w:val="00FC3753"/>
    <w:rsid w:val="00FC5170"/>
    <w:rsid w:val="00FC5743"/>
    <w:rsid w:val="00FC60DF"/>
    <w:rsid w:val="00FC6240"/>
    <w:rsid w:val="00FD118C"/>
    <w:rsid w:val="00FD332F"/>
    <w:rsid w:val="00FD7395"/>
    <w:rsid w:val="00FD74C5"/>
    <w:rsid w:val="00FE1810"/>
    <w:rsid w:val="00FE1CC1"/>
    <w:rsid w:val="00FE353C"/>
    <w:rsid w:val="00FE385E"/>
    <w:rsid w:val="00FE3CE2"/>
    <w:rsid w:val="00FE54AD"/>
    <w:rsid w:val="00FE5633"/>
    <w:rsid w:val="00FE6F7A"/>
    <w:rsid w:val="00FE78A1"/>
    <w:rsid w:val="00FE7B14"/>
    <w:rsid w:val="00FF02D5"/>
    <w:rsid w:val="00FF0846"/>
    <w:rsid w:val="00FF0AA6"/>
    <w:rsid w:val="00FF248B"/>
    <w:rsid w:val="00FF3E6F"/>
    <w:rsid w:val="00FF5A63"/>
    <w:rsid w:val="00FF6DB4"/>
    <w:rsid w:val="00FF7425"/>
    <w:rsid w:val="00FF757A"/>
    <w:rsid w:val="00FF7B8E"/>
    <w:rsid w:val="00FF7E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08DABC3"/>
  <w15:docId w15:val="{5193834D-BBD9-4ECD-983D-092FEF9E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46191"/>
    <w:rPr>
      <w:rFonts w:ascii="Calibri" w:hAnsi="Calibri" w:cs="Times New Roman"/>
    </w:rPr>
  </w:style>
  <w:style w:type="paragraph" w:styleId="Ttulo1">
    <w:name w:val="heading 1"/>
    <w:basedOn w:val="Normal"/>
    <w:link w:val="Ttulo1Char"/>
    <w:uiPriority w:val="1"/>
    <w:qFormat/>
    <w:rsid w:val="00135D5F"/>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rsid w:val="00135D5F"/>
    <w:pPr>
      <w:widowControl w:val="0"/>
      <w:spacing w:before="1" w:after="0" w:line="240" w:lineRule="auto"/>
      <w:ind w:left="1824" w:right="322"/>
      <w:outlineLvl w:val="1"/>
    </w:pPr>
    <w:rPr>
      <w:rFonts w:eastAsia="Calibri" w:cs="Calibri"/>
      <w:b/>
      <w:bCs/>
      <w:sz w:val="32"/>
      <w:szCs w:val="32"/>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ind w:left="720"/>
      <w:contextualSpacing/>
    </w:pPr>
  </w:style>
  <w:style w:type="paragraph" w:styleId="Sumrio2">
    <w:name w:val="toc 2"/>
    <w:basedOn w:val="Normal"/>
    <w:uiPriority w:val="1"/>
    <w:qFormat/>
    <w:rsid w:val="00F469B9"/>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autoRedefine/>
    <w:uiPriority w:val="39"/>
    <w:semiHidden/>
    <w:unhideWhenUsed/>
    <w:rsid w:val="00135D5F"/>
    <w:pPr>
      <w:spacing w:after="100"/>
    </w:pPr>
  </w:style>
  <w:style w:type="paragraph" w:styleId="Corpodetexto">
    <w:name w:val="Body Text"/>
    <w:basedOn w:val="Normal"/>
    <w:link w:val="CorpodetextoChar"/>
    <w:uiPriority w:val="1"/>
    <w:qFormat/>
    <w:rsid w:val="00135D5F"/>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uiPriority w:val="99"/>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spacing w:after="0" w:line="240" w:lineRule="auto"/>
      <w:ind w:left="2835"/>
      <w:jc w:val="both"/>
    </w:pPr>
    <w:rPr>
      <w:rFonts w:ascii="Times New Roman" w:eastAsia="Times New Roman" w:hAnsi="Times New Roman"/>
      <w:sz w:val="24"/>
      <w:szCs w:val="20"/>
      <w:lang w:eastAsia="pt-BR"/>
    </w:rPr>
  </w:style>
  <w:style w:type="paragraph" w:styleId="NormalWeb">
    <w:name w:val="Normal (Web)"/>
    <w:basedOn w:val="Normal"/>
    <w:uiPriority w:val="99"/>
    <w:semiHidden/>
    <w:unhideWhenUsed/>
    <w:rsid w:val="00D23DE4"/>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701319"/>
    <w:rPr>
      <w:b/>
      <w:bCs/>
    </w:rPr>
  </w:style>
  <w:style w:type="character" w:styleId="nfase">
    <w:name w:val="Emphasis"/>
    <w:basedOn w:val="Fontepargpadro"/>
    <w:uiPriority w:val="20"/>
    <w:qFormat/>
    <w:rsid w:val="00A065F5"/>
    <w:rPr>
      <w:i/>
      <w:iCs/>
    </w:rPr>
  </w:style>
  <w:style w:type="character" w:customStyle="1" w:styleId="Meno1">
    <w:name w:val="Menção1"/>
    <w:basedOn w:val="Fontepargpadro"/>
    <w:uiPriority w:val="99"/>
    <w:semiHidden/>
    <w:unhideWhenUsed/>
    <w:rsid w:val="009B2B4E"/>
    <w:rPr>
      <w:color w:val="2B579A"/>
      <w:shd w:val="clear" w:color="auto" w:fill="E6E6E6"/>
    </w:rPr>
  </w:style>
  <w:style w:type="paragraph" w:customStyle="1" w:styleId="tcu-epgrafe0">
    <w:name w:val="tcu-epgrafe"/>
    <w:basedOn w:val="Normal"/>
    <w:rsid w:val="002A2E6C"/>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MenoPendente1">
    <w:name w:val="Menção Pendente1"/>
    <w:basedOn w:val="Fontepargpadro"/>
    <w:uiPriority w:val="99"/>
    <w:semiHidden/>
    <w:unhideWhenUsed/>
    <w:rsid w:val="00D163A3"/>
    <w:rPr>
      <w:color w:val="808080"/>
      <w:shd w:val="clear" w:color="auto" w:fill="E6E6E6"/>
    </w:rPr>
  </w:style>
  <w:style w:type="character" w:styleId="Refdecomentrio">
    <w:name w:val="annotation reference"/>
    <w:basedOn w:val="Fontepargpadro"/>
    <w:uiPriority w:val="99"/>
    <w:semiHidden/>
    <w:unhideWhenUsed/>
    <w:rsid w:val="00852A15"/>
    <w:rPr>
      <w:sz w:val="16"/>
      <w:szCs w:val="16"/>
    </w:rPr>
  </w:style>
  <w:style w:type="paragraph" w:styleId="Textodecomentrio">
    <w:name w:val="annotation text"/>
    <w:basedOn w:val="Normal"/>
    <w:link w:val="TextodecomentrioChar"/>
    <w:uiPriority w:val="99"/>
    <w:semiHidden/>
    <w:unhideWhenUsed/>
    <w:rsid w:val="00852A1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52A15"/>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852A15"/>
    <w:rPr>
      <w:b/>
      <w:bCs/>
    </w:rPr>
  </w:style>
  <w:style w:type="character" w:customStyle="1" w:styleId="AssuntodocomentrioChar">
    <w:name w:val="Assunto do comentário Char"/>
    <w:basedOn w:val="TextodecomentrioChar"/>
    <w:link w:val="Assuntodocomentrio"/>
    <w:uiPriority w:val="99"/>
    <w:semiHidden/>
    <w:rsid w:val="00852A15"/>
    <w:rPr>
      <w:rFonts w:ascii="Calibri" w:hAnsi="Calibri" w:cs="Times New Roman"/>
      <w:b/>
      <w:bCs/>
      <w:sz w:val="20"/>
      <w:szCs w:val="20"/>
    </w:rPr>
  </w:style>
  <w:style w:type="paragraph" w:styleId="Pr-formataoHTML">
    <w:name w:val="HTML Preformatted"/>
    <w:basedOn w:val="Normal"/>
    <w:link w:val="Pr-formataoHTMLChar"/>
    <w:uiPriority w:val="99"/>
    <w:semiHidden/>
    <w:unhideWhenUsed/>
    <w:rsid w:val="009C46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9C4680"/>
    <w:rPr>
      <w:rFonts w:ascii="Courier New" w:eastAsia="Times New Roman" w:hAnsi="Courier New" w:cs="Courier New"/>
      <w:sz w:val="20"/>
      <w:szCs w:val="20"/>
      <w:lang w:eastAsia="pt-BR"/>
    </w:rPr>
  </w:style>
  <w:style w:type="character" w:customStyle="1" w:styleId="clsinformativotextotitulo">
    <w:name w:val="clsinformativotextotitulo"/>
    <w:basedOn w:val="Fontepargpadro"/>
    <w:rsid w:val="00EB13F2"/>
  </w:style>
  <w:style w:type="character" w:customStyle="1" w:styleId="clsinformativotexto">
    <w:name w:val="clsinformativotexto"/>
    <w:basedOn w:val="Fontepargpadro"/>
    <w:rsid w:val="00EB13F2"/>
  </w:style>
  <w:style w:type="character" w:styleId="MenoPendente">
    <w:name w:val="Unresolved Mention"/>
    <w:basedOn w:val="Fontepargpadro"/>
    <w:uiPriority w:val="99"/>
    <w:semiHidden/>
    <w:unhideWhenUsed/>
    <w:rsid w:val="00FA64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82443">
      <w:bodyDiv w:val="1"/>
      <w:marLeft w:val="0"/>
      <w:marRight w:val="0"/>
      <w:marTop w:val="0"/>
      <w:marBottom w:val="0"/>
      <w:divBdr>
        <w:top w:val="none" w:sz="0" w:space="0" w:color="auto"/>
        <w:left w:val="none" w:sz="0" w:space="0" w:color="auto"/>
        <w:bottom w:val="none" w:sz="0" w:space="0" w:color="auto"/>
        <w:right w:val="none" w:sz="0" w:space="0" w:color="auto"/>
      </w:divBdr>
    </w:div>
    <w:div w:id="147291600">
      <w:bodyDiv w:val="1"/>
      <w:marLeft w:val="0"/>
      <w:marRight w:val="0"/>
      <w:marTop w:val="0"/>
      <w:marBottom w:val="0"/>
      <w:divBdr>
        <w:top w:val="none" w:sz="0" w:space="0" w:color="auto"/>
        <w:left w:val="none" w:sz="0" w:space="0" w:color="auto"/>
        <w:bottom w:val="none" w:sz="0" w:space="0" w:color="auto"/>
        <w:right w:val="none" w:sz="0" w:space="0" w:color="auto"/>
      </w:divBdr>
    </w:div>
    <w:div w:id="211314032">
      <w:bodyDiv w:val="1"/>
      <w:marLeft w:val="0"/>
      <w:marRight w:val="0"/>
      <w:marTop w:val="0"/>
      <w:marBottom w:val="0"/>
      <w:divBdr>
        <w:top w:val="none" w:sz="0" w:space="0" w:color="auto"/>
        <w:left w:val="none" w:sz="0" w:space="0" w:color="auto"/>
        <w:bottom w:val="none" w:sz="0" w:space="0" w:color="auto"/>
        <w:right w:val="none" w:sz="0" w:space="0" w:color="auto"/>
      </w:divBdr>
    </w:div>
    <w:div w:id="230239161">
      <w:bodyDiv w:val="1"/>
      <w:marLeft w:val="0"/>
      <w:marRight w:val="0"/>
      <w:marTop w:val="0"/>
      <w:marBottom w:val="0"/>
      <w:divBdr>
        <w:top w:val="none" w:sz="0" w:space="0" w:color="auto"/>
        <w:left w:val="none" w:sz="0" w:space="0" w:color="auto"/>
        <w:bottom w:val="none" w:sz="0" w:space="0" w:color="auto"/>
        <w:right w:val="none" w:sz="0" w:space="0" w:color="auto"/>
      </w:divBdr>
    </w:div>
    <w:div w:id="271330060">
      <w:bodyDiv w:val="1"/>
      <w:marLeft w:val="0"/>
      <w:marRight w:val="0"/>
      <w:marTop w:val="0"/>
      <w:marBottom w:val="0"/>
      <w:divBdr>
        <w:top w:val="none" w:sz="0" w:space="0" w:color="auto"/>
        <w:left w:val="none" w:sz="0" w:space="0" w:color="auto"/>
        <w:bottom w:val="none" w:sz="0" w:space="0" w:color="auto"/>
        <w:right w:val="none" w:sz="0" w:space="0" w:color="auto"/>
      </w:divBdr>
    </w:div>
    <w:div w:id="297609802">
      <w:bodyDiv w:val="1"/>
      <w:marLeft w:val="0"/>
      <w:marRight w:val="0"/>
      <w:marTop w:val="0"/>
      <w:marBottom w:val="0"/>
      <w:divBdr>
        <w:top w:val="none" w:sz="0" w:space="0" w:color="auto"/>
        <w:left w:val="none" w:sz="0" w:space="0" w:color="auto"/>
        <w:bottom w:val="none" w:sz="0" w:space="0" w:color="auto"/>
        <w:right w:val="none" w:sz="0" w:space="0" w:color="auto"/>
      </w:divBdr>
    </w:div>
    <w:div w:id="339309814">
      <w:bodyDiv w:val="1"/>
      <w:marLeft w:val="0"/>
      <w:marRight w:val="0"/>
      <w:marTop w:val="0"/>
      <w:marBottom w:val="0"/>
      <w:divBdr>
        <w:top w:val="none" w:sz="0" w:space="0" w:color="auto"/>
        <w:left w:val="none" w:sz="0" w:space="0" w:color="auto"/>
        <w:bottom w:val="none" w:sz="0" w:space="0" w:color="auto"/>
        <w:right w:val="none" w:sz="0" w:space="0" w:color="auto"/>
      </w:divBdr>
      <w:divsChild>
        <w:div w:id="1424687108">
          <w:marLeft w:val="0"/>
          <w:marRight w:val="0"/>
          <w:marTop w:val="0"/>
          <w:marBottom w:val="0"/>
          <w:divBdr>
            <w:top w:val="none" w:sz="0" w:space="0" w:color="auto"/>
            <w:left w:val="none" w:sz="0" w:space="0" w:color="auto"/>
            <w:bottom w:val="none" w:sz="0" w:space="0" w:color="auto"/>
            <w:right w:val="none" w:sz="0" w:space="0" w:color="auto"/>
          </w:divBdr>
          <w:divsChild>
            <w:div w:id="1921672074">
              <w:marLeft w:val="0"/>
              <w:marRight w:val="0"/>
              <w:marTop w:val="0"/>
              <w:marBottom w:val="0"/>
              <w:divBdr>
                <w:top w:val="none" w:sz="0" w:space="0" w:color="auto"/>
                <w:left w:val="none" w:sz="0" w:space="0" w:color="auto"/>
                <w:bottom w:val="none" w:sz="0" w:space="0" w:color="auto"/>
                <w:right w:val="none" w:sz="0" w:space="0" w:color="auto"/>
              </w:divBdr>
              <w:divsChild>
                <w:div w:id="19883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88277">
      <w:bodyDiv w:val="1"/>
      <w:marLeft w:val="0"/>
      <w:marRight w:val="0"/>
      <w:marTop w:val="0"/>
      <w:marBottom w:val="0"/>
      <w:divBdr>
        <w:top w:val="none" w:sz="0" w:space="0" w:color="auto"/>
        <w:left w:val="none" w:sz="0" w:space="0" w:color="auto"/>
        <w:bottom w:val="none" w:sz="0" w:space="0" w:color="auto"/>
        <w:right w:val="none" w:sz="0" w:space="0" w:color="auto"/>
      </w:divBdr>
    </w:div>
    <w:div w:id="392898318">
      <w:bodyDiv w:val="1"/>
      <w:marLeft w:val="0"/>
      <w:marRight w:val="0"/>
      <w:marTop w:val="0"/>
      <w:marBottom w:val="0"/>
      <w:divBdr>
        <w:top w:val="none" w:sz="0" w:space="0" w:color="auto"/>
        <w:left w:val="none" w:sz="0" w:space="0" w:color="auto"/>
        <w:bottom w:val="none" w:sz="0" w:space="0" w:color="auto"/>
        <w:right w:val="none" w:sz="0" w:space="0" w:color="auto"/>
      </w:divBdr>
    </w:div>
    <w:div w:id="438572582">
      <w:bodyDiv w:val="1"/>
      <w:marLeft w:val="0"/>
      <w:marRight w:val="0"/>
      <w:marTop w:val="0"/>
      <w:marBottom w:val="0"/>
      <w:divBdr>
        <w:top w:val="none" w:sz="0" w:space="0" w:color="auto"/>
        <w:left w:val="none" w:sz="0" w:space="0" w:color="auto"/>
        <w:bottom w:val="none" w:sz="0" w:space="0" w:color="auto"/>
        <w:right w:val="none" w:sz="0" w:space="0" w:color="auto"/>
      </w:divBdr>
    </w:div>
    <w:div w:id="572471269">
      <w:bodyDiv w:val="1"/>
      <w:marLeft w:val="0"/>
      <w:marRight w:val="0"/>
      <w:marTop w:val="0"/>
      <w:marBottom w:val="0"/>
      <w:divBdr>
        <w:top w:val="none" w:sz="0" w:space="0" w:color="auto"/>
        <w:left w:val="none" w:sz="0" w:space="0" w:color="auto"/>
        <w:bottom w:val="none" w:sz="0" w:space="0" w:color="auto"/>
        <w:right w:val="none" w:sz="0" w:space="0" w:color="auto"/>
      </w:divBdr>
    </w:div>
    <w:div w:id="583414225">
      <w:bodyDiv w:val="1"/>
      <w:marLeft w:val="0"/>
      <w:marRight w:val="0"/>
      <w:marTop w:val="0"/>
      <w:marBottom w:val="0"/>
      <w:divBdr>
        <w:top w:val="none" w:sz="0" w:space="0" w:color="auto"/>
        <w:left w:val="none" w:sz="0" w:space="0" w:color="auto"/>
        <w:bottom w:val="none" w:sz="0" w:space="0" w:color="auto"/>
        <w:right w:val="none" w:sz="0" w:space="0" w:color="auto"/>
      </w:divBdr>
    </w:div>
    <w:div w:id="588658964">
      <w:bodyDiv w:val="1"/>
      <w:marLeft w:val="0"/>
      <w:marRight w:val="0"/>
      <w:marTop w:val="0"/>
      <w:marBottom w:val="0"/>
      <w:divBdr>
        <w:top w:val="none" w:sz="0" w:space="0" w:color="auto"/>
        <w:left w:val="none" w:sz="0" w:space="0" w:color="auto"/>
        <w:bottom w:val="none" w:sz="0" w:space="0" w:color="auto"/>
        <w:right w:val="none" w:sz="0" w:space="0" w:color="auto"/>
      </w:divBdr>
    </w:div>
    <w:div w:id="627317881">
      <w:bodyDiv w:val="1"/>
      <w:marLeft w:val="0"/>
      <w:marRight w:val="0"/>
      <w:marTop w:val="0"/>
      <w:marBottom w:val="0"/>
      <w:divBdr>
        <w:top w:val="none" w:sz="0" w:space="0" w:color="auto"/>
        <w:left w:val="none" w:sz="0" w:space="0" w:color="auto"/>
        <w:bottom w:val="none" w:sz="0" w:space="0" w:color="auto"/>
        <w:right w:val="none" w:sz="0" w:space="0" w:color="auto"/>
      </w:divBdr>
    </w:div>
    <w:div w:id="707461266">
      <w:bodyDiv w:val="1"/>
      <w:marLeft w:val="0"/>
      <w:marRight w:val="0"/>
      <w:marTop w:val="0"/>
      <w:marBottom w:val="0"/>
      <w:divBdr>
        <w:top w:val="none" w:sz="0" w:space="0" w:color="auto"/>
        <w:left w:val="none" w:sz="0" w:space="0" w:color="auto"/>
        <w:bottom w:val="none" w:sz="0" w:space="0" w:color="auto"/>
        <w:right w:val="none" w:sz="0" w:space="0" w:color="auto"/>
      </w:divBdr>
    </w:div>
    <w:div w:id="737092109">
      <w:bodyDiv w:val="1"/>
      <w:marLeft w:val="0"/>
      <w:marRight w:val="0"/>
      <w:marTop w:val="0"/>
      <w:marBottom w:val="0"/>
      <w:divBdr>
        <w:top w:val="none" w:sz="0" w:space="0" w:color="auto"/>
        <w:left w:val="none" w:sz="0" w:space="0" w:color="auto"/>
        <w:bottom w:val="none" w:sz="0" w:space="0" w:color="auto"/>
        <w:right w:val="none" w:sz="0" w:space="0" w:color="auto"/>
      </w:divBdr>
    </w:div>
    <w:div w:id="771164771">
      <w:bodyDiv w:val="1"/>
      <w:marLeft w:val="0"/>
      <w:marRight w:val="0"/>
      <w:marTop w:val="0"/>
      <w:marBottom w:val="0"/>
      <w:divBdr>
        <w:top w:val="none" w:sz="0" w:space="0" w:color="auto"/>
        <w:left w:val="none" w:sz="0" w:space="0" w:color="auto"/>
        <w:bottom w:val="none" w:sz="0" w:space="0" w:color="auto"/>
        <w:right w:val="none" w:sz="0" w:space="0" w:color="auto"/>
      </w:divBdr>
    </w:div>
    <w:div w:id="791554580">
      <w:bodyDiv w:val="1"/>
      <w:marLeft w:val="0"/>
      <w:marRight w:val="0"/>
      <w:marTop w:val="0"/>
      <w:marBottom w:val="0"/>
      <w:divBdr>
        <w:top w:val="none" w:sz="0" w:space="0" w:color="auto"/>
        <w:left w:val="none" w:sz="0" w:space="0" w:color="auto"/>
        <w:bottom w:val="none" w:sz="0" w:space="0" w:color="auto"/>
        <w:right w:val="none" w:sz="0" w:space="0" w:color="auto"/>
      </w:divBdr>
    </w:div>
    <w:div w:id="813527395">
      <w:bodyDiv w:val="1"/>
      <w:marLeft w:val="0"/>
      <w:marRight w:val="0"/>
      <w:marTop w:val="0"/>
      <w:marBottom w:val="0"/>
      <w:divBdr>
        <w:top w:val="none" w:sz="0" w:space="0" w:color="auto"/>
        <w:left w:val="none" w:sz="0" w:space="0" w:color="auto"/>
        <w:bottom w:val="none" w:sz="0" w:space="0" w:color="auto"/>
        <w:right w:val="none" w:sz="0" w:space="0" w:color="auto"/>
      </w:divBdr>
    </w:div>
    <w:div w:id="949626099">
      <w:bodyDiv w:val="1"/>
      <w:marLeft w:val="0"/>
      <w:marRight w:val="0"/>
      <w:marTop w:val="0"/>
      <w:marBottom w:val="0"/>
      <w:divBdr>
        <w:top w:val="none" w:sz="0" w:space="0" w:color="auto"/>
        <w:left w:val="none" w:sz="0" w:space="0" w:color="auto"/>
        <w:bottom w:val="none" w:sz="0" w:space="0" w:color="auto"/>
        <w:right w:val="none" w:sz="0" w:space="0" w:color="auto"/>
      </w:divBdr>
    </w:div>
    <w:div w:id="1158182535">
      <w:bodyDiv w:val="1"/>
      <w:marLeft w:val="0"/>
      <w:marRight w:val="0"/>
      <w:marTop w:val="0"/>
      <w:marBottom w:val="0"/>
      <w:divBdr>
        <w:top w:val="none" w:sz="0" w:space="0" w:color="auto"/>
        <w:left w:val="none" w:sz="0" w:space="0" w:color="auto"/>
        <w:bottom w:val="none" w:sz="0" w:space="0" w:color="auto"/>
        <w:right w:val="none" w:sz="0" w:space="0" w:color="auto"/>
      </w:divBdr>
    </w:div>
    <w:div w:id="1168907457">
      <w:bodyDiv w:val="1"/>
      <w:marLeft w:val="0"/>
      <w:marRight w:val="0"/>
      <w:marTop w:val="0"/>
      <w:marBottom w:val="0"/>
      <w:divBdr>
        <w:top w:val="none" w:sz="0" w:space="0" w:color="auto"/>
        <w:left w:val="none" w:sz="0" w:space="0" w:color="auto"/>
        <w:bottom w:val="none" w:sz="0" w:space="0" w:color="auto"/>
        <w:right w:val="none" w:sz="0" w:space="0" w:color="auto"/>
      </w:divBdr>
    </w:div>
    <w:div w:id="1247767025">
      <w:bodyDiv w:val="1"/>
      <w:marLeft w:val="0"/>
      <w:marRight w:val="0"/>
      <w:marTop w:val="0"/>
      <w:marBottom w:val="0"/>
      <w:divBdr>
        <w:top w:val="none" w:sz="0" w:space="0" w:color="auto"/>
        <w:left w:val="none" w:sz="0" w:space="0" w:color="auto"/>
        <w:bottom w:val="none" w:sz="0" w:space="0" w:color="auto"/>
        <w:right w:val="none" w:sz="0" w:space="0" w:color="auto"/>
      </w:divBdr>
    </w:div>
    <w:div w:id="1310479764">
      <w:bodyDiv w:val="1"/>
      <w:marLeft w:val="0"/>
      <w:marRight w:val="0"/>
      <w:marTop w:val="0"/>
      <w:marBottom w:val="0"/>
      <w:divBdr>
        <w:top w:val="none" w:sz="0" w:space="0" w:color="auto"/>
        <w:left w:val="none" w:sz="0" w:space="0" w:color="auto"/>
        <w:bottom w:val="none" w:sz="0" w:space="0" w:color="auto"/>
        <w:right w:val="none" w:sz="0" w:space="0" w:color="auto"/>
      </w:divBdr>
      <w:divsChild>
        <w:div w:id="693699459">
          <w:marLeft w:val="0"/>
          <w:marRight w:val="0"/>
          <w:marTop w:val="100"/>
          <w:marBottom w:val="100"/>
          <w:divBdr>
            <w:top w:val="none" w:sz="0" w:space="0" w:color="auto"/>
            <w:left w:val="none" w:sz="0" w:space="0" w:color="auto"/>
            <w:bottom w:val="none" w:sz="0" w:space="0" w:color="auto"/>
            <w:right w:val="none" w:sz="0" w:space="0" w:color="auto"/>
          </w:divBdr>
          <w:divsChild>
            <w:div w:id="99110248">
              <w:marLeft w:val="0"/>
              <w:marRight w:val="0"/>
              <w:marTop w:val="0"/>
              <w:marBottom w:val="0"/>
              <w:divBdr>
                <w:top w:val="none" w:sz="0" w:space="0" w:color="auto"/>
                <w:left w:val="none" w:sz="0" w:space="0" w:color="auto"/>
                <w:bottom w:val="none" w:sz="0" w:space="0" w:color="auto"/>
                <w:right w:val="none" w:sz="0" w:space="0" w:color="auto"/>
              </w:divBdr>
              <w:divsChild>
                <w:div w:id="955722295">
                  <w:marLeft w:val="0"/>
                  <w:marRight w:val="0"/>
                  <w:marTop w:val="0"/>
                  <w:marBottom w:val="0"/>
                  <w:divBdr>
                    <w:top w:val="none" w:sz="0" w:space="0" w:color="auto"/>
                    <w:left w:val="none" w:sz="0" w:space="0" w:color="auto"/>
                    <w:bottom w:val="none" w:sz="0" w:space="0" w:color="auto"/>
                    <w:right w:val="none" w:sz="0" w:space="0" w:color="auto"/>
                  </w:divBdr>
                  <w:divsChild>
                    <w:div w:id="9667428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12979230">
      <w:bodyDiv w:val="1"/>
      <w:marLeft w:val="0"/>
      <w:marRight w:val="0"/>
      <w:marTop w:val="0"/>
      <w:marBottom w:val="0"/>
      <w:divBdr>
        <w:top w:val="none" w:sz="0" w:space="0" w:color="auto"/>
        <w:left w:val="none" w:sz="0" w:space="0" w:color="auto"/>
        <w:bottom w:val="none" w:sz="0" w:space="0" w:color="auto"/>
        <w:right w:val="none" w:sz="0" w:space="0" w:color="auto"/>
      </w:divBdr>
    </w:div>
    <w:div w:id="1469127851">
      <w:bodyDiv w:val="1"/>
      <w:marLeft w:val="0"/>
      <w:marRight w:val="0"/>
      <w:marTop w:val="0"/>
      <w:marBottom w:val="0"/>
      <w:divBdr>
        <w:top w:val="none" w:sz="0" w:space="0" w:color="auto"/>
        <w:left w:val="none" w:sz="0" w:space="0" w:color="auto"/>
        <w:bottom w:val="none" w:sz="0" w:space="0" w:color="auto"/>
        <w:right w:val="none" w:sz="0" w:space="0" w:color="auto"/>
      </w:divBdr>
    </w:div>
    <w:div w:id="1495950094">
      <w:bodyDiv w:val="1"/>
      <w:marLeft w:val="0"/>
      <w:marRight w:val="0"/>
      <w:marTop w:val="0"/>
      <w:marBottom w:val="0"/>
      <w:divBdr>
        <w:top w:val="none" w:sz="0" w:space="0" w:color="auto"/>
        <w:left w:val="none" w:sz="0" w:space="0" w:color="auto"/>
        <w:bottom w:val="none" w:sz="0" w:space="0" w:color="auto"/>
        <w:right w:val="none" w:sz="0" w:space="0" w:color="auto"/>
      </w:divBdr>
    </w:div>
    <w:div w:id="1500001224">
      <w:bodyDiv w:val="1"/>
      <w:marLeft w:val="0"/>
      <w:marRight w:val="0"/>
      <w:marTop w:val="0"/>
      <w:marBottom w:val="0"/>
      <w:divBdr>
        <w:top w:val="none" w:sz="0" w:space="0" w:color="auto"/>
        <w:left w:val="none" w:sz="0" w:space="0" w:color="auto"/>
        <w:bottom w:val="none" w:sz="0" w:space="0" w:color="auto"/>
        <w:right w:val="none" w:sz="0" w:space="0" w:color="auto"/>
      </w:divBdr>
    </w:div>
    <w:div w:id="1756513654">
      <w:bodyDiv w:val="1"/>
      <w:marLeft w:val="0"/>
      <w:marRight w:val="0"/>
      <w:marTop w:val="0"/>
      <w:marBottom w:val="0"/>
      <w:divBdr>
        <w:top w:val="none" w:sz="0" w:space="0" w:color="auto"/>
        <w:left w:val="none" w:sz="0" w:space="0" w:color="auto"/>
        <w:bottom w:val="none" w:sz="0" w:space="0" w:color="auto"/>
        <w:right w:val="none" w:sz="0" w:space="0" w:color="auto"/>
      </w:divBdr>
    </w:div>
    <w:div w:id="1812553483">
      <w:bodyDiv w:val="1"/>
      <w:marLeft w:val="0"/>
      <w:marRight w:val="0"/>
      <w:marTop w:val="0"/>
      <w:marBottom w:val="0"/>
      <w:divBdr>
        <w:top w:val="none" w:sz="0" w:space="0" w:color="auto"/>
        <w:left w:val="none" w:sz="0" w:space="0" w:color="auto"/>
        <w:bottom w:val="none" w:sz="0" w:space="0" w:color="auto"/>
        <w:right w:val="none" w:sz="0" w:space="0" w:color="auto"/>
      </w:divBdr>
    </w:div>
    <w:div w:id="1837573071">
      <w:bodyDiv w:val="1"/>
      <w:marLeft w:val="0"/>
      <w:marRight w:val="0"/>
      <w:marTop w:val="0"/>
      <w:marBottom w:val="0"/>
      <w:divBdr>
        <w:top w:val="none" w:sz="0" w:space="0" w:color="auto"/>
        <w:left w:val="none" w:sz="0" w:space="0" w:color="auto"/>
        <w:bottom w:val="none" w:sz="0" w:space="0" w:color="auto"/>
        <w:right w:val="none" w:sz="0" w:space="0" w:color="auto"/>
      </w:divBdr>
    </w:div>
    <w:div w:id="1863547433">
      <w:bodyDiv w:val="1"/>
      <w:marLeft w:val="0"/>
      <w:marRight w:val="0"/>
      <w:marTop w:val="0"/>
      <w:marBottom w:val="0"/>
      <w:divBdr>
        <w:top w:val="none" w:sz="0" w:space="0" w:color="auto"/>
        <w:left w:val="none" w:sz="0" w:space="0" w:color="auto"/>
        <w:bottom w:val="none" w:sz="0" w:space="0" w:color="auto"/>
        <w:right w:val="none" w:sz="0" w:space="0" w:color="auto"/>
      </w:divBdr>
    </w:div>
    <w:div w:id="1944729021">
      <w:bodyDiv w:val="1"/>
      <w:marLeft w:val="0"/>
      <w:marRight w:val="0"/>
      <w:marTop w:val="0"/>
      <w:marBottom w:val="0"/>
      <w:divBdr>
        <w:top w:val="none" w:sz="0" w:space="0" w:color="auto"/>
        <w:left w:val="none" w:sz="0" w:space="0" w:color="auto"/>
        <w:bottom w:val="none" w:sz="0" w:space="0" w:color="auto"/>
        <w:right w:val="none" w:sz="0" w:space="0" w:color="auto"/>
      </w:divBdr>
    </w:div>
    <w:div w:id="1984390545">
      <w:bodyDiv w:val="1"/>
      <w:marLeft w:val="0"/>
      <w:marRight w:val="0"/>
      <w:marTop w:val="0"/>
      <w:marBottom w:val="0"/>
      <w:divBdr>
        <w:top w:val="none" w:sz="0" w:space="0" w:color="auto"/>
        <w:left w:val="none" w:sz="0" w:space="0" w:color="auto"/>
        <w:bottom w:val="none" w:sz="0" w:space="0" w:color="auto"/>
        <w:right w:val="none" w:sz="0" w:space="0" w:color="auto"/>
      </w:divBdr>
    </w:div>
    <w:div w:id="2024285907">
      <w:bodyDiv w:val="1"/>
      <w:marLeft w:val="0"/>
      <w:marRight w:val="0"/>
      <w:marTop w:val="0"/>
      <w:marBottom w:val="0"/>
      <w:divBdr>
        <w:top w:val="none" w:sz="0" w:space="0" w:color="auto"/>
        <w:left w:val="none" w:sz="0" w:space="0" w:color="auto"/>
        <w:bottom w:val="none" w:sz="0" w:space="0" w:color="auto"/>
        <w:right w:val="none" w:sz="0" w:space="0" w:color="auto"/>
      </w:divBdr>
    </w:div>
    <w:div w:id="209008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1.tce.pr.gov.br/multimidia/2020/2/pdf/00343624.pdf" TargetMode="External"/><Relationship Id="rId13" Type="http://schemas.openxmlformats.org/officeDocument/2006/relationships/hyperlink" Target="https://www1.tce.pr.gov.br/multimidia/2020/3/pdf/00344218.pdf" TargetMode="External"/><Relationship Id="rId18" Type="http://schemas.openxmlformats.org/officeDocument/2006/relationships/hyperlink" Target="http://www1.tce.pr.gov.br/conteudo/sumulas-selecionadas/316602/area/249"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1.tce.pr.gov.br/multimidia/2020/3/pdf/00344222.pdf" TargetMode="External"/><Relationship Id="rId17" Type="http://schemas.openxmlformats.org/officeDocument/2006/relationships/hyperlink" Target="http://www1.tce.pr.gov.br/conteudo/repercussao-geral-no-stf-e-os-tribunais-de-contas/307026/area/249" TargetMode="External"/><Relationship Id="rId2" Type="http://schemas.openxmlformats.org/officeDocument/2006/relationships/numbering" Target="numbering.xml"/><Relationship Id="rId16" Type="http://schemas.openxmlformats.org/officeDocument/2006/relationships/hyperlink" Target="http://www1.tce.pr.gov.br/conteudo/boletim-de-jurisprudencia-internacional/316601/area/249"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1.tce.pr.gov.br/multimidia/2020/3/pdf/00344225.pdf" TargetMode="External"/><Relationship Id="rId5" Type="http://schemas.openxmlformats.org/officeDocument/2006/relationships/webSettings" Target="webSettings.xml"/><Relationship Id="rId15" Type="http://schemas.openxmlformats.org/officeDocument/2006/relationships/hyperlink" Target="http://www1.tce.pr.gov.br/conteudo/teses-ambientais/316603/area/249" TargetMode="External"/><Relationship Id="rId10" Type="http://schemas.openxmlformats.org/officeDocument/2006/relationships/hyperlink" Target="https://www1.tce.pr.gov.br/multimidia/2020/3/pdf/00344227.pdf"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1.tce.pr.gov.br/multimidia/2020/3/pdf/00344230.pdf" TargetMode="External"/><Relationship Id="rId14" Type="http://schemas.openxmlformats.org/officeDocument/2006/relationships/hyperlink" Target="http://www1.tce.pr.gov.br/conteudo/pesquisas-prontas/308475/area/249"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E6A4A1-C653-4C15-87F4-68CAB860C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7</Pages>
  <Words>2722</Words>
  <Characters>14699</Characters>
  <Application>Microsoft Office Word</Application>
  <DocSecurity>0</DocSecurity>
  <Lines>122</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Hansen Faraj</dc:creator>
  <cp:lastModifiedBy>Andre Isidio Martins</cp:lastModifiedBy>
  <cp:revision>3</cp:revision>
  <cp:lastPrinted>2019-10-16T19:09:00Z</cp:lastPrinted>
  <dcterms:created xsi:type="dcterms:W3CDTF">2020-05-07T17:47:00Z</dcterms:created>
  <dcterms:modified xsi:type="dcterms:W3CDTF">2020-05-07T18:38:00Z</dcterms:modified>
</cp:coreProperties>
</file>